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D663" w14:textId="77777777" w:rsidR="006F76EB" w:rsidRPr="00834D52" w:rsidRDefault="006F76EB" w:rsidP="006F76EB">
      <w:pPr>
        <w:spacing w:after="160" w:line="360" w:lineRule="auto"/>
        <w:ind w:left="4536" w:right="-8"/>
        <w:jc w:val="center"/>
        <w:rPr>
          <w:rFonts w:ascii="Sylfaen" w:eastAsia="Times New Roman" w:hAnsi="Sylfaen" w:cs="Times New Roman"/>
          <w:sz w:val="24"/>
          <w:szCs w:val="24"/>
        </w:rPr>
      </w:pPr>
      <w:r w:rsidRPr="00834D52">
        <w:rPr>
          <w:rFonts w:ascii="Sylfaen" w:hAnsi="Sylfaen"/>
          <w:sz w:val="24"/>
          <w:szCs w:val="24"/>
        </w:rPr>
        <w:t>ՀԱՍՏԱՏՎԱԾ ԵՆ</w:t>
      </w:r>
    </w:p>
    <w:p w14:paraId="1DAA60FE" w14:textId="77777777" w:rsidR="006F76EB" w:rsidRPr="00834D52" w:rsidRDefault="006F76EB" w:rsidP="006F76EB">
      <w:pPr>
        <w:spacing w:after="160" w:line="360" w:lineRule="auto"/>
        <w:ind w:left="4536" w:right="-8"/>
        <w:jc w:val="center"/>
        <w:rPr>
          <w:rFonts w:ascii="Sylfaen" w:eastAsia="Times New Roman" w:hAnsi="Sylfaen" w:cs="Times New Roman"/>
          <w:sz w:val="24"/>
          <w:szCs w:val="24"/>
        </w:rPr>
      </w:pPr>
      <w:r w:rsidRPr="00834D52">
        <w:rPr>
          <w:rFonts w:ascii="Sylfaen" w:hAnsi="Sylfaen"/>
          <w:sz w:val="24"/>
          <w:szCs w:val="24"/>
        </w:rPr>
        <w:t>Եվրասիական տնտեսական հանձնաժողովի խորհրդի 20</w:t>
      </w:r>
      <w:r w:rsidR="005755F1">
        <w:rPr>
          <w:rFonts w:ascii="Sylfaen" w:hAnsi="Sylfaen"/>
          <w:sz w:val="24"/>
          <w:szCs w:val="24"/>
        </w:rPr>
        <w:t>16</w:t>
      </w:r>
      <w:r w:rsidRPr="00834D52">
        <w:rPr>
          <w:rFonts w:ascii="Sylfaen" w:hAnsi="Sylfaen"/>
          <w:sz w:val="24"/>
          <w:szCs w:val="24"/>
        </w:rPr>
        <w:t xml:space="preserve"> թվականի </w:t>
      </w:r>
      <w:r w:rsidR="005755F1">
        <w:rPr>
          <w:rFonts w:ascii="Sylfaen" w:hAnsi="Sylfaen"/>
          <w:sz w:val="24"/>
          <w:szCs w:val="24"/>
        </w:rPr>
        <w:t xml:space="preserve">նոյեմբերի 3-ի </w:t>
      </w:r>
      <w:r w:rsidRPr="00834D52">
        <w:rPr>
          <w:rFonts w:ascii="Sylfaen" w:hAnsi="Sylfaen"/>
          <w:sz w:val="24"/>
          <w:szCs w:val="24"/>
        </w:rPr>
        <w:t xml:space="preserve">թիվ </w:t>
      </w:r>
      <w:r w:rsidR="005755F1">
        <w:rPr>
          <w:rFonts w:ascii="Sylfaen" w:hAnsi="Sylfaen"/>
          <w:sz w:val="24"/>
          <w:szCs w:val="24"/>
        </w:rPr>
        <w:t>78</w:t>
      </w:r>
      <w:r w:rsidRPr="00834D52">
        <w:rPr>
          <w:rFonts w:ascii="Sylfaen" w:hAnsi="Sylfaen"/>
          <w:sz w:val="24"/>
          <w:szCs w:val="24"/>
        </w:rPr>
        <w:t xml:space="preserve"> որոշմամբ</w:t>
      </w:r>
    </w:p>
    <w:p w14:paraId="2C57BFA0" w14:textId="77777777" w:rsidR="006F76EB" w:rsidRPr="00834D52" w:rsidRDefault="006F76EB" w:rsidP="006F76EB">
      <w:pPr>
        <w:spacing w:after="160" w:line="360" w:lineRule="auto"/>
        <w:ind w:left="4536" w:right="-8"/>
        <w:rPr>
          <w:rFonts w:ascii="Sylfaen" w:hAnsi="Sylfaen"/>
          <w:sz w:val="24"/>
          <w:szCs w:val="24"/>
        </w:rPr>
      </w:pPr>
    </w:p>
    <w:p w14:paraId="3D5F1E50" w14:textId="77777777" w:rsidR="006F76EB" w:rsidRPr="005405FD" w:rsidRDefault="006F76EB" w:rsidP="006F76EB">
      <w:pPr>
        <w:spacing w:after="160" w:line="360" w:lineRule="auto"/>
        <w:ind w:left="567" w:right="565"/>
        <w:jc w:val="center"/>
        <w:rPr>
          <w:rFonts w:ascii="Sylfaen" w:hAnsi="Sylfaen"/>
          <w:b/>
          <w:sz w:val="24"/>
          <w:szCs w:val="24"/>
        </w:rPr>
      </w:pPr>
      <w:r w:rsidRPr="005405FD">
        <w:rPr>
          <w:rFonts w:ascii="Sylfaen" w:hAnsi="Sylfaen"/>
          <w:b/>
          <w:sz w:val="24"/>
          <w:szCs w:val="24"/>
        </w:rPr>
        <w:t>ԿԱՆՈՆՆԵՐ</w:t>
      </w:r>
    </w:p>
    <w:p w14:paraId="051ABDF4"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b/>
          <w:sz w:val="24"/>
          <w:szCs w:val="24"/>
        </w:rPr>
        <w:t xml:space="preserve">բժշկական կիրառման դեղամիջոցների գրանցման </w:t>
      </w:r>
      <w:r w:rsidR="00C54D75">
        <w:rPr>
          <w:rFonts w:ascii="Sylfaen" w:hAnsi="Sylfaen"/>
          <w:b/>
          <w:sz w:val="24"/>
          <w:szCs w:val="24"/>
        </w:rPr>
        <w:t>և</w:t>
      </w:r>
      <w:r w:rsidRPr="00834D52">
        <w:rPr>
          <w:rFonts w:ascii="Sylfaen" w:hAnsi="Sylfaen"/>
          <w:b/>
          <w:sz w:val="24"/>
          <w:szCs w:val="24"/>
        </w:rPr>
        <w:t xml:space="preserve"> փորձաքննության </w:t>
      </w:r>
    </w:p>
    <w:p w14:paraId="6DF5F9C7" w14:textId="77777777" w:rsidR="006F76EB" w:rsidRPr="00834D52" w:rsidRDefault="006F76EB" w:rsidP="006F76EB">
      <w:pPr>
        <w:spacing w:after="160" w:line="360" w:lineRule="auto"/>
        <w:ind w:right="-8"/>
        <w:jc w:val="center"/>
        <w:rPr>
          <w:rFonts w:ascii="Sylfaen" w:hAnsi="Sylfaen"/>
          <w:sz w:val="24"/>
          <w:szCs w:val="24"/>
        </w:rPr>
      </w:pPr>
    </w:p>
    <w:p w14:paraId="107C33B8"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I. Ընդհանուր դրույթներ</w:t>
      </w:r>
    </w:p>
    <w:p w14:paraId="07D8C707" w14:textId="77777777" w:rsidR="006F76EB" w:rsidRPr="00834D52" w:rsidRDefault="006F76EB" w:rsidP="00486013">
      <w:pPr>
        <w:tabs>
          <w:tab w:val="left" w:pos="1134"/>
        </w:tabs>
        <w:spacing w:after="160" w:line="384" w:lineRule="auto"/>
        <w:ind w:right="-8" w:firstLine="567"/>
        <w:rPr>
          <w:rFonts w:ascii="Sylfaen" w:eastAsia="Times New Roman" w:hAnsi="Sylfaen" w:cs="Times New Roman"/>
          <w:sz w:val="24"/>
          <w:szCs w:val="24"/>
        </w:rPr>
      </w:pPr>
      <w:r w:rsidRPr="00834D52">
        <w:rPr>
          <w:rFonts w:ascii="Sylfaen" w:hAnsi="Sylfaen"/>
          <w:sz w:val="24"/>
          <w:szCs w:val="24"/>
        </w:rPr>
        <w:t>1.</w:t>
      </w:r>
      <w:r w:rsidRPr="00834D52">
        <w:rPr>
          <w:rFonts w:ascii="Sylfaen" w:hAnsi="Sylfaen"/>
          <w:sz w:val="24"/>
          <w:szCs w:val="24"/>
        </w:rPr>
        <w:tab/>
        <w:t>Սույն Կանոնները սահմանում են Եվրասիական տնտեսական միության (այսուհետ՝ Միություն) շրջանակներում դեղամիջոցների ընդհանուր շուկայի ձ</w:t>
      </w:r>
      <w:r w:rsidR="00C54D75">
        <w:rPr>
          <w:rFonts w:ascii="Sylfaen" w:hAnsi="Sylfaen"/>
          <w:sz w:val="24"/>
          <w:szCs w:val="24"/>
        </w:rPr>
        <w:t>և</w:t>
      </w:r>
      <w:r w:rsidRPr="00834D52">
        <w:rPr>
          <w:rFonts w:ascii="Sylfaen" w:hAnsi="Sylfaen"/>
          <w:sz w:val="24"/>
          <w:szCs w:val="24"/>
        </w:rPr>
        <w:t xml:space="preserve">ավորման նպատակով բժշկական կիրառման դեղապատրաստուկների գրանցում իրականացնելու, գրանցումը հաստատելու (վերագրանցելու), գրանցման դոսյեում փոփոխություններ կատարելու </w:t>
      </w:r>
      <w:r w:rsidR="00C54D75">
        <w:rPr>
          <w:rFonts w:ascii="Sylfaen" w:hAnsi="Sylfaen"/>
          <w:sz w:val="24"/>
          <w:szCs w:val="24"/>
        </w:rPr>
        <w:t>և</w:t>
      </w:r>
      <w:r w:rsidRPr="00834D52">
        <w:rPr>
          <w:rFonts w:ascii="Sylfaen" w:hAnsi="Sylfaen"/>
          <w:sz w:val="24"/>
          <w:szCs w:val="24"/>
        </w:rPr>
        <w:t xml:space="preserve"> դեղապատրաստուկների փորձաքննություն անցկացնելու կարգը, ինչպես նա</w:t>
      </w:r>
      <w:r w:rsidR="00C54D75">
        <w:rPr>
          <w:rFonts w:ascii="Sylfaen" w:hAnsi="Sylfaen"/>
          <w:sz w:val="24"/>
          <w:szCs w:val="24"/>
        </w:rPr>
        <w:t>և</w:t>
      </w:r>
      <w:r w:rsidRPr="00834D52">
        <w:rPr>
          <w:rFonts w:ascii="Sylfaen" w:hAnsi="Sylfaen"/>
          <w:sz w:val="24"/>
          <w:szCs w:val="24"/>
        </w:rPr>
        <w:t xml:space="preserve"> բժշկական կիրառման դեղապատրաստուկների գրանցման հետ կապված այլ ընթացակարգեր (այսուհետ՝ գրանցման հետ կապված ընթացակարգեր) իրականացնելու կարգը, որոնք իրենց մեջ ներառում են՝</w:t>
      </w:r>
    </w:p>
    <w:p w14:paraId="22581F54"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Միության անդամ պետություններում (այսուհետ՝ անդամ պետություններ) մինչ</w:t>
      </w:r>
      <w:r w:rsidR="00C54D75">
        <w:rPr>
          <w:rFonts w:ascii="Sylfaen" w:hAnsi="Sylfaen"/>
          <w:sz w:val="24"/>
          <w:szCs w:val="24"/>
        </w:rPr>
        <w:t>և</w:t>
      </w:r>
      <w:r w:rsidRPr="00834D52">
        <w:rPr>
          <w:rFonts w:ascii="Sylfaen" w:hAnsi="Sylfaen"/>
          <w:sz w:val="24"/>
          <w:szCs w:val="24"/>
        </w:rPr>
        <w:t xml:space="preserve"> «Եվրասիական տնտեսական միության շրջանակներում դեղամիջոցների շրջանառության միասնական սկզբունքերի </w:t>
      </w:r>
      <w:r w:rsidR="00C54D75">
        <w:rPr>
          <w:rFonts w:ascii="Sylfaen" w:hAnsi="Sylfaen"/>
          <w:sz w:val="24"/>
          <w:szCs w:val="24"/>
        </w:rPr>
        <w:t>և</w:t>
      </w:r>
      <w:r w:rsidRPr="00834D52">
        <w:rPr>
          <w:rFonts w:ascii="Sylfaen" w:hAnsi="Sylfaen"/>
          <w:sz w:val="24"/>
          <w:szCs w:val="24"/>
        </w:rPr>
        <w:t xml:space="preserve"> կանոնների մասին» 2014 թվականի դեկտեմբերի 23-ի համաձայնագիրը (այսուհետ՝ Համաձայնագիր) ուժի մեջ մտնելը </w:t>
      </w:r>
      <w:r w:rsidR="00C54D75">
        <w:rPr>
          <w:rFonts w:ascii="Sylfaen" w:hAnsi="Sylfaen"/>
          <w:sz w:val="24"/>
          <w:szCs w:val="24"/>
        </w:rPr>
        <w:t>և</w:t>
      </w:r>
      <w:r w:rsidRPr="00834D52">
        <w:rPr>
          <w:rFonts w:ascii="Sylfaen" w:hAnsi="Sylfaen"/>
          <w:sz w:val="24"/>
          <w:szCs w:val="24"/>
        </w:rPr>
        <w:t xml:space="preserve"> մինչ</w:t>
      </w:r>
      <w:r w:rsidR="00C54D75">
        <w:rPr>
          <w:rFonts w:ascii="Sylfaen" w:hAnsi="Sylfaen"/>
          <w:sz w:val="24"/>
          <w:szCs w:val="24"/>
        </w:rPr>
        <w:t>և</w:t>
      </w:r>
      <w:r w:rsidRPr="00834D52">
        <w:rPr>
          <w:rFonts w:ascii="Sylfaen" w:hAnsi="Sylfaen"/>
          <w:sz w:val="24"/>
          <w:szCs w:val="24"/>
        </w:rPr>
        <w:t xml:space="preserve"> 2020 թվականի դեկտեմբերի 31-ը գրանցված դեղապատրաստուկի գրանցման դոսյեի համապատասխանեցում սույն Կանոններին (այսուհետ՝ համապատասխանեցում Միության պահանջներին).</w:t>
      </w:r>
    </w:p>
    <w:p w14:paraId="29B68D71"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բ)</w:t>
      </w:r>
      <w:r w:rsidRPr="00834D52">
        <w:rPr>
          <w:rFonts w:ascii="Sylfaen" w:hAnsi="Sylfaen"/>
          <w:sz w:val="24"/>
          <w:szCs w:val="24"/>
        </w:rPr>
        <w:tab/>
        <w:t xml:space="preserve">դեղապատրաստուկների գրանցման կասեցում </w:t>
      </w:r>
      <w:r w:rsidR="00C54D75">
        <w:rPr>
          <w:rFonts w:ascii="Sylfaen" w:hAnsi="Sylfaen"/>
          <w:sz w:val="24"/>
          <w:szCs w:val="24"/>
        </w:rPr>
        <w:t>և</w:t>
      </w:r>
      <w:r w:rsidRPr="00834D52">
        <w:rPr>
          <w:rFonts w:ascii="Sylfaen" w:hAnsi="Sylfaen"/>
          <w:sz w:val="24"/>
          <w:szCs w:val="24"/>
        </w:rPr>
        <w:t xml:space="preserve"> դադարեցում կամ դեղապատրաստուկի կիրառման սահմանափակում.</w:t>
      </w:r>
    </w:p>
    <w:p w14:paraId="5B5CFD2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դեղապատրաստուկի գրանցման հավաստագրի կրկնօրինակների տրամադրում:</w:t>
      </w:r>
    </w:p>
    <w:p w14:paraId="196941A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w:t>
      </w:r>
      <w:r w:rsidRPr="00834D52">
        <w:rPr>
          <w:rFonts w:ascii="Sylfaen" w:hAnsi="Sylfaen"/>
          <w:sz w:val="24"/>
          <w:szCs w:val="24"/>
        </w:rPr>
        <w:tab/>
        <w:t xml:space="preserve">Սույն Կանոնների պահանջները տարածվում են դեղամիջոցները մշակողների </w:t>
      </w:r>
      <w:r w:rsidR="00C54D75">
        <w:rPr>
          <w:rFonts w:ascii="Sylfaen" w:hAnsi="Sylfaen"/>
          <w:sz w:val="24"/>
          <w:szCs w:val="24"/>
        </w:rPr>
        <w:t>և</w:t>
      </w:r>
      <w:r w:rsidRPr="00834D52">
        <w:rPr>
          <w:rFonts w:ascii="Sylfaen" w:hAnsi="Sylfaen"/>
          <w:sz w:val="24"/>
          <w:szCs w:val="24"/>
        </w:rPr>
        <w:t xml:space="preserve"> արտադրողների, դեղապատրաստուկների գրանցման հավաստագրերի իրավատերերի </w:t>
      </w:r>
      <w:r w:rsidR="00C54D75">
        <w:rPr>
          <w:rFonts w:ascii="Sylfaen" w:hAnsi="Sylfaen"/>
          <w:sz w:val="24"/>
          <w:szCs w:val="24"/>
        </w:rPr>
        <w:t>և</w:t>
      </w:r>
      <w:r w:rsidRPr="00834D52">
        <w:rPr>
          <w:rFonts w:ascii="Sylfaen" w:hAnsi="Sylfaen"/>
          <w:sz w:val="24"/>
          <w:szCs w:val="24"/>
        </w:rPr>
        <w:t xml:space="preserve"> նրանց վստահված անձանց, անդամ պետությունների՝ դեղամիջոցների շրջանառության ոլորտում լիազորված մարմինների (փորձագիտական կազմակերպությունների) վրա:</w:t>
      </w:r>
    </w:p>
    <w:p w14:paraId="76084DC6" w14:textId="77777777" w:rsidR="006F76EB" w:rsidRPr="00834D52" w:rsidRDefault="006F76EB" w:rsidP="006F76EB">
      <w:pPr>
        <w:tabs>
          <w:tab w:val="left" w:pos="1134"/>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3.</w:t>
      </w:r>
      <w:r w:rsidRPr="00834D52">
        <w:rPr>
          <w:rFonts w:ascii="Sylfaen" w:hAnsi="Sylfaen"/>
          <w:sz w:val="24"/>
          <w:szCs w:val="24"/>
        </w:rPr>
        <w:tab/>
        <w:t>Սույն Կանոնների պահանջները չեն կիրառվում հետ</w:t>
      </w:r>
      <w:r w:rsidR="00C54D75">
        <w:rPr>
          <w:rFonts w:ascii="Sylfaen" w:hAnsi="Sylfaen"/>
          <w:sz w:val="24"/>
          <w:szCs w:val="24"/>
        </w:rPr>
        <w:t>և</w:t>
      </w:r>
      <w:r w:rsidRPr="00834D52">
        <w:rPr>
          <w:rFonts w:ascii="Sylfaen" w:hAnsi="Sylfaen"/>
          <w:sz w:val="24"/>
          <w:szCs w:val="24"/>
        </w:rPr>
        <w:t>յալի նկատմամբ՝</w:t>
      </w:r>
    </w:p>
    <w:p w14:paraId="379CA84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դեղապատրաստուկներ, որոնք նախատեսված են ռազմական գործողությունների, արտակարգ իրավիճակների պայմաններում կիրառման համար, քիմիական, կենսաբանական, ճառագայթային գործոնների ազդեցության արդյունքում առաջացած հիվանդությունների </w:t>
      </w:r>
      <w:r w:rsidR="00C54D75">
        <w:rPr>
          <w:rFonts w:ascii="Sylfaen" w:hAnsi="Sylfaen"/>
          <w:sz w:val="24"/>
          <w:szCs w:val="24"/>
        </w:rPr>
        <w:t>և</w:t>
      </w:r>
      <w:r w:rsidRPr="00834D52">
        <w:rPr>
          <w:rFonts w:ascii="Sylfaen" w:hAnsi="Sylfaen"/>
          <w:sz w:val="24"/>
          <w:szCs w:val="24"/>
        </w:rPr>
        <w:t xml:space="preserve"> ախտահարումների կանխարգելման </w:t>
      </w:r>
      <w:r w:rsidR="00C54D75">
        <w:rPr>
          <w:rFonts w:ascii="Sylfaen" w:hAnsi="Sylfaen"/>
          <w:sz w:val="24"/>
          <w:szCs w:val="24"/>
        </w:rPr>
        <w:t>և</w:t>
      </w:r>
      <w:r w:rsidRPr="00834D52">
        <w:rPr>
          <w:rFonts w:ascii="Sylfaen" w:hAnsi="Sylfaen"/>
          <w:sz w:val="24"/>
          <w:szCs w:val="24"/>
        </w:rPr>
        <w:t xml:space="preserve"> բուժման համար, մշակվել են անդամ պետությունների՝ անվտանգության </w:t>
      </w:r>
      <w:r w:rsidR="00C54D75">
        <w:rPr>
          <w:rFonts w:ascii="Sylfaen" w:hAnsi="Sylfaen"/>
          <w:sz w:val="24"/>
          <w:szCs w:val="24"/>
        </w:rPr>
        <w:t>և</w:t>
      </w:r>
      <w:r w:rsidRPr="00834D52">
        <w:rPr>
          <w:rFonts w:ascii="Sylfaen" w:hAnsi="Sylfaen"/>
          <w:sz w:val="24"/>
          <w:szCs w:val="24"/>
        </w:rPr>
        <w:t xml:space="preserve"> պաշտպանության բնագավառում լիազորված պետական իշխանության մարմինների հանձնարարությամբ, </w:t>
      </w:r>
      <w:r w:rsidR="00C54D75">
        <w:rPr>
          <w:rFonts w:ascii="Sylfaen" w:hAnsi="Sylfaen"/>
          <w:sz w:val="24"/>
          <w:szCs w:val="24"/>
        </w:rPr>
        <w:t>և</w:t>
      </w:r>
      <w:r w:rsidRPr="00834D52">
        <w:rPr>
          <w:rFonts w:ascii="Sylfaen" w:hAnsi="Sylfaen"/>
          <w:sz w:val="24"/>
          <w:szCs w:val="24"/>
        </w:rPr>
        <w:t xml:space="preserve"> որոնց շրջանառությունը կարգավորվում է անդամ պետությունների օրենսդրությամբ.</w:t>
      </w:r>
    </w:p>
    <w:p w14:paraId="0FF095A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անասնաբուժական դեղապատրաստուկներ, որոնց շրջանառությունը կարգավորվում է Միության իրավունքի մաս կազմող այլ ակտերով:</w:t>
      </w:r>
    </w:p>
    <w:p w14:paraId="1BAA8DD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w:t>
      </w:r>
      <w:r w:rsidRPr="00834D52">
        <w:rPr>
          <w:rFonts w:ascii="Sylfaen" w:hAnsi="Sylfaen"/>
          <w:sz w:val="24"/>
          <w:szCs w:val="24"/>
        </w:rPr>
        <w:tab/>
        <w:t>Սույն Կանոններին համապատասխան՝ գրանցման ենթակա են Միության շրջանակներում դեղամիջոցների ընդհանուր շուկայում կամ անդամ պետություններից մեկի տարածքում շրջանառության համար նախատեսված դեղապատրաստուկները:</w:t>
      </w:r>
    </w:p>
    <w:p w14:paraId="791097AB" w14:textId="77777777" w:rsidR="006F76EB" w:rsidRPr="00834D52" w:rsidRDefault="006F76EB" w:rsidP="006F76EB">
      <w:pPr>
        <w:tabs>
          <w:tab w:val="left" w:pos="1134"/>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5.</w:t>
      </w:r>
      <w:r w:rsidRPr="00834D52">
        <w:rPr>
          <w:rFonts w:ascii="Sylfaen" w:hAnsi="Sylfaen"/>
          <w:sz w:val="24"/>
          <w:szCs w:val="24"/>
        </w:rPr>
        <w:tab/>
        <w:t>Միության շրջանակներում գրանցման ենթակա չեն՝</w:t>
      </w:r>
    </w:p>
    <w:p w14:paraId="0C977329" w14:textId="77777777" w:rsidR="006F76EB" w:rsidRPr="00834D52" w:rsidRDefault="006F76EB" w:rsidP="006F76EB">
      <w:pPr>
        <w:tabs>
          <w:tab w:val="left" w:pos="1134"/>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դեղատներում պատրաստված դեղապատրաստուկները.</w:t>
      </w:r>
    </w:p>
    <w:p w14:paraId="29299F13" w14:textId="77777777" w:rsidR="006F76EB" w:rsidRPr="00834D52" w:rsidRDefault="006F76EB" w:rsidP="006F76EB">
      <w:pPr>
        <w:tabs>
          <w:tab w:val="left" w:pos="1134"/>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բ)</w:t>
      </w:r>
      <w:r w:rsidRPr="00834D52">
        <w:rPr>
          <w:rFonts w:ascii="Sylfaen" w:hAnsi="Sylfaen"/>
          <w:sz w:val="24"/>
          <w:szCs w:val="24"/>
        </w:rPr>
        <w:tab/>
        <w:t>դեղագործական սուբստանցիաները.</w:t>
      </w:r>
    </w:p>
    <w:p w14:paraId="3CC851B4"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00DC43E8">
        <w:rPr>
          <w:rFonts w:ascii="Sylfaen" w:hAnsi="Sylfaen"/>
          <w:sz w:val="24"/>
          <w:szCs w:val="24"/>
        </w:rPr>
        <w:t>)</w:t>
      </w:r>
      <w:r w:rsidR="00DC43E8" w:rsidRPr="00DC43E8">
        <w:rPr>
          <w:rFonts w:ascii="Sylfaen" w:hAnsi="Sylfaen"/>
          <w:sz w:val="24"/>
          <w:szCs w:val="24"/>
        </w:rPr>
        <w:tab/>
      </w:r>
      <w:r w:rsidRPr="00834D52">
        <w:rPr>
          <w:rFonts w:ascii="Sylfaen" w:hAnsi="Sylfaen"/>
          <w:sz w:val="24"/>
          <w:szCs w:val="24"/>
        </w:rPr>
        <w:t xml:space="preserve">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անցկացման համար նախատեսված դեղապատրաստուկները.</w:t>
      </w:r>
    </w:p>
    <w:p w14:paraId="6BF329E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ֆիզիկական անձանց կողմից անձնական օգտագործման համար ներմուծված դեղամիջոցները.</w:t>
      </w:r>
    </w:p>
    <w:p w14:paraId="6A9B4FA4"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լիազորված մարմինների կողմից սահմանված կարգով անմիջապես բժշկական կազմակերպություններում պատրաստված ռադիոդեղագործական դեղապատրաստուկները.</w:t>
      </w:r>
    </w:p>
    <w:p w14:paraId="634B46C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Միության մաքսային տարածքում իրացման համար չնախատեսված դեղապատրաստուկները.</w:t>
      </w:r>
    </w:p>
    <w:p w14:paraId="59E73854" w14:textId="77777777" w:rsidR="006F76EB" w:rsidRPr="00E3366C" w:rsidRDefault="006F76EB" w:rsidP="006F76EB">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է)</w:t>
      </w:r>
      <w:r w:rsidRPr="00834D52">
        <w:rPr>
          <w:rFonts w:ascii="Sylfaen" w:hAnsi="Sylfaen"/>
          <w:sz w:val="24"/>
          <w:szCs w:val="24"/>
        </w:rPr>
        <w:tab/>
        <w:t xml:space="preserve">գրանցման համար նախատեսված դեղապատրաստուկների նմուշները </w:t>
      </w:r>
      <w:r w:rsidR="00C54D75">
        <w:rPr>
          <w:rFonts w:ascii="Sylfaen" w:hAnsi="Sylfaen"/>
          <w:sz w:val="24"/>
          <w:szCs w:val="24"/>
        </w:rPr>
        <w:t>և</w:t>
      </w:r>
      <w:r w:rsidRPr="00834D52">
        <w:rPr>
          <w:rFonts w:ascii="Sylfaen" w:hAnsi="Sylfaen"/>
          <w:sz w:val="24"/>
          <w:szCs w:val="24"/>
        </w:rPr>
        <w:t xml:space="preserve"> ստանդարտ նմուշները</w:t>
      </w:r>
      <w:r w:rsidR="00E90FAF" w:rsidRPr="00E90FAF">
        <w:rPr>
          <w:rFonts w:ascii="Sylfaen" w:hAnsi="Sylfaen"/>
          <w:sz w:val="24"/>
          <w:szCs w:val="24"/>
        </w:rPr>
        <w:t>.</w:t>
      </w:r>
    </w:p>
    <w:p w14:paraId="1668C7E8" w14:textId="77777777" w:rsidR="003B3D9A" w:rsidRPr="00E3366C" w:rsidRDefault="003B3D9A" w:rsidP="006F76EB">
      <w:pPr>
        <w:tabs>
          <w:tab w:val="left" w:pos="1134"/>
        </w:tabs>
        <w:spacing w:after="160" w:line="384" w:lineRule="auto"/>
        <w:ind w:right="-6" w:firstLine="567"/>
        <w:jc w:val="both"/>
        <w:rPr>
          <w:rFonts w:ascii="Sylfaen" w:eastAsia="Times New Roman" w:hAnsi="Sylfaen" w:cs="Times New Roman"/>
          <w:sz w:val="24"/>
          <w:szCs w:val="24"/>
        </w:rPr>
      </w:pPr>
      <w:r>
        <w:rPr>
          <w:rFonts w:ascii="Sylfaen" w:hAnsi="Sylfaen"/>
          <w:sz w:val="24"/>
          <w:szCs w:val="24"/>
        </w:rPr>
        <w:t>ը</w:t>
      </w:r>
      <w:r w:rsidR="00E90FAF" w:rsidRPr="00E90FAF">
        <w:rPr>
          <w:rFonts w:ascii="Sylfaen" w:hAnsi="Sylfaen"/>
          <w:sz w:val="24"/>
          <w:szCs w:val="24"/>
        </w:rPr>
        <w:t>)</w:t>
      </w:r>
      <w:r w:rsidR="002056E6" w:rsidRPr="00F06D43">
        <w:rPr>
          <w:rFonts w:ascii="Sylfaen" w:hAnsi="Sylfaen"/>
          <w:sz w:val="24"/>
          <w:szCs w:val="24"/>
        </w:rPr>
        <w:tab/>
      </w:r>
      <w:r w:rsidR="00E3366C">
        <w:rPr>
          <w:rFonts w:ascii="Sylfaen" w:hAnsi="Sylfaen"/>
          <w:sz w:val="24"/>
          <w:szCs w:val="24"/>
        </w:rPr>
        <w:t>որպես ցուցանմուշ կիրառման համար նախատեսված դեղապատրաստո</w:t>
      </w:r>
      <w:r w:rsidR="00C95283">
        <w:rPr>
          <w:rFonts w:ascii="Sylfaen" w:hAnsi="Sylfaen"/>
          <w:sz w:val="24"/>
          <w:szCs w:val="24"/>
        </w:rPr>
        <w:t>ւ</w:t>
      </w:r>
      <w:r w:rsidR="00E3366C">
        <w:rPr>
          <w:rFonts w:ascii="Sylfaen" w:hAnsi="Sylfaen"/>
          <w:sz w:val="24"/>
          <w:szCs w:val="24"/>
        </w:rPr>
        <w:t>կները:</w:t>
      </w:r>
    </w:p>
    <w:p w14:paraId="4CC9DD82" w14:textId="77777777" w:rsidR="006F76EB" w:rsidRPr="00E73242" w:rsidRDefault="006F76EB" w:rsidP="006F76EB">
      <w:pPr>
        <w:tabs>
          <w:tab w:val="left" w:pos="1134"/>
        </w:tabs>
        <w:spacing w:after="160" w:line="384" w:lineRule="auto"/>
        <w:ind w:right="-6" w:firstLine="567"/>
        <w:jc w:val="both"/>
        <w:rPr>
          <w:rFonts w:ascii="Sylfaen" w:eastAsia="Times New Roman" w:hAnsi="Sylfaen" w:cs="Times New Roman"/>
          <w:spacing w:val="-4"/>
          <w:sz w:val="24"/>
          <w:szCs w:val="24"/>
        </w:rPr>
      </w:pPr>
      <w:r w:rsidRPr="00E73242">
        <w:rPr>
          <w:rFonts w:ascii="Sylfaen" w:hAnsi="Sylfaen"/>
          <w:spacing w:val="-4"/>
          <w:sz w:val="24"/>
          <w:szCs w:val="24"/>
        </w:rPr>
        <w:t>6.</w:t>
      </w:r>
      <w:r w:rsidRPr="00E73242">
        <w:rPr>
          <w:rFonts w:ascii="Sylfaen" w:hAnsi="Sylfaen"/>
          <w:spacing w:val="-4"/>
          <w:sz w:val="24"/>
          <w:szCs w:val="24"/>
        </w:rPr>
        <w:tab/>
        <w:t xml:space="preserve">Դեղապատրաստուկը բոլոր կամ մի քանի անդամ պետությունների տարածքներում անդամ պետությունների օրենսդրությանը համապատասխան «որբ» ճանաչվելու դեպքում այդ դեղապատրաստուկի գրանցումն իրականացվում է սույն Կանոնների V </w:t>
      </w:r>
      <w:r w:rsidR="00C54D75">
        <w:rPr>
          <w:rFonts w:ascii="Sylfaen" w:hAnsi="Sylfaen"/>
          <w:spacing w:val="-4"/>
          <w:sz w:val="24"/>
          <w:szCs w:val="24"/>
        </w:rPr>
        <w:t>և</w:t>
      </w:r>
      <w:r w:rsidRPr="00E73242">
        <w:rPr>
          <w:rFonts w:ascii="Sylfaen" w:hAnsi="Sylfaen"/>
          <w:spacing w:val="-4"/>
          <w:sz w:val="24"/>
          <w:szCs w:val="24"/>
        </w:rPr>
        <w:t xml:space="preserve"> VII բաժիններին կամ VI </w:t>
      </w:r>
      <w:r w:rsidR="00C54D75">
        <w:rPr>
          <w:rFonts w:ascii="Sylfaen" w:hAnsi="Sylfaen"/>
          <w:spacing w:val="-4"/>
          <w:sz w:val="24"/>
          <w:szCs w:val="24"/>
        </w:rPr>
        <w:t>և</w:t>
      </w:r>
      <w:r w:rsidRPr="00E73242">
        <w:rPr>
          <w:rFonts w:ascii="Sylfaen" w:hAnsi="Sylfaen"/>
          <w:spacing w:val="-4"/>
          <w:sz w:val="24"/>
          <w:szCs w:val="24"/>
        </w:rPr>
        <w:t xml:space="preserve"> VII բաժիններին համապատասխան, ինչպես նա</w:t>
      </w:r>
      <w:r w:rsidR="00C54D75">
        <w:rPr>
          <w:rFonts w:ascii="Sylfaen" w:hAnsi="Sylfaen"/>
          <w:spacing w:val="-4"/>
          <w:sz w:val="24"/>
          <w:szCs w:val="24"/>
        </w:rPr>
        <w:t>և</w:t>
      </w:r>
      <w:r w:rsidRPr="00E73242">
        <w:rPr>
          <w:rFonts w:ascii="Sylfaen" w:hAnsi="Sylfaen"/>
          <w:spacing w:val="-4"/>
          <w:sz w:val="24"/>
          <w:szCs w:val="24"/>
        </w:rPr>
        <w:t xml:space="preserve"> սույն Կանոնների թիվ 1 հավելվածի III մասի 16-րդ բաժնի պահանջներին համապատասխան:</w:t>
      </w:r>
    </w:p>
    <w:p w14:paraId="77438FFA"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Դեղապատրաստուկը որ</w:t>
      </w:r>
      <w:r w:rsidR="00C54D75">
        <w:rPr>
          <w:rFonts w:ascii="Sylfaen" w:hAnsi="Sylfaen"/>
          <w:sz w:val="24"/>
          <w:szCs w:val="24"/>
        </w:rPr>
        <w:t>և</w:t>
      </w:r>
      <w:r w:rsidRPr="00834D52">
        <w:rPr>
          <w:rFonts w:ascii="Sylfaen" w:hAnsi="Sylfaen"/>
          <w:sz w:val="24"/>
          <w:szCs w:val="24"/>
        </w:rPr>
        <w:t xml:space="preserve">է անդամ պետության տարածքում այդ պետության օրենսդրությանը համապատասխան «որբ» չճանաչվելու դեպքում այդ դեղապատրաստուկի գրանցումն իրականացվում է այդ պետությունում սույն Կանոնների V բաժնի I ենթաբաժնի </w:t>
      </w:r>
      <w:r w:rsidR="00C54D75">
        <w:rPr>
          <w:rFonts w:ascii="Sylfaen" w:hAnsi="Sylfaen"/>
          <w:sz w:val="24"/>
          <w:szCs w:val="24"/>
        </w:rPr>
        <w:t>և</w:t>
      </w:r>
      <w:r w:rsidRPr="00834D52">
        <w:rPr>
          <w:rFonts w:ascii="Sylfaen" w:hAnsi="Sylfaen"/>
          <w:sz w:val="24"/>
          <w:szCs w:val="24"/>
        </w:rPr>
        <w:t xml:space="preserve"> սույն Կանոնների թիվ 1 հավելվածի պահանջներին համապատասխան:</w:t>
      </w:r>
    </w:p>
    <w:p w14:paraId="75F75C28"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7.</w:t>
      </w:r>
      <w:r w:rsidRPr="00834D52">
        <w:rPr>
          <w:rFonts w:ascii="Sylfaen" w:hAnsi="Sylfaen"/>
          <w:sz w:val="24"/>
          <w:szCs w:val="24"/>
        </w:rPr>
        <w:tab/>
        <w:t>Արգելվում է ազդող նյութերի տարբեր որակական բաղադրություն ունեցող դեղապատրաստուկների գրանցումը մի</w:t>
      </w:r>
      <w:r w:rsidR="00C54D75">
        <w:rPr>
          <w:rFonts w:ascii="Sylfaen" w:hAnsi="Sylfaen"/>
          <w:sz w:val="24"/>
          <w:szCs w:val="24"/>
        </w:rPr>
        <w:t>և</w:t>
      </w:r>
      <w:r w:rsidRPr="00834D52">
        <w:rPr>
          <w:rFonts w:ascii="Sylfaen" w:hAnsi="Sylfaen"/>
          <w:sz w:val="24"/>
          <w:szCs w:val="24"/>
        </w:rPr>
        <w:t>նույն առ</w:t>
      </w:r>
      <w:r w:rsidR="00C54D75">
        <w:rPr>
          <w:rFonts w:ascii="Sylfaen" w:hAnsi="Sylfaen"/>
          <w:sz w:val="24"/>
          <w:szCs w:val="24"/>
        </w:rPr>
        <w:t>և</w:t>
      </w:r>
      <w:r w:rsidRPr="00834D52">
        <w:rPr>
          <w:rFonts w:ascii="Sylfaen" w:hAnsi="Sylfaen"/>
          <w:sz w:val="24"/>
          <w:szCs w:val="24"/>
        </w:rPr>
        <w:t>տրային անվան տակ:</w:t>
      </w:r>
    </w:p>
    <w:p w14:paraId="2D9771E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8.</w:t>
      </w:r>
      <w:r w:rsidRPr="00834D52">
        <w:rPr>
          <w:rFonts w:ascii="Sylfaen" w:hAnsi="Sylfaen"/>
          <w:sz w:val="24"/>
          <w:szCs w:val="24"/>
        </w:rPr>
        <w:tab/>
        <w:t>Տարբեր առ</w:t>
      </w:r>
      <w:r w:rsidR="00C54D75">
        <w:rPr>
          <w:rFonts w:ascii="Sylfaen" w:hAnsi="Sylfaen"/>
          <w:sz w:val="24"/>
          <w:szCs w:val="24"/>
        </w:rPr>
        <w:t>և</w:t>
      </w:r>
      <w:r w:rsidRPr="00834D52">
        <w:rPr>
          <w:rFonts w:ascii="Sylfaen" w:hAnsi="Sylfaen"/>
          <w:sz w:val="24"/>
          <w:szCs w:val="24"/>
        </w:rPr>
        <w:t>տրային անվանումներով մի</w:t>
      </w:r>
      <w:r w:rsidR="00C54D75">
        <w:rPr>
          <w:rFonts w:ascii="Sylfaen" w:hAnsi="Sylfaen"/>
          <w:sz w:val="24"/>
          <w:szCs w:val="24"/>
        </w:rPr>
        <w:t>և</w:t>
      </w:r>
      <w:r w:rsidRPr="00834D52">
        <w:rPr>
          <w:rFonts w:ascii="Sylfaen" w:hAnsi="Sylfaen"/>
          <w:sz w:val="24"/>
          <w:szCs w:val="24"/>
        </w:rPr>
        <w:t>նույն դեղապատրաստուկի գրանցումը տարբեր անդամ պետություններում թույլատրվում է հետ</w:t>
      </w:r>
      <w:r w:rsidR="00C54D75">
        <w:rPr>
          <w:rFonts w:ascii="Sylfaen" w:hAnsi="Sylfaen"/>
          <w:sz w:val="24"/>
          <w:szCs w:val="24"/>
        </w:rPr>
        <w:t>և</w:t>
      </w:r>
      <w:r w:rsidRPr="00834D52">
        <w:rPr>
          <w:rFonts w:ascii="Sylfaen" w:hAnsi="Sylfaen"/>
          <w:sz w:val="24"/>
          <w:szCs w:val="24"/>
        </w:rPr>
        <w:t>յալ դեպքերում՝</w:t>
      </w:r>
    </w:p>
    <w:p w14:paraId="25FA73A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առաջարկվող առ</w:t>
      </w:r>
      <w:r w:rsidR="00C54D75">
        <w:rPr>
          <w:rFonts w:ascii="Sylfaen" w:hAnsi="Sylfaen"/>
          <w:sz w:val="24"/>
          <w:szCs w:val="24"/>
        </w:rPr>
        <w:t>և</w:t>
      </w:r>
      <w:r w:rsidRPr="00834D52">
        <w:rPr>
          <w:rFonts w:ascii="Sylfaen" w:hAnsi="Sylfaen"/>
          <w:sz w:val="24"/>
          <w:szCs w:val="24"/>
        </w:rPr>
        <w:t xml:space="preserve">տրային անվանման օգտագործումը կարող է հակասել իրավունքի </w:t>
      </w:r>
      <w:r w:rsidR="00C54D75">
        <w:rPr>
          <w:rFonts w:ascii="Sylfaen" w:hAnsi="Sylfaen"/>
          <w:sz w:val="24"/>
          <w:szCs w:val="24"/>
        </w:rPr>
        <w:t>և</w:t>
      </w:r>
      <w:r w:rsidRPr="00834D52">
        <w:rPr>
          <w:rFonts w:ascii="Sylfaen" w:hAnsi="Sylfaen"/>
          <w:sz w:val="24"/>
          <w:szCs w:val="24"/>
        </w:rPr>
        <w:t xml:space="preserve"> բարոյականության նորմերին կամ այլ կերպ անտեսել ազգային մշակութային </w:t>
      </w:r>
      <w:r w:rsidR="00C54D75">
        <w:rPr>
          <w:rFonts w:ascii="Sylfaen" w:hAnsi="Sylfaen"/>
          <w:sz w:val="24"/>
          <w:szCs w:val="24"/>
        </w:rPr>
        <w:t>և</w:t>
      </w:r>
      <w:r w:rsidRPr="00834D52">
        <w:rPr>
          <w:rFonts w:ascii="Sylfaen" w:hAnsi="Sylfaen"/>
          <w:sz w:val="24"/>
          <w:szCs w:val="24"/>
        </w:rPr>
        <w:t xml:space="preserve"> (կամ) լեզվական առանձնահատկությունները.</w:t>
      </w:r>
    </w:p>
    <w:p w14:paraId="1432BBD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ապրանքային նշանի տեսքով առ</w:t>
      </w:r>
      <w:r w:rsidR="00C54D75">
        <w:rPr>
          <w:rFonts w:ascii="Sylfaen" w:hAnsi="Sylfaen"/>
          <w:sz w:val="24"/>
          <w:szCs w:val="24"/>
        </w:rPr>
        <w:t>և</w:t>
      </w:r>
      <w:r w:rsidRPr="00834D52">
        <w:rPr>
          <w:rFonts w:ascii="Sylfaen" w:hAnsi="Sylfaen"/>
          <w:sz w:val="24"/>
          <w:szCs w:val="24"/>
        </w:rPr>
        <w:t xml:space="preserve">տրային անվանման նկատմամբ մտավոր սեփականության իրավունքները պատկանում են դեղապատրաստուկի գրանցման հայտ ներկայացրած անձից (այսուհետ՝ հայտատու) կամ գրանցման հավաստագրի իրավատիրոջից տարբեր անձի, </w:t>
      </w:r>
      <w:r w:rsidR="00C54D75">
        <w:rPr>
          <w:rFonts w:ascii="Sylfaen" w:hAnsi="Sylfaen"/>
          <w:sz w:val="24"/>
          <w:szCs w:val="24"/>
        </w:rPr>
        <w:t>և</w:t>
      </w:r>
      <w:r w:rsidRPr="00834D52">
        <w:rPr>
          <w:rFonts w:ascii="Sylfaen" w:hAnsi="Sylfaen"/>
          <w:sz w:val="24"/>
          <w:szCs w:val="24"/>
        </w:rPr>
        <w:t xml:space="preserve"> հայտատուն կամ գրանցման հավաստագրի իրավատերը չի կարող ներկայացնել համապատասխան լիցենզային պայմանագիր՝ ապրանքային նշանի օգտագործման իրավունք տրամադրելու մասին.</w:t>
      </w:r>
    </w:p>
    <w:p w14:paraId="795DAEA0"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002056E6" w:rsidRPr="00F06D43">
        <w:rPr>
          <w:rFonts w:ascii="Sylfaen" w:hAnsi="Sylfaen"/>
          <w:sz w:val="24"/>
          <w:szCs w:val="24"/>
        </w:rPr>
        <w:tab/>
      </w:r>
      <w:r w:rsidRPr="00834D52">
        <w:rPr>
          <w:rFonts w:ascii="Sylfaen" w:hAnsi="Sylfaen"/>
          <w:sz w:val="24"/>
          <w:szCs w:val="24"/>
        </w:rPr>
        <w:t>մինչ</w:t>
      </w:r>
      <w:r w:rsidR="00C54D75">
        <w:rPr>
          <w:rFonts w:ascii="Sylfaen" w:hAnsi="Sylfaen"/>
          <w:sz w:val="24"/>
          <w:szCs w:val="24"/>
        </w:rPr>
        <w:t>և</w:t>
      </w:r>
      <w:r w:rsidRPr="00834D52">
        <w:rPr>
          <w:rFonts w:ascii="Sylfaen" w:hAnsi="Sylfaen"/>
          <w:sz w:val="24"/>
          <w:szCs w:val="24"/>
        </w:rPr>
        <w:t xml:space="preserve"> 2020 թվականի դեկտեմբերի 31-ը դեղապատրաստուկը, անդամ պետությունների օրենսդրությանը համապատասխան, գրանցված է եղել տարբեր առ</w:t>
      </w:r>
      <w:r w:rsidR="00C54D75">
        <w:rPr>
          <w:rFonts w:ascii="Sylfaen" w:hAnsi="Sylfaen"/>
          <w:sz w:val="24"/>
          <w:szCs w:val="24"/>
        </w:rPr>
        <w:t>և</w:t>
      </w:r>
      <w:r w:rsidRPr="00834D52">
        <w:rPr>
          <w:rFonts w:ascii="Sylfaen" w:hAnsi="Sylfaen"/>
          <w:sz w:val="24"/>
          <w:szCs w:val="24"/>
        </w:rPr>
        <w:t xml:space="preserve">տրային անվանումների ներքո: </w:t>
      </w:r>
    </w:p>
    <w:p w14:paraId="1A0129D0"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9.</w:t>
      </w:r>
      <w:r w:rsidRPr="00834D52">
        <w:rPr>
          <w:rFonts w:ascii="Sylfaen" w:hAnsi="Sylfaen"/>
          <w:sz w:val="24"/>
          <w:szCs w:val="24"/>
        </w:rPr>
        <w:tab/>
        <w:t>Դեղապատրաստուկի գրանցումը, գրանցման հաստատումը (վերագրանցումը), գրանցման դոսյեում փոփոխությունների կատարումը, ինչպես նա</w:t>
      </w:r>
      <w:r w:rsidR="00C54D75">
        <w:rPr>
          <w:rFonts w:ascii="Sylfaen" w:hAnsi="Sylfaen"/>
          <w:sz w:val="24"/>
          <w:szCs w:val="24"/>
        </w:rPr>
        <w:t>և</w:t>
      </w:r>
      <w:r w:rsidRPr="00834D52">
        <w:rPr>
          <w:rFonts w:ascii="Sylfaen" w:hAnsi="Sylfaen"/>
          <w:sz w:val="24"/>
          <w:szCs w:val="24"/>
        </w:rPr>
        <w:t xml:space="preserve"> գրանցման հետ կապված ընթացակարգերն իրականացվում են լիազորված մարմինների կողմից:</w:t>
      </w:r>
    </w:p>
    <w:p w14:paraId="39ADC371"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w:t>
      </w:r>
      <w:r w:rsidRPr="00834D52">
        <w:rPr>
          <w:rFonts w:ascii="Sylfaen" w:hAnsi="Sylfaen"/>
          <w:sz w:val="24"/>
          <w:szCs w:val="24"/>
        </w:rPr>
        <w:tab/>
        <w:t>Դեղապատրաստուկի փորձաքննությունն իրականացվում է անդամ պետության օրենսդրությանը համապատասխան սահմանված փորձագիտական կազմակերպության կողմից:</w:t>
      </w:r>
    </w:p>
    <w:p w14:paraId="5A2F8657"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w:t>
      </w:r>
      <w:r w:rsidRPr="00834D52">
        <w:rPr>
          <w:rFonts w:ascii="Sylfaen" w:hAnsi="Sylfaen"/>
          <w:sz w:val="24"/>
          <w:szCs w:val="24"/>
        </w:rPr>
        <w:tab/>
        <w:t xml:space="preserve">Լիազորված մարմինները </w:t>
      </w:r>
      <w:r w:rsidR="00C54D75">
        <w:rPr>
          <w:rFonts w:ascii="Sylfaen" w:hAnsi="Sylfaen"/>
          <w:sz w:val="24"/>
          <w:szCs w:val="24"/>
        </w:rPr>
        <w:t>և</w:t>
      </w:r>
      <w:r w:rsidRPr="00834D52">
        <w:rPr>
          <w:rFonts w:ascii="Sylfaen" w:hAnsi="Sylfaen"/>
          <w:sz w:val="24"/>
          <w:szCs w:val="24"/>
        </w:rPr>
        <w:t xml:space="preserve"> փորձագիտական կազմակերպությունները դեղապատրաստուկների գրանցման </w:t>
      </w:r>
      <w:r w:rsidR="00C54D75">
        <w:rPr>
          <w:rFonts w:ascii="Sylfaen" w:hAnsi="Sylfaen"/>
          <w:sz w:val="24"/>
          <w:szCs w:val="24"/>
        </w:rPr>
        <w:t>և</w:t>
      </w:r>
      <w:r w:rsidRPr="00834D52">
        <w:rPr>
          <w:rFonts w:ascii="Sylfaen" w:hAnsi="Sylfaen"/>
          <w:sz w:val="24"/>
          <w:szCs w:val="24"/>
        </w:rPr>
        <w:t xml:space="preserve"> փորձաքննության իրականացման </w:t>
      </w:r>
      <w:r w:rsidRPr="00834D52">
        <w:rPr>
          <w:rFonts w:ascii="Sylfaen" w:hAnsi="Sylfaen"/>
          <w:sz w:val="24"/>
          <w:szCs w:val="24"/>
        </w:rPr>
        <w:lastRenderedPageBreak/>
        <w:t xml:space="preserve">ընթացքում ապահովում են դեղապատրաստուկի գրանցման դոսյեում պարունակվող տեղեկատվության գաղտնիությունը՝ ներառյալ ակտիվ դեղագործական սուբստանցիայի մաստեր-ֆայլի փակ մասում պարունակվող տեղեկատվությունը: </w:t>
      </w:r>
    </w:p>
    <w:p w14:paraId="6C418B9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Եվրասիական տնտեսական հանձնաժողովը (այսուհետ՝ Հանձնաժողով) </w:t>
      </w:r>
      <w:r w:rsidR="00C54D75">
        <w:rPr>
          <w:rFonts w:ascii="Sylfaen" w:hAnsi="Sylfaen"/>
          <w:sz w:val="24"/>
          <w:szCs w:val="24"/>
        </w:rPr>
        <w:t>և</w:t>
      </w:r>
      <w:r w:rsidRPr="00834D52">
        <w:rPr>
          <w:rFonts w:ascii="Sylfaen" w:hAnsi="Sylfaen"/>
          <w:sz w:val="24"/>
          <w:szCs w:val="24"/>
        </w:rPr>
        <w:t xml:space="preserve"> Դեղամիջոցների հարցերով փորձագիտական կոմիտեն (այսուհետ՝ Փորձագիտական կոմիտե) ապահովում են իրենց գործունեության ընթացքում ստացված՝ դեղապատրաստուկի գրանցման դոսյեում պարունակվող տեղեկատվության գաղտնիությունը:</w:t>
      </w:r>
    </w:p>
    <w:p w14:paraId="29955E2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w:t>
      </w:r>
      <w:r w:rsidRPr="00834D52">
        <w:rPr>
          <w:rFonts w:ascii="Sylfaen" w:hAnsi="Sylfaen"/>
          <w:sz w:val="24"/>
          <w:szCs w:val="24"/>
        </w:rPr>
        <w:tab/>
        <w:t xml:space="preserve">Հայտատուն, անդամ պետության օրենսդրությանը համապատասխան, կրում է դեղապատրաստուկները գրանցելու, գրանցումը հաստատելու (վերագրանցելու), գրանցման դոսյեում փոփոխություններ կատարելու </w:t>
      </w:r>
      <w:r w:rsidR="00C54D75">
        <w:rPr>
          <w:rFonts w:ascii="Sylfaen" w:hAnsi="Sylfaen"/>
          <w:sz w:val="24"/>
          <w:szCs w:val="24"/>
        </w:rPr>
        <w:t>և</w:t>
      </w:r>
      <w:r w:rsidRPr="00834D52">
        <w:rPr>
          <w:rFonts w:ascii="Sylfaen" w:hAnsi="Sylfaen"/>
          <w:sz w:val="24"/>
          <w:szCs w:val="24"/>
        </w:rPr>
        <w:t xml:space="preserve"> փորձաքննության, գրանցման հետ կապված ընթացակարգերի իրականացման ծախսերը, ինչպես նա</w:t>
      </w:r>
      <w:r w:rsidR="00C54D75">
        <w:rPr>
          <w:rFonts w:ascii="Sylfaen" w:hAnsi="Sylfaen"/>
          <w:sz w:val="24"/>
          <w:szCs w:val="24"/>
        </w:rPr>
        <w:t>և</w:t>
      </w:r>
      <w:r w:rsidRPr="00834D52">
        <w:rPr>
          <w:rFonts w:ascii="Sylfaen" w:hAnsi="Sylfaen"/>
          <w:sz w:val="24"/>
          <w:szCs w:val="24"/>
        </w:rPr>
        <w:t xml:space="preserve"> պատշաճ դեղագործական գործունեության պահանջներին համապատասխանությունը որոշելու նպատակով նշված ընթացակարգերի իրականացման առնչությամբ նախաձեռնվող տեսչական ստուգումների անցկացման ծախսերը:</w:t>
      </w:r>
    </w:p>
    <w:p w14:paraId="624AA5E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w:t>
      </w:r>
      <w:r w:rsidRPr="00834D52">
        <w:rPr>
          <w:rFonts w:ascii="Sylfaen" w:hAnsi="Sylfaen"/>
          <w:sz w:val="24"/>
          <w:szCs w:val="24"/>
        </w:rPr>
        <w:tab/>
        <w:t>Սույն Կանոնների 12-րդ կետում նշված ծախսերը հայտատուին չեն վերադարձվում:</w:t>
      </w:r>
    </w:p>
    <w:p w14:paraId="64CBB302"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14.</w:t>
      </w:r>
      <w:r w:rsidRPr="00834D52">
        <w:rPr>
          <w:rFonts w:ascii="Sylfaen" w:hAnsi="Sylfaen"/>
          <w:sz w:val="24"/>
          <w:szCs w:val="24"/>
        </w:rPr>
        <w:tab/>
      </w:r>
      <w:r w:rsidR="00E87C1C">
        <w:rPr>
          <w:rFonts w:ascii="Sylfaen" w:hAnsi="Sylfaen"/>
          <w:color w:val="000000"/>
          <w:sz w:val="24"/>
          <w:szCs w:val="24"/>
        </w:rPr>
        <w:t>Ռեֆերենտ</w:t>
      </w:r>
      <w:r w:rsidRPr="00834D52">
        <w:rPr>
          <w:rFonts w:ascii="Sylfaen" w:hAnsi="Sylfaen"/>
          <w:sz w:val="24"/>
          <w:szCs w:val="24"/>
        </w:rPr>
        <w:t xml:space="preserve"> պետության լիազորված մարմինը (փորձագիտական կազմակերպությունը) գրանցման հայտը ստանալիս, գրանցումը հաստատելիս (վերագրանցելիս), գրանցման դոսյեում փոփոխություններ կատարելիս </w:t>
      </w:r>
      <w:r w:rsidR="00C54D75">
        <w:rPr>
          <w:rFonts w:ascii="Sylfaen" w:hAnsi="Sylfaen"/>
          <w:sz w:val="24"/>
          <w:szCs w:val="24"/>
        </w:rPr>
        <w:t>և</w:t>
      </w:r>
      <w:r w:rsidRPr="00834D52">
        <w:rPr>
          <w:rFonts w:ascii="Sylfaen" w:hAnsi="Sylfaen"/>
          <w:sz w:val="24"/>
          <w:szCs w:val="24"/>
        </w:rPr>
        <w:t xml:space="preserve"> գրանցման հետ կապված ընթացակարգերն իրականացնելիս դրան տալիս է Միության ինտեգրված տեղեկատվական համակարգի (այսուհետ՝ ինտեգրված համակարգ) օգտագործմամբ ձ</w:t>
      </w:r>
      <w:r w:rsidR="00C54D75">
        <w:rPr>
          <w:rFonts w:ascii="Sylfaen" w:hAnsi="Sylfaen"/>
          <w:sz w:val="24"/>
          <w:szCs w:val="24"/>
        </w:rPr>
        <w:t>և</w:t>
      </w:r>
      <w:r w:rsidRPr="00834D52">
        <w:rPr>
          <w:rFonts w:ascii="Sylfaen" w:hAnsi="Sylfaen"/>
          <w:sz w:val="24"/>
          <w:szCs w:val="24"/>
        </w:rPr>
        <w:t xml:space="preserve">ավորվող եզակի համար </w:t>
      </w:r>
      <w:r w:rsidR="00C54D75">
        <w:rPr>
          <w:rFonts w:ascii="Sylfaen" w:hAnsi="Sylfaen"/>
          <w:sz w:val="24"/>
          <w:szCs w:val="24"/>
        </w:rPr>
        <w:t>և</w:t>
      </w:r>
      <w:r w:rsidRPr="00834D52">
        <w:rPr>
          <w:rFonts w:ascii="Sylfaen" w:hAnsi="Sylfaen"/>
          <w:sz w:val="24"/>
          <w:szCs w:val="24"/>
        </w:rPr>
        <w:t xml:space="preserve"> այն հայտնում է հայտատուին:</w:t>
      </w:r>
    </w:p>
    <w:p w14:paraId="759F4BF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w:t>
      </w:r>
      <w:r w:rsidRPr="00834D52">
        <w:rPr>
          <w:rFonts w:ascii="Sylfaen" w:hAnsi="Sylfaen"/>
          <w:sz w:val="24"/>
          <w:szCs w:val="24"/>
        </w:rPr>
        <w:tab/>
        <w:t xml:space="preserve">Անդամ պետության լիազորված մարմինը (փորձագիտական կազմակերպությունը) գրանցելու, գրանցումը հաստատելու (վերագրանցելու), </w:t>
      </w:r>
      <w:r w:rsidRPr="00834D52">
        <w:rPr>
          <w:rFonts w:ascii="Sylfaen" w:hAnsi="Sylfaen"/>
          <w:sz w:val="24"/>
          <w:szCs w:val="24"/>
        </w:rPr>
        <w:lastRenderedPageBreak/>
        <w:t>գրանցման դոսյեում փոփոխություններ կատարելու, ինչպես նա</w:t>
      </w:r>
      <w:r w:rsidR="00C54D75">
        <w:rPr>
          <w:rFonts w:ascii="Sylfaen" w:hAnsi="Sylfaen"/>
          <w:sz w:val="24"/>
          <w:szCs w:val="24"/>
        </w:rPr>
        <w:t>և</w:t>
      </w:r>
      <w:r w:rsidRPr="00834D52">
        <w:rPr>
          <w:rFonts w:ascii="Sylfaen" w:hAnsi="Sylfaen"/>
          <w:sz w:val="24"/>
          <w:szCs w:val="24"/>
        </w:rPr>
        <w:t xml:space="preserve"> գրանցման հետ կապված ընթացակարգեր իրականացնելու վերաբերյալ հայտի համարով ինտեգրված համակարգի օգտագործմամբ տեղեկատվություն է ներկայացնում այլ անդամ պետությունների լիազորված մարմիններին (փորձագիտական կազմակերպություններին), ինչպես նա</w:t>
      </w:r>
      <w:r w:rsidR="00C54D75">
        <w:rPr>
          <w:rFonts w:ascii="Sylfaen" w:hAnsi="Sylfaen"/>
          <w:sz w:val="24"/>
          <w:szCs w:val="24"/>
        </w:rPr>
        <w:t>և</w:t>
      </w:r>
      <w:r w:rsidRPr="00834D52">
        <w:rPr>
          <w:rFonts w:ascii="Sylfaen" w:hAnsi="Sylfaen"/>
          <w:sz w:val="24"/>
          <w:szCs w:val="24"/>
        </w:rPr>
        <w:t xml:space="preserve"> Հանձնաժողովին՝ Գրանցված դեղամիջոցների միասնական ռեեստրի (այսուհետ՝ միասնական ռեեստր) ձ</w:t>
      </w:r>
      <w:r w:rsidR="00C54D75">
        <w:rPr>
          <w:rFonts w:ascii="Sylfaen" w:hAnsi="Sylfaen"/>
          <w:sz w:val="24"/>
          <w:szCs w:val="24"/>
        </w:rPr>
        <w:t>և</w:t>
      </w:r>
      <w:r w:rsidRPr="00834D52">
        <w:rPr>
          <w:rFonts w:ascii="Sylfaen" w:hAnsi="Sylfaen"/>
          <w:sz w:val="24"/>
          <w:szCs w:val="24"/>
        </w:rPr>
        <w:t xml:space="preserve">ավորման </w:t>
      </w:r>
      <w:r w:rsidR="00C54D75">
        <w:rPr>
          <w:rFonts w:ascii="Sylfaen" w:hAnsi="Sylfaen"/>
          <w:sz w:val="24"/>
          <w:szCs w:val="24"/>
        </w:rPr>
        <w:t>և</w:t>
      </w:r>
      <w:r w:rsidRPr="00834D52">
        <w:rPr>
          <w:rFonts w:ascii="Sylfaen" w:hAnsi="Sylfaen"/>
          <w:sz w:val="24"/>
          <w:szCs w:val="24"/>
        </w:rPr>
        <w:t xml:space="preserve"> վարման կարգին համապատասխան:</w:t>
      </w:r>
    </w:p>
    <w:p w14:paraId="7B32F0D7" w14:textId="77777777" w:rsidR="006F76EB" w:rsidRPr="00834D52" w:rsidRDefault="00771BAF" w:rsidP="006F76EB">
      <w:pPr>
        <w:tabs>
          <w:tab w:val="left" w:pos="1134"/>
        </w:tabs>
        <w:spacing w:after="160" w:line="360" w:lineRule="auto"/>
        <w:ind w:right="-8" w:firstLine="567"/>
        <w:jc w:val="both"/>
        <w:rPr>
          <w:rFonts w:ascii="Sylfaen" w:eastAsia="Times New Roman" w:hAnsi="Sylfaen" w:cs="Times New Roman"/>
          <w:sz w:val="24"/>
          <w:szCs w:val="24"/>
        </w:rPr>
      </w:pPr>
      <w:r>
        <w:rPr>
          <w:rFonts w:ascii="Sylfaen" w:hAnsi="Sylfaen"/>
          <w:sz w:val="24"/>
          <w:szCs w:val="24"/>
        </w:rPr>
        <w:t>Ռ</w:t>
      </w:r>
      <w:r>
        <w:rPr>
          <w:rFonts w:ascii="Sylfaen" w:hAnsi="Sylfaen"/>
          <w:color w:val="000000"/>
          <w:sz w:val="24"/>
          <w:szCs w:val="24"/>
        </w:rPr>
        <w:t>եֆերենտ</w:t>
      </w:r>
      <w:r w:rsidRPr="00834D52">
        <w:rPr>
          <w:rFonts w:ascii="Sylfaen" w:hAnsi="Sylfaen"/>
          <w:sz w:val="24"/>
          <w:szCs w:val="24"/>
        </w:rPr>
        <w:t xml:space="preserve"> </w:t>
      </w:r>
      <w:r w:rsidR="006F76EB" w:rsidRPr="00834D52">
        <w:rPr>
          <w:rFonts w:ascii="Sylfaen" w:hAnsi="Sylfaen"/>
          <w:sz w:val="24"/>
          <w:szCs w:val="24"/>
        </w:rPr>
        <w:t xml:space="preserve">պետության լիազորված մարմինը (փորձագիտական կազմակերպությունը) ոչ ուշ, քան հայտատուի կողմից գրանցման դոսյեն էլեկտրոնային տեսքով ներկայացնելու օրվանից 5 աշխատանքային օրվա ընթացքում, ճանաչման պետությունների լիազորված մարմինների հարցման հիման վրա, ապահովում է գրանցման դոսյեի տեղեկությունների հասանելիությունը՝ ինտեգրված համակարգի միջոցների օգտագործման միջոցով: </w:t>
      </w:r>
    </w:p>
    <w:p w14:paraId="6C4E5054" w14:textId="77777777" w:rsidR="006F76EB" w:rsidRPr="00834D52" w:rsidRDefault="006F76EB" w:rsidP="00642D7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16.</w:t>
      </w:r>
      <w:r w:rsidRPr="00834D52">
        <w:rPr>
          <w:rFonts w:ascii="Sylfaen" w:hAnsi="Sylfaen"/>
          <w:sz w:val="24"/>
          <w:szCs w:val="24"/>
        </w:rPr>
        <w:tab/>
        <w:t>Դեղապատրաստուկի գրանցման արդյունքների հիման վրա՝ դեղապատրաստուկը գրանցած յուրաքանչյուր անդամ պետության լիազորված մարմինը տրամադրում է դեղապատրաստուկի գրանցման հավաստագիր, որով հաստատվում է դրա գրանցման փաստը:</w:t>
      </w:r>
    </w:p>
    <w:p w14:paraId="136C99D5" w14:textId="77777777" w:rsidR="006F76EB" w:rsidRPr="00834D52" w:rsidRDefault="006F76EB" w:rsidP="00642D79">
      <w:pPr>
        <w:tabs>
          <w:tab w:val="left" w:pos="1134"/>
        </w:tabs>
        <w:spacing w:after="160" w:line="384"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17.</w:t>
      </w:r>
      <w:r w:rsidRPr="00834D52">
        <w:rPr>
          <w:rFonts w:ascii="Sylfaen" w:hAnsi="Sylfaen"/>
          <w:spacing w:val="-4"/>
          <w:sz w:val="24"/>
          <w:szCs w:val="24"/>
        </w:rPr>
        <w:tab/>
        <w:t>Դեղապատրաստուկի գրանցման հավաստագիր տրվում է դեղապատրաստուկը գրանցած լիազորված մարմնի կողմից միասնական ձ</w:t>
      </w:r>
      <w:r w:rsidR="00C54D75">
        <w:rPr>
          <w:rFonts w:ascii="Sylfaen" w:hAnsi="Sylfaen"/>
          <w:spacing w:val="-4"/>
          <w:sz w:val="24"/>
          <w:szCs w:val="24"/>
        </w:rPr>
        <w:t>և</w:t>
      </w:r>
      <w:r w:rsidRPr="00834D52">
        <w:rPr>
          <w:rFonts w:ascii="Sylfaen" w:hAnsi="Sylfaen"/>
          <w:spacing w:val="-4"/>
          <w:sz w:val="24"/>
          <w:szCs w:val="24"/>
        </w:rPr>
        <w:t xml:space="preserve">ով </w:t>
      </w:r>
      <w:r w:rsidR="00C54D75">
        <w:rPr>
          <w:rFonts w:ascii="Sylfaen" w:hAnsi="Sylfaen"/>
          <w:spacing w:val="-4"/>
          <w:sz w:val="24"/>
          <w:szCs w:val="24"/>
        </w:rPr>
        <w:t>և</w:t>
      </w:r>
      <w:r w:rsidRPr="00834D52">
        <w:rPr>
          <w:rFonts w:ascii="Sylfaen" w:hAnsi="Sylfaen"/>
          <w:spacing w:val="-4"/>
          <w:sz w:val="24"/>
          <w:szCs w:val="24"/>
        </w:rPr>
        <w:t xml:space="preserve"> բժշկական կիրառման դեղապատրաստուկի գրանցման հավաստագիրը լրացնելու կանոններին համապաստասխան՝ համաձայն սույն Կանոնների թիվ 17 հավելվածի:</w:t>
      </w:r>
    </w:p>
    <w:p w14:paraId="485648D6" w14:textId="77777777" w:rsidR="006F76EB" w:rsidRPr="00834D52" w:rsidRDefault="006F76EB" w:rsidP="00642D7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հավաստագրի կորստի կամ վնասվելու դեպքում գրանցման հավաստագրի իրավատիրոջ՝ դեղապատրաստուկի գրանցման հավաստագրի կրկնօրինակ տրամադրելու վերաբերյալ դիմումի հիման վրա այդ գրանցման հավաստագիրը տրամադրած լիազորված մարմինը տրամադրում է սույն Կանոնների թիվ 17 հավելվածի համաձայն լրացման կանոններին համապատասխան ձ</w:t>
      </w:r>
      <w:r w:rsidR="00C54D75">
        <w:rPr>
          <w:rFonts w:ascii="Sylfaen" w:hAnsi="Sylfaen"/>
          <w:sz w:val="24"/>
          <w:szCs w:val="24"/>
        </w:rPr>
        <w:t>և</w:t>
      </w:r>
      <w:r w:rsidRPr="00834D52">
        <w:rPr>
          <w:rFonts w:ascii="Sylfaen" w:hAnsi="Sylfaen"/>
          <w:sz w:val="24"/>
          <w:szCs w:val="24"/>
        </w:rPr>
        <w:t xml:space="preserve">ակերպված դրա կրկնօրինակը: </w:t>
      </w:r>
    </w:p>
    <w:p w14:paraId="3135060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18.</w:t>
      </w:r>
      <w:r w:rsidRPr="00834D52">
        <w:rPr>
          <w:rFonts w:ascii="Sylfaen" w:hAnsi="Sylfaen"/>
          <w:sz w:val="24"/>
          <w:szCs w:val="24"/>
        </w:rPr>
        <w:tab/>
        <w:t xml:space="preserve">Առաջին անգամ գրանցվող դեղապատրաստուկի գրանցման հավաստագրի գործողության ժամկետը </w:t>
      </w:r>
      <w:r w:rsidR="00434A26">
        <w:rPr>
          <w:rFonts w:ascii="Sylfaen" w:hAnsi="Sylfaen"/>
          <w:color w:val="000000"/>
          <w:sz w:val="24"/>
          <w:szCs w:val="24"/>
        </w:rPr>
        <w:t>ռեֆերենտ</w:t>
      </w:r>
      <w:r w:rsidRPr="00834D52">
        <w:rPr>
          <w:rFonts w:ascii="Sylfaen" w:hAnsi="Sylfaen"/>
          <w:sz w:val="24"/>
          <w:szCs w:val="24"/>
        </w:rPr>
        <w:t xml:space="preserve"> պետությունում կազմում է 5</w:t>
      </w:r>
      <w:r w:rsidR="00C27DC3" w:rsidRPr="00C27DC3">
        <w:rPr>
          <w:rFonts w:ascii="Sylfaen" w:hAnsi="Sylfaen"/>
          <w:sz w:val="24"/>
          <w:szCs w:val="24"/>
        </w:rPr>
        <w:t> </w:t>
      </w:r>
      <w:r w:rsidRPr="00834D52">
        <w:rPr>
          <w:rFonts w:ascii="Sylfaen" w:hAnsi="Sylfaen"/>
          <w:sz w:val="24"/>
          <w:szCs w:val="24"/>
        </w:rPr>
        <w:t>տարի: Նշված ժամկետը լրանալուց հետո տրվում է դեղապատրաստուկի անժամկետ գրանցման հավաստագիր՝ դրա գրանցումը հաստատելու (վերագրանցելու) պայմանով: Սույն Կանոնների VII բաժնում նշված դեպքերում, ինչպես նա</w:t>
      </w:r>
      <w:r w:rsidR="00C54D75">
        <w:rPr>
          <w:rFonts w:ascii="Sylfaen" w:hAnsi="Sylfaen"/>
          <w:sz w:val="24"/>
          <w:szCs w:val="24"/>
        </w:rPr>
        <w:t>և</w:t>
      </w:r>
      <w:r w:rsidRPr="00834D52">
        <w:rPr>
          <w:rFonts w:ascii="Sylfaen" w:hAnsi="Sylfaen"/>
          <w:sz w:val="24"/>
          <w:szCs w:val="24"/>
        </w:rPr>
        <w:t xml:space="preserve"> դեղազգոնության հարցերի հետ կապված դեպքերում լիազորված մարմինը կարող է գրանցումը հաստատելու (վերագրանցելու) արդյունքների հիման վրա կրկին տրամադրել գրանցման հավաստագիր՝ 5 տարի գործողության ժամկետով:</w:t>
      </w:r>
    </w:p>
    <w:p w14:paraId="5A34C43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Մինչ</w:t>
      </w:r>
      <w:r w:rsidR="00C54D75">
        <w:rPr>
          <w:rFonts w:ascii="Sylfaen" w:hAnsi="Sylfaen"/>
          <w:sz w:val="24"/>
          <w:szCs w:val="24"/>
        </w:rPr>
        <w:t>և</w:t>
      </w:r>
      <w:r w:rsidRPr="00834D52">
        <w:rPr>
          <w:rFonts w:ascii="Sylfaen" w:hAnsi="Sylfaen"/>
          <w:sz w:val="24"/>
          <w:szCs w:val="24"/>
        </w:rPr>
        <w:t xml:space="preserve"> 2020 թվականի դեկտեմբերի 31-ը անդամ պետությունների օրենսդրությանը համապատասխան գրանցված </w:t>
      </w:r>
      <w:r w:rsidR="00C54D75">
        <w:rPr>
          <w:rFonts w:ascii="Sylfaen" w:hAnsi="Sylfaen"/>
          <w:sz w:val="24"/>
          <w:szCs w:val="24"/>
        </w:rPr>
        <w:t>և</w:t>
      </w:r>
      <w:r w:rsidRPr="00834D52">
        <w:rPr>
          <w:rFonts w:ascii="Sylfaen" w:hAnsi="Sylfaen"/>
          <w:sz w:val="24"/>
          <w:szCs w:val="24"/>
        </w:rPr>
        <w:t xml:space="preserve"> առնվազն 3 անդամ պետությունների շուկաներում 5 տարի </w:t>
      </w:r>
      <w:r w:rsidR="00C54D75">
        <w:rPr>
          <w:rFonts w:ascii="Sylfaen" w:hAnsi="Sylfaen"/>
          <w:sz w:val="24"/>
          <w:szCs w:val="24"/>
        </w:rPr>
        <w:t>և</w:t>
      </w:r>
      <w:r w:rsidRPr="00834D52">
        <w:rPr>
          <w:rFonts w:ascii="Sylfaen" w:hAnsi="Sylfaen"/>
          <w:sz w:val="24"/>
          <w:szCs w:val="24"/>
        </w:rPr>
        <w:t xml:space="preserve"> ավելի շրջանառվող դեղապատրաստուկի գրանցման հավաստագիրը տրվում է անսահմանափակ ժամկետով՝ Միության պահանջներին համապատասխանեցման ընթացակարգի շրջանակներում՝ սույն Կանոնների XIII բաժնի համաձայն:</w:t>
      </w:r>
    </w:p>
    <w:p w14:paraId="35580FA7" w14:textId="77777777" w:rsidR="006F76EB" w:rsidRPr="00834D52" w:rsidRDefault="006F76EB" w:rsidP="00642D79">
      <w:pPr>
        <w:tabs>
          <w:tab w:val="left" w:pos="1134"/>
        </w:tabs>
        <w:spacing w:after="160" w:line="240" w:lineRule="auto"/>
        <w:ind w:right="-6" w:firstLine="567"/>
        <w:rPr>
          <w:rFonts w:ascii="Sylfaen" w:hAnsi="Sylfaen"/>
          <w:sz w:val="24"/>
          <w:szCs w:val="24"/>
        </w:rPr>
      </w:pPr>
    </w:p>
    <w:p w14:paraId="0E5D50D0"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II. Սահմանումները</w:t>
      </w:r>
    </w:p>
    <w:p w14:paraId="2CF1F88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19.</w:t>
      </w:r>
      <w:r w:rsidRPr="00834D52">
        <w:rPr>
          <w:rFonts w:ascii="Sylfaen" w:hAnsi="Sylfaen"/>
          <w:sz w:val="24"/>
          <w:szCs w:val="24"/>
        </w:rPr>
        <w:tab/>
        <w:t>Սույն Կանոնների նպատակներով գործածվում են հասկացություններ, որոնք ունեն հետ</w:t>
      </w:r>
      <w:r w:rsidR="00C54D75">
        <w:rPr>
          <w:rFonts w:ascii="Sylfaen" w:hAnsi="Sylfaen"/>
          <w:sz w:val="24"/>
          <w:szCs w:val="24"/>
        </w:rPr>
        <w:t>և</w:t>
      </w:r>
      <w:r w:rsidRPr="00834D52">
        <w:rPr>
          <w:rFonts w:ascii="Sylfaen" w:hAnsi="Sylfaen"/>
          <w:sz w:val="24"/>
          <w:szCs w:val="24"/>
        </w:rPr>
        <w:t>յալ իմաստը՝</w:t>
      </w:r>
    </w:p>
    <w:p w14:paraId="59D933E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642D79">
        <w:rPr>
          <w:rFonts w:ascii="Sylfaen" w:hAnsi="Sylfaen"/>
          <w:sz w:val="24"/>
          <w:szCs w:val="24"/>
        </w:rPr>
        <w:t>ալերգեն՝</w:t>
      </w:r>
      <w:r w:rsidRPr="00834D52">
        <w:rPr>
          <w:rFonts w:ascii="Sylfaen" w:hAnsi="Sylfaen"/>
          <w:sz w:val="24"/>
          <w:szCs w:val="24"/>
        </w:rPr>
        <w:t xml:space="preserve"> ցանկացած դեղապատրաստուկ, որը նախատեսված է ալերգիա առաջացնող նյութի նկատմամբ իմունաբանական ռեակցիայի՝ ձեռքբերովի սպեցիֆիկ փոփոխություն հայտնաբերելու կամ առաջացնելու համար.</w:t>
      </w:r>
    </w:p>
    <w:p w14:paraId="7CA825D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642D79">
        <w:rPr>
          <w:rFonts w:ascii="Sylfaen" w:hAnsi="Sylfaen"/>
          <w:sz w:val="24"/>
          <w:szCs w:val="24"/>
        </w:rPr>
        <w:t>դեղապատրաստուկի անվտանգություն (</w:t>
      </w:r>
      <w:r w:rsidR="00E90FAF" w:rsidRPr="00642D79">
        <w:rPr>
          <w:rFonts w:ascii="Sylfaen" w:hAnsi="Sylfaen"/>
          <w:sz w:val="24"/>
          <w:szCs w:val="24"/>
        </w:rPr>
        <w:t>«</w:t>
      </w:r>
      <w:r w:rsidRPr="00642D79">
        <w:rPr>
          <w:rFonts w:ascii="Sylfaen" w:hAnsi="Sylfaen"/>
          <w:sz w:val="24"/>
          <w:szCs w:val="24"/>
        </w:rPr>
        <w:t>օգուտ-ռիսկ հարաբերակցություն</w:t>
      </w:r>
      <w:r w:rsidR="00E90FAF" w:rsidRPr="00642D79">
        <w:rPr>
          <w:rFonts w:ascii="Sylfaen" w:hAnsi="Sylfaen"/>
          <w:sz w:val="24"/>
          <w:szCs w:val="24"/>
        </w:rPr>
        <w:t>»</w:t>
      </w:r>
      <w:r w:rsidRPr="00642D79">
        <w:rPr>
          <w:rFonts w:ascii="Sylfaen" w:hAnsi="Sylfaen"/>
          <w:sz w:val="24"/>
          <w:szCs w:val="24"/>
        </w:rPr>
        <w:t xml:space="preserve">)՝ </w:t>
      </w:r>
      <w:r w:rsidRPr="00834D52">
        <w:rPr>
          <w:rFonts w:ascii="Sylfaen" w:hAnsi="Sylfaen"/>
          <w:sz w:val="24"/>
          <w:szCs w:val="24"/>
        </w:rPr>
        <w:t>դեղապատրաստուկի դրական թերապ</w:t>
      </w:r>
      <w:r w:rsidR="00C54D75">
        <w:rPr>
          <w:rFonts w:ascii="Sylfaen" w:hAnsi="Sylfaen"/>
          <w:sz w:val="24"/>
          <w:szCs w:val="24"/>
        </w:rPr>
        <w:t>և</w:t>
      </w:r>
      <w:r w:rsidRPr="00834D52">
        <w:rPr>
          <w:rFonts w:ascii="Sylfaen" w:hAnsi="Sylfaen"/>
          <w:sz w:val="24"/>
          <w:szCs w:val="24"/>
        </w:rPr>
        <w:t>տիկ էֆեկտների գնահատում դրա կիրառման հետ կապված ռիսկերի համեմատությամբ (ռիսկի հասկացությունն իր մեջ ներառում է դեղապատրաստուկի որակի, անվտանգության կամ արդյունավետության հետ կապված ցանկացած ռիսկ՝ պացիենտի կամ բնակչության առողջության համար).</w:t>
      </w:r>
    </w:p>
    <w:p w14:paraId="59C0808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lastRenderedPageBreak/>
        <w:t>կենսահամանման դեղապատրաստուկ (կենսանմանակ, կենսանման դեղապատրաստուկ, բիոսիմիլար)՝</w:t>
      </w:r>
      <w:r w:rsidRPr="00834D52">
        <w:rPr>
          <w:rFonts w:ascii="Sylfaen" w:hAnsi="Sylfaen"/>
          <w:sz w:val="24"/>
          <w:szCs w:val="24"/>
        </w:rPr>
        <w:t xml:space="preserve"> կենսաբանական դեղապատրաստուկ, որը պարունակում է գրանցված կենսաբանական օրիգինալ (</w:t>
      </w:r>
      <w:r w:rsidR="009F799D">
        <w:rPr>
          <w:rFonts w:ascii="Sylfaen" w:hAnsi="Sylfaen"/>
          <w:color w:val="000000"/>
          <w:sz w:val="24"/>
          <w:szCs w:val="24"/>
        </w:rPr>
        <w:t>ռեֆերենտ</w:t>
      </w:r>
      <w:r w:rsidRPr="00834D52">
        <w:rPr>
          <w:rFonts w:ascii="Sylfaen" w:hAnsi="Sylfaen"/>
          <w:sz w:val="24"/>
          <w:szCs w:val="24"/>
        </w:rPr>
        <w:t xml:space="preserve">) պատրաստուկի ազդող նյութի տարբերակ, </w:t>
      </w:r>
      <w:r w:rsidR="00C54D75">
        <w:rPr>
          <w:rFonts w:ascii="Sylfaen" w:hAnsi="Sylfaen"/>
          <w:sz w:val="24"/>
          <w:szCs w:val="24"/>
        </w:rPr>
        <w:t>և</w:t>
      </w:r>
      <w:r w:rsidRPr="00834D52">
        <w:rPr>
          <w:rFonts w:ascii="Sylfaen" w:hAnsi="Sylfaen"/>
          <w:sz w:val="24"/>
          <w:szCs w:val="24"/>
        </w:rPr>
        <w:t xml:space="preserve"> որի համար </w:t>
      </w:r>
      <w:r w:rsidR="00015E3D">
        <w:rPr>
          <w:rFonts w:ascii="Sylfaen" w:hAnsi="Sylfaen"/>
          <w:color w:val="000000"/>
          <w:sz w:val="24"/>
          <w:szCs w:val="24"/>
        </w:rPr>
        <w:t>ռեֆերենտ</w:t>
      </w:r>
      <w:r w:rsidRPr="00834D52">
        <w:rPr>
          <w:rFonts w:ascii="Sylfaen" w:hAnsi="Sylfaen"/>
          <w:sz w:val="24"/>
          <w:szCs w:val="24"/>
        </w:rPr>
        <w:t xml:space="preserve"> պատրաստուկով, համեմատական հետազոտությունների հիման վրա, ցույց է տրված նմանությունը (միանմանությունը)՝ ըստ որակի, կենսաբանական ակտիվության, արդյունավետության </w:t>
      </w:r>
      <w:r w:rsidR="00C54D75">
        <w:rPr>
          <w:rFonts w:ascii="Sylfaen" w:hAnsi="Sylfaen"/>
          <w:sz w:val="24"/>
          <w:szCs w:val="24"/>
        </w:rPr>
        <w:t>և</w:t>
      </w:r>
      <w:r w:rsidRPr="00834D52">
        <w:rPr>
          <w:rFonts w:ascii="Sylfaen" w:hAnsi="Sylfaen"/>
          <w:sz w:val="24"/>
          <w:szCs w:val="24"/>
        </w:rPr>
        <w:t xml:space="preserve"> անվտանգության ցուցանիշների.</w:t>
      </w:r>
    </w:p>
    <w:p w14:paraId="491053C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t>կենսաբանական մատչելիություն (կենսամատչելիություն)՝</w:t>
      </w:r>
      <w:r w:rsidRPr="00834D52">
        <w:rPr>
          <w:rFonts w:ascii="Sylfaen" w:hAnsi="Sylfaen"/>
          <w:sz w:val="24"/>
          <w:szCs w:val="24"/>
        </w:rPr>
        <w:t xml:space="preserve"> արագություն </w:t>
      </w:r>
      <w:r w:rsidR="00C54D75">
        <w:rPr>
          <w:rFonts w:ascii="Sylfaen" w:hAnsi="Sylfaen"/>
          <w:sz w:val="24"/>
          <w:szCs w:val="24"/>
        </w:rPr>
        <w:t>և</w:t>
      </w:r>
      <w:r w:rsidRPr="00834D52">
        <w:rPr>
          <w:rFonts w:ascii="Sylfaen" w:hAnsi="Sylfaen"/>
          <w:sz w:val="24"/>
          <w:szCs w:val="24"/>
        </w:rPr>
        <w:t xml:space="preserve"> աստիճան, որոնցով դոզավորված դեղաձ</w:t>
      </w:r>
      <w:r w:rsidR="00C54D75">
        <w:rPr>
          <w:rFonts w:ascii="Sylfaen" w:hAnsi="Sylfaen"/>
          <w:sz w:val="24"/>
          <w:szCs w:val="24"/>
        </w:rPr>
        <w:t>և</w:t>
      </w:r>
      <w:r w:rsidRPr="00834D52">
        <w:rPr>
          <w:rFonts w:ascii="Sylfaen" w:hAnsi="Sylfaen"/>
          <w:sz w:val="24"/>
          <w:szCs w:val="24"/>
        </w:rPr>
        <w:t xml:space="preserve">ից ազդող նյութը կամ դրա մոլեկուլի ակտիվ մասը ներծծվում է </w:t>
      </w:r>
      <w:r w:rsidR="00C54D75">
        <w:rPr>
          <w:rFonts w:ascii="Sylfaen" w:hAnsi="Sylfaen"/>
          <w:sz w:val="24"/>
          <w:szCs w:val="24"/>
        </w:rPr>
        <w:t>և</w:t>
      </w:r>
      <w:r w:rsidRPr="00834D52">
        <w:rPr>
          <w:rFonts w:ascii="Sylfaen" w:hAnsi="Sylfaen"/>
          <w:sz w:val="24"/>
          <w:szCs w:val="24"/>
        </w:rPr>
        <w:t xml:space="preserve"> դառնում յուրացվելի իր ազդեցության վայրում.</w:t>
      </w:r>
    </w:p>
    <w:p w14:paraId="126BAA4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t>կենսաբանական համարժեքություն (կենսահամարժեքություն)՝</w:t>
      </w:r>
      <w:r w:rsidRPr="00834D52">
        <w:rPr>
          <w:rFonts w:ascii="Sylfaen" w:hAnsi="Sylfaen"/>
          <w:sz w:val="24"/>
          <w:szCs w:val="24"/>
        </w:rPr>
        <w:t xml:space="preserve"> այն արագության </w:t>
      </w:r>
      <w:r w:rsidR="00C54D75">
        <w:rPr>
          <w:rFonts w:ascii="Sylfaen" w:hAnsi="Sylfaen"/>
          <w:sz w:val="24"/>
          <w:szCs w:val="24"/>
        </w:rPr>
        <w:t>և</w:t>
      </w:r>
      <w:r w:rsidRPr="00834D52">
        <w:rPr>
          <w:rFonts w:ascii="Sylfaen" w:hAnsi="Sylfaen"/>
          <w:sz w:val="24"/>
          <w:szCs w:val="24"/>
        </w:rPr>
        <w:t xml:space="preserve"> աստիճանի նշանակալի տարբերությունների բացակայությունը, որոնցով դեղագործական համարժեքների կամ դեղագործական այլընտրանքների ազդող նյութը կամ ազդող նյութի մոլեկուլի ակտիվ մասը դառնում է յուրացվելի իր ազդեցության վայրում պատշաճ բովանդակային պլանով հետազոտությունում մի</w:t>
      </w:r>
      <w:r w:rsidR="00C54D75">
        <w:rPr>
          <w:rFonts w:ascii="Sylfaen" w:hAnsi="Sylfaen"/>
          <w:sz w:val="24"/>
          <w:szCs w:val="24"/>
        </w:rPr>
        <w:t>և</w:t>
      </w:r>
      <w:r w:rsidRPr="00834D52">
        <w:rPr>
          <w:rFonts w:ascii="Sylfaen" w:hAnsi="Sylfaen"/>
          <w:sz w:val="24"/>
          <w:szCs w:val="24"/>
        </w:rPr>
        <w:t>նույն մոլային դեղաչափ միանման պայմաններում ներմուծելու դեպքում.</w:t>
      </w:r>
    </w:p>
    <w:p w14:paraId="476F3DB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t>կենսաբանական դեղապատրաստուկ</w:t>
      </w:r>
      <w:r w:rsidRPr="00834D52">
        <w:rPr>
          <w:rFonts w:ascii="Sylfaen" w:hAnsi="Sylfaen"/>
          <w:sz w:val="24"/>
          <w:szCs w:val="24"/>
        </w:rPr>
        <w:t xml:space="preserve">՝ դեղապատրաստուկ, որի ազդող նյութն արտադրված կամ անջատված է կենսաբանական աղբյուրից </w:t>
      </w:r>
      <w:r w:rsidR="00C54D75">
        <w:rPr>
          <w:rFonts w:ascii="Sylfaen" w:hAnsi="Sylfaen"/>
          <w:sz w:val="24"/>
          <w:szCs w:val="24"/>
        </w:rPr>
        <w:t>և</w:t>
      </w:r>
      <w:r w:rsidRPr="00834D52">
        <w:rPr>
          <w:rFonts w:ascii="Sylfaen" w:hAnsi="Sylfaen"/>
          <w:sz w:val="24"/>
          <w:szCs w:val="24"/>
        </w:rPr>
        <w:t xml:space="preserve"> որի հատկությունների բնութագրման, </w:t>
      </w:r>
      <w:r w:rsidR="00C54D75">
        <w:rPr>
          <w:rFonts w:ascii="Sylfaen" w:hAnsi="Sylfaen"/>
          <w:sz w:val="24"/>
          <w:szCs w:val="24"/>
        </w:rPr>
        <w:t>և</w:t>
      </w:r>
      <w:r w:rsidRPr="00834D52">
        <w:rPr>
          <w:rFonts w:ascii="Sylfaen" w:hAnsi="Sylfaen"/>
          <w:sz w:val="24"/>
          <w:szCs w:val="24"/>
        </w:rPr>
        <w:t xml:space="preserve"> որակի հսկողություն համար անհրաժեշտ է վերլուծության կենսաբանական ու ֆիզիկաքիմիական մեթոդները համադրել արտադրական պրոցեսի </w:t>
      </w:r>
      <w:r w:rsidR="00C54D75">
        <w:rPr>
          <w:rFonts w:ascii="Sylfaen" w:hAnsi="Sylfaen"/>
          <w:sz w:val="24"/>
          <w:szCs w:val="24"/>
        </w:rPr>
        <w:t>և</w:t>
      </w:r>
      <w:r w:rsidRPr="00834D52">
        <w:rPr>
          <w:rFonts w:ascii="Sylfaen" w:hAnsi="Sylfaen"/>
          <w:sz w:val="24"/>
          <w:szCs w:val="24"/>
        </w:rPr>
        <w:t xml:space="preserve"> դրա հսկողության մեթոդների գնահատման հետ.</w:t>
      </w:r>
    </w:p>
    <w:p w14:paraId="119FF8AB"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AD2459">
        <w:rPr>
          <w:rFonts w:ascii="Sylfaen" w:hAnsi="Sylfaen"/>
          <w:sz w:val="24"/>
          <w:szCs w:val="24"/>
        </w:rPr>
        <w:t>վերարտադրված դեղապատրաստուկ (գեներիկ)՝</w:t>
      </w:r>
      <w:r w:rsidRPr="00834D52">
        <w:rPr>
          <w:rFonts w:ascii="Sylfaen" w:hAnsi="Sylfaen"/>
          <w:sz w:val="24"/>
          <w:szCs w:val="24"/>
        </w:rPr>
        <w:t xml:space="preserve"> դեղապատրաստուկ, որն ունի ազդող նյութերի նույնպիսի քանակական </w:t>
      </w:r>
      <w:r w:rsidR="00C54D75">
        <w:rPr>
          <w:rFonts w:ascii="Sylfaen" w:hAnsi="Sylfaen"/>
          <w:sz w:val="24"/>
          <w:szCs w:val="24"/>
        </w:rPr>
        <w:t>և</w:t>
      </w:r>
      <w:r w:rsidRPr="00834D52">
        <w:rPr>
          <w:rFonts w:ascii="Sylfaen" w:hAnsi="Sylfaen"/>
          <w:sz w:val="24"/>
          <w:szCs w:val="24"/>
        </w:rPr>
        <w:t xml:space="preserve"> որակական բաղադրություն, </w:t>
      </w:r>
      <w:r w:rsidR="00C54D75">
        <w:rPr>
          <w:rFonts w:ascii="Sylfaen" w:hAnsi="Sylfaen"/>
          <w:sz w:val="24"/>
          <w:szCs w:val="24"/>
        </w:rPr>
        <w:t>և</w:t>
      </w:r>
      <w:r w:rsidRPr="00834D52">
        <w:rPr>
          <w:rFonts w:ascii="Sylfaen" w:hAnsi="Sylfaen"/>
          <w:sz w:val="24"/>
          <w:szCs w:val="24"/>
        </w:rPr>
        <w:t xml:space="preserve"> նույն դեղաձ</w:t>
      </w:r>
      <w:r w:rsidR="00C54D75">
        <w:rPr>
          <w:rFonts w:ascii="Sylfaen" w:hAnsi="Sylfaen"/>
          <w:sz w:val="24"/>
          <w:szCs w:val="24"/>
        </w:rPr>
        <w:t>և</w:t>
      </w:r>
      <w:r w:rsidRPr="00834D52">
        <w:rPr>
          <w:rFonts w:ascii="Sylfaen" w:hAnsi="Sylfaen"/>
          <w:sz w:val="24"/>
          <w:szCs w:val="24"/>
        </w:rPr>
        <w:t xml:space="preserve">ը, ինչպիսին ունի օրիգինալ դեղապատրաստուկը, </w:t>
      </w:r>
      <w:r w:rsidR="00C54D75">
        <w:rPr>
          <w:rFonts w:ascii="Sylfaen" w:hAnsi="Sylfaen"/>
          <w:sz w:val="24"/>
          <w:szCs w:val="24"/>
        </w:rPr>
        <w:t>և</w:t>
      </w:r>
      <w:r w:rsidRPr="00834D52">
        <w:rPr>
          <w:rFonts w:ascii="Sylfaen" w:hAnsi="Sylfaen"/>
          <w:sz w:val="24"/>
          <w:szCs w:val="24"/>
        </w:rPr>
        <w:t xml:space="preserve"> որի կենսահամարժեքությունն օրիգինալ դեղապատրաստուկին հաստատված է կենսամատչելիության համապատասխան հետազոտություններով: Ազդող նյութի տարբեր աղեր, եթերներ, իզոմերներ, իզոմերների խառնուրդներ, կոմպլեքսներ կամ ածանցյալներ համարվում են մի</w:t>
      </w:r>
      <w:r w:rsidR="00C54D75">
        <w:rPr>
          <w:rFonts w:ascii="Sylfaen" w:hAnsi="Sylfaen"/>
          <w:sz w:val="24"/>
          <w:szCs w:val="24"/>
        </w:rPr>
        <w:t>և</w:t>
      </w:r>
      <w:r w:rsidRPr="00834D52">
        <w:rPr>
          <w:rFonts w:ascii="Sylfaen" w:hAnsi="Sylfaen"/>
          <w:sz w:val="24"/>
          <w:szCs w:val="24"/>
        </w:rPr>
        <w:t xml:space="preserve">նույն ազդող նյութը, եթե դրանց </w:t>
      </w:r>
      <w:r w:rsidRPr="00834D52">
        <w:rPr>
          <w:rFonts w:ascii="Sylfaen" w:hAnsi="Sylfaen"/>
          <w:sz w:val="24"/>
          <w:szCs w:val="24"/>
        </w:rPr>
        <w:lastRenderedPageBreak/>
        <w:t xml:space="preserve">անվտանգությունը </w:t>
      </w:r>
      <w:r w:rsidR="00C54D75">
        <w:rPr>
          <w:rFonts w:ascii="Sylfaen" w:hAnsi="Sylfaen"/>
          <w:sz w:val="24"/>
          <w:szCs w:val="24"/>
        </w:rPr>
        <w:t>և</w:t>
      </w:r>
      <w:r w:rsidRPr="00834D52">
        <w:rPr>
          <w:rFonts w:ascii="Sylfaen" w:hAnsi="Sylfaen"/>
          <w:sz w:val="24"/>
          <w:szCs w:val="24"/>
        </w:rPr>
        <w:t xml:space="preserve"> արդյունավետությունը էականորեն չեն տարբերվում: Արագ ձերբազատմամբ ներքին ընդունման տարբեր դեղաձ</w:t>
      </w:r>
      <w:r w:rsidR="00C54D75">
        <w:rPr>
          <w:rFonts w:ascii="Sylfaen" w:hAnsi="Sylfaen"/>
          <w:sz w:val="24"/>
          <w:szCs w:val="24"/>
        </w:rPr>
        <w:t>և</w:t>
      </w:r>
      <w:r w:rsidRPr="00834D52">
        <w:rPr>
          <w:rFonts w:ascii="Sylfaen" w:hAnsi="Sylfaen"/>
          <w:sz w:val="24"/>
          <w:szCs w:val="24"/>
        </w:rPr>
        <w:t>եր կենսամատչելիության հետազոտությունների շրջանակներում համարվում են մի</w:t>
      </w:r>
      <w:r w:rsidR="00C54D75">
        <w:rPr>
          <w:rFonts w:ascii="Sylfaen" w:hAnsi="Sylfaen"/>
          <w:sz w:val="24"/>
          <w:szCs w:val="24"/>
        </w:rPr>
        <w:t>և</w:t>
      </w:r>
      <w:r w:rsidRPr="00834D52">
        <w:rPr>
          <w:rFonts w:ascii="Sylfaen" w:hAnsi="Sylfaen"/>
          <w:sz w:val="24"/>
          <w:szCs w:val="24"/>
        </w:rPr>
        <w:t>նույն դեղաձ</w:t>
      </w:r>
      <w:r w:rsidR="00C54D75">
        <w:rPr>
          <w:rFonts w:ascii="Sylfaen" w:hAnsi="Sylfaen"/>
          <w:sz w:val="24"/>
          <w:szCs w:val="24"/>
        </w:rPr>
        <w:t>և</w:t>
      </w:r>
      <w:r w:rsidRPr="00834D52">
        <w:rPr>
          <w:rFonts w:ascii="Sylfaen" w:hAnsi="Sylfaen"/>
          <w:sz w:val="24"/>
          <w:szCs w:val="24"/>
        </w:rPr>
        <w:t>ը.</w:t>
      </w:r>
    </w:p>
    <w:p w14:paraId="41136168"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AD2459">
        <w:rPr>
          <w:rFonts w:ascii="Sylfaen" w:hAnsi="Sylfaen"/>
          <w:sz w:val="24"/>
          <w:szCs w:val="24"/>
        </w:rPr>
        <w:t>ռադիոնուկլիդային գեներատոր՝</w:t>
      </w:r>
      <w:r w:rsidRPr="00834D52">
        <w:rPr>
          <w:rFonts w:ascii="Sylfaen" w:hAnsi="Sylfaen"/>
          <w:sz w:val="24"/>
          <w:szCs w:val="24"/>
        </w:rPr>
        <w:t xml:space="preserve"> ցանկացած համակարգ, որը պարունակում է կայուն առաջնային ռադիոնուկլիդ, որից առաջանում են էլյուցիայի կամ այլ եղանակով կորզվող </w:t>
      </w:r>
      <w:r w:rsidR="00C54D75">
        <w:rPr>
          <w:rFonts w:ascii="Sylfaen" w:hAnsi="Sylfaen"/>
          <w:sz w:val="24"/>
          <w:szCs w:val="24"/>
        </w:rPr>
        <w:t>և</w:t>
      </w:r>
      <w:r w:rsidRPr="00834D52">
        <w:rPr>
          <w:rFonts w:ascii="Sylfaen" w:hAnsi="Sylfaen"/>
          <w:sz w:val="24"/>
          <w:szCs w:val="24"/>
        </w:rPr>
        <w:t xml:space="preserve"> ռադիոդեղագործական դեղապատրաստուկում օգտագործվող երկրորդային ռադիոնուկլիդներ.</w:t>
      </w:r>
    </w:p>
    <w:p w14:paraId="1F8CAFD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t>հիբրիդային դեղապատրաստուկ՝</w:t>
      </w:r>
      <w:r w:rsidRPr="00834D52">
        <w:rPr>
          <w:rFonts w:ascii="Sylfaen" w:hAnsi="Sylfaen"/>
          <w:sz w:val="24"/>
          <w:szCs w:val="24"/>
        </w:rPr>
        <w:t xml:space="preserve"> դեղապատրաստուկ, որը չի</w:t>
      </w:r>
      <w:r w:rsidR="008640BA" w:rsidRPr="00375522">
        <w:rPr>
          <w:rFonts w:ascii="Sylfaen" w:hAnsi="Sylfaen"/>
          <w:sz w:val="24"/>
          <w:szCs w:val="24"/>
        </w:rPr>
        <w:t> </w:t>
      </w:r>
      <w:r w:rsidRPr="00834D52">
        <w:rPr>
          <w:rFonts w:ascii="Sylfaen" w:hAnsi="Sylfaen"/>
          <w:sz w:val="24"/>
          <w:szCs w:val="24"/>
        </w:rPr>
        <w:t>համապատասխանում վերարտադրված դեղապատրաստուկի սահմանմանը կենսամատչելիության հետազոտությունների միջոցով դրա կենսահամարժեքությունը հաստատելու անհնարինության դեպքում, ինչպես նա</w:t>
      </w:r>
      <w:r w:rsidR="00C54D75">
        <w:rPr>
          <w:rFonts w:ascii="Sylfaen" w:hAnsi="Sylfaen"/>
          <w:sz w:val="24"/>
          <w:szCs w:val="24"/>
        </w:rPr>
        <w:t>և</w:t>
      </w:r>
      <w:r w:rsidRPr="00834D52">
        <w:rPr>
          <w:rFonts w:ascii="Sylfaen" w:hAnsi="Sylfaen"/>
          <w:sz w:val="24"/>
          <w:szCs w:val="24"/>
        </w:rPr>
        <w:t xml:space="preserve"> այն դեպքում, երբ տվյալ պատրաստուկում օրիգինալ պատրաստուկի համեմատ տեղի են ունեցել ազդող նյութի (նյութերի), կիրառման ցուցումների, դեղաչափի, դեղաձ</w:t>
      </w:r>
      <w:r w:rsidR="00C54D75">
        <w:rPr>
          <w:rFonts w:ascii="Sylfaen" w:hAnsi="Sylfaen"/>
          <w:sz w:val="24"/>
          <w:szCs w:val="24"/>
        </w:rPr>
        <w:t>և</w:t>
      </w:r>
      <w:r w:rsidRPr="00834D52">
        <w:rPr>
          <w:rFonts w:ascii="Sylfaen" w:hAnsi="Sylfaen"/>
          <w:sz w:val="24"/>
          <w:szCs w:val="24"/>
        </w:rPr>
        <w:t>ի կամ ներմուծման եղանակի փոփոխություններ.</w:t>
      </w:r>
    </w:p>
    <w:p w14:paraId="7342BBD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AD2459">
        <w:rPr>
          <w:rFonts w:ascii="Sylfaen" w:hAnsi="Sylfaen"/>
          <w:sz w:val="24"/>
          <w:szCs w:val="24"/>
        </w:rPr>
        <w:t>հոմեոպաթիկ դեղապատրաստուկ՝</w:t>
      </w:r>
      <w:r w:rsidRPr="00834D52">
        <w:rPr>
          <w:rFonts w:ascii="Sylfaen" w:hAnsi="Sylfaen"/>
          <w:sz w:val="24"/>
          <w:szCs w:val="24"/>
        </w:rPr>
        <w:t xml:space="preserve"> դեղապատրաստուկ, որն արտադրվել է հոմեոպաթիկ տեխնոլոգիայով հոմեոպաթիկ հումքի օգտագործմամբ՝ Միության դեղագրքի պահանջներին համապատասխան, կամ դրանց բացակայության դեպքում՝ հոպեոպաթիկ դեղագրքերի պահանջներին համապատասխան.</w:t>
      </w:r>
    </w:p>
    <w:p w14:paraId="622E4203"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AD2459">
        <w:rPr>
          <w:rFonts w:ascii="Sylfaen" w:hAnsi="Sylfaen"/>
          <w:sz w:val="24"/>
          <w:szCs w:val="24"/>
        </w:rPr>
        <w:t>ճանաչման պետություն՝</w:t>
      </w:r>
      <w:r w:rsidRPr="00834D52">
        <w:rPr>
          <w:rFonts w:ascii="Sylfaen" w:hAnsi="Sylfaen"/>
          <w:sz w:val="24"/>
          <w:szCs w:val="24"/>
        </w:rPr>
        <w:t xml:space="preserve"> անդամ պետություն, որում դեղապատրաստուկը գրանցվել է (գրանցվում է) փորձաքննության անցկացմամբ, որն իր մեջ ներառում է </w:t>
      </w:r>
      <w:r w:rsidR="00EA467C">
        <w:rPr>
          <w:rFonts w:ascii="Sylfaen" w:hAnsi="Sylfaen"/>
          <w:color w:val="000000"/>
          <w:sz w:val="24"/>
          <w:szCs w:val="24"/>
        </w:rPr>
        <w:t>ռեֆերենտ</w:t>
      </w:r>
      <w:r w:rsidRPr="00834D52">
        <w:rPr>
          <w:rFonts w:ascii="Sylfaen" w:hAnsi="Sylfaen"/>
          <w:sz w:val="24"/>
          <w:szCs w:val="24"/>
        </w:rPr>
        <w:t xml:space="preserve"> պետության կողմից նախապատրաստված՝ դեղապատրաստուկի անվտանգության, արդյունավետության </w:t>
      </w:r>
      <w:r w:rsidR="00C54D75">
        <w:rPr>
          <w:rFonts w:ascii="Sylfaen" w:hAnsi="Sylfaen"/>
          <w:sz w:val="24"/>
          <w:szCs w:val="24"/>
        </w:rPr>
        <w:t>և</w:t>
      </w:r>
      <w:r w:rsidRPr="00834D52">
        <w:rPr>
          <w:rFonts w:ascii="Sylfaen" w:hAnsi="Sylfaen"/>
          <w:sz w:val="24"/>
          <w:szCs w:val="24"/>
        </w:rPr>
        <w:t xml:space="preserve"> որակի գնահատման մասին փորձագիտական հաշվետվության գնահատում.</w:t>
      </w:r>
    </w:p>
    <w:p w14:paraId="23A74B6D"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AD2459">
        <w:rPr>
          <w:rFonts w:ascii="Sylfaen" w:hAnsi="Sylfaen"/>
          <w:sz w:val="24"/>
          <w:szCs w:val="24"/>
        </w:rPr>
        <w:t>գրանցման հավաստագրի իրավատեր</w:t>
      </w:r>
      <w:r w:rsidRPr="00834D52">
        <w:rPr>
          <w:rFonts w:ascii="Sylfaen" w:hAnsi="Sylfaen"/>
          <w:sz w:val="24"/>
          <w:szCs w:val="24"/>
        </w:rPr>
        <w:t xml:space="preserve">՝ իրավաբանական անձ, որի անունով տրվել է դեղապատրաստուկի գրանցման հավաստագիրը </w:t>
      </w:r>
      <w:r w:rsidR="00C54D75">
        <w:rPr>
          <w:rFonts w:ascii="Sylfaen" w:hAnsi="Sylfaen"/>
          <w:sz w:val="24"/>
          <w:szCs w:val="24"/>
        </w:rPr>
        <w:t>և</w:t>
      </w:r>
      <w:r w:rsidRPr="00834D52">
        <w:rPr>
          <w:rFonts w:ascii="Sylfaen" w:hAnsi="Sylfaen"/>
          <w:sz w:val="24"/>
          <w:szCs w:val="24"/>
        </w:rPr>
        <w:t xml:space="preserve"> որը պատասխանատվություն է կրում դեղապատրաստուկի անվտանգության, արդյունավետության </w:t>
      </w:r>
      <w:r w:rsidR="00C54D75">
        <w:rPr>
          <w:rFonts w:ascii="Sylfaen" w:hAnsi="Sylfaen"/>
          <w:sz w:val="24"/>
          <w:szCs w:val="24"/>
        </w:rPr>
        <w:t>և</w:t>
      </w:r>
      <w:r w:rsidRPr="00834D52">
        <w:rPr>
          <w:rFonts w:ascii="Sylfaen" w:hAnsi="Sylfaen"/>
          <w:sz w:val="24"/>
          <w:szCs w:val="24"/>
        </w:rPr>
        <w:t xml:space="preserve"> որակի համար.</w:t>
      </w:r>
    </w:p>
    <w:p w14:paraId="6405625F"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1268BB">
        <w:rPr>
          <w:rFonts w:ascii="Sylfaen" w:hAnsi="Sylfaen"/>
          <w:sz w:val="24"/>
          <w:szCs w:val="24"/>
        </w:rPr>
        <w:lastRenderedPageBreak/>
        <w:t>Միության գրանցված դեղամիջոցների միասնական ռեեստր՝</w:t>
      </w:r>
      <w:r w:rsidRPr="00834D52">
        <w:rPr>
          <w:rFonts w:ascii="Sylfaen" w:hAnsi="Sylfaen"/>
          <w:sz w:val="24"/>
          <w:szCs w:val="24"/>
        </w:rPr>
        <w:t xml:space="preserve"> ընդհանուր տեղեկատվական ռեսուրս, որը ձ</w:t>
      </w:r>
      <w:r w:rsidR="00C54D75">
        <w:rPr>
          <w:rFonts w:ascii="Sylfaen" w:hAnsi="Sylfaen"/>
          <w:sz w:val="24"/>
          <w:szCs w:val="24"/>
        </w:rPr>
        <w:t>և</w:t>
      </w:r>
      <w:r w:rsidRPr="00834D52">
        <w:rPr>
          <w:rFonts w:ascii="Sylfaen" w:hAnsi="Sylfaen"/>
          <w:sz w:val="24"/>
          <w:szCs w:val="24"/>
        </w:rPr>
        <w:t xml:space="preserve">ավորվում է ինտեգրված համակարգի շրջանակներում </w:t>
      </w:r>
      <w:r w:rsidR="00C54D75">
        <w:rPr>
          <w:rFonts w:ascii="Sylfaen" w:hAnsi="Sylfaen"/>
          <w:sz w:val="24"/>
          <w:szCs w:val="24"/>
        </w:rPr>
        <w:t>և</w:t>
      </w:r>
      <w:r w:rsidRPr="00834D52">
        <w:rPr>
          <w:rFonts w:ascii="Sylfaen" w:hAnsi="Sylfaen"/>
          <w:sz w:val="24"/>
          <w:szCs w:val="24"/>
        </w:rPr>
        <w:t xml:space="preserve"> պարունակում է տեղեկություններ՝ սույն Կանոններին համապատասխան գրանցված կամ գրանցման հետ կապված այլ ընթացակարգեր անցած դեղամիջոցների մասին.</w:t>
      </w:r>
    </w:p>
    <w:p w14:paraId="3D9BC52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հայտատու՝</w:t>
      </w:r>
      <w:r w:rsidRPr="00834D52">
        <w:rPr>
          <w:rFonts w:ascii="Sylfaen" w:hAnsi="Sylfaen"/>
          <w:sz w:val="24"/>
          <w:szCs w:val="24"/>
        </w:rPr>
        <w:t xml:space="preserve"> իրավաբանական անձ, որն իրավասու է ներկայացնելու դեղապատրաստուկները գրանցելու, գրանցումը հաստատելու (վերագրանցելու), գրանցման դոսյեում փոփոխություններ կատարելու </w:t>
      </w:r>
      <w:r w:rsidR="00C54D75">
        <w:rPr>
          <w:rFonts w:ascii="Sylfaen" w:hAnsi="Sylfaen"/>
          <w:sz w:val="24"/>
          <w:szCs w:val="24"/>
        </w:rPr>
        <w:t>և</w:t>
      </w:r>
      <w:r w:rsidRPr="00834D52">
        <w:rPr>
          <w:rFonts w:ascii="Sylfaen" w:hAnsi="Sylfaen"/>
          <w:sz w:val="24"/>
          <w:szCs w:val="24"/>
        </w:rPr>
        <w:t xml:space="preserve"> գրանցման հետ կապված այլ ընթացակարգեր իրականացնելու վերաբերյալ հայտ </w:t>
      </w:r>
      <w:r w:rsidR="00C54D75">
        <w:rPr>
          <w:rFonts w:ascii="Sylfaen" w:hAnsi="Sylfaen"/>
          <w:sz w:val="24"/>
          <w:szCs w:val="24"/>
        </w:rPr>
        <w:t>և</w:t>
      </w:r>
      <w:r w:rsidRPr="00834D52">
        <w:rPr>
          <w:rFonts w:ascii="Sylfaen" w:hAnsi="Sylfaen"/>
          <w:sz w:val="24"/>
          <w:szCs w:val="24"/>
        </w:rPr>
        <w:t xml:space="preserve"> պատասխանատվություն է կրում իր ներկայացրած փաստաթղթերում </w:t>
      </w:r>
      <w:r w:rsidR="00C54D75">
        <w:rPr>
          <w:rFonts w:ascii="Sylfaen" w:hAnsi="Sylfaen"/>
          <w:sz w:val="24"/>
          <w:szCs w:val="24"/>
        </w:rPr>
        <w:t>և</w:t>
      </w:r>
      <w:r w:rsidRPr="00834D52">
        <w:rPr>
          <w:rFonts w:ascii="Sylfaen" w:hAnsi="Sylfaen"/>
          <w:sz w:val="24"/>
          <w:szCs w:val="24"/>
        </w:rPr>
        <w:t xml:space="preserve"> գրանցման դոսյեում պարունակվող տեղեկատվության հավաստիության համար.</w:t>
      </w:r>
    </w:p>
    <w:p w14:paraId="1BE85A6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իմունաբանական դեղապատրաստուկ (իմունակենսաբանական</w:t>
      </w:r>
      <w:r w:rsidRPr="00834D52">
        <w:rPr>
          <w:rFonts w:ascii="Sylfaen" w:hAnsi="Sylfaen"/>
          <w:b/>
          <w:sz w:val="24"/>
          <w:szCs w:val="24"/>
        </w:rPr>
        <w:t xml:space="preserve"> </w:t>
      </w:r>
      <w:r w:rsidRPr="001268BB">
        <w:rPr>
          <w:rFonts w:ascii="Sylfaen" w:hAnsi="Sylfaen"/>
          <w:sz w:val="24"/>
          <w:szCs w:val="24"/>
        </w:rPr>
        <w:t>դեղապատրաստուկ)՝</w:t>
      </w:r>
      <w:r w:rsidRPr="00834D52">
        <w:rPr>
          <w:rFonts w:ascii="Sylfaen" w:hAnsi="Sylfaen"/>
          <w:sz w:val="24"/>
          <w:szCs w:val="24"/>
        </w:rPr>
        <w:t xml:space="preserve"> դեղապատրաստուկ, որը նախատեսված է ակտիվ կամ պասիվ իմունիտետի ձ</w:t>
      </w:r>
      <w:r w:rsidR="00C54D75">
        <w:rPr>
          <w:rFonts w:ascii="Sylfaen" w:hAnsi="Sylfaen"/>
          <w:sz w:val="24"/>
          <w:szCs w:val="24"/>
        </w:rPr>
        <w:t>և</w:t>
      </w:r>
      <w:r w:rsidRPr="00834D52">
        <w:rPr>
          <w:rFonts w:ascii="Sylfaen" w:hAnsi="Sylfaen"/>
          <w:sz w:val="24"/>
          <w:szCs w:val="24"/>
        </w:rPr>
        <w:t>ավորման, կամ իմունիտետի առկայությունն ախտորոշելու, կամ ալերգիա առաջացնող նյութի նկատմամբ իմունաբանական պատասխանի՝ ձեռքբերովի սպեցիֆիկ փոփոխությունն ախտորոշելու (կատարելու) համար.</w:t>
      </w:r>
    </w:p>
    <w:p w14:paraId="3BE17325"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1268BB">
        <w:rPr>
          <w:rFonts w:ascii="Sylfaen" w:hAnsi="Sylfaen"/>
          <w:sz w:val="24"/>
          <w:szCs w:val="24"/>
        </w:rPr>
        <w:t>բժշկական կիրառման հրահանգ (ներդիր-թերթիկ)՝</w:t>
      </w:r>
      <w:r w:rsidRPr="00834D52">
        <w:rPr>
          <w:rFonts w:ascii="Sylfaen" w:hAnsi="Sylfaen"/>
          <w:sz w:val="24"/>
          <w:szCs w:val="24"/>
        </w:rPr>
        <w:t xml:space="preserve"> անդամ պետության լիազորված մարմնի կողմից Միության մարմինների ակտերին համապատասխան հաստատվող փաստաթուղթ, որը պարունակում է տեղեկատվություն սպառողի համար </w:t>
      </w:r>
      <w:r w:rsidR="00C54D75">
        <w:rPr>
          <w:rFonts w:ascii="Sylfaen" w:hAnsi="Sylfaen"/>
          <w:sz w:val="24"/>
          <w:szCs w:val="24"/>
        </w:rPr>
        <w:t>և</w:t>
      </w:r>
      <w:r w:rsidRPr="00834D52">
        <w:rPr>
          <w:rFonts w:ascii="Sylfaen" w:hAnsi="Sylfaen"/>
          <w:sz w:val="24"/>
          <w:szCs w:val="24"/>
        </w:rPr>
        <w:t xml:space="preserve"> ուղեկցում է դեղապատրաստուկը փաթեթվածքի մեջ.</w:t>
      </w:r>
    </w:p>
    <w:p w14:paraId="530B15BA"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1268BB">
        <w:rPr>
          <w:rFonts w:ascii="Sylfaen" w:hAnsi="Sylfaen"/>
          <w:sz w:val="24"/>
          <w:szCs w:val="24"/>
        </w:rPr>
        <w:t>դեղամիջոցի որակ՝</w:t>
      </w:r>
      <w:r w:rsidRPr="00834D52">
        <w:rPr>
          <w:rFonts w:ascii="Sylfaen" w:hAnsi="Sylfaen"/>
          <w:sz w:val="24"/>
          <w:szCs w:val="24"/>
        </w:rPr>
        <w:t xml:space="preserve"> դեղագործական սուբստանցիայի </w:t>
      </w:r>
      <w:r w:rsidR="00C54D75">
        <w:rPr>
          <w:rFonts w:ascii="Sylfaen" w:hAnsi="Sylfaen"/>
          <w:sz w:val="24"/>
          <w:szCs w:val="24"/>
        </w:rPr>
        <w:t>և</w:t>
      </w:r>
      <w:r w:rsidRPr="00834D52">
        <w:rPr>
          <w:rFonts w:ascii="Sylfaen" w:hAnsi="Sylfaen"/>
          <w:sz w:val="24"/>
          <w:szCs w:val="24"/>
        </w:rPr>
        <w:t xml:space="preserve"> դեղապատրաստուկի հատկությունների </w:t>
      </w:r>
      <w:r w:rsidR="00C54D75">
        <w:rPr>
          <w:rFonts w:ascii="Sylfaen" w:hAnsi="Sylfaen"/>
          <w:sz w:val="24"/>
          <w:szCs w:val="24"/>
        </w:rPr>
        <w:t>և</w:t>
      </w:r>
      <w:r w:rsidRPr="00834D52">
        <w:rPr>
          <w:rFonts w:ascii="Sylfaen" w:hAnsi="Sylfaen"/>
          <w:sz w:val="24"/>
          <w:szCs w:val="24"/>
        </w:rPr>
        <w:t xml:space="preserve"> բնութագրերի ամբողջություն, որն ապահովում է դրանց համապատասխանությունը նպատակային նշանակությանը՝ Միության մարմինների ակտերի պահանջներին համապատասխան.</w:t>
      </w:r>
    </w:p>
    <w:p w14:paraId="6B4D5EC1"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1268BB">
        <w:rPr>
          <w:rFonts w:ascii="Sylfaen" w:hAnsi="Sylfaen"/>
          <w:sz w:val="24"/>
          <w:szCs w:val="24"/>
        </w:rPr>
        <w:t>դեղաձ</w:t>
      </w:r>
      <w:r w:rsidR="00C54D75">
        <w:rPr>
          <w:rFonts w:ascii="Sylfaen" w:hAnsi="Sylfaen"/>
          <w:sz w:val="24"/>
          <w:szCs w:val="24"/>
        </w:rPr>
        <w:t>և</w:t>
      </w:r>
      <w:r w:rsidRPr="001268BB">
        <w:rPr>
          <w:rFonts w:ascii="Sylfaen" w:hAnsi="Sylfaen"/>
          <w:sz w:val="24"/>
          <w:szCs w:val="24"/>
        </w:rPr>
        <w:t>՝</w:t>
      </w:r>
      <w:r w:rsidRPr="00834D52">
        <w:rPr>
          <w:rFonts w:ascii="Sylfaen" w:hAnsi="Sylfaen"/>
          <w:sz w:val="24"/>
          <w:szCs w:val="24"/>
        </w:rPr>
        <w:t xml:space="preserve"> դեղապատրաստուկի վիճակ, որը համապատասխանում է դրա ներմուծման </w:t>
      </w:r>
      <w:r w:rsidR="00C54D75">
        <w:rPr>
          <w:rFonts w:ascii="Sylfaen" w:hAnsi="Sylfaen"/>
          <w:sz w:val="24"/>
          <w:szCs w:val="24"/>
        </w:rPr>
        <w:t>և</w:t>
      </w:r>
      <w:r w:rsidRPr="00834D52">
        <w:rPr>
          <w:rFonts w:ascii="Sylfaen" w:hAnsi="Sylfaen"/>
          <w:sz w:val="24"/>
          <w:szCs w:val="24"/>
        </w:rPr>
        <w:t xml:space="preserve"> կիրառման եղանակներին </w:t>
      </w:r>
      <w:r w:rsidR="00C54D75">
        <w:rPr>
          <w:rFonts w:ascii="Sylfaen" w:hAnsi="Sylfaen"/>
          <w:sz w:val="24"/>
          <w:szCs w:val="24"/>
        </w:rPr>
        <w:t>և</w:t>
      </w:r>
      <w:r w:rsidRPr="00834D52">
        <w:rPr>
          <w:rFonts w:ascii="Sylfaen" w:hAnsi="Sylfaen"/>
          <w:sz w:val="24"/>
          <w:szCs w:val="24"/>
        </w:rPr>
        <w:t xml:space="preserve"> ապահովում է անհրաժեշտ էֆեկտին հասնելը.</w:t>
      </w:r>
    </w:p>
    <w:p w14:paraId="1238F852"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1268BB">
        <w:rPr>
          <w:rFonts w:ascii="Sylfaen" w:hAnsi="Sylfaen"/>
          <w:sz w:val="24"/>
          <w:szCs w:val="24"/>
        </w:rPr>
        <w:lastRenderedPageBreak/>
        <w:t>դեղաբուսական հումք՝</w:t>
      </w:r>
      <w:r w:rsidRPr="00834D52">
        <w:rPr>
          <w:rFonts w:ascii="Sylfaen" w:hAnsi="Sylfaen"/>
          <w:sz w:val="24"/>
          <w:szCs w:val="24"/>
        </w:rPr>
        <w:t xml:space="preserve"> դեղամիջոցների արտադրության համար օգտագործվող թարմ կամ չորացրած բույսեր, ջրիմուռներ, սնկեր կամ քարաքոսեր կամ դրանց մասեր՝ ամբողջական կամ մանրացրած.</w:t>
      </w:r>
    </w:p>
    <w:p w14:paraId="2E9B0BFA"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1268BB">
        <w:rPr>
          <w:rFonts w:ascii="Sylfaen" w:hAnsi="Sylfaen"/>
          <w:sz w:val="24"/>
          <w:szCs w:val="24"/>
        </w:rPr>
        <w:t>դեղապատրաստուկ՝ լավ ուսումնասիրված բժշկական կիրառմամբ՝</w:t>
      </w:r>
      <w:r w:rsidRPr="00834D52">
        <w:rPr>
          <w:rFonts w:ascii="Sylfaen" w:hAnsi="Sylfaen"/>
          <w:sz w:val="24"/>
          <w:szCs w:val="24"/>
        </w:rPr>
        <w:t xml:space="preserve"> դեղապատրաստուկ, որի ազդող նյութը բժշկական կիրառման ընթացքում լավ ուսումնասիրվել է, ընդ որում, ճանաչվել են դրա արդյունավետությունը </w:t>
      </w:r>
      <w:r w:rsidR="00C54D75">
        <w:rPr>
          <w:rFonts w:ascii="Sylfaen" w:hAnsi="Sylfaen"/>
          <w:sz w:val="24"/>
          <w:szCs w:val="24"/>
        </w:rPr>
        <w:t>և</w:t>
      </w:r>
      <w:r w:rsidRPr="00834D52">
        <w:rPr>
          <w:rFonts w:ascii="Sylfaen" w:hAnsi="Sylfaen"/>
          <w:sz w:val="24"/>
          <w:szCs w:val="24"/>
        </w:rPr>
        <w:t xml:space="preserve"> անվտանգության ընդունելի աստիճանը, որոնք հաստատվել են հետգրանցումային </w:t>
      </w:r>
      <w:r w:rsidR="00C54D75">
        <w:rPr>
          <w:rFonts w:ascii="Sylfaen" w:hAnsi="Sylfaen"/>
          <w:sz w:val="24"/>
          <w:szCs w:val="24"/>
        </w:rPr>
        <w:t>և</w:t>
      </w:r>
      <w:r w:rsidRPr="00834D52">
        <w:rPr>
          <w:rFonts w:ascii="Sylfaen" w:hAnsi="Sylfaen"/>
          <w:sz w:val="24"/>
          <w:szCs w:val="24"/>
        </w:rPr>
        <w:t xml:space="preserve"> (կամ) համաճարակաբանական հետազոտությունների մասին հրապարակված տվյալներին մանրամասն մատենագիտական հղումներով, </w:t>
      </w:r>
      <w:r w:rsidR="00C54D75">
        <w:rPr>
          <w:rFonts w:ascii="Sylfaen" w:hAnsi="Sylfaen"/>
          <w:sz w:val="24"/>
          <w:szCs w:val="24"/>
        </w:rPr>
        <w:t>և</w:t>
      </w:r>
      <w:r w:rsidRPr="00834D52">
        <w:rPr>
          <w:rFonts w:ascii="Sylfaen" w:hAnsi="Sylfaen"/>
          <w:sz w:val="24"/>
          <w:szCs w:val="24"/>
        </w:rPr>
        <w:t xml:space="preserve"> տվյալ դեղապատրաստուկի ազդող նյութի (ազդող նյութերի)՝ առնվազն 3 անդամ պետություններում առաջին պարբերական </w:t>
      </w:r>
      <w:r w:rsidR="00C54D75">
        <w:rPr>
          <w:rFonts w:ascii="Sylfaen" w:hAnsi="Sylfaen"/>
          <w:sz w:val="24"/>
          <w:szCs w:val="24"/>
        </w:rPr>
        <w:t>և</w:t>
      </w:r>
      <w:r w:rsidRPr="00834D52">
        <w:rPr>
          <w:rFonts w:ascii="Sylfaen" w:hAnsi="Sylfaen"/>
          <w:sz w:val="24"/>
          <w:szCs w:val="24"/>
        </w:rPr>
        <w:t xml:space="preserve"> փաստաթղթավորված կիրառման օրվանից անցել է առնվազն 10 տարի.</w:t>
      </w:r>
    </w:p>
    <w:p w14:paraId="0D27336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դեղաբուսական պատրաստուկ</w:t>
      </w:r>
      <w:r w:rsidRPr="00834D52">
        <w:rPr>
          <w:rFonts w:ascii="Sylfaen" w:hAnsi="Sylfaen"/>
          <w:sz w:val="24"/>
          <w:szCs w:val="24"/>
        </w:rPr>
        <w:t xml:space="preserve">՝ դեղապատրաստուկ, որը, որպես ակտիվ բաղադրամաս, պարունակում է բացառապես դեղաբուսական հումք </w:t>
      </w:r>
      <w:r w:rsidR="00C54D75">
        <w:rPr>
          <w:rFonts w:ascii="Sylfaen" w:hAnsi="Sylfaen"/>
          <w:sz w:val="24"/>
          <w:szCs w:val="24"/>
        </w:rPr>
        <w:t>և</w:t>
      </w:r>
      <w:r w:rsidRPr="00834D52">
        <w:rPr>
          <w:rFonts w:ascii="Sylfaen" w:hAnsi="Sylfaen"/>
          <w:sz w:val="24"/>
          <w:szCs w:val="24"/>
        </w:rPr>
        <w:t xml:space="preserve"> (կամ) դրա հիմքով պատրաստուկներ.</w:t>
      </w:r>
    </w:p>
    <w:p w14:paraId="33EC28D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միջազգային չարտոնագրված անվանում</w:t>
      </w:r>
      <w:r w:rsidRPr="00834D52">
        <w:rPr>
          <w:rFonts w:ascii="Sylfaen" w:hAnsi="Sylfaen"/>
          <w:sz w:val="24"/>
          <w:szCs w:val="24"/>
        </w:rPr>
        <w:t>՝ ազդող նյութի անվանում, որն առաջարկվել է Առողջապահության համաշխարհային կազմակերպության կողմից.</w:t>
      </w:r>
    </w:p>
    <w:p w14:paraId="05E6ECC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որակի վերաբերյալ նորմատիվ փաստաթուղթ</w:t>
      </w:r>
      <w:r w:rsidRPr="00834D52">
        <w:rPr>
          <w:rFonts w:ascii="Sylfaen" w:hAnsi="Sylfaen"/>
          <w:sz w:val="24"/>
          <w:szCs w:val="24"/>
        </w:rPr>
        <w:t xml:space="preserve">՝ փաստաթուղթ, որը սահմանում է դեղապատրաստուկի որակի հսկողությանը ներկայայացվող պահանջները (պարունակում է մասնագիր </w:t>
      </w:r>
      <w:r w:rsidR="00C54D75">
        <w:rPr>
          <w:rFonts w:ascii="Sylfaen" w:hAnsi="Sylfaen"/>
          <w:sz w:val="24"/>
          <w:szCs w:val="24"/>
        </w:rPr>
        <w:t>և</w:t>
      </w:r>
      <w:r w:rsidRPr="00834D52">
        <w:rPr>
          <w:rFonts w:ascii="Sylfaen" w:hAnsi="Sylfaen"/>
          <w:sz w:val="24"/>
          <w:szCs w:val="24"/>
        </w:rPr>
        <w:t xml:space="preserve"> վերլուծական մեթոդիկաների </w:t>
      </w:r>
      <w:r w:rsidR="00C54D75">
        <w:rPr>
          <w:rFonts w:ascii="Sylfaen" w:hAnsi="Sylfaen"/>
          <w:sz w:val="24"/>
          <w:szCs w:val="24"/>
        </w:rPr>
        <w:t>և</w:t>
      </w:r>
      <w:r w:rsidRPr="00834D52">
        <w:rPr>
          <w:rFonts w:ascii="Sylfaen" w:hAnsi="Sylfaen"/>
          <w:sz w:val="24"/>
          <w:szCs w:val="24"/>
        </w:rPr>
        <w:t xml:space="preserve"> փորձարկումների նկարագրություն կամ դրանց հղումներ, ինչպես նա</w:t>
      </w:r>
      <w:r w:rsidR="00C54D75">
        <w:rPr>
          <w:rFonts w:ascii="Sylfaen" w:hAnsi="Sylfaen"/>
          <w:sz w:val="24"/>
          <w:szCs w:val="24"/>
        </w:rPr>
        <w:t>և</w:t>
      </w:r>
      <w:r w:rsidRPr="00834D52">
        <w:rPr>
          <w:rFonts w:ascii="Sylfaen" w:hAnsi="Sylfaen"/>
          <w:sz w:val="24"/>
          <w:szCs w:val="24"/>
        </w:rPr>
        <w:t xml:space="preserve"> համապատասխան ընդունելիության չափանիշներ՝ որակի նշված ցուցանիշների համար </w:t>
      </w:r>
      <w:r w:rsidR="00C54D75">
        <w:rPr>
          <w:rFonts w:ascii="Sylfaen" w:hAnsi="Sylfaen"/>
          <w:sz w:val="24"/>
          <w:szCs w:val="24"/>
        </w:rPr>
        <w:t>և</w:t>
      </w:r>
      <w:r w:rsidRPr="00834D52">
        <w:rPr>
          <w:rFonts w:ascii="Sylfaen" w:hAnsi="Sylfaen"/>
          <w:sz w:val="24"/>
          <w:szCs w:val="24"/>
        </w:rPr>
        <w:t xml:space="preserve"> այլն) դեղապատրաստուկի՝ անցկացված փորձաքննության հիման վրա, հաստատվում է լիազորված մարմնի կողմից Միության տարածքում գրանցման դեպքում </w:t>
      </w:r>
      <w:r w:rsidR="00C54D75">
        <w:rPr>
          <w:rFonts w:ascii="Sylfaen" w:hAnsi="Sylfaen"/>
          <w:sz w:val="24"/>
          <w:szCs w:val="24"/>
        </w:rPr>
        <w:t>և</w:t>
      </w:r>
      <w:r w:rsidRPr="00834D52">
        <w:rPr>
          <w:rFonts w:ascii="Sylfaen" w:hAnsi="Sylfaen"/>
          <w:sz w:val="24"/>
          <w:szCs w:val="24"/>
        </w:rPr>
        <w:t xml:space="preserve"> նախատեսված է հետգրանցումային շրջանում Միության տարածքում դեղապատրաստուկի որակի հսկողության համար.</w:t>
      </w:r>
    </w:p>
    <w:p w14:paraId="0716B57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դեղապատրաստուկի ընդհանուր</w:t>
      </w:r>
      <w:r w:rsidRPr="00375522">
        <w:rPr>
          <w:rFonts w:ascii="Sylfaen" w:hAnsi="Sylfaen"/>
          <w:sz w:val="24"/>
          <w:szCs w:val="24"/>
        </w:rPr>
        <w:t xml:space="preserve"> բնութագիր՝</w:t>
      </w:r>
      <w:r w:rsidRPr="00834D52">
        <w:rPr>
          <w:rFonts w:ascii="Sylfaen" w:hAnsi="Sylfaen"/>
          <w:sz w:val="24"/>
          <w:szCs w:val="24"/>
        </w:rPr>
        <w:t xml:space="preserve"> անդամ պետության լիազորված մարմնի կողմից Միության մարմինների ակտերին համապատասխան </w:t>
      </w:r>
      <w:r w:rsidRPr="00834D52">
        <w:rPr>
          <w:rFonts w:ascii="Sylfaen" w:hAnsi="Sylfaen"/>
          <w:sz w:val="24"/>
          <w:szCs w:val="24"/>
        </w:rPr>
        <w:lastRenderedPageBreak/>
        <w:t xml:space="preserve">հաստատվող փաստաթուղթ, որը պարունակում է դեղապատրաստուկի անվտանգ </w:t>
      </w:r>
      <w:r w:rsidR="00C54D75">
        <w:rPr>
          <w:rFonts w:ascii="Sylfaen" w:hAnsi="Sylfaen"/>
          <w:sz w:val="24"/>
          <w:szCs w:val="24"/>
        </w:rPr>
        <w:t>և</w:t>
      </w:r>
      <w:r w:rsidRPr="00834D52">
        <w:rPr>
          <w:rFonts w:ascii="Sylfaen" w:hAnsi="Sylfaen"/>
          <w:sz w:val="24"/>
          <w:szCs w:val="24"/>
        </w:rPr>
        <w:t xml:space="preserve"> արդյունավետ կիրառման մասին տեղեկատվություն՝ բուժաշխատողների համար.</w:t>
      </w:r>
    </w:p>
    <w:p w14:paraId="0D3C2C90"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համընդհանուր (խմբային) անվանում՝</w:t>
      </w:r>
      <w:r w:rsidRPr="00834D52">
        <w:rPr>
          <w:rFonts w:ascii="Sylfaen" w:hAnsi="Sylfaen"/>
          <w:sz w:val="24"/>
          <w:szCs w:val="24"/>
        </w:rPr>
        <w:t xml:space="preserve"> միջազգային չարտոնագրված անվանում չունեցող դեղապատրաստուկի կամ դեղապատրաստուկների համակցության անվանում, որն օգտագործվում է դրանք խմբի մեջ մեկ անվան տակ միավորելու նպատակով՝ հիմք ընդունելով ազդող նյութերի նույն որակական բաղադրությունը. </w:t>
      </w:r>
    </w:p>
    <w:p w14:paraId="588648B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օրիգինալ դեղապատրաստուկ</w:t>
      </w:r>
      <w:r w:rsidRPr="00834D52">
        <w:rPr>
          <w:rFonts w:ascii="Sylfaen" w:hAnsi="Sylfaen"/>
          <w:sz w:val="24"/>
          <w:szCs w:val="24"/>
        </w:rPr>
        <w:t xml:space="preserve">՝ նոր ազդող նյութով դեղապատրաստուկ, որն առաջինն է գրանցվել </w:t>
      </w:r>
      <w:r w:rsidR="00C54D75">
        <w:rPr>
          <w:rFonts w:ascii="Sylfaen" w:hAnsi="Sylfaen"/>
          <w:sz w:val="24"/>
          <w:szCs w:val="24"/>
        </w:rPr>
        <w:t>և</w:t>
      </w:r>
      <w:r w:rsidRPr="00834D52">
        <w:rPr>
          <w:rFonts w:ascii="Sylfaen" w:hAnsi="Sylfaen"/>
          <w:sz w:val="24"/>
          <w:szCs w:val="24"/>
        </w:rPr>
        <w:t xml:space="preserve"> դուրս բերվել համաշխարհային դեղագործական շուկա՝ դրա որակը, անվտանգությունը </w:t>
      </w:r>
      <w:r w:rsidR="00C54D75">
        <w:rPr>
          <w:rFonts w:ascii="Sylfaen" w:hAnsi="Sylfaen"/>
          <w:sz w:val="24"/>
          <w:szCs w:val="24"/>
        </w:rPr>
        <w:t>և</w:t>
      </w:r>
      <w:r w:rsidRPr="00834D52">
        <w:rPr>
          <w:rFonts w:ascii="Sylfaen" w:hAnsi="Sylfaen"/>
          <w:sz w:val="24"/>
          <w:szCs w:val="24"/>
        </w:rPr>
        <w:t xml:space="preserve"> արդյունավետությունը հաստատող լիարժեք նախակլինիկական (ոչ 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արդյունքները պարունակող դոսյեի հիման վրա.</w:t>
      </w:r>
    </w:p>
    <w:p w14:paraId="32A1258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«որբ» (հազվադեպ կիրառվող) դեղապատրաստուկ</w:t>
      </w:r>
      <w:r w:rsidRPr="00834D52">
        <w:rPr>
          <w:rFonts w:ascii="Sylfaen" w:hAnsi="Sylfaen"/>
          <w:sz w:val="24"/>
          <w:szCs w:val="24"/>
        </w:rPr>
        <w:t>՝ դեղապատրաստուկ, որը նախատեսված է այն հազվադեպ («որբ») հիվանդությունների ախտորոշման, էթիոպաթոգենետիկ կամ պաթոգենետիկ բուժման (հիվանդության զարգացման մեխանիզմին ուղղված բուժման) համար, որոնց հաճախականությունը չի</w:t>
      </w:r>
      <w:r w:rsidR="00375522" w:rsidRPr="007D7DA2">
        <w:rPr>
          <w:rFonts w:ascii="Sylfaen" w:hAnsi="Sylfaen"/>
          <w:sz w:val="24"/>
          <w:szCs w:val="24"/>
        </w:rPr>
        <w:t> </w:t>
      </w:r>
      <w:r w:rsidRPr="00834D52">
        <w:rPr>
          <w:rFonts w:ascii="Sylfaen" w:hAnsi="Sylfaen"/>
          <w:sz w:val="24"/>
          <w:szCs w:val="24"/>
        </w:rPr>
        <w:t>գերազանցում անդամ պետությունում պաշտոնապես սահմանված մակարդակը.</w:t>
      </w:r>
    </w:p>
    <w:p w14:paraId="6B293542"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1268BB">
        <w:rPr>
          <w:rFonts w:ascii="Sylfaen" w:hAnsi="Sylfaen"/>
          <w:sz w:val="24"/>
          <w:szCs w:val="24"/>
        </w:rPr>
        <w:t>գրանցման հավաստագրի իրավատիրոջ ներկայացուցիչ՝</w:t>
      </w:r>
      <w:r w:rsidRPr="00834D52">
        <w:rPr>
          <w:rFonts w:ascii="Sylfaen" w:hAnsi="Sylfaen"/>
          <w:sz w:val="24"/>
          <w:szCs w:val="24"/>
        </w:rPr>
        <w:t xml:space="preserve"> անդամ պետության օրենսդրությանը համապատասխան գրանցված իրավաբանական անձ կամ իրավաբանական անձի առանձնացված ստորաբաժանում, որը տեղակայված է անդամ պետության տարածքում </w:t>
      </w:r>
      <w:r w:rsidR="00C54D75">
        <w:rPr>
          <w:rFonts w:ascii="Sylfaen" w:hAnsi="Sylfaen"/>
          <w:sz w:val="24"/>
          <w:szCs w:val="24"/>
        </w:rPr>
        <w:t>և</w:t>
      </w:r>
      <w:r w:rsidRPr="00834D52">
        <w:rPr>
          <w:rFonts w:ascii="Sylfaen" w:hAnsi="Sylfaen"/>
          <w:sz w:val="24"/>
          <w:szCs w:val="24"/>
        </w:rPr>
        <w:t xml:space="preserve"> լիազորված է գրանցման հավաստագրի իրավատիրոջ կողմից անդամ պետության տարածքում դեղամիջոցների շրջանառության հետ կապված գործողություններ կատարելու համար.</w:t>
      </w:r>
    </w:p>
    <w:p w14:paraId="26ED0BEE"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1268BB">
        <w:rPr>
          <w:rFonts w:ascii="Sylfaen" w:hAnsi="Sylfaen"/>
          <w:sz w:val="24"/>
          <w:szCs w:val="24"/>
        </w:rPr>
        <w:t>դեղամիջոցներ արտադրող՝</w:t>
      </w:r>
      <w:r w:rsidRPr="00834D52">
        <w:rPr>
          <w:rFonts w:ascii="Sylfaen" w:hAnsi="Sylfaen"/>
          <w:sz w:val="24"/>
          <w:szCs w:val="24"/>
        </w:rPr>
        <w:t xml:space="preserve"> կազմակերպություն, որն իրականացնում է դեղամիջոցների արտադրության գործունեություն </w:t>
      </w:r>
      <w:r w:rsidR="00C54D75">
        <w:rPr>
          <w:rFonts w:ascii="Sylfaen" w:hAnsi="Sylfaen"/>
          <w:sz w:val="24"/>
          <w:szCs w:val="24"/>
        </w:rPr>
        <w:t>և</w:t>
      </w:r>
      <w:r w:rsidRPr="00834D52">
        <w:rPr>
          <w:rFonts w:ascii="Sylfaen" w:hAnsi="Sylfaen"/>
          <w:sz w:val="24"/>
          <w:szCs w:val="24"/>
        </w:rPr>
        <w:t xml:space="preserve"> գործունեության այդ տեսակի համար ունի արտադրող երկրի լիազորված մարմնի կողմից տրված թույլտվություն (լիցենզիա).</w:t>
      </w:r>
    </w:p>
    <w:p w14:paraId="6EEF731D" w14:textId="77777777" w:rsidR="006F76EB" w:rsidRPr="00834D52" w:rsidRDefault="006F76EB" w:rsidP="007D7DA2">
      <w:pPr>
        <w:tabs>
          <w:tab w:val="left" w:pos="1134"/>
        </w:tabs>
        <w:spacing w:after="160" w:line="384" w:lineRule="auto"/>
        <w:ind w:right="-6" w:firstLine="567"/>
        <w:jc w:val="both"/>
        <w:rPr>
          <w:rFonts w:ascii="Sylfaen" w:eastAsia="Times New Roman" w:hAnsi="Sylfaen" w:cs="Times New Roman"/>
          <w:sz w:val="24"/>
          <w:szCs w:val="24"/>
        </w:rPr>
      </w:pPr>
      <w:r w:rsidRPr="001268BB">
        <w:rPr>
          <w:rFonts w:ascii="Sylfaen" w:hAnsi="Sylfaen"/>
          <w:sz w:val="24"/>
          <w:szCs w:val="24"/>
        </w:rPr>
        <w:lastRenderedPageBreak/>
        <w:t>ռադիոդեղագործական դեղապատրաստուկ՝</w:t>
      </w:r>
      <w:r w:rsidRPr="00834D52">
        <w:rPr>
          <w:rFonts w:ascii="Sylfaen" w:hAnsi="Sylfaen"/>
          <w:sz w:val="24"/>
          <w:szCs w:val="24"/>
        </w:rPr>
        <w:t xml:space="preserve"> դեղապատրաստուկ, որը կիրառման համար պատրաստի վիճակում որպես ազդող նյութ կամ ազդող նյութի կազմում պարունակում է մեկ կամ մի քանի ռադիոնուկլիդներ (ռադիոակտիվ իզոտոպներ).</w:t>
      </w:r>
    </w:p>
    <w:p w14:paraId="73200E93" w14:textId="77777777" w:rsidR="006F76EB" w:rsidRPr="00834D52" w:rsidRDefault="006F76EB" w:rsidP="007D7DA2">
      <w:pPr>
        <w:tabs>
          <w:tab w:val="left" w:pos="1134"/>
        </w:tabs>
        <w:spacing w:after="160" w:line="384" w:lineRule="auto"/>
        <w:ind w:right="-8" w:firstLine="567"/>
        <w:jc w:val="both"/>
        <w:rPr>
          <w:rFonts w:ascii="Sylfaen" w:eastAsia="Times New Roman" w:hAnsi="Sylfaen" w:cs="Times New Roman"/>
          <w:sz w:val="24"/>
          <w:szCs w:val="24"/>
        </w:rPr>
      </w:pPr>
      <w:r w:rsidRPr="001268BB">
        <w:rPr>
          <w:rFonts w:ascii="Sylfaen" w:hAnsi="Sylfaen"/>
          <w:sz w:val="24"/>
          <w:szCs w:val="24"/>
        </w:rPr>
        <w:t>բուսական դեղագործական սուբստանցիա՝</w:t>
      </w:r>
      <w:r w:rsidRPr="00834D52">
        <w:rPr>
          <w:rFonts w:ascii="Sylfaen" w:hAnsi="Sylfaen"/>
          <w:sz w:val="24"/>
          <w:szCs w:val="24"/>
        </w:rPr>
        <w:t xml:space="preserve"> սուբստանցիա, որը ստանում են բուսական հումքի այնպիսի մեթոդների միջոցով մշակումից հետո, ինչպիսիք են լուծամզումը, թորումը, մզումը, չափազատումը, մաքրումը, կոնցենտրացումը </w:t>
      </w:r>
      <w:r w:rsidR="00C54D75">
        <w:rPr>
          <w:rFonts w:ascii="Sylfaen" w:hAnsi="Sylfaen"/>
          <w:sz w:val="24"/>
          <w:szCs w:val="24"/>
        </w:rPr>
        <w:t>և</w:t>
      </w:r>
      <w:r w:rsidRPr="00834D52">
        <w:rPr>
          <w:rFonts w:ascii="Sylfaen" w:hAnsi="Sylfaen"/>
          <w:sz w:val="24"/>
          <w:szCs w:val="24"/>
        </w:rPr>
        <w:t xml:space="preserve"> խմորումը: Այդպիսի սուբստանցիաների շարքին են դասվում խիստ մանրեցված կամ փոշենման բուսական հումքը, թուրմերը, լուծամզվածքները, եթերայուղերը, մզված հյութերը </w:t>
      </w:r>
      <w:r w:rsidR="00C54D75">
        <w:rPr>
          <w:rFonts w:ascii="Sylfaen" w:hAnsi="Sylfaen"/>
          <w:sz w:val="24"/>
          <w:szCs w:val="24"/>
        </w:rPr>
        <w:t>և</w:t>
      </w:r>
      <w:r w:rsidRPr="00834D52">
        <w:rPr>
          <w:rFonts w:ascii="Sylfaen" w:hAnsi="Sylfaen"/>
          <w:sz w:val="24"/>
          <w:szCs w:val="24"/>
        </w:rPr>
        <w:t xml:space="preserve"> մշակված մզվածքները.</w:t>
      </w:r>
    </w:p>
    <w:p w14:paraId="2FDC2519" w14:textId="77777777" w:rsidR="006F76EB" w:rsidRPr="00834D52" w:rsidRDefault="006F76EB" w:rsidP="007D7DA2">
      <w:pPr>
        <w:tabs>
          <w:tab w:val="left" w:pos="1134"/>
        </w:tabs>
        <w:spacing w:after="160" w:line="384" w:lineRule="auto"/>
        <w:ind w:right="-8" w:firstLine="567"/>
        <w:jc w:val="both"/>
        <w:rPr>
          <w:rFonts w:ascii="Sylfaen" w:eastAsia="Times New Roman" w:hAnsi="Sylfaen" w:cs="Times New Roman"/>
          <w:sz w:val="24"/>
          <w:szCs w:val="24"/>
        </w:rPr>
      </w:pPr>
      <w:r w:rsidRPr="001268BB">
        <w:rPr>
          <w:rFonts w:ascii="Sylfaen" w:hAnsi="Sylfaen"/>
          <w:sz w:val="24"/>
          <w:szCs w:val="24"/>
        </w:rPr>
        <w:t>գրանցման դոսյե՝</w:t>
      </w:r>
      <w:r w:rsidRPr="00834D52">
        <w:rPr>
          <w:rFonts w:ascii="Sylfaen" w:hAnsi="Sylfaen"/>
          <w:sz w:val="24"/>
          <w:szCs w:val="24"/>
        </w:rPr>
        <w:t xml:space="preserve"> սույն Կանոններին համապատասխան ձ</w:t>
      </w:r>
      <w:r w:rsidR="00C54D75">
        <w:rPr>
          <w:rFonts w:ascii="Sylfaen" w:hAnsi="Sylfaen"/>
          <w:sz w:val="24"/>
          <w:szCs w:val="24"/>
        </w:rPr>
        <w:t>և</w:t>
      </w:r>
      <w:r w:rsidRPr="00834D52">
        <w:rPr>
          <w:rFonts w:ascii="Sylfaen" w:hAnsi="Sylfaen"/>
          <w:sz w:val="24"/>
          <w:szCs w:val="24"/>
        </w:rPr>
        <w:t xml:space="preserve">ակերպվող փաստաթղթերի փաթեթ (այդ թվում՝ հայտ), որը ներկայացվում է դեղապատրաստուկը գրանցելու, գրանցումը հաստատելու (վերագրանցելու) հետ կապված ընթացակարգերի իրականացման համար. </w:t>
      </w:r>
    </w:p>
    <w:p w14:paraId="2B880820" w14:textId="77777777" w:rsidR="006F76EB" w:rsidRPr="00834D52" w:rsidRDefault="006F76EB" w:rsidP="007D7DA2">
      <w:pPr>
        <w:tabs>
          <w:tab w:val="left" w:pos="1134"/>
        </w:tabs>
        <w:spacing w:after="160" w:line="384" w:lineRule="auto"/>
        <w:ind w:right="-8" w:firstLine="567"/>
        <w:jc w:val="both"/>
        <w:rPr>
          <w:rFonts w:ascii="Sylfaen" w:eastAsia="Times New Roman" w:hAnsi="Sylfaen" w:cs="Times New Roman"/>
          <w:sz w:val="24"/>
          <w:szCs w:val="24"/>
        </w:rPr>
      </w:pPr>
      <w:r w:rsidRPr="001268BB">
        <w:rPr>
          <w:rFonts w:ascii="Sylfaen" w:hAnsi="Sylfaen"/>
          <w:sz w:val="24"/>
          <w:szCs w:val="24"/>
        </w:rPr>
        <w:t>դեղապատրաստուկի գրանցման հավաստագիր</w:t>
      </w:r>
      <w:r w:rsidRPr="00834D52">
        <w:rPr>
          <w:rFonts w:ascii="Sylfaen" w:hAnsi="Sylfaen"/>
          <w:sz w:val="24"/>
          <w:szCs w:val="24"/>
        </w:rPr>
        <w:t>՝ լիազորված մարմնի կողմից տրվող միասնական ձ</w:t>
      </w:r>
      <w:r w:rsidR="00C54D75">
        <w:rPr>
          <w:rFonts w:ascii="Sylfaen" w:hAnsi="Sylfaen"/>
          <w:sz w:val="24"/>
          <w:szCs w:val="24"/>
        </w:rPr>
        <w:t>և</w:t>
      </w:r>
      <w:r w:rsidRPr="00834D52">
        <w:rPr>
          <w:rFonts w:ascii="Sylfaen" w:hAnsi="Sylfaen"/>
          <w:sz w:val="24"/>
          <w:szCs w:val="24"/>
        </w:rPr>
        <w:t xml:space="preserve">ի փաստաթուղթ, որը հաստատում է դեղապատրաստուկի գրանցման փաստը </w:t>
      </w:r>
      <w:r w:rsidR="00C54D75">
        <w:rPr>
          <w:rFonts w:ascii="Sylfaen" w:hAnsi="Sylfaen"/>
          <w:sz w:val="24"/>
          <w:szCs w:val="24"/>
        </w:rPr>
        <w:t>և</w:t>
      </w:r>
      <w:r w:rsidRPr="00834D52">
        <w:rPr>
          <w:rFonts w:ascii="Sylfaen" w:hAnsi="Sylfaen"/>
          <w:sz w:val="24"/>
          <w:szCs w:val="24"/>
        </w:rPr>
        <w:t xml:space="preserve"> հանդիսանում է անդամ պետության տարածքում դրա բժշկական կիրառման համար թույլտվություն. </w:t>
      </w:r>
    </w:p>
    <w:p w14:paraId="1CAC7783" w14:textId="77777777" w:rsidR="006F76EB" w:rsidRPr="00834D52" w:rsidRDefault="006F76EB" w:rsidP="007D7DA2">
      <w:pPr>
        <w:tabs>
          <w:tab w:val="left" w:pos="1134"/>
        </w:tabs>
        <w:spacing w:after="160" w:line="384" w:lineRule="auto"/>
        <w:ind w:right="-8" w:firstLine="567"/>
        <w:jc w:val="both"/>
        <w:rPr>
          <w:rFonts w:ascii="Sylfaen" w:eastAsia="Times New Roman" w:hAnsi="Sylfaen" w:cs="Times New Roman"/>
          <w:spacing w:val="-4"/>
          <w:sz w:val="24"/>
          <w:szCs w:val="24"/>
        </w:rPr>
      </w:pPr>
      <w:r w:rsidRPr="001268BB">
        <w:rPr>
          <w:rFonts w:ascii="Sylfaen" w:hAnsi="Sylfaen"/>
          <w:spacing w:val="-4"/>
          <w:sz w:val="24"/>
          <w:szCs w:val="24"/>
        </w:rPr>
        <w:t>գրանցման համար՝</w:t>
      </w:r>
      <w:r w:rsidRPr="00834D52">
        <w:rPr>
          <w:rFonts w:ascii="Sylfaen" w:hAnsi="Sylfaen"/>
          <w:spacing w:val="-4"/>
          <w:sz w:val="24"/>
          <w:szCs w:val="24"/>
        </w:rPr>
        <w:t xml:space="preserve"> ծածկագրային նշագիր, որը տրվում է դեղապատրաստուկին անդամ պետության տարածքում գրանցման փաստի հիման վրա. </w:t>
      </w:r>
    </w:p>
    <w:p w14:paraId="1F71A5CC" w14:textId="77777777" w:rsidR="006F76EB" w:rsidRPr="00834D52" w:rsidRDefault="006F76EB" w:rsidP="007D7DA2">
      <w:pPr>
        <w:tabs>
          <w:tab w:val="left" w:pos="1134"/>
        </w:tabs>
        <w:spacing w:after="160" w:line="384" w:lineRule="auto"/>
        <w:ind w:right="-8" w:firstLine="567"/>
        <w:jc w:val="both"/>
        <w:rPr>
          <w:rFonts w:ascii="Sylfaen" w:eastAsia="Times New Roman" w:hAnsi="Sylfaen" w:cs="Times New Roman"/>
          <w:sz w:val="24"/>
          <w:szCs w:val="24"/>
        </w:rPr>
      </w:pPr>
      <w:r w:rsidRPr="001268BB">
        <w:rPr>
          <w:rFonts w:ascii="Sylfaen" w:hAnsi="Sylfaen"/>
          <w:sz w:val="24"/>
          <w:szCs w:val="24"/>
        </w:rPr>
        <w:t>դեղապատրաստուկի գրանցում՝</w:t>
      </w:r>
      <w:r w:rsidRPr="00834D52">
        <w:rPr>
          <w:rFonts w:ascii="Sylfaen" w:hAnsi="Sylfaen"/>
          <w:sz w:val="24"/>
          <w:szCs w:val="24"/>
        </w:rPr>
        <w:t xml:space="preserve"> մեկ կամ մի քանի անդամ պետությունների տարածքներում դեղապատրաստուկի բժշկական կիրառման թույլտվություն ստանալու գործընթաց, որն իրականացվում է սույն Կանոններին համապատասխան.</w:t>
      </w:r>
    </w:p>
    <w:p w14:paraId="65F24857" w14:textId="77777777" w:rsidR="006F76EB" w:rsidRPr="00834D52" w:rsidRDefault="00A13B22"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 xml:space="preserve">ռեֆերենտ </w:t>
      </w:r>
      <w:r w:rsidR="006F76EB" w:rsidRPr="001268BB">
        <w:rPr>
          <w:rFonts w:ascii="Sylfaen" w:hAnsi="Sylfaen"/>
          <w:sz w:val="24"/>
          <w:szCs w:val="24"/>
        </w:rPr>
        <w:t>պետություն</w:t>
      </w:r>
      <w:r w:rsidR="006F76EB" w:rsidRPr="00834D52">
        <w:rPr>
          <w:rFonts w:ascii="Sylfaen" w:hAnsi="Sylfaen"/>
          <w:sz w:val="24"/>
          <w:szCs w:val="24"/>
        </w:rPr>
        <w:t xml:space="preserve">՝ անդամ պետություն, որը դեղապատրաստուկի՝ սույն Կանոններին համապատասխան անցկացված փորձաքննության հիման վրա </w:t>
      </w:r>
      <w:r w:rsidR="006F76EB" w:rsidRPr="00834D52">
        <w:rPr>
          <w:rFonts w:ascii="Sylfaen" w:hAnsi="Sylfaen"/>
          <w:sz w:val="24"/>
          <w:szCs w:val="24"/>
        </w:rPr>
        <w:lastRenderedPageBreak/>
        <w:t xml:space="preserve">իրականացնում է դեղապատրաստուկի անվտանգության, արդյունավետության </w:t>
      </w:r>
      <w:r w:rsidR="00C54D75">
        <w:rPr>
          <w:rFonts w:ascii="Sylfaen" w:hAnsi="Sylfaen"/>
          <w:sz w:val="24"/>
          <w:szCs w:val="24"/>
        </w:rPr>
        <w:t>և</w:t>
      </w:r>
      <w:r w:rsidR="006F76EB" w:rsidRPr="00834D52">
        <w:rPr>
          <w:rFonts w:ascii="Sylfaen" w:hAnsi="Sylfaen"/>
          <w:sz w:val="24"/>
          <w:szCs w:val="24"/>
        </w:rPr>
        <w:t xml:space="preserve"> որակի գնահատման մասին փորձագիտական հաշվետվության նախապատրաստումը.</w:t>
      </w:r>
    </w:p>
    <w:p w14:paraId="1ACE2B84" w14:textId="77777777" w:rsidR="006F76EB" w:rsidRPr="00834D52" w:rsidRDefault="001F0017"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 xml:space="preserve">ռեֆերենտ </w:t>
      </w:r>
      <w:r w:rsidR="006F76EB" w:rsidRPr="001268BB">
        <w:rPr>
          <w:rFonts w:ascii="Sylfaen" w:hAnsi="Sylfaen"/>
          <w:sz w:val="24"/>
          <w:szCs w:val="24"/>
        </w:rPr>
        <w:t>դեղապատրաստուկ՝</w:t>
      </w:r>
      <w:r w:rsidR="006F76EB" w:rsidRPr="00834D52">
        <w:rPr>
          <w:rFonts w:ascii="Sylfaen" w:hAnsi="Sylfaen"/>
          <w:sz w:val="24"/>
          <w:szCs w:val="24"/>
        </w:rPr>
        <w:t xml:space="preserve"> դեղապատրաստուկ, որն օգտագործվում է որպես </w:t>
      </w:r>
      <w:r w:rsidR="00D0720C">
        <w:rPr>
          <w:rFonts w:ascii="Sylfaen" w:hAnsi="Sylfaen"/>
          <w:sz w:val="24"/>
          <w:szCs w:val="24"/>
        </w:rPr>
        <w:t>ռեֆերենտ</w:t>
      </w:r>
      <w:r w:rsidR="006F76EB" w:rsidRPr="00834D52">
        <w:rPr>
          <w:rFonts w:ascii="Sylfaen" w:hAnsi="Sylfaen"/>
          <w:sz w:val="24"/>
          <w:szCs w:val="24"/>
        </w:rPr>
        <w:t xml:space="preserve"> պատրաստուկ </w:t>
      </w:r>
      <w:r w:rsidR="00C54D75">
        <w:rPr>
          <w:rFonts w:ascii="Sylfaen" w:hAnsi="Sylfaen"/>
          <w:sz w:val="24"/>
          <w:szCs w:val="24"/>
        </w:rPr>
        <w:t>և</w:t>
      </w:r>
      <w:r w:rsidR="006F76EB" w:rsidRPr="00834D52">
        <w:rPr>
          <w:rFonts w:ascii="Sylfaen" w:hAnsi="Sylfaen"/>
          <w:sz w:val="24"/>
          <w:szCs w:val="24"/>
        </w:rPr>
        <w:t xml:space="preserve"> հանդիսանում է չափանմուշ, որով սահմանվում են (նորմավորվում են) դեղապատրաստուկի հատկությունները.</w:t>
      </w:r>
    </w:p>
    <w:p w14:paraId="72682EB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դեղապատրաստուկի կիրառման հետ կապված ռիսկեր՝</w:t>
      </w:r>
      <w:r w:rsidRPr="00834D52">
        <w:rPr>
          <w:rFonts w:ascii="Sylfaen" w:hAnsi="Sylfaen"/>
          <w:sz w:val="24"/>
          <w:szCs w:val="24"/>
        </w:rPr>
        <w:t xml:space="preserve"> դեղապատրաստուկի որակի, անվտանգության կամ արդյունավետության հետ կապված ցանկացած ռիսկ՝ պացիենտների կամ բնակչության առողջության համար, կամ շրջակա միջավայրի վրա անցանկալի ազդեցության հանգեցնող ռիսկեր.</w:t>
      </w:r>
    </w:p>
    <w:p w14:paraId="21D5BC9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մասնագիր՝</w:t>
      </w:r>
      <w:r w:rsidRPr="00834D52">
        <w:rPr>
          <w:rFonts w:ascii="Sylfaen" w:hAnsi="Sylfaen"/>
          <w:sz w:val="24"/>
          <w:szCs w:val="24"/>
        </w:rPr>
        <w:t xml:space="preserve"> որակի ցուցանիշների ցանկ, վերլուծական մեթոդիկաներին </w:t>
      </w:r>
      <w:r w:rsidR="00C54D75">
        <w:rPr>
          <w:rFonts w:ascii="Sylfaen" w:hAnsi="Sylfaen"/>
          <w:sz w:val="24"/>
          <w:szCs w:val="24"/>
        </w:rPr>
        <w:t>և</w:t>
      </w:r>
      <w:r w:rsidRPr="00834D52">
        <w:rPr>
          <w:rFonts w:ascii="Sylfaen" w:hAnsi="Sylfaen"/>
          <w:sz w:val="24"/>
          <w:szCs w:val="24"/>
        </w:rPr>
        <w:t xml:space="preserve"> փորձարկումներին </w:t>
      </w:r>
      <w:r w:rsidR="00C54D75">
        <w:rPr>
          <w:rFonts w:ascii="Sylfaen" w:hAnsi="Sylfaen"/>
          <w:sz w:val="24"/>
          <w:szCs w:val="24"/>
        </w:rPr>
        <w:t>և</w:t>
      </w:r>
      <w:r w:rsidRPr="00834D52">
        <w:rPr>
          <w:rFonts w:ascii="Sylfaen" w:hAnsi="Sylfaen"/>
          <w:sz w:val="24"/>
          <w:szCs w:val="24"/>
        </w:rPr>
        <w:t xml:space="preserve"> թվային (քանակական) սահմաններ, ընդգրկույթներ </w:t>
      </w:r>
      <w:r w:rsidR="00C54D75">
        <w:rPr>
          <w:rFonts w:ascii="Sylfaen" w:hAnsi="Sylfaen"/>
          <w:sz w:val="24"/>
          <w:szCs w:val="24"/>
        </w:rPr>
        <w:t>և</w:t>
      </w:r>
      <w:r w:rsidRPr="00834D52">
        <w:rPr>
          <w:rFonts w:ascii="Sylfaen" w:hAnsi="Sylfaen"/>
          <w:sz w:val="24"/>
          <w:szCs w:val="24"/>
        </w:rPr>
        <w:t xml:space="preserve"> որակի նշված ցուցանիշների համար այլ չափորոշիչներ հանդիսացող նորմերին հղումների ցանկ.</w:t>
      </w:r>
    </w:p>
    <w:p w14:paraId="1FB09BB0"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ստանդարտ նմուշ՝</w:t>
      </w:r>
      <w:r w:rsidRPr="00834D52">
        <w:rPr>
          <w:rFonts w:ascii="Sylfaen" w:hAnsi="Sylfaen"/>
          <w:sz w:val="24"/>
          <w:szCs w:val="24"/>
        </w:rPr>
        <w:t xml:space="preserve"> նույնականացված համասեռ նյութ կամ նյութերի խառնուրդ, որը նախատեսված է այնպիսի քիմիական, ֆիզիկական </w:t>
      </w:r>
      <w:r w:rsidR="00C54D75">
        <w:rPr>
          <w:rFonts w:ascii="Sylfaen" w:hAnsi="Sylfaen"/>
          <w:sz w:val="24"/>
          <w:szCs w:val="24"/>
        </w:rPr>
        <w:t>և</w:t>
      </w:r>
      <w:r w:rsidRPr="00834D52">
        <w:rPr>
          <w:rFonts w:ascii="Sylfaen" w:hAnsi="Sylfaen"/>
          <w:sz w:val="24"/>
          <w:szCs w:val="24"/>
        </w:rPr>
        <w:t xml:space="preserve"> կենսաբանական հետազոտություններում օգտագործման համար, որոնցում դրա հատկությունները համեմատվում են հետազոտվող դեղամիջոցի հատկությունների հետ, </w:t>
      </w:r>
      <w:r w:rsidR="00C54D75">
        <w:rPr>
          <w:rFonts w:ascii="Sylfaen" w:hAnsi="Sylfaen"/>
          <w:sz w:val="24"/>
          <w:szCs w:val="24"/>
        </w:rPr>
        <w:t>և</w:t>
      </w:r>
      <w:r w:rsidRPr="00834D52">
        <w:rPr>
          <w:rFonts w:ascii="Sylfaen" w:hAnsi="Sylfaen"/>
          <w:sz w:val="24"/>
          <w:szCs w:val="24"/>
        </w:rPr>
        <w:t xml:space="preserve"> ունի համապատասխան կիրառման համար բավարար մաքրության աստիճան.</w:t>
      </w:r>
    </w:p>
    <w:p w14:paraId="5551769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b/>
          <w:sz w:val="24"/>
          <w:szCs w:val="24"/>
        </w:rPr>
      </w:pPr>
      <w:r w:rsidRPr="001268BB">
        <w:rPr>
          <w:rFonts w:ascii="Sylfaen" w:hAnsi="Sylfaen"/>
          <w:sz w:val="24"/>
          <w:szCs w:val="24"/>
        </w:rPr>
        <w:t>դեղապատրաստուկի առ</w:t>
      </w:r>
      <w:r w:rsidR="00C54D75">
        <w:rPr>
          <w:rFonts w:ascii="Sylfaen" w:hAnsi="Sylfaen"/>
          <w:sz w:val="24"/>
          <w:szCs w:val="24"/>
        </w:rPr>
        <w:t>և</w:t>
      </w:r>
      <w:r w:rsidRPr="001268BB">
        <w:rPr>
          <w:rFonts w:ascii="Sylfaen" w:hAnsi="Sylfaen"/>
          <w:sz w:val="24"/>
          <w:szCs w:val="24"/>
        </w:rPr>
        <w:t>տրային անվանում՝</w:t>
      </w:r>
      <w:r w:rsidRPr="00834D52">
        <w:rPr>
          <w:rFonts w:ascii="Sylfaen" w:hAnsi="Sylfaen"/>
          <w:sz w:val="24"/>
          <w:szCs w:val="24"/>
        </w:rPr>
        <w:t xml:space="preserve"> անվանում, որի ներքո գրանցվել է դեղապատրաստուկը.</w:t>
      </w:r>
    </w:p>
    <w:p w14:paraId="313E8B64"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դեղագործական բաղադրամաս (ակտիվ դեղագործական բաղադրամաս)՝</w:t>
      </w:r>
      <w:r w:rsidRPr="00834D52">
        <w:rPr>
          <w:rFonts w:ascii="Sylfaen" w:hAnsi="Sylfaen"/>
          <w:sz w:val="24"/>
          <w:szCs w:val="24"/>
        </w:rPr>
        <w:t xml:space="preserve"> դեղապատրաստուկների արտադրության </w:t>
      </w:r>
      <w:r w:rsidR="00C54D75">
        <w:rPr>
          <w:rFonts w:ascii="Sylfaen" w:hAnsi="Sylfaen"/>
          <w:sz w:val="24"/>
          <w:szCs w:val="24"/>
        </w:rPr>
        <w:t>և</w:t>
      </w:r>
      <w:r w:rsidRPr="00834D52">
        <w:rPr>
          <w:rFonts w:ascii="Sylfaen" w:hAnsi="Sylfaen"/>
          <w:sz w:val="24"/>
          <w:szCs w:val="24"/>
        </w:rPr>
        <w:t xml:space="preserve"> պատրաստման համար նախատեսված դեղամիջոց.</w:t>
      </w:r>
    </w:p>
    <w:p w14:paraId="477658B0" w14:textId="77777777" w:rsidR="006F76EB" w:rsidRPr="00DB039F"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 xml:space="preserve">անվտանգության, արդյունավետության </w:t>
      </w:r>
      <w:r w:rsidR="00C54D75">
        <w:rPr>
          <w:rFonts w:ascii="Sylfaen" w:hAnsi="Sylfaen"/>
          <w:sz w:val="24"/>
          <w:szCs w:val="24"/>
        </w:rPr>
        <w:t>և</w:t>
      </w:r>
      <w:r w:rsidRPr="001268BB">
        <w:rPr>
          <w:rFonts w:ascii="Sylfaen" w:hAnsi="Sylfaen"/>
          <w:sz w:val="24"/>
          <w:szCs w:val="24"/>
        </w:rPr>
        <w:t xml:space="preserve"> որակի գնահատման մասին փորձագիտական հաշվետվություն (գնահատման մասին փորձագիտական </w:t>
      </w:r>
      <w:r w:rsidRPr="001268BB">
        <w:rPr>
          <w:rFonts w:ascii="Sylfaen" w:hAnsi="Sylfaen"/>
          <w:sz w:val="24"/>
          <w:szCs w:val="24"/>
        </w:rPr>
        <w:lastRenderedPageBreak/>
        <w:t>հաշվետվություն)՝</w:t>
      </w:r>
      <w:r w:rsidRPr="00834D52">
        <w:rPr>
          <w:rFonts w:ascii="Sylfaen" w:hAnsi="Sylfaen"/>
          <w:b/>
          <w:sz w:val="24"/>
          <w:szCs w:val="24"/>
        </w:rPr>
        <w:t xml:space="preserve"> </w:t>
      </w:r>
      <w:r w:rsidR="00902742">
        <w:rPr>
          <w:rFonts w:ascii="Sylfaen" w:hAnsi="Sylfaen"/>
          <w:sz w:val="24"/>
          <w:szCs w:val="24"/>
        </w:rPr>
        <w:t>ռեֆերենտ</w:t>
      </w:r>
      <w:r w:rsidR="00902742" w:rsidRPr="00834D52">
        <w:rPr>
          <w:rFonts w:ascii="Sylfaen" w:hAnsi="Sylfaen"/>
          <w:sz w:val="24"/>
          <w:szCs w:val="24"/>
        </w:rPr>
        <w:t xml:space="preserve"> </w:t>
      </w:r>
      <w:r w:rsidRPr="00834D52">
        <w:rPr>
          <w:rFonts w:ascii="Sylfaen" w:hAnsi="Sylfaen"/>
          <w:sz w:val="24"/>
          <w:szCs w:val="24"/>
        </w:rPr>
        <w:t xml:space="preserve">պետության փորձագիտական կազմակերպության կողմից նախապատարաստված փաստաթուղթ, որը պարունակում է դեղապատրաստուկի անվտանգության, արդյունավետության </w:t>
      </w:r>
      <w:r w:rsidR="00C54D75">
        <w:rPr>
          <w:rFonts w:ascii="Sylfaen" w:hAnsi="Sylfaen"/>
          <w:sz w:val="24"/>
          <w:szCs w:val="24"/>
        </w:rPr>
        <w:t>և</w:t>
      </w:r>
      <w:r w:rsidRPr="00834D52">
        <w:rPr>
          <w:rFonts w:ascii="Sylfaen" w:hAnsi="Sylfaen"/>
          <w:sz w:val="24"/>
          <w:szCs w:val="24"/>
        </w:rPr>
        <w:t xml:space="preserve"> որակի փորձաքննության արդյունքները </w:t>
      </w:r>
      <w:r w:rsidR="00C54D75">
        <w:rPr>
          <w:rFonts w:ascii="Sylfaen" w:hAnsi="Sylfaen"/>
          <w:sz w:val="24"/>
          <w:szCs w:val="24"/>
        </w:rPr>
        <w:t>և</w:t>
      </w:r>
      <w:r w:rsidRPr="00834D52">
        <w:rPr>
          <w:rFonts w:ascii="Sylfaen" w:hAnsi="Sylfaen"/>
          <w:sz w:val="24"/>
          <w:szCs w:val="24"/>
        </w:rPr>
        <w:t xml:space="preserve"> դեղապատրաստուկը գրանցելու, գրանցումը հաստատելու (վերագրանցելու), գրանցման դոսյեի մեջ փոփոխություններ կատարելու, Միության պահանջներին դեղապատրաստուկը համապատասխանեցնելու հնարավորության (կամ անհնարինության) մասին եզրակացություն</w:t>
      </w:r>
      <w:r>
        <w:rPr>
          <w:rFonts w:ascii="Sylfaen" w:hAnsi="Sylfaen"/>
          <w:sz w:val="24"/>
          <w:szCs w:val="24"/>
        </w:rPr>
        <w:t>.</w:t>
      </w:r>
    </w:p>
    <w:p w14:paraId="22353E3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1268BB">
        <w:rPr>
          <w:rFonts w:ascii="Sylfaen" w:hAnsi="Sylfaen"/>
          <w:sz w:val="24"/>
          <w:szCs w:val="24"/>
        </w:rPr>
        <w:t>դեղապատրաստուկի արդյունավետություն</w:t>
      </w:r>
      <w:r w:rsidRPr="00834D52">
        <w:rPr>
          <w:rFonts w:ascii="Sylfaen" w:hAnsi="Sylfaen"/>
          <w:sz w:val="24"/>
          <w:szCs w:val="24"/>
        </w:rPr>
        <w:t>՝ բնութագրերի ամբողջություն, որոնք ապահովում են կանխարգելիչ, ախտորոշիչ կամ բուժական էֆեկտին հասնելը կամ ֆիզիոլոգիական գործառույթի վերականգնումը, շտկումը կամ մոդիֆիկացումը:</w:t>
      </w:r>
    </w:p>
    <w:p w14:paraId="6FA09B7E" w14:textId="77777777" w:rsidR="006F76EB" w:rsidRPr="00834D52" w:rsidRDefault="006F76EB" w:rsidP="00ED52E1">
      <w:pPr>
        <w:tabs>
          <w:tab w:val="left" w:pos="1134"/>
        </w:tabs>
        <w:spacing w:after="160" w:line="360" w:lineRule="auto"/>
        <w:ind w:right="-8" w:firstLine="567"/>
        <w:jc w:val="center"/>
        <w:rPr>
          <w:rFonts w:ascii="Sylfaen" w:hAnsi="Sylfaen"/>
          <w:sz w:val="24"/>
          <w:szCs w:val="24"/>
        </w:rPr>
      </w:pPr>
    </w:p>
    <w:p w14:paraId="7F7A36F7"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III. Դեղապատրաստուկների </w:t>
      </w:r>
      <w:r w:rsidR="009D2161" w:rsidRPr="00955C1D">
        <w:rPr>
          <w:rFonts w:ascii="Sylfaen" w:hAnsi="Sylfaen"/>
          <w:sz w:val="24"/>
          <w:szCs w:val="24"/>
        </w:rPr>
        <w:br/>
      </w:r>
      <w:r w:rsidRPr="00834D52">
        <w:rPr>
          <w:rFonts w:ascii="Sylfaen" w:hAnsi="Sylfaen"/>
          <w:sz w:val="24"/>
          <w:szCs w:val="24"/>
        </w:rPr>
        <w:t>գրանցման ընդհանուր սկզբունքները</w:t>
      </w:r>
    </w:p>
    <w:p w14:paraId="0E9BAE39" w14:textId="77777777" w:rsidR="006F76EB" w:rsidRPr="00834D52" w:rsidRDefault="006F76EB" w:rsidP="00ED52E1">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20.</w:t>
      </w:r>
      <w:r w:rsidRPr="00834D52">
        <w:rPr>
          <w:rFonts w:ascii="Sylfaen" w:hAnsi="Sylfaen"/>
          <w:sz w:val="24"/>
          <w:szCs w:val="24"/>
        </w:rPr>
        <w:tab/>
        <w:t>Դեղապատրաստուկների գրանցումը կարող է իրականացվել հայտատուի պահանջով հաջորդաբար մի քանի անդամ պետություններում՝ փոխադարձ ճանաչման ընթացակարգին համապատասխան, կամ միաժամանակ մի քանի անդամ պետություններում՝ գրանցման ապակենտրոնացված ընթացակարգին համապատասխան.</w:t>
      </w:r>
    </w:p>
    <w:p w14:paraId="05778A5E" w14:textId="77777777" w:rsidR="006F76EB" w:rsidRPr="00834D52" w:rsidRDefault="006F76EB" w:rsidP="00ED52E1">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21.</w:t>
      </w:r>
      <w:r w:rsidRPr="00834D52">
        <w:rPr>
          <w:rFonts w:ascii="Sylfaen" w:hAnsi="Sylfaen"/>
          <w:sz w:val="24"/>
          <w:szCs w:val="24"/>
        </w:rPr>
        <w:tab/>
        <w:t>Փոխադարձ ճանաչման ընթացակարգն իրականացվում է՝</w:t>
      </w:r>
    </w:p>
    <w:p w14:paraId="5603DA77" w14:textId="77777777" w:rsidR="006F76EB" w:rsidRPr="00834D52" w:rsidRDefault="006F76EB" w:rsidP="00ED52E1">
      <w:pPr>
        <w:tabs>
          <w:tab w:val="left" w:pos="1134"/>
        </w:tabs>
        <w:spacing w:after="160" w:line="372" w:lineRule="auto"/>
        <w:ind w:right="-8" w:firstLine="567"/>
        <w:jc w:val="both"/>
        <w:rPr>
          <w:rFonts w:ascii="Sylfaen" w:hAnsi="Sylfaen"/>
          <w:sz w:val="24"/>
          <w:szCs w:val="24"/>
        </w:rPr>
      </w:pPr>
      <w:r w:rsidRPr="00834D52">
        <w:rPr>
          <w:rFonts w:ascii="Sylfaen" w:hAnsi="Sylfaen"/>
          <w:sz w:val="24"/>
          <w:szCs w:val="24"/>
        </w:rPr>
        <w:t>ա)</w:t>
      </w:r>
      <w:r w:rsidRPr="00834D52">
        <w:rPr>
          <w:rFonts w:ascii="Sylfaen" w:hAnsi="Sylfaen"/>
          <w:sz w:val="24"/>
          <w:szCs w:val="24"/>
        </w:rPr>
        <w:tab/>
      </w:r>
      <w:r w:rsidR="006B20D8">
        <w:rPr>
          <w:rFonts w:ascii="Sylfaen" w:hAnsi="Sylfaen"/>
          <w:sz w:val="24"/>
          <w:szCs w:val="24"/>
        </w:rPr>
        <w:t>ռեֆերենտ</w:t>
      </w:r>
      <w:r w:rsidR="006B20D8" w:rsidRPr="00834D52">
        <w:rPr>
          <w:rFonts w:ascii="Sylfaen" w:hAnsi="Sylfaen"/>
          <w:sz w:val="24"/>
          <w:szCs w:val="24"/>
        </w:rPr>
        <w:t xml:space="preserve"> </w:t>
      </w:r>
      <w:r w:rsidRPr="00834D52">
        <w:rPr>
          <w:rFonts w:ascii="Sylfaen" w:hAnsi="Sylfaen"/>
          <w:sz w:val="24"/>
          <w:szCs w:val="24"/>
        </w:rPr>
        <w:t>պետության կողմից միայն այդ պետության շուկայում դեղապատրաստուկի շրջանառության նպատակով՝ սույն Կանոններին համապատասխան (գրանցման ազգային ընթացակարգ).</w:t>
      </w:r>
    </w:p>
    <w:p w14:paraId="6CE0E869" w14:textId="77777777" w:rsidR="006F76EB" w:rsidRPr="00834D52" w:rsidRDefault="006F76EB" w:rsidP="00ED52E1">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ճանաչման պետություններում՝ հայտատուի ցանկությամբ՝ դեղապատրաստուկը փոխադարձ ճանաչման ընթացակարգով </w:t>
      </w:r>
      <w:r w:rsidR="006B20D8">
        <w:rPr>
          <w:rFonts w:ascii="Sylfaen" w:hAnsi="Sylfaen"/>
          <w:sz w:val="24"/>
          <w:szCs w:val="24"/>
        </w:rPr>
        <w:t>ռեֆերենտ</w:t>
      </w:r>
      <w:r w:rsidRPr="00834D52">
        <w:rPr>
          <w:rFonts w:ascii="Sylfaen" w:hAnsi="Sylfaen"/>
          <w:sz w:val="24"/>
          <w:szCs w:val="24"/>
        </w:rPr>
        <w:t xml:space="preserve"> պետությունում գրանցելուց հետո: </w:t>
      </w:r>
    </w:p>
    <w:p w14:paraId="0B40F48A" w14:textId="77777777" w:rsidR="006F76EB" w:rsidRPr="00834D52" w:rsidRDefault="006F76EB" w:rsidP="00ED52E1">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22.</w:t>
      </w:r>
      <w:r w:rsidRPr="00834D52">
        <w:rPr>
          <w:rFonts w:ascii="Sylfaen" w:hAnsi="Sylfaen"/>
          <w:sz w:val="24"/>
          <w:szCs w:val="24"/>
        </w:rPr>
        <w:tab/>
        <w:t xml:space="preserve">Գրանցման ապակենտրոնացված ընթացակարգն իրականացվում է միաժամանակ մի քանի անդամ պետությունների կողմից, որոնցում ներկայացվել է դեղապատրաստուկի գրանցման հայտը՝ ընտրելով </w:t>
      </w:r>
      <w:r w:rsidR="006B20D8">
        <w:rPr>
          <w:rFonts w:ascii="Sylfaen" w:hAnsi="Sylfaen"/>
          <w:sz w:val="24"/>
          <w:szCs w:val="24"/>
        </w:rPr>
        <w:t>ռեֆերենտ</w:t>
      </w:r>
      <w:r w:rsidRPr="00834D52">
        <w:rPr>
          <w:rFonts w:ascii="Sylfaen" w:hAnsi="Sylfaen"/>
          <w:sz w:val="24"/>
          <w:szCs w:val="24"/>
        </w:rPr>
        <w:t xml:space="preserve"> պետությունը:</w:t>
      </w:r>
    </w:p>
    <w:p w14:paraId="55F2174A" w14:textId="77777777" w:rsidR="006F76EB" w:rsidRPr="00834D52" w:rsidRDefault="006F76EB" w:rsidP="006F76EB">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23.</w:t>
      </w:r>
      <w:r w:rsidRPr="00834D52">
        <w:rPr>
          <w:rFonts w:ascii="Sylfaen" w:hAnsi="Sylfaen"/>
          <w:sz w:val="24"/>
          <w:szCs w:val="24"/>
        </w:rPr>
        <w:tab/>
        <w:t xml:space="preserve">Հայտատուն ինքնուրույն է կատարում </w:t>
      </w:r>
      <w:r w:rsidR="006B20D8">
        <w:rPr>
          <w:rFonts w:ascii="Sylfaen" w:hAnsi="Sylfaen"/>
          <w:sz w:val="24"/>
          <w:szCs w:val="24"/>
        </w:rPr>
        <w:t>ռեֆերենտ</w:t>
      </w:r>
      <w:r w:rsidRPr="00834D52">
        <w:rPr>
          <w:rFonts w:ascii="Sylfaen" w:hAnsi="Sylfaen"/>
          <w:sz w:val="24"/>
          <w:szCs w:val="24"/>
        </w:rPr>
        <w:t xml:space="preserve"> պետության </w:t>
      </w:r>
      <w:r w:rsidR="00C54D75">
        <w:rPr>
          <w:rFonts w:ascii="Sylfaen" w:hAnsi="Sylfaen"/>
          <w:sz w:val="24"/>
          <w:szCs w:val="24"/>
        </w:rPr>
        <w:t>և</w:t>
      </w:r>
      <w:r w:rsidRPr="00834D52">
        <w:rPr>
          <w:rFonts w:ascii="Sylfaen" w:hAnsi="Sylfaen"/>
          <w:sz w:val="24"/>
          <w:szCs w:val="24"/>
        </w:rPr>
        <w:t xml:space="preserve"> անհրաժեշտության դեպքում ճանաչման պետության ընտրությունը դեղապատրաստուկի գրանցման հայտը ներկայացնելիս:</w:t>
      </w:r>
    </w:p>
    <w:p w14:paraId="437464D3" w14:textId="77777777" w:rsidR="006F76EB" w:rsidRPr="00834D52" w:rsidRDefault="006F76EB" w:rsidP="006F76EB">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24.</w:t>
      </w:r>
      <w:r w:rsidRPr="00834D52">
        <w:rPr>
          <w:rFonts w:ascii="Sylfaen" w:hAnsi="Sylfaen"/>
          <w:sz w:val="24"/>
          <w:szCs w:val="24"/>
        </w:rPr>
        <w:tab/>
        <w:t xml:space="preserve">Միայն մեկ պետություն կարող է հանդես գալ որպես </w:t>
      </w:r>
      <w:r w:rsidR="006B20D8">
        <w:rPr>
          <w:rFonts w:ascii="Sylfaen" w:hAnsi="Sylfaen"/>
          <w:sz w:val="24"/>
          <w:szCs w:val="24"/>
        </w:rPr>
        <w:t>ռեֆերենտ</w:t>
      </w:r>
      <w:r w:rsidRPr="00834D52">
        <w:rPr>
          <w:rFonts w:ascii="Sylfaen" w:hAnsi="Sylfaen"/>
          <w:sz w:val="24"/>
          <w:szCs w:val="24"/>
        </w:rPr>
        <w:t xml:space="preserve"> պետություն:</w:t>
      </w:r>
    </w:p>
    <w:p w14:paraId="634CBE8E" w14:textId="77777777" w:rsidR="006F76EB" w:rsidRPr="00834D52" w:rsidRDefault="006F76EB" w:rsidP="006F76EB">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25.</w:t>
      </w:r>
      <w:r w:rsidRPr="00834D52">
        <w:rPr>
          <w:rFonts w:ascii="Sylfaen" w:hAnsi="Sylfaen"/>
          <w:sz w:val="24"/>
          <w:szCs w:val="24"/>
        </w:rPr>
        <w:tab/>
      </w:r>
      <w:r w:rsidRPr="00360CBD">
        <w:rPr>
          <w:rFonts w:ascii="Sylfaen" w:hAnsi="Sylfaen"/>
          <w:spacing w:val="6"/>
          <w:sz w:val="24"/>
          <w:szCs w:val="24"/>
        </w:rPr>
        <w:t>Դեղապատրաստուկի գրանցմանը ներկայացվող ընդհանուր տեխնիկական փաստաթղթի ձ</w:t>
      </w:r>
      <w:r w:rsidR="00C54D75">
        <w:rPr>
          <w:rFonts w:ascii="Sylfaen" w:hAnsi="Sylfaen"/>
          <w:spacing w:val="6"/>
          <w:sz w:val="24"/>
          <w:szCs w:val="24"/>
        </w:rPr>
        <w:t>և</w:t>
      </w:r>
      <w:r w:rsidRPr="00360CBD">
        <w:rPr>
          <w:rFonts w:ascii="Sylfaen" w:hAnsi="Sylfaen"/>
          <w:spacing w:val="6"/>
          <w:sz w:val="24"/>
          <w:szCs w:val="24"/>
        </w:rPr>
        <w:t xml:space="preserve">աչափով՝ փաստաթղթերին </w:t>
      </w:r>
      <w:r w:rsidR="00C54D75">
        <w:rPr>
          <w:rFonts w:ascii="Sylfaen" w:hAnsi="Sylfaen"/>
          <w:spacing w:val="6"/>
          <w:sz w:val="24"/>
          <w:szCs w:val="24"/>
        </w:rPr>
        <w:t>և</w:t>
      </w:r>
      <w:r w:rsidRPr="00360CBD">
        <w:rPr>
          <w:rFonts w:ascii="Sylfaen" w:hAnsi="Sylfaen"/>
          <w:spacing w:val="6"/>
          <w:sz w:val="24"/>
          <w:szCs w:val="24"/>
        </w:rPr>
        <w:t xml:space="preserve"> գրանցման դոսյեի տվյալներին ներկայացվող պահանջները սահմանված են սույն Կանոնների թիվ</w:t>
      </w:r>
      <w:r w:rsidRPr="00834D52">
        <w:rPr>
          <w:rFonts w:ascii="Sylfaen" w:hAnsi="Sylfaen"/>
          <w:sz w:val="24"/>
          <w:szCs w:val="24"/>
        </w:rPr>
        <w:t xml:space="preserve"> 1-5 հավելվածներով:</w:t>
      </w:r>
    </w:p>
    <w:p w14:paraId="12372781" w14:textId="77777777" w:rsidR="006F76EB" w:rsidRPr="00834D52" w:rsidRDefault="006F76EB" w:rsidP="006F76EB">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26.</w:t>
      </w:r>
      <w:r w:rsidRPr="00834D52">
        <w:rPr>
          <w:rFonts w:ascii="Sylfaen" w:hAnsi="Sylfaen"/>
          <w:sz w:val="24"/>
          <w:szCs w:val="24"/>
        </w:rPr>
        <w:tab/>
        <w:t>Մինչ</w:t>
      </w:r>
      <w:r w:rsidR="00C54D75">
        <w:rPr>
          <w:rFonts w:ascii="Sylfaen" w:hAnsi="Sylfaen"/>
          <w:sz w:val="24"/>
          <w:szCs w:val="24"/>
        </w:rPr>
        <w:t>և</w:t>
      </w:r>
      <w:r w:rsidRPr="00834D52">
        <w:rPr>
          <w:rFonts w:ascii="Sylfaen" w:hAnsi="Sylfaen"/>
          <w:sz w:val="24"/>
          <w:szCs w:val="24"/>
        </w:rPr>
        <w:t xml:space="preserve"> դեղապատրաստուկի գրանցման հայտը ներկայացնելը լիազորված մարմինները կամ փորձագիտական կազմակերպություններն իրավունք ունեն, հայտատուի հարցման հիման վրա, անդամ պետությունների օրենսդրությանը համապատասխան, անցկացնելու գիտական </w:t>
      </w:r>
      <w:r w:rsidR="00C54D75">
        <w:rPr>
          <w:rFonts w:ascii="Sylfaen" w:hAnsi="Sylfaen"/>
          <w:sz w:val="24"/>
          <w:szCs w:val="24"/>
        </w:rPr>
        <w:t>և</w:t>
      </w:r>
      <w:r w:rsidRPr="00834D52">
        <w:rPr>
          <w:rFonts w:ascii="Sylfaen" w:hAnsi="Sylfaen"/>
          <w:sz w:val="24"/>
          <w:szCs w:val="24"/>
        </w:rPr>
        <w:t xml:space="preserve"> նախագրանցումային խորհրդակցություններ՝ վերլուծական փորձարկումների, 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(փորձարկումների) անցկացման հետ կապված հարցերի, գրանցման ընթացակարգի ասպեկտների վերաբերյալ, այդ թվում՝ որակավորմանը, դեղապատրաստուկի գրանցման հայտի տարատեսակներին առնչվող հարցերի վերաբերյալ՝ գրանցման դոսյեի լրակազմության առնչությամբ փաստաթղթերի </w:t>
      </w:r>
      <w:r w:rsidR="00C54D75">
        <w:rPr>
          <w:rFonts w:ascii="Sylfaen" w:hAnsi="Sylfaen"/>
          <w:sz w:val="24"/>
          <w:szCs w:val="24"/>
        </w:rPr>
        <w:t>և</w:t>
      </w:r>
      <w:r w:rsidRPr="00834D52">
        <w:rPr>
          <w:rFonts w:ascii="Sylfaen" w:hAnsi="Sylfaen"/>
          <w:sz w:val="24"/>
          <w:szCs w:val="24"/>
        </w:rPr>
        <w:t xml:space="preserve"> գրանցման դոսյեի տվյալների ծավալը որոշելու նպատակով, ճանաչման պետություններում փոխկապակցված անձանց սահմանմանը, հայտի </w:t>
      </w:r>
      <w:r w:rsidR="00C54D75">
        <w:rPr>
          <w:rFonts w:ascii="Sylfaen" w:hAnsi="Sylfaen"/>
          <w:sz w:val="24"/>
          <w:szCs w:val="24"/>
        </w:rPr>
        <w:t>և</w:t>
      </w:r>
      <w:r w:rsidRPr="00834D52">
        <w:rPr>
          <w:rFonts w:ascii="Sylfaen" w:hAnsi="Sylfaen"/>
          <w:sz w:val="24"/>
          <w:szCs w:val="24"/>
        </w:rPr>
        <w:t xml:space="preserve"> գրանցման դոսյեի ներկայացման ձ</w:t>
      </w:r>
      <w:r w:rsidR="00C54D75">
        <w:rPr>
          <w:rFonts w:ascii="Sylfaen" w:hAnsi="Sylfaen"/>
          <w:sz w:val="24"/>
          <w:szCs w:val="24"/>
        </w:rPr>
        <w:t>և</w:t>
      </w:r>
      <w:r w:rsidRPr="00834D52">
        <w:rPr>
          <w:rFonts w:ascii="Sylfaen" w:hAnsi="Sylfaen"/>
          <w:sz w:val="24"/>
          <w:szCs w:val="24"/>
        </w:rPr>
        <w:t xml:space="preserve">աչափին, փորձագիտական կազմակերպությունում կամ ըստ դեղապատրաստուկի նշանակության որակի լաբորատոր փորձաքննություն անցկացնելու համար </w:t>
      </w:r>
      <w:r w:rsidRPr="00834D52">
        <w:rPr>
          <w:rFonts w:ascii="Sylfaen" w:hAnsi="Sylfaen"/>
          <w:sz w:val="24"/>
          <w:szCs w:val="24"/>
        </w:rPr>
        <w:lastRenderedPageBreak/>
        <w:t xml:space="preserve">անհրաժեշտ դեղապատրաստուկի նմուշներ, ստանդարտ նմուշներ, նյութեր, սպեցիֆիկ ռեակտիվներ, սպառման նյութեր տրամադրելու անհրաժեշտությանն առնչվող </w:t>
      </w:r>
      <w:r w:rsidR="00C54D75">
        <w:rPr>
          <w:rFonts w:ascii="Sylfaen" w:hAnsi="Sylfaen"/>
          <w:sz w:val="24"/>
          <w:szCs w:val="24"/>
        </w:rPr>
        <w:t>և</w:t>
      </w:r>
      <w:r w:rsidRPr="00834D52">
        <w:rPr>
          <w:rFonts w:ascii="Sylfaen" w:hAnsi="Sylfaen"/>
          <w:sz w:val="24"/>
          <w:szCs w:val="24"/>
        </w:rPr>
        <w:t xml:space="preserve"> այլ հարցերի վերաբերյալ: </w:t>
      </w:r>
    </w:p>
    <w:p w14:paraId="68F3322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27.</w:t>
      </w:r>
      <w:r w:rsidRPr="00834D52">
        <w:rPr>
          <w:rFonts w:ascii="Sylfaen" w:hAnsi="Sylfaen"/>
          <w:sz w:val="24"/>
          <w:szCs w:val="24"/>
        </w:rPr>
        <w:tab/>
        <w:t xml:space="preserve">Դեղապատրաստուկը գրանցելու, գրանցումը հաստատելու (վերագրանցելու), գրանցման դոսյեում փոփոխություններ կատարելու ընթացակարգերի կամ գրանցման հետ կապված ընթացակարգերի անցկացման ընթացքում դեղամիջոցների անցկացված նախակլինիկական (ոչ կլինիկական) հետազոտությունների (փորձարկումների) </w:t>
      </w:r>
      <w:r w:rsidR="00C54D75">
        <w:rPr>
          <w:rFonts w:ascii="Sylfaen" w:hAnsi="Sylfaen"/>
          <w:sz w:val="24"/>
          <w:szCs w:val="24"/>
        </w:rPr>
        <w:t>և</w:t>
      </w:r>
      <w:r w:rsidRPr="00834D52">
        <w:rPr>
          <w:rFonts w:ascii="Sylfaen" w:hAnsi="Sylfaen"/>
          <w:sz w:val="24"/>
          <w:szCs w:val="24"/>
        </w:rPr>
        <w:t xml:space="preserve"> դեղապատրաստուկների կլինիկական հետազոտությունների (փորձարկումների) կամ դեղամիջոցի արտադրության, այդ թվում՝ դեղագործական սուբստանցիայի արտադրության կամ դեղազգոնության համակարգի կազմակերպման առնչությամբ հայտատուի՝ գրանցման դոսյեում ներկայացրած տեղեկությունների հավաստիությունը կասկածի ենթարկող փաստեր հայտնաբերելու դեպքում </w:t>
      </w:r>
      <w:r w:rsidR="006B20D8">
        <w:rPr>
          <w:rFonts w:ascii="Sylfaen" w:hAnsi="Sylfaen"/>
          <w:sz w:val="24"/>
          <w:szCs w:val="24"/>
        </w:rPr>
        <w:t>ռեֆերենտ</w:t>
      </w:r>
      <w:r w:rsidRPr="00834D52">
        <w:rPr>
          <w:rFonts w:ascii="Sylfaen" w:hAnsi="Sylfaen"/>
          <w:sz w:val="24"/>
          <w:szCs w:val="24"/>
        </w:rPr>
        <w:t xml:space="preserve"> պետության լիազորված մարմինը կամ փորձագիտական կազմակերպությունը նախաձեռնում է այդ պետության դեղագործական տեսչության կողմից տեսչական ստուգման անցկացում՝ համապատասխան պատշաճ դեղագործական գործունեության պահանջների պահպանման մասով: Այդպիսի տեսչական ստուգումներ կարող են նա</w:t>
      </w:r>
      <w:r w:rsidR="00C54D75">
        <w:rPr>
          <w:rFonts w:ascii="Sylfaen" w:hAnsi="Sylfaen"/>
          <w:sz w:val="24"/>
          <w:szCs w:val="24"/>
        </w:rPr>
        <w:t>և</w:t>
      </w:r>
      <w:r w:rsidRPr="00834D52">
        <w:rPr>
          <w:rFonts w:ascii="Sylfaen" w:hAnsi="Sylfaen"/>
          <w:sz w:val="24"/>
          <w:szCs w:val="24"/>
        </w:rPr>
        <w:t xml:space="preserve"> նախաձեռնվել սույն Կանոնների 31-րդ, 33-րդ, 35-րդ, 37-39-րդ կետերում նշված դեպքերում: Համապատասխան արտապլանային տեսչական ստուգումները դրանց անհրաժեշտության դեպքում ժամանակին նախաձեռնելու համար պատասխանատվություն է կրում </w:t>
      </w:r>
      <w:r w:rsidR="00753550">
        <w:rPr>
          <w:rFonts w:ascii="Sylfaen" w:hAnsi="Sylfaen"/>
          <w:sz w:val="24"/>
          <w:szCs w:val="24"/>
        </w:rPr>
        <w:t>ռեֆերենտ</w:t>
      </w:r>
      <w:r w:rsidR="00753550" w:rsidRPr="00834D52">
        <w:rPr>
          <w:rFonts w:ascii="Sylfaen" w:hAnsi="Sylfaen"/>
          <w:sz w:val="24"/>
          <w:szCs w:val="24"/>
        </w:rPr>
        <w:t xml:space="preserve"> </w:t>
      </w:r>
      <w:r w:rsidRPr="00834D52">
        <w:rPr>
          <w:rFonts w:ascii="Sylfaen" w:hAnsi="Sylfaen"/>
          <w:sz w:val="24"/>
          <w:szCs w:val="24"/>
        </w:rPr>
        <w:t xml:space="preserve">պետության լիազորված մարմինը: </w:t>
      </w:r>
    </w:p>
    <w:p w14:paraId="54D7645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28.</w:t>
      </w:r>
      <w:r w:rsidRPr="00834D52">
        <w:rPr>
          <w:rFonts w:ascii="Sylfaen" w:hAnsi="Sylfaen"/>
          <w:sz w:val="24"/>
          <w:szCs w:val="24"/>
        </w:rPr>
        <w:tab/>
        <w:t>Դեղամիջոցների արտադրությունը պետք է համապատասխանի Եվրասիական տնտեսական միության պատշաճ արտադրական գործունեության կանոններին:</w:t>
      </w:r>
    </w:p>
    <w:p w14:paraId="663178E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29.</w:t>
      </w:r>
      <w:r w:rsidRPr="00834D52">
        <w:rPr>
          <w:rFonts w:ascii="Sylfaen" w:hAnsi="Sylfaen"/>
          <w:sz w:val="24"/>
          <w:szCs w:val="24"/>
        </w:rPr>
        <w:tab/>
        <w:t xml:space="preserve">Դեղապատրաստուկը գրանցելու, գրանցումը հաստատելու (վերագրանցելու), Միության պահանջներին համապատասխանեցնելու հայտ ներկայացնելիս հայտատուն պետք է գրանցման դոսյեի կազմում ներկայացնի գործող փաստաթուղթ, որով հաստատվում է այն արտադրական հարթակի </w:t>
      </w:r>
      <w:r w:rsidRPr="00834D52">
        <w:rPr>
          <w:rFonts w:ascii="Sylfaen" w:hAnsi="Sylfaen"/>
          <w:sz w:val="24"/>
          <w:szCs w:val="24"/>
        </w:rPr>
        <w:lastRenderedPageBreak/>
        <w:t>(արտադրական հարթակների)՝ Միության պատշաճ արտադրական գործունեության պահանջներին համապատասխան լինելը, որտեղ իրականացվում են պատրաստի դեղաձ</w:t>
      </w:r>
      <w:r w:rsidR="00C54D75">
        <w:rPr>
          <w:rFonts w:ascii="Sylfaen" w:hAnsi="Sylfaen"/>
          <w:sz w:val="24"/>
          <w:szCs w:val="24"/>
        </w:rPr>
        <w:t>և</w:t>
      </w:r>
      <w:r w:rsidRPr="00834D52">
        <w:rPr>
          <w:rFonts w:ascii="Sylfaen" w:hAnsi="Sylfaen"/>
          <w:sz w:val="24"/>
          <w:szCs w:val="24"/>
        </w:rPr>
        <w:t xml:space="preserve">ի արտադրությունը </w:t>
      </w:r>
      <w:r w:rsidR="00C54D75">
        <w:rPr>
          <w:rFonts w:ascii="Sylfaen" w:hAnsi="Sylfaen"/>
          <w:sz w:val="24"/>
          <w:szCs w:val="24"/>
        </w:rPr>
        <w:t>և</w:t>
      </w:r>
      <w:r w:rsidRPr="00834D52">
        <w:rPr>
          <w:rFonts w:ascii="Sylfaen" w:hAnsi="Sylfaen"/>
          <w:sz w:val="24"/>
          <w:szCs w:val="24"/>
        </w:rPr>
        <w:t xml:space="preserve"> գրանցելու, գրանցումը հաստատելու (վերագրանցելու), Միության պահանջներին համապատասխանեցնելու համար հայտարկվող դեղապատրաստուկի բացթողման համար անհրաժեշտ որակի հսկողությունը:</w:t>
      </w:r>
    </w:p>
    <w:p w14:paraId="12F9310F" w14:textId="68905A09" w:rsidR="006F76EB" w:rsidRDefault="006F76EB" w:rsidP="00DB0024">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Մինչ</w:t>
      </w:r>
      <w:r w:rsidR="00C54D75">
        <w:rPr>
          <w:rFonts w:ascii="Sylfaen" w:hAnsi="Sylfaen"/>
          <w:sz w:val="24"/>
          <w:szCs w:val="24"/>
        </w:rPr>
        <w:t>և</w:t>
      </w:r>
      <w:r w:rsidRPr="00834D52">
        <w:rPr>
          <w:rFonts w:ascii="Sylfaen" w:hAnsi="Sylfaen"/>
          <w:sz w:val="24"/>
          <w:szCs w:val="24"/>
        </w:rPr>
        <w:t xml:space="preserve"> </w:t>
      </w:r>
      <w:r w:rsidR="00E15E7D" w:rsidRPr="00B96C43">
        <w:rPr>
          <w:rFonts w:ascii="Sylfaen" w:hAnsi="Sylfaen"/>
          <w:sz w:val="24"/>
          <w:szCs w:val="24"/>
        </w:rPr>
        <w:t>2020 թվականի դեկտեմբերի 31-ը</w:t>
      </w:r>
      <w:r w:rsidR="00E15E7D" w:rsidRPr="00834D52">
        <w:rPr>
          <w:rFonts w:ascii="Sylfaen" w:hAnsi="Sylfaen"/>
          <w:sz w:val="24"/>
          <w:szCs w:val="24"/>
        </w:rPr>
        <w:t xml:space="preserve"> </w:t>
      </w:r>
      <w:r w:rsidRPr="00834D52">
        <w:rPr>
          <w:rFonts w:ascii="Sylfaen" w:hAnsi="Sylfaen"/>
          <w:sz w:val="24"/>
          <w:szCs w:val="24"/>
        </w:rPr>
        <w:t>դեղապատրաստուկի արտադրական հարթակի (արտադրական հարթակների) առնչությամբ հայտատուն իրավունք ունի Միության պատշաճ արտադրական գործունեության պահանջներին համապատասխան լինելը հաստատող փաստաթղթի փոխարեն ներկայացնելու պատրաստի դեղաձ</w:t>
      </w:r>
      <w:r w:rsidR="00C54D75">
        <w:rPr>
          <w:rFonts w:ascii="Sylfaen" w:hAnsi="Sylfaen"/>
          <w:sz w:val="24"/>
          <w:szCs w:val="24"/>
        </w:rPr>
        <w:t>և</w:t>
      </w:r>
      <w:r w:rsidRPr="00834D52">
        <w:rPr>
          <w:rFonts w:ascii="Sylfaen" w:hAnsi="Sylfaen"/>
          <w:sz w:val="24"/>
          <w:szCs w:val="24"/>
        </w:rPr>
        <w:t xml:space="preserve">ի արտադրություն </w:t>
      </w:r>
      <w:r w:rsidR="00C54D75">
        <w:rPr>
          <w:rFonts w:ascii="Sylfaen" w:hAnsi="Sylfaen"/>
          <w:sz w:val="24"/>
          <w:szCs w:val="24"/>
        </w:rPr>
        <w:t>և</w:t>
      </w:r>
      <w:r w:rsidRPr="00834D52">
        <w:rPr>
          <w:rFonts w:ascii="Sylfaen" w:hAnsi="Sylfaen"/>
          <w:sz w:val="24"/>
          <w:szCs w:val="24"/>
        </w:rPr>
        <w:t xml:space="preserve"> դեղապատրաստուկի բացթողման համար անհրաժեշտ որակի հսկողություն իրականացնող արտադրական հարթակի (արտադրական հարթակների)՝ պատշաճ արտադրական պրակտիկայի պահանջներին համապատասխան լինելը հաստատող փաստաթուղթ, որը տրվել է դեղապատրաստուկն արտադրողին անդամ պետությունների լիազորված մարմնի կողմից:</w:t>
      </w:r>
    </w:p>
    <w:p w14:paraId="04DAEF87" w14:textId="6743A12D" w:rsidR="00E15E7D" w:rsidRPr="008E4EB1" w:rsidRDefault="00E15E7D" w:rsidP="00DB0024">
      <w:pPr>
        <w:tabs>
          <w:tab w:val="left" w:pos="1134"/>
        </w:tabs>
        <w:spacing w:after="160" w:line="384" w:lineRule="auto"/>
        <w:ind w:right="-6" w:firstLine="567"/>
        <w:jc w:val="both"/>
        <w:rPr>
          <w:rFonts w:ascii="Sylfaen" w:eastAsia="Times New Roman" w:hAnsi="Sylfaen" w:cs="Times New Roman"/>
          <w:b/>
          <w:bCs/>
          <w:i/>
          <w:iCs/>
          <w:sz w:val="24"/>
          <w:szCs w:val="24"/>
        </w:rPr>
      </w:pPr>
      <w:r w:rsidRPr="008E4EB1">
        <w:rPr>
          <w:rFonts w:ascii="Sylfaen" w:hAnsi="Sylfaen"/>
          <w:b/>
          <w:bCs/>
          <w:i/>
          <w:iCs/>
          <w:sz w:val="24"/>
          <w:szCs w:val="24"/>
        </w:rPr>
        <w:t>(</w:t>
      </w:r>
      <w:r w:rsidRPr="00E15E7D">
        <w:rPr>
          <w:rFonts w:ascii="Sylfaen" w:hAnsi="Sylfaen"/>
          <w:b/>
          <w:bCs/>
          <w:i/>
          <w:iCs/>
          <w:sz w:val="24"/>
          <w:szCs w:val="24"/>
        </w:rPr>
        <w:t>29-րդ կետը փոփ. 14.06.18 թիվ 55</w:t>
      </w:r>
      <w:r w:rsidRPr="008E4EB1">
        <w:rPr>
          <w:rFonts w:ascii="Sylfaen" w:hAnsi="Sylfaen"/>
          <w:b/>
          <w:bCs/>
          <w:i/>
          <w:iCs/>
          <w:sz w:val="24"/>
          <w:szCs w:val="24"/>
        </w:rPr>
        <w:t>)</w:t>
      </w:r>
    </w:p>
    <w:p w14:paraId="7CDBC3D1" w14:textId="10CC190C" w:rsidR="006F76EB" w:rsidRPr="00834D52" w:rsidRDefault="006F76EB" w:rsidP="00DB0024">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30.</w:t>
      </w:r>
      <w:r w:rsidRPr="00834D52">
        <w:rPr>
          <w:rFonts w:ascii="Sylfaen" w:hAnsi="Sylfaen"/>
          <w:sz w:val="24"/>
          <w:szCs w:val="24"/>
        </w:rPr>
        <w:tab/>
        <w:t>Դեղապատրաստուկի արտադրական հարթակի (արտադրական հարթակների)՝ Միության պատշաճ արտադրական գործունեության պահանջներին համապատասխան լինելը հաստատող գործող փաստաթուղթ ներկայացնելու անհնարինության դեպքում հայտատուն դեղապատրաստուկի գրանցման կամ Միության պահանջներին համապատասխանեցման վերաբերյալ հայտը մինչ</w:t>
      </w:r>
      <w:r w:rsidR="00C54D75">
        <w:rPr>
          <w:rFonts w:ascii="Sylfaen" w:hAnsi="Sylfaen"/>
          <w:sz w:val="24"/>
          <w:szCs w:val="24"/>
        </w:rPr>
        <w:t>և</w:t>
      </w:r>
      <w:r w:rsidRPr="00834D52">
        <w:rPr>
          <w:rFonts w:ascii="Sylfaen" w:hAnsi="Sylfaen"/>
          <w:sz w:val="24"/>
          <w:szCs w:val="24"/>
        </w:rPr>
        <w:t xml:space="preserve"> </w:t>
      </w:r>
      <w:r w:rsidR="00E15E7D" w:rsidRPr="00B96C43">
        <w:rPr>
          <w:rFonts w:ascii="Sylfaen" w:hAnsi="Sylfaen"/>
          <w:sz w:val="24"/>
          <w:szCs w:val="24"/>
        </w:rPr>
        <w:t>2020 թվականի դեկտեմբերի 31-ը</w:t>
      </w:r>
      <w:r w:rsidR="00E15E7D" w:rsidRPr="00834D52">
        <w:rPr>
          <w:rFonts w:ascii="Sylfaen" w:hAnsi="Sylfaen"/>
          <w:sz w:val="24"/>
          <w:szCs w:val="24"/>
        </w:rPr>
        <w:t xml:space="preserve"> </w:t>
      </w:r>
      <w:r w:rsidRPr="00834D52">
        <w:rPr>
          <w:rFonts w:ascii="Sylfaen" w:hAnsi="Sylfaen"/>
          <w:sz w:val="24"/>
          <w:szCs w:val="24"/>
        </w:rPr>
        <w:t>ներկայացնելիս տվյալ փաստաթղթի փոխարեն ներկայացնում է հետ</w:t>
      </w:r>
      <w:r w:rsidR="00C54D75">
        <w:rPr>
          <w:rFonts w:ascii="Sylfaen" w:hAnsi="Sylfaen"/>
          <w:sz w:val="24"/>
          <w:szCs w:val="24"/>
        </w:rPr>
        <w:t>և</w:t>
      </w:r>
      <w:r w:rsidRPr="00834D52">
        <w:rPr>
          <w:rFonts w:ascii="Sylfaen" w:hAnsi="Sylfaen"/>
          <w:sz w:val="24"/>
          <w:szCs w:val="24"/>
        </w:rPr>
        <w:t xml:space="preserve">յալ փաստաթղթերը </w:t>
      </w:r>
      <w:r w:rsidR="00C54D75">
        <w:rPr>
          <w:rFonts w:ascii="Sylfaen" w:hAnsi="Sylfaen"/>
          <w:sz w:val="24"/>
          <w:szCs w:val="24"/>
        </w:rPr>
        <w:t>և</w:t>
      </w:r>
      <w:r w:rsidRPr="00834D52">
        <w:rPr>
          <w:rFonts w:ascii="Sylfaen" w:hAnsi="Sylfaen"/>
          <w:sz w:val="24"/>
          <w:szCs w:val="24"/>
        </w:rPr>
        <w:t xml:space="preserve"> տեղեկությունները՝</w:t>
      </w:r>
    </w:p>
    <w:p w14:paraId="15F4320C"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պատրաստի դեղաձ</w:t>
      </w:r>
      <w:r w:rsidR="00C54D75">
        <w:rPr>
          <w:rFonts w:ascii="Sylfaen" w:hAnsi="Sylfaen"/>
          <w:sz w:val="24"/>
          <w:szCs w:val="24"/>
        </w:rPr>
        <w:t>և</w:t>
      </w:r>
      <w:r w:rsidRPr="00834D52">
        <w:rPr>
          <w:rFonts w:ascii="Sylfaen" w:hAnsi="Sylfaen"/>
          <w:sz w:val="24"/>
          <w:szCs w:val="24"/>
        </w:rPr>
        <w:t xml:space="preserve">ի արտադրություն </w:t>
      </w:r>
      <w:r w:rsidR="00C54D75">
        <w:rPr>
          <w:rFonts w:ascii="Sylfaen" w:hAnsi="Sylfaen"/>
          <w:sz w:val="24"/>
          <w:szCs w:val="24"/>
        </w:rPr>
        <w:t>և</w:t>
      </w:r>
      <w:r w:rsidRPr="00834D52">
        <w:rPr>
          <w:rFonts w:ascii="Sylfaen" w:hAnsi="Sylfaen"/>
          <w:sz w:val="24"/>
          <w:szCs w:val="24"/>
        </w:rPr>
        <w:t xml:space="preserve"> դեղապատրաստուկի բացթողման համար անհրաժեշտ որակի հսկողություն իրականացնող </w:t>
      </w:r>
      <w:r w:rsidRPr="00834D52">
        <w:rPr>
          <w:rFonts w:ascii="Sylfaen" w:hAnsi="Sylfaen"/>
          <w:sz w:val="24"/>
          <w:szCs w:val="24"/>
        </w:rPr>
        <w:lastRenderedPageBreak/>
        <w:t>արտադրական հարթակի (արտադրական հարթակների)՝ պատշաճ արտադրական գործունեության պահանջներին համապատասխան լինելը հաստատող գործող փաստաթղթեր, որոնք տրվել են դեղապատրաստուկն արտադրող երկրի լիազորված մարմնի կողմից դեղապատրաստուկն արտադրողին.</w:t>
      </w:r>
    </w:p>
    <w:p w14:paraId="5430B96B"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արտադրական հարթակի (արտադրության փուլերում արտադրական հարթակների) վերջին այն տեսչական ստուգման արդյունքների մասին հաշվետվության պատճեն, որն անցկացվել է արտադրող երկրի լիազորված մարմնի </w:t>
      </w:r>
      <w:r w:rsidR="00C54D75">
        <w:rPr>
          <w:rFonts w:ascii="Sylfaen" w:hAnsi="Sylfaen"/>
          <w:sz w:val="24"/>
          <w:szCs w:val="24"/>
        </w:rPr>
        <w:t>և</w:t>
      </w:r>
      <w:r w:rsidRPr="00834D52">
        <w:rPr>
          <w:rFonts w:ascii="Sylfaen" w:hAnsi="Sylfaen"/>
          <w:sz w:val="24"/>
          <w:szCs w:val="24"/>
        </w:rPr>
        <w:t xml:space="preserve"> (կամ) այլ լիազորված մարմնի կողմից վերջին 3 տարիների ընթացքում.</w:t>
      </w:r>
    </w:p>
    <w:p w14:paraId="6C462D8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տվյալ արտադրական հարթակի (արտադրական հարթակների)՝ պատշաճ արտադրական գործունեության պահանջներին համապատասխան լինելու մասով վերջին 3 տարիների ընթացքում անցկացված բոլոր տեսչական ստուգումների արդյունքների մասին տեղեկություններ.</w:t>
      </w:r>
    </w:p>
    <w:p w14:paraId="5B4CED2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տվյալ արտադրական հարթակում (արտադրական հարթակներում) արտադրված դեղապատրաստուկների որակի առնչությամբ վերջին 3 տարիների ընթացքում ներկայացված վնասապահանջների մասին տեղեկություններ. </w:t>
      </w:r>
    </w:p>
    <w:p w14:paraId="3132E70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Միության պատշաճ արտադրական գործունեության պահանջներին համապատասխան լինելու մասով դեղագործական տեսչական ստուգում անցկացնելու համաձայնություն.</w:t>
      </w:r>
    </w:p>
    <w:p w14:paraId="08D5ED09" w14:textId="39CAAD81" w:rsidR="006F76EB" w:rsidRDefault="006F76EB" w:rsidP="006F76EB">
      <w:pPr>
        <w:tabs>
          <w:tab w:val="left" w:pos="1134"/>
        </w:tabs>
        <w:spacing w:after="160" w:line="360" w:lineRule="auto"/>
        <w:ind w:right="-8" w:firstLine="567"/>
        <w:jc w:val="both"/>
        <w:rPr>
          <w:rFonts w:ascii="Sylfaen" w:hAnsi="Sylfaen"/>
          <w:sz w:val="24"/>
          <w:szCs w:val="24"/>
        </w:rPr>
      </w:pPr>
      <w:r w:rsidRPr="00834D52">
        <w:rPr>
          <w:rFonts w:ascii="Sylfaen" w:hAnsi="Sylfaen"/>
          <w:sz w:val="24"/>
          <w:szCs w:val="24"/>
        </w:rPr>
        <w:t>զ)</w:t>
      </w:r>
      <w:r w:rsidRPr="00834D52">
        <w:rPr>
          <w:rFonts w:ascii="Sylfaen" w:hAnsi="Sylfaen"/>
          <w:sz w:val="24"/>
          <w:szCs w:val="24"/>
        </w:rPr>
        <w:tab/>
        <w:t>արտադրական հարթակի (արտադրական հարթակների) հիմնական դոսյեի պատճեն (մաստեր-ֆայլ):</w:t>
      </w:r>
    </w:p>
    <w:p w14:paraId="2F6EF845" w14:textId="1B29F473" w:rsidR="00E15E7D" w:rsidRPr="008E4EB1" w:rsidRDefault="00E15E7D" w:rsidP="00E15E7D">
      <w:pPr>
        <w:tabs>
          <w:tab w:val="left" w:pos="1134"/>
        </w:tabs>
        <w:spacing w:after="160" w:line="384" w:lineRule="auto"/>
        <w:ind w:right="-6" w:firstLine="567"/>
        <w:jc w:val="both"/>
        <w:rPr>
          <w:rFonts w:ascii="Sylfaen" w:eastAsia="Times New Roman" w:hAnsi="Sylfaen" w:cs="Times New Roman"/>
          <w:b/>
          <w:bCs/>
          <w:i/>
          <w:iCs/>
          <w:sz w:val="24"/>
          <w:szCs w:val="24"/>
        </w:rPr>
      </w:pPr>
      <w:r w:rsidRPr="008E4EB1">
        <w:rPr>
          <w:rFonts w:ascii="Sylfaen" w:hAnsi="Sylfaen"/>
          <w:b/>
          <w:bCs/>
          <w:i/>
          <w:iCs/>
          <w:sz w:val="24"/>
          <w:szCs w:val="24"/>
        </w:rPr>
        <w:t>(</w:t>
      </w:r>
      <w:r w:rsidRPr="00E15E7D">
        <w:rPr>
          <w:rFonts w:ascii="Sylfaen" w:hAnsi="Sylfaen"/>
          <w:b/>
          <w:bCs/>
          <w:i/>
          <w:iCs/>
          <w:sz w:val="24"/>
          <w:szCs w:val="24"/>
        </w:rPr>
        <w:t>30-րդ կետը փոփ. 14.06.18 թիվ 55</w:t>
      </w:r>
      <w:r w:rsidRPr="008E4EB1">
        <w:rPr>
          <w:rFonts w:ascii="Sylfaen" w:hAnsi="Sylfaen"/>
          <w:b/>
          <w:bCs/>
          <w:i/>
          <w:iCs/>
          <w:sz w:val="24"/>
          <w:szCs w:val="24"/>
        </w:rPr>
        <w:t>)</w:t>
      </w:r>
    </w:p>
    <w:p w14:paraId="11F31E8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31.</w:t>
      </w:r>
      <w:r w:rsidRPr="00834D52">
        <w:rPr>
          <w:rFonts w:ascii="Sylfaen" w:hAnsi="Sylfaen"/>
          <w:sz w:val="24"/>
          <w:szCs w:val="24"/>
        </w:rPr>
        <w:tab/>
        <w:t xml:space="preserve">Հաշվի առնելով հավանական ռիսկերի գնահատումը՝ </w:t>
      </w:r>
      <w:r w:rsidR="00B24BA9">
        <w:rPr>
          <w:rFonts w:ascii="Sylfaen" w:hAnsi="Sylfaen"/>
          <w:sz w:val="24"/>
          <w:szCs w:val="24"/>
        </w:rPr>
        <w:t>ռեֆերենտ</w:t>
      </w:r>
      <w:r w:rsidRPr="00834D52">
        <w:rPr>
          <w:rFonts w:ascii="Sylfaen" w:hAnsi="Sylfaen"/>
          <w:sz w:val="24"/>
          <w:szCs w:val="24"/>
        </w:rPr>
        <w:t xml:space="preserve"> պետությունը հայտատուի ներկայացրած՝ սույն Կանոնների 30-րդ կետում նշված փաստաթղթերի հիման վրա որոշում է ընդունում դեղապատրաստուկի առնչությամբ գրանցման ընթացակարգերի իրականացման ժամկետում Միության պատշաճ արտադրական գործունեության պահանջներին համապատասխան լինելու մասով արտապլանային դեղագործական տեսչական ստուգում </w:t>
      </w:r>
      <w:r w:rsidRPr="00834D52">
        <w:rPr>
          <w:rFonts w:ascii="Sylfaen" w:hAnsi="Sylfaen"/>
          <w:sz w:val="24"/>
          <w:szCs w:val="24"/>
        </w:rPr>
        <w:lastRenderedPageBreak/>
        <w:t>անցկացնելու անհրաժեշտության մասին կամ գրանցման ընթացակարգերի ավարտից հետո առաջին 3 տարում տեսչական ստուգումների անցկացման պլանում այն արտադրական հարթակի (արտադրական հարթակների) տեսչական ստուգումը ներառելու մասին, որտեղ իրականացվում է գրանցման կամ Միության պահանջներին համապատասխանեցման համար հայտարկվող դեղապատրաստուկի, այդ թվում՝ անհրաժեշտության դեպքում, դեղագործական սուբստանցիայի արտադրությունը:</w:t>
      </w:r>
    </w:p>
    <w:p w14:paraId="36E7EE7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w:t>
      </w:r>
      <w:r w:rsidRPr="00834D52">
        <w:rPr>
          <w:rFonts w:ascii="Sylfaen" w:hAnsi="Sylfaen"/>
          <w:sz w:val="24"/>
          <w:szCs w:val="24"/>
        </w:rPr>
        <w:tab/>
        <w:t xml:space="preserve">Դեղապատրաստուկի առնչությամբ գրանցման ընթացակարգերի անցկացման ժամկետում </w:t>
      </w:r>
      <w:r w:rsidR="009F49FE">
        <w:rPr>
          <w:rFonts w:ascii="Sylfaen" w:hAnsi="Sylfaen"/>
          <w:sz w:val="24"/>
          <w:szCs w:val="24"/>
        </w:rPr>
        <w:t xml:space="preserve">ռեֆերենտ </w:t>
      </w:r>
      <w:r w:rsidRPr="00834D52">
        <w:rPr>
          <w:rFonts w:ascii="Sylfaen" w:hAnsi="Sylfaen"/>
          <w:sz w:val="24"/>
          <w:szCs w:val="24"/>
        </w:rPr>
        <w:t xml:space="preserve">պետության կողմից դեղապատրաստուկի արտադրական հարթակի (արտադրական հարթակների) արտապլանային տեսչական ստուգում անցկացնելու անհնարինության՝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մարմնի կողմից փաստաղթային հիմնավորման դեպքում հայտատուն իրավունք ունի </w:t>
      </w:r>
      <w:r w:rsidR="009F49FE">
        <w:rPr>
          <w:rFonts w:ascii="Sylfaen" w:hAnsi="Sylfaen"/>
          <w:sz w:val="24"/>
          <w:szCs w:val="24"/>
        </w:rPr>
        <w:t xml:space="preserve">ռեֆերենտ </w:t>
      </w:r>
      <w:r w:rsidRPr="00834D52">
        <w:rPr>
          <w:rFonts w:ascii="Sylfaen" w:hAnsi="Sylfaen"/>
          <w:sz w:val="24"/>
          <w:szCs w:val="24"/>
        </w:rPr>
        <w:t>պետության հետ համաձայնեցմամբ դիմում ներկայացնելու անդամ պետություններից մեկին տվյալ արտադրական հարթակի (արտադրական հարթակների)՝ Միության պատշաճ արտադրական գործունեության պահանջներին համապատասխան լինելու մասով տեսչական ստուգում անցկացնելու մասին:</w:t>
      </w:r>
    </w:p>
    <w:p w14:paraId="7AB47D5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Ճանաչման պետության լիազորված մարմինների կողմից դեղապատրաստուկի արտադրական հարթակի (արտադրական հարթակների) արտապլանային տեսչական ստուգման անցկացումը գրավոր մերժելու դեպքում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պարտավոր է կազմակերպել </w:t>
      </w:r>
      <w:r w:rsidR="00C54D75">
        <w:rPr>
          <w:rFonts w:ascii="Sylfaen" w:hAnsi="Sylfaen"/>
          <w:sz w:val="24"/>
          <w:szCs w:val="24"/>
        </w:rPr>
        <w:t>և</w:t>
      </w:r>
      <w:r w:rsidRPr="00834D52">
        <w:rPr>
          <w:rFonts w:ascii="Sylfaen" w:hAnsi="Sylfaen"/>
          <w:sz w:val="24"/>
          <w:szCs w:val="24"/>
        </w:rPr>
        <w:t xml:space="preserve"> անցկացնել արտապլանային տեսչական ստուգում՝ դեղապատրաստուկի առնչությամբ գրանցման ընթացակարգերի անցկացման ժամկետում:</w:t>
      </w:r>
    </w:p>
    <w:p w14:paraId="79391CD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33.</w:t>
      </w:r>
      <w:r w:rsidRPr="00834D52">
        <w:rPr>
          <w:rFonts w:ascii="Sylfaen" w:hAnsi="Sylfaen"/>
          <w:sz w:val="24"/>
          <w:szCs w:val="24"/>
        </w:rPr>
        <w:tab/>
        <w:t xml:space="preserve">Միության պատշաճ արտադրական գործունեության պահանջներին համապատասխան լինելու մասով արտապլանային դեղագործական տեսչական ստուգում անցկացնելու անհրաժեշտության մասին որոշումն ընդունվում է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կողմից հետ</w:t>
      </w:r>
      <w:r w:rsidR="00C54D75">
        <w:rPr>
          <w:rFonts w:ascii="Sylfaen" w:hAnsi="Sylfaen"/>
          <w:sz w:val="24"/>
          <w:szCs w:val="24"/>
        </w:rPr>
        <w:t>և</w:t>
      </w:r>
      <w:r w:rsidRPr="00834D52">
        <w:rPr>
          <w:rFonts w:ascii="Sylfaen" w:hAnsi="Sylfaen"/>
          <w:sz w:val="24"/>
          <w:szCs w:val="24"/>
        </w:rPr>
        <w:t>յալի իրականացման ընթացքում՝</w:t>
      </w:r>
    </w:p>
    <w:p w14:paraId="1F153536"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ա)</w:t>
      </w:r>
      <w:r w:rsidRPr="00834D52">
        <w:rPr>
          <w:rFonts w:ascii="Sylfaen" w:hAnsi="Sylfaen"/>
          <w:sz w:val="24"/>
          <w:szCs w:val="24"/>
        </w:rPr>
        <w:tab/>
        <w:t>գրանցման ընթացակարգեր՝ պատրաստի դեղաձ</w:t>
      </w:r>
      <w:r w:rsidR="00C54D75">
        <w:rPr>
          <w:rFonts w:ascii="Sylfaen" w:hAnsi="Sylfaen"/>
          <w:sz w:val="24"/>
          <w:szCs w:val="24"/>
        </w:rPr>
        <w:t>և</w:t>
      </w:r>
      <w:r w:rsidRPr="00834D52">
        <w:rPr>
          <w:rFonts w:ascii="Sylfaen" w:hAnsi="Sylfaen"/>
          <w:sz w:val="24"/>
          <w:szCs w:val="24"/>
        </w:rPr>
        <w:t xml:space="preserve">ի արտադրություն </w:t>
      </w:r>
      <w:r w:rsidR="00C54D75">
        <w:rPr>
          <w:rFonts w:ascii="Sylfaen" w:hAnsi="Sylfaen"/>
          <w:sz w:val="24"/>
          <w:szCs w:val="24"/>
        </w:rPr>
        <w:t>և</w:t>
      </w:r>
      <w:r w:rsidRPr="00834D52">
        <w:rPr>
          <w:rFonts w:ascii="Sylfaen" w:hAnsi="Sylfaen"/>
          <w:sz w:val="24"/>
          <w:szCs w:val="24"/>
        </w:rPr>
        <w:t xml:space="preserve"> բացթողման համար անհրաժեշտ որակի հսկողություն իրականացնող այն հարթակներում արտադրված դեղապատրաստուկների համար, որոնք նախկինում չեն ենթարկվել տեսչական ստուգման առնվազն մեկ անդամ պետության լիազորված մարմնի (կազմակերպության) կողմից. </w:t>
      </w:r>
    </w:p>
    <w:p w14:paraId="0BA713E4"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Միության պահանջներին համապատասխանեցման ընթացակարգեր՝ անդամ պետություններում նախկինում գրանցված դեղապատրաստուկների համար այն արտադրական հարթակի (արտադրական հարթակների) նշման (ընդգրկման, փոփոխման) դեպքում, որը նախկինում չի ենթարկվել տեսչական ստուգման առնվազն մեկ անդամ պետության լիազորված մարմնի (կազմակերպության) կողմից:</w:t>
      </w:r>
    </w:p>
    <w:p w14:paraId="23B2B8F1"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34.</w:t>
      </w:r>
      <w:r w:rsidRPr="00834D52">
        <w:rPr>
          <w:rFonts w:ascii="Sylfaen" w:hAnsi="Sylfaen"/>
          <w:sz w:val="24"/>
          <w:szCs w:val="24"/>
        </w:rPr>
        <w:tab/>
        <w:t>Դեղամիջոցների անվտանգության նախակլինիկական հետազոտություններն անցկացվում են Միության՝ Հանձնաժողովի կողմից հաստատվող պատշաճ լաբորատոր գործունեության կանոնների պահանջներին համապատասխան:</w:t>
      </w:r>
    </w:p>
    <w:p w14:paraId="1A6DC859"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Դեղամիջոցների կլինիկական հետազոտություններն անցկացվում են Միության՝ Հանձնաժողովի կողմից հաստատվող պատշաճ կլինիկական գործունեության կանոնների պահանջներին համապատասխան:</w:t>
      </w:r>
    </w:p>
    <w:p w14:paraId="00ABCD29"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35.</w:t>
      </w:r>
      <w:r w:rsidRPr="00834D52">
        <w:rPr>
          <w:rFonts w:ascii="Sylfaen" w:hAnsi="Sylfaen"/>
          <w:sz w:val="24"/>
          <w:szCs w:val="24"/>
        </w:rPr>
        <w:tab/>
        <w:t xml:space="preserve">Միության անդամ չհանդիսացող պետություններում անցկացված՝ դեղամիջոցների անվտանգության նախակլինիկական հետազոտությունները դիտարկվում են դեղապատրաստուկների փորձաքննության ընթացքում՝ պայմանով, որ դրանք պլանավորվել, անցկացվել </w:t>
      </w:r>
      <w:r w:rsidR="00C54D75">
        <w:rPr>
          <w:rFonts w:ascii="Sylfaen" w:hAnsi="Sylfaen"/>
          <w:sz w:val="24"/>
          <w:szCs w:val="24"/>
        </w:rPr>
        <w:t>և</w:t>
      </w:r>
      <w:r w:rsidRPr="00834D52">
        <w:rPr>
          <w:rFonts w:ascii="Sylfaen" w:hAnsi="Sylfaen"/>
          <w:sz w:val="24"/>
          <w:szCs w:val="24"/>
        </w:rPr>
        <w:t xml:space="preserve"> նախակլինիկական հետազոտության մասին հաշվետվության մեջ նկարագրվել են պատշաճ լաբորատոր գործունեության՝ Միության պահանջներին համարժեք (կամ դրանցից ոչ ցածր) պահանջներին համապատասխան:</w:t>
      </w:r>
    </w:p>
    <w:p w14:paraId="59EA54AA"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Միության անդամ չհանդիսացող պետություններում անցկացված դեղապատրաստուկների կլինիկական հետազոտությունները դիտարկվում են դեղապատրաստուկների փորձաքննության ընթացքում՝ պայմանով, որ դրանք պլանավորվել, անցկացվել </w:t>
      </w:r>
      <w:r w:rsidR="00C54D75">
        <w:rPr>
          <w:rFonts w:ascii="Sylfaen" w:hAnsi="Sylfaen"/>
          <w:sz w:val="24"/>
          <w:szCs w:val="24"/>
        </w:rPr>
        <w:t>և</w:t>
      </w:r>
      <w:r w:rsidRPr="00834D52">
        <w:rPr>
          <w:rFonts w:ascii="Sylfaen" w:hAnsi="Sylfaen"/>
          <w:sz w:val="24"/>
          <w:szCs w:val="24"/>
        </w:rPr>
        <w:t xml:space="preserve"> կլինիկական հետազոտության մասին </w:t>
      </w:r>
      <w:r w:rsidRPr="00834D52">
        <w:rPr>
          <w:rFonts w:ascii="Sylfaen" w:hAnsi="Sylfaen"/>
          <w:sz w:val="24"/>
          <w:szCs w:val="24"/>
        </w:rPr>
        <w:lastRenderedPageBreak/>
        <w:t>հաշվետվության մեջ նկարագրվել են պատշաճ կլինիկական գործունեության՝ Միության պահանջներին համարժեք (կամ դրանցից ոչ ցածր), ինչպես նա</w:t>
      </w:r>
      <w:r w:rsidR="00C54D75">
        <w:rPr>
          <w:rFonts w:ascii="Sylfaen" w:hAnsi="Sylfaen"/>
          <w:sz w:val="24"/>
          <w:szCs w:val="24"/>
        </w:rPr>
        <w:t>և</w:t>
      </w:r>
      <w:r w:rsidRPr="00834D52">
        <w:rPr>
          <w:rFonts w:ascii="Sylfaen" w:hAnsi="Sylfaen"/>
          <w:sz w:val="24"/>
          <w:szCs w:val="24"/>
        </w:rPr>
        <w:t xml:space="preserve"> «Մարդու՝ որպես հետազոտության օբյեկտի մասնակցությամբ բժշկական հետազոտությունների էթիկայի սկզբունքները» Համաշխարհային բժշկական ասոցիացիայի Հելսինկյան հռչակագրի սկզբունքներին համապատասխան:</w:t>
      </w:r>
    </w:p>
    <w:p w14:paraId="0DBEF57F"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փորձաքննության ընթացքում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մարմինն իրավունք ունի նշանակելու Միության պատշաճ լաբորատոր գործունեության կանոնների պահպանման մասով արտապլանային տեսչական ստուգում հետ</w:t>
      </w:r>
      <w:r w:rsidR="00C54D75">
        <w:rPr>
          <w:rFonts w:ascii="Sylfaen" w:hAnsi="Sylfaen"/>
          <w:sz w:val="24"/>
          <w:szCs w:val="24"/>
        </w:rPr>
        <w:t>և</w:t>
      </w:r>
      <w:r w:rsidRPr="00834D52">
        <w:rPr>
          <w:rFonts w:ascii="Sylfaen" w:hAnsi="Sylfaen"/>
          <w:sz w:val="24"/>
          <w:szCs w:val="24"/>
        </w:rPr>
        <w:t>յալ դեպքերում՝</w:t>
      </w:r>
    </w:p>
    <w:p w14:paraId="71DCD21D"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փորձաքննության անցկացման ընթացքում նախակլինիկական հետազոտությունների անցկացման ընթացքում ստացված արդյունքների հավաստիությունը կասկածի ենթարկող փաստեր հայտնաբերելը.</w:t>
      </w:r>
    </w:p>
    <w:p w14:paraId="3F759F97"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հետազոտությունների կասկածելի (բժշկա-կենսաբանական տեսանկյունից անհավատալի կամ հակասական) արդյունքներ հայտնաբերելը.</w:t>
      </w:r>
    </w:p>
    <w:p w14:paraId="1E7843D7"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դեղագործական տեսչական ստուգումների անցկացման՝ Հանձնաժողովի կողմից հաստատվող կանոններով նախատեսված այլ հանգամանքների առկայությունը:</w:t>
      </w:r>
    </w:p>
    <w:p w14:paraId="06CF5CBC"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36.</w:t>
      </w:r>
      <w:r w:rsidRPr="00834D52">
        <w:rPr>
          <w:rFonts w:ascii="Sylfaen" w:hAnsi="Sylfaen"/>
          <w:sz w:val="24"/>
          <w:szCs w:val="24"/>
        </w:rPr>
        <w:tab/>
        <w:t>Դեղապատրաստուկը գրանցելիս անցկացված կլինիկական հետազոտությունների մասին հաշվետվությունները, որոնք ներառվել են դրա գրանցման դոսյեի 5-րդ մոդուլի կազմում, դիտարկվում են փորձաքննության ընթացքում հետ</w:t>
      </w:r>
      <w:r w:rsidR="00C54D75">
        <w:rPr>
          <w:rFonts w:ascii="Sylfaen" w:hAnsi="Sylfaen"/>
          <w:sz w:val="24"/>
          <w:szCs w:val="24"/>
        </w:rPr>
        <w:t>և</w:t>
      </w:r>
      <w:r w:rsidRPr="00834D52">
        <w:rPr>
          <w:rFonts w:ascii="Sylfaen" w:hAnsi="Sylfaen"/>
          <w:sz w:val="24"/>
          <w:szCs w:val="24"/>
        </w:rPr>
        <w:t>յալ պայմաններից մեկի պահպանման դեպքում.</w:t>
      </w:r>
    </w:p>
    <w:p w14:paraId="5C2552AA"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pacing w:val="6"/>
          <w:sz w:val="24"/>
          <w:szCs w:val="24"/>
        </w:rPr>
      </w:pPr>
      <w:r w:rsidRPr="00834D52">
        <w:rPr>
          <w:rFonts w:ascii="Sylfaen" w:hAnsi="Sylfaen"/>
          <w:spacing w:val="6"/>
          <w:sz w:val="24"/>
          <w:szCs w:val="24"/>
        </w:rPr>
        <w:t xml:space="preserve">կլինիկական հետազոտություններն անցկացվել են անդամ պետությունների օրենսդրությանը համապատասխան </w:t>
      </w:r>
      <w:r w:rsidR="00C54D75">
        <w:rPr>
          <w:rFonts w:ascii="Sylfaen" w:hAnsi="Sylfaen"/>
          <w:spacing w:val="6"/>
          <w:sz w:val="24"/>
          <w:szCs w:val="24"/>
        </w:rPr>
        <w:t>և</w:t>
      </w:r>
      <w:r w:rsidRPr="00834D52">
        <w:rPr>
          <w:rFonts w:ascii="Sylfaen" w:hAnsi="Sylfaen"/>
          <w:spacing w:val="6"/>
          <w:sz w:val="24"/>
          <w:szCs w:val="24"/>
        </w:rPr>
        <w:t xml:space="preserve"> դրանց տարածքում մինչ</w:t>
      </w:r>
      <w:r w:rsidR="00C54D75">
        <w:rPr>
          <w:rFonts w:ascii="Sylfaen" w:hAnsi="Sylfaen"/>
          <w:spacing w:val="6"/>
          <w:sz w:val="24"/>
          <w:szCs w:val="24"/>
        </w:rPr>
        <w:t>և</w:t>
      </w:r>
      <w:r w:rsidRPr="00834D52">
        <w:rPr>
          <w:rFonts w:ascii="Sylfaen" w:hAnsi="Sylfaen"/>
          <w:spacing w:val="6"/>
          <w:sz w:val="24"/>
          <w:szCs w:val="24"/>
        </w:rPr>
        <w:t xml:space="preserve"> 2016 </w:t>
      </w:r>
      <w:r w:rsidRPr="00834D52">
        <w:rPr>
          <w:rFonts w:ascii="Sylfaen" w:hAnsi="Sylfaen"/>
          <w:spacing w:val="-4"/>
          <w:sz w:val="24"/>
          <w:szCs w:val="24"/>
        </w:rPr>
        <w:t>թվականի հունվարի 1-ը (վերջին պացիենտի (կամավորի) վերջին այցի ամսաթվով) կամ շարունակվել են անցկացվել 2016 թվականի հունվարի 1-</w:t>
      </w:r>
      <w:r w:rsidRPr="00834D52">
        <w:rPr>
          <w:rFonts w:ascii="Sylfaen" w:hAnsi="Sylfaen"/>
          <w:spacing w:val="6"/>
          <w:sz w:val="24"/>
          <w:szCs w:val="24"/>
        </w:rPr>
        <w:t>ի դրությամբ (հետազոտությունում պացիենտների (կամավորների) ավարտված հավաքագրման դեպքում).</w:t>
      </w:r>
    </w:p>
    <w:p w14:paraId="1EE130B5"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կլինիկական հետազոտություններնը, որոնց հիման վրա </w:t>
      </w:r>
      <w:r w:rsidRPr="00834D52">
        <w:rPr>
          <w:rFonts w:ascii="Sylfaen" w:hAnsi="Sylfaen"/>
          <w:sz w:val="24"/>
          <w:szCs w:val="24"/>
        </w:rPr>
        <w:lastRenderedPageBreak/>
        <w:t>դեղապատրաստուկը գրանցվել է Բժշկական կիրառման դեղապատրաստուկների գրանցմանը ներկայացվող տեխնիկական պահանջների ներդաշնակեցման միջազգային համաժողովի (ICH) տարածաշրջանի երկրների տարածքներում, մասամբ կամ ամբողջությամբ անցկացվել են Բժշկական կիրառման դեղապատրաստուկների գրանցմանը ներկայացվող տեխնիկական պահանջների ներդաշնակեցման միջազգային համաժողովի (ICH) տարածաշրջանի երկրների տարածքներում մինչ</w:t>
      </w:r>
      <w:r w:rsidR="00C54D75">
        <w:rPr>
          <w:rFonts w:ascii="Sylfaen" w:hAnsi="Sylfaen"/>
          <w:sz w:val="24"/>
          <w:szCs w:val="24"/>
        </w:rPr>
        <w:t>և</w:t>
      </w:r>
      <w:r w:rsidRPr="00834D52">
        <w:rPr>
          <w:rFonts w:ascii="Sylfaen" w:hAnsi="Sylfaen"/>
          <w:sz w:val="24"/>
          <w:szCs w:val="24"/>
        </w:rPr>
        <w:t xml:space="preserve"> 2016 թվականի հունվարի 1-ը (վերջին պացիենտի վերջին այցի ամսաթվով). </w:t>
      </w:r>
    </w:p>
    <w:p w14:paraId="4016474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2016 թվականի հունվարի 1-ից հետո նախաձեռնված կլինիկական հետազոտություններն անցկացվել են Միության իրավունքի մաս կազմող միջազգային պայմանագրերին </w:t>
      </w:r>
      <w:r w:rsidR="00C54D75">
        <w:rPr>
          <w:rFonts w:ascii="Sylfaen" w:hAnsi="Sylfaen"/>
          <w:sz w:val="24"/>
          <w:szCs w:val="24"/>
        </w:rPr>
        <w:t>և</w:t>
      </w:r>
      <w:r w:rsidRPr="00834D52">
        <w:rPr>
          <w:rFonts w:ascii="Sylfaen" w:hAnsi="Sylfaen"/>
          <w:sz w:val="24"/>
          <w:szCs w:val="24"/>
        </w:rPr>
        <w:t xml:space="preserve"> ակտերին համապատասխան, ընդ որում, կլինիկական հետազոտություններից մեկը մասամբ կամ ամբողջությամբ (հետազոտության սուբյեկտներից ստացված տվյալների առնչությամբ) անցկացվել է Միության տարածքում:</w:t>
      </w:r>
    </w:p>
    <w:p w14:paraId="31B9391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սույն կետի երկրորդից չորրորդ պարբերություններում նշված պահանջները չեն կատարվում, մինչ</w:t>
      </w:r>
      <w:r w:rsidR="00C54D75">
        <w:rPr>
          <w:rFonts w:ascii="Sylfaen" w:hAnsi="Sylfaen"/>
          <w:sz w:val="24"/>
          <w:szCs w:val="24"/>
        </w:rPr>
        <w:t>և</w:t>
      </w:r>
      <w:r w:rsidRPr="00834D52">
        <w:rPr>
          <w:rFonts w:ascii="Sylfaen" w:hAnsi="Sylfaen"/>
          <w:sz w:val="24"/>
          <w:szCs w:val="24"/>
        </w:rPr>
        <w:t xml:space="preserve"> դեղապատրաստուկի գրանցման հայտ ներկայացնելը հայտատուն մասամբ կամ ամբողջությամբ անցկացնում է կլինիկական հետազոտություններ Միության տարածքում (առնվազն մեկ հետազոտություն՝ հայտատուի հայեցողությամբ </w:t>
      </w:r>
      <w:r w:rsidR="00C54D75">
        <w:rPr>
          <w:rFonts w:ascii="Sylfaen" w:hAnsi="Sylfaen"/>
          <w:sz w:val="24"/>
          <w:szCs w:val="24"/>
        </w:rPr>
        <w:t>և</w:t>
      </w:r>
      <w:r w:rsidRPr="00834D52">
        <w:rPr>
          <w:rFonts w:ascii="Sylfaen" w:hAnsi="Sylfaen"/>
          <w:sz w:val="24"/>
          <w:szCs w:val="24"/>
        </w:rPr>
        <w:t xml:space="preserve"> լիազորված մարմնի հետ համաձայնեցմամբ), կամ գրանցման դոսյեի փորձաքննության անցկացման ժամանակ լիազորված մարմնի որոշմամբ նշանակվում է այն կլինիկական կենտրոններից մեկի արտապլանային տեսչական ստուգումը, որոնցում անցկացվել է կլինիկական հետազոտությունը:</w:t>
      </w:r>
    </w:p>
    <w:p w14:paraId="29D13B4C"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Սույն կետի դրույթները չեն կիրառվում «որբ» դեղապատրաստուկների համար։</w:t>
      </w:r>
    </w:p>
    <w:p w14:paraId="5ADC8EB3"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37.</w:t>
      </w:r>
      <w:r w:rsidRPr="00834D52">
        <w:rPr>
          <w:rFonts w:ascii="Sylfaen" w:hAnsi="Sylfaen"/>
          <w:sz w:val="24"/>
          <w:szCs w:val="24"/>
        </w:rPr>
        <w:tab/>
        <w:t xml:space="preserve">Հաշվի առնելով հնարավոր ռիսկերի գնահատումը՝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հայտատուի ներկայացրած փաստաթղթերի հիման վրա որոշում է ընդունում դեղապատրաստուկի՝ Միության պատշաճ կլինիկական գործունեության պահանջներին համապատասխան լինելու մասով գրանցում իրականացնելու ժամկետում դեղապատրաստուկի կլինիկական </w:t>
      </w:r>
      <w:r w:rsidRPr="00834D52">
        <w:rPr>
          <w:rFonts w:ascii="Sylfaen" w:hAnsi="Sylfaen"/>
          <w:sz w:val="24"/>
          <w:szCs w:val="24"/>
        </w:rPr>
        <w:lastRenderedPageBreak/>
        <w:t>հետազոտությունների, այդ թվում՝ կենսահամարժեքության հետազոտությունների արտապլանային տեսչական ստուգում անցկացնելու անհրաժեշտության մասին կամ դեղապատրաստուկի գրանցումից հետո առաջին 3 տարում տեսչական ստուգումների անցկացման պլանում կլինիկական հետազոտության տեսչական ստուգումը ներառելու մասին: Այս դեպքում պլանային տեսչական ստուգումն անցկացվում է առնվազն մեկ հետազոտական կենտրոնում՝ դեղագործական տեսչական ստուգումների անցկացման՝ Հանձնաժողովի կողմից հաստատվող կանոններին համապատասխան:</w:t>
      </w:r>
    </w:p>
    <w:p w14:paraId="5A5B5CC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38.</w:t>
      </w:r>
      <w:r w:rsidRPr="00834D52">
        <w:rPr>
          <w:rFonts w:ascii="Sylfaen" w:hAnsi="Sylfaen"/>
          <w:sz w:val="24"/>
          <w:szCs w:val="24"/>
        </w:rPr>
        <w:tab/>
        <w:t>Կլինիկական հետազոտության՝ Միության պատշաճ կլինիկական գործունեության պահանջներին համապատասխան լինելու մասով արտապլանային տեսչական ստուգում անցկացնելու անհրաժեշտության մասին որոշումն ընդունվում է լիազորված մարմնի կողմից՝ հետ</w:t>
      </w:r>
      <w:r w:rsidR="00C54D75">
        <w:rPr>
          <w:rFonts w:ascii="Sylfaen" w:hAnsi="Sylfaen"/>
          <w:sz w:val="24"/>
          <w:szCs w:val="24"/>
        </w:rPr>
        <w:t>և</w:t>
      </w:r>
      <w:r w:rsidRPr="00834D52">
        <w:rPr>
          <w:rFonts w:ascii="Sylfaen" w:hAnsi="Sylfaen"/>
          <w:sz w:val="24"/>
          <w:szCs w:val="24"/>
        </w:rPr>
        <w:t xml:space="preserve">յալ գործոնների համալիր գնահատման հիման վրա. </w:t>
      </w:r>
    </w:p>
    <w:p w14:paraId="7E03A392"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Էթիկայի անկախ կոմիտեի կողմից կլինիկական հետազոտությանը հավանություն տալու մասին տեղեկատվության բացակայություն.</w:t>
      </w:r>
    </w:p>
    <w:p w14:paraId="6CA7115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հետազոտության մասնակիցների կողմից տրամադրվող տեղեկացված համաձայնություն կամ տեղեկատվություն ստանալու գործընթացի խախտման փաստերի հայտնաբերում.</w:t>
      </w:r>
    </w:p>
    <w:p w14:paraId="6051602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կլինիկական հետազոտության վարչարարական կառուցվածքի հետ կապված հարցերի առկայություն (տեղեկատվության բացակայություն կամ անհստակություն).</w:t>
      </w:r>
    </w:p>
    <w:p w14:paraId="2CE32D8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Հանձնաժողովի կողմից հաստատվող պատշաճ կլինիկական գործունեության կանոններին համապատասխան հետազոտության ընթացքում արձանագրության մեջ չարտացոլված էական ուղղումների առկայություն.</w:t>
      </w:r>
    </w:p>
    <w:p w14:paraId="22579BE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կլինիկական հետազոտության մասին արձանագրության </w:t>
      </w:r>
      <w:r w:rsidR="00C54D75">
        <w:rPr>
          <w:rFonts w:ascii="Sylfaen" w:hAnsi="Sylfaen"/>
          <w:sz w:val="24"/>
          <w:szCs w:val="24"/>
        </w:rPr>
        <w:t>և</w:t>
      </w:r>
      <w:r w:rsidRPr="00834D52">
        <w:rPr>
          <w:rFonts w:ascii="Sylfaen" w:hAnsi="Sylfaen"/>
          <w:sz w:val="24"/>
          <w:szCs w:val="24"/>
        </w:rPr>
        <w:t xml:space="preserve"> հաշվետվության մեջ արդյունավետության </w:t>
      </w:r>
      <w:r w:rsidR="00C54D75">
        <w:rPr>
          <w:rFonts w:ascii="Sylfaen" w:hAnsi="Sylfaen"/>
          <w:sz w:val="24"/>
          <w:szCs w:val="24"/>
        </w:rPr>
        <w:t>և</w:t>
      </w:r>
      <w:r w:rsidRPr="00834D52">
        <w:rPr>
          <w:rFonts w:ascii="Sylfaen" w:hAnsi="Sylfaen"/>
          <w:sz w:val="24"/>
          <w:szCs w:val="24"/>
        </w:rPr>
        <w:t xml:space="preserve"> (կամ) անվտանգության ցուցանիշների սահմանումը նկարագրող տեղեկությունների (կլինիկական նմուշներ վերցնելու, նույնականացնելու, մշակելու, քանակապես սահմանելու պայմանների </w:t>
      </w:r>
      <w:r w:rsidRPr="00834D52">
        <w:rPr>
          <w:rFonts w:ascii="Sylfaen" w:hAnsi="Sylfaen"/>
          <w:sz w:val="24"/>
          <w:szCs w:val="24"/>
        </w:rPr>
        <w:lastRenderedPageBreak/>
        <w:t>վերաբերյալ) բացակայություն կամ անբավարարություն.</w:t>
      </w:r>
    </w:p>
    <w:p w14:paraId="16055F77" w14:textId="77777777" w:rsidR="006F76EB" w:rsidRPr="00834D52" w:rsidRDefault="006F76EB" w:rsidP="00112DF4">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հետազոտության սուբյեկտների տվյալները, առանց պատճառների հիմնավորման, վիճակագրական վերլուծությունից հանելու մասին տեղեկությունների առկայություն.</w:t>
      </w:r>
    </w:p>
    <w:p w14:paraId="672C0A95" w14:textId="77777777" w:rsidR="006F76EB" w:rsidRPr="00834D52" w:rsidRDefault="006F76EB" w:rsidP="00112DF4">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կլինիկական հետազոտության առնչությամբ գրանցման դոսյեում ներկայացված տեղեկությունների հավաստիությունը կասկածի ենթարկող փաստերի հայտնաբերում (կլինիկական հետազոտության արձանագրության </w:t>
      </w:r>
      <w:r w:rsidR="00C54D75">
        <w:rPr>
          <w:rFonts w:ascii="Sylfaen" w:hAnsi="Sylfaen"/>
          <w:sz w:val="24"/>
          <w:szCs w:val="24"/>
        </w:rPr>
        <w:t>և</w:t>
      </w:r>
      <w:r w:rsidRPr="00834D52">
        <w:rPr>
          <w:rFonts w:ascii="Sylfaen" w:hAnsi="Sylfaen"/>
          <w:sz w:val="24"/>
          <w:szCs w:val="24"/>
        </w:rPr>
        <w:t xml:space="preserve"> հաշվետվության մեջ արդյունավետության </w:t>
      </w:r>
      <w:r w:rsidR="00C54D75">
        <w:rPr>
          <w:rFonts w:ascii="Sylfaen" w:hAnsi="Sylfaen"/>
          <w:sz w:val="24"/>
          <w:szCs w:val="24"/>
        </w:rPr>
        <w:t>և</w:t>
      </w:r>
      <w:r w:rsidRPr="00834D52">
        <w:rPr>
          <w:rFonts w:ascii="Sylfaen" w:hAnsi="Sylfaen"/>
          <w:sz w:val="24"/>
          <w:szCs w:val="24"/>
        </w:rPr>
        <w:t xml:space="preserve"> անվտանգության վերջնակետերի չհիմնավորված կամ ոչ հստակ տարբերություններ, տվյալների գրառման անհետ</w:t>
      </w:r>
      <w:r w:rsidR="00C54D75">
        <w:rPr>
          <w:rFonts w:ascii="Sylfaen" w:hAnsi="Sylfaen"/>
          <w:sz w:val="24"/>
          <w:szCs w:val="24"/>
        </w:rPr>
        <w:t>և</w:t>
      </w:r>
      <w:r w:rsidRPr="00834D52">
        <w:rPr>
          <w:rFonts w:ascii="Sylfaen" w:hAnsi="Sylfaen"/>
          <w:sz w:val="24"/>
          <w:szCs w:val="24"/>
        </w:rPr>
        <w:t xml:space="preserve">ողականություն, անճշտություն կամ անլիարժեքություն, արձանագրության փոփոխությունները հաշվի չեն առնվում կլինիկական հետազոտության այլ փաստաթղթերում, մեծ քանակությամբ բաց թողնված արժեքներ, ինչը կարող է ազդել հետազոտության վիճակագրական հզորության վրա). </w:t>
      </w:r>
    </w:p>
    <w:p w14:paraId="1F9ED25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կլինիկական տվյալների անհավատալի կամ անհամապատասխան լինելը (այլ հետազոտությունների հայտնի արդյունքներին հակասող արդյունքներ, անցանկալի լուրջ ռեակցիաների դեպքերի մասին հաղորդագրությունների ցածր հաճախականություն </w:t>
      </w:r>
      <w:r w:rsidR="00C54D75">
        <w:rPr>
          <w:rFonts w:ascii="Sylfaen" w:hAnsi="Sylfaen"/>
          <w:sz w:val="24"/>
          <w:szCs w:val="24"/>
        </w:rPr>
        <w:t>և</w:t>
      </w:r>
      <w:r w:rsidRPr="00834D52">
        <w:rPr>
          <w:rFonts w:ascii="Sylfaen" w:hAnsi="Sylfaen"/>
          <w:sz w:val="24"/>
          <w:szCs w:val="24"/>
        </w:rPr>
        <w:t xml:space="preserve"> (կամ) անհավատալի տվյալներ հետազոտվող պատրաստուկի օգտին՝ այլ հետազոտողների արդյունքների կամ հետազոտությունների կամ հետազոտական կենտրոնների միջ</w:t>
      </w:r>
      <w:r w:rsidR="00C54D75">
        <w:rPr>
          <w:rFonts w:ascii="Sylfaen" w:hAnsi="Sylfaen"/>
          <w:sz w:val="24"/>
          <w:szCs w:val="24"/>
        </w:rPr>
        <w:t>և</w:t>
      </w:r>
      <w:r w:rsidRPr="00834D52">
        <w:rPr>
          <w:rFonts w:ascii="Sylfaen" w:hAnsi="Sylfaen"/>
          <w:sz w:val="24"/>
          <w:szCs w:val="24"/>
        </w:rPr>
        <w:t xml:space="preserve"> բժշկա-կենսաբանական տեսանկյունից կասկածելի (անհավատալի կամ հակասական) արդյունքների այլ հետազոտությունների համեմատ).</w:t>
      </w:r>
    </w:p>
    <w:p w14:paraId="2AF92AA1"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կրիտիկական կախվածություն (դեղապատրաստուկի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ինչպես նա</w:t>
      </w:r>
      <w:r w:rsidR="00C54D75">
        <w:rPr>
          <w:rFonts w:ascii="Sylfaen" w:hAnsi="Sylfaen"/>
          <w:sz w:val="24"/>
          <w:szCs w:val="24"/>
        </w:rPr>
        <w:t>և</w:t>
      </w:r>
      <w:r w:rsidRPr="00834D52">
        <w:rPr>
          <w:rFonts w:ascii="Sylfaen" w:hAnsi="Sylfaen"/>
          <w:sz w:val="24"/>
          <w:szCs w:val="24"/>
        </w:rPr>
        <w:t xml:space="preserve"> դրա օգուտ-ռիսկ հարաբերակցության հիմնավորում) միայն մեկ հետազոտության կամ սուբյեկտների փոքր ընտրանքի հետ անցկացված հետազոտությունների արդյունքներից.</w:t>
      </w:r>
    </w:p>
    <w:p w14:paraId="33E52B18"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բնակչության լայն պոպուլյացիայի կողմից կիրառման համար դեղապատրաստուկի նախատեսված լինելը (օրինակ՝ պատվաստանյութեր </w:t>
      </w:r>
      <w:r w:rsidR="00C54D75">
        <w:rPr>
          <w:rFonts w:ascii="Sylfaen" w:hAnsi="Sylfaen"/>
          <w:sz w:val="24"/>
          <w:szCs w:val="24"/>
        </w:rPr>
        <w:t>և</w:t>
      </w:r>
      <w:r w:rsidRPr="00834D52">
        <w:rPr>
          <w:rFonts w:ascii="Sylfaen" w:hAnsi="Sylfaen"/>
          <w:sz w:val="24"/>
          <w:szCs w:val="24"/>
        </w:rPr>
        <w:t xml:space="preserve"> այլ դեղապատրաստուկներ, որոնք նախատեսված են բնակչության խոշոր խմբերի </w:t>
      </w:r>
      <w:r w:rsidRPr="00834D52">
        <w:rPr>
          <w:rFonts w:ascii="Sylfaen" w:hAnsi="Sylfaen"/>
          <w:sz w:val="24"/>
          <w:szCs w:val="24"/>
        </w:rPr>
        <w:lastRenderedPageBreak/>
        <w:t>կողմից միաժամանակյա կիրառման համար).</w:t>
      </w:r>
    </w:p>
    <w:p w14:paraId="79B311EE"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էթիկական խնդիրների առաջացման բարձր հավանականություն (հետազոտությանը բնակչության խոցելի խմբերի մասնակցությունը. երեխաներ, ճանաչողական խանգարումներով անձինք, այլընտրանքային բուժում չունեցող հիվանդություններով պացիենտներ, ինստիտուցիոնալիզացված պացիենտներ </w:t>
      </w:r>
      <w:r w:rsidR="00C54D75">
        <w:rPr>
          <w:rFonts w:ascii="Sylfaen" w:hAnsi="Sylfaen"/>
          <w:sz w:val="24"/>
          <w:szCs w:val="24"/>
        </w:rPr>
        <w:t>և</w:t>
      </w:r>
      <w:r w:rsidRPr="00834D52">
        <w:rPr>
          <w:rFonts w:ascii="Sylfaen" w:hAnsi="Sylfaen"/>
          <w:sz w:val="24"/>
          <w:szCs w:val="24"/>
        </w:rPr>
        <w:t xml:space="preserve"> այլն՝ Հանձնաժողովի կողմից հաստատվող պատշաճ կլինիկական գործունեության կանոնների պահանջներին համապատասխան).</w:t>
      </w:r>
    </w:p>
    <w:p w14:paraId="65C3CBF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կլինիկական հետազոտություն անցկացնելն այն աշխարհագրական տարածաշրջանի կլինիկական կենտրոնում, որտեղ կլինիկական հետազոտությունների անցկացմանը ներկայացվող պահանջների մակարդակը ցածր է Միության շրջանակներում սահմանված պահանջներից.</w:t>
      </w:r>
    </w:p>
    <w:p w14:paraId="2374FAA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Միության անդամ չհանդիսացող պետությունների լիազորված մարմինների մոտ հետազոտական կենտրոնի կամ հովանավորի կողմից պատշաճ կլինիկական գործունեության պահանջների պահպանման խնդիրների վերաբերյալ տեղեկությունների առկայությունը.</w:t>
      </w:r>
    </w:p>
    <w:p w14:paraId="59C1BC4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Հանձնաժողովի կողմից հաստատվող դեղագործական տեսչական ստուգումների անցկացման կանոններով նախատեսված հանգամանքների առկայությունը:</w:t>
      </w:r>
    </w:p>
    <w:p w14:paraId="7860CC2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Կլինիկական հետազոտության մեջ օգտագործված դեղապատրաստուկի </w:t>
      </w:r>
      <w:r w:rsidR="00C54D75">
        <w:rPr>
          <w:rFonts w:ascii="Sylfaen" w:hAnsi="Sylfaen"/>
          <w:sz w:val="24"/>
          <w:szCs w:val="24"/>
        </w:rPr>
        <w:t>և</w:t>
      </w:r>
      <w:r w:rsidRPr="00834D52">
        <w:rPr>
          <w:rFonts w:ascii="Sylfaen" w:hAnsi="Sylfaen"/>
          <w:sz w:val="24"/>
          <w:szCs w:val="24"/>
        </w:rPr>
        <w:t xml:space="preserve"> համեմատության պատրաստուկների, այդ թվում՝ պլացեբոյի որակի վերաբերյալ կասկածների առկայության դեպքում որոշում է ընդունվում տվյալ դեղապատրաստուկի արտադրական հարթակի՝ Միության պատշաճ արտադրական գործունեության պահանջներին համապատասխան լինելու մասով (արտապլանային կամ պլանային) տեսչական ստուգում անցկացնելու մասին:</w:t>
      </w:r>
    </w:p>
    <w:p w14:paraId="3485D92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39.</w:t>
      </w:r>
      <w:r w:rsidRPr="00834D52">
        <w:rPr>
          <w:rFonts w:ascii="Sylfaen" w:hAnsi="Sylfaen"/>
          <w:sz w:val="24"/>
          <w:szCs w:val="24"/>
        </w:rPr>
        <w:tab/>
        <w:t xml:space="preserve">Կենսահամարժեքության հետազոտությունների արդյունքների առնչությամբ արտապլանային տեսչական ստուգում անցկացնելու անհրաժեշտության մասին որոշումը կայացվում է լիազորված մարմնի կողմից՝ հաշվի առնելով սույն Կանոնների 37-րդ </w:t>
      </w:r>
      <w:r w:rsidR="00C54D75">
        <w:rPr>
          <w:rFonts w:ascii="Sylfaen" w:hAnsi="Sylfaen"/>
          <w:sz w:val="24"/>
          <w:szCs w:val="24"/>
        </w:rPr>
        <w:t>և</w:t>
      </w:r>
      <w:r w:rsidRPr="00834D52">
        <w:rPr>
          <w:rFonts w:ascii="Sylfaen" w:hAnsi="Sylfaen"/>
          <w:sz w:val="24"/>
          <w:szCs w:val="24"/>
        </w:rPr>
        <w:t xml:space="preserve"> 38-րդ կետերի պահանջները՝ հետ</w:t>
      </w:r>
      <w:r w:rsidR="00C54D75">
        <w:rPr>
          <w:rFonts w:ascii="Sylfaen" w:hAnsi="Sylfaen"/>
          <w:sz w:val="24"/>
          <w:szCs w:val="24"/>
        </w:rPr>
        <w:t>և</w:t>
      </w:r>
      <w:r w:rsidRPr="00834D52">
        <w:rPr>
          <w:rFonts w:ascii="Sylfaen" w:hAnsi="Sylfaen"/>
          <w:sz w:val="24"/>
          <w:szCs w:val="24"/>
        </w:rPr>
        <w:t xml:space="preserve">յալ </w:t>
      </w:r>
      <w:r w:rsidRPr="00834D52">
        <w:rPr>
          <w:rFonts w:ascii="Sylfaen" w:hAnsi="Sylfaen"/>
          <w:sz w:val="24"/>
          <w:szCs w:val="24"/>
        </w:rPr>
        <w:lastRenderedPageBreak/>
        <w:t xml:space="preserve">գործոնների համալիր գնահատման հիման վրա. </w:t>
      </w:r>
    </w:p>
    <w:p w14:paraId="0DE7875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ա)</w:t>
      </w:r>
      <w:r w:rsidRPr="00834D52">
        <w:rPr>
          <w:rFonts w:ascii="Sylfaen" w:hAnsi="Sylfaen"/>
          <w:spacing w:val="4"/>
          <w:sz w:val="24"/>
          <w:szCs w:val="24"/>
        </w:rPr>
        <w:tab/>
        <w:t>կենսահամարժեքության հետազոտության չհիմնավորված համասեռ (ոչ համասեռ) տվյալների ներկայացումը.</w:t>
      </w:r>
    </w:p>
    <w:p w14:paraId="064062A9" w14:textId="77777777" w:rsidR="006F76EB" w:rsidRPr="00834D52" w:rsidRDefault="006F76EB" w:rsidP="005A0FC1">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բաց թողնված (դուրս մնացող) արժեքների քանակի անհամապատասխանությունը տվյալ ազդող նյութի կամ չափումների տեսակի համար ենթադրվող արժեքների քանակին.</w:t>
      </w:r>
    </w:p>
    <w:p w14:paraId="6F15B480" w14:textId="77777777" w:rsidR="006F76EB" w:rsidRPr="00834D52" w:rsidRDefault="006F76EB" w:rsidP="005A0FC1">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ներկայացված կլինիկական, վիճակագրական կամ վերլուծական տվյալների անհավատալի լինելը (անհամաձայնեցված լինելը). </w:t>
      </w:r>
    </w:p>
    <w:p w14:paraId="2EBA7ACD" w14:textId="77777777" w:rsidR="006F76EB" w:rsidRPr="00834D52" w:rsidRDefault="006F76EB" w:rsidP="005A0FC1">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 պարամետրերի կամ միջանհատական (ներանհատական) փոփոխականության մասով հետազոտությունների հակասական արդյունքների առկայությունը:</w:t>
      </w:r>
    </w:p>
    <w:p w14:paraId="4305DE51" w14:textId="77777777" w:rsidR="006F76EB" w:rsidRPr="00834D52" w:rsidRDefault="006F76EB" w:rsidP="005A0FC1">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40.</w:t>
      </w:r>
      <w:r w:rsidRPr="00834D52">
        <w:rPr>
          <w:rFonts w:ascii="Sylfaen" w:hAnsi="Sylfaen"/>
          <w:sz w:val="24"/>
          <w:szCs w:val="24"/>
        </w:rPr>
        <w:tab/>
        <w:t>Գրանցման հավաստագրի իրավատիրոջ դեղազգոնության համակարգի արտապլանային տեսչական ստուգումը դեղապատրաստուկի գրանցման ընթացակարգի շրջանակներում անցկացվում է Հանձնաժողովի կողմից հաստատվող դեղազգոնության պատշաճ գործունեության կանոններով նախատեսված դեպքերում:</w:t>
      </w:r>
    </w:p>
    <w:p w14:paraId="532EAD14" w14:textId="77777777" w:rsidR="006F76EB" w:rsidRPr="00834D52" w:rsidRDefault="006F76EB" w:rsidP="006F76EB">
      <w:pPr>
        <w:spacing w:after="160" w:line="360" w:lineRule="auto"/>
        <w:ind w:right="-8"/>
        <w:rPr>
          <w:rFonts w:ascii="Sylfaen" w:hAnsi="Sylfaen"/>
          <w:sz w:val="24"/>
          <w:szCs w:val="24"/>
        </w:rPr>
      </w:pPr>
    </w:p>
    <w:p w14:paraId="40B2C86F"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IV. Դեղապատրաստուկների փորձաքննության </w:t>
      </w:r>
      <w:r w:rsidRPr="00834D52">
        <w:rPr>
          <w:rFonts w:ascii="Sylfaen" w:hAnsi="Sylfaen"/>
          <w:sz w:val="24"/>
          <w:szCs w:val="24"/>
        </w:rPr>
        <w:br/>
        <w:t>ընդհանուր սկզբունքները</w:t>
      </w:r>
    </w:p>
    <w:p w14:paraId="25C020F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41.</w:t>
      </w:r>
      <w:r w:rsidRPr="00834D52">
        <w:rPr>
          <w:rFonts w:ascii="Sylfaen" w:hAnsi="Sylfaen"/>
          <w:sz w:val="24"/>
          <w:szCs w:val="24"/>
        </w:rPr>
        <w:tab/>
        <w:t xml:space="preserve">Դեղապատրաստուկների փորձաքննությունն անցկացվում է դեղամիջոցների որակի,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w:t>
      </w:r>
      <w:r w:rsidR="00C54D75">
        <w:rPr>
          <w:rFonts w:ascii="Sylfaen" w:hAnsi="Sylfaen"/>
          <w:sz w:val="24"/>
          <w:szCs w:val="24"/>
        </w:rPr>
        <w:t>և</w:t>
      </w:r>
      <w:r w:rsidRPr="00834D52">
        <w:rPr>
          <w:rFonts w:ascii="Sylfaen" w:hAnsi="Sylfaen"/>
          <w:sz w:val="24"/>
          <w:szCs w:val="24"/>
        </w:rPr>
        <w:t xml:space="preserve"> դեղապատրաստուկների օգուտ-ռիսկ հարաբերակցության գիտական գնահատական ստանալու համար </w:t>
      </w:r>
      <w:r w:rsidR="00C54D75">
        <w:rPr>
          <w:rFonts w:ascii="Sylfaen" w:hAnsi="Sylfaen"/>
          <w:sz w:val="24"/>
          <w:szCs w:val="24"/>
        </w:rPr>
        <w:t>և</w:t>
      </w:r>
      <w:r w:rsidRPr="00834D52">
        <w:rPr>
          <w:rFonts w:ascii="Sylfaen" w:hAnsi="Sylfaen"/>
          <w:sz w:val="24"/>
          <w:szCs w:val="24"/>
        </w:rPr>
        <w:t xml:space="preserve"> կարող է իր մեջ ներառել.</w:t>
      </w:r>
    </w:p>
    <w:p w14:paraId="56BC967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դեղապատրաստուկի գրանցման դոսյեում հայտատուի ներկայացրած փաստաթղթերի </w:t>
      </w:r>
      <w:r w:rsidR="00C54D75">
        <w:rPr>
          <w:rFonts w:ascii="Sylfaen" w:hAnsi="Sylfaen"/>
          <w:sz w:val="24"/>
          <w:szCs w:val="24"/>
        </w:rPr>
        <w:t>և</w:t>
      </w:r>
      <w:r w:rsidRPr="00834D52">
        <w:rPr>
          <w:rFonts w:ascii="Sylfaen" w:hAnsi="Sylfaen"/>
          <w:sz w:val="24"/>
          <w:szCs w:val="24"/>
        </w:rPr>
        <w:t xml:space="preserve"> տեղեկությունների գնահատում (դոսյեի գնահատում).</w:t>
      </w:r>
    </w:p>
    <w:p w14:paraId="1BE62A8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որակի հսկողության վերլուծական մեթոդիկաների որակի </w:t>
      </w:r>
      <w:r w:rsidR="00C54D75">
        <w:rPr>
          <w:rFonts w:ascii="Sylfaen" w:hAnsi="Sylfaen"/>
          <w:sz w:val="24"/>
          <w:szCs w:val="24"/>
        </w:rPr>
        <w:t>և</w:t>
      </w:r>
      <w:r w:rsidRPr="00834D52">
        <w:rPr>
          <w:rFonts w:ascii="Sylfaen" w:hAnsi="Sylfaen"/>
          <w:sz w:val="24"/>
          <w:szCs w:val="24"/>
        </w:rPr>
        <w:t xml:space="preserve"> վավերացման նորմատիվ փաստաթղթի պահանջներին համապատասխան լինելու </w:t>
      </w:r>
      <w:r w:rsidRPr="00834D52">
        <w:rPr>
          <w:rFonts w:ascii="Sylfaen" w:hAnsi="Sylfaen"/>
          <w:sz w:val="24"/>
          <w:szCs w:val="24"/>
        </w:rPr>
        <w:lastRenderedPageBreak/>
        <w:t>մասով լաբորատոր փորձարկումների անցկացում.</w:t>
      </w:r>
    </w:p>
    <w:p w14:paraId="67FB47B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կողմից դեղապատրաստուկի գնահատման վերաբերյալ փորձագիտական հաշվետվության կազմում.</w:t>
      </w:r>
    </w:p>
    <w:p w14:paraId="2DFA8E1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ճանաչման պետության կողմից գնահատման վերաբերյալ փորձագիտական հաշվետվության գնահատում՝ հաշվի առնելով դեղապատրաստուկի գրանցման դոսյեում պարունակող փաստաթղթերը </w:t>
      </w:r>
      <w:r w:rsidR="00C54D75">
        <w:rPr>
          <w:rFonts w:ascii="Sylfaen" w:hAnsi="Sylfaen"/>
          <w:sz w:val="24"/>
          <w:szCs w:val="24"/>
        </w:rPr>
        <w:t>և</w:t>
      </w:r>
      <w:r w:rsidRPr="00834D52">
        <w:rPr>
          <w:rFonts w:ascii="Sylfaen" w:hAnsi="Sylfaen"/>
          <w:sz w:val="24"/>
          <w:szCs w:val="24"/>
        </w:rPr>
        <w:t xml:space="preserve"> տեղեկությունները:</w:t>
      </w:r>
    </w:p>
    <w:p w14:paraId="002B0AE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42.</w:t>
      </w:r>
      <w:r w:rsidRPr="00834D52">
        <w:rPr>
          <w:rFonts w:ascii="Sylfaen" w:hAnsi="Sylfaen"/>
          <w:sz w:val="24"/>
          <w:szCs w:val="24"/>
        </w:rPr>
        <w:tab/>
        <w:t>Դեղապատրաստուկները գրանցելիս դրանց փորձաքննության անցկացման հիմնական սկզբունքներն են՝</w:t>
      </w:r>
    </w:p>
    <w:p w14:paraId="0E4E69B5" w14:textId="77777777" w:rsidR="006F76EB" w:rsidRPr="00834D52" w:rsidRDefault="006F76EB" w:rsidP="00664595">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փորձագետների անկախությունը </w:t>
      </w:r>
      <w:r w:rsidR="00C54D75">
        <w:rPr>
          <w:rFonts w:ascii="Sylfaen" w:hAnsi="Sylfaen"/>
          <w:sz w:val="24"/>
          <w:szCs w:val="24"/>
        </w:rPr>
        <w:t>և</w:t>
      </w:r>
      <w:r w:rsidRPr="00834D52">
        <w:rPr>
          <w:rFonts w:ascii="Sylfaen" w:hAnsi="Sylfaen"/>
          <w:sz w:val="24"/>
          <w:szCs w:val="24"/>
        </w:rPr>
        <w:t xml:space="preserve"> իրավական պաշտպանվածությունը նրանց կողմից մասնագիտական գործունեություն իրականացնելիս.</w:t>
      </w:r>
    </w:p>
    <w:p w14:paraId="713A0F28" w14:textId="77777777" w:rsidR="006F76EB" w:rsidRPr="00834D52" w:rsidRDefault="006F76EB" w:rsidP="00664595">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անդամ պետությունների օրենսդրության, Միության իրավունքի մաս կազմող միջազգային պայմանագրերի </w:t>
      </w:r>
      <w:r w:rsidR="00C54D75">
        <w:rPr>
          <w:rFonts w:ascii="Sylfaen" w:hAnsi="Sylfaen"/>
          <w:sz w:val="24"/>
          <w:szCs w:val="24"/>
        </w:rPr>
        <w:t>և</w:t>
      </w:r>
      <w:r w:rsidRPr="00834D52">
        <w:rPr>
          <w:rFonts w:ascii="Sylfaen" w:hAnsi="Sylfaen"/>
          <w:sz w:val="24"/>
          <w:szCs w:val="24"/>
        </w:rPr>
        <w:t xml:space="preserve"> ակտերի պահանջների կատարման պարտադիր լինելը.</w:t>
      </w:r>
    </w:p>
    <w:p w14:paraId="5B6467E6" w14:textId="77777777" w:rsidR="006F76EB" w:rsidRPr="00834D52" w:rsidRDefault="006F76EB" w:rsidP="00664595">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փորձաքննության օբյեկտների հետազոտությունների նկատմամբ գիտական մոտեցումը, լիարժեքությունը, համակողմանիությունը </w:t>
      </w:r>
      <w:r w:rsidR="00C54D75">
        <w:rPr>
          <w:rFonts w:ascii="Sylfaen" w:hAnsi="Sylfaen"/>
          <w:sz w:val="24"/>
          <w:szCs w:val="24"/>
        </w:rPr>
        <w:t>և</w:t>
      </w:r>
      <w:r w:rsidRPr="00834D52">
        <w:rPr>
          <w:rFonts w:ascii="Sylfaen" w:hAnsi="Sylfaen"/>
          <w:sz w:val="24"/>
          <w:szCs w:val="24"/>
        </w:rPr>
        <w:t xml:space="preserve"> օբյեկտիվությունը, փորձաքննության արդյունքների հիմնավորվածության ապահովումը՝ փաստաթղթերով սահմանված ընդունելիության չափանիշներին համապատասխան.</w:t>
      </w:r>
    </w:p>
    <w:p w14:paraId="35F2C40A" w14:textId="77777777" w:rsidR="006F76EB" w:rsidRPr="00834D52" w:rsidRDefault="006F76EB" w:rsidP="00664595">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փորձագիտական կազմակերպությունների </w:t>
      </w:r>
      <w:r w:rsidR="00C54D75">
        <w:rPr>
          <w:rFonts w:ascii="Sylfaen" w:hAnsi="Sylfaen"/>
          <w:sz w:val="24"/>
          <w:szCs w:val="24"/>
        </w:rPr>
        <w:t>և</w:t>
      </w:r>
      <w:r w:rsidRPr="00834D52">
        <w:rPr>
          <w:rFonts w:ascii="Sylfaen" w:hAnsi="Sylfaen"/>
          <w:sz w:val="24"/>
          <w:szCs w:val="24"/>
        </w:rPr>
        <w:t xml:space="preserve"> փորձագետների բանիմացությունը </w:t>
      </w:r>
      <w:r w:rsidR="00C54D75">
        <w:rPr>
          <w:rFonts w:ascii="Sylfaen" w:hAnsi="Sylfaen"/>
          <w:sz w:val="24"/>
          <w:szCs w:val="24"/>
        </w:rPr>
        <w:t>և</w:t>
      </w:r>
      <w:r w:rsidRPr="00834D52">
        <w:rPr>
          <w:rFonts w:ascii="Sylfaen" w:hAnsi="Sylfaen"/>
          <w:sz w:val="24"/>
          <w:szCs w:val="24"/>
        </w:rPr>
        <w:t xml:space="preserve"> մասնագիտական բարձր մակարդակը.</w:t>
      </w:r>
    </w:p>
    <w:p w14:paraId="3D57732C" w14:textId="77777777" w:rsidR="006F76EB" w:rsidRPr="00834D52" w:rsidRDefault="006F76EB" w:rsidP="00664595">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 xml:space="preserve">դեղապատրաստուկների փորձաքննության կազմակերպման </w:t>
      </w:r>
      <w:r w:rsidR="00C54D75">
        <w:rPr>
          <w:rFonts w:ascii="Sylfaen" w:hAnsi="Sylfaen"/>
          <w:sz w:val="24"/>
          <w:szCs w:val="24"/>
        </w:rPr>
        <w:t>և</w:t>
      </w:r>
      <w:r w:rsidRPr="00834D52">
        <w:rPr>
          <w:rFonts w:ascii="Sylfaen" w:hAnsi="Sylfaen"/>
          <w:sz w:val="24"/>
          <w:szCs w:val="24"/>
        </w:rPr>
        <w:t xml:space="preserve"> դրա մեթոդաբանական ապահովման համակարգվածությունը. </w:t>
      </w:r>
    </w:p>
    <w:p w14:paraId="5EEA3A05"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կողմնորոշումը դեպի գիտության </w:t>
      </w:r>
      <w:r w:rsidR="00C54D75">
        <w:rPr>
          <w:rFonts w:ascii="Sylfaen" w:hAnsi="Sylfaen"/>
          <w:sz w:val="24"/>
          <w:szCs w:val="24"/>
        </w:rPr>
        <w:t>և</w:t>
      </w:r>
      <w:r w:rsidRPr="00834D52">
        <w:rPr>
          <w:rFonts w:ascii="Sylfaen" w:hAnsi="Sylfaen"/>
          <w:sz w:val="24"/>
          <w:szCs w:val="24"/>
        </w:rPr>
        <w:t xml:space="preserve"> տեխնիկայի զարգացման համաշխարհային մակարդակը, տեխնիկական </w:t>
      </w:r>
      <w:r w:rsidR="00C54D75">
        <w:rPr>
          <w:rFonts w:ascii="Sylfaen" w:hAnsi="Sylfaen"/>
          <w:sz w:val="24"/>
          <w:szCs w:val="24"/>
        </w:rPr>
        <w:t>և</w:t>
      </w:r>
      <w:r w:rsidRPr="00834D52">
        <w:rPr>
          <w:rFonts w:ascii="Sylfaen" w:hAnsi="Sylfaen"/>
          <w:sz w:val="24"/>
          <w:szCs w:val="24"/>
        </w:rPr>
        <w:t xml:space="preserve"> հասարակական </w:t>
      </w:r>
      <w:r w:rsidRPr="00834D52">
        <w:rPr>
          <w:rFonts w:ascii="Sylfaen" w:hAnsi="Sylfaen"/>
          <w:sz w:val="24"/>
          <w:szCs w:val="24"/>
        </w:rPr>
        <w:lastRenderedPageBreak/>
        <w:t xml:space="preserve">անվտանգության նորմերը </w:t>
      </w:r>
      <w:r w:rsidR="00C54D75">
        <w:rPr>
          <w:rFonts w:ascii="Sylfaen" w:hAnsi="Sylfaen"/>
          <w:sz w:val="24"/>
          <w:szCs w:val="24"/>
        </w:rPr>
        <w:t>և</w:t>
      </w:r>
      <w:r w:rsidRPr="00834D52">
        <w:rPr>
          <w:rFonts w:ascii="Sylfaen" w:hAnsi="Sylfaen"/>
          <w:sz w:val="24"/>
          <w:szCs w:val="24"/>
        </w:rPr>
        <w:t xml:space="preserve"> կանոնները.</w:t>
      </w:r>
    </w:p>
    <w:p w14:paraId="5AC0C641"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է)</w:t>
      </w:r>
      <w:r w:rsidRPr="00834D52">
        <w:rPr>
          <w:rFonts w:ascii="Sylfaen" w:hAnsi="Sylfaen"/>
          <w:sz w:val="24"/>
          <w:szCs w:val="24"/>
        </w:rPr>
        <w:tab/>
        <w:t xml:space="preserve">փորձաքննության արդյունքների հրապարակայնությունը՝ պետական, ծառայողական </w:t>
      </w:r>
      <w:r w:rsidR="00C54D75">
        <w:rPr>
          <w:rFonts w:ascii="Sylfaen" w:hAnsi="Sylfaen"/>
          <w:sz w:val="24"/>
          <w:szCs w:val="24"/>
        </w:rPr>
        <w:t>և</w:t>
      </w:r>
      <w:r w:rsidRPr="00834D52">
        <w:rPr>
          <w:rFonts w:ascii="Sylfaen" w:hAnsi="Sylfaen"/>
          <w:sz w:val="24"/>
          <w:szCs w:val="24"/>
        </w:rPr>
        <w:t xml:space="preserve"> առ</w:t>
      </w:r>
      <w:r w:rsidR="00C54D75">
        <w:rPr>
          <w:rFonts w:ascii="Sylfaen" w:hAnsi="Sylfaen"/>
          <w:sz w:val="24"/>
          <w:szCs w:val="24"/>
        </w:rPr>
        <w:t>և</w:t>
      </w:r>
      <w:r w:rsidRPr="00834D52">
        <w:rPr>
          <w:rFonts w:ascii="Sylfaen" w:hAnsi="Sylfaen"/>
          <w:sz w:val="24"/>
          <w:szCs w:val="24"/>
        </w:rPr>
        <w:t xml:space="preserve">տրային գաղտնիքն անդամ պետության օրենսդրությանը, Միության իրավունքի մաս կազմող միջազգային պայմանագրերին </w:t>
      </w:r>
      <w:r w:rsidR="00C54D75">
        <w:rPr>
          <w:rFonts w:ascii="Sylfaen" w:hAnsi="Sylfaen"/>
          <w:sz w:val="24"/>
          <w:szCs w:val="24"/>
        </w:rPr>
        <w:t>և</w:t>
      </w:r>
      <w:r w:rsidRPr="00834D52">
        <w:rPr>
          <w:rFonts w:ascii="Sylfaen" w:hAnsi="Sylfaen"/>
          <w:sz w:val="24"/>
          <w:szCs w:val="24"/>
        </w:rPr>
        <w:t xml:space="preserve"> ակտերին համապատասխան պահպանելու պայմանով:</w:t>
      </w:r>
    </w:p>
    <w:p w14:paraId="30828FCB"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43.</w:t>
      </w:r>
      <w:r w:rsidRPr="00834D52">
        <w:rPr>
          <w:rFonts w:ascii="Sylfaen" w:hAnsi="Sylfaen"/>
          <w:sz w:val="24"/>
          <w:szCs w:val="24"/>
        </w:rPr>
        <w:tab/>
        <w:t xml:space="preserve">Դեղապատրաստուկի մշակման, նախակլինիկական (ոչ 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անցկացման, դրա արտադրության, դեղազգոնության իրականացման </w:t>
      </w:r>
      <w:r w:rsidR="00C54D75">
        <w:rPr>
          <w:rFonts w:ascii="Sylfaen" w:hAnsi="Sylfaen"/>
          <w:sz w:val="24"/>
          <w:szCs w:val="24"/>
        </w:rPr>
        <w:t>և</w:t>
      </w:r>
      <w:r w:rsidRPr="00834D52">
        <w:rPr>
          <w:rFonts w:ascii="Sylfaen" w:hAnsi="Sylfaen"/>
          <w:sz w:val="24"/>
          <w:szCs w:val="24"/>
        </w:rPr>
        <w:t xml:space="preserve"> գրանցելու, գրանցումը հաստատելու (վերագրանցելու), գրանցման դոսյեում փոփոխություններ կատարելու ընթացակարգերի </w:t>
      </w:r>
      <w:r w:rsidR="00C54D75">
        <w:rPr>
          <w:rFonts w:ascii="Sylfaen" w:hAnsi="Sylfaen"/>
          <w:sz w:val="24"/>
          <w:szCs w:val="24"/>
        </w:rPr>
        <w:t>և</w:t>
      </w:r>
      <w:r w:rsidRPr="00834D52">
        <w:rPr>
          <w:rFonts w:ascii="Sylfaen" w:hAnsi="Sylfaen"/>
          <w:sz w:val="24"/>
          <w:szCs w:val="24"/>
        </w:rPr>
        <w:t xml:space="preserve"> գրանցման հետ կապված այլ ընթացակարգերի իրականացման համար նախատեսված փաստաթղթերի նախապատրաստման ժամանակ դեղապատրաստուկներ մշակողները, արտադրողները </w:t>
      </w:r>
      <w:r w:rsidR="00C54D75">
        <w:rPr>
          <w:rFonts w:ascii="Sylfaen" w:hAnsi="Sylfaen"/>
          <w:sz w:val="24"/>
          <w:szCs w:val="24"/>
        </w:rPr>
        <w:t>և</w:t>
      </w:r>
      <w:r w:rsidRPr="00834D52">
        <w:rPr>
          <w:rFonts w:ascii="Sylfaen" w:hAnsi="Sylfaen"/>
          <w:sz w:val="24"/>
          <w:szCs w:val="24"/>
        </w:rPr>
        <w:t xml:space="preserve"> գրանցման հավաստագրերի իրավատերերը </w:t>
      </w:r>
      <w:r w:rsidR="00C54D75">
        <w:rPr>
          <w:rFonts w:ascii="Sylfaen" w:hAnsi="Sylfaen"/>
          <w:sz w:val="24"/>
          <w:szCs w:val="24"/>
        </w:rPr>
        <w:t>և</w:t>
      </w:r>
      <w:r w:rsidRPr="00834D52">
        <w:rPr>
          <w:rFonts w:ascii="Sylfaen" w:hAnsi="Sylfaen"/>
          <w:sz w:val="24"/>
          <w:szCs w:val="24"/>
        </w:rPr>
        <w:t xml:space="preserve"> նրանց լիազորված անձինք պետք է պահպանեն անդամ պետությունների օրենսդրությունը, Միության իրավունքի մաս կազմող միջազգային պայմանագրերը </w:t>
      </w:r>
      <w:r w:rsidR="00C54D75">
        <w:rPr>
          <w:rFonts w:ascii="Sylfaen" w:hAnsi="Sylfaen"/>
          <w:sz w:val="24"/>
          <w:szCs w:val="24"/>
        </w:rPr>
        <w:t>և</w:t>
      </w:r>
      <w:r w:rsidRPr="00834D52">
        <w:rPr>
          <w:rFonts w:ascii="Sylfaen" w:hAnsi="Sylfaen"/>
          <w:sz w:val="24"/>
          <w:szCs w:val="24"/>
        </w:rPr>
        <w:t xml:space="preserve"> ակտերը, ինչպես նա</w:t>
      </w:r>
      <w:r w:rsidR="00C54D75">
        <w:rPr>
          <w:rFonts w:ascii="Sylfaen" w:hAnsi="Sylfaen"/>
          <w:sz w:val="24"/>
          <w:szCs w:val="24"/>
        </w:rPr>
        <w:t>և</w:t>
      </w:r>
      <w:r w:rsidRPr="00834D52">
        <w:rPr>
          <w:rFonts w:ascii="Sylfaen" w:hAnsi="Sylfaen"/>
          <w:sz w:val="24"/>
          <w:szCs w:val="24"/>
        </w:rPr>
        <w:t xml:space="preserve"> առաջնորդվեն օպտիմալ մոտեցումներով, որոնց իրագործումը թույլ կտա ապահովել այս պահանջների կատարումը, </w:t>
      </w:r>
      <w:r w:rsidR="00C54D75">
        <w:rPr>
          <w:rFonts w:ascii="Sylfaen" w:hAnsi="Sylfaen"/>
          <w:sz w:val="24"/>
          <w:szCs w:val="24"/>
        </w:rPr>
        <w:t>և</w:t>
      </w:r>
      <w:r w:rsidRPr="00834D52">
        <w:rPr>
          <w:rFonts w:ascii="Sylfaen" w:hAnsi="Sylfaen"/>
          <w:sz w:val="24"/>
          <w:szCs w:val="24"/>
        </w:rPr>
        <w:t xml:space="preserve"> որոնք շարադրված են այդ թվում Հանձնաժողովի կողմից ընդունվող որոշումներում </w:t>
      </w:r>
      <w:r w:rsidR="00C54D75">
        <w:rPr>
          <w:rFonts w:ascii="Sylfaen" w:hAnsi="Sylfaen"/>
          <w:sz w:val="24"/>
          <w:szCs w:val="24"/>
        </w:rPr>
        <w:t>և</w:t>
      </w:r>
      <w:r w:rsidRPr="00834D52">
        <w:rPr>
          <w:rFonts w:ascii="Sylfaen" w:hAnsi="Sylfaen"/>
          <w:sz w:val="24"/>
          <w:szCs w:val="24"/>
        </w:rPr>
        <w:t xml:space="preserve"> հանձնարարականներում: Նշված</w:t>
      </w:r>
      <w:r w:rsidR="009B7300" w:rsidRPr="00D85A6C">
        <w:rPr>
          <w:rFonts w:ascii="Sylfaen" w:hAnsi="Sylfaen"/>
          <w:sz w:val="24"/>
          <w:szCs w:val="24"/>
        </w:rPr>
        <w:t> </w:t>
      </w:r>
      <w:r w:rsidRPr="00834D52">
        <w:rPr>
          <w:rFonts w:ascii="Sylfaen" w:hAnsi="Sylfaen"/>
          <w:sz w:val="24"/>
          <w:szCs w:val="24"/>
        </w:rPr>
        <w:t>հանձնարարականների պահանջները չպահպանելու դեպքում հայտատուն պետք</w:t>
      </w:r>
      <w:r w:rsidR="006120A9" w:rsidRPr="006120A9">
        <w:rPr>
          <w:rFonts w:ascii="Sylfaen" w:hAnsi="Sylfaen"/>
          <w:sz w:val="24"/>
          <w:szCs w:val="24"/>
        </w:rPr>
        <w:t> </w:t>
      </w:r>
      <w:r w:rsidRPr="00834D52">
        <w:rPr>
          <w:rFonts w:ascii="Sylfaen" w:hAnsi="Sylfaen"/>
          <w:sz w:val="24"/>
          <w:szCs w:val="24"/>
        </w:rPr>
        <w:t xml:space="preserve">է ներկայացնի ընտրված մոտեցման թույլատրելիության հիմնավորումը՝ դեղապատրաստուկի որակի,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ապահովման տեսանկյունից: Ներկայացված հիմնավորումը պետք է գնահատվի դեղապատրաստուկների փորձաքննություն անցկացնելիս:</w:t>
      </w:r>
    </w:p>
    <w:p w14:paraId="1BD332F8"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44.</w:t>
      </w:r>
      <w:r w:rsidRPr="00834D52">
        <w:rPr>
          <w:rFonts w:ascii="Sylfaen" w:hAnsi="Sylfaen"/>
          <w:sz w:val="24"/>
          <w:szCs w:val="24"/>
        </w:rPr>
        <w:tab/>
        <w:t xml:space="preserve">Դեղապատրաստուկի փորձաքննությունը չի ընդհատվում Միության պատշաճ գործունեության (արտադրական, լաբորատոր, կլինիկական, դեղազգոնության) պահանջներին համապատասխան լինելու մասով արտապլանային դեղագործական տեսչական ստուգումների անցկացման ժամկետով, բայց գնահատման վերաբերյալ եզրափակիչ փորձագիտական հաշվետվությունը կարող է կազմվել </w:t>
      </w:r>
      <w:r w:rsidR="009F49FE">
        <w:rPr>
          <w:rFonts w:ascii="Sylfaen" w:hAnsi="Sylfaen"/>
          <w:sz w:val="24"/>
          <w:szCs w:val="24"/>
        </w:rPr>
        <w:t xml:space="preserve">ռեֆերենտ </w:t>
      </w:r>
      <w:r w:rsidRPr="00834D52">
        <w:rPr>
          <w:rFonts w:ascii="Sylfaen" w:hAnsi="Sylfaen"/>
          <w:sz w:val="24"/>
          <w:szCs w:val="24"/>
        </w:rPr>
        <w:t xml:space="preserve">պետության լիազոր մարմնի (փորձագիտական կազմակերպության) կողմից՝ միայն հաշվի առնելով </w:t>
      </w:r>
      <w:r w:rsidRPr="00834D52">
        <w:rPr>
          <w:rFonts w:ascii="Sylfaen" w:hAnsi="Sylfaen"/>
          <w:sz w:val="24"/>
          <w:szCs w:val="24"/>
        </w:rPr>
        <w:lastRenderedPageBreak/>
        <w:t>արտապլանային դեղագործական տեսչական ստուգումների արդյունքները (դրանց</w:t>
      </w:r>
      <w:r w:rsidR="006120A9" w:rsidRPr="006120A9">
        <w:rPr>
          <w:rFonts w:ascii="Sylfaen" w:hAnsi="Sylfaen"/>
          <w:sz w:val="24"/>
          <w:szCs w:val="24"/>
        </w:rPr>
        <w:t> </w:t>
      </w:r>
      <w:r w:rsidRPr="00834D52">
        <w:rPr>
          <w:rFonts w:ascii="Sylfaen" w:hAnsi="Sylfaen"/>
          <w:sz w:val="24"/>
          <w:szCs w:val="24"/>
        </w:rPr>
        <w:t>անցկացման դեպքում): Նշված ստուգումները պետք է անցկացվեն լիազորված մարմնի կողմից տեսչական ստուգում նախաձեռնելու մասին որոշման ընդունման օրվանից 180 օրացուցային օրը չգերազանցող ժամկետում:</w:t>
      </w:r>
    </w:p>
    <w:p w14:paraId="10570DD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45.</w:t>
      </w:r>
      <w:r w:rsidRPr="00834D52">
        <w:rPr>
          <w:rFonts w:ascii="Sylfaen" w:hAnsi="Sylfaen"/>
          <w:sz w:val="24"/>
          <w:szCs w:val="24"/>
        </w:rPr>
        <w:tab/>
        <w:t xml:space="preserve">Միության դեղազգոնության պատշաճ գործունեության պահանջներին համապատասխան անվտանգության լրացուցիչ մոնիթորինգ պահանջող դեղապատրաստուկների համար բժշկական կիրառման դեղապատրաստուկի ընդհանուր բնութագիրը (այսուհետ՝ ԴՊԸԲ) </w:t>
      </w:r>
      <w:r w:rsidR="00C54D75">
        <w:rPr>
          <w:rFonts w:ascii="Sylfaen" w:hAnsi="Sylfaen"/>
          <w:sz w:val="24"/>
          <w:szCs w:val="24"/>
        </w:rPr>
        <w:t>և</w:t>
      </w:r>
      <w:r w:rsidRPr="00834D52">
        <w:rPr>
          <w:rFonts w:ascii="Sylfaen" w:hAnsi="Sylfaen"/>
          <w:sz w:val="24"/>
          <w:szCs w:val="24"/>
        </w:rPr>
        <w:t xml:space="preserve"> դեղապատրաստուկի բժշկական կիրառման հրահանգը (ներդիր-թերթիկը) (այսուհետ՝ բժշկական կիրառման հրահանգ) պետք է իրենց մեջ ներառեն համապատասխան ձ</w:t>
      </w:r>
      <w:r w:rsidR="00C54D75">
        <w:rPr>
          <w:rFonts w:ascii="Sylfaen" w:hAnsi="Sylfaen"/>
          <w:sz w:val="24"/>
          <w:szCs w:val="24"/>
        </w:rPr>
        <w:t>և</w:t>
      </w:r>
      <w:r w:rsidRPr="00834D52">
        <w:rPr>
          <w:rFonts w:ascii="Sylfaen" w:hAnsi="Sylfaen"/>
          <w:sz w:val="24"/>
          <w:szCs w:val="24"/>
        </w:rPr>
        <w:t xml:space="preserve">ակերպումներ </w:t>
      </w:r>
      <w:r w:rsidR="00C54D75">
        <w:rPr>
          <w:rFonts w:ascii="Sylfaen" w:hAnsi="Sylfaen"/>
          <w:sz w:val="24"/>
          <w:szCs w:val="24"/>
        </w:rPr>
        <w:t>և</w:t>
      </w:r>
      <w:r w:rsidRPr="00834D52">
        <w:rPr>
          <w:rFonts w:ascii="Sylfaen" w:hAnsi="Sylfaen"/>
          <w:sz w:val="24"/>
          <w:szCs w:val="24"/>
        </w:rPr>
        <w:t xml:space="preserve"> նշումներ՝ դեղապատրաստուկների բժշկական կիրառման հրահանգին </w:t>
      </w:r>
      <w:r w:rsidR="00C54D75">
        <w:rPr>
          <w:rFonts w:ascii="Sylfaen" w:hAnsi="Sylfaen"/>
          <w:sz w:val="24"/>
          <w:szCs w:val="24"/>
        </w:rPr>
        <w:t>և</w:t>
      </w:r>
      <w:r w:rsidRPr="00834D52">
        <w:rPr>
          <w:rFonts w:ascii="Sylfaen" w:hAnsi="Sylfaen"/>
          <w:sz w:val="24"/>
          <w:szCs w:val="24"/>
        </w:rPr>
        <w:t xml:space="preserve"> բժշկական կիրառման դեղապատրաստուկների ընդհանուր բնութագրին ներկայացվող՝ Հանձնաժողովի կողմից հաստատվող պահանջների համաձայն:</w:t>
      </w:r>
    </w:p>
    <w:p w14:paraId="76BBB2D8" w14:textId="77777777" w:rsidR="006F76EB" w:rsidRPr="00834D52" w:rsidRDefault="006F76EB" w:rsidP="006F76EB">
      <w:pPr>
        <w:spacing w:after="160" w:line="360" w:lineRule="auto"/>
        <w:ind w:right="-8"/>
        <w:rPr>
          <w:rFonts w:ascii="Sylfaen" w:hAnsi="Sylfaen"/>
          <w:sz w:val="24"/>
          <w:szCs w:val="24"/>
        </w:rPr>
      </w:pPr>
    </w:p>
    <w:p w14:paraId="19C90753" w14:textId="77777777" w:rsidR="006F76EB" w:rsidRPr="00834D52" w:rsidRDefault="006F76EB" w:rsidP="00C84A60">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V. Փոխադարձ ճանաչման ընթացակարգով դեղապատրաստուկների գրանցման </w:t>
      </w:r>
      <w:r w:rsidR="00C54D75">
        <w:rPr>
          <w:rFonts w:ascii="Sylfaen" w:hAnsi="Sylfaen"/>
          <w:sz w:val="24"/>
          <w:szCs w:val="24"/>
        </w:rPr>
        <w:t>և</w:t>
      </w:r>
      <w:r w:rsidRPr="00834D52">
        <w:rPr>
          <w:rFonts w:ascii="Sylfaen" w:hAnsi="Sylfaen"/>
          <w:sz w:val="24"/>
          <w:szCs w:val="24"/>
        </w:rPr>
        <w:t xml:space="preserve"> փորձաքննության կարգը</w:t>
      </w:r>
    </w:p>
    <w:p w14:paraId="502AC28F" w14:textId="77777777" w:rsidR="006F76EB" w:rsidRPr="00834D52" w:rsidRDefault="006F76EB" w:rsidP="00C84A60">
      <w:pPr>
        <w:spacing w:after="160" w:line="336" w:lineRule="auto"/>
        <w:ind w:left="567" w:right="565"/>
        <w:rPr>
          <w:rFonts w:ascii="Sylfaen" w:hAnsi="Sylfaen"/>
          <w:sz w:val="24"/>
          <w:szCs w:val="24"/>
        </w:rPr>
      </w:pPr>
    </w:p>
    <w:p w14:paraId="1376C5C3" w14:textId="77777777" w:rsidR="006F76EB" w:rsidRPr="00834D52" w:rsidRDefault="006F76EB" w:rsidP="00C84A60">
      <w:pPr>
        <w:spacing w:after="160" w:line="336"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V.I. Դեղապատրաստուկի գրանցումն ու փորձաքննությունը </w:t>
      </w:r>
      <w:r w:rsidR="009F49FE">
        <w:rPr>
          <w:rFonts w:ascii="Sylfaen" w:hAnsi="Sylfaen"/>
          <w:sz w:val="24"/>
          <w:szCs w:val="24"/>
        </w:rPr>
        <w:t xml:space="preserve">ռեֆերենտ </w:t>
      </w:r>
      <w:r w:rsidRPr="00834D52">
        <w:rPr>
          <w:rFonts w:ascii="Sylfaen" w:hAnsi="Sylfaen"/>
          <w:sz w:val="24"/>
          <w:szCs w:val="24"/>
        </w:rPr>
        <w:t>պետությունում</w:t>
      </w:r>
    </w:p>
    <w:p w14:paraId="4E8D8D33"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46.</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պետությունում դեղապատրաստուկի գրանցում </w:t>
      </w:r>
      <w:r w:rsidR="00C54D75">
        <w:rPr>
          <w:rFonts w:ascii="Sylfaen" w:hAnsi="Sylfaen"/>
          <w:sz w:val="24"/>
          <w:szCs w:val="24"/>
        </w:rPr>
        <w:t>և</w:t>
      </w:r>
      <w:r w:rsidRPr="00834D52">
        <w:rPr>
          <w:rFonts w:ascii="Sylfaen" w:hAnsi="Sylfaen"/>
          <w:sz w:val="24"/>
          <w:szCs w:val="24"/>
        </w:rPr>
        <w:t xml:space="preserve"> փորձաքննություն կատարելու ժամկետը դեղապատրաստուկի գրանցման հայտ ներկայացնելու օրվանից մինչ</w:t>
      </w:r>
      <w:r w:rsidR="00C54D75">
        <w:rPr>
          <w:rFonts w:ascii="Sylfaen" w:hAnsi="Sylfaen"/>
          <w:sz w:val="24"/>
          <w:szCs w:val="24"/>
        </w:rPr>
        <w:t>և</w:t>
      </w:r>
      <w:r w:rsidRPr="00834D52">
        <w:rPr>
          <w:rFonts w:ascii="Sylfaen" w:hAnsi="Sylfaen"/>
          <w:sz w:val="24"/>
          <w:szCs w:val="24"/>
        </w:rPr>
        <w:t xml:space="preserve"> գրանցման հավաստագիր տրամադրելու օրը չպետք է գերազանցի 210 օրացուցային օրը։</w:t>
      </w:r>
    </w:p>
    <w:p w14:paraId="276EC2AF"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47.</w:t>
      </w:r>
      <w:r w:rsidRPr="00834D52">
        <w:rPr>
          <w:rFonts w:ascii="Sylfaen" w:hAnsi="Sylfaen"/>
          <w:sz w:val="24"/>
          <w:szCs w:val="24"/>
        </w:rPr>
        <w:tab/>
        <w:t xml:space="preserve">Դեղապատրաստուկի գրանցման նպատակով հայտատուն </w:t>
      </w:r>
      <w:r w:rsidR="009F49FE">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է ներկայացնում հետ</w:t>
      </w:r>
      <w:r w:rsidR="00C54D75">
        <w:rPr>
          <w:rFonts w:ascii="Sylfaen" w:hAnsi="Sylfaen"/>
          <w:sz w:val="24"/>
          <w:szCs w:val="24"/>
        </w:rPr>
        <w:t>և</w:t>
      </w:r>
      <w:r w:rsidRPr="00834D52">
        <w:rPr>
          <w:rFonts w:ascii="Sylfaen" w:hAnsi="Sylfaen"/>
          <w:sz w:val="24"/>
          <w:szCs w:val="24"/>
        </w:rPr>
        <w:t xml:space="preserve">յալ փաստաթղթերը </w:t>
      </w:r>
      <w:r w:rsidR="00C54D75">
        <w:rPr>
          <w:rFonts w:ascii="Sylfaen" w:hAnsi="Sylfaen"/>
          <w:sz w:val="24"/>
          <w:szCs w:val="24"/>
        </w:rPr>
        <w:t>և</w:t>
      </w:r>
      <w:r w:rsidRPr="00834D52">
        <w:rPr>
          <w:rFonts w:ascii="Sylfaen" w:hAnsi="Sylfaen"/>
          <w:sz w:val="24"/>
          <w:szCs w:val="24"/>
        </w:rPr>
        <w:t xml:space="preserve"> նյութերը՝</w:t>
      </w:r>
    </w:p>
    <w:p w14:paraId="5F2F6F4A"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հայտ՝ սահմանված ձ</w:t>
      </w:r>
      <w:r w:rsidR="00C54D75">
        <w:rPr>
          <w:rFonts w:ascii="Sylfaen" w:hAnsi="Sylfaen"/>
          <w:sz w:val="24"/>
          <w:szCs w:val="24"/>
        </w:rPr>
        <w:t>և</w:t>
      </w:r>
      <w:r w:rsidRPr="00834D52">
        <w:rPr>
          <w:rFonts w:ascii="Sylfaen" w:hAnsi="Sylfaen"/>
          <w:sz w:val="24"/>
          <w:szCs w:val="24"/>
        </w:rPr>
        <w:t>ով՝ թղթային</w:t>
      </w:r>
      <w:r w:rsidR="00E90FAF" w:rsidRPr="00E90FAF">
        <w:rPr>
          <w:rFonts w:ascii="Sylfaen" w:hAnsi="Sylfaen"/>
          <w:sz w:val="24"/>
          <w:szCs w:val="24"/>
        </w:rPr>
        <w:t xml:space="preserve"> </w:t>
      </w:r>
      <w:r w:rsidR="00B909BC">
        <w:rPr>
          <w:rFonts w:ascii="Sylfaen" w:hAnsi="Sylfaen"/>
          <w:sz w:val="24"/>
          <w:szCs w:val="24"/>
        </w:rPr>
        <w:t>կրիչով</w:t>
      </w:r>
      <w:r w:rsidRPr="00834D52">
        <w:rPr>
          <w:rFonts w:ascii="Sylfaen" w:hAnsi="Sylfaen"/>
          <w:sz w:val="24"/>
          <w:szCs w:val="24"/>
        </w:rPr>
        <w:t xml:space="preserve"> </w:t>
      </w:r>
      <w:r w:rsidR="00C54D75">
        <w:rPr>
          <w:rFonts w:ascii="Sylfaen" w:hAnsi="Sylfaen"/>
          <w:sz w:val="24"/>
          <w:szCs w:val="24"/>
        </w:rPr>
        <w:t>և</w:t>
      </w:r>
      <w:r w:rsidRPr="00834D52">
        <w:rPr>
          <w:rFonts w:ascii="Sylfaen" w:hAnsi="Sylfaen"/>
          <w:sz w:val="24"/>
          <w:szCs w:val="24"/>
        </w:rPr>
        <w:t xml:space="preserve"> (կամ) էլեկտրոնային </w:t>
      </w:r>
      <w:r w:rsidR="00B909BC">
        <w:rPr>
          <w:rFonts w:ascii="Sylfaen" w:hAnsi="Sylfaen"/>
          <w:sz w:val="24"/>
          <w:szCs w:val="24"/>
        </w:rPr>
        <w:t>փաստաթղթի տեսքով</w:t>
      </w:r>
      <w:r w:rsidRPr="00834D52">
        <w:rPr>
          <w:rFonts w:ascii="Sylfaen" w:hAnsi="Sylfaen"/>
          <w:sz w:val="24"/>
          <w:szCs w:val="24"/>
        </w:rPr>
        <w:t>՝ սույն Կանոնների թիվ 2 հավելվածի</w:t>
      </w:r>
      <w:r w:rsidR="00B909BC">
        <w:rPr>
          <w:rFonts w:ascii="Sylfaen" w:hAnsi="Sylfaen"/>
          <w:sz w:val="24"/>
          <w:szCs w:val="24"/>
        </w:rPr>
        <w:t>ն համապատասխան</w:t>
      </w:r>
      <w:r w:rsidRPr="00834D52">
        <w:rPr>
          <w:rFonts w:ascii="Sylfaen" w:hAnsi="Sylfaen"/>
          <w:sz w:val="24"/>
          <w:szCs w:val="24"/>
        </w:rPr>
        <w:t>.</w:t>
      </w:r>
    </w:p>
    <w:p w14:paraId="39CD612B"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 </w:t>
      </w:r>
      <w:r w:rsidR="009F49FE">
        <w:rPr>
          <w:rFonts w:ascii="Sylfaen" w:hAnsi="Sylfaen"/>
          <w:sz w:val="24"/>
          <w:szCs w:val="24"/>
        </w:rPr>
        <w:t xml:space="preserve">ռեֆերենտ </w:t>
      </w:r>
      <w:r w:rsidRPr="00834D52">
        <w:rPr>
          <w:rFonts w:ascii="Sylfaen" w:hAnsi="Sylfaen"/>
          <w:sz w:val="24"/>
          <w:szCs w:val="24"/>
        </w:rPr>
        <w:t xml:space="preserve">պետության օրենսդրությամբ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17158F0E"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դոսյե՝ սույն Կանոնների թիվ 1</w:t>
      </w:r>
      <w:r w:rsidRPr="008341C7">
        <w:rPr>
          <w:rFonts w:ascii="Sylfaen" w:hAnsi="Sylfaen"/>
          <w:sz w:val="24"/>
          <w:szCs w:val="24"/>
        </w:rPr>
        <w:t>-</w:t>
      </w:r>
      <w:r w:rsidRPr="00834D52">
        <w:rPr>
          <w:rFonts w:ascii="Sylfaen" w:hAnsi="Sylfaen"/>
          <w:sz w:val="24"/>
          <w:szCs w:val="24"/>
        </w:rPr>
        <w:t>5 հավելվածներին համապատասխան՝ էլեկտրոնային կրիչով (գրանցման դոսյեի 1-ին մոդուլը լրացուցիչ ներկայացվում է թղթային կրիչով (բացառությամբ ռիսկերի կառավարման պլանի, արտադրական հարթակի (արտադրական հարթակների) հիմնական դոսյեի (մաստեր</w:t>
      </w:r>
      <w:r w:rsidRPr="008341C7">
        <w:rPr>
          <w:rFonts w:ascii="Sylfaen" w:hAnsi="Sylfaen"/>
          <w:sz w:val="24"/>
          <w:szCs w:val="24"/>
        </w:rPr>
        <w:t>-</w:t>
      </w:r>
      <w:r w:rsidRPr="00834D52">
        <w:rPr>
          <w:rFonts w:ascii="Sylfaen" w:hAnsi="Sylfaen"/>
          <w:sz w:val="24"/>
          <w:szCs w:val="24"/>
        </w:rPr>
        <w:t xml:space="preserve">ֆայլի) </w:t>
      </w:r>
      <w:r w:rsidR="00C54D75">
        <w:rPr>
          <w:rFonts w:ascii="Sylfaen" w:hAnsi="Sylfaen"/>
          <w:sz w:val="24"/>
          <w:szCs w:val="24"/>
        </w:rPr>
        <w:t>և</w:t>
      </w:r>
      <w:r w:rsidRPr="00834D52">
        <w:rPr>
          <w:rFonts w:ascii="Sylfaen" w:hAnsi="Sylfaen"/>
          <w:sz w:val="24"/>
          <w:szCs w:val="24"/>
        </w:rPr>
        <w:t xml:space="preserve"> դեղազգոնության մասով մաստեր</w:t>
      </w:r>
      <w:r w:rsidRPr="008341C7">
        <w:rPr>
          <w:rFonts w:ascii="Sylfaen" w:hAnsi="Sylfaen"/>
          <w:sz w:val="24"/>
          <w:szCs w:val="24"/>
        </w:rPr>
        <w:t>-</w:t>
      </w:r>
      <w:r w:rsidRPr="00834D52">
        <w:rPr>
          <w:rFonts w:ascii="Sylfaen" w:hAnsi="Sylfaen"/>
          <w:sz w:val="24"/>
          <w:szCs w:val="24"/>
        </w:rPr>
        <w:t>ֆայլի),</w:t>
      </w:r>
    </w:p>
    <w:p w14:paraId="311DDD2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դեղապատրաստուկների նմուշներ։</w:t>
      </w:r>
    </w:p>
    <w:p w14:paraId="61BA35E6"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Ակտիվ դեղագործական բաղադրամասերի </w:t>
      </w:r>
      <w:r w:rsidR="00C54D75">
        <w:rPr>
          <w:rFonts w:ascii="Sylfaen" w:hAnsi="Sylfaen"/>
          <w:sz w:val="24"/>
          <w:szCs w:val="24"/>
        </w:rPr>
        <w:t>և</w:t>
      </w:r>
      <w:r w:rsidRPr="00834D52">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834D52">
        <w:rPr>
          <w:rFonts w:ascii="Sylfaen" w:hAnsi="Sylfaen"/>
          <w:sz w:val="24"/>
          <w:szCs w:val="24"/>
        </w:rPr>
        <w:t xml:space="preserve"> սույն կետի հինգերորդ պարբերությունում նշված դեղապատրաստուկների նմուշների փորձարկումներ անցկացնելու համար անհրաժեշտ այլ նյութեր ներկայացվում են փորձագիտական կազմակերպության հետ համաձայնեցնելով։</w:t>
      </w:r>
    </w:p>
    <w:p w14:paraId="3FB2A7C0" w14:textId="77777777" w:rsidR="006F76EB" w:rsidRPr="00834D52" w:rsidRDefault="006F76EB" w:rsidP="00010F6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Դեղապատրաստուկների նմուշները, սպեցիֆիկ ռեագենտներն ու այլ նյութեր ներկայացվում են դեղապատրաստուկների որակի նորմատիվ փաստաթղթի պահանջներին կամ գրանցման դոսյեի կազմի մեջ մտնող մյուս մասնագրերին համապատասխան՝ փորձագիտական կազմակերպության հետ համաձայնեցված </w:t>
      </w:r>
      <w:r w:rsidR="00C54D75">
        <w:rPr>
          <w:rFonts w:ascii="Sylfaen" w:hAnsi="Sylfaen"/>
          <w:sz w:val="24"/>
          <w:szCs w:val="24"/>
        </w:rPr>
        <w:t>և</w:t>
      </w:r>
      <w:r w:rsidRPr="00834D52">
        <w:rPr>
          <w:rFonts w:ascii="Sylfaen" w:hAnsi="Sylfaen"/>
          <w:sz w:val="24"/>
          <w:szCs w:val="24"/>
        </w:rPr>
        <w:t xml:space="preserve"> երեք անգամից ոչ ավել անալիզ անցկացնելու համար անհրաժեշտ քանակությամբ լիազորված մարմնի (փորձագիտական կազմակերպության) կողմից համաձայնեցված այնպիսի ժամկետում, որը չի մտնում դեղապատրաստուկի փորձաքննության </w:t>
      </w:r>
      <w:r w:rsidR="00C54D75">
        <w:rPr>
          <w:rFonts w:ascii="Sylfaen" w:hAnsi="Sylfaen"/>
          <w:sz w:val="24"/>
          <w:szCs w:val="24"/>
        </w:rPr>
        <w:t>և</w:t>
      </w:r>
      <w:r w:rsidRPr="00834D52">
        <w:rPr>
          <w:rFonts w:ascii="Sylfaen" w:hAnsi="Sylfaen"/>
          <w:sz w:val="24"/>
          <w:szCs w:val="24"/>
        </w:rPr>
        <w:t xml:space="preserve"> գրանցման ընդհանուր ժամկետի մեջ։</w:t>
      </w:r>
    </w:p>
    <w:p w14:paraId="43DA3981" w14:textId="77777777" w:rsidR="006F76EB" w:rsidRPr="00834D52" w:rsidRDefault="006F76EB" w:rsidP="00010F6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Չի պահանջվում ներկայացնել նմուշներ, սպեցիֆիկ ռեագենտներ </w:t>
      </w:r>
      <w:r w:rsidR="00C54D75">
        <w:rPr>
          <w:rFonts w:ascii="Sylfaen" w:hAnsi="Sylfaen"/>
          <w:sz w:val="24"/>
          <w:szCs w:val="24"/>
        </w:rPr>
        <w:t>և</w:t>
      </w:r>
      <w:r w:rsidRPr="00834D52">
        <w:rPr>
          <w:rFonts w:ascii="Sylfaen" w:hAnsi="Sylfaen"/>
          <w:sz w:val="24"/>
          <w:szCs w:val="24"/>
        </w:rPr>
        <w:t xml:space="preserve"> այլ նյութեր, եթե փորձագիտական կազմակերպությունում դեղապատրաստուկների (այդ թվում՝ իրենց բարձր արժեքի պատճառով դրանք հազվադեպ կիրառվող («որբ»), թմրեցուցիչ, հոգեմետ կամ թանկարժեք բուժում պահանջող հիվանդությունների բուժման համար նախատեսված դեղապատրաստուկների կատեգորիային դասելու դեպքում) նմուշների դժվարամատչելիության, նշված </w:t>
      </w:r>
      <w:r w:rsidRPr="00834D52">
        <w:rPr>
          <w:rFonts w:ascii="Sylfaen" w:hAnsi="Sylfaen"/>
          <w:sz w:val="24"/>
          <w:szCs w:val="24"/>
        </w:rPr>
        <w:lastRenderedPageBreak/>
        <w:t xml:space="preserve">նմուշներն անդամ պետության տարածք տրանսպորտով փոխադրելու </w:t>
      </w:r>
      <w:r w:rsidR="00C54D75">
        <w:rPr>
          <w:rFonts w:ascii="Sylfaen" w:hAnsi="Sylfaen"/>
          <w:sz w:val="24"/>
          <w:szCs w:val="24"/>
        </w:rPr>
        <w:t>և</w:t>
      </w:r>
      <w:r w:rsidRPr="00834D52">
        <w:rPr>
          <w:rFonts w:ascii="Sylfaen" w:hAnsi="Sylfaen"/>
          <w:sz w:val="24"/>
          <w:szCs w:val="24"/>
        </w:rPr>
        <w:t xml:space="preserve"> (կամ) դրանց պահպանման պայմաններին հետ</w:t>
      </w:r>
      <w:r w:rsidR="00C54D75">
        <w:rPr>
          <w:rFonts w:ascii="Sylfaen" w:hAnsi="Sylfaen"/>
          <w:sz w:val="24"/>
          <w:szCs w:val="24"/>
        </w:rPr>
        <w:t>և</w:t>
      </w:r>
      <w:r w:rsidRPr="00834D52">
        <w:rPr>
          <w:rFonts w:ascii="Sylfaen" w:hAnsi="Sylfaen"/>
          <w:sz w:val="24"/>
          <w:szCs w:val="24"/>
        </w:rPr>
        <w:t xml:space="preserve">ելու անհնարինության, փորձագիտական կազմակերպությունում հատուկ սարքավորումների </w:t>
      </w:r>
      <w:r w:rsidR="00C54D75">
        <w:rPr>
          <w:rFonts w:ascii="Sylfaen" w:hAnsi="Sylfaen"/>
          <w:sz w:val="24"/>
          <w:szCs w:val="24"/>
        </w:rPr>
        <w:t>և</w:t>
      </w:r>
      <w:r w:rsidRPr="00834D52">
        <w:rPr>
          <w:rFonts w:ascii="Sylfaen" w:hAnsi="Sylfaen"/>
          <w:sz w:val="24"/>
          <w:szCs w:val="24"/>
        </w:rPr>
        <w:t xml:space="preserve"> ծախսանյութերի բացակայության հետ</w:t>
      </w:r>
      <w:r w:rsidR="00C54D75">
        <w:rPr>
          <w:rFonts w:ascii="Sylfaen" w:hAnsi="Sylfaen"/>
          <w:sz w:val="24"/>
          <w:szCs w:val="24"/>
        </w:rPr>
        <w:t>և</w:t>
      </w:r>
      <w:r w:rsidRPr="00834D52">
        <w:rPr>
          <w:rFonts w:ascii="Sylfaen" w:hAnsi="Sylfaen"/>
          <w:sz w:val="24"/>
          <w:szCs w:val="24"/>
        </w:rPr>
        <w:t>անքով փորձարկումների անցկացումն անհնար է։</w:t>
      </w:r>
    </w:p>
    <w:p w14:paraId="25DCF204"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48.</w:t>
      </w:r>
      <w:r w:rsidRPr="00834D52">
        <w:rPr>
          <w:rFonts w:ascii="Sylfaen" w:hAnsi="Sylfaen"/>
          <w:sz w:val="24"/>
          <w:szCs w:val="24"/>
        </w:rPr>
        <w:tab/>
        <w:t>Սույն Կանոնների 47</w:t>
      </w:r>
      <w:r w:rsidRPr="008341C7">
        <w:rPr>
          <w:rFonts w:ascii="Sylfaen" w:hAnsi="Sylfaen"/>
          <w:sz w:val="24"/>
          <w:szCs w:val="24"/>
        </w:rPr>
        <w:t>-</w:t>
      </w:r>
      <w:r w:rsidRPr="00834D52">
        <w:rPr>
          <w:rFonts w:ascii="Sylfaen" w:hAnsi="Sylfaen"/>
          <w:sz w:val="24"/>
          <w:szCs w:val="24"/>
        </w:rPr>
        <w:t>րդ կետի ութերորդ պարբերությունում նշված դեպքերում լաբորատոր փորձարկումներն անցկացվում են դեղապտատրաստուկն արտադրողի` որակի հսկողության լաբորատորիայում՝ փորձագիտական կազմակերպության ներկայացուցիչների ներկայությամբ, կամ արտադրողի կողմից օգտագործվող պայմանագրային լաբորատորիայում՝ փորձագիտական կազմակերպության ներկայացուցիչների ներկայությամբ։</w:t>
      </w:r>
    </w:p>
    <w:p w14:paraId="283D495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49.</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պետությունում դեղապատրաստուկի փորձաքննությունը ներառում է՝</w:t>
      </w:r>
    </w:p>
    <w:p w14:paraId="52343A5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գրանցման դոսյեում ներկայացված փաստաթղթերի ամբողջականության, լրակազմության </w:t>
      </w:r>
      <w:r w:rsidR="00C54D75">
        <w:rPr>
          <w:rFonts w:ascii="Sylfaen" w:hAnsi="Sylfaen"/>
          <w:sz w:val="24"/>
          <w:szCs w:val="24"/>
        </w:rPr>
        <w:t>և</w:t>
      </w:r>
      <w:r w:rsidRPr="00834D52">
        <w:rPr>
          <w:rFonts w:ascii="Sylfaen" w:hAnsi="Sylfaen"/>
          <w:sz w:val="24"/>
          <w:szCs w:val="24"/>
        </w:rPr>
        <w:t xml:space="preserve"> ճիշտ ձ</w:t>
      </w:r>
      <w:r w:rsidR="00C54D75">
        <w:rPr>
          <w:rFonts w:ascii="Sylfaen" w:hAnsi="Sylfaen"/>
          <w:sz w:val="24"/>
          <w:szCs w:val="24"/>
        </w:rPr>
        <w:t>և</w:t>
      </w:r>
      <w:r w:rsidRPr="00834D52">
        <w:rPr>
          <w:rFonts w:ascii="Sylfaen" w:hAnsi="Sylfaen"/>
          <w:sz w:val="24"/>
          <w:szCs w:val="24"/>
        </w:rPr>
        <w:t>ակերպման գնահատում,</w:t>
      </w:r>
    </w:p>
    <w:p w14:paraId="38AE24D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դեղապատրաստուկի գրանցման դոսյեում հայտատուի կողմից ներկայացված փաստաթղթերի </w:t>
      </w:r>
      <w:r w:rsidR="00C54D75">
        <w:rPr>
          <w:rFonts w:ascii="Sylfaen" w:hAnsi="Sylfaen"/>
          <w:sz w:val="24"/>
          <w:szCs w:val="24"/>
        </w:rPr>
        <w:t>և</w:t>
      </w:r>
      <w:r w:rsidRPr="00834D52">
        <w:rPr>
          <w:rFonts w:ascii="Sylfaen" w:hAnsi="Sylfaen"/>
          <w:sz w:val="24"/>
          <w:szCs w:val="24"/>
        </w:rPr>
        <w:t xml:space="preserve"> տեղեկությունների գնահատում՝ դրանց անվտանգության, արդյունավետության </w:t>
      </w:r>
      <w:r w:rsidR="00C54D75">
        <w:rPr>
          <w:rFonts w:ascii="Sylfaen" w:hAnsi="Sylfaen"/>
          <w:sz w:val="24"/>
          <w:szCs w:val="24"/>
        </w:rPr>
        <w:t>և</w:t>
      </w:r>
      <w:r w:rsidRPr="00834D52">
        <w:rPr>
          <w:rFonts w:ascii="Sylfaen" w:hAnsi="Sylfaen"/>
          <w:sz w:val="24"/>
          <w:szCs w:val="24"/>
        </w:rPr>
        <w:t xml:space="preserve"> որակի մասով,</w:t>
      </w:r>
    </w:p>
    <w:p w14:paraId="0BC85022"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հավատարմագրված փորձարկման լաբորատորիաներում իրականացվող՝ որակի հսկողության հայտագրված մեթոդիկաների որակի </w:t>
      </w:r>
      <w:r w:rsidR="00C54D75">
        <w:rPr>
          <w:rFonts w:ascii="Sylfaen" w:hAnsi="Sylfaen"/>
          <w:sz w:val="24"/>
          <w:szCs w:val="24"/>
        </w:rPr>
        <w:t>և</w:t>
      </w:r>
      <w:r w:rsidRPr="00834D52">
        <w:rPr>
          <w:rFonts w:ascii="Sylfaen" w:hAnsi="Sylfaen"/>
          <w:sz w:val="24"/>
          <w:szCs w:val="24"/>
        </w:rPr>
        <w:t xml:space="preserve"> վերարտադրելիության վերաբերյալ նորմատիվ փաստաթղթերի պահանջներին համապատասխանության մասով լաբորատոր փորձարկումների անցկացում,</w:t>
      </w:r>
    </w:p>
    <w:p w14:paraId="1EB6DDC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անհրաժեշտության դեպքում արտապլանային </w:t>
      </w:r>
      <w:r w:rsidR="00C54D75">
        <w:rPr>
          <w:rFonts w:ascii="Sylfaen" w:hAnsi="Sylfaen"/>
          <w:sz w:val="24"/>
          <w:szCs w:val="24"/>
        </w:rPr>
        <w:t>և</w:t>
      </w:r>
      <w:r w:rsidRPr="00834D52">
        <w:rPr>
          <w:rFonts w:ascii="Sylfaen" w:hAnsi="Sylfaen"/>
          <w:sz w:val="24"/>
          <w:szCs w:val="24"/>
        </w:rPr>
        <w:t xml:space="preserve"> պլանային դեղագործական տեսչական ստուգումների նախաձեռնում` սույն Կանոններով սահմանված դեպքերում,</w:t>
      </w:r>
    </w:p>
    <w:p w14:paraId="6866E25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կողմից դեղապատրաստուկի գնահատման վերաբերյալ փորձագիտական հաշվետվության կազմում։</w:t>
      </w:r>
    </w:p>
    <w:p w14:paraId="4E056B7C" w14:textId="77777777" w:rsidR="006F76EB" w:rsidRPr="00834D52" w:rsidRDefault="006F76EB" w:rsidP="00911A5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50.</w:t>
      </w:r>
      <w:r w:rsidRPr="00834D52">
        <w:rPr>
          <w:rFonts w:ascii="Sylfaen" w:hAnsi="Sylfaen"/>
          <w:sz w:val="24"/>
          <w:szCs w:val="24"/>
        </w:rPr>
        <w:tab/>
        <w:t xml:space="preserve">Գրանցման հայտ ներկայացնելու օրվանից 14 աշխատանքային օրվա ընթացքում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իրականացնում է գրանցման դոսյեում ներկայացված փաստաթղթերի ամբողջականության, լրակազմության </w:t>
      </w:r>
      <w:r w:rsidR="00C54D75">
        <w:rPr>
          <w:rFonts w:ascii="Sylfaen" w:hAnsi="Sylfaen"/>
          <w:sz w:val="24"/>
          <w:szCs w:val="24"/>
        </w:rPr>
        <w:t>և</w:t>
      </w:r>
      <w:r w:rsidRPr="00834D52">
        <w:rPr>
          <w:rFonts w:ascii="Sylfaen" w:hAnsi="Sylfaen"/>
          <w:sz w:val="24"/>
          <w:szCs w:val="24"/>
        </w:rPr>
        <w:t xml:space="preserve"> ճիշտ ձ</w:t>
      </w:r>
      <w:r w:rsidR="00C54D75">
        <w:rPr>
          <w:rFonts w:ascii="Sylfaen" w:hAnsi="Sylfaen"/>
          <w:sz w:val="24"/>
          <w:szCs w:val="24"/>
        </w:rPr>
        <w:t>և</w:t>
      </w:r>
      <w:r w:rsidRPr="00834D52">
        <w:rPr>
          <w:rFonts w:ascii="Sylfaen" w:hAnsi="Sylfaen"/>
          <w:sz w:val="24"/>
          <w:szCs w:val="24"/>
        </w:rPr>
        <w:t xml:space="preserve">ակերպման գնահատում՝ նախքան գրանցման դոսյեի նյութերը փորձաքննության ուղարկելը։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դիտողությունների հիման վրա գրանցման դոսյեում պակասող նյութերը ներկայացնելու համար հայտատուին տրամադրվում է 90</w:t>
      </w:r>
      <w:r w:rsidR="00761CCE" w:rsidRPr="009443D2">
        <w:rPr>
          <w:rFonts w:ascii="Sylfaen" w:hAnsi="Sylfaen"/>
          <w:sz w:val="24"/>
          <w:szCs w:val="24"/>
        </w:rPr>
        <w:t> </w:t>
      </w:r>
      <w:r w:rsidRPr="00834D52">
        <w:rPr>
          <w:rFonts w:ascii="Sylfaen" w:hAnsi="Sylfaen"/>
          <w:sz w:val="24"/>
          <w:szCs w:val="24"/>
        </w:rPr>
        <w:t xml:space="preserve">օրացուցային օրվանից ոչ ավելի, որը չի մտնում 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ժամկետի մեջ։</w:t>
      </w:r>
    </w:p>
    <w:p w14:paraId="40F94C03" w14:textId="77777777" w:rsidR="006F76EB" w:rsidRPr="00834D52" w:rsidRDefault="006F76EB" w:rsidP="00911A5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51.</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մարմնի (փորձագիտական կազմակերպության) դիտողությունների հիման վրա գրանցման դոսյեի նյութերը չներկայացնելու </w:t>
      </w:r>
      <w:r w:rsidR="00C54D75">
        <w:rPr>
          <w:rFonts w:ascii="Sylfaen" w:hAnsi="Sylfaen"/>
          <w:sz w:val="24"/>
          <w:szCs w:val="24"/>
        </w:rPr>
        <w:t>և</w:t>
      </w:r>
      <w:r w:rsidRPr="00834D52">
        <w:rPr>
          <w:rFonts w:ascii="Sylfaen" w:hAnsi="Sylfaen"/>
          <w:sz w:val="24"/>
          <w:szCs w:val="24"/>
        </w:rPr>
        <w:t xml:space="preserve"> (կամ) </w:t>
      </w:r>
      <w:r w:rsidR="009F49FE">
        <w:rPr>
          <w:rFonts w:ascii="Sylfaen" w:hAnsi="Sylfaen"/>
          <w:sz w:val="24"/>
          <w:szCs w:val="24"/>
        </w:rPr>
        <w:t xml:space="preserve">ռեֆերենտ </w:t>
      </w:r>
      <w:r w:rsidRPr="00834D52">
        <w:rPr>
          <w:rFonts w:ascii="Sylfaen" w:hAnsi="Sylfaen"/>
          <w:sz w:val="24"/>
          <w:szCs w:val="24"/>
        </w:rPr>
        <w:t xml:space="preserve">պետության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 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չհաստատելու դեպքում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մերժում է դեղապատրաստուկի գրանցման հայտը։</w:t>
      </w:r>
    </w:p>
    <w:p w14:paraId="36E5F25F"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52.</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w:t>
      </w:r>
      <w:r w:rsidR="00C54D75">
        <w:rPr>
          <w:rFonts w:ascii="Sylfaen" w:hAnsi="Sylfaen"/>
          <w:sz w:val="24"/>
          <w:szCs w:val="24"/>
        </w:rPr>
        <w:t>և</w:t>
      </w:r>
      <w:r w:rsidRPr="00834D52">
        <w:rPr>
          <w:rFonts w:ascii="Sylfaen" w:hAnsi="Sylfaen"/>
          <w:sz w:val="24"/>
          <w:szCs w:val="24"/>
        </w:rPr>
        <w:t xml:space="preserve"> (կամ) փորձագիտական կազմակերպությունը դեղապատրաստուկի գրանցում </w:t>
      </w:r>
      <w:r w:rsidR="00C54D75">
        <w:rPr>
          <w:rFonts w:ascii="Sylfaen" w:hAnsi="Sylfaen"/>
          <w:sz w:val="24"/>
          <w:szCs w:val="24"/>
        </w:rPr>
        <w:t>և</w:t>
      </w:r>
      <w:r w:rsidRPr="00834D52">
        <w:rPr>
          <w:rFonts w:ascii="Sylfaen" w:hAnsi="Sylfaen"/>
          <w:sz w:val="24"/>
          <w:szCs w:val="24"/>
        </w:rPr>
        <w:t xml:space="preserve"> (կամ) փորձաքննություն անցկացնելիս իրավասու է գրավոր </w:t>
      </w:r>
      <w:r w:rsidR="00C54D75">
        <w:rPr>
          <w:rFonts w:ascii="Sylfaen" w:hAnsi="Sylfaen"/>
          <w:sz w:val="24"/>
          <w:szCs w:val="24"/>
        </w:rPr>
        <w:t>և</w:t>
      </w:r>
      <w:r w:rsidRPr="00834D52">
        <w:rPr>
          <w:rFonts w:ascii="Sylfaen" w:hAnsi="Sylfaen"/>
          <w:sz w:val="24"/>
          <w:szCs w:val="24"/>
        </w:rPr>
        <w:t xml:space="preserve"> (կամ) էլեկտրոնային եղանակով հարցում ուղարկել հայտատուին՝ պակասող լրացուցիչ տեղեկատվություն, գրանցման դոսյեում ներկայացված փաստաթղթերի </w:t>
      </w:r>
      <w:r w:rsidR="00C54D75">
        <w:rPr>
          <w:rFonts w:ascii="Sylfaen" w:hAnsi="Sylfaen"/>
          <w:sz w:val="24"/>
          <w:szCs w:val="24"/>
        </w:rPr>
        <w:t>և</w:t>
      </w:r>
      <w:r w:rsidRPr="00834D52">
        <w:rPr>
          <w:rFonts w:ascii="Sylfaen" w:hAnsi="Sylfaen"/>
          <w:sz w:val="24"/>
          <w:szCs w:val="24"/>
        </w:rPr>
        <w:t xml:space="preserve"> տվյալների անհրաժեշտ պարզաբանումներ կամ ճշտումներ (այդ թվում՝ ԴՊԸԲ</w:t>
      </w:r>
      <w:r w:rsidRPr="008341C7">
        <w:rPr>
          <w:rFonts w:ascii="Sylfaen" w:hAnsi="Sylfaen"/>
          <w:sz w:val="24"/>
          <w:szCs w:val="24"/>
        </w:rPr>
        <w:t>-</w:t>
      </w:r>
      <w:r w:rsidRPr="00834D52">
        <w:rPr>
          <w:rFonts w:ascii="Sylfaen" w:hAnsi="Sylfaen"/>
          <w:sz w:val="24"/>
          <w:szCs w:val="24"/>
        </w:rPr>
        <w:t xml:space="preserve">ում, դեղապատրաստուկի բժշկական կիրառման հրահանգում, փաթեթվածքի մանրակերտերում, որակի վերաբերյալ նորմատիվ փաստաթղթերում կամ գրանցման դոսյեի այլ փաստաթղթերում փոփոխություններ կատարելու առաջարկ) ներկայացնելու վերաբերյալ։ Առաջին հարցումից հետո հետագա հարցումները թույլատրվում են </w:t>
      </w:r>
      <w:r w:rsidRPr="00834D52">
        <w:rPr>
          <w:rFonts w:ascii="Sylfaen" w:hAnsi="Sylfaen"/>
          <w:sz w:val="24"/>
          <w:szCs w:val="24"/>
        </w:rPr>
        <w:lastRenderedPageBreak/>
        <w:t>միայն այն դեպքում, երբ նախորդ հարցման պատասխանի մեջ հայտատուի ներկայացրած տեղեկությունների հետ կապված ծագել են լրացուցիչ հարցեր։</w:t>
      </w:r>
    </w:p>
    <w:p w14:paraId="2E8FF3D7"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53.</w:t>
      </w:r>
      <w:r w:rsidRPr="00834D52">
        <w:rPr>
          <w:rFonts w:ascii="Sylfaen" w:hAnsi="Sylfaen"/>
          <w:sz w:val="24"/>
          <w:szCs w:val="24"/>
        </w:rPr>
        <w:tab/>
        <w:t>Սույն Կանոնների 52</w:t>
      </w:r>
      <w:r w:rsidRPr="008341C7">
        <w:rPr>
          <w:rFonts w:ascii="Sylfaen" w:hAnsi="Sylfaen"/>
          <w:sz w:val="24"/>
          <w:szCs w:val="24"/>
        </w:rPr>
        <w:t>-</w:t>
      </w:r>
      <w:r w:rsidRPr="00834D52">
        <w:rPr>
          <w:rFonts w:ascii="Sylfaen" w:hAnsi="Sylfaen"/>
          <w:sz w:val="24"/>
          <w:szCs w:val="24"/>
        </w:rPr>
        <w:t>րդ կետում նշված հարցմանը հայտատուն պետք է պատասխան ներկայացնի հարցումը ստանալու օրվանից 90 օրացուցային օրը չգերազանցող ժամկետում։</w:t>
      </w:r>
    </w:p>
    <w:p w14:paraId="638A43F6"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54.</w:t>
      </w:r>
      <w:r w:rsidRPr="00834D52">
        <w:rPr>
          <w:rFonts w:ascii="Sylfaen" w:hAnsi="Sylfaen"/>
          <w:sz w:val="24"/>
          <w:szCs w:val="24"/>
        </w:rPr>
        <w:tab/>
        <w:t>Անհրաժեշտության դեպքում, հայտատուի համապատասխան հիմնավորման հիման վրա, սույն Կանոնների 53</w:t>
      </w:r>
      <w:r w:rsidRPr="008341C7">
        <w:rPr>
          <w:rFonts w:ascii="Sylfaen" w:hAnsi="Sylfaen"/>
          <w:sz w:val="24"/>
          <w:szCs w:val="24"/>
        </w:rPr>
        <w:t>-</w:t>
      </w:r>
      <w:r w:rsidRPr="00834D52">
        <w:rPr>
          <w:rFonts w:ascii="Sylfaen" w:hAnsi="Sylfaen"/>
          <w:sz w:val="24"/>
          <w:szCs w:val="24"/>
        </w:rPr>
        <w:t xml:space="preserve">րդ կետով սահմանված ժամկետը կարող է երկարացվել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կողմից։ Հարցումներին պատասխան ներկայացնելու ընդհանուր ժամկետը չպետք է գերազանցի 180 օրացուցային օրը:</w:t>
      </w:r>
    </w:p>
    <w:p w14:paraId="4A5E31C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55.</w:t>
      </w:r>
      <w:r w:rsidRPr="00834D52">
        <w:rPr>
          <w:rFonts w:ascii="Sylfaen" w:hAnsi="Sylfaen"/>
          <w:sz w:val="24"/>
          <w:szCs w:val="24"/>
        </w:rPr>
        <w:tab/>
        <w:t xml:space="preserve">Դեղապատրաստուկի փորձաքննության ընթացքում լիազորված մարմնի կամ փորձագիտական կազմակերպության հարցման հիման վրա հայտատուի կողմից փաստաթղթեր ներկայացնելու ժամկետը չի մտնում դեղապատրաստուկի փորձաքննություն </w:t>
      </w:r>
      <w:r w:rsidR="00C54D75">
        <w:rPr>
          <w:rFonts w:ascii="Sylfaen" w:hAnsi="Sylfaen"/>
          <w:sz w:val="24"/>
          <w:szCs w:val="24"/>
        </w:rPr>
        <w:t>և</w:t>
      </w:r>
      <w:r w:rsidRPr="00834D52">
        <w:rPr>
          <w:rFonts w:ascii="Sylfaen" w:hAnsi="Sylfaen"/>
          <w:sz w:val="24"/>
          <w:szCs w:val="24"/>
        </w:rPr>
        <w:t xml:space="preserve"> գրանցում կատարելու ժամկետի մեջ։</w:t>
      </w:r>
    </w:p>
    <w:p w14:paraId="1AA93B80"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56.</w:t>
      </w:r>
      <w:r w:rsidRPr="00834D52">
        <w:rPr>
          <w:rFonts w:ascii="Sylfaen" w:hAnsi="Sylfaen"/>
          <w:sz w:val="24"/>
          <w:szCs w:val="24"/>
        </w:rPr>
        <w:tab/>
        <w:t xml:space="preserve">Հայտատուի կողմից սահմանված ժամկետում պահանջվող փաստաթղթերն ու տեղեկությունները չներկայացնելու դեպքում դեղապատրաստուկի փորձաքննությունն ու գրանցումը դադարեցվում է։ Կայացված որոշման մասին լիազորված մարմինը (փորձագիտական կազմակերպությունը) ծանուցում է հայտատուին գրավոր </w:t>
      </w:r>
      <w:r w:rsidR="00C54D75">
        <w:rPr>
          <w:rFonts w:ascii="Sylfaen" w:hAnsi="Sylfaen"/>
          <w:sz w:val="24"/>
          <w:szCs w:val="24"/>
        </w:rPr>
        <w:t>և</w:t>
      </w:r>
      <w:r w:rsidRPr="00834D52">
        <w:rPr>
          <w:rFonts w:ascii="Sylfaen" w:hAnsi="Sylfaen"/>
          <w:sz w:val="24"/>
          <w:szCs w:val="24"/>
        </w:rPr>
        <w:t xml:space="preserve"> (կամ) էլեկտրոնային եղանակով՝ այդ որոշումը կայացնելու օրվանից 14 աշխատանքային օրվա ընթացքում։</w:t>
      </w:r>
    </w:p>
    <w:p w14:paraId="695C4F8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57.</w:t>
      </w:r>
      <w:r w:rsidRPr="00834D52">
        <w:rPr>
          <w:rFonts w:ascii="Sylfaen" w:hAnsi="Sylfaen"/>
          <w:sz w:val="24"/>
          <w:szCs w:val="24"/>
        </w:rPr>
        <w:tab/>
        <w:t>Հարցումներ</w:t>
      </w:r>
      <w:r w:rsidR="00AD60A7">
        <w:rPr>
          <w:rFonts w:ascii="Sylfaen" w:hAnsi="Sylfaen"/>
          <w:sz w:val="24"/>
          <w:szCs w:val="24"/>
        </w:rPr>
        <w:t xml:space="preserve">ը </w:t>
      </w:r>
      <w:r w:rsidR="00AD60A7" w:rsidRPr="00834D52">
        <w:rPr>
          <w:rFonts w:ascii="Sylfaen" w:hAnsi="Sylfaen"/>
          <w:sz w:val="24"/>
          <w:szCs w:val="24"/>
        </w:rPr>
        <w:t>հայտատուի</w:t>
      </w:r>
      <w:r w:rsidRPr="00834D52">
        <w:rPr>
          <w:rFonts w:ascii="Sylfaen" w:hAnsi="Sylfaen"/>
          <w:sz w:val="24"/>
          <w:szCs w:val="24"/>
        </w:rPr>
        <w:t>ն ուղարկելիս լիազորված մարմ</w:t>
      </w:r>
      <w:r w:rsidR="00AE718E">
        <w:rPr>
          <w:rFonts w:ascii="Sylfaen" w:hAnsi="Sylfaen"/>
          <w:sz w:val="24"/>
          <w:szCs w:val="24"/>
        </w:rPr>
        <w:t>ի</w:t>
      </w:r>
      <w:r w:rsidRPr="00834D52">
        <w:rPr>
          <w:rFonts w:ascii="Sylfaen" w:hAnsi="Sylfaen"/>
          <w:sz w:val="24"/>
          <w:szCs w:val="24"/>
        </w:rPr>
        <w:t>ն</w:t>
      </w:r>
      <w:r w:rsidR="00AE718E">
        <w:rPr>
          <w:rFonts w:ascii="Sylfaen" w:hAnsi="Sylfaen"/>
          <w:sz w:val="24"/>
          <w:szCs w:val="24"/>
        </w:rPr>
        <w:t>ներ</w:t>
      </w:r>
      <w:r w:rsidRPr="00834D52">
        <w:rPr>
          <w:rFonts w:ascii="Sylfaen" w:hAnsi="Sylfaen"/>
          <w:sz w:val="24"/>
          <w:szCs w:val="24"/>
        </w:rPr>
        <w:t>ի (փորձագիտական կազմակերպությ</w:t>
      </w:r>
      <w:r w:rsidR="00AE718E">
        <w:rPr>
          <w:rFonts w:ascii="Sylfaen" w:hAnsi="Sylfaen"/>
          <w:sz w:val="24"/>
          <w:szCs w:val="24"/>
        </w:rPr>
        <w:t>ունների</w:t>
      </w:r>
      <w:r w:rsidRPr="00834D52">
        <w:rPr>
          <w:rFonts w:ascii="Sylfaen" w:hAnsi="Sylfaen"/>
          <w:sz w:val="24"/>
          <w:szCs w:val="24"/>
        </w:rPr>
        <w:t>) միջ</w:t>
      </w:r>
      <w:r w:rsidR="00C54D75">
        <w:rPr>
          <w:rFonts w:ascii="Sylfaen" w:hAnsi="Sylfaen"/>
          <w:sz w:val="24"/>
          <w:szCs w:val="24"/>
        </w:rPr>
        <w:t>և</w:t>
      </w:r>
      <w:r w:rsidRPr="00834D52">
        <w:rPr>
          <w:rFonts w:ascii="Sylfaen" w:hAnsi="Sylfaen"/>
          <w:sz w:val="24"/>
          <w:szCs w:val="24"/>
        </w:rPr>
        <w:t xml:space="preserve"> փոխգործակցությունն իրականացվում է էլեկտրոնային եղանակով՝ ինտեգրված համակարգի օգտագործմամբ։</w:t>
      </w:r>
    </w:p>
    <w:p w14:paraId="1564BAF4"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58.</w:t>
      </w:r>
      <w:r w:rsidRPr="00834D52">
        <w:rPr>
          <w:rFonts w:ascii="Sylfaen" w:hAnsi="Sylfaen"/>
          <w:sz w:val="24"/>
          <w:szCs w:val="24"/>
        </w:rPr>
        <w:tab/>
        <w:t xml:space="preserve">Միության պատշաճ դեղագործական գործելակերպերին համապատասխանության դեղագործական տեսչական ստուգում նախաձեռնելու </w:t>
      </w:r>
      <w:r w:rsidRPr="00834D52">
        <w:rPr>
          <w:rFonts w:ascii="Sylfaen" w:hAnsi="Sylfaen"/>
          <w:sz w:val="24"/>
          <w:szCs w:val="24"/>
        </w:rPr>
        <w:lastRenderedPageBreak/>
        <w:t xml:space="preserve">դեպքում դեղապատրաստուկի փորձաքննությունը չի կասեցվում։ Ընդ որում, </w:t>
      </w:r>
      <w:r w:rsidR="009F49FE">
        <w:rPr>
          <w:rFonts w:ascii="Sylfaen" w:hAnsi="Sylfaen"/>
          <w:sz w:val="24"/>
          <w:szCs w:val="24"/>
        </w:rPr>
        <w:t xml:space="preserve">ռեֆերենտ </w:t>
      </w:r>
      <w:r w:rsidRPr="00834D52">
        <w:rPr>
          <w:rFonts w:ascii="Sylfaen" w:hAnsi="Sylfaen"/>
          <w:sz w:val="24"/>
          <w:szCs w:val="24"/>
        </w:rPr>
        <w:t xml:space="preserve">պետության կողմից գնահատման վերաբերյալ փորձագիտական հաշվետվության պատրաստումն ավարտվում է միայն </w:t>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կողմից տեսչական ստուգման արդյունքները ստանալուց հետո։ Արտապլանային դեղագործական տեսչական ստուգումը, որի դեպքում անցկացված տեսչական ստուգման մասին հաշվետվություն է ուղարկվում, պետք է անցկացվի դեղապատրաստուկի գրանցման ժամկետում, որը լիազորված մարմնի կամ փորձագիտական կազմակերպության կողմից տեսչական ստուգում անցկացնելու նախաձեռնության մասին որոշում կայացնելու օրվանից 180 օրացուցային օրը չի գերազանցում։</w:t>
      </w:r>
    </w:p>
    <w:p w14:paraId="5464D73D" w14:textId="77777777" w:rsidR="006F76EB" w:rsidRPr="00834D52" w:rsidRDefault="006F76EB" w:rsidP="00407DE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Հայտատուն կազմակերպում է արտադրական հարթակ </w:t>
      </w:r>
      <w:r w:rsidR="00C54D75">
        <w:rPr>
          <w:rFonts w:ascii="Sylfaen" w:hAnsi="Sylfaen"/>
          <w:sz w:val="24"/>
          <w:szCs w:val="24"/>
        </w:rPr>
        <w:t>և</w:t>
      </w:r>
      <w:r w:rsidRPr="00834D52">
        <w:rPr>
          <w:rFonts w:ascii="Sylfaen" w:hAnsi="Sylfaen"/>
          <w:sz w:val="24"/>
          <w:szCs w:val="24"/>
        </w:rPr>
        <w:t xml:space="preserve"> (կամ) հետազոտական կենտրոն այց </w:t>
      </w:r>
      <w:r w:rsidR="00C54D75">
        <w:rPr>
          <w:rFonts w:ascii="Sylfaen" w:hAnsi="Sylfaen"/>
          <w:sz w:val="24"/>
          <w:szCs w:val="24"/>
        </w:rPr>
        <w:t>և</w:t>
      </w:r>
      <w:r w:rsidRPr="00834D52">
        <w:rPr>
          <w:rFonts w:ascii="Sylfaen" w:hAnsi="Sylfaen"/>
          <w:sz w:val="24"/>
          <w:szCs w:val="24"/>
        </w:rPr>
        <w:t xml:space="preserve"> (կամ) գրանցման հավաստագրի իրավատիրոջ դեղազգոնության համակարգի տեսչական ստուգում տեսչական ստուգում անցկացնելու անհրաժեշտության մասին տեղեկատվություն ստանալուց հետո՝ 30</w:t>
      </w:r>
      <w:r w:rsidR="00D85A6C" w:rsidRPr="00B90C69">
        <w:rPr>
          <w:rFonts w:ascii="Sylfaen" w:hAnsi="Sylfaen"/>
          <w:sz w:val="24"/>
          <w:szCs w:val="24"/>
        </w:rPr>
        <w:t> </w:t>
      </w:r>
      <w:r w:rsidRPr="00834D52">
        <w:rPr>
          <w:rFonts w:ascii="Sylfaen" w:hAnsi="Sylfaen"/>
          <w:sz w:val="24"/>
          <w:szCs w:val="24"/>
        </w:rPr>
        <w:t>օրացուցային օրվա ընթացքում, կամ տրամադրում է այցելության օրերի հնարավոր տարբերակներ, սակայն ոչ ուշ, քան տեսչական ստուգում անցկացնելու անհրաժեշտության մասին տեղեկատվություն ստանալուց հետո՝ 90 օրացուցային օրվա ընթացքում։</w:t>
      </w:r>
    </w:p>
    <w:p w14:paraId="3BA22CA2" w14:textId="77777777" w:rsidR="006F76EB" w:rsidRPr="00474452" w:rsidRDefault="006F76EB" w:rsidP="00407DE9">
      <w:pPr>
        <w:tabs>
          <w:tab w:val="left" w:pos="1134"/>
        </w:tabs>
        <w:spacing w:after="160" w:line="384" w:lineRule="auto"/>
        <w:ind w:right="-6" w:firstLine="567"/>
        <w:jc w:val="both"/>
        <w:rPr>
          <w:rFonts w:ascii="Sylfaen" w:eastAsia="Times New Roman" w:hAnsi="Sylfaen" w:cs="Times New Roman"/>
          <w:spacing w:val="6"/>
          <w:sz w:val="24"/>
          <w:szCs w:val="24"/>
        </w:rPr>
      </w:pPr>
      <w:r w:rsidRPr="00834D52">
        <w:rPr>
          <w:rFonts w:ascii="Sylfaen" w:hAnsi="Sylfaen"/>
          <w:spacing w:val="-4"/>
          <w:sz w:val="24"/>
          <w:szCs w:val="24"/>
        </w:rPr>
        <w:t>59.</w:t>
      </w:r>
      <w:r w:rsidRPr="00834D52">
        <w:rPr>
          <w:rFonts w:ascii="Sylfaen" w:hAnsi="Sylfaen"/>
          <w:spacing w:val="-4"/>
          <w:sz w:val="24"/>
          <w:szCs w:val="24"/>
        </w:rPr>
        <w:tab/>
      </w:r>
      <w:r w:rsidRPr="00474452">
        <w:rPr>
          <w:rFonts w:ascii="Sylfaen" w:hAnsi="Sylfaen"/>
          <w:spacing w:val="6"/>
          <w:sz w:val="24"/>
          <w:szCs w:val="24"/>
        </w:rPr>
        <w:t xml:space="preserve">Գնահատման վերաբերյալ փորձագիտական հաշվետվություն պատրաստելու համար </w:t>
      </w:r>
      <w:r w:rsidR="009F49FE" w:rsidRPr="00474452">
        <w:rPr>
          <w:rFonts w:ascii="Sylfaen" w:hAnsi="Sylfaen"/>
          <w:spacing w:val="6"/>
          <w:sz w:val="24"/>
          <w:szCs w:val="24"/>
        </w:rPr>
        <w:t xml:space="preserve">ռեֆերենտ </w:t>
      </w:r>
      <w:r w:rsidRPr="00474452">
        <w:rPr>
          <w:rFonts w:ascii="Sylfaen" w:hAnsi="Sylfaen"/>
          <w:spacing w:val="6"/>
          <w:sz w:val="24"/>
          <w:szCs w:val="24"/>
        </w:rPr>
        <w:t xml:space="preserve">պետության փորձագիտական կազմակերպությունը կազմում է որակի ասպեկտների, դեղապատրաստուկում պարունակվող նոր ազդող նյութի գնահատման, ազդող նյութի գրանցման դոսյեի գնահատման, նախակլինիկական, կլինիկական ասպեկտների վերաբերյալ փորձագիտական հաշվետվություններ, լաբորատոր փորձարկումների արձանագրություն (եթե փորձագիտական կազմակերպության կողմից անցկացվել են համապատասխան փորձարկումներ)՝ սույն Կանոնների թիվ 6-10, 12 </w:t>
      </w:r>
      <w:r w:rsidR="00C54D75">
        <w:rPr>
          <w:rFonts w:ascii="Sylfaen" w:hAnsi="Sylfaen"/>
          <w:spacing w:val="6"/>
          <w:sz w:val="24"/>
          <w:szCs w:val="24"/>
        </w:rPr>
        <w:t>և</w:t>
      </w:r>
      <w:r w:rsidRPr="00474452">
        <w:rPr>
          <w:rFonts w:ascii="Sylfaen" w:hAnsi="Sylfaen"/>
          <w:spacing w:val="6"/>
          <w:sz w:val="24"/>
          <w:szCs w:val="24"/>
        </w:rPr>
        <w:t xml:space="preserve"> 22 հավելվածների համաձայն սահմանված ձ</w:t>
      </w:r>
      <w:r w:rsidR="00C54D75">
        <w:rPr>
          <w:rFonts w:ascii="Sylfaen" w:hAnsi="Sylfaen"/>
          <w:spacing w:val="6"/>
          <w:sz w:val="24"/>
          <w:szCs w:val="24"/>
        </w:rPr>
        <w:t>և</w:t>
      </w:r>
      <w:r w:rsidRPr="00474452">
        <w:rPr>
          <w:rFonts w:ascii="Sylfaen" w:hAnsi="Sylfaen"/>
          <w:spacing w:val="6"/>
          <w:sz w:val="24"/>
          <w:szCs w:val="24"/>
        </w:rPr>
        <w:t>երով։</w:t>
      </w:r>
    </w:p>
    <w:p w14:paraId="579704CA"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60.</w:t>
      </w:r>
      <w:r w:rsidRPr="00834D52">
        <w:rPr>
          <w:rFonts w:ascii="Sylfaen" w:hAnsi="Sylfaen"/>
          <w:sz w:val="24"/>
          <w:szCs w:val="24"/>
        </w:rPr>
        <w:tab/>
        <w:t xml:space="preserve">Դեղապատրաստուկի փորձաքննության արդյունքներով </w:t>
      </w:r>
      <w:r w:rsidR="009F49FE">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կազմակերպությունը կազմում է գրանցման համար հայտագրված դեղապատրաստուկի գնահատման՝ ներառյալ փորձագիտական կազմակերպության կամ լիազորված մարմնի հարցմանն ի պատասխան հայտատուից ստացված պարզաբանումների, փաստաթղթերի </w:t>
      </w:r>
      <w:r w:rsidR="00C54D75">
        <w:rPr>
          <w:rFonts w:ascii="Sylfaen" w:hAnsi="Sylfaen"/>
          <w:sz w:val="24"/>
          <w:szCs w:val="24"/>
        </w:rPr>
        <w:t>և</w:t>
      </w:r>
      <w:r w:rsidRPr="00834D52">
        <w:rPr>
          <w:rFonts w:ascii="Sylfaen" w:hAnsi="Sylfaen"/>
          <w:sz w:val="24"/>
          <w:szCs w:val="24"/>
        </w:rPr>
        <w:t xml:space="preserve"> տեղեկությունների գնահատման վերաբերյալ եզրափակիչ փորձագիտական հաշվետվություն՝ սույն Կանոնների թիվ 16 հավելվածի համաձայն սահմանված ձ</w:t>
      </w:r>
      <w:r w:rsidR="00C54D75">
        <w:rPr>
          <w:rFonts w:ascii="Sylfaen" w:hAnsi="Sylfaen"/>
          <w:sz w:val="24"/>
          <w:szCs w:val="24"/>
        </w:rPr>
        <w:t>և</w:t>
      </w:r>
      <w:r w:rsidRPr="00834D52">
        <w:rPr>
          <w:rFonts w:ascii="Sylfaen" w:hAnsi="Sylfaen"/>
          <w:sz w:val="24"/>
          <w:szCs w:val="24"/>
        </w:rPr>
        <w:t>ով։</w:t>
      </w:r>
    </w:p>
    <w:p w14:paraId="579F8D3A"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61.</w:t>
      </w:r>
      <w:r w:rsidRPr="00834D52">
        <w:rPr>
          <w:rFonts w:ascii="Sylfaen" w:hAnsi="Sylfaen"/>
          <w:sz w:val="24"/>
          <w:szCs w:val="24"/>
        </w:rPr>
        <w:tab/>
        <w:t>Որակի ասպեկտներով, նախակլինիկական, կլինիկական ասպեկտներով փորձագիտական հաշվետվությունները, գնահատման վերաբերյալ եզրափակիչ փորձագիտական հաշվետվությունը կազմվում են սույն Կանոնների թիվ 13</w:t>
      </w:r>
      <w:r w:rsidRPr="008341C7">
        <w:rPr>
          <w:rFonts w:ascii="Sylfaen" w:hAnsi="Sylfaen"/>
          <w:sz w:val="24"/>
          <w:szCs w:val="24"/>
        </w:rPr>
        <w:t>-</w:t>
      </w:r>
      <w:r w:rsidRPr="00834D52">
        <w:rPr>
          <w:rFonts w:ascii="Sylfaen" w:hAnsi="Sylfaen"/>
          <w:sz w:val="24"/>
          <w:szCs w:val="24"/>
        </w:rPr>
        <w:t xml:space="preserve">15 </w:t>
      </w:r>
      <w:r w:rsidR="00C54D75">
        <w:rPr>
          <w:rFonts w:ascii="Sylfaen" w:hAnsi="Sylfaen"/>
          <w:sz w:val="24"/>
          <w:szCs w:val="24"/>
        </w:rPr>
        <w:t>և</w:t>
      </w:r>
      <w:r w:rsidRPr="00834D52">
        <w:rPr>
          <w:rFonts w:ascii="Sylfaen" w:hAnsi="Sylfaen"/>
          <w:sz w:val="24"/>
          <w:szCs w:val="24"/>
        </w:rPr>
        <w:t xml:space="preserve"> 23 հավելվածներին համապատասխան։</w:t>
      </w:r>
    </w:p>
    <w:p w14:paraId="1EF9CDB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62.</w:t>
      </w:r>
      <w:r w:rsidRPr="00834D52">
        <w:rPr>
          <w:rFonts w:ascii="Sylfaen" w:hAnsi="Sylfaen"/>
          <w:sz w:val="24"/>
          <w:szCs w:val="24"/>
        </w:rPr>
        <w:tab/>
        <w:t>Դեղապատրաստուկի որակի, անվտանգության կամ արդյունավետության գնահատման համար կար</w:t>
      </w:r>
      <w:r w:rsidR="00C54D75">
        <w:rPr>
          <w:rFonts w:ascii="Sylfaen" w:hAnsi="Sylfaen"/>
          <w:sz w:val="24"/>
          <w:szCs w:val="24"/>
        </w:rPr>
        <w:t>և</w:t>
      </w:r>
      <w:r w:rsidRPr="00834D52">
        <w:rPr>
          <w:rFonts w:ascii="Sylfaen" w:hAnsi="Sylfaen"/>
          <w:sz w:val="24"/>
          <w:szCs w:val="24"/>
        </w:rPr>
        <w:t xml:space="preserve">որ </w:t>
      </w:r>
      <w:r w:rsidR="00C54D75">
        <w:rPr>
          <w:rFonts w:ascii="Sylfaen" w:hAnsi="Sylfaen"/>
          <w:sz w:val="24"/>
          <w:szCs w:val="24"/>
        </w:rPr>
        <w:t>և</w:t>
      </w:r>
      <w:r w:rsidRPr="00834D52">
        <w:rPr>
          <w:rFonts w:ascii="Sylfaen" w:hAnsi="Sylfaen"/>
          <w:sz w:val="24"/>
          <w:szCs w:val="24"/>
        </w:rPr>
        <w:t xml:space="preserve"> դեղապատրաստուկի օգուտ</w:t>
      </w:r>
      <w:r w:rsidRPr="008341C7">
        <w:rPr>
          <w:rFonts w:ascii="Sylfaen" w:hAnsi="Sylfaen"/>
          <w:sz w:val="24"/>
          <w:szCs w:val="24"/>
        </w:rPr>
        <w:t>-</w:t>
      </w:r>
      <w:r w:rsidRPr="00834D52">
        <w:rPr>
          <w:rFonts w:ascii="Sylfaen" w:hAnsi="Sylfaen"/>
          <w:sz w:val="24"/>
          <w:szCs w:val="24"/>
        </w:rPr>
        <w:t>ռիսկ հարաբերակցության վրա ազդելու ունակ նոր տեղեկատվություն ի</w:t>
      </w:r>
      <w:r w:rsidR="005F705E" w:rsidRPr="005F705E">
        <w:rPr>
          <w:rFonts w:ascii="Sylfaen" w:hAnsi="Sylfaen"/>
          <w:sz w:val="24"/>
          <w:szCs w:val="24"/>
        </w:rPr>
        <w:t> </w:t>
      </w:r>
      <w:r w:rsidRPr="00834D52">
        <w:rPr>
          <w:rFonts w:ascii="Sylfaen" w:hAnsi="Sylfaen"/>
          <w:sz w:val="24"/>
          <w:szCs w:val="24"/>
        </w:rPr>
        <w:t xml:space="preserve">հայտ գալու դեպքում գնահատման վերաբերյալ փորձագիտական հաշվետվությունը </w:t>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կողմից պետք է թարմացվի գրանցման դոսյեում փոփոխություններ կատարելու ընթացակարգի շրջանակներում։</w:t>
      </w:r>
    </w:p>
    <w:p w14:paraId="7056225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63.</w:t>
      </w:r>
      <w:r w:rsidRPr="00834D52">
        <w:rPr>
          <w:rFonts w:ascii="Sylfaen" w:hAnsi="Sylfaen"/>
          <w:sz w:val="24"/>
          <w:szCs w:val="24"/>
        </w:rPr>
        <w:tab/>
        <w:t xml:space="preserve">Եթե դեղապատրաստուկի փորձաքննության անցկացման արդյունքներով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կայացնում է դեղապատաստուկի գրանցման վերաբերյալ դրական որոշում, ապա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մարմինը 10 աշխատանքային օրը չգերազանցող ժամկետում՝</w:t>
      </w:r>
    </w:p>
    <w:p w14:paraId="3371937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հայտատուին տրամադրում է դեղապատրաստուկի գրանցման հավաստագիր՝ սույն Կանոնների թիվ 17 հավելվածի համաձայն սահմանված ձ</w:t>
      </w:r>
      <w:r w:rsidR="00C54D75">
        <w:rPr>
          <w:rFonts w:ascii="Sylfaen" w:hAnsi="Sylfaen"/>
          <w:sz w:val="24"/>
          <w:szCs w:val="24"/>
        </w:rPr>
        <w:t>և</w:t>
      </w:r>
      <w:r w:rsidRPr="00834D52">
        <w:rPr>
          <w:rFonts w:ascii="Sylfaen" w:hAnsi="Sylfaen"/>
          <w:sz w:val="24"/>
          <w:szCs w:val="24"/>
        </w:rPr>
        <w:t>ով, հաստատված ԴՊԸԲ</w:t>
      </w:r>
      <w:r w:rsidRPr="008341C7">
        <w:rPr>
          <w:rFonts w:ascii="Sylfaen" w:hAnsi="Sylfaen"/>
          <w:sz w:val="24"/>
          <w:szCs w:val="24"/>
        </w:rPr>
        <w:t>-</w:t>
      </w:r>
      <w:r w:rsidRPr="00834D52">
        <w:rPr>
          <w:rFonts w:ascii="Sylfaen" w:hAnsi="Sylfaen"/>
          <w:sz w:val="24"/>
          <w:szCs w:val="24"/>
        </w:rPr>
        <w:t xml:space="preserve">ներ, բժշկական կիրառման հրահանգ, որակի նորմատիվ փաստաթուղթ, փաթեթվածքների մանրակերտեր, գնահատման վերաբերյալ փորձագիտական հաշվետվություն (անհրաժեշտության դեպքում </w:t>
      </w:r>
      <w:r w:rsidRPr="00834D52">
        <w:rPr>
          <w:rFonts w:ascii="Sylfaen" w:hAnsi="Sylfaen"/>
          <w:sz w:val="24"/>
          <w:szCs w:val="24"/>
        </w:rPr>
        <w:lastRenderedPageBreak/>
        <w:t>հաստատված ԴՊԸԲ</w:t>
      </w:r>
      <w:r w:rsidRPr="008341C7">
        <w:rPr>
          <w:rFonts w:ascii="Sylfaen" w:hAnsi="Sylfaen"/>
          <w:sz w:val="24"/>
          <w:szCs w:val="24"/>
        </w:rPr>
        <w:t>-</w:t>
      </w:r>
      <w:r w:rsidRPr="00834D52">
        <w:rPr>
          <w:rFonts w:ascii="Sylfaen" w:hAnsi="Sylfaen"/>
          <w:sz w:val="24"/>
          <w:szCs w:val="24"/>
        </w:rPr>
        <w:t xml:space="preserve">ները, բժշկական կիրառման հրահանգը </w:t>
      </w:r>
      <w:r w:rsidR="00C54D75">
        <w:rPr>
          <w:rFonts w:ascii="Sylfaen" w:hAnsi="Sylfaen"/>
          <w:sz w:val="24"/>
          <w:szCs w:val="24"/>
        </w:rPr>
        <w:t>և</w:t>
      </w:r>
      <w:r w:rsidRPr="00834D52">
        <w:rPr>
          <w:rFonts w:ascii="Sylfaen" w:hAnsi="Sylfaen"/>
          <w:sz w:val="24"/>
          <w:szCs w:val="24"/>
        </w:rPr>
        <w:t xml:space="preserve"> դեղապատրաստուկի փաթեթվածքի մանրակերտերը հայտատուին են տրամադրվում </w:t>
      </w:r>
      <w:r w:rsidR="009F49FE">
        <w:rPr>
          <w:rFonts w:ascii="Sylfaen" w:hAnsi="Sylfaen"/>
          <w:sz w:val="24"/>
          <w:szCs w:val="24"/>
        </w:rPr>
        <w:t xml:space="preserve">ռեֆերենտ </w:t>
      </w:r>
      <w:r w:rsidRPr="00834D52">
        <w:rPr>
          <w:rFonts w:ascii="Sylfaen" w:hAnsi="Sylfaen"/>
          <w:sz w:val="24"/>
          <w:szCs w:val="24"/>
        </w:rPr>
        <w:t>պետության պետական լեզվով), դեղապատրաստուկի կիրառման ժամանակ ռիսկերի կառավարման համաձայնեցված պլանը (անհրաժեշտության դեպքում).</w:t>
      </w:r>
    </w:p>
    <w:p w14:paraId="273421B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միասնական ռեեստրում տեղադրում է դեղապատրաստուկի </w:t>
      </w:r>
      <w:r w:rsidR="00C54D75">
        <w:rPr>
          <w:rFonts w:ascii="Sylfaen" w:hAnsi="Sylfaen"/>
          <w:sz w:val="24"/>
          <w:szCs w:val="24"/>
        </w:rPr>
        <w:t>և</w:t>
      </w:r>
      <w:r w:rsidRPr="00834D52">
        <w:rPr>
          <w:rFonts w:ascii="Sylfaen" w:hAnsi="Sylfaen"/>
          <w:sz w:val="24"/>
          <w:szCs w:val="24"/>
        </w:rPr>
        <w:t xml:space="preserve"> դրա բաղադրության մեջ մտնող ակտիվ դեղագործական բաղադրամասերի մասին տեղեկություններ՝ կցելով հաստատված ԴՊԸԲ</w:t>
      </w:r>
      <w:r w:rsidRPr="008341C7">
        <w:rPr>
          <w:rFonts w:ascii="Sylfaen" w:hAnsi="Sylfaen"/>
          <w:sz w:val="24"/>
          <w:szCs w:val="24"/>
        </w:rPr>
        <w:t>-</w:t>
      </w:r>
      <w:r w:rsidRPr="00834D52">
        <w:rPr>
          <w:rFonts w:ascii="Sylfaen" w:hAnsi="Sylfaen"/>
          <w:sz w:val="24"/>
          <w:szCs w:val="24"/>
        </w:rPr>
        <w:t>ները, բժշկական կիրառման հրահանգները, փաթեթվածքների մանրակերտերը, որակի նորմատիվ փաստաթուղթը, ինչպես նա</w:t>
      </w:r>
      <w:r w:rsidR="00C54D75">
        <w:rPr>
          <w:rFonts w:ascii="Sylfaen" w:hAnsi="Sylfaen"/>
          <w:sz w:val="24"/>
          <w:szCs w:val="24"/>
        </w:rPr>
        <w:t>և</w:t>
      </w:r>
      <w:r w:rsidRPr="00834D52">
        <w:rPr>
          <w:rFonts w:ascii="Sylfaen" w:hAnsi="Sylfaen"/>
          <w:sz w:val="24"/>
          <w:szCs w:val="24"/>
        </w:rPr>
        <w:t xml:space="preserve"> սույն Կանոնների թիվ 16 հավելվածին համապատասխան կազմված գնահատման վերաբերյալ եզրափակիչ փորձագիտական հաշվետվությունը՝ գաղտնի տվյալներն ու փորձագետների մասին տվյալները հանելուց հետո, միասնական ռեեստրի ձ</w:t>
      </w:r>
      <w:r w:rsidR="00C54D75">
        <w:rPr>
          <w:rFonts w:ascii="Sylfaen" w:hAnsi="Sylfaen"/>
          <w:sz w:val="24"/>
          <w:szCs w:val="24"/>
        </w:rPr>
        <w:t>և</w:t>
      </w:r>
      <w:r w:rsidRPr="00834D52">
        <w:rPr>
          <w:rFonts w:ascii="Sylfaen" w:hAnsi="Sylfaen"/>
          <w:sz w:val="24"/>
          <w:szCs w:val="24"/>
        </w:rPr>
        <w:t xml:space="preserve">ավորման </w:t>
      </w:r>
      <w:r w:rsidR="00C54D75">
        <w:rPr>
          <w:rFonts w:ascii="Sylfaen" w:hAnsi="Sylfaen"/>
          <w:sz w:val="24"/>
          <w:szCs w:val="24"/>
        </w:rPr>
        <w:t>և</w:t>
      </w:r>
      <w:r w:rsidRPr="00834D52">
        <w:rPr>
          <w:rFonts w:ascii="Sylfaen" w:hAnsi="Sylfaen"/>
          <w:sz w:val="24"/>
          <w:szCs w:val="24"/>
        </w:rPr>
        <w:t xml:space="preserve"> վարման կարգին համապատասխան՝ դեղապատրաստուկի կիրառման ժամանակ ռիսկերի կառավարման համաձայնեցված պլանը (անհրաժեշտության դեպքում)։</w:t>
      </w:r>
    </w:p>
    <w:p w14:paraId="15FE344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64.</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լիազորված մարմինը փորձաքննության անցկացման արդյունքներով մերժում է դեղապատրաստուկի գրանցումը հետ</w:t>
      </w:r>
      <w:r w:rsidR="00C54D75">
        <w:rPr>
          <w:rFonts w:ascii="Sylfaen" w:hAnsi="Sylfaen"/>
          <w:sz w:val="24"/>
          <w:szCs w:val="24"/>
        </w:rPr>
        <w:t>և</w:t>
      </w:r>
      <w:r w:rsidRPr="00834D52">
        <w:rPr>
          <w:rFonts w:ascii="Sylfaen" w:hAnsi="Sylfaen"/>
          <w:sz w:val="24"/>
          <w:szCs w:val="24"/>
        </w:rPr>
        <w:t>յալ դեպքերում՝</w:t>
      </w:r>
    </w:p>
    <w:p w14:paraId="5427AC74"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դեղապատրաստուկի կիրառման հետ կապված հնարավոր ռիսկերի նկատմամբ ակնկալվող օգուտի հարաբերակցությունը բարենպաստ չէ,</w:t>
      </w:r>
    </w:p>
    <w:p w14:paraId="110FCE3D"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դեղապատրաստուկի արդյունավետությունը չի հաստատվել հայտատուի ներկայացրած տեղեկություններով,</w:t>
      </w:r>
    </w:p>
    <w:p w14:paraId="2667A37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դեղապատրաստուկի որակը չի հաստատվել,</w:t>
      </w:r>
    </w:p>
    <w:p w14:paraId="70F6297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որակի հսկողության առաջարկված մեթոդներն ու մեթոդիկաները վերարտադրելի չեն,</w:t>
      </w:r>
    </w:p>
    <w:p w14:paraId="2EA1F7B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հայտատուն ներկայացրել է ոչ հավաստի տեղեկություններ,</w:t>
      </w:r>
    </w:p>
    <w:p w14:paraId="16A95C4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նշանակված տեսչական ստուգման արդյունքներով </w:t>
      </w:r>
      <w:r w:rsidRPr="00834D52">
        <w:rPr>
          <w:rFonts w:ascii="Sylfaen" w:hAnsi="Sylfaen"/>
          <w:sz w:val="24"/>
          <w:szCs w:val="24"/>
        </w:rPr>
        <w:lastRenderedPageBreak/>
        <w:t>դեղապատրաստուկի գրանցման ժամանակահատվածում չի հաստատվել դրա համապատասխանությունը Միության պատշաճ դեղագործական գործելակերպերին։</w:t>
      </w:r>
    </w:p>
    <w:p w14:paraId="7A461B7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65.</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մարմնի կողմից դեղապատրաստուկի գրանցումը մերժելու վերաբերյալ որոշում կայացնելու դեպքում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այդ որոշումն ընդունելու օրվանից 10 աշխատանքային օրվա ընթացքում էլեկտրոնային </w:t>
      </w:r>
      <w:r w:rsidR="00C54D75">
        <w:rPr>
          <w:rFonts w:ascii="Sylfaen" w:hAnsi="Sylfaen"/>
          <w:sz w:val="24"/>
          <w:szCs w:val="24"/>
        </w:rPr>
        <w:t>և</w:t>
      </w:r>
      <w:r w:rsidRPr="00834D52">
        <w:rPr>
          <w:rFonts w:ascii="Sylfaen" w:hAnsi="Sylfaen"/>
          <w:sz w:val="24"/>
          <w:szCs w:val="24"/>
        </w:rPr>
        <w:t xml:space="preserve"> (կամ) գրավոր եղանակով այդ մասին ծանուցում է հայտատուին։</w:t>
      </w:r>
    </w:p>
    <w:p w14:paraId="6E984785" w14:textId="77777777" w:rsidR="006F76EB" w:rsidRPr="00834D52" w:rsidRDefault="006F76EB" w:rsidP="00AE34C3">
      <w:pPr>
        <w:spacing w:after="160" w:line="480" w:lineRule="auto"/>
        <w:jc w:val="center"/>
        <w:rPr>
          <w:rFonts w:ascii="Sylfaen" w:hAnsi="Sylfaen"/>
          <w:sz w:val="24"/>
          <w:szCs w:val="24"/>
        </w:rPr>
      </w:pPr>
    </w:p>
    <w:p w14:paraId="62FCA86F"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V.II. Փոխադարձ ճանաչման ընթացակարգով դեղապատրաստուկի գրանցումն ու փորձաքննությունը ճանաչման պետությունում</w:t>
      </w:r>
      <w:r w:rsidR="00AE34C3" w:rsidRPr="00AE34C3">
        <w:rPr>
          <w:rFonts w:ascii="Sylfaen" w:hAnsi="Sylfaen"/>
          <w:sz w:val="24"/>
          <w:szCs w:val="24"/>
        </w:rPr>
        <w:t> </w:t>
      </w:r>
      <w:r w:rsidRPr="00834D52">
        <w:rPr>
          <w:rFonts w:ascii="Sylfaen" w:hAnsi="Sylfaen"/>
          <w:sz w:val="24"/>
          <w:szCs w:val="24"/>
        </w:rPr>
        <w:t>(պետություններում)</w:t>
      </w:r>
    </w:p>
    <w:p w14:paraId="11D6928D" w14:textId="77777777" w:rsidR="006F76EB" w:rsidRPr="00834D52" w:rsidRDefault="006F76EB" w:rsidP="00AE34C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66.</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պետությունում դեղապատրաստուկը գրանցելուց հետո հայտատուն կարող է փոխադարձ ճանաչման ընթացակարգով գրանցում նախաձեռնել իր կողմից որպես ճանաչման պետություններ ընտրված այլ անդամ պետություններում՝ այդ անդամ պետությունների լիազորված մարմիններ (փորձագիտական կազմակերպություն) ներկայացնելով՝</w:t>
      </w:r>
    </w:p>
    <w:p w14:paraId="6FC0F819" w14:textId="77777777" w:rsidR="006F76EB" w:rsidRPr="00834D52" w:rsidRDefault="006F76EB" w:rsidP="00AE34C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փոխադարձ ճանաչման ընթացակարգով դեղապատրաստուկի գրանցման հայտը</w:t>
      </w:r>
      <w:r w:rsidR="00E90FAF" w:rsidRPr="00E90FAF">
        <w:rPr>
          <w:rFonts w:ascii="Sylfaen" w:hAnsi="Sylfaen"/>
          <w:sz w:val="24"/>
          <w:szCs w:val="24"/>
        </w:rPr>
        <w:t>`</w:t>
      </w:r>
      <w:r w:rsidRPr="00834D52">
        <w:rPr>
          <w:rFonts w:ascii="Sylfaen" w:hAnsi="Sylfaen"/>
          <w:sz w:val="24"/>
          <w:szCs w:val="24"/>
        </w:rPr>
        <w:t xml:space="preserve"> թղթային</w:t>
      </w:r>
      <w:r w:rsidR="00544E85">
        <w:rPr>
          <w:rFonts w:ascii="Sylfaen" w:hAnsi="Sylfaen"/>
          <w:sz w:val="24"/>
          <w:szCs w:val="24"/>
        </w:rPr>
        <w:t xml:space="preserve"> կրիչով</w:t>
      </w:r>
      <w:r w:rsidRPr="00834D52">
        <w:rPr>
          <w:rFonts w:ascii="Sylfaen" w:hAnsi="Sylfaen"/>
          <w:sz w:val="24"/>
          <w:szCs w:val="24"/>
        </w:rPr>
        <w:t xml:space="preserve"> </w:t>
      </w:r>
      <w:r w:rsidR="00C54D75">
        <w:rPr>
          <w:rFonts w:ascii="Sylfaen" w:hAnsi="Sylfaen"/>
          <w:sz w:val="24"/>
          <w:szCs w:val="24"/>
        </w:rPr>
        <w:t>և</w:t>
      </w:r>
      <w:r w:rsidRPr="00834D52">
        <w:rPr>
          <w:rFonts w:ascii="Sylfaen" w:hAnsi="Sylfaen"/>
          <w:sz w:val="24"/>
          <w:szCs w:val="24"/>
        </w:rPr>
        <w:t xml:space="preserve"> (կամ) էլեկտրոնային </w:t>
      </w:r>
      <w:r w:rsidR="00544E85">
        <w:rPr>
          <w:rFonts w:ascii="Sylfaen" w:hAnsi="Sylfaen"/>
          <w:sz w:val="24"/>
          <w:szCs w:val="24"/>
        </w:rPr>
        <w:t>փաստաթղթի տեսքով</w:t>
      </w:r>
      <w:r w:rsidRPr="00834D52">
        <w:rPr>
          <w:rFonts w:ascii="Sylfaen" w:hAnsi="Sylfaen"/>
          <w:sz w:val="24"/>
          <w:szCs w:val="24"/>
        </w:rPr>
        <w:t>՝ սույն Կանոնների թիվ 2 հավելվածի համաձայն սահմանված ձ</w:t>
      </w:r>
      <w:r w:rsidR="00C54D75">
        <w:rPr>
          <w:rFonts w:ascii="Sylfaen" w:hAnsi="Sylfaen"/>
          <w:sz w:val="24"/>
          <w:szCs w:val="24"/>
        </w:rPr>
        <w:t>և</w:t>
      </w:r>
      <w:r w:rsidRPr="00834D52">
        <w:rPr>
          <w:rFonts w:ascii="Sylfaen" w:hAnsi="Sylfaen"/>
          <w:sz w:val="24"/>
          <w:szCs w:val="24"/>
        </w:rPr>
        <w:t>ով,</w:t>
      </w:r>
    </w:p>
    <w:p w14:paraId="58FABEDB" w14:textId="77777777" w:rsidR="006F76EB" w:rsidRPr="00834D52" w:rsidRDefault="006F76EB" w:rsidP="00AE34C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փաստաթղթերը՝ ճանաչման պետության օրենսդրությամբ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2678C76E" w14:textId="77777777" w:rsidR="006F76EB" w:rsidRPr="00834D52" w:rsidRDefault="006F76EB" w:rsidP="00AE34C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դոսյեի 1-ին մոդուլը՝ էլեկտրոնային կրիչով։</w:t>
      </w:r>
    </w:p>
    <w:p w14:paraId="028781B5"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Անդամ պետության օրենսդրության մեջ համապատասխան պահանջների </w:t>
      </w:r>
      <w:r w:rsidRPr="00834D52">
        <w:rPr>
          <w:rFonts w:ascii="Sylfaen" w:hAnsi="Sylfaen"/>
          <w:sz w:val="24"/>
          <w:szCs w:val="24"/>
        </w:rPr>
        <w:lastRenderedPageBreak/>
        <w:t>առկայության դեպքում ԴՊԸԲ</w:t>
      </w:r>
      <w:r w:rsidRPr="008341C7">
        <w:rPr>
          <w:rFonts w:ascii="Sylfaen" w:hAnsi="Sylfaen"/>
          <w:sz w:val="24"/>
          <w:szCs w:val="24"/>
        </w:rPr>
        <w:t>-</w:t>
      </w:r>
      <w:r w:rsidRPr="00834D52">
        <w:rPr>
          <w:rFonts w:ascii="Sylfaen" w:hAnsi="Sylfaen"/>
          <w:sz w:val="24"/>
          <w:szCs w:val="24"/>
        </w:rPr>
        <w:t xml:space="preserve">ները, դեղապաստրաստուկի բժշկական կիրառման հրահանգը </w:t>
      </w:r>
      <w:r w:rsidR="00C54D75">
        <w:rPr>
          <w:rFonts w:ascii="Sylfaen" w:hAnsi="Sylfaen"/>
          <w:sz w:val="24"/>
          <w:szCs w:val="24"/>
        </w:rPr>
        <w:t>և</w:t>
      </w:r>
      <w:r w:rsidRPr="00834D52">
        <w:rPr>
          <w:rFonts w:ascii="Sylfaen" w:hAnsi="Sylfaen"/>
          <w:sz w:val="24"/>
          <w:szCs w:val="24"/>
        </w:rPr>
        <w:t xml:space="preserve"> փաթեթվածքների մանրակերտերը ներկայացվում են ճանաչման պետության պետական լեզվով։</w:t>
      </w:r>
    </w:p>
    <w:p w14:paraId="2387BFD1" w14:textId="77777777" w:rsidR="006F76EB" w:rsidRPr="00834D52" w:rsidRDefault="006F76EB" w:rsidP="00D82AAA">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67.</w:t>
      </w:r>
      <w:r w:rsidRPr="00834D52">
        <w:rPr>
          <w:rFonts w:ascii="Sylfaen" w:hAnsi="Sylfaen"/>
          <w:sz w:val="24"/>
          <w:szCs w:val="24"/>
        </w:rPr>
        <w:tab/>
        <w:t xml:space="preserve">Հայտատուի հարցման հիման վրա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տվյալ հարցումը ստանալու օրվանից 5 աշխատանքային օրը չգերազանցող ժամկետում ապահովում է գրանցման դոսյեի </w:t>
      </w:r>
      <w:r w:rsidR="00C54D75">
        <w:rPr>
          <w:rFonts w:ascii="Sylfaen" w:hAnsi="Sylfaen"/>
          <w:sz w:val="24"/>
          <w:szCs w:val="24"/>
        </w:rPr>
        <w:t>և</w:t>
      </w:r>
      <w:r w:rsidRPr="00834D52">
        <w:rPr>
          <w:rFonts w:ascii="Sylfaen" w:hAnsi="Sylfaen"/>
          <w:sz w:val="24"/>
          <w:szCs w:val="24"/>
        </w:rPr>
        <w:t xml:space="preserve"> գնահատման վերաբերյալ փորձագիտական հաշվետվության հասանելիությունը՝ ճանաչման պետությունների լիազորված մարմինների (փորձագիտական կազմակերպությունների) համար, ինտեգրված համակարգի միջոցով,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մարմնի (փորձագիտական կազմակերպության) հարցումներին ի պատասխան հայտատուի ներկայացրած լրացուցիչ փաստաթղթերի </w:t>
      </w:r>
      <w:r w:rsidR="00C54D75">
        <w:rPr>
          <w:rFonts w:ascii="Sylfaen" w:hAnsi="Sylfaen"/>
          <w:sz w:val="24"/>
          <w:szCs w:val="24"/>
        </w:rPr>
        <w:t>և</w:t>
      </w:r>
      <w:r w:rsidRPr="00834D52">
        <w:rPr>
          <w:rFonts w:ascii="Sylfaen" w:hAnsi="Sylfaen"/>
          <w:sz w:val="24"/>
          <w:szCs w:val="24"/>
        </w:rPr>
        <w:t xml:space="preserve"> տեղեկությունների օգտագործմամբ։</w:t>
      </w:r>
    </w:p>
    <w:p w14:paraId="29D67E36" w14:textId="77777777" w:rsidR="006F76EB" w:rsidRPr="00834D52" w:rsidRDefault="006F76EB" w:rsidP="00D82AAA">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68.</w:t>
      </w:r>
      <w:r w:rsidRPr="00834D52">
        <w:rPr>
          <w:rFonts w:ascii="Sylfaen" w:hAnsi="Sylfaen"/>
          <w:sz w:val="24"/>
          <w:szCs w:val="24"/>
        </w:rPr>
        <w:tab/>
        <w:t xml:space="preserve">Ճանաչման պետությունում դեղապատրաստուկի գրանցումն այդ անդամ պետության </w:t>
      </w:r>
      <w:r w:rsidR="00C54D75">
        <w:rPr>
          <w:rFonts w:ascii="Sylfaen" w:hAnsi="Sylfaen"/>
          <w:sz w:val="24"/>
          <w:szCs w:val="24"/>
        </w:rPr>
        <w:t>և</w:t>
      </w:r>
      <w:r w:rsidRPr="00834D52">
        <w:rPr>
          <w:rFonts w:ascii="Sylfaen" w:hAnsi="Sylfaen"/>
          <w:sz w:val="24"/>
          <w:szCs w:val="24"/>
        </w:rPr>
        <w:t xml:space="preserve">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մարմինների միջ</w:t>
      </w:r>
      <w:r w:rsidR="00C54D75">
        <w:rPr>
          <w:rFonts w:ascii="Sylfaen" w:hAnsi="Sylfaen"/>
          <w:sz w:val="24"/>
          <w:szCs w:val="24"/>
        </w:rPr>
        <w:t>և</w:t>
      </w:r>
      <w:r w:rsidRPr="00834D52">
        <w:rPr>
          <w:rFonts w:ascii="Sylfaen" w:hAnsi="Sylfaen"/>
          <w:sz w:val="24"/>
          <w:szCs w:val="24"/>
        </w:rPr>
        <w:t xml:space="preserve"> տարաձայնությունների բացակայության </w:t>
      </w:r>
      <w:r w:rsidR="00C54D75">
        <w:rPr>
          <w:rFonts w:ascii="Sylfaen" w:hAnsi="Sylfaen"/>
          <w:sz w:val="24"/>
          <w:szCs w:val="24"/>
        </w:rPr>
        <w:t>և</w:t>
      </w:r>
      <w:r w:rsidRPr="00834D52">
        <w:rPr>
          <w:rFonts w:ascii="Sylfaen" w:hAnsi="Sylfaen"/>
          <w:sz w:val="24"/>
          <w:szCs w:val="24"/>
        </w:rPr>
        <w:t xml:space="preserve"> գնահատման վերաբերյալ փորձագիտական հաշվետվությունը ճանաչելու հնարավորության մասին եզրակացության առկայության դեպքում իրականացվում է գնահատման վերաբերյալ փորձագիտական հաշվետվության նկատմամբ հասանելիություն ստանալու օրվանից ոչ ուշ, քան 90 օրացուցային օրվա ընթացքում։</w:t>
      </w:r>
    </w:p>
    <w:p w14:paraId="24B49A76" w14:textId="77777777" w:rsidR="006F76EB" w:rsidRPr="00834D52" w:rsidRDefault="006F76EB" w:rsidP="00D82AAA">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69.</w:t>
      </w:r>
      <w:r w:rsidRPr="00834D52">
        <w:rPr>
          <w:rFonts w:ascii="Sylfaen" w:hAnsi="Sylfaen"/>
          <w:sz w:val="24"/>
          <w:szCs w:val="24"/>
        </w:rPr>
        <w:tab/>
        <w:t>Ճանաչման պետություններում փոխադարձ ճանաչման ընթացակարգով դեղապատրաստուկի փորձաքննությունն իրականացվում է՝</w:t>
      </w:r>
    </w:p>
    <w:p w14:paraId="3F96673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գրանցման դոսյեում ներկայացված հայտի, փաստաթղթերի </w:t>
      </w:r>
      <w:r w:rsidR="00C54D75">
        <w:rPr>
          <w:rFonts w:ascii="Sylfaen" w:hAnsi="Sylfaen"/>
          <w:sz w:val="24"/>
          <w:szCs w:val="24"/>
        </w:rPr>
        <w:t>և</w:t>
      </w:r>
      <w:r w:rsidRPr="00834D52">
        <w:rPr>
          <w:rFonts w:ascii="Sylfaen" w:hAnsi="Sylfaen"/>
          <w:sz w:val="24"/>
          <w:szCs w:val="24"/>
        </w:rPr>
        <w:t xml:space="preserve"> տեղեկությունների քննության միջոցով,</w:t>
      </w:r>
    </w:p>
    <w:p w14:paraId="0802E50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փորձագիտական հաշվետվության քննության միջոցով։</w:t>
      </w:r>
    </w:p>
    <w:p w14:paraId="7219FA69"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70.</w:t>
      </w:r>
      <w:r w:rsidRPr="00834D52">
        <w:rPr>
          <w:rFonts w:ascii="Sylfaen" w:hAnsi="Sylfaen"/>
          <w:sz w:val="24"/>
          <w:szCs w:val="24"/>
        </w:rPr>
        <w:tab/>
        <w:t xml:space="preserve">Ճանաչման պետության լիազորված մարմինը (փորձագիտական կազմակերպությունը) հայտ ներկայացնելու օրվանից 14 աշխատանքային օրվա ընթացքում մերժում է փոխադարձ ճանաչման ընթացակարգով </w:t>
      </w:r>
      <w:r w:rsidRPr="00834D52">
        <w:rPr>
          <w:rFonts w:ascii="Sylfaen" w:hAnsi="Sylfaen"/>
          <w:sz w:val="24"/>
          <w:szCs w:val="24"/>
        </w:rPr>
        <w:lastRenderedPageBreak/>
        <w:t xml:space="preserve">դեղապատրաստուկի գրանցման հայտը՝ սույն Կանոնների պահանջներին դրա անհամապատասխանության </w:t>
      </w:r>
      <w:r w:rsidR="00C54D75">
        <w:rPr>
          <w:rFonts w:ascii="Sylfaen" w:hAnsi="Sylfaen"/>
          <w:sz w:val="24"/>
          <w:szCs w:val="24"/>
        </w:rPr>
        <w:t>և</w:t>
      </w:r>
      <w:r w:rsidRPr="00834D52">
        <w:rPr>
          <w:rFonts w:ascii="Sylfaen" w:hAnsi="Sylfaen"/>
          <w:sz w:val="24"/>
          <w:szCs w:val="24"/>
        </w:rPr>
        <w:t xml:space="preserve"> (կամ) 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չհաստատելու դեպքում՝ ճանաչման պետության օրենսդրությամբ նախատեսված դեպքերում </w:t>
      </w:r>
      <w:r w:rsidR="00C54D75">
        <w:rPr>
          <w:rFonts w:ascii="Sylfaen" w:hAnsi="Sylfaen"/>
          <w:sz w:val="24"/>
          <w:szCs w:val="24"/>
        </w:rPr>
        <w:t>և</w:t>
      </w:r>
      <w:r w:rsidRPr="00834D52">
        <w:rPr>
          <w:rFonts w:ascii="Sylfaen" w:hAnsi="Sylfaen"/>
          <w:sz w:val="24"/>
          <w:szCs w:val="24"/>
        </w:rPr>
        <w:t xml:space="preserve"> կարգով։</w:t>
      </w:r>
    </w:p>
    <w:p w14:paraId="69A8946A" w14:textId="77777777" w:rsidR="006F76EB" w:rsidRPr="00834D52" w:rsidRDefault="006F76EB" w:rsidP="00FA5363">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71.</w:t>
      </w:r>
      <w:r w:rsidRPr="00834D52">
        <w:rPr>
          <w:rFonts w:ascii="Sylfaen" w:hAnsi="Sylfaen"/>
          <w:sz w:val="24"/>
          <w:szCs w:val="24"/>
        </w:rPr>
        <w:tab/>
        <w:t>Փոխադարձ ճանաչման ընթացակարգով դեղապատրաստուկը գրանցելիս ճանաչման պետության լիազորված մարմինը (փորձագիտական կազմակերպությունը) գնահատման վերաբերյալ փորձագիտական հաշվետվության նկատմամբ հասանելիություն ստանալուց հետո ոչ ուշ, քան 50</w:t>
      </w:r>
      <w:r w:rsidR="005D29E7" w:rsidRPr="006955BF">
        <w:rPr>
          <w:rFonts w:ascii="Sylfaen" w:hAnsi="Sylfaen"/>
          <w:sz w:val="24"/>
          <w:szCs w:val="24"/>
        </w:rPr>
        <w:t> </w:t>
      </w:r>
      <w:r w:rsidRPr="00834D52">
        <w:rPr>
          <w:rFonts w:ascii="Sylfaen" w:hAnsi="Sylfaen"/>
          <w:sz w:val="24"/>
          <w:szCs w:val="24"/>
        </w:rPr>
        <w:t xml:space="preserve">օրացուցային օրվա ընթացքում անհրաժեշտության դեպքում հայտատուին </w:t>
      </w:r>
      <w:r w:rsidR="00C54D75">
        <w:rPr>
          <w:rFonts w:ascii="Sylfaen" w:hAnsi="Sylfaen"/>
          <w:sz w:val="24"/>
          <w:szCs w:val="24"/>
        </w:rPr>
        <w:t>և</w:t>
      </w:r>
      <w:r w:rsidRPr="00834D52">
        <w:rPr>
          <w:rFonts w:ascii="Sylfaen" w:hAnsi="Sylfaen"/>
          <w:sz w:val="24"/>
          <w:szCs w:val="24"/>
        </w:rPr>
        <w:t xml:space="preserve"> </w:t>
      </w:r>
      <w:r w:rsidR="009F49FE">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է ուղարկում հարցում՝ սույն Կանոնների թիվ 18 հավելվածի համաձայն սահմանված ձ</w:t>
      </w:r>
      <w:r w:rsidR="00C54D75">
        <w:rPr>
          <w:rFonts w:ascii="Sylfaen" w:hAnsi="Sylfaen"/>
          <w:sz w:val="24"/>
          <w:szCs w:val="24"/>
        </w:rPr>
        <w:t>և</w:t>
      </w:r>
      <w:r w:rsidRPr="00834D52">
        <w:rPr>
          <w:rFonts w:ascii="Sylfaen" w:hAnsi="Sylfaen"/>
          <w:sz w:val="24"/>
          <w:szCs w:val="24"/>
        </w:rPr>
        <w:t>ով ։</w:t>
      </w:r>
    </w:p>
    <w:p w14:paraId="03529388" w14:textId="77777777" w:rsidR="006F76EB" w:rsidRPr="00834D52" w:rsidRDefault="006F76EB" w:rsidP="00FA5363">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72.</w:t>
      </w:r>
      <w:r w:rsidRPr="00834D52">
        <w:rPr>
          <w:rFonts w:ascii="Sylfaen" w:hAnsi="Sylfaen"/>
          <w:sz w:val="24"/>
          <w:szCs w:val="24"/>
        </w:rPr>
        <w:tab/>
        <w:t>Հայտատուն հարցման պատասխանն ուղարկում է ճանաչման պետության լիազորված մարմին (փորձագիտական կազմակերպություն) 90</w:t>
      </w:r>
      <w:r w:rsidR="00B90C69" w:rsidRPr="007D0283">
        <w:rPr>
          <w:rFonts w:ascii="Sylfaen" w:hAnsi="Sylfaen"/>
          <w:sz w:val="24"/>
          <w:szCs w:val="24"/>
        </w:rPr>
        <w:t> </w:t>
      </w:r>
      <w:r w:rsidRPr="00834D52">
        <w:rPr>
          <w:rFonts w:ascii="Sylfaen" w:hAnsi="Sylfaen"/>
          <w:sz w:val="24"/>
          <w:szCs w:val="24"/>
        </w:rPr>
        <w:t xml:space="preserve">օրացուցային օրը չգերազանցող ժամկետում։ Հայտատուի՝ հարցմանը պատասխանելու ժամկետը չի մտնում դեղապատրաստուկի փորձաքննություն </w:t>
      </w:r>
      <w:r w:rsidR="00C54D75">
        <w:rPr>
          <w:rFonts w:ascii="Sylfaen" w:hAnsi="Sylfaen"/>
          <w:sz w:val="24"/>
          <w:szCs w:val="24"/>
        </w:rPr>
        <w:t>և</w:t>
      </w:r>
      <w:r w:rsidRPr="00834D52">
        <w:rPr>
          <w:rFonts w:ascii="Sylfaen" w:hAnsi="Sylfaen"/>
          <w:sz w:val="24"/>
          <w:szCs w:val="24"/>
        </w:rPr>
        <w:t xml:space="preserve"> գրանցում կատարելու ընդհանուր ժամկետի մեջ։ Հայտատուի պատասխանը ստանալու պահից 5 աշխատանքային օրվա ընթացքում ճանաչման պետության լիազորված մարմինը (փորձագիտական կազմակերպությունը) ինտեգրված համակարգի միջոցով ապահովում է դրա նկատմամբ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հասանելիությունը։</w:t>
      </w:r>
    </w:p>
    <w:p w14:paraId="11F286E6" w14:textId="77777777" w:rsidR="006F76EB" w:rsidRPr="00834D52" w:rsidRDefault="006F76EB" w:rsidP="00143A1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73.</w:t>
      </w:r>
      <w:r w:rsidRPr="00834D52">
        <w:rPr>
          <w:rFonts w:ascii="Sylfaen" w:hAnsi="Sylfaen"/>
          <w:sz w:val="24"/>
          <w:szCs w:val="24"/>
        </w:rPr>
        <w:tab/>
        <w:t>Ճանաչման պետության լիազորված մարմնի (փորձագիտական կազմակերպության) պահանջած փաստաթղթերն ու տեղեկությունները հայտատուի կողմից սահմանված ժամկետում չներկայացնելու դեպքում ճանաչման տվյալ պետությունում դեղապատրաստուկի փորձաքննությունն ու գրանցումը դադարեցվում է։</w:t>
      </w:r>
    </w:p>
    <w:p w14:paraId="202DEBC4" w14:textId="77777777" w:rsidR="006F76EB" w:rsidRPr="00834D52" w:rsidRDefault="006F76EB" w:rsidP="00143A1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74.</w:t>
      </w:r>
      <w:r w:rsidRPr="00834D52">
        <w:rPr>
          <w:rFonts w:ascii="Sylfaen" w:hAnsi="Sylfaen"/>
          <w:sz w:val="24"/>
          <w:szCs w:val="24"/>
        </w:rPr>
        <w:tab/>
        <w:t xml:space="preserve">Լիազորված մարմնի </w:t>
      </w:r>
      <w:r w:rsidR="00C54D75">
        <w:rPr>
          <w:rFonts w:ascii="Sylfaen" w:hAnsi="Sylfaen"/>
          <w:sz w:val="24"/>
          <w:szCs w:val="24"/>
        </w:rPr>
        <w:t>և</w:t>
      </w:r>
      <w:r w:rsidRPr="00834D52">
        <w:rPr>
          <w:rFonts w:ascii="Sylfaen" w:hAnsi="Sylfaen"/>
          <w:sz w:val="24"/>
          <w:szCs w:val="24"/>
        </w:rPr>
        <w:t xml:space="preserve"> (կամ) փորձագիտական կազմակերպության </w:t>
      </w:r>
      <w:r w:rsidRPr="00834D52">
        <w:rPr>
          <w:rFonts w:ascii="Sylfaen" w:hAnsi="Sylfaen"/>
          <w:sz w:val="24"/>
          <w:szCs w:val="24"/>
        </w:rPr>
        <w:lastRenderedPageBreak/>
        <w:t xml:space="preserve">կայացրած որոշման մասին հայտատուն ծանուցվում է որոշումը կայացնելու օրվանից 10 աշխատանքային օրվա ընթացքում (էլեկտրոնային </w:t>
      </w:r>
      <w:r w:rsidR="00C54D75">
        <w:rPr>
          <w:rFonts w:ascii="Sylfaen" w:hAnsi="Sylfaen"/>
          <w:sz w:val="24"/>
          <w:szCs w:val="24"/>
        </w:rPr>
        <w:t>և</w:t>
      </w:r>
      <w:r w:rsidRPr="00834D52">
        <w:rPr>
          <w:rFonts w:ascii="Sylfaen" w:hAnsi="Sylfaen"/>
          <w:sz w:val="24"/>
          <w:szCs w:val="24"/>
        </w:rPr>
        <w:t xml:space="preserve"> (կամ) թղթային եղանակով)։</w:t>
      </w:r>
    </w:p>
    <w:p w14:paraId="1CBA9041" w14:textId="77777777" w:rsidR="006F76EB" w:rsidRPr="00834D52" w:rsidRDefault="006F76EB" w:rsidP="00143A1A">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75.</w:t>
      </w:r>
      <w:r w:rsidRPr="00834D52">
        <w:rPr>
          <w:rFonts w:ascii="Sylfaen" w:hAnsi="Sylfaen"/>
          <w:sz w:val="24"/>
          <w:szCs w:val="24"/>
        </w:rPr>
        <w:tab/>
        <w:t xml:space="preserve">Դեղապատրաստուկի փորձաքննության անցկացման արդյունքներով ճանաչման պետության լիազորված մարմինը (փորձագիտական կազմակերպությունը) դեղապատրաստուկի գրանցման հայտը ճանաչման պետություն ներկայացնելու օրվանից 50 օրացուցային օրը չգերազանցող ժամկետում (հայտատուին ուղղված հարցումների բացակայության դեպքում) կամ ճանաչման պետության լիազորված մարմնի (փորձագիտական կազմակերպության) կողմից հայտատուին ուղարկված հարցման պատասխանը ստանալու օրվանից 20 օրացուցային օրը չգերազանցող ժամկետում ինտեգրված համակարգի օգտագործմամբ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 (փորձագիտական կազմակերպություն) է ուղարկում գնահատման վերաբերյալ փորձագիտական հաշվետվության ճանաչման հնարավոր կամ անհնարին լինելու մասին </w:t>
      </w:r>
      <w:r w:rsidR="009F49FE">
        <w:rPr>
          <w:rFonts w:ascii="Sylfaen" w:hAnsi="Sylfaen"/>
          <w:sz w:val="24"/>
          <w:szCs w:val="24"/>
        </w:rPr>
        <w:t xml:space="preserve">ռեֆերենտ </w:t>
      </w:r>
      <w:r w:rsidRPr="00834D52">
        <w:rPr>
          <w:rFonts w:ascii="Sylfaen" w:hAnsi="Sylfaen"/>
          <w:sz w:val="24"/>
          <w:szCs w:val="24"/>
        </w:rPr>
        <w:t xml:space="preserve">պետության կողմից պատրաստված եզրակացություն։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մարմինը ստացված եզրակացության մասին տեղեկացնում է հայտատուին։</w:t>
      </w:r>
    </w:p>
    <w:p w14:paraId="3C3CBD1E" w14:textId="77777777" w:rsidR="006F76EB" w:rsidRPr="00834D52" w:rsidRDefault="006F76EB" w:rsidP="00143A1A">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76.</w:t>
      </w:r>
      <w:r w:rsidRPr="00834D52">
        <w:rPr>
          <w:rFonts w:ascii="Sylfaen" w:hAnsi="Sylfaen"/>
          <w:sz w:val="24"/>
          <w:szCs w:val="24"/>
        </w:rPr>
        <w:tab/>
        <w:t>Եթե դեղապատրաստուկի փորձաքննության անցկացման արդյունքներով ճանաչման պետության լիազորված մարմինը կայացնում է դեղապատրաստուկի գրանցման վերաբերյալ դրական որոշում, ապա ճանաչման պետության լիազորված մարմինը ոչ ուշ, քան 10 աշխատանքային օրվա ընթացքում՝</w:t>
      </w:r>
    </w:p>
    <w:p w14:paraId="013007E3" w14:textId="77777777" w:rsidR="006F76EB" w:rsidRPr="00834D52" w:rsidRDefault="006F76EB" w:rsidP="00143A1A">
      <w:pPr>
        <w:tabs>
          <w:tab w:val="left" w:pos="1134"/>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ա)</w:t>
      </w:r>
      <w:r w:rsidRPr="00834D52">
        <w:rPr>
          <w:rFonts w:ascii="Sylfaen" w:hAnsi="Sylfaen"/>
          <w:spacing w:val="-4"/>
          <w:sz w:val="24"/>
          <w:szCs w:val="24"/>
        </w:rPr>
        <w:tab/>
        <w:t>հայտատուին տրամադրում է դեղապատրաստուկի գրանցման հավաստագիր՝ սույն Կանոնների թիվ 17 հավելվածի համաձայն սահմանված ձ</w:t>
      </w:r>
      <w:r w:rsidR="00C54D75">
        <w:rPr>
          <w:rFonts w:ascii="Sylfaen" w:hAnsi="Sylfaen"/>
          <w:spacing w:val="-4"/>
          <w:sz w:val="24"/>
          <w:szCs w:val="24"/>
        </w:rPr>
        <w:t>և</w:t>
      </w:r>
      <w:r w:rsidRPr="00834D52">
        <w:rPr>
          <w:rFonts w:ascii="Sylfaen" w:hAnsi="Sylfaen"/>
          <w:spacing w:val="-4"/>
          <w:sz w:val="24"/>
          <w:szCs w:val="24"/>
        </w:rPr>
        <w:t>ով, ինչպես նա</w:t>
      </w:r>
      <w:r w:rsidR="00C54D75">
        <w:rPr>
          <w:rFonts w:ascii="Sylfaen" w:hAnsi="Sylfaen"/>
          <w:spacing w:val="-4"/>
          <w:sz w:val="24"/>
          <w:szCs w:val="24"/>
        </w:rPr>
        <w:t>և</w:t>
      </w:r>
      <w:r w:rsidRPr="00834D52">
        <w:rPr>
          <w:rFonts w:ascii="Sylfaen" w:hAnsi="Sylfaen"/>
          <w:spacing w:val="-4"/>
          <w:sz w:val="24"/>
          <w:szCs w:val="24"/>
        </w:rPr>
        <w:t xml:space="preserve"> ճանաչման պետության օրենսդրության մեջ համապատասխան պահանջների առկայության դեպքում հաստատված ԴՊԸԲ</w:t>
      </w:r>
      <w:r w:rsidRPr="008341C7">
        <w:rPr>
          <w:rFonts w:ascii="Sylfaen" w:hAnsi="Sylfaen"/>
          <w:spacing w:val="-4"/>
          <w:sz w:val="24"/>
          <w:szCs w:val="24"/>
        </w:rPr>
        <w:t>-</w:t>
      </w:r>
      <w:r w:rsidRPr="00834D52">
        <w:rPr>
          <w:rFonts w:ascii="Sylfaen" w:hAnsi="Sylfaen"/>
          <w:spacing w:val="-4"/>
          <w:sz w:val="24"/>
          <w:szCs w:val="24"/>
        </w:rPr>
        <w:t>ները, բժշկական կիրառման հրահանգները, փաթեթվածքների մանրակերտերը՝ ճանաչման պետության պետական լեզվով,</w:t>
      </w:r>
    </w:p>
    <w:p w14:paraId="2AAB36BB"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համաձայնեցնում է </w:t>
      </w:r>
      <w:r w:rsidR="009F49FE">
        <w:rPr>
          <w:rFonts w:ascii="Sylfaen" w:hAnsi="Sylfaen"/>
          <w:sz w:val="24"/>
          <w:szCs w:val="24"/>
        </w:rPr>
        <w:t xml:space="preserve">ռեֆերենտ </w:t>
      </w:r>
      <w:r w:rsidRPr="00834D52">
        <w:rPr>
          <w:rFonts w:ascii="Sylfaen" w:hAnsi="Sylfaen"/>
          <w:sz w:val="24"/>
          <w:szCs w:val="24"/>
        </w:rPr>
        <w:t xml:space="preserve">պետության կողմից տրված որակի </w:t>
      </w:r>
      <w:r w:rsidRPr="00834D52">
        <w:rPr>
          <w:rFonts w:ascii="Sylfaen" w:hAnsi="Sylfaen"/>
          <w:sz w:val="24"/>
          <w:szCs w:val="24"/>
        </w:rPr>
        <w:lastRenderedPageBreak/>
        <w:t>վերաբերյալ նորմատիվ փաստաթուղթը,</w:t>
      </w:r>
    </w:p>
    <w:p w14:paraId="055F5E4F"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միասնական ռեեստրում տեղադրում է դեղապատրաստուկի </w:t>
      </w:r>
      <w:r w:rsidR="00C54D75">
        <w:rPr>
          <w:rFonts w:ascii="Sylfaen" w:hAnsi="Sylfaen"/>
          <w:sz w:val="24"/>
          <w:szCs w:val="24"/>
        </w:rPr>
        <w:t>և</w:t>
      </w:r>
      <w:r w:rsidRPr="00834D52">
        <w:rPr>
          <w:rFonts w:ascii="Sylfaen" w:hAnsi="Sylfaen"/>
          <w:sz w:val="24"/>
          <w:szCs w:val="24"/>
        </w:rPr>
        <w:t xml:space="preserve"> դրա բաղադրության մեջ մտնող ակտիվ դեղագործական բաղադրամասերի մասին տեղեկություններ՝ կցելով հաստատված ԴՊԸԲ</w:t>
      </w:r>
      <w:r w:rsidRPr="008341C7">
        <w:rPr>
          <w:rFonts w:ascii="Sylfaen" w:hAnsi="Sylfaen"/>
          <w:sz w:val="24"/>
          <w:szCs w:val="24"/>
        </w:rPr>
        <w:t>-</w:t>
      </w:r>
      <w:r w:rsidRPr="00834D52">
        <w:rPr>
          <w:rFonts w:ascii="Sylfaen" w:hAnsi="Sylfaen"/>
          <w:sz w:val="24"/>
          <w:szCs w:val="24"/>
        </w:rPr>
        <w:t>ները, բժշկական կիրառման հրահանգները, փաթեթվածքների մանրակերտերը, դեղապատրաստուկի կիրառման ժամանակ ռիսկերի կառավարման համաձայնեցված պլանը (անհրաժեշտության դեպքում)՝ միասնական ռեեստրի ձ</w:t>
      </w:r>
      <w:r w:rsidR="00C54D75">
        <w:rPr>
          <w:rFonts w:ascii="Sylfaen" w:hAnsi="Sylfaen"/>
          <w:sz w:val="24"/>
          <w:szCs w:val="24"/>
        </w:rPr>
        <w:t>և</w:t>
      </w:r>
      <w:r w:rsidRPr="00834D52">
        <w:rPr>
          <w:rFonts w:ascii="Sylfaen" w:hAnsi="Sylfaen"/>
          <w:sz w:val="24"/>
          <w:szCs w:val="24"/>
        </w:rPr>
        <w:t xml:space="preserve">ավորման </w:t>
      </w:r>
      <w:r w:rsidR="00C54D75">
        <w:rPr>
          <w:rFonts w:ascii="Sylfaen" w:hAnsi="Sylfaen"/>
          <w:sz w:val="24"/>
          <w:szCs w:val="24"/>
        </w:rPr>
        <w:t>և</w:t>
      </w:r>
      <w:r w:rsidRPr="00834D52">
        <w:rPr>
          <w:rFonts w:ascii="Sylfaen" w:hAnsi="Sylfaen"/>
          <w:sz w:val="24"/>
          <w:szCs w:val="24"/>
        </w:rPr>
        <w:t xml:space="preserve"> վարման կարգին համապատասխան։</w:t>
      </w:r>
    </w:p>
    <w:p w14:paraId="36B1A86C"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77.</w:t>
      </w:r>
      <w:r w:rsidRPr="00834D52">
        <w:rPr>
          <w:rFonts w:ascii="Sylfaen" w:hAnsi="Sylfaen"/>
          <w:sz w:val="24"/>
          <w:szCs w:val="24"/>
        </w:rPr>
        <w:tab/>
        <w:t xml:space="preserve">Ճանաչման պետության լիազորված մարմինը դեղապատրաստուկի գրանցման հավաստագիրը տրամադրում է գրանցման հավաստագրի՝ </w:t>
      </w:r>
      <w:r w:rsidR="009F49FE">
        <w:rPr>
          <w:rFonts w:ascii="Sylfaen" w:hAnsi="Sylfaen"/>
          <w:sz w:val="24"/>
          <w:szCs w:val="24"/>
        </w:rPr>
        <w:t xml:space="preserve">ռեֆերենտ </w:t>
      </w:r>
      <w:r w:rsidRPr="00834D52">
        <w:rPr>
          <w:rFonts w:ascii="Sylfaen" w:hAnsi="Sylfaen"/>
          <w:sz w:val="24"/>
          <w:szCs w:val="24"/>
        </w:rPr>
        <w:t>պետության կողմից սահմանված գործողության ժամկետով։</w:t>
      </w:r>
    </w:p>
    <w:p w14:paraId="5896FD67"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78.</w:t>
      </w:r>
      <w:r w:rsidRPr="00834D52">
        <w:rPr>
          <w:rFonts w:ascii="Sylfaen" w:hAnsi="Sylfaen"/>
          <w:sz w:val="24"/>
          <w:szCs w:val="24"/>
        </w:rPr>
        <w:tab/>
        <w:t>Գրանցման առաջնային հայտի մեջ որպես ճանաչման պետություն չնշված այլ անդամ պետություններում, ինչպես նա</w:t>
      </w:r>
      <w:r w:rsidR="00C54D75">
        <w:rPr>
          <w:rFonts w:ascii="Sylfaen" w:hAnsi="Sylfaen"/>
          <w:sz w:val="24"/>
          <w:szCs w:val="24"/>
        </w:rPr>
        <w:t>և</w:t>
      </w:r>
      <w:r w:rsidRPr="00834D52">
        <w:rPr>
          <w:rFonts w:ascii="Sylfaen" w:hAnsi="Sylfaen"/>
          <w:sz w:val="24"/>
          <w:szCs w:val="24"/>
        </w:rPr>
        <w:t xml:space="preserve"> դեղապատրաստուկի գրանցումից հետո Միությանը միացած պետություններում սույն Կանոններին համապատասխան գրանցված դեղապատրաստուկի գրանցումն իրականացվում է փոխադարձ ճանաչման ընթացակարգով՝ </w:t>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փորձագիտական հաշվետվության գործող խմբագրության քննության հիման վրա։</w:t>
      </w:r>
    </w:p>
    <w:p w14:paraId="33844990"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79.</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կազմակերպության պատրաստած՝ գնահատման վերաբերյալ փորձագիտական հաշվետվությունը ճանաչելու անհնարինության դեպքում ճանաչման պետության լիազորված մարմինը (փորձագիտական կազմակերպությունը) </w:t>
      </w:r>
      <w:r w:rsidR="009F49FE">
        <w:rPr>
          <w:rFonts w:ascii="Sylfaen" w:hAnsi="Sylfaen"/>
          <w:sz w:val="24"/>
          <w:szCs w:val="24"/>
        </w:rPr>
        <w:t xml:space="preserve">ռեֆերենտ </w:t>
      </w:r>
      <w:r w:rsidRPr="00834D52">
        <w:rPr>
          <w:rFonts w:ascii="Sylfaen" w:hAnsi="Sylfaen"/>
          <w:sz w:val="24"/>
          <w:szCs w:val="24"/>
        </w:rPr>
        <w:t xml:space="preserve">պետության, դեղապատրաստուկի գրանցման ընթացակարգին մասնակցող այլ ճանաչման պետությունների լիազորված մարմին (փորձագիտական կազմակերպություն), Փորձագիտական կոմիտե </w:t>
      </w:r>
      <w:r w:rsidR="00C54D75">
        <w:rPr>
          <w:rFonts w:ascii="Sylfaen" w:hAnsi="Sylfaen"/>
          <w:sz w:val="24"/>
          <w:szCs w:val="24"/>
        </w:rPr>
        <w:t>և</w:t>
      </w:r>
      <w:r w:rsidRPr="00834D52">
        <w:rPr>
          <w:rFonts w:ascii="Sylfaen" w:hAnsi="Sylfaen"/>
          <w:sz w:val="24"/>
          <w:szCs w:val="24"/>
        </w:rPr>
        <w:t xml:space="preserve"> հայտատուին է ուղարկում գնահատման վերաբերյալ տվյալ փորձագիտական հաշվետվության ճանաչման անհնարինության մասին եզրակացությունը՝ նշելով հետ</w:t>
      </w:r>
      <w:r w:rsidR="00C54D75">
        <w:rPr>
          <w:rFonts w:ascii="Sylfaen" w:hAnsi="Sylfaen"/>
          <w:sz w:val="24"/>
          <w:szCs w:val="24"/>
        </w:rPr>
        <w:t>և</w:t>
      </w:r>
      <w:r w:rsidRPr="00834D52">
        <w:rPr>
          <w:rFonts w:ascii="Sylfaen" w:hAnsi="Sylfaen"/>
          <w:sz w:val="24"/>
          <w:szCs w:val="24"/>
        </w:rPr>
        <w:t>յալ պատճառները՝</w:t>
      </w:r>
    </w:p>
    <w:p w14:paraId="7506D76D"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դեղապաստրաստուկի կիրառման հետ կապված հնարավոր ռիսկերի նկատմամբ ակնկալվող օգուտի հարաբերակցությունը բարենպաստ չէ,</w:t>
      </w:r>
    </w:p>
    <w:p w14:paraId="228360B1" w14:textId="77777777" w:rsidR="006F76EB" w:rsidRPr="00931D34" w:rsidRDefault="006F76EB" w:rsidP="006F76EB">
      <w:pPr>
        <w:tabs>
          <w:tab w:val="left" w:pos="1134"/>
        </w:tabs>
        <w:spacing w:after="160" w:line="336" w:lineRule="auto"/>
        <w:ind w:right="-6" w:firstLine="567"/>
        <w:jc w:val="both"/>
        <w:rPr>
          <w:rFonts w:ascii="Sylfaen" w:eastAsia="Times New Roman" w:hAnsi="Sylfaen" w:cs="Times New Roman"/>
          <w:spacing w:val="-6"/>
          <w:sz w:val="24"/>
          <w:szCs w:val="24"/>
        </w:rPr>
      </w:pPr>
      <w:r w:rsidRPr="00834D52">
        <w:rPr>
          <w:rFonts w:ascii="Sylfaen" w:hAnsi="Sylfaen"/>
          <w:sz w:val="24"/>
          <w:szCs w:val="24"/>
        </w:rPr>
        <w:lastRenderedPageBreak/>
        <w:t>բ</w:t>
      </w:r>
      <w:r w:rsidRPr="00931D34">
        <w:rPr>
          <w:rFonts w:ascii="Sylfaen" w:hAnsi="Sylfaen"/>
          <w:spacing w:val="-6"/>
          <w:sz w:val="24"/>
          <w:szCs w:val="24"/>
        </w:rPr>
        <w:t>)</w:t>
      </w:r>
      <w:r w:rsidRPr="00931D34">
        <w:rPr>
          <w:rFonts w:ascii="Sylfaen" w:hAnsi="Sylfaen"/>
          <w:spacing w:val="-6"/>
          <w:sz w:val="24"/>
          <w:szCs w:val="24"/>
        </w:rPr>
        <w:tab/>
        <w:t>հայտատուն չի ապացուցել դեղապատրաստուկի արդյունավետությունը,</w:t>
      </w:r>
    </w:p>
    <w:p w14:paraId="252135F4"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դեղապատրաստուկի որակը չի հաստատվել,</w:t>
      </w:r>
    </w:p>
    <w:p w14:paraId="061F8858"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հայտատուն ներկայացրել է ոչ հավաստի տեղեկություններ,</w:t>
      </w:r>
    </w:p>
    <w:p w14:paraId="02BE3C03"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նշանակված տեսչական ստուգման արդյունքներով դեղապատրաստուկի գրանցման ժամանակահատվածում հայտնաբերվել է Միության պատշաճ դեղագործական գործելակերպերին կրիտիկական անհամապատասխանություն։</w:t>
      </w:r>
    </w:p>
    <w:p w14:paraId="571100BA"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80.</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փորձագիտական հաշվետվությունը ճանաչելու անհնարինության մասին ճանաչման պետության լիազորված մարմնի եզրակացությունը ստանալու օրվանից 60 օրացուցային օրը չգերազանցող ժամկետում Փորձագիտական կոմիտեն իրականացնում է տարաձայնությունների քննության ընթացակարգ՝ Հանձնաժողովի կողմից սահմանված կարգին համապատասխան։</w:t>
      </w:r>
    </w:p>
    <w:p w14:paraId="4255BDE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81.</w:t>
      </w:r>
      <w:r w:rsidRPr="00834D52">
        <w:rPr>
          <w:rFonts w:ascii="Sylfaen" w:hAnsi="Sylfaen"/>
          <w:sz w:val="24"/>
          <w:szCs w:val="24"/>
        </w:rPr>
        <w:tab/>
        <w:t xml:space="preserve">Ճանաչման պետության լիազորված մարմինը մերժում է դեղապատրաստուկի գրանցումը, եթե դեղապատրաստուկի փորձաքննության արդյունքներով </w:t>
      </w:r>
      <w:r w:rsidR="00C54D75">
        <w:rPr>
          <w:rFonts w:ascii="Sylfaen" w:hAnsi="Sylfaen"/>
          <w:sz w:val="24"/>
          <w:szCs w:val="24"/>
        </w:rPr>
        <w:t>և</w:t>
      </w:r>
      <w:r w:rsidRPr="00834D52">
        <w:rPr>
          <w:rFonts w:ascii="Sylfaen" w:hAnsi="Sylfaen"/>
          <w:sz w:val="24"/>
          <w:szCs w:val="24"/>
        </w:rPr>
        <w:t xml:space="preserve"> Փորձագիտական կոմիտեում տարաձայնությունների կարգավորման ընթացակարգ անցկացնելուց հետո վերջինս որոշում է կայացրել, որ գնահատման վերաբերյալ փորձագիտական հաշվետվության մեջ ներկայացված տվյալները չեն կարող բավարար համարվել դեղապատրաստուկի որակի </w:t>
      </w:r>
      <w:r w:rsidR="00C54D75">
        <w:rPr>
          <w:rFonts w:ascii="Sylfaen" w:hAnsi="Sylfaen"/>
          <w:sz w:val="24"/>
          <w:szCs w:val="24"/>
        </w:rPr>
        <w:t>և</w:t>
      </w:r>
      <w:r w:rsidRPr="00834D52">
        <w:rPr>
          <w:rFonts w:ascii="Sylfaen" w:hAnsi="Sylfaen"/>
          <w:sz w:val="24"/>
          <w:szCs w:val="24"/>
        </w:rPr>
        <w:t xml:space="preserve"> (կամ) արդյունավետության </w:t>
      </w:r>
      <w:r w:rsidR="00C54D75">
        <w:rPr>
          <w:rFonts w:ascii="Sylfaen" w:hAnsi="Sylfaen"/>
          <w:sz w:val="24"/>
          <w:szCs w:val="24"/>
        </w:rPr>
        <w:t>և</w:t>
      </w:r>
      <w:r w:rsidRPr="00834D52">
        <w:rPr>
          <w:rFonts w:ascii="Sylfaen" w:hAnsi="Sylfaen"/>
          <w:sz w:val="24"/>
          <w:szCs w:val="24"/>
        </w:rPr>
        <w:t xml:space="preserve"> (կամ) օգուտ</w:t>
      </w:r>
      <w:r w:rsidRPr="008341C7">
        <w:rPr>
          <w:rFonts w:ascii="Sylfaen" w:hAnsi="Sylfaen"/>
          <w:sz w:val="24"/>
          <w:szCs w:val="24"/>
        </w:rPr>
        <w:t>-</w:t>
      </w:r>
      <w:r w:rsidRPr="00834D52">
        <w:rPr>
          <w:rFonts w:ascii="Sylfaen" w:hAnsi="Sylfaen"/>
          <w:sz w:val="24"/>
          <w:szCs w:val="24"/>
        </w:rPr>
        <w:t>ռիսկ բարենպաստ հարաբերակցության հաստատման համար։</w:t>
      </w:r>
    </w:p>
    <w:p w14:paraId="6E63520F"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82.</w:t>
      </w:r>
      <w:r w:rsidRPr="00834D52">
        <w:rPr>
          <w:rFonts w:ascii="Sylfaen" w:hAnsi="Sylfaen"/>
          <w:sz w:val="24"/>
          <w:szCs w:val="24"/>
        </w:rPr>
        <w:tab/>
        <w:t>Գնահատման վերաբերյալ փորձագիտական հաշվետվության ճանաչման մասով լիազորված մարմինների միջ</w:t>
      </w:r>
      <w:r w:rsidR="00C54D75">
        <w:rPr>
          <w:rFonts w:ascii="Sylfaen" w:hAnsi="Sylfaen"/>
          <w:sz w:val="24"/>
          <w:szCs w:val="24"/>
        </w:rPr>
        <w:t>և</w:t>
      </w:r>
      <w:r w:rsidRPr="00834D52">
        <w:rPr>
          <w:rFonts w:ascii="Sylfaen" w:hAnsi="Sylfaen"/>
          <w:sz w:val="24"/>
          <w:szCs w:val="24"/>
        </w:rPr>
        <w:t xml:space="preserve"> տարաձայնությունների առկայության </w:t>
      </w:r>
      <w:r w:rsidR="00C54D75">
        <w:rPr>
          <w:rFonts w:ascii="Sylfaen" w:hAnsi="Sylfaen"/>
          <w:sz w:val="24"/>
          <w:szCs w:val="24"/>
        </w:rPr>
        <w:t>և</w:t>
      </w:r>
      <w:r w:rsidRPr="00834D52">
        <w:rPr>
          <w:rFonts w:ascii="Sylfaen" w:hAnsi="Sylfaen"/>
          <w:sz w:val="24"/>
          <w:szCs w:val="24"/>
        </w:rPr>
        <w:t xml:space="preserve"> Փորձագիտական կոմիտեի կողմից դրանց քննության դեպքում ճանաչման պետության այն լիազորված մարմինը, որը </w:t>
      </w:r>
      <w:r w:rsidR="009F49FE">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կազմակերպության պատրաստած՝ գնահատման վերաբերյալ </w:t>
      </w:r>
      <w:r w:rsidRPr="00834D52">
        <w:rPr>
          <w:rFonts w:ascii="Sylfaen" w:hAnsi="Sylfaen"/>
          <w:sz w:val="24"/>
          <w:szCs w:val="24"/>
        </w:rPr>
        <w:lastRenderedPageBreak/>
        <w:t>փորձագիտական հաշվետվության ճանաչման մասին կայացրել է դրական որոշում, տրամադրում է գրանցման հավաստագիր, հաստատված ԴՊԸԲ</w:t>
      </w:r>
      <w:r w:rsidRPr="008341C7">
        <w:rPr>
          <w:rFonts w:ascii="Sylfaen" w:hAnsi="Sylfaen"/>
          <w:sz w:val="24"/>
          <w:szCs w:val="24"/>
        </w:rPr>
        <w:t>-</w:t>
      </w:r>
      <w:r w:rsidRPr="00834D52">
        <w:rPr>
          <w:rFonts w:ascii="Sylfaen" w:hAnsi="Sylfaen"/>
          <w:sz w:val="24"/>
          <w:szCs w:val="24"/>
        </w:rPr>
        <w:t xml:space="preserve">ներ, բժշկական կիրառման հրահանգ, փաթեթվածքների մանրակերտեր </w:t>
      </w:r>
      <w:r w:rsidR="00C54D75">
        <w:rPr>
          <w:rFonts w:ascii="Sylfaen" w:hAnsi="Sylfaen"/>
          <w:sz w:val="24"/>
          <w:szCs w:val="24"/>
        </w:rPr>
        <w:t>և</w:t>
      </w:r>
      <w:r w:rsidRPr="00834D52">
        <w:rPr>
          <w:rFonts w:ascii="Sylfaen" w:hAnsi="Sylfaen"/>
          <w:sz w:val="24"/>
          <w:szCs w:val="24"/>
        </w:rPr>
        <w:t xml:space="preserve"> համաձայնեցնում է դեղապատրաստուկի կիրառման ժամանակ ռիսկերի կառավարման պլանը (անհրաժեշտության դեպքում), ինչպես նա</w:t>
      </w:r>
      <w:r w:rsidR="00C54D75">
        <w:rPr>
          <w:rFonts w:ascii="Sylfaen" w:hAnsi="Sylfaen"/>
          <w:sz w:val="24"/>
          <w:szCs w:val="24"/>
        </w:rPr>
        <w:t>և</w:t>
      </w:r>
      <w:r w:rsidRPr="00834D52">
        <w:rPr>
          <w:rFonts w:ascii="Sylfaen" w:hAnsi="Sylfaen"/>
          <w:sz w:val="24"/>
          <w:szCs w:val="24"/>
        </w:rPr>
        <w:t xml:space="preserve"> որակի նորմատիվ փաստաթուղթ՝ նախքան Փորձագիտական կոմիտեի որոշումը։ Հայտատուի խնդրանքով այդ ճանաչման պետության լիազորված մարմնի կողմից գրանցման հավաստագրի տրամադրումը կարող է կասեցվել մինչ</w:t>
      </w:r>
      <w:r w:rsidR="00C54D75">
        <w:rPr>
          <w:rFonts w:ascii="Sylfaen" w:hAnsi="Sylfaen"/>
          <w:sz w:val="24"/>
          <w:szCs w:val="24"/>
        </w:rPr>
        <w:t>և</w:t>
      </w:r>
      <w:r w:rsidRPr="00834D52">
        <w:rPr>
          <w:rFonts w:ascii="Sylfaen" w:hAnsi="Sylfaen"/>
          <w:sz w:val="24"/>
          <w:szCs w:val="24"/>
        </w:rPr>
        <w:t xml:space="preserve"> այլ ճանաչման պետությունների </w:t>
      </w:r>
      <w:r w:rsidR="00C54D75">
        <w:rPr>
          <w:rFonts w:ascii="Sylfaen" w:hAnsi="Sylfaen"/>
          <w:sz w:val="24"/>
          <w:szCs w:val="24"/>
        </w:rPr>
        <w:t>և</w:t>
      </w:r>
      <w:r w:rsidRPr="00834D52">
        <w:rPr>
          <w:rFonts w:ascii="Sylfaen" w:hAnsi="Sylfaen"/>
          <w:sz w:val="24"/>
          <w:szCs w:val="24"/>
        </w:rPr>
        <w:t xml:space="preserve">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մարմինների միջ</w:t>
      </w:r>
      <w:r w:rsidR="00C54D75">
        <w:rPr>
          <w:rFonts w:ascii="Sylfaen" w:hAnsi="Sylfaen"/>
          <w:sz w:val="24"/>
          <w:szCs w:val="24"/>
        </w:rPr>
        <w:t>և</w:t>
      </w:r>
      <w:r w:rsidRPr="00834D52">
        <w:rPr>
          <w:rFonts w:ascii="Sylfaen" w:hAnsi="Sylfaen"/>
          <w:sz w:val="24"/>
          <w:szCs w:val="24"/>
        </w:rPr>
        <w:t xml:space="preserve"> տարաձայնությունների վերացումը։</w:t>
      </w:r>
    </w:p>
    <w:p w14:paraId="734FEF0D" w14:textId="77777777" w:rsidR="006F76EB" w:rsidRPr="00DB039F" w:rsidRDefault="006F76EB" w:rsidP="006F76EB">
      <w:pPr>
        <w:tabs>
          <w:tab w:val="left" w:pos="1134"/>
        </w:tabs>
        <w:spacing w:after="160" w:line="360" w:lineRule="auto"/>
        <w:ind w:right="-8" w:firstLine="567"/>
        <w:jc w:val="both"/>
        <w:rPr>
          <w:rFonts w:ascii="Sylfaen" w:hAnsi="Sylfaen"/>
          <w:sz w:val="24"/>
          <w:szCs w:val="24"/>
        </w:rPr>
      </w:pPr>
      <w:r w:rsidRPr="00834D52">
        <w:rPr>
          <w:rFonts w:ascii="Sylfaen" w:hAnsi="Sylfaen"/>
          <w:sz w:val="24"/>
          <w:szCs w:val="24"/>
        </w:rPr>
        <w:t>Նման դեպքերում տրամադրված գրանցման հավաստագիրը գործում է տվյալ ճանաչման պետության տարածքում։</w:t>
      </w:r>
    </w:p>
    <w:p w14:paraId="5C92AB40" w14:textId="77777777" w:rsidR="006F76EB" w:rsidRPr="00DB039F" w:rsidRDefault="006F76EB" w:rsidP="00931D34">
      <w:pPr>
        <w:tabs>
          <w:tab w:val="left" w:pos="1134"/>
        </w:tabs>
        <w:spacing w:after="160" w:line="360" w:lineRule="auto"/>
        <w:ind w:right="-8" w:firstLine="567"/>
        <w:jc w:val="center"/>
        <w:rPr>
          <w:rFonts w:ascii="Sylfaen" w:hAnsi="Sylfaen"/>
          <w:sz w:val="24"/>
          <w:szCs w:val="24"/>
        </w:rPr>
      </w:pPr>
    </w:p>
    <w:p w14:paraId="01C094E3" w14:textId="77777777" w:rsidR="006F76EB" w:rsidRPr="00834D52" w:rsidRDefault="006F76EB" w:rsidP="006F76EB">
      <w:pPr>
        <w:spacing w:after="160" w:line="336"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VI. Ապակենտրոնացված ընթացակարգով գրանցման </w:t>
      </w:r>
      <w:r w:rsidR="00C54D75">
        <w:rPr>
          <w:rFonts w:ascii="Sylfaen" w:hAnsi="Sylfaen"/>
          <w:sz w:val="24"/>
          <w:szCs w:val="24"/>
        </w:rPr>
        <w:t>և</w:t>
      </w:r>
      <w:r w:rsidRPr="00834D52">
        <w:rPr>
          <w:rFonts w:ascii="Sylfaen" w:hAnsi="Sylfaen"/>
          <w:sz w:val="24"/>
          <w:szCs w:val="24"/>
        </w:rPr>
        <w:t xml:space="preserve"> փորձաքննության կարգը </w:t>
      </w:r>
      <w:r w:rsidR="009F49FE">
        <w:rPr>
          <w:rFonts w:ascii="Sylfaen" w:hAnsi="Sylfaen"/>
          <w:sz w:val="24"/>
          <w:szCs w:val="24"/>
        </w:rPr>
        <w:t xml:space="preserve">ռեֆերենտ </w:t>
      </w:r>
      <w:r w:rsidRPr="00834D52">
        <w:rPr>
          <w:rFonts w:ascii="Sylfaen" w:hAnsi="Sylfaen"/>
          <w:sz w:val="24"/>
          <w:szCs w:val="24"/>
        </w:rPr>
        <w:t xml:space="preserve">պետությունում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br/>
        <w:t>ճանաչման պետություններում</w:t>
      </w:r>
    </w:p>
    <w:p w14:paraId="541C8BC0"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83.</w:t>
      </w:r>
      <w:r w:rsidRPr="00834D52">
        <w:rPr>
          <w:rFonts w:ascii="Sylfaen" w:hAnsi="Sylfaen"/>
          <w:sz w:val="24"/>
          <w:szCs w:val="24"/>
        </w:rPr>
        <w:tab/>
        <w:t xml:space="preserve">Ապակենտրոնացված ընթացակարգով դեղապատրաստուկը գրանցելու նպատակով հայտատուն ընտրում է </w:t>
      </w:r>
      <w:r w:rsidR="009F49FE">
        <w:rPr>
          <w:rFonts w:ascii="Sylfaen" w:hAnsi="Sylfaen"/>
          <w:sz w:val="24"/>
          <w:szCs w:val="24"/>
        </w:rPr>
        <w:t xml:space="preserve">ռեֆերենտ </w:t>
      </w:r>
      <w:r w:rsidRPr="00834D52">
        <w:rPr>
          <w:rFonts w:ascii="Sylfaen" w:hAnsi="Sylfaen"/>
          <w:sz w:val="24"/>
          <w:szCs w:val="24"/>
        </w:rPr>
        <w:t xml:space="preserve">պետություն </w:t>
      </w:r>
      <w:r w:rsidR="00C54D75">
        <w:rPr>
          <w:rFonts w:ascii="Sylfaen" w:hAnsi="Sylfaen"/>
          <w:sz w:val="24"/>
          <w:szCs w:val="24"/>
        </w:rPr>
        <w:t>և</w:t>
      </w:r>
      <w:r w:rsidRPr="00834D52">
        <w:rPr>
          <w:rFonts w:ascii="Sylfaen" w:hAnsi="Sylfaen"/>
          <w:sz w:val="24"/>
          <w:szCs w:val="24"/>
        </w:rPr>
        <w:t xml:space="preserve"> ճանաչման պետություններ։</w:t>
      </w:r>
    </w:p>
    <w:p w14:paraId="662A22EF"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84.</w:t>
      </w:r>
      <w:r w:rsidRPr="00834D52">
        <w:rPr>
          <w:rFonts w:ascii="Sylfaen" w:hAnsi="Sylfaen"/>
          <w:sz w:val="24"/>
          <w:szCs w:val="24"/>
        </w:rPr>
        <w:tab/>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ապակենտրոնացված ընթացակարգի տ</w:t>
      </w:r>
      <w:r w:rsidR="00C54D75">
        <w:rPr>
          <w:rFonts w:ascii="Sylfaen" w:hAnsi="Sylfaen"/>
          <w:sz w:val="24"/>
          <w:szCs w:val="24"/>
        </w:rPr>
        <w:t>և</w:t>
      </w:r>
      <w:r w:rsidRPr="00834D52">
        <w:rPr>
          <w:rFonts w:ascii="Sylfaen" w:hAnsi="Sylfaen"/>
          <w:sz w:val="24"/>
          <w:szCs w:val="24"/>
        </w:rPr>
        <w:t>ողությունը ճանաչման պետություններ դեղապատրաստուկի գրանցման վերջին հայտը ներկայացնելու օրվանից մինչ</w:t>
      </w:r>
      <w:r w:rsidR="00C54D75">
        <w:rPr>
          <w:rFonts w:ascii="Sylfaen" w:hAnsi="Sylfaen"/>
          <w:sz w:val="24"/>
          <w:szCs w:val="24"/>
        </w:rPr>
        <w:t>և</w:t>
      </w:r>
      <w:r w:rsidRPr="00834D52">
        <w:rPr>
          <w:rFonts w:ascii="Sylfaen" w:hAnsi="Sylfaen"/>
          <w:sz w:val="24"/>
          <w:szCs w:val="24"/>
        </w:rPr>
        <w:t xml:space="preserve"> ապակենտրոնացված ընթացակարգին մասնակցող բոլոր անդամ պետությունների լիազորված մարմինների կողմից գրանցման հավաստագրեր տրամադրելու օրը չպետք է գերազանցի 210 օրացուցային օրը։</w:t>
      </w:r>
    </w:p>
    <w:p w14:paraId="798B2807"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85.</w:t>
      </w:r>
      <w:r w:rsidRPr="00834D52">
        <w:rPr>
          <w:rFonts w:ascii="Sylfaen" w:hAnsi="Sylfaen"/>
          <w:sz w:val="24"/>
          <w:szCs w:val="24"/>
        </w:rPr>
        <w:tab/>
        <w:t>Ապակենտրոնացված ընթացակարգով գրանցման ընթացակարգը բաղկացած է միաժամանակ անցկացվող հետ</w:t>
      </w:r>
      <w:r w:rsidR="00C54D75">
        <w:rPr>
          <w:rFonts w:ascii="Sylfaen" w:hAnsi="Sylfaen"/>
          <w:sz w:val="24"/>
          <w:szCs w:val="24"/>
        </w:rPr>
        <w:t>և</w:t>
      </w:r>
      <w:r w:rsidRPr="00834D52">
        <w:rPr>
          <w:rFonts w:ascii="Sylfaen" w:hAnsi="Sylfaen"/>
          <w:sz w:val="24"/>
          <w:szCs w:val="24"/>
        </w:rPr>
        <w:t>յալ փուլերից՝</w:t>
      </w:r>
    </w:p>
    <w:p w14:paraId="6A8B8263" w14:textId="77777777" w:rsidR="006F76EB" w:rsidRPr="00834D52" w:rsidRDefault="006F76EB" w:rsidP="006F76EB">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դեղապատրաստուկի գրանցում </w:t>
      </w:r>
      <w:r w:rsidR="009F49FE">
        <w:rPr>
          <w:rFonts w:ascii="Sylfaen" w:hAnsi="Sylfaen"/>
          <w:sz w:val="24"/>
          <w:szCs w:val="24"/>
        </w:rPr>
        <w:t xml:space="preserve">ռեֆերենտ </w:t>
      </w:r>
      <w:r w:rsidRPr="00834D52">
        <w:rPr>
          <w:rFonts w:ascii="Sylfaen" w:hAnsi="Sylfaen"/>
          <w:sz w:val="24"/>
          <w:szCs w:val="24"/>
        </w:rPr>
        <w:t>պետությունում,</w:t>
      </w:r>
    </w:p>
    <w:p w14:paraId="0515F4E6"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բ)</w:t>
      </w:r>
      <w:r w:rsidRPr="00834D52">
        <w:rPr>
          <w:rFonts w:ascii="Sylfaen" w:hAnsi="Sylfaen"/>
          <w:sz w:val="24"/>
          <w:szCs w:val="24"/>
        </w:rPr>
        <w:tab/>
        <w:t xml:space="preserve">գնահատման վերաբերյալ փորձագիտական հաշվետվության ճանաչում </w:t>
      </w:r>
      <w:r w:rsidR="00C54D75">
        <w:rPr>
          <w:rFonts w:ascii="Sylfaen" w:hAnsi="Sylfaen"/>
          <w:sz w:val="24"/>
          <w:szCs w:val="24"/>
        </w:rPr>
        <w:t>և</w:t>
      </w:r>
      <w:r w:rsidRPr="00834D52">
        <w:rPr>
          <w:rFonts w:ascii="Sylfaen" w:hAnsi="Sylfaen"/>
          <w:sz w:val="24"/>
          <w:szCs w:val="24"/>
        </w:rPr>
        <w:t xml:space="preserve"> գրանցում ճանաչման պետություններում։</w:t>
      </w:r>
    </w:p>
    <w:p w14:paraId="3660C25E"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86.</w:t>
      </w:r>
      <w:r w:rsidRPr="00834D52">
        <w:rPr>
          <w:rFonts w:ascii="Sylfaen" w:hAnsi="Sylfaen"/>
          <w:sz w:val="24"/>
          <w:szCs w:val="24"/>
        </w:rPr>
        <w:tab/>
        <w:t xml:space="preserve">Դեղապատրաստուկի գրանցման նպատակով հայտատուն </w:t>
      </w:r>
      <w:r w:rsidR="009F49FE">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է ներկայացնում հետ</w:t>
      </w:r>
      <w:r w:rsidR="00C54D75">
        <w:rPr>
          <w:rFonts w:ascii="Sylfaen" w:hAnsi="Sylfaen"/>
          <w:sz w:val="24"/>
          <w:szCs w:val="24"/>
        </w:rPr>
        <w:t>և</w:t>
      </w:r>
      <w:r w:rsidRPr="00834D52">
        <w:rPr>
          <w:rFonts w:ascii="Sylfaen" w:hAnsi="Sylfaen"/>
          <w:sz w:val="24"/>
          <w:szCs w:val="24"/>
        </w:rPr>
        <w:t>յալ փաստաթղթերը՝</w:t>
      </w:r>
    </w:p>
    <w:p w14:paraId="390D6D6F"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հայտ՝ սահմանված ձ</w:t>
      </w:r>
      <w:r w:rsidR="00C54D75">
        <w:rPr>
          <w:rFonts w:ascii="Sylfaen" w:hAnsi="Sylfaen"/>
          <w:sz w:val="24"/>
          <w:szCs w:val="24"/>
        </w:rPr>
        <w:t>և</w:t>
      </w:r>
      <w:r w:rsidRPr="00834D52">
        <w:rPr>
          <w:rFonts w:ascii="Sylfaen" w:hAnsi="Sylfaen"/>
          <w:sz w:val="24"/>
          <w:szCs w:val="24"/>
        </w:rPr>
        <w:t xml:space="preserve">ով՝ թղթային </w:t>
      </w:r>
      <w:r w:rsidR="00F933B1">
        <w:rPr>
          <w:rFonts w:ascii="Sylfaen" w:hAnsi="Sylfaen"/>
          <w:sz w:val="24"/>
          <w:szCs w:val="24"/>
        </w:rPr>
        <w:t xml:space="preserve"> կրիչով </w:t>
      </w:r>
      <w:r w:rsidR="00C54D75">
        <w:rPr>
          <w:rFonts w:ascii="Sylfaen" w:hAnsi="Sylfaen"/>
          <w:sz w:val="24"/>
          <w:szCs w:val="24"/>
        </w:rPr>
        <w:t>և</w:t>
      </w:r>
      <w:r w:rsidRPr="00834D52">
        <w:rPr>
          <w:rFonts w:ascii="Sylfaen" w:hAnsi="Sylfaen"/>
          <w:sz w:val="24"/>
          <w:szCs w:val="24"/>
        </w:rPr>
        <w:t xml:space="preserve"> (կամ) էլեկտրոնային</w:t>
      </w:r>
      <w:r w:rsidR="00F933B1">
        <w:rPr>
          <w:rFonts w:ascii="Sylfaen" w:hAnsi="Sylfaen"/>
          <w:sz w:val="24"/>
          <w:szCs w:val="24"/>
        </w:rPr>
        <w:t xml:space="preserve"> փաստաթղթի տեսքով</w:t>
      </w:r>
      <w:r w:rsidRPr="00834D52">
        <w:rPr>
          <w:rFonts w:ascii="Sylfaen" w:hAnsi="Sylfaen"/>
          <w:sz w:val="24"/>
          <w:szCs w:val="24"/>
        </w:rPr>
        <w:t>՝ սույն Կանոնների թիվ 2 հավելվածին համապատասախան,</w:t>
      </w:r>
    </w:p>
    <w:p w14:paraId="532C1AA2"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 </w:t>
      </w:r>
      <w:r w:rsidR="009F49FE">
        <w:rPr>
          <w:rFonts w:ascii="Sylfaen" w:hAnsi="Sylfaen"/>
          <w:sz w:val="24"/>
          <w:szCs w:val="24"/>
        </w:rPr>
        <w:t xml:space="preserve">ռեֆերենտ </w:t>
      </w:r>
      <w:r w:rsidRPr="00834D52">
        <w:rPr>
          <w:rFonts w:ascii="Sylfaen" w:hAnsi="Sylfaen"/>
          <w:sz w:val="24"/>
          <w:szCs w:val="24"/>
        </w:rPr>
        <w:t xml:space="preserve">պետության օրենսդրությամբ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5E06947D"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դոսյե՝ սույն Կանոնների թիվ 1</w:t>
      </w:r>
      <w:r w:rsidRPr="008341C7">
        <w:rPr>
          <w:rFonts w:ascii="Sylfaen" w:hAnsi="Sylfaen"/>
          <w:sz w:val="24"/>
          <w:szCs w:val="24"/>
        </w:rPr>
        <w:t>-</w:t>
      </w:r>
      <w:r w:rsidRPr="00834D52">
        <w:rPr>
          <w:rFonts w:ascii="Sylfaen" w:hAnsi="Sylfaen"/>
          <w:sz w:val="24"/>
          <w:szCs w:val="24"/>
        </w:rPr>
        <w:t>5 հավելվածներին համապատասխան՝ էլեկտրոնային կրիչով,</w:t>
      </w:r>
    </w:p>
    <w:p w14:paraId="3D7B5EDF" w14:textId="77777777" w:rsidR="006F76EB" w:rsidRPr="00834D52" w:rsidRDefault="006F76EB" w:rsidP="00262B57">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դեղապատրաստուկների նմուշներ։</w:t>
      </w:r>
    </w:p>
    <w:p w14:paraId="40F35439" w14:textId="77777777" w:rsidR="006F76EB" w:rsidRPr="00834D52" w:rsidRDefault="006F76EB" w:rsidP="00262B57">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Սույն կետի հինգերորդ պարբերությունում նշված նմուշների փորձարկումներ անցկացնելու համար անհրաժեշտ ակտիվ դեղագործական բաղադրամասերի </w:t>
      </w:r>
      <w:r w:rsidR="00C54D75">
        <w:rPr>
          <w:rFonts w:ascii="Sylfaen" w:hAnsi="Sylfaen"/>
          <w:sz w:val="24"/>
          <w:szCs w:val="24"/>
        </w:rPr>
        <w:t>և</w:t>
      </w:r>
      <w:r w:rsidRPr="00834D52">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834D52">
        <w:rPr>
          <w:rFonts w:ascii="Sylfaen" w:hAnsi="Sylfaen"/>
          <w:sz w:val="24"/>
          <w:szCs w:val="24"/>
        </w:rPr>
        <w:t xml:space="preserve"> այլ նյութեր ներկայացվում են փորձագիտական կազմակերպության հետ համաձայնեցնելով։</w:t>
      </w:r>
    </w:p>
    <w:p w14:paraId="51F2E5EC" w14:textId="77777777" w:rsidR="006F76EB" w:rsidRPr="00F102EA" w:rsidRDefault="006F76EB" w:rsidP="00262B57">
      <w:pPr>
        <w:tabs>
          <w:tab w:val="left" w:pos="1134"/>
        </w:tabs>
        <w:spacing w:after="160" w:line="360" w:lineRule="auto"/>
        <w:ind w:right="-8" w:firstLine="567"/>
        <w:jc w:val="both"/>
        <w:rPr>
          <w:rFonts w:ascii="Sylfaen" w:hAnsi="Sylfaen"/>
          <w:sz w:val="24"/>
          <w:szCs w:val="24"/>
        </w:rPr>
      </w:pPr>
      <w:r w:rsidRPr="00834D52">
        <w:rPr>
          <w:rFonts w:ascii="Sylfaen" w:hAnsi="Sylfaen"/>
          <w:sz w:val="24"/>
          <w:szCs w:val="24"/>
        </w:rPr>
        <w:t>Նմուշները, սպեցիֆիկ ռեագենտներն ու այլ նյութեր ներկայացվում են փորձագիտական կազմակերպության հետ համաձայնեցված՝ երեք անգամից ոչ</w:t>
      </w:r>
      <w:r w:rsidR="007D0283" w:rsidRPr="00615631">
        <w:rPr>
          <w:rFonts w:ascii="Sylfaen" w:hAnsi="Sylfaen"/>
          <w:sz w:val="24"/>
          <w:szCs w:val="24"/>
        </w:rPr>
        <w:t> </w:t>
      </w:r>
      <w:r w:rsidRPr="00834D52">
        <w:rPr>
          <w:rFonts w:ascii="Sylfaen" w:hAnsi="Sylfaen"/>
          <w:sz w:val="24"/>
          <w:szCs w:val="24"/>
        </w:rPr>
        <w:t xml:space="preserve">ավելի անալիզ անցկացնելու համար անհրաժեշտ քանակությամբ՝ դեղապատրաստուկների որակի վերաբերյալ նորմատիվ փաստաթղթի պահանջներին համապատասխան՝ լիազորված մարմնի (փորձագիտական կազմակերպության) կողմից համաձայնեցված </w:t>
      </w:r>
      <w:r w:rsidR="00C54D75">
        <w:rPr>
          <w:rFonts w:ascii="Sylfaen" w:hAnsi="Sylfaen"/>
          <w:sz w:val="24"/>
          <w:szCs w:val="24"/>
        </w:rPr>
        <w:t>և</w:t>
      </w:r>
      <w:r w:rsidRPr="00834D52">
        <w:rPr>
          <w:rFonts w:ascii="Sylfaen" w:hAnsi="Sylfaen"/>
          <w:sz w:val="24"/>
          <w:szCs w:val="24"/>
        </w:rPr>
        <w:t xml:space="preserve"> դեղապատրաստուկի փորձաքննության </w:t>
      </w:r>
      <w:r w:rsidR="00C54D75">
        <w:rPr>
          <w:rFonts w:ascii="Sylfaen" w:hAnsi="Sylfaen"/>
          <w:sz w:val="24"/>
          <w:szCs w:val="24"/>
        </w:rPr>
        <w:t>և</w:t>
      </w:r>
      <w:r w:rsidRPr="00834D52">
        <w:rPr>
          <w:rFonts w:ascii="Sylfaen" w:hAnsi="Sylfaen"/>
          <w:sz w:val="24"/>
          <w:szCs w:val="24"/>
        </w:rPr>
        <w:t xml:space="preserve"> գրանցման ընդհանուր ժամկետի մեջ չմտնող ժամկետում։</w:t>
      </w:r>
    </w:p>
    <w:p w14:paraId="6E6B790E" w14:textId="77777777" w:rsidR="00262B57" w:rsidRPr="00F102EA" w:rsidRDefault="00262B57" w:rsidP="00262B57">
      <w:pPr>
        <w:tabs>
          <w:tab w:val="left" w:pos="1134"/>
        </w:tabs>
        <w:spacing w:after="160" w:line="360" w:lineRule="auto"/>
        <w:ind w:right="-8" w:firstLine="567"/>
        <w:jc w:val="both"/>
        <w:rPr>
          <w:rFonts w:ascii="Sylfaen" w:eastAsia="Times New Roman" w:hAnsi="Sylfaen" w:cs="Times New Roman"/>
          <w:sz w:val="24"/>
          <w:szCs w:val="24"/>
        </w:rPr>
      </w:pPr>
    </w:p>
    <w:p w14:paraId="2C1004A0" w14:textId="77777777" w:rsidR="006F76EB" w:rsidRPr="00834D52" w:rsidRDefault="006F76EB" w:rsidP="006F76E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Չի պահանջվում ներկայացնել նմուշներ, սպեցիֆիկ ռեագենտներ </w:t>
      </w:r>
      <w:r w:rsidR="00C54D75">
        <w:rPr>
          <w:rFonts w:ascii="Sylfaen" w:hAnsi="Sylfaen"/>
          <w:sz w:val="24"/>
          <w:szCs w:val="24"/>
        </w:rPr>
        <w:t>և</w:t>
      </w:r>
      <w:r w:rsidRPr="00834D52">
        <w:rPr>
          <w:rFonts w:ascii="Sylfaen" w:hAnsi="Sylfaen"/>
          <w:sz w:val="24"/>
          <w:szCs w:val="24"/>
        </w:rPr>
        <w:t xml:space="preserve"> այլ նյութեր, եթե փորձագիտական կազմակերպությունում դեղապատրաստուկների (այդ թվում՝ դրանք հազվադեպ կիրառվող («որբ»), թմրեցուցիչ, հոգեմետ կամ թանկարժեք բուժում պահանջող հիվանդությունների բուժման համար նախատեսված դեղապատրաստուկների կատեգորիային դասելու դեպքում) նմուշների դժվարամատչելիության, նշված նմուշներն անդամ պետության տարածք տրանսպորտով տեղափոխելու </w:t>
      </w:r>
      <w:r w:rsidR="00C54D75">
        <w:rPr>
          <w:rFonts w:ascii="Sylfaen" w:hAnsi="Sylfaen"/>
          <w:sz w:val="24"/>
          <w:szCs w:val="24"/>
        </w:rPr>
        <w:t>և</w:t>
      </w:r>
      <w:r w:rsidRPr="00834D52">
        <w:rPr>
          <w:rFonts w:ascii="Sylfaen" w:hAnsi="Sylfaen"/>
          <w:sz w:val="24"/>
          <w:szCs w:val="24"/>
        </w:rPr>
        <w:t xml:space="preserve"> (կամ) դրանց պահպանման պայմաններին հետ</w:t>
      </w:r>
      <w:r w:rsidR="00C54D75">
        <w:rPr>
          <w:rFonts w:ascii="Sylfaen" w:hAnsi="Sylfaen"/>
          <w:sz w:val="24"/>
          <w:szCs w:val="24"/>
        </w:rPr>
        <w:t>և</w:t>
      </w:r>
      <w:r w:rsidRPr="00834D52">
        <w:rPr>
          <w:rFonts w:ascii="Sylfaen" w:hAnsi="Sylfaen"/>
          <w:sz w:val="24"/>
          <w:szCs w:val="24"/>
        </w:rPr>
        <w:t xml:space="preserve">ելու անհնարինության, փորձագիտական կազմակերպությունում հատուկ սարքավորումների </w:t>
      </w:r>
      <w:r w:rsidR="00C54D75">
        <w:rPr>
          <w:rFonts w:ascii="Sylfaen" w:hAnsi="Sylfaen"/>
          <w:sz w:val="24"/>
          <w:szCs w:val="24"/>
        </w:rPr>
        <w:t>և</w:t>
      </w:r>
      <w:r w:rsidRPr="00834D52">
        <w:rPr>
          <w:rFonts w:ascii="Sylfaen" w:hAnsi="Sylfaen"/>
          <w:sz w:val="24"/>
          <w:szCs w:val="24"/>
        </w:rPr>
        <w:t xml:space="preserve"> ծախսանյութերի բացակայության հետ</w:t>
      </w:r>
      <w:r w:rsidR="00C54D75">
        <w:rPr>
          <w:rFonts w:ascii="Sylfaen" w:hAnsi="Sylfaen"/>
          <w:sz w:val="24"/>
          <w:szCs w:val="24"/>
        </w:rPr>
        <w:t>և</w:t>
      </w:r>
      <w:r w:rsidRPr="00834D52">
        <w:rPr>
          <w:rFonts w:ascii="Sylfaen" w:hAnsi="Sylfaen"/>
          <w:sz w:val="24"/>
          <w:szCs w:val="24"/>
        </w:rPr>
        <w:t>անքով փորձարկումների անցկացումն անհնար է։</w:t>
      </w:r>
    </w:p>
    <w:p w14:paraId="7D8E2F62"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87.</w:t>
      </w:r>
      <w:r w:rsidRPr="00834D52">
        <w:rPr>
          <w:rFonts w:ascii="Sylfaen" w:hAnsi="Sylfaen"/>
          <w:sz w:val="24"/>
          <w:szCs w:val="24"/>
        </w:rPr>
        <w:tab/>
        <w:t>Սույն Կանոնների 86</w:t>
      </w:r>
      <w:r w:rsidRPr="008341C7">
        <w:rPr>
          <w:rFonts w:ascii="Sylfaen" w:hAnsi="Sylfaen"/>
          <w:sz w:val="24"/>
          <w:szCs w:val="24"/>
        </w:rPr>
        <w:t>-</w:t>
      </w:r>
      <w:r w:rsidRPr="00834D52">
        <w:rPr>
          <w:rFonts w:ascii="Sylfaen" w:hAnsi="Sylfaen"/>
          <w:sz w:val="24"/>
          <w:szCs w:val="24"/>
        </w:rPr>
        <w:t>րդ կետի ութերորդ պարբերությունում նշված դեպքում լաբորատոր փորձարկումներն անցկացվում են դեղապատրաստուկ արտադրողի՝ որակի հսկողության լաբորատորիայում կամ արտադրողի կողմից օգտագործվող պայմանագրային լաբորատորիայում՝ փորձագիտական կազմակերպության ներկայացուցիչների ներկայությամբ։</w:t>
      </w:r>
    </w:p>
    <w:p w14:paraId="52BCCAD2"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88.</w:t>
      </w:r>
      <w:r w:rsidRPr="00834D52">
        <w:rPr>
          <w:rFonts w:ascii="Sylfaen" w:hAnsi="Sylfaen"/>
          <w:sz w:val="24"/>
          <w:szCs w:val="24"/>
        </w:rPr>
        <w:tab/>
        <w:t xml:space="preserve">Փաստաթղթերը </w:t>
      </w:r>
      <w:r w:rsidR="009F49FE">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ներկայացնելու օրվանից ոչ ուշ, քան 14</w:t>
      </w:r>
      <w:r w:rsidR="00615631" w:rsidRPr="00615631">
        <w:rPr>
          <w:rFonts w:ascii="Sylfaen" w:hAnsi="Sylfaen"/>
          <w:sz w:val="24"/>
          <w:szCs w:val="24"/>
        </w:rPr>
        <w:t> </w:t>
      </w:r>
      <w:r w:rsidRPr="00834D52">
        <w:rPr>
          <w:rFonts w:ascii="Sylfaen" w:hAnsi="Sylfaen"/>
          <w:sz w:val="24"/>
          <w:szCs w:val="24"/>
        </w:rPr>
        <w:t>աշխատանքային օրվա ընթացքում հայտատուն ճանաչման պետությունների լիազորված մարմիններ (փորձագիտական կազմակերպություններ) է ներկայացնում՝</w:t>
      </w:r>
    </w:p>
    <w:p w14:paraId="2FBDBCD2"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թղթային </w:t>
      </w:r>
      <w:r w:rsidR="004A01AF">
        <w:rPr>
          <w:rFonts w:ascii="Sylfaen" w:hAnsi="Sylfaen"/>
          <w:sz w:val="24"/>
          <w:szCs w:val="24"/>
        </w:rPr>
        <w:t xml:space="preserve">կրիչով </w:t>
      </w:r>
      <w:r w:rsidR="00C54D75">
        <w:rPr>
          <w:rFonts w:ascii="Sylfaen" w:hAnsi="Sylfaen"/>
          <w:sz w:val="24"/>
          <w:szCs w:val="24"/>
        </w:rPr>
        <w:t>և</w:t>
      </w:r>
      <w:r w:rsidRPr="00834D52">
        <w:rPr>
          <w:rFonts w:ascii="Sylfaen" w:hAnsi="Sylfaen"/>
          <w:sz w:val="24"/>
          <w:szCs w:val="24"/>
        </w:rPr>
        <w:t xml:space="preserve"> (կամ) էլեկտրոնային </w:t>
      </w:r>
      <w:r w:rsidR="004A01AF">
        <w:rPr>
          <w:rFonts w:ascii="Sylfaen" w:hAnsi="Sylfaen"/>
          <w:sz w:val="24"/>
          <w:szCs w:val="24"/>
        </w:rPr>
        <w:t>փաստաթղթի տեսքով</w:t>
      </w:r>
      <w:r w:rsidR="0062140B">
        <w:rPr>
          <w:rFonts w:ascii="Sylfaen" w:hAnsi="Sylfaen"/>
          <w:sz w:val="24"/>
          <w:szCs w:val="24"/>
        </w:rPr>
        <w:t xml:space="preserve"> </w:t>
      </w:r>
      <w:r w:rsidRPr="00834D52">
        <w:rPr>
          <w:rFonts w:ascii="Sylfaen" w:hAnsi="Sylfaen"/>
          <w:sz w:val="24"/>
          <w:szCs w:val="24"/>
        </w:rPr>
        <w:t>հայտ՝ սահմանված ձ</w:t>
      </w:r>
      <w:r w:rsidR="00C54D75">
        <w:rPr>
          <w:rFonts w:ascii="Sylfaen" w:hAnsi="Sylfaen"/>
          <w:sz w:val="24"/>
          <w:szCs w:val="24"/>
        </w:rPr>
        <w:t>և</w:t>
      </w:r>
      <w:r w:rsidRPr="00834D52">
        <w:rPr>
          <w:rFonts w:ascii="Sylfaen" w:hAnsi="Sylfaen"/>
          <w:sz w:val="24"/>
          <w:szCs w:val="24"/>
        </w:rPr>
        <w:t>ով՝ սույն Կանոնների թիվ 2 հավելվածին համապատասախան,</w:t>
      </w:r>
    </w:p>
    <w:p w14:paraId="1D0198A9" w14:textId="77777777" w:rsidR="00196848" w:rsidRDefault="006F76EB" w:rsidP="00262B57">
      <w:pPr>
        <w:tabs>
          <w:tab w:val="left" w:pos="1134"/>
          <w:tab w:val="left" w:pos="5130"/>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դոսյեի 1-ին մոդուլը՝ </w:t>
      </w:r>
      <w:r w:rsidR="00307E18" w:rsidRPr="00834D52">
        <w:rPr>
          <w:rFonts w:ascii="Sylfaen" w:hAnsi="Sylfaen"/>
          <w:sz w:val="24"/>
          <w:szCs w:val="24"/>
        </w:rPr>
        <w:t xml:space="preserve">թղթային </w:t>
      </w:r>
      <w:r w:rsidR="00307E18">
        <w:rPr>
          <w:rFonts w:ascii="Sylfaen" w:hAnsi="Sylfaen"/>
          <w:sz w:val="24"/>
          <w:szCs w:val="24"/>
        </w:rPr>
        <w:t xml:space="preserve">կրիչով </w:t>
      </w:r>
      <w:r w:rsidR="00C54D75">
        <w:rPr>
          <w:rFonts w:ascii="Sylfaen" w:hAnsi="Sylfaen"/>
          <w:sz w:val="24"/>
          <w:szCs w:val="24"/>
        </w:rPr>
        <w:t>և</w:t>
      </w:r>
      <w:r w:rsidR="00307E18" w:rsidRPr="00834D52">
        <w:rPr>
          <w:rFonts w:ascii="Sylfaen" w:hAnsi="Sylfaen"/>
          <w:sz w:val="24"/>
          <w:szCs w:val="24"/>
        </w:rPr>
        <w:t xml:space="preserve"> (կամ)</w:t>
      </w:r>
      <w:r w:rsidR="00873C99">
        <w:rPr>
          <w:rFonts w:ascii="Sylfaen" w:hAnsi="Sylfaen"/>
          <w:sz w:val="24"/>
          <w:szCs w:val="24"/>
        </w:rPr>
        <w:t xml:space="preserve"> </w:t>
      </w:r>
      <w:r w:rsidRPr="00834D52">
        <w:rPr>
          <w:rFonts w:ascii="Sylfaen" w:hAnsi="Sylfaen"/>
          <w:sz w:val="24"/>
          <w:szCs w:val="24"/>
        </w:rPr>
        <w:t>էլեկտրոնային կրիչով</w:t>
      </w:r>
      <w:r w:rsidR="00307E18">
        <w:rPr>
          <w:rFonts w:ascii="Sylfaen" w:hAnsi="Sylfaen"/>
          <w:sz w:val="24"/>
          <w:szCs w:val="24"/>
        </w:rPr>
        <w:t xml:space="preserve">՝ </w:t>
      </w:r>
      <w:r w:rsidR="00307E18" w:rsidRPr="00834D52">
        <w:rPr>
          <w:rFonts w:ascii="Sylfaen" w:hAnsi="Sylfaen"/>
          <w:sz w:val="24"/>
          <w:szCs w:val="24"/>
        </w:rPr>
        <w:t xml:space="preserve">էլեկտրոնային </w:t>
      </w:r>
      <w:r w:rsidR="00307E18">
        <w:rPr>
          <w:rFonts w:ascii="Sylfaen" w:hAnsi="Sylfaen"/>
          <w:sz w:val="24"/>
          <w:szCs w:val="24"/>
        </w:rPr>
        <w:t>փաստաթղթի տեսքով</w:t>
      </w:r>
      <w:r w:rsidRPr="00834D52">
        <w:rPr>
          <w:rFonts w:ascii="Sylfaen" w:hAnsi="Sylfaen"/>
          <w:sz w:val="24"/>
          <w:szCs w:val="24"/>
        </w:rPr>
        <w:t>,</w:t>
      </w:r>
    </w:p>
    <w:p w14:paraId="614A5319" w14:textId="77777777" w:rsidR="006F76EB" w:rsidRPr="00834D52" w:rsidRDefault="006F76EB" w:rsidP="00262B5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փաստաթղթերը՝ ճանաչման պետության օրենսդրությանը համապատասխան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7B62DFC3" w14:textId="77777777" w:rsidR="006F76EB" w:rsidRPr="00834D52" w:rsidRDefault="006F76EB" w:rsidP="008D2718">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Անդամ պետության օրենսդրության մեջ համապատասխան պահանջների առկայության դեպքում ԴՊԸԲ</w:t>
      </w:r>
      <w:r w:rsidRPr="008341C7">
        <w:rPr>
          <w:rFonts w:ascii="Sylfaen" w:hAnsi="Sylfaen"/>
          <w:sz w:val="24"/>
          <w:szCs w:val="24"/>
        </w:rPr>
        <w:t>-</w:t>
      </w:r>
      <w:r w:rsidRPr="00834D52">
        <w:rPr>
          <w:rFonts w:ascii="Sylfaen" w:hAnsi="Sylfaen"/>
          <w:sz w:val="24"/>
          <w:szCs w:val="24"/>
        </w:rPr>
        <w:t xml:space="preserve">ները, դեղապատրաստուկի բժշկական կիրառման հրահանգը </w:t>
      </w:r>
      <w:r w:rsidR="00C54D75">
        <w:rPr>
          <w:rFonts w:ascii="Sylfaen" w:hAnsi="Sylfaen"/>
          <w:sz w:val="24"/>
          <w:szCs w:val="24"/>
        </w:rPr>
        <w:t>և</w:t>
      </w:r>
      <w:r w:rsidRPr="00834D52">
        <w:rPr>
          <w:rFonts w:ascii="Sylfaen" w:hAnsi="Sylfaen"/>
          <w:sz w:val="24"/>
          <w:szCs w:val="24"/>
        </w:rPr>
        <w:t xml:space="preserve"> փաթեթվածքների մանրակերտերը ներկայացվում են ճանաչման պետության պետական լեզվով։</w:t>
      </w:r>
    </w:p>
    <w:p w14:paraId="1B2F3B72"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89.</w:t>
      </w:r>
      <w:r w:rsidRPr="00834D52">
        <w:rPr>
          <w:rFonts w:ascii="Sylfaen" w:hAnsi="Sylfaen"/>
          <w:sz w:val="24"/>
          <w:szCs w:val="24"/>
        </w:rPr>
        <w:tab/>
        <w:t xml:space="preserve">Գրանցման ապակենտրոնացված ընթացակարգի դեպքում </w:t>
      </w:r>
      <w:r w:rsidR="009F49FE">
        <w:rPr>
          <w:rFonts w:ascii="Sylfaen" w:hAnsi="Sylfaen"/>
          <w:sz w:val="24"/>
          <w:szCs w:val="24"/>
        </w:rPr>
        <w:t xml:space="preserve">ռեֆերենտ </w:t>
      </w:r>
      <w:r w:rsidRPr="00834D52">
        <w:rPr>
          <w:rFonts w:ascii="Sylfaen" w:hAnsi="Sylfaen"/>
          <w:sz w:val="24"/>
          <w:szCs w:val="24"/>
        </w:rPr>
        <w:t>պետությունում դեղապատրաստուկի փորձաքննությունը ներառում է՝</w:t>
      </w:r>
    </w:p>
    <w:p w14:paraId="7E0844C6"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գրանցման դոսյեի ներկայացված փաստաթղթերի ամբողջության, լրակազմության </w:t>
      </w:r>
      <w:r w:rsidR="00C54D75">
        <w:rPr>
          <w:rFonts w:ascii="Sylfaen" w:hAnsi="Sylfaen"/>
          <w:sz w:val="24"/>
          <w:szCs w:val="24"/>
        </w:rPr>
        <w:t>և</w:t>
      </w:r>
      <w:r w:rsidRPr="00834D52">
        <w:rPr>
          <w:rFonts w:ascii="Sylfaen" w:hAnsi="Sylfaen"/>
          <w:sz w:val="24"/>
          <w:szCs w:val="24"/>
        </w:rPr>
        <w:t xml:space="preserve"> ճիշտ ձ</w:t>
      </w:r>
      <w:r w:rsidR="00C54D75">
        <w:rPr>
          <w:rFonts w:ascii="Sylfaen" w:hAnsi="Sylfaen"/>
          <w:sz w:val="24"/>
          <w:szCs w:val="24"/>
        </w:rPr>
        <w:t>և</w:t>
      </w:r>
      <w:r w:rsidRPr="00834D52">
        <w:rPr>
          <w:rFonts w:ascii="Sylfaen" w:hAnsi="Sylfaen"/>
          <w:sz w:val="24"/>
          <w:szCs w:val="24"/>
        </w:rPr>
        <w:t>ակերպման գնահատում,</w:t>
      </w:r>
    </w:p>
    <w:p w14:paraId="1E436142" w14:textId="77777777" w:rsidR="006F76EB" w:rsidRPr="00834D52" w:rsidRDefault="006F76EB" w:rsidP="008D2718">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դեղապատրաստուկի գրանցման դոսյեում հայտատուի կողմից ներկայացված փաստաթղթերի </w:t>
      </w:r>
      <w:r w:rsidR="00C54D75">
        <w:rPr>
          <w:rFonts w:ascii="Sylfaen" w:hAnsi="Sylfaen"/>
          <w:sz w:val="24"/>
          <w:szCs w:val="24"/>
        </w:rPr>
        <w:t>և</w:t>
      </w:r>
      <w:r w:rsidRPr="00834D52">
        <w:rPr>
          <w:rFonts w:ascii="Sylfaen" w:hAnsi="Sylfaen"/>
          <w:sz w:val="24"/>
          <w:szCs w:val="24"/>
        </w:rPr>
        <w:t xml:space="preserve"> տվյալների գնահատում՝ դրանց անվտանգության, արդյունավետության </w:t>
      </w:r>
      <w:r w:rsidR="00C54D75">
        <w:rPr>
          <w:rFonts w:ascii="Sylfaen" w:hAnsi="Sylfaen"/>
          <w:sz w:val="24"/>
          <w:szCs w:val="24"/>
        </w:rPr>
        <w:t>և</w:t>
      </w:r>
      <w:r w:rsidRPr="00834D52">
        <w:rPr>
          <w:rFonts w:ascii="Sylfaen" w:hAnsi="Sylfaen"/>
          <w:sz w:val="24"/>
          <w:szCs w:val="24"/>
        </w:rPr>
        <w:t xml:space="preserve"> որակի մասով,</w:t>
      </w:r>
    </w:p>
    <w:p w14:paraId="19F6E83C" w14:textId="77777777" w:rsidR="006F76EB" w:rsidRPr="00834D52" w:rsidRDefault="006F76EB" w:rsidP="008D2718">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հավատարմագրված փորձարկման լաբորատորիաներում իրականացվող՝ որակի հսկողության հայտագրված մեթոդիկաների որակի </w:t>
      </w:r>
      <w:r w:rsidR="00C54D75">
        <w:rPr>
          <w:rFonts w:ascii="Sylfaen" w:hAnsi="Sylfaen"/>
          <w:sz w:val="24"/>
          <w:szCs w:val="24"/>
        </w:rPr>
        <w:t>և</w:t>
      </w:r>
      <w:r w:rsidRPr="00834D52">
        <w:rPr>
          <w:rFonts w:ascii="Sylfaen" w:hAnsi="Sylfaen"/>
          <w:sz w:val="24"/>
          <w:szCs w:val="24"/>
        </w:rPr>
        <w:t xml:space="preserve"> վերարտադրելիության նորմատիվ փաստաթղթերի պահանջներին համապատասխանության մասով լաբորատոր փորձարկումների անցկացում,</w:t>
      </w:r>
    </w:p>
    <w:p w14:paraId="303815AC" w14:textId="77777777" w:rsidR="006F76EB" w:rsidRPr="00834D52" w:rsidRDefault="006F76EB" w:rsidP="008D2718">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անհրաժեշտության դեպքում սույն Կանոններով սահմանված դեպքերում արտապլանային կամ պլանային դեղագործական, տեսչական ստուգման նախաձեռնում,</w:t>
      </w:r>
    </w:p>
    <w:p w14:paraId="72A43316"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կողմից դեղապատրաստուկի գնահատման վերաբերյալ փորձագիտական հաշվետվության կազմում։</w:t>
      </w:r>
    </w:p>
    <w:p w14:paraId="2048B766"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90.</w:t>
      </w:r>
      <w:r w:rsidRPr="00834D52">
        <w:rPr>
          <w:rFonts w:ascii="Sylfaen" w:hAnsi="Sylfaen"/>
          <w:sz w:val="24"/>
          <w:szCs w:val="24"/>
        </w:rPr>
        <w:tab/>
        <w:t>Գրանցման ապակենտրոնացված ընթացակարգի դեպքում ճանաչման պետություններում դեղապատրաստուկի փորձաքննությունն իրականացվում է՝</w:t>
      </w:r>
    </w:p>
    <w:p w14:paraId="20B086D1"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հայտի, գրանցման դոսյեի փաստաթղթերի </w:t>
      </w:r>
      <w:r w:rsidR="00C54D75">
        <w:rPr>
          <w:rFonts w:ascii="Sylfaen" w:hAnsi="Sylfaen"/>
          <w:sz w:val="24"/>
          <w:szCs w:val="24"/>
        </w:rPr>
        <w:t>և</w:t>
      </w:r>
      <w:r w:rsidRPr="00834D52">
        <w:rPr>
          <w:rFonts w:ascii="Sylfaen" w:hAnsi="Sylfaen"/>
          <w:sz w:val="24"/>
          <w:szCs w:val="24"/>
        </w:rPr>
        <w:t xml:space="preserve"> տվյալների քննության միջոցով,</w:t>
      </w:r>
    </w:p>
    <w:p w14:paraId="2F30D3B2" w14:textId="77777777" w:rsidR="006F76EB" w:rsidRPr="00834D52" w:rsidRDefault="006F76EB" w:rsidP="008D271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կողմից պատրաստված՝ գնահատման վերաբերյալ փորձագիտական հաշվետվության քննության միջոցով։</w:t>
      </w:r>
    </w:p>
    <w:p w14:paraId="7F36305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91.</w:t>
      </w:r>
      <w:r w:rsidRPr="00834D52">
        <w:rPr>
          <w:rFonts w:ascii="Sylfaen" w:hAnsi="Sylfaen"/>
          <w:sz w:val="24"/>
          <w:szCs w:val="24"/>
        </w:rPr>
        <w:tab/>
        <w:t xml:space="preserve">Գրանցման հայտ ներկայացնելու օրվանից 14 աշխատանքային օրվա ընթացքում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մարմինն (փորձագիտական կազմակերպությունը) իրականացնում է գրանցման դոսյեի ներկայացված փաստաթղթերի ամբողջականության, լրակազմության </w:t>
      </w:r>
      <w:r w:rsidR="00C54D75">
        <w:rPr>
          <w:rFonts w:ascii="Sylfaen" w:hAnsi="Sylfaen"/>
          <w:sz w:val="24"/>
          <w:szCs w:val="24"/>
        </w:rPr>
        <w:t>և</w:t>
      </w:r>
      <w:r w:rsidRPr="00834D52">
        <w:rPr>
          <w:rFonts w:ascii="Sylfaen" w:hAnsi="Sylfaen"/>
          <w:sz w:val="24"/>
          <w:szCs w:val="24"/>
        </w:rPr>
        <w:t xml:space="preserve"> ճիշտ ձ</w:t>
      </w:r>
      <w:r w:rsidR="00C54D75">
        <w:rPr>
          <w:rFonts w:ascii="Sylfaen" w:hAnsi="Sylfaen"/>
          <w:sz w:val="24"/>
          <w:szCs w:val="24"/>
        </w:rPr>
        <w:t>և</w:t>
      </w:r>
      <w:r w:rsidRPr="00834D52">
        <w:rPr>
          <w:rFonts w:ascii="Sylfaen" w:hAnsi="Sylfaen"/>
          <w:sz w:val="24"/>
          <w:szCs w:val="24"/>
        </w:rPr>
        <w:t xml:space="preserve">ակերպման գնահատում՝ նախքան գրանցման դոսյեի նյութերը փորձաքննության ուղարկելը։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դիտողությունների հիման վրա՝ գրանցման դոսյեում պակասող նյութերը ներկայացնելու համար հայտատուին տրամադրվում է 90</w:t>
      </w:r>
      <w:r w:rsidR="006955BF" w:rsidRPr="00EC2CD0">
        <w:rPr>
          <w:rFonts w:ascii="Sylfaen" w:hAnsi="Sylfaen"/>
          <w:sz w:val="24"/>
          <w:szCs w:val="24"/>
        </w:rPr>
        <w:t> </w:t>
      </w:r>
      <w:r w:rsidRPr="00834D52">
        <w:rPr>
          <w:rFonts w:ascii="Sylfaen" w:hAnsi="Sylfaen"/>
          <w:sz w:val="24"/>
          <w:szCs w:val="24"/>
        </w:rPr>
        <w:t xml:space="preserve">օրացուցային օրվանից ոչ ավելի, որը չի մտնում 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ժամկետի մեջ։</w:t>
      </w:r>
    </w:p>
    <w:p w14:paraId="5CE9BA9F" w14:textId="77777777" w:rsidR="006F76EB" w:rsidRPr="00834D52" w:rsidRDefault="009F49FE" w:rsidP="00296C4C">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 xml:space="preserve">պետության լիազորված մարմինը (փորձագիտական կազմակերպությունը) գրանցման դոսյեի ներկայացված նյութերի լրակազմության </w:t>
      </w:r>
      <w:r w:rsidR="00C54D75">
        <w:rPr>
          <w:rFonts w:ascii="Sylfaen" w:hAnsi="Sylfaen"/>
          <w:sz w:val="24"/>
          <w:szCs w:val="24"/>
        </w:rPr>
        <w:t>և</w:t>
      </w:r>
      <w:r w:rsidR="006F76EB" w:rsidRPr="00834D52">
        <w:rPr>
          <w:rFonts w:ascii="Sylfaen" w:hAnsi="Sylfaen"/>
          <w:sz w:val="24"/>
          <w:szCs w:val="24"/>
        </w:rPr>
        <w:t xml:space="preserve"> ամբողջականության գնահատումից հետո դեղապատրաստուկի գրանցման հայտը </w:t>
      </w:r>
      <w:r>
        <w:rPr>
          <w:rFonts w:ascii="Sylfaen" w:hAnsi="Sylfaen"/>
          <w:sz w:val="24"/>
          <w:szCs w:val="24"/>
        </w:rPr>
        <w:t xml:space="preserve">ռեֆերենտ </w:t>
      </w:r>
      <w:r w:rsidR="006F76EB" w:rsidRPr="00834D52">
        <w:rPr>
          <w:rFonts w:ascii="Sylfaen" w:hAnsi="Sylfaen"/>
          <w:sz w:val="24"/>
          <w:szCs w:val="24"/>
        </w:rPr>
        <w:t>պետություն ներկայացնելու օրվանից ոչ ուշ, քան 14</w:t>
      </w:r>
      <w:r w:rsidR="00296C4C" w:rsidRPr="004E129B">
        <w:rPr>
          <w:rFonts w:ascii="Sylfaen" w:hAnsi="Sylfaen"/>
          <w:sz w:val="24"/>
          <w:szCs w:val="24"/>
        </w:rPr>
        <w:t> </w:t>
      </w:r>
      <w:r w:rsidR="006F76EB" w:rsidRPr="00834D52">
        <w:rPr>
          <w:rFonts w:ascii="Sylfaen" w:hAnsi="Sylfaen"/>
          <w:sz w:val="24"/>
          <w:szCs w:val="24"/>
        </w:rPr>
        <w:t>օրացուցային օրվա ընթացքում դեղապատրաստուկի գրանցման դոսյեն ներկայացնում է ինտեգրված համակարգի միջոցով դեղապատրաստուկի գրանցման ապակենտրոնացված ընթացակարգին մասնակցող անդամ պետությունների լիազորված մարմիններ (փորձագիտական կազմակերպություններ)։</w:t>
      </w:r>
    </w:p>
    <w:p w14:paraId="0DA93C02" w14:textId="77777777" w:rsidR="006F76EB" w:rsidRPr="00834D52" w:rsidRDefault="006F76EB" w:rsidP="00296C4C">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92.</w:t>
      </w:r>
      <w:r w:rsidRPr="00834D52">
        <w:rPr>
          <w:rFonts w:ascii="Sylfaen" w:hAnsi="Sylfaen"/>
          <w:sz w:val="24"/>
          <w:szCs w:val="24"/>
        </w:rPr>
        <w:tab/>
        <w:t xml:space="preserve">Սահմանված ժամկետում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մարմնի (փորձագիտական կազմակերպության) դիտողությունների հիման վրա գրանցման դոսյեի փաստաթղթերն ու նյութերը չներկայացնելու </w:t>
      </w:r>
      <w:r w:rsidR="00C54D75">
        <w:rPr>
          <w:rFonts w:ascii="Sylfaen" w:hAnsi="Sylfaen"/>
          <w:sz w:val="24"/>
          <w:szCs w:val="24"/>
        </w:rPr>
        <w:t>և</w:t>
      </w:r>
      <w:r w:rsidRPr="00834D52">
        <w:rPr>
          <w:rFonts w:ascii="Sylfaen" w:hAnsi="Sylfaen"/>
          <w:sz w:val="24"/>
          <w:szCs w:val="24"/>
        </w:rPr>
        <w:t xml:space="preserve"> (կամ) դեղապատրաստուկի 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չհաստատելու դեպքում ճանաչման պետությունների լիազորված մարմինները (փորձագիտական կազմակերպությունները) </w:t>
      </w:r>
      <w:r w:rsidR="009F49FE">
        <w:rPr>
          <w:rFonts w:ascii="Sylfaen" w:hAnsi="Sylfaen"/>
          <w:sz w:val="24"/>
          <w:szCs w:val="24"/>
        </w:rPr>
        <w:t xml:space="preserve">ռեֆերենտ </w:t>
      </w:r>
      <w:r w:rsidRPr="00834D52">
        <w:rPr>
          <w:rFonts w:ascii="Sylfaen" w:hAnsi="Sylfaen"/>
          <w:sz w:val="24"/>
          <w:szCs w:val="24"/>
        </w:rPr>
        <w:t xml:space="preserve">պետության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 մերժում են դեղապատրաստուկի գրանցման հայտը </w:t>
      </w:r>
      <w:r w:rsidR="00C54D75">
        <w:rPr>
          <w:rFonts w:ascii="Sylfaen" w:hAnsi="Sylfaen"/>
          <w:sz w:val="24"/>
          <w:szCs w:val="24"/>
        </w:rPr>
        <w:t>և</w:t>
      </w:r>
      <w:r w:rsidRPr="00834D52">
        <w:rPr>
          <w:rFonts w:ascii="Sylfaen" w:hAnsi="Sylfaen"/>
          <w:sz w:val="24"/>
          <w:szCs w:val="24"/>
        </w:rPr>
        <w:t xml:space="preserve"> որոշումը կայացնելու պահից ոչ ուշ, քան 5 աշխատանքային օրվա ընթացքում ինտեգրված համակարգի միջոցով տեղեկացնում այդ մասին հայտատուին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մարմիններին (փորձագիտական կազմակերպություններին)։</w:t>
      </w:r>
    </w:p>
    <w:p w14:paraId="306FCED3"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93.</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դեղապատրաստուկի գրանցումն ու փորձաքննությունն անցկացնելիս իրավասու է գրավոր </w:t>
      </w:r>
      <w:r w:rsidR="00C54D75">
        <w:rPr>
          <w:rFonts w:ascii="Sylfaen" w:hAnsi="Sylfaen"/>
          <w:sz w:val="24"/>
          <w:szCs w:val="24"/>
        </w:rPr>
        <w:t>և</w:t>
      </w:r>
      <w:r w:rsidRPr="00834D52">
        <w:rPr>
          <w:rFonts w:ascii="Sylfaen" w:hAnsi="Sylfaen"/>
          <w:sz w:val="24"/>
          <w:szCs w:val="24"/>
        </w:rPr>
        <w:t xml:space="preserve"> (կամ) էլեկտրոնային եղանակով հարցում ուղարկելու հայտատուին՝ պակասող լրացուցիչ տեղեկատվություն, գրանցման դոսյեի ներկայացված փաստաթղթերի </w:t>
      </w:r>
      <w:r w:rsidR="00C54D75">
        <w:rPr>
          <w:rFonts w:ascii="Sylfaen" w:hAnsi="Sylfaen"/>
          <w:sz w:val="24"/>
          <w:szCs w:val="24"/>
        </w:rPr>
        <w:t>և</w:t>
      </w:r>
      <w:r w:rsidRPr="00834D52">
        <w:rPr>
          <w:rFonts w:ascii="Sylfaen" w:hAnsi="Sylfaen"/>
          <w:sz w:val="24"/>
          <w:szCs w:val="24"/>
        </w:rPr>
        <w:t xml:space="preserve"> տվյալների վերաբերյալ անհրաժեշտ պարզաբանումներ կամ ճշտումներ (այդ թվում՝ ԴՊԸԲ</w:t>
      </w:r>
      <w:r w:rsidRPr="008341C7">
        <w:rPr>
          <w:rFonts w:ascii="Sylfaen" w:hAnsi="Sylfaen"/>
          <w:sz w:val="24"/>
          <w:szCs w:val="24"/>
        </w:rPr>
        <w:t>-</w:t>
      </w:r>
      <w:r w:rsidRPr="00834D52">
        <w:rPr>
          <w:rFonts w:ascii="Sylfaen" w:hAnsi="Sylfaen"/>
          <w:sz w:val="24"/>
          <w:szCs w:val="24"/>
        </w:rPr>
        <w:t>ում, դեղապատրաստուկի բժշկական կիրառման հրահանգում, փաթեթվածքի մանրակերտերում, որակի նորմատիվ փաստաթղթում կամ գրանցման դոսյեի այլ փաստաթղթերում փոփոխություններ կատարելու առաջարկություններ) ներկայացնելու մասին՝ սույն Կանոնների թիվ 6</w:t>
      </w:r>
      <w:r w:rsidRPr="008341C7">
        <w:rPr>
          <w:rFonts w:ascii="Sylfaen" w:hAnsi="Sylfaen"/>
          <w:sz w:val="24"/>
          <w:szCs w:val="24"/>
        </w:rPr>
        <w:t>-</w:t>
      </w:r>
      <w:r w:rsidRPr="00834D52">
        <w:rPr>
          <w:rFonts w:ascii="Sylfaen" w:hAnsi="Sylfaen"/>
          <w:sz w:val="24"/>
          <w:szCs w:val="24"/>
        </w:rPr>
        <w:t>8 հավելվածների համաձայն սահմանված ձ</w:t>
      </w:r>
      <w:r w:rsidR="00C54D75">
        <w:rPr>
          <w:rFonts w:ascii="Sylfaen" w:hAnsi="Sylfaen"/>
          <w:sz w:val="24"/>
          <w:szCs w:val="24"/>
        </w:rPr>
        <w:t>և</w:t>
      </w:r>
      <w:r w:rsidRPr="00834D52">
        <w:rPr>
          <w:rFonts w:ascii="Sylfaen" w:hAnsi="Sylfaen"/>
          <w:sz w:val="24"/>
          <w:szCs w:val="24"/>
        </w:rPr>
        <w:t>ով։</w:t>
      </w:r>
    </w:p>
    <w:p w14:paraId="4C5E540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94.</w:t>
      </w:r>
      <w:r w:rsidRPr="00834D52">
        <w:rPr>
          <w:rFonts w:ascii="Sylfaen" w:hAnsi="Sylfaen"/>
          <w:sz w:val="24"/>
          <w:szCs w:val="24"/>
        </w:rPr>
        <w:tab/>
        <w:t xml:space="preserve">Փորձաքննությունն սկսելու օրվանից 90 օրացուցային օրվա ընթացքում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ճանաչման պետությունների լիազորված մարմիններ (փորձագիտական կազմակերպություններ) է ուղարկում հաշվետվությունների պատճենները՝ հայտատուին ուղղված դիտողությունների </w:t>
      </w:r>
      <w:r w:rsidR="00C54D75">
        <w:rPr>
          <w:rFonts w:ascii="Sylfaen" w:hAnsi="Sylfaen"/>
          <w:sz w:val="24"/>
          <w:szCs w:val="24"/>
        </w:rPr>
        <w:t>և</w:t>
      </w:r>
      <w:r w:rsidRPr="00834D52">
        <w:rPr>
          <w:rFonts w:ascii="Sylfaen" w:hAnsi="Sylfaen"/>
          <w:sz w:val="24"/>
          <w:szCs w:val="24"/>
        </w:rPr>
        <w:t xml:space="preserve"> հարցումների ձ</w:t>
      </w:r>
      <w:r w:rsidR="00C54D75">
        <w:rPr>
          <w:rFonts w:ascii="Sylfaen" w:hAnsi="Sylfaen"/>
          <w:sz w:val="24"/>
          <w:szCs w:val="24"/>
        </w:rPr>
        <w:t>և</w:t>
      </w:r>
      <w:r w:rsidRPr="00834D52">
        <w:rPr>
          <w:rFonts w:ascii="Sylfaen" w:hAnsi="Sylfaen"/>
          <w:sz w:val="24"/>
          <w:szCs w:val="24"/>
        </w:rPr>
        <w:t>ակերպմամբ, սույն Կանոնների թիվ 6</w:t>
      </w:r>
      <w:r w:rsidRPr="008341C7">
        <w:rPr>
          <w:rFonts w:ascii="Sylfaen" w:hAnsi="Sylfaen"/>
          <w:sz w:val="24"/>
          <w:szCs w:val="24"/>
        </w:rPr>
        <w:t>-</w:t>
      </w:r>
      <w:r w:rsidRPr="00834D52">
        <w:rPr>
          <w:rFonts w:ascii="Sylfaen" w:hAnsi="Sylfaen"/>
          <w:sz w:val="24"/>
          <w:szCs w:val="24"/>
        </w:rPr>
        <w:t>8 հավելվածների համաձայն սահմանված ձ</w:t>
      </w:r>
      <w:r w:rsidR="00C54D75">
        <w:rPr>
          <w:rFonts w:ascii="Sylfaen" w:hAnsi="Sylfaen"/>
          <w:sz w:val="24"/>
          <w:szCs w:val="24"/>
        </w:rPr>
        <w:t>և</w:t>
      </w:r>
      <w:r w:rsidRPr="00834D52">
        <w:rPr>
          <w:rFonts w:ascii="Sylfaen" w:hAnsi="Sylfaen"/>
          <w:sz w:val="24"/>
          <w:szCs w:val="24"/>
        </w:rPr>
        <w:t xml:space="preserve">ով, </w:t>
      </w:r>
      <w:r w:rsidR="00C54D75">
        <w:rPr>
          <w:rFonts w:ascii="Sylfaen" w:hAnsi="Sylfaen"/>
          <w:sz w:val="24"/>
          <w:szCs w:val="24"/>
        </w:rPr>
        <w:t>և</w:t>
      </w:r>
      <w:r w:rsidRPr="00834D52">
        <w:rPr>
          <w:rFonts w:ascii="Sylfaen" w:hAnsi="Sylfaen"/>
          <w:sz w:val="24"/>
          <w:szCs w:val="24"/>
        </w:rPr>
        <w:t xml:space="preserve"> գնահատման վերաբերյալ նախնական հաշվետվությունը՝ սույն Կանոնների թիվ 11 հավելվածի համաձայն սահմանված ձ</w:t>
      </w:r>
      <w:r w:rsidR="00C54D75">
        <w:rPr>
          <w:rFonts w:ascii="Sylfaen" w:hAnsi="Sylfaen"/>
          <w:sz w:val="24"/>
          <w:szCs w:val="24"/>
        </w:rPr>
        <w:t>և</w:t>
      </w:r>
      <w:r w:rsidRPr="00834D52">
        <w:rPr>
          <w:rFonts w:ascii="Sylfaen" w:hAnsi="Sylfaen"/>
          <w:sz w:val="24"/>
          <w:szCs w:val="24"/>
        </w:rPr>
        <w:t>ով։</w:t>
      </w:r>
    </w:p>
    <w:p w14:paraId="59CABFE0"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Հայտատուին ուղարկված հարցումների առկայության դեպքում ճանաչման պետության լիազորված մարմինը (փորձագիտական կազմակերպությունը) </w:t>
      </w:r>
      <w:r w:rsidR="009F49FE">
        <w:rPr>
          <w:rFonts w:ascii="Sylfaen" w:hAnsi="Sylfaen"/>
          <w:sz w:val="24"/>
          <w:szCs w:val="24"/>
        </w:rPr>
        <w:t xml:space="preserve">ռեֆերենտ </w:t>
      </w:r>
      <w:r w:rsidRPr="00834D52">
        <w:rPr>
          <w:rFonts w:ascii="Sylfaen" w:hAnsi="Sylfaen"/>
          <w:sz w:val="24"/>
          <w:szCs w:val="24"/>
        </w:rPr>
        <w:t xml:space="preserve">պետության գնահատման վերաբերյալ նախնական հաշվետվությունը ստանալու օրվանից ոչ ուշ, քան 30 օրացուցային օրվա ընթացքում հարցումներն ուղարկում է </w:t>
      </w:r>
      <w:r w:rsidR="009F49FE">
        <w:rPr>
          <w:rFonts w:ascii="Sylfaen" w:hAnsi="Sylfaen"/>
          <w:sz w:val="24"/>
          <w:szCs w:val="24"/>
        </w:rPr>
        <w:t xml:space="preserve">ռեֆերենտ </w:t>
      </w:r>
      <w:r w:rsidRPr="00834D52">
        <w:rPr>
          <w:rFonts w:ascii="Sylfaen" w:hAnsi="Sylfaen"/>
          <w:sz w:val="24"/>
          <w:szCs w:val="24"/>
        </w:rPr>
        <w:t>պետության լիազորված մարմնին (փորձագիտական կազմակերպություն), որը ճանաչման պետության կողմից վերջին հարցումը ստանալու օրվանից 5 աշխատանքային օրվա ընթացքում ձ</w:t>
      </w:r>
      <w:r w:rsidR="00C54D75">
        <w:rPr>
          <w:rFonts w:ascii="Sylfaen" w:hAnsi="Sylfaen"/>
          <w:sz w:val="24"/>
          <w:szCs w:val="24"/>
        </w:rPr>
        <w:t>և</w:t>
      </w:r>
      <w:r w:rsidRPr="00834D52">
        <w:rPr>
          <w:rFonts w:ascii="Sylfaen" w:hAnsi="Sylfaen"/>
          <w:sz w:val="24"/>
          <w:szCs w:val="24"/>
        </w:rPr>
        <w:t xml:space="preserve">ավորում է միասնական հարցում </w:t>
      </w:r>
      <w:r w:rsidR="00C54D75">
        <w:rPr>
          <w:rFonts w:ascii="Sylfaen" w:hAnsi="Sylfaen"/>
          <w:sz w:val="24"/>
          <w:szCs w:val="24"/>
        </w:rPr>
        <w:t>և</w:t>
      </w:r>
      <w:r w:rsidRPr="00834D52">
        <w:rPr>
          <w:rFonts w:ascii="Sylfaen" w:hAnsi="Sylfaen"/>
          <w:sz w:val="24"/>
          <w:szCs w:val="24"/>
        </w:rPr>
        <w:t xml:space="preserve"> այն ուղարկում հայտատուին՝ սույն Կանոնների </w:t>
      </w:r>
      <w:r w:rsidR="00615631" w:rsidRPr="00F06D43">
        <w:rPr>
          <w:rFonts w:ascii="Sylfaen" w:hAnsi="Sylfaen"/>
          <w:sz w:val="24"/>
          <w:szCs w:val="24"/>
        </w:rPr>
        <w:br/>
      </w:r>
      <w:r w:rsidRPr="00834D52">
        <w:rPr>
          <w:rFonts w:ascii="Sylfaen" w:hAnsi="Sylfaen"/>
          <w:sz w:val="24"/>
          <w:szCs w:val="24"/>
        </w:rPr>
        <w:t>93</w:t>
      </w:r>
      <w:r w:rsidRPr="008341C7">
        <w:rPr>
          <w:rFonts w:ascii="Sylfaen" w:hAnsi="Sylfaen"/>
          <w:sz w:val="24"/>
          <w:szCs w:val="24"/>
        </w:rPr>
        <w:t>-</w:t>
      </w:r>
      <w:r w:rsidRPr="00834D52">
        <w:rPr>
          <w:rFonts w:ascii="Sylfaen" w:hAnsi="Sylfaen"/>
          <w:sz w:val="24"/>
          <w:szCs w:val="24"/>
        </w:rPr>
        <w:t>րդ կետին համապատասխան։</w:t>
      </w:r>
    </w:p>
    <w:p w14:paraId="522FCFB6"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Հայտատուին դիտողություններ ուղարկելու օրվանից հետագա փորձաքննությունը կասեցվում է։ Առաջին հարցումից հետո հետագա </w:t>
      </w:r>
      <w:r w:rsidRPr="00834D52">
        <w:rPr>
          <w:rFonts w:ascii="Sylfaen" w:hAnsi="Sylfaen"/>
          <w:sz w:val="24"/>
          <w:szCs w:val="24"/>
        </w:rPr>
        <w:lastRenderedPageBreak/>
        <w:t>հարցումները թույլատրվում են միայն այն դեպքում, երբ նախորդ հարցման պատասխանի մեջ, հայտատուի ներկայացրած տվյալների հետ կապված, ծագել են լրացուցիչ հարցեր։</w:t>
      </w:r>
    </w:p>
    <w:p w14:paraId="0F406312" w14:textId="77777777" w:rsidR="006F76EB" w:rsidRPr="00834D52" w:rsidRDefault="006F76EB" w:rsidP="004E129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95.</w:t>
      </w:r>
      <w:r w:rsidRPr="00834D52">
        <w:rPr>
          <w:rFonts w:ascii="Sylfaen" w:hAnsi="Sylfaen"/>
          <w:sz w:val="24"/>
          <w:szCs w:val="24"/>
        </w:rPr>
        <w:tab/>
        <w:t xml:space="preserve">Նշված հարցմանը հայտատուի կողմից պատասխան ներկայացնելու ժամկետը չպետք է գերազանցի 90 օրացուցային օրը: Հարցումներ ուղարկելու </w:t>
      </w:r>
      <w:r w:rsidR="00C54D75">
        <w:rPr>
          <w:rFonts w:ascii="Sylfaen" w:hAnsi="Sylfaen"/>
          <w:sz w:val="24"/>
          <w:szCs w:val="24"/>
        </w:rPr>
        <w:t>և</w:t>
      </w:r>
      <w:r w:rsidRPr="00834D52">
        <w:rPr>
          <w:rFonts w:ascii="Sylfaen" w:hAnsi="Sylfaen"/>
          <w:sz w:val="24"/>
          <w:szCs w:val="24"/>
        </w:rPr>
        <w:t xml:space="preserve"> պատասխաններ ներկայացնելու ընթացակարգերը սահմանվում են անդամ պետությունների օրենսդրության պահանջներով։</w:t>
      </w:r>
    </w:p>
    <w:p w14:paraId="342556DF" w14:textId="77777777" w:rsidR="006F76EB" w:rsidRPr="00834D52" w:rsidRDefault="006F76EB" w:rsidP="004E129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Անհրաժեշտության դեպքում, հայտատուի համապատասխան հայտի հիման վրա, հարցմանը պատասխանելու ժամկետը կարող է երկարացվել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կողմից։ Հարցումներին պատասխանելու առավելագույն ընդհանուր ժամկետը չպետք է գերազանցի 180 օրացուցային օրը:</w:t>
      </w:r>
    </w:p>
    <w:p w14:paraId="17827EBC" w14:textId="77777777" w:rsidR="006F76EB" w:rsidRPr="00834D52" w:rsidRDefault="006F76EB" w:rsidP="004E129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96.</w:t>
      </w:r>
      <w:r w:rsidRPr="00834D52">
        <w:rPr>
          <w:rFonts w:ascii="Sylfaen" w:hAnsi="Sylfaen"/>
          <w:sz w:val="24"/>
          <w:szCs w:val="24"/>
        </w:rPr>
        <w:tab/>
        <w:t>Գրանցման ընթացակարգն անցկացնելու ընթացքում լիազորված մարմնի (փորձագիտական կազմակերպության) հարցումներին հայտատուի կողմից պատասխաններ ներկայացնելու ընդհանուր ժամկետը չպետք է գերազանցի 180 օրացուցային օրը։</w:t>
      </w:r>
    </w:p>
    <w:p w14:paraId="04449DFC" w14:textId="77777777" w:rsidR="006F76EB" w:rsidRPr="00834D52" w:rsidRDefault="006F76EB" w:rsidP="004E129B">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փորձաքննության ընթացքում լիազորված մարմնի (փորձագիտական կազմակերպության) հարցման հիման վրա հայտաատուի կողմից փաստաթղթեր ներկայացնելու ժամկետը չի մտնում դեղապատրաստուկի փորձաքննություն </w:t>
      </w:r>
      <w:r w:rsidR="00C54D75">
        <w:rPr>
          <w:rFonts w:ascii="Sylfaen" w:hAnsi="Sylfaen"/>
          <w:sz w:val="24"/>
          <w:szCs w:val="24"/>
        </w:rPr>
        <w:t>և</w:t>
      </w:r>
      <w:r w:rsidRPr="00834D52">
        <w:rPr>
          <w:rFonts w:ascii="Sylfaen" w:hAnsi="Sylfaen"/>
          <w:sz w:val="24"/>
          <w:szCs w:val="24"/>
        </w:rPr>
        <w:t xml:space="preserve"> գրանցում կատարելու ժամկետների մեջ։</w:t>
      </w:r>
    </w:p>
    <w:p w14:paraId="576D7C0D" w14:textId="77777777" w:rsidR="006F76EB" w:rsidRPr="00834D52" w:rsidRDefault="006F76EB" w:rsidP="004E129B">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97.</w:t>
      </w:r>
      <w:r w:rsidRPr="00834D52">
        <w:rPr>
          <w:rFonts w:ascii="Sylfaen" w:hAnsi="Sylfaen"/>
          <w:sz w:val="24"/>
          <w:szCs w:val="24"/>
        </w:rPr>
        <w:tab/>
        <w:t xml:space="preserve">Հայտատուի կողմից </w:t>
      </w:r>
      <w:r w:rsidR="009F49FE">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հարցումների պատասխանները ներկայացնելուց հետո փորձաքննությունը վերսկսվում է։</w:t>
      </w:r>
    </w:p>
    <w:p w14:paraId="1E3CDEB5" w14:textId="77777777" w:rsidR="006F76EB" w:rsidRPr="00834D52" w:rsidRDefault="006F76EB" w:rsidP="004E129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98.</w:t>
      </w:r>
      <w:r w:rsidRPr="00834D52">
        <w:rPr>
          <w:rFonts w:ascii="Sylfaen" w:hAnsi="Sylfaen"/>
          <w:sz w:val="24"/>
          <w:szCs w:val="24"/>
        </w:rPr>
        <w:tab/>
        <w:t xml:space="preserve">Լիազորված մարմնի (փորձագիտական կազմակերպության) կողմից պահանջվող փաստաթղթերն ու նյութերը սահմանված ժամկետում հայտատուի կողմից չներկայացվելու դեպքում դեղապատրաստուկի փորձաքննությունն ու գրանցումը դադարեցվում է։ Կայացված որոշման մասին լիազորված մարմինը (փորձագիտական կազմակերպությունը) այդ որոշումը կայացնելու օրվանից </w:t>
      </w:r>
      <w:r w:rsidRPr="00834D52">
        <w:rPr>
          <w:rFonts w:ascii="Sylfaen" w:hAnsi="Sylfaen"/>
          <w:sz w:val="24"/>
          <w:szCs w:val="24"/>
        </w:rPr>
        <w:lastRenderedPageBreak/>
        <w:t>14</w:t>
      </w:r>
      <w:r w:rsidR="00EC2CD0" w:rsidRPr="004D1538">
        <w:rPr>
          <w:rFonts w:ascii="Sylfaen" w:hAnsi="Sylfaen"/>
          <w:sz w:val="24"/>
          <w:szCs w:val="24"/>
        </w:rPr>
        <w:t> </w:t>
      </w:r>
      <w:r w:rsidRPr="00834D52">
        <w:rPr>
          <w:rFonts w:ascii="Sylfaen" w:hAnsi="Sylfaen"/>
          <w:sz w:val="24"/>
          <w:szCs w:val="24"/>
        </w:rPr>
        <w:t xml:space="preserve">աշխատանքային օրվա ընթացքում գրավոր </w:t>
      </w:r>
      <w:r w:rsidR="00C54D75">
        <w:rPr>
          <w:rFonts w:ascii="Sylfaen" w:hAnsi="Sylfaen"/>
          <w:sz w:val="24"/>
          <w:szCs w:val="24"/>
        </w:rPr>
        <w:t>և</w:t>
      </w:r>
      <w:r w:rsidRPr="00834D52">
        <w:rPr>
          <w:rFonts w:ascii="Sylfaen" w:hAnsi="Sylfaen"/>
          <w:sz w:val="24"/>
          <w:szCs w:val="24"/>
        </w:rPr>
        <w:t xml:space="preserve"> (կամ) էլեկտրոնային եղանակով տեղեկացնում է հայտատուին </w:t>
      </w:r>
      <w:r w:rsidR="00C54D75">
        <w:rPr>
          <w:rFonts w:ascii="Sylfaen" w:hAnsi="Sylfaen"/>
          <w:sz w:val="24"/>
          <w:szCs w:val="24"/>
        </w:rPr>
        <w:t>և</w:t>
      </w:r>
      <w:r w:rsidRPr="00834D52">
        <w:rPr>
          <w:rFonts w:ascii="Sylfaen" w:hAnsi="Sylfaen"/>
          <w:sz w:val="24"/>
          <w:szCs w:val="24"/>
        </w:rPr>
        <w:t xml:space="preserve"> լիազորված մարմիններին (փորձագիտական</w:t>
      </w:r>
      <w:r w:rsidR="004E129B" w:rsidRPr="00B31383">
        <w:rPr>
          <w:rFonts w:ascii="Sylfaen" w:hAnsi="Sylfaen"/>
          <w:sz w:val="24"/>
          <w:szCs w:val="24"/>
        </w:rPr>
        <w:t> </w:t>
      </w:r>
      <w:r w:rsidRPr="00834D52">
        <w:rPr>
          <w:rFonts w:ascii="Sylfaen" w:hAnsi="Sylfaen"/>
          <w:sz w:val="24"/>
          <w:szCs w:val="24"/>
        </w:rPr>
        <w:t>կազմակերպություններին)։</w:t>
      </w:r>
    </w:p>
    <w:p w14:paraId="20389362" w14:textId="77777777" w:rsidR="006F76EB" w:rsidRPr="00834D52" w:rsidRDefault="006F76EB" w:rsidP="00B3138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99.</w:t>
      </w:r>
      <w:r w:rsidRPr="00834D52">
        <w:rPr>
          <w:rFonts w:ascii="Sylfaen" w:hAnsi="Sylfaen"/>
          <w:sz w:val="24"/>
          <w:szCs w:val="24"/>
        </w:rPr>
        <w:tab/>
        <w:t xml:space="preserve">Միության պատշաճ դեղագործական գործելակերպերին համապատասխանության տեսչական ստուգում նախաձեռնելու դեպքում դեղապատրաստուկի փորձաքննությունը չի կասեցվում։ Ընդ որում, </w:t>
      </w:r>
      <w:r w:rsidR="009F49FE">
        <w:rPr>
          <w:rFonts w:ascii="Sylfaen" w:hAnsi="Sylfaen"/>
          <w:sz w:val="24"/>
          <w:szCs w:val="24"/>
        </w:rPr>
        <w:t xml:space="preserve">ռեֆերենտ </w:t>
      </w:r>
      <w:r w:rsidRPr="00834D52">
        <w:rPr>
          <w:rFonts w:ascii="Sylfaen" w:hAnsi="Sylfaen"/>
          <w:sz w:val="24"/>
          <w:szCs w:val="24"/>
        </w:rPr>
        <w:t xml:space="preserve">պետության կողմից գնահատման վերաբերյալ փորձագիտական հաշվետվության պատրաստումն ավարտվում է միայն </w:t>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կողմից տեսչական ստուգման արդյունքները ստանալուց հետո։ Արտապլանային դեղագործական տեսչական ստուգումը, որի դեպքում անցկացված տեսչական ստուգման մասին հաշվետվություն է ուղարկվում, պետք է անցկացվի դեղապատրաստուկի գրանցման ժամկետում, որը լիազորված մարմնի (փորձագիտական կազմակերպության) կողմից տեսչական ստուգում անցկացնելու նախաձեռնության մասին որոշում կայացնելու օրվանից 180 օրացուցային օրը չի</w:t>
      </w:r>
      <w:r w:rsidR="00B31383" w:rsidRPr="00B31383">
        <w:rPr>
          <w:rFonts w:ascii="Sylfaen" w:hAnsi="Sylfaen"/>
          <w:sz w:val="24"/>
          <w:szCs w:val="24"/>
        </w:rPr>
        <w:t> </w:t>
      </w:r>
      <w:r w:rsidRPr="00834D52">
        <w:rPr>
          <w:rFonts w:ascii="Sylfaen" w:hAnsi="Sylfaen"/>
          <w:sz w:val="24"/>
          <w:szCs w:val="24"/>
        </w:rPr>
        <w:t>գերազանցում։</w:t>
      </w:r>
    </w:p>
    <w:p w14:paraId="357AD0F9" w14:textId="77777777" w:rsidR="006F76EB" w:rsidRPr="00834D52" w:rsidRDefault="006F76EB" w:rsidP="00B3138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Հայտատուն կազմակերպում է արտադրական հարթակ, հետազոտական կենտրոն, գրանցման հավաստագրի իրավատիրոջ դեղազգոնության համակարգ այց՝ տեսչական ստուգում անցկացնելու անհրաժեշտության մասին տեղեկատվություն ստանալուց հետո՝ 30 օրացուցային օրվա ընթացքում, կամ նշում է այցի կոնկրետ ժամկետը, սակայն ոչ ուշ, քան նշված տեղեկատվությունը ստանալուց 90 օրացուցային օր հետո։</w:t>
      </w:r>
    </w:p>
    <w:p w14:paraId="43AFA70A" w14:textId="77777777" w:rsidR="006F76EB" w:rsidRPr="00834D52" w:rsidRDefault="006F76EB" w:rsidP="00B3138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100.</w:t>
      </w:r>
      <w:r w:rsidRPr="00834D52">
        <w:rPr>
          <w:rFonts w:ascii="Sylfaen" w:hAnsi="Sylfaen"/>
          <w:sz w:val="24"/>
          <w:szCs w:val="24"/>
        </w:rPr>
        <w:tab/>
        <w:t xml:space="preserve">Հարցումները հայտատուին ուղարկելիս լիազորված մարմինների (փորձագիտական կազմակերպությունների) </w:t>
      </w:r>
      <w:r w:rsidR="00C54D75">
        <w:rPr>
          <w:rFonts w:ascii="Sylfaen" w:hAnsi="Sylfaen"/>
          <w:sz w:val="24"/>
          <w:szCs w:val="24"/>
        </w:rPr>
        <w:t>և</w:t>
      </w:r>
      <w:r w:rsidRPr="00834D52">
        <w:rPr>
          <w:rFonts w:ascii="Sylfaen" w:hAnsi="Sylfaen"/>
          <w:sz w:val="24"/>
          <w:szCs w:val="24"/>
        </w:rPr>
        <w:t xml:space="preserve"> հայտատուի միջ</w:t>
      </w:r>
      <w:r w:rsidR="00C54D75">
        <w:rPr>
          <w:rFonts w:ascii="Sylfaen" w:hAnsi="Sylfaen"/>
          <w:sz w:val="24"/>
          <w:szCs w:val="24"/>
        </w:rPr>
        <w:t>և</w:t>
      </w:r>
      <w:r w:rsidRPr="00834D52">
        <w:rPr>
          <w:rFonts w:ascii="Sylfaen" w:hAnsi="Sylfaen"/>
          <w:sz w:val="24"/>
          <w:szCs w:val="24"/>
        </w:rPr>
        <w:t xml:space="preserve"> փոխգործակցությունն իրականացվում է էլեկտրոնային եղանակով՝ ինտեգրված համակարգի միջոցների օգտագործմամբ՝ սույն Կանոնների թիվ 18 հավելվածին համապատասխան ձ</w:t>
      </w:r>
      <w:r w:rsidR="00C54D75">
        <w:rPr>
          <w:rFonts w:ascii="Sylfaen" w:hAnsi="Sylfaen"/>
          <w:sz w:val="24"/>
          <w:szCs w:val="24"/>
        </w:rPr>
        <w:t>և</w:t>
      </w:r>
      <w:r w:rsidRPr="00834D52">
        <w:rPr>
          <w:rFonts w:ascii="Sylfaen" w:hAnsi="Sylfaen"/>
          <w:sz w:val="24"/>
          <w:szCs w:val="24"/>
        </w:rPr>
        <w:t>ով։</w:t>
      </w:r>
    </w:p>
    <w:p w14:paraId="44A8088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101.</w:t>
      </w:r>
      <w:r w:rsidRPr="00834D52">
        <w:rPr>
          <w:rFonts w:ascii="Sylfaen" w:hAnsi="Sylfaen"/>
          <w:sz w:val="24"/>
          <w:szCs w:val="24"/>
        </w:rPr>
        <w:tab/>
        <w:t>Որ</w:t>
      </w:r>
      <w:r w:rsidR="00C54D75">
        <w:rPr>
          <w:rFonts w:ascii="Sylfaen" w:hAnsi="Sylfaen"/>
          <w:sz w:val="24"/>
          <w:szCs w:val="24"/>
        </w:rPr>
        <w:t>և</w:t>
      </w:r>
      <w:r w:rsidRPr="00834D52">
        <w:rPr>
          <w:rFonts w:ascii="Sylfaen" w:hAnsi="Sylfaen"/>
          <w:sz w:val="24"/>
          <w:szCs w:val="24"/>
        </w:rPr>
        <w:t xml:space="preserve">է ճանաչման պետությունից դեղապատրաստուկի փորձաքննության առնչությամբ տեղեկատվության (դիտողությունների, գնահատման վերաբերյալ </w:t>
      </w:r>
      <w:r w:rsidRPr="00834D52">
        <w:rPr>
          <w:rFonts w:ascii="Sylfaen" w:hAnsi="Sylfaen"/>
          <w:sz w:val="24"/>
          <w:szCs w:val="24"/>
        </w:rPr>
        <w:lastRenderedPageBreak/>
        <w:t xml:space="preserve">նախնական հաշվետվության քննության արդյունքների ներկայացում) բացակայության դեպքում </w:t>
      </w:r>
      <w:r w:rsidR="009F49FE">
        <w:rPr>
          <w:rFonts w:ascii="Sylfaen" w:hAnsi="Sylfaen"/>
          <w:sz w:val="24"/>
          <w:szCs w:val="24"/>
        </w:rPr>
        <w:t xml:space="preserve">ռեֆերենտ </w:t>
      </w:r>
      <w:r w:rsidRPr="00834D52">
        <w:rPr>
          <w:rFonts w:ascii="Sylfaen" w:hAnsi="Sylfaen"/>
          <w:sz w:val="24"/>
          <w:szCs w:val="24"/>
        </w:rPr>
        <w:t>պետությունը համարում է, որ տվյալ ճանաչման պետությունը համաձայն է գնահատման վերաբերյալ նախնական հաշվետվության մեջ պարունակվող եզրակացության հետ (ներառյալ դիտողությունների, եթե կիրառելի է)։</w:t>
      </w:r>
    </w:p>
    <w:p w14:paraId="7D5BA0A4"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102.</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մարմինների (փորձագիտական կազմակերպությունների) միջ</w:t>
      </w:r>
      <w:r w:rsidR="00C54D75">
        <w:rPr>
          <w:rFonts w:ascii="Sylfaen" w:hAnsi="Sylfaen"/>
          <w:sz w:val="24"/>
          <w:szCs w:val="24"/>
        </w:rPr>
        <w:t>և</w:t>
      </w:r>
      <w:r w:rsidRPr="00834D52">
        <w:rPr>
          <w:rFonts w:ascii="Sylfaen" w:hAnsi="Sylfaen"/>
          <w:sz w:val="24"/>
          <w:szCs w:val="24"/>
        </w:rPr>
        <w:t xml:space="preserve"> գրավոր խորհրդակցություններն անհրաժեշտության դեպքում իրականացվում են էլեկտրոնային եղանակով՝ ինտեգրված տեղեկատվական համակարգի միջոցների օգտագործմամբ։</w:t>
      </w:r>
    </w:p>
    <w:p w14:paraId="3F2EBAF9"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z w:val="24"/>
          <w:szCs w:val="24"/>
        </w:rPr>
        <w:t>103.</w:t>
      </w:r>
      <w:r w:rsidRPr="00834D52">
        <w:rPr>
          <w:rFonts w:ascii="Sylfaen" w:hAnsi="Sylfaen"/>
          <w:sz w:val="24"/>
          <w:szCs w:val="24"/>
        </w:rPr>
        <w:tab/>
        <w:t xml:space="preserve">Գնահատման վերաբերյալ եզրափակիչ փորձագիտական </w:t>
      </w:r>
      <w:r w:rsidRPr="00834D52">
        <w:rPr>
          <w:rFonts w:ascii="Sylfaen" w:hAnsi="Sylfaen"/>
          <w:spacing w:val="4"/>
          <w:sz w:val="24"/>
          <w:szCs w:val="24"/>
        </w:rPr>
        <w:t xml:space="preserve">հաշվետվություն պատրաստելու համար </w:t>
      </w:r>
      <w:r w:rsidR="009F49FE">
        <w:rPr>
          <w:rFonts w:ascii="Sylfaen" w:hAnsi="Sylfaen"/>
          <w:spacing w:val="4"/>
          <w:sz w:val="24"/>
          <w:szCs w:val="24"/>
        </w:rPr>
        <w:t xml:space="preserve">ռեֆերենտ </w:t>
      </w:r>
      <w:r w:rsidRPr="00834D52">
        <w:rPr>
          <w:rFonts w:ascii="Sylfaen" w:hAnsi="Sylfaen"/>
          <w:spacing w:val="4"/>
          <w:sz w:val="24"/>
          <w:szCs w:val="24"/>
        </w:rPr>
        <w:t>պետության փորձագիտական կազմակերպությունը կազմում է որակի ասպեկտների, դեղապատրաստուկում պարունակվող նոր ազդող նյութի գնահատման, ազդող նյութի գրանցման դոսյեի գնահատման, նախակլինիկական, կլինիկական ասպեկտների վերաբերյալ փորձագիտական հաշվետվություններ, լաբորատոր փորձարկումների արձանագրություն (եթե փորձագիտական կազմակերպության կողմից անցկացվել են համապատասխան փորձարկումներ)՝ սույն Կանոնների թիվ 6</w:t>
      </w:r>
      <w:r w:rsidRPr="008341C7">
        <w:rPr>
          <w:rFonts w:ascii="Sylfaen" w:hAnsi="Sylfaen"/>
          <w:spacing w:val="4"/>
          <w:sz w:val="24"/>
          <w:szCs w:val="24"/>
        </w:rPr>
        <w:t>-</w:t>
      </w:r>
      <w:r w:rsidRPr="00834D52">
        <w:rPr>
          <w:rFonts w:ascii="Sylfaen" w:hAnsi="Sylfaen"/>
          <w:spacing w:val="4"/>
          <w:sz w:val="24"/>
          <w:szCs w:val="24"/>
        </w:rPr>
        <w:t xml:space="preserve">10, 12 </w:t>
      </w:r>
      <w:r w:rsidR="00C54D75">
        <w:rPr>
          <w:rFonts w:ascii="Sylfaen" w:hAnsi="Sylfaen"/>
          <w:spacing w:val="4"/>
          <w:sz w:val="24"/>
          <w:szCs w:val="24"/>
        </w:rPr>
        <w:t>և</w:t>
      </w:r>
      <w:r w:rsidRPr="00834D52">
        <w:rPr>
          <w:rFonts w:ascii="Sylfaen" w:hAnsi="Sylfaen"/>
          <w:spacing w:val="4"/>
          <w:sz w:val="24"/>
          <w:szCs w:val="24"/>
        </w:rPr>
        <w:t xml:space="preserve"> 22 հավելվածներին համապատասխան ձ</w:t>
      </w:r>
      <w:r w:rsidR="00C54D75">
        <w:rPr>
          <w:rFonts w:ascii="Sylfaen" w:hAnsi="Sylfaen"/>
          <w:spacing w:val="4"/>
          <w:sz w:val="24"/>
          <w:szCs w:val="24"/>
        </w:rPr>
        <w:t>և</w:t>
      </w:r>
      <w:r w:rsidRPr="00834D52">
        <w:rPr>
          <w:rFonts w:ascii="Sylfaen" w:hAnsi="Sylfaen"/>
          <w:spacing w:val="4"/>
          <w:sz w:val="24"/>
          <w:szCs w:val="24"/>
        </w:rPr>
        <w:t>երով։</w:t>
      </w:r>
    </w:p>
    <w:p w14:paraId="7EC7C4FC" w14:textId="77777777" w:rsidR="006F76EB" w:rsidRPr="00834D52" w:rsidRDefault="006F76EB" w:rsidP="00955C1D">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Որակի ասպեկտների, նախակլինիկական, կլինիկական ասպեկտների վերաբերյալ փորձագիտական հաշվետվությունները, գնահատման վերաբերյալ եզրափակիչ փորձագիտական հաշվետվությունը կազմվում են սույն Կանոնների թիվ 13</w:t>
      </w:r>
      <w:r w:rsidRPr="008341C7">
        <w:rPr>
          <w:rFonts w:ascii="Sylfaen" w:hAnsi="Sylfaen"/>
          <w:sz w:val="24"/>
          <w:szCs w:val="24"/>
        </w:rPr>
        <w:t>-</w:t>
      </w:r>
      <w:r w:rsidRPr="00834D52">
        <w:rPr>
          <w:rFonts w:ascii="Sylfaen" w:hAnsi="Sylfaen"/>
          <w:sz w:val="24"/>
          <w:szCs w:val="24"/>
        </w:rPr>
        <w:t xml:space="preserve">15 </w:t>
      </w:r>
      <w:r w:rsidR="00C54D75">
        <w:rPr>
          <w:rFonts w:ascii="Sylfaen" w:hAnsi="Sylfaen"/>
          <w:sz w:val="24"/>
          <w:szCs w:val="24"/>
        </w:rPr>
        <w:t>և</w:t>
      </w:r>
      <w:r w:rsidRPr="00834D52">
        <w:rPr>
          <w:rFonts w:ascii="Sylfaen" w:hAnsi="Sylfaen"/>
          <w:sz w:val="24"/>
          <w:szCs w:val="24"/>
        </w:rPr>
        <w:t xml:space="preserve"> 23 հավելվածներում ներկայացված նշումներին համապատասխան։</w:t>
      </w:r>
    </w:p>
    <w:p w14:paraId="50DCF247" w14:textId="77777777" w:rsidR="006F76EB" w:rsidRPr="00834D52" w:rsidRDefault="009F49FE" w:rsidP="00955C1D">
      <w:pPr>
        <w:tabs>
          <w:tab w:val="left" w:pos="1134"/>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 xml:space="preserve">պետության՝ գնահատման վերաբերյալ եզրափակիչ փորձագիտական հաշվետվությունը կազմվում է սույն Կանոնների </w:t>
      </w:r>
      <w:r w:rsidR="00A81E1F" w:rsidRPr="00F06D43">
        <w:rPr>
          <w:rFonts w:ascii="Sylfaen" w:hAnsi="Sylfaen"/>
          <w:sz w:val="24"/>
          <w:szCs w:val="24"/>
        </w:rPr>
        <w:br/>
      </w:r>
      <w:r w:rsidR="006F76EB" w:rsidRPr="00834D52">
        <w:rPr>
          <w:rFonts w:ascii="Sylfaen" w:hAnsi="Sylfaen"/>
          <w:sz w:val="24"/>
          <w:szCs w:val="24"/>
        </w:rPr>
        <w:t>թիվ 16 հավելվածի համաձայն սահմանված ձ</w:t>
      </w:r>
      <w:r w:rsidR="00C54D75">
        <w:rPr>
          <w:rFonts w:ascii="Sylfaen" w:hAnsi="Sylfaen"/>
          <w:sz w:val="24"/>
          <w:szCs w:val="24"/>
        </w:rPr>
        <w:t>և</w:t>
      </w:r>
      <w:r w:rsidR="006F76EB" w:rsidRPr="00834D52">
        <w:rPr>
          <w:rFonts w:ascii="Sylfaen" w:hAnsi="Sylfaen"/>
          <w:sz w:val="24"/>
          <w:szCs w:val="24"/>
        </w:rPr>
        <w:t>ով։</w:t>
      </w:r>
    </w:p>
    <w:p w14:paraId="47477C03"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104.</w:t>
      </w:r>
      <w:r w:rsidRPr="00834D52">
        <w:rPr>
          <w:rFonts w:ascii="Sylfaen" w:hAnsi="Sylfaen"/>
          <w:sz w:val="24"/>
          <w:szCs w:val="24"/>
        </w:rPr>
        <w:tab/>
        <w:t xml:space="preserve">Գրանցման հայտ ներկայացնելու օրվանից ոչ ուշ, քան 155 օրացուցային օրվա ընթացքում </w:t>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w:t>
      </w:r>
      <w:r w:rsidRPr="00834D52">
        <w:rPr>
          <w:rFonts w:ascii="Sylfaen" w:hAnsi="Sylfaen"/>
          <w:sz w:val="24"/>
          <w:szCs w:val="24"/>
        </w:rPr>
        <w:lastRenderedPageBreak/>
        <w:t xml:space="preserve">կազմակերպությունը) ճանաչման պետություններ </w:t>
      </w:r>
      <w:r w:rsidR="00C54D75">
        <w:rPr>
          <w:rFonts w:ascii="Sylfaen" w:hAnsi="Sylfaen"/>
          <w:sz w:val="24"/>
          <w:szCs w:val="24"/>
        </w:rPr>
        <w:t>և</w:t>
      </w:r>
      <w:r w:rsidRPr="00834D52">
        <w:rPr>
          <w:rFonts w:ascii="Sylfaen" w:hAnsi="Sylfaen"/>
          <w:sz w:val="24"/>
          <w:szCs w:val="24"/>
        </w:rPr>
        <w:t xml:space="preserve"> հայտատուին է ուղարկում գնահատման վերաբերյալ եզրափակիչ փորձագիտական հաշվետվության նախագիծը՝ սույն Կանոնների թիվ 16 հավելվածին համապատասխան սահմանված ձ</w:t>
      </w:r>
      <w:r w:rsidR="00C54D75">
        <w:rPr>
          <w:rFonts w:ascii="Sylfaen" w:hAnsi="Sylfaen"/>
          <w:sz w:val="24"/>
          <w:szCs w:val="24"/>
        </w:rPr>
        <w:t>և</w:t>
      </w:r>
      <w:r w:rsidRPr="00834D52">
        <w:rPr>
          <w:rFonts w:ascii="Sylfaen" w:hAnsi="Sylfaen"/>
          <w:sz w:val="24"/>
          <w:szCs w:val="24"/>
        </w:rPr>
        <w:t>ով՝ հարցմանը հայտատուի պատասխանների հետ միասին, ինչպես նա</w:t>
      </w:r>
      <w:r w:rsidR="00C54D75">
        <w:rPr>
          <w:rFonts w:ascii="Sylfaen" w:hAnsi="Sylfaen"/>
          <w:sz w:val="24"/>
          <w:szCs w:val="24"/>
        </w:rPr>
        <w:t>և</w:t>
      </w:r>
      <w:r w:rsidRPr="00834D52">
        <w:rPr>
          <w:rFonts w:ascii="Sylfaen" w:hAnsi="Sylfaen"/>
          <w:sz w:val="24"/>
          <w:szCs w:val="24"/>
        </w:rPr>
        <w:t xml:space="preserve"> ԴՊԸԲ</w:t>
      </w:r>
      <w:r w:rsidRPr="008341C7">
        <w:rPr>
          <w:rFonts w:ascii="Sylfaen" w:hAnsi="Sylfaen"/>
          <w:sz w:val="24"/>
          <w:szCs w:val="24"/>
        </w:rPr>
        <w:t>-</w:t>
      </w:r>
      <w:r w:rsidRPr="00834D52">
        <w:rPr>
          <w:rFonts w:ascii="Sylfaen" w:hAnsi="Sylfaen"/>
          <w:sz w:val="24"/>
          <w:szCs w:val="24"/>
        </w:rPr>
        <w:t>ի նախագիծը, բժշկական կիրառման հրահանգի նախագիծը (ներդիր-թերթիկ), փաթեթվածքների մանրակերտերի նախագիծը, որակի վերաբերյալ նորմատիվ փաստաթղթի նախագիծը, ինչպես նա</w:t>
      </w:r>
      <w:r w:rsidR="00C54D75">
        <w:rPr>
          <w:rFonts w:ascii="Sylfaen" w:hAnsi="Sylfaen"/>
          <w:sz w:val="24"/>
          <w:szCs w:val="24"/>
        </w:rPr>
        <w:t>և</w:t>
      </w:r>
      <w:r w:rsidRPr="00834D52">
        <w:rPr>
          <w:rFonts w:ascii="Sylfaen" w:hAnsi="Sylfaen"/>
          <w:sz w:val="24"/>
          <w:szCs w:val="24"/>
        </w:rPr>
        <w:t xml:space="preserve"> անհրաժեշտության դեպքում դեղապատրաստուկի կիրառման ժամանակ ռիսկերի կառավարման պլանի նախագիծը։</w:t>
      </w:r>
    </w:p>
    <w:p w14:paraId="1C6D6059" w14:textId="77777777" w:rsidR="006F76EB" w:rsidRPr="00834D52" w:rsidRDefault="006F76EB" w:rsidP="00B3138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w:t>
      </w:r>
      <w:r w:rsidR="009F49FE">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կազմակերպությունը պատրաստել է գնահատման վերաբերյալ եզրափակիչ փորձագիտական հաշվետվության բացասական նախագիծ </w:t>
      </w:r>
      <w:r w:rsidR="00C54D75">
        <w:rPr>
          <w:rFonts w:ascii="Sylfaen" w:hAnsi="Sylfaen"/>
          <w:sz w:val="24"/>
          <w:szCs w:val="24"/>
        </w:rPr>
        <w:t>և</w:t>
      </w:r>
      <w:r w:rsidRPr="00834D52">
        <w:rPr>
          <w:rFonts w:ascii="Sylfaen" w:hAnsi="Sylfaen"/>
          <w:sz w:val="24"/>
          <w:szCs w:val="24"/>
        </w:rPr>
        <w:t>, սույն Կանոնների 114</w:t>
      </w:r>
      <w:r w:rsidRPr="008341C7">
        <w:rPr>
          <w:rFonts w:ascii="Sylfaen" w:hAnsi="Sylfaen"/>
          <w:sz w:val="24"/>
          <w:szCs w:val="24"/>
        </w:rPr>
        <w:t>-</w:t>
      </w:r>
      <w:r w:rsidRPr="00834D52">
        <w:rPr>
          <w:rFonts w:ascii="Sylfaen" w:hAnsi="Sylfaen"/>
          <w:sz w:val="24"/>
          <w:szCs w:val="24"/>
        </w:rPr>
        <w:t xml:space="preserve">րդ կետին համապատասխան, գրանցումը մերժելու մասին որոշում է կայացրել, ապա դեղապատրաստուկի փորձաքննությունն ու գրանցումը դադարեցվում են։ Կայացված որոշման մասին լիազորված մարմինը (փորձագիտական կազմակերպությունը) այդ որոշումը կայացնելու օրվանից 14 աշխատանքային օրվա ընթացքում գրավոր </w:t>
      </w:r>
      <w:r w:rsidR="00C54D75">
        <w:rPr>
          <w:rFonts w:ascii="Sylfaen" w:hAnsi="Sylfaen"/>
          <w:sz w:val="24"/>
          <w:szCs w:val="24"/>
        </w:rPr>
        <w:t>և</w:t>
      </w:r>
      <w:r w:rsidRPr="00834D52">
        <w:rPr>
          <w:rFonts w:ascii="Sylfaen" w:hAnsi="Sylfaen"/>
          <w:sz w:val="24"/>
          <w:szCs w:val="24"/>
        </w:rPr>
        <w:t xml:space="preserve"> (կամ) էլեկտրոնային եղանակով տեղեկացնում է հայտատուին՝ կցելով գնահատման վերաբերյալ նշված եզրափակիչ փորձագիտական հաշվետվությունը։</w:t>
      </w:r>
    </w:p>
    <w:p w14:paraId="2B160755" w14:textId="77777777" w:rsidR="006F76EB" w:rsidRPr="00834D52" w:rsidRDefault="006F76EB" w:rsidP="00B3138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w:t>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կողմից պատրաստվել է գնահատման վերաբերյալ եզրափակիչ փորձագիտական հաշվետվության դրական նախագիծ, ապա դրա քննությունն անցկացնում են ճանաչման պետության լիազորված մարմինները (փորձագիտական կազմակերպությունները)։</w:t>
      </w:r>
    </w:p>
    <w:p w14:paraId="072408EC"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105.</w:t>
      </w:r>
      <w:r w:rsidRPr="00834D52">
        <w:rPr>
          <w:rFonts w:ascii="Sylfaen" w:hAnsi="Sylfaen"/>
          <w:sz w:val="24"/>
          <w:szCs w:val="24"/>
        </w:rPr>
        <w:tab/>
        <w:t>Ճանաչման պետությունների լիազորված մարմինների (փորձագիտական կազմակերպությունների) կողմից դիտողությունների բացակայության դեպքում կամ դրանք սույն Կանոնների 106</w:t>
      </w:r>
      <w:r w:rsidRPr="008341C7">
        <w:rPr>
          <w:rFonts w:ascii="Sylfaen" w:hAnsi="Sylfaen"/>
          <w:sz w:val="24"/>
          <w:szCs w:val="24"/>
        </w:rPr>
        <w:t>-</w:t>
      </w:r>
      <w:r w:rsidRPr="00834D52">
        <w:rPr>
          <w:rFonts w:ascii="Sylfaen" w:hAnsi="Sylfaen"/>
          <w:sz w:val="24"/>
          <w:szCs w:val="24"/>
        </w:rPr>
        <w:t xml:space="preserve">րդ կետին համապատասխան հանելուց հետո </w:t>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w:t>
      </w:r>
      <w:r w:rsidRPr="00834D52">
        <w:rPr>
          <w:rFonts w:ascii="Sylfaen" w:hAnsi="Sylfaen"/>
          <w:sz w:val="24"/>
          <w:szCs w:val="24"/>
        </w:rPr>
        <w:lastRenderedPageBreak/>
        <w:t>պետությունների լիազորված մարմինները (փորձագիտական կազմակերպությունները) 10 աշխատանքային օրվա ընթացքում ավարտում են դեղապատրաստուկի փորձաքննության ընթացակարգը (գրանցման դիմումի հանձնման օրվանից 175</w:t>
      </w:r>
      <w:r w:rsidRPr="008341C7">
        <w:rPr>
          <w:rFonts w:ascii="Sylfaen" w:hAnsi="Sylfaen"/>
          <w:sz w:val="24"/>
          <w:szCs w:val="24"/>
        </w:rPr>
        <w:t>-</w:t>
      </w:r>
      <w:r w:rsidRPr="00834D52">
        <w:rPr>
          <w:rFonts w:ascii="Sylfaen" w:hAnsi="Sylfaen"/>
          <w:sz w:val="24"/>
          <w:szCs w:val="24"/>
        </w:rPr>
        <w:t>րդ օրացուցային օրը)։</w:t>
      </w:r>
    </w:p>
    <w:p w14:paraId="0C76EC53"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106.</w:t>
      </w:r>
      <w:r w:rsidRPr="00834D52">
        <w:rPr>
          <w:rFonts w:ascii="Sylfaen" w:hAnsi="Sylfaen"/>
          <w:sz w:val="24"/>
          <w:szCs w:val="24"/>
        </w:rPr>
        <w:tab/>
        <w:t>Ճանաչման պետությունների լիազորված մարմինների (փորձագիտական կազմակերպությունների) կողմից գնահատման վերաբերյալ եզրափակիչ փորձագիտական հաշվետվության նախագծի, ԴՊԸԲ</w:t>
      </w:r>
      <w:r w:rsidRPr="008341C7">
        <w:rPr>
          <w:rFonts w:ascii="Sylfaen" w:hAnsi="Sylfaen"/>
          <w:sz w:val="24"/>
          <w:szCs w:val="24"/>
        </w:rPr>
        <w:t>-</w:t>
      </w:r>
      <w:r w:rsidRPr="00834D52">
        <w:rPr>
          <w:rFonts w:ascii="Sylfaen" w:hAnsi="Sylfaen"/>
          <w:sz w:val="24"/>
          <w:szCs w:val="24"/>
        </w:rPr>
        <w:t xml:space="preserve">ի նախագծի, բժշկական կիրառման հրահանգի նախագծի, փաթեթվածքների մանրակերտերի նախագծի կամ որակի վերաբերյալ նորմատիվ փաստաթղթի նախագծի, դեղապատրաստուկը կիրառելու ժամանակ ռիսկերի կառավարման պլանի նախագծի (անհրաժեշտության դեպքում) հետ կապված դիտողությունների առկայության դեպքում ճանաչման պետությունների լիազորված մարմինները (փորձագիտական կազմակերպությունները) անհրաժեշտության դեպքում </w:t>
      </w:r>
      <w:r w:rsidR="009F49FE">
        <w:rPr>
          <w:rFonts w:ascii="Sylfaen" w:hAnsi="Sylfaen"/>
          <w:sz w:val="24"/>
          <w:szCs w:val="24"/>
        </w:rPr>
        <w:t xml:space="preserve">ռեֆերենտ </w:t>
      </w:r>
      <w:r w:rsidRPr="00834D52">
        <w:rPr>
          <w:rFonts w:ascii="Sylfaen" w:hAnsi="Sylfaen"/>
          <w:sz w:val="24"/>
          <w:szCs w:val="24"/>
        </w:rPr>
        <w:t>պետության կամ ճանաչման պետությունների լիազորված մարմնի (փորձագիտական կազմակերպության) հետ 10 աշխատանքային օրվա ընթացքում անցկացնում են էլեկտրոնային եղանակով խորհրդակցություններ՝ սույն Կանոնների թիվ 18 հավելվածին համապատասխան սահմանված ձ</w:t>
      </w:r>
      <w:r w:rsidR="00C54D75">
        <w:rPr>
          <w:rFonts w:ascii="Sylfaen" w:hAnsi="Sylfaen"/>
          <w:sz w:val="24"/>
          <w:szCs w:val="24"/>
        </w:rPr>
        <w:t>և</w:t>
      </w:r>
      <w:r w:rsidRPr="00834D52">
        <w:rPr>
          <w:rFonts w:ascii="Sylfaen" w:hAnsi="Sylfaen"/>
          <w:sz w:val="24"/>
          <w:szCs w:val="24"/>
        </w:rPr>
        <w:t>ով (գրանցման հայտ ներկայացնելու օրվանից 165</w:t>
      </w:r>
      <w:r w:rsidRPr="008341C7">
        <w:rPr>
          <w:rFonts w:ascii="Sylfaen" w:hAnsi="Sylfaen"/>
          <w:sz w:val="24"/>
          <w:szCs w:val="24"/>
        </w:rPr>
        <w:t>-</w:t>
      </w:r>
      <w:r w:rsidRPr="00834D52">
        <w:rPr>
          <w:rFonts w:ascii="Sylfaen" w:hAnsi="Sylfaen"/>
          <w:sz w:val="24"/>
          <w:szCs w:val="24"/>
        </w:rPr>
        <w:t>րդ օրացուցային օրը)։</w:t>
      </w:r>
    </w:p>
    <w:p w14:paraId="4954F488" w14:textId="77777777" w:rsidR="006F76EB" w:rsidRPr="00834D52" w:rsidRDefault="006F76EB" w:rsidP="00955C1D">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107.</w:t>
      </w:r>
      <w:r w:rsidRPr="00834D52">
        <w:rPr>
          <w:rFonts w:ascii="Sylfaen" w:hAnsi="Sylfaen"/>
          <w:sz w:val="24"/>
          <w:szCs w:val="24"/>
        </w:rPr>
        <w:tab/>
        <w:t xml:space="preserve">Փոխադարձ խորհրդակցությունների շրջանակներում չկարգավորված տարաձայնությունների առկայության դեպքում ճանաչման պետության լիազորված մարմինը (փորձագիտական կազմակերպությունը) </w:t>
      </w:r>
      <w:r w:rsidR="009F49FE">
        <w:rPr>
          <w:rFonts w:ascii="Sylfaen" w:hAnsi="Sylfaen"/>
          <w:sz w:val="24"/>
          <w:szCs w:val="24"/>
        </w:rPr>
        <w:t xml:space="preserve">ռեֆերենտ </w:t>
      </w:r>
      <w:r w:rsidRPr="00834D52">
        <w:rPr>
          <w:rFonts w:ascii="Sylfaen" w:hAnsi="Sylfaen"/>
          <w:sz w:val="24"/>
          <w:szCs w:val="24"/>
        </w:rPr>
        <w:t>պետության՝ գնահատման վերաբերյալ եզրափակիչ փորձագիտական հաշվետվությունը ստանալու օրվանից 10 աշխատանքային օրը չգերազանցող ժամկետում ինտեգրված համակարգի միջոցների օգտագործմամբ, հաշվի առնելով սույն Կանոնների 106</w:t>
      </w:r>
      <w:r w:rsidRPr="008341C7">
        <w:rPr>
          <w:rFonts w:ascii="Sylfaen" w:hAnsi="Sylfaen"/>
          <w:sz w:val="24"/>
          <w:szCs w:val="24"/>
        </w:rPr>
        <w:t>-</w:t>
      </w:r>
      <w:r w:rsidRPr="00834D52">
        <w:rPr>
          <w:rFonts w:ascii="Sylfaen" w:hAnsi="Sylfaen"/>
          <w:sz w:val="24"/>
          <w:szCs w:val="24"/>
        </w:rPr>
        <w:t xml:space="preserve">րդ կետի պայմանները, </w:t>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 (փորձագիտական կազմակերպություն), ինչպես նա</w:t>
      </w:r>
      <w:r w:rsidR="00C54D75">
        <w:rPr>
          <w:rFonts w:ascii="Sylfaen" w:hAnsi="Sylfaen"/>
          <w:sz w:val="24"/>
          <w:szCs w:val="24"/>
        </w:rPr>
        <w:t>և</w:t>
      </w:r>
      <w:r w:rsidRPr="00834D52">
        <w:rPr>
          <w:rFonts w:ascii="Sylfaen" w:hAnsi="Sylfaen"/>
          <w:sz w:val="24"/>
          <w:szCs w:val="24"/>
        </w:rPr>
        <w:t xml:space="preserve"> Փորձագիտական կոմիտե է ուղարկում </w:t>
      </w:r>
      <w:r w:rsidR="009F49FE">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կազմակերպության պատրաստած՝ գնահատման վերաբերյալ </w:t>
      </w:r>
      <w:r w:rsidRPr="00834D52">
        <w:rPr>
          <w:rFonts w:ascii="Sylfaen" w:hAnsi="Sylfaen"/>
          <w:sz w:val="24"/>
          <w:szCs w:val="24"/>
        </w:rPr>
        <w:lastRenderedPageBreak/>
        <w:t>փորձագիտական հաշվետվության ճանաչման անհնարինության մասին եզրակացությունը, այդ թվում՝ թղթային կրիչով՝ բացասական որոշման պատճառների հիմնավորմամբ։</w:t>
      </w:r>
    </w:p>
    <w:p w14:paraId="5B35F114" w14:textId="77777777" w:rsidR="006F76EB" w:rsidRPr="00834D52" w:rsidRDefault="006F76EB" w:rsidP="00955C1D">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108.</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փորձագիտական հաշվետվությունը ճանաչման պետությունների կողմից ճանաչելու անհնարինության մասին եզրակացությունն ուղարկելու օրվանից 60 օրացուցային օրը չգերազանցող ժամկետում Փորձագիտական կոմիտեն իրականացնում է տարաձայնությունների կարգավորման ընթացակարգ՝ Հանձնաժողովի կողմից սահմանված կարգին համապատասխան։</w:t>
      </w:r>
    </w:p>
    <w:p w14:paraId="3F6E66C8" w14:textId="77777777" w:rsidR="006F76EB" w:rsidRPr="00834D52" w:rsidRDefault="006F76EB" w:rsidP="00955C1D">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Եթե </w:t>
      </w:r>
      <w:r w:rsidR="009F49FE">
        <w:rPr>
          <w:rFonts w:ascii="Sylfaen" w:hAnsi="Sylfaen"/>
          <w:spacing w:val="4"/>
          <w:sz w:val="24"/>
          <w:szCs w:val="24"/>
        </w:rPr>
        <w:t xml:space="preserve">ռեֆերենտ </w:t>
      </w:r>
      <w:r w:rsidRPr="00834D52">
        <w:rPr>
          <w:rFonts w:ascii="Sylfaen" w:hAnsi="Sylfaen"/>
          <w:spacing w:val="4"/>
          <w:sz w:val="24"/>
          <w:szCs w:val="24"/>
        </w:rPr>
        <w:t xml:space="preserve">պետության </w:t>
      </w:r>
      <w:r w:rsidR="00C54D75">
        <w:rPr>
          <w:rFonts w:ascii="Sylfaen" w:hAnsi="Sylfaen"/>
          <w:spacing w:val="4"/>
          <w:sz w:val="24"/>
          <w:szCs w:val="24"/>
        </w:rPr>
        <w:t>և</w:t>
      </w:r>
      <w:r w:rsidRPr="00834D52">
        <w:rPr>
          <w:rFonts w:ascii="Sylfaen" w:hAnsi="Sylfaen"/>
          <w:spacing w:val="4"/>
          <w:sz w:val="24"/>
          <w:szCs w:val="24"/>
        </w:rPr>
        <w:t xml:space="preserve"> ճանաչման պետությունների լիազորված մարմինների միջ</w:t>
      </w:r>
      <w:r w:rsidR="00C54D75">
        <w:rPr>
          <w:rFonts w:ascii="Sylfaen" w:hAnsi="Sylfaen"/>
          <w:spacing w:val="4"/>
          <w:sz w:val="24"/>
          <w:szCs w:val="24"/>
        </w:rPr>
        <w:t>և</w:t>
      </w:r>
      <w:r w:rsidRPr="00834D52">
        <w:rPr>
          <w:rFonts w:ascii="Sylfaen" w:hAnsi="Sylfaen"/>
          <w:spacing w:val="4"/>
          <w:sz w:val="24"/>
          <w:szCs w:val="24"/>
        </w:rPr>
        <w:t xml:space="preserve"> գնահատման վերաբերյալ փորձագիտական հաշվետվության ճանաչման մասով տարաձայնությունները կարգավորվել են, ապա նրանք անցնում են փորձաքննության ընթացակարգի ավարտին </w:t>
      </w:r>
      <w:r w:rsidR="00C54D75">
        <w:rPr>
          <w:rFonts w:ascii="Sylfaen" w:hAnsi="Sylfaen"/>
          <w:spacing w:val="4"/>
          <w:sz w:val="24"/>
          <w:szCs w:val="24"/>
        </w:rPr>
        <w:t>և</w:t>
      </w:r>
      <w:r w:rsidRPr="00834D52">
        <w:rPr>
          <w:rFonts w:ascii="Sylfaen" w:hAnsi="Sylfaen"/>
          <w:spacing w:val="4"/>
          <w:sz w:val="24"/>
          <w:szCs w:val="24"/>
        </w:rPr>
        <w:t xml:space="preserve"> ամփոփիչ փաստաթղթերի տրամադրման ընթացակարգին՝ սույն Կանոնների 105</w:t>
      </w:r>
      <w:r w:rsidRPr="008341C7">
        <w:rPr>
          <w:rFonts w:ascii="Sylfaen" w:hAnsi="Sylfaen"/>
          <w:spacing w:val="4"/>
          <w:sz w:val="24"/>
          <w:szCs w:val="24"/>
        </w:rPr>
        <w:t>-</w:t>
      </w:r>
      <w:r w:rsidRPr="00834D52">
        <w:rPr>
          <w:rFonts w:ascii="Sylfaen" w:hAnsi="Sylfaen"/>
          <w:spacing w:val="4"/>
          <w:sz w:val="24"/>
          <w:szCs w:val="24"/>
        </w:rPr>
        <w:t xml:space="preserve">րդ </w:t>
      </w:r>
      <w:r w:rsidR="00C54D75">
        <w:rPr>
          <w:rFonts w:ascii="Sylfaen" w:hAnsi="Sylfaen"/>
          <w:spacing w:val="4"/>
          <w:sz w:val="24"/>
          <w:szCs w:val="24"/>
        </w:rPr>
        <w:t>և</w:t>
      </w:r>
      <w:r w:rsidRPr="00834D52">
        <w:rPr>
          <w:rFonts w:ascii="Sylfaen" w:hAnsi="Sylfaen"/>
          <w:spacing w:val="4"/>
          <w:sz w:val="24"/>
          <w:szCs w:val="24"/>
        </w:rPr>
        <w:t xml:space="preserve"> 109</w:t>
      </w:r>
      <w:r w:rsidRPr="008341C7">
        <w:rPr>
          <w:rFonts w:ascii="Sylfaen" w:hAnsi="Sylfaen"/>
          <w:spacing w:val="4"/>
          <w:sz w:val="24"/>
          <w:szCs w:val="24"/>
        </w:rPr>
        <w:t>-</w:t>
      </w:r>
      <w:r w:rsidRPr="00834D52">
        <w:rPr>
          <w:rFonts w:ascii="Sylfaen" w:hAnsi="Sylfaen"/>
          <w:spacing w:val="4"/>
          <w:sz w:val="24"/>
          <w:szCs w:val="24"/>
        </w:rPr>
        <w:t>113</w:t>
      </w:r>
      <w:r w:rsidRPr="008341C7">
        <w:rPr>
          <w:rFonts w:ascii="Sylfaen" w:hAnsi="Sylfaen"/>
          <w:spacing w:val="4"/>
          <w:sz w:val="24"/>
          <w:szCs w:val="24"/>
        </w:rPr>
        <w:t>-</w:t>
      </w:r>
      <w:r w:rsidRPr="00834D52">
        <w:rPr>
          <w:rFonts w:ascii="Sylfaen" w:hAnsi="Sylfaen"/>
          <w:spacing w:val="4"/>
          <w:sz w:val="24"/>
          <w:szCs w:val="24"/>
        </w:rPr>
        <w:t>րդ կետերին համապատասխան։</w:t>
      </w:r>
    </w:p>
    <w:p w14:paraId="0969CA52" w14:textId="77777777" w:rsidR="006F76EB" w:rsidRPr="00834D52" w:rsidRDefault="006F76EB" w:rsidP="00955C1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w:t>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մարմինների միջ</w:t>
      </w:r>
      <w:r w:rsidR="00C54D75">
        <w:rPr>
          <w:rFonts w:ascii="Sylfaen" w:hAnsi="Sylfaen"/>
          <w:sz w:val="24"/>
          <w:szCs w:val="24"/>
        </w:rPr>
        <w:t>և</w:t>
      </w:r>
      <w:r w:rsidRPr="00834D52">
        <w:rPr>
          <w:rFonts w:ascii="Sylfaen" w:hAnsi="Sylfaen"/>
          <w:sz w:val="24"/>
          <w:szCs w:val="24"/>
        </w:rPr>
        <w:t xml:space="preserve"> գնահատման վերաբերյալ փորձագիտական հաշվետվության ճանաչման մասով տարաձայնությունները կարգավորված չեն, ապա </w:t>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մարմինները, որոնք կայացրել են գնահատման վերաբերյալ փորձագիտական հաշվետվության ճանաչման մասին դրական որոշում, անցնում են փորձաքննության ընթացակարգի ավարտին </w:t>
      </w:r>
      <w:r w:rsidR="00C54D75">
        <w:rPr>
          <w:rFonts w:ascii="Sylfaen" w:hAnsi="Sylfaen"/>
          <w:sz w:val="24"/>
          <w:szCs w:val="24"/>
        </w:rPr>
        <w:t>և</w:t>
      </w:r>
      <w:r w:rsidRPr="00834D52">
        <w:rPr>
          <w:rFonts w:ascii="Sylfaen" w:hAnsi="Sylfaen"/>
          <w:sz w:val="24"/>
          <w:szCs w:val="24"/>
        </w:rPr>
        <w:t xml:space="preserve"> ամփոփիչ փաստաթղթերի տրամադրման ընթացակարգին՝ սույն Կանոնների 105</w:t>
      </w:r>
      <w:r w:rsidRPr="008341C7">
        <w:rPr>
          <w:rFonts w:ascii="Sylfaen" w:hAnsi="Sylfaen"/>
          <w:sz w:val="24"/>
          <w:szCs w:val="24"/>
        </w:rPr>
        <w:t>-</w:t>
      </w:r>
      <w:r w:rsidRPr="00834D52">
        <w:rPr>
          <w:rFonts w:ascii="Sylfaen" w:hAnsi="Sylfaen"/>
          <w:sz w:val="24"/>
          <w:szCs w:val="24"/>
        </w:rPr>
        <w:t xml:space="preserve">րդ </w:t>
      </w:r>
      <w:r w:rsidR="00C54D75">
        <w:rPr>
          <w:rFonts w:ascii="Sylfaen" w:hAnsi="Sylfaen"/>
          <w:sz w:val="24"/>
          <w:szCs w:val="24"/>
        </w:rPr>
        <w:t>և</w:t>
      </w:r>
      <w:r w:rsidRPr="00834D52">
        <w:rPr>
          <w:rFonts w:ascii="Sylfaen" w:hAnsi="Sylfaen"/>
          <w:sz w:val="24"/>
          <w:szCs w:val="24"/>
        </w:rPr>
        <w:t xml:space="preserve"> 109</w:t>
      </w:r>
      <w:r w:rsidRPr="008341C7">
        <w:rPr>
          <w:rFonts w:ascii="Sylfaen" w:hAnsi="Sylfaen"/>
          <w:sz w:val="24"/>
          <w:szCs w:val="24"/>
        </w:rPr>
        <w:t>-</w:t>
      </w:r>
      <w:r w:rsidRPr="00834D52">
        <w:rPr>
          <w:rFonts w:ascii="Sylfaen" w:hAnsi="Sylfaen"/>
          <w:sz w:val="24"/>
          <w:szCs w:val="24"/>
        </w:rPr>
        <w:t>113</w:t>
      </w:r>
      <w:r w:rsidRPr="008341C7">
        <w:rPr>
          <w:rFonts w:ascii="Sylfaen" w:hAnsi="Sylfaen"/>
          <w:sz w:val="24"/>
          <w:szCs w:val="24"/>
        </w:rPr>
        <w:t>-</w:t>
      </w:r>
      <w:r w:rsidRPr="00834D52">
        <w:rPr>
          <w:rFonts w:ascii="Sylfaen" w:hAnsi="Sylfaen"/>
          <w:sz w:val="24"/>
          <w:szCs w:val="24"/>
        </w:rPr>
        <w:t>րդ կետերին համապատասխան։ Հայտատուի խնդրանքով այդ անդամ պետությունների լիազորված մարմինների կողմից գրանցման հավաստագրի տրամադրումը կարող է կասեցվել մինչ</w:t>
      </w:r>
      <w:r w:rsidR="00C54D75">
        <w:rPr>
          <w:rFonts w:ascii="Sylfaen" w:hAnsi="Sylfaen"/>
          <w:sz w:val="24"/>
          <w:szCs w:val="24"/>
        </w:rPr>
        <w:t>և</w:t>
      </w:r>
      <w:r w:rsidRPr="00834D52">
        <w:rPr>
          <w:rFonts w:ascii="Sylfaen" w:hAnsi="Sylfaen"/>
          <w:sz w:val="24"/>
          <w:szCs w:val="24"/>
        </w:rPr>
        <w:t xml:space="preserve"> այլ ճանաչման պետությունների </w:t>
      </w:r>
      <w:r w:rsidR="00C54D75">
        <w:rPr>
          <w:rFonts w:ascii="Sylfaen" w:hAnsi="Sylfaen"/>
          <w:sz w:val="24"/>
          <w:szCs w:val="24"/>
        </w:rPr>
        <w:t>և</w:t>
      </w:r>
      <w:r w:rsidRPr="00834D52">
        <w:rPr>
          <w:rFonts w:ascii="Sylfaen" w:hAnsi="Sylfaen"/>
          <w:sz w:val="24"/>
          <w:szCs w:val="24"/>
        </w:rPr>
        <w:t xml:space="preserve">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մարմինների միջ</w:t>
      </w:r>
      <w:r w:rsidR="00C54D75">
        <w:rPr>
          <w:rFonts w:ascii="Sylfaen" w:hAnsi="Sylfaen"/>
          <w:sz w:val="24"/>
          <w:szCs w:val="24"/>
        </w:rPr>
        <w:t>և</w:t>
      </w:r>
      <w:r w:rsidRPr="00834D52">
        <w:rPr>
          <w:rFonts w:ascii="Sylfaen" w:hAnsi="Sylfaen"/>
          <w:sz w:val="24"/>
          <w:szCs w:val="24"/>
        </w:rPr>
        <w:t xml:space="preserve"> տարաձայնությունների վերացումը։</w:t>
      </w:r>
    </w:p>
    <w:p w14:paraId="3A836017" w14:textId="77777777" w:rsidR="006F76EB" w:rsidRPr="00834D52" w:rsidRDefault="006F76EB" w:rsidP="00955C1D">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lastRenderedPageBreak/>
        <w:t>109.</w:t>
      </w:r>
      <w:r w:rsidRPr="00834D52">
        <w:rPr>
          <w:rFonts w:ascii="Sylfaen" w:hAnsi="Sylfaen"/>
          <w:spacing w:val="-4"/>
          <w:sz w:val="24"/>
          <w:szCs w:val="24"/>
        </w:rPr>
        <w:tab/>
      </w:r>
      <w:r w:rsidR="009F49FE">
        <w:rPr>
          <w:rFonts w:ascii="Sylfaen" w:hAnsi="Sylfaen"/>
          <w:spacing w:val="-4"/>
          <w:sz w:val="24"/>
          <w:szCs w:val="24"/>
        </w:rPr>
        <w:t xml:space="preserve">Ռեֆերենտ </w:t>
      </w:r>
      <w:r w:rsidRPr="00834D52">
        <w:rPr>
          <w:rFonts w:ascii="Sylfaen" w:hAnsi="Sylfaen"/>
          <w:spacing w:val="-4"/>
          <w:sz w:val="24"/>
          <w:szCs w:val="24"/>
        </w:rPr>
        <w:t xml:space="preserve">պետության </w:t>
      </w:r>
      <w:r w:rsidR="00C54D75">
        <w:rPr>
          <w:rFonts w:ascii="Sylfaen" w:hAnsi="Sylfaen"/>
          <w:spacing w:val="-4"/>
          <w:sz w:val="24"/>
          <w:szCs w:val="24"/>
        </w:rPr>
        <w:t>և</w:t>
      </w:r>
      <w:r w:rsidRPr="00834D52">
        <w:rPr>
          <w:rFonts w:ascii="Sylfaen" w:hAnsi="Sylfaen"/>
          <w:spacing w:val="-4"/>
          <w:sz w:val="24"/>
          <w:szCs w:val="24"/>
        </w:rPr>
        <w:t xml:space="preserve"> ճանաչման պետությունների լիազորված մարմինները (փորձագիտական կազմակերպությունները), որոնք, սույն Կանոնների </w:t>
      </w:r>
      <w:r w:rsidRPr="008341C7">
        <w:rPr>
          <w:rFonts w:ascii="Sylfaen" w:hAnsi="Sylfaen"/>
          <w:spacing w:val="-4"/>
          <w:sz w:val="24"/>
          <w:szCs w:val="24"/>
        </w:rPr>
        <w:t xml:space="preserve">105-րդ </w:t>
      </w:r>
      <w:r w:rsidR="00C54D75">
        <w:rPr>
          <w:rFonts w:ascii="Sylfaen" w:hAnsi="Sylfaen"/>
          <w:spacing w:val="-4"/>
          <w:sz w:val="24"/>
          <w:szCs w:val="24"/>
        </w:rPr>
        <w:t>և</w:t>
      </w:r>
      <w:r w:rsidRPr="008341C7">
        <w:rPr>
          <w:rFonts w:ascii="Sylfaen" w:hAnsi="Sylfaen"/>
          <w:spacing w:val="-4"/>
          <w:sz w:val="24"/>
          <w:szCs w:val="24"/>
        </w:rPr>
        <w:t xml:space="preserve"> 108-րդ</w:t>
      </w:r>
      <w:r w:rsidRPr="00834D52">
        <w:rPr>
          <w:rFonts w:ascii="Sylfaen" w:hAnsi="Sylfaen"/>
          <w:spacing w:val="-4"/>
          <w:sz w:val="24"/>
          <w:szCs w:val="24"/>
        </w:rPr>
        <w:t xml:space="preserve"> կետերին համապատասխան, փորձաքննության արդյունքներով դեղապատրաստուկի գրանցման հնարավորության մասին կայացրել են դրական որոշում, ոչ ուշ, քան 30 օրացուցային օրվա ընթացքում անցնում են ամփոփիչ փաստաթղթեր տրամադրելու ընթացակարգին։ Այդ թվում նշված ժամկետում 10</w:t>
      </w:r>
      <w:r w:rsidR="000839F9" w:rsidRPr="000839F9">
        <w:rPr>
          <w:rFonts w:ascii="Sylfaen" w:hAnsi="Sylfaen"/>
          <w:spacing w:val="-4"/>
          <w:sz w:val="24"/>
          <w:szCs w:val="24"/>
        </w:rPr>
        <w:t> </w:t>
      </w:r>
      <w:r w:rsidRPr="00834D52">
        <w:rPr>
          <w:rFonts w:ascii="Sylfaen" w:hAnsi="Sylfaen"/>
          <w:spacing w:val="-4"/>
          <w:sz w:val="24"/>
          <w:szCs w:val="24"/>
        </w:rPr>
        <w:t>աշխատանքային օրվա ընթացքում հայտատուն պարտավոր</w:t>
      </w:r>
      <w:r w:rsidRPr="00834D52">
        <w:rPr>
          <w:rFonts w:ascii="Sylfaen" w:hAnsi="Sylfaen"/>
          <w:spacing w:val="-4"/>
        </w:rPr>
        <w:t xml:space="preserve"> </w:t>
      </w:r>
      <w:r w:rsidRPr="00834D52">
        <w:rPr>
          <w:rFonts w:ascii="Sylfaen" w:hAnsi="Sylfaen"/>
          <w:spacing w:val="-4"/>
          <w:sz w:val="24"/>
          <w:szCs w:val="24"/>
        </w:rPr>
        <w:t>է ԴՊԸԲ</w:t>
      </w:r>
      <w:r w:rsidRPr="008341C7">
        <w:rPr>
          <w:rFonts w:ascii="Sylfaen" w:hAnsi="Sylfaen"/>
          <w:spacing w:val="-4"/>
          <w:sz w:val="24"/>
          <w:szCs w:val="24"/>
        </w:rPr>
        <w:t>-</w:t>
      </w:r>
      <w:r w:rsidRPr="00834D52">
        <w:rPr>
          <w:rFonts w:ascii="Sylfaen" w:hAnsi="Sylfaen"/>
          <w:spacing w:val="-4"/>
          <w:sz w:val="24"/>
          <w:szCs w:val="24"/>
        </w:rPr>
        <w:t>ն, բժշկական կիրառման հրահանգի նախագիծը, փաթեթվածքների մանրակերտերը թարգմանել անդամ պետությունների լեզուներով, եթե վերջիններիս օրենսդրության մեջ առկա է համապատասխան պահանջ։</w:t>
      </w:r>
    </w:p>
    <w:p w14:paraId="5D0A23F3" w14:textId="77777777" w:rsidR="006F76EB" w:rsidRPr="00834D52" w:rsidRDefault="006F76EB" w:rsidP="00955C1D">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110.</w:t>
      </w:r>
      <w:r w:rsidRPr="00834D52">
        <w:rPr>
          <w:rFonts w:ascii="Sylfaen" w:hAnsi="Sylfaen"/>
          <w:sz w:val="24"/>
          <w:szCs w:val="24"/>
        </w:rPr>
        <w:tab/>
        <w:t>Ոչ ուշ, քան 30 օրացուցային օրվա ընթացքում (գրանցման հայտ ներկայացնելու օրվանից 205</w:t>
      </w:r>
      <w:r w:rsidRPr="008341C7">
        <w:rPr>
          <w:rFonts w:ascii="Sylfaen" w:hAnsi="Sylfaen"/>
          <w:sz w:val="24"/>
          <w:szCs w:val="24"/>
        </w:rPr>
        <w:t>-</w:t>
      </w:r>
      <w:r w:rsidRPr="00834D52">
        <w:rPr>
          <w:rFonts w:ascii="Sylfaen" w:hAnsi="Sylfaen"/>
          <w:sz w:val="24"/>
          <w:szCs w:val="24"/>
        </w:rPr>
        <w:t>րդ օրացուցային օրը)՝</w:t>
      </w:r>
    </w:p>
    <w:p w14:paraId="69121A0F"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լիազորված մարմինը սույն Կանոնների </w:t>
      </w:r>
      <w:r w:rsidR="000839F9" w:rsidRPr="00F06D43">
        <w:rPr>
          <w:rFonts w:ascii="Sylfaen" w:hAnsi="Sylfaen"/>
          <w:sz w:val="24"/>
          <w:szCs w:val="24"/>
        </w:rPr>
        <w:br/>
      </w:r>
      <w:r w:rsidRPr="00834D52">
        <w:rPr>
          <w:rFonts w:ascii="Sylfaen" w:hAnsi="Sylfaen"/>
          <w:sz w:val="24"/>
          <w:szCs w:val="24"/>
        </w:rPr>
        <w:t>թիվ 17 հավելվածին համապատասխան սահմանված ձ</w:t>
      </w:r>
      <w:r w:rsidR="00C54D75">
        <w:rPr>
          <w:rFonts w:ascii="Sylfaen" w:hAnsi="Sylfaen"/>
          <w:sz w:val="24"/>
          <w:szCs w:val="24"/>
        </w:rPr>
        <w:t>և</w:t>
      </w:r>
      <w:r w:rsidRPr="00834D52">
        <w:rPr>
          <w:rFonts w:ascii="Sylfaen" w:hAnsi="Sylfaen"/>
          <w:sz w:val="24"/>
          <w:szCs w:val="24"/>
        </w:rPr>
        <w:t>ով հայտատուին տրամադրում է դեղապատրաստուկի գրանցման հավաստագիրը, հաստատված ԴՊԸԲ</w:t>
      </w:r>
      <w:r w:rsidRPr="008341C7">
        <w:rPr>
          <w:rFonts w:ascii="Sylfaen" w:hAnsi="Sylfaen"/>
          <w:sz w:val="24"/>
          <w:szCs w:val="24"/>
        </w:rPr>
        <w:t>-</w:t>
      </w:r>
      <w:r w:rsidRPr="00834D52">
        <w:rPr>
          <w:rFonts w:ascii="Sylfaen" w:hAnsi="Sylfaen"/>
          <w:sz w:val="24"/>
          <w:szCs w:val="24"/>
        </w:rPr>
        <w:t xml:space="preserve">ները, բժշկական կիրառման հրահանգը, որակի նորմատիվ փաստաթուղթը, փաթեթվածքների մանրակերտերը, գնահատման վերաբերյալ փորձագիտական հաշվետվությունը (անհրաժեշտության դեպքում հայտատուին </w:t>
      </w:r>
      <w:r w:rsidR="009F49FE">
        <w:rPr>
          <w:rFonts w:ascii="Sylfaen" w:hAnsi="Sylfaen"/>
          <w:sz w:val="24"/>
          <w:szCs w:val="24"/>
        </w:rPr>
        <w:t xml:space="preserve">ռեֆերենտ </w:t>
      </w:r>
      <w:r w:rsidRPr="00834D52">
        <w:rPr>
          <w:rFonts w:ascii="Sylfaen" w:hAnsi="Sylfaen"/>
          <w:sz w:val="24"/>
          <w:szCs w:val="24"/>
        </w:rPr>
        <w:t>պետության պետական լեզվով տրամադրվում են հաստատված ԴՊԸԲ</w:t>
      </w:r>
      <w:r w:rsidRPr="008341C7">
        <w:rPr>
          <w:rFonts w:ascii="Sylfaen" w:hAnsi="Sylfaen"/>
          <w:sz w:val="24"/>
          <w:szCs w:val="24"/>
        </w:rPr>
        <w:t>-</w:t>
      </w:r>
      <w:r w:rsidRPr="00834D52">
        <w:rPr>
          <w:rFonts w:ascii="Sylfaen" w:hAnsi="Sylfaen"/>
          <w:sz w:val="24"/>
          <w:szCs w:val="24"/>
        </w:rPr>
        <w:t xml:space="preserve">ները, դեղապատրաստուկի բժշկական կիրառման հրահանգը </w:t>
      </w:r>
      <w:r w:rsidR="00C54D75">
        <w:rPr>
          <w:rFonts w:ascii="Sylfaen" w:hAnsi="Sylfaen"/>
          <w:sz w:val="24"/>
          <w:szCs w:val="24"/>
        </w:rPr>
        <w:t>և</w:t>
      </w:r>
      <w:r w:rsidRPr="00834D52">
        <w:rPr>
          <w:rFonts w:ascii="Sylfaen" w:hAnsi="Sylfaen"/>
          <w:sz w:val="24"/>
          <w:szCs w:val="24"/>
        </w:rPr>
        <w:t xml:space="preserve"> փաթեթվածքների մանրակերտերը), ինչպես նա</w:t>
      </w:r>
      <w:r w:rsidR="00C54D75">
        <w:rPr>
          <w:rFonts w:ascii="Sylfaen" w:hAnsi="Sylfaen"/>
          <w:sz w:val="24"/>
          <w:szCs w:val="24"/>
        </w:rPr>
        <w:t>և</w:t>
      </w:r>
      <w:r w:rsidRPr="00834D52">
        <w:rPr>
          <w:rFonts w:ascii="Sylfaen" w:hAnsi="Sylfaen"/>
          <w:sz w:val="24"/>
          <w:szCs w:val="24"/>
        </w:rPr>
        <w:t xml:space="preserve"> անհրաժեշտության դեպքում՝ դեղապատրաստուկի կիրառման ժամանակ ռիսկերի կառավարման համաձայնեցված պլանը,</w:t>
      </w:r>
    </w:p>
    <w:p w14:paraId="767EAA28"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ճանաչման պետությունների լիազորված մարմինները սույն Կանոնների թիվ 17 հավելվածին համապատասխան սահմանված ձ</w:t>
      </w:r>
      <w:r w:rsidR="00C54D75">
        <w:rPr>
          <w:rFonts w:ascii="Sylfaen" w:hAnsi="Sylfaen"/>
          <w:sz w:val="24"/>
          <w:szCs w:val="24"/>
        </w:rPr>
        <w:t>և</w:t>
      </w:r>
      <w:r w:rsidRPr="00834D52">
        <w:rPr>
          <w:rFonts w:ascii="Sylfaen" w:hAnsi="Sylfaen"/>
          <w:sz w:val="24"/>
          <w:szCs w:val="24"/>
        </w:rPr>
        <w:t>ով դեղապատրաստուկի գրանցման հավաստագրերը, հաստատված ԴՊԸԲ</w:t>
      </w:r>
      <w:r w:rsidRPr="008341C7">
        <w:rPr>
          <w:rFonts w:ascii="Sylfaen" w:hAnsi="Sylfaen"/>
          <w:sz w:val="24"/>
          <w:szCs w:val="24"/>
        </w:rPr>
        <w:t>-</w:t>
      </w:r>
      <w:r w:rsidRPr="00834D52">
        <w:rPr>
          <w:rFonts w:ascii="Sylfaen" w:hAnsi="Sylfaen"/>
          <w:sz w:val="24"/>
          <w:szCs w:val="24"/>
        </w:rPr>
        <w:t>ները, բժշկական կիրառման հրահանգը, փաթեթվածքների մանրակերտերը, ինչպես նա</w:t>
      </w:r>
      <w:r w:rsidR="00C54D75">
        <w:rPr>
          <w:rFonts w:ascii="Sylfaen" w:hAnsi="Sylfaen"/>
          <w:sz w:val="24"/>
          <w:szCs w:val="24"/>
        </w:rPr>
        <w:t>և</w:t>
      </w:r>
      <w:r w:rsidRPr="00834D52">
        <w:rPr>
          <w:rFonts w:ascii="Sylfaen" w:hAnsi="Sylfaen"/>
          <w:sz w:val="24"/>
          <w:szCs w:val="24"/>
        </w:rPr>
        <w:t xml:space="preserve"> անհրաժեշտության դեպքում դեղապատրաստուկի կիրառման ժամանակ ռիսկերի կառավարման համաձայնեցված պլանը հայտատուին են տրամադրում ճանաչման </w:t>
      </w:r>
      <w:r w:rsidRPr="00834D52">
        <w:rPr>
          <w:rFonts w:ascii="Sylfaen" w:hAnsi="Sylfaen"/>
          <w:sz w:val="24"/>
          <w:szCs w:val="24"/>
        </w:rPr>
        <w:lastRenderedPageBreak/>
        <w:t>պետությունների պետական լեզվով (անդամ պետությունների օրենսդրության մեջ համապատասխան պահանջների առկայության դեպքում)։</w:t>
      </w:r>
    </w:p>
    <w:p w14:paraId="7452B245"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111.</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մարմինները դեղապատրաստուկի </w:t>
      </w:r>
      <w:r w:rsidR="00C54D75">
        <w:rPr>
          <w:rFonts w:ascii="Sylfaen" w:hAnsi="Sylfaen"/>
          <w:sz w:val="24"/>
          <w:szCs w:val="24"/>
        </w:rPr>
        <w:t>և</w:t>
      </w:r>
      <w:r w:rsidRPr="00834D52">
        <w:rPr>
          <w:rFonts w:ascii="Sylfaen" w:hAnsi="Sylfaen"/>
          <w:sz w:val="24"/>
          <w:szCs w:val="24"/>
        </w:rPr>
        <w:t xml:space="preserve"> դրա բաղադրության մեջ մտնող ակտիվ դեղագործական բաղադրամասերի մասին տեղեկությունները տեղադրում են միասնական ռեեստրում՝ կցելով հաստատված ԴՊԸԲ</w:t>
      </w:r>
      <w:r w:rsidRPr="008341C7">
        <w:rPr>
          <w:rFonts w:ascii="Sylfaen" w:hAnsi="Sylfaen"/>
          <w:sz w:val="24"/>
          <w:szCs w:val="24"/>
        </w:rPr>
        <w:t>-</w:t>
      </w:r>
      <w:r w:rsidRPr="00834D52">
        <w:rPr>
          <w:rFonts w:ascii="Sylfaen" w:hAnsi="Sylfaen"/>
          <w:sz w:val="24"/>
          <w:szCs w:val="24"/>
        </w:rPr>
        <w:t>ները, բժշկական կիրառման հրահանգները, փաթեթվածքների մանրակերտերը, որակի նորմատիվ փաստաթուղթը, ինչպես նա</w:t>
      </w:r>
      <w:r w:rsidR="00C54D75">
        <w:rPr>
          <w:rFonts w:ascii="Sylfaen" w:hAnsi="Sylfaen"/>
          <w:sz w:val="24"/>
          <w:szCs w:val="24"/>
        </w:rPr>
        <w:t>և</w:t>
      </w:r>
      <w:r w:rsidRPr="00834D52">
        <w:rPr>
          <w:rFonts w:ascii="Sylfaen" w:hAnsi="Sylfaen"/>
          <w:sz w:val="24"/>
          <w:szCs w:val="24"/>
        </w:rPr>
        <w:t xml:space="preserve"> սույն Կանոնների թիվ 16 հավելվածին համապատասխան կազմված՝ գնահատման վերաբերյալ եզրափակիչ փորձագիտական հաշվետվությունը՝ գաղտնի տվյալներն ու փորձագետների մասին տվյալները հանելուց հետո, ինչպես նա</w:t>
      </w:r>
      <w:r w:rsidR="00C54D75">
        <w:rPr>
          <w:rFonts w:ascii="Sylfaen" w:hAnsi="Sylfaen"/>
          <w:sz w:val="24"/>
          <w:szCs w:val="24"/>
        </w:rPr>
        <w:t>և</w:t>
      </w:r>
      <w:r w:rsidRPr="00834D52">
        <w:rPr>
          <w:rFonts w:ascii="Sylfaen" w:hAnsi="Sylfaen"/>
          <w:sz w:val="24"/>
          <w:szCs w:val="24"/>
        </w:rPr>
        <w:t xml:space="preserve"> դեղապատրաստուկի կիրառման ժամանակ ռիսկերի կառավարման համաձայնեցված պլանի ռեզյումեն (անհրաժեշտության դեպքում)՝ միասնական ռեեստրի ձ</w:t>
      </w:r>
      <w:r w:rsidR="00C54D75">
        <w:rPr>
          <w:rFonts w:ascii="Sylfaen" w:hAnsi="Sylfaen"/>
          <w:sz w:val="24"/>
          <w:szCs w:val="24"/>
        </w:rPr>
        <w:t>և</w:t>
      </w:r>
      <w:r w:rsidRPr="00834D52">
        <w:rPr>
          <w:rFonts w:ascii="Sylfaen" w:hAnsi="Sylfaen"/>
          <w:sz w:val="24"/>
          <w:szCs w:val="24"/>
        </w:rPr>
        <w:t xml:space="preserve">ավորման </w:t>
      </w:r>
      <w:r w:rsidR="00C54D75">
        <w:rPr>
          <w:rFonts w:ascii="Sylfaen" w:hAnsi="Sylfaen"/>
          <w:sz w:val="24"/>
          <w:szCs w:val="24"/>
        </w:rPr>
        <w:t>և</w:t>
      </w:r>
      <w:r w:rsidRPr="00834D52">
        <w:rPr>
          <w:rFonts w:ascii="Sylfaen" w:hAnsi="Sylfaen"/>
          <w:sz w:val="24"/>
          <w:szCs w:val="24"/>
        </w:rPr>
        <w:t xml:space="preserve"> վարման կարգին համապատասխան։</w:t>
      </w:r>
    </w:p>
    <w:p w14:paraId="238DF715"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112.</w:t>
      </w:r>
      <w:r w:rsidRPr="00834D52">
        <w:rPr>
          <w:rFonts w:ascii="Sylfaen" w:hAnsi="Sylfaen"/>
          <w:sz w:val="24"/>
          <w:szCs w:val="24"/>
        </w:rPr>
        <w:tab/>
        <w:t xml:space="preserve">Ճանաչման պետության լիազորված մարմինը դեղապատրաստուկի գրանցման հավաստագիրը տրամադրում է գրանցման հավաստագրի գործողության՝ </w:t>
      </w:r>
      <w:r w:rsidR="009F49FE">
        <w:rPr>
          <w:rFonts w:ascii="Sylfaen" w:hAnsi="Sylfaen"/>
          <w:sz w:val="24"/>
          <w:szCs w:val="24"/>
        </w:rPr>
        <w:t xml:space="preserve">ռեֆերենտ </w:t>
      </w:r>
      <w:r w:rsidRPr="00834D52">
        <w:rPr>
          <w:rFonts w:ascii="Sylfaen" w:hAnsi="Sylfaen"/>
          <w:sz w:val="24"/>
          <w:szCs w:val="24"/>
        </w:rPr>
        <w:t>պետության լիազորված մարմնի կողմից սահմանված ժամկետով։</w:t>
      </w:r>
    </w:p>
    <w:p w14:paraId="184C9767"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113.</w:t>
      </w:r>
      <w:r w:rsidRPr="00834D52">
        <w:rPr>
          <w:rFonts w:ascii="Sylfaen" w:hAnsi="Sylfaen"/>
          <w:sz w:val="24"/>
          <w:szCs w:val="24"/>
        </w:rPr>
        <w:tab/>
        <w:t>Դեղապատրաստուկի որակի, անվտանգության կամ արդյունավետության գնահատման համար կար</w:t>
      </w:r>
      <w:r w:rsidR="00C54D75">
        <w:rPr>
          <w:rFonts w:ascii="Sylfaen" w:hAnsi="Sylfaen"/>
          <w:sz w:val="24"/>
          <w:szCs w:val="24"/>
        </w:rPr>
        <w:t>և</w:t>
      </w:r>
      <w:r w:rsidRPr="00834D52">
        <w:rPr>
          <w:rFonts w:ascii="Sylfaen" w:hAnsi="Sylfaen"/>
          <w:sz w:val="24"/>
          <w:szCs w:val="24"/>
        </w:rPr>
        <w:t>որ նոր տեղեկատվության ի</w:t>
      </w:r>
      <w:r w:rsidR="00C44BED" w:rsidRPr="00C44BED">
        <w:rPr>
          <w:rFonts w:ascii="Sylfaen" w:hAnsi="Sylfaen"/>
          <w:sz w:val="24"/>
          <w:szCs w:val="24"/>
        </w:rPr>
        <w:t> </w:t>
      </w:r>
      <w:r w:rsidRPr="00834D52">
        <w:rPr>
          <w:rFonts w:ascii="Sylfaen" w:hAnsi="Sylfaen"/>
          <w:sz w:val="24"/>
          <w:szCs w:val="24"/>
        </w:rPr>
        <w:t xml:space="preserve">հայտ գալու դեպքում </w:t>
      </w:r>
      <w:r w:rsidR="009F49FE">
        <w:rPr>
          <w:rFonts w:ascii="Sylfaen" w:hAnsi="Sylfaen"/>
          <w:sz w:val="24"/>
          <w:szCs w:val="24"/>
        </w:rPr>
        <w:t xml:space="preserve">ռեֆերենտ </w:t>
      </w:r>
      <w:r w:rsidRPr="00834D52">
        <w:rPr>
          <w:rFonts w:ascii="Sylfaen" w:hAnsi="Sylfaen"/>
          <w:sz w:val="24"/>
          <w:szCs w:val="24"/>
        </w:rPr>
        <w:t>պետությունը գրանցման դոսյեում փոփոխություններ կատարելու ընթացակարգի անցկացման շրջանակներում պետք է թարմացնի գնահատման վերաբերյալ փորձագիտական հաշվետվությունը։</w:t>
      </w:r>
    </w:p>
    <w:p w14:paraId="4D591BCA" w14:textId="77777777" w:rsidR="006F76EB" w:rsidRPr="00834D52" w:rsidRDefault="006F76EB" w:rsidP="00955C1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114.</w:t>
      </w:r>
      <w:r w:rsidRPr="00834D52">
        <w:rPr>
          <w:rFonts w:ascii="Sylfaen" w:hAnsi="Sylfaen"/>
          <w:sz w:val="24"/>
          <w:szCs w:val="24"/>
        </w:rPr>
        <w:tab/>
      </w:r>
      <w:r w:rsidR="009F49FE">
        <w:rPr>
          <w:rFonts w:ascii="Sylfaen" w:hAnsi="Sylfaen"/>
          <w:sz w:val="24"/>
          <w:szCs w:val="24"/>
        </w:rPr>
        <w:t xml:space="preserve">Ռեֆերենտ </w:t>
      </w:r>
      <w:r w:rsidRPr="00834D52">
        <w:rPr>
          <w:rFonts w:ascii="Sylfaen" w:hAnsi="Sylfaen"/>
          <w:sz w:val="24"/>
          <w:szCs w:val="24"/>
        </w:rPr>
        <w:t>պետության լիազորված մարմինը մերժում է ապակենտրոնացված ընթացակարգով գրանցումը հետ</w:t>
      </w:r>
      <w:r w:rsidR="00C54D75">
        <w:rPr>
          <w:rFonts w:ascii="Sylfaen" w:hAnsi="Sylfaen"/>
          <w:sz w:val="24"/>
          <w:szCs w:val="24"/>
        </w:rPr>
        <w:t>և</w:t>
      </w:r>
      <w:r w:rsidRPr="00834D52">
        <w:rPr>
          <w:rFonts w:ascii="Sylfaen" w:hAnsi="Sylfaen"/>
          <w:sz w:val="24"/>
          <w:szCs w:val="24"/>
        </w:rPr>
        <w:t>յալ դեպքերում՝</w:t>
      </w:r>
    </w:p>
    <w:p w14:paraId="6E8BF842" w14:textId="77777777" w:rsidR="006F76EB" w:rsidRPr="00834D52" w:rsidRDefault="006F76EB" w:rsidP="009073F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դեղապատրաստուկի կիրառման հետ կապված հնարավոր ռիսկերի նկատմամբ ակնկալվող օգուտի հարաբերակցությունը բարենպաստ չէ,</w:t>
      </w:r>
    </w:p>
    <w:p w14:paraId="0AC0010E" w14:textId="77777777" w:rsidR="006F76EB" w:rsidRPr="00834D52" w:rsidRDefault="006F76EB" w:rsidP="009073F4">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բ)</w:t>
      </w:r>
      <w:r w:rsidRPr="00834D52">
        <w:rPr>
          <w:rFonts w:ascii="Sylfaen" w:hAnsi="Sylfaen"/>
          <w:sz w:val="24"/>
          <w:szCs w:val="24"/>
        </w:rPr>
        <w:tab/>
        <w:t>դեղապատրաստուկի արդյունավետությունը չի հաստատվել հայտատուի ներկայացրած տվյալներով,</w:t>
      </w:r>
    </w:p>
    <w:p w14:paraId="02F519FB" w14:textId="77777777" w:rsidR="006F76EB" w:rsidRPr="00834D52" w:rsidRDefault="006F76EB" w:rsidP="009073F4">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դեղապատրաստուկի որակը չի հաստատվել,</w:t>
      </w:r>
    </w:p>
    <w:p w14:paraId="0FF265E3" w14:textId="77777777" w:rsidR="006F76EB" w:rsidRPr="00834D52" w:rsidRDefault="006F76EB" w:rsidP="009073F4">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որակի վերահսկողության առաջարկված մեթոդներն ու մեթոդիկաները վերարտադրելի չեն,</w:t>
      </w:r>
    </w:p>
    <w:p w14:paraId="613B75AE" w14:textId="77777777" w:rsidR="006F76EB" w:rsidRPr="00834D52" w:rsidRDefault="006F76EB" w:rsidP="009073F4">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հայտատուն ներկայացրել է ոչ հավաստի տեղեկություններ,</w:t>
      </w:r>
    </w:p>
    <w:p w14:paraId="411E783E" w14:textId="77777777" w:rsidR="006F76EB" w:rsidRPr="00834D52" w:rsidRDefault="006F76EB" w:rsidP="009073F4">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նշանակված տեսչական ստուգման արդյունքներով դեղապատրաստուկի գրանցման ժամանակահատվածում չի հաստատվել դրա համապատասխանությունը Միության պատշաճ դեղագործական գործելակերպերին։</w:t>
      </w:r>
    </w:p>
    <w:p w14:paraId="48F7A8CE" w14:textId="77777777" w:rsidR="006F76EB" w:rsidRPr="00834D52" w:rsidRDefault="006F76EB" w:rsidP="00955C1D">
      <w:pPr>
        <w:tabs>
          <w:tab w:val="left" w:pos="1134"/>
        </w:tabs>
        <w:spacing w:after="160" w:line="341" w:lineRule="auto"/>
        <w:ind w:right="-6" w:firstLine="567"/>
        <w:jc w:val="both"/>
        <w:rPr>
          <w:rFonts w:ascii="Sylfaen" w:hAnsi="Sylfaen"/>
          <w:spacing w:val="-4"/>
          <w:sz w:val="24"/>
          <w:szCs w:val="24"/>
        </w:rPr>
      </w:pPr>
      <w:r w:rsidRPr="00834D52">
        <w:rPr>
          <w:rFonts w:ascii="Sylfaen" w:hAnsi="Sylfaen"/>
          <w:spacing w:val="-4"/>
          <w:sz w:val="24"/>
          <w:szCs w:val="24"/>
        </w:rPr>
        <w:t>115.</w:t>
      </w:r>
      <w:r w:rsidRPr="00834D52">
        <w:rPr>
          <w:rFonts w:ascii="Sylfaen" w:hAnsi="Sylfaen"/>
          <w:spacing w:val="-4"/>
          <w:sz w:val="24"/>
          <w:szCs w:val="24"/>
        </w:rPr>
        <w:tab/>
        <w:t xml:space="preserve">Ճանաչման պետության լիազորված մարմինը չի ճանաչում </w:t>
      </w:r>
      <w:r w:rsidR="009F49FE">
        <w:rPr>
          <w:rFonts w:ascii="Sylfaen" w:hAnsi="Sylfaen"/>
          <w:spacing w:val="-4"/>
          <w:sz w:val="24"/>
          <w:szCs w:val="24"/>
        </w:rPr>
        <w:t xml:space="preserve">ռեֆերենտ </w:t>
      </w:r>
      <w:r w:rsidRPr="00834D52">
        <w:rPr>
          <w:rFonts w:ascii="Sylfaen" w:hAnsi="Sylfaen"/>
          <w:spacing w:val="-4"/>
          <w:sz w:val="24"/>
          <w:szCs w:val="24"/>
        </w:rPr>
        <w:t xml:space="preserve">պետության փորձագիտական կազմակերպության պատրաստած՝ գնահատման վերաբերյալ փորձագիտական հաշվետվությունը </w:t>
      </w:r>
      <w:r w:rsidR="00C54D75">
        <w:rPr>
          <w:rFonts w:ascii="Sylfaen" w:hAnsi="Sylfaen"/>
          <w:spacing w:val="-4"/>
          <w:sz w:val="24"/>
          <w:szCs w:val="24"/>
        </w:rPr>
        <w:t>և</w:t>
      </w:r>
      <w:r w:rsidRPr="00834D52">
        <w:rPr>
          <w:rFonts w:ascii="Sylfaen" w:hAnsi="Sylfaen"/>
          <w:spacing w:val="-4"/>
          <w:sz w:val="24"/>
          <w:szCs w:val="24"/>
        </w:rPr>
        <w:t xml:space="preserve"> դրանով իսկ մերժում է ապակենտրոնացված ընթացակարգով դեղապատրաստուկի գրանցումը, եթե դեղապատրաստուկի գրանցման դոսյեի փորձաքննության արդյունքներով </w:t>
      </w:r>
      <w:r w:rsidR="00C54D75">
        <w:rPr>
          <w:rFonts w:ascii="Sylfaen" w:hAnsi="Sylfaen"/>
          <w:spacing w:val="-4"/>
          <w:sz w:val="24"/>
          <w:szCs w:val="24"/>
        </w:rPr>
        <w:t>և</w:t>
      </w:r>
      <w:r w:rsidRPr="00834D52">
        <w:rPr>
          <w:rFonts w:ascii="Sylfaen" w:hAnsi="Sylfaen"/>
          <w:spacing w:val="-4"/>
          <w:sz w:val="24"/>
          <w:szCs w:val="24"/>
        </w:rPr>
        <w:t xml:space="preserve"> Փորձագիտական կոմիտեում տարաձայնությունների կարգավորման ընթացակարգ անցկացնելուց հետո վերջինս որոշում է կայացրել, որ գնահատման վերաբերյալ փորձագիտական հաշվետվության մեջ ներկայացված տվյալները չեն կարող բավարար ճանաչվել դեղապատրաստուկի որակի </w:t>
      </w:r>
      <w:r w:rsidR="00C54D75">
        <w:rPr>
          <w:rFonts w:ascii="Sylfaen" w:hAnsi="Sylfaen"/>
          <w:spacing w:val="-4"/>
          <w:sz w:val="24"/>
          <w:szCs w:val="24"/>
        </w:rPr>
        <w:t>և</w:t>
      </w:r>
      <w:r w:rsidRPr="00834D52">
        <w:rPr>
          <w:rFonts w:ascii="Sylfaen" w:hAnsi="Sylfaen"/>
          <w:spacing w:val="-4"/>
          <w:sz w:val="24"/>
          <w:szCs w:val="24"/>
        </w:rPr>
        <w:t xml:space="preserve"> (կամ) արդյունավետության </w:t>
      </w:r>
      <w:r w:rsidR="00C54D75">
        <w:rPr>
          <w:rFonts w:ascii="Sylfaen" w:hAnsi="Sylfaen"/>
          <w:spacing w:val="-4"/>
          <w:sz w:val="24"/>
          <w:szCs w:val="24"/>
        </w:rPr>
        <w:t>և</w:t>
      </w:r>
      <w:r w:rsidRPr="00834D52">
        <w:rPr>
          <w:rFonts w:ascii="Sylfaen" w:hAnsi="Sylfaen"/>
          <w:spacing w:val="-4"/>
          <w:sz w:val="24"/>
          <w:szCs w:val="24"/>
        </w:rPr>
        <w:t xml:space="preserve"> (կամ) օգուտ</w:t>
      </w:r>
      <w:r w:rsidRPr="008341C7">
        <w:rPr>
          <w:rFonts w:ascii="Sylfaen" w:hAnsi="Sylfaen"/>
          <w:spacing w:val="-4"/>
          <w:sz w:val="24"/>
          <w:szCs w:val="24"/>
        </w:rPr>
        <w:t>-</w:t>
      </w:r>
      <w:r w:rsidRPr="00834D52">
        <w:rPr>
          <w:rFonts w:ascii="Sylfaen" w:hAnsi="Sylfaen"/>
          <w:spacing w:val="-4"/>
          <w:sz w:val="24"/>
          <w:szCs w:val="24"/>
        </w:rPr>
        <w:t>ռիսկ բարենպաստ հարաբերակցության հաստատման համար։</w:t>
      </w:r>
    </w:p>
    <w:p w14:paraId="6013CF36" w14:textId="77777777" w:rsidR="006F76EB" w:rsidRPr="008341C7" w:rsidRDefault="006F76EB" w:rsidP="009073F4">
      <w:pPr>
        <w:widowControl/>
        <w:spacing w:line="341" w:lineRule="auto"/>
        <w:ind w:left="567" w:right="565"/>
        <w:jc w:val="center"/>
        <w:rPr>
          <w:rFonts w:ascii="Sylfaen" w:hAnsi="Sylfaen"/>
          <w:sz w:val="24"/>
          <w:szCs w:val="24"/>
        </w:rPr>
      </w:pPr>
    </w:p>
    <w:p w14:paraId="7301256D" w14:textId="77777777" w:rsidR="006F76EB" w:rsidRPr="00834D52" w:rsidRDefault="006F76EB" w:rsidP="009073F4">
      <w:pPr>
        <w:widowControl/>
        <w:spacing w:line="360"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VII. Հետգրանցումային միջոցների սահմանում </w:t>
      </w:r>
      <w:r w:rsidRPr="00834D52">
        <w:rPr>
          <w:rFonts w:ascii="Sylfaen" w:hAnsi="Sylfaen"/>
          <w:sz w:val="24"/>
          <w:szCs w:val="24"/>
        </w:rPr>
        <w:br/>
        <w:t>(պայմաններով գրանցում)</w:t>
      </w:r>
    </w:p>
    <w:p w14:paraId="0E05CC7F"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116.</w:t>
      </w:r>
      <w:r w:rsidRPr="00834D52">
        <w:rPr>
          <w:rFonts w:ascii="Sylfaen" w:hAnsi="Sylfaen"/>
          <w:sz w:val="24"/>
          <w:szCs w:val="24"/>
        </w:rPr>
        <w:tab/>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գրանցման հետ կապված ընթացակարգերի իրականացման ժամանակ </w:t>
      </w:r>
      <w:r w:rsidR="009F49FE">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դեղապատրաստուկի նկատմամբ կարող է սահմանել հետ</w:t>
      </w:r>
      <w:r w:rsidR="00C54D75">
        <w:rPr>
          <w:rFonts w:ascii="Sylfaen" w:hAnsi="Sylfaen"/>
          <w:sz w:val="24"/>
          <w:szCs w:val="24"/>
        </w:rPr>
        <w:t>և</w:t>
      </w:r>
      <w:r w:rsidRPr="00834D52">
        <w:rPr>
          <w:rFonts w:ascii="Sylfaen" w:hAnsi="Sylfaen"/>
          <w:sz w:val="24"/>
          <w:szCs w:val="24"/>
        </w:rPr>
        <w:t>յալ լրացուցիչ պահանջներից մեկը կամ մի</w:t>
      </w:r>
      <w:r w:rsidR="004D1538" w:rsidRPr="00307589">
        <w:rPr>
          <w:rFonts w:ascii="Sylfaen" w:hAnsi="Sylfaen"/>
          <w:sz w:val="24"/>
          <w:szCs w:val="24"/>
        </w:rPr>
        <w:t> </w:t>
      </w:r>
      <w:r w:rsidRPr="00834D52">
        <w:rPr>
          <w:rFonts w:ascii="Sylfaen" w:hAnsi="Sylfaen"/>
          <w:sz w:val="24"/>
          <w:szCs w:val="24"/>
        </w:rPr>
        <w:t>քանիսը՝</w:t>
      </w:r>
    </w:p>
    <w:p w14:paraId="0F82EE6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ռիսկերի կառավարման համակարգում որոշակի միջոցների ընդգրկում՝ դեղապատրաստուկի անվտանգ կիրառումն ապահովելու նպատակով,</w:t>
      </w:r>
    </w:p>
    <w:p w14:paraId="2D004C65"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անվտանգության հետգրանցումային հետազոտությունների անցկացում,</w:t>
      </w:r>
    </w:p>
    <w:p w14:paraId="7F7F7EE7"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w:t>
      </w:r>
      <w:r w:rsidR="00C54D75">
        <w:rPr>
          <w:rFonts w:ascii="Sylfaen" w:hAnsi="Sylfaen"/>
          <w:sz w:val="24"/>
          <w:szCs w:val="24"/>
        </w:rPr>
        <w:t>և</w:t>
      </w:r>
      <w:r w:rsidRPr="00834D52">
        <w:rPr>
          <w:rFonts w:ascii="Sylfaen" w:hAnsi="Sylfaen"/>
          <w:sz w:val="24"/>
          <w:szCs w:val="24"/>
        </w:rPr>
        <w:t xml:space="preserve"> կասկածելի անցանկալի ռեակցիաների մասին հաղորդագրություններ ներկայացնելու նկատմամբ լրացուցիչ պահանջների սահմանում,</w:t>
      </w:r>
    </w:p>
    <w:p w14:paraId="5934574E"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արդյունավետության հետգրանցումային հետազոտությունների, անհրաժեշտության դեպքում՝ դեղապատրաստուկի արդյունավետության տարբեր ասպեկտների հետազոտությունների անցկացում, որոնք չեն կարող հետազոտվել մինչ</w:t>
      </w:r>
      <w:r w:rsidR="00C54D75">
        <w:rPr>
          <w:rFonts w:ascii="Sylfaen" w:hAnsi="Sylfaen"/>
          <w:sz w:val="24"/>
          <w:szCs w:val="24"/>
        </w:rPr>
        <w:t>և</w:t>
      </w:r>
      <w:r w:rsidRPr="00834D52">
        <w:rPr>
          <w:rFonts w:ascii="Sylfaen" w:hAnsi="Sylfaen"/>
          <w:sz w:val="24"/>
          <w:szCs w:val="24"/>
        </w:rPr>
        <w:t xml:space="preserve"> դեղապատրաստուկի իրացումն սկսելը,</w:t>
      </w:r>
    </w:p>
    <w:p w14:paraId="4806410C"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անվտանգ </w:t>
      </w:r>
      <w:r w:rsidR="00C54D75">
        <w:rPr>
          <w:rFonts w:ascii="Sylfaen" w:hAnsi="Sylfaen"/>
          <w:sz w:val="24"/>
          <w:szCs w:val="24"/>
        </w:rPr>
        <w:t>և</w:t>
      </w:r>
      <w:r w:rsidRPr="00834D52">
        <w:rPr>
          <w:rFonts w:ascii="Sylfaen" w:hAnsi="Sylfaen"/>
          <w:sz w:val="24"/>
          <w:szCs w:val="24"/>
        </w:rPr>
        <w:t xml:space="preserve"> արդյունավետ կիրառման նպատակով այլ պայմաններ կամ սահմանափակումներ՝ Եվրասիական տնտեսական միության Դեղազգոնության պատշաճ գործելակերպի կանոններին համապատասխան։</w:t>
      </w:r>
    </w:p>
    <w:p w14:paraId="32FA50E9"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Սահմանված պայմաններն ու սահմանափակումները, ինչպես նա</w:t>
      </w:r>
      <w:r w:rsidR="00C54D75">
        <w:rPr>
          <w:rFonts w:ascii="Sylfaen" w:hAnsi="Sylfaen"/>
          <w:sz w:val="24"/>
          <w:szCs w:val="24"/>
        </w:rPr>
        <w:t>և</w:t>
      </w:r>
      <w:r w:rsidRPr="00834D52">
        <w:rPr>
          <w:rFonts w:ascii="Sylfaen" w:hAnsi="Sylfaen"/>
          <w:sz w:val="24"/>
          <w:szCs w:val="24"/>
        </w:rPr>
        <w:t xml:space="preserve"> դրանք կատարելու ժամկետները նշվում են գրանցման հավաստագրում, միասնական ռեեստրում, ինչպես նա</w:t>
      </w:r>
      <w:r w:rsidR="00C54D75">
        <w:rPr>
          <w:rFonts w:ascii="Sylfaen" w:hAnsi="Sylfaen"/>
          <w:sz w:val="24"/>
          <w:szCs w:val="24"/>
        </w:rPr>
        <w:t>և</w:t>
      </w:r>
      <w:r w:rsidRPr="00834D52">
        <w:rPr>
          <w:rFonts w:ascii="Sylfaen" w:hAnsi="Sylfaen"/>
          <w:sz w:val="24"/>
          <w:szCs w:val="24"/>
        </w:rPr>
        <w:t xml:space="preserve"> ԴՊԸԲ</w:t>
      </w:r>
      <w:r w:rsidRPr="008341C7">
        <w:rPr>
          <w:rFonts w:ascii="Sylfaen" w:hAnsi="Sylfaen"/>
          <w:sz w:val="24"/>
          <w:szCs w:val="24"/>
        </w:rPr>
        <w:t>-</w:t>
      </w:r>
      <w:r w:rsidRPr="00834D52">
        <w:rPr>
          <w:rFonts w:ascii="Sylfaen" w:hAnsi="Sylfaen"/>
          <w:sz w:val="24"/>
          <w:szCs w:val="24"/>
        </w:rPr>
        <w:t xml:space="preserve">ում </w:t>
      </w:r>
      <w:r w:rsidR="00C54D75">
        <w:rPr>
          <w:rFonts w:ascii="Sylfaen" w:hAnsi="Sylfaen"/>
          <w:sz w:val="24"/>
          <w:szCs w:val="24"/>
        </w:rPr>
        <w:t>և</w:t>
      </w:r>
      <w:r w:rsidRPr="00834D52">
        <w:rPr>
          <w:rFonts w:ascii="Sylfaen" w:hAnsi="Sylfaen"/>
          <w:sz w:val="24"/>
          <w:szCs w:val="24"/>
        </w:rPr>
        <w:t xml:space="preserve"> բժշկական կիրառման հրահանգում։</w:t>
      </w:r>
    </w:p>
    <w:p w14:paraId="47FED588"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117.</w:t>
      </w:r>
      <w:r w:rsidRPr="00834D52">
        <w:rPr>
          <w:rFonts w:ascii="Sylfaen" w:hAnsi="Sylfaen"/>
          <w:sz w:val="24"/>
          <w:szCs w:val="24"/>
        </w:rPr>
        <w:tab/>
        <w:t xml:space="preserve">Սույն կետում նկարագրված ընթացակարգերի օբյեկտ հանդիսացող դեղապատրաստուկի՝ Միության շուկայում հետագայում նույնպես գտնվելը հնարավոր է միայն գրանցման անդամ պետության լիազորված մարմնի (փորձագիտական կազմակերպության) կողմից անցկացվող՝ </w:t>
      </w:r>
      <w:r w:rsidR="00E90FAF" w:rsidRPr="00E90FAF">
        <w:rPr>
          <w:rFonts w:ascii="Sylfaen" w:hAnsi="Sylfaen"/>
          <w:sz w:val="24"/>
          <w:szCs w:val="24"/>
        </w:rPr>
        <w:t>«</w:t>
      </w:r>
      <w:r w:rsidRPr="00834D52">
        <w:rPr>
          <w:rFonts w:ascii="Sylfaen" w:hAnsi="Sylfaen"/>
          <w:sz w:val="24"/>
          <w:szCs w:val="24"/>
        </w:rPr>
        <w:t>օգուտ</w:t>
      </w:r>
      <w:r w:rsidRPr="008341C7">
        <w:rPr>
          <w:rFonts w:ascii="Sylfaen" w:hAnsi="Sylfaen"/>
          <w:sz w:val="24"/>
          <w:szCs w:val="24"/>
        </w:rPr>
        <w:t>-</w:t>
      </w:r>
      <w:r w:rsidRPr="00834D52">
        <w:rPr>
          <w:rFonts w:ascii="Sylfaen" w:hAnsi="Sylfaen"/>
          <w:sz w:val="24"/>
          <w:szCs w:val="24"/>
        </w:rPr>
        <w:t>ռիսկ</w:t>
      </w:r>
      <w:r w:rsidR="00E90FAF" w:rsidRPr="00E90FAF">
        <w:rPr>
          <w:rFonts w:ascii="Sylfaen" w:hAnsi="Sylfaen"/>
          <w:sz w:val="24"/>
          <w:szCs w:val="24"/>
        </w:rPr>
        <w:t>»</w:t>
      </w:r>
      <w:r w:rsidRPr="00834D52">
        <w:rPr>
          <w:rFonts w:ascii="Sylfaen" w:hAnsi="Sylfaen"/>
          <w:sz w:val="24"/>
          <w:szCs w:val="24"/>
        </w:rPr>
        <w:t xml:space="preserve"> հարաբերակցության տարեկան վերագնահատման հիման վրա՝ դեղապատրաստուկի գնահատման վերաբերյալ փորձագիտական հաշվետվություն պատրաստելով։</w:t>
      </w:r>
    </w:p>
    <w:p w14:paraId="1652A8E9" w14:textId="77777777" w:rsidR="006F76EB" w:rsidRPr="00834D52" w:rsidRDefault="0032680A" w:rsidP="006F76EB">
      <w:pPr>
        <w:tabs>
          <w:tab w:val="left" w:pos="1134"/>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 xml:space="preserve">պետության լիազորված մարմինն իրավասու է չեղյալ համարել դեղապատրաստուկի գրանցման հավաստագիրը, եթե, սույն Կանոնների </w:t>
      </w:r>
      <w:r w:rsidR="00C44BED" w:rsidRPr="0032680A">
        <w:rPr>
          <w:rFonts w:ascii="Sylfaen" w:hAnsi="Sylfaen"/>
          <w:sz w:val="24"/>
          <w:szCs w:val="24"/>
        </w:rPr>
        <w:br/>
      </w:r>
      <w:r w:rsidR="006F76EB" w:rsidRPr="00834D52">
        <w:rPr>
          <w:rFonts w:ascii="Sylfaen" w:hAnsi="Sylfaen"/>
          <w:sz w:val="24"/>
          <w:szCs w:val="24"/>
        </w:rPr>
        <w:t>116</w:t>
      </w:r>
      <w:r w:rsidR="006F76EB" w:rsidRPr="008341C7">
        <w:rPr>
          <w:rFonts w:ascii="Sylfaen" w:hAnsi="Sylfaen"/>
          <w:sz w:val="24"/>
          <w:szCs w:val="24"/>
        </w:rPr>
        <w:t>-</w:t>
      </w:r>
      <w:r w:rsidR="006F76EB" w:rsidRPr="00834D52">
        <w:rPr>
          <w:rFonts w:ascii="Sylfaen" w:hAnsi="Sylfaen"/>
          <w:sz w:val="24"/>
          <w:szCs w:val="24"/>
        </w:rPr>
        <w:t xml:space="preserve">րդ կետին համապատասխան, տվյալ դեղապատրաստուկի նկատմամբ դրա </w:t>
      </w:r>
      <w:r w:rsidR="006F76EB" w:rsidRPr="00834D52">
        <w:rPr>
          <w:rFonts w:ascii="Sylfaen" w:hAnsi="Sylfaen"/>
          <w:sz w:val="24"/>
          <w:szCs w:val="24"/>
        </w:rPr>
        <w:lastRenderedPageBreak/>
        <w:t xml:space="preserve">գրանցման կամ գրանցման հետ կապված ընթացակարգերի իրականացման ժամանակ գրանցման հավաստագրի իրավատիրոջ կողմից չեն կատարվել </w:t>
      </w:r>
      <w:r w:rsidR="009F49FE">
        <w:rPr>
          <w:rFonts w:ascii="Sylfaen" w:hAnsi="Sylfaen"/>
          <w:sz w:val="24"/>
          <w:szCs w:val="24"/>
        </w:rPr>
        <w:t xml:space="preserve">ռեֆերենտ </w:t>
      </w:r>
      <w:r w:rsidR="006F76EB" w:rsidRPr="00834D52">
        <w:rPr>
          <w:rFonts w:ascii="Sylfaen" w:hAnsi="Sylfaen"/>
          <w:sz w:val="24"/>
          <w:szCs w:val="24"/>
        </w:rPr>
        <w:t xml:space="preserve">պետության լիազորված մարմնի (փորձագիտական կազմակերպության) կողմից սահմանված պահանջները </w:t>
      </w:r>
      <w:r w:rsidR="00C54D75">
        <w:rPr>
          <w:rFonts w:ascii="Sylfaen" w:hAnsi="Sylfaen"/>
          <w:sz w:val="24"/>
          <w:szCs w:val="24"/>
        </w:rPr>
        <w:t>և</w:t>
      </w:r>
      <w:r w:rsidR="006F76EB" w:rsidRPr="00834D52">
        <w:rPr>
          <w:rFonts w:ascii="Sylfaen" w:hAnsi="Sylfaen"/>
          <w:sz w:val="24"/>
          <w:szCs w:val="24"/>
        </w:rPr>
        <w:t xml:space="preserve"> </w:t>
      </w:r>
      <w:r>
        <w:rPr>
          <w:rFonts w:ascii="Sylfaen" w:hAnsi="Sylfaen"/>
          <w:sz w:val="24"/>
          <w:szCs w:val="24"/>
        </w:rPr>
        <w:t xml:space="preserve">ռեֆերենտ </w:t>
      </w:r>
      <w:r w:rsidR="006F76EB" w:rsidRPr="00834D52">
        <w:rPr>
          <w:rFonts w:ascii="Sylfaen" w:hAnsi="Sylfaen"/>
          <w:sz w:val="24"/>
          <w:szCs w:val="24"/>
        </w:rPr>
        <w:t xml:space="preserve">պետության լիազորված մարմնի (փորձագիտական կազմակերպության) կողմից անցկացվող՝ </w:t>
      </w:r>
      <w:r w:rsidR="00E90FAF" w:rsidRPr="00E90FAF">
        <w:rPr>
          <w:rFonts w:ascii="Sylfaen" w:hAnsi="Sylfaen"/>
          <w:sz w:val="24"/>
          <w:szCs w:val="24"/>
        </w:rPr>
        <w:t>«</w:t>
      </w:r>
      <w:r w:rsidR="006F76EB" w:rsidRPr="00834D52">
        <w:rPr>
          <w:rFonts w:ascii="Sylfaen" w:hAnsi="Sylfaen"/>
          <w:sz w:val="24"/>
          <w:szCs w:val="24"/>
        </w:rPr>
        <w:t>օգուտ-ռիսկ</w:t>
      </w:r>
      <w:r w:rsidR="00E90FAF" w:rsidRPr="00E90FAF">
        <w:rPr>
          <w:rFonts w:ascii="Sylfaen" w:hAnsi="Sylfaen"/>
          <w:sz w:val="24"/>
          <w:szCs w:val="24"/>
        </w:rPr>
        <w:t>»</w:t>
      </w:r>
      <w:r w:rsidR="006F76EB" w:rsidRPr="00834D52">
        <w:rPr>
          <w:rFonts w:ascii="Sylfaen" w:hAnsi="Sylfaen"/>
          <w:sz w:val="24"/>
          <w:szCs w:val="24"/>
        </w:rPr>
        <w:t xml:space="preserve"> հարաբերակցության տարեկան վերագնահատման ժամանակ չի հաստատվել </w:t>
      </w:r>
      <w:r w:rsidR="00E90FAF" w:rsidRPr="00E90FAF">
        <w:rPr>
          <w:rFonts w:ascii="Sylfaen" w:hAnsi="Sylfaen"/>
          <w:sz w:val="24"/>
          <w:szCs w:val="24"/>
        </w:rPr>
        <w:t>«</w:t>
      </w:r>
      <w:r w:rsidR="006F76EB" w:rsidRPr="00834D52">
        <w:rPr>
          <w:rFonts w:ascii="Sylfaen" w:hAnsi="Sylfaen"/>
          <w:sz w:val="24"/>
          <w:szCs w:val="24"/>
        </w:rPr>
        <w:t>օգուտ</w:t>
      </w:r>
      <w:r w:rsidR="006F76EB" w:rsidRPr="008341C7">
        <w:rPr>
          <w:rFonts w:ascii="Sylfaen" w:hAnsi="Sylfaen"/>
          <w:sz w:val="24"/>
          <w:szCs w:val="24"/>
        </w:rPr>
        <w:t>-</w:t>
      </w:r>
      <w:r w:rsidR="006F76EB" w:rsidRPr="00834D52">
        <w:rPr>
          <w:rFonts w:ascii="Sylfaen" w:hAnsi="Sylfaen"/>
          <w:sz w:val="24"/>
          <w:szCs w:val="24"/>
        </w:rPr>
        <w:t>ռիսկ</w:t>
      </w:r>
      <w:r w:rsidR="00E90FAF" w:rsidRPr="00E90FAF">
        <w:rPr>
          <w:rFonts w:ascii="Sylfaen" w:hAnsi="Sylfaen"/>
          <w:sz w:val="24"/>
          <w:szCs w:val="24"/>
        </w:rPr>
        <w:t>»</w:t>
      </w:r>
      <w:r w:rsidR="006F76EB" w:rsidRPr="00834D52">
        <w:rPr>
          <w:rFonts w:ascii="Sylfaen" w:hAnsi="Sylfaen"/>
          <w:sz w:val="24"/>
          <w:szCs w:val="24"/>
        </w:rPr>
        <w:t xml:space="preserve"> դրական հարաբերակցությունը։</w:t>
      </w:r>
    </w:p>
    <w:p w14:paraId="7C26B8B3" w14:textId="77777777" w:rsidR="006F76EB" w:rsidRPr="00834D52" w:rsidRDefault="006F76EB" w:rsidP="007F5A60">
      <w:pPr>
        <w:tabs>
          <w:tab w:val="left" w:pos="1134"/>
        </w:tabs>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118.</w:t>
      </w:r>
      <w:r w:rsidRPr="00834D52">
        <w:rPr>
          <w:rFonts w:ascii="Sylfaen" w:hAnsi="Sylfaen"/>
          <w:spacing w:val="-4"/>
          <w:sz w:val="24"/>
          <w:szCs w:val="24"/>
        </w:rPr>
        <w:tab/>
        <w:t xml:space="preserve">Լիազորված մարմնի կողմից դեղապատրաստուկի գրանցման </w:t>
      </w:r>
      <w:r w:rsidR="00C54D75">
        <w:rPr>
          <w:rFonts w:ascii="Sylfaen" w:hAnsi="Sylfaen"/>
          <w:spacing w:val="-4"/>
          <w:sz w:val="24"/>
          <w:szCs w:val="24"/>
        </w:rPr>
        <w:t>և</w:t>
      </w:r>
      <w:r w:rsidRPr="00834D52">
        <w:rPr>
          <w:rFonts w:ascii="Sylfaen" w:hAnsi="Sylfaen"/>
          <w:spacing w:val="-4"/>
          <w:sz w:val="24"/>
          <w:szCs w:val="24"/>
        </w:rPr>
        <w:t xml:space="preserve"> գրանցման հաստատման (վերագրանցման) պայմանով կարող է սահմանվել գրանցման հավաստագրի իրավատիրոջ կողմից հետ</w:t>
      </w:r>
      <w:r w:rsidR="00C54D75">
        <w:rPr>
          <w:rFonts w:ascii="Sylfaen" w:hAnsi="Sylfaen"/>
          <w:spacing w:val="-4"/>
          <w:sz w:val="24"/>
          <w:szCs w:val="24"/>
        </w:rPr>
        <w:t>և</w:t>
      </w:r>
      <w:r w:rsidRPr="00834D52">
        <w:rPr>
          <w:rFonts w:ascii="Sylfaen" w:hAnsi="Sylfaen"/>
          <w:spacing w:val="-4"/>
          <w:sz w:val="24"/>
          <w:szCs w:val="24"/>
        </w:rPr>
        <w:t>յալ պարտավորությունների կատարումը՝</w:t>
      </w:r>
    </w:p>
    <w:p w14:paraId="7488A4DC" w14:textId="77777777" w:rsidR="006F76EB" w:rsidRPr="00834D52" w:rsidRDefault="006F76EB" w:rsidP="00AA1428">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տվյալ դեղապատրաստուկի ռիսկերի հետ կապված կասկածների առկայության դեպքում դեղապատրաստուկի անվտանգության հետգրանցումային հետազոտություններ։ Եթե ռիսկերը վերաբերում են մեկից ավելի դեղապատրաստուկների, ապա անդամ պետությունների լիազորված մարմիններն օժանդակում են այդ դեղապատրաստուկների գրանցման հավաստագրերի իրավատերերի կողմից անվտանգության համատեղ հետգրանցումային հետազոտությունների անցկացմանը,</w:t>
      </w:r>
    </w:p>
    <w:p w14:paraId="39297340"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դեղապատրաստուկի արդյունավետության հետգրանցումային հետազոտություններ, եթե հիվանդության ընկալումն ու կլինիկական մեթոդաբանությունը ցույց են տալիս, որ արդյունավետության նախորդ գնահատումները զգալի վերանայում են պահանջում։</w:t>
      </w:r>
    </w:p>
    <w:p w14:paraId="06372450"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119.</w:t>
      </w:r>
      <w:r w:rsidRPr="00834D52">
        <w:rPr>
          <w:rFonts w:ascii="Sylfaen" w:hAnsi="Sylfaen"/>
          <w:sz w:val="24"/>
          <w:szCs w:val="24"/>
        </w:rPr>
        <w:tab/>
        <w:t>Գրանցման հավաստագրի իրավատերն իրավասու է սույն Կանոնների 118</w:t>
      </w:r>
      <w:r w:rsidRPr="008341C7">
        <w:rPr>
          <w:rFonts w:ascii="Sylfaen" w:hAnsi="Sylfaen"/>
          <w:sz w:val="24"/>
          <w:szCs w:val="24"/>
        </w:rPr>
        <w:t>-</w:t>
      </w:r>
      <w:r w:rsidRPr="00834D52">
        <w:rPr>
          <w:rFonts w:ascii="Sylfaen" w:hAnsi="Sylfaen"/>
          <w:sz w:val="24"/>
          <w:szCs w:val="24"/>
        </w:rPr>
        <w:t>րդ կետով նախատեսված պարտավորության ներդրմանն ի պատասխան ներկայացնելու գրավոր բացատրություններ լիազորված մարմնից (փորձագիտական կազմակերպությունից) համապատասխան ծանուցումը ստանալու օրվանից 90 օրացուցային օրվա ընթացքում:</w:t>
      </w:r>
    </w:p>
    <w:p w14:paraId="0C78BE2C"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120.</w:t>
      </w:r>
      <w:r w:rsidRPr="00834D52">
        <w:rPr>
          <w:rFonts w:ascii="Sylfaen" w:hAnsi="Sylfaen"/>
          <w:sz w:val="24"/>
          <w:szCs w:val="24"/>
        </w:rPr>
        <w:tab/>
        <w:t>Դեղապատրաստուկի գրանցման հավաստագրի իրավատիրոջ ներկայացրած գրավոր բացատրությունների հիման վրա՝ լիազորված մարմինը (փորձագիտական կազմակերպությունը), սույն Կանոնների 118</w:t>
      </w:r>
      <w:r w:rsidRPr="008341C7">
        <w:rPr>
          <w:rFonts w:ascii="Sylfaen" w:hAnsi="Sylfaen"/>
          <w:sz w:val="24"/>
          <w:szCs w:val="24"/>
        </w:rPr>
        <w:t>-</w:t>
      </w:r>
      <w:r w:rsidRPr="00834D52">
        <w:rPr>
          <w:rFonts w:ascii="Sylfaen" w:hAnsi="Sylfaen"/>
          <w:sz w:val="24"/>
          <w:szCs w:val="24"/>
        </w:rPr>
        <w:t>րդ կետին համապատասխան, 30 օրացուցային օրվա ընթացքում պետք է հանի կամ հաստատի սույն Կանոնների 118</w:t>
      </w:r>
      <w:r w:rsidRPr="008341C7">
        <w:rPr>
          <w:rFonts w:ascii="Sylfaen" w:hAnsi="Sylfaen"/>
          <w:sz w:val="24"/>
          <w:szCs w:val="24"/>
        </w:rPr>
        <w:t>-</w:t>
      </w:r>
      <w:r w:rsidRPr="00834D52">
        <w:rPr>
          <w:rFonts w:ascii="Sylfaen" w:hAnsi="Sylfaen"/>
          <w:sz w:val="24"/>
          <w:szCs w:val="24"/>
        </w:rPr>
        <w:t>րդ կետում նշված հետազոտությունների անցկացման մասին պարտավորությունը։ Սույն Կանոնների 118</w:t>
      </w:r>
      <w:r w:rsidRPr="008341C7">
        <w:rPr>
          <w:rFonts w:ascii="Sylfaen" w:hAnsi="Sylfaen"/>
          <w:sz w:val="24"/>
          <w:szCs w:val="24"/>
        </w:rPr>
        <w:t>-</w:t>
      </w:r>
      <w:r w:rsidRPr="00834D52">
        <w:rPr>
          <w:rFonts w:ascii="Sylfaen" w:hAnsi="Sylfaen"/>
          <w:sz w:val="24"/>
          <w:szCs w:val="24"/>
        </w:rPr>
        <w:t>րդ կետում նշված պարտավորությունը հաստատվելու դեպքում դեղապատրաստուկի գրանցման պայմանները պետք է փոխվեն դրանց մեջ համապատասխան դրույթների ներառման միջոցով, ինչպես նա</w:t>
      </w:r>
      <w:r w:rsidR="00C54D75">
        <w:rPr>
          <w:rFonts w:ascii="Sylfaen" w:hAnsi="Sylfaen"/>
          <w:sz w:val="24"/>
          <w:szCs w:val="24"/>
        </w:rPr>
        <w:t>և</w:t>
      </w:r>
      <w:r w:rsidRPr="00834D52">
        <w:rPr>
          <w:rFonts w:ascii="Sylfaen" w:hAnsi="Sylfaen"/>
          <w:sz w:val="24"/>
          <w:szCs w:val="24"/>
        </w:rPr>
        <w:t xml:space="preserve"> պետք է փոխվեն ռիսկերի կառավարման համակարգերը։</w:t>
      </w:r>
    </w:p>
    <w:p w14:paraId="0F245ECD" w14:textId="77777777" w:rsidR="006F76EB" w:rsidRPr="00834D52" w:rsidRDefault="006F76EB" w:rsidP="006F76EB">
      <w:pPr>
        <w:tabs>
          <w:tab w:val="left" w:pos="1134"/>
        </w:tabs>
        <w:spacing w:after="160" w:line="360" w:lineRule="auto"/>
        <w:ind w:right="-8" w:firstLine="567"/>
        <w:rPr>
          <w:rFonts w:ascii="Sylfaen" w:hAnsi="Sylfaen"/>
          <w:sz w:val="24"/>
          <w:szCs w:val="24"/>
        </w:rPr>
      </w:pPr>
    </w:p>
    <w:p w14:paraId="01559686" w14:textId="77777777" w:rsidR="006F76EB" w:rsidRPr="00834D52" w:rsidRDefault="006F76EB" w:rsidP="00AA1428">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VIII. Դեղապատրաստուկի գրանցման հաստատումը </w:t>
      </w:r>
      <w:r w:rsidR="00AA1428" w:rsidRPr="00F102EA">
        <w:rPr>
          <w:rFonts w:ascii="Sylfaen" w:hAnsi="Sylfaen"/>
          <w:sz w:val="24"/>
          <w:szCs w:val="24"/>
        </w:rPr>
        <w:br/>
      </w:r>
      <w:r w:rsidRPr="00834D52">
        <w:rPr>
          <w:rFonts w:ascii="Sylfaen" w:hAnsi="Sylfaen"/>
          <w:sz w:val="24"/>
          <w:szCs w:val="24"/>
        </w:rPr>
        <w:t>(վերագրանցումը)</w:t>
      </w:r>
    </w:p>
    <w:p w14:paraId="4B7C410F"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121.</w:t>
      </w:r>
      <w:r w:rsidRPr="00834D52">
        <w:rPr>
          <w:rFonts w:ascii="Sylfaen" w:hAnsi="Sylfaen"/>
          <w:sz w:val="24"/>
          <w:szCs w:val="24"/>
        </w:rPr>
        <w:tab/>
        <w:t xml:space="preserve">Բոլոր այն անդամ պետությունների համար, որտեղ դեղապատրաստուկը գրանցված է, դրա գրանցման հաստատման (վերագրանցման) ամսաթիվը որոշվում է </w:t>
      </w:r>
      <w:r w:rsidR="0032680A">
        <w:rPr>
          <w:rFonts w:ascii="Sylfaen" w:hAnsi="Sylfaen"/>
          <w:sz w:val="24"/>
          <w:szCs w:val="24"/>
        </w:rPr>
        <w:t xml:space="preserve">ռեֆերենտ </w:t>
      </w:r>
      <w:r w:rsidRPr="00834D52">
        <w:rPr>
          <w:rFonts w:ascii="Sylfaen" w:hAnsi="Sylfaen"/>
          <w:sz w:val="24"/>
          <w:szCs w:val="24"/>
        </w:rPr>
        <w:t>պետությունում փոխադարձ ճանաչման ընթացակարգով կամ ապակենտրոնացված ընթացակարգով դեղապատրաստուկի գրանցման ամսաթվով։</w:t>
      </w:r>
    </w:p>
    <w:p w14:paraId="78D8C6FF" w14:textId="77777777" w:rsidR="006F76EB" w:rsidRPr="00834D52" w:rsidRDefault="006F76EB" w:rsidP="007F5A60">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Այն դեղապատրաստուկների համար, որոնք որ</w:t>
      </w:r>
      <w:r w:rsidR="00C54D75">
        <w:rPr>
          <w:rFonts w:ascii="Sylfaen" w:hAnsi="Sylfaen"/>
          <w:sz w:val="24"/>
          <w:szCs w:val="24"/>
        </w:rPr>
        <w:t>և</w:t>
      </w:r>
      <w:r w:rsidRPr="00834D52">
        <w:rPr>
          <w:rFonts w:ascii="Sylfaen" w:hAnsi="Sylfaen"/>
          <w:sz w:val="24"/>
          <w:szCs w:val="24"/>
        </w:rPr>
        <w:t>է անդամ պետության տարածքում վերջինիս օրենսդրությամբ ճանաչված չեն որպես հազվադեպ կիրառվող («որբ»), գրանցման հաստատման (վերագրանցման) ամսաթիվը որոշվում է Միության տվյալ անդամ պետությունում փոխադարձ ճանաչման ընթացակարգով այդ դեղապատրաստուկի գրանցման ամսաթվով։</w:t>
      </w:r>
    </w:p>
    <w:p w14:paraId="2F57152E" w14:textId="77777777" w:rsidR="006F76EB" w:rsidRPr="00834D52" w:rsidRDefault="006F76EB" w:rsidP="007F5A60">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122.</w:t>
      </w:r>
      <w:r w:rsidRPr="00834D52">
        <w:rPr>
          <w:rFonts w:ascii="Sylfaen" w:hAnsi="Sylfaen"/>
          <w:sz w:val="24"/>
          <w:szCs w:val="24"/>
        </w:rPr>
        <w:tab/>
        <w:t>Գրանցման հաստատումը</w:t>
      </w:r>
      <w:r w:rsidR="00E90FAF" w:rsidRPr="00E90FAF">
        <w:rPr>
          <w:rFonts w:ascii="Sylfaen" w:hAnsi="Sylfaen"/>
          <w:sz w:val="24"/>
          <w:szCs w:val="24"/>
        </w:rPr>
        <w:t xml:space="preserve"> </w:t>
      </w:r>
      <w:r w:rsidRPr="00834D52">
        <w:rPr>
          <w:rFonts w:ascii="Sylfaen" w:hAnsi="Sylfaen"/>
          <w:sz w:val="24"/>
          <w:szCs w:val="24"/>
        </w:rPr>
        <w:t xml:space="preserve">(վերագրանցումը) իրականացվում է </w:t>
      </w:r>
      <w:r w:rsidR="0032680A">
        <w:rPr>
          <w:rFonts w:ascii="Sylfaen" w:hAnsi="Sylfaen"/>
          <w:sz w:val="24"/>
          <w:szCs w:val="24"/>
        </w:rPr>
        <w:t xml:space="preserve">ռեֆերենտ </w:t>
      </w:r>
      <w:r w:rsidRPr="00834D52">
        <w:rPr>
          <w:rFonts w:ascii="Sylfaen" w:hAnsi="Sylfaen"/>
          <w:sz w:val="24"/>
          <w:szCs w:val="24"/>
        </w:rPr>
        <w:t xml:space="preserve">անդամ պետության լիազորված մարմնի (փորձագիտական կազմակերպության) կողմից անցկացվող </w:t>
      </w:r>
      <w:r w:rsidR="00E90FAF" w:rsidRPr="00E90FAF">
        <w:rPr>
          <w:rFonts w:ascii="Sylfaen" w:hAnsi="Sylfaen"/>
          <w:sz w:val="24"/>
          <w:szCs w:val="24"/>
        </w:rPr>
        <w:t>«</w:t>
      </w:r>
      <w:r w:rsidRPr="00834D52">
        <w:rPr>
          <w:rFonts w:ascii="Sylfaen" w:hAnsi="Sylfaen"/>
          <w:sz w:val="24"/>
          <w:szCs w:val="24"/>
        </w:rPr>
        <w:t>օգուտ</w:t>
      </w:r>
      <w:r w:rsidRPr="008341C7">
        <w:rPr>
          <w:rFonts w:ascii="Sylfaen" w:hAnsi="Sylfaen"/>
          <w:sz w:val="24"/>
          <w:szCs w:val="24"/>
        </w:rPr>
        <w:t>-</w:t>
      </w:r>
      <w:r w:rsidRPr="00834D52">
        <w:rPr>
          <w:rFonts w:ascii="Sylfaen" w:hAnsi="Sylfaen"/>
          <w:sz w:val="24"/>
          <w:szCs w:val="24"/>
        </w:rPr>
        <w:t>ռիսկ</w:t>
      </w:r>
      <w:r w:rsidR="00E90FAF" w:rsidRPr="00E90FAF">
        <w:rPr>
          <w:rFonts w:ascii="Sylfaen" w:hAnsi="Sylfaen"/>
          <w:sz w:val="24"/>
          <w:szCs w:val="24"/>
        </w:rPr>
        <w:t>»</w:t>
      </w:r>
      <w:r w:rsidRPr="00834D52">
        <w:rPr>
          <w:rFonts w:ascii="Sylfaen" w:hAnsi="Sylfaen"/>
          <w:sz w:val="24"/>
          <w:szCs w:val="24"/>
        </w:rPr>
        <w:t xml:space="preserve"> հարաբերակցության վերագնահատման հիման վրա՝ դեղապատրաստուկի գնահատման վերաբերյալ փորձագիտական հաշվետվություն պատրաստելով:</w:t>
      </w:r>
    </w:p>
    <w:p w14:paraId="3AD458F5"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Ճանաչման պետություններում գրանցման հաստատման (վերագրանցման) ժամանակ դեղապատրաստուկի փորձաքննությունն իրականացվում է՝</w:t>
      </w:r>
    </w:p>
    <w:p w14:paraId="7F658146"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հայտի, գրանցման դոսյեի փաստաթղթերի </w:t>
      </w:r>
      <w:r w:rsidR="00C54D75">
        <w:rPr>
          <w:rFonts w:ascii="Sylfaen" w:hAnsi="Sylfaen"/>
          <w:sz w:val="24"/>
          <w:szCs w:val="24"/>
        </w:rPr>
        <w:t>և</w:t>
      </w:r>
      <w:r w:rsidRPr="00834D52">
        <w:rPr>
          <w:rFonts w:ascii="Sylfaen" w:hAnsi="Sylfaen"/>
          <w:sz w:val="24"/>
          <w:szCs w:val="24"/>
        </w:rPr>
        <w:t xml:space="preserve"> տվյալների քննության միջոցով,</w:t>
      </w:r>
    </w:p>
    <w:p w14:paraId="741D4533" w14:textId="77777777" w:rsidR="006F76EB" w:rsidRPr="00834D52" w:rsidRDefault="0032680A" w:rsidP="006F76EB">
      <w:pPr>
        <w:tabs>
          <w:tab w:val="left" w:pos="1134"/>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պետության պատրաստած գնահատման վերաբերյալ փորձագիտական հաշվետվության քննության միջոցով։</w:t>
      </w:r>
    </w:p>
    <w:p w14:paraId="21F4AF96"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հաստատման (վերագրանցման) ընթացակարգն անցկացնելու ժամանակահատվածում թույլատրվում է դրա շրջանառությունը Միության տարածքում։</w:t>
      </w:r>
    </w:p>
    <w:p w14:paraId="4300E349" w14:textId="77777777" w:rsidR="006F76EB" w:rsidRPr="00834D52" w:rsidRDefault="006F76EB" w:rsidP="007F5A60">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123.</w:t>
      </w:r>
      <w:r w:rsidRPr="00834D52">
        <w:rPr>
          <w:rFonts w:ascii="Sylfaen" w:hAnsi="Sylfaen"/>
          <w:sz w:val="24"/>
          <w:szCs w:val="24"/>
        </w:rPr>
        <w:tab/>
        <w:t>Հայտատուն գրանցման հաստատման (վերագրանցման) հայտեր է ներկայացնում բոլոր այն անդամ պետություններ, որտեղ գրանցված է դեղապատրաստուկը։</w:t>
      </w:r>
    </w:p>
    <w:p w14:paraId="141C408A"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124.</w:t>
      </w:r>
      <w:r w:rsidRPr="00834D52">
        <w:rPr>
          <w:rFonts w:ascii="Sylfaen" w:hAnsi="Sylfaen"/>
          <w:sz w:val="24"/>
          <w:szCs w:val="24"/>
        </w:rPr>
        <w:tab/>
        <w:t>Եթե դեղապատրաստուկի գրանցման հավաստագրի իրավատերը մինչ</w:t>
      </w:r>
      <w:r w:rsidR="00C54D75">
        <w:rPr>
          <w:rFonts w:ascii="Sylfaen" w:hAnsi="Sylfaen"/>
          <w:sz w:val="24"/>
          <w:szCs w:val="24"/>
        </w:rPr>
        <w:t>և</w:t>
      </w:r>
      <w:r w:rsidRPr="00834D52">
        <w:rPr>
          <w:rFonts w:ascii="Sylfaen" w:hAnsi="Sylfaen"/>
          <w:sz w:val="24"/>
          <w:szCs w:val="24"/>
        </w:rPr>
        <w:t xml:space="preserve"> գրանցման հավաստագրի գործողության ժամկետի ավարտը գրանցման հաստատման (վերագրանցման) հայտ չի ներկայացնում, ապա դեղապատրաստուկի գրանցման հավաստագիրը ճանաչվում է անվավեր։</w:t>
      </w:r>
    </w:p>
    <w:p w14:paraId="1AE49985"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125.</w:t>
      </w:r>
      <w:r w:rsidRPr="00834D52">
        <w:rPr>
          <w:rFonts w:ascii="Sylfaen" w:hAnsi="Sylfaen"/>
          <w:sz w:val="24"/>
          <w:szCs w:val="24"/>
        </w:rPr>
        <w:tab/>
        <w:t>Գրանցման հաստատման (վերագրանցման) ընթացակարգը չպետք է գերազանցի գրանցման հաստատման (վերագրանցման) հայտ ներկայացնելու օրվանից 120 օրացուցային օրը։</w:t>
      </w:r>
    </w:p>
    <w:p w14:paraId="4EE23D4F"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126.</w:t>
      </w:r>
      <w:r w:rsidRPr="00834D52">
        <w:rPr>
          <w:rFonts w:ascii="Sylfaen" w:hAnsi="Sylfaen"/>
          <w:sz w:val="24"/>
          <w:szCs w:val="24"/>
        </w:rPr>
        <w:tab/>
        <w:t>Դեղապատրաստուկի գրանցման հաստատման (վերագրանցման) հայտը պետք է ներկայացվի մինչ</w:t>
      </w:r>
      <w:r w:rsidR="00C54D75">
        <w:rPr>
          <w:rFonts w:ascii="Sylfaen" w:hAnsi="Sylfaen"/>
          <w:sz w:val="24"/>
          <w:szCs w:val="24"/>
        </w:rPr>
        <w:t>և</w:t>
      </w:r>
      <w:r w:rsidRPr="00834D52">
        <w:rPr>
          <w:rFonts w:ascii="Sylfaen" w:hAnsi="Sylfaen"/>
          <w:sz w:val="24"/>
          <w:szCs w:val="24"/>
        </w:rPr>
        <w:t xml:space="preserve"> </w:t>
      </w:r>
      <w:r w:rsidR="0032680A">
        <w:rPr>
          <w:rFonts w:ascii="Sylfaen" w:hAnsi="Sylfaen"/>
          <w:sz w:val="24"/>
          <w:szCs w:val="24"/>
        </w:rPr>
        <w:t xml:space="preserve">ռեֆերենտ </w:t>
      </w:r>
      <w:r w:rsidRPr="00834D52">
        <w:rPr>
          <w:rFonts w:ascii="Sylfaen" w:hAnsi="Sylfaen"/>
          <w:sz w:val="24"/>
          <w:szCs w:val="24"/>
        </w:rPr>
        <w:t>պետությունում դեղապատրաստուկի գրանցման հավաստագրի գործողության ժամկետը լրանալը՝ 210 օրացուցային օրվանից ոչ շուտ, սակայն գրանցման հավաստագրի գործողության ժամկետը լրանալու օրվանից ոչ ուշ։</w:t>
      </w:r>
    </w:p>
    <w:p w14:paraId="5856F02A"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127.</w:t>
      </w:r>
      <w:r w:rsidRPr="00834D52">
        <w:rPr>
          <w:rFonts w:ascii="Sylfaen" w:hAnsi="Sylfaen"/>
          <w:sz w:val="24"/>
          <w:szCs w:val="24"/>
        </w:rPr>
        <w:tab/>
        <w:t xml:space="preserve">Դեղապատրաստուկի գրանցման հաստատման (վերագրանցման) նպատակով հայտատուն </w:t>
      </w:r>
      <w:r w:rsidR="0032680A">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 է ներկայացնում հետ</w:t>
      </w:r>
      <w:r w:rsidR="00C54D75">
        <w:rPr>
          <w:rFonts w:ascii="Sylfaen" w:hAnsi="Sylfaen"/>
          <w:sz w:val="24"/>
          <w:szCs w:val="24"/>
        </w:rPr>
        <w:t>և</w:t>
      </w:r>
      <w:r w:rsidRPr="00834D52">
        <w:rPr>
          <w:rFonts w:ascii="Sylfaen" w:hAnsi="Sylfaen"/>
          <w:sz w:val="24"/>
          <w:szCs w:val="24"/>
        </w:rPr>
        <w:t>յալ փաստաթղթերը՝</w:t>
      </w:r>
    </w:p>
    <w:p w14:paraId="1A486DC0" w14:textId="77777777" w:rsidR="006F76EB" w:rsidRPr="00834D52" w:rsidRDefault="006F76EB" w:rsidP="00C3591E">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դեղապատրաստուկի գրանցման հաստատման (վերագրանցման) </w:t>
      </w:r>
      <w:r w:rsidRPr="00834D52">
        <w:rPr>
          <w:rFonts w:ascii="Sylfaen" w:hAnsi="Sylfaen"/>
          <w:sz w:val="24"/>
          <w:szCs w:val="24"/>
        </w:rPr>
        <w:lastRenderedPageBreak/>
        <w:t>մասին հայտ՝ սահմանված ձ</w:t>
      </w:r>
      <w:r w:rsidR="00C54D75">
        <w:rPr>
          <w:rFonts w:ascii="Sylfaen" w:hAnsi="Sylfaen"/>
          <w:sz w:val="24"/>
          <w:szCs w:val="24"/>
        </w:rPr>
        <w:t>և</w:t>
      </w:r>
      <w:r w:rsidRPr="00834D52">
        <w:rPr>
          <w:rFonts w:ascii="Sylfaen" w:hAnsi="Sylfaen"/>
          <w:sz w:val="24"/>
          <w:szCs w:val="24"/>
        </w:rPr>
        <w:t>ով՝ թղթային</w:t>
      </w:r>
      <w:r w:rsidR="00E90FAF" w:rsidRPr="00E90FAF">
        <w:rPr>
          <w:rFonts w:ascii="Sylfaen" w:hAnsi="Sylfaen"/>
          <w:sz w:val="24"/>
          <w:szCs w:val="24"/>
        </w:rPr>
        <w:t xml:space="preserve"> </w:t>
      </w:r>
      <w:r w:rsidR="002C1FC3">
        <w:rPr>
          <w:rFonts w:ascii="Sylfaen" w:hAnsi="Sylfaen"/>
          <w:sz w:val="24"/>
          <w:szCs w:val="24"/>
        </w:rPr>
        <w:t>կրիչով</w:t>
      </w:r>
      <w:r w:rsidRPr="00834D52">
        <w:rPr>
          <w:rFonts w:ascii="Sylfaen" w:hAnsi="Sylfaen"/>
          <w:sz w:val="24"/>
          <w:szCs w:val="24"/>
        </w:rPr>
        <w:t xml:space="preserve"> </w:t>
      </w:r>
      <w:r w:rsidR="00C54D75">
        <w:rPr>
          <w:rFonts w:ascii="Sylfaen" w:hAnsi="Sylfaen"/>
          <w:sz w:val="24"/>
          <w:szCs w:val="24"/>
        </w:rPr>
        <w:t>և</w:t>
      </w:r>
      <w:r w:rsidRPr="00834D52">
        <w:rPr>
          <w:rFonts w:ascii="Sylfaen" w:hAnsi="Sylfaen"/>
          <w:sz w:val="24"/>
          <w:szCs w:val="24"/>
        </w:rPr>
        <w:t xml:space="preserve"> (կամ) էլեկտրոնային </w:t>
      </w:r>
      <w:r w:rsidR="002C1FC3">
        <w:rPr>
          <w:rFonts w:ascii="Sylfaen" w:hAnsi="Sylfaen"/>
          <w:sz w:val="24"/>
          <w:szCs w:val="24"/>
        </w:rPr>
        <w:t>փաստաթղթի տեսքով</w:t>
      </w:r>
      <w:r w:rsidRPr="00834D52">
        <w:rPr>
          <w:rFonts w:ascii="Sylfaen" w:hAnsi="Sylfaen"/>
          <w:sz w:val="24"/>
          <w:szCs w:val="24"/>
        </w:rPr>
        <w:t xml:space="preserve">՝ սույն Կանոնների թիվ </w:t>
      </w:r>
      <w:r w:rsidR="00E90FAF" w:rsidRPr="00E90FAF">
        <w:rPr>
          <w:rFonts w:ascii="Sylfaen" w:hAnsi="Sylfaen"/>
          <w:sz w:val="24"/>
          <w:szCs w:val="24"/>
        </w:rPr>
        <w:t xml:space="preserve">2 </w:t>
      </w:r>
      <w:r w:rsidRPr="00834D52">
        <w:rPr>
          <w:rFonts w:ascii="Sylfaen" w:hAnsi="Sylfaen"/>
          <w:sz w:val="24"/>
          <w:szCs w:val="24"/>
        </w:rPr>
        <w:t>հավելվածին համապատասխան,</w:t>
      </w:r>
    </w:p>
    <w:p w14:paraId="67A72734" w14:textId="77777777" w:rsidR="006F76EB" w:rsidRPr="00834D52" w:rsidRDefault="006F76EB" w:rsidP="00C3591E">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գրանցման հաստատման (վերագրանցման)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փաստաթղթերը՝ </w:t>
      </w:r>
      <w:r w:rsidR="0032680A">
        <w:rPr>
          <w:rFonts w:ascii="Sylfaen" w:hAnsi="Sylfaen"/>
          <w:sz w:val="24"/>
          <w:szCs w:val="24"/>
        </w:rPr>
        <w:t xml:space="preserve">ռեֆերենտ </w:t>
      </w:r>
      <w:r w:rsidRPr="00834D52">
        <w:rPr>
          <w:rFonts w:ascii="Sylfaen" w:hAnsi="Sylfaen"/>
          <w:sz w:val="24"/>
          <w:szCs w:val="24"/>
        </w:rPr>
        <w:t xml:space="preserve">պետության օրենսդրությանը համապատասխան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1297E889" w14:textId="77777777" w:rsidR="006F76EB" w:rsidRPr="00834D52" w:rsidRDefault="006F76EB" w:rsidP="00C3591E">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գրանցման դոսյեի 1-ին </w:t>
      </w:r>
      <w:r w:rsidR="00C54D75">
        <w:rPr>
          <w:rFonts w:ascii="Sylfaen" w:hAnsi="Sylfaen"/>
          <w:sz w:val="24"/>
          <w:szCs w:val="24"/>
        </w:rPr>
        <w:t>և</w:t>
      </w:r>
      <w:r w:rsidRPr="00834D52">
        <w:rPr>
          <w:rFonts w:ascii="Sylfaen" w:hAnsi="Sylfaen"/>
          <w:sz w:val="24"/>
          <w:szCs w:val="24"/>
        </w:rPr>
        <w:t xml:space="preserve"> 2-րդ մոդուլները՝ սույն Կանոնների թիվ 1</w:t>
      </w:r>
      <w:r w:rsidRPr="008341C7">
        <w:rPr>
          <w:rFonts w:ascii="Sylfaen" w:hAnsi="Sylfaen"/>
          <w:sz w:val="24"/>
          <w:szCs w:val="24"/>
        </w:rPr>
        <w:t>-</w:t>
      </w:r>
      <w:r w:rsidRPr="00834D52">
        <w:rPr>
          <w:rFonts w:ascii="Sylfaen" w:hAnsi="Sylfaen"/>
          <w:sz w:val="24"/>
          <w:szCs w:val="24"/>
        </w:rPr>
        <w:t>5 հավելվածներին համապատասխան պատրաստված՝ էլեկտրոնային կրիչով։</w:t>
      </w:r>
    </w:p>
    <w:p w14:paraId="68C07FCC" w14:textId="77777777" w:rsidR="006F76EB" w:rsidRPr="00834D52" w:rsidRDefault="006F76EB" w:rsidP="007F5A60">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128.</w:t>
      </w:r>
      <w:r w:rsidRPr="00834D52">
        <w:rPr>
          <w:rFonts w:ascii="Sylfaen" w:hAnsi="Sylfaen"/>
          <w:sz w:val="24"/>
          <w:szCs w:val="24"/>
        </w:rPr>
        <w:tab/>
      </w:r>
      <w:r w:rsidR="00EB7D73">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հայտատուի կողմից սույն Կանոնների 127</w:t>
      </w:r>
      <w:r w:rsidRPr="008341C7">
        <w:rPr>
          <w:rFonts w:ascii="Sylfaen" w:hAnsi="Sylfaen"/>
          <w:sz w:val="24"/>
          <w:szCs w:val="24"/>
        </w:rPr>
        <w:t>-</w:t>
      </w:r>
      <w:r w:rsidRPr="00834D52">
        <w:rPr>
          <w:rFonts w:ascii="Sylfaen" w:hAnsi="Sylfaen"/>
          <w:sz w:val="24"/>
          <w:szCs w:val="24"/>
        </w:rPr>
        <w:t>րդ կետում նշված փաստաթղթերը ներկայացնելու օրվանից 5 աշխատանքային օրը չգերազանցող ժամկետում ինտեգրված համակարգի միջոցների օգտագործմամբ ապահովում է դեղապատրաստուկի գրանցման դոսյեի հասանելիությունը ճանաչման պետությունների լիազորված մարմինների (փորձագիտական կազմակերպությունների) համար։</w:t>
      </w:r>
    </w:p>
    <w:p w14:paraId="3BF39F82" w14:textId="77777777" w:rsidR="006F76EB" w:rsidRPr="00834D52" w:rsidRDefault="006F76EB" w:rsidP="007F5A60">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Ճանաչման պետությունների լիազորված մարմինները (փորձագիտական կազմակերպությունները) դեղապատրաստուկի գրանցման դոսյեն ստանում են ինտեգրված համակարգի միջոցների օգտագործմամբ։</w:t>
      </w:r>
    </w:p>
    <w:p w14:paraId="0C3B155F" w14:textId="77777777" w:rsidR="006F76EB" w:rsidRPr="00834D52" w:rsidRDefault="006F76EB" w:rsidP="007F5A60">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129.</w:t>
      </w:r>
      <w:r w:rsidRPr="00834D52">
        <w:rPr>
          <w:rFonts w:ascii="Sylfaen" w:hAnsi="Sylfaen"/>
          <w:sz w:val="24"/>
          <w:szCs w:val="24"/>
        </w:rPr>
        <w:tab/>
        <w:t xml:space="preserve">Գրանցման հաստատման (վերագրանցման) մասին հայտը </w:t>
      </w:r>
      <w:r w:rsidR="00EB7D73">
        <w:rPr>
          <w:rFonts w:ascii="Sylfaen" w:hAnsi="Sylfaen"/>
          <w:sz w:val="24"/>
          <w:szCs w:val="24"/>
        </w:rPr>
        <w:t xml:space="preserve">ռեֆերենտ </w:t>
      </w:r>
      <w:r w:rsidRPr="00834D52">
        <w:rPr>
          <w:rFonts w:ascii="Sylfaen" w:hAnsi="Sylfaen"/>
          <w:sz w:val="24"/>
          <w:szCs w:val="24"/>
        </w:rPr>
        <w:t>պետությանը ներկայացնելու օրվանից ոչ ուշ, քան 14 աշխատանքային օրվա ընթացքում հայտատուն յուրաքանչյուր ճանաչման պետության լիազորված մարմին (փորձագիտական կազմակերպություն) է ուղարկում հետ</w:t>
      </w:r>
      <w:r w:rsidR="00C54D75">
        <w:rPr>
          <w:rFonts w:ascii="Sylfaen" w:hAnsi="Sylfaen"/>
          <w:sz w:val="24"/>
          <w:szCs w:val="24"/>
        </w:rPr>
        <w:t>և</w:t>
      </w:r>
      <w:r w:rsidRPr="00834D52">
        <w:rPr>
          <w:rFonts w:ascii="Sylfaen" w:hAnsi="Sylfaen"/>
          <w:sz w:val="24"/>
          <w:szCs w:val="24"/>
        </w:rPr>
        <w:t>յալ փաստաթղթերը՝</w:t>
      </w:r>
    </w:p>
    <w:p w14:paraId="51AF9A81" w14:textId="77777777" w:rsidR="006F76EB" w:rsidRPr="00834D52" w:rsidRDefault="006F76EB" w:rsidP="00C3591E">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հայտ՝ թղթային </w:t>
      </w:r>
      <w:r w:rsidR="00050D30">
        <w:rPr>
          <w:rFonts w:ascii="Sylfaen" w:hAnsi="Sylfaen"/>
          <w:sz w:val="24"/>
          <w:szCs w:val="24"/>
        </w:rPr>
        <w:t xml:space="preserve">կրիչով </w:t>
      </w:r>
      <w:r w:rsidR="00C54D75">
        <w:rPr>
          <w:rFonts w:ascii="Sylfaen" w:hAnsi="Sylfaen"/>
          <w:sz w:val="24"/>
          <w:szCs w:val="24"/>
        </w:rPr>
        <w:t>և</w:t>
      </w:r>
      <w:r w:rsidRPr="00834D52">
        <w:rPr>
          <w:rFonts w:ascii="Sylfaen" w:hAnsi="Sylfaen"/>
          <w:sz w:val="24"/>
          <w:szCs w:val="24"/>
        </w:rPr>
        <w:t xml:space="preserve"> (կամ) էլեկտրոնային</w:t>
      </w:r>
      <w:r w:rsidR="00050D30">
        <w:rPr>
          <w:rFonts w:ascii="Sylfaen" w:hAnsi="Sylfaen"/>
          <w:sz w:val="24"/>
          <w:szCs w:val="24"/>
        </w:rPr>
        <w:t xml:space="preserve"> փաստաթղթի տեսքով</w:t>
      </w:r>
      <w:r w:rsidRPr="00834D52">
        <w:rPr>
          <w:rFonts w:ascii="Sylfaen" w:hAnsi="Sylfaen"/>
          <w:sz w:val="24"/>
          <w:szCs w:val="24"/>
        </w:rPr>
        <w:t>՝ սույն Կանոնների թիվ 2 հավելվածին համապատասխան սահմանված ձ</w:t>
      </w:r>
      <w:r w:rsidR="00C54D75">
        <w:rPr>
          <w:rFonts w:ascii="Sylfaen" w:hAnsi="Sylfaen"/>
          <w:sz w:val="24"/>
          <w:szCs w:val="24"/>
        </w:rPr>
        <w:t>և</w:t>
      </w:r>
      <w:r w:rsidRPr="00834D52">
        <w:rPr>
          <w:rFonts w:ascii="Sylfaen" w:hAnsi="Sylfaen"/>
          <w:sz w:val="24"/>
          <w:szCs w:val="24"/>
        </w:rPr>
        <w:t>ով,</w:t>
      </w:r>
    </w:p>
    <w:p w14:paraId="58C71B28" w14:textId="77777777" w:rsidR="006F76EB" w:rsidRPr="00834D52" w:rsidRDefault="006F76EB" w:rsidP="00C3591E">
      <w:pPr>
        <w:tabs>
          <w:tab w:val="left" w:pos="1134"/>
        </w:tabs>
        <w:spacing w:after="160" w:line="349"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գրանցման հաստատման (վերագրանցման)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հաստատող փաստաթղթեր՝ ճանաչման պետությունների օրենսդրությանը համապատասխան սահմանված դեպքում </w:t>
      </w:r>
      <w:r w:rsidR="00C54D75">
        <w:rPr>
          <w:rFonts w:ascii="Sylfaen" w:hAnsi="Sylfaen"/>
          <w:sz w:val="24"/>
          <w:szCs w:val="24"/>
        </w:rPr>
        <w:t>և</w:t>
      </w:r>
      <w:r w:rsidRPr="00834D52">
        <w:rPr>
          <w:rFonts w:ascii="Sylfaen" w:hAnsi="Sylfaen"/>
          <w:sz w:val="24"/>
          <w:szCs w:val="24"/>
        </w:rPr>
        <w:t xml:space="preserve"> կարգով,</w:t>
      </w:r>
    </w:p>
    <w:p w14:paraId="6969B4A1"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գ)</w:t>
      </w:r>
      <w:r w:rsidRPr="00834D52">
        <w:rPr>
          <w:rFonts w:ascii="Sylfaen" w:hAnsi="Sylfaen"/>
          <w:sz w:val="24"/>
          <w:szCs w:val="24"/>
        </w:rPr>
        <w:tab/>
        <w:t>գրանցման դոսյեի 1-ին մոդուլը՝ էլեկտրոնային կրիչով,</w:t>
      </w:r>
    </w:p>
    <w:p w14:paraId="1743824C" w14:textId="77777777" w:rsidR="006F76EB" w:rsidRPr="00834D52" w:rsidRDefault="006F76EB" w:rsidP="00F31307">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անդամ պետության օրենսդրության մեջ համապատասխան պահանջների առկայության դեպքում ներկայացվում են նա</w:t>
      </w:r>
      <w:r w:rsidR="00C54D75">
        <w:rPr>
          <w:rFonts w:ascii="Sylfaen" w:hAnsi="Sylfaen"/>
          <w:sz w:val="24"/>
          <w:szCs w:val="24"/>
        </w:rPr>
        <w:t>և</w:t>
      </w:r>
      <w:r w:rsidRPr="00834D52">
        <w:rPr>
          <w:rFonts w:ascii="Sylfaen" w:hAnsi="Sylfaen"/>
          <w:sz w:val="24"/>
          <w:szCs w:val="24"/>
        </w:rPr>
        <w:t xml:space="preserve"> ԴՊԸԲ</w:t>
      </w:r>
      <w:r w:rsidRPr="008341C7">
        <w:rPr>
          <w:rFonts w:ascii="Sylfaen" w:hAnsi="Sylfaen"/>
          <w:sz w:val="24"/>
          <w:szCs w:val="24"/>
        </w:rPr>
        <w:t>-</w:t>
      </w:r>
      <w:r w:rsidRPr="00834D52">
        <w:rPr>
          <w:rFonts w:ascii="Sylfaen" w:hAnsi="Sylfaen"/>
          <w:sz w:val="24"/>
          <w:szCs w:val="24"/>
        </w:rPr>
        <w:t xml:space="preserve">ն, դեղապատրաստուկի բժշկական կիրառման հրահանգը </w:t>
      </w:r>
      <w:r w:rsidR="00C54D75">
        <w:rPr>
          <w:rFonts w:ascii="Sylfaen" w:hAnsi="Sylfaen"/>
          <w:sz w:val="24"/>
          <w:szCs w:val="24"/>
        </w:rPr>
        <w:t>և</w:t>
      </w:r>
      <w:r w:rsidRPr="00834D52">
        <w:rPr>
          <w:rFonts w:ascii="Sylfaen" w:hAnsi="Sylfaen"/>
          <w:sz w:val="24"/>
          <w:szCs w:val="24"/>
        </w:rPr>
        <w:t xml:space="preserve"> փաթեթվածքների մանրակերտերը՝ ճանաչման պետության պետական լեզվով։</w:t>
      </w:r>
    </w:p>
    <w:p w14:paraId="13EA501D" w14:textId="77777777" w:rsidR="006F76EB" w:rsidRPr="00834D52" w:rsidRDefault="006F76EB" w:rsidP="007F5A60">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130.</w:t>
      </w:r>
      <w:r w:rsidRPr="00834D52">
        <w:rPr>
          <w:rFonts w:ascii="Sylfaen" w:hAnsi="Sylfaen"/>
          <w:sz w:val="24"/>
          <w:szCs w:val="24"/>
        </w:rPr>
        <w:tab/>
        <w:t xml:space="preserve">Գրանցման հաստատման (վերագրանցման) հայտ ներկայացնելու օրվանից 14 աշխատանքային օրվա ընթացքում՝ նախքան գրանցման դոսյեի նյութերը փորձաքննության ուղարկելը,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իրականացնում է գրանցման դոսյեի ներկայացված փաստաթղթերի ամբողջականության, լրակազմության </w:t>
      </w:r>
      <w:r w:rsidR="00C54D75">
        <w:rPr>
          <w:rFonts w:ascii="Sylfaen" w:hAnsi="Sylfaen"/>
          <w:sz w:val="24"/>
          <w:szCs w:val="24"/>
        </w:rPr>
        <w:t>և</w:t>
      </w:r>
      <w:r w:rsidRPr="00834D52">
        <w:rPr>
          <w:rFonts w:ascii="Sylfaen" w:hAnsi="Sylfaen"/>
          <w:sz w:val="24"/>
          <w:szCs w:val="24"/>
        </w:rPr>
        <w:t xml:space="preserve"> ճիշտ ձ</w:t>
      </w:r>
      <w:r w:rsidR="00C54D75">
        <w:rPr>
          <w:rFonts w:ascii="Sylfaen" w:hAnsi="Sylfaen"/>
          <w:sz w:val="24"/>
          <w:szCs w:val="24"/>
        </w:rPr>
        <w:t>և</w:t>
      </w:r>
      <w:r w:rsidRPr="00834D52">
        <w:rPr>
          <w:rFonts w:ascii="Sylfaen" w:hAnsi="Sylfaen"/>
          <w:sz w:val="24"/>
          <w:szCs w:val="24"/>
        </w:rPr>
        <w:t xml:space="preserve">ակերպման գնահատում։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մարմնի (փորձագիտական կազմակերպության) դիտողությունների հիման վրա գրանցման դոսյեի պակասող նյութերը ներկայացնելու համար հայտատուին տրամադրվում է 90 օրացուցային օրվանից ոչ ավելի, որը չի մտնում դեղապատրաստուկի գրանցման հաստատման (վերագրանցման) </w:t>
      </w:r>
      <w:r w:rsidR="00C54D75">
        <w:rPr>
          <w:rFonts w:ascii="Sylfaen" w:hAnsi="Sylfaen"/>
          <w:sz w:val="24"/>
          <w:szCs w:val="24"/>
        </w:rPr>
        <w:t>և</w:t>
      </w:r>
      <w:r w:rsidRPr="00834D52">
        <w:rPr>
          <w:rFonts w:ascii="Sylfaen" w:hAnsi="Sylfaen"/>
          <w:sz w:val="24"/>
          <w:szCs w:val="24"/>
        </w:rPr>
        <w:t xml:space="preserve"> փորձաքննության ժամկետի մեջ։</w:t>
      </w:r>
    </w:p>
    <w:p w14:paraId="1F102C59" w14:textId="77777777" w:rsidR="006F76EB" w:rsidRPr="00834D52" w:rsidRDefault="006F76EB" w:rsidP="007F5A60">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131.</w:t>
      </w:r>
      <w:r w:rsidRPr="00834D52">
        <w:rPr>
          <w:rFonts w:ascii="Sylfaen" w:hAnsi="Sylfaen"/>
          <w:sz w:val="24"/>
          <w:szCs w:val="24"/>
        </w:rPr>
        <w:tab/>
        <w:t xml:space="preserve">Նախկինում արված դիտողությունների հիման վրա սահմանված ժամկետում գրանցման դոսյեի պակասող նյութերը չներկայացնելու </w:t>
      </w:r>
      <w:r w:rsidR="00C54D75">
        <w:rPr>
          <w:rFonts w:ascii="Sylfaen" w:hAnsi="Sylfaen"/>
          <w:sz w:val="24"/>
          <w:szCs w:val="24"/>
        </w:rPr>
        <w:t>և</w:t>
      </w:r>
      <w:r w:rsidRPr="00834D52">
        <w:rPr>
          <w:rFonts w:ascii="Sylfaen" w:hAnsi="Sylfaen"/>
          <w:sz w:val="24"/>
          <w:szCs w:val="24"/>
        </w:rPr>
        <w:t xml:space="preserve"> (կամ) </w:t>
      </w:r>
      <w:r w:rsidR="0032680A">
        <w:rPr>
          <w:rFonts w:ascii="Sylfaen" w:hAnsi="Sylfaen"/>
          <w:sz w:val="24"/>
          <w:szCs w:val="24"/>
        </w:rPr>
        <w:t xml:space="preserve">ռեֆերենտ </w:t>
      </w:r>
      <w:r w:rsidRPr="00834D52">
        <w:rPr>
          <w:rFonts w:ascii="Sylfaen" w:hAnsi="Sylfaen"/>
          <w:sz w:val="24"/>
          <w:szCs w:val="24"/>
        </w:rPr>
        <w:t xml:space="preserve">պետության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 դեղապատրաստուկի գրանցման հաստատման (վերագրանցման) </w:t>
      </w:r>
      <w:r w:rsidR="00C54D75">
        <w:rPr>
          <w:rFonts w:ascii="Sylfaen" w:hAnsi="Sylfaen"/>
          <w:sz w:val="24"/>
          <w:szCs w:val="24"/>
        </w:rPr>
        <w:t>և</w:t>
      </w:r>
      <w:r w:rsidRPr="00834D52">
        <w:rPr>
          <w:rFonts w:ascii="Sylfaen" w:hAnsi="Sylfaen"/>
          <w:sz w:val="24"/>
          <w:szCs w:val="24"/>
        </w:rPr>
        <w:t xml:space="preserve"> փորձաքննության վճարի (տուրքի) վճարումը չհաստատելու դեպքում, ինչպես նա</w:t>
      </w:r>
      <w:r w:rsidR="00C54D75">
        <w:rPr>
          <w:rFonts w:ascii="Sylfaen" w:hAnsi="Sylfaen"/>
          <w:sz w:val="24"/>
          <w:szCs w:val="24"/>
        </w:rPr>
        <w:t>և</w:t>
      </w:r>
      <w:r w:rsidRPr="00834D52">
        <w:rPr>
          <w:rFonts w:ascii="Sylfaen" w:hAnsi="Sylfaen"/>
          <w:sz w:val="24"/>
          <w:szCs w:val="24"/>
        </w:rPr>
        <w:t xml:space="preserve"> սույն Կանոնների 126</w:t>
      </w:r>
      <w:r w:rsidRPr="008341C7">
        <w:rPr>
          <w:rFonts w:ascii="Sylfaen" w:hAnsi="Sylfaen"/>
          <w:sz w:val="24"/>
          <w:szCs w:val="24"/>
        </w:rPr>
        <w:t>-</w:t>
      </w:r>
      <w:r w:rsidRPr="00834D52">
        <w:rPr>
          <w:rFonts w:ascii="Sylfaen" w:hAnsi="Sylfaen"/>
          <w:sz w:val="24"/>
          <w:szCs w:val="24"/>
        </w:rPr>
        <w:t xml:space="preserve">րդ կետում նշված գրանցման հաստատման (վերագրանցման) հայտ ներկայացնելու ժամկետի խախտման հետ կապված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մերժում է դեղապատրաստուկի գրանցման հաստատման (վերագրանցման) հայտը </w:t>
      </w:r>
      <w:r w:rsidR="00C54D75">
        <w:rPr>
          <w:rFonts w:ascii="Sylfaen" w:hAnsi="Sylfaen"/>
          <w:sz w:val="24"/>
          <w:szCs w:val="24"/>
        </w:rPr>
        <w:t>և</w:t>
      </w:r>
      <w:r w:rsidRPr="00834D52">
        <w:rPr>
          <w:rFonts w:ascii="Sylfaen" w:hAnsi="Sylfaen"/>
          <w:sz w:val="24"/>
          <w:szCs w:val="24"/>
        </w:rPr>
        <w:t xml:space="preserve"> գրավոր </w:t>
      </w:r>
      <w:r w:rsidR="00C54D75">
        <w:rPr>
          <w:rFonts w:ascii="Sylfaen" w:hAnsi="Sylfaen"/>
          <w:sz w:val="24"/>
          <w:szCs w:val="24"/>
        </w:rPr>
        <w:t>և</w:t>
      </w:r>
      <w:r w:rsidRPr="00834D52">
        <w:rPr>
          <w:rFonts w:ascii="Sylfaen" w:hAnsi="Sylfaen"/>
          <w:sz w:val="24"/>
          <w:szCs w:val="24"/>
        </w:rPr>
        <w:t xml:space="preserve"> (կամ) էլեկտրոնային եղանակով տեղեկացնում է այդ մասին ճանաչման պետությունների լիազորված մարմիններին (փորձագիտական կազմակերպություններին) </w:t>
      </w:r>
      <w:r w:rsidR="00C54D75">
        <w:rPr>
          <w:rFonts w:ascii="Sylfaen" w:hAnsi="Sylfaen"/>
          <w:sz w:val="24"/>
          <w:szCs w:val="24"/>
        </w:rPr>
        <w:t>և</w:t>
      </w:r>
      <w:r w:rsidRPr="00834D52">
        <w:rPr>
          <w:rFonts w:ascii="Sylfaen" w:hAnsi="Sylfaen"/>
          <w:sz w:val="24"/>
          <w:szCs w:val="24"/>
        </w:rPr>
        <w:t xml:space="preserve"> հայտատուին։</w:t>
      </w:r>
    </w:p>
    <w:p w14:paraId="4A821491" w14:textId="77777777" w:rsidR="006F76EB" w:rsidRPr="00834D52" w:rsidRDefault="006F76EB" w:rsidP="007F5A6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132.</w:t>
      </w:r>
      <w:r w:rsidRPr="00834D52">
        <w:rPr>
          <w:rFonts w:ascii="Sylfaen" w:hAnsi="Sylfaen"/>
          <w:sz w:val="24"/>
          <w:szCs w:val="24"/>
        </w:rPr>
        <w:tab/>
      </w:r>
      <w:r w:rsidR="00EB7D73">
        <w:rPr>
          <w:rFonts w:ascii="Sylfaen" w:hAnsi="Sylfaen"/>
          <w:sz w:val="24"/>
          <w:szCs w:val="24"/>
        </w:rPr>
        <w:t>Ռեֆերենտ</w:t>
      </w:r>
      <w:r w:rsidRPr="00834D52">
        <w:rPr>
          <w:rFonts w:ascii="Sylfaen" w:hAnsi="Sylfaen"/>
          <w:sz w:val="24"/>
          <w:szCs w:val="24"/>
        </w:rPr>
        <w:t xml:space="preserve"> պետության լիազորված մարմնի (փորձագիտական կազմակերպության) կողմից դեղապատրաստուկի փորձաքննության ընթացքում դեղապատրաստուկի գրանցման հաստատման (վերագրանցման) հայտը ներկայացնելու օրվանից 50 օրացուցային օրվա ընթացքում կազմվում </w:t>
      </w:r>
      <w:r w:rsidR="00C54D75">
        <w:rPr>
          <w:rFonts w:ascii="Sylfaen" w:hAnsi="Sylfaen"/>
          <w:sz w:val="24"/>
          <w:szCs w:val="24"/>
        </w:rPr>
        <w:t>և</w:t>
      </w:r>
      <w:r w:rsidRPr="00834D52">
        <w:rPr>
          <w:rFonts w:ascii="Sylfaen" w:hAnsi="Sylfaen"/>
          <w:sz w:val="24"/>
          <w:szCs w:val="24"/>
        </w:rPr>
        <w:t xml:space="preserve"> ինտեգրված համակարգի միջոցների օգտագործմամբ ճանաչման պետությունների լիազորված մարմիններ (փորձագիտական կազմակերպություններ) է ուղարկվում գնահատման վերաբերյալ նախնական փորձագիտական հաշվետվություն՝ սույն Կանոնների թիվ 11 հավելվածին համապատասխան սահմանված ձ</w:t>
      </w:r>
      <w:r w:rsidR="00C54D75">
        <w:rPr>
          <w:rFonts w:ascii="Sylfaen" w:hAnsi="Sylfaen"/>
          <w:sz w:val="24"/>
          <w:szCs w:val="24"/>
        </w:rPr>
        <w:t>և</w:t>
      </w:r>
      <w:r w:rsidRPr="00834D52">
        <w:rPr>
          <w:rFonts w:ascii="Sylfaen" w:hAnsi="Sylfaen"/>
          <w:sz w:val="24"/>
          <w:szCs w:val="24"/>
        </w:rPr>
        <w:t>ով։</w:t>
      </w:r>
    </w:p>
    <w:p w14:paraId="7B5BEE64" w14:textId="77777777" w:rsidR="006F76EB" w:rsidRPr="00834D52" w:rsidRDefault="006F76EB" w:rsidP="007F5A60">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133.</w:t>
      </w:r>
      <w:r w:rsidRPr="00834D52">
        <w:rPr>
          <w:rFonts w:ascii="Sylfaen" w:hAnsi="Sylfaen"/>
          <w:sz w:val="24"/>
          <w:szCs w:val="24"/>
        </w:rPr>
        <w:tab/>
        <w:t>Դեղապատրաստուկի օգուտ</w:t>
      </w:r>
      <w:r w:rsidRPr="008341C7">
        <w:rPr>
          <w:rFonts w:ascii="Sylfaen" w:hAnsi="Sylfaen"/>
          <w:sz w:val="24"/>
          <w:szCs w:val="24"/>
        </w:rPr>
        <w:t>-</w:t>
      </w:r>
      <w:r w:rsidRPr="00834D52">
        <w:rPr>
          <w:rFonts w:ascii="Sylfaen" w:hAnsi="Sylfaen"/>
          <w:sz w:val="24"/>
          <w:szCs w:val="24"/>
        </w:rPr>
        <w:t xml:space="preserve">ռիսկ հարաբերակցության վերաբերյալ </w:t>
      </w:r>
      <w:r w:rsidR="0032680A">
        <w:rPr>
          <w:rFonts w:ascii="Sylfaen" w:hAnsi="Sylfaen"/>
          <w:sz w:val="24"/>
          <w:szCs w:val="24"/>
        </w:rPr>
        <w:t xml:space="preserve">ռեֆերենտ </w:t>
      </w:r>
      <w:r w:rsidRPr="00834D52">
        <w:rPr>
          <w:rFonts w:ascii="Sylfaen" w:hAnsi="Sylfaen"/>
          <w:sz w:val="24"/>
          <w:szCs w:val="24"/>
        </w:rPr>
        <w:t>պետության ներկայացրած՝ գնահատման վերաբերյալ նախնական փորձագիտական հաշվետվության եզրահանգումների հետ անհամաձայնության կամ ճանաչման պետությունների լիազորված մարմինների (փորձագիտական կազմակերպությունների) կողմից ԴՊԸԲ</w:t>
      </w:r>
      <w:r w:rsidRPr="008341C7">
        <w:rPr>
          <w:rFonts w:ascii="Sylfaen" w:hAnsi="Sylfaen"/>
          <w:sz w:val="24"/>
          <w:szCs w:val="24"/>
        </w:rPr>
        <w:t>-</w:t>
      </w:r>
      <w:r w:rsidRPr="00834D52">
        <w:rPr>
          <w:rFonts w:ascii="Sylfaen" w:hAnsi="Sylfaen"/>
          <w:sz w:val="24"/>
          <w:szCs w:val="24"/>
        </w:rPr>
        <w:t xml:space="preserve">ում, դեղապատրաստուկի բժշկական կիրառման հրահանգում, փաթեթվածքների մանրակերտերում կամ գրանցման դոսյեի այլ փաստաթղթերում փոփոխություններ կատարելու մասին պահանջի առկայության դեպքում ճանաչման պետության լիազորված մարմինը (փորձագիտական կազմակերպությունը)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մարմնի (փորձագիտական կազմակերպության) կողմից գնահատման վերաբերյալ նախնական փորձագիտական հաշվետվությունն ուղարկվելու օրվանից ոչ ուշ, քան 20 աշխատանքային օրվա ընթացքում ինտեգերված համակարգի միջոցների օգտագործմամբ համապատասխան հիմնավորված հարցում է ուղարկում </w:t>
      </w:r>
      <w:r w:rsidR="00EB7D73">
        <w:rPr>
          <w:rFonts w:ascii="Sylfaen" w:hAnsi="Sylfaen"/>
          <w:sz w:val="24"/>
          <w:szCs w:val="24"/>
        </w:rPr>
        <w:t xml:space="preserve">ռեֆերենտ </w:t>
      </w:r>
      <w:r w:rsidRPr="00834D52">
        <w:rPr>
          <w:rFonts w:ascii="Sylfaen" w:hAnsi="Sylfaen"/>
          <w:sz w:val="24"/>
          <w:szCs w:val="24"/>
        </w:rPr>
        <w:t>պետության լիազորված մարմին (փորձագիտական կազմակերպություն)։</w:t>
      </w:r>
    </w:p>
    <w:p w14:paraId="10D56BDD" w14:textId="77777777" w:rsidR="006F76EB" w:rsidRPr="00834D52" w:rsidRDefault="006F76EB" w:rsidP="00960E63">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134.</w:t>
      </w:r>
      <w:r w:rsidRPr="00834D52">
        <w:rPr>
          <w:rFonts w:ascii="Sylfaen" w:hAnsi="Sylfaen"/>
          <w:sz w:val="24"/>
          <w:szCs w:val="24"/>
        </w:rPr>
        <w:tab/>
        <w:t xml:space="preserve">Ճանաչման պետությունների կողմից </w:t>
      </w:r>
      <w:r w:rsidR="00EB7D73">
        <w:rPr>
          <w:rFonts w:ascii="Sylfaen" w:hAnsi="Sylfaen"/>
          <w:sz w:val="24"/>
          <w:szCs w:val="24"/>
        </w:rPr>
        <w:t>ռեֆերենտ</w:t>
      </w:r>
      <w:r w:rsidRPr="00834D52">
        <w:rPr>
          <w:rFonts w:ascii="Sylfaen" w:hAnsi="Sylfaen"/>
          <w:sz w:val="24"/>
          <w:szCs w:val="24"/>
        </w:rPr>
        <w:t xml:space="preserve"> պետության փորձագիտական կազմակերպության պատրաստած՝ գնահատման վերաբերյալ նախնական փորձագիտական հաշվետվության քննության,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մարմինների (փորձագիտական կազմակերպությունների) կողմից ճանաչման պետությունների լիազորված մարմինների (փորձագիտական կազմակերպությունների) հարցումների քննության </w:t>
      </w:r>
      <w:r w:rsidR="00C54D75">
        <w:rPr>
          <w:rFonts w:ascii="Sylfaen" w:hAnsi="Sylfaen"/>
          <w:sz w:val="24"/>
          <w:szCs w:val="24"/>
        </w:rPr>
        <w:t>և</w:t>
      </w:r>
      <w:r w:rsidRPr="00834D52">
        <w:rPr>
          <w:rFonts w:ascii="Sylfaen" w:hAnsi="Sylfaen"/>
          <w:sz w:val="24"/>
          <w:szCs w:val="24"/>
        </w:rPr>
        <w:t xml:space="preserve"> ճանաչման պետությունների </w:t>
      </w:r>
      <w:r w:rsidRPr="00834D52">
        <w:rPr>
          <w:rFonts w:ascii="Sylfaen" w:hAnsi="Sylfaen"/>
          <w:sz w:val="24"/>
          <w:szCs w:val="24"/>
        </w:rPr>
        <w:lastRenderedPageBreak/>
        <w:t xml:space="preserve">լիազորված մարմինների (փորձագիտական կազմակերպությունների) կողմից </w:t>
      </w:r>
      <w:r w:rsidR="0032680A">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եզրափակիչ փորձագիտական հաշվետվության քննության ընթացքում ընթացակարգին մասնակցող անդամ պետությունների լիազորված մարմինների (փորձագիտական կազմակերպությունների) միջ</w:t>
      </w:r>
      <w:r w:rsidR="00C54D75">
        <w:rPr>
          <w:rFonts w:ascii="Sylfaen" w:hAnsi="Sylfaen"/>
          <w:sz w:val="24"/>
          <w:szCs w:val="24"/>
        </w:rPr>
        <w:t>և</w:t>
      </w:r>
      <w:r w:rsidRPr="00834D52">
        <w:rPr>
          <w:rFonts w:ascii="Sylfaen" w:hAnsi="Sylfaen"/>
          <w:sz w:val="24"/>
          <w:szCs w:val="24"/>
        </w:rPr>
        <w:t xml:space="preserve"> ինտեգրված համակարգի միջոցների օգտագործմամբ իրականացվում են խորհրդակցություններ՝ սույն Կանոնների թիվ 18 հավելվածին համապատասխան սահմանված ձ</w:t>
      </w:r>
      <w:r w:rsidR="00C54D75">
        <w:rPr>
          <w:rFonts w:ascii="Sylfaen" w:hAnsi="Sylfaen"/>
          <w:sz w:val="24"/>
          <w:szCs w:val="24"/>
        </w:rPr>
        <w:t>և</w:t>
      </w:r>
      <w:r w:rsidRPr="00834D52">
        <w:rPr>
          <w:rFonts w:ascii="Sylfaen" w:hAnsi="Sylfaen"/>
          <w:sz w:val="24"/>
          <w:szCs w:val="24"/>
        </w:rPr>
        <w:t xml:space="preserve">ով, որոնց ընթացքում համաձայնեցվում է </w:t>
      </w:r>
      <w:r w:rsidR="0032680A">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պատրաստած՝ գնահատման վերաբերյալ եզրափակիչ փորձագիտական հաշվետվությունը։</w:t>
      </w:r>
    </w:p>
    <w:p w14:paraId="6697C8BC" w14:textId="77777777" w:rsidR="006F76EB" w:rsidRPr="00834D52" w:rsidRDefault="006F76EB" w:rsidP="00960E63">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135.</w:t>
      </w:r>
      <w:r w:rsidRPr="00834D52">
        <w:rPr>
          <w:rFonts w:ascii="Sylfaen" w:hAnsi="Sylfaen"/>
          <w:sz w:val="24"/>
          <w:szCs w:val="24"/>
        </w:rPr>
        <w:tab/>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դեղապատրաստուկի գրանցման հաստատման (վերագրանցման) </w:t>
      </w:r>
      <w:r w:rsidR="00C54D75">
        <w:rPr>
          <w:rFonts w:ascii="Sylfaen" w:hAnsi="Sylfaen"/>
          <w:sz w:val="24"/>
          <w:szCs w:val="24"/>
        </w:rPr>
        <w:t>և</w:t>
      </w:r>
      <w:r w:rsidRPr="00834D52">
        <w:rPr>
          <w:rFonts w:ascii="Sylfaen" w:hAnsi="Sylfaen"/>
          <w:sz w:val="24"/>
          <w:szCs w:val="24"/>
        </w:rPr>
        <w:t xml:space="preserve"> փորձաքննության ընթացակարգն անցկացնելիս իրավասու է գրավոր </w:t>
      </w:r>
      <w:r w:rsidR="00C54D75">
        <w:rPr>
          <w:rFonts w:ascii="Sylfaen" w:hAnsi="Sylfaen"/>
          <w:sz w:val="24"/>
          <w:szCs w:val="24"/>
        </w:rPr>
        <w:t>և</w:t>
      </w:r>
      <w:r w:rsidRPr="00834D52">
        <w:rPr>
          <w:rFonts w:ascii="Sylfaen" w:hAnsi="Sylfaen"/>
          <w:sz w:val="24"/>
          <w:szCs w:val="24"/>
        </w:rPr>
        <w:t xml:space="preserve"> (կամ) էլեկտրոնային եղանակով հարցում ուղարկել հայտատուին՝ պակասող լրացուցիչ տեղեկատվություն, գրանցման դոսյեի ներկայացված փաստաթղթերի </w:t>
      </w:r>
      <w:r w:rsidR="00C54D75">
        <w:rPr>
          <w:rFonts w:ascii="Sylfaen" w:hAnsi="Sylfaen"/>
          <w:sz w:val="24"/>
          <w:szCs w:val="24"/>
        </w:rPr>
        <w:t>և</w:t>
      </w:r>
      <w:r w:rsidRPr="00834D52">
        <w:rPr>
          <w:rFonts w:ascii="Sylfaen" w:hAnsi="Sylfaen"/>
          <w:sz w:val="24"/>
          <w:szCs w:val="24"/>
        </w:rPr>
        <w:t xml:space="preserve"> տվյալների վերաբերյալ անհրաժեշտ պարզաբանումներ կամ ճշտումներ (այդ թվում՝ ԴՊԸԲ</w:t>
      </w:r>
      <w:r w:rsidRPr="008341C7">
        <w:rPr>
          <w:rFonts w:ascii="Sylfaen" w:hAnsi="Sylfaen"/>
          <w:sz w:val="24"/>
          <w:szCs w:val="24"/>
        </w:rPr>
        <w:t>-</w:t>
      </w:r>
      <w:r w:rsidRPr="00834D52">
        <w:rPr>
          <w:rFonts w:ascii="Sylfaen" w:hAnsi="Sylfaen"/>
          <w:sz w:val="24"/>
          <w:szCs w:val="24"/>
        </w:rPr>
        <w:t>ում, դեղապատրաստուկի բժշկական կիրառման հրահանգում, փաթեթվածքի մանրակերտերում, որակի նորմատիվ փաստաթղթում կամ գրանցման դոսյեի այլ փաստաթղթերում փոփոխություններ կատարելու մասին առաջարկ) ներկայացնելու վերաբերյալ։</w:t>
      </w:r>
    </w:p>
    <w:p w14:paraId="67FCD120" w14:textId="77777777" w:rsidR="006F76EB" w:rsidRPr="00834D52" w:rsidRDefault="006F76EB" w:rsidP="00960E63">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pacing w:val="-4"/>
          <w:sz w:val="24"/>
          <w:szCs w:val="24"/>
        </w:rPr>
        <w:t xml:space="preserve">Հայտատուի կողմից նշված հարցմանը պատասխան ներկայացնելու ժամկետը չպետք է գերազանցի 90 օրացուցային օրը: Դեղապատրաստուկի գրանցման հաստատման (վերագրանցման) </w:t>
      </w:r>
      <w:r w:rsidR="00C54D75">
        <w:rPr>
          <w:rFonts w:ascii="Sylfaen" w:hAnsi="Sylfaen"/>
          <w:spacing w:val="-4"/>
          <w:sz w:val="24"/>
          <w:szCs w:val="24"/>
        </w:rPr>
        <w:t>և</w:t>
      </w:r>
      <w:r w:rsidRPr="00834D52">
        <w:rPr>
          <w:rFonts w:ascii="Sylfaen" w:hAnsi="Sylfaen"/>
          <w:spacing w:val="-4"/>
          <w:sz w:val="24"/>
          <w:szCs w:val="24"/>
        </w:rPr>
        <w:t xml:space="preserve"> փորձաքննության ընթացքում </w:t>
      </w:r>
      <w:r w:rsidR="00EB7D73">
        <w:rPr>
          <w:rFonts w:ascii="Sylfaen" w:hAnsi="Sylfaen"/>
          <w:spacing w:val="-4"/>
          <w:sz w:val="24"/>
          <w:szCs w:val="24"/>
        </w:rPr>
        <w:t xml:space="preserve">ռեֆերենտ </w:t>
      </w:r>
      <w:r w:rsidRPr="00834D52">
        <w:rPr>
          <w:rFonts w:ascii="Sylfaen" w:hAnsi="Sylfaen"/>
          <w:spacing w:val="-4"/>
          <w:sz w:val="24"/>
          <w:szCs w:val="24"/>
        </w:rPr>
        <w:t xml:space="preserve">պետության լիազորված մարմնի (փորձագիտական կազմակերպության) հարցման հիման վրա հայտատուի կողմից փաստաթղթեր ներկայացնելու ժամկետը չի մտնում դեղապատրաստուկի գրանցման հաստատում (վերագրանցում) </w:t>
      </w:r>
      <w:r w:rsidR="00C54D75">
        <w:rPr>
          <w:rFonts w:ascii="Sylfaen" w:hAnsi="Sylfaen"/>
          <w:spacing w:val="-4"/>
          <w:sz w:val="24"/>
          <w:szCs w:val="24"/>
        </w:rPr>
        <w:t>և</w:t>
      </w:r>
      <w:r w:rsidRPr="00834D52">
        <w:rPr>
          <w:rFonts w:ascii="Sylfaen" w:hAnsi="Sylfaen"/>
          <w:spacing w:val="-4"/>
          <w:sz w:val="24"/>
          <w:szCs w:val="24"/>
        </w:rPr>
        <w:t xml:space="preserve"> փորձաքննություն անցկացնելու ժամկետների</w:t>
      </w:r>
      <w:r w:rsidRPr="00834D52">
        <w:rPr>
          <w:rFonts w:ascii="Sylfaen" w:hAnsi="Sylfaen"/>
          <w:sz w:val="24"/>
          <w:szCs w:val="24"/>
        </w:rPr>
        <w:t xml:space="preserve"> մեջ։</w:t>
      </w:r>
    </w:p>
    <w:p w14:paraId="68EFA9FD" w14:textId="77777777" w:rsidR="006F76EB" w:rsidRPr="00834D52" w:rsidRDefault="006F76EB" w:rsidP="00960E63">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Դեղապատրաստուկների փորձաքննության շրջանակներում </w:t>
      </w:r>
      <w:r w:rsidR="00EB7D73">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20</w:t>
      </w:r>
      <w:r w:rsidR="0081247E" w:rsidRPr="0081247E">
        <w:rPr>
          <w:rFonts w:ascii="Sylfaen" w:hAnsi="Sylfaen"/>
          <w:sz w:val="24"/>
          <w:szCs w:val="24"/>
        </w:rPr>
        <w:t> </w:t>
      </w:r>
      <w:r w:rsidRPr="00834D52">
        <w:rPr>
          <w:rFonts w:ascii="Sylfaen" w:hAnsi="Sylfaen"/>
          <w:sz w:val="24"/>
          <w:szCs w:val="24"/>
        </w:rPr>
        <w:t xml:space="preserve">օրացուցային օրը չգերազանցող ժամկետում անցկացնում է հայտատուի </w:t>
      </w:r>
      <w:r w:rsidRPr="00834D52">
        <w:rPr>
          <w:rFonts w:ascii="Sylfaen" w:hAnsi="Sylfaen"/>
          <w:sz w:val="24"/>
          <w:szCs w:val="24"/>
        </w:rPr>
        <w:lastRenderedPageBreak/>
        <w:t>պատասխանների, այդ թվում՝ ճանաչման պետությունների լիազորված մարմինների (փորձագիտական կազմակերպությունների) հարցումների պատասխանների քննություն։</w:t>
      </w:r>
    </w:p>
    <w:p w14:paraId="4D59484B" w14:textId="77777777" w:rsidR="006F76EB" w:rsidRPr="00834D52" w:rsidRDefault="006F76EB" w:rsidP="006F76E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Սահմանված ժամկետում պահանջված փաստաթղթերը </w:t>
      </w:r>
      <w:r w:rsidR="00C54D75">
        <w:rPr>
          <w:rFonts w:ascii="Sylfaen" w:hAnsi="Sylfaen"/>
          <w:sz w:val="24"/>
          <w:szCs w:val="24"/>
        </w:rPr>
        <w:t>և</w:t>
      </w:r>
      <w:r w:rsidRPr="00834D52">
        <w:rPr>
          <w:rFonts w:ascii="Sylfaen" w:hAnsi="Sylfaen"/>
          <w:sz w:val="24"/>
          <w:szCs w:val="24"/>
        </w:rPr>
        <w:t xml:space="preserve"> տվյալները հայտատուի կողմից չներկայացնելու դեպքում դեղապատրաստուկի փորձաքննությունն ու գրանցման հաստատումը (վերագրանցումը) դադարեցվում</w:t>
      </w:r>
      <w:r w:rsidR="002442DD" w:rsidRPr="002442DD">
        <w:rPr>
          <w:rFonts w:ascii="Sylfaen" w:hAnsi="Sylfaen"/>
          <w:sz w:val="24"/>
          <w:szCs w:val="24"/>
        </w:rPr>
        <w:t> </w:t>
      </w:r>
      <w:r w:rsidRPr="00834D52">
        <w:rPr>
          <w:rFonts w:ascii="Sylfaen" w:hAnsi="Sylfaen"/>
          <w:sz w:val="24"/>
          <w:szCs w:val="24"/>
        </w:rPr>
        <w:t xml:space="preserve">է։ Կայացված որոշման մասին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այդ որոշումը կայացնելու օրվանից 14 աշխատանքային օրվա ընթացքում գրավոր </w:t>
      </w:r>
      <w:r w:rsidR="00C54D75">
        <w:rPr>
          <w:rFonts w:ascii="Sylfaen" w:hAnsi="Sylfaen"/>
          <w:sz w:val="24"/>
          <w:szCs w:val="24"/>
        </w:rPr>
        <w:t>և</w:t>
      </w:r>
      <w:r w:rsidRPr="00834D52">
        <w:rPr>
          <w:rFonts w:ascii="Sylfaen" w:hAnsi="Sylfaen"/>
          <w:sz w:val="24"/>
          <w:szCs w:val="24"/>
        </w:rPr>
        <w:t xml:space="preserve"> (կամ) էլեկտրոնային եղանակով ծանուցում է ճանաչման պետության լիազորված մարմիններին (փորձագիտական կազմակերպություններին) </w:t>
      </w:r>
      <w:r w:rsidR="00C54D75">
        <w:rPr>
          <w:rFonts w:ascii="Sylfaen" w:hAnsi="Sylfaen"/>
          <w:sz w:val="24"/>
          <w:szCs w:val="24"/>
        </w:rPr>
        <w:t>և</w:t>
      </w:r>
      <w:r w:rsidRPr="00834D52">
        <w:rPr>
          <w:rFonts w:ascii="Sylfaen" w:hAnsi="Sylfaen"/>
          <w:sz w:val="24"/>
          <w:szCs w:val="24"/>
        </w:rPr>
        <w:t xml:space="preserve"> հայտատուին։</w:t>
      </w:r>
    </w:p>
    <w:p w14:paraId="753748F9" w14:textId="77777777" w:rsidR="006F76EB" w:rsidRPr="00834D52" w:rsidRDefault="006F76EB" w:rsidP="00960E6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136.</w:t>
      </w:r>
      <w:r w:rsidRPr="00834D52">
        <w:rPr>
          <w:rFonts w:ascii="Sylfaen" w:hAnsi="Sylfaen"/>
          <w:sz w:val="24"/>
          <w:szCs w:val="24"/>
        </w:rPr>
        <w:tab/>
        <w:t xml:space="preserve">Դեղապատրաստուկի փորձաքննության արդյունքներով </w:t>
      </w:r>
      <w:r w:rsidR="00EB7D73">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դեղապատրաստուկի գրանցման հաստատման (վերագրանցման) հայտ ներկայացնելու օրվանից 90 օրացուցային օրը չգերազանցող ժամկետում սույն Կանոնների թիվ 16 հավելվածին համապատասխան սահմանված ձ</w:t>
      </w:r>
      <w:r w:rsidR="00C54D75">
        <w:rPr>
          <w:rFonts w:ascii="Sylfaen" w:hAnsi="Sylfaen"/>
          <w:sz w:val="24"/>
          <w:szCs w:val="24"/>
        </w:rPr>
        <w:t>և</w:t>
      </w:r>
      <w:r w:rsidRPr="00834D52">
        <w:rPr>
          <w:rFonts w:ascii="Sylfaen" w:hAnsi="Sylfaen"/>
          <w:sz w:val="24"/>
          <w:szCs w:val="24"/>
        </w:rPr>
        <w:t xml:space="preserve">ով կազմում </w:t>
      </w:r>
      <w:r w:rsidR="00C54D75">
        <w:rPr>
          <w:rFonts w:ascii="Sylfaen" w:hAnsi="Sylfaen"/>
          <w:sz w:val="24"/>
          <w:szCs w:val="24"/>
        </w:rPr>
        <w:t>և</w:t>
      </w:r>
      <w:r w:rsidRPr="00834D52">
        <w:rPr>
          <w:rFonts w:ascii="Sylfaen" w:hAnsi="Sylfaen"/>
          <w:sz w:val="24"/>
          <w:szCs w:val="24"/>
        </w:rPr>
        <w:t xml:space="preserve"> հաստատում է գնահատման վերաբերյալ եզրափակիչ փորձագիտական հաշվետվությունը, որն ինտեգրված համակարգի օգտագործմամբ ուղարկվում է դեղապատրաստուկի գրանցման հաստատման (վերագրանցման) ընթացակարգին մասնակցող բոլոր ճանաչման պետությունների լիազորված մարմիններ (փորձագիտական կազմակերպություններ)։ Գնահատման վերաբերյալ փորձագիտական հաշվետվությունը կազմվում է սույն Կանոնների թիվ 13</w:t>
      </w:r>
      <w:r w:rsidRPr="008341C7">
        <w:rPr>
          <w:rFonts w:ascii="Sylfaen" w:hAnsi="Sylfaen"/>
          <w:sz w:val="24"/>
          <w:szCs w:val="24"/>
        </w:rPr>
        <w:t>-</w:t>
      </w:r>
      <w:r w:rsidRPr="00834D52">
        <w:rPr>
          <w:rFonts w:ascii="Sylfaen" w:hAnsi="Sylfaen"/>
          <w:sz w:val="24"/>
          <w:szCs w:val="24"/>
        </w:rPr>
        <w:t xml:space="preserve">15 </w:t>
      </w:r>
      <w:r w:rsidR="00C54D75">
        <w:rPr>
          <w:rFonts w:ascii="Sylfaen" w:hAnsi="Sylfaen"/>
          <w:sz w:val="24"/>
          <w:szCs w:val="24"/>
        </w:rPr>
        <w:t>և</w:t>
      </w:r>
      <w:r w:rsidRPr="00834D52">
        <w:rPr>
          <w:rFonts w:ascii="Sylfaen" w:hAnsi="Sylfaen"/>
          <w:sz w:val="24"/>
          <w:szCs w:val="24"/>
        </w:rPr>
        <w:t xml:space="preserve"> 23</w:t>
      </w:r>
      <w:r w:rsidR="00AE5F29" w:rsidRPr="00AE5F29">
        <w:rPr>
          <w:rFonts w:ascii="Sylfaen" w:hAnsi="Sylfaen"/>
          <w:sz w:val="24"/>
          <w:szCs w:val="24"/>
        </w:rPr>
        <w:t> </w:t>
      </w:r>
      <w:r w:rsidRPr="00834D52">
        <w:rPr>
          <w:rFonts w:ascii="Sylfaen" w:hAnsi="Sylfaen"/>
          <w:sz w:val="24"/>
          <w:szCs w:val="24"/>
        </w:rPr>
        <w:t>հավելվածներին համապատասխան։</w:t>
      </w:r>
    </w:p>
    <w:p w14:paraId="64F76F97" w14:textId="77777777" w:rsidR="006F76EB" w:rsidRPr="00834D52" w:rsidRDefault="006F76EB" w:rsidP="00960E6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137.</w:t>
      </w:r>
      <w:r w:rsidRPr="00834D52">
        <w:rPr>
          <w:rFonts w:ascii="Sylfaen" w:hAnsi="Sylfaen"/>
          <w:sz w:val="24"/>
          <w:szCs w:val="24"/>
        </w:rPr>
        <w:tab/>
        <w:t xml:space="preserve">Դեղապատրաստուկի փորձաքննության արդյունքներով ճանաչման պետության լիազորված մարմինը (փորձագիտական կազմակերպությունը) </w:t>
      </w:r>
      <w:r w:rsidR="00EB7D73">
        <w:rPr>
          <w:rFonts w:ascii="Sylfaen" w:hAnsi="Sylfaen"/>
          <w:sz w:val="24"/>
          <w:szCs w:val="24"/>
        </w:rPr>
        <w:t>ռեֆերենտ</w:t>
      </w:r>
      <w:r w:rsidRPr="00834D52">
        <w:rPr>
          <w:rFonts w:ascii="Sylfaen" w:hAnsi="Sylfaen"/>
          <w:sz w:val="24"/>
          <w:szCs w:val="24"/>
        </w:rPr>
        <w:t xml:space="preserve"> պետության՝ գնահատման վերաբերյալ եզրափակիչ փորձագիտական հաշվետվությունը ստանալու օրվանից 20 օրացուցային օրը չգերազանցող ժամկետում կազմում, հաստատում </w:t>
      </w:r>
      <w:r w:rsidR="00C54D75">
        <w:rPr>
          <w:rFonts w:ascii="Sylfaen" w:hAnsi="Sylfaen"/>
          <w:sz w:val="24"/>
          <w:szCs w:val="24"/>
        </w:rPr>
        <w:t>և</w:t>
      </w:r>
      <w:r w:rsidRPr="00834D52">
        <w:rPr>
          <w:rFonts w:ascii="Sylfaen" w:hAnsi="Sylfaen"/>
          <w:sz w:val="24"/>
          <w:szCs w:val="24"/>
        </w:rPr>
        <w:t xml:space="preserve"> ինտեգրված համակարգի միջոցների օգտագործմամբ </w:t>
      </w:r>
      <w:r w:rsidR="00EB7D73">
        <w:rPr>
          <w:rFonts w:ascii="Sylfaen" w:hAnsi="Sylfaen"/>
          <w:sz w:val="24"/>
          <w:szCs w:val="24"/>
        </w:rPr>
        <w:t xml:space="preserve">ռեֆերենտ </w:t>
      </w:r>
      <w:r w:rsidRPr="00834D52">
        <w:rPr>
          <w:rFonts w:ascii="Sylfaen" w:hAnsi="Sylfaen"/>
          <w:sz w:val="24"/>
          <w:szCs w:val="24"/>
        </w:rPr>
        <w:t xml:space="preserve">պետության լիազորված մարմին (փորձագիտական </w:t>
      </w:r>
      <w:r w:rsidRPr="00834D52">
        <w:rPr>
          <w:rFonts w:ascii="Sylfaen" w:hAnsi="Sylfaen"/>
          <w:sz w:val="24"/>
          <w:szCs w:val="24"/>
        </w:rPr>
        <w:lastRenderedPageBreak/>
        <w:t xml:space="preserve">կազմակերպություն) է ուղարկում </w:t>
      </w:r>
      <w:r w:rsidR="0032680A">
        <w:rPr>
          <w:rFonts w:ascii="Sylfaen" w:hAnsi="Sylfaen"/>
          <w:sz w:val="24"/>
          <w:szCs w:val="24"/>
        </w:rPr>
        <w:t xml:space="preserve">ռեֆերենտ </w:t>
      </w:r>
      <w:r w:rsidRPr="00834D52">
        <w:rPr>
          <w:rFonts w:ascii="Sylfaen" w:hAnsi="Sylfaen"/>
          <w:sz w:val="24"/>
          <w:szCs w:val="24"/>
        </w:rPr>
        <w:t>պետության՝ գնահատման վերաբերյալ փորձագիտական հաշվետվության ճանաչման հնարավոր կամ անհնար լինելու մասին եզրակացություն՝ սույն Կանոնների թիվ 18 հավելվածին համապատասխան սահմանված ձ</w:t>
      </w:r>
      <w:r w:rsidR="00C54D75">
        <w:rPr>
          <w:rFonts w:ascii="Sylfaen" w:hAnsi="Sylfaen"/>
          <w:sz w:val="24"/>
          <w:szCs w:val="24"/>
        </w:rPr>
        <w:t>և</w:t>
      </w:r>
      <w:r w:rsidRPr="00834D52">
        <w:rPr>
          <w:rFonts w:ascii="Sylfaen" w:hAnsi="Sylfaen"/>
          <w:sz w:val="24"/>
          <w:szCs w:val="24"/>
        </w:rPr>
        <w:t>ով:</w:t>
      </w:r>
    </w:p>
    <w:p w14:paraId="0380ECDE" w14:textId="77777777" w:rsidR="006F76EB" w:rsidRPr="00834D52" w:rsidRDefault="006F76EB" w:rsidP="00960E6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138.</w:t>
      </w:r>
      <w:r w:rsidRPr="00834D52">
        <w:rPr>
          <w:rFonts w:ascii="Sylfaen" w:hAnsi="Sylfaen"/>
          <w:sz w:val="24"/>
          <w:szCs w:val="24"/>
        </w:rPr>
        <w:tab/>
        <w:t>ԴՊԸԲ</w:t>
      </w:r>
      <w:r w:rsidRPr="008341C7">
        <w:rPr>
          <w:rFonts w:ascii="Sylfaen" w:hAnsi="Sylfaen"/>
          <w:sz w:val="24"/>
          <w:szCs w:val="24"/>
        </w:rPr>
        <w:t>-</w:t>
      </w:r>
      <w:r w:rsidRPr="00834D52">
        <w:rPr>
          <w:rFonts w:ascii="Sylfaen" w:hAnsi="Sylfaen"/>
          <w:sz w:val="24"/>
          <w:szCs w:val="24"/>
        </w:rPr>
        <w:t xml:space="preserve">ում, դեղապատրաստուկի բժշկական կիրառման հրահանգում, փաթեթվածքների մանրակերտերում </w:t>
      </w:r>
      <w:r w:rsidR="00C54D75">
        <w:rPr>
          <w:rFonts w:ascii="Sylfaen" w:hAnsi="Sylfaen"/>
          <w:sz w:val="24"/>
          <w:szCs w:val="24"/>
        </w:rPr>
        <w:t>և</w:t>
      </w:r>
      <w:r w:rsidRPr="00834D52">
        <w:rPr>
          <w:rFonts w:ascii="Sylfaen" w:hAnsi="Sylfaen"/>
          <w:sz w:val="24"/>
          <w:szCs w:val="24"/>
        </w:rPr>
        <w:t xml:space="preserve"> գրանցման դոսյեի այլ փաստաթղթերում փոփոխություններ կատարելու մասին </w:t>
      </w:r>
      <w:r w:rsidR="0032680A">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ճանաչման պետությունների լիազորված մարմինների (փորձագիտական կազմակերպությունների) առաջարկների հետ հայտատուի համաձայն լինելու դեպքում դրանք չեն կարող ծառայել որպես հիմք՝ դեղապատրաստուկի գրանցման հաստատումը (վերագրանցումը) մերժելու համար։</w:t>
      </w:r>
    </w:p>
    <w:p w14:paraId="040BC18A" w14:textId="77777777" w:rsidR="006F76EB" w:rsidRPr="00834D52" w:rsidRDefault="006F76EB" w:rsidP="00960E6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139.</w:t>
      </w:r>
      <w:r w:rsidRPr="00834D52">
        <w:rPr>
          <w:rFonts w:ascii="Sylfaen" w:hAnsi="Sylfaen"/>
          <w:sz w:val="24"/>
          <w:szCs w:val="24"/>
        </w:rPr>
        <w:tab/>
        <w:t xml:space="preserve">Եթե </w:t>
      </w:r>
      <w:r w:rsidR="0032680A">
        <w:rPr>
          <w:rFonts w:ascii="Sylfaen" w:hAnsi="Sylfaen"/>
          <w:sz w:val="24"/>
          <w:szCs w:val="24"/>
        </w:rPr>
        <w:t xml:space="preserve">ռեֆերենտ </w:t>
      </w:r>
      <w:r w:rsidRPr="00834D52">
        <w:rPr>
          <w:rFonts w:ascii="Sylfaen" w:hAnsi="Sylfaen"/>
          <w:sz w:val="24"/>
          <w:szCs w:val="24"/>
        </w:rPr>
        <w:t>պետությունում դեղապատրաստուկի փորձաքննության արդյունքներով պարզվում է, որ օգուտ</w:t>
      </w:r>
      <w:r w:rsidRPr="008341C7">
        <w:rPr>
          <w:rFonts w:ascii="Sylfaen" w:hAnsi="Sylfaen"/>
          <w:sz w:val="24"/>
          <w:szCs w:val="24"/>
        </w:rPr>
        <w:t>-</w:t>
      </w:r>
      <w:r w:rsidRPr="00834D52">
        <w:rPr>
          <w:rFonts w:ascii="Sylfaen" w:hAnsi="Sylfaen"/>
          <w:sz w:val="24"/>
          <w:szCs w:val="24"/>
        </w:rPr>
        <w:t xml:space="preserve">ռիսկ հարաբերակցությունը գնահատվում է դրական </w:t>
      </w:r>
      <w:r w:rsidR="00C54D75">
        <w:rPr>
          <w:rFonts w:ascii="Sylfaen" w:hAnsi="Sylfaen"/>
          <w:sz w:val="24"/>
          <w:szCs w:val="24"/>
        </w:rPr>
        <w:t>և</w:t>
      </w:r>
      <w:r w:rsidRPr="00834D52">
        <w:rPr>
          <w:rFonts w:ascii="Sylfaen" w:hAnsi="Sylfaen"/>
          <w:sz w:val="24"/>
          <w:szCs w:val="24"/>
        </w:rPr>
        <w:t xml:space="preserve"> կատարված փոփոխությունները հաշվի առնելով՝ գրանցման դոսյեն համապատասխանում է առաջադրված պահանջներին՝</w:t>
      </w:r>
    </w:p>
    <w:p w14:paraId="520C8A26" w14:textId="77777777" w:rsidR="006F76EB" w:rsidRPr="00834D52" w:rsidRDefault="006F76EB" w:rsidP="006F76E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pacing w:val="4"/>
          <w:sz w:val="24"/>
          <w:szCs w:val="24"/>
        </w:rPr>
        <w:t>ա)</w:t>
      </w:r>
      <w:r w:rsidRPr="00834D52">
        <w:rPr>
          <w:rFonts w:ascii="Sylfaen" w:hAnsi="Sylfaen"/>
          <w:spacing w:val="4"/>
          <w:sz w:val="24"/>
          <w:szCs w:val="24"/>
        </w:rPr>
        <w:tab/>
      </w:r>
      <w:r w:rsidR="0032680A">
        <w:rPr>
          <w:rFonts w:ascii="Sylfaen" w:hAnsi="Sylfaen"/>
          <w:spacing w:val="4"/>
          <w:sz w:val="24"/>
          <w:szCs w:val="24"/>
        </w:rPr>
        <w:t xml:space="preserve">ռեֆերենտ </w:t>
      </w:r>
      <w:r w:rsidRPr="00834D52">
        <w:rPr>
          <w:rFonts w:ascii="Sylfaen" w:hAnsi="Sylfaen"/>
          <w:spacing w:val="4"/>
          <w:sz w:val="24"/>
          <w:szCs w:val="24"/>
        </w:rPr>
        <w:t>պետության լիազորված մարմինը (փորձագիտական կազմակերպությունը) հայտատուին տրամադրում է դեղապատրաստուկի գրանցման անժամկետ հավաստագիր՝ սույն Կանոնների թիվ 17 հավելվածին համապատասխան սահմանված ձ</w:t>
      </w:r>
      <w:r w:rsidR="00C54D75">
        <w:rPr>
          <w:rFonts w:ascii="Sylfaen" w:hAnsi="Sylfaen"/>
          <w:spacing w:val="4"/>
          <w:sz w:val="24"/>
          <w:szCs w:val="24"/>
        </w:rPr>
        <w:t>և</w:t>
      </w:r>
      <w:r w:rsidRPr="00834D52">
        <w:rPr>
          <w:rFonts w:ascii="Sylfaen" w:hAnsi="Sylfaen"/>
          <w:spacing w:val="4"/>
          <w:sz w:val="24"/>
          <w:szCs w:val="24"/>
        </w:rPr>
        <w:t>ով, դեղապատրաստուկի հաստատված ԴՊԸԲ</w:t>
      </w:r>
      <w:r w:rsidRPr="008341C7">
        <w:rPr>
          <w:rFonts w:ascii="Sylfaen" w:hAnsi="Sylfaen"/>
          <w:spacing w:val="4"/>
          <w:sz w:val="24"/>
          <w:szCs w:val="24"/>
        </w:rPr>
        <w:t>-</w:t>
      </w:r>
      <w:r w:rsidRPr="00834D52">
        <w:rPr>
          <w:rFonts w:ascii="Sylfaen" w:hAnsi="Sylfaen"/>
          <w:spacing w:val="4"/>
          <w:sz w:val="24"/>
          <w:szCs w:val="24"/>
        </w:rPr>
        <w:t>ները, բժշկական կիրառման հրահանգը, որակի նորմատիվ փաստաթուղթը, փաթեթվածքների մանրակերտերը, գնահատման վերաբերյալ փորձագիտական հաշվետվությունը (ինչպես նա</w:t>
      </w:r>
      <w:r w:rsidR="00C54D75">
        <w:rPr>
          <w:rFonts w:ascii="Sylfaen" w:hAnsi="Sylfaen"/>
          <w:spacing w:val="4"/>
          <w:sz w:val="24"/>
          <w:szCs w:val="24"/>
        </w:rPr>
        <w:t>և</w:t>
      </w:r>
      <w:r w:rsidRPr="00834D52">
        <w:rPr>
          <w:rFonts w:ascii="Sylfaen" w:hAnsi="Sylfaen"/>
          <w:spacing w:val="4"/>
          <w:sz w:val="24"/>
          <w:szCs w:val="24"/>
        </w:rPr>
        <w:t xml:space="preserve"> անդամ պետության օրենսդրության մեջ նման պահանջի առկայության դեպքում՝ դեղապատրաստուկի հաստատված ԴՊԸԲ</w:t>
      </w:r>
      <w:r w:rsidRPr="008341C7">
        <w:rPr>
          <w:rFonts w:ascii="Sylfaen" w:hAnsi="Sylfaen"/>
          <w:spacing w:val="4"/>
          <w:sz w:val="24"/>
          <w:szCs w:val="24"/>
        </w:rPr>
        <w:t>-</w:t>
      </w:r>
      <w:r w:rsidRPr="00834D52">
        <w:rPr>
          <w:rFonts w:ascii="Sylfaen" w:hAnsi="Sylfaen"/>
          <w:spacing w:val="4"/>
          <w:sz w:val="24"/>
          <w:szCs w:val="24"/>
        </w:rPr>
        <w:t xml:space="preserve">ները, բժշկական կիրառման հրահանգն ու փաթեթվածքի մանրակերտերը՝ </w:t>
      </w:r>
      <w:r w:rsidR="0032680A">
        <w:rPr>
          <w:rFonts w:ascii="Sylfaen" w:hAnsi="Sylfaen"/>
          <w:spacing w:val="4"/>
          <w:sz w:val="24"/>
          <w:szCs w:val="24"/>
        </w:rPr>
        <w:t xml:space="preserve">ռեֆերենտ </w:t>
      </w:r>
      <w:r w:rsidRPr="00834D52">
        <w:rPr>
          <w:rFonts w:ascii="Sylfaen" w:hAnsi="Sylfaen"/>
          <w:spacing w:val="4"/>
          <w:sz w:val="24"/>
          <w:szCs w:val="24"/>
        </w:rPr>
        <w:t xml:space="preserve">պետության պետական լեզվով) </w:t>
      </w:r>
      <w:r w:rsidR="00C54D75">
        <w:rPr>
          <w:rFonts w:ascii="Sylfaen" w:hAnsi="Sylfaen"/>
          <w:spacing w:val="4"/>
          <w:sz w:val="24"/>
          <w:szCs w:val="24"/>
        </w:rPr>
        <w:t>և</w:t>
      </w:r>
      <w:r w:rsidRPr="00834D52">
        <w:rPr>
          <w:rFonts w:ascii="Sylfaen" w:hAnsi="Sylfaen"/>
          <w:spacing w:val="4"/>
          <w:sz w:val="24"/>
          <w:szCs w:val="24"/>
        </w:rPr>
        <w:t xml:space="preserve"> անհրաժեշտության դեպքում՝</w:t>
      </w:r>
      <w:r w:rsidRPr="00834D52">
        <w:rPr>
          <w:rFonts w:ascii="Sylfaen" w:hAnsi="Sylfaen"/>
          <w:sz w:val="24"/>
          <w:szCs w:val="24"/>
        </w:rPr>
        <w:t xml:space="preserve"> դեղապատրաստուկի կիրառման ժամանակ ռիսկերի կառավարման համաձայնեցված պլանը.</w:t>
      </w:r>
    </w:p>
    <w:p w14:paraId="461CA46D" w14:textId="77777777" w:rsidR="006F76EB" w:rsidRPr="00834D52" w:rsidRDefault="006F76EB" w:rsidP="002442DD">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ճանաչման պետությունների լիազորված մարմինները հայտատուին տրամադրում են դեղապատրաստուկի անժամկետ գրանցման հավաստագիր՝ </w:t>
      </w:r>
      <w:r w:rsidRPr="00834D52">
        <w:rPr>
          <w:rFonts w:ascii="Sylfaen" w:hAnsi="Sylfaen"/>
          <w:sz w:val="24"/>
          <w:szCs w:val="24"/>
        </w:rPr>
        <w:lastRenderedPageBreak/>
        <w:t>սույն Կանոնների թիվ 17 հավելվածին համապատասխան սահմանված ձ</w:t>
      </w:r>
      <w:r w:rsidR="00C54D75">
        <w:rPr>
          <w:rFonts w:ascii="Sylfaen" w:hAnsi="Sylfaen"/>
          <w:sz w:val="24"/>
          <w:szCs w:val="24"/>
        </w:rPr>
        <w:t>և</w:t>
      </w:r>
      <w:r w:rsidRPr="00834D52">
        <w:rPr>
          <w:rFonts w:ascii="Sylfaen" w:hAnsi="Sylfaen"/>
          <w:sz w:val="24"/>
          <w:szCs w:val="24"/>
        </w:rPr>
        <w:t>ով, ինչպես նա</w:t>
      </w:r>
      <w:r w:rsidR="00C54D75">
        <w:rPr>
          <w:rFonts w:ascii="Sylfaen" w:hAnsi="Sylfaen"/>
          <w:sz w:val="24"/>
          <w:szCs w:val="24"/>
        </w:rPr>
        <w:t>և</w:t>
      </w:r>
      <w:r w:rsidRPr="00834D52">
        <w:rPr>
          <w:rFonts w:ascii="Sylfaen" w:hAnsi="Sylfaen"/>
          <w:sz w:val="24"/>
          <w:szCs w:val="24"/>
        </w:rPr>
        <w:t xml:space="preserve"> անհրաժեշտության դեպքում՝ դեղապատրաստուկի հաստատված ԴՊԸԲ</w:t>
      </w:r>
      <w:r w:rsidRPr="008341C7">
        <w:rPr>
          <w:rFonts w:ascii="Sylfaen" w:hAnsi="Sylfaen"/>
          <w:sz w:val="24"/>
          <w:szCs w:val="24"/>
        </w:rPr>
        <w:t>-</w:t>
      </w:r>
      <w:r w:rsidRPr="00834D52">
        <w:rPr>
          <w:rFonts w:ascii="Sylfaen" w:hAnsi="Sylfaen"/>
          <w:sz w:val="24"/>
          <w:szCs w:val="24"/>
        </w:rPr>
        <w:t>ները, բժշկական կիրառման հրահանգը, փաթեթվածքների մանրակերտերը ճանաչման պետությունների պետական լեզվով՝ այդ պետությունների օրենսդրության մեջ համապատասխան պահանջների առկայության դեպքում.</w:t>
      </w:r>
    </w:p>
    <w:p w14:paraId="53DCD485" w14:textId="77777777" w:rsidR="006F76EB" w:rsidRPr="00834D52" w:rsidRDefault="006F76EB" w:rsidP="00960E63">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գրանցման հաստատման (վերագրանցման) ընթացակարգին մասնակցող անդամ պետությունների լիազորված մարմինները դեղապատրաստուկի </w:t>
      </w:r>
      <w:r w:rsidR="00C54D75">
        <w:rPr>
          <w:rFonts w:ascii="Sylfaen" w:hAnsi="Sylfaen"/>
          <w:sz w:val="24"/>
          <w:szCs w:val="24"/>
        </w:rPr>
        <w:t>և</w:t>
      </w:r>
      <w:r w:rsidRPr="00834D52">
        <w:rPr>
          <w:rFonts w:ascii="Sylfaen" w:hAnsi="Sylfaen"/>
          <w:sz w:val="24"/>
          <w:szCs w:val="24"/>
        </w:rPr>
        <w:t xml:space="preserve"> դրա բաղադրության մեջ մտնող ակտիվ դեղագործական բաղադրամասերի մասին անհրաժեշտ տեղեկատվությունը տեղադրում են միասնական ռեեստրում, դեղապատրաստուկի կիրառման ժամանակ ռիսկերի կառավարման համաձայնեցված պլանի ռեզյումեի մեջ (անհրաժեշտության դեպքում)։</w:t>
      </w:r>
    </w:p>
    <w:p w14:paraId="59D1D3DF" w14:textId="77777777" w:rsidR="006F76EB" w:rsidRPr="00834D52" w:rsidRDefault="006F76EB" w:rsidP="00960E63">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140.</w:t>
      </w:r>
      <w:r w:rsidRPr="00834D52">
        <w:rPr>
          <w:rFonts w:ascii="Sylfaen" w:hAnsi="Sylfaen"/>
          <w:sz w:val="24"/>
          <w:szCs w:val="24"/>
        </w:rPr>
        <w:tab/>
      </w:r>
      <w:r w:rsidR="0032680A">
        <w:rPr>
          <w:rFonts w:ascii="Sylfaen" w:hAnsi="Sylfaen"/>
          <w:sz w:val="24"/>
          <w:szCs w:val="24"/>
        </w:rPr>
        <w:t xml:space="preserve">Ռեֆերենտ </w:t>
      </w:r>
      <w:r w:rsidRPr="00834D52">
        <w:rPr>
          <w:rFonts w:ascii="Sylfaen" w:hAnsi="Sylfaen"/>
          <w:sz w:val="24"/>
          <w:szCs w:val="24"/>
        </w:rPr>
        <w:t xml:space="preserve">պետության փորձագիտական կազմակերպության պատրաստած՝ գնահատման վերաբերյալ փորձագիտական հաշվետվությունը ճանաչելու անհնարինության դեպքում ճանաչման պետության լիազորված մարմինը (փորձագիտական կազմակերպությունը) սույն Կանոնների </w:t>
      </w:r>
      <w:r w:rsidR="009D5590" w:rsidRPr="0032680A">
        <w:rPr>
          <w:rFonts w:ascii="Sylfaen" w:hAnsi="Sylfaen"/>
          <w:sz w:val="24"/>
          <w:szCs w:val="24"/>
        </w:rPr>
        <w:br/>
      </w:r>
      <w:r w:rsidRPr="00834D52">
        <w:rPr>
          <w:rFonts w:ascii="Sylfaen" w:hAnsi="Sylfaen"/>
          <w:sz w:val="24"/>
          <w:szCs w:val="24"/>
        </w:rPr>
        <w:t>137</w:t>
      </w:r>
      <w:r w:rsidRPr="008341C7">
        <w:rPr>
          <w:rFonts w:ascii="Sylfaen" w:hAnsi="Sylfaen"/>
          <w:sz w:val="24"/>
          <w:szCs w:val="24"/>
        </w:rPr>
        <w:t>-</w:t>
      </w:r>
      <w:r w:rsidRPr="00834D52">
        <w:rPr>
          <w:rFonts w:ascii="Sylfaen" w:hAnsi="Sylfaen"/>
          <w:sz w:val="24"/>
          <w:szCs w:val="24"/>
        </w:rPr>
        <w:t xml:space="preserve">րդ կետում նշված ժամկետում էլեկտրոնային </w:t>
      </w:r>
      <w:r w:rsidR="00C54D75">
        <w:rPr>
          <w:rFonts w:ascii="Sylfaen" w:hAnsi="Sylfaen"/>
          <w:sz w:val="24"/>
          <w:szCs w:val="24"/>
        </w:rPr>
        <w:t>և</w:t>
      </w:r>
      <w:r w:rsidRPr="00834D52">
        <w:rPr>
          <w:rFonts w:ascii="Sylfaen" w:hAnsi="Sylfaen"/>
          <w:sz w:val="24"/>
          <w:szCs w:val="24"/>
        </w:rPr>
        <w:t xml:space="preserve"> (կամ) թղթային եղանակով հայտատուին կամ Փորձագիտական կոմիտե է ուղարկում </w:t>
      </w:r>
      <w:r w:rsidR="0032680A">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դեղապատրաստուկի գրանցման հաստատման (վերագրանցման) ընթացակարգին մասնակցող ճանաչման պետությունների լիազորված մարմնի (փորձագիտական կազմակերպության) կողմից այդ փորձագիտական հաշվետվությունը ճանաչելու անհնարինության մասին եզրակացություն՝ կայացրած որոշման հիմնավորմամբ։</w:t>
      </w:r>
    </w:p>
    <w:p w14:paraId="61B9FEE1" w14:textId="77777777" w:rsidR="006F76EB" w:rsidRPr="00834D52" w:rsidRDefault="006F76EB" w:rsidP="00960E6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141.</w:t>
      </w:r>
      <w:r w:rsidRPr="00834D52">
        <w:rPr>
          <w:rFonts w:ascii="Sylfaen" w:hAnsi="Sylfaen"/>
          <w:sz w:val="24"/>
          <w:szCs w:val="24"/>
        </w:rPr>
        <w:tab/>
      </w:r>
      <w:r w:rsidR="0032680A">
        <w:rPr>
          <w:rFonts w:ascii="Sylfaen" w:hAnsi="Sylfaen"/>
          <w:sz w:val="24"/>
          <w:szCs w:val="24"/>
        </w:rPr>
        <w:t xml:space="preserve">Ռեֆերենտ </w:t>
      </w:r>
      <w:r w:rsidRPr="00834D52">
        <w:rPr>
          <w:rFonts w:ascii="Sylfaen" w:hAnsi="Sylfaen"/>
          <w:sz w:val="24"/>
          <w:szCs w:val="24"/>
        </w:rPr>
        <w:t>պետության գնահատման վերաբերյալ փորձագիտական հաշվետվությունը ճանաչելու անհնարինության մասին ճանաչման պետության լիազորված մարմնի եզրակացությունը ստանալու օրվանից 60 օրացուցային օրը չգերազանցող ժամկետում Փորձագիտական կոմիտեն, Հանձնաժողովի կողմից սահմանված կարգին համապատասխան, իրականացնում է տարաձայնությունների քննության ընթացակարգ։</w:t>
      </w:r>
    </w:p>
    <w:p w14:paraId="3773FB05"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Ճանաչման պետության լիազորված մարմինը մերժում է </w:t>
      </w:r>
      <w:r w:rsidRPr="00834D52">
        <w:rPr>
          <w:rFonts w:ascii="Sylfaen" w:hAnsi="Sylfaen"/>
          <w:sz w:val="24"/>
          <w:szCs w:val="24"/>
        </w:rPr>
        <w:lastRenderedPageBreak/>
        <w:t xml:space="preserve">դեղապատրաստուկի գրանցման հաստատումը (վերագրանցումը), եթե դեղապատրաստուկի փորձաքննության արդյունքներով </w:t>
      </w:r>
      <w:r w:rsidR="00C54D75">
        <w:rPr>
          <w:rFonts w:ascii="Sylfaen" w:hAnsi="Sylfaen"/>
          <w:sz w:val="24"/>
          <w:szCs w:val="24"/>
        </w:rPr>
        <w:t>և</w:t>
      </w:r>
      <w:r w:rsidRPr="00834D52">
        <w:rPr>
          <w:rFonts w:ascii="Sylfaen" w:hAnsi="Sylfaen"/>
          <w:sz w:val="24"/>
          <w:szCs w:val="24"/>
        </w:rPr>
        <w:t xml:space="preserve"> Փորձագիտական կոմիտեում տարաձայնությունների կարգավորման ընթացակարգի անցկացումից հետո պարզվել է, որ </w:t>
      </w:r>
      <w:r w:rsidR="0032680A">
        <w:rPr>
          <w:rFonts w:ascii="Sylfaen" w:hAnsi="Sylfaen"/>
          <w:sz w:val="24"/>
          <w:szCs w:val="24"/>
        </w:rPr>
        <w:t xml:space="preserve">ռեֆերենտ </w:t>
      </w:r>
      <w:r w:rsidRPr="00834D52">
        <w:rPr>
          <w:rFonts w:ascii="Sylfaen" w:hAnsi="Sylfaen"/>
          <w:sz w:val="24"/>
          <w:szCs w:val="24"/>
        </w:rPr>
        <w:t>պետության փորձագիտական կազմակերպության պատրաստած՝ գնահատման վերաբերյալ փորձագիտական հաշվետվությունը սույն Կանոնների 146</w:t>
      </w:r>
      <w:r w:rsidRPr="008341C7">
        <w:rPr>
          <w:rFonts w:ascii="Sylfaen" w:hAnsi="Sylfaen"/>
          <w:sz w:val="24"/>
          <w:szCs w:val="24"/>
        </w:rPr>
        <w:t>-</w:t>
      </w:r>
      <w:r w:rsidRPr="00834D52">
        <w:rPr>
          <w:rFonts w:ascii="Sylfaen" w:hAnsi="Sylfaen"/>
          <w:sz w:val="24"/>
          <w:szCs w:val="24"/>
        </w:rPr>
        <w:t>րդ կետում նշված պատճառներով չի կարող ճանաչվել ճանաչման պետության լիազորված մարմնի (փորձագիտական կազմակերպության) կողմից։</w:t>
      </w:r>
    </w:p>
    <w:p w14:paraId="7771BD43"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142.</w:t>
      </w:r>
      <w:r w:rsidRPr="00834D52">
        <w:rPr>
          <w:rFonts w:ascii="Sylfaen" w:hAnsi="Sylfaen"/>
          <w:sz w:val="24"/>
          <w:szCs w:val="24"/>
        </w:rPr>
        <w:tab/>
        <w:t xml:space="preserve">Դեղապատրաստուկի գրանցումը հաստատելու (վերագրանցելու) դեպքում անդամ պետության լիազորված մարմինը (փորձագիտական կազմակերպությունը) իրականացնում է գրանցման հավաստագրի իրավատիրոջ կողմից դեղապատրաստուկի գրանցման հետ կապված՝ սույն Կանոնների VII բաժնում շարադրված պայմանների կատարման վերլուծություն, եթե տվյալ պարտավորությունները կիրառվել են գրանցման հավաստագրի այդ իրավատիրոջ նկատմամբ։ Դեղապատրաստուկի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մասին նոր տվյալների ի հայտ գալու դեպքում լիազորված մարմինը կարող է գրանցման պայմաններում կատարել փոփոխություններ </w:t>
      </w:r>
      <w:r w:rsidR="00C54D75">
        <w:rPr>
          <w:rFonts w:ascii="Sylfaen" w:hAnsi="Sylfaen"/>
          <w:sz w:val="24"/>
          <w:szCs w:val="24"/>
        </w:rPr>
        <w:t>և</w:t>
      </w:r>
      <w:r w:rsidRPr="00834D52">
        <w:rPr>
          <w:rFonts w:ascii="Sylfaen" w:hAnsi="Sylfaen"/>
          <w:sz w:val="24"/>
          <w:szCs w:val="24"/>
        </w:rPr>
        <w:t xml:space="preserve"> (կամ) առաջադրել նոր պայմաններ։</w:t>
      </w:r>
    </w:p>
    <w:p w14:paraId="6176BA5C" w14:textId="77777777" w:rsidR="006F76EB" w:rsidRPr="00834D52" w:rsidRDefault="006F76EB" w:rsidP="002442DD">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դոսյեի գնահատման ընթացքում դեղապատրաստուկի գրանցումը հաստատելու (վերագրանցելու) գործընթացում անդամ պետությունների լիազորված մարմինները (փորձագիտական կազմակերպությունները) ստուգում են գրանցման հավաստագրի իրավատիրոջ կողմից դեղապատրաստուկի մասին տեղեկատվությունը ժամանակակից գիտական գիտելիքների լույսի ներքո արդիական պահելու պարտավորությունների կատարումը՝ հաշվի առնելով լիազորված մարմնի (փորձագիտական կազմակերպության) գնահատականների </w:t>
      </w:r>
      <w:r w:rsidR="00C54D75">
        <w:rPr>
          <w:rFonts w:ascii="Sylfaen" w:hAnsi="Sylfaen"/>
          <w:sz w:val="24"/>
          <w:szCs w:val="24"/>
        </w:rPr>
        <w:t>և</w:t>
      </w:r>
      <w:r w:rsidRPr="00834D52">
        <w:rPr>
          <w:rFonts w:ascii="Sylfaen" w:hAnsi="Sylfaen"/>
          <w:sz w:val="24"/>
          <w:szCs w:val="24"/>
        </w:rPr>
        <w:t xml:space="preserve"> առաջարկների արդյունքների հիման վրա արված եզրակացությունները։</w:t>
      </w:r>
    </w:p>
    <w:p w14:paraId="22D8418D"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143.</w:t>
      </w:r>
      <w:r w:rsidRPr="00834D52">
        <w:rPr>
          <w:rFonts w:ascii="Sylfaen" w:hAnsi="Sylfaen"/>
          <w:sz w:val="24"/>
          <w:szCs w:val="24"/>
        </w:rPr>
        <w:tab/>
        <w:t xml:space="preserve">Եթե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մարմինը (փորձագիտական կազմակերպությունը) դեղապատրաստուկի փորձաքննության ընթացքում դրա </w:t>
      </w:r>
      <w:r w:rsidRPr="00834D52">
        <w:rPr>
          <w:rFonts w:ascii="Sylfaen" w:hAnsi="Sylfaen"/>
          <w:sz w:val="24"/>
          <w:szCs w:val="24"/>
        </w:rPr>
        <w:lastRenderedPageBreak/>
        <w:t>գրանցման հաստատման (վերագրանցման) ժամանակ հայտնաբերել է, որ սույն Կանոնների 142</w:t>
      </w:r>
      <w:r w:rsidRPr="008341C7">
        <w:rPr>
          <w:rFonts w:ascii="Sylfaen" w:hAnsi="Sylfaen"/>
          <w:sz w:val="24"/>
          <w:szCs w:val="24"/>
        </w:rPr>
        <w:t>-</w:t>
      </w:r>
      <w:r w:rsidRPr="00834D52">
        <w:rPr>
          <w:rFonts w:ascii="Sylfaen" w:hAnsi="Sylfaen"/>
          <w:sz w:val="24"/>
          <w:szCs w:val="24"/>
        </w:rPr>
        <w:t xml:space="preserve">րդ կետում նշված պարտավորություններն օբյեկտիվ պատճառներով չեն կատարվել, </w:t>
      </w:r>
      <w:r w:rsidR="00C54D75">
        <w:rPr>
          <w:rFonts w:ascii="Sylfaen" w:hAnsi="Sylfaen"/>
          <w:sz w:val="24"/>
          <w:szCs w:val="24"/>
        </w:rPr>
        <w:t>և</w:t>
      </w:r>
      <w:r w:rsidRPr="00834D52">
        <w:rPr>
          <w:rFonts w:ascii="Sylfaen" w:hAnsi="Sylfaen"/>
          <w:sz w:val="24"/>
          <w:szCs w:val="24"/>
        </w:rPr>
        <w:t xml:space="preserve"> դեղապատրաստուկի գրանցման դոսյեում պահանջվում է փոփոխություններ կատարել, ապա դեղապատրաստուկի գրանցումը հաստատելու (վերագրանցելու) մասին </w:t>
      </w:r>
      <w:r w:rsidR="0032680A">
        <w:rPr>
          <w:rFonts w:ascii="Sylfaen" w:hAnsi="Sylfaen"/>
          <w:sz w:val="24"/>
          <w:szCs w:val="24"/>
        </w:rPr>
        <w:t xml:space="preserve">ռեֆերենտ </w:t>
      </w:r>
      <w:r w:rsidRPr="00834D52">
        <w:rPr>
          <w:rFonts w:ascii="Sylfaen" w:hAnsi="Sylfaen"/>
          <w:sz w:val="24"/>
          <w:szCs w:val="24"/>
        </w:rPr>
        <w:t>պետության դրական եզրակացությունը ստանալուց հետո հարկ է թարմացնել որակի նորմատիվ փաստաթուղթը, ԴՊԸԲ</w:t>
      </w:r>
      <w:r w:rsidRPr="008341C7">
        <w:rPr>
          <w:rFonts w:ascii="Sylfaen" w:hAnsi="Sylfaen"/>
          <w:sz w:val="24"/>
          <w:szCs w:val="24"/>
        </w:rPr>
        <w:t>-</w:t>
      </w:r>
      <w:r w:rsidRPr="00834D52">
        <w:rPr>
          <w:rFonts w:ascii="Sylfaen" w:hAnsi="Sylfaen"/>
          <w:sz w:val="24"/>
          <w:szCs w:val="24"/>
        </w:rPr>
        <w:t xml:space="preserve">ները, բժշկական կիրառման հրահանգն ու ռիսկերի կառավարման պլանը (եթե կիրառելի է)՝ </w:t>
      </w:r>
      <w:r w:rsidR="0032680A">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կողմից գրանցման դոսյեում փոփոխություններ կատարելու անհրաժեշտության մասին հարցում ուղարկելու օրվանից 180 օրը չգերազանցող ժամկետում գրանցման հավաստագրի իրավատիրոջ կողմից գրանցման դոսյեում փոփոխություններ կատարելու համապատասխան ընթացակարգ նախաձեռնելու միջոցով։</w:t>
      </w:r>
    </w:p>
    <w:p w14:paraId="5D5787CD"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144.</w:t>
      </w:r>
      <w:r w:rsidRPr="00834D52">
        <w:rPr>
          <w:rFonts w:ascii="Sylfaen" w:hAnsi="Sylfaen"/>
          <w:sz w:val="24"/>
          <w:szCs w:val="24"/>
        </w:rPr>
        <w:tab/>
        <w:t xml:space="preserve">Գրանցման դոսյեում փոփոխություններ կատարելու հայտը լրացուցիչ ներկայացնելուց խուսափելու նպատակով, սույն Կանոնների թիվ 19 հավելվածին համապատասխան, </w:t>
      </w:r>
      <w:r w:rsidR="0032680A">
        <w:rPr>
          <w:rFonts w:ascii="Sylfaen" w:hAnsi="Sylfaen"/>
          <w:sz w:val="24"/>
          <w:szCs w:val="24"/>
        </w:rPr>
        <w:t xml:space="preserve">ռեֆերենտ </w:t>
      </w:r>
      <w:r w:rsidRPr="00834D52">
        <w:rPr>
          <w:rFonts w:ascii="Sylfaen" w:hAnsi="Sylfaen"/>
          <w:sz w:val="24"/>
          <w:szCs w:val="24"/>
        </w:rPr>
        <w:t>պետության լիազորված մարմինը (փորձագիտական կազմակերպությունը) դեղապատրաստուկի գրանցումը հաստատելիս (վերագրանցելիս) կարող է թույլ տալ փոփոխություններ կատարել I</w:t>
      </w:r>
      <w:r w:rsidR="009D5590" w:rsidRPr="007E68F0">
        <w:rPr>
          <w:rFonts w:ascii="Sylfaen" w:hAnsi="Sylfaen"/>
          <w:sz w:val="24"/>
          <w:szCs w:val="24"/>
        </w:rPr>
        <w:t> </w:t>
      </w:r>
      <w:r w:rsidRPr="00834D52">
        <w:rPr>
          <w:rFonts w:ascii="Sylfaen" w:hAnsi="Sylfaen"/>
          <w:sz w:val="24"/>
          <w:szCs w:val="24"/>
        </w:rPr>
        <w:t>տիպի դեղապատրաստուկի գրանցման դոսյեում։</w:t>
      </w:r>
    </w:p>
    <w:p w14:paraId="0201AB8D"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145.</w:t>
      </w:r>
      <w:r w:rsidRPr="00834D52">
        <w:rPr>
          <w:rFonts w:ascii="Sylfaen" w:hAnsi="Sylfaen"/>
          <w:sz w:val="24"/>
          <w:szCs w:val="24"/>
        </w:rPr>
        <w:tab/>
        <w:t>Դեղազգոնության տվյալների հիման վրա, ինչպես նա</w:t>
      </w:r>
      <w:r w:rsidR="00C54D75">
        <w:rPr>
          <w:rFonts w:ascii="Sylfaen" w:hAnsi="Sylfaen"/>
          <w:sz w:val="24"/>
          <w:szCs w:val="24"/>
        </w:rPr>
        <w:t>և</w:t>
      </w:r>
      <w:r w:rsidRPr="00834D52">
        <w:rPr>
          <w:rFonts w:ascii="Sylfaen" w:hAnsi="Sylfaen"/>
          <w:sz w:val="24"/>
          <w:szCs w:val="24"/>
        </w:rPr>
        <w:t xml:space="preserve"> հաշվի առնելով սույն Կանոնների 143</w:t>
      </w:r>
      <w:r w:rsidRPr="008341C7">
        <w:rPr>
          <w:rFonts w:ascii="Sylfaen" w:hAnsi="Sylfaen"/>
          <w:sz w:val="24"/>
          <w:szCs w:val="24"/>
        </w:rPr>
        <w:t>-</w:t>
      </w:r>
      <w:r w:rsidRPr="00834D52">
        <w:rPr>
          <w:rFonts w:ascii="Sylfaen" w:hAnsi="Sylfaen"/>
          <w:sz w:val="24"/>
          <w:szCs w:val="24"/>
        </w:rPr>
        <w:t xml:space="preserve">րդ </w:t>
      </w:r>
      <w:r w:rsidR="00C54D75">
        <w:rPr>
          <w:rFonts w:ascii="Sylfaen" w:hAnsi="Sylfaen"/>
          <w:sz w:val="24"/>
          <w:szCs w:val="24"/>
        </w:rPr>
        <w:t>և</w:t>
      </w:r>
      <w:r w:rsidRPr="00834D52">
        <w:rPr>
          <w:rFonts w:ascii="Sylfaen" w:hAnsi="Sylfaen"/>
          <w:sz w:val="24"/>
          <w:szCs w:val="24"/>
        </w:rPr>
        <w:t xml:space="preserve"> 144</w:t>
      </w:r>
      <w:r w:rsidRPr="008341C7">
        <w:rPr>
          <w:rFonts w:ascii="Sylfaen" w:hAnsi="Sylfaen"/>
          <w:sz w:val="24"/>
          <w:szCs w:val="24"/>
        </w:rPr>
        <w:t>-</w:t>
      </w:r>
      <w:r w:rsidRPr="00834D52">
        <w:rPr>
          <w:rFonts w:ascii="Sylfaen" w:hAnsi="Sylfaen"/>
          <w:sz w:val="24"/>
          <w:szCs w:val="24"/>
        </w:rPr>
        <w:t xml:space="preserve">րդ կետերում նշված հանգամանքները՝ դեղապատրաստուկի փորձաքննության արդյունքներով </w:t>
      </w:r>
      <w:r w:rsidR="0032680A">
        <w:rPr>
          <w:rFonts w:ascii="Sylfaen" w:hAnsi="Sylfaen"/>
          <w:sz w:val="24"/>
          <w:szCs w:val="24"/>
        </w:rPr>
        <w:t xml:space="preserve">ռեֆերենտ </w:t>
      </w:r>
      <w:r w:rsidRPr="00834D52">
        <w:rPr>
          <w:rFonts w:ascii="Sylfaen" w:hAnsi="Sylfaen"/>
          <w:sz w:val="24"/>
          <w:szCs w:val="24"/>
        </w:rPr>
        <w:t>պետության լիազորված մարմինը դեղապատրաստուկի գրանցումը հաստատելիս (վերագրանցելիս) կարող է կայացնել 5 տարի գործողության ժամկետով գրանցման հավաստագիր տրամադրելու որոշում՝ գրանցման հավաստագրի գործողության նշված ժամկետը լրանալուց հետո հետագա գրանցումը հաստատելու (վերագրանցելու) անհրաժեշտությամբ։</w:t>
      </w:r>
    </w:p>
    <w:p w14:paraId="151EFF2A" w14:textId="77777777" w:rsidR="006F76EB" w:rsidRPr="00834D52" w:rsidRDefault="006F76EB" w:rsidP="00960E63">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146.</w:t>
      </w:r>
      <w:r w:rsidRPr="00834D52">
        <w:rPr>
          <w:rFonts w:ascii="Sylfaen" w:hAnsi="Sylfaen"/>
          <w:sz w:val="24"/>
          <w:szCs w:val="24"/>
        </w:rPr>
        <w:tab/>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մարմնի կողմից </w:t>
      </w:r>
      <w:r w:rsidRPr="00834D52">
        <w:rPr>
          <w:rFonts w:ascii="Sylfaen" w:hAnsi="Sylfaen"/>
          <w:sz w:val="24"/>
          <w:szCs w:val="24"/>
        </w:rPr>
        <w:lastRenderedPageBreak/>
        <w:t xml:space="preserve">դեղապատրաստուկի գրանցման հաստատումը (վերագրանցումը) </w:t>
      </w:r>
      <w:r w:rsidR="00C54D75">
        <w:rPr>
          <w:rFonts w:ascii="Sylfaen" w:hAnsi="Sylfaen"/>
          <w:sz w:val="24"/>
          <w:szCs w:val="24"/>
        </w:rPr>
        <w:t>և</w:t>
      </w:r>
      <w:r w:rsidRPr="00834D52">
        <w:rPr>
          <w:rFonts w:ascii="Sylfaen" w:hAnsi="Sylfaen"/>
          <w:sz w:val="24"/>
          <w:szCs w:val="24"/>
        </w:rPr>
        <w:t xml:space="preserve"> ճանաչման պետության լիազորված մարմնի կողմից գնահատման վերաբերյալ փորձագիտական հաշվետվության ճանաչումը մերժելու հիմքեր են՝</w:t>
      </w:r>
    </w:p>
    <w:p w14:paraId="612FB7EA" w14:textId="77777777" w:rsidR="006F76EB" w:rsidRPr="00834D52" w:rsidRDefault="006F76EB" w:rsidP="00960E63">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գրանցումը հաստատելու (վերագրանցելու) պահին դեղապատրաստուկի օգտագործման հետ կապված առողջության համար հետ</w:t>
      </w:r>
      <w:r w:rsidR="00C54D75">
        <w:rPr>
          <w:rFonts w:ascii="Sylfaen" w:hAnsi="Sylfaen"/>
          <w:sz w:val="24"/>
          <w:szCs w:val="24"/>
        </w:rPr>
        <w:t>և</w:t>
      </w:r>
      <w:r w:rsidRPr="00834D52">
        <w:rPr>
          <w:rFonts w:ascii="Sylfaen" w:hAnsi="Sylfaen"/>
          <w:sz w:val="24"/>
          <w:szCs w:val="24"/>
        </w:rPr>
        <w:t xml:space="preserve">յալ լուրջ ռիսկերի պահպանումը՝ </w:t>
      </w:r>
    </w:p>
    <w:p w14:paraId="7EAF6BB0" w14:textId="77777777" w:rsidR="006F76EB" w:rsidRPr="00834D52" w:rsidRDefault="006F76EB" w:rsidP="00960E63">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հաստատված ԴՊԲԸ</w:t>
      </w:r>
      <w:r w:rsidRPr="008341C7">
        <w:rPr>
          <w:rFonts w:ascii="Sylfaen" w:hAnsi="Sylfaen"/>
          <w:sz w:val="24"/>
          <w:szCs w:val="24"/>
        </w:rPr>
        <w:t>-</w:t>
      </w:r>
      <w:r w:rsidRPr="00834D52">
        <w:rPr>
          <w:rFonts w:ascii="Sylfaen" w:hAnsi="Sylfaen"/>
          <w:sz w:val="24"/>
          <w:szCs w:val="24"/>
        </w:rPr>
        <w:t>ում նկարագրված՝ դեղապատրաստուկի կիրառման պայմանների պահպանման դեպքում օգուտ</w:t>
      </w:r>
      <w:r w:rsidRPr="008341C7">
        <w:rPr>
          <w:rFonts w:ascii="Sylfaen" w:hAnsi="Sylfaen"/>
          <w:sz w:val="24"/>
          <w:szCs w:val="24"/>
        </w:rPr>
        <w:t>-</w:t>
      </w:r>
      <w:r w:rsidRPr="00834D52">
        <w:rPr>
          <w:rFonts w:ascii="Sylfaen" w:hAnsi="Sylfaen"/>
          <w:sz w:val="24"/>
          <w:szCs w:val="24"/>
        </w:rPr>
        <w:t>ռիսկ ապացուցված անբարենպաստ հարաբերակցություն կամ թերապ</w:t>
      </w:r>
      <w:r w:rsidR="00C54D75">
        <w:rPr>
          <w:rFonts w:ascii="Sylfaen" w:hAnsi="Sylfaen"/>
          <w:sz w:val="24"/>
          <w:szCs w:val="24"/>
        </w:rPr>
        <w:t>և</w:t>
      </w:r>
      <w:r w:rsidRPr="00834D52">
        <w:rPr>
          <w:rFonts w:ascii="Sylfaen" w:hAnsi="Sylfaen"/>
          <w:sz w:val="24"/>
          <w:szCs w:val="24"/>
        </w:rPr>
        <w:t>տիկ արդյունավետության բացակայության հայտնաբերում,</w:t>
      </w:r>
    </w:p>
    <w:p w14:paraId="2AC33D6B" w14:textId="77777777" w:rsidR="006F76EB" w:rsidRPr="00834D52" w:rsidRDefault="006F76EB" w:rsidP="00960E63">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դեղազգոնության տվյալներով հաստատված փաստեր, որոնք ցույց են տալիս օգուտ</w:t>
      </w:r>
      <w:r w:rsidRPr="008341C7">
        <w:rPr>
          <w:rFonts w:ascii="Sylfaen" w:hAnsi="Sylfaen"/>
          <w:sz w:val="24"/>
          <w:szCs w:val="24"/>
        </w:rPr>
        <w:t>-</w:t>
      </w:r>
      <w:r w:rsidRPr="00834D52">
        <w:rPr>
          <w:rFonts w:ascii="Sylfaen" w:hAnsi="Sylfaen"/>
          <w:sz w:val="24"/>
          <w:szCs w:val="24"/>
        </w:rPr>
        <w:t>ռիսկ անբարենպաստ հարաբերակցությունը (այդ թվում՝ այս կամ այն անցանկալի ռեակցիաների զեկուցման հաճախության էական բարձրացում՝ համեմատած հաստատված ԴՊԸԲ</w:t>
      </w:r>
      <w:r w:rsidRPr="008341C7">
        <w:rPr>
          <w:rFonts w:ascii="Sylfaen" w:hAnsi="Sylfaen"/>
          <w:sz w:val="24"/>
          <w:szCs w:val="24"/>
        </w:rPr>
        <w:t>-</w:t>
      </w:r>
      <w:r w:rsidRPr="00834D52">
        <w:rPr>
          <w:rFonts w:ascii="Sylfaen" w:hAnsi="Sylfaen"/>
          <w:sz w:val="24"/>
          <w:szCs w:val="24"/>
        </w:rPr>
        <w:t>ում նշված տվյալների հետ),</w:t>
      </w:r>
    </w:p>
    <w:p w14:paraId="1F17FCBA" w14:textId="77777777" w:rsidR="006F76EB" w:rsidRPr="00834D52" w:rsidRDefault="006F76EB" w:rsidP="00960E63">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բաղադրության անհամապատասխանությունը հայտագրված բաղադրությանը կամ Միության շուկայում դեղապատրաստուկի շրջանառության ընթացքում դրա որակի բազմակի անհամապատասխանությունը գրանցման պահին հայտագրված որակին,</w:t>
      </w:r>
    </w:p>
    <w:p w14:paraId="764730A7" w14:textId="77777777" w:rsidR="006F76EB" w:rsidRPr="00834D52" w:rsidRDefault="006F76EB" w:rsidP="00960E63">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դոսյեի՝ գրանցման հաստատման (վերագրանցման) հայտին ուղեկցող ոչ հավաստի կամ չարդիականացված տվյալները,</w:t>
      </w:r>
    </w:p>
    <w:p w14:paraId="242262A4" w14:textId="77777777" w:rsidR="006F76EB" w:rsidRPr="00834D52" w:rsidRDefault="006F76EB" w:rsidP="00960E63">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գրանցման հավաստագրի իրավատիրոջ կողմից դիտողությունները չվերացնելը կամ հատկացված ժամանակի ընթացքում դեղապատրաստուկի փորձաքննության անցկացման ժամանակ ծագած հարցերին պատասխաններ չներկայացնելը,</w:t>
      </w:r>
    </w:p>
    <w:p w14:paraId="562EFDAD" w14:textId="77777777" w:rsidR="006F76EB" w:rsidRPr="00834D52" w:rsidRDefault="006F76EB" w:rsidP="00960E63">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գրանցման հավաստագրի իրավատիրոջ կողմից դեղազգոնության մասով պարտավորությունները կամ պայմաններով գրանցման ընթացակարգի շրջանակներում ստանձնած պարտավորությունները չկատարելը։</w:t>
      </w:r>
    </w:p>
    <w:p w14:paraId="63C6B65A"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lastRenderedPageBreak/>
        <w:t>IX. Գրանցված դեղապատրաստուկի գրանցման դոսյեում փոփոխություններ կատարելը</w:t>
      </w:r>
    </w:p>
    <w:p w14:paraId="594E9919" w14:textId="77777777" w:rsidR="006F76EB" w:rsidRPr="00834D52" w:rsidRDefault="006F76EB" w:rsidP="007F36C6">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147.</w:t>
      </w:r>
      <w:r w:rsidRPr="00834D52">
        <w:rPr>
          <w:rFonts w:ascii="Sylfaen" w:hAnsi="Sylfaen"/>
          <w:sz w:val="24"/>
          <w:szCs w:val="24"/>
        </w:rPr>
        <w:tab/>
        <w:t xml:space="preserve">Դեղապատրաստուկը գրանցելուց հետո գրանցման հավաստագրի իրավատերը գրանցված դեղապատրաստուկի գրանցման դոսյեում պետք է փոփոխություններ կատարի (այսուհետ՝ փոփոխություններ կատարել), որոնք կարող են պահանջվել դեղամիջոցի արտադրության </w:t>
      </w:r>
      <w:r w:rsidR="00C54D75">
        <w:rPr>
          <w:rFonts w:ascii="Sylfaen" w:hAnsi="Sylfaen"/>
          <w:sz w:val="24"/>
          <w:szCs w:val="24"/>
        </w:rPr>
        <w:t>և</w:t>
      </w:r>
      <w:r w:rsidRPr="00834D52">
        <w:rPr>
          <w:rFonts w:ascii="Sylfaen" w:hAnsi="Sylfaen"/>
          <w:sz w:val="24"/>
          <w:szCs w:val="24"/>
        </w:rPr>
        <w:t xml:space="preserve"> որակի հսկողության համընդհանուր գիտական մեթոդների ժամանակակից մակարդակին համապատասխանության ապահովման նպատակով:</w:t>
      </w:r>
    </w:p>
    <w:p w14:paraId="37543E55" w14:textId="77777777" w:rsidR="006F76EB" w:rsidRPr="00834D52" w:rsidRDefault="006F76EB" w:rsidP="00282C05">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Այդպիսի փոփոխությունները պետք է հաստատվեն այն անդամ պետության լիազորված մարմնի կողմից, որտեղ գրանցված է դեղապատրաստուկը (կամ այդ լիազորված մարմինը պետք է ծանուցվի դրանց մասին՝ հաստատված ընթացակարգին համապատասխան): Ընդ որում, դեղապատրաստուկի գրանցման դոսյեում փոփոխություններ կատարելը պետք է նախաձեռնի հայտատուն՝ նույն ռեֆերենտ պետության լիազորված մարմնի (փորձագիտական կազմակերպության) միջոցով, որն իրականացրել է դեղապատրաստուկի գրանցումը:</w:t>
      </w:r>
    </w:p>
    <w:p w14:paraId="35E80C16" w14:textId="77777777" w:rsidR="006F76EB" w:rsidRPr="00834D52" w:rsidRDefault="006F76EB" w:rsidP="007F36C6">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148.</w:t>
      </w:r>
      <w:r w:rsidRPr="00834D52">
        <w:rPr>
          <w:rFonts w:ascii="Sylfaen" w:hAnsi="Sylfaen"/>
          <w:sz w:val="24"/>
          <w:szCs w:val="24"/>
        </w:rPr>
        <w:tab/>
        <w:t xml:space="preserve">Գրանցման հավաստագրի իրավատերն անդամ պետության լիազորված մարմնին պարտավոր է տեղեկացնել բոլոր այն նոր տեղեկությունների մասին, ըստ որոնց կարող են դեղապատրաստուկի գրանցման դոսյեում պարունակվող փաստաթղթերի </w:t>
      </w:r>
      <w:r w:rsidR="00C54D75">
        <w:rPr>
          <w:rFonts w:ascii="Sylfaen" w:hAnsi="Sylfaen"/>
          <w:sz w:val="24"/>
          <w:szCs w:val="24"/>
        </w:rPr>
        <w:t>և</w:t>
      </w:r>
      <w:r w:rsidRPr="00834D52">
        <w:rPr>
          <w:rFonts w:ascii="Sylfaen" w:hAnsi="Sylfaen"/>
          <w:sz w:val="24"/>
          <w:szCs w:val="24"/>
        </w:rPr>
        <w:t xml:space="preserve"> տվյալների փոփոխություններ պահանջվել:</w:t>
      </w:r>
    </w:p>
    <w:p w14:paraId="22246D3A" w14:textId="77777777" w:rsidR="006F76EB" w:rsidRPr="00834D52" w:rsidRDefault="006F76EB" w:rsidP="00F44AF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իրավատերը պետք է անդամ պետության լիազորված մարմնին անհապաղ տեղեկացնի որ</w:t>
      </w:r>
      <w:r w:rsidR="00C54D75">
        <w:rPr>
          <w:rFonts w:ascii="Sylfaen" w:hAnsi="Sylfaen"/>
          <w:sz w:val="24"/>
          <w:szCs w:val="24"/>
        </w:rPr>
        <w:t>և</w:t>
      </w:r>
      <w:r w:rsidRPr="00834D52">
        <w:rPr>
          <w:rFonts w:ascii="Sylfaen" w:hAnsi="Sylfaen"/>
          <w:sz w:val="24"/>
          <w:szCs w:val="24"/>
        </w:rPr>
        <w:t xml:space="preserve">է պետության լիազորված մարմինների կողմից դեղամիջոցի բժշկական կիրառման վրա դրված ցանկացած արգելքի կամ սահմանափակման մասին, որի շուկայում գտնվում է դեղապատրաստուկը, </w:t>
      </w:r>
      <w:r w:rsidR="00C54D75">
        <w:rPr>
          <w:rFonts w:ascii="Sylfaen" w:hAnsi="Sylfaen"/>
          <w:sz w:val="24"/>
          <w:szCs w:val="24"/>
        </w:rPr>
        <w:t>և</w:t>
      </w:r>
      <w:r w:rsidRPr="00834D52">
        <w:rPr>
          <w:rFonts w:ascii="Sylfaen" w:hAnsi="Sylfaen"/>
          <w:sz w:val="24"/>
          <w:szCs w:val="24"/>
        </w:rPr>
        <w:t xml:space="preserve"> բոլոր այլ տեղեկությունների մասին, որոնք կարող են ազդել դիտարկվող դեղապատրաստուկի օգուտ-ռիսկ հարաբերակցության գնահատման վրա: Տեղեկությունները պետք է պարունակեն կլինիկական հետազոտությունների կամ այլ հետազոտությունների ինչպես դրական, այնպես էլ </w:t>
      </w:r>
      <w:r w:rsidRPr="00834D52">
        <w:rPr>
          <w:rFonts w:ascii="Sylfaen" w:hAnsi="Sylfaen"/>
          <w:sz w:val="24"/>
          <w:szCs w:val="24"/>
        </w:rPr>
        <w:lastRenderedPageBreak/>
        <w:t xml:space="preserve">բացասական արդյունքները՝ ըստ բոլոր ցուցումների </w:t>
      </w:r>
      <w:r w:rsidR="00C54D75">
        <w:rPr>
          <w:rFonts w:ascii="Sylfaen" w:hAnsi="Sylfaen"/>
          <w:sz w:val="24"/>
          <w:szCs w:val="24"/>
        </w:rPr>
        <w:t>և</w:t>
      </w:r>
      <w:r w:rsidRPr="00834D52">
        <w:rPr>
          <w:rFonts w:ascii="Sylfaen" w:hAnsi="Sylfaen"/>
          <w:sz w:val="24"/>
          <w:szCs w:val="24"/>
        </w:rPr>
        <w:t xml:space="preserve"> պացիենտների բոլոր խմբերում՝ անկախ գրանցման դոսյեում դրանց ներառումից, ինչպես նա</w:t>
      </w:r>
      <w:r w:rsidR="00C54D75">
        <w:rPr>
          <w:rFonts w:ascii="Sylfaen" w:hAnsi="Sylfaen"/>
          <w:sz w:val="24"/>
          <w:szCs w:val="24"/>
        </w:rPr>
        <w:t>և</w:t>
      </w:r>
      <w:r w:rsidRPr="00834D52">
        <w:rPr>
          <w:rFonts w:ascii="Sylfaen" w:hAnsi="Sylfaen"/>
          <w:sz w:val="24"/>
          <w:szCs w:val="24"/>
        </w:rPr>
        <w:t xml:space="preserve"> դեղապատրաստուկի կիրառման տվյալները, եթե այդպիսի կիրառումը չի</w:t>
      </w:r>
      <w:r w:rsidR="00D32C7C" w:rsidRPr="00D32C7C">
        <w:rPr>
          <w:rFonts w:ascii="Sylfaen" w:hAnsi="Sylfaen"/>
          <w:sz w:val="24"/>
          <w:szCs w:val="24"/>
        </w:rPr>
        <w:t> </w:t>
      </w:r>
      <w:r w:rsidRPr="00834D52">
        <w:rPr>
          <w:rFonts w:ascii="Sylfaen" w:hAnsi="Sylfaen"/>
          <w:sz w:val="24"/>
          <w:szCs w:val="24"/>
        </w:rPr>
        <w:t>համապատասխանում գրանցման պայմաններին:</w:t>
      </w:r>
    </w:p>
    <w:p w14:paraId="6A7F1D9D" w14:textId="77777777" w:rsidR="006F76EB" w:rsidRPr="00834D52" w:rsidRDefault="006F76EB" w:rsidP="007F36C6">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149.</w:t>
      </w:r>
      <w:r w:rsidRPr="00834D52">
        <w:rPr>
          <w:rFonts w:ascii="Sylfaen" w:hAnsi="Sylfaen"/>
          <w:sz w:val="24"/>
          <w:szCs w:val="24"/>
        </w:rPr>
        <w:tab/>
        <w:t xml:space="preserve">Գրանցման հավաստագրի իրավատերը պետք է ապահովի դեղապատրաստուկի մասին տեղեկատվության համապատասխանությունը գիտականորեն հիմնավորված ընթացիկ բժշկական չափանիշներին՝ ներառյալ այլ երկրների դեղամիջոցների շրջանառության ոլորտում լիազորված մարմինների փորձաքննություների </w:t>
      </w:r>
      <w:r w:rsidR="00C54D75">
        <w:rPr>
          <w:rFonts w:ascii="Sylfaen" w:hAnsi="Sylfaen"/>
          <w:sz w:val="24"/>
          <w:szCs w:val="24"/>
        </w:rPr>
        <w:t>և</w:t>
      </w:r>
      <w:r w:rsidRPr="00834D52">
        <w:rPr>
          <w:rFonts w:ascii="Sylfaen" w:hAnsi="Sylfaen"/>
          <w:sz w:val="24"/>
          <w:szCs w:val="24"/>
        </w:rPr>
        <w:t xml:space="preserve"> առաջարկությունների եզրակացությունները։ </w:t>
      </w:r>
    </w:p>
    <w:p w14:paraId="299FFE2E" w14:textId="77777777" w:rsidR="006F76EB" w:rsidRPr="00834D52" w:rsidRDefault="006F76EB" w:rsidP="007F36C6">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150.</w:t>
      </w:r>
      <w:r w:rsidRPr="00834D52">
        <w:rPr>
          <w:rFonts w:ascii="Sylfaen" w:hAnsi="Sylfaen"/>
          <w:sz w:val="24"/>
          <w:szCs w:val="24"/>
        </w:rPr>
        <w:tab/>
        <w:t>Գրանցված դեղապատրաստուկի օգուտ-ռիսկ հարաբերակցության շարունակական գնահատման նպատակով անդամ պետության լիազորված մարմինը (այդ թվում՝ փորձագիտական կազմակերպության հարցմամբ) իրավունք ունի գրանցված դեղապատրաստուկի գրանցման հավաստագրի իրավատիրոջը հարցում ուղարկելու այն տվյալները ներկայացնելու մասին, որոնցով հաստատվում է, որ գրանցված դեղապատրաստուկի օգուտ-ռիսկ հարաբերակցությունը մնում է բարենպաստ: Գրանցման հավաստագրի իրավատերը պարտավոր է այդ լիազորված մարմնին (փորձագիտական կազմակերպությանը) անհրաժեշտ նյութերը ներկայացնել առավել կարճ ժամկետում, բայց համապատասխան հարցումը ստանալու ամսաթվից 30</w:t>
      </w:r>
      <w:r w:rsidR="007E68F0" w:rsidRPr="007E68F0">
        <w:rPr>
          <w:rFonts w:ascii="Sylfaen" w:hAnsi="Sylfaen"/>
          <w:sz w:val="24"/>
          <w:szCs w:val="24"/>
        </w:rPr>
        <w:t> </w:t>
      </w:r>
      <w:r w:rsidRPr="00834D52">
        <w:rPr>
          <w:rFonts w:ascii="Sylfaen" w:hAnsi="Sylfaen"/>
          <w:sz w:val="24"/>
          <w:szCs w:val="24"/>
        </w:rPr>
        <w:t>օրացուցային օրվանից ոչ ուշ:</w:t>
      </w:r>
    </w:p>
    <w:p w14:paraId="79E704FF" w14:textId="77777777" w:rsidR="006F76EB" w:rsidRPr="00834D52" w:rsidRDefault="006F76EB" w:rsidP="006F76E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Անդամ պետության լիազորված մարմինը (այդ թվում՝ փորձագիտական կազմակերպության հարցմամբ) իրավունք ունի հարցում ուղարկելու գրանցված դեղապատրաստուկի գրանցման հավաստագրի իրավատիրոջը՝ դեղազգոնության համակարգի մաստեր-ֆայլի պատճենները ներկայացնելու վերաբերյալ: Գրանցման հավաստագրի իրավատերը համապատասխան պատճենը պետք է ներկայացնի տվյալ հարցումն ստանալու ամսաթվից 10 աշխատանքային օրվա ընթացքում:</w:t>
      </w:r>
    </w:p>
    <w:p w14:paraId="2EB7A61F" w14:textId="77777777" w:rsidR="006F76EB" w:rsidRPr="00834D52" w:rsidRDefault="006F76EB" w:rsidP="00A837E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151.</w:t>
      </w:r>
      <w:r w:rsidRPr="00834D52">
        <w:rPr>
          <w:rFonts w:ascii="Sylfaen" w:hAnsi="Sylfaen"/>
          <w:sz w:val="24"/>
          <w:szCs w:val="24"/>
        </w:rPr>
        <w:tab/>
        <w:t>Գրանցված դեղապատրաստուկի գրանցման դոսյեում կատարվող փոփոխությունները չպետք է փոխեն դեղապատրաստուկի օգուտ-ռիսկ դրական հարաբերակցությունը:</w:t>
      </w:r>
    </w:p>
    <w:p w14:paraId="566CB3EC" w14:textId="77777777" w:rsidR="006F76EB" w:rsidRPr="00834D52" w:rsidRDefault="006F76EB" w:rsidP="00A837E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152.</w:t>
      </w:r>
      <w:r w:rsidRPr="00834D52">
        <w:rPr>
          <w:rFonts w:ascii="Sylfaen" w:hAnsi="Sylfaen"/>
          <w:sz w:val="24"/>
          <w:szCs w:val="24"/>
        </w:rPr>
        <w:tab/>
        <w:t xml:space="preserve">Գրանցված դեղապատրաստուկի գրանցման դոսյեում փոփոխություններ կատարելն իրականացվում է գրանցված դեղապատրաստուկի գրանցման դոսյեում կատարվող փոփոխությունների դասակարգչին </w:t>
      </w:r>
      <w:r w:rsidR="00C54D75">
        <w:rPr>
          <w:rFonts w:ascii="Sylfaen" w:hAnsi="Sylfaen"/>
          <w:sz w:val="24"/>
          <w:szCs w:val="24"/>
        </w:rPr>
        <w:t>և</w:t>
      </w:r>
      <w:r w:rsidRPr="00834D52">
        <w:rPr>
          <w:rFonts w:ascii="Sylfaen" w:hAnsi="Sylfaen"/>
          <w:sz w:val="24"/>
          <w:szCs w:val="24"/>
        </w:rPr>
        <w:t xml:space="preserve"> համապատասխան սույն Կանոնների </w:t>
      </w:r>
      <w:r w:rsidR="00B825FD">
        <w:rPr>
          <w:rFonts w:ascii="Sylfaen" w:hAnsi="Sylfaen"/>
          <w:sz w:val="24"/>
          <w:szCs w:val="24"/>
        </w:rPr>
        <w:t xml:space="preserve">թիվ </w:t>
      </w:r>
      <w:r w:rsidRPr="00834D52">
        <w:rPr>
          <w:rFonts w:ascii="Sylfaen" w:hAnsi="Sylfaen"/>
          <w:sz w:val="24"/>
          <w:szCs w:val="24"/>
        </w:rPr>
        <w:t xml:space="preserve">19 </w:t>
      </w:r>
      <w:r w:rsidR="00C54D75">
        <w:rPr>
          <w:rFonts w:ascii="Sylfaen" w:hAnsi="Sylfaen"/>
          <w:sz w:val="24"/>
          <w:szCs w:val="24"/>
        </w:rPr>
        <w:t>և</w:t>
      </w:r>
      <w:r w:rsidRPr="00834D52">
        <w:rPr>
          <w:rFonts w:ascii="Sylfaen" w:hAnsi="Sylfaen"/>
          <w:sz w:val="24"/>
          <w:szCs w:val="24"/>
        </w:rPr>
        <w:t xml:space="preserve"> 20 հավելվածներին՝ դրանց փոփոխությունների կանոններին համապատասխան: Դեղապատրաստուկների գրանցման դոսյեում փոփոխություններ կատարելու փորձաքննությունն իրականացվում է սույն Կանոնների</w:t>
      </w:r>
      <w:r w:rsidR="00362F93">
        <w:rPr>
          <w:rFonts w:ascii="Sylfaen" w:hAnsi="Sylfaen"/>
          <w:sz w:val="24"/>
          <w:szCs w:val="24"/>
        </w:rPr>
        <w:t xml:space="preserve"> թիվ</w:t>
      </w:r>
      <w:r w:rsidRPr="00834D52">
        <w:rPr>
          <w:rFonts w:ascii="Sylfaen" w:hAnsi="Sylfaen"/>
          <w:sz w:val="24"/>
          <w:szCs w:val="24"/>
        </w:rPr>
        <w:t xml:space="preserve"> 20 հավելվածին համապատասխան: Դեղապատրաստուկի գրանցման դոսյեում փոփոխությունների գնահատման վերաբերյալ փորձագիտական հաշվետվությունը կազմվում է ըստ տվյալ փորձաքննության արդյունքների՝ սույն Կանոնների </w:t>
      </w:r>
      <w:r w:rsidR="00211664">
        <w:rPr>
          <w:rFonts w:ascii="Sylfaen" w:hAnsi="Sylfaen"/>
          <w:sz w:val="24"/>
          <w:szCs w:val="24"/>
        </w:rPr>
        <w:t xml:space="preserve">թիվ </w:t>
      </w:r>
      <w:r w:rsidRPr="00834D52">
        <w:rPr>
          <w:rFonts w:ascii="Sylfaen" w:hAnsi="Sylfaen"/>
          <w:sz w:val="24"/>
          <w:szCs w:val="24"/>
        </w:rPr>
        <w:t>21 հավելվածին համապատասխան:</w:t>
      </w:r>
    </w:p>
    <w:p w14:paraId="233F5B93" w14:textId="77777777" w:rsidR="006F76EB" w:rsidRPr="00834D52" w:rsidRDefault="006F76EB" w:rsidP="00A837E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153.</w:t>
      </w:r>
      <w:r w:rsidRPr="00834D52">
        <w:rPr>
          <w:rFonts w:ascii="Sylfaen" w:hAnsi="Sylfaen"/>
          <w:sz w:val="24"/>
          <w:szCs w:val="24"/>
        </w:rPr>
        <w:tab/>
        <w:t xml:space="preserve">Դեղապատրաստուկի գրանցման դոսյեում փոփոխություններ կատարելու մասին լիազորված մարմնի (փորձագիտական կազմակերպության) դրական որոշման մասին հայտատուին տրվում է դեղապատրաստուկի գրանցման գործողության մնացորդային ժամկետով, նախկին համարով նոր գրանցման հավաստագիր այն դեպքում, եթե կատարվող փոփոխությունները վերաբերում են տեղեկատվությանը </w:t>
      </w:r>
      <w:r w:rsidR="00C54D75">
        <w:rPr>
          <w:rFonts w:ascii="Sylfaen" w:hAnsi="Sylfaen"/>
          <w:sz w:val="24"/>
          <w:szCs w:val="24"/>
        </w:rPr>
        <w:t>և</w:t>
      </w:r>
      <w:r w:rsidRPr="00834D52">
        <w:rPr>
          <w:rFonts w:ascii="Sylfaen" w:hAnsi="Sylfaen"/>
          <w:sz w:val="24"/>
          <w:szCs w:val="24"/>
        </w:rPr>
        <w:t xml:space="preserve"> գրանցման հավաստագրի տվյալներին: Կատարված յուրաքանչյուր փոփոխության մասին միասնական ռեեստրում կատարվում է գրառում՝ նշելով դրա վավերապայմանները </w:t>
      </w:r>
      <w:r w:rsidR="00C54D75">
        <w:rPr>
          <w:rFonts w:ascii="Sylfaen" w:hAnsi="Sylfaen"/>
          <w:sz w:val="24"/>
          <w:szCs w:val="24"/>
        </w:rPr>
        <w:t>և</w:t>
      </w:r>
      <w:r w:rsidRPr="00834D52">
        <w:rPr>
          <w:rFonts w:ascii="Sylfaen" w:hAnsi="Sylfaen"/>
          <w:sz w:val="24"/>
          <w:szCs w:val="24"/>
        </w:rPr>
        <w:t xml:space="preserve"> դոսյեի բաժինը, որում կատարվել է փոփոխությունը:</w:t>
      </w:r>
    </w:p>
    <w:p w14:paraId="50A8CD06" w14:textId="77777777" w:rsidR="006F76EB" w:rsidRPr="00834D52" w:rsidRDefault="006F76EB" w:rsidP="00A837E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154.</w:t>
      </w:r>
      <w:r w:rsidRPr="00834D52">
        <w:rPr>
          <w:rFonts w:ascii="Sylfaen" w:hAnsi="Sylfaen"/>
          <w:sz w:val="24"/>
          <w:szCs w:val="24"/>
        </w:rPr>
        <w:tab/>
        <w:t xml:space="preserve">Գրանցման հավաստագրի գործողության ավարտից 90 </w:t>
      </w:r>
      <w:r w:rsidR="00C54D75">
        <w:rPr>
          <w:rFonts w:ascii="Sylfaen" w:hAnsi="Sylfaen"/>
          <w:sz w:val="24"/>
          <w:szCs w:val="24"/>
        </w:rPr>
        <w:t>և</w:t>
      </w:r>
      <w:r w:rsidRPr="00834D52">
        <w:rPr>
          <w:rFonts w:ascii="Sylfaen" w:hAnsi="Sylfaen"/>
          <w:sz w:val="24"/>
          <w:szCs w:val="24"/>
        </w:rPr>
        <w:t xml:space="preserve"> դրանից պակաս օրացուցային օր առաջ դեղապատրաստուկի գրանցման դոսյեում փոփոխությունների առաջացման դեպքում թույլատրվում է դեղապատրաստուկի փորձաքննության անցկացման ընթացքում փոփոխություններ կատարել՝ դրա գրանցման (վերագրանցման) հաստատման դեպքում:</w:t>
      </w:r>
    </w:p>
    <w:p w14:paraId="76CE48FA" w14:textId="77777777" w:rsidR="006F76EB" w:rsidRPr="00834D52" w:rsidRDefault="006F76EB" w:rsidP="00A837EF">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155.</w:t>
      </w:r>
      <w:r w:rsidRPr="00834D52">
        <w:rPr>
          <w:rFonts w:ascii="Sylfaen" w:hAnsi="Sylfaen"/>
          <w:sz w:val="24"/>
          <w:szCs w:val="24"/>
        </w:rPr>
        <w:tab/>
        <w:t xml:space="preserve">Փոխադարձ ճանաչման ընթացակարգով գրանցված դեղապատրաստուկի գրանցման դոսյեում փոփոխություններ կատարելիս հայտատուն ռեֆերենտ պետության լիազորված մարմին (փորձագիտական կազմակերպություն) պետք է ներկայացնի ճանաչման պետություններում դեղապատրաստուկի գրանցման դոսյեում փոփոխություններ կատարելու համապատասխան դիմումների </w:t>
      </w:r>
      <w:r w:rsidR="00C54D75">
        <w:rPr>
          <w:rFonts w:ascii="Sylfaen" w:hAnsi="Sylfaen"/>
          <w:sz w:val="24"/>
          <w:szCs w:val="24"/>
        </w:rPr>
        <w:t>և</w:t>
      </w:r>
      <w:r w:rsidRPr="00834D52">
        <w:rPr>
          <w:rFonts w:ascii="Sylfaen" w:hAnsi="Sylfaen"/>
          <w:sz w:val="24"/>
          <w:szCs w:val="24"/>
        </w:rPr>
        <w:t xml:space="preserve"> ճանաչման պետությունների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 դեղապատրաստուկի գրանցման դոսյեի (</w:t>
      </w:r>
      <w:r w:rsidR="00C54D75">
        <w:rPr>
          <w:rFonts w:ascii="Sylfaen" w:hAnsi="Sylfaen"/>
          <w:sz w:val="24"/>
          <w:szCs w:val="24"/>
        </w:rPr>
        <w:t>և</w:t>
      </w:r>
      <w:r w:rsidR="007E68F0" w:rsidRPr="00CA0D65">
        <w:rPr>
          <w:rFonts w:ascii="Sylfaen" w:hAnsi="Sylfaen"/>
          <w:sz w:val="24"/>
          <w:szCs w:val="24"/>
        </w:rPr>
        <w:t> </w:t>
      </w:r>
      <w:r w:rsidRPr="00834D52">
        <w:rPr>
          <w:rFonts w:ascii="Sylfaen" w:hAnsi="Sylfaen"/>
          <w:sz w:val="24"/>
          <w:szCs w:val="24"/>
        </w:rPr>
        <w:t>անհրաժեշտության դեպքում՝ դրա փորձաքննության) մեջ փոփոխություններ կատարելու համար հավաքագրման (տուրքի) վճարումը հաստատող փաստաթղթերի ներկայացման ամսաթվերի ցանկը՝ նշելով սույն Կանոնների</w:t>
      </w:r>
      <w:r w:rsidR="00CA0D65" w:rsidRPr="00CA0D65">
        <w:rPr>
          <w:rFonts w:ascii="Sylfaen" w:hAnsi="Sylfaen"/>
          <w:sz w:val="24"/>
          <w:szCs w:val="24"/>
        </w:rPr>
        <w:t> </w:t>
      </w:r>
      <w:r w:rsidR="009C5D43">
        <w:rPr>
          <w:rFonts w:ascii="Sylfaen" w:hAnsi="Sylfaen"/>
          <w:sz w:val="24"/>
          <w:szCs w:val="24"/>
        </w:rPr>
        <w:t>թիվ</w:t>
      </w:r>
      <w:r w:rsidR="00CA0D65" w:rsidRPr="00CA0D65">
        <w:rPr>
          <w:rFonts w:ascii="Sylfaen" w:hAnsi="Sylfaen"/>
          <w:sz w:val="24"/>
          <w:szCs w:val="24"/>
        </w:rPr>
        <w:t> </w:t>
      </w:r>
      <w:r w:rsidRPr="00834D52">
        <w:rPr>
          <w:rFonts w:ascii="Sylfaen" w:hAnsi="Sylfaen"/>
          <w:sz w:val="24"/>
          <w:szCs w:val="24"/>
        </w:rPr>
        <w:t>19 հավելվածին համապատասխան փոփոխություններ կատարելու այն ընթացակարգերի համարները, որոնք կատարվել են ճանաչման պետություններում:</w:t>
      </w:r>
    </w:p>
    <w:p w14:paraId="62D28AF1" w14:textId="77777777" w:rsidR="006F76EB" w:rsidRPr="00834D52" w:rsidRDefault="006F76EB" w:rsidP="00A837EF">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Դեղապատրաստուկը գրանցած բոլոր կամ մի քանի (մեկ) անդամ պետություններում (պետությունում) գրանցման հավաստագրի իրավատիրոջ փոփոխման դեպքում հայտատուն այդ անդամ պետությունների լիազորված մարմին (փորձագիտական կազմակերպություն) է ներկայացնում սույն Կանոնների </w:t>
      </w:r>
      <w:r w:rsidR="009C5D43">
        <w:rPr>
          <w:rFonts w:ascii="Sylfaen" w:hAnsi="Sylfaen"/>
          <w:sz w:val="24"/>
          <w:szCs w:val="24"/>
        </w:rPr>
        <w:t xml:space="preserve">թիվ </w:t>
      </w:r>
      <w:r w:rsidRPr="00834D52">
        <w:rPr>
          <w:rFonts w:ascii="Sylfaen" w:hAnsi="Sylfaen"/>
          <w:sz w:val="24"/>
          <w:szCs w:val="24"/>
        </w:rPr>
        <w:t xml:space="preserve">2 հավելվածին համապատասխան փոփոխություններ կատարելու մասին դիմումը </w:t>
      </w:r>
      <w:r w:rsidR="00C54D75">
        <w:rPr>
          <w:rFonts w:ascii="Sylfaen" w:hAnsi="Sylfaen"/>
          <w:sz w:val="24"/>
          <w:szCs w:val="24"/>
        </w:rPr>
        <w:t>և</w:t>
      </w:r>
      <w:r w:rsidRPr="00834D52">
        <w:rPr>
          <w:rFonts w:ascii="Sylfaen" w:hAnsi="Sylfaen"/>
          <w:sz w:val="24"/>
          <w:szCs w:val="24"/>
        </w:rPr>
        <w:t xml:space="preserve"> գրանցման դոսյեի 1-ին մոդուլի համապատասխան փաստաթղթերը:</w:t>
      </w:r>
    </w:p>
    <w:p w14:paraId="42291D96" w14:textId="77777777" w:rsidR="006F76EB" w:rsidRPr="00834D52" w:rsidRDefault="006F76EB" w:rsidP="00A837EF">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156.</w:t>
      </w:r>
      <w:r w:rsidRPr="00834D52">
        <w:rPr>
          <w:rFonts w:ascii="Sylfaen" w:hAnsi="Sylfaen"/>
          <w:sz w:val="24"/>
          <w:szCs w:val="24"/>
        </w:rPr>
        <w:tab/>
        <w:t xml:space="preserve">Ռեֆերենտ պետության փորձագիտական կազմակերպությունը </w:t>
      </w:r>
      <w:r w:rsidR="00C54D75">
        <w:rPr>
          <w:rFonts w:ascii="Sylfaen" w:hAnsi="Sylfaen"/>
          <w:sz w:val="24"/>
          <w:szCs w:val="24"/>
        </w:rPr>
        <w:t>և</w:t>
      </w:r>
      <w:r w:rsidRPr="00834D52">
        <w:rPr>
          <w:rFonts w:ascii="Sylfaen" w:hAnsi="Sylfaen"/>
          <w:sz w:val="24"/>
          <w:szCs w:val="24"/>
        </w:rPr>
        <w:t xml:space="preserve"> լիազորված մարմինը դեղապատրաստուկի գրանցման դոսյեում փոփոխություններ կատարելու ժամանակ դեղապատրաստուկի փորձաքննություն անցկացնելիս իրավունք ունի պակասող այն լրացուցիչ տեղեկատվության, անհրաժեշտ պարզաբանումների կամ ճշտումների ներկայացման մասին հայտատուին գրավոր </w:t>
      </w:r>
      <w:r w:rsidR="00C54D75">
        <w:rPr>
          <w:rFonts w:ascii="Sylfaen" w:hAnsi="Sylfaen"/>
          <w:sz w:val="24"/>
          <w:szCs w:val="24"/>
        </w:rPr>
        <w:t>և</w:t>
      </w:r>
      <w:r w:rsidRPr="00834D52">
        <w:rPr>
          <w:rFonts w:ascii="Sylfaen" w:hAnsi="Sylfaen"/>
          <w:sz w:val="24"/>
          <w:szCs w:val="24"/>
        </w:rPr>
        <w:t xml:space="preserve"> (կամ) էլեկտրոնային եղանակով հարցում ուղարկելու, որոնք վերաբերում են գրանցման դոսյեի ներկայացված փաստաթղթերին </w:t>
      </w:r>
      <w:r w:rsidR="00C54D75">
        <w:rPr>
          <w:rFonts w:ascii="Sylfaen" w:hAnsi="Sylfaen"/>
          <w:sz w:val="24"/>
          <w:szCs w:val="24"/>
        </w:rPr>
        <w:t>և</w:t>
      </w:r>
      <w:r w:rsidRPr="00834D52">
        <w:rPr>
          <w:rFonts w:ascii="Sylfaen" w:hAnsi="Sylfaen"/>
          <w:sz w:val="24"/>
          <w:szCs w:val="24"/>
        </w:rPr>
        <w:t xml:space="preserve"> տվյալներին (այդ թվում՝ ԴԸԲ-ում, բժշկական կիրառման հրահանգում, դեղապատրաստուկի փաթեթվածքների մակետում, որակին առնչվող նորմատիվ փաստաթղթում կամ գրանցման դոսյեի այլ փաստաթղթերում փոփոխություններ կատարելու առաջարկությունները):</w:t>
      </w:r>
    </w:p>
    <w:p w14:paraId="3E60DBC2" w14:textId="77777777" w:rsidR="006F76EB" w:rsidRPr="00834D52" w:rsidRDefault="006F76EB" w:rsidP="00D32C7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Նշված հարցման պատասխանը հայտատուի կողմից ներկայացնելու ժամկետը չպետք է գերազանցի 90 օրացուցային օրը: Փոփոխությունների կատարման </w:t>
      </w:r>
      <w:r w:rsidR="00C54D75">
        <w:rPr>
          <w:rFonts w:ascii="Sylfaen" w:hAnsi="Sylfaen"/>
          <w:sz w:val="24"/>
          <w:szCs w:val="24"/>
        </w:rPr>
        <w:t>և</w:t>
      </w:r>
      <w:r w:rsidRPr="00834D52">
        <w:rPr>
          <w:rFonts w:ascii="Sylfaen" w:hAnsi="Sylfaen"/>
          <w:sz w:val="24"/>
          <w:szCs w:val="24"/>
        </w:rPr>
        <w:t xml:space="preserve"> դեղապատրաստուկի փորձաքննության ընթացքում, լիազորված մարմնի կամ փորձագիտական կազմակերպության հարցմամբ՝ փաստաթղթերը հայտատուի կողմից ներկայացնելու ժամանակը չի մտնում դեղապատրաստուկի փորձաքննություն անցկացնելու </w:t>
      </w:r>
      <w:r w:rsidR="00C54D75">
        <w:rPr>
          <w:rFonts w:ascii="Sylfaen" w:hAnsi="Sylfaen"/>
          <w:sz w:val="24"/>
          <w:szCs w:val="24"/>
        </w:rPr>
        <w:t>և</w:t>
      </w:r>
      <w:r w:rsidRPr="00834D52">
        <w:rPr>
          <w:rFonts w:ascii="Sylfaen" w:hAnsi="Sylfaen"/>
          <w:sz w:val="24"/>
          <w:szCs w:val="24"/>
        </w:rPr>
        <w:t xml:space="preserve"> փոփոխություններ կատարելու ընթացակարգերի ժամկետների մեջ:</w:t>
      </w:r>
    </w:p>
    <w:p w14:paraId="24DB7A45" w14:textId="77777777" w:rsidR="006F76EB" w:rsidRPr="00834D52" w:rsidRDefault="006F76EB" w:rsidP="00D32C7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Պահանջված փաստաթղթերը </w:t>
      </w:r>
      <w:r w:rsidR="00C54D75">
        <w:rPr>
          <w:rFonts w:ascii="Sylfaen" w:hAnsi="Sylfaen"/>
          <w:sz w:val="24"/>
          <w:szCs w:val="24"/>
        </w:rPr>
        <w:t>և</w:t>
      </w:r>
      <w:r w:rsidRPr="00834D52">
        <w:rPr>
          <w:rFonts w:ascii="Sylfaen" w:hAnsi="Sylfaen"/>
          <w:sz w:val="24"/>
          <w:szCs w:val="24"/>
        </w:rPr>
        <w:t xml:space="preserve"> տվյալները հայտատուի կողմից չներկայացնելու դեպքում դեղապատրաստուկի փորձաքննությունը </w:t>
      </w:r>
      <w:r w:rsidR="00C54D75">
        <w:rPr>
          <w:rFonts w:ascii="Sylfaen" w:hAnsi="Sylfaen"/>
          <w:sz w:val="24"/>
          <w:szCs w:val="24"/>
        </w:rPr>
        <w:t>և</w:t>
      </w:r>
      <w:r w:rsidRPr="00834D52">
        <w:rPr>
          <w:rFonts w:ascii="Sylfaen" w:hAnsi="Sylfaen"/>
          <w:sz w:val="24"/>
          <w:szCs w:val="24"/>
        </w:rPr>
        <w:t xml:space="preserve"> փոփոխությունների կատարման ընթացակարգը դադարեցվում են: Կայացված որոշման մասին լիազորված մարմինը (փորձագիտական կազմակերպությունը) գրավոր </w:t>
      </w:r>
      <w:r w:rsidR="00C54D75">
        <w:rPr>
          <w:rFonts w:ascii="Sylfaen" w:hAnsi="Sylfaen"/>
          <w:sz w:val="24"/>
          <w:szCs w:val="24"/>
        </w:rPr>
        <w:t>և</w:t>
      </w:r>
      <w:r w:rsidRPr="00834D52">
        <w:rPr>
          <w:rFonts w:ascii="Sylfaen" w:hAnsi="Sylfaen"/>
          <w:sz w:val="24"/>
          <w:szCs w:val="24"/>
        </w:rPr>
        <w:t xml:space="preserve"> (կամ) էլեկտրոնային եղանակով այդպիսի որոշման ընդունման օրվանից 14 աշխատանքային օրվա ընթացքում տեղեկացնում է հայտատուին:</w:t>
      </w:r>
    </w:p>
    <w:p w14:paraId="12EE65E9" w14:textId="77777777" w:rsidR="006F76EB" w:rsidRPr="00834D52" w:rsidRDefault="006F76EB" w:rsidP="00A837EF">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157.</w:t>
      </w:r>
      <w:r w:rsidRPr="00834D52">
        <w:rPr>
          <w:rFonts w:ascii="Sylfaen" w:hAnsi="Sylfaen"/>
          <w:sz w:val="24"/>
          <w:szCs w:val="24"/>
        </w:rPr>
        <w:tab/>
        <w:t xml:space="preserve">Դեղապատրաստուկի բժշկական կիրառման հրահանգում փոփոխությունների մասով գրանցման դոսյեում փոփոխություններ կատարելու դեպքում լիազորված մարմնի կողմից հաստատվում </w:t>
      </w:r>
      <w:r w:rsidR="00C54D75">
        <w:rPr>
          <w:rFonts w:ascii="Sylfaen" w:hAnsi="Sylfaen"/>
          <w:sz w:val="24"/>
          <w:szCs w:val="24"/>
        </w:rPr>
        <w:t>և</w:t>
      </w:r>
      <w:r w:rsidRPr="00834D52">
        <w:rPr>
          <w:rFonts w:ascii="Sylfaen" w:hAnsi="Sylfaen"/>
          <w:sz w:val="24"/>
          <w:szCs w:val="24"/>
        </w:rPr>
        <w:t xml:space="preserve"> հայտատուին է տրվում բժշկական կիրառման նոր հրահանգ:</w:t>
      </w:r>
    </w:p>
    <w:p w14:paraId="5EC86200" w14:textId="77777777" w:rsidR="006F76EB" w:rsidRPr="00834D52" w:rsidRDefault="006F76EB" w:rsidP="0000325C">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158.</w:t>
      </w:r>
      <w:r w:rsidR="0000325C" w:rsidRPr="00A958BD">
        <w:rPr>
          <w:rFonts w:ascii="Sylfaen" w:hAnsi="Sylfaen"/>
          <w:sz w:val="24"/>
          <w:szCs w:val="24"/>
        </w:rPr>
        <w:tab/>
      </w:r>
      <w:r w:rsidRPr="00834D52">
        <w:rPr>
          <w:rFonts w:ascii="Sylfaen" w:hAnsi="Sylfaen"/>
          <w:sz w:val="24"/>
          <w:szCs w:val="24"/>
        </w:rPr>
        <w:t>Դեղապատրաստուկի գրանցման (վերագրանցման) հաստատման կամ Ա.1, Ա.4, Ա.5, Ա.6, Ա.7, Բ.II.բ.1, Բ.II.բ.4 տիպի փոփոխություններ կատարելու, ինչպես նա</w:t>
      </w:r>
      <w:r w:rsidR="00C54D75">
        <w:rPr>
          <w:rFonts w:ascii="Sylfaen" w:hAnsi="Sylfaen"/>
          <w:sz w:val="24"/>
          <w:szCs w:val="24"/>
        </w:rPr>
        <w:t>և</w:t>
      </w:r>
      <w:r w:rsidRPr="00834D52">
        <w:rPr>
          <w:rFonts w:ascii="Sylfaen" w:hAnsi="Sylfaen"/>
          <w:sz w:val="24"/>
          <w:szCs w:val="24"/>
        </w:rPr>
        <w:t xml:space="preserve"> գծանիշի (շտրիխ կոդի) </w:t>
      </w:r>
      <w:r w:rsidR="00C54D75">
        <w:rPr>
          <w:rFonts w:ascii="Sylfaen" w:hAnsi="Sylfaen"/>
          <w:sz w:val="24"/>
          <w:szCs w:val="24"/>
        </w:rPr>
        <w:t>և</w:t>
      </w:r>
      <w:r w:rsidRPr="00834D52">
        <w:rPr>
          <w:rFonts w:ascii="Sylfaen" w:hAnsi="Sylfaen"/>
          <w:sz w:val="24"/>
          <w:szCs w:val="24"/>
        </w:rPr>
        <w:t xml:space="preserve"> փաթեթվածքի գունային դիզայնի </w:t>
      </w:r>
      <w:r w:rsidR="00C54D75">
        <w:rPr>
          <w:rFonts w:ascii="Sylfaen" w:hAnsi="Sylfaen"/>
          <w:sz w:val="24"/>
          <w:szCs w:val="24"/>
        </w:rPr>
        <w:t>և</w:t>
      </w:r>
      <w:r w:rsidRPr="00834D52">
        <w:rPr>
          <w:rFonts w:ascii="Sylfaen" w:hAnsi="Sylfaen"/>
          <w:sz w:val="24"/>
          <w:szCs w:val="24"/>
        </w:rPr>
        <w:t xml:space="preserve"> IA ու IB տիպի այլ ոչ նշանակալի փոփոխությունների դեպքում, որոնք չեն վերաբերում գրանցման դոսյեում դեղապատրաստուկի անվտանգության, որակի </w:t>
      </w:r>
      <w:r w:rsidR="00C54D75">
        <w:rPr>
          <w:rFonts w:ascii="Sylfaen" w:hAnsi="Sylfaen"/>
          <w:sz w:val="24"/>
          <w:szCs w:val="24"/>
        </w:rPr>
        <w:t>և</w:t>
      </w:r>
      <w:r w:rsidRPr="00834D52">
        <w:rPr>
          <w:rFonts w:ascii="Sylfaen" w:hAnsi="Sylfaen"/>
          <w:sz w:val="24"/>
          <w:szCs w:val="24"/>
        </w:rPr>
        <w:t xml:space="preserve"> արդյունավետության ասպեկտներին, սակայն վերաբերում են դեղապատրաստուկի փաթեթվածքների մակետների փոփոխությանը, ԴԸԲ-ին </w:t>
      </w:r>
      <w:r w:rsidR="00C54D75">
        <w:rPr>
          <w:rFonts w:ascii="Sylfaen" w:hAnsi="Sylfaen"/>
          <w:sz w:val="24"/>
          <w:szCs w:val="24"/>
        </w:rPr>
        <w:t>և</w:t>
      </w:r>
      <w:r w:rsidRPr="00834D52">
        <w:rPr>
          <w:rFonts w:ascii="Sylfaen" w:hAnsi="Sylfaen"/>
          <w:sz w:val="24"/>
          <w:szCs w:val="24"/>
        </w:rPr>
        <w:t xml:space="preserve"> (կամ) բժշկական կիրառման հրահանգին, թույլատրվում է դեղապատրաստուկի արտադրությունը </w:t>
      </w:r>
      <w:r w:rsidR="00C54D75">
        <w:rPr>
          <w:rFonts w:ascii="Sylfaen" w:hAnsi="Sylfaen"/>
          <w:sz w:val="24"/>
          <w:szCs w:val="24"/>
        </w:rPr>
        <w:t>և</w:t>
      </w:r>
      <w:r w:rsidRPr="00834D52">
        <w:rPr>
          <w:rFonts w:ascii="Sylfaen" w:hAnsi="Sylfaen"/>
          <w:sz w:val="24"/>
          <w:szCs w:val="24"/>
        </w:rPr>
        <w:t xml:space="preserve"> ներմուծումը նախկինում հաստատված փաթեթվածքներով </w:t>
      </w:r>
      <w:r w:rsidR="00C54D75">
        <w:rPr>
          <w:rFonts w:ascii="Sylfaen" w:hAnsi="Sylfaen"/>
          <w:sz w:val="24"/>
          <w:szCs w:val="24"/>
        </w:rPr>
        <w:t>և</w:t>
      </w:r>
      <w:r w:rsidRPr="00834D52">
        <w:rPr>
          <w:rFonts w:ascii="Sylfaen" w:hAnsi="Sylfaen"/>
          <w:sz w:val="24"/>
          <w:szCs w:val="24"/>
        </w:rPr>
        <w:t xml:space="preserve"> բժշկական կիրառման հրահանգով՝ գրանցման (վերագրանցման) կամ փոփոխություններ կատարելու ամսաթվից 180 օրացուցային օրվա ընթացքում՝ դեղապատրաստուկի գրանցման դոսյեի փաստաթղթերում պարունակվող </w:t>
      </w:r>
      <w:r w:rsidRPr="00834D52">
        <w:rPr>
          <w:rFonts w:ascii="Sylfaen" w:hAnsi="Sylfaen"/>
          <w:sz w:val="24"/>
          <w:szCs w:val="24"/>
        </w:rPr>
        <w:lastRenderedPageBreak/>
        <w:t>տեղեկատվությանը համապատասխան՝ մինչ</w:t>
      </w:r>
      <w:r w:rsidR="00C54D75">
        <w:rPr>
          <w:rFonts w:ascii="Sylfaen" w:hAnsi="Sylfaen"/>
          <w:sz w:val="24"/>
          <w:szCs w:val="24"/>
        </w:rPr>
        <w:t>և</w:t>
      </w:r>
      <w:r w:rsidRPr="00834D52">
        <w:rPr>
          <w:rFonts w:ascii="Sylfaen" w:hAnsi="Sylfaen"/>
          <w:sz w:val="24"/>
          <w:szCs w:val="24"/>
        </w:rPr>
        <w:t xml:space="preserve"> գրանցման (վերագրանցման) կամ փոփոխություններ կատարելու ամսաթիվը: Թույլատրվում է դեղապատրաստուկի միաժամանակ իրացումը մինչ</w:t>
      </w:r>
      <w:r w:rsidR="00C54D75">
        <w:rPr>
          <w:rFonts w:ascii="Sylfaen" w:hAnsi="Sylfaen"/>
          <w:sz w:val="24"/>
          <w:szCs w:val="24"/>
        </w:rPr>
        <w:t>և</w:t>
      </w:r>
      <w:r w:rsidRPr="00834D52">
        <w:rPr>
          <w:rFonts w:ascii="Sylfaen" w:hAnsi="Sylfaen"/>
          <w:sz w:val="24"/>
          <w:szCs w:val="24"/>
        </w:rPr>
        <w:t xml:space="preserve"> դրա պիտանիության ժամկետի ավարտն այն փաթեթվածքով </w:t>
      </w:r>
      <w:r w:rsidR="00C54D75">
        <w:rPr>
          <w:rFonts w:ascii="Sylfaen" w:hAnsi="Sylfaen"/>
          <w:sz w:val="24"/>
          <w:szCs w:val="24"/>
        </w:rPr>
        <w:t>և</w:t>
      </w:r>
      <w:r w:rsidRPr="00834D52">
        <w:rPr>
          <w:rFonts w:ascii="Sylfaen" w:hAnsi="Sylfaen"/>
          <w:sz w:val="24"/>
          <w:szCs w:val="24"/>
        </w:rPr>
        <w:t xml:space="preserve"> բժշկական կիրառման հրահանգով, որը համապատասխանում է գրանցման դոսյեի փաստաթղթերին </w:t>
      </w:r>
      <w:r w:rsidR="00C54D75">
        <w:rPr>
          <w:rFonts w:ascii="Sylfaen" w:hAnsi="Sylfaen"/>
          <w:sz w:val="24"/>
          <w:szCs w:val="24"/>
        </w:rPr>
        <w:t>և</w:t>
      </w:r>
      <w:r w:rsidRPr="00834D52">
        <w:rPr>
          <w:rFonts w:ascii="Sylfaen" w:hAnsi="Sylfaen"/>
          <w:sz w:val="24"/>
          <w:szCs w:val="24"/>
        </w:rPr>
        <w:t xml:space="preserve"> տվյալներին՝ նախքան դրանում փոփոխություններ կատարելը </w:t>
      </w:r>
      <w:r w:rsidR="00C54D75">
        <w:rPr>
          <w:rFonts w:ascii="Sylfaen" w:hAnsi="Sylfaen"/>
          <w:sz w:val="24"/>
          <w:szCs w:val="24"/>
        </w:rPr>
        <w:t>և</w:t>
      </w:r>
      <w:r w:rsidRPr="00834D52">
        <w:rPr>
          <w:rFonts w:ascii="Sylfaen" w:hAnsi="Sylfaen"/>
          <w:sz w:val="24"/>
          <w:szCs w:val="24"/>
        </w:rPr>
        <w:t xml:space="preserve"> դրանից հետո, եթե դա չի հակասում Հանձնաժողովի կողմից հաստատված Միության դեղազգոնության պատշաճ գործելակերպի կանոնների պահանջներին։</w:t>
      </w:r>
    </w:p>
    <w:p w14:paraId="48648958" w14:textId="77777777" w:rsidR="006F76EB" w:rsidRPr="00834D52" w:rsidRDefault="006F76EB" w:rsidP="00584EC1">
      <w:pPr>
        <w:spacing w:after="160" w:line="336" w:lineRule="auto"/>
        <w:ind w:right="-8"/>
        <w:jc w:val="center"/>
        <w:rPr>
          <w:rFonts w:ascii="Sylfaen" w:hAnsi="Sylfaen"/>
          <w:sz w:val="24"/>
          <w:szCs w:val="24"/>
        </w:rPr>
      </w:pPr>
    </w:p>
    <w:p w14:paraId="53F5CBA9" w14:textId="77777777" w:rsidR="006F76EB" w:rsidRPr="00834D52" w:rsidRDefault="006F76EB" w:rsidP="00D32C7C">
      <w:pPr>
        <w:spacing w:after="160" w:line="360" w:lineRule="auto"/>
        <w:ind w:left="567" w:right="567"/>
        <w:jc w:val="center"/>
        <w:rPr>
          <w:rFonts w:ascii="Sylfaen" w:eastAsia="Times New Roman" w:hAnsi="Sylfaen" w:cs="Times New Roman"/>
          <w:sz w:val="24"/>
          <w:szCs w:val="24"/>
        </w:rPr>
      </w:pPr>
      <w:r w:rsidRPr="00834D52">
        <w:rPr>
          <w:rFonts w:ascii="Sylfaen" w:hAnsi="Sylfaen"/>
          <w:sz w:val="24"/>
          <w:szCs w:val="24"/>
        </w:rPr>
        <w:t>X. Գրանցման հավաստագրի կասեցում, հետկանչ (վերացում) կամ կիրառման սահմանափակում կամ գրանցման հավաստագրի պայմանների փոփոխությունների կատարում</w:t>
      </w:r>
    </w:p>
    <w:p w14:paraId="1792F24E" w14:textId="77777777" w:rsidR="006F76EB" w:rsidRPr="00834D52" w:rsidRDefault="006F76EB" w:rsidP="00D32C7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159.</w:t>
      </w:r>
      <w:r w:rsidRPr="00834D52">
        <w:rPr>
          <w:rFonts w:ascii="Sylfaen" w:hAnsi="Sylfaen"/>
          <w:sz w:val="24"/>
          <w:szCs w:val="24"/>
        </w:rPr>
        <w:tab/>
        <w:t>Լիազորված մարմինը կասեցնում է գրանցման հավաստագրի գործողությունը կամ սահմանափակում է դեղապատրաստուկի կիրառումը հետ</w:t>
      </w:r>
      <w:r w:rsidR="00C54D75">
        <w:rPr>
          <w:rFonts w:ascii="Sylfaen" w:hAnsi="Sylfaen"/>
          <w:sz w:val="24"/>
          <w:szCs w:val="24"/>
        </w:rPr>
        <w:t>և</w:t>
      </w:r>
      <w:r w:rsidRPr="00834D52">
        <w:rPr>
          <w:rFonts w:ascii="Sylfaen" w:hAnsi="Sylfaen"/>
          <w:sz w:val="24"/>
          <w:szCs w:val="24"/>
        </w:rPr>
        <w:t>յալ դեպքերում՝</w:t>
      </w:r>
    </w:p>
    <w:p w14:paraId="7B6660FD" w14:textId="77777777" w:rsidR="006F76EB" w:rsidRPr="00834D52" w:rsidRDefault="006F76EB" w:rsidP="00D32C7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առկա են հայտարարված կազմության հետ դեղապատրաստուկի բաց թողնված սերիաների որակական </w:t>
      </w:r>
      <w:r w:rsidR="00C54D75">
        <w:rPr>
          <w:rFonts w:ascii="Sylfaen" w:hAnsi="Sylfaen"/>
          <w:sz w:val="24"/>
          <w:szCs w:val="24"/>
        </w:rPr>
        <w:t>և</w:t>
      </w:r>
      <w:r w:rsidRPr="00834D52">
        <w:rPr>
          <w:rFonts w:ascii="Sylfaen" w:hAnsi="Sylfaen"/>
          <w:sz w:val="24"/>
          <w:szCs w:val="24"/>
        </w:rPr>
        <w:t xml:space="preserve"> քանակական կազմության՝ փաստաթղթերով հաստատված անհամապատասխանության փաստեր.</w:t>
      </w:r>
    </w:p>
    <w:p w14:paraId="21A3D521" w14:textId="77777777" w:rsidR="006F76EB" w:rsidRPr="00834D52" w:rsidRDefault="006F76EB" w:rsidP="00D32C7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դեղապատրաստուկը վտանգավոր է (լուրջ կամ անուղղելի վնաս է հասցնում մարդու առողջությանը (առողջությանը լուրջ կամ անուղղելի վնաս հասցնելու մասին հիմնավորումը պետք է հաստատված լինի լիազորված մարմնի (փորձագիտական կազմակերպության) փորձագիտական եզրակացությամբ՝ փաստաթղթային ապացույցներին հղումներով)).</w:t>
      </w:r>
    </w:p>
    <w:p w14:paraId="25341959" w14:textId="77777777" w:rsidR="006F76EB" w:rsidRPr="00834D52" w:rsidRDefault="006F76EB" w:rsidP="00D32C7C">
      <w:pPr>
        <w:tabs>
          <w:tab w:val="left" w:pos="1134"/>
        </w:tabs>
        <w:spacing w:after="160" w:line="360" w:lineRule="auto"/>
        <w:ind w:right="-8" w:firstLine="567"/>
        <w:jc w:val="both"/>
        <w:rPr>
          <w:rFonts w:ascii="Sylfaen" w:eastAsia="Times New Roman" w:hAnsi="Sylfaen" w:cs="Times New Roman"/>
          <w:sz w:val="24"/>
          <w:szCs w:val="24"/>
        </w:rPr>
      </w:pPr>
      <w:r w:rsidRPr="00256312">
        <w:rPr>
          <w:rFonts w:ascii="Sylfaen" w:hAnsi="Sylfaen"/>
          <w:spacing w:val="-6"/>
          <w:sz w:val="24"/>
          <w:szCs w:val="24"/>
        </w:rPr>
        <w:t xml:space="preserve">ապացուցվել է օգուտ-ռիսկ անբարենպաստ հարաբերակցությունը կամ բացահայտվել է դեղապատրաստուկի՝ փաստաթղթերով հաստատված </w:t>
      </w:r>
      <w:r w:rsidRPr="00834D52">
        <w:rPr>
          <w:rFonts w:ascii="Sylfaen" w:hAnsi="Sylfaen"/>
          <w:sz w:val="24"/>
          <w:szCs w:val="24"/>
        </w:rPr>
        <w:t>ոչ բավարար թերապ</w:t>
      </w:r>
      <w:r w:rsidR="00C54D75">
        <w:rPr>
          <w:rFonts w:ascii="Sylfaen" w:hAnsi="Sylfaen"/>
          <w:sz w:val="24"/>
          <w:szCs w:val="24"/>
        </w:rPr>
        <w:t>և</w:t>
      </w:r>
      <w:r w:rsidRPr="00834D52">
        <w:rPr>
          <w:rFonts w:ascii="Sylfaen" w:hAnsi="Sylfaen"/>
          <w:sz w:val="24"/>
          <w:szCs w:val="24"/>
        </w:rPr>
        <w:t>տիկ արդյունավետությունը դրա կիրառման այն պայմանների պահպանման դեպքում, որոնք նկարագրված են հաստատված ԴԸԲ-ում.</w:t>
      </w:r>
    </w:p>
    <w:p w14:paraId="5ABD3450" w14:textId="77777777" w:rsidR="006F76EB" w:rsidRPr="00834D52" w:rsidRDefault="006F76EB" w:rsidP="0000325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չի հաստատվել </w:t>
      </w:r>
      <w:r w:rsidR="00E90FAF" w:rsidRPr="00E90FAF">
        <w:rPr>
          <w:rFonts w:ascii="Sylfaen" w:hAnsi="Sylfaen"/>
          <w:sz w:val="24"/>
          <w:szCs w:val="24"/>
        </w:rPr>
        <w:t>«</w:t>
      </w:r>
      <w:r w:rsidRPr="00834D52">
        <w:rPr>
          <w:rFonts w:ascii="Sylfaen" w:hAnsi="Sylfaen"/>
          <w:sz w:val="24"/>
          <w:szCs w:val="24"/>
        </w:rPr>
        <w:t>օգուտ-ռիսկ</w:t>
      </w:r>
      <w:r w:rsidR="00E90FAF" w:rsidRPr="00E90FAF">
        <w:rPr>
          <w:rFonts w:ascii="Sylfaen" w:hAnsi="Sylfaen"/>
          <w:sz w:val="24"/>
          <w:szCs w:val="24"/>
        </w:rPr>
        <w:t>»</w:t>
      </w:r>
      <w:r w:rsidRPr="00834D52">
        <w:rPr>
          <w:rFonts w:ascii="Sylfaen" w:hAnsi="Sylfaen"/>
          <w:sz w:val="24"/>
          <w:szCs w:val="24"/>
        </w:rPr>
        <w:t xml:space="preserve"> դրական հարաբերակցությունը՝ լիազորված մարմնի (փորձագիտական կազմակերպության) կողմից յուրաքանչյուր տարի անցկացվող օգուտ-ռիսկ հարաբերակցությունը վերագնահատելիս՝ սույն Կանոնների 117-րդ կետին համապատասխան.</w:t>
      </w:r>
    </w:p>
    <w:p w14:paraId="278CB7C2" w14:textId="77777777" w:rsidR="006F76EB" w:rsidRPr="00834D52" w:rsidRDefault="006F76EB" w:rsidP="0000325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դոսյեում առկա են ոչ հավաստի փաստաթղթեր </w:t>
      </w:r>
      <w:r w:rsidR="00C54D75">
        <w:rPr>
          <w:rFonts w:ascii="Sylfaen" w:hAnsi="Sylfaen"/>
          <w:sz w:val="24"/>
          <w:szCs w:val="24"/>
        </w:rPr>
        <w:t>և</w:t>
      </w:r>
      <w:r w:rsidRPr="00834D52">
        <w:rPr>
          <w:rFonts w:ascii="Sylfaen" w:hAnsi="Sylfaen"/>
          <w:sz w:val="24"/>
          <w:szCs w:val="24"/>
        </w:rPr>
        <w:t xml:space="preserve"> տվյալներ,</w:t>
      </w:r>
    </w:p>
    <w:p w14:paraId="5C724705" w14:textId="77777777" w:rsidR="006F76EB" w:rsidRPr="00834D52" w:rsidRDefault="006F76EB" w:rsidP="0000325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արտադրողը լիազորված մարմնի (փորձագիտական կազմակերպության) հետ համաձայնեցված ժամկետներում չի վերացրել տեսչական ստուգումների ժամանակ բացահայտված արտադրության </w:t>
      </w:r>
      <w:r w:rsidR="00C54D75">
        <w:rPr>
          <w:rFonts w:ascii="Sylfaen" w:hAnsi="Sylfaen"/>
          <w:sz w:val="24"/>
          <w:szCs w:val="24"/>
        </w:rPr>
        <w:t>և</w:t>
      </w:r>
      <w:r w:rsidRPr="00834D52">
        <w:rPr>
          <w:rFonts w:ascii="Sylfaen" w:hAnsi="Sylfaen"/>
          <w:sz w:val="24"/>
          <w:szCs w:val="24"/>
        </w:rPr>
        <w:t xml:space="preserve"> հսկողության մեթոդների անհամապատասխանությունները, որոնք հայտագրված են գրանցման դոսյեում,</w:t>
      </w:r>
    </w:p>
    <w:p w14:paraId="271B77D7" w14:textId="77777777" w:rsidR="006F76EB" w:rsidRPr="00834D52" w:rsidRDefault="006F76EB" w:rsidP="0000325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իրավատիրոջ կողմից չեն կատարվել դեղազգոնության վերաբերյալ պարտականությունները,</w:t>
      </w:r>
    </w:p>
    <w:p w14:paraId="63D13198" w14:textId="77777777" w:rsidR="006F76EB" w:rsidRPr="00834D52" w:rsidRDefault="006F76EB" w:rsidP="0000325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իրավատիրոջ կողմից չեն կատարվել լիազորված մարմնի (փորձագիտական կազմակերպության) կողմից հաստատված պարտականությունները՝ սույն Կանոնների 116-րդ </w:t>
      </w:r>
      <w:r w:rsidR="00C54D75">
        <w:rPr>
          <w:rFonts w:ascii="Sylfaen" w:hAnsi="Sylfaen"/>
          <w:sz w:val="24"/>
          <w:szCs w:val="24"/>
        </w:rPr>
        <w:t>և</w:t>
      </w:r>
      <w:r w:rsidRPr="00834D52">
        <w:rPr>
          <w:rFonts w:ascii="Sylfaen" w:hAnsi="Sylfaen"/>
          <w:sz w:val="24"/>
          <w:szCs w:val="24"/>
        </w:rPr>
        <w:t xml:space="preserve"> 118-րդ կետերին համապատասխան։</w:t>
      </w:r>
    </w:p>
    <w:p w14:paraId="6B6880CA" w14:textId="77777777" w:rsidR="006F76EB" w:rsidRPr="00834D52" w:rsidRDefault="006F76EB" w:rsidP="0000325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գործողության կասեցման՝ սույն կետի </w:t>
      </w:r>
      <w:r w:rsidR="00256312" w:rsidRPr="00E61438">
        <w:rPr>
          <w:rFonts w:ascii="Sylfaen" w:hAnsi="Sylfaen"/>
          <w:sz w:val="24"/>
          <w:szCs w:val="24"/>
        </w:rPr>
        <w:br/>
      </w:r>
      <w:r w:rsidRPr="00834D52">
        <w:rPr>
          <w:rFonts w:ascii="Sylfaen" w:hAnsi="Sylfaen"/>
          <w:sz w:val="24"/>
          <w:szCs w:val="24"/>
        </w:rPr>
        <w:t>երկրորդ-չորրորդ պարբերություններում նշված դեպքերում լիազորված մարմինը (փորձագիտական կազմակերպությունը) գրանցման հավաստագրի իրավատիրոջն ուղարկում է գրանցման դոսյեի համապատասխան փաստաթղթերում փոփոխություններ կատարելու մասին պահանջը՝ նշելով այդպիսի պահանջի կատարման ժամկետը:</w:t>
      </w:r>
    </w:p>
    <w:p w14:paraId="2321A6CB" w14:textId="77777777" w:rsidR="006F76EB" w:rsidRPr="00834D52" w:rsidRDefault="006F76EB" w:rsidP="0000325C">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160.</w:t>
      </w:r>
      <w:r w:rsidRPr="00834D52">
        <w:rPr>
          <w:rFonts w:ascii="Sylfaen" w:hAnsi="Sylfaen"/>
          <w:sz w:val="24"/>
          <w:szCs w:val="24"/>
        </w:rPr>
        <w:tab/>
        <w:t xml:space="preserve">Դեղապատրաստուկի գրանցման հավաստագիրը հետ կանչելու (վերացնելու) </w:t>
      </w:r>
      <w:r w:rsidR="00C54D75">
        <w:rPr>
          <w:rFonts w:ascii="Sylfaen" w:hAnsi="Sylfaen"/>
          <w:sz w:val="24"/>
          <w:szCs w:val="24"/>
        </w:rPr>
        <w:t>և</w:t>
      </w:r>
      <w:r w:rsidRPr="00834D52">
        <w:rPr>
          <w:rFonts w:ascii="Sylfaen" w:hAnsi="Sylfaen"/>
          <w:sz w:val="24"/>
          <w:szCs w:val="24"/>
        </w:rPr>
        <w:t xml:space="preserve"> դեղապատրաստուկը միասնական ռեեստրից հանելու մասին որոշումն ընդունվում է լիազորված մարմնի (փորձագիտական կազմակերպության) կողմից հետ</w:t>
      </w:r>
      <w:r w:rsidR="00C54D75">
        <w:rPr>
          <w:rFonts w:ascii="Sylfaen" w:hAnsi="Sylfaen"/>
          <w:sz w:val="24"/>
          <w:szCs w:val="24"/>
        </w:rPr>
        <w:t>և</w:t>
      </w:r>
      <w:r w:rsidRPr="00834D52">
        <w:rPr>
          <w:rFonts w:ascii="Sylfaen" w:hAnsi="Sylfaen"/>
          <w:sz w:val="24"/>
          <w:szCs w:val="24"/>
        </w:rPr>
        <w:t>յալ դեպքերում՝</w:t>
      </w:r>
    </w:p>
    <w:p w14:paraId="5D087251" w14:textId="77777777" w:rsidR="006F76EB" w:rsidRPr="00834D52" w:rsidRDefault="006F76EB" w:rsidP="00CB78D1">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դեղապատրաստուկի գրանցման հավաստագրի իրավատիրոջ կամ իրավաբանական անձի, դեղապատրաստուկի գրանցման հավաստագրի </w:t>
      </w:r>
      <w:r w:rsidRPr="00834D52">
        <w:rPr>
          <w:rFonts w:ascii="Sylfaen" w:hAnsi="Sylfaen"/>
          <w:sz w:val="24"/>
          <w:szCs w:val="24"/>
        </w:rPr>
        <w:lastRenderedPageBreak/>
        <w:t>լիազորված իրավատիրոջ կողմից դեղապատրաստուկի գրանցումը վերացնելու մասին դիմումը ներկայացնելու դեպքում,</w:t>
      </w:r>
    </w:p>
    <w:p w14:paraId="28166C96" w14:textId="77777777" w:rsidR="006F76EB" w:rsidRPr="00834D52" w:rsidRDefault="006F76EB" w:rsidP="00CB78D1">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դեղապատրաստուկի գրանցման հավաստագրի իրավատիրոջ կողմից լիազորված մարմնի (փորձագիտական կազմակերպության)՝ սույն Կանոնների</w:t>
      </w:r>
      <w:r w:rsidR="00E61438" w:rsidRPr="00E61438">
        <w:rPr>
          <w:rFonts w:ascii="Sylfaen" w:hAnsi="Sylfaen"/>
          <w:sz w:val="24"/>
          <w:szCs w:val="24"/>
        </w:rPr>
        <w:t> </w:t>
      </w:r>
      <w:r w:rsidRPr="00834D52">
        <w:rPr>
          <w:rFonts w:ascii="Sylfaen" w:hAnsi="Sylfaen"/>
          <w:sz w:val="24"/>
          <w:szCs w:val="24"/>
        </w:rPr>
        <w:t>159-րդ կետի երկրորդից իններորդ պարբերություններում նշված պահանջները չկատարելու դեպքում,</w:t>
      </w:r>
    </w:p>
    <w:p w14:paraId="7F508430" w14:textId="77777777" w:rsidR="006F76EB" w:rsidRPr="00834D52" w:rsidRDefault="006F76EB" w:rsidP="00CB78D1">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տեսչական ստուգումների ժամանակ բացահայտված, գրանցման դոսյեում հայտագրված՝ արտադրության </w:t>
      </w:r>
      <w:r w:rsidR="00C54D75">
        <w:rPr>
          <w:rFonts w:ascii="Sylfaen" w:hAnsi="Sylfaen"/>
          <w:sz w:val="24"/>
          <w:szCs w:val="24"/>
        </w:rPr>
        <w:t>և</w:t>
      </w:r>
      <w:r w:rsidRPr="00834D52">
        <w:rPr>
          <w:rFonts w:ascii="Sylfaen" w:hAnsi="Sylfaen"/>
          <w:sz w:val="24"/>
          <w:szCs w:val="24"/>
        </w:rPr>
        <w:t xml:space="preserve"> հսկողության մեթոդների անհամապատասխանությունները գրանցման հավաստագրի իրավատիրոջ կողմից սահմանված ժամկետում չվերացնելու մասին լիազորված մարմնի (փորձագիտական կազմակերպության) կողմից եզրակացության ներկայացման դեպքում:</w:t>
      </w:r>
    </w:p>
    <w:p w14:paraId="4EEC3380" w14:textId="77777777" w:rsidR="006F76EB" w:rsidRPr="00834D52" w:rsidRDefault="006F76EB" w:rsidP="0000325C">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161.</w:t>
      </w:r>
      <w:r w:rsidRPr="00834D52">
        <w:rPr>
          <w:rFonts w:ascii="Sylfaen" w:hAnsi="Sylfaen"/>
          <w:sz w:val="24"/>
          <w:szCs w:val="24"/>
        </w:rPr>
        <w:tab/>
        <w:t xml:space="preserve">Անդամ պետությունների լիազորված մարմինները սույն Կանոնների 159-րդ </w:t>
      </w:r>
      <w:r w:rsidR="00C54D75">
        <w:rPr>
          <w:rFonts w:ascii="Sylfaen" w:hAnsi="Sylfaen"/>
          <w:sz w:val="24"/>
          <w:szCs w:val="24"/>
        </w:rPr>
        <w:t>և</w:t>
      </w:r>
      <w:r w:rsidRPr="00834D52">
        <w:rPr>
          <w:rFonts w:ascii="Sylfaen" w:hAnsi="Sylfaen"/>
          <w:sz w:val="24"/>
          <w:szCs w:val="24"/>
        </w:rPr>
        <w:t xml:space="preserve"> 160-րդ կետերում նշված դեպքերում համապատասխան միջոցներ (գործողություններ) են ձեռնարկում՝ դեղապատրաստուկի մատակարարումը դադարեցնելու </w:t>
      </w:r>
      <w:r w:rsidR="00C54D75">
        <w:rPr>
          <w:rFonts w:ascii="Sylfaen" w:hAnsi="Sylfaen"/>
          <w:sz w:val="24"/>
          <w:szCs w:val="24"/>
        </w:rPr>
        <w:t>և</w:t>
      </w:r>
      <w:r w:rsidRPr="00834D52">
        <w:rPr>
          <w:rFonts w:ascii="Sylfaen" w:hAnsi="Sylfaen"/>
          <w:sz w:val="24"/>
          <w:szCs w:val="24"/>
        </w:rPr>
        <w:t xml:space="preserve"> դեղապատրաստուկը շրջանառությունից հանելու համար:</w:t>
      </w:r>
    </w:p>
    <w:p w14:paraId="56809E53" w14:textId="77777777" w:rsidR="006F76EB" w:rsidRPr="00955C1D" w:rsidRDefault="006F76EB" w:rsidP="0000325C">
      <w:pPr>
        <w:tabs>
          <w:tab w:val="left" w:pos="1134"/>
        </w:tabs>
        <w:spacing w:after="160" w:line="336" w:lineRule="auto"/>
        <w:ind w:right="-6" w:firstLine="567"/>
        <w:jc w:val="both"/>
        <w:rPr>
          <w:rFonts w:ascii="Sylfaen" w:hAnsi="Sylfaen"/>
          <w:sz w:val="24"/>
          <w:szCs w:val="24"/>
        </w:rPr>
      </w:pPr>
      <w:r w:rsidRPr="00834D52">
        <w:rPr>
          <w:rFonts w:ascii="Sylfaen" w:hAnsi="Sylfaen"/>
          <w:sz w:val="24"/>
          <w:szCs w:val="24"/>
        </w:rPr>
        <w:t>162.</w:t>
      </w:r>
      <w:r w:rsidRPr="00834D52">
        <w:rPr>
          <w:rFonts w:ascii="Sylfaen" w:hAnsi="Sylfaen"/>
          <w:sz w:val="24"/>
          <w:szCs w:val="24"/>
        </w:rPr>
        <w:tab/>
        <w:t>Բացառիկ դեպքերում՝ սահմանափակ ժամանակի ընթացքում, լիազորված մարմինը կարող է թույլատրել այն դեղապատրաստուկի շրջանառությունը, որի բացթողումն արգելված է, կամ որը հետ էր կանչվել շուկայից՝ բացառապես դրա հսկվող կիրառության համար այն պացիենտների կողմից, ովքեր օգտագործել են տվյալ դեղապատրաստուկը կենսական ցուցումներով:</w:t>
      </w:r>
    </w:p>
    <w:p w14:paraId="1F46B46A" w14:textId="77777777" w:rsidR="00A258AD" w:rsidRPr="00955C1D" w:rsidRDefault="00A258AD" w:rsidP="00A258AD">
      <w:pPr>
        <w:tabs>
          <w:tab w:val="left" w:pos="1701"/>
        </w:tabs>
        <w:spacing w:after="160" w:line="360" w:lineRule="auto"/>
        <w:ind w:right="-6" w:firstLine="567"/>
        <w:jc w:val="both"/>
        <w:rPr>
          <w:rFonts w:ascii="Sylfaen" w:hAnsi="Sylfaen"/>
          <w:sz w:val="24"/>
          <w:szCs w:val="24"/>
        </w:rPr>
      </w:pPr>
    </w:p>
    <w:p w14:paraId="76840D50" w14:textId="77777777" w:rsidR="006F76EB" w:rsidRPr="00834D52" w:rsidRDefault="006F76EB" w:rsidP="00CB78D1">
      <w:pPr>
        <w:spacing w:after="160" w:line="336" w:lineRule="auto"/>
        <w:ind w:left="567" w:right="565"/>
        <w:jc w:val="center"/>
        <w:rPr>
          <w:rFonts w:ascii="Sylfaen" w:eastAsia="Times New Roman" w:hAnsi="Sylfaen" w:cs="Times New Roman"/>
          <w:sz w:val="24"/>
          <w:szCs w:val="24"/>
        </w:rPr>
      </w:pPr>
      <w:r w:rsidRPr="00834D52">
        <w:rPr>
          <w:rFonts w:ascii="Sylfaen" w:hAnsi="Sylfaen"/>
          <w:sz w:val="24"/>
          <w:szCs w:val="24"/>
        </w:rPr>
        <w:t>XI. Անդամ պետություններում դեղապատրաստուկների շրջանառության պայմանները</w:t>
      </w:r>
    </w:p>
    <w:p w14:paraId="42FFA8DA" w14:textId="77777777" w:rsidR="006F76EB" w:rsidRPr="00834D52" w:rsidRDefault="006F76EB" w:rsidP="00286B6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163.</w:t>
      </w:r>
      <w:r w:rsidRPr="00834D52">
        <w:rPr>
          <w:rFonts w:ascii="Sylfaen" w:hAnsi="Sylfaen"/>
          <w:sz w:val="24"/>
          <w:szCs w:val="24"/>
        </w:rPr>
        <w:tab/>
        <w:t xml:space="preserve">Սույն Կանոններին համապատասխան գրանցում անցած </w:t>
      </w:r>
      <w:r w:rsidR="00C54D75">
        <w:rPr>
          <w:rFonts w:ascii="Sylfaen" w:hAnsi="Sylfaen"/>
          <w:sz w:val="24"/>
          <w:szCs w:val="24"/>
        </w:rPr>
        <w:t>և</w:t>
      </w:r>
      <w:r w:rsidRPr="00834D52">
        <w:rPr>
          <w:rFonts w:ascii="Sylfaen" w:hAnsi="Sylfaen"/>
          <w:sz w:val="24"/>
          <w:szCs w:val="24"/>
        </w:rPr>
        <w:t xml:space="preserve"> միասնական ռեեստրում ընդգրկված դեղապատրաստուկներն իրացվում են Միության շրջանակներում այն անդամ պետությունների սահմաններում, որոնցում դրանք գրանցված են:</w:t>
      </w:r>
    </w:p>
    <w:p w14:paraId="64FD9786" w14:textId="77777777" w:rsidR="006F76EB" w:rsidRPr="00834D52" w:rsidRDefault="006F76EB" w:rsidP="00286B6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164.</w:t>
      </w:r>
      <w:r w:rsidRPr="00834D52">
        <w:rPr>
          <w:rFonts w:ascii="Sylfaen" w:hAnsi="Sylfaen"/>
          <w:sz w:val="24"/>
          <w:szCs w:val="24"/>
        </w:rPr>
        <w:tab/>
        <w:t xml:space="preserve">Անդամ պետություններում գրանցված </w:t>
      </w:r>
      <w:r w:rsidR="00C54D75">
        <w:rPr>
          <w:rFonts w:ascii="Sylfaen" w:hAnsi="Sylfaen"/>
          <w:sz w:val="24"/>
          <w:szCs w:val="24"/>
        </w:rPr>
        <w:t>և</w:t>
      </w:r>
      <w:r w:rsidRPr="00834D52">
        <w:rPr>
          <w:rFonts w:ascii="Sylfaen" w:hAnsi="Sylfaen"/>
          <w:sz w:val="24"/>
          <w:szCs w:val="24"/>
        </w:rPr>
        <w:t xml:space="preserve"> Միության պահանջներին չհամապատասխանեցված դեղապատրաստուկներն այդ անդամ պետության տարածքում իրացվում են 2025 թվականի դեկտեմբերի 31-ից հետո՝ մինչ</w:t>
      </w:r>
      <w:r w:rsidR="00C54D75">
        <w:rPr>
          <w:rFonts w:ascii="Sylfaen" w:hAnsi="Sylfaen"/>
          <w:sz w:val="24"/>
          <w:szCs w:val="24"/>
        </w:rPr>
        <w:t>և</w:t>
      </w:r>
      <w:r w:rsidRPr="00834D52">
        <w:rPr>
          <w:rFonts w:ascii="Sylfaen" w:hAnsi="Sylfaen"/>
          <w:sz w:val="24"/>
          <w:szCs w:val="24"/>
        </w:rPr>
        <w:t xml:space="preserve"> դրանց պիտանիության ժամկետի ավարտը:</w:t>
      </w:r>
    </w:p>
    <w:p w14:paraId="6FAAD1D5" w14:textId="77777777" w:rsidR="006F76EB" w:rsidRPr="00834D52" w:rsidRDefault="006F76EB" w:rsidP="00286B62">
      <w:pPr>
        <w:tabs>
          <w:tab w:val="left" w:pos="1134"/>
        </w:tabs>
        <w:spacing w:after="160" w:line="336" w:lineRule="auto"/>
        <w:ind w:right="-8" w:firstLine="567"/>
        <w:jc w:val="both"/>
        <w:rPr>
          <w:rFonts w:ascii="Sylfaen" w:hAnsi="Sylfaen"/>
          <w:sz w:val="24"/>
          <w:szCs w:val="24"/>
        </w:rPr>
      </w:pPr>
      <w:r w:rsidRPr="00834D52">
        <w:rPr>
          <w:rFonts w:ascii="Sylfaen" w:hAnsi="Sylfaen"/>
          <w:sz w:val="24"/>
          <w:szCs w:val="24"/>
        </w:rPr>
        <w:t>165.</w:t>
      </w:r>
      <w:r w:rsidRPr="00834D52">
        <w:rPr>
          <w:rFonts w:ascii="Sylfaen" w:hAnsi="Sylfaen"/>
          <w:sz w:val="24"/>
          <w:szCs w:val="24"/>
        </w:rPr>
        <w:tab/>
        <w:t>Անդամ պետություններում թույլատրվում է գրանցման հավաստագրերի գործողության ժամկետը լրացած դեղապատրաստուկների իրացումը՝ մինչ</w:t>
      </w:r>
      <w:r w:rsidR="00C54D75">
        <w:rPr>
          <w:rFonts w:ascii="Sylfaen" w:hAnsi="Sylfaen"/>
          <w:sz w:val="24"/>
          <w:szCs w:val="24"/>
        </w:rPr>
        <w:t>և</w:t>
      </w:r>
      <w:r w:rsidRPr="00834D52">
        <w:rPr>
          <w:rFonts w:ascii="Sylfaen" w:hAnsi="Sylfaen"/>
          <w:sz w:val="24"/>
          <w:szCs w:val="24"/>
        </w:rPr>
        <w:t xml:space="preserve"> այդ դեղապատրաստուկների պիտանիության ժամկետի ավարտը, եթե դրանք արտադրվել են նախքան գրանցման հավաստագրի գործողության ժամկետի ավարտը:</w:t>
      </w:r>
    </w:p>
    <w:p w14:paraId="0740D6A3" w14:textId="77777777" w:rsidR="006F76EB" w:rsidRPr="00834D52" w:rsidRDefault="006F76EB" w:rsidP="00F9615B">
      <w:pPr>
        <w:tabs>
          <w:tab w:val="left" w:pos="1134"/>
        </w:tabs>
        <w:spacing w:after="160" w:line="360" w:lineRule="auto"/>
        <w:ind w:right="-8" w:firstLine="567"/>
        <w:jc w:val="center"/>
        <w:rPr>
          <w:rFonts w:ascii="Sylfaen" w:eastAsia="Times New Roman" w:hAnsi="Sylfaen" w:cs="Times New Roman"/>
          <w:sz w:val="24"/>
          <w:szCs w:val="24"/>
        </w:rPr>
      </w:pPr>
    </w:p>
    <w:p w14:paraId="5D76E13D" w14:textId="77777777" w:rsidR="006F76EB" w:rsidRPr="00834D52" w:rsidRDefault="006F76EB" w:rsidP="00CB78D1">
      <w:pPr>
        <w:spacing w:after="160" w:line="336" w:lineRule="auto"/>
        <w:ind w:left="567" w:right="565"/>
        <w:jc w:val="center"/>
        <w:rPr>
          <w:rFonts w:ascii="Sylfaen" w:eastAsia="Times New Roman" w:hAnsi="Sylfaen" w:cs="Times New Roman"/>
          <w:sz w:val="24"/>
          <w:szCs w:val="24"/>
        </w:rPr>
      </w:pPr>
      <w:r w:rsidRPr="00834D52">
        <w:rPr>
          <w:rFonts w:ascii="Sylfaen" w:hAnsi="Sylfaen"/>
          <w:sz w:val="24"/>
          <w:szCs w:val="24"/>
        </w:rPr>
        <w:t>XII. Գրանցման հավաստագրերի իրավատերերի պարտականությունները</w:t>
      </w:r>
    </w:p>
    <w:p w14:paraId="34ABB994" w14:textId="77777777" w:rsidR="006F76EB" w:rsidRPr="00834D52" w:rsidRDefault="006F76EB" w:rsidP="00286B6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16</w:t>
      </w:r>
      <w:r w:rsidR="00E90FAF" w:rsidRPr="00E90FAF">
        <w:rPr>
          <w:rFonts w:ascii="Sylfaen" w:hAnsi="Sylfaen"/>
          <w:sz w:val="24"/>
          <w:szCs w:val="24"/>
        </w:rPr>
        <w:t>6</w:t>
      </w:r>
      <w:r w:rsidRPr="00834D52">
        <w:rPr>
          <w:rFonts w:ascii="Sylfaen" w:hAnsi="Sylfaen"/>
          <w:sz w:val="24"/>
          <w:szCs w:val="24"/>
        </w:rPr>
        <w:t>.</w:t>
      </w:r>
      <w:r w:rsidRPr="00834D52">
        <w:rPr>
          <w:rFonts w:ascii="Sylfaen" w:hAnsi="Sylfaen"/>
          <w:sz w:val="24"/>
          <w:szCs w:val="24"/>
        </w:rPr>
        <w:tab/>
        <w:t>Գրանցման հավաստագրի իրավատերը պետք է օպերատիվ կերպով ներկայացնի ամբողջական տեղեկատվություն՝ ըստ ցանկացած այն անդամ պետության լիազորված մարմնի հարցման, որտեղ գրանցված է դեղապատրաստուկը:</w:t>
      </w:r>
    </w:p>
    <w:p w14:paraId="3AFB2321" w14:textId="77777777" w:rsidR="006F76EB" w:rsidRPr="00834D52" w:rsidRDefault="006F76EB" w:rsidP="00286B6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16</w:t>
      </w:r>
      <w:r w:rsidR="00E90FAF" w:rsidRPr="00E90FAF">
        <w:rPr>
          <w:rFonts w:ascii="Sylfaen" w:hAnsi="Sylfaen"/>
          <w:sz w:val="24"/>
          <w:szCs w:val="24"/>
        </w:rPr>
        <w:t>7</w:t>
      </w:r>
      <w:r w:rsidRPr="00834D52">
        <w:rPr>
          <w:rFonts w:ascii="Sylfaen" w:hAnsi="Sylfaen"/>
          <w:sz w:val="24"/>
          <w:szCs w:val="24"/>
        </w:rPr>
        <w:t>.</w:t>
      </w:r>
      <w:r w:rsidRPr="00834D52">
        <w:rPr>
          <w:rFonts w:ascii="Sylfaen" w:hAnsi="Sylfaen"/>
          <w:sz w:val="24"/>
          <w:szCs w:val="24"/>
        </w:rPr>
        <w:tab/>
        <w:t>Գրանցման հավաստագրի իրավատերը Միության շուկայում դեղապատրաստուկի արտադրման պլանավորվող դադարեցման կամ իրացման մասին, նշելով պատճառները, պետք է տեղեկացնի անդամ պետության լիազորված մարմնին ոչ ուշ, քան արտադրության կամ իրացման այդպիսի դադարեցումից 60</w:t>
      </w:r>
      <w:r w:rsidR="008057F1" w:rsidRPr="008057F1">
        <w:rPr>
          <w:rFonts w:ascii="Sylfaen" w:hAnsi="Sylfaen"/>
          <w:sz w:val="24"/>
          <w:szCs w:val="24"/>
        </w:rPr>
        <w:t> </w:t>
      </w:r>
      <w:r w:rsidRPr="00834D52">
        <w:rPr>
          <w:rFonts w:ascii="Sylfaen" w:hAnsi="Sylfaen"/>
          <w:sz w:val="24"/>
          <w:szCs w:val="24"/>
        </w:rPr>
        <w:t>օրացուցային օր առաջ:</w:t>
      </w:r>
    </w:p>
    <w:p w14:paraId="4F7F83F3" w14:textId="77777777" w:rsidR="006F76EB" w:rsidRPr="00834D52" w:rsidRDefault="006F76EB" w:rsidP="00286B6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16</w:t>
      </w:r>
      <w:r w:rsidR="00E90FAF" w:rsidRPr="00E90FAF">
        <w:rPr>
          <w:rFonts w:ascii="Sylfaen" w:hAnsi="Sylfaen"/>
          <w:sz w:val="24"/>
          <w:szCs w:val="24"/>
        </w:rPr>
        <w:t>8</w:t>
      </w:r>
      <w:r w:rsidRPr="00834D52">
        <w:rPr>
          <w:rFonts w:ascii="Sylfaen" w:hAnsi="Sylfaen"/>
          <w:sz w:val="24"/>
          <w:szCs w:val="24"/>
        </w:rPr>
        <w:t>.</w:t>
      </w:r>
      <w:r w:rsidRPr="00834D52">
        <w:rPr>
          <w:rFonts w:ascii="Sylfaen" w:hAnsi="Sylfaen"/>
          <w:sz w:val="24"/>
          <w:szCs w:val="24"/>
        </w:rPr>
        <w:tab/>
        <w:t xml:space="preserve">Ռեֆերենտ պետությունում կամ ճանաչման պետությունում գրանցման հավաստագրի իրավատիրոջ փոփոխության դեպքում գրանցման հավաստագրի նոր իրավատերը պետք է ներկայացնի այդպիսի փոփոխության (տրանսֆերի) փաստաթղթային հիմնավորումը </w:t>
      </w:r>
      <w:r w:rsidR="00C54D75">
        <w:rPr>
          <w:rFonts w:ascii="Sylfaen" w:hAnsi="Sylfaen"/>
          <w:sz w:val="24"/>
          <w:szCs w:val="24"/>
        </w:rPr>
        <w:t>և</w:t>
      </w:r>
      <w:r w:rsidRPr="00834D52">
        <w:rPr>
          <w:rFonts w:ascii="Sylfaen" w:hAnsi="Sylfaen"/>
          <w:sz w:val="24"/>
          <w:szCs w:val="24"/>
        </w:rPr>
        <w:t xml:space="preserve"> այլ անդամ պետությունների գրանցման հավաստագրի իրավատերերի հետ փոխգործակցության իրականացման հնարավորության հաստատումը, որով ապահովվում է գրանցման հավաստագրի իրավատիրոջ բոլոր պարտականությունների՝ իր կողմից պատշաճ կատարումը:</w:t>
      </w:r>
    </w:p>
    <w:p w14:paraId="69F5EEBF" w14:textId="77777777" w:rsidR="006F76EB" w:rsidRPr="00834D52" w:rsidRDefault="006F76EB" w:rsidP="00286B6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1</w:t>
      </w:r>
      <w:r w:rsidR="00E90FAF" w:rsidRPr="00E90FAF">
        <w:rPr>
          <w:rFonts w:ascii="Sylfaen" w:hAnsi="Sylfaen"/>
          <w:sz w:val="24"/>
          <w:szCs w:val="24"/>
        </w:rPr>
        <w:t>69</w:t>
      </w:r>
      <w:r w:rsidRPr="00834D52">
        <w:rPr>
          <w:rFonts w:ascii="Sylfaen" w:hAnsi="Sylfaen"/>
          <w:sz w:val="24"/>
          <w:szCs w:val="24"/>
        </w:rPr>
        <w:t>.</w:t>
      </w:r>
      <w:r w:rsidRPr="00834D52">
        <w:rPr>
          <w:rFonts w:ascii="Sylfaen" w:hAnsi="Sylfaen"/>
          <w:sz w:val="24"/>
          <w:szCs w:val="24"/>
        </w:rPr>
        <w:tab/>
        <w:t>Անսահմանափակ ժամկետով տրված դեղապատրաստուկի գրանցման հավաստագրի գործողության ժամանակահատվածում, դեղազգոնության հիման վրա, իրականացվում է օգուտ-ռիսկ հարաբերակցության պարբերական գնահատում:</w:t>
      </w:r>
    </w:p>
    <w:p w14:paraId="1AD4FDB1" w14:textId="77777777" w:rsidR="006F76EB" w:rsidRPr="00834D52" w:rsidRDefault="006F76EB" w:rsidP="00CB78D1">
      <w:pPr>
        <w:spacing w:after="160" w:line="336" w:lineRule="auto"/>
        <w:ind w:right="-6"/>
        <w:rPr>
          <w:rFonts w:ascii="Sylfaen" w:hAnsi="Sylfaen"/>
          <w:sz w:val="24"/>
          <w:szCs w:val="24"/>
        </w:rPr>
      </w:pPr>
    </w:p>
    <w:p w14:paraId="78151CC7" w14:textId="77777777" w:rsidR="006F76EB" w:rsidRPr="00834D52" w:rsidRDefault="006F76EB" w:rsidP="00CB78D1">
      <w:pPr>
        <w:spacing w:after="160" w:line="336"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XIII. Միության պահանջներին այն դեղապատրաստուկի գրանցման դոսյեն համապատասխանեցնելու ընթացակարգը, որը գրանցվել է նախքան Եվրասիական տնտեսական միության շրջանակներում դեղամիջոցների շրջանառության միասնական սկզբունքների </w:t>
      </w:r>
      <w:r w:rsidR="00C54D75">
        <w:rPr>
          <w:rFonts w:ascii="Sylfaen" w:hAnsi="Sylfaen"/>
          <w:sz w:val="24"/>
          <w:szCs w:val="24"/>
        </w:rPr>
        <w:t>և</w:t>
      </w:r>
      <w:r w:rsidRPr="00834D52">
        <w:rPr>
          <w:rFonts w:ascii="Sylfaen" w:hAnsi="Sylfaen"/>
          <w:sz w:val="24"/>
          <w:szCs w:val="24"/>
        </w:rPr>
        <w:t xml:space="preserve"> կանոնների մասին 2014 թվականի դեկտեմբերի 23-ի համաձայնագիրն ուժի մեջ մտնելը </w:t>
      </w:r>
      <w:r w:rsidR="00C54D75">
        <w:rPr>
          <w:rFonts w:ascii="Sylfaen" w:hAnsi="Sylfaen"/>
          <w:sz w:val="24"/>
          <w:szCs w:val="24"/>
        </w:rPr>
        <w:t>և</w:t>
      </w:r>
      <w:r w:rsidRPr="00834D52">
        <w:rPr>
          <w:rFonts w:ascii="Sylfaen" w:hAnsi="Sylfaen"/>
          <w:sz w:val="24"/>
          <w:szCs w:val="24"/>
        </w:rPr>
        <w:t xml:space="preserve"> մինչ</w:t>
      </w:r>
      <w:r w:rsidR="00C54D75">
        <w:rPr>
          <w:rFonts w:ascii="Sylfaen" w:hAnsi="Sylfaen"/>
          <w:sz w:val="24"/>
          <w:szCs w:val="24"/>
        </w:rPr>
        <w:t>և</w:t>
      </w:r>
      <w:r w:rsidRPr="00834D52">
        <w:rPr>
          <w:rFonts w:ascii="Sylfaen" w:hAnsi="Sylfaen"/>
          <w:sz w:val="24"/>
          <w:szCs w:val="24"/>
        </w:rPr>
        <w:t xml:space="preserve"> 2020 թվականի դեկտեմբերի 31-ն ընկած ժամանակահատվածում</w:t>
      </w:r>
    </w:p>
    <w:p w14:paraId="5CFE084F" w14:textId="77777777" w:rsidR="006F76EB" w:rsidRPr="00834D52" w:rsidRDefault="006F76EB" w:rsidP="00286B6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17</w:t>
      </w:r>
      <w:r w:rsidR="00E90FAF" w:rsidRPr="00E90FAF">
        <w:rPr>
          <w:rFonts w:ascii="Sylfaen" w:hAnsi="Sylfaen"/>
          <w:sz w:val="24"/>
          <w:szCs w:val="24"/>
        </w:rPr>
        <w:t>0</w:t>
      </w:r>
      <w:r w:rsidRPr="00834D52">
        <w:rPr>
          <w:rFonts w:ascii="Sylfaen" w:hAnsi="Sylfaen"/>
          <w:sz w:val="24"/>
          <w:szCs w:val="24"/>
        </w:rPr>
        <w:t>.</w:t>
      </w:r>
      <w:r w:rsidRPr="00834D52">
        <w:rPr>
          <w:rFonts w:ascii="Sylfaen" w:hAnsi="Sylfaen"/>
          <w:sz w:val="24"/>
          <w:szCs w:val="24"/>
        </w:rPr>
        <w:tab/>
        <w:t>Դեղապատրաստուկների գրանցման այն դոսյեները, որոնք գրանցվել են անդամ պետություններում նախքան Համաձայնագիրն ուժի մեջ մտնելը կամ մինչ</w:t>
      </w:r>
      <w:r w:rsidR="00C54D75">
        <w:rPr>
          <w:rFonts w:ascii="Sylfaen" w:hAnsi="Sylfaen"/>
          <w:sz w:val="24"/>
          <w:szCs w:val="24"/>
        </w:rPr>
        <w:t>և</w:t>
      </w:r>
      <w:r w:rsidRPr="00834D52">
        <w:rPr>
          <w:rFonts w:ascii="Sylfaen" w:hAnsi="Sylfaen"/>
          <w:sz w:val="24"/>
          <w:szCs w:val="24"/>
        </w:rPr>
        <w:t xml:space="preserve"> 2020 թվականի դեկտեմբերի 31-ը՝ ըստ ազգային պահանջների, պետք է մինչ</w:t>
      </w:r>
      <w:r w:rsidR="00C54D75">
        <w:rPr>
          <w:rFonts w:ascii="Sylfaen" w:hAnsi="Sylfaen"/>
          <w:sz w:val="24"/>
          <w:szCs w:val="24"/>
        </w:rPr>
        <w:t>և</w:t>
      </w:r>
      <w:r w:rsidRPr="00834D52">
        <w:rPr>
          <w:rFonts w:ascii="Sylfaen" w:hAnsi="Sylfaen"/>
          <w:sz w:val="24"/>
          <w:szCs w:val="24"/>
        </w:rPr>
        <w:t xml:space="preserve"> 2025 թվականի դեկտեմբերի 31-ը համապատասխանեցվեն Միության պահանջներին՝ սույն ընթացակարգին համապատասխան:</w:t>
      </w:r>
    </w:p>
    <w:p w14:paraId="1891AF05" w14:textId="77777777" w:rsidR="006F76EB" w:rsidRPr="00834D52" w:rsidRDefault="006F76EB" w:rsidP="00286B6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w:t>
      </w:r>
      <w:r w:rsidR="00E90FAF" w:rsidRPr="00E90FAF">
        <w:rPr>
          <w:rFonts w:ascii="Sylfaen" w:hAnsi="Sylfaen"/>
          <w:sz w:val="24"/>
          <w:szCs w:val="24"/>
        </w:rPr>
        <w:t>1</w:t>
      </w:r>
      <w:r w:rsidRPr="00834D52">
        <w:rPr>
          <w:rFonts w:ascii="Sylfaen" w:hAnsi="Sylfaen"/>
          <w:sz w:val="24"/>
          <w:szCs w:val="24"/>
        </w:rPr>
        <w:t>.</w:t>
      </w:r>
      <w:r w:rsidRPr="00834D52">
        <w:rPr>
          <w:rFonts w:ascii="Sylfaen" w:hAnsi="Sylfaen"/>
          <w:sz w:val="24"/>
          <w:szCs w:val="24"/>
        </w:rPr>
        <w:tab/>
        <w:t>Գրանցման դոսյեի համապատասխանեցումը Միության պահանջներին ներառում է գրանցված դեղապատրաստուկի գրանցման դոսյեի փաստաթղթեր ներկայացնելն ընդհանուր տեխնիկական փաստաթղթի ձ</w:t>
      </w:r>
      <w:r w:rsidR="00C54D75">
        <w:rPr>
          <w:rFonts w:ascii="Sylfaen" w:hAnsi="Sylfaen"/>
          <w:sz w:val="24"/>
          <w:szCs w:val="24"/>
        </w:rPr>
        <w:t>և</w:t>
      </w:r>
      <w:r w:rsidRPr="00834D52">
        <w:rPr>
          <w:rFonts w:ascii="Sylfaen" w:hAnsi="Sylfaen"/>
          <w:sz w:val="24"/>
          <w:szCs w:val="24"/>
        </w:rPr>
        <w:t xml:space="preserve">աչափով՝ սույն Կանոնների </w:t>
      </w:r>
      <w:r w:rsidR="009C5D43">
        <w:rPr>
          <w:rFonts w:ascii="Sylfaen" w:hAnsi="Sylfaen"/>
          <w:sz w:val="24"/>
          <w:szCs w:val="24"/>
        </w:rPr>
        <w:t xml:space="preserve">թիվ </w:t>
      </w:r>
      <w:r w:rsidRPr="00834D52">
        <w:rPr>
          <w:rFonts w:ascii="Sylfaen" w:hAnsi="Sylfaen"/>
          <w:sz w:val="24"/>
          <w:szCs w:val="24"/>
        </w:rPr>
        <w:t>1 հավելվածին համապատասխան:</w:t>
      </w:r>
    </w:p>
    <w:p w14:paraId="27F41102" w14:textId="77777777" w:rsidR="006F76EB" w:rsidRPr="00834D52" w:rsidRDefault="006F76EB" w:rsidP="000414E7">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Միության պահանջներին համապատասխանեցման ընթացակարգը նախաձեռնելիս հայտատուն ներկայացնում է գրավոր հաստատում, որ ներկայացված թարմացված գրանցման դոսյեում պարունակվող ընդհանուր տեխնիկական փաստաթղթի ձ</w:t>
      </w:r>
      <w:r w:rsidR="00C54D75">
        <w:rPr>
          <w:rFonts w:ascii="Sylfaen" w:hAnsi="Sylfaen"/>
          <w:spacing w:val="-4"/>
          <w:sz w:val="24"/>
          <w:szCs w:val="24"/>
        </w:rPr>
        <w:t>և</w:t>
      </w:r>
      <w:r w:rsidRPr="00834D52">
        <w:rPr>
          <w:rFonts w:ascii="Sylfaen" w:hAnsi="Sylfaen"/>
          <w:spacing w:val="-4"/>
          <w:sz w:val="24"/>
          <w:szCs w:val="24"/>
        </w:rPr>
        <w:t xml:space="preserve">աչափով փաստաթղթերը </w:t>
      </w:r>
      <w:r w:rsidR="00C54D75">
        <w:rPr>
          <w:rFonts w:ascii="Sylfaen" w:hAnsi="Sylfaen"/>
          <w:spacing w:val="-4"/>
          <w:sz w:val="24"/>
          <w:szCs w:val="24"/>
        </w:rPr>
        <w:t>և</w:t>
      </w:r>
      <w:r w:rsidRPr="00834D52">
        <w:rPr>
          <w:rFonts w:ascii="Sylfaen" w:hAnsi="Sylfaen"/>
          <w:spacing w:val="-4"/>
          <w:sz w:val="24"/>
          <w:szCs w:val="24"/>
        </w:rPr>
        <w:t xml:space="preserve"> տվյալներն ըստ բովանդակության նույնական են գրանցված դեղապատրաստուկի գրանցման դոսյեի տվյալներին </w:t>
      </w:r>
      <w:r w:rsidR="00C54D75">
        <w:rPr>
          <w:rFonts w:ascii="Sylfaen" w:hAnsi="Sylfaen"/>
          <w:spacing w:val="-4"/>
          <w:sz w:val="24"/>
          <w:szCs w:val="24"/>
        </w:rPr>
        <w:t>և</w:t>
      </w:r>
      <w:r w:rsidRPr="00834D52">
        <w:rPr>
          <w:rFonts w:ascii="Sylfaen" w:hAnsi="Sylfaen"/>
          <w:spacing w:val="-4"/>
          <w:sz w:val="24"/>
          <w:szCs w:val="24"/>
        </w:rPr>
        <w:t xml:space="preserve"> չեն պարունակում գրանցման դոսյեի այնպիսի փոփոխություններ, որոնք ազդում են դեղապատրաստուկի որակի, արդյունավետության, անվտանգության կամ օգուտ-ռիսկ հարաբերակցության վրա:</w:t>
      </w:r>
    </w:p>
    <w:p w14:paraId="593D4A6C" w14:textId="77777777" w:rsidR="006F76EB" w:rsidRPr="00834D52" w:rsidRDefault="00E90FAF" w:rsidP="004544B0">
      <w:pPr>
        <w:tabs>
          <w:tab w:val="left" w:pos="1134"/>
        </w:tabs>
        <w:spacing w:after="160" w:line="372" w:lineRule="auto"/>
        <w:ind w:right="-6" w:firstLine="567"/>
        <w:jc w:val="both"/>
        <w:rPr>
          <w:rFonts w:ascii="Sylfaen" w:eastAsia="Times New Roman" w:hAnsi="Sylfaen" w:cs="Times New Roman"/>
          <w:spacing w:val="-4"/>
          <w:sz w:val="24"/>
          <w:szCs w:val="24"/>
        </w:rPr>
      </w:pPr>
      <w:r w:rsidRPr="00E90FAF">
        <w:rPr>
          <w:rFonts w:ascii="Sylfaen" w:hAnsi="Sylfaen"/>
          <w:spacing w:val="-4"/>
          <w:sz w:val="24"/>
          <w:szCs w:val="24"/>
        </w:rPr>
        <w:lastRenderedPageBreak/>
        <w:t>172.</w:t>
      </w:r>
      <w:r w:rsidR="004544B0" w:rsidRPr="00A958BD">
        <w:rPr>
          <w:rFonts w:ascii="Sylfaen" w:hAnsi="Sylfaen"/>
          <w:spacing w:val="-4"/>
          <w:sz w:val="24"/>
          <w:szCs w:val="24"/>
        </w:rPr>
        <w:tab/>
      </w:r>
      <w:r w:rsidR="006F76EB" w:rsidRPr="00834D52">
        <w:rPr>
          <w:rFonts w:ascii="Sylfaen" w:hAnsi="Sylfaen"/>
          <w:spacing w:val="-4"/>
          <w:sz w:val="24"/>
          <w:szCs w:val="24"/>
        </w:rPr>
        <w:t xml:space="preserve">Միության պահանջներին համապատասխանեցնելիս հայտատուի կողմից միաժամանակ կարող են փոփոխություններ կատարվել գրանցված դեղապատրաստուկի գրանցման դոսյեում: Այդ դեպքում այդպիսի փոփոխություններ կատարելու ընթացակարգը </w:t>
      </w:r>
      <w:r w:rsidR="00C54D75">
        <w:rPr>
          <w:rFonts w:ascii="Sylfaen" w:hAnsi="Sylfaen"/>
          <w:spacing w:val="-4"/>
          <w:sz w:val="24"/>
          <w:szCs w:val="24"/>
        </w:rPr>
        <w:t>և</w:t>
      </w:r>
      <w:r w:rsidR="006F76EB" w:rsidRPr="00834D52">
        <w:rPr>
          <w:rFonts w:ascii="Sylfaen" w:hAnsi="Sylfaen"/>
          <w:spacing w:val="-4"/>
          <w:sz w:val="24"/>
          <w:szCs w:val="24"/>
        </w:rPr>
        <w:t xml:space="preserve"> Միության իրավունքի մաս կազմող ակտերին դոսյեի համապատասխանության գնահատումն իրականացվում են սույն Կանոնների </w:t>
      </w:r>
      <w:r w:rsidR="00053A74">
        <w:rPr>
          <w:rFonts w:ascii="Sylfaen" w:hAnsi="Sylfaen"/>
          <w:spacing w:val="-4"/>
          <w:sz w:val="24"/>
          <w:szCs w:val="24"/>
        </w:rPr>
        <w:t xml:space="preserve">թիվ </w:t>
      </w:r>
      <w:r w:rsidR="006F76EB" w:rsidRPr="00834D52">
        <w:rPr>
          <w:rFonts w:ascii="Sylfaen" w:hAnsi="Sylfaen"/>
          <w:spacing w:val="-4"/>
          <w:sz w:val="24"/>
          <w:szCs w:val="24"/>
        </w:rPr>
        <w:t xml:space="preserve">19 </w:t>
      </w:r>
      <w:r w:rsidR="00C54D75">
        <w:rPr>
          <w:rFonts w:ascii="Sylfaen" w:hAnsi="Sylfaen"/>
          <w:spacing w:val="-4"/>
          <w:sz w:val="24"/>
          <w:szCs w:val="24"/>
        </w:rPr>
        <w:t>և</w:t>
      </w:r>
      <w:r w:rsidR="006F76EB" w:rsidRPr="00834D52">
        <w:rPr>
          <w:rFonts w:ascii="Sylfaen" w:hAnsi="Sylfaen"/>
          <w:spacing w:val="-4"/>
          <w:sz w:val="24"/>
          <w:szCs w:val="24"/>
        </w:rPr>
        <w:t xml:space="preserve"> 20 հավելվածներին համապատասխան:</w:t>
      </w:r>
    </w:p>
    <w:p w14:paraId="1F5D0321" w14:textId="77777777" w:rsidR="006F76EB" w:rsidRPr="00834D52" w:rsidRDefault="006F76EB" w:rsidP="004544B0">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173.</w:t>
      </w:r>
      <w:r w:rsidRPr="00834D52">
        <w:rPr>
          <w:rFonts w:ascii="Sylfaen" w:hAnsi="Sylfaen"/>
          <w:sz w:val="24"/>
          <w:szCs w:val="24"/>
        </w:rPr>
        <w:tab/>
        <w:t>Միության իրավունքի մաս կազմող ակտերին դեղապատրաստուկի գրանցման դոսյեի համապատասխանեցման ընթացակարգի տ</w:t>
      </w:r>
      <w:r w:rsidR="00C54D75">
        <w:rPr>
          <w:rFonts w:ascii="Sylfaen" w:hAnsi="Sylfaen"/>
          <w:sz w:val="24"/>
          <w:szCs w:val="24"/>
        </w:rPr>
        <w:t>և</w:t>
      </w:r>
      <w:r w:rsidRPr="00834D52">
        <w:rPr>
          <w:rFonts w:ascii="Sylfaen" w:hAnsi="Sylfaen"/>
          <w:sz w:val="24"/>
          <w:szCs w:val="24"/>
        </w:rPr>
        <w:t>ողությունը չի</w:t>
      </w:r>
      <w:r w:rsidR="006E7104" w:rsidRPr="006E7104">
        <w:rPr>
          <w:rFonts w:ascii="Sylfaen" w:hAnsi="Sylfaen"/>
          <w:sz w:val="24"/>
          <w:szCs w:val="24"/>
        </w:rPr>
        <w:t> </w:t>
      </w:r>
      <w:r w:rsidRPr="00834D52">
        <w:rPr>
          <w:rFonts w:ascii="Sylfaen" w:hAnsi="Sylfaen"/>
          <w:sz w:val="24"/>
          <w:szCs w:val="24"/>
        </w:rPr>
        <w:t>գերազանցում Միության իրավունքի մաս կազմող ակտերին գրանցման դոսյեի համապատասխանեցման համապատասխան դիմումը ներկայացնելու ամսաթվից սկսած 100 օրացուցային օրը:</w:t>
      </w:r>
    </w:p>
    <w:p w14:paraId="4E4DC00F" w14:textId="77777777" w:rsidR="006F76EB" w:rsidRPr="00834D52" w:rsidRDefault="006F76EB" w:rsidP="004544B0">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174.</w:t>
      </w:r>
      <w:r w:rsidRPr="00834D52">
        <w:rPr>
          <w:rFonts w:ascii="Sylfaen" w:hAnsi="Sylfaen"/>
          <w:sz w:val="24"/>
          <w:szCs w:val="24"/>
        </w:rPr>
        <w:tab/>
        <w:t>Եթե դեղապատրաստուկը գրանցված է մեկից ավելի անդամ պետություններում՝ նախքան Համաձայնագիրն ուժի մեջ մտնելը կամ մինչ</w:t>
      </w:r>
      <w:r w:rsidR="00C54D75">
        <w:rPr>
          <w:rFonts w:ascii="Sylfaen" w:hAnsi="Sylfaen"/>
          <w:sz w:val="24"/>
          <w:szCs w:val="24"/>
        </w:rPr>
        <w:t>և</w:t>
      </w:r>
      <w:r w:rsidRPr="00834D52">
        <w:rPr>
          <w:rFonts w:ascii="Sylfaen" w:hAnsi="Sylfaen"/>
          <w:sz w:val="24"/>
          <w:szCs w:val="24"/>
        </w:rPr>
        <w:t xml:space="preserve"> 2020 թվականի դեկտեմբերի 31-ը, հայտատուն դրանցից մեկն ընտրում է որպես ռեֆերենտ պետություն, որի լիազորված մարմին (փորձագիտական կազմակերպություն) է ուղարկում դիմումը, փաստաթղթերը </w:t>
      </w:r>
      <w:r w:rsidR="00C54D75">
        <w:rPr>
          <w:rFonts w:ascii="Sylfaen" w:hAnsi="Sylfaen"/>
          <w:sz w:val="24"/>
          <w:szCs w:val="24"/>
        </w:rPr>
        <w:t>և</w:t>
      </w:r>
      <w:r w:rsidRPr="00834D52">
        <w:rPr>
          <w:rFonts w:ascii="Sylfaen" w:hAnsi="Sylfaen"/>
          <w:sz w:val="24"/>
          <w:szCs w:val="24"/>
        </w:rPr>
        <w:t xml:space="preserve"> գրանցման դոսյեի տվյալները՝ սույն Կանոնների 175-րդ կետին համապատասխան: Միության իրավունքի մաս կազմող ակտերին դեղապատրաստուկի գրանցման դոսյեն համապատասխանեցնելու մասին դրական որոշում կայացնելու դեպքում ռեֆերենտ պետության լիազորված մարմնի (փորձագիտական կազմակերպության) կողմից ճանաչման պետություններում դեղապատրաստուկի գրանցման դոսյեն համապատասխանեցնելու ընթացակարգն իրականացվում է ըստ գրանցման փոխադարձ ճանաչման տեսակի՝ սույն Կանոնների 66-82-րդ կետերում նշված ընթացակարգերին համապատասխան:</w:t>
      </w:r>
    </w:p>
    <w:p w14:paraId="17CDECB3" w14:textId="77777777" w:rsidR="006F76EB" w:rsidRPr="00834D52" w:rsidRDefault="006F76EB" w:rsidP="004544B0">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175.</w:t>
      </w:r>
      <w:r w:rsidRPr="00834D52">
        <w:rPr>
          <w:rFonts w:ascii="Sylfaen" w:hAnsi="Sylfaen"/>
          <w:sz w:val="24"/>
          <w:szCs w:val="24"/>
        </w:rPr>
        <w:tab/>
        <w:t xml:space="preserve">Դեղապատրաստուկի գրանցման դոսյեն Միության իրավունքի մաս կազմող ակտերին համապատասխանեցնելու </w:t>
      </w:r>
      <w:r w:rsidR="00C54D75">
        <w:rPr>
          <w:rFonts w:ascii="Sylfaen" w:hAnsi="Sylfaen"/>
          <w:sz w:val="24"/>
          <w:szCs w:val="24"/>
        </w:rPr>
        <w:t>և</w:t>
      </w:r>
      <w:r w:rsidRPr="00834D52">
        <w:rPr>
          <w:rFonts w:ascii="Sylfaen" w:hAnsi="Sylfaen"/>
          <w:sz w:val="24"/>
          <w:szCs w:val="24"/>
        </w:rPr>
        <w:t xml:space="preserve"> այն անդամ պետության տարածքում դեղապատրաստուկի շրջանառությունը շարունակելու համար, </w:t>
      </w:r>
      <w:r w:rsidRPr="00834D52">
        <w:rPr>
          <w:rFonts w:ascii="Sylfaen" w:hAnsi="Sylfaen"/>
          <w:sz w:val="24"/>
          <w:szCs w:val="24"/>
        </w:rPr>
        <w:lastRenderedPageBreak/>
        <w:t>որտեղ այն գրանցված է, հայտատուն հետ</w:t>
      </w:r>
      <w:r w:rsidR="00C54D75">
        <w:rPr>
          <w:rFonts w:ascii="Sylfaen" w:hAnsi="Sylfaen"/>
          <w:sz w:val="24"/>
          <w:szCs w:val="24"/>
        </w:rPr>
        <w:t>և</w:t>
      </w:r>
      <w:r w:rsidRPr="00834D52">
        <w:rPr>
          <w:rFonts w:ascii="Sylfaen" w:hAnsi="Sylfaen"/>
          <w:sz w:val="24"/>
          <w:szCs w:val="24"/>
        </w:rPr>
        <w:t>յալ փաստաթղթերը ներկայացնում է այն ռեֆերենտ պետության լիազորված մարմին (փորձագիտական կազմակերպություն) , որտեղ գրանցված է դեղապատրաստուկը՝</w:t>
      </w:r>
    </w:p>
    <w:p w14:paraId="51FE3C0F" w14:textId="77777777" w:rsidR="006F76EB" w:rsidRPr="00834D52" w:rsidRDefault="006F76EB" w:rsidP="000414E7">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սահմանված ձ</w:t>
      </w:r>
      <w:r w:rsidR="00C54D75">
        <w:rPr>
          <w:rFonts w:ascii="Sylfaen" w:hAnsi="Sylfaen"/>
          <w:sz w:val="24"/>
          <w:szCs w:val="24"/>
        </w:rPr>
        <w:t>և</w:t>
      </w:r>
      <w:r w:rsidRPr="00834D52">
        <w:rPr>
          <w:rFonts w:ascii="Sylfaen" w:hAnsi="Sylfaen"/>
          <w:sz w:val="24"/>
          <w:szCs w:val="24"/>
        </w:rPr>
        <w:t>ով դիմում՝ թղթային</w:t>
      </w:r>
      <w:r w:rsidR="00E90FAF" w:rsidRPr="00E90FAF">
        <w:rPr>
          <w:rFonts w:ascii="Sylfaen" w:hAnsi="Sylfaen"/>
          <w:sz w:val="24"/>
          <w:szCs w:val="24"/>
        </w:rPr>
        <w:t xml:space="preserve"> </w:t>
      </w:r>
      <w:r w:rsidR="002829AF">
        <w:rPr>
          <w:rFonts w:ascii="Sylfaen" w:hAnsi="Sylfaen"/>
          <w:sz w:val="24"/>
          <w:szCs w:val="24"/>
        </w:rPr>
        <w:t>կրիչով</w:t>
      </w:r>
      <w:r w:rsidRPr="00834D52">
        <w:rPr>
          <w:rFonts w:ascii="Sylfaen" w:hAnsi="Sylfaen"/>
          <w:sz w:val="24"/>
          <w:szCs w:val="24"/>
        </w:rPr>
        <w:t xml:space="preserve"> </w:t>
      </w:r>
      <w:r w:rsidR="00C54D75">
        <w:rPr>
          <w:rFonts w:ascii="Sylfaen" w:hAnsi="Sylfaen"/>
          <w:sz w:val="24"/>
          <w:szCs w:val="24"/>
        </w:rPr>
        <w:t>և</w:t>
      </w:r>
      <w:r w:rsidRPr="00834D52">
        <w:rPr>
          <w:rFonts w:ascii="Sylfaen" w:hAnsi="Sylfaen"/>
          <w:sz w:val="24"/>
          <w:szCs w:val="24"/>
        </w:rPr>
        <w:t xml:space="preserve"> (կամ) էլեկտրոնային</w:t>
      </w:r>
      <w:r w:rsidR="002829AF">
        <w:rPr>
          <w:rFonts w:ascii="Sylfaen" w:hAnsi="Sylfaen"/>
          <w:sz w:val="24"/>
          <w:szCs w:val="24"/>
        </w:rPr>
        <w:t xml:space="preserve"> փաստաթղթի տեսքով</w:t>
      </w:r>
      <w:r w:rsidRPr="00834D52">
        <w:rPr>
          <w:rFonts w:ascii="Sylfaen" w:hAnsi="Sylfaen"/>
          <w:sz w:val="24"/>
          <w:szCs w:val="24"/>
        </w:rPr>
        <w:t xml:space="preserve">՝ սույն Կանոնների </w:t>
      </w:r>
      <w:r w:rsidR="00A26AE7">
        <w:rPr>
          <w:rFonts w:ascii="Sylfaen" w:hAnsi="Sylfaen"/>
          <w:sz w:val="24"/>
          <w:szCs w:val="24"/>
        </w:rPr>
        <w:t xml:space="preserve">թիվ </w:t>
      </w:r>
      <w:r w:rsidRPr="00834D52">
        <w:rPr>
          <w:rFonts w:ascii="Sylfaen" w:hAnsi="Sylfaen"/>
          <w:sz w:val="24"/>
          <w:szCs w:val="24"/>
        </w:rPr>
        <w:t>2 հավելվածին համապատասախան.</w:t>
      </w:r>
    </w:p>
    <w:p w14:paraId="2152EBA9" w14:textId="77777777" w:rsidR="006F76EB" w:rsidRPr="00834D52" w:rsidRDefault="006F76EB" w:rsidP="000414E7">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Միության պահանջներին համապատասխանեցնելու համար հավաքագրման (տուրքի) վճարումը հաստատող փաստաթղթերը՝ ռեֆերենտ պետության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w:t>
      </w:r>
    </w:p>
    <w:p w14:paraId="05276E91" w14:textId="77777777" w:rsidR="006F76EB" w:rsidRPr="00834D52" w:rsidRDefault="006F76EB" w:rsidP="000414E7">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դոսյեի 1-3-րդ մոդուլները՝ էլեկտրոնային եղանակով՝ սույն Կանոնների </w:t>
      </w:r>
      <w:r w:rsidR="00053A74">
        <w:rPr>
          <w:rFonts w:ascii="Sylfaen" w:hAnsi="Sylfaen"/>
          <w:sz w:val="24"/>
          <w:szCs w:val="24"/>
        </w:rPr>
        <w:t xml:space="preserve">թիվ </w:t>
      </w:r>
      <w:r w:rsidRPr="00834D52">
        <w:rPr>
          <w:rFonts w:ascii="Sylfaen" w:hAnsi="Sylfaen"/>
          <w:sz w:val="24"/>
          <w:szCs w:val="24"/>
        </w:rPr>
        <w:t xml:space="preserve">1-5 հավելվածներին համապատասխան, </w:t>
      </w:r>
      <w:r w:rsidR="00C54D75">
        <w:rPr>
          <w:rFonts w:ascii="Sylfaen" w:hAnsi="Sylfaen"/>
          <w:sz w:val="24"/>
          <w:szCs w:val="24"/>
        </w:rPr>
        <w:t>և</w:t>
      </w:r>
      <w:r w:rsidRPr="00834D52">
        <w:rPr>
          <w:rFonts w:ascii="Sylfaen" w:hAnsi="Sylfaen"/>
          <w:sz w:val="24"/>
          <w:szCs w:val="24"/>
        </w:rPr>
        <w:t xml:space="preserve"> դեղապատրաստուկի գրանցման դոսյեի 1-ին մոդուլը՝ թղթային կրիչով, եթե դեղապատրաստուկը նախատեսված է այն անդամ պետության տարածքում շրջանառության համար, որտեղ այն գրանցված է:</w:t>
      </w:r>
    </w:p>
    <w:p w14:paraId="54C95EAE" w14:textId="77777777" w:rsidR="006F76EB" w:rsidRPr="00834D52" w:rsidRDefault="006F76EB" w:rsidP="000414E7">
      <w:pPr>
        <w:tabs>
          <w:tab w:val="left" w:pos="1134"/>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Սույն Կանոնների 36-րդ կետին համապատասխան՝ նախքան Համաձայնագիրն ուժի մեջ մտնելն իրականացված 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բոլոր առկա տվյալներն այդ դեպքում ներկայացվում են դեղապատրաստուկի գրանցման դոսյեի 4-5-րդ մոդուլներով՝ համապատասխան հաշվետվությունների տեսքով՝ առանց Միության՝ դեղապատրաստուկի նախակլինիկական (ոչ կլինիկական) հետազոտությունների </w:t>
      </w:r>
      <w:r w:rsidR="00C54D75">
        <w:rPr>
          <w:rFonts w:ascii="Sylfaen" w:hAnsi="Sylfaen"/>
          <w:sz w:val="24"/>
          <w:szCs w:val="24"/>
        </w:rPr>
        <w:t>և</w:t>
      </w:r>
      <w:r w:rsidRPr="00834D52">
        <w:rPr>
          <w:rFonts w:ascii="Sylfaen" w:hAnsi="Sylfaen"/>
          <w:sz w:val="24"/>
          <w:szCs w:val="24"/>
        </w:rPr>
        <w:t xml:space="preserve"> կլինիկական հետազոտությունների (փորձարկումների) մասին հաշվետվությունների ձ</w:t>
      </w:r>
      <w:r w:rsidR="00C54D75">
        <w:rPr>
          <w:rFonts w:ascii="Sylfaen" w:hAnsi="Sylfaen"/>
          <w:sz w:val="24"/>
          <w:szCs w:val="24"/>
        </w:rPr>
        <w:t>և</w:t>
      </w:r>
      <w:r w:rsidRPr="00834D52">
        <w:rPr>
          <w:rFonts w:ascii="Sylfaen" w:hAnsi="Sylfaen"/>
          <w:sz w:val="24"/>
          <w:szCs w:val="24"/>
        </w:rPr>
        <w:t>ակերպմանը ներկայացվող պահանջներին դրանց պարտադիր համապատասխանեցման:</w:t>
      </w:r>
    </w:p>
    <w:p w14:paraId="4C422748" w14:textId="77777777" w:rsidR="006F76EB" w:rsidRPr="00834D52" w:rsidRDefault="006F76EB" w:rsidP="00383CCF">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176.</w:t>
      </w:r>
      <w:r w:rsidRPr="00834D52">
        <w:rPr>
          <w:rFonts w:ascii="Sylfaen" w:hAnsi="Sylfaen"/>
          <w:sz w:val="24"/>
          <w:szCs w:val="24"/>
        </w:rPr>
        <w:tab/>
        <w:t xml:space="preserve">Ռեֆերենտ անդամ պետության լիազորված մարմինը (փորձագիտական կազմակերպությունը) իրականացնում է դեղապատրաստուկի գրանցման դոսյեի ներկայացված փաստաթղթերի ամբողջականության, կոմպլեկտայնության </w:t>
      </w:r>
      <w:r w:rsidR="00C54D75">
        <w:rPr>
          <w:rFonts w:ascii="Sylfaen" w:hAnsi="Sylfaen"/>
          <w:sz w:val="24"/>
          <w:szCs w:val="24"/>
        </w:rPr>
        <w:t>և</w:t>
      </w:r>
      <w:r w:rsidRPr="00834D52">
        <w:rPr>
          <w:rFonts w:ascii="Sylfaen" w:hAnsi="Sylfaen"/>
          <w:sz w:val="24"/>
          <w:szCs w:val="24"/>
        </w:rPr>
        <w:t xml:space="preserve"> ճշտության գնահատում՝ նախքան դեղապատրաստուկի գրանցման դոսյեի նյութերը փորձաքննության ուղարկելը՝ 14 աշխատանքային օրերի ընթացքում: Ռեֆերենտ պետության լիազորված մարմնի (փորձագիտական </w:t>
      </w:r>
      <w:r w:rsidRPr="00834D52">
        <w:rPr>
          <w:rFonts w:ascii="Sylfaen" w:hAnsi="Sylfaen"/>
          <w:sz w:val="24"/>
          <w:szCs w:val="24"/>
        </w:rPr>
        <w:lastRenderedPageBreak/>
        <w:t>կազմակերպության) նկատողությունների վերաբերյալ դեղապատրաստուկի գրանցման դոսյեի պակասող նյութերը ներկայացնելու համար հայտատուին տրվում է փորձաքննության ժամկետի մեջ չմտնող 90 օրացուցային օրվանից ոչ</w:t>
      </w:r>
      <w:r w:rsidR="008C52C3" w:rsidRPr="008C52C3">
        <w:rPr>
          <w:rFonts w:ascii="Sylfaen" w:hAnsi="Sylfaen"/>
          <w:sz w:val="24"/>
          <w:szCs w:val="24"/>
        </w:rPr>
        <w:t> </w:t>
      </w:r>
      <w:r w:rsidRPr="00834D52">
        <w:rPr>
          <w:rFonts w:ascii="Sylfaen" w:hAnsi="Sylfaen"/>
          <w:sz w:val="24"/>
          <w:szCs w:val="24"/>
        </w:rPr>
        <w:t>ավելի ժամկետ:</w:t>
      </w:r>
    </w:p>
    <w:p w14:paraId="20E9C87B" w14:textId="77777777" w:rsidR="006F76EB" w:rsidRPr="00834D52" w:rsidRDefault="006F76EB" w:rsidP="00383CCF">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Անդամ պետության լիազորված մարմինը (փորձագիտական կազմակերպությունը) մերժում է գրանցման դոսյեն Միության պահանջներին համապատասխանեցնելու դիմումը՝ ռեֆերենտ պետության լիազորված մարմնի (փորձագիտական կազմակերպության) նկատողությունների վերաբերյալ դեղապատրաստուկի գրանցման դոսյեի պակասող նյութերը չներկայացնելու </w:t>
      </w:r>
      <w:r w:rsidR="00C54D75">
        <w:rPr>
          <w:rFonts w:ascii="Sylfaen" w:hAnsi="Sylfaen"/>
          <w:sz w:val="24"/>
          <w:szCs w:val="24"/>
        </w:rPr>
        <w:t>և</w:t>
      </w:r>
      <w:r w:rsidRPr="00834D52">
        <w:rPr>
          <w:rFonts w:ascii="Sylfaen" w:hAnsi="Sylfaen"/>
          <w:sz w:val="24"/>
          <w:szCs w:val="24"/>
        </w:rPr>
        <w:t xml:space="preserve"> (կամ) ռեֆերենտ պետության օրենսդրությամբ հաստատված դեպքերում </w:t>
      </w:r>
      <w:r w:rsidR="00C54D75">
        <w:rPr>
          <w:rFonts w:ascii="Sylfaen" w:hAnsi="Sylfaen"/>
          <w:sz w:val="24"/>
          <w:szCs w:val="24"/>
        </w:rPr>
        <w:t>և</w:t>
      </w:r>
      <w:r w:rsidRPr="00834D52">
        <w:rPr>
          <w:rFonts w:ascii="Sylfaen" w:hAnsi="Sylfaen"/>
          <w:sz w:val="24"/>
          <w:szCs w:val="24"/>
        </w:rPr>
        <w:t xml:space="preserve"> կարգով դեղապատրաստուկի գրանցման դոսյեն Միության պահանջներին համապատասխանեցնելու համար հավաքագրման (տուրքի) վճարումը չհաստատելու դեպքում:</w:t>
      </w:r>
    </w:p>
    <w:p w14:paraId="43BCC98F" w14:textId="77777777" w:rsidR="006F76EB" w:rsidRPr="00834D52" w:rsidRDefault="006F76EB" w:rsidP="00383CCF">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177.</w:t>
      </w:r>
      <w:r w:rsidRPr="00834D52">
        <w:rPr>
          <w:rFonts w:ascii="Sylfaen" w:hAnsi="Sylfaen"/>
          <w:sz w:val="24"/>
          <w:szCs w:val="24"/>
        </w:rPr>
        <w:tab/>
        <w:t xml:space="preserve">Ռեֆերենտ պետության լիազորված մարմինը (փորձագիտական կազմակերպությունը) դեղապատրաստուկի գրանցման դոսյեի համապատասխանեցման ընթացակարգի ժամանակ դեղապատրաստուկի փորձաքննություն անցկացնելիս իրավունք ունի հայտատուին գրավոր </w:t>
      </w:r>
      <w:r w:rsidR="00C54D75">
        <w:rPr>
          <w:rFonts w:ascii="Sylfaen" w:hAnsi="Sylfaen"/>
          <w:sz w:val="24"/>
          <w:szCs w:val="24"/>
        </w:rPr>
        <w:t>և</w:t>
      </w:r>
      <w:r w:rsidRPr="00834D52">
        <w:rPr>
          <w:rFonts w:ascii="Sylfaen" w:hAnsi="Sylfaen"/>
          <w:sz w:val="24"/>
          <w:szCs w:val="24"/>
        </w:rPr>
        <w:t xml:space="preserve"> (կամ) էլեկտրոնային եղանակով հարցում ուղարկելու դեղապատրաստուկի գրանցման դոսյեի ներկայացված փաստաթղթերին </w:t>
      </w:r>
      <w:r w:rsidR="00C54D75">
        <w:rPr>
          <w:rFonts w:ascii="Sylfaen" w:hAnsi="Sylfaen"/>
          <w:sz w:val="24"/>
          <w:szCs w:val="24"/>
        </w:rPr>
        <w:t>և</w:t>
      </w:r>
      <w:r w:rsidRPr="00834D52">
        <w:rPr>
          <w:rFonts w:ascii="Sylfaen" w:hAnsi="Sylfaen"/>
          <w:sz w:val="24"/>
          <w:szCs w:val="24"/>
        </w:rPr>
        <w:t xml:space="preserve"> տվյալներին վերաբերող լրացուցիչ տեղեկատվության, անհրաժեշտ պարզաբանումների կամ ճշտումների ներկայացման մասին (այդ թվում՝ ԴԸԲ-ում, բժշկական կիրառման հրահանգում, դեղապատրաստուկի փաթեթվածքների մակետում, որակին առնչվող նորմատիվ փաստաթղթում կամ գրանցման դոսյեի այլ փաստաթղթերում փոփոխություններ կատարելու առաջարկություններ):</w:t>
      </w:r>
    </w:p>
    <w:p w14:paraId="3C8D599A" w14:textId="77777777" w:rsidR="006F76EB" w:rsidRPr="00834D52" w:rsidRDefault="006F76EB" w:rsidP="00383CCF">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Հայտատուի կողմից նշված հարցման պատասխանը ներկայացնելու ընդհանուր ժամկետը չպետք է գերազանցի 90 օրացուցային օրը: Դեղապատրաստուկի փորձաքննության ընթացքում լիազորված մարմնի կամ </w:t>
      </w:r>
      <w:r w:rsidRPr="00834D52">
        <w:rPr>
          <w:rFonts w:ascii="Sylfaen" w:hAnsi="Sylfaen"/>
          <w:sz w:val="24"/>
          <w:szCs w:val="24"/>
        </w:rPr>
        <w:lastRenderedPageBreak/>
        <w:t>փորձագիտական կազմակերպության հարցմամբ հայտատուի կողմից փաստաթղթերը ներկայացնելու ժամանակը չի մտնում դեղապատրաստուկի գրանցման դոսյեն Միության պահանջներին համապատասխանեցնելիս դեղապատրաստուկի փորձաքննության անցկացման ժամկետի մեջ։</w:t>
      </w:r>
    </w:p>
    <w:p w14:paraId="15B33CF1" w14:textId="77777777" w:rsidR="006F76EB" w:rsidRPr="00834D52" w:rsidRDefault="006F76EB" w:rsidP="008C52C3">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Պահանջված փաստաթղթերը </w:t>
      </w:r>
      <w:r w:rsidR="00C54D75">
        <w:rPr>
          <w:rFonts w:ascii="Sylfaen" w:hAnsi="Sylfaen"/>
          <w:sz w:val="24"/>
          <w:szCs w:val="24"/>
        </w:rPr>
        <w:t>և</w:t>
      </w:r>
      <w:r w:rsidRPr="00834D52">
        <w:rPr>
          <w:rFonts w:ascii="Sylfaen" w:hAnsi="Sylfaen"/>
          <w:sz w:val="24"/>
          <w:szCs w:val="24"/>
        </w:rPr>
        <w:t xml:space="preserve"> տվյալները սահմանված ժամկետում հայտատուի կողմից չներկայացնելու դեպքում փորձաքննությունը </w:t>
      </w:r>
      <w:r w:rsidR="00C54D75">
        <w:rPr>
          <w:rFonts w:ascii="Sylfaen" w:hAnsi="Sylfaen"/>
          <w:sz w:val="24"/>
          <w:szCs w:val="24"/>
        </w:rPr>
        <w:t>և</w:t>
      </w:r>
      <w:r w:rsidRPr="00834D52">
        <w:rPr>
          <w:rFonts w:ascii="Sylfaen" w:hAnsi="Sylfaen"/>
          <w:sz w:val="24"/>
          <w:szCs w:val="24"/>
        </w:rPr>
        <w:t xml:space="preserve"> դեղապատրաստուկի գրանցման դոսյեն Միության պահանջներին համապատասխանեցնելու ընթացակարգը դադարեցվում են: Կայացված որոշման մասին ռեֆերենտ պետության լիազորված մարմինը (փորձագիտական կազմակերպությունը) որոշումը կայացնելու օրվանից 14 աշխատանքային օրվա ընթացքում, գրավոր </w:t>
      </w:r>
      <w:r w:rsidR="00C54D75">
        <w:rPr>
          <w:rFonts w:ascii="Sylfaen" w:hAnsi="Sylfaen"/>
          <w:sz w:val="24"/>
          <w:szCs w:val="24"/>
        </w:rPr>
        <w:t>և</w:t>
      </w:r>
      <w:r w:rsidRPr="00834D52">
        <w:rPr>
          <w:rFonts w:ascii="Sylfaen" w:hAnsi="Sylfaen"/>
          <w:sz w:val="24"/>
          <w:szCs w:val="24"/>
        </w:rPr>
        <w:t xml:space="preserve"> (կամ) էլեկտրոնային տարբերակով ծանուցում է հայտատուին </w:t>
      </w:r>
      <w:r w:rsidR="00C54D75">
        <w:rPr>
          <w:rFonts w:ascii="Sylfaen" w:hAnsi="Sylfaen"/>
          <w:sz w:val="24"/>
          <w:szCs w:val="24"/>
        </w:rPr>
        <w:t>և</w:t>
      </w:r>
      <w:r w:rsidRPr="00834D52">
        <w:rPr>
          <w:rFonts w:ascii="Sylfaen" w:hAnsi="Sylfaen"/>
          <w:sz w:val="24"/>
          <w:szCs w:val="24"/>
        </w:rPr>
        <w:t xml:space="preserve"> ճանաչման երկրի (առկայության դեպքում) լիազորված մարմնին (փորձագիտական կազմակերպությանը):</w:t>
      </w:r>
    </w:p>
    <w:p w14:paraId="1835B4C8" w14:textId="77777777" w:rsidR="006F76EB" w:rsidRPr="00834D52" w:rsidRDefault="006F76EB" w:rsidP="00383CCF">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178.</w:t>
      </w:r>
      <w:r w:rsidRPr="00834D52">
        <w:rPr>
          <w:rFonts w:ascii="Sylfaen" w:hAnsi="Sylfaen"/>
          <w:sz w:val="24"/>
          <w:szCs w:val="24"/>
        </w:rPr>
        <w:tab/>
        <w:t xml:space="preserve">Ըստ դեղապատրաստուկի գրանցման դոսյեի փորձաքննության արդյունքների՝ ռեֆերենտ պետության լիազորված մարմնի (փորձագիտական կազմակերպության) կողմից կազմվում </w:t>
      </w:r>
      <w:r w:rsidR="00C54D75">
        <w:rPr>
          <w:rFonts w:ascii="Sylfaen" w:hAnsi="Sylfaen"/>
          <w:sz w:val="24"/>
          <w:szCs w:val="24"/>
        </w:rPr>
        <w:t>և</w:t>
      </w:r>
      <w:r w:rsidRPr="00834D52">
        <w:rPr>
          <w:rFonts w:ascii="Sylfaen" w:hAnsi="Sylfaen"/>
          <w:sz w:val="24"/>
          <w:szCs w:val="24"/>
        </w:rPr>
        <w:t xml:space="preserve"> հաստատվում է գնահատման վերաբերյալ փորձագիտական հաշվետվություն՝ սույն Կանոնների </w:t>
      </w:r>
      <w:r w:rsidR="006E7104" w:rsidRPr="00F06D43">
        <w:rPr>
          <w:rFonts w:ascii="Sylfaen" w:hAnsi="Sylfaen"/>
          <w:sz w:val="24"/>
          <w:szCs w:val="24"/>
        </w:rPr>
        <w:br/>
      </w:r>
      <w:r w:rsidR="003F283E">
        <w:rPr>
          <w:rFonts w:ascii="Sylfaen" w:hAnsi="Sylfaen"/>
          <w:sz w:val="24"/>
          <w:szCs w:val="24"/>
        </w:rPr>
        <w:t xml:space="preserve">թիվ </w:t>
      </w:r>
      <w:r w:rsidRPr="00834D52">
        <w:rPr>
          <w:rFonts w:ascii="Sylfaen" w:hAnsi="Sylfaen"/>
          <w:sz w:val="24"/>
          <w:szCs w:val="24"/>
        </w:rPr>
        <w:t>16 հավելվածին համապատասխան ձ</w:t>
      </w:r>
      <w:r w:rsidR="00C54D75">
        <w:rPr>
          <w:rFonts w:ascii="Sylfaen" w:hAnsi="Sylfaen"/>
          <w:sz w:val="24"/>
          <w:szCs w:val="24"/>
        </w:rPr>
        <w:t>և</w:t>
      </w:r>
      <w:r w:rsidRPr="00834D52">
        <w:rPr>
          <w:rFonts w:ascii="Sylfaen" w:hAnsi="Sylfaen"/>
          <w:sz w:val="24"/>
          <w:szCs w:val="24"/>
        </w:rPr>
        <w:t xml:space="preserve">ով՝ ներառյալ փորձագիտական կազմակերպության կամ լիազորված մարմնի հարցմանն ի պատասխան ներկայացված, հայտատուից ստացված պարզաբանումների, փաստաթղթերի </w:t>
      </w:r>
      <w:r w:rsidR="00C54D75">
        <w:rPr>
          <w:rFonts w:ascii="Sylfaen" w:hAnsi="Sylfaen"/>
          <w:sz w:val="24"/>
          <w:szCs w:val="24"/>
        </w:rPr>
        <w:t>և</w:t>
      </w:r>
      <w:r w:rsidRPr="00834D52">
        <w:rPr>
          <w:rFonts w:ascii="Sylfaen" w:hAnsi="Sylfaen"/>
          <w:sz w:val="24"/>
          <w:szCs w:val="24"/>
        </w:rPr>
        <w:t xml:space="preserve"> տվյալների գնահատականը:</w:t>
      </w:r>
    </w:p>
    <w:p w14:paraId="5F651E38" w14:textId="77777777" w:rsidR="006F76EB" w:rsidRPr="00834D52" w:rsidRDefault="006F76EB" w:rsidP="00C343E2">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դոսյեն Միության պահանջներին համապատասխանեցնելու ընթացակարգի շրջանակներում դեղապատրաստուկի գրանցման դոսյեի փորձաքննություն անցկացնելու ժամանակ օգուտ-ռիսկ հարաբերակցության վերագնահատում չի կատարվում՝ բացառությամբ սույն Կանոնների 181-րդ կետում նշված դեպքերի:</w:t>
      </w:r>
    </w:p>
    <w:p w14:paraId="454521B6" w14:textId="77777777" w:rsidR="006F76EB" w:rsidRPr="00834D52" w:rsidRDefault="006F76EB" w:rsidP="00383CCF">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179.</w:t>
      </w:r>
      <w:r w:rsidRPr="00834D52">
        <w:rPr>
          <w:rFonts w:ascii="Sylfaen" w:hAnsi="Sylfaen"/>
          <w:sz w:val="24"/>
          <w:szCs w:val="24"/>
        </w:rPr>
        <w:tab/>
        <w:t>Ռեֆերենտ պետության լիազորված մարմինը մերժում է դեղապատրաստուկի գրանցման դոսյեն Միության պահանջներին համապատասխանեցնելը, եթե դեղապատրաստուկի գրանցման դոսյեի փորձաքննության արդյունքներով սահմանվել է, որ դրա որակը չի հաստատվել, կամ, սույն Կանոնների 178-րդ կետի երկրորդ մասին համապատասխան, բացահայտվել է օգուտ-ռիսկ անբարենպաստ հարաբերակցությունը:</w:t>
      </w:r>
    </w:p>
    <w:p w14:paraId="082B1504" w14:textId="77777777" w:rsidR="006F76EB" w:rsidRPr="00834D52" w:rsidRDefault="006F76EB" w:rsidP="00383C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180.</w:t>
      </w:r>
      <w:r w:rsidRPr="00834D52">
        <w:rPr>
          <w:rFonts w:ascii="Sylfaen" w:hAnsi="Sylfaen"/>
          <w:sz w:val="24"/>
          <w:szCs w:val="24"/>
        </w:rPr>
        <w:tab/>
        <w:t xml:space="preserve">Ըստ դեղապատրաստուկի գրանցման դոսյեի անցկացված փորձաքննության արդյունքների </w:t>
      </w:r>
      <w:r w:rsidR="00C54D75">
        <w:rPr>
          <w:rFonts w:ascii="Sylfaen" w:hAnsi="Sylfaen"/>
          <w:sz w:val="24"/>
          <w:szCs w:val="24"/>
        </w:rPr>
        <w:t>և</w:t>
      </w:r>
      <w:r w:rsidRPr="00834D52">
        <w:rPr>
          <w:rFonts w:ascii="Sylfaen" w:hAnsi="Sylfaen"/>
          <w:sz w:val="24"/>
          <w:szCs w:val="24"/>
        </w:rPr>
        <w:t xml:space="preserve"> դեղապատրաստուկի գրանցման դոսյեն սույն Կանոնների պահանջներին համապատասխանության մասին դրական որոշում ընդունելու պայմանի դեպքում՝ այն անդամ պետությունների լիազորված մարմինները, որտեղ գրանցված է տվյալ պատրաստուկը </w:t>
      </w:r>
      <w:r w:rsidR="00C54D75">
        <w:rPr>
          <w:rFonts w:ascii="Sylfaen" w:hAnsi="Sylfaen"/>
          <w:sz w:val="24"/>
          <w:szCs w:val="24"/>
        </w:rPr>
        <w:t>և</w:t>
      </w:r>
      <w:r w:rsidRPr="00834D52">
        <w:rPr>
          <w:rFonts w:ascii="Sylfaen" w:hAnsi="Sylfaen"/>
          <w:sz w:val="24"/>
          <w:szCs w:val="24"/>
        </w:rPr>
        <w:t xml:space="preserve"> որտեղ տրվել է դեղապատրաստուկի գրանցման դոսյեն Միության պահանջներին համապատասխանեցնելու մասին դիմումը, հայտատուին տրամադրում են սույն կանոնների </w:t>
      </w:r>
      <w:r w:rsidR="003F283E">
        <w:rPr>
          <w:rFonts w:ascii="Sylfaen" w:hAnsi="Sylfaen"/>
          <w:sz w:val="24"/>
          <w:szCs w:val="24"/>
        </w:rPr>
        <w:t xml:space="preserve">թիվ </w:t>
      </w:r>
      <w:r w:rsidRPr="00834D52">
        <w:rPr>
          <w:rFonts w:ascii="Sylfaen" w:hAnsi="Sylfaen"/>
          <w:sz w:val="24"/>
          <w:szCs w:val="24"/>
        </w:rPr>
        <w:t>17 հավելվածին համապատասխան ձ</w:t>
      </w:r>
      <w:r w:rsidR="00C54D75">
        <w:rPr>
          <w:rFonts w:ascii="Sylfaen" w:hAnsi="Sylfaen"/>
          <w:sz w:val="24"/>
          <w:szCs w:val="24"/>
        </w:rPr>
        <w:t>և</w:t>
      </w:r>
      <w:r w:rsidRPr="00834D52">
        <w:rPr>
          <w:rFonts w:ascii="Sylfaen" w:hAnsi="Sylfaen"/>
          <w:sz w:val="24"/>
          <w:szCs w:val="24"/>
        </w:rPr>
        <w:t>ով դեղապատրաստուկի գրանցման հավաստագիր, հաստատված ԴԸԲ-ները, բժշկական կիրառման հրահանգները, որակին առնչվող նորմատիվ փաստաթղթերը, դեղապատրաստուկի փաթեթվածքների մակետները (անհրաժեշտության դեպքում հայտատուին տրվում է գնահատման վերաբերյալ փորձագիտական հաշվետվություն, ինչպես նա</w:t>
      </w:r>
      <w:r w:rsidR="00C54D75">
        <w:rPr>
          <w:rFonts w:ascii="Sylfaen" w:hAnsi="Sylfaen"/>
          <w:sz w:val="24"/>
          <w:szCs w:val="24"/>
        </w:rPr>
        <w:t>և</w:t>
      </w:r>
      <w:r w:rsidRPr="00834D52">
        <w:rPr>
          <w:rFonts w:ascii="Sylfaen" w:hAnsi="Sylfaen"/>
          <w:sz w:val="24"/>
          <w:szCs w:val="24"/>
        </w:rPr>
        <w:t xml:space="preserve"> այդ անդամ պետությունների պետական լեզվով հաստատված ԴԸԲ-ները, բժշկական կիրառման հրահանգը </w:t>
      </w:r>
      <w:r w:rsidR="00C54D75">
        <w:rPr>
          <w:rFonts w:ascii="Sylfaen" w:hAnsi="Sylfaen"/>
          <w:sz w:val="24"/>
          <w:szCs w:val="24"/>
        </w:rPr>
        <w:t>և</w:t>
      </w:r>
      <w:r w:rsidRPr="00834D52">
        <w:rPr>
          <w:rFonts w:ascii="Sylfaen" w:hAnsi="Sylfaen"/>
          <w:sz w:val="24"/>
          <w:szCs w:val="24"/>
        </w:rPr>
        <w:t xml:space="preserve"> դեղապատրաստուկի փաթեթվածքների մակետները՝ այդ անդամ պետությունների օրենսդրությունում համապատասխան պահանջների առկայության դեպքում), ռիսկերի կառավարման համաձայնեցված նախագիծը (անհրաժեշտության դեպքում), </w:t>
      </w:r>
      <w:r w:rsidR="00C54D75">
        <w:rPr>
          <w:rFonts w:ascii="Sylfaen" w:hAnsi="Sylfaen"/>
          <w:sz w:val="24"/>
          <w:szCs w:val="24"/>
        </w:rPr>
        <w:t>և</w:t>
      </w:r>
      <w:r w:rsidRPr="00834D52">
        <w:rPr>
          <w:rFonts w:ascii="Sylfaen" w:hAnsi="Sylfaen"/>
          <w:sz w:val="24"/>
          <w:szCs w:val="24"/>
        </w:rPr>
        <w:t xml:space="preserve"> միասնական ռեեստրի մեջ մուտքագրվում են դեղապատրաստուկի գրանցման մասին տեղեկությունները։</w:t>
      </w:r>
    </w:p>
    <w:p w14:paraId="77D20262" w14:textId="77777777" w:rsidR="006F76EB" w:rsidRPr="00834D52" w:rsidRDefault="006F76EB" w:rsidP="00383CC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Անդամ պետությունների լիազորված մարմինները, ըստ Միության պահանջներին համապատասխանեցնելու ընթացակարգի արդյունքների, հայտատուին տալիս են անժամկետ գրանցման հավաստագիր, եթե </w:t>
      </w:r>
      <w:r w:rsidRPr="00834D52">
        <w:rPr>
          <w:rFonts w:ascii="Sylfaen" w:hAnsi="Sylfaen"/>
          <w:sz w:val="24"/>
          <w:szCs w:val="24"/>
        </w:rPr>
        <w:lastRenderedPageBreak/>
        <w:t xml:space="preserve">դեղապատրաստուկը գրանցված է եղել 3 անդամ պետություններում՝ 5 </w:t>
      </w:r>
      <w:r w:rsidR="00C54D75">
        <w:rPr>
          <w:rFonts w:ascii="Sylfaen" w:hAnsi="Sylfaen"/>
          <w:sz w:val="24"/>
          <w:szCs w:val="24"/>
        </w:rPr>
        <w:t>և</w:t>
      </w:r>
      <w:r w:rsidRPr="00834D52">
        <w:rPr>
          <w:rFonts w:ascii="Sylfaen" w:hAnsi="Sylfaen"/>
          <w:sz w:val="24"/>
          <w:szCs w:val="24"/>
        </w:rPr>
        <w:t xml:space="preserve"> ավելի տարիների ընթացքում: Եթե դեղապատրաստուկը գրանցված է եղել 3 անդամ պետություններում 5 տարուց պակաս, ռեֆերենտ պետության լիազորված մարմինը, ըստ Միության պահանջներին համապատասխանեցնելու ընթացակարգի արդյունքների, հայտատուին տալիս է գրանցման հավաստագիր՝ 5 տարի գործողության ժամկետով </w:t>
      </w:r>
      <w:r w:rsidR="00C54D75">
        <w:rPr>
          <w:rFonts w:ascii="Sylfaen" w:hAnsi="Sylfaen"/>
          <w:sz w:val="24"/>
          <w:szCs w:val="24"/>
        </w:rPr>
        <w:t>և</w:t>
      </w:r>
      <w:r w:rsidRPr="00834D52">
        <w:rPr>
          <w:rFonts w:ascii="Sylfaen" w:hAnsi="Sylfaen"/>
          <w:sz w:val="24"/>
          <w:szCs w:val="24"/>
        </w:rPr>
        <w:t xml:space="preserve"> գրանցման (վերագրանցման) հաստատման անհրաժեշտությամբ՝ մինչ</w:t>
      </w:r>
      <w:r w:rsidR="00C54D75">
        <w:rPr>
          <w:rFonts w:ascii="Sylfaen" w:hAnsi="Sylfaen"/>
          <w:sz w:val="24"/>
          <w:szCs w:val="24"/>
        </w:rPr>
        <w:t>և</w:t>
      </w:r>
      <w:r w:rsidRPr="00834D52">
        <w:rPr>
          <w:rFonts w:ascii="Sylfaen" w:hAnsi="Sylfaen"/>
          <w:sz w:val="24"/>
          <w:szCs w:val="24"/>
        </w:rPr>
        <w:t xml:space="preserve"> դրա գործողության ժամկետի ավարտը: Այդ դեպքում այն անդամ պետության լիազորված մարմինները, որտեղ տրվել է Միության պահանջներին համապատասխանեցման դիմումը, հայտատուին տալիս են գրանցման հավաստագիր՝ ռեֆերենտ պետության կողմից նշված գործողության ժամկետով:</w:t>
      </w:r>
    </w:p>
    <w:p w14:paraId="4EB251D4" w14:textId="77777777" w:rsidR="006F76EB" w:rsidRPr="00834D52" w:rsidRDefault="006F76EB" w:rsidP="00383C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181.</w:t>
      </w:r>
      <w:r w:rsidRPr="00834D52">
        <w:rPr>
          <w:rFonts w:ascii="Sylfaen" w:hAnsi="Sylfaen"/>
          <w:sz w:val="24"/>
          <w:szCs w:val="24"/>
        </w:rPr>
        <w:tab/>
        <w:t xml:space="preserve">Դեղապատրաստուկները փոխադարձ ճանաչման ընթացակարգով կարող են ներկայացված լինել </w:t>
      </w:r>
      <w:r w:rsidR="0032680A">
        <w:rPr>
          <w:rFonts w:ascii="Sylfaen" w:hAnsi="Sylfaen"/>
          <w:sz w:val="24"/>
          <w:szCs w:val="24"/>
        </w:rPr>
        <w:t xml:space="preserve">ռեֆերենտ </w:t>
      </w:r>
      <w:r w:rsidRPr="00834D52">
        <w:rPr>
          <w:rFonts w:ascii="Sylfaen" w:hAnsi="Sylfaen"/>
          <w:sz w:val="24"/>
          <w:szCs w:val="24"/>
        </w:rPr>
        <w:t>այն անդամ պետություններում, որտեղ տվյալ դեղապատրաստուկը գրանցված է եղել նախքան Համաձայնագիրն ուժի մեջ մտնելը կամ մինչ</w:t>
      </w:r>
      <w:r w:rsidR="00C54D75">
        <w:rPr>
          <w:rFonts w:ascii="Sylfaen" w:hAnsi="Sylfaen"/>
          <w:sz w:val="24"/>
          <w:szCs w:val="24"/>
        </w:rPr>
        <w:t>և</w:t>
      </w:r>
      <w:r w:rsidRPr="00834D52">
        <w:rPr>
          <w:rFonts w:ascii="Sylfaen" w:hAnsi="Sylfaen"/>
          <w:sz w:val="24"/>
          <w:szCs w:val="24"/>
        </w:rPr>
        <w:t xml:space="preserve"> 2020 թվականի դեկտեմբերի 31-ը՝ մինչ</w:t>
      </w:r>
      <w:r w:rsidR="00C54D75">
        <w:rPr>
          <w:rFonts w:ascii="Sylfaen" w:hAnsi="Sylfaen"/>
          <w:sz w:val="24"/>
          <w:szCs w:val="24"/>
        </w:rPr>
        <w:t>և</w:t>
      </w:r>
      <w:r w:rsidRPr="00834D52">
        <w:rPr>
          <w:rFonts w:ascii="Sylfaen" w:hAnsi="Sylfaen"/>
          <w:sz w:val="24"/>
          <w:szCs w:val="24"/>
        </w:rPr>
        <w:t xml:space="preserve"> դրա գրանցման դոսյեն Միության պահանջներին համապատասխանեցնելը:</w:t>
      </w:r>
    </w:p>
    <w:p w14:paraId="29F9FEF8" w14:textId="77777777" w:rsidR="006F76EB" w:rsidRPr="00834D52" w:rsidRDefault="006F76EB" w:rsidP="00383CCF">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182.</w:t>
      </w:r>
      <w:r w:rsidRPr="00834D52">
        <w:rPr>
          <w:rFonts w:ascii="Sylfaen" w:hAnsi="Sylfaen"/>
          <w:sz w:val="24"/>
          <w:szCs w:val="24"/>
        </w:rPr>
        <w:tab/>
        <w:t>Միության պահանջներին համապատասխանեցման ընթացակարգի շրջանակներում՝ փոխադարձ ճանաչման ընթացակարգով հետագա գրանցման համար այն անդամ պետությունում, որտեղ դեղապատրաստուկը գրանցված չի</w:t>
      </w:r>
      <w:r w:rsidR="00C24AC8" w:rsidRPr="00C24AC8">
        <w:rPr>
          <w:rFonts w:ascii="Sylfaen" w:hAnsi="Sylfaen"/>
          <w:sz w:val="24"/>
          <w:szCs w:val="24"/>
        </w:rPr>
        <w:t> </w:t>
      </w:r>
      <w:r w:rsidRPr="00834D52">
        <w:rPr>
          <w:rFonts w:ascii="Sylfaen" w:hAnsi="Sylfaen"/>
          <w:sz w:val="24"/>
          <w:szCs w:val="24"/>
        </w:rPr>
        <w:t>եղել նախքան 2020 թվականի դեկտեմբերի 31-ը Համաձայնագիրն ուժի մեջ մտնելը, հայտատուն ռեֆերենտ պետության լիազորված մարմին (փորձագիտական կազմակերպություն) է ներկայացնում՝</w:t>
      </w:r>
    </w:p>
    <w:p w14:paraId="76B73879" w14:textId="77777777" w:rsidR="006F76EB" w:rsidRPr="00834D52" w:rsidRDefault="006F76EB" w:rsidP="00383CCF">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սահմանված ձ</w:t>
      </w:r>
      <w:r w:rsidR="00C54D75">
        <w:rPr>
          <w:rFonts w:ascii="Sylfaen" w:hAnsi="Sylfaen"/>
          <w:sz w:val="24"/>
          <w:szCs w:val="24"/>
        </w:rPr>
        <w:t>և</w:t>
      </w:r>
      <w:r w:rsidRPr="00834D52">
        <w:rPr>
          <w:rFonts w:ascii="Sylfaen" w:hAnsi="Sylfaen"/>
          <w:sz w:val="24"/>
          <w:szCs w:val="24"/>
        </w:rPr>
        <w:t xml:space="preserve">ով դիմում՝ թղթային </w:t>
      </w:r>
      <w:r w:rsidR="00777961">
        <w:rPr>
          <w:rFonts w:ascii="Sylfaen" w:hAnsi="Sylfaen"/>
          <w:sz w:val="24"/>
          <w:szCs w:val="24"/>
        </w:rPr>
        <w:t xml:space="preserve">կրիչով </w:t>
      </w:r>
      <w:r w:rsidR="00C54D75">
        <w:rPr>
          <w:rFonts w:ascii="Sylfaen" w:hAnsi="Sylfaen"/>
          <w:sz w:val="24"/>
          <w:szCs w:val="24"/>
        </w:rPr>
        <w:t>և</w:t>
      </w:r>
      <w:r w:rsidRPr="00834D52">
        <w:rPr>
          <w:rFonts w:ascii="Sylfaen" w:hAnsi="Sylfaen"/>
          <w:sz w:val="24"/>
          <w:szCs w:val="24"/>
        </w:rPr>
        <w:t xml:space="preserve"> (կամ) էլեկտրոնային </w:t>
      </w:r>
      <w:r w:rsidR="001E7D37">
        <w:rPr>
          <w:rFonts w:ascii="Sylfaen" w:hAnsi="Sylfaen"/>
          <w:sz w:val="24"/>
          <w:szCs w:val="24"/>
        </w:rPr>
        <w:t>փաստաթղթի տեսքով</w:t>
      </w:r>
      <w:r w:rsidRPr="00834D52">
        <w:rPr>
          <w:rFonts w:ascii="Sylfaen" w:hAnsi="Sylfaen"/>
          <w:sz w:val="24"/>
          <w:szCs w:val="24"/>
        </w:rPr>
        <w:t xml:space="preserve">՝ սույն Կանոնների </w:t>
      </w:r>
      <w:r w:rsidR="001E7D37">
        <w:rPr>
          <w:rFonts w:ascii="Sylfaen" w:hAnsi="Sylfaen"/>
          <w:sz w:val="24"/>
          <w:szCs w:val="24"/>
        </w:rPr>
        <w:t xml:space="preserve">թիվ </w:t>
      </w:r>
      <w:r w:rsidRPr="00834D52">
        <w:rPr>
          <w:rFonts w:ascii="Sylfaen" w:hAnsi="Sylfaen"/>
          <w:sz w:val="24"/>
          <w:szCs w:val="24"/>
        </w:rPr>
        <w:t>2 հավելվածին համապատասախան.</w:t>
      </w:r>
    </w:p>
    <w:p w14:paraId="6DFE65A0" w14:textId="77777777" w:rsidR="006F76EB" w:rsidRPr="00834D52" w:rsidRDefault="006F76EB" w:rsidP="00383CCF">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Միության պահանջներին համապատասխանեցնելու համար հավաքագրման (տուրքի) վճարումը հաստատող փաստաթղթերը՝ ռեֆերենտ պետության օրենսդրությամբ սահմանված դեպքերում </w:t>
      </w:r>
      <w:r w:rsidR="00C54D75">
        <w:rPr>
          <w:rFonts w:ascii="Sylfaen" w:hAnsi="Sylfaen"/>
          <w:sz w:val="24"/>
          <w:szCs w:val="24"/>
        </w:rPr>
        <w:t>և</w:t>
      </w:r>
      <w:r w:rsidRPr="00834D52">
        <w:rPr>
          <w:rFonts w:ascii="Sylfaen" w:hAnsi="Sylfaen"/>
          <w:sz w:val="24"/>
          <w:szCs w:val="24"/>
        </w:rPr>
        <w:t xml:space="preserve"> կարգով.</w:t>
      </w:r>
    </w:p>
    <w:p w14:paraId="538DAC13" w14:textId="77777777" w:rsidR="006F76EB" w:rsidRPr="00834D52" w:rsidRDefault="006F76EB" w:rsidP="00C343E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սույն Կանոնների </w:t>
      </w:r>
      <w:r w:rsidR="003F283E">
        <w:rPr>
          <w:rFonts w:ascii="Sylfaen" w:hAnsi="Sylfaen"/>
          <w:sz w:val="24"/>
          <w:szCs w:val="24"/>
        </w:rPr>
        <w:t xml:space="preserve">թիվ </w:t>
      </w:r>
      <w:r w:rsidRPr="00834D52">
        <w:rPr>
          <w:rFonts w:ascii="Sylfaen" w:hAnsi="Sylfaen"/>
          <w:sz w:val="24"/>
          <w:szCs w:val="24"/>
        </w:rPr>
        <w:t>1-5</w:t>
      </w:r>
      <w:r w:rsidR="003F283E">
        <w:rPr>
          <w:rFonts w:ascii="Sylfaen" w:hAnsi="Sylfaen"/>
          <w:sz w:val="24"/>
          <w:szCs w:val="24"/>
        </w:rPr>
        <w:t xml:space="preserve"> </w:t>
      </w:r>
      <w:r w:rsidRPr="00834D52">
        <w:rPr>
          <w:rFonts w:ascii="Sylfaen" w:hAnsi="Sylfaen"/>
          <w:sz w:val="24"/>
          <w:szCs w:val="24"/>
        </w:rPr>
        <w:t>հավելվածներին համապատասխան՝ գրանցման դոսյեի 1-րդ մոդուլներն այն անդամ պետություններում փոխադարձ ճանաչման ընթացակարգով հետագա գրանցում իրականացնելու դեպքում, որտեղ տվյալ դեղապատրաստուկը գրանցված չի եղել մինչ</w:t>
      </w:r>
      <w:r w:rsidR="00C54D75">
        <w:rPr>
          <w:rFonts w:ascii="Sylfaen" w:hAnsi="Sylfaen"/>
          <w:sz w:val="24"/>
          <w:szCs w:val="24"/>
        </w:rPr>
        <w:t>և</w:t>
      </w:r>
      <w:r w:rsidRPr="00834D52">
        <w:rPr>
          <w:rFonts w:ascii="Sylfaen" w:hAnsi="Sylfaen"/>
          <w:sz w:val="24"/>
          <w:szCs w:val="24"/>
        </w:rPr>
        <w:t xml:space="preserve"> Համաձայնագիրն ուժի մեջ մտնելը կամ մինչ</w:t>
      </w:r>
      <w:r w:rsidR="00C54D75">
        <w:rPr>
          <w:rFonts w:ascii="Sylfaen" w:hAnsi="Sylfaen"/>
          <w:sz w:val="24"/>
          <w:szCs w:val="24"/>
        </w:rPr>
        <w:t>և</w:t>
      </w:r>
      <w:r w:rsidRPr="00834D52">
        <w:rPr>
          <w:rFonts w:ascii="Sylfaen" w:hAnsi="Sylfaen"/>
          <w:sz w:val="24"/>
          <w:szCs w:val="24"/>
        </w:rPr>
        <w:t xml:space="preserve"> 2020 թվականի դեկտեմբերի 31-ը:</w:t>
      </w:r>
    </w:p>
    <w:p w14:paraId="7D0F45F7" w14:textId="77777777" w:rsidR="006F76EB" w:rsidRPr="00834D52" w:rsidRDefault="006F76EB" w:rsidP="00C343E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Նախքան Համաձայնագիրն ուժի մեջ մտնելն իրականացված 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բոլոր առկա տվյալներն այդ դեպքում, սույն Կանոններին համապատասխան, ներկայացվում են գրանցման դոսյեի 4-5-րդ մոդուլներով, ունեցած հաշվետվությունների տեսքով, առանց պատշաճ լաբորատոր գործելակերպի </w:t>
      </w:r>
      <w:r w:rsidR="00C54D75">
        <w:rPr>
          <w:rFonts w:ascii="Sylfaen" w:hAnsi="Sylfaen"/>
          <w:sz w:val="24"/>
          <w:szCs w:val="24"/>
        </w:rPr>
        <w:t>և</w:t>
      </w:r>
      <w:r w:rsidRPr="00834D52">
        <w:rPr>
          <w:rFonts w:ascii="Sylfaen" w:hAnsi="Sylfaen"/>
          <w:sz w:val="24"/>
          <w:szCs w:val="24"/>
        </w:rPr>
        <w:t xml:space="preserve"> պատշաճ կլինիկական գործելակերպի կանոններով նախատեսված նախակլինիկական (ոչ կլինիկական) հետազոտությունների </w:t>
      </w:r>
      <w:r w:rsidR="00C54D75">
        <w:rPr>
          <w:rFonts w:ascii="Sylfaen" w:hAnsi="Sylfaen"/>
          <w:sz w:val="24"/>
          <w:szCs w:val="24"/>
        </w:rPr>
        <w:t>և</w:t>
      </w:r>
      <w:r w:rsidRPr="00834D52">
        <w:rPr>
          <w:rFonts w:ascii="Sylfaen" w:hAnsi="Sylfaen"/>
          <w:sz w:val="24"/>
          <w:szCs w:val="24"/>
        </w:rPr>
        <w:t xml:space="preserve"> կլինիկական հետազոտությունների (փորձարկումների) մասին հաշվետվությունների տեքստերը կազմելուն ներկայացվող պահանջների, ինչպես նա</w:t>
      </w:r>
      <w:r w:rsidR="00C54D75">
        <w:rPr>
          <w:rFonts w:ascii="Sylfaen" w:hAnsi="Sylfaen"/>
          <w:sz w:val="24"/>
          <w:szCs w:val="24"/>
        </w:rPr>
        <w:t>և</w:t>
      </w:r>
      <w:r w:rsidRPr="00834D52">
        <w:rPr>
          <w:rFonts w:ascii="Sylfaen" w:hAnsi="Sylfaen"/>
          <w:sz w:val="24"/>
          <w:szCs w:val="24"/>
        </w:rPr>
        <w:t xml:space="preserve"> Հանձնաժողովի կողմից հաստատված Միության շրջանակներում դեղապատրաստուկների կենսահամարժեքության հետազոտությունների անցկացման կանոններին դրանց պարտադիր համապատասխանեցման: Այն</w:t>
      </w:r>
      <w:r w:rsidR="00C24AC8" w:rsidRPr="00065DCF">
        <w:rPr>
          <w:rFonts w:ascii="Sylfaen" w:hAnsi="Sylfaen"/>
          <w:sz w:val="24"/>
          <w:szCs w:val="24"/>
        </w:rPr>
        <w:t> </w:t>
      </w:r>
      <w:r w:rsidRPr="00834D52">
        <w:rPr>
          <w:rFonts w:ascii="Sylfaen" w:hAnsi="Sylfaen"/>
          <w:sz w:val="24"/>
          <w:szCs w:val="24"/>
        </w:rPr>
        <w:t>անդամ պետությունը, որտեղ տրվել է գրանցման դոսյեն Միության պահանջներին համապատասխանեցնելու համար, տվյալ դեպքում հանդես է գալիս որպես ռեֆերենտ պետություն:</w:t>
      </w:r>
    </w:p>
    <w:p w14:paraId="4DFC189B" w14:textId="77777777" w:rsidR="006F76EB" w:rsidRPr="00955C1D" w:rsidRDefault="006F76EB" w:rsidP="003D43B8">
      <w:pPr>
        <w:tabs>
          <w:tab w:val="left" w:pos="1134"/>
        </w:tabs>
        <w:spacing w:after="160" w:line="360" w:lineRule="auto"/>
        <w:ind w:right="-6" w:firstLine="567"/>
        <w:jc w:val="both"/>
        <w:rPr>
          <w:rFonts w:ascii="Sylfaen" w:hAnsi="Sylfaen"/>
          <w:sz w:val="24"/>
          <w:szCs w:val="24"/>
        </w:rPr>
      </w:pPr>
      <w:r w:rsidRPr="00834D52">
        <w:rPr>
          <w:rFonts w:ascii="Sylfaen" w:hAnsi="Sylfaen"/>
          <w:sz w:val="24"/>
          <w:szCs w:val="24"/>
        </w:rPr>
        <w:t>183.</w:t>
      </w:r>
      <w:r w:rsidRPr="00834D52">
        <w:rPr>
          <w:rFonts w:ascii="Sylfaen" w:hAnsi="Sylfaen"/>
          <w:sz w:val="24"/>
          <w:szCs w:val="24"/>
        </w:rPr>
        <w:tab/>
        <w:t>Այն անդամ պետությունում փոխադարձ ճանաչման ընթացակարգն անցկացնելու համար գնահատման վերաբերյալ փորձագիտական հաշվետվությունը նախապատրաստելու անհրաժեշտության դեպքում, որտեղ տվյալ դեղապատրաստուկը գրանցված չի եղել նախքան Համաձայնագիրն ուժի մեջ մտնելը կամ մինչ</w:t>
      </w:r>
      <w:r w:rsidR="00C54D75">
        <w:rPr>
          <w:rFonts w:ascii="Sylfaen" w:hAnsi="Sylfaen"/>
          <w:sz w:val="24"/>
          <w:szCs w:val="24"/>
        </w:rPr>
        <w:t>և</w:t>
      </w:r>
      <w:r w:rsidRPr="00834D52">
        <w:rPr>
          <w:rFonts w:ascii="Sylfaen" w:hAnsi="Sylfaen"/>
          <w:sz w:val="24"/>
          <w:szCs w:val="24"/>
        </w:rPr>
        <w:t xml:space="preserve"> 2020 թվականի դեկտեմբերի 31-ը, անցկացվում են դեղապատրաստուկի օգուտ-ռիսկ հարաբերակցության վերագնահատում </w:t>
      </w:r>
      <w:r w:rsidR="00C54D75">
        <w:rPr>
          <w:rFonts w:ascii="Sylfaen" w:hAnsi="Sylfaen"/>
          <w:sz w:val="24"/>
          <w:szCs w:val="24"/>
        </w:rPr>
        <w:t>և</w:t>
      </w:r>
      <w:r w:rsidRPr="00834D52">
        <w:rPr>
          <w:rFonts w:ascii="Sylfaen" w:hAnsi="Sylfaen"/>
          <w:sz w:val="24"/>
          <w:szCs w:val="24"/>
        </w:rPr>
        <w:t xml:space="preserve"> սույն Կանոնների V բաժնում սահմանված ընթացակարգերին համապատասխան դեղապատրաստուկի փորձաքննություն:</w:t>
      </w:r>
    </w:p>
    <w:p w14:paraId="5B48C028" w14:textId="77777777" w:rsidR="00C343E2" w:rsidRPr="00955C1D" w:rsidRDefault="00C343E2" w:rsidP="00C343E2">
      <w:pPr>
        <w:tabs>
          <w:tab w:val="left" w:pos="1701"/>
        </w:tabs>
        <w:spacing w:after="160" w:line="360" w:lineRule="auto"/>
        <w:ind w:right="-6" w:firstLine="567"/>
        <w:jc w:val="both"/>
        <w:rPr>
          <w:rFonts w:ascii="Sylfaen" w:eastAsia="Times New Roman" w:hAnsi="Sylfaen" w:cs="Times New Roman"/>
          <w:sz w:val="24"/>
          <w:szCs w:val="24"/>
        </w:rPr>
      </w:pPr>
    </w:p>
    <w:p w14:paraId="1100B42C" w14:textId="77777777" w:rsidR="006F76EB" w:rsidRPr="00834D52" w:rsidRDefault="006F76EB" w:rsidP="006F76EB">
      <w:pPr>
        <w:spacing w:after="160" w:line="336" w:lineRule="auto"/>
        <w:ind w:right="-6"/>
        <w:jc w:val="center"/>
        <w:rPr>
          <w:rFonts w:ascii="Sylfaen" w:eastAsia="Times New Roman" w:hAnsi="Sylfaen" w:cs="Times New Roman"/>
          <w:sz w:val="24"/>
          <w:szCs w:val="24"/>
        </w:rPr>
      </w:pPr>
      <w:r w:rsidRPr="00834D52">
        <w:rPr>
          <w:rFonts w:ascii="Sylfaen" w:hAnsi="Sylfaen"/>
          <w:sz w:val="24"/>
          <w:szCs w:val="24"/>
        </w:rPr>
        <w:lastRenderedPageBreak/>
        <w:t>XIV. Անցումային դրույթներ</w:t>
      </w:r>
    </w:p>
    <w:p w14:paraId="630CB634" w14:textId="77777777" w:rsidR="006F76EB" w:rsidRPr="00834D52" w:rsidRDefault="006F76EB" w:rsidP="003D43B8">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184.</w:t>
      </w:r>
      <w:r w:rsidRPr="00834D52">
        <w:rPr>
          <w:rFonts w:ascii="Sylfaen" w:hAnsi="Sylfaen"/>
          <w:sz w:val="24"/>
          <w:szCs w:val="24"/>
        </w:rPr>
        <w:tab/>
        <w:t xml:space="preserve">Գրանցման համար ներկայացված դեղապատրաստուկների գրանցման դոսյեի գրանցումը, գրանցման հաստատումը (վերագրանցումը) </w:t>
      </w:r>
      <w:r w:rsidR="00C54D75">
        <w:rPr>
          <w:rFonts w:ascii="Sylfaen" w:hAnsi="Sylfaen"/>
          <w:sz w:val="24"/>
          <w:szCs w:val="24"/>
        </w:rPr>
        <w:t>և</w:t>
      </w:r>
      <w:r w:rsidRPr="00834D52">
        <w:rPr>
          <w:rFonts w:ascii="Sylfaen" w:hAnsi="Sylfaen"/>
          <w:sz w:val="24"/>
          <w:szCs w:val="24"/>
        </w:rPr>
        <w:t xml:space="preserve"> դրանում փոփոխությունների կատարումը, անդամ պետություններում մինչ</w:t>
      </w:r>
      <w:r w:rsidR="00C54D75">
        <w:rPr>
          <w:rFonts w:ascii="Sylfaen" w:hAnsi="Sylfaen"/>
          <w:sz w:val="24"/>
          <w:szCs w:val="24"/>
        </w:rPr>
        <w:t>և</w:t>
      </w:r>
      <w:r w:rsidRPr="00834D52">
        <w:rPr>
          <w:rFonts w:ascii="Sylfaen" w:hAnsi="Sylfaen"/>
          <w:sz w:val="24"/>
          <w:szCs w:val="24"/>
        </w:rPr>
        <w:t xml:space="preserve"> 2016</w:t>
      </w:r>
      <w:r w:rsidR="002842E3" w:rsidRPr="002842E3">
        <w:rPr>
          <w:rFonts w:ascii="Sylfaen" w:hAnsi="Sylfaen"/>
          <w:sz w:val="24"/>
          <w:szCs w:val="24"/>
        </w:rPr>
        <w:t> </w:t>
      </w:r>
      <w:r w:rsidRPr="00834D52">
        <w:rPr>
          <w:rFonts w:ascii="Sylfaen" w:hAnsi="Sylfaen"/>
          <w:sz w:val="24"/>
          <w:szCs w:val="24"/>
        </w:rPr>
        <w:t xml:space="preserve">թվականի հունվարի 1-ը դեղապատրաստուկների գրանցման դոսյեի գրանցման (վերագրանցման) հաստատումը </w:t>
      </w:r>
      <w:r w:rsidR="00C54D75">
        <w:rPr>
          <w:rFonts w:ascii="Sylfaen" w:hAnsi="Sylfaen"/>
          <w:sz w:val="24"/>
          <w:szCs w:val="24"/>
        </w:rPr>
        <w:t>և</w:t>
      </w:r>
      <w:r w:rsidRPr="00834D52">
        <w:rPr>
          <w:rFonts w:ascii="Sylfaen" w:hAnsi="Sylfaen"/>
          <w:sz w:val="24"/>
          <w:szCs w:val="24"/>
        </w:rPr>
        <w:t xml:space="preserve"> դրանում փոփոխությունների կատարումն իրականացվում են անդամ պետությունների օրենսդրությանը համապատասխան: Հայտատուի պահանջով մինչ</w:t>
      </w:r>
      <w:r w:rsidR="00C54D75">
        <w:rPr>
          <w:rFonts w:ascii="Sylfaen" w:hAnsi="Sylfaen"/>
          <w:sz w:val="24"/>
          <w:szCs w:val="24"/>
        </w:rPr>
        <w:t>և</w:t>
      </w:r>
      <w:r w:rsidRPr="00834D52">
        <w:rPr>
          <w:rFonts w:ascii="Sylfaen" w:hAnsi="Sylfaen"/>
          <w:sz w:val="24"/>
          <w:szCs w:val="24"/>
        </w:rPr>
        <w:t xml:space="preserve"> 2020 թվականի դեկտեմբերի</w:t>
      </w:r>
      <w:r w:rsidR="002842E3" w:rsidRPr="004C6C5A">
        <w:rPr>
          <w:rFonts w:ascii="Sylfaen" w:hAnsi="Sylfaen"/>
          <w:sz w:val="24"/>
          <w:szCs w:val="24"/>
        </w:rPr>
        <w:t> </w:t>
      </w:r>
      <w:r w:rsidRPr="00834D52">
        <w:rPr>
          <w:rFonts w:ascii="Sylfaen" w:hAnsi="Sylfaen"/>
          <w:sz w:val="24"/>
          <w:szCs w:val="24"/>
        </w:rPr>
        <w:t>31-ը գրանցման ներկայացված դեղապատրաստուկի գրանցումը կարող է իրականացվել անդամ պետության օրենսդրությանը համապատասխան՝ առանց հաշվի առնելու սույն Կանոնների պահանջները: Սույն կետին համապատասխան գրանցված դեղապատրաստուկները պետք է համապատասխանեցվեն Միության պահանջներին՝ մինչ</w:t>
      </w:r>
      <w:r w:rsidR="00C54D75">
        <w:rPr>
          <w:rFonts w:ascii="Sylfaen" w:hAnsi="Sylfaen"/>
          <w:sz w:val="24"/>
          <w:szCs w:val="24"/>
        </w:rPr>
        <w:t>և</w:t>
      </w:r>
      <w:r w:rsidRPr="00834D52">
        <w:rPr>
          <w:rFonts w:ascii="Sylfaen" w:hAnsi="Sylfaen"/>
          <w:sz w:val="24"/>
          <w:szCs w:val="24"/>
        </w:rPr>
        <w:t xml:space="preserve"> 2025 թվականի դեկտեմբերի 31-ը:</w:t>
      </w:r>
    </w:p>
    <w:p w14:paraId="79B6C7E6" w14:textId="77777777" w:rsidR="006F76EB" w:rsidRPr="00834D52" w:rsidRDefault="006F76EB" w:rsidP="003D43B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185.</w:t>
      </w:r>
      <w:r w:rsidRPr="00834D52">
        <w:rPr>
          <w:rFonts w:ascii="Sylfaen" w:hAnsi="Sylfaen"/>
          <w:sz w:val="24"/>
          <w:szCs w:val="24"/>
        </w:rPr>
        <w:tab/>
        <w:t xml:space="preserve">Նախքան Համաձայնագիրն ուժի մեջ մտնելն անդամ պետություններում գրանցված </w:t>
      </w:r>
      <w:r w:rsidR="00C54D75">
        <w:rPr>
          <w:rFonts w:ascii="Sylfaen" w:hAnsi="Sylfaen"/>
          <w:sz w:val="24"/>
          <w:szCs w:val="24"/>
        </w:rPr>
        <w:t>և</w:t>
      </w:r>
      <w:r w:rsidRPr="00834D52">
        <w:rPr>
          <w:rFonts w:ascii="Sylfaen" w:hAnsi="Sylfaen"/>
          <w:sz w:val="24"/>
          <w:szCs w:val="24"/>
        </w:rPr>
        <w:t xml:space="preserve"> Միության պահանջներին համապատասխանեցման ընթացակարգ չանցած դեղապատրաստուկների գրանցման դոսյեի գրանցման (վերագրանցման) հաստատումը </w:t>
      </w:r>
      <w:r w:rsidR="00C54D75">
        <w:rPr>
          <w:rFonts w:ascii="Sylfaen" w:hAnsi="Sylfaen"/>
          <w:sz w:val="24"/>
          <w:szCs w:val="24"/>
        </w:rPr>
        <w:t>և</w:t>
      </w:r>
      <w:r w:rsidRPr="00834D52">
        <w:rPr>
          <w:rFonts w:ascii="Sylfaen" w:hAnsi="Sylfaen"/>
          <w:sz w:val="24"/>
          <w:szCs w:val="24"/>
        </w:rPr>
        <w:t xml:space="preserve"> դրա մեջ փոփոխությունների կատարումն իրականացվում են անդամ պետությունների օրենսդրությանը համապատասխան՝ մինչ</w:t>
      </w:r>
      <w:r w:rsidR="00C54D75">
        <w:rPr>
          <w:rFonts w:ascii="Sylfaen" w:hAnsi="Sylfaen"/>
          <w:sz w:val="24"/>
          <w:szCs w:val="24"/>
        </w:rPr>
        <w:t>և</w:t>
      </w:r>
      <w:r w:rsidRPr="00834D52">
        <w:rPr>
          <w:rFonts w:ascii="Sylfaen" w:hAnsi="Sylfaen"/>
          <w:sz w:val="24"/>
          <w:szCs w:val="24"/>
        </w:rPr>
        <w:t xml:space="preserve"> 2025</w:t>
      </w:r>
      <w:r w:rsidR="004C6C5A" w:rsidRPr="004C6C5A">
        <w:rPr>
          <w:rFonts w:ascii="Sylfaen" w:hAnsi="Sylfaen"/>
          <w:sz w:val="24"/>
          <w:szCs w:val="24"/>
        </w:rPr>
        <w:t> </w:t>
      </w:r>
      <w:r w:rsidRPr="00834D52">
        <w:rPr>
          <w:rFonts w:ascii="Sylfaen" w:hAnsi="Sylfaen"/>
          <w:sz w:val="24"/>
          <w:szCs w:val="24"/>
        </w:rPr>
        <w:t>թվականի դեկտեմբերի 31-ը:</w:t>
      </w:r>
    </w:p>
    <w:p w14:paraId="741FA8AE" w14:textId="77777777" w:rsidR="006F76EB" w:rsidRPr="00834D52" w:rsidRDefault="006F76EB" w:rsidP="003D43B8">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186.</w:t>
      </w:r>
      <w:r w:rsidRPr="00834D52">
        <w:rPr>
          <w:rFonts w:ascii="Sylfaen" w:hAnsi="Sylfaen"/>
          <w:sz w:val="24"/>
          <w:szCs w:val="24"/>
        </w:rPr>
        <w:tab/>
        <w:t xml:space="preserve">Թույլատրվում է դեղապատրաստուկի միաժամանակ իրացումը՝ նախկին </w:t>
      </w:r>
      <w:r w:rsidR="00C54D75">
        <w:rPr>
          <w:rFonts w:ascii="Sylfaen" w:hAnsi="Sylfaen"/>
          <w:sz w:val="24"/>
          <w:szCs w:val="24"/>
        </w:rPr>
        <w:t>և</w:t>
      </w:r>
      <w:r w:rsidRPr="00834D52">
        <w:rPr>
          <w:rFonts w:ascii="Sylfaen" w:hAnsi="Sylfaen"/>
          <w:sz w:val="24"/>
          <w:szCs w:val="24"/>
        </w:rPr>
        <w:t xml:space="preserve"> կրկին հաստատված փաթեթվածքով, նախկին </w:t>
      </w:r>
      <w:r w:rsidR="00C54D75">
        <w:rPr>
          <w:rFonts w:ascii="Sylfaen" w:hAnsi="Sylfaen"/>
          <w:sz w:val="24"/>
          <w:szCs w:val="24"/>
        </w:rPr>
        <w:t>և</w:t>
      </w:r>
      <w:r w:rsidRPr="00834D52">
        <w:rPr>
          <w:rFonts w:ascii="Sylfaen" w:hAnsi="Sylfaen"/>
          <w:sz w:val="24"/>
          <w:szCs w:val="24"/>
        </w:rPr>
        <w:t xml:space="preserve"> կրկին հաստատված բժշկական կիրառման հրահանգով՝ մինչ</w:t>
      </w:r>
      <w:r w:rsidR="00C54D75">
        <w:rPr>
          <w:rFonts w:ascii="Sylfaen" w:hAnsi="Sylfaen"/>
          <w:sz w:val="24"/>
          <w:szCs w:val="24"/>
        </w:rPr>
        <w:t>և</w:t>
      </w:r>
      <w:r w:rsidRPr="00834D52">
        <w:rPr>
          <w:rFonts w:ascii="Sylfaen" w:hAnsi="Sylfaen"/>
          <w:sz w:val="24"/>
          <w:szCs w:val="24"/>
        </w:rPr>
        <w:t xml:space="preserve"> դեղապատրաստուկի պիտանիության ժամկետի ավարտը:</w:t>
      </w:r>
    </w:p>
    <w:p w14:paraId="7D970B3A" w14:textId="77777777" w:rsidR="006F76EB" w:rsidRPr="00955C1D" w:rsidRDefault="006F76EB" w:rsidP="003D43B8">
      <w:pPr>
        <w:tabs>
          <w:tab w:val="left" w:pos="1134"/>
        </w:tabs>
        <w:spacing w:after="160" w:line="360" w:lineRule="auto"/>
        <w:ind w:right="-8" w:firstLine="567"/>
        <w:jc w:val="both"/>
        <w:rPr>
          <w:rFonts w:ascii="Sylfaen" w:hAnsi="Sylfaen"/>
          <w:sz w:val="24"/>
          <w:szCs w:val="24"/>
        </w:rPr>
      </w:pPr>
      <w:r w:rsidRPr="00834D52">
        <w:rPr>
          <w:rFonts w:ascii="Sylfaen" w:hAnsi="Sylfaen"/>
          <w:sz w:val="24"/>
          <w:szCs w:val="24"/>
        </w:rPr>
        <w:t>Թույլատրվում է նախքան դեղապատրաստուկի գրանցման դոսյեի համապատասխանեցումը Միության պահանջներին անդամ պետության տարածքում շրջանառության բաց թողնված դեղապատրաստուկների իրացումը՝ մինչ</w:t>
      </w:r>
      <w:r w:rsidR="00C54D75">
        <w:rPr>
          <w:rFonts w:ascii="Sylfaen" w:hAnsi="Sylfaen"/>
          <w:sz w:val="24"/>
          <w:szCs w:val="24"/>
        </w:rPr>
        <w:t>և</w:t>
      </w:r>
      <w:r w:rsidRPr="00834D52">
        <w:rPr>
          <w:rFonts w:ascii="Sylfaen" w:hAnsi="Sylfaen"/>
          <w:sz w:val="24"/>
          <w:szCs w:val="24"/>
        </w:rPr>
        <w:t xml:space="preserve"> դրանց պիտանիության ժամկետի ավարտը:</w:t>
      </w:r>
    </w:p>
    <w:p w14:paraId="26969F31" w14:textId="77777777" w:rsidR="006F76EB" w:rsidRPr="00834D52" w:rsidRDefault="006F76EB" w:rsidP="002842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XV. Հատուկ դեպքեր</w:t>
      </w:r>
    </w:p>
    <w:p w14:paraId="7B65DCA9" w14:textId="2F3106E6" w:rsidR="006F76EB" w:rsidRDefault="006F76EB" w:rsidP="003D43B8">
      <w:pPr>
        <w:tabs>
          <w:tab w:val="left" w:pos="1134"/>
        </w:tabs>
        <w:spacing w:after="160" w:line="360" w:lineRule="auto"/>
        <w:ind w:right="-8" w:firstLine="567"/>
        <w:jc w:val="both"/>
        <w:rPr>
          <w:rFonts w:ascii="Sylfaen" w:hAnsi="Sylfaen"/>
          <w:sz w:val="24"/>
          <w:szCs w:val="24"/>
        </w:rPr>
      </w:pPr>
      <w:r w:rsidRPr="00834D52">
        <w:rPr>
          <w:rFonts w:ascii="Sylfaen" w:hAnsi="Sylfaen"/>
          <w:sz w:val="24"/>
          <w:szCs w:val="24"/>
        </w:rPr>
        <w:lastRenderedPageBreak/>
        <w:t>187.</w:t>
      </w:r>
      <w:r w:rsidRPr="00834D52">
        <w:rPr>
          <w:rFonts w:ascii="Sylfaen" w:hAnsi="Sylfaen"/>
          <w:sz w:val="24"/>
          <w:szCs w:val="24"/>
        </w:rPr>
        <w:tab/>
        <w:t>Եթե դեղապատրաստուկի բացթողման ձ</w:t>
      </w:r>
      <w:r w:rsidR="00C54D75">
        <w:rPr>
          <w:rFonts w:ascii="Sylfaen" w:hAnsi="Sylfaen"/>
          <w:sz w:val="24"/>
          <w:szCs w:val="24"/>
        </w:rPr>
        <w:t>և</w:t>
      </w:r>
      <w:r w:rsidRPr="00834D52">
        <w:rPr>
          <w:rFonts w:ascii="Sylfaen" w:hAnsi="Sylfaen"/>
          <w:sz w:val="24"/>
          <w:szCs w:val="24"/>
        </w:rPr>
        <w:t xml:space="preserve">ը ներառում է բժշկական արտադրատեսակներ հանդիսացող բաղադրիչներ, ապա անհրաժեշտ է բժշկական արտադրատեսակի գրանցման մասին տեղեկություններն արտացոլել գրանցման դոսյեում: Բացի այդ, եթե արտադրատեսակն իր կառուցվածքով բարդ է </w:t>
      </w:r>
      <w:r w:rsidR="00C54D75">
        <w:rPr>
          <w:rFonts w:ascii="Sylfaen" w:hAnsi="Sylfaen"/>
          <w:sz w:val="24"/>
          <w:szCs w:val="24"/>
        </w:rPr>
        <w:t>և</w:t>
      </w:r>
      <w:r w:rsidRPr="00834D52">
        <w:rPr>
          <w:rFonts w:ascii="Sylfaen" w:hAnsi="Sylfaen"/>
          <w:sz w:val="24"/>
          <w:szCs w:val="24"/>
        </w:rPr>
        <w:t xml:space="preserve"> կարող է իրենից ներկայացնել մատակարարման համալիր համակարգ, պահանջվում է նա</w:t>
      </w:r>
      <w:r w:rsidR="00C54D75">
        <w:rPr>
          <w:rFonts w:ascii="Sylfaen" w:hAnsi="Sylfaen"/>
          <w:sz w:val="24"/>
          <w:szCs w:val="24"/>
        </w:rPr>
        <w:t>և</w:t>
      </w:r>
      <w:r w:rsidRPr="00834D52">
        <w:rPr>
          <w:rFonts w:ascii="Sylfaen" w:hAnsi="Sylfaen"/>
          <w:sz w:val="24"/>
          <w:szCs w:val="24"/>
        </w:rPr>
        <w:t xml:space="preserve"> դեղապատրաստուկի գրանցման դոսյեի մեջ դնել դեղապատրաստուկի կլինիկական բնութագրի վրա ընդհանուր առմամբ դրա ազդեցության տեսանկյունից բժշկական արտադրատեսակի անվտանգության, որակի, արդյունավետության վերաբերյալ փորձագիտական եզրակացություն։ </w:t>
      </w:r>
    </w:p>
    <w:p w14:paraId="06E27967" w14:textId="4BED0713" w:rsidR="007130F9" w:rsidRDefault="007130F9" w:rsidP="003D43B8">
      <w:pPr>
        <w:tabs>
          <w:tab w:val="left" w:pos="1134"/>
        </w:tabs>
        <w:spacing w:after="160" w:line="360" w:lineRule="auto"/>
        <w:ind w:right="-8" w:firstLine="567"/>
        <w:jc w:val="both"/>
        <w:rPr>
          <w:rFonts w:ascii="Sylfaen" w:hAnsi="Sylfaen"/>
          <w:sz w:val="24"/>
          <w:szCs w:val="24"/>
        </w:rPr>
      </w:pPr>
      <w:r w:rsidRPr="00B96C43">
        <w:rPr>
          <w:rFonts w:ascii="Sylfaen" w:hAnsi="Sylfaen"/>
          <w:sz w:val="24"/>
          <w:szCs w:val="24"/>
        </w:rPr>
        <w:t>188. Գրիպի կանխարգելման համար նախատեսված պատվաստանյութերի շտամների կազմի փոփոխման դեպքում պատվաստանյութերի գրանցման դոսյեում փոփոխությունների կատարումը, ինչպես նաեւ գրիպի կանխարգելման համար նախատեսված համավարակային եւ նախահամավարակային պատվաստանյութերի գրանցումն ու դրանց գրանցման դոսյեում փոփոխությունների կատարումն իրականացվում են սույն կանոնների թիվ 24 հավելվածին համապատասխան</w:t>
      </w:r>
      <w:r>
        <w:rPr>
          <w:rFonts w:ascii="Sylfaen" w:hAnsi="Sylfaen"/>
          <w:sz w:val="24"/>
          <w:szCs w:val="24"/>
        </w:rPr>
        <w:t>:</w:t>
      </w:r>
    </w:p>
    <w:p w14:paraId="5F353D4A" w14:textId="52BDD653" w:rsidR="007130F9" w:rsidRPr="007130F9" w:rsidRDefault="007130F9" w:rsidP="003D43B8">
      <w:pPr>
        <w:tabs>
          <w:tab w:val="left" w:pos="1134"/>
        </w:tabs>
        <w:spacing w:after="160" w:line="360" w:lineRule="auto"/>
        <w:ind w:right="-8" w:firstLine="567"/>
        <w:jc w:val="both"/>
        <w:rPr>
          <w:rFonts w:ascii="Sylfaen" w:hAnsi="Sylfaen"/>
          <w:b/>
          <w:bCs/>
          <w:i/>
          <w:iCs/>
          <w:sz w:val="24"/>
          <w:szCs w:val="24"/>
        </w:rPr>
      </w:pPr>
      <w:bookmarkStart w:id="0" w:name="_Hlk106795566"/>
      <w:r w:rsidRPr="008E4EB1">
        <w:rPr>
          <w:rFonts w:ascii="Sylfaen" w:hAnsi="Sylfaen"/>
          <w:b/>
          <w:bCs/>
          <w:i/>
          <w:iCs/>
          <w:sz w:val="24"/>
          <w:szCs w:val="24"/>
        </w:rPr>
        <w:t>(</w:t>
      </w:r>
      <w:r w:rsidRPr="007130F9">
        <w:rPr>
          <w:rFonts w:ascii="Sylfaen" w:hAnsi="Sylfaen"/>
          <w:b/>
          <w:bCs/>
          <w:i/>
          <w:iCs/>
          <w:sz w:val="24"/>
          <w:szCs w:val="24"/>
        </w:rPr>
        <w:t>188-րդ կետը լրաց. 14.06.18 թ</w:t>
      </w:r>
      <w:r w:rsidR="00C67BCC">
        <w:rPr>
          <w:rFonts w:ascii="Sylfaen" w:hAnsi="Sylfaen"/>
          <w:b/>
          <w:bCs/>
          <w:i/>
          <w:iCs/>
          <w:sz w:val="24"/>
          <w:szCs w:val="24"/>
        </w:rPr>
        <w:t>ի</w:t>
      </w:r>
      <w:r w:rsidRPr="007130F9">
        <w:rPr>
          <w:rFonts w:ascii="Sylfaen" w:hAnsi="Sylfaen"/>
          <w:b/>
          <w:bCs/>
          <w:i/>
          <w:iCs/>
          <w:sz w:val="24"/>
          <w:szCs w:val="24"/>
        </w:rPr>
        <w:t>վ 55</w:t>
      </w:r>
      <w:r w:rsidRPr="008E4EB1">
        <w:rPr>
          <w:rFonts w:ascii="Sylfaen" w:hAnsi="Sylfaen"/>
          <w:b/>
          <w:bCs/>
          <w:i/>
          <w:iCs/>
          <w:sz w:val="24"/>
          <w:szCs w:val="24"/>
        </w:rPr>
        <w:t>)</w:t>
      </w:r>
    </w:p>
    <w:bookmarkEnd w:id="0"/>
    <w:p w14:paraId="0DCF32A3" w14:textId="77777777" w:rsidR="00307589" w:rsidRPr="00A958BD" w:rsidRDefault="00307589" w:rsidP="00307589">
      <w:pPr>
        <w:tabs>
          <w:tab w:val="left" w:pos="1134"/>
        </w:tabs>
        <w:spacing w:after="160" w:line="360" w:lineRule="auto"/>
        <w:ind w:right="-8" w:firstLine="567"/>
        <w:jc w:val="center"/>
        <w:rPr>
          <w:rFonts w:ascii="Sylfaen" w:hAnsi="Sylfaen"/>
          <w:sz w:val="24"/>
          <w:szCs w:val="24"/>
        </w:rPr>
      </w:pPr>
      <w:r w:rsidRPr="00A958BD">
        <w:rPr>
          <w:rFonts w:ascii="Sylfaen" w:hAnsi="Sylfaen"/>
          <w:sz w:val="24"/>
          <w:szCs w:val="24"/>
        </w:rPr>
        <w:t>___________________</w:t>
      </w:r>
    </w:p>
    <w:p w14:paraId="60D658C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p>
    <w:p w14:paraId="1A18A1A9" w14:textId="77777777" w:rsidR="006F76EB" w:rsidRPr="00834D52" w:rsidRDefault="006F76EB" w:rsidP="006F76EB">
      <w:pPr>
        <w:spacing w:after="160" w:line="360" w:lineRule="auto"/>
        <w:rPr>
          <w:rFonts w:ascii="Sylfaen" w:eastAsia="Times New Roman" w:hAnsi="Sylfaen" w:cs="Times New Roman"/>
          <w:sz w:val="24"/>
          <w:szCs w:val="24"/>
        </w:rPr>
        <w:sectPr w:rsidR="006F76EB" w:rsidRPr="00834D52" w:rsidSect="00F71229">
          <w:footerReference w:type="default" r:id="rId8"/>
          <w:pgSz w:w="11906" w:h="16838" w:code="9"/>
          <w:pgMar w:top="1418" w:right="1418" w:bottom="1418" w:left="1418" w:header="709" w:footer="709" w:gutter="0"/>
          <w:pgNumType w:start="1"/>
          <w:cols w:space="708"/>
          <w:titlePg/>
          <w:docGrid w:linePitch="360"/>
        </w:sectPr>
      </w:pPr>
    </w:p>
    <w:p w14:paraId="3DFEA24B" w14:textId="77777777" w:rsidR="006F76EB" w:rsidRPr="00834D52" w:rsidRDefault="006F76EB" w:rsidP="00C343E2">
      <w:pPr>
        <w:spacing w:after="160" w:line="360" w:lineRule="auto"/>
        <w:ind w:left="4253" w:right="-8"/>
        <w:jc w:val="center"/>
        <w:rPr>
          <w:rFonts w:ascii="Sylfaen" w:eastAsia="Times New Roman" w:hAnsi="Sylfaen" w:cs="Times New Roman"/>
          <w:sz w:val="24"/>
          <w:szCs w:val="24"/>
        </w:rPr>
      </w:pPr>
      <w:r w:rsidRPr="00834D52">
        <w:rPr>
          <w:rFonts w:ascii="Sylfaen" w:hAnsi="Sylfaen"/>
          <w:sz w:val="24"/>
          <w:szCs w:val="24"/>
        </w:rPr>
        <w:lastRenderedPageBreak/>
        <w:t xml:space="preserve">ՀԱՎԵԼՎԱԾ </w:t>
      </w:r>
      <w:r w:rsidR="003F283E">
        <w:rPr>
          <w:rFonts w:ascii="Sylfaen" w:hAnsi="Sylfaen"/>
          <w:sz w:val="24"/>
          <w:szCs w:val="24"/>
        </w:rPr>
        <w:t xml:space="preserve">ԹԻՎ </w:t>
      </w:r>
      <w:r w:rsidRPr="00834D52">
        <w:rPr>
          <w:rFonts w:ascii="Sylfaen" w:hAnsi="Sylfaen"/>
          <w:sz w:val="24"/>
          <w:szCs w:val="24"/>
        </w:rPr>
        <w:t>1</w:t>
      </w:r>
    </w:p>
    <w:p w14:paraId="6CA4DF2D" w14:textId="77777777" w:rsidR="006F76EB" w:rsidRPr="00834D52" w:rsidRDefault="006F76EB" w:rsidP="00C343E2">
      <w:pPr>
        <w:spacing w:after="160" w:line="360" w:lineRule="auto"/>
        <w:ind w:left="4253" w:right="-8"/>
        <w:jc w:val="center"/>
        <w:rPr>
          <w:rFonts w:ascii="Sylfaen" w:eastAsia="Times New Roman" w:hAnsi="Sylfaen" w:cs="Times New Roman"/>
          <w:sz w:val="24"/>
          <w:szCs w:val="24"/>
        </w:rPr>
      </w:pPr>
      <w:r w:rsidRPr="00834D52">
        <w:rPr>
          <w:rFonts w:ascii="Sylfaen" w:hAnsi="Sylfaen"/>
          <w:sz w:val="24"/>
          <w:szCs w:val="24"/>
        </w:rPr>
        <w:t xml:space="preserve">Բժշկական կիրառման համար նախատեսված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w:t>
      </w:r>
    </w:p>
    <w:p w14:paraId="0C12A994" w14:textId="77777777" w:rsidR="006F76EB" w:rsidRPr="00834D52" w:rsidRDefault="006F76EB" w:rsidP="00F102EA">
      <w:pPr>
        <w:spacing w:after="160" w:line="360" w:lineRule="auto"/>
        <w:ind w:left="567" w:right="565"/>
        <w:jc w:val="center"/>
        <w:rPr>
          <w:rFonts w:ascii="Sylfaen" w:hAnsi="Sylfaen"/>
          <w:sz w:val="24"/>
          <w:szCs w:val="24"/>
        </w:rPr>
      </w:pPr>
    </w:p>
    <w:p w14:paraId="4300395B" w14:textId="77777777" w:rsidR="006F76EB" w:rsidRPr="00834D52" w:rsidRDefault="006F76EB" w:rsidP="00F102EA">
      <w:pPr>
        <w:spacing w:after="160" w:line="360" w:lineRule="auto"/>
        <w:ind w:left="567" w:right="565"/>
        <w:jc w:val="center"/>
        <w:rPr>
          <w:rFonts w:ascii="Sylfaen" w:eastAsia="Times New Roman" w:hAnsi="Sylfaen" w:cs="Times New Roman"/>
          <w:sz w:val="24"/>
          <w:szCs w:val="24"/>
        </w:rPr>
      </w:pPr>
      <w:r w:rsidRPr="00834D52">
        <w:rPr>
          <w:rFonts w:ascii="Sylfaen" w:hAnsi="Sylfaen"/>
          <w:b/>
          <w:sz w:val="24"/>
          <w:szCs w:val="24"/>
        </w:rPr>
        <w:t>ՊԱՀԱՆՋՆԵՐ</w:t>
      </w:r>
    </w:p>
    <w:p w14:paraId="7AA52070" w14:textId="77777777" w:rsidR="006F76EB" w:rsidRPr="00834D52" w:rsidRDefault="006F76EB" w:rsidP="00F102EA">
      <w:pPr>
        <w:spacing w:after="160" w:line="360" w:lineRule="auto"/>
        <w:ind w:left="567" w:right="565"/>
        <w:jc w:val="center"/>
        <w:rPr>
          <w:rFonts w:ascii="Sylfaen" w:eastAsia="Times New Roman" w:hAnsi="Sylfaen" w:cs="Times New Roman"/>
          <w:b/>
          <w:bCs/>
          <w:sz w:val="24"/>
          <w:szCs w:val="24"/>
        </w:rPr>
      </w:pPr>
      <w:r w:rsidRPr="00834D52">
        <w:rPr>
          <w:rFonts w:ascii="Sylfaen" w:hAnsi="Sylfaen"/>
          <w:b/>
          <w:sz w:val="24"/>
          <w:szCs w:val="24"/>
        </w:rPr>
        <w:t>գրանցման դոսյեի փաստաթղթերին ներկայացվող</w:t>
      </w:r>
    </w:p>
    <w:p w14:paraId="2BDA545C" w14:textId="77777777" w:rsidR="006F76EB" w:rsidRPr="00834D52" w:rsidRDefault="006F76EB" w:rsidP="00F102EA">
      <w:pPr>
        <w:spacing w:after="160" w:line="360" w:lineRule="auto"/>
        <w:ind w:left="567" w:right="565"/>
        <w:jc w:val="center"/>
        <w:rPr>
          <w:rFonts w:ascii="Sylfaen" w:eastAsia="Times New Roman" w:hAnsi="Sylfaen" w:cs="Times New Roman"/>
          <w:sz w:val="24"/>
          <w:szCs w:val="24"/>
        </w:rPr>
      </w:pPr>
      <w:r w:rsidRPr="00834D52">
        <w:rPr>
          <w:rFonts w:ascii="Sylfaen" w:hAnsi="Sylfaen"/>
          <w:b/>
          <w:sz w:val="24"/>
          <w:szCs w:val="24"/>
        </w:rPr>
        <w:t>(ընդհանուր տեխնիկական փաստաթղթի ձ</w:t>
      </w:r>
      <w:r w:rsidR="00C54D75">
        <w:rPr>
          <w:rFonts w:ascii="Sylfaen" w:hAnsi="Sylfaen"/>
          <w:b/>
          <w:sz w:val="24"/>
          <w:szCs w:val="24"/>
        </w:rPr>
        <w:t>և</w:t>
      </w:r>
      <w:r w:rsidRPr="00834D52">
        <w:rPr>
          <w:rFonts w:ascii="Sylfaen" w:hAnsi="Sylfaen"/>
          <w:b/>
          <w:sz w:val="24"/>
          <w:szCs w:val="24"/>
        </w:rPr>
        <w:t>աչափով)</w:t>
      </w:r>
    </w:p>
    <w:p w14:paraId="71E32802" w14:textId="77777777" w:rsidR="006F76EB" w:rsidRPr="00834D52" w:rsidRDefault="006F76EB" w:rsidP="00F102EA">
      <w:pPr>
        <w:spacing w:after="160" w:line="360" w:lineRule="auto"/>
        <w:ind w:left="567" w:right="565"/>
        <w:jc w:val="center"/>
        <w:rPr>
          <w:rFonts w:ascii="Sylfaen" w:hAnsi="Sylfaen"/>
          <w:sz w:val="24"/>
          <w:szCs w:val="24"/>
        </w:rPr>
      </w:pPr>
    </w:p>
    <w:p w14:paraId="3282C5B8" w14:textId="77777777" w:rsidR="006F76EB" w:rsidRPr="00834D52" w:rsidRDefault="006F76EB" w:rsidP="00F102EA">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I. Դեղապատրաստուկի գրանցման դիմումն ուղեկցող գրանցման դոսյեի մոդուլներին ներկայացվող ընդհանուր պահանջները</w:t>
      </w:r>
    </w:p>
    <w:p w14:paraId="5DE7FA62" w14:textId="77777777" w:rsidR="006F76EB" w:rsidRPr="00834D52" w:rsidRDefault="006F76EB" w:rsidP="00F102EA">
      <w:pPr>
        <w:spacing w:after="160" w:line="360" w:lineRule="auto"/>
        <w:ind w:left="567" w:right="565"/>
        <w:jc w:val="center"/>
        <w:rPr>
          <w:rFonts w:ascii="Sylfaen" w:hAnsi="Sylfaen"/>
          <w:sz w:val="24"/>
          <w:szCs w:val="24"/>
        </w:rPr>
      </w:pPr>
    </w:p>
    <w:p w14:paraId="277D79F0" w14:textId="77777777" w:rsidR="006F76EB" w:rsidRPr="00834D52" w:rsidRDefault="006F76EB" w:rsidP="00F102EA">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1. 1-ին մոդուլում բերված գրանցման դոսյեի փաստաթղթերին ներկայացվող պահանջները՝ վարչական տեղեկատվություն</w:t>
      </w:r>
    </w:p>
    <w:p w14:paraId="13BBBB17"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1.0.</w:t>
      </w:r>
      <w:r w:rsidRPr="00834D52">
        <w:rPr>
          <w:rFonts w:ascii="Sylfaen" w:hAnsi="Sylfaen"/>
          <w:sz w:val="24"/>
          <w:szCs w:val="24"/>
        </w:rPr>
        <w:tab/>
        <w:t>Ուղեկցող նամակ (ինչպես ընդհանուր տեխնիկական փաստաթղթում (այսուհետ՝ ԸՏՓ)):</w:t>
      </w:r>
    </w:p>
    <w:p w14:paraId="24051F19"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Այս բաժնում անհրաժեշտ է ընդգրկել դիմումն ուղեկցող նամակը:</w:t>
      </w:r>
    </w:p>
    <w:p w14:paraId="7386CF55"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Անհրաժեշտության դեպքում, որպես ուղեկցող նամակի հավելված, թույլատրվում է ներկայացնել «Ի գիտություն փորձագետների» փաստաթուղթը՝ նավիգացիայի բարելավման նպատակով ներկայացնելով ավելի մանրամասն տեղեկություններ (օրինակ՝ գերհղումների, հատորների դասավորության </w:t>
      </w:r>
      <w:r w:rsidR="00C54D75">
        <w:rPr>
          <w:rFonts w:ascii="Sylfaen" w:hAnsi="Sylfaen"/>
          <w:sz w:val="24"/>
          <w:szCs w:val="24"/>
        </w:rPr>
        <w:t>և</w:t>
      </w:r>
      <w:r w:rsidRPr="00834D52">
        <w:rPr>
          <w:rFonts w:ascii="Sylfaen" w:hAnsi="Sylfaen"/>
          <w:sz w:val="24"/>
          <w:szCs w:val="24"/>
        </w:rPr>
        <w:t xml:space="preserve"> այլնի մասին):</w:t>
      </w:r>
    </w:p>
    <w:p w14:paraId="15CCD423" w14:textId="77777777" w:rsidR="006F76EB" w:rsidRPr="00834D52" w:rsidRDefault="006F76EB" w:rsidP="009F7A79">
      <w:pPr>
        <w:pStyle w:val="ListParagraph"/>
        <w:numPr>
          <w:ilvl w:val="1"/>
          <w:numId w:val="1"/>
        </w:numPr>
        <w:tabs>
          <w:tab w:val="left" w:pos="1134"/>
        </w:tabs>
        <w:spacing w:after="160" w:line="360" w:lineRule="auto"/>
        <w:ind w:left="0" w:right="-8" w:firstLine="567"/>
        <w:contextualSpacing w:val="0"/>
        <w:jc w:val="both"/>
        <w:rPr>
          <w:rFonts w:ascii="Sylfaen" w:eastAsia="Times New Roman" w:hAnsi="Sylfaen" w:cs="Times New Roman"/>
          <w:sz w:val="24"/>
          <w:szCs w:val="24"/>
        </w:rPr>
      </w:pPr>
      <w:r w:rsidRPr="00834D52">
        <w:rPr>
          <w:rFonts w:ascii="Sylfaen" w:hAnsi="Sylfaen" w:cs="Sylfaen"/>
          <w:sz w:val="24"/>
          <w:szCs w:val="24"/>
        </w:rPr>
        <w:t>Բովանդակություն։</w:t>
      </w:r>
    </w:p>
    <w:p w14:paraId="6DF2F7B0"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գրանցման դոսյեի 1-5-րդ մոդուլների ամբողջական բովանդակությունը:</w:t>
      </w:r>
    </w:p>
    <w:p w14:paraId="1D1504E3"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1.2.</w:t>
      </w:r>
      <w:r w:rsidRPr="00834D52">
        <w:rPr>
          <w:rFonts w:ascii="Sylfaen" w:hAnsi="Sylfaen"/>
          <w:sz w:val="24"/>
          <w:szCs w:val="24"/>
        </w:rPr>
        <w:tab/>
        <w:t>Ընդհանուր փաստաթղթերը.</w:t>
      </w:r>
    </w:p>
    <w:p w14:paraId="4A694C4F"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1.2.1.</w:t>
      </w:r>
      <w:r w:rsidRPr="00834D52">
        <w:rPr>
          <w:rFonts w:ascii="Sylfaen" w:hAnsi="Sylfaen"/>
          <w:sz w:val="24"/>
          <w:szCs w:val="24"/>
        </w:rPr>
        <w:tab/>
        <w:t xml:space="preserve">Դեղապատրաստուկի գրանցման դիմումը (թղթային </w:t>
      </w:r>
      <w:r w:rsidR="00C54D75">
        <w:rPr>
          <w:rFonts w:ascii="Sylfaen" w:hAnsi="Sylfaen"/>
          <w:sz w:val="24"/>
          <w:szCs w:val="24"/>
        </w:rPr>
        <w:t>և</w:t>
      </w:r>
      <w:r w:rsidRPr="00834D52">
        <w:rPr>
          <w:rFonts w:ascii="Sylfaen" w:hAnsi="Sylfaen"/>
          <w:sz w:val="24"/>
          <w:szCs w:val="24"/>
        </w:rPr>
        <w:t xml:space="preserve"> էլեկտրոնային կրիչներով՝ *.doc, *.docx </w:t>
      </w:r>
      <w:r w:rsidR="00C54D75">
        <w:rPr>
          <w:rFonts w:ascii="Sylfaen" w:hAnsi="Sylfaen"/>
          <w:sz w:val="24"/>
          <w:szCs w:val="24"/>
        </w:rPr>
        <w:t>և</w:t>
      </w:r>
      <w:r w:rsidRPr="00834D52">
        <w:rPr>
          <w:rFonts w:ascii="Sylfaen" w:hAnsi="Sylfaen"/>
          <w:sz w:val="24"/>
          <w:szCs w:val="24"/>
        </w:rPr>
        <w:t xml:space="preserve"> *.pdf ձ</w:t>
      </w:r>
      <w:r w:rsidR="00C54D75">
        <w:rPr>
          <w:rFonts w:ascii="Sylfaen" w:hAnsi="Sylfaen"/>
          <w:sz w:val="24"/>
          <w:szCs w:val="24"/>
        </w:rPr>
        <w:t>և</w:t>
      </w:r>
      <w:r w:rsidRPr="00834D52">
        <w:rPr>
          <w:rFonts w:ascii="Sylfaen" w:hAnsi="Sylfaen"/>
          <w:sz w:val="24"/>
          <w:szCs w:val="24"/>
        </w:rPr>
        <w:t>աչափերով) լրացվում է սույն Կանոնների</w:t>
      </w:r>
      <w:r w:rsidR="003F283E">
        <w:rPr>
          <w:rFonts w:ascii="Sylfaen" w:hAnsi="Sylfaen"/>
          <w:sz w:val="24"/>
          <w:szCs w:val="24"/>
        </w:rPr>
        <w:t xml:space="preserve"> թիվ</w:t>
      </w:r>
      <w:r w:rsidRPr="00834D52">
        <w:rPr>
          <w:rFonts w:ascii="Sylfaen" w:hAnsi="Sylfaen"/>
          <w:sz w:val="24"/>
          <w:szCs w:val="24"/>
        </w:rPr>
        <w:t xml:space="preserve"> 2 հավելվածի համաձայն սահմանված ձ</w:t>
      </w:r>
      <w:r w:rsidR="00C54D75">
        <w:rPr>
          <w:rFonts w:ascii="Sylfaen" w:hAnsi="Sylfaen"/>
          <w:sz w:val="24"/>
          <w:szCs w:val="24"/>
        </w:rPr>
        <w:t>և</w:t>
      </w:r>
      <w:r w:rsidRPr="00834D52">
        <w:rPr>
          <w:rFonts w:ascii="Sylfaen" w:hAnsi="Sylfaen"/>
          <w:sz w:val="24"/>
          <w:szCs w:val="24"/>
        </w:rPr>
        <w:t>ով:</w:t>
      </w:r>
    </w:p>
    <w:p w14:paraId="44A1565B"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1.2.2.</w:t>
      </w:r>
      <w:r w:rsidRPr="00834D52">
        <w:rPr>
          <w:rFonts w:ascii="Sylfaen" w:hAnsi="Sylfaen"/>
          <w:sz w:val="24"/>
          <w:szCs w:val="24"/>
        </w:rPr>
        <w:tab/>
        <w:t xml:space="preserve">Փորձագիտական աշխատանքների վճարումը </w:t>
      </w:r>
      <w:r w:rsidR="00C54D75">
        <w:rPr>
          <w:rFonts w:ascii="Sylfaen" w:hAnsi="Sylfaen"/>
          <w:sz w:val="24"/>
          <w:szCs w:val="24"/>
        </w:rPr>
        <w:t>և</w:t>
      </w:r>
      <w:r w:rsidRPr="00834D52">
        <w:rPr>
          <w:rFonts w:ascii="Sylfaen" w:hAnsi="Sylfaen"/>
          <w:sz w:val="24"/>
          <w:szCs w:val="24"/>
        </w:rPr>
        <w:t xml:space="preserve"> (կամ) գրանցման համար հավաքագրման (տուրքի) վճարումը հաստատող փաստաթղթերը՝ Եվրասիական տնտեսական միության այն անդամ պետության (այսուհետ՝ անդամ պետություններ) օրենսդրությանը համապատասխան, որն իրականացնում է դեղապատրաստուկի գրանցումը (անդամ պետության օրենսդրությունում հայտատուից այն փաստաթղթերը պահանջելու արգելքի բացակայության դեպքում, որոնք գտնվում են լիազորված մարմնի տրամադրության տակ կամ ինքնուրույն կարող են ստացվել լիազորված մարմնի կողմից):</w:t>
      </w:r>
    </w:p>
    <w:p w14:paraId="7C7AAADC"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1.2.3.</w:t>
      </w:r>
      <w:r w:rsidRPr="00834D52">
        <w:rPr>
          <w:rFonts w:ascii="Sylfaen" w:hAnsi="Sylfaen"/>
          <w:sz w:val="24"/>
          <w:szCs w:val="24"/>
        </w:rPr>
        <w:tab/>
        <w:t>Արտադրող երկրի լիազորված մարմնի կողմից տրված (առկայության դեպքում), սահմանված կարգով հաստատված՝ դեղապատրաստուկի հավաստագրի պատճենը՝ համաձայն Առողջապահության համաշխարհային կազմակերպության կողմից առաջարկված ձ</w:t>
      </w:r>
      <w:r w:rsidR="00C54D75">
        <w:rPr>
          <w:rFonts w:ascii="Sylfaen" w:hAnsi="Sylfaen"/>
          <w:sz w:val="24"/>
          <w:szCs w:val="24"/>
        </w:rPr>
        <w:t>և</w:t>
      </w:r>
      <w:r w:rsidRPr="00834D52">
        <w:rPr>
          <w:rFonts w:ascii="Sylfaen" w:hAnsi="Sylfaen"/>
          <w:sz w:val="24"/>
          <w:szCs w:val="24"/>
        </w:rPr>
        <w:t>աչափի:</w:t>
      </w:r>
    </w:p>
    <w:p w14:paraId="08F9B6E8"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Այդպիսի հավաստագրի բացակայության դեպքում՝ արտադրող երկրում </w:t>
      </w:r>
      <w:r w:rsidR="00C54D75">
        <w:rPr>
          <w:rFonts w:ascii="Sylfaen" w:hAnsi="Sylfaen"/>
          <w:sz w:val="24"/>
          <w:szCs w:val="24"/>
        </w:rPr>
        <w:t>և</w:t>
      </w:r>
      <w:r w:rsidRPr="00834D52">
        <w:rPr>
          <w:rFonts w:ascii="Sylfaen" w:hAnsi="Sylfaen"/>
          <w:sz w:val="24"/>
          <w:szCs w:val="24"/>
        </w:rPr>
        <w:t xml:space="preserve"> (կամ) դեղապատրաստուկի գրանցման հավաստագրի իրավատեր երկրում գրանցումը հաստատող փաստաթուղթը (սահմանված կարգով հաստատված) (առկայության դեպքում):</w:t>
      </w:r>
    </w:p>
    <w:p w14:paraId="6EEA94DB"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Արտադրող երկրում կամ դեղապատրաստուկի գրանցման հավաստագրի իրավատեր երկրում գրանցման բացակայության դեպքում ներկայացվում է բացատրագիր՝ գրանցման տվյալների բացակայության հիմնավորմամբ:</w:t>
      </w:r>
    </w:p>
    <w:p w14:paraId="385D86B3"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1.2.4.</w:t>
      </w:r>
      <w:r w:rsidRPr="00834D52">
        <w:rPr>
          <w:rFonts w:ascii="Sylfaen" w:hAnsi="Sylfaen"/>
          <w:sz w:val="24"/>
          <w:szCs w:val="24"/>
        </w:rPr>
        <w:tab/>
        <w:t xml:space="preserve">Լիազորված մարմնի փորձագիտական հաշվետվության ռուսերեն թարգմանությունը </w:t>
      </w:r>
      <w:r w:rsidR="00C54D75">
        <w:rPr>
          <w:rFonts w:ascii="Sylfaen" w:hAnsi="Sylfaen"/>
          <w:sz w:val="24"/>
          <w:szCs w:val="24"/>
        </w:rPr>
        <w:t>և</w:t>
      </w:r>
      <w:r w:rsidRPr="00834D52">
        <w:rPr>
          <w:rFonts w:ascii="Sylfaen" w:hAnsi="Sylfaen"/>
          <w:sz w:val="24"/>
          <w:szCs w:val="24"/>
        </w:rPr>
        <w:t xml:space="preserve"> սահմանված կարգով հաստատված պատճենը՝ արտադրող երկրում կամ դեղապատրաստուկի գրանցման հավաստագրի (առկայության դեպքում) իրավատեր երկրում դեղապատրաստուկի գրանցման դեպքում:</w:t>
      </w:r>
    </w:p>
    <w:p w14:paraId="770565A7"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1.2.5.</w:t>
      </w:r>
      <w:r w:rsidRPr="00834D52">
        <w:rPr>
          <w:rFonts w:ascii="Sylfaen" w:hAnsi="Sylfaen"/>
          <w:sz w:val="24"/>
          <w:szCs w:val="24"/>
        </w:rPr>
        <w:tab/>
        <w:t>Անդամ պետության լիազորված մարմնի (լիազորված</w:t>
      </w:r>
      <w:r w:rsidR="00065DCF" w:rsidRPr="00065DCF">
        <w:rPr>
          <w:rFonts w:ascii="Sylfaen" w:hAnsi="Sylfaen"/>
          <w:sz w:val="24"/>
          <w:szCs w:val="24"/>
        </w:rPr>
        <w:t> </w:t>
      </w:r>
      <w:r w:rsidRPr="00834D52">
        <w:rPr>
          <w:rFonts w:ascii="Sylfaen" w:hAnsi="Sylfaen"/>
          <w:sz w:val="24"/>
          <w:szCs w:val="24"/>
        </w:rPr>
        <w:t>կազմակերպության) եզրակացությունը (առաջարկությունը)՝ ըստ անդամ պետություններում տվյալ դեղապատրաստուկի վերաբերյալ նախնական գիտական խորհրդատվության արդյունքների (առկայության դեպքում):</w:t>
      </w:r>
    </w:p>
    <w:p w14:paraId="2519B5B3"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1.2.6.</w:t>
      </w:r>
      <w:r w:rsidRPr="00834D52">
        <w:rPr>
          <w:rFonts w:ascii="Sylfaen" w:hAnsi="Sylfaen"/>
          <w:sz w:val="24"/>
          <w:szCs w:val="24"/>
        </w:rPr>
        <w:tab/>
        <w:t>Եվրասիական տնտեսական հանձնաժողովին (այսուհետ՝ Հանձնաժողով)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 (առկայության դեպքում):</w:t>
      </w:r>
    </w:p>
    <w:p w14:paraId="665C5B95"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w:t>
      </w:r>
      <w:r w:rsidRPr="00834D52">
        <w:rPr>
          <w:rFonts w:ascii="Sylfaen" w:hAnsi="Sylfaen"/>
          <w:sz w:val="24"/>
          <w:szCs w:val="24"/>
        </w:rPr>
        <w:tab/>
        <w:t>Դեղապատրաստուկի ընդհանուր բնութագիրը (այսուհետ՝ ԴԸԲ), բժշկական կիրառման հրահանգը (ներդիր թերթիկը) (այսուհետ՝ ԲԿՀ), մակնշումը՝</w:t>
      </w:r>
    </w:p>
    <w:p w14:paraId="00324EE1"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1.3.1.</w:t>
      </w:r>
      <w:r w:rsidRPr="00834D52">
        <w:rPr>
          <w:rFonts w:ascii="Sylfaen" w:hAnsi="Sylfaen"/>
          <w:sz w:val="24"/>
          <w:szCs w:val="24"/>
        </w:rPr>
        <w:tab/>
        <w:t xml:space="preserve">Ռուսերենով կազմած ԴԸԲ-ի, ԲԿՀ-ի նախագծերը՝ դեղապատրաստուկների բժշկական կիրառման հրահանգին </w:t>
      </w:r>
      <w:r w:rsidR="00C54D75">
        <w:rPr>
          <w:rFonts w:ascii="Sylfaen" w:hAnsi="Sylfaen"/>
          <w:sz w:val="24"/>
          <w:szCs w:val="24"/>
        </w:rPr>
        <w:t>և</w:t>
      </w:r>
      <w:r w:rsidRPr="00834D52">
        <w:rPr>
          <w:rFonts w:ascii="Sylfaen" w:hAnsi="Sylfaen"/>
          <w:sz w:val="24"/>
          <w:szCs w:val="24"/>
        </w:rPr>
        <w:t xml:space="preserve"> Հանձնաժողովի կողմից հաստատվող բժշկական կիրառման համար նախատեսված դեղապատրաստուկների ընդհանուր բնութագրին ներկայացվող պահանջներին համապատասխան։</w:t>
      </w:r>
    </w:p>
    <w:p w14:paraId="2508C8DC"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1.3.2.</w:t>
      </w:r>
      <w:r w:rsidRPr="00834D52">
        <w:rPr>
          <w:rFonts w:ascii="Sylfaen" w:hAnsi="Sylfaen"/>
          <w:sz w:val="24"/>
          <w:szCs w:val="24"/>
        </w:rPr>
        <w:tab/>
        <w:t xml:space="preserve">Երկրորդական (սպառողական), առաջնային (ներքին) </w:t>
      </w:r>
      <w:r w:rsidR="00C54D75">
        <w:rPr>
          <w:rFonts w:ascii="Sylfaen" w:hAnsi="Sylfaen"/>
          <w:sz w:val="24"/>
          <w:szCs w:val="24"/>
        </w:rPr>
        <w:t>և</w:t>
      </w:r>
      <w:r w:rsidRPr="00834D52">
        <w:rPr>
          <w:rFonts w:ascii="Sylfaen" w:hAnsi="Sylfaen"/>
          <w:sz w:val="24"/>
          <w:szCs w:val="24"/>
        </w:rPr>
        <w:t xml:space="preserve"> միջանկյալ փաթեթվածքների ռուսերենով կազմված մակետները (հարթ օրիգինալ մակետի լիագույն պատճենները, որոնք երկչափ կատարմամբ ապահովում են դեղապատրաստուկի՝ «թղթային պատճեն» կամ «համակարգչային տարբերակ» կոչվող ինչպես երկրորդական (սպառողական), այնպես էլ առաջնային (ներքին) փաթեթվածքի </w:t>
      </w:r>
      <w:r w:rsidR="00C54D75">
        <w:rPr>
          <w:rFonts w:ascii="Sylfaen" w:hAnsi="Sylfaen"/>
          <w:sz w:val="24"/>
          <w:szCs w:val="24"/>
        </w:rPr>
        <w:t>և</w:t>
      </w:r>
      <w:r w:rsidRPr="00834D52">
        <w:rPr>
          <w:rFonts w:ascii="Sylfaen" w:hAnsi="Sylfaen"/>
          <w:sz w:val="24"/>
          <w:szCs w:val="24"/>
        </w:rPr>
        <w:t xml:space="preserve"> մակնշման վերարտադրությունը)՝ Հանձնաժողովի կողմից հաստատված բժշկական կիրառման համար նախատեսված դեղամիջոցների </w:t>
      </w:r>
      <w:r w:rsidR="00C54D75">
        <w:rPr>
          <w:rFonts w:ascii="Sylfaen" w:hAnsi="Sylfaen"/>
          <w:sz w:val="24"/>
          <w:szCs w:val="24"/>
        </w:rPr>
        <w:t>և</w:t>
      </w:r>
      <w:r w:rsidRPr="00834D52">
        <w:rPr>
          <w:rFonts w:ascii="Sylfaen" w:hAnsi="Sylfaen"/>
          <w:sz w:val="24"/>
          <w:szCs w:val="24"/>
        </w:rPr>
        <w:t xml:space="preserve"> անասնաբուժական դեղամիջոցների մակնշմանը ներկայացվող պահանջներին համապատասխան: Միջանկյալ փաթեթվածքի, պիտակների, սթիքերների մակետները ներկայացվում են առկայության դեպքում:</w:t>
      </w:r>
    </w:p>
    <w:p w14:paraId="5D0E5F76"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1.3.3.</w:t>
      </w:r>
      <w:r w:rsidRPr="00834D52">
        <w:rPr>
          <w:rFonts w:ascii="Sylfaen" w:hAnsi="Sylfaen"/>
          <w:sz w:val="24"/>
          <w:szCs w:val="24"/>
        </w:rPr>
        <w:tab/>
        <w:t>ԲԿՀ-ի տեքստի օգտատերերի թեստավորման արդյունքները (</w:t>
      </w:r>
      <w:r w:rsidR="00E2752F">
        <w:rPr>
          <w:rFonts w:ascii="Sylfaen" w:hAnsi="Sylfaen"/>
          <w:sz w:val="24"/>
          <w:szCs w:val="24"/>
        </w:rPr>
        <w:t>առկայության դեպքում</w:t>
      </w:r>
      <w:r w:rsidRPr="00834D52">
        <w:rPr>
          <w:rFonts w:ascii="Sylfaen" w:hAnsi="Sylfaen"/>
          <w:sz w:val="24"/>
          <w:szCs w:val="24"/>
        </w:rPr>
        <w:t>):</w:t>
      </w:r>
    </w:p>
    <w:p w14:paraId="0B711B4B"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Օգտատերերի թեստավորման արդյունքները ներկայացնելիս անհրաժեշտ է կրճատ ամփոփել՝ ինչպես է անցկացվել թեստավորումը </w:t>
      </w:r>
      <w:r w:rsidR="00C54D75">
        <w:rPr>
          <w:rFonts w:ascii="Sylfaen" w:hAnsi="Sylfaen"/>
          <w:sz w:val="24"/>
          <w:szCs w:val="24"/>
        </w:rPr>
        <w:t>և</w:t>
      </w:r>
      <w:r w:rsidRPr="00834D52">
        <w:rPr>
          <w:rFonts w:ascii="Sylfaen" w:hAnsi="Sylfaen"/>
          <w:sz w:val="24"/>
          <w:szCs w:val="24"/>
        </w:rPr>
        <w:t xml:space="preserve"> ինչ կերպ են ԲԿՀ-ի վերջնական խմբագրության մեջ կատարվել բոլոր անհրաժեշտ փոփոխությունները: Ռեզյումեն անհրաժեշտ է ներկայացնել մոդուլի տվյալ բաժնում հետ</w:t>
      </w:r>
      <w:r w:rsidR="00C54D75">
        <w:rPr>
          <w:rFonts w:ascii="Sylfaen" w:hAnsi="Sylfaen"/>
          <w:sz w:val="24"/>
          <w:szCs w:val="24"/>
        </w:rPr>
        <w:t>և</w:t>
      </w:r>
      <w:r w:rsidRPr="00834D52">
        <w:rPr>
          <w:rFonts w:ascii="Sylfaen" w:hAnsi="Sylfaen"/>
          <w:sz w:val="24"/>
          <w:szCs w:val="24"/>
        </w:rPr>
        <w:t>յալ ձ</w:t>
      </w:r>
      <w:r w:rsidR="00C54D75">
        <w:rPr>
          <w:rFonts w:ascii="Sylfaen" w:hAnsi="Sylfaen"/>
          <w:sz w:val="24"/>
          <w:szCs w:val="24"/>
        </w:rPr>
        <w:t>և</w:t>
      </w:r>
      <w:r w:rsidRPr="00834D52">
        <w:rPr>
          <w:rFonts w:ascii="Sylfaen" w:hAnsi="Sylfaen"/>
          <w:sz w:val="24"/>
          <w:szCs w:val="24"/>
        </w:rPr>
        <w:t>ով՝</w:t>
      </w:r>
    </w:p>
    <w:p w14:paraId="0D30D588"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կրճատ նկարագրությունը.</w:t>
      </w:r>
    </w:p>
    <w:p w14:paraId="257C683F"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անցկացված թեստավորման կամ ԲԿՀ-ի առանձին տարրերի ուսումնասիրման կրճատ նկարագրությունը (օգտագործված մեթոդիկան, թեստավորման համար մասնակիցների ընտրության չափանիշների պարզաբանումները, թեստավորման լեզուն).</w:t>
      </w:r>
    </w:p>
    <w:p w14:paraId="30B80850"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օգտագործված հարցաթերթերը (հարցաթերթիկները, այդ թվում՝ դրանց լրացման հրահանգները </w:t>
      </w:r>
      <w:r w:rsidR="00C54D75">
        <w:rPr>
          <w:rFonts w:ascii="Sylfaen" w:hAnsi="Sylfaen"/>
          <w:sz w:val="24"/>
          <w:szCs w:val="24"/>
        </w:rPr>
        <w:t>և</w:t>
      </w:r>
      <w:r w:rsidRPr="00834D52">
        <w:rPr>
          <w:rFonts w:ascii="Sylfaen" w:hAnsi="Sylfaen"/>
          <w:sz w:val="24"/>
          <w:szCs w:val="24"/>
        </w:rPr>
        <w:t xml:space="preserve"> դիտարկման ձ</w:t>
      </w:r>
      <w:r w:rsidR="00C54D75">
        <w:rPr>
          <w:rFonts w:ascii="Sylfaen" w:hAnsi="Sylfaen"/>
          <w:sz w:val="24"/>
          <w:szCs w:val="24"/>
        </w:rPr>
        <w:t>և</w:t>
      </w:r>
      <w:r w:rsidRPr="00834D52">
        <w:rPr>
          <w:rFonts w:ascii="Sylfaen" w:hAnsi="Sylfaen"/>
          <w:sz w:val="24"/>
          <w:szCs w:val="24"/>
        </w:rPr>
        <w:t>երը).</w:t>
      </w:r>
    </w:p>
    <w:p w14:paraId="1F23AD39"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ԲԿՀ-ի սկզբնական </w:t>
      </w:r>
      <w:r w:rsidR="00C54D75">
        <w:rPr>
          <w:rFonts w:ascii="Sylfaen" w:hAnsi="Sylfaen"/>
          <w:sz w:val="24"/>
          <w:szCs w:val="24"/>
        </w:rPr>
        <w:t>և</w:t>
      </w:r>
      <w:r w:rsidRPr="00834D52">
        <w:rPr>
          <w:rFonts w:ascii="Sylfaen" w:hAnsi="Sylfaen"/>
          <w:sz w:val="24"/>
          <w:szCs w:val="24"/>
        </w:rPr>
        <w:t xml:space="preserve"> վերանայված խմբագրությունը.</w:t>
      </w:r>
    </w:p>
    <w:p w14:paraId="36B9141D"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թեստավորման արդյունքների կրճատ նկարագրությունը </w:t>
      </w:r>
      <w:r w:rsidR="00C54D75">
        <w:rPr>
          <w:rFonts w:ascii="Sylfaen" w:hAnsi="Sylfaen"/>
          <w:sz w:val="24"/>
          <w:szCs w:val="24"/>
        </w:rPr>
        <w:t>և</w:t>
      </w:r>
      <w:r w:rsidRPr="00834D52">
        <w:rPr>
          <w:rFonts w:ascii="Sylfaen" w:hAnsi="Sylfaen"/>
          <w:sz w:val="24"/>
          <w:szCs w:val="24"/>
        </w:rPr>
        <w:t xml:space="preserve"> քննարկումը (սուբյեկտների պատասխանները, բացահայտված խնդիրները </w:t>
      </w:r>
      <w:r w:rsidR="00C54D75">
        <w:rPr>
          <w:rFonts w:ascii="Sylfaen" w:hAnsi="Sylfaen"/>
          <w:sz w:val="24"/>
          <w:szCs w:val="24"/>
        </w:rPr>
        <w:t>և</w:t>
      </w:r>
      <w:r w:rsidRPr="00834D52">
        <w:rPr>
          <w:rFonts w:ascii="Sylfaen" w:hAnsi="Sylfaen"/>
          <w:sz w:val="24"/>
          <w:szCs w:val="24"/>
        </w:rPr>
        <w:t xml:space="preserve"> ԲԿՀ-ի համապատասխան բաժիններում կատարված փոփոխությունները). </w:t>
      </w:r>
    </w:p>
    <w:p w14:paraId="75455D0C"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եզրակացությունը:</w:t>
      </w:r>
    </w:p>
    <w:p w14:paraId="010F7E43"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Մնացած բոլոր մանրամասնություններն անհրաժեշտ է ներկայացնել ըստ լիազորված մարմնի (փորձագիտական կազմակերպության) հարցման:</w:t>
      </w:r>
    </w:p>
    <w:p w14:paraId="4A6B8F34" w14:textId="77777777" w:rsidR="006F76EB" w:rsidRPr="00834D52" w:rsidRDefault="006F76EB" w:rsidP="009F7A79">
      <w:pPr>
        <w:tabs>
          <w:tab w:val="left" w:pos="1701"/>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1.3.4.</w:t>
      </w:r>
      <w:r w:rsidRPr="00834D52">
        <w:rPr>
          <w:rFonts w:ascii="Sylfaen" w:hAnsi="Sylfaen"/>
          <w:spacing w:val="-4"/>
          <w:sz w:val="24"/>
          <w:szCs w:val="24"/>
        </w:rPr>
        <w:tab/>
        <w:t xml:space="preserve">Արտադրող երկրի լիազորված մարմնի </w:t>
      </w:r>
      <w:r w:rsidR="00C54D75">
        <w:rPr>
          <w:rFonts w:ascii="Sylfaen" w:hAnsi="Sylfaen"/>
          <w:spacing w:val="-4"/>
          <w:sz w:val="24"/>
          <w:szCs w:val="24"/>
        </w:rPr>
        <w:t>և</w:t>
      </w:r>
      <w:r w:rsidRPr="00834D52">
        <w:rPr>
          <w:rFonts w:ascii="Sylfaen" w:hAnsi="Sylfaen"/>
          <w:spacing w:val="-4"/>
          <w:sz w:val="24"/>
          <w:szCs w:val="24"/>
        </w:rPr>
        <w:t xml:space="preserve"> (կամ) դեղապատրաստուկի գրանցման հավաստագրի իրավատեր երկրի կողմից հաստատված ԴԸԲ-ի </w:t>
      </w:r>
      <w:r w:rsidR="00C54D75">
        <w:rPr>
          <w:rFonts w:ascii="Sylfaen" w:hAnsi="Sylfaen"/>
          <w:spacing w:val="-4"/>
          <w:sz w:val="24"/>
          <w:szCs w:val="24"/>
        </w:rPr>
        <w:t>և</w:t>
      </w:r>
      <w:r w:rsidRPr="00834D52">
        <w:rPr>
          <w:rFonts w:ascii="Sylfaen" w:hAnsi="Sylfaen"/>
          <w:spacing w:val="-4"/>
          <w:sz w:val="24"/>
          <w:szCs w:val="24"/>
        </w:rPr>
        <w:t xml:space="preserve"> ԲԿՀ-ի պատճենները՝ վերջին վերանայման ամսաթվով, հաստատված դեղապատրաստուկի գրանցման հավաստագրի իրավատիրոջ լիազորված մարմնի կողմից (առկայության դեպքում):</w:t>
      </w:r>
    </w:p>
    <w:p w14:paraId="1B61A6F2" w14:textId="77777777" w:rsidR="006F76EB" w:rsidRPr="00834D52" w:rsidRDefault="006F76EB" w:rsidP="009F7A7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1.4.</w:t>
      </w:r>
      <w:r w:rsidRPr="00834D52">
        <w:rPr>
          <w:rFonts w:ascii="Sylfaen" w:hAnsi="Sylfaen"/>
          <w:sz w:val="24"/>
          <w:szCs w:val="24"/>
        </w:rPr>
        <w:tab/>
        <w:t>Այլ երկրներում դեղապատրաստուկի կարգավորման կարգավիճակի մասին տեղեկատվությունը (առկայության դեպքում):</w:t>
      </w:r>
    </w:p>
    <w:p w14:paraId="0C4E43D2"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1.4.1.</w:t>
      </w:r>
      <w:r w:rsidRPr="00834D52">
        <w:rPr>
          <w:rFonts w:ascii="Sylfaen" w:hAnsi="Sylfaen"/>
          <w:sz w:val="24"/>
          <w:szCs w:val="24"/>
        </w:rPr>
        <w:tab/>
        <w:t xml:space="preserve">Այն երկրների ցանկը, որտեղ դեղապատրաստուկը ներկայացվել է գրանցման, գրանցվել է, գրանցման մերժում է ստացել կամ դրա շրջանառությունը շուկայում կասեցվել է` դեղապատրաստուկի անվանման, գրանցման հավաստագրի համարի </w:t>
      </w:r>
      <w:r w:rsidR="00C54D75">
        <w:rPr>
          <w:rFonts w:ascii="Sylfaen" w:hAnsi="Sylfaen"/>
          <w:sz w:val="24"/>
          <w:szCs w:val="24"/>
        </w:rPr>
        <w:t>և</w:t>
      </w:r>
      <w:r w:rsidRPr="00834D52">
        <w:rPr>
          <w:rFonts w:ascii="Sylfaen" w:hAnsi="Sylfaen"/>
          <w:sz w:val="24"/>
          <w:szCs w:val="24"/>
        </w:rPr>
        <w:t xml:space="preserve"> ամսաթվի, դրա գործողության ժամկետի կամ գրանցումը մերժելու, գրանցման հավաստագրի գործողության կասեցման մասին որոշում կայացնելու ամսաթվի նշումով: Տրամադրվող տեղեկատվությունը պետք է վավերացվի գրանցման հավաստագրի իրավատիրոջ կողմից:</w:t>
      </w:r>
    </w:p>
    <w:p w14:paraId="318C81B8" w14:textId="77777777" w:rsidR="006F76EB" w:rsidRPr="00834D52" w:rsidRDefault="006F76EB" w:rsidP="00D01EE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w:t>
      </w:r>
      <w:r w:rsidRPr="00834D52">
        <w:rPr>
          <w:rFonts w:ascii="Sylfaen" w:hAnsi="Sylfaen"/>
          <w:sz w:val="24"/>
          <w:szCs w:val="24"/>
        </w:rPr>
        <w:tab/>
        <w:t>Որակին առնչվող փաստաթղթերը՝</w:t>
      </w:r>
    </w:p>
    <w:p w14:paraId="76592CAF"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1.5.1.</w:t>
      </w:r>
      <w:r w:rsidRPr="00834D52">
        <w:rPr>
          <w:rFonts w:ascii="Sylfaen" w:hAnsi="Sylfaen"/>
          <w:sz w:val="24"/>
          <w:szCs w:val="24"/>
        </w:rPr>
        <w:tab/>
        <w:t>Եվրասիական տնտեսական միության դեղագրքի կամ սպունգանման էնցեֆալոպատիայի վերաբերյալ Եվրոպական դեղագրքի հոդվածին համապատասխանության սերտիֆիկատը կամ հումքի ծագման երկրի անասնաբուժական վերահսկողության լիազորված մարմինների կողմից տրված փաստաթուղթը՝ կենդանական ծագման դեղագործական նյութի կիրառման դեպքում (</w:t>
      </w:r>
      <w:r w:rsidR="00C44EAE">
        <w:rPr>
          <w:rFonts w:ascii="Sylfaen" w:hAnsi="Sylfaen"/>
          <w:sz w:val="24"/>
          <w:szCs w:val="24"/>
        </w:rPr>
        <w:t>եթե կիրառելի է</w:t>
      </w:r>
      <w:r w:rsidRPr="00834D52">
        <w:rPr>
          <w:rFonts w:ascii="Sylfaen" w:hAnsi="Sylfaen"/>
          <w:sz w:val="24"/>
          <w:szCs w:val="24"/>
        </w:rPr>
        <w:t>):</w:t>
      </w:r>
    </w:p>
    <w:p w14:paraId="5614224B"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1.5.2.</w:t>
      </w:r>
      <w:r w:rsidRPr="00834D52">
        <w:rPr>
          <w:rFonts w:ascii="Sylfaen" w:hAnsi="Sylfaen"/>
          <w:sz w:val="24"/>
          <w:szCs w:val="24"/>
        </w:rPr>
        <w:tab/>
        <w:t xml:space="preserve">Ակտիվ դեղագործական նյութի մաստեր-ֆայլի իրավատիրոջ նամակը՝ դեղապատրաստուկի արտադրողին </w:t>
      </w:r>
      <w:r w:rsidR="00C54D75">
        <w:rPr>
          <w:rFonts w:ascii="Sylfaen" w:hAnsi="Sylfaen"/>
          <w:sz w:val="24"/>
          <w:szCs w:val="24"/>
        </w:rPr>
        <w:t>և</w:t>
      </w:r>
      <w:r w:rsidRPr="00834D52">
        <w:rPr>
          <w:rFonts w:ascii="Sylfaen" w:hAnsi="Sylfaen"/>
          <w:sz w:val="24"/>
          <w:szCs w:val="24"/>
        </w:rPr>
        <w:t xml:space="preserve"> անդամ պետության լիազորված մարմնին ցանկացած փոփոխության մասին տեղեկացնելու պարտավորությամբ՝ նախքան որ</w:t>
      </w:r>
      <w:r w:rsidR="00C54D75">
        <w:rPr>
          <w:rFonts w:ascii="Sylfaen" w:hAnsi="Sylfaen"/>
          <w:sz w:val="24"/>
          <w:szCs w:val="24"/>
        </w:rPr>
        <w:t>և</w:t>
      </w:r>
      <w:r w:rsidRPr="00834D52">
        <w:rPr>
          <w:rFonts w:ascii="Sylfaen" w:hAnsi="Sylfaen"/>
          <w:sz w:val="24"/>
          <w:szCs w:val="24"/>
        </w:rPr>
        <w:t>է էական փոփոխություն կատարվելը դեղագործական նյութի մաստեր-ֆայլում (որակի հարցերով լիազորված մարմնի ստորագրությամբ նամակի</w:t>
      </w:r>
      <w:r w:rsidR="004E7383">
        <w:rPr>
          <w:rFonts w:ascii="Sylfaen" w:hAnsi="Sylfaen"/>
          <w:sz w:val="24"/>
          <w:szCs w:val="24"/>
        </w:rPr>
        <w:t xml:space="preserve">՝ նոտարական կարգով </w:t>
      </w:r>
      <w:r w:rsidR="00D8713A">
        <w:rPr>
          <w:rFonts w:ascii="Sylfaen" w:hAnsi="Sylfaen"/>
          <w:sz w:val="24"/>
          <w:szCs w:val="24"/>
        </w:rPr>
        <w:t>վավերացված</w:t>
      </w:r>
      <w:r w:rsidRPr="00834D52">
        <w:rPr>
          <w:rFonts w:ascii="Sylfaen" w:hAnsi="Sylfaen"/>
          <w:sz w:val="24"/>
          <w:szCs w:val="24"/>
        </w:rPr>
        <w:t xml:space="preserve"> </w:t>
      </w:r>
      <w:r w:rsidR="00D8713A">
        <w:rPr>
          <w:rFonts w:ascii="Sylfaen" w:hAnsi="Sylfaen"/>
          <w:sz w:val="24"/>
          <w:szCs w:val="24"/>
        </w:rPr>
        <w:t>պատճենը</w:t>
      </w:r>
      <w:r w:rsidRPr="00834D52">
        <w:rPr>
          <w:rFonts w:ascii="Sylfaen" w:hAnsi="Sylfaen"/>
          <w:sz w:val="24"/>
          <w:szCs w:val="24"/>
        </w:rPr>
        <w:t>` թարգմանությամբ):</w:t>
      </w:r>
    </w:p>
    <w:p w14:paraId="5D7486AA"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1.5.3.</w:t>
      </w:r>
      <w:r w:rsidRPr="00834D52">
        <w:rPr>
          <w:rFonts w:ascii="Sylfaen" w:hAnsi="Sylfaen"/>
          <w:sz w:val="24"/>
          <w:szCs w:val="24"/>
        </w:rPr>
        <w:tab/>
        <w:t>Դեղագործական նյութի մաստեր-ֆայլի իրավատիրոջ համաձայնությունը հաստատող նամակը` դեղագործական նյութի մաստեր-ֆայլի փակ մասի փաստաթղթերը լիազորված մարմնի հարցմամբ ներկայացնելու մասին:</w:t>
      </w:r>
    </w:p>
    <w:p w14:paraId="5A5F056B"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1.5.4.</w:t>
      </w:r>
      <w:r w:rsidRPr="00834D52">
        <w:rPr>
          <w:rFonts w:ascii="Sylfaen" w:hAnsi="Sylfaen"/>
          <w:sz w:val="24"/>
          <w:szCs w:val="24"/>
        </w:rPr>
        <w:tab/>
        <w:t>Եվրոպական դեղագրքի պահանջներին դեղագործական նյութի համապատասխանության հավաստագրի պատճենը (առկայության դեպքում):</w:t>
      </w:r>
    </w:p>
    <w:p w14:paraId="0A5FB5A9"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1.5.5.</w:t>
      </w:r>
      <w:r w:rsidRPr="00834D52">
        <w:rPr>
          <w:rFonts w:ascii="Sylfaen" w:hAnsi="Sylfaen"/>
          <w:sz w:val="24"/>
          <w:szCs w:val="24"/>
        </w:rPr>
        <w:tab/>
        <w:t>Պլազմայի մաստեր-ֆայլի հավաստագրի պատճենը, որը տրվել է արտադրող երկրի լիազորված մարմնի կողմից (առկայության դեպքում):</w:t>
      </w:r>
    </w:p>
    <w:p w14:paraId="14C8DB6E" w14:textId="77777777" w:rsidR="006F76EB" w:rsidRPr="00834D52" w:rsidRDefault="006F76EB" w:rsidP="00D01EE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1.5.6.</w:t>
      </w:r>
      <w:r w:rsidRPr="00834D52">
        <w:rPr>
          <w:rFonts w:ascii="Sylfaen" w:hAnsi="Sylfaen"/>
          <w:sz w:val="24"/>
          <w:szCs w:val="24"/>
        </w:rPr>
        <w:tab/>
        <w:t>Պատվաստանյութային հակագենի մաստեր-ֆայլի հավաստագրի պատճենը, որը տրվել է արտադրող երկրի լիազորված մարմնի կողմից (առկայության դեպքում):</w:t>
      </w:r>
    </w:p>
    <w:p w14:paraId="7896C5ED" w14:textId="77777777" w:rsidR="006F76EB" w:rsidRPr="00834D52" w:rsidRDefault="006F76EB" w:rsidP="00D01EE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1.6.</w:t>
      </w:r>
      <w:r w:rsidRPr="00834D52">
        <w:rPr>
          <w:rFonts w:ascii="Sylfaen" w:hAnsi="Sylfaen"/>
          <w:sz w:val="24"/>
          <w:szCs w:val="24"/>
        </w:rPr>
        <w:tab/>
        <w:t>Արտադրության փաստաթղթերը՝</w:t>
      </w:r>
    </w:p>
    <w:p w14:paraId="4B34136D" w14:textId="77777777" w:rsidR="006F76EB" w:rsidRPr="00834D52" w:rsidRDefault="006F76EB" w:rsidP="00D75BED">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1.6.1.</w:t>
      </w:r>
      <w:r w:rsidRPr="00834D52">
        <w:rPr>
          <w:rFonts w:ascii="Sylfaen" w:hAnsi="Sylfaen"/>
          <w:sz w:val="24"/>
          <w:szCs w:val="24"/>
        </w:rPr>
        <w:tab/>
        <w:t xml:space="preserve">Սահմանված կարգով վավերացված, անդամ պետության լիազորված մարմնի կողմից տրված գործող փաստաթղթի պատճենը, որը հաստատում է Հանձնաժողովի կողմից հաստատված Եվրասիական տնտեսական միության պատշաճ արտադրական գործելակերպի կանոնների (այսուհետ` Միության պատշաճ արտադրական գործելակերպի կանոններ) պահանջներին գրանցման համար ներկայացված դեղապատրաստուկի արտադրողի (արտադրական հարթակի) համապատասխանությունը։ </w:t>
      </w:r>
    </w:p>
    <w:p w14:paraId="27DA2008" w14:textId="77777777" w:rsidR="006F76EB" w:rsidRPr="00834D52" w:rsidRDefault="006F76EB" w:rsidP="000A2800">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Սահմանված կարգով վավերացված, այն երկրի (երկրների) լիազորված մարմինների կողմից, որտեղ տեղակայված է արտադրական հարթակը (արտադրության տարբեր փուլերի համար արտադրական հարթակները) </w:t>
      </w:r>
      <w:r w:rsidR="00C54D75">
        <w:rPr>
          <w:rFonts w:ascii="Sylfaen" w:hAnsi="Sylfaen"/>
          <w:sz w:val="24"/>
          <w:szCs w:val="24"/>
        </w:rPr>
        <w:t>և</w:t>
      </w:r>
      <w:r w:rsidRPr="00834D52">
        <w:rPr>
          <w:rFonts w:ascii="Sylfaen" w:hAnsi="Sylfaen"/>
          <w:sz w:val="24"/>
          <w:szCs w:val="24"/>
        </w:rPr>
        <w:t xml:space="preserve"> (կամ) այլ լիազորված մարմինների կողմից տրված գործող փաստաթղթերի պատճենները, որոնք հաստատում են արտադրողի համապատասխանությունը պատշաճ արտադրական գործելակերպին (այսուհետ՝ GMP), «Ինտերնետ» տեղեկատվական-հեռահաղորդակցական ցանցում լիազորված մարմինների կողմից տրված GMP-ի համապատասխանության սերտիֆիկատների ռեեստրի կայքի հասցեն (օրինակ՝ EudraGMP) (առկայության դեպքում): </w:t>
      </w:r>
    </w:p>
    <w:p w14:paraId="760B87CD" w14:textId="77777777" w:rsidR="006F76EB" w:rsidRPr="00834D52" w:rsidRDefault="006F76EB" w:rsidP="00D75BED">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1.6.2.</w:t>
      </w:r>
      <w:r w:rsidRPr="00834D52">
        <w:rPr>
          <w:rFonts w:ascii="Sylfaen" w:hAnsi="Sylfaen"/>
          <w:sz w:val="24"/>
          <w:szCs w:val="24"/>
        </w:rPr>
        <w:tab/>
        <w:t>Դեղամիջոցների արտադրություն իրականացնելու գործող թույլտվության (լիցենզիայի)՝ սահմանված կարգով վավերացված պատճենը (հավելվածների հետ միասին), որը տրվել է այն երկրի լիազորված մարմնի կողմից, որտեղ տեղակայված է արտադրական հարթակը (արտադրության տարբեր փուլերի համար արտադրական հարթակները):</w:t>
      </w:r>
    </w:p>
    <w:p w14:paraId="3365CCD1" w14:textId="77777777" w:rsidR="006F76EB" w:rsidRPr="00834D52" w:rsidRDefault="006F76EB" w:rsidP="00D75BED">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1.6.3.</w:t>
      </w:r>
      <w:r w:rsidRPr="00834D52">
        <w:rPr>
          <w:rFonts w:ascii="Sylfaen" w:hAnsi="Sylfaen"/>
          <w:sz w:val="24"/>
          <w:szCs w:val="24"/>
        </w:rPr>
        <w:tab/>
        <w:t>Սահմանված կարգով վավերացված այն տեսչական ստուգման հաշվետվության պատճենը (հաշվետվությունների պատճենները), որը վերջին 3</w:t>
      </w:r>
      <w:r w:rsidR="005F4C5B" w:rsidRPr="005F4C5B">
        <w:rPr>
          <w:rFonts w:ascii="Sylfaen" w:hAnsi="Sylfaen"/>
          <w:sz w:val="24"/>
          <w:szCs w:val="24"/>
        </w:rPr>
        <w:t> </w:t>
      </w:r>
      <w:r w:rsidRPr="00834D52">
        <w:rPr>
          <w:rFonts w:ascii="Sylfaen" w:hAnsi="Sylfaen"/>
          <w:sz w:val="24"/>
          <w:szCs w:val="24"/>
        </w:rPr>
        <w:t xml:space="preserve">տարիների ընթացքում արտադրող երկրի լիազորված մարմնի կամ այլ </w:t>
      </w:r>
      <w:r w:rsidRPr="00834D52">
        <w:rPr>
          <w:rFonts w:ascii="Sylfaen" w:hAnsi="Sylfaen"/>
          <w:sz w:val="24"/>
          <w:szCs w:val="24"/>
        </w:rPr>
        <w:lastRenderedPageBreak/>
        <w:t>լիազորված մարմնի կողմից անցկացվել է GMP-ին արտադրական հարթակի (արտադրության տարբեր փուլերի համար արտադրական հարթակների)համապատասխանության համար, նա</w:t>
      </w:r>
      <w:r w:rsidR="00C54D75">
        <w:rPr>
          <w:rFonts w:ascii="Sylfaen" w:hAnsi="Sylfaen"/>
          <w:sz w:val="24"/>
          <w:szCs w:val="24"/>
        </w:rPr>
        <w:t>և</w:t>
      </w:r>
      <w:r w:rsidRPr="00834D52">
        <w:rPr>
          <w:rFonts w:ascii="Sylfaen" w:hAnsi="Sylfaen"/>
          <w:sz w:val="24"/>
          <w:szCs w:val="24"/>
        </w:rPr>
        <w:t xml:space="preserve"> տեսչական ստուգումներից հետո շտկող </w:t>
      </w:r>
      <w:r w:rsidR="00C54D75">
        <w:rPr>
          <w:rFonts w:ascii="Sylfaen" w:hAnsi="Sylfaen"/>
          <w:sz w:val="24"/>
          <w:szCs w:val="24"/>
        </w:rPr>
        <w:t>և</w:t>
      </w:r>
      <w:r w:rsidRPr="00834D52">
        <w:rPr>
          <w:rFonts w:ascii="Sylfaen" w:hAnsi="Sylfaen"/>
          <w:sz w:val="24"/>
          <w:szCs w:val="24"/>
        </w:rPr>
        <w:t xml:space="preserve"> կանխարգելիչ գործողությունների (CAPA) անցկացման մասին պլանն ու հաշվետվությունը (առկայության դեպքում) </w:t>
      </w:r>
      <w:r w:rsidR="00C54D75">
        <w:rPr>
          <w:rFonts w:ascii="Sylfaen" w:hAnsi="Sylfaen"/>
          <w:sz w:val="24"/>
          <w:szCs w:val="24"/>
        </w:rPr>
        <w:t>և</w:t>
      </w:r>
      <w:r w:rsidRPr="00834D52">
        <w:rPr>
          <w:rFonts w:ascii="Sylfaen" w:hAnsi="Sylfaen"/>
          <w:sz w:val="24"/>
          <w:szCs w:val="24"/>
        </w:rPr>
        <w:t xml:space="preserve"> լիազորված մարմնի կայքի հղումը՝ ըստ GMP տեսչական ստուգումների բազայի (օրինակ՝ EudraGMP) (առկայության դեպքում):</w:t>
      </w:r>
    </w:p>
    <w:p w14:paraId="636F45D1" w14:textId="77777777" w:rsidR="006F76EB" w:rsidRPr="00834D52" w:rsidRDefault="006F76EB" w:rsidP="00D75BED">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1.6.4.</w:t>
      </w:r>
      <w:r w:rsidRPr="00834D52">
        <w:rPr>
          <w:rFonts w:ascii="Sylfaen" w:hAnsi="Sylfaen"/>
          <w:sz w:val="24"/>
          <w:szCs w:val="24"/>
        </w:rPr>
        <w:tab/>
        <w:t xml:space="preserve">GMP-ի պահանջների պահպանման հարցերով դեղապատրաստուկի գրանցման հավաստագրի իրավատիրոջ </w:t>
      </w:r>
      <w:r w:rsidR="00C54D75">
        <w:rPr>
          <w:rFonts w:ascii="Sylfaen" w:hAnsi="Sylfaen"/>
          <w:sz w:val="24"/>
          <w:szCs w:val="24"/>
        </w:rPr>
        <w:t>և</w:t>
      </w:r>
      <w:r w:rsidRPr="00834D52">
        <w:rPr>
          <w:rFonts w:ascii="Sylfaen" w:hAnsi="Sylfaen"/>
          <w:sz w:val="24"/>
          <w:szCs w:val="24"/>
        </w:rPr>
        <w:t xml:space="preserve"> դեղապատրաստուկի արտադրողի միջ</w:t>
      </w:r>
      <w:r w:rsidR="00C54D75">
        <w:rPr>
          <w:rFonts w:ascii="Sylfaen" w:hAnsi="Sylfaen"/>
          <w:sz w:val="24"/>
          <w:szCs w:val="24"/>
        </w:rPr>
        <w:t>և</w:t>
      </w:r>
      <w:r w:rsidRPr="00834D52">
        <w:rPr>
          <w:rFonts w:ascii="Sylfaen" w:hAnsi="Sylfaen"/>
          <w:sz w:val="24"/>
          <w:szCs w:val="24"/>
        </w:rPr>
        <w:t xml:space="preserve"> պայմանագրի՝ սահմանված կարգով հաստատված պատճենը, եթե դեղապատրաստուկի գրանցման հավաստագրի իրավատերը չի մասնակցում դեղապատրաստուկի արտադրությանը</w:t>
      </w:r>
      <w:r w:rsidR="00AE0F20">
        <w:rPr>
          <w:rFonts w:ascii="Sylfaen" w:hAnsi="Sylfaen"/>
          <w:sz w:val="24"/>
          <w:szCs w:val="24"/>
        </w:rPr>
        <w:t xml:space="preserve"> </w:t>
      </w:r>
      <w:r w:rsidR="00AE0F20" w:rsidRPr="00963EE1">
        <w:rPr>
          <w:rFonts w:ascii="Sylfaen" w:hAnsi="Sylfaen"/>
          <w:sz w:val="24"/>
          <w:szCs w:val="24"/>
        </w:rPr>
        <w:t>(</w:t>
      </w:r>
      <w:r w:rsidR="00AE0F20">
        <w:rPr>
          <w:rFonts w:ascii="Sylfaen" w:hAnsi="Sylfaen"/>
          <w:sz w:val="24"/>
          <w:szCs w:val="24"/>
        </w:rPr>
        <w:t>առկայության դեպքում</w:t>
      </w:r>
      <w:r w:rsidR="00AE0F20" w:rsidRPr="00963EE1">
        <w:rPr>
          <w:rFonts w:ascii="Sylfaen" w:hAnsi="Sylfaen"/>
          <w:sz w:val="24"/>
          <w:szCs w:val="24"/>
        </w:rPr>
        <w:t>)</w:t>
      </w:r>
      <w:r w:rsidRPr="00834D52">
        <w:rPr>
          <w:rFonts w:ascii="Sylfaen" w:hAnsi="Sylfaen"/>
          <w:sz w:val="24"/>
          <w:szCs w:val="24"/>
        </w:rPr>
        <w:t>:</w:t>
      </w:r>
    </w:p>
    <w:p w14:paraId="3ED63F3D" w14:textId="77777777" w:rsidR="006F76EB" w:rsidRPr="00834D52" w:rsidRDefault="006F76EB" w:rsidP="00D75BED">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w:t>
      </w:r>
      <w:r w:rsidR="00AA49B7">
        <w:rPr>
          <w:rFonts w:ascii="Sylfaen" w:hAnsi="Sylfaen"/>
          <w:sz w:val="24"/>
          <w:szCs w:val="24"/>
        </w:rPr>
        <w:t>6</w:t>
      </w:r>
      <w:r w:rsidRPr="00834D52">
        <w:rPr>
          <w:rFonts w:ascii="Sylfaen" w:hAnsi="Sylfaen"/>
          <w:sz w:val="24"/>
          <w:szCs w:val="24"/>
        </w:rPr>
        <w:t>.</w:t>
      </w:r>
      <w:r w:rsidR="00AA49B7">
        <w:rPr>
          <w:rFonts w:ascii="Sylfaen" w:hAnsi="Sylfaen"/>
          <w:sz w:val="24"/>
          <w:szCs w:val="24"/>
        </w:rPr>
        <w:t>5</w:t>
      </w:r>
      <w:r w:rsidRPr="00834D52">
        <w:rPr>
          <w:rFonts w:ascii="Sylfaen" w:hAnsi="Sylfaen"/>
          <w:sz w:val="24"/>
          <w:szCs w:val="24"/>
        </w:rPr>
        <w:t>.</w:t>
      </w:r>
      <w:r w:rsidRPr="00834D52">
        <w:rPr>
          <w:rFonts w:ascii="Sylfaen" w:hAnsi="Sylfaen"/>
          <w:sz w:val="24"/>
          <w:szCs w:val="24"/>
        </w:rPr>
        <w:tab/>
        <w:t xml:space="preserve">GMP պահանջների պահպանման հարցերով պայմանագրային արտադրական հարթակի </w:t>
      </w:r>
      <w:r w:rsidR="00C54D75">
        <w:rPr>
          <w:rFonts w:ascii="Sylfaen" w:hAnsi="Sylfaen"/>
          <w:sz w:val="24"/>
          <w:szCs w:val="24"/>
        </w:rPr>
        <w:t>և</w:t>
      </w:r>
      <w:r w:rsidRPr="00834D52">
        <w:rPr>
          <w:rFonts w:ascii="Sylfaen" w:hAnsi="Sylfaen"/>
          <w:sz w:val="24"/>
          <w:szCs w:val="24"/>
        </w:rPr>
        <w:t xml:space="preserve"> արտադրողի միջ</w:t>
      </w:r>
      <w:r w:rsidR="00C54D75">
        <w:rPr>
          <w:rFonts w:ascii="Sylfaen" w:hAnsi="Sylfaen"/>
          <w:sz w:val="24"/>
          <w:szCs w:val="24"/>
        </w:rPr>
        <w:t>և</w:t>
      </w:r>
      <w:r w:rsidRPr="00834D52">
        <w:rPr>
          <w:rFonts w:ascii="Sylfaen" w:hAnsi="Sylfaen"/>
          <w:sz w:val="24"/>
          <w:szCs w:val="24"/>
        </w:rPr>
        <w:t xml:space="preserve"> պայմանագրի՝ սահմանված կարգով հաստատված պատճենը, եթե դեղապատրաստուկի արտադրության ամբողջ գործընթացը կամ փուլերից մեկն իրականացվում է պայմանագրային արտադրական հարթակում</w:t>
      </w:r>
      <w:r w:rsidR="00F278B2">
        <w:rPr>
          <w:rFonts w:ascii="Sylfaen" w:hAnsi="Sylfaen"/>
          <w:sz w:val="24"/>
          <w:szCs w:val="24"/>
        </w:rPr>
        <w:t xml:space="preserve"> </w:t>
      </w:r>
      <w:r w:rsidR="00E90FAF" w:rsidRPr="00E90FAF">
        <w:rPr>
          <w:rFonts w:ascii="Sylfaen" w:hAnsi="Sylfaen"/>
          <w:sz w:val="24"/>
          <w:szCs w:val="24"/>
        </w:rPr>
        <w:t>(</w:t>
      </w:r>
      <w:r w:rsidR="00F278B2">
        <w:rPr>
          <w:rFonts w:ascii="Sylfaen" w:hAnsi="Sylfaen"/>
          <w:sz w:val="24"/>
          <w:szCs w:val="24"/>
        </w:rPr>
        <w:t>եթե կիրառելի է</w:t>
      </w:r>
      <w:r w:rsidR="00E90FAF" w:rsidRPr="00E90FAF">
        <w:rPr>
          <w:rFonts w:ascii="Sylfaen" w:hAnsi="Sylfaen"/>
          <w:sz w:val="24"/>
          <w:szCs w:val="24"/>
        </w:rPr>
        <w:t>)</w:t>
      </w:r>
      <w:r w:rsidRPr="00834D52">
        <w:rPr>
          <w:rFonts w:ascii="Sylfaen" w:hAnsi="Sylfaen"/>
          <w:sz w:val="24"/>
          <w:szCs w:val="24"/>
        </w:rPr>
        <w:t>:</w:t>
      </w:r>
    </w:p>
    <w:p w14:paraId="3C44D89C" w14:textId="77777777" w:rsidR="006F76EB" w:rsidRPr="00834D52" w:rsidRDefault="006F76EB" w:rsidP="00D75BED">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1.6.6.</w:t>
      </w:r>
      <w:r w:rsidRPr="00834D52">
        <w:rPr>
          <w:rFonts w:ascii="Sylfaen" w:hAnsi="Sylfaen"/>
          <w:sz w:val="24"/>
          <w:szCs w:val="24"/>
        </w:rPr>
        <w:tab/>
        <w:t>Ներկայացված արտադրական հարթակին առնչվող տեսչական ստուգումների արդյունքներով վերջին 3 տարիների ընթացքում լիազորված մարմնի կողմից ընդունված ցանկացած կարգավորիչ միջոցի մասին տեղեկություններ (առկայության դեպքում):</w:t>
      </w:r>
    </w:p>
    <w:p w14:paraId="38369D28" w14:textId="77777777" w:rsidR="006F76EB" w:rsidRPr="00834D52" w:rsidRDefault="006F76EB" w:rsidP="00564D39">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1.6.7.</w:t>
      </w:r>
      <w:r w:rsidRPr="00834D52">
        <w:rPr>
          <w:rFonts w:ascii="Sylfaen" w:hAnsi="Sylfaen"/>
          <w:sz w:val="24"/>
          <w:szCs w:val="24"/>
        </w:rPr>
        <w:tab/>
        <w:t xml:space="preserve">Որակի հարցերով լիազորված անձի նամակը՝ գրանցման համար ներկայացված դեղապատրաստուկի արտադրության պայմանները Միության պատշաճ արտադրական գործելակերպի կանոններին համապատասխանելու մասին, այդ թվում՝ դեղապատրաստուկի </w:t>
      </w:r>
      <w:r w:rsidR="00C54D75">
        <w:rPr>
          <w:rFonts w:ascii="Sylfaen" w:hAnsi="Sylfaen"/>
          <w:sz w:val="24"/>
          <w:szCs w:val="24"/>
        </w:rPr>
        <w:t>և</w:t>
      </w:r>
      <w:r w:rsidRPr="00834D52">
        <w:rPr>
          <w:rFonts w:ascii="Sylfaen" w:hAnsi="Sylfaen"/>
          <w:sz w:val="24"/>
          <w:szCs w:val="24"/>
        </w:rPr>
        <w:t xml:space="preserve"> ակտիվ դեղագործական նյութի արտադրության գործընթացում օգտագործվող յուրաքանչյուր արտադրական հարթակի համար ելանյութերի առնչությամբ՝ ներառյալ այն հարթակները, որտեղ </w:t>
      </w:r>
      <w:r w:rsidRPr="00834D52">
        <w:rPr>
          <w:rFonts w:ascii="Sylfaen" w:hAnsi="Sylfaen"/>
          <w:sz w:val="24"/>
          <w:szCs w:val="24"/>
        </w:rPr>
        <w:lastRenderedPageBreak/>
        <w:t xml:space="preserve">իրականացվում է որակի հսկողություն </w:t>
      </w:r>
      <w:r w:rsidR="00C54D75">
        <w:rPr>
          <w:rFonts w:ascii="Sylfaen" w:hAnsi="Sylfaen"/>
          <w:sz w:val="24"/>
          <w:szCs w:val="24"/>
        </w:rPr>
        <w:t>և</w:t>
      </w:r>
      <w:r w:rsidRPr="00834D52">
        <w:rPr>
          <w:rFonts w:ascii="Sylfaen" w:hAnsi="Sylfaen"/>
          <w:sz w:val="24"/>
          <w:szCs w:val="24"/>
        </w:rPr>
        <w:t xml:space="preserve"> արտադրության գործընթացում հսկողություն: Նամակը պետք է ստորագրվի որակի հարցերով լիազորված մարմնի կողմից </w:t>
      </w:r>
      <w:r w:rsidR="00C54D75">
        <w:rPr>
          <w:rFonts w:ascii="Sylfaen" w:hAnsi="Sylfaen"/>
          <w:sz w:val="24"/>
          <w:szCs w:val="24"/>
        </w:rPr>
        <w:t>և</w:t>
      </w:r>
      <w:r w:rsidRPr="00834D52">
        <w:rPr>
          <w:rFonts w:ascii="Sylfaen" w:hAnsi="Sylfaen"/>
          <w:sz w:val="24"/>
          <w:szCs w:val="24"/>
        </w:rPr>
        <w:t xml:space="preserve"> հաստատվի արտադրողի կնիքով (դրոշմակնիքով)՝ անհրաժեշտության դեպքում ռուսերեն թարգմանությամբ:</w:t>
      </w:r>
    </w:p>
    <w:p w14:paraId="2237E21F"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1.6.8.</w:t>
      </w:r>
      <w:r w:rsidRPr="00834D52">
        <w:rPr>
          <w:rFonts w:ascii="Sylfaen" w:hAnsi="Sylfaen"/>
          <w:sz w:val="24"/>
          <w:szCs w:val="24"/>
        </w:rPr>
        <w:tab/>
        <w:t>Դեղապատրաստուկի գրանցման համար հայտագրված արտադրական հարթակում արտադրված դեղապատրաստուկների որակի առնչությամբ վերջին 3 տարիների ընթացքում ներկայացված բողոքագրերի մասին տեղեկությունները կամ բողոքագրերի բացակայության հաստատումը:</w:t>
      </w:r>
    </w:p>
    <w:p w14:paraId="54EA89E4"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1.6.9.</w:t>
      </w:r>
      <w:r w:rsidRPr="00834D52">
        <w:rPr>
          <w:rFonts w:ascii="Sylfaen" w:hAnsi="Sylfaen"/>
          <w:sz w:val="24"/>
          <w:szCs w:val="24"/>
        </w:rPr>
        <w:tab/>
        <w:t xml:space="preserve">Միության իրավունքի մաս կազմող միջազգային պայմանագրերի </w:t>
      </w:r>
      <w:r w:rsidR="00C54D75">
        <w:rPr>
          <w:rFonts w:ascii="Sylfaen" w:hAnsi="Sylfaen"/>
          <w:sz w:val="24"/>
          <w:szCs w:val="24"/>
        </w:rPr>
        <w:t>և</w:t>
      </w:r>
      <w:r w:rsidRPr="00834D52">
        <w:rPr>
          <w:rFonts w:ascii="Sylfaen" w:hAnsi="Sylfaen"/>
          <w:sz w:val="24"/>
          <w:szCs w:val="24"/>
        </w:rPr>
        <w:t xml:space="preserve"> ակտերի պահանջներին համապատասխանության դեղագործական տեսչական ստուգում անցկացնելու համաձայնություն:</w:t>
      </w:r>
    </w:p>
    <w:p w14:paraId="44B8C65F"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1.6.10.</w:t>
      </w:r>
      <w:r w:rsidRPr="00834D52">
        <w:rPr>
          <w:rFonts w:ascii="Sylfaen" w:hAnsi="Sylfaen"/>
          <w:sz w:val="24"/>
          <w:szCs w:val="24"/>
        </w:rPr>
        <w:tab/>
        <w:t>Արտադրական հարթակի (արտադրական հարթակների) հիմնական դոսյեի՝ հայտատուի կողմից վավերացված պատճեն (մաստեր-ֆայլը) (եթե կիրառելի է):</w:t>
      </w:r>
    </w:p>
    <w:p w14:paraId="7F9EFC7B"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1.6.11.</w:t>
      </w:r>
      <w:r w:rsidRPr="00834D52">
        <w:rPr>
          <w:rFonts w:ascii="Sylfaen" w:hAnsi="Sylfaen"/>
          <w:sz w:val="24"/>
          <w:szCs w:val="24"/>
        </w:rPr>
        <w:tab/>
        <w:t xml:space="preserve">Արտադրության փուլերի սխեման՝ նշելով դեղապատրաստուկի </w:t>
      </w:r>
      <w:r w:rsidR="00C54D75">
        <w:rPr>
          <w:rFonts w:ascii="Sylfaen" w:hAnsi="Sylfaen"/>
          <w:sz w:val="24"/>
          <w:szCs w:val="24"/>
        </w:rPr>
        <w:t>և</w:t>
      </w:r>
      <w:r w:rsidRPr="00834D52">
        <w:rPr>
          <w:rFonts w:ascii="Sylfaen" w:hAnsi="Sylfaen"/>
          <w:sz w:val="24"/>
          <w:szCs w:val="24"/>
        </w:rPr>
        <w:t xml:space="preserve"> ակտիվ դեղագործական բաղադրամասի արտադրության գործընթացում ներգրավված բոլոր արտադրական հարթակները՝ ներառյալ բացթողման համար անհրաժեշտ որակի հսկողությունը:</w:t>
      </w:r>
    </w:p>
    <w:p w14:paraId="1148EFF3" w14:textId="77777777" w:rsidR="006F76EB" w:rsidRPr="00834D52" w:rsidRDefault="006F76EB" w:rsidP="00B22ED9">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w:t>
      </w:r>
      <w:r w:rsidRPr="00834D52">
        <w:rPr>
          <w:rFonts w:ascii="Sylfaen" w:hAnsi="Sylfaen"/>
          <w:sz w:val="24"/>
          <w:szCs w:val="24"/>
        </w:rPr>
        <w:tab/>
        <w:t>Մասնագետների մասին տեղեկատվություն՝</w:t>
      </w:r>
    </w:p>
    <w:p w14:paraId="3629FB18"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1.7.1.</w:t>
      </w:r>
      <w:r w:rsidRPr="00834D52">
        <w:rPr>
          <w:rFonts w:ascii="Sylfaen" w:hAnsi="Sylfaen"/>
          <w:spacing w:val="-4"/>
          <w:sz w:val="24"/>
          <w:szCs w:val="24"/>
        </w:rPr>
        <w:tab/>
        <w:t>Տեղեկատվություն՝ որակի ռեզյումե պատրաստած մասնագետի մասին:</w:t>
      </w:r>
    </w:p>
    <w:p w14:paraId="03929BF1"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1.7.2.</w:t>
      </w:r>
      <w:r w:rsidRPr="00834D52">
        <w:rPr>
          <w:rFonts w:ascii="Sylfaen" w:hAnsi="Sylfaen"/>
          <w:sz w:val="24"/>
          <w:szCs w:val="24"/>
        </w:rPr>
        <w:tab/>
        <w:t>Տեղեկատվություն՝ նախակլինիկական տվյալների ռեզյումե պատրաստած մասնագետի մասին:</w:t>
      </w:r>
    </w:p>
    <w:p w14:paraId="2A752652" w14:textId="77777777" w:rsidR="006F76EB" w:rsidRPr="00834D52" w:rsidRDefault="006F76EB" w:rsidP="00564D39">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1.7.3.</w:t>
      </w:r>
      <w:r w:rsidRPr="00834D52">
        <w:rPr>
          <w:rFonts w:ascii="Sylfaen" w:hAnsi="Sylfaen"/>
          <w:sz w:val="24"/>
          <w:szCs w:val="24"/>
        </w:rPr>
        <w:tab/>
        <w:t>Տեղեկատվություն՝ կլինիկական տվյալների ռեզյումե պատրաստած մասնագետի մասին:</w:t>
      </w:r>
    </w:p>
    <w:p w14:paraId="6B4BF359"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Որակի, նախակլինիկական </w:t>
      </w:r>
      <w:r w:rsidR="00C54D75">
        <w:rPr>
          <w:rFonts w:ascii="Sylfaen" w:hAnsi="Sylfaen"/>
          <w:sz w:val="24"/>
          <w:szCs w:val="24"/>
        </w:rPr>
        <w:t>և</w:t>
      </w:r>
      <w:r w:rsidRPr="00834D52">
        <w:rPr>
          <w:rFonts w:ascii="Sylfaen" w:hAnsi="Sylfaen"/>
          <w:sz w:val="24"/>
          <w:szCs w:val="24"/>
        </w:rPr>
        <w:t xml:space="preserve"> կլինիկական տվյալների մասնագետների մասին տեղեկատվությունը ներառում է նրանց կրթության, մասնագիտացման </w:t>
      </w:r>
      <w:r w:rsidR="00C54D75">
        <w:rPr>
          <w:rFonts w:ascii="Sylfaen" w:hAnsi="Sylfaen"/>
          <w:sz w:val="24"/>
          <w:szCs w:val="24"/>
        </w:rPr>
        <w:t>և</w:t>
      </w:r>
      <w:r w:rsidRPr="00834D52">
        <w:rPr>
          <w:rFonts w:ascii="Sylfaen" w:hAnsi="Sylfaen"/>
          <w:sz w:val="24"/>
          <w:szCs w:val="24"/>
        </w:rPr>
        <w:t xml:space="preserve"> մասնագիտական փորձի մասին տեղեկություններ </w:t>
      </w:r>
      <w:r w:rsidR="00C54D75">
        <w:rPr>
          <w:rFonts w:ascii="Sylfaen" w:hAnsi="Sylfaen"/>
          <w:sz w:val="24"/>
          <w:szCs w:val="24"/>
        </w:rPr>
        <w:t>և</w:t>
      </w:r>
      <w:r w:rsidRPr="00834D52">
        <w:rPr>
          <w:rFonts w:ascii="Sylfaen" w:hAnsi="Sylfaen"/>
          <w:sz w:val="24"/>
          <w:szCs w:val="24"/>
        </w:rPr>
        <w:t xml:space="preserve"> պետք է ստորագրվի որակի, նախակլինիկական </w:t>
      </w:r>
      <w:r w:rsidR="00C54D75">
        <w:rPr>
          <w:rFonts w:ascii="Sylfaen" w:hAnsi="Sylfaen"/>
          <w:sz w:val="24"/>
          <w:szCs w:val="24"/>
        </w:rPr>
        <w:t>և</w:t>
      </w:r>
      <w:r w:rsidRPr="00834D52">
        <w:rPr>
          <w:rFonts w:ascii="Sylfaen" w:hAnsi="Sylfaen"/>
          <w:sz w:val="24"/>
          <w:szCs w:val="24"/>
        </w:rPr>
        <w:t xml:space="preserve"> կլինիկական տվյալների ռեզյումե </w:t>
      </w:r>
      <w:r w:rsidR="00C54D75">
        <w:rPr>
          <w:rFonts w:ascii="Sylfaen" w:hAnsi="Sylfaen"/>
          <w:sz w:val="24"/>
          <w:szCs w:val="24"/>
        </w:rPr>
        <w:t>և</w:t>
      </w:r>
      <w:r w:rsidRPr="00834D52">
        <w:rPr>
          <w:rFonts w:ascii="Sylfaen" w:hAnsi="Sylfaen"/>
          <w:sz w:val="24"/>
          <w:szCs w:val="24"/>
        </w:rPr>
        <w:t xml:space="preserve"> ուսումնասիրություն կազմած մասնագետների կողմից: Տվյալ մասնագետները պետք է ունենան համապատասխան որակավորում: Հարկ է նշել ռեզյումեն կազմած մասնագետի </w:t>
      </w:r>
      <w:r w:rsidR="00C54D75">
        <w:rPr>
          <w:rFonts w:ascii="Sylfaen" w:hAnsi="Sylfaen"/>
          <w:sz w:val="24"/>
          <w:szCs w:val="24"/>
        </w:rPr>
        <w:t>և</w:t>
      </w:r>
      <w:r w:rsidRPr="00834D52">
        <w:rPr>
          <w:rFonts w:ascii="Sylfaen" w:hAnsi="Sylfaen"/>
          <w:sz w:val="24"/>
          <w:szCs w:val="24"/>
        </w:rPr>
        <w:t xml:space="preserve"> հայտատուի միջ</w:t>
      </w:r>
      <w:r w:rsidR="00C54D75">
        <w:rPr>
          <w:rFonts w:ascii="Sylfaen" w:hAnsi="Sylfaen"/>
          <w:sz w:val="24"/>
          <w:szCs w:val="24"/>
        </w:rPr>
        <w:t>և</w:t>
      </w:r>
      <w:r w:rsidRPr="00834D52">
        <w:rPr>
          <w:rFonts w:ascii="Sylfaen" w:hAnsi="Sylfaen"/>
          <w:sz w:val="24"/>
          <w:szCs w:val="24"/>
        </w:rPr>
        <w:t xml:space="preserve"> մասնագիտական հարաբերությունների առկայությունը:</w:t>
      </w:r>
    </w:p>
    <w:p w14:paraId="5BC39C2F" w14:textId="77777777" w:rsidR="006F76EB" w:rsidRPr="00834D52" w:rsidRDefault="006F76EB" w:rsidP="00564D3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1.8.</w:t>
      </w:r>
      <w:r w:rsidRPr="00834D52">
        <w:rPr>
          <w:rFonts w:ascii="Sylfaen" w:hAnsi="Sylfaen"/>
          <w:sz w:val="24"/>
          <w:szCs w:val="24"/>
        </w:rPr>
        <w:tab/>
        <w:t xml:space="preserve">Տարբեր տեսակի հայտերի համար առանձնահատուկ պահանջները՝ </w:t>
      </w:r>
    </w:p>
    <w:p w14:paraId="7A4BA4D7" w14:textId="77777777" w:rsidR="006F76EB" w:rsidRPr="00834D52" w:rsidRDefault="006F76EB" w:rsidP="00564D3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1.8.1.</w:t>
      </w:r>
      <w:r w:rsidRPr="00834D52">
        <w:rPr>
          <w:rFonts w:ascii="Sylfaen" w:hAnsi="Sylfaen"/>
          <w:sz w:val="24"/>
          <w:szCs w:val="24"/>
        </w:rPr>
        <w:tab/>
        <w:t>Դեղապատրաստուկի լրացուցիչ առ</w:t>
      </w:r>
      <w:r w:rsidR="00C54D75">
        <w:rPr>
          <w:rFonts w:ascii="Sylfaen" w:hAnsi="Sylfaen"/>
          <w:sz w:val="24"/>
          <w:szCs w:val="24"/>
        </w:rPr>
        <w:t>և</w:t>
      </w:r>
      <w:r w:rsidRPr="00834D52">
        <w:rPr>
          <w:rFonts w:ascii="Sylfaen" w:hAnsi="Sylfaen"/>
          <w:sz w:val="24"/>
          <w:szCs w:val="24"/>
        </w:rPr>
        <w:t xml:space="preserve">տրային անվանման մասին գրանցման հավաստագրի տիրոջ նամակը ներկայացվում է, եթե հայտատուն պլանավորում է արտադրող երկրում, </w:t>
      </w:r>
      <w:r w:rsidR="0032680A">
        <w:rPr>
          <w:rFonts w:ascii="Sylfaen" w:hAnsi="Sylfaen"/>
          <w:sz w:val="24"/>
          <w:szCs w:val="24"/>
        </w:rPr>
        <w:t xml:space="preserve">ռեֆերենտ </w:t>
      </w:r>
      <w:r w:rsidRPr="00834D52">
        <w:rPr>
          <w:rFonts w:ascii="Sylfaen" w:hAnsi="Sylfaen"/>
          <w:sz w:val="24"/>
          <w:szCs w:val="24"/>
        </w:rPr>
        <w:t xml:space="preserve">պետությունում </w:t>
      </w:r>
      <w:r w:rsidR="00C54D75">
        <w:rPr>
          <w:rFonts w:ascii="Sylfaen" w:hAnsi="Sylfaen"/>
          <w:sz w:val="24"/>
          <w:szCs w:val="24"/>
        </w:rPr>
        <w:t>և</w:t>
      </w:r>
      <w:r w:rsidRPr="00834D52">
        <w:rPr>
          <w:rFonts w:ascii="Sylfaen" w:hAnsi="Sylfaen"/>
          <w:sz w:val="24"/>
          <w:szCs w:val="24"/>
        </w:rPr>
        <w:t xml:space="preserve"> ճանաչման պետությունում գրանցել դեղապատրաստուկը տարբեր առ</w:t>
      </w:r>
      <w:r w:rsidR="00C54D75">
        <w:rPr>
          <w:rFonts w:ascii="Sylfaen" w:hAnsi="Sylfaen"/>
          <w:sz w:val="24"/>
          <w:szCs w:val="24"/>
        </w:rPr>
        <w:t>և</w:t>
      </w:r>
      <w:r w:rsidRPr="00834D52">
        <w:rPr>
          <w:rFonts w:ascii="Sylfaen" w:hAnsi="Sylfaen"/>
          <w:sz w:val="24"/>
          <w:szCs w:val="24"/>
        </w:rPr>
        <w:t>տրային անվանումների տակ</w:t>
      </w:r>
      <w:r w:rsidR="003C7E9C">
        <w:rPr>
          <w:rFonts w:ascii="Sylfaen" w:hAnsi="Sylfaen"/>
          <w:sz w:val="24"/>
          <w:szCs w:val="24"/>
        </w:rPr>
        <w:t xml:space="preserve"> </w:t>
      </w:r>
      <w:r w:rsidR="00E90FAF" w:rsidRPr="00E90FAF">
        <w:rPr>
          <w:rFonts w:ascii="Sylfaen" w:hAnsi="Sylfaen"/>
          <w:sz w:val="24"/>
          <w:szCs w:val="24"/>
        </w:rPr>
        <w:t>(</w:t>
      </w:r>
      <w:r w:rsidR="003C7E9C">
        <w:rPr>
          <w:rFonts w:ascii="Sylfaen" w:hAnsi="Sylfaen"/>
          <w:sz w:val="24"/>
          <w:szCs w:val="24"/>
        </w:rPr>
        <w:t>եթե կիրառելի է</w:t>
      </w:r>
      <w:r w:rsidR="00E90FAF" w:rsidRPr="00E90FAF">
        <w:rPr>
          <w:rFonts w:ascii="Sylfaen" w:hAnsi="Sylfaen"/>
          <w:sz w:val="24"/>
          <w:szCs w:val="24"/>
        </w:rPr>
        <w:t>)</w:t>
      </w:r>
      <w:r w:rsidRPr="00834D52">
        <w:rPr>
          <w:rFonts w:ascii="Sylfaen" w:hAnsi="Sylfaen"/>
          <w:sz w:val="24"/>
          <w:szCs w:val="24"/>
        </w:rPr>
        <w:t xml:space="preserve">: Նամակում պետք է նշված լինեն երաշխիքներ առ այն, որ այդ նպատակով օգտագործվում է մեկ գրանցման դոսյե: Նամակը պետք է ստորագրվի </w:t>
      </w:r>
      <w:r w:rsidR="00C54D75">
        <w:rPr>
          <w:rFonts w:ascii="Sylfaen" w:hAnsi="Sylfaen"/>
          <w:sz w:val="24"/>
          <w:szCs w:val="24"/>
        </w:rPr>
        <w:t>և</w:t>
      </w:r>
      <w:r w:rsidRPr="00834D52">
        <w:rPr>
          <w:rFonts w:ascii="Sylfaen" w:hAnsi="Sylfaen"/>
          <w:sz w:val="24"/>
          <w:szCs w:val="24"/>
        </w:rPr>
        <w:t xml:space="preserve"> թվագրվի գրանցման հավաստագրի իրավատիրոջ կողմից:</w:t>
      </w:r>
    </w:p>
    <w:p w14:paraId="42FFD047" w14:textId="77777777" w:rsidR="006F76EB" w:rsidRPr="00834D52" w:rsidRDefault="006F76EB" w:rsidP="00564D39">
      <w:pPr>
        <w:tabs>
          <w:tab w:val="left" w:pos="1701"/>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1.8.2.</w:t>
      </w:r>
      <w:r w:rsidRPr="00834D52">
        <w:rPr>
          <w:rFonts w:ascii="Sylfaen" w:hAnsi="Sylfaen"/>
          <w:spacing w:val="-4"/>
          <w:sz w:val="24"/>
          <w:szCs w:val="24"/>
        </w:rPr>
        <w:tab/>
        <w:t>Կլինիկական հետազոտությունների փաստաթղթերը (եթե կիրառելի</w:t>
      </w:r>
      <w:r w:rsidR="00564D39" w:rsidRPr="00EC4C5B">
        <w:rPr>
          <w:rFonts w:ascii="Sylfaen" w:hAnsi="Sylfaen"/>
          <w:spacing w:val="-4"/>
          <w:sz w:val="24"/>
          <w:szCs w:val="24"/>
        </w:rPr>
        <w:t> </w:t>
      </w:r>
      <w:r w:rsidRPr="00834D52">
        <w:rPr>
          <w:rFonts w:ascii="Sylfaen" w:hAnsi="Sylfaen"/>
          <w:spacing w:val="-4"/>
          <w:sz w:val="24"/>
          <w:szCs w:val="24"/>
        </w:rPr>
        <w:t xml:space="preserve">են): </w:t>
      </w:r>
    </w:p>
    <w:p w14:paraId="6AE61D84" w14:textId="77777777" w:rsidR="006F76EB" w:rsidRPr="00834D52" w:rsidRDefault="006F76EB" w:rsidP="00564D3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1.8.2.1.</w:t>
      </w:r>
      <w:r w:rsidRPr="00834D52">
        <w:rPr>
          <w:rFonts w:ascii="Sylfaen" w:hAnsi="Sylfaen"/>
          <w:sz w:val="24"/>
          <w:szCs w:val="24"/>
        </w:rPr>
        <w:tab/>
        <w:t xml:space="preserve">Լիազորված մարմնի՝ կլինիկական հետազոտություն անցկացնելու, այդ թվում՝ ուղղում կատարելու թույլտվությունը: </w:t>
      </w:r>
    </w:p>
    <w:p w14:paraId="1907361C" w14:textId="77777777" w:rsidR="006F76EB" w:rsidRPr="00834D52" w:rsidRDefault="006F76EB" w:rsidP="00564D3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1.8.2.2.</w:t>
      </w:r>
      <w:r w:rsidRPr="00834D52">
        <w:rPr>
          <w:rFonts w:ascii="Sylfaen" w:hAnsi="Sylfaen"/>
          <w:sz w:val="24"/>
          <w:szCs w:val="24"/>
        </w:rPr>
        <w:tab/>
        <w:t>Գրանցման համար հայտագրվող դեղապատրաստուկի՝ պատշաճ կլինիկական գործունեությանը (GCP) համապատասխանության մասով անցկացված տեսչական ստուգումների ցանկը՝ նշելով տեսչական ստուգումներ անցկացրած լիազորված մարմինները, անցկացման ամսաթվերը, արդյունքները (առկայության դեպքում):</w:t>
      </w:r>
    </w:p>
    <w:p w14:paraId="44B38C0A" w14:textId="77777777" w:rsidR="006F76EB" w:rsidRPr="00834D52" w:rsidRDefault="006F76EB" w:rsidP="00B22ED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Տեսչական ստուգումների ցանկը ներառում է դեղապատրաստուկի կլինիկական հետազոտություններին մասնակցած հետազոտական կենտրոնների </w:t>
      </w:r>
      <w:r w:rsidRPr="00834D52">
        <w:rPr>
          <w:rFonts w:ascii="Sylfaen" w:hAnsi="Sylfaen"/>
          <w:sz w:val="24"/>
          <w:szCs w:val="24"/>
        </w:rPr>
        <w:lastRenderedPageBreak/>
        <w:t>տեսչական ստուգումները, հովանավորի կամ դեղապատրաստուկի կլինիկական հետազոտության պայմանագրային հետազոտական կազմակերպության տեսչական ստուգումները կամ հետազոտության հետ առնչություն ունեցող այլ կազմակերպությունների տեսչական ստուգումները (օրինակ՝ դեղապատրաստուկի կլինիկական հետազոտությունների մեջ ներգրավված վերլուծական լաբորատորիայի) , այլ GCP տեսչական ստուգումներ:</w:t>
      </w:r>
    </w:p>
    <w:p w14:paraId="37103A7E" w14:textId="77777777" w:rsidR="006F76EB" w:rsidRPr="00834D52" w:rsidRDefault="006F76EB" w:rsidP="00155C84">
      <w:pPr>
        <w:tabs>
          <w:tab w:val="left" w:pos="1418"/>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դեպքում, երբ կլինիկական հետազոտությունն ամբողջությամբ անցկացվել է երրորդ երկրների հետազոտական կենտրոններում, անհրաժեշտ է ցանկում ներառել այն հետազոտական կենտրոններում անցկացված GCP տեսչական ստուգումների արդյունքները, որոնցում տվյալ դեղապատրաստուկի հետազոտության շրջանակներում ներառվել են առավելագույն թվով պացիենտներ: Տեսչական ստուգումները կարող են անցկացվել այլ հետազոտության մասով, այդ թվում՝ այլ պատրաստուկի մասով, որի գրացման հավաստագրի տիրապետողը հայտատուն չէ: Այդ դեպքում լիազորված մարմինները (փորձագիտական կազմակերպությունները) համապատասխան կարգավորող մարմիններից ինքնուրույն պահանջում են այդպիսի ստուգումների մասին հաշվետվություններ, </w:t>
      </w:r>
      <w:r w:rsidR="00C54D75">
        <w:rPr>
          <w:rFonts w:ascii="Sylfaen" w:hAnsi="Sylfaen"/>
          <w:sz w:val="24"/>
          <w:szCs w:val="24"/>
        </w:rPr>
        <w:t>և</w:t>
      </w:r>
      <w:r w:rsidRPr="00834D52">
        <w:rPr>
          <w:rFonts w:ascii="Sylfaen" w:hAnsi="Sylfaen"/>
          <w:sz w:val="24"/>
          <w:szCs w:val="24"/>
        </w:rPr>
        <w:t xml:space="preserve"> դրանք չեն ներկայացվում դեղապատրաստուկի գրանցման դոսյեի 1-ին մոդուլի 1.8.3.3 բաժնում:</w:t>
      </w:r>
    </w:p>
    <w:p w14:paraId="04A0CBF8" w14:textId="77777777" w:rsidR="006F76EB" w:rsidRPr="00834D52" w:rsidRDefault="006F76EB" w:rsidP="00155C84">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1.8.2.3.</w:t>
      </w:r>
      <w:r w:rsidRPr="00834D52">
        <w:rPr>
          <w:rFonts w:ascii="Sylfaen" w:hAnsi="Sylfaen"/>
          <w:sz w:val="24"/>
          <w:szCs w:val="24"/>
        </w:rPr>
        <w:tab/>
        <w:t>Սույն հավելվածի 1.8.3.2 կետում թվարկված GCP տեսչական ստուգումների անցկացման մասին հաշվետվությունների պատճենները (առկայության դեպքում):</w:t>
      </w:r>
    </w:p>
    <w:p w14:paraId="27BD948E" w14:textId="77777777" w:rsidR="006F76EB" w:rsidRPr="00834D52" w:rsidRDefault="006F76EB" w:rsidP="00155C84">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1.8.2.4.</w:t>
      </w:r>
      <w:r w:rsidRPr="00834D52">
        <w:rPr>
          <w:rFonts w:ascii="Sylfaen" w:hAnsi="Sylfaen"/>
          <w:sz w:val="24"/>
          <w:szCs w:val="24"/>
        </w:rPr>
        <w:tab/>
        <w:t xml:space="preserve">Կլինիկական հետազոտության հովանավորի </w:t>
      </w:r>
      <w:r w:rsidR="00C54D75">
        <w:rPr>
          <w:rFonts w:ascii="Sylfaen" w:hAnsi="Sylfaen"/>
          <w:sz w:val="24"/>
          <w:szCs w:val="24"/>
        </w:rPr>
        <w:t>և</w:t>
      </w:r>
      <w:r w:rsidRPr="00834D52">
        <w:rPr>
          <w:rFonts w:ascii="Sylfaen" w:hAnsi="Sylfaen"/>
          <w:sz w:val="24"/>
          <w:szCs w:val="24"/>
        </w:rPr>
        <w:t xml:space="preserve"> հետազոտական կենտրոնի (պայմանագրային հետազոտական կազմակերպության) միջ</w:t>
      </w:r>
      <w:r w:rsidR="00C54D75">
        <w:rPr>
          <w:rFonts w:ascii="Sylfaen" w:hAnsi="Sylfaen"/>
          <w:sz w:val="24"/>
          <w:szCs w:val="24"/>
        </w:rPr>
        <w:t>և</w:t>
      </w:r>
      <w:r w:rsidRPr="00834D52">
        <w:rPr>
          <w:rFonts w:ascii="Sylfaen" w:hAnsi="Sylfaen"/>
          <w:sz w:val="24"/>
          <w:szCs w:val="24"/>
        </w:rPr>
        <w:t xml:space="preserve"> պայմանագրերի պատճենները (անհրաժեշտության դեպքում՝ գաղտնի տեղեկատվությունը հանելուց հետո):</w:t>
      </w:r>
    </w:p>
    <w:p w14:paraId="2EF8CC8D" w14:textId="77777777" w:rsidR="006F76EB" w:rsidRPr="00834D52" w:rsidRDefault="006F76EB" w:rsidP="00EC4C5B">
      <w:pPr>
        <w:tabs>
          <w:tab w:val="left" w:pos="1701"/>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1.8.3.</w:t>
      </w:r>
      <w:r w:rsidRPr="00834D52">
        <w:rPr>
          <w:rFonts w:ascii="Sylfaen" w:hAnsi="Sylfaen"/>
          <w:spacing w:val="4"/>
          <w:sz w:val="24"/>
          <w:szCs w:val="24"/>
        </w:rPr>
        <w:tab/>
        <w:t>Կլինիկական հետազոտությունների ցանկով աղյուսակ (եթե կիրառելի է):</w:t>
      </w:r>
    </w:p>
    <w:p w14:paraId="19CC0335" w14:textId="77777777" w:rsidR="006F76EB" w:rsidRPr="00834D52" w:rsidRDefault="006F76EB" w:rsidP="00EC4C5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1.8.4.</w:t>
      </w:r>
      <w:r w:rsidRPr="00834D52">
        <w:rPr>
          <w:rFonts w:ascii="Sylfaen" w:hAnsi="Sylfaen"/>
          <w:sz w:val="24"/>
          <w:szCs w:val="24"/>
        </w:rPr>
        <w:tab/>
        <w:t>Գրանցման համար հայտագրված դեղապատրաստուկի կլինիկական հետազոտությունների՝ Հանձնաժողովի կողմից հաստատվող՝ Եվրասիական տնտեսական միության պատշաճ արտադրական գործունեության պահանջներին համապատասխանելու մասին գրանցման հավաստագրի իրավատիրոջ նամակը:</w:t>
      </w:r>
    </w:p>
    <w:p w14:paraId="42A3D4C1" w14:textId="77777777" w:rsidR="006F76EB" w:rsidRPr="00834D52" w:rsidRDefault="006F76EB" w:rsidP="00477BB0">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1.9.</w:t>
      </w:r>
      <w:r w:rsidRPr="00834D52">
        <w:rPr>
          <w:rFonts w:ascii="Sylfaen" w:hAnsi="Sylfaen"/>
          <w:sz w:val="24"/>
          <w:szCs w:val="24"/>
        </w:rPr>
        <w:tab/>
        <w:t>Շրջակա միջավայրի համար հնարավոր վտանգը գնահատելու մասին հայտատուի փաստաթղթերը (տեղադրվում են որպես մոդուլի հավելված թիվ 1) (առկայության դեպքում):</w:t>
      </w:r>
    </w:p>
    <w:p w14:paraId="2225DB6A" w14:textId="77777777" w:rsidR="006F76EB" w:rsidRPr="00834D52" w:rsidRDefault="006F76EB" w:rsidP="00477BB0">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1.9.1.</w:t>
      </w:r>
      <w:r w:rsidRPr="00834D52">
        <w:rPr>
          <w:rFonts w:ascii="Sylfaen" w:hAnsi="Sylfaen"/>
          <w:sz w:val="24"/>
          <w:szCs w:val="24"/>
        </w:rPr>
        <w:tab/>
        <w:t>Հայտատուի նամակն այն մասին, որ դեղապատրաստուկները պարունակում են գենետիկորեն մոդիֆիկացված օրգանիզմներ կամ ստացվել են դրանցից (եթե կիրառելի է):</w:t>
      </w:r>
    </w:p>
    <w:p w14:paraId="215F292F" w14:textId="77777777" w:rsidR="006F76EB" w:rsidRPr="00834D52" w:rsidRDefault="006F76EB" w:rsidP="00477BB0">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1.10.</w:t>
      </w:r>
      <w:r w:rsidRPr="00834D52">
        <w:rPr>
          <w:rFonts w:ascii="Sylfaen" w:hAnsi="Sylfaen"/>
          <w:sz w:val="24"/>
          <w:szCs w:val="24"/>
        </w:rPr>
        <w:tab/>
        <w:t>Անդամ պետությունում հայտատուի՝ դեղազգոնությանը վերաբերող տեղեկատվություն:</w:t>
      </w:r>
    </w:p>
    <w:p w14:paraId="5ABBA1FA" w14:textId="77777777" w:rsidR="006F76EB" w:rsidRPr="00834D52" w:rsidRDefault="006F76EB" w:rsidP="00477BB0">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1.10.1.</w:t>
      </w:r>
      <w:r w:rsidRPr="00834D52">
        <w:rPr>
          <w:rFonts w:ascii="Sylfaen" w:hAnsi="Sylfaen"/>
          <w:sz w:val="24"/>
          <w:szCs w:val="24"/>
        </w:rPr>
        <w:tab/>
        <w:t>Գրանցման հավաստագրի իրավատիրոջ դեղազգոնության համակարգի մաստեր-ֆայլը, Հանձնաժողովի կողմից հաստատվող՝ Եվրասիական տնտեսական միության պատշաճ դեղազգոնության գործունեության կանոնների պահանջներին համապատասխան (այսուհետ՝ Միության պատշաճ դեղազգոնության գործունեության կանոններ), ներկայացվում է այն դեպքում, երբ գրանցման հավաստագրի իրավատերն առաջին անգամ հայտ է ներկայացնում Միության շուկայում դեղապատրաստուկը գրանցելու համար:</w:t>
      </w:r>
    </w:p>
    <w:p w14:paraId="6B41CC9C" w14:textId="77777777" w:rsidR="006F76EB" w:rsidRPr="00834D52" w:rsidRDefault="006F76EB" w:rsidP="00477BB0">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Դեղապատրաստուկների գրանցման հետագա հայտերի դեպքում գրանցման հավաստագրի տվյալ իրավատիրոջ անունից ներկայացվում է գրանցման հավաստագրի իրավատիրոջ դեղազգոնության համակարգի համառոտ բնութագիրը:</w:t>
      </w:r>
    </w:p>
    <w:p w14:paraId="56535FE0" w14:textId="77777777" w:rsidR="006F76EB" w:rsidRPr="00834D52" w:rsidRDefault="006F76EB" w:rsidP="00EC4C5B">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համակարգի կրճատ բնութագիրը պետք է իր մեջ պարունակի այդ թվում նա</w:t>
      </w:r>
      <w:r w:rsidR="00C54D75">
        <w:rPr>
          <w:rFonts w:ascii="Sylfaen" w:hAnsi="Sylfaen"/>
          <w:sz w:val="24"/>
          <w:szCs w:val="24"/>
        </w:rPr>
        <w:t>և</w:t>
      </w:r>
      <w:r w:rsidRPr="00834D52">
        <w:rPr>
          <w:rFonts w:ascii="Sylfaen" w:hAnsi="Sylfaen"/>
          <w:sz w:val="24"/>
          <w:szCs w:val="24"/>
        </w:rPr>
        <w:t xml:space="preserve"> հետ</w:t>
      </w:r>
      <w:r w:rsidR="00C54D75">
        <w:rPr>
          <w:rFonts w:ascii="Sylfaen" w:hAnsi="Sylfaen"/>
          <w:sz w:val="24"/>
          <w:szCs w:val="24"/>
        </w:rPr>
        <w:t>և</w:t>
      </w:r>
      <w:r w:rsidRPr="00834D52">
        <w:rPr>
          <w:rFonts w:ascii="Sylfaen" w:hAnsi="Sylfaen"/>
          <w:sz w:val="24"/>
          <w:szCs w:val="24"/>
        </w:rPr>
        <w:t>յալ տարրերը՝</w:t>
      </w:r>
    </w:p>
    <w:p w14:paraId="57920118" w14:textId="77777777" w:rsidR="006F76EB" w:rsidRPr="00834D52" w:rsidRDefault="006F76EB" w:rsidP="007E5F3D">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գրանցման հավաստագրի իրավատիրոջ կողմից դեղազգոնության համար պատասխանատու լիազորված անձի առկայության փաստի գրավոր հավաստումը: Եթե գրանցման հավաստագրի իրավատերն անդամ պետության տարածքում չի</w:t>
      </w:r>
      <w:r w:rsidR="006E4778" w:rsidRPr="006E4778">
        <w:rPr>
          <w:rFonts w:ascii="Sylfaen" w:hAnsi="Sylfaen"/>
          <w:sz w:val="24"/>
          <w:szCs w:val="24"/>
        </w:rPr>
        <w:t> </w:t>
      </w:r>
      <w:r w:rsidRPr="00834D52">
        <w:rPr>
          <w:rFonts w:ascii="Sylfaen" w:hAnsi="Sylfaen"/>
          <w:sz w:val="24"/>
          <w:szCs w:val="24"/>
        </w:rPr>
        <w:t>գտնվում, անհրաժեշտ է նա</w:t>
      </w:r>
      <w:r w:rsidR="00C54D75">
        <w:rPr>
          <w:rFonts w:ascii="Sylfaen" w:hAnsi="Sylfaen"/>
          <w:sz w:val="24"/>
          <w:szCs w:val="24"/>
        </w:rPr>
        <w:t>և</w:t>
      </w:r>
      <w:r w:rsidRPr="00834D52">
        <w:rPr>
          <w:rFonts w:ascii="Sylfaen" w:hAnsi="Sylfaen"/>
          <w:sz w:val="24"/>
          <w:szCs w:val="24"/>
        </w:rPr>
        <w:t xml:space="preserve"> անդամ պետության տարածքում դեղազգոնության հարցերով կոնտակտային անձի առկայության հավաստում, </w:t>
      </w:r>
    </w:p>
    <w:p w14:paraId="1740E511" w14:textId="77777777" w:rsidR="006F76EB" w:rsidRPr="00834D52" w:rsidRDefault="006F76EB" w:rsidP="00943766">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պետության նշում, որտեղ ապրում </w:t>
      </w:r>
      <w:r w:rsidR="00C54D75">
        <w:rPr>
          <w:rFonts w:ascii="Sylfaen" w:hAnsi="Sylfaen"/>
          <w:sz w:val="24"/>
          <w:szCs w:val="24"/>
        </w:rPr>
        <w:t>և</w:t>
      </w:r>
      <w:r w:rsidRPr="00834D52">
        <w:rPr>
          <w:rFonts w:ascii="Sylfaen" w:hAnsi="Sylfaen"/>
          <w:sz w:val="24"/>
          <w:szCs w:val="24"/>
        </w:rPr>
        <w:t xml:space="preserve"> իր գործառույթներն է կատարում լիազորված անձը, </w:t>
      </w:r>
    </w:p>
    <w:p w14:paraId="2FA06D81" w14:textId="77777777" w:rsidR="006F76EB" w:rsidRPr="00834D52" w:rsidRDefault="006F76EB" w:rsidP="00943766">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լիազորված անձի </w:t>
      </w:r>
      <w:r w:rsidR="00C54D75">
        <w:rPr>
          <w:rFonts w:ascii="Sylfaen" w:hAnsi="Sylfaen"/>
          <w:sz w:val="24"/>
          <w:szCs w:val="24"/>
        </w:rPr>
        <w:t>և</w:t>
      </w:r>
      <w:r w:rsidRPr="00834D52">
        <w:rPr>
          <w:rFonts w:ascii="Sylfaen" w:hAnsi="Sylfaen"/>
          <w:sz w:val="24"/>
          <w:szCs w:val="24"/>
        </w:rPr>
        <w:t xml:space="preserve"> դեղազգոնության հարցերով կոնտակտային անձի կոնտակտային տվյալներ (եթե կիրառելի է),</w:t>
      </w:r>
    </w:p>
    <w:p w14:paraId="3895CDC6" w14:textId="77777777" w:rsidR="006F76EB" w:rsidRPr="00834D52" w:rsidRDefault="006F76EB" w:rsidP="00943766">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իրավատիրոջ կողմից ստորագրված հայտ (հայտարարագիր) այն մասին, որ նա պարտավորվում է կատարել Միության պատշաճ դեղազգոնության գործունեության կանոնների մեջ թվարկված առաջադրանքներն ու պարտականությունները, </w:t>
      </w:r>
    </w:p>
    <w:p w14:paraId="6603EB96" w14:textId="77777777" w:rsidR="006F76EB" w:rsidRPr="00834D52" w:rsidRDefault="006F76EB" w:rsidP="00943766">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հղում՝ դեղազգոնության համակարգի մաստեր-ֆայլի տեղակայման տեղին (հասցեին): </w:t>
      </w:r>
    </w:p>
    <w:p w14:paraId="3F71BE59" w14:textId="77777777" w:rsidR="006F76EB" w:rsidRPr="00834D52" w:rsidRDefault="006F76EB" w:rsidP="004263D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1.10.2.</w:t>
      </w:r>
      <w:r w:rsidRPr="00834D52">
        <w:rPr>
          <w:rFonts w:ascii="Sylfaen" w:hAnsi="Sylfaen"/>
          <w:sz w:val="24"/>
          <w:szCs w:val="24"/>
        </w:rPr>
        <w:tab/>
        <w:t>Գրանցման հավաստագրի իրավատիրոջ կողմից անդամ պետության տարածքում դեղազգոնության համար պատասխանատու լիազորված անձի առկայության փաստի գրավոր հավաստում:</w:t>
      </w:r>
    </w:p>
    <w:p w14:paraId="09A0228B" w14:textId="77777777" w:rsidR="006F76EB" w:rsidRPr="00834D52" w:rsidRDefault="006F76EB" w:rsidP="004263D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1.10.3.</w:t>
      </w:r>
      <w:r w:rsidRPr="00834D52">
        <w:rPr>
          <w:rFonts w:ascii="Sylfaen" w:hAnsi="Sylfaen"/>
          <w:sz w:val="24"/>
          <w:szCs w:val="24"/>
        </w:rPr>
        <w:tab/>
        <w:t>Գրանցման համար հայտագրվող դեղապատրաստուկի ռիսկերի կառավարման՝ Միության պատշաճ դեղազգոնության գործունեության կանոններին համապատասխան պատրաստված պլան: Ռիսկերի կառավարման պլանը կարող է ներկայացվել էլեկտրոնային տարբերակով՝ թղթային կրիչով պարտադիր ներկայացնելով ռեզյումեն (եթե կիրառելի է):</w:t>
      </w:r>
    </w:p>
    <w:p w14:paraId="5F59E98A" w14:textId="77777777" w:rsidR="006F76EB" w:rsidRPr="00834D52" w:rsidRDefault="006F76EB" w:rsidP="00307AF9">
      <w:pPr>
        <w:tabs>
          <w:tab w:val="left" w:pos="1701"/>
        </w:tabs>
        <w:spacing w:after="160" w:line="360" w:lineRule="auto"/>
        <w:ind w:right="-8" w:firstLine="567"/>
        <w:jc w:val="both"/>
        <w:rPr>
          <w:rFonts w:ascii="Sylfaen" w:eastAsia="Times New Roman" w:hAnsi="Sylfaen" w:cs="Times New Roman"/>
          <w:sz w:val="24"/>
          <w:szCs w:val="24"/>
        </w:rPr>
      </w:pPr>
      <w:r w:rsidRPr="00F32044">
        <w:rPr>
          <w:rFonts w:ascii="Sylfaen" w:hAnsi="Sylfaen"/>
          <w:spacing w:val="-4"/>
          <w:sz w:val="24"/>
          <w:szCs w:val="24"/>
        </w:rPr>
        <w:t>1.10.4.</w:t>
      </w:r>
      <w:r w:rsidRPr="00F32044">
        <w:rPr>
          <w:rFonts w:ascii="Sylfaen" w:hAnsi="Sylfaen"/>
          <w:spacing w:val="-4"/>
          <w:sz w:val="24"/>
          <w:szCs w:val="24"/>
        </w:rPr>
        <w:tab/>
        <w:t>Պատշաճ կերպով վավերացված փաստաթղթեր, որոնք հավաստում</w:t>
      </w:r>
      <w:r w:rsidR="004263D4" w:rsidRPr="008048D0">
        <w:rPr>
          <w:rFonts w:ascii="Sylfaen" w:hAnsi="Sylfaen"/>
          <w:spacing w:val="-4"/>
          <w:sz w:val="24"/>
          <w:szCs w:val="24"/>
        </w:rPr>
        <w:t> </w:t>
      </w:r>
      <w:r w:rsidRPr="00F32044">
        <w:rPr>
          <w:rFonts w:ascii="Sylfaen" w:hAnsi="Sylfaen"/>
          <w:spacing w:val="-4"/>
          <w:sz w:val="24"/>
          <w:szCs w:val="24"/>
        </w:rPr>
        <w:t>են մի քանի իրավաբանական անձանց կողմից գրանցման հավաստագրի իրավատիրոջ բոլոր պարտականությունների պատշաճ կատարումն ապահովող փոխգործակցության</w:t>
      </w:r>
      <w:r w:rsidRPr="00834D52">
        <w:rPr>
          <w:rFonts w:ascii="Sylfaen" w:hAnsi="Sylfaen"/>
          <w:sz w:val="24"/>
          <w:szCs w:val="24"/>
        </w:rPr>
        <w:t xml:space="preserve"> առկայություն</w:t>
      </w:r>
      <w:r w:rsidR="00DF7CF1">
        <w:rPr>
          <w:rFonts w:ascii="Sylfaen" w:hAnsi="Sylfaen"/>
          <w:sz w:val="24"/>
          <w:szCs w:val="24"/>
        </w:rPr>
        <w:t>ն</w:t>
      </w:r>
      <w:r w:rsidRPr="00834D52">
        <w:rPr>
          <w:rFonts w:ascii="Sylfaen" w:hAnsi="Sylfaen"/>
          <w:sz w:val="24"/>
          <w:szCs w:val="24"/>
        </w:rPr>
        <w:t xml:space="preserve"> այն դեպքում, երբ </w:t>
      </w:r>
      <w:r w:rsidR="0032680A">
        <w:rPr>
          <w:rFonts w:ascii="Sylfaen" w:hAnsi="Sylfaen"/>
          <w:sz w:val="24"/>
          <w:szCs w:val="24"/>
        </w:rPr>
        <w:t xml:space="preserve">ռեֆերենտ </w:t>
      </w:r>
      <w:r w:rsidRPr="00834D52">
        <w:rPr>
          <w:rFonts w:ascii="Sylfaen" w:hAnsi="Sylfaen"/>
          <w:sz w:val="24"/>
          <w:szCs w:val="24"/>
        </w:rPr>
        <w:t xml:space="preserve">պետության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lastRenderedPageBreak/>
        <w:t>ճանաչման պետությունների կողմից տրամադրված՝ դեղապատրաստուկի գրանցման հավաստագրի իրավատերերը տարբեր իրավաբանական անձինք են</w:t>
      </w:r>
      <w:r w:rsidR="00E90FAF" w:rsidRPr="00E90FAF">
        <w:rPr>
          <w:rFonts w:ascii="Sylfaen" w:hAnsi="Sylfaen"/>
          <w:sz w:val="24"/>
          <w:szCs w:val="24"/>
        </w:rPr>
        <w:t xml:space="preserve"> (</w:t>
      </w:r>
      <w:r w:rsidR="00522719">
        <w:rPr>
          <w:rFonts w:ascii="Sylfaen" w:hAnsi="Sylfaen"/>
          <w:sz w:val="24"/>
          <w:szCs w:val="24"/>
        </w:rPr>
        <w:t>եթե կիրառելի է</w:t>
      </w:r>
      <w:r w:rsidR="00E90FAF" w:rsidRPr="00E90FAF">
        <w:rPr>
          <w:rFonts w:ascii="Sylfaen" w:hAnsi="Sylfaen"/>
          <w:sz w:val="24"/>
          <w:szCs w:val="24"/>
        </w:rPr>
        <w:t>)</w:t>
      </w:r>
      <w:r w:rsidRPr="00834D52">
        <w:rPr>
          <w:rFonts w:ascii="Sylfaen" w:hAnsi="Sylfaen"/>
          <w:sz w:val="24"/>
          <w:szCs w:val="24"/>
        </w:rPr>
        <w:t>:</w:t>
      </w:r>
    </w:p>
    <w:p w14:paraId="17613212" w14:textId="77777777" w:rsidR="006F76EB" w:rsidRPr="00955C1D" w:rsidRDefault="006F76EB" w:rsidP="00307AF9">
      <w:pPr>
        <w:tabs>
          <w:tab w:val="left" w:pos="1701"/>
        </w:tabs>
        <w:spacing w:after="160" w:line="360" w:lineRule="auto"/>
        <w:ind w:right="-8" w:firstLine="567"/>
        <w:jc w:val="both"/>
        <w:rPr>
          <w:rFonts w:ascii="Sylfaen" w:hAnsi="Sylfaen"/>
          <w:sz w:val="24"/>
          <w:szCs w:val="24"/>
        </w:rPr>
      </w:pPr>
      <w:r w:rsidRPr="00834D52">
        <w:rPr>
          <w:rFonts w:ascii="Sylfaen" w:hAnsi="Sylfaen"/>
          <w:sz w:val="24"/>
          <w:szCs w:val="24"/>
        </w:rPr>
        <w:t>1.11.</w:t>
      </w:r>
      <w:r w:rsidRPr="00834D52">
        <w:rPr>
          <w:rFonts w:ascii="Sylfaen" w:hAnsi="Sylfaen"/>
          <w:sz w:val="24"/>
          <w:szCs w:val="24"/>
        </w:rPr>
        <w:tab/>
        <w:t>Ապրանքային նշանի գրանցումը հավաստող փաստաթղթերի պատճեններ (առկայության դեպքում):</w:t>
      </w:r>
    </w:p>
    <w:p w14:paraId="06CA9557" w14:textId="77777777" w:rsidR="00307AF9" w:rsidRPr="00955C1D" w:rsidRDefault="00307AF9" w:rsidP="00477BB0">
      <w:pPr>
        <w:tabs>
          <w:tab w:val="left" w:pos="1701"/>
        </w:tabs>
        <w:spacing w:after="160" w:line="360" w:lineRule="auto"/>
        <w:ind w:right="-8" w:firstLine="567"/>
        <w:jc w:val="center"/>
        <w:rPr>
          <w:rFonts w:ascii="Sylfaen" w:eastAsia="Times New Roman" w:hAnsi="Sylfaen" w:cs="Times New Roman"/>
          <w:sz w:val="24"/>
          <w:szCs w:val="24"/>
        </w:rPr>
      </w:pPr>
    </w:p>
    <w:p w14:paraId="24CFD1F2" w14:textId="77777777" w:rsidR="006F76EB" w:rsidRPr="00834D52" w:rsidRDefault="006F76EB" w:rsidP="00307AF9">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2. Գրանցման դոսյեի՝ 2-րդ մոդուլում բերված փաստաթղթերի նկատմամբ պահանջները՝ ընդհանուր տեխնիկական փաստաթղթի (ԸՏՓ) ռեզյումե</w:t>
      </w:r>
    </w:p>
    <w:p w14:paraId="53B5F240" w14:textId="77777777" w:rsidR="006F76EB" w:rsidRPr="00834D52" w:rsidRDefault="006F76EB" w:rsidP="00307AF9">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Տվյալ մոդուլում բերվում է քիմիական </w:t>
      </w:r>
      <w:r w:rsidR="00C54D75">
        <w:rPr>
          <w:rFonts w:ascii="Sylfaen" w:hAnsi="Sylfaen"/>
          <w:sz w:val="24"/>
          <w:szCs w:val="24"/>
        </w:rPr>
        <w:t>և</w:t>
      </w:r>
      <w:r w:rsidRPr="00834D52">
        <w:rPr>
          <w:rFonts w:ascii="Sylfaen" w:hAnsi="Sylfaen"/>
          <w:sz w:val="24"/>
          <w:szCs w:val="24"/>
        </w:rPr>
        <w:t xml:space="preserve"> կենսաբանական փաստաթղթերի, դեղապատրաստուկի գրանցման դոսյեի 3-5-րդ մոդուլներում </w:t>
      </w:r>
      <w:r w:rsidR="00C54D75">
        <w:rPr>
          <w:rFonts w:ascii="Sylfaen" w:hAnsi="Sylfaen"/>
          <w:sz w:val="24"/>
          <w:szCs w:val="24"/>
        </w:rPr>
        <w:t>և</w:t>
      </w:r>
      <w:r w:rsidRPr="00834D52">
        <w:rPr>
          <w:rFonts w:ascii="Sylfaen" w:hAnsi="Sylfaen"/>
          <w:sz w:val="24"/>
          <w:szCs w:val="24"/>
        </w:rPr>
        <w:t xml:space="preserve"> որակի, նախակլինիկական </w:t>
      </w:r>
      <w:r w:rsidR="00C54D75">
        <w:rPr>
          <w:rFonts w:ascii="Sylfaen" w:hAnsi="Sylfaen"/>
          <w:sz w:val="24"/>
          <w:szCs w:val="24"/>
        </w:rPr>
        <w:t>և</w:t>
      </w:r>
      <w:r w:rsidRPr="00834D52">
        <w:rPr>
          <w:rFonts w:ascii="Sylfaen" w:hAnsi="Sylfaen"/>
          <w:sz w:val="24"/>
          <w:szCs w:val="24"/>
        </w:rPr>
        <w:t xml:space="preserve"> կլինիկական տվյալների ռեզյումե պատրաստած մասնագետների եզրակացությունների մեջ ներկայացված նախակլինիկական </w:t>
      </w:r>
      <w:r w:rsidR="00C54D75">
        <w:rPr>
          <w:rFonts w:ascii="Sylfaen" w:hAnsi="Sylfaen"/>
          <w:sz w:val="24"/>
          <w:szCs w:val="24"/>
        </w:rPr>
        <w:t>և</w:t>
      </w:r>
      <w:r w:rsidRPr="00834D52">
        <w:rPr>
          <w:rFonts w:ascii="Sylfaen" w:hAnsi="Sylfaen"/>
          <w:sz w:val="24"/>
          <w:szCs w:val="24"/>
        </w:rPr>
        <w:t xml:space="preserve"> կլինիկական տվյալների ռեզյումեն:</w:t>
      </w:r>
    </w:p>
    <w:p w14:paraId="061B6A14" w14:textId="77777777" w:rsidR="006F76EB" w:rsidRPr="00834D52" w:rsidRDefault="006F76EB" w:rsidP="00307AF9">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Ներկայացվում են ընդհանրացված փաստացի տվյալներ, այդ թվում՝ նյութեր՝ աղյուսակների տեսքով: Այս հաշվետվություններում նախատեսվում են խաչաձ</w:t>
      </w:r>
      <w:r w:rsidR="00C54D75">
        <w:rPr>
          <w:rFonts w:ascii="Sylfaen" w:hAnsi="Sylfaen"/>
          <w:sz w:val="24"/>
          <w:szCs w:val="24"/>
        </w:rPr>
        <w:t>և</w:t>
      </w:r>
      <w:r w:rsidRPr="00834D52">
        <w:rPr>
          <w:rFonts w:ascii="Sylfaen" w:hAnsi="Sylfaen"/>
          <w:sz w:val="24"/>
          <w:szCs w:val="24"/>
        </w:rPr>
        <w:t xml:space="preserve"> հղումներ 3-րդ՝ «Որակ» մոդուլում, 4-րդ՝ «Նախակլինիկական (ոչ կլինիկական) հետազոտությունների մասին հաշվետվություններ» մոդուլում </w:t>
      </w:r>
      <w:r w:rsidR="00C54D75">
        <w:rPr>
          <w:rFonts w:ascii="Sylfaen" w:hAnsi="Sylfaen"/>
          <w:sz w:val="24"/>
          <w:szCs w:val="24"/>
        </w:rPr>
        <w:t>և</w:t>
      </w:r>
      <w:r w:rsidRPr="00834D52">
        <w:rPr>
          <w:rFonts w:ascii="Sylfaen" w:hAnsi="Sylfaen"/>
          <w:sz w:val="24"/>
          <w:szCs w:val="24"/>
        </w:rPr>
        <w:t xml:space="preserve"> 5-րդ՝ «Կլինիկական հետազոտությունների (փորձարկումների) մասին հաշվետվություններ» մոդուլում ներկայացված հիմնական փաստաթղթերի մեջ պարունակվող աղյուսակներին կամ տեղեկատվությանը:</w:t>
      </w:r>
    </w:p>
    <w:p w14:paraId="64C13929" w14:textId="77777777" w:rsidR="006F76EB" w:rsidRPr="00834D52" w:rsidRDefault="006F76EB" w:rsidP="00307AF9">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Ուսումնասիրություններն ու ռեզյումեն պետք է համապատասխանեն ստոր</w:t>
      </w:r>
      <w:r w:rsidR="00C54D75">
        <w:rPr>
          <w:rFonts w:ascii="Sylfaen" w:hAnsi="Sylfaen"/>
          <w:sz w:val="24"/>
          <w:szCs w:val="24"/>
        </w:rPr>
        <w:t>և</w:t>
      </w:r>
      <w:r w:rsidRPr="00834D52">
        <w:rPr>
          <w:rFonts w:ascii="Sylfaen" w:hAnsi="Sylfaen"/>
          <w:sz w:val="24"/>
          <w:szCs w:val="24"/>
        </w:rPr>
        <w:t xml:space="preserve"> շարադրված հիմնական սկզբունքներին </w:t>
      </w:r>
      <w:r w:rsidR="00C54D75">
        <w:rPr>
          <w:rFonts w:ascii="Sylfaen" w:hAnsi="Sylfaen"/>
          <w:sz w:val="24"/>
          <w:szCs w:val="24"/>
        </w:rPr>
        <w:t>և</w:t>
      </w:r>
      <w:r w:rsidRPr="00834D52">
        <w:rPr>
          <w:rFonts w:ascii="Sylfaen" w:hAnsi="Sylfaen"/>
          <w:sz w:val="24"/>
          <w:szCs w:val="24"/>
        </w:rPr>
        <w:t xml:space="preserve"> պահանջներին:</w:t>
      </w:r>
    </w:p>
    <w:p w14:paraId="63BAC710" w14:textId="77777777" w:rsidR="006F76EB" w:rsidRPr="00834D52" w:rsidRDefault="006F76EB" w:rsidP="00B973BA">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2.1.</w:t>
      </w:r>
      <w:r w:rsidRPr="00834D52">
        <w:rPr>
          <w:rFonts w:ascii="Sylfaen" w:hAnsi="Sylfaen"/>
          <w:sz w:val="24"/>
          <w:szCs w:val="24"/>
        </w:rPr>
        <w:tab/>
        <w:t>2-5-րդ մոդուլների բովանդակությունը:</w:t>
      </w:r>
    </w:p>
    <w:p w14:paraId="0F73A39B" w14:textId="77777777" w:rsidR="006F76EB" w:rsidRPr="00834D52" w:rsidRDefault="006F76EB" w:rsidP="00307AF9">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Մոդուլի տվյալ բաժնում ներկայացվում է 2-5-րդ մոդուլներում ներառված դեղապատրաստուկի որակի,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մասին փաստաթղթերի բովանդակությունը:</w:t>
      </w:r>
    </w:p>
    <w:p w14:paraId="62582F46" w14:textId="77777777" w:rsidR="006F76EB" w:rsidRPr="00834D52" w:rsidRDefault="006F76EB" w:rsidP="00B973BA">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2.2.</w:t>
      </w:r>
      <w:r w:rsidRPr="00834D52">
        <w:rPr>
          <w:rFonts w:ascii="Sylfaen" w:hAnsi="Sylfaen"/>
          <w:sz w:val="24"/>
          <w:szCs w:val="24"/>
        </w:rPr>
        <w:tab/>
        <w:t>ԸՏՓ-ի մեջ ներառելը:</w:t>
      </w:r>
    </w:p>
    <w:p w14:paraId="6C1A7295" w14:textId="77777777" w:rsidR="006F76EB" w:rsidRPr="00834D52" w:rsidRDefault="006F76EB" w:rsidP="00CA6C8F">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Պետք է ներկայացված լինի դեղապատրաստուկի դեղաբանական խմբի, ազդեցության մեխանիզմի </w:t>
      </w:r>
      <w:r w:rsidR="00C54D75">
        <w:rPr>
          <w:rFonts w:ascii="Sylfaen" w:hAnsi="Sylfaen"/>
          <w:sz w:val="24"/>
          <w:szCs w:val="24"/>
        </w:rPr>
        <w:t>և</w:t>
      </w:r>
      <w:r w:rsidRPr="00834D52">
        <w:rPr>
          <w:rFonts w:ascii="Sylfaen" w:hAnsi="Sylfaen"/>
          <w:sz w:val="24"/>
          <w:szCs w:val="24"/>
        </w:rPr>
        <w:t xml:space="preserve"> առաջարկված կլինիկական կիրառության մասին տեղեկատվությունը: </w:t>
      </w:r>
    </w:p>
    <w:p w14:paraId="4DAABC62" w14:textId="77777777" w:rsidR="006F76EB" w:rsidRPr="00834D52" w:rsidRDefault="006F76EB" w:rsidP="00D0637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2.3.</w:t>
      </w:r>
      <w:r w:rsidRPr="00834D52">
        <w:rPr>
          <w:rFonts w:ascii="Sylfaen" w:hAnsi="Sylfaen"/>
          <w:sz w:val="24"/>
          <w:szCs w:val="24"/>
        </w:rPr>
        <w:tab/>
        <w:t>Որակի ընդհանուր ռեզյումե:</w:t>
      </w:r>
    </w:p>
    <w:p w14:paraId="2A09D7FD" w14:textId="77777777" w:rsidR="006F76EB" w:rsidRPr="00834D52" w:rsidRDefault="006F76EB" w:rsidP="00D0637C">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Որակի ընդհանուր ռեզյումեի մեջ հարկ է ներկայացնել քիմիական, դեղագործական </w:t>
      </w:r>
      <w:r w:rsidR="00C54D75">
        <w:rPr>
          <w:rFonts w:ascii="Sylfaen" w:hAnsi="Sylfaen"/>
          <w:sz w:val="24"/>
          <w:szCs w:val="24"/>
        </w:rPr>
        <w:t>և</w:t>
      </w:r>
      <w:r w:rsidRPr="00834D52">
        <w:rPr>
          <w:rFonts w:ascii="Sylfaen" w:hAnsi="Sylfaen"/>
          <w:sz w:val="24"/>
          <w:szCs w:val="24"/>
        </w:rPr>
        <w:t xml:space="preserve"> կենսաբանական տվյալների հետ կապված տեղեկատվության ուսումնասիրությունը:</w:t>
      </w:r>
    </w:p>
    <w:p w14:paraId="56AFDD53" w14:textId="77777777" w:rsidR="006F76EB" w:rsidRPr="00834D52" w:rsidRDefault="006F76EB" w:rsidP="00D0637C">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հատկապես ուշադրություն դարձնել որակի ասպեկտների հետ կապված հիմնական կրիտիկական պարամետրերին </w:t>
      </w:r>
      <w:r w:rsidR="00C54D75">
        <w:rPr>
          <w:rFonts w:ascii="Sylfaen" w:hAnsi="Sylfaen"/>
          <w:sz w:val="24"/>
          <w:szCs w:val="24"/>
        </w:rPr>
        <w:t>և</w:t>
      </w:r>
      <w:r w:rsidRPr="00834D52">
        <w:rPr>
          <w:rFonts w:ascii="Sylfaen" w:hAnsi="Sylfaen"/>
          <w:sz w:val="24"/>
          <w:szCs w:val="24"/>
        </w:rPr>
        <w:t xml:space="preserve"> հարցերին, ինչպես նա</w:t>
      </w:r>
      <w:r w:rsidR="00C54D75">
        <w:rPr>
          <w:rFonts w:ascii="Sylfaen" w:hAnsi="Sylfaen"/>
          <w:sz w:val="24"/>
          <w:szCs w:val="24"/>
        </w:rPr>
        <w:t>և</w:t>
      </w:r>
      <w:r w:rsidRPr="00834D52">
        <w:rPr>
          <w:rFonts w:ascii="Sylfaen" w:hAnsi="Sylfaen"/>
          <w:sz w:val="24"/>
          <w:szCs w:val="24"/>
        </w:rPr>
        <w:t xml:space="preserve"> ներկայացնել հիմնավորում այն դեպքերում, երբ չեն պահպանվել համապատասխան պահանջներն ու դրույթները: Այս փաստաթուղթը պետք է ընդգրկի 3-րդ մոդուլում մանրամասն ներկայացված հարցերը </w:t>
      </w:r>
      <w:r w:rsidR="00C54D75">
        <w:rPr>
          <w:rFonts w:ascii="Sylfaen" w:hAnsi="Sylfaen"/>
          <w:sz w:val="24"/>
          <w:szCs w:val="24"/>
        </w:rPr>
        <w:t>և</w:t>
      </w:r>
      <w:r w:rsidRPr="00834D52">
        <w:rPr>
          <w:rFonts w:ascii="Sylfaen" w:hAnsi="Sylfaen"/>
          <w:sz w:val="24"/>
          <w:szCs w:val="24"/>
        </w:rPr>
        <w:t xml:space="preserve"> նկարագրի համապատասխան տվյալները:</w:t>
      </w:r>
    </w:p>
    <w:p w14:paraId="33CA9FE1" w14:textId="77777777" w:rsidR="006F76EB" w:rsidRPr="00834D52" w:rsidRDefault="006F76EB" w:rsidP="00D0637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2.4.</w:t>
      </w:r>
      <w:r w:rsidRPr="00834D52">
        <w:rPr>
          <w:rFonts w:ascii="Sylfaen" w:hAnsi="Sylfaen"/>
          <w:sz w:val="24"/>
          <w:szCs w:val="24"/>
        </w:rPr>
        <w:tab/>
        <w:t xml:space="preserve">Կլինիկական տվյալների ուսումնասիրություն: </w:t>
      </w:r>
    </w:p>
    <w:p w14:paraId="7F6455B3" w14:textId="77777777" w:rsidR="006F76EB" w:rsidRPr="00834D52" w:rsidRDefault="006F76EB" w:rsidP="00CA6C8F">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կենդանիների վրա դեղապատրաստուկի նախակլինիկական in vitro հետազոտությունների ընդհանրացված </w:t>
      </w:r>
      <w:r w:rsidR="00C54D75">
        <w:rPr>
          <w:rFonts w:ascii="Sylfaen" w:hAnsi="Sylfaen"/>
          <w:sz w:val="24"/>
          <w:szCs w:val="24"/>
        </w:rPr>
        <w:t>և</w:t>
      </w:r>
      <w:r w:rsidRPr="00834D52">
        <w:rPr>
          <w:rFonts w:ascii="Sylfaen" w:hAnsi="Sylfaen"/>
          <w:sz w:val="24"/>
          <w:szCs w:val="24"/>
        </w:rPr>
        <w:t xml:space="preserve"> կրիտիկական գնահատականը, ինչպես նա</w:t>
      </w:r>
      <w:r w:rsidR="00C54D75">
        <w:rPr>
          <w:rFonts w:ascii="Sylfaen" w:hAnsi="Sylfaen"/>
          <w:sz w:val="24"/>
          <w:szCs w:val="24"/>
        </w:rPr>
        <w:t>և</w:t>
      </w:r>
      <w:r w:rsidRPr="00834D52">
        <w:rPr>
          <w:rFonts w:ascii="Sylfaen" w:hAnsi="Sylfaen"/>
          <w:sz w:val="24"/>
          <w:szCs w:val="24"/>
        </w:rPr>
        <w:t xml:space="preserve"> համապատասխան պահանջներից շեղվելու անհրաժեշտության դեպքում հետազոտության ռազմավարության քննարկումն ու հիմնավորումը:</w:t>
      </w:r>
    </w:p>
    <w:p w14:paraId="4738A17F" w14:textId="77777777" w:rsidR="006F76EB" w:rsidRPr="00834D52" w:rsidRDefault="006F76EB" w:rsidP="00CA6C8F">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ներառել դեղապատրաստուկի խառնուկների </w:t>
      </w:r>
      <w:r w:rsidR="00C54D75">
        <w:rPr>
          <w:rFonts w:ascii="Sylfaen" w:hAnsi="Sylfaen"/>
          <w:sz w:val="24"/>
          <w:szCs w:val="24"/>
        </w:rPr>
        <w:t>և</w:t>
      </w:r>
      <w:r w:rsidRPr="00834D52">
        <w:rPr>
          <w:rFonts w:ascii="Sylfaen" w:hAnsi="Sylfaen"/>
          <w:sz w:val="24"/>
          <w:szCs w:val="24"/>
        </w:rPr>
        <w:t xml:space="preserve"> քայքայման արգասիքների գնահատումը՝ դրանց հնարավոր դեղաբանական </w:t>
      </w:r>
      <w:r w:rsidR="00C54D75">
        <w:rPr>
          <w:rFonts w:ascii="Sylfaen" w:hAnsi="Sylfaen"/>
          <w:sz w:val="24"/>
          <w:szCs w:val="24"/>
        </w:rPr>
        <w:t>և</w:t>
      </w:r>
      <w:r w:rsidRPr="00834D52">
        <w:rPr>
          <w:rFonts w:ascii="Sylfaen" w:hAnsi="Sylfaen"/>
          <w:sz w:val="24"/>
          <w:szCs w:val="24"/>
        </w:rPr>
        <w:t xml:space="preserve"> թունաբանական էֆեկտների հետ մեկտեղ՝ բացառությամբ կենսաբանական ծագման դեղապատրաստուկների: Հարկ է հաշվի առնել նախակլինիկական հետազոտությունների </w:t>
      </w:r>
      <w:r w:rsidR="00C54D75">
        <w:rPr>
          <w:rFonts w:ascii="Sylfaen" w:hAnsi="Sylfaen"/>
          <w:sz w:val="24"/>
          <w:szCs w:val="24"/>
        </w:rPr>
        <w:t>և</w:t>
      </w:r>
      <w:r w:rsidRPr="00834D52">
        <w:rPr>
          <w:rFonts w:ascii="Sylfaen" w:hAnsi="Sylfaen"/>
          <w:sz w:val="24"/>
          <w:szCs w:val="24"/>
        </w:rPr>
        <w:t xml:space="preserve"> արտադրվելիք դեղապատրաստուկի մեջ օգտագործվող քիրալության, քիմիական ձ</w:t>
      </w:r>
      <w:r w:rsidR="00C54D75">
        <w:rPr>
          <w:rFonts w:ascii="Sylfaen" w:hAnsi="Sylfaen"/>
          <w:sz w:val="24"/>
          <w:szCs w:val="24"/>
        </w:rPr>
        <w:t>և</w:t>
      </w:r>
      <w:r w:rsidRPr="00834D52">
        <w:rPr>
          <w:rFonts w:ascii="Sylfaen" w:hAnsi="Sylfaen"/>
          <w:sz w:val="24"/>
          <w:szCs w:val="24"/>
        </w:rPr>
        <w:t xml:space="preserve">ի </w:t>
      </w:r>
      <w:r w:rsidR="00C54D75">
        <w:rPr>
          <w:rFonts w:ascii="Sylfaen" w:hAnsi="Sylfaen"/>
          <w:sz w:val="24"/>
          <w:szCs w:val="24"/>
        </w:rPr>
        <w:t>և</w:t>
      </w:r>
      <w:r w:rsidRPr="00834D52">
        <w:rPr>
          <w:rFonts w:ascii="Sylfaen" w:hAnsi="Sylfaen"/>
          <w:sz w:val="24"/>
          <w:szCs w:val="24"/>
        </w:rPr>
        <w:t xml:space="preserve"> միացությունների մաքրության ցանկացած տարբերություն:</w:t>
      </w:r>
    </w:p>
    <w:p w14:paraId="62986D83" w14:textId="77777777" w:rsidR="006F76EB" w:rsidRPr="00834D52" w:rsidRDefault="006F76EB" w:rsidP="00D0637C">
      <w:pPr>
        <w:tabs>
          <w:tab w:val="left" w:pos="1418"/>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Բուսական, կենսաբանական ծագման դեղապատրաստուկների համար անհրաժեշտ է գնահատել նախակլինիկական հետազոտությունների, կլինիկական փորձարկումների մեջ օգտագործված նյութի </w:t>
      </w:r>
      <w:r w:rsidR="00C54D75">
        <w:rPr>
          <w:rFonts w:ascii="Sylfaen" w:hAnsi="Sylfaen"/>
          <w:sz w:val="24"/>
          <w:szCs w:val="24"/>
        </w:rPr>
        <w:t>և</w:t>
      </w:r>
      <w:r w:rsidRPr="00834D52">
        <w:rPr>
          <w:rFonts w:ascii="Sylfaen" w:hAnsi="Sylfaen"/>
          <w:sz w:val="24"/>
          <w:szCs w:val="24"/>
        </w:rPr>
        <w:t xml:space="preserve"> գրանցվելիք դեղապատրաստուկի համադրելիությունը:</w:t>
      </w:r>
    </w:p>
    <w:p w14:paraId="0CAE1568" w14:textId="77777777" w:rsidR="006F76EB" w:rsidRPr="00834D52" w:rsidRDefault="006F76EB" w:rsidP="00D0637C">
      <w:pPr>
        <w:tabs>
          <w:tab w:val="left" w:pos="1418"/>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Ցանկացած նոր օժանդակ նյութ ենթակա է անվտանգության առանձին գնահատման:</w:t>
      </w:r>
    </w:p>
    <w:p w14:paraId="0D77EFF4" w14:textId="77777777" w:rsidR="006F76EB" w:rsidRPr="00834D52" w:rsidRDefault="006F76EB" w:rsidP="00D0637C">
      <w:pPr>
        <w:tabs>
          <w:tab w:val="left" w:pos="1418"/>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սահմանել դեղապատրաստուկի՝ նախակլինիկական հետազոտությունների ժամանակ ապացուցված հատկությունները, ինչպես նա</w:t>
      </w:r>
      <w:r w:rsidR="00C54D75">
        <w:rPr>
          <w:rFonts w:ascii="Sylfaen" w:hAnsi="Sylfaen"/>
          <w:sz w:val="24"/>
          <w:szCs w:val="24"/>
        </w:rPr>
        <w:t>և</w:t>
      </w:r>
      <w:r w:rsidRPr="00834D52">
        <w:rPr>
          <w:rFonts w:ascii="Sylfaen" w:hAnsi="Sylfaen"/>
          <w:sz w:val="24"/>
          <w:szCs w:val="24"/>
        </w:rPr>
        <w:t xml:space="preserve"> ներկայացնել դեղապատրաստուկի անվտանգության արդյունքների նշանակությունը պլանավորվող կլինիկական կիրառության համար:</w:t>
      </w:r>
    </w:p>
    <w:p w14:paraId="4D3D2DD2" w14:textId="77777777" w:rsidR="006F76EB" w:rsidRPr="00834D52" w:rsidRDefault="006F76EB" w:rsidP="00D0637C">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2.5.</w:t>
      </w:r>
      <w:r w:rsidRPr="00834D52">
        <w:rPr>
          <w:rFonts w:ascii="Sylfaen" w:hAnsi="Sylfaen"/>
          <w:sz w:val="24"/>
          <w:szCs w:val="24"/>
        </w:rPr>
        <w:tab/>
        <w:t>Կլինիկական տվյալների ուսումնասիրություն:</w:t>
      </w:r>
    </w:p>
    <w:p w14:paraId="3F13A463" w14:textId="77777777" w:rsidR="006F76EB" w:rsidRPr="00834D52" w:rsidRDefault="006F76EB" w:rsidP="00D0637C">
      <w:pPr>
        <w:tabs>
          <w:tab w:val="left" w:pos="1418"/>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Կլինիկական տվյալների ուսումնասիրությունը պետք է պարունակի ռեզյումեի </w:t>
      </w:r>
      <w:r w:rsidR="00C54D75">
        <w:rPr>
          <w:rFonts w:ascii="Sylfaen" w:hAnsi="Sylfaen"/>
          <w:sz w:val="24"/>
          <w:szCs w:val="24"/>
        </w:rPr>
        <w:t>և</w:t>
      </w:r>
      <w:r w:rsidRPr="00834D52">
        <w:rPr>
          <w:rFonts w:ascii="Sylfaen" w:hAnsi="Sylfaen"/>
          <w:sz w:val="24"/>
          <w:szCs w:val="24"/>
        </w:rPr>
        <w:t xml:space="preserve"> 5-րդ մոդուլի մեջ ներառված կլինիկական տվյալների կրիտիկական վերլուծությունը: Անհրաժեշտ է ներկայացնել դեղապատրաստուկի կլինիկական մշակման եղանակի մասին տեղեկություններ, ներառյալ՝ հետազոտության բովանդակային պլանը, հետազոտության առնչությամբ կայացված որոշումները, ինչպես նա</w:t>
      </w:r>
      <w:r w:rsidR="00C54D75">
        <w:rPr>
          <w:rFonts w:ascii="Sylfaen" w:hAnsi="Sylfaen"/>
          <w:sz w:val="24"/>
          <w:szCs w:val="24"/>
        </w:rPr>
        <w:t>և</w:t>
      </w:r>
      <w:r w:rsidRPr="00834D52">
        <w:rPr>
          <w:rFonts w:ascii="Sylfaen" w:hAnsi="Sylfaen"/>
          <w:sz w:val="24"/>
          <w:szCs w:val="24"/>
        </w:rPr>
        <w:t xml:space="preserve"> հետազոտությունների անցկացման ընթացքը:</w:t>
      </w:r>
    </w:p>
    <w:p w14:paraId="6F962E4C" w14:textId="77777777" w:rsidR="006F76EB" w:rsidRPr="00834D52" w:rsidRDefault="006F76EB" w:rsidP="00D0637C">
      <w:pPr>
        <w:tabs>
          <w:tab w:val="left" w:pos="1418"/>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կլինիկական հետազոտությունների տվյալների համառոտ ուսումնասիրությունը, ներառյալ՝ կար</w:t>
      </w:r>
      <w:r w:rsidR="00C54D75">
        <w:rPr>
          <w:rFonts w:ascii="Sylfaen" w:hAnsi="Sylfaen"/>
          <w:sz w:val="24"/>
          <w:szCs w:val="24"/>
        </w:rPr>
        <w:t>և</w:t>
      </w:r>
      <w:r w:rsidRPr="00834D52">
        <w:rPr>
          <w:rFonts w:ascii="Sylfaen" w:hAnsi="Sylfaen"/>
          <w:sz w:val="24"/>
          <w:szCs w:val="24"/>
        </w:rPr>
        <w:t>որ սահմանափակող գործոնները, ինչպես նա</w:t>
      </w:r>
      <w:r w:rsidR="00C54D75">
        <w:rPr>
          <w:rFonts w:ascii="Sylfaen" w:hAnsi="Sylfaen"/>
          <w:sz w:val="24"/>
          <w:szCs w:val="24"/>
        </w:rPr>
        <w:t>և</w:t>
      </w:r>
      <w:r w:rsidRPr="00834D52">
        <w:rPr>
          <w:rFonts w:ascii="Sylfaen" w:hAnsi="Sylfaen"/>
          <w:sz w:val="24"/>
          <w:szCs w:val="24"/>
        </w:rPr>
        <w:t xml:space="preserve"> օգուտ-ռիսկ հարաբերակցության գնահատումը, որը հիմնվում է կլինիկական հետազոտությունների եզրահանգումների վրա, հիմնավորել առաջարկված դեղաչափը </w:t>
      </w:r>
      <w:r w:rsidR="00C54D75">
        <w:rPr>
          <w:rFonts w:ascii="Sylfaen" w:hAnsi="Sylfaen"/>
          <w:sz w:val="24"/>
          <w:szCs w:val="24"/>
        </w:rPr>
        <w:t>և</w:t>
      </w:r>
      <w:r w:rsidRPr="00834D52">
        <w:rPr>
          <w:rFonts w:ascii="Sylfaen" w:hAnsi="Sylfaen"/>
          <w:sz w:val="24"/>
          <w:szCs w:val="24"/>
        </w:rPr>
        <w:t xml:space="preserve"> կիրառման ցուցումները՝ ելնելով արդյունավետության </w:t>
      </w:r>
      <w:r w:rsidR="00C54D75">
        <w:rPr>
          <w:rFonts w:ascii="Sylfaen" w:hAnsi="Sylfaen"/>
          <w:sz w:val="24"/>
          <w:szCs w:val="24"/>
        </w:rPr>
        <w:t>և</w:t>
      </w:r>
      <w:r w:rsidRPr="00834D52">
        <w:rPr>
          <w:rFonts w:ascii="Sylfaen" w:hAnsi="Sylfaen"/>
          <w:sz w:val="24"/>
          <w:szCs w:val="24"/>
        </w:rPr>
        <w:t xml:space="preserve"> անվտանգության վերաբերյալ ստացված կլինիկական տվյալներից, ինչպես նա</w:t>
      </w:r>
      <w:r w:rsidR="00C54D75">
        <w:rPr>
          <w:rFonts w:ascii="Sylfaen" w:hAnsi="Sylfaen"/>
          <w:sz w:val="24"/>
          <w:szCs w:val="24"/>
        </w:rPr>
        <w:t>և</w:t>
      </w:r>
      <w:r w:rsidRPr="00834D52">
        <w:rPr>
          <w:rFonts w:ascii="Sylfaen" w:hAnsi="Sylfaen"/>
          <w:sz w:val="24"/>
          <w:szCs w:val="24"/>
        </w:rPr>
        <w:t xml:space="preserve"> գնահատել, թե ինչպես կարելի է դեղապատրաստուկի ընդհանուր բնութագրի, բժշկական կիրառության հրահանգի </w:t>
      </w:r>
      <w:r w:rsidR="00C54D75">
        <w:rPr>
          <w:rFonts w:ascii="Sylfaen" w:hAnsi="Sylfaen"/>
          <w:sz w:val="24"/>
          <w:szCs w:val="24"/>
        </w:rPr>
        <w:t>և</w:t>
      </w:r>
      <w:r w:rsidRPr="00834D52">
        <w:rPr>
          <w:rFonts w:ascii="Sylfaen" w:hAnsi="Sylfaen"/>
          <w:sz w:val="24"/>
          <w:szCs w:val="24"/>
        </w:rPr>
        <w:t xml:space="preserve"> այլ մոտեցումների օգնությամբ օպտիմալացնել օգուտն ու սահմանափակել ռիսկերը:</w:t>
      </w:r>
    </w:p>
    <w:p w14:paraId="6F7B0C9F" w14:textId="77777777" w:rsidR="006F76EB" w:rsidRPr="00834D52" w:rsidRDefault="006F76EB" w:rsidP="00427651">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Անհրաժեշտ է բացատրել արդյունավետությանն ու անվտանգությանը վերաբերող բոլոր հարցերը, որոնք առաջացել են մշակման գործընթացում, </w:t>
      </w:r>
      <w:r w:rsidR="00C54D75">
        <w:rPr>
          <w:rFonts w:ascii="Sylfaen" w:hAnsi="Sylfaen"/>
          <w:sz w:val="24"/>
          <w:szCs w:val="24"/>
        </w:rPr>
        <w:t>և</w:t>
      </w:r>
      <w:r w:rsidRPr="00834D52">
        <w:rPr>
          <w:rFonts w:ascii="Sylfaen" w:hAnsi="Sylfaen"/>
          <w:sz w:val="24"/>
          <w:szCs w:val="24"/>
        </w:rPr>
        <w:t xml:space="preserve"> որոնք բացատրություն չեն ստացել:</w:t>
      </w:r>
    </w:p>
    <w:p w14:paraId="5EA02912" w14:textId="77777777" w:rsidR="006F76EB" w:rsidRPr="00834D52" w:rsidRDefault="006F76EB" w:rsidP="00D0637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2.6.</w:t>
      </w:r>
      <w:r w:rsidRPr="00834D52">
        <w:rPr>
          <w:rFonts w:ascii="Sylfaen" w:hAnsi="Sylfaen"/>
          <w:sz w:val="24"/>
          <w:szCs w:val="24"/>
        </w:rPr>
        <w:tab/>
        <w:t>Նախակլինիկական հետազոտությունների ռեզյումե:</w:t>
      </w:r>
    </w:p>
    <w:p w14:paraId="41547460" w14:textId="77777777" w:rsidR="006F76EB" w:rsidRPr="00834D52" w:rsidRDefault="006F76EB" w:rsidP="00427651">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տվյալների ռեզյումեն անհրաժեշտ է ներկայացնել կենդանիների վրա անցկացված դեղաբանական, </w:t>
      </w:r>
      <w:r w:rsidR="00355C33">
        <w:rPr>
          <w:rFonts w:ascii="Sylfaen" w:hAnsi="Sylfaen"/>
          <w:sz w:val="24"/>
          <w:szCs w:val="24"/>
        </w:rPr>
        <w:t>դեղա</w:t>
      </w:r>
      <w:r w:rsidRPr="00834D52">
        <w:rPr>
          <w:rFonts w:ascii="Sylfaen" w:hAnsi="Sylfaen"/>
          <w:sz w:val="24"/>
          <w:szCs w:val="24"/>
        </w:rPr>
        <w:t xml:space="preserve">կինետիկ </w:t>
      </w:r>
      <w:r w:rsidR="00C54D75">
        <w:rPr>
          <w:rFonts w:ascii="Sylfaen" w:hAnsi="Sylfaen"/>
          <w:sz w:val="24"/>
          <w:szCs w:val="24"/>
        </w:rPr>
        <w:t>և</w:t>
      </w:r>
      <w:r w:rsidRPr="00834D52">
        <w:rPr>
          <w:rFonts w:ascii="Sylfaen" w:hAnsi="Sylfaen"/>
          <w:sz w:val="24"/>
          <w:szCs w:val="24"/>
        </w:rPr>
        <w:t xml:space="preserve"> թունաբանական in vitro հետազոտությունների փաստացի արդյունքների հիման վրա, տեքստային ձ</w:t>
      </w:r>
      <w:r w:rsidR="00C54D75">
        <w:rPr>
          <w:rFonts w:ascii="Sylfaen" w:hAnsi="Sylfaen"/>
          <w:sz w:val="24"/>
          <w:szCs w:val="24"/>
        </w:rPr>
        <w:t>և</w:t>
      </w:r>
      <w:r w:rsidRPr="00834D52">
        <w:rPr>
          <w:rFonts w:ascii="Sylfaen" w:hAnsi="Sylfaen"/>
          <w:sz w:val="24"/>
          <w:szCs w:val="24"/>
        </w:rPr>
        <w:t xml:space="preserve">աչափով </w:t>
      </w:r>
      <w:r w:rsidR="00C54D75">
        <w:rPr>
          <w:rFonts w:ascii="Sylfaen" w:hAnsi="Sylfaen"/>
          <w:sz w:val="24"/>
          <w:szCs w:val="24"/>
        </w:rPr>
        <w:t>և</w:t>
      </w:r>
      <w:r w:rsidRPr="00834D52">
        <w:rPr>
          <w:rFonts w:ascii="Sylfaen" w:hAnsi="Sylfaen"/>
          <w:sz w:val="24"/>
          <w:szCs w:val="24"/>
        </w:rPr>
        <w:t xml:space="preserve"> աղյուսակների տեսքով՝ ստոր</w:t>
      </w:r>
      <w:r w:rsidR="00C54D75">
        <w:rPr>
          <w:rFonts w:ascii="Sylfaen" w:hAnsi="Sylfaen"/>
          <w:sz w:val="24"/>
          <w:szCs w:val="24"/>
        </w:rPr>
        <w:t>և</w:t>
      </w:r>
      <w:r w:rsidRPr="00834D52">
        <w:rPr>
          <w:rFonts w:ascii="Sylfaen" w:hAnsi="Sylfaen"/>
          <w:sz w:val="24"/>
          <w:szCs w:val="24"/>
        </w:rPr>
        <w:t xml:space="preserve"> ներկայացված հաջորդականությամբ, ներածական մասով:</w:t>
      </w:r>
    </w:p>
    <w:p w14:paraId="600162BC"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2.6.1.</w:t>
      </w:r>
      <w:r w:rsidRPr="00834D52">
        <w:rPr>
          <w:rFonts w:ascii="Sylfaen" w:hAnsi="Sylfaen"/>
          <w:sz w:val="24"/>
          <w:szCs w:val="24"/>
        </w:rPr>
        <w:tab/>
        <w:t>Դեղաբանական տվյալների ռեզյումե՝ տեքստային ձ</w:t>
      </w:r>
      <w:r w:rsidR="00C54D75">
        <w:rPr>
          <w:rFonts w:ascii="Sylfaen" w:hAnsi="Sylfaen"/>
          <w:sz w:val="24"/>
          <w:szCs w:val="24"/>
        </w:rPr>
        <w:t>և</w:t>
      </w:r>
      <w:r w:rsidRPr="00834D52">
        <w:rPr>
          <w:rFonts w:ascii="Sylfaen" w:hAnsi="Sylfaen"/>
          <w:sz w:val="24"/>
          <w:szCs w:val="24"/>
        </w:rPr>
        <w:t>աչափով:</w:t>
      </w:r>
    </w:p>
    <w:p w14:paraId="3035BAA9"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2.6.2.</w:t>
      </w:r>
      <w:r w:rsidRPr="00834D52">
        <w:rPr>
          <w:rFonts w:ascii="Sylfaen" w:hAnsi="Sylfaen"/>
          <w:sz w:val="24"/>
          <w:szCs w:val="24"/>
        </w:rPr>
        <w:tab/>
        <w:t>Դեղաբանական տվյալների ռեզյումե՝ աղյուսակների տեսքով:</w:t>
      </w:r>
    </w:p>
    <w:p w14:paraId="1846C29C"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2.6.3.</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 տվյալների ռեզյումե՝ տեքստային ձ</w:t>
      </w:r>
      <w:r w:rsidR="00C54D75">
        <w:rPr>
          <w:rFonts w:ascii="Sylfaen" w:hAnsi="Sylfaen"/>
          <w:sz w:val="24"/>
          <w:szCs w:val="24"/>
        </w:rPr>
        <w:t>և</w:t>
      </w:r>
      <w:r w:rsidRPr="00834D52">
        <w:rPr>
          <w:rFonts w:ascii="Sylfaen" w:hAnsi="Sylfaen"/>
          <w:sz w:val="24"/>
          <w:szCs w:val="24"/>
        </w:rPr>
        <w:t>աչափով:</w:t>
      </w:r>
    </w:p>
    <w:p w14:paraId="6DA48CA6"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2.6.4.</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 տվյալների ռեզյումե՝ աղյուսակների տեսքով:</w:t>
      </w:r>
    </w:p>
    <w:p w14:paraId="5CB49C10"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2.6.5.</w:t>
      </w:r>
      <w:r w:rsidRPr="00834D52">
        <w:rPr>
          <w:rFonts w:ascii="Sylfaen" w:hAnsi="Sylfaen"/>
          <w:sz w:val="24"/>
          <w:szCs w:val="24"/>
        </w:rPr>
        <w:tab/>
        <w:t>Թունաբանական տվյալների ռեզյումե՝ տեքստային ձ</w:t>
      </w:r>
      <w:r w:rsidR="00C54D75">
        <w:rPr>
          <w:rFonts w:ascii="Sylfaen" w:hAnsi="Sylfaen"/>
          <w:sz w:val="24"/>
          <w:szCs w:val="24"/>
        </w:rPr>
        <w:t>և</w:t>
      </w:r>
      <w:r w:rsidRPr="00834D52">
        <w:rPr>
          <w:rFonts w:ascii="Sylfaen" w:hAnsi="Sylfaen"/>
          <w:sz w:val="24"/>
          <w:szCs w:val="24"/>
        </w:rPr>
        <w:t>աչափով:</w:t>
      </w:r>
    </w:p>
    <w:p w14:paraId="17D3F10D"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2.6.6.</w:t>
      </w:r>
      <w:r w:rsidRPr="00834D52">
        <w:rPr>
          <w:rFonts w:ascii="Sylfaen" w:hAnsi="Sylfaen"/>
          <w:sz w:val="24"/>
          <w:szCs w:val="24"/>
        </w:rPr>
        <w:tab/>
        <w:t>Թունաբանական տվյալների ռեզյումե՝ աղյուսակների տեսքով:</w:t>
      </w:r>
    </w:p>
    <w:p w14:paraId="38D32E07"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2.7.</w:t>
      </w:r>
      <w:r w:rsidRPr="00834D52">
        <w:rPr>
          <w:rFonts w:ascii="Sylfaen" w:hAnsi="Sylfaen"/>
          <w:sz w:val="24"/>
          <w:szCs w:val="24"/>
        </w:rPr>
        <w:tab/>
        <w:t>Կլինիկական տվյալների ռեզյումե:</w:t>
      </w:r>
    </w:p>
    <w:p w14:paraId="1899A620" w14:textId="77777777" w:rsidR="006F76EB" w:rsidRPr="00834D52" w:rsidRDefault="006F76EB" w:rsidP="00427651">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5-րդ մոդուլում ընդգրկված դեղապատրաստուկի ուսումնասիրման վերաբերյալ կլինիկական տեղեկատվության մանրամասն ռեզյումե՝ ներկայացնելով փաստացի տվյալներ: Ռեզյումեն պետք է ներառի բոլոր կենսադեղագործական հետազոտությունների, կլինիկական դեղաբանության հետազոտությունների, ինչպես նա</w:t>
      </w:r>
      <w:r w:rsidR="00C54D75">
        <w:rPr>
          <w:rFonts w:ascii="Sylfaen" w:hAnsi="Sylfaen"/>
          <w:sz w:val="24"/>
          <w:szCs w:val="24"/>
        </w:rPr>
        <w:t>և</w:t>
      </w:r>
      <w:r w:rsidRPr="00834D52">
        <w:rPr>
          <w:rFonts w:ascii="Sylfaen" w:hAnsi="Sylfaen"/>
          <w:sz w:val="24"/>
          <w:szCs w:val="24"/>
        </w:rPr>
        <w:t xml:space="preserve"> կլինիկական արդյունավետության </w:t>
      </w:r>
      <w:r w:rsidR="00C54D75">
        <w:rPr>
          <w:rFonts w:ascii="Sylfaen" w:hAnsi="Sylfaen"/>
          <w:sz w:val="24"/>
          <w:szCs w:val="24"/>
        </w:rPr>
        <w:t>և</w:t>
      </w:r>
      <w:r w:rsidRPr="00834D52">
        <w:rPr>
          <w:rFonts w:ascii="Sylfaen" w:hAnsi="Sylfaen"/>
          <w:sz w:val="24"/>
          <w:szCs w:val="24"/>
        </w:rPr>
        <w:t xml:space="preserve"> անվտանգության հետազոտությունների արդյունքները: Անհրաժեշտ է ներկայացնել անհատական հետազոտությունների համառոտ ուսումնասիրությունը: Ռեզյումեի տեսքով կլինիկական տեղեկատվությունը պետք</w:t>
      </w:r>
      <w:r w:rsidR="00427651" w:rsidRPr="00F7333A">
        <w:rPr>
          <w:rFonts w:ascii="Sylfaen" w:hAnsi="Sylfaen"/>
          <w:sz w:val="24"/>
          <w:szCs w:val="24"/>
        </w:rPr>
        <w:t> </w:t>
      </w:r>
      <w:r w:rsidRPr="00834D52">
        <w:rPr>
          <w:rFonts w:ascii="Sylfaen" w:hAnsi="Sylfaen"/>
          <w:sz w:val="24"/>
          <w:szCs w:val="24"/>
        </w:rPr>
        <w:t>է ներկայացվի մասերի որոշակի հաջորդականությամբ (օգտագործված գիտական աղբյուրների ցանկով):</w:t>
      </w:r>
    </w:p>
    <w:p w14:paraId="5986DC76"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2.7.1.</w:t>
      </w:r>
      <w:r w:rsidRPr="00834D52">
        <w:rPr>
          <w:rFonts w:ascii="Sylfaen" w:hAnsi="Sylfaen"/>
          <w:sz w:val="24"/>
          <w:szCs w:val="24"/>
        </w:rPr>
        <w:tab/>
        <w:t xml:space="preserve">Կենսադեղագործական հետազոտությունների </w:t>
      </w:r>
      <w:r w:rsidR="00C54D75">
        <w:rPr>
          <w:rFonts w:ascii="Sylfaen" w:hAnsi="Sylfaen"/>
          <w:sz w:val="24"/>
          <w:szCs w:val="24"/>
        </w:rPr>
        <w:t>և</w:t>
      </w:r>
      <w:r w:rsidRPr="00834D52">
        <w:rPr>
          <w:rFonts w:ascii="Sylfaen" w:hAnsi="Sylfaen"/>
          <w:sz w:val="24"/>
          <w:szCs w:val="24"/>
        </w:rPr>
        <w:t xml:space="preserve"> դրանց հետ կապված վերլուծական մեթոդների ռեզյումե:</w:t>
      </w:r>
    </w:p>
    <w:p w14:paraId="25C4759B"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2.7.2.</w:t>
      </w:r>
      <w:r w:rsidRPr="00834D52">
        <w:rPr>
          <w:rFonts w:ascii="Sylfaen" w:hAnsi="Sylfaen"/>
          <w:sz w:val="24"/>
          <w:szCs w:val="24"/>
        </w:rPr>
        <w:tab/>
        <w:t>Կլինիկական դեղաբանության հետազոտությունների ռեզյումե:</w:t>
      </w:r>
    </w:p>
    <w:p w14:paraId="7CE093DF"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2.7.3.</w:t>
      </w:r>
      <w:r w:rsidRPr="00834D52">
        <w:rPr>
          <w:rFonts w:ascii="Sylfaen" w:hAnsi="Sylfaen"/>
          <w:sz w:val="24"/>
          <w:szCs w:val="24"/>
        </w:rPr>
        <w:tab/>
        <w:t>Կլինիկական արդյունավետության ռեզյումե:</w:t>
      </w:r>
    </w:p>
    <w:p w14:paraId="4E95C6AD"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2.7.4.</w:t>
      </w:r>
      <w:r w:rsidRPr="00834D52">
        <w:rPr>
          <w:rFonts w:ascii="Sylfaen" w:hAnsi="Sylfaen"/>
          <w:sz w:val="24"/>
          <w:szCs w:val="24"/>
        </w:rPr>
        <w:tab/>
        <w:t>Կլինիկական անվտանգության ռեզյումե:</w:t>
      </w:r>
    </w:p>
    <w:p w14:paraId="62F3ADA4" w14:textId="77777777" w:rsidR="006F76EB" w:rsidRPr="00834D52" w:rsidRDefault="006F76EB" w:rsidP="00D0637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2.7.5.</w:t>
      </w:r>
      <w:r w:rsidRPr="00834D52">
        <w:rPr>
          <w:rFonts w:ascii="Sylfaen" w:hAnsi="Sylfaen"/>
          <w:sz w:val="24"/>
          <w:szCs w:val="24"/>
        </w:rPr>
        <w:tab/>
        <w:t>Օգտագործված գրական աղբյուրների պատճեն:</w:t>
      </w:r>
    </w:p>
    <w:p w14:paraId="395961C4" w14:textId="77777777" w:rsidR="006F76EB" w:rsidRPr="00623D29" w:rsidRDefault="006F76EB" w:rsidP="00D0637C">
      <w:pPr>
        <w:tabs>
          <w:tab w:val="left" w:pos="1701"/>
        </w:tabs>
        <w:spacing w:after="160" w:line="360" w:lineRule="auto"/>
        <w:ind w:right="-8" w:firstLine="567"/>
        <w:jc w:val="both"/>
        <w:rPr>
          <w:rFonts w:ascii="Sylfaen" w:eastAsia="Times New Roman" w:hAnsi="Sylfaen" w:cs="Times New Roman"/>
          <w:spacing w:val="-6"/>
          <w:sz w:val="24"/>
          <w:szCs w:val="24"/>
        </w:rPr>
      </w:pPr>
      <w:r w:rsidRPr="00834D52">
        <w:rPr>
          <w:rFonts w:ascii="Sylfaen" w:hAnsi="Sylfaen"/>
          <w:sz w:val="24"/>
          <w:szCs w:val="24"/>
        </w:rPr>
        <w:t>2.</w:t>
      </w:r>
      <w:r w:rsidRPr="00623D29">
        <w:rPr>
          <w:rFonts w:ascii="Sylfaen" w:hAnsi="Sylfaen"/>
          <w:spacing w:val="-6"/>
          <w:sz w:val="24"/>
          <w:szCs w:val="24"/>
        </w:rPr>
        <w:t>7.6.</w:t>
      </w:r>
      <w:r w:rsidRPr="00623D29">
        <w:rPr>
          <w:rFonts w:ascii="Sylfaen" w:hAnsi="Sylfaen"/>
          <w:spacing w:val="-6"/>
          <w:sz w:val="24"/>
          <w:szCs w:val="24"/>
        </w:rPr>
        <w:tab/>
        <w:t>Անհատական հետազոտությունների համառոտ ուսումնասիրություն:</w:t>
      </w:r>
    </w:p>
    <w:p w14:paraId="35087957" w14:textId="77777777" w:rsidR="006F76EB" w:rsidRPr="00834D52" w:rsidRDefault="006F76EB" w:rsidP="006F76EB">
      <w:pPr>
        <w:tabs>
          <w:tab w:val="left" w:pos="1276"/>
        </w:tabs>
        <w:spacing w:after="160" w:line="336" w:lineRule="auto"/>
        <w:ind w:right="-8" w:firstLine="567"/>
        <w:rPr>
          <w:rFonts w:ascii="Sylfaen" w:hAnsi="Sylfaen"/>
          <w:sz w:val="24"/>
          <w:szCs w:val="24"/>
        </w:rPr>
      </w:pPr>
    </w:p>
    <w:p w14:paraId="2123CFFB" w14:textId="77777777" w:rsidR="006F76EB" w:rsidRPr="00834D52" w:rsidRDefault="006F76EB" w:rsidP="00623D29">
      <w:pPr>
        <w:spacing w:after="160" w:line="384" w:lineRule="auto"/>
        <w:ind w:left="567" w:right="567"/>
        <w:jc w:val="center"/>
        <w:rPr>
          <w:rFonts w:ascii="Sylfaen" w:eastAsia="Times New Roman" w:hAnsi="Sylfaen" w:cs="Times New Roman"/>
          <w:sz w:val="24"/>
          <w:szCs w:val="24"/>
        </w:rPr>
      </w:pPr>
      <w:r w:rsidRPr="00834D52">
        <w:rPr>
          <w:rFonts w:ascii="Sylfaen" w:hAnsi="Sylfaen"/>
          <w:sz w:val="24"/>
          <w:szCs w:val="24"/>
        </w:rPr>
        <w:t>3. Գրանցման դոսյեի՝ 3-րդ մոդուլում բերված փաստաթղթերի նկատմամբ պահանջները՝ որակ</w:t>
      </w:r>
    </w:p>
    <w:p w14:paraId="75EE8DB2" w14:textId="77777777" w:rsidR="006F76EB" w:rsidRPr="00834D52" w:rsidRDefault="006F76EB" w:rsidP="00623D29">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3.1.</w:t>
      </w:r>
      <w:r w:rsidRPr="00834D52">
        <w:rPr>
          <w:rFonts w:ascii="Sylfaen" w:hAnsi="Sylfaen"/>
          <w:sz w:val="24"/>
          <w:szCs w:val="24"/>
        </w:rPr>
        <w:tab/>
        <w:t xml:space="preserve">3-րդ մոդուլի բովանդակություն: </w:t>
      </w:r>
    </w:p>
    <w:p w14:paraId="5BBEEABC" w14:textId="77777777" w:rsidR="006F76EB" w:rsidRPr="00834D52" w:rsidRDefault="006F76EB" w:rsidP="00623D29">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3.2.</w:t>
      </w:r>
      <w:r w:rsidRPr="00834D52">
        <w:rPr>
          <w:rFonts w:ascii="Sylfaen" w:hAnsi="Sylfaen"/>
          <w:sz w:val="24"/>
          <w:szCs w:val="24"/>
        </w:rPr>
        <w:tab/>
        <w:t xml:space="preserve">Ներկայացնելու համար անհրաժեշտ հիմնական տեղեկությունները ներառում են՝ </w:t>
      </w:r>
    </w:p>
    <w:p w14:paraId="46401EEA" w14:textId="77777777" w:rsidR="006F76EB" w:rsidRPr="00834D52" w:rsidRDefault="006F76EB" w:rsidP="00623D29">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ակտիվ դեղագործական բաղադրամասերի </w:t>
      </w:r>
      <w:r w:rsidR="00C54D75">
        <w:rPr>
          <w:rFonts w:ascii="Sylfaen" w:hAnsi="Sylfaen"/>
          <w:sz w:val="24"/>
          <w:szCs w:val="24"/>
        </w:rPr>
        <w:t>և</w:t>
      </w:r>
      <w:r w:rsidRPr="00834D52">
        <w:rPr>
          <w:rFonts w:ascii="Sylfaen" w:hAnsi="Sylfaen"/>
          <w:sz w:val="24"/>
          <w:szCs w:val="24"/>
        </w:rPr>
        <w:t xml:space="preserve"> դեղապատրաստուկի մասին քիմիական, դեղագործական </w:t>
      </w:r>
      <w:r w:rsidR="00C54D75">
        <w:rPr>
          <w:rFonts w:ascii="Sylfaen" w:hAnsi="Sylfaen"/>
          <w:sz w:val="24"/>
          <w:szCs w:val="24"/>
        </w:rPr>
        <w:t>և</w:t>
      </w:r>
      <w:r w:rsidRPr="00834D52">
        <w:rPr>
          <w:rFonts w:ascii="Sylfaen" w:hAnsi="Sylfaen"/>
          <w:sz w:val="24"/>
          <w:szCs w:val="24"/>
        </w:rPr>
        <w:t xml:space="preserve"> կենսաբանական տվյալներ, որոնք ներառում են տեղեկատվություն՝ մշակման, արտադրական գործընթացի, բնութագրերի </w:t>
      </w:r>
      <w:r w:rsidR="00C54D75">
        <w:rPr>
          <w:rFonts w:ascii="Sylfaen" w:hAnsi="Sylfaen"/>
          <w:sz w:val="24"/>
          <w:szCs w:val="24"/>
        </w:rPr>
        <w:t>և</w:t>
      </w:r>
      <w:r w:rsidRPr="00834D52">
        <w:rPr>
          <w:rFonts w:ascii="Sylfaen" w:hAnsi="Sylfaen"/>
          <w:sz w:val="24"/>
          <w:szCs w:val="24"/>
        </w:rPr>
        <w:t xml:space="preserve"> հատկությունների, որակի հսկողության, կայունության մասով մեթոդիկաների </w:t>
      </w:r>
      <w:r w:rsidR="00C54D75">
        <w:rPr>
          <w:rFonts w:ascii="Sylfaen" w:hAnsi="Sylfaen"/>
          <w:sz w:val="24"/>
          <w:szCs w:val="24"/>
        </w:rPr>
        <w:t>և</w:t>
      </w:r>
      <w:r w:rsidRPr="00834D52">
        <w:rPr>
          <w:rFonts w:ascii="Sylfaen" w:hAnsi="Sylfaen"/>
          <w:sz w:val="24"/>
          <w:szCs w:val="24"/>
        </w:rPr>
        <w:t xml:space="preserve"> պահանջների մասին, ինչպես նա</w:t>
      </w:r>
      <w:r w:rsidR="00C54D75">
        <w:rPr>
          <w:rFonts w:ascii="Sylfaen" w:hAnsi="Sylfaen"/>
          <w:sz w:val="24"/>
          <w:szCs w:val="24"/>
        </w:rPr>
        <w:t>և</w:t>
      </w:r>
      <w:r w:rsidRPr="00834D52">
        <w:rPr>
          <w:rFonts w:ascii="Sylfaen" w:hAnsi="Sylfaen"/>
          <w:sz w:val="24"/>
          <w:szCs w:val="24"/>
        </w:rPr>
        <w:t xml:space="preserve"> դեղապատրաստուկի բաղադրության </w:t>
      </w:r>
      <w:r w:rsidR="00C54D75">
        <w:rPr>
          <w:rFonts w:ascii="Sylfaen" w:hAnsi="Sylfaen"/>
          <w:sz w:val="24"/>
          <w:szCs w:val="24"/>
        </w:rPr>
        <w:t>և</w:t>
      </w:r>
      <w:r w:rsidRPr="00834D52">
        <w:rPr>
          <w:rFonts w:ascii="Sylfaen" w:hAnsi="Sylfaen"/>
          <w:sz w:val="24"/>
          <w:szCs w:val="24"/>
        </w:rPr>
        <w:t xml:space="preserve"> փաթեթվածքի նկարագրությունը, </w:t>
      </w:r>
    </w:p>
    <w:p w14:paraId="24EED113" w14:textId="77777777" w:rsidR="006F76EB" w:rsidRPr="00834D52" w:rsidRDefault="006F76EB" w:rsidP="00623D29">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ակտիվ դեղագործական բաղադրամասի </w:t>
      </w:r>
      <w:r w:rsidR="00C54D75">
        <w:rPr>
          <w:rFonts w:ascii="Sylfaen" w:hAnsi="Sylfaen"/>
          <w:sz w:val="24"/>
          <w:szCs w:val="24"/>
        </w:rPr>
        <w:t>և</w:t>
      </w:r>
      <w:r w:rsidRPr="00834D52">
        <w:rPr>
          <w:rFonts w:ascii="Sylfaen" w:hAnsi="Sylfaen"/>
          <w:sz w:val="24"/>
          <w:szCs w:val="24"/>
        </w:rPr>
        <w:t xml:space="preserve"> դեղապատրաստուկի մասին հիմնական տեղեկատվություն, </w:t>
      </w:r>
    </w:p>
    <w:p w14:paraId="78D7861D" w14:textId="77777777" w:rsidR="006F76EB" w:rsidRPr="00834D52" w:rsidRDefault="006F76EB" w:rsidP="00623D29">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ակտիվ դեղագործական բաղադրամասի </w:t>
      </w:r>
      <w:r w:rsidR="00C54D75">
        <w:rPr>
          <w:rFonts w:ascii="Sylfaen" w:hAnsi="Sylfaen"/>
          <w:sz w:val="24"/>
          <w:szCs w:val="24"/>
        </w:rPr>
        <w:t>և</w:t>
      </w:r>
      <w:r w:rsidRPr="00834D52">
        <w:rPr>
          <w:rFonts w:ascii="Sylfaen" w:hAnsi="Sylfaen"/>
          <w:sz w:val="24"/>
          <w:szCs w:val="24"/>
        </w:rPr>
        <w:t xml:space="preserve"> դեղապատրաստուկի բաղադրության մեջ մտնող օժանդակ նյութերի արտադրության ժամանակ օգտագործվող ելանյութերի </w:t>
      </w:r>
      <w:r w:rsidR="00C54D75">
        <w:rPr>
          <w:rFonts w:ascii="Sylfaen" w:hAnsi="Sylfaen"/>
          <w:sz w:val="24"/>
          <w:szCs w:val="24"/>
        </w:rPr>
        <w:t>և</w:t>
      </w:r>
      <w:r w:rsidRPr="00834D52">
        <w:rPr>
          <w:rFonts w:ascii="Sylfaen" w:hAnsi="Sylfaen"/>
          <w:sz w:val="24"/>
          <w:szCs w:val="24"/>
        </w:rPr>
        <w:t xml:space="preserve"> հումքի մասին մանրամասն տեղեկատվություն, </w:t>
      </w:r>
    </w:p>
    <w:p w14:paraId="7F40F9EC" w14:textId="77777777" w:rsidR="006F76EB" w:rsidRPr="00834D52" w:rsidRDefault="006F76EB" w:rsidP="00623D29">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դ)</w:t>
      </w:r>
      <w:r w:rsidRPr="00834D52">
        <w:rPr>
          <w:rFonts w:ascii="Sylfaen" w:hAnsi="Sylfaen"/>
          <w:sz w:val="24"/>
          <w:szCs w:val="24"/>
        </w:rPr>
        <w:tab/>
        <w:t xml:space="preserve">ակտիվ դեղագործական բաղադրամասի </w:t>
      </w:r>
      <w:r w:rsidR="00C54D75">
        <w:rPr>
          <w:rFonts w:ascii="Sylfaen" w:hAnsi="Sylfaen"/>
          <w:sz w:val="24"/>
          <w:szCs w:val="24"/>
        </w:rPr>
        <w:t>և</w:t>
      </w:r>
      <w:r w:rsidRPr="00834D52">
        <w:rPr>
          <w:rFonts w:ascii="Sylfaen" w:hAnsi="Sylfaen"/>
          <w:sz w:val="24"/>
          <w:szCs w:val="24"/>
        </w:rPr>
        <w:t xml:space="preserve"> դեղապատրաստուկի արտադրության </w:t>
      </w:r>
      <w:r w:rsidR="00C54D75">
        <w:rPr>
          <w:rFonts w:ascii="Sylfaen" w:hAnsi="Sylfaen"/>
          <w:sz w:val="24"/>
          <w:szCs w:val="24"/>
        </w:rPr>
        <w:t>և</w:t>
      </w:r>
      <w:r w:rsidRPr="00834D52">
        <w:rPr>
          <w:rFonts w:ascii="Sylfaen" w:hAnsi="Sylfaen"/>
          <w:sz w:val="24"/>
          <w:szCs w:val="24"/>
        </w:rPr>
        <w:t xml:space="preserve"> որակի հսկողության ժամանակ օգտագործվող փորձարկման հստակ </w:t>
      </w:r>
      <w:r w:rsidR="00C54D75">
        <w:rPr>
          <w:rFonts w:ascii="Sylfaen" w:hAnsi="Sylfaen"/>
          <w:sz w:val="24"/>
          <w:szCs w:val="24"/>
        </w:rPr>
        <w:t>և</w:t>
      </w:r>
      <w:r w:rsidRPr="00834D52">
        <w:rPr>
          <w:rFonts w:ascii="Sylfaen" w:hAnsi="Sylfaen"/>
          <w:sz w:val="24"/>
          <w:szCs w:val="24"/>
        </w:rPr>
        <w:t xml:space="preserve"> մանրամասն շարադրված բոլոր մեթոդիկաներն ու մեթոդները, որպեսզի հնարավոր լինի վերարտադրել դրանք </w:t>
      </w:r>
      <w:r w:rsidR="0032680A">
        <w:rPr>
          <w:rFonts w:ascii="Sylfaen" w:hAnsi="Sylfaen"/>
          <w:sz w:val="24"/>
          <w:szCs w:val="24"/>
        </w:rPr>
        <w:t xml:space="preserve">ռեֆերենտ </w:t>
      </w:r>
      <w:r w:rsidRPr="00834D52">
        <w:rPr>
          <w:rFonts w:ascii="Sylfaen" w:hAnsi="Sylfaen"/>
          <w:sz w:val="24"/>
          <w:szCs w:val="24"/>
        </w:rPr>
        <w:t xml:space="preserve">պետության լիազորված մարմնի պահանջով ստուգիչ փորձարկումներ անցկացնելիս: Փորձարկման բոլոր մեթոդիկաները պետք է համապատասխանեն ժամանակակից գիտական մակարդակին </w:t>
      </w:r>
      <w:r w:rsidR="00C54D75">
        <w:rPr>
          <w:rFonts w:ascii="Sylfaen" w:hAnsi="Sylfaen"/>
          <w:sz w:val="24"/>
          <w:szCs w:val="24"/>
        </w:rPr>
        <w:t>և</w:t>
      </w:r>
      <w:r w:rsidRPr="00834D52">
        <w:rPr>
          <w:rFonts w:ascii="Sylfaen" w:hAnsi="Sylfaen"/>
          <w:sz w:val="24"/>
          <w:szCs w:val="24"/>
        </w:rPr>
        <w:t xml:space="preserve"> լինեն վալիդացված: Հարկ է ներկայացնել մեթոդիկաների վալիդացման արդյունքները: Եվրասիական տնտեսական միության անդամ պետությունների դեղագրքերի ներդաշնակեցման հայեցակարգին (այսուհետ՝ Հայեցակարգ)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մեջ ներառված փորձարկումների մեթոդների օգտագործման ժամանակ բերվում է համապատասխան հղում մենագրություններին </w:t>
      </w:r>
      <w:r w:rsidR="00C54D75">
        <w:rPr>
          <w:rFonts w:ascii="Sylfaen" w:hAnsi="Sylfaen"/>
          <w:sz w:val="24"/>
          <w:szCs w:val="24"/>
        </w:rPr>
        <w:t>և</w:t>
      </w:r>
      <w:r w:rsidRPr="00834D52">
        <w:rPr>
          <w:rFonts w:ascii="Sylfaen" w:hAnsi="Sylfaen"/>
          <w:sz w:val="24"/>
          <w:szCs w:val="24"/>
        </w:rPr>
        <w:t xml:space="preserve"> ընդհանուր բաժիններին, </w:t>
      </w:r>
    </w:p>
    <w:p w14:paraId="7AC0C872" w14:textId="77777777" w:rsidR="006F76EB" w:rsidRPr="00834D52" w:rsidRDefault="006F76EB" w:rsidP="00623D2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 xml:space="preserve">Հայեցակարգին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մենագրություններում նշված բոլոր դեղագործական բաղադրամասերի համար անհրաժեշտ է ներկայացնել թվարկված դեղագրքերին արված հղումներ: </w:t>
      </w:r>
    </w:p>
    <w:p w14:paraId="50D6A50A" w14:textId="77777777" w:rsidR="006F76EB" w:rsidRPr="00834D52" w:rsidRDefault="006F76EB" w:rsidP="00F7333A">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Մինչդեռ եթե, Հայեցակարգին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մեջ նշված դեղագործական բաղադրամասը ստանում են այնպիսի եղանակով, որի ժամանակ կարող են առաջանալ վերոնշյալ դեղագրքերի մենագրություններով չվերահսկվող խառնուկներ, ապա անհրաժեշտ է նշել այդ խառնուկները </w:t>
      </w:r>
      <w:r w:rsidR="00C54D75">
        <w:rPr>
          <w:rFonts w:ascii="Sylfaen" w:hAnsi="Sylfaen"/>
          <w:sz w:val="24"/>
          <w:szCs w:val="24"/>
        </w:rPr>
        <w:t>և</w:t>
      </w:r>
      <w:r w:rsidRPr="00834D52">
        <w:rPr>
          <w:rFonts w:ascii="Sylfaen" w:hAnsi="Sylfaen"/>
          <w:sz w:val="24"/>
          <w:szCs w:val="24"/>
        </w:rPr>
        <w:t xml:space="preserve"> նրանց թույլատրելի պարունակությունը, ինչպես նա</w:t>
      </w:r>
      <w:r w:rsidR="00C54D75">
        <w:rPr>
          <w:rFonts w:ascii="Sylfaen" w:hAnsi="Sylfaen"/>
          <w:sz w:val="24"/>
          <w:szCs w:val="24"/>
        </w:rPr>
        <w:t>և</w:t>
      </w:r>
      <w:r w:rsidRPr="00834D52">
        <w:rPr>
          <w:rFonts w:ascii="Sylfaen" w:hAnsi="Sylfaen"/>
          <w:sz w:val="24"/>
          <w:szCs w:val="24"/>
        </w:rPr>
        <w:t xml:space="preserve"> ներկայացնել դրանք սահմանելու մեթոդիկան: Այն դեպքում, երբ Հայեցակարգին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մենագրության մեջ ներառված մասնագիրը բավարար չէ բաղադրամասի որակի ապահովման համար, </w:t>
      </w:r>
      <w:r w:rsidRPr="00834D52">
        <w:rPr>
          <w:rFonts w:ascii="Sylfaen" w:hAnsi="Sylfaen"/>
          <w:sz w:val="24"/>
          <w:szCs w:val="24"/>
        </w:rPr>
        <w:lastRenderedPageBreak/>
        <w:t>արտադրողից կամ գրանցման հավաստագրի իրավատիրոջից կարող է պահանջվել առավել մանրամասն մասնագիր:</w:t>
      </w:r>
    </w:p>
    <w:p w14:paraId="55865290" w14:textId="77777777" w:rsidR="006F76EB" w:rsidRPr="00834D52" w:rsidRDefault="006F76EB" w:rsidP="00F7333A">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վերլուծության մեթոդներն ու մեթոդիկաները ներառված են Եվրասիական տնտեսական միության դեղագրքի մեջ, ապա դրանք ամբողջությամբ շարադրելու անհրաժեշտություն չկա, </w:t>
      </w:r>
      <w:r w:rsidR="00C54D75">
        <w:rPr>
          <w:rFonts w:ascii="Sylfaen" w:hAnsi="Sylfaen"/>
          <w:sz w:val="24"/>
          <w:szCs w:val="24"/>
        </w:rPr>
        <w:t>և</w:t>
      </w:r>
      <w:r w:rsidRPr="00834D52">
        <w:rPr>
          <w:rFonts w:ascii="Sylfaen" w:hAnsi="Sylfaen"/>
          <w:sz w:val="24"/>
          <w:szCs w:val="24"/>
        </w:rPr>
        <w:t xml:space="preserve"> բավական է բերել համապատասխան հղում մենագրություններին </w:t>
      </w:r>
      <w:r w:rsidR="00C54D75">
        <w:rPr>
          <w:rFonts w:ascii="Sylfaen" w:hAnsi="Sylfaen"/>
          <w:sz w:val="24"/>
          <w:szCs w:val="24"/>
        </w:rPr>
        <w:t>և</w:t>
      </w:r>
      <w:r w:rsidRPr="00834D52">
        <w:rPr>
          <w:rFonts w:ascii="Sylfaen" w:hAnsi="Sylfaen"/>
          <w:sz w:val="24"/>
          <w:szCs w:val="24"/>
        </w:rPr>
        <w:t xml:space="preserve"> ընդհանուր բաժիններին, </w:t>
      </w:r>
    </w:p>
    <w:p w14:paraId="1D1A47AA" w14:textId="77777777" w:rsidR="006F76EB" w:rsidRPr="00834D52" w:rsidRDefault="006F76EB" w:rsidP="00623D2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եթե ելանյութերն ու հումքը, ակտիվ դեղագործական բաղադրամասերը կամ օժանդակ նյութերը նկարագրված չեն Հայեցակարգին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մեջ, ապա կարող է կիրառվել այլ պետության դեղագրքի մենագրությանը արված հղումը: Նման դեպքերում հայտատուն պետք է ներկայացնի մենագրության պատճենը մենագրության մեջ նկարագրված վերլուծական մեթոդիկաների վալիդացման հետ մեկտեղ, ինչպես նա</w:t>
      </w:r>
      <w:r w:rsidR="00C54D75">
        <w:rPr>
          <w:rFonts w:ascii="Sylfaen" w:hAnsi="Sylfaen"/>
          <w:sz w:val="24"/>
          <w:szCs w:val="24"/>
        </w:rPr>
        <w:t>և</w:t>
      </w:r>
      <w:r w:rsidRPr="00834D52">
        <w:rPr>
          <w:rFonts w:ascii="Sylfaen" w:hAnsi="Sylfaen"/>
          <w:sz w:val="24"/>
          <w:szCs w:val="24"/>
        </w:rPr>
        <w:t xml:space="preserve"> թարգմանությունը (անհրաժեշտության դեպքում), </w:t>
      </w:r>
    </w:p>
    <w:p w14:paraId="143C0713" w14:textId="77777777" w:rsidR="006F76EB" w:rsidRPr="00834D52" w:rsidRDefault="006F76EB" w:rsidP="00623D29">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է)</w:t>
      </w:r>
      <w:r w:rsidRPr="00834D52">
        <w:rPr>
          <w:rFonts w:ascii="Sylfaen" w:hAnsi="Sylfaen"/>
          <w:sz w:val="24"/>
          <w:szCs w:val="24"/>
        </w:rPr>
        <w:tab/>
        <w:t xml:space="preserve">եթե ակտիվ դեղագործական բաղադրամասը </w:t>
      </w:r>
      <w:r w:rsidR="00C54D75">
        <w:rPr>
          <w:rFonts w:ascii="Sylfaen" w:hAnsi="Sylfaen"/>
          <w:sz w:val="24"/>
          <w:szCs w:val="24"/>
        </w:rPr>
        <w:t>և</w:t>
      </w:r>
      <w:r w:rsidRPr="00834D52">
        <w:rPr>
          <w:rFonts w:ascii="Sylfaen" w:hAnsi="Sylfaen"/>
          <w:sz w:val="24"/>
          <w:szCs w:val="24"/>
        </w:rPr>
        <w:t xml:space="preserve"> (կամ) օժանդակ նյութը </w:t>
      </w:r>
      <w:r w:rsidR="00C54D75">
        <w:rPr>
          <w:rFonts w:ascii="Sylfaen" w:hAnsi="Sylfaen"/>
          <w:sz w:val="24"/>
          <w:szCs w:val="24"/>
        </w:rPr>
        <w:t>և</w:t>
      </w:r>
      <w:r w:rsidRPr="00834D52">
        <w:rPr>
          <w:rFonts w:ascii="Sylfaen" w:hAnsi="Sylfaen"/>
          <w:sz w:val="24"/>
          <w:szCs w:val="24"/>
        </w:rPr>
        <w:t xml:space="preserve"> ելանյութը նկարագրված են Եվրոպական դեղագրքի մենագրության մեջ, հայտատուն կարող է տվյալ մոդուլի համապատասխան կետում ներկայացնել Եվրոպական դեղագրքի մենագրությանը համապատասխանության սերտիֆիկատ: Ընդունված է, որ Եվրոպական դեղագրքի մենագրությանը համապատասխանության սերտիֆիկատները փոխարինում են տվյալ մոդուլի մեջ նշված՝ համապատասխան բաժինների էական տվյալներին: Ակտիվ դեղագործական բաղադրամասի արտադրողը պետք է հայտատուին գրավոր հավաստի, որ արտադրական գործընթացը համապատասխանության տվյալ սերտիֆիկատը տրամադրելու ժամանակվանից ի վեր չի փոխվել, </w:t>
      </w:r>
    </w:p>
    <w:p w14:paraId="5DE80DDC" w14:textId="77777777" w:rsidR="006F76EB" w:rsidRPr="00834D52" w:rsidRDefault="006F76EB" w:rsidP="00623D29">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ը)</w:t>
      </w:r>
      <w:r w:rsidRPr="00834D52">
        <w:rPr>
          <w:rFonts w:ascii="Sylfaen" w:hAnsi="Sylfaen"/>
          <w:sz w:val="24"/>
          <w:szCs w:val="24"/>
        </w:rPr>
        <w:tab/>
        <w:t xml:space="preserve">լավ ուսումնասիրված (3-ից ոչ պակաս անդամ պետություններում դեղապատրաստուկի ազդող նյութերի՝ բացառությամբ կենսաբանական նյութերի, առաջին համակարգված </w:t>
      </w:r>
      <w:r w:rsidR="00C54D75">
        <w:rPr>
          <w:rFonts w:ascii="Sylfaen" w:hAnsi="Sylfaen"/>
          <w:sz w:val="24"/>
          <w:szCs w:val="24"/>
        </w:rPr>
        <w:t>և</w:t>
      </w:r>
      <w:r w:rsidRPr="00834D52">
        <w:rPr>
          <w:rFonts w:ascii="Sylfaen" w:hAnsi="Sylfaen"/>
          <w:sz w:val="24"/>
          <w:szCs w:val="24"/>
        </w:rPr>
        <w:t xml:space="preserve"> փաստաթղթավորված կիրառության օրվանից 10</w:t>
      </w:r>
      <w:r w:rsidR="00E633A0" w:rsidRPr="000E3C03">
        <w:rPr>
          <w:rFonts w:ascii="Sylfaen" w:hAnsi="Sylfaen"/>
          <w:sz w:val="24"/>
          <w:szCs w:val="24"/>
        </w:rPr>
        <w:t> </w:t>
      </w:r>
      <w:r w:rsidRPr="00834D52">
        <w:rPr>
          <w:rFonts w:ascii="Sylfaen" w:hAnsi="Sylfaen"/>
          <w:sz w:val="24"/>
          <w:szCs w:val="24"/>
        </w:rPr>
        <w:t xml:space="preserve">տարուց ոչ պակաս) ակտիվ դեղագործական բաղադրամասերի համար ակտիվ դեղագործական բաղադրամասի արտադրողը կամ դեղապատրաստուկի </w:t>
      </w:r>
      <w:r w:rsidRPr="00834D52">
        <w:rPr>
          <w:rFonts w:ascii="Sylfaen" w:hAnsi="Sylfaen"/>
          <w:sz w:val="24"/>
          <w:szCs w:val="24"/>
        </w:rPr>
        <w:lastRenderedPageBreak/>
        <w:t>գրանցման հայտատուն իրավունք ունի կազմելու առանձին փաստաթուղթ, որը ներառում է հետ</w:t>
      </w:r>
      <w:r w:rsidR="00C54D75">
        <w:rPr>
          <w:rFonts w:ascii="Sylfaen" w:hAnsi="Sylfaen"/>
          <w:sz w:val="24"/>
          <w:szCs w:val="24"/>
        </w:rPr>
        <w:t>և</w:t>
      </w:r>
      <w:r w:rsidRPr="00834D52">
        <w:rPr>
          <w:rFonts w:ascii="Sylfaen" w:hAnsi="Sylfaen"/>
          <w:sz w:val="24"/>
          <w:szCs w:val="24"/>
        </w:rPr>
        <w:t xml:space="preserve">յալ տեղեկությունները (ակտիվ դեղագործական բաղադրամասի դոսյեն կամ մաստեր-ֆայլը)՝ </w:t>
      </w:r>
    </w:p>
    <w:p w14:paraId="2A68A656" w14:textId="77777777" w:rsidR="006F76EB" w:rsidRPr="00834D52" w:rsidRDefault="006F76EB" w:rsidP="00B34586">
      <w:pPr>
        <w:tabs>
          <w:tab w:val="left" w:pos="1418"/>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արտադրական գործընթացի մանրամասն նկարագրություն, </w:t>
      </w:r>
    </w:p>
    <w:p w14:paraId="0BC1FCEC" w14:textId="77777777" w:rsidR="006F76EB" w:rsidRPr="00834D52" w:rsidRDefault="006F76EB" w:rsidP="00B34586">
      <w:pPr>
        <w:tabs>
          <w:tab w:val="left" w:pos="1418"/>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որակի հսկողություն արտադրության գործընթացում, </w:t>
      </w:r>
    </w:p>
    <w:p w14:paraId="2C10AEBF"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արտադրության գործընթացի վալիդացման մասին հաշվետվություն:</w:t>
      </w:r>
    </w:p>
    <w:p w14:paraId="170C9408" w14:textId="77777777" w:rsidR="006F76EB" w:rsidRPr="00834D52" w:rsidRDefault="006F76EB" w:rsidP="00B34586">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Ակտիվ դեղագործական բաղադրամասի արտադրողն իրավունք ունի անդամ պետության լիազորված մարմին ուղարկելու ակտիվ դեղագործական բաղադրամասի մաստեր-ֆայլը:</w:t>
      </w:r>
    </w:p>
    <w:p w14:paraId="5897A4B0" w14:textId="77777777" w:rsidR="006F76EB" w:rsidRPr="00834D52" w:rsidRDefault="006F76EB" w:rsidP="00B34586">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Ակտիվ դեղագործական բաղադրամասի մաստեր-ֆայլի օգտագործման ժամանակ դեղապատրաստուկի գրանցման դոսյեի կազմում այդ ակտիվ դեղագործական բաղադրամասի արտադրողը պետք է համապատասխան դեղապատրաստուկի հայտատուին (գրանցման հավաստագրի իրավատիրոջը) ներկայացնի բոլոր անհրաժեշտ տվյալները՝ սույն Կանոններով նախատեսված պատասխանատվությունը կրելու համար: Ակտիվ դեղագործական բաղադրամասի արտադրողը պետք է հայտատուին (գրանցման հավաստագրի իրավատիրոջը) ներկայացնի գրավոր հավաստում, որով երաշխավորվում է սերիաների որակի հաստատունությունը, ինչպես նա</w:t>
      </w:r>
      <w:r w:rsidR="00C54D75">
        <w:rPr>
          <w:rFonts w:ascii="Sylfaen" w:hAnsi="Sylfaen"/>
          <w:sz w:val="24"/>
          <w:szCs w:val="24"/>
        </w:rPr>
        <w:t>և</w:t>
      </w:r>
      <w:r w:rsidRPr="00834D52">
        <w:rPr>
          <w:rFonts w:ascii="Sylfaen" w:hAnsi="Sylfaen"/>
          <w:sz w:val="24"/>
          <w:szCs w:val="24"/>
        </w:rPr>
        <w:t xml:space="preserve"> այն, որ առանց հայտատուին (գրանցման հավաստագրի իրավատիրոջը) տեղեկացնելու՝ այդ ակտիվ դեղագործական բաղադրամասի արտադրական գործընթացի կամ մասնագրերի մեջ փոփոխություններ չեն կատարվելու: Այդպիսի փոփոխություն կատարելու համար անհրաժեշտ փաստաթղթերն ու տվյալները անհրաժեշտ է փոխանցել լիազորված մարմին, այդ փաստաթղթերն ու տվյալները ներկայացվում են նա</w:t>
      </w:r>
      <w:r w:rsidR="00C54D75">
        <w:rPr>
          <w:rFonts w:ascii="Sylfaen" w:hAnsi="Sylfaen"/>
          <w:sz w:val="24"/>
          <w:szCs w:val="24"/>
        </w:rPr>
        <w:t>և</w:t>
      </w:r>
      <w:r w:rsidRPr="00834D52">
        <w:rPr>
          <w:rFonts w:ascii="Sylfaen" w:hAnsi="Sylfaen"/>
          <w:sz w:val="24"/>
          <w:szCs w:val="24"/>
        </w:rPr>
        <w:t xml:space="preserve"> հայտատուին՝ ակտիվ դեղագործական բաղադրամասի մաստեր-ֆայլի բաց մասին վերաբերող բաժիններով:</w:t>
      </w:r>
    </w:p>
    <w:p w14:paraId="4C95CD1A" w14:textId="77777777" w:rsidR="006F76EB" w:rsidRPr="00834D52" w:rsidRDefault="006F76EB" w:rsidP="00B34586">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հայտատուն ամբողջական տեղեկություններ չունի այն ակտիվ դեղագործական բաղադրամասի մաստեր-ֆայլի փակ մասի վերաբերյալ, որից այն պատրաստվում է, հաշվի առնելով դրանց գաղտնիությունը՝ տվյալ ակտիվ </w:t>
      </w:r>
      <w:r w:rsidRPr="00834D52">
        <w:rPr>
          <w:rFonts w:ascii="Sylfaen" w:hAnsi="Sylfaen"/>
          <w:sz w:val="24"/>
          <w:szCs w:val="24"/>
        </w:rPr>
        <w:lastRenderedPageBreak/>
        <w:t xml:space="preserve">դեղագործական բաղադրամասի արտադրողի կողմից հայտին կցվում է գրավոր թույլտվություն՝ պայմանով, որ դրա մասին տեղեկությունները ներառված են միասնական ռեեստրի մեջ: Նշված թույլտվությունը պետք է դեղապատրաստուկի փորձաքննություն անցկացնելիս լիազորված մարմնին իրավունք տա օգտագործելու նշված ակտիվ դեղագործական բաղադրամասի մաստեր-ֆայլի փակ մասի ավելի վաղ ներկայացված տեղեկատվությունը, </w:t>
      </w:r>
    </w:p>
    <w:p w14:paraId="29EA3E21" w14:textId="77777777" w:rsidR="006F76EB" w:rsidRPr="00834D52" w:rsidRDefault="006F76EB" w:rsidP="00623D29">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թ)</w:t>
      </w:r>
      <w:r w:rsidRPr="00834D52">
        <w:rPr>
          <w:rFonts w:ascii="Sylfaen" w:hAnsi="Sylfaen"/>
          <w:sz w:val="24"/>
          <w:szCs w:val="24"/>
        </w:rPr>
        <w:tab/>
        <w:t xml:space="preserve">անհրաժեշտ է նկարագրել կենդանիների սպունգանման էնցեֆալոպաթիայի (որոճող կենդանիներից ստացված հումքից) փոխանցումը կանխելու հատուկ միջոցները. արտադրական գործընթացի յուրաքանչյուր փուլում հայտատուն պետք է հավաստի օգտագործված նյութերի համապատասխանությունը կենդանիների սպունգանման էնցեֆալոպաթիայի հարուցիչների փոխանցման ռիսկի նվազեցման ձեռնարկի պահանջներին՝ համաձայն Եվրասիական տնտեսական միության դեղագրքի, կամ ներկայացնի Եվրոպական դեղագրքի կոնկրետ մենագրությանը համապատասխանության սերտիֆիկատ կամ գիտական տվյալներ՝ այդ համապատասխանությունը հիմնավորելու համար, </w:t>
      </w:r>
    </w:p>
    <w:p w14:paraId="1A5E501B" w14:textId="77777777" w:rsidR="006F76EB" w:rsidRPr="00834D52" w:rsidRDefault="006F76EB" w:rsidP="00623D29">
      <w:pPr>
        <w:tabs>
          <w:tab w:val="left" w:pos="1134"/>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ժ)</w:t>
      </w:r>
      <w:r w:rsidRPr="00834D52">
        <w:rPr>
          <w:rFonts w:ascii="Sylfaen" w:hAnsi="Sylfaen"/>
          <w:sz w:val="24"/>
          <w:szCs w:val="24"/>
        </w:rPr>
        <w:tab/>
        <w:t>հարկ է ներկայացնել տեղեկատվություն՝ կողմնակի ագենտներով (վիրուսային կամ ոչ վիրուսային բնույթի) հնարավոր կոնտամինացիայի ռիսկի գնահատման մասին՝ հատուկ ձեռնարկներում, ինչպես նա</w:t>
      </w:r>
      <w:r w:rsidR="00C54D75">
        <w:rPr>
          <w:rFonts w:ascii="Sylfaen" w:hAnsi="Sylfaen"/>
          <w:sz w:val="24"/>
          <w:szCs w:val="24"/>
        </w:rPr>
        <w:t>և</w:t>
      </w:r>
      <w:r w:rsidRPr="00834D52">
        <w:rPr>
          <w:rFonts w:ascii="Sylfaen" w:hAnsi="Sylfaen"/>
          <w:sz w:val="24"/>
          <w:szCs w:val="24"/>
        </w:rPr>
        <w:t xml:space="preserve"> ընդհանուր հոդվածներում (մենագրություններում) </w:t>
      </w:r>
      <w:r w:rsidR="00C54D75">
        <w:rPr>
          <w:rFonts w:ascii="Sylfaen" w:hAnsi="Sylfaen"/>
          <w:sz w:val="24"/>
          <w:szCs w:val="24"/>
        </w:rPr>
        <w:t>և</w:t>
      </w:r>
      <w:r w:rsidRPr="00834D52">
        <w:rPr>
          <w:rFonts w:ascii="Sylfaen" w:hAnsi="Sylfaen"/>
          <w:sz w:val="24"/>
          <w:szCs w:val="24"/>
        </w:rPr>
        <w:t xml:space="preserve"> Հայեցակարգին համապատասխան Եվրասիական տնտեսական միության դեղագրքի, անդամ պետությունների դեղագրքերի </w:t>
      </w:r>
      <w:r w:rsidR="00C54D75">
        <w:rPr>
          <w:rFonts w:ascii="Sylfaen" w:hAnsi="Sylfaen"/>
          <w:sz w:val="24"/>
          <w:szCs w:val="24"/>
        </w:rPr>
        <w:t>և</w:t>
      </w:r>
      <w:r w:rsidRPr="00834D52">
        <w:rPr>
          <w:rFonts w:ascii="Sylfaen" w:hAnsi="Sylfaen"/>
          <w:sz w:val="24"/>
          <w:szCs w:val="24"/>
        </w:rPr>
        <w:t xml:space="preserve"> հիմնական դեղագրքերի ընդհանուր բաժիններում շարադրված պահանջների համաձայն, </w:t>
      </w:r>
    </w:p>
    <w:p w14:paraId="2F33E6AA" w14:textId="77777777" w:rsidR="006F76EB" w:rsidRPr="00834D52" w:rsidRDefault="006F76EB" w:rsidP="00623D29">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ժա)</w:t>
      </w:r>
      <w:r w:rsidRPr="00834D52">
        <w:rPr>
          <w:rFonts w:ascii="Sylfaen" w:hAnsi="Sylfaen"/>
          <w:sz w:val="24"/>
          <w:szCs w:val="24"/>
        </w:rPr>
        <w:tab/>
        <w:t xml:space="preserve">անհրաժեշտ է մանրամասն նկարագրել դեղապատրաստուկի արտադրական գործընթացի </w:t>
      </w:r>
      <w:r w:rsidR="00C54D75">
        <w:rPr>
          <w:rFonts w:ascii="Sylfaen" w:hAnsi="Sylfaen"/>
          <w:sz w:val="24"/>
          <w:szCs w:val="24"/>
        </w:rPr>
        <w:t>և</w:t>
      </w:r>
      <w:r w:rsidRPr="00834D52">
        <w:rPr>
          <w:rFonts w:ascii="Sylfaen" w:hAnsi="Sylfaen"/>
          <w:sz w:val="24"/>
          <w:szCs w:val="24"/>
        </w:rPr>
        <w:t xml:space="preserve"> հսկողության ցանկացած փուլում կիրառվող հատուկ սարքերն ու սարքավորումները, </w:t>
      </w:r>
    </w:p>
    <w:p w14:paraId="7524CCD7" w14:textId="77777777" w:rsidR="006F76EB" w:rsidRPr="00834D52" w:rsidRDefault="006F76EB" w:rsidP="00623D29">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ժբ)</w:t>
      </w:r>
      <w:r w:rsidRPr="00834D52">
        <w:rPr>
          <w:rFonts w:ascii="Sylfaen" w:hAnsi="Sylfaen"/>
          <w:sz w:val="24"/>
          <w:szCs w:val="24"/>
        </w:rPr>
        <w:tab/>
        <w:t>անհրաժեշտության դեպքում հարկ է ներկայացնել Հանձնաժողովի կողմից հաստատված կանոններին համապատասխան բժշկական արտադրատեսակի գրանցումը հավաստող փաստաթղթեր:</w:t>
      </w:r>
    </w:p>
    <w:p w14:paraId="1FD34014" w14:textId="77777777" w:rsidR="006F76EB" w:rsidRPr="00834D52" w:rsidRDefault="006F76EB" w:rsidP="00623D2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3.2.S.</w:t>
      </w:r>
      <w:r w:rsidRPr="00834D52">
        <w:rPr>
          <w:rFonts w:ascii="Sylfaen" w:hAnsi="Sylfaen"/>
          <w:sz w:val="24"/>
          <w:szCs w:val="24"/>
        </w:rPr>
        <w:tab/>
        <w:t>Ակտիվ դեղագործական բաղադրամաս:</w:t>
      </w:r>
    </w:p>
    <w:p w14:paraId="064E0F5E" w14:textId="77777777" w:rsidR="006F76EB" w:rsidRPr="00834D52" w:rsidRDefault="006F76EB" w:rsidP="00623D2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3.2.S.1.</w:t>
      </w:r>
      <w:r w:rsidRPr="00834D52">
        <w:rPr>
          <w:rFonts w:ascii="Sylfaen" w:hAnsi="Sylfaen"/>
          <w:sz w:val="24"/>
          <w:szCs w:val="24"/>
        </w:rPr>
        <w:tab/>
        <w:t xml:space="preserve">Ընդհանուր տեղեկատվություն՝ ելանյութերի </w:t>
      </w:r>
      <w:r w:rsidR="00C54D75">
        <w:rPr>
          <w:rFonts w:ascii="Sylfaen" w:hAnsi="Sylfaen"/>
          <w:sz w:val="24"/>
          <w:szCs w:val="24"/>
        </w:rPr>
        <w:t>և</w:t>
      </w:r>
      <w:r w:rsidRPr="00834D52">
        <w:rPr>
          <w:rFonts w:ascii="Sylfaen" w:hAnsi="Sylfaen"/>
          <w:sz w:val="24"/>
          <w:szCs w:val="24"/>
        </w:rPr>
        <w:t xml:space="preserve"> հումքի մասին՝ </w:t>
      </w:r>
    </w:p>
    <w:p w14:paraId="7BB0434A" w14:textId="77777777" w:rsidR="006F76EB" w:rsidRPr="00834D52" w:rsidRDefault="006F76EB" w:rsidP="00623D2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ներկայացվում է ակտիվ դեղագործական բաղադրամասի անվանումը, ներառյալ՝ առաջարկվող միջազգային չարտոնագրված անվանումը (ՄՉԱ), առկայության դեպքում՝ դեղագրքային անվանումը՝ համաձայն Եվրասիական տնտեսական միության դեղագրքի, </w:t>
      </w:r>
      <w:r w:rsidR="00C54D75">
        <w:rPr>
          <w:rFonts w:ascii="Sylfaen" w:hAnsi="Sylfaen"/>
          <w:sz w:val="24"/>
          <w:szCs w:val="24"/>
        </w:rPr>
        <w:t>և</w:t>
      </w:r>
      <w:r w:rsidRPr="00834D52">
        <w:rPr>
          <w:rFonts w:ascii="Sylfaen" w:hAnsi="Sylfaen"/>
          <w:sz w:val="24"/>
          <w:szCs w:val="24"/>
        </w:rPr>
        <w:t xml:space="preserve"> քիմիական անվանումը՝ IUPAC-ի անվանացանկին համապատասխան:</w:t>
      </w:r>
    </w:p>
    <w:p w14:paraId="34126C4A" w14:textId="77777777" w:rsidR="006F76EB" w:rsidRPr="00834D52" w:rsidRDefault="006F76EB" w:rsidP="00623D2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Ներկայացվում են կառուցվածքային բանաձ</w:t>
      </w:r>
      <w:r w:rsidR="00C54D75">
        <w:rPr>
          <w:rFonts w:ascii="Sylfaen" w:hAnsi="Sylfaen"/>
          <w:sz w:val="24"/>
          <w:szCs w:val="24"/>
        </w:rPr>
        <w:t>և</w:t>
      </w:r>
      <w:r w:rsidRPr="00834D52">
        <w:rPr>
          <w:rFonts w:ascii="Sylfaen" w:hAnsi="Sylfaen"/>
          <w:sz w:val="24"/>
          <w:szCs w:val="24"/>
        </w:rPr>
        <w:t xml:space="preserve">ը, ներառյալ՝ հարաբերական </w:t>
      </w:r>
      <w:r w:rsidR="00C54D75">
        <w:rPr>
          <w:rFonts w:ascii="Sylfaen" w:hAnsi="Sylfaen"/>
          <w:sz w:val="24"/>
          <w:szCs w:val="24"/>
        </w:rPr>
        <w:t>և</w:t>
      </w:r>
      <w:r w:rsidRPr="00834D52">
        <w:rPr>
          <w:rFonts w:ascii="Sylfaen" w:hAnsi="Sylfaen"/>
          <w:sz w:val="24"/>
          <w:szCs w:val="24"/>
        </w:rPr>
        <w:t xml:space="preserve"> բացարձակ տարածական կառուցվածքը, մոլեկուլային (էմպիրիկ) բանաձ</w:t>
      </w:r>
      <w:r w:rsidR="00C54D75">
        <w:rPr>
          <w:rFonts w:ascii="Sylfaen" w:hAnsi="Sylfaen"/>
          <w:sz w:val="24"/>
          <w:szCs w:val="24"/>
        </w:rPr>
        <w:t>և</w:t>
      </w:r>
      <w:r w:rsidRPr="00834D52">
        <w:rPr>
          <w:rFonts w:ascii="Sylfaen" w:hAnsi="Sylfaen"/>
          <w:sz w:val="24"/>
          <w:szCs w:val="24"/>
        </w:rPr>
        <w:t xml:space="preserve">ը </w:t>
      </w:r>
      <w:r w:rsidR="00C54D75">
        <w:rPr>
          <w:rFonts w:ascii="Sylfaen" w:hAnsi="Sylfaen"/>
          <w:sz w:val="24"/>
          <w:szCs w:val="24"/>
        </w:rPr>
        <w:t>և</w:t>
      </w:r>
      <w:r w:rsidRPr="00834D52">
        <w:rPr>
          <w:rFonts w:ascii="Sylfaen" w:hAnsi="Sylfaen"/>
          <w:sz w:val="24"/>
          <w:szCs w:val="24"/>
        </w:rPr>
        <w:t xml:space="preserve"> հարաբերական մոլեկուլային զանգվածը: Կենսատեխնիկական դեղապատրաստուկների համար, եթե կիրառելի է, անհրաժեշտ է ներկայացնել ամինաթթուների սխեմատիկ հաջորդականությունը </w:t>
      </w:r>
      <w:r w:rsidR="00C54D75">
        <w:rPr>
          <w:rFonts w:ascii="Sylfaen" w:hAnsi="Sylfaen"/>
          <w:sz w:val="24"/>
          <w:szCs w:val="24"/>
        </w:rPr>
        <w:t>և</w:t>
      </w:r>
      <w:r w:rsidRPr="00834D52">
        <w:rPr>
          <w:rFonts w:ascii="Sylfaen" w:hAnsi="Sylfaen"/>
          <w:sz w:val="24"/>
          <w:szCs w:val="24"/>
        </w:rPr>
        <w:t xml:space="preserve"> հարաբերական մոլեկուլային զանգվածը:</w:t>
      </w:r>
    </w:p>
    <w:p w14:paraId="41D116D8" w14:textId="77777777" w:rsidR="006F76EB" w:rsidRPr="00834D52" w:rsidRDefault="006F76EB" w:rsidP="00623D29">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Կենսաբանական դեղապատրաստուկների համար անհրաժեշտ է ներկայացնել ակտիվ դեղագործական բաղադրամասի ֆիզիկաքիմիական </w:t>
      </w:r>
      <w:r w:rsidR="00C54D75">
        <w:rPr>
          <w:rFonts w:ascii="Sylfaen" w:hAnsi="Sylfaen"/>
          <w:sz w:val="24"/>
          <w:szCs w:val="24"/>
        </w:rPr>
        <w:t>և</w:t>
      </w:r>
      <w:r w:rsidRPr="00834D52">
        <w:rPr>
          <w:rFonts w:ascii="Sylfaen" w:hAnsi="Sylfaen"/>
          <w:sz w:val="24"/>
          <w:szCs w:val="24"/>
        </w:rPr>
        <w:t xml:space="preserve"> այլ կար</w:t>
      </w:r>
      <w:r w:rsidR="00C54D75">
        <w:rPr>
          <w:rFonts w:ascii="Sylfaen" w:hAnsi="Sylfaen"/>
          <w:sz w:val="24"/>
          <w:szCs w:val="24"/>
        </w:rPr>
        <w:t>և</w:t>
      </w:r>
      <w:r w:rsidRPr="00834D52">
        <w:rPr>
          <w:rFonts w:ascii="Sylfaen" w:hAnsi="Sylfaen"/>
          <w:sz w:val="24"/>
          <w:szCs w:val="24"/>
        </w:rPr>
        <w:t xml:space="preserve">որ հատկությունների ցանկը, ներառյալ՝ նրանց կենսաբանական ակտիվությունը, </w:t>
      </w:r>
    </w:p>
    <w:p w14:paraId="0D662CA5" w14:textId="77777777" w:rsidR="006F76EB" w:rsidRPr="00834D52" w:rsidRDefault="006F76EB" w:rsidP="00623D2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այդ կետի համատեքստում ելանյութեր են համարվում բոլոր այն նյութերը, որոնցից արտադրվում կամ անջատվում են ակտիվ դեղագործական բաղադրամասերը: </w:t>
      </w:r>
    </w:p>
    <w:p w14:paraId="23CB770E" w14:textId="77777777" w:rsidR="006F76EB" w:rsidRPr="00834D52" w:rsidRDefault="006F76EB" w:rsidP="004C797D">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Կենսաբանական ծագման դեղապատրաստուկների համար ելանյութ է համարվում կենսաբանական ծագման ցանկացած նյութ (օրինակ՝ միկրոօրգանիզմներ, բուսական կամ կենդանական ծագման օրգաններ </w:t>
      </w:r>
      <w:r w:rsidR="00C54D75">
        <w:rPr>
          <w:rFonts w:ascii="Sylfaen" w:hAnsi="Sylfaen"/>
          <w:sz w:val="24"/>
          <w:szCs w:val="24"/>
        </w:rPr>
        <w:t>և</w:t>
      </w:r>
      <w:r w:rsidRPr="00834D52">
        <w:rPr>
          <w:rFonts w:ascii="Sylfaen" w:hAnsi="Sylfaen"/>
          <w:sz w:val="24"/>
          <w:szCs w:val="24"/>
        </w:rPr>
        <w:t xml:space="preserve"> հյուսվածքներ, մարդու </w:t>
      </w:r>
      <w:r w:rsidR="00C54D75">
        <w:rPr>
          <w:rFonts w:ascii="Sylfaen" w:hAnsi="Sylfaen"/>
          <w:sz w:val="24"/>
          <w:szCs w:val="24"/>
        </w:rPr>
        <w:t>և</w:t>
      </w:r>
      <w:r w:rsidRPr="00834D52">
        <w:rPr>
          <w:rFonts w:ascii="Sylfaen" w:hAnsi="Sylfaen"/>
          <w:sz w:val="24"/>
          <w:szCs w:val="24"/>
        </w:rPr>
        <w:t xml:space="preserve"> կենդանիների բջիջներ կամ հեղուկներ (ներառյալ՝ արյունն ու պլազման), բջջի կենսատեխնոլոգիական բաղադրիչներ (բջջի,</w:t>
      </w:r>
      <w:r w:rsidR="00302149" w:rsidRPr="00302149">
        <w:rPr>
          <w:rFonts w:ascii="Sylfaen" w:hAnsi="Sylfaen"/>
          <w:sz w:val="24"/>
          <w:szCs w:val="24"/>
        </w:rPr>
        <w:t> </w:t>
      </w:r>
      <w:r w:rsidRPr="00834D52">
        <w:rPr>
          <w:rFonts w:ascii="Sylfaen" w:hAnsi="Sylfaen"/>
          <w:sz w:val="24"/>
          <w:szCs w:val="24"/>
        </w:rPr>
        <w:t>ներառյալ՝ առաջնային բջջի ռեկոմբինանտ կամ ոչ ռեկոմբինանտ սուբստրատներ)):</w:t>
      </w:r>
    </w:p>
    <w:p w14:paraId="4FA32801" w14:textId="77777777" w:rsidR="006F76EB" w:rsidRPr="00834D52" w:rsidRDefault="006F76EB" w:rsidP="00302149">
      <w:pPr>
        <w:tabs>
          <w:tab w:val="left" w:pos="1418"/>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Կենսաբանական ծագման դեղապատրաստուկ են համարվում (այս կետի համատեքստում) բոլոր այն դեղապատրաստուկները, որոնց ակտիվ (ազդող) նյութը (այսուհետ՝ ակտիվ նյութ) կենսաբանական սուբստանցիան (նյութն) է:</w:t>
      </w:r>
    </w:p>
    <w:p w14:paraId="414298FD" w14:textId="77777777" w:rsidR="006F76EB" w:rsidRPr="00834D52" w:rsidRDefault="006F76EB" w:rsidP="008F21A4">
      <w:pPr>
        <w:tabs>
          <w:tab w:val="left" w:pos="1418"/>
        </w:tabs>
        <w:spacing w:after="160" w:line="35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Կենսաբանական սուբստանցիա՝ սուբստանցիա, որը ստացվում է կենսաբանական աղբյուրից, որի նկարագրության </w:t>
      </w:r>
      <w:r w:rsidR="00C54D75">
        <w:rPr>
          <w:rFonts w:ascii="Sylfaen" w:hAnsi="Sylfaen"/>
          <w:sz w:val="24"/>
          <w:szCs w:val="24"/>
        </w:rPr>
        <w:t>և</w:t>
      </w:r>
      <w:r w:rsidRPr="00834D52">
        <w:rPr>
          <w:rFonts w:ascii="Sylfaen" w:hAnsi="Sylfaen"/>
          <w:sz w:val="24"/>
          <w:szCs w:val="24"/>
        </w:rPr>
        <w:t xml:space="preserve"> որակի հավաստման համար անհրաժեշտ է ներկայացնել վերլուծության ֆիզիկական, քիմիական </w:t>
      </w:r>
      <w:r w:rsidR="00C54D75">
        <w:rPr>
          <w:rFonts w:ascii="Sylfaen" w:hAnsi="Sylfaen"/>
          <w:sz w:val="24"/>
          <w:szCs w:val="24"/>
        </w:rPr>
        <w:t>և</w:t>
      </w:r>
      <w:r w:rsidRPr="00834D52">
        <w:rPr>
          <w:rFonts w:ascii="Sylfaen" w:hAnsi="Sylfaen"/>
          <w:sz w:val="24"/>
          <w:szCs w:val="24"/>
        </w:rPr>
        <w:t xml:space="preserve"> կենսաբանական մեթոդների համակցություն՝ արտադրության գործընթացի </w:t>
      </w:r>
      <w:r w:rsidR="00C54D75">
        <w:rPr>
          <w:rFonts w:ascii="Sylfaen" w:hAnsi="Sylfaen"/>
          <w:sz w:val="24"/>
          <w:szCs w:val="24"/>
        </w:rPr>
        <w:t>և</w:t>
      </w:r>
      <w:r w:rsidRPr="00834D52">
        <w:rPr>
          <w:rFonts w:ascii="Sylfaen" w:hAnsi="Sylfaen"/>
          <w:sz w:val="24"/>
          <w:szCs w:val="24"/>
        </w:rPr>
        <w:t xml:space="preserve"> դրա հսկողության նկարագրության հետ:</w:t>
      </w:r>
    </w:p>
    <w:p w14:paraId="32F3E798" w14:textId="77777777" w:rsidR="006F76EB" w:rsidRPr="00834D52" w:rsidRDefault="006F76EB" w:rsidP="008F21A4">
      <w:pPr>
        <w:tabs>
          <w:tab w:val="left" w:pos="1418"/>
        </w:tabs>
        <w:spacing w:after="160" w:line="350" w:lineRule="auto"/>
        <w:ind w:right="-8" w:firstLine="567"/>
        <w:jc w:val="both"/>
        <w:rPr>
          <w:rFonts w:ascii="Sylfaen" w:hAnsi="Sylfaen"/>
          <w:spacing w:val="-4"/>
          <w:sz w:val="24"/>
          <w:szCs w:val="24"/>
        </w:rPr>
      </w:pPr>
      <w:r w:rsidRPr="00834D52">
        <w:rPr>
          <w:rFonts w:ascii="Sylfaen" w:hAnsi="Sylfaen"/>
          <w:spacing w:val="-4"/>
          <w:sz w:val="24"/>
          <w:szCs w:val="24"/>
        </w:rPr>
        <w:t xml:space="preserve">Ցանկացած այլ նյութ, որն օգտագործվում է ակտիվ նյութ կամ ակտիվ բաղադրիչ արտադրելու կամ ստանալու համար, որից սակայն այդ ակտիվ նյութը կամ ակտիվ բաղադրիչն անմիջականորեն չեն ստանում (մասնավորապես՝ ռեագենտներ, սննդարար միջավայրեր, պտղի, սաղմի շիճուկ, պրեպարատիվ քրոմատագրության մեջ կիրառվող հավելումներ </w:t>
      </w:r>
      <w:r w:rsidR="00C54D75">
        <w:rPr>
          <w:rFonts w:ascii="Sylfaen" w:hAnsi="Sylfaen"/>
          <w:spacing w:val="-4"/>
          <w:sz w:val="24"/>
          <w:szCs w:val="24"/>
        </w:rPr>
        <w:t>և</w:t>
      </w:r>
      <w:r w:rsidRPr="00834D52">
        <w:rPr>
          <w:rFonts w:ascii="Sylfaen" w:hAnsi="Sylfaen"/>
          <w:spacing w:val="-4"/>
          <w:sz w:val="24"/>
          <w:szCs w:val="24"/>
        </w:rPr>
        <w:t xml:space="preserve"> բուֆերներ), համարվում է հումք: </w:t>
      </w:r>
    </w:p>
    <w:p w14:paraId="52088936" w14:textId="77777777" w:rsidR="006F76EB" w:rsidRPr="00834D52" w:rsidRDefault="006F76EB" w:rsidP="00623D29">
      <w:pPr>
        <w:tabs>
          <w:tab w:val="left" w:pos="1701"/>
        </w:tabs>
        <w:spacing w:after="160" w:line="350" w:lineRule="auto"/>
        <w:ind w:right="-8" w:firstLine="567"/>
        <w:jc w:val="both"/>
        <w:rPr>
          <w:rFonts w:ascii="Sylfaen" w:eastAsia="Times New Roman" w:hAnsi="Sylfaen" w:cs="Times New Roman"/>
          <w:sz w:val="24"/>
          <w:szCs w:val="24"/>
        </w:rPr>
      </w:pPr>
      <w:r w:rsidRPr="00834D52">
        <w:rPr>
          <w:rFonts w:ascii="Sylfaen" w:hAnsi="Sylfaen"/>
          <w:sz w:val="24"/>
          <w:szCs w:val="24"/>
        </w:rPr>
        <w:t>3.2.S.2.</w:t>
      </w:r>
      <w:r w:rsidRPr="00834D52">
        <w:rPr>
          <w:rFonts w:ascii="Sylfaen" w:hAnsi="Sylfaen"/>
          <w:sz w:val="24"/>
          <w:szCs w:val="24"/>
        </w:rPr>
        <w:tab/>
        <w:t xml:space="preserve">Ակտիվ դեղագործական բաղադրամասի արտադրության գործընթացը՝ </w:t>
      </w:r>
    </w:p>
    <w:p w14:paraId="2C84B209" w14:textId="77777777" w:rsidR="006F76EB" w:rsidRPr="00834D52" w:rsidRDefault="006F76EB" w:rsidP="00623D29">
      <w:pPr>
        <w:tabs>
          <w:tab w:val="left" w:pos="1134"/>
        </w:tabs>
        <w:spacing w:after="160" w:line="35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հայտատուն պարտավոր է ներկայացնել ակտիվ դեղագործական բաղադրամասի արտադրական գործընթացի նկարագրությունը: Արտադրության գործընթացի պատշաճ նկարագրության </w:t>
      </w:r>
      <w:r w:rsidR="00C54D75">
        <w:rPr>
          <w:rFonts w:ascii="Sylfaen" w:hAnsi="Sylfaen"/>
          <w:sz w:val="24"/>
          <w:szCs w:val="24"/>
        </w:rPr>
        <w:t>և</w:t>
      </w:r>
      <w:r w:rsidRPr="00834D52">
        <w:rPr>
          <w:rFonts w:ascii="Sylfaen" w:hAnsi="Sylfaen"/>
          <w:sz w:val="24"/>
          <w:szCs w:val="24"/>
        </w:rPr>
        <w:t xml:space="preserve"> դրա հսկողության համար պետք է անհրաժեշտ տեղեկատվությունը շարադրել Միության իրավունքի մաս կազմող համապատասխան ակտերով սահմանված պահանջներին համապատասխան, </w:t>
      </w:r>
    </w:p>
    <w:p w14:paraId="79AEDFCE" w14:textId="77777777" w:rsidR="006F76EB" w:rsidRPr="00834D52" w:rsidRDefault="006F76EB" w:rsidP="00623D29">
      <w:pPr>
        <w:tabs>
          <w:tab w:val="left" w:pos="1134"/>
        </w:tabs>
        <w:spacing w:after="160" w:line="35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բ)</w:t>
      </w:r>
      <w:r w:rsidRPr="00834D52">
        <w:rPr>
          <w:rFonts w:ascii="Sylfaen" w:hAnsi="Sylfaen"/>
          <w:spacing w:val="-4"/>
          <w:sz w:val="24"/>
          <w:szCs w:val="24"/>
        </w:rPr>
        <w:tab/>
        <w:t xml:space="preserve">ակտիվ դեղագործական բաղադրամասի արտադրության համար անհրաժեշտ ամբողջ ելանյութն ու նյութերն անհրաժեշտ է թվարկել՝ նշելով արտադրության այն փուլը, որի ժամանակ օգտագործվում է հումքի </w:t>
      </w:r>
      <w:r w:rsidR="00C54D75">
        <w:rPr>
          <w:rFonts w:ascii="Sylfaen" w:hAnsi="Sylfaen"/>
          <w:spacing w:val="-4"/>
          <w:sz w:val="24"/>
          <w:szCs w:val="24"/>
        </w:rPr>
        <w:t>և</w:t>
      </w:r>
      <w:r w:rsidRPr="00834D52">
        <w:rPr>
          <w:rFonts w:ascii="Sylfaen" w:hAnsi="Sylfaen"/>
          <w:spacing w:val="-4"/>
          <w:sz w:val="24"/>
          <w:szCs w:val="24"/>
        </w:rPr>
        <w:t xml:space="preserve"> նյութերի ցանկացած տեսակ: Անհրաժեշտ է ներկայացնել տեղեկատվություն՝ դրանց որակի </w:t>
      </w:r>
      <w:r w:rsidR="00C54D75">
        <w:rPr>
          <w:rFonts w:ascii="Sylfaen" w:hAnsi="Sylfaen"/>
          <w:spacing w:val="-4"/>
          <w:sz w:val="24"/>
          <w:szCs w:val="24"/>
        </w:rPr>
        <w:t>և</w:t>
      </w:r>
      <w:r w:rsidRPr="00834D52">
        <w:rPr>
          <w:rFonts w:ascii="Sylfaen" w:hAnsi="Sylfaen"/>
          <w:spacing w:val="-4"/>
          <w:sz w:val="24"/>
          <w:szCs w:val="24"/>
        </w:rPr>
        <w:t xml:space="preserve"> հսկողության մասին, ինչպես նա</w:t>
      </w:r>
      <w:r w:rsidR="00C54D75">
        <w:rPr>
          <w:rFonts w:ascii="Sylfaen" w:hAnsi="Sylfaen"/>
          <w:spacing w:val="-4"/>
          <w:sz w:val="24"/>
          <w:szCs w:val="24"/>
        </w:rPr>
        <w:t>և</w:t>
      </w:r>
      <w:r w:rsidRPr="00834D52">
        <w:rPr>
          <w:rFonts w:ascii="Sylfaen" w:hAnsi="Sylfaen"/>
          <w:spacing w:val="-4"/>
          <w:sz w:val="24"/>
          <w:szCs w:val="24"/>
        </w:rPr>
        <w:t xml:space="preserve"> ենթադրվող կիրառության համար պահանջներին (ստանդարտներին) համապատասխանությունը հավաստող տեղեկություններ: Անհրաժեշտ է թվարկել ելանյութերը (հումքը), ինչպես նա</w:t>
      </w:r>
      <w:r w:rsidR="00C54D75">
        <w:rPr>
          <w:rFonts w:ascii="Sylfaen" w:hAnsi="Sylfaen"/>
          <w:spacing w:val="-4"/>
          <w:sz w:val="24"/>
          <w:szCs w:val="24"/>
        </w:rPr>
        <w:t>և</w:t>
      </w:r>
      <w:r w:rsidRPr="00834D52">
        <w:rPr>
          <w:rFonts w:ascii="Sylfaen" w:hAnsi="Sylfaen"/>
          <w:spacing w:val="-4"/>
          <w:sz w:val="24"/>
          <w:szCs w:val="24"/>
        </w:rPr>
        <w:t xml:space="preserve"> ներկայացնել որակի </w:t>
      </w:r>
      <w:r w:rsidR="00C54D75">
        <w:rPr>
          <w:rFonts w:ascii="Sylfaen" w:hAnsi="Sylfaen"/>
          <w:spacing w:val="-4"/>
          <w:sz w:val="24"/>
          <w:szCs w:val="24"/>
        </w:rPr>
        <w:t>և</w:t>
      </w:r>
      <w:r w:rsidRPr="00834D52">
        <w:rPr>
          <w:rFonts w:ascii="Sylfaen" w:hAnsi="Sylfaen"/>
          <w:spacing w:val="-4"/>
          <w:sz w:val="24"/>
          <w:szCs w:val="24"/>
        </w:rPr>
        <w:t xml:space="preserve"> որակի հսկողության փաստաթղթեր: Անհրաժեշտ է ներկայացնել արտադրական </w:t>
      </w:r>
      <w:r w:rsidRPr="00834D52">
        <w:rPr>
          <w:rFonts w:ascii="Sylfaen" w:hAnsi="Sylfaen"/>
          <w:spacing w:val="-4"/>
          <w:sz w:val="24"/>
          <w:szCs w:val="24"/>
        </w:rPr>
        <w:lastRenderedPageBreak/>
        <w:t xml:space="preserve">հարթակների անվանումն ու գտնվելու վայրը </w:t>
      </w:r>
      <w:r w:rsidR="00C54D75">
        <w:rPr>
          <w:rFonts w:ascii="Sylfaen" w:hAnsi="Sylfaen"/>
          <w:spacing w:val="-4"/>
          <w:sz w:val="24"/>
          <w:szCs w:val="24"/>
        </w:rPr>
        <w:t>և</w:t>
      </w:r>
      <w:r w:rsidRPr="00834D52">
        <w:rPr>
          <w:rFonts w:ascii="Sylfaen" w:hAnsi="Sylfaen"/>
          <w:spacing w:val="-4"/>
          <w:sz w:val="24"/>
          <w:szCs w:val="24"/>
        </w:rPr>
        <w:t xml:space="preserve"> նշել յուրաքանչյուր արտադրողի պարտականությունները, ներառյալ՝ պայմանագրային արտադրությունները, ինչպես նա</w:t>
      </w:r>
      <w:r w:rsidR="00C54D75">
        <w:rPr>
          <w:rFonts w:ascii="Sylfaen" w:hAnsi="Sylfaen"/>
          <w:spacing w:val="-4"/>
          <w:sz w:val="24"/>
          <w:szCs w:val="24"/>
        </w:rPr>
        <w:t>և</w:t>
      </w:r>
      <w:r w:rsidRPr="00834D52">
        <w:rPr>
          <w:rFonts w:ascii="Sylfaen" w:hAnsi="Sylfaen"/>
          <w:spacing w:val="-4"/>
          <w:sz w:val="24"/>
          <w:szCs w:val="24"/>
        </w:rPr>
        <w:t xml:space="preserve"> տեղեկատվություն՝ օգտագործվող յուրաքանչյուր արտադրական տեղամասի կամ փորձարկման լաբորատորիայի մասին, </w:t>
      </w:r>
    </w:p>
    <w:p w14:paraId="44CCC830" w14:textId="77777777" w:rsidR="006F76EB" w:rsidRPr="00834D52" w:rsidRDefault="006F76EB" w:rsidP="00623D29">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կենսաբանական դեղապատրաստուկների համար սահմանվել են հետ</w:t>
      </w:r>
      <w:r w:rsidR="00C54D75">
        <w:rPr>
          <w:rFonts w:ascii="Sylfaen" w:hAnsi="Sylfaen"/>
          <w:sz w:val="24"/>
          <w:szCs w:val="24"/>
        </w:rPr>
        <w:t>և</w:t>
      </w:r>
      <w:r w:rsidRPr="00834D52">
        <w:rPr>
          <w:rFonts w:ascii="Sylfaen" w:hAnsi="Sylfaen"/>
          <w:sz w:val="24"/>
          <w:szCs w:val="24"/>
        </w:rPr>
        <w:t>յալ լրացուցիչ պահանջները՝</w:t>
      </w:r>
    </w:p>
    <w:p w14:paraId="7F28B812" w14:textId="77777777" w:rsidR="006F76EB" w:rsidRPr="00834D52" w:rsidRDefault="006F76EB" w:rsidP="00C02BB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ելանյութերի ծագման </w:t>
      </w:r>
      <w:r w:rsidR="00C54D75">
        <w:rPr>
          <w:rFonts w:ascii="Sylfaen" w:hAnsi="Sylfaen"/>
          <w:sz w:val="24"/>
          <w:szCs w:val="24"/>
        </w:rPr>
        <w:t>և</w:t>
      </w:r>
      <w:r w:rsidRPr="00834D52">
        <w:rPr>
          <w:rFonts w:ascii="Sylfaen" w:hAnsi="Sylfaen"/>
          <w:sz w:val="24"/>
          <w:szCs w:val="24"/>
        </w:rPr>
        <w:t xml:space="preserve"> ստացման պատմության նկարագրությունը </w:t>
      </w:r>
      <w:r w:rsidR="00C54D75">
        <w:rPr>
          <w:rFonts w:ascii="Sylfaen" w:hAnsi="Sylfaen"/>
          <w:sz w:val="24"/>
          <w:szCs w:val="24"/>
        </w:rPr>
        <w:t>և</w:t>
      </w:r>
      <w:r w:rsidRPr="00834D52">
        <w:rPr>
          <w:rFonts w:ascii="Sylfaen" w:hAnsi="Sylfaen"/>
          <w:sz w:val="24"/>
          <w:szCs w:val="24"/>
        </w:rPr>
        <w:t xml:space="preserve"> փաստաթղթային հավաստումը, </w:t>
      </w:r>
    </w:p>
    <w:p w14:paraId="582A7430" w14:textId="77777777" w:rsidR="006F76EB" w:rsidRPr="00834D52" w:rsidRDefault="006F76EB" w:rsidP="00C02BB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սպունգանման էնցեֆալոպատիայի հարուցիչների փոխանցումը կանխելու ուղղությամբ, հատուկ միջոցառումների հետ կապված, հայտատուն պետք է հավաստի, որ ակտիվ նյութը բավարարում է, մասնավորապես, Եվրասիական տնտեսական միության դեղագրքի համապատասխան հոդվածի (մենագրության)՝ արտադրվող դեղապատրաստուկներով տվյալ հարուցիչների փոխանցման ռիսկը նվազեցնելու պահանջներին,</w:t>
      </w:r>
    </w:p>
    <w:p w14:paraId="6FB833C5" w14:textId="77777777" w:rsidR="006F76EB" w:rsidRPr="00834D52" w:rsidRDefault="006F76EB" w:rsidP="00C02BB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բջիջների բանկերի օգտագործման ժամանակ ներկայացվում են ապացույցներ առ այն, որ բջիջների բնութագրերը մնացել են անփոփոխ արտադրության համար օգտագործվող պասսաժների այդ քանակի դեպքում, ինչպես նա</w:t>
      </w:r>
      <w:r w:rsidR="00C54D75">
        <w:rPr>
          <w:rFonts w:ascii="Sylfaen" w:hAnsi="Sylfaen"/>
          <w:sz w:val="24"/>
          <w:szCs w:val="24"/>
        </w:rPr>
        <w:t>և</w:t>
      </w:r>
      <w:r w:rsidRPr="00834D52">
        <w:rPr>
          <w:rFonts w:ascii="Sylfaen" w:hAnsi="Sylfaen"/>
          <w:sz w:val="24"/>
          <w:szCs w:val="24"/>
        </w:rPr>
        <w:t xml:space="preserve"> հաջորդ ժամանակահատվածի ընթացքում, </w:t>
      </w:r>
    </w:p>
    <w:p w14:paraId="08A700B5" w14:textId="77777777" w:rsidR="006F76EB" w:rsidRPr="00834D52" w:rsidRDefault="006F76EB" w:rsidP="00C02BB4">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ցանքսային նյութերը, բջիջների բանկերը, շիճուկների կամ պլազմայի պուլերը </w:t>
      </w:r>
      <w:r w:rsidR="00C54D75">
        <w:rPr>
          <w:rFonts w:ascii="Sylfaen" w:hAnsi="Sylfaen"/>
          <w:sz w:val="24"/>
          <w:szCs w:val="24"/>
        </w:rPr>
        <w:t>և</w:t>
      </w:r>
      <w:r w:rsidRPr="00834D52">
        <w:rPr>
          <w:rFonts w:ascii="Sylfaen" w:hAnsi="Sylfaen"/>
          <w:sz w:val="24"/>
          <w:szCs w:val="24"/>
        </w:rPr>
        <w:t xml:space="preserve"> կենսաբանական ծագման այլ նյութեր, ինչպես նա</w:t>
      </w:r>
      <w:r w:rsidR="00C54D75">
        <w:rPr>
          <w:rFonts w:ascii="Sylfaen" w:hAnsi="Sylfaen"/>
          <w:sz w:val="24"/>
          <w:szCs w:val="24"/>
        </w:rPr>
        <w:t>և</w:t>
      </w:r>
      <w:r w:rsidRPr="00834D52">
        <w:rPr>
          <w:rFonts w:ascii="Sylfaen" w:hAnsi="Sylfaen"/>
          <w:sz w:val="24"/>
          <w:szCs w:val="24"/>
        </w:rPr>
        <w:t xml:space="preserve"> հնարավորության դեպքում այն նյութերը, որոնցից դրանք ստացվել են, հետազոտվում են կողմնակի ագենտների առկայությունը ստուգելու համար, </w:t>
      </w:r>
    </w:p>
    <w:p w14:paraId="09D2E837" w14:textId="77777777" w:rsidR="006F76EB" w:rsidRPr="00834D52" w:rsidRDefault="006F76EB" w:rsidP="00C02BB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հնարավոր ախտածին կողմնակի ագենտների առկայությունից հնարավոր չէ խուսափել, ապա թույլատրվում է նյութերն օգտագործել միայն այն դեպքում, երբ հետագա մշակման ժամանակ կապահովվի տվյալ կողմնակի ագենտների հեռացումը </w:t>
      </w:r>
      <w:r w:rsidR="00C54D75">
        <w:rPr>
          <w:rFonts w:ascii="Sylfaen" w:hAnsi="Sylfaen"/>
          <w:sz w:val="24"/>
          <w:szCs w:val="24"/>
        </w:rPr>
        <w:t>և</w:t>
      </w:r>
      <w:r w:rsidRPr="00834D52">
        <w:rPr>
          <w:rFonts w:ascii="Sylfaen" w:hAnsi="Sylfaen"/>
          <w:sz w:val="24"/>
          <w:szCs w:val="24"/>
        </w:rPr>
        <w:t xml:space="preserve"> (կամ) ակտիվազրկումը, </w:t>
      </w:r>
      <w:r w:rsidR="00C54D75">
        <w:rPr>
          <w:rFonts w:ascii="Sylfaen" w:hAnsi="Sylfaen"/>
          <w:sz w:val="24"/>
          <w:szCs w:val="24"/>
        </w:rPr>
        <w:t>և</w:t>
      </w:r>
      <w:r w:rsidRPr="00834D52">
        <w:rPr>
          <w:rFonts w:ascii="Sylfaen" w:hAnsi="Sylfaen"/>
          <w:sz w:val="24"/>
          <w:szCs w:val="24"/>
        </w:rPr>
        <w:t xml:space="preserve"> դա պետք է վալիդացվի, </w:t>
      </w:r>
    </w:p>
    <w:p w14:paraId="7B232BE4" w14:textId="77777777" w:rsidR="006F76EB" w:rsidRPr="00834D52" w:rsidRDefault="006F76EB" w:rsidP="00516C70">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պատվաստանյութերի արտադրությունը պետք է հիմնվի (հնարավորության դեպքում) ցանքսային կուլտուրաների </w:t>
      </w:r>
      <w:r w:rsidR="00C54D75">
        <w:rPr>
          <w:rFonts w:ascii="Sylfaen" w:hAnsi="Sylfaen"/>
          <w:sz w:val="24"/>
          <w:szCs w:val="24"/>
        </w:rPr>
        <w:t>և</w:t>
      </w:r>
      <w:r w:rsidRPr="00834D52">
        <w:rPr>
          <w:rFonts w:ascii="Sylfaen" w:hAnsi="Sylfaen"/>
          <w:sz w:val="24"/>
          <w:szCs w:val="24"/>
        </w:rPr>
        <w:t xml:space="preserve"> բջիջների հայտնի բանկերի համակարգի վրա: Մանրէաբանական </w:t>
      </w:r>
      <w:r w:rsidR="00C54D75">
        <w:rPr>
          <w:rFonts w:ascii="Sylfaen" w:hAnsi="Sylfaen"/>
          <w:sz w:val="24"/>
          <w:szCs w:val="24"/>
        </w:rPr>
        <w:t>և</w:t>
      </w:r>
      <w:r w:rsidRPr="00834D52">
        <w:rPr>
          <w:rFonts w:ascii="Sylfaen" w:hAnsi="Sylfaen"/>
          <w:sz w:val="24"/>
          <w:szCs w:val="24"/>
        </w:rPr>
        <w:t xml:space="preserve"> վիրուսային պատվաստանյութերի արտադրության ժամանակ վարակի հարուցչի բնութագրերը պետք է ցույց տրվեն ցանքսային նյութի վրա: Բացի այդ, կենդանի պատվաստանյութերի մասով ատտենուացիայի (ախտածին միկրոօրգանիզմների վիրուլենտության (վարակայնության) թուլացում) բնութագրերի կայունությունը պետք է հավաստվի ցանքսային նյութի վրա, եթե այդ ապացույցը բավարար չլինի, ատտենուացիայի բնութագրերը պետք է հավաստվեն նա</w:t>
      </w:r>
      <w:r w:rsidR="00C54D75">
        <w:rPr>
          <w:rFonts w:ascii="Sylfaen" w:hAnsi="Sylfaen"/>
          <w:sz w:val="24"/>
          <w:szCs w:val="24"/>
        </w:rPr>
        <w:t>և</w:t>
      </w:r>
      <w:r w:rsidRPr="00834D52">
        <w:rPr>
          <w:rFonts w:ascii="Sylfaen" w:hAnsi="Sylfaen"/>
          <w:sz w:val="24"/>
          <w:szCs w:val="24"/>
        </w:rPr>
        <w:t xml:space="preserve"> արտադրության փուլում, </w:t>
      </w:r>
    </w:p>
    <w:p w14:paraId="0F57C696" w14:textId="77777777" w:rsidR="006F76EB" w:rsidRPr="00834D52" w:rsidRDefault="006F76EB" w:rsidP="0078306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սույն հավելվածի III մասում շարադրված դրույթներին համապատասխան՝ մարդու արյունից կամ պլազմայից ստացված դեղապատրաստուկների համար անհրաժեշտ է նկարագրել </w:t>
      </w:r>
      <w:r w:rsidR="00C54D75">
        <w:rPr>
          <w:rFonts w:ascii="Sylfaen" w:hAnsi="Sylfaen"/>
          <w:sz w:val="24"/>
          <w:szCs w:val="24"/>
        </w:rPr>
        <w:t>և</w:t>
      </w:r>
      <w:r w:rsidRPr="00834D52">
        <w:rPr>
          <w:rFonts w:ascii="Sylfaen" w:hAnsi="Sylfaen"/>
          <w:sz w:val="24"/>
          <w:szCs w:val="24"/>
        </w:rPr>
        <w:t xml:space="preserve"> փաստաթղթերով հավաստել ելանյութերի ծագումը, ելանյութերի ընտրության, տրանսպորտային փոխադրման </w:t>
      </w:r>
      <w:r w:rsidR="00C54D75">
        <w:rPr>
          <w:rFonts w:ascii="Sylfaen" w:hAnsi="Sylfaen"/>
          <w:sz w:val="24"/>
          <w:szCs w:val="24"/>
        </w:rPr>
        <w:t>և</w:t>
      </w:r>
      <w:r w:rsidRPr="00834D52">
        <w:rPr>
          <w:rFonts w:ascii="Sylfaen" w:hAnsi="Sylfaen"/>
          <w:sz w:val="24"/>
          <w:szCs w:val="24"/>
        </w:rPr>
        <w:t xml:space="preserve"> պահպանման չափանիշներն ու մեթոդիկաները, </w:t>
      </w:r>
    </w:p>
    <w:p w14:paraId="356A2C9A" w14:textId="77777777" w:rsidR="006F76EB" w:rsidRPr="00834D52" w:rsidRDefault="006F76EB" w:rsidP="0078306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նկարագրել արտադրական տարածքներն ու սարքավորումները, </w:t>
      </w:r>
    </w:p>
    <w:p w14:paraId="453DEE0E"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համապատասխան դեպքերում անհրաժեշտ է ներկայացնել տեղեկատվություն՝ փորձարկումների </w:t>
      </w:r>
      <w:r w:rsidR="00C54D75">
        <w:rPr>
          <w:rFonts w:ascii="Sylfaen" w:hAnsi="Sylfaen"/>
          <w:sz w:val="24"/>
          <w:szCs w:val="24"/>
        </w:rPr>
        <w:t>և</w:t>
      </w:r>
      <w:r w:rsidRPr="00834D52">
        <w:rPr>
          <w:rFonts w:ascii="Sylfaen" w:hAnsi="Sylfaen"/>
          <w:sz w:val="24"/>
          <w:szCs w:val="24"/>
        </w:rPr>
        <w:t xml:space="preserve"> ընդունելիության չափանիշների մասին, յուրաքանչյուր կրիտիկական փուլում, տեղեկատվություն՝ միջանկյալ արգասիքների որակի </w:t>
      </w:r>
      <w:r w:rsidR="00C54D75">
        <w:rPr>
          <w:rFonts w:ascii="Sylfaen" w:hAnsi="Sylfaen"/>
          <w:sz w:val="24"/>
          <w:szCs w:val="24"/>
        </w:rPr>
        <w:t>և</w:t>
      </w:r>
      <w:r w:rsidRPr="00834D52">
        <w:rPr>
          <w:rFonts w:ascii="Sylfaen" w:hAnsi="Sylfaen"/>
          <w:sz w:val="24"/>
          <w:szCs w:val="24"/>
        </w:rPr>
        <w:t xml:space="preserve"> հսկողության, ինչպես նա</w:t>
      </w:r>
      <w:r w:rsidR="00C54D75">
        <w:rPr>
          <w:rFonts w:ascii="Sylfaen" w:hAnsi="Sylfaen"/>
          <w:sz w:val="24"/>
          <w:szCs w:val="24"/>
        </w:rPr>
        <w:t>և</w:t>
      </w:r>
      <w:r w:rsidRPr="00834D52">
        <w:rPr>
          <w:rFonts w:ascii="Sylfaen" w:hAnsi="Sylfaen"/>
          <w:sz w:val="24"/>
          <w:szCs w:val="24"/>
        </w:rPr>
        <w:t xml:space="preserve"> գործընթացի վալիդացման </w:t>
      </w:r>
      <w:r w:rsidR="00C54D75">
        <w:rPr>
          <w:rFonts w:ascii="Sylfaen" w:hAnsi="Sylfaen"/>
          <w:sz w:val="24"/>
          <w:szCs w:val="24"/>
        </w:rPr>
        <w:t>և</w:t>
      </w:r>
      <w:r w:rsidRPr="00834D52">
        <w:rPr>
          <w:rFonts w:ascii="Sylfaen" w:hAnsi="Sylfaen"/>
          <w:sz w:val="24"/>
          <w:szCs w:val="24"/>
        </w:rPr>
        <w:t xml:space="preserve"> (կամ) դրա գնահատման մասին, </w:t>
      </w:r>
    </w:p>
    <w:p w14:paraId="73E26E51"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 xml:space="preserve">եթե հնարավոր ախտածին կողմնակի ագենտների առկայությունից խուսափել հնարավոր չէ, ապա թույլատրվում է նյութերն օգտագործել միայն այն դեպքերում, երբ հետագա մշակումը ապահովում է դրանց հեռացումը </w:t>
      </w:r>
      <w:r w:rsidR="00C54D75">
        <w:rPr>
          <w:rFonts w:ascii="Sylfaen" w:hAnsi="Sylfaen"/>
          <w:sz w:val="24"/>
          <w:szCs w:val="24"/>
        </w:rPr>
        <w:t>և</w:t>
      </w:r>
      <w:r w:rsidRPr="00834D52">
        <w:rPr>
          <w:rFonts w:ascii="Sylfaen" w:hAnsi="Sylfaen"/>
          <w:sz w:val="24"/>
          <w:szCs w:val="24"/>
        </w:rPr>
        <w:t xml:space="preserve"> (կամ) ակտիվազրկումը, որը հավաստվում է վալիդացմամբ </w:t>
      </w:r>
      <w:r w:rsidR="00C54D75">
        <w:rPr>
          <w:rFonts w:ascii="Sylfaen" w:hAnsi="Sylfaen"/>
          <w:sz w:val="24"/>
          <w:szCs w:val="24"/>
        </w:rPr>
        <w:t>և</w:t>
      </w:r>
      <w:r w:rsidRPr="00834D52">
        <w:rPr>
          <w:rFonts w:ascii="Sylfaen" w:hAnsi="Sylfaen"/>
          <w:sz w:val="24"/>
          <w:szCs w:val="24"/>
        </w:rPr>
        <w:t xml:space="preserve"> բերվում է վիրուսային անվտանգության գնահատման համապատասխան բաժնում, </w:t>
      </w:r>
    </w:p>
    <w:p w14:paraId="50AF1475"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ակտիվ դեղագործական բաղադրամասի համար անհրաժեշտ է նախատեսել մշակման ժամանակ արտադրական գործընթացի </w:t>
      </w:r>
      <w:r w:rsidR="00C54D75">
        <w:rPr>
          <w:rFonts w:ascii="Sylfaen" w:hAnsi="Sylfaen"/>
          <w:sz w:val="24"/>
          <w:szCs w:val="24"/>
        </w:rPr>
        <w:t>և</w:t>
      </w:r>
      <w:r w:rsidRPr="00834D52">
        <w:rPr>
          <w:rFonts w:ascii="Sylfaen" w:hAnsi="Sylfaen"/>
          <w:sz w:val="24"/>
          <w:szCs w:val="24"/>
        </w:rPr>
        <w:t xml:space="preserve"> (կամ) </w:t>
      </w:r>
      <w:r w:rsidRPr="00834D52">
        <w:rPr>
          <w:rFonts w:ascii="Sylfaen" w:hAnsi="Sylfaen"/>
          <w:sz w:val="24"/>
          <w:szCs w:val="24"/>
        </w:rPr>
        <w:lastRenderedPageBreak/>
        <w:t xml:space="preserve">արտադրական հարթակի էական փոփոխությունների նկարագրություն </w:t>
      </w:r>
      <w:r w:rsidR="00C54D75">
        <w:rPr>
          <w:rFonts w:ascii="Sylfaen" w:hAnsi="Sylfaen"/>
          <w:sz w:val="24"/>
          <w:szCs w:val="24"/>
        </w:rPr>
        <w:t>և</w:t>
      </w:r>
      <w:r w:rsidRPr="00834D52">
        <w:rPr>
          <w:rFonts w:ascii="Sylfaen" w:hAnsi="Sylfaen"/>
          <w:sz w:val="24"/>
          <w:szCs w:val="24"/>
        </w:rPr>
        <w:t xml:space="preserve"> վերլուծություն, ինչպես նա</w:t>
      </w:r>
      <w:r w:rsidR="00C54D75">
        <w:rPr>
          <w:rFonts w:ascii="Sylfaen" w:hAnsi="Sylfaen"/>
          <w:sz w:val="24"/>
          <w:szCs w:val="24"/>
        </w:rPr>
        <w:t>և</w:t>
      </w:r>
      <w:r w:rsidRPr="00834D52">
        <w:rPr>
          <w:rFonts w:ascii="Sylfaen" w:hAnsi="Sylfaen"/>
          <w:sz w:val="24"/>
          <w:szCs w:val="24"/>
        </w:rPr>
        <w:t xml:space="preserve"> (այն դեպքում, երբ դեղապատրաստուկ արտադրողն ակտիվ դեղագործական բաղադրամաս արտադրողը չէ) ներկայացնել ակտիվ դեղագործական բաղադրամասի արտադրողի՝ հայտատուին արտադրական գործընթացի կամ մասնագրերի փոփոխությունների մասին (ազատ ձ</w:t>
      </w:r>
      <w:r w:rsidR="00C54D75">
        <w:rPr>
          <w:rFonts w:ascii="Sylfaen" w:hAnsi="Sylfaen"/>
          <w:sz w:val="24"/>
          <w:szCs w:val="24"/>
        </w:rPr>
        <w:t>և</w:t>
      </w:r>
      <w:r w:rsidRPr="00834D52">
        <w:rPr>
          <w:rFonts w:ascii="Sylfaen" w:hAnsi="Sylfaen"/>
          <w:sz w:val="24"/>
          <w:szCs w:val="24"/>
        </w:rPr>
        <w:t>ով) տեղեկացնելու գրավոր պարտավորության պատճենը:</w:t>
      </w:r>
    </w:p>
    <w:p w14:paraId="67B0B03B" w14:textId="77777777" w:rsidR="006F76EB" w:rsidRPr="00834D52" w:rsidRDefault="006F76EB" w:rsidP="00C02BB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3.2.S.3.</w:t>
      </w:r>
      <w:r w:rsidRPr="00834D52">
        <w:rPr>
          <w:rFonts w:ascii="Sylfaen" w:hAnsi="Sylfaen"/>
          <w:sz w:val="24"/>
          <w:szCs w:val="24"/>
        </w:rPr>
        <w:tab/>
        <w:t>Ակտիվ դեղագործական բաղադրամասի բնութագրերի նկարագրությունը՝</w:t>
      </w:r>
    </w:p>
    <w:p w14:paraId="0065BE93" w14:textId="77777777" w:rsidR="006F76EB" w:rsidRPr="00834D52" w:rsidRDefault="006F76EB" w:rsidP="00C02BB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տվյալներ՝ ակտիվ դեղագործական բաղադրամասի կառուցվածքի </w:t>
      </w:r>
      <w:r w:rsidR="00C54D75">
        <w:rPr>
          <w:rFonts w:ascii="Sylfaen" w:hAnsi="Sylfaen"/>
          <w:sz w:val="24"/>
          <w:szCs w:val="24"/>
        </w:rPr>
        <w:t>և</w:t>
      </w:r>
      <w:r w:rsidRPr="00834D52">
        <w:rPr>
          <w:rFonts w:ascii="Sylfaen" w:hAnsi="Sylfaen"/>
          <w:sz w:val="24"/>
          <w:szCs w:val="24"/>
        </w:rPr>
        <w:t xml:space="preserve"> այլ բնութագրերի մասին, </w:t>
      </w:r>
    </w:p>
    <w:p w14:paraId="5A4CB989" w14:textId="77777777" w:rsidR="006F76EB" w:rsidRPr="00834D52" w:rsidRDefault="006F76EB" w:rsidP="004C797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 է հաստատել ակտիվ դեղագործական բաղադրամասի կառուցվածքը՝ հիմնվելով ժամանակակից ֆիզիկաքիմիական </w:t>
      </w:r>
      <w:r w:rsidR="00C54D75">
        <w:rPr>
          <w:rFonts w:ascii="Sylfaen" w:hAnsi="Sylfaen"/>
          <w:sz w:val="24"/>
          <w:szCs w:val="24"/>
        </w:rPr>
        <w:t>և</w:t>
      </w:r>
      <w:r w:rsidRPr="00834D52">
        <w:rPr>
          <w:rFonts w:ascii="Sylfaen" w:hAnsi="Sylfaen"/>
          <w:sz w:val="24"/>
          <w:szCs w:val="24"/>
        </w:rPr>
        <w:t xml:space="preserve"> (կամ) իմուն քիմիական </w:t>
      </w:r>
      <w:r w:rsidR="00C54D75">
        <w:rPr>
          <w:rFonts w:ascii="Sylfaen" w:hAnsi="Sylfaen"/>
          <w:sz w:val="24"/>
          <w:szCs w:val="24"/>
        </w:rPr>
        <w:t>և</w:t>
      </w:r>
      <w:r w:rsidRPr="00834D52">
        <w:rPr>
          <w:rFonts w:ascii="Sylfaen" w:hAnsi="Sylfaen"/>
          <w:sz w:val="24"/>
          <w:szCs w:val="24"/>
        </w:rPr>
        <w:t xml:space="preserve"> (կամ) կենսաբանական մեթոդների վրա, ինչպես նա</w:t>
      </w:r>
      <w:r w:rsidR="00C54D75">
        <w:rPr>
          <w:rFonts w:ascii="Sylfaen" w:hAnsi="Sylfaen"/>
          <w:sz w:val="24"/>
          <w:szCs w:val="24"/>
        </w:rPr>
        <w:t>և</w:t>
      </w:r>
      <w:r w:rsidRPr="00834D52">
        <w:rPr>
          <w:rFonts w:ascii="Sylfaen" w:hAnsi="Sylfaen"/>
          <w:sz w:val="24"/>
          <w:szCs w:val="24"/>
        </w:rPr>
        <w:t xml:space="preserve"> ներկայացնել տեղեկատվություն՝ խառնուկների մասին:</w:t>
      </w:r>
    </w:p>
    <w:p w14:paraId="4C769616" w14:textId="77777777" w:rsidR="006F76EB" w:rsidRPr="00834D52" w:rsidRDefault="006F76EB" w:rsidP="00C02BB4">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3.2.S.4.</w:t>
      </w:r>
      <w:r w:rsidRPr="00834D52">
        <w:rPr>
          <w:rFonts w:ascii="Sylfaen" w:hAnsi="Sylfaen"/>
          <w:sz w:val="24"/>
          <w:szCs w:val="24"/>
        </w:rPr>
        <w:tab/>
        <w:t>Ակտիվ դեղագործական բաղադրամասի որակի հսկողություն՝</w:t>
      </w:r>
    </w:p>
    <w:p w14:paraId="7C689FA2" w14:textId="77777777" w:rsidR="006F76EB" w:rsidRPr="00834D52" w:rsidRDefault="006F76EB" w:rsidP="00C02BB4">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մանրամասն տեղեկատվություն՝ ակտիվ դեղագործական բաղադրամասի սերիական հսկողության համար օգտագործվող մասնագրերի մասին, այդ մասնագրերի, փորձարկումների մեթոդիկաների </w:t>
      </w:r>
      <w:r w:rsidR="00C54D75">
        <w:rPr>
          <w:rFonts w:ascii="Sylfaen" w:hAnsi="Sylfaen"/>
          <w:sz w:val="24"/>
          <w:szCs w:val="24"/>
        </w:rPr>
        <w:t>և</w:t>
      </w:r>
      <w:r w:rsidRPr="00834D52">
        <w:rPr>
          <w:rFonts w:ascii="Sylfaen" w:hAnsi="Sylfaen"/>
          <w:sz w:val="24"/>
          <w:szCs w:val="24"/>
        </w:rPr>
        <w:t xml:space="preserve"> դրանց վալիդացման ընտրության հիմնավորումը, </w:t>
      </w:r>
    </w:p>
    <w:p w14:paraId="54C0FB4B" w14:textId="77777777" w:rsidR="006F76EB" w:rsidRPr="00834D52" w:rsidRDefault="006F76EB" w:rsidP="004C797D">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մշակման փուլում արտադրված առանձին սերիաների որակի հսկողության արդյունքները:</w:t>
      </w:r>
    </w:p>
    <w:p w14:paraId="0A754663" w14:textId="77777777" w:rsidR="006F76EB" w:rsidRPr="00834D52" w:rsidRDefault="006F76EB" w:rsidP="00C02BB4">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3.2.S.5.</w:t>
      </w:r>
      <w:r w:rsidRPr="00834D52">
        <w:rPr>
          <w:rFonts w:ascii="Sylfaen" w:hAnsi="Sylfaen"/>
          <w:sz w:val="24"/>
          <w:szCs w:val="24"/>
        </w:rPr>
        <w:tab/>
        <w:t>Ստանդարտ նմուշները կամ նյութերը՝</w:t>
      </w:r>
    </w:p>
    <w:p w14:paraId="501A0B25"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սահմանել </w:t>
      </w:r>
      <w:r w:rsidR="00C54D75">
        <w:rPr>
          <w:rFonts w:ascii="Sylfaen" w:hAnsi="Sylfaen"/>
          <w:sz w:val="24"/>
          <w:szCs w:val="24"/>
        </w:rPr>
        <w:t>և</w:t>
      </w:r>
      <w:r w:rsidRPr="00834D52">
        <w:rPr>
          <w:rFonts w:ascii="Sylfaen" w:hAnsi="Sylfaen"/>
          <w:sz w:val="24"/>
          <w:szCs w:val="24"/>
        </w:rPr>
        <w:t xml:space="preserve"> մանրամասն նկարագրել ստանդարտ նյութերն ու ստանդարտ նմուշները: Հնարավորության դեպքում անհրաժեշտ է կիրառել համապատասխան դեղագրքային քիմիական ստանդարտ նմուշներ </w:t>
      </w:r>
      <w:r w:rsidR="00C54D75">
        <w:rPr>
          <w:rFonts w:ascii="Sylfaen" w:hAnsi="Sylfaen"/>
          <w:sz w:val="24"/>
          <w:szCs w:val="24"/>
        </w:rPr>
        <w:t>և</w:t>
      </w:r>
      <w:r w:rsidRPr="00834D52">
        <w:rPr>
          <w:rFonts w:ascii="Sylfaen" w:hAnsi="Sylfaen"/>
          <w:sz w:val="24"/>
          <w:szCs w:val="24"/>
        </w:rPr>
        <w:t xml:space="preserve"> կենսաբանական ստանդարտ նյութեր:</w:t>
      </w:r>
    </w:p>
    <w:p w14:paraId="122A79B7" w14:textId="77777777" w:rsidR="006F76EB" w:rsidRPr="00834D52" w:rsidRDefault="006F76EB" w:rsidP="00C02BB4">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3.2.S.6.</w:t>
      </w:r>
      <w:r w:rsidRPr="00834D52">
        <w:rPr>
          <w:rFonts w:ascii="Sylfaen" w:hAnsi="Sylfaen"/>
          <w:sz w:val="24"/>
          <w:szCs w:val="24"/>
        </w:rPr>
        <w:tab/>
        <w:t>Փաթեթավորման (խցան փակման) համակարգը</w:t>
      </w:r>
    </w:p>
    <w:p w14:paraId="028C0AD8"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առաջնային փաթեթվածքի </w:t>
      </w:r>
      <w:r w:rsidR="00C54D75">
        <w:rPr>
          <w:rFonts w:ascii="Sylfaen" w:hAnsi="Sylfaen"/>
          <w:sz w:val="24"/>
          <w:szCs w:val="24"/>
        </w:rPr>
        <w:t>և</w:t>
      </w:r>
      <w:r w:rsidRPr="00834D52">
        <w:rPr>
          <w:rFonts w:ascii="Sylfaen" w:hAnsi="Sylfaen"/>
          <w:sz w:val="24"/>
          <w:szCs w:val="24"/>
        </w:rPr>
        <w:t xml:space="preserve"> փաթեթավորման (խցան փակման) համակարգի նկարագրությունը </w:t>
      </w:r>
      <w:r w:rsidR="00C54D75">
        <w:rPr>
          <w:rFonts w:ascii="Sylfaen" w:hAnsi="Sylfaen"/>
          <w:sz w:val="24"/>
          <w:szCs w:val="24"/>
        </w:rPr>
        <w:t>և</w:t>
      </w:r>
      <w:r w:rsidRPr="00834D52">
        <w:rPr>
          <w:rFonts w:ascii="Sylfaen" w:hAnsi="Sylfaen"/>
          <w:sz w:val="24"/>
          <w:szCs w:val="24"/>
        </w:rPr>
        <w:t xml:space="preserve"> դրա բաղադրիչների մասնագրերի: </w:t>
      </w:r>
    </w:p>
    <w:p w14:paraId="5188BE22" w14:textId="77777777" w:rsidR="006F76EB" w:rsidRPr="00834D52" w:rsidRDefault="006F76EB" w:rsidP="00C02BB4">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3.2.S.7.</w:t>
      </w:r>
      <w:r w:rsidRPr="00834D52">
        <w:rPr>
          <w:rFonts w:ascii="Sylfaen" w:hAnsi="Sylfaen"/>
          <w:sz w:val="24"/>
          <w:szCs w:val="24"/>
        </w:rPr>
        <w:tab/>
        <w:t>Կայունությունը</w:t>
      </w:r>
    </w:p>
    <w:p w14:paraId="05F30B01"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008270E4" w:rsidRPr="00A958BD">
        <w:rPr>
          <w:rFonts w:ascii="Sylfaen" w:hAnsi="Sylfaen"/>
          <w:sz w:val="24"/>
          <w:szCs w:val="24"/>
        </w:rPr>
        <w:tab/>
      </w:r>
      <w:r w:rsidRPr="00834D52">
        <w:rPr>
          <w:rFonts w:ascii="Sylfaen" w:hAnsi="Sylfaen"/>
          <w:sz w:val="24"/>
          <w:szCs w:val="24"/>
        </w:rPr>
        <w:t xml:space="preserve">անհրաժեշտ է ներկայացնել անցկացված հետազոտությունների մասին ռեզյումեն, օգտագործված պլանները (ծրագրերը) </w:t>
      </w:r>
      <w:r w:rsidR="00C54D75">
        <w:rPr>
          <w:rFonts w:ascii="Sylfaen" w:hAnsi="Sylfaen"/>
          <w:sz w:val="24"/>
          <w:szCs w:val="24"/>
        </w:rPr>
        <w:t>և</w:t>
      </w:r>
      <w:r w:rsidRPr="00834D52">
        <w:rPr>
          <w:rFonts w:ascii="Sylfaen" w:hAnsi="Sylfaen"/>
          <w:sz w:val="24"/>
          <w:szCs w:val="24"/>
        </w:rPr>
        <w:t xml:space="preserve"> հետազոտությունների ժամանակ ստացված արդյունքները, </w:t>
      </w:r>
    </w:p>
    <w:p w14:paraId="57F9D804"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անհրաժեշտ է ներկայացնել կայունության հետազոտության համապատասխան ձ</w:t>
      </w:r>
      <w:r w:rsidR="00C54D75">
        <w:rPr>
          <w:rFonts w:ascii="Sylfaen" w:hAnsi="Sylfaen"/>
          <w:sz w:val="24"/>
          <w:szCs w:val="24"/>
        </w:rPr>
        <w:t>և</w:t>
      </w:r>
      <w:r w:rsidRPr="00834D52">
        <w:rPr>
          <w:rFonts w:ascii="Sylfaen" w:hAnsi="Sylfaen"/>
          <w:sz w:val="24"/>
          <w:szCs w:val="24"/>
        </w:rPr>
        <w:t>աչափով ձ</w:t>
      </w:r>
      <w:r w:rsidR="00C54D75">
        <w:rPr>
          <w:rFonts w:ascii="Sylfaen" w:hAnsi="Sylfaen"/>
          <w:sz w:val="24"/>
          <w:szCs w:val="24"/>
        </w:rPr>
        <w:t>և</w:t>
      </w:r>
      <w:r w:rsidRPr="00834D52">
        <w:rPr>
          <w:rFonts w:ascii="Sylfaen" w:hAnsi="Sylfaen"/>
          <w:sz w:val="24"/>
          <w:szCs w:val="24"/>
        </w:rPr>
        <w:t xml:space="preserve">ակերպված մանրամասն արդյունքները, ներառյալ՝ օգտագործված վերլուծական մեթոդիկաների </w:t>
      </w:r>
      <w:r w:rsidR="00C54D75">
        <w:rPr>
          <w:rFonts w:ascii="Sylfaen" w:hAnsi="Sylfaen"/>
          <w:sz w:val="24"/>
          <w:szCs w:val="24"/>
        </w:rPr>
        <w:t>և</w:t>
      </w:r>
      <w:r w:rsidRPr="00834D52">
        <w:rPr>
          <w:rFonts w:ascii="Sylfaen" w:hAnsi="Sylfaen"/>
          <w:sz w:val="24"/>
          <w:szCs w:val="24"/>
        </w:rPr>
        <w:t xml:space="preserve"> դրանց վալիդացման մասին տեղեկությունները, </w:t>
      </w:r>
    </w:p>
    <w:p w14:paraId="26E0E334" w14:textId="77777777" w:rsidR="006F76EB" w:rsidRPr="00834D52" w:rsidRDefault="006F76EB" w:rsidP="00C02BB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անհրաժեշտ է ներկայացնել հետգրանցումային շրջանում կայունության հետազոտության պլանը (ծրագիրը) </w:t>
      </w:r>
      <w:r w:rsidR="00C54D75">
        <w:rPr>
          <w:rFonts w:ascii="Sylfaen" w:hAnsi="Sylfaen"/>
          <w:sz w:val="24"/>
          <w:szCs w:val="24"/>
        </w:rPr>
        <w:t>և</w:t>
      </w:r>
      <w:r w:rsidRPr="00834D52">
        <w:rPr>
          <w:rFonts w:ascii="Sylfaen" w:hAnsi="Sylfaen"/>
          <w:sz w:val="24"/>
          <w:szCs w:val="24"/>
        </w:rPr>
        <w:t xml:space="preserve"> հայտատուի՝ այն կատարելու պարտավորությունները: </w:t>
      </w:r>
    </w:p>
    <w:p w14:paraId="1C78FBE3" w14:textId="77777777" w:rsidR="006F76EB" w:rsidRPr="00834D52" w:rsidRDefault="006F76EB" w:rsidP="00C02BB4">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3.2.P.</w:t>
      </w:r>
      <w:r w:rsidRPr="00834D52">
        <w:rPr>
          <w:rFonts w:ascii="Sylfaen" w:hAnsi="Sylfaen"/>
          <w:sz w:val="24"/>
          <w:szCs w:val="24"/>
        </w:rPr>
        <w:tab/>
        <w:t>Դեղապատրաստուկը:</w:t>
      </w:r>
    </w:p>
    <w:p w14:paraId="6863FD91" w14:textId="77777777" w:rsidR="006F76EB" w:rsidRPr="00834D52" w:rsidRDefault="006F76EB" w:rsidP="00C02BB4">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3.2.P.1.</w:t>
      </w:r>
      <w:r w:rsidRPr="00834D52">
        <w:rPr>
          <w:rFonts w:ascii="Sylfaen" w:hAnsi="Sylfaen"/>
          <w:sz w:val="24"/>
          <w:szCs w:val="24"/>
        </w:rPr>
        <w:tab/>
        <w:t xml:space="preserve">Դեղապատրաստուկի նկարագրությունն ու բաղադրությունը: </w:t>
      </w:r>
    </w:p>
    <w:p w14:paraId="5F03962A"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դեղապատրաստուկի նկարագրությունն ու դրա բաղադրությունը: Տեղեկատվությունը պետք է ներառի դեղաձ</w:t>
      </w:r>
      <w:r w:rsidR="00C54D75">
        <w:rPr>
          <w:rFonts w:ascii="Sylfaen" w:hAnsi="Sylfaen"/>
          <w:sz w:val="24"/>
          <w:szCs w:val="24"/>
        </w:rPr>
        <w:t>և</w:t>
      </w:r>
      <w:r w:rsidRPr="00834D52">
        <w:rPr>
          <w:rFonts w:ascii="Sylfaen" w:hAnsi="Sylfaen"/>
          <w:sz w:val="24"/>
          <w:szCs w:val="24"/>
        </w:rPr>
        <w:t xml:space="preserve">ի </w:t>
      </w:r>
      <w:r w:rsidR="00C54D75">
        <w:rPr>
          <w:rFonts w:ascii="Sylfaen" w:hAnsi="Sylfaen"/>
          <w:sz w:val="24"/>
          <w:szCs w:val="24"/>
        </w:rPr>
        <w:t>և</w:t>
      </w:r>
      <w:r w:rsidRPr="00834D52">
        <w:rPr>
          <w:rFonts w:ascii="Sylfaen" w:hAnsi="Sylfaen"/>
          <w:sz w:val="24"/>
          <w:szCs w:val="24"/>
        </w:rPr>
        <w:t xml:space="preserve"> բաղադրության նկարագրությունը՝ պատրաստի դեղաձ</w:t>
      </w:r>
      <w:r w:rsidR="00C54D75">
        <w:rPr>
          <w:rFonts w:ascii="Sylfaen" w:hAnsi="Sylfaen"/>
          <w:sz w:val="24"/>
          <w:szCs w:val="24"/>
        </w:rPr>
        <w:t>և</w:t>
      </w:r>
      <w:r w:rsidRPr="00834D52">
        <w:rPr>
          <w:rFonts w:ascii="Sylfaen" w:hAnsi="Sylfaen"/>
          <w:sz w:val="24"/>
          <w:szCs w:val="24"/>
        </w:rPr>
        <w:t xml:space="preserve">ի բոլոր բաղադրիչների, միավոր դեղաչափի հաշվարկով դրանց քանակության ցանկով, բաղադրամասերի գործառական նշանակությունը </w:t>
      </w:r>
    </w:p>
    <w:p w14:paraId="27A4B814" w14:textId="77777777" w:rsidR="006F76EB" w:rsidRPr="00834D52" w:rsidRDefault="006F76EB" w:rsidP="008270E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ակտիվ դեղագործական բաղադրամաս, </w:t>
      </w:r>
    </w:p>
    <w:p w14:paraId="7536A38A"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օժանդակ նյութեր՝ անկախ դրանց ծագումից կամ քանակից, ներառյալ՝ ներկանյութերը, կոնսերվանտները, մոդիֆիկատորները, ստաբիլիզատորները, թանձրացուցիչները, էմուլգատորները, համային </w:t>
      </w:r>
      <w:r w:rsidR="00C54D75">
        <w:rPr>
          <w:rFonts w:ascii="Sylfaen" w:hAnsi="Sylfaen"/>
          <w:sz w:val="24"/>
          <w:szCs w:val="24"/>
        </w:rPr>
        <w:t>և</w:t>
      </w:r>
      <w:r w:rsidRPr="00834D52">
        <w:rPr>
          <w:rFonts w:ascii="Sylfaen" w:hAnsi="Sylfaen"/>
          <w:sz w:val="24"/>
          <w:szCs w:val="24"/>
        </w:rPr>
        <w:t xml:space="preserve"> բուրավետ նյութերը </w:t>
      </w:r>
      <w:r w:rsidR="00C54D75">
        <w:rPr>
          <w:rFonts w:ascii="Sylfaen" w:hAnsi="Sylfaen"/>
          <w:sz w:val="24"/>
          <w:szCs w:val="24"/>
        </w:rPr>
        <w:t>և</w:t>
      </w:r>
      <w:r w:rsidRPr="00834D52">
        <w:rPr>
          <w:rFonts w:ascii="Sylfaen" w:hAnsi="Sylfaen"/>
          <w:sz w:val="24"/>
          <w:szCs w:val="24"/>
        </w:rPr>
        <w:t xml:space="preserve"> այլն, </w:t>
      </w:r>
    </w:p>
    <w:p w14:paraId="4C2CE1E3"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դեղաձ</w:t>
      </w:r>
      <w:r w:rsidR="00C54D75">
        <w:rPr>
          <w:rFonts w:ascii="Sylfaen" w:hAnsi="Sylfaen"/>
          <w:sz w:val="24"/>
          <w:szCs w:val="24"/>
        </w:rPr>
        <w:t>և</w:t>
      </w:r>
      <w:r w:rsidRPr="00834D52">
        <w:rPr>
          <w:rFonts w:ascii="Sylfaen" w:hAnsi="Sylfaen"/>
          <w:sz w:val="24"/>
          <w:szCs w:val="24"/>
        </w:rPr>
        <w:t xml:space="preserve">ի, ներքին ընդունման ժամանակ կամ ներմուծման ցանկացած այլ եղանակով պացիենտի օրգանիզմ թափանցող դեղապատրաստուկների արտաքին թաղանթի բաղադրիչներ (պինդ դեղապատիճներ, փափուկ դեղապատիճներ, ուղիղաղիքային դեղապատիճներ, թաղանթով պատված հաբեր, թաղանթային ծածկույթով պատված հաբեր </w:t>
      </w:r>
      <w:r w:rsidR="00C54D75">
        <w:rPr>
          <w:rFonts w:ascii="Sylfaen" w:hAnsi="Sylfaen"/>
          <w:sz w:val="24"/>
          <w:szCs w:val="24"/>
        </w:rPr>
        <w:t>և</w:t>
      </w:r>
      <w:r w:rsidRPr="00834D52">
        <w:rPr>
          <w:rFonts w:ascii="Sylfaen" w:hAnsi="Sylfaen"/>
          <w:sz w:val="24"/>
          <w:szCs w:val="24"/>
        </w:rPr>
        <w:t xml:space="preserve"> այլն):</w:t>
      </w:r>
    </w:p>
    <w:p w14:paraId="70E2ABEF"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Նշված տեղեկություններն անհրաժեշտ է լրացնել կոնտեյների տեսակին </w:t>
      </w:r>
      <w:r w:rsidR="00C54D75">
        <w:rPr>
          <w:rFonts w:ascii="Sylfaen" w:hAnsi="Sylfaen"/>
          <w:sz w:val="24"/>
          <w:szCs w:val="24"/>
        </w:rPr>
        <w:t>և</w:t>
      </w:r>
      <w:r w:rsidRPr="00834D52">
        <w:rPr>
          <w:rFonts w:ascii="Sylfaen" w:hAnsi="Sylfaen"/>
          <w:sz w:val="24"/>
          <w:szCs w:val="24"/>
        </w:rPr>
        <w:t xml:space="preserve"> դրա խցանափակման եղանակին վերաբերող ցանկացած էական տվյալով (եթե</w:t>
      </w:r>
      <w:r w:rsidR="009C2B4F" w:rsidRPr="009C2B4F">
        <w:rPr>
          <w:rFonts w:ascii="Sylfaen" w:hAnsi="Sylfaen"/>
          <w:sz w:val="24"/>
          <w:szCs w:val="24"/>
        </w:rPr>
        <w:t> </w:t>
      </w:r>
      <w:r w:rsidRPr="00834D52">
        <w:rPr>
          <w:rFonts w:ascii="Sylfaen" w:hAnsi="Sylfaen"/>
          <w:sz w:val="24"/>
          <w:szCs w:val="24"/>
        </w:rPr>
        <w:t xml:space="preserve">կիրառելի է) այն սարքերի մասին մանրամասն տեղեկատվությամբ, որոնց օգնությամբ կօգտագործվի կամ կներմուծվի դեղապատրաստուկը, </w:t>
      </w:r>
      <w:r w:rsidR="00C54D75">
        <w:rPr>
          <w:rFonts w:ascii="Sylfaen" w:hAnsi="Sylfaen"/>
          <w:sz w:val="24"/>
          <w:szCs w:val="24"/>
        </w:rPr>
        <w:t>և</w:t>
      </w:r>
      <w:r w:rsidRPr="00834D52">
        <w:rPr>
          <w:rFonts w:ascii="Sylfaen" w:hAnsi="Sylfaen"/>
          <w:sz w:val="24"/>
          <w:szCs w:val="24"/>
        </w:rPr>
        <w:t xml:space="preserve"> որոնք կմատակարարվեն դեղապատրաստուկի հետ:</w:t>
      </w:r>
    </w:p>
    <w:p w14:paraId="42EAF44C" w14:textId="77777777" w:rsidR="006F76EB" w:rsidRPr="00834D52" w:rsidRDefault="006F76EB" w:rsidP="008270E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«Ընդունված տերմինաբանություն» արտահայությունը, որը, անկախ այլ դրույթների կիրառությունից, օգտագործվում է դեղապատրաստուկների բաղադրամասերի նկարագրության ժամանակ, նշանակում է հետ</w:t>
      </w:r>
      <w:r w:rsidR="00C54D75">
        <w:rPr>
          <w:rFonts w:ascii="Sylfaen" w:hAnsi="Sylfaen"/>
          <w:sz w:val="24"/>
          <w:szCs w:val="24"/>
        </w:rPr>
        <w:t>և</w:t>
      </w:r>
      <w:r w:rsidRPr="00834D52">
        <w:rPr>
          <w:rFonts w:ascii="Sylfaen" w:hAnsi="Sylfaen"/>
          <w:sz w:val="24"/>
          <w:szCs w:val="24"/>
        </w:rPr>
        <w:t xml:space="preserve">յալը՝ </w:t>
      </w:r>
    </w:p>
    <w:p w14:paraId="4AAAE6D8"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Առողջապահության համաշխարհային կազմակերպության կողմից ներկայացված ՄՉԱ ունեցող նյութերի համար՝ ՄՉԱ-ն կամ եթե նյութը հանդիպում է աղային, եթերային, հիդրատային կամ այլ ձ</w:t>
      </w:r>
      <w:r w:rsidR="00C54D75">
        <w:rPr>
          <w:rFonts w:ascii="Sylfaen" w:hAnsi="Sylfaen"/>
          <w:sz w:val="24"/>
          <w:szCs w:val="24"/>
        </w:rPr>
        <w:t>և</w:t>
      </w:r>
      <w:r w:rsidRPr="00834D52">
        <w:rPr>
          <w:rFonts w:ascii="Sylfaen" w:hAnsi="Sylfaen"/>
          <w:sz w:val="24"/>
          <w:szCs w:val="24"/>
        </w:rPr>
        <w:t xml:space="preserve">ով՝ համապատասխան մոդիֆիկացված ՄՉԱ-ն, </w:t>
      </w:r>
    </w:p>
    <w:p w14:paraId="1966C124"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այլ նյութերի համար (ՄՉԱ-ի բացակայության դեպքում)՝ համընդհանուր (խմբի) անվանումը՝ հաշվի առնելով աղային, եթերային, հիդրատային </w:t>
      </w:r>
      <w:r w:rsidR="00C54D75">
        <w:rPr>
          <w:rFonts w:ascii="Sylfaen" w:hAnsi="Sylfaen"/>
          <w:sz w:val="24"/>
          <w:szCs w:val="24"/>
        </w:rPr>
        <w:t>և</w:t>
      </w:r>
      <w:r w:rsidRPr="00834D52">
        <w:rPr>
          <w:rFonts w:ascii="Sylfaen" w:hAnsi="Sylfaen"/>
          <w:sz w:val="24"/>
          <w:szCs w:val="24"/>
        </w:rPr>
        <w:t xml:space="preserve"> այլ ձ</w:t>
      </w:r>
      <w:r w:rsidR="00C54D75">
        <w:rPr>
          <w:rFonts w:ascii="Sylfaen" w:hAnsi="Sylfaen"/>
          <w:sz w:val="24"/>
          <w:szCs w:val="24"/>
        </w:rPr>
        <w:t>և</w:t>
      </w:r>
      <w:r w:rsidRPr="00834D52">
        <w:rPr>
          <w:rFonts w:ascii="Sylfaen" w:hAnsi="Sylfaen"/>
          <w:sz w:val="24"/>
          <w:szCs w:val="24"/>
        </w:rPr>
        <w:t xml:space="preserve">եր, համընդհանուր (խմբի) անվանման բացակայության դեպքում՝ քիմիական անվանումը՝ ըստ IUPAC-ի անվանացանկի, իսկ վերջինիս բացակայության դեպքում բերվում են տվյալներ՝ ներմուծված հավելումների </w:t>
      </w:r>
      <w:r w:rsidR="00C54D75">
        <w:rPr>
          <w:rFonts w:ascii="Sylfaen" w:hAnsi="Sylfaen"/>
          <w:sz w:val="24"/>
          <w:szCs w:val="24"/>
        </w:rPr>
        <w:t>և</w:t>
      </w:r>
      <w:r w:rsidRPr="00834D52">
        <w:rPr>
          <w:rFonts w:ascii="Sylfaen" w:hAnsi="Sylfaen"/>
          <w:sz w:val="24"/>
          <w:szCs w:val="24"/>
        </w:rPr>
        <w:t xml:space="preserve"> այլնի ստանցման աղբյուրների </w:t>
      </w:r>
      <w:r w:rsidR="00C54D75">
        <w:rPr>
          <w:rFonts w:ascii="Sylfaen" w:hAnsi="Sylfaen"/>
          <w:sz w:val="24"/>
          <w:szCs w:val="24"/>
        </w:rPr>
        <w:t>և</w:t>
      </w:r>
      <w:r w:rsidRPr="00834D52">
        <w:rPr>
          <w:rFonts w:ascii="Sylfaen" w:hAnsi="Sylfaen"/>
          <w:sz w:val="24"/>
          <w:szCs w:val="24"/>
        </w:rPr>
        <w:t xml:space="preserve"> եղանակների առկայության մասին (անհրաժեշտության դեպքում համապատասխան մանրամասներով),</w:t>
      </w:r>
    </w:p>
    <w:p w14:paraId="160C3F4C" w14:textId="77777777" w:rsidR="006F76EB" w:rsidRPr="00834D52" w:rsidRDefault="006F76EB" w:rsidP="008270E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ներկանյութերի համար անվանումից զատ բերվում է համապատասխան ծածկագիրը՝ համաձայն Կոդեքս Ալիմենտարիուսի Սննդային հավելումների համարակալման միջազգային համակարգի (Е-ծածկագրեր):</w:t>
      </w:r>
    </w:p>
    <w:p w14:paraId="6EE50971" w14:textId="77777777" w:rsidR="006F76EB" w:rsidRPr="00834D52" w:rsidRDefault="006F76EB" w:rsidP="009C2B4F">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Դեղապատրաստուկի «քանակական բաղադրություն» բաժնում ակտիվ դեղագործական բաղադրամասի համար, կախված դեղաձ</w:t>
      </w:r>
      <w:r w:rsidR="00C54D75">
        <w:rPr>
          <w:rFonts w:ascii="Sylfaen" w:hAnsi="Sylfaen"/>
          <w:sz w:val="24"/>
          <w:szCs w:val="24"/>
        </w:rPr>
        <w:t>և</w:t>
      </w:r>
      <w:r w:rsidRPr="00834D52">
        <w:rPr>
          <w:rFonts w:ascii="Sylfaen" w:hAnsi="Sylfaen"/>
          <w:sz w:val="24"/>
          <w:szCs w:val="24"/>
        </w:rPr>
        <w:t>ից, անհրաժեշտ է նշել կենսաբանական ակտիվության միավորների զանգվածը կամ քանակը՝ դեղաձ</w:t>
      </w:r>
      <w:r w:rsidR="00C54D75">
        <w:rPr>
          <w:rFonts w:ascii="Sylfaen" w:hAnsi="Sylfaen"/>
          <w:sz w:val="24"/>
          <w:szCs w:val="24"/>
        </w:rPr>
        <w:t>և</w:t>
      </w:r>
      <w:r w:rsidRPr="00834D52">
        <w:rPr>
          <w:rFonts w:ascii="Sylfaen" w:hAnsi="Sylfaen"/>
          <w:sz w:val="24"/>
          <w:szCs w:val="24"/>
        </w:rPr>
        <w:t>ի դոզավորման միավորի կամ զանգվածի միավորի կամ յուրաքանչյուր ակտիվ դեղագործական բաղադրամասի ծավալի միավորի հաշվարկով:</w:t>
      </w:r>
    </w:p>
    <w:p w14:paraId="63A83526" w14:textId="77777777" w:rsidR="006F76EB" w:rsidRPr="00834D52" w:rsidRDefault="006F76EB" w:rsidP="004176F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ակտիվ դեղագործական բաղադրամասերը ներկայացված են միացությունների կամ ածանցյալների տեսքով, ապա անհրաժեշտ է ներկայացնել դրանց քանակական արտահայտությունը՝ նշելով դրանց ընդհանուր զանգվածը </w:t>
      </w:r>
      <w:r w:rsidR="00C54D75">
        <w:rPr>
          <w:rFonts w:ascii="Sylfaen" w:hAnsi="Sylfaen"/>
          <w:sz w:val="24"/>
          <w:szCs w:val="24"/>
        </w:rPr>
        <w:t>և</w:t>
      </w:r>
      <w:r w:rsidRPr="00834D52">
        <w:rPr>
          <w:rFonts w:ascii="Sylfaen" w:hAnsi="Sylfaen"/>
          <w:sz w:val="24"/>
          <w:szCs w:val="24"/>
        </w:rPr>
        <w:t xml:space="preserve"> մոլեկուլի ակտիվ մասի զանգվածը (անհրաժեշտության դեպքում):</w:t>
      </w:r>
    </w:p>
    <w:p w14:paraId="470BF1CF" w14:textId="77777777" w:rsidR="006F76EB" w:rsidRPr="00834D52" w:rsidRDefault="006F76EB" w:rsidP="004176F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բաղադրության մեջ առաջին անգամ հայտագրված ակտիվ դեղագործական բաղադրամաս պարունակող դեղապատրաստուկների համար աղ կամ հիդրատ հանդիսացող ակտիվ դեղագործական բաղադրամասի քանակը անհրաժեշտ է միշտ նշել ակտիվ մասի մոլեկուլի զանգվածի հաշվարկով: </w:t>
      </w:r>
    </w:p>
    <w:p w14:paraId="30486778" w14:textId="77777777" w:rsidR="006F76EB" w:rsidRPr="00834D52" w:rsidRDefault="006F76EB" w:rsidP="004176F2">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Որ</w:t>
      </w:r>
      <w:r w:rsidR="00C54D75">
        <w:rPr>
          <w:rFonts w:ascii="Sylfaen" w:hAnsi="Sylfaen"/>
          <w:spacing w:val="-4"/>
          <w:sz w:val="24"/>
          <w:szCs w:val="24"/>
        </w:rPr>
        <w:t>և</w:t>
      </w:r>
      <w:r w:rsidRPr="00834D52">
        <w:rPr>
          <w:rFonts w:ascii="Sylfaen" w:hAnsi="Sylfaen"/>
          <w:spacing w:val="-4"/>
          <w:sz w:val="24"/>
          <w:szCs w:val="24"/>
        </w:rPr>
        <w:t xml:space="preserve">է անդամ պետությունում դեղապատրաստուկի բաղադրության մեջ առաջին անգամ գրանցվող ակտիվ դեղագործական բաղադրամաս պարունակող դեղապատրաստուկների առնչությամբ այդ ակտիվ դեղագործական բաղադրամասի քանակական պարունակությունը, եթե այն աղ է կամ հիդրատ, անհրաժեշտ է արտահայտել համաձայն համակարգային մոտեցման՝ ըստ մոլեկուլի ակտիվ մասի զանգվածի: Նույնպիսի ակտիվ դեղագործական բաղադրամասի քանակական պարունակությունն անդամ պետություններում գրանցվելիք հետագա բոլոր դեղապատրաստուկների մեջ անհրաժեշտ է նշել նույն կերպ: </w:t>
      </w:r>
    </w:p>
    <w:p w14:paraId="64B63531" w14:textId="77777777" w:rsidR="006F76EB" w:rsidRPr="00834D52" w:rsidRDefault="006F76EB" w:rsidP="004176F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սուբստանցիայի կամ ակտիվ նյութի համար, որը չի կարելի որոշել քիմիական եղանակով, նշվում են կենսաբանական ակտիվության միավորները կամ, առկայության դեպքում, Առողջապահության համաշխարհային կազմակերպության կողմից սահմանված կենսաբանական ակտիվության միջազգային միավորները: Եթե Առողջապահության համաշխարհային կազմակերպության միավորները սահմանված չեն, ապա կենսաբանական ակտիվության միավորները պետք է արտահայտել այնպես, որ ներկայացվի </w:t>
      </w:r>
      <w:r w:rsidRPr="00834D52">
        <w:rPr>
          <w:rFonts w:ascii="Sylfaen" w:hAnsi="Sylfaen"/>
          <w:sz w:val="24"/>
          <w:szCs w:val="24"/>
        </w:rPr>
        <w:lastRenderedPageBreak/>
        <w:t xml:space="preserve">ճշգրիտ տեղեկատվություն՝ սուբստանցիայի կամ ազդող նյութի ակտիվության մասին՝ օգտագործելով, որտեղ անհրաժեշտ է, Եվրասիական տնտեսական միության դեղագրքի միավորները: Հնարավորության դեպքում պետք է նշվի միավոր զանգվածի կենսաբանական ակտիվությունը: </w:t>
      </w:r>
    </w:p>
    <w:p w14:paraId="3D238765" w14:textId="77777777" w:rsidR="006F76EB" w:rsidRPr="00AC17B1" w:rsidRDefault="006F76EB" w:rsidP="00C02BB4">
      <w:pPr>
        <w:tabs>
          <w:tab w:val="left" w:pos="1701"/>
          <w:tab w:val="left" w:pos="6720"/>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3.2.P.2.</w:t>
      </w:r>
      <w:r w:rsidRPr="00834D52">
        <w:rPr>
          <w:rFonts w:ascii="Sylfaen" w:hAnsi="Sylfaen"/>
          <w:sz w:val="24"/>
          <w:szCs w:val="24"/>
        </w:rPr>
        <w:tab/>
        <w:t xml:space="preserve">Դեղագործական մշակում՝ </w:t>
      </w:r>
    </w:p>
    <w:p w14:paraId="170E0B6E" w14:textId="77777777" w:rsidR="006F76EB" w:rsidRPr="00834D52" w:rsidRDefault="006F76EB" w:rsidP="004176F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Տվյալ բաժնում պարունակվում է տեղեկատվություն՝ մշակման հետազոտությունների մասին, որոնք անցկացվել են՝ ապացուցելու այն, որ դեղաձ</w:t>
      </w:r>
      <w:r w:rsidR="00C54D75">
        <w:rPr>
          <w:rFonts w:ascii="Sylfaen" w:hAnsi="Sylfaen"/>
          <w:sz w:val="24"/>
          <w:szCs w:val="24"/>
        </w:rPr>
        <w:t>և</w:t>
      </w:r>
      <w:r w:rsidRPr="00834D52">
        <w:rPr>
          <w:rFonts w:ascii="Sylfaen" w:hAnsi="Sylfaen"/>
          <w:sz w:val="24"/>
          <w:szCs w:val="24"/>
        </w:rPr>
        <w:t>ը, բաղադրությունը, արտադրական գործընթացը, փաթեթավորման (խցանափակման) համակարգը, միկրոկենսբանական բնութագրերը, անմիջական օգտագործման համար պիտանի վերջնական դեղաձ</w:t>
      </w:r>
      <w:r w:rsidR="00C54D75">
        <w:rPr>
          <w:rFonts w:ascii="Sylfaen" w:hAnsi="Sylfaen"/>
          <w:sz w:val="24"/>
          <w:szCs w:val="24"/>
        </w:rPr>
        <w:t>և</w:t>
      </w:r>
      <w:r w:rsidRPr="00834D52">
        <w:rPr>
          <w:rFonts w:ascii="Sylfaen" w:hAnsi="Sylfaen"/>
          <w:sz w:val="24"/>
          <w:szCs w:val="24"/>
        </w:rPr>
        <w:t>ը պատրաստելու ցուցումները համապատասխանում են հայտատուի կողմից դեղապատրաստուկի գրանցման դոսյեում նշված պլանավորվող կիրառությանը:</w:t>
      </w:r>
    </w:p>
    <w:p w14:paraId="10D9375B" w14:textId="77777777" w:rsidR="006F76EB" w:rsidRPr="00834D52" w:rsidRDefault="006F76EB" w:rsidP="004176F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Տվյալ բաժնում նկարագրված հետազոտությունները տարբերվում են մասնագրերին համապատասխան անցկացվող ընդունված ստուգիչ փորձարկումներից: Անհրաժեշտ է սահմանել </w:t>
      </w:r>
      <w:r w:rsidR="00C54D75">
        <w:rPr>
          <w:rFonts w:ascii="Sylfaen" w:hAnsi="Sylfaen"/>
          <w:sz w:val="24"/>
          <w:szCs w:val="24"/>
        </w:rPr>
        <w:t>և</w:t>
      </w:r>
      <w:r w:rsidRPr="00834D52">
        <w:rPr>
          <w:rFonts w:ascii="Sylfaen" w:hAnsi="Sylfaen"/>
          <w:sz w:val="24"/>
          <w:szCs w:val="24"/>
        </w:rPr>
        <w:t xml:space="preserve"> նկարագրել բաղադրության կրիտիկական պարամետրերն ու գործընթացի բնութագրերը, որոնք կարող են ազդել դեղապատրաստուկի սերիաների վերարտադրելիության, ազդեցության </w:t>
      </w:r>
      <w:r w:rsidR="00C54D75">
        <w:rPr>
          <w:rFonts w:ascii="Sylfaen" w:hAnsi="Sylfaen"/>
          <w:sz w:val="24"/>
          <w:szCs w:val="24"/>
        </w:rPr>
        <w:t>և</w:t>
      </w:r>
      <w:r w:rsidRPr="00834D52">
        <w:rPr>
          <w:rFonts w:ascii="Sylfaen" w:hAnsi="Sylfaen"/>
          <w:sz w:val="24"/>
          <w:szCs w:val="24"/>
        </w:rPr>
        <w:t xml:space="preserve"> որակի վրա: Անհրաժեշտության դեպքում լրացուցիչ հավաստող տվյալներ ներկայացնելիս հարկ է հղում անել 4-րդ </w:t>
      </w:r>
      <w:r w:rsidR="00C54D75">
        <w:rPr>
          <w:rFonts w:ascii="Sylfaen" w:hAnsi="Sylfaen"/>
          <w:sz w:val="24"/>
          <w:szCs w:val="24"/>
        </w:rPr>
        <w:t>և</w:t>
      </w:r>
      <w:r w:rsidRPr="00834D52">
        <w:rPr>
          <w:rFonts w:ascii="Sylfaen" w:hAnsi="Sylfaen"/>
          <w:sz w:val="24"/>
          <w:szCs w:val="24"/>
        </w:rPr>
        <w:t xml:space="preserve"> 5-րդ մոդուլների համապատասխան կետերին՝</w:t>
      </w:r>
    </w:p>
    <w:p w14:paraId="782D60F7" w14:textId="77777777" w:rsidR="006F76EB" w:rsidRPr="00834D52" w:rsidRDefault="006F76EB" w:rsidP="004176F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հիմնավորել ակտիվ դեղագործական բաղադրամասի համատեղելիությունը օժանդակ նյութերի հետ, ինչպես նա</w:t>
      </w:r>
      <w:r w:rsidR="00C54D75">
        <w:rPr>
          <w:rFonts w:ascii="Sylfaen" w:hAnsi="Sylfaen"/>
          <w:sz w:val="24"/>
          <w:szCs w:val="24"/>
        </w:rPr>
        <w:t>և</w:t>
      </w:r>
      <w:r w:rsidRPr="00834D52">
        <w:rPr>
          <w:rFonts w:ascii="Sylfaen" w:hAnsi="Sylfaen"/>
          <w:sz w:val="24"/>
          <w:szCs w:val="24"/>
        </w:rPr>
        <w:t xml:space="preserve"> ակտիվ դեղագործական բաղադրամասի հիմնական ֆիզիկաքիմիական հատկությունները, որոնք կարող են ազդել դեղապատրաստուկի բնութագրերի կամ համակցված դեղապատրաստուկների դեպքում՝ միմյանց հետ տարբեր ակտիվ դեղագործական բաղադրամասերի համադրելիության վրա, </w:t>
      </w:r>
    </w:p>
    <w:p w14:paraId="7FEDEBCC" w14:textId="77777777" w:rsidR="006F76EB" w:rsidRPr="00C02BB4" w:rsidRDefault="006F76EB" w:rsidP="004176F2">
      <w:pPr>
        <w:spacing w:after="160" w:line="372" w:lineRule="auto"/>
        <w:ind w:right="-6" w:firstLine="567"/>
        <w:jc w:val="both"/>
        <w:rPr>
          <w:rFonts w:ascii="Sylfaen" w:eastAsia="Times New Roman" w:hAnsi="Sylfaen" w:cs="Times New Roman"/>
          <w:spacing w:val="-6"/>
          <w:sz w:val="24"/>
          <w:szCs w:val="24"/>
        </w:rPr>
      </w:pPr>
      <w:r w:rsidRPr="00C02BB4">
        <w:rPr>
          <w:rFonts w:ascii="Sylfaen" w:hAnsi="Sylfaen"/>
          <w:spacing w:val="-6"/>
          <w:sz w:val="24"/>
          <w:szCs w:val="24"/>
        </w:rPr>
        <w:t xml:space="preserve">անհրաժեշտ է հիմնավորել օժանդակ նյութերի ընտրությունը, հատկապես դրանց համապատասխան գործառական բնութագրերի </w:t>
      </w:r>
      <w:r w:rsidR="00C54D75">
        <w:rPr>
          <w:rFonts w:ascii="Sylfaen" w:hAnsi="Sylfaen"/>
          <w:spacing w:val="-6"/>
          <w:sz w:val="24"/>
          <w:szCs w:val="24"/>
        </w:rPr>
        <w:t>և</w:t>
      </w:r>
      <w:r w:rsidRPr="00C02BB4">
        <w:rPr>
          <w:rFonts w:ascii="Sylfaen" w:hAnsi="Sylfaen"/>
          <w:spacing w:val="-6"/>
          <w:sz w:val="24"/>
          <w:szCs w:val="24"/>
        </w:rPr>
        <w:t xml:space="preserve"> բովանդակության առումով, </w:t>
      </w:r>
    </w:p>
    <w:p w14:paraId="657BEBEA" w14:textId="77777777" w:rsidR="006F76EB" w:rsidRPr="00834D52" w:rsidRDefault="006F76EB" w:rsidP="004176F2">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անհրաժեշտ է ներկայացնել դեղապատրաստուկի մշակման նկարագրությունը՝ հաշվի առնելով ներմուծման առաջարկվող ուղին </w:t>
      </w:r>
      <w:r w:rsidR="00C54D75">
        <w:rPr>
          <w:rFonts w:ascii="Sylfaen" w:hAnsi="Sylfaen"/>
          <w:sz w:val="24"/>
          <w:szCs w:val="24"/>
        </w:rPr>
        <w:t>և</w:t>
      </w:r>
      <w:r w:rsidRPr="00834D52">
        <w:rPr>
          <w:rFonts w:ascii="Sylfaen" w:hAnsi="Sylfaen"/>
          <w:sz w:val="24"/>
          <w:szCs w:val="24"/>
        </w:rPr>
        <w:t xml:space="preserve"> կիրառության եղանակը, </w:t>
      </w:r>
    </w:p>
    <w:p w14:paraId="5E16651F" w14:textId="77777777" w:rsidR="006F76EB" w:rsidRPr="00834D52" w:rsidRDefault="006F76EB" w:rsidP="004176F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բաղադրության մեջ ցանկացած ավելցուկի առկայություն պետք է հիմնավորված լինի, </w:t>
      </w:r>
    </w:p>
    <w:p w14:paraId="1C322C6F" w14:textId="77777777" w:rsidR="006F76EB" w:rsidRPr="00834D52" w:rsidRDefault="006F76EB" w:rsidP="004176F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նշել </w:t>
      </w:r>
      <w:r w:rsidR="00C54D75">
        <w:rPr>
          <w:rFonts w:ascii="Sylfaen" w:hAnsi="Sylfaen"/>
          <w:sz w:val="24"/>
          <w:szCs w:val="24"/>
        </w:rPr>
        <w:t>և</w:t>
      </w:r>
      <w:r w:rsidRPr="00834D52">
        <w:rPr>
          <w:rFonts w:ascii="Sylfaen" w:hAnsi="Sylfaen"/>
          <w:sz w:val="24"/>
          <w:szCs w:val="24"/>
        </w:rPr>
        <w:t xml:space="preserve"> հիմնավորել ցանկացած ֆիզիկաքիմիական </w:t>
      </w:r>
      <w:r w:rsidR="00C54D75">
        <w:rPr>
          <w:rFonts w:ascii="Sylfaen" w:hAnsi="Sylfaen"/>
          <w:sz w:val="24"/>
          <w:szCs w:val="24"/>
        </w:rPr>
        <w:t>և</w:t>
      </w:r>
      <w:r w:rsidRPr="00834D52">
        <w:rPr>
          <w:rFonts w:ascii="Sylfaen" w:hAnsi="Sylfaen"/>
          <w:sz w:val="24"/>
          <w:szCs w:val="24"/>
        </w:rPr>
        <w:t xml:space="preserve"> կենսաբանական հատկություն </w:t>
      </w:r>
      <w:r w:rsidR="00C54D75">
        <w:rPr>
          <w:rFonts w:ascii="Sylfaen" w:hAnsi="Sylfaen"/>
          <w:sz w:val="24"/>
          <w:szCs w:val="24"/>
        </w:rPr>
        <w:t>և</w:t>
      </w:r>
      <w:r w:rsidRPr="00834D52">
        <w:rPr>
          <w:rFonts w:ascii="Sylfaen" w:hAnsi="Sylfaen"/>
          <w:sz w:val="24"/>
          <w:szCs w:val="24"/>
        </w:rPr>
        <w:t xml:space="preserve"> դեղապատրաստուկի բնութագրերի վրա ազդող ցանկացած պարամետր, </w:t>
      </w:r>
    </w:p>
    <w:p w14:paraId="4BDF4D74" w14:textId="77777777" w:rsidR="006F76EB" w:rsidRPr="00834D52" w:rsidRDefault="006F76EB" w:rsidP="004176F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տեղեկատվություն՝ արտադրական գործընթացի ընտրության </w:t>
      </w:r>
      <w:r w:rsidR="00C54D75">
        <w:rPr>
          <w:rFonts w:ascii="Sylfaen" w:hAnsi="Sylfaen"/>
          <w:sz w:val="24"/>
          <w:szCs w:val="24"/>
        </w:rPr>
        <w:t>և</w:t>
      </w:r>
      <w:r w:rsidRPr="00834D52">
        <w:rPr>
          <w:rFonts w:ascii="Sylfaen" w:hAnsi="Sylfaen"/>
          <w:sz w:val="24"/>
          <w:szCs w:val="24"/>
        </w:rPr>
        <w:t xml:space="preserve"> օպտիմալացման, ինչպես նա</w:t>
      </w:r>
      <w:r w:rsidR="00C54D75">
        <w:rPr>
          <w:rFonts w:ascii="Sylfaen" w:hAnsi="Sylfaen"/>
          <w:sz w:val="24"/>
          <w:szCs w:val="24"/>
        </w:rPr>
        <w:t>և</w:t>
      </w:r>
      <w:r w:rsidRPr="00834D52">
        <w:rPr>
          <w:rFonts w:ascii="Sylfaen" w:hAnsi="Sylfaen"/>
          <w:sz w:val="24"/>
          <w:szCs w:val="24"/>
        </w:rPr>
        <w:t xml:space="preserve"> կլինիկական փորձարկումների փուլերում ներգրավված սերիաների պատրաստման ժամանակ օգտագործված արտադրական գործընթացի </w:t>
      </w:r>
      <w:r w:rsidR="00C54D75">
        <w:rPr>
          <w:rFonts w:ascii="Sylfaen" w:hAnsi="Sylfaen"/>
          <w:sz w:val="24"/>
          <w:szCs w:val="24"/>
        </w:rPr>
        <w:t>և</w:t>
      </w:r>
      <w:r w:rsidRPr="00834D52">
        <w:rPr>
          <w:rFonts w:ascii="Sylfaen" w:hAnsi="Sylfaen"/>
          <w:sz w:val="24"/>
          <w:szCs w:val="24"/>
        </w:rPr>
        <w:t xml:space="preserve"> պատրաստի դեղապատրաստուկի արտադրության պլանավորվող արդյունաբերական գործընթացի միջ</w:t>
      </w:r>
      <w:r w:rsidR="00C54D75">
        <w:rPr>
          <w:rFonts w:ascii="Sylfaen" w:hAnsi="Sylfaen"/>
          <w:sz w:val="24"/>
          <w:szCs w:val="24"/>
        </w:rPr>
        <w:t>և</w:t>
      </w:r>
      <w:r w:rsidRPr="00834D52">
        <w:rPr>
          <w:rFonts w:ascii="Sylfaen" w:hAnsi="Sylfaen"/>
          <w:sz w:val="24"/>
          <w:szCs w:val="24"/>
        </w:rPr>
        <w:t xml:space="preserve"> տարբերությունների (անհամապատասխանությունների) մասին, </w:t>
      </w:r>
    </w:p>
    <w:p w14:paraId="50AB3EA5" w14:textId="77777777" w:rsidR="006F76EB" w:rsidRPr="00834D52" w:rsidRDefault="006F76EB" w:rsidP="004176F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հիմնավորել առաջնային փաթեթվածքի </w:t>
      </w:r>
      <w:r w:rsidR="00C54D75">
        <w:rPr>
          <w:rFonts w:ascii="Sylfaen" w:hAnsi="Sylfaen"/>
          <w:sz w:val="24"/>
          <w:szCs w:val="24"/>
        </w:rPr>
        <w:t>և</w:t>
      </w:r>
      <w:r w:rsidRPr="00834D52">
        <w:rPr>
          <w:rFonts w:ascii="Sylfaen" w:hAnsi="Sylfaen"/>
          <w:sz w:val="24"/>
          <w:szCs w:val="24"/>
        </w:rPr>
        <w:t xml:space="preserve"> խցանափակման այն համակարգի պիտանիությունը, որն օգտագործվում է դեղապատրաստուկի պահպանման, տրանսպորտային փոխադրման </w:t>
      </w:r>
      <w:r w:rsidR="00C54D75">
        <w:rPr>
          <w:rFonts w:ascii="Sylfaen" w:hAnsi="Sylfaen"/>
          <w:sz w:val="24"/>
          <w:szCs w:val="24"/>
        </w:rPr>
        <w:t>և</w:t>
      </w:r>
      <w:r w:rsidRPr="00834D52">
        <w:rPr>
          <w:rFonts w:ascii="Sylfaen" w:hAnsi="Sylfaen"/>
          <w:sz w:val="24"/>
          <w:szCs w:val="24"/>
        </w:rPr>
        <w:t xml:space="preserve"> կիրառության համար: Ընդ</w:t>
      </w:r>
      <w:r w:rsidR="00833B50" w:rsidRPr="00833B50">
        <w:rPr>
          <w:rFonts w:ascii="Sylfaen" w:hAnsi="Sylfaen"/>
          <w:sz w:val="24"/>
          <w:szCs w:val="24"/>
        </w:rPr>
        <w:t> </w:t>
      </w:r>
      <w:r w:rsidRPr="00834D52">
        <w:rPr>
          <w:rFonts w:ascii="Sylfaen" w:hAnsi="Sylfaen"/>
          <w:sz w:val="24"/>
          <w:szCs w:val="24"/>
        </w:rPr>
        <w:t xml:space="preserve">որում, կարող է պահանջվել դեղապատրաստուկի </w:t>
      </w:r>
      <w:r w:rsidR="00C54D75">
        <w:rPr>
          <w:rFonts w:ascii="Sylfaen" w:hAnsi="Sylfaen"/>
          <w:sz w:val="24"/>
          <w:szCs w:val="24"/>
        </w:rPr>
        <w:t>և</w:t>
      </w:r>
      <w:r w:rsidRPr="00834D52">
        <w:rPr>
          <w:rFonts w:ascii="Sylfaen" w:hAnsi="Sylfaen"/>
          <w:sz w:val="24"/>
          <w:szCs w:val="24"/>
        </w:rPr>
        <w:t xml:space="preserve"> առաջնային փաթեթվածքի նյութի միջ</w:t>
      </w:r>
      <w:r w:rsidR="00C54D75">
        <w:rPr>
          <w:rFonts w:ascii="Sylfaen" w:hAnsi="Sylfaen"/>
          <w:sz w:val="24"/>
          <w:szCs w:val="24"/>
        </w:rPr>
        <w:t>և</w:t>
      </w:r>
      <w:r w:rsidRPr="00834D52">
        <w:rPr>
          <w:rFonts w:ascii="Sylfaen" w:hAnsi="Sylfaen"/>
          <w:sz w:val="24"/>
          <w:szCs w:val="24"/>
        </w:rPr>
        <w:t xml:space="preserve"> հնարավոր փոխազդեցության նկարագրություն, </w:t>
      </w:r>
    </w:p>
    <w:p w14:paraId="548F222C" w14:textId="77777777" w:rsidR="006F76EB" w:rsidRPr="00834D52" w:rsidRDefault="006F76EB" w:rsidP="004176F2">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ինչպես ոչ մանրէազերծ, այնպես էլ մանրէազերծ դեղապատրաստուկների համար անհրաժեշտ է ներկայացնել դեղաձ</w:t>
      </w:r>
      <w:r w:rsidR="00C54D75">
        <w:rPr>
          <w:rFonts w:ascii="Sylfaen" w:hAnsi="Sylfaen"/>
          <w:sz w:val="24"/>
          <w:szCs w:val="24"/>
        </w:rPr>
        <w:t>և</w:t>
      </w:r>
      <w:r w:rsidRPr="00834D52">
        <w:rPr>
          <w:rFonts w:ascii="Sylfaen" w:hAnsi="Sylfaen"/>
          <w:sz w:val="24"/>
          <w:szCs w:val="24"/>
        </w:rPr>
        <w:t xml:space="preserve">ի միկրոկենսաբանական բնութագրերը՝ Եվրասիական տնտեսական միության դեղագրքի պահանջներին համապատասխան, </w:t>
      </w:r>
    </w:p>
    <w:p w14:paraId="121ED0D9" w14:textId="77777777" w:rsidR="006F76EB" w:rsidRPr="00C02BB4" w:rsidRDefault="006F76EB" w:rsidP="004176F2">
      <w:pPr>
        <w:spacing w:after="160" w:line="384" w:lineRule="auto"/>
        <w:ind w:right="-6" w:firstLine="567"/>
        <w:jc w:val="both"/>
        <w:rPr>
          <w:rFonts w:ascii="Sylfaen" w:eastAsia="Times New Roman" w:hAnsi="Sylfaen" w:cs="Times New Roman"/>
          <w:spacing w:val="-6"/>
          <w:sz w:val="24"/>
          <w:szCs w:val="24"/>
        </w:rPr>
      </w:pPr>
      <w:r w:rsidRPr="00C02BB4">
        <w:rPr>
          <w:rFonts w:ascii="Sylfaen" w:hAnsi="Sylfaen"/>
          <w:spacing w:val="-6"/>
          <w:sz w:val="24"/>
          <w:szCs w:val="24"/>
        </w:rPr>
        <w:t>լուծիչների կամ դոզատորի (դոզավորող սարքի) կիրառության վերաբերյալ համապատասխան լրացուցիչ տեղեկություններ ներկայացնելու համար անհրաժեշտ է հիմնավորել դեղապատրաստուկի համատեղելիությունը կիրառությունից առաջ նոսրացման համար նախատեսված լուծիչների կամ դոզատորի հետ:</w:t>
      </w:r>
    </w:p>
    <w:p w14:paraId="433EC6A9" w14:textId="77777777" w:rsidR="006F76EB" w:rsidRPr="00834D52" w:rsidRDefault="006F76EB" w:rsidP="004E7237">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3.2.P.3.</w:t>
      </w:r>
      <w:r w:rsidRPr="00834D52">
        <w:rPr>
          <w:rFonts w:ascii="Sylfaen" w:hAnsi="Sylfaen"/>
          <w:sz w:val="24"/>
          <w:szCs w:val="24"/>
        </w:rPr>
        <w:tab/>
        <w:t xml:space="preserve">Դեղապատրաստուկի արտադրության գործընթացը՝ </w:t>
      </w:r>
    </w:p>
    <w:p w14:paraId="5A581337" w14:textId="77777777" w:rsidR="006F76EB" w:rsidRPr="00834D52" w:rsidRDefault="006F76EB" w:rsidP="004E7237">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դեղապատրաստուկի գրանցման հայտի մեջ նշված արտադրության եղանակի նկարագրությունը շարադրվում է այնպես, որ ներկայացնի կատարվող գործառնությունների բնույթի պատշաճ համառոտ ռեզյումե:</w:t>
      </w:r>
    </w:p>
    <w:p w14:paraId="7FE60C4E" w14:textId="77777777" w:rsidR="006F76EB" w:rsidRPr="00834D52" w:rsidRDefault="006F76EB" w:rsidP="004E7237">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Այս նպատակով արտադրության եղանակի նկարագրությունը պետք է ներառի առնվազն՝ </w:t>
      </w:r>
    </w:p>
    <w:p w14:paraId="3772F8AF" w14:textId="77777777" w:rsidR="006F76EB" w:rsidRPr="00834D52" w:rsidRDefault="006F76EB" w:rsidP="004E7237">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արտադրության տարբեր փուլերի նկարագրություն, ներառյալ՝ հսկողությունը արտադրության գործընթացում </w:t>
      </w:r>
      <w:r w:rsidR="00C54D75">
        <w:rPr>
          <w:rFonts w:ascii="Sylfaen" w:hAnsi="Sylfaen"/>
          <w:sz w:val="24"/>
          <w:szCs w:val="24"/>
        </w:rPr>
        <w:t>և</w:t>
      </w:r>
      <w:r w:rsidRPr="00834D52">
        <w:rPr>
          <w:rFonts w:ascii="Sylfaen" w:hAnsi="Sylfaen"/>
          <w:sz w:val="24"/>
          <w:szCs w:val="24"/>
        </w:rPr>
        <w:t xml:space="preserve"> կիրառելիության համատապատասխան չափանիշները՝ գնահատելու այն, թե արդյոք արտադրության ժամանակ օգտագործվող գործընթացները կարող են հանգեցնել դեղաձ</w:t>
      </w:r>
      <w:r w:rsidR="00C54D75">
        <w:rPr>
          <w:rFonts w:ascii="Sylfaen" w:hAnsi="Sylfaen"/>
          <w:sz w:val="24"/>
          <w:szCs w:val="24"/>
        </w:rPr>
        <w:t>և</w:t>
      </w:r>
      <w:r w:rsidRPr="00834D52">
        <w:rPr>
          <w:rFonts w:ascii="Sylfaen" w:hAnsi="Sylfaen"/>
          <w:sz w:val="24"/>
          <w:szCs w:val="24"/>
        </w:rPr>
        <w:t xml:space="preserve">ի բաղադրիչների ցանկացած անցանկալի փոփոխության, </w:t>
      </w:r>
    </w:p>
    <w:p w14:paraId="50BB1E3A" w14:textId="77777777" w:rsidR="006F76EB" w:rsidRPr="00834D52" w:rsidRDefault="006F76EB" w:rsidP="004E7237">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համասեռությունն ապահովելու համար անհրաժեշտ ցանկացած միջոցի նկարագրություն (շարունակական արտադրական գործընթացի դեպքում), </w:t>
      </w:r>
    </w:p>
    <w:p w14:paraId="358369F1" w14:textId="77777777" w:rsidR="006F76EB" w:rsidRPr="00834D52" w:rsidRDefault="006F76EB" w:rsidP="004E723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արտադրական գործընթացի վալիդացման փորձարարական հետազոտությունների արդյունքներն արտադրության ոչ ստանդարտ մեթոդների օգտագործման ժամանակ, կամ եթե այն կրիտիկական է դեղապատրաստուկի համար, </w:t>
      </w:r>
    </w:p>
    <w:p w14:paraId="0D841859" w14:textId="77777777" w:rsidR="006F76EB" w:rsidRPr="00834D52" w:rsidRDefault="006F76EB" w:rsidP="005856E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մանրէազերծման առկա գործընթացների </w:t>
      </w:r>
      <w:r w:rsidR="00C54D75">
        <w:rPr>
          <w:rFonts w:ascii="Sylfaen" w:hAnsi="Sylfaen"/>
          <w:sz w:val="24"/>
          <w:szCs w:val="24"/>
        </w:rPr>
        <w:t>և</w:t>
      </w:r>
      <w:r w:rsidRPr="00834D52">
        <w:rPr>
          <w:rFonts w:ascii="Sylfaen" w:hAnsi="Sylfaen"/>
          <w:sz w:val="24"/>
          <w:szCs w:val="24"/>
        </w:rPr>
        <w:t xml:space="preserve"> (կամ) ասեպտիկ պայմաններ ապահովելու գործընթացների նկարագրություն (մանրէազերծ դեղապատրաստուկների համար), </w:t>
      </w:r>
    </w:p>
    <w:p w14:paraId="1FA6C0FC" w14:textId="77777777" w:rsidR="006F76EB" w:rsidRPr="00834D52" w:rsidRDefault="006F76EB" w:rsidP="005856E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մանրամասն արտադրական դեղագրությունը (սերիայի բաղադրությունը):</w:t>
      </w:r>
    </w:p>
    <w:p w14:paraId="5B46554B" w14:textId="77777777" w:rsidR="006F76EB" w:rsidRPr="00834D52" w:rsidRDefault="006F76EB" w:rsidP="005856E7">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արտադրական հարթակների անվանումն ու գտնվելու վայրը </w:t>
      </w:r>
      <w:r w:rsidR="00C54D75">
        <w:rPr>
          <w:rFonts w:ascii="Sylfaen" w:hAnsi="Sylfaen"/>
          <w:sz w:val="24"/>
          <w:szCs w:val="24"/>
        </w:rPr>
        <w:t>և</w:t>
      </w:r>
      <w:r w:rsidRPr="00834D52">
        <w:rPr>
          <w:rFonts w:ascii="Sylfaen" w:hAnsi="Sylfaen"/>
          <w:sz w:val="24"/>
          <w:szCs w:val="24"/>
        </w:rPr>
        <w:t xml:space="preserve"> նշել յուրաքանչյուր արտադրողի պարտականությունները՝ ներառյալ պայմանագրային արտադրությունները, ինչպես նա</w:t>
      </w:r>
      <w:r w:rsidR="00C54D75">
        <w:rPr>
          <w:rFonts w:ascii="Sylfaen" w:hAnsi="Sylfaen"/>
          <w:sz w:val="24"/>
          <w:szCs w:val="24"/>
        </w:rPr>
        <w:t>և</w:t>
      </w:r>
      <w:r w:rsidRPr="00834D52">
        <w:rPr>
          <w:rFonts w:ascii="Sylfaen" w:hAnsi="Sylfaen"/>
          <w:sz w:val="24"/>
          <w:szCs w:val="24"/>
        </w:rPr>
        <w:t xml:space="preserve"> տեղեկատվություն՝ օգտագործվող յուրաքանչյուր արտադրական տեղամասի կամ փորձարկման լաբորատորիայի մասին,</w:t>
      </w:r>
    </w:p>
    <w:p w14:paraId="3442FE9B" w14:textId="77777777" w:rsidR="006F76EB" w:rsidRPr="00834D52" w:rsidRDefault="006F76EB" w:rsidP="00E06CAB">
      <w:pPr>
        <w:tabs>
          <w:tab w:val="left" w:pos="1134"/>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բ)</w:t>
      </w:r>
      <w:r w:rsidRPr="00834D52">
        <w:rPr>
          <w:rFonts w:ascii="Sylfaen" w:hAnsi="Sylfaen"/>
          <w:sz w:val="24"/>
          <w:szCs w:val="24"/>
        </w:rPr>
        <w:tab/>
        <w:t>դեղապատրաստուկի որակի հսկողության համար անհրաժեշտ է բերել այն վերլուծական մեթոդիկաների նկարագրությունը, որոնք կարող են կիրառվել տեխնոլոգիական գործընթացի միջանկյալ փուլերում՝ արտադրական գործընթացի համասեռությունը ապահովելու նպատակով:</w:t>
      </w:r>
    </w:p>
    <w:p w14:paraId="092E4A6B" w14:textId="77777777" w:rsidR="006F76EB" w:rsidRPr="00834D52" w:rsidRDefault="006F76EB" w:rsidP="0097392D">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Այս մեթոդիկաները կար</w:t>
      </w:r>
      <w:r w:rsidR="00C54D75">
        <w:rPr>
          <w:rFonts w:ascii="Sylfaen" w:hAnsi="Sylfaen"/>
          <w:sz w:val="24"/>
          <w:szCs w:val="24"/>
        </w:rPr>
        <w:t>և</w:t>
      </w:r>
      <w:r w:rsidRPr="00834D52">
        <w:rPr>
          <w:rFonts w:ascii="Sylfaen" w:hAnsi="Sylfaen"/>
          <w:sz w:val="24"/>
          <w:szCs w:val="24"/>
        </w:rPr>
        <w:t xml:space="preserve">որ են դեղապատրաստուկի՝ արտադրական դեղագրությանը համապատասխանելու տեսակետից հատկապես այն դեպքերում, երբ հայտատուն առաջարկում է դեղապատրաստուկի հսկողության վերլուծական մեթոդիկա, որը չի ներառում բոլոր ակտիվ դեղագործական բաղադրամասերի (կամ բոլոր այն օժանդակ նյութերի, որոնք պետք է համապատասխանեն ակտիվ դեղագործական բաղադրամասերին ներկայացվող պահանջներին) քանակական որոշում: </w:t>
      </w:r>
    </w:p>
    <w:p w14:paraId="4FE990A2" w14:textId="77777777" w:rsidR="006F76EB" w:rsidRPr="00834D52" w:rsidRDefault="006F76EB" w:rsidP="0097392D">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Սա վերաբերում է նա</w:t>
      </w:r>
      <w:r w:rsidR="00C54D75">
        <w:rPr>
          <w:rFonts w:ascii="Sylfaen" w:hAnsi="Sylfaen"/>
          <w:sz w:val="24"/>
          <w:szCs w:val="24"/>
        </w:rPr>
        <w:t>և</w:t>
      </w:r>
      <w:r w:rsidRPr="00834D52">
        <w:rPr>
          <w:rFonts w:ascii="Sylfaen" w:hAnsi="Sylfaen"/>
          <w:sz w:val="24"/>
          <w:szCs w:val="24"/>
        </w:rPr>
        <w:t xml:space="preserve"> այն դեպքերին, երբ դեղապատրաստուկի որակի հսկողությունը կախված է ներարտադրական փորձարկումներից հատկապես այն դեպքերում, երբ դեղապատրաստուկի արտադրության եղանակը էապես ազդում է նրա որակի վրա, </w:t>
      </w:r>
    </w:p>
    <w:p w14:paraId="4E5E85AC" w14:textId="77777777" w:rsidR="006F76EB" w:rsidRPr="00834D52" w:rsidRDefault="006F76EB" w:rsidP="00E06CA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արտադրության կրիտիկական կետերի կամ արտադրական գործընթացում օգտագործվող քանակական որոշման մեթոդների համար անհրաժեշտ է ներկայացնել վալիդացման հետազոտությունների նկարագրությունը, փաստաթղթերը </w:t>
      </w:r>
      <w:r w:rsidR="00C54D75">
        <w:rPr>
          <w:rFonts w:ascii="Sylfaen" w:hAnsi="Sylfaen"/>
          <w:sz w:val="24"/>
          <w:szCs w:val="24"/>
        </w:rPr>
        <w:t>և</w:t>
      </w:r>
      <w:r w:rsidRPr="00834D52">
        <w:rPr>
          <w:rFonts w:ascii="Sylfaen" w:hAnsi="Sylfaen"/>
          <w:sz w:val="24"/>
          <w:szCs w:val="24"/>
        </w:rPr>
        <w:t xml:space="preserve"> արդյունքները:</w:t>
      </w:r>
    </w:p>
    <w:p w14:paraId="1B3AE3C4" w14:textId="77777777" w:rsidR="006F76EB" w:rsidRPr="00834D52" w:rsidRDefault="006F76EB" w:rsidP="00E06CAB">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3.2.P.4.</w:t>
      </w:r>
      <w:r w:rsidRPr="00834D52">
        <w:rPr>
          <w:rFonts w:ascii="Sylfaen" w:hAnsi="Sylfaen"/>
          <w:sz w:val="24"/>
          <w:szCs w:val="24"/>
        </w:rPr>
        <w:tab/>
        <w:t>Օժանդակ նյութերի որակի հսկողություն՝</w:t>
      </w:r>
    </w:p>
    <w:p w14:paraId="3D40863C" w14:textId="77777777" w:rsidR="006F76EB" w:rsidRPr="00834D52" w:rsidRDefault="006F76EB" w:rsidP="00E06CAB">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հարկ է ներկայացնել օժանդակ նյութերի արտադրության համար օգտագործվող բոլոր ելանյութերի ցանկը՝ նշելով, թե գործընթացի որ փուլում է կիրառվում դրանցից յուրաքանչյուրը: Պետք է ներկայացվի տեղեկատվություն այդ ելանյութերի որակի </w:t>
      </w:r>
      <w:r w:rsidR="00C54D75">
        <w:rPr>
          <w:rFonts w:ascii="Sylfaen" w:hAnsi="Sylfaen"/>
          <w:sz w:val="24"/>
          <w:szCs w:val="24"/>
        </w:rPr>
        <w:t>և</w:t>
      </w:r>
      <w:r w:rsidRPr="00834D52">
        <w:rPr>
          <w:rFonts w:ascii="Sylfaen" w:hAnsi="Sylfaen"/>
          <w:sz w:val="24"/>
          <w:szCs w:val="24"/>
        </w:rPr>
        <w:t xml:space="preserve"> որակի հսկողության մասին, ինչպես նա</w:t>
      </w:r>
      <w:r w:rsidR="00C54D75">
        <w:rPr>
          <w:rFonts w:ascii="Sylfaen" w:hAnsi="Sylfaen"/>
          <w:sz w:val="24"/>
          <w:szCs w:val="24"/>
        </w:rPr>
        <w:t>և</w:t>
      </w:r>
      <w:r w:rsidRPr="00834D52">
        <w:rPr>
          <w:rFonts w:ascii="Sylfaen" w:hAnsi="Sylfaen"/>
          <w:sz w:val="24"/>
          <w:szCs w:val="24"/>
        </w:rPr>
        <w:t xml:space="preserve"> տեղեկատվություն, որը վկայում է, որ իրենց ենթադրվող կիրառության տեսակետից նյութերը համապատասխանում են ստանդարտներին:</w:t>
      </w:r>
    </w:p>
    <w:p w14:paraId="6F6A6FD4" w14:textId="77777777" w:rsidR="006F76EB" w:rsidRPr="00834D52" w:rsidRDefault="006F76EB" w:rsidP="0097392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Բոլոր դեպքերում ներկանյութերը պետք է բավարարեն Եվրասիական տնտեսական միության դեղագրքի համապատասխան հոդվածի (մենագրության) պահանջներին </w:t>
      </w:r>
      <w:r w:rsidR="00C54D75">
        <w:rPr>
          <w:rFonts w:ascii="Sylfaen" w:hAnsi="Sylfaen"/>
          <w:sz w:val="24"/>
          <w:szCs w:val="24"/>
        </w:rPr>
        <w:t>և</w:t>
      </w:r>
      <w:r w:rsidRPr="00834D52">
        <w:rPr>
          <w:rFonts w:ascii="Sylfaen" w:hAnsi="Sylfaen"/>
          <w:sz w:val="24"/>
          <w:szCs w:val="24"/>
        </w:rPr>
        <w:t xml:space="preserve"> Հանձնաժողովի խորհրդի 2012 թվականի հուլիսի 20-ի </w:t>
      </w:r>
      <w:r w:rsidR="00833B50" w:rsidRPr="00F06D43">
        <w:rPr>
          <w:rFonts w:ascii="Sylfaen" w:hAnsi="Sylfaen"/>
          <w:sz w:val="24"/>
          <w:szCs w:val="24"/>
        </w:rPr>
        <w:br/>
      </w:r>
      <w:r w:rsidRPr="00834D52">
        <w:rPr>
          <w:rFonts w:ascii="Sylfaen" w:hAnsi="Sylfaen"/>
          <w:sz w:val="24"/>
          <w:szCs w:val="24"/>
        </w:rPr>
        <w:t xml:space="preserve">թիվ 58 որոշմամբ ընդունված «Սննդային հավելումների, բուրավետիչների </w:t>
      </w:r>
      <w:r w:rsidR="00C54D75">
        <w:rPr>
          <w:rFonts w:ascii="Sylfaen" w:hAnsi="Sylfaen"/>
          <w:sz w:val="24"/>
          <w:szCs w:val="24"/>
        </w:rPr>
        <w:t>և</w:t>
      </w:r>
      <w:r w:rsidRPr="00834D52">
        <w:rPr>
          <w:rFonts w:ascii="Sylfaen" w:hAnsi="Sylfaen"/>
          <w:sz w:val="24"/>
          <w:szCs w:val="24"/>
        </w:rPr>
        <w:t xml:space="preserve"> տեխնոլոգիական օժանդակ միջոցների անվտանգությանը ներկայացվող պահանջներ» (ՄՄ ՏԿ 029/2012) Մաքսային միության տեխնիկական կանոնակարգի պահանջներին, բացի այդ, ներկանյութերը պետք է համապատասխանեն Միության իրավունքի մաս կազմող ակտերի պահանջներով սահմանված մաքրության չափանիշներին, </w:t>
      </w:r>
    </w:p>
    <w:p w14:paraId="61511585" w14:textId="77777777" w:rsidR="006F76EB" w:rsidRPr="00834D52" w:rsidRDefault="006F76EB" w:rsidP="00E06CA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յուրաքանչյուր օժանդակ նյութի համար պետք է ներկայացվեն մասնագրեր </w:t>
      </w:r>
      <w:r w:rsidR="00C54D75">
        <w:rPr>
          <w:rFonts w:ascii="Sylfaen" w:hAnsi="Sylfaen"/>
          <w:sz w:val="24"/>
          <w:szCs w:val="24"/>
        </w:rPr>
        <w:t>և</w:t>
      </w:r>
      <w:r w:rsidRPr="00834D52">
        <w:rPr>
          <w:rFonts w:ascii="Sylfaen" w:hAnsi="Sylfaen"/>
          <w:sz w:val="24"/>
          <w:szCs w:val="24"/>
        </w:rPr>
        <w:t xml:space="preserve"> դրանց հիմնավորումները: Անհրաժեշտ է նկարագրել </w:t>
      </w:r>
      <w:r w:rsidR="00C54D75">
        <w:rPr>
          <w:rFonts w:ascii="Sylfaen" w:hAnsi="Sylfaen"/>
          <w:sz w:val="24"/>
          <w:szCs w:val="24"/>
        </w:rPr>
        <w:t>և</w:t>
      </w:r>
      <w:r w:rsidRPr="00834D52">
        <w:rPr>
          <w:rFonts w:ascii="Sylfaen" w:hAnsi="Sylfaen"/>
          <w:sz w:val="24"/>
          <w:szCs w:val="24"/>
        </w:rPr>
        <w:t xml:space="preserve"> պատշաճ կերպով վալիդացնել դրանց որակի հսկողության համար օգտագործվող վերլուծական մեթոդիկաները, </w:t>
      </w:r>
    </w:p>
    <w:p w14:paraId="7EB372BE" w14:textId="77777777" w:rsidR="006F76EB" w:rsidRPr="00834D52" w:rsidRDefault="006F76EB" w:rsidP="00E06CA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անհրաժեշտ է հատուկ ուշադրություն դարձնել մարդկային </w:t>
      </w:r>
      <w:r w:rsidR="00C54D75">
        <w:rPr>
          <w:rFonts w:ascii="Sylfaen" w:hAnsi="Sylfaen"/>
          <w:sz w:val="24"/>
          <w:szCs w:val="24"/>
        </w:rPr>
        <w:t>և</w:t>
      </w:r>
      <w:r w:rsidRPr="00834D52">
        <w:rPr>
          <w:rFonts w:ascii="Sylfaen" w:hAnsi="Sylfaen"/>
          <w:sz w:val="24"/>
          <w:szCs w:val="24"/>
        </w:rPr>
        <w:t xml:space="preserve"> կենդանական ծագման օժանդակ նյութերին:</w:t>
      </w:r>
    </w:p>
    <w:p w14:paraId="4545E4A6"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Կենդանիների սպունգանման էնցեֆալոպատիայի հարուցիչների փոխանցումը կանխելու հատուկ միջոցներ կիրառելու նպատակով հայտատուն պետք է օժանդակ նյութերի համար հավաստի նա</w:t>
      </w:r>
      <w:r w:rsidR="00C54D75">
        <w:rPr>
          <w:rFonts w:ascii="Sylfaen" w:hAnsi="Sylfaen"/>
          <w:sz w:val="24"/>
          <w:szCs w:val="24"/>
        </w:rPr>
        <w:t>և</w:t>
      </w:r>
      <w:r w:rsidRPr="00834D52">
        <w:rPr>
          <w:rFonts w:ascii="Sylfaen" w:hAnsi="Sylfaen"/>
          <w:sz w:val="24"/>
          <w:szCs w:val="24"/>
        </w:rPr>
        <w:t>, որ դեղապատրաստուկը բավարարում է, մասնավորապես, արտադրվող դեղապատրաստուկներով տվյալ հարուցիչների փոխանցման ռիսկի նվազեցման վերաբերյալ Եվրասիական տնտեսական միության դեղագրքի համապատասխան հոդվածի (մենագրության) պահանջներին:</w:t>
      </w:r>
    </w:p>
    <w:p w14:paraId="25619770"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Համապատասխանությունը վերը նշված պահանջներին կարելի է հավաստել՝ ներկայացնելով սպունգանման էնցեֆալոպատիայի հարուցիչների առնչությամբ Եվրոպական դեղագրքի մենագրությանը համապատասխանության սերտիֆիկատ կամ այլ փաստաթղթեր (տվյալներ), որոնք հիմնավորում են այդ համապատասխանությունը, </w:t>
      </w:r>
    </w:p>
    <w:p w14:paraId="2BFB6314" w14:textId="77777777" w:rsidR="006F76EB" w:rsidRPr="00834D52" w:rsidRDefault="006F76EB" w:rsidP="00E06CA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նոր օժանդակ նյութեր՝</w:t>
      </w:r>
    </w:p>
    <w:p w14:paraId="6614C35D"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օժանդակ նյութերի համար, որոնք առաջին անգամ են օգտագործվում դեղապատրաստուկի մեջ կամ կիրառվում են այդ օժանդակ նյութերի համար նոր ներմուծման ուղու դեպքում, անհրաժեշտ է ներկայացնել արտադրության, հատկությունների </w:t>
      </w:r>
      <w:r w:rsidR="00C54D75">
        <w:rPr>
          <w:rFonts w:ascii="Sylfaen" w:hAnsi="Sylfaen"/>
          <w:sz w:val="24"/>
          <w:szCs w:val="24"/>
        </w:rPr>
        <w:t>և</w:t>
      </w:r>
      <w:r w:rsidRPr="00834D52">
        <w:rPr>
          <w:rFonts w:ascii="Sylfaen" w:hAnsi="Sylfaen"/>
          <w:sz w:val="24"/>
          <w:szCs w:val="24"/>
        </w:rPr>
        <w:t xml:space="preserve"> հսկողության ամբողջական նկարագրություն՝ հղում անելով անվտանգության հաստատված նախակլինիկական կամ կլինիկական տվյալներին: Այդ տեղեկատվությունը պետք է ձ</w:t>
      </w:r>
      <w:r w:rsidR="00C54D75">
        <w:rPr>
          <w:rFonts w:ascii="Sylfaen" w:hAnsi="Sylfaen"/>
          <w:sz w:val="24"/>
          <w:szCs w:val="24"/>
        </w:rPr>
        <w:t>և</w:t>
      </w:r>
      <w:r w:rsidRPr="00834D52">
        <w:rPr>
          <w:rFonts w:ascii="Sylfaen" w:hAnsi="Sylfaen"/>
          <w:sz w:val="24"/>
          <w:szCs w:val="24"/>
        </w:rPr>
        <w:t>ակերպվի այնպես, ինչպես նշված է վեր</w:t>
      </w:r>
      <w:r w:rsidR="00C54D75">
        <w:rPr>
          <w:rFonts w:ascii="Sylfaen" w:hAnsi="Sylfaen"/>
          <w:sz w:val="24"/>
          <w:szCs w:val="24"/>
        </w:rPr>
        <w:t>և</w:t>
      </w:r>
      <w:r w:rsidRPr="00834D52">
        <w:rPr>
          <w:rFonts w:ascii="Sylfaen" w:hAnsi="Sylfaen"/>
          <w:sz w:val="24"/>
          <w:szCs w:val="24"/>
        </w:rPr>
        <w:t>ում՝ ակտիվ դեղագործական բաղադրամասի համար:</w:t>
      </w:r>
    </w:p>
    <w:p w14:paraId="4597C377" w14:textId="77777777" w:rsidR="006F76EB" w:rsidRPr="00834D52" w:rsidRDefault="006F76EB" w:rsidP="004A1A19">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մանրամասն քիմիական, դեղագործական </w:t>
      </w:r>
      <w:r w:rsidR="00C54D75">
        <w:rPr>
          <w:rFonts w:ascii="Sylfaen" w:hAnsi="Sylfaen"/>
          <w:sz w:val="24"/>
          <w:szCs w:val="24"/>
        </w:rPr>
        <w:t>և</w:t>
      </w:r>
      <w:r w:rsidRPr="00834D52">
        <w:rPr>
          <w:rFonts w:ascii="Sylfaen" w:hAnsi="Sylfaen"/>
          <w:sz w:val="24"/>
          <w:szCs w:val="24"/>
        </w:rPr>
        <w:t xml:space="preserve"> կենսաբանական տեղեկատվություն: Այդ տեղեկատվությունը պետք է ձ</w:t>
      </w:r>
      <w:r w:rsidR="00C54D75">
        <w:rPr>
          <w:rFonts w:ascii="Sylfaen" w:hAnsi="Sylfaen"/>
          <w:sz w:val="24"/>
          <w:szCs w:val="24"/>
        </w:rPr>
        <w:t>և</w:t>
      </w:r>
      <w:r w:rsidRPr="00834D52">
        <w:rPr>
          <w:rFonts w:ascii="Sylfaen" w:hAnsi="Sylfaen"/>
          <w:sz w:val="24"/>
          <w:szCs w:val="24"/>
        </w:rPr>
        <w:t xml:space="preserve">ակերպվի այնպես, ինչպես նշված է 3-րդ մոդուլում ակտիվ դեղագործական բաղադրամասի առնչությամբ: </w:t>
      </w:r>
    </w:p>
    <w:p w14:paraId="6A328FA8"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Նոր օժանդակ նյութի մասին տեղեկատվությունը կարող է ներկայացվել վերը նկարագրված ձ</w:t>
      </w:r>
      <w:r w:rsidR="00C54D75">
        <w:rPr>
          <w:rFonts w:ascii="Sylfaen" w:hAnsi="Sylfaen"/>
          <w:sz w:val="24"/>
          <w:szCs w:val="24"/>
        </w:rPr>
        <w:t>և</w:t>
      </w:r>
      <w:r w:rsidRPr="00834D52">
        <w:rPr>
          <w:rFonts w:ascii="Sylfaen" w:hAnsi="Sylfaen"/>
          <w:sz w:val="24"/>
          <w:szCs w:val="24"/>
        </w:rPr>
        <w:t xml:space="preserve">աչափի համաձայն կազմված առանձին փաստաթղթի տեսքով: </w:t>
      </w:r>
    </w:p>
    <w:p w14:paraId="30BE21A9"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հայտատուն </w:t>
      </w:r>
      <w:r w:rsidR="00C54D75">
        <w:rPr>
          <w:rFonts w:ascii="Sylfaen" w:hAnsi="Sylfaen"/>
          <w:sz w:val="24"/>
          <w:szCs w:val="24"/>
        </w:rPr>
        <w:t>և</w:t>
      </w:r>
      <w:r w:rsidRPr="00834D52">
        <w:rPr>
          <w:rFonts w:ascii="Sylfaen" w:hAnsi="Sylfaen"/>
          <w:sz w:val="24"/>
          <w:szCs w:val="24"/>
        </w:rPr>
        <w:t xml:space="preserve"> նոր օժանդակ նյութի արտադրողը մի</w:t>
      </w:r>
      <w:r w:rsidR="00C54D75">
        <w:rPr>
          <w:rFonts w:ascii="Sylfaen" w:hAnsi="Sylfaen"/>
          <w:sz w:val="24"/>
          <w:szCs w:val="24"/>
        </w:rPr>
        <w:t>և</w:t>
      </w:r>
      <w:r w:rsidRPr="00834D52">
        <w:rPr>
          <w:rFonts w:ascii="Sylfaen" w:hAnsi="Sylfaen"/>
          <w:sz w:val="24"/>
          <w:szCs w:val="24"/>
        </w:rPr>
        <w:t>նույն անձը չեն, ապա այդ առանձին փաստաթուղթն արտադրողի կողմից պետք է ներկայացվի հայտատուին:</w:t>
      </w:r>
    </w:p>
    <w:p w14:paraId="091E0D04"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Նոր օժանդակ նյութի թունավորության հետազոտության արդյունքների մասին լրացուցիչ տեղեկատվությունը պետք է ներկայացվի գրանցման դոսյեի 4-րդ մոդուլում: </w:t>
      </w:r>
    </w:p>
    <w:p w14:paraId="60E603E7"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Նոր օժանդակ նյութի համար կլինիկական հետազոտությունների արդյունքները հարկ է նկարագրել դեղապատրաստուկի գրանցման դոսյեի 5-րդ մոդուլում: </w:t>
      </w:r>
    </w:p>
    <w:p w14:paraId="7330B09F" w14:textId="77777777" w:rsidR="006F76EB" w:rsidRPr="00834D52" w:rsidRDefault="006F76EB" w:rsidP="0097392D">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3.2.P.5.</w:t>
      </w:r>
      <w:r w:rsidRPr="00834D52">
        <w:rPr>
          <w:rFonts w:ascii="Sylfaen" w:hAnsi="Sylfaen"/>
          <w:sz w:val="24"/>
          <w:szCs w:val="24"/>
        </w:rPr>
        <w:tab/>
        <w:t>Դեղապատրաստուկի որակի հսկողությունը:</w:t>
      </w:r>
    </w:p>
    <w:p w14:paraId="2DF4BFB2" w14:textId="77777777" w:rsidR="006F76EB" w:rsidRPr="00834D52" w:rsidRDefault="006F76EB" w:rsidP="00E06CA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որակի հսկողության նպատակով դեղապատրաստուկի սերիա ասելով հասկանում ենք դեղապատրաստուկի՝ ելանյութի </w:t>
      </w:r>
      <w:r w:rsidR="00C54D75">
        <w:rPr>
          <w:rFonts w:ascii="Sylfaen" w:hAnsi="Sylfaen"/>
          <w:sz w:val="24"/>
          <w:szCs w:val="24"/>
        </w:rPr>
        <w:t>և</w:t>
      </w:r>
      <w:r w:rsidRPr="00834D52">
        <w:rPr>
          <w:rFonts w:ascii="Sylfaen" w:hAnsi="Sylfaen"/>
          <w:sz w:val="24"/>
          <w:szCs w:val="24"/>
        </w:rPr>
        <w:t xml:space="preserve"> նյութերի նույն քանակից արտադրված </w:t>
      </w:r>
      <w:r w:rsidR="00C54D75">
        <w:rPr>
          <w:rFonts w:ascii="Sylfaen" w:hAnsi="Sylfaen"/>
          <w:sz w:val="24"/>
          <w:szCs w:val="24"/>
        </w:rPr>
        <w:t>և</w:t>
      </w:r>
      <w:r w:rsidRPr="00834D52">
        <w:rPr>
          <w:rFonts w:ascii="Sylfaen" w:hAnsi="Sylfaen"/>
          <w:sz w:val="24"/>
          <w:szCs w:val="24"/>
        </w:rPr>
        <w:t xml:space="preserve"> մի</w:t>
      </w:r>
      <w:r w:rsidR="00C54D75">
        <w:rPr>
          <w:rFonts w:ascii="Sylfaen" w:hAnsi="Sylfaen"/>
          <w:sz w:val="24"/>
          <w:szCs w:val="24"/>
        </w:rPr>
        <w:t>և</w:t>
      </w:r>
      <w:r w:rsidRPr="00834D52">
        <w:rPr>
          <w:rFonts w:ascii="Sylfaen" w:hAnsi="Sylfaen"/>
          <w:sz w:val="24"/>
          <w:szCs w:val="24"/>
        </w:rPr>
        <w:t xml:space="preserve">նույն արտադրական </w:t>
      </w:r>
      <w:r w:rsidR="00C54D75">
        <w:rPr>
          <w:rFonts w:ascii="Sylfaen" w:hAnsi="Sylfaen"/>
          <w:sz w:val="24"/>
          <w:szCs w:val="24"/>
        </w:rPr>
        <w:t>և</w:t>
      </w:r>
      <w:r w:rsidRPr="00834D52">
        <w:rPr>
          <w:rFonts w:ascii="Sylfaen" w:hAnsi="Sylfaen"/>
          <w:sz w:val="24"/>
          <w:szCs w:val="24"/>
        </w:rPr>
        <w:t xml:space="preserve"> (կամ) մանրէազերծման գործառնություններին ենթարկված միավորների ամբողջ քանակը ներառող </w:t>
      </w:r>
      <w:r w:rsidRPr="00834D52">
        <w:rPr>
          <w:rFonts w:ascii="Sylfaen" w:hAnsi="Sylfaen"/>
          <w:sz w:val="24"/>
          <w:szCs w:val="24"/>
        </w:rPr>
        <w:lastRenderedPageBreak/>
        <w:t xml:space="preserve">արտադրանքը կամ արտադրության շարունակական գործընթացի դեպքում որոշակի ժամանակահատվածում արտադրված </w:t>
      </w:r>
      <w:r w:rsidR="00C54D75">
        <w:rPr>
          <w:rFonts w:ascii="Sylfaen" w:hAnsi="Sylfaen"/>
          <w:sz w:val="24"/>
          <w:szCs w:val="24"/>
        </w:rPr>
        <w:t>և</w:t>
      </w:r>
      <w:r w:rsidRPr="00834D52">
        <w:rPr>
          <w:rFonts w:ascii="Sylfaen" w:hAnsi="Sylfaen"/>
          <w:sz w:val="24"/>
          <w:szCs w:val="24"/>
        </w:rPr>
        <w:t xml:space="preserve"> համասեռությամբ բնութագրվող դեղապատրաստուկի բոլոր միավորները ներառող արտադրանքը: </w:t>
      </w:r>
    </w:p>
    <w:p w14:paraId="216AD3ED" w14:textId="77777777" w:rsidR="006F76EB" w:rsidRPr="00834D52" w:rsidRDefault="006F76EB" w:rsidP="0097392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մեջ ակտիվ դեղագործական բաղադրամասի պարունակության թույլատրելի առավելագույն շեղումը դրա արտադրության օրվա դրությամբ չպետք է գերազանցի ± 5 %-ը՝ բացառությամբ համապատասխան կերպով հիմնավորված դեպքերի:</w:t>
      </w:r>
    </w:p>
    <w:p w14:paraId="1A50F0C9" w14:textId="77777777" w:rsidR="006F76EB" w:rsidRPr="00834D52" w:rsidRDefault="006F76EB" w:rsidP="0097392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մանրամասն տեղեկատվություն մասնագրերի մասին (դեղապատրաստուկի բացթողման դեպքում </w:t>
      </w:r>
      <w:r w:rsidR="00C54D75">
        <w:rPr>
          <w:rFonts w:ascii="Sylfaen" w:hAnsi="Sylfaen"/>
          <w:sz w:val="24"/>
          <w:szCs w:val="24"/>
        </w:rPr>
        <w:t>և</w:t>
      </w:r>
      <w:r w:rsidRPr="00834D52">
        <w:rPr>
          <w:rFonts w:ascii="Sylfaen" w:hAnsi="Sylfaen"/>
          <w:sz w:val="24"/>
          <w:szCs w:val="24"/>
        </w:rPr>
        <w:t xml:space="preserve"> դրա պիտանիության ժամկետի (պահպանման ժամկետի) ընթացքում՝ դեղապատրաստուկի կայունության անցկացված փորձարկումների հիման վրա)՝ որակի ցուցանիշների, փորձարկումների մեթոդիկաների </w:t>
      </w:r>
      <w:r w:rsidR="00C54D75">
        <w:rPr>
          <w:rFonts w:ascii="Sylfaen" w:hAnsi="Sylfaen"/>
          <w:sz w:val="24"/>
          <w:szCs w:val="24"/>
        </w:rPr>
        <w:t>և</w:t>
      </w:r>
      <w:r w:rsidRPr="00834D52">
        <w:rPr>
          <w:rFonts w:ascii="Sylfaen" w:hAnsi="Sylfaen"/>
          <w:sz w:val="24"/>
          <w:szCs w:val="24"/>
        </w:rPr>
        <w:t xml:space="preserve"> այդ մեթոդիկաների վալիդացման ընտրության հիմնավորմամբ: </w:t>
      </w:r>
    </w:p>
    <w:p w14:paraId="2E31FFA6" w14:textId="77777777" w:rsidR="006F76EB" w:rsidRPr="00834D52" w:rsidRDefault="006F76EB" w:rsidP="00E06CA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3.2.P.6.</w:t>
      </w:r>
      <w:r w:rsidRPr="00834D52">
        <w:rPr>
          <w:rFonts w:ascii="Sylfaen" w:hAnsi="Sylfaen"/>
          <w:sz w:val="24"/>
          <w:szCs w:val="24"/>
        </w:rPr>
        <w:tab/>
        <w:t xml:space="preserve">Ստանդարտ նմուշները </w:t>
      </w:r>
      <w:r w:rsidR="00C54D75">
        <w:rPr>
          <w:rFonts w:ascii="Sylfaen" w:hAnsi="Sylfaen"/>
          <w:sz w:val="24"/>
          <w:szCs w:val="24"/>
        </w:rPr>
        <w:t>և</w:t>
      </w:r>
      <w:r w:rsidRPr="00834D52">
        <w:rPr>
          <w:rFonts w:ascii="Sylfaen" w:hAnsi="Sylfaen"/>
          <w:sz w:val="24"/>
          <w:szCs w:val="24"/>
        </w:rPr>
        <w:t xml:space="preserve"> նյութերը:</w:t>
      </w:r>
    </w:p>
    <w:p w14:paraId="4F2958B9"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սահմանել </w:t>
      </w:r>
      <w:r w:rsidR="00C54D75">
        <w:rPr>
          <w:rFonts w:ascii="Sylfaen" w:hAnsi="Sylfaen"/>
          <w:sz w:val="24"/>
          <w:szCs w:val="24"/>
        </w:rPr>
        <w:t>և</w:t>
      </w:r>
      <w:r w:rsidRPr="00834D52">
        <w:rPr>
          <w:rFonts w:ascii="Sylfaen" w:hAnsi="Sylfaen"/>
          <w:sz w:val="24"/>
          <w:szCs w:val="24"/>
        </w:rPr>
        <w:t xml:space="preserve"> մանրամասն նկարագրել դեղապատրաստուկի որակի հսկողության ժամանակ օգտագործվող ստանդարտ նյութերը </w:t>
      </w:r>
      <w:r w:rsidR="00C54D75">
        <w:rPr>
          <w:rFonts w:ascii="Sylfaen" w:hAnsi="Sylfaen"/>
          <w:sz w:val="24"/>
          <w:szCs w:val="24"/>
        </w:rPr>
        <w:t>և</w:t>
      </w:r>
      <w:r w:rsidRPr="00834D52">
        <w:rPr>
          <w:rFonts w:ascii="Sylfaen" w:hAnsi="Sylfaen"/>
          <w:sz w:val="24"/>
          <w:szCs w:val="24"/>
        </w:rPr>
        <w:t xml:space="preserve"> ստանդարտ նմուշները, եթե դրանց մասին տեղեկատվությունը նշված չէ գրանցման դոսյեի այն բաժնում, որում գտնվում են ակտիվ դեղագործական բաղադրամասի մասին փաստաթղթերն ու տվյալները:</w:t>
      </w:r>
    </w:p>
    <w:p w14:paraId="003D8DBF" w14:textId="77777777" w:rsidR="006F76EB" w:rsidRPr="00834D52" w:rsidRDefault="006F76EB" w:rsidP="00E06CAB">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3.2.P.7.</w:t>
      </w:r>
      <w:r w:rsidRPr="00834D52">
        <w:rPr>
          <w:rFonts w:ascii="Sylfaen" w:hAnsi="Sylfaen"/>
          <w:sz w:val="24"/>
          <w:szCs w:val="24"/>
        </w:rPr>
        <w:tab/>
        <w:t>Փաթեթավորման (խցանափակման) համակարգը:</w:t>
      </w:r>
    </w:p>
    <w:p w14:paraId="54739860" w14:textId="77777777" w:rsidR="006F76EB" w:rsidRPr="00834D52" w:rsidRDefault="006F76EB" w:rsidP="0097392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առաջնային (ներքին) փաթեթվածքի </w:t>
      </w:r>
      <w:r w:rsidR="00C54D75">
        <w:rPr>
          <w:rFonts w:ascii="Sylfaen" w:hAnsi="Sylfaen"/>
          <w:sz w:val="24"/>
          <w:szCs w:val="24"/>
        </w:rPr>
        <w:t>և</w:t>
      </w:r>
      <w:r w:rsidRPr="00834D52">
        <w:rPr>
          <w:rFonts w:ascii="Sylfaen" w:hAnsi="Sylfaen"/>
          <w:sz w:val="24"/>
          <w:szCs w:val="24"/>
        </w:rPr>
        <w:t xml:space="preserve"> խցանափակման համակարգի նկարագրությունը՝ ներառյալ նյութեր, որոնցից արտադրված է առաջնային փաթեթվածքի յուրաքանչյուր բաղադրիչ, ինչպես նա</w:t>
      </w:r>
      <w:r w:rsidR="00C54D75">
        <w:rPr>
          <w:rFonts w:ascii="Sylfaen" w:hAnsi="Sylfaen"/>
          <w:sz w:val="24"/>
          <w:szCs w:val="24"/>
        </w:rPr>
        <w:t>և</w:t>
      </w:r>
      <w:r w:rsidRPr="00834D52">
        <w:rPr>
          <w:rFonts w:ascii="Sylfaen" w:hAnsi="Sylfaen"/>
          <w:sz w:val="24"/>
          <w:szCs w:val="24"/>
        </w:rPr>
        <w:t xml:space="preserve"> այդ նյութերի մասնագրերը: Մասնագրերը պետք է ներառեն նյութերի նկարագրությունը </w:t>
      </w:r>
      <w:r w:rsidR="00C54D75">
        <w:rPr>
          <w:rFonts w:ascii="Sylfaen" w:hAnsi="Sylfaen"/>
          <w:sz w:val="24"/>
          <w:szCs w:val="24"/>
        </w:rPr>
        <w:t>և</w:t>
      </w:r>
      <w:r w:rsidRPr="00834D52">
        <w:rPr>
          <w:rFonts w:ascii="Sylfaen" w:hAnsi="Sylfaen"/>
          <w:sz w:val="24"/>
          <w:szCs w:val="24"/>
        </w:rPr>
        <w:t xml:space="preserve"> նույնականացումը: Անհրաժեշտության դեպքում պետք է ներկայացվի տեղեկատվություն՝ վերլուծության ոչ դեղագրքային մեթոդների (ներառյալ՝ մեթոդիկաների վալիդացման) մասին:</w:t>
      </w:r>
    </w:p>
    <w:p w14:paraId="71A9795C" w14:textId="77777777" w:rsidR="006F76EB" w:rsidRPr="00834D52" w:rsidRDefault="006F76EB" w:rsidP="0097392D">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Երկրորդական (սպառողական) </w:t>
      </w:r>
      <w:r w:rsidR="00C54D75">
        <w:rPr>
          <w:rFonts w:ascii="Sylfaen" w:hAnsi="Sylfaen"/>
          <w:sz w:val="24"/>
          <w:szCs w:val="24"/>
        </w:rPr>
        <w:t>և</w:t>
      </w:r>
      <w:r w:rsidRPr="00834D52">
        <w:rPr>
          <w:rFonts w:ascii="Sylfaen" w:hAnsi="Sylfaen"/>
          <w:sz w:val="24"/>
          <w:szCs w:val="24"/>
        </w:rPr>
        <w:t xml:space="preserve"> միջանկյալ փաթեթվածքի ոչ գործառական նյութերի համար ներկայացվում է միայն համառոտ նկարագրությունը: Երկրորդական (սպառողական) </w:t>
      </w:r>
      <w:r w:rsidR="00C54D75">
        <w:rPr>
          <w:rFonts w:ascii="Sylfaen" w:hAnsi="Sylfaen"/>
          <w:sz w:val="24"/>
          <w:szCs w:val="24"/>
        </w:rPr>
        <w:t>և</w:t>
      </w:r>
      <w:r w:rsidRPr="00834D52">
        <w:rPr>
          <w:rFonts w:ascii="Sylfaen" w:hAnsi="Sylfaen"/>
          <w:sz w:val="24"/>
          <w:szCs w:val="24"/>
        </w:rPr>
        <w:t xml:space="preserve"> միջանկյալ փաթեթվածքի գործառական բաղադրիչների համար ներկայացվում է լրացուցիչ տեղեկատվություն: </w:t>
      </w:r>
    </w:p>
    <w:p w14:paraId="0DA1A886" w14:textId="77777777" w:rsidR="006F76EB" w:rsidRPr="00834D52" w:rsidRDefault="006F76EB" w:rsidP="00E06CA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3.2.P.8.</w:t>
      </w:r>
      <w:r w:rsidRPr="00834D52">
        <w:rPr>
          <w:rFonts w:ascii="Sylfaen" w:hAnsi="Sylfaen"/>
          <w:sz w:val="24"/>
          <w:szCs w:val="24"/>
        </w:rPr>
        <w:tab/>
        <w:t xml:space="preserve">Դեղապատրաստուկի կայունությունը՝ </w:t>
      </w:r>
    </w:p>
    <w:p w14:paraId="0DCAD7F4"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0097392D" w:rsidRPr="00A958BD">
        <w:rPr>
          <w:rFonts w:ascii="Sylfaen" w:hAnsi="Sylfaen"/>
          <w:sz w:val="24"/>
          <w:szCs w:val="24"/>
        </w:rPr>
        <w:tab/>
      </w:r>
      <w:r w:rsidRPr="00834D52">
        <w:rPr>
          <w:rFonts w:ascii="Sylfaen" w:hAnsi="Sylfaen"/>
          <w:sz w:val="24"/>
          <w:szCs w:val="24"/>
        </w:rPr>
        <w:t xml:space="preserve">անհրաժեշտ է ներկայացնել անցկացված հետազոտությունների տեսակների մասին ռեզյումեն, օգտագործված պլանները (ծրագրերը) </w:t>
      </w:r>
      <w:r w:rsidR="00C54D75">
        <w:rPr>
          <w:rFonts w:ascii="Sylfaen" w:hAnsi="Sylfaen"/>
          <w:sz w:val="24"/>
          <w:szCs w:val="24"/>
        </w:rPr>
        <w:t>և</w:t>
      </w:r>
      <w:r w:rsidRPr="00834D52">
        <w:rPr>
          <w:rFonts w:ascii="Sylfaen" w:hAnsi="Sylfaen"/>
          <w:sz w:val="24"/>
          <w:szCs w:val="24"/>
        </w:rPr>
        <w:t xml:space="preserve"> հետազոտությունն անցկացնելու ժամանակ ստացված արդյունքները, </w:t>
      </w:r>
    </w:p>
    <w:p w14:paraId="39CB52C1"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0097392D" w:rsidRPr="00A958BD">
        <w:rPr>
          <w:rFonts w:ascii="Sylfaen" w:hAnsi="Sylfaen"/>
          <w:sz w:val="24"/>
          <w:szCs w:val="24"/>
        </w:rPr>
        <w:tab/>
      </w:r>
      <w:r w:rsidRPr="00834D52">
        <w:rPr>
          <w:rFonts w:ascii="Sylfaen" w:hAnsi="Sylfaen"/>
          <w:sz w:val="24"/>
          <w:szCs w:val="24"/>
        </w:rPr>
        <w:t>անհրաժեշտ է ներկայացնել համապատասխան ձ</w:t>
      </w:r>
      <w:r w:rsidR="00C54D75">
        <w:rPr>
          <w:rFonts w:ascii="Sylfaen" w:hAnsi="Sylfaen"/>
          <w:sz w:val="24"/>
          <w:szCs w:val="24"/>
        </w:rPr>
        <w:t>և</w:t>
      </w:r>
      <w:r w:rsidRPr="00834D52">
        <w:rPr>
          <w:rFonts w:ascii="Sylfaen" w:hAnsi="Sylfaen"/>
          <w:sz w:val="24"/>
          <w:szCs w:val="24"/>
        </w:rPr>
        <w:t xml:space="preserve">աչափով գրառված՝ կայունության հետազոտության անցկացման մանրամասն արդյունքները՝ ներառյալ տեղեկություններ՝ օգտագործված վերլուծական մեթոդիկաների </w:t>
      </w:r>
      <w:r w:rsidR="00C54D75">
        <w:rPr>
          <w:rFonts w:ascii="Sylfaen" w:hAnsi="Sylfaen"/>
          <w:sz w:val="24"/>
          <w:szCs w:val="24"/>
        </w:rPr>
        <w:t>և</w:t>
      </w:r>
      <w:r w:rsidRPr="00834D52">
        <w:rPr>
          <w:rFonts w:ascii="Sylfaen" w:hAnsi="Sylfaen"/>
          <w:sz w:val="24"/>
          <w:szCs w:val="24"/>
        </w:rPr>
        <w:t xml:space="preserve"> վերլուծական մեթոդիկաների վալիդացման մասին: </w:t>
      </w:r>
    </w:p>
    <w:p w14:paraId="483288E9"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Պատվաստանյութերի համար անհրաժեշտության դեպքում հարկ է ներկայացնել տեղեկատվություն՝ կումուլյատիվ կայունության մասին, </w:t>
      </w:r>
    </w:p>
    <w:p w14:paraId="55BB2178"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անհրաժեշտ է ներկայացնել հետգրանցումային շրջանում կայունության ուսումնասիրության պլանը (ծրագիրը) </w:t>
      </w:r>
      <w:r w:rsidR="00C54D75">
        <w:rPr>
          <w:rFonts w:ascii="Sylfaen" w:hAnsi="Sylfaen"/>
          <w:sz w:val="24"/>
          <w:szCs w:val="24"/>
        </w:rPr>
        <w:t>և</w:t>
      </w:r>
      <w:r w:rsidRPr="00834D52">
        <w:rPr>
          <w:rFonts w:ascii="Sylfaen" w:hAnsi="Sylfaen"/>
          <w:sz w:val="24"/>
          <w:szCs w:val="24"/>
        </w:rPr>
        <w:t xml:space="preserve"> հայտատուի՝ նշված պլանը կատարելու պարտավորությունները: </w:t>
      </w:r>
    </w:p>
    <w:p w14:paraId="06FFD5BC"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3.2.А.</w:t>
      </w:r>
      <w:r w:rsidRPr="00834D52">
        <w:rPr>
          <w:rFonts w:ascii="Sylfaen" w:hAnsi="Sylfaen"/>
          <w:sz w:val="24"/>
          <w:szCs w:val="24"/>
        </w:rPr>
        <w:tab/>
        <w:t>Լրացումները:</w:t>
      </w:r>
    </w:p>
    <w:p w14:paraId="1FB7384F"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3.2.А.1.</w:t>
      </w:r>
      <w:r w:rsidRPr="00834D52">
        <w:rPr>
          <w:rFonts w:ascii="Sylfaen" w:hAnsi="Sylfaen"/>
          <w:sz w:val="24"/>
          <w:szCs w:val="24"/>
        </w:rPr>
        <w:tab/>
        <w:t xml:space="preserve">Արտադրական տարածքները </w:t>
      </w:r>
      <w:r w:rsidR="00C54D75">
        <w:rPr>
          <w:rFonts w:ascii="Sylfaen" w:hAnsi="Sylfaen"/>
          <w:sz w:val="24"/>
          <w:szCs w:val="24"/>
        </w:rPr>
        <w:t>և</w:t>
      </w:r>
      <w:r w:rsidRPr="00834D52">
        <w:rPr>
          <w:rFonts w:ascii="Sylfaen" w:hAnsi="Sylfaen"/>
          <w:sz w:val="24"/>
          <w:szCs w:val="24"/>
        </w:rPr>
        <w:t xml:space="preserve"> սարքավորումները:</w:t>
      </w:r>
    </w:p>
    <w:p w14:paraId="52F7EC37"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3.2.А.2.</w:t>
      </w:r>
      <w:r w:rsidRPr="00834D52">
        <w:rPr>
          <w:rFonts w:ascii="Sylfaen" w:hAnsi="Sylfaen"/>
          <w:sz w:val="24"/>
          <w:szCs w:val="24"/>
        </w:rPr>
        <w:tab/>
        <w:t>Կողմնակի ագենտների առկայության առնչությամբ դեղապատրաստուկների անվտանգության գնահատումը:</w:t>
      </w:r>
    </w:p>
    <w:p w14:paraId="0C2DD8B1"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3.2.А.3.</w:t>
      </w:r>
      <w:r w:rsidRPr="00834D52">
        <w:rPr>
          <w:rFonts w:ascii="Sylfaen" w:hAnsi="Sylfaen"/>
          <w:sz w:val="24"/>
          <w:szCs w:val="24"/>
        </w:rPr>
        <w:tab/>
        <w:t>Նոր օժանդակ նյութեր:</w:t>
      </w:r>
    </w:p>
    <w:p w14:paraId="55DEC88E"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3.2.R.1.</w:t>
      </w:r>
      <w:r w:rsidRPr="00834D52">
        <w:rPr>
          <w:rFonts w:ascii="Sylfaen" w:hAnsi="Sylfaen"/>
          <w:sz w:val="24"/>
          <w:szCs w:val="24"/>
        </w:rPr>
        <w:tab/>
        <w:t xml:space="preserve">Արտադրական տեղամասի դոսյեն: </w:t>
      </w:r>
    </w:p>
    <w:p w14:paraId="5EC0C9A6"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3.2.R.2.</w:t>
      </w:r>
      <w:r w:rsidRPr="00834D52">
        <w:rPr>
          <w:rFonts w:ascii="Sylfaen" w:hAnsi="Sylfaen"/>
          <w:sz w:val="24"/>
          <w:szCs w:val="24"/>
        </w:rPr>
        <w:tab/>
        <w:t xml:space="preserve">Վալիդացիոն համապարփակ պլան: </w:t>
      </w:r>
    </w:p>
    <w:p w14:paraId="2504CBE2"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3.2.R.3.</w:t>
      </w:r>
      <w:r w:rsidRPr="00834D52">
        <w:rPr>
          <w:rFonts w:ascii="Sylfaen" w:hAnsi="Sylfaen"/>
          <w:sz w:val="24"/>
          <w:szCs w:val="24"/>
        </w:rPr>
        <w:tab/>
        <w:t xml:space="preserve">Դեղապատրաստուկի որակի վերջին ուսումնասիրությունը: </w:t>
      </w:r>
    </w:p>
    <w:p w14:paraId="440E6A21" w14:textId="77777777" w:rsidR="006F76EB" w:rsidRPr="00834D52" w:rsidRDefault="006F76EB" w:rsidP="00604C9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3.2.R.4.</w:t>
      </w:r>
      <w:r w:rsidRPr="00834D52">
        <w:rPr>
          <w:rFonts w:ascii="Sylfaen" w:hAnsi="Sylfaen"/>
          <w:sz w:val="24"/>
          <w:szCs w:val="24"/>
        </w:rPr>
        <w:tab/>
        <w:t xml:space="preserve">Որակի ձեռնարկը կամ արտադրողի՝ որակի հսկողության լաբորատորիայի լաբորատոր ձեռնարկը: </w:t>
      </w:r>
    </w:p>
    <w:p w14:paraId="780A4356" w14:textId="77777777" w:rsidR="006F76EB" w:rsidRPr="00DB039F" w:rsidRDefault="006F76EB" w:rsidP="00604C9A">
      <w:pPr>
        <w:tabs>
          <w:tab w:val="left" w:pos="1701"/>
        </w:tabs>
        <w:spacing w:after="160" w:line="360" w:lineRule="auto"/>
        <w:ind w:right="-8" w:firstLine="567"/>
        <w:jc w:val="both"/>
        <w:rPr>
          <w:rFonts w:ascii="Sylfaen" w:hAnsi="Sylfaen"/>
          <w:sz w:val="24"/>
          <w:szCs w:val="24"/>
        </w:rPr>
      </w:pPr>
      <w:r w:rsidRPr="00834D52">
        <w:rPr>
          <w:rFonts w:ascii="Sylfaen" w:hAnsi="Sylfaen"/>
          <w:sz w:val="24"/>
          <w:szCs w:val="24"/>
        </w:rPr>
        <w:t>3.2.R.5.</w:t>
      </w:r>
      <w:r w:rsidRPr="00834D52">
        <w:rPr>
          <w:rFonts w:ascii="Sylfaen" w:hAnsi="Sylfaen"/>
          <w:sz w:val="24"/>
          <w:szCs w:val="24"/>
        </w:rPr>
        <w:tab/>
        <w:t xml:space="preserve">Արտադրողի՝ որակի հսկողության լաբորատորիայի կողմից իրականացվող վերլուծական մեթոդիկաների ցուցակը: </w:t>
      </w:r>
    </w:p>
    <w:p w14:paraId="3CC621CB" w14:textId="77777777" w:rsidR="006F76EB" w:rsidRPr="00DB039F"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p>
    <w:p w14:paraId="180B43C9" w14:textId="77777777" w:rsidR="006F76EB" w:rsidRPr="00834D52" w:rsidRDefault="006F76EB" w:rsidP="00F85569">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4. Գրանցման դոսյեի՝ 4-րդ մոդուլում բերված փաստաթղթերի նկատմամբ պահանջները՝ հաշվետվություններ նախակլինիկական (ոչ կլինիկական) հետազոտությունների մասին</w:t>
      </w:r>
    </w:p>
    <w:p w14:paraId="03344419"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4.1.</w:t>
      </w:r>
      <w:r w:rsidRPr="00834D52">
        <w:rPr>
          <w:rFonts w:ascii="Sylfaen" w:hAnsi="Sylfaen"/>
          <w:sz w:val="24"/>
          <w:szCs w:val="24"/>
        </w:rPr>
        <w:tab/>
        <w:t>4-րդ մոդուլի բովանդակությունը:</w:t>
      </w:r>
    </w:p>
    <w:p w14:paraId="072530E7" w14:textId="77777777" w:rsidR="006F76EB" w:rsidRPr="00834D52" w:rsidRDefault="006F76EB" w:rsidP="00604C9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4.2.</w:t>
      </w:r>
      <w:r w:rsidRPr="00834D52">
        <w:rPr>
          <w:rFonts w:ascii="Sylfaen" w:hAnsi="Sylfaen"/>
          <w:sz w:val="24"/>
          <w:szCs w:val="24"/>
        </w:rPr>
        <w:tab/>
        <w:t xml:space="preserve">Հաշվետվություններ՝ նախակլինիկական (ոչ կլինիկական) հետազոտությունների մասին: </w:t>
      </w:r>
    </w:p>
    <w:p w14:paraId="38D1BBC7" w14:textId="77777777" w:rsidR="006F76EB" w:rsidRPr="00834D52" w:rsidRDefault="006F76EB" w:rsidP="000E2C50">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Առանձին դեպքերում, սույն պահանջների II մասի պատրաստուկների առանձին խմբերի հետազոտության </w:t>
      </w:r>
      <w:r w:rsidR="00C54D75">
        <w:rPr>
          <w:rFonts w:ascii="Sylfaen" w:hAnsi="Sylfaen"/>
          <w:sz w:val="24"/>
          <w:szCs w:val="24"/>
        </w:rPr>
        <w:t>և</w:t>
      </w:r>
      <w:r w:rsidRPr="00834D52">
        <w:rPr>
          <w:rFonts w:ascii="Sylfaen" w:hAnsi="Sylfaen"/>
          <w:sz w:val="24"/>
          <w:szCs w:val="24"/>
        </w:rPr>
        <w:t xml:space="preserve"> Հանձնաժողովի կողմից հաստատվող՝ բժշկական կիրառության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 պահանջներին համապատասխան, տվյալ բաժնում կարող է բերվել գիտական գրականության տվյալների ուսումնասիրությունը՝ անցկացրած սեփական նախակլինիկական հետազոտությունների արդյունքների փոխարեն: </w:t>
      </w:r>
    </w:p>
    <w:p w14:paraId="611D920E" w14:textId="77777777" w:rsidR="006F76EB" w:rsidRPr="00834D52" w:rsidRDefault="006F76EB" w:rsidP="000E2C50">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Դեղաբանական </w:t>
      </w:r>
      <w:r w:rsidR="00C54D75">
        <w:rPr>
          <w:rFonts w:ascii="Sylfaen" w:hAnsi="Sylfaen"/>
          <w:sz w:val="24"/>
          <w:szCs w:val="24"/>
        </w:rPr>
        <w:t>և</w:t>
      </w:r>
      <w:r w:rsidRPr="00834D52">
        <w:rPr>
          <w:rFonts w:ascii="Sylfaen" w:hAnsi="Sylfaen"/>
          <w:sz w:val="24"/>
          <w:szCs w:val="24"/>
        </w:rPr>
        <w:t xml:space="preserve"> թունաբանական փորձարկումների մասին գրանցման դոսյեի փաստաթղթերը պետք է սահմանեն՝ </w:t>
      </w:r>
    </w:p>
    <w:p w14:paraId="46790CA9" w14:textId="77777777" w:rsidR="006F76EB" w:rsidRPr="00834D52" w:rsidRDefault="006F76EB" w:rsidP="000E2C50">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դեղապատրաստուկի հնարավոր թունավորությունը </w:t>
      </w:r>
      <w:r w:rsidR="00C54D75">
        <w:rPr>
          <w:rFonts w:ascii="Sylfaen" w:hAnsi="Sylfaen"/>
          <w:spacing w:val="-4"/>
          <w:sz w:val="24"/>
          <w:szCs w:val="24"/>
        </w:rPr>
        <w:t>և</w:t>
      </w:r>
      <w:r w:rsidRPr="00834D52">
        <w:rPr>
          <w:rFonts w:ascii="Sylfaen" w:hAnsi="Sylfaen"/>
          <w:spacing w:val="-4"/>
          <w:sz w:val="24"/>
          <w:szCs w:val="24"/>
        </w:rPr>
        <w:t xml:space="preserve"> ցանկացած վնասակար կամ անցանկալի թունավոր ռեակցիա, որը կարող է դիտվել մարդու կողմից այն կիրառելու առաջարկվող պայմաններում, ընդ որում, պետք է բերվի դրանց գնահատումը՝ հաշվի առնելով համապատասխան ախտաբանական վիճակները, </w:t>
      </w:r>
    </w:p>
    <w:p w14:paraId="2CE7869D" w14:textId="77777777" w:rsidR="006F76EB" w:rsidRPr="00834D52" w:rsidRDefault="006F76EB" w:rsidP="000E2C50">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դեղագործական հատկությունները՝ ըստ որակական </w:t>
      </w:r>
      <w:r w:rsidR="00C54D75">
        <w:rPr>
          <w:rFonts w:ascii="Sylfaen" w:hAnsi="Sylfaen"/>
          <w:sz w:val="24"/>
          <w:szCs w:val="24"/>
        </w:rPr>
        <w:t>և</w:t>
      </w:r>
      <w:r w:rsidRPr="00834D52">
        <w:rPr>
          <w:rFonts w:ascii="Sylfaen" w:hAnsi="Sylfaen"/>
          <w:sz w:val="24"/>
          <w:szCs w:val="24"/>
        </w:rPr>
        <w:t xml:space="preserve"> քանակական ցուցանիշների </w:t>
      </w:r>
      <w:r w:rsidR="00C54D75">
        <w:rPr>
          <w:rFonts w:ascii="Sylfaen" w:hAnsi="Sylfaen"/>
          <w:sz w:val="24"/>
          <w:szCs w:val="24"/>
        </w:rPr>
        <w:t>և</w:t>
      </w:r>
      <w:r w:rsidRPr="00834D52">
        <w:rPr>
          <w:rFonts w:ascii="Sylfaen" w:hAnsi="Sylfaen"/>
          <w:sz w:val="24"/>
          <w:szCs w:val="24"/>
        </w:rPr>
        <w:t xml:space="preserve"> ըստ հայտագրվող կլինիկական կիրառության: Բոլոր արդյունքները պետք է լինեն հավաստի </w:t>
      </w:r>
      <w:r w:rsidR="00C54D75">
        <w:rPr>
          <w:rFonts w:ascii="Sylfaen" w:hAnsi="Sylfaen"/>
          <w:sz w:val="24"/>
          <w:szCs w:val="24"/>
        </w:rPr>
        <w:t>և</w:t>
      </w:r>
      <w:r w:rsidRPr="00834D52">
        <w:rPr>
          <w:rFonts w:ascii="Sylfaen" w:hAnsi="Sylfaen"/>
          <w:sz w:val="24"/>
          <w:szCs w:val="24"/>
        </w:rPr>
        <w:t xml:space="preserve"> բոլորի համար կիրառելի: </w:t>
      </w:r>
      <w:r w:rsidRPr="00834D52">
        <w:rPr>
          <w:rFonts w:ascii="Sylfaen" w:hAnsi="Sylfaen"/>
          <w:sz w:val="24"/>
          <w:szCs w:val="24"/>
        </w:rPr>
        <w:lastRenderedPageBreak/>
        <w:t xml:space="preserve">Փորձարարական հետազոտությունների պլանավորման </w:t>
      </w:r>
      <w:r w:rsidR="00C54D75">
        <w:rPr>
          <w:rFonts w:ascii="Sylfaen" w:hAnsi="Sylfaen"/>
          <w:sz w:val="24"/>
          <w:szCs w:val="24"/>
        </w:rPr>
        <w:t>և</w:t>
      </w:r>
      <w:r w:rsidRPr="00834D52">
        <w:rPr>
          <w:rFonts w:ascii="Sylfaen" w:hAnsi="Sylfaen"/>
          <w:sz w:val="24"/>
          <w:szCs w:val="24"/>
        </w:rPr>
        <w:t xml:space="preserve"> ստացված տվյալների գնահատման ժամանակ անհրաժեշտ է օգտագործել արդյունքների մաթեմատիկական </w:t>
      </w:r>
      <w:r w:rsidR="00C54D75">
        <w:rPr>
          <w:rFonts w:ascii="Sylfaen" w:hAnsi="Sylfaen"/>
          <w:sz w:val="24"/>
          <w:szCs w:val="24"/>
        </w:rPr>
        <w:t>և</w:t>
      </w:r>
      <w:r w:rsidRPr="00834D52">
        <w:rPr>
          <w:rFonts w:ascii="Sylfaen" w:hAnsi="Sylfaen"/>
          <w:sz w:val="24"/>
          <w:szCs w:val="24"/>
        </w:rPr>
        <w:t xml:space="preserve"> վիճակագրական մշակման մեթոդներ: </w:t>
      </w:r>
    </w:p>
    <w:p w14:paraId="4923F8FF" w14:textId="77777777" w:rsidR="006F76EB" w:rsidRPr="00834D52" w:rsidRDefault="006F76EB" w:rsidP="00E5048D">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Բացի այդ, անհրաժեշտ է գրանցման դոսյեի մեջ բուժաշխատողների համար ներկայացնել տեղեկատվություն՝ դեղապատրաստուկի թերապ</w:t>
      </w:r>
      <w:r w:rsidR="00C54D75">
        <w:rPr>
          <w:rFonts w:ascii="Sylfaen" w:hAnsi="Sylfaen"/>
          <w:sz w:val="24"/>
          <w:szCs w:val="24"/>
        </w:rPr>
        <w:t>և</w:t>
      </w:r>
      <w:r w:rsidRPr="00834D52">
        <w:rPr>
          <w:rFonts w:ascii="Sylfaen" w:hAnsi="Sylfaen"/>
          <w:sz w:val="24"/>
          <w:szCs w:val="24"/>
        </w:rPr>
        <w:t xml:space="preserve">տիկ </w:t>
      </w:r>
      <w:r w:rsidR="00C54D75">
        <w:rPr>
          <w:rFonts w:ascii="Sylfaen" w:hAnsi="Sylfaen"/>
          <w:sz w:val="24"/>
          <w:szCs w:val="24"/>
        </w:rPr>
        <w:t>և</w:t>
      </w:r>
      <w:r w:rsidRPr="00834D52">
        <w:rPr>
          <w:rFonts w:ascii="Sylfaen" w:hAnsi="Sylfaen"/>
          <w:sz w:val="24"/>
          <w:szCs w:val="24"/>
        </w:rPr>
        <w:t xml:space="preserve"> թունաբանական պոտենցիալի (ներունակության) մասին: </w:t>
      </w:r>
    </w:p>
    <w:p w14:paraId="04141ED0" w14:textId="77777777" w:rsidR="006F76EB" w:rsidRPr="00834D52" w:rsidRDefault="006F76EB" w:rsidP="00E5048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Այնպիսի կենսաբանական դեղապատրաստուկների համար, ինչպիսիք են իմունոլոգիական դեղապատրաստուկները </w:t>
      </w:r>
      <w:r w:rsidR="00C54D75">
        <w:rPr>
          <w:rFonts w:ascii="Sylfaen" w:hAnsi="Sylfaen"/>
          <w:sz w:val="24"/>
          <w:szCs w:val="24"/>
        </w:rPr>
        <w:t>և</w:t>
      </w:r>
      <w:r w:rsidRPr="00834D52">
        <w:rPr>
          <w:rFonts w:ascii="Sylfaen" w:hAnsi="Sylfaen"/>
          <w:sz w:val="24"/>
          <w:szCs w:val="24"/>
        </w:rPr>
        <w:t xml:space="preserve"> մարդու արյունից </w:t>
      </w:r>
      <w:r w:rsidR="00C54D75">
        <w:rPr>
          <w:rFonts w:ascii="Sylfaen" w:hAnsi="Sylfaen"/>
          <w:sz w:val="24"/>
          <w:szCs w:val="24"/>
        </w:rPr>
        <w:t>և</w:t>
      </w:r>
      <w:r w:rsidRPr="00834D52">
        <w:rPr>
          <w:rFonts w:ascii="Sylfaen" w:hAnsi="Sylfaen"/>
          <w:sz w:val="24"/>
          <w:szCs w:val="24"/>
        </w:rPr>
        <w:t xml:space="preserve"> պլազմայից ստացվող դեղապատրաստուկները, կարող է պահանջվել դեղապատրաստուկի գրանցման դոսյեի տվյալ մոդուլի պահանջների հարմարեցում կոնկրետ դեղապատրաստուկին, այդ պատճառով հայտատուն պետք է ներկայացնի հետազոտության օգտագործված ծրագրի հիմնավորում: </w:t>
      </w:r>
    </w:p>
    <w:p w14:paraId="12EED2AE" w14:textId="77777777" w:rsidR="006F76EB" w:rsidRPr="00834D52" w:rsidRDefault="006F76EB" w:rsidP="00E5048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դրա հետազոտության ծրագրի առումով անհրաժեշտ է նախատեսել, որ՝ </w:t>
      </w:r>
    </w:p>
    <w:p w14:paraId="6F150AC4" w14:textId="77777777" w:rsidR="006F76EB" w:rsidRPr="00834D52" w:rsidRDefault="006F76EB" w:rsidP="00E5048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բազմակի ներմուծում պահանջող բոլոր հետազոտությունները պլանավորվել են՝ հաշվի առնելով հակամարմինների առաջացումը խթանելու </w:t>
      </w:r>
      <w:r w:rsidR="00C54D75">
        <w:rPr>
          <w:rFonts w:ascii="Sylfaen" w:hAnsi="Sylfaen"/>
          <w:sz w:val="24"/>
          <w:szCs w:val="24"/>
        </w:rPr>
        <w:t>և</w:t>
      </w:r>
      <w:r w:rsidRPr="00834D52">
        <w:rPr>
          <w:rFonts w:ascii="Sylfaen" w:hAnsi="Sylfaen"/>
          <w:sz w:val="24"/>
          <w:szCs w:val="24"/>
        </w:rPr>
        <w:t xml:space="preserve"> օրգանիզմի վրա հակամարմինները ներգործելու հնարավորությունները, </w:t>
      </w:r>
    </w:p>
    <w:p w14:paraId="154AEBD4" w14:textId="77777777" w:rsidR="006F76EB" w:rsidRPr="00834D52" w:rsidRDefault="006F76EB" w:rsidP="00E5048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վերլուծվել են վերարտադրողական գործառույթի, սաղմնային (պտղային) </w:t>
      </w:r>
      <w:r w:rsidR="00C54D75">
        <w:rPr>
          <w:rFonts w:ascii="Sylfaen" w:hAnsi="Sylfaen"/>
          <w:sz w:val="24"/>
          <w:szCs w:val="24"/>
        </w:rPr>
        <w:t>և</w:t>
      </w:r>
      <w:r w:rsidRPr="00834D52">
        <w:rPr>
          <w:rFonts w:ascii="Sylfaen" w:hAnsi="Sylfaen"/>
          <w:sz w:val="24"/>
          <w:szCs w:val="24"/>
        </w:rPr>
        <w:t xml:space="preserve"> նախածննդաբերական թունավորության, ինչպես նա</w:t>
      </w:r>
      <w:r w:rsidR="00C54D75">
        <w:rPr>
          <w:rFonts w:ascii="Sylfaen" w:hAnsi="Sylfaen"/>
          <w:sz w:val="24"/>
          <w:szCs w:val="24"/>
        </w:rPr>
        <w:t>և</w:t>
      </w:r>
      <w:r w:rsidRPr="00834D52">
        <w:rPr>
          <w:rFonts w:ascii="Sylfaen" w:hAnsi="Sylfaen"/>
          <w:sz w:val="24"/>
          <w:szCs w:val="24"/>
        </w:rPr>
        <w:t xml:space="preserve"> դեղապատրաստուկի մուտագեն </w:t>
      </w:r>
      <w:r w:rsidR="00C54D75">
        <w:rPr>
          <w:rFonts w:ascii="Sylfaen" w:hAnsi="Sylfaen"/>
          <w:sz w:val="24"/>
          <w:szCs w:val="24"/>
        </w:rPr>
        <w:t>և</w:t>
      </w:r>
      <w:r w:rsidRPr="00834D52">
        <w:rPr>
          <w:rFonts w:ascii="Sylfaen" w:hAnsi="Sylfaen"/>
          <w:sz w:val="24"/>
          <w:szCs w:val="24"/>
        </w:rPr>
        <w:t xml:space="preserve"> քաղցկեղածին ազդեցության հետազոտություններ անցկացնելու նպատակահարմարության հարցերը: Եթե թունավորության պատճառը ակտիվ նյութը չէ (4-րդ </w:t>
      </w:r>
      <w:r w:rsidR="00C54D75">
        <w:rPr>
          <w:rFonts w:ascii="Sylfaen" w:hAnsi="Sylfaen"/>
          <w:sz w:val="24"/>
          <w:szCs w:val="24"/>
        </w:rPr>
        <w:t>և</w:t>
      </w:r>
      <w:r w:rsidRPr="00834D52">
        <w:rPr>
          <w:rFonts w:ascii="Sylfaen" w:hAnsi="Sylfaen"/>
          <w:sz w:val="24"/>
          <w:szCs w:val="24"/>
        </w:rPr>
        <w:t xml:space="preserve"> 5-րդ մոդուլների նկարագրության ժամանակ «ակտիվ (ազդող) նյութ», «ակտիվ նյութ» </w:t>
      </w:r>
      <w:r w:rsidR="00C54D75">
        <w:rPr>
          <w:rFonts w:ascii="Sylfaen" w:hAnsi="Sylfaen"/>
          <w:sz w:val="24"/>
          <w:szCs w:val="24"/>
        </w:rPr>
        <w:t>և</w:t>
      </w:r>
      <w:r w:rsidRPr="00834D52">
        <w:rPr>
          <w:rFonts w:ascii="Sylfaen" w:hAnsi="Sylfaen"/>
          <w:sz w:val="24"/>
          <w:szCs w:val="24"/>
        </w:rPr>
        <w:t xml:space="preserve"> «ազդող նյութ» հասկացությունները համանման են), այլ ուրիշ նյութեր, ապա կարելի է հետազոտություններ անցկացնել այն պայմանով, որ վալիդացման արդյունքներով հաստատվել է, որ այդ բաղադրիչները հեռացվել են դեղապատրաստուկից:</w:t>
      </w:r>
    </w:p>
    <w:p w14:paraId="7645E9C5" w14:textId="77777777" w:rsidR="006F76EB" w:rsidRPr="00834D52" w:rsidRDefault="006F76EB" w:rsidP="00E5048D">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Եթե օժանդակ նյութը օգտագործվում է դեղագործական գործունեության մեջ առաջին անգամ, անհրաժեշտ է անցկացնել դրա թունաբանական </w:t>
      </w:r>
      <w:r w:rsidR="00C54D75">
        <w:rPr>
          <w:rFonts w:ascii="Sylfaen" w:hAnsi="Sylfaen"/>
          <w:sz w:val="24"/>
          <w:szCs w:val="24"/>
        </w:rPr>
        <w:t>և</w:t>
      </w:r>
      <w:r w:rsidRPr="00834D52">
        <w:rPr>
          <w:rFonts w:ascii="Sylfaen" w:hAnsi="Sylfaen"/>
          <w:sz w:val="24"/>
          <w:szCs w:val="24"/>
        </w:rPr>
        <w:t xml:space="preserve"> </w:t>
      </w:r>
      <w:r w:rsidR="00355C33">
        <w:rPr>
          <w:rFonts w:ascii="Sylfaen" w:hAnsi="Sylfaen"/>
          <w:sz w:val="24"/>
          <w:szCs w:val="24"/>
        </w:rPr>
        <w:t>դեղա</w:t>
      </w:r>
      <w:r w:rsidRPr="00834D52">
        <w:rPr>
          <w:rFonts w:ascii="Sylfaen" w:hAnsi="Sylfaen"/>
          <w:sz w:val="24"/>
          <w:szCs w:val="24"/>
        </w:rPr>
        <w:t xml:space="preserve">կինետիկ հետազոտություններ: </w:t>
      </w:r>
    </w:p>
    <w:p w14:paraId="73262EE3" w14:textId="77777777" w:rsidR="006F76EB" w:rsidRPr="00834D52" w:rsidRDefault="006F76EB" w:rsidP="00E5048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կա դեղապատրաստուկի զգալի քայքայման հավանականություն դրա պահպանման ժամանակ, անհրաժեշտ է քննարկել քայքայման արգասիքների թունաբանական հետազոտություն անցկացնելու մասին հարցը: </w:t>
      </w:r>
    </w:p>
    <w:p w14:paraId="1AE1B247" w14:textId="77777777" w:rsidR="006F76EB" w:rsidRPr="00834D52" w:rsidRDefault="006F76EB" w:rsidP="00604C9A">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4.2.1.</w:t>
      </w:r>
      <w:r w:rsidRPr="00834D52">
        <w:rPr>
          <w:rFonts w:ascii="Sylfaen" w:hAnsi="Sylfaen"/>
          <w:sz w:val="24"/>
          <w:szCs w:val="24"/>
        </w:rPr>
        <w:tab/>
        <w:t>Դեղաբանություն:</w:t>
      </w:r>
    </w:p>
    <w:p w14:paraId="5F81125A" w14:textId="77777777" w:rsidR="006F76EB" w:rsidRPr="00834D52" w:rsidRDefault="006F76EB" w:rsidP="00E5048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Դեղաբանական հետազոտությունների մասով դեղապաստրաստուկի գրանցման դոսյեում անհրաժեշտ է լուսաբանել 2 տարբեր ասպեկտներ՝ </w:t>
      </w:r>
    </w:p>
    <w:p w14:paraId="75A9E840" w14:textId="77777777" w:rsidR="006F76EB" w:rsidRPr="00834D52" w:rsidRDefault="006F76EB" w:rsidP="00E5048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թերապ</w:t>
      </w:r>
      <w:r w:rsidR="00C54D75">
        <w:rPr>
          <w:rFonts w:ascii="Sylfaen" w:hAnsi="Sylfaen"/>
          <w:sz w:val="24"/>
          <w:szCs w:val="24"/>
        </w:rPr>
        <w:t>և</w:t>
      </w:r>
      <w:r w:rsidRPr="00834D52">
        <w:rPr>
          <w:rFonts w:ascii="Sylfaen" w:hAnsi="Sylfaen"/>
          <w:sz w:val="24"/>
          <w:szCs w:val="24"/>
        </w:rPr>
        <w:t xml:space="preserve">տիկ կիրառության համար առաջարկվող դեղապատրաստուկի </w:t>
      </w:r>
      <w:r w:rsidR="00355C33">
        <w:rPr>
          <w:rFonts w:ascii="Sylfaen" w:hAnsi="Sylfaen"/>
          <w:sz w:val="24"/>
          <w:szCs w:val="24"/>
        </w:rPr>
        <w:t>դեղա</w:t>
      </w:r>
      <w:r w:rsidRPr="00834D52">
        <w:rPr>
          <w:rFonts w:ascii="Sylfaen" w:hAnsi="Sylfaen"/>
          <w:sz w:val="24"/>
          <w:szCs w:val="24"/>
        </w:rPr>
        <w:t xml:space="preserve">դինամիկ ակտիվությունը պետք է համապատասխան կերպով ուսումնասիրված </w:t>
      </w:r>
      <w:r w:rsidR="00C54D75">
        <w:rPr>
          <w:rFonts w:ascii="Sylfaen" w:hAnsi="Sylfaen"/>
          <w:sz w:val="24"/>
          <w:szCs w:val="24"/>
        </w:rPr>
        <w:t>և</w:t>
      </w:r>
      <w:r w:rsidRPr="00834D52">
        <w:rPr>
          <w:rFonts w:ascii="Sylfaen" w:hAnsi="Sylfaen"/>
          <w:sz w:val="24"/>
          <w:szCs w:val="24"/>
        </w:rPr>
        <w:t xml:space="preserve"> նկարագրված լինի: Հնարավորության դեպքում պետք է օգտագործվեն հետազոտության ընդունված </w:t>
      </w:r>
      <w:r w:rsidR="00C54D75">
        <w:rPr>
          <w:rFonts w:ascii="Sylfaen" w:hAnsi="Sylfaen"/>
          <w:sz w:val="24"/>
          <w:szCs w:val="24"/>
        </w:rPr>
        <w:t>և</w:t>
      </w:r>
      <w:r w:rsidRPr="00834D52">
        <w:rPr>
          <w:rFonts w:ascii="Sylfaen" w:hAnsi="Sylfaen"/>
          <w:sz w:val="24"/>
          <w:szCs w:val="24"/>
        </w:rPr>
        <w:t xml:space="preserve"> վալիդացված մեթոդիկաներ (ինչպես in vivo, այպես էլ in vitro): Նոր փորձարարական մեթոդիկաների նկարագրությունը պետք է լինի բավականաչափ մանրամասն, որպեսզի ապահովի դրանց վերարտադրելիությունը: Արդյունքներն անհրաժեշտ է ներկայացնել քանակական ցուցանիշների տեսքով (օրինակ՝ դեղաչափ-էֆեկտ </w:t>
      </w:r>
      <w:r w:rsidR="00C54D75">
        <w:rPr>
          <w:rFonts w:ascii="Sylfaen" w:hAnsi="Sylfaen"/>
          <w:sz w:val="24"/>
          <w:szCs w:val="24"/>
        </w:rPr>
        <w:t>և</w:t>
      </w:r>
      <w:r w:rsidRPr="00834D52">
        <w:rPr>
          <w:rFonts w:ascii="Sylfaen" w:hAnsi="Sylfaen"/>
          <w:sz w:val="24"/>
          <w:szCs w:val="24"/>
        </w:rPr>
        <w:t xml:space="preserve"> (կամ) ժամանակ-էֆեկտ կորերի </w:t>
      </w:r>
      <w:r w:rsidR="00C54D75">
        <w:rPr>
          <w:rFonts w:ascii="Sylfaen" w:hAnsi="Sylfaen"/>
          <w:sz w:val="24"/>
          <w:szCs w:val="24"/>
        </w:rPr>
        <w:t>և</w:t>
      </w:r>
      <w:r w:rsidRPr="00834D52">
        <w:rPr>
          <w:rFonts w:ascii="Sylfaen" w:hAnsi="Sylfaen"/>
          <w:sz w:val="24"/>
          <w:szCs w:val="24"/>
        </w:rPr>
        <w:t xml:space="preserve"> այլն): Արդյունքները պետք է համադրվեն համանման թերապ</w:t>
      </w:r>
      <w:r w:rsidR="00C54D75">
        <w:rPr>
          <w:rFonts w:ascii="Sylfaen" w:hAnsi="Sylfaen"/>
          <w:sz w:val="24"/>
          <w:szCs w:val="24"/>
        </w:rPr>
        <w:t>և</w:t>
      </w:r>
      <w:r w:rsidRPr="00834D52">
        <w:rPr>
          <w:rFonts w:ascii="Sylfaen" w:hAnsi="Sylfaen"/>
          <w:sz w:val="24"/>
          <w:szCs w:val="24"/>
        </w:rPr>
        <w:t>տիկ ազդեցություն ունեցող նյութը կամ նյութերը բնութագրող տվյալների հետ: Համեմատական հետազոտությունների բացակայությունը պետք է հիմնավորված լինի,</w:t>
      </w:r>
    </w:p>
    <w:p w14:paraId="123FCC20" w14:textId="77777777" w:rsidR="006F76EB" w:rsidRPr="00834D52" w:rsidRDefault="006F76EB" w:rsidP="00E5048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հայտատուն պետք է ուսումնասիրի նյութի հնարավոր անցանկալի </w:t>
      </w:r>
      <w:r w:rsidR="00355C33">
        <w:rPr>
          <w:rFonts w:ascii="Sylfaen" w:hAnsi="Sylfaen"/>
          <w:sz w:val="24"/>
          <w:szCs w:val="24"/>
        </w:rPr>
        <w:t>դեղա</w:t>
      </w:r>
      <w:r w:rsidRPr="00834D52">
        <w:rPr>
          <w:rFonts w:ascii="Sylfaen" w:hAnsi="Sylfaen"/>
          <w:sz w:val="24"/>
          <w:szCs w:val="24"/>
        </w:rPr>
        <w:t>դինամիկ էֆեկտները կենդանի օրգանիզմի ֆիզիոլոգիական գործառույթների փոփոխության առումով: Այդպիսի ուսումնասիրություն անհրաժեշտ է անցկացնել դեղաչափերի սպասվող թերապ</w:t>
      </w:r>
      <w:r w:rsidR="00C54D75">
        <w:rPr>
          <w:rFonts w:ascii="Sylfaen" w:hAnsi="Sylfaen"/>
          <w:sz w:val="24"/>
          <w:szCs w:val="24"/>
        </w:rPr>
        <w:t>և</w:t>
      </w:r>
      <w:r w:rsidRPr="00834D52">
        <w:rPr>
          <w:rFonts w:ascii="Sylfaen" w:hAnsi="Sylfaen"/>
          <w:sz w:val="24"/>
          <w:szCs w:val="24"/>
        </w:rPr>
        <w:t xml:space="preserve">տիկ ընդգրկույթին համապատասխանող </w:t>
      </w:r>
      <w:r w:rsidR="00C54D75">
        <w:rPr>
          <w:rFonts w:ascii="Sylfaen" w:hAnsi="Sylfaen"/>
          <w:sz w:val="24"/>
          <w:szCs w:val="24"/>
        </w:rPr>
        <w:t>և</w:t>
      </w:r>
      <w:r w:rsidRPr="00834D52">
        <w:rPr>
          <w:rFonts w:ascii="Sylfaen" w:hAnsi="Sylfaen"/>
          <w:sz w:val="24"/>
          <w:szCs w:val="24"/>
        </w:rPr>
        <w:t xml:space="preserve"> այդ ընդգրկույթը գերազանցող էքսպոզիցիաների ժամանակ: Եթե փորձարարական մեթոդները ստանդարտ չեն, դրանք պետք է բավականաչափ մանրամասն նկարագրվեն </w:t>
      </w:r>
      <w:r w:rsidR="00C54D75">
        <w:rPr>
          <w:rFonts w:ascii="Sylfaen" w:hAnsi="Sylfaen"/>
          <w:sz w:val="24"/>
          <w:szCs w:val="24"/>
        </w:rPr>
        <w:t>և</w:t>
      </w:r>
      <w:r w:rsidRPr="00834D52">
        <w:rPr>
          <w:rFonts w:ascii="Sylfaen" w:hAnsi="Sylfaen"/>
          <w:sz w:val="24"/>
          <w:szCs w:val="24"/>
        </w:rPr>
        <w:t xml:space="preserve"> վալիդացվեն (դրանք վերարտադրելու </w:t>
      </w:r>
      <w:r w:rsidR="00C54D75">
        <w:rPr>
          <w:rFonts w:ascii="Sylfaen" w:hAnsi="Sylfaen"/>
          <w:sz w:val="24"/>
          <w:szCs w:val="24"/>
        </w:rPr>
        <w:t>և</w:t>
      </w:r>
      <w:r w:rsidRPr="00834D52">
        <w:rPr>
          <w:rFonts w:ascii="Sylfaen" w:hAnsi="Sylfaen"/>
          <w:sz w:val="24"/>
          <w:szCs w:val="24"/>
        </w:rPr>
        <w:t xml:space="preserve"> դրանց հավաստիությունը </w:t>
      </w:r>
      <w:r w:rsidRPr="00834D52">
        <w:rPr>
          <w:rFonts w:ascii="Sylfaen" w:hAnsi="Sylfaen"/>
          <w:sz w:val="24"/>
          <w:szCs w:val="24"/>
        </w:rPr>
        <w:lastRenderedPageBreak/>
        <w:t xml:space="preserve">հաստատելու հնարավորությունն ապահովելու համար): Ակտիվ նյութի բազմակի ներմուծմանն ի պատասխան առաջացած ռեակցիաների ցանկացած քանակական փոփոխություն պետք է հետազոտվի: </w:t>
      </w:r>
    </w:p>
    <w:p w14:paraId="34869841" w14:textId="77777777" w:rsidR="006F76EB" w:rsidRPr="00834D52" w:rsidRDefault="006F76EB" w:rsidP="00E5048D">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Ակտիվ նյութերի ֆիքսված համակցությունների </w:t>
      </w:r>
      <w:r w:rsidR="00355C33">
        <w:rPr>
          <w:rFonts w:ascii="Sylfaen" w:hAnsi="Sylfaen"/>
          <w:sz w:val="24"/>
          <w:szCs w:val="24"/>
        </w:rPr>
        <w:t>դեղա</w:t>
      </w:r>
      <w:r w:rsidRPr="00834D52">
        <w:rPr>
          <w:rFonts w:ascii="Sylfaen" w:hAnsi="Sylfaen"/>
          <w:sz w:val="24"/>
          <w:szCs w:val="24"/>
        </w:rPr>
        <w:t xml:space="preserve">դինամիկ փոխազդեցությունն ուսումնասիրելու մասով գրանցման դոսյեի փաստաթղթերը պետք է հիմնվեն դեղաբանական նախադրյալների կամ այդ ֆիքսված համակցությունների կիրառության ցուցումների վրա: Առաջին դեպքում </w:t>
      </w:r>
      <w:r w:rsidR="00355C33">
        <w:rPr>
          <w:rFonts w:ascii="Sylfaen" w:hAnsi="Sylfaen"/>
          <w:sz w:val="24"/>
          <w:szCs w:val="24"/>
        </w:rPr>
        <w:t>դեղա</w:t>
      </w:r>
      <w:r w:rsidRPr="00834D52">
        <w:rPr>
          <w:rFonts w:ascii="Sylfaen" w:hAnsi="Sylfaen"/>
          <w:sz w:val="24"/>
          <w:szCs w:val="24"/>
        </w:rPr>
        <w:t>դինամիկ հետազոտությունը պետք է հաստատի այն փոխազդեցությունները, որոնք այդ համակցությունը դարձնում են թերապ</w:t>
      </w:r>
      <w:r w:rsidR="00C54D75">
        <w:rPr>
          <w:rFonts w:ascii="Sylfaen" w:hAnsi="Sylfaen"/>
          <w:sz w:val="24"/>
          <w:szCs w:val="24"/>
        </w:rPr>
        <w:t>և</w:t>
      </w:r>
      <w:r w:rsidRPr="00834D52">
        <w:rPr>
          <w:rFonts w:ascii="Sylfaen" w:hAnsi="Sylfaen"/>
          <w:sz w:val="24"/>
          <w:szCs w:val="24"/>
        </w:rPr>
        <w:t xml:space="preserve">տիկ կիրառության համար նշանակալի: Երկրորդ դեպքում, երբ նյութերի այդպիսի համակցության գիտական հիմնավորումը հիմնվում է փորձարարական թերապիայի վրա, հետազոտությունը սահմանում է կենդանիների վրա այն դեղաբանական ազդեցության հաստատման հնարավորությունը, որը սպասվում է ակտիվ նյութերի այդ համակցությունից մարդու մոտ </w:t>
      </w:r>
      <w:r w:rsidR="00C54D75">
        <w:rPr>
          <w:rFonts w:ascii="Sylfaen" w:hAnsi="Sylfaen"/>
          <w:sz w:val="24"/>
          <w:szCs w:val="24"/>
        </w:rPr>
        <w:t>և</w:t>
      </w:r>
      <w:r w:rsidRPr="00834D52">
        <w:rPr>
          <w:rFonts w:ascii="Sylfaen" w:hAnsi="Sylfaen"/>
          <w:sz w:val="24"/>
          <w:szCs w:val="24"/>
        </w:rPr>
        <w:t xml:space="preserve"> առնվազն հայտնաբերված ցանկացած ուղեկցող էֆեկտի նշանակալիությունը: </w:t>
      </w:r>
    </w:p>
    <w:p w14:paraId="2A8BCB08" w14:textId="77777777" w:rsidR="006F76EB" w:rsidRPr="00834D52" w:rsidRDefault="006F76EB" w:rsidP="00604C9A">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4.2.2.</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կինետիկան։</w:t>
      </w:r>
    </w:p>
    <w:p w14:paraId="4FF8CE71" w14:textId="77777777" w:rsidR="006F76EB" w:rsidRPr="00834D52" w:rsidRDefault="00355C33" w:rsidP="00C04974">
      <w:pPr>
        <w:spacing w:after="160" w:line="360" w:lineRule="auto"/>
        <w:ind w:right="-6" w:firstLine="567"/>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 xml:space="preserve">կինետիկ հետազոտությունների մասով գրանցման դոսյեի փաստաթղթերը ներառում են կենդանի օրգանիզմում ակտիվ նյութի </w:t>
      </w:r>
      <w:r w:rsidR="00C54D75">
        <w:rPr>
          <w:rFonts w:ascii="Sylfaen" w:hAnsi="Sylfaen"/>
          <w:sz w:val="24"/>
          <w:szCs w:val="24"/>
        </w:rPr>
        <w:t>և</w:t>
      </w:r>
      <w:r w:rsidR="006F76EB" w:rsidRPr="00834D52">
        <w:rPr>
          <w:rFonts w:ascii="Sylfaen" w:hAnsi="Sylfaen"/>
          <w:sz w:val="24"/>
          <w:szCs w:val="24"/>
        </w:rPr>
        <w:t xml:space="preserve"> դրա մետաբոլիտների հետ տեղի ունեցող բոլոր գործընթացների վերլուծության արդյունքները </w:t>
      </w:r>
      <w:r w:rsidR="00C54D75">
        <w:rPr>
          <w:rFonts w:ascii="Sylfaen" w:hAnsi="Sylfaen"/>
          <w:sz w:val="24"/>
          <w:szCs w:val="24"/>
        </w:rPr>
        <w:t>և</w:t>
      </w:r>
      <w:r w:rsidR="006F76EB" w:rsidRPr="00834D52">
        <w:rPr>
          <w:rFonts w:ascii="Sylfaen" w:hAnsi="Sylfaen"/>
          <w:sz w:val="24"/>
          <w:szCs w:val="24"/>
        </w:rPr>
        <w:t xml:space="preserve"> ընդգրկում են կլանման, բաշխման, կենսաձ</w:t>
      </w:r>
      <w:r w:rsidR="00C54D75">
        <w:rPr>
          <w:rFonts w:ascii="Sylfaen" w:hAnsi="Sylfaen"/>
          <w:sz w:val="24"/>
          <w:szCs w:val="24"/>
        </w:rPr>
        <w:t>և</w:t>
      </w:r>
      <w:r w:rsidR="006F76EB" w:rsidRPr="00834D52">
        <w:rPr>
          <w:rFonts w:ascii="Sylfaen" w:hAnsi="Sylfaen"/>
          <w:sz w:val="24"/>
          <w:szCs w:val="24"/>
        </w:rPr>
        <w:t xml:space="preserve">ափոխման </w:t>
      </w:r>
      <w:r w:rsidR="00C54D75">
        <w:rPr>
          <w:rFonts w:ascii="Sylfaen" w:hAnsi="Sylfaen"/>
          <w:sz w:val="24"/>
          <w:szCs w:val="24"/>
        </w:rPr>
        <w:t>և</w:t>
      </w:r>
      <w:r w:rsidR="006F76EB" w:rsidRPr="00834D52">
        <w:rPr>
          <w:rFonts w:ascii="Sylfaen" w:hAnsi="Sylfaen"/>
          <w:sz w:val="24"/>
          <w:szCs w:val="24"/>
        </w:rPr>
        <w:t xml:space="preserve"> ակտիվ նյութի </w:t>
      </w:r>
      <w:r w:rsidR="00C54D75">
        <w:rPr>
          <w:rFonts w:ascii="Sylfaen" w:hAnsi="Sylfaen"/>
          <w:sz w:val="24"/>
          <w:szCs w:val="24"/>
        </w:rPr>
        <w:t>և</w:t>
      </w:r>
      <w:r w:rsidR="006F76EB" w:rsidRPr="00834D52">
        <w:rPr>
          <w:rFonts w:ascii="Sylfaen" w:hAnsi="Sylfaen"/>
          <w:sz w:val="24"/>
          <w:szCs w:val="24"/>
        </w:rPr>
        <w:t xml:space="preserve"> դրա մետաբոլիտների դուրսբերման ուսումնասիրությունը: </w:t>
      </w:r>
    </w:p>
    <w:p w14:paraId="1714AB68"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Փուլերից յուրաքանչյուրի հետազոտությունը (կլանման, բաշխման, կենսաձ</w:t>
      </w:r>
      <w:r w:rsidR="00C54D75">
        <w:rPr>
          <w:rFonts w:ascii="Sylfaen" w:hAnsi="Sylfaen"/>
          <w:sz w:val="24"/>
          <w:szCs w:val="24"/>
        </w:rPr>
        <w:t>և</w:t>
      </w:r>
      <w:r w:rsidRPr="00834D52">
        <w:rPr>
          <w:rFonts w:ascii="Sylfaen" w:hAnsi="Sylfaen"/>
          <w:sz w:val="24"/>
          <w:szCs w:val="24"/>
        </w:rPr>
        <w:t xml:space="preserve">ափոխման </w:t>
      </w:r>
      <w:r w:rsidR="00C54D75">
        <w:rPr>
          <w:rFonts w:ascii="Sylfaen" w:hAnsi="Sylfaen"/>
          <w:sz w:val="24"/>
          <w:szCs w:val="24"/>
        </w:rPr>
        <w:t>և</w:t>
      </w:r>
      <w:r w:rsidRPr="00834D52">
        <w:rPr>
          <w:rFonts w:ascii="Sylfaen" w:hAnsi="Sylfaen"/>
          <w:sz w:val="24"/>
          <w:szCs w:val="24"/>
        </w:rPr>
        <w:t xml:space="preserve"> դուրսբերման) կարող է կատարվել ինչպես ֆիզիկական, քիմիական կամ կենսաբանական մեթոդների, այնպես էլ հենց ակտիվ նյութի փաստացի </w:t>
      </w:r>
      <w:r w:rsidR="00355C33">
        <w:rPr>
          <w:rFonts w:ascii="Sylfaen" w:hAnsi="Sylfaen"/>
          <w:sz w:val="24"/>
          <w:szCs w:val="24"/>
        </w:rPr>
        <w:t>դեղա</w:t>
      </w:r>
      <w:r w:rsidRPr="00834D52">
        <w:rPr>
          <w:rFonts w:ascii="Sylfaen" w:hAnsi="Sylfaen"/>
          <w:sz w:val="24"/>
          <w:szCs w:val="24"/>
        </w:rPr>
        <w:t xml:space="preserve">դինամիկ ակտիվության ուսումնասիրության միջոցով: </w:t>
      </w:r>
    </w:p>
    <w:p w14:paraId="0F006CE8" w14:textId="77777777" w:rsidR="006F76EB" w:rsidRPr="00834D52" w:rsidRDefault="006F76EB" w:rsidP="00C0497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Ակտիվ նյութի բաշխման </w:t>
      </w:r>
      <w:r w:rsidR="00C54D75">
        <w:rPr>
          <w:rFonts w:ascii="Sylfaen" w:hAnsi="Sylfaen"/>
          <w:sz w:val="24"/>
          <w:szCs w:val="24"/>
        </w:rPr>
        <w:t>և</w:t>
      </w:r>
      <w:r w:rsidRPr="00834D52">
        <w:rPr>
          <w:rFonts w:ascii="Sylfaen" w:hAnsi="Sylfaen"/>
          <w:sz w:val="24"/>
          <w:szCs w:val="24"/>
        </w:rPr>
        <w:t xml:space="preserve"> օրգանիզմից դուրսբերման մասին տեղեկատվությունն անհրաժեշտ է բոլոր այն դեպքերում, երբ ակտիվ նյութի բաշխման </w:t>
      </w:r>
      <w:r w:rsidR="00C54D75">
        <w:rPr>
          <w:rFonts w:ascii="Sylfaen" w:hAnsi="Sylfaen"/>
          <w:sz w:val="24"/>
          <w:szCs w:val="24"/>
        </w:rPr>
        <w:t>և</w:t>
      </w:r>
      <w:r w:rsidRPr="00834D52">
        <w:rPr>
          <w:rFonts w:ascii="Sylfaen" w:hAnsi="Sylfaen"/>
          <w:sz w:val="24"/>
          <w:szCs w:val="24"/>
        </w:rPr>
        <w:t xml:space="preserve"> դուրսբերման մասին տվյալները պարտադիր են մարդու համար </w:t>
      </w:r>
      <w:r w:rsidRPr="00834D52">
        <w:rPr>
          <w:rFonts w:ascii="Sylfaen" w:hAnsi="Sylfaen"/>
          <w:sz w:val="24"/>
          <w:szCs w:val="24"/>
        </w:rPr>
        <w:lastRenderedPageBreak/>
        <w:t>դեղապատրաստուկի դեղաչափը որոշելու համար, ինչպես նա</w:t>
      </w:r>
      <w:r w:rsidR="00C54D75">
        <w:rPr>
          <w:rFonts w:ascii="Sylfaen" w:hAnsi="Sylfaen"/>
          <w:sz w:val="24"/>
          <w:szCs w:val="24"/>
        </w:rPr>
        <w:t>և</w:t>
      </w:r>
      <w:r w:rsidRPr="00834D52">
        <w:rPr>
          <w:rFonts w:ascii="Sylfaen" w:hAnsi="Sylfaen"/>
          <w:sz w:val="24"/>
          <w:szCs w:val="24"/>
        </w:rPr>
        <w:t xml:space="preserve"> քիմիոթերապ</w:t>
      </w:r>
      <w:r w:rsidR="00C54D75">
        <w:rPr>
          <w:rFonts w:ascii="Sylfaen" w:hAnsi="Sylfaen"/>
          <w:sz w:val="24"/>
          <w:szCs w:val="24"/>
        </w:rPr>
        <w:t>և</w:t>
      </w:r>
      <w:r w:rsidRPr="00834D52">
        <w:rPr>
          <w:rFonts w:ascii="Sylfaen" w:hAnsi="Sylfaen"/>
          <w:sz w:val="24"/>
          <w:szCs w:val="24"/>
        </w:rPr>
        <w:t xml:space="preserve">տիկ նյութերի (հակաբիոտիկների </w:t>
      </w:r>
      <w:r w:rsidR="00C54D75">
        <w:rPr>
          <w:rFonts w:ascii="Sylfaen" w:hAnsi="Sylfaen"/>
          <w:sz w:val="24"/>
          <w:szCs w:val="24"/>
        </w:rPr>
        <w:t>և</w:t>
      </w:r>
      <w:r w:rsidRPr="00834D52">
        <w:rPr>
          <w:rFonts w:ascii="Sylfaen" w:hAnsi="Sylfaen"/>
          <w:sz w:val="24"/>
          <w:szCs w:val="24"/>
        </w:rPr>
        <w:t xml:space="preserve"> այլն) </w:t>
      </w:r>
      <w:r w:rsidR="00C54D75">
        <w:rPr>
          <w:rFonts w:ascii="Sylfaen" w:hAnsi="Sylfaen"/>
          <w:sz w:val="24"/>
          <w:szCs w:val="24"/>
        </w:rPr>
        <w:t>և</w:t>
      </w:r>
      <w:r w:rsidRPr="00834D52">
        <w:rPr>
          <w:rFonts w:ascii="Sylfaen" w:hAnsi="Sylfaen"/>
          <w:sz w:val="24"/>
          <w:szCs w:val="24"/>
        </w:rPr>
        <w:t xml:space="preserve"> այն նյութերի համար, որոնց օգտագործումը կախված է դրանց ոչ </w:t>
      </w:r>
      <w:r w:rsidR="00355C33">
        <w:rPr>
          <w:rFonts w:ascii="Sylfaen" w:hAnsi="Sylfaen"/>
          <w:sz w:val="24"/>
          <w:szCs w:val="24"/>
        </w:rPr>
        <w:t>դեղա</w:t>
      </w:r>
      <w:r w:rsidRPr="00834D52">
        <w:rPr>
          <w:rFonts w:ascii="Sylfaen" w:hAnsi="Sylfaen"/>
          <w:sz w:val="24"/>
          <w:szCs w:val="24"/>
        </w:rPr>
        <w:t xml:space="preserve">դինամիկ էֆեկտներից (օրինակ՝ ախտորոշիչ պատրաստուկներ </w:t>
      </w:r>
      <w:r w:rsidR="00C54D75">
        <w:rPr>
          <w:rFonts w:ascii="Sylfaen" w:hAnsi="Sylfaen"/>
          <w:sz w:val="24"/>
          <w:szCs w:val="24"/>
        </w:rPr>
        <w:t>և</w:t>
      </w:r>
      <w:r w:rsidRPr="00834D52">
        <w:rPr>
          <w:rFonts w:ascii="Sylfaen" w:hAnsi="Sylfaen"/>
          <w:sz w:val="24"/>
          <w:szCs w:val="24"/>
        </w:rPr>
        <w:t xml:space="preserve"> այլն):</w:t>
      </w:r>
    </w:p>
    <w:p w14:paraId="1E5EB5A2" w14:textId="77777777" w:rsidR="006F76EB" w:rsidRPr="00834D52" w:rsidRDefault="006F76EB" w:rsidP="00C0497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Նպատակահարմար է in vitro հետազոտություններն անցկացնել մարդուց ստացված թեստ-համակարգերի օգտագործմամբ, այլ ոչ թե կենդանական ծագման թեստ-համակարգերի օգտագործմամբ (օրինակ՝ ակտիվ նյութի՝ սպիտակուցների հետ կապվելու, մետաբոլիզմի, դեղերի փոխազդեցությունների հետազոտությունը): </w:t>
      </w:r>
    </w:p>
    <w:p w14:paraId="326AC7EB" w14:textId="77777777" w:rsidR="006F76EB" w:rsidRPr="00834D52" w:rsidRDefault="006F76EB" w:rsidP="00C0497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անհրաժեշտ է ներկայացնել դեղաբանորեն ակտիվ նյութերի </w:t>
      </w:r>
      <w:r w:rsidR="00355C33">
        <w:rPr>
          <w:rFonts w:ascii="Sylfaen" w:hAnsi="Sylfaen"/>
          <w:sz w:val="24"/>
          <w:szCs w:val="24"/>
        </w:rPr>
        <w:t>դեղա</w:t>
      </w:r>
      <w:r w:rsidRPr="00834D52">
        <w:rPr>
          <w:rFonts w:ascii="Sylfaen" w:hAnsi="Sylfaen"/>
          <w:sz w:val="24"/>
          <w:szCs w:val="24"/>
        </w:rPr>
        <w:t xml:space="preserve">կինետիկ հետազոտությունների արդյունքները: Այն հայտնի ակտիվ նյութերի նոր ֆիքսված համակցությունների օգտագործման ժամանակ, որոնք արդեն հետազոտվել են դեղամիջոցների շրջանառության մասով Միության իրավունքի մաս կազմող ակտերի դրույթներին համապատասխան, հայտատուի կողմից անցկացված սեփական </w:t>
      </w:r>
      <w:r w:rsidR="00355C33">
        <w:rPr>
          <w:rFonts w:ascii="Sylfaen" w:hAnsi="Sylfaen"/>
          <w:sz w:val="24"/>
          <w:szCs w:val="24"/>
        </w:rPr>
        <w:t>դեղա</w:t>
      </w:r>
      <w:r w:rsidRPr="00834D52">
        <w:rPr>
          <w:rFonts w:ascii="Sylfaen" w:hAnsi="Sylfaen"/>
          <w:sz w:val="24"/>
          <w:szCs w:val="24"/>
        </w:rPr>
        <w:t xml:space="preserve">կինետիկ հետազոտությունների մասին տեղեկատվությունը կարող է բացակայել գրանցման դոսյեից, եթե այդ որոշումը հիմնավորված է թունավորության հետազոտությունների </w:t>
      </w:r>
      <w:r w:rsidR="00C54D75">
        <w:rPr>
          <w:rFonts w:ascii="Sylfaen" w:hAnsi="Sylfaen"/>
          <w:sz w:val="24"/>
          <w:szCs w:val="24"/>
        </w:rPr>
        <w:t>և</w:t>
      </w:r>
      <w:r w:rsidRPr="00834D52">
        <w:rPr>
          <w:rFonts w:ascii="Sylfaen" w:hAnsi="Sylfaen"/>
          <w:sz w:val="24"/>
          <w:szCs w:val="24"/>
        </w:rPr>
        <w:t xml:space="preserve"> փորձարարական թերապ</w:t>
      </w:r>
      <w:r w:rsidR="00C54D75">
        <w:rPr>
          <w:rFonts w:ascii="Sylfaen" w:hAnsi="Sylfaen"/>
          <w:sz w:val="24"/>
          <w:szCs w:val="24"/>
        </w:rPr>
        <w:t>և</w:t>
      </w:r>
      <w:r w:rsidRPr="00834D52">
        <w:rPr>
          <w:rFonts w:ascii="Sylfaen" w:hAnsi="Sylfaen"/>
          <w:sz w:val="24"/>
          <w:szCs w:val="24"/>
        </w:rPr>
        <w:t xml:space="preserve">տիկ հետազոտությունների արդյունքներով: </w:t>
      </w:r>
    </w:p>
    <w:p w14:paraId="45844176" w14:textId="77777777" w:rsidR="006F76EB" w:rsidRPr="00834D52" w:rsidRDefault="00355C33" w:rsidP="00C04974">
      <w:pPr>
        <w:spacing w:after="160" w:line="360" w:lineRule="auto"/>
        <w:ind w:right="-6" w:firstLine="567"/>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 xml:space="preserve">կինետիկ հետազոտությունների ծրագիրը պետք է ապահովի մարդու </w:t>
      </w:r>
      <w:r w:rsidR="00C54D75">
        <w:rPr>
          <w:rFonts w:ascii="Sylfaen" w:hAnsi="Sylfaen"/>
          <w:sz w:val="24"/>
          <w:szCs w:val="24"/>
        </w:rPr>
        <w:t>և</w:t>
      </w:r>
      <w:r w:rsidR="006F76EB" w:rsidRPr="00834D52">
        <w:rPr>
          <w:rFonts w:ascii="Sylfaen" w:hAnsi="Sylfaen"/>
          <w:sz w:val="24"/>
          <w:szCs w:val="24"/>
        </w:rPr>
        <w:t xml:space="preserve"> կենդանիների մոտ ստացված </w:t>
      </w:r>
      <w:r>
        <w:rPr>
          <w:rFonts w:ascii="Sylfaen" w:hAnsi="Sylfaen"/>
          <w:sz w:val="24"/>
          <w:szCs w:val="24"/>
        </w:rPr>
        <w:t>դեղա</w:t>
      </w:r>
      <w:r w:rsidR="006F76EB" w:rsidRPr="00834D52">
        <w:rPr>
          <w:rFonts w:ascii="Sylfaen" w:hAnsi="Sylfaen"/>
          <w:sz w:val="24"/>
          <w:szCs w:val="24"/>
        </w:rPr>
        <w:t xml:space="preserve">կինետիկ տվյալների համեմատությունը </w:t>
      </w:r>
      <w:r w:rsidR="00C54D75">
        <w:rPr>
          <w:rFonts w:ascii="Sylfaen" w:hAnsi="Sylfaen"/>
          <w:sz w:val="24"/>
          <w:szCs w:val="24"/>
        </w:rPr>
        <w:t>և</w:t>
      </w:r>
      <w:r w:rsidR="006F76EB" w:rsidRPr="00834D52">
        <w:rPr>
          <w:rFonts w:ascii="Sylfaen" w:hAnsi="Sylfaen"/>
          <w:sz w:val="24"/>
          <w:szCs w:val="24"/>
        </w:rPr>
        <w:t xml:space="preserve"> </w:t>
      </w:r>
      <w:r>
        <w:rPr>
          <w:rFonts w:ascii="Sylfaen" w:hAnsi="Sylfaen"/>
          <w:sz w:val="24"/>
          <w:szCs w:val="24"/>
        </w:rPr>
        <w:t>դեղա</w:t>
      </w:r>
      <w:r w:rsidR="006F76EB" w:rsidRPr="00834D52">
        <w:rPr>
          <w:rFonts w:ascii="Sylfaen" w:hAnsi="Sylfaen"/>
          <w:sz w:val="24"/>
          <w:szCs w:val="24"/>
        </w:rPr>
        <w:t xml:space="preserve">կինետիկայի ուսումնասիրության՝ կենդանիների մոտ ստացված արդյունքների արտարկումը մարդու վրա: </w:t>
      </w:r>
    </w:p>
    <w:p w14:paraId="7DD02374" w14:textId="77777777" w:rsidR="006F76EB" w:rsidRPr="00834D52" w:rsidRDefault="006F76EB" w:rsidP="00604C9A">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4.2.3.</w:t>
      </w:r>
      <w:r w:rsidRPr="00834D52">
        <w:rPr>
          <w:rFonts w:ascii="Sylfaen" w:hAnsi="Sylfaen"/>
          <w:sz w:val="24"/>
          <w:szCs w:val="24"/>
        </w:rPr>
        <w:tab/>
        <w:t>Թունաբանությունը:</w:t>
      </w:r>
    </w:p>
    <w:p w14:paraId="34ED264E" w14:textId="77777777" w:rsidR="006F76EB" w:rsidRPr="00834D52" w:rsidRDefault="006F76EB" w:rsidP="00604C9A">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4.2.3.1.</w:t>
      </w:r>
      <w:r w:rsidRPr="00834D52">
        <w:rPr>
          <w:rFonts w:ascii="Sylfaen" w:hAnsi="Sylfaen"/>
          <w:sz w:val="24"/>
          <w:szCs w:val="24"/>
        </w:rPr>
        <w:tab/>
        <w:t xml:space="preserve">Դեղապատրաստուկի ակտիվ նյութի թունավորությունը մեկանգամյա ներմուծման ժամանակ: </w:t>
      </w:r>
    </w:p>
    <w:p w14:paraId="08E36045"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Մեկանգամյա ներմուծման ժամանակ թունավորությունը հետազոտելու մասով դեղապատրաստուկի գրանցման դոսյեի փաստաթղթերը ներառում են </w:t>
      </w:r>
      <w:r w:rsidRPr="00834D52">
        <w:rPr>
          <w:rFonts w:ascii="Sylfaen" w:hAnsi="Sylfaen"/>
          <w:sz w:val="24"/>
          <w:szCs w:val="24"/>
        </w:rPr>
        <w:lastRenderedPageBreak/>
        <w:t>թունավորության այն դրս</w:t>
      </w:r>
      <w:r w:rsidR="00C54D75">
        <w:rPr>
          <w:rFonts w:ascii="Sylfaen" w:hAnsi="Sylfaen"/>
          <w:sz w:val="24"/>
          <w:szCs w:val="24"/>
        </w:rPr>
        <w:t>և</w:t>
      </w:r>
      <w:r w:rsidRPr="00834D52">
        <w:rPr>
          <w:rFonts w:ascii="Sylfaen" w:hAnsi="Sylfaen"/>
          <w:sz w:val="24"/>
          <w:szCs w:val="24"/>
        </w:rPr>
        <w:t xml:space="preserve">որումների որակական </w:t>
      </w:r>
      <w:r w:rsidR="00C54D75">
        <w:rPr>
          <w:rFonts w:ascii="Sylfaen" w:hAnsi="Sylfaen"/>
          <w:sz w:val="24"/>
          <w:szCs w:val="24"/>
        </w:rPr>
        <w:t>և</w:t>
      </w:r>
      <w:r w:rsidRPr="00834D52">
        <w:rPr>
          <w:rFonts w:ascii="Sylfaen" w:hAnsi="Sylfaen"/>
          <w:sz w:val="24"/>
          <w:szCs w:val="24"/>
        </w:rPr>
        <w:t xml:space="preserve"> քանակական վերլուծությունը, որոնք կարող են առաջանալ այն ակտիվ նյութի կամ նյութերի մեկանգամյա ներմուծման հետ</w:t>
      </w:r>
      <w:r w:rsidR="00C54D75">
        <w:rPr>
          <w:rFonts w:ascii="Sylfaen" w:hAnsi="Sylfaen"/>
          <w:sz w:val="24"/>
          <w:szCs w:val="24"/>
        </w:rPr>
        <w:t>և</w:t>
      </w:r>
      <w:r w:rsidRPr="00834D52">
        <w:rPr>
          <w:rFonts w:ascii="Sylfaen" w:hAnsi="Sylfaen"/>
          <w:sz w:val="24"/>
          <w:szCs w:val="24"/>
        </w:rPr>
        <w:t xml:space="preserve">անքով, որոնք դեղապատրաստուկում պարունակվում են նույն այն հարաբերությամբ </w:t>
      </w:r>
      <w:r w:rsidR="00C54D75">
        <w:rPr>
          <w:rFonts w:ascii="Sylfaen" w:hAnsi="Sylfaen"/>
          <w:sz w:val="24"/>
          <w:szCs w:val="24"/>
        </w:rPr>
        <w:t>և</w:t>
      </w:r>
      <w:r w:rsidRPr="00834D52">
        <w:rPr>
          <w:rFonts w:ascii="Sylfaen" w:hAnsi="Sylfaen"/>
          <w:sz w:val="24"/>
          <w:szCs w:val="24"/>
        </w:rPr>
        <w:t xml:space="preserve"> նույն այն ֆիզիկաքիմիական վիճակով, ինչպես </w:t>
      </w:r>
      <w:r w:rsidR="00C54D75">
        <w:rPr>
          <w:rFonts w:ascii="Sylfaen" w:hAnsi="Sylfaen"/>
          <w:sz w:val="24"/>
          <w:szCs w:val="24"/>
        </w:rPr>
        <w:t>և</w:t>
      </w:r>
      <w:r w:rsidRPr="00834D52">
        <w:rPr>
          <w:rFonts w:ascii="Sylfaen" w:hAnsi="Sylfaen"/>
          <w:sz w:val="24"/>
          <w:szCs w:val="24"/>
        </w:rPr>
        <w:t xml:space="preserve"> պատրաստի դեղապատրաստուկում: </w:t>
      </w:r>
    </w:p>
    <w:p w14:paraId="15F0FA0E"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Մեկանգամյա ներմուծման ժամանակ թունավորության հետազոտությունները անհրաժեշտ է անցկացնել Հանձնաժողովի ձեռնարկներին համապատասխան կամ դրանց բացակայության դեպքում՝ անդամ պետությունների համապատասխան ձեռնարկներով: </w:t>
      </w:r>
    </w:p>
    <w:p w14:paraId="58B5AD65" w14:textId="77777777" w:rsidR="006F76EB" w:rsidRPr="00834D52" w:rsidRDefault="006F76EB" w:rsidP="00604C9A">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4.2.3.2.</w:t>
      </w:r>
      <w:r w:rsidRPr="00834D52">
        <w:rPr>
          <w:rFonts w:ascii="Sylfaen" w:hAnsi="Sylfaen"/>
          <w:sz w:val="24"/>
          <w:szCs w:val="24"/>
        </w:rPr>
        <w:tab/>
        <w:t>Թունավորությունը կրկնակի (բազմակի) ներմուծման դեպքում:</w:t>
      </w:r>
    </w:p>
    <w:p w14:paraId="4CC9F261"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Թունավորության հետազոտության մասով գրանցման դոսյեի փաստաթղթերը </w:t>
      </w:r>
    </w:p>
    <w:p w14:paraId="7A644249"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կրկնակի (բազմակի) ներմուծման դեպքում պետք է արտահայտեն ակտիվ նյութի կամ ակտիվ նյութերի համակցության բազմակի ներմուծման արդյունքում առաջացած ցանկացած ֆիզիոլոգիական </w:t>
      </w:r>
      <w:r w:rsidR="00C54D75">
        <w:rPr>
          <w:rFonts w:ascii="Sylfaen" w:hAnsi="Sylfaen"/>
          <w:sz w:val="24"/>
          <w:szCs w:val="24"/>
        </w:rPr>
        <w:t>և</w:t>
      </w:r>
      <w:r w:rsidRPr="00834D52">
        <w:rPr>
          <w:rFonts w:ascii="Sylfaen" w:hAnsi="Sylfaen"/>
          <w:sz w:val="24"/>
          <w:szCs w:val="24"/>
        </w:rPr>
        <w:t xml:space="preserve"> (կամ) պաթոանատոմիական փոփոխության հայտնաբերումը, </w:t>
      </w:r>
      <w:r w:rsidR="00C54D75">
        <w:rPr>
          <w:rFonts w:ascii="Sylfaen" w:hAnsi="Sylfaen"/>
          <w:sz w:val="24"/>
          <w:szCs w:val="24"/>
        </w:rPr>
        <w:t>և</w:t>
      </w:r>
      <w:r w:rsidRPr="00834D52">
        <w:rPr>
          <w:rFonts w:ascii="Sylfaen" w:hAnsi="Sylfaen"/>
          <w:sz w:val="24"/>
          <w:szCs w:val="24"/>
        </w:rPr>
        <w:t xml:space="preserve"> այդ փոփոխությունների՝ դեղաչափից կախված լինելու ձ</w:t>
      </w:r>
      <w:r w:rsidR="00C54D75">
        <w:rPr>
          <w:rFonts w:ascii="Sylfaen" w:hAnsi="Sylfaen"/>
          <w:sz w:val="24"/>
          <w:szCs w:val="24"/>
        </w:rPr>
        <w:t>և</w:t>
      </w:r>
      <w:r w:rsidRPr="00834D52">
        <w:rPr>
          <w:rFonts w:ascii="Sylfaen" w:hAnsi="Sylfaen"/>
          <w:sz w:val="24"/>
          <w:szCs w:val="24"/>
        </w:rPr>
        <w:t>ի սահմանումը:</w:t>
      </w:r>
    </w:p>
    <w:p w14:paraId="734FDC8F"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դոսյեում նախընտրելի է բերել 2 հետազոտությունների անցկացման արդյունքում ստացված տեղեկատվություն՝ կարճաժամկետ</w:t>
      </w:r>
      <w:r w:rsidR="003D12D4" w:rsidRPr="00553BBB">
        <w:rPr>
          <w:rFonts w:ascii="Sylfaen" w:hAnsi="Sylfaen"/>
          <w:sz w:val="24"/>
          <w:szCs w:val="24"/>
        </w:rPr>
        <w:br/>
      </w:r>
      <w:r w:rsidRPr="00834D52">
        <w:rPr>
          <w:rFonts w:ascii="Sylfaen" w:hAnsi="Sylfaen"/>
          <w:sz w:val="24"/>
          <w:szCs w:val="24"/>
        </w:rPr>
        <w:t>(2-4 շաբաթ տ</w:t>
      </w:r>
      <w:r w:rsidR="00C54D75">
        <w:rPr>
          <w:rFonts w:ascii="Sylfaen" w:hAnsi="Sylfaen"/>
          <w:sz w:val="24"/>
          <w:szCs w:val="24"/>
        </w:rPr>
        <w:t>և</w:t>
      </w:r>
      <w:r w:rsidRPr="00834D52">
        <w:rPr>
          <w:rFonts w:ascii="Sylfaen" w:hAnsi="Sylfaen"/>
          <w:sz w:val="24"/>
          <w:szCs w:val="24"/>
        </w:rPr>
        <w:t xml:space="preserve">ողությամբ) </w:t>
      </w:r>
      <w:r w:rsidR="00C54D75">
        <w:rPr>
          <w:rFonts w:ascii="Sylfaen" w:hAnsi="Sylfaen"/>
          <w:sz w:val="24"/>
          <w:szCs w:val="24"/>
        </w:rPr>
        <w:t>և</w:t>
      </w:r>
      <w:r w:rsidRPr="00834D52">
        <w:rPr>
          <w:rFonts w:ascii="Sylfaen" w:hAnsi="Sylfaen"/>
          <w:sz w:val="24"/>
          <w:szCs w:val="24"/>
        </w:rPr>
        <w:t xml:space="preserve"> երկարաժամկետ: </w:t>
      </w:r>
    </w:p>
    <w:p w14:paraId="59CD4578"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Երկարաժամկետ հետազոտության տ</w:t>
      </w:r>
      <w:r w:rsidR="00C54D75">
        <w:rPr>
          <w:rFonts w:ascii="Sylfaen" w:hAnsi="Sylfaen"/>
          <w:sz w:val="24"/>
          <w:szCs w:val="24"/>
        </w:rPr>
        <w:t>և</w:t>
      </w:r>
      <w:r w:rsidRPr="00834D52">
        <w:rPr>
          <w:rFonts w:ascii="Sylfaen" w:hAnsi="Sylfaen"/>
          <w:sz w:val="24"/>
          <w:szCs w:val="24"/>
        </w:rPr>
        <w:t>ողությունը կախված է դեղապատրաստուկի կլինիկական կիրառության տ</w:t>
      </w:r>
      <w:r w:rsidR="00C54D75">
        <w:rPr>
          <w:rFonts w:ascii="Sylfaen" w:hAnsi="Sylfaen"/>
          <w:sz w:val="24"/>
          <w:szCs w:val="24"/>
        </w:rPr>
        <w:t>և</w:t>
      </w:r>
      <w:r w:rsidRPr="00834D52">
        <w:rPr>
          <w:rFonts w:ascii="Sylfaen" w:hAnsi="Sylfaen"/>
          <w:sz w:val="24"/>
          <w:szCs w:val="24"/>
        </w:rPr>
        <w:t xml:space="preserve">ողությունից: </w:t>
      </w:r>
    </w:p>
    <w:p w14:paraId="32EEFF9C"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Դրա նպատակներն են հնարավոր այն անցանկալի եր</w:t>
      </w:r>
      <w:r w:rsidR="00C54D75">
        <w:rPr>
          <w:rFonts w:ascii="Sylfaen" w:hAnsi="Sylfaen"/>
          <w:sz w:val="24"/>
          <w:szCs w:val="24"/>
        </w:rPr>
        <w:t>և</w:t>
      </w:r>
      <w:r w:rsidRPr="00834D52">
        <w:rPr>
          <w:rFonts w:ascii="Sylfaen" w:hAnsi="Sylfaen"/>
          <w:sz w:val="24"/>
          <w:szCs w:val="24"/>
        </w:rPr>
        <w:t xml:space="preserve">ույթների փորձնական որոշումը </w:t>
      </w:r>
      <w:r w:rsidR="00C54D75">
        <w:rPr>
          <w:rFonts w:ascii="Sylfaen" w:hAnsi="Sylfaen"/>
          <w:sz w:val="24"/>
          <w:szCs w:val="24"/>
        </w:rPr>
        <w:t>և</w:t>
      </w:r>
      <w:r w:rsidRPr="00834D52">
        <w:rPr>
          <w:rFonts w:ascii="Sylfaen" w:hAnsi="Sylfaen"/>
          <w:sz w:val="24"/>
          <w:szCs w:val="24"/>
        </w:rPr>
        <w:t xml:space="preserve"> նկարագրությունը, որոնք պետք է հաշվի առնվեն կլինիկական փորձարկումներ անցկացնելիս:</w:t>
      </w:r>
    </w:p>
    <w:p w14:paraId="15D0D68C" w14:textId="77777777" w:rsidR="006F76EB" w:rsidRPr="00834D52" w:rsidRDefault="006F76EB" w:rsidP="00C04974">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Թունավորության փորձարկումների տ</w:t>
      </w:r>
      <w:r w:rsidR="00C54D75">
        <w:rPr>
          <w:rFonts w:ascii="Sylfaen" w:hAnsi="Sylfaen"/>
          <w:sz w:val="24"/>
          <w:szCs w:val="24"/>
        </w:rPr>
        <w:t>և</w:t>
      </w:r>
      <w:r w:rsidRPr="00834D52">
        <w:rPr>
          <w:rFonts w:ascii="Sylfaen" w:hAnsi="Sylfaen"/>
          <w:sz w:val="24"/>
          <w:szCs w:val="24"/>
        </w:rPr>
        <w:t xml:space="preserve">ողությունը բազմակի ներմուծման դեպքում պետք է համապատասխանի Հանձնաժողովի ձեռնարկներին, իսկ դրանց բացակայության դեպքում՝ անդամ պետությունների համապատասխան ձեռնարկներին: </w:t>
      </w:r>
    </w:p>
    <w:p w14:paraId="07C3684B" w14:textId="77777777" w:rsidR="006F76EB" w:rsidRPr="00834D52" w:rsidRDefault="006F76EB" w:rsidP="00C04974">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4.2.3.3.</w:t>
      </w:r>
      <w:r w:rsidRPr="00834D52">
        <w:rPr>
          <w:rFonts w:ascii="Sylfaen" w:hAnsi="Sylfaen"/>
          <w:sz w:val="24"/>
          <w:szCs w:val="24"/>
        </w:rPr>
        <w:tab/>
        <w:t>Գենոտոքսիկությունը։</w:t>
      </w:r>
    </w:p>
    <w:p w14:paraId="6E84B7E5" w14:textId="77777777" w:rsidR="006F76EB" w:rsidRPr="00834D52" w:rsidRDefault="006F76EB" w:rsidP="00604C9A">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բերվում է դեղապատրաստուկի մուտագեն </w:t>
      </w:r>
      <w:r w:rsidR="00C54D75">
        <w:rPr>
          <w:rFonts w:ascii="Sylfaen" w:hAnsi="Sylfaen"/>
          <w:sz w:val="24"/>
          <w:szCs w:val="24"/>
        </w:rPr>
        <w:t>և</w:t>
      </w:r>
      <w:r w:rsidRPr="00834D52">
        <w:rPr>
          <w:rFonts w:ascii="Sylfaen" w:hAnsi="Sylfaen"/>
          <w:sz w:val="24"/>
          <w:szCs w:val="24"/>
        </w:rPr>
        <w:t xml:space="preserve"> կլաստոգեն պոտենցիալի մասին տեղեկատվություն, որի նպատակն այն խախտումների հայտնաբերումն է, որոնք կարող են առաջացնել ակտիվ նյութը առանձին օրգանիզմի գենետիկական նյութի կամ բջիջների մեջ: Մուտագեն նյութերը վտանգավոր են մարդու առողջության համար, քանի որ մուտագենի ազդեցությունը հանգեցնում է սեռական բջիջներում մուտացիաների </w:t>
      </w:r>
      <w:r w:rsidR="00C54D75">
        <w:rPr>
          <w:rFonts w:ascii="Sylfaen" w:hAnsi="Sylfaen"/>
          <w:sz w:val="24"/>
          <w:szCs w:val="24"/>
        </w:rPr>
        <w:t>և</w:t>
      </w:r>
      <w:r w:rsidRPr="00834D52">
        <w:rPr>
          <w:rFonts w:ascii="Sylfaen" w:hAnsi="Sylfaen"/>
          <w:sz w:val="24"/>
          <w:szCs w:val="24"/>
        </w:rPr>
        <w:t xml:space="preserve"> ժառանգական խախտումների առաջացման, ինչպես նա</w:t>
      </w:r>
      <w:r w:rsidR="00C54D75">
        <w:rPr>
          <w:rFonts w:ascii="Sylfaen" w:hAnsi="Sylfaen"/>
          <w:sz w:val="24"/>
          <w:szCs w:val="24"/>
        </w:rPr>
        <w:t>և</w:t>
      </w:r>
      <w:r w:rsidRPr="00834D52">
        <w:rPr>
          <w:rFonts w:ascii="Sylfaen" w:hAnsi="Sylfaen"/>
          <w:sz w:val="24"/>
          <w:szCs w:val="24"/>
        </w:rPr>
        <w:t xml:space="preserve"> սոմատիկ բջիջներում մուտացիաների, ինչը կարող է հանգեցնել չարորակ նորագոյացությունների զարգացմանը: Այս հետազոտությունները պարտադիր են բոլոր նոր ակտիվ նյութերի համար: </w:t>
      </w:r>
    </w:p>
    <w:p w14:paraId="748FC44C" w14:textId="77777777" w:rsidR="006F76EB" w:rsidRPr="00834D52" w:rsidRDefault="006F76EB" w:rsidP="00604C9A">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4.2.3.4.</w:t>
      </w:r>
      <w:r w:rsidRPr="00834D52">
        <w:rPr>
          <w:rFonts w:ascii="Sylfaen" w:hAnsi="Sylfaen"/>
          <w:sz w:val="24"/>
          <w:szCs w:val="24"/>
        </w:rPr>
        <w:tab/>
        <w:t>Քաղցկեղածնությունը։</w:t>
      </w:r>
    </w:p>
    <w:p w14:paraId="4A6A9E68"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դոսյեում բերվում է տեղեկատվություն՝ դրա քաղցկեղածին պոտենցիալի հետազոտությունների մասին, որոնք սովորաբար անցկացվում են հետ</w:t>
      </w:r>
      <w:r w:rsidR="00C54D75">
        <w:rPr>
          <w:rFonts w:ascii="Sylfaen" w:hAnsi="Sylfaen"/>
          <w:sz w:val="24"/>
          <w:szCs w:val="24"/>
        </w:rPr>
        <w:t>և</w:t>
      </w:r>
      <w:r w:rsidRPr="00834D52">
        <w:rPr>
          <w:rFonts w:ascii="Sylfaen" w:hAnsi="Sylfaen"/>
          <w:sz w:val="24"/>
          <w:szCs w:val="24"/>
        </w:rPr>
        <w:t xml:space="preserve">յալ դեպքերում՝ </w:t>
      </w:r>
    </w:p>
    <w:p w14:paraId="774BCCED"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դեղապատրաստուկը նախատեսված է երկարատ</w:t>
      </w:r>
      <w:r w:rsidR="00C54D75">
        <w:rPr>
          <w:rFonts w:ascii="Sylfaen" w:hAnsi="Sylfaen"/>
          <w:sz w:val="24"/>
          <w:szCs w:val="24"/>
        </w:rPr>
        <w:t>և</w:t>
      </w:r>
      <w:r w:rsidRPr="00834D52">
        <w:rPr>
          <w:rFonts w:ascii="Sylfaen" w:hAnsi="Sylfaen"/>
          <w:sz w:val="24"/>
          <w:szCs w:val="24"/>
        </w:rPr>
        <w:t xml:space="preserve"> անընդհատ կամ պարբերական (ընդհատումներով) կիրառության համար հիվանդի ամբողջ կյանքի ընթացքում, </w:t>
      </w:r>
    </w:p>
    <w:p w14:paraId="32019570"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թունավորության հետազոտությունների անցկացման ժամանակ դեղապատրաստուկի բազմակի ներմուծման դեպքում թեստ-համակարգերում հայտնաբերվել են ենթադրվող քաղցկեղածին պոտենցիալով փոփոխություններ, </w:t>
      </w:r>
    </w:p>
    <w:p w14:paraId="01CEAE8D" w14:textId="77777777" w:rsidR="006F76EB" w:rsidRPr="00834D52" w:rsidRDefault="006F76EB" w:rsidP="00C0497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ակտիվ նյութը պատկանում է քիմիական դասին կամ կառուցվածքով մոտ է հայտնի քաղցկեղածիններին կամ կոկանցերոգեններին (եթե պատրաստուկը պատկանում է միացությունների նույն դեղագործական (քիմիական) դասին կամ ունի համանման կառուցվածք, կամ եթե եզրահանգումը արվել է բազմակի ներմուծման դեպքում՝ թունավորության հետազոտության տվյալների հիման վրա):</w:t>
      </w:r>
    </w:p>
    <w:p w14:paraId="710B07EC" w14:textId="77777777" w:rsidR="006F76EB" w:rsidRPr="00834D52" w:rsidRDefault="006F76EB" w:rsidP="00C0497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Չկա անհրաժեշտություն անցկացնելու միանշանակ գենոտոքսիկ միացությունների քաղցկեղածին պոտենցիալի հետազոտություններ, քանի որ </w:t>
      </w:r>
      <w:r w:rsidRPr="00834D52">
        <w:rPr>
          <w:rFonts w:ascii="Sylfaen" w:hAnsi="Sylfaen"/>
          <w:sz w:val="24"/>
          <w:szCs w:val="24"/>
        </w:rPr>
        <w:lastRenderedPageBreak/>
        <w:t>նշված միացությունները քաղցկեղածին են, մարդկանց համար վտանգ ներկայացնող: Եթե նման դեղապատրաստուկը նախատեսված է հիվանդների երկարատ</w:t>
      </w:r>
      <w:r w:rsidR="00C54D75">
        <w:rPr>
          <w:rFonts w:ascii="Sylfaen" w:hAnsi="Sylfaen"/>
          <w:sz w:val="24"/>
          <w:szCs w:val="24"/>
        </w:rPr>
        <w:t>և</w:t>
      </w:r>
      <w:r w:rsidRPr="00834D52">
        <w:rPr>
          <w:rFonts w:ascii="Sylfaen" w:hAnsi="Sylfaen"/>
          <w:sz w:val="24"/>
          <w:szCs w:val="24"/>
        </w:rPr>
        <w:t xml:space="preserve"> բուժման համար, հնարավոր է, որ պահանջվի երկարաժամկետ հետազոտության անցկացում վաղ օնկոգեն (ուռուցքածին) էֆեկտի հայտնաբերման համար: </w:t>
      </w:r>
    </w:p>
    <w:p w14:paraId="4F3BEB7C" w14:textId="77777777" w:rsidR="006F76EB" w:rsidRPr="00834D52" w:rsidRDefault="006F76EB" w:rsidP="0031596C">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4.2.3.5.</w:t>
      </w:r>
      <w:r w:rsidRPr="00834D52">
        <w:rPr>
          <w:rFonts w:ascii="Sylfaen" w:hAnsi="Sylfaen"/>
          <w:sz w:val="24"/>
          <w:szCs w:val="24"/>
        </w:rPr>
        <w:tab/>
        <w:t xml:space="preserve">Վերարտադրողական </w:t>
      </w:r>
      <w:r w:rsidR="00C54D75">
        <w:rPr>
          <w:rFonts w:ascii="Sylfaen" w:hAnsi="Sylfaen"/>
          <w:sz w:val="24"/>
          <w:szCs w:val="24"/>
        </w:rPr>
        <w:t>և</w:t>
      </w:r>
      <w:r w:rsidRPr="00834D52">
        <w:rPr>
          <w:rFonts w:ascii="Sylfaen" w:hAnsi="Sylfaen"/>
          <w:sz w:val="24"/>
          <w:szCs w:val="24"/>
        </w:rPr>
        <w:t xml:space="preserve"> օնտոգենետիկ թունավորությունը: </w:t>
      </w:r>
    </w:p>
    <w:p w14:paraId="48C5E377"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բերվում է տեղեկատվություն՝ կանանց </w:t>
      </w:r>
      <w:r w:rsidR="00C54D75">
        <w:rPr>
          <w:rFonts w:ascii="Sylfaen" w:hAnsi="Sylfaen"/>
          <w:sz w:val="24"/>
          <w:szCs w:val="24"/>
        </w:rPr>
        <w:t>և</w:t>
      </w:r>
      <w:r w:rsidRPr="00834D52">
        <w:rPr>
          <w:rFonts w:ascii="Sylfaen" w:hAnsi="Sylfaen"/>
          <w:sz w:val="24"/>
          <w:szCs w:val="24"/>
        </w:rPr>
        <w:t xml:space="preserve"> տղամարդկանց մոտ վերարտադրողական գործառույթի հնարավոր խախտումների հետազոտությունների, ինչպես նա</w:t>
      </w:r>
      <w:r w:rsidR="00C54D75">
        <w:rPr>
          <w:rFonts w:ascii="Sylfaen" w:hAnsi="Sylfaen"/>
          <w:sz w:val="24"/>
          <w:szCs w:val="24"/>
        </w:rPr>
        <w:t>և</w:t>
      </w:r>
      <w:r w:rsidRPr="00834D52">
        <w:rPr>
          <w:rFonts w:ascii="Sylfaen" w:hAnsi="Sylfaen"/>
          <w:sz w:val="24"/>
          <w:szCs w:val="24"/>
        </w:rPr>
        <w:t xml:space="preserve"> սերնդի վրա բացասական ազդեցություն թողնելու մասին: </w:t>
      </w:r>
    </w:p>
    <w:p w14:paraId="6AB429E3"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Նշված հետազոտությունները իրականացվում են համապատասխան փորձարկումների օգնությամբ, որոնք ներառում են կենդանիների սեռահասուն արուների </w:t>
      </w:r>
      <w:r w:rsidR="00C54D75">
        <w:rPr>
          <w:rFonts w:ascii="Sylfaen" w:hAnsi="Sylfaen"/>
          <w:sz w:val="24"/>
          <w:szCs w:val="24"/>
        </w:rPr>
        <w:t>և</w:t>
      </w:r>
      <w:r w:rsidRPr="00834D52">
        <w:rPr>
          <w:rFonts w:ascii="Sylfaen" w:hAnsi="Sylfaen"/>
          <w:sz w:val="24"/>
          <w:szCs w:val="24"/>
        </w:rPr>
        <w:t xml:space="preserve"> էգերի վերարտադրողական գործառույթի վրա դեղապատրաստուկի թողած ազդեցության հետազոտությունները, բեղմնավորումից մինչ</w:t>
      </w:r>
      <w:r w:rsidR="00C54D75">
        <w:rPr>
          <w:rFonts w:ascii="Sylfaen" w:hAnsi="Sylfaen"/>
          <w:sz w:val="24"/>
          <w:szCs w:val="24"/>
        </w:rPr>
        <w:t>և</w:t>
      </w:r>
      <w:r w:rsidRPr="00834D52">
        <w:rPr>
          <w:rFonts w:ascii="Sylfaen" w:hAnsi="Sylfaen"/>
          <w:sz w:val="24"/>
          <w:szCs w:val="24"/>
        </w:rPr>
        <w:t xml:space="preserve"> սեռական հասունություն զարգացման բոլոր փուլերում սերնդի վրա թողած թունավոր </w:t>
      </w:r>
      <w:r w:rsidR="00C54D75">
        <w:rPr>
          <w:rFonts w:ascii="Sylfaen" w:hAnsi="Sylfaen"/>
          <w:sz w:val="24"/>
          <w:szCs w:val="24"/>
        </w:rPr>
        <w:t>և</w:t>
      </w:r>
      <w:r w:rsidRPr="00834D52">
        <w:rPr>
          <w:rFonts w:ascii="Sylfaen" w:hAnsi="Sylfaen"/>
          <w:sz w:val="24"/>
          <w:szCs w:val="24"/>
        </w:rPr>
        <w:t xml:space="preserve"> տերատոգեն ազդեցության հետազոտությունները, ինչպես նա</w:t>
      </w:r>
      <w:r w:rsidR="00C54D75">
        <w:rPr>
          <w:rFonts w:ascii="Sylfaen" w:hAnsi="Sylfaen"/>
          <w:sz w:val="24"/>
          <w:szCs w:val="24"/>
        </w:rPr>
        <w:t>և</w:t>
      </w:r>
      <w:r w:rsidRPr="00834D52">
        <w:rPr>
          <w:rFonts w:ascii="Sylfaen" w:hAnsi="Sylfaen"/>
          <w:sz w:val="24"/>
          <w:szCs w:val="24"/>
        </w:rPr>
        <w:t xml:space="preserve"> թաքնված էֆեկտների հետազոտությունները, երբ հետազոտվող դեղապատրաստուկը ներմուծվել է կենդանիների հղի էգերին:</w:t>
      </w:r>
    </w:p>
    <w:p w14:paraId="1CB7EB9E"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Մանրամասն հետազոտությունների բացակայությունը դեղապատրաստուկի գրանցման դոսյեի մեջ պետք է համապատասխան կերպով հիմնավորված լինի: </w:t>
      </w:r>
    </w:p>
    <w:p w14:paraId="56D6D36E"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Կախված դեղապատրաստուկի կիրառության ցուցումներից կարող է պահանջվել լրացուցիչ հետազոտությունների անցկացում (օրինակ՝ սերնդի զարգացման վրա ազդեցության հետազոտություններ), երբ հիմնավորված է դեղապատրաստուկի ներմուծումը ոչ սեռահասուն կենդանիներին: </w:t>
      </w:r>
    </w:p>
    <w:p w14:paraId="0A7A044C"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հետազոտությունների փաստաթղթերը պետք է պարունակեն տեղեկատվություն՝ սաղմնապտղային թունավորության հետազոտության մասին, որը, որպես կանոն, անցկացվում է 2 տեսակ </w:t>
      </w:r>
      <w:r w:rsidRPr="00834D52">
        <w:rPr>
          <w:rFonts w:ascii="Sylfaen" w:hAnsi="Sylfaen"/>
          <w:sz w:val="24"/>
          <w:szCs w:val="24"/>
        </w:rPr>
        <w:lastRenderedPageBreak/>
        <w:t xml:space="preserve">կաթնասունների վրա, որոնցից մեկը չպետք է լինի կրծողների դասի ներկայացուցիչ: Նախածննդաբերական </w:t>
      </w:r>
      <w:r w:rsidR="00C54D75">
        <w:rPr>
          <w:rFonts w:ascii="Sylfaen" w:hAnsi="Sylfaen"/>
          <w:sz w:val="24"/>
          <w:szCs w:val="24"/>
        </w:rPr>
        <w:t>և</w:t>
      </w:r>
      <w:r w:rsidRPr="00834D52">
        <w:rPr>
          <w:rFonts w:ascii="Sylfaen" w:hAnsi="Sylfaen"/>
          <w:sz w:val="24"/>
          <w:szCs w:val="24"/>
        </w:rPr>
        <w:t xml:space="preserve"> հետծննդաբերական թունավորության հետազոտությունները պետք է անցկացվեն կենդանիների առնվազն մեկ տեսակի վրա: </w:t>
      </w:r>
    </w:p>
    <w:p w14:paraId="06038937"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հայտնի է, որ ակտիվ նյութի նյութափոխանակությունը կենդանիների որոշակի տեսակի մոտ համանման է մարդու մոտ ակտիվ նյութի նյութափոխանակությանը, հետազոտություններ անցկացնելիս նպատակահարմար է օգտագործել հենց այդ տեսակը: </w:t>
      </w:r>
    </w:p>
    <w:p w14:paraId="50B3BFE5"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Ցանկալի է նա</w:t>
      </w:r>
      <w:r w:rsidR="00C54D75">
        <w:rPr>
          <w:rFonts w:ascii="Sylfaen" w:hAnsi="Sylfaen"/>
          <w:sz w:val="24"/>
          <w:szCs w:val="24"/>
        </w:rPr>
        <w:t>և</w:t>
      </w:r>
      <w:r w:rsidRPr="00834D52">
        <w:rPr>
          <w:rFonts w:ascii="Sylfaen" w:hAnsi="Sylfaen"/>
          <w:sz w:val="24"/>
          <w:szCs w:val="24"/>
        </w:rPr>
        <w:t xml:space="preserve">, որ կենդանիների տեսակներից մեկը լինի հենց այն, որն օգտագործվել է բազմակի ներմուծման դեպքում թունավորության հետազոտություններ անցկացնելիս, </w:t>
      </w:r>
    </w:p>
    <w:p w14:paraId="1AD5A7E2"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Հետազոտությունների բովանդակային պլանը սահմանելիս պետք է հաշվի առնվի հայտ ներկայացնելու պահին գիտական գիտելիքի մակարդակը: </w:t>
      </w:r>
    </w:p>
    <w:p w14:paraId="11964DF7" w14:textId="77777777" w:rsidR="006F76EB" w:rsidRPr="00834D52" w:rsidRDefault="006F76EB" w:rsidP="0031596C">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4.2.3.6.</w:t>
      </w:r>
      <w:r w:rsidRPr="00834D52">
        <w:rPr>
          <w:rFonts w:ascii="Sylfaen" w:hAnsi="Sylfaen"/>
          <w:sz w:val="24"/>
          <w:szCs w:val="24"/>
        </w:rPr>
        <w:tab/>
        <w:t>Տեղային տանելիությունը։</w:t>
      </w:r>
    </w:p>
    <w:p w14:paraId="4E39AD6F"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հետազոտությունների փաստաթղթերը պետք է պարունակեն տեղեկատվություն՝ տեղային տանելիության վերաբերյալ: Նշված տեղեկատվությունը արտահայտում է դեղապատրաստուկի (ակտիվ </w:t>
      </w:r>
      <w:r w:rsidR="00C54D75">
        <w:rPr>
          <w:rFonts w:ascii="Sylfaen" w:hAnsi="Sylfaen"/>
          <w:sz w:val="24"/>
          <w:szCs w:val="24"/>
        </w:rPr>
        <w:t>և</w:t>
      </w:r>
      <w:r w:rsidRPr="00834D52">
        <w:rPr>
          <w:rFonts w:ascii="Sylfaen" w:hAnsi="Sylfaen"/>
          <w:sz w:val="24"/>
          <w:szCs w:val="24"/>
        </w:rPr>
        <w:t xml:space="preserve"> օժանդակ նյութերի) տեղային ազդեցության ուսումնասիրումը </w:t>
      </w:r>
      <w:r w:rsidR="00C54D75">
        <w:rPr>
          <w:rFonts w:ascii="Sylfaen" w:hAnsi="Sylfaen"/>
          <w:sz w:val="24"/>
          <w:szCs w:val="24"/>
        </w:rPr>
        <w:t>և</w:t>
      </w:r>
      <w:r w:rsidRPr="00834D52">
        <w:rPr>
          <w:rFonts w:ascii="Sylfaen" w:hAnsi="Sylfaen"/>
          <w:sz w:val="24"/>
          <w:szCs w:val="24"/>
        </w:rPr>
        <w:t xml:space="preserve"> սահմանումն օրգանիզմի հյուսվածքների վրա այն մասերում, որոնք կարող են շփման մեջ մտնել դեղապատրաստուկի հետ կլինիկական կիրառության ժամանակ դրա ներմուծման արդյունքում: </w:t>
      </w:r>
    </w:p>
    <w:p w14:paraId="15BF57B7"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Հետազոտության ռազմավարությունը պետք է ուղղված լինի այն բանին, որ ներմուծման ցանկացած մեխանիկական ազդեցություն կամ դեղապատրաստուկի ֆիզիկաքիմիական հատկություններով պայմանավորված ազդեցություն տարբերվի թունավոր կամ </w:t>
      </w:r>
      <w:r w:rsidR="00355C33">
        <w:rPr>
          <w:rFonts w:ascii="Sylfaen" w:hAnsi="Sylfaen"/>
          <w:sz w:val="24"/>
          <w:szCs w:val="24"/>
        </w:rPr>
        <w:t>դեղա</w:t>
      </w:r>
      <w:r w:rsidRPr="00834D52">
        <w:rPr>
          <w:rFonts w:ascii="Sylfaen" w:hAnsi="Sylfaen"/>
          <w:sz w:val="24"/>
          <w:szCs w:val="24"/>
        </w:rPr>
        <w:t xml:space="preserve">դինամիկ էֆեկտից: </w:t>
      </w:r>
    </w:p>
    <w:p w14:paraId="6894B988"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պետք է ապացուցված լինի, որ դեղապատրաստուկի տեղային տանելիության հետազոտությունն իրականացվել է </w:t>
      </w:r>
      <w:r w:rsidRPr="00834D52">
        <w:rPr>
          <w:rFonts w:ascii="Sylfaen" w:hAnsi="Sylfaen"/>
          <w:sz w:val="24"/>
          <w:szCs w:val="24"/>
        </w:rPr>
        <w:lastRenderedPageBreak/>
        <w:t xml:space="preserve">մարդու կիրառության համար մշակված դեղապատրաստուկի օգտագործմամբ: Նշված հետազոտության շրջանակներում ստուգիչ խմբի կենդանիներին ներմուծվում է կրիչ (լուծիչ) հետազոտվող դեղապատրաստուկը </w:t>
      </w:r>
      <w:r w:rsidR="00C54D75">
        <w:rPr>
          <w:rFonts w:ascii="Sylfaen" w:hAnsi="Sylfaen"/>
          <w:sz w:val="24"/>
          <w:szCs w:val="24"/>
        </w:rPr>
        <w:t>և</w:t>
      </w:r>
      <w:r w:rsidRPr="00834D52">
        <w:rPr>
          <w:rFonts w:ascii="Sylfaen" w:hAnsi="Sylfaen"/>
          <w:sz w:val="24"/>
          <w:szCs w:val="24"/>
        </w:rPr>
        <w:t xml:space="preserve"> (կամ) օժանդակ նյութերը՝ ներմուծելու համար: Անհրաժեշտության դեպքում հարկ է ներկայացնել տեղեկատվություն՝ դրական հսկողության խումբը </w:t>
      </w:r>
      <w:r w:rsidR="00C54D75">
        <w:rPr>
          <w:rFonts w:ascii="Sylfaen" w:hAnsi="Sylfaen"/>
          <w:sz w:val="24"/>
          <w:szCs w:val="24"/>
        </w:rPr>
        <w:t>և</w:t>
      </w:r>
      <w:r w:rsidRPr="00834D52">
        <w:rPr>
          <w:rFonts w:ascii="Sylfaen" w:hAnsi="Sylfaen"/>
          <w:sz w:val="24"/>
          <w:szCs w:val="24"/>
        </w:rPr>
        <w:t xml:space="preserve"> համեմատության նյութերը լրացուցիչ ներառելու մասին: </w:t>
      </w:r>
    </w:p>
    <w:p w14:paraId="2C9E7D22"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տեղային տանելիության հետազոտության բովանդակային պլանը (կենդանիների տեսակների, տ</w:t>
      </w:r>
      <w:r w:rsidR="00C54D75">
        <w:rPr>
          <w:rFonts w:ascii="Sylfaen" w:hAnsi="Sylfaen"/>
          <w:sz w:val="24"/>
          <w:szCs w:val="24"/>
        </w:rPr>
        <w:t>և</w:t>
      </w:r>
      <w:r w:rsidRPr="00834D52">
        <w:rPr>
          <w:rFonts w:ascii="Sylfaen" w:hAnsi="Sylfaen"/>
          <w:sz w:val="24"/>
          <w:szCs w:val="24"/>
        </w:rPr>
        <w:t xml:space="preserve">ողության, հաճախության, ներմուծման եղանակի, դեղաչափի ընտրությունը) կախված է հետազոտության խնդիրներից </w:t>
      </w:r>
      <w:r w:rsidR="00C54D75">
        <w:rPr>
          <w:rFonts w:ascii="Sylfaen" w:hAnsi="Sylfaen"/>
          <w:sz w:val="24"/>
          <w:szCs w:val="24"/>
        </w:rPr>
        <w:t>և</w:t>
      </w:r>
      <w:r w:rsidRPr="00834D52">
        <w:rPr>
          <w:rFonts w:ascii="Sylfaen" w:hAnsi="Sylfaen"/>
          <w:sz w:val="24"/>
          <w:szCs w:val="24"/>
        </w:rPr>
        <w:t xml:space="preserve"> դեղապատրաստուկի կլինիկական կիրառության ենթադրվող առանձնահատկություններից: Անհրաժեշտության դեպքում ներկայացվում է տեղեկատվություն՝ տեղային վնասվածքների դարձելիության գծով անցկացված հետազոտությունների մասին: </w:t>
      </w:r>
    </w:p>
    <w:p w14:paraId="57335C50"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Կենդանինների վրա հետազոտությունների մասին տեղեկատվությունը կարելի է փոխարինել in vitro վալիդացված մեթոդիկաների օգտագործմամբ ստացված փորձարկումների տվյալներով, եթե հետազոտությունների արդյունքները ունեն համադրելի որակ </w:t>
      </w:r>
      <w:r w:rsidR="00C54D75">
        <w:rPr>
          <w:rFonts w:ascii="Sylfaen" w:hAnsi="Sylfaen"/>
          <w:sz w:val="24"/>
          <w:szCs w:val="24"/>
        </w:rPr>
        <w:t>և</w:t>
      </w:r>
      <w:r w:rsidRPr="00834D52">
        <w:rPr>
          <w:rFonts w:ascii="Sylfaen" w:hAnsi="Sylfaen"/>
          <w:sz w:val="24"/>
          <w:szCs w:val="24"/>
        </w:rPr>
        <w:t xml:space="preserve"> պիտանի են անվտանգության վերլուծության համար: </w:t>
      </w:r>
    </w:p>
    <w:p w14:paraId="68695688"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Պետք է գնահատվի տեղային կիրառման քիմիական նյութերի (օրինակ՝ մաշկային, ուղիղաղիքային, հեշտոցային) զգայունացնող պոտենցիալը՝ առնվազն մեկ թեստ-համակարգի օգտագործմամբ (հետազոտություն՝ ծովախոզուկների կամ տեղային լիմֆատիկ հանգույցների վրա):</w:t>
      </w:r>
    </w:p>
    <w:p w14:paraId="2C2987B5" w14:textId="77777777" w:rsidR="006F76EB" w:rsidRPr="00834D52" w:rsidRDefault="006F76EB" w:rsidP="0031596C">
      <w:pPr>
        <w:tabs>
          <w:tab w:val="left" w:pos="1134"/>
        </w:tabs>
        <w:spacing w:after="160" w:line="384"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5.</w:t>
      </w:r>
      <w:r w:rsidRPr="00834D52">
        <w:rPr>
          <w:rFonts w:ascii="Sylfaen" w:hAnsi="Sylfaen"/>
          <w:spacing w:val="-4"/>
          <w:sz w:val="24"/>
          <w:szCs w:val="24"/>
        </w:rPr>
        <w:tab/>
        <w:t>5-րդ մոդուլում բերված գրանցման դոսյեի փաստաթղթերին ներկայացվող պահանջները. հաշվետվություններ՝ կլինիկական փորձարկումների մասին</w:t>
      </w:r>
    </w:p>
    <w:p w14:paraId="5047FE99" w14:textId="77777777" w:rsidR="006F76EB" w:rsidRPr="00834D52" w:rsidRDefault="006F76EB" w:rsidP="0031596C">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5.1.</w:t>
      </w:r>
      <w:r w:rsidRPr="00834D52">
        <w:rPr>
          <w:rFonts w:ascii="Sylfaen" w:hAnsi="Sylfaen"/>
          <w:sz w:val="24"/>
          <w:szCs w:val="24"/>
        </w:rPr>
        <w:tab/>
        <w:t>5-րդ մոդուլի բովանդակությունը:</w:t>
      </w:r>
    </w:p>
    <w:p w14:paraId="74FF173C" w14:textId="77777777" w:rsidR="006F76EB" w:rsidRPr="00834D52" w:rsidRDefault="006F76EB" w:rsidP="0031596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5.2.</w:t>
      </w:r>
      <w:r w:rsidRPr="00834D52">
        <w:rPr>
          <w:rFonts w:ascii="Sylfaen" w:hAnsi="Sylfaen"/>
          <w:sz w:val="24"/>
          <w:szCs w:val="24"/>
        </w:rPr>
        <w:tab/>
        <w:t>Աղյուսակների տեսքով բոլոր կլինիկական հետազոտությունների (փորձարկումների) ցանկը:</w:t>
      </w:r>
    </w:p>
    <w:p w14:paraId="792B48F6"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Անհրաժեշտ է հատուկ ուշադրություն դարձնել գրանցման դոսյեում հետ</w:t>
      </w:r>
      <w:r w:rsidR="00C54D75">
        <w:rPr>
          <w:rFonts w:ascii="Sylfaen" w:hAnsi="Sylfaen"/>
          <w:sz w:val="24"/>
          <w:szCs w:val="24"/>
        </w:rPr>
        <w:t>և</w:t>
      </w:r>
      <w:r w:rsidRPr="00834D52">
        <w:rPr>
          <w:rFonts w:ascii="Sylfaen" w:hAnsi="Sylfaen"/>
          <w:sz w:val="24"/>
          <w:szCs w:val="24"/>
        </w:rPr>
        <w:t>յալ տեղեկությունների առկայությանը.</w:t>
      </w:r>
    </w:p>
    <w:p w14:paraId="0C9B026D" w14:textId="77777777" w:rsidR="006F76EB" w:rsidRPr="00834D52" w:rsidRDefault="006F76EB" w:rsidP="0031596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կլինիկական տեղեկատվություն, որը պետք է թույլ տա ձ</w:t>
      </w:r>
      <w:r w:rsidR="00C54D75">
        <w:rPr>
          <w:rFonts w:ascii="Sylfaen" w:hAnsi="Sylfaen"/>
          <w:sz w:val="24"/>
          <w:szCs w:val="24"/>
        </w:rPr>
        <w:t>և</w:t>
      </w:r>
      <w:r w:rsidRPr="00834D52">
        <w:rPr>
          <w:rFonts w:ascii="Sylfaen" w:hAnsi="Sylfaen"/>
          <w:sz w:val="24"/>
          <w:szCs w:val="24"/>
        </w:rPr>
        <w:t xml:space="preserve">ավորել գիտական տեսանկյունից բավականին հիմնավորված </w:t>
      </w:r>
      <w:r w:rsidR="00C54D75">
        <w:rPr>
          <w:rFonts w:ascii="Sylfaen" w:hAnsi="Sylfaen"/>
          <w:sz w:val="24"/>
          <w:szCs w:val="24"/>
        </w:rPr>
        <w:t>և</w:t>
      </w:r>
      <w:r w:rsidRPr="00834D52">
        <w:rPr>
          <w:rFonts w:ascii="Sylfaen" w:hAnsi="Sylfaen"/>
          <w:sz w:val="24"/>
          <w:szCs w:val="24"/>
        </w:rPr>
        <w:t xml:space="preserve"> արժանահավատ եզրակացություններ՝ դեղապատրաստուկի՝ գրանցման պայմաններին բավարարելու կամ չբավարարելու մասին: Ներկայացման են ենթակա բոլոր կլինիկական փորձարկումների արդյունքները (ինչպես բարենպաստ, այնպես էլ անբարենպաստ (բացասական արդյունքները)).</w:t>
      </w:r>
    </w:p>
    <w:p w14:paraId="31B8C938" w14:textId="77777777" w:rsidR="006F76EB" w:rsidRPr="00834D52" w:rsidRDefault="006F76EB" w:rsidP="0031596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կլինիկական փորձարկումներին պետք է միշտ նախորդեն համապատասխան դեղաբանական </w:t>
      </w:r>
      <w:r w:rsidR="00C54D75">
        <w:rPr>
          <w:rFonts w:ascii="Sylfaen" w:hAnsi="Sylfaen"/>
          <w:sz w:val="24"/>
          <w:szCs w:val="24"/>
        </w:rPr>
        <w:t>և</w:t>
      </w:r>
      <w:r w:rsidRPr="00834D52">
        <w:rPr>
          <w:rFonts w:ascii="Sylfaen" w:hAnsi="Sylfaen"/>
          <w:sz w:val="24"/>
          <w:szCs w:val="24"/>
        </w:rPr>
        <w:t xml:space="preserve"> թունաբանական այնպիսի հետազոտություններ (կենդանիների վրա անցկացված), որոնց վերաբերյալ տեղեկատվությունը ներկայացվում է գրանցման դոսյեի 4-րդ մոդուլում: Հետազոտողը պետք է ծանոթանա դեղաբանական </w:t>
      </w:r>
      <w:r w:rsidR="00C54D75">
        <w:rPr>
          <w:rFonts w:ascii="Sylfaen" w:hAnsi="Sylfaen"/>
          <w:sz w:val="24"/>
          <w:szCs w:val="24"/>
        </w:rPr>
        <w:t>և</w:t>
      </w:r>
      <w:r w:rsidRPr="00834D52">
        <w:rPr>
          <w:rFonts w:ascii="Sylfaen" w:hAnsi="Sylfaen"/>
          <w:sz w:val="24"/>
          <w:szCs w:val="24"/>
        </w:rPr>
        <w:t xml:space="preserve"> թունաբանական հետազոտությունների արդյունքների հիման վրա կատարված եզրակացություններին: Դրա համար հայտատուն պետք է նրան ներկայացնի առնվազն հետազոտողի բրոշյուրը, որը պարունակում է կլինիկական փորձարկումների ամսաթվի սկզբի դրությամբ իրեն հայտնի համապատասխան ամբողջ տեղեկատվությունը (ներառյալ քիմիական, դեղաբանական </w:t>
      </w:r>
      <w:r w:rsidR="00C54D75">
        <w:rPr>
          <w:rFonts w:ascii="Sylfaen" w:hAnsi="Sylfaen"/>
          <w:sz w:val="24"/>
          <w:szCs w:val="24"/>
        </w:rPr>
        <w:t>և</w:t>
      </w:r>
      <w:r w:rsidRPr="00834D52">
        <w:rPr>
          <w:rFonts w:ascii="Sylfaen" w:hAnsi="Sylfaen"/>
          <w:sz w:val="24"/>
          <w:szCs w:val="24"/>
        </w:rPr>
        <w:t xml:space="preserve"> կենսաբանական տվյալները, կենդանիների վրա անցկացված թունաբանական, </w:t>
      </w:r>
      <w:r w:rsidR="00355C33">
        <w:rPr>
          <w:rFonts w:ascii="Sylfaen" w:hAnsi="Sylfaen"/>
          <w:sz w:val="24"/>
          <w:szCs w:val="24"/>
        </w:rPr>
        <w:t>դեղա</w:t>
      </w:r>
      <w:r w:rsidRPr="00834D52">
        <w:rPr>
          <w:rFonts w:ascii="Sylfaen" w:hAnsi="Sylfaen"/>
          <w:sz w:val="24"/>
          <w:szCs w:val="24"/>
        </w:rPr>
        <w:t xml:space="preserve">կինետիկ </w:t>
      </w:r>
      <w:r w:rsidR="00C54D75">
        <w:rPr>
          <w:rFonts w:ascii="Sylfaen" w:hAnsi="Sylfaen"/>
          <w:sz w:val="24"/>
          <w:szCs w:val="24"/>
        </w:rPr>
        <w:t>և</w:t>
      </w:r>
      <w:r w:rsidRPr="00834D52">
        <w:rPr>
          <w:rFonts w:ascii="Sylfaen" w:hAnsi="Sylfaen"/>
          <w:sz w:val="24"/>
          <w:szCs w:val="24"/>
        </w:rPr>
        <w:t xml:space="preserve"> </w:t>
      </w:r>
      <w:r w:rsidR="00355C33">
        <w:rPr>
          <w:rFonts w:ascii="Sylfaen" w:hAnsi="Sylfaen"/>
          <w:sz w:val="24"/>
          <w:szCs w:val="24"/>
        </w:rPr>
        <w:t>դեղա</w:t>
      </w:r>
      <w:r w:rsidRPr="00834D52">
        <w:rPr>
          <w:rFonts w:ascii="Sylfaen" w:hAnsi="Sylfaen"/>
          <w:sz w:val="24"/>
          <w:szCs w:val="24"/>
        </w:rPr>
        <w:t>դինամիկ հետազոտությունների արդյունքները, ինչպես նա</w:t>
      </w:r>
      <w:r w:rsidR="00C54D75">
        <w:rPr>
          <w:rFonts w:ascii="Sylfaen" w:hAnsi="Sylfaen"/>
          <w:sz w:val="24"/>
          <w:szCs w:val="24"/>
        </w:rPr>
        <w:t>և</w:t>
      </w:r>
      <w:r w:rsidRPr="00834D52">
        <w:rPr>
          <w:rFonts w:ascii="Sylfaen" w:hAnsi="Sylfaen"/>
          <w:sz w:val="24"/>
          <w:szCs w:val="24"/>
        </w:rPr>
        <w:t xml:space="preserve"> պլանավորված հետազոտության բնույթը, ծավալը </w:t>
      </w:r>
      <w:r w:rsidR="00C54D75">
        <w:rPr>
          <w:rFonts w:ascii="Sylfaen" w:hAnsi="Sylfaen"/>
          <w:sz w:val="24"/>
          <w:szCs w:val="24"/>
        </w:rPr>
        <w:t>և</w:t>
      </w:r>
      <w:r w:rsidRPr="00834D52">
        <w:rPr>
          <w:rFonts w:ascii="Sylfaen" w:hAnsi="Sylfaen"/>
          <w:sz w:val="24"/>
          <w:szCs w:val="24"/>
        </w:rPr>
        <w:t xml:space="preserve"> տ</w:t>
      </w:r>
      <w:r w:rsidR="00C54D75">
        <w:rPr>
          <w:rFonts w:ascii="Sylfaen" w:hAnsi="Sylfaen"/>
          <w:sz w:val="24"/>
          <w:szCs w:val="24"/>
        </w:rPr>
        <w:t>և</w:t>
      </w:r>
      <w:r w:rsidRPr="00834D52">
        <w:rPr>
          <w:rFonts w:ascii="Sylfaen" w:hAnsi="Sylfaen"/>
          <w:sz w:val="24"/>
          <w:szCs w:val="24"/>
        </w:rPr>
        <w:t xml:space="preserve">ողությունը հիմնավորելու համար անհրաժեշտ բավարար տվյալներ ներկայացնող նախորդ կլինիկական փորձարկումների արդյունքները): Դեղաբանական </w:t>
      </w:r>
      <w:r w:rsidR="00C54D75">
        <w:rPr>
          <w:rFonts w:ascii="Sylfaen" w:hAnsi="Sylfaen"/>
          <w:sz w:val="24"/>
          <w:szCs w:val="24"/>
        </w:rPr>
        <w:t>և</w:t>
      </w:r>
      <w:r w:rsidRPr="00834D52">
        <w:rPr>
          <w:rFonts w:ascii="Sylfaen" w:hAnsi="Sylfaen"/>
          <w:sz w:val="24"/>
          <w:szCs w:val="24"/>
        </w:rPr>
        <w:t xml:space="preserve"> թունաբանական հետազոտությունների վերաբերյալ ամբողջական հաշվետվությունները պետք է ներկայացվեն ըստ պահանջի: Մարդուց կամ կենդանուց ստացված նյութերի օգտագործման ժամանակ՝ մինչ</w:t>
      </w:r>
      <w:r w:rsidR="00C54D75">
        <w:rPr>
          <w:rFonts w:ascii="Sylfaen" w:hAnsi="Sylfaen"/>
          <w:sz w:val="24"/>
          <w:szCs w:val="24"/>
        </w:rPr>
        <w:t>և</w:t>
      </w:r>
      <w:r w:rsidRPr="00834D52">
        <w:rPr>
          <w:rFonts w:ascii="Sylfaen" w:hAnsi="Sylfaen"/>
          <w:sz w:val="24"/>
          <w:szCs w:val="24"/>
        </w:rPr>
        <w:t xml:space="preserve"> հետազոտությունը սկսելը, պետք է ձեռնարկել վարակիչ ագենտների հնարավոր փոխանցման տեսանկյունից անվտանգությունն ապահովող բոլոր միջոցները.</w:t>
      </w:r>
    </w:p>
    <w:p w14:paraId="190C36F9" w14:textId="77777777" w:rsidR="006F76EB" w:rsidRPr="00834D52" w:rsidRDefault="006F76EB" w:rsidP="0031596C">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գ)</w:t>
      </w:r>
      <w:r w:rsidRPr="00834D52">
        <w:rPr>
          <w:rFonts w:ascii="Sylfaen" w:hAnsi="Sylfaen"/>
          <w:sz w:val="24"/>
          <w:szCs w:val="24"/>
        </w:rPr>
        <w:tab/>
        <w:t>գրանցման հավաստագրի իրավատերը պետք է ապահովի կլինիկական հետազոտության հիմնական փաստաթղթերի (այդ թվում՝ անհատական գրանցման քարտերի) պահպանումը ստացված արդյունքների տիրապետողների մոտ (բացառությամբ ստացիոնար (ամբուլատոր) հիվանդների (պացիենտների) բժշկական քարտերի)՝</w:t>
      </w:r>
    </w:p>
    <w:p w14:paraId="04A5A8D5" w14:textId="77777777" w:rsidR="006F76EB" w:rsidRPr="00834D52" w:rsidRDefault="006F76EB" w:rsidP="00616C15">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հետազոտության ավարտի կամ դադարեցման օրվանից 15 տարվա ընթացքում.</w:t>
      </w:r>
    </w:p>
    <w:p w14:paraId="624A9399" w14:textId="77777777" w:rsidR="006F76EB" w:rsidRPr="00834D52" w:rsidRDefault="006F76EB" w:rsidP="00616C15">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անդամ պետություններում վերջին գրանցման օրվանից 2 տարվա ընթացքում՝ Միությունում հաստատման սպասող կամ քննարկման մեջ գտնվող գրանցման հայտերի բացակայության պայմանով.</w:t>
      </w:r>
    </w:p>
    <w:p w14:paraId="620D3277" w14:textId="77777777" w:rsidR="006F76EB" w:rsidRPr="00834D52" w:rsidRDefault="006F76EB" w:rsidP="00616C15">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հետազոտվող դեղապատրաստուկի կլինիկական մշակման պաշտոնական դադարեցման օրվանից 2 տարվա ընթացքում:</w:t>
      </w:r>
    </w:p>
    <w:p w14:paraId="2F55EFED" w14:textId="77777777" w:rsidR="006F76EB" w:rsidRPr="00834D52" w:rsidRDefault="006F76EB" w:rsidP="00616C15">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Ստացիոնար (ամբուլատոր) հիվանդների (պացիենտների) բժշկական քարտերը պետք է պահպանվեն համապատասխան պայմաններում՝ անդամ պետությունների օրենսդրությամբ նախատեսված ժամկետի ընթացքում, կլինիկական կենտրոնի, ինստիտուտի կամ մասնավոր պրակտիկայի հիմնարկության կողմից թույլատրված առավելագույն ժամանակահատվածին համապատասխան:</w:t>
      </w:r>
    </w:p>
    <w:p w14:paraId="0EE211C5"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Փաստաթղթերը կարող են պահպանվել ավելի երկար ժամկետի ընթացքում, եթե դա պահանջվում է համապատասխան կանոնակարգող կանոններով կամ հետազոտության հովանավորի հետ համաձայնեցմամբ:</w:t>
      </w:r>
    </w:p>
    <w:p w14:paraId="11D06EA9" w14:textId="77777777" w:rsidR="006F76EB" w:rsidRPr="00834D52" w:rsidRDefault="006F76EB" w:rsidP="00616C15">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Հետազոտության հովանավորը պարտավոր է կլինիկական կենտրոնին, ինստիտուտին կամ մասնավոր պրակտիկայի հիմնարկությանը տեղեկացնել փաստաթղթերի հետագա պահպանման անհրաժեշտության բացակայության մասին:</w:t>
      </w:r>
    </w:p>
    <w:p w14:paraId="043216CD"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Հետազոտության հովանավորը կամ տվյալների մեկ այլ սեփականատեր (տիրապետող) պետք է պահպանի հետազոտությանն առնչվող բոլոր մյուս </w:t>
      </w:r>
      <w:r w:rsidRPr="00834D52">
        <w:rPr>
          <w:rFonts w:ascii="Sylfaen" w:hAnsi="Sylfaen"/>
          <w:sz w:val="24"/>
          <w:szCs w:val="24"/>
        </w:rPr>
        <w:lastRenderedPageBreak/>
        <w:t>փաստաթղթերը դեղապատրաստուկի գրանցման հավաստագրի գործողության ամբողջ ժամկետի ընթացքում:</w:t>
      </w:r>
    </w:p>
    <w:p w14:paraId="10A15BF1"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Այդ փաստաթղթերը ներառում են՝</w:t>
      </w:r>
    </w:p>
    <w:p w14:paraId="1950D923"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հետազոտության հիմնավորում, նպատակներ, վիճակագրական պլան </w:t>
      </w:r>
      <w:r w:rsidR="00C54D75">
        <w:rPr>
          <w:rFonts w:ascii="Sylfaen" w:hAnsi="Sylfaen"/>
          <w:sz w:val="24"/>
          <w:szCs w:val="24"/>
        </w:rPr>
        <w:t>և</w:t>
      </w:r>
      <w:r w:rsidRPr="00834D52">
        <w:rPr>
          <w:rFonts w:ascii="Sylfaen" w:hAnsi="Sylfaen"/>
          <w:sz w:val="24"/>
          <w:szCs w:val="24"/>
        </w:rPr>
        <w:t xml:space="preserve"> դրա անցկացման պայմաններով մեթոդաբանություն, հետազոտության կազմակերպում (կառավարում), հետազոտվող դեղապատրաստուկի, օգտագործված ստանդարտի (</w:t>
      </w:r>
      <w:r w:rsidR="00D0720C">
        <w:rPr>
          <w:rFonts w:ascii="Sylfaen" w:hAnsi="Sylfaen"/>
          <w:sz w:val="24"/>
          <w:szCs w:val="24"/>
        </w:rPr>
        <w:t>ռեֆերենտ</w:t>
      </w:r>
      <w:r w:rsidRPr="00834D52">
        <w:rPr>
          <w:rFonts w:ascii="Sylfaen" w:hAnsi="Sylfaen"/>
          <w:sz w:val="24"/>
          <w:szCs w:val="24"/>
        </w:rPr>
        <w:t xml:space="preserve"> պատրաստուկի </w:t>
      </w:r>
      <w:r w:rsidR="00C54D75">
        <w:rPr>
          <w:rFonts w:ascii="Sylfaen" w:hAnsi="Sylfaen"/>
          <w:sz w:val="24"/>
          <w:szCs w:val="24"/>
        </w:rPr>
        <w:t>և</w:t>
      </w:r>
      <w:r w:rsidRPr="00834D52">
        <w:rPr>
          <w:rFonts w:ascii="Sylfaen" w:hAnsi="Sylfaen"/>
          <w:sz w:val="24"/>
          <w:szCs w:val="24"/>
        </w:rPr>
        <w:t xml:space="preserve"> (կամ) պլացեբոյի) վերաբերյալ մանրամասն տեղեկատվություն պարունակող արձանագրությունը.</w:t>
      </w:r>
    </w:p>
    <w:p w14:paraId="4DA6CA1D"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ստանդարտ գործառնական ընթացակարգերը.</w:t>
      </w:r>
    </w:p>
    <w:p w14:paraId="12A48F6F"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արձանագրության </w:t>
      </w:r>
      <w:r w:rsidR="00C54D75">
        <w:rPr>
          <w:rFonts w:ascii="Sylfaen" w:hAnsi="Sylfaen"/>
          <w:sz w:val="24"/>
          <w:szCs w:val="24"/>
        </w:rPr>
        <w:t>և</w:t>
      </w:r>
      <w:r w:rsidRPr="00834D52">
        <w:rPr>
          <w:rFonts w:ascii="Sylfaen" w:hAnsi="Sylfaen"/>
          <w:sz w:val="24"/>
          <w:szCs w:val="24"/>
        </w:rPr>
        <w:t xml:space="preserve"> ընթացակարգերի վերաբերյալ բոլոր գրավոր կարծիքները, հետազոտողի բրոշյուրը, յուրաքանչյուր հետազոտության սուբյեկտի անհատական գրանցման քարտը.</w:t>
      </w:r>
    </w:p>
    <w:p w14:paraId="4E1F4115"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ամփոփիչ հաշվետվությունը.</w:t>
      </w:r>
    </w:p>
    <w:p w14:paraId="20109F78"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աուդիտ անցնելու մասին հավաստագիրը (առկայության դեպքում):</w:t>
      </w:r>
    </w:p>
    <w:p w14:paraId="38C27418"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Եզրափակիչ հաշվետվությունը պետք է պահպանվի հետազոտության հովանավորի կամ նրա իրավահաջորդի կողմից՝ դեղապատրաստուկների գրանցման հավաստագրի գործողության ժամկետի ավարտի օրվանից 5 տարվա ընթացքում: Գրանցման հավաստագրի իրավատերը պետք է լրացուցիչ միջոցներ ձեռնարկի՝ Հանձնաժողովի կողմից հաստատվող՝ Եվրասիական տնտեսական միության պատշաճ կլինիկական գործունեության կանոններին համապատասխան փաստաթղթերի արխիվացման, </w:t>
      </w:r>
      <w:r w:rsidR="00C54D75">
        <w:rPr>
          <w:rFonts w:ascii="Sylfaen" w:hAnsi="Sylfaen"/>
          <w:sz w:val="24"/>
          <w:szCs w:val="24"/>
        </w:rPr>
        <w:t>և</w:t>
      </w:r>
      <w:r w:rsidRPr="00834D52">
        <w:rPr>
          <w:rFonts w:ascii="Sylfaen" w:hAnsi="Sylfaen"/>
          <w:sz w:val="24"/>
          <w:szCs w:val="24"/>
        </w:rPr>
        <w:t xml:space="preserve"> մանրամասն ձեռնարկներ (առաջարկություններ) ներդնելու համար:</w:t>
      </w:r>
    </w:p>
    <w:p w14:paraId="16EC8AB9" w14:textId="77777777" w:rsidR="006F76EB" w:rsidRPr="00834D52" w:rsidRDefault="006F76EB" w:rsidP="00616C15">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Առկա տվյալների սեփականատիրոջ փոփոխման մասին տեղեկատվությունը պետք է ձ</w:t>
      </w:r>
      <w:r w:rsidR="00C54D75">
        <w:rPr>
          <w:rFonts w:ascii="Sylfaen" w:hAnsi="Sylfaen"/>
          <w:sz w:val="24"/>
          <w:szCs w:val="24"/>
        </w:rPr>
        <w:t>և</w:t>
      </w:r>
      <w:r w:rsidRPr="00834D52">
        <w:rPr>
          <w:rFonts w:ascii="Sylfaen" w:hAnsi="Sylfaen"/>
          <w:sz w:val="24"/>
          <w:szCs w:val="24"/>
        </w:rPr>
        <w:t>ակերպվի համապատասխան ձ</w:t>
      </w:r>
      <w:r w:rsidR="00C54D75">
        <w:rPr>
          <w:rFonts w:ascii="Sylfaen" w:hAnsi="Sylfaen"/>
          <w:sz w:val="24"/>
          <w:szCs w:val="24"/>
        </w:rPr>
        <w:t>և</w:t>
      </w:r>
      <w:r w:rsidRPr="00834D52">
        <w:rPr>
          <w:rFonts w:ascii="Sylfaen" w:hAnsi="Sylfaen"/>
          <w:sz w:val="24"/>
          <w:szCs w:val="24"/>
        </w:rPr>
        <w:t xml:space="preserve">ով, տվյալները </w:t>
      </w:r>
      <w:r w:rsidR="00C54D75">
        <w:rPr>
          <w:rFonts w:ascii="Sylfaen" w:hAnsi="Sylfaen"/>
          <w:sz w:val="24"/>
          <w:szCs w:val="24"/>
        </w:rPr>
        <w:t>և</w:t>
      </w:r>
      <w:r w:rsidRPr="00834D52">
        <w:rPr>
          <w:rFonts w:ascii="Sylfaen" w:hAnsi="Sylfaen"/>
          <w:sz w:val="24"/>
          <w:szCs w:val="24"/>
        </w:rPr>
        <w:t xml:space="preserve"> փաստաթղթերը համապատասխան լիազորված մարմինների պահանջով պետք է ժամանակին ներկայացվեն.</w:t>
      </w:r>
    </w:p>
    <w:p w14:paraId="0B92920F" w14:textId="77777777" w:rsidR="006F76EB" w:rsidRPr="00834D52" w:rsidRDefault="006F76EB" w:rsidP="00616C15">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lastRenderedPageBreak/>
        <w:t>դ)</w:t>
      </w:r>
      <w:r w:rsidRPr="00834D52">
        <w:rPr>
          <w:rFonts w:ascii="Sylfaen" w:hAnsi="Sylfaen"/>
          <w:spacing w:val="-4"/>
          <w:sz w:val="24"/>
          <w:szCs w:val="24"/>
        </w:rPr>
        <w:tab/>
        <w:t>յուրաքանչյուր կլինիկական հետազոտության նկարագրություն պետք է օբյեկտիվ եզրակացություն կազմելու համար անհրաժեշտ բավականաչափ տեղեկատվություն պարունակի՝</w:t>
      </w:r>
    </w:p>
    <w:p w14:paraId="10F9FB6E"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հետազոտության հիմնավորում, նպատակներ, վիճակագրական պլան </w:t>
      </w:r>
      <w:r w:rsidR="00C54D75">
        <w:rPr>
          <w:rFonts w:ascii="Sylfaen" w:hAnsi="Sylfaen"/>
          <w:sz w:val="24"/>
          <w:szCs w:val="24"/>
        </w:rPr>
        <w:t>և</w:t>
      </w:r>
      <w:r w:rsidRPr="00834D52">
        <w:rPr>
          <w:rFonts w:ascii="Sylfaen" w:hAnsi="Sylfaen"/>
          <w:sz w:val="24"/>
          <w:szCs w:val="24"/>
        </w:rPr>
        <w:t xml:space="preserve"> մեթոդաբանություն՝ դրա անցկացման </w:t>
      </w:r>
      <w:r w:rsidR="00C54D75">
        <w:rPr>
          <w:rFonts w:ascii="Sylfaen" w:hAnsi="Sylfaen"/>
          <w:sz w:val="24"/>
          <w:szCs w:val="24"/>
        </w:rPr>
        <w:t>և</w:t>
      </w:r>
      <w:r w:rsidRPr="00834D52">
        <w:rPr>
          <w:rFonts w:ascii="Sylfaen" w:hAnsi="Sylfaen"/>
          <w:sz w:val="24"/>
          <w:szCs w:val="24"/>
        </w:rPr>
        <w:t xml:space="preserve"> կազմակերպման պայմաններով, </w:t>
      </w:r>
      <w:r w:rsidR="00C54D75">
        <w:rPr>
          <w:rFonts w:ascii="Sylfaen" w:hAnsi="Sylfaen"/>
          <w:sz w:val="24"/>
          <w:szCs w:val="24"/>
        </w:rPr>
        <w:t>և</w:t>
      </w:r>
      <w:r w:rsidRPr="00834D52">
        <w:rPr>
          <w:rFonts w:ascii="Sylfaen" w:hAnsi="Sylfaen"/>
          <w:sz w:val="24"/>
          <w:szCs w:val="24"/>
        </w:rPr>
        <w:t xml:space="preserve"> հետազոտվող դեղապատրաստուկի վերաբերյալ մանրամասն տեղեկատվություն պարունակող արձանագրություն.</w:t>
      </w:r>
    </w:p>
    <w:p w14:paraId="612F645B"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աուդիտ անցնելու մասին հավաստագիր (առկայության դեպքում).</w:t>
      </w:r>
    </w:p>
    <w:p w14:paraId="7229D624"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հետազոտողների ցանկ (կլինիկական հետազոտությունների անցկացման ժամանակ յուրաքանչյուր հետազոտող պետք է հաղորդի իր ազգանունը, հասցեն, զբաղեցրած պաշտոնը, որակավորման տվյալները </w:t>
      </w:r>
      <w:r w:rsidR="00C54D75">
        <w:rPr>
          <w:rFonts w:ascii="Sylfaen" w:hAnsi="Sylfaen"/>
          <w:sz w:val="24"/>
          <w:szCs w:val="24"/>
        </w:rPr>
        <w:t>և</w:t>
      </w:r>
      <w:r w:rsidRPr="00834D52">
        <w:rPr>
          <w:rFonts w:ascii="Sylfaen" w:hAnsi="Sylfaen"/>
          <w:sz w:val="24"/>
          <w:szCs w:val="24"/>
        </w:rPr>
        <w:t xml:space="preserve"> պարտականությունները).</w:t>
      </w:r>
    </w:p>
    <w:p w14:paraId="4A09102C"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կլինիկական հետազոտության անցկացման վայրը.</w:t>
      </w:r>
    </w:p>
    <w:p w14:paraId="58BE53CE"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յուրաքանչյուր առանձին պացիենտի մասին տեղեկատվություն՝ ներառյալ անհատական գրանցման քարտերը.</w:t>
      </w:r>
    </w:p>
    <w:p w14:paraId="18A1EE4A" w14:textId="77777777" w:rsidR="006F76EB" w:rsidRPr="00834D52" w:rsidRDefault="006F76EB" w:rsidP="00616C15">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հետազոտողի կողմից, իսկ բազմակենտրոն հետազոտության դեպքում՝ բոլոր հետազոտողների կամ համակարգողի (գլխավոր հետազոտողի) կողմից ստորագրված վերջնական հաշվետվություն.</w:t>
      </w:r>
    </w:p>
    <w:p w14:paraId="173F484E" w14:textId="77777777" w:rsidR="006F76EB" w:rsidRPr="00834D52" w:rsidRDefault="006F76EB" w:rsidP="0031596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 xml:space="preserve">սույն </w:t>
      </w:r>
      <w:r w:rsidRPr="004A3E9D">
        <w:rPr>
          <w:rFonts w:ascii="Sylfaen" w:hAnsi="Sylfaen"/>
          <w:sz w:val="24"/>
          <w:szCs w:val="24"/>
        </w:rPr>
        <w:t>կետի «ա»-«դ»</w:t>
      </w:r>
      <w:r w:rsidRPr="00834D52">
        <w:rPr>
          <w:rFonts w:ascii="Sylfaen" w:hAnsi="Sylfaen"/>
          <w:sz w:val="24"/>
          <w:szCs w:val="24"/>
        </w:rPr>
        <w:t xml:space="preserve"> ենթակետերում թվարկված կլինիկական հետազոտության տվյալները պետք է ներկայացվեն դեղապատրաստուկների գրանցումն իրականացնող լիազորված մարմիններ: Լիազորված մարմինների հետ համաձայնեցմամբ հայտատուն իրավասու է չներկայացնելու թվարկված տեղեկությունների մի մասը: Բոլոր փաստաթղթերը պետք է ներկայացվեն անհապաղ՝ լիազորված մարմնի հարցման հիման վրա:</w:t>
      </w:r>
    </w:p>
    <w:p w14:paraId="71C58D62"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Կլինիկական հետազոտության մասին հաշվետվության մեջ պետք է արտացոլվի հետազոտողի՝ փորձարարական ապացույցների վրա հիմնված կարծիքը սովորական պայմաններում օգտագործելու ժամանակ դեղապատրաստուկի անվտանգության, դեղապատրաստուկի տանելիության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lastRenderedPageBreak/>
        <w:t xml:space="preserve">արդյունավետության վերաբերյալ, տեղեկատվություն՝ կիրառման ցուցումների </w:t>
      </w:r>
      <w:r w:rsidR="00C54D75">
        <w:rPr>
          <w:rFonts w:ascii="Sylfaen" w:hAnsi="Sylfaen"/>
          <w:sz w:val="24"/>
          <w:szCs w:val="24"/>
        </w:rPr>
        <w:t>և</w:t>
      </w:r>
      <w:r w:rsidRPr="00834D52">
        <w:rPr>
          <w:rFonts w:ascii="Sylfaen" w:hAnsi="Sylfaen"/>
          <w:sz w:val="24"/>
          <w:szCs w:val="24"/>
        </w:rPr>
        <w:t xml:space="preserve"> հակացուցումների, դոզավորման ռեժիմի, թերապիայի շարունակականության, ինչպես նա</w:t>
      </w:r>
      <w:r w:rsidR="00C54D75">
        <w:rPr>
          <w:rFonts w:ascii="Sylfaen" w:hAnsi="Sylfaen"/>
          <w:sz w:val="24"/>
          <w:szCs w:val="24"/>
        </w:rPr>
        <w:t>և</w:t>
      </w:r>
      <w:r w:rsidRPr="00834D52">
        <w:rPr>
          <w:rFonts w:ascii="Sylfaen" w:hAnsi="Sylfaen"/>
          <w:sz w:val="24"/>
          <w:szCs w:val="24"/>
        </w:rPr>
        <w:t xml:space="preserve"> հատուկ նախազգուշական այն միջոցառումների վերաբերյալ, որոնք անհրաժեշտ է ձեռնարկել բուժման ժամանակ </w:t>
      </w:r>
      <w:r w:rsidR="00C54D75">
        <w:rPr>
          <w:rFonts w:ascii="Sylfaen" w:hAnsi="Sylfaen"/>
          <w:sz w:val="24"/>
          <w:szCs w:val="24"/>
        </w:rPr>
        <w:t>և</w:t>
      </w:r>
      <w:r w:rsidRPr="00834D52">
        <w:rPr>
          <w:rFonts w:ascii="Sylfaen" w:hAnsi="Sylfaen"/>
          <w:sz w:val="24"/>
          <w:szCs w:val="24"/>
        </w:rPr>
        <w:t xml:space="preserve"> գերդոզավորման կլինիկական ախտանիշների ի հայտ գալու դեպքում:</w:t>
      </w:r>
    </w:p>
    <w:p w14:paraId="42CDD985" w14:textId="77777777" w:rsidR="006F76EB" w:rsidRPr="00834D52" w:rsidRDefault="006F76EB" w:rsidP="001637C4">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Բազմակենտրոն հետազոտության արդյունքների վերաբերյալ հաշվետվության մեջ համակարգող հետազոտողը բազմակենտրոն հետազոտության ժամանակ բոլոր կենտրոնների անունից պետք է նշի հետազոտվող դեղապատրաստուկի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վերաբերյալ եզրակացությունը.</w:t>
      </w:r>
    </w:p>
    <w:p w14:paraId="6E1E92F6" w14:textId="77777777" w:rsidR="006F76EB" w:rsidRPr="00834D52" w:rsidRDefault="006F76EB" w:rsidP="00DC233B">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հետազոտության յուրաքանչյուր տեսակի մասով կլինիկական դիտարկումները պետք է ընդհանրացված բնույթ կրեն </w:t>
      </w:r>
      <w:r w:rsidR="00C54D75">
        <w:rPr>
          <w:rFonts w:ascii="Sylfaen" w:hAnsi="Sylfaen"/>
          <w:sz w:val="24"/>
          <w:szCs w:val="24"/>
        </w:rPr>
        <w:t>և</w:t>
      </w:r>
      <w:r w:rsidRPr="00834D52">
        <w:rPr>
          <w:rFonts w:ascii="Sylfaen" w:hAnsi="Sylfaen"/>
          <w:sz w:val="24"/>
          <w:szCs w:val="24"/>
        </w:rPr>
        <w:t xml:space="preserve"> ներառեն հետ</w:t>
      </w:r>
      <w:r w:rsidR="00C54D75">
        <w:rPr>
          <w:rFonts w:ascii="Sylfaen" w:hAnsi="Sylfaen"/>
          <w:sz w:val="24"/>
          <w:szCs w:val="24"/>
        </w:rPr>
        <w:t>և</w:t>
      </w:r>
      <w:r w:rsidRPr="00834D52">
        <w:rPr>
          <w:rFonts w:ascii="Sylfaen" w:hAnsi="Sylfaen"/>
          <w:sz w:val="24"/>
          <w:szCs w:val="24"/>
        </w:rPr>
        <w:t>յալ տվյալները.</w:t>
      </w:r>
    </w:p>
    <w:p w14:paraId="25F8EACB" w14:textId="77777777" w:rsidR="006F76EB" w:rsidRPr="00834D52" w:rsidRDefault="006F76EB" w:rsidP="001637C4">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պատրաստուկներ ստացած սուբյեկտների թիվը </w:t>
      </w:r>
      <w:r w:rsidR="00C54D75">
        <w:rPr>
          <w:rFonts w:ascii="Sylfaen" w:hAnsi="Sylfaen"/>
          <w:sz w:val="24"/>
          <w:szCs w:val="24"/>
        </w:rPr>
        <w:t>և</w:t>
      </w:r>
      <w:r w:rsidRPr="00834D52">
        <w:rPr>
          <w:rFonts w:ascii="Sylfaen" w:hAnsi="Sylfaen"/>
          <w:sz w:val="24"/>
          <w:szCs w:val="24"/>
        </w:rPr>
        <w:t xml:space="preserve"> սեռը.</w:t>
      </w:r>
    </w:p>
    <w:p w14:paraId="5954384C" w14:textId="77777777" w:rsidR="006F76EB" w:rsidRPr="00834D52" w:rsidRDefault="006F76EB" w:rsidP="001637C4">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հետազոտվող </w:t>
      </w:r>
      <w:r w:rsidR="00C54D75">
        <w:rPr>
          <w:rFonts w:ascii="Sylfaen" w:hAnsi="Sylfaen"/>
          <w:sz w:val="24"/>
          <w:szCs w:val="24"/>
        </w:rPr>
        <w:t>և</w:t>
      </w:r>
      <w:r w:rsidRPr="00834D52">
        <w:rPr>
          <w:rFonts w:ascii="Sylfaen" w:hAnsi="Sylfaen"/>
          <w:sz w:val="24"/>
          <w:szCs w:val="24"/>
        </w:rPr>
        <w:t xml:space="preserve"> ստուգիչ խմբերում պացիենտների ընտրությունը </w:t>
      </w:r>
      <w:r w:rsidR="00C54D75">
        <w:rPr>
          <w:rFonts w:ascii="Sylfaen" w:hAnsi="Sylfaen"/>
          <w:sz w:val="24"/>
          <w:szCs w:val="24"/>
        </w:rPr>
        <w:t>և</w:t>
      </w:r>
      <w:r w:rsidRPr="00834D52">
        <w:rPr>
          <w:rFonts w:ascii="Sylfaen" w:hAnsi="Sylfaen"/>
          <w:sz w:val="24"/>
          <w:szCs w:val="24"/>
        </w:rPr>
        <w:t xml:space="preserve"> ըստ տարիքի բաշխումը.</w:t>
      </w:r>
    </w:p>
    <w:p w14:paraId="0F00B18D" w14:textId="77777777" w:rsidR="006F76EB" w:rsidRPr="00834D52" w:rsidRDefault="006F76EB" w:rsidP="001637C4">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հետազոտությունից վաղաժամկետ դուրս մնացած պացիենտների թիվը </w:t>
      </w:r>
      <w:r w:rsidR="00C54D75">
        <w:rPr>
          <w:rFonts w:ascii="Sylfaen" w:hAnsi="Sylfaen"/>
          <w:sz w:val="24"/>
          <w:szCs w:val="24"/>
        </w:rPr>
        <w:t>և</w:t>
      </w:r>
      <w:r w:rsidRPr="00834D52">
        <w:rPr>
          <w:rFonts w:ascii="Sylfaen" w:hAnsi="Sylfaen"/>
          <w:sz w:val="24"/>
          <w:szCs w:val="24"/>
        </w:rPr>
        <w:t xml:space="preserve"> դրա պատճառները.</w:t>
      </w:r>
    </w:p>
    <w:p w14:paraId="28A81DF4" w14:textId="77777777" w:rsidR="006F76EB" w:rsidRPr="00834D52" w:rsidRDefault="006F76EB" w:rsidP="001637C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տեղեկություններ այն մասին, թե ինչ է տեղի ունեցել ստուգիչ խմբի մասնակիցների հետ վերահսկվող հետազոտությունների՝ վերոնշյալ պայմաններում անցկացվելու դեպքում (չեն ստացել բուժում, ստացել են պլացեբո, ստացել են հայտնի ազդեցությամբ այլ դեղապատրաստուկ, ստացել են բուժման այլ տեսակ՝ առանց դեղապատրաստուկների կիրառման).</w:t>
      </w:r>
    </w:p>
    <w:p w14:paraId="5491E82A" w14:textId="77777777" w:rsidR="006F76EB" w:rsidRPr="00834D52" w:rsidRDefault="006F76EB" w:rsidP="001637C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նկատվող անցանկալի ռեակցիաների հաճախականությունը.</w:t>
      </w:r>
    </w:p>
    <w:p w14:paraId="7C847AE1" w14:textId="77777777" w:rsidR="006F76EB" w:rsidRPr="00834D52" w:rsidRDefault="006F76EB" w:rsidP="001637C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բարձր ռիսկի խմբի մեջ մտնող պացիենտների մասին տեղեկություններ (օրինակ՝ տարեց մարդիկ, երեխաներ, հղիներ կամ վերարտադրողական տարիքի կանայք կամ հիվանդներ, որոնց ֆիզիոլոգիական կամ պաթոլոգիական վիճակը հատուկ ուշադրություն է պահանջում).</w:t>
      </w:r>
    </w:p>
    <w:p w14:paraId="016B11F6"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արդյունավետության </w:t>
      </w:r>
      <w:r w:rsidR="00C54D75">
        <w:rPr>
          <w:rFonts w:ascii="Sylfaen" w:hAnsi="Sylfaen"/>
          <w:sz w:val="24"/>
          <w:szCs w:val="24"/>
        </w:rPr>
        <w:t>և</w:t>
      </w:r>
      <w:r w:rsidRPr="00834D52">
        <w:rPr>
          <w:rFonts w:ascii="Sylfaen" w:hAnsi="Sylfaen"/>
          <w:sz w:val="24"/>
          <w:szCs w:val="24"/>
        </w:rPr>
        <w:t xml:space="preserve"> ստացված արդյունքների պարամետրերը կամ գնահատման չափանիշները.</w:t>
      </w:r>
    </w:p>
    <w:p w14:paraId="039CC68A"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արդյունքների վիճակագրական գնահատումը, եթե դա պահանջվում է հետազոտության բովանդակային պլանով, </w:t>
      </w:r>
      <w:r w:rsidR="00C54D75">
        <w:rPr>
          <w:rFonts w:ascii="Sylfaen" w:hAnsi="Sylfaen"/>
          <w:sz w:val="24"/>
          <w:szCs w:val="24"/>
        </w:rPr>
        <w:t>և</w:t>
      </w:r>
      <w:r w:rsidRPr="00834D52">
        <w:rPr>
          <w:rFonts w:ascii="Sylfaen" w:hAnsi="Sylfaen"/>
          <w:sz w:val="24"/>
          <w:szCs w:val="24"/>
        </w:rPr>
        <w:t xml:space="preserve"> տարբեր ազդող գործոններ.</w:t>
      </w:r>
    </w:p>
    <w:p w14:paraId="30794A24" w14:textId="77777777" w:rsidR="006F76EB" w:rsidRPr="00834D52" w:rsidRDefault="006F76EB" w:rsidP="00DC233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է)</w:t>
      </w:r>
      <w:r w:rsidRPr="00834D52">
        <w:rPr>
          <w:rFonts w:ascii="Sylfaen" w:hAnsi="Sylfaen"/>
          <w:sz w:val="24"/>
          <w:szCs w:val="24"/>
        </w:rPr>
        <w:tab/>
        <w:t>գրանցման դոսյեում պետք է արտացոլվի հետազոտողի դիտարկումների մասին տեղեկատվությունը, որը վերաբերում է՝</w:t>
      </w:r>
    </w:p>
    <w:p w14:paraId="381E1A48"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դադարեցման ժամանակ պացիենտի մոտ առաջացող ընտելանալու, կախվածության կամ դժվարությունների ցանկացած հատկանիշի.</w:t>
      </w:r>
    </w:p>
    <w:p w14:paraId="75E3167B"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այլ դեղապատրաստուկի հետ միաժամանակ ներմուծելիս տեղի ունեցող ցանկացած փոխազդեցության.</w:t>
      </w:r>
    </w:p>
    <w:p w14:paraId="23E2586F"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որոշ պացիենտների հետազոտությունից բացառելու անհրաժեշտությունը սահմանող չափանիշներին.</w:t>
      </w:r>
    </w:p>
    <w:p w14:paraId="3D675598"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հետազոտության ժամանակ կամ հետագա հսկողության ընթացքում արձանագրված մահվան դեպքերին.</w:t>
      </w:r>
    </w:p>
    <w:p w14:paraId="404B75B2" w14:textId="77777777" w:rsidR="006F76EB" w:rsidRPr="00834D52" w:rsidRDefault="006F76EB" w:rsidP="00D55404">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ը)</w:t>
      </w:r>
      <w:r w:rsidRPr="00834D52">
        <w:rPr>
          <w:rFonts w:ascii="Sylfaen" w:hAnsi="Sylfaen"/>
          <w:sz w:val="24"/>
          <w:szCs w:val="24"/>
        </w:rPr>
        <w:tab/>
        <w:t>ակտիվ նյութերի նոր համակցության մասին տեղեկատվությունը պետք</w:t>
      </w:r>
      <w:r w:rsidR="00DC233B" w:rsidRPr="00D55404">
        <w:rPr>
          <w:rFonts w:ascii="Sylfaen" w:hAnsi="Sylfaen"/>
          <w:sz w:val="24"/>
          <w:szCs w:val="24"/>
        </w:rPr>
        <w:t> </w:t>
      </w:r>
      <w:r w:rsidRPr="00834D52">
        <w:rPr>
          <w:rFonts w:ascii="Sylfaen" w:hAnsi="Sylfaen"/>
          <w:sz w:val="24"/>
          <w:szCs w:val="24"/>
        </w:rPr>
        <w:t xml:space="preserve">է նույնական լինի նոր դեղապատրաստուկի մասին տվյալներին, գրանցման դոսյեում անհրաժեշտ է ներառել համակցության անվտանգության </w:t>
      </w:r>
      <w:r w:rsidR="00C54D75">
        <w:rPr>
          <w:rFonts w:ascii="Sylfaen" w:hAnsi="Sylfaen"/>
          <w:sz w:val="24"/>
          <w:szCs w:val="24"/>
        </w:rPr>
        <w:t>և</w:t>
      </w:r>
      <w:r w:rsidRPr="00834D52">
        <w:rPr>
          <w:rFonts w:ascii="Sylfaen" w:hAnsi="Sylfaen"/>
          <w:sz w:val="24"/>
          <w:szCs w:val="24"/>
        </w:rPr>
        <w:t xml:space="preserve"> արդյունավետության հիմնավորումը.</w:t>
      </w:r>
    </w:p>
    <w:p w14:paraId="29EF0076" w14:textId="77777777" w:rsidR="006F76EB" w:rsidRPr="00834D52" w:rsidRDefault="006F76EB" w:rsidP="00DC233B">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թ)</w:t>
      </w:r>
      <w:r w:rsidRPr="00834D52">
        <w:rPr>
          <w:rFonts w:ascii="Sylfaen" w:hAnsi="Sylfaen"/>
          <w:sz w:val="24"/>
          <w:szCs w:val="24"/>
        </w:rPr>
        <w:tab/>
        <w:t>դեղապատրաստուկի գրանցման դոսյեում սույն կետի «ա» — «ը» ենթակետերում թվարկված տվյալների ամբողջական կամ մասնակի բացակայության դեպքում անհրաժեշտ է ներկայացնել տվյալների բացակայության պատճառի բացատրություն:</w:t>
      </w:r>
    </w:p>
    <w:p w14:paraId="50F17DB1" w14:textId="77777777" w:rsidR="006F76EB" w:rsidRPr="00834D52" w:rsidRDefault="006F76EB" w:rsidP="001637C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կլինիկական հետազոտությունների անցկացման ժամանակ ստացվել են անսպասելի արդյունքներ, անհրաժեշտ է անցկացնել լրացուցիչ նախակլինիկական թունաբանական </w:t>
      </w:r>
      <w:r w:rsidR="00C54D75">
        <w:rPr>
          <w:rFonts w:ascii="Sylfaen" w:hAnsi="Sylfaen"/>
          <w:sz w:val="24"/>
          <w:szCs w:val="24"/>
        </w:rPr>
        <w:t>և</w:t>
      </w:r>
      <w:r w:rsidRPr="00834D52">
        <w:rPr>
          <w:rFonts w:ascii="Sylfaen" w:hAnsi="Sylfaen"/>
          <w:sz w:val="24"/>
          <w:szCs w:val="24"/>
        </w:rPr>
        <w:t xml:space="preserve"> դեղաբանական հետազոտություններ </w:t>
      </w:r>
      <w:r w:rsidR="00C54D75">
        <w:rPr>
          <w:rFonts w:ascii="Sylfaen" w:hAnsi="Sylfaen"/>
          <w:sz w:val="24"/>
          <w:szCs w:val="24"/>
        </w:rPr>
        <w:t>և</w:t>
      </w:r>
      <w:r w:rsidRPr="00834D52">
        <w:rPr>
          <w:rFonts w:ascii="Sylfaen" w:hAnsi="Sylfaen"/>
          <w:sz w:val="24"/>
          <w:szCs w:val="24"/>
        </w:rPr>
        <w:t xml:space="preserve"> ամփոփել ստացված արդյունքները.</w:t>
      </w:r>
    </w:p>
    <w:p w14:paraId="5B6FCC6F" w14:textId="77777777" w:rsidR="006F76EB" w:rsidRPr="00834D52" w:rsidRDefault="006F76EB" w:rsidP="00DC233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ժ)</w:t>
      </w:r>
      <w:r w:rsidRPr="00834D52">
        <w:rPr>
          <w:rFonts w:ascii="Sylfaen" w:hAnsi="Sylfaen"/>
          <w:sz w:val="24"/>
          <w:szCs w:val="24"/>
        </w:rPr>
        <w:tab/>
        <w:t>եթե դեղապատրաստուկը նախատեսված է երկարատ</w:t>
      </w:r>
      <w:r w:rsidR="00C54D75">
        <w:rPr>
          <w:rFonts w:ascii="Sylfaen" w:hAnsi="Sylfaen"/>
          <w:sz w:val="24"/>
          <w:szCs w:val="24"/>
        </w:rPr>
        <w:t>և</w:t>
      </w:r>
      <w:r w:rsidRPr="00834D52">
        <w:rPr>
          <w:rFonts w:ascii="Sylfaen" w:hAnsi="Sylfaen"/>
          <w:sz w:val="24"/>
          <w:szCs w:val="24"/>
        </w:rPr>
        <w:t xml:space="preserve"> օգտագործման համար, դեղապատրաստուկի գրանցման դոսյեում անհրաժեշտ է ներկայացնել դեղաբանական ազդեցության փոփոխությունների նկարագրությունը դեղապատրաստուկի բազմանգամյա օգտագործման արդյունքում, ինչպես նա</w:t>
      </w:r>
      <w:r w:rsidR="00C54D75">
        <w:rPr>
          <w:rFonts w:ascii="Sylfaen" w:hAnsi="Sylfaen"/>
          <w:sz w:val="24"/>
          <w:szCs w:val="24"/>
        </w:rPr>
        <w:t>և</w:t>
      </w:r>
      <w:r w:rsidRPr="00834D52">
        <w:rPr>
          <w:rFonts w:ascii="Sylfaen" w:hAnsi="Sylfaen"/>
          <w:sz w:val="24"/>
          <w:szCs w:val="24"/>
        </w:rPr>
        <w:t xml:space="preserve"> անհրաժեշտ է հիմնավորել երկարատ</w:t>
      </w:r>
      <w:r w:rsidR="00C54D75">
        <w:rPr>
          <w:rFonts w:ascii="Sylfaen" w:hAnsi="Sylfaen"/>
          <w:sz w:val="24"/>
          <w:szCs w:val="24"/>
        </w:rPr>
        <w:t>և</w:t>
      </w:r>
      <w:r w:rsidRPr="00834D52">
        <w:rPr>
          <w:rFonts w:ascii="Sylfaen" w:hAnsi="Sylfaen"/>
          <w:sz w:val="24"/>
          <w:szCs w:val="24"/>
        </w:rPr>
        <w:t xml:space="preserve"> օգտագործման համար դոզավորման ընտրությունը:</w:t>
      </w:r>
    </w:p>
    <w:p w14:paraId="6B02B60F" w14:textId="77777777" w:rsidR="006F76EB" w:rsidRPr="00834D52" w:rsidRDefault="006F76EB" w:rsidP="00D55404">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5.3.</w:t>
      </w:r>
      <w:r w:rsidRPr="00834D52">
        <w:rPr>
          <w:rFonts w:ascii="Sylfaen" w:hAnsi="Sylfaen"/>
          <w:sz w:val="24"/>
          <w:szCs w:val="24"/>
        </w:rPr>
        <w:tab/>
        <w:t>Հաշվետվություններ՝ կլինիկական հետազոտությունների (փորձարկումների) մասին:</w:t>
      </w:r>
    </w:p>
    <w:p w14:paraId="620F4154" w14:textId="77777777" w:rsidR="006F76EB" w:rsidRPr="00834D52" w:rsidRDefault="006F76EB" w:rsidP="00DC233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5.3.1.</w:t>
      </w:r>
      <w:r w:rsidRPr="00834D52">
        <w:rPr>
          <w:rFonts w:ascii="Sylfaen" w:hAnsi="Sylfaen"/>
          <w:sz w:val="24"/>
          <w:szCs w:val="24"/>
        </w:rPr>
        <w:tab/>
        <w:t>Հաշվետվություններ՝ կենսադեղագործական հետազոտությունների մասին:</w:t>
      </w:r>
    </w:p>
    <w:p w14:paraId="7E4A124C" w14:textId="77777777" w:rsidR="006F76EB" w:rsidRPr="00834D52" w:rsidRDefault="006F76EB" w:rsidP="001637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դոսյեի կազմում անհրաժեշտ է ներառել հաշվետվություններ՝ կենսամատչելիության, համեմատական կենսամատչելիության, կենսահամարժեքության, in vitro</w:t>
      </w:r>
      <w:r w:rsidRPr="008341C7">
        <w:rPr>
          <w:rFonts w:ascii="Sylfaen" w:hAnsi="Sylfaen"/>
          <w:sz w:val="24"/>
          <w:szCs w:val="24"/>
        </w:rPr>
        <w:t>-</w:t>
      </w:r>
      <w:r w:rsidRPr="00834D52">
        <w:rPr>
          <w:rFonts w:ascii="Sylfaen" w:hAnsi="Sylfaen"/>
          <w:sz w:val="24"/>
          <w:szCs w:val="24"/>
        </w:rPr>
        <w:t xml:space="preserve">in vivo համահարաբերակցության հետազոտության մասին, </w:t>
      </w:r>
      <w:r w:rsidR="00C54D75">
        <w:rPr>
          <w:rFonts w:ascii="Sylfaen" w:hAnsi="Sylfaen"/>
          <w:sz w:val="24"/>
          <w:szCs w:val="24"/>
        </w:rPr>
        <w:t>և</w:t>
      </w:r>
      <w:r w:rsidRPr="00834D52">
        <w:rPr>
          <w:rFonts w:ascii="Sylfaen" w:hAnsi="Sylfaen"/>
          <w:sz w:val="24"/>
          <w:szCs w:val="24"/>
        </w:rPr>
        <w:t xml:space="preserve"> կենսավերլուծական </w:t>
      </w:r>
      <w:r w:rsidR="00C54D75">
        <w:rPr>
          <w:rFonts w:ascii="Sylfaen" w:hAnsi="Sylfaen"/>
          <w:sz w:val="24"/>
          <w:szCs w:val="24"/>
        </w:rPr>
        <w:t>և</w:t>
      </w:r>
      <w:r w:rsidRPr="00834D52">
        <w:rPr>
          <w:rFonts w:ascii="Sylfaen" w:hAnsi="Sylfaen"/>
          <w:sz w:val="24"/>
          <w:szCs w:val="24"/>
        </w:rPr>
        <w:t xml:space="preserve"> վերլուծական մեթոդիկաների նկարագրությունը: Դեղագործական պատրաստուկների կենսահամարժեքությունը ցուցադրելու անհրաժեշտության դեպքում պետք է նշվեն տեղեկություններ՝ դրանց համեմատական կենսամատչելիության անցկացված գնահատման մասին:</w:t>
      </w:r>
    </w:p>
    <w:p w14:paraId="7AACE531" w14:textId="77777777" w:rsidR="006F76EB" w:rsidRPr="00834D52" w:rsidRDefault="006F76EB" w:rsidP="001637C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Բիովեյվեր ընթացակարգի կիրառման դեպքում դեղապատրաստուկի գրանցման դոսյեում անհրաժեշտ է ներկայացնել հաշվետվություն՝ in vitro հետազոտությունների անցկացման մասին: Կենսահամարժեքության հետազոտությունների անցկացումը </w:t>
      </w:r>
      <w:r w:rsidR="00C54D75">
        <w:rPr>
          <w:rFonts w:ascii="Sylfaen" w:hAnsi="Sylfaen"/>
          <w:sz w:val="24"/>
          <w:szCs w:val="24"/>
        </w:rPr>
        <w:t>և</w:t>
      </w:r>
      <w:r w:rsidRPr="00834D52">
        <w:rPr>
          <w:rFonts w:ascii="Sylfaen" w:hAnsi="Sylfaen"/>
          <w:sz w:val="24"/>
          <w:szCs w:val="24"/>
        </w:rPr>
        <w:t xml:space="preserve"> գնահատումը կամ կենսահամարժեքության հետազոտություններ չանցկացնելու հիմնավորումը պետք է ներկայացվեն Հանձնաժողովի կողմից հաստատված՝ Եվրասիական տնտեսական միության շրջանակներում դեղապատրաստուկների կենսահամարժեքության հետազոտությունների անցկացման կանոնների պահանջներին համապատասխան:</w:t>
      </w:r>
    </w:p>
    <w:p w14:paraId="55E1851B" w14:textId="77777777" w:rsidR="006F76EB" w:rsidRPr="00834D52" w:rsidRDefault="006F76EB" w:rsidP="00D5540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5.3.2.</w:t>
      </w:r>
      <w:r w:rsidRPr="00834D52">
        <w:rPr>
          <w:rFonts w:ascii="Sylfaen" w:hAnsi="Sylfaen"/>
          <w:sz w:val="24"/>
          <w:szCs w:val="24"/>
        </w:rPr>
        <w:tab/>
        <w:t xml:space="preserve">Հաշվետվություններ՝ մարդու կենսանյութերի օգտագործմամբ </w:t>
      </w:r>
      <w:r w:rsidR="00355C33">
        <w:rPr>
          <w:rFonts w:ascii="Sylfaen" w:hAnsi="Sylfaen"/>
          <w:sz w:val="24"/>
          <w:szCs w:val="24"/>
        </w:rPr>
        <w:t>դեղա</w:t>
      </w:r>
      <w:r w:rsidRPr="00834D52">
        <w:rPr>
          <w:rFonts w:ascii="Sylfaen" w:hAnsi="Sylfaen"/>
          <w:sz w:val="24"/>
          <w:szCs w:val="24"/>
        </w:rPr>
        <w:t>կինետիկ հետազոտությունների վերաբերյալ:</w:t>
      </w:r>
    </w:p>
    <w:p w14:paraId="47BC43D6" w14:textId="77777777" w:rsidR="006F76EB" w:rsidRPr="00834D52" w:rsidRDefault="006F76EB" w:rsidP="005E478F">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Մարդուց ստացված կենսանյութերի շարքին են պատկանում մարդուց ստացված սպիտակուցները, բջիջները, հյուսվածքները </w:t>
      </w:r>
      <w:r w:rsidR="00C54D75">
        <w:rPr>
          <w:rFonts w:ascii="Sylfaen" w:hAnsi="Sylfaen"/>
          <w:sz w:val="24"/>
          <w:szCs w:val="24"/>
        </w:rPr>
        <w:t>և</w:t>
      </w:r>
      <w:r w:rsidRPr="00834D52">
        <w:rPr>
          <w:rFonts w:ascii="Sylfaen" w:hAnsi="Sylfaen"/>
          <w:sz w:val="24"/>
          <w:szCs w:val="24"/>
        </w:rPr>
        <w:t xml:space="preserve"> դրանց հետ կապված նյութերը, որոնք օգտագործվում են in vitro կամ in vivo հետազոտությունների անցկացման ժամանակ ակտիվ նյութերի </w:t>
      </w:r>
      <w:r w:rsidR="00355C33">
        <w:rPr>
          <w:rFonts w:ascii="Sylfaen" w:hAnsi="Sylfaen"/>
          <w:sz w:val="24"/>
          <w:szCs w:val="24"/>
        </w:rPr>
        <w:t>դեղա</w:t>
      </w:r>
      <w:r w:rsidRPr="00834D52">
        <w:rPr>
          <w:rFonts w:ascii="Sylfaen" w:hAnsi="Sylfaen"/>
          <w:sz w:val="24"/>
          <w:szCs w:val="24"/>
        </w:rPr>
        <w:t xml:space="preserve">կինետիկ հատկությունների գնահատման համար: Դեղապատրաստուկի գրանցման դոսյեում անհրաժեշտ է պլազմայի սպիտակուցների հետ ակտիվ նյութի կապման, լյարդում նյութափոխանակության </w:t>
      </w:r>
      <w:r w:rsidR="00C54D75">
        <w:rPr>
          <w:rFonts w:ascii="Sylfaen" w:hAnsi="Sylfaen"/>
          <w:sz w:val="24"/>
          <w:szCs w:val="24"/>
        </w:rPr>
        <w:t>և</w:t>
      </w:r>
      <w:r w:rsidRPr="00834D52">
        <w:rPr>
          <w:rFonts w:ascii="Sylfaen" w:hAnsi="Sylfaen"/>
          <w:sz w:val="24"/>
          <w:szCs w:val="24"/>
        </w:rPr>
        <w:t xml:space="preserve"> ակտիվ նյութի փոխազդեցության հետազոտության, ինչպես նա</w:t>
      </w:r>
      <w:r w:rsidR="00C54D75">
        <w:rPr>
          <w:rFonts w:ascii="Sylfaen" w:hAnsi="Sylfaen"/>
          <w:sz w:val="24"/>
          <w:szCs w:val="24"/>
        </w:rPr>
        <w:t>և</w:t>
      </w:r>
      <w:r w:rsidRPr="00834D52">
        <w:rPr>
          <w:rFonts w:ascii="Sylfaen" w:hAnsi="Sylfaen"/>
          <w:sz w:val="24"/>
          <w:szCs w:val="24"/>
        </w:rPr>
        <w:t xml:space="preserve"> մարդուց ստացված այլ կենսանյութերի օգտագործմամբ հետազոտության մասին հաշվետվություններ ներկայացնել:</w:t>
      </w:r>
    </w:p>
    <w:p w14:paraId="1C833938" w14:textId="77777777" w:rsidR="006F76EB" w:rsidRPr="00834D52" w:rsidRDefault="006F76EB" w:rsidP="00D5540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5.3.3.</w:t>
      </w:r>
      <w:r w:rsidRPr="00834D52">
        <w:rPr>
          <w:rFonts w:ascii="Sylfaen" w:hAnsi="Sylfaen"/>
          <w:sz w:val="24"/>
          <w:szCs w:val="24"/>
        </w:rPr>
        <w:tab/>
        <w:t xml:space="preserve">Հաշվետվություններ՝ մարդու մոտ </w:t>
      </w:r>
      <w:r w:rsidR="00355C33">
        <w:rPr>
          <w:rFonts w:ascii="Sylfaen" w:hAnsi="Sylfaen"/>
          <w:sz w:val="24"/>
          <w:szCs w:val="24"/>
        </w:rPr>
        <w:t>դեղա</w:t>
      </w:r>
      <w:r w:rsidRPr="00834D52">
        <w:rPr>
          <w:rFonts w:ascii="Sylfaen" w:hAnsi="Sylfaen"/>
          <w:sz w:val="24"/>
          <w:szCs w:val="24"/>
        </w:rPr>
        <w:t>կինետիկ հետազոտությունների վերաբերյալ.</w:t>
      </w:r>
    </w:p>
    <w:p w14:paraId="7136CFF7" w14:textId="77777777" w:rsidR="006F76EB" w:rsidRPr="00834D52" w:rsidRDefault="006F76EB" w:rsidP="005E478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դոսյեում անհրաժեշտ է նկարագրել հետ</w:t>
      </w:r>
      <w:r w:rsidR="00C54D75">
        <w:rPr>
          <w:rFonts w:ascii="Sylfaen" w:hAnsi="Sylfaen"/>
          <w:sz w:val="24"/>
          <w:szCs w:val="24"/>
        </w:rPr>
        <w:t>և</w:t>
      </w:r>
      <w:r w:rsidRPr="00834D52">
        <w:rPr>
          <w:rFonts w:ascii="Sylfaen" w:hAnsi="Sylfaen"/>
          <w:sz w:val="24"/>
          <w:szCs w:val="24"/>
        </w:rPr>
        <w:t xml:space="preserve">յալ </w:t>
      </w:r>
      <w:r w:rsidR="00355C33">
        <w:rPr>
          <w:rFonts w:ascii="Sylfaen" w:hAnsi="Sylfaen"/>
          <w:sz w:val="24"/>
          <w:szCs w:val="24"/>
        </w:rPr>
        <w:t>դեղա</w:t>
      </w:r>
      <w:r w:rsidRPr="00834D52">
        <w:rPr>
          <w:rFonts w:ascii="Sylfaen" w:hAnsi="Sylfaen"/>
          <w:sz w:val="24"/>
          <w:szCs w:val="24"/>
        </w:rPr>
        <w:t>կինետիկ բնութագրերը.</w:t>
      </w:r>
    </w:p>
    <w:p w14:paraId="5ED52087" w14:textId="77777777" w:rsidR="006F76EB" w:rsidRPr="00834D52" w:rsidRDefault="006F76EB" w:rsidP="005E478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կլանում (արագության </w:t>
      </w:r>
      <w:r w:rsidR="00C54D75">
        <w:rPr>
          <w:rFonts w:ascii="Sylfaen" w:hAnsi="Sylfaen"/>
          <w:sz w:val="24"/>
          <w:szCs w:val="24"/>
        </w:rPr>
        <w:t>և</w:t>
      </w:r>
      <w:r w:rsidRPr="00834D52">
        <w:rPr>
          <w:rFonts w:ascii="Sylfaen" w:hAnsi="Sylfaen"/>
          <w:sz w:val="24"/>
          <w:szCs w:val="24"/>
        </w:rPr>
        <w:t xml:space="preserve"> աստիճանի նշումով).</w:t>
      </w:r>
    </w:p>
    <w:p w14:paraId="314DC72A"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բաշխում.</w:t>
      </w:r>
    </w:p>
    <w:p w14:paraId="0FDE7439"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նյութափոխանակություն.</w:t>
      </w:r>
    </w:p>
    <w:p w14:paraId="641D59A4"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դուրսբերում:</w:t>
      </w:r>
    </w:p>
    <w:p w14:paraId="5504C57D" w14:textId="77777777" w:rsidR="006F76EB" w:rsidRPr="00834D52" w:rsidRDefault="006F76EB" w:rsidP="005E478F">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կլինիկապես կար</w:t>
      </w:r>
      <w:r w:rsidR="00C54D75">
        <w:rPr>
          <w:rFonts w:ascii="Sylfaen" w:hAnsi="Sylfaen"/>
          <w:sz w:val="24"/>
          <w:szCs w:val="24"/>
        </w:rPr>
        <w:t>և</w:t>
      </w:r>
      <w:r w:rsidRPr="00834D52">
        <w:rPr>
          <w:rFonts w:ascii="Sylfaen" w:hAnsi="Sylfaen"/>
          <w:sz w:val="24"/>
          <w:szCs w:val="24"/>
        </w:rPr>
        <w:t xml:space="preserve">որ բնութագրերի (ներառյալ կինետիկ տվյալների նշանակությունը ռիսկի խմբերից պացիենտների համար դեղապատրաստուկի դոզավորման ռեժիմը որոշելու ժամանակ) </w:t>
      </w:r>
      <w:r w:rsidR="00C54D75">
        <w:rPr>
          <w:rFonts w:ascii="Sylfaen" w:hAnsi="Sylfaen"/>
          <w:sz w:val="24"/>
          <w:szCs w:val="24"/>
        </w:rPr>
        <w:t>և</w:t>
      </w:r>
      <w:r w:rsidRPr="00834D52">
        <w:rPr>
          <w:rFonts w:ascii="Sylfaen" w:hAnsi="Sylfaen"/>
          <w:sz w:val="24"/>
          <w:szCs w:val="24"/>
        </w:rPr>
        <w:t xml:space="preserve"> նախակլինիկական հետազոտությունների անցկացման ժամանակ օգտագործված մարդու </w:t>
      </w:r>
      <w:r w:rsidR="00C54D75">
        <w:rPr>
          <w:rFonts w:ascii="Sylfaen" w:hAnsi="Sylfaen"/>
          <w:sz w:val="24"/>
          <w:szCs w:val="24"/>
        </w:rPr>
        <w:t>և</w:t>
      </w:r>
      <w:r w:rsidRPr="00834D52">
        <w:rPr>
          <w:rFonts w:ascii="Sylfaen" w:hAnsi="Sylfaen"/>
          <w:sz w:val="24"/>
          <w:szCs w:val="24"/>
        </w:rPr>
        <w:t xml:space="preserve"> կենդանիների տեսակների միջ</w:t>
      </w:r>
      <w:r w:rsidR="00C54D75">
        <w:rPr>
          <w:rFonts w:ascii="Sylfaen" w:hAnsi="Sylfaen"/>
          <w:sz w:val="24"/>
          <w:szCs w:val="24"/>
        </w:rPr>
        <w:t>և</w:t>
      </w:r>
      <w:r w:rsidRPr="00834D52">
        <w:rPr>
          <w:rFonts w:ascii="Sylfaen" w:hAnsi="Sylfaen"/>
          <w:sz w:val="24"/>
          <w:szCs w:val="24"/>
        </w:rPr>
        <w:t xml:space="preserve"> տարբերությունների նկարագրությունը:</w:t>
      </w:r>
    </w:p>
    <w:p w14:paraId="33192F3E"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բացի կլինիկական </w:t>
      </w:r>
      <w:r w:rsidRPr="00834D52">
        <w:rPr>
          <w:rFonts w:ascii="Sylfaen" w:hAnsi="Sylfaen"/>
          <w:sz w:val="24"/>
          <w:szCs w:val="24"/>
        </w:rPr>
        <w:lastRenderedPageBreak/>
        <w:t xml:space="preserve">հետազոտությունների ժամանակ փորձանմուշների պատահական ընտրության վրա հիմնված պոպուլյացիոն </w:t>
      </w:r>
      <w:r w:rsidR="00355C33">
        <w:rPr>
          <w:rFonts w:ascii="Sylfaen" w:hAnsi="Sylfaen"/>
          <w:sz w:val="24"/>
          <w:szCs w:val="24"/>
        </w:rPr>
        <w:t>դեղա</w:t>
      </w:r>
      <w:r w:rsidRPr="00834D52">
        <w:rPr>
          <w:rFonts w:ascii="Sylfaen" w:hAnsi="Sylfaen"/>
          <w:sz w:val="24"/>
          <w:szCs w:val="24"/>
        </w:rPr>
        <w:t xml:space="preserve">կինետիկայի վերլուծության դեպքում զգալի քանակությամբ փորձանմուշների օգտագործմամբ ստանդարտ </w:t>
      </w:r>
      <w:r w:rsidR="00355C33">
        <w:rPr>
          <w:rFonts w:ascii="Sylfaen" w:hAnsi="Sylfaen"/>
          <w:sz w:val="24"/>
          <w:szCs w:val="24"/>
        </w:rPr>
        <w:t>դեղա</w:t>
      </w:r>
      <w:r w:rsidRPr="00834D52">
        <w:rPr>
          <w:rFonts w:ascii="Sylfaen" w:hAnsi="Sylfaen"/>
          <w:sz w:val="24"/>
          <w:szCs w:val="24"/>
        </w:rPr>
        <w:t xml:space="preserve">կինետիկ հետազոտությունների մասին տեղեկությունների, կարող է տեղեկատվություն բերվել դեղաչափի </w:t>
      </w:r>
      <w:r w:rsidR="00C54D75">
        <w:rPr>
          <w:rFonts w:ascii="Sylfaen" w:hAnsi="Sylfaen"/>
          <w:sz w:val="24"/>
          <w:szCs w:val="24"/>
        </w:rPr>
        <w:t>և</w:t>
      </w:r>
      <w:r w:rsidRPr="00834D52">
        <w:rPr>
          <w:rFonts w:ascii="Sylfaen" w:hAnsi="Sylfaen"/>
          <w:sz w:val="24"/>
          <w:szCs w:val="24"/>
        </w:rPr>
        <w:t xml:space="preserve"> </w:t>
      </w:r>
      <w:r w:rsidR="00355C33">
        <w:rPr>
          <w:rFonts w:ascii="Sylfaen" w:hAnsi="Sylfaen"/>
          <w:sz w:val="24"/>
          <w:szCs w:val="24"/>
        </w:rPr>
        <w:t>դեղա</w:t>
      </w:r>
      <w:r w:rsidRPr="00834D52">
        <w:rPr>
          <w:rFonts w:ascii="Sylfaen" w:hAnsi="Sylfaen"/>
          <w:sz w:val="24"/>
          <w:szCs w:val="24"/>
        </w:rPr>
        <w:t>կինետիկ պարամետրերի (ռեակցիայի) արժեքների միջ</w:t>
      </w:r>
      <w:r w:rsidR="00C54D75">
        <w:rPr>
          <w:rFonts w:ascii="Sylfaen" w:hAnsi="Sylfaen"/>
          <w:sz w:val="24"/>
          <w:szCs w:val="24"/>
        </w:rPr>
        <w:t>և</w:t>
      </w:r>
      <w:r w:rsidRPr="00834D52">
        <w:rPr>
          <w:rFonts w:ascii="Sylfaen" w:hAnsi="Sylfaen"/>
          <w:sz w:val="24"/>
          <w:szCs w:val="24"/>
        </w:rPr>
        <w:t xml:space="preserve"> փոխադարձ կապի փոփոխականության վրա ներքին </w:t>
      </w:r>
      <w:r w:rsidR="00C54D75">
        <w:rPr>
          <w:rFonts w:ascii="Sylfaen" w:hAnsi="Sylfaen"/>
          <w:sz w:val="24"/>
          <w:szCs w:val="24"/>
        </w:rPr>
        <w:t>և</w:t>
      </w:r>
      <w:r w:rsidRPr="00834D52">
        <w:rPr>
          <w:rFonts w:ascii="Sylfaen" w:hAnsi="Sylfaen"/>
          <w:sz w:val="24"/>
          <w:szCs w:val="24"/>
        </w:rPr>
        <w:t xml:space="preserve"> արտաքին գործոնների ազդեցության մասին:</w:t>
      </w:r>
    </w:p>
    <w:p w14:paraId="68362767" w14:textId="77777777" w:rsidR="006F76EB" w:rsidRPr="00834D52" w:rsidRDefault="006F76EB" w:rsidP="005E478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հաշվետվություններ՝ </w:t>
      </w:r>
      <w:r w:rsidR="00355C33">
        <w:rPr>
          <w:rFonts w:ascii="Sylfaen" w:hAnsi="Sylfaen"/>
          <w:sz w:val="24"/>
          <w:szCs w:val="24"/>
        </w:rPr>
        <w:t>դեղա</w:t>
      </w:r>
      <w:r w:rsidRPr="00834D52">
        <w:rPr>
          <w:rFonts w:ascii="Sylfaen" w:hAnsi="Sylfaen"/>
          <w:sz w:val="24"/>
          <w:szCs w:val="24"/>
        </w:rPr>
        <w:t xml:space="preserve">կինետիկայի հետազոտությունների </w:t>
      </w:r>
      <w:r w:rsidR="00C54D75">
        <w:rPr>
          <w:rFonts w:ascii="Sylfaen" w:hAnsi="Sylfaen"/>
          <w:sz w:val="24"/>
          <w:szCs w:val="24"/>
        </w:rPr>
        <w:t>և</w:t>
      </w:r>
      <w:r w:rsidRPr="00834D52">
        <w:rPr>
          <w:rFonts w:ascii="Sylfaen" w:hAnsi="Sylfaen"/>
          <w:sz w:val="24"/>
          <w:szCs w:val="24"/>
        </w:rPr>
        <w:t xml:space="preserve"> առողջ կամավորների </w:t>
      </w:r>
      <w:r w:rsidR="00C54D75">
        <w:rPr>
          <w:rFonts w:ascii="Sylfaen" w:hAnsi="Sylfaen"/>
          <w:sz w:val="24"/>
          <w:szCs w:val="24"/>
        </w:rPr>
        <w:t>և</w:t>
      </w:r>
      <w:r w:rsidRPr="00834D52">
        <w:rPr>
          <w:rFonts w:ascii="Sylfaen" w:hAnsi="Sylfaen"/>
          <w:sz w:val="24"/>
          <w:szCs w:val="24"/>
        </w:rPr>
        <w:t xml:space="preserve"> պացիենտների կողմից դեղապատրաստուկի տանելիության առաջին հետազոտությունների մասին, հաշվետվություններ՝ ներքին </w:t>
      </w:r>
      <w:r w:rsidR="00C54D75">
        <w:rPr>
          <w:rFonts w:ascii="Sylfaen" w:hAnsi="Sylfaen"/>
          <w:sz w:val="24"/>
          <w:szCs w:val="24"/>
        </w:rPr>
        <w:t>և</w:t>
      </w:r>
      <w:r w:rsidRPr="00834D52">
        <w:rPr>
          <w:rFonts w:ascii="Sylfaen" w:hAnsi="Sylfaen"/>
          <w:sz w:val="24"/>
          <w:szCs w:val="24"/>
        </w:rPr>
        <w:t xml:space="preserve"> արտաքին գործոնների ազդեցության գնահատման նպատակով </w:t>
      </w:r>
      <w:r w:rsidR="00355C33">
        <w:rPr>
          <w:rFonts w:ascii="Sylfaen" w:hAnsi="Sylfaen"/>
          <w:sz w:val="24"/>
          <w:szCs w:val="24"/>
        </w:rPr>
        <w:t>դեղա</w:t>
      </w:r>
      <w:r w:rsidRPr="00834D52">
        <w:rPr>
          <w:rFonts w:ascii="Sylfaen" w:hAnsi="Sylfaen"/>
          <w:sz w:val="24"/>
          <w:szCs w:val="24"/>
        </w:rPr>
        <w:t>կինետիկայի ուսումնասիրության մասին, ինչպես նա</w:t>
      </w:r>
      <w:r w:rsidR="00C54D75">
        <w:rPr>
          <w:rFonts w:ascii="Sylfaen" w:hAnsi="Sylfaen"/>
          <w:sz w:val="24"/>
          <w:szCs w:val="24"/>
        </w:rPr>
        <w:t>և</w:t>
      </w:r>
      <w:r w:rsidRPr="00834D52">
        <w:rPr>
          <w:rFonts w:ascii="Sylfaen" w:hAnsi="Sylfaen"/>
          <w:sz w:val="24"/>
          <w:szCs w:val="24"/>
        </w:rPr>
        <w:t xml:space="preserve"> հաշվետվություններ՝ պոպուլյացիոն </w:t>
      </w:r>
      <w:r w:rsidR="00355C33">
        <w:rPr>
          <w:rFonts w:ascii="Sylfaen" w:hAnsi="Sylfaen"/>
          <w:sz w:val="24"/>
          <w:szCs w:val="24"/>
        </w:rPr>
        <w:t>դեղա</w:t>
      </w:r>
      <w:r w:rsidRPr="00834D52">
        <w:rPr>
          <w:rFonts w:ascii="Sylfaen" w:hAnsi="Sylfaen"/>
          <w:sz w:val="24"/>
          <w:szCs w:val="24"/>
        </w:rPr>
        <w:t>կինետիկայի մասին.</w:t>
      </w:r>
    </w:p>
    <w:p w14:paraId="00927802" w14:textId="77777777" w:rsidR="006F76EB" w:rsidRPr="00834D52" w:rsidRDefault="006F76EB" w:rsidP="005E478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դեղապատրաստուկը կիրառվում է այլ դեղապատրաստուկների հետ միասին, դեղապատրաստուկի գրանցման դոսյեում պետք է ներկայացված լինի դրանց միաժամանակյա կիրառման հետազոտության նկարագրությունը, որն անցկացվել է դեղաբանական ազդեցության հնարավոր փոփոխությունը ցուցադրելու համար: Անհրաժեշտ է ներկայացնել տեղեկատվություն՝ այլ դեղապատրաստուկների կամ նյութերի հետ ակտիվ նյութի </w:t>
      </w:r>
      <w:r w:rsidR="00355C33">
        <w:rPr>
          <w:rFonts w:ascii="Sylfaen" w:hAnsi="Sylfaen"/>
          <w:sz w:val="24"/>
          <w:szCs w:val="24"/>
        </w:rPr>
        <w:t>դեղա</w:t>
      </w:r>
      <w:r w:rsidRPr="00834D52">
        <w:rPr>
          <w:rFonts w:ascii="Sylfaen" w:hAnsi="Sylfaen"/>
          <w:sz w:val="24"/>
          <w:szCs w:val="24"/>
        </w:rPr>
        <w:t>կինետիկ փոխազդեցության ուսումնասիրության վերաբերյալ:</w:t>
      </w:r>
    </w:p>
    <w:p w14:paraId="0E12932F" w14:textId="77777777" w:rsidR="006F76EB" w:rsidRPr="00834D52" w:rsidRDefault="006F76EB" w:rsidP="00D5540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5.3.4.</w:t>
      </w:r>
      <w:r w:rsidRPr="00834D52">
        <w:rPr>
          <w:rFonts w:ascii="Sylfaen" w:hAnsi="Sylfaen"/>
          <w:sz w:val="24"/>
          <w:szCs w:val="24"/>
        </w:rPr>
        <w:tab/>
        <w:t xml:space="preserve">Հաշվետվություններ՝ մարդու մոտ </w:t>
      </w:r>
      <w:r w:rsidR="00355C33">
        <w:rPr>
          <w:rFonts w:ascii="Sylfaen" w:hAnsi="Sylfaen"/>
          <w:sz w:val="24"/>
          <w:szCs w:val="24"/>
        </w:rPr>
        <w:t>դեղա</w:t>
      </w:r>
      <w:r w:rsidRPr="00834D52">
        <w:rPr>
          <w:rFonts w:ascii="Sylfaen" w:hAnsi="Sylfaen"/>
          <w:sz w:val="24"/>
          <w:szCs w:val="24"/>
        </w:rPr>
        <w:t>դինամիկ հետազոտությունների վերաբերյալ.</w:t>
      </w:r>
    </w:p>
    <w:p w14:paraId="79A53D3A" w14:textId="77777777" w:rsidR="006F76EB" w:rsidRPr="00834D52" w:rsidRDefault="006F76EB" w:rsidP="00D55404">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գրանցման դոսյեում անհրաժեշտ է հաստատել </w:t>
      </w:r>
      <w:r w:rsidR="00355C33">
        <w:rPr>
          <w:rFonts w:ascii="Sylfaen" w:hAnsi="Sylfaen"/>
          <w:sz w:val="24"/>
          <w:szCs w:val="24"/>
        </w:rPr>
        <w:t>դեղա</w:t>
      </w:r>
      <w:r w:rsidRPr="00834D52">
        <w:rPr>
          <w:rFonts w:ascii="Sylfaen" w:hAnsi="Sylfaen"/>
          <w:sz w:val="24"/>
          <w:szCs w:val="24"/>
        </w:rPr>
        <w:t xml:space="preserve">դինամիկ ազդեցության </w:t>
      </w:r>
      <w:r w:rsidR="00C54D75">
        <w:rPr>
          <w:rFonts w:ascii="Sylfaen" w:hAnsi="Sylfaen"/>
          <w:sz w:val="24"/>
          <w:szCs w:val="24"/>
        </w:rPr>
        <w:t>և</w:t>
      </w:r>
      <w:r w:rsidRPr="00834D52">
        <w:rPr>
          <w:rFonts w:ascii="Sylfaen" w:hAnsi="Sylfaen"/>
          <w:sz w:val="24"/>
          <w:szCs w:val="24"/>
        </w:rPr>
        <w:t xml:space="preserve"> արդյունավետության համահարաբերակցությունը, ներառյալ՝</w:t>
      </w:r>
    </w:p>
    <w:p w14:paraId="532AC687" w14:textId="77777777" w:rsidR="006F76EB" w:rsidRPr="00834D52" w:rsidRDefault="006F76EB" w:rsidP="005E478F">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«դեղաչափ-ազդեցություն» կախվածությունը </w:t>
      </w:r>
      <w:r w:rsidR="00C54D75">
        <w:rPr>
          <w:rFonts w:ascii="Sylfaen" w:hAnsi="Sylfaen"/>
          <w:spacing w:val="4"/>
          <w:sz w:val="24"/>
          <w:szCs w:val="24"/>
        </w:rPr>
        <w:t>և</w:t>
      </w:r>
      <w:r w:rsidRPr="00834D52">
        <w:rPr>
          <w:rFonts w:ascii="Sylfaen" w:hAnsi="Sylfaen"/>
          <w:spacing w:val="4"/>
          <w:sz w:val="24"/>
          <w:szCs w:val="24"/>
        </w:rPr>
        <w:t xml:space="preserve"> դրա զարգացումը ժամանակի մեջ.</w:t>
      </w:r>
    </w:p>
    <w:p w14:paraId="2B0F1338"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դոզավորման ռեժիմի </w:t>
      </w:r>
      <w:r w:rsidR="00C54D75">
        <w:rPr>
          <w:rFonts w:ascii="Sylfaen" w:hAnsi="Sylfaen"/>
          <w:sz w:val="24"/>
          <w:szCs w:val="24"/>
        </w:rPr>
        <w:t>և</w:t>
      </w:r>
      <w:r w:rsidRPr="00834D52">
        <w:rPr>
          <w:rFonts w:ascii="Sylfaen" w:hAnsi="Sylfaen"/>
          <w:sz w:val="24"/>
          <w:szCs w:val="24"/>
        </w:rPr>
        <w:t xml:space="preserve"> ներմուծման պայմանների հիմնավորումը.</w:t>
      </w:r>
    </w:p>
    <w:p w14:paraId="7C610D94"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ազդեցության մեխանիզմը, եթե հնարավոր է:</w:t>
      </w:r>
    </w:p>
    <w:p w14:paraId="3252D67C" w14:textId="77777777" w:rsidR="006F76EB" w:rsidRPr="00834D52" w:rsidRDefault="006F76EB" w:rsidP="005E478F">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արդյունավետության հետ կապ չունեցող </w:t>
      </w:r>
      <w:r w:rsidR="00355C33">
        <w:rPr>
          <w:rFonts w:ascii="Sylfaen" w:hAnsi="Sylfaen"/>
          <w:sz w:val="24"/>
          <w:szCs w:val="24"/>
        </w:rPr>
        <w:t>դեղա</w:t>
      </w:r>
      <w:r w:rsidRPr="00834D52">
        <w:rPr>
          <w:rFonts w:ascii="Sylfaen" w:hAnsi="Sylfaen"/>
          <w:sz w:val="24"/>
          <w:szCs w:val="24"/>
        </w:rPr>
        <w:t xml:space="preserve">դինամիկ ազդեցության նկարագրությունը: Մարդու մոտ </w:t>
      </w:r>
      <w:r w:rsidR="00355C33">
        <w:rPr>
          <w:rFonts w:ascii="Sylfaen" w:hAnsi="Sylfaen"/>
          <w:sz w:val="24"/>
          <w:szCs w:val="24"/>
        </w:rPr>
        <w:t>դեղա</w:t>
      </w:r>
      <w:r w:rsidRPr="00834D52">
        <w:rPr>
          <w:rFonts w:ascii="Sylfaen" w:hAnsi="Sylfaen"/>
          <w:sz w:val="24"/>
          <w:szCs w:val="24"/>
        </w:rPr>
        <w:t>դինամիկ էֆեկտների հաստատումը որ</w:t>
      </w:r>
      <w:r w:rsidR="00C54D75">
        <w:rPr>
          <w:rFonts w:ascii="Sylfaen" w:hAnsi="Sylfaen"/>
          <w:sz w:val="24"/>
          <w:szCs w:val="24"/>
        </w:rPr>
        <w:t>և</w:t>
      </w:r>
      <w:r w:rsidRPr="00834D52">
        <w:rPr>
          <w:rFonts w:ascii="Sylfaen" w:hAnsi="Sylfaen"/>
          <w:sz w:val="24"/>
          <w:szCs w:val="24"/>
        </w:rPr>
        <w:t>է որոշակի թերապ</w:t>
      </w:r>
      <w:r w:rsidR="00C54D75">
        <w:rPr>
          <w:rFonts w:ascii="Sylfaen" w:hAnsi="Sylfaen"/>
          <w:sz w:val="24"/>
          <w:szCs w:val="24"/>
        </w:rPr>
        <w:t>և</w:t>
      </w:r>
      <w:r w:rsidRPr="00834D52">
        <w:rPr>
          <w:rFonts w:ascii="Sylfaen" w:hAnsi="Sylfaen"/>
          <w:sz w:val="24"/>
          <w:szCs w:val="24"/>
        </w:rPr>
        <w:t>տիկ էֆեկտի առկայության բավարար հիմնավորում չէ.</w:t>
      </w:r>
    </w:p>
    <w:p w14:paraId="2EFB264B" w14:textId="77777777" w:rsidR="006F76EB" w:rsidRPr="00834D52" w:rsidRDefault="006F76EB" w:rsidP="008116D5">
      <w:pPr>
        <w:tabs>
          <w:tab w:val="left" w:pos="113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եթե դեղապատրաստուկը կիրառվում է այլ դեղապատրաստուկների հետ միասին, անհրաժեշտ է ներկայացնել դրանց միաժամանակյա կիրառման հետազոտության նկարագրությունը, որն անցկացվել է դեղաբանական ազդեցության հնարավոր փոփոխությունը ցուցադրելու համար: Անհրաժեշտ է նշել տեղեկատվություն՝ այլ դեղապատրաստուկների կամ նյութերի հետ ակտիվ նյութի </w:t>
      </w:r>
      <w:r w:rsidR="00355C33">
        <w:rPr>
          <w:rFonts w:ascii="Sylfaen" w:hAnsi="Sylfaen"/>
          <w:sz w:val="24"/>
          <w:szCs w:val="24"/>
        </w:rPr>
        <w:t>դեղա</w:t>
      </w:r>
      <w:r w:rsidRPr="00834D52">
        <w:rPr>
          <w:rFonts w:ascii="Sylfaen" w:hAnsi="Sylfaen"/>
          <w:sz w:val="24"/>
          <w:szCs w:val="24"/>
        </w:rPr>
        <w:t>դինամիկ փոխազդեցության ուսումնասիրության վերաբերյալ:</w:t>
      </w:r>
    </w:p>
    <w:p w14:paraId="73F8DD84" w14:textId="77777777" w:rsidR="006F76EB" w:rsidRPr="00834D52" w:rsidRDefault="006F76EB" w:rsidP="008116D5">
      <w:pPr>
        <w:tabs>
          <w:tab w:val="left" w:pos="1701"/>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5.3.5.</w:t>
      </w:r>
      <w:r w:rsidRPr="00834D52">
        <w:rPr>
          <w:rFonts w:ascii="Sylfaen" w:hAnsi="Sylfaen"/>
          <w:sz w:val="24"/>
          <w:szCs w:val="24"/>
        </w:rPr>
        <w:tab/>
        <w:t xml:space="preserve">Հաշվետվություններ՝ արդյունավետության </w:t>
      </w:r>
      <w:r w:rsidR="00C54D75">
        <w:rPr>
          <w:rFonts w:ascii="Sylfaen" w:hAnsi="Sylfaen"/>
          <w:sz w:val="24"/>
          <w:szCs w:val="24"/>
        </w:rPr>
        <w:t>և</w:t>
      </w:r>
      <w:r w:rsidRPr="00834D52">
        <w:rPr>
          <w:rFonts w:ascii="Sylfaen" w:hAnsi="Sylfaen"/>
          <w:sz w:val="24"/>
          <w:szCs w:val="24"/>
        </w:rPr>
        <w:t xml:space="preserve"> անվտանգության հետազոտության վերաբերյալ:</w:t>
      </w:r>
    </w:p>
    <w:p w14:paraId="2D56FBBA" w14:textId="77777777" w:rsidR="006F76EB" w:rsidRPr="00834D52" w:rsidRDefault="006F76EB" w:rsidP="008116D5">
      <w:pPr>
        <w:tabs>
          <w:tab w:val="left" w:pos="1701"/>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5.3.5.1.</w:t>
      </w:r>
      <w:r w:rsidRPr="00834D52">
        <w:rPr>
          <w:rFonts w:ascii="Sylfaen" w:hAnsi="Sylfaen"/>
          <w:sz w:val="24"/>
          <w:szCs w:val="24"/>
        </w:rPr>
        <w:tab/>
        <w:t>Հաշվետվություններ՝ հայտարարված կիրառման ցուցումների հաստատմանը վերաբերող վերահսկվող կլինիկական հետազոտությունների վերաբերյալ:</w:t>
      </w:r>
    </w:p>
    <w:p w14:paraId="7D03E243" w14:textId="77777777" w:rsidR="006F76EB" w:rsidRPr="0023323A" w:rsidRDefault="006F76EB" w:rsidP="005E478F">
      <w:pPr>
        <w:spacing w:after="160" w:line="348" w:lineRule="auto"/>
        <w:ind w:right="-8" w:firstLine="567"/>
        <w:jc w:val="both"/>
        <w:rPr>
          <w:rFonts w:ascii="Sylfaen" w:eastAsia="Times New Roman" w:hAnsi="Sylfaen" w:cs="Times New Roman"/>
          <w:spacing w:val="-6"/>
          <w:sz w:val="24"/>
          <w:szCs w:val="24"/>
        </w:rPr>
      </w:pPr>
      <w:r w:rsidRPr="0023323A">
        <w:rPr>
          <w:rFonts w:ascii="Sylfaen" w:hAnsi="Sylfaen"/>
          <w:spacing w:val="-6"/>
          <w:sz w:val="24"/>
          <w:szCs w:val="24"/>
        </w:rPr>
        <w:t xml:space="preserve">Պետք է ներկայացվի տեղեկատվություն՝ անցկացված կլինիկական հետազոտությունների վերաբերյալ, որոնք պետք է հնարավորինս պատահականորեն բաշխված </w:t>
      </w:r>
      <w:r w:rsidR="00C54D75">
        <w:rPr>
          <w:rFonts w:ascii="Sylfaen" w:hAnsi="Sylfaen"/>
          <w:spacing w:val="-6"/>
          <w:sz w:val="24"/>
          <w:szCs w:val="24"/>
        </w:rPr>
        <w:t>և</w:t>
      </w:r>
      <w:r w:rsidRPr="0023323A">
        <w:rPr>
          <w:rFonts w:ascii="Sylfaen" w:hAnsi="Sylfaen"/>
          <w:spacing w:val="-6"/>
          <w:sz w:val="24"/>
          <w:szCs w:val="24"/>
        </w:rPr>
        <w:t xml:space="preserve"> վերահսկելի լինեն, </w:t>
      </w:r>
      <w:r w:rsidR="00C54D75">
        <w:rPr>
          <w:rFonts w:ascii="Sylfaen" w:hAnsi="Sylfaen"/>
          <w:spacing w:val="-6"/>
          <w:sz w:val="24"/>
          <w:szCs w:val="24"/>
        </w:rPr>
        <w:t>և</w:t>
      </w:r>
      <w:r w:rsidRPr="0023323A">
        <w:rPr>
          <w:rFonts w:ascii="Sylfaen" w:hAnsi="Sylfaen"/>
          <w:spacing w:val="-6"/>
          <w:sz w:val="24"/>
          <w:szCs w:val="24"/>
        </w:rPr>
        <w:t xml:space="preserve"> որոնց շրջանակներում հետազոտվող դեղապատրաստուկը համեմատվում է պլացեբոյի </w:t>
      </w:r>
      <w:r w:rsidR="00C54D75">
        <w:rPr>
          <w:rFonts w:ascii="Sylfaen" w:hAnsi="Sylfaen"/>
          <w:spacing w:val="-6"/>
          <w:sz w:val="24"/>
          <w:szCs w:val="24"/>
        </w:rPr>
        <w:t>և</w:t>
      </w:r>
      <w:r w:rsidRPr="0023323A">
        <w:rPr>
          <w:rFonts w:ascii="Sylfaen" w:hAnsi="Sylfaen"/>
          <w:spacing w:val="-6"/>
          <w:sz w:val="24"/>
          <w:szCs w:val="24"/>
        </w:rPr>
        <w:t xml:space="preserve"> (կամ) ապացուցված թերապ</w:t>
      </w:r>
      <w:r w:rsidR="00C54D75">
        <w:rPr>
          <w:rFonts w:ascii="Sylfaen" w:hAnsi="Sylfaen"/>
          <w:spacing w:val="-6"/>
          <w:sz w:val="24"/>
          <w:szCs w:val="24"/>
        </w:rPr>
        <w:t>և</w:t>
      </w:r>
      <w:r w:rsidRPr="0023323A">
        <w:rPr>
          <w:rFonts w:ascii="Sylfaen" w:hAnsi="Sylfaen"/>
          <w:spacing w:val="-6"/>
          <w:sz w:val="24"/>
          <w:szCs w:val="24"/>
        </w:rPr>
        <w:t>տիկ արդյունավետությամբ դեղապատրաստուկի հետ, իսկ հետազոտության որ</w:t>
      </w:r>
      <w:r w:rsidR="00C54D75">
        <w:rPr>
          <w:rFonts w:ascii="Sylfaen" w:hAnsi="Sylfaen"/>
          <w:spacing w:val="-6"/>
          <w:sz w:val="24"/>
          <w:szCs w:val="24"/>
        </w:rPr>
        <w:t>և</w:t>
      </w:r>
      <w:r w:rsidRPr="0023323A">
        <w:rPr>
          <w:rFonts w:ascii="Sylfaen" w:hAnsi="Sylfaen"/>
          <w:spacing w:val="-6"/>
          <w:sz w:val="24"/>
          <w:szCs w:val="24"/>
        </w:rPr>
        <w:t xml:space="preserve">է այլ բովանդակային պլանի օգտագործումն անհրաժեշտ է հիմնավորել: Ստուգիչ խմբերի ընտրությունը յուրաքանչյուր կոնկրետ դեպքում կախված է էթիկական ասպեկտներից </w:t>
      </w:r>
      <w:r w:rsidR="00C54D75">
        <w:rPr>
          <w:rFonts w:ascii="Sylfaen" w:hAnsi="Sylfaen"/>
          <w:spacing w:val="-6"/>
          <w:sz w:val="24"/>
          <w:szCs w:val="24"/>
        </w:rPr>
        <w:t>և</w:t>
      </w:r>
      <w:r w:rsidRPr="0023323A">
        <w:rPr>
          <w:rFonts w:ascii="Sylfaen" w:hAnsi="Sylfaen"/>
          <w:spacing w:val="-6"/>
          <w:sz w:val="24"/>
          <w:szCs w:val="24"/>
        </w:rPr>
        <w:t xml:space="preserve"> կիրառման ոլորտից, այդ պատճառով առանձին դեպքերում նպատակահարմար է համեմատել նոր դեղապատրաստուկի արդյունավետությունն ապացուցված (հաստատված) թերապ</w:t>
      </w:r>
      <w:r w:rsidR="00C54D75">
        <w:rPr>
          <w:rFonts w:ascii="Sylfaen" w:hAnsi="Sylfaen"/>
          <w:spacing w:val="-6"/>
          <w:sz w:val="24"/>
          <w:szCs w:val="24"/>
        </w:rPr>
        <w:t>և</w:t>
      </w:r>
      <w:r w:rsidRPr="0023323A">
        <w:rPr>
          <w:rFonts w:ascii="Sylfaen" w:hAnsi="Sylfaen"/>
          <w:spacing w:val="-6"/>
          <w:sz w:val="24"/>
          <w:szCs w:val="24"/>
        </w:rPr>
        <w:t>տիկ արդյունավետությամբ դեղապատրաստուկի արդյունավետության հետ, այլ ոչ թէ պլացեբոյի:</w:t>
      </w:r>
    </w:p>
    <w:p w14:paraId="190C206C" w14:textId="77777777" w:rsidR="006F76EB" w:rsidRPr="00834D52" w:rsidRDefault="006F76EB" w:rsidP="005E478F">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Գնահատականը ներկայացնելիս անհրաժեշտ է կիրառել միջոցներ, որոնք </w:t>
      </w:r>
      <w:r w:rsidRPr="00834D52">
        <w:rPr>
          <w:rFonts w:ascii="Sylfaen" w:hAnsi="Sylfaen"/>
          <w:sz w:val="24"/>
          <w:szCs w:val="24"/>
        </w:rPr>
        <w:lastRenderedPageBreak/>
        <w:t xml:space="preserve">թույլ են տալիս խուսափել կողմնապահությունից, ներառյալ՝ պատահական բաշխման </w:t>
      </w:r>
      <w:r w:rsidR="00C54D75">
        <w:rPr>
          <w:rFonts w:ascii="Sylfaen" w:hAnsi="Sylfaen"/>
          <w:sz w:val="24"/>
          <w:szCs w:val="24"/>
        </w:rPr>
        <w:t>և</w:t>
      </w:r>
      <w:r w:rsidRPr="00834D52">
        <w:rPr>
          <w:rFonts w:ascii="Sylfaen" w:hAnsi="Sylfaen"/>
          <w:sz w:val="24"/>
          <w:szCs w:val="24"/>
        </w:rPr>
        <w:t xml:space="preserve"> կույր վերահսկման մեթոդները:</w:t>
      </w:r>
    </w:p>
    <w:p w14:paraId="0144A149" w14:textId="77777777" w:rsidR="006F76EB" w:rsidRPr="00834D52" w:rsidRDefault="006F76EB" w:rsidP="005E478F">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դոսյեում ընդգրկված հետազոտության արձանագրությունում պետք է ներառվեն օգտագործված վիճակագրական մեթոդների նկարագրությունը, պացիենտների թիվը </w:t>
      </w:r>
      <w:r w:rsidR="00C54D75">
        <w:rPr>
          <w:rFonts w:ascii="Sylfaen" w:hAnsi="Sylfaen"/>
          <w:sz w:val="24"/>
          <w:szCs w:val="24"/>
        </w:rPr>
        <w:t>և</w:t>
      </w:r>
      <w:r w:rsidRPr="00834D52">
        <w:rPr>
          <w:rFonts w:ascii="Sylfaen" w:hAnsi="Sylfaen"/>
          <w:sz w:val="24"/>
          <w:szCs w:val="24"/>
        </w:rPr>
        <w:t xml:space="preserve"> կլինիկական հետազոտություններում նրանց ընդգրկելու պատճառները (այդ թվում՝ հետազոտությունների վիճակագրական հզորության հաշվարկները), նշանակելիության կիրառված մակարդակը </w:t>
      </w:r>
      <w:r w:rsidR="00C54D75">
        <w:rPr>
          <w:rFonts w:ascii="Sylfaen" w:hAnsi="Sylfaen"/>
          <w:sz w:val="24"/>
          <w:szCs w:val="24"/>
        </w:rPr>
        <w:t>և</w:t>
      </w:r>
      <w:r w:rsidRPr="00834D52">
        <w:rPr>
          <w:rFonts w:ascii="Sylfaen" w:hAnsi="Sylfaen"/>
          <w:sz w:val="24"/>
          <w:szCs w:val="24"/>
        </w:rPr>
        <w:t xml:space="preserve"> վիճակագրական միավորի նկարագրությունը (օգտագործվող վիճակագրական պարամետրերը): Կողմնապահ գնահատականից խուսափելու համար ձեռնարկված միջոցները (հատկապես պատահական բաշխման մեթոդները) պետք է համապատասխանաբար հիմնավորված </w:t>
      </w:r>
      <w:r w:rsidR="00C54D75">
        <w:rPr>
          <w:rFonts w:ascii="Sylfaen" w:hAnsi="Sylfaen"/>
          <w:sz w:val="24"/>
          <w:szCs w:val="24"/>
        </w:rPr>
        <w:t>և</w:t>
      </w:r>
      <w:r w:rsidRPr="00834D52">
        <w:rPr>
          <w:rFonts w:ascii="Sylfaen" w:hAnsi="Sylfaen"/>
          <w:sz w:val="24"/>
          <w:szCs w:val="24"/>
        </w:rPr>
        <w:t xml:space="preserve"> փաստաթղթավորված լինեն: Կլինիկական հետազոտություններին մասնակցելու համար մեծ թվով պացիենտներ ընդգրկելու մասին տեղեկատվությունը համարժեք փոխարինում չէ համապատասխան կերպ վերահսկվող հետազոտությանը:</w:t>
      </w:r>
    </w:p>
    <w:p w14:paraId="40EC1D06" w14:textId="77777777" w:rsidR="006F76EB" w:rsidRPr="00834D52" w:rsidRDefault="006F76EB" w:rsidP="005E478F">
      <w:pPr>
        <w:tabs>
          <w:tab w:val="left" w:pos="1418"/>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Անվտանգության մասին տվյալների վերլուծության անցկացման ժամանակ անհրաժեշտ է ուշադրություն դարձնել այն հանգամանքներին, որոնք հանգեցրել են դոզավորման ռեժիմի կարգավորմանը կամ այլ դեղապատրաստուկի զուգընթաց կիրառման անհրաժեշտությանը, լուրջ անցանկալի եր</w:t>
      </w:r>
      <w:r w:rsidR="00C54D75">
        <w:rPr>
          <w:rFonts w:ascii="Sylfaen" w:hAnsi="Sylfaen"/>
          <w:spacing w:val="-4"/>
          <w:sz w:val="24"/>
          <w:szCs w:val="24"/>
        </w:rPr>
        <w:t>և</w:t>
      </w:r>
      <w:r w:rsidRPr="00834D52">
        <w:rPr>
          <w:rFonts w:ascii="Sylfaen" w:hAnsi="Sylfaen"/>
          <w:spacing w:val="-4"/>
          <w:sz w:val="24"/>
          <w:szCs w:val="24"/>
        </w:rPr>
        <w:t>ույթների, եր</w:t>
      </w:r>
      <w:r w:rsidR="00C54D75">
        <w:rPr>
          <w:rFonts w:ascii="Sylfaen" w:hAnsi="Sylfaen"/>
          <w:spacing w:val="-4"/>
          <w:sz w:val="24"/>
          <w:szCs w:val="24"/>
        </w:rPr>
        <w:t>և</w:t>
      </w:r>
      <w:r w:rsidRPr="00834D52">
        <w:rPr>
          <w:rFonts w:ascii="Sylfaen" w:hAnsi="Sylfaen"/>
          <w:spacing w:val="-4"/>
          <w:sz w:val="24"/>
          <w:szCs w:val="24"/>
        </w:rPr>
        <w:t xml:space="preserve">ույթների, որոնք կլինիկական հետազոտության մեջ մասնակցությունը բացառելու պատճառ են դարձել </w:t>
      </w:r>
      <w:r w:rsidR="00C54D75">
        <w:rPr>
          <w:rFonts w:ascii="Sylfaen" w:hAnsi="Sylfaen"/>
          <w:spacing w:val="-4"/>
          <w:sz w:val="24"/>
          <w:szCs w:val="24"/>
        </w:rPr>
        <w:t>և</w:t>
      </w:r>
      <w:r w:rsidRPr="00834D52">
        <w:rPr>
          <w:rFonts w:ascii="Sylfaen" w:hAnsi="Sylfaen"/>
          <w:spacing w:val="-4"/>
          <w:sz w:val="24"/>
          <w:szCs w:val="24"/>
        </w:rPr>
        <w:t xml:space="preserve"> պացիենտի մահվան են հանգեցրել: Անհրաժեշտ է նույնականացնել հետազոտության՝ ռիսկի բարձր աստիճանով պացիենտներին կամ պացիենտների խմբերը </w:t>
      </w:r>
      <w:r w:rsidR="00C54D75">
        <w:rPr>
          <w:rFonts w:ascii="Sylfaen" w:hAnsi="Sylfaen"/>
          <w:spacing w:val="-4"/>
          <w:sz w:val="24"/>
          <w:szCs w:val="24"/>
        </w:rPr>
        <w:t>և</w:t>
      </w:r>
      <w:r w:rsidRPr="00834D52">
        <w:rPr>
          <w:rFonts w:ascii="Sylfaen" w:hAnsi="Sylfaen"/>
          <w:spacing w:val="-4"/>
          <w:sz w:val="24"/>
          <w:szCs w:val="24"/>
        </w:rPr>
        <w:t xml:space="preserve"> հատուկ ուշադրություն դարձնել պոտենցիալ խոցելի խմբերի վրա, որտեղ պացիենտների թիվը կարող է փոքր լինել (օրինակ՝ երեխաներ, հղիներ, առողջությամբ տկար տարեցներ, նյութափոխանակության կամ արտազատման զգալի խանգարումներով մարդիկ </w:t>
      </w:r>
      <w:r w:rsidR="00C54D75">
        <w:rPr>
          <w:rFonts w:ascii="Sylfaen" w:hAnsi="Sylfaen"/>
          <w:spacing w:val="-4"/>
          <w:sz w:val="24"/>
          <w:szCs w:val="24"/>
        </w:rPr>
        <w:t>և</w:t>
      </w:r>
      <w:r w:rsidRPr="00834D52">
        <w:rPr>
          <w:rFonts w:ascii="Sylfaen" w:hAnsi="Sylfaen"/>
          <w:spacing w:val="-4"/>
          <w:sz w:val="24"/>
          <w:szCs w:val="24"/>
        </w:rPr>
        <w:t xml:space="preserve"> այլն): Պետք է նկարագրել դեղապատրաստուկի հնարավոր կիրառման ոլորտների նկատմամբ անվտանգության վերջնական գնահատականը:</w:t>
      </w:r>
    </w:p>
    <w:p w14:paraId="3D224F2A" w14:textId="77777777" w:rsidR="006F76EB" w:rsidRPr="00834D52" w:rsidRDefault="006F76EB" w:rsidP="008116D5">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5.3.5.2.</w:t>
      </w:r>
      <w:r w:rsidRPr="00834D52">
        <w:rPr>
          <w:rFonts w:ascii="Sylfaen" w:hAnsi="Sylfaen"/>
          <w:sz w:val="24"/>
          <w:szCs w:val="24"/>
        </w:rPr>
        <w:tab/>
        <w:t xml:space="preserve">Հաշվետվություններ՝ չվերահսկվող կլինիկական հետազոտությունների վերաբերյալ, հաշվետվություններ՝ մի քանի հետազոտությունների միջոցով տվյալների վերլուծության վերաբերյալ, </w:t>
      </w:r>
      <w:r w:rsidR="00C54D75">
        <w:rPr>
          <w:rFonts w:ascii="Sylfaen" w:hAnsi="Sylfaen"/>
          <w:sz w:val="24"/>
          <w:szCs w:val="24"/>
        </w:rPr>
        <w:t>և</w:t>
      </w:r>
      <w:r w:rsidRPr="00834D52">
        <w:rPr>
          <w:rFonts w:ascii="Sylfaen" w:hAnsi="Sylfaen"/>
          <w:sz w:val="24"/>
          <w:szCs w:val="24"/>
        </w:rPr>
        <w:t xml:space="preserve"> հաշվետվություններ՝ այլ կլինիկական հետազոտությունների վերաբերյալ:</w:t>
      </w:r>
    </w:p>
    <w:p w14:paraId="6843D758"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Այդ հաշվետվություններն անհրաժեշտ է ընդգրկել դեղապատրաստուկի գրանցման դոսյեում:</w:t>
      </w:r>
    </w:p>
    <w:p w14:paraId="0DA94A0D" w14:textId="77777777" w:rsidR="006F76EB" w:rsidRPr="00834D52" w:rsidRDefault="006F76EB" w:rsidP="003D753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5.3.6.</w:t>
      </w:r>
      <w:r w:rsidRPr="00834D52">
        <w:rPr>
          <w:rFonts w:ascii="Sylfaen" w:hAnsi="Sylfaen"/>
          <w:sz w:val="24"/>
          <w:szCs w:val="24"/>
        </w:rPr>
        <w:tab/>
        <w:t>Հաշվետվություններ՝ հետգրանցումային կիրառման փորձի վերաբերյալ:</w:t>
      </w:r>
    </w:p>
    <w:p w14:paraId="328A8A99" w14:textId="77777777" w:rsidR="006F76EB" w:rsidRPr="00834D52" w:rsidRDefault="006F76EB" w:rsidP="005E478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դեղապատրաստուկն արդեն գրանցված է այլ երկրներում, դեղապատրաստուկի գրանցման դոսյեում անհրաժեշտ է ընդգրկել տեղեկատվություն՝ քննարկվող դեղապատրաստուկի </w:t>
      </w:r>
      <w:r w:rsidR="00C54D75">
        <w:rPr>
          <w:rFonts w:ascii="Sylfaen" w:hAnsi="Sylfaen"/>
          <w:sz w:val="24"/>
          <w:szCs w:val="24"/>
        </w:rPr>
        <w:t>և</w:t>
      </w:r>
      <w:r w:rsidRPr="00834D52">
        <w:rPr>
          <w:rFonts w:ascii="Sylfaen" w:hAnsi="Sylfaen"/>
          <w:sz w:val="24"/>
          <w:szCs w:val="24"/>
        </w:rPr>
        <w:t xml:space="preserve"> նույն ակտիվ նյութով դեղապատրաստուկների նկատմամբ անցանկալի ռեակցիաների վերաբերյալ (հնարավորության դեպքում դրանց կլինիկական կիրառման ծավալի հետ համեմատելով):</w:t>
      </w:r>
    </w:p>
    <w:p w14:paraId="07F3DA11" w14:textId="77777777" w:rsidR="006F76EB" w:rsidRPr="00834D52" w:rsidRDefault="006F76EB" w:rsidP="003D7538">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5.3.7.</w:t>
      </w:r>
      <w:r w:rsidRPr="00834D52">
        <w:rPr>
          <w:rFonts w:ascii="Sylfaen" w:hAnsi="Sylfaen"/>
          <w:sz w:val="24"/>
          <w:szCs w:val="24"/>
        </w:rPr>
        <w:tab/>
        <w:t xml:space="preserve">Անհատական գրանցման քարտերը </w:t>
      </w:r>
      <w:r w:rsidR="00C54D75">
        <w:rPr>
          <w:rFonts w:ascii="Sylfaen" w:hAnsi="Sylfaen"/>
          <w:sz w:val="24"/>
          <w:szCs w:val="24"/>
        </w:rPr>
        <w:t>և</w:t>
      </w:r>
      <w:r w:rsidRPr="00834D52">
        <w:rPr>
          <w:rFonts w:ascii="Sylfaen" w:hAnsi="Sylfaen"/>
          <w:sz w:val="24"/>
          <w:szCs w:val="24"/>
        </w:rPr>
        <w:t xml:space="preserve"> պացիենտների ցուցակները:</w:t>
      </w:r>
    </w:p>
    <w:p w14:paraId="3101606B" w14:textId="77777777" w:rsidR="006F76EB" w:rsidRPr="00834D52" w:rsidRDefault="006F76EB" w:rsidP="00BC08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դոսյեին կցվում են այն անհատական գրանցման քարտերը </w:t>
      </w:r>
      <w:r w:rsidR="00C54D75">
        <w:rPr>
          <w:rFonts w:ascii="Sylfaen" w:hAnsi="Sylfaen"/>
          <w:sz w:val="24"/>
          <w:szCs w:val="24"/>
        </w:rPr>
        <w:t>և</w:t>
      </w:r>
      <w:r w:rsidRPr="00834D52">
        <w:rPr>
          <w:rFonts w:ascii="Sylfaen" w:hAnsi="Sylfaen"/>
          <w:sz w:val="24"/>
          <w:szCs w:val="24"/>
        </w:rPr>
        <w:t xml:space="preserve"> պացիենտների ցուցակները, որոնք ենթակա են ներկայացման նույն կարգով, ինչ հետազոտության մասով ինդեքսավորմամբ </w:t>
      </w:r>
      <w:r w:rsidR="00C54D75">
        <w:rPr>
          <w:rFonts w:ascii="Sylfaen" w:hAnsi="Sylfaen"/>
          <w:sz w:val="24"/>
          <w:szCs w:val="24"/>
        </w:rPr>
        <w:t>և</w:t>
      </w:r>
      <w:r w:rsidRPr="00834D52">
        <w:rPr>
          <w:rFonts w:ascii="Sylfaen" w:hAnsi="Sylfaen"/>
          <w:sz w:val="24"/>
          <w:szCs w:val="24"/>
        </w:rPr>
        <w:t xml:space="preserve"> հետազոտության պացիենտների անձնական տվյալների գաղտնիության պահպանմամբ կլինիկական հետազոտությունների վերաբերյալ հաշվետվությունները:</w:t>
      </w:r>
    </w:p>
    <w:p w14:paraId="1CDCC316" w14:textId="77777777" w:rsidR="006F76EB" w:rsidRPr="00834D52" w:rsidRDefault="006F76EB" w:rsidP="00BC08C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Նա</w:t>
      </w:r>
      <w:r w:rsidR="00C54D75">
        <w:rPr>
          <w:rFonts w:ascii="Sylfaen" w:hAnsi="Sylfaen"/>
          <w:sz w:val="24"/>
          <w:szCs w:val="24"/>
        </w:rPr>
        <w:t>և</w:t>
      </w:r>
      <w:r w:rsidRPr="00834D52">
        <w:rPr>
          <w:rFonts w:ascii="Sylfaen" w:hAnsi="Sylfaen"/>
          <w:sz w:val="24"/>
          <w:szCs w:val="24"/>
        </w:rPr>
        <w:t xml:space="preserve"> գրանցման դոսյեին կցվում են լաբորատոր </w:t>
      </w:r>
      <w:r w:rsidR="00C54D75">
        <w:rPr>
          <w:rFonts w:ascii="Sylfaen" w:hAnsi="Sylfaen"/>
          <w:sz w:val="24"/>
          <w:szCs w:val="24"/>
        </w:rPr>
        <w:t>և</w:t>
      </w:r>
      <w:r w:rsidRPr="00834D52">
        <w:rPr>
          <w:rFonts w:ascii="Sylfaen" w:hAnsi="Sylfaen"/>
          <w:sz w:val="24"/>
          <w:szCs w:val="24"/>
        </w:rPr>
        <w:t xml:space="preserve"> գործիքային հետազոտության մեթոդների, կլինիկական հետազոտությունների արդյունքների վիճակագրական մշակման տվյալները:</w:t>
      </w:r>
    </w:p>
    <w:p w14:paraId="5C34F124" w14:textId="77777777" w:rsidR="0039534B" w:rsidRDefault="0039534B">
      <w:pPr>
        <w:widowControl/>
        <w:rPr>
          <w:rFonts w:ascii="Sylfaen" w:hAnsi="Sylfaen"/>
          <w:sz w:val="24"/>
          <w:szCs w:val="24"/>
        </w:rPr>
      </w:pPr>
      <w:r>
        <w:rPr>
          <w:rFonts w:ascii="Sylfaen" w:hAnsi="Sylfaen"/>
          <w:sz w:val="24"/>
          <w:szCs w:val="24"/>
        </w:rPr>
        <w:br w:type="page"/>
      </w:r>
    </w:p>
    <w:p w14:paraId="7613DD39" w14:textId="77777777" w:rsidR="006F76EB" w:rsidRPr="00834D52" w:rsidRDefault="006F76EB" w:rsidP="00CB3DC3">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lastRenderedPageBreak/>
        <w:t>II. Դեղապատրաստուկի գրանցման դոսյեի մոդուլներին ներկայացվող հատուկ պահանջները</w:t>
      </w:r>
    </w:p>
    <w:p w14:paraId="731ACA2A" w14:textId="77777777" w:rsidR="006F76EB" w:rsidRPr="00834D52" w:rsidRDefault="006F76EB" w:rsidP="00BC08C4">
      <w:pPr>
        <w:spacing w:after="160" w:line="360" w:lineRule="auto"/>
        <w:ind w:left="567" w:right="565"/>
        <w:jc w:val="center"/>
        <w:rPr>
          <w:rFonts w:ascii="Sylfaen" w:hAnsi="Sylfaen"/>
          <w:sz w:val="24"/>
          <w:szCs w:val="24"/>
        </w:rPr>
      </w:pPr>
    </w:p>
    <w:p w14:paraId="65CAB434" w14:textId="77777777" w:rsidR="006F76EB" w:rsidRPr="00834D52" w:rsidRDefault="006F76EB" w:rsidP="00CB3DC3">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6. Վերարտադրված դեղապատրաստուկների գրանցման դոսյեի փաստաթղթերին ներկայացվող պահանջները</w:t>
      </w:r>
    </w:p>
    <w:p w14:paraId="2C700DFA" w14:textId="77777777" w:rsidR="006F76EB" w:rsidRPr="00834D52" w:rsidRDefault="006F76EB" w:rsidP="00CB3DC3">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Վերարտադրված դեղապատրաստուկների գրանցման դոսյեն ներկայացվում է սույն բաժնի պահանջներին համապատասխան՝ հաշվի առնելով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կանոնները:</w:t>
      </w:r>
    </w:p>
    <w:p w14:paraId="61D4F68D"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Կենսահամարժեքության հետազոտություններում </w:t>
      </w:r>
      <w:r w:rsidR="00D23E48">
        <w:rPr>
          <w:rFonts w:ascii="Sylfaen" w:hAnsi="Sylfaen"/>
          <w:sz w:val="24"/>
          <w:szCs w:val="24"/>
        </w:rPr>
        <w:t>ռեֆերենտ</w:t>
      </w:r>
      <w:r w:rsidR="00D23E48" w:rsidRPr="00834D52">
        <w:rPr>
          <w:rFonts w:ascii="Sylfaen" w:hAnsi="Sylfaen"/>
          <w:sz w:val="24"/>
          <w:szCs w:val="24"/>
        </w:rPr>
        <w:t xml:space="preserve"> </w:t>
      </w:r>
      <w:r w:rsidRPr="00834D52">
        <w:rPr>
          <w:rFonts w:ascii="Sylfaen" w:hAnsi="Sylfaen"/>
          <w:sz w:val="24"/>
          <w:szCs w:val="24"/>
        </w:rPr>
        <w:t>պատրաստուկի ընտրությունն իրականացվում է՝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կանոններին համապատասխան:</w:t>
      </w:r>
    </w:p>
    <w:p w14:paraId="42036B0B"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Վերարտադրվող դեղապատրաստուկի կենսահամարժեքությունն օրիգինալ դեղապատրաստուկին պետք է ցուցադրվի համապատասխան կենսամատչելիության հետազոտություններով՝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կանոններին համապատասխան:</w:t>
      </w:r>
    </w:p>
    <w:p w14:paraId="182E6D73"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ընդհանուր բնութագիրը </w:t>
      </w:r>
      <w:r w:rsidR="00C54D75">
        <w:rPr>
          <w:rFonts w:ascii="Sylfaen" w:hAnsi="Sylfaen"/>
          <w:sz w:val="24"/>
          <w:szCs w:val="24"/>
        </w:rPr>
        <w:t>և</w:t>
      </w:r>
      <w:r w:rsidRPr="00834D52">
        <w:rPr>
          <w:rFonts w:ascii="Sylfaen" w:hAnsi="Sylfaen"/>
          <w:sz w:val="24"/>
          <w:szCs w:val="24"/>
        </w:rPr>
        <w:t xml:space="preserve"> վերարտադրվող դեղապատրաստուկի բժշկական կիրառման հրահանգը պետք է համապատասխանեն դեղապատրաստուկի ընդհանուր բնութագրին </w:t>
      </w:r>
      <w:r w:rsidR="00C54D75">
        <w:rPr>
          <w:rFonts w:ascii="Sylfaen" w:hAnsi="Sylfaen"/>
          <w:sz w:val="24"/>
          <w:szCs w:val="24"/>
        </w:rPr>
        <w:t>և</w:t>
      </w:r>
      <w:r w:rsidRPr="00834D52">
        <w:rPr>
          <w:rFonts w:ascii="Sylfaen" w:hAnsi="Sylfaen"/>
          <w:sz w:val="24"/>
          <w:szCs w:val="24"/>
        </w:rPr>
        <w:t xml:space="preserve"> օրիգինալ դեղապատրաստուկի բժշկական կիրառման հրահանգին: Կիրառման ցուցումների՝ ընդլայնման կամ դոզավորման ռեժիմի մասով կամ վերարտադրված դեղապատրաստուկի բժշկական կիրառման հրահանգներում ներմուծման </w:t>
      </w:r>
      <w:r w:rsidRPr="00834D52">
        <w:rPr>
          <w:rFonts w:ascii="Sylfaen" w:hAnsi="Sylfaen"/>
          <w:sz w:val="24"/>
          <w:szCs w:val="24"/>
        </w:rPr>
        <w:lastRenderedPageBreak/>
        <w:t>ուղիների՝ օրիգինալ դեղապատրաստուկից տարբերվելու դեպքում պետք է ներկայացնել համապատասխան կլինիկական հետազոտությունների արդյունքները:</w:t>
      </w:r>
    </w:p>
    <w:p w14:paraId="48299032" w14:textId="77777777" w:rsidR="006F76EB" w:rsidRPr="00834D52" w:rsidRDefault="006F76EB" w:rsidP="00ED35B6">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6.1.</w:t>
      </w:r>
      <w:r w:rsidRPr="00834D52">
        <w:rPr>
          <w:rFonts w:ascii="Sylfaen" w:hAnsi="Sylfaen"/>
          <w:sz w:val="24"/>
          <w:szCs w:val="24"/>
        </w:rPr>
        <w:tab/>
        <w:t>Մոդուլ 1.</w:t>
      </w:r>
    </w:p>
    <w:p w14:paraId="7D8DA993" w14:textId="77777777" w:rsidR="006F76EB" w:rsidRPr="00834D52" w:rsidRDefault="006F76EB" w:rsidP="00CB3DC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Վերարտադրված դեղապատրաստուկի գրանցման դոսյեի 1.8.2 բաժնում հայտատուն պետք է ներկայացնի այնպիսի հիմնավորումների </w:t>
      </w:r>
      <w:r w:rsidR="00C54D75">
        <w:rPr>
          <w:rFonts w:ascii="Sylfaen" w:hAnsi="Sylfaen"/>
          <w:sz w:val="24"/>
          <w:szCs w:val="24"/>
        </w:rPr>
        <w:t>և</w:t>
      </w:r>
      <w:r w:rsidRPr="00834D52">
        <w:rPr>
          <w:rFonts w:ascii="Sylfaen" w:hAnsi="Sylfaen"/>
          <w:sz w:val="24"/>
          <w:szCs w:val="24"/>
        </w:rPr>
        <w:t xml:space="preserve"> փաստերի ռեզյումե (մինչ</w:t>
      </w:r>
      <w:r w:rsidR="00C54D75">
        <w:rPr>
          <w:rFonts w:ascii="Sylfaen" w:hAnsi="Sylfaen"/>
          <w:sz w:val="24"/>
          <w:szCs w:val="24"/>
        </w:rPr>
        <w:t>և</w:t>
      </w:r>
      <w:r w:rsidRPr="00834D52">
        <w:rPr>
          <w:rFonts w:ascii="Sylfaen" w:hAnsi="Sylfaen"/>
          <w:sz w:val="24"/>
          <w:szCs w:val="24"/>
        </w:rPr>
        <w:t xml:space="preserve"> 5 էջ), որոնք ցույց են տալիս, որ դեղապատրաստուկը համապատասխան օրիգինալ դեղապատրաստուկի վերարտադրված դեղապատրաստուկն է: Նշված ռեզյումեն պետք է պարունակի պատրաստուկի, դրա որակական կազմի </w:t>
      </w:r>
      <w:r w:rsidR="00C54D75">
        <w:rPr>
          <w:rFonts w:ascii="Sylfaen" w:hAnsi="Sylfaen"/>
          <w:sz w:val="24"/>
          <w:szCs w:val="24"/>
        </w:rPr>
        <w:t>և</w:t>
      </w:r>
      <w:r w:rsidRPr="00834D52">
        <w:rPr>
          <w:rFonts w:ascii="Sylfaen" w:hAnsi="Sylfaen"/>
          <w:sz w:val="24"/>
          <w:szCs w:val="24"/>
        </w:rPr>
        <w:t xml:space="preserve"> դրանում ակտիվ նյութի քանակական բաղադրության, օրիգինալ պատրաստուկի ակտիվ նյութի համեմատ դրա դեղագործական ձ</w:t>
      </w:r>
      <w:r w:rsidR="00C54D75">
        <w:rPr>
          <w:rFonts w:ascii="Sylfaen" w:hAnsi="Sylfaen"/>
          <w:sz w:val="24"/>
          <w:szCs w:val="24"/>
        </w:rPr>
        <w:t>և</w:t>
      </w:r>
      <w:r w:rsidRPr="00834D52">
        <w:rPr>
          <w:rFonts w:ascii="Sylfaen" w:hAnsi="Sylfaen"/>
          <w:sz w:val="24"/>
          <w:szCs w:val="24"/>
        </w:rPr>
        <w:t xml:space="preserve">ի </w:t>
      </w:r>
      <w:r w:rsidR="00C54D75">
        <w:rPr>
          <w:rFonts w:ascii="Sylfaen" w:hAnsi="Sylfaen"/>
          <w:sz w:val="24"/>
          <w:szCs w:val="24"/>
        </w:rPr>
        <w:t>և</w:t>
      </w:r>
      <w:r w:rsidRPr="00834D52">
        <w:rPr>
          <w:rFonts w:ascii="Sylfaen" w:hAnsi="Sylfaen"/>
          <w:sz w:val="24"/>
          <w:szCs w:val="24"/>
        </w:rPr>
        <w:t xml:space="preserve"> դրա ակտիվ նյութի անվտանգության պրոֆիլի </w:t>
      </w:r>
      <w:r w:rsidR="00C54D75">
        <w:rPr>
          <w:rFonts w:ascii="Sylfaen" w:hAnsi="Sylfaen"/>
          <w:sz w:val="24"/>
          <w:szCs w:val="24"/>
        </w:rPr>
        <w:t>և</w:t>
      </w:r>
      <w:r w:rsidRPr="00834D52">
        <w:rPr>
          <w:rFonts w:ascii="Sylfaen" w:hAnsi="Sylfaen"/>
          <w:sz w:val="24"/>
          <w:szCs w:val="24"/>
        </w:rPr>
        <w:t xml:space="preserve"> (կամ) արդյունավետության վերաբերյալ տեղեկատվությունը, ինչպես նա</w:t>
      </w:r>
      <w:r w:rsidR="00C54D75">
        <w:rPr>
          <w:rFonts w:ascii="Sylfaen" w:hAnsi="Sylfaen"/>
          <w:sz w:val="24"/>
          <w:szCs w:val="24"/>
        </w:rPr>
        <w:t>և</w:t>
      </w:r>
      <w:r w:rsidRPr="00834D52">
        <w:rPr>
          <w:rFonts w:ascii="Sylfaen" w:hAnsi="Sylfaen"/>
          <w:sz w:val="24"/>
          <w:szCs w:val="24"/>
        </w:rPr>
        <w:t xml:space="preserve"> անհրաժեշտության դեպքում տեղեկություններ՝ տվյալ պատրաստուկի կենսաբանական մատչելիության </w:t>
      </w:r>
      <w:r w:rsidR="00C54D75">
        <w:rPr>
          <w:rFonts w:ascii="Sylfaen" w:hAnsi="Sylfaen"/>
          <w:sz w:val="24"/>
          <w:szCs w:val="24"/>
        </w:rPr>
        <w:t>և</w:t>
      </w:r>
      <w:r w:rsidRPr="00834D52">
        <w:rPr>
          <w:rFonts w:ascii="Sylfaen" w:hAnsi="Sylfaen"/>
          <w:sz w:val="24"/>
          <w:szCs w:val="24"/>
        </w:rPr>
        <w:t xml:space="preserve"> կենսահամարժեքության վերաբերյալ:</w:t>
      </w:r>
    </w:p>
    <w:p w14:paraId="3EAF5D52" w14:textId="77777777" w:rsidR="006F76EB" w:rsidRPr="00834D52" w:rsidRDefault="006F76EB" w:rsidP="00CB3DC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Մասնավոր դեպքերում կարող է պահանջվել ռիսկերի կառավարման պլանը:</w:t>
      </w:r>
    </w:p>
    <w:p w14:paraId="689BE270" w14:textId="77777777" w:rsidR="006F76EB" w:rsidRPr="00834D52" w:rsidRDefault="006F76EB" w:rsidP="00CB3DC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Ռեզյումեի մեջ սույն կետում թվարկված տարրերից մի քանիսի բացակայության դեպքում հարկ է դեղապատրաստուկի գրանցման դոսյեի համապատասխան բաժնում ներկայացնել դրանց բացակայության հիմնավորումը:</w:t>
      </w:r>
    </w:p>
    <w:p w14:paraId="3F4ABFC0" w14:textId="77777777" w:rsidR="006F76EB" w:rsidRPr="00834D52" w:rsidRDefault="006F76EB" w:rsidP="00ED35B6">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6.2.</w:t>
      </w:r>
      <w:r w:rsidRPr="00834D52">
        <w:rPr>
          <w:rFonts w:ascii="Sylfaen" w:hAnsi="Sylfaen"/>
          <w:sz w:val="24"/>
          <w:szCs w:val="24"/>
        </w:rPr>
        <w:tab/>
        <w:t>Մոդուլ 2.</w:t>
      </w:r>
    </w:p>
    <w:p w14:paraId="31AAF328" w14:textId="77777777" w:rsidR="006F76EB" w:rsidRPr="00834D52" w:rsidRDefault="006F76EB" w:rsidP="00CB3DC3">
      <w:pPr>
        <w:spacing w:after="160" w:line="336"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Նախակլինիկական </w:t>
      </w:r>
      <w:r w:rsidR="00C54D75">
        <w:rPr>
          <w:rFonts w:ascii="Sylfaen" w:hAnsi="Sylfaen"/>
          <w:spacing w:val="-4"/>
          <w:sz w:val="24"/>
          <w:szCs w:val="24"/>
        </w:rPr>
        <w:t>և</w:t>
      </w:r>
      <w:r w:rsidRPr="00834D52">
        <w:rPr>
          <w:rFonts w:ascii="Sylfaen" w:hAnsi="Sylfaen"/>
          <w:spacing w:val="-4"/>
          <w:sz w:val="24"/>
          <w:szCs w:val="24"/>
        </w:rPr>
        <w:t xml:space="preserve"> կլինիկական տվյալների ամփոփագրում պետք է նշվեն՝</w:t>
      </w:r>
    </w:p>
    <w:p w14:paraId="063F072C" w14:textId="77777777" w:rsidR="006F76EB" w:rsidRPr="00834D52" w:rsidRDefault="006F76EB" w:rsidP="00CB3DC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դեղագործական շուկայում իրացման ենթակա դեղապատրաստուկի սերիաներում ակտիվ նյութի խառնուկների պրոֆիլի ռեզյումեն (</w:t>
      </w:r>
      <w:r w:rsidR="00C54D75">
        <w:rPr>
          <w:rFonts w:ascii="Sylfaen" w:hAnsi="Sylfaen"/>
          <w:sz w:val="24"/>
          <w:szCs w:val="24"/>
        </w:rPr>
        <w:t>և</w:t>
      </w:r>
      <w:r w:rsidRPr="00834D52">
        <w:rPr>
          <w:rFonts w:ascii="Sylfaen" w:hAnsi="Sylfaen"/>
          <w:sz w:val="24"/>
          <w:szCs w:val="24"/>
        </w:rPr>
        <w:t> համապատասխան դեպքերում՝ դեղապատրաստուկի պահպանման ժամանակ առաջացող հնարավոր քայքայման արգասիքները).</w:t>
      </w:r>
    </w:p>
    <w:p w14:paraId="3B02DAF5" w14:textId="77777777" w:rsidR="006F76EB" w:rsidRPr="00834D52" w:rsidRDefault="006F76EB" w:rsidP="00CB3DC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կենսահամարժեքության հետազոտությունների գնահատումը կամ այն պատճառի բացատրությունը, որի հիման վրա կենսահամարժեքության հետազոտություններ չեն անցկացվել.</w:t>
      </w:r>
    </w:p>
    <w:p w14:paraId="7796B6C7"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տվյալ դեղապատրաստուկի ակտիվ նյութի վերաբերյալ գրական հրապարակումների թարմացում (տվյալ պահանջը կարող է կատարվել գրախոսվող պարբերականներում հրապարակումներին արված հղումների միջոցով).</w:t>
      </w:r>
    </w:p>
    <w:p w14:paraId="6BEEDEF6"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ընդհանուր բնութագրում նախկինում անծանոթ կամ պատրաստուկի բնութագրից </w:t>
      </w:r>
      <w:r w:rsidR="00C54D75">
        <w:rPr>
          <w:rFonts w:ascii="Sylfaen" w:hAnsi="Sylfaen"/>
          <w:sz w:val="24"/>
          <w:szCs w:val="24"/>
        </w:rPr>
        <w:t>և</w:t>
      </w:r>
      <w:r w:rsidRPr="00834D52">
        <w:rPr>
          <w:rFonts w:ascii="Sylfaen" w:hAnsi="Sylfaen"/>
          <w:sz w:val="24"/>
          <w:szCs w:val="24"/>
        </w:rPr>
        <w:t xml:space="preserve"> (կամ) դրա թերապ</w:t>
      </w:r>
      <w:r w:rsidR="00C54D75">
        <w:rPr>
          <w:rFonts w:ascii="Sylfaen" w:hAnsi="Sylfaen"/>
          <w:sz w:val="24"/>
          <w:szCs w:val="24"/>
        </w:rPr>
        <w:t>և</w:t>
      </w:r>
      <w:r w:rsidRPr="00834D52">
        <w:rPr>
          <w:rFonts w:ascii="Sylfaen" w:hAnsi="Sylfaen"/>
          <w:sz w:val="24"/>
          <w:szCs w:val="24"/>
        </w:rPr>
        <w:t xml:space="preserve">տիկ խմբից բխող կետերը, որոնք հարկ է վերլուծել նախակլինիկական </w:t>
      </w:r>
      <w:r w:rsidR="00C54D75">
        <w:rPr>
          <w:rFonts w:ascii="Sylfaen" w:hAnsi="Sylfaen"/>
          <w:sz w:val="24"/>
          <w:szCs w:val="24"/>
        </w:rPr>
        <w:t>և</w:t>
      </w:r>
      <w:r w:rsidRPr="00834D52">
        <w:rPr>
          <w:rFonts w:ascii="Sylfaen" w:hAnsi="Sylfaen"/>
          <w:sz w:val="24"/>
          <w:szCs w:val="24"/>
        </w:rPr>
        <w:t xml:space="preserve"> կլինիկական ամփոփագրերում (ռեզյումեներում) </w:t>
      </w:r>
      <w:r w:rsidR="00C54D75">
        <w:rPr>
          <w:rFonts w:ascii="Sylfaen" w:hAnsi="Sylfaen"/>
          <w:sz w:val="24"/>
          <w:szCs w:val="24"/>
        </w:rPr>
        <w:t>և</w:t>
      </w:r>
      <w:r w:rsidRPr="00834D52">
        <w:rPr>
          <w:rFonts w:ascii="Sylfaen" w:hAnsi="Sylfaen"/>
          <w:sz w:val="24"/>
          <w:szCs w:val="24"/>
        </w:rPr>
        <w:t xml:space="preserve"> հիմնավորել գիտական գրականությունից </w:t>
      </w:r>
      <w:r w:rsidR="00C54D75">
        <w:rPr>
          <w:rFonts w:ascii="Sylfaen" w:hAnsi="Sylfaen"/>
          <w:sz w:val="24"/>
          <w:szCs w:val="24"/>
        </w:rPr>
        <w:t>և</w:t>
      </w:r>
      <w:r w:rsidRPr="00834D52">
        <w:rPr>
          <w:rFonts w:ascii="Sylfaen" w:hAnsi="Sylfaen"/>
          <w:sz w:val="24"/>
          <w:szCs w:val="24"/>
        </w:rPr>
        <w:t xml:space="preserve"> (կամ) լրացուցիչ հետազոտությունների անցկացման արդյունքում ստացված ապացույցներով.</w:t>
      </w:r>
    </w:p>
    <w:p w14:paraId="45EC6825"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լրացուցիչ տեղեկատվությունը, որով ապացուցվում է, որ հայտագրված պատրաստուկի անվտանգության </w:t>
      </w:r>
      <w:r w:rsidR="00C54D75">
        <w:rPr>
          <w:rFonts w:ascii="Sylfaen" w:hAnsi="Sylfaen"/>
          <w:sz w:val="24"/>
          <w:szCs w:val="24"/>
        </w:rPr>
        <w:t>և</w:t>
      </w:r>
      <w:r w:rsidRPr="00834D52">
        <w:rPr>
          <w:rFonts w:ascii="Sylfaen" w:hAnsi="Sylfaen"/>
          <w:sz w:val="24"/>
          <w:szCs w:val="24"/>
        </w:rPr>
        <w:t xml:space="preserve"> (կամ) արդյունավետության պրոֆիլները չեն</w:t>
      </w:r>
      <w:r w:rsidR="00665C60" w:rsidRPr="00665C60">
        <w:rPr>
          <w:rFonts w:ascii="Sylfaen" w:hAnsi="Sylfaen"/>
          <w:sz w:val="24"/>
          <w:szCs w:val="24"/>
        </w:rPr>
        <w:t> </w:t>
      </w:r>
      <w:r w:rsidRPr="00834D52">
        <w:rPr>
          <w:rFonts w:ascii="Sylfaen" w:hAnsi="Sylfaen"/>
          <w:sz w:val="24"/>
          <w:szCs w:val="24"/>
        </w:rPr>
        <w:t xml:space="preserve">տարբերվում </w:t>
      </w:r>
      <w:r w:rsidR="0032680A">
        <w:rPr>
          <w:rFonts w:ascii="Sylfaen" w:hAnsi="Sylfaen"/>
          <w:sz w:val="24"/>
          <w:szCs w:val="24"/>
        </w:rPr>
        <w:t xml:space="preserve">ռեֆերենտ </w:t>
      </w:r>
      <w:r w:rsidRPr="00834D52">
        <w:rPr>
          <w:rFonts w:ascii="Sylfaen" w:hAnsi="Sylfaen"/>
          <w:sz w:val="24"/>
          <w:szCs w:val="24"/>
        </w:rPr>
        <w:t xml:space="preserve">պատրաստուկի նույն պրոֆիլներից՝ ակտիվ նյութի (աղերի, եթերների, իզոմերների, իզոմերների խառնուրդների, </w:t>
      </w:r>
      <w:r w:rsidR="0032680A">
        <w:rPr>
          <w:rFonts w:ascii="Sylfaen" w:hAnsi="Sylfaen"/>
          <w:sz w:val="24"/>
          <w:szCs w:val="24"/>
        </w:rPr>
        <w:t xml:space="preserve">ռեֆերենտ </w:t>
      </w:r>
      <w:r w:rsidRPr="00834D52">
        <w:rPr>
          <w:rFonts w:ascii="Sylfaen" w:hAnsi="Sylfaen"/>
          <w:sz w:val="24"/>
          <w:szCs w:val="24"/>
        </w:rPr>
        <w:t>պատրաստուկի ակտիվ նյութի կոմպլեքսների կամ ածանցյալների) քիմիական ձ</w:t>
      </w:r>
      <w:r w:rsidR="00C54D75">
        <w:rPr>
          <w:rFonts w:ascii="Sylfaen" w:hAnsi="Sylfaen"/>
          <w:sz w:val="24"/>
          <w:szCs w:val="24"/>
        </w:rPr>
        <w:t>և</w:t>
      </w:r>
      <w:r w:rsidRPr="00834D52">
        <w:rPr>
          <w:rFonts w:ascii="Sylfaen" w:hAnsi="Sylfaen"/>
          <w:sz w:val="24"/>
          <w:szCs w:val="24"/>
        </w:rPr>
        <w:t>ի տարբերության դեպքում:</w:t>
      </w:r>
    </w:p>
    <w:p w14:paraId="1964391F" w14:textId="77777777" w:rsidR="006F76EB" w:rsidRPr="00834D52" w:rsidRDefault="006F76EB" w:rsidP="00ED35B6">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6.3.</w:t>
      </w:r>
      <w:r w:rsidRPr="00834D52">
        <w:rPr>
          <w:rFonts w:ascii="Sylfaen" w:hAnsi="Sylfaen"/>
          <w:sz w:val="24"/>
          <w:szCs w:val="24"/>
        </w:rPr>
        <w:tab/>
        <w:t>Մոդուլ 3.</w:t>
      </w:r>
    </w:p>
    <w:p w14:paraId="34F02065" w14:textId="77777777" w:rsidR="006F76EB" w:rsidRPr="00834D52" w:rsidRDefault="006F76EB" w:rsidP="00CB3DC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Պետք է ներկայացնել դեղապատրաստուկի գրանցման դոսյեի 3-րդ մոդուլն ամբողջությամբ:</w:t>
      </w:r>
    </w:p>
    <w:p w14:paraId="7B179D20" w14:textId="77777777" w:rsidR="006F76EB" w:rsidRPr="00834D52" w:rsidRDefault="006F76EB" w:rsidP="00ED35B6">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6.4.</w:t>
      </w:r>
      <w:r w:rsidRPr="00834D52">
        <w:rPr>
          <w:rFonts w:ascii="Sylfaen" w:hAnsi="Sylfaen"/>
          <w:sz w:val="24"/>
          <w:szCs w:val="24"/>
        </w:rPr>
        <w:tab/>
        <w:t xml:space="preserve">Մոդուլ 4 </w:t>
      </w:r>
      <w:r w:rsidR="00C54D75">
        <w:rPr>
          <w:rFonts w:ascii="Sylfaen" w:hAnsi="Sylfaen"/>
          <w:sz w:val="24"/>
          <w:szCs w:val="24"/>
        </w:rPr>
        <w:t>և</w:t>
      </w:r>
      <w:r w:rsidRPr="00834D52">
        <w:rPr>
          <w:rFonts w:ascii="Sylfaen" w:hAnsi="Sylfaen"/>
          <w:sz w:val="24"/>
          <w:szCs w:val="24"/>
        </w:rPr>
        <w:t xml:space="preserve"> մոդուլ 5.</w:t>
      </w:r>
    </w:p>
    <w:p w14:paraId="53F3DE0B" w14:textId="77777777" w:rsidR="006F76EB" w:rsidRPr="00834D52" w:rsidRDefault="006F76EB" w:rsidP="00CB3DC3">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Կենսահամարժեքության հետազոտությունների արդյունքները, որոնք անցկացվել են այն դեպքերում, երբ դա անհրաժեշտ է, հարկ է ընդգրկել դեղապատրաստուկի գրանցման դոսյեի 5.3.1 բաժնում: Բիովեյվեր ընթացակարգով համարժեքության ապացուցման արդյունքները պետք է ներկայացված լինեն 5.3.1.2</w:t>
      </w:r>
      <w:r w:rsidR="00665C60" w:rsidRPr="00665C60">
        <w:rPr>
          <w:rFonts w:ascii="Sylfaen" w:hAnsi="Sylfaen"/>
          <w:sz w:val="24"/>
          <w:szCs w:val="24"/>
        </w:rPr>
        <w:t> </w:t>
      </w:r>
      <w:r w:rsidRPr="00834D52">
        <w:rPr>
          <w:rFonts w:ascii="Sylfaen" w:hAnsi="Sylfaen"/>
          <w:sz w:val="24"/>
          <w:szCs w:val="24"/>
        </w:rPr>
        <w:t>ենթաբաժնում: Նա</w:t>
      </w:r>
      <w:r w:rsidR="00C54D75">
        <w:rPr>
          <w:rFonts w:ascii="Sylfaen" w:hAnsi="Sylfaen"/>
          <w:sz w:val="24"/>
          <w:szCs w:val="24"/>
        </w:rPr>
        <w:t>և</w:t>
      </w:r>
      <w:r w:rsidRPr="00834D52">
        <w:rPr>
          <w:rFonts w:ascii="Sylfaen" w:hAnsi="Sylfaen"/>
          <w:sz w:val="24"/>
          <w:szCs w:val="24"/>
        </w:rPr>
        <w:t xml:space="preserve"> անհրաժեշտ է ներկայացնել կենսավերլուծական մեթոդի վալիդացման մասին հաշվետվությունը: Նա</w:t>
      </w:r>
      <w:r w:rsidR="00C54D75">
        <w:rPr>
          <w:rFonts w:ascii="Sylfaen" w:hAnsi="Sylfaen"/>
          <w:sz w:val="24"/>
          <w:szCs w:val="24"/>
        </w:rPr>
        <w:t>և</w:t>
      </w:r>
      <w:r w:rsidRPr="00834D52">
        <w:rPr>
          <w:rFonts w:ascii="Sylfaen" w:hAnsi="Sylfaen"/>
          <w:sz w:val="24"/>
          <w:szCs w:val="24"/>
        </w:rPr>
        <w:t xml:space="preserve"> անհրաժեշտ է ներկայացնել կոնցենտրացիայի, </w:t>
      </w:r>
      <w:r w:rsidR="00355C33">
        <w:rPr>
          <w:rFonts w:ascii="Sylfaen" w:hAnsi="Sylfaen"/>
          <w:sz w:val="24"/>
          <w:szCs w:val="24"/>
        </w:rPr>
        <w:t>դեղա</w:t>
      </w:r>
      <w:r w:rsidRPr="00834D52">
        <w:rPr>
          <w:rFonts w:ascii="Sylfaen" w:hAnsi="Sylfaen"/>
          <w:sz w:val="24"/>
          <w:szCs w:val="24"/>
        </w:rPr>
        <w:t xml:space="preserve">կինետիկայի մասին </w:t>
      </w:r>
      <w:r w:rsidR="00C54D75">
        <w:rPr>
          <w:rFonts w:ascii="Sylfaen" w:hAnsi="Sylfaen"/>
          <w:sz w:val="24"/>
          <w:szCs w:val="24"/>
        </w:rPr>
        <w:t>և</w:t>
      </w:r>
      <w:r w:rsidRPr="00834D52">
        <w:rPr>
          <w:rFonts w:ascii="Sylfaen" w:hAnsi="Sylfaen"/>
          <w:sz w:val="24"/>
          <w:szCs w:val="24"/>
        </w:rPr>
        <w:t xml:space="preserve"> վիճակագրական վերլուծության մասով տվյալները:</w:t>
      </w:r>
    </w:p>
    <w:p w14:paraId="4D9A2AEE" w14:textId="77777777" w:rsidR="006F76EB" w:rsidRPr="00834D52" w:rsidRDefault="006F76EB" w:rsidP="008D457F">
      <w:pPr>
        <w:spacing w:after="160" w:line="336"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lastRenderedPageBreak/>
        <w:t xml:space="preserve">Կենսահամարժեքության հետազոտության անցկացման մասին հաշվետվությունում անհրաժեշտ է նշել տեղեկություններ՝ հետազոտողի (նշելով նրա աշխատանքային վայրը), հետազոտությունն անցկացնող կազմակերպության </w:t>
      </w:r>
      <w:r w:rsidR="00C54D75">
        <w:rPr>
          <w:rFonts w:ascii="Sylfaen" w:hAnsi="Sylfaen"/>
          <w:spacing w:val="-4"/>
          <w:sz w:val="24"/>
          <w:szCs w:val="24"/>
        </w:rPr>
        <w:t>և</w:t>
      </w:r>
      <w:r w:rsidRPr="00834D52">
        <w:rPr>
          <w:rFonts w:ascii="Sylfaen" w:hAnsi="Sylfaen"/>
          <w:spacing w:val="-4"/>
          <w:sz w:val="24"/>
          <w:szCs w:val="24"/>
        </w:rPr>
        <w:t xml:space="preserve"> հետազոտության անցկացման ժամկետի մասին: Հաշվետվությանն անհրաժեշտ է կցել աուդիտների հավաստագրերը (առկայության դեպքում):</w:t>
      </w:r>
    </w:p>
    <w:p w14:paraId="2E6DCB9F"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Կենսահամարժեքության հետազոտության անցկացման մասին հաշվետվությունում կամ առանձին պաշտոնական գրությունում պետք է նշվի </w:t>
      </w:r>
      <w:r w:rsidR="0032680A">
        <w:rPr>
          <w:rFonts w:ascii="Sylfaen" w:hAnsi="Sylfaen"/>
          <w:sz w:val="24"/>
          <w:szCs w:val="24"/>
        </w:rPr>
        <w:t xml:space="preserve">ռեֆերենտ </w:t>
      </w:r>
      <w:r w:rsidRPr="00834D52">
        <w:rPr>
          <w:rFonts w:ascii="Sylfaen" w:hAnsi="Sylfaen"/>
          <w:sz w:val="24"/>
          <w:szCs w:val="24"/>
        </w:rPr>
        <w:t>դեղապատրաստուկի ընտրության հաստատումը՝ Հանձնաժողովի կողմից հաստատվող՝ Եվրասիական տնտեսական միության շրջանակներում դեղապատրաստուկի կենսահամարժեքության հետազոտությունների անցկացման կանոններին համապատասխան: Նա</w:t>
      </w:r>
      <w:r w:rsidR="00C54D75">
        <w:rPr>
          <w:rFonts w:ascii="Sylfaen" w:hAnsi="Sylfaen"/>
          <w:sz w:val="24"/>
          <w:szCs w:val="24"/>
        </w:rPr>
        <w:t>և</w:t>
      </w:r>
      <w:r w:rsidRPr="00834D52">
        <w:rPr>
          <w:rFonts w:ascii="Sylfaen" w:hAnsi="Sylfaen"/>
          <w:sz w:val="24"/>
          <w:szCs w:val="24"/>
        </w:rPr>
        <w:t xml:space="preserve"> նշվում են </w:t>
      </w:r>
      <w:r w:rsidR="0032680A">
        <w:rPr>
          <w:rFonts w:ascii="Sylfaen" w:hAnsi="Sylfaen"/>
          <w:sz w:val="24"/>
          <w:szCs w:val="24"/>
        </w:rPr>
        <w:t xml:space="preserve">ռեֆերենտ </w:t>
      </w:r>
      <w:r w:rsidRPr="00834D52">
        <w:rPr>
          <w:rFonts w:ascii="Sylfaen" w:hAnsi="Sylfaen"/>
          <w:sz w:val="24"/>
          <w:szCs w:val="24"/>
        </w:rPr>
        <w:t>դեղապատրաստուկի վերաբերյալ հետ</w:t>
      </w:r>
      <w:r w:rsidR="00C54D75">
        <w:rPr>
          <w:rFonts w:ascii="Sylfaen" w:hAnsi="Sylfaen"/>
          <w:sz w:val="24"/>
          <w:szCs w:val="24"/>
        </w:rPr>
        <w:t>և</w:t>
      </w:r>
      <w:r w:rsidRPr="00834D52">
        <w:rPr>
          <w:rFonts w:ascii="Sylfaen" w:hAnsi="Sylfaen"/>
          <w:sz w:val="24"/>
          <w:szCs w:val="24"/>
        </w:rPr>
        <w:t>յալ տեղեկությունները.</w:t>
      </w:r>
    </w:p>
    <w:p w14:paraId="45296076"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անվանումը.</w:t>
      </w:r>
    </w:p>
    <w:p w14:paraId="5F667691"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դոզավորումը.</w:t>
      </w:r>
    </w:p>
    <w:p w14:paraId="78DF817F"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ը.</w:t>
      </w:r>
    </w:p>
    <w:p w14:paraId="3177E9C3"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իրավատերը.</w:t>
      </w:r>
    </w:p>
    <w:p w14:paraId="604FA4CC"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ամսաթիվը.</w:t>
      </w:r>
    </w:p>
    <w:p w14:paraId="6A720078" w14:textId="77777777" w:rsidR="006F76EB" w:rsidRPr="00834D52" w:rsidRDefault="006F76EB" w:rsidP="008D457F">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հավաստագրի համարը.</w:t>
      </w:r>
    </w:p>
    <w:p w14:paraId="3288FE0C"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անդամ պետությունը, որի տարածքում </w:t>
      </w:r>
      <w:r w:rsidR="00D23E48">
        <w:rPr>
          <w:rFonts w:ascii="Sylfaen" w:hAnsi="Sylfaen"/>
          <w:sz w:val="24"/>
          <w:szCs w:val="24"/>
        </w:rPr>
        <w:t xml:space="preserve">ռեֆերենտ </w:t>
      </w:r>
      <w:r w:rsidRPr="00834D52">
        <w:rPr>
          <w:rFonts w:ascii="Sylfaen" w:hAnsi="Sylfaen"/>
          <w:sz w:val="24"/>
          <w:szCs w:val="24"/>
        </w:rPr>
        <w:t>պատրաստուկը գրանցված է.</w:t>
      </w:r>
    </w:p>
    <w:p w14:paraId="4C86CEE7"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սերիայի համարը.</w:t>
      </w:r>
    </w:p>
    <w:p w14:paraId="6ABC44C3"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արտադրողի անվանումը.</w:t>
      </w:r>
    </w:p>
    <w:p w14:paraId="53A6ECAB"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պիտանիության ժամկետը.</w:t>
      </w:r>
    </w:p>
    <w:p w14:paraId="45D23151"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ձեռքբերման երկիրը:</w:t>
      </w:r>
    </w:p>
    <w:p w14:paraId="2BBAB80F" w14:textId="77777777" w:rsidR="006F76EB" w:rsidRPr="00834D52" w:rsidRDefault="006F76EB" w:rsidP="008D457F">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Դեղամիջոցների հարցերով փորձագիտական կոմիտեի առաջարկությունը՝ </w:t>
      </w:r>
      <w:r w:rsidR="0032680A">
        <w:rPr>
          <w:rFonts w:ascii="Sylfaen" w:hAnsi="Sylfaen"/>
          <w:sz w:val="24"/>
          <w:szCs w:val="24"/>
        </w:rPr>
        <w:t xml:space="preserve">ռեֆերենտ </w:t>
      </w:r>
      <w:r w:rsidRPr="00834D52">
        <w:rPr>
          <w:rFonts w:ascii="Sylfaen" w:hAnsi="Sylfaen"/>
          <w:sz w:val="24"/>
          <w:szCs w:val="24"/>
        </w:rPr>
        <w:t>պատրաստուկի ընտրության վերաբերյալ (առկայության դեպքում):</w:t>
      </w:r>
    </w:p>
    <w:p w14:paraId="3533E3CD" w14:textId="77777777" w:rsidR="006F76EB" w:rsidRPr="00834D52" w:rsidRDefault="006F76EB" w:rsidP="002B6F90">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Անհրաժեշտ է նշել թեստավորվող պատրաստուկի անվանումը </w:t>
      </w:r>
      <w:r w:rsidR="00C54D75">
        <w:rPr>
          <w:rFonts w:ascii="Sylfaen" w:hAnsi="Sylfaen"/>
          <w:sz w:val="24"/>
          <w:szCs w:val="24"/>
        </w:rPr>
        <w:t>և</w:t>
      </w:r>
      <w:r w:rsidRPr="00834D52">
        <w:rPr>
          <w:rFonts w:ascii="Sylfaen" w:hAnsi="Sylfaen"/>
          <w:sz w:val="24"/>
          <w:szCs w:val="24"/>
        </w:rPr>
        <w:t xml:space="preserve"> բաղադրությունը, սերիայի ծավալը, արտադրության ամսաթիվը </w:t>
      </w:r>
      <w:r w:rsidR="00C54D75">
        <w:rPr>
          <w:rFonts w:ascii="Sylfaen" w:hAnsi="Sylfaen"/>
          <w:sz w:val="24"/>
          <w:szCs w:val="24"/>
        </w:rPr>
        <w:t>և</w:t>
      </w:r>
      <w:r w:rsidRPr="00834D52">
        <w:rPr>
          <w:rFonts w:ascii="Sylfaen" w:hAnsi="Sylfaen"/>
          <w:sz w:val="24"/>
          <w:szCs w:val="24"/>
        </w:rPr>
        <w:t xml:space="preserve"> հնարավորության դեպքում՝ պիտանիության ժամկետի ավարտի օրը:</w:t>
      </w:r>
    </w:p>
    <w:p w14:paraId="22B70CD6" w14:textId="77777777" w:rsidR="006F76EB" w:rsidRPr="00834D52" w:rsidRDefault="006F76EB" w:rsidP="002B6F90">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Հետազոտության մասին հաշվետվության հավելվածում նա</w:t>
      </w:r>
      <w:r w:rsidR="00C54D75">
        <w:rPr>
          <w:rFonts w:ascii="Sylfaen" w:hAnsi="Sylfaen"/>
          <w:sz w:val="24"/>
          <w:szCs w:val="24"/>
        </w:rPr>
        <w:t>և</w:t>
      </w:r>
      <w:r w:rsidRPr="00834D52">
        <w:rPr>
          <w:rFonts w:ascii="Sylfaen" w:hAnsi="Sylfaen"/>
          <w:sz w:val="24"/>
          <w:szCs w:val="24"/>
        </w:rPr>
        <w:t xml:space="preserve"> ընդգրկվում են կենսահամարժեքության հետազոտությունում օգտագործված </w:t>
      </w:r>
      <w:r w:rsidR="00D23E48">
        <w:rPr>
          <w:rFonts w:ascii="Sylfaen" w:hAnsi="Sylfaen"/>
          <w:sz w:val="24"/>
          <w:szCs w:val="24"/>
        </w:rPr>
        <w:t>ռեֆերենտ</w:t>
      </w:r>
      <w:r w:rsidRPr="00834D52">
        <w:rPr>
          <w:rFonts w:ascii="Sylfaen" w:hAnsi="Sylfaen"/>
          <w:sz w:val="24"/>
          <w:szCs w:val="24"/>
        </w:rPr>
        <w:t xml:space="preserve"> </w:t>
      </w:r>
      <w:r w:rsidR="00C54D75">
        <w:rPr>
          <w:rFonts w:ascii="Sylfaen" w:hAnsi="Sylfaen"/>
          <w:sz w:val="24"/>
          <w:szCs w:val="24"/>
        </w:rPr>
        <w:t>և</w:t>
      </w:r>
      <w:r w:rsidRPr="00834D52">
        <w:rPr>
          <w:rFonts w:ascii="Sylfaen" w:hAnsi="Sylfaen"/>
          <w:sz w:val="24"/>
          <w:szCs w:val="24"/>
        </w:rPr>
        <w:t xml:space="preserve"> թեստավորվող պատրաստուկի սերիայի վերլուծության հավաստագրերը:</w:t>
      </w:r>
    </w:p>
    <w:p w14:paraId="63742DA7" w14:textId="77777777" w:rsidR="006F76EB" w:rsidRPr="00834D52" w:rsidRDefault="006F76EB" w:rsidP="002B6F90">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 է արտադրողի՝ որակի հարցերով լիազորված անձի կողմից ստորագրված </w:t>
      </w:r>
      <w:r w:rsidR="00C54D75">
        <w:rPr>
          <w:rFonts w:ascii="Sylfaen" w:hAnsi="Sylfaen"/>
          <w:sz w:val="24"/>
          <w:szCs w:val="24"/>
        </w:rPr>
        <w:t>և</w:t>
      </w:r>
      <w:r w:rsidRPr="00834D52">
        <w:rPr>
          <w:rFonts w:ascii="Sylfaen" w:hAnsi="Sylfaen"/>
          <w:sz w:val="24"/>
          <w:szCs w:val="24"/>
        </w:rPr>
        <w:t xml:space="preserve"> հետազոտվող պատրաստուկի քանակական կազմի </w:t>
      </w:r>
      <w:r w:rsidR="00C54D75">
        <w:rPr>
          <w:rFonts w:ascii="Sylfaen" w:hAnsi="Sylfaen"/>
          <w:sz w:val="24"/>
          <w:szCs w:val="24"/>
        </w:rPr>
        <w:t>և</w:t>
      </w:r>
      <w:r w:rsidRPr="00834D52">
        <w:rPr>
          <w:rFonts w:ascii="Sylfaen" w:hAnsi="Sylfaen"/>
          <w:sz w:val="24"/>
          <w:szCs w:val="24"/>
        </w:rPr>
        <w:t xml:space="preserve"> արտադրության՝ գրանցման նպատակով հայտագրված դեղապարաստուկի քանակական կազմի </w:t>
      </w:r>
      <w:r w:rsidR="00C54D75">
        <w:rPr>
          <w:rFonts w:ascii="Sylfaen" w:hAnsi="Sylfaen"/>
          <w:sz w:val="24"/>
          <w:szCs w:val="24"/>
        </w:rPr>
        <w:t>և</w:t>
      </w:r>
      <w:r w:rsidRPr="00834D52">
        <w:rPr>
          <w:rFonts w:ascii="Sylfaen" w:hAnsi="Sylfaen"/>
          <w:sz w:val="24"/>
          <w:szCs w:val="24"/>
        </w:rPr>
        <w:t xml:space="preserve"> արտադրության հետ նույնական լինելը հաստատող պաշտոնական գրություն ներկայացնել:</w:t>
      </w:r>
    </w:p>
    <w:p w14:paraId="7B085D8B" w14:textId="77777777" w:rsidR="006F76EB" w:rsidRPr="00834D52" w:rsidRDefault="006F76EB" w:rsidP="002B6F90">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 է լրացուցիչ տեղեկատվություն ներկայացնել (դեղապատրաստուկի գրանցման դոսյեի ընդհանուր տեխնիկական փաստաթղթի կառուցվածքին համապատասխան), որով կապացուցվի, որ հայտագրված դեղապատրաստուկի անվտանգության </w:t>
      </w:r>
      <w:r w:rsidR="00C54D75">
        <w:rPr>
          <w:rFonts w:ascii="Sylfaen" w:hAnsi="Sylfaen"/>
          <w:sz w:val="24"/>
          <w:szCs w:val="24"/>
        </w:rPr>
        <w:t>և</w:t>
      </w:r>
      <w:r w:rsidRPr="00834D52">
        <w:rPr>
          <w:rFonts w:ascii="Sylfaen" w:hAnsi="Sylfaen"/>
          <w:sz w:val="24"/>
          <w:szCs w:val="24"/>
        </w:rPr>
        <w:t xml:space="preserve"> (կամ) արդյունավետության պրոֆիլները չեն տարբերվում </w:t>
      </w:r>
      <w:r w:rsidR="0032680A">
        <w:rPr>
          <w:rFonts w:ascii="Sylfaen" w:hAnsi="Sylfaen"/>
          <w:sz w:val="24"/>
          <w:szCs w:val="24"/>
        </w:rPr>
        <w:t xml:space="preserve">ռեֆերենտ </w:t>
      </w:r>
      <w:r w:rsidRPr="00834D52">
        <w:rPr>
          <w:rFonts w:ascii="Sylfaen" w:hAnsi="Sylfaen"/>
          <w:sz w:val="24"/>
          <w:szCs w:val="24"/>
        </w:rPr>
        <w:t xml:space="preserve">պատրաստուկի նույն պրոֆիլներից՝ ակտիվ նյութի (աղերի, եթերների, իզոմերների, իզոմերների խառնուրդների, </w:t>
      </w:r>
      <w:r w:rsidR="0032680A">
        <w:rPr>
          <w:rFonts w:ascii="Sylfaen" w:hAnsi="Sylfaen"/>
          <w:sz w:val="24"/>
          <w:szCs w:val="24"/>
        </w:rPr>
        <w:t xml:space="preserve">ռեֆերենտ </w:t>
      </w:r>
      <w:r w:rsidRPr="00834D52">
        <w:rPr>
          <w:rFonts w:ascii="Sylfaen" w:hAnsi="Sylfaen"/>
          <w:sz w:val="24"/>
          <w:szCs w:val="24"/>
        </w:rPr>
        <w:t>պատրաստուկի ակտիվ նյութի կոմպլեքսների կամ ածանցյալների) քիմիական ձ</w:t>
      </w:r>
      <w:r w:rsidR="00C54D75">
        <w:rPr>
          <w:rFonts w:ascii="Sylfaen" w:hAnsi="Sylfaen"/>
          <w:sz w:val="24"/>
          <w:szCs w:val="24"/>
        </w:rPr>
        <w:t>և</w:t>
      </w:r>
      <w:r w:rsidRPr="00834D52">
        <w:rPr>
          <w:rFonts w:ascii="Sylfaen" w:hAnsi="Sylfaen"/>
          <w:sz w:val="24"/>
          <w:szCs w:val="24"/>
        </w:rPr>
        <w:t>ի տարբերության դեպքում:</w:t>
      </w:r>
    </w:p>
    <w:p w14:paraId="0AF9A3B2" w14:textId="77777777" w:rsidR="006F76EB" w:rsidRPr="00834D52" w:rsidRDefault="006F76EB" w:rsidP="002B6F90">
      <w:pPr>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Վերարտադրված դեղապատրաստուկի նախակլինիկական, կլինիկական հետազոտությունների արդյունքները, որոնք անցկացվել են այն դեպքերում, երբ դա անհրաժեշտ է, պետք է ընդգրկել 4-րդ </w:t>
      </w:r>
      <w:r w:rsidR="00C54D75">
        <w:rPr>
          <w:rFonts w:ascii="Sylfaen" w:hAnsi="Sylfaen"/>
          <w:sz w:val="24"/>
          <w:szCs w:val="24"/>
        </w:rPr>
        <w:t>և</w:t>
      </w:r>
      <w:r w:rsidRPr="00834D52">
        <w:rPr>
          <w:rFonts w:ascii="Sylfaen" w:hAnsi="Sylfaen"/>
          <w:sz w:val="24"/>
          <w:szCs w:val="24"/>
        </w:rPr>
        <w:t xml:space="preserve"> 5-րդ մոդուլների համապատասխան բաժիններում:</w:t>
      </w:r>
    </w:p>
    <w:p w14:paraId="2609A36E" w14:textId="77777777" w:rsidR="006F76EB" w:rsidRPr="00834D52" w:rsidRDefault="006F76EB" w:rsidP="002B6F90">
      <w:pPr>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Կենսամատչելիության հետազոտությունները չեն պահանջվում Հանձնաժողովի կողմից հաստատվող՝ Եվրասիական տնտեսական միության շրջանակներում դեղապատրաստուկների կենսամատչելիության հետազոտությունների անցկացման կանոններում նշված չափանիշներին վերարտադրված դեղապատրաստուկի համապատասխանելու մասին տվյալների առկայության դեպքում:</w:t>
      </w:r>
    </w:p>
    <w:p w14:paraId="5ACF7C8A" w14:textId="77777777" w:rsidR="006F76EB" w:rsidRPr="00834D52" w:rsidRDefault="006F76EB" w:rsidP="007D3426">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Այն դեպքում, երբ վերարտադրվող դեղապատրաստուկի ակտիվ նյութը ներկայացված է այլ աղով, եթերով կամ գրանցված պատրաստուկի ակտիվ նյութի ածանցյալով, ներկայացվում է լրացուցիչ տեղեկատվություն (մատենագիտական ուսումնասիրություններ) կամ համապատասխան նախակլինիկական </w:t>
      </w:r>
      <w:r w:rsidR="00C54D75">
        <w:rPr>
          <w:rFonts w:ascii="Sylfaen" w:hAnsi="Sylfaen"/>
          <w:sz w:val="24"/>
          <w:szCs w:val="24"/>
        </w:rPr>
        <w:t>և</w:t>
      </w:r>
      <w:r w:rsidRPr="00834D52">
        <w:rPr>
          <w:rFonts w:ascii="Sylfaen" w:hAnsi="Sylfaen"/>
          <w:sz w:val="24"/>
          <w:szCs w:val="24"/>
        </w:rPr>
        <w:t xml:space="preserve"> (կամ) կլինիկական հետազոտությունների (համեմատական կենսամատչելիության հետազոտությունների) հաշվետվություններ, որոնցով ապացուցվում է վերարտադրված դեղապատրաստուկի </w:t>
      </w:r>
      <w:r w:rsidR="00355C33">
        <w:rPr>
          <w:rFonts w:ascii="Sylfaen" w:hAnsi="Sylfaen"/>
          <w:sz w:val="24"/>
          <w:szCs w:val="24"/>
        </w:rPr>
        <w:t>դեղա</w:t>
      </w:r>
      <w:r w:rsidRPr="00834D52">
        <w:rPr>
          <w:rFonts w:ascii="Sylfaen" w:hAnsi="Sylfaen"/>
          <w:sz w:val="24"/>
          <w:szCs w:val="24"/>
        </w:rPr>
        <w:t xml:space="preserve">կինետիկայում, </w:t>
      </w:r>
      <w:r w:rsidR="00355C33">
        <w:rPr>
          <w:rFonts w:ascii="Sylfaen" w:hAnsi="Sylfaen"/>
          <w:sz w:val="24"/>
          <w:szCs w:val="24"/>
        </w:rPr>
        <w:t>դեղա</w:t>
      </w:r>
      <w:r w:rsidRPr="00834D52">
        <w:rPr>
          <w:rFonts w:ascii="Sylfaen" w:hAnsi="Sylfaen"/>
          <w:sz w:val="24"/>
          <w:szCs w:val="24"/>
        </w:rPr>
        <w:t xml:space="preserve">դինամիկայում </w:t>
      </w:r>
      <w:r w:rsidR="00C54D75">
        <w:rPr>
          <w:rFonts w:ascii="Sylfaen" w:hAnsi="Sylfaen"/>
          <w:sz w:val="24"/>
          <w:szCs w:val="24"/>
        </w:rPr>
        <w:t>և</w:t>
      </w:r>
      <w:r w:rsidRPr="00834D52">
        <w:rPr>
          <w:rFonts w:ascii="Sylfaen" w:hAnsi="Sylfaen"/>
          <w:sz w:val="24"/>
          <w:szCs w:val="24"/>
        </w:rPr>
        <w:t xml:space="preserve"> (կամ) թունավորության մեջ փոփոխությունների բացակայությունը: Այդպիսի ապացույցներ չներկայացնելու դեպքում տվյալ նյութը դիտարկվում է որպես նոր ակտիվ նյութ:</w:t>
      </w:r>
    </w:p>
    <w:p w14:paraId="64E9A235" w14:textId="77777777" w:rsidR="006F76EB" w:rsidRPr="00DB039F" w:rsidRDefault="006F76EB" w:rsidP="004E297C">
      <w:pPr>
        <w:widowControl/>
        <w:spacing w:line="360" w:lineRule="auto"/>
        <w:jc w:val="center"/>
        <w:rPr>
          <w:rFonts w:ascii="Sylfaen" w:hAnsi="Sylfaen"/>
          <w:sz w:val="24"/>
          <w:szCs w:val="24"/>
        </w:rPr>
      </w:pPr>
    </w:p>
    <w:p w14:paraId="7200B08E" w14:textId="77777777" w:rsidR="006F76EB" w:rsidRPr="00834D52" w:rsidRDefault="006F76EB" w:rsidP="007D3426">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7. Հիբրիդային դեղապատրաստուկների գրանցման դոսյեի փաստաթղթերին ներկայացվող պահանջները</w:t>
      </w:r>
    </w:p>
    <w:p w14:paraId="1F82279B" w14:textId="77777777" w:rsidR="006F76EB" w:rsidRPr="00834D52" w:rsidRDefault="006F76EB" w:rsidP="007D3426">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Հիբրիդային դեղապատրաստուկների գրանցման դոսյեն պետք է պարունակի 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լրացուցիչ տվյալներ՝ սույն բաժնի պահանջներին համապատասխան:</w:t>
      </w:r>
    </w:p>
    <w:p w14:paraId="5F362E10" w14:textId="77777777" w:rsidR="006F76EB" w:rsidRPr="00834D52" w:rsidRDefault="006F76EB" w:rsidP="008A55C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7.1.</w:t>
      </w:r>
      <w:r w:rsidRPr="00834D52">
        <w:rPr>
          <w:rFonts w:ascii="Sylfaen" w:hAnsi="Sylfaen"/>
          <w:sz w:val="24"/>
          <w:szCs w:val="24"/>
        </w:rPr>
        <w:tab/>
        <w:t>Մոդուլ 1.</w:t>
      </w:r>
    </w:p>
    <w:p w14:paraId="3C9203F7" w14:textId="77777777" w:rsidR="006F76EB" w:rsidRPr="00834D52" w:rsidRDefault="006F76EB" w:rsidP="007D3426">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Վերարտադրված դեղապատրաստուկի գրանցման դոսյեի 1.8.2 բաժնում հայտատուն պետք է ներկայացնի այնպիսի հիմնավորումների </w:t>
      </w:r>
      <w:r w:rsidR="00C54D75">
        <w:rPr>
          <w:rFonts w:ascii="Sylfaen" w:hAnsi="Sylfaen"/>
          <w:sz w:val="24"/>
          <w:szCs w:val="24"/>
        </w:rPr>
        <w:t>և</w:t>
      </w:r>
      <w:r w:rsidRPr="00834D52">
        <w:rPr>
          <w:rFonts w:ascii="Sylfaen" w:hAnsi="Sylfaen"/>
          <w:sz w:val="24"/>
          <w:szCs w:val="24"/>
        </w:rPr>
        <w:t xml:space="preserve"> փաստերի ռեզյումե (մինչ</w:t>
      </w:r>
      <w:r w:rsidR="00C54D75">
        <w:rPr>
          <w:rFonts w:ascii="Sylfaen" w:hAnsi="Sylfaen"/>
          <w:sz w:val="24"/>
          <w:szCs w:val="24"/>
        </w:rPr>
        <w:t>և</w:t>
      </w:r>
      <w:r w:rsidRPr="00834D52">
        <w:rPr>
          <w:rFonts w:ascii="Sylfaen" w:hAnsi="Sylfaen"/>
          <w:sz w:val="24"/>
          <w:szCs w:val="24"/>
        </w:rPr>
        <w:t xml:space="preserve"> 5 էջ), որոնք ցույց են տալիս, որ դեղապատրաստուկը համապատասխան օրիգինալ դեղապատրաստուկի հիբրիդային դեղապատրաստուկ է: Ռեզյումեն պետք է պարունակի օրիգինալ պատրաստուկի համեմատությամբ պատրաստուկի, ակտիվ դեղագործական բաղադրամասի, դեղաձ</w:t>
      </w:r>
      <w:r w:rsidR="00C54D75">
        <w:rPr>
          <w:rFonts w:ascii="Sylfaen" w:hAnsi="Sylfaen"/>
          <w:sz w:val="24"/>
          <w:szCs w:val="24"/>
        </w:rPr>
        <w:t>և</w:t>
      </w:r>
      <w:r w:rsidRPr="00834D52">
        <w:rPr>
          <w:rFonts w:ascii="Sylfaen" w:hAnsi="Sylfaen"/>
          <w:sz w:val="24"/>
          <w:szCs w:val="24"/>
        </w:rPr>
        <w:t>ի, դոզավորումների, կիրառման ցուցումների, կիրառման եղանակի մասին տեղեկատվություն, ինչպես նա</w:t>
      </w:r>
      <w:r w:rsidR="00C54D75">
        <w:rPr>
          <w:rFonts w:ascii="Sylfaen" w:hAnsi="Sylfaen"/>
          <w:sz w:val="24"/>
          <w:szCs w:val="24"/>
        </w:rPr>
        <w:t>և</w:t>
      </w:r>
      <w:r w:rsidRPr="00834D52">
        <w:rPr>
          <w:rFonts w:ascii="Sylfaen" w:hAnsi="Sylfaen"/>
          <w:sz w:val="24"/>
          <w:szCs w:val="24"/>
        </w:rPr>
        <w:t xml:space="preserve"> անհրաժեշտության դեպքում տեղեկություններ՝ տվյալ պատրաստուկի կենսամատչելիության </w:t>
      </w:r>
      <w:r w:rsidR="00C54D75">
        <w:rPr>
          <w:rFonts w:ascii="Sylfaen" w:hAnsi="Sylfaen"/>
          <w:sz w:val="24"/>
          <w:szCs w:val="24"/>
        </w:rPr>
        <w:t>և</w:t>
      </w:r>
      <w:r w:rsidRPr="00834D52">
        <w:rPr>
          <w:rFonts w:ascii="Sylfaen" w:hAnsi="Sylfaen"/>
          <w:sz w:val="24"/>
          <w:szCs w:val="24"/>
        </w:rPr>
        <w:t xml:space="preserve"> կենսահամարժեքության մասին:</w:t>
      </w:r>
    </w:p>
    <w:p w14:paraId="48AEE0A3" w14:textId="77777777" w:rsidR="006F76EB" w:rsidRPr="00834D52" w:rsidRDefault="006F76EB" w:rsidP="007D3426">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Որոշակի դեպքերում կարող է պահանջվել ռիսկերի կառավարման պլանը:</w:t>
      </w:r>
    </w:p>
    <w:p w14:paraId="77ECB91C" w14:textId="77777777" w:rsidR="006F76EB" w:rsidRPr="00834D52" w:rsidRDefault="006F76EB" w:rsidP="007D3426">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Որոշակի տարրերի բացակայության դեպքում պետք է հիմնավորել դրանց բացակայությունը դեղապատրաստուկի գրանցման դոսյեի՝ տվյալ տարրի դասավորվածությանը համապատասխանող բաժնում: </w:t>
      </w:r>
    </w:p>
    <w:p w14:paraId="4F865697" w14:textId="77777777" w:rsidR="006F76EB" w:rsidRPr="00834D52" w:rsidRDefault="006F76EB" w:rsidP="008A55C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7.2.</w:t>
      </w:r>
      <w:r w:rsidRPr="00834D52">
        <w:rPr>
          <w:rFonts w:ascii="Sylfaen" w:hAnsi="Sylfaen"/>
          <w:sz w:val="24"/>
          <w:szCs w:val="24"/>
        </w:rPr>
        <w:tab/>
        <w:t>Մոդուլ 2.</w:t>
      </w:r>
    </w:p>
    <w:p w14:paraId="6FB4BC97"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w:t>
      </w:r>
      <w:r w:rsidR="00C54D75">
        <w:rPr>
          <w:rFonts w:ascii="Sylfaen" w:hAnsi="Sylfaen"/>
          <w:sz w:val="24"/>
          <w:szCs w:val="24"/>
        </w:rPr>
        <w:t>և</w:t>
      </w:r>
      <w:r w:rsidRPr="00834D52">
        <w:rPr>
          <w:rFonts w:ascii="Sylfaen" w:hAnsi="Sylfaen"/>
          <w:sz w:val="24"/>
          <w:szCs w:val="24"/>
        </w:rPr>
        <w:t xml:space="preserve"> կլինիկական տվյալների ամփոփագրում անհրաժեշտ է հատուկ ուշադրություն դարձնել հետ</w:t>
      </w:r>
      <w:r w:rsidR="00C54D75">
        <w:rPr>
          <w:rFonts w:ascii="Sylfaen" w:hAnsi="Sylfaen"/>
          <w:sz w:val="24"/>
          <w:szCs w:val="24"/>
        </w:rPr>
        <w:t>և</w:t>
      </w:r>
      <w:r w:rsidRPr="00834D52">
        <w:rPr>
          <w:rFonts w:ascii="Sylfaen" w:hAnsi="Sylfaen"/>
          <w:sz w:val="24"/>
          <w:szCs w:val="24"/>
        </w:rPr>
        <w:t>յալ տարրերին.</w:t>
      </w:r>
    </w:p>
    <w:p w14:paraId="03B3CF9D"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դեղագործական շուկայում իրացման ենթակա դեղապատրաստուկի սերիաներում ակտիվ նյութի խառնուկների պրոֆիլի ռեզյումե (</w:t>
      </w:r>
      <w:r w:rsidR="00C54D75">
        <w:rPr>
          <w:rFonts w:ascii="Sylfaen" w:hAnsi="Sylfaen"/>
          <w:sz w:val="24"/>
          <w:szCs w:val="24"/>
        </w:rPr>
        <w:t>և</w:t>
      </w:r>
      <w:r w:rsidR="001C41B5" w:rsidRPr="001C41B5">
        <w:rPr>
          <w:rFonts w:ascii="Sylfaen" w:hAnsi="Sylfaen"/>
          <w:sz w:val="24"/>
          <w:szCs w:val="24"/>
        </w:rPr>
        <w:t> </w:t>
      </w:r>
      <w:r w:rsidRPr="00834D52">
        <w:rPr>
          <w:rFonts w:ascii="Sylfaen" w:hAnsi="Sylfaen"/>
          <w:sz w:val="24"/>
          <w:szCs w:val="24"/>
        </w:rPr>
        <w:t>համապատասխան դեպքերում՝ դեղապատրաստուկի պահպանման ժամանակ առաջացող հնարավոր քայքայման արգասիքները): դեղապատրաստուկի սերիաներով, որը ենթակա է իրացմանը դեղագործական շուկայում.</w:t>
      </w:r>
    </w:p>
    <w:p w14:paraId="24307D19"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տվյալ դեղապատրաստուկի ակտիվ նյութի վերաբերյալ գրական հրապարակումների թարմացում (տվյալ պահանջը կարող է կատարվել գրախոսվող պարբերականներում հոդվածներին արված հղումների միջոցով).</w:t>
      </w:r>
    </w:p>
    <w:p w14:paraId="733BF15C"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ընդհանուր բնութագրում նախկինում անծանոթ կամ պատրաստուկի բնութագրից </w:t>
      </w:r>
      <w:r w:rsidR="00C54D75">
        <w:rPr>
          <w:rFonts w:ascii="Sylfaen" w:hAnsi="Sylfaen"/>
          <w:sz w:val="24"/>
          <w:szCs w:val="24"/>
        </w:rPr>
        <w:t>և</w:t>
      </w:r>
      <w:r w:rsidRPr="00834D52">
        <w:rPr>
          <w:rFonts w:ascii="Sylfaen" w:hAnsi="Sylfaen"/>
          <w:sz w:val="24"/>
          <w:szCs w:val="24"/>
        </w:rPr>
        <w:t xml:space="preserve"> (կամ) դրա թերապ</w:t>
      </w:r>
      <w:r w:rsidR="00C54D75">
        <w:rPr>
          <w:rFonts w:ascii="Sylfaen" w:hAnsi="Sylfaen"/>
          <w:sz w:val="24"/>
          <w:szCs w:val="24"/>
        </w:rPr>
        <w:t>և</w:t>
      </w:r>
      <w:r w:rsidRPr="00834D52">
        <w:rPr>
          <w:rFonts w:ascii="Sylfaen" w:hAnsi="Sylfaen"/>
          <w:sz w:val="24"/>
          <w:szCs w:val="24"/>
        </w:rPr>
        <w:t xml:space="preserve">տիկ խմբից բխող կետեր, որոնք հարկ է վերլուծել նախակլինիկական </w:t>
      </w:r>
      <w:r w:rsidR="00C54D75">
        <w:rPr>
          <w:rFonts w:ascii="Sylfaen" w:hAnsi="Sylfaen"/>
          <w:sz w:val="24"/>
          <w:szCs w:val="24"/>
        </w:rPr>
        <w:t>և</w:t>
      </w:r>
      <w:r w:rsidRPr="00834D52">
        <w:rPr>
          <w:rFonts w:ascii="Sylfaen" w:hAnsi="Sylfaen"/>
          <w:sz w:val="24"/>
          <w:szCs w:val="24"/>
        </w:rPr>
        <w:t xml:space="preserve"> կլինիկական ամփոփագրերում (ռեզյումեներում) </w:t>
      </w:r>
      <w:r w:rsidR="00C54D75">
        <w:rPr>
          <w:rFonts w:ascii="Sylfaen" w:hAnsi="Sylfaen"/>
          <w:sz w:val="24"/>
          <w:szCs w:val="24"/>
        </w:rPr>
        <w:t>և</w:t>
      </w:r>
      <w:r w:rsidRPr="00834D52">
        <w:rPr>
          <w:rFonts w:ascii="Sylfaen" w:hAnsi="Sylfaen"/>
          <w:sz w:val="24"/>
          <w:szCs w:val="24"/>
        </w:rPr>
        <w:t xml:space="preserve"> հիմնավորել գիտական գրականությունից </w:t>
      </w:r>
      <w:r w:rsidR="00C54D75">
        <w:rPr>
          <w:rFonts w:ascii="Sylfaen" w:hAnsi="Sylfaen"/>
          <w:sz w:val="24"/>
          <w:szCs w:val="24"/>
        </w:rPr>
        <w:t>և</w:t>
      </w:r>
      <w:r w:rsidRPr="00834D52">
        <w:rPr>
          <w:rFonts w:ascii="Sylfaen" w:hAnsi="Sylfaen"/>
          <w:sz w:val="24"/>
          <w:szCs w:val="24"/>
        </w:rPr>
        <w:t xml:space="preserve"> (կամ) լրացուցիչ հետազոտությունների անցկացման արդյունքում ստացված ապացույցներով.</w:t>
      </w:r>
    </w:p>
    <w:p w14:paraId="5DA748FC"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լրացուցիչ տեղեկատվություն, որով ապացուցվում է, որ հայտագրված պատրաստուկի անվտանգության </w:t>
      </w:r>
      <w:r w:rsidR="00C54D75">
        <w:rPr>
          <w:rFonts w:ascii="Sylfaen" w:hAnsi="Sylfaen"/>
          <w:sz w:val="24"/>
          <w:szCs w:val="24"/>
        </w:rPr>
        <w:t>և</w:t>
      </w:r>
      <w:r w:rsidRPr="00834D52">
        <w:rPr>
          <w:rFonts w:ascii="Sylfaen" w:hAnsi="Sylfaen"/>
          <w:sz w:val="24"/>
          <w:szCs w:val="24"/>
        </w:rPr>
        <w:t xml:space="preserve"> (կամ) արդյունավետության պրոֆիլները չեն</w:t>
      </w:r>
      <w:r w:rsidR="00553BBB" w:rsidRPr="00553BBB">
        <w:rPr>
          <w:rFonts w:ascii="Sylfaen" w:hAnsi="Sylfaen"/>
          <w:sz w:val="24"/>
          <w:szCs w:val="24"/>
        </w:rPr>
        <w:t> </w:t>
      </w:r>
      <w:r w:rsidRPr="00834D52">
        <w:rPr>
          <w:rFonts w:ascii="Sylfaen" w:hAnsi="Sylfaen"/>
          <w:sz w:val="24"/>
          <w:szCs w:val="24"/>
        </w:rPr>
        <w:t xml:space="preserve">տարբերվում </w:t>
      </w:r>
      <w:r w:rsidR="0032680A">
        <w:rPr>
          <w:rFonts w:ascii="Sylfaen" w:hAnsi="Sylfaen"/>
          <w:sz w:val="24"/>
          <w:szCs w:val="24"/>
        </w:rPr>
        <w:t xml:space="preserve">ռեֆերենտ </w:t>
      </w:r>
      <w:r w:rsidRPr="00834D52">
        <w:rPr>
          <w:rFonts w:ascii="Sylfaen" w:hAnsi="Sylfaen"/>
          <w:sz w:val="24"/>
          <w:szCs w:val="24"/>
        </w:rPr>
        <w:t xml:space="preserve">պատրաստուկի նույն պրոֆիլներից՝ ակտիվ նյութի (աղերի, եթերների, իզոմերների, իզոմերների խառնուրդների, </w:t>
      </w:r>
      <w:r w:rsidR="00D23E48">
        <w:rPr>
          <w:rFonts w:ascii="Sylfaen" w:hAnsi="Sylfaen"/>
          <w:sz w:val="24"/>
          <w:szCs w:val="24"/>
        </w:rPr>
        <w:t xml:space="preserve">ռեֆերենտ </w:t>
      </w:r>
      <w:r w:rsidRPr="00834D52">
        <w:rPr>
          <w:rFonts w:ascii="Sylfaen" w:hAnsi="Sylfaen"/>
          <w:sz w:val="24"/>
          <w:szCs w:val="24"/>
        </w:rPr>
        <w:t>պատրաստուկի ակտիվ նյութի կոմպլեքսների կամ ածանցյալների) քիմիական ձ</w:t>
      </w:r>
      <w:r w:rsidR="00C54D75">
        <w:rPr>
          <w:rFonts w:ascii="Sylfaen" w:hAnsi="Sylfaen"/>
          <w:sz w:val="24"/>
          <w:szCs w:val="24"/>
        </w:rPr>
        <w:t>և</w:t>
      </w:r>
      <w:r w:rsidRPr="00834D52">
        <w:rPr>
          <w:rFonts w:ascii="Sylfaen" w:hAnsi="Sylfaen"/>
          <w:sz w:val="24"/>
          <w:szCs w:val="24"/>
        </w:rPr>
        <w:t>ի տարբերության դեպքում:</w:t>
      </w:r>
    </w:p>
    <w:p w14:paraId="75A7E168"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7.3.</w:t>
      </w:r>
      <w:r w:rsidRPr="00834D52">
        <w:rPr>
          <w:rFonts w:ascii="Sylfaen" w:hAnsi="Sylfaen"/>
          <w:sz w:val="24"/>
          <w:szCs w:val="24"/>
        </w:rPr>
        <w:tab/>
        <w:t>Մոդուլ 3.</w:t>
      </w:r>
    </w:p>
    <w:p w14:paraId="447F4845"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Հարկ է ներկայացնել դեղապատրաստուկի գրանցման դոսյեի 3-րդ մոդուլն ամբողջությամբ:</w:t>
      </w:r>
    </w:p>
    <w:p w14:paraId="620451B6"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7.4.</w:t>
      </w:r>
      <w:r w:rsidRPr="00834D52">
        <w:rPr>
          <w:rFonts w:ascii="Sylfaen" w:hAnsi="Sylfaen"/>
          <w:sz w:val="24"/>
          <w:szCs w:val="24"/>
        </w:rPr>
        <w:tab/>
        <w:t xml:space="preserve">Մոդուլ 4 </w:t>
      </w:r>
      <w:r w:rsidR="00C54D75">
        <w:rPr>
          <w:rFonts w:ascii="Sylfaen" w:hAnsi="Sylfaen"/>
          <w:sz w:val="24"/>
          <w:szCs w:val="24"/>
        </w:rPr>
        <w:t>և</w:t>
      </w:r>
      <w:r w:rsidRPr="00834D52">
        <w:rPr>
          <w:rFonts w:ascii="Sylfaen" w:hAnsi="Sylfaen"/>
          <w:sz w:val="24"/>
          <w:szCs w:val="24"/>
        </w:rPr>
        <w:t xml:space="preserve"> մոդուլ 5:</w:t>
      </w:r>
    </w:p>
    <w:p w14:paraId="5ABF9A5E" w14:textId="77777777" w:rsidR="006F76EB" w:rsidRPr="003C049F" w:rsidRDefault="006F76EB" w:rsidP="006F76EB">
      <w:pPr>
        <w:spacing w:after="160" w:line="360" w:lineRule="auto"/>
        <w:ind w:right="-6" w:firstLine="567"/>
        <w:jc w:val="both"/>
        <w:rPr>
          <w:rFonts w:ascii="Sylfaen" w:hAnsi="Sylfaen"/>
          <w:sz w:val="24"/>
          <w:szCs w:val="24"/>
        </w:rPr>
      </w:pPr>
      <w:r w:rsidRPr="00834D52">
        <w:rPr>
          <w:rFonts w:ascii="Sylfaen" w:hAnsi="Sylfaen"/>
          <w:sz w:val="24"/>
          <w:szCs w:val="24"/>
        </w:rPr>
        <w:t xml:space="preserve">Հիբրիդային դեղապատրաստուկի նախակլինիկական </w:t>
      </w:r>
      <w:r w:rsidR="00C54D75">
        <w:rPr>
          <w:rFonts w:ascii="Sylfaen" w:hAnsi="Sylfaen"/>
          <w:sz w:val="24"/>
          <w:szCs w:val="24"/>
        </w:rPr>
        <w:t>և</w:t>
      </w:r>
      <w:r w:rsidRPr="00834D52">
        <w:rPr>
          <w:rFonts w:ascii="Sylfaen" w:hAnsi="Sylfaen"/>
          <w:sz w:val="24"/>
          <w:szCs w:val="24"/>
        </w:rPr>
        <w:t xml:space="preserve"> (կամ) կլինիկական հետազոտությունների արդյունքները հարկ է ընդգրկել 4-րդ </w:t>
      </w:r>
      <w:r w:rsidR="00C54D75">
        <w:rPr>
          <w:rFonts w:ascii="Sylfaen" w:hAnsi="Sylfaen"/>
          <w:sz w:val="24"/>
          <w:szCs w:val="24"/>
        </w:rPr>
        <w:t>և</w:t>
      </w:r>
      <w:r w:rsidRPr="00834D52">
        <w:rPr>
          <w:rFonts w:ascii="Sylfaen" w:hAnsi="Sylfaen"/>
          <w:sz w:val="24"/>
          <w:szCs w:val="24"/>
        </w:rPr>
        <w:t xml:space="preserve"> 5-րդ մոդուլների համապատասխան բաժիններում:</w:t>
      </w:r>
    </w:p>
    <w:p w14:paraId="0391ED88" w14:textId="77777777" w:rsidR="00AC17B1" w:rsidRPr="003C049F" w:rsidRDefault="00AC17B1" w:rsidP="00105024">
      <w:pPr>
        <w:spacing w:after="160" w:line="360" w:lineRule="auto"/>
        <w:ind w:right="-6" w:firstLine="567"/>
        <w:jc w:val="center"/>
        <w:rPr>
          <w:rFonts w:ascii="Sylfaen" w:eastAsia="Times New Roman" w:hAnsi="Sylfaen" w:cs="Times New Roman"/>
          <w:sz w:val="24"/>
          <w:szCs w:val="24"/>
        </w:rPr>
      </w:pPr>
    </w:p>
    <w:p w14:paraId="105224AB" w14:textId="77777777" w:rsidR="006F76EB" w:rsidRPr="00834D52" w:rsidRDefault="006F76EB" w:rsidP="00AC17B1">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t xml:space="preserve">Վերարտադրված </w:t>
      </w:r>
      <w:r w:rsidR="00C54D75">
        <w:rPr>
          <w:rFonts w:ascii="Sylfaen" w:hAnsi="Sylfaen"/>
          <w:sz w:val="24"/>
          <w:szCs w:val="24"/>
        </w:rPr>
        <w:t>և</w:t>
      </w:r>
      <w:r w:rsidRPr="00834D52">
        <w:rPr>
          <w:rFonts w:ascii="Sylfaen" w:hAnsi="Sylfaen"/>
          <w:sz w:val="24"/>
          <w:szCs w:val="24"/>
        </w:rPr>
        <w:t xml:space="preserve"> հիբրիդային դեղապատրաստուկների համար կամ ընդլայնված պահանջներով գրանցման հայտերի համար անհրաժեշտ լրացուցիչ հետազոտությունների անցկացման կարգը</w:t>
      </w:r>
    </w:p>
    <w:tbl>
      <w:tblPr>
        <w:tblStyle w:val="TableGrid"/>
        <w:tblW w:w="0" w:type="auto"/>
        <w:tblLook w:val="04A0" w:firstRow="1" w:lastRow="0" w:firstColumn="1" w:lastColumn="0" w:noHBand="0" w:noVBand="1"/>
      </w:tblPr>
      <w:tblGrid>
        <w:gridCol w:w="4650"/>
        <w:gridCol w:w="4650"/>
      </w:tblGrid>
      <w:tr w:rsidR="006F76EB" w:rsidRPr="00834D52" w14:paraId="2F3C2813" w14:textId="77777777" w:rsidTr="00F71229">
        <w:tc>
          <w:tcPr>
            <w:tcW w:w="4650" w:type="dxa"/>
            <w:tcBorders>
              <w:bottom w:val="single" w:sz="4" w:space="0" w:color="auto"/>
            </w:tcBorders>
            <w:vAlign w:val="center"/>
          </w:tcPr>
          <w:p w14:paraId="3A5578AE" w14:textId="77777777" w:rsidR="006F76EB" w:rsidRPr="00834D52" w:rsidRDefault="006F76EB" w:rsidP="00105024">
            <w:pPr>
              <w:spacing w:after="120"/>
              <w:ind w:right="-6"/>
              <w:jc w:val="center"/>
              <w:rPr>
                <w:rFonts w:ascii="Sylfaen" w:eastAsia="Times New Roman" w:hAnsi="Sylfaen" w:cs="Times New Roman"/>
                <w:sz w:val="24"/>
                <w:szCs w:val="24"/>
              </w:rPr>
            </w:pPr>
            <w:r w:rsidRPr="00834D52">
              <w:rPr>
                <w:rFonts w:ascii="Sylfaen" w:hAnsi="Sylfaen"/>
                <w:color w:val="1C1C1C"/>
                <w:sz w:val="24"/>
                <w:szCs w:val="24"/>
              </w:rPr>
              <w:t>Դեղապատրաստուկների կամ գրանցման հայտերի բնութագիրը</w:t>
            </w:r>
          </w:p>
        </w:tc>
        <w:tc>
          <w:tcPr>
            <w:tcW w:w="4650" w:type="dxa"/>
            <w:tcBorders>
              <w:bottom w:val="single" w:sz="4" w:space="0" w:color="auto"/>
            </w:tcBorders>
            <w:vAlign w:val="center"/>
          </w:tcPr>
          <w:p w14:paraId="7C038CC4" w14:textId="77777777" w:rsidR="006F76EB" w:rsidRPr="00834D52" w:rsidRDefault="006F76EB" w:rsidP="00105024">
            <w:pPr>
              <w:spacing w:after="120"/>
              <w:ind w:right="-6"/>
              <w:jc w:val="center"/>
              <w:rPr>
                <w:rFonts w:ascii="Sylfaen" w:hAnsi="Sylfaen"/>
                <w:sz w:val="24"/>
                <w:szCs w:val="24"/>
              </w:rPr>
            </w:pPr>
            <w:r w:rsidRPr="00834D52">
              <w:rPr>
                <w:rFonts w:ascii="Sylfaen" w:hAnsi="Sylfaen"/>
                <w:color w:val="1C1C1C"/>
                <w:sz w:val="24"/>
                <w:szCs w:val="24"/>
              </w:rPr>
              <w:t>Պահանջվող լրացուցիչ տվյալները</w:t>
            </w:r>
          </w:p>
        </w:tc>
      </w:tr>
      <w:tr w:rsidR="006F76EB" w:rsidRPr="00834D52" w14:paraId="42D93A35" w14:textId="77777777" w:rsidTr="00F71229">
        <w:tc>
          <w:tcPr>
            <w:tcW w:w="4650" w:type="dxa"/>
            <w:tcBorders>
              <w:top w:val="single" w:sz="4" w:space="0" w:color="auto"/>
              <w:left w:val="nil"/>
              <w:bottom w:val="nil"/>
              <w:right w:val="nil"/>
            </w:tcBorders>
          </w:tcPr>
          <w:p w14:paraId="31DA37E5" w14:textId="77777777" w:rsidR="006F76EB" w:rsidRPr="00267658" w:rsidRDefault="006F76EB" w:rsidP="00105024">
            <w:pPr>
              <w:spacing w:after="120"/>
              <w:ind w:left="70" w:right="52"/>
              <w:jc w:val="both"/>
              <w:rPr>
                <w:rFonts w:ascii="Sylfaen" w:eastAsia="Times New Roman" w:hAnsi="Sylfaen" w:cs="Times New Roman"/>
                <w:spacing w:val="-6"/>
                <w:sz w:val="24"/>
                <w:szCs w:val="24"/>
              </w:rPr>
            </w:pPr>
            <w:r w:rsidRPr="00267658">
              <w:rPr>
                <w:rFonts w:ascii="Sylfaen" w:hAnsi="Sylfaen"/>
                <w:color w:val="1C1C1C"/>
                <w:spacing w:val="-6"/>
                <w:sz w:val="24"/>
                <w:szCs w:val="24"/>
              </w:rPr>
              <w:t>Տարբեր աղեր, բարդ եթերներ, կոմպլեքսներ, դրանց ածանցյալները (մոլեկուլի մի</w:t>
            </w:r>
            <w:r w:rsidR="00C54D75">
              <w:rPr>
                <w:rFonts w:ascii="Sylfaen" w:hAnsi="Sylfaen"/>
                <w:color w:val="1C1C1C"/>
                <w:spacing w:val="-6"/>
                <w:sz w:val="24"/>
                <w:szCs w:val="24"/>
              </w:rPr>
              <w:t>և</w:t>
            </w:r>
            <w:r w:rsidRPr="00267658">
              <w:rPr>
                <w:rFonts w:ascii="Sylfaen" w:hAnsi="Sylfaen"/>
                <w:color w:val="1C1C1C"/>
                <w:spacing w:val="-6"/>
                <w:sz w:val="24"/>
                <w:szCs w:val="24"/>
              </w:rPr>
              <w:t>նույն ակտիվ մասով)</w:t>
            </w:r>
          </w:p>
        </w:tc>
        <w:tc>
          <w:tcPr>
            <w:tcW w:w="4650" w:type="dxa"/>
            <w:tcBorders>
              <w:top w:val="single" w:sz="4" w:space="0" w:color="auto"/>
              <w:left w:val="nil"/>
              <w:bottom w:val="nil"/>
              <w:right w:val="nil"/>
            </w:tcBorders>
          </w:tcPr>
          <w:p w14:paraId="1B9F219D" w14:textId="77777777" w:rsidR="006F76EB" w:rsidRPr="00267658" w:rsidRDefault="006F76EB" w:rsidP="00105024">
            <w:pPr>
              <w:spacing w:after="120"/>
              <w:ind w:left="26" w:right="83"/>
              <w:jc w:val="both"/>
              <w:rPr>
                <w:rFonts w:ascii="Sylfaen" w:eastAsia="Times New Roman" w:hAnsi="Sylfaen" w:cs="Times New Roman"/>
                <w:color w:val="1C1C1C"/>
                <w:spacing w:val="-6"/>
                <w:sz w:val="24"/>
                <w:szCs w:val="24"/>
              </w:rPr>
            </w:pPr>
            <w:r w:rsidRPr="00267658">
              <w:rPr>
                <w:rFonts w:ascii="Sylfaen" w:hAnsi="Sylfaen"/>
                <w:spacing w:val="-6"/>
                <w:sz w:val="24"/>
                <w:szCs w:val="24"/>
              </w:rPr>
              <w:t xml:space="preserve">ապացույցներ այն մասին, որ մոլեկուլի ակտիվ մասի </w:t>
            </w:r>
            <w:r w:rsidR="00355C33" w:rsidRPr="00267658">
              <w:rPr>
                <w:rFonts w:ascii="Sylfaen" w:hAnsi="Sylfaen"/>
                <w:spacing w:val="-6"/>
                <w:sz w:val="24"/>
                <w:szCs w:val="24"/>
              </w:rPr>
              <w:t>դեղա</w:t>
            </w:r>
            <w:r w:rsidRPr="00267658">
              <w:rPr>
                <w:rFonts w:ascii="Sylfaen" w:hAnsi="Sylfaen"/>
                <w:spacing w:val="-6"/>
                <w:sz w:val="24"/>
                <w:szCs w:val="24"/>
              </w:rPr>
              <w:t xml:space="preserve">կինետիկայում, </w:t>
            </w:r>
            <w:r w:rsidR="00355C33" w:rsidRPr="00267658">
              <w:rPr>
                <w:rFonts w:ascii="Sylfaen" w:hAnsi="Sylfaen"/>
                <w:spacing w:val="-6"/>
                <w:sz w:val="24"/>
                <w:szCs w:val="24"/>
              </w:rPr>
              <w:t>դեղա</w:t>
            </w:r>
            <w:r w:rsidRPr="00267658">
              <w:rPr>
                <w:rFonts w:ascii="Sylfaen" w:hAnsi="Sylfaen"/>
                <w:spacing w:val="-6"/>
                <w:sz w:val="24"/>
                <w:szCs w:val="24"/>
              </w:rPr>
              <w:t xml:space="preserve">դինամիկայում </w:t>
            </w:r>
            <w:r w:rsidR="00C54D75">
              <w:rPr>
                <w:rFonts w:ascii="Sylfaen" w:hAnsi="Sylfaen"/>
                <w:spacing w:val="-6"/>
                <w:sz w:val="24"/>
                <w:szCs w:val="24"/>
              </w:rPr>
              <w:t>և</w:t>
            </w:r>
            <w:r w:rsidRPr="00267658">
              <w:rPr>
                <w:rFonts w:ascii="Sylfaen" w:hAnsi="Sylfaen"/>
                <w:spacing w:val="-6"/>
                <w:sz w:val="24"/>
                <w:szCs w:val="24"/>
              </w:rPr>
              <w:t xml:space="preserve"> (կամ) թունավորության մեջ չկան այնպիսի փոփոխություններ, որոնք կարող են զգալի ազդեցություն ունենալ անվտանգության </w:t>
            </w:r>
            <w:r w:rsidR="00C54D75">
              <w:rPr>
                <w:rFonts w:ascii="Sylfaen" w:hAnsi="Sylfaen"/>
                <w:spacing w:val="-6"/>
                <w:sz w:val="24"/>
                <w:szCs w:val="24"/>
              </w:rPr>
              <w:t>և</w:t>
            </w:r>
            <w:r w:rsidRPr="00267658">
              <w:rPr>
                <w:rFonts w:ascii="Sylfaen" w:hAnsi="Sylfaen"/>
                <w:spacing w:val="-6"/>
                <w:sz w:val="24"/>
                <w:szCs w:val="24"/>
              </w:rPr>
              <w:t xml:space="preserve"> (կամ) արդյունավետության պրոֆիլի վրա (այլապես ակտիվ նյութը հարկ է դիտարկել որպես նոր ակտիվ նյութ)</w:t>
            </w:r>
          </w:p>
        </w:tc>
      </w:tr>
      <w:tr w:rsidR="006F76EB" w:rsidRPr="00834D52" w14:paraId="337DF076" w14:textId="77777777" w:rsidTr="008D0D54">
        <w:trPr>
          <w:trHeight w:val="3006"/>
        </w:trPr>
        <w:tc>
          <w:tcPr>
            <w:tcW w:w="4650" w:type="dxa"/>
            <w:tcBorders>
              <w:top w:val="nil"/>
              <w:left w:val="nil"/>
              <w:bottom w:val="nil"/>
              <w:right w:val="nil"/>
            </w:tcBorders>
          </w:tcPr>
          <w:p w14:paraId="229AE99C" w14:textId="77777777" w:rsidR="006F76EB" w:rsidRPr="00267658" w:rsidRDefault="006F76EB" w:rsidP="00105024">
            <w:pPr>
              <w:spacing w:after="120"/>
              <w:ind w:left="70" w:right="52"/>
              <w:jc w:val="both"/>
              <w:rPr>
                <w:rFonts w:ascii="Sylfaen" w:eastAsia="Times New Roman" w:hAnsi="Sylfaen" w:cs="Times New Roman"/>
                <w:spacing w:val="-6"/>
                <w:sz w:val="24"/>
                <w:szCs w:val="24"/>
              </w:rPr>
            </w:pPr>
            <w:r w:rsidRPr="00267658">
              <w:rPr>
                <w:rFonts w:ascii="Sylfaen" w:hAnsi="Sylfaen"/>
                <w:spacing w:val="-6"/>
                <w:sz w:val="24"/>
                <w:szCs w:val="24"/>
              </w:rPr>
              <w:t>Կիրառման այլ եղանակ կամ այլ դեղաձ</w:t>
            </w:r>
            <w:r w:rsidR="00C54D75">
              <w:rPr>
                <w:rFonts w:ascii="Sylfaen" w:hAnsi="Sylfaen"/>
                <w:spacing w:val="-6"/>
                <w:sz w:val="24"/>
                <w:szCs w:val="24"/>
              </w:rPr>
              <w:t>և</w:t>
            </w:r>
            <w:r w:rsidRPr="00267658">
              <w:rPr>
                <w:rFonts w:ascii="Sylfaen" w:hAnsi="Sylfaen"/>
                <w:spacing w:val="-6"/>
                <w:sz w:val="24"/>
                <w:szCs w:val="24"/>
              </w:rPr>
              <w:t>՝</w:t>
            </w:r>
          </w:p>
        </w:tc>
        <w:tc>
          <w:tcPr>
            <w:tcW w:w="4650" w:type="dxa"/>
            <w:tcBorders>
              <w:top w:val="nil"/>
              <w:left w:val="nil"/>
              <w:bottom w:val="nil"/>
              <w:right w:val="nil"/>
            </w:tcBorders>
          </w:tcPr>
          <w:p w14:paraId="2C00BDCB" w14:textId="77777777" w:rsidR="006F76EB" w:rsidRPr="00267658" w:rsidRDefault="006F76EB" w:rsidP="00105024">
            <w:pPr>
              <w:spacing w:after="120"/>
              <w:ind w:left="26" w:right="83"/>
              <w:jc w:val="both"/>
              <w:rPr>
                <w:rFonts w:ascii="Sylfaen" w:eastAsia="Times New Roman" w:hAnsi="Sylfaen" w:cs="Times New Roman"/>
                <w:spacing w:val="-6"/>
                <w:sz w:val="24"/>
                <w:szCs w:val="24"/>
              </w:rPr>
            </w:pPr>
            <w:r w:rsidRPr="00267658">
              <w:rPr>
                <w:rFonts w:ascii="Sylfaen" w:hAnsi="Sylfaen"/>
                <w:spacing w:val="-6"/>
                <w:sz w:val="24"/>
                <w:szCs w:val="24"/>
              </w:rPr>
              <w:t xml:space="preserve">կլինիկական տվյալները (անվտանգություն </w:t>
            </w:r>
            <w:r w:rsidR="00C54D75">
              <w:rPr>
                <w:rFonts w:ascii="Sylfaen" w:hAnsi="Sylfaen"/>
                <w:spacing w:val="-6"/>
                <w:sz w:val="24"/>
                <w:szCs w:val="24"/>
              </w:rPr>
              <w:t>և</w:t>
            </w:r>
            <w:r w:rsidRPr="00267658">
              <w:rPr>
                <w:rFonts w:ascii="Sylfaen" w:hAnsi="Sylfaen"/>
                <w:spacing w:val="-6"/>
                <w:sz w:val="24"/>
                <w:szCs w:val="24"/>
              </w:rPr>
              <w:t xml:space="preserve"> արդյունավետություն), </w:t>
            </w:r>
            <w:r w:rsidR="00355C33" w:rsidRPr="00267658">
              <w:rPr>
                <w:rFonts w:ascii="Sylfaen" w:hAnsi="Sylfaen"/>
                <w:spacing w:val="-6"/>
                <w:sz w:val="24"/>
                <w:szCs w:val="24"/>
              </w:rPr>
              <w:t>դեղա</w:t>
            </w:r>
            <w:r w:rsidRPr="00267658">
              <w:rPr>
                <w:rFonts w:ascii="Sylfaen" w:hAnsi="Sylfaen"/>
                <w:spacing w:val="-6"/>
                <w:sz w:val="24"/>
                <w:szCs w:val="24"/>
              </w:rPr>
              <w:t>կինետիկան, ինչպես նա</w:t>
            </w:r>
            <w:r w:rsidR="00C54D75">
              <w:rPr>
                <w:rFonts w:ascii="Sylfaen" w:hAnsi="Sylfaen"/>
                <w:spacing w:val="-6"/>
                <w:sz w:val="24"/>
                <w:szCs w:val="24"/>
              </w:rPr>
              <w:t>և</w:t>
            </w:r>
            <w:r w:rsidRPr="00267658">
              <w:rPr>
                <w:rFonts w:ascii="Sylfaen" w:hAnsi="Sylfaen"/>
                <w:spacing w:val="-6"/>
                <w:sz w:val="24"/>
                <w:szCs w:val="24"/>
              </w:rPr>
              <w:t xml:space="preserve"> համապատասխան նախակլինիկական տվյալները (օրինակ՝ տեղային տանելիությունը) (առկայության դեպքում)</w:t>
            </w:r>
          </w:p>
        </w:tc>
      </w:tr>
      <w:tr w:rsidR="006F76EB" w:rsidRPr="00834D52" w14:paraId="3A1DE99A" w14:textId="77777777" w:rsidTr="00F71229">
        <w:tc>
          <w:tcPr>
            <w:tcW w:w="4650" w:type="dxa"/>
            <w:tcBorders>
              <w:top w:val="nil"/>
              <w:left w:val="nil"/>
              <w:bottom w:val="nil"/>
              <w:right w:val="nil"/>
            </w:tcBorders>
          </w:tcPr>
          <w:p w14:paraId="017E9EEF" w14:textId="77777777" w:rsidR="006F76EB" w:rsidRPr="00267658" w:rsidRDefault="006F76EB" w:rsidP="00105024">
            <w:pPr>
              <w:spacing w:after="120"/>
              <w:ind w:left="70" w:right="52"/>
              <w:jc w:val="both"/>
              <w:rPr>
                <w:rFonts w:ascii="Sylfaen" w:eastAsia="Times New Roman" w:hAnsi="Sylfaen" w:cs="Times New Roman"/>
                <w:spacing w:val="-6"/>
                <w:sz w:val="24"/>
                <w:szCs w:val="24"/>
              </w:rPr>
            </w:pPr>
            <w:r w:rsidRPr="00267658">
              <w:rPr>
                <w:rFonts w:ascii="Sylfaen" w:hAnsi="Sylfaen"/>
                <w:spacing w:val="-6"/>
                <w:sz w:val="24"/>
                <w:szCs w:val="24"/>
              </w:rPr>
              <w:t xml:space="preserve">ներմուծման նոր ուղին (պարէնտերալ ներմուծման համար անհրաժեշտ է տարբերակել ներզարկերակային, ներերակային, ներմկանային, միջմաշկային </w:t>
            </w:r>
            <w:r w:rsidR="00C54D75">
              <w:rPr>
                <w:rFonts w:ascii="Sylfaen" w:hAnsi="Sylfaen"/>
                <w:spacing w:val="-6"/>
                <w:sz w:val="24"/>
                <w:szCs w:val="24"/>
              </w:rPr>
              <w:t>և</w:t>
            </w:r>
            <w:r w:rsidRPr="00267658">
              <w:rPr>
                <w:rFonts w:ascii="Sylfaen" w:hAnsi="Sylfaen"/>
                <w:spacing w:val="-6"/>
                <w:sz w:val="24"/>
                <w:szCs w:val="24"/>
              </w:rPr>
              <w:t xml:space="preserve"> ներմուծման այլ մեթոդներ) այլ դեղաձ</w:t>
            </w:r>
            <w:r w:rsidR="00C54D75">
              <w:rPr>
                <w:rFonts w:ascii="Sylfaen" w:hAnsi="Sylfaen"/>
                <w:spacing w:val="-6"/>
                <w:sz w:val="24"/>
                <w:szCs w:val="24"/>
              </w:rPr>
              <w:t>և</w:t>
            </w:r>
            <w:r w:rsidRPr="00267658">
              <w:rPr>
                <w:rFonts w:ascii="Sylfaen" w:hAnsi="Sylfaen"/>
                <w:spacing w:val="-6"/>
                <w:sz w:val="24"/>
                <w:szCs w:val="24"/>
              </w:rPr>
              <w:t xml:space="preserve"> (ներմուծման մի</w:t>
            </w:r>
            <w:r w:rsidR="00C54D75">
              <w:rPr>
                <w:rFonts w:ascii="Sylfaen" w:hAnsi="Sylfaen"/>
                <w:spacing w:val="-6"/>
                <w:sz w:val="24"/>
                <w:szCs w:val="24"/>
              </w:rPr>
              <w:t>և</w:t>
            </w:r>
            <w:r w:rsidRPr="00267658">
              <w:rPr>
                <w:rFonts w:ascii="Sylfaen" w:hAnsi="Sylfaen"/>
                <w:spacing w:val="-6"/>
                <w:sz w:val="24"/>
                <w:szCs w:val="24"/>
              </w:rPr>
              <w:t>նույն եղանակի դեպքում)</w:t>
            </w:r>
          </w:p>
        </w:tc>
        <w:tc>
          <w:tcPr>
            <w:tcW w:w="4650" w:type="dxa"/>
            <w:tcBorders>
              <w:top w:val="nil"/>
              <w:left w:val="nil"/>
              <w:bottom w:val="nil"/>
              <w:right w:val="nil"/>
            </w:tcBorders>
          </w:tcPr>
          <w:p w14:paraId="71A3F5E9" w14:textId="77777777" w:rsidR="006F76EB" w:rsidRPr="00267658" w:rsidRDefault="006F76EB" w:rsidP="00105024">
            <w:pPr>
              <w:spacing w:after="120"/>
              <w:ind w:left="26" w:right="83"/>
              <w:jc w:val="both"/>
              <w:rPr>
                <w:rFonts w:ascii="Sylfaen" w:eastAsia="Times New Roman" w:hAnsi="Sylfaen" w:cs="Times New Roman"/>
                <w:spacing w:val="-6"/>
                <w:sz w:val="24"/>
                <w:szCs w:val="24"/>
              </w:rPr>
            </w:pPr>
          </w:p>
        </w:tc>
      </w:tr>
      <w:tr w:rsidR="006F76EB" w:rsidRPr="00834D52" w14:paraId="4A9015CF" w14:textId="77777777" w:rsidTr="00F71229">
        <w:tc>
          <w:tcPr>
            <w:tcW w:w="4650" w:type="dxa"/>
            <w:tcBorders>
              <w:top w:val="nil"/>
              <w:left w:val="nil"/>
              <w:bottom w:val="nil"/>
              <w:right w:val="nil"/>
            </w:tcBorders>
          </w:tcPr>
          <w:p w14:paraId="28978500" w14:textId="77777777" w:rsidR="006F76EB" w:rsidRPr="00267658" w:rsidRDefault="006F76EB" w:rsidP="00105024">
            <w:pPr>
              <w:spacing w:after="120"/>
              <w:ind w:left="70" w:right="52"/>
              <w:jc w:val="both"/>
              <w:rPr>
                <w:rFonts w:ascii="Sylfaen" w:eastAsia="Times New Roman" w:hAnsi="Sylfaen" w:cs="Times New Roman"/>
                <w:spacing w:val="-6"/>
                <w:sz w:val="24"/>
                <w:szCs w:val="24"/>
              </w:rPr>
            </w:pPr>
            <w:r w:rsidRPr="00267658">
              <w:rPr>
                <w:rFonts w:ascii="Sylfaen" w:hAnsi="Sylfaen"/>
                <w:color w:val="1C1C1C"/>
                <w:spacing w:val="-6"/>
                <w:sz w:val="24"/>
                <w:szCs w:val="24"/>
              </w:rPr>
              <w:lastRenderedPageBreak/>
              <w:t>Այլ դոզավորում՝ ներմուծման մի</w:t>
            </w:r>
            <w:r w:rsidR="00C54D75">
              <w:rPr>
                <w:rFonts w:ascii="Sylfaen" w:hAnsi="Sylfaen"/>
                <w:color w:val="1C1C1C"/>
                <w:spacing w:val="-6"/>
                <w:sz w:val="24"/>
                <w:szCs w:val="24"/>
              </w:rPr>
              <w:t>և</w:t>
            </w:r>
            <w:r w:rsidRPr="00267658">
              <w:rPr>
                <w:rFonts w:ascii="Sylfaen" w:hAnsi="Sylfaen"/>
                <w:color w:val="1C1C1C"/>
                <w:spacing w:val="-6"/>
                <w:sz w:val="24"/>
                <w:szCs w:val="24"/>
              </w:rPr>
              <w:t>նույն եղանակի (դեղաձ</w:t>
            </w:r>
            <w:r w:rsidR="00C54D75">
              <w:rPr>
                <w:rFonts w:ascii="Sylfaen" w:hAnsi="Sylfaen"/>
                <w:color w:val="1C1C1C"/>
                <w:spacing w:val="-6"/>
                <w:sz w:val="24"/>
                <w:szCs w:val="24"/>
              </w:rPr>
              <w:t>և</w:t>
            </w:r>
            <w:r w:rsidRPr="00267658">
              <w:rPr>
                <w:rFonts w:ascii="Sylfaen" w:hAnsi="Sylfaen"/>
                <w:color w:val="1C1C1C"/>
                <w:spacing w:val="-6"/>
                <w:sz w:val="24"/>
                <w:szCs w:val="24"/>
              </w:rPr>
              <w:t xml:space="preserve">ի) </w:t>
            </w:r>
            <w:r w:rsidR="00C54D75">
              <w:rPr>
                <w:rFonts w:ascii="Sylfaen" w:hAnsi="Sylfaen"/>
                <w:color w:val="1C1C1C"/>
                <w:spacing w:val="-6"/>
                <w:sz w:val="24"/>
                <w:szCs w:val="24"/>
              </w:rPr>
              <w:t>և</w:t>
            </w:r>
            <w:r w:rsidRPr="00267658">
              <w:rPr>
                <w:rFonts w:ascii="Sylfaen" w:hAnsi="Sylfaen"/>
                <w:color w:val="1C1C1C"/>
                <w:spacing w:val="-6"/>
                <w:sz w:val="24"/>
                <w:szCs w:val="24"/>
              </w:rPr>
              <w:t xml:space="preserve"> կիրառման մի</w:t>
            </w:r>
            <w:r w:rsidR="00C54D75">
              <w:rPr>
                <w:rFonts w:ascii="Sylfaen" w:hAnsi="Sylfaen"/>
                <w:color w:val="1C1C1C"/>
                <w:spacing w:val="-6"/>
                <w:sz w:val="24"/>
                <w:szCs w:val="24"/>
              </w:rPr>
              <w:t>և</w:t>
            </w:r>
            <w:r w:rsidRPr="00267658">
              <w:rPr>
                <w:rFonts w:ascii="Sylfaen" w:hAnsi="Sylfaen"/>
                <w:color w:val="1C1C1C"/>
                <w:spacing w:val="-6"/>
                <w:sz w:val="24"/>
                <w:szCs w:val="24"/>
              </w:rPr>
              <w:t>նույն ցուցումների դեպքում</w:t>
            </w:r>
          </w:p>
        </w:tc>
        <w:tc>
          <w:tcPr>
            <w:tcW w:w="4650" w:type="dxa"/>
            <w:tcBorders>
              <w:top w:val="nil"/>
              <w:left w:val="nil"/>
              <w:bottom w:val="nil"/>
              <w:right w:val="nil"/>
            </w:tcBorders>
          </w:tcPr>
          <w:p w14:paraId="57D6127C" w14:textId="77777777" w:rsidR="006F76EB" w:rsidRPr="00267658" w:rsidRDefault="006F76EB" w:rsidP="00105024">
            <w:pPr>
              <w:spacing w:after="120"/>
              <w:ind w:left="26" w:right="83"/>
              <w:jc w:val="both"/>
              <w:rPr>
                <w:rFonts w:ascii="Sylfaen" w:eastAsia="Times New Roman" w:hAnsi="Sylfaen" w:cs="Times New Roman"/>
                <w:spacing w:val="-6"/>
                <w:sz w:val="24"/>
                <w:szCs w:val="24"/>
              </w:rPr>
            </w:pPr>
            <w:r w:rsidRPr="00267658">
              <w:rPr>
                <w:rFonts w:ascii="Sylfaen" w:hAnsi="Sylfaen"/>
                <w:color w:val="1C1C1C"/>
                <w:spacing w:val="-6"/>
                <w:sz w:val="24"/>
                <w:szCs w:val="24"/>
              </w:rPr>
              <w:t>համեմատական կենսամատչելիության տվյալները՝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կանոններին համապատասխան</w:t>
            </w:r>
          </w:p>
        </w:tc>
      </w:tr>
      <w:tr w:rsidR="006F76EB" w:rsidRPr="00834D52" w14:paraId="05985E4E" w14:textId="77777777" w:rsidTr="00F71229">
        <w:tc>
          <w:tcPr>
            <w:tcW w:w="4650" w:type="dxa"/>
            <w:tcBorders>
              <w:top w:val="nil"/>
              <w:left w:val="nil"/>
              <w:bottom w:val="nil"/>
              <w:right w:val="nil"/>
            </w:tcBorders>
          </w:tcPr>
          <w:p w14:paraId="14A17C38" w14:textId="77777777" w:rsidR="006F76EB" w:rsidRPr="00267658" w:rsidRDefault="006F76EB" w:rsidP="00105024">
            <w:pPr>
              <w:spacing w:after="120"/>
              <w:ind w:left="70" w:right="52"/>
              <w:jc w:val="both"/>
              <w:rPr>
                <w:rFonts w:ascii="Sylfaen" w:eastAsia="Times New Roman" w:hAnsi="Sylfaen" w:cs="Times New Roman"/>
                <w:spacing w:val="-6"/>
                <w:sz w:val="24"/>
                <w:szCs w:val="24"/>
              </w:rPr>
            </w:pPr>
            <w:r w:rsidRPr="00267658">
              <w:rPr>
                <w:rFonts w:ascii="Sylfaen" w:hAnsi="Sylfaen"/>
                <w:spacing w:val="-6"/>
                <w:sz w:val="24"/>
                <w:szCs w:val="24"/>
              </w:rPr>
              <w:t>Գերկենսամատչելի պատրաստուկներ՝ դոզավորման միջակայքի պահպանման դեպքում, սակայն դոզայի նվազեցմամբ, պլազմայում (արյան մեջ) համապատասխան խտության հասնելու համար նախատեսված</w:t>
            </w:r>
          </w:p>
        </w:tc>
        <w:tc>
          <w:tcPr>
            <w:tcW w:w="4650" w:type="dxa"/>
            <w:tcBorders>
              <w:top w:val="nil"/>
              <w:left w:val="nil"/>
              <w:bottom w:val="nil"/>
              <w:right w:val="nil"/>
            </w:tcBorders>
          </w:tcPr>
          <w:p w14:paraId="122737E7" w14:textId="77777777" w:rsidR="006F76EB" w:rsidRPr="00267658" w:rsidRDefault="006F76EB" w:rsidP="00105024">
            <w:pPr>
              <w:spacing w:after="120"/>
              <w:ind w:left="26" w:right="83"/>
              <w:jc w:val="both"/>
              <w:rPr>
                <w:rFonts w:ascii="Sylfaen" w:eastAsia="Times New Roman" w:hAnsi="Sylfaen" w:cs="Times New Roman"/>
                <w:color w:val="1C1C1C"/>
                <w:spacing w:val="-6"/>
                <w:sz w:val="24"/>
                <w:szCs w:val="24"/>
              </w:rPr>
            </w:pPr>
            <w:r w:rsidRPr="00267658">
              <w:rPr>
                <w:rFonts w:ascii="Sylfaen" w:hAnsi="Sylfaen"/>
                <w:spacing w:val="-6"/>
                <w:sz w:val="24"/>
                <w:szCs w:val="24"/>
              </w:rPr>
              <w:t xml:space="preserve">առանձին դեպքերում բավական է համեմատական կենսամատչելիության հետազոտությունների անցկացումը՝ </w:t>
            </w:r>
            <w:r w:rsidRPr="00267658">
              <w:rPr>
                <w:rFonts w:ascii="Sylfaen" w:hAnsi="Sylfaen"/>
                <w:color w:val="1C1C1C"/>
                <w:spacing w:val="-6"/>
                <w:sz w:val="24"/>
                <w:szCs w:val="24"/>
              </w:rPr>
              <w:t>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կանոններին համապատասխան</w:t>
            </w:r>
          </w:p>
        </w:tc>
      </w:tr>
    </w:tbl>
    <w:p w14:paraId="41669174" w14:textId="77777777" w:rsidR="00287D3E" w:rsidRPr="003C049F" w:rsidRDefault="00287D3E" w:rsidP="008D0D54">
      <w:pPr>
        <w:spacing w:after="160" w:line="336" w:lineRule="auto"/>
        <w:ind w:right="-8"/>
        <w:jc w:val="center"/>
        <w:rPr>
          <w:rFonts w:ascii="Sylfaen" w:hAnsi="Sylfaen"/>
          <w:sz w:val="24"/>
          <w:szCs w:val="24"/>
        </w:rPr>
      </w:pPr>
    </w:p>
    <w:p w14:paraId="16E6F50C" w14:textId="77777777" w:rsidR="006F76EB" w:rsidRPr="00834D52" w:rsidRDefault="006F76EB" w:rsidP="00287D3E">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8. Լավ ուսումնասիրված բժշկական կիրառությամբ դեղապատրաստուկների գրանցման դոսյեի փաստաթղթերին ներկայացվող պահանջները</w:t>
      </w:r>
    </w:p>
    <w:p w14:paraId="35538209" w14:textId="77777777" w:rsidR="006F76EB" w:rsidRPr="00834D52" w:rsidRDefault="006F76EB" w:rsidP="008D0D54">
      <w:pPr>
        <w:spacing w:after="160" w:line="341" w:lineRule="auto"/>
        <w:ind w:right="-6" w:firstLine="567"/>
        <w:jc w:val="both"/>
        <w:rPr>
          <w:rFonts w:ascii="Sylfaen" w:eastAsia="Times New Roman" w:hAnsi="Sylfaen" w:cs="Times New Roman"/>
          <w:sz w:val="24"/>
          <w:szCs w:val="24"/>
        </w:rPr>
      </w:pPr>
      <w:r w:rsidRPr="00834D52">
        <w:rPr>
          <w:rFonts w:ascii="Sylfaen" w:hAnsi="Sylfaen"/>
          <w:spacing w:val="-4"/>
          <w:sz w:val="24"/>
          <w:szCs w:val="24"/>
        </w:rPr>
        <w:t xml:space="preserve">Հաստատված արդյունավետությամբ </w:t>
      </w:r>
      <w:r w:rsidR="00C54D75">
        <w:rPr>
          <w:rFonts w:ascii="Sylfaen" w:hAnsi="Sylfaen"/>
          <w:spacing w:val="-4"/>
          <w:sz w:val="24"/>
          <w:szCs w:val="24"/>
        </w:rPr>
        <w:t>և</w:t>
      </w:r>
      <w:r w:rsidRPr="00834D52">
        <w:rPr>
          <w:rFonts w:ascii="Sylfaen" w:hAnsi="Sylfaen"/>
          <w:spacing w:val="-4"/>
          <w:sz w:val="24"/>
          <w:szCs w:val="24"/>
        </w:rPr>
        <w:t xml:space="preserve"> անվտանգության ընդունելի մակարդակով դեղապատրաստուկների նկատմամբ (որոնց շարքին դասվում են, օրինակ, բուսական ծագման հումքից դեղապատրաստուկները (կեչու կուպր, օձի թույն, մեղվաբուծական մթերքներ, բժշկական տզրուկներ, լեղի, հանքանյութեր </w:t>
      </w:r>
      <w:r w:rsidR="00C54D75">
        <w:rPr>
          <w:rFonts w:ascii="Sylfaen" w:hAnsi="Sylfaen"/>
          <w:spacing w:val="-4"/>
          <w:sz w:val="24"/>
          <w:szCs w:val="24"/>
        </w:rPr>
        <w:t>և</w:t>
      </w:r>
      <w:r w:rsidRPr="00834D52">
        <w:rPr>
          <w:rFonts w:ascii="Sylfaen" w:hAnsi="Sylfaen"/>
          <w:spacing w:val="-4"/>
          <w:sz w:val="24"/>
          <w:szCs w:val="24"/>
        </w:rPr>
        <w:t xml:space="preserve"> այլն),</w:t>
      </w:r>
      <w:r w:rsidRPr="00834D52">
        <w:rPr>
          <w:rFonts w:ascii="Sylfaen" w:hAnsi="Sylfaen"/>
          <w:sz w:val="24"/>
          <w:szCs w:val="24"/>
        </w:rPr>
        <w:t xml:space="preserve"> որոնց ակտիվ նյութերը բժշկական կիրառության մեջ լավ ուսումնասիրված են, վիտամինները </w:t>
      </w:r>
      <w:r w:rsidR="00C54D75">
        <w:rPr>
          <w:rFonts w:ascii="Sylfaen" w:hAnsi="Sylfaen"/>
          <w:sz w:val="24"/>
          <w:szCs w:val="24"/>
        </w:rPr>
        <w:t>և</w:t>
      </w:r>
      <w:r w:rsidRPr="00834D52">
        <w:rPr>
          <w:rFonts w:ascii="Sylfaen" w:hAnsi="Sylfaen"/>
          <w:sz w:val="24"/>
          <w:szCs w:val="24"/>
        </w:rPr>
        <w:t xml:space="preserve"> վիտամինահանքանյութային կոմպլեքսները, ինչպես նա</w:t>
      </w:r>
      <w:r w:rsidR="00C54D75">
        <w:rPr>
          <w:rFonts w:ascii="Sylfaen" w:hAnsi="Sylfaen"/>
          <w:sz w:val="24"/>
          <w:szCs w:val="24"/>
        </w:rPr>
        <w:t>և</w:t>
      </w:r>
      <w:r w:rsidRPr="00834D52">
        <w:rPr>
          <w:rFonts w:ascii="Sylfaen" w:hAnsi="Sylfaen"/>
          <w:sz w:val="24"/>
          <w:szCs w:val="24"/>
        </w:rPr>
        <w:t xml:space="preserve"> դեղապատրաստուկները, որոնց դեղաբանական ակտիվությունը որոշվում է բուսական ծագման կենսաբանորեն ակտիվ նյութերի ամբողջությամբ, հականեխիչների լուծույթները (ջրածնի պերօքսիդ, յոդ, ադամանդե կանաչ </w:t>
      </w:r>
      <w:r w:rsidR="00C54D75">
        <w:rPr>
          <w:rFonts w:ascii="Sylfaen" w:hAnsi="Sylfaen"/>
          <w:sz w:val="24"/>
          <w:szCs w:val="24"/>
        </w:rPr>
        <w:t>և</w:t>
      </w:r>
      <w:r w:rsidRPr="00834D52">
        <w:rPr>
          <w:rFonts w:ascii="Sylfaen" w:hAnsi="Sylfaen"/>
          <w:sz w:val="24"/>
          <w:szCs w:val="24"/>
        </w:rPr>
        <w:t xml:space="preserve"> այլն), ներարկումների համար ջուրը, մակակլանիչները (ակտիվացված ածուխ </w:t>
      </w:r>
      <w:r w:rsidR="00C54D75">
        <w:rPr>
          <w:rFonts w:ascii="Sylfaen" w:hAnsi="Sylfaen"/>
          <w:sz w:val="24"/>
          <w:szCs w:val="24"/>
        </w:rPr>
        <w:t>և</w:t>
      </w:r>
      <w:r w:rsidRPr="00834D52">
        <w:rPr>
          <w:rFonts w:ascii="Sylfaen" w:hAnsi="Sylfaen"/>
          <w:sz w:val="24"/>
          <w:szCs w:val="24"/>
        </w:rPr>
        <w:t xml:space="preserve"> այլն), փքահալած դեղապատրաստուկները, գրգռիչ </w:t>
      </w:r>
      <w:r w:rsidR="00C54D75">
        <w:rPr>
          <w:rFonts w:ascii="Sylfaen" w:hAnsi="Sylfaen"/>
          <w:sz w:val="24"/>
          <w:szCs w:val="24"/>
        </w:rPr>
        <w:t>և</w:t>
      </w:r>
      <w:r w:rsidRPr="00834D52">
        <w:rPr>
          <w:rFonts w:ascii="Sylfaen" w:hAnsi="Sylfaen"/>
          <w:sz w:val="24"/>
          <w:szCs w:val="24"/>
        </w:rPr>
        <w:t xml:space="preserve"> պատիճավորող միջոցների խմբից դեղապատրաստուկները) պետք է կիրառվեն հետ</w:t>
      </w:r>
      <w:r w:rsidR="00C54D75">
        <w:rPr>
          <w:rFonts w:ascii="Sylfaen" w:hAnsi="Sylfaen"/>
          <w:sz w:val="24"/>
          <w:szCs w:val="24"/>
        </w:rPr>
        <w:t>և</w:t>
      </w:r>
      <w:r w:rsidRPr="00834D52">
        <w:rPr>
          <w:rFonts w:ascii="Sylfaen" w:hAnsi="Sylfaen"/>
          <w:sz w:val="24"/>
          <w:szCs w:val="24"/>
        </w:rPr>
        <w:t>յալ հատուկ կանոնները:</w:t>
      </w:r>
    </w:p>
    <w:p w14:paraId="5FB06158" w14:textId="77777777" w:rsidR="006F76EB" w:rsidRPr="00834D52" w:rsidRDefault="006F76EB" w:rsidP="00B7356B">
      <w:pPr>
        <w:spacing w:after="160" w:line="384"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Հայտատուն պետք է ներկայացնի դեղապատրաստուկի գրանցման դոսյեի 1-ին, </w:t>
      </w:r>
      <w:r w:rsidRPr="00834D52">
        <w:rPr>
          <w:rFonts w:ascii="Sylfaen" w:hAnsi="Sylfaen"/>
          <w:spacing w:val="-4"/>
          <w:sz w:val="24"/>
          <w:szCs w:val="24"/>
        </w:rPr>
        <w:lastRenderedPageBreak/>
        <w:t xml:space="preserve">2-րդ </w:t>
      </w:r>
      <w:r w:rsidR="00C54D75">
        <w:rPr>
          <w:rFonts w:ascii="Sylfaen" w:hAnsi="Sylfaen"/>
          <w:spacing w:val="-4"/>
          <w:sz w:val="24"/>
          <w:szCs w:val="24"/>
        </w:rPr>
        <w:t>և</w:t>
      </w:r>
      <w:r w:rsidRPr="00834D52">
        <w:rPr>
          <w:rFonts w:ascii="Sylfaen" w:hAnsi="Sylfaen"/>
          <w:spacing w:val="-4"/>
          <w:sz w:val="24"/>
          <w:szCs w:val="24"/>
        </w:rPr>
        <w:t xml:space="preserve"> 3-րդ մոդուլները՝ սույն պահանջների I մասի պահանջներին համապատասխան:</w:t>
      </w:r>
    </w:p>
    <w:p w14:paraId="0C935127" w14:textId="77777777" w:rsidR="006F76EB" w:rsidRPr="00834D52" w:rsidRDefault="006F76EB" w:rsidP="00B7356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4-րդ </w:t>
      </w:r>
      <w:r w:rsidR="00C54D75">
        <w:rPr>
          <w:rFonts w:ascii="Sylfaen" w:hAnsi="Sylfaen"/>
          <w:sz w:val="24"/>
          <w:szCs w:val="24"/>
        </w:rPr>
        <w:t>և</w:t>
      </w:r>
      <w:r w:rsidRPr="00834D52">
        <w:rPr>
          <w:rFonts w:ascii="Sylfaen" w:hAnsi="Sylfaen"/>
          <w:sz w:val="24"/>
          <w:szCs w:val="24"/>
        </w:rPr>
        <w:t xml:space="preserve"> 5-րդ մոդուլներում մանրամասն գիտական մատենագիտության մեջ անհրաժեշտ է նշել դեղապատրաստուկի նախակլինիկական </w:t>
      </w:r>
      <w:r w:rsidR="00C54D75">
        <w:rPr>
          <w:rFonts w:ascii="Sylfaen" w:hAnsi="Sylfaen"/>
          <w:sz w:val="24"/>
          <w:szCs w:val="24"/>
        </w:rPr>
        <w:t>և</w:t>
      </w:r>
      <w:r w:rsidRPr="00834D52">
        <w:rPr>
          <w:rFonts w:ascii="Sylfaen" w:hAnsi="Sylfaen"/>
          <w:sz w:val="24"/>
          <w:szCs w:val="24"/>
        </w:rPr>
        <w:t xml:space="preserve"> կլինիկական բնութագրերը:</w:t>
      </w:r>
    </w:p>
    <w:p w14:paraId="0A9CF307" w14:textId="77777777" w:rsidR="006F76EB" w:rsidRPr="00834D52" w:rsidRDefault="006F76EB" w:rsidP="00B7356B">
      <w:pPr>
        <w:spacing w:after="160" w:line="384" w:lineRule="auto"/>
        <w:ind w:right="-8" w:firstLine="567"/>
        <w:jc w:val="both"/>
        <w:rPr>
          <w:rFonts w:ascii="Sylfaen" w:eastAsia="Times New Roman" w:hAnsi="Sylfaen" w:cs="Times New Roman"/>
          <w:sz w:val="24"/>
          <w:szCs w:val="24"/>
        </w:rPr>
      </w:pPr>
      <w:r w:rsidRPr="00834D52">
        <w:rPr>
          <w:rFonts w:ascii="Sylfaen" w:hAnsi="Sylfaen"/>
          <w:spacing w:val="-4"/>
          <w:sz w:val="24"/>
          <w:szCs w:val="24"/>
        </w:rPr>
        <w:t>Լավ ուսումնասիրված բժշկական կիրառությունը հաստատելու համար պետք է ներկայացված լինեն հետ</w:t>
      </w:r>
      <w:r w:rsidR="00C54D75">
        <w:rPr>
          <w:rFonts w:ascii="Sylfaen" w:hAnsi="Sylfaen"/>
          <w:spacing w:val="-4"/>
          <w:sz w:val="24"/>
          <w:szCs w:val="24"/>
        </w:rPr>
        <w:t>և</w:t>
      </w:r>
      <w:r w:rsidRPr="00834D52">
        <w:rPr>
          <w:rFonts w:ascii="Sylfaen" w:hAnsi="Sylfaen"/>
          <w:spacing w:val="-4"/>
          <w:sz w:val="24"/>
          <w:szCs w:val="24"/>
        </w:rPr>
        <w:t>յալ տվյալները</w:t>
      </w:r>
      <w:r w:rsidRPr="00834D52">
        <w:rPr>
          <w:rFonts w:ascii="Sylfaen" w:hAnsi="Sylfaen"/>
          <w:sz w:val="24"/>
          <w:szCs w:val="24"/>
        </w:rPr>
        <w:t>.</w:t>
      </w:r>
    </w:p>
    <w:p w14:paraId="42240D50" w14:textId="77777777" w:rsidR="006F76EB" w:rsidRPr="00834D52" w:rsidRDefault="006F76EB" w:rsidP="00B7356B">
      <w:pPr>
        <w:tabs>
          <w:tab w:val="left" w:pos="1134"/>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գործոններ, որոնք անհրաժեշտ է հաշվի առնել լավ ուսումնասիրված բժշկական կիրառության դեղապատրաստուկների բաղադրիչները որոշելու ժամանակ՝</w:t>
      </w:r>
    </w:p>
    <w:p w14:paraId="7C1F919F" w14:textId="77777777" w:rsidR="006F76EB" w:rsidRPr="00834D52" w:rsidRDefault="006F76EB" w:rsidP="00B7356B">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ժամկետը, որի ընթացքում ակտիվ նյութն օգտագործվում է բժշկական պրակտիկայում.</w:t>
      </w:r>
    </w:p>
    <w:p w14:paraId="62227F9D" w14:textId="77777777" w:rsidR="006F76EB" w:rsidRPr="00834D52" w:rsidRDefault="006F76EB" w:rsidP="00B7356B">
      <w:pPr>
        <w:spacing w:after="160" w:line="384" w:lineRule="auto"/>
        <w:ind w:right="-6" w:firstLine="567"/>
        <w:rPr>
          <w:rFonts w:ascii="Sylfaen" w:eastAsia="Times New Roman" w:hAnsi="Sylfaen" w:cs="Times New Roman"/>
          <w:sz w:val="24"/>
          <w:szCs w:val="24"/>
        </w:rPr>
      </w:pPr>
      <w:r w:rsidRPr="00834D52">
        <w:rPr>
          <w:rFonts w:ascii="Sylfaen" w:hAnsi="Sylfaen"/>
          <w:sz w:val="24"/>
          <w:szCs w:val="24"/>
        </w:rPr>
        <w:t>ակտիվ նյութի օգտագործման քանակական ասպեկտները.</w:t>
      </w:r>
    </w:p>
    <w:p w14:paraId="608697CE" w14:textId="77777777" w:rsidR="006F76EB" w:rsidRPr="00834D52" w:rsidRDefault="006F76EB" w:rsidP="00B7356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գիտական հրապարակումների հաճախականությունը </w:t>
      </w:r>
      <w:r w:rsidR="00C54D75">
        <w:rPr>
          <w:rFonts w:ascii="Sylfaen" w:hAnsi="Sylfaen"/>
          <w:sz w:val="24"/>
          <w:szCs w:val="24"/>
        </w:rPr>
        <w:t>և</w:t>
      </w:r>
      <w:r w:rsidRPr="00834D52">
        <w:rPr>
          <w:rFonts w:ascii="Sylfaen" w:hAnsi="Sylfaen"/>
          <w:sz w:val="24"/>
          <w:szCs w:val="24"/>
        </w:rPr>
        <w:t xml:space="preserve"> ակտիվ նյութի օգտագործման արդիականությունը 5 տարվա ընթացքում՝ մինչ</w:t>
      </w:r>
      <w:r w:rsidR="00C54D75">
        <w:rPr>
          <w:rFonts w:ascii="Sylfaen" w:hAnsi="Sylfaen"/>
          <w:sz w:val="24"/>
          <w:szCs w:val="24"/>
        </w:rPr>
        <w:t>և</w:t>
      </w:r>
      <w:r w:rsidRPr="00834D52">
        <w:rPr>
          <w:rFonts w:ascii="Sylfaen" w:hAnsi="Sylfaen"/>
          <w:sz w:val="24"/>
          <w:szCs w:val="24"/>
        </w:rPr>
        <w:t xml:space="preserve"> տվյալ դեղապատրաստուկի գրանցման հայտի ներկայացման օրը (գիտական աղբյուրներում հրապարակումներին արված հղումներով).</w:t>
      </w:r>
    </w:p>
    <w:p w14:paraId="267A97A6" w14:textId="77777777" w:rsidR="006F76EB" w:rsidRPr="00834D52" w:rsidRDefault="006F76EB" w:rsidP="00B7356B">
      <w:pPr>
        <w:spacing w:after="160" w:line="384" w:lineRule="auto"/>
        <w:ind w:right="-6" w:firstLine="567"/>
        <w:rPr>
          <w:rFonts w:ascii="Sylfaen" w:eastAsia="Times New Roman" w:hAnsi="Sylfaen" w:cs="Times New Roman"/>
          <w:sz w:val="24"/>
          <w:szCs w:val="24"/>
        </w:rPr>
      </w:pPr>
      <w:r w:rsidRPr="00834D52">
        <w:rPr>
          <w:rFonts w:ascii="Sylfaen" w:hAnsi="Sylfaen"/>
          <w:sz w:val="24"/>
          <w:szCs w:val="24"/>
        </w:rPr>
        <w:t>գիտական գնահատականների համաձայնեցվածությունը:</w:t>
      </w:r>
    </w:p>
    <w:p w14:paraId="48187EAA" w14:textId="77777777" w:rsidR="006F76EB" w:rsidRPr="00834D52" w:rsidRDefault="006F76EB" w:rsidP="00B7356B">
      <w:pPr>
        <w:spacing w:after="160" w:line="384"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Լավ ուսումնասիրված բժշկական կիրառության տարբեր ակտիվ նյութերը որոշելու նպատակով կարող է գնահատում իրականացվել տարբեր ժամանակահատվածների համար: Լավ ուսումնասիրված բժշկական կիրառության ակտիվ նյութը որոշելու համար անհրաժեշտ ժամանակահատվածը պետք է կազմի ոչ պակաս, քան 10 տարի առնվազն 3 անդամ պետությունում դրա փաստաթղթավորված կիրառման պահից: Կենսաբանական դեղապատրաստուկները </w:t>
      </w:r>
      <w:r w:rsidR="00C54D75">
        <w:rPr>
          <w:rFonts w:ascii="Sylfaen" w:hAnsi="Sylfaen"/>
          <w:spacing w:val="-4"/>
          <w:sz w:val="24"/>
          <w:szCs w:val="24"/>
        </w:rPr>
        <w:t>և</w:t>
      </w:r>
      <w:r w:rsidRPr="00834D52">
        <w:rPr>
          <w:rFonts w:ascii="Sylfaen" w:hAnsi="Sylfaen"/>
          <w:spacing w:val="-4"/>
          <w:sz w:val="24"/>
          <w:szCs w:val="24"/>
        </w:rPr>
        <w:t xml:space="preserve"> դեղապատրաստուկները, որոնց համար պահանջվում է կենսահամարժեքության </w:t>
      </w:r>
      <w:r w:rsidRPr="00834D52">
        <w:rPr>
          <w:rFonts w:ascii="Sylfaen" w:hAnsi="Sylfaen"/>
          <w:spacing w:val="-4"/>
          <w:sz w:val="24"/>
          <w:szCs w:val="24"/>
        </w:rPr>
        <w:lastRenderedPageBreak/>
        <w:t xml:space="preserve">հետազոտությունների </w:t>
      </w:r>
      <w:r w:rsidR="00C54D75">
        <w:rPr>
          <w:rFonts w:ascii="Sylfaen" w:hAnsi="Sylfaen"/>
          <w:spacing w:val="-4"/>
          <w:sz w:val="24"/>
          <w:szCs w:val="24"/>
        </w:rPr>
        <w:t>և</w:t>
      </w:r>
      <w:r w:rsidRPr="00834D52">
        <w:rPr>
          <w:rFonts w:ascii="Sylfaen" w:hAnsi="Sylfaen"/>
          <w:spacing w:val="-4"/>
          <w:sz w:val="24"/>
          <w:szCs w:val="24"/>
        </w:rPr>
        <w:t xml:space="preserve"> (կամ) կլինիկական հետազոտությունների անցկացում, չեն դասվում լավ ուսումնասիրված կիրառությամբ դեղապատրաստուկների կատեգորիային.</w:t>
      </w:r>
    </w:p>
    <w:p w14:paraId="6EC024E9"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հայտատուի ներկայացրած գրանցման դոսյեի նյութերը պետք է ներառեն փաստաթղթեր </w:t>
      </w:r>
      <w:r w:rsidR="00C54D75">
        <w:rPr>
          <w:rFonts w:ascii="Sylfaen" w:hAnsi="Sylfaen"/>
          <w:sz w:val="24"/>
          <w:szCs w:val="24"/>
        </w:rPr>
        <w:t>և</w:t>
      </w:r>
      <w:r w:rsidRPr="00834D52">
        <w:rPr>
          <w:rFonts w:ascii="Sylfaen" w:hAnsi="Sylfaen"/>
          <w:sz w:val="24"/>
          <w:szCs w:val="24"/>
        </w:rPr>
        <w:t xml:space="preserve"> տվյալներ՝ անվտանգության </w:t>
      </w:r>
      <w:r w:rsidR="00C54D75">
        <w:rPr>
          <w:rFonts w:ascii="Sylfaen" w:hAnsi="Sylfaen"/>
          <w:sz w:val="24"/>
          <w:szCs w:val="24"/>
        </w:rPr>
        <w:t>և</w:t>
      </w:r>
      <w:r w:rsidRPr="00834D52">
        <w:rPr>
          <w:rFonts w:ascii="Sylfaen" w:hAnsi="Sylfaen"/>
          <w:sz w:val="24"/>
          <w:szCs w:val="24"/>
        </w:rPr>
        <w:t xml:space="preserve"> արդյունավետության գնահատման բոլոր այն ասպեկտների վերաբերյալ, որոնք համապատասխան գրականության ակնարկին արված հղում են պարունակում կամ տրամադրում են այդպիսի հղում՝ հաշվի առնելով նախագրանցումային </w:t>
      </w:r>
      <w:r w:rsidR="00C54D75">
        <w:rPr>
          <w:rFonts w:ascii="Sylfaen" w:hAnsi="Sylfaen"/>
          <w:sz w:val="24"/>
          <w:szCs w:val="24"/>
        </w:rPr>
        <w:t>և</w:t>
      </w:r>
      <w:r w:rsidRPr="00834D52">
        <w:rPr>
          <w:rFonts w:ascii="Sylfaen" w:hAnsi="Sylfaen"/>
          <w:sz w:val="24"/>
          <w:szCs w:val="24"/>
        </w:rPr>
        <w:t xml:space="preserve"> հետգրանցումային հետազոտությունները </w:t>
      </w:r>
      <w:r w:rsidR="00C54D75">
        <w:rPr>
          <w:rFonts w:ascii="Sylfaen" w:hAnsi="Sylfaen"/>
          <w:sz w:val="24"/>
          <w:szCs w:val="24"/>
        </w:rPr>
        <w:t>և</w:t>
      </w:r>
      <w:r w:rsidRPr="00834D52">
        <w:rPr>
          <w:rFonts w:ascii="Sylfaen" w:hAnsi="Sylfaen"/>
          <w:sz w:val="24"/>
          <w:szCs w:val="24"/>
        </w:rPr>
        <w:t xml:space="preserve"> համաճարակաբանական հետազոտությունների </w:t>
      </w:r>
      <w:r w:rsidR="00C54D75">
        <w:rPr>
          <w:rFonts w:ascii="Sylfaen" w:hAnsi="Sylfaen"/>
          <w:sz w:val="24"/>
          <w:szCs w:val="24"/>
        </w:rPr>
        <w:t>և</w:t>
      </w:r>
      <w:r w:rsidRPr="00834D52">
        <w:rPr>
          <w:rFonts w:ascii="Sylfaen" w:hAnsi="Sylfaen"/>
          <w:sz w:val="24"/>
          <w:szCs w:val="24"/>
        </w:rPr>
        <w:t xml:space="preserve"> հատկապես համեմատական համաճարակաբանական հետազոտությունների արդյունքներին առնչվող հրատարակված գիտական գրականությունը, բոլոր փաստաթղթերը (դեղապատրաստուկի գնահատման ինչպես դրական , այնպես էլ բացասական արդյունքներով): Դեղապատրաստուկի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ապացույցների այլ աղբյուրներին արված մատենագիտական հղումը (հետգրանցումային հետազոտություններ, համաճարակաբանական հետազոտություններ </w:t>
      </w:r>
      <w:r w:rsidR="00C54D75">
        <w:rPr>
          <w:rFonts w:ascii="Sylfaen" w:hAnsi="Sylfaen"/>
          <w:sz w:val="24"/>
          <w:szCs w:val="24"/>
        </w:rPr>
        <w:t>և</w:t>
      </w:r>
      <w:r w:rsidRPr="00834D52">
        <w:rPr>
          <w:rFonts w:ascii="Sylfaen" w:hAnsi="Sylfaen"/>
          <w:sz w:val="24"/>
          <w:szCs w:val="24"/>
        </w:rPr>
        <w:t xml:space="preserve"> նմ.), բացառությամբ այն տվյալների, որոնք վերաբերում են վերահսկման </w:t>
      </w:r>
      <w:r w:rsidR="00C54D75">
        <w:rPr>
          <w:rFonts w:ascii="Sylfaen" w:hAnsi="Sylfaen"/>
          <w:sz w:val="24"/>
          <w:szCs w:val="24"/>
        </w:rPr>
        <w:t>և</w:t>
      </w:r>
      <w:r w:rsidRPr="00834D52">
        <w:rPr>
          <w:rFonts w:ascii="Sylfaen" w:hAnsi="Sylfaen"/>
          <w:sz w:val="24"/>
          <w:szCs w:val="24"/>
        </w:rPr>
        <w:t xml:space="preserve"> փորձարկումների մեթոդներին, կարող է լինել դեղապատրաստուկի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ապացույց՝ պայմանով, որ գրանցման դոսյեում հստակ բացատրված </w:t>
      </w:r>
      <w:r w:rsidR="00C54D75">
        <w:rPr>
          <w:rFonts w:ascii="Sylfaen" w:hAnsi="Sylfaen"/>
          <w:sz w:val="24"/>
          <w:szCs w:val="24"/>
        </w:rPr>
        <w:t>և</w:t>
      </w:r>
      <w:r w:rsidRPr="00834D52">
        <w:rPr>
          <w:rFonts w:ascii="Sylfaen" w:hAnsi="Sylfaen"/>
          <w:sz w:val="24"/>
          <w:szCs w:val="24"/>
        </w:rPr>
        <w:t xml:space="preserve"> հիմնավորված է տեղեկատվության այդ աղբյուրների օգտագործումը.</w:t>
      </w:r>
    </w:p>
    <w:p w14:paraId="5C54E0B9"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դեղապատրաստուկի գրանցման դոսյեի փաստաթղթերում </w:t>
      </w:r>
      <w:r w:rsidR="00C54D75">
        <w:rPr>
          <w:rFonts w:ascii="Sylfaen" w:hAnsi="Sylfaen"/>
          <w:sz w:val="24"/>
          <w:szCs w:val="24"/>
        </w:rPr>
        <w:t>և</w:t>
      </w:r>
      <w:r w:rsidRPr="00834D52">
        <w:rPr>
          <w:rFonts w:ascii="Sylfaen" w:hAnsi="Sylfaen"/>
          <w:sz w:val="24"/>
          <w:szCs w:val="24"/>
        </w:rPr>
        <w:t xml:space="preserve"> տվյալներում անհրաժեշտ է հիմնավորել, թե ինչու կարող է անվտանգության </w:t>
      </w:r>
      <w:r w:rsidR="00C54D75">
        <w:rPr>
          <w:rFonts w:ascii="Sylfaen" w:hAnsi="Sylfaen"/>
          <w:sz w:val="24"/>
          <w:szCs w:val="24"/>
        </w:rPr>
        <w:t>և</w:t>
      </w:r>
      <w:r w:rsidRPr="00834D52">
        <w:rPr>
          <w:rFonts w:ascii="Sylfaen" w:hAnsi="Sylfaen"/>
          <w:sz w:val="24"/>
          <w:szCs w:val="24"/>
        </w:rPr>
        <w:t xml:space="preserve"> (կամ) արդյունավետության ընդունելի մակարդակը համարվել ապացուցված՝ անկախ որոշ հետազոտությունների բացակայությունից.</w:t>
      </w:r>
    </w:p>
    <w:p w14:paraId="3F3E1091"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դ)</w:t>
      </w:r>
      <w:r w:rsidRPr="00834D52">
        <w:rPr>
          <w:rFonts w:ascii="Sylfaen" w:hAnsi="Sylfaen"/>
          <w:spacing w:val="-4"/>
          <w:sz w:val="24"/>
          <w:szCs w:val="24"/>
        </w:rPr>
        <w:tab/>
        <w:t xml:space="preserve">դեղապատրաստուկի գրանցման դոսյեի 2-րդ մոդուլի նախակլինիկական </w:t>
      </w:r>
      <w:r w:rsidR="00C54D75">
        <w:rPr>
          <w:rFonts w:ascii="Sylfaen" w:hAnsi="Sylfaen"/>
          <w:spacing w:val="-4"/>
          <w:sz w:val="24"/>
          <w:szCs w:val="24"/>
        </w:rPr>
        <w:t>և</w:t>
      </w:r>
      <w:r w:rsidRPr="00834D52">
        <w:rPr>
          <w:rFonts w:ascii="Sylfaen" w:hAnsi="Sylfaen"/>
          <w:spacing w:val="-4"/>
          <w:sz w:val="24"/>
          <w:szCs w:val="24"/>
        </w:rPr>
        <w:t xml:space="preserve"> (կամ) կլինիկական ակնարկներում անհրաժեշտ է պարզաբանել գրանցելու համար առաջարկված դեղապատրաստուկի ներկայացված ցանկացած տվյալների արժեքը, եթե դրանք տարբերվում են արդեն իսկ գրանցված դեղապատրաստուկի տվյալներից: </w:t>
      </w:r>
      <w:r w:rsidRPr="00834D52">
        <w:rPr>
          <w:rFonts w:ascii="Sylfaen" w:hAnsi="Sylfaen"/>
          <w:spacing w:val="-4"/>
          <w:sz w:val="24"/>
          <w:szCs w:val="24"/>
        </w:rPr>
        <w:lastRenderedPageBreak/>
        <w:t>Անհրաժեշտ է ներկայացնել հիմնավորում այն մասին, թե արդյոք, անկախ առկա տարբերություններից, կարելի է հայտագրված դեղապատրաստուկը նմանեցնել արդեն իսկ գրանցված դեղապատրաստուկին.</w:t>
      </w:r>
    </w:p>
    <w:p w14:paraId="4B0E7214"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դեղապատրաստուկի օգտագործման հետգրանցումային փորձը կարող է ներկայացված լինել մի</w:t>
      </w:r>
      <w:r w:rsidR="00C54D75">
        <w:rPr>
          <w:rFonts w:ascii="Sylfaen" w:hAnsi="Sylfaen"/>
          <w:sz w:val="24"/>
          <w:szCs w:val="24"/>
        </w:rPr>
        <w:t>և</w:t>
      </w:r>
      <w:r w:rsidRPr="00834D52">
        <w:rPr>
          <w:rFonts w:ascii="Sylfaen" w:hAnsi="Sylfaen"/>
          <w:sz w:val="24"/>
          <w:szCs w:val="24"/>
        </w:rPr>
        <w:t>նույն ակտիվ նյութերը պարունակող այլ դեղապատրաստուկների օգտագործման մասին տեղեկատվության տեսքով.</w:t>
      </w:r>
    </w:p>
    <w:p w14:paraId="043B3639" w14:textId="77777777" w:rsidR="006F76EB" w:rsidRPr="00834D52" w:rsidRDefault="006F76EB" w:rsidP="008A55CF">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դեղապատրաստուկը երրորդ երկրների շուկաներում կիրառելու փորձի առկայության դեպքում պետք է դեղապատրաստուկի անվտանգության մասով ներկայացնել պարբերական թարմացվող հաշվետվություն գրանցման հայտը ներկայացնելու օրվանից 5 տարի առաջ:</w:t>
      </w:r>
    </w:p>
    <w:p w14:paraId="6E9BCAB9" w14:textId="77777777" w:rsidR="00B7356B" w:rsidRPr="002978B0" w:rsidRDefault="00B7356B" w:rsidP="006F76EB">
      <w:pPr>
        <w:spacing w:after="160" w:line="360" w:lineRule="auto"/>
        <w:ind w:left="567" w:right="565"/>
        <w:jc w:val="center"/>
        <w:rPr>
          <w:rFonts w:ascii="Sylfaen" w:hAnsi="Sylfaen"/>
          <w:sz w:val="24"/>
          <w:szCs w:val="24"/>
        </w:rPr>
      </w:pPr>
    </w:p>
    <w:p w14:paraId="69BD06E0"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9. Համակցված դեղապատրաստուկների գրանցման դոսյեին ներկայացվող պահանջները</w:t>
      </w:r>
    </w:p>
    <w:p w14:paraId="13BDC05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Նոր դեղապատրաստուկների համար, որոնք 2 կամ ավելի վաղ հայտնի ակտիվ նյութերի (այսինքն՝ համակցված դեղապատրաստուկների կազմի մեջ մտնող, սակայն նախկինում միաբաղադրիչ պատրաստուկների կազմում գրանցված ակտիվ նյութերի) համակցություններ են մեկ դեղաձ</w:t>
      </w:r>
      <w:r w:rsidR="00C54D75">
        <w:rPr>
          <w:rFonts w:ascii="Sylfaen" w:hAnsi="Sylfaen"/>
          <w:sz w:val="24"/>
          <w:szCs w:val="24"/>
        </w:rPr>
        <w:t>և</w:t>
      </w:r>
      <w:r w:rsidRPr="00834D52">
        <w:rPr>
          <w:rFonts w:ascii="Sylfaen" w:hAnsi="Sylfaen"/>
          <w:sz w:val="24"/>
          <w:szCs w:val="24"/>
        </w:rPr>
        <w:t xml:space="preserve">ում, ներկայացվում է ամբողջական գրանցման դոսյեն (1-5-րդ մոդուլներ)՝ սույն Պահանջների I-ին մասին համապատասխան: 3-րդ մոդուլը ներառում է արտադրության, որակի վերահսկման </w:t>
      </w:r>
      <w:r w:rsidR="00C54D75">
        <w:rPr>
          <w:rFonts w:ascii="Sylfaen" w:hAnsi="Sylfaen"/>
          <w:sz w:val="24"/>
          <w:szCs w:val="24"/>
        </w:rPr>
        <w:t>և</w:t>
      </w:r>
      <w:r w:rsidRPr="00834D52">
        <w:rPr>
          <w:rFonts w:ascii="Sylfaen" w:hAnsi="Sylfaen"/>
          <w:sz w:val="24"/>
          <w:szCs w:val="24"/>
        </w:rPr>
        <w:t xml:space="preserve"> համակցված դեղապատրաստուկների կազմի մեջ մտնող յուրաքանչյուր ակտիվ նյութի արտադրողի վերաբերյալ տեղեկությունները (ընդ որում, համակցված փաթեթվածքով ներկայացված միաբաղադրիչ դեղապատրաստուկները չեն կարող դիտարկվել որպես համակցված դեղապատրաստուկներ): 4-րդ </w:t>
      </w:r>
      <w:r w:rsidR="00C54D75">
        <w:rPr>
          <w:rFonts w:ascii="Sylfaen" w:hAnsi="Sylfaen"/>
          <w:sz w:val="24"/>
          <w:szCs w:val="24"/>
        </w:rPr>
        <w:t>և</w:t>
      </w:r>
      <w:r w:rsidRPr="00834D52">
        <w:rPr>
          <w:rFonts w:ascii="Sylfaen" w:hAnsi="Sylfaen"/>
          <w:sz w:val="24"/>
          <w:szCs w:val="24"/>
        </w:rPr>
        <w:t xml:space="preserve"> 5-րդ մոդուլներում ներկայացվում են գրանցման համար հայտագրվող ակտիվ նյութերի համակցությունների նախակլինիկական </w:t>
      </w:r>
      <w:r w:rsidR="00C54D75">
        <w:rPr>
          <w:rFonts w:ascii="Sylfaen" w:hAnsi="Sylfaen"/>
          <w:sz w:val="24"/>
          <w:szCs w:val="24"/>
        </w:rPr>
        <w:t>և</w:t>
      </w:r>
      <w:r w:rsidRPr="00834D52">
        <w:rPr>
          <w:rFonts w:ascii="Sylfaen" w:hAnsi="Sylfaen"/>
          <w:sz w:val="24"/>
          <w:szCs w:val="24"/>
        </w:rPr>
        <w:t xml:space="preserve"> կլինիկական հետազոտությունների արդյունքները:</w:t>
      </w:r>
    </w:p>
    <w:p w14:paraId="71882124" w14:textId="77777777" w:rsidR="006F76EB" w:rsidRPr="00834D52" w:rsidRDefault="006F76EB" w:rsidP="00DA5BB8">
      <w:pPr>
        <w:spacing w:after="160" w:line="341" w:lineRule="auto"/>
        <w:ind w:left="567" w:right="565"/>
        <w:jc w:val="center"/>
        <w:rPr>
          <w:rFonts w:ascii="Sylfaen" w:eastAsia="Times New Roman" w:hAnsi="Sylfaen" w:cs="Times New Roman"/>
          <w:sz w:val="24"/>
          <w:szCs w:val="24"/>
        </w:rPr>
      </w:pPr>
      <w:r w:rsidRPr="00834D52">
        <w:rPr>
          <w:rFonts w:ascii="Sylfaen" w:hAnsi="Sylfaen"/>
          <w:sz w:val="24"/>
          <w:szCs w:val="24"/>
        </w:rPr>
        <w:t xml:space="preserve">10. Կենսահամանման (կենսանման) դեղապատրաստուկների </w:t>
      </w:r>
      <w:r w:rsidRPr="00834D52">
        <w:rPr>
          <w:rFonts w:ascii="Sylfaen" w:hAnsi="Sylfaen"/>
          <w:sz w:val="24"/>
          <w:szCs w:val="24"/>
        </w:rPr>
        <w:lastRenderedPageBreak/>
        <w:t>գրանցման դոսյեին ներկայացվող պահանջները</w:t>
      </w:r>
    </w:p>
    <w:p w14:paraId="0E6C5EFD" w14:textId="77777777" w:rsidR="006F76EB" w:rsidRPr="00834D52" w:rsidRDefault="006F76EB" w:rsidP="00DA5BB8">
      <w:pPr>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Կենսահամանման (կենսանման) դեղապատրաստուկը գրանցելու համար ներկայացվում են </w:t>
      </w:r>
      <w:r w:rsidR="0032680A">
        <w:rPr>
          <w:rFonts w:ascii="Sylfaen" w:hAnsi="Sylfaen"/>
          <w:sz w:val="24"/>
          <w:szCs w:val="24"/>
        </w:rPr>
        <w:t xml:space="preserve">ռեֆերենտ </w:t>
      </w:r>
      <w:r w:rsidRPr="00834D52">
        <w:rPr>
          <w:rFonts w:ascii="Sylfaen" w:hAnsi="Sylfaen"/>
          <w:sz w:val="24"/>
          <w:szCs w:val="24"/>
        </w:rPr>
        <w:t xml:space="preserve">կենսաբանական դեղապատրաստուկի հետ դրա համեմատական հետազոտությունների տվյալները: Կենսահամանման (կենսանման) դեղապատրաստուկի որակը, անվտանգությունը, արդյունավետությունը </w:t>
      </w:r>
      <w:r w:rsidR="00C54D75">
        <w:rPr>
          <w:rFonts w:ascii="Sylfaen" w:hAnsi="Sylfaen"/>
          <w:sz w:val="24"/>
          <w:szCs w:val="24"/>
        </w:rPr>
        <w:t>և</w:t>
      </w:r>
      <w:r w:rsidRPr="00834D52">
        <w:rPr>
          <w:rFonts w:ascii="Sylfaen" w:hAnsi="Sylfaen"/>
          <w:sz w:val="24"/>
          <w:szCs w:val="24"/>
        </w:rPr>
        <w:t xml:space="preserve"> իմունոգենությունը դրա մշակման արտադրական, նախակլինիկական </w:t>
      </w:r>
      <w:r w:rsidR="00C54D75">
        <w:rPr>
          <w:rFonts w:ascii="Sylfaen" w:hAnsi="Sylfaen"/>
          <w:sz w:val="24"/>
          <w:szCs w:val="24"/>
        </w:rPr>
        <w:t>և</w:t>
      </w:r>
      <w:r w:rsidRPr="00834D52">
        <w:rPr>
          <w:rFonts w:ascii="Sylfaen" w:hAnsi="Sylfaen"/>
          <w:sz w:val="24"/>
          <w:szCs w:val="24"/>
        </w:rPr>
        <w:t xml:space="preserve"> կլինիկական փուլերում պետք է համեմատվեն մի</w:t>
      </w:r>
      <w:r w:rsidR="00C54D75">
        <w:rPr>
          <w:rFonts w:ascii="Sylfaen" w:hAnsi="Sylfaen"/>
          <w:sz w:val="24"/>
          <w:szCs w:val="24"/>
        </w:rPr>
        <w:t>և</w:t>
      </w:r>
      <w:r w:rsidRPr="00834D52">
        <w:rPr>
          <w:rFonts w:ascii="Sylfaen" w:hAnsi="Sylfaen"/>
          <w:sz w:val="24"/>
          <w:szCs w:val="24"/>
        </w:rPr>
        <w:t xml:space="preserve">նույն </w:t>
      </w:r>
      <w:r w:rsidR="0032680A">
        <w:rPr>
          <w:rFonts w:ascii="Sylfaen" w:hAnsi="Sylfaen"/>
          <w:sz w:val="24"/>
          <w:szCs w:val="24"/>
        </w:rPr>
        <w:t xml:space="preserve">ռեֆերենտ </w:t>
      </w:r>
      <w:r w:rsidRPr="00834D52">
        <w:rPr>
          <w:rFonts w:ascii="Sylfaen" w:hAnsi="Sylfaen"/>
          <w:sz w:val="24"/>
          <w:szCs w:val="24"/>
        </w:rPr>
        <w:t>կենսաբանական դեղապատրաստուկի հետ՝ Հանձնաժողովի կողմից հաստատվող՝ Եվրասիական տնտեսական միության շրջանակներում կենսաբանական դեղամիջոցների հետազոտության կանոններին համապատասխան: Կենսահամանման (կենսանման) դեղապատրաստուկների գրանցման դոսյեն ներկայացվում է սույն բաժնի պահանջներին համապատասխան:</w:t>
      </w:r>
    </w:p>
    <w:p w14:paraId="6E84BB97" w14:textId="77777777" w:rsidR="006F76EB" w:rsidRPr="00834D52" w:rsidRDefault="006F76EB" w:rsidP="00DA5BB8">
      <w:pPr>
        <w:tabs>
          <w:tab w:val="left" w:pos="1701"/>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10.1.</w:t>
      </w:r>
      <w:r w:rsidRPr="00834D52">
        <w:rPr>
          <w:rFonts w:ascii="Sylfaen" w:hAnsi="Sylfaen"/>
          <w:sz w:val="24"/>
          <w:szCs w:val="24"/>
        </w:rPr>
        <w:tab/>
        <w:t>Մոդուլ 1.</w:t>
      </w:r>
    </w:p>
    <w:p w14:paraId="751D8C15" w14:textId="77777777" w:rsidR="006F76EB" w:rsidRPr="00834D52" w:rsidRDefault="006F76EB" w:rsidP="00DA5BB8">
      <w:pPr>
        <w:tabs>
          <w:tab w:val="left" w:pos="1701"/>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10.1.1.</w:t>
      </w:r>
      <w:r w:rsidRPr="00834D52">
        <w:rPr>
          <w:rFonts w:ascii="Sylfaen" w:hAnsi="Sylfaen"/>
          <w:sz w:val="24"/>
          <w:szCs w:val="24"/>
        </w:rPr>
        <w:tab/>
        <w:t>Դեղապատրաստուկի գրանցման դոսյեի 1-ին մոդուլի 1.</w:t>
      </w:r>
      <w:r w:rsidR="00E90FAF" w:rsidRPr="00E90FAF">
        <w:rPr>
          <w:rFonts w:ascii="Sylfaen" w:hAnsi="Sylfaen"/>
          <w:sz w:val="24"/>
          <w:szCs w:val="24"/>
        </w:rPr>
        <w:t>8</w:t>
      </w:r>
      <w:r w:rsidRPr="00834D52">
        <w:rPr>
          <w:rFonts w:ascii="Sylfaen" w:hAnsi="Sylfaen"/>
          <w:sz w:val="24"/>
          <w:szCs w:val="24"/>
        </w:rPr>
        <w:t>.2</w:t>
      </w:r>
      <w:r w:rsidR="00DA5BB8" w:rsidRPr="00DA5BB8">
        <w:rPr>
          <w:rFonts w:ascii="Sylfaen" w:hAnsi="Sylfaen"/>
          <w:sz w:val="24"/>
          <w:szCs w:val="24"/>
        </w:rPr>
        <w:t> </w:t>
      </w:r>
      <w:r w:rsidRPr="00834D52">
        <w:rPr>
          <w:rFonts w:ascii="Sylfaen" w:hAnsi="Sylfaen"/>
          <w:sz w:val="24"/>
          <w:szCs w:val="24"/>
        </w:rPr>
        <w:t xml:space="preserve">բաժնում հայտատուն պետք է ներկայացնի այնպիսի հիմնավորումների </w:t>
      </w:r>
      <w:r w:rsidR="00C54D75">
        <w:rPr>
          <w:rFonts w:ascii="Sylfaen" w:hAnsi="Sylfaen"/>
          <w:sz w:val="24"/>
          <w:szCs w:val="24"/>
        </w:rPr>
        <w:t>և</w:t>
      </w:r>
      <w:r w:rsidRPr="00834D52">
        <w:rPr>
          <w:rFonts w:ascii="Sylfaen" w:hAnsi="Sylfaen"/>
          <w:sz w:val="24"/>
          <w:szCs w:val="24"/>
        </w:rPr>
        <w:t xml:space="preserve"> փաստերի ռեզյումե, որոնք ցույց են տալիս, որ դեղապատրաստուկը, որի գրանցման համար հայտ է ներկայացվում, օրիգինալ դեղապատրաստուկին կենսահամանման (կենսանման) դեղապատրաստուկ է: Ռեզյումեն պետք է պարունակի դեղապատրաստուկի, ակտիվ նյութի, դեղաձ</w:t>
      </w:r>
      <w:r w:rsidR="00C54D75">
        <w:rPr>
          <w:rFonts w:ascii="Sylfaen" w:hAnsi="Sylfaen"/>
          <w:sz w:val="24"/>
          <w:szCs w:val="24"/>
        </w:rPr>
        <w:t>և</w:t>
      </w:r>
      <w:r w:rsidRPr="00834D52">
        <w:rPr>
          <w:rFonts w:ascii="Sylfaen" w:hAnsi="Sylfaen"/>
          <w:sz w:val="24"/>
          <w:szCs w:val="24"/>
        </w:rPr>
        <w:t xml:space="preserve">ի, դոզավորման, կիրառման ցուցումների </w:t>
      </w:r>
      <w:r w:rsidR="00C54D75">
        <w:rPr>
          <w:rFonts w:ascii="Sylfaen" w:hAnsi="Sylfaen"/>
          <w:sz w:val="24"/>
          <w:szCs w:val="24"/>
        </w:rPr>
        <w:t>և</w:t>
      </w:r>
      <w:r w:rsidRPr="00834D52">
        <w:rPr>
          <w:rFonts w:ascii="Sylfaen" w:hAnsi="Sylfaen"/>
          <w:sz w:val="24"/>
          <w:szCs w:val="24"/>
        </w:rPr>
        <w:t xml:space="preserve"> կիրառման եղանակի վերաբերյալ տեղեկատվություն՝ օրիգինալ դեղապատրաստուկի վերաբերյալ համանման տեղեկատվության համեմատությամբ:</w:t>
      </w:r>
    </w:p>
    <w:p w14:paraId="09940821" w14:textId="77777777" w:rsidR="006F76EB" w:rsidRPr="00834D52" w:rsidRDefault="006F76EB" w:rsidP="00DA5BB8">
      <w:pPr>
        <w:tabs>
          <w:tab w:val="left" w:pos="1701"/>
        </w:tabs>
        <w:spacing w:after="160" w:line="341" w:lineRule="auto"/>
        <w:ind w:right="-8" w:firstLine="567"/>
        <w:jc w:val="both"/>
        <w:rPr>
          <w:rFonts w:ascii="Sylfaen" w:eastAsia="Times New Roman" w:hAnsi="Sylfaen" w:cs="Times New Roman"/>
          <w:sz w:val="24"/>
          <w:szCs w:val="24"/>
        </w:rPr>
      </w:pPr>
      <w:r w:rsidRPr="00834D52">
        <w:rPr>
          <w:rFonts w:ascii="Sylfaen" w:hAnsi="Sylfaen"/>
          <w:sz w:val="24"/>
          <w:szCs w:val="24"/>
        </w:rPr>
        <w:t>10.1.2.</w:t>
      </w:r>
      <w:r w:rsidRPr="00834D52">
        <w:rPr>
          <w:rFonts w:ascii="Sylfaen" w:hAnsi="Sylfaen"/>
          <w:sz w:val="24"/>
          <w:szCs w:val="24"/>
        </w:rPr>
        <w:tab/>
        <w:t>Դեղապատրաստուկի գրանցման դոսյեի 1-ին մոդուլի 1.</w:t>
      </w:r>
      <w:r w:rsidR="00E90FAF" w:rsidRPr="00E90FAF">
        <w:rPr>
          <w:rFonts w:ascii="Sylfaen" w:hAnsi="Sylfaen"/>
          <w:sz w:val="24"/>
          <w:szCs w:val="24"/>
        </w:rPr>
        <w:t>10</w:t>
      </w:r>
      <w:r w:rsidRPr="00834D52">
        <w:rPr>
          <w:rFonts w:ascii="Sylfaen" w:hAnsi="Sylfaen"/>
          <w:sz w:val="24"/>
          <w:szCs w:val="24"/>
        </w:rPr>
        <w:t xml:space="preserve"> բաժնում գրանցման հավաստագրի իրավատիրոջ դեղազգոնության համակարգի մասին հակիրճ տեղեկատվության հետ միասին ներկայացվում է գրանցման համար հայտագրվող կենսահամանման (կենսանման) դեղապատրաստուկի ռիսկերի կառավարման պլանը:</w:t>
      </w:r>
    </w:p>
    <w:p w14:paraId="0F088F44" w14:textId="77777777" w:rsidR="006F76EB" w:rsidRPr="00834D52" w:rsidRDefault="006F76EB" w:rsidP="004B2E59">
      <w:pPr>
        <w:tabs>
          <w:tab w:val="left" w:pos="1701"/>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10.1.3.</w:t>
      </w:r>
      <w:r w:rsidRPr="00834D52">
        <w:rPr>
          <w:rFonts w:ascii="Sylfaen" w:hAnsi="Sylfaen"/>
          <w:sz w:val="24"/>
          <w:szCs w:val="24"/>
        </w:rPr>
        <w:tab/>
        <w:t xml:space="preserve">Գրանցման դոսյեի որոշակի տարրերի բացակայության դեպքում </w:t>
      </w:r>
      <w:r w:rsidRPr="00834D52">
        <w:rPr>
          <w:rFonts w:ascii="Sylfaen" w:hAnsi="Sylfaen"/>
          <w:sz w:val="24"/>
          <w:szCs w:val="24"/>
        </w:rPr>
        <w:lastRenderedPageBreak/>
        <w:t>պետք է ներկայացնել դրանց բացակայության հիմնավորումը տվյալ մոդուլի համապատասխան բաժնում:</w:t>
      </w:r>
    </w:p>
    <w:p w14:paraId="566CDCCC" w14:textId="77777777" w:rsidR="006F76EB" w:rsidRPr="00834D52" w:rsidRDefault="006F76EB" w:rsidP="004B2E59">
      <w:pPr>
        <w:tabs>
          <w:tab w:val="left" w:pos="1274"/>
        </w:tabs>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10.2.</w:t>
      </w:r>
      <w:r w:rsidRPr="00834D52">
        <w:rPr>
          <w:rFonts w:ascii="Sylfaen" w:hAnsi="Sylfaen"/>
          <w:sz w:val="24"/>
          <w:szCs w:val="24"/>
        </w:rPr>
        <w:tab/>
        <w:t>Մոդուլ 2.</w:t>
      </w:r>
    </w:p>
    <w:p w14:paraId="295F67AF" w14:textId="77777777" w:rsidR="006F76EB" w:rsidRPr="008B2F3A" w:rsidRDefault="006F76EB" w:rsidP="00746502">
      <w:pPr>
        <w:tabs>
          <w:tab w:val="left" w:pos="1418"/>
        </w:tabs>
        <w:spacing w:after="160" w:line="360" w:lineRule="auto"/>
        <w:ind w:right="-6" w:firstLine="567"/>
        <w:jc w:val="both"/>
        <w:rPr>
          <w:rFonts w:ascii="Sylfaen" w:eastAsia="Times New Roman" w:hAnsi="Sylfaen" w:cs="Times New Roman"/>
          <w:spacing w:val="-6"/>
          <w:sz w:val="24"/>
          <w:szCs w:val="24"/>
        </w:rPr>
      </w:pPr>
      <w:r w:rsidRPr="008B2F3A">
        <w:rPr>
          <w:rFonts w:ascii="Sylfaen" w:hAnsi="Sylfaen"/>
          <w:spacing w:val="-6"/>
          <w:sz w:val="24"/>
          <w:szCs w:val="24"/>
        </w:rPr>
        <w:t xml:space="preserve">Որակի մասով տվյալների ուսումնասիրության, նախակլինիկական </w:t>
      </w:r>
      <w:r w:rsidR="00C54D75">
        <w:rPr>
          <w:rFonts w:ascii="Sylfaen" w:hAnsi="Sylfaen"/>
          <w:spacing w:val="-6"/>
          <w:sz w:val="24"/>
          <w:szCs w:val="24"/>
        </w:rPr>
        <w:t>և</w:t>
      </w:r>
      <w:r w:rsidRPr="008B2F3A">
        <w:rPr>
          <w:rFonts w:ascii="Sylfaen" w:hAnsi="Sylfaen"/>
          <w:spacing w:val="-6"/>
          <w:sz w:val="24"/>
          <w:szCs w:val="24"/>
        </w:rPr>
        <w:t xml:space="preserve"> կլինիկական տվյալների ուսումնասիրությունների մեջ անհրաժեշտ է լրացուցիչ համեմատական տեղեկատվություն ներկայացնել հայտագրվող դեղապատրաստուկի </w:t>
      </w:r>
      <w:r w:rsidR="00C54D75">
        <w:rPr>
          <w:rFonts w:ascii="Sylfaen" w:hAnsi="Sylfaen"/>
          <w:spacing w:val="-6"/>
          <w:sz w:val="24"/>
          <w:szCs w:val="24"/>
        </w:rPr>
        <w:t>և</w:t>
      </w:r>
      <w:r w:rsidRPr="008B2F3A">
        <w:rPr>
          <w:rFonts w:ascii="Sylfaen" w:hAnsi="Sylfaen"/>
          <w:spacing w:val="-6"/>
          <w:sz w:val="24"/>
          <w:szCs w:val="24"/>
        </w:rPr>
        <w:t xml:space="preserve"> </w:t>
      </w:r>
      <w:r w:rsidR="0032680A">
        <w:rPr>
          <w:rFonts w:ascii="Sylfaen" w:hAnsi="Sylfaen"/>
          <w:spacing w:val="-6"/>
          <w:sz w:val="24"/>
          <w:szCs w:val="24"/>
        </w:rPr>
        <w:t xml:space="preserve">ռեֆերենտ </w:t>
      </w:r>
      <w:r w:rsidRPr="008B2F3A">
        <w:rPr>
          <w:rFonts w:ascii="Sylfaen" w:hAnsi="Sylfaen"/>
          <w:spacing w:val="-6"/>
          <w:sz w:val="24"/>
          <w:szCs w:val="24"/>
        </w:rPr>
        <w:t>դեղապատրաստուկի վերաբերյալ, ինչպես նա</w:t>
      </w:r>
      <w:r w:rsidR="00C54D75">
        <w:rPr>
          <w:rFonts w:ascii="Sylfaen" w:hAnsi="Sylfaen"/>
          <w:spacing w:val="-6"/>
          <w:sz w:val="24"/>
          <w:szCs w:val="24"/>
        </w:rPr>
        <w:t>և</w:t>
      </w:r>
      <w:r w:rsidRPr="008B2F3A">
        <w:rPr>
          <w:rFonts w:ascii="Sylfaen" w:hAnsi="Sylfaen"/>
          <w:spacing w:val="-6"/>
          <w:sz w:val="24"/>
          <w:szCs w:val="24"/>
        </w:rPr>
        <w:t xml:space="preserve"> բերել </w:t>
      </w:r>
      <w:r w:rsidR="00D23E48" w:rsidRPr="008B2F3A">
        <w:rPr>
          <w:rFonts w:ascii="Sylfaen" w:hAnsi="Sylfaen"/>
          <w:spacing w:val="-6"/>
          <w:sz w:val="24"/>
          <w:szCs w:val="24"/>
        </w:rPr>
        <w:t xml:space="preserve">ռեֆերենտ </w:t>
      </w:r>
      <w:r w:rsidRPr="008B2F3A">
        <w:rPr>
          <w:rFonts w:ascii="Sylfaen" w:hAnsi="Sylfaen"/>
          <w:spacing w:val="-6"/>
          <w:sz w:val="24"/>
          <w:szCs w:val="24"/>
        </w:rPr>
        <w:t xml:space="preserve">պատրաստուկի ընտրության չափանիշները </w:t>
      </w:r>
      <w:r w:rsidR="00C54D75">
        <w:rPr>
          <w:rFonts w:ascii="Sylfaen" w:hAnsi="Sylfaen"/>
          <w:spacing w:val="-6"/>
          <w:sz w:val="24"/>
          <w:szCs w:val="24"/>
        </w:rPr>
        <w:t>և</w:t>
      </w:r>
      <w:r w:rsidRPr="008B2F3A">
        <w:rPr>
          <w:rFonts w:ascii="Sylfaen" w:hAnsi="Sylfaen"/>
          <w:spacing w:val="-6"/>
          <w:sz w:val="24"/>
          <w:szCs w:val="24"/>
        </w:rPr>
        <w:t xml:space="preserve"> դրանց հիմնավորումը:</w:t>
      </w:r>
    </w:p>
    <w:p w14:paraId="4C197BCA"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pacing w:val="-4"/>
          <w:sz w:val="24"/>
          <w:szCs w:val="24"/>
        </w:rPr>
        <w:t xml:space="preserve">Հետազոտության հաշվետվությունը կամ առանձին պաշտոնական գրությունը պետք է </w:t>
      </w:r>
      <w:r w:rsidR="0032680A">
        <w:rPr>
          <w:rFonts w:ascii="Sylfaen" w:hAnsi="Sylfaen"/>
          <w:spacing w:val="-4"/>
          <w:sz w:val="24"/>
          <w:szCs w:val="24"/>
        </w:rPr>
        <w:t xml:space="preserve">ռեֆերենտ </w:t>
      </w:r>
      <w:r w:rsidRPr="00834D52">
        <w:rPr>
          <w:rFonts w:ascii="Sylfaen" w:hAnsi="Sylfaen"/>
          <w:spacing w:val="-4"/>
          <w:sz w:val="24"/>
          <w:szCs w:val="24"/>
        </w:rPr>
        <w:t>դեղապատրաստուկի ընտրության հաստատում պարունակի՝ Հանձնաժողովի կողմից հաստատվող՝ Եվրասիական տնտեսական միության շրջանակներում կենսաբանական դեղամիջոցների հետազոտությունների անցկացման կանոններին համապատասխան: Նա</w:t>
      </w:r>
      <w:r w:rsidR="00C54D75">
        <w:rPr>
          <w:rFonts w:ascii="Sylfaen" w:hAnsi="Sylfaen"/>
          <w:spacing w:val="-4"/>
          <w:sz w:val="24"/>
          <w:szCs w:val="24"/>
        </w:rPr>
        <w:t>և</w:t>
      </w:r>
      <w:r w:rsidRPr="00834D52">
        <w:rPr>
          <w:rFonts w:ascii="Sylfaen" w:hAnsi="Sylfaen"/>
          <w:spacing w:val="-4"/>
          <w:sz w:val="24"/>
          <w:szCs w:val="24"/>
        </w:rPr>
        <w:t xml:space="preserve"> պետք է նշվեն </w:t>
      </w:r>
      <w:r w:rsidR="00D23E48">
        <w:rPr>
          <w:rFonts w:ascii="Sylfaen" w:hAnsi="Sylfaen"/>
          <w:spacing w:val="-4"/>
          <w:sz w:val="24"/>
          <w:szCs w:val="24"/>
        </w:rPr>
        <w:t xml:space="preserve">ռեֆերենտ </w:t>
      </w:r>
      <w:r w:rsidRPr="00834D52">
        <w:rPr>
          <w:rFonts w:ascii="Sylfaen" w:hAnsi="Sylfaen"/>
          <w:spacing w:val="-4"/>
          <w:sz w:val="24"/>
          <w:szCs w:val="24"/>
        </w:rPr>
        <w:t>պատրաստուկի վերաբերյալ հետ</w:t>
      </w:r>
      <w:r w:rsidR="00C54D75">
        <w:rPr>
          <w:rFonts w:ascii="Sylfaen" w:hAnsi="Sylfaen"/>
          <w:spacing w:val="-4"/>
          <w:sz w:val="24"/>
          <w:szCs w:val="24"/>
        </w:rPr>
        <w:t>և</w:t>
      </w:r>
      <w:r w:rsidRPr="00834D52">
        <w:rPr>
          <w:rFonts w:ascii="Sylfaen" w:hAnsi="Sylfaen"/>
          <w:spacing w:val="-4"/>
          <w:sz w:val="24"/>
          <w:szCs w:val="24"/>
        </w:rPr>
        <w:t>յալ տեղեկությունները</w:t>
      </w:r>
      <w:r w:rsidRPr="00834D52">
        <w:rPr>
          <w:rFonts w:ascii="Sylfaen" w:hAnsi="Sylfaen"/>
          <w:sz w:val="24"/>
          <w:szCs w:val="24"/>
        </w:rPr>
        <w:t>.</w:t>
      </w:r>
    </w:p>
    <w:p w14:paraId="08AEDEB6" w14:textId="77777777" w:rsidR="006F76EB" w:rsidRPr="00834D52" w:rsidRDefault="006F76EB" w:rsidP="004B2E59">
      <w:pPr>
        <w:tabs>
          <w:tab w:val="left" w:pos="1418"/>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անվանումը.</w:t>
      </w:r>
    </w:p>
    <w:p w14:paraId="37A295EE"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դոզավորումը </w:t>
      </w:r>
      <w:r w:rsidR="00C54D75">
        <w:rPr>
          <w:rFonts w:ascii="Sylfaen" w:hAnsi="Sylfaen"/>
          <w:sz w:val="24"/>
          <w:szCs w:val="24"/>
        </w:rPr>
        <w:t>և</w:t>
      </w:r>
      <w:r w:rsidRPr="00834D52">
        <w:rPr>
          <w:rFonts w:ascii="Sylfaen" w:hAnsi="Sylfaen"/>
          <w:sz w:val="24"/>
          <w:szCs w:val="24"/>
        </w:rPr>
        <w:t xml:space="preserve"> դեղաձ</w:t>
      </w:r>
      <w:r w:rsidR="00C54D75">
        <w:rPr>
          <w:rFonts w:ascii="Sylfaen" w:hAnsi="Sylfaen"/>
          <w:sz w:val="24"/>
          <w:szCs w:val="24"/>
        </w:rPr>
        <w:t>և</w:t>
      </w:r>
      <w:r w:rsidRPr="00834D52">
        <w:rPr>
          <w:rFonts w:ascii="Sylfaen" w:hAnsi="Sylfaen"/>
          <w:sz w:val="24"/>
          <w:szCs w:val="24"/>
        </w:rPr>
        <w:t>ը.</w:t>
      </w:r>
    </w:p>
    <w:p w14:paraId="735E8C92"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իրավատիրոջ անվանումը.</w:t>
      </w:r>
    </w:p>
    <w:p w14:paraId="0D43B753"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գրանցման ամսաթիվը </w:t>
      </w:r>
      <w:r w:rsidR="00C54D75">
        <w:rPr>
          <w:rFonts w:ascii="Sylfaen" w:hAnsi="Sylfaen"/>
          <w:sz w:val="24"/>
          <w:szCs w:val="24"/>
        </w:rPr>
        <w:t>և</w:t>
      </w:r>
      <w:r w:rsidRPr="00834D52">
        <w:rPr>
          <w:rFonts w:ascii="Sylfaen" w:hAnsi="Sylfaen"/>
          <w:sz w:val="24"/>
          <w:szCs w:val="24"/>
        </w:rPr>
        <w:t xml:space="preserve"> համարը (համարները).</w:t>
      </w:r>
    </w:p>
    <w:p w14:paraId="79DCAF69"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անդամ պետությունները, որտեղ </w:t>
      </w:r>
      <w:r w:rsidR="0032680A">
        <w:rPr>
          <w:rFonts w:ascii="Sylfaen" w:hAnsi="Sylfaen"/>
          <w:sz w:val="24"/>
          <w:szCs w:val="24"/>
        </w:rPr>
        <w:t xml:space="preserve">ռեֆերենտ </w:t>
      </w:r>
      <w:r w:rsidRPr="00834D52">
        <w:rPr>
          <w:rFonts w:ascii="Sylfaen" w:hAnsi="Sylfaen"/>
          <w:sz w:val="24"/>
          <w:szCs w:val="24"/>
        </w:rPr>
        <w:t>պատրաստուկը գրանցված</w:t>
      </w:r>
      <w:r w:rsidR="00BC52BC" w:rsidRPr="00BC52BC">
        <w:rPr>
          <w:rFonts w:ascii="Sylfaen" w:hAnsi="Sylfaen"/>
          <w:sz w:val="24"/>
          <w:szCs w:val="24"/>
        </w:rPr>
        <w:t> </w:t>
      </w:r>
      <w:r w:rsidRPr="00834D52">
        <w:rPr>
          <w:rFonts w:ascii="Sylfaen" w:hAnsi="Sylfaen"/>
          <w:sz w:val="24"/>
          <w:szCs w:val="24"/>
        </w:rPr>
        <w:t>է.</w:t>
      </w:r>
    </w:p>
    <w:p w14:paraId="22423B31"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հետազոտությունների </w:t>
      </w:r>
      <w:r w:rsidR="00C54D75">
        <w:rPr>
          <w:rFonts w:ascii="Sylfaen" w:hAnsi="Sylfaen"/>
          <w:sz w:val="24"/>
          <w:szCs w:val="24"/>
        </w:rPr>
        <w:t>և</w:t>
      </w:r>
      <w:r w:rsidRPr="00834D52">
        <w:rPr>
          <w:rFonts w:ascii="Sylfaen" w:hAnsi="Sylfaen"/>
          <w:sz w:val="24"/>
          <w:szCs w:val="24"/>
        </w:rPr>
        <w:t xml:space="preserve"> դեղագործական մշակման համար օգտագործված </w:t>
      </w:r>
      <w:r w:rsidR="00D23E48">
        <w:rPr>
          <w:rFonts w:ascii="Sylfaen" w:hAnsi="Sylfaen"/>
          <w:sz w:val="24"/>
          <w:szCs w:val="24"/>
        </w:rPr>
        <w:t xml:space="preserve">ռեֆերենտ </w:t>
      </w:r>
      <w:r w:rsidRPr="00834D52">
        <w:rPr>
          <w:rFonts w:ascii="Sylfaen" w:hAnsi="Sylfaen"/>
          <w:sz w:val="24"/>
          <w:szCs w:val="24"/>
        </w:rPr>
        <w:t>պատրաստուկի սերիայի համարը.</w:t>
      </w:r>
    </w:p>
    <w:p w14:paraId="61E59DF1"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արտադրողի անվանումը.</w:t>
      </w:r>
    </w:p>
    <w:p w14:paraId="40E909E8"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պիտանիության ժամկետը.</w:t>
      </w:r>
    </w:p>
    <w:p w14:paraId="472DDD93"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ձեռքբերման երկիրը:</w:t>
      </w:r>
    </w:p>
    <w:p w14:paraId="459A3781"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Առկայության դեպքում անհրաժեշտ է ներկայացնել Դեղամիջոցների </w:t>
      </w:r>
      <w:r w:rsidRPr="00834D52">
        <w:rPr>
          <w:rFonts w:ascii="Sylfaen" w:hAnsi="Sylfaen"/>
          <w:sz w:val="24"/>
          <w:szCs w:val="24"/>
        </w:rPr>
        <w:lastRenderedPageBreak/>
        <w:t xml:space="preserve">հարցերով փորձագիտական կոմիտեի առաջարկությունը </w:t>
      </w:r>
      <w:r w:rsidR="00D23E48">
        <w:rPr>
          <w:rFonts w:ascii="Sylfaen" w:hAnsi="Sylfaen"/>
          <w:sz w:val="24"/>
          <w:szCs w:val="24"/>
        </w:rPr>
        <w:t xml:space="preserve">ռեֆերենտ </w:t>
      </w:r>
      <w:r w:rsidRPr="00834D52">
        <w:rPr>
          <w:rFonts w:ascii="Sylfaen" w:hAnsi="Sylfaen"/>
          <w:sz w:val="24"/>
          <w:szCs w:val="24"/>
        </w:rPr>
        <w:t>պատրաստուկի ընտրության հարցի վերաբերյալ:</w:t>
      </w:r>
    </w:p>
    <w:p w14:paraId="4850274E"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նշել հետազոտվող պատրաստուկի (պատրաստուկների) անվանումը </w:t>
      </w:r>
      <w:r w:rsidR="00C54D75">
        <w:rPr>
          <w:rFonts w:ascii="Sylfaen" w:hAnsi="Sylfaen"/>
          <w:sz w:val="24"/>
          <w:szCs w:val="24"/>
        </w:rPr>
        <w:t>և</w:t>
      </w:r>
      <w:r w:rsidRPr="00834D52">
        <w:rPr>
          <w:rFonts w:ascii="Sylfaen" w:hAnsi="Sylfaen"/>
          <w:sz w:val="24"/>
          <w:szCs w:val="24"/>
        </w:rPr>
        <w:t xml:space="preserve"> կազմը, սերիայի ծավալը, արտադրության ամսաթիվը </w:t>
      </w:r>
      <w:r w:rsidR="00C54D75">
        <w:rPr>
          <w:rFonts w:ascii="Sylfaen" w:hAnsi="Sylfaen"/>
          <w:sz w:val="24"/>
          <w:szCs w:val="24"/>
        </w:rPr>
        <w:t>և</w:t>
      </w:r>
      <w:r w:rsidRPr="00834D52">
        <w:rPr>
          <w:rFonts w:ascii="Sylfaen" w:hAnsi="Sylfaen"/>
          <w:sz w:val="24"/>
          <w:szCs w:val="24"/>
        </w:rPr>
        <w:t xml:space="preserve"> հնարավորության դեպքում՝ պիտանիության ժամկետի ավարտի ամսաթիվը:</w:t>
      </w:r>
    </w:p>
    <w:p w14:paraId="4600B433" w14:textId="77777777" w:rsidR="006F76EB" w:rsidRPr="00834D52" w:rsidRDefault="006F76EB" w:rsidP="00746502">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անցկացված համեմատական նախակլինիկական </w:t>
      </w:r>
      <w:r w:rsidR="00C54D75">
        <w:rPr>
          <w:rFonts w:ascii="Sylfaen" w:hAnsi="Sylfaen"/>
          <w:sz w:val="24"/>
          <w:szCs w:val="24"/>
        </w:rPr>
        <w:t>և</w:t>
      </w:r>
      <w:r w:rsidRPr="00834D52">
        <w:rPr>
          <w:rFonts w:ascii="Sylfaen" w:hAnsi="Sylfaen"/>
          <w:sz w:val="24"/>
          <w:szCs w:val="24"/>
        </w:rPr>
        <w:t xml:space="preserve"> (կամ) կլինիկական հետազոտությունների ծավալի հիմնավորում՝ ելնելով Հանձնաժողովի կողմից հաստատվող՝ Եվրասիական տնտեսական միության շրջանակներում կենսաբանական դեղամիջոցների հետազոտությունների անցկացման կանոնների պահանջներից: Հետազոտության վերաբերյալ հաշվետվության հավելվածում անհրաժեշտ է ներկայացնել հետազոտության մեջ օգտագործված </w:t>
      </w:r>
      <w:r w:rsidR="0032680A">
        <w:rPr>
          <w:rFonts w:ascii="Sylfaen" w:hAnsi="Sylfaen"/>
          <w:sz w:val="24"/>
          <w:szCs w:val="24"/>
        </w:rPr>
        <w:t xml:space="preserve">ռեֆերենտ </w:t>
      </w:r>
      <w:r w:rsidR="00C54D75">
        <w:rPr>
          <w:rFonts w:ascii="Sylfaen" w:hAnsi="Sylfaen"/>
          <w:sz w:val="24"/>
          <w:szCs w:val="24"/>
        </w:rPr>
        <w:t>և</w:t>
      </w:r>
      <w:r w:rsidRPr="00834D52">
        <w:rPr>
          <w:rFonts w:ascii="Sylfaen" w:hAnsi="Sylfaen"/>
          <w:sz w:val="24"/>
          <w:szCs w:val="24"/>
        </w:rPr>
        <w:t xml:space="preserve"> հետազոտվող պատրաստուկների սերիաների վերլուծության հավաստագրերի պատճենները:</w:t>
      </w:r>
    </w:p>
    <w:p w14:paraId="240DF2B4" w14:textId="77777777" w:rsidR="006F76EB" w:rsidRPr="00834D52" w:rsidRDefault="006F76EB" w:rsidP="00746502">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10.3.</w:t>
      </w:r>
      <w:r w:rsidRPr="00834D52">
        <w:rPr>
          <w:rFonts w:ascii="Sylfaen" w:hAnsi="Sylfaen"/>
          <w:sz w:val="24"/>
          <w:szCs w:val="24"/>
        </w:rPr>
        <w:tab/>
        <w:t>Մոդուլ 3.</w:t>
      </w:r>
    </w:p>
    <w:p w14:paraId="4624A5A1" w14:textId="77777777" w:rsidR="006F76EB" w:rsidRPr="00834D52" w:rsidRDefault="006F76EB" w:rsidP="00746502">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գրանցման դոսյեի 3-րդ մոդուլում անհրաժեշտ է լրացուցիչ ներկայացնել հետ</w:t>
      </w:r>
      <w:r w:rsidR="00C54D75">
        <w:rPr>
          <w:rFonts w:ascii="Sylfaen" w:hAnsi="Sylfaen"/>
          <w:sz w:val="24"/>
          <w:szCs w:val="24"/>
        </w:rPr>
        <w:t>և</w:t>
      </w:r>
      <w:r w:rsidRPr="00834D52">
        <w:rPr>
          <w:rFonts w:ascii="Sylfaen" w:hAnsi="Sylfaen"/>
          <w:sz w:val="24"/>
          <w:szCs w:val="24"/>
        </w:rPr>
        <w:t>յալ տվյալները՝ հաշվի առնելով Հանձնաժողովի կողմից հաստատվող՝ Եվրասիական տնտեսական միության շրջանակներում կենսաբանական դեղամիջոցների հետազոտությունների անցկացման կանոնների պահանջները.</w:t>
      </w:r>
    </w:p>
    <w:p w14:paraId="06F2DAD9" w14:textId="77777777" w:rsidR="006F76EB" w:rsidRPr="00834D52" w:rsidRDefault="006F76EB" w:rsidP="00746502">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կենսահամանման (կենսանման) դեղապատրաստուկի </w:t>
      </w:r>
      <w:r w:rsidR="00C54D75">
        <w:rPr>
          <w:rFonts w:ascii="Sylfaen" w:hAnsi="Sylfaen"/>
          <w:sz w:val="24"/>
          <w:szCs w:val="24"/>
        </w:rPr>
        <w:t>և</w:t>
      </w:r>
      <w:r w:rsidRPr="00834D52">
        <w:rPr>
          <w:rFonts w:ascii="Sylfaen" w:hAnsi="Sylfaen"/>
          <w:sz w:val="24"/>
          <w:szCs w:val="24"/>
        </w:rPr>
        <w:t xml:space="preserve"> </w:t>
      </w:r>
      <w:r w:rsidR="0032680A">
        <w:rPr>
          <w:rFonts w:ascii="Sylfaen" w:hAnsi="Sylfaen"/>
          <w:sz w:val="24"/>
          <w:szCs w:val="24"/>
        </w:rPr>
        <w:t xml:space="preserve">ռեֆերենտ </w:t>
      </w:r>
      <w:r w:rsidRPr="00834D52">
        <w:rPr>
          <w:rFonts w:ascii="Sylfaen" w:hAnsi="Sylfaen"/>
          <w:sz w:val="24"/>
          <w:szCs w:val="24"/>
        </w:rPr>
        <w:t xml:space="preserve">կենսաբանական դեղապատրաստուկի ակտիվ նյութերի մոլեկուլային </w:t>
      </w:r>
      <w:r w:rsidR="00C54D75">
        <w:rPr>
          <w:rFonts w:ascii="Sylfaen" w:hAnsi="Sylfaen"/>
          <w:sz w:val="24"/>
          <w:szCs w:val="24"/>
        </w:rPr>
        <w:t>և</w:t>
      </w:r>
      <w:r w:rsidRPr="00834D52">
        <w:rPr>
          <w:rFonts w:ascii="Sylfaen" w:hAnsi="Sylfaen"/>
          <w:sz w:val="24"/>
          <w:szCs w:val="24"/>
        </w:rPr>
        <w:t xml:space="preserve"> կենսաբանական բնութագրերի միանմանության հաստատումը (առաջնային կառուցվածքի </w:t>
      </w:r>
      <w:r w:rsidR="00C54D75">
        <w:rPr>
          <w:rFonts w:ascii="Sylfaen" w:hAnsi="Sylfaen"/>
          <w:sz w:val="24"/>
          <w:szCs w:val="24"/>
        </w:rPr>
        <w:t>և</w:t>
      </w:r>
      <w:r w:rsidRPr="00834D52">
        <w:rPr>
          <w:rFonts w:ascii="Sylfaen" w:hAnsi="Sylfaen"/>
          <w:sz w:val="24"/>
          <w:szCs w:val="24"/>
        </w:rPr>
        <w:t xml:space="preserve"> ավելի բարձր կարգի կառուցվածքների, կենսաբանական ակտիվության հետտրանսլյացիոն մոդիֆիկացիաների (ներառյալ մասնավորապես գլիկոձ</w:t>
      </w:r>
      <w:r w:rsidR="00C54D75">
        <w:rPr>
          <w:rFonts w:ascii="Sylfaen" w:hAnsi="Sylfaen"/>
          <w:sz w:val="24"/>
          <w:szCs w:val="24"/>
        </w:rPr>
        <w:t>և</w:t>
      </w:r>
      <w:r w:rsidRPr="00834D52">
        <w:rPr>
          <w:rFonts w:ascii="Sylfaen" w:hAnsi="Sylfaen"/>
          <w:sz w:val="24"/>
          <w:szCs w:val="24"/>
        </w:rPr>
        <w:t>երը), զտության, խառնուրդների մասով տվյալներ).</w:t>
      </w:r>
    </w:p>
    <w:p w14:paraId="2DC263A4" w14:textId="77777777" w:rsidR="006F76EB" w:rsidRPr="00834D52" w:rsidRDefault="006F76EB" w:rsidP="0074650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բիոսիմիլար դեղապատրաստուկի </w:t>
      </w:r>
      <w:r w:rsidR="00C54D75">
        <w:rPr>
          <w:rFonts w:ascii="Sylfaen" w:hAnsi="Sylfaen"/>
          <w:sz w:val="24"/>
          <w:szCs w:val="24"/>
        </w:rPr>
        <w:t>և</w:t>
      </w:r>
      <w:r w:rsidRPr="00834D52">
        <w:rPr>
          <w:rFonts w:ascii="Sylfaen" w:hAnsi="Sylfaen"/>
          <w:sz w:val="24"/>
          <w:szCs w:val="24"/>
        </w:rPr>
        <w:t xml:space="preserve"> </w:t>
      </w:r>
      <w:r w:rsidR="0032680A">
        <w:rPr>
          <w:rFonts w:ascii="Sylfaen" w:hAnsi="Sylfaen"/>
          <w:sz w:val="24"/>
          <w:szCs w:val="24"/>
        </w:rPr>
        <w:t xml:space="preserve">ռեֆերենտ </w:t>
      </w:r>
      <w:r w:rsidRPr="00834D52">
        <w:rPr>
          <w:rFonts w:ascii="Sylfaen" w:hAnsi="Sylfaen"/>
          <w:sz w:val="24"/>
          <w:szCs w:val="24"/>
        </w:rPr>
        <w:t>կենսաբանական դեղապատրաստուկի բնութագրերի միանմանության հաստատումը (դեղաձ</w:t>
      </w:r>
      <w:r w:rsidR="00C54D75">
        <w:rPr>
          <w:rFonts w:ascii="Sylfaen" w:hAnsi="Sylfaen"/>
          <w:sz w:val="24"/>
          <w:szCs w:val="24"/>
        </w:rPr>
        <w:t>և</w:t>
      </w:r>
      <w:r w:rsidRPr="00834D52">
        <w:rPr>
          <w:rFonts w:ascii="Sylfaen" w:hAnsi="Sylfaen"/>
          <w:sz w:val="24"/>
          <w:szCs w:val="24"/>
        </w:rPr>
        <w:t xml:space="preserve">ը, քանակական </w:t>
      </w:r>
      <w:r w:rsidR="00C54D75">
        <w:rPr>
          <w:rFonts w:ascii="Sylfaen" w:hAnsi="Sylfaen"/>
          <w:sz w:val="24"/>
          <w:szCs w:val="24"/>
        </w:rPr>
        <w:t>և</w:t>
      </w:r>
      <w:r w:rsidRPr="00834D52">
        <w:rPr>
          <w:rFonts w:ascii="Sylfaen" w:hAnsi="Sylfaen"/>
          <w:sz w:val="24"/>
          <w:szCs w:val="24"/>
        </w:rPr>
        <w:t xml:space="preserve"> որակական կազմը, դոզավորումը, կիրառման եղանակը, </w:t>
      </w:r>
      <w:r w:rsidRPr="00834D52">
        <w:rPr>
          <w:rFonts w:ascii="Sylfaen" w:hAnsi="Sylfaen"/>
          <w:sz w:val="24"/>
          <w:szCs w:val="24"/>
        </w:rPr>
        <w:lastRenderedPageBreak/>
        <w:t>պահպանման պայմանները, պահպանման ժամկետը, կայունությունը, խառնուրդների պրոֆիլը).</w:t>
      </w:r>
    </w:p>
    <w:p w14:paraId="157555E2" w14:textId="77777777" w:rsidR="006F76EB" w:rsidRPr="00834D52" w:rsidRDefault="006F76EB" w:rsidP="00A40351">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խառնուրդներում </w:t>
      </w:r>
      <w:r w:rsidR="00C54D75">
        <w:rPr>
          <w:rFonts w:ascii="Sylfaen" w:hAnsi="Sylfaen"/>
          <w:sz w:val="24"/>
          <w:szCs w:val="24"/>
        </w:rPr>
        <w:t>և</w:t>
      </w:r>
      <w:r w:rsidRPr="00834D52">
        <w:rPr>
          <w:rFonts w:ascii="Sylfaen" w:hAnsi="Sylfaen"/>
          <w:sz w:val="24"/>
          <w:szCs w:val="24"/>
        </w:rPr>
        <w:t xml:space="preserve"> օժանդակ նյութերում տարբերությունների առկայության դեպքում պետք է գնահատվի դրանց հնարավոր ազդեցությունը բիոսիմիլարի կլինիկական անվտանգության </w:t>
      </w:r>
      <w:r w:rsidR="00C54D75">
        <w:rPr>
          <w:rFonts w:ascii="Sylfaen" w:hAnsi="Sylfaen"/>
          <w:sz w:val="24"/>
          <w:szCs w:val="24"/>
        </w:rPr>
        <w:t>և</w:t>
      </w:r>
      <w:r w:rsidRPr="00834D52">
        <w:rPr>
          <w:rFonts w:ascii="Sylfaen" w:hAnsi="Sylfaen"/>
          <w:sz w:val="24"/>
          <w:szCs w:val="24"/>
        </w:rPr>
        <w:t xml:space="preserve"> արդյունավետության պրոֆիլի վրա </w:t>
      </w:r>
      <w:r w:rsidR="00C54D75">
        <w:rPr>
          <w:rFonts w:ascii="Sylfaen" w:hAnsi="Sylfaen"/>
          <w:sz w:val="24"/>
          <w:szCs w:val="24"/>
        </w:rPr>
        <w:t>և</w:t>
      </w:r>
      <w:r w:rsidRPr="00834D52">
        <w:rPr>
          <w:rFonts w:ascii="Sylfaen" w:hAnsi="Sylfaen"/>
          <w:sz w:val="24"/>
          <w:szCs w:val="24"/>
        </w:rPr>
        <w:t xml:space="preserve"> ներկայացվի այդ տարբերությունների ընդունելիության հիմնավորումը (սեփական հետազոտության արդյունքների կամ գիտական գրականության մեջ բերված տվյալների հիման վրա) այնպիսի տարբերությունների առկայության դեպքում, որոնց կլինիկական նշանակությունը հայտնի չէ՝ հատկապես անվտանգության առումով, նախագրանցումային </w:t>
      </w:r>
      <w:r w:rsidR="00C54D75">
        <w:rPr>
          <w:rFonts w:ascii="Sylfaen" w:hAnsi="Sylfaen"/>
          <w:sz w:val="24"/>
          <w:szCs w:val="24"/>
        </w:rPr>
        <w:t>և</w:t>
      </w:r>
      <w:r w:rsidRPr="00834D52">
        <w:rPr>
          <w:rFonts w:ascii="Sylfaen" w:hAnsi="Sylfaen"/>
          <w:sz w:val="24"/>
          <w:szCs w:val="24"/>
        </w:rPr>
        <w:t xml:space="preserve"> հետգրանցումային շրջանում պահանջվում է անցկացնել լրացուցիչ հետազոտություններ.</w:t>
      </w:r>
    </w:p>
    <w:p w14:paraId="516C87A2" w14:textId="77777777" w:rsidR="006F76EB" w:rsidRPr="00834D52" w:rsidRDefault="006F76EB" w:rsidP="00A40351">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 xml:space="preserve">արտադրական պրոցեսի ամբողջական նկարագրությունը </w:t>
      </w:r>
      <w:r w:rsidR="00C54D75">
        <w:rPr>
          <w:rFonts w:ascii="Sylfaen" w:hAnsi="Sylfaen"/>
          <w:sz w:val="24"/>
          <w:szCs w:val="24"/>
        </w:rPr>
        <w:t>և</w:t>
      </w:r>
      <w:r w:rsidRPr="00834D52">
        <w:rPr>
          <w:rFonts w:ascii="Sylfaen" w:hAnsi="Sylfaen"/>
          <w:sz w:val="24"/>
          <w:szCs w:val="24"/>
        </w:rPr>
        <w:t xml:space="preserve"> տվյալները (սկսած էքսպրեսվող կառուցվածքների (համակարգերի), ելակետային </w:t>
      </w:r>
      <w:r w:rsidR="00F251C5" w:rsidRPr="00F06D43">
        <w:rPr>
          <w:rFonts w:ascii="Sylfaen" w:hAnsi="Sylfaen"/>
          <w:sz w:val="24"/>
          <w:szCs w:val="24"/>
        </w:rPr>
        <w:br/>
      </w:r>
      <w:r w:rsidRPr="00834D52">
        <w:rPr>
          <w:rFonts w:ascii="Sylfaen" w:hAnsi="Sylfaen"/>
          <w:sz w:val="24"/>
          <w:szCs w:val="24"/>
        </w:rPr>
        <w:t xml:space="preserve">շտամ-պրոդուցենտի </w:t>
      </w:r>
      <w:r w:rsidR="00C54D75">
        <w:rPr>
          <w:rFonts w:ascii="Sylfaen" w:hAnsi="Sylfaen"/>
          <w:sz w:val="24"/>
          <w:szCs w:val="24"/>
        </w:rPr>
        <w:t>և</w:t>
      </w:r>
      <w:r w:rsidRPr="00834D52">
        <w:rPr>
          <w:rFonts w:ascii="Sylfaen" w:hAnsi="Sylfaen"/>
          <w:sz w:val="24"/>
          <w:szCs w:val="24"/>
        </w:rPr>
        <w:t xml:space="preserve"> բջիջների բանկերի մշակումից, բջիջների կուլտուրաներից (կուլտիվացումից), հավաքելուց, մաքրելուց, արտադրանքն արտադրելուց </w:t>
      </w:r>
      <w:r w:rsidR="00C54D75">
        <w:rPr>
          <w:rFonts w:ascii="Sylfaen" w:hAnsi="Sylfaen"/>
          <w:sz w:val="24"/>
          <w:szCs w:val="24"/>
        </w:rPr>
        <w:t>և</w:t>
      </w:r>
      <w:r w:rsidRPr="00834D52">
        <w:rPr>
          <w:rFonts w:ascii="Sylfaen" w:hAnsi="Sylfaen"/>
          <w:sz w:val="24"/>
          <w:szCs w:val="24"/>
        </w:rPr>
        <w:t xml:space="preserve"> մաքրելուց հետո լրացուցիչ արտադրական պրոցեսներից, չբաժնեծրարված արտադրանքի </w:t>
      </w:r>
      <w:r w:rsidR="00C54D75">
        <w:rPr>
          <w:rFonts w:ascii="Sylfaen" w:hAnsi="Sylfaen"/>
          <w:sz w:val="24"/>
          <w:szCs w:val="24"/>
        </w:rPr>
        <w:t>և</w:t>
      </w:r>
      <w:r w:rsidRPr="00834D52">
        <w:rPr>
          <w:rFonts w:ascii="Sylfaen" w:hAnsi="Sylfaen"/>
          <w:sz w:val="24"/>
          <w:szCs w:val="24"/>
        </w:rPr>
        <w:t xml:space="preserve"> պատրաստի դեղաձ</w:t>
      </w:r>
      <w:r w:rsidR="00C54D75">
        <w:rPr>
          <w:rFonts w:ascii="Sylfaen" w:hAnsi="Sylfaen"/>
          <w:sz w:val="24"/>
          <w:szCs w:val="24"/>
        </w:rPr>
        <w:t>և</w:t>
      </w:r>
      <w:r w:rsidRPr="00834D52">
        <w:rPr>
          <w:rFonts w:ascii="Sylfaen" w:hAnsi="Sylfaen"/>
          <w:sz w:val="24"/>
          <w:szCs w:val="24"/>
        </w:rPr>
        <w:t xml:space="preserve">ի համար կոնտեյներները լցնելուց </w:t>
      </w:r>
      <w:r w:rsidR="00C54D75">
        <w:rPr>
          <w:rFonts w:ascii="Sylfaen" w:hAnsi="Sylfaen"/>
          <w:sz w:val="24"/>
          <w:szCs w:val="24"/>
        </w:rPr>
        <w:t>և</w:t>
      </w:r>
      <w:r w:rsidRPr="00834D52">
        <w:rPr>
          <w:rFonts w:ascii="Sylfaen" w:hAnsi="Sylfaen"/>
          <w:sz w:val="24"/>
          <w:szCs w:val="24"/>
        </w:rPr>
        <w:t xml:space="preserve"> վերջացրած պահպանումով).</w:t>
      </w:r>
    </w:p>
    <w:p w14:paraId="4B9C2519" w14:textId="77777777" w:rsidR="006F76EB" w:rsidRPr="00834D52" w:rsidRDefault="006F76EB" w:rsidP="00A40351">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w:t>
      </w:r>
      <w:r w:rsidRPr="00834D52">
        <w:rPr>
          <w:rFonts w:ascii="Sylfaen" w:hAnsi="Sylfaen"/>
          <w:sz w:val="24"/>
          <w:szCs w:val="24"/>
        </w:rPr>
        <w:tab/>
        <w:t>կենսահամանման (կենսանման) դեղապատրաստուկի դեղագործական մշակման ընթացքում անցկացվող հետազոտությունների վերաբերյալ տվյալները՝ դրա դեղաձ</w:t>
      </w:r>
      <w:r w:rsidR="00C54D75">
        <w:rPr>
          <w:rFonts w:ascii="Sylfaen" w:hAnsi="Sylfaen"/>
          <w:sz w:val="24"/>
          <w:szCs w:val="24"/>
        </w:rPr>
        <w:t>և</w:t>
      </w:r>
      <w:r w:rsidRPr="00834D52">
        <w:rPr>
          <w:rFonts w:ascii="Sylfaen" w:hAnsi="Sylfaen"/>
          <w:sz w:val="24"/>
          <w:szCs w:val="24"/>
        </w:rPr>
        <w:t xml:space="preserve">ը, կազմը </w:t>
      </w:r>
      <w:r w:rsidR="00C54D75">
        <w:rPr>
          <w:rFonts w:ascii="Sylfaen" w:hAnsi="Sylfaen"/>
          <w:sz w:val="24"/>
          <w:szCs w:val="24"/>
        </w:rPr>
        <w:t>և</w:t>
      </w:r>
      <w:r w:rsidRPr="00834D52">
        <w:rPr>
          <w:rFonts w:ascii="Sylfaen" w:hAnsi="Sylfaen"/>
          <w:sz w:val="24"/>
          <w:szCs w:val="24"/>
        </w:rPr>
        <w:t xml:space="preserve"> փաթեթավորման (խցանափակման) համակարգը (ներառյալ՝ դրանց ամբողջականությունը՝ մանրէային աղտոտումը կանխելու համար) որոշելու </w:t>
      </w:r>
      <w:r w:rsidR="00C54D75">
        <w:rPr>
          <w:rFonts w:ascii="Sylfaen" w:hAnsi="Sylfaen"/>
          <w:sz w:val="24"/>
          <w:szCs w:val="24"/>
        </w:rPr>
        <w:t>և</w:t>
      </w:r>
      <w:r w:rsidRPr="00834D52">
        <w:rPr>
          <w:rFonts w:ascii="Sylfaen" w:hAnsi="Sylfaen"/>
          <w:sz w:val="24"/>
          <w:szCs w:val="24"/>
        </w:rPr>
        <w:t xml:space="preserve"> հիմնավորելու համար.</w:t>
      </w:r>
    </w:p>
    <w:p w14:paraId="4048025B" w14:textId="77777777" w:rsidR="006F76EB" w:rsidRPr="00834D52" w:rsidRDefault="006F76EB" w:rsidP="00A40351">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զ)</w:t>
      </w:r>
      <w:r w:rsidRPr="00834D52">
        <w:rPr>
          <w:rFonts w:ascii="Sylfaen" w:hAnsi="Sylfaen"/>
          <w:sz w:val="24"/>
          <w:szCs w:val="24"/>
        </w:rPr>
        <w:tab/>
        <w:t xml:space="preserve">կենսահամանման (կենսանման) դեղապատրաստուկի մասնագիրը, որը պետք է պարունակի </w:t>
      </w:r>
      <w:r w:rsidR="00C54D75">
        <w:rPr>
          <w:rFonts w:ascii="Sylfaen" w:hAnsi="Sylfaen"/>
          <w:sz w:val="24"/>
          <w:szCs w:val="24"/>
        </w:rPr>
        <w:t>և</w:t>
      </w:r>
      <w:r w:rsidRPr="00834D52">
        <w:rPr>
          <w:rFonts w:ascii="Sylfaen" w:hAnsi="Sylfaen"/>
          <w:sz w:val="24"/>
          <w:szCs w:val="24"/>
        </w:rPr>
        <w:t xml:space="preserve"> կանոնակարգի դեղապատրաստուկի այն կար</w:t>
      </w:r>
      <w:r w:rsidR="00C54D75">
        <w:rPr>
          <w:rFonts w:ascii="Sylfaen" w:hAnsi="Sylfaen"/>
          <w:sz w:val="24"/>
          <w:szCs w:val="24"/>
        </w:rPr>
        <w:t>և</w:t>
      </w:r>
      <w:r w:rsidRPr="00834D52">
        <w:rPr>
          <w:rFonts w:ascii="Sylfaen" w:hAnsi="Sylfaen"/>
          <w:sz w:val="24"/>
          <w:szCs w:val="24"/>
        </w:rPr>
        <w:t xml:space="preserve">որ քանակական ցուցանիշները, որոնք սահմանվել են </w:t>
      </w:r>
      <w:r w:rsidR="00D23E48">
        <w:rPr>
          <w:rFonts w:ascii="Sylfaen" w:hAnsi="Sylfaen"/>
          <w:sz w:val="24"/>
          <w:szCs w:val="24"/>
        </w:rPr>
        <w:t xml:space="preserve">ռեֆերենտ </w:t>
      </w:r>
      <w:r w:rsidRPr="00834D52">
        <w:rPr>
          <w:rFonts w:ascii="Sylfaen" w:hAnsi="Sylfaen"/>
          <w:sz w:val="24"/>
          <w:szCs w:val="24"/>
        </w:rPr>
        <w:t xml:space="preserve">կենսաբանական դեղապատրաստուկի համար (ինչպիսիք են նույնականացումը, մաքրությունը, ակտիվությունը, մոլեկուլային հետերոգենությունը չափերի, լիցքի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lastRenderedPageBreak/>
        <w:t xml:space="preserve">հիդրոֆոբության տեսանկյունից (որտեղ հնարավոր է դրանք որոշել), սիալիլացման (սիալաթթվի ավելացման) աստիճանը, առանձին պոլիպեպտիդ շղթաների քանակը, ֆունկցիոնալ հատվածի գլիկոզիլացումը, ագրեգացման աստիճանը, այնպիսի խառնուրդներ, ինչպիսիք են սպիտակուցը </w:t>
      </w:r>
      <w:r w:rsidR="00C54D75">
        <w:rPr>
          <w:rFonts w:ascii="Sylfaen" w:hAnsi="Sylfaen"/>
          <w:sz w:val="24"/>
          <w:szCs w:val="24"/>
        </w:rPr>
        <w:t>և</w:t>
      </w:r>
      <w:r w:rsidRPr="00834D52">
        <w:rPr>
          <w:rFonts w:ascii="Sylfaen" w:hAnsi="Sylfaen"/>
          <w:sz w:val="24"/>
          <w:szCs w:val="24"/>
        </w:rPr>
        <w:t xml:space="preserve"> ընդունող բջջի ԴՆԹն </w:t>
      </w:r>
      <w:r w:rsidR="00C54D75">
        <w:rPr>
          <w:rFonts w:ascii="Sylfaen" w:hAnsi="Sylfaen"/>
          <w:sz w:val="24"/>
          <w:szCs w:val="24"/>
        </w:rPr>
        <w:t>և</w:t>
      </w:r>
      <w:r w:rsidRPr="00834D52">
        <w:rPr>
          <w:rFonts w:ascii="Sylfaen" w:hAnsi="Sylfaen"/>
          <w:sz w:val="24"/>
          <w:szCs w:val="24"/>
        </w:rPr>
        <w:t xml:space="preserve"> այլն).</w:t>
      </w:r>
    </w:p>
    <w:p w14:paraId="258F2178" w14:textId="77777777" w:rsidR="006F76EB" w:rsidRPr="00834D52" w:rsidRDefault="006F76EB" w:rsidP="00A40351">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է)</w:t>
      </w:r>
      <w:r w:rsidRPr="00834D52">
        <w:rPr>
          <w:rFonts w:ascii="Sylfaen" w:hAnsi="Sylfaen"/>
          <w:sz w:val="24"/>
          <w:szCs w:val="24"/>
        </w:rPr>
        <w:tab/>
        <w:t>կայունության հետազոտությունները:</w:t>
      </w:r>
    </w:p>
    <w:p w14:paraId="7F03CC36" w14:textId="77777777" w:rsidR="006F76EB" w:rsidRPr="00834D52" w:rsidRDefault="006F76EB" w:rsidP="00F10DF3">
      <w:pPr>
        <w:tabs>
          <w:tab w:val="left" w:pos="1276"/>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10.4.</w:t>
      </w:r>
      <w:r w:rsidRPr="00834D52">
        <w:rPr>
          <w:rFonts w:ascii="Sylfaen" w:hAnsi="Sylfaen"/>
          <w:sz w:val="24"/>
          <w:szCs w:val="24"/>
        </w:rPr>
        <w:tab/>
        <w:t>Մոդուլ 4.</w:t>
      </w:r>
    </w:p>
    <w:p w14:paraId="4FBE28BB" w14:textId="77777777" w:rsidR="006F76EB" w:rsidRPr="00834D52" w:rsidRDefault="006F76EB" w:rsidP="00F10DF3">
      <w:pPr>
        <w:tabs>
          <w:tab w:val="left" w:pos="1276"/>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4-րդ մոդուլում պետք է ներկայացնել կենսահամանման (կենսանման) դեղապատրաստուկի նախակլինիկական (ոչ կլինիկական) հետազոտությունները </w:t>
      </w:r>
      <w:r w:rsidR="0032680A">
        <w:rPr>
          <w:rFonts w:ascii="Sylfaen" w:hAnsi="Sylfaen"/>
          <w:sz w:val="24"/>
          <w:szCs w:val="24"/>
        </w:rPr>
        <w:t xml:space="preserve">ռեֆերենտ </w:t>
      </w:r>
      <w:r w:rsidRPr="00834D52">
        <w:rPr>
          <w:rFonts w:ascii="Sylfaen" w:hAnsi="Sylfaen"/>
          <w:sz w:val="24"/>
          <w:szCs w:val="24"/>
        </w:rPr>
        <w:t>կենսաբանական դեղապատրաստուկի համեմատությամբ՝ Հանձնաժողովի կողմից հաստատվող՝ Եվրասիական տնտեսական միության շրջանակներում կենսաբանական դեղամիջոցների հետազոտությունների անցկացման կանոնների պահանջներին համապատասխան:</w:t>
      </w:r>
    </w:p>
    <w:p w14:paraId="4D2D642D" w14:textId="77777777" w:rsidR="006F76EB" w:rsidRPr="00834D52" w:rsidRDefault="006F76EB" w:rsidP="00F10DF3">
      <w:pPr>
        <w:tabs>
          <w:tab w:val="left" w:pos="1276"/>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10.5.</w:t>
      </w:r>
      <w:r w:rsidRPr="00834D52">
        <w:rPr>
          <w:rFonts w:ascii="Sylfaen" w:hAnsi="Sylfaen"/>
          <w:sz w:val="24"/>
          <w:szCs w:val="24"/>
        </w:rPr>
        <w:tab/>
        <w:t>Մոդուլ 5.</w:t>
      </w:r>
    </w:p>
    <w:p w14:paraId="6168EECF" w14:textId="77777777" w:rsidR="006F76EB" w:rsidRPr="00834D52" w:rsidRDefault="006F76EB" w:rsidP="00BC52BC">
      <w:pPr>
        <w:tabs>
          <w:tab w:val="left" w:pos="1418"/>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5-րդ մոդուլում ներկայացվում են փաստաթղթեր </w:t>
      </w:r>
      <w:r w:rsidR="00C54D75">
        <w:rPr>
          <w:rFonts w:ascii="Sylfaen" w:hAnsi="Sylfaen"/>
          <w:spacing w:val="-4"/>
          <w:sz w:val="24"/>
          <w:szCs w:val="24"/>
        </w:rPr>
        <w:t>և</w:t>
      </w:r>
      <w:r w:rsidRPr="00834D52">
        <w:rPr>
          <w:rFonts w:ascii="Sylfaen" w:hAnsi="Sylfaen"/>
          <w:spacing w:val="-4"/>
          <w:sz w:val="24"/>
          <w:szCs w:val="24"/>
        </w:rPr>
        <w:t xml:space="preserve"> տվյալներ՝ Հանձնաժողովի կողմից հաստատվող՝ Եվրասիական տնտեսական միության շրջանակներում կենսաբանական դեղամիջոցների հետազոտությունների անցկացման կանոնների պահանջներին համապատասխան, որոնք պարունակում են՝</w:t>
      </w:r>
    </w:p>
    <w:p w14:paraId="119E5A96" w14:textId="77777777" w:rsidR="006F76EB" w:rsidRPr="00834D52" w:rsidRDefault="006F76EB" w:rsidP="00F875F2">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w:t>
      </w:r>
      <w:r w:rsidRPr="00834D52">
        <w:rPr>
          <w:rFonts w:ascii="Sylfaen" w:hAnsi="Sylfaen"/>
          <w:sz w:val="24"/>
          <w:szCs w:val="24"/>
        </w:rPr>
        <w:tab/>
        <w:t xml:space="preserve">կենսահամանման (կենսանման) դեղապատրաստուկի կլինիկական հետազոտությունների արդյունքները </w:t>
      </w:r>
      <w:r w:rsidR="0032680A">
        <w:rPr>
          <w:rFonts w:ascii="Sylfaen" w:hAnsi="Sylfaen"/>
          <w:sz w:val="24"/>
          <w:szCs w:val="24"/>
        </w:rPr>
        <w:t xml:space="preserve">ռեֆերենտ </w:t>
      </w:r>
      <w:r w:rsidRPr="00834D52">
        <w:rPr>
          <w:rFonts w:ascii="Sylfaen" w:hAnsi="Sylfaen"/>
          <w:sz w:val="24"/>
          <w:szCs w:val="24"/>
        </w:rPr>
        <w:t>դեղապատրաստուկի համեմատությամբ, որոնք ներառում են՝</w:t>
      </w:r>
    </w:p>
    <w:p w14:paraId="0305E8BD" w14:textId="77777777" w:rsidR="006F76EB" w:rsidRPr="00834D52" w:rsidRDefault="00355C33" w:rsidP="00F875F2">
      <w:pPr>
        <w:tabs>
          <w:tab w:val="left" w:pos="1418"/>
        </w:tabs>
        <w:spacing w:after="160" w:line="348" w:lineRule="auto"/>
        <w:ind w:right="-6" w:firstLine="567"/>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 հետազոտությունների արդյունքները (</w:t>
      </w:r>
      <w:r>
        <w:rPr>
          <w:rFonts w:ascii="Sylfaen" w:hAnsi="Sylfaen"/>
          <w:sz w:val="24"/>
          <w:szCs w:val="24"/>
        </w:rPr>
        <w:t>դեղա</w:t>
      </w:r>
      <w:r w:rsidR="006F76EB" w:rsidRPr="00834D52">
        <w:rPr>
          <w:rFonts w:ascii="Sylfaen" w:hAnsi="Sylfaen"/>
          <w:sz w:val="24"/>
          <w:szCs w:val="24"/>
        </w:rPr>
        <w:t xml:space="preserve">կինետիկ հետազոտությունների մեկանգամյա ներմուծման դեպքում, </w:t>
      </w:r>
      <w:r>
        <w:rPr>
          <w:rFonts w:ascii="Sylfaen" w:hAnsi="Sylfaen"/>
          <w:sz w:val="24"/>
          <w:szCs w:val="24"/>
        </w:rPr>
        <w:t>դեղա</w:t>
      </w:r>
      <w:r w:rsidR="006F76EB" w:rsidRPr="00834D52">
        <w:rPr>
          <w:rFonts w:ascii="Sylfaen" w:hAnsi="Sylfaen"/>
          <w:sz w:val="24"/>
          <w:szCs w:val="24"/>
        </w:rPr>
        <w:t>կինետիկ հետազոտությունների բազմակի ներմուծման դեպքում (</w:t>
      </w:r>
      <w:r>
        <w:rPr>
          <w:rFonts w:ascii="Sylfaen" w:hAnsi="Sylfaen"/>
          <w:sz w:val="24"/>
          <w:szCs w:val="24"/>
        </w:rPr>
        <w:t>դեղա</w:t>
      </w:r>
      <w:r w:rsidR="006F76EB" w:rsidRPr="00834D52">
        <w:rPr>
          <w:rFonts w:ascii="Sylfaen" w:hAnsi="Sylfaen"/>
          <w:sz w:val="24"/>
          <w:szCs w:val="24"/>
        </w:rPr>
        <w:t xml:space="preserve">կինետիկայի՝ դեղաչափից </w:t>
      </w:r>
      <w:r w:rsidR="00C54D75">
        <w:rPr>
          <w:rFonts w:ascii="Sylfaen" w:hAnsi="Sylfaen"/>
          <w:sz w:val="24"/>
          <w:szCs w:val="24"/>
        </w:rPr>
        <w:t>և</w:t>
      </w:r>
      <w:r w:rsidR="006F76EB" w:rsidRPr="00834D52">
        <w:rPr>
          <w:rFonts w:ascii="Sylfaen" w:hAnsi="Sylfaen"/>
          <w:sz w:val="24"/>
          <w:szCs w:val="24"/>
        </w:rPr>
        <w:t xml:space="preserve"> ժամանակից կախվածության առկայության դեպքում) կենսահամանման (կենսանմամ) դեղապատրաստուկի </w:t>
      </w:r>
      <w:r w:rsidR="00C54D75">
        <w:rPr>
          <w:rFonts w:ascii="Sylfaen" w:hAnsi="Sylfaen"/>
          <w:sz w:val="24"/>
          <w:szCs w:val="24"/>
        </w:rPr>
        <w:t>և</w:t>
      </w:r>
      <w:r w:rsidR="006F76EB" w:rsidRPr="00834D52">
        <w:rPr>
          <w:rFonts w:ascii="Sylfaen" w:hAnsi="Sylfaen"/>
          <w:sz w:val="24"/>
          <w:szCs w:val="24"/>
        </w:rPr>
        <w:t xml:space="preserve"> </w:t>
      </w:r>
      <w:r w:rsidR="0032680A">
        <w:rPr>
          <w:rFonts w:ascii="Sylfaen" w:hAnsi="Sylfaen"/>
          <w:sz w:val="24"/>
          <w:szCs w:val="24"/>
        </w:rPr>
        <w:t xml:space="preserve">ռեֆերենտ </w:t>
      </w:r>
      <w:r w:rsidR="006F76EB" w:rsidRPr="00834D52">
        <w:rPr>
          <w:rFonts w:ascii="Sylfaen" w:hAnsi="Sylfaen"/>
          <w:sz w:val="24"/>
          <w:szCs w:val="24"/>
        </w:rPr>
        <w:t xml:space="preserve">պատրաստուկի </w:t>
      </w:r>
      <w:r>
        <w:rPr>
          <w:rFonts w:ascii="Sylfaen" w:hAnsi="Sylfaen"/>
          <w:sz w:val="24"/>
          <w:szCs w:val="24"/>
        </w:rPr>
        <w:t>դեղա</w:t>
      </w:r>
      <w:r w:rsidR="006F76EB" w:rsidRPr="00834D52">
        <w:rPr>
          <w:rFonts w:ascii="Sylfaen" w:hAnsi="Sylfaen"/>
          <w:sz w:val="24"/>
          <w:szCs w:val="24"/>
        </w:rPr>
        <w:t xml:space="preserve">կինետիկ համեմատությունը պետք է ներառի </w:t>
      </w:r>
      <w:r>
        <w:rPr>
          <w:rFonts w:ascii="Sylfaen" w:hAnsi="Sylfaen"/>
          <w:sz w:val="24"/>
          <w:szCs w:val="24"/>
        </w:rPr>
        <w:t>դեղա</w:t>
      </w:r>
      <w:r w:rsidR="006F76EB" w:rsidRPr="00834D52">
        <w:rPr>
          <w:rFonts w:ascii="Sylfaen" w:hAnsi="Sylfaen"/>
          <w:sz w:val="24"/>
          <w:szCs w:val="24"/>
        </w:rPr>
        <w:t xml:space="preserve">դինամիկ </w:t>
      </w:r>
      <w:r w:rsidR="006F76EB" w:rsidRPr="00834D52">
        <w:rPr>
          <w:rFonts w:ascii="Sylfaen" w:hAnsi="Sylfaen"/>
          <w:sz w:val="24"/>
          <w:szCs w:val="24"/>
        </w:rPr>
        <w:lastRenderedPageBreak/>
        <w:t xml:space="preserve">հետազոտությունների կլանման, կենսամատչելիության, դուրսբերման բնութագրերը, այսինքն՝ քլիրենսը </w:t>
      </w:r>
      <w:r w:rsidR="00C54D75">
        <w:rPr>
          <w:rFonts w:ascii="Sylfaen" w:hAnsi="Sylfaen"/>
          <w:sz w:val="24"/>
          <w:szCs w:val="24"/>
        </w:rPr>
        <w:t>և</w:t>
      </w:r>
      <w:r w:rsidR="006F76EB" w:rsidRPr="00834D52">
        <w:rPr>
          <w:rFonts w:ascii="Sylfaen" w:hAnsi="Sylfaen"/>
          <w:sz w:val="24"/>
          <w:szCs w:val="24"/>
        </w:rPr>
        <w:t xml:space="preserve"> (կամ) կիսադուրսբերման ժամանակահատվածը), </w:t>
      </w:r>
      <w:r>
        <w:rPr>
          <w:rFonts w:ascii="Sylfaen" w:hAnsi="Sylfaen"/>
          <w:sz w:val="24"/>
          <w:szCs w:val="24"/>
        </w:rPr>
        <w:t>դեղա</w:t>
      </w:r>
      <w:r w:rsidR="006F76EB" w:rsidRPr="00834D52">
        <w:rPr>
          <w:rFonts w:ascii="Sylfaen" w:hAnsi="Sylfaen"/>
          <w:sz w:val="24"/>
          <w:szCs w:val="24"/>
        </w:rPr>
        <w:t>դինամիկ հետազոտությունների արդյունքները (ընդ</w:t>
      </w:r>
      <w:r w:rsidR="00F251C5" w:rsidRPr="00F251C5">
        <w:rPr>
          <w:rFonts w:ascii="Sylfaen" w:hAnsi="Sylfaen"/>
          <w:sz w:val="24"/>
          <w:szCs w:val="24"/>
        </w:rPr>
        <w:t> </w:t>
      </w:r>
      <w:r w:rsidR="006F76EB" w:rsidRPr="00834D52">
        <w:rPr>
          <w:rFonts w:ascii="Sylfaen" w:hAnsi="Sylfaen"/>
          <w:sz w:val="24"/>
          <w:szCs w:val="24"/>
        </w:rPr>
        <w:t xml:space="preserve">որում, </w:t>
      </w:r>
      <w:r>
        <w:rPr>
          <w:rFonts w:ascii="Sylfaen" w:hAnsi="Sylfaen"/>
          <w:sz w:val="24"/>
          <w:szCs w:val="24"/>
        </w:rPr>
        <w:t>դեղա</w:t>
      </w:r>
      <w:r w:rsidR="006F76EB" w:rsidRPr="00834D52">
        <w:rPr>
          <w:rFonts w:ascii="Sylfaen" w:hAnsi="Sylfaen"/>
          <w:sz w:val="24"/>
          <w:szCs w:val="24"/>
        </w:rPr>
        <w:t xml:space="preserve">դինամիկ արդյունքները պետք է գնահատվեն համապատասխան պոպուլյացիայի վրա </w:t>
      </w:r>
      <w:r w:rsidR="00C54D75">
        <w:rPr>
          <w:rFonts w:ascii="Sylfaen" w:hAnsi="Sylfaen"/>
          <w:sz w:val="24"/>
          <w:szCs w:val="24"/>
        </w:rPr>
        <w:t>և</w:t>
      </w:r>
      <w:r w:rsidR="006F76EB" w:rsidRPr="00834D52">
        <w:rPr>
          <w:rFonts w:ascii="Sylfaen" w:hAnsi="Sylfaen"/>
          <w:sz w:val="24"/>
          <w:szCs w:val="24"/>
        </w:rPr>
        <w:t xml:space="preserve"> նախակլինիկական հետազոտությունների ժամանակ ստացված «դեղաչափ-ազդեցություն» կախվածության կորի ուռուցիկ հատվածից դեղաչափի կիրառմամբ, իսկ </w:t>
      </w:r>
      <w:r>
        <w:rPr>
          <w:rFonts w:ascii="Sylfaen" w:hAnsi="Sylfaen"/>
          <w:sz w:val="24"/>
          <w:szCs w:val="24"/>
        </w:rPr>
        <w:t>դեղա</w:t>
      </w:r>
      <w:r w:rsidR="006F76EB" w:rsidRPr="00834D52">
        <w:rPr>
          <w:rFonts w:ascii="Sylfaen" w:hAnsi="Sylfaen"/>
          <w:sz w:val="24"/>
          <w:szCs w:val="24"/>
        </w:rPr>
        <w:t>դինամիկ մարկերները պետք է ընտրվեն՝ կախված դրանց կլինիկական նշանակությունից)).</w:t>
      </w:r>
    </w:p>
    <w:p w14:paraId="14BE4FA3" w14:textId="77777777" w:rsidR="006F76EB" w:rsidRPr="00834D52" w:rsidRDefault="006F76EB" w:rsidP="00F875F2">
      <w:pPr>
        <w:tabs>
          <w:tab w:val="left" w:pos="1418"/>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համեմատական կլինիկական հետազոտությունների տվյալները, ներառյալ՝ անցանկալի եր</w:t>
      </w:r>
      <w:r w:rsidR="00C54D75">
        <w:rPr>
          <w:rFonts w:ascii="Sylfaen" w:hAnsi="Sylfaen"/>
          <w:sz w:val="24"/>
          <w:szCs w:val="24"/>
        </w:rPr>
        <w:t>և</w:t>
      </w:r>
      <w:r w:rsidRPr="00834D52">
        <w:rPr>
          <w:rFonts w:ascii="Sylfaen" w:hAnsi="Sylfaen"/>
          <w:sz w:val="24"/>
          <w:szCs w:val="24"/>
        </w:rPr>
        <w:t xml:space="preserve">ույթների (ռեակցիաների) տեսակի, հաճախականության </w:t>
      </w:r>
      <w:r w:rsidR="00C54D75">
        <w:rPr>
          <w:rFonts w:ascii="Sylfaen" w:hAnsi="Sylfaen"/>
          <w:sz w:val="24"/>
          <w:szCs w:val="24"/>
        </w:rPr>
        <w:t>և</w:t>
      </w:r>
      <w:r w:rsidRPr="00834D52">
        <w:rPr>
          <w:rFonts w:ascii="Sylfaen" w:hAnsi="Sylfaen"/>
          <w:sz w:val="24"/>
          <w:szCs w:val="24"/>
        </w:rPr>
        <w:t xml:space="preserve"> ծանրության գնահատումը, նպատակային խմբի վրա իմունոգենության հետազոտությունները (առաջացող հակամարմինների առաջացման հաճախականության </w:t>
      </w:r>
      <w:r w:rsidR="00C54D75">
        <w:rPr>
          <w:rFonts w:ascii="Sylfaen" w:hAnsi="Sylfaen"/>
          <w:sz w:val="24"/>
          <w:szCs w:val="24"/>
        </w:rPr>
        <w:t>և</w:t>
      </w:r>
      <w:r w:rsidRPr="00834D52">
        <w:rPr>
          <w:rFonts w:ascii="Sylfaen" w:hAnsi="Sylfaen"/>
          <w:sz w:val="24"/>
          <w:szCs w:val="24"/>
        </w:rPr>
        <w:t xml:space="preserve"> տեսակի համեմատությունը, կենսահամանման (կենսանման) դեղապատրաստուկի </w:t>
      </w:r>
      <w:r w:rsidR="00C54D75">
        <w:rPr>
          <w:rFonts w:ascii="Sylfaen" w:hAnsi="Sylfaen"/>
          <w:sz w:val="24"/>
          <w:szCs w:val="24"/>
        </w:rPr>
        <w:t>և</w:t>
      </w:r>
      <w:r w:rsidRPr="00834D52">
        <w:rPr>
          <w:rFonts w:ascii="Sylfaen" w:hAnsi="Sylfaen"/>
          <w:sz w:val="24"/>
          <w:szCs w:val="24"/>
        </w:rPr>
        <w:t xml:space="preserve"> </w:t>
      </w:r>
      <w:r w:rsidR="0032680A">
        <w:rPr>
          <w:rFonts w:ascii="Sylfaen" w:hAnsi="Sylfaen"/>
          <w:sz w:val="24"/>
          <w:szCs w:val="24"/>
        </w:rPr>
        <w:t xml:space="preserve">ռեֆերենտ </w:t>
      </w:r>
      <w:r w:rsidRPr="00834D52">
        <w:rPr>
          <w:rFonts w:ascii="Sylfaen" w:hAnsi="Sylfaen"/>
          <w:sz w:val="24"/>
          <w:szCs w:val="24"/>
        </w:rPr>
        <w:t>պատրաստուկի համար իմունային պատասխանի պոտենցիալ կլինիկական հետ</w:t>
      </w:r>
      <w:r w:rsidR="00C54D75">
        <w:rPr>
          <w:rFonts w:ascii="Sylfaen" w:hAnsi="Sylfaen"/>
          <w:sz w:val="24"/>
          <w:szCs w:val="24"/>
        </w:rPr>
        <w:t>և</w:t>
      </w:r>
      <w:r w:rsidRPr="00834D52">
        <w:rPr>
          <w:rFonts w:ascii="Sylfaen" w:hAnsi="Sylfaen"/>
          <w:sz w:val="24"/>
          <w:szCs w:val="24"/>
        </w:rPr>
        <w:t xml:space="preserve">անքները), իմունոգենությունը պետք է հետազոտվի իմունային պատասխանի </w:t>
      </w:r>
      <w:r w:rsidR="00C54D75">
        <w:rPr>
          <w:rFonts w:ascii="Sylfaen" w:hAnsi="Sylfaen"/>
          <w:sz w:val="24"/>
          <w:szCs w:val="24"/>
        </w:rPr>
        <w:t>և</w:t>
      </w:r>
      <w:r w:rsidRPr="00834D52">
        <w:rPr>
          <w:rFonts w:ascii="Sylfaen" w:hAnsi="Sylfaen"/>
          <w:sz w:val="24"/>
          <w:szCs w:val="24"/>
        </w:rPr>
        <w:t xml:space="preserve"> իմունային անցանկալի ռեակցիաների մենաբարձր ռիսկով պացիենտների պոպուլյացիաների համար.</w:t>
      </w:r>
    </w:p>
    <w:p w14:paraId="6401E3CD" w14:textId="77777777" w:rsidR="006F76EB" w:rsidRPr="00F06D43" w:rsidRDefault="006F76EB" w:rsidP="00F875F2">
      <w:pPr>
        <w:tabs>
          <w:tab w:val="left" w:pos="1418"/>
        </w:tabs>
        <w:spacing w:after="160" w:line="348" w:lineRule="auto"/>
        <w:ind w:right="-6" w:firstLine="567"/>
        <w:jc w:val="both"/>
        <w:rPr>
          <w:rFonts w:ascii="Sylfaen" w:hAnsi="Sylfaen"/>
          <w:sz w:val="24"/>
          <w:szCs w:val="24"/>
        </w:rPr>
      </w:pPr>
      <w:r w:rsidRPr="00834D52">
        <w:rPr>
          <w:rFonts w:ascii="Sylfaen" w:hAnsi="Sylfaen"/>
          <w:sz w:val="24"/>
          <w:szCs w:val="24"/>
        </w:rPr>
        <w:t xml:space="preserve">հակամարմինները որոշելու ռազմավարության հիմնավորումը՝ ներառյալ մեթոդների ընտրությունը, գնահատումը </w:t>
      </w:r>
      <w:r w:rsidR="00C54D75">
        <w:rPr>
          <w:rFonts w:ascii="Sylfaen" w:hAnsi="Sylfaen"/>
          <w:sz w:val="24"/>
          <w:szCs w:val="24"/>
        </w:rPr>
        <w:t>և</w:t>
      </w:r>
      <w:r w:rsidRPr="00834D52">
        <w:rPr>
          <w:rFonts w:ascii="Sylfaen" w:hAnsi="Sylfaen"/>
          <w:sz w:val="24"/>
          <w:szCs w:val="24"/>
        </w:rPr>
        <w:t xml:space="preserve"> բնութագիրը, փորձանմուշներ վերցնելու ժամանակը սահմանելը (այդ թվում՝ մինչ</w:t>
      </w:r>
      <w:r w:rsidR="00C54D75">
        <w:rPr>
          <w:rFonts w:ascii="Sylfaen" w:hAnsi="Sylfaen"/>
          <w:sz w:val="24"/>
          <w:szCs w:val="24"/>
        </w:rPr>
        <w:t>և</w:t>
      </w:r>
      <w:r w:rsidRPr="00834D52">
        <w:rPr>
          <w:rFonts w:ascii="Sylfaen" w:hAnsi="Sylfaen"/>
          <w:sz w:val="24"/>
          <w:szCs w:val="24"/>
        </w:rPr>
        <w:t xml:space="preserve"> պատրաստուկի կիրառումը), փորձանմուշների ծավալները, մշակումը </w:t>
      </w:r>
      <w:r w:rsidR="00C54D75">
        <w:rPr>
          <w:rFonts w:ascii="Sylfaen" w:hAnsi="Sylfaen"/>
          <w:sz w:val="24"/>
          <w:szCs w:val="24"/>
        </w:rPr>
        <w:t>և</w:t>
      </w:r>
      <w:r w:rsidRPr="00834D52">
        <w:rPr>
          <w:rFonts w:ascii="Sylfaen" w:hAnsi="Sylfaen"/>
          <w:sz w:val="24"/>
          <w:szCs w:val="24"/>
        </w:rPr>
        <w:t xml:space="preserve"> պահումը, ինչպես նա</w:t>
      </w:r>
      <w:r w:rsidR="00C54D75">
        <w:rPr>
          <w:rFonts w:ascii="Sylfaen" w:hAnsi="Sylfaen"/>
          <w:sz w:val="24"/>
          <w:szCs w:val="24"/>
        </w:rPr>
        <w:t>և</w:t>
      </w:r>
      <w:r w:rsidRPr="00834D52">
        <w:rPr>
          <w:rFonts w:ascii="Sylfaen" w:hAnsi="Sylfaen"/>
          <w:sz w:val="24"/>
          <w:szCs w:val="24"/>
        </w:rPr>
        <w:t xml:space="preserve"> տվյալների վերլուծության վիճակագրական մեթոդները, հակամարմինները որոշելու վերլուծական մեթոդիկաները պետք է վալիդացվեն հետազոտությունների ընտրված նպատակի համար, պետք է մեթոդի բավարար զգայունակության նախնական վերլուծություն, չեզոքացնող հակամարմինները որոշելու գործընթաց անցկացնել.</w:t>
      </w:r>
    </w:p>
    <w:p w14:paraId="378D1A2C" w14:textId="77777777" w:rsidR="00F251C5" w:rsidRPr="00F06D43" w:rsidRDefault="00F251C5" w:rsidP="00F875F2">
      <w:pPr>
        <w:tabs>
          <w:tab w:val="left" w:pos="1418"/>
        </w:tabs>
        <w:spacing w:after="160" w:line="348" w:lineRule="auto"/>
        <w:ind w:right="-6" w:firstLine="567"/>
        <w:jc w:val="both"/>
        <w:rPr>
          <w:rFonts w:ascii="Sylfaen" w:eastAsia="Times New Roman" w:hAnsi="Sylfaen" w:cs="Times New Roman"/>
          <w:sz w:val="24"/>
          <w:szCs w:val="24"/>
        </w:rPr>
      </w:pPr>
    </w:p>
    <w:p w14:paraId="3B31D6A3" w14:textId="77777777" w:rsidR="006F76EB" w:rsidRPr="00834D52" w:rsidRDefault="006F76EB" w:rsidP="00F251C5">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հսկողության ժամանակահատվածի նշում՝ իմունոգենության </w:t>
      </w:r>
      <w:r w:rsidRPr="00834D52">
        <w:rPr>
          <w:rFonts w:ascii="Sylfaen" w:hAnsi="Sylfaen"/>
          <w:sz w:val="24"/>
          <w:szCs w:val="24"/>
        </w:rPr>
        <w:lastRenderedPageBreak/>
        <w:t>հետազոտության անցկացման ժամանակ (որը պետք է համապատասխանի բուժման պլանավորված տ</w:t>
      </w:r>
      <w:r w:rsidR="00C54D75">
        <w:rPr>
          <w:rFonts w:ascii="Sylfaen" w:hAnsi="Sylfaen"/>
          <w:sz w:val="24"/>
          <w:szCs w:val="24"/>
        </w:rPr>
        <w:t>և</w:t>
      </w:r>
      <w:r w:rsidRPr="00834D52">
        <w:rPr>
          <w:rFonts w:ascii="Sylfaen" w:hAnsi="Sylfaen"/>
          <w:sz w:val="24"/>
          <w:szCs w:val="24"/>
        </w:rPr>
        <w:t xml:space="preserve">ողությանը </w:t>
      </w:r>
      <w:r w:rsidR="00C54D75">
        <w:rPr>
          <w:rFonts w:ascii="Sylfaen" w:hAnsi="Sylfaen"/>
          <w:sz w:val="24"/>
          <w:szCs w:val="24"/>
        </w:rPr>
        <w:t>և</w:t>
      </w:r>
      <w:r w:rsidRPr="00834D52">
        <w:rPr>
          <w:rFonts w:ascii="Sylfaen" w:hAnsi="Sylfaen"/>
          <w:sz w:val="24"/>
          <w:szCs w:val="24"/>
        </w:rPr>
        <w:t xml:space="preserve"> հակամարմինների գոյացման ենթադրվող ժամանակին </w:t>
      </w:r>
      <w:r w:rsidR="00C54D75">
        <w:rPr>
          <w:rFonts w:ascii="Sylfaen" w:hAnsi="Sylfaen"/>
          <w:sz w:val="24"/>
          <w:szCs w:val="24"/>
        </w:rPr>
        <w:t>և</w:t>
      </w:r>
      <w:r w:rsidRPr="00834D52">
        <w:rPr>
          <w:rFonts w:ascii="Sylfaen" w:hAnsi="Sylfaen"/>
          <w:sz w:val="24"/>
          <w:szCs w:val="24"/>
        </w:rPr>
        <w:t xml:space="preserve"> չպետք է 12 ամսից պակաս լինի, հետազոտության այլ տ</w:t>
      </w:r>
      <w:r w:rsidR="00C54D75">
        <w:rPr>
          <w:rFonts w:ascii="Sylfaen" w:hAnsi="Sylfaen"/>
          <w:sz w:val="24"/>
          <w:szCs w:val="24"/>
        </w:rPr>
        <w:t>և</w:t>
      </w:r>
      <w:r w:rsidRPr="00834D52">
        <w:rPr>
          <w:rFonts w:ascii="Sylfaen" w:hAnsi="Sylfaen"/>
          <w:sz w:val="24"/>
          <w:szCs w:val="24"/>
        </w:rPr>
        <w:t>ողության դեպքում պետք է ներկայացնել հիմնավորում)).</w:t>
      </w:r>
    </w:p>
    <w:p w14:paraId="0203FE17" w14:textId="77777777" w:rsidR="006F76EB" w:rsidRPr="00834D52" w:rsidRDefault="006F76EB" w:rsidP="00F251C5">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հակամարմինների տիտրերի գոյացման կլինիկապես նշանակալի դեպքերը </w:t>
      </w:r>
      <w:r w:rsidR="00C54D75">
        <w:rPr>
          <w:rFonts w:ascii="Sylfaen" w:hAnsi="Sylfaen"/>
          <w:sz w:val="24"/>
          <w:szCs w:val="24"/>
        </w:rPr>
        <w:t>և</w:t>
      </w:r>
      <w:r w:rsidRPr="00834D52">
        <w:rPr>
          <w:rFonts w:ascii="Sylfaen" w:hAnsi="Sylfaen"/>
          <w:sz w:val="24"/>
          <w:szCs w:val="24"/>
        </w:rPr>
        <w:t xml:space="preserve"> դրանց տիտրի պահպանումը որոշակի ժամանակահատվածի ընթացքում (ընդ որում, անհրաժեշտ է ուսումնասիրել իմունային պատասխանի բնույթի պոտենցիալ փոփոխությունները </w:t>
      </w:r>
      <w:r w:rsidR="00C54D75">
        <w:rPr>
          <w:rFonts w:ascii="Sylfaen" w:hAnsi="Sylfaen"/>
          <w:sz w:val="24"/>
          <w:szCs w:val="24"/>
        </w:rPr>
        <w:t>և</w:t>
      </w:r>
      <w:r w:rsidRPr="00834D52">
        <w:rPr>
          <w:rFonts w:ascii="Sylfaen" w:hAnsi="Sylfaen"/>
          <w:sz w:val="24"/>
          <w:szCs w:val="24"/>
        </w:rPr>
        <w:t xml:space="preserve"> կլինիկական հետ</w:t>
      </w:r>
      <w:r w:rsidR="00C54D75">
        <w:rPr>
          <w:rFonts w:ascii="Sylfaen" w:hAnsi="Sylfaen"/>
          <w:sz w:val="24"/>
          <w:szCs w:val="24"/>
        </w:rPr>
        <w:t>և</w:t>
      </w:r>
      <w:r w:rsidRPr="00834D52">
        <w:rPr>
          <w:rFonts w:ascii="Sylfaen" w:hAnsi="Sylfaen"/>
          <w:sz w:val="24"/>
          <w:szCs w:val="24"/>
        </w:rPr>
        <w:t xml:space="preserve">անքները նախագրանցումային </w:t>
      </w:r>
      <w:r w:rsidR="00C54D75">
        <w:rPr>
          <w:rFonts w:ascii="Sylfaen" w:hAnsi="Sylfaen"/>
          <w:sz w:val="24"/>
          <w:szCs w:val="24"/>
        </w:rPr>
        <w:t>և</w:t>
      </w:r>
      <w:r w:rsidRPr="00834D52">
        <w:rPr>
          <w:rFonts w:ascii="Sylfaen" w:hAnsi="Sylfaen"/>
          <w:sz w:val="24"/>
          <w:szCs w:val="24"/>
        </w:rPr>
        <w:t xml:space="preserve"> հետգրանցումային շրջանում).</w:t>
      </w:r>
    </w:p>
    <w:p w14:paraId="6E3767C8" w14:textId="77777777" w:rsidR="006F76EB" w:rsidRPr="00834D52" w:rsidRDefault="006F76EB" w:rsidP="00F10DF3">
      <w:pPr>
        <w:tabs>
          <w:tab w:val="left" w:pos="1418"/>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հիմնական կլինիկական տվյալները պետք է ստացվեն վերջնական արտադրական պրոցեսի միջոցով արտադրված դեղապատրաստուկը, այսինքն՝ այն դեղապատրաստուկը, որի նկատմամբ ներկայացվում է գրանցման հայտը, կիրառելու ժամանակ, այդ պահանջներից ցանկացած շեղումների դեպքում հայտատուն պետք է ներկայացնի հիմնավորում </w:t>
      </w:r>
      <w:r w:rsidR="00C54D75">
        <w:rPr>
          <w:rFonts w:ascii="Sylfaen" w:hAnsi="Sylfaen"/>
          <w:sz w:val="24"/>
          <w:szCs w:val="24"/>
        </w:rPr>
        <w:t>և</w:t>
      </w:r>
      <w:r w:rsidRPr="00834D52">
        <w:rPr>
          <w:rFonts w:ascii="Sylfaen" w:hAnsi="Sylfaen"/>
          <w:sz w:val="24"/>
          <w:szCs w:val="24"/>
        </w:rPr>
        <w:t xml:space="preserve"> անհրաժեշտության դեպքում դեղապատրաստուկի՝ վերջնական </w:t>
      </w:r>
      <w:r w:rsidR="00C54D75">
        <w:rPr>
          <w:rFonts w:ascii="Sylfaen" w:hAnsi="Sylfaen"/>
          <w:sz w:val="24"/>
          <w:szCs w:val="24"/>
        </w:rPr>
        <w:t>և</w:t>
      </w:r>
      <w:r w:rsidRPr="00834D52">
        <w:rPr>
          <w:rFonts w:ascii="Sylfaen" w:hAnsi="Sylfaen"/>
          <w:sz w:val="24"/>
          <w:szCs w:val="24"/>
        </w:rPr>
        <w:t xml:space="preserve"> ավելի վաղ կազմի հետ անցկացված համադրելիության լրացուցիչ հետազոտությունների տվյալները՝ Հանձնաժողովի կողմից հաստատվող՝ Եվրասիական տնտեսական միության շրջանակներում կենսաբանական դեղամիջոցների հետազոտությունների անցկացման կանոնների համաձայն.</w:t>
      </w:r>
    </w:p>
    <w:p w14:paraId="5E956309" w14:textId="77777777" w:rsidR="006F76EB" w:rsidRPr="00834D52" w:rsidRDefault="006F76EB" w:rsidP="00F10DF3">
      <w:pPr>
        <w:tabs>
          <w:tab w:val="left" w:pos="1134"/>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անվտանգության մասնագիրը ներառող՝ ռիսկերի կառավարման պլանը (</w:t>
      </w:r>
      <w:r w:rsidR="0032680A">
        <w:rPr>
          <w:rFonts w:ascii="Sylfaen" w:hAnsi="Sylfaen"/>
          <w:sz w:val="24"/>
          <w:szCs w:val="24"/>
        </w:rPr>
        <w:t xml:space="preserve">ռեֆերենտ </w:t>
      </w:r>
      <w:r w:rsidRPr="00834D52">
        <w:rPr>
          <w:rFonts w:ascii="Sylfaen" w:hAnsi="Sylfaen"/>
          <w:sz w:val="24"/>
          <w:szCs w:val="24"/>
        </w:rPr>
        <w:t xml:space="preserve">պատրաստուկի, դեղամիջոցների դասի </w:t>
      </w:r>
      <w:r w:rsidR="00C54D75">
        <w:rPr>
          <w:rFonts w:ascii="Sylfaen" w:hAnsi="Sylfaen"/>
          <w:sz w:val="24"/>
          <w:szCs w:val="24"/>
        </w:rPr>
        <w:t>և</w:t>
      </w:r>
      <w:r w:rsidRPr="00834D52">
        <w:rPr>
          <w:rFonts w:ascii="Sylfaen" w:hAnsi="Sylfaen"/>
          <w:sz w:val="24"/>
          <w:szCs w:val="24"/>
        </w:rPr>
        <w:t xml:space="preserve"> (կամ) բիոսիմիլարի անվտանգության՝ կար</w:t>
      </w:r>
      <w:r w:rsidR="00C54D75">
        <w:rPr>
          <w:rFonts w:ascii="Sylfaen" w:hAnsi="Sylfaen"/>
          <w:sz w:val="24"/>
          <w:szCs w:val="24"/>
        </w:rPr>
        <w:t>և</w:t>
      </w:r>
      <w:r w:rsidRPr="00834D52">
        <w:rPr>
          <w:rFonts w:ascii="Sylfaen" w:hAnsi="Sylfaen"/>
          <w:sz w:val="24"/>
          <w:szCs w:val="24"/>
        </w:rPr>
        <w:t xml:space="preserve">որ հայտնաբերված </w:t>
      </w:r>
      <w:r w:rsidR="00C54D75">
        <w:rPr>
          <w:rFonts w:ascii="Sylfaen" w:hAnsi="Sylfaen"/>
          <w:sz w:val="24"/>
          <w:szCs w:val="24"/>
        </w:rPr>
        <w:t>և</w:t>
      </w:r>
      <w:r w:rsidRPr="00834D52">
        <w:rPr>
          <w:rFonts w:ascii="Sylfaen" w:hAnsi="Sylfaen"/>
          <w:sz w:val="24"/>
          <w:szCs w:val="24"/>
        </w:rPr>
        <w:t xml:space="preserve"> հնարավոր բացասական ասպեկտների նկարագրությամբ) </w:t>
      </w:r>
      <w:r w:rsidR="00C54D75">
        <w:rPr>
          <w:rFonts w:ascii="Sylfaen" w:hAnsi="Sylfaen"/>
          <w:sz w:val="24"/>
          <w:szCs w:val="24"/>
        </w:rPr>
        <w:t>և</w:t>
      </w:r>
      <w:r w:rsidRPr="00834D52">
        <w:rPr>
          <w:rFonts w:ascii="Sylfaen" w:hAnsi="Sylfaen"/>
          <w:sz w:val="24"/>
          <w:szCs w:val="24"/>
        </w:rPr>
        <w:t xml:space="preserve"> հետգրանցումային շրջանում կենսահամանման (կենսանման) դեղապատրաստուկի համար դեղազգոնության պլանը (անվտանգության մասնագրի, ռիսկերի կառավարման պլանի վրա հիմնված պլանավորվող հետգրանցումային միջոցառումների </w:t>
      </w:r>
      <w:r w:rsidR="00C54D75">
        <w:rPr>
          <w:rFonts w:ascii="Sylfaen" w:hAnsi="Sylfaen"/>
          <w:sz w:val="24"/>
          <w:szCs w:val="24"/>
        </w:rPr>
        <w:t>և</w:t>
      </w:r>
      <w:r w:rsidRPr="00834D52">
        <w:rPr>
          <w:rFonts w:ascii="Sylfaen" w:hAnsi="Sylfaen"/>
          <w:sz w:val="24"/>
          <w:szCs w:val="24"/>
        </w:rPr>
        <w:t xml:space="preserve"> ռիսկերի նվազեցմանն ուղղված միջոցների նկարագրությամբ, այդ թվում՝ պացիենտների </w:t>
      </w:r>
      <w:r w:rsidR="00C54D75">
        <w:rPr>
          <w:rFonts w:ascii="Sylfaen" w:hAnsi="Sylfaen"/>
          <w:sz w:val="24"/>
          <w:szCs w:val="24"/>
        </w:rPr>
        <w:t>և</w:t>
      </w:r>
      <w:r w:rsidRPr="00834D52">
        <w:rPr>
          <w:rFonts w:ascii="Sylfaen" w:hAnsi="Sylfaen"/>
          <w:sz w:val="24"/>
          <w:szCs w:val="24"/>
        </w:rPr>
        <w:t xml:space="preserve"> (կամ) բժշկական </w:t>
      </w:r>
      <w:r w:rsidR="00C54D75">
        <w:rPr>
          <w:rFonts w:ascii="Sylfaen" w:hAnsi="Sylfaen"/>
          <w:sz w:val="24"/>
          <w:szCs w:val="24"/>
        </w:rPr>
        <w:t>և</w:t>
      </w:r>
      <w:r w:rsidRPr="00834D52">
        <w:rPr>
          <w:rFonts w:ascii="Sylfaen" w:hAnsi="Sylfaen"/>
          <w:sz w:val="24"/>
          <w:szCs w:val="24"/>
        </w:rPr>
        <w:t xml:space="preserve"> դեղագործական ոլորտների աշխատողների համար </w:t>
      </w:r>
      <w:r w:rsidRPr="00834D52">
        <w:rPr>
          <w:rFonts w:ascii="Sylfaen" w:hAnsi="Sylfaen"/>
          <w:sz w:val="24"/>
          <w:szCs w:val="24"/>
        </w:rPr>
        <w:lastRenderedPageBreak/>
        <w:t>տեղեկատվական նյութերի ներկայացմամբ):</w:t>
      </w:r>
    </w:p>
    <w:p w14:paraId="24053919" w14:textId="77777777" w:rsidR="006F76EB" w:rsidRPr="002F1C69" w:rsidRDefault="006F76EB" w:rsidP="00BC52BC">
      <w:pPr>
        <w:widowControl/>
        <w:spacing w:after="160" w:line="336" w:lineRule="auto"/>
        <w:jc w:val="center"/>
        <w:rPr>
          <w:rFonts w:ascii="Sylfaen" w:hAnsi="Sylfaen"/>
          <w:sz w:val="24"/>
          <w:szCs w:val="24"/>
        </w:rPr>
      </w:pPr>
    </w:p>
    <w:p w14:paraId="776C2BFA" w14:textId="77777777" w:rsidR="006F76EB" w:rsidRPr="00834D52" w:rsidRDefault="006F76EB" w:rsidP="006D7713">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11. Գրանցման դոսյեն՝ հետգրանցումային միջոցների սահմանմամբ գրանցման հայտերի համար (պայմաններով գրանցում)</w:t>
      </w:r>
    </w:p>
    <w:p w14:paraId="0BE002FF" w14:textId="77777777" w:rsidR="006F76EB" w:rsidRPr="00834D52" w:rsidRDefault="006F76EB" w:rsidP="006D7713">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գրանցման հավաստագիրը կարող է տրամադրվել որոշ պարտավորությունների կատարման պայմանով այն դեպքում, երբ հայտատուն կարող է հաստատել (հիմնավորել)սովորական պայմաններում օգտագործման ժամանակ դեղապատրաստուկի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վերաբերյալ ամբողջական տվյալներ ներկայացնելու անհնարինությունը՝ պայմանավորված հետ</w:t>
      </w:r>
      <w:r w:rsidR="00C54D75">
        <w:rPr>
          <w:rFonts w:ascii="Sylfaen" w:hAnsi="Sylfaen"/>
          <w:sz w:val="24"/>
          <w:szCs w:val="24"/>
        </w:rPr>
        <w:t>և</w:t>
      </w:r>
      <w:r w:rsidRPr="00834D52">
        <w:rPr>
          <w:rFonts w:ascii="Sylfaen" w:hAnsi="Sylfaen"/>
          <w:sz w:val="24"/>
          <w:szCs w:val="24"/>
        </w:rPr>
        <w:t>յալ պատճառներից որ</w:t>
      </w:r>
      <w:r w:rsidR="00C54D75">
        <w:rPr>
          <w:rFonts w:ascii="Sylfaen" w:hAnsi="Sylfaen"/>
          <w:sz w:val="24"/>
          <w:szCs w:val="24"/>
        </w:rPr>
        <w:t>և</w:t>
      </w:r>
      <w:r w:rsidRPr="00834D52">
        <w:rPr>
          <w:rFonts w:ascii="Sylfaen" w:hAnsi="Sylfaen"/>
          <w:sz w:val="24"/>
          <w:szCs w:val="24"/>
        </w:rPr>
        <w:t>է մեկով.</w:t>
      </w:r>
    </w:p>
    <w:p w14:paraId="2BDF96C7" w14:textId="77777777" w:rsidR="006F76EB" w:rsidRPr="00834D52" w:rsidRDefault="006F76EB" w:rsidP="006D7713">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կիրառման ցուցումները, որոնցով ենթադրվում է կիրառել դեղապատրաստուկը, այնքան հազվադեպ են հանդիպում, որ հայտատուն հիմնավորված ձ</w:t>
      </w:r>
      <w:r w:rsidR="00C54D75">
        <w:rPr>
          <w:rFonts w:ascii="Sylfaen" w:hAnsi="Sylfaen"/>
          <w:sz w:val="24"/>
          <w:szCs w:val="24"/>
        </w:rPr>
        <w:t>և</w:t>
      </w:r>
      <w:r w:rsidRPr="00834D52">
        <w:rPr>
          <w:rFonts w:ascii="Sylfaen" w:hAnsi="Sylfaen"/>
          <w:sz w:val="24"/>
          <w:szCs w:val="24"/>
        </w:rPr>
        <w:t xml:space="preserve">ով չի կարող ակնկալել դեղապատրաստուկի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վերաբերյալ ապացույցների բազմակողմանի հաստատում ստանալը.</w:t>
      </w:r>
    </w:p>
    <w:p w14:paraId="3BA8153A" w14:textId="77777777" w:rsidR="006F76EB" w:rsidRPr="00834D52" w:rsidRDefault="006F76EB" w:rsidP="006D7713">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հետազոտությունների առկա գիտական մեթոդների դեպքում դեղապատրաստուկի արդյունավետության կամ անվտանգության վերաբերյալ ամբողջական տեղեկատվություն չի կարող ներկայացվել.</w:t>
      </w:r>
    </w:p>
    <w:p w14:paraId="3A43301B" w14:textId="77777777" w:rsidR="006F76EB" w:rsidRPr="00834D52" w:rsidRDefault="006F76EB" w:rsidP="006D7713">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արդյունավետության կամ անվտանգության վերաբերյալ տեղեկատվություն ստանալը կհակասի բժշկական էթիկայի համընդհանուր սկզբունքներին:</w:t>
      </w:r>
    </w:p>
    <w:p w14:paraId="3E995413" w14:textId="77777777" w:rsidR="006F76EB" w:rsidRPr="00834D52" w:rsidRDefault="006F76EB" w:rsidP="0015773F">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Պայմաններով գրանցումը կարող է ներառել հետ</w:t>
      </w:r>
      <w:r w:rsidR="00C54D75">
        <w:rPr>
          <w:rFonts w:ascii="Sylfaen" w:hAnsi="Sylfaen"/>
          <w:sz w:val="24"/>
          <w:szCs w:val="24"/>
        </w:rPr>
        <w:t>և</w:t>
      </w:r>
      <w:r w:rsidRPr="00834D52">
        <w:rPr>
          <w:rFonts w:ascii="Sylfaen" w:hAnsi="Sylfaen"/>
          <w:sz w:val="24"/>
          <w:szCs w:val="24"/>
        </w:rPr>
        <w:t>յալը՝</w:t>
      </w:r>
    </w:p>
    <w:p w14:paraId="1B3B35B2" w14:textId="77777777" w:rsidR="006F76EB" w:rsidRPr="00834D52" w:rsidRDefault="006F76EB" w:rsidP="0015773F">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հայտատուն պետք է անդամ պետության լիազորված մարմնի կողմից սահմանված ժամկետում ավարտի անվտանգության կամ արդյունավետության հետազոտությունների որոշակի ծրագիր, որի արդյունքները պետք է թույլ տան անցկացնել օգուտ/ռիսկ հարաբերակցության կրկնակի գնահատումը.</w:t>
      </w:r>
    </w:p>
    <w:p w14:paraId="4987AA81" w14:textId="77777777" w:rsidR="006F76EB" w:rsidRPr="00834D52" w:rsidRDefault="006F76EB" w:rsidP="00B43712">
      <w:pPr>
        <w:spacing w:after="160" w:line="365"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քննարկվող դեղապատրաստուկը կարող է բացթողնվել միայն դեղատոմսով </w:t>
      </w:r>
      <w:r w:rsidR="00C54D75">
        <w:rPr>
          <w:rFonts w:ascii="Sylfaen" w:hAnsi="Sylfaen"/>
          <w:sz w:val="24"/>
          <w:szCs w:val="24"/>
        </w:rPr>
        <w:t>և</w:t>
      </w:r>
      <w:r w:rsidRPr="00834D52">
        <w:rPr>
          <w:rFonts w:ascii="Sylfaen" w:hAnsi="Sylfaen"/>
          <w:sz w:val="24"/>
          <w:szCs w:val="24"/>
        </w:rPr>
        <w:t xml:space="preserve"> կիրառվում է որոշ դեպքերում միայն բժշկական խիստ հսկողության ներքո, հնարավոր է հիվանդանոցում, իսկ ռադիոդեղագործական միջոցներին առնչվող դեպքերում՝ հատուկ լիազորված անձի հսկողության ներքո.</w:t>
      </w:r>
    </w:p>
    <w:p w14:paraId="74A50395" w14:textId="77777777" w:rsidR="006F76EB" w:rsidRPr="007F5A60" w:rsidRDefault="006F76EB" w:rsidP="00B43712">
      <w:pPr>
        <w:spacing w:after="160" w:line="365" w:lineRule="auto"/>
        <w:ind w:right="-8" w:firstLine="567"/>
        <w:jc w:val="both"/>
        <w:rPr>
          <w:rFonts w:ascii="Sylfaen" w:hAnsi="Sylfaen"/>
          <w:spacing w:val="-4"/>
          <w:sz w:val="24"/>
          <w:szCs w:val="24"/>
        </w:rPr>
      </w:pPr>
      <w:r w:rsidRPr="00834D52">
        <w:rPr>
          <w:rFonts w:ascii="Sylfaen" w:hAnsi="Sylfaen"/>
          <w:spacing w:val="-4"/>
          <w:sz w:val="24"/>
          <w:szCs w:val="24"/>
        </w:rPr>
        <w:t xml:space="preserve">ԲԿՀ-ն, ԴՊԸԲ-ն, գրանցման հավաստագիրը </w:t>
      </w:r>
      <w:r w:rsidR="00C54D75">
        <w:rPr>
          <w:rFonts w:ascii="Sylfaen" w:hAnsi="Sylfaen"/>
          <w:spacing w:val="-4"/>
          <w:sz w:val="24"/>
          <w:szCs w:val="24"/>
        </w:rPr>
        <w:t>և</w:t>
      </w:r>
      <w:r w:rsidRPr="00834D52">
        <w:rPr>
          <w:rFonts w:ascii="Sylfaen" w:hAnsi="Sylfaen"/>
          <w:spacing w:val="-4"/>
          <w:sz w:val="24"/>
          <w:szCs w:val="24"/>
        </w:rPr>
        <w:t xml:space="preserve"> բժշկական ցանկացած տեղեկատվություն պետք է պարունակեն դիմում, որը բուժաշխատողի ուշադրությունն է հրավիրում այն փաստի վրա, որ քննարկվող դեղապատրաստուկի առկա բնութագրերը բավարար չեն դեղապատրաստուկի արդյունավետության կամ անվտանգության որոշ ասպեկտների հաստատման առումով:</w:t>
      </w:r>
    </w:p>
    <w:p w14:paraId="79875A78" w14:textId="77777777" w:rsidR="00B43712" w:rsidRPr="007F5A60" w:rsidRDefault="00B43712" w:rsidP="00B43712">
      <w:pPr>
        <w:spacing w:after="160" w:line="365" w:lineRule="auto"/>
        <w:ind w:right="-8" w:firstLine="567"/>
        <w:jc w:val="both"/>
        <w:rPr>
          <w:rFonts w:ascii="Sylfaen" w:eastAsia="Times New Roman" w:hAnsi="Sylfaen" w:cs="Times New Roman"/>
          <w:spacing w:val="-4"/>
          <w:sz w:val="24"/>
          <w:szCs w:val="24"/>
        </w:rPr>
      </w:pPr>
    </w:p>
    <w:p w14:paraId="58A6AACC" w14:textId="77777777" w:rsidR="006F76EB" w:rsidRPr="00834D52" w:rsidRDefault="006F76EB" w:rsidP="006F76EB">
      <w:pPr>
        <w:spacing w:after="160" w:line="360" w:lineRule="auto"/>
        <w:ind w:left="567" w:right="565"/>
        <w:jc w:val="center"/>
        <w:rPr>
          <w:rFonts w:ascii="Sylfaen" w:hAnsi="Sylfaen"/>
          <w:sz w:val="24"/>
          <w:szCs w:val="24"/>
        </w:rPr>
      </w:pPr>
      <w:r w:rsidRPr="00834D52">
        <w:rPr>
          <w:rFonts w:ascii="Sylfaen" w:hAnsi="Sylfaen"/>
          <w:sz w:val="24"/>
          <w:szCs w:val="24"/>
        </w:rPr>
        <w:t>III. Դեղապատրաստուկների առանձին տեսակների գրանցման դոսյեի փաստաթղթերին ներկայացվող հատուկ պահանջները</w:t>
      </w:r>
    </w:p>
    <w:p w14:paraId="0CF34208"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p>
    <w:p w14:paraId="6B38F24A" w14:textId="77777777" w:rsidR="006F76EB" w:rsidRPr="00834D52" w:rsidRDefault="006F76EB" w:rsidP="006F76EB">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12. Կենսաբանական դեղապատրաստուկներ</w:t>
      </w:r>
    </w:p>
    <w:p w14:paraId="02B3E25E" w14:textId="77777777" w:rsidR="006F76EB" w:rsidRPr="00834D52" w:rsidRDefault="006F76EB" w:rsidP="00787EA1">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Պատվաստանյութերի, արյան պատրաստուկների գրանցման դոսյեի 3-րդ մոդուլը ձ</w:t>
      </w:r>
      <w:r w:rsidR="00C54D75">
        <w:rPr>
          <w:rFonts w:ascii="Sylfaen" w:hAnsi="Sylfaen"/>
          <w:sz w:val="24"/>
          <w:szCs w:val="24"/>
        </w:rPr>
        <w:t>և</w:t>
      </w:r>
      <w:r w:rsidRPr="00834D52">
        <w:rPr>
          <w:rFonts w:ascii="Sylfaen" w:hAnsi="Sylfaen"/>
          <w:sz w:val="24"/>
          <w:szCs w:val="24"/>
        </w:rPr>
        <w:t>ավորվում է՝ հաշվի առնելով այդ դեղապատրաստուկների՝ սույն բաժնում նշված առանձնահատկությունները:</w:t>
      </w:r>
    </w:p>
    <w:p w14:paraId="49FFEFC3" w14:textId="77777777" w:rsidR="006F76EB" w:rsidRPr="00834D52" w:rsidRDefault="006F76EB" w:rsidP="000D0FC9">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12.1.</w:t>
      </w:r>
      <w:r w:rsidRPr="00834D52">
        <w:rPr>
          <w:rFonts w:ascii="Sylfaen" w:hAnsi="Sylfaen"/>
          <w:sz w:val="24"/>
          <w:szCs w:val="24"/>
        </w:rPr>
        <w:tab/>
        <w:t>Պլազմայից ստացված դեղապատրաստուկներ</w:t>
      </w:r>
    </w:p>
    <w:p w14:paraId="7A9DEDD8" w14:textId="77777777" w:rsidR="006F76EB" w:rsidRPr="00834D52" w:rsidRDefault="006F76EB" w:rsidP="00890A75">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Մարդու արյունից կամ արյան պլազմայից ստացված դեղապատրաստուկների համար, մարդու արյունից (պլազմայից) ստացված ելակետային նյութերին </w:t>
      </w:r>
      <w:r w:rsidR="00C54D75">
        <w:rPr>
          <w:rFonts w:ascii="Sylfaen" w:hAnsi="Sylfaen"/>
          <w:sz w:val="24"/>
          <w:szCs w:val="24"/>
        </w:rPr>
        <w:t>և</w:t>
      </w:r>
      <w:r w:rsidRPr="00834D52">
        <w:rPr>
          <w:rFonts w:ascii="Sylfaen" w:hAnsi="Sylfaen"/>
          <w:sz w:val="24"/>
          <w:szCs w:val="24"/>
        </w:rPr>
        <w:t xml:space="preserve"> հումքին ներկայացվող պահանջները կարող են փոխարինվել պլազմայի՝ սույն մասին համապատասխանող մաստեր-ֆայլով՝ որպես սույն պահանջների I մասում ներկայացված գրանցման դոսյեի 3-րդ մոդուլին ներկայացվող ընդհանուր պահանջներից բացառություն:</w:t>
      </w:r>
    </w:p>
    <w:p w14:paraId="17BA7ECB" w14:textId="77777777" w:rsidR="006F76EB" w:rsidRPr="00834D52" w:rsidRDefault="006F76EB" w:rsidP="000D0FC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12.1.1.</w:t>
      </w:r>
      <w:r w:rsidRPr="00834D52">
        <w:rPr>
          <w:rFonts w:ascii="Sylfaen" w:hAnsi="Sylfaen"/>
          <w:sz w:val="24"/>
          <w:szCs w:val="24"/>
        </w:rPr>
        <w:tab/>
        <w:t>Գրանցման դոսյեի ձ</w:t>
      </w:r>
      <w:r w:rsidR="00C54D75">
        <w:rPr>
          <w:rFonts w:ascii="Sylfaen" w:hAnsi="Sylfaen"/>
          <w:sz w:val="24"/>
          <w:szCs w:val="24"/>
        </w:rPr>
        <w:t>և</w:t>
      </w:r>
      <w:r w:rsidRPr="00834D52">
        <w:rPr>
          <w:rFonts w:ascii="Sylfaen" w:hAnsi="Sylfaen"/>
          <w:sz w:val="24"/>
          <w:szCs w:val="24"/>
        </w:rPr>
        <w:t>ավորման ընդհանուր սկզբունքները:</w:t>
      </w:r>
    </w:p>
    <w:p w14:paraId="689EE705" w14:textId="77777777" w:rsidR="006F76EB" w:rsidRPr="00834D52" w:rsidRDefault="006F76EB" w:rsidP="000D0FC9">
      <w:pPr>
        <w:tabs>
          <w:tab w:val="left" w:pos="1418"/>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Սույն պահանջների շրջանակներում՝</w:t>
      </w:r>
    </w:p>
    <w:p w14:paraId="33118A47" w14:textId="77777777" w:rsidR="006F76EB" w:rsidRPr="00834D52" w:rsidRDefault="006F76EB" w:rsidP="005266D9">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արյան պլազմայի մաստեր-ֆայլը դեղապատրաստուկի գրանցման դոսյեից առանձին </w:t>
      </w:r>
      <w:r w:rsidR="00C54D75">
        <w:rPr>
          <w:rFonts w:ascii="Sylfaen" w:hAnsi="Sylfaen"/>
          <w:sz w:val="24"/>
          <w:szCs w:val="24"/>
        </w:rPr>
        <w:t>և</w:t>
      </w:r>
      <w:r w:rsidRPr="00834D52">
        <w:rPr>
          <w:rFonts w:ascii="Sylfaen" w:hAnsi="Sylfaen"/>
          <w:sz w:val="24"/>
          <w:szCs w:val="24"/>
        </w:rPr>
        <w:t xml:space="preserve"> դեղապատրաստուկների կամ բժշկական արտադրատեսակների մաս կազմող ենթաֆրակցիայի կամ միջանկյալ ֆրակցիայի, օժանդակ նյութերի կամ ակտիվ նյութերի բաղադրիչների արտադրության ժամանակ որպես ելակետային նյութ </w:t>
      </w:r>
      <w:r w:rsidR="00C54D75">
        <w:rPr>
          <w:rFonts w:ascii="Sylfaen" w:hAnsi="Sylfaen"/>
          <w:sz w:val="24"/>
          <w:szCs w:val="24"/>
        </w:rPr>
        <w:t>և</w:t>
      </w:r>
      <w:r w:rsidRPr="00834D52">
        <w:rPr>
          <w:rFonts w:ascii="Sylfaen" w:hAnsi="Sylfaen"/>
          <w:sz w:val="24"/>
          <w:szCs w:val="24"/>
        </w:rPr>
        <w:t xml:space="preserve"> (կամ) հումք օգտագործված մարդու արյան ամբողջ պլազմայի բնութագրերի վերաբերյալ նշանակալի մանրամասն տեղեկություններ պարունակող ինքնուրույն փաստաթուղթ է.</w:t>
      </w:r>
    </w:p>
    <w:p w14:paraId="42F28901" w14:textId="77777777" w:rsidR="006F76EB" w:rsidRPr="00787EA1" w:rsidRDefault="006F76EB" w:rsidP="005266D9">
      <w:pPr>
        <w:tabs>
          <w:tab w:val="left" w:pos="1418"/>
        </w:tabs>
        <w:spacing w:after="160" w:line="384" w:lineRule="auto"/>
        <w:ind w:right="-6" w:firstLine="567"/>
        <w:jc w:val="both"/>
        <w:rPr>
          <w:rFonts w:ascii="Sylfaen" w:eastAsia="Times New Roman" w:hAnsi="Sylfaen" w:cs="Times New Roman"/>
          <w:spacing w:val="-6"/>
          <w:sz w:val="24"/>
          <w:szCs w:val="24"/>
        </w:rPr>
      </w:pPr>
      <w:r w:rsidRPr="00787EA1">
        <w:rPr>
          <w:rFonts w:ascii="Sylfaen" w:hAnsi="Sylfaen"/>
          <w:spacing w:val="-6"/>
          <w:sz w:val="24"/>
          <w:szCs w:val="24"/>
        </w:rPr>
        <w:t xml:space="preserve">մարդու պլազման ֆրակցիաների բաժանող (վերամշակող) յուրաքանչյուր կենտրոն կամ հիմնարկություն պետք է պատրաստի </w:t>
      </w:r>
      <w:r w:rsidR="00C54D75">
        <w:rPr>
          <w:rFonts w:ascii="Sylfaen" w:hAnsi="Sylfaen"/>
          <w:spacing w:val="-6"/>
          <w:sz w:val="24"/>
          <w:szCs w:val="24"/>
        </w:rPr>
        <w:t>և</w:t>
      </w:r>
      <w:r w:rsidRPr="00787EA1">
        <w:rPr>
          <w:rFonts w:ascii="Sylfaen" w:hAnsi="Sylfaen"/>
          <w:spacing w:val="-6"/>
          <w:sz w:val="24"/>
          <w:szCs w:val="24"/>
        </w:rPr>
        <w:t xml:space="preserve"> մշտապես թարմացնի արյան պլազմայի մաստեր-ֆայլում նշված ամբողջ մանրամասն նշանակալի տեղեկատվությունը.</w:t>
      </w:r>
    </w:p>
    <w:p w14:paraId="6D7EC294" w14:textId="77777777" w:rsidR="006F76EB" w:rsidRPr="00834D52" w:rsidRDefault="006F76EB" w:rsidP="005266D9">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պլազմայի մաստեր-ֆայլը պետք է անդամ պետության լիազորված մարմին ներկայացվի գրանցման հավաստագրի հայտատուի կամ իրավատիրոջ կողմից: Եթե գրանցման հավաստագրի հայտատուն կամ իրավատերը մաստեր-ֆայլի տիրապետողը չէ, մաստեր-ֆայլը պետք է հասանելի լինի գրանցման հավաստագրի հայտատուին կամ իրավատիրոջը՝ այն անդամ պետությունների լիազորված մարմիններ ներկայացնելու համար: Գրանցման հավաստագրի հայտատուն կամ իրավատերը ցանկացած դեպքում պատասխանատվություն է կրում դեղապատրաստուկի որակի,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համար.</w:t>
      </w:r>
    </w:p>
    <w:p w14:paraId="32FB9217" w14:textId="77777777" w:rsidR="006F76EB" w:rsidRPr="00834D52" w:rsidRDefault="006F76EB" w:rsidP="005266D9">
      <w:pPr>
        <w:tabs>
          <w:tab w:val="left" w:pos="1418"/>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եթե գրանցման դոսյեն վերաբերում է պլազմայից ստացված բաղադրիչին, ապա որպես ելակետային նյութ (հումք) օգտագործված պլազմայի համար պետք է հղում կատարել իրավատիրոջ մաստեր-ֆայլին:</w:t>
      </w:r>
    </w:p>
    <w:p w14:paraId="78204C9A" w14:textId="77777777" w:rsidR="006F76EB" w:rsidRPr="00F06D43" w:rsidRDefault="006F76EB" w:rsidP="005266D9">
      <w:pPr>
        <w:tabs>
          <w:tab w:val="left" w:pos="1701"/>
        </w:tabs>
        <w:spacing w:after="160" w:line="384" w:lineRule="auto"/>
        <w:ind w:right="-6" w:firstLine="567"/>
        <w:jc w:val="both"/>
        <w:rPr>
          <w:rFonts w:ascii="Sylfaen" w:hAnsi="Sylfaen"/>
          <w:sz w:val="24"/>
          <w:szCs w:val="24"/>
        </w:rPr>
      </w:pPr>
      <w:r w:rsidRPr="00834D52">
        <w:rPr>
          <w:rFonts w:ascii="Sylfaen" w:hAnsi="Sylfaen"/>
          <w:sz w:val="24"/>
          <w:szCs w:val="24"/>
        </w:rPr>
        <w:t>12.1.2.</w:t>
      </w:r>
      <w:r w:rsidRPr="00834D52">
        <w:rPr>
          <w:rFonts w:ascii="Sylfaen" w:hAnsi="Sylfaen"/>
          <w:sz w:val="24"/>
          <w:szCs w:val="24"/>
        </w:rPr>
        <w:tab/>
        <w:t>Գրանցման դոսյեի նյութերի բովանդակությանը ներկայացվող լրացուցիչ պահանջներ:</w:t>
      </w:r>
    </w:p>
    <w:p w14:paraId="0A279E65" w14:textId="77777777" w:rsidR="005266D9" w:rsidRPr="00F06D43" w:rsidRDefault="005266D9" w:rsidP="005266D9">
      <w:pPr>
        <w:tabs>
          <w:tab w:val="left" w:pos="1701"/>
        </w:tabs>
        <w:spacing w:after="160" w:line="384" w:lineRule="auto"/>
        <w:ind w:right="-6" w:firstLine="567"/>
        <w:jc w:val="both"/>
        <w:rPr>
          <w:rFonts w:ascii="Sylfaen" w:eastAsia="Times New Roman" w:hAnsi="Sylfaen" w:cs="Times New Roman"/>
          <w:sz w:val="24"/>
          <w:szCs w:val="24"/>
        </w:rPr>
      </w:pPr>
    </w:p>
    <w:p w14:paraId="2CF43247"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Իրավատիրոջ մաստեր-ֆայլը պետք է պարունակի որպես ելակետային նյութ (հումք) օգտագործված պլազմայի վերաբերյալ հետ</w:t>
      </w:r>
      <w:r w:rsidR="00C54D75">
        <w:rPr>
          <w:rFonts w:ascii="Sylfaen" w:hAnsi="Sylfaen"/>
          <w:sz w:val="24"/>
          <w:szCs w:val="24"/>
        </w:rPr>
        <w:t>և</w:t>
      </w:r>
      <w:r w:rsidRPr="00834D52">
        <w:rPr>
          <w:rFonts w:ascii="Sylfaen" w:hAnsi="Sylfaen"/>
          <w:sz w:val="24"/>
          <w:szCs w:val="24"/>
        </w:rPr>
        <w:t>յալ տեղեկատվությունը.</w:t>
      </w:r>
    </w:p>
    <w:p w14:paraId="2F39A05E"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պլազմայի ծագումը՝</w:t>
      </w:r>
    </w:p>
    <w:p w14:paraId="50C9F011"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տեղեկություններ այն կենտրոնների կամ հիմնարկությունների վերաբերյալ, որտեղ անցկացվում է արյան (պլազմայի) հավաքումը՝ ներառյալ տեսչական ստուգումների </w:t>
      </w:r>
      <w:r w:rsidR="00C54D75">
        <w:rPr>
          <w:rFonts w:ascii="Sylfaen" w:hAnsi="Sylfaen"/>
          <w:sz w:val="24"/>
          <w:szCs w:val="24"/>
        </w:rPr>
        <w:t>և</w:t>
      </w:r>
      <w:r w:rsidRPr="00834D52">
        <w:rPr>
          <w:rFonts w:ascii="Sylfaen" w:hAnsi="Sylfaen"/>
          <w:sz w:val="24"/>
          <w:szCs w:val="24"/>
        </w:rPr>
        <w:t xml:space="preserve"> տվյալ գործունեության տեսակը վարելու հատուկ թույլտվություն ներկայացնելու վերաբերյալ տվյալները, ինչպես նա</w:t>
      </w:r>
      <w:r w:rsidR="00C54D75">
        <w:rPr>
          <w:rFonts w:ascii="Sylfaen" w:hAnsi="Sylfaen"/>
          <w:sz w:val="24"/>
          <w:szCs w:val="24"/>
        </w:rPr>
        <w:t>և</w:t>
      </w:r>
      <w:r w:rsidRPr="00834D52">
        <w:rPr>
          <w:rFonts w:ascii="Sylfaen" w:hAnsi="Sylfaen"/>
          <w:sz w:val="24"/>
          <w:szCs w:val="24"/>
        </w:rPr>
        <w:t xml:space="preserve"> այն տարածաշրջանում, որտեղ արտադրվում է արյան (պլազմայի) պատրաստուկը, արյան միջոցով փոխանցվող վարակների վերաբերյալ համաճարակաբանական տվյալները.</w:t>
      </w:r>
    </w:p>
    <w:p w14:paraId="6E0BA5AC"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տեղեկություններ այն կենտրոնների կամ հիմնարկությունների վերաբերյալ, որտեղ դոնացիայի </w:t>
      </w:r>
      <w:r w:rsidR="00C54D75">
        <w:rPr>
          <w:rFonts w:ascii="Sylfaen" w:hAnsi="Sylfaen"/>
          <w:sz w:val="24"/>
          <w:szCs w:val="24"/>
        </w:rPr>
        <w:t>և</w:t>
      </w:r>
      <w:r w:rsidRPr="00834D52">
        <w:rPr>
          <w:rFonts w:ascii="Sylfaen" w:hAnsi="Sylfaen"/>
          <w:sz w:val="24"/>
          <w:szCs w:val="24"/>
        </w:rPr>
        <w:t xml:space="preserve"> պլազմայի պուլերի (միավորումների) վերահսկում է անցկացվում՝ ներառյալ այդ կենտրոնների կամ հիմնարկությունների տեսչական </w:t>
      </w:r>
      <w:r w:rsidR="00C54D75">
        <w:rPr>
          <w:rFonts w:ascii="Sylfaen" w:hAnsi="Sylfaen"/>
          <w:sz w:val="24"/>
          <w:szCs w:val="24"/>
        </w:rPr>
        <w:t>և</w:t>
      </w:r>
      <w:r w:rsidRPr="00834D52">
        <w:rPr>
          <w:rFonts w:ascii="Sylfaen" w:hAnsi="Sylfaen"/>
          <w:sz w:val="24"/>
          <w:szCs w:val="24"/>
        </w:rPr>
        <w:t xml:space="preserve"> կարգավորման կարգավիճակը.</w:t>
      </w:r>
    </w:p>
    <w:p w14:paraId="4FDFAE18"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արյան (պլազմայի) դոնորների ընտրության (բացառման) չափանիշները.</w:t>
      </w:r>
    </w:p>
    <w:p w14:paraId="5326BD3D"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գործող համակարգի նկարագրությունը, որը թույլ է տալիս հետ</w:t>
      </w:r>
      <w:r w:rsidR="00C54D75">
        <w:rPr>
          <w:rFonts w:ascii="Sylfaen" w:hAnsi="Sylfaen"/>
          <w:sz w:val="24"/>
          <w:szCs w:val="24"/>
        </w:rPr>
        <w:t>և</w:t>
      </w:r>
      <w:r w:rsidRPr="00834D52">
        <w:rPr>
          <w:rFonts w:ascii="Sylfaen" w:hAnsi="Sylfaen"/>
          <w:sz w:val="24"/>
          <w:szCs w:val="24"/>
        </w:rPr>
        <w:t>ելու արյան յուրաքանչյուր դոնացիայի ընթացքին՝ հիմնարկությունից, որտեղ հավաքում են արյունը (պլազման)՝ մինչ</w:t>
      </w:r>
      <w:r w:rsidR="00C54D75">
        <w:rPr>
          <w:rFonts w:ascii="Sylfaen" w:hAnsi="Sylfaen"/>
          <w:sz w:val="24"/>
          <w:szCs w:val="24"/>
        </w:rPr>
        <w:t>և</w:t>
      </w:r>
      <w:r w:rsidRPr="00834D52">
        <w:rPr>
          <w:rFonts w:ascii="Sylfaen" w:hAnsi="Sylfaen"/>
          <w:sz w:val="24"/>
          <w:szCs w:val="24"/>
        </w:rPr>
        <w:t xml:space="preserve"> պատրաստի դեղապատրաստուկը, </w:t>
      </w:r>
      <w:r w:rsidR="00C54D75">
        <w:rPr>
          <w:rFonts w:ascii="Sylfaen" w:hAnsi="Sylfaen"/>
          <w:sz w:val="24"/>
          <w:szCs w:val="24"/>
        </w:rPr>
        <w:t>և</w:t>
      </w:r>
      <w:r w:rsidRPr="00834D52">
        <w:rPr>
          <w:rFonts w:ascii="Sylfaen" w:hAnsi="Sylfaen"/>
          <w:sz w:val="24"/>
          <w:szCs w:val="24"/>
        </w:rPr>
        <w:t xml:space="preserve"> հակառակը.</w:t>
      </w:r>
    </w:p>
    <w:p w14:paraId="1036A3EE"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պլազմայի որակը </w:t>
      </w:r>
      <w:r w:rsidR="00C54D75">
        <w:rPr>
          <w:rFonts w:ascii="Sylfaen" w:hAnsi="Sylfaen"/>
          <w:sz w:val="24"/>
          <w:szCs w:val="24"/>
        </w:rPr>
        <w:t>և</w:t>
      </w:r>
      <w:r w:rsidRPr="00834D52">
        <w:rPr>
          <w:rFonts w:ascii="Sylfaen" w:hAnsi="Sylfaen"/>
          <w:sz w:val="24"/>
          <w:szCs w:val="24"/>
        </w:rPr>
        <w:t xml:space="preserve"> դրա անվտանգությունը՝</w:t>
      </w:r>
    </w:p>
    <w:p w14:paraId="1B3BA1FA"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որակի համապատասխանությունը Եվրասիական տնտեսական միության դեղագրքի համապատասխան հոդվածներին (մենագրություններին) կամ դրանց բացակայության դեպքում՝ անդամ պետությունների պետական դեղագրքերի հոդվածներին (մենագրություններին) կամ հիմնական դեղագրքերին՝ Եվրասիական տնտեսական միության անդամ պետությունների դեղագրքերի ներդաշնակեցման հայեցակարգին համապատասխան.</w:t>
      </w:r>
    </w:p>
    <w:p w14:paraId="59C1B65B" w14:textId="77777777" w:rsidR="006F76EB" w:rsidRPr="00834D52" w:rsidRDefault="006F76EB" w:rsidP="000D0FC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հավաքված արյան (պլազմայի) մեջ </w:t>
      </w:r>
      <w:r w:rsidR="00C54D75">
        <w:rPr>
          <w:rFonts w:ascii="Sylfaen" w:hAnsi="Sylfaen"/>
          <w:sz w:val="24"/>
          <w:szCs w:val="24"/>
        </w:rPr>
        <w:t>և</w:t>
      </w:r>
      <w:r w:rsidRPr="00834D52">
        <w:rPr>
          <w:rFonts w:ascii="Sylfaen" w:hAnsi="Sylfaen"/>
          <w:sz w:val="24"/>
          <w:szCs w:val="24"/>
        </w:rPr>
        <w:t xml:space="preserve"> դրա պուլերում վարակների հարուցիչների առկայության վերահսկում` ներառյալ վերահսկման մեթոդների մասին տեղեկատվությունը </w:t>
      </w:r>
      <w:r w:rsidR="00C54D75">
        <w:rPr>
          <w:rFonts w:ascii="Sylfaen" w:hAnsi="Sylfaen"/>
          <w:sz w:val="24"/>
          <w:szCs w:val="24"/>
        </w:rPr>
        <w:t>և</w:t>
      </w:r>
      <w:r w:rsidRPr="00834D52">
        <w:rPr>
          <w:rFonts w:ascii="Sylfaen" w:hAnsi="Sylfaen"/>
          <w:sz w:val="24"/>
          <w:szCs w:val="24"/>
        </w:rPr>
        <w:t xml:space="preserve"> պլազմայի պուլերի դեպքում՝ կիրառված մեթոդիկաների վալիդացման տվյալները.</w:t>
      </w:r>
    </w:p>
    <w:p w14:paraId="777DA649" w14:textId="77777777" w:rsidR="006F76EB" w:rsidRPr="00834D52" w:rsidRDefault="006F76EB" w:rsidP="000D0FC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արյունը </w:t>
      </w:r>
      <w:r w:rsidR="00C54D75">
        <w:rPr>
          <w:rFonts w:ascii="Sylfaen" w:hAnsi="Sylfaen"/>
          <w:sz w:val="24"/>
          <w:szCs w:val="24"/>
        </w:rPr>
        <w:t>և</w:t>
      </w:r>
      <w:r w:rsidRPr="00834D52">
        <w:rPr>
          <w:rFonts w:ascii="Sylfaen" w:hAnsi="Sylfaen"/>
          <w:sz w:val="24"/>
          <w:szCs w:val="24"/>
        </w:rPr>
        <w:t xml:space="preserve"> պլազման հավաքելու համար կոնտեյներների տեխնիկական բնութագրերը՝ ներառյալ օգտագործված հակամակարդիչների վերաբերյալ տեղեկատվությունը.</w:t>
      </w:r>
    </w:p>
    <w:p w14:paraId="2A612792" w14:textId="77777777" w:rsidR="006F76EB" w:rsidRPr="00834D52" w:rsidRDefault="006F76EB" w:rsidP="000D0FC9">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պլազմայի պահպանման </w:t>
      </w:r>
      <w:r w:rsidR="00C54D75">
        <w:rPr>
          <w:rFonts w:ascii="Sylfaen" w:hAnsi="Sylfaen"/>
          <w:sz w:val="24"/>
          <w:szCs w:val="24"/>
        </w:rPr>
        <w:t>և</w:t>
      </w:r>
      <w:r w:rsidRPr="00834D52">
        <w:rPr>
          <w:rFonts w:ascii="Sylfaen" w:hAnsi="Sylfaen"/>
          <w:sz w:val="24"/>
          <w:szCs w:val="24"/>
        </w:rPr>
        <w:t xml:space="preserve"> փոխադրման պայմանները.</w:t>
      </w:r>
    </w:p>
    <w:p w14:paraId="6C37D8FD" w14:textId="77777777" w:rsidR="006F76EB" w:rsidRPr="00834D52" w:rsidRDefault="006F76EB" w:rsidP="000D0FC9">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արտադրման համար օգտագործվող ցանկացած նյութի պահպանման ընթացակարգը </w:t>
      </w:r>
      <w:r w:rsidR="00C54D75">
        <w:rPr>
          <w:rFonts w:ascii="Sylfaen" w:hAnsi="Sylfaen"/>
          <w:sz w:val="24"/>
          <w:szCs w:val="24"/>
        </w:rPr>
        <w:t>և</w:t>
      </w:r>
      <w:r w:rsidRPr="00834D52">
        <w:rPr>
          <w:rFonts w:ascii="Sylfaen" w:hAnsi="Sylfaen"/>
          <w:sz w:val="24"/>
          <w:szCs w:val="24"/>
        </w:rPr>
        <w:t xml:space="preserve"> (կամ) կարանտինի ժամանակահատվածը.</w:t>
      </w:r>
    </w:p>
    <w:p w14:paraId="358C50A8" w14:textId="77777777" w:rsidR="006F76EB" w:rsidRPr="00834D52" w:rsidRDefault="006F76EB" w:rsidP="000D0FC9">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պլազմայի պուլի բնութագիրը.</w:t>
      </w:r>
    </w:p>
    <w:p w14:paraId="62FF027D" w14:textId="77777777" w:rsidR="006F76EB" w:rsidRPr="00834D52" w:rsidRDefault="006F76EB" w:rsidP="000D0FC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պլազմայից ստացված դեղապատրաստուկն արտադրողի </w:t>
      </w:r>
      <w:r w:rsidR="00C54D75">
        <w:rPr>
          <w:rFonts w:ascii="Sylfaen" w:hAnsi="Sylfaen"/>
          <w:sz w:val="24"/>
          <w:szCs w:val="24"/>
        </w:rPr>
        <w:t>և</w:t>
      </w:r>
      <w:r w:rsidRPr="00834D52">
        <w:rPr>
          <w:rFonts w:ascii="Sylfaen" w:hAnsi="Sylfaen"/>
          <w:sz w:val="24"/>
          <w:szCs w:val="24"/>
        </w:rPr>
        <w:t xml:space="preserve"> (կամ) պլազման ֆրակցիաների բաժանող </w:t>
      </w:r>
      <w:r w:rsidR="00C54D75">
        <w:rPr>
          <w:rFonts w:ascii="Sylfaen" w:hAnsi="Sylfaen"/>
          <w:sz w:val="24"/>
          <w:szCs w:val="24"/>
        </w:rPr>
        <w:t>և</w:t>
      </w:r>
      <w:r w:rsidRPr="00834D52">
        <w:rPr>
          <w:rFonts w:ascii="Sylfaen" w:hAnsi="Sylfaen"/>
          <w:sz w:val="24"/>
          <w:szCs w:val="24"/>
        </w:rPr>
        <w:t xml:space="preserve"> (կամ) վերամշակող կենտրոնի կամ հիմնարկության </w:t>
      </w:r>
      <w:r w:rsidR="00C54D75">
        <w:rPr>
          <w:rFonts w:ascii="Sylfaen" w:hAnsi="Sylfaen"/>
          <w:sz w:val="24"/>
          <w:szCs w:val="24"/>
        </w:rPr>
        <w:t>և</w:t>
      </w:r>
      <w:r w:rsidRPr="00834D52">
        <w:rPr>
          <w:rFonts w:ascii="Sylfaen" w:hAnsi="Sylfaen"/>
          <w:sz w:val="24"/>
          <w:szCs w:val="24"/>
        </w:rPr>
        <w:t xml:space="preserve"> արյան (պլազմայի) հավաքման </w:t>
      </w:r>
      <w:r w:rsidR="00C54D75">
        <w:rPr>
          <w:rFonts w:ascii="Sylfaen" w:hAnsi="Sylfaen"/>
          <w:sz w:val="24"/>
          <w:szCs w:val="24"/>
        </w:rPr>
        <w:t>և</w:t>
      </w:r>
      <w:r w:rsidRPr="00834D52">
        <w:rPr>
          <w:rFonts w:ascii="Sylfaen" w:hAnsi="Sylfaen"/>
          <w:sz w:val="24"/>
          <w:szCs w:val="24"/>
        </w:rPr>
        <w:t xml:space="preserve"> վերահսկման կենտրոնի կամ հիմնարկության միջ</w:t>
      </w:r>
      <w:r w:rsidR="00C54D75">
        <w:rPr>
          <w:rFonts w:ascii="Sylfaen" w:hAnsi="Sylfaen"/>
          <w:sz w:val="24"/>
          <w:szCs w:val="24"/>
        </w:rPr>
        <w:t>և</w:t>
      </w:r>
      <w:r w:rsidRPr="00834D52">
        <w:rPr>
          <w:rFonts w:ascii="Sylfaen" w:hAnsi="Sylfaen"/>
          <w:sz w:val="24"/>
          <w:szCs w:val="24"/>
        </w:rPr>
        <w:t xml:space="preserve"> փոխգործակցության սահմանված համակարգի, ինչպես նա</w:t>
      </w:r>
      <w:r w:rsidR="00C54D75">
        <w:rPr>
          <w:rFonts w:ascii="Sylfaen" w:hAnsi="Sylfaen"/>
          <w:sz w:val="24"/>
          <w:szCs w:val="24"/>
        </w:rPr>
        <w:t>և</w:t>
      </w:r>
      <w:r w:rsidRPr="00834D52">
        <w:rPr>
          <w:rFonts w:ascii="Sylfaen" w:hAnsi="Sylfaen"/>
          <w:sz w:val="24"/>
          <w:szCs w:val="24"/>
        </w:rPr>
        <w:t xml:space="preserve"> դրանց կողմից համաձայնեցված պլազմայի մասնագրերի նկարագրությունը:</w:t>
      </w:r>
    </w:p>
    <w:p w14:paraId="6C0F5DDC" w14:textId="77777777" w:rsidR="006F76EB" w:rsidRPr="00834D52" w:rsidRDefault="006F76EB" w:rsidP="000D0FC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Պլազմայի մաստեր-ֆայլը նա</w:t>
      </w:r>
      <w:r w:rsidR="00C54D75">
        <w:rPr>
          <w:rFonts w:ascii="Sylfaen" w:hAnsi="Sylfaen"/>
          <w:sz w:val="24"/>
          <w:szCs w:val="24"/>
        </w:rPr>
        <w:t>և</w:t>
      </w:r>
      <w:r w:rsidRPr="00834D52">
        <w:rPr>
          <w:rFonts w:ascii="Sylfaen" w:hAnsi="Sylfaen"/>
          <w:sz w:val="24"/>
          <w:szCs w:val="24"/>
        </w:rPr>
        <w:t xml:space="preserve"> պետք է պարունակի այն դեղապատրաստուկների ցանկը, որոնց վրա այն տարածվում է՝ անկախ նրանից, թե այդ դեղապատրաստուկները գրանցված են, գտնվում են գրանցման ընթացքում, թե կլինիկական հետազոտությունների փուլում:</w:t>
      </w:r>
    </w:p>
    <w:p w14:paraId="2490A2B5" w14:textId="77777777" w:rsidR="006F76EB" w:rsidRPr="00834D52" w:rsidRDefault="006F76EB" w:rsidP="000D0FC9">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12.1.3.</w:t>
      </w:r>
      <w:r w:rsidRPr="00834D52">
        <w:rPr>
          <w:rFonts w:ascii="Sylfaen" w:hAnsi="Sylfaen"/>
          <w:sz w:val="24"/>
          <w:szCs w:val="24"/>
        </w:rPr>
        <w:tab/>
        <w:t xml:space="preserve">Գրանցման դոսյեի փորձաքննությունը </w:t>
      </w:r>
      <w:r w:rsidR="00C54D75">
        <w:rPr>
          <w:rFonts w:ascii="Sylfaen" w:hAnsi="Sylfaen"/>
          <w:sz w:val="24"/>
          <w:szCs w:val="24"/>
        </w:rPr>
        <w:t>և</w:t>
      </w:r>
      <w:r w:rsidRPr="00834D52">
        <w:rPr>
          <w:rFonts w:ascii="Sylfaen" w:hAnsi="Sylfaen"/>
          <w:sz w:val="24"/>
          <w:szCs w:val="24"/>
        </w:rPr>
        <w:t xml:space="preserve"> եզրակացության տրամադրումը:</w:t>
      </w:r>
    </w:p>
    <w:p w14:paraId="5BBEAEE0" w14:textId="77777777" w:rsidR="006F76EB" w:rsidRPr="00834D52" w:rsidRDefault="006F76EB" w:rsidP="000D0FC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Չգրանցված դեղապատրաստուկների համար հայտատուն պետք է անդամ պետության լիազորված մարմին ներկայացնի դեղապատրաստուկի ամբողջական գրանցման դոսյեն, որը կուղեկցվի պլազմայի առանձին մաստեր-ֆայլի հավելվածով, եթե նախկինում այն չի կազմվել </w:t>
      </w:r>
      <w:r w:rsidR="00C54D75">
        <w:rPr>
          <w:rFonts w:ascii="Sylfaen" w:hAnsi="Sylfaen"/>
          <w:sz w:val="24"/>
          <w:szCs w:val="24"/>
        </w:rPr>
        <w:t>և</w:t>
      </w:r>
      <w:r w:rsidRPr="00834D52">
        <w:rPr>
          <w:rFonts w:ascii="Sylfaen" w:hAnsi="Sylfaen"/>
          <w:sz w:val="24"/>
          <w:szCs w:val="24"/>
        </w:rPr>
        <w:t xml:space="preserve"> չի ներկայացվել նրանց կողմից:</w:t>
      </w:r>
    </w:p>
    <w:p w14:paraId="3D47BF43" w14:textId="77777777" w:rsidR="006F76EB" w:rsidRPr="00834D52" w:rsidRDefault="006F76EB" w:rsidP="000D0FC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Պլազմայի մաստեր-ֆայլը ենթակա է փորձաքննության՝ դեղապատրաստուկի գրանցման դոսյեի գրանցման </w:t>
      </w:r>
      <w:r w:rsidR="00C54D75">
        <w:rPr>
          <w:rFonts w:ascii="Sylfaen" w:hAnsi="Sylfaen"/>
          <w:sz w:val="24"/>
          <w:szCs w:val="24"/>
        </w:rPr>
        <w:t>և</w:t>
      </w:r>
      <w:r w:rsidRPr="00834D52">
        <w:rPr>
          <w:rFonts w:ascii="Sylfaen" w:hAnsi="Sylfaen"/>
          <w:sz w:val="24"/>
          <w:szCs w:val="24"/>
        </w:rPr>
        <w:t xml:space="preserve"> փորձաքննության շրջանակներում: Փորձաքննության դրական արդյունքների դեպքում տրվում է մաստեր-ֆայլի՝ </w:t>
      </w:r>
      <w:r w:rsidRPr="00834D52">
        <w:rPr>
          <w:rFonts w:ascii="Sylfaen" w:hAnsi="Sylfaen"/>
          <w:sz w:val="24"/>
          <w:szCs w:val="24"/>
        </w:rPr>
        <w:lastRenderedPageBreak/>
        <w:t>Միության եզրակացություն (հավաստագիր, վկայական), որը պետք է ուղեկցվի փորձագիտական հաշվետվության հավելվածով: Տրված եզրակացությունը (հավաստագիրը, վկայականը) վավեր է Միության ամբողջ տարածքում:</w:t>
      </w:r>
    </w:p>
    <w:p w14:paraId="048138CC" w14:textId="77777777" w:rsidR="006F76EB" w:rsidRPr="00834D52" w:rsidRDefault="006F76EB" w:rsidP="000D0FC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Պլազմայի մաստեր-ֆայլը ենթակա է ամենամյա թարմացման </w:t>
      </w:r>
      <w:r w:rsidR="00C54D75">
        <w:rPr>
          <w:rFonts w:ascii="Sylfaen" w:hAnsi="Sylfaen"/>
          <w:sz w:val="24"/>
          <w:szCs w:val="24"/>
        </w:rPr>
        <w:t>և</w:t>
      </w:r>
      <w:r w:rsidRPr="00834D52">
        <w:rPr>
          <w:rFonts w:ascii="Sylfaen" w:hAnsi="Sylfaen"/>
          <w:sz w:val="24"/>
          <w:szCs w:val="24"/>
        </w:rPr>
        <w:t xml:space="preserve"> կրկնակի փորձաքննության:</w:t>
      </w:r>
    </w:p>
    <w:p w14:paraId="6C6C9A36" w14:textId="77777777" w:rsidR="006F76EB" w:rsidRPr="00834D52" w:rsidRDefault="006F76EB" w:rsidP="000D0FC9">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Պլազմայի մաստեր-ֆայլում փոփոխություններ կատարելու դեպքում այն ենթակա է փորձաքննության՝ փոփոխությունների կատարման ընթացակարգին համապատասխան:</w:t>
      </w:r>
    </w:p>
    <w:p w14:paraId="1D64FAFC" w14:textId="77777777" w:rsidR="006F76EB" w:rsidRPr="00834D52" w:rsidRDefault="006F76EB" w:rsidP="000D0FC9">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Միության տրված եզրակացությունը (հավաստագիրը, վկայականը) անդամ պետության լիազորված մարմնի կողմից ընդունվում է մարդու պլազմայից (արյունից) ստացված դեղապատրաստուկների գրանցման (գրանցումը հաստատելու, գրանցման դոսյեում փոփոխություններ կատարելու) ընթացակարգերն իրականացնելիս:</w:t>
      </w:r>
    </w:p>
    <w:p w14:paraId="45FD68A4" w14:textId="77777777" w:rsidR="006F76EB" w:rsidRPr="00834D52" w:rsidRDefault="006F76EB" w:rsidP="001A09F9">
      <w:pPr>
        <w:tabs>
          <w:tab w:val="left" w:pos="1134"/>
        </w:tabs>
        <w:spacing w:after="160" w:line="360" w:lineRule="auto"/>
        <w:ind w:left="567" w:right="579"/>
        <w:jc w:val="both"/>
        <w:rPr>
          <w:rFonts w:ascii="Sylfaen" w:eastAsia="Times New Roman" w:hAnsi="Sylfaen" w:cs="Times New Roman"/>
          <w:sz w:val="24"/>
          <w:szCs w:val="24"/>
        </w:rPr>
      </w:pPr>
      <w:r w:rsidRPr="001A09F9">
        <w:rPr>
          <w:rFonts w:ascii="Sylfaen" w:hAnsi="Sylfaen"/>
          <w:sz w:val="24"/>
          <w:szCs w:val="24"/>
        </w:rPr>
        <w:t>12.2.</w:t>
      </w:r>
      <w:r w:rsidR="001A09F9" w:rsidRPr="00F06D43">
        <w:rPr>
          <w:rFonts w:ascii="Sylfaen" w:hAnsi="Sylfaen"/>
          <w:sz w:val="24"/>
          <w:szCs w:val="24"/>
        </w:rPr>
        <w:tab/>
      </w:r>
      <w:r w:rsidRPr="001A09F9">
        <w:rPr>
          <w:rFonts w:ascii="Sylfaen" w:hAnsi="Sylfaen"/>
          <w:sz w:val="24"/>
          <w:szCs w:val="24"/>
        </w:rPr>
        <w:t>Պատվաստանյութեր</w:t>
      </w:r>
    </w:p>
    <w:p w14:paraId="25A44647" w14:textId="77777777" w:rsidR="006F76EB" w:rsidRPr="00834D52" w:rsidRDefault="006F76EB" w:rsidP="00384450">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Բժշկական կիրառման համար պատվաստանյութերի նկատմամբ, որպես գրանցման դոսյեի «Ակտիվ դեղագործական բաղադրամաս» 3-րդ մոդուլին ներկայացվող ընդհանուր պահանջներից բացառություն, պատվաստանյութային հակածնի մաստեր-ֆայլի համակարգի օգտագործման հիման վրա կիրառվում են հետ</w:t>
      </w:r>
      <w:r w:rsidR="00C54D75">
        <w:rPr>
          <w:rFonts w:ascii="Sylfaen" w:hAnsi="Sylfaen"/>
          <w:sz w:val="24"/>
          <w:szCs w:val="24"/>
        </w:rPr>
        <w:t>և</w:t>
      </w:r>
      <w:r w:rsidRPr="00834D52">
        <w:rPr>
          <w:rFonts w:ascii="Sylfaen" w:hAnsi="Sylfaen"/>
          <w:sz w:val="24"/>
          <w:szCs w:val="24"/>
        </w:rPr>
        <w:t>յալ պահանջները:</w:t>
      </w:r>
    </w:p>
    <w:p w14:paraId="2A28DE72" w14:textId="77777777" w:rsidR="006F76EB" w:rsidRPr="00834D52" w:rsidRDefault="006F76EB" w:rsidP="00384450">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Մարդու գրիպի կանխարգելման համար պատվաստանյութ չհամարվող պատվաստանյութի գրանցման դոսյեն յուրաքանչյուր այն հակածնի համար, որն այդ պատվաստանյութի ակտիվ նյութն է, պետք է ներառի պատվաստանյութային հակածնի մաստեր-ֆայլը:</w:t>
      </w:r>
    </w:p>
    <w:p w14:paraId="7CEA8E48" w14:textId="77777777" w:rsidR="006F76EB" w:rsidRPr="00834D52" w:rsidRDefault="006F76EB" w:rsidP="008B1DE6">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12.2.1.</w:t>
      </w:r>
      <w:r w:rsidRPr="00834D52">
        <w:rPr>
          <w:rFonts w:ascii="Sylfaen" w:hAnsi="Sylfaen"/>
          <w:sz w:val="24"/>
          <w:szCs w:val="24"/>
        </w:rPr>
        <w:tab/>
        <w:t>Ընդհանուր սկզբունքները:</w:t>
      </w:r>
    </w:p>
    <w:p w14:paraId="4D615C50"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Պատվաստանյութային հակածնի մաստեր-ֆայլը պատվաստանյութի գրանցման դոսյեի առանձին մաս է, որը պարունակում է տվյալ դեղապատրաստուկի մաս կազմող յուրաքանչյուր ակտիվ նյութի վերաբերյալ </w:t>
      </w:r>
      <w:r w:rsidRPr="00834D52">
        <w:rPr>
          <w:rFonts w:ascii="Sylfaen" w:hAnsi="Sylfaen"/>
          <w:sz w:val="24"/>
          <w:szCs w:val="24"/>
        </w:rPr>
        <w:lastRenderedPageBreak/>
        <w:t xml:space="preserve">կենսաբանական, դեղագործական </w:t>
      </w:r>
      <w:r w:rsidR="00C54D75">
        <w:rPr>
          <w:rFonts w:ascii="Sylfaen" w:hAnsi="Sylfaen"/>
          <w:sz w:val="24"/>
          <w:szCs w:val="24"/>
        </w:rPr>
        <w:t>և</w:t>
      </w:r>
      <w:r w:rsidRPr="00834D52">
        <w:rPr>
          <w:rFonts w:ascii="Sylfaen" w:hAnsi="Sylfaen"/>
          <w:sz w:val="24"/>
          <w:szCs w:val="24"/>
        </w:rPr>
        <w:t xml:space="preserve"> քիմիական բնույթի ամբողջ նշանակալի տեղեկատվությունը: Այդ առանձին մասը կարող է ընդհանուր լինել մի</w:t>
      </w:r>
      <w:r w:rsidR="00C54D75">
        <w:rPr>
          <w:rFonts w:ascii="Sylfaen" w:hAnsi="Sylfaen"/>
          <w:sz w:val="24"/>
          <w:szCs w:val="24"/>
        </w:rPr>
        <w:t>և</w:t>
      </w:r>
      <w:r w:rsidRPr="00834D52">
        <w:rPr>
          <w:rFonts w:ascii="Sylfaen" w:hAnsi="Sylfaen"/>
          <w:sz w:val="24"/>
          <w:szCs w:val="24"/>
        </w:rPr>
        <w:t xml:space="preserve">նույն հայտատուի կամ գրանցման հավաստագրի իրավատիրոջ կողմից ներկայացվող մեկ կամ ավելի միավալենտ </w:t>
      </w:r>
      <w:r w:rsidR="00C54D75">
        <w:rPr>
          <w:rFonts w:ascii="Sylfaen" w:hAnsi="Sylfaen"/>
          <w:sz w:val="24"/>
          <w:szCs w:val="24"/>
        </w:rPr>
        <w:t>և</w:t>
      </w:r>
      <w:r w:rsidRPr="00834D52">
        <w:rPr>
          <w:rFonts w:ascii="Sylfaen" w:hAnsi="Sylfaen"/>
          <w:sz w:val="24"/>
          <w:szCs w:val="24"/>
        </w:rPr>
        <w:t xml:space="preserve"> (կամ) համակցված պատվաստանյութերի համար:</w:t>
      </w:r>
    </w:p>
    <w:p w14:paraId="2B1F4227"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Պատվաստանյութը կարող է պարունակել մեկ կամ մի քանի տարբեր պատվաստանյութային հակածիններ: Պատվաստանյութում ակտիվ նյութերի քանակը համապատասխանում է պատվաստանյութային հակածինների քանակին:</w:t>
      </w:r>
    </w:p>
    <w:p w14:paraId="6939AAE2"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Համակցված (բազմավալենտ) պատվաստանյութը պարունակում է առնվազն 2 տարբեր պատվաստանյութային հակածիններ, որոնք նախատեսված են մեկ կամ մի քանի վարակիչ հիվանդությունների կանխարգելման համար:</w:t>
      </w:r>
    </w:p>
    <w:p w14:paraId="645D7C56"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Միավալենտ պատվաստանյութը պատվաստանյութ է, որը պարունակում է 1</w:t>
      </w:r>
      <w:r w:rsidR="00145C95" w:rsidRPr="002F1C69">
        <w:rPr>
          <w:rFonts w:ascii="Sylfaen" w:hAnsi="Sylfaen"/>
          <w:sz w:val="24"/>
          <w:szCs w:val="24"/>
        </w:rPr>
        <w:t> </w:t>
      </w:r>
      <w:r w:rsidRPr="00834D52">
        <w:rPr>
          <w:rFonts w:ascii="Sylfaen" w:hAnsi="Sylfaen"/>
          <w:sz w:val="24"/>
          <w:szCs w:val="24"/>
        </w:rPr>
        <w:t>վարակիչ հիվանդության կանխարգելման համար նախատեսված 1</w:t>
      </w:r>
      <w:r w:rsidR="00841B06" w:rsidRPr="00841B06">
        <w:rPr>
          <w:rFonts w:ascii="Sylfaen" w:hAnsi="Sylfaen"/>
          <w:sz w:val="24"/>
          <w:szCs w:val="24"/>
        </w:rPr>
        <w:t> </w:t>
      </w:r>
      <w:r w:rsidRPr="00834D52">
        <w:rPr>
          <w:rFonts w:ascii="Sylfaen" w:hAnsi="Sylfaen"/>
          <w:sz w:val="24"/>
          <w:szCs w:val="24"/>
        </w:rPr>
        <w:t>պատվաստանյութային հակածին:</w:t>
      </w:r>
    </w:p>
    <w:p w14:paraId="7177E015" w14:textId="77777777" w:rsidR="006F76EB" w:rsidRPr="00834D52" w:rsidRDefault="006F76EB" w:rsidP="00F3592B">
      <w:pPr>
        <w:tabs>
          <w:tab w:val="left" w:pos="1701"/>
        </w:tabs>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12.2.2.</w:t>
      </w:r>
      <w:r w:rsidRPr="00834D52">
        <w:rPr>
          <w:rFonts w:ascii="Sylfaen" w:hAnsi="Sylfaen"/>
          <w:sz w:val="24"/>
          <w:szCs w:val="24"/>
        </w:rPr>
        <w:tab/>
        <w:t>Գրանցման դոսյեի նյութերի բովանդակությանը ներկայացվող լրացուցիչ պահանջներ:</w:t>
      </w:r>
    </w:p>
    <w:p w14:paraId="1EDC749A"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Պատվաստանյութային հակածնի մաստեր-ֆայլը պետք է պարունակի 3-րդ՝ «Որակ» մոդուլի համապատասխան մասից (Ակտիվ դեղագործական բաղադրամաս) դուրս բերված հետ</w:t>
      </w:r>
      <w:r w:rsidR="00C54D75">
        <w:rPr>
          <w:rFonts w:ascii="Sylfaen" w:hAnsi="Sylfaen"/>
          <w:sz w:val="24"/>
          <w:szCs w:val="24"/>
        </w:rPr>
        <w:t>և</w:t>
      </w:r>
      <w:r w:rsidRPr="00834D52">
        <w:rPr>
          <w:rFonts w:ascii="Sylfaen" w:hAnsi="Sylfaen"/>
          <w:sz w:val="24"/>
          <w:szCs w:val="24"/>
        </w:rPr>
        <w:t>յալ տեղեկատվությունը, ինչպես նկարագրված</w:t>
      </w:r>
      <w:r w:rsidR="00841B06" w:rsidRPr="00841B06">
        <w:rPr>
          <w:rFonts w:ascii="Sylfaen" w:hAnsi="Sylfaen"/>
          <w:sz w:val="24"/>
          <w:szCs w:val="24"/>
        </w:rPr>
        <w:t> </w:t>
      </w:r>
      <w:r w:rsidRPr="00834D52">
        <w:rPr>
          <w:rFonts w:ascii="Sylfaen" w:hAnsi="Sylfaen"/>
          <w:sz w:val="24"/>
          <w:szCs w:val="24"/>
        </w:rPr>
        <w:t>է սույն հավելվածի I մասում:</w:t>
      </w:r>
    </w:p>
    <w:p w14:paraId="0A71EBE0" w14:textId="77777777" w:rsidR="006F76EB" w:rsidRPr="00834D52" w:rsidRDefault="006F76EB" w:rsidP="00F3592B">
      <w:pPr>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Ակտիվ նյութը</w:t>
      </w:r>
    </w:p>
    <w:p w14:paraId="4F729F21" w14:textId="77777777" w:rsidR="006F76EB" w:rsidRPr="00834D52" w:rsidRDefault="006F76EB" w:rsidP="00F3592B">
      <w:pPr>
        <w:tabs>
          <w:tab w:val="left" w:pos="1134"/>
        </w:tabs>
        <w:spacing w:after="160" w:line="353" w:lineRule="auto"/>
        <w:ind w:right="-6" w:firstLine="567"/>
        <w:jc w:val="both"/>
        <w:rPr>
          <w:rFonts w:ascii="Sylfaen" w:eastAsia="Times New Roman" w:hAnsi="Sylfaen" w:cs="Times New Roman"/>
          <w:sz w:val="24"/>
          <w:szCs w:val="24"/>
        </w:rPr>
      </w:pPr>
      <w:r w:rsidRPr="00834D52">
        <w:rPr>
          <w:rFonts w:ascii="Sylfaen" w:hAnsi="Sylfaen"/>
          <w:sz w:val="24"/>
          <w:szCs w:val="24"/>
        </w:rPr>
        <w:t>1.</w:t>
      </w:r>
      <w:r w:rsidRPr="00834D52">
        <w:rPr>
          <w:rFonts w:ascii="Sylfaen" w:hAnsi="Sylfaen"/>
          <w:sz w:val="24"/>
          <w:szCs w:val="24"/>
        </w:rPr>
        <w:tab/>
        <w:t>Ընդհանուր տեղեկատվությունը՝ ներառյալ Եվրասիական տնտեսական միության դեղագրքի հոդվածին (մենագրությանը) կամ այդպիսի հոդվածների (մենագրությունների) բացակայության դեպքում՝ անդամ պետությունների դեղագրքերի հոդվածներին (մենագրություններին) կամ հիմնական դեղագրքերին համապատասխանության վերաբերյալ տեղեկությունները՝ Միության անդամ պետությունների դեղագրքերի ներդաշնակեցման հայեցակարգին համապատասխան:</w:t>
      </w:r>
    </w:p>
    <w:p w14:paraId="7B4F9C03"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w:t>
      </w:r>
      <w:r w:rsidRPr="00834D52">
        <w:rPr>
          <w:rFonts w:ascii="Sylfaen" w:hAnsi="Sylfaen"/>
          <w:sz w:val="24"/>
          <w:szCs w:val="24"/>
        </w:rPr>
        <w:tab/>
        <w:t xml:space="preserve">Տեղեկատվություն՝ ակտիվ նյութն արտադրողի վերաբերյալ՝ արտադրական պրոցեսի, ելանյութի </w:t>
      </w:r>
      <w:r w:rsidR="00C54D75">
        <w:rPr>
          <w:rFonts w:ascii="Sylfaen" w:hAnsi="Sylfaen"/>
          <w:sz w:val="24"/>
          <w:szCs w:val="24"/>
        </w:rPr>
        <w:t>և</w:t>
      </w:r>
      <w:r w:rsidRPr="00834D52">
        <w:rPr>
          <w:rFonts w:ascii="Sylfaen" w:hAnsi="Sylfaen"/>
          <w:sz w:val="24"/>
          <w:szCs w:val="24"/>
        </w:rPr>
        <w:t xml:space="preserve"> հումքի, փոխանցվող սպունգանման էնցեֆալոպաթիայի առնչությամբ հատուկ միջոցների </w:t>
      </w:r>
      <w:r w:rsidR="00C54D75">
        <w:rPr>
          <w:rFonts w:ascii="Sylfaen" w:hAnsi="Sylfaen"/>
          <w:sz w:val="24"/>
          <w:szCs w:val="24"/>
        </w:rPr>
        <w:t>և</w:t>
      </w:r>
      <w:r w:rsidRPr="00834D52">
        <w:rPr>
          <w:rFonts w:ascii="Sylfaen" w:hAnsi="Sylfaen"/>
          <w:sz w:val="24"/>
          <w:szCs w:val="24"/>
        </w:rPr>
        <w:t xml:space="preserve"> կողմնակի վարակիչ ագենտների անվտանգության գնահատման, շենքերի </w:t>
      </w:r>
      <w:r w:rsidR="00C54D75">
        <w:rPr>
          <w:rFonts w:ascii="Sylfaen" w:hAnsi="Sylfaen"/>
          <w:sz w:val="24"/>
          <w:szCs w:val="24"/>
        </w:rPr>
        <w:t>և</w:t>
      </w:r>
      <w:r w:rsidRPr="00834D52">
        <w:rPr>
          <w:rFonts w:ascii="Sylfaen" w:hAnsi="Sylfaen"/>
          <w:sz w:val="24"/>
          <w:szCs w:val="24"/>
        </w:rPr>
        <w:t xml:space="preserve"> սարքավորումների վերաբերյալ տեղեկատվություն:</w:t>
      </w:r>
    </w:p>
    <w:p w14:paraId="382115ED"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3.</w:t>
      </w:r>
      <w:r w:rsidRPr="00834D52">
        <w:rPr>
          <w:rFonts w:ascii="Sylfaen" w:hAnsi="Sylfaen"/>
          <w:sz w:val="24"/>
          <w:szCs w:val="24"/>
        </w:rPr>
        <w:tab/>
        <w:t>Ակտիվ նյութի բնութագիրը:</w:t>
      </w:r>
    </w:p>
    <w:p w14:paraId="6853023B"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w:t>
      </w:r>
      <w:r w:rsidRPr="00834D52">
        <w:rPr>
          <w:rFonts w:ascii="Sylfaen" w:hAnsi="Sylfaen"/>
          <w:sz w:val="24"/>
          <w:szCs w:val="24"/>
        </w:rPr>
        <w:tab/>
        <w:t>Ակտիվ նյութերի որակի վերահսկողությունը:</w:t>
      </w:r>
    </w:p>
    <w:p w14:paraId="5389892B"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5.</w:t>
      </w:r>
      <w:r w:rsidRPr="00834D52">
        <w:rPr>
          <w:rFonts w:ascii="Sylfaen" w:hAnsi="Sylfaen"/>
          <w:sz w:val="24"/>
          <w:szCs w:val="24"/>
        </w:rPr>
        <w:tab/>
        <w:t xml:space="preserve">Ստանդարտ նմուշները </w:t>
      </w:r>
      <w:r w:rsidR="00C54D75">
        <w:rPr>
          <w:rFonts w:ascii="Sylfaen" w:hAnsi="Sylfaen"/>
          <w:sz w:val="24"/>
          <w:szCs w:val="24"/>
        </w:rPr>
        <w:t>և</w:t>
      </w:r>
      <w:r w:rsidRPr="00834D52">
        <w:rPr>
          <w:rFonts w:ascii="Sylfaen" w:hAnsi="Sylfaen"/>
          <w:sz w:val="24"/>
          <w:szCs w:val="24"/>
        </w:rPr>
        <w:t xml:space="preserve"> նյութերը:</w:t>
      </w:r>
    </w:p>
    <w:p w14:paraId="5E601A80"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6.</w:t>
      </w:r>
      <w:r w:rsidRPr="00834D52">
        <w:rPr>
          <w:rFonts w:ascii="Sylfaen" w:hAnsi="Sylfaen"/>
          <w:sz w:val="24"/>
          <w:szCs w:val="24"/>
        </w:rPr>
        <w:tab/>
        <w:t xml:space="preserve">Ակտիվ նյութի սկզբնական փաթեթավորումը </w:t>
      </w:r>
      <w:r w:rsidR="00C54D75">
        <w:rPr>
          <w:rFonts w:ascii="Sylfaen" w:hAnsi="Sylfaen"/>
          <w:sz w:val="24"/>
          <w:szCs w:val="24"/>
        </w:rPr>
        <w:t>և</w:t>
      </w:r>
      <w:r w:rsidRPr="00834D52">
        <w:rPr>
          <w:rFonts w:ascii="Sylfaen" w:hAnsi="Sylfaen"/>
          <w:sz w:val="24"/>
          <w:szCs w:val="24"/>
        </w:rPr>
        <w:t xml:space="preserve"> խցանափակման համակարգը:</w:t>
      </w:r>
    </w:p>
    <w:p w14:paraId="27E57F36" w14:textId="77777777" w:rsidR="006F76EB" w:rsidRPr="00834D52"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7.</w:t>
      </w:r>
      <w:r w:rsidRPr="00834D52">
        <w:rPr>
          <w:rFonts w:ascii="Sylfaen" w:hAnsi="Sylfaen"/>
          <w:sz w:val="24"/>
          <w:szCs w:val="24"/>
        </w:rPr>
        <w:tab/>
        <w:t>Ակտիվ նյութի կայունությունը.</w:t>
      </w:r>
    </w:p>
    <w:p w14:paraId="2A4E04DF" w14:textId="77777777" w:rsidR="006F76EB" w:rsidRPr="002F1C69" w:rsidRDefault="006F76EB" w:rsidP="00F3592B">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Փորձաքննությունը </w:t>
      </w:r>
      <w:r w:rsidR="00C54D75">
        <w:rPr>
          <w:rFonts w:ascii="Sylfaen" w:hAnsi="Sylfaen"/>
          <w:sz w:val="24"/>
          <w:szCs w:val="24"/>
        </w:rPr>
        <w:t>և</w:t>
      </w:r>
      <w:r w:rsidRPr="00834D52">
        <w:rPr>
          <w:rFonts w:ascii="Sylfaen" w:hAnsi="Sylfaen"/>
          <w:sz w:val="24"/>
          <w:szCs w:val="24"/>
        </w:rPr>
        <w:t xml:space="preserve"> եզրակացության տրամադրումը:</w:t>
      </w:r>
    </w:p>
    <w:p w14:paraId="0E1DB914" w14:textId="77777777" w:rsidR="006F76EB" w:rsidRPr="00834D52" w:rsidRDefault="006F76EB" w:rsidP="00F3592B">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Նոր պատվաստանյութերի համար, որոնք նոր պատվաստանյութային հակածին են պարունակում, հայտատուն պետք է լիազորված մարմին ներկայացնի ամբողջական գրանցման դոսյեն` ներառյալ նոր պատվաստանյութի մաս հանդիսացող յուրաքանչյուր պատվաստանյութային հակածնի համար պատվաստանյութային հակածնի բոլոր մաստեր-ֆայլերը, եթե պատվաստանյութային հակածնի մաստեր-ֆայլն այդ պատվաստանյութային հակածնի համար բացակայում է: Փորձաքննության դրական արդյունքների դեպքում տրվում է մաստեր-ֆայլի` Միության եզրակացություն (հավաստագիր, վկայական), որը պետք է ուղեկցվի փորձագիտական հաշվետվությամբ: Տրված եզրակացությունը (հավաստագիրը, վկայականը) վավեր է Միության ամբողջ տարածքում:</w:t>
      </w:r>
    </w:p>
    <w:p w14:paraId="2551F47B" w14:textId="77777777" w:rsidR="006F76EB" w:rsidRPr="00834D52" w:rsidRDefault="006F76EB" w:rsidP="00841B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Նշված պահանջները նա</w:t>
      </w:r>
      <w:r w:rsidR="00C54D75">
        <w:rPr>
          <w:rFonts w:ascii="Sylfaen" w:hAnsi="Sylfaen"/>
          <w:sz w:val="24"/>
          <w:szCs w:val="24"/>
        </w:rPr>
        <w:t>և</w:t>
      </w:r>
      <w:r w:rsidRPr="00834D52">
        <w:rPr>
          <w:rFonts w:ascii="Sylfaen" w:hAnsi="Sylfaen"/>
          <w:sz w:val="24"/>
          <w:szCs w:val="24"/>
        </w:rPr>
        <w:t xml:space="preserve"> կիրառվում են յուրաքանչյուր այնպիսի պատվաստանյութի նկատմամբ, որը բաղկացած է պատվաստանյութային </w:t>
      </w:r>
      <w:r w:rsidRPr="00834D52">
        <w:rPr>
          <w:rFonts w:ascii="Sylfaen" w:hAnsi="Sylfaen"/>
          <w:sz w:val="24"/>
          <w:szCs w:val="24"/>
        </w:rPr>
        <w:lastRenderedPageBreak/>
        <w:t>հակածինների նոր համակցությունից՝ անկախ նրանից, թե արդյոք այդ հակածիններից մեկը կամ մի քանիսն այն պատվաստանյութերի մաս են, որոնք արդեն իսկ գրանցված են անդամ պետությունում:</w:t>
      </w:r>
    </w:p>
    <w:p w14:paraId="541CDFB5" w14:textId="77777777" w:rsidR="006F76EB" w:rsidRPr="00834D52" w:rsidRDefault="006F76EB" w:rsidP="00841B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Պատվաստանյութային հակածնի մաստեր-ֆայլում փոփոխություններ կատարելու դեպքում մաստեր-ֆայլը ենթակա է փորձաքննության՝ փոփոխություններ կատարելու ընթացակարգին համապատասխան:</w:t>
      </w:r>
    </w:p>
    <w:p w14:paraId="72BF1877" w14:textId="77777777" w:rsidR="006F76EB" w:rsidRPr="002F1C69" w:rsidRDefault="006F76EB" w:rsidP="00841B06">
      <w:pPr>
        <w:spacing w:after="160" w:line="384" w:lineRule="auto"/>
        <w:ind w:right="-6" w:firstLine="567"/>
        <w:jc w:val="both"/>
        <w:rPr>
          <w:rFonts w:ascii="Sylfaen" w:hAnsi="Sylfaen"/>
          <w:sz w:val="24"/>
          <w:szCs w:val="24"/>
        </w:rPr>
      </w:pPr>
      <w:r w:rsidRPr="00834D52">
        <w:rPr>
          <w:rFonts w:ascii="Sylfaen" w:hAnsi="Sylfaen"/>
          <w:sz w:val="24"/>
          <w:szCs w:val="24"/>
        </w:rPr>
        <w:t>Միության տրված եզրակացությունը (հավաստագիրը, վկայականը) լիազորված մարմնի կողմից ընդունվում է պատվաստանյութերի գրանցման (գրանցումը հաստատելու, գրանցման դոսյեում փոփոխություններ կատարելու) ընթացակարգերն իրականացնելիս:</w:t>
      </w:r>
    </w:p>
    <w:p w14:paraId="281A74C8" w14:textId="77777777" w:rsidR="006F76EB" w:rsidRPr="00834D52" w:rsidRDefault="006F76EB" w:rsidP="00841B06">
      <w:pPr>
        <w:tabs>
          <w:tab w:val="left" w:pos="1134"/>
        </w:tabs>
        <w:spacing w:after="160" w:line="384" w:lineRule="auto"/>
        <w:ind w:right="565" w:firstLine="567"/>
        <w:jc w:val="both"/>
        <w:rPr>
          <w:rFonts w:ascii="Sylfaen" w:eastAsia="Times New Roman" w:hAnsi="Sylfaen" w:cs="Times New Roman"/>
          <w:spacing w:val="-4"/>
          <w:sz w:val="24"/>
          <w:szCs w:val="24"/>
        </w:rPr>
      </w:pPr>
      <w:r w:rsidRPr="00834D52">
        <w:rPr>
          <w:rFonts w:ascii="Sylfaen" w:hAnsi="Sylfaen"/>
          <w:spacing w:val="-4"/>
          <w:sz w:val="24"/>
          <w:szCs w:val="24"/>
        </w:rPr>
        <w:t>12.3.</w:t>
      </w:r>
      <w:r w:rsidR="007643CC" w:rsidRPr="002978B0">
        <w:rPr>
          <w:rFonts w:ascii="Sylfaen" w:hAnsi="Sylfaen"/>
          <w:spacing w:val="-4"/>
          <w:sz w:val="24"/>
          <w:szCs w:val="24"/>
        </w:rPr>
        <w:tab/>
      </w:r>
      <w:r w:rsidRPr="00834D52">
        <w:rPr>
          <w:rFonts w:ascii="Sylfaen" w:hAnsi="Sylfaen"/>
          <w:spacing w:val="-4"/>
          <w:sz w:val="24"/>
          <w:szCs w:val="24"/>
        </w:rPr>
        <w:t>Պարզեցված գրանցման դոսյե՝ լավ ուսումնասիրված բժշկական կիրառման պատվաստանյութերի համար, որոնց արտադրությունն անդամ պետությունների տարածքներում իրականացվել է մինչ</w:t>
      </w:r>
      <w:r w:rsidR="00C54D75">
        <w:rPr>
          <w:rFonts w:ascii="Sylfaen" w:hAnsi="Sylfaen"/>
          <w:spacing w:val="-4"/>
          <w:sz w:val="24"/>
          <w:szCs w:val="24"/>
        </w:rPr>
        <w:t>և</w:t>
      </w:r>
      <w:r w:rsidRPr="00834D52">
        <w:rPr>
          <w:rFonts w:ascii="Sylfaen" w:hAnsi="Sylfaen"/>
          <w:spacing w:val="-4"/>
          <w:sz w:val="24"/>
          <w:szCs w:val="24"/>
        </w:rPr>
        <w:t xml:space="preserve"> 2000 թվականը</w:t>
      </w:r>
    </w:p>
    <w:p w14:paraId="19FEF7B2" w14:textId="77777777" w:rsidR="006F76EB" w:rsidRPr="00834D52" w:rsidRDefault="006F76EB" w:rsidP="00841B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Հաստատված արդյունավետությամբ </w:t>
      </w:r>
      <w:r w:rsidR="00C54D75">
        <w:rPr>
          <w:rFonts w:ascii="Sylfaen" w:hAnsi="Sylfaen"/>
          <w:sz w:val="24"/>
          <w:szCs w:val="24"/>
        </w:rPr>
        <w:t>և</w:t>
      </w:r>
      <w:r w:rsidRPr="00834D52">
        <w:rPr>
          <w:rFonts w:ascii="Sylfaen" w:hAnsi="Sylfaen"/>
          <w:sz w:val="24"/>
          <w:szCs w:val="24"/>
        </w:rPr>
        <w:t xml:space="preserve"> անվտանգության ընդունելի մակարդակով այն պատվաստանյութերի համար, որոնց պատվաստանյութային հակածինը լավ ուսումնասիրված է բժշկական կիրառման մեջ, </w:t>
      </w:r>
      <w:r w:rsidR="00C54D75">
        <w:rPr>
          <w:rFonts w:ascii="Sylfaen" w:hAnsi="Sylfaen"/>
          <w:sz w:val="24"/>
          <w:szCs w:val="24"/>
        </w:rPr>
        <w:t>և</w:t>
      </w:r>
      <w:r w:rsidRPr="00834D52">
        <w:rPr>
          <w:rFonts w:ascii="Sylfaen" w:hAnsi="Sylfaen"/>
          <w:sz w:val="24"/>
          <w:szCs w:val="24"/>
        </w:rPr>
        <w:t xml:space="preserve"> որոնց արտադրությունն անդամ պետությունների տարածքներում իրականացվել է մինչ</w:t>
      </w:r>
      <w:r w:rsidR="00C54D75">
        <w:rPr>
          <w:rFonts w:ascii="Sylfaen" w:hAnsi="Sylfaen"/>
          <w:sz w:val="24"/>
          <w:szCs w:val="24"/>
        </w:rPr>
        <w:t>և</w:t>
      </w:r>
      <w:r w:rsidRPr="00834D52">
        <w:rPr>
          <w:rFonts w:ascii="Sylfaen" w:hAnsi="Sylfaen"/>
          <w:sz w:val="24"/>
          <w:szCs w:val="24"/>
        </w:rPr>
        <w:t xml:space="preserve"> 2000 թվականը, կիրառվում են հետ</w:t>
      </w:r>
      <w:r w:rsidR="00C54D75">
        <w:rPr>
          <w:rFonts w:ascii="Sylfaen" w:hAnsi="Sylfaen"/>
          <w:sz w:val="24"/>
          <w:szCs w:val="24"/>
        </w:rPr>
        <w:t>և</w:t>
      </w:r>
      <w:r w:rsidRPr="00834D52">
        <w:rPr>
          <w:rFonts w:ascii="Sylfaen" w:hAnsi="Sylfaen"/>
          <w:sz w:val="24"/>
          <w:szCs w:val="24"/>
        </w:rPr>
        <w:t>յալ կանոնները:</w:t>
      </w:r>
    </w:p>
    <w:p w14:paraId="657135BD" w14:textId="77777777" w:rsidR="006F76EB" w:rsidRPr="00834D52" w:rsidRDefault="006F76EB" w:rsidP="00841B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Հայտատուն պետք է գրանցման դոսյեի 3-րդ մոդուլը ձ</w:t>
      </w:r>
      <w:r w:rsidR="00C54D75">
        <w:rPr>
          <w:rFonts w:ascii="Sylfaen" w:hAnsi="Sylfaen"/>
          <w:sz w:val="24"/>
          <w:szCs w:val="24"/>
        </w:rPr>
        <w:t>և</w:t>
      </w:r>
      <w:r w:rsidRPr="00834D52">
        <w:rPr>
          <w:rFonts w:ascii="Sylfaen" w:hAnsi="Sylfaen"/>
          <w:sz w:val="24"/>
          <w:szCs w:val="24"/>
        </w:rPr>
        <w:t xml:space="preserve">ակերպի սույն հավելվածի I մասի </w:t>
      </w:r>
      <w:r w:rsidR="00C54D75">
        <w:rPr>
          <w:rFonts w:ascii="Sylfaen" w:hAnsi="Sylfaen"/>
          <w:sz w:val="24"/>
          <w:szCs w:val="24"/>
        </w:rPr>
        <w:t>և</w:t>
      </w:r>
      <w:r w:rsidRPr="00834D52">
        <w:rPr>
          <w:rFonts w:ascii="Sylfaen" w:hAnsi="Sylfaen"/>
          <w:sz w:val="24"/>
          <w:szCs w:val="24"/>
        </w:rPr>
        <w:t xml:space="preserve"> II մասի 12.2 բաժնի դրույթներին համապատասխան:</w:t>
      </w:r>
    </w:p>
    <w:p w14:paraId="432777D7" w14:textId="77777777" w:rsidR="006F76EB" w:rsidRPr="00834D52" w:rsidRDefault="006F76EB" w:rsidP="00841B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դոսյեի 4-րդ </w:t>
      </w:r>
      <w:r w:rsidR="00C54D75">
        <w:rPr>
          <w:rFonts w:ascii="Sylfaen" w:hAnsi="Sylfaen"/>
          <w:sz w:val="24"/>
          <w:szCs w:val="24"/>
        </w:rPr>
        <w:t>և</w:t>
      </w:r>
      <w:r w:rsidRPr="00834D52">
        <w:rPr>
          <w:rFonts w:ascii="Sylfaen" w:hAnsi="Sylfaen"/>
          <w:sz w:val="24"/>
          <w:szCs w:val="24"/>
        </w:rPr>
        <w:t xml:space="preserve"> 5-րդ մոդուլներում նախակլինիկական </w:t>
      </w:r>
      <w:r w:rsidR="00C54D75">
        <w:rPr>
          <w:rFonts w:ascii="Sylfaen" w:hAnsi="Sylfaen"/>
          <w:sz w:val="24"/>
          <w:szCs w:val="24"/>
        </w:rPr>
        <w:t>և</w:t>
      </w:r>
      <w:r w:rsidRPr="00834D52">
        <w:rPr>
          <w:rFonts w:ascii="Sylfaen" w:hAnsi="Sylfaen"/>
          <w:sz w:val="24"/>
          <w:szCs w:val="24"/>
        </w:rPr>
        <w:t xml:space="preserve"> կլինիկական ուսումնասիրության վերաբերյալ հաշվետվությունների փոխարեն ներկայացվում է գիտական ամփոփիչ մատենագիտություն, որի մեջ անհրաժեշտ է նշել պատվաստանյութի նախակլինիկական </w:t>
      </w:r>
      <w:r w:rsidR="00C54D75">
        <w:rPr>
          <w:rFonts w:ascii="Sylfaen" w:hAnsi="Sylfaen"/>
          <w:sz w:val="24"/>
          <w:szCs w:val="24"/>
        </w:rPr>
        <w:t>և</w:t>
      </w:r>
      <w:r w:rsidRPr="00834D52">
        <w:rPr>
          <w:rFonts w:ascii="Sylfaen" w:hAnsi="Sylfaen"/>
          <w:sz w:val="24"/>
          <w:szCs w:val="24"/>
        </w:rPr>
        <w:t xml:space="preserve"> կլինիկական բնութագրերը:</w:t>
      </w:r>
    </w:p>
    <w:p w14:paraId="5C2D4753" w14:textId="77777777" w:rsidR="006F76EB" w:rsidRPr="00834D52" w:rsidRDefault="006F76EB" w:rsidP="00841B06">
      <w:pPr>
        <w:spacing w:after="160" w:line="384" w:lineRule="auto"/>
        <w:ind w:right="-8"/>
        <w:jc w:val="center"/>
        <w:rPr>
          <w:rFonts w:ascii="Sylfaen" w:hAnsi="Sylfaen"/>
          <w:sz w:val="24"/>
          <w:szCs w:val="24"/>
        </w:rPr>
      </w:pPr>
    </w:p>
    <w:p w14:paraId="50161B49" w14:textId="77777777" w:rsidR="006F76EB" w:rsidRPr="00834D52" w:rsidRDefault="006F76EB" w:rsidP="00DE1FF5">
      <w:pPr>
        <w:spacing w:after="160" w:line="384" w:lineRule="auto"/>
        <w:ind w:left="567" w:right="565"/>
        <w:jc w:val="center"/>
        <w:rPr>
          <w:rFonts w:ascii="Sylfaen" w:eastAsia="Times New Roman" w:hAnsi="Sylfaen" w:cs="Times New Roman"/>
          <w:sz w:val="24"/>
          <w:szCs w:val="24"/>
        </w:rPr>
      </w:pPr>
      <w:r w:rsidRPr="00834D52">
        <w:rPr>
          <w:rFonts w:ascii="Sylfaen" w:hAnsi="Sylfaen"/>
          <w:sz w:val="24"/>
          <w:szCs w:val="24"/>
        </w:rPr>
        <w:lastRenderedPageBreak/>
        <w:t xml:space="preserve">13. Ռադիոդեղագործական </w:t>
      </w:r>
      <w:r w:rsidR="000B6A2F" w:rsidRPr="007F5A60">
        <w:rPr>
          <w:rFonts w:ascii="Sylfaen" w:hAnsi="Sylfaen"/>
          <w:sz w:val="24"/>
          <w:szCs w:val="24"/>
        </w:rPr>
        <w:br/>
      </w:r>
      <w:r w:rsidRPr="00834D52">
        <w:rPr>
          <w:rFonts w:ascii="Sylfaen" w:hAnsi="Sylfaen"/>
          <w:sz w:val="24"/>
          <w:szCs w:val="24"/>
        </w:rPr>
        <w:t xml:space="preserve">պատրաստուկներ </w:t>
      </w:r>
      <w:r w:rsidR="00C54D75">
        <w:rPr>
          <w:rFonts w:ascii="Sylfaen" w:hAnsi="Sylfaen"/>
          <w:sz w:val="24"/>
          <w:szCs w:val="24"/>
        </w:rPr>
        <w:t>և</w:t>
      </w:r>
      <w:r w:rsidRPr="00834D52">
        <w:rPr>
          <w:rFonts w:ascii="Sylfaen" w:hAnsi="Sylfaen"/>
          <w:sz w:val="24"/>
          <w:szCs w:val="24"/>
        </w:rPr>
        <w:t xml:space="preserve"> պրեկուրսորներ</w:t>
      </w:r>
    </w:p>
    <w:p w14:paraId="7B219B14" w14:textId="77777777" w:rsidR="006F76EB" w:rsidRPr="00834D52" w:rsidRDefault="006F76EB" w:rsidP="00DE1FF5">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Ռադիոդեղագործական պատրաստուկների </w:t>
      </w:r>
      <w:r w:rsidR="00C54D75">
        <w:rPr>
          <w:rFonts w:ascii="Sylfaen" w:hAnsi="Sylfaen"/>
          <w:sz w:val="24"/>
          <w:szCs w:val="24"/>
        </w:rPr>
        <w:t>և</w:t>
      </w:r>
      <w:r w:rsidRPr="00834D52">
        <w:rPr>
          <w:rFonts w:ascii="Sylfaen" w:hAnsi="Sylfaen"/>
          <w:sz w:val="24"/>
          <w:szCs w:val="24"/>
        </w:rPr>
        <w:t xml:space="preserve"> դրանց պրեկուրսորների համար գրանցման դոսյեն ներկայացվում է սույն բաժնի պահանջներին համապատասխան:</w:t>
      </w:r>
    </w:p>
    <w:p w14:paraId="53474D1E" w14:textId="77777777" w:rsidR="006F76EB" w:rsidRPr="00834D52" w:rsidRDefault="006F76EB" w:rsidP="00DE1FF5">
      <w:pPr>
        <w:tabs>
          <w:tab w:val="left" w:pos="1134"/>
        </w:tabs>
        <w:spacing w:after="160" w:line="384" w:lineRule="auto"/>
        <w:ind w:right="565" w:firstLine="567"/>
        <w:jc w:val="both"/>
        <w:rPr>
          <w:rFonts w:ascii="Sylfaen" w:eastAsia="Times New Roman" w:hAnsi="Sylfaen" w:cs="Times New Roman"/>
          <w:sz w:val="24"/>
          <w:szCs w:val="24"/>
        </w:rPr>
      </w:pPr>
      <w:r w:rsidRPr="00834D52">
        <w:rPr>
          <w:rFonts w:ascii="Sylfaen" w:hAnsi="Sylfaen"/>
          <w:sz w:val="24"/>
          <w:szCs w:val="24"/>
        </w:rPr>
        <w:t>13.1.</w:t>
      </w:r>
      <w:r w:rsidR="00213DEA" w:rsidRPr="002978B0">
        <w:rPr>
          <w:rFonts w:ascii="Sylfaen" w:hAnsi="Sylfaen"/>
          <w:sz w:val="24"/>
          <w:szCs w:val="24"/>
        </w:rPr>
        <w:tab/>
      </w:r>
      <w:r w:rsidRPr="00834D52">
        <w:rPr>
          <w:rFonts w:ascii="Sylfaen" w:hAnsi="Sylfaen"/>
          <w:sz w:val="24"/>
          <w:szCs w:val="24"/>
        </w:rPr>
        <w:t>Ռադիոդեղագործական պատրաստուկներ</w:t>
      </w:r>
    </w:p>
    <w:p w14:paraId="716665AA" w14:textId="77777777" w:rsidR="006F76EB" w:rsidRPr="00834D52" w:rsidRDefault="006F76EB" w:rsidP="00DE1FF5">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13.1.1.</w:t>
      </w:r>
      <w:r w:rsidRPr="00834D52">
        <w:rPr>
          <w:rFonts w:ascii="Sylfaen" w:hAnsi="Sylfaen"/>
          <w:sz w:val="24"/>
          <w:szCs w:val="24"/>
        </w:rPr>
        <w:tab/>
        <w:t>Մոդուլ 3.</w:t>
      </w:r>
    </w:p>
    <w:p w14:paraId="00572EEF" w14:textId="77777777" w:rsidR="006F76EB" w:rsidRPr="00834D52" w:rsidRDefault="006F76EB" w:rsidP="00DE1FF5">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Ռադիոդեղագործական հավաքակազմում, որի մեջ արտադրողի կողմից մատակարարումից հետո ավելացվում է ռադիոակտիվ նիշ, «ակտիվ նյութ» նշանակում է ռադիոնուկլիդի փոխանցման կամ կապման համար նախատեսված՝ հավաքակազմի մաս: Ռադիոդեղագործական հավաքակազմի արտադրության մեթոդի նկարագրությունը պետք է ներառի հավաքակազմի արտադրության վերաբերյալ մանրամասն տվյալներ </w:t>
      </w:r>
      <w:r w:rsidR="00C54D75">
        <w:rPr>
          <w:rFonts w:ascii="Sylfaen" w:hAnsi="Sylfaen"/>
          <w:sz w:val="24"/>
          <w:szCs w:val="24"/>
        </w:rPr>
        <w:t>և</w:t>
      </w:r>
      <w:r w:rsidRPr="00834D52">
        <w:rPr>
          <w:rFonts w:ascii="Sylfaen" w:hAnsi="Sylfaen"/>
          <w:sz w:val="24"/>
          <w:szCs w:val="24"/>
        </w:rPr>
        <w:t xml:space="preserve"> ռադիոակտիվ դեղապատրաստուկի արտադրության համար առաջարկվող վերջնական մշակման տվյալներ: Ռադիոնուկլիդի պահանջվող մասնագրերը պետք է նկարագրվեն Եվրասիական տնտեսական միության դեղագրքի ընդհանուր կամ մասնավոր հոդվածներին (մենագրություններին) համապատասխան (հոդվածի (մենագրության) առկայության դեպքում) կամ այդպիսի հոդվածների (մենագրությունների) բացակայության դեպքում` անդամ պետությունների դեղագրքերի կամ Միության անդամ պետությունների դեղագրքերի ներդաշնակեցման հայեցակարգին համապատասխան հիմնական դեղագրքերի հոդվածներին (մենագրություններին) համապատասխան:</w:t>
      </w:r>
    </w:p>
    <w:p w14:paraId="2BB04A30" w14:textId="77777777" w:rsidR="006F76EB" w:rsidRPr="00834D52" w:rsidRDefault="006F76EB" w:rsidP="00DE1FF5">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Հարկավոր է նկարագրել բոլոր միացությունները, որոնք անհրաժեշտ են ռադիոակտիվ նիշավորման համար, ինչպես նա</w:t>
      </w:r>
      <w:r w:rsidR="00C54D75">
        <w:rPr>
          <w:rFonts w:ascii="Sylfaen" w:hAnsi="Sylfaen"/>
          <w:sz w:val="24"/>
          <w:szCs w:val="24"/>
        </w:rPr>
        <w:t>և</w:t>
      </w:r>
      <w:r w:rsidRPr="00834D52">
        <w:rPr>
          <w:rFonts w:ascii="Sylfaen" w:hAnsi="Sylfaen"/>
          <w:sz w:val="24"/>
          <w:szCs w:val="24"/>
        </w:rPr>
        <w:t xml:space="preserve"> ռադիոակտիվ նիշով միացությունների կառուցվածքները:</w:t>
      </w:r>
    </w:p>
    <w:p w14:paraId="251AD23B" w14:textId="77777777" w:rsidR="006F76EB" w:rsidRPr="00834D52" w:rsidRDefault="006F76EB" w:rsidP="00DE1FF5">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վերլուծել ռադիոնուկլիդների միջուկային ռեակցիաները:</w:t>
      </w:r>
    </w:p>
    <w:p w14:paraId="10FFEB8A"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Գեներատորի մայր </w:t>
      </w:r>
      <w:r w:rsidR="00C54D75">
        <w:rPr>
          <w:rFonts w:ascii="Sylfaen" w:hAnsi="Sylfaen"/>
          <w:sz w:val="24"/>
          <w:szCs w:val="24"/>
        </w:rPr>
        <w:t>և</w:t>
      </w:r>
      <w:r w:rsidRPr="00834D52">
        <w:rPr>
          <w:rFonts w:ascii="Sylfaen" w:hAnsi="Sylfaen"/>
          <w:sz w:val="24"/>
          <w:szCs w:val="24"/>
        </w:rPr>
        <w:t xml:space="preserve"> դուստր ռադիոնուկլիդները համարվում են ակտիվ նյութեր:</w:t>
      </w:r>
    </w:p>
    <w:p w14:paraId="44FBD943"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ռադիոնուկլիդի բնույթի, իզոտոպի իսկության, հնարավոր խառնուկների, կրիչի, կիրառման </w:t>
      </w:r>
      <w:r w:rsidR="00C54D75">
        <w:rPr>
          <w:rFonts w:ascii="Sylfaen" w:hAnsi="Sylfaen"/>
          <w:sz w:val="24"/>
          <w:szCs w:val="24"/>
        </w:rPr>
        <w:t>և</w:t>
      </w:r>
      <w:r w:rsidRPr="00834D52">
        <w:rPr>
          <w:rFonts w:ascii="Sylfaen" w:hAnsi="Sylfaen"/>
          <w:sz w:val="24"/>
          <w:szCs w:val="24"/>
        </w:rPr>
        <w:t xml:space="preserve"> սպեցիֆիկ ակտիվության վերաբերյալ տեղեկություններ:</w:t>
      </w:r>
    </w:p>
    <w:p w14:paraId="0CCAA7CD"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Ելակետային նյութերը ներառում են ճառագայթման համար նպատակային նյութեր:</w:t>
      </w:r>
    </w:p>
    <w:p w14:paraId="55940963"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դիտարկել քիմիական (ռադիոքիմիական) մաքրությունը </w:t>
      </w:r>
      <w:r w:rsidR="00C54D75">
        <w:rPr>
          <w:rFonts w:ascii="Sylfaen" w:hAnsi="Sylfaen"/>
          <w:sz w:val="24"/>
          <w:szCs w:val="24"/>
        </w:rPr>
        <w:t>և</w:t>
      </w:r>
      <w:r w:rsidRPr="00834D52">
        <w:rPr>
          <w:rFonts w:ascii="Sylfaen" w:hAnsi="Sylfaen"/>
          <w:sz w:val="24"/>
          <w:szCs w:val="24"/>
        </w:rPr>
        <w:t xml:space="preserve"> դրա կապը կենսաբաշխման հետ:</w:t>
      </w:r>
    </w:p>
    <w:p w14:paraId="2B38F15C"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նկարագրել ռադիոնուկլիդային մաքրությունը, ռադիոքիմիական մաքրությունը </w:t>
      </w:r>
      <w:r w:rsidR="00C54D75">
        <w:rPr>
          <w:rFonts w:ascii="Sylfaen" w:hAnsi="Sylfaen"/>
          <w:sz w:val="24"/>
          <w:szCs w:val="24"/>
        </w:rPr>
        <w:t>և</w:t>
      </w:r>
      <w:r w:rsidRPr="00834D52">
        <w:rPr>
          <w:rFonts w:ascii="Sylfaen" w:hAnsi="Sylfaen"/>
          <w:sz w:val="24"/>
          <w:szCs w:val="24"/>
        </w:rPr>
        <w:t xml:space="preserve"> սպեցիֆիկ ակտիվությունը:</w:t>
      </w:r>
    </w:p>
    <w:p w14:paraId="42901A75"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Գեներատորների համար պահանջվում են մայր </w:t>
      </w:r>
      <w:r w:rsidR="00C54D75">
        <w:rPr>
          <w:rFonts w:ascii="Sylfaen" w:hAnsi="Sylfaen"/>
          <w:sz w:val="24"/>
          <w:szCs w:val="24"/>
        </w:rPr>
        <w:t>և</w:t>
      </w:r>
      <w:r w:rsidRPr="00834D52">
        <w:rPr>
          <w:rFonts w:ascii="Sylfaen" w:hAnsi="Sylfaen"/>
          <w:sz w:val="24"/>
          <w:szCs w:val="24"/>
        </w:rPr>
        <w:t xml:space="preserve"> դուստր ռադիոնուկլիդների փորձարկումների մանրամասն տվյալներ: </w:t>
      </w:r>
      <w:r w:rsidRPr="00834D52">
        <w:rPr>
          <w:rFonts w:ascii="Sylfaen" w:hAnsi="Sylfaen"/>
          <w:sz w:val="24"/>
          <w:szCs w:val="24"/>
        </w:rPr>
        <w:br/>
        <w:t xml:space="preserve">Գեներատոր-էլյուատների համար անհրաժեշտ է ներկայացնել մայր ռադիոնուկլիդների </w:t>
      </w:r>
      <w:r w:rsidR="00C54D75">
        <w:rPr>
          <w:rFonts w:ascii="Sylfaen" w:hAnsi="Sylfaen"/>
          <w:sz w:val="24"/>
          <w:szCs w:val="24"/>
        </w:rPr>
        <w:t>և</w:t>
      </w:r>
      <w:r w:rsidRPr="00834D52">
        <w:rPr>
          <w:rFonts w:ascii="Sylfaen" w:hAnsi="Sylfaen"/>
          <w:sz w:val="24"/>
          <w:szCs w:val="24"/>
        </w:rPr>
        <w:t xml:space="preserve"> գեներատորի համակարգի այլ բաղադրիչների փորձարկումների արդյունքները:</w:t>
      </w:r>
    </w:p>
    <w:p w14:paraId="2D53D1A6"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Ակտիվ նյութերի պարունակությունը պետք է արտահայտվի մոլեկուլի ակտիվ մասի զանգվածի հիման վրա միայն ռադիոդեղագործական հավաքակազմերի մասով: Ռադիոնուկլիդների համար ռադիոակտիվությունն անհրաժեշտ է արտահայտել բեքերելով` նշելով ամսաթիվը </w:t>
      </w:r>
      <w:r w:rsidR="00C54D75">
        <w:rPr>
          <w:rFonts w:ascii="Sylfaen" w:hAnsi="Sylfaen"/>
          <w:sz w:val="24"/>
          <w:szCs w:val="24"/>
        </w:rPr>
        <w:t>և</w:t>
      </w:r>
      <w:r w:rsidRPr="00834D52">
        <w:rPr>
          <w:rFonts w:ascii="Sylfaen" w:hAnsi="Sylfaen"/>
          <w:sz w:val="24"/>
          <w:szCs w:val="24"/>
        </w:rPr>
        <w:t xml:space="preserve"> անհրաժեշտության դեպքում՝ ժամանակը </w:t>
      </w:r>
      <w:r w:rsidR="00C54D75">
        <w:rPr>
          <w:rFonts w:ascii="Sylfaen" w:hAnsi="Sylfaen"/>
          <w:sz w:val="24"/>
          <w:szCs w:val="24"/>
        </w:rPr>
        <w:t>և</w:t>
      </w:r>
      <w:r w:rsidRPr="00834D52">
        <w:rPr>
          <w:rFonts w:ascii="Sylfaen" w:hAnsi="Sylfaen"/>
          <w:sz w:val="24"/>
          <w:szCs w:val="24"/>
        </w:rPr>
        <w:t xml:space="preserve"> ժամային գոտին: Անհրաժեշտ է նշել ռադիոակտիվության տիպը:</w:t>
      </w:r>
    </w:p>
    <w:p w14:paraId="039E8A4D" w14:textId="77777777" w:rsidR="006F76EB" w:rsidRPr="00834D52" w:rsidRDefault="006F76EB" w:rsidP="00DE1FF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Ռադիոդեղագործական հավաքակազմ հանդիսացող դեղապատրաստուկի մասնագրերը պետք է ներառեն ռադիոակտիվ նիշավորումից հետո պատրաստուկի հատկությունների փորձարկումների արդյունքները: Անհրաժեշտ է ներառել ռադիոակտիվ նիշով միացության ռադիոքիմիական </w:t>
      </w:r>
      <w:r w:rsidR="00C54D75">
        <w:rPr>
          <w:rFonts w:ascii="Sylfaen" w:hAnsi="Sylfaen"/>
          <w:sz w:val="24"/>
          <w:szCs w:val="24"/>
        </w:rPr>
        <w:t>և</w:t>
      </w:r>
      <w:r w:rsidRPr="00834D52">
        <w:rPr>
          <w:rFonts w:ascii="Sylfaen" w:hAnsi="Sylfaen"/>
          <w:sz w:val="24"/>
          <w:szCs w:val="24"/>
        </w:rPr>
        <w:t xml:space="preserve"> ռադիոնուկլիդային </w:t>
      </w:r>
      <w:r w:rsidRPr="00834D52">
        <w:rPr>
          <w:rFonts w:ascii="Sylfaen" w:hAnsi="Sylfaen"/>
          <w:sz w:val="24"/>
          <w:szCs w:val="24"/>
        </w:rPr>
        <w:lastRenderedPageBreak/>
        <w:t xml:space="preserve">մաքրության համապատասխան հսկողությունը: Ռադիոակտիվ նիշավորման համար անհրաժեշտ ցանկացած նյութ ենթակա է իսկության սահմանման </w:t>
      </w:r>
      <w:r w:rsidR="00C54D75">
        <w:rPr>
          <w:rFonts w:ascii="Sylfaen" w:hAnsi="Sylfaen"/>
          <w:sz w:val="24"/>
          <w:szCs w:val="24"/>
        </w:rPr>
        <w:t>և</w:t>
      </w:r>
      <w:r w:rsidRPr="00834D52">
        <w:rPr>
          <w:rFonts w:ascii="Sylfaen" w:hAnsi="Sylfaen"/>
          <w:sz w:val="24"/>
          <w:szCs w:val="24"/>
        </w:rPr>
        <w:t xml:space="preserve"> քանակական որոշման:</w:t>
      </w:r>
    </w:p>
    <w:p w14:paraId="742C59E7"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Իզոտոպային գեներատորների, իզոտոպային հավաքակազմերի </w:t>
      </w:r>
      <w:r w:rsidR="00C54D75">
        <w:rPr>
          <w:rFonts w:ascii="Sylfaen" w:hAnsi="Sylfaen"/>
          <w:sz w:val="24"/>
          <w:szCs w:val="24"/>
        </w:rPr>
        <w:t>և</w:t>
      </w:r>
      <w:r w:rsidRPr="00834D52">
        <w:rPr>
          <w:rFonts w:ascii="Sylfaen" w:hAnsi="Sylfaen"/>
          <w:sz w:val="24"/>
          <w:szCs w:val="24"/>
        </w:rPr>
        <w:t xml:space="preserve"> ռադիոակտիվ նիշով դեղապատրաստուկների համար անհրաժեշտ է ներկայացնել կայունության մասին տեղեկատվություն: Բազմակի օգտագործման համար կոնտեյներներում ռադիոդեղագործական դեղապատրաստուկների օգտագործման դեպքում անհրաժեշտ է նշել կայունությունը:</w:t>
      </w:r>
    </w:p>
    <w:p w14:paraId="6481DA04" w14:textId="77777777" w:rsidR="006F76EB" w:rsidRPr="00834D52" w:rsidRDefault="006F76EB" w:rsidP="00F550B6">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13.1.2.</w:t>
      </w:r>
      <w:r w:rsidRPr="00834D52">
        <w:rPr>
          <w:rFonts w:ascii="Sylfaen" w:hAnsi="Sylfaen"/>
          <w:sz w:val="24"/>
          <w:szCs w:val="24"/>
        </w:rPr>
        <w:tab/>
        <w:t>Մոդուլ 4.</w:t>
      </w:r>
    </w:p>
    <w:p w14:paraId="6495C941"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Թունավորությունը կարող է կապված լինել ճառագայթման դոզայի հետ: Ախտորոշաբանության մեջ թունավորությունը ռադիոդեղագործական դեղապատրաստուկների կիրառման անցանկալի հետ</w:t>
      </w:r>
      <w:r w:rsidR="00C54D75">
        <w:rPr>
          <w:rFonts w:ascii="Sylfaen" w:hAnsi="Sylfaen"/>
          <w:sz w:val="24"/>
          <w:szCs w:val="24"/>
        </w:rPr>
        <w:t>և</w:t>
      </w:r>
      <w:r w:rsidRPr="00834D52">
        <w:rPr>
          <w:rFonts w:ascii="Sylfaen" w:hAnsi="Sylfaen"/>
          <w:sz w:val="24"/>
          <w:szCs w:val="24"/>
        </w:rPr>
        <w:t>անք է. թերապիայում այն ցանկալի հատկություն է, հետ</w:t>
      </w:r>
      <w:r w:rsidR="00C54D75">
        <w:rPr>
          <w:rFonts w:ascii="Sylfaen" w:hAnsi="Sylfaen"/>
          <w:sz w:val="24"/>
          <w:szCs w:val="24"/>
        </w:rPr>
        <w:t>և</w:t>
      </w:r>
      <w:r w:rsidRPr="00834D52">
        <w:rPr>
          <w:rFonts w:ascii="Sylfaen" w:hAnsi="Sylfaen"/>
          <w:sz w:val="24"/>
          <w:szCs w:val="24"/>
        </w:rPr>
        <w:t xml:space="preserve">աբար ռադիոդեղագործական պատրաստուկների անվտանգությունը </w:t>
      </w:r>
      <w:r w:rsidR="00C54D75">
        <w:rPr>
          <w:rFonts w:ascii="Sylfaen" w:hAnsi="Sylfaen"/>
          <w:sz w:val="24"/>
          <w:szCs w:val="24"/>
        </w:rPr>
        <w:t>և</w:t>
      </w:r>
      <w:r w:rsidRPr="00834D52">
        <w:rPr>
          <w:rFonts w:ascii="Sylfaen" w:hAnsi="Sylfaen"/>
          <w:sz w:val="24"/>
          <w:szCs w:val="24"/>
        </w:rPr>
        <w:t xml:space="preserve"> արդյունավետությունը գնահատելիս անհրաժեշտ է նշել դեղապատրաստուկներին ներկայացվող պահանջները </w:t>
      </w:r>
      <w:r w:rsidR="00C54D75">
        <w:rPr>
          <w:rFonts w:ascii="Sylfaen" w:hAnsi="Sylfaen"/>
          <w:sz w:val="24"/>
          <w:szCs w:val="24"/>
        </w:rPr>
        <w:t>և</w:t>
      </w:r>
      <w:r w:rsidRPr="00834D52">
        <w:rPr>
          <w:rFonts w:ascii="Sylfaen" w:hAnsi="Sylfaen"/>
          <w:sz w:val="24"/>
          <w:szCs w:val="24"/>
        </w:rPr>
        <w:t xml:space="preserve"> ճառագայթային դոզաչափման ասպեկտները: Անհրաժեշտ է փաստաթղթավորել ճառագայթման ազդեցությունը մարդու օրգանի (հյուսվածքի) վրա: Ճառագայթման կլանված դոզայի ցուցանիշն անհրաժեշտ է հաշվարկել՝ ներմուծման որոշակի եղանակի դեպքում նշելով օգտագործված միջազգայնորեն ճանաչված չափման միավորների համակարգը:</w:t>
      </w:r>
    </w:p>
    <w:p w14:paraId="6156C1D7" w14:textId="77777777" w:rsidR="006F76EB" w:rsidRPr="00834D52" w:rsidRDefault="006F76EB" w:rsidP="00F550B6">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13.1.3.</w:t>
      </w:r>
      <w:r w:rsidRPr="00834D52">
        <w:rPr>
          <w:rFonts w:ascii="Sylfaen" w:hAnsi="Sylfaen"/>
          <w:sz w:val="24"/>
          <w:szCs w:val="24"/>
        </w:rPr>
        <w:tab/>
        <w:t>Մոդուլ 5.</w:t>
      </w:r>
    </w:p>
    <w:p w14:paraId="58573F47"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Անհրաժեշտության դեպքում ներկայացվում են կլինիկական փորձարկումների արդյունքները: Կլինիկական փորձարկումների արդյունքների բացակայությունը հիմնավորվում է կլինիկական տեղեկագրերի մեջ (գրանցման դոսյեի 2-րդ մոդուլ):</w:t>
      </w:r>
    </w:p>
    <w:p w14:paraId="26236F65" w14:textId="77777777" w:rsidR="006F76EB" w:rsidRPr="00834D52" w:rsidRDefault="006F76EB" w:rsidP="00DE1FF5">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13.2.</w:t>
      </w:r>
      <w:r w:rsidRPr="00834D52">
        <w:rPr>
          <w:rFonts w:ascii="Sylfaen" w:hAnsi="Sylfaen"/>
          <w:sz w:val="24"/>
          <w:szCs w:val="24"/>
        </w:rPr>
        <w:tab/>
        <w:t>Ռադիոակտիվ նիշավորման համար օգտագործվող ռադիոդեղագործական պրեկուրսորներ.</w:t>
      </w:r>
    </w:p>
    <w:p w14:paraId="38753F0C"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Միայն ռադիոակտիվ նիշավորման համար նախատեսված ռադիոդեղագործական պրեկուրսորի դեպքում նախ </w:t>
      </w:r>
      <w:r w:rsidR="00C54D75">
        <w:rPr>
          <w:rFonts w:ascii="Sylfaen" w:hAnsi="Sylfaen"/>
          <w:sz w:val="24"/>
          <w:szCs w:val="24"/>
        </w:rPr>
        <w:t>և</w:t>
      </w:r>
      <w:r w:rsidRPr="00834D52">
        <w:rPr>
          <w:rFonts w:ascii="Sylfaen" w:hAnsi="Sylfaen"/>
          <w:sz w:val="24"/>
          <w:szCs w:val="24"/>
        </w:rPr>
        <w:t xml:space="preserve"> առաջ անհրաժեշտ է ներկայացնել տեղեկատվություն՝ ռադիոակտիվ նիշավորման անբավարար արդյունավետության հնարավոր հետ</w:t>
      </w:r>
      <w:r w:rsidR="00C54D75">
        <w:rPr>
          <w:rFonts w:ascii="Sylfaen" w:hAnsi="Sylfaen"/>
          <w:sz w:val="24"/>
          <w:szCs w:val="24"/>
        </w:rPr>
        <w:t>և</w:t>
      </w:r>
      <w:r w:rsidRPr="00834D52">
        <w:rPr>
          <w:rFonts w:ascii="Sylfaen" w:hAnsi="Sylfaen"/>
          <w:sz w:val="24"/>
          <w:szCs w:val="24"/>
        </w:rPr>
        <w:t>անքների կամ ռադիոակտիվ նիշով կոնյուգատի in vivo դիսոցման մասին, այսինքն՝ այնպիսի հարցերի, որոնք կապված են պացիենտների մոտ ազատ ռադիոնուկլիդի ազդեցության հետ:</w:t>
      </w:r>
      <w:r w:rsidRPr="00834D52">
        <w:rPr>
          <w:rFonts w:ascii="Sylfaen" w:hAnsi="Sylfaen"/>
          <w:sz w:val="24"/>
          <w:szCs w:val="24"/>
        </w:rPr>
        <w:br/>
        <w:t>Դրա հետ մեկտեղ անհրաժեշտ է նա</w:t>
      </w:r>
      <w:r w:rsidR="00C54D75">
        <w:rPr>
          <w:rFonts w:ascii="Sylfaen" w:hAnsi="Sylfaen"/>
          <w:sz w:val="24"/>
          <w:szCs w:val="24"/>
        </w:rPr>
        <w:t>և</w:t>
      </w:r>
      <w:r w:rsidRPr="00834D52">
        <w:rPr>
          <w:rFonts w:ascii="Sylfaen" w:hAnsi="Sylfaen"/>
          <w:sz w:val="24"/>
          <w:szCs w:val="24"/>
        </w:rPr>
        <w:t xml:space="preserve"> ներկայացնել ռիսկի գործոնների մասին համապատասխան տեղեկատվություն, այսինքն՝ հիվանդանոցի անձնակազմի </w:t>
      </w:r>
      <w:r w:rsidR="00C54D75">
        <w:rPr>
          <w:rFonts w:ascii="Sylfaen" w:hAnsi="Sylfaen"/>
          <w:sz w:val="24"/>
          <w:szCs w:val="24"/>
        </w:rPr>
        <w:t>և</w:t>
      </w:r>
      <w:r w:rsidRPr="00834D52">
        <w:rPr>
          <w:rFonts w:ascii="Sylfaen" w:hAnsi="Sylfaen"/>
          <w:sz w:val="24"/>
          <w:szCs w:val="24"/>
        </w:rPr>
        <w:t xml:space="preserve"> շրջակա միջավայրի վրա ռադիոակտիվ ազդեցության մասին տեղեկատվություն:</w:t>
      </w:r>
    </w:p>
    <w:p w14:paraId="05008289"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Մասնավորապես, անհրաժեշտ է ներկայացնել հետ</w:t>
      </w:r>
      <w:r w:rsidR="00C54D75">
        <w:rPr>
          <w:rFonts w:ascii="Sylfaen" w:hAnsi="Sylfaen"/>
          <w:sz w:val="24"/>
          <w:szCs w:val="24"/>
        </w:rPr>
        <w:t>և</w:t>
      </w:r>
      <w:r w:rsidRPr="00834D52">
        <w:rPr>
          <w:rFonts w:ascii="Sylfaen" w:hAnsi="Sylfaen"/>
          <w:sz w:val="24"/>
          <w:szCs w:val="24"/>
        </w:rPr>
        <w:t>յալ տեղեկատվությունը.</w:t>
      </w:r>
    </w:p>
    <w:p w14:paraId="7F9C66B5" w14:textId="77777777" w:rsidR="006F76EB" w:rsidRPr="00834D52" w:rsidRDefault="006F76EB" w:rsidP="00F550B6">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13.2.1.</w:t>
      </w:r>
      <w:r w:rsidRPr="00834D52">
        <w:rPr>
          <w:rFonts w:ascii="Sylfaen" w:hAnsi="Sylfaen"/>
          <w:sz w:val="24"/>
          <w:szCs w:val="24"/>
        </w:rPr>
        <w:tab/>
        <w:t>Մոդուլ 3.</w:t>
      </w:r>
    </w:p>
    <w:p w14:paraId="2E1D1CA6" w14:textId="77777777" w:rsidR="006F76EB" w:rsidRPr="00834D52" w:rsidRDefault="006F76EB" w:rsidP="00F550B6">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Սույն հավելվածի I մասի 3-րդ բաժնում նշված՝ գրանցման դոսյեի 3-րդ մոդուլի բովանդակությանը ներկայացվող պահանջները պետք է կիրառվեն ռադիոդեղագործական պրեկուրսորների գրանցման ժամանակ՝ անհրաժեշտության դեպքում «ա» </w:t>
      </w:r>
      <w:r w:rsidR="00C54D75">
        <w:rPr>
          <w:rFonts w:ascii="Sylfaen" w:hAnsi="Sylfaen"/>
          <w:sz w:val="24"/>
          <w:szCs w:val="24"/>
        </w:rPr>
        <w:t>և</w:t>
      </w:r>
      <w:r w:rsidRPr="00834D52">
        <w:rPr>
          <w:rFonts w:ascii="Sylfaen" w:hAnsi="Sylfaen"/>
          <w:sz w:val="24"/>
          <w:szCs w:val="24"/>
        </w:rPr>
        <w:t xml:space="preserve"> «թ» ենթակետերի մասով:</w:t>
      </w:r>
    </w:p>
    <w:p w14:paraId="2DE0DF8D" w14:textId="77777777" w:rsidR="006F76EB" w:rsidRPr="00834D52" w:rsidRDefault="006F76EB" w:rsidP="00263847">
      <w:pPr>
        <w:tabs>
          <w:tab w:val="left" w:pos="1701"/>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13.2.2.</w:t>
      </w:r>
      <w:r w:rsidRPr="00834D52">
        <w:rPr>
          <w:rFonts w:ascii="Sylfaen" w:hAnsi="Sylfaen"/>
          <w:sz w:val="24"/>
          <w:szCs w:val="24"/>
        </w:rPr>
        <w:tab/>
        <w:t>Մոդուլ 4.</w:t>
      </w:r>
    </w:p>
    <w:p w14:paraId="26ECF67F" w14:textId="77777777" w:rsidR="006F76EB" w:rsidRPr="00834D52" w:rsidRDefault="006F76EB" w:rsidP="00263847">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Մեկանգամյա </w:t>
      </w:r>
      <w:r w:rsidR="00C54D75">
        <w:rPr>
          <w:rFonts w:ascii="Sylfaen" w:hAnsi="Sylfaen"/>
          <w:sz w:val="24"/>
          <w:szCs w:val="24"/>
        </w:rPr>
        <w:t>և</w:t>
      </w:r>
      <w:r w:rsidRPr="00834D52">
        <w:rPr>
          <w:rFonts w:ascii="Sylfaen" w:hAnsi="Sylfaen"/>
          <w:sz w:val="24"/>
          <w:szCs w:val="24"/>
        </w:rPr>
        <w:t xml:space="preserve"> բազմակի ներմուծման դեպքում անհրաժեշտ է ներկայացնել Հանձնաժողովի կողմից հաստատվող՝ պատշաճ լաբորատոր գործունեության կանոններին համապատասխան անցկացված նախակլինիկական հետազոտությունների՝ թունավորության վերաբերյալ արդյունքները: Ռադիոնուկլիդների մուտագենության հետազոտությունները նշված դեպքում չեն համարվում կիրառելի:</w:t>
      </w:r>
    </w:p>
    <w:p w14:paraId="6BB92A8B" w14:textId="77777777" w:rsidR="006F76EB" w:rsidRPr="00834D52" w:rsidRDefault="006F76EB" w:rsidP="00263847">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քիմիական թունավորության </w:t>
      </w:r>
      <w:r w:rsidR="00C54D75">
        <w:rPr>
          <w:rFonts w:ascii="Sylfaen" w:hAnsi="Sylfaen"/>
          <w:sz w:val="24"/>
          <w:szCs w:val="24"/>
        </w:rPr>
        <w:t>և</w:t>
      </w:r>
      <w:r w:rsidRPr="00834D52">
        <w:rPr>
          <w:rFonts w:ascii="Sylfaen" w:hAnsi="Sylfaen"/>
          <w:sz w:val="24"/>
          <w:szCs w:val="24"/>
        </w:rPr>
        <w:t xml:space="preserve"> «սառը» (ռադիոակտիվ նյութեր չպարունակող) նուկլիդի մասին տեղեկատվություն:</w:t>
      </w:r>
    </w:p>
    <w:p w14:paraId="39A2107B" w14:textId="77777777" w:rsidR="006F76EB" w:rsidRPr="00834D52" w:rsidRDefault="006F76EB" w:rsidP="00263847">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13.2.3.</w:t>
      </w:r>
      <w:r w:rsidRPr="00834D52">
        <w:rPr>
          <w:rFonts w:ascii="Sylfaen" w:hAnsi="Sylfaen"/>
          <w:sz w:val="24"/>
          <w:szCs w:val="24"/>
        </w:rPr>
        <w:tab/>
        <w:t>Մոդուլ 5.</w:t>
      </w:r>
    </w:p>
    <w:p w14:paraId="195F0D70" w14:textId="77777777" w:rsidR="006F76EB" w:rsidRPr="00834D52" w:rsidRDefault="006F76EB" w:rsidP="00263847">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Ինքնին պրեկուրսորի օգտագործմամբ կլինիկական հետազոտությունների ընթացքում ստացված կլինիկական տեղեկատվությունը բացառապես </w:t>
      </w:r>
      <w:r w:rsidRPr="00834D52">
        <w:rPr>
          <w:rFonts w:ascii="Sylfaen" w:hAnsi="Sylfaen"/>
          <w:sz w:val="24"/>
          <w:szCs w:val="24"/>
        </w:rPr>
        <w:lastRenderedPageBreak/>
        <w:t>ռադիոակտիվ նիշավորման համար նախատեսված ռադիոդեղագործական պրեկուրսորի դեպքում չի համարվում նշանակալի:</w:t>
      </w:r>
    </w:p>
    <w:p w14:paraId="6E93317D" w14:textId="77777777" w:rsidR="006F76EB" w:rsidRPr="00834D52" w:rsidRDefault="006F76EB" w:rsidP="00263847">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համապատասխան կրիչի մոլեկուլների հետ միանալիս ռադիոդեղագործական պրեկուրսորի կլինիկական արդյունավետությունը հաստատող տեղեկատվություն:</w:t>
      </w:r>
    </w:p>
    <w:p w14:paraId="1FDE8445" w14:textId="77777777" w:rsidR="006F76EB" w:rsidRPr="00834D52" w:rsidRDefault="006F76EB" w:rsidP="00F550B6">
      <w:pPr>
        <w:spacing w:after="160" w:line="350" w:lineRule="auto"/>
        <w:ind w:right="-6"/>
        <w:jc w:val="center"/>
        <w:rPr>
          <w:rFonts w:ascii="Sylfaen" w:hAnsi="Sylfaen"/>
          <w:sz w:val="24"/>
          <w:szCs w:val="24"/>
        </w:rPr>
      </w:pPr>
    </w:p>
    <w:p w14:paraId="36850849" w14:textId="77777777" w:rsidR="006F76EB" w:rsidRPr="00834D52" w:rsidRDefault="006F76EB" w:rsidP="003C049F">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t>14. Հոմեոպաթիկ դեղապատրաստուկներ</w:t>
      </w:r>
    </w:p>
    <w:p w14:paraId="289B9B5B" w14:textId="77777777" w:rsidR="006F76EB" w:rsidRPr="00834D52" w:rsidRDefault="006F76EB" w:rsidP="0026384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14.1.</w:t>
      </w:r>
      <w:r w:rsidRPr="00834D52">
        <w:rPr>
          <w:rFonts w:ascii="Sylfaen" w:hAnsi="Sylfaen"/>
          <w:sz w:val="24"/>
          <w:szCs w:val="24"/>
        </w:rPr>
        <w:tab/>
        <w:t>Մոդուլ 3.</w:t>
      </w:r>
    </w:p>
    <w:p w14:paraId="74A3CCCB" w14:textId="77777777" w:rsidR="006F76EB" w:rsidRPr="00834D52" w:rsidRDefault="006F76EB" w:rsidP="003C049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Եզրույթները.</w:t>
      </w:r>
    </w:p>
    <w:p w14:paraId="4AF486AD" w14:textId="77777777" w:rsidR="006F76EB" w:rsidRPr="00834D52" w:rsidRDefault="006F76EB" w:rsidP="003C049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դոսյեում նկարագրված հոմեոպաթիկ դեղագործական բաղադրամասի լատիներեն գիտական անվանումը պետք է համապատասխանի Եվրասիական տնտեսական միության դեղագրքի մենագրության (առկայության դեպքում) կամ Միության անդամ պետությունների հոմեոպաթիկ դեղագրքի կամ Գերմանիայի հոմեոպաթիկ դեղագրքի, Ֆրանսիայի դեղագրքի </w:t>
      </w:r>
      <w:r w:rsidR="00C54D75">
        <w:rPr>
          <w:rFonts w:ascii="Sylfaen" w:hAnsi="Sylfaen"/>
          <w:sz w:val="24"/>
          <w:szCs w:val="24"/>
        </w:rPr>
        <w:t>և</w:t>
      </w:r>
      <w:r w:rsidRPr="00834D52">
        <w:rPr>
          <w:rFonts w:ascii="Sylfaen" w:hAnsi="Sylfaen"/>
          <w:sz w:val="24"/>
          <w:szCs w:val="24"/>
        </w:rPr>
        <w:t xml:space="preserve"> Եվրոպական դեղագրքի լատիներեն անվանմանը:</w:t>
      </w:r>
    </w:p>
    <w:p w14:paraId="21DF694D" w14:textId="77777777" w:rsidR="006F76EB" w:rsidRPr="00834D52" w:rsidRDefault="006F76EB" w:rsidP="003C049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Ելակետային նյութերի հսկողությունը.</w:t>
      </w:r>
    </w:p>
    <w:p w14:paraId="12D76945" w14:textId="77777777" w:rsidR="006F76EB" w:rsidRPr="00834D52" w:rsidRDefault="006F76EB" w:rsidP="003C049F">
      <w:pPr>
        <w:spacing w:after="160" w:line="37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դոսյեի նյութերում պետք է ներկայացված լինեն փաստաթղթեր, որոնք հաստատում են պատրաստուկների բոլոր բաղադրիչների՝ ներառյալ հոմեոպաթիկ դեղագործական բաղադրամասը </w:t>
      </w:r>
      <w:r w:rsidR="00C54D75">
        <w:rPr>
          <w:rFonts w:ascii="Sylfaen" w:hAnsi="Sylfaen"/>
          <w:sz w:val="24"/>
          <w:szCs w:val="24"/>
        </w:rPr>
        <w:t>և</w:t>
      </w:r>
      <w:r w:rsidRPr="00834D52">
        <w:rPr>
          <w:rFonts w:ascii="Sylfaen" w:hAnsi="Sylfaen"/>
          <w:sz w:val="24"/>
          <w:szCs w:val="24"/>
        </w:rPr>
        <w:t xml:space="preserve"> օժանդակ նյութերը, որակի համապատասխանությունը «Բաղադրությունը» բաժնում ներկայացված՝ մենագրություններին կամ նորմատիվ փաստաթղթերին արված հղումների պահանջներին: Հոմեոպաթիկ դեղագործական բաղադրամասի համար դրանք Եվրասիական տնտեսական միության դեղագրքի (առկայության դեպքում) կամ անդամ պետությունների մենագրություններն են կամ Գերմանիայի հոմեոպաթիկ դեղագրքի մենագրությունները կամ Ֆրանսիայի</w:t>
      </w:r>
      <w:r w:rsidR="00E90FAF" w:rsidRPr="00E90FAF">
        <w:rPr>
          <w:rFonts w:ascii="Sylfaen" w:hAnsi="Sylfaen"/>
          <w:sz w:val="24"/>
          <w:szCs w:val="24"/>
        </w:rPr>
        <w:t xml:space="preserve"> </w:t>
      </w:r>
      <w:r w:rsidR="00B55C20">
        <w:rPr>
          <w:rFonts w:ascii="Sylfaen" w:hAnsi="Sylfaen"/>
          <w:sz w:val="24"/>
          <w:szCs w:val="24"/>
        </w:rPr>
        <w:t>դեղագրքի</w:t>
      </w:r>
      <w:r w:rsidRPr="00834D52">
        <w:rPr>
          <w:rFonts w:ascii="Sylfaen" w:hAnsi="Sylfaen"/>
          <w:sz w:val="24"/>
          <w:szCs w:val="24"/>
        </w:rPr>
        <w:t xml:space="preserve"> կամ եվրոպական դեղագրքի մենագրությունները. օժանդակ բաղադրիչների համար՝ նորմատիվ փաստաթղթերը կամ նշված դեղագրքերի մենագրությունները:</w:t>
      </w:r>
    </w:p>
    <w:p w14:paraId="6CEE3BAE" w14:textId="77777777" w:rsidR="006F76EB" w:rsidRPr="00834D52" w:rsidRDefault="006F76EB" w:rsidP="003C049F">
      <w:pPr>
        <w:spacing w:after="160" w:line="37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Որակի հիմնական պահանջները պետք է կիրառվեն ոչ միայն բոլոր ելակետային նյութերի </w:t>
      </w:r>
      <w:r w:rsidR="00C54D75">
        <w:rPr>
          <w:rFonts w:ascii="Sylfaen" w:hAnsi="Sylfaen"/>
          <w:sz w:val="24"/>
          <w:szCs w:val="24"/>
        </w:rPr>
        <w:t>և</w:t>
      </w:r>
      <w:r w:rsidRPr="00834D52">
        <w:rPr>
          <w:rFonts w:ascii="Sylfaen" w:hAnsi="Sylfaen"/>
          <w:sz w:val="24"/>
          <w:szCs w:val="24"/>
        </w:rPr>
        <w:t xml:space="preserve"> հումքի, այլ նա</w:t>
      </w:r>
      <w:r w:rsidR="00C54D75">
        <w:rPr>
          <w:rFonts w:ascii="Sylfaen" w:hAnsi="Sylfaen"/>
          <w:sz w:val="24"/>
          <w:szCs w:val="24"/>
        </w:rPr>
        <w:t>և</w:t>
      </w:r>
      <w:r w:rsidRPr="00834D52">
        <w:rPr>
          <w:rFonts w:ascii="Sylfaen" w:hAnsi="Sylfaen"/>
          <w:sz w:val="24"/>
          <w:szCs w:val="24"/>
        </w:rPr>
        <w:t xml:space="preserve"> միջանկյալ արգասիքների (սուբստանցիայի նոսրացումների) նկատմամբ մինչ</w:t>
      </w:r>
      <w:r w:rsidR="00C54D75">
        <w:rPr>
          <w:rFonts w:ascii="Sylfaen" w:hAnsi="Sylfaen"/>
          <w:sz w:val="24"/>
          <w:szCs w:val="24"/>
        </w:rPr>
        <w:t>և</w:t>
      </w:r>
      <w:r w:rsidRPr="00834D52">
        <w:rPr>
          <w:rFonts w:ascii="Sylfaen" w:hAnsi="Sylfaen"/>
          <w:sz w:val="24"/>
          <w:szCs w:val="24"/>
        </w:rPr>
        <w:t xml:space="preserve"> վերջին նոսրացումը, որը ներմուծվում է դեղապատրաստուկ: Ուժեղ ազդեցություն ունեցող կամ թունավոր ազդեցություն ունեցող նյութ պարունակող հոմեոպաթիկ դեղագործական բաղադրամասերի օգտագործման դեպքում այդպիսի ազդող նյութի պարունակությունը պետք է որոշվի հարմար մեթոդով </w:t>
      </w:r>
      <w:r w:rsidR="00C54D75">
        <w:rPr>
          <w:rFonts w:ascii="Sylfaen" w:hAnsi="Sylfaen"/>
          <w:sz w:val="24"/>
          <w:szCs w:val="24"/>
        </w:rPr>
        <w:t>և</w:t>
      </w:r>
      <w:r w:rsidRPr="00834D52">
        <w:rPr>
          <w:rFonts w:ascii="Sylfaen" w:hAnsi="Sylfaen"/>
          <w:sz w:val="24"/>
          <w:szCs w:val="24"/>
        </w:rPr>
        <w:t xml:space="preserve"> համապատասխան ձ</w:t>
      </w:r>
      <w:r w:rsidR="00C54D75">
        <w:rPr>
          <w:rFonts w:ascii="Sylfaen" w:hAnsi="Sylfaen"/>
          <w:sz w:val="24"/>
          <w:szCs w:val="24"/>
        </w:rPr>
        <w:t>և</w:t>
      </w:r>
      <w:r w:rsidRPr="00834D52">
        <w:rPr>
          <w:rFonts w:ascii="Sylfaen" w:hAnsi="Sylfaen"/>
          <w:sz w:val="24"/>
          <w:szCs w:val="24"/>
        </w:rPr>
        <w:t xml:space="preserve">ով կարգավորվի (օրինակ՝ այդպիսի ազդող նյութի պարունակության երկկողմանի նորմավորմամբ կամ չորրորդ տասնորդական նոսրացման փորձարկմամբ): Որպես կանոն, տասնորդական սանդղակի D4-ից բարձր նոսրացումը </w:t>
      </w:r>
      <w:r w:rsidR="00C54D75">
        <w:rPr>
          <w:rFonts w:ascii="Sylfaen" w:hAnsi="Sylfaen"/>
          <w:sz w:val="24"/>
          <w:szCs w:val="24"/>
        </w:rPr>
        <w:t>և</w:t>
      </w:r>
      <w:r w:rsidRPr="00834D52">
        <w:rPr>
          <w:rFonts w:ascii="Sylfaen" w:hAnsi="Sylfaen"/>
          <w:sz w:val="24"/>
          <w:szCs w:val="24"/>
        </w:rPr>
        <w:t xml:space="preserve"> հարյուրերորդական սանդղակով նոսրացումները թույլ չեն տալիս անցկացնել այդպիսի գնահատում:</w:t>
      </w:r>
    </w:p>
    <w:p w14:paraId="0A746439" w14:textId="77777777" w:rsidR="006F76EB" w:rsidRPr="00834D52" w:rsidRDefault="006F76EB" w:rsidP="003C049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Այն դեպքում, երբ հոմեոպաթիկ դեղապատրաստուկի արտադրության համար օգտագործվում է հոմեոպաթիկ դեղագործական բաղադրամասի նոսրացում, դրանք ստանում են Եվրասիական տնտեսական միության դեղագրքի համապատասխան մենագրության (առկայության դեպքում) կամ անդամ պետությունների դեղագրքի մենագրության կամ Գերմանիայի հոմեոպաթիկ դեղագրքի մենագրության, Ֆրանսիայի </w:t>
      </w:r>
      <w:r w:rsidR="009A01E5">
        <w:rPr>
          <w:rFonts w:ascii="Sylfaen" w:hAnsi="Sylfaen"/>
          <w:sz w:val="24"/>
          <w:szCs w:val="24"/>
        </w:rPr>
        <w:t xml:space="preserve">դեղագրքի </w:t>
      </w:r>
      <w:r w:rsidRPr="00834D52">
        <w:rPr>
          <w:rFonts w:ascii="Sylfaen" w:hAnsi="Sylfaen"/>
          <w:sz w:val="24"/>
          <w:szCs w:val="24"/>
        </w:rPr>
        <w:t xml:space="preserve">կամ եվրոպական դեղագրքի </w:t>
      </w:r>
      <w:r w:rsidR="009A01E5" w:rsidRPr="00834D52">
        <w:rPr>
          <w:rFonts w:ascii="Sylfaen" w:hAnsi="Sylfaen"/>
          <w:sz w:val="24"/>
          <w:szCs w:val="24"/>
        </w:rPr>
        <w:t xml:space="preserve">մենագրության </w:t>
      </w:r>
      <w:r w:rsidRPr="00834D52">
        <w:rPr>
          <w:rFonts w:ascii="Sylfaen" w:hAnsi="Sylfaen"/>
          <w:sz w:val="24"/>
          <w:szCs w:val="24"/>
        </w:rPr>
        <w:t xml:space="preserve">մեջ նկարագրված մեթոդներին </w:t>
      </w:r>
      <w:r w:rsidR="00C54D75">
        <w:rPr>
          <w:rFonts w:ascii="Sylfaen" w:hAnsi="Sylfaen"/>
          <w:sz w:val="24"/>
          <w:szCs w:val="24"/>
        </w:rPr>
        <w:t>և</w:t>
      </w:r>
      <w:r w:rsidRPr="00834D52">
        <w:rPr>
          <w:rFonts w:ascii="Sylfaen" w:hAnsi="Sylfaen"/>
          <w:sz w:val="24"/>
          <w:szCs w:val="24"/>
        </w:rPr>
        <w:t xml:space="preserve"> եղանակներին համապատասխան </w:t>
      </w:r>
      <w:r w:rsidR="00C54D75">
        <w:rPr>
          <w:rFonts w:ascii="Sylfaen" w:hAnsi="Sylfaen"/>
          <w:sz w:val="24"/>
          <w:szCs w:val="24"/>
        </w:rPr>
        <w:t>և</w:t>
      </w:r>
      <w:r w:rsidRPr="00834D52">
        <w:rPr>
          <w:rFonts w:ascii="Sylfaen" w:hAnsi="Sylfaen"/>
          <w:sz w:val="24"/>
          <w:szCs w:val="24"/>
        </w:rPr>
        <w:t xml:space="preserve"> նշում են նոսրացման սանդղակն ու աստիճանը:</w:t>
      </w:r>
    </w:p>
    <w:p w14:paraId="2E35824D" w14:textId="77777777" w:rsidR="006F76EB" w:rsidRPr="00834D52" w:rsidRDefault="006F76EB" w:rsidP="003C049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հսկողական փորձարկումներ.</w:t>
      </w:r>
    </w:p>
    <w:p w14:paraId="55D4822A" w14:textId="77777777" w:rsidR="006F76EB" w:rsidRPr="00834D52" w:rsidRDefault="006F76EB" w:rsidP="003C049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Հոմեոպաթիկ դեղապատրաստուկների նկատմամբ պետք է կիրառվեն որակին ներկայացվող հիմնական պահանջները: Որակին ներկայացվող հիմնական պահանջներից շեղումների առկայության դեպքում անհրաժեշտ է, որ հայտատուն հիմնավորի դրանք:</w:t>
      </w:r>
    </w:p>
    <w:p w14:paraId="549255F4" w14:textId="77777777" w:rsidR="006F76EB" w:rsidRPr="00834D52" w:rsidRDefault="006F76EB" w:rsidP="003C049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Այն դեպքում, երբ հոմեոպաթիկ դեղապատրաստուկի արտադրության համար օգտագործվում է ուժեղ ազդեցություն ունեցող կամ թունավոր ազդեցություն ունեցող նյութ պարունակող հոմեոպաթիկ դեղագործական </w:t>
      </w:r>
      <w:r w:rsidRPr="00834D52">
        <w:rPr>
          <w:rFonts w:ascii="Sylfaen" w:hAnsi="Sylfaen"/>
          <w:sz w:val="24"/>
          <w:szCs w:val="24"/>
        </w:rPr>
        <w:lastRenderedPageBreak/>
        <w:t>բաղադրամաս, պետք է հոմեոպաթիկ դեղապատրաստուկի մեջ նշված նյութերի իսկության ու քանակական որոշման սահմանման նպատակով անցկացվեն փորձարկումներ (անհրաժեշտության դեպքում):</w:t>
      </w:r>
    </w:p>
    <w:p w14:paraId="0CF86389" w14:textId="77777777" w:rsidR="006F76EB" w:rsidRPr="00834D52" w:rsidRDefault="006F76EB" w:rsidP="003C049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Բոլոր թունաբանորեն նշանակալի բաղադրիչների քանակական որոշման </w:t>
      </w:r>
      <w:r w:rsidR="00C54D75">
        <w:rPr>
          <w:rFonts w:ascii="Sylfaen" w:hAnsi="Sylfaen"/>
          <w:sz w:val="24"/>
          <w:szCs w:val="24"/>
        </w:rPr>
        <w:t>և</w:t>
      </w:r>
      <w:r w:rsidRPr="00834D52">
        <w:rPr>
          <w:rFonts w:ascii="Sylfaen" w:hAnsi="Sylfaen"/>
          <w:sz w:val="24"/>
          <w:szCs w:val="24"/>
        </w:rPr>
        <w:t xml:space="preserve"> (կամ) նույնականացման անհնարինության (օրինակ՝ դեղապատրաստուկի մեջ նոսրացման աստիճանի պատճառով) մասին հիմնավորման առկայության դեպքում անհրաժեշտ է արտադրական պրոցեսի </w:t>
      </w:r>
      <w:r w:rsidR="00C54D75">
        <w:rPr>
          <w:rFonts w:ascii="Sylfaen" w:hAnsi="Sylfaen"/>
          <w:sz w:val="24"/>
          <w:szCs w:val="24"/>
        </w:rPr>
        <w:t>և</w:t>
      </w:r>
      <w:r w:rsidRPr="00834D52">
        <w:rPr>
          <w:rFonts w:ascii="Sylfaen" w:hAnsi="Sylfaen"/>
          <w:sz w:val="24"/>
          <w:szCs w:val="24"/>
        </w:rPr>
        <w:t xml:space="preserve"> նոսրացման պրոցեսի ամբողջական վալիդացմամբ հաստատել որակը:</w:t>
      </w:r>
    </w:p>
    <w:p w14:paraId="300F35D8" w14:textId="77777777" w:rsidR="006F76EB" w:rsidRPr="00834D52" w:rsidRDefault="006F76EB" w:rsidP="003C049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դեպքում, երբ հոմեոպաթիկ դեղապատրաստուկի արտադրության համար օգտագործվում է ուժեղ ազդեցություն ունեցող կամ թունավոր ազդեցություն ունեցող նյութ չպարունակող հոմեոպաթիկ դեղագործական բաղադրամաս, նյութերի իսկության </w:t>
      </w:r>
      <w:r w:rsidR="00C54D75">
        <w:rPr>
          <w:rFonts w:ascii="Sylfaen" w:hAnsi="Sylfaen"/>
          <w:sz w:val="24"/>
          <w:szCs w:val="24"/>
        </w:rPr>
        <w:t>և</w:t>
      </w:r>
      <w:r w:rsidRPr="00834D52">
        <w:rPr>
          <w:rFonts w:ascii="Sylfaen" w:hAnsi="Sylfaen"/>
          <w:sz w:val="24"/>
          <w:szCs w:val="24"/>
        </w:rPr>
        <w:t xml:space="preserve"> քանակական որոշման սահմանման նպատակով պետք է անցկացվեն փորձարկումներ` հոմեոպաթիկ դեղագործական բաղադրամասի կոնկրետ անվանման մենագրությունների համաձայն (անհրաժեշտության դեպքում):</w:t>
      </w:r>
    </w:p>
    <w:p w14:paraId="5291665A"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Կայունության փորձարկումներ.</w:t>
      </w:r>
    </w:p>
    <w:p w14:paraId="2F105E18"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հաստատել դեղապատրաստուկի կայունությունը: Ելակետային հոմեոպաթիկ նյութի կայունության փորձարկումների տվյալները, որպես կանոն, իրական են տվյալ նյութից պատրաստված նոսրացումների </w:t>
      </w:r>
      <w:r w:rsidR="00C54D75">
        <w:rPr>
          <w:rFonts w:ascii="Sylfaen" w:hAnsi="Sylfaen"/>
          <w:sz w:val="24"/>
          <w:szCs w:val="24"/>
        </w:rPr>
        <w:t>և</w:t>
      </w:r>
      <w:r w:rsidRPr="00834D52">
        <w:rPr>
          <w:rFonts w:ascii="Sylfaen" w:hAnsi="Sylfaen"/>
          <w:sz w:val="24"/>
          <w:szCs w:val="24"/>
        </w:rPr>
        <w:t xml:space="preserve"> տրիտուրացիաների համար: Եթե ակտիվ նյութի քանակական որոշումը կամ նույնականացումն անհնար է նոսրացման աստիճանի պատճառով, ապա կարող են դիտարկվել դեղաձ</w:t>
      </w:r>
      <w:r w:rsidR="00C54D75">
        <w:rPr>
          <w:rFonts w:ascii="Sylfaen" w:hAnsi="Sylfaen"/>
          <w:sz w:val="24"/>
          <w:szCs w:val="24"/>
        </w:rPr>
        <w:t>և</w:t>
      </w:r>
      <w:r w:rsidRPr="00834D52">
        <w:rPr>
          <w:rFonts w:ascii="Sylfaen" w:hAnsi="Sylfaen"/>
          <w:sz w:val="24"/>
          <w:szCs w:val="24"/>
        </w:rPr>
        <w:t>ի կայունության փորձարկումների տվյալները:</w:t>
      </w:r>
    </w:p>
    <w:p w14:paraId="21F67891" w14:textId="77777777" w:rsidR="006F76EB" w:rsidRPr="00834D52" w:rsidRDefault="006F76EB" w:rsidP="0026384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14.2.</w:t>
      </w:r>
      <w:r w:rsidRPr="00834D52">
        <w:rPr>
          <w:rFonts w:ascii="Sylfaen" w:hAnsi="Sylfaen"/>
          <w:sz w:val="24"/>
          <w:szCs w:val="24"/>
        </w:rPr>
        <w:tab/>
        <w:t>Մոդուլ 4.</w:t>
      </w:r>
    </w:p>
    <w:p w14:paraId="077C0ED9"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Թունավորության նախակլինիկական հետազոտությունների տվյալները.</w:t>
      </w:r>
    </w:p>
    <w:p w14:paraId="3D5248D7"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Ցանկացած տեղեկատվության բացակայություն անհրաժեշտ է հիմնավորել, օրինակ՝ հիմնավորել, թե ինչպես կարող է հաստատվել անվտանգության թույլատրելի մակարդակը որոշ հետազոտությունների բացակայության դեպքում:</w:t>
      </w:r>
    </w:p>
    <w:p w14:paraId="18C127D1"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Դեղագրքերի </w:t>
      </w:r>
      <w:r w:rsidR="00C54D75">
        <w:rPr>
          <w:rFonts w:ascii="Sylfaen" w:hAnsi="Sylfaen"/>
          <w:sz w:val="24"/>
          <w:szCs w:val="24"/>
        </w:rPr>
        <w:t>և</w:t>
      </w:r>
      <w:r w:rsidRPr="00834D52">
        <w:rPr>
          <w:rFonts w:ascii="Sylfaen" w:hAnsi="Sylfaen"/>
          <w:sz w:val="24"/>
          <w:szCs w:val="24"/>
        </w:rPr>
        <w:t xml:space="preserve"> մենագրությունների մեջ չնշված նոր հոմեոպաթիկ դեղամիջոցների (մատրիցայի թուրմի, տրիտուրացիաների </w:t>
      </w:r>
      <w:r w:rsidR="00C54D75">
        <w:rPr>
          <w:rFonts w:ascii="Sylfaen" w:hAnsi="Sylfaen"/>
          <w:sz w:val="24"/>
          <w:szCs w:val="24"/>
        </w:rPr>
        <w:t>և</w:t>
      </w:r>
      <w:r w:rsidRPr="00834D52">
        <w:rPr>
          <w:rFonts w:ascii="Sylfaen" w:hAnsi="Sylfaen"/>
          <w:sz w:val="24"/>
          <w:szCs w:val="24"/>
        </w:rPr>
        <w:t xml:space="preserve"> այլ բաղադրիչների) համար պարտադիր ներկայացվում են թունաբանական հետազոտությունների տվյալները, տարբեր դոզավորումների ընտրության հիմնավորումը </w:t>
      </w:r>
      <w:r w:rsidR="00C54D75">
        <w:rPr>
          <w:rFonts w:ascii="Sylfaen" w:hAnsi="Sylfaen"/>
          <w:sz w:val="24"/>
          <w:szCs w:val="24"/>
        </w:rPr>
        <w:t>և</w:t>
      </w:r>
      <w:r w:rsidRPr="00834D52">
        <w:rPr>
          <w:rFonts w:ascii="Sylfaen" w:hAnsi="Sylfaen"/>
          <w:sz w:val="24"/>
          <w:szCs w:val="24"/>
        </w:rPr>
        <w:t xml:space="preserve"> կլինիկական հետազոտությունների հետագա տվյալները: </w:t>
      </w:r>
    </w:p>
    <w:p w14:paraId="452129E2" w14:textId="77777777" w:rsidR="006F76EB" w:rsidRPr="00834D52" w:rsidRDefault="006F76EB" w:rsidP="00263847">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14.3.</w:t>
      </w:r>
      <w:r w:rsidRPr="00834D52">
        <w:rPr>
          <w:rFonts w:ascii="Sylfaen" w:hAnsi="Sylfaen"/>
          <w:sz w:val="24"/>
          <w:szCs w:val="24"/>
        </w:rPr>
        <w:tab/>
        <w:t>Մոդուլ 5.</w:t>
      </w:r>
    </w:p>
    <w:p w14:paraId="24509C58"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Հետգրանցումային ժամանակահատվածում կիրառման կլինիկական հետազոտությունների տվյալները (առկայության դեպքում):</w:t>
      </w:r>
    </w:p>
    <w:p w14:paraId="438A9C42" w14:textId="77777777" w:rsidR="006F76EB" w:rsidRPr="00834D52" w:rsidRDefault="006F76EB" w:rsidP="00263847">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հիմնավորել ցանկացած տեղեկատվության բացակայությունը, օրինակ՝ հիմնավորել այն, թե որոշ տեղեկությունների բացակայության դեպքում ինչպես կարող է հաստատվել արդյունավետության </w:t>
      </w:r>
      <w:r w:rsidR="00C54D75">
        <w:rPr>
          <w:rFonts w:ascii="Sylfaen" w:hAnsi="Sylfaen"/>
          <w:sz w:val="24"/>
          <w:szCs w:val="24"/>
        </w:rPr>
        <w:t>և</w:t>
      </w:r>
      <w:r w:rsidRPr="00834D52">
        <w:rPr>
          <w:rFonts w:ascii="Sylfaen" w:hAnsi="Sylfaen"/>
          <w:sz w:val="24"/>
          <w:szCs w:val="24"/>
        </w:rPr>
        <w:t xml:space="preserve"> անվտանգության թույլատրելի պրոֆիլը:</w:t>
      </w:r>
    </w:p>
    <w:p w14:paraId="379963F9" w14:textId="77777777" w:rsidR="006F76EB" w:rsidRPr="00834D52" w:rsidRDefault="006F76EB" w:rsidP="00263847">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Դեղագրքերի </w:t>
      </w:r>
      <w:r w:rsidR="00C54D75">
        <w:rPr>
          <w:rFonts w:ascii="Sylfaen" w:hAnsi="Sylfaen"/>
          <w:sz w:val="24"/>
          <w:szCs w:val="24"/>
        </w:rPr>
        <w:t>և</w:t>
      </w:r>
      <w:r w:rsidRPr="00834D52">
        <w:rPr>
          <w:rFonts w:ascii="Sylfaen" w:hAnsi="Sylfaen"/>
          <w:sz w:val="24"/>
          <w:szCs w:val="24"/>
        </w:rPr>
        <w:t xml:space="preserve"> մենագրությունների մեջ չնշված հոմեոպաթիկ դեղապատրաստուկների (մատրիցայի թուրմերի, տրիտուրացիաների </w:t>
      </w:r>
      <w:r w:rsidR="00C54D75">
        <w:rPr>
          <w:rFonts w:ascii="Sylfaen" w:hAnsi="Sylfaen"/>
          <w:sz w:val="24"/>
          <w:szCs w:val="24"/>
        </w:rPr>
        <w:t>և</w:t>
      </w:r>
      <w:r w:rsidRPr="00834D52">
        <w:rPr>
          <w:rFonts w:ascii="Sylfaen" w:hAnsi="Sylfaen"/>
          <w:sz w:val="24"/>
          <w:szCs w:val="24"/>
        </w:rPr>
        <w:t xml:space="preserve"> այլ բաղադրիչների) համար պարտադիր ներկայացվում են կլինիկական հետազոտությունների տվյալները (սույն հավելվածի պահանջներին համապատասխան) </w:t>
      </w:r>
      <w:r w:rsidR="00C54D75">
        <w:rPr>
          <w:rFonts w:ascii="Sylfaen" w:hAnsi="Sylfaen"/>
          <w:sz w:val="24"/>
          <w:szCs w:val="24"/>
        </w:rPr>
        <w:t>և</w:t>
      </w:r>
      <w:r w:rsidRPr="00834D52">
        <w:rPr>
          <w:rFonts w:ascii="Sylfaen" w:hAnsi="Sylfaen"/>
          <w:sz w:val="24"/>
          <w:szCs w:val="24"/>
        </w:rPr>
        <w:t xml:space="preserve"> տարբեր դոզավորումների ընտրության հիմնավորումը:</w:t>
      </w:r>
    </w:p>
    <w:p w14:paraId="129D12B0" w14:textId="77777777" w:rsidR="006F76EB" w:rsidRPr="00834D52" w:rsidRDefault="006F76EB" w:rsidP="00033514">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Կիրառման բազմամյա փորձ ունեցող </w:t>
      </w:r>
      <w:r w:rsidR="00C54D75">
        <w:rPr>
          <w:rFonts w:ascii="Sylfaen" w:hAnsi="Sylfaen"/>
          <w:sz w:val="24"/>
          <w:szCs w:val="24"/>
        </w:rPr>
        <w:t>և</w:t>
      </w:r>
      <w:r w:rsidRPr="00834D52">
        <w:rPr>
          <w:rFonts w:ascii="Sylfaen" w:hAnsi="Sylfaen"/>
          <w:sz w:val="24"/>
          <w:szCs w:val="24"/>
        </w:rPr>
        <w:t xml:space="preserve"> դեղագրքի մեջ ներառված հոմեոպաթիկ դեղապատրաստուկների համար կիրառման հայտագրվող ոլորտում ներկայացվում է հոմեոպաթիկ դեղապատրաստուկի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վերաբերյալ գիտական գրականության տվյալների տեղեկագիր:</w:t>
      </w:r>
    </w:p>
    <w:p w14:paraId="2EE2AB80" w14:textId="77777777" w:rsidR="006F76EB" w:rsidRPr="00834D52" w:rsidRDefault="006F76EB" w:rsidP="00033514">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ընդհանուր բնութագրում </w:t>
      </w:r>
      <w:r w:rsidR="00C54D75">
        <w:rPr>
          <w:rFonts w:ascii="Sylfaen" w:hAnsi="Sylfaen"/>
          <w:sz w:val="24"/>
          <w:szCs w:val="24"/>
        </w:rPr>
        <w:t>և</w:t>
      </w:r>
      <w:r w:rsidRPr="00834D52">
        <w:rPr>
          <w:rFonts w:ascii="Sylfaen" w:hAnsi="Sylfaen"/>
          <w:sz w:val="24"/>
          <w:szCs w:val="24"/>
        </w:rPr>
        <w:t xml:space="preserve"> դեղապատրաստուկի բժշկական կիրառման հրահանգում ներառվում է հետ</w:t>
      </w:r>
      <w:r w:rsidR="00C54D75">
        <w:rPr>
          <w:rFonts w:ascii="Sylfaen" w:hAnsi="Sylfaen"/>
          <w:sz w:val="24"/>
          <w:szCs w:val="24"/>
        </w:rPr>
        <w:t>և</w:t>
      </w:r>
      <w:r w:rsidRPr="00834D52">
        <w:rPr>
          <w:rFonts w:ascii="Sylfaen" w:hAnsi="Sylfaen"/>
          <w:sz w:val="24"/>
          <w:szCs w:val="24"/>
        </w:rPr>
        <w:t>յալ նշումը՝ «հոմեոպաթիկ դեղապատրաստուկ»:</w:t>
      </w:r>
    </w:p>
    <w:p w14:paraId="48DA24DE" w14:textId="77777777" w:rsidR="006F76EB" w:rsidRPr="00834D52" w:rsidRDefault="006F76EB" w:rsidP="00033514">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14.4.</w:t>
      </w:r>
      <w:r w:rsidRPr="00834D52">
        <w:rPr>
          <w:rFonts w:ascii="Sylfaen" w:hAnsi="Sylfaen"/>
          <w:sz w:val="24"/>
          <w:szCs w:val="24"/>
        </w:rPr>
        <w:tab/>
        <w:t>Հոմեոպաթիկ դեղապատրաստուկների համար պարզեցված գրանցման դոսյե.</w:t>
      </w:r>
    </w:p>
    <w:p w14:paraId="73C52A8B" w14:textId="77777777" w:rsidR="006F76EB" w:rsidRPr="00834D52" w:rsidRDefault="006F76EB" w:rsidP="0003351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Հոմեոպաթիկ դեղապատրաստուկների գրանցման համար տրամադրվում է պարզեցված գրանցման դոսյե՝ հետ</w:t>
      </w:r>
      <w:r w:rsidR="00C54D75">
        <w:rPr>
          <w:rFonts w:ascii="Sylfaen" w:hAnsi="Sylfaen"/>
          <w:sz w:val="24"/>
          <w:szCs w:val="24"/>
        </w:rPr>
        <w:t>և</w:t>
      </w:r>
      <w:r w:rsidRPr="00834D52">
        <w:rPr>
          <w:rFonts w:ascii="Sylfaen" w:hAnsi="Sylfaen"/>
          <w:sz w:val="24"/>
          <w:szCs w:val="24"/>
        </w:rPr>
        <w:t>յալ պայմանների պահպանման դեպքում՝</w:t>
      </w:r>
    </w:p>
    <w:p w14:paraId="6DFE04CA" w14:textId="77777777" w:rsidR="006F76EB" w:rsidRPr="00834D52" w:rsidRDefault="006F76EB" w:rsidP="0003351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դեղապատրաստուկը նախատեսված է ներքին ընդունման կամ արտաքին, տեղային, ինհալացիայի միջոցով կիրառման համար.</w:t>
      </w:r>
    </w:p>
    <w:p w14:paraId="450AA19C" w14:textId="77777777" w:rsidR="006F76EB" w:rsidRPr="00834D52" w:rsidRDefault="006F76EB" w:rsidP="0003351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փաթեթվածքի վրա, ԴԸԲ-ում կամ ԲԿՀ-ում ներկայացված չէ կիրառման կոնկրետ թերապ</w:t>
      </w:r>
      <w:r w:rsidR="00C54D75">
        <w:rPr>
          <w:rFonts w:ascii="Sylfaen" w:hAnsi="Sylfaen"/>
          <w:sz w:val="24"/>
          <w:szCs w:val="24"/>
        </w:rPr>
        <w:t>և</w:t>
      </w:r>
      <w:r w:rsidRPr="00834D52">
        <w:rPr>
          <w:rFonts w:ascii="Sylfaen" w:hAnsi="Sylfaen"/>
          <w:sz w:val="24"/>
          <w:szCs w:val="24"/>
        </w:rPr>
        <w:t>տիկ ցուցում.</w:t>
      </w:r>
    </w:p>
    <w:p w14:paraId="43E6AAA0" w14:textId="77777777" w:rsidR="006F76EB" w:rsidRPr="00834D52" w:rsidRDefault="006F76EB" w:rsidP="0003351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նոսրացման աստիճանը բավարար է դեղապատրաստուկի անվտանգությունը երաշխավորելու համար, մասնավորապես, դեղապատրաստուկը պարունակում է հոմեոպաթիկ բաղադրամասի 1/10</w:t>
      </w:r>
      <w:r w:rsidRPr="00834D52">
        <w:rPr>
          <w:rFonts w:ascii="Sylfaen" w:hAnsi="Sylfaen" w:cs="Courier New"/>
          <w:sz w:val="24"/>
          <w:szCs w:val="24"/>
        </w:rPr>
        <w:t> </w:t>
      </w:r>
      <w:r w:rsidRPr="00834D52">
        <w:rPr>
          <w:rFonts w:ascii="Sylfaen" w:hAnsi="Sylfaen"/>
          <w:sz w:val="24"/>
          <w:szCs w:val="24"/>
        </w:rPr>
        <w:t>000-ից ոչ ավելի մասը (հոմեոպաթիկ մատրիցայի թուրմեր) կամ պարունակում է այլաբուժության (ալոպաթիայի) մեջ կիրառվող նվազագույն դեղաչափի 1/100-ից ոչ ավելին՝ այն ազդող նյութերի մասով, որոնց առկայությունը դեղապատրաստուկի մեջ պահանջում է դեղատոմսով բացթողում:</w:t>
      </w:r>
    </w:p>
    <w:p w14:paraId="032C8483" w14:textId="77777777" w:rsidR="006F76EB" w:rsidRPr="00834D52" w:rsidRDefault="006F76EB" w:rsidP="00033514">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Նշված հոմեոպաթիկ դեղապատրաստուկների համար թերապ</w:t>
      </w:r>
      <w:r w:rsidR="00C54D75">
        <w:rPr>
          <w:rFonts w:ascii="Sylfaen" w:hAnsi="Sylfaen"/>
          <w:sz w:val="24"/>
          <w:szCs w:val="24"/>
        </w:rPr>
        <w:t>և</w:t>
      </w:r>
      <w:r w:rsidRPr="00834D52">
        <w:rPr>
          <w:rFonts w:ascii="Sylfaen" w:hAnsi="Sylfaen"/>
          <w:sz w:val="24"/>
          <w:szCs w:val="24"/>
        </w:rPr>
        <w:t>տիկ արդյունավետության ապացույցներ չեն պահանջվում: Այդպիսի հոմեոպաթիկ դեղապատրաստուկների բացթողման կատեգորիան սահմանվում է գրանցման ժամանակ:</w:t>
      </w:r>
    </w:p>
    <w:p w14:paraId="5DE43489" w14:textId="77777777" w:rsidR="006F76EB" w:rsidRPr="00834D52" w:rsidRDefault="006F76EB" w:rsidP="00033514">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հատուկ, պարզեցված ընթացակարգ անցկացնելու հայտը կարող է ընդգրկել մի</w:t>
      </w:r>
      <w:r w:rsidR="00C54D75">
        <w:rPr>
          <w:rFonts w:ascii="Sylfaen" w:hAnsi="Sylfaen"/>
          <w:sz w:val="24"/>
          <w:szCs w:val="24"/>
        </w:rPr>
        <w:t>և</w:t>
      </w:r>
      <w:r w:rsidRPr="00834D52">
        <w:rPr>
          <w:rFonts w:ascii="Sylfaen" w:hAnsi="Sylfaen"/>
          <w:sz w:val="24"/>
          <w:szCs w:val="24"/>
        </w:rPr>
        <w:t>նույն հոմեոպաթիկ դեղագործական բաղադրամասից կամ ծագման բնույթով (օրինակ՝ կենդանական, հանքային կամ բուսական ծագման) միավորված մի քանի հոմեոպաթիկ դեղագործական բաղադրամասից ստացված դեղապատրաստուկների սերիան:</w:t>
      </w:r>
    </w:p>
    <w:p w14:paraId="16C0464A" w14:textId="77777777" w:rsidR="006F76EB" w:rsidRPr="00834D52" w:rsidRDefault="006F76EB" w:rsidP="002F1C69">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Սերիայից սերիա պատրաստուկի դեղագործական որակը </w:t>
      </w:r>
      <w:r w:rsidR="00C54D75">
        <w:rPr>
          <w:rFonts w:ascii="Sylfaen" w:hAnsi="Sylfaen"/>
          <w:sz w:val="24"/>
          <w:szCs w:val="24"/>
        </w:rPr>
        <w:t>և</w:t>
      </w:r>
      <w:r w:rsidRPr="00834D52">
        <w:rPr>
          <w:rFonts w:ascii="Sylfaen" w:hAnsi="Sylfaen"/>
          <w:sz w:val="24"/>
          <w:szCs w:val="24"/>
        </w:rPr>
        <w:t xml:space="preserve"> համասեռությունը հաստատելու համար հայտն ուղեկցվում է գրանցման դոսյեով հետ</w:t>
      </w:r>
      <w:r w:rsidR="00C54D75">
        <w:rPr>
          <w:rFonts w:ascii="Sylfaen" w:hAnsi="Sylfaen"/>
          <w:sz w:val="24"/>
          <w:szCs w:val="24"/>
        </w:rPr>
        <w:t>և</w:t>
      </w:r>
      <w:r w:rsidRPr="00834D52">
        <w:rPr>
          <w:rFonts w:ascii="Sylfaen" w:hAnsi="Sylfaen"/>
          <w:sz w:val="24"/>
          <w:szCs w:val="24"/>
        </w:rPr>
        <w:t>յալ փաստաթղթերի հետ միասին.</w:t>
      </w:r>
    </w:p>
    <w:p w14:paraId="6955392E" w14:textId="77777777" w:rsidR="006F76EB" w:rsidRPr="00834D52" w:rsidRDefault="006F76EB" w:rsidP="002F1C69">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դեղագրքի մեջ նշված՝ հոմեոպաթիկ դեղագործական բաղադրամասի լատիներեն գիտական անվանումը՝ սանդղակի </w:t>
      </w:r>
      <w:r w:rsidR="00C54D75">
        <w:rPr>
          <w:rFonts w:ascii="Sylfaen" w:hAnsi="Sylfaen"/>
          <w:sz w:val="24"/>
          <w:szCs w:val="24"/>
        </w:rPr>
        <w:t>և</w:t>
      </w:r>
      <w:r w:rsidRPr="00834D52">
        <w:rPr>
          <w:rFonts w:ascii="Sylfaen" w:hAnsi="Sylfaen"/>
          <w:sz w:val="24"/>
          <w:szCs w:val="24"/>
        </w:rPr>
        <w:t xml:space="preserve"> նոսրացման աստիճանի նշմամբ, ներմուծման ուղիների, դեղաձ</w:t>
      </w:r>
      <w:r w:rsidR="00C54D75">
        <w:rPr>
          <w:rFonts w:ascii="Sylfaen" w:hAnsi="Sylfaen"/>
          <w:sz w:val="24"/>
          <w:szCs w:val="24"/>
        </w:rPr>
        <w:t>և</w:t>
      </w:r>
      <w:r w:rsidRPr="00834D52">
        <w:rPr>
          <w:rFonts w:ascii="Sylfaen" w:hAnsi="Sylfaen"/>
          <w:sz w:val="24"/>
          <w:szCs w:val="24"/>
        </w:rPr>
        <w:t xml:space="preserve">երի </w:t>
      </w:r>
      <w:r w:rsidR="00C54D75">
        <w:rPr>
          <w:rFonts w:ascii="Sylfaen" w:hAnsi="Sylfaen"/>
          <w:sz w:val="24"/>
          <w:szCs w:val="24"/>
        </w:rPr>
        <w:t>և</w:t>
      </w:r>
      <w:r w:rsidRPr="00834D52">
        <w:rPr>
          <w:rFonts w:ascii="Sylfaen" w:hAnsi="Sylfaen"/>
          <w:sz w:val="24"/>
          <w:szCs w:val="24"/>
        </w:rPr>
        <w:t xml:space="preserve"> նոսրացման աստիճանի վերաբերյալ տվյալները, որոնք ենթակա են գրանցման.</w:t>
      </w:r>
    </w:p>
    <w:p w14:paraId="057F91AD" w14:textId="77777777" w:rsidR="006F76EB" w:rsidRPr="00834D52" w:rsidRDefault="006F76EB" w:rsidP="002F1C69">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սպառողական </w:t>
      </w:r>
      <w:r w:rsidR="00C54D75">
        <w:rPr>
          <w:rFonts w:ascii="Sylfaen" w:hAnsi="Sylfaen"/>
          <w:sz w:val="24"/>
          <w:szCs w:val="24"/>
        </w:rPr>
        <w:t>և</w:t>
      </w:r>
      <w:r w:rsidRPr="00834D52">
        <w:rPr>
          <w:rFonts w:ascii="Sylfaen" w:hAnsi="Sylfaen"/>
          <w:sz w:val="24"/>
          <w:szCs w:val="24"/>
        </w:rPr>
        <w:t xml:space="preserve"> առաջնային փաթեթվածքի, ինչպես նա</w:t>
      </w:r>
      <w:r w:rsidR="00C54D75">
        <w:rPr>
          <w:rFonts w:ascii="Sylfaen" w:hAnsi="Sylfaen"/>
          <w:sz w:val="24"/>
          <w:szCs w:val="24"/>
        </w:rPr>
        <w:t>և</w:t>
      </w:r>
      <w:r w:rsidRPr="00834D52">
        <w:rPr>
          <w:rFonts w:ascii="Sylfaen" w:hAnsi="Sylfaen"/>
          <w:sz w:val="24"/>
          <w:szCs w:val="24"/>
        </w:rPr>
        <w:t xml:space="preserve"> դեղապատրաստուկի ընդհանուր բնութագրի </w:t>
      </w:r>
      <w:r w:rsidR="00C54D75">
        <w:rPr>
          <w:rFonts w:ascii="Sylfaen" w:hAnsi="Sylfaen"/>
          <w:sz w:val="24"/>
          <w:szCs w:val="24"/>
        </w:rPr>
        <w:t>և</w:t>
      </w:r>
      <w:r w:rsidRPr="00834D52">
        <w:rPr>
          <w:rFonts w:ascii="Sylfaen" w:hAnsi="Sylfaen"/>
          <w:sz w:val="24"/>
          <w:szCs w:val="24"/>
        </w:rPr>
        <w:t xml:space="preserve"> պարզեցված գրանցման ընթացակարգի համար հայտագրված հոմեոպաթիկ դեղապատրաստուկների բժշկական կիրառման հրահանգի (ներդիր թերթիկի) մեկ կամ ավելի մակետներ.</w:t>
      </w:r>
    </w:p>
    <w:p w14:paraId="0A0445E9" w14:textId="77777777" w:rsidR="006F76EB" w:rsidRPr="00834D52" w:rsidRDefault="006F76EB" w:rsidP="002F1C6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դոսյե՝ հոմեոպաթիկ դեղագործական բաղադրամասի, հումքի կամ հումքի տեսակների ստացման </w:t>
      </w:r>
      <w:r w:rsidR="00C54D75">
        <w:rPr>
          <w:rFonts w:ascii="Sylfaen" w:hAnsi="Sylfaen"/>
          <w:sz w:val="24"/>
          <w:szCs w:val="24"/>
        </w:rPr>
        <w:t>և</w:t>
      </w:r>
      <w:r w:rsidRPr="00834D52">
        <w:rPr>
          <w:rFonts w:ascii="Sylfaen" w:hAnsi="Sylfaen"/>
          <w:sz w:val="24"/>
          <w:szCs w:val="24"/>
        </w:rPr>
        <w:t xml:space="preserve"> հսկողության եղանակի նկարագրությամբ, համապատասխան մատենագիտության հիման վրա հոմեոպաթիկ օգտագործման հիմնավորում.</w:t>
      </w:r>
    </w:p>
    <w:p w14:paraId="60FAA7A0" w14:textId="77777777" w:rsidR="006F76EB" w:rsidRPr="00834D52" w:rsidRDefault="006F76EB" w:rsidP="002F1C6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յուրաքանչյուր դեղաձ</w:t>
      </w:r>
      <w:r w:rsidR="00C54D75">
        <w:rPr>
          <w:rFonts w:ascii="Sylfaen" w:hAnsi="Sylfaen"/>
          <w:sz w:val="24"/>
          <w:szCs w:val="24"/>
        </w:rPr>
        <w:t>և</w:t>
      </w:r>
      <w:r w:rsidRPr="00834D52">
        <w:rPr>
          <w:rFonts w:ascii="Sylfaen" w:hAnsi="Sylfaen"/>
          <w:sz w:val="24"/>
          <w:szCs w:val="24"/>
        </w:rPr>
        <w:t xml:space="preserve">ի արտադրության </w:t>
      </w:r>
      <w:r w:rsidR="00C54D75">
        <w:rPr>
          <w:rFonts w:ascii="Sylfaen" w:hAnsi="Sylfaen"/>
          <w:sz w:val="24"/>
          <w:szCs w:val="24"/>
        </w:rPr>
        <w:t>և</w:t>
      </w:r>
      <w:r w:rsidRPr="00834D52">
        <w:rPr>
          <w:rFonts w:ascii="Sylfaen" w:hAnsi="Sylfaen"/>
          <w:sz w:val="24"/>
          <w:szCs w:val="24"/>
        </w:rPr>
        <w:t xml:space="preserve"> հսկողության նկարագրություն, սանդղակի, նոսրացման (պոտենցման) եղանակի նկարագրություն.</w:t>
      </w:r>
    </w:p>
    <w:p w14:paraId="0AFD96DF" w14:textId="77777777" w:rsidR="006F76EB" w:rsidRPr="00834D52" w:rsidRDefault="006F76EB" w:rsidP="002F1C6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դեղամիջոցների արտադրության լիցենզիա </w:t>
      </w:r>
      <w:r w:rsidR="00C54D75">
        <w:rPr>
          <w:rFonts w:ascii="Sylfaen" w:hAnsi="Sylfaen"/>
          <w:sz w:val="24"/>
          <w:szCs w:val="24"/>
        </w:rPr>
        <w:t>և</w:t>
      </w:r>
      <w:r w:rsidRPr="00834D52">
        <w:rPr>
          <w:rFonts w:ascii="Sylfaen" w:hAnsi="Sylfaen"/>
          <w:sz w:val="24"/>
          <w:szCs w:val="24"/>
        </w:rPr>
        <w:t xml:space="preserve"> Միության պատշաճ արտադրական գործունեության կանոններին համապատասխանությունը հաստատող փաստաթուղթ.</w:t>
      </w:r>
    </w:p>
    <w:p w14:paraId="3D919226" w14:textId="77777777" w:rsidR="006F76EB" w:rsidRPr="00834D52" w:rsidRDefault="006F76EB" w:rsidP="002F1C6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այլ երկրներում ստացված՝ պարզեցված ընթացակարգով դեղապատրաստուկի գրանցման մասին վկայականների պատճեններ.</w:t>
      </w:r>
    </w:p>
    <w:p w14:paraId="14A08AEF" w14:textId="77777777" w:rsidR="006F76EB" w:rsidRPr="002F1C69" w:rsidRDefault="006F76EB" w:rsidP="002F1C69">
      <w:pPr>
        <w:spacing w:after="160" w:line="360" w:lineRule="auto"/>
        <w:ind w:right="-8" w:firstLine="567"/>
        <w:jc w:val="both"/>
        <w:rPr>
          <w:rFonts w:ascii="Sylfaen" w:hAnsi="Sylfaen"/>
          <w:sz w:val="24"/>
          <w:szCs w:val="24"/>
        </w:rPr>
      </w:pPr>
      <w:r w:rsidRPr="00834D52">
        <w:rPr>
          <w:rFonts w:ascii="Sylfaen" w:hAnsi="Sylfaen"/>
          <w:sz w:val="24"/>
          <w:szCs w:val="24"/>
        </w:rPr>
        <w:t>հոմեոպաթիկ դեղապատրաստուկի կայունության վերաբերյալ տվյալներ:</w:t>
      </w:r>
    </w:p>
    <w:p w14:paraId="6DFE9F1B" w14:textId="77777777" w:rsidR="00C968AE" w:rsidRPr="002F1C69" w:rsidRDefault="00C968AE" w:rsidP="005176C6">
      <w:pPr>
        <w:spacing w:after="160" w:line="360" w:lineRule="auto"/>
        <w:ind w:right="-8" w:firstLine="567"/>
        <w:jc w:val="center"/>
        <w:rPr>
          <w:rFonts w:ascii="Sylfaen" w:eastAsia="Times New Roman" w:hAnsi="Sylfaen" w:cs="Times New Roman"/>
          <w:sz w:val="24"/>
          <w:szCs w:val="24"/>
        </w:rPr>
      </w:pPr>
    </w:p>
    <w:p w14:paraId="5C2AB60F" w14:textId="77777777" w:rsidR="006F76EB" w:rsidRPr="00834D52" w:rsidRDefault="006F76EB" w:rsidP="002F1C69">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t>15. Դեղաբուսական պատրաստուկ</w:t>
      </w:r>
    </w:p>
    <w:p w14:paraId="6D9742F9"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Դեղաբուսական պատրաստուկների գրանցման համար գրանցման դոսյեն ներկայացվում է սույն բաժնի պահանջներին համապատասխան:</w:t>
      </w:r>
    </w:p>
    <w:p w14:paraId="5EF14F61" w14:textId="77777777" w:rsidR="006F76EB" w:rsidRPr="00834D52" w:rsidRDefault="006F76EB" w:rsidP="002154F6">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15.1.</w:t>
      </w:r>
      <w:r w:rsidRPr="00834D52">
        <w:rPr>
          <w:rFonts w:ascii="Sylfaen" w:hAnsi="Sylfaen"/>
          <w:sz w:val="24"/>
          <w:szCs w:val="24"/>
        </w:rPr>
        <w:tab/>
        <w:t>Մոդուլ 3.</w:t>
      </w:r>
    </w:p>
    <w:p w14:paraId="6A7F1F11"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Դեղաբուսական պատրաստուկները գրանցելիս պետք է կիրառվեն սույն հավելվածի I մասի 3-րդ բաժնում նշված՝ 3-րդ մոդուլին ներկայացվող պահանջները, ներառյալ՝ Եվրասիական տնտեսական միության դեղագրքի դեղագրքային հոդվածներին (մենագրություններին) կամ անդամ պետությունների դեղագրքերին համապատասխանության անհրաժեշտությունը: Անհրաժեշտ է հաշվի առնել հայտը ներկայացնելու օրվա մասին առկա գիտական տեղեկությունները:</w:t>
      </w:r>
    </w:p>
    <w:p w14:paraId="29D7BF6C" w14:textId="77777777" w:rsidR="006F76EB" w:rsidRPr="00834D52" w:rsidRDefault="006F76EB" w:rsidP="00E902EF">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15.1.1.</w:t>
      </w:r>
      <w:r w:rsidRPr="00834D52">
        <w:rPr>
          <w:rFonts w:ascii="Sylfaen" w:hAnsi="Sylfaen"/>
          <w:sz w:val="24"/>
          <w:szCs w:val="24"/>
        </w:rPr>
        <w:tab/>
        <w:t>Բուսական ծագման բաղադրամասեր.</w:t>
      </w:r>
    </w:p>
    <w:p w14:paraId="54D74975"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Սույն հավելվածի շրջանակներում «բուսական ծագման դեղագործական բաղադրամասը» ընդհանուր հասկացություն է՝ իր մեջ ներառելով «դեղաբուսական հումք» </w:t>
      </w:r>
      <w:r w:rsidR="00C54D75">
        <w:rPr>
          <w:rFonts w:ascii="Sylfaen" w:hAnsi="Sylfaen"/>
          <w:sz w:val="24"/>
          <w:szCs w:val="24"/>
        </w:rPr>
        <w:t>և</w:t>
      </w:r>
      <w:r w:rsidRPr="00834D52">
        <w:rPr>
          <w:rFonts w:ascii="Sylfaen" w:hAnsi="Sylfaen"/>
          <w:sz w:val="24"/>
          <w:szCs w:val="24"/>
        </w:rPr>
        <w:t xml:space="preserve"> «դեղաբուսական հումքից ստացված արտադրանք» հասկացությունները:</w:t>
      </w:r>
    </w:p>
    <w:p w14:paraId="6229E252"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Դեղաբուսական հումքը մանրացնելուց հետո ստացված բուսական ծագման դեղագործական բաղադրամասի համար անհրաժեշտ է նշել ստացման աղբյուր հանդիսացող բույսի կենսաանվանական գիտական անվանումը` ցեղային </w:t>
      </w:r>
      <w:r w:rsidR="00C54D75">
        <w:rPr>
          <w:rFonts w:ascii="Sylfaen" w:hAnsi="Sylfaen"/>
          <w:sz w:val="24"/>
          <w:szCs w:val="24"/>
        </w:rPr>
        <w:t>և</w:t>
      </w:r>
      <w:r w:rsidRPr="00834D52">
        <w:rPr>
          <w:rFonts w:ascii="Sylfaen" w:hAnsi="Sylfaen"/>
          <w:sz w:val="24"/>
          <w:szCs w:val="24"/>
        </w:rPr>
        <w:t xml:space="preserve"> տեսակային, տարատեսակությունը </w:t>
      </w:r>
      <w:r w:rsidR="00C54D75">
        <w:rPr>
          <w:rFonts w:ascii="Sylfaen" w:hAnsi="Sylfaen"/>
          <w:sz w:val="24"/>
          <w:szCs w:val="24"/>
        </w:rPr>
        <w:t>և</w:t>
      </w:r>
      <w:r w:rsidRPr="00834D52">
        <w:rPr>
          <w:rFonts w:ascii="Sylfaen" w:hAnsi="Sylfaen"/>
          <w:sz w:val="24"/>
          <w:szCs w:val="24"/>
        </w:rPr>
        <w:t xml:space="preserve"> հեղինակների անունները լատիներենով, քեմոտիպը (անհրաժեշտության դեպքում), ծագման աղբյուրը (վայրի կամ մշակովի), ստացման աղբյուր հանդիսացող բույսի մորֆոլոգիական խումբը, բուսական ծագման բաղադրամասի անվանումը (սահմանումը):</w:t>
      </w:r>
    </w:p>
    <w:p w14:paraId="7BDC554D"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Տարբեր եղանակներով (լուծամզում, թորում, մզում, թորզատում, մաքրում, խտացում, խմորում </w:t>
      </w:r>
      <w:r w:rsidR="00C54D75">
        <w:rPr>
          <w:rFonts w:ascii="Sylfaen" w:hAnsi="Sylfaen"/>
          <w:sz w:val="24"/>
          <w:szCs w:val="24"/>
        </w:rPr>
        <w:t>և</w:t>
      </w:r>
      <w:r w:rsidRPr="00834D52">
        <w:rPr>
          <w:rFonts w:ascii="Sylfaen" w:hAnsi="Sylfaen"/>
          <w:sz w:val="24"/>
          <w:szCs w:val="24"/>
        </w:rPr>
        <w:t xml:space="preserve"> այլն) դեղաբուսական հումքի մշակումից հետո ստացված բուսական ծագման դեղագործական բաղադրամասի համար անհրաժեշտ է նշել ստացման աղբյուր հանդիսացող բույսի կենսանվանական գիտական անվանումը. ցեղային </w:t>
      </w:r>
      <w:r w:rsidR="00C54D75">
        <w:rPr>
          <w:rFonts w:ascii="Sylfaen" w:hAnsi="Sylfaen"/>
          <w:sz w:val="24"/>
          <w:szCs w:val="24"/>
        </w:rPr>
        <w:t>և</w:t>
      </w:r>
      <w:r w:rsidRPr="00834D52">
        <w:rPr>
          <w:rFonts w:ascii="Sylfaen" w:hAnsi="Sylfaen"/>
          <w:sz w:val="24"/>
          <w:szCs w:val="24"/>
        </w:rPr>
        <w:t xml:space="preserve"> տեսակային, տարատեսակությունը </w:t>
      </w:r>
      <w:r w:rsidR="00C54D75">
        <w:rPr>
          <w:rFonts w:ascii="Sylfaen" w:hAnsi="Sylfaen"/>
          <w:sz w:val="24"/>
          <w:szCs w:val="24"/>
        </w:rPr>
        <w:t>և</w:t>
      </w:r>
      <w:r w:rsidRPr="00834D52">
        <w:rPr>
          <w:rFonts w:ascii="Sylfaen" w:hAnsi="Sylfaen"/>
          <w:sz w:val="24"/>
          <w:szCs w:val="24"/>
        </w:rPr>
        <w:t xml:space="preserve"> հեղինակների անունները լատիներենով, քեմոտիպը (անհրաժեշտության դեպքում), ծագման աղբյուրը (վայրի կամ մշակովի), ստացման աղբյուր հանդիսացող բույսի մորֆոլոգիական խումբը, բուսական ծագման բաղադրամասի անվանումը (սահմանումը):</w:t>
      </w:r>
    </w:p>
    <w:p w14:paraId="4EC1724B"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«Կառուցվածք» բաժինը դեղաբուսական հումքը մանրացնելուց հետո ստացված բուսական ծագման դեղագործական բաղադրամասի համար ներառում է </w:t>
      </w:r>
      <w:r w:rsidRPr="00834D52">
        <w:rPr>
          <w:rFonts w:ascii="Sylfaen" w:hAnsi="Sylfaen"/>
          <w:sz w:val="24"/>
          <w:szCs w:val="24"/>
        </w:rPr>
        <w:lastRenderedPageBreak/>
        <w:t xml:space="preserve">դրա կատեգորիայի նշումը (ամբողջական, մանրացված, փոշի), տարբեր եղանակներով (լուծամզում, թորում, մզում, թորզատում, մաքրում, խտացում, խմորում </w:t>
      </w:r>
      <w:r w:rsidR="00C54D75">
        <w:rPr>
          <w:rFonts w:ascii="Sylfaen" w:hAnsi="Sylfaen"/>
          <w:sz w:val="24"/>
          <w:szCs w:val="24"/>
        </w:rPr>
        <w:t>և</w:t>
      </w:r>
      <w:r w:rsidRPr="00834D52">
        <w:rPr>
          <w:rFonts w:ascii="Sylfaen" w:hAnsi="Sylfaen"/>
          <w:sz w:val="24"/>
          <w:szCs w:val="24"/>
        </w:rPr>
        <w:t xml:space="preserve"> այլն) դեղաբուսական հումքը մշակելուց հետո ստացված բուսական ծագման դեղագործական բաղադրամասի համար՝ ագրեգատային (ֆիզիկական) վիճակի նշումը (օրինակ՝ չոր, խիտ, հեղուկ լուծամզվածք), ինչպես նա</w:t>
      </w:r>
      <w:r w:rsidR="00C54D75">
        <w:rPr>
          <w:rFonts w:ascii="Sylfaen" w:hAnsi="Sylfaen"/>
          <w:sz w:val="24"/>
          <w:szCs w:val="24"/>
        </w:rPr>
        <w:t>և</w:t>
      </w:r>
      <w:r w:rsidRPr="00834D52">
        <w:rPr>
          <w:rFonts w:ascii="Sylfaen" w:hAnsi="Sylfaen"/>
          <w:sz w:val="24"/>
          <w:szCs w:val="24"/>
        </w:rPr>
        <w:t xml:space="preserve"> հայտնի թերապ</w:t>
      </w:r>
      <w:r w:rsidR="00C54D75">
        <w:rPr>
          <w:rFonts w:ascii="Sylfaen" w:hAnsi="Sylfaen"/>
          <w:sz w:val="24"/>
          <w:szCs w:val="24"/>
        </w:rPr>
        <w:t>և</w:t>
      </w:r>
      <w:r w:rsidRPr="00834D52">
        <w:rPr>
          <w:rFonts w:ascii="Sylfaen" w:hAnsi="Sylfaen"/>
          <w:sz w:val="24"/>
          <w:szCs w:val="24"/>
        </w:rPr>
        <w:t>տիկ ազդեցությամբ բաղադրիչների նկարագրությունը կամ մարկերները (մոլեկուլային բանաձ</w:t>
      </w:r>
      <w:r w:rsidR="00C54D75">
        <w:rPr>
          <w:rFonts w:ascii="Sylfaen" w:hAnsi="Sylfaen"/>
          <w:sz w:val="24"/>
          <w:szCs w:val="24"/>
        </w:rPr>
        <w:t>և</w:t>
      </w:r>
      <w:r w:rsidRPr="00834D52">
        <w:rPr>
          <w:rFonts w:ascii="Sylfaen" w:hAnsi="Sylfaen"/>
          <w:sz w:val="24"/>
          <w:szCs w:val="24"/>
        </w:rPr>
        <w:t>, հարաբերական մոլեկուլային զանգված, կառուցվածքային բանաձ</w:t>
      </w:r>
      <w:r w:rsidR="00C54D75">
        <w:rPr>
          <w:rFonts w:ascii="Sylfaen" w:hAnsi="Sylfaen"/>
          <w:sz w:val="24"/>
          <w:szCs w:val="24"/>
        </w:rPr>
        <w:t>և</w:t>
      </w:r>
      <w:r w:rsidRPr="00834D52">
        <w:rPr>
          <w:rFonts w:ascii="Sylfaen" w:hAnsi="Sylfaen"/>
          <w:sz w:val="24"/>
          <w:szCs w:val="24"/>
        </w:rPr>
        <w:t xml:space="preserve">, ներառյալ՝ հարաբերական </w:t>
      </w:r>
      <w:r w:rsidR="00C54D75">
        <w:rPr>
          <w:rFonts w:ascii="Sylfaen" w:hAnsi="Sylfaen"/>
          <w:sz w:val="24"/>
          <w:szCs w:val="24"/>
        </w:rPr>
        <w:t>և</w:t>
      </w:r>
      <w:r w:rsidRPr="00834D52">
        <w:rPr>
          <w:rFonts w:ascii="Sylfaen" w:hAnsi="Sylfaen"/>
          <w:sz w:val="24"/>
          <w:szCs w:val="24"/>
        </w:rPr>
        <w:t xml:space="preserve"> բացարձակ տարածական կառուցվածքը, մոլեկուլային բանաձ</w:t>
      </w:r>
      <w:r w:rsidR="00C54D75">
        <w:rPr>
          <w:rFonts w:ascii="Sylfaen" w:hAnsi="Sylfaen"/>
          <w:sz w:val="24"/>
          <w:szCs w:val="24"/>
        </w:rPr>
        <w:t>և</w:t>
      </w:r>
      <w:r w:rsidRPr="00834D52">
        <w:rPr>
          <w:rFonts w:ascii="Sylfaen" w:hAnsi="Sylfaen"/>
          <w:sz w:val="24"/>
          <w:szCs w:val="24"/>
        </w:rPr>
        <w:t xml:space="preserve">ը </w:t>
      </w:r>
      <w:r w:rsidR="00C54D75">
        <w:rPr>
          <w:rFonts w:ascii="Sylfaen" w:hAnsi="Sylfaen"/>
          <w:sz w:val="24"/>
          <w:szCs w:val="24"/>
        </w:rPr>
        <w:t>և</w:t>
      </w:r>
      <w:r w:rsidRPr="00834D52">
        <w:rPr>
          <w:rFonts w:ascii="Sylfaen" w:hAnsi="Sylfaen"/>
          <w:sz w:val="24"/>
          <w:szCs w:val="24"/>
        </w:rPr>
        <w:t xml:space="preserve"> հարաբերական մոլեկուլային զանգվածը) </w:t>
      </w:r>
      <w:r w:rsidR="00C54D75">
        <w:rPr>
          <w:rFonts w:ascii="Sylfaen" w:hAnsi="Sylfaen"/>
          <w:sz w:val="24"/>
          <w:szCs w:val="24"/>
        </w:rPr>
        <w:t>և</w:t>
      </w:r>
      <w:r w:rsidRPr="00834D52">
        <w:rPr>
          <w:rFonts w:ascii="Sylfaen" w:hAnsi="Sylfaen"/>
          <w:sz w:val="24"/>
          <w:szCs w:val="24"/>
        </w:rPr>
        <w:t xml:space="preserve"> այլ բաղադրիչներ:</w:t>
      </w:r>
    </w:p>
    <w:p w14:paraId="6E4A82E2"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Դեղաբուսական հումքի արտադրողի մասին բաժինը պետք է պարունակի հետ</w:t>
      </w:r>
      <w:r w:rsidR="00C54D75">
        <w:rPr>
          <w:rFonts w:ascii="Sylfaen" w:hAnsi="Sylfaen"/>
          <w:sz w:val="24"/>
          <w:szCs w:val="24"/>
        </w:rPr>
        <w:t>և</w:t>
      </w:r>
      <w:r w:rsidRPr="00834D52">
        <w:rPr>
          <w:rFonts w:ascii="Sylfaen" w:hAnsi="Sylfaen"/>
          <w:sz w:val="24"/>
          <w:szCs w:val="24"/>
        </w:rPr>
        <w:t xml:space="preserve">յալ տեղեկությունները՝ յուրաքանչյուր մատակարարի անվանումը, հասցեն </w:t>
      </w:r>
      <w:r w:rsidR="00C54D75">
        <w:rPr>
          <w:rFonts w:ascii="Sylfaen" w:hAnsi="Sylfaen"/>
          <w:sz w:val="24"/>
          <w:szCs w:val="24"/>
        </w:rPr>
        <w:t>և</w:t>
      </w:r>
      <w:r w:rsidRPr="00834D52">
        <w:rPr>
          <w:rFonts w:ascii="Sylfaen" w:hAnsi="Sylfaen"/>
          <w:sz w:val="24"/>
          <w:szCs w:val="24"/>
        </w:rPr>
        <w:t xml:space="preserve"> պատասխանատվությունը, դեղաբուսական հումքի մթերման (արտադրության) </w:t>
      </w:r>
      <w:r w:rsidR="00C54D75">
        <w:rPr>
          <w:rFonts w:ascii="Sylfaen" w:hAnsi="Sylfaen"/>
          <w:sz w:val="24"/>
          <w:szCs w:val="24"/>
        </w:rPr>
        <w:t>և</w:t>
      </w:r>
      <w:r w:rsidRPr="00834D52">
        <w:rPr>
          <w:rFonts w:ascii="Sylfaen" w:hAnsi="Sylfaen"/>
          <w:sz w:val="24"/>
          <w:szCs w:val="24"/>
        </w:rPr>
        <w:t xml:space="preserve"> որակի հսկողության գործում ներգրավված յուրաքանչյուր արտադրական տեղամասը կամ լաբորատորիան:</w:t>
      </w:r>
    </w:p>
    <w:p w14:paraId="3B8BF790" w14:textId="77777777" w:rsidR="006F76EB" w:rsidRPr="00834D52" w:rsidRDefault="006F76EB" w:rsidP="00E902EF">
      <w:pPr>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Դեղաբուսական հումքից ստացված արտադրանքի արտադրողի մասին բաժինը պետք է պարունակի հետ</w:t>
      </w:r>
      <w:r w:rsidR="00C54D75">
        <w:rPr>
          <w:rFonts w:ascii="Sylfaen" w:hAnsi="Sylfaen"/>
          <w:sz w:val="24"/>
          <w:szCs w:val="24"/>
        </w:rPr>
        <w:t>և</w:t>
      </w:r>
      <w:r w:rsidRPr="00834D52">
        <w:rPr>
          <w:rFonts w:ascii="Sylfaen" w:hAnsi="Sylfaen"/>
          <w:sz w:val="24"/>
          <w:szCs w:val="24"/>
        </w:rPr>
        <w:t xml:space="preserve">յալ տեղեկությունները՝ յուրաքանչյուր մատակարարի անվանումը, հասցեն </w:t>
      </w:r>
      <w:r w:rsidR="00C54D75">
        <w:rPr>
          <w:rFonts w:ascii="Sylfaen" w:hAnsi="Sylfaen"/>
          <w:sz w:val="24"/>
          <w:szCs w:val="24"/>
        </w:rPr>
        <w:t>և</w:t>
      </w:r>
      <w:r w:rsidRPr="00834D52">
        <w:rPr>
          <w:rFonts w:ascii="Sylfaen" w:hAnsi="Sylfaen"/>
          <w:sz w:val="24"/>
          <w:szCs w:val="24"/>
        </w:rPr>
        <w:t xml:space="preserve"> պատասխանատվությունը, դեղաբուսական հումքից ստացված արտադրանքի արտադրության </w:t>
      </w:r>
      <w:r w:rsidR="00C54D75">
        <w:rPr>
          <w:rFonts w:ascii="Sylfaen" w:hAnsi="Sylfaen"/>
          <w:sz w:val="24"/>
          <w:szCs w:val="24"/>
        </w:rPr>
        <w:t>և</w:t>
      </w:r>
      <w:r w:rsidRPr="00834D52">
        <w:rPr>
          <w:rFonts w:ascii="Sylfaen" w:hAnsi="Sylfaen"/>
          <w:sz w:val="24"/>
          <w:szCs w:val="24"/>
        </w:rPr>
        <w:t xml:space="preserve"> որակի հսկողության գործում ներգրավված յուրաքանչյուր արտադրական տեղամասը կամ լաբորատորիան :</w:t>
      </w:r>
    </w:p>
    <w:p w14:paraId="03A512AD" w14:textId="77777777" w:rsidR="006F76EB" w:rsidRPr="0030798D" w:rsidRDefault="006F76EB" w:rsidP="00E902EF">
      <w:pPr>
        <w:spacing w:after="160" w:line="348" w:lineRule="auto"/>
        <w:ind w:right="-8" w:firstLine="567"/>
        <w:jc w:val="both"/>
        <w:rPr>
          <w:rFonts w:ascii="Sylfaen" w:eastAsia="Times New Roman" w:hAnsi="Sylfaen" w:cs="Times New Roman"/>
          <w:spacing w:val="-6"/>
          <w:sz w:val="24"/>
          <w:szCs w:val="24"/>
        </w:rPr>
      </w:pPr>
      <w:r w:rsidRPr="00834D52">
        <w:rPr>
          <w:rFonts w:ascii="Sylfaen" w:hAnsi="Sylfaen"/>
          <w:sz w:val="24"/>
          <w:szCs w:val="24"/>
        </w:rPr>
        <w:t>«</w:t>
      </w:r>
      <w:r w:rsidRPr="0030798D">
        <w:rPr>
          <w:rFonts w:ascii="Sylfaen" w:hAnsi="Sylfaen"/>
          <w:spacing w:val="-6"/>
          <w:sz w:val="24"/>
          <w:szCs w:val="24"/>
        </w:rPr>
        <w:t xml:space="preserve">Արտադրական պրոցեսի </w:t>
      </w:r>
      <w:r w:rsidR="00C54D75">
        <w:rPr>
          <w:rFonts w:ascii="Sylfaen" w:hAnsi="Sylfaen"/>
          <w:spacing w:val="-6"/>
          <w:sz w:val="24"/>
          <w:szCs w:val="24"/>
        </w:rPr>
        <w:t>և</w:t>
      </w:r>
      <w:r w:rsidRPr="0030798D">
        <w:rPr>
          <w:rFonts w:ascii="Sylfaen" w:hAnsi="Sylfaen"/>
          <w:spacing w:val="-6"/>
          <w:sz w:val="24"/>
          <w:szCs w:val="24"/>
        </w:rPr>
        <w:t xml:space="preserve"> դրա հսկողության նկարագրություն» բաժինը դեղաբուսական հումքի համար պետք է պարունակի վայրի կամ մշակովի դեղաբուսական հումքի (դեղաբույսի աշխարհագրական աղբյուր, մշակման պրոցեսի նկարագրություն) մթերման պրոցեսի մասին տեղեկություններ ու դրա հետագա մշակման եղանակները (հավաքում, չորացում) </w:t>
      </w:r>
      <w:r w:rsidR="00C54D75">
        <w:rPr>
          <w:rFonts w:ascii="Sylfaen" w:hAnsi="Sylfaen"/>
          <w:spacing w:val="-6"/>
          <w:sz w:val="24"/>
          <w:szCs w:val="24"/>
        </w:rPr>
        <w:t>և</w:t>
      </w:r>
      <w:r w:rsidRPr="0030798D">
        <w:rPr>
          <w:rFonts w:ascii="Sylfaen" w:hAnsi="Sylfaen"/>
          <w:spacing w:val="-6"/>
          <w:sz w:val="24"/>
          <w:szCs w:val="24"/>
        </w:rPr>
        <w:t xml:space="preserve"> պահպանման պայմանները: Դեղաբուսական հումքից ստացված արտադրանքի համար անհրաժեշտ է ներկայացնել արտադրանքի ստացման արտադրական պրոցեսի վերաբերյալ տեղեկություններ, ներառյալ՝ մշակման, լուծիչների </w:t>
      </w:r>
      <w:r w:rsidR="00C54D75">
        <w:rPr>
          <w:rFonts w:ascii="Sylfaen" w:hAnsi="Sylfaen"/>
          <w:spacing w:val="-6"/>
          <w:sz w:val="24"/>
          <w:szCs w:val="24"/>
        </w:rPr>
        <w:t>և</w:t>
      </w:r>
      <w:r w:rsidRPr="0030798D">
        <w:rPr>
          <w:rFonts w:ascii="Sylfaen" w:hAnsi="Sylfaen"/>
          <w:spacing w:val="-6"/>
          <w:sz w:val="24"/>
          <w:szCs w:val="24"/>
        </w:rPr>
        <w:t xml:space="preserve"> ռեագենտների, մաքրման </w:t>
      </w:r>
      <w:r w:rsidR="00C54D75">
        <w:rPr>
          <w:rFonts w:ascii="Sylfaen" w:hAnsi="Sylfaen"/>
          <w:spacing w:val="-6"/>
          <w:sz w:val="24"/>
          <w:szCs w:val="24"/>
        </w:rPr>
        <w:t>և</w:t>
      </w:r>
      <w:r w:rsidRPr="0030798D">
        <w:rPr>
          <w:rFonts w:ascii="Sylfaen" w:hAnsi="Sylfaen"/>
          <w:spacing w:val="-6"/>
          <w:sz w:val="24"/>
          <w:szCs w:val="24"/>
        </w:rPr>
        <w:t xml:space="preserve"> ստանդարտացման փուլերի նկարագրությունը (անհրաժեշտության դեպքում):</w:t>
      </w:r>
    </w:p>
    <w:p w14:paraId="6ECA35A3"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Արտադրական պրոցեսի մշակման առնչությամբ անհրաժեշտ է ներկայացնել ռեզյումե, որի մեջ նկարագրվում է բուսական սուբստանցիայի մշակումը: Դեղաբուսական հումքից ստացված արտադրանքի արտադրական պրոցեսի մշակման առնչությամբ անհրաժեշտ է ներկայացնել ռեզյումե, որի մեջ նկարագրվում է արտադրանքի մշակումը` հաշվի առնելով դեղաբուսական պատրաստուկի ներմուծման ենթադրվող եղանակը </w:t>
      </w:r>
      <w:r w:rsidR="00C54D75">
        <w:rPr>
          <w:rFonts w:ascii="Sylfaen" w:hAnsi="Sylfaen"/>
          <w:sz w:val="24"/>
          <w:szCs w:val="24"/>
        </w:rPr>
        <w:t>և</w:t>
      </w:r>
      <w:r w:rsidRPr="00834D52">
        <w:rPr>
          <w:rFonts w:ascii="Sylfaen" w:hAnsi="Sylfaen"/>
          <w:sz w:val="24"/>
          <w:szCs w:val="24"/>
        </w:rPr>
        <w:t xml:space="preserve"> դրա բժշկական կիրառումը: Անհրաժեշտ է դիտարկել դեղաբուսական հումքի </w:t>
      </w:r>
      <w:r w:rsidR="00C54D75">
        <w:rPr>
          <w:rFonts w:ascii="Sylfaen" w:hAnsi="Sylfaen"/>
          <w:sz w:val="24"/>
          <w:szCs w:val="24"/>
        </w:rPr>
        <w:t>և</w:t>
      </w:r>
      <w:r w:rsidRPr="00834D52">
        <w:rPr>
          <w:rFonts w:ascii="Sylfaen" w:hAnsi="Sylfaen"/>
          <w:sz w:val="24"/>
          <w:szCs w:val="24"/>
        </w:rPr>
        <w:t xml:space="preserve"> դեղաբուսական հումքից ստացված արտադրանքի համեմատական բուսաքիմիական վերլուծության արդյունքները` օգտագործելով մատենագիտական տվյալները (անհրաժեշտության դեպքում):</w:t>
      </w:r>
    </w:p>
    <w:p w14:paraId="5E78904B"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Դեղաբուսական հումքի կառուցվածքը </w:t>
      </w:r>
      <w:r w:rsidR="00C54D75">
        <w:rPr>
          <w:rFonts w:ascii="Sylfaen" w:hAnsi="Sylfaen"/>
          <w:sz w:val="24"/>
          <w:szCs w:val="24"/>
        </w:rPr>
        <w:t>և</w:t>
      </w:r>
      <w:r w:rsidRPr="00834D52">
        <w:rPr>
          <w:rFonts w:ascii="Sylfaen" w:hAnsi="Sylfaen"/>
          <w:sz w:val="24"/>
          <w:szCs w:val="24"/>
        </w:rPr>
        <w:t xml:space="preserve"> այլ բնութագրեր նկարագրելիս անհրաժեշտ է ներկայացնել բուսաբանական, մակրոսկոպիկ, միկրոսկոպիկ </w:t>
      </w:r>
      <w:r w:rsidR="00C54D75">
        <w:rPr>
          <w:rFonts w:ascii="Sylfaen" w:hAnsi="Sylfaen"/>
          <w:sz w:val="24"/>
          <w:szCs w:val="24"/>
        </w:rPr>
        <w:t>և</w:t>
      </w:r>
      <w:r w:rsidRPr="00834D52">
        <w:rPr>
          <w:rFonts w:ascii="Sylfaen" w:hAnsi="Sylfaen"/>
          <w:sz w:val="24"/>
          <w:szCs w:val="24"/>
        </w:rPr>
        <w:t xml:space="preserve"> բուսաքիմիական բնութագրերի ու կենսաբանական ակտիվության վերաբերյալ տեղեկություններ (անհրաժեշտության դեպքում):</w:t>
      </w:r>
    </w:p>
    <w:p w14:paraId="5244849B"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Դեղաբուսական հումքից ստացված արտադրանքի բաղադրությունը </w:t>
      </w:r>
      <w:r w:rsidR="00C54D75">
        <w:rPr>
          <w:rFonts w:ascii="Sylfaen" w:hAnsi="Sylfaen"/>
          <w:sz w:val="24"/>
          <w:szCs w:val="24"/>
        </w:rPr>
        <w:t>և</w:t>
      </w:r>
      <w:r w:rsidRPr="00834D52">
        <w:rPr>
          <w:rFonts w:ascii="Sylfaen" w:hAnsi="Sylfaen"/>
          <w:sz w:val="24"/>
          <w:szCs w:val="24"/>
        </w:rPr>
        <w:t xml:space="preserve"> այլ բնութագրեր նկարագրելիս անհրաժեշտ է ներկայացնել բուսական ծագման արտադրանքի բուսա- </w:t>
      </w:r>
      <w:r w:rsidR="00C54D75">
        <w:rPr>
          <w:rFonts w:ascii="Sylfaen" w:hAnsi="Sylfaen"/>
          <w:sz w:val="24"/>
          <w:szCs w:val="24"/>
        </w:rPr>
        <w:t>և</w:t>
      </w:r>
      <w:r w:rsidRPr="00834D52">
        <w:rPr>
          <w:rFonts w:ascii="Sylfaen" w:hAnsi="Sylfaen"/>
          <w:sz w:val="24"/>
          <w:szCs w:val="24"/>
        </w:rPr>
        <w:t xml:space="preserve"> ֆիզիկաքիմիական բնութագրերի </w:t>
      </w:r>
      <w:r w:rsidR="00C54D75">
        <w:rPr>
          <w:rFonts w:ascii="Sylfaen" w:hAnsi="Sylfaen"/>
          <w:sz w:val="24"/>
          <w:szCs w:val="24"/>
        </w:rPr>
        <w:t>և</w:t>
      </w:r>
      <w:r w:rsidRPr="00834D52">
        <w:rPr>
          <w:rFonts w:ascii="Sylfaen" w:hAnsi="Sylfaen"/>
          <w:sz w:val="24"/>
          <w:szCs w:val="24"/>
        </w:rPr>
        <w:t xml:space="preserve"> կենսաբանական ակտիվության վերաբերյալ տեղեկություններ (անհրաժեշտության դեպքում):</w:t>
      </w:r>
    </w:p>
    <w:p w14:paraId="29A015B6"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Հարկավոր է ներկայացնել բուսական դեղահումքի </w:t>
      </w:r>
      <w:r w:rsidR="00C54D75">
        <w:rPr>
          <w:rFonts w:ascii="Sylfaen" w:hAnsi="Sylfaen"/>
          <w:sz w:val="24"/>
          <w:szCs w:val="24"/>
        </w:rPr>
        <w:t>և</w:t>
      </w:r>
      <w:r w:rsidRPr="00834D52">
        <w:rPr>
          <w:rFonts w:ascii="Sylfaen" w:hAnsi="Sylfaen"/>
          <w:sz w:val="24"/>
          <w:szCs w:val="24"/>
        </w:rPr>
        <w:t xml:space="preserve"> բուսական դեղահումքից ստացված արտադրանքի համար մասնագրերը (անհրաժեշտության դեպքում):</w:t>
      </w:r>
    </w:p>
    <w:p w14:paraId="7D6DB411"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նշել բնական ծագման դեղագործական բաղադրամասի փորձարկման համար օգտագործվող վերլուծական մեթոդիկաները, ներկայացնել դրանց վալիդացման մասին հաշվետվություն (եթե դրանք դեղագրքային չեն), ներառյալ՝ փորձարկան համար օգտագործվող վերլուծական մեթոդիկաների համար փորձառական տվյալները:</w:t>
      </w:r>
    </w:p>
    <w:p w14:paraId="74A1DEEB" w14:textId="77777777" w:rsidR="006F76EB" w:rsidRPr="00834D52" w:rsidRDefault="006F76EB" w:rsidP="0030798D">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Սերիաների վերլուծության տվյալներն անհրաժեշտ է ներկայացնել որպես սերիաների </w:t>
      </w:r>
      <w:r w:rsidR="00C54D75">
        <w:rPr>
          <w:rFonts w:ascii="Sylfaen" w:hAnsi="Sylfaen"/>
          <w:sz w:val="24"/>
          <w:szCs w:val="24"/>
        </w:rPr>
        <w:t>և</w:t>
      </w:r>
      <w:r w:rsidRPr="00834D52">
        <w:rPr>
          <w:rFonts w:ascii="Sylfaen" w:hAnsi="Sylfaen"/>
          <w:sz w:val="24"/>
          <w:szCs w:val="24"/>
        </w:rPr>
        <w:t xml:space="preserve"> բուսական ծագման բաղադրամասերի սերիաների </w:t>
      </w:r>
      <w:r w:rsidRPr="00834D52">
        <w:rPr>
          <w:rFonts w:ascii="Sylfaen" w:hAnsi="Sylfaen"/>
          <w:sz w:val="24"/>
          <w:szCs w:val="24"/>
        </w:rPr>
        <w:lastRenderedPageBreak/>
        <w:t>վերլուծությունների այնպիսի արդյունքների նկարագրություն, որոնք ներառում են դեղագրքային սուբստանցիաների համար տվյալներ:</w:t>
      </w:r>
    </w:p>
    <w:p w14:paraId="00F1C932" w14:textId="77777777" w:rsidR="006F76EB" w:rsidRPr="00834D52" w:rsidRDefault="006F76EB" w:rsidP="00453EB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Անհրաժեշտության դեպքում հարկավոր է ներկայացնել բուսական ծագման բաղադրամասերի մասնագրերի հիմնավորումը:</w:t>
      </w:r>
    </w:p>
    <w:p w14:paraId="56C04553" w14:textId="77777777" w:rsidR="006F76EB" w:rsidRPr="00834D52" w:rsidRDefault="006F76EB" w:rsidP="00453EB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Հարկավոր է ներկայացնել բուսական ծագման բաղադրամասերի փորձարկումների համար օգտագործվող նմուշների </w:t>
      </w:r>
      <w:r w:rsidR="00C54D75">
        <w:rPr>
          <w:rFonts w:ascii="Sylfaen" w:hAnsi="Sylfaen"/>
          <w:sz w:val="24"/>
          <w:szCs w:val="24"/>
        </w:rPr>
        <w:t>և</w:t>
      </w:r>
      <w:r w:rsidRPr="00834D52">
        <w:rPr>
          <w:rFonts w:ascii="Sylfaen" w:hAnsi="Sylfaen"/>
          <w:sz w:val="24"/>
          <w:szCs w:val="24"/>
        </w:rPr>
        <w:t xml:space="preserve"> նյութերի ստանդարտների մասին տեղեկատվություն:</w:t>
      </w:r>
    </w:p>
    <w:p w14:paraId="293069E8" w14:textId="77777777" w:rsidR="006F76EB" w:rsidRPr="00834D52" w:rsidRDefault="006F76EB" w:rsidP="00453EB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Եթե բուսական ծագման բաղադրամասի վերաբերյալ մենագրությունը ներառված է Եվրոպական դեղագքրի մեջ, ապա հայտատուն կարող է ներկայացնել դեղամիջոցների որակի հարցերով Եվրոպական տնօրինության կողմից տրվող համապատասխանության սերտիֆիկատ (առկայության դեպքում):</w:t>
      </w:r>
    </w:p>
    <w:p w14:paraId="415BA5AC" w14:textId="77777777" w:rsidR="006F76EB" w:rsidRPr="00834D52" w:rsidRDefault="006F76EB" w:rsidP="00453EB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15.1.2.</w:t>
      </w:r>
      <w:r w:rsidRPr="00834D52">
        <w:rPr>
          <w:rFonts w:ascii="Sylfaen" w:hAnsi="Sylfaen"/>
          <w:sz w:val="24"/>
          <w:szCs w:val="24"/>
        </w:rPr>
        <w:tab/>
        <w:t>Դեղաբուսական պատրաստուկներ.</w:t>
      </w:r>
    </w:p>
    <w:p w14:paraId="73EFA0C1" w14:textId="77777777" w:rsidR="006F76EB" w:rsidRPr="00834D52" w:rsidRDefault="006F76EB" w:rsidP="00453EB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Բաղադրության մշակման վերաբերյալ անհրաժեշտ է ներկայացնել ռեզյումե, որի մեջ նկարագրված է դեղաբուսական պատրաստուկի մշակումը` հաշվի առնելով ներմուծման ենթադրվող ուղին </w:t>
      </w:r>
      <w:r w:rsidR="00C54D75">
        <w:rPr>
          <w:rFonts w:ascii="Sylfaen" w:hAnsi="Sylfaen"/>
          <w:sz w:val="24"/>
          <w:szCs w:val="24"/>
        </w:rPr>
        <w:t>և</w:t>
      </w:r>
      <w:r w:rsidRPr="00834D52">
        <w:rPr>
          <w:rFonts w:ascii="Sylfaen" w:hAnsi="Sylfaen"/>
          <w:sz w:val="24"/>
          <w:szCs w:val="24"/>
        </w:rPr>
        <w:t xml:space="preserve"> օգտագործումը: Անհրաժեշտ է վերլուծել հայտագրված դեղաբուսական պատրաստուկի բուսաքիմիական բաղադրության մասին տվյալներն ու մատենագիտության գիտական աղբյուրներում բերված տվյալները:</w:t>
      </w:r>
    </w:p>
    <w:p w14:paraId="4AF7142F" w14:textId="77777777" w:rsidR="006F76EB" w:rsidRPr="00834D52" w:rsidRDefault="006F76EB" w:rsidP="00E902EF">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«Արտադրական պրոցեսի </w:t>
      </w:r>
      <w:r w:rsidR="00C54D75">
        <w:rPr>
          <w:rFonts w:ascii="Sylfaen" w:hAnsi="Sylfaen"/>
          <w:sz w:val="24"/>
          <w:szCs w:val="24"/>
        </w:rPr>
        <w:t>և</w:t>
      </w:r>
      <w:r w:rsidRPr="00834D52">
        <w:rPr>
          <w:rFonts w:ascii="Sylfaen" w:hAnsi="Sylfaen"/>
          <w:sz w:val="24"/>
          <w:szCs w:val="24"/>
        </w:rPr>
        <w:t xml:space="preserve"> դրա հսկողության նկարագրություն» բաժինը դեղաբուսական պատրաստուկի համար պետք է պարունակի պատրաստուկի ստացման արտադրական պրոցեսի վերաբերյալ տեղեկություններ, ներառյալ՝ մշակման, լուծիչների </w:t>
      </w:r>
      <w:r w:rsidR="00C54D75">
        <w:rPr>
          <w:rFonts w:ascii="Sylfaen" w:hAnsi="Sylfaen"/>
          <w:sz w:val="24"/>
          <w:szCs w:val="24"/>
        </w:rPr>
        <w:t>և</w:t>
      </w:r>
      <w:r w:rsidRPr="00834D52">
        <w:rPr>
          <w:rFonts w:ascii="Sylfaen" w:hAnsi="Sylfaen"/>
          <w:sz w:val="24"/>
          <w:szCs w:val="24"/>
        </w:rPr>
        <w:t xml:space="preserve"> ռեագենտների, օժանդակ նյութերի, մաքրման </w:t>
      </w:r>
      <w:r w:rsidR="00C54D75">
        <w:rPr>
          <w:rFonts w:ascii="Sylfaen" w:hAnsi="Sylfaen"/>
          <w:sz w:val="24"/>
          <w:szCs w:val="24"/>
        </w:rPr>
        <w:t>և</w:t>
      </w:r>
      <w:r w:rsidRPr="00834D52">
        <w:rPr>
          <w:rFonts w:ascii="Sylfaen" w:hAnsi="Sylfaen"/>
          <w:sz w:val="24"/>
          <w:szCs w:val="24"/>
        </w:rPr>
        <w:t xml:space="preserve"> ստանդարտացման փուլերի նկարագրությունը (անհրաժեշտության դեպքում):</w:t>
      </w:r>
    </w:p>
    <w:p w14:paraId="03CE2386" w14:textId="77777777" w:rsidR="006F76EB" w:rsidRPr="00834D52" w:rsidRDefault="006F76EB" w:rsidP="00EE00B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15.1.3.</w:t>
      </w:r>
      <w:r w:rsidRPr="00834D52">
        <w:rPr>
          <w:rFonts w:ascii="Sylfaen" w:hAnsi="Sylfaen"/>
          <w:sz w:val="24"/>
          <w:szCs w:val="24"/>
        </w:rPr>
        <w:tab/>
        <w:t xml:space="preserve">Մոդուլներ 4 </w:t>
      </w:r>
      <w:r w:rsidR="00C54D75">
        <w:rPr>
          <w:rFonts w:ascii="Sylfaen" w:hAnsi="Sylfaen"/>
          <w:sz w:val="24"/>
          <w:szCs w:val="24"/>
        </w:rPr>
        <w:t>և</w:t>
      </w:r>
      <w:r w:rsidRPr="00834D52">
        <w:rPr>
          <w:rFonts w:ascii="Sylfaen" w:hAnsi="Sylfaen"/>
          <w:sz w:val="24"/>
          <w:szCs w:val="24"/>
        </w:rPr>
        <w:t xml:space="preserve"> 5.</w:t>
      </w:r>
    </w:p>
    <w:p w14:paraId="163573FE" w14:textId="77777777" w:rsidR="006F76EB" w:rsidRPr="00834D52" w:rsidRDefault="006F76EB" w:rsidP="00E902EF">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(թունաբանական </w:t>
      </w:r>
      <w:r w:rsidR="00C54D75">
        <w:rPr>
          <w:rFonts w:ascii="Sylfaen" w:hAnsi="Sylfaen"/>
          <w:sz w:val="24"/>
          <w:szCs w:val="24"/>
        </w:rPr>
        <w:t>և</w:t>
      </w:r>
      <w:r w:rsidRPr="00834D52">
        <w:rPr>
          <w:rFonts w:ascii="Sylfaen" w:hAnsi="Sylfaen"/>
          <w:sz w:val="24"/>
          <w:szCs w:val="24"/>
        </w:rPr>
        <w:t xml:space="preserve"> դեղաբանական) </w:t>
      </w:r>
      <w:r w:rsidR="00C54D75">
        <w:rPr>
          <w:rFonts w:ascii="Sylfaen" w:hAnsi="Sylfaen"/>
          <w:sz w:val="24"/>
          <w:szCs w:val="24"/>
        </w:rPr>
        <w:t>և</w:t>
      </w:r>
      <w:r w:rsidRPr="00834D52">
        <w:rPr>
          <w:rFonts w:ascii="Sylfaen" w:hAnsi="Sylfaen"/>
          <w:sz w:val="24"/>
          <w:szCs w:val="24"/>
        </w:rPr>
        <w:t xml:space="preserve"> կլինիկական հետազետությունների արդյունքները.</w:t>
      </w:r>
    </w:p>
    <w:p w14:paraId="1BAFA67A" w14:textId="77777777" w:rsidR="006F76EB" w:rsidRPr="00834D52" w:rsidRDefault="006F76EB" w:rsidP="006F508C">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Եթե համակցված բուսական պատրաստուկների դեպքում (ներառյալ վիտամինների </w:t>
      </w:r>
      <w:r w:rsidR="00C54D75">
        <w:rPr>
          <w:rFonts w:ascii="Sylfaen" w:hAnsi="Sylfaen"/>
          <w:sz w:val="24"/>
          <w:szCs w:val="24"/>
        </w:rPr>
        <w:t>և</w:t>
      </w:r>
      <w:r w:rsidRPr="00834D52">
        <w:rPr>
          <w:rFonts w:ascii="Sylfaen" w:hAnsi="Sylfaen"/>
          <w:sz w:val="24"/>
          <w:szCs w:val="24"/>
        </w:rPr>
        <w:t xml:space="preserve"> (կամ) հանքային նյութերի հետ համակցությունները) համակցությունների առանձին բաղադրիչներ բավարար ուսումնասիրված չեն, ապա պետք է ներկայացվեն համակցության յուրաքանչյուր առանձին բաղադրիչի մասին տվյալներ:</w:t>
      </w:r>
    </w:p>
    <w:p w14:paraId="3C924992" w14:textId="77777777" w:rsidR="006F76EB" w:rsidRPr="00834D52" w:rsidRDefault="006F76EB" w:rsidP="00EE00B2">
      <w:pPr>
        <w:tabs>
          <w:tab w:val="left" w:pos="1701"/>
        </w:tabs>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15.2.</w:t>
      </w:r>
      <w:r w:rsidRPr="00834D52">
        <w:rPr>
          <w:rFonts w:ascii="Sylfaen" w:hAnsi="Sylfaen"/>
          <w:sz w:val="24"/>
          <w:szCs w:val="24"/>
        </w:rPr>
        <w:tab/>
        <w:t>Դեղաբուսական պատրաստուկների պարզեցված գրանցման դոսյե.</w:t>
      </w:r>
    </w:p>
    <w:p w14:paraId="531D492B" w14:textId="77777777" w:rsidR="006F76EB" w:rsidRPr="00834D52" w:rsidRDefault="006F76EB" w:rsidP="006F508C">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Դեղաբուսական պատրաստուկների գրանցման համար պարզեցված գրանցման դեսյեն ներկայացվում է թուրմի, լուծամզվածքի </w:t>
      </w:r>
      <w:r w:rsidR="00C54D75">
        <w:rPr>
          <w:rFonts w:ascii="Sylfaen" w:hAnsi="Sylfaen"/>
          <w:sz w:val="24"/>
          <w:szCs w:val="24"/>
        </w:rPr>
        <w:t>և</w:t>
      </w:r>
      <w:r w:rsidRPr="00834D52">
        <w:rPr>
          <w:rFonts w:ascii="Sylfaen" w:hAnsi="Sylfaen"/>
          <w:sz w:val="24"/>
          <w:szCs w:val="24"/>
        </w:rPr>
        <w:t xml:space="preserve"> այլ դեղաձ</w:t>
      </w:r>
      <w:r w:rsidR="00C54D75">
        <w:rPr>
          <w:rFonts w:ascii="Sylfaen" w:hAnsi="Sylfaen"/>
          <w:sz w:val="24"/>
          <w:szCs w:val="24"/>
        </w:rPr>
        <w:t>և</w:t>
      </w:r>
      <w:r w:rsidRPr="00834D52">
        <w:rPr>
          <w:rFonts w:ascii="Sylfaen" w:hAnsi="Sylfaen"/>
          <w:sz w:val="24"/>
          <w:szCs w:val="24"/>
        </w:rPr>
        <w:t>երով դեղաբուսական դեղապատրաստուկների համար, ինչպես նա</w:t>
      </w:r>
      <w:r w:rsidR="00C54D75">
        <w:rPr>
          <w:rFonts w:ascii="Sylfaen" w:hAnsi="Sylfaen"/>
          <w:sz w:val="24"/>
          <w:szCs w:val="24"/>
        </w:rPr>
        <w:t>և</w:t>
      </w:r>
      <w:r w:rsidRPr="00834D52">
        <w:rPr>
          <w:rFonts w:ascii="Sylfaen" w:hAnsi="Sylfaen"/>
          <w:sz w:val="24"/>
          <w:szCs w:val="24"/>
        </w:rPr>
        <w:t xml:space="preserve"> բույսի մանրացված կամ փոշենման, կտրատած </w:t>
      </w:r>
      <w:r w:rsidR="00C54D75">
        <w:rPr>
          <w:rFonts w:ascii="Sylfaen" w:hAnsi="Sylfaen"/>
          <w:sz w:val="24"/>
          <w:szCs w:val="24"/>
        </w:rPr>
        <w:t>և</w:t>
      </w:r>
      <w:r w:rsidRPr="00834D52">
        <w:rPr>
          <w:rFonts w:ascii="Sylfaen" w:hAnsi="Sylfaen"/>
          <w:sz w:val="24"/>
          <w:szCs w:val="24"/>
        </w:rPr>
        <w:t xml:space="preserve"> մամլած մասերի համար ու այլ պատրաստուկների համար` հետ</w:t>
      </w:r>
      <w:r w:rsidR="00C54D75">
        <w:rPr>
          <w:rFonts w:ascii="Sylfaen" w:hAnsi="Sylfaen"/>
          <w:sz w:val="24"/>
          <w:szCs w:val="24"/>
        </w:rPr>
        <w:t>և</w:t>
      </w:r>
      <w:r w:rsidRPr="00834D52">
        <w:rPr>
          <w:rFonts w:ascii="Sylfaen" w:hAnsi="Sylfaen"/>
          <w:sz w:val="24"/>
          <w:szCs w:val="24"/>
        </w:rPr>
        <w:t>յալ պահանջներին հետ</w:t>
      </w:r>
      <w:r w:rsidR="00C54D75">
        <w:rPr>
          <w:rFonts w:ascii="Sylfaen" w:hAnsi="Sylfaen"/>
          <w:sz w:val="24"/>
          <w:szCs w:val="24"/>
        </w:rPr>
        <w:t>և</w:t>
      </w:r>
      <w:r w:rsidRPr="00834D52">
        <w:rPr>
          <w:rFonts w:ascii="Sylfaen" w:hAnsi="Sylfaen"/>
          <w:sz w:val="24"/>
          <w:szCs w:val="24"/>
        </w:rPr>
        <w:t xml:space="preserve">ելու դեպքում` </w:t>
      </w:r>
    </w:p>
    <w:p w14:paraId="258CDC60" w14:textId="77777777" w:rsidR="006F76EB" w:rsidRPr="00834D52" w:rsidRDefault="006F76EB" w:rsidP="006F508C">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կիրառման ցուցումները համապատասխանում են դեղաբույսի ընդհանուր ճանաչում ունեցող հատկություններին ու բաղադրությանը </w:t>
      </w:r>
      <w:r w:rsidR="00C54D75">
        <w:rPr>
          <w:rFonts w:ascii="Sylfaen" w:hAnsi="Sylfaen"/>
          <w:sz w:val="24"/>
          <w:szCs w:val="24"/>
        </w:rPr>
        <w:t>և</w:t>
      </w:r>
      <w:r w:rsidRPr="00834D52">
        <w:rPr>
          <w:rFonts w:ascii="Sylfaen" w:hAnsi="Sylfaen"/>
          <w:sz w:val="24"/>
          <w:szCs w:val="24"/>
        </w:rPr>
        <w:t xml:space="preserve"> նախատեսված են կանխարգելման կամ բուժման նպատակով առանց բժշկի հսկողության կիրառելու համար.</w:t>
      </w:r>
    </w:p>
    <w:p w14:paraId="27EF1BFA" w14:textId="77777777" w:rsidR="006F76EB" w:rsidRPr="00834D52" w:rsidRDefault="006F76EB" w:rsidP="006F508C">
      <w:pPr>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դեղապատրաստուկի ընդհանուր բնութագրով կիրառման եղանակների </w:t>
      </w:r>
      <w:r w:rsidR="00C54D75">
        <w:rPr>
          <w:rFonts w:ascii="Sylfaen" w:hAnsi="Sylfaen"/>
          <w:spacing w:val="4"/>
          <w:sz w:val="24"/>
          <w:szCs w:val="24"/>
        </w:rPr>
        <w:t>և</w:t>
      </w:r>
      <w:r w:rsidRPr="00834D52">
        <w:rPr>
          <w:rFonts w:ascii="Sylfaen" w:hAnsi="Sylfaen"/>
          <w:spacing w:val="4"/>
          <w:sz w:val="24"/>
          <w:szCs w:val="24"/>
        </w:rPr>
        <w:t xml:space="preserve"> դեղաչափերի դեպքում.</w:t>
      </w:r>
    </w:p>
    <w:p w14:paraId="1B111C24" w14:textId="77777777" w:rsidR="006F76EB" w:rsidRPr="00834D52" w:rsidRDefault="006F76EB" w:rsidP="006F508C">
      <w:pPr>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նախատեսված է ներքին ընդունման կամ արտաքին, տեղային </w:t>
      </w:r>
      <w:r w:rsidR="00C54D75">
        <w:rPr>
          <w:rFonts w:ascii="Sylfaen" w:hAnsi="Sylfaen"/>
          <w:spacing w:val="4"/>
          <w:sz w:val="24"/>
          <w:szCs w:val="24"/>
        </w:rPr>
        <w:t>և</w:t>
      </w:r>
      <w:r w:rsidRPr="00834D52">
        <w:rPr>
          <w:rFonts w:ascii="Sylfaen" w:hAnsi="Sylfaen"/>
          <w:spacing w:val="4"/>
          <w:sz w:val="24"/>
          <w:szCs w:val="24"/>
        </w:rPr>
        <w:t xml:space="preserve"> (կամ) ինհալացիայի միջոցով կիրառման համար.</w:t>
      </w:r>
    </w:p>
    <w:p w14:paraId="7A714E24" w14:textId="77777777" w:rsidR="006F76EB" w:rsidRPr="00834D52" w:rsidRDefault="006F76EB" w:rsidP="006F508C">
      <w:pPr>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դեղաբուսական պատրաստուկի կիրառման անվտանգությունը հիմնված է երկարատ</w:t>
      </w:r>
      <w:r w:rsidR="00C54D75">
        <w:rPr>
          <w:rFonts w:ascii="Sylfaen" w:hAnsi="Sylfaen"/>
          <w:spacing w:val="4"/>
          <w:sz w:val="24"/>
          <w:szCs w:val="24"/>
        </w:rPr>
        <w:t>և</w:t>
      </w:r>
      <w:r w:rsidRPr="00834D52">
        <w:rPr>
          <w:rFonts w:ascii="Sylfaen" w:hAnsi="Sylfaen"/>
          <w:spacing w:val="4"/>
          <w:sz w:val="24"/>
          <w:szCs w:val="24"/>
        </w:rPr>
        <w:t xml:space="preserve"> փորձի վրա (3-ից ոչ պակաս անդամ պետություններում դեղաբուսական պատրաստուկի առաջին սիստեմատիկ </w:t>
      </w:r>
      <w:r w:rsidR="00C54D75">
        <w:rPr>
          <w:rFonts w:ascii="Sylfaen" w:hAnsi="Sylfaen"/>
          <w:spacing w:val="4"/>
          <w:sz w:val="24"/>
          <w:szCs w:val="24"/>
        </w:rPr>
        <w:t>և</w:t>
      </w:r>
      <w:r w:rsidRPr="00834D52">
        <w:rPr>
          <w:rFonts w:ascii="Sylfaen" w:hAnsi="Sylfaen"/>
          <w:spacing w:val="4"/>
          <w:sz w:val="24"/>
          <w:szCs w:val="24"/>
        </w:rPr>
        <w:t xml:space="preserve"> փաստաթղթերով հիմնավորված կիրառման օրվանից 10 տարուց ոչ պակաս).</w:t>
      </w:r>
    </w:p>
    <w:p w14:paraId="67CFBCB4" w14:textId="77777777" w:rsidR="006F76EB" w:rsidRPr="00834D52" w:rsidRDefault="006F76EB" w:rsidP="006F508C">
      <w:pPr>
        <w:spacing w:after="160" w:line="372"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դեղաբուսական պատրաստուկի մականշվածքը </w:t>
      </w:r>
      <w:r w:rsidR="00C54D75">
        <w:rPr>
          <w:rFonts w:ascii="Sylfaen" w:hAnsi="Sylfaen"/>
          <w:spacing w:val="4"/>
          <w:sz w:val="24"/>
          <w:szCs w:val="24"/>
        </w:rPr>
        <w:t>և</w:t>
      </w:r>
      <w:r w:rsidRPr="00834D52">
        <w:rPr>
          <w:rFonts w:ascii="Sylfaen" w:hAnsi="Sylfaen"/>
          <w:spacing w:val="4"/>
          <w:sz w:val="24"/>
          <w:szCs w:val="24"/>
        </w:rPr>
        <w:t xml:space="preserve"> բժշկական կիրառման հրահանգը (ներդիր թերթիկը) պետք է պարունակեն նշումներ հետ</w:t>
      </w:r>
      <w:r w:rsidR="00C54D75">
        <w:rPr>
          <w:rFonts w:ascii="Sylfaen" w:hAnsi="Sylfaen"/>
          <w:spacing w:val="4"/>
          <w:sz w:val="24"/>
          <w:szCs w:val="24"/>
        </w:rPr>
        <w:t>և</w:t>
      </w:r>
      <w:r w:rsidRPr="00834D52">
        <w:rPr>
          <w:rFonts w:ascii="Sylfaen" w:hAnsi="Sylfaen"/>
          <w:spacing w:val="4"/>
          <w:sz w:val="24"/>
          <w:szCs w:val="24"/>
        </w:rPr>
        <w:t xml:space="preserve">յալի մասին` </w:t>
      </w:r>
    </w:p>
    <w:p w14:paraId="27872886" w14:textId="77777777" w:rsidR="006F76EB" w:rsidRPr="00834D52" w:rsidRDefault="006F76EB" w:rsidP="008406B4">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պատրաստուկը դեղաբուսական պատրաստուկ է կիրառման երկարատ</w:t>
      </w:r>
      <w:r w:rsidR="00C54D75">
        <w:rPr>
          <w:rFonts w:ascii="Sylfaen" w:hAnsi="Sylfaen"/>
          <w:spacing w:val="4"/>
          <w:sz w:val="24"/>
          <w:szCs w:val="24"/>
        </w:rPr>
        <w:t>և</w:t>
      </w:r>
      <w:r w:rsidRPr="00834D52">
        <w:rPr>
          <w:rFonts w:ascii="Sylfaen" w:hAnsi="Sylfaen"/>
          <w:spacing w:val="4"/>
          <w:sz w:val="24"/>
          <w:szCs w:val="24"/>
        </w:rPr>
        <w:t xml:space="preserve"> </w:t>
      </w:r>
      <w:r w:rsidRPr="00834D52">
        <w:rPr>
          <w:rFonts w:ascii="Sylfaen" w:hAnsi="Sylfaen"/>
          <w:spacing w:val="4"/>
          <w:sz w:val="24"/>
          <w:szCs w:val="24"/>
        </w:rPr>
        <w:lastRenderedPageBreak/>
        <w:t>փորձի հիման վրա նշված նշանակմամբ կիրառելու համար.</w:t>
      </w:r>
    </w:p>
    <w:p w14:paraId="072A5C13" w14:textId="77777777" w:rsidR="006F76EB" w:rsidRPr="00834D52" w:rsidRDefault="006F76EB" w:rsidP="008406B4">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սպառողը պետք է խորհրդակցի բժշկի կամ որակավորված բժշկական մասնագետի հետ, եթե դեղամիջոցը կիրառելիս պահպանվում են ախտանիշներ կամ նկատվում են բժշկական կիրառման հրահանգի (ներդիր թերթիկի) մեջ չնշված անցանկալի ռեակցիաներ: </w:t>
      </w:r>
    </w:p>
    <w:p w14:paraId="7F1AEBA3" w14:textId="77777777" w:rsidR="006F76EB" w:rsidRPr="00834D52" w:rsidRDefault="006F76EB" w:rsidP="008406B4">
      <w:pPr>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Դեղաբուսական պատրաստուկի բաղադրության մեջ վիտամինների </w:t>
      </w:r>
      <w:r w:rsidR="00C54D75">
        <w:rPr>
          <w:rFonts w:ascii="Sylfaen" w:hAnsi="Sylfaen"/>
          <w:spacing w:val="4"/>
          <w:sz w:val="24"/>
          <w:szCs w:val="24"/>
        </w:rPr>
        <w:t>և</w:t>
      </w:r>
      <w:r w:rsidRPr="00834D52">
        <w:rPr>
          <w:rFonts w:ascii="Sylfaen" w:hAnsi="Sylfaen"/>
          <w:spacing w:val="4"/>
          <w:sz w:val="24"/>
          <w:szCs w:val="24"/>
        </w:rPr>
        <w:t xml:space="preserve"> հանքային նյութերի առկայության դեպքում գրանցման պարզեցված ընթացակարգն անցկացվում է պայմանով, որ ներկայացված են կիրառման հայտագրված ցուցումների առնչությամբ հիմնավորված տվյալներ, որոնք ապացուցում են, որ վիտամինները կամ հանքային նյութերն ունեն բուսական ակտիվ բաղադրամասերի ազդեցությանն օժանդակող ազդեցություն:</w:t>
      </w:r>
    </w:p>
    <w:p w14:paraId="46CEC8E5" w14:textId="77777777" w:rsidR="006F76EB" w:rsidRPr="00834D52" w:rsidRDefault="006F76EB" w:rsidP="008406B4">
      <w:pPr>
        <w:tabs>
          <w:tab w:val="left" w:pos="1701"/>
        </w:tabs>
        <w:spacing w:after="160" w:line="360" w:lineRule="auto"/>
        <w:ind w:right="-6" w:firstLine="567"/>
        <w:jc w:val="both"/>
        <w:rPr>
          <w:rFonts w:ascii="Sylfaen" w:eastAsia="Times New Roman" w:hAnsi="Sylfaen" w:cs="Times New Roman"/>
          <w:spacing w:val="4"/>
          <w:sz w:val="24"/>
          <w:szCs w:val="24"/>
        </w:rPr>
      </w:pPr>
      <w:r w:rsidRPr="00834D52">
        <w:rPr>
          <w:rFonts w:ascii="Sylfaen" w:hAnsi="Sylfaen"/>
          <w:spacing w:val="4"/>
          <w:sz w:val="24"/>
          <w:szCs w:val="24"/>
        </w:rPr>
        <w:t>15.2.1.</w:t>
      </w:r>
      <w:r w:rsidRPr="00834D52">
        <w:rPr>
          <w:rFonts w:ascii="Sylfaen" w:hAnsi="Sylfaen"/>
          <w:spacing w:val="4"/>
          <w:sz w:val="24"/>
          <w:szCs w:val="24"/>
        </w:rPr>
        <w:tab/>
        <w:t>Մոդուլ 2.</w:t>
      </w:r>
    </w:p>
    <w:p w14:paraId="05FDDCA0" w14:textId="77777777" w:rsidR="006F76EB" w:rsidRPr="00834D52" w:rsidRDefault="006F76EB" w:rsidP="008406B4">
      <w:pPr>
        <w:spacing w:after="160" w:line="360" w:lineRule="auto"/>
        <w:ind w:right="-6" w:firstLine="567"/>
        <w:jc w:val="both"/>
        <w:rPr>
          <w:rFonts w:ascii="Sylfaen" w:eastAsia="Times New Roman" w:hAnsi="Sylfaen" w:cs="Times New Roman"/>
          <w:vanish/>
          <w:spacing w:val="4"/>
          <w:sz w:val="24"/>
          <w:szCs w:val="24"/>
        </w:rPr>
      </w:pPr>
      <w:r w:rsidRPr="00834D52">
        <w:rPr>
          <w:rFonts w:ascii="Sylfaen" w:hAnsi="Sylfaen"/>
          <w:spacing w:val="4"/>
          <w:sz w:val="24"/>
          <w:szCs w:val="24"/>
        </w:rPr>
        <w:t xml:space="preserve">Մատենագիտական տվյալները կամ 2.4 </w:t>
      </w:r>
      <w:r w:rsidR="00C54D75">
        <w:rPr>
          <w:rFonts w:ascii="Sylfaen" w:hAnsi="Sylfaen"/>
          <w:spacing w:val="4"/>
          <w:sz w:val="24"/>
          <w:szCs w:val="24"/>
        </w:rPr>
        <w:t>և</w:t>
      </w:r>
      <w:r w:rsidRPr="00834D52">
        <w:rPr>
          <w:rFonts w:ascii="Sylfaen" w:hAnsi="Sylfaen"/>
          <w:spacing w:val="4"/>
          <w:sz w:val="24"/>
          <w:szCs w:val="24"/>
        </w:rPr>
        <w:t xml:space="preserve"> 2.5 բաժինները պատրաստող մասնագետի եզրակացությունն այն մասին, որ դիտարկվող դեղաբուսական պատրաստուկը կամ համապատասխան պատրաստուկն օգտագործվել է բոլոր անդամ պետություններում առաջին սիստեմատիկ </w:t>
      </w:r>
      <w:r w:rsidR="00C54D75">
        <w:rPr>
          <w:rFonts w:ascii="Sylfaen" w:hAnsi="Sylfaen"/>
          <w:spacing w:val="4"/>
          <w:sz w:val="24"/>
          <w:szCs w:val="24"/>
        </w:rPr>
        <w:t>և</w:t>
      </w:r>
      <w:r w:rsidRPr="00834D52">
        <w:rPr>
          <w:rFonts w:ascii="Sylfaen" w:hAnsi="Sylfaen"/>
          <w:spacing w:val="4"/>
          <w:sz w:val="24"/>
          <w:szCs w:val="24"/>
        </w:rPr>
        <w:t xml:space="preserve"> փաստաթղթերով հիմնավորված կիրառման օրվանից 10 տարուց ոչ պակաս:</w:t>
      </w:r>
    </w:p>
    <w:p w14:paraId="77059B05" w14:textId="77777777" w:rsidR="006F76EB" w:rsidRPr="00834D52" w:rsidRDefault="006F76EB" w:rsidP="0084340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15.2.2.</w:t>
      </w:r>
      <w:r w:rsidRPr="00834D52">
        <w:rPr>
          <w:rFonts w:ascii="Sylfaen" w:hAnsi="Sylfaen"/>
          <w:sz w:val="24"/>
          <w:szCs w:val="24"/>
        </w:rPr>
        <w:tab/>
        <w:t>Պարզեցված գրանցման դոսյեի փաստաթղթերի ցանկը.</w:t>
      </w:r>
    </w:p>
    <w:p w14:paraId="2D191829" w14:textId="77777777" w:rsidR="006F76EB" w:rsidRPr="009D2161" w:rsidRDefault="006F76EB" w:rsidP="00843404">
      <w:pPr>
        <w:spacing w:after="160" w:line="360" w:lineRule="auto"/>
        <w:ind w:right="-8" w:firstLine="567"/>
        <w:jc w:val="both"/>
        <w:rPr>
          <w:rFonts w:ascii="Sylfaen" w:hAnsi="Sylfaen"/>
          <w:sz w:val="24"/>
          <w:szCs w:val="24"/>
        </w:rPr>
      </w:pPr>
      <w:r w:rsidRPr="00834D52">
        <w:rPr>
          <w:rFonts w:ascii="Sylfaen" w:hAnsi="Sylfaen"/>
          <w:sz w:val="24"/>
          <w:szCs w:val="24"/>
        </w:rPr>
        <w:t xml:space="preserve">Սերիայից սերիա պատրաստուկի դեղագործական որակը </w:t>
      </w:r>
      <w:r w:rsidR="00C54D75">
        <w:rPr>
          <w:rFonts w:ascii="Sylfaen" w:hAnsi="Sylfaen"/>
          <w:sz w:val="24"/>
          <w:szCs w:val="24"/>
        </w:rPr>
        <w:t>և</w:t>
      </w:r>
      <w:r w:rsidRPr="00834D52">
        <w:rPr>
          <w:rFonts w:ascii="Sylfaen" w:hAnsi="Sylfaen"/>
          <w:sz w:val="24"/>
          <w:szCs w:val="24"/>
        </w:rPr>
        <w:t xml:space="preserve"> համասեռությունը հաստատելու համար հայտն ուղեկցվում է 1</w:t>
      </w:r>
      <w:r>
        <w:rPr>
          <w:rFonts w:ascii="Sylfaen" w:hAnsi="Sylfaen"/>
          <w:sz w:val="24"/>
          <w:szCs w:val="24"/>
        </w:rPr>
        <w:t>-</w:t>
      </w:r>
      <w:r w:rsidRPr="00834D52">
        <w:rPr>
          <w:rFonts w:ascii="Sylfaen" w:hAnsi="Sylfaen"/>
          <w:sz w:val="24"/>
          <w:szCs w:val="24"/>
        </w:rPr>
        <w:t xml:space="preserve">3 մոդուլներից կազմված գրանցման դոսյեով` Հանձնաժողովի կողմից հաստատվող` Բժշկական կիրառման դեղապատրաստուկների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 թիվ 4 հավելվածին համապատասխան: Գրանցման դոսյեի 4-րդ </w:t>
      </w:r>
      <w:r w:rsidR="00C54D75">
        <w:rPr>
          <w:rFonts w:ascii="Sylfaen" w:hAnsi="Sylfaen"/>
          <w:sz w:val="24"/>
          <w:szCs w:val="24"/>
        </w:rPr>
        <w:t>և</w:t>
      </w:r>
      <w:r w:rsidRPr="00834D52">
        <w:rPr>
          <w:rFonts w:ascii="Sylfaen" w:hAnsi="Sylfaen"/>
          <w:sz w:val="24"/>
          <w:szCs w:val="24"/>
        </w:rPr>
        <w:t xml:space="preserve"> 5-րդ մոդուլները ձ</w:t>
      </w:r>
      <w:r w:rsidR="00C54D75">
        <w:rPr>
          <w:rFonts w:ascii="Sylfaen" w:hAnsi="Sylfaen"/>
          <w:sz w:val="24"/>
          <w:szCs w:val="24"/>
        </w:rPr>
        <w:t>և</w:t>
      </w:r>
      <w:r w:rsidRPr="00834D52">
        <w:rPr>
          <w:rFonts w:ascii="Sylfaen" w:hAnsi="Sylfaen"/>
          <w:sz w:val="24"/>
          <w:szCs w:val="24"/>
        </w:rPr>
        <w:t xml:space="preserve">ավորվում են մատենագիտական աբյուրների պատճեններով </w:t>
      </w:r>
      <w:r w:rsidR="00C54D75">
        <w:rPr>
          <w:rFonts w:ascii="Sylfaen" w:hAnsi="Sylfaen"/>
          <w:sz w:val="24"/>
          <w:szCs w:val="24"/>
        </w:rPr>
        <w:t>և</w:t>
      </w:r>
      <w:r w:rsidRPr="00834D52">
        <w:rPr>
          <w:rFonts w:ascii="Sylfaen" w:hAnsi="Sylfaen"/>
          <w:sz w:val="24"/>
          <w:szCs w:val="24"/>
        </w:rPr>
        <w:t xml:space="preserve"> այն տվյալներով, որոնց վրա են հիմնված գրանցման դոսյեի 2-րդ մոդուլի </w:t>
      </w:r>
      <w:r w:rsidRPr="00834D52">
        <w:rPr>
          <w:rFonts w:ascii="Sylfaen" w:hAnsi="Sylfaen"/>
          <w:sz w:val="24"/>
          <w:szCs w:val="24"/>
        </w:rPr>
        <w:br/>
        <w:t xml:space="preserve">2.4 </w:t>
      </w:r>
      <w:r w:rsidR="00C54D75">
        <w:rPr>
          <w:rFonts w:ascii="Sylfaen" w:hAnsi="Sylfaen"/>
          <w:sz w:val="24"/>
          <w:szCs w:val="24"/>
        </w:rPr>
        <w:t>և</w:t>
      </w:r>
      <w:r w:rsidRPr="00834D52">
        <w:rPr>
          <w:rFonts w:ascii="Sylfaen" w:hAnsi="Sylfaen"/>
          <w:sz w:val="24"/>
          <w:szCs w:val="24"/>
        </w:rPr>
        <w:t xml:space="preserve"> 2.5 բաժինների՝ մասնագետների կողմից պատրաստված տեղեկագրերը:</w:t>
      </w:r>
    </w:p>
    <w:p w14:paraId="36C0B4C9" w14:textId="77777777" w:rsidR="006F76EB" w:rsidRPr="00834D52" w:rsidRDefault="006F76EB" w:rsidP="00843404">
      <w:pPr>
        <w:spacing w:after="160" w:line="360" w:lineRule="auto"/>
        <w:ind w:left="567" w:right="565"/>
        <w:jc w:val="center"/>
        <w:rPr>
          <w:rFonts w:ascii="Sylfaen" w:eastAsia="Times New Roman" w:hAnsi="Sylfaen" w:cs="Times New Roman"/>
          <w:sz w:val="24"/>
          <w:szCs w:val="24"/>
        </w:rPr>
      </w:pPr>
      <w:r w:rsidRPr="00834D52">
        <w:rPr>
          <w:rFonts w:ascii="Sylfaen" w:hAnsi="Sylfaen"/>
          <w:sz w:val="24"/>
          <w:szCs w:val="24"/>
        </w:rPr>
        <w:t>16. Հազվադեպ կիրառվող (որբ) պատրաստուկներ</w:t>
      </w:r>
      <w:r w:rsidRPr="00834D52">
        <w:rPr>
          <w:rFonts w:ascii="Sylfaen" w:hAnsi="Sylfaen"/>
          <w:sz w:val="24"/>
          <w:szCs w:val="24"/>
        </w:rPr>
        <w:br/>
      </w:r>
      <w:r w:rsidRPr="00834D52">
        <w:rPr>
          <w:rFonts w:ascii="Sylfaen" w:hAnsi="Sylfaen"/>
          <w:sz w:val="24"/>
          <w:szCs w:val="24"/>
        </w:rPr>
        <w:lastRenderedPageBreak/>
        <w:t xml:space="preserve">(հազվադեպ հիվանդությունների բուժման համար </w:t>
      </w:r>
      <w:r w:rsidRPr="00834D52">
        <w:rPr>
          <w:rFonts w:ascii="Sylfaen" w:hAnsi="Sylfaen"/>
          <w:sz w:val="24"/>
          <w:szCs w:val="24"/>
        </w:rPr>
        <w:br/>
        <w:t>նախատեսված պատրաստուկներ)</w:t>
      </w:r>
    </w:p>
    <w:p w14:paraId="19E45F55" w14:textId="77777777" w:rsidR="006F76EB" w:rsidRPr="00834D52" w:rsidRDefault="006F76EB" w:rsidP="0084340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Հազվադեպ կիրառվող (որբ) պատրաստուկների դեպքում կարող են կիրառվել II մասի հիմնական դրույթները (բացառիկ հանգամանքներ): Հայտատուն նախակլինիկական </w:t>
      </w:r>
      <w:r w:rsidR="00C54D75">
        <w:rPr>
          <w:rFonts w:ascii="Sylfaen" w:hAnsi="Sylfaen"/>
          <w:sz w:val="24"/>
          <w:szCs w:val="24"/>
        </w:rPr>
        <w:t>և</w:t>
      </w:r>
      <w:r w:rsidRPr="00834D52">
        <w:rPr>
          <w:rFonts w:ascii="Sylfaen" w:hAnsi="Sylfaen"/>
          <w:sz w:val="24"/>
          <w:szCs w:val="24"/>
        </w:rPr>
        <w:t xml:space="preserve"> կլինիկական ռեզյումեի մեջ պետք է հիմնավորի այն պատճառները, ըստ որոնց հնարավոր չէ ներկայացնել ամբողջ տեղեկատվությունը, </w:t>
      </w:r>
      <w:r w:rsidR="00C54D75">
        <w:rPr>
          <w:rFonts w:ascii="Sylfaen" w:hAnsi="Sylfaen"/>
          <w:sz w:val="24"/>
          <w:szCs w:val="24"/>
        </w:rPr>
        <w:t>և</w:t>
      </w:r>
      <w:r w:rsidRPr="00834D52">
        <w:rPr>
          <w:rFonts w:ascii="Sylfaen" w:hAnsi="Sylfaen"/>
          <w:sz w:val="24"/>
          <w:szCs w:val="24"/>
        </w:rPr>
        <w:t xml:space="preserve"> ներկայացնի դիտարկվող հազվադեպ կիրառվող (որբ) պատրաստուկների համար օգուտի </w:t>
      </w:r>
      <w:r w:rsidR="00C54D75">
        <w:rPr>
          <w:rFonts w:ascii="Sylfaen" w:hAnsi="Sylfaen"/>
          <w:sz w:val="24"/>
          <w:szCs w:val="24"/>
        </w:rPr>
        <w:t>և</w:t>
      </w:r>
      <w:r w:rsidRPr="00834D52">
        <w:rPr>
          <w:rFonts w:ascii="Sylfaen" w:hAnsi="Sylfaen"/>
          <w:sz w:val="24"/>
          <w:szCs w:val="24"/>
        </w:rPr>
        <w:t xml:space="preserve"> ռիսկի հարաբերակցության հիմնավորումը:</w:t>
      </w:r>
    </w:p>
    <w:p w14:paraId="692A1153" w14:textId="77777777" w:rsidR="006F76EB" w:rsidRPr="00834D52" w:rsidRDefault="006F76EB" w:rsidP="00843404">
      <w:pPr>
        <w:spacing w:after="0" w:line="240" w:lineRule="auto"/>
        <w:ind w:right="-8"/>
        <w:jc w:val="center"/>
        <w:rPr>
          <w:rFonts w:ascii="Sylfaen" w:hAnsi="Sylfaen"/>
          <w:sz w:val="24"/>
          <w:szCs w:val="24"/>
        </w:rPr>
      </w:pPr>
    </w:p>
    <w:p w14:paraId="0DE78801" w14:textId="77777777" w:rsidR="006F76EB" w:rsidRPr="00834D52" w:rsidRDefault="006F76EB" w:rsidP="00A63AE9">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t xml:space="preserve">IV. Բարձր տեխնոլոգիական </w:t>
      </w:r>
      <w:r w:rsidR="00A63AE9" w:rsidRPr="009D2161">
        <w:rPr>
          <w:rFonts w:ascii="Sylfaen" w:hAnsi="Sylfaen"/>
          <w:sz w:val="24"/>
          <w:szCs w:val="24"/>
        </w:rPr>
        <w:br/>
      </w:r>
      <w:r w:rsidRPr="00834D52">
        <w:rPr>
          <w:rFonts w:ascii="Sylfaen" w:hAnsi="Sylfaen"/>
          <w:sz w:val="24"/>
          <w:szCs w:val="24"/>
        </w:rPr>
        <w:t>դեղապատրաստուկներ</w:t>
      </w:r>
    </w:p>
    <w:p w14:paraId="06594298" w14:textId="77777777" w:rsidR="006F76EB" w:rsidRPr="00834D52" w:rsidRDefault="006F76EB" w:rsidP="00352FF1">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17.1.</w:t>
      </w:r>
      <w:r w:rsidRPr="00834D52">
        <w:rPr>
          <w:rFonts w:ascii="Sylfaen" w:hAnsi="Sylfaen"/>
          <w:sz w:val="24"/>
          <w:szCs w:val="24"/>
        </w:rPr>
        <w:tab/>
        <w:t>Ներածություն.</w:t>
      </w:r>
    </w:p>
    <w:p w14:paraId="295C657C" w14:textId="77777777" w:rsidR="006F76EB" w:rsidRPr="00834D52" w:rsidRDefault="006F76EB" w:rsidP="00A63AE9">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Բարձր տեխնոլոգիական դեղապատրաստուկների գրանցման դոսյեի համար անհրաժեշտ է պահպանել սույն հավելվածի I մասում նկարագրված ձ</w:t>
      </w:r>
      <w:r w:rsidR="00C54D75">
        <w:rPr>
          <w:rFonts w:ascii="Sylfaen" w:hAnsi="Sylfaen"/>
          <w:sz w:val="24"/>
          <w:szCs w:val="24"/>
        </w:rPr>
        <w:t>և</w:t>
      </w:r>
      <w:r w:rsidRPr="00834D52">
        <w:rPr>
          <w:rFonts w:ascii="Sylfaen" w:hAnsi="Sylfaen"/>
          <w:sz w:val="24"/>
          <w:szCs w:val="24"/>
        </w:rPr>
        <w:t>աչափին ներկայացվող պահանջները (գրանցման դոսյեի 1</w:t>
      </w:r>
      <w:r w:rsidRPr="008341C7">
        <w:rPr>
          <w:rFonts w:ascii="Sylfaen" w:hAnsi="Sylfaen"/>
          <w:sz w:val="24"/>
          <w:szCs w:val="24"/>
        </w:rPr>
        <w:t>-</w:t>
      </w:r>
      <w:r w:rsidRPr="00834D52">
        <w:rPr>
          <w:rFonts w:ascii="Sylfaen" w:hAnsi="Sylfaen"/>
          <w:sz w:val="24"/>
          <w:szCs w:val="24"/>
        </w:rPr>
        <w:t>5-րդ մոդուլներ):</w:t>
      </w:r>
    </w:p>
    <w:p w14:paraId="58AE1C96"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3-5-րդ մոդուլներին ներկայացվող տեխնիկական պահանջները կարող են կիրառվել բարձր տեխնոլոգիական կենսաբանական դեղապատրաստուկների նկատմամբ, ինչպես նկարագրված է սույն հավելվածի I մասում: Սույն մասի </w:t>
      </w:r>
      <w:r w:rsidRPr="00834D52">
        <w:rPr>
          <w:rFonts w:ascii="Sylfaen" w:hAnsi="Sylfaen"/>
          <w:sz w:val="24"/>
          <w:szCs w:val="24"/>
        </w:rPr>
        <w:br/>
        <w:t xml:space="preserve">17.3, 17.4 </w:t>
      </w:r>
      <w:r w:rsidR="00C54D75">
        <w:rPr>
          <w:rFonts w:ascii="Sylfaen" w:hAnsi="Sylfaen"/>
          <w:sz w:val="24"/>
          <w:szCs w:val="24"/>
        </w:rPr>
        <w:t>և</w:t>
      </w:r>
      <w:r w:rsidRPr="00834D52">
        <w:rPr>
          <w:rFonts w:ascii="Sylfaen" w:hAnsi="Sylfaen"/>
          <w:sz w:val="24"/>
          <w:szCs w:val="24"/>
        </w:rPr>
        <w:t xml:space="preserve"> 17.5 բաժիններում նկարագրված՝ բարձր տեխնոլոգիական դեղապատրաստուկներին ներկայացվող հատուկ պահանջներով բացատրվում է, թե ինչպես են բարձր տեխնոլոգիական դեղապատրաստուկների նկատմամբ կիրառվում սույն հավելվածի I մասի պահանջները:</w:t>
      </w:r>
    </w:p>
    <w:p w14:paraId="2A8B9ED4" w14:textId="77777777" w:rsidR="006F76EB" w:rsidRPr="00834D52" w:rsidRDefault="006F76EB" w:rsidP="00A63AE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Հաշվի առնելով բարձր տեխնոլոգիական դեղապատրաստուկների սպեցիֆիկ բնույթը՝ կարող է կիրառվել ռիսկի վերլուծության վրա հիմնված մոտեցում՝ անհրաժեշտ տեղեկությունների ծավալը </w:t>
      </w:r>
      <w:r w:rsidR="00C54D75">
        <w:rPr>
          <w:rFonts w:ascii="Sylfaen" w:hAnsi="Sylfaen"/>
          <w:sz w:val="24"/>
          <w:szCs w:val="24"/>
        </w:rPr>
        <w:t>և</w:t>
      </w:r>
      <w:r w:rsidRPr="00834D52">
        <w:rPr>
          <w:rFonts w:ascii="Sylfaen" w:hAnsi="Sylfaen"/>
          <w:sz w:val="24"/>
          <w:szCs w:val="24"/>
        </w:rPr>
        <w:t xml:space="preserve"> որակին, նախակլինիկական ու կլինիկական ուսումնասիրությանը ներկայացվող պահանջները որոշելու համար, դրանք, Միության կիրառելի ձեռնարկներին կամ վերջինների բացակայության դեպքում՝ անդամ պետությունների ձեռնարկներին համապատասխան, գրանցման </w:t>
      </w:r>
      <w:r w:rsidRPr="00834D52">
        <w:rPr>
          <w:rFonts w:ascii="Sylfaen" w:hAnsi="Sylfaen"/>
          <w:sz w:val="24"/>
          <w:szCs w:val="24"/>
        </w:rPr>
        <w:lastRenderedPageBreak/>
        <w:t>հավաստագրի մեջ ներառելու համար:</w:t>
      </w:r>
    </w:p>
    <w:p w14:paraId="4958F9EA" w14:textId="77777777" w:rsidR="006F76EB" w:rsidRPr="00834D52" w:rsidRDefault="006F76EB" w:rsidP="00A63AE9">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Ռիսկերի վերլուծությունը կարող է ներառել մշակման ողջ գործընթացը: Ռիսկի այն գործոնները, որոնք կարող են դիտարկվել, ներառում են բջիջների ծագումը (աուտոլոգիկ, ալլոգեն, քսենոգեն), բջիջների բազմացման (պրոլիֆերացիայի) </w:t>
      </w:r>
      <w:r w:rsidR="00C54D75">
        <w:rPr>
          <w:rFonts w:ascii="Sylfaen" w:hAnsi="Sylfaen"/>
          <w:sz w:val="24"/>
          <w:szCs w:val="24"/>
        </w:rPr>
        <w:t>և</w:t>
      </w:r>
      <w:r w:rsidRPr="00834D52">
        <w:rPr>
          <w:rFonts w:ascii="Sylfaen" w:hAnsi="Sylfaen"/>
          <w:sz w:val="24"/>
          <w:szCs w:val="24"/>
        </w:rPr>
        <w:t xml:space="preserve"> (կամ) տարբերակման (դիֆերենցման) ունակությունը, իմունային պատասխան առաջացնելու ունակությունը, բջիջների հետ մանիպուլյացիան, կենսաակտիվ մոլեկուլների կամ բժշկական արտադրատեսակների հետ բջիջների համակցությունը, գենոթերապ</w:t>
      </w:r>
      <w:r w:rsidR="00C54D75">
        <w:rPr>
          <w:rFonts w:ascii="Sylfaen" w:hAnsi="Sylfaen"/>
          <w:sz w:val="24"/>
          <w:szCs w:val="24"/>
        </w:rPr>
        <w:t>և</w:t>
      </w:r>
      <w:r w:rsidRPr="00834D52">
        <w:rPr>
          <w:rFonts w:ascii="Sylfaen" w:hAnsi="Sylfaen"/>
          <w:sz w:val="24"/>
          <w:szCs w:val="24"/>
        </w:rPr>
        <w:t>տիկ դեղապատրաստուկի բնույթը, վիրուսների ռեպլիկացիայի կամ in vivo-ում օգտագործվող միկրոօրգանիզմների բազմացման ունակությունը, նուկլեինաթթուների կամ գեներից գենոմ հաջորդականության ինտեգրման աստիճանը, գործելու (գոյության) տ</w:t>
      </w:r>
      <w:r w:rsidR="00C54D75">
        <w:rPr>
          <w:rFonts w:ascii="Sylfaen" w:hAnsi="Sylfaen"/>
          <w:sz w:val="24"/>
          <w:szCs w:val="24"/>
        </w:rPr>
        <w:t>և</w:t>
      </w:r>
      <w:r w:rsidRPr="00834D52">
        <w:rPr>
          <w:rFonts w:ascii="Sylfaen" w:hAnsi="Sylfaen"/>
          <w:sz w:val="24"/>
          <w:szCs w:val="24"/>
        </w:rPr>
        <w:t xml:space="preserve">ողությունը, ուռուցքածնության ռիսկը </w:t>
      </w:r>
      <w:r w:rsidR="00C54D75">
        <w:rPr>
          <w:rFonts w:ascii="Sylfaen" w:hAnsi="Sylfaen"/>
          <w:sz w:val="24"/>
          <w:szCs w:val="24"/>
        </w:rPr>
        <w:t>և</w:t>
      </w:r>
      <w:r w:rsidRPr="00834D52">
        <w:rPr>
          <w:rFonts w:ascii="Sylfaen" w:hAnsi="Sylfaen"/>
          <w:sz w:val="24"/>
          <w:szCs w:val="24"/>
        </w:rPr>
        <w:t xml:space="preserve"> ներմուծման ուղին կամ օգտագործման եղանակը:</w:t>
      </w:r>
    </w:p>
    <w:p w14:paraId="75786A1C"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Ոչ կլինիկական </w:t>
      </w:r>
      <w:r w:rsidR="00C54D75">
        <w:rPr>
          <w:rFonts w:ascii="Sylfaen" w:hAnsi="Sylfaen"/>
          <w:sz w:val="24"/>
          <w:szCs w:val="24"/>
        </w:rPr>
        <w:t>և</w:t>
      </w:r>
      <w:r w:rsidRPr="00834D52">
        <w:rPr>
          <w:rFonts w:ascii="Sylfaen" w:hAnsi="Sylfaen"/>
          <w:sz w:val="24"/>
          <w:szCs w:val="24"/>
        </w:rPr>
        <w:t xml:space="preserve"> կլինիկական տվյալները կամ այլ բարձր տեխնոլոգիական դեղապատրաստուկների հետ կապված փորձը կարող են նա</w:t>
      </w:r>
      <w:r w:rsidR="00C54D75">
        <w:rPr>
          <w:rFonts w:ascii="Sylfaen" w:hAnsi="Sylfaen"/>
          <w:sz w:val="24"/>
          <w:szCs w:val="24"/>
        </w:rPr>
        <w:t>և</w:t>
      </w:r>
      <w:r w:rsidRPr="00834D52">
        <w:rPr>
          <w:rFonts w:ascii="Sylfaen" w:hAnsi="Sylfaen"/>
          <w:sz w:val="24"/>
          <w:szCs w:val="24"/>
        </w:rPr>
        <w:t xml:space="preserve"> դիտարկվել ռիսկերի վերլուծության ժամանակ:</w:t>
      </w:r>
    </w:p>
    <w:p w14:paraId="278BA7CA"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Սույն հավելվածի պահանջներից ցանկացած շեղում պետք է գիտականորեն հիմնավորված լինի գրանցման դոսյեի 2-րդ մոդուլում: Եթե անցկացվում է ռիսկերի վերլուծություն, ապա այն պետք է նկարագրվի գրանցման դոսյեի 2-րդ մոդուլում: Այդ դեպքում անհրաժեշտ է դիտարկել օգտագործվող մեթոդաբանությունը, հայտնաբերված ռիսկերի բնույթը </w:t>
      </w:r>
      <w:r w:rsidR="00C54D75">
        <w:rPr>
          <w:rFonts w:ascii="Sylfaen" w:hAnsi="Sylfaen"/>
          <w:sz w:val="24"/>
          <w:szCs w:val="24"/>
        </w:rPr>
        <w:t>և</w:t>
      </w:r>
      <w:r w:rsidRPr="00834D52">
        <w:rPr>
          <w:rFonts w:ascii="Sylfaen" w:hAnsi="Sylfaen"/>
          <w:sz w:val="24"/>
          <w:szCs w:val="24"/>
        </w:rPr>
        <w:t xml:space="preserve"> ռիսկերի վերլուծության վրա հիմնված մոտեցման արդյունքների ազդեցությունը դեղապատրաստուկի մշակման </w:t>
      </w:r>
      <w:r w:rsidR="00C54D75">
        <w:rPr>
          <w:rFonts w:ascii="Sylfaen" w:hAnsi="Sylfaen"/>
          <w:sz w:val="24"/>
          <w:szCs w:val="24"/>
        </w:rPr>
        <w:t>և</w:t>
      </w:r>
      <w:r w:rsidRPr="00834D52">
        <w:rPr>
          <w:rFonts w:ascii="Sylfaen" w:hAnsi="Sylfaen"/>
          <w:sz w:val="24"/>
          <w:szCs w:val="24"/>
        </w:rPr>
        <w:t xml:space="preserve"> գնահատման ծրագրի վրա: Անհրաժեշտ է նա</w:t>
      </w:r>
      <w:r w:rsidR="00C54D75">
        <w:rPr>
          <w:rFonts w:ascii="Sylfaen" w:hAnsi="Sylfaen"/>
          <w:sz w:val="24"/>
          <w:szCs w:val="24"/>
        </w:rPr>
        <w:t>և</w:t>
      </w:r>
      <w:r w:rsidRPr="00834D52">
        <w:rPr>
          <w:rFonts w:ascii="Sylfaen" w:hAnsi="Sylfaen"/>
          <w:sz w:val="24"/>
          <w:szCs w:val="24"/>
        </w:rPr>
        <w:t xml:space="preserve"> նկարագրել ռիսկերի վերլուծության արդյունքներով պայմանավորված՝ սույն հավելվածի պահանջներից ցանկացած շեղում:</w:t>
      </w:r>
    </w:p>
    <w:p w14:paraId="33B0AE59" w14:textId="77777777" w:rsidR="006F76EB" w:rsidRPr="00834D52" w:rsidRDefault="006F76EB" w:rsidP="00352FF1">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17.2.</w:t>
      </w:r>
      <w:r w:rsidRPr="00834D52">
        <w:rPr>
          <w:rFonts w:ascii="Sylfaen" w:hAnsi="Sylfaen"/>
          <w:sz w:val="24"/>
          <w:szCs w:val="24"/>
        </w:rPr>
        <w:tab/>
        <w:t>Սահմանումները.</w:t>
      </w:r>
    </w:p>
    <w:p w14:paraId="1C1D6E7E" w14:textId="77777777" w:rsidR="006F76EB" w:rsidRPr="00834D52" w:rsidRDefault="006F76EB" w:rsidP="00352FF1">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17.2.1.</w:t>
      </w:r>
      <w:r w:rsidRPr="00834D52">
        <w:rPr>
          <w:rFonts w:ascii="Sylfaen" w:hAnsi="Sylfaen"/>
          <w:sz w:val="24"/>
          <w:szCs w:val="24"/>
        </w:rPr>
        <w:tab/>
        <w:t>Գենոթերապ</w:t>
      </w:r>
      <w:r w:rsidR="00C54D75">
        <w:rPr>
          <w:rFonts w:ascii="Sylfaen" w:hAnsi="Sylfaen"/>
          <w:sz w:val="24"/>
          <w:szCs w:val="24"/>
        </w:rPr>
        <w:t>և</w:t>
      </w:r>
      <w:r w:rsidRPr="00834D52">
        <w:rPr>
          <w:rFonts w:ascii="Sylfaen" w:hAnsi="Sylfaen"/>
          <w:sz w:val="24"/>
          <w:szCs w:val="24"/>
        </w:rPr>
        <w:t>տիկ դեղապատրաստուկներ.</w:t>
      </w:r>
    </w:p>
    <w:p w14:paraId="3024894D"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Գենոթերապ</w:t>
      </w:r>
      <w:r w:rsidR="00C54D75">
        <w:rPr>
          <w:rFonts w:ascii="Sylfaen" w:hAnsi="Sylfaen"/>
          <w:sz w:val="24"/>
          <w:szCs w:val="24"/>
        </w:rPr>
        <w:t>և</w:t>
      </w:r>
      <w:r w:rsidRPr="00834D52">
        <w:rPr>
          <w:rFonts w:ascii="Sylfaen" w:hAnsi="Sylfaen"/>
          <w:sz w:val="24"/>
          <w:szCs w:val="24"/>
        </w:rPr>
        <w:t xml:space="preserve">տիկ դեղապատրաստուկը կենսաբանական </w:t>
      </w:r>
      <w:r w:rsidRPr="00834D52">
        <w:rPr>
          <w:rFonts w:ascii="Sylfaen" w:hAnsi="Sylfaen"/>
          <w:sz w:val="24"/>
          <w:szCs w:val="24"/>
        </w:rPr>
        <w:lastRenderedPageBreak/>
        <w:t>դեղապատրաստուկ է՝</w:t>
      </w:r>
    </w:p>
    <w:p w14:paraId="04B42B4A"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որը պարունակում է ակտիվ նյութ, պարունակում է ռեկոմբինանտ նուկլեինաթթու կամ կազմված է դրանից, որն օգտագործվում կամ ներմուծվում է մարդու օրգանիզմ՝ գենետիկ հաջորդականության կարգավորման, վերականգնման, փոխարինման, ավելացման կամ հեռացման նպատակով,</w:t>
      </w:r>
    </w:p>
    <w:p w14:paraId="0EED60F8"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որի թերապ</w:t>
      </w:r>
      <w:r w:rsidR="00C54D75">
        <w:rPr>
          <w:rFonts w:ascii="Sylfaen" w:hAnsi="Sylfaen"/>
          <w:sz w:val="24"/>
          <w:szCs w:val="24"/>
        </w:rPr>
        <w:t>և</w:t>
      </w:r>
      <w:r w:rsidRPr="00834D52">
        <w:rPr>
          <w:rFonts w:ascii="Sylfaen" w:hAnsi="Sylfaen"/>
          <w:sz w:val="24"/>
          <w:szCs w:val="24"/>
        </w:rPr>
        <w:t>տիկ, կանխարգելիչ կամ ախտորոշիչ էֆեկտներն ուղղակիորեն պայմանավորված են ռեկոմբինանտ նուկլեինաթթվի հաջորդականությամբ, որն այն պարունակում է, կամ այդ հաջորդականության գեների էքսպրեսիայի արգասիքով:</w:t>
      </w:r>
    </w:p>
    <w:p w14:paraId="43ADCE94"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Գենոթերապ</w:t>
      </w:r>
      <w:r w:rsidR="00C54D75">
        <w:rPr>
          <w:rFonts w:ascii="Sylfaen" w:hAnsi="Sylfaen"/>
          <w:sz w:val="24"/>
          <w:szCs w:val="24"/>
        </w:rPr>
        <w:t>և</w:t>
      </w:r>
      <w:r w:rsidRPr="00834D52">
        <w:rPr>
          <w:rFonts w:ascii="Sylfaen" w:hAnsi="Sylfaen"/>
          <w:sz w:val="24"/>
          <w:szCs w:val="24"/>
        </w:rPr>
        <w:t>տիկ դեղապատրաստուկները չեն ներառում վարակիչ հիվանդությունների դեմ պատվաստանյութեր:</w:t>
      </w:r>
    </w:p>
    <w:p w14:paraId="7DDADE5A" w14:textId="77777777" w:rsidR="006F76EB" w:rsidRPr="00834D52" w:rsidRDefault="006F76EB" w:rsidP="00A63AE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17.2.2.</w:t>
      </w:r>
      <w:r w:rsidRPr="00834D52">
        <w:rPr>
          <w:rFonts w:ascii="Sylfaen" w:hAnsi="Sylfaen"/>
          <w:sz w:val="24"/>
          <w:szCs w:val="24"/>
        </w:rPr>
        <w:tab/>
        <w:t>Սոմատիկ բջիջների հիմքով դեղապատրաստուկներ.</w:t>
      </w:r>
    </w:p>
    <w:p w14:paraId="509113B0" w14:textId="77777777" w:rsidR="006F76EB" w:rsidRPr="00834D52" w:rsidRDefault="006F76EB" w:rsidP="00A63AE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Սոմատիկ բջիջների հիմքով դեղապատրաստուկը կենսաբանական դեղապատրաստուկ է՝ </w:t>
      </w:r>
    </w:p>
    <w:p w14:paraId="68AD1D7A" w14:textId="77777777" w:rsidR="006F76EB" w:rsidRPr="00834D52" w:rsidRDefault="006F76EB" w:rsidP="00D8646A">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որը պարունակում է այնպիսի բջիջներ կամ հյուսվածքներ կամ կազմված է դրանցից, որոնք ենթարկվել են զգալի մանիպուլյացիայի այնպես, որ դրանց՝ կլինիկական օգտագործման համար նշանակալի կենսաբանական բնութագրերը, ֆիզիոլոգիական ֆունկցիաները կամ կառուցվածքային հատկությունները փոփոխվել են, կամ որը կազմված է անպիսի բջիջներից կամ հյուսվածքներից, որոնք նախատեսված չեն ընդունողի </w:t>
      </w:r>
      <w:r w:rsidR="00C54D75">
        <w:rPr>
          <w:rFonts w:ascii="Sylfaen" w:hAnsi="Sylfaen"/>
          <w:sz w:val="24"/>
          <w:szCs w:val="24"/>
        </w:rPr>
        <w:t>և</w:t>
      </w:r>
      <w:r w:rsidRPr="00834D52">
        <w:rPr>
          <w:rFonts w:ascii="Sylfaen" w:hAnsi="Sylfaen"/>
          <w:sz w:val="24"/>
          <w:szCs w:val="24"/>
        </w:rPr>
        <w:t xml:space="preserve"> դոնորի մոտ մի</w:t>
      </w:r>
      <w:r w:rsidR="00C54D75">
        <w:rPr>
          <w:rFonts w:ascii="Sylfaen" w:hAnsi="Sylfaen"/>
          <w:sz w:val="24"/>
          <w:szCs w:val="24"/>
        </w:rPr>
        <w:t>և</w:t>
      </w:r>
      <w:r w:rsidRPr="00834D52">
        <w:rPr>
          <w:rFonts w:ascii="Sylfaen" w:hAnsi="Sylfaen"/>
          <w:sz w:val="24"/>
          <w:szCs w:val="24"/>
        </w:rPr>
        <w:t>նույն հիմնական ֆունկցիաներն իրականացնելու նպատակով կիրառման համար: Որպես զգալի մանիպուլյացիաներ չեն դիտարկվում կտրատումը, մանրացումը, ձ</w:t>
      </w:r>
      <w:r w:rsidR="00C54D75">
        <w:rPr>
          <w:rFonts w:ascii="Sylfaen" w:hAnsi="Sylfaen"/>
          <w:sz w:val="24"/>
          <w:szCs w:val="24"/>
        </w:rPr>
        <w:t>և</w:t>
      </w:r>
      <w:r w:rsidRPr="00834D52">
        <w:rPr>
          <w:rFonts w:ascii="Sylfaen" w:hAnsi="Sylfaen"/>
          <w:sz w:val="24"/>
          <w:szCs w:val="24"/>
        </w:rPr>
        <w:t>ավորումը, ցենտրիֆուգումը, հակաբիոտիկների կամ հականեխիչների լուծույթներով մշակումը, մանրէազերծումը, ճառագայթումը, բջիջների բաժանումը, դրանց խտացումը կամ մաքրումը, ֆիլտրացումը, լիոֆիլիզացումը, սառեցումը, կրիոկոնսերվացումը, վիտրիֆիկացումը.</w:t>
      </w:r>
    </w:p>
    <w:p w14:paraId="5450C9A7" w14:textId="77777777" w:rsidR="006F76EB" w:rsidRPr="00834D52" w:rsidRDefault="006F76EB" w:rsidP="00D8646A">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մարդու մոտ կիրառվում է դրա բաղադրության մեջ մտնող բջիջների կամ հյուսվածքների դեղաբանական, իմունոլոգիական կամ մետաբոլիկ ազդեցության հետ</w:t>
      </w:r>
      <w:r w:rsidR="00C54D75">
        <w:rPr>
          <w:rFonts w:ascii="Sylfaen" w:hAnsi="Sylfaen"/>
          <w:sz w:val="24"/>
          <w:szCs w:val="24"/>
        </w:rPr>
        <w:t>և</w:t>
      </w:r>
      <w:r w:rsidRPr="00834D52">
        <w:rPr>
          <w:rFonts w:ascii="Sylfaen" w:hAnsi="Sylfaen"/>
          <w:sz w:val="24"/>
          <w:szCs w:val="24"/>
        </w:rPr>
        <w:t>անքով առաջացած հիվանդության բուժման, կանխարգելման կամ ախտորոշման նպատակով:</w:t>
      </w:r>
    </w:p>
    <w:p w14:paraId="3A5500EE" w14:textId="77777777" w:rsidR="006F76EB" w:rsidRPr="00834D52" w:rsidRDefault="006F76EB" w:rsidP="00D8646A">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w:t>
      </w:r>
      <w:r w:rsidRPr="00834D52">
        <w:rPr>
          <w:rFonts w:ascii="Sylfaen" w:hAnsi="Sylfaen"/>
          <w:sz w:val="24"/>
          <w:szCs w:val="24"/>
        </w:rPr>
        <w:tab/>
        <w:t>Գրանցման դոսյեի 3-րդ մոդուլին ներկայացվող հատուկ պահանջները.</w:t>
      </w:r>
    </w:p>
    <w:p w14:paraId="6A118E90" w14:textId="77777777" w:rsidR="006F76EB" w:rsidRPr="00834D52" w:rsidRDefault="006F76EB" w:rsidP="00D8646A">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17.3.1.</w:t>
      </w:r>
      <w:r w:rsidRPr="00834D52">
        <w:rPr>
          <w:rFonts w:ascii="Sylfaen" w:hAnsi="Sylfaen"/>
          <w:sz w:val="24"/>
          <w:szCs w:val="24"/>
        </w:rPr>
        <w:tab/>
        <w:t>Բոլոր բարձր տեխնոլոգիական դեղապատրաստուկների համար հատուկ պահանջները.</w:t>
      </w:r>
    </w:p>
    <w:p w14:paraId="3E971DED" w14:textId="77777777" w:rsidR="006F76EB" w:rsidRPr="00834D52" w:rsidRDefault="006F76EB" w:rsidP="00D8646A">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հետագծելիության համակարգի նկարագրությունը, որը հայտատուն պարտավորվում է սահմանել </w:t>
      </w:r>
      <w:r w:rsidR="00C54D75">
        <w:rPr>
          <w:rFonts w:ascii="Sylfaen" w:hAnsi="Sylfaen"/>
          <w:sz w:val="24"/>
          <w:szCs w:val="24"/>
        </w:rPr>
        <w:t>և</w:t>
      </w:r>
      <w:r w:rsidRPr="00834D52">
        <w:rPr>
          <w:rFonts w:ascii="Sylfaen" w:hAnsi="Sylfaen"/>
          <w:sz w:val="24"/>
          <w:szCs w:val="24"/>
        </w:rPr>
        <w:t xml:space="preserve"> պահպանել առանձին դեղապատրաստուկի ու դրա ելակետային նյութերի </w:t>
      </w:r>
      <w:r w:rsidR="00C54D75">
        <w:rPr>
          <w:rFonts w:ascii="Sylfaen" w:hAnsi="Sylfaen"/>
          <w:sz w:val="24"/>
          <w:szCs w:val="24"/>
        </w:rPr>
        <w:t>և</w:t>
      </w:r>
      <w:r w:rsidRPr="00834D52">
        <w:rPr>
          <w:rFonts w:ascii="Sylfaen" w:hAnsi="Sylfaen"/>
          <w:sz w:val="24"/>
          <w:szCs w:val="24"/>
        </w:rPr>
        <w:t xml:space="preserve"> հումքի, ներառյալ՝ դրանում պարունակվող բջիջների կամ հյուսվածքների հետ շփման մեջ գտնվող բոլոր նյութերի ստացման (ծագման) աղբյուրի, դրանց արտադրության, փաթեթվածքի, պահպանման, տրանսպորտային փոխադրման </w:t>
      </w:r>
      <w:r w:rsidR="00C54D75">
        <w:rPr>
          <w:rFonts w:ascii="Sylfaen" w:hAnsi="Sylfaen"/>
          <w:sz w:val="24"/>
          <w:szCs w:val="24"/>
        </w:rPr>
        <w:t>և</w:t>
      </w:r>
      <w:r w:rsidRPr="00834D52">
        <w:rPr>
          <w:rFonts w:ascii="Sylfaen" w:hAnsi="Sylfaen"/>
          <w:sz w:val="24"/>
          <w:szCs w:val="24"/>
        </w:rPr>
        <w:t xml:space="preserve"> բժշկական կազմակերպություն մատակարարման հետագծելիությունն ապահովելու համար:</w:t>
      </w:r>
    </w:p>
    <w:p w14:paraId="4663F15A" w14:textId="77777777" w:rsidR="006F76EB" w:rsidRPr="00834D52" w:rsidRDefault="006F76EB" w:rsidP="000A4ACC">
      <w:pPr>
        <w:tabs>
          <w:tab w:val="left" w:pos="1985"/>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Հետագծելիության համակարգը պետք է լրացնի մարդու բջիջների </w:t>
      </w:r>
      <w:r w:rsidR="00C54D75">
        <w:rPr>
          <w:rFonts w:ascii="Sylfaen" w:hAnsi="Sylfaen"/>
          <w:sz w:val="24"/>
          <w:szCs w:val="24"/>
        </w:rPr>
        <w:t>և</w:t>
      </w:r>
      <w:r w:rsidRPr="00834D52">
        <w:rPr>
          <w:rFonts w:ascii="Sylfaen" w:hAnsi="Sylfaen"/>
          <w:sz w:val="24"/>
          <w:szCs w:val="24"/>
        </w:rPr>
        <w:t xml:space="preserve"> հյուսվածքների վերաբերյալ անդամ պետությունների հետագծելիության համակարգերին ներկայացվող պահանջները </w:t>
      </w:r>
      <w:r w:rsidR="00C54D75">
        <w:rPr>
          <w:rFonts w:ascii="Sylfaen" w:hAnsi="Sylfaen"/>
          <w:sz w:val="24"/>
          <w:szCs w:val="24"/>
        </w:rPr>
        <w:t>և</w:t>
      </w:r>
      <w:r w:rsidRPr="00834D52">
        <w:rPr>
          <w:rFonts w:ascii="Sylfaen" w:hAnsi="Sylfaen"/>
          <w:sz w:val="24"/>
          <w:szCs w:val="24"/>
        </w:rPr>
        <w:t xml:space="preserve"> համաձայնեցվի դրանց հետ:</w:t>
      </w:r>
    </w:p>
    <w:p w14:paraId="032EE4E3" w14:textId="77777777" w:rsidR="006F76EB" w:rsidRPr="00834D52" w:rsidRDefault="006F76EB" w:rsidP="008A0FE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17.3.2.</w:t>
      </w:r>
      <w:r w:rsidRPr="00834D52">
        <w:rPr>
          <w:rFonts w:ascii="Sylfaen" w:hAnsi="Sylfaen"/>
          <w:sz w:val="24"/>
          <w:szCs w:val="24"/>
        </w:rPr>
        <w:tab/>
        <w:t>Գենոթերապ</w:t>
      </w:r>
      <w:r w:rsidR="00C54D75">
        <w:rPr>
          <w:rFonts w:ascii="Sylfaen" w:hAnsi="Sylfaen"/>
          <w:sz w:val="24"/>
          <w:szCs w:val="24"/>
        </w:rPr>
        <w:t>և</w:t>
      </w:r>
      <w:r w:rsidRPr="00834D52">
        <w:rPr>
          <w:rFonts w:ascii="Sylfaen" w:hAnsi="Sylfaen"/>
          <w:sz w:val="24"/>
          <w:szCs w:val="24"/>
        </w:rPr>
        <w:t>տիկ դեղապատրաստուկներին ներկայացվող հատուկ պահանջները.</w:t>
      </w:r>
    </w:p>
    <w:p w14:paraId="390F8E1D" w14:textId="77777777" w:rsidR="006F76EB" w:rsidRPr="00834D52" w:rsidRDefault="006F76EB" w:rsidP="008A0FE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17.3.2.1.</w:t>
      </w:r>
      <w:r w:rsidRPr="00834D52">
        <w:rPr>
          <w:rFonts w:ascii="Sylfaen" w:hAnsi="Sylfaen"/>
          <w:sz w:val="24"/>
          <w:szCs w:val="24"/>
        </w:rPr>
        <w:tab/>
        <w:t xml:space="preserve">Ներածություն. դեղապատրաստուկ, ակտիվ նյութ </w:t>
      </w:r>
      <w:r w:rsidR="00C54D75">
        <w:rPr>
          <w:rFonts w:ascii="Sylfaen" w:hAnsi="Sylfaen"/>
          <w:sz w:val="24"/>
          <w:szCs w:val="24"/>
        </w:rPr>
        <w:t>և</w:t>
      </w:r>
      <w:r w:rsidRPr="00834D52">
        <w:rPr>
          <w:rFonts w:ascii="Sylfaen" w:hAnsi="Sylfaen"/>
          <w:sz w:val="24"/>
          <w:szCs w:val="24"/>
        </w:rPr>
        <w:t xml:space="preserve"> ելակետային նյութեր.</w:t>
      </w:r>
    </w:p>
    <w:p w14:paraId="24CBCA7A" w14:textId="77777777" w:rsidR="006F76EB" w:rsidRPr="00834D52" w:rsidRDefault="006F76EB" w:rsidP="008A0FE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17.3.2.1.1.</w:t>
      </w:r>
      <w:r w:rsidRPr="00834D52">
        <w:rPr>
          <w:rFonts w:ascii="Sylfaen" w:hAnsi="Sylfaen"/>
          <w:sz w:val="24"/>
          <w:szCs w:val="24"/>
        </w:rPr>
        <w:tab/>
        <w:t>Ռեկոմբինանտային նուկլեինաթթուների հաջորդականություն կամ գենետիկորեն մոդիֆիկացված միկրոօրգանիզմներ կամ վիրուս պարունակող գենոթերապ</w:t>
      </w:r>
      <w:r w:rsidR="00C54D75">
        <w:rPr>
          <w:rFonts w:ascii="Sylfaen" w:hAnsi="Sylfaen"/>
          <w:sz w:val="24"/>
          <w:szCs w:val="24"/>
        </w:rPr>
        <w:t>և</w:t>
      </w:r>
      <w:r w:rsidRPr="00834D52">
        <w:rPr>
          <w:rFonts w:ascii="Sylfaen" w:hAnsi="Sylfaen"/>
          <w:sz w:val="24"/>
          <w:szCs w:val="24"/>
        </w:rPr>
        <w:t>տիկ դեղապատրաստուկներ.</w:t>
      </w:r>
    </w:p>
    <w:p w14:paraId="39236FEE" w14:textId="77777777" w:rsidR="006F76EB" w:rsidRPr="00834D52" w:rsidRDefault="006F76EB" w:rsidP="00AD33B0">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Դեղապատրաստուկը պետք է կազմված լինի նուկլեինաթթվի հաջորդականությունից, գենետիկորեն մոդիֆիկացված միկրոօրգանիզմից կամ </w:t>
      </w:r>
      <w:r w:rsidRPr="00834D52">
        <w:rPr>
          <w:rFonts w:ascii="Sylfaen" w:hAnsi="Sylfaen"/>
          <w:sz w:val="24"/>
          <w:szCs w:val="24"/>
        </w:rPr>
        <w:lastRenderedPageBreak/>
        <w:t xml:space="preserve">վիրուսից </w:t>
      </w:r>
      <w:r w:rsidR="00C54D75">
        <w:rPr>
          <w:rFonts w:ascii="Sylfaen" w:hAnsi="Sylfaen"/>
          <w:sz w:val="24"/>
          <w:szCs w:val="24"/>
        </w:rPr>
        <w:t>և</w:t>
      </w:r>
      <w:r w:rsidRPr="00834D52">
        <w:rPr>
          <w:rFonts w:ascii="Sylfaen" w:hAnsi="Sylfaen"/>
          <w:sz w:val="24"/>
          <w:szCs w:val="24"/>
        </w:rPr>
        <w:t xml:space="preserve"> փաթեթավորված լինի բժշկական օգտագործման համար նախատեսված առաջնային փաթեթվածքում: Դեղապատրաստուկը կարող է համակցվել բժշկական արտադրատեսակի հետ:</w:t>
      </w:r>
    </w:p>
    <w:p w14:paraId="1F89CD7D" w14:textId="77777777" w:rsidR="006F76EB" w:rsidRPr="00834D52" w:rsidRDefault="006F76EB" w:rsidP="007E1C16">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Ակտիվ նյութը պետք է կազմված լինի նուկլեինաթթվի հաջորդականությունից կամ գենետիկորեն մոդիֆիկացված մկիրոօրգանիզմից կամ վիրուսից:</w:t>
      </w:r>
    </w:p>
    <w:p w14:paraId="049CE797" w14:textId="77777777" w:rsidR="006F76EB" w:rsidRPr="00834D52" w:rsidRDefault="006F76EB" w:rsidP="007E1C16">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17.3.2.1.2.</w:t>
      </w:r>
      <w:r w:rsidRPr="00834D52">
        <w:rPr>
          <w:rFonts w:ascii="Sylfaen" w:hAnsi="Sylfaen"/>
          <w:sz w:val="24"/>
          <w:szCs w:val="24"/>
        </w:rPr>
        <w:tab/>
        <w:t>Գենետիկորեն մոդիֆիկացված բջիջներ պարունակող գենոթերապ</w:t>
      </w:r>
      <w:r w:rsidR="00C54D75">
        <w:rPr>
          <w:rFonts w:ascii="Sylfaen" w:hAnsi="Sylfaen"/>
          <w:sz w:val="24"/>
          <w:szCs w:val="24"/>
        </w:rPr>
        <w:t>և</w:t>
      </w:r>
      <w:r w:rsidRPr="00834D52">
        <w:rPr>
          <w:rFonts w:ascii="Sylfaen" w:hAnsi="Sylfaen"/>
          <w:sz w:val="24"/>
          <w:szCs w:val="24"/>
        </w:rPr>
        <w:t>տիկ դեղապատրաստուկներ.</w:t>
      </w:r>
    </w:p>
    <w:p w14:paraId="126D41A8" w14:textId="77777777" w:rsidR="006F76EB" w:rsidRPr="00834D52" w:rsidRDefault="006F76EB" w:rsidP="007E1C16">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Դեղապատրաստուկը պետք է կազմված լինի գենետիկորեն մոդիֆիկացված բջիջներից </w:t>
      </w:r>
      <w:r w:rsidR="00C54D75">
        <w:rPr>
          <w:rFonts w:ascii="Sylfaen" w:hAnsi="Sylfaen"/>
          <w:sz w:val="24"/>
          <w:szCs w:val="24"/>
        </w:rPr>
        <w:t>և</w:t>
      </w:r>
      <w:r w:rsidRPr="00834D52">
        <w:rPr>
          <w:rFonts w:ascii="Sylfaen" w:hAnsi="Sylfaen"/>
          <w:sz w:val="24"/>
          <w:szCs w:val="24"/>
        </w:rPr>
        <w:t xml:space="preserve"> փաթեթավորված լինի բժշկական օգտագործման համար նախատեսված առաջնային փաթեթվածքում: Դեղապատրաստուկը կարող է համակցվել բժշկական արտադրատեսակի հետ:</w:t>
      </w:r>
    </w:p>
    <w:p w14:paraId="047C8D8C" w14:textId="77777777" w:rsidR="006F76EB" w:rsidRPr="00834D52" w:rsidRDefault="006F76EB" w:rsidP="007E1C16">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Ակտիվ նյութը պետք է կազմված լինի 17.3.2.1.1. բաժնում նշված արտադրանքի տեսակներից որ</w:t>
      </w:r>
      <w:r w:rsidR="00C54D75">
        <w:rPr>
          <w:rFonts w:ascii="Sylfaen" w:hAnsi="Sylfaen"/>
          <w:sz w:val="24"/>
          <w:szCs w:val="24"/>
        </w:rPr>
        <w:t>և</w:t>
      </w:r>
      <w:r w:rsidRPr="00834D52">
        <w:rPr>
          <w:rFonts w:ascii="Sylfaen" w:hAnsi="Sylfaen"/>
          <w:sz w:val="24"/>
          <w:szCs w:val="24"/>
        </w:rPr>
        <w:t>է մեկով գենետիկորեն մոդիֆիկացված բջիջներից:</w:t>
      </w:r>
    </w:p>
    <w:p w14:paraId="394EDA39" w14:textId="77777777" w:rsidR="006F76EB" w:rsidRPr="000A4ACC" w:rsidRDefault="006F76EB" w:rsidP="007E1C16">
      <w:pPr>
        <w:tabs>
          <w:tab w:val="left" w:pos="1701"/>
        </w:tabs>
        <w:spacing w:after="160" w:line="372" w:lineRule="auto"/>
        <w:ind w:right="-6" w:firstLine="567"/>
        <w:jc w:val="both"/>
        <w:rPr>
          <w:rFonts w:ascii="Sylfaen" w:hAnsi="Sylfaen"/>
          <w:sz w:val="24"/>
          <w:szCs w:val="24"/>
        </w:rPr>
      </w:pPr>
      <w:r w:rsidRPr="00834D52">
        <w:rPr>
          <w:rFonts w:ascii="Sylfaen" w:hAnsi="Sylfaen"/>
          <w:sz w:val="24"/>
          <w:szCs w:val="24"/>
        </w:rPr>
        <w:t>17.3.2.1.3.</w:t>
      </w:r>
      <w:r w:rsidRPr="00834D52">
        <w:rPr>
          <w:rFonts w:ascii="Sylfaen" w:hAnsi="Sylfaen"/>
          <w:sz w:val="24"/>
          <w:szCs w:val="24"/>
        </w:rPr>
        <w:tab/>
        <w:t>Վիրուսներից կամ վիրուսային վեկտորներից կազմված արտադրանքի տեսակների համար ելակետային նյութեր են այն բաղադրիչները, որոնցից ստանում են վիրուսային վեկտոր՝ ռեցիպիենտ բջիջների (փաթեթավորող բջիջների) տրանսֆեկցիայի համար օգտագործվող վիրուսային կամ պլազմիդային վեկտորի գլխավոր բանկ կամ ռեցիպիենտ բջիջների գծի (բջջային փաթեթավորող գծի) գլխավոր բանկ:</w:t>
      </w:r>
    </w:p>
    <w:p w14:paraId="2116968C" w14:textId="77777777" w:rsidR="006F76EB" w:rsidRPr="000A4ACC" w:rsidRDefault="006F76EB" w:rsidP="007E1C16">
      <w:pPr>
        <w:tabs>
          <w:tab w:val="left" w:pos="1701"/>
        </w:tabs>
        <w:spacing w:after="160" w:line="372" w:lineRule="auto"/>
        <w:ind w:right="-6" w:firstLine="567"/>
        <w:jc w:val="both"/>
        <w:rPr>
          <w:rFonts w:ascii="Sylfaen" w:hAnsi="Sylfaen"/>
          <w:sz w:val="24"/>
          <w:szCs w:val="24"/>
        </w:rPr>
      </w:pPr>
      <w:r w:rsidRPr="00834D52">
        <w:rPr>
          <w:rFonts w:ascii="Sylfaen" w:hAnsi="Sylfaen"/>
          <w:sz w:val="24"/>
          <w:szCs w:val="24"/>
        </w:rPr>
        <w:t>17.3.2.1.4.</w:t>
      </w:r>
      <w:r w:rsidRPr="00834D52">
        <w:rPr>
          <w:rFonts w:ascii="Sylfaen" w:hAnsi="Sylfaen"/>
          <w:sz w:val="24"/>
          <w:szCs w:val="24"/>
        </w:rPr>
        <w:tab/>
        <w:t xml:space="preserve">Վիրուսներից </w:t>
      </w:r>
      <w:r w:rsidR="00C54D75">
        <w:rPr>
          <w:rFonts w:ascii="Sylfaen" w:hAnsi="Sylfaen"/>
          <w:sz w:val="24"/>
          <w:szCs w:val="24"/>
        </w:rPr>
        <w:t>և</w:t>
      </w:r>
      <w:r w:rsidRPr="00834D52">
        <w:rPr>
          <w:rFonts w:ascii="Sylfaen" w:hAnsi="Sylfaen"/>
          <w:sz w:val="24"/>
          <w:szCs w:val="24"/>
        </w:rPr>
        <w:t xml:space="preserve"> վիրուսային վեկտորներից տարբերվող՝ պլազմիդներից կազմված արտադրանքի տեսակների, ոչ վիրուսային վեկտորների </w:t>
      </w:r>
      <w:r w:rsidR="00C54D75">
        <w:rPr>
          <w:rFonts w:ascii="Sylfaen" w:hAnsi="Sylfaen"/>
          <w:sz w:val="24"/>
          <w:szCs w:val="24"/>
        </w:rPr>
        <w:t>և</w:t>
      </w:r>
      <w:r w:rsidRPr="00834D52">
        <w:rPr>
          <w:rFonts w:ascii="Sylfaen" w:hAnsi="Sylfaen"/>
          <w:sz w:val="24"/>
          <w:szCs w:val="24"/>
        </w:rPr>
        <w:t xml:space="preserve"> գենետիկորեն մոդիֆիկացված օրգանիզմի համար ելակետային նյութեր են պրոդուցենտ բջիջներ ստանալու համար օգտագործվող բաղադրիչները՝ պլազմիդներ, բակտերիալ ընդունող բջիջներ </w:t>
      </w:r>
      <w:r w:rsidR="00C54D75">
        <w:rPr>
          <w:rFonts w:ascii="Sylfaen" w:hAnsi="Sylfaen"/>
          <w:sz w:val="24"/>
          <w:szCs w:val="24"/>
        </w:rPr>
        <w:t>և</w:t>
      </w:r>
      <w:r w:rsidRPr="00834D52">
        <w:rPr>
          <w:rFonts w:ascii="Sylfaen" w:hAnsi="Sylfaen"/>
          <w:sz w:val="24"/>
          <w:szCs w:val="24"/>
        </w:rPr>
        <w:t xml:space="preserve"> ռեկոմբինանտ մանրէային բջիջների գլխավոր բանկ: </w:t>
      </w:r>
    </w:p>
    <w:p w14:paraId="7A9A4A87" w14:textId="77777777" w:rsidR="006F76EB" w:rsidRPr="000A4ACC" w:rsidRDefault="006F76EB" w:rsidP="007E1C16">
      <w:pPr>
        <w:tabs>
          <w:tab w:val="left" w:pos="1701"/>
        </w:tabs>
        <w:spacing w:after="160" w:line="341" w:lineRule="auto"/>
        <w:ind w:right="-6" w:firstLine="567"/>
        <w:jc w:val="both"/>
        <w:rPr>
          <w:rFonts w:ascii="Sylfaen" w:hAnsi="Sylfaen"/>
          <w:sz w:val="24"/>
          <w:szCs w:val="24"/>
        </w:rPr>
      </w:pPr>
      <w:r w:rsidRPr="00834D52">
        <w:rPr>
          <w:rFonts w:ascii="Sylfaen" w:hAnsi="Sylfaen"/>
          <w:sz w:val="24"/>
          <w:szCs w:val="24"/>
        </w:rPr>
        <w:t>17.3.2.1.5.</w:t>
      </w:r>
      <w:r w:rsidRPr="00834D52">
        <w:rPr>
          <w:rFonts w:ascii="Sylfaen" w:hAnsi="Sylfaen"/>
          <w:sz w:val="24"/>
          <w:szCs w:val="24"/>
        </w:rPr>
        <w:tab/>
        <w:t xml:space="preserve">Գենետիկորեն մոդիֆիկացված բջիջների համար ելակետային </w:t>
      </w:r>
      <w:r w:rsidRPr="00834D52">
        <w:rPr>
          <w:rFonts w:ascii="Sylfaen" w:hAnsi="Sylfaen"/>
          <w:sz w:val="24"/>
          <w:szCs w:val="24"/>
        </w:rPr>
        <w:lastRenderedPageBreak/>
        <w:t xml:space="preserve">նյութեր են գենետիկորեն մոդիֆիկացված բջիջների ստացման համար օգտագործվող բաղադրիչները, այսինքն՝ վեկտորի ստացման համար ելակետային նյութերը, մարդու </w:t>
      </w:r>
      <w:r w:rsidR="00C54D75">
        <w:rPr>
          <w:rFonts w:ascii="Sylfaen" w:hAnsi="Sylfaen"/>
          <w:sz w:val="24"/>
          <w:szCs w:val="24"/>
        </w:rPr>
        <w:t>և</w:t>
      </w:r>
      <w:r w:rsidRPr="00834D52">
        <w:rPr>
          <w:rFonts w:ascii="Sylfaen" w:hAnsi="Sylfaen"/>
          <w:sz w:val="24"/>
          <w:szCs w:val="24"/>
        </w:rPr>
        <w:t xml:space="preserve"> կենդանիների վեկտորը </w:t>
      </w:r>
      <w:r w:rsidR="00C54D75">
        <w:rPr>
          <w:rFonts w:ascii="Sylfaen" w:hAnsi="Sylfaen"/>
          <w:sz w:val="24"/>
          <w:szCs w:val="24"/>
        </w:rPr>
        <w:t>և</w:t>
      </w:r>
      <w:r w:rsidRPr="00834D52">
        <w:rPr>
          <w:rFonts w:ascii="Sylfaen" w:hAnsi="Sylfaen"/>
          <w:sz w:val="24"/>
          <w:szCs w:val="24"/>
        </w:rPr>
        <w:t xml:space="preserve"> բջիջները: Արտադրական պատշաճ գործունեության սկզբունքները պետք է կիրառվեն՝ սկսելով վեկտորի արտադրության համար օգտագործվող բանկերի համակարգերից մինչ</w:t>
      </w:r>
      <w:r w:rsidR="00C54D75">
        <w:rPr>
          <w:rFonts w:ascii="Sylfaen" w:hAnsi="Sylfaen"/>
          <w:sz w:val="24"/>
          <w:szCs w:val="24"/>
        </w:rPr>
        <w:t>և</w:t>
      </w:r>
      <w:r w:rsidRPr="00834D52">
        <w:rPr>
          <w:rFonts w:ascii="Sylfaen" w:hAnsi="Sylfaen"/>
          <w:sz w:val="24"/>
          <w:szCs w:val="24"/>
        </w:rPr>
        <w:t xml:space="preserve"> պատրաստի արտադրանքը:</w:t>
      </w:r>
    </w:p>
    <w:p w14:paraId="0C2A1CCD" w14:textId="77777777" w:rsidR="006F76EB" w:rsidRPr="00986A6E" w:rsidRDefault="006F76EB" w:rsidP="007E1C16">
      <w:pPr>
        <w:tabs>
          <w:tab w:val="left" w:pos="1701"/>
        </w:tabs>
        <w:spacing w:after="160" w:line="341" w:lineRule="auto"/>
        <w:ind w:right="-6" w:firstLine="567"/>
        <w:jc w:val="both"/>
        <w:rPr>
          <w:rFonts w:ascii="Sylfaen" w:hAnsi="Sylfaen"/>
          <w:sz w:val="24"/>
          <w:szCs w:val="24"/>
        </w:rPr>
      </w:pPr>
      <w:r w:rsidRPr="00986A6E">
        <w:rPr>
          <w:rFonts w:ascii="Sylfaen" w:hAnsi="Sylfaen"/>
          <w:sz w:val="24"/>
          <w:szCs w:val="24"/>
        </w:rPr>
        <w:t>17.3.2.2.</w:t>
      </w:r>
      <w:r w:rsidRPr="00986A6E">
        <w:rPr>
          <w:rFonts w:ascii="Sylfaen" w:hAnsi="Sylfaen"/>
          <w:sz w:val="24"/>
          <w:szCs w:val="24"/>
        </w:rPr>
        <w:tab/>
        <w:t>Հատուկ պահանջներ.</w:t>
      </w:r>
    </w:p>
    <w:p w14:paraId="469F8C69" w14:textId="77777777" w:rsidR="006F76EB" w:rsidRPr="00986A6E" w:rsidRDefault="006F76EB" w:rsidP="007E1C16">
      <w:pPr>
        <w:spacing w:after="160" w:line="341" w:lineRule="auto"/>
        <w:ind w:right="-6" w:firstLine="567"/>
        <w:jc w:val="both"/>
        <w:rPr>
          <w:rFonts w:ascii="Sylfaen" w:hAnsi="Sylfaen"/>
          <w:sz w:val="24"/>
          <w:szCs w:val="24"/>
        </w:rPr>
      </w:pPr>
      <w:r w:rsidRPr="00986A6E">
        <w:rPr>
          <w:rFonts w:ascii="Sylfaen" w:hAnsi="Sylfaen"/>
          <w:sz w:val="24"/>
          <w:szCs w:val="24"/>
        </w:rPr>
        <w:t xml:space="preserve">Ի լրումն սույն հավելվածի I մասի 3.2.1 </w:t>
      </w:r>
      <w:r w:rsidR="00C54D75">
        <w:rPr>
          <w:rFonts w:ascii="Sylfaen" w:hAnsi="Sylfaen"/>
          <w:sz w:val="24"/>
          <w:szCs w:val="24"/>
        </w:rPr>
        <w:t>և</w:t>
      </w:r>
      <w:r w:rsidRPr="00986A6E">
        <w:rPr>
          <w:rFonts w:ascii="Sylfaen" w:hAnsi="Sylfaen"/>
          <w:sz w:val="24"/>
          <w:szCs w:val="24"/>
        </w:rPr>
        <w:t xml:space="preserve"> 3.2.2 բաժիններում նշված պահանջների՝ պետք է կիրառվեն հետ</w:t>
      </w:r>
      <w:r w:rsidR="00C54D75">
        <w:rPr>
          <w:rFonts w:ascii="Sylfaen" w:hAnsi="Sylfaen"/>
          <w:sz w:val="24"/>
          <w:szCs w:val="24"/>
        </w:rPr>
        <w:t>և</w:t>
      </w:r>
      <w:r w:rsidRPr="00986A6E">
        <w:rPr>
          <w:rFonts w:ascii="Sylfaen" w:hAnsi="Sylfaen"/>
          <w:sz w:val="24"/>
          <w:szCs w:val="24"/>
        </w:rPr>
        <w:t>յալ պահանջները.</w:t>
      </w:r>
    </w:p>
    <w:p w14:paraId="71DA6ADD" w14:textId="77777777" w:rsidR="006F76EB" w:rsidRPr="00C64A77" w:rsidRDefault="006F76EB" w:rsidP="007E1C16">
      <w:pPr>
        <w:tabs>
          <w:tab w:val="left" w:pos="1134"/>
        </w:tabs>
        <w:spacing w:after="160" w:line="341" w:lineRule="auto"/>
        <w:ind w:right="-6" w:firstLine="567"/>
        <w:jc w:val="both"/>
        <w:rPr>
          <w:rFonts w:ascii="Sylfaen" w:eastAsia="Times New Roman" w:hAnsi="Sylfaen" w:cs="Times New Roman"/>
          <w:spacing w:val="-6"/>
          <w:sz w:val="24"/>
          <w:szCs w:val="24"/>
        </w:rPr>
      </w:pPr>
      <w:r w:rsidRPr="00986A6E">
        <w:rPr>
          <w:rFonts w:ascii="Sylfaen" w:hAnsi="Sylfaen"/>
          <w:sz w:val="24"/>
          <w:szCs w:val="24"/>
        </w:rPr>
        <w:t>ա)</w:t>
      </w:r>
      <w:r w:rsidRPr="00986A6E">
        <w:rPr>
          <w:rFonts w:ascii="Sylfaen" w:hAnsi="Sylfaen"/>
          <w:sz w:val="24"/>
          <w:szCs w:val="24"/>
        </w:rPr>
        <w:tab/>
      </w:r>
      <w:r w:rsidRPr="00C64A77">
        <w:rPr>
          <w:rFonts w:ascii="Sylfaen" w:hAnsi="Sylfaen"/>
          <w:spacing w:val="-6"/>
          <w:sz w:val="24"/>
          <w:szCs w:val="24"/>
        </w:rPr>
        <w:t xml:space="preserve">տեղեկատվությունն անհրաժեշտ է ներկայացնել ակտիվ նյութի արտադրության համար օգտագործվող բոլոր ելակետային նյութերի մասով, ներառյալ՝ մարդու </w:t>
      </w:r>
      <w:r w:rsidR="00C54D75">
        <w:rPr>
          <w:rFonts w:ascii="Sylfaen" w:hAnsi="Sylfaen"/>
          <w:spacing w:val="-6"/>
          <w:sz w:val="24"/>
          <w:szCs w:val="24"/>
        </w:rPr>
        <w:t>և</w:t>
      </w:r>
      <w:r w:rsidRPr="00C64A77">
        <w:rPr>
          <w:rFonts w:ascii="Sylfaen" w:hAnsi="Sylfaen"/>
          <w:spacing w:val="-6"/>
          <w:sz w:val="24"/>
          <w:szCs w:val="24"/>
        </w:rPr>
        <w:t xml:space="preserve"> կենդանիների բջիջների գենետիկ մոդիֆիկացման </w:t>
      </w:r>
      <w:r w:rsidR="00C54D75">
        <w:rPr>
          <w:rFonts w:ascii="Sylfaen" w:hAnsi="Sylfaen"/>
          <w:spacing w:val="-6"/>
          <w:sz w:val="24"/>
          <w:szCs w:val="24"/>
        </w:rPr>
        <w:t>և</w:t>
      </w:r>
      <w:r w:rsidRPr="00C64A77">
        <w:rPr>
          <w:rFonts w:ascii="Sylfaen" w:hAnsi="Sylfaen"/>
          <w:spacing w:val="-6"/>
          <w:sz w:val="24"/>
          <w:szCs w:val="24"/>
        </w:rPr>
        <w:t xml:space="preserve"> գենետիկորեն մոդիֆիկացված բջիջների հետագա կուլտիվացման </w:t>
      </w:r>
      <w:r w:rsidR="00C54D75">
        <w:rPr>
          <w:rFonts w:ascii="Sylfaen" w:hAnsi="Sylfaen"/>
          <w:spacing w:val="-6"/>
          <w:sz w:val="24"/>
          <w:szCs w:val="24"/>
        </w:rPr>
        <w:t>և</w:t>
      </w:r>
      <w:r w:rsidRPr="00C64A77">
        <w:rPr>
          <w:rFonts w:ascii="Sylfaen" w:hAnsi="Sylfaen"/>
          <w:spacing w:val="-6"/>
          <w:sz w:val="24"/>
          <w:szCs w:val="24"/>
        </w:rPr>
        <w:t xml:space="preserve"> կոնսերվացման համար (անհրաժեշտության դեպքում) անհրաժեշտ արրտադրանքի տեսակները՝ հաշվի առնելով մաքրման փուլերի հնարավոր բացակայությունը.</w:t>
      </w:r>
    </w:p>
    <w:p w14:paraId="63428E81" w14:textId="77777777" w:rsidR="006F76EB" w:rsidRPr="00834D52" w:rsidRDefault="006F76EB" w:rsidP="007E1C16">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բ)</w:t>
      </w:r>
      <w:r w:rsidRPr="00834D52">
        <w:rPr>
          <w:rFonts w:ascii="Sylfaen" w:hAnsi="Sylfaen"/>
          <w:sz w:val="24"/>
          <w:szCs w:val="24"/>
        </w:rPr>
        <w:tab/>
        <w:t xml:space="preserve">միկրոօրգանիզմներ (այդ թվում՝ վիրուսներ) պարունակող արտադրանքի տեսակների համար անհրաժեշտ է ներկայացնել միկրոօրգանիզմների գենետիկ մոդիֆիկացման, սեկվենավորման, ատենուացիայի, որոշակի տիպի հյուսվածքների </w:t>
      </w:r>
      <w:r w:rsidR="00C54D75">
        <w:rPr>
          <w:rFonts w:ascii="Sylfaen" w:hAnsi="Sylfaen"/>
          <w:sz w:val="24"/>
          <w:szCs w:val="24"/>
        </w:rPr>
        <w:t>և</w:t>
      </w:r>
      <w:r w:rsidRPr="00834D52">
        <w:rPr>
          <w:rFonts w:ascii="Sylfaen" w:hAnsi="Sylfaen"/>
          <w:sz w:val="24"/>
          <w:szCs w:val="24"/>
        </w:rPr>
        <w:t xml:space="preserve"> բջիջների տրոպիզմի, բջջային ցիկլից միկրոօրգանիզմների հատկությունների կախվածության, ծնողական շտամի ախտածնության </w:t>
      </w:r>
      <w:r w:rsidR="00C54D75">
        <w:rPr>
          <w:rFonts w:ascii="Sylfaen" w:hAnsi="Sylfaen"/>
          <w:sz w:val="24"/>
          <w:szCs w:val="24"/>
        </w:rPr>
        <w:t>և</w:t>
      </w:r>
      <w:r w:rsidRPr="00834D52">
        <w:rPr>
          <w:rFonts w:ascii="Sylfaen" w:hAnsi="Sylfaen"/>
          <w:sz w:val="24"/>
          <w:szCs w:val="24"/>
        </w:rPr>
        <w:t xml:space="preserve"> բնութագրերի վերաբերյալ տվյալներ.</w:t>
      </w:r>
    </w:p>
    <w:p w14:paraId="0B61CC33" w14:textId="77777777" w:rsidR="006F76EB" w:rsidRPr="00834D52" w:rsidRDefault="006F76EB" w:rsidP="007E1C16">
      <w:pPr>
        <w:tabs>
          <w:tab w:val="left" w:pos="1134"/>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գ)</w:t>
      </w:r>
      <w:r w:rsidRPr="00834D52">
        <w:rPr>
          <w:rFonts w:ascii="Sylfaen" w:hAnsi="Sylfaen"/>
          <w:sz w:val="24"/>
          <w:szCs w:val="24"/>
        </w:rPr>
        <w:tab/>
        <w:t xml:space="preserve">գրանցման դոսյեի համապատասխան բաժիններում անհրաժեշտ է նկարագրել արտադրական ու հարակից խառնուկները </w:t>
      </w:r>
      <w:r w:rsidR="00C54D75">
        <w:rPr>
          <w:rFonts w:ascii="Sylfaen" w:hAnsi="Sylfaen"/>
          <w:sz w:val="24"/>
          <w:szCs w:val="24"/>
        </w:rPr>
        <w:t>և</w:t>
      </w:r>
      <w:r w:rsidRPr="00834D52">
        <w:rPr>
          <w:rFonts w:ascii="Sylfaen" w:hAnsi="Sylfaen"/>
          <w:sz w:val="24"/>
          <w:szCs w:val="24"/>
        </w:rPr>
        <w:t xml:space="preserve"> հատկապես ռեպլիկացիայի ունակ վիրուսների տեսքով կոնտամինացնող ագենտները, եթե վեկտորը պետք է ռեպլիկացիայի ունակ չլինի.</w:t>
      </w:r>
    </w:p>
    <w:p w14:paraId="41E37221" w14:textId="77777777" w:rsidR="006F76EB" w:rsidRPr="00834D52" w:rsidRDefault="006F76EB" w:rsidP="000F124E">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w:t>
      </w:r>
      <w:r w:rsidRPr="00834D52">
        <w:rPr>
          <w:rFonts w:ascii="Sylfaen" w:hAnsi="Sylfaen"/>
          <w:sz w:val="24"/>
          <w:szCs w:val="24"/>
        </w:rPr>
        <w:tab/>
        <w:t>արտադրանքի պիտանիության ժամկետի ողջ ընթացքում պլազմիդների համար անհրաժեշտ է անցկացնել պլազմիդների տարբեր ձ</w:t>
      </w:r>
      <w:r w:rsidR="00C54D75">
        <w:rPr>
          <w:rFonts w:ascii="Sylfaen" w:hAnsi="Sylfaen"/>
          <w:sz w:val="24"/>
          <w:szCs w:val="24"/>
        </w:rPr>
        <w:t>և</w:t>
      </w:r>
      <w:r w:rsidRPr="00834D52">
        <w:rPr>
          <w:rFonts w:ascii="Sylfaen" w:hAnsi="Sylfaen"/>
          <w:sz w:val="24"/>
          <w:szCs w:val="24"/>
        </w:rPr>
        <w:t>երի քանակական որոշում.</w:t>
      </w:r>
    </w:p>
    <w:p w14:paraId="4D9E3F45" w14:textId="77777777" w:rsidR="006F76EB" w:rsidRPr="00834D52" w:rsidRDefault="006F76EB" w:rsidP="000F124E">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w:t>
      </w:r>
      <w:r w:rsidRPr="00834D52">
        <w:rPr>
          <w:rFonts w:ascii="Sylfaen" w:hAnsi="Sylfaen"/>
          <w:sz w:val="24"/>
          <w:szCs w:val="24"/>
        </w:rPr>
        <w:tab/>
        <w:t>գենետիկորեն մոդիֆիկացված բջիջների համար մինչ</w:t>
      </w:r>
      <w:r w:rsidR="00C54D75">
        <w:rPr>
          <w:rFonts w:ascii="Sylfaen" w:hAnsi="Sylfaen"/>
          <w:sz w:val="24"/>
          <w:szCs w:val="24"/>
        </w:rPr>
        <w:t>և</w:t>
      </w:r>
      <w:r w:rsidRPr="00834D52">
        <w:rPr>
          <w:rFonts w:ascii="Sylfaen" w:hAnsi="Sylfaen"/>
          <w:sz w:val="24"/>
          <w:szCs w:val="24"/>
        </w:rPr>
        <w:t xml:space="preserve"> գենետիկ մոդիֆիկացումը </w:t>
      </w:r>
      <w:r w:rsidR="00C54D75">
        <w:rPr>
          <w:rFonts w:ascii="Sylfaen" w:hAnsi="Sylfaen"/>
          <w:sz w:val="24"/>
          <w:szCs w:val="24"/>
        </w:rPr>
        <w:t>և</w:t>
      </w:r>
      <w:r w:rsidRPr="00834D52">
        <w:rPr>
          <w:rFonts w:ascii="Sylfaen" w:hAnsi="Sylfaen"/>
          <w:sz w:val="24"/>
          <w:szCs w:val="24"/>
        </w:rPr>
        <w:t xml:space="preserve"> դրանից հետո, ինչպես նա</w:t>
      </w:r>
      <w:r w:rsidR="00C54D75">
        <w:rPr>
          <w:rFonts w:ascii="Sylfaen" w:hAnsi="Sylfaen"/>
          <w:sz w:val="24"/>
          <w:szCs w:val="24"/>
        </w:rPr>
        <w:t>և</w:t>
      </w:r>
      <w:r w:rsidRPr="00834D52">
        <w:rPr>
          <w:rFonts w:ascii="Sylfaen" w:hAnsi="Sylfaen"/>
          <w:sz w:val="24"/>
          <w:szCs w:val="24"/>
        </w:rPr>
        <w:t xml:space="preserve"> հետագա սառեցման (պահպանման) որ</w:t>
      </w:r>
      <w:r w:rsidR="00C54D75">
        <w:rPr>
          <w:rFonts w:ascii="Sylfaen" w:hAnsi="Sylfaen"/>
          <w:sz w:val="24"/>
          <w:szCs w:val="24"/>
        </w:rPr>
        <w:t>և</w:t>
      </w:r>
      <w:r w:rsidRPr="00834D52">
        <w:rPr>
          <w:rFonts w:ascii="Sylfaen" w:hAnsi="Sylfaen"/>
          <w:sz w:val="24"/>
          <w:szCs w:val="24"/>
        </w:rPr>
        <w:t xml:space="preserve">է պրոցեդուրայից առաջ կամ դրանից հետո անհրաժեշտ է անցկացնել բջիջների բնութագրերի թեստավորում: </w:t>
      </w:r>
    </w:p>
    <w:p w14:paraId="4AEE0764" w14:textId="77777777" w:rsidR="006F76EB" w:rsidRPr="00834D52" w:rsidRDefault="006F76EB" w:rsidP="000F124E">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Ի լրումն գենոթերապ</w:t>
      </w:r>
      <w:r w:rsidR="00C54D75">
        <w:rPr>
          <w:rFonts w:ascii="Sylfaen" w:hAnsi="Sylfaen"/>
          <w:sz w:val="24"/>
          <w:szCs w:val="24"/>
        </w:rPr>
        <w:t>և</w:t>
      </w:r>
      <w:r w:rsidRPr="00834D52">
        <w:rPr>
          <w:rFonts w:ascii="Sylfaen" w:hAnsi="Sylfaen"/>
          <w:sz w:val="24"/>
          <w:szCs w:val="24"/>
        </w:rPr>
        <w:t xml:space="preserve">տիկ դեղապատրաստուկներին ներկայացվող սահմանված պահանջների՝ գենետիկորեն մոդիֆիկացված բջիջների համար հարկավոր է կիրառել սոմատիկ բջիջների հիմքով դեղապատրաստուկների </w:t>
      </w:r>
      <w:r w:rsidR="00C54D75">
        <w:rPr>
          <w:rFonts w:ascii="Sylfaen" w:hAnsi="Sylfaen"/>
          <w:sz w:val="24"/>
          <w:szCs w:val="24"/>
        </w:rPr>
        <w:t>և</w:t>
      </w:r>
      <w:r w:rsidRPr="00834D52">
        <w:rPr>
          <w:rFonts w:ascii="Sylfaen" w:hAnsi="Sylfaen"/>
          <w:sz w:val="24"/>
          <w:szCs w:val="24"/>
        </w:rPr>
        <w:t xml:space="preserve"> հյուսվածքային ինժեներիայի պատրաստուկների համար որակին ներկայացվող պահանջներ՝ սույն պահանջների 17.3.3 բաժնին համապատասխան:</w:t>
      </w:r>
    </w:p>
    <w:p w14:paraId="289E728D" w14:textId="77777777" w:rsidR="006F76EB" w:rsidRPr="00834D52" w:rsidRDefault="006F76EB" w:rsidP="000F124E">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17.3.3.</w:t>
      </w:r>
      <w:r w:rsidRPr="00834D52">
        <w:rPr>
          <w:rFonts w:ascii="Sylfaen" w:hAnsi="Sylfaen"/>
          <w:sz w:val="24"/>
          <w:szCs w:val="24"/>
        </w:rPr>
        <w:tab/>
        <w:t>Սոմատոթերապ</w:t>
      </w:r>
      <w:r w:rsidR="00C54D75">
        <w:rPr>
          <w:rFonts w:ascii="Sylfaen" w:hAnsi="Sylfaen"/>
          <w:sz w:val="24"/>
          <w:szCs w:val="24"/>
        </w:rPr>
        <w:t>և</w:t>
      </w:r>
      <w:r w:rsidRPr="00834D52">
        <w:rPr>
          <w:rFonts w:ascii="Sylfaen" w:hAnsi="Sylfaen"/>
          <w:sz w:val="24"/>
          <w:szCs w:val="24"/>
        </w:rPr>
        <w:t xml:space="preserve">տիկ դեղապատրաստուկներին </w:t>
      </w:r>
      <w:r w:rsidR="00C54D75">
        <w:rPr>
          <w:rFonts w:ascii="Sylfaen" w:hAnsi="Sylfaen"/>
          <w:sz w:val="24"/>
          <w:szCs w:val="24"/>
        </w:rPr>
        <w:t>և</w:t>
      </w:r>
      <w:r w:rsidRPr="00834D52">
        <w:rPr>
          <w:rFonts w:ascii="Sylfaen" w:hAnsi="Sylfaen"/>
          <w:sz w:val="24"/>
          <w:szCs w:val="24"/>
        </w:rPr>
        <w:t xml:space="preserve"> հյուսվածքային ինժեներիայի դեղապատրաստուկներին ներկայացվող հատուկ պահանջները.</w:t>
      </w:r>
    </w:p>
    <w:p w14:paraId="619D624A" w14:textId="77777777" w:rsidR="006F76EB" w:rsidRPr="00834D52" w:rsidRDefault="006F76EB" w:rsidP="000F124E">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17.3.3.1.</w:t>
      </w:r>
      <w:r w:rsidRPr="00834D52">
        <w:rPr>
          <w:rFonts w:ascii="Sylfaen" w:hAnsi="Sylfaen"/>
          <w:sz w:val="24"/>
          <w:szCs w:val="24"/>
        </w:rPr>
        <w:tab/>
        <w:t xml:space="preserve">Ներածություն. դեղապատրաստուկ, դեղագործական բաղադրամաս </w:t>
      </w:r>
      <w:r w:rsidR="00C54D75">
        <w:rPr>
          <w:rFonts w:ascii="Sylfaen" w:hAnsi="Sylfaen"/>
          <w:sz w:val="24"/>
          <w:szCs w:val="24"/>
        </w:rPr>
        <w:t>և</w:t>
      </w:r>
      <w:r w:rsidRPr="00834D52">
        <w:rPr>
          <w:rFonts w:ascii="Sylfaen" w:hAnsi="Sylfaen"/>
          <w:sz w:val="24"/>
          <w:szCs w:val="24"/>
        </w:rPr>
        <w:t xml:space="preserve"> ելակետային նյութեր:</w:t>
      </w:r>
    </w:p>
    <w:p w14:paraId="6DD08D44" w14:textId="77777777" w:rsidR="006F76EB" w:rsidRPr="00834D52" w:rsidRDefault="006F76EB" w:rsidP="001155F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Դեղապատրաստուկը պետք է կազմված լինի առաջարկվող բժշկական կիրառման համար նախատեսված առաջնային փաթեթվածքով դեղագործական բաղադրամասից ու դրա վերջնական համակցության մեջ ներառված դեղագործական բաղադրամասից, եթե այն համակցված բարձր տեխնոլոգիական դեղապատրաստուկ է:</w:t>
      </w:r>
    </w:p>
    <w:p w14:paraId="74C8687B" w14:textId="77777777" w:rsidR="006F76EB" w:rsidRPr="00834D52" w:rsidRDefault="006F76EB" w:rsidP="001155F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Դեղագործական բաղադրամասը պետք է կազմված լինի ինժեներիայի ենթարկված բջիջներից (հյուսվածքներից):</w:t>
      </w:r>
    </w:p>
    <w:p w14:paraId="475D1D69" w14:textId="77777777" w:rsidR="006F76EB" w:rsidRPr="00834D52" w:rsidRDefault="006F76EB" w:rsidP="001155F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լրացուցիչ նյութերը (օրինակ՝ կմախքներ, մատրիցաներ, արտադրատեսակներ, կենսանյութեր, կենսամոլեկուլներ </w:t>
      </w:r>
      <w:r w:rsidR="00C54D75">
        <w:rPr>
          <w:rFonts w:ascii="Sylfaen" w:hAnsi="Sylfaen"/>
          <w:sz w:val="24"/>
          <w:szCs w:val="24"/>
        </w:rPr>
        <w:t>և</w:t>
      </w:r>
      <w:r w:rsidRPr="00834D52">
        <w:rPr>
          <w:rFonts w:ascii="Sylfaen" w:hAnsi="Sylfaen"/>
          <w:sz w:val="24"/>
          <w:szCs w:val="24"/>
        </w:rPr>
        <w:t xml:space="preserve"> այլն), որոնք համակցվում են մշակման ենթարկված այն բջիջների հետ, որոնց հետ դրանք մեկ ամբողջություն են կազմում, ելակետային նյութեր են հանդիսանում նույնիսկ այն դեպքում, երբ չունեն կենսաբանական ծագում:</w:t>
      </w:r>
    </w:p>
    <w:p w14:paraId="5A3E202E" w14:textId="77777777" w:rsidR="006F76EB" w:rsidRPr="00333A89" w:rsidRDefault="006F76EB" w:rsidP="00D569EF">
      <w:pPr>
        <w:spacing w:after="160" w:line="384" w:lineRule="auto"/>
        <w:ind w:right="-6" w:firstLine="567"/>
        <w:jc w:val="both"/>
        <w:rPr>
          <w:rFonts w:ascii="Sylfaen" w:eastAsia="Times New Roman" w:hAnsi="Sylfaen" w:cs="Times New Roman"/>
          <w:spacing w:val="-4"/>
          <w:sz w:val="24"/>
          <w:szCs w:val="24"/>
        </w:rPr>
      </w:pPr>
      <w:r w:rsidRPr="00333A89">
        <w:rPr>
          <w:rFonts w:ascii="Sylfaen" w:hAnsi="Sylfaen"/>
          <w:spacing w:val="-4"/>
          <w:sz w:val="24"/>
          <w:szCs w:val="24"/>
        </w:rPr>
        <w:t xml:space="preserve">Դեղագործական բաղադրամասերի արտադրության մեջ օգտագործվող այն </w:t>
      </w:r>
      <w:r w:rsidRPr="00333A89">
        <w:rPr>
          <w:rFonts w:ascii="Sylfaen" w:hAnsi="Sylfaen"/>
          <w:spacing w:val="-4"/>
          <w:sz w:val="24"/>
          <w:szCs w:val="24"/>
        </w:rPr>
        <w:lastRenderedPageBreak/>
        <w:t>նյութերը (օրինակ՝ սնուցող միջավայրը, աճի գործոնները), որոնք նախատեսված չեն որպես դեղագործական բաղադրամասի բաղադրիչ ներառվելու համար, հանդիսանում են հումք:</w:t>
      </w:r>
    </w:p>
    <w:p w14:paraId="1C657927" w14:textId="77777777" w:rsidR="006F76EB" w:rsidRPr="00834D52" w:rsidRDefault="006F76EB" w:rsidP="00131173">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17.3.3.2.</w:t>
      </w:r>
      <w:r w:rsidRPr="00834D52">
        <w:rPr>
          <w:rFonts w:ascii="Sylfaen" w:hAnsi="Sylfaen"/>
          <w:sz w:val="24"/>
          <w:szCs w:val="24"/>
        </w:rPr>
        <w:tab/>
        <w:t>Հատուկ պահանջներ.</w:t>
      </w:r>
    </w:p>
    <w:p w14:paraId="7BE58AFB" w14:textId="77777777" w:rsidR="006F76EB" w:rsidRPr="00834D52" w:rsidRDefault="006F76EB" w:rsidP="00AD33B0">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Ի լրումն սույն հավելվածի I մասի 3.2.1 </w:t>
      </w:r>
      <w:r w:rsidR="00C54D75">
        <w:rPr>
          <w:rFonts w:ascii="Sylfaen" w:hAnsi="Sylfaen"/>
          <w:sz w:val="24"/>
          <w:szCs w:val="24"/>
        </w:rPr>
        <w:t>և</w:t>
      </w:r>
      <w:r w:rsidRPr="00834D52">
        <w:rPr>
          <w:rFonts w:ascii="Sylfaen" w:hAnsi="Sylfaen"/>
          <w:sz w:val="24"/>
          <w:szCs w:val="24"/>
        </w:rPr>
        <w:t xml:space="preserve"> 3.2.2 բաժիններում նշված պահանջների՝ կիրառվում են հետ</w:t>
      </w:r>
      <w:r w:rsidR="00C54D75">
        <w:rPr>
          <w:rFonts w:ascii="Sylfaen" w:hAnsi="Sylfaen"/>
          <w:sz w:val="24"/>
          <w:szCs w:val="24"/>
        </w:rPr>
        <w:t>և</w:t>
      </w:r>
      <w:r w:rsidRPr="00834D52">
        <w:rPr>
          <w:rFonts w:ascii="Sylfaen" w:hAnsi="Sylfaen"/>
          <w:sz w:val="24"/>
          <w:szCs w:val="24"/>
        </w:rPr>
        <w:t>յալ պահանջները՝</w:t>
      </w:r>
    </w:p>
    <w:p w14:paraId="3011B9C4" w14:textId="77777777" w:rsidR="006F76EB" w:rsidRPr="00834D52" w:rsidRDefault="006F76EB" w:rsidP="00131173">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17.3.3.2.1.</w:t>
      </w:r>
      <w:r w:rsidRPr="00834D52">
        <w:rPr>
          <w:rFonts w:ascii="Sylfaen" w:hAnsi="Sylfaen"/>
          <w:sz w:val="24"/>
          <w:szCs w:val="24"/>
        </w:rPr>
        <w:tab/>
        <w:t>Ելակետային նյութեր.</w:t>
      </w:r>
    </w:p>
    <w:p w14:paraId="33107456" w14:textId="77777777" w:rsidR="006F76EB" w:rsidRPr="00834D52" w:rsidRDefault="006F76EB" w:rsidP="00AD33B0">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որպես ելակետային նյութեր օգտագործվող՝ մարդու հյուսվածքների </w:t>
      </w:r>
      <w:r w:rsidR="00C54D75">
        <w:rPr>
          <w:rFonts w:ascii="Sylfaen" w:hAnsi="Sylfaen"/>
          <w:sz w:val="24"/>
          <w:szCs w:val="24"/>
        </w:rPr>
        <w:t>և</w:t>
      </w:r>
      <w:r w:rsidRPr="00834D52">
        <w:rPr>
          <w:rFonts w:ascii="Sylfaen" w:hAnsi="Sylfaen"/>
          <w:sz w:val="24"/>
          <w:szCs w:val="24"/>
        </w:rPr>
        <w:t xml:space="preserve"> բջիջների ստացման, մթերման </w:t>
      </w:r>
      <w:r w:rsidR="00C54D75">
        <w:rPr>
          <w:rFonts w:ascii="Sylfaen" w:hAnsi="Sylfaen"/>
          <w:sz w:val="24"/>
          <w:szCs w:val="24"/>
        </w:rPr>
        <w:t>և</w:t>
      </w:r>
      <w:r w:rsidRPr="00834D52">
        <w:rPr>
          <w:rFonts w:ascii="Sylfaen" w:hAnsi="Sylfaen"/>
          <w:sz w:val="24"/>
          <w:szCs w:val="24"/>
        </w:rPr>
        <w:t xml:space="preserve"> փորձարկման մասին ռեզյումե: Անհրաժեշտ է ներկայացնել հիմնավորում, եթե որպես ելակետային նյութեր օգտագործվել են անառողջ բջիջներ կամ հյուսվածքներ </w:t>
      </w:r>
      <w:r w:rsidRPr="00834D52">
        <w:rPr>
          <w:rFonts w:ascii="Sylfaen" w:hAnsi="Sylfaen"/>
          <w:sz w:val="24"/>
          <w:szCs w:val="24"/>
        </w:rPr>
        <w:br/>
        <w:t>(օրինակ՝ քաղցկեղային):</w:t>
      </w:r>
    </w:p>
    <w:p w14:paraId="194BE2C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ալլոգեն բջիջների պոպուլյացիաները միավորվել են, ապա անհրաժեշտ է նկարագրել միավորման ռազմավարությունն ու ձեռնարկել հետագծելիության ապահովմանն ուղղված միջոցներ:</w:t>
      </w:r>
    </w:p>
    <w:p w14:paraId="0F48D15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Արտադրության պրոցեսի վալիդացման, դեղագործական բաղադրամասի </w:t>
      </w:r>
      <w:r w:rsidR="00C54D75">
        <w:rPr>
          <w:rFonts w:ascii="Sylfaen" w:hAnsi="Sylfaen"/>
          <w:sz w:val="24"/>
          <w:szCs w:val="24"/>
        </w:rPr>
        <w:t>և</w:t>
      </w:r>
      <w:r w:rsidRPr="00834D52">
        <w:rPr>
          <w:rFonts w:ascii="Sylfaen" w:hAnsi="Sylfaen"/>
          <w:sz w:val="24"/>
          <w:szCs w:val="24"/>
        </w:rPr>
        <w:t xml:space="preserve"> դեղապատրաստուկի հատկությունների, մշակման մեջ օգտագործվող վերլուծական մեթոդիկաների նկարագրության, մասնագրերի կազմման </w:t>
      </w:r>
      <w:r w:rsidR="00C54D75">
        <w:rPr>
          <w:rFonts w:ascii="Sylfaen" w:hAnsi="Sylfaen"/>
          <w:sz w:val="24"/>
          <w:szCs w:val="24"/>
        </w:rPr>
        <w:t>և</w:t>
      </w:r>
      <w:r w:rsidRPr="00834D52">
        <w:rPr>
          <w:rFonts w:ascii="Sylfaen" w:hAnsi="Sylfaen"/>
          <w:sz w:val="24"/>
          <w:szCs w:val="24"/>
        </w:rPr>
        <w:t xml:space="preserve"> կայունության որոշման ժամանակ անհրաժեշտ է հաշվի առնել մարդու կամ կենդանիների հյուսվածքների </w:t>
      </w:r>
      <w:r w:rsidR="00C54D75">
        <w:rPr>
          <w:rFonts w:ascii="Sylfaen" w:hAnsi="Sylfaen"/>
          <w:sz w:val="24"/>
          <w:szCs w:val="24"/>
        </w:rPr>
        <w:t>և</w:t>
      </w:r>
      <w:r w:rsidRPr="00834D52">
        <w:rPr>
          <w:rFonts w:ascii="Sylfaen" w:hAnsi="Sylfaen"/>
          <w:sz w:val="24"/>
          <w:szCs w:val="24"/>
        </w:rPr>
        <w:t xml:space="preserve"> բջիջների օգտագործմամբ պայմանավորված պոտենցիալ փոփոխականությունը:</w:t>
      </w:r>
    </w:p>
    <w:p w14:paraId="77934AD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Քսենոգեն բջջային դեղապատրաստուկների առնչությամբ անհրաժեշտ է ներկայացնել կենդանիների աղբյուրի (օրինակ՝ աշխարհագրական ծագումը, անասնապահական տնտեսությունը, տարիքը), ընդունելիության հիմնական չափանիշների, կենդանի-դոնորների մոտ վարակների կանխմանն ու դիտարկմանն ուղղված միջոցների, վարակիչ ագենտների, ներառյալ՝ ուղղահայաց </w:t>
      </w:r>
      <w:r w:rsidRPr="00834D52">
        <w:rPr>
          <w:rFonts w:ascii="Sylfaen" w:hAnsi="Sylfaen"/>
          <w:sz w:val="24"/>
          <w:szCs w:val="24"/>
        </w:rPr>
        <w:lastRenderedPageBreak/>
        <w:t xml:space="preserve">փոխանցվող միկրոօրգանիզմների </w:t>
      </w:r>
      <w:r w:rsidR="00C54D75">
        <w:rPr>
          <w:rFonts w:ascii="Sylfaen" w:hAnsi="Sylfaen"/>
          <w:sz w:val="24"/>
          <w:szCs w:val="24"/>
        </w:rPr>
        <w:t>և</w:t>
      </w:r>
      <w:r w:rsidRPr="00834D52">
        <w:rPr>
          <w:rFonts w:ascii="Sylfaen" w:hAnsi="Sylfaen"/>
          <w:sz w:val="24"/>
          <w:szCs w:val="24"/>
        </w:rPr>
        <w:t xml:space="preserve"> վիրուսների նկատմամբ կենդանիների փորձարկումների </w:t>
      </w:r>
      <w:r w:rsidR="00C54D75">
        <w:rPr>
          <w:rFonts w:ascii="Sylfaen" w:hAnsi="Sylfaen"/>
          <w:sz w:val="24"/>
          <w:szCs w:val="24"/>
        </w:rPr>
        <w:t>և</w:t>
      </w:r>
      <w:r w:rsidRPr="00834D52">
        <w:rPr>
          <w:rFonts w:ascii="Sylfaen" w:hAnsi="Sylfaen"/>
          <w:sz w:val="24"/>
          <w:szCs w:val="24"/>
        </w:rPr>
        <w:t xml:space="preserve"> կենդանիներ պահելու պայմանների պիտանիության հաստատման վերաբերյալ տեղեկություններ:</w:t>
      </w:r>
    </w:p>
    <w:p w14:paraId="68AB3DAC"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Գենետիկորեն մոդիֆիկացված կենդանիներից ստացված բջջային դեղապատրաստուկների առնչությամբ անհրաժեշտ է նկարագրել բջիջների գենետիկ մոդիֆիկացմամբ պայմանավորված հիմնական հատկությունները: Անհրաժեշտ է ներկայացնել տրանսգեն կենդանիների ստեղծման </w:t>
      </w:r>
      <w:r w:rsidR="00C54D75">
        <w:rPr>
          <w:rFonts w:ascii="Sylfaen" w:hAnsi="Sylfaen"/>
          <w:sz w:val="24"/>
          <w:szCs w:val="24"/>
        </w:rPr>
        <w:t>և</w:t>
      </w:r>
      <w:r w:rsidRPr="00834D52">
        <w:rPr>
          <w:rFonts w:ascii="Sylfaen" w:hAnsi="Sylfaen"/>
          <w:sz w:val="24"/>
          <w:szCs w:val="24"/>
        </w:rPr>
        <w:t xml:space="preserve"> նկարագրության մեթոդի մանրամասն նկարագրություն:</w:t>
      </w:r>
    </w:p>
    <w:p w14:paraId="0C69DD6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Գենետիկորեն մոդիֆիկացված բջիջների առնչությամբ անհրաժեշտ է նա</w:t>
      </w:r>
      <w:r w:rsidR="00C54D75">
        <w:rPr>
          <w:rFonts w:ascii="Sylfaen" w:hAnsi="Sylfaen"/>
          <w:sz w:val="24"/>
          <w:szCs w:val="24"/>
        </w:rPr>
        <w:t>և</w:t>
      </w:r>
      <w:r w:rsidRPr="00834D52">
        <w:rPr>
          <w:rFonts w:ascii="Sylfaen" w:hAnsi="Sylfaen"/>
          <w:sz w:val="24"/>
          <w:szCs w:val="24"/>
        </w:rPr>
        <w:t xml:space="preserve"> հաշվի առնել սույն հավելվածի 17.3.2 բաժնում նշված պահանջները:</w:t>
      </w:r>
    </w:p>
    <w:p w14:paraId="545FA42A"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նկարագրել </w:t>
      </w:r>
      <w:r w:rsidR="00C54D75">
        <w:rPr>
          <w:rFonts w:ascii="Sylfaen" w:hAnsi="Sylfaen"/>
          <w:sz w:val="24"/>
          <w:szCs w:val="24"/>
        </w:rPr>
        <w:t>և</w:t>
      </w:r>
      <w:r w:rsidRPr="00834D52">
        <w:rPr>
          <w:rFonts w:ascii="Sylfaen" w:hAnsi="Sylfaen"/>
          <w:sz w:val="24"/>
          <w:szCs w:val="24"/>
        </w:rPr>
        <w:t xml:space="preserve"> հիմնավորել բոլոր այն լրացուցիչ նյութերի փորձարկումների պայմանները (կմախքներ, մատրիցաներ, արտադրատեսակներ, կենսանյութեր, կենսամոլեկուլներ </w:t>
      </w:r>
      <w:r w:rsidR="00C54D75">
        <w:rPr>
          <w:rFonts w:ascii="Sylfaen" w:hAnsi="Sylfaen"/>
          <w:sz w:val="24"/>
          <w:szCs w:val="24"/>
        </w:rPr>
        <w:t>և</w:t>
      </w:r>
      <w:r w:rsidRPr="00834D52">
        <w:rPr>
          <w:rFonts w:ascii="Sylfaen" w:hAnsi="Sylfaen"/>
          <w:sz w:val="24"/>
          <w:szCs w:val="24"/>
        </w:rPr>
        <w:t xml:space="preserve"> այլն), որոնք համակցվել են ինժեներիայի ենթարկված բջիջների հետ:</w:t>
      </w:r>
    </w:p>
    <w:p w14:paraId="7429C0BD" w14:textId="77777777" w:rsidR="006F76EB" w:rsidRPr="00834D52" w:rsidRDefault="006F76EB" w:rsidP="00E70EE4">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Բժշկական արտադրատեսակ կամ ակտիվ իմպլանտավորվող բժշկական արտադրատեսակ սահմանման տակ ընկնող կմախքների, մատրիցաների </w:t>
      </w:r>
      <w:r w:rsidR="00C54D75">
        <w:rPr>
          <w:rFonts w:ascii="Sylfaen" w:hAnsi="Sylfaen"/>
          <w:sz w:val="24"/>
          <w:szCs w:val="24"/>
        </w:rPr>
        <w:t>և</w:t>
      </w:r>
      <w:r w:rsidRPr="00834D52">
        <w:rPr>
          <w:rFonts w:ascii="Sylfaen" w:hAnsi="Sylfaen"/>
          <w:sz w:val="24"/>
          <w:szCs w:val="24"/>
        </w:rPr>
        <w:t xml:space="preserve"> արտադրատեսակների առնչությամբ անհրաժեշտ է ներկայացնել սույն հավելվածի 17.3.4 բաժնում նշված տեղեկությունները, որոնք պահանջվում են առաջատար թերապիայի համար նախատեսված համակցված դեղապատրաստուկների փորձաքննության համար:</w:t>
      </w:r>
    </w:p>
    <w:p w14:paraId="00D3F891" w14:textId="77777777" w:rsidR="006F76EB" w:rsidRPr="00834D52" w:rsidRDefault="006F76EB" w:rsidP="00E70EE4">
      <w:pPr>
        <w:tabs>
          <w:tab w:val="left" w:pos="1701"/>
        </w:tabs>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17.3.3.2.2.</w:t>
      </w:r>
      <w:r w:rsidRPr="00834D52">
        <w:rPr>
          <w:rFonts w:ascii="Sylfaen" w:hAnsi="Sylfaen"/>
          <w:sz w:val="24"/>
          <w:szCs w:val="24"/>
        </w:rPr>
        <w:tab/>
        <w:t>Արտադրական պրոցեսը</w:t>
      </w:r>
    </w:p>
    <w:p w14:paraId="5EF38759" w14:textId="77777777" w:rsidR="006F76EB" w:rsidRPr="00834D52" w:rsidRDefault="006F76EB" w:rsidP="00E70EE4">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Հումքերի համասեռության </w:t>
      </w:r>
      <w:r w:rsidR="00C54D75">
        <w:rPr>
          <w:rFonts w:ascii="Sylfaen" w:hAnsi="Sylfaen"/>
          <w:sz w:val="24"/>
          <w:szCs w:val="24"/>
        </w:rPr>
        <w:t>և</w:t>
      </w:r>
      <w:r w:rsidRPr="00834D52">
        <w:rPr>
          <w:rFonts w:ascii="Sylfaen" w:hAnsi="Sylfaen"/>
          <w:sz w:val="24"/>
          <w:szCs w:val="24"/>
        </w:rPr>
        <w:t xml:space="preserve"> արտադրության պրոցեսի, արտադրության </w:t>
      </w:r>
      <w:r w:rsidR="00C54D75">
        <w:rPr>
          <w:rFonts w:ascii="Sylfaen" w:hAnsi="Sylfaen"/>
          <w:sz w:val="24"/>
          <w:szCs w:val="24"/>
        </w:rPr>
        <w:t>և</w:t>
      </w:r>
      <w:r w:rsidRPr="00834D52">
        <w:rPr>
          <w:rFonts w:ascii="Sylfaen" w:hAnsi="Sylfaen"/>
          <w:sz w:val="24"/>
          <w:szCs w:val="24"/>
        </w:rPr>
        <w:t xml:space="preserve"> տրանսպորտային փոխադրման ընթացքում (ընդհուպ մինչ</w:t>
      </w:r>
      <w:r w:rsidR="00C54D75">
        <w:rPr>
          <w:rFonts w:ascii="Sylfaen" w:hAnsi="Sylfaen"/>
          <w:sz w:val="24"/>
          <w:szCs w:val="24"/>
        </w:rPr>
        <w:t>և</w:t>
      </w:r>
      <w:r w:rsidRPr="00834D52">
        <w:rPr>
          <w:rFonts w:ascii="Sylfaen" w:hAnsi="Sylfaen"/>
          <w:sz w:val="24"/>
          <w:szCs w:val="24"/>
        </w:rPr>
        <w:t xml:space="preserve"> կիրառումը կամ ներմուծումը) բջիջների ֆունկցիոնալ ամբողջականության </w:t>
      </w:r>
      <w:r w:rsidR="00C54D75">
        <w:rPr>
          <w:rFonts w:ascii="Sylfaen" w:hAnsi="Sylfaen"/>
          <w:sz w:val="24"/>
          <w:szCs w:val="24"/>
        </w:rPr>
        <w:t>և</w:t>
      </w:r>
      <w:r w:rsidRPr="00834D52">
        <w:rPr>
          <w:rFonts w:ascii="Sylfaen" w:hAnsi="Sylfaen"/>
          <w:sz w:val="24"/>
          <w:szCs w:val="24"/>
        </w:rPr>
        <w:t xml:space="preserve"> տարբերակման (դիֆերենցման) պատշաճ վիճակի ապահովման նպատակով անհրաժեշտ է վալիդացնել արտադրության պրոցեսը:</w:t>
      </w:r>
    </w:p>
    <w:p w14:paraId="3F9C55C6" w14:textId="77777777" w:rsidR="006F76EB" w:rsidRPr="00834D52" w:rsidRDefault="006F76EB" w:rsidP="007B65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բջիջներն ուղղակիորեն աճեցված են ներսում կամ մատրիցայի, կմախքի </w:t>
      </w:r>
      <w:r w:rsidRPr="00834D52">
        <w:rPr>
          <w:rFonts w:ascii="Sylfaen" w:hAnsi="Sylfaen"/>
          <w:sz w:val="24"/>
          <w:szCs w:val="24"/>
        </w:rPr>
        <w:lastRenderedPageBreak/>
        <w:t xml:space="preserve">կամ արտադրատեսակի վրա, ապա անհրաժեշտ է ներկայացնել բջիջների աճի տեսանկյունից բջջային կուլտուրայի ստացման պրոցեսի վալիդացման, այդպիսի համակցության գործառույթի </w:t>
      </w:r>
      <w:r w:rsidR="00C54D75">
        <w:rPr>
          <w:rFonts w:ascii="Sylfaen" w:hAnsi="Sylfaen"/>
          <w:sz w:val="24"/>
          <w:szCs w:val="24"/>
        </w:rPr>
        <w:t>և</w:t>
      </w:r>
      <w:r w:rsidRPr="00834D52">
        <w:rPr>
          <w:rFonts w:ascii="Sylfaen" w:hAnsi="Sylfaen"/>
          <w:sz w:val="24"/>
          <w:szCs w:val="24"/>
        </w:rPr>
        <w:t xml:space="preserve"> ամբողջականության վերաբերյալ տեղեկություններ:</w:t>
      </w:r>
    </w:p>
    <w:p w14:paraId="6B935635"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17.3.3.2.3.</w:t>
      </w:r>
      <w:r w:rsidRPr="00834D52">
        <w:rPr>
          <w:rFonts w:ascii="Sylfaen" w:hAnsi="Sylfaen"/>
          <w:sz w:val="24"/>
          <w:szCs w:val="24"/>
        </w:rPr>
        <w:tab/>
        <w:t xml:space="preserve">Հատկությունների նկարագրության </w:t>
      </w:r>
      <w:r w:rsidR="00C54D75">
        <w:rPr>
          <w:rFonts w:ascii="Sylfaen" w:hAnsi="Sylfaen"/>
          <w:sz w:val="24"/>
          <w:szCs w:val="24"/>
        </w:rPr>
        <w:t>և</w:t>
      </w:r>
      <w:r w:rsidRPr="00834D52">
        <w:rPr>
          <w:rFonts w:ascii="Sylfaen" w:hAnsi="Sylfaen"/>
          <w:sz w:val="24"/>
          <w:szCs w:val="24"/>
        </w:rPr>
        <w:t xml:space="preserve"> որակի հսկողության ռազմավարությունը.</w:t>
      </w:r>
    </w:p>
    <w:p w14:paraId="0E5F21D3" w14:textId="77777777" w:rsidR="006F76EB" w:rsidRPr="00834D52" w:rsidRDefault="006F76EB" w:rsidP="007B65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բջիջների կամ բջիջների խառնուրդների պոպուլյացիաների հատկությունների՝ դրանց իսկության, մաքրության (օրինակ՝ օտար մանրէային ագենտների կամ բջջային կոնտամինանտների առկայություն), կենսունակության, ակտիվության, կարիոլոգիայի, քաղցկեղածնության </w:t>
      </w:r>
      <w:r w:rsidR="00C54D75">
        <w:rPr>
          <w:rFonts w:ascii="Sylfaen" w:hAnsi="Sylfaen"/>
          <w:sz w:val="24"/>
          <w:szCs w:val="24"/>
        </w:rPr>
        <w:t>և</w:t>
      </w:r>
      <w:r w:rsidRPr="00834D52">
        <w:rPr>
          <w:rFonts w:ascii="Sylfaen" w:hAnsi="Sylfaen"/>
          <w:sz w:val="24"/>
          <w:szCs w:val="24"/>
        </w:rPr>
        <w:t xml:space="preserve"> առաջարկվող բժշկական կիրառման համար պիտանիության տեսանկյունից նկարագրությանը վերաբերող տեղեկություններ: Անհրաժեշտ է հաստատել բջիջների գենետիկ կայունությունը:</w:t>
      </w:r>
    </w:p>
    <w:p w14:paraId="72A144C9" w14:textId="77777777" w:rsidR="006F76EB" w:rsidRPr="00834D52" w:rsidRDefault="006F76EB" w:rsidP="007B65EB">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արտադրական </w:t>
      </w:r>
      <w:r w:rsidR="00C54D75">
        <w:rPr>
          <w:rFonts w:ascii="Sylfaen" w:hAnsi="Sylfaen"/>
          <w:sz w:val="24"/>
          <w:szCs w:val="24"/>
        </w:rPr>
        <w:t>և</w:t>
      </w:r>
      <w:r w:rsidRPr="00834D52">
        <w:rPr>
          <w:rFonts w:ascii="Sylfaen" w:hAnsi="Sylfaen"/>
          <w:sz w:val="24"/>
          <w:szCs w:val="24"/>
        </w:rPr>
        <w:t xml:space="preserve"> հարակից խառնուկների վերաբերյալ որակական </w:t>
      </w:r>
      <w:r w:rsidR="00C54D75">
        <w:rPr>
          <w:rFonts w:ascii="Sylfaen" w:hAnsi="Sylfaen"/>
          <w:sz w:val="24"/>
          <w:szCs w:val="24"/>
        </w:rPr>
        <w:t>և</w:t>
      </w:r>
      <w:r w:rsidRPr="00834D52">
        <w:rPr>
          <w:rFonts w:ascii="Sylfaen" w:hAnsi="Sylfaen"/>
          <w:sz w:val="24"/>
          <w:szCs w:val="24"/>
        </w:rPr>
        <w:t xml:space="preserve"> հնարավորության դեպքում՝ քանակական տեղեկություններ, ինչպես նա</w:t>
      </w:r>
      <w:r w:rsidR="00C54D75">
        <w:rPr>
          <w:rFonts w:ascii="Sylfaen" w:hAnsi="Sylfaen"/>
          <w:sz w:val="24"/>
          <w:szCs w:val="24"/>
        </w:rPr>
        <w:t>և</w:t>
      </w:r>
      <w:r w:rsidRPr="00834D52">
        <w:rPr>
          <w:rFonts w:ascii="Sylfaen" w:hAnsi="Sylfaen"/>
          <w:sz w:val="24"/>
          <w:szCs w:val="24"/>
        </w:rPr>
        <w:t xml:space="preserve"> տեղեկություններ այն բոլոր նյութերի վերաբերյալ, որոնք կարող են արտադրության ընթացքում հանգեցնել դեգրադացիայի արգասիքների առաջացման: Անհրաժեշտ է հիմնավորել խառնուկների ուսումնասիրության մակարդակը:</w:t>
      </w:r>
    </w:p>
    <w:p w14:paraId="2FD8C882" w14:textId="77777777" w:rsidR="006F76EB" w:rsidRPr="00F06D43" w:rsidRDefault="006F76EB" w:rsidP="007B65EB">
      <w:pPr>
        <w:spacing w:after="160" w:line="384" w:lineRule="auto"/>
        <w:ind w:right="-6" w:firstLine="567"/>
        <w:jc w:val="both"/>
        <w:rPr>
          <w:rFonts w:ascii="Sylfaen" w:hAnsi="Sylfaen"/>
          <w:sz w:val="24"/>
          <w:szCs w:val="24"/>
        </w:rPr>
      </w:pPr>
      <w:r w:rsidRPr="00834D52">
        <w:rPr>
          <w:rFonts w:ascii="Sylfaen" w:hAnsi="Sylfaen"/>
          <w:sz w:val="24"/>
          <w:szCs w:val="24"/>
        </w:rPr>
        <w:t xml:space="preserve">Անհրաժեշտ է ներկայացնել հիմնավորում այն մասին, որ դեղագործական բաղադրամասի կամ դեղապատրաստուկի հետ հնարավոր չէ անցկացնել որակի հսկողության որոշակի փորձարկումներ, սակայն դա հնարավոր է առանցքային միջանկյալ արգասիքների հետ </w:t>
      </w:r>
      <w:r w:rsidR="00C54D75">
        <w:rPr>
          <w:rFonts w:ascii="Sylfaen" w:hAnsi="Sylfaen"/>
          <w:sz w:val="24"/>
          <w:szCs w:val="24"/>
        </w:rPr>
        <w:t>և</w:t>
      </w:r>
      <w:r w:rsidRPr="00834D52">
        <w:rPr>
          <w:rFonts w:ascii="Sylfaen" w:hAnsi="Sylfaen"/>
          <w:sz w:val="24"/>
          <w:szCs w:val="24"/>
        </w:rPr>
        <w:t xml:space="preserve"> (կամ) ներարտադրական հսկողության շրջանակներում:</w:t>
      </w:r>
    </w:p>
    <w:p w14:paraId="2A90F5E0" w14:textId="77777777" w:rsidR="007B65EB" w:rsidRPr="00F06D43" w:rsidRDefault="007B65EB" w:rsidP="007B65EB">
      <w:pPr>
        <w:spacing w:after="160" w:line="384" w:lineRule="auto"/>
        <w:ind w:right="-6" w:firstLine="567"/>
        <w:jc w:val="both"/>
        <w:rPr>
          <w:rFonts w:ascii="Sylfaen" w:eastAsia="Times New Roman" w:hAnsi="Sylfaen" w:cs="Times New Roman"/>
          <w:sz w:val="24"/>
          <w:szCs w:val="24"/>
        </w:rPr>
      </w:pPr>
    </w:p>
    <w:p w14:paraId="16355344" w14:textId="77777777" w:rsidR="006F76EB" w:rsidRPr="00834D52" w:rsidRDefault="006F76EB" w:rsidP="00CE1C3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որպես բաղադրիչներ բջջային դեղապատրաստուկները </w:t>
      </w:r>
      <w:r w:rsidRPr="00834D52">
        <w:rPr>
          <w:rFonts w:ascii="Sylfaen" w:hAnsi="Sylfaen"/>
          <w:sz w:val="24"/>
          <w:szCs w:val="24"/>
        </w:rPr>
        <w:lastRenderedPageBreak/>
        <w:t>պարունակում</w:t>
      </w:r>
      <w:r w:rsidR="007B65EB" w:rsidRPr="007B65EB">
        <w:rPr>
          <w:rFonts w:ascii="Sylfaen" w:hAnsi="Sylfaen"/>
          <w:sz w:val="24"/>
          <w:szCs w:val="24"/>
        </w:rPr>
        <w:t> </w:t>
      </w:r>
      <w:r w:rsidRPr="00834D52">
        <w:rPr>
          <w:rFonts w:ascii="Sylfaen" w:hAnsi="Sylfaen"/>
          <w:sz w:val="24"/>
          <w:szCs w:val="24"/>
        </w:rPr>
        <w:t>են կենսաբանական ակտիվ մոլեկուլներ (օրինակ՝ աճի գործոններ, ցիտոկիններ), ապա անհրաժեշտ է նկարագրել դրանց ազդեցությունն ու փոխազդեցությունը դեղագործական բաղադրամասի այլ բաղադրիչների վրա:</w:t>
      </w:r>
    </w:p>
    <w:p w14:paraId="16C816B8" w14:textId="77777777" w:rsidR="006F76EB" w:rsidRPr="00834D52" w:rsidRDefault="006F76EB" w:rsidP="00CE1C3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եռաչափ կառուցվածքը հանդիսանում է ենթադրվող ֆունկցիայի մաս, ապա այդպիսի բջջային դեղապատրաստուկների հատկությունների նկարագրության մաս պետք է դառնան տարբերակման (դիֆերենցման) վիճակը, բջիջների կառուցվածաքային </w:t>
      </w:r>
      <w:r w:rsidR="00C54D75">
        <w:rPr>
          <w:rFonts w:ascii="Sylfaen" w:hAnsi="Sylfaen"/>
          <w:sz w:val="24"/>
          <w:szCs w:val="24"/>
        </w:rPr>
        <w:t>և</w:t>
      </w:r>
      <w:r w:rsidRPr="00834D52">
        <w:rPr>
          <w:rFonts w:ascii="Sylfaen" w:hAnsi="Sylfaen"/>
          <w:sz w:val="24"/>
          <w:szCs w:val="24"/>
        </w:rPr>
        <w:t xml:space="preserve"> ֆունկցիոնալ կազմակերպումը </w:t>
      </w:r>
      <w:r w:rsidR="00C54D75">
        <w:rPr>
          <w:rFonts w:ascii="Sylfaen" w:hAnsi="Sylfaen"/>
          <w:sz w:val="24"/>
          <w:szCs w:val="24"/>
        </w:rPr>
        <w:t>և</w:t>
      </w:r>
      <w:r w:rsidRPr="00834D52">
        <w:rPr>
          <w:rFonts w:ascii="Sylfaen" w:hAnsi="Sylfaen"/>
          <w:sz w:val="24"/>
          <w:szCs w:val="24"/>
        </w:rPr>
        <w:t xml:space="preserve"> առաջացող արտաբջջային մատրիքսը (անհրաժեշտության դեպքում): Անհրաժեշտության դեպքում ֆիզիկաքիմիական հատկությունների նկարագրությունները պետք է լրացնեն նախակլինիկիական հետազոտություններին:</w:t>
      </w:r>
    </w:p>
    <w:p w14:paraId="151C6178" w14:textId="77777777" w:rsidR="006F76EB" w:rsidRPr="00834D52" w:rsidRDefault="006F76EB" w:rsidP="00131173">
      <w:pPr>
        <w:tabs>
          <w:tab w:val="left" w:pos="1701"/>
        </w:tabs>
        <w:spacing w:after="160" w:line="350" w:lineRule="auto"/>
        <w:ind w:right="-6" w:firstLine="567"/>
        <w:jc w:val="both"/>
        <w:rPr>
          <w:rFonts w:ascii="Sylfaen" w:eastAsia="Times New Roman" w:hAnsi="Sylfaen" w:cs="Times New Roman"/>
          <w:sz w:val="24"/>
          <w:szCs w:val="24"/>
        </w:rPr>
      </w:pPr>
      <w:r w:rsidRPr="00834D52">
        <w:rPr>
          <w:rFonts w:ascii="Sylfaen" w:hAnsi="Sylfaen"/>
          <w:sz w:val="24"/>
          <w:szCs w:val="24"/>
        </w:rPr>
        <w:t>17.3.3.2.4.</w:t>
      </w:r>
      <w:r w:rsidRPr="00834D52">
        <w:rPr>
          <w:rFonts w:ascii="Sylfaen" w:hAnsi="Sylfaen"/>
          <w:sz w:val="24"/>
          <w:szCs w:val="24"/>
        </w:rPr>
        <w:tab/>
        <w:t>Օժանդակ նյութեր.</w:t>
      </w:r>
    </w:p>
    <w:p w14:paraId="7CD3FD26"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Սոմատոթերապ</w:t>
      </w:r>
      <w:r w:rsidR="00C54D75">
        <w:rPr>
          <w:rFonts w:ascii="Sylfaen" w:hAnsi="Sylfaen"/>
          <w:sz w:val="24"/>
          <w:szCs w:val="24"/>
        </w:rPr>
        <w:t>և</w:t>
      </w:r>
      <w:r w:rsidRPr="00834D52">
        <w:rPr>
          <w:rFonts w:ascii="Sylfaen" w:hAnsi="Sylfaen"/>
          <w:sz w:val="24"/>
          <w:szCs w:val="24"/>
        </w:rPr>
        <w:t xml:space="preserve">տիկ դեղապատրաստուկների </w:t>
      </w:r>
      <w:r w:rsidR="00C54D75">
        <w:rPr>
          <w:rFonts w:ascii="Sylfaen" w:hAnsi="Sylfaen"/>
          <w:sz w:val="24"/>
          <w:szCs w:val="24"/>
        </w:rPr>
        <w:t>և</w:t>
      </w:r>
      <w:r w:rsidRPr="00834D52">
        <w:rPr>
          <w:rFonts w:ascii="Sylfaen" w:hAnsi="Sylfaen"/>
          <w:sz w:val="24"/>
          <w:szCs w:val="24"/>
        </w:rPr>
        <w:t xml:space="preserve"> հյուսվածքային ինժեներիայի պատրաստուկների (օրինակ՝ փոխանցման միջավայրի բաղադրիչներ) մեջ օգտագործվող օժանդակ նյութերի նկատմամբ կիրառվում են սույն հավելվածի I մասում նշված նոր օժանդակ նյութերին ներկայացվող պահանջները, եթե բջիջների կամ հյուսվածքների </w:t>
      </w:r>
      <w:r w:rsidR="00C54D75">
        <w:rPr>
          <w:rFonts w:ascii="Sylfaen" w:hAnsi="Sylfaen"/>
          <w:sz w:val="24"/>
          <w:szCs w:val="24"/>
        </w:rPr>
        <w:t>և</w:t>
      </w:r>
      <w:r w:rsidRPr="00834D52">
        <w:rPr>
          <w:rFonts w:ascii="Sylfaen" w:hAnsi="Sylfaen"/>
          <w:sz w:val="24"/>
          <w:szCs w:val="24"/>
        </w:rPr>
        <w:t xml:space="preserve"> օժանդակ նյութերի միջ</w:t>
      </w:r>
      <w:r w:rsidR="00C54D75">
        <w:rPr>
          <w:rFonts w:ascii="Sylfaen" w:hAnsi="Sylfaen"/>
          <w:sz w:val="24"/>
          <w:szCs w:val="24"/>
        </w:rPr>
        <w:t>և</w:t>
      </w:r>
      <w:r w:rsidRPr="00834D52">
        <w:rPr>
          <w:rFonts w:ascii="Sylfaen" w:hAnsi="Sylfaen"/>
          <w:sz w:val="24"/>
          <w:szCs w:val="24"/>
        </w:rPr>
        <w:t xml:space="preserve"> փոխազդեցության վերաբերյալ տվյալները բացակայում են: </w:t>
      </w:r>
    </w:p>
    <w:p w14:paraId="6BA3A2B9" w14:textId="77777777" w:rsidR="006F76EB" w:rsidRPr="00834D52" w:rsidRDefault="006F76EB" w:rsidP="00131173">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17.3.3.2.5.</w:t>
      </w:r>
      <w:r w:rsidRPr="00834D52">
        <w:rPr>
          <w:rFonts w:ascii="Sylfaen" w:hAnsi="Sylfaen"/>
          <w:sz w:val="24"/>
          <w:szCs w:val="24"/>
        </w:rPr>
        <w:tab/>
        <w:t>Մշակման վերաբերյալ հետազոտությունները.</w:t>
      </w:r>
    </w:p>
    <w:p w14:paraId="7FA68039"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Մշակման ծրագիրը նկարագրելիս անհրաժեշտ է ներկայացնել նյութերի </w:t>
      </w:r>
      <w:r w:rsidR="00C54D75">
        <w:rPr>
          <w:rFonts w:ascii="Sylfaen" w:hAnsi="Sylfaen"/>
          <w:sz w:val="24"/>
          <w:szCs w:val="24"/>
        </w:rPr>
        <w:t>և</w:t>
      </w:r>
      <w:r w:rsidRPr="00834D52">
        <w:rPr>
          <w:rFonts w:ascii="Sylfaen" w:hAnsi="Sylfaen"/>
          <w:sz w:val="24"/>
          <w:szCs w:val="24"/>
        </w:rPr>
        <w:t xml:space="preserve"> պրոցեսների ընտրության հիմնավորումը: Մասնավորապես, անհրաժեշտ է վերլուծել պատրաստի դեղապատրաստուկի մեջ բջիջների պոպուլյացիայի ամբողջականությունը:</w:t>
      </w:r>
    </w:p>
    <w:p w14:paraId="31921600" w14:textId="77777777" w:rsidR="006F76EB" w:rsidRPr="00834D52" w:rsidRDefault="006F76EB" w:rsidP="00131173">
      <w:pPr>
        <w:tabs>
          <w:tab w:val="left" w:pos="1701"/>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17.3.3.2.6.</w:t>
      </w:r>
      <w:r w:rsidRPr="00834D52">
        <w:rPr>
          <w:rFonts w:ascii="Sylfaen" w:hAnsi="Sylfaen"/>
          <w:sz w:val="24"/>
          <w:szCs w:val="24"/>
        </w:rPr>
        <w:tab/>
        <w:t>Ստանդարտ նյութեր.</w:t>
      </w:r>
    </w:p>
    <w:p w14:paraId="4C62CB40" w14:textId="77777777" w:rsidR="006F76EB" w:rsidRPr="00D569EF" w:rsidRDefault="006F76EB" w:rsidP="00CE1C3D">
      <w:pPr>
        <w:tabs>
          <w:tab w:val="left" w:pos="1701"/>
        </w:tabs>
        <w:spacing w:after="160" w:line="360" w:lineRule="auto"/>
        <w:ind w:right="-6" w:firstLine="567"/>
        <w:jc w:val="both"/>
        <w:rPr>
          <w:rFonts w:ascii="Sylfaen" w:hAnsi="Sylfaen"/>
          <w:sz w:val="24"/>
          <w:szCs w:val="24"/>
        </w:rPr>
      </w:pPr>
      <w:r w:rsidRPr="00834D52">
        <w:rPr>
          <w:rFonts w:ascii="Sylfaen" w:hAnsi="Sylfaen"/>
          <w:sz w:val="24"/>
          <w:szCs w:val="24"/>
        </w:rPr>
        <w:t xml:space="preserve">Անհրաժեշտ է փաստաթղթավորել </w:t>
      </w:r>
      <w:r w:rsidR="00C54D75">
        <w:rPr>
          <w:rFonts w:ascii="Sylfaen" w:hAnsi="Sylfaen"/>
          <w:sz w:val="24"/>
          <w:szCs w:val="24"/>
        </w:rPr>
        <w:t>և</w:t>
      </w:r>
      <w:r w:rsidRPr="00834D52">
        <w:rPr>
          <w:rFonts w:ascii="Sylfaen" w:hAnsi="Sylfaen"/>
          <w:sz w:val="24"/>
          <w:szCs w:val="24"/>
        </w:rPr>
        <w:t xml:space="preserve"> նկարագրել ստանդարտ նմուշների այն հատկությունները, որոնք դեղագործական բաղադրամասի </w:t>
      </w:r>
      <w:r w:rsidR="00C54D75">
        <w:rPr>
          <w:rFonts w:ascii="Sylfaen" w:hAnsi="Sylfaen"/>
          <w:sz w:val="24"/>
          <w:szCs w:val="24"/>
        </w:rPr>
        <w:t>և</w:t>
      </w:r>
      <w:r w:rsidRPr="00834D52">
        <w:rPr>
          <w:rFonts w:ascii="Sylfaen" w:hAnsi="Sylfaen"/>
          <w:sz w:val="24"/>
          <w:szCs w:val="24"/>
        </w:rPr>
        <w:t xml:space="preserve"> (կամ) պատրաստի դեղապատրաստուկի համար նշանակալի </w:t>
      </w:r>
      <w:r w:rsidR="00C54D75">
        <w:rPr>
          <w:rFonts w:ascii="Sylfaen" w:hAnsi="Sylfaen"/>
          <w:sz w:val="24"/>
          <w:szCs w:val="24"/>
        </w:rPr>
        <w:t>և</w:t>
      </w:r>
      <w:r w:rsidRPr="00834D52">
        <w:rPr>
          <w:rFonts w:ascii="Sylfaen" w:hAnsi="Sylfaen"/>
          <w:sz w:val="24"/>
          <w:szCs w:val="24"/>
        </w:rPr>
        <w:t xml:space="preserve"> սպեցիֆիկ են:</w:t>
      </w:r>
    </w:p>
    <w:p w14:paraId="051C3A82" w14:textId="77777777" w:rsidR="006F76EB" w:rsidRPr="00D569EF" w:rsidRDefault="006F76EB" w:rsidP="007B65EB">
      <w:pPr>
        <w:tabs>
          <w:tab w:val="left" w:pos="1701"/>
        </w:tabs>
        <w:spacing w:after="160" w:line="384" w:lineRule="auto"/>
        <w:ind w:right="-6" w:firstLine="567"/>
        <w:jc w:val="both"/>
        <w:rPr>
          <w:rFonts w:ascii="Sylfaen" w:hAnsi="Sylfaen"/>
          <w:sz w:val="24"/>
          <w:szCs w:val="24"/>
        </w:rPr>
      </w:pPr>
      <w:r w:rsidRPr="00834D52">
        <w:rPr>
          <w:rFonts w:ascii="Sylfaen" w:hAnsi="Sylfaen"/>
          <w:sz w:val="24"/>
          <w:szCs w:val="24"/>
        </w:rPr>
        <w:t>17.3.4.</w:t>
      </w:r>
      <w:r w:rsidRPr="00834D52">
        <w:rPr>
          <w:rFonts w:ascii="Sylfaen" w:hAnsi="Sylfaen"/>
          <w:sz w:val="24"/>
          <w:szCs w:val="24"/>
        </w:rPr>
        <w:tab/>
        <w:t xml:space="preserve">Բժշկական արտադրատեսակներ պարունակող բարձր </w:t>
      </w:r>
      <w:r w:rsidRPr="00834D52">
        <w:rPr>
          <w:rFonts w:ascii="Sylfaen" w:hAnsi="Sylfaen"/>
          <w:sz w:val="24"/>
          <w:szCs w:val="24"/>
        </w:rPr>
        <w:lastRenderedPageBreak/>
        <w:t>տեխնոլոգիական դեղապատրաստուկներին ներկայացվող հատուկ պահանջները.</w:t>
      </w:r>
    </w:p>
    <w:p w14:paraId="26FD420E"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17.3.4.1.</w:t>
      </w:r>
      <w:r w:rsidRPr="00834D52">
        <w:rPr>
          <w:rFonts w:ascii="Sylfaen" w:hAnsi="Sylfaen"/>
          <w:sz w:val="24"/>
          <w:szCs w:val="24"/>
        </w:rPr>
        <w:tab/>
        <w:t>Բժշկական արտադրատեսակներ պարունակող բարձր տեխնոլոգիական դեղապատրաստուկներ.</w:t>
      </w:r>
    </w:p>
    <w:p w14:paraId="5CDBC8BC"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դեղապատրաստուկի ֆիզիկական հատկությունների նկարագրությունը </w:t>
      </w:r>
      <w:r w:rsidR="00C54D75">
        <w:rPr>
          <w:rFonts w:ascii="Sylfaen" w:hAnsi="Sylfaen"/>
          <w:sz w:val="24"/>
          <w:szCs w:val="24"/>
        </w:rPr>
        <w:t>և</w:t>
      </w:r>
      <w:r w:rsidRPr="00834D52">
        <w:rPr>
          <w:rFonts w:ascii="Sylfaen" w:hAnsi="Sylfaen"/>
          <w:sz w:val="24"/>
          <w:szCs w:val="24"/>
        </w:rPr>
        <w:t xml:space="preserve"> ազդեցությունը, ինչպես նա</w:t>
      </w:r>
      <w:r w:rsidR="00C54D75">
        <w:rPr>
          <w:rFonts w:ascii="Sylfaen" w:hAnsi="Sylfaen"/>
          <w:sz w:val="24"/>
          <w:szCs w:val="24"/>
        </w:rPr>
        <w:t>և</w:t>
      </w:r>
      <w:r w:rsidRPr="00834D52">
        <w:rPr>
          <w:rFonts w:ascii="Sylfaen" w:hAnsi="Sylfaen"/>
          <w:sz w:val="24"/>
          <w:szCs w:val="24"/>
        </w:rPr>
        <w:t xml:space="preserve"> դրա կառուցման մեթոդների նկարագրությունը:</w:t>
      </w:r>
    </w:p>
    <w:p w14:paraId="76B0B03B"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նկարագրել մի կողմից գեների, բջիջների (հյուսվածքների) </w:t>
      </w:r>
      <w:r w:rsidR="00C54D75">
        <w:rPr>
          <w:rFonts w:ascii="Sylfaen" w:hAnsi="Sylfaen"/>
          <w:sz w:val="24"/>
          <w:szCs w:val="24"/>
        </w:rPr>
        <w:t>և</w:t>
      </w:r>
      <w:r w:rsidRPr="00834D52">
        <w:rPr>
          <w:rFonts w:ascii="Sylfaen" w:hAnsi="Sylfaen"/>
          <w:sz w:val="24"/>
          <w:szCs w:val="24"/>
        </w:rPr>
        <w:t xml:space="preserve"> մյուս կողմից՝ կառուցվածքային բաղադրիչների միջ</w:t>
      </w:r>
      <w:r w:rsidR="00C54D75">
        <w:rPr>
          <w:rFonts w:ascii="Sylfaen" w:hAnsi="Sylfaen"/>
          <w:sz w:val="24"/>
          <w:szCs w:val="24"/>
        </w:rPr>
        <w:t>և</w:t>
      </w:r>
      <w:r w:rsidRPr="00834D52">
        <w:rPr>
          <w:rFonts w:ascii="Sylfaen" w:hAnsi="Sylfaen"/>
          <w:sz w:val="24"/>
          <w:szCs w:val="24"/>
        </w:rPr>
        <w:t xml:space="preserve"> փոխազդեցությունն ու դրանց համատեղելիությունը:</w:t>
      </w:r>
    </w:p>
    <w:p w14:paraId="7365C2C3"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17.3.4.2.</w:t>
      </w:r>
      <w:r w:rsidRPr="00834D52">
        <w:rPr>
          <w:rFonts w:ascii="Sylfaen" w:hAnsi="Sylfaen"/>
          <w:sz w:val="24"/>
          <w:szCs w:val="24"/>
        </w:rPr>
        <w:tab/>
        <w:t>Համակցված բարձր տեխնոլոգիական դեղապատրաստուկներ.</w:t>
      </w:r>
    </w:p>
    <w:p w14:paraId="21EDB272" w14:textId="77777777" w:rsidR="006F76EB" w:rsidRPr="00834D52" w:rsidRDefault="006F76EB" w:rsidP="007B65EB">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«Համակցված բարձր տեխնոլոգիական դեղապատրաստուկներ» ասելով հասկանում ենք բարձր տեխնոլոգիական դեղապատրաստուկ, որը բավարարում է հետ</w:t>
      </w:r>
      <w:r w:rsidR="00C54D75">
        <w:rPr>
          <w:rFonts w:ascii="Sylfaen" w:hAnsi="Sylfaen"/>
          <w:sz w:val="24"/>
          <w:szCs w:val="24"/>
        </w:rPr>
        <w:t>և</w:t>
      </w:r>
      <w:r w:rsidRPr="00834D52">
        <w:rPr>
          <w:rFonts w:ascii="Sylfaen" w:hAnsi="Sylfaen"/>
          <w:sz w:val="24"/>
          <w:szCs w:val="24"/>
        </w:rPr>
        <w:t>յալ պայմանները.</w:t>
      </w:r>
    </w:p>
    <w:p w14:paraId="36E37FC7" w14:textId="77777777" w:rsidR="006F76EB" w:rsidRPr="00834D52" w:rsidRDefault="006F76EB" w:rsidP="007B65EB">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այն պետք է որպես պատրաստուկի բաղադրիչ մաս պարունակի մեկ կամ մի քանի բժշկական արտադրատեսակներ՝ բժշկական արտադրատեսակների մասին Միության օրենսդրության սահմանման մեջ, կամ մեկ կամ մի քանի իմպլանտավորվող բժշկական արտադրատեսակներից՝ բժշկական արտադրատեսակների մասին Միության օրենսդրության սահմանման մեջ.</w:t>
      </w:r>
    </w:p>
    <w:p w14:paraId="50A9D041" w14:textId="77777777" w:rsidR="006F76EB" w:rsidRPr="00834D52" w:rsidRDefault="006F76EB" w:rsidP="007B65EB">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դրա բջջային կամ հյուսվածքային մասը պետք է պարունակի կենսունակ բջիջներ կամ հյուսվածքներ.</w:t>
      </w:r>
    </w:p>
    <w:p w14:paraId="1DA73B16" w14:textId="77777777" w:rsidR="006F76EB" w:rsidRPr="00834D52" w:rsidRDefault="006F76EB" w:rsidP="007B65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դրա՝ ոչ կենսունակ բջիջներ կամ հյուսվածքներ պարունակող բջջային կամ հյուսվածքային մասը մարդու օրգանիզմում պետք է ունենա ազդեցություն թողնելու ունակություն, ինչը նշված արտադրատեսակների մասով կարելի է դիտարկել որպես առաջնային:</w:t>
      </w:r>
    </w:p>
    <w:p w14:paraId="33927CEE" w14:textId="77777777" w:rsidR="006F76EB" w:rsidRPr="00834D52" w:rsidRDefault="006F76EB" w:rsidP="00D569EF">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Համակցված բարձր տեխնոլոգիական դեղապատրաստուկների բջջային կամ </w:t>
      </w:r>
      <w:r w:rsidRPr="00834D52">
        <w:rPr>
          <w:rFonts w:ascii="Sylfaen" w:hAnsi="Sylfaen"/>
          <w:sz w:val="24"/>
          <w:szCs w:val="24"/>
        </w:rPr>
        <w:lastRenderedPageBreak/>
        <w:t>հյուսվածքային մասերին ներկայացվում են սույն հավելվածի 17.3.3 բաժնում նշված՝ սոմատոթերապ</w:t>
      </w:r>
      <w:r w:rsidR="00C54D75">
        <w:rPr>
          <w:rFonts w:ascii="Sylfaen" w:hAnsi="Sylfaen"/>
          <w:sz w:val="24"/>
          <w:szCs w:val="24"/>
        </w:rPr>
        <w:t>և</w:t>
      </w:r>
      <w:r w:rsidRPr="00834D52">
        <w:rPr>
          <w:rFonts w:ascii="Sylfaen" w:hAnsi="Sylfaen"/>
          <w:sz w:val="24"/>
          <w:szCs w:val="24"/>
        </w:rPr>
        <w:t xml:space="preserve">տիկ դեղապատրաստուկներին </w:t>
      </w:r>
      <w:r w:rsidR="00C54D75">
        <w:rPr>
          <w:rFonts w:ascii="Sylfaen" w:hAnsi="Sylfaen"/>
          <w:sz w:val="24"/>
          <w:szCs w:val="24"/>
        </w:rPr>
        <w:t>և</w:t>
      </w:r>
      <w:r w:rsidRPr="00834D52">
        <w:rPr>
          <w:rFonts w:ascii="Sylfaen" w:hAnsi="Sylfaen"/>
          <w:sz w:val="24"/>
          <w:szCs w:val="24"/>
        </w:rPr>
        <w:t xml:space="preserve"> հյուսվածքային ինժեներիայի պատրաստուկներին ներկայացվող հատուկ պահանջները, եթե բջիջները ենթարկվել են գենետիկ մոդիֆիկացման, ապա ներկայացվում են սույն Հավելվածի 17.3.2. բաժնում նշված՝ գենոթերապ</w:t>
      </w:r>
      <w:r w:rsidR="00C54D75">
        <w:rPr>
          <w:rFonts w:ascii="Sylfaen" w:hAnsi="Sylfaen"/>
          <w:sz w:val="24"/>
          <w:szCs w:val="24"/>
        </w:rPr>
        <w:t>և</w:t>
      </w:r>
      <w:r w:rsidRPr="00834D52">
        <w:rPr>
          <w:rFonts w:ascii="Sylfaen" w:hAnsi="Sylfaen"/>
          <w:sz w:val="24"/>
          <w:szCs w:val="24"/>
        </w:rPr>
        <w:t>տիկ դեղապատրաստուկներին ներկայացվող հատուկ պահանջները:</w:t>
      </w:r>
    </w:p>
    <w:p w14:paraId="15CF8A4F" w14:textId="77777777" w:rsidR="006F76EB" w:rsidRPr="00834D52" w:rsidRDefault="006F76EB" w:rsidP="00D569EF">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Բժշկական արտադրատեսակը կամ ակտիվ իմպլանտավորվող բժշկական արտադրատեսակը կարող է լինել դեղագործական բաղադրամասի բաղադրիչ մաս: Եթե բժշկական արտադրատեսակը կամ ակտիվ իմպլանտավորվող բժշկական արտադրատեսակը դեղապատրաստուկի արտադրության, կիրառման կամ ներմուծման ընթացքում միավորվում է բջիջների հետ, ապա այն ճանաչվում է որպես պատրաստի դեղապատրաստուկի բաղադրիչ մաս:</w:t>
      </w:r>
    </w:p>
    <w:p w14:paraId="55F9B5F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ներկայացնել (դեղագործական բաղադրամասի կամ դեղապատրաստուկի բաղադրիչ մաս հանդիսացող) բժշկական արտադրատեսակին կամ ակտիվ իմպլանտավորվող բժշկական արտադրատեսակին առնչվող տեղեկություններ, որոնք անհրաժեշտ են համակցված բարձր տեխնոլոգիական դեղապատրաստուկների փորձաքննության համար: Այդպիսի տեղեկություններ են՝</w:t>
      </w:r>
    </w:p>
    <w:p w14:paraId="67C79B13" w14:textId="77777777" w:rsidR="006F76EB" w:rsidRPr="00834D52" w:rsidRDefault="006F76EB" w:rsidP="00FA49D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բժշկական արտադրատեսակի կամ իմպլանտավորվող բժշկական արտադրատեսակի ընտրության </w:t>
      </w:r>
      <w:r w:rsidR="00C54D75">
        <w:rPr>
          <w:rFonts w:ascii="Sylfaen" w:hAnsi="Sylfaen"/>
          <w:sz w:val="24"/>
          <w:szCs w:val="24"/>
        </w:rPr>
        <w:t>և</w:t>
      </w:r>
      <w:r w:rsidRPr="00834D52">
        <w:rPr>
          <w:rFonts w:ascii="Sylfaen" w:hAnsi="Sylfaen"/>
          <w:sz w:val="24"/>
          <w:szCs w:val="24"/>
        </w:rPr>
        <w:t xml:space="preserve"> ենթադրվող ֆուկցիայի վերաբերյալ տեղեկությունները </w:t>
      </w:r>
      <w:r w:rsidR="00C54D75">
        <w:rPr>
          <w:rFonts w:ascii="Sylfaen" w:hAnsi="Sylfaen"/>
          <w:sz w:val="24"/>
          <w:szCs w:val="24"/>
        </w:rPr>
        <w:t>և</w:t>
      </w:r>
      <w:r w:rsidRPr="00834D52">
        <w:rPr>
          <w:rFonts w:ascii="Sylfaen" w:hAnsi="Sylfaen"/>
          <w:sz w:val="24"/>
          <w:szCs w:val="24"/>
        </w:rPr>
        <w:t xml:space="preserve"> պատրաստուկների այլ բաղադրիչների հետ արտադրատեսակի համատեղելիության հաստատումը.</w:t>
      </w:r>
    </w:p>
    <w:p w14:paraId="6F9524E1" w14:textId="77777777" w:rsidR="006F76EB" w:rsidRPr="00834D52" w:rsidRDefault="006F76EB" w:rsidP="00FA49D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բժշկական արտադրատեսակների մասին Միության օրենսդրությամբ սահմանված առանցքային պահանջներին բժշկական արտադրատեսակի համապատասխանության կամ արտադրատեսակների շրջանառության ոլորտում Միության իրավունքի մաս կազմող ակտերով սահմանված առանցքային պահանջներին ակտիվ իմպլանտավորվող բժշկական արտադրատեսակի </w:t>
      </w:r>
      <w:r w:rsidRPr="00834D52">
        <w:rPr>
          <w:rFonts w:ascii="Sylfaen" w:hAnsi="Sylfaen"/>
          <w:sz w:val="24"/>
          <w:szCs w:val="24"/>
        </w:rPr>
        <w:lastRenderedPageBreak/>
        <w:t>համապատասխանության հաստատումը.</w:t>
      </w:r>
    </w:p>
    <w:p w14:paraId="47B4CB0B" w14:textId="77777777" w:rsidR="006F76EB" w:rsidRPr="00834D52" w:rsidRDefault="006F76EB" w:rsidP="00FA49D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տրանսմիսիվ սպունգանման էնցեֆալոպատիայի մասին պահանջներին բժշկական արտադրատեսակի կամ իմպլանտավորվող բժշկական արտադրատեսակի համապատասխանության հաստատումը (անհրաժեշտության դեպքում).</w:t>
      </w:r>
    </w:p>
    <w:p w14:paraId="7DDE2FD9" w14:textId="77777777" w:rsidR="006F76EB" w:rsidRPr="00834D52" w:rsidRDefault="006F76EB" w:rsidP="00FA49D2">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բժշկական արտադրատեսակների շրջանառության ոլորտում Միության իրավունքի մաս կազմող ակտերին համապատասխան լիազորված մարմնի (կազմակերպության) կողմից բժշկական արտադրատեսակի կամ ակտիվ իմպլանտավորվող բժշկական արտադրատեսակի ցանկացած գնահատման արդյունք (անհրաժեշտության դեպքում):</w:t>
      </w:r>
    </w:p>
    <w:p w14:paraId="4FDE8347" w14:textId="77777777" w:rsidR="006F76EB" w:rsidRPr="00834D52" w:rsidRDefault="006F76EB" w:rsidP="00FA49D2">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բաժնի «դ» կետում նշված գնահատում անցկացնող ծանուցում ստացած անձը պետք է հայտի փորձաքննություն իրականացնող լիազորված մարմնի հարցմամբ ներկայացնի այն բոլոր տեղեկությունները, որոնք վերաբերում են բժշկական արտադրատեսակների շրջանառության ոլորտում Միության իրավունքի մաս կազմող ակտերին համապատասխան գնահատման արդյունքներին: Դրանց կարող են դասվել այն տեղեկություններն ու փաստաթղթերը, որոնք պարունակվում են դիտարկվող հայտի համապատասխանության գնահատման մեջ՝ համակցված բարձր տեխնոլոգիական դեղապատրաստուկը որպես մեկ ամբողջություն ուսումնասիրելու նպատակով (անհրաժեշտության դեպքում):</w:t>
      </w:r>
    </w:p>
    <w:p w14:paraId="265F26EB" w14:textId="77777777" w:rsidR="006F76EB" w:rsidRPr="00834D52" w:rsidRDefault="006F76EB" w:rsidP="00FA49D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17.4.</w:t>
      </w:r>
      <w:r w:rsidRPr="00834D52">
        <w:rPr>
          <w:rFonts w:ascii="Sylfaen" w:hAnsi="Sylfaen"/>
          <w:sz w:val="24"/>
          <w:szCs w:val="24"/>
        </w:rPr>
        <w:tab/>
        <w:t>Գրանցման դոսյեի 4-րդ մոդուլին ներկայացվող հատուկ պահանջները.</w:t>
      </w:r>
    </w:p>
    <w:p w14:paraId="2B64BCF8" w14:textId="77777777" w:rsidR="006F76EB" w:rsidRPr="00834D52" w:rsidRDefault="006F76EB" w:rsidP="0036222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17.4.1.</w:t>
      </w:r>
      <w:r w:rsidRPr="00834D52">
        <w:rPr>
          <w:rFonts w:ascii="Sylfaen" w:hAnsi="Sylfaen"/>
          <w:sz w:val="24"/>
          <w:szCs w:val="24"/>
        </w:rPr>
        <w:tab/>
        <w:t>Բարձր տեխնոլոգիական դեղապատրաստուկների համար հատուկ պահանջները.</w:t>
      </w:r>
    </w:p>
    <w:p w14:paraId="52B2476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Հաշվի առնելով բարձր տեխնոլոգիական դեղապատրաստուկների եզակի </w:t>
      </w:r>
      <w:r w:rsidR="00C54D75">
        <w:rPr>
          <w:rFonts w:ascii="Sylfaen" w:hAnsi="Sylfaen"/>
          <w:sz w:val="24"/>
          <w:szCs w:val="24"/>
        </w:rPr>
        <w:t>և</w:t>
      </w:r>
      <w:r w:rsidRPr="00834D52">
        <w:rPr>
          <w:rFonts w:ascii="Sylfaen" w:hAnsi="Sylfaen"/>
          <w:sz w:val="24"/>
          <w:szCs w:val="24"/>
        </w:rPr>
        <w:t xml:space="preserve"> բազմազան կառուցվածքային ու կենսաբանական հատկությունները՝ սույն հավելվածի I մասի 4-րդ բաժնում նշված՝ գրանցման դոսյեի 4-րդ մոդուլին ներկայացվող պահանջները ոչ միշտ են կիրառելի դեղապատրաստուկների </w:t>
      </w:r>
      <w:r w:rsidRPr="00834D52">
        <w:rPr>
          <w:rFonts w:ascii="Sylfaen" w:hAnsi="Sylfaen"/>
          <w:sz w:val="24"/>
          <w:szCs w:val="24"/>
        </w:rPr>
        <w:lastRenderedPageBreak/>
        <w:t>դեղաբանական ու թունաբանական հետազոտությունների նկատմամբ:</w:t>
      </w:r>
      <w:r w:rsidRPr="00834D52">
        <w:rPr>
          <w:rFonts w:ascii="Sylfaen" w:hAnsi="Sylfaen"/>
          <w:sz w:val="24"/>
          <w:szCs w:val="24"/>
        </w:rPr>
        <w:br/>
        <w:t>Սույն հավելվածի 17.4.1</w:t>
      </w:r>
      <w:r>
        <w:rPr>
          <w:rFonts w:ascii="Sylfaen" w:hAnsi="Sylfaen"/>
          <w:sz w:val="24"/>
          <w:szCs w:val="24"/>
        </w:rPr>
        <w:t>-</w:t>
      </w:r>
      <w:r w:rsidRPr="00834D52">
        <w:rPr>
          <w:rFonts w:ascii="Sylfaen" w:hAnsi="Sylfaen"/>
          <w:sz w:val="24"/>
          <w:szCs w:val="24"/>
        </w:rPr>
        <w:t>17.4.3 բաժինների տեխնիկական պահանջներով պարզաբանվում է, թե ինչպես կատարել բարձր տեխնոլոգիական դեղապատրաստուկների նկատմամբ սույն հավելվածի I մասի պահանջները: Համապատասխան դեպքերում հաշվի առնելով բարձր տեխնոլոգիական դեղապատրաստուկների առանձնահատկությունները՝ դրանց նկատմամբ սահմանվում են լրացուցիչ պահանջներ:</w:t>
      </w:r>
    </w:p>
    <w:p w14:paraId="1C69A43E"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տեղեկագրում անհրաժեշտ է ներկայացնել նախակլինիկական մշակման </w:t>
      </w:r>
      <w:r w:rsidR="00C54D75">
        <w:rPr>
          <w:rFonts w:ascii="Sylfaen" w:hAnsi="Sylfaen"/>
          <w:sz w:val="24"/>
          <w:szCs w:val="24"/>
        </w:rPr>
        <w:t>և</w:t>
      </w:r>
      <w:r w:rsidRPr="00834D52">
        <w:rPr>
          <w:rFonts w:ascii="Sylfaen" w:hAnsi="Sylfaen"/>
          <w:sz w:val="24"/>
          <w:szCs w:val="24"/>
        </w:rPr>
        <w:t xml:space="preserve"> կենդանիների ու մոդելների (in vitro </w:t>
      </w:r>
      <w:r w:rsidR="00C54D75">
        <w:rPr>
          <w:rFonts w:ascii="Sylfaen" w:hAnsi="Sylfaen"/>
          <w:sz w:val="24"/>
          <w:szCs w:val="24"/>
        </w:rPr>
        <w:t>և</w:t>
      </w:r>
      <w:r w:rsidRPr="00834D52">
        <w:rPr>
          <w:rFonts w:ascii="Sylfaen" w:hAnsi="Sylfaen"/>
          <w:sz w:val="24"/>
          <w:szCs w:val="24"/>
        </w:rPr>
        <w:t xml:space="preserve"> in vivo) համապատասխան տեսակների ընտրության չափանիշների գիտական հիմնավորումն ու վերլուծությունը: Ընտրված կենդանական մոդելները կարող են լինել իմունաբանական ռեակտիվության խախտմամբ, նոկաուտային, հումանիզացված կամ տրանսգեն կենդանիներ: Անհրաժեշտ է դիտարկել հոմոլոգային մոդելների (օրինակ՝ մկների մոտ մկան բջիջների վերլուծություն) կամ հիվանդությունը նմանակող մոդելների օգտագործման հնարավորությունը, մասնավորապես, իմունոգենության </w:t>
      </w:r>
      <w:r w:rsidR="00C54D75">
        <w:rPr>
          <w:rFonts w:ascii="Sylfaen" w:hAnsi="Sylfaen"/>
          <w:sz w:val="24"/>
          <w:szCs w:val="24"/>
        </w:rPr>
        <w:t>և</w:t>
      </w:r>
      <w:r w:rsidRPr="00834D52">
        <w:rPr>
          <w:rFonts w:ascii="Sylfaen" w:hAnsi="Sylfaen"/>
          <w:sz w:val="24"/>
          <w:szCs w:val="24"/>
        </w:rPr>
        <w:t xml:space="preserve"> իմունոտոքսիկության հետազոտությունների ժամանակ:</w:t>
      </w:r>
    </w:p>
    <w:p w14:paraId="1BCE9AFE"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Ի լրումն սույն հավելվածի I մասի պահանջների՝ անհրաժեշտ է ներկայացնել դեղապատրաստուկի մեջ պարունակվող կառուցվածքային բոլոր բաղադրիչների (օրինակ՝ մատրիցաների, կմախքների </w:t>
      </w:r>
      <w:r w:rsidR="00C54D75">
        <w:rPr>
          <w:rFonts w:ascii="Sylfaen" w:hAnsi="Sylfaen"/>
          <w:sz w:val="24"/>
          <w:szCs w:val="24"/>
        </w:rPr>
        <w:t>և</w:t>
      </w:r>
      <w:r w:rsidRPr="00834D52">
        <w:rPr>
          <w:rFonts w:ascii="Sylfaen" w:hAnsi="Sylfaen"/>
          <w:sz w:val="24"/>
          <w:szCs w:val="24"/>
        </w:rPr>
        <w:t xml:space="preserve"> արտադրատեսակների) </w:t>
      </w:r>
      <w:r w:rsidR="00C54D75">
        <w:rPr>
          <w:rFonts w:ascii="Sylfaen" w:hAnsi="Sylfaen"/>
          <w:sz w:val="24"/>
          <w:szCs w:val="24"/>
        </w:rPr>
        <w:t>և</w:t>
      </w:r>
      <w:r w:rsidRPr="00834D52">
        <w:rPr>
          <w:rFonts w:ascii="Sylfaen" w:hAnsi="Sylfaen"/>
          <w:sz w:val="24"/>
          <w:szCs w:val="24"/>
        </w:rPr>
        <w:t xml:space="preserve"> ցանկացած լրացուցիչ նյութի (օրինակ՝ բջջային արտադրանքի տեսակների, կենսամոլեկուլների, կենսանյութերի </w:t>
      </w:r>
      <w:r w:rsidR="00C54D75">
        <w:rPr>
          <w:rFonts w:ascii="Sylfaen" w:hAnsi="Sylfaen"/>
          <w:sz w:val="24"/>
          <w:szCs w:val="24"/>
        </w:rPr>
        <w:t>և</w:t>
      </w:r>
      <w:r w:rsidRPr="00834D52">
        <w:rPr>
          <w:rFonts w:ascii="Sylfaen" w:hAnsi="Sylfaen"/>
          <w:sz w:val="24"/>
          <w:szCs w:val="24"/>
        </w:rPr>
        <w:t xml:space="preserve"> քիմիական նյութերի) անվտանգության, պիտանիության </w:t>
      </w:r>
      <w:r w:rsidR="00C54D75">
        <w:rPr>
          <w:rFonts w:ascii="Sylfaen" w:hAnsi="Sylfaen"/>
          <w:sz w:val="24"/>
          <w:szCs w:val="24"/>
        </w:rPr>
        <w:t>և</w:t>
      </w:r>
      <w:r w:rsidRPr="00834D52">
        <w:rPr>
          <w:rFonts w:ascii="Sylfaen" w:hAnsi="Sylfaen"/>
          <w:sz w:val="24"/>
          <w:szCs w:val="24"/>
        </w:rPr>
        <w:t xml:space="preserve"> կենսահամատեղելիության վերաբերյալ տվյալներ: Անհրաժեշտ</w:t>
      </w:r>
      <w:r w:rsidR="00362224" w:rsidRPr="00362224">
        <w:rPr>
          <w:rFonts w:ascii="Sylfaen" w:hAnsi="Sylfaen"/>
          <w:sz w:val="24"/>
          <w:szCs w:val="24"/>
        </w:rPr>
        <w:t> </w:t>
      </w:r>
      <w:r w:rsidRPr="00834D52">
        <w:rPr>
          <w:rFonts w:ascii="Sylfaen" w:hAnsi="Sylfaen"/>
          <w:sz w:val="24"/>
          <w:szCs w:val="24"/>
        </w:rPr>
        <w:t xml:space="preserve">է հաշվի առնել դրանց ֆիզիկական, մեխանիկական, քիմիական </w:t>
      </w:r>
      <w:r w:rsidR="00C54D75">
        <w:rPr>
          <w:rFonts w:ascii="Sylfaen" w:hAnsi="Sylfaen"/>
          <w:sz w:val="24"/>
          <w:szCs w:val="24"/>
        </w:rPr>
        <w:t>և</w:t>
      </w:r>
      <w:r w:rsidRPr="00834D52">
        <w:rPr>
          <w:rFonts w:ascii="Sylfaen" w:hAnsi="Sylfaen"/>
          <w:sz w:val="24"/>
          <w:szCs w:val="24"/>
        </w:rPr>
        <w:t xml:space="preserve"> կենսաբանական հատկությունները:</w:t>
      </w:r>
    </w:p>
    <w:p w14:paraId="601CCC27" w14:textId="77777777" w:rsidR="006F76EB" w:rsidRPr="00834D52" w:rsidRDefault="006F76EB" w:rsidP="0036222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17.4.2.</w:t>
      </w:r>
      <w:r w:rsidRPr="00834D52">
        <w:rPr>
          <w:rFonts w:ascii="Sylfaen" w:hAnsi="Sylfaen"/>
          <w:sz w:val="24"/>
          <w:szCs w:val="24"/>
        </w:rPr>
        <w:tab/>
        <w:t>Գենոթերապ</w:t>
      </w:r>
      <w:r w:rsidR="00C54D75">
        <w:rPr>
          <w:rFonts w:ascii="Sylfaen" w:hAnsi="Sylfaen"/>
          <w:sz w:val="24"/>
          <w:szCs w:val="24"/>
        </w:rPr>
        <w:t>և</w:t>
      </w:r>
      <w:r w:rsidRPr="00834D52">
        <w:rPr>
          <w:rFonts w:ascii="Sylfaen" w:hAnsi="Sylfaen"/>
          <w:sz w:val="24"/>
          <w:szCs w:val="24"/>
        </w:rPr>
        <w:t>տիկ դեղապատրաստուկներին ներկայացվող հատուկ պահանջները.</w:t>
      </w:r>
    </w:p>
    <w:p w14:paraId="4BD0D1C1" w14:textId="77777777" w:rsidR="006F76EB" w:rsidRPr="00834D52" w:rsidRDefault="006F76EB" w:rsidP="007C3BBD">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Նախակլինիկական անվտանգության պատշաճ նկարագրության համար </w:t>
      </w:r>
      <w:r w:rsidRPr="00834D52">
        <w:rPr>
          <w:rFonts w:ascii="Sylfaen" w:hAnsi="Sylfaen"/>
          <w:sz w:val="24"/>
          <w:szCs w:val="24"/>
        </w:rPr>
        <w:lastRenderedPageBreak/>
        <w:t xml:space="preserve">անհրաժեշտ նախակլինիկական հետազոտությունների ծավալի </w:t>
      </w:r>
      <w:r w:rsidR="00C54D75">
        <w:rPr>
          <w:rFonts w:ascii="Sylfaen" w:hAnsi="Sylfaen"/>
          <w:sz w:val="24"/>
          <w:szCs w:val="24"/>
        </w:rPr>
        <w:t>և</w:t>
      </w:r>
      <w:r w:rsidRPr="00834D52">
        <w:rPr>
          <w:rFonts w:ascii="Sylfaen" w:hAnsi="Sylfaen"/>
          <w:sz w:val="24"/>
          <w:szCs w:val="24"/>
        </w:rPr>
        <w:t xml:space="preserve"> տեսակների որոշման համար հարկավոր է հաշվի առնել գենոթերապ</w:t>
      </w:r>
      <w:r w:rsidR="00C54D75">
        <w:rPr>
          <w:rFonts w:ascii="Sylfaen" w:hAnsi="Sylfaen"/>
          <w:sz w:val="24"/>
          <w:szCs w:val="24"/>
        </w:rPr>
        <w:t>և</w:t>
      </w:r>
      <w:r w:rsidRPr="00834D52">
        <w:rPr>
          <w:rFonts w:ascii="Sylfaen" w:hAnsi="Sylfaen"/>
          <w:sz w:val="24"/>
          <w:szCs w:val="24"/>
        </w:rPr>
        <w:t>տիկ դեղապատրաստուկի բովանդակային պլանն ու տեսակը:</w:t>
      </w:r>
    </w:p>
    <w:p w14:paraId="250BADEF" w14:textId="77777777" w:rsidR="006F76EB" w:rsidRPr="00834D52" w:rsidRDefault="006F76EB" w:rsidP="007C3BBD">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17.4.2.1.</w:t>
      </w:r>
      <w:r w:rsidRPr="00834D52">
        <w:rPr>
          <w:rFonts w:ascii="Sylfaen" w:hAnsi="Sylfaen"/>
          <w:sz w:val="24"/>
          <w:szCs w:val="24"/>
        </w:rPr>
        <w:tab/>
        <w:t>Դեղաբանություն.</w:t>
      </w:r>
    </w:p>
    <w:p w14:paraId="4C1C74FA" w14:textId="77777777" w:rsidR="006F76EB" w:rsidRPr="00834D52" w:rsidRDefault="006F76EB" w:rsidP="007C3BBD">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ներկայացնել հայտագրված ցուցմանն առնչվող in vitro </w:t>
      </w:r>
      <w:r w:rsidR="00C54D75">
        <w:rPr>
          <w:rFonts w:ascii="Sylfaen" w:hAnsi="Sylfaen"/>
          <w:sz w:val="24"/>
          <w:szCs w:val="24"/>
        </w:rPr>
        <w:t>և</w:t>
      </w:r>
      <w:r w:rsidRPr="00834D52">
        <w:rPr>
          <w:rFonts w:ascii="Sylfaen" w:hAnsi="Sylfaen"/>
          <w:sz w:val="24"/>
          <w:szCs w:val="24"/>
        </w:rPr>
        <w:br/>
        <w:t xml:space="preserve">in vivo էֆեկտների այն հետազոտությունների (այսինքն՝ ազդեցության մեխանիզմի </w:t>
      </w:r>
      <w:r w:rsidR="00355C33">
        <w:rPr>
          <w:rFonts w:ascii="Sylfaen" w:hAnsi="Sylfaen"/>
          <w:sz w:val="24"/>
          <w:szCs w:val="24"/>
        </w:rPr>
        <w:t>դեղա</w:t>
      </w:r>
      <w:r w:rsidRPr="00834D52">
        <w:rPr>
          <w:rFonts w:ascii="Sylfaen" w:hAnsi="Sylfaen"/>
          <w:sz w:val="24"/>
          <w:szCs w:val="24"/>
        </w:rPr>
        <w:t xml:space="preserve">դինամիկ հետազոտությունների) արդյունքերը, որոնց մեջ օգտագործվել են կենդանիների այն մոդելներն ու համապատասխան տեսակները, որոնք ընտելացվել են հաստատելու համար այն, որ նուկլեինաթթվի հաջորդականությունը հասնում է թիրախին (օրգանին կամ բջիջներին) </w:t>
      </w:r>
      <w:r w:rsidR="00C54D75">
        <w:rPr>
          <w:rFonts w:ascii="Sylfaen" w:hAnsi="Sylfaen"/>
          <w:sz w:val="24"/>
          <w:szCs w:val="24"/>
        </w:rPr>
        <w:t>և</w:t>
      </w:r>
      <w:r w:rsidRPr="00834D52">
        <w:rPr>
          <w:rFonts w:ascii="Sylfaen" w:hAnsi="Sylfaen"/>
          <w:sz w:val="24"/>
          <w:szCs w:val="24"/>
        </w:rPr>
        <w:t xml:space="preserve"> ապահովում է անհրաժեշտ ֆունկցիան (էքսպրեսիայի </w:t>
      </w:r>
      <w:r w:rsidR="00C54D75">
        <w:rPr>
          <w:rFonts w:ascii="Sylfaen" w:hAnsi="Sylfaen"/>
          <w:sz w:val="24"/>
          <w:szCs w:val="24"/>
        </w:rPr>
        <w:t>և</w:t>
      </w:r>
      <w:r w:rsidRPr="00834D52">
        <w:rPr>
          <w:rFonts w:ascii="Sylfaen" w:hAnsi="Sylfaen"/>
          <w:sz w:val="24"/>
          <w:szCs w:val="24"/>
        </w:rPr>
        <w:t xml:space="preserve"> ֆունկցիոնալ ակտիվության աստիճանը): Անհրաժեշտ է նկարագրել նուկլեինաթթվի հաջորդականության ֆունկցիայի տ</w:t>
      </w:r>
      <w:r w:rsidR="00C54D75">
        <w:rPr>
          <w:rFonts w:ascii="Sylfaen" w:hAnsi="Sylfaen"/>
          <w:sz w:val="24"/>
          <w:szCs w:val="24"/>
        </w:rPr>
        <w:t>և</w:t>
      </w:r>
      <w:r w:rsidRPr="00834D52">
        <w:rPr>
          <w:rFonts w:ascii="Sylfaen" w:hAnsi="Sylfaen"/>
          <w:sz w:val="24"/>
          <w:szCs w:val="24"/>
        </w:rPr>
        <w:t xml:space="preserve">ողությունը </w:t>
      </w:r>
      <w:r w:rsidR="00C54D75">
        <w:rPr>
          <w:rFonts w:ascii="Sylfaen" w:hAnsi="Sylfaen"/>
          <w:sz w:val="24"/>
          <w:szCs w:val="24"/>
        </w:rPr>
        <w:t>և</w:t>
      </w:r>
      <w:r w:rsidRPr="00834D52">
        <w:rPr>
          <w:rFonts w:ascii="Sylfaen" w:hAnsi="Sylfaen"/>
          <w:sz w:val="24"/>
          <w:szCs w:val="24"/>
        </w:rPr>
        <w:t xml:space="preserve"> կլինիկական հետազոտություններում դոզավորման առաջարկվող ռեժիմը:</w:t>
      </w:r>
    </w:p>
    <w:p w14:paraId="7AC07BC6" w14:textId="77777777" w:rsidR="006F76EB" w:rsidRPr="00834D52" w:rsidRDefault="006F76EB" w:rsidP="007C3BBD">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Թիրախի սելեկտիվությունը. Եթե գենոթերապ</w:t>
      </w:r>
      <w:r w:rsidR="00C54D75">
        <w:rPr>
          <w:rFonts w:ascii="Sylfaen" w:hAnsi="Sylfaen"/>
          <w:sz w:val="24"/>
          <w:szCs w:val="24"/>
        </w:rPr>
        <w:t>և</w:t>
      </w:r>
      <w:r w:rsidRPr="00834D52">
        <w:rPr>
          <w:rFonts w:ascii="Sylfaen" w:hAnsi="Sylfaen"/>
          <w:sz w:val="24"/>
          <w:szCs w:val="24"/>
        </w:rPr>
        <w:t xml:space="preserve">տիկ դեղապատրաստուկը պետք է ունենա սելեկտիվություն </w:t>
      </w:r>
      <w:r w:rsidR="00C54D75">
        <w:rPr>
          <w:rFonts w:ascii="Sylfaen" w:hAnsi="Sylfaen"/>
          <w:sz w:val="24"/>
          <w:szCs w:val="24"/>
        </w:rPr>
        <w:t>և</w:t>
      </w:r>
      <w:r w:rsidRPr="00834D52">
        <w:rPr>
          <w:rFonts w:ascii="Sylfaen" w:hAnsi="Sylfaen"/>
          <w:sz w:val="24"/>
          <w:szCs w:val="24"/>
        </w:rPr>
        <w:t xml:space="preserve"> ֆունկցիոնալություն, սահմանափակ թիրախ, ապա անհրաժեշտ է ներկայացնել թիրախների բջիջների </w:t>
      </w:r>
      <w:r w:rsidR="00C54D75">
        <w:rPr>
          <w:rFonts w:ascii="Sylfaen" w:hAnsi="Sylfaen"/>
          <w:sz w:val="24"/>
          <w:szCs w:val="24"/>
        </w:rPr>
        <w:t>և</w:t>
      </w:r>
      <w:r w:rsidRPr="00834D52">
        <w:rPr>
          <w:rFonts w:ascii="Sylfaen" w:hAnsi="Sylfaen"/>
          <w:sz w:val="24"/>
          <w:szCs w:val="24"/>
        </w:rPr>
        <w:t xml:space="preserve"> հյուսվածքների ֆունկցիոնալության սպեցիֆիկությունն ու տ</w:t>
      </w:r>
      <w:r w:rsidR="00C54D75">
        <w:rPr>
          <w:rFonts w:ascii="Sylfaen" w:hAnsi="Sylfaen"/>
          <w:sz w:val="24"/>
          <w:szCs w:val="24"/>
        </w:rPr>
        <w:t>և</w:t>
      </w:r>
      <w:r w:rsidRPr="00834D52">
        <w:rPr>
          <w:rFonts w:ascii="Sylfaen" w:hAnsi="Sylfaen"/>
          <w:sz w:val="24"/>
          <w:szCs w:val="24"/>
        </w:rPr>
        <w:t>ողությունը հաստատող հետազոտությունների արդյունքները:</w:t>
      </w:r>
    </w:p>
    <w:p w14:paraId="45595CC8" w14:textId="77777777" w:rsidR="006F76EB" w:rsidRPr="00834D52" w:rsidRDefault="006F76EB" w:rsidP="007C3BBD">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17.4.2.2.</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կինետիկա.</w:t>
      </w:r>
    </w:p>
    <w:p w14:paraId="10493642" w14:textId="77777777" w:rsidR="006F76EB" w:rsidRPr="00834D52" w:rsidRDefault="006F76EB" w:rsidP="007C3BB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Կենսաբաշխման հետազոտությունների ժամանակ անհրաժեշտ է ուսումնասիրել պերսիստենցիան, քլիրենսը </w:t>
      </w:r>
      <w:r w:rsidR="00C54D75">
        <w:rPr>
          <w:rFonts w:ascii="Sylfaen" w:hAnsi="Sylfaen"/>
          <w:sz w:val="24"/>
          <w:szCs w:val="24"/>
        </w:rPr>
        <w:t>և</w:t>
      </w:r>
      <w:r w:rsidRPr="00834D52">
        <w:rPr>
          <w:rFonts w:ascii="Sylfaen" w:hAnsi="Sylfaen"/>
          <w:sz w:val="24"/>
          <w:szCs w:val="24"/>
        </w:rPr>
        <w:t xml:space="preserve"> մոբիլիզացիան: Ի լրումն դրանց՝ անհրաժեշտ է հստակեցնել գեներատիվ փոխանցման ռիսկը:</w:t>
      </w:r>
    </w:p>
    <w:p w14:paraId="63B32E08" w14:textId="77777777" w:rsidR="006F76EB" w:rsidRPr="00834D52" w:rsidRDefault="006F76EB" w:rsidP="007C3BB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գրանցման դոսյեում բացակայում է դիտարկվող դեղապատրաստուկի տեսակից ելնելով արված հիմնավորումը, ապա անհրաժեշտ է ներկայացնել տարածման </w:t>
      </w:r>
      <w:r w:rsidR="00C54D75">
        <w:rPr>
          <w:rFonts w:ascii="Sylfaen" w:hAnsi="Sylfaen"/>
          <w:sz w:val="24"/>
          <w:szCs w:val="24"/>
        </w:rPr>
        <w:t>և</w:t>
      </w:r>
      <w:r w:rsidRPr="00834D52">
        <w:rPr>
          <w:rFonts w:ascii="Sylfaen" w:hAnsi="Sylfaen"/>
          <w:sz w:val="24"/>
          <w:szCs w:val="24"/>
        </w:rPr>
        <w:t xml:space="preserve"> երրորդ անձանց փոխանցման ռիսկի հետազոտությունների </w:t>
      </w:r>
      <w:r w:rsidRPr="00834D52">
        <w:rPr>
          <w:rFonts w:ascii="Sylfaen" w:hAnsi="Sylfaen"/>
          <w:sz w:val="24"/>
          <w:szCs w:val="24"/>
        </w:rPr>
        <w:lastRenderedPageBreak/>
        <w:t>արդյունքները, ինչպես նա</w:t>
      </w:r>
      <w:r w:rsidR="00C54D75">
        <w:rPr>
          <w:rFonts w:ascii="Sylfaen" w:hAnsi="Sylfaen"/>
          <w:sz w:val="24"/>
          <w:szCs w:val="24"/>
        </w:rPr>
        <w:t>և</w:t>
      </w:r>
      <w:r w:rsidRPr="00834D52">
        <w:rPr>
          <w:rFonts w:ascii="Sylfaen" w:hAnsi="Sylfaen"/>
          <w:sz w:val="24"/>
          <w:szCs w:val="24"/>
        </w:rPr>
        <w:t xml:space="preserve"> շրջակա միջավայրի համար ռիսկի գնահատման արդյունքները:</w:t>
      </w:r>
    </w:p>
    <w:p w14:paraId="6BF9E19D" w14:textId="77777777" w:rsidR="006F76EB" w:rsidRPr="00834D52" w:rsidRDefault="006F76EB" w:rsidP="007C3BBD">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17.4.2.3.</w:t>
      </w:r>
      <w:r w:rsidRPr="00834D52">
        <w:rPr>
          <w:rFonts w:ascii="Sylfaen" w:hAnsi="Sylfaen"/>
          <w:sz w:val="24"/>
          <w:szCs w:val="24"/>
        </w:rPr>
        <w:tab/>
        <w:t>Թունաբանություն.</w:t>
      </w:r>
    </w:p>
    <w:p w14:paraId="6C5135C6" w14:textId="77777777" w:rsidR="006F76EB" w:rsidRPr="00834D52" w:rsidRDefault="006F76EB" w:rsidP="007C3BBD">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ուսումնասիրել պատրաստի գենոթերապ</w:t>
      </w:r>
      <w:r w:rsidR="00C54D75">
        <w:rPr>
          <w:rFonts w:ascii="Sylfaen" w:hAnsi="Sylfaen"/>
          <w:sz w:val="24"/>
          <w:szCs w:val="24"/>
        </w:rPr>
        <w:t>և</w:t>
      </w:r>
      <w:r w:rsidRPr="00834D52">
        <w:rPr>
          <w:rFonts w:ascii="Sylfaen" w:hAnsi="Sylfaen"/>
          <w:sz w:val="24"/>
          <w:szCs w:val="24"/>
        </w:rPr>
        <w:t xml:space="preserve">տիկ դեղապատրաստուկի թունավորությունը: Բացի դրանից, դեղապատրաստուկի տեսակից կախված՝ անհրաժեշտ է անցկացնել դեղագործական բաղադրամասի </w:t>
      </w:r>
      <w:r w:rsidR="00C54D75">
        <w:rPr>
          <w:rFonts w:ascii="Sylfaen" w:hAnsi="Sylfaen"/>
          <w:sz w:val="24"/>
          <w:szCs w:val="24"/>
        </w:rPr>
        <w:t>և</w:t>
      </w:r>
      <w:r w:rsidRPr="00834D52">
        <w:rPr>
          <w:rFonts w:ascii="Sylfaen" w:hAnsi="Sylfaen"/>
          <w:sz w:val="24"/>
          <w:szCs w:val="24"/>
        </w:rPr>
        <w:t xml:space="preserve"> օժանդակ նյութերի առանձին փորձարկում՝ հաշվի առնելով դրանց ֆիզիոլոգիական ֆունկցիայի գնահատման համար չնախատեսված՝ նուկլեինաթթվի հաջորդականության էքսպրեսիայի արգասիքների in vivo էֆեկտը:</w:t>
      </w:r>
    </w:p>
    <w:p w14:paraId="0288E2F2" w14:textId="77777777" w:rsidR="006F76EB" w:rsidRPr="00834D52" w:rsidRDefault="006F76EB" w:rsidP="007C3BBD">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Մեկանգամյա ներմուծման դեպքում թույլատրվում է թունավորության հետազոտությունները համատեղել դեղաբանական անվտանգության հետազոտությունների </w:t>
      </w:r>
      <w:r w:rsidR="00C54D75">
        <w:rPr>
          <w:rFonts w:ascii="Sylfaen" w:hAnsi="Sylfaen"/>
          <w:sz w:val="24"/>
          <w:szCs w:val="24"/>
        </w:rPr>
        <w:t>և</w:t>
      </w:r>
      <w:r w:rsidRPr="00834D52">
        <w:rPr>
          <w:rFonts w:ascii="Sylfaen" w:hAnsi="Sylfaen"/>
          <w:sz w:val="24"/>
          <w:szCs w:val="24"/>
        </w:rPr>
        <w:t xml:space="preserve"> </w:t>
      </w:r>
      <w:r w:rsidR="00355C33">
        <w:rPr>
          <w:rFonts w:ascii="Sylfaen" w:hAnsi="Sylfaen"/>
          <w:sz w:val="24"/>
          <w:szCs w:val="24"/>
        </w:rPr>
        <w:t>դեղա</w:t>
      </w:r>
      <w:r w:rsidRPr="00834D52">
        <w:rPr>
          <w:rFonts w:ascii="Sylfaen" w:hAnsi="Sylfaen"/>
          <w:sz w:val="24"/>
          <w:szCs w:val="24"/>
        </w:rPr>
        <w:t>կինետիկ հետազոտությունների հետ,</w:t>
      </w:r>
      <w:r w:rsidRPr="00834D52">
        <w:rPr>
          <w:rFonts w:ascii="Sylfaen" w:hAnsi="Sylfaen"/>
          <w:sz w:val="24"/>
          <w:szCs w:val="24"/>
        </w:rPr>
        <w:br/>
        <w:t>օրինակ՝ պերսիստենցիայի ուսումնասիրության նպատակով:</w:t>
      </w:r>
    </w:p>
    <w:p w14:paraId="587714AF" w14:textId="77777777" w:rsidR="006F76EB" w:rsidRPr="00834D52" w:rsidRDefault="006F76EB" w:rsidP="007C3BBD">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ենթադրվում է մարդու օրգանիզմ դեղապատրաստուկի բազմակի ներմուծում, ապա բազմակի ներմուծման դեպքում անհրաժեշտ է ներկայացնել թունավորության հետազոտությունների արդյունքները: Ներմուծման եղանակն ու ռեժիմը պետք է համապատասխանեն կլինիկական կիրառման ժամանակ ներմուծման եղանակին </w:t>
      </w:r>
      <w:r w:rsidR="00C54D75">
        <w:rPr>
          <w:rFonts w:ascii="Sylfaen" w:hAnsi="Sylfaen"/>
          <w:sz w:val="24"/>
          <w:szCs w:val="24"/>
        </w:rPr>
        <w:t>և</w:t>
      </w:r>
      <w:r w:rsidRPr="00834D52">
        <w:rPr>
          <w:rFonts w:ascii="Sylfaen" w:hAnsi="Sylfaen"/>
          <w:sz w:val="24"/>
          <w:szCs w:val="24"/>
        </w:rPr>
        <w:t xml:space="preserve"> ռեժիմին: Եթե մեկանգամյա ներմուծումը մարդու մոտ կարող է հանգեցնել նուկլեինաթթվի հաջորդականության երկարատ</w:t>
      </w:r>
      <w:r w:rsidR="00C54D75">
        <w:rPr>
          <w:rFonts w:ascii="Sylfaen" w:hAnsi="Sylfaen"/>
          <w:sz w:val="24"/>
          <w:szCs w:val="24"/>
        </w:rPr>
        <w:t>և</w:t>
      </w:r>
      <w:r w:rsidRPr="00834D52">
        <w:rPr>
          <w:rFonts w:ascii="Sylfaen" w:hAnsi="Sylfaen"/>
          <w:sz w:val="24"/>
          <w:szCs w:val="24"/>
        </w:rPr>
        <w:t xml:space="preserve"> ֆունկցիոնալության, ապա բազմակի ներմուծման դեպքում անհրաժեշտ է անցկացնել </w:t>
      </w:r>
      <w:r w:rsidRPr="00333A89">
        <w:rPr>
          <w:rFonts w:ascii="Sylfaen" w:hAnsi="Sylfaen"/>
          <w:spacing w:val="-4"/>
          <w:sz w:val="24"/>
          <w:szCs w:val="24"/>
        </w:rPr>
        <w:t>թունավորության հետազոտություններ: Գենոթերապ</w:t>
      </w:r>
      <w:r w:rsidR="00C54D75">
        <w:rPr>
          <w:rFonts w:ascii="Sylfaen" w:hAnsi="Sylfaen"/>
          <w:spacing w:val="-4"/>
          <w:sz w:val="24"/>
          <w:szCs w:val="24"/>
        </w:rPr>
        <w:t>և</w:t>
      </w:r>
      <w:r w:rsidRPr="00333A89">
        <w:rPr>
          <w:rFonts w:ascii="Sylfaen" w:hAnsi="Sylfaen"/>
          <w:spacing w:val="-4"/>
          <w:sz w:val="24"/>
          <w:szCs w:val="24"/>
        </w:rPr>
        <w:t xml:space="preserve">տիկ դեղապատրաստուկների պերսիստենցիայից </w:t>
      </w:r>
      <w:r w:rsidR="00C54D75">
        <w:rPr>
          <w:rFonts w:ascii="Sylfaen" w:hAnsi="Sylfaen"/>
          <w:spacing w:val="-4"/>
          <w:sz w:val="24"/>
          <w:szCs w:val="24"/>
        </w:rPr>
        <w:t>և</w:t>
      </w:r>
      <w:r w:rsidRPr="00333A89">
        <w:rPr>
          <w:rFonts w:ascii="Sylfaen" w:hAnsi="Sylfaen"/>
          <w:spacing w:val="-4"/>
          <w:sz w:val="24"/>
          <w:szCs w:val="24"/>
        </w:rPr>
        <w:t xml:space="preserve"> սպասվող պոտենցիալ ռիսկերից կախված՝ հետազոտությունների տ</w:t>
      </w:r>
      <w:r w:rsidR="00C54D75">
        <w:rPr>
          <w:rFonts w:ascii="Sylfaen" w:hAnsi="Sylfaen"/>
          <w:spacing w:val="-4"/>
          <w:sz w:val="24"/>
          <w:szCs w:val="24"/>
        </w:rPr>
        <w:t>և</w:t>
      </w:r>
      <w:r w:rsidRPr="00333A89">
        <w:rPr>
          <w:rFonts w:ascii="Sylfaen" w:hAnsi="Sylfaen"/>
          <w:spacing w:val="-4"/>
          <w:sz w:val="24"/>
          <w:szCs w:val="24"/>
        </w:rPr>
        <w:t>ողությունը կարող է գերազանցել թունաբանության ստանդարտ հետազոտությունների տ</w:t>
      </w:r>
      <w:r w:rsidR="00C54D75">
        <w:rPr>
          <w:rFonts w:ascii="Sylfaen" w:hAnsi="Sylfaen"/>
          <w:spacing w:val="-4"/>
          <w:sz w:val="24"/>
          <w:szCs w:val="24"/>
        </w:rPr>
        <w:t>և</w:t>
      </w:r>
      <w:r w:rsidRPr="00333A89">
        <w:rPr>
          <w:rFonts w:ascii="Sylfaen" w:hAnsi="Sylfaen"/>
          <w:spacing w:val="-4"/>
          <w:sz w:val="24"/>
          <w:szCs w:val="24"/>
        </w:rPr>
        <w:t>ողությունը: Անհրաժեշտ է ներկայացնել հետազոտությունների տ</w:t>
      </w:r>
      <w:r w:rsidR="00C54D75">
        <w:rPr>
          <w:rFonts w:ascii="Sylfaen" w:hAnsi="Sylfaen"/>
          <w:spacing w:val="-4"/>
          <w:sz w:val="24"/>
          <w:szCs w:val="24"/>
        </w:rPr>
        <w:t>և</w:t>
      </w:r>
      <w:r w:rsidRPr="00333A89">
        <w:rPr>
          <w:rFonts w:ascii="Sylfaen" w:hAnsi="Sylfaen"/>
          <w:spacing w:val="-4"/>
          <w:sz w:val="24"/>
          <w:szCs w:val="24"/>
        </w:rPr>
        <w:t>ականության</w:t>
      </w:r>
      <w:r w:rsidRPr="00834D52">
        <w:rPr>
          <w:rFonts w:ascii="Sylfaen" w:hAnsi="Sylfaen"/>
          <w:sz w:val="24"/>
          <w:szCs w:val="24"/>
        </w:rPr>
        <w:t xml:space="preserve"> հիմնավորումը:</w:t>
      </w:r>
    </w:p>
    <w:p w14:paraId="6B61754F" w14:textId="77777777" w:rsidR="006F76EB" w:rsidRPr="00834D52" w:rsidRDefault="006F76EB" w:rsidP="007C3BBD">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ուսումնասիրել գենոտոքսիկությունը: Սակայն անհրաժեշտ է </w:t>
      </w:r>
      <w:r w:rsidRPr="00834D52">
        <w:rPr>
          <w:rFonts w:ascii="Sylfaen" w:hAnsi="Sylfaen"/>
          <w:sz w:val="24"/>
          <w:szCs w:val="24"/>
        </w:rPr>
        <w:lastRenderedPageBreak/>
        <w:t>գենոտոքսիկության ստանդարտ հետազոտություններն անցկացնել միայն որոշակի խառնուկի կամ մատակարարման համակարգի բաղադրիչի փորձարկման դեպքում:</w:t>
      </w:r>
    </w:p>
    <w:p w14:paraId="14DE5296" w14:textId="77777777" w:rsidR="006F76EB" w:rsidRPr="004A3E9D" w:rsidRDefault="006F76EB" w:rsidP="001E3FDE">
      <w:pPr>
        <w:spacing w:after="160" w:line="360" w:lineRule="auto"/>
        <w:ind w:right="-6" w:firstLine="567"/>
        <w:jc w:val="both"/>
        <w:rPr>
          <w:rFonts w:ascii="Sylfaen" w:eastAsia="Times New Roman" w:hAnsi="Sylfaen" w:cs="Times New Roman"/>
          <w:spacing w:val="-4"/>
          <w:sz w:val="24"/>
          <w:szCs w:val="24"/>
        </w:rPr>
      </w:pPr>
      <w:r w:rsidRPr="004A3E9D">
        <w:rPr>
          <w:rFonts w:ascii="Sylfaen" w:hAnsi="Sylfaen"/>
          <w:spacing w:val="-4"/>
          <w:sz w:val="24"/>
          <w:szCs w:val="24"/>
        </w:rPr>
        <w:t>Անհրաժեշտ է ուսումնասիրել քաղցկեղածնությունը: Առնետների մոտ քաղցկեղածնության ցմահ ստանդարտ հետազոտություններ չեն պահանջվում: Սակայն, դեղապատրաստուկի տեսակից կախված, ուռուցքածին պոտենցիալն անհրաժեշտ է ուսումնասիրել համապատասխան in vivo կամ in vitro մոդելների վրա:</w:t>
      </w:r>
    </w:p>
    <w:p w14:paraId="3012F3C6" w14:textId="77777777" w:rsidR="006F76EB" w:rsidRPr="00834D52" w:rsidRDefault="006F76EB" w:rsidP="001E3FDE">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Վերարտադրողական </w:t>
      </w:r>
      <w:r w:rsidR="00C54D75">
        <w:rPr>
          <w:rFonts w:ascii="Sylfaen" w:hAnsi="Sylfaen"/>
          <w:sz w:val="24"/>
          <w:szCs w:val="24"/>
        </w:rPr>
        <w:t>և</w:t>
      </w:r>
      <w:r w:rsidRPr="00834D52">
        <w:rPr>
          <w:rFonts w:ascii="Sylfaen" w:hAnsi="Sylfaen"/>
          <w:sz w:val="24"/>
          <w:szCs w:val="24"/>
        </w:rPr>
        <w:t xml:space="preserve"> օնտոգենետիկ թունավորությունը. Եթե գրանցման դոսյեում բացակայում է դիտարկվող դեղապատրաստուկի տեսակից ելնելով արված պատշաճ հիմնավորումը, ապա անհրաժեշտ է ներկայացնել</w:t>
      </w:r>
      <w:r w:rsidRPr="00834D52">
        <w:rPr>
          <w:rFonts w:ascii="Sylfaen" w:hAnsi="Sylfaen"/>
          <w:sz w:val="24"/>
          <w:szCs w:val="24"/>
        </w:rPr>
        <w:br/>
        <w:t xml:space="preserve">ֆերտիլության </w:t>
      </w:r>
      <w:r w:rsidR="00C54D75">
        <w:rPr>
          <w:rFonts w:ascii="Sylfaen" w:hAnsi="Sylfaen"/>
          <w:sz w:val="24"/>
          <w:szCs w:val="24"/>
        </w:rPr>
        <w:t>և</w:t>
      </w:r>
      <w:r w:rsidRPr="00834D52">
        <w:rPr>
          <w:rFonts w:ascii="Sylfaen" w:hAnsi="Sylfaen"/>
          <w:sz w:val="24"/>
          <w:szCs w:val="24"/>
        </w:rPr>
        <w:t xml:space="preserve"> ընդհանուր վերարտադրողական ֆունկցիայի ուսումնասիրության հետազոտությունների արդյունքները: Անհրաժեշտ է ներկայացնել սաղմնապտղային </w:t>
      </w:r>
      <w:r w:rsidR="00C54D75">
        <w:rPr>
          <w:rFonts w:ascii="Sylfaen" w:hAnsi="Sylfaen"/>
          <w:sz w:val="24"/>
          <w:szCs w:val="24"/>
        </w:rPr>
        <w:t>և</w:t>
      </w:r>
      <w:r w:rsidRPr="00834D52">
        <w:rPr>
          <w:rFonts w:ascii="Sylfaen" w:hAnsi="Sylfaen"/>
          <w:sz w:val="24"/>
          <w:szCs w:val="24"/>
        </w:rPr>
        <w:t xml:space="preserve"> նախածննդաբերական թունավորության, գեներատիվ փոխանցման ուսումնասիրության արդյունքները: </w:t>
      </w:r>
    </w:p>
    <w:p w14:paraId="621EBE02" w14:textId="77777777" w:rsidR="006F76EB" w:rsidRPr="00834D52" w:rsidRDefault="006F76EB" w:rsidP="001E3FDE">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Լրացուցիչ թունաբանական հետազոտությունները.</w:t>
      </w:r>
    </w:p>
    <w:p w14:paraId="506C2CB7" w14:textId="77777777" w:rsidR="006F76EB" w:rsidRPr="00834D52" w:rsidRDefault="006F76EB" w:rsidP="001E3FDE">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Ինտեգրման հետազոտությունները. Բոլոր գենոթերապ</w:t>
      </w:r>
      <w:r w:rsidR="00C54D75">
        <w:rPr>
          <w:rFonts w:ascii="Sylfaen" w:hAnsi="Sylfaen"/>
          <w:sz w:val="24"/>
          <w:szCs w:val="24"/>
        </w:rPr>
        <w:t>և</w:t>
      </w:r>
      <w:r w:rsidRPr="00834D52">
        <w:rPr>
          <w:rFonts w:ascii="Sylfaen" w:hAnsi="Sylfaen"/>
          <w:sz w:val="24"/>
          <w:szCs w:val="24"/>
        </w:rPr>
        <w:t>տիկ դեղապատրաստուկների առնչությամբ անհրաժեշտ է ներկայացնել դրանց ինտեգրման հետազոտությունների արդյունքները, եթե այդպիսի արդյունքների բացակայությունը գիտականորեն ապացուցված չէ, օրինակ՝ բջջի միջուկի մեջ նուկլեինաթթվի հաջորդականության ներթափանցման բացակայության հետ</w:t>
      </w:r>
      <w:r w:rsidR="00C54D75">
        <w:rPr>
          <w:rFonts w:ascii="Sylfaen" w:hAnsi="Sylfaen"/>
          <w:sz w:val="24"/>
          <w:szCs w:val="24"/>
        </w:rPr>
        <w:t>և</w:t>
      </w:r>
      <w:r w:rsidRPr="00834D52">
        <w:rPr>
          <w:rFonts w:ascii="Sylfaen" w:hAnsi="Sylfaen"/>
          <w:sz w:val="24"/>
          <w:szCs w:val="24"/>
        </w:rPr>
        <w:t>անքով: Եթե կենսաբաշխման հետազոտությունների արդյունքներով բացահայտվում է գեներատիվ փոխանցման ռիսկ, ապա գենոթերապ</w:t>
      </w:r>
      <w:r w:rsidR="00C54D75">
        <w:rPr>
          <w:rFonts w:ascii="Sylfaen" w:hAnsi="Sylfaen"/>
          <w:sz w:val="24"/>
          <w:szCs w:val="24"/>
        </w:rPr>
        <w:t>և</w:t>
      </w:r>
      <w:r w:rsidRPr="00834D52">
        <w:rPr>
          <w:rFonts w:ascii="Sylfaen" w:hAnsi="Sylfaen"/>
          <w:sz w:val="24"/>
          <w:szCs w:val="24"/>
        </w:rPr>
        <w:t>տիկ դեղապատրաստուկների (ենթադրաբար ինտեգրմանը ոչ ունակ) առնչությամբ անհրաժեշտ է անցկացնել ինտեգրման հետազոտություններ:</w:t>
      </w:r>
    </w:p>
    <w:p w14:paraId="60FC4816" w14:textId="77777777" w:rsidR="006F76EB" w:rsidRPr="00834D52" w:rsidRDefault="006F76EB" w:rsidP="001E3FDE">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Իմունոգենություն </w:t>
      </w:r>
      <w:r w:rsidR="00C54D75">
        <w:rPr>
          <w:rFonts w:ascii="Sylfaen" w:hAnsi="Sylfaen"/>
          <w:sz w:val="24"/>
          <w:szCs w:val="24"/>
        </w:rPr>
        <w:t>և</w:t>
      </w:r>
      <w:r w:rsidRPr="00834D52">
        <w:rPr>
          <w:rFonts w:ascii="Sylfaen" w:hAnsi="Sylfaen"/>
          <w:sz w:val="24"/>
          <w:szCs w:val="24"/>
        </w:rPr>
        <w:t xml:space="preserve"> իմունոտոքսիկություն. Անհրաժեշտ է ուսումնասիրել պոտենցիալ իմունոգեն </w:t>
      </w:r>
      <w:r w:rsidR="00C54D75">
        <w:rPr>
          <w:rFonts w:ascii="Sylfaen" w:hAnsi="Sylfaen"/>
          <w:sz w:val="24"/>
          <w:szCs w:val="24"/>
        </w:rPr>
        <w:t>և</w:t>
      </w:r>
      <w:r w:rsidRPr="00834D52">
        <w:rPr>
          <w:rFonts w:ascii="Sylfaen" w:hAnsi="Sylfaen"/>
          <w:sz w:val="24"/>
          <w:szCs w:val="24"/>
        </w:rPr>
        <w:t xml:space="preserve"> իմունոտոքսիկ էֆեկտները:</w:t>
      </w:r>
    </w:p>
    <w:p w14:paraId="49666B81"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17.4.3.</w:t>
      </w:r>
      <w:r w:rsidRPr="00834D52">
        <w:rPr>
          <w:rFonts w:ascii="Sylfaen" w:hAnsi="Sylfaen"/>
          <w:sz w:val="24"/>
          <w:szCs w:val="24"/>
        </w:rPr>
        <w:tab/>
        <w:t>Սոմատիկ բջիջների հիմքով սոմատոթերապ</w:t>
      </w:r>
      <w:r w:rsidR="00C54D75">
        <w:rPr>
          <w:rFonts w:ascii="Sylfaen" w:hAnsi="Sylfaen"/>
          <w:sz w:val="24"/>
          <w:szCs w:val="24"/>
        </w:rPr>
        <w:t>և</w:t>
      </w:r>
      <w:r w:rsidRPr="00834D52">
        <w:rPr>
          <w:rFonts w:ascii="Sylfaen" w:hAnsi="Sylfaen"/>
          <w:sz w:val="24"/>
          <w:szCs w:val="24"/>
        </w:rPr>
        <w:t xml:space="preserve">տիկ </w:t>
      </w:r>
      <w:r w:rsidRPr="00834D52">
        <w:rPr>
          <w:rFonts w:ascii="Sylfaen" w:hAnsi="Sylfaen"/>
          <w:sz w:val="24"/>
          <w:szCs w:val="24"/>
        </w:rPr>
        <w:lastRenderedPageBreak/>
        <w:t xml:space="preserve">դեղապատրաստուկների </w:t>
      </w:r>
      <w:r w:rsidR="00C54D75">
        <w:rPr>
          <w:rFonts w:ascii="Sylfaen" w:hAnsi="Sylfaen"/>
          <w:sz w:val="24"/>
          <w:szCs w:val="24"/>
        </w:rPr>
        <w:t>և</w:t>
      </w:r>
      <w:r w:rsidRPr="00834D52">
        <w:rPr>
          <w:rFonts w:ascii="Sylfaen" w:hAnsi="Sylfaen"/>
          <w:sz w:val="24"/>
          <w:szCs w:val="24"/>
        </w:rPr>
        <w:t xml:space="preserve"> հյուսվածքային ինժեներիայի դեղապատրաստուկների նկատմամբ հատուկ պահանջները.</w:t>
      </w:r>
    </w:p>
    <w:p w14:paraId="793702D6"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17.4.3.1.</w:t>
      </w:r>
      <w:r w:rsidRPr="00834D52">
        <w:rPr>
          <w:rFonts w:ascii="Sylfaen" w:hAnsi="Sylfaen"/>
          <w:sz w:val="24"/>
          <w:szCs w:val="24"/>
        </w:rPr>
        <w:tab/>
        <w:t>Դեղաբանություն.</w:t>
      </w:r>
    </w:p>
    <w:p w14:paraId="4E74B6D0"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ազդեցության մեխանիզմի հաստատման նպատակով անհրաժեշտ է անցկացնել առաջնային դեղաբանության պատշաճ հետազոտություններ: Անհրաժեշտ է ուսումնասիրել բջջային դեղապատրաստուկների փոխազդեցությունը շրջակա հյուսվածքների հետ:</w:t>
      </w:r>
    </w:p>
    <w:p w14:paraId="6E963921"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Հարկավոր է որոշել դեղապատրաստուկի՝ ցանկալի էֆեկտին (արդյունավետ դեղաչափի) հասնելու համար անհրաժեշտ քանակը </w:t>
      </w:r>
      <w:r w:rsidR="00C54D75">
        <w:rPr>
          <w:rFonts w:ascii="Sylfaen" w:hAnsi="Sylfaen"/>
          <w:sz w:val="24"/>
          <w:szCs w:val="24"/>
        </w:rPr>
        <w:t>և</w:t>
      </w:r>
      <w:r w:rsidRPr="00834D52">
        <w:rPr>
          <w:rFonts w:ascii="Sylfaen" w:hAnsi="Sylfaen"/>
          <w:sz w:val="24"/>
          <w:szCs w:val="24"/>
        </w:rPr>
        <w:t xml:space="preserve"> դրա տեսակից կախված՝ դոզավորման ռեժիմը:</w:t>
      </w:r>
    </w:p>
    <w:p w14:paraId="141A9297"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Սոմատոթերապ</w:t>
      </w:r>
      <w:r w:rsidR="00C54D75">
        <w:rPr>
          <w:rFonts w:ascii="Sylfaen" w:hAnsi="Sylfaen"/>
          <w:sz w:val="24"/>
          <w:szCs w:val="24"/>
        </w:rPr>
        <w:t>և</w:t>
      </w:r>
      <w:r w:rsidRPr="00834D52">
        <w:rPr>
          <w:rFonts w:ascii="Sylfaen" w:hAnsi="Sylfaen"/>
          <w:sz w:val="24"/>
          <w:szCs w:val="24"/>
        </w:rPr>
        <w:t>տիկ դեղապատրաստուկի, հյուսվածքային ինժեներիայի պատրաստուկի կամ լրացուցիչ նյութերի թերապ</w:t>
      </w:r>
      <w:r w:rsidR="00C54D75">
        <w:rPr>
          <w:rFonts w:ascii="Sylfaen" w:hAnsi="Sylfaen"/>
          <w:sz w:val="24"/>
          <w:szCs w:val="24"/>
        </w:rPr>
        <w:t>և</w:t>
      </w:r>
      <w:r w:rsidRPr="00834D52">
        <w:rPr>
          <w:rFonts w:ascii="Sylfaen" w:hAnsi="Sylfaen"/>
          <w:sz w:val="24"/>
          <w:szCs w:val="24"/>
        </w:rPr>
        <w:t>տիկ էֆեկտների հետ կապ չունեցող պոտենցիալ ֆիզիոլոգիական էֆեկտների գնահատման նպատակով անհրաժեշտ է ներկայացնել երկրորդային դեղաբանության հետազոտության արդյունքները, քանի որ, բացի անհրաժեշտ սպիտակուցներից, կարող են առաջանալ նա</w:t>
      </w:r>
      <w:r w:rsidR="00C54D75">
        <w:rPr>
          <w:rFonts w:ascii="Sylfaen" w:hAnsi="Sylfaen"/>
          <w:sz w:val="24"/>
          <w:szCs w:val="24"/>
        </w:rPr>
        <w:t>և</w:t>
      </w:r>
      <w:r w:rsidRPr="00834D52">
        <w:rPr>
          <w:rFonts w:ascii="Sylfaen" w:hAnsi="Sylfaen"/>
          <w:sz w:val="24"/>
          <w:szCs w:val="24"/>
        </w:rPr>
        <w:t xml:space="preserve"> կենսաբանորեն ակտիվ մոլեկուլներ, կամ անհրաժեշտ սպիտակուցները կարող են ունենալ անցանկալի թիրախներ:</w:t>
      </w:r>
    </w:p>
    <w:p w14:paraId="5A765809" w14:textId="77777777" w:rsidR="006F76EB" w:rsidRPr="00834D52" w:rsidRDefault="006F76EB" w:rsidP="00362224">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17.4.3.2.</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կինետիկա.</w:t>
      </w:r>
    </w:p>
    <w:p w14:paraId="091C3F6B" w14:textId="77777777" w:rsidR="006F76EB" w:rsidRPr="00834D52" w:rsidRDefault="006F76EB" w:rsidP="007B5A44">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Կլանման, բաշխման, նյութափոխանակության </w:t>
      </w:r>
      <w:r w:rsidR="00C54D75">
        <w:rPr>
          <w:rFonts w:ascii="Sylfaen" w:hAnsi="Sylfaen"/>
          <w:sz w:val="24"/>
          <w:szCs w:val="24"/>
        </w:rPr>
        <w:t>և</w:t>
      </w:r>
      <w:r w:rsidRPr="00834D52">
        <w:rPr>
          <w:rFonts w:ascii="Sylfaen" w:hAnsi="Sylfaen"/>
          <w:sz w:val="24"/>
          <w:szCs w:val="24"/>
        </w:rPr>
        <w:t xml:space="preserve"> արտաթորման ուսումնասիրության համար ստանդարտ </w:t>
      </w:r>
      <w:r w:rsidR="00355C33">
        <w:rPr>
          <w:rFonts w:ascii="Sylfaen" w:hAnsi="Sylfaen"/>
          <w:sz w:val="24"/>
          <w:szCs w:val="24"/>
        </w:rPr>
        <w:t>դեղա</w:t>
      </w:r>
      <w:r w:rsidRPr="00834D52">
        <w:rPr>
          <w:rFonts w:ascii="Sylfaen" w:hAnsi="Sylfaen"/>
          <w:sz w:val="24"/>
          <w:szCs w:val="24"/>
        </w:rPr>
        <w:t>կինետիկ հետազոտություններ չեն պահանջվում: Սակայն եթե գրանցման դոսյեում բացակայում է դիտարկվող դեղապատրաստուկի տեսակի վրա հիմնված պատշաճ հիմնավորումը, ապա անհրաժեշտ է ուսումնասիրել այնպիսի պարամետրեր, ինչպիսիք են կենսունակությունը, երկարատ</w:t>
      </w:r>
      <w:r w:rsidR="00C54D75">
        <w:rPr>
          <w:rFonts w:ascii="Sylfaen" w:hAnsi="Sylfaen"/>
          <w:sz w:val="24"/>
          <w:szCs w:val="24"/>
        </w:rPr>
        <w:t>և</w:t>
      </w:r>
      <w:r w:rsidRPr="00834D52">
        <w:rPr>
          <w:rFonts w:ascii="Sylfaen" w:hAnsi="Sylfaen"/>
          <w:sz w:val="24"/>
          <w:szCs w:val="24"/>
        </w:rPr>
        <w:t xml:space="preserve">ությունը, աճը, տարբերակումը (դիֆերենցումը) </w:t>
      </w:r>
      <w:r w:rsidR="00C54D75">
        <w:rPr>
          <w:rFonts w:ascii="Sylfaen" w:hAnsi="Sylfaen"/>
          <w:sz w:val="24"/>
          <w:szCs w:val="24"/>
        </w:rPr>
        <w:t>և</w:t>
      </w:r>
      <w:r w:rsidRPr="00834D52">
        <w:rPr>
          <w:rFonts w:ascii="Sylfaen" w:hAnsi="Sylfaen"/>
          <w:sz w:val="24"/>
          <w:szCs w:val="24"/>
        </w:rPr>
        <w:t xml:space="preserve"> միգրացիան:</w:t>
      </w:r>
    </w:p>
    <w:p w14:paraId="1BB99FCD" w14:textId="77777777" w:rsidR="006F76EB" w:rsidRPr="00834D52" w:rsidRDefault="006F76EB" w:rsidP="007B5A44">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Սոմատոթերապ</w:t>
      </w:r>
      <w:r w:rsidR="00C54D75">
        <w:rPr>
          <w:rFonts w:ascii="Sylfaen" w:hAnsi="Sylfaen"/>
          <w:sz w:val="24"/>
          <w:szCs w:val="24"/>
        </w:rPr>
        <w:t>և</w:t>
      </w:r>
      <w:r w:rsidRPr="00834D52">
        <w:rPr>
          <w:rFonts w:ascii="Sylfaen" w:hAnsi="Sylfaen"/>
          <w:sz w:val="24"/>
          <w:szCs w:val="24"/>
        </w:rPr>
        <w:t xml:space="preserve">տիկ դեղապատրաստուկների </w:t>
      </w:r>
      <w:r w:rsidR="00C54D75">
        <w:rPr>
          <w:rFonts w:ascii="Sylfaen" w:hAnsi="Sylfaen"/>
          <w:sz w:val="24"/>
          <w:szCs w:val="24"/>
        </w:rPr>
        <w:t>և</w:t>
      </w:r>
      <w:r w:rsidRPr="00834D52">
        <w:rPr>
          <w:rFonts w:ascii="Sylfaen" w:hAnsi="Sylfaen"/>
          <w:sz w:val="24"/>
          <w:szCs w:val="24"/>
        </w:rPr>
        <w:t xml:space="preserve"> հյուսվածքային ինժեներիայի պատրաստուկների, մշտական հիմունքով արտադրվող ակտիվ կենսամոլեկուլների առնչությամբ անհրաժեշտ է ուսումնասիրել այդպիսի </w:t>
      </w:r>
      <w:r w:rsidRPr="00834D52">
        <w:rPr>
          <w:rFonts w:ascii="Sylfaen" w:hAnsi="Sylfaen"/>
          <w:sz w:val="24"/>
          <w:szCs w:val="24"/>
        </w:rPr>
        <w:lastRenderedPageBreak/>
        <w:t>մոլեկուլների բաշխումը, տ</w:t>
      </w:r>
      <w:r w:rsidR="00C54D75">
        <w:rPr>
          <w:rFonts w:ascii="Sylfaen" w:hAnsi="Sylfaen"/>
          <w:sz w:val="24"/>
          <w:szCs w:val="24"/>
        </w:rPr>
        <w:t>և</w:t>
      </w:r>
      <w:r w:rsidRPr="00834D52">
        <w:rPr>
          <w:rFonts w:ascii="Sylfaen" w:hAnsi="Sylfaen"/>
          <w:sz w:val="24"/>
          <w:szCs w:val="24"/>
        </w:rPr>
        <w:t xml:space="preserve">ողությունը </w:t>
      </w:r>
      <w:r w:rsidR="00C54D75">
        <w:rPr>
          <w:rFonts w:ascii="Sylfaen" w:hAnsi="Sylfaen"/>
          <w:sz w:val="24"/>
          <w:szCs w:val="24"/>
        </w:rPr>
        <w:t>և</w:t>
      </w:r>
      <w:r w:rsidRPr="00834D52">
        <w:rPr>
          <w:rFonts w:ascii="Sylfaen" w:hAnsi="Sylfaen"/>
          <w:sz w:val="24"/>
          <w:szCs w:val="24"/>
        </w:rPr>
        <w:t xml:space="preserve"> էքսպրեսիայի ծավալը: </w:t>
      </w:r>
    </w:p>
    <w:p w14:paraId="3B342A3B" w14:textId="77777777" w:rsidR="006F76EB" w:rsidRPr="00834D52" w:rsidRDefault="006F76EB" w:rsidP="001E3FDE">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17.4.3.3.</w:t>
      </w:r>
      <w:r w:rsidRPr="00834D52">
        <w:rPr>
          <w:rFonts w:ascii="Sylfaen" w:hAnsi="Sylfaen"/>
          <w:sz w:val="24"/>
          <w:szCs w:val="24"/>
        </w:rPr>
        <w:tab/>
        <w:t>Թունաբանություն.</w:t>
      </w:r>
    </w:p>
    <w:p w14:paraId="5B44DA18" w14:textId="77777777" w:rsidR="006F76EB" w:rsidRPr="00834D52" w:rsidRDefault="006F76EB" w:rsidP="001E3FD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ուսումնասիրել պատրաստի դեղապատրաստուկի թունավորությունը: Անհրաժեշտ է դիտարկել դեղագործական բաղադրամասի, օժանդակ նյութերի, լրացուցիչ նյութերի </w:t>
      </w:r>
      <w:r w:rsidR="00C54D75">
        <w:rPr>
          <w:rFonts w:ascii="Sylfaen" w:hAnsi="Sylfaen"/>
          <w:sz w:val="24"/>
          <w:szCs w:val="24"/>
        </w:rPr>
        <w:t>և</w:t>
      </w:r>
      <w:r w:rsidRPr="00834D52">
        <w:rPr>
          <w:rFonts w:ascii="Sylfaen" w:hAnsi="Sylfaen"/>
          <w:sz w:val="24"/>
          <w:szCs w:val="24"/>
        </w:rPr>
        <w:t xml:space="preserve"> բոլոր արտադրական խառնուկների առանձին ուսումնասիրելու հնարավորությունը:</w:t>
      </w:r>
    </w:p>
    <w:p w14:paraId="7B6FC18D" w14:textId="77777777" w:rsidR="006F76EB" w:rsidRPr="00834D52" w:rsidRDefault="006F76EB" w:rsidP="001E3FD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Դիտարկումների տ</w:t>
      </w:r>
      <w:r w:rsidR="00C54D75">
        <w:rPr>
          <w:rFonts w:ascii="Sylfaen" w:hAnsi="Sylfaen"/>
          <w:sz w:val="24"/>
          <w:szCs w:val="24"/>
        </w:rPr>
        <w:t>և</w:t>
      </w:r>
      <w:r w:rsidRPr="00834D52">
        <w:rPr>
          <w:rFonts w:ascii="Sylfaen" w:hAnsi="Sylfaen"/>
          <w:sz w:val="24"/>
          <w:szCs w:val="24"/>
        </w:rPr>
        <w:t>ողությունը կարող է գերազանցել ստանդարտ թունաբանական հետազոտությունների ժամանակ դիտարկումների տ</w:t>
      </w:r>
      <w:r w:rsidR="00C54D75">
        <w:rPr>
          <w:rFonts w:ascii="Sylfaen" w:hAnsi="Sylfaen"/>
          <w:sz w:val="24"/>
          <w:szCs w:val="24"/>
        </w:rPr>
        <w:t>և</w:t>
      </w:r>
      <w:r w:rsidRPr="00834D52">
        <w:rPr>
          <w:rFonts w:ascii="Sylfaen" w:hAnsi="Sylfaen"/>
          <w:sz w:val="24"/>
          <w:szCs w:val="24"/>
        </w:rPr>
        <w:t>ողությանը, հետ</w:t>
      </w:r>
      <w:r w:rsidR="00C54D75">
        <w:rPr>
          <w:rFonts w:ascii="Sylfaen" w:hAnsi="Sylfaen"/>
          <w:sz w:val="24"/>
          <w:szCs w:val="24"/>
        </w:rPr>
        <w:t>և</w:t>
      </w:r>
      <w:r w:rsidRPr="00834D52">
        <w:rPr>
          <w:rFonts w:ascii="Sylfaen" w:hAnsi="Sylfaen"/>
          <w:sz w:val="24"/>
          <w:szCs w:val="24"/>
        </w:rPr>
        <w:t>աբար անհրաժեշտ է հաշվի առնել դեղապատրաստուկի ենթադրվող կենսական ցիկլը, ինչպես նա</w:t>
      </w:r>
      <w:r w:rsidR="00C54D75">
        <w:rPr>
          <w:rFonts w:ascii="Sylfaen" w:hAnsi="Sylfaen"/>
          <w:sz w:val="24"/>
          <w:szCs w:val="24"/>
        </w:rPr>
        <w:t>և</w:t>
      </w:r>
      <w:r w:rsidRPr="00834D52">
        <w:rPr>
          <w:rFonts w:ascii="Sylfaen" w:hAnsi="Sylfaen"/>
          <w:sz w:val="24"/>
          <w:szCs w:val="24"/>
        </w:rPr>
        <w:t xml:space="preserve"> դրա </w:t>
      </w:r>
      <w:r w:rsidR="00355C33">
        <w:rPr>
          <w:rFonts w:ascii="Sylfaen" w:hAnsi="Sylfaen"/>
          <w:sz w:val="24"/>
          <w:szCs w:val="24"/>
        </w:rPr>
        <w:t>դեղա</w:t>
      </w:r>
      <w:r w:rsidRPr="00834D52">
        <w:rPr>
          <w:rFonts w:ascii="Sylfaen" w:hAnsi="Sylfaen"/>
          <w:sz w:val="24"/>
          <w:szCs w:val="24"/>
        </w:rPr>
        <w:t xml:space="preserve">դինամիկ </w:t>
      </w:r>
      <w:r w:rsidR="00C54D75">
        <w:rPr>
          <w:rFonts w:ascii="Sylfaen" w:hAnsi="Sylfaen"/>
          <w:sz w:val="24"/>
          <w:szCs w:val="24"/>
        </w:rPr>
        <w:t>և</w:t>
      </w:r>
      <w:r w:rsidRPr="00834D52">
        <w:rPr>
          <w:rFonts w:ascii="Sylfaen" w:hAnsi="Sylfaen"/>
          <w:sz w:val="24"/>
          <w:szCs w:val="24"/>
        </w:rPr>
        <w:t xml:space="preserve"> </w:t>
      </w:r>
      <w:r w:rsidR="00355C33">
        <w:rPr>
          <w:rFonts w:ascii="Sylfaen" w:hAnsi="Sylfaen"/>
          <w:sz w:val="24"/>
          <w:szCs w:val="24"/>
        </w:rPr>
        <w:t>դեղա</w:t>
      </w:r>
      <w:r w:rsidRPr="00834D52">
        <w:rPr>
          <w:rFonts w:ascii="Sylfaen" w:hAnsi="Sylfaen"/>
          <w:sz w:val="24"/>
          <w:szCs w:val="24"/>
        </w:rPr>
        <w:t>կինետիկ հատկությունները: Անհրաժեշտ է ներկայացնել հետազոտությունների տ</w:t>
      </w:r>
      <w:r w:rsidR="00C54D75">
        <w:rPr>
          <w:rFonts w:ascii="Sylfaen" w:hAnsi="Sylfaen"/>
          <w:sz w:val="24"/>
          <w:szCs w:val="24"/>
        </w:rPr>
        <w:t>և</w:t>
      </w:r>
      <w:r w:rsidRPr="00834D52">
        <w:rPr>
          <w:rFonts w:ascii="Sylfaen" w:hAnsi="Sylfaen"/>
          <w:sz w:val="24"/>
          <w:szCs w:val="24"/>
        </w:rPr>
        <w:t>ողության հիմնավորումը:</w:t>
      </w:r>
    </w:p>
    <w:p w14:paraId="09614193" w14:textId="77777777" w:rsidR="006F76EB" w:rsidRPr="00834D52" w:rsidRDefault="006F76EB" w:rsidP="001E3FD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Քաղցկեղածնության </w:t>
      </w:r>
      <w:r w:rsidR="00C54D75">
        <w:rPr>
          <w:rFonts w:ascii="Sylfaen" w:hAnsi="Sylfaen"/>
          <w:sz w:val="24"/>
          <w:szCs w:val="24"/>
        </w:rPr>
        <w:t>և</w:t>
      </w:r>
      <w:r w:rsidRPr="00834D52">
        <w:rPr>
          <w:rFonts w:ascii="Sylfaen" w:hAnsi="Sylfaen"/>
          <w:sz w:val="24"/>
          <w:szCs w:val="24"/>
        </w:rPr>
        <w:t xml:space="preserve"> գենոտոքսիկության ստանդարտ հետազոտություններ չեն պահանջվում՝ բացառությամբ պատրաստի դեղապատրաստուկի ուռուցքածին պոտենցիալի:</w:t>
      </w:r>
    </w:p>
    <w:p w14:paraId="731D67E9" w14:textId="77777777" w:rsidR="006F76EB" w:rsidRPr="00834D52" w:rsidRDefault="006F76EB" w:rsidP="001E3FD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ուսումնասիրել իմունոգեն </w:t>
      </w:r>
      <w:r w:rsidR="00C54D75">
        <w:rPr>
          <w:rFonts w:ascii="Sylfaen" w:hAnsi="Sylfaen"/>
          <w:sz w:val="24"/>
          <w:szCs w:val="24"/>
        </w:rPr>
        <w:t>և</w:t>
      </w:r>
      <w:r w:rsidRPr="00834D52">
        <w:rPr>
          <w:rFonts w:ascii="Sylfaen" w:hAnsi="Sylfaen"/>
          <w:sz w:val="24"/>
          <w:szCs w:val="24"/>
        </w:rPr>
        <w:t xml:space="preserve"> իմունոտոքսիկ պոտենցիալը:</w:t>
      </w:r>
    </w:p>
    <w:p w14:paraId="4A2848BC" w14:textId="77777777" w:rsidR="006F76EB" w:rsidRPr="00834D52" w:rsidRDefault="006F76EB" w:rsidP="001E3FD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Կենդանիների բջիջներ պարունակող բջջային դեղապատրաստուկների առնչությամբ անհրաժեշտ է ուսումնասիրել դրանցով պայմանավորված անվտանգության հարցերը, օրինակ՝ մարդուն քսենոգենային ախտածինների փոխանցման ռիսկը:</w:t>
      </w:r>
    </w:p>
    <w:p w14:paraId="067B2E24" w14:textId="77777777" w:rsidR="006F76EB" w:rsidRPr="00834D52" w:rsidRDefault="006F76EB" w:rsidP="001E3FDE">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17.5.</w:t>
      </w:r>
      <w:r w:rsidRPr="00834D52">
        <w:rPr>
          <w:rFonts w:ascii="Sylfaen" w:hAnsi="Sylfaen"/>
          <w:sz w:val="24"/>
          <w:szCs w:val="24"/>
        </w:rPr>
        <w:tab/>
        <w:t>Գրանցման դոսյեի 5-րդ մոդուլին ներկայացվող հատուկ պահանջները.</w:t>
      </w:r>
    </w:p>
    <w:p w14:paraId="3EA5C663" w14:textId="77777777" w:rsidR="006F76EB" w:rsidRPr="00834D52" w:rsidRDefault="006F76EB" w:rsidP="001E3FDE">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17.5.1.</w:t>
      </w:r>
      <w:r w:rsidRPr="00834D52">
        <w:rPr>
          <w:rFonts w:ascii="Sylfaen" w:hAnsi="Sylfaen"/>
          <w:sz w:val="24"/>
          <w:szCs w:val="24"/>
        </w:rPr>
        <w:tab/>
        <w:t>Բարձր տեխնոլոգիական դեղապատրաստուկներին ներկայացվող հատուկ պահանջները.</w:t>
      </w:r>
    </w:p>
    <w:p w14:paraId="78B89D5A" w14:textId="77777777" w:rsidR="006F76EB" w:rsidRPr="00834D52" w:rsidRDefault="006F76EB" w:rsidP="007B5A4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17.5.1.1.</w:t>
      </w:r>
      <w:r w:rsidRPr="00834D52">
        <w:rPr>
          <w:rFonts w:ascii="Sylfaen" w:hAnsi="Sylfaen"/>
          <w:sz w:val="24"/>
          <w:szCs w:val="24"/>
        </w:rPr>
        <w:tab/>
        <w:t xml:space="preserve">Սույն բաժնի հատուկ պահանջները լրացնում են սույն հավելվածի </w:t>
      </w:r>
      <w:r w:rsidRPr="00834D52">
        <w:rPr>
          <w:rFonts w:ascii="Sylfaen" w:hAnsi="Sylfaen"/>
          <w:sz w:val="24"/>
          <w:szCs w:val="24"/>
        </w:rPr>
        <w:lastRenderedPageBreak/>
        <w:t>I</w:t>
      </w:r>
      <w:r w:rsidR="00864219" w:rsidRPr="00864219">
        <w:rPr>
          <w:rFonts w:ascii="Sylfaen" w:hAnsi="Sylfaen"/>
          <w:sz w:val="24"/>
          <w:szCs w:val="24"/>
        </w:rPr>
        <w:t> </w:t>
      </w:r>
      <w:r w:rsidRPr="00834D52">
        <w:rPr>
          <w:rFonts w:ascii="Sylfaen" w:hAnsi="Sylfaen"/>
          <w:sz w:val="24"/>
          <w:szCs w:val="24"/>
        </w:rPr>
        <w:t>մասի 5-րդ բաժնի գրանցման դոսյեի 5-րդ մոդուլին ներկայացվող պահանջները:</w:t>
      </w:r>
    </w:p>
    <w:p w14:paraId="5D797A48" w14:textId="77777777" w:rsidR="006F76EB" w:rsidRPr="00834D52" w:rsidRDefault="006F76EB" w:rsidP="0086421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17.5.1.2.</w:t>
      </w:r>
      <w:r w:rsidRPr="00834D52">
        <w:rPr>
          <w:rFonts w:ascii="Sylfaen" w:hAnsi="Sylfaen"/>
          <w:sz w:val="24"/>
          <w:szCs w:val="24"/>
        </w:rPr>
        <w:tab/>
        <w:t>Եթե բարձր տեխնոլոգիական դեղապատրաստուկների կլինիկական կիրառման համար անհրաժեշտ է օժանդակ հատուկ թերապիա կամ վիրաբուժական պրոցեդուրաներ, ապա թերապ</w:t>
      </w:r>
      <w:r w:rsidR="00C54D75">
        <w:rPr>
          <w:rFonts w:ascii="Sylfaen" w:hAnsi="Sylfaen"/>
          <w:sz w:val="24"/>
          <w:szCs w:val="24"/>
        </w:rPr>
        <w:t>և</w:t>
      </w:r>
      <w:r w:rsidRPr="00834D52">
        <w:rPr>
          <w:rFonts w:ascii="Sylfaen" w:hAnsi="Sylfaen"/>
          <w:sz w:val="24"/>
          <w:szCs w:val="24"/>
        </w:rPr>
        <w:t xml:space="preserve">տիկ միջոցառումների ողջ համալիրն անհրաժեշտ է ուսումնասիրել որպես ամբողջություն: Կլինիկական մշակման ընթացքում անհրաժեշտ է ներկայացնել այդպիսի պրոցեդուրաների ստանդարտացման </w:t>
      </w:r>
      <w:r w:rsidR="00C54D75">
        <w:rPr>
          <w:rFonts w:ascii="Sylfaen" w:hAnsi="Sylfaen"/>
          <w:sz w:val="24"/>
          <w:szCs w:val="24"/>
        </w:rPr>
        <w:t>և</w:t>
      </w:r>
      <w:r w:rsidRPr="00834D52">
        <w:rPr>
          <w:rFonts w:ascii="Sylfaen" w:hAnsi="Sylfaen"/>
          <w:sz w:val="24"/>
          <w:szCs w:val="24"/>
        </w:rPr>
        <w:t xml:space="preserve"> օպտիմալացման վերաբերյալ տեղեկություններ:</w:t>
      </w:r>
    </w:p>
    <w:p w14:paraId="18550E46" w14:textId="77777777" w:rsidR="006F76EB" w:rsidRPr="00834D52" w:rsidRDefault="006F76EB" w:rsidP="0086421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վիրաբուժական պրոցեդուրայի ընթացքում բարձր տեխնոլոգիական դեղապատրաստուկի կիրառման, իմպլանտացիայի կամ ներմուծման համար օգտագործվող բժշկական արտադրատեսակները կարող են ազդեցություն ունենալ այդ պատրաստուկի արդյունավետության </w:t>
      </w:r>
      <w:r w:rsidR="00C54D75">
        <w:rPr>
          <w:rFonts w:ascii="Sylfaen" w:hAnsi="Sylfaen"/>
          <w:sz w:val="24"/>
          <w:szCs w:val="24"/>
        </w:rPr>
        <w:t>և</w:t>
      </w:r>
      <w:r w:rsidRPr="00834D52">
        <w:rPr>
          <w:rFonts w:ascii="Sylfaen" w:hAnsi="Sylfaen"/>
          <w:sz w:val="24"/>
          <w:szCs w:val="24"/>
        </w:rPr>
        <w:t xml:space="preserve"> անվտանգության վրա, ապա անհրաժեշտ է ներկայացնել այդպիսի արտադրատեսակների վերաբերյալ տեղեկություններ:</w:t>
      </w:r>
    </w:p>
    <w:p w14:paraId="12115F69" w14:textId="77777777" w:rsidR="006F76EB" w:rsidRPr="00834D52" w:rsidRDefault="006F76EB" w:rsidP="0086421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Անհրաժեշտ է նախատեսել կիրառման, իմպլանտացիայի, ներմուծման </w:t>
      </w:r>
      <w:r w:rsidR="00C54D75">
        <w:rPr>
          <w:rFonts w:ascii="Sylfaen" w:hAnsi="Sylfaen"/>
          <w:sz w:val="24"/>
          <w:szCs w:val="24"/>
        </w:rPr>
        <w:t>և</w:t>
      </w:r>
      <w:r w:rsidRPr="00834D52">
        <w:rPr>
          <w:rFonts w:ascii="Sylfaen" w:hAnsi="Sylfaen"/>
          <w:sz w:val="24"/>
          <w:szCs w:val="24"/>
        </w:rPr>
        <w:t xml:space="preserve"> հետագա դիտարկման համար անցկացվող գնահատմանն ուղղված առանձին վերլուծություն: Անհրաժեշտության դեպքում հարկավոր է ներկայացնել բուժաշխատողների՝ օգտագործման, կիրառման, իմպլանտացիայի </w:t>
      </w:r>
      <w:r w:rsidR="00C54D75">
        <w:rPr>
          <w:rFonts w:ascii="Sylfaen" w:hAnsi="Sylfaen"/>
          <w:sz w:val="24"/>
          <w:szCs w:val="24"/>
        </w:rPr>
        <w:t>և</w:t>
      </w:r>
      <w:r w:rsidRPr="00834D52">
        <w:rPr>
          <w:rFonts w:ascii="Sylfaen" w:hAnsi="Sylfaen"/>
          <w:sz w:val="24"/>
          <w:szCs w:val="24"/>
        </w:rPr>
        <w:t xml:space="preserve"> ներմուծման ընթացակարգերի ուսուցման պլան:</w:t>
      </w:r>
    </w:p>
    <w:p w14:paraId="3F85F9AA" w14:textId="77777777" w:rsidR="006F76EB" w:rsidRPr="00834D52" w:rsidRDefault="006F76EB" w:rsidP="0086421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17.5.1.3.</w:t>
      </w:r>
      <w:r w:rsidRPr="00834D52">
        <w:rPr>
          <w:rFonts w:ascii="Sylfaen" w:hAnsi="Sylfaen"/>
          <w:sz w:val="24"/>
          <w:szCs w:val="24"/>
        </w:rPr>
        <w:tab/>
        <w:t>Հաշվի առնելով, որ կլինիկական մշակման ընթացքում բարձր տեխնոլոգիական դեղապատրաստուկների արտադրության պրոցեսը կարող է ենթարկվել փոփոխությունների, կարող են պահանջվել համադրելիությունը հաստատող լրացուցիչ հետազոտություններ:</w:t>
      </w:r>
    </w:p>
    <w:p w14:paraId="11C7C348" w14:textId="77777777" w:rsidR="006F76EB" w:rsidRPr="00834D52" w:rsidRDefault="006F76EB" w:rsidP="00864219">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17.5.1.4.</w:t>
      </w:r>
      <w:r w:rsidRPr="00834D52">
        <w:rPr>
          <w:rFonts w:ascii="Sylfaen" w:hAnsi="Sylfaen"/>
          <w:sz w:val="24"/>
          <w:szCs w:val="24"/>
        </w:rPr>
        <w:tab/>
        <w:t xml:space="preserve">Կլինիկական մշակման ընթացքում անհրաժեշտ է ուսումնասիրել պոտենցիալ վարակիչ ագենտներով կամ կենդանի աղբյուրներից ստացված նյութերի օգտագործմամբ պայմանավորված ռիսկերը </w:t>
      </w:r>
      <w:r w:rsidR="00C54D75">
        <w:rPr>
          <w:rFonts w:ascii="Sylfaen" w:hAnsi="Sylfaen"/>
          <w:sz w:val="24"/>
          <w:szCs w:val="24"/>
        </w:rPr>
        <w:t>և</w:t>
      </w:r>
      <w:r w:rsidRPr="00834D52">
        <w:rPr>
          <w:rFonts w:ascii="Sylfaen" w:hAnsi="Sylfaen"/>
          <w:sz w:val="24"/>
          <w:szCs w:val="24"/>
        </w:rPr>
        <w:t xml:space="preserve"> նկարագրել այդ ռիսկերի նվազեցմանն ուղղված միջոցները:</w:t>
      </w:r>
    </w:p>
    <w:p w14:paraId="379B5070"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17.5.1.5.</w:t>
      </w:r>
      <w:r w:rsidRPr="00834D52">
        <w:rPr>
          <w:rFonts w:ascii="Sylfaen" w:hAnsi="Sylfaen"/>
          <w:sz w:val="24"/>
          <w:szCs w:val="24"/>
        </w:rPr>
        <w:tab/>
        <w:t xml:space="preserve">Դեղաչափի ընտրության մասով հետազոտությունների օգնությամբ </w:t>
      </w:r>
      <w:r w:rsidRPr="00834D52">
        <w:rPr>
          <w:rFonts w:ascii="Sylfaen" w:hAnsi="Sylfaen"/>
          <w:sz w:val="24"/>
          <w:szCs w:val="24"/>
        </w:rPr>
        <w:lastRenderedPageBreak/>
        <w:t>անհրաժեշտ է որոշել դեղաչափերն ու դոզավորման ռեժիմը:</w:t>
      </w:r>
    </w:p>
    <w:p w14:paraId="5C69A3C4"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17.5.1.6.</w:t>
      </w:r>
      <w:r w:rsidRPr="00834D52">
        <w:rPr>
          <w:rFonts w:ascii="Sylfaen" w:hAnsi="Sylfaen"/>
          <w:sz w:val="24"/>
          <w:szCs w:val="24"/>
        </w:rPr>
        <w:tab/>
        <w:t>Ըստ հայտագրված ցուցումների՝ արդյունավետությունն անհրաժեշտ է հաստատել այնպիսի կլինիկական հետազոտությունների համապատասխան արդյունքներով, որոնցում օգտագործվել են ենթադրվող կիրառման համար կլինիկորեն նշանակալի վերջնակետերը: Որոշակի կլինիկական վիճակներում կարող է պահանջվել երկարաժամկետ արդյունավետության հաստատում: Անհրաժեշտ է ներկայացնել երկարաժամկետ արդյունավետության գնահատման ռազմավարությունը:</w:t>
      </w:r>
    </w:p>
    <w:p w14:paraId="5BBC7031"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17.5.1.7.</w:t>
      </w:r>
      <w:r w:rsidRPr="00834D52">
        <w:rPr>
          <w:rFonts w:ascii="Sylfaen" w:hAnsi="Sylfaen"/>
          <w:sz w:val="24"/>
          <w:szCs w:val="24"/>
        </w:rPr>
        <w:tab/>
        <w:t xml:space="preserve">Ռիսկերի կառավարման պլանում անհրաժեշտ է նախատեսել անվտանգության </w:t>
      </w:r>
      <w:r w:rsidR="00C54D75">
        <w:rPr>
          <w:rFonts w:ascii="Sylfaen" w:hAnsi="Sylfaen"/>
          <w:sz w:val="24"/>
          <w:szCs w:val="24"/>
        </w:rPr>
        <w:t>և</w:t>
      </w:r>
      <w:r w:rsidRPr="00834D52">
        <w:rPr>
          <w:rFonts w:ascii="Sylfaen" w:hAnsi="Sylfaen"/>
          <w:sz w:val="24"/>
          <w:szCs w:val="24"/>
        </w:rPr>
        <w:t xml:space="preserve"> արդյունավետության երկարաժամկետ դիտարկման ռազմավարությունը:</w:t>
      </w:r>
    </w:p>
    <w:p w14:paraId="6728E768"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17.5.1.8.</w:t>
      </w:r>
      <w:r w:rsidRPr="00834D52">
        <w:rPr>
          <w:rFonts w:ascii="Sylfaen" w:hAnsi="Sylfaen"/>
          <w:sz w:val="24"/>
          <w:szCs w:val="24"/>
        </w:rPr>
        <w:tab/>
        <w:t xml:space="preserve">Առաջատար թերապիայի համար համակցված դեղապատրաստուկների անվտանգության </w:t>
      </w:r>
      <w:r w:rsidR="00C54D75">
        <w:rPr>
          <w:rFonts w:ascii="Sylfaen" w:hAnsi="Sylfaen"/>
          <w:sz w:val="24"/>
          <w:szCs w:val="24"/>
        </w:rPr>
        <w:t>և</w:t>
      </w:r>
      <w:r w:rsidRPr="00834D52">
        <w:rPr>
          <w:rFonts w:ascii="Sylfaen" w:hAnsi="Sylfaen"/>
          <w:sz w:val="24"/>
          <w:szCs w:val="24"/>
        </w:rPr>
        <w:t xml:space="preserve"> արդյունավետության հետազոտություններն անհրաժեշտ է պլանավորել </w:t>
      </w:r>
      <w:r w:rsidR="00C54D75">
        <w:rPr>
          <w:rFonts w:ascii="Sylfaen" w:hAnsi="Sylfaen"/>
          <w:sz w:val="24"/>
          <w:szCs w:val="24"/>
        </w:rPr>
        <w:t>և</w:t>
      </w:r>
      <w:r w:rsidRPr="00834D52">
        <w:rPr>
          <w:rFonts w:ascii="Sylfaen" w:hAnsi="Sylfaen"/>
          <w:sz w:val="24"/>
          <w:szCs w:val="24"/>
        </w:rPr>
        <w:t xml:space="preserve"> անցկացնել ամբողջ համակցված պատրաստուկի վրա: </w:t>
      </w:r>
    </w:p>
    <w:p w14:paraId="2742784B"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17.5.2.</w:t>
      </w:r>
      <w:r w:rsidRPr="00834D52">
        <w:rPr>
          <w:rFonts w:ascii="Sylfaen" w:hAnsi="Sylfaen"/>
          <w:sz w:val="24"/>
          <w:szCs w:val="24"/>
        </w:rPr>
        <w:tab/>
        <w:t>Գենոթերապ</w:t>
      </w:r>
      <w:r w:rsidR="00C54D75">
        <w:rPr>
          <w:rFonts w:ascii="Sylfaen" w:hAnsi="Sylfaen"/>
          <w:sz w:val="24"/>
          <w:szCs w:val="24"/>
        </w:rPr>
        <w:t>և</w:t>
      </w:r>
      <w:r w:rsidRPr="00834D52">
        <w:rPr>
          <w:rFonts w:ascii="Sylfaen" w:hAnsi="Sylfaen"/>
          <w:sz w:val="24"/>
          <w:szCs w:val="24"/>
        </w:rPr>
        <w:t>տիկ դեղամիջոցներին ներկայացվող հատուկ պահանջները.</w:t>
      </w:r>
    </w:p>
    <w:p w14:paraId="3C0DA439" w14:textId="77777777" w:rsidR="006F76EB" w:rsidRPr="00834D52" w:rsidRDefault="006F76EB" w:rsidP="003A0A7B">
      <w:pPr>
        <w:tabs>
          <w:tab w:val="left" w:pos="1701"/>
        </w:tabs>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17.5.2.1.</w:t>
      </w:r>
      <w:r w:rsidRPr="00834D52">
        <w:rPr>
          <w:rFonts w:ascii="Sylfaen" w:hAnsi="Sylfaen"/>
          <w:sz w:val="24"/>
          <w:szCs w:val="24"/>
        </w:rPr>
        <w:tab/>
        <w:t xml:space="preserve">Մարդու մոտ </w:t>
      </w:r>
      <w:r w:rsidR="00355C33">
        <w:rPr>
          <w:rFonts w:ascii="Sylfaen" w:hAnsi="Sylfaen"/>
          <w:sz w:val="24"/>
          <w:szCs w:val="24"/>
        </w:rPr>
        <w:t>դեղա</w:t>
      </w:r>
      <w:r w:rsidRPr="00834D52">
        <w:rPr>
          <w:rFonts w:ascii="Sylfaen" w:hAnsi="Sylfaen"/>
          <w:sz w:val="24"/>
          <w:szCs w:val="24"/>
        </w:rPr>
        <w:t>կինետիկ հետազոտությունները.</w:t>
      </w:r>
    </w:p>
    <w:p w14:paraId="7261E36A" w14:textId="77777777" w:rsidR="006F76EB" w:rsidRPr="00834D52" w:rsidRDefault="006F76EB" w:rsidP="003A0A7B">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Մարդու մոտ </w:t>
      </w:r>
      <w:r w:rsidR="00355C33">
        <w:rPr>
          <w:rFonts w:ascii="Sylfaen" w:hAnsi="Sylfaen"/>
          <w:sz w:val="24"/>
          <w:szCs w:val="24"/>
        </w:rPr>
        <w:t>դեղա</w:t>
      </w:r>
      <w:r w:rsidRPr="00834D52">
        <w:rPr>
          <w:rFonts w:ascii="Sylfaen" w:hAnsi="Sylfaen"/>
          <w:sz w:val="24"/>
          <w:szCs w:val="24"/>
        </w:rPr>
        <w:t>կինետիկ հետազոտությունների ժամանակ անհրաժեշտ է հաշվի առնել հետ</w:t>
      </w:r>
      <w:r w:rsidR="00C54D75">
        <w:rPr>
          <w:rFonts w:ascii="Sylfaen" w:hAnsi="Sylfaen"/>
          <w:sz w:val="24"/>
          <w:szCs w:val="24"/>
        </w:rPr>
        <w:t>և</w:t>
      </w:r>
      <w:r w:rsidRPr="00834D52">
        <w:rPr>
          <w:rFonts w:ascii="Sylfaen" w:hAnsi="Sylfaen"/>
          <w:sz w:val="24"/>
          <w:szCs w:val="24"/>
        </w:rPr>
        <w:t>յալը.</w:t>
      </w:r>
    </w:p>
    <w:p w14:paraId="305E4901" w14:textId="77777777" w:rsidR="006F76EB" w:rsidRPr="00834D52" w:rsidRDefault="006F76EB" w:rsidP="003A0A7B">
      <w:pPr>
        <w:spacing w:after="160" w:line="341" w:lineRule="auto"/>
        <w:ind w:right="-6" w:firstLine="567"/>
        <w:jc w:val="both"/>
        <w:rPr>
          <w:rFonts w:ascii="Sylfaen" w:eastAsia="Times New Roman" w:hAnsi="Sylfaen" w:cs="Times New Roman"/>
          <w:sz w:val="24"/>
          <w:szCs w:val="24"/>
        </w:rPr>
      </w:pPr>
      <w:r w:rsidRPr="00834D52">
        <w:rPr>
          <w:rFonts w:ascii="Sylfaen" w:hAnsi="Sylfaen"/>
          <w:sz w:val="24"/>
          <w:szCs w:val="24"/>
        </w:rPr>
        <w:t>գենոթերապ</w:t>
      </w:r>
      <w:r w:rsidR="00C54D75">
        <w:rPr>
          <w:rFonts w:ascii="Sylfaen" w:hAnsi="Sylfaen"/>
          <w:sz w:val="24"/>
          <w:szCs w:val="24"/>
        </w:rPr>
        <w:t>և</w:t>
      </w:r>
      <w:r w:rsidRPr="00834D52">
        <w:rPr>
          <w:rFonts w:ascii="Sylfaen" w:hAnsi="Sylfaen"/>
          <w:sz w:val="24"/>
          <w:szCs w:val="24"/>
        </w:rPr>
        <w:t>տիկ դեղապատրաստուկների արտաթորման ուսումնասիրությանն ուղղված վիրուսների դուրսբերման հետազոտությունները (shedding studies).</w:t>
      </w:r>
    </w:p>
    <w:p w14:paraId="2C2369A1" w14:textId="77777777" w:rsidR="006F76EB" w:rsidRPr="00834D52" w:rsidRDefault="006F76EB" w:rsidP="003A0A7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կենսաբաշխման հետազոտությունները.</w:t>
      </w:r>
    </w:p>
    <w:p w14:paraId="65981D27" w14:textId="77777777" w:rsidR="006F76EB" w:rsidRPr="007F5A60" w:rsidRDefault="006F76EB" w:rsidP="003A0A7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դեղապատրատուկի </w:t>
      </w:r>
      <w:r w:rsidR="00C54D75">
        <w:rPr>
          <w:rFonts w:ascii="Sylfaen" w:hAnsi="Sylfaen"/>
          <w:sz w:val="24"/>
          <w:szCs w:val="24"/>
        </w:rPr>
        <w:t>և</w:t>
      </w:r>
      <w:r w:rsidRPr="00834D52">
        <w:rPr>
          <w:rFonts w:ascii="Sylfaen" w:hAnsi="Sylfaen"/>
          <w:sz w:val="24"/>
          <w:szCs w:val="24"/>
        </w:rPr>
        <w:t xml:space="preserve"> գենի էքսպրեսիայի արգասիքների (օրինակ՝ էքսպրեսված սպիտակուցների կամ գենոմային սիգնատուրաների) </w:t>
      </w:r>
      <w:r w:rsidR="00355C33">
        <w:rPr>
          <w:rFonts w:ascii="Sylfaen" w:hAnsi="Sylfaen"/>
          <w:sz w:val="24"/>
          <w:szCs w:val="24"/>
        </w:rPr>
        <w:t>դեղա</w:t>
      </w:r>
      <w:r w:rsidRPr="00834D52">
        <w:rPr>
          <w:rFonts w:ascii="Sylfaen" w:hAnsi="Sylfaen"/>
          <w:sz w:val="24"/>
          <w:szCs w:val="24"/>
        </w:rPr>
        <w:t>կինետիկ հետազոտությունները:</w:t>
      </w:r>
    </w:p>
    <w:p w14:paraId="17A34EF1" w14:textId="77777777" w:rsidR="006F76EB" w:rsidRPr="00834D52" w:rsidRDefault="006F76EB" w:rsidP="003A0A7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17.5.2.2.</w:t>
      </w:r>
      <w:r w:rsidRPr="00834D52">
        <w:rPr>
          <w:rFonts w:ascii="Sylfaen" w:hAnsi="Sylfaen"/>
          <w:sz w:val="24"/>
          <w:szCs w:val="24"/>
        </w:rPr>
        <w:tab/>
        <w:t xml:space="preserve">Մարդու մոտ </w:t>
      </w:r>
      <w:r w:rsidR="00355C33">
        <w:rPr>
          <w:rFonts w:ascii="Sylfaen" w:hAnsi="Sylfaen"/>
          <w:sz w:val="24"/>
          <w:szCs w:val="24"/>
        </w:rPr>
        <w:t>դեղա</w:t>
      </w:r>
      <w:r w:rsidRPr="00834D52">
        <w:rPr>
          <w:rFonts w:ascii="Sylfaen" w:hAnsi="Sylfaen"/>
          <w:sz w:val="24"/>
          <w:szCs w:val="24"/>
        </w:rPr>
        <w:t>դինամիկ հետազոտությունները.</w:t>
      </w:r>
    </w:p>
    <w:p w14:paraId="6F182AFF" w14:textId="77777777" w:rsidR="006F76EB" w:rsidRPr="00834D52" w:rsidRDefault="00355C33" w:rsidP="003A0A7B">
      <w:pPr>
        <w:spacing w:after="160" w:line="360" w:lineRule="auto"/>
        <w:ind w:right="-6" w:firstLine="567"/>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դինամիկ հետազոտությունների ժամանակ անհրաժեշտ է ուսումնասիրել գենոթերապ</w:t>
      </w:r>
      <w:r w:rsidR="00C54D75">
        <w:rPr>
          <w:rFonts w:ascii="Sylfaen" w:hAnsi="Sylfaen"/>
          <w:sz w:val="24"/>
          <w:szCs w:val="24"/>
        </w:rPr>
        <w:t>և</w:t>
      </w:r>
      <w:r w:rsidR="006F76EB" w:rsidRPr="00834D52">
        <w:rPr>
          <w:rFonts w:ascii="Sylfaen" w:hAnsi="Sylfaen"/>
          <w:sz w:val="24"/>
          <w:szCs w:val="24"/>
        </w:rPr>
        <w:t>տիկ դեղապատրաստուկների ներմուծումից հետո նուկլեինաթթվի հաջորդականության էքսպրեսիան ու ֆունկցիաները:</w:t>
      </w:r>
    </w:p>
    <w:p w14:paraId="0D36625D" w14:textId="77777777" w:rsidR="006F76EB" w:rsidRPr="00834D52" w:rsidRDefault="006F76EB" w:rsidP="003A0A7B">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17.5.2.3.</w:t>
      </w:r>
      <w:r w:rsidRPr="00834D52">
        <w:rPr>
          <w:rFonts w:ascii="Sylfaen" w:hAnsi="Sylfaen"/>
          <w:sz w:val="24"/>
          <w:szCs w:val="24"/>
        </w:rPr>
        <w:tab/>
        <w:t>Անվտանգության հետազոտությունները.</w:t>
      </w:r>
    </w:p>
    <w:p w14:paraId="7A6848A6" w14:textId="77777777" w:rsidR="006F76EB" w:rsidRPr="00834D52" w:rsidRDefault="006F76EB" w:rsidP="003A0A7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Անվտանգության հետազոտությունների ժամանակ անհրաժեշտ է հաշվի առնել հետ</w:t>
      </w:r>
      <w:r w:rsidR="00C54D75">
        <w:rPr>
          <w:rFonts w:ascii="Sylfaen" w:hAnsi="Sylfaen"/>
          <w:sz w:val="24"/>
          <w:szCs w:val="24"/>
        </w:rPr>
        <w:t>և</w:t>
      </w:r>
      <w:r w:rsidRPr="00834D52">
        <w:rPr>
          <w:rFonts w:ascii="Sylfaen" w:hAnsi="Sylfaen"/>
          <w:sz w:val="24"/>
          <w:szCs w:val="24"/>
        </w:rPr>
        <w:t>յալը.</w:t>
      </w:r>
    </w:p>
    <w:p w14:paraId="0DB7F15C" w14:textId="77777777" w:rsidR="006F76EB" w:rsidRPr="00834D52" w:rsidRDefault="006F76EB" w:rsidP="003A0A7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ռեպլիկացիայի ունակ վեկտորների առաջացումը. </w:t>
      </w:r>
    </w:p>
    <w:p w14:paraId="64B2FD02" w14:textId="77777777" w:rsidR="006F76EB" w:rsidRPr="00834D52" w:rsidRDefault="006F76EB" w:rsidP="003A0A7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նոր շտամների առաջացումը.</w:t>
      </w:r>
    </w:p>
    <w:p w14:paraId="41A12479" w14:textId="77777777" w:rsidR="006F76EB" w:rsidRPr="00834D52" w:rsidRDefault="006F76EB" w:rsidP="003A0A7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գոյություն ունեցող գենոմային հաջորդականությունների վերատեսակավորումը.</w:t>
      </w:r>
    </w:p>
    <w:p w14:paraId="5E00FB44" w14:textId="77777777" w:rsidR="006F76EB" w:rsidRPr="00834D52" w:rsidRDefault="006F76EB" w:rsidP="003A0A7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ներդրված (ինսերցիոն) մուտագենեզի հետ</w:t>
      </w:r>
      <w:r w:rsidR="00C54D75">
        <w:rPr>
          <w:rFonts w:ascii="Sylfaen" w:hAnsi="Sylfaen"/>
          <w:sz w:val="24"/>
          <w:szCs w:val="24"/>
        </w:rPr>
        <w:t>և</w:t>
      </w:r>
      <w:r w:rsidRPr="00834D52">
        <w:rPr>
          <w:rFonts w:ascii="Sylfaen" w:hAnsi="Sylfaen"/>
          <w:sz w:val="24"/>
          <w:szCs w:val="24"/>
        </w:rPr>
        <w:t>անքով ուռուցքային բջիջների բազմացումը (պրոլիֆերացիան):</w:t>
      </w:r>
    </w:p>
    <w:p w14:paraId="66B43A37" w14:textId="77777777" w:rsidR="006F76EB" w:rsidRPr="00834D52" w:rsidRDefault="006F76EB" w:rsidP="003A0A7B">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17.5.3.</w:t>
      </w:r>
      <w:r w:rsidRPr="00834D52">
        <w:rPr>
          <w:rFonts w:ascii="Sylfaen" w:hAnsi="Sylfaen"/>
          <w:sz w:val="24"/>
          <w:szCs w:val="24"/>
        </w:rPr>
        <w:tab/>
        <w:t>Սոմատիկ բջիջների հիմքով դեղապատրաստուկներին ներկայացվող հատուկ պահանջները.</w:t>
      </w:r>
    </w:p>
    <w:p w14:paraId="2B2A3A01" w14:textId="77777777" w:rsidR="006F76EB" w:rsidRPr="00834D52" w:rsidRDefault="006F76EB" w:rsidP="003A0A7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17.5.3.1.</w:t>
      </w:r>
      <w:r w:rsidRPr="00834D52">
        <w:rPr>
          <w:rFonts w:ascii="Sylfaen" w:hAnsi="Sylfaen"/>
          <w:sz w:val="24"/>
          <w:szCs w:val="24"/>
        </w:rPr>
        <w:tab/>
        <w:t>Սոմատիկ բջիջների հիմքով դեղապատրաստուկներ, որոնց ազդեցության մեխանիզմը հիմնված է որոշակի կենսաբանական ակտիվ մոլեկուլների մշակման վրա:</w:t>
      </w:r>
    </w:p>
    <w:p w14:paraId="0E001308" w14:textId="77777777" w:rsidR="006F76EB" w:rsidRPr="00834D52" w:rsidRDefault="006F76EB" w:rsidP="003A0A7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սոմատոթերապ</w:t>
      </w:r>
      <w:r w:rsidR="00C54D75">
        <w:rPr>
          <w:rFonts w:ascii="Sylfaen" w:hAnsi="Sylfaen"/>
          <w:sz w:val="24"/>
          <w:szCs w:val="24"/>
        </w:rPr>
        <w:t>և</w:t>
      </w:r>
      <w:r w:rsidRPr="00834D52">
        <w:rPr>
          <w:rFonts w:ascii="Sylfaen" w:hAnsi="Sylfaen"/>
          <w:sz w:val="24"/>
          <w:szCs w:val="24"/>
        </w:rPr>
        <w:t>տիկ դեղապատրաստուկների ազդեցության մեխանիզմ</w:t>
      </w:r>
      <w:r w:rsidR="001B2B66" w:rsidRPr="001B2B66">
        <w:rPr>
          <w:rFonts w:ascii="Sylfaen" w:hAnsi="Sylfaen"/>
          <w:sz w:val="24"/>
          <w:szCs w:val="24"/>
        </w:rPr>
        <w:t> </w:t>
      </w:r>
      <w:r w:rsidRPr="00834D52">
        <w:rPr>
          <w:rFonts w:ascii="Sylfaen" w:hAnsi="Sylfaen"/>
          <w:sz w:val="24"/>
          <w:szCs w:val="24"/>
        </w:rPr>
        <w:t xml:space="preserve">է հանդիսանում որոշակի ակտիվ կենսամոլեկուլների արտադրանքը, ապա անհրաժեշտ է հնարավորության դեպքում նկարագրել այդպիսի մոլեկուլների </w:t>
      </w:r>
      <w:r w:rsidR="00355C33">
        <w:rPr>
          <w:rFonts w:ascii="Sylfaen" w:hAnsi="Sylfaen"/>
          <w:sz w:val="24"/>
          <w:szCs w:val="24"/>
        </w:rPr>
        <w:t>դեղա</w:t>
      </w:r>
      <w:r w:rsidRPr="00834D52">
        <w:rPr>
          <w:rFonts w:ascii="Sylfaen" w:hAnsi="Sylfaen"/>
          <w:sz w:val="24"/>
          <w:szCs w:val="24"/>
        </w:rPr>
        <w:t>կինետիկ հատկությունները (մասնավորապես՝ բաշխումը, տ</w:t>
      </w:r>
      <w:r w:rsidR="00C54D75">
        <w:rPr>
          <w:rFonts w:ascii="Sylfaen" w:hAnsi="Sylfaen"/>
          <w:sz w:val="24"/>
          <w:szCs w:val="24"/>
        </w:rPr>
        <w:t>և</w:t>
      </w:r>
      <w:r w:rsidRPr="00834D52">
        <w:rPr>
          <w:rFonts w:ascii="Sylfaen" w:hAnsi="Sylfaen"/>
          <w:sz w:val="24"/>
          <w:szCs w:val="24"/>
        </w:rPr>
        <w:t xml:space="preserve">ողությունը </w:t>
      </w:r>
      <w:r w:rsidR="00C54D75">
        <w:rPr>
          <w:rFonts w:ascii="Sylfaen" w:hAnsi="Sylfaen"/>
          <w:sz w:val="24"/>
          <w:szCs w:val="24"/>
        </w:rPr>
        <w:t>և</w:t>
      </w:r>
      <w:r w:rsidRPr="00834D52">
        <w:rPr>
          <w:rFonts w:ascii="Sylfaen" w:hAnsi="Sylfaen"/>
          <w:sz w:val="24"/>
          <w:szCs w:val="24"/>
        </w:rPr>
        <w:t xml:space="preserve"> էքսպրեսիայի ծավալը):</w:t>
      </w:r>
    </w:p>
    <w:p w14:paraId="33E6C524" w14:textId="77777777" w:rsidR="006F76EB" w:rsidRPr="00834D52" w:rsidRDefault="006F76EB" w:rsidP="000C5CDC">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17.5.3.2.</w:t>
      </w:r>
      <w:r w:rsidRPr="00834D52">
        <w:rPr>
          <w:rFonts w:ascii="Sylfaen" w:hAnsi="Sylfaen"/>
          <w:sz w:val="24"/>
          <w:szCs w:val="24"/>
        </w:rPr>
        <w:tab/>
        <w:t>Սոմատոթերապ</w:t>
      </w:r>
      <w:r w:rsidR="00C54D75">
        <w:rPr>
          <w:rFonts w:ascii="Sylfaen" w:hAnsi="Sylfaen"/>
          <w:sz w:val="24"/>
          <w:szCs w:val="24"/>
        </w:rPr>
        <w:t>և</w:t>
      </w:r>
      <w:r w:rsidRPr="00834D52">
        <w:rPr>
          <w:rFonts w:ascii="Sylfaen" w:hAnsi="Sylfaen"/>
          <w:sz w:val="24"/>
          <w:szCs w:val="24"/>
        </w:rPr>
        <w:t xml:space="preserve">տիկ դեղապատրաստուկների բաղադրիչների կենսաբանական բաշխումը, պերսիստենցիան </w:t>
      </w:r>
      <w:r w:rsidR="00C54D75">
        <w:rPr>
          <w:rFonts w:ascii="Sylfaen" w:hAnsi="Sylfaen"/>
          <w:sz w:val="24"/>
          <w:szCs w:val="24"/>
        </w:rPr>
        <w:t>և</w:t>
      </w:r>
      <w:r w:rsidRPr="00834D52">
        <w:rPr>
          <w:rFonts w:ascii="Sylfaen" w:hAnsi="Sylfaen"/>
          <w:sz w:val="24"/>
          <w:szCs w:val="24"/>
        </w:rPr>
        <w:t xml:space="preserve"> երկարատ</w:t>
      </w:r>
      <w:r w:rsidR="00C54D75">
        <w:rPr>
          <w:rFonts w:ascii="Sylfaen" w:hAnsi="Sylfaen"/>
          <w:sz w:val="24"/>
          <w:szCs w:val="24"/>
        </w:rPr>
        <w:t>և</w:t>
      </w:r>
      <w:r w:rsidRPr="00834D52">
        <w:rPr>
          <w:rFonts w:ascii="Sylfaen" w:hAnsi="Sylfaen"/>
          <w:sz w:val="24"/>
          <w:szCs w:val="24"/>
        </w:rPr>
        <w:t xml:space="preserve"> աճակցումը.</w:t>
      </w:r>
    </w:p>
    <w:p w14:paraId="3725C880" w14:textId="77777777" w:rsidR="006F76EB" w:rsidRPr="00834D52" w:rsidRDefault="006F76EB" w:rsidP="000C5CDC">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Կլինիկական մշակման ընթացքում անհրաժեշտ է ուսումնասիրել սոմատո-թերապ</w:t>
      </w:r>
      <w:r w:rsidR="00C54D75">
        <w:rPr>
          <w:rFonts w:ascii="Sylfaen" w:hAnsi="Sylfaen"/>
          <w:sz w:val="24"/>
          <w:szCs w:val="24"/>
        </w:rPr>
        <w:t>և</w:t>
      </w:r>
      <w:r w:rsidRPr="00834D52">
        <w:rPr>
          <w:rFonts w:ascii="Sylfaen" w:hAnsi="Sylfaen"/>
          <w:sz w:val="24"/>
          <w:szCs w:val="24"/>
        </w:rPr>
        <w:t xml:space="preserve">տիկ դեղապատրաստուկի բաղադրիչների կենսաբաշխումը, պերսիստենցիան </w:t>
      </w:r>
      <w:r w:rsidR="00C54D75">
        <w:rPr>
          <w:rFonts w:ascii="Sylfaen" w:hAnsi="Sylfaen"/>
          <w:sz w:val="24"/>
          <w:szCs w:val="24"/>
        </w:rPr>
        <w:t>և</w:t>
      </w:r>
      <w:r w:rsidRPr="00834D52">
        <w:rPr>
          <w:rFonts w:ascii="Sylfaen" w:hAnsi="Sylfaen"/>
          <w:sz w:val="24"/>
          <w:szCs w:val="24"/>
        </w:rPr>
        <w:t xml:space="preserve"> երկարաժամկետ աճակցումը:</w:t>
      </w:r>
    </w:p>
    <w:p w14:paraId="3F89A8D9" w14:textId="77777777" w:rsidR="006F76EB" w:rsidRPr="00834D52" w:rsidRDefault="006F76EB" w:rsidP="000C5CDC">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17.5.3.3.</w:t>
      </w:r>
      <w:r w:rsidRPr="00834D52">
        <w:rPr>
          <w:rFonts w:ascii="Sylfaen" w:hAnsi="Sylfaen"/>
          <w:sz w:val="24"/>
          <w:szCs w:val="24"/>
        </w:rPr>
        <w:tab/>
        <w:t>Անվտանգության հետազոտությունները:</w:t>
      </w:r>
    </w:p>
    <w:p w14:paraId="1F1F5836" w14:textId="77777777" w:rsidR="006F76EB" w:rsidRPr="00834D52" w:rsidRDefault="006F76EB" w:rsidP="000C5CDC">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Անվտանգության հետազոտություններում անհրաժեշտ է հաշվի առնել հետ</w:t>
      </w:r>
      <w:r w:rsidR="00C54D75">
        <w:rPr>
          <w:rFonts w:ascii="Sylfaen" w:hAnsi="Sylfaen"/>
          <w:sz w:val="24"/>
          <w:szCs w:val="24"/>
        </w:rPr>
        <w:t>և</w:t>
      </w:r>
      <w:r w:rsidRPr="00834D52">
        <w:rPr>
          <w:rFonts w:ascii="Sylfaen" w:hAnsi="Sylfaen"/>
          <w:sz w:val="24"/>
          <w:szCs w:val="24"/>
        </w:rPr>
        <w:t>յալը՝</w:t>
      </w:r>
    </w:p>
    <w:p w14:paraId="1087DF1F" w14:textId="77777777" w:rsidR="006F76EB" w:rsidRPr="00834D52" w:rsidRDefault="006F76EB" w:rsidP="000C5CDC">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բաշխումը </w:t>
      </w:r>
      <w:r w:rsidR="00C54D75">
        <w:rPr>
          <w:rFonts w:ascii="Sylfaen" w:hAnsi="Sylfaen"/>
          <w:sz w:val="24"/>
          <w:szCs w:val="24"/>
        </w:rPr>
        <w:t>և</w:t>
      </w:r>
      <w:r w:rsidRPr="00834D52">
        <w:rPr>
          <w:rFonts w:ascii="Sylfaen" w:hAnsi="Sylfaen"/>
          <w:sz w:val="24"/>
          <w:szCs w:val="24"/>
        </w:rPr>
        <w:t xml:space="preserve"> աճակցումը ներմուծումից հետո,</w:t>
      </w:r>
    </w:p>
    <w:p w14:paraId="47875106" w14:textId="77777777" w:rsidR="006F76EB" w:rsidRPr="00834D52" w:rsidRDefault="006F76EB" w:rsidP="000C5CDC">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էկտոպիկ աճակցումը,</w:t>
      </w:r>
    </w:p>
    <w:p w14:paraId="2D3C25D4" w14:textId="77777777" w:rsidR="006F76EB" w:rsidRPr="00834D52" w:rsidRDefault="006F76EB" w:rsidP="000C5CDC">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օնկոգեն տրանսֆորմացիան </w:t>
      </w:r>
      <w:r w:rsidR="00C54D75">
        <w:rPr>
          <w:rFonts w:ascii="Sylfaen" w:hAnsi="Sylfaen"/>
          <w:sz w:val="24"/>
          <w:szCs w:val="24"/>
        </w:rPr>
        <w:t>և</w:t>
      </w:r>
      <w:r w:rsidRPr="00834D52">
        <w:rPr>
          <w:rFonts w:ascii="Sylfaen" w:hAnsi="Sylfaen"/>
          <w:sz w:val="24"/>
          <w:szCs w:val="24"/>
        </w:rPr>
        <w:t xml:space="preserve"> համապատասխանությունը բջիջների (հյուսվածքների) համապատասխան գծի հատկություններին:</w:t>
      </w:r>
    </w:p>
    <w:p w14:paraId="7783F6E7" w14:textId="77777777" w:rsidR="006F76EB" w:rsidRPr="00834D52" w:rsidRDefault="006F76EB" w:rsidP="000C5CD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17.5.4.</w:t>
      </w:r>
      <w:r w:rsidRPr="00834D52">
        <w:rPr>
          <w:rFonts w:ascii="Sylfaen" w:hAnsi="Sylfaen"/>
          <w:sz w:val="24"/>
          <w:szCs w:val="24"/>
        </w:rPr>
        <w:tab/>
        <w:t>Հյուսվածքային ինժեներիայի պատրաստուկներին ներկայացվող հատուկ պահանջները:</w:t>
      </w:r>
    </w:p>
    <w:p w14:paraId="1CA3E14C" w14:textId="77777777" w:rsidR="006F76EB" w:rsidRPr="00834D52" w:rsidRDefault="006F76EB" w:rsidP="000C5CDC">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17.5.4.1.</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կինետիկ հետազոտությունները:</w:t>
      </w:r>
    </w:p>
    <w:p w14:paraId="5606F14E" w14:textId="77777777" w:rsidR="006F76EB" w:rsidRPr="00834D52" w:rsidRDefault="006F76EB" w:rsidP="00333A89">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ստանդարտ </w:t>
      </w:r>
      <w:r w:rsidR="00355C33">
        <w:rPr>
          <w:rFonts w:ascii="Sylfaen" w:hAnsi="Sylfaen"/>
          <w:sz w:val="24"/>
          <w:szCs w:val="24"/>
        </w:rPr>
        <w:t>դեղա</w:t>
      </w:r>
      <w:r w:rsidRPr="00834D52">
        <w:rPr>
          <w:rFonts w:ascii="Sylfaen" w:hAnsi="Sylfaen"/>
          <w:sz w:val="24"/>
          <w:szCs w:val="24"/>
        </w:rPr>
        <w:t xml:space="preserve">կինետիկ հետազոտությունները նշանակալի չեն հյուսվածքային ինժեներիայի պատրաստուկների համար, կլինիկական մշակման ընթացքում անհրաժեշտ է ուսումնասիրել դրանց բաղադրիչների կենսաբաշխումը, պերսիստենցիան </w:t>
      </w:r>
      <w:r w:rsidR="00C54D75">
        <w:rPr>
          <w:rFonts w:ascii="Sylfaen" w:hAnsi="Sylfaen"/>
          <w:sz w:val="24"/>
          <w:szCs w:val="24"/>
        </w:rPr>
        <w:t>և</w:t>
      </w:r>
      <w:r w:rsidRPr="00834D52">
        <w:rPr>
          <w:rFonts w:ascii="Sylfaen" w:hAnsi="Sylfaen"/>
          <w:sz w:val="24"/>
          <w:szCs w:val="24"/>
        </w:rPr>
        <w:t xml:space="preserve"> դեգրադացիան:</w:t>
      </w:r>
    </w:p>
    <w:p w14:paraId="63642F3A" w14:textId="77777777" w:rsidR="006F76EB" w:rsidRPr="00834D52" w:rsidRDefault="006F76EB" w:rsidP="00333A89">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17.5.4.2.</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դինամիկ հետազոտությունները:</w:t>
      </w:r>
    </w:p>
    <w:p w14:paraId="1574A182" w14:textId="77777777" w:rsidR="006F76EB" w:rsidRPr="00834D52" w:rsidRDefault="00355C33" w:rsidP="00333A89">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 xml:space="preserve">դինամիկ հետազոտությունների բովանդակային պլանը պետք է հիմնված լինի հյուսվածքային ինժեներիայի պատրաստուկների առանձնահատկությունների վրա: Անհրաժեշտ է ներկայացնել այն պատրաստուկի «հայեցակարգի ապացույցի» </w:t>
      </w:r>
      <w:r w:rsidR="00C54D75">
        <w:rPr>
          <w:rFonts w:ascii="Sylfaen" w:hAnsi="Sylfaen"/>
          <w:sz w:val="24"/>
          <w:szCs w:val="24"/>
        </w:rPr>
        <w:t>և</w:t>
      </w:r>
      <w:r w:rsidR="006F76EB" w:rsidRPr="00834D52">
        <w:rPr>
          <w:rFonts w:ascii="Sylfaen" w:hAnsi="Sylfaen"/>
          <w:sz w:val="24"/>
          <w:szCs w:val="24"/>
        </w:rPr>
        <w:t xml:space="preserve"> կինետիկայի հաստատումը, որը պահանջվում է ենթադրվող ռեգեներացիային, ռեպարացիային (վերականգնման) կամ փոխարինմանը հասնելու համար: Անհրաժեշտ է հաշվի առնել դիտարկվող գործառույթի </w:t>
      </w:r>
      <w:r w:rsidR="00C54D75">
        <w:rPr>
          <w:rFonts w:ascii="Sylfaen" w:hAnsi="Sylfaen"/>
          <w:sz w:val="24"/>
          <w:szCs w:val="24"/>
        </w:rPr>
        <w:t>և</w:t>
      </w:r>
      <w:r w:rsidR="006F76EB" w:rsidRPr="00834D52">
        <w:rPr>
          <w:rFonts w:ascii="Sylfaen" w:hAnsi="Sylfaen"/>
          <w:sz w:val="24"/>
          <w:szCs w:val="24"/>
        </w:rPr>
        <w:t xml:space="preserve"> կառուցվածքի հետ կապված համապատասխան </w:t>
      </w:r>
      <w:r>
        <w:rPr>
          <w:rFonts w:ascii="Sylfaen" w:hAnsi="Sylfaen"/>
          <w:sz w:val="24"/>
          <w:szCs w:val="24"/>
        </w:rPr>
        <w:t>դեղա</w:t>
      </w:r>
      <w:r w:rsidR="006F76EB" w:rsidRPr="00834D52">
        <w:rPr>
          <w:rFonts w:ascii="Sylfaen" w:hAnsi="Sylfaen"/>
          <w:sz w:val="24"/>
          <w:szCs w:val="24"/>
        </w:rPr>
        <w:t>դինամիկ նշիչները (մարկերները):</w:t>
      </w:r>
    </w:p>
    <w:p w14:paraId="3664BF1C" w14:textId="77777777" w:rsidR="006F76EB" w:rsidRPr="00834D52" w:rsidRDefault="006F76EB" w:rsidP="005B6429">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17.5.4.3.</w:t>
      </w:r>
      <w:r w:rsidRPr="00834D52">
        <w:rPr>
          <w:rFonts w:ascii="Sylfaen" w:hAnsi="Sylfaen"/>
          <w:sz w:val="24"/>
          <w:szCs w:val="24"/>
        </w:rPr>
        <w:tab/>
        <w:t>Անվտանգության հետազոտությունները:</w:t>
      </w:r>
    </w:p>
    <w:p w14:paraId="52046891" w14:textId="77777777" w:rsidR="006F76EB" w:rsidRPr="002978B0" w:rsidRDefault="006F76EB" w:rsidP="005B6429">
      <w:pPr>
        <w:spacing w:after="160" w:line="384" w:lineRule="auto"/>
        <w:ind w:right="-8" w:firstLine="567"/>
        <w:jc w:val="both"/>
        <w:rPr>
          <w:rFonts w:ascii="Sylfaen" w:hAnsi="Sylfaen"/>
          <w:sz w:val="24"/>
          <w:szCs w:val="24"/>
        </w:rPr>
      </w:pPr>
      <w:r w:rsidRPr="00834D52">
        <w:rPr>
          <w:rFonts w:ascii="Sylfaen" w:hAnsi="Sylfaen"/>
          <w:sz w:val="24"/>
          <w:szCs w:val="24"/>
        </w:rPr>
        <w:t>Հյուսվածքային ինժեներիայի պատրաստուկների անվտանգության հետազոտության ժամանակ հարկ է առաջնորդվել սույն հավելվածի 17.5.3.3 բաժնում նշված պահանջներով:</w:t>
      </w:r>
    </w:p>
    <w:p w14:paraId="0E2C62E3" w14:textId="77777777" w:rsidR="000C5CDC" w:rsidRPr="002978B0" w:rsidRDefault="000C5CDC" w:rsidP="005B6429">
      <w:pPr>
        <w:spacing w:after="160" w:line="384" w:lineRule="auto"/>
        <w:ind w:right="-8" w:firstLine="567"/>
        <w:jc w:val="both"/>
        <w:rPr>
          <w:rFonts w:ascii="Sylfaen" w:eastAsia="Times New Roman" w:hAnsi="Sylfaen" w:cs="Times New Roman"/>
          <w:sz w:val="24"/>
          <w:szCs w:val="24"/>
        </w:rPr>
      </w:pPr>
    </w:p>
    <w:p w14:paraId="57DA5AA2" w14:textId="77777777" w:rsidR="006F76EB" w:rsidRPr="007F5A60" w:rsidRDefault="005B6429" w:rsidP="005B6429">
      <w:pPr>
        <w:spacing w:after="160" w:line="360" w:lineRule="auto"/>
        <w:jc w:val="center"/>
        <w:rPr>
          <w:rFonts w:ascii="Sylfaen" w:eastAsia="Times New Roman" w:hAnsi="Sylfaen" w:cs="Times New Roman"/>
          <w:sz w:val="24"/>
          <w:szCs w:val="24"/>
        </w:rPr>
      </w:pPr>
      <w:r w:rsidRPr="007F5A60">
        <w:rPr>
          <w:rFonts w:ascii="Sylfaen" w:eastAsia="Times New Roman" w:hAnsi="Sylfaen" w:cs="Times New Roman"/>
          <w:sz w:val="24"/>
          <w:szCs w:val="24"/>
        </w:rPr>
        <w:t>________________</w:t>
      </w:r>
    </w:p>
    <w:p w14:paraId="6ED3CD38" w14:textId="77777777" w:rsidR="005B6429" w:rsidRPr="007F5A60" w:rsidRDefault="005B6429" w:rsidP="006F76EB">
      <w:pPr>
        <w:spacing w:after="160" w:line="360" w:lineRule="auto"/>
        <w:rPr>
          <w:rFonts w:ascii="Sylfaen" w:eastAsia="Times New Roman" w:hAnsi="Sylfaen" w:cs="Times New Roman"/>
          <w:sz w:val="24"/>
          <w:szCs w:val="24"/>
        </w:rPr>
      </w:pPr>
    </w:p>
    <w:p w14:paraId="4E74CB6A" w14:textId="77777777" w:rsidR="005B6429" w:rsidRPr="007F5A60" w:rsidRDefault="005B6429" w:rsidP="006F76EB">
      <w:pPr>
        <w:spacing w:after="160" w:line="360" w:lineRule="auto"/>
        <w:rPr>
          <w:rFonts w:ascii="Sylfaen" w:eastAsia="Times New Roman" w:hAnsi="Sylfaen" w:cs="Times New Roman"/>
          <w:sz w:val="24"/>
          <w:szCs w:val="24"/>
        </w:rPr>
        <w:sectPr w:rsidR="005B6429" w:rsidRPr="007F5A60" w:rsidSect="00F71229">
          <w:headerReference w:type="default" r:id="rId9"/>
          <w:footerReference w:type="default" r:id="rId10"/>
          <w:pgSz w:w="11920" w:h="16840"/>
          <w:pgMar w:top="1418" w:right="1418" w:bottom="1418" w:left="1418" w:header="738" w:footer="512" w:gutter="0"/>
          <w:pgNumType w:start="1"/>
          <w:cols w:space="720"/>
          <w:titlePg/>
          <w:docGrid w:linePitch="299"/>
        </w:sectPr>
      </w:pPr>
    </w:p>
    <w:p w14:paraId="71AC74E6" w14:textId="77777777" w:rsidR="006F76EB" w:rsidRPr="002D52C6" w:rsidRDefault="00BA6538" w:rsidP="006F76EB">
      <w:pPr>
        <w:spacing w:after="160" w:line="360" w:lineRule="auto"/>
        <w:ind w:left="4536" w:right="-8"/>
        <w:jc w:val="center"/>
        <w:rPr>
          <w:rFonts w:ascii="Sylfaen" w:eastAsia="Times New Roman" w:hAnsi="Sylfaen" w:cs="Times New Roman"/>
          <w:sz w:val="24"/>
          <w:szCs w:val="24"/>
        </w:rPr>
      </w:pPr>
      <w:r w:rsidRPr="002D52C6">
        <w:rPr>
          <w:rFonts w:ascii="Sylfaen" w:hAnsi="Sylfaen"/>
          <w:sz w:val="24"/>
          <w:szCs w:val="24"/>
        </w:rPr>
        <w:lastRenderedPageBreak/>
        <w:t>ՀԱՎԵԼՎԱԾ ԹԻՎ</w:t>
      </w:r>
      <w:r w:rsidR="00C648A4">
        <w:rPr>
          <w:rFonts w:ascii="Sylfaen" w:hAnsi="Sylfaen"/>
          <w:sz w:val="24"/>
          <w:szCs w:val="24"/>
        </w:rPr>
        <w:t xml:space="preserve"> 2</w:t>
      </w:r>
    </w:p>
    <w:p w14:paraId="000DA221" w14:textId="77777777" w:rsidR="006F76EB" w:rsidRPr="00834D52" w:rsidRDefault="00C648A4" w:rsidP="006F76EB">
      <w:pPr>
        <w:spacing w:after="160" w:line="360" w:lineRule="auto"/>
        <w:ind w:left="4536" w:right="-8"/>
        <w:jc w:val="center"/>
        <w:rPr>
          <w:rFonts w:ascii="Sylfaen" w:eastAsia="Times New Roman" w:hAnsi="Sylfaen" w:cs="Times New Roman"/>
          <w:sz w:val="24"/>
          <w:szCs w:val="24"/>
        </w:rPr>
      </w:pPr>
      <w:r>
        <w:rPr>
          <w:rFonts w:ascii="Sylfaen" w:hAnsi="Sylfaen"/>
          <w:sz w:val="24"/>
          <w:szCs w:val="24"/>
        </w:rPr>
        <w:t xml:space="preserve">բժշկական կիրառման դեղամիջոցների գրանցման </w:t>
      </w:r>
      <w:r w:rsidR="00C54D75">
        <w:rPr>
          <w:rFonts w:ascii="Sylfaen" w:hAnsi="Sylfaen"/>
          <w:sz w:val="24"/>
          <w:szCs w:val="24"/>
        </w:rPr>
        <w:t>և</w:t>
      </w:r>
      <w:r>
        <w:rPr>
          <w:rFonts w:ascii="Sylfaen" w:hAnsi="Sylfaen"/>
          <w:sz w:val="24"/>
          <w:szCs w:val="24"/>
        </w:rPr>
        <w:t xml:space="preserve"> փորձաքննության կանոնների</w:t>
      </w:r>
    </w:p>
    <w:p w14:paraId="26118828" w14:textId="77777777" w:rsidR="006F76EB" w:rsidRPr="00834D52" w:rsidRDefault="006F76EB" w:rsidP="00A721D8">
      <w:pPr>
        <w:spacing w:after="160" w:line="360" w:lineRule="auto"/>
        <w:ind w:right="-6"/>
        <w:jc w:val="center"/>
        <w:rPr>
          <w:rFonts w:ascii="Sylfaen" w:hAnsi="Sylfaen"/>
          <w:sz w:val="24"/>
          <w:szCs w:val="24"/>
        </w:rPr>
      </w:pPr>
    </w:p>
    <w:p w14:paraId="09A13AE8" w14:textId="77777777" w:rsidR="006F76EB" w:rsidRPr="00333A89" w:rsidRDefault="006F76EB" w:rsidP="006F76EB">
      <w:pPr>
        <w:spacing w:after="160" w:line="360" w:lineRule="auto"/>
        <w:ind w:left="567" w:right="579"/>
        <w:jc w:val="center"/>
        <w:rPr>
          <w:rFonts w:ascii="Sylfaen" w:eastAsia="Times New Roman" w:hAnsi="Sylfaen" w:cs="Times New Roman"/>
          <w:b/>
          <w:sz w:val="24"/>
          <w:szCs w:val="24"/>
        </w:rPr>
      </w:pPr>
      <w:r w:rsidRPr="00333A89">
        <w:rPr>
          <w:rFonts w:ascii="Sylfaen" w:hAnsi="Sylfaen"/>
          <w:b/>
          <w:sz w:val="24"/>
          <w:szCs w:val="24"/>
        </w:rPr>
        <w:t>ՁԵՎԵՐ</w:t>
      </w:r>
    </w:p>
    <w:p w14:paraId="095D8544" w14:textId="77777777" w:rsidR="006F76EB" w:rsidRPr="00834D52" w:rsidRDefault="006F76EB" w:rsidP="006F76EB">
      <w:pPr>
        <w:spacing w:after="160" w:line="360" w:lineRule="auto"/>
        <w:ind w:left="567" w:right="579"/>
        <w:jc w:val="center"/>
        <w:rPr>
          <w:rFonts w:ascii="Sylfaen" w:eastAsia="Times New Roman" w:hAnsi="Sylfaen" w:cs="Times New Roman"/>
          <w:sz w:val="24"/>
          <w:szCs w:val="24"/>
        </w:rPr>
      </w:pPr>
      <w:r w:rsidRPr="00834D52">
        <w:rPr>
          <w:rFonts w:ascii="Sylfaen" w:hAnsi="Sylfaen"/>
          <w:b/>
          <w:sz w:val="24"/>
          <w:szCs w:val="24"/>
        </w:rPr>
        <w:t xml:space="preserve">դեղապատրաստուկի գրանցման, վերագրանցման, Եվրասիական տնտեսական միության պահանջներին համապատասխանեցնելու </w:t>
      </w:r>
      <w:r w:rsidR="00C54D75">
        <w:rPr>
          <w:rFonts w:ascii="Sylfaen" w:hAnsi="Sylfaen"/>
          <w:b/>
          <w:sz w:val="24"/>
          <w:szCs w:val="24"/>
        </w:rPr>
        <w:t>և</w:t>
      </w:r>
      <w:r w:rsidRPr="00834D52">
        <w:rPr>
          <w:rFonts w:ascii="Sylfaen" w:hAnsi="Sylfaen"/>
          <w:b/>
          <w:sz w:val="24"/>
          <w:szCs w:val="24"/>
        </w:rPr>
        <w:t xml:space="preserve"> դեղապատրաստուկի գրանցման դոսյեում փոփոխություններ </w:t>
      </w:r>
      <w:r w:rsidRPr="00DB039F">
        <w:rPr>
          <w:rFonts w:ascii="Sylfaen" w:hAnsi="Sylfaen"/>
          <w:b/>
          <w:sz w:val="24"/>
          <w:szCs w:val="24"/>
        </w:rPr>
        <w:br/>
      </w:r>
      <w:r w:rsidRPr="00834D52">
        <w:rPr>
          <w:rFonts w:ascii="Sylfaen" w:hAnsi="Sylfaen"/>
          <w:b/>
          <w:sz w:val="24"/>
          <w:szCs w:val="24"/>
        </w:rPr>
        <w:t>կատարելու մասին հայտերի</w:t>
      </w:r>
    </w:p>
    <w:p w14:paraId="63CE30E8" w14:textId="77777777" w:rsidR="006F76EB" w:rsidRPr="00834D52" w:rsidRDefault="006F76EB" w:rsidP="006F76EB">
      <w:pPr>
        <w:spacing w:after="160" w:line="360" w:lineRule="auto"/>
        <w:ind w:right="-6"/>
        <w:jc w:val="right"/>
        <w:rPr>
          <w:rFonts w:ascii="Sylfaen" w:eastAsia="Times New Roman" w:hAnsi="Sylfaen" w:cs="Times New Roman"/>
          <w:sz w:val="24"/>
          <w:szCs w:val="24"/>
        </w:rPr>
      </w:pPr>
      <w:r w:rsidRPr="00834D52">
        <w:rPr>
          <w:rFonts w:ascii="Sylfaen" w:hAnsi="Sylfaen"/>
          <w:sz w:val="24"/>
          <w:szCs w:val="24"/>
        </w:rPr>
        <w:t>(ձ</w:t>
      </w:r>
      <w:r w:rsidR="00C54D75">
        <w:rPr>
          <w:rFonts w:ascii="Sylfaen" w:hAnsi="Sylfaen"/>
          <w:sz w:val="24"/>
          <w:szCs w:val="24"/>
        </w:rPr>
        <w:t>և</w:t>
      </w:r>
      <w:r w:rsidRPr="00834D52">
        <w:rPr>
          <w:rFonts w:ascii="Sylfaen" w:hAnsi="Sylfaen"/>
          <w:sz w:val="24"/>
          <w:szCs w:val="24"/>
        </w:rPr>
        <w:t>ը)</w:t>
      </w:r>
    </w:p>
    <w:p w14:paraId="78371EC0" w14:textId="77777777" w:rsidR="006F76EB" w:rsidRPr="00DA0C56" w:rsidRDefault="006F76EB" w:rsidP="006F76EB">
      <w:pPr>
        <w:spacing w:after="160" w:line="360" w:lineRule="auto"/>
        <w:ind w:left="567" w:right="565"/>
        <w:jc w:val="center"/>
        <w:rPr>
          <w:rFonts w:ascii="Sylfaen" w:hAnsi="Sylfaen"/>
          <w:sz w:val="24"/>
          <w:szCs w:val="24"/>
        </w:rPr>
      </w:pPr>
      <w:r w:rsidRPr="00834D52">
        <w:rPr>
          <w:rFonts w:ascii="Sylfaen" w:hAnsi="Sylfaen"/>
          <w:sz w:val="24"/>
          <w:szCs w:val="24"/>
        </w:rPr>
        <w:t>I. ՀԱՅՏ</w:t>
      </w:r>
      <w:r w:rsidRPr="00834D52">
        <w:rPr>
          <w:rFonts w:ascii="Sylfaen" w:hAnsi="Sylfaen"/>
          <w:sz w:val="24"/>
          <w:szCs w:val="24"/>
        </w:rPr>
        <w:br/>
        <w:t>դեղապատրաստուկի գրանցման (դեղապատրաստուկի գրանցման դոսյեն Եվրասիական տնտեսական միության պահանջներին համապատասխանեցնելու) մասին</w:t>
      </w:r>
    </w:p>
    <w:p w14:paraId="75A3B038" w14:textId="77777777" w:rsidR="006F76EB" w:rsidRPr="00DA0C56" w:rsidRDefault="006F76EB" w:rsidP="006F76EB">
      <w:pPr>
        <w:spacing w:after="160" w:line="360" w:lineRule="auto"/>
        <w:ind w:left="567" w:right="565"/>
        <w:jc w:val="center"/>
        <w:rPr>
          <w:rFonts w:ascii="Sylfaen" w:hAnsi="Sylfae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75"/>
      </w:tblGrid>
      <w:tr w:rsidR="006F76EB" w:rsidRPr="00834D52" w14:paraId="66D2F2CB" w14:textId="77777777" w:rsidTr="00F71229">
        <w:trPr>
          <w:jc w:val="center"/>
        </w:trPr>
        <w:tc>
          <w:tcPr>
            <w:tcW w:w="5211" w:type="dxa"/>
          </w:tcPr>
          <w:p w14:paraId="23AC59F1" w14:textId="77777777" w:rsidR="006F76EB" w:rsidRPr="00834D52" w:rsidRDefault="006F76EB" w:rsidP="00F71229">
            <w:pPr>
              <w:spacing w:after="160"/>
              <w:ind w:right="-8"/>
              <w:rPr>
                <w:rFonts w:ascii="Sylfaen" w:hAnsi="Sylfaen"/>
                <w:sz w:val="24"/>
                <w:szCs w:val="24"/>
              </w:rPr>
            </w:pPr>
            <w:r w:rsidRPr="00834D52">
              <w:rPr>
                <w:rFonts w:ascii="Sylfaen" w:hAnsi="Sylfaen"/>
                <w:sz w:val="24"/>
                <w:szCs w:val="24"/>
              </w:rPr>
              <w:t>Հայտը ստանալու ամսաթիվը</w:t>
            </w:r>
          </w:p>
        </w:tc>
        <w:tc>
          <w:tcPr>
            <w:tcW w:w="4075" w:type="dxa"/>
          </w:tcPr>
          <w:p w14:paraId="2603474C" w14:textId="77777777" w:rsidR="006F76EB" w:rsidRPr="00834D52" w:rsidRDefault="006F76EB" w:rsidP="00F71229">
            <w:pPr>
              <w:spacing w:after="160"/>
              <w:ind w:left="46" w:right="-8"/>
              <w:jc w:val="center"/>
              <w:rPr>
                <w:rFonts w:ascii="Sylfaen" w:eastAsia="Times New Roman" w:hAnsi="Sylfaen" w:cs="Times New Roman"/>
                <w:sz w:val="24"/>
                <w:szCs w:val="24"/>
              </w:rPr>
            </w:pPr>
            <w:r w:rsidRPr="00834D52">
              <w:rPr>
                <w:rFonts w:ascii="Sylfaen" w:hAnsi="Sylfaen"/>
                <w:sz w:val="24"/>
                <w:szCs w:val="24"/>
              </w:rPr>
              <w:t>Թիվ________________________</w:t>
            </w:r>
          </w:p>
        </w:tc>
      </w:tr>
      <w:tr w:rsidR="006F76EB" w:rsidRPr="00834D52" w14:paraId="5888B33F" w14:textId="77777777" w:rsidTr="00F71229">
        <w:trPr>
          <w:jc w:val="center"/>
        </w:trPr>
        <w:tc>
          <w:tcPr>
            <w:tcW w:w="5211" w:type="dxa"/>
          </w:tcPr>
          <w:p w14:paraId="45B93AD3" w14:textId="77777777" w:rsidR="006F76EB" w:rsidRPr="00834D52" w:rsidRDefault="006F76EB" w:rsidP="00F71229">
            <w:pPr>
              <w:spacing w:after="160"/>
              <w:ind w:right="-8"/>
              <w:rPr>
                <w:rFonts w:ascii="Sylfaen" w:eastAsia="Times New Roman" w:hAnsi="Sylfaen" w:cs="Times New Roman"/>
                <w:sz w:val="24"/>
                <w:szCs w:val="24"/>
              </w:rPr>
            </w:pPr>
            <w:r w:rsidRPr="00834D52">
              <w:rPr>
                <w:rFonts w:ascii="Sylfaen" w:hAnsi="Sylfaen"/>
                <w:sz w:val="24"/>
                <w:szCs w:val="24"/>
              </w:rPr>
              <w:t>«___» _______________ 20 ___ թ.</w:t>
            </w:r>
          </w:p>
        </w:tc>
        <w:tc>
          <w:tcPr>
            <w:tcW w:w="4075" w:type="dxa"/>
          </w:tcPr>
          <w:p w14:paraId="6E128BC3" w14:textId="77777777" w:rsidR="006F76EB" w:rsidRPr="00834D52" w:rsidRDefault="006F76EB" w:rsidP="00F71229">
            <w:pPr>
              <w:spacing w:after="160"/>
              <w:ind w:left="453" w:right="-8"/>
              <w:rPr>
                <w:rFonts w:ascii="Sylfaen" w:eastAsia="Times New Roman" w:hAnsi="Sylfaen" w:cs="Times New Roman"/>
                <w:sz w:val="24"/>
                <w:szCs w:val="24"/>
              </w:rPr>
            </w:pPr>
          </w:p>
        </w:tc>
      </w:tr>
      <w:tr w:rsidR="006F76EB" w:rsidRPr="00834D52" w14:paraId="30E4C8BB"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5211" w:type="dxa"/>
            <w:tcBorders>
              <w:top w:val="nil"/>
              <w:left w:val="nil"/>
              <w:bottom w:val="nil"/>
              <w:right w:val="single" w:sz="4" w:space="0" w:color="auto"/>
            </w:tcBorders>
          </w:tcPr>
          <w:p w14:paraId="0F515806"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Դեղապատրաստուկի առ</w:t>
            </w:r>
            <w:r w:rsidR="00C54D75">
              <w:rPr>
                <w:rFonts w:ascii="Sylfaen" w:hAnsi="Sylfaen"/>
                <w:sz w:val="24"/>
                <w:szCs w:val="24"/>
              </w:rPr>
              <w:t>և</w:t>
            </w:r>
            <w:r w:rsidRPr="00834D52">
              <w:rPr>
                <w:rFonts w:ascii="Sylfaen" w:hAnsi="Sylfaen"/>
                <w:sz w:val="24"/>
                <w:szCs w:val="24"/>
              </w:rPr>
              <w:t>տրային անվանումները</w:t>
            </w:r>
          </w:p>
        </w:tc>
        <w:tc>
          <w:tcPr>
            <w:tcW w:w="4075" w:type="dxa"/>
            <w:tcBorders>
              <w:left w:val="single" w:sz="4" w:space="0" w:color="auto"/>
            </w:tcBorders>
          </w:tcPr>
          <w:p w14:paraId="3EAA9361"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4BA32A57"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53F57544"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Ակտիվ դեղագործական բաղադրամասերը</w:t>
            </w:r>
          </w:p>
        </w:tc>
        <w:tc>
          <w:tcPr>
            <w:tcW w:w="4075" w:type="dxa"/>
            <w:tcBorders>
              <w:left w:val="single" w:sz="4" w:space="0" w:color="auto"/>
            </w:tcBorders>
          </w:tcPr>
          <w:p w14:paraId="0AA0888C"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1B49816C"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4D9C3062"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 xml:space="preserve">Դեղաչափերը կամ խտությունը </w:t>
            </w:r>
            <w:r w:rsidR="00C54D75">
              <w:rPr>
                <w:rFonts w:ascii="Sylfaen" w:hAnsi="Sylfaen"/>
                <w:sz w:val="24"/>
                <w:szCs w:val="24"/>
              </w:rPr>
              <w:t>և</w:t>
            </w:r>
            <w:r w:rsidRPr="00834D52">
              <w:rPr>
                <w:rFonts w:ascii="Sylfaen" w:hAnsi="Sylfaen"/>
                <w:sz w:val="24"/>
                <w:szCs w:val="24"/>
              </w:rPr>
              <w:t xml:space="preserve"> դեղաձ</w:t>
            </w:r>
            <w:r w:rsidR="00C54D75">
              <w:rPr>
                <w:rFonts w:ascii="Sylfaen" w:hAnsi="Sylfaen"/>
                <w:sz w:val="24"/>
                <w:szCs w:val="24"/>
              </w:rPr>
              <w:t>և</w:t>
            </w:r>
            <w:r w:rsidRPr="00834D52">
              <w:rPr>
                <w:rFonts w:ascii="Sylfaen" w:hAnsi="Sylfaen"/>
                <w:sz w:val="24"/>
                <w:szCs w:val="24"/>
              </w:rPr>
              <w:t>ը</w:t>
            </w:r>
          </w:p>
        </w:tc>
        <w:tc>
          <w:tcPr>
            <w:tcW w:w="4075" w:type="dxa"/>
            <w:tcBorders>
              <w:left w:val="single" w:sz="4" w:space="0" w:color="auto"/>
            </w:tcBorders>
          </w:tcPr>
          <w:p w14:paraId="7BF90533"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007EE9EE"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6DF6C481"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Բացթողման ձ</w:t>
            </w:r>
            <w:r w:rsidR="00C54D75">
              <w:rPr>
                <w:rFonts w:ascii="Sylfaen" w:hAnsi="Sylfaen"/>
                <w:sz w:val="24"/>
                <w:szCs w:val="24"/>
              </w:rPr>
              <w:t>և</w:t>
            </w:r>
            <w:r w:rsidRPr="00834D52">
              <w:rPr>
                <w:rFonts w:ascii="Sylfaen" w:hAnsi="Sylfaen"/>
                <w:sz w:val="24"/>
                <w:szCs w:val="24"/>
              </w:rPr>
              <w:t>ը</w:t>
            </w:r>
          </w:p>
        </w:tc>
        <w:tc>
          <w:tcPr>
            <w:tcW w:w="4075" w:type="dxa"/>
            <w:tcBorders>
              <w:left w:val="single" w:sz="4" w:space="0" w:color="auto"/>
            </w:tcBorders>
          </w:tcPr>
          <w:p w14:paraId="2EDD7283"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03727E6C"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1FE0F6E0"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Գրանցման հավաստագրի իրավատերը</w:t>
            </w:r>
          </w:p>
        </w:tc>
        <w:tc>
          <w:tcPr>
            <w:tcW w:w="4075" w:type="dxa"/>
            <w:tcBorders>
              <w:left w:val="single" w:sz="4" w:space="0" w:color="auto"/>
            </w:tcBorders>
          </w:tcPr>
          <w:p w14:paraId="146BB7AF"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3FE5F058"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5A6895CA"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Հայտատուն</w:t>
            </w:r>
          </w:p>
        </w:tc>
        <w:tc>
          <w:tcPr>
            <w:tcW w:w="4075" w:type="dxa"/>
            <w:tcBorders>
              <w:left w:val="single" w:sz="4" w:space="0" w:color="auto"/>
            </w:tcBorders>
          </w:tcPr>
          <w:p w14:paraId="79475071" w14:textId="77777777" w:rsidR="006F76EB" w:rsidRPr="00834D52" w:rsidRDefault="006F76EB" w:rsidP="00F71229">
            <w:pPr>
              <w:spacing w:after="160"/>
              <w:ind w:right="-8"/>
              <w:rPr>
                <w:rFonts w:ascii="Sylfaen" w:eastAsia="Times New Roman" w:hAnsi="Sylfaen" w:cs="Times New Roman"/>
                <w:sz w:val="24"/>
                <w:szCs w:val="24"/>
              </w:rPr>
            </w:pPr>
          </w:p>
        </w:tc>
      </w:tr>
      <w:tr w:rsidR="006F76EB" w:rsidRPr="00834D52" w14:paraId="2356A7AC" w14:textId="77777777" w:rsidTr="00F71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11" w:type="dxa"/>
            <w:tcBorders>
              <w:top w:val="nil"/>
              <w:left w:val="nil"/>
              <w:bottom w:val="nil"/>
              <w:right w:val="single" w:sz="4" w:space="0" w:color="auto"/>
            </w:tcBorders>
          </w:tcPr>
          <w:p w14:paraId="73422C05"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Հայտատուի ներկայացուցիչը</w:t>
            </w:r>
          </w:p>
        </w:tc>
        <w:tc>
          <w:tcPr>
            <w:tcW w:w="4075" w:type="dxa"/>
            <w:tcBorders>
              <w:left w:val="single" w:sz="4" w:space="0" w:color="auto"/>
            </w:tcBorders>
          </w:tcPr>
          <w:p w14:paraId="4C9FA3AB" w14:textId="77777777" w:rsidR="006F76EB" w:rsidRPr="00834D52" w:rsidRDefault="006F76EB" w:rsidP="00F71229">
            <w:pPr>
              <w:spacing w:after="160"/>
              <w:ind w:right="-8"/>
              <w:rPr>
                <w:rFonts w:ascii="Sylfaen" w:eastAsia="Times New Roman" w:hAnsi="Sylfaen" w:cs="Times New Roman"/>
                <w:sz w:val="24"/>
                <w:szCs w:val="24"/>
              </w:rPr>
            </w:pPr>
          </w:p>
        </w:tc>
      </w:tr>
    </w:tbl>
    <w:p w14:paraId="4E6B2F13" w14:textId="77777777" w:rsidR="006F76EB" w:rsidRPr="00834D52" w:rsidRDefault="006F76EB" w:rsidP="00803E4B">
      <w:pPr>
        <w:spacing w:after="160" w:line="240" w:lineRule="auto"/>
        <w:ind w:right="-6" w:firstLine="567"/>
        <w:jc w:val="center"/>
        <w:rPr>
          <w:rFonts w:ascii="Sylfaen" w:hAnsi="Sylfaen"/>
          <w:sz w:val="24"/>
          <w:szCs w:val="24"/>
          <w:lang w:val="en-US"/>
        </w:rPr>
      </w:pPr>
    </w:p>
    <w:p w14:paraId="00F9D196" w14:textId="77777777" w:rsidR="006F76EB" w:rsidRPr="00834D52" w:rsidRDefault="006F76EB" w:rsidP="00685570">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Ես երաշխավորում եմ ներկայացված փաստաթղթերում </w:t>
      </w:r>
      <w:r w:rsidR="00C54D75">
        <w:rPr>
          <w:rFonts w:ascii="Sylfaen" w:hAnsi="Sylfaen"/>
          <w:sz w:val="24"/>
          <w:szCs w:val="24"/>
        </w:rPr>
        <w:t>և</w:t>
      </w:r>
      <w:r w:rsidRPr="00834D52">
        <w:rPr>
          <w:rFonts w:ascii="Sylfaen" w:hAnsi="Sylfaen"/>
          <w:sz w:val="24"/>
          <w:szCs w:val="24"/>
        </w:rPr>
        <w:t xml:space="preserve"> գրանցման դոսյեում ներառված տվյալներում պարունակվող տեղեկատվության հավաստիությունը </w:t>
      </w:r>
      <w:r w:rsidR="00C54D75">
        <w:rPr>
          <w:rFonts w:ascii="Sylfaen" w:hAnsi="Sylfaen"/>
          <w:sz w:val="24"/>
          <w:szCs w:val="24"/>
        </w:rPr>
        <w:t>և</w:t>
      </w:r>
      <w:r w:rsidRPr="00834D52">
        <w:rPr>
          <w:rFonts w:ascii="Sylfaen" w:hAnsi="Sylfaen"/>
          <w:sz w:val="24"/>
          <w:szCs w:val="24"/>
        </w:rPr>
        <w:t xml:space="preserve"> պատասխանատվություն եմ կրում դրա համար:</w:t>
      </w:r>
    </w:p>
    <w:p w14:paraId="0AEA0744" w14:textId="77777777" w:rsidR="006F76EB" w:rsidRPr="00834D52" w:rsidRDefault="006F76EB" w:rsidP="00685570">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համաձայն եմ, որ 90 օրվա ընթացքում գրանցման դոսյեի լրացման համար անհրաժեշտ փաստաթղթերը </w:t>
      </w:r>
      <w:r w:rsidR="00C54D75">
        <w:rPr>
          <w:rFonts w:ascii="Sylfaen" w:hAnsi="Sylfaen"/>
          <w:sz w:val="24"/>
          <w:szCs w:val="24"/>
        </w:rPr>
        <w:t>և</w:t>
      </w:r>
      <w:r w:rsidRPr="00834D52">
        <w:rPr>
          <w:rFonts w:ascii="Sylfaen" w:hAnsi="Sylfaen"/>
          <w:sz w:val="24"/>
          <w:szCs w:val="24"/>
        </w:rPr>
        <w:t xml:space="preserve"> տվյալները չներկայացնելու դեպքում </w:t>
      </w:r>
      <w:r w:rsidR="0032680A">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դիտողությունների հիման վրա սույն հայտի քննությունը կմերժվի:</w:t>
      </w:r>
    </w:p>
    <w:p w14:paraId="4F256FC7" w14:textId="77777777" w:rsidR="006F76EB" w:rsidRPr="00834D52" w:rsidRDefault="006F76EB" w:rsidP="00685570">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Ես հաստատում եմ, որ գրանցման դոսյեի կազմում ընդգրկված բոլոր տվյալները ստացվել են սահմանված կարգով </w:t>
      </w:r>
      <w:r w:rsidR="00C54D75">
        <w:rPr>
          <w:rFonts w:ascii="Sylfaen" w:hAnsi="Sylfaen"/>
          <w:sz w:val="24"/>
          <w:szCs w:val="24"/>
        </w:rPr>
        <w:t>և</w:t>
      </w:r>
      <w:r w:rsidRPr="00834D52">
        <w:rPr>
          <w:rFonts w:ascii="Sylfaen" w:hAnsi="Sylfaen"/>
          <w:sz w:val="24"/>
          <w:szCs w:val="24"/>
        </w:rPr>
        <w:t xml:space="preserve"> չեն խախտում երրորդ անձանց՝ մտավոր սեփականության իրավունքները (սույն հայտի հավելվածի</w:t>
      </w:r>
      <w:r w:rsidRPr="00834D52">
        <w:rPr>
          <w:rFonts w:ascii="Sylfaen" w:hAnsi="Sylfaen"/>
          <w:sz w:val="24"/>
          <w:szCs w:val="24"/>
        </w:rPr>
        <w:br/>
        <w:t xml:space="preserve">4.3 </w:t>
      </w:r>
      <w:r w:rsidR="00C54D75">
        <w:rPr>
          <w:rFonts w:ascii="Sylfaen" w:hAnsi="Sylfaen"/>
          <w:sz w:val="24"/>
          <w:szCs w:val="24"/>
        </w:rPr>
        <w:t>և</w:t>
      </w:r>
      <w:r w:rsidRPr="00834D52">
        <w:rPr>
          <w:rFonts w:ascii="Sylfaen" w:hAnsi="Sylfaen"/>
          <w:sz w:val="24"/>
          <w:szCs w:val="24"/>
        </w:rPr>
        <w:t xml:space="preserve"> 4.4 ենթակետեր):</w:t>
      </w:r>
    </w:p>
    <w:p w14:paraId="6A3E13D9" w14:textId="77777777" w:rsidR="006F76EB" w:rsidRPr="00834D52" w:rsidRDefault="006F76EB" w:rsidP="00685570">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Ես նա</w:t>
      </w:r>
      <w:r w:rsidR="00C54D75">
        <w:rPr>
          <w:rFonts w:ascii="Sylfaen" w:hAnsi="Sylfaen"/>
          <w:sz w:val="24"/>
          <w:szCs w:val="24"/>
        </w:rPr>
        <w:t>և</w:t>
      </w:r>
      <w:r w:rsidRPr="00834D52">
        <w:rPr>
          <w:rFonts w:ascii="Sylfaen" w:hAnsi="Sylfaen"/>
          <w:sz w:val="24"/>
          <w:szCs w:val="24"/>
        </w:rPr>
        <w:t xml:space="preserve"> հաստատում եմ, որ նախատեսված բոլոր վճարները (տուրքերը) վճարվել են (կվճարվեն) օրենսդրության պահանջներին համապատասխան:</w:t>
      </w:r>
    </w:p>
    <w:p w14:paraId="6A8C593A" w14:textId="77777777" w:rsidR="006F76EB" w:rsidRPr="00834D52" w:rsidRDefault="006F76EB" w:rsidP="00685570">
      <w:pPr>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Գրանցման հավաստագրի իրավատիրոջ անունից իրավաբանական նշանակություն ունեցող գործողություններ կատարելու լիազորագիրը կից ներկայացվում է (սույն հայտի հավելվածի 4.1 ենթակետ):</w:t>
      </w:r>
    </w:p>
    <w:p w14:paraId="2547E767" w14:textId="77777777" w:rsidR="006F76EB" w:rsidRPr="00834D52" w:rsidRDefault="006F76EB" w:rsidP="006F76EB">
      <w:pPr>
        <w:spacing w:after="160" w:line="360" w:lineRule="auto"/>
        <w:ind w:right="-8"/>
        <w:rPr>
          <w:rFonts w:ascii="Sylfaen" w:hAnsi="Sylfaen"/>
          <w:sz w:val="24"/>
          <w:szCs w:val="24"/>
        </w:rPr>
      </w:pPr>
    </w:p>
    <w:p w14:paraId="52853262" w14:textId="77777777" w:rsidR="006F76EB" w:rsidRPr="00834D52" w:rsidRDefault="006F76EB" w:rsidP="006F76EB">
      <w:pPr>
        <w:spacing w:after="160" w:line="360" w:lineRule="auto"/>
        <w:ind w:right="-8"/>
        <w:rPr>
          <w:rFonts w:ascii="Sylfaen" w:eastAsia="Times New Roman" w:hAnsi="Sylfaen" w:cs="Times New Roman"/>
          <w:sz w:val="24"/>
          <w:szCs w:val="24"/>
        </w:rPr>
      </w:pPr>
      <w:r w:rsidRPr="00834D52">
        <w:rPr>
          <w:rFonts w:ascii="Sylfaen" w:hAnsi="Sylfaen"/>
          <w:sz w:val="24"/>
          <w:szCs w:val="24"/>
        </w:rPr>
        <w:t>Հայտատուի անունից</w:t>
      </w:r>
    </w:p>
    <w:p w14:paraId="5AEABCE1" w14:textId="77777777" w:rsidR="006F76EB" w:rsidRPr="00834D52" w:rsidRDefault="006F76EB" w:rsidP="006F76EB">
      <w:pPr>
        <w:spacing w:after="0" w:line="240" w:lineRule="auto"/>
        <w:ind w:right="-6"/>
        <w:rPr>
          <w:rFonts w:ascii="Sylfaen" w:eastAsia="Times New Roman" w:hAnsi="Sylfaen" w:cs="Times New Roman"/>
          <w:sz w:val="24"/>
          <w:szCs w:val="24"/>
        </w:rPr>
      </w:pPr>
      <w:r w:rsidRPr="00834D52">
        <w:rPr>
          <w:rFonts w:ascii="Sylfaen" w:hAnsi="Sylfaen"/>
          <w:sz w:val="24"/>
          <w:szCs w:val="24"/>
        </w:rPr>
        <w:t>__________________________________</w:t>
      </w:r>
    </w:p>
    <w:p w14:paraId="7A5CF76D" w14:textId="77777777" w:rsidR="006F76EB" w:rsidRPr="00834D52" w:rsidRDefault="006F76EB" w:rsidP="006F76EB">
      <w:pPr>
        <w:spacing w:after="160" w:line="360" w:lineRule="auto"/>
        <w:ind w:right="-8"/>
        <w:rPr>
          <w:rFonts w:ascii="Sylfaen" w:eastAsia="Times New Roman" w:hAnsi="Sylfaen" w:cs="Times New Roman"/>
          <w:sz w:val="20"/>
          <w:szCs w:val="20"/>
        </w:rPr>
      </w:pPr>
      <w:r w:rsidRPr="00834D52">
        <w:rPr>
          <w:rFonts w:ascii="Sylfaen" w:hAnsi="Sylfaen"/>
          <w:sz w:val="20"/>
          <w:szCs w:val="20"/>
        </w:rPr>
        <w:t>(ստորագրություն)</w:t>
      </w:r>
    </w:p>
    <w:p w14:paraId="5B8CFBD2" w14:textId="77777777" w:rsidR="006F76EB" w:rsidRPr="00834D52" w:rsidRDefault="006F76EB" w:rsidP="004243A9">
      <w:pPr>
        <w:spacing w:after="0" w:line="240" w:lineRule="auto"/>
        <w:ind w:right="-6"/>
        <w:rPr>
          <w:rFonts w:ascii="Sylfaen" w:eastAsia="Times New Roman" w:hAnsi="Sylfaen" w:cs="Times New Roman"/>
          <w:sz w:val="24"/>
          <w:szCs w:val="24"/>
        </w:rPr>
      </w:pPr>
      <w:r w:rsidRPr="00834D52">
        <w:rPr>
          <w:rFonts w:ascii="Sylfaen" w:hAnsi="Sylfaen"/>
          <w:sz w:val="24"/>
          <w:szCs w:val="24"/>
        </w:rPr>
        <w:t>__________________________________</w:t>
      </w:r>
    </w:p>
    <w:p w14:paraId="4AA57E6E" w14:textId="77777777" w:rsidR="006F76EB" w:rsidRPr="002978B0" w:rsidRDefault="006F76EB" w:rsidP="004243A9">
      <w:pPr>
        <w:spacing w:after="0" w:line="240" w:lineRule="auto"/>
        <w:ind w:right="-8"/>
        <w:rPr>
          <w:rFonts w:ascii="Sylfaen" w:hAnsi="Sylfaen"/>
          <w:sz w:val="20"/>
          <w:szCs w:val="20"/>
        </w:rPr>
      </w:pPr>
      <w:r w:rsidRPr="00834D52">
        <w:rPr>
          <w:rFonts w:ascii="Sylfaen" w:hAnsi="Sylfaen"/>
          <w:sz w:val="20"/>
          <w:szCs w:val="20"/>
        </w:rPr>
        <w:t>(ազգանուն, անուն, հայրանուն)</w:t>
      </w:r>
    </w:p>
    <w:p w14:paraId="49F02551" w14:textId="77777777" w:rsidR="004243A9" w:rsidRPr="002978B0" w:rsidRDefault="004243A9" w:rsidP="004243A9">
      <w:pPr>
        <w:spacing w:after="0" w:line="240" w:lineRule="auto"/>
        <w:ind w:right="-8"/>
        <w:rPr>
          <w:rFonts w:ascii="Sylfaen" w:eastAsia="Times New Roman" w:hAnsi="Sylfaen" w:cs="Times New Roman"/>
          <w:sz w:val="20"/>
          <w:szCs w:val="20"/>
        </w:rPr>
      </w:pPr>
    </w:p>
    <w:p w14:paraId="1CD468B9" w14:textId="77777777" w:rsidR="006F76EB" w:rsidRPr="00834D52" w:rsidRDefault="006F76EB" w:rsidP="006F76EB">
      <w:pPr>
        <w:spacing w:after="0" w:line="240" w:lineRule="auto"/>
        <w:ind w:right="-6"/>
        <w:rPr>
          <w:rFonts w:ascii="Sylfaen" w:eastAsia="Times New Roman" w:hAnsi="Sylfaen" w:cs="Times New Roman"/>
          <w:sz w:val="24"/>
          <w:szCs w:val="24"/>
        </w:rPr>
      </w:pPr>
      <w:r w:rsidRPr="00834D52">
        <w:rPr>
          <w:rFonts w:ascii="Sylfaen" w:hAnsi="Sylfaen"/>
          <w:sz w:val="24"/>
          <w:szCs w:val="24"/>
        </w:rPr>
        <w:t>__________________________________</w:t>
      </w:r>
    </w:p>
    <w:p w14:paraId="1BC241F3" w14:textId="77777777" w:rsidR="006F76EB" w:rsidRPr="00834D52" w:rsidRDefault="006F76EB" w:rsidP="006F76EB">
      <w:pPr>
        <w:spacing w:after="160" w:line="360" w:lineRule="auto"/>
        <w:ind w:right="-8"/>
        <w:rPr>
          <w:rFonts w:ascii="Sylfaen" w:eastAsia="Times New Roman" w:hAnsi="Sylfaen" w:cs="Times New Roman"/>
          <w:sz w:val="20"/>
          <w:szCs w:val="20"/>
        </w:rPr>
      </w:pPr>
      <w:r w:rsidRPr="00834D52">
        <w:rPr>
          <w:rFonts w:ascii="Sylfaen" w:hAnsi="Sylfaen"/>
          <w:sz w:val="20"/>
          <w:szCs w:val="20"/>
        </w:rPr>
        <w:t>(պաշտոն)</w:t>
      </w:r>
    </w:p>
    <w:p w14:paraId="0668B85C" w14:textId="77777777" w:rsidR="006F76EB" w:rsidRPr="00834D52" w:rsidRDefault="006F76EB" w:rsidP="006F76EB">
      <w:pPr>
        <w:spacing w:after="160" w:line="360" w:lineRule="auto"/>
        <w:ind w:right="-8"/>
        <w:rPr>
          <w:rFonts w:ascii="Sylfaen" w:hAnsi="Sylfaen"/>
          <w:sz w:val="24"/>
          <w:szCs w:val="24"/>
          <w:u w:val="single" w:color="000000"/>
        </w:rPr>
      </w:pPr>
      <w:r w:rsidRPr="00834D52">
        <w:rPr>
          <w:rFonts w:ascii="Sylfaen" w:hAnsi="Sylfaen"/>
          <w:sz w:val="24"/>
          <w:szCs w:val="24"/>
        </w:rPr>
        <w:t>Կ. Տ.</w:t>
      </w:r>
    </w:p>
    <w:p w14:paraId="7A7553EC" w14:textId="77777777" w:rsidR="00803E4B" w:rsidRPr="007F5A60" w:rsidRDefault="00803E4B" w:rsidP="006F76EB">
      <w:pPr>
        <w:spacing w:after="160" w:line="360" w:lineRule="auto"/>
        <w:ind w:right="-8"/>
        <w:jc w:val="center"/>
        <w:rPr>
          <w:rFonts w:ascii="Sylfaen" w:hAnsi="Sylfaen"/>
          <w:sz w:val="24"/>
          <w:szCs w:val="24"/>
          <w:u w:val="single" w:color="000000"/>
        </w:rPr>
      </w:pPr>
    </w:p>
    <w:p w14:paraId="02216EE9" w14:textId="77777777" w:rsidR="006F76EB" w:rsidRPr="00834D52" w:rsidRDefault="006F76EB" w:rsidP="006F76EB">
      <w:pPr>
        <w:spacing w:after="160" w:line="360" w:lineRule="auto"/>
        <w:ind w:right="-8"/>
        <w:jc w:val="center"/>
        <w:rPr>
          <w:rFonts w:ascii="Sylfaen" w:eastAsia="Times New Roman" w:hAnsi="Sylfaen" w:cs="Times New Roman"/>
          <w:sz w:val="24"/>
          <w:szCs w:val="24"/>
          <w:u w:val="single" w:color="000000"/>
        </w:rPr>
      </w:pPr>
      <w:r w:rsidRPr="00834D52">
        <w:rPr>
          <w:rFonts w:ascii="Sylfaen" w:hAnsi="Sylfaen"/>
          <w:sz w:val="24"/>
          <w:szCs w:val="24"/>
          <w:u w:val="single" w:color="000000"/>
        </w:rPr>
        <w:lastRenderedPageBreak/>
        <w:t xml:space="preserve">1. </w:t>
      </w:r>
      <w:r w:rsidRPr="00834D52">
        <w:rPr>
          <w:rFonts w:ascii="Sylfaen" w:hAnsi="Sylfaen"/>
          <w:sz w:val="24"/>
          <w:szCs w:val="24"/>
          <w:u w:val="single"/>
        </w:rPr>
        <w:t xml:space="preserve">Հայտի </w:t>
      </w:r>
      <w:r w:rsidRPr="00834D52">
        <w:rPr>
          <w:rFonts w:ascii="Sylfaen" w:hAnsi="Sylfaen"/>
          <w:sz w:val="24"/>
          <w:szCs w:val="24"/>
          <w:u w:val="single" w:color="000000"/>
        </w:rPr>
        <w:t>ընդհանուր կետերը</w:t>
      </w:r>
    </w:p>
    <w:p w14:paraId="57A8A2F4"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p>
    <w:p w14:paraId="7B806153" w14:textId="77777777" w:rsidR="006F76EB" w:rsidRPr="00834D52" w:rsidRDefault="006F76EB" w:rsidP="0068557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w:t>
      </w:r>
      <w:r w:rsidRPr="00834D52">
        <w:rPr>
          <w:rFonts w:ascii="Sylfaen" w:hAnsi="Sylfaen"/>
          <w:sz w:val="24"/>
          <w:szCs w:val="24"/>
        </w:rPr>
        <w:tab/>
        <w:t>Այս հայտը ներկայացվում է հետ</w:t>
      </w:r>
      <w:r w:rsidR="00C54D75">
        <w:rPr>
          <w:rFonts w:ascii="Sylfaen" w:hAnsi="Sylfaen"/>
          <w:sz w:val="24"/>
          <w:szCs w:val="24"/>
        </w:rPr>
        <w:t>և</w:t>
      </w:r>
      <w:r w:rsidRPr="00834D52">
        <w:rPr>
          <w:rFonts w:ascii="Sylfaen" w:hAnsi="Sylfaen"/>
          <w:sz w:val="24"/>
          <w:szCs w:val="24"/>
        </w:rPr>
        <w:t>յալին համապատասխան:</w:t>
      </w:r>
    </w:p>
    <w:p w14:paraId="0722B992" w14:textId="77777777" w:rsidR="006F76EB" w:rsidRPr="00834D52" w:rsidRDefault="006F76EB" w:rsidP="0068557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1.1.1.</w:t>
      </w:r>
      <w:r w:rsidRPr="00834D52">
        <w:rPr>
          <w:rFonts w:ascii="Sylfaen" w:hAnsi="Sylfaen"/>
          <w:sz w:val="24"/>
          <w:szCs w:val="24"/>
        </w:rPr>
        <w:tab/>
        <w:t>Հայտը ներկայացվել է փոխադարձ ճանաչման ընթացակարգով՝</w:t>
      </w:r>
    </w:p>
    <w:tbl>
      <w:tblPr>
        <w:tblW w:w="9788" w:type="dxa"/>
        <w:jc w:val="center"/>
        <w:tblLayout w:type="fixed"/>
        <w:tblCellMar>
          <w:left w:w="0" w:type="dxa"/>
          <w:right w:w="0" w:type="dxa"/>
        </w:tblCellMar>
        <w:tblLook w:val="01E0" w:firstRow="1" w:lastRow="1" w:firstColumn="1" w:lastColumn="1" w:noHBand="0" w:noVBand="0"/>
      </w:tblPr>
      <w:tblGrid>
        <w:gridCol w:w="5161"/>
        <w:gridCol w:w="4627"/>
      </w:tblGrid>
      <w:tr w:rsidR="006F76EB" w:rsidRPr="00834D52" w14:paraId="2D6E9B36"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5A35D8CD" w14:textId="77777777" w:rsidR="006F76EB" w:rsidRPr="00834D52" w:rsidRDefault="0032680A" w:rsidP="00F71229">
            <w:pPr>
              <w:spacing w:after="120" w:line="240" w:lineRule="auto"/>
              <w:ind w:left="180"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4627" w:type="dxa"/>
            <w:tcBorders>
              <w:top w:val="single" w:sz="4" w:space="0" w:color="000000"/>
              <w:left w:val="single" w:sz="4" w:space="0" w:color="000000"/>
              <w:bottom w:val="single" w:sz="4" w:space="0" w:color="000000"/>
              <w:right w:val="single" w:sz="4" w:space="0" w:color="000000"/>
            </w:tcBorders>
          </w:tcPr>
          <w:p w14:paraId="5ECB043E" w14:textId="77777777" w:rsidR="006F76EB" w:rsidRPr="00834D52" w:rsidRDefault="006F76EB" w:rsidP="00F71229">
            <w:pPr>
              <w:spacing w:after="120" w:line="240" w:lineRule="auto"/>
              <w:ind w:right="-6"/>
              <w:rPr>
                <w:rFonts w:ascii="Sylfaen" w:hAnsi="Sylfaen"/>
                <w:sz w:val="24"/>
                <w:szCs w:val="24"/>
              </w:rPr>
            </w:pPr>
          </w:p>
        </w:tc>
      </w:tr>
      <w:tr w:rsidR="006F76EB" w:rsidRPr="00834D52" w14:paraId="0E59C520"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0745348C"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4627" w:type="dxa"/>
            <w:tcBorders>
              <w:top w:val="single" w:sz="4" w:space="0" w:color="000000"/>
              <w:left w:val="single" w:sz="4" w:space="0" w:color="000000"/>
              <w:bottom w:val="single" w:sz="4" w:space="0" w:color="000000"/>
              <w:right w:val="single" w:sz="4" w:space="0" w:color="000000"/>
            </w:tcBorders>
          </w:tcPr>
          <w:p w14:paraId="04FD8EBE" w14:textId="77777777" w:rsidR="006F76EB" w:rsidRPr="00834D52" w:rsidRDefault="006F76EB" w:rsidP="00F71229">
            <w:pPr>
              <w:spacing w:after="120" w:line="240" w:lineRule="auto"/>
              <w:ind w:right="-6"/>
              <w:rPr>
                <w:rFonts w:ascii="Sylfaen" w:hAnsi="Sylfaen"/>
                <w:sz w:val="24"/>
                <w:szCs w:val="24"/>
              </w:rPr>
            </w:pPr>
          </w:p>
        </w:tc>
      </w:tr>
      <w:tr w:rsidR="006F76EB" w:rsidRPr="00834D52" w14:paraId="00D0FF33"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24EC15A6"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ամսաթիվը</w:t>
            </w:r>
          </w:p>
        </w:tc>
        <w:tc>
          <w:tcPr>
            <w:tcW w:w="4627" w:type="dxa"/>
            <w:tcBorders>
              <w:top w:val="single" w:sz="4" w:space="0" w:color="000000"/>
              <w:left w:val="single" w:sz="4" w:space="0" w:color="000000"/>
              <w:bottom w:val="single" w:sz="4" w:space="0" w:color="000000"/>
              <w:right w:val="single" w:sz="4" w:space="0" w:color="000000"/>
            </w:tcBorders>
          </w:tcPr>
          <w:p w14:paraId="10073D8D" w14:textId="77777777" w:rsidR="006F76EB" w:rsidRPr="00834D52" w:rsidRDefault="006F76EB" w:rsidP="00F71229">
            <w:pPr>
              <w:spacing w:after="120" w:line="240" w:lineRule="auto"/>
              <w:ind w:right="-6"/>
              <w:rPr>
                <w:rFonts w:ascii="Sylfaen" w:hAnsi="Sylfaen"/>
                <w:sz w:val="24"/>
                <w:szCs w:val="24"/>
              </w:rPr>
            </w:pPr>
          </w:p>
        </w:tc>
      </w:tr>
      <w:tr w:rsidR="006F76EB" w:rsidRPr="00834D52" w14:paraId="60F557C4"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6CDB0B1C"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627" w:type="dxa"/>
            <w:tcBorders>
              <w:top w:val="single" w:sz="4" w:space="0" w:color="000000"/>
              <w:left w:val="single" w:sz="4" w:space="0" w:color="000000"/>
              <w:bottom w:val="single" w:sz="4" w:space="0" w:color="000000"/>
              <w:right w:val="single" w:sz="4" w:space="0" w:color="000000"/>
            </w:tcBorders>
          </w:tcPr>
          <w:p w14:paraId="2A462B3C" w14:textId="77777777" w:rsidR="006F76EB" w:rsidRPr="00834D52" w:rsidRDefault="006F76EB" w:rsidP="00F71229">
            <w:pPr>
              <w:spacing w:after="120" w:line="240" w:lineRule="auto"/>
              <w:ind w:right="-6"/>
              <w:rPr>
                <w:rFonts w:ascii="Sylfaen" w:hAnsi="Sylfaen"/>
                <w:sz w:val="24"/>
                <w:szCs w:val="24"/>
              </w:rPr>
            </w:pPr>
          </w:p>
        </w:tc>
      </w:tr>
      <w:tr w:rsidR="006F76EB" w:rsidRPr="00834D52" w14:paraId="1D2FD13F"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3F34D22B"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հավաստագրի պատճենը</w:t>
            </w:r>
          </w:p>
        </w:tc>
        <w:tc>
          <w:tcPr>
            <w:tcW w:w="4627" w:type="dxa"/>
            <w:tcBorders>
              <w:top w:val="single" w:sz="4" w:space="0" w:color="000000"/>
              <w:left w:val="single" w:sz="4" w:space="0" w:color="000000"/>
              <w:bottom w:val="single" w:sz="4" w:space="0" w:color="000000"/>
              <w:right w:val="single" w:sz="4" w:space="0" w:color="000000"/>
            </w:tcBorders>
          </w:tcPr>
          <w:p w14:paraId="686F9EE6" w14:textId="77777777" w:rsidR="006F76EB" w:rsidRPr="00834D52" w:rsidRDefault="006F76EB" w:rsidP="00F71229">
            <w:pPr>
              <w:spacing w:after="120" w:line="240" w:lineRule="auto"/>
              <w:ind w:right="-6"/>
              <w:rPr>
                <w:rFonts w:ascii="Sylfaen" w:hAnsi="Sylfaen"/>
                <w:sz w:val="24"/>
                <w:szCs w:val="24"/>
              </w:rPr>
            </w:pPr>
          </w:p>
        </w:tc>
      </w:tr>
      <w:tr w:rsidR="006F76EB" w:rsidRPr="00834D52" w14:paraId="0579CE88"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4E7B22BF"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հայտի նույնականացման համարը</w:t>
            </w:r>
          </w:p>
        </w:tc>
        <w:tc>
          <w:tcPr>
            <w:tcW w:w="4627" w:type="dxa"/>
            <w:tcBorders>
              <w:top w:val="single" w:sz="4" w:space="0" w:color="000000"/>
              <w:left w:val="single" w:sz="4" w:space="0" w:color="000000"/>
              <w:bottom w:val="single" w:sz="4" w:space="0" w:color="000000"/>
              <w:right w:val="single" w:sz="4" w:space="0" w:color="000000"/>
            </w:tcBorders>
          </w:tcPr>
          <w:p w14:paraId="64F0D074" w14:textId="77777777" w:rsidR="006F76EB" w:rsidRPr="00834D52" w:rsidRDefault="006F76EB" w:rsidP="00F71229">
            <w:pPr>
              <w:spacing w:after="120" w:line="240" w:lineRule="auto"/>
              <w:ind w:right="-6"/>
              <w:rPr>
                <w:rFonts w:ascii="Sylfaen" w:hAnsi="Sylfaen"/>
                <w:sz w:val="24"/>
                <w:szCs w:val="24"/>
              </w:rPr>
            </w:pPr>
          </w:p>
        </w:tc>
      </w:tr>
      <w:tr w:rsidR="006F76EB" w:rsidRPr="00834D52" w14:paraId="6CEDF665"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2CF4E976"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ճանաչման պետությունները, որտեղ տվյալ դեղապատրաստուկն արդեն գրանցվել է (առկայության դեպքում)</w:t>
            </w:r>
          </w:p>
        </w:tc>
        <w:tc>
          <w:tcPr>
            <w:tcW w:w="4627" w:type="dxa"/>
            <w:tcBorders>
              <w:top w:val="single" w:sz="4" w:space="0" w:color="000000"/>
              <w:left w:val="single" w:sz="4" w:space="0" w:color="000000"/>
              <w:bottom w:val="single" w:sz="4" w:space="0" w:color="000000"/>
              <w:right w:val="single" w:sz="4" w:space="0" w:color="000000"/>
            </w:tcBorders>
          </w:tcPr>
          <w:p w14:paraId="4AAD143B" w14:textId="77777777" w:rsidR="006F76EB" w:rsidRPr="00834D52" w:rsidRDefault="006F76EB" w:rsidP="00F71229">
            <w:pPr>
              <w:spacing w:after="120" w:line="240" w:lineRule="auto"/>
              <w:ind w:right="-6"/>
              <w:rPr>
                <w:rFonts w:ascii="Sylfaen" w:hAnsi="Sylfaen"/>
                <w:sz w:val="24"/>
                <w:szCs w:val="24"/>
              </w:rPr>
            </w:pPr>
          </w:p>
        </w:tc>
      </w:tr>
      <w:tr w:rsidR="006F76EB" w:rsidRPr="00834D52" w14:paraId="009F48E3"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00126E2A"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պետությունում գրանցված առ</w:t>
            </w:r>
            <w:r w:rsidR="00C54D75">
              <w:rPr>
                <w:rFonts w:ascii="Sylfaen" w:hAnsi="Sylfaen"/>
                <w:sz w:val="24"/>
                <w:szCs w:val="24"/>
              </w:rPr>
              <w:t>և</w:t>
            </w:r>
            <w:r w:rsidRPr="00834D52">
              <w:rPr>
                <w:rFonts w:ascii="Sylfaen" w:hAnsi="Sylfaen"/>
                <w:sz w:val="24"/>
                <w:szCs w:val="24"/>
              </w:rPr>
              <w:t>տրային անվանումից տարբերվելու դեպքում), որտեղ դեղապատրաստուկն արդեն գրանցվել է</w:t>
            </w:r>
          </w:p>
        </w:tc>
        <w:tc>
          <w:tcPr>
            <w:tcW w:w="4627" w:type="dxa"/>
            <w:tcBorders>
              <w:top w:val="single" w:sz="4" w:space="0" w:color="000000"/>
              <w:left w:val="single" w:sz="4" w:space="0" w:color="000000"/>
              <w:bottom w:val="single" w:sz="4" w:space="0" w:color="000000"/>
              <w:right w:val="single" w:sz="4" w:space="0" w:color="000000"/>
            </w:tcBorders>
          </w:tcPr>
          <w:p w14:paraId="5E190345" w14:textId="77777777" w:rsidR="006F76EB" w:rsidRPr="00834D52" w:rsidRDefault="006F76EB" w:rsidP="00F71229">
            <w:pPr>
              <w:spacing w:after="120" w:line="240" w:lineRule="auto"/>
              <w:ind w:right="-6"/>
              <w:rPr>
                <w:rFonts w:ascii="Sylfaen" w:hAnsi="Sylfaen"/>
                <w:sz w:val="24"/>
                <w:szCs w:val="24"/>
              </w:rPr>
            </w:pPr>
          </w:p>
        </w:tc>
      </w:tr>
      <w:tr w:rsidR="006F76EB" w:rsidRPr="00834D52" w14:paraId="7E9E4967"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79BBCCE8"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ճանաչման պետություններում գրանցման ամսաթիվը, եթե դեղապատրաստուկը գրանցված է</w:t>
            </w:r>
          </w:p>
        </w:tc>
        <w:tc>
          <w:tcPr>
            <w:tcW w:w="4627" w:type="dxa"/>
            <w:tcBorders>
              <w:top w:val="single" w:sz="4" w:space="0" w:color="000000"/>
              <w:left w:val="single" w:sz="4" w:space="0" w:color="000000"/>
              <w:bottom w:val="single" w:sz="4" w:space="0" w:color="000000"/>
              <w:right w:val="single" w:sz="4" w:space="0" w:color="000000"/>
            </w:tcBorders>
          </w:tcPr>
          <w:p w14:paraId="34B0D313" w14:textId="77777777" w:rsidR="006F76EB" w:rsidRPr="00834D52" w:rsidRDefault="006F76EB" w:rsidP="00F71229">
            <w:pPr>
              <w:spacing w:after="120" w:line="240" w:lineRule="auto"/>
              <w:ind w:right="-6"/>
              <w:rPr>
                <w:rFonts w:ascii="Sylfaen" w:hAnsi="Sylfaen"/>
                <w:sz w:val="24"/>
                <w:szCs w:val="24"/>
              </w:rPr>
            </w:pPr>
          </w:p>
        </w:tc>
      </w:tr>
      <w:tr w:rsidR="006F76EB" w:rsidRPr="00834D52" w14:paraId="15FF201C"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1972FBE4"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ճանաչման պետություններում գրանցման հավաստագրի համարը</w:t>
            </w:r>
          </w:p>
        </w:tc>
        <w:tc>
          <w:tcPr>
            <w:tcW w:w="4627" w:type="dxa"/>
            <w:tcBorders>
              <w:top w:val="single" w:sz="4" w:space="0" w:color="000000"/>
              <w:left w:val="single" w:sz="4" w:space="0" w:color="000000"/>
              <w:bottom w:val="single" w:sz="4" w:space="0" w:color="000000"/>
              <w:right w:val="single" w:sz="4" w:space="0" w:color="000000"/>
            </w:tcBorders>
          </w:tcPr>
          <w:p w14:paraId="6B361CE3" w14:textId="77777777" w:rsidR="006F76EB" w:rsidRPr="00834D52" w:rsidRDefault="006F76EB" w:rsidP="00F71229">
            <w:pPr>
              <w:spacing w:after="120" w:line="240" w:lineRule="auto"/>
              <w:ind w:right="-6"/>
              <w:rPr>
                <w:rFonts w:ascii="Sylfaen" w:hAnsi="Sylfaen"/>
                <w:sz w:val="24"/>
                <w:szCs w:val="24"/>
              </w:rPr>
            </w:pPr>
          </w:p>
        </w:tc>
      </w:tr>
      <w:tr w:rsidR="006F76EB" w:rsidRPr="00834D52" w14:paraId="46CB5E0F"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777F9E85"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հայտ ներկայացնելու համար Եվրասիական տնտեսական միության այլ անդամ պետություններ (առկայության դեպքում)</w:t>
            </w:r>
          </w:p>
        </w:tc>
        <w:tc>
          <w:tcPr>
            <w:tcW w:w="4627" w:type="dxa"/>
            <w:tcBorders>
              <w:top w:val="single" w:sz="4" w:space="0" w:color="000000"/>
              <w:left w:val="single" w:sz="4" w:space="0" w:color="000000"/>
              <w:bottom w:val="single" w:sz="4" w:space="0" w:color="000000"/>
              <w:right w:val="single" w:sz="4" w:space="0" w:color="000000"/>
            </w:tcBorders>
          </w:tcPr>
          <w:p w14:paraId="75F1580A" w14:textId="77777777" w:rsidR="006F76EB" w:rsidRPr="00834D52" w:rsidRDefault="006F76EB" w:rsidP="00F71229">
            <w:pPr>
              <w:spacing w:after="120" w:line="240" w:lineRule="auto"/>
              <w:ind w:right="-6"/>
              <w:rPr>
                <w:rFonts w:ascii="Sylfaen" w:hAnsi="Sylfaen"/>
                <w:sz w:val="24"/>
                <w:szCs w:val="24"/>
              </w:rPr>
            </w:pPr>
          </w:p>
        </w:tc>
      </w:tr>
      <w:tr w:rsidR="006F76EB" w:rsidRPr="00834D52" w14:paraId="7AE266EB" w14:textId="77777777" w:rsidTr="00F71229">
        <w:trPr>
          <w:jc w:val="center"/>
        </w:trPr>
        <w:tc>
          <w:tcPr>
            <w:tcW w:w="5161" w:type="dxa"/>
            <w:tcBorders>
              <w:top w:val="single" w:sz="4" w:space="0" w:color="000000"/>
              <w:left w:val="single" w:sz="4" w:space="0" w:color="000000"/>
              <w:bottom w:val="single" w:sz="4" w:space="0" w:color="000000"/>
              <w:right w:val="single" w:sz="4" w:space="0" w:color="000000"/>
            </w:tcBorders>
          </w:tcPr>
          <w:p w14:paraId="02E44AFB" w14:textId="77777777" w:rsidR="006F76EB" w:rsidRPr="00834D52" w:rsidRDefault="006F76EB" w:rsidP="00F7122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 xml:space="preserve">պետությունում </w:t>
            </w:r>
            <w:r w:rsidR="00C54D75">
              <w:rPr>
                <w:rFonts w:ascii="Sylfaen" w:hAnsi="Sylfaen"/>
                <w:sz w:val="24"/>
                <w:szCs w:val="24"/>
              </w:rPr>
              <w:t>և</w:t>
            </w:r>
            <w:r w:rsidRPr="00834D52">
              <w:rPr>
                <w:rFonts w:ascii="Sylfaen" w:hAnsi="Sylfaen"/>
                <w:sz w:val="24"/>
                <w:szCs w:val="24"/>
              </w:rPr>
              <w:t xml:space="preserve"> (կամ) ճանաչման պետություններում գրանցված առ</w:t>
            </w:r>
            <w:r w:rsidR="00C54D75">
              <w:rPr>
                <w:rFonts w:ascii="Sylfaen" w:hAnsi="Sylfaen"/>
                <w:sz w:val="24"/>
                <w:szCs w:val="24"/>
              </w:rPr>
              <w:t>և</w:t>
            </w:r>
            <w:r w:rsidRPr="00834D52">
              <w:rPr>
                <w:rFonts w:ascii="Sylfaen" w:hAnsi="Sylfaen"/>
                <w:sz w:val="24"/>
                <w:szCs w:val="24"/>
              </w:rPr>
              <w:t>տրային անվանումից տարբերվելու դեպքում (եթե կիրառելի է))</w:t>
            </w:r>
          </w:p>
        </w:tc>
        <w:tc>
          <w:tcPr>
            <w:tcW w:w="4627" w:type="dxa"/>
            <w:tcBorders>
              <w:top w:val="single" w:sz="4" w:space="0" w:color="000000"/>
              <w:left w:val="single" w:sz="4" w:space="0" w:color="000000"/>
              <w:bottom w:val="single" w:sz="4" w:space="0" w:color="000000"/>
              <w:right w:val="single" w:sz="4" w:space="0" w:color="000000"/>
            </w:tcBorders>
          </w:tcPr>
          <w:p w14:paraId="0B1D3762" w14:textId="77777777" w:rsidR="006F76EB" w:rsidRPr="00834D52" w:rsidRDefault="006F76EB" w:rsidP="00F71229">
            <w:pPr>
              <w:spacing w:after="120" w:line="240" w:lineRule="auto"/>
              <w:ind w:right="-6"/>
              <w:rPr>
                <w:rFonts w:ascii="Sylfaen" w:hAnsi="Sylfaen"/>
                <w:sz w:val="24"/>
                <w:szCs w:val="24"/>
              </w:rPr>
            </w:pPr>
          </w:p>
        </w:tc>
      </w:tr>
    </w:tbl>
    <w:p w14:paraId="5A933EAB" w14:textId="77777777" w:rsidR="006F76EB" w:rsidRPr="00834D52" w:rsidRDefault="006F76EB" w:rsidP="006F76EB">
      <w:pPr>
        <w:tabs>
          <w:tab w:val="left" w:pos="1701"/>
        </w:tabs>
        <w:spacing w:after="160" w:line="360" w:lineRule="auto"/>
        <w:ind w:right="-8" w:firstLine="567"/>
        <w:rPr>
          <w:rFonts w:ascii="Sylfaen" w:hAnsi="Sylfaen"/>
          <w:sz w:val="24"/>
          <w:szCs w:val="24"/>
        </w:rPr>
      </w:pPr>
    </w:p>
    <w:p w14:paraId="5DD81A09" w14:textId="77777777" w:rsidR="006F76EB" w:rsidRPr="00834D52" w:rsidRDefault="006F76EB" w:rsidP="006F76EB">
      <w:pPr>
        <w:tabs>
          <w:tab w:val="left" w:pos="1701"/>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1.1.2.</w:t>
      </w:r>
      <w:r w:rsidRPr="00834D52">
        <w:rPr>
          <w:rFonts w:ascii="Sylfaen" w:hAnsi="Sylfaen"/>
          <w:sz w:val="24"/>
          <w:szCs w:val="24"/>
        </w:rPr>
        <w:tab/>
        <w:t>Հայտը ներկայացվել է ապակենտրոնացված ընթացակարգով՝</w:t>
      </w:r>
    </w:p>
    <w:tbl>
      <w:tblPr>
        <w:tblW w:w="10259" w:type="dxa"/>
        <w:tblInd w:w="-336" w:type="dxa"/>
        <w:tblLayout w:type="fixed"/>
        <w:tblCellMar>
          <w:left w:w="0" w:type="dxa"/>
          <w:right w:w="0" w:type="dxa"/>
        </w:tblCellMar>
        <w:tblLook w:val="01E0" w:firstRow="1" w:lastRow="1" w:firstColumn="1" w:lastColumn="1" w:noHBand="0" w:noVBand="0"/>
      </w:tblPr>
      <w:tblGrid>
        <w:gridCol w:w="5041"/>
        <w:gridCol w:w="5218"/>
      </w:tblGrid>
      <w:tr w:rsidR="006F76EB" w:rsidRPr="00834D52" w14:paraId="66DC71F7" w14:textId="77777777" w:rsidTr="009A3F22">
        <w:trPr>
          <w:trHeight w:val="589"/>
        </w:trPr>
        <w:tc>
          <w:tcPr>
            <w:tcW w:w="5041" w:type="dxa"/>
            <w:tcBorders>
              <w:top w:val="single" w:sz="4" w:space="0" w:color="000000"/>
              <w:left w:val="single" w:sz="4" w:space="0" w:color="000000"/>
              <w:bottom w:val="single" w:sz="4" w:space="0" w:color="000000"/>
              <w:right w:val="single" w:sz="4" w:space="0" w:color="000000"/>
            </w:tcBorders>
            <w:vAlign w:val="center"/>
          </w:tcPr>
          <w:p w14:paraId="466BA509" w14:textId="77777777" w:rsidR="006F76EB" w:rsidRPr="00834D52" w:rsidRDefault="006F76EB" w:rsidP="009A3F2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հայտի նույնականացման համարը</w:t>
            </w:r>
          </w:p>
        </w:tc>
        <w:tc>
          <w:tcPr>
            <w:tcW w:w="5218" w:type="dxa"/>
            <w:tcBorders>
              <w:top w:val="single" w:sz="4" w:space="0" w:color="000000"/>
              <w:left w:val="single" w:sz="4" w:space="0" w:color="000000"/>
              <w:bottom w:val="single" w:sz="4" w:space="0" w:color="000000"/>
              <w:right w:val="single" w:sz="4" w:space="0" w:color="000000"/>
            </w:tcBorders>
          </w:tcPr>
          <w:p w14:paraId="2AA714FA" w14:textId="77777777" w:rsidR="006F76EB" w:rsidRPr="00834D52" w:rsidRDefault="006F76EB" w:rsidP="008214E9">
            <w:pPr>
              <w:spacing w:after="120" w:line="240" w:lineRule="auto"/>
              <w:ind w:right="-6"/>
              <w:rPr>
                <w:rFonts w:ascii="Sylfaen" w:hAnsi="Sylfaen"/>
                <w:sz w:val="24"/>
                <w:szCs w:val="24"/>
              </w:rPr>
            </w:pPr>
          </w:p>
        </w:tc>
      </w:tr>
      <w:tr w:rsidR="006F76EB" w:rsidRPr="00834D52" w14:paraId="28E61D06" w14:textId="77777777" w:rsidTr="009A3F22">
        <w:trPr>
          <w:trHeight w:val="611"/>
        </w:trPr>
        <w:tc>
          <w:tcPr>
            <w:tcW w:w="5041" w:type="dxa"/>
            <w:tcBorders>
              <w:top w:val="single" w:sz="4" w:space="0" w:color="000000"/>
              <w:left w:val="single" w:sz="4" w:space="0" w:color="000000"/>
              <w:bottom w:val="single" w:sz="4" w:space="0" w:color="000000"/>
              <w:right w:val="single" w:sz="4" w:space="0" w:color="000000"/>
            </w:tcBorders>
            <w:vAlign w:val="center"/>
          </w:tcPr>
          <w:p w14:paraId="320D04F2" w14:textId="77777777" w:rsidR="006F76EB" w:rsidRPr="00834D52" w:rsidRDefault="0032680A" w:rsidP="009A3F22">
            <w:pPr>
              <w:spacing w:after="120" w:line="240" w:lineRule="auto"/>
              <w:ind w:left="180"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5218" w:type="dxa"/>
            <w:tcBorders>
              <w:top w:val="single" w:sz="4" w:space="0" w:color="000000"/>
              <w:left w:val="single" w:sz="4" w:space="0" w:color="000000"/>
              <w:bottom w:val="single" w:sz="4" w:space="0" w:color="000000"/>
              <w:right w:val="single" w:sz="4" w:space="0" w:color="000000"/>
            </w:tcBorders>
          </w:tcPr>
          <w:p w14:paraId="38838730" w14:textId="77777777" w:rsidR="006F76EB" w:rsidRPr="00834D52" w:rsidRDefault="006F76EB" w:rsidP="008214E9">
            <w:pPr>
              <w:spacing w:after="120" w:line="240" w:lineRule="auto"/>
              <w:ind w:right="-6"/>
              <w:rPr>
                <w:rFonts w:ascii="Sylfaen" w:hAnsi="Sylfaen"/>
                <w:sz w:val="24"/>
                <w:szCs w:val="24"/>
              </w:rPr>
            </w:pPr>
          </w:p>
        </w:tc>
      </w:tr>
      <w:tr w:rsidR="006F76EB" w:rsidRPr="00834D52" w14:paraId="3D6C553C" w14:textId="77777777" w:rsidTr="009A3F22">
        <w:trPr>
          <w:trHeight w:val="1058"/>
        </w:trPr>
        <w:tc>
          <w:tcPr>
            <w:tcW w:w="5041" w:type="dxa"/>
            <w:tcBorders>
              <w:top w:val="single" w:sz="4" w:space="0" w:color="000000"/>
              <w:left w:val="single" w:sz="4" w:space="0" w:color="000000"/>
              <w:bottom w:val="single" w:sz="4" w:space="0" w:color="000000"/>
              <w:right w:val="single" w:sz="4" w:space="0" w:color="000000"/>
            </w:tcBorders>
            <w:vAlign w:val="center"/>
          </w:tcPr>
          <w:p w14:paraId="1EF427D4" w14:textId="77777777" w:rsidR="006F76EB" w:rsidRPr="00834D52" w:rsidRDefault="006F76EB" w:rsidP="009A3F2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5218" w:type="dxa"/>
            <w:tcBorders>
              <w:top w:val="single" w:sz="4" w:space="0" w:color="000000"/>
              <w:left w:val="single" w:sz="4" w:space="0" w:color="000000"/>
              <w:bottom w:val="single" w:sz="4" w:space="0" w:color="000000"/>
              <w:right w:val="single" w:sz="4" w:space="0" w:color="000000"/>
            </w:tcBorders>
          </w:tcPr>
          <w:p w14:paraId="17A8AFC8" w14:textId="77777777" w:rsidR="006F76EB" w:rsidRPr="00834D52" w:rsidRDefault="006F76EB" w:rsidP="008214E9">
            <w:pPr>
              <w:spacing w:after="120" w:line="240" w:lineRule="auto"/>
              <w:ind w:right="-6"/>
              <w:rPr>
                <w:rFonts w:ascii="Sylfaen" w:hAnsi="Sylfaen"/>
                <w:sz w:val="24"/>
                <w:szCs w:val="24"/>
              </w:rPr>
            </w:pPr>
          </w:p>
        </w:tc>
      </w:tr>
      <w:tr w:rsidR="006F76EB" w:rsidRPr="00834D52" w14:paraId="08937316" w14:textId="77777777" w:rsidTr="009A3F22">
        <w:trPr>
          <w:trHeight w:val="1058"/>
        </w:trPr>
        <w:tc>
          <w:tcPr>
            <w:tcW w:w="5041" w:type="dxa"/>
            <w:tcBorders>
              <w:top w:val="single" w:sz="4" w:space="0" w:color="000000"/>
              <w:left w:val="single" w:sz="4" w:space="0" w:color="000000"/>
              <w:bottom w:val="single" w:sz="4" w:space="0" w:color="000000"/>
              <w:right w:val="single" w:sz="4" w:space="0" w:color="000000"/>
            </w:tcBorders>
            <w:vAlign w:val="center"/>
          </w:tcPr>
          <w:p w14:paraId="000EC6E0" w14:textId="77777777" w:rsidR="006F76EB" w:rsidRPr="00834D52" w:rsidRDefault="006F76EB" w:rsidP="009A3F2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հայտ ներկայացնելու համար ճանաչման պետությունները</w:t>
            </w:r>
          </w:p>
        </w:tc>
        <w:tc>
          <w:tcPr>
            <w:tcW w:w="5218" w:type="dxa"/>
            <w:tcBorders>
              <w:top w:val="single" w:sz="4" w:space="0" w:color="000000"/>
              <w:left w:val="single" w:sz="4" w:space="0" w:color="000000"/>
              <w:bottom w:val="single" w:sz="4" w:space="0" w:color="000000"/>
              <w:right w:val="single" w:sz="4" w:space="0" w:color="000000"/>
            </w:tcBorders>
          </w:tcPr>
          <w:p w14:paraId="51F03E50" w14:textId="77777777" w:rsidR="006F76EB" w:rsidRPr="00834D52" w:rsidRDefault="006F76EB" w:rsidP="008214E9">
            <w:pPr>
              <w:spacing w:after="120" w:line="240" w:lineRule="auto"/>
              <w:ind w:right="-6"/>
              <w:rPr>
                <w:rFonts w:ascii="Sylfaen" w:hAnsi="Sylfaen"/>
                <w:sz w:val="24"/>
                <w:szCs w:val="24"/>
              </w:rPr>
            </w:pPr>
          </w:p>
        </w:tc>
      </w:tr>
      <w:tr w:rsidR="006F76EB" w:rsidRPr="00834D52" w14:paraId="3E53883B" w14:textId="77777777" w:rsidTr="009A3F22">
        <w:trPr>
          <w:trHeight w:val="2847"/>
        </w:trPr>
        <w:tc>
          <w:tcPr>
            <w:tcW w:w="5041" w:type="dxa"/>
            <w:tcBorders>
              <w:top w:val="single" w:sz="4" w:space="0" w:color="000000"/>
              <w:left w:val="single" w:sz="4" w:space="0" w:color="000000"/>
              <w:bottom w:val="single" w:sz="4" w:space="0" w:color="000000"/>
              <w:right w:val="single" w:sz="4" w:space="0" w:color="000000"/>
            </w:tcBorders>
            <w:vAlign w:val="center"/>
          </w:tcPr>
          <w:p w14:paraId="1BB2C2F3" w14:textId="77777777" w:rsidR="006F76EB" w:rsidRPr="00834D52" w:rsidRDefault="006F76EB" w:rsidP="009A3F2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 xml:space="preserve">պետությունում </w:t>
            </w:r>
            <w:r w:rsidR="00C54D75">
              <w:rPr>
                <w:rFonts w:ascii="Sylfaen" w:hAnsi="Sylfaen"/>
                <w:sz w:val="24"/>
                <w:szCs w:val="24"/>
              </w:rPr>
              <w:t>և</w:t>
            </w:r>
            <w:r w:rsidRPr="00834D52">
              <w:rPr>
                <w:rFonts w:ascii="Sylfaen" w:hAnsi="Sylfaen"/>
                <w:sz w:val="24"/>
                <w:szCs w:val="24"/>
              </w:rPr>
              <w:t xml:space="preserve"> (կամ) ճանաչման պետություններում առ</w:t>
            </w:r>
            <w:r w:rsidR="00C54D75">
              <w:rPr>
                <w:rFonts w:ascii="Sylfaen" w:hAnsi="Sylfaen"/>
                <w:sz w:val="24"/>
                <w:szCs w:val="24"/>
              </w:rPr>
              <w:t>և</w:t>
            </w:r>
            <w:r w:rsidRPr="00834D52">
              <w:rPr>
                <w:rFonts w:ascii="Sylfaen" w:hAnsi="Sylfaen"/>
                <w:sz w:val="24"/>
                <w:szCs w:val="24"/>
              </w:rPr>
              <w:t>տրային անվանումից տարբերվելու դեպքում</w:t>
            </w:r>
            <w:r w:rsidRPr="00834D52">
              <w:rPr>
                <w:rFonts w:ascii="Sylfaen" w:hAnsi="Sylfaen"/>
                <w:sz w:val="24"/>
                <w:szCs w:val="24"/>
              </w:rPr>
              <w:br/>
              <w:t>(եթե կիրառելի է))</w:t>
            </w:r>
          </w:p>
        </w:tc>
        <w:tc>
          <w:tcPr>
            <w:tcW w:w="5218" w:type="dxa"/>
            <w:tcBorders>
              <w:top w:val="single" w:sz="4" w:space="0" w:color="000000"/>
              <w:left w:val="single" w:sz="4" w:space="0" w:color="000000"/>
              <w:bottom w:val="single" w:sz="4" w:space="0" w:color="000000"/>
              <w:right w:val="single" w:sz="4" w:space="0" w:color="000000"/>
            </w:tcBorders>
          </w:tcPr>
          <w:p w14:paraId="33EDA158" w14:textId="77777777" w:rsidR="006F76EB" w:rsidRPr="00834D52" w:rsidRDefault="006F76EB" w:rsidP="008214E9">
            <w:pPr>
              <w:spacing w:after="120" w:line="240" w:lineRule="auto"/>
              <w:ind w:right="-6"/>
              <w:rPr>
                <w:rFonts w:ascii="Sylfaen" w:hAnsi="Sylfaen"/>
                <w:sz w:val="24"/>
                <w:szCs w:val="24"/>
              </w:rPr>
            </w:pPr>
          </w:p>
        </w:tc>
      </w:tr>
    </w:tbl>
    <w:p w14:paraId="259E226A" w14:textId="77777777" w:rsidR="008214E9" w:rsidRPr="007F5A60" w:rsidRDefault="008214E9" w:rsidP="006F76EB">
      <w:pPr>
        <w:tabs>
          <w:tab w:val="left" w:pos="1701"/>
        </w:tabs>
        <w:spacing w:after="160" w:line="360" w:lineRule="auto"/>
        <w:ind w:right="-8" w:firstLine="567"/>
        <w:jc w:val="both"/>
        <w:rPr>
          <w:rFonts w:ascii="Sylfaen" w:hAnsi="Sylfaen"/>
          <w:sz w:val="24"/>
          <w:szCs w:val="24"/>
        </w:rPr>
      </w:pPr>
    </w:p>
    <w:p w14:paraId="3E9B1453"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1.1.3.</w:t>
      </w:r>
      <w:r w:rsidRPr="00834D52">
        <w:rPr>
          <w:rFonts w:ascii="Sylfaen" w:hAnsi="Sylfaen"/>
          <w:sz w:val="24"/>
          <w:szCs w:val="24"/>
        </w:rPr>
        <w:tab/>
        <w:t xml:space="preserve">Հայտը ներկայացվել է փոխադարձ ճանաչման ընթացակարգով գրանցման դոսյեն Եվրասիական տնտեսական միության պահանջներին համապատասխանեցնելու նպատակով՝ </w:t>
      </w:r>
    </w:p>
    <w:tbl>
      <w:tblPr>
        <w:tblW w:w="9755" w:type="dxa"/>
        <w:jc w:val="center"/>
        <w:tblLayout w:type="fixed"/>
        <w:tblCellMar>
          <w:left w:w="0" w:type="dxa"/>
          <w:right w:w="0" w:type="dxa"/>
        </w:tblCellMar>
        <w:tblLook w:val="01E0" w:firstRow="1" w:lastRow="1" w:firstColumn="1" w:lastColumn="1" w:noHBand="0" w:noVBand="0"/>
      </w:tblPr>
      <w:tblGrid>
        <w:gridCol w:w="5020"/>
        <w:gridCol w:w="4735"/>
      </w:tblGrid>
      <w:tr w:rsidR="006F76EB" w:rsidRPr="00834D52" w14:paraId="76F8BDDC" w14:textId="77777777" w:rsidTr="00D641AF">
        <w:trPr>
          <w:trHeight w:val="429"/>
          <w:jc w:val="center"/>
        </w:trPr>
        <w:tc>
          <w:tcPr>
            <w:tcW w:w="5020" w:type="dxa"/>
            <w:tcBorders>
              <w:top w:val="single" w:sz="4" w:space="0" w:color="000000"/>
              <w:left w:val="single" w:sz="4" w:space="0" w:color="000000"/>
              <w:bottom w:val="single" w:sz="4" w:space="0" w:color="000000"/>
              <w:right w:val="single" w:sz="4" w:space="0" w:color="000000"/>
            </w:tcBorders>
          </w:tcPr>
          <w:p w14:paraId="5E67897E" w14:textId="77777777" w:rsidR="006F76EB" w:rsidRPr="00834D52" w:rsidRDefault="0032680A" w:rsidP="007040C0">
            <w:pPr>
              <w:spacing w:after="120" w:line="240" w:lineRule="auto"/>
              <w:ind w:left="180" w:right="67"/>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4735" w:type="dxa"/>
            <w:tcBorders>
              <w:top w:val="single" w:sz="4" w:space="0" w:color="000000"/>
              <w:left w:val="single" w:sz="4" w:space="0" w:color="000000"/>
              <w:bottom w:val="single" w:sz="4" w:space="0" w:color="000000"/>
              <w:right w:val="single" w:sz="4" w:space="0" w:color="000000"/>
            </w:tcBorders>
          </w:tcPr>
          <w:p w14:paraId="4512A2B4" w14:textId="77777777" w:rsidR="006F76EB" w:rsidRPr="00834D52" w:rsidRDefault="006F76EB" w:rsidP="007040C0">
            <w:pPr>
              <w:spacing w:after="120" w:line="240" w:lineRule="auto"/>
              <w:ind w:right="-8"/>
              <w:rPr>
                <w:rFonts w:ascii="Sylfaen" w:hAnsi="Sylfaen"/>
                <w:sz w:val="24"/>
                <w:szCs w:val="24"/>
              </w:rPr>
            </w:pPr>
          </w:p>
        </w:tc>
      </w:tr>
      <w:tr w:rsidR="006F76EB" w:rsidRPr="00834D52" w14:paraId="582D42C4" w14:textId="77777777" w:rsidTr="00D641AF">
        <w:trPr>
          <w:trHeight w:val="771"/>
          <w:jc w:val="center"/>
        </w:trPr>
        <w:tc>
          <w:tcPr>
            <w:tcW w:w="5020" w:type="dxa"/>
            <w:tcBorders>
              <w:top w:val="single" w:sz="4" w:space="0" w:color="000000"/>
              <w:left w:val="single" w:sz="4" w:space="0" w:color="000000"/>
              <w:bottom w:val="single" w:sz="4" w:space="0" w:color="000000"/>
              <w:right w:val="single" w:sz="4" w:space="0" w:color="000000"/>
            </w:tcBorders>
          </w:tcPr>
          <w:p w14:paraId="3F98A565"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4735" w:type="dxa"/>
            <w:tcBorders>
              <w:top w:val="single" w:sz="4" w:space="0" w:color="000000"/>
              <w:left w:val="single" w:sz="4" w:space="0" w:color="000000"/>
              <w:bottom w:val="single" w:sz="4" w:space="0" w:color="000000"/>
              <w:right w:val="single" w:sz="4" w:space="0" w:color="000000"/>
            </w:tcBorders>
          </w:tcPr>
          <w:p w14:paraId="5E0DF2EC" w14:textId="77777777" w:rsidR="006F76EB" w:rsidRPr="00834D52" w:rsidRDefault="006F76EB" w:rsidP="007040C0">
            <w:pPr>
              <w:spacing w:after="120" w:line="240" w:lineRule="auto"/>
              <w:ind w:right="-8"/>
              <w:rPr>
                <w:rFonts w:ascii="Sylfaen" w:hAnsi="Sylfaen"/>
                <w:sz w:val="24"/>
                <w:szCs w:val="24"/>
              </w:rPr>
            </w:pPr>
          </w:p>
        </w:tc>
      </w:tr>
      <w:tr w:rsidR="006F76EB" w:rsidRPr="00834D52" w14:paraId="1681854D" w14:textId="77777777" w:rsidTr="00D641AF">
        <w:trPr>
          <w:trHeight w:val="446"/>
          <w:jc w:val="center"/>
        </w:trPr>
        <w:tc>
          <w:tcPr>
            <w:tcW w:w="5020" w:type="dxa"/>
            <w:tcBorders>
              <w:top w:val="single" w:sz="4" w:space="0" w:color="000000"/>
              <w:left w:val="single" w:sz="4" w:space="0" w:color="000000"/>
              <w:bottom w:val="single" w:sz="4" w:space="0" w:color="000000"/>
              <w:right w:val="single" w:sz="4" w:space="0" w:color="000000"/>
            </w:tcBorders>
          </w:tcPr>
          <w:p w14:paraId="5B673CC8"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գրանցման ամսաթիվը</w:t>
            </w:r>
          </w:p>
        </w:tc>
        <w:tc>
          <w:tcPr>
            <w:tcW w:w="4735" w:type="dxa"/>
            <w:tcBorders>
              <w:top w:val="single" w:sz="4" w:space="0" w:color="000000"/>
              <w:left w:val="single" w:sz="4" w:space="0" w:color="000000"/>
              <w:bottom w:val="single" w:sz="4" w:space="0" w:color="000000"/>
              <w:right w:val="single" w:sz="4" w:space="0" w:color="000000"/>
            </w:tcBorders>
          </w:tcPr>
          <w:p w14:paraId="2293ADDC" w14:textId="77777777" w:rsidR="006F76EB" w:rsidRPr="00834D52" w:rsidRDefault="006F76EB" w:rsidP="007040C0">
            <w:pPr>
              <w:spacing w:after="120" w:line="240" w:lineRule="auto"/>
              <w:ind w:right="-8"/>
              <w:rPr>
                <w:rFonts w:ascii="Sylfaen" w:hAnsi="Sylfaen"/>
                <w:sz w:val="24"/>
                <w:szCs w:val="24"/>
              </w:rPr>
            </w:pPr>
          </w:p>
        </w:tc>
      </w:tr>
      <w:tr w:rsidR="006F76EB" w:rsidRPr="00834D52" w14:paraId="05CA4408" w14:textId="77777777" w:rsidTr="00D641AF">
        <w:trPr>
          <w:trHeight w:val="446"/>
          <w:jc w:val="center"/>
        </w:trPr>
        <w:tc>
          <w:tcPr>
            <w:tcW w:w="5020" w:type="dxa"/>
            <w:tcBorders>
              <w:top w:val="single" w:sz="4" w:space="0" w:color="000000"/>
              <w:left w:val="single" w:sz="4" w:space="0" w:color="000000"/>
              <w:bottom w:val="single" w:sz="4" w:space="0" w:color="000000"/>
              <w:right w:val="single" w:sz="4" w:space="0" w:color="000000"/>
            </w:tcBorders>
          </w:tcPr>
          <w:p w14:paraId="01E38D2E"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735" w:type="dxa"/>
            <w:tcBorders>
              <w:top w:val="single" w:sz="4" w:space="0" w:color="000000"/>
              <w:left w:val="single" w:sz="4" w:space="0" w:color="000000"/>
              <w:bottom w:val="single" w:sz="4" w:space="0" w:color="000000"/>
              <w:right w:val="single" w:sz="4" w:space="0" w:color="000000"/>
            </w:tcBorders>
          </w:tcPr>
          <w:p w14:paraId="11ABC5A7" w14:textId="77777777" w:rsidR="006F76EB" w:rsidRPr="00834D52" w:rsidRDefault="006F76EB" w:rsidP="007040C0">
            <w:pPr>
              <w:spacing w:after="120" w:line="240" w:lineRule="auto"/>
              <w:ind w:right="-8"/>
              <w:rPr>
                <w:rFonts w:ascii="Sylfaen" w:hAnsi="Sylfaen"/>
                <w:sz w:val="24"/>
                <w:szCs w:val="24"/>
              </w:rPr>
            </w:pPr>
          </w:p>
        </w:tc>
      </w:tr>
      <w:tr w:rsidR="006F76EB" w:rsidRPr="00834D52" w14:paraId="2E73D47F" w14:textId="77777777" w:rsidTr="00D641AF">
        <w:trPr>
          <w:trHeight w:val="429"/>
          <w:jc w:val="center"/>
        </w:trPr>
        <w:tc>
          <w:tcPr>
            <w:tcW w:w="5020" w:type="dxa"/>
            <w:tcBorders>
              <w:top w:val="single" w:sz="4" w:space="0" w:color="000000"/>
              <w:left w:val="single" w:sz="4" w:space="0" w:color="000000"/>
              <w:bottom w:val="single" w:sz="4" w:space="0" w:color="000000"/>
              <w:right w:val="single" w:sz="4" w:space="0" w:color="000000"/>
            </w:tcBorders>
          </w:tcPr>
          <w:p w14:paraId="3BA09F67"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գրանցման հավաստագրի պատճենը</w:t>
            </w:r>
          </w:p>
        </w:tc>
        <w:tc>
          <w:tcPr>
            <w:tcW w:w="4735" w:type="dxa"/>
            <w:tcBorders>
              <w:top w:val="single" w:sz="4" w:space="0" w:color="000000"/>
              <w:left w:val="single" w:sz="4" w:space="0" w:color="000000"/>
              <w:bottom w:val="single" w:sz="4" w:space="0" w:color="000000"/>
              <w:right w:val="single" w:sz="4" w:space="0" w:color="000000"/>
            </w:tcBorders>
          </w:tcPr>
          <w:p w14:paraId="1C100A9C" w14:textId="77777777" w:rsidR="006F76EB" w:rsidRPr="00834D52" w:rsidRDefault="006F76EB" w:rsidP="007040C0">
            <w:pPr>
              <w:spacing w:after="120" w:line="240" w:lineRule="auto"/>
              <w:ind w:right="-8"/>
              <w:rPr>
                <w:rFonts w:ascii="Sylfaen" w:hAnsi="Sylfaen"/>
                <w:sz w:val="24"/>
                <w:szCs w:val="24"/>
              </w:rPr>
            </w:pPr>
          </w:p>
        </w:tc>
      </w:tr>
      <w:tr w:rsidR="006F76EB" w:rsidRPr="00834D52" w14:paraId="45CA5C76" w14:textId="77777777" w:rsidTr="00D641AF">
        <w:trPr>
          <w:trHeight w:val="1406"/>
          <w:jc w:val="center"/>
        </w:trPr>
        <w:tc>
          <w:tcPr>
            <w:tcW w:w="5020" w:type="dxa"/>
            <w:tcBorders>
              <w:top w:val="single" w:sz="4" w:space="0" w:color="000000"/>
              <w:left w:val="single" w:sz="4" w:space="0" w:color="000000"/>
              <w:bottom w:val="single" w:sz="4" w:space="0" w:color="000000"/>
              <w:right w:val="single" w:sz="4" w:space="0" w:color="000000"/>
            </w:tcBorders>
          </w:tcPr>
          <w:p w14:paraId="2CABCD1A"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դեղապատրաստուկի գրանցման դոսյեն Եվրասիական տնտեսական միության պահանջներին համապատասխանեցնելու հայտի նույնականացման համարը</w:t>
            </w:r>
          </w:p>
        </w:tc>
        <w:tc>
          <w:tcPr>
            <w:tcW w:w="4735" w:type="dxa"/>
            <w:tcBorders>
              <w:top w:val="single" w:sz="4" w:space="0" w:color="000000"/>
              <w:left w:val="single" w:sz="4" w:space="0" w:color="000000"/>
              <w:bottom w:val="single" w:sz="4" w:space="0" w:color="000000"/>
              <w:right w:val="single" w:sz="4" w:space="0" w:color="000000"/>
            </w:tcBorders>
          </w:tcPr>
          <w:p w14:paraId="55E8246D" w14:textId="77777777" w:rsidR="006F76EB" w:rsidRPr="00834D52" w:rsidRDefault="006F76EB" w:rsidP="007040C0">
            <w:pPr>
              <w:spacing w:after="120" w:line="240" w:lineRule="auto"/>
              <w:ind w:right="-8"/>
              <w:rPr>
                <w:rFonts w:ascii="Sylfaen" w:hAnsi="Sylfaen"/>
                <w:sz w:val="24"/>
                <w:szCs w:val="24"/>
              </w:rPr>
            </w:pPr>
          </w:p>
        </w:tc>
      </w:tr>
      <w:tr w:rsidR="006F76EB" w:rsidRPr="00834D52" w14:paraId="5AB0B096" w14:textId="77777777" w:rsidTr="00D641AF">
        <w:trPr>
          <w:trHeight w:val="1406"/>
          <w:jc w:val="center"/>
        </w:trPr>
        <w:tc>
          <w:tcPr>
            <w:tcW w:w="5020" w:type="dxa"/>
            <w:tcBorders>
              <w:top w:val="single" w:sz="4" w:space="0" w:color="000000"/>
              <w:left w:val="single" w:sz="4" w:space="0" w:color="000000"/>
              <w:bottom w:val="single" w:sz="4" w:space="0" w:color="000000"/>
              <w:right w:val="single" w:sz="4" w:space="0" w:color="000000"/>
            </w:tcBorders>
          </w:tcPr>
          <w:p w14:paraId="7F4A0629"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lastRenderedPageBreak/>
              <w:t>Եվրասիական տնտեսական միության անդամ պետությունները, որտեղ դեղապատրաստուկն արդեն գրանցվել է (առկայության դեպքում)</w:t>
            </w:r>
          </w:p>
        </w:tc>
        <w:tc>
          <w:tcPr>
            <w:tcW w:w="4735" w:type="dxa"/>
            <w:tcBorders>
              <w:top w:val="single" w:sz="4" w:space="0" w:color="000000"/>
              <w:left w:val="single" w:sz="4" w:space="0" w:color="000000"/>
              <w:bottom w:val="single" w:sz="4" w:space="0" w:color="000000"/>
              <w:right w:val="single" w:sz="4" w:space="0" w:color="000000"/>
            </w:tcBorders>
          </w:tcPr>
          <w:p w14:paraId="55DB574B" w14:textId="77777777" w:rsidR="006F76EB" w:rsidRPr="00834D52" w:rsidRDefault="006F76EB" w:rsidP="007040C0">
            <w:pPr>
              <w:spacing w:after="120" w:line="240" w:lineRule="auto"/>
              <w:ind w:right="-8"/>
              <w:rPr>
                <w:rFonts w:ascii="Sylfaen" w:hAnsi="Sylfaen"/>
                <w:sz w:val="24"/>
                <w:szCs w:val="24"/>
              </w:rPr>
            </w:pPr>
          </w:p>
        </w:tc>
      </w:tr>
      <w:tr w:rsidR="006F76EB" w:rsidRPr="00834D52" w14:paraId="34EDA1FA" w14:textId="77777777" w:rsidTr="00D641AF">
        <w:trPr>
          <w:trHeight w:val="977"/>
          <w:jc w:val="center"/>
        </w:trPr>
        <w:tc>
          <w:tcPr>
            <w:tcW w:w="5020" w:type="dxa"/>
            <w:tcBorders>
              <w:top w:val="single" w:sz="4" w:space="0" w:color="000000"/>
              <w:left w:val="single" w:sz="4" w:space="0" w:color="000000"/>
              <w:bottom w:val="single" w:sz="4" w:space="0" w:color="000000"/>
              <w:right w:val="single" w:sz="4" w:space="0" w:color="000000"/>
            </w:tcBorders>
          </w:tcPr>
          <w:p w14:paraId="47734A40"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որտեղ դեղապատրաստուկն արդեն գրանցվել է (</w:t>
            </w:r>
            <w:r w:rsidR="0032680A">
              <w:rPr>
                <w:rFonts w:ascii="Sylfaen" w:hAnsi="Sylfaen"/>
                <w:sz w:val="24"/>
                <w:szCs w:val="24"/>
              </w:rPr>
              <w:t xml:space="preserve">ռեֆերենտ </w:t>
            </w:r>
            <w:r w:rsidRPr="00834D52">
              <w:rPr>
                <w:rFonts w:ascii="Sylfaen" w:hAnsi="Sylfaen"/>
                <w:sz w:val="24"/>
                <w:szCs w:val="24"/>
              </w:rPr>
              <w:t>պետությունում գրանցված առ</w:t>
            </w:r>
            <w:r w:rsidR="00C54D75">
              <w:rPr>
                <w:rFonts w:ascii="Sylfaen" w:hAnsi="Sylfaen"/>
                <w:sz w:val="24"/>
                <w:szCs w:val="24"/>
              </w:rPr>
              <w:t>և</w:t>
            </w:r>
            <w:r w:rsidRPr="00834D52">
              <w:rPr>
                <w:rFonts w:ascii="Sylfaen" w:hAnsi="Sylfaen"/>
                <w:sz w:val="24"/>
                <w:szCs w:val="24"/>
              </w:rPr>
              <w:t>տրային անվանումից տարբերվելու դեպքում)</w:t>
            </w:r>
          </w:p>
        </w:tc>
        <w:tc>
          <w:tcPr>
            <w:tcW w:w="4735" w:type="dxa"/>
            <w:tcBorders>
              <w:top w:val="single" w:sz="4" w:space="0" w:color="000000"/>
              <w:left w:val="single" w:sz="4" w:space="0" w:color="000000"/>
              <w:bottom w:val="single" w:sz="4" w:space="0" w:color="000000"/>
              <w:right w:val="single" w:sz="4" w:space="0" w:color="000000"/>
            </w:tcBorders>
          </w:tcPr>
          <w:p w14:paraId="2CF45856" w14:textId="77777777" w:rsidR="006F76EB" w:rsidRPr="00834D52" w:rsidRDefault="006F76EB" w:rsidP="007040C0">
            <w:pPr>
              <w:spacing w:after="120" w:line="240" w:lineRule="auto"/>
              <w:ind w:right="-8"/>
              <w:rPr>
                <w:rFonts w:ascii="Sylfaen" w:hAnsi="Sylfaen"/>
                <w:sz w:val="24"/>
                <w:szCs w:val="24"/>
              </w:rPr>
            </w:pPr>
          </w:p>
        </w:tc>
      </w:tr>
      <w:tr w:rsidR="006F76EB" w:rsidRPr="00834D52" w14:paraId="0795494F" w14:textId="77777777" w:rsidTr="00D641AF">
        <w:trPr>
          <w:trHeight w:val="1081"/>
          <w:jc w:val="center"/>
        </w:trPr>
        <w:tc>
          <w:tcPr>
            <w:tcW w:w="5020" w:type="dxa"/>
            <w:tcBorders>
              <w:top w:val="single" w:sz="4" w:space="0" w:color="000000"/>
              <w:left w:val="single" w:sz="4" w:space="0" w:color="000000"/>
              <w:bottom w:val="single" w:sz="4" w:space="0" w:color="000000"/>
              <w:right w:val="single" w:sz="4" w:space="0" w:color="000000"/>
            </w:tcBorders>
          </w:tcPr>
          <w:p w14:paraId="1B6BB948"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ճանաչման պետություններում գրանցման ամսաթիվը, եթե դեղապատրաստուկը գրանցված է</w:t>
            </w:r>
          </w:p>
        </w:tc>
        <w:tc>
          <w:tcPr>
            <w:tcW w:w="4735" w:type="dxa"/>
            <w:tcBorders>
              <w:top w:val="single" w:sz="4" w:space="0" w:color="000000"/>
              <w:left w:val="single" w:sz="4" w:space="0" w:color="000000"/>
              <w:bottom w:val="single" w:sz="4" w:space="0" w:color="000000"/>
              <w:right w:val="single" w:sz="4" w:space="0" w:color="000000"/>
            </w:tcBorders>
          </w:tcPr>
          <w:p w14:paraId="0EAFC13F" w14:textId="77777777" w:rsidR="006F76EB" w:rsidRPr="00834D52" w:rsidRDefault="006F76EB" w:rsidP="007040C0">
            <w:pPr>
              <w:spacing w:after="120" w:line="240" w:lineRule="auto"/>
              <w:ind w:right="-8"/>
              <w:rPr>
                <w:rFonts w:ascii="Sylfaen" w:hAnsi="Sylfaen"/>
                <w:sz w:val="24"/>
                <w:szCs w:val="24"/>
              </w:rPr>
            </w:pPr>
          </w:p>
        </w:tc>
      </w:tr>
      <w:tr w:rsidR="006F76EB" w:rsidRPr="00834D52" w14:paraId="30685FE9" w14:textId="77777777" w:rsidTr="00D641AF">
        <w:trPr>
          <w:trHeight w:val="771"/>
          <w:jc w:val="center"/>
        </w:trPr>
        <w:tc>
          <w:tcPr>
            <w:tcW w:w="5020" w:type="dxa"/>
            <w:tcBorders>
              <w:top w:val="single" w:sz="4" w:space="0" w:color="000000"/>
              <w:left w:val="single" w:sz="4" w:space="0" w:color="000000"/>
              <w:bottom w:val="single" w:sz="4" w:space="0" w:color="000000"/>
              <w:right w:val="single" w:sz="4" w:space="0" w:color="000000"/>
            </w:tcBorders>
          </w:tcPr>
          <w:p w14:paraId="052A10C1" w14:textId="77777777" w:rsidR="006F76EB" w:rsidRPr="00834D52" w:rsidRDefault="006F76EB" w:rsidP="007040C0">
            <w:pPr>
              <w:spacing w:after="120" w:line="240" w:lineRule="auto"/>
              <w:ind w:left="180" w:right="67"/>
              <w:rPr>
                <w:rFonts w:ascii="Sylfaen" w:eastAsia="Times New Roman" w:hAnsi="Sylfaen" w:cs="Times New Roman"/>
                <w:sz w:val="24"/>
                <w:szCs w:val="24"/>
              </w:rPr>
            </w:pPr>
            <w:r w:rsidRPr="00834D52">
              <w:rPr>
                <w:rFonts w:ascii="Sylfaen" w:hAnsi="Sylfaen"/>
                <w:sz w:val="24"/>
                <w:szCs w:val="24"/>
              </w:rPr>
              <w:t>գրանցման հավաստագրի համարը ճանաչման պետություններում</w:t>
            </w:r>
          </w:p>
        </w:tc>
        <w:tc>
          <w:tcPr>
            <w:tcW w:w="4735" w:type="dxa"/>
            <w:tcBorders>
              <w:top w:val="single" w:sz="4" w:space="0" w:color="000000"/>
              <w:left w:val="single" w:sz="4" w:space="0" w:color="000000"/>
              <w:bottom w:val="single" w:sz="4" w:space="0" w:color="000000"/>
              <w:right w:val="single" w:sz="4" w:space="0" w:color="000000"/>
            </w:tcBorders>
          </w:tcPr>
          <w:p w14:paraId="39D1604E" w14:textId="77777777" w:rsidR="006F76EB" w:rsidRPr="00834D52" w:rsidRDefault="006F76EB" w:rsidP="007040C0">
            <w:pPr>
              <w:spacing w:after="120" w:line="240" w:lineRule="auto"/>
              <w:ind w:right="-8"/>
              <w:rPr>
                <w:rFonts w:ascii="Sylfaen" w:hAnsi="Sylfaen"/>
                <w:sz w:val="24"/>
                <w:szCs w:val="24"/>
              </w:rPr>
            </w:pPr>
          </w:p>
        </w:tc>
      </w:tr>
    </w:tbl>
    <w:p w14:paraId="2F3443BD" w14:textId="77777777" w:rsidR="006F76EB" w:rsidRPr="00834D52" w:rsidRDefault="006F76EB" w:rsidP="006F76EB">
      <w:pPr>
        <w:spacing w:after="160" w:line="360" w:lineRule="auto"/>
        <w:ind w:right="-8" w:firstLine="567"/>
        <w:jc w:val="both"/>
        <w:rPr>
          <w:rFonts w:ascii="Sylfaen" w:hAnsi="Sylfaen"/>
          <w:sz w:val="24"/>
          <w:szCs w:val="24"/>
        </w:rPr>
      </w:pPr>
    </w:p>
    <w:p w14:paraId="0317783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Ծանոթագրություն: Բաժինը պետք է լրացվի ցանկացած հայտի համար՝ ներառյալ այն հայտերը, որոնց հղում է կատարվում այս բաժնում:</w:t>
      </w:r>
    </w:p>
    <w:p w14:paraId="366A8AB3"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համապատասխան տեսակի համար հայտ ներկայացնելու դեպքում հայտի մնացած բաժինները, որոնք վերաբերում են այլ դեղապատրաստուկների, չեն լրացվում:</w:t>
      </w:r>
    </w:p>
    <w:p w14:paraId="3057D6E3" w14:textId="77777777" w:rsidR="006F76EB" w:rsidRPr="00834D52" w:rsidRDefault="006F76EB" w:rsidP="006F76EB">
      <w:pPr>
        <w:spacing w:after="160" w:line="360" w:lineRule="auto"/>
        <w:rPr>
          <w:rFonts w:ascii="Sylfaen" w:eastAsia="Times New Roman" w:hAnsi="Sylfaen" w:cs="Times New Roman"/>
          <w:sz w:val="24"/>
          <w:szCs w:val="24"/>
        </w:rPr>
      </w:pPr>
      <w:r w:rsidRPr="00834D52">
        <w:rPr>
          <w:rFonts w:ascii="Sylfaen" w:hAnsi="Sylfaen"/>
          <w:sz w:val="24"/>
          <w:szCs w:val="24"/>
        </w:rPr>
        <w:br w:type="page"/>
      </w:r>
    </w:p>
    <w:p w14:paraId="34DB957D"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lastRenderedPageBreak/>
        <w:pict w14:anchorId="2B7647EE">
          <v:rect id="_x0000_s1026" style="position:absolute;left:0;text-align:left;margin-left:114.35pt;margin-top:2.35pt;width:12.75pt;height:12pt;z-index:251517440"/>
        </w:pict>
      </w:r>
      <w:r w:rsidR="006F76EB" w:rsidRPr="00834D52">
        <w:rPr>
          <w:rFonts w:ascii="Sylfaen" w:hAnsi="Sylfaen"/>
          <w:sz w:val="24"/>
          <w:szCs w:val="24"/>
        </w:rPr>
        <w:t>ՕՐԻԳԻՆԱԼ ԴԵՂԱՊԱՏՐԱՍՏՈՒԿ</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3399"/>
        <w:gridCol w:w="513"/>
        <w:gridCol w:w="4784"/>
      </w:tblGrid>
      <w:tr w:rsidR="006F76EB" w:rsidRPr="00834D52" w14:paraId="621F28BA" w14:textId="77777777" w:rsidTr="00F71229">
        <w:trPr>
          <w:jc w:val="center"/>
        </w:trPr>
        <w:tc>
          <w:tcPr>
            <w:tcW w:w="604" w:type="dxa"/>
          </w:tcPr>
          <w:p w14:paraId="670299C6" w14:textId="77777777" w:rsidR="006F76EB" w:rsidRPr="00834D52" w:rsidRDefault="00157FD9" w:rsidP="00F71229">
            <w:pPr>
              <w:spacing w:after="160" w:line="360" w:lineRule="auto"/>
              <w:ind w:right="-8"/>
              <w:rPr>
                <w:rFonts w:ascii="Sylfaen" w:eastAsia="Times New Roman" w:hAnsi="Sylfaen" w:cs="Times New Roman"/>
                <w:sz w:val="24"/>
                <w:szCs w:val="24"/>
              </w:rPr>
            </w:pPr>
            <w:r>
              <w:rPr>
                <w:rFonts w:ascii="Sylfaen" w:hAnsi="Sylfaen"/>
                <w:noProof/>
                <w:sz w:val="24"/>
                <w:szCs w:val="24"/>
              </w:rPr>
              <w:pict w14:anchorId="73B22DE1">
                <v:rect id="_x0000_s1027" style="position:absolute;margin-left:3pt;margin-top:4.65pt;width:12.75pt;height:12pt;z-index:251518464"/>
              </w:pict>
            </w:r>
          </w:p>
        </w:tc>
        <w:tc>
          <w:tcPr>
            <w:tcW w:w="3399" w:type="dxa"/>
          </w:tcPr>
          <w:p w14:paraId="69D23810"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կենսաբանական դեղապատրաստուկ</w:t>
            </w:r>
          </w:p>
        </w:tc>
        <w:tc>
          <w:tcPr>
            <w:tcW w:w="513" w:type="dxa"/>
          </w:tcPr>
          <w:p w14:paraId="40BDB6AC" w14:textId="77777777" w:rsidR="006F76EB" w:rsidRPr="00834D52" w:rsidRDefault="00157FD9" w:rsidP="00F71229">
            <w:pPr>
              <w:spacing w:after="160" w:line="360" w:lineRule="auto"/>
              <w:ind w:right="-8"/>
              <w:rPr>
                <w:rFonts w:ascii="Sylfaen" w:eastAsia="Times New Roman" w:hAnsi="Sylfaen" w:cs="Times New Roman"/>
                <w:sz w:val="24"/>
                <w:szCs w:val="24"/>
              </w:rPr>
            </w:pPr>
            <w:r>
              <w:rPr>
                <w:rFonts w:ascii="Sylfaen" w:eastAsia="Times New Roman" w:hAnsi="Sylfaen" w:cs="Times New Roman"/>
                <w:noProof/>
                <w:sz w:val="24"/>
                <w:szCs w:val="24"/>
              </w:rPr>
              <w:pict w14:anchorId="15970854">
                <v:rect id="_x0000_s1028" style="position:absolute;margin-left:-.55pt;margin-top:4.65pt;width:12.75pt;height:12pt;z-index:251519488;mso-position-horizontal-relative:text;mso-position-vertical-relative:text"/>
              </w:pict>
            </w:r>
          </w:p>
        </w:tc>
        <w:tc>
          <w:tcPr>
            <w:tcW w:w="4784" w:type="dxa"/>
          </w:tcPr>
          <w:p w14:paraId="4915BDCC"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այլ դեղապատրաստուկ</w:t>
            </w:r>
          </w:p>
        </w:tc>
      </w:tr>
      <w:tr w:rsidR="006F76EB" w:rsidRPr="00834D52" w14:paraId="182231E1" w14:textId="77777777" w:rsidTr="00F71229">
        <w:trPr>
          <w:jc w:val="center"/>
        </w:trPr>
        <w:tc>
          <w:tcPr>
            <w:tcW w:w="604" w:type="dxa"/>
          </w:tcPr>
          <w:p w14:paraId="606A5DCE" w14:textId="77777777" w:rsidR="006F76EB" w:rsidRPr="00834D52" w:rsidRDefault="00157FD9" w:rsidP="00F71229">
            <w:pPr>
              <w:spacing w:after="160" w:line="360" w:lineRule="auto"/>
              <w:ind w:right="-8"/>
              <w:rPr>
                <w:rFonts w:ascii="Sylfaen" w:hAnsi="Sylfaen"/>
                <w:noProof/>
                <w:sz w:val="24"/>
                <w:szCs w:val="24"/>
              </w:rPr>
            </w:pPr>
            <w:r>
              <w:rPr>
                <w:rFonts w:ascii="Sylfaen" w:eastAsia="Times New Roman" w:hAnsi="Sylfaen" w:cs="Times New Roman"/>
                <w:noProof/>
                <w:sz w:val="24"/>
                <w:szCs w:val="24"/>
              </w:rPr>
              <w:pict w14:anchorId="5E272E18">
                <v:rect id="_x0000_s1029" style="position:absolute;margin-left:2.25pt;margin-top:3.95pt;width:12.75pt;height:12pt;z-index:251520512;mso-position-horizontal-relative:text;mso-position-vertical-relative:text"/>
              </w:pict>
            </w:r>
          </w:p>
        </w:tc>
        <w:tc>
          <w:tcPr>
            <w:tcW w:w="8696" w:type="dxa"/>
            <w:gridSpan w:val="3"/>
          </w:tcPr>
          <w:p w14:paraId="6B9D99CD"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նոր ակտիվ դեղագործական բաղադրամաս (այսուհետ՝ ԱԴԲ)</w:t>
            </w:r>
          </w:p>
        </w:tc>
      </w:tr>
    </w:tbl>
    <w:p w14:paraId="72E0477F" w14:textId="77777777" w:rsidR="006F76EB" w:rsidRPr="00834D52" w:rsidRDefault="006F76EB" w:rsidP="005A5E5E">
      <w:pPr>
        <w:spacing w:after="160" w:line="480" w:lineRule="auto"/>
        <w:ind w:right="-8" w:firstLine="567"/>
        <w:jc w:val="both"/>
        <w:rPr>
          <w:rFonts w:ascii="Sylfaen" w:hAnsi="Sylfaen"/>
          <w:sz w:val="24"/>
          <w:szCs w:val="24"/>
        </w:rPr>
      </w:pPr>
    </w:p>
    <w:p w14:paraId="2123CD4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ԱԴԲ-ի վերաբերյալ տեղեկությունները բացակայում են:</w:t>
      </w:r>
    </w:p>
    <w:p w14:paraId="7586ACE6" w14:textId="77777777" w:rsidR="006F76EB" w:rsidRPr="00834D52" w:rsidRDefault="00157FD9" w:rsidP="006F76EB">
      <w:pPr>
        <w:spacing w:after="160" w:line="360" w:lineRule="auto"/>
        <w:ind w:left="567" w:right="-8"/>
        <w:rPr>
          <w:rFonts w:ascii="Sylfaen" w:eastAsia="Times New Roman" w:hAnsi="Sylfaen" w:cs="Times New Roman"/>
          <w:sz w:val="24"/>
          <w:szCs w:val="24"/>
        </w:rPr>
      </w:pPr>
      <w:r>
        <w:rPr>
          <w:rFonts w:ascii="Sylfaen" w:eastAsia="Times New Roman" w:hAnsi="Sylfaen" w:cs="Times New Roman"/>
          <w:noProof/>
          <w:sz w:val="24"/>
          <w:szCs w:val="24"/>
        </w:rPr>
        <w:pict w14:anchorId="202035AC">
          <v:rect id="_x0000_s1030" style="position:absolute;left:0;text-align:left;margin-left:2.25pt;margin-top:2.9pt;width:12.75pt;height:12pt;z-index:251521536"/>
        </w:pict>
      </w:r>
      <w:r w:rsidR="006F76EB" w:rsidRPr="00834D52">
        <w:rPr>
          <w:rFonts w:ascii="Sylfaen" w:hAnsi="Sylfaen"/>
          <w:sz w:val="24"/>
          <w:szCs w:val="24"/>
        </w:rPr>
        <w:t>հայտնի ԱԴԲ-ն</w:t>
      </w:r>
    </w:p>
    <w:p w14:paraId="4AA3F5C8"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ԱԴԲ-ի վերաբերյալ տեղեկություններ կան</w:t>
      </w:r>
    </w:p>
    <w:p w14:paraId="0F18C7CF" w14:textId="77777777" w:rsidR="006F76EB" w:rsidRPr="00834D52" w:rsidRDefault="006F76EB" w:rsidP="005A5E5E">
      <w:pPr>
        <w:spacing w:after="160" w:line="480" w:lineRule="auto"/>
        <w:ind w:right="-6" w:firstLine="567"/>
        <w:jc w:val="both"/>
        <w:rPr>
          <w:rFonts w:ascii="Sylfaen" w:eastAsia="Times New Roman" w:hAnsi="Sylfaen" w:cs="Times New Roman"/>
          <w:sz w:val="24"/>
          <w:szCs w:val="24"/>
        </w:rPr>
      </w:pPr>
    </w:p>
    <w:p w14:paraId="44B614FC"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0EB7D0FE">
          <v:rect id="_x0000_s1031" style="position:absolute;left:0;text-align:left;margin-left:96.75pt;margin-top:2.9pt;width:12.75pt;height:12pt;z-index:251522560"/>
        </w:pict>
      </w:r>
      <w:r w:rsidR="006F76EB" w:rsidRPr="00834D52">
        <w:rPr>
          <w:rFonts w:ascii="Sylfaen" w:hAnsi="Sylfaen"/>
          <w:sz w:val="24"/>
          <w:szCs w:val="24"/>
        </w:rPr>
        <w:t>ՎԵՐԱՐՏԱԴՐՎԱԾ ԴԵՂԱՊԱՏՐԱՍՏՈՒԿ</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3377"/>
        <w:gridCol w:w="510"/>
        <w:gridCol w:w="4798"/>
      </w:tblGrid>
      <w:tr w:rsidR="006F76EB" w:rsidRPr="00834D52" w14:paraId="656CC7B3" w14:textId="77777777" w:rsidTr="00F71229">
        <w:trPr>
          <w:jc w:val="center"/>
        </w:trPr>
        <w:tc>
          <w:tcPr>
            <w:tcW w:w="601" w:type="dxa"/>
          </w:tcPr>
          <w:p w14:paraId="184FD7A6" w14:textId="77777777" w:rsidR="006F76EB" w:rsidRPr="00834D52" w:rsidRDefault="00157FD9" w:rsidP="00F71229">
            <w:pPr>
              <w:spacing w:after="160" w:line="360" w:lineRule="auto"/>
              <w:ind w:right="-8"/>
              <w:rPr>
                <w:rFonts w:ascii="Sylfaen" w:eastAsia="Times New Roman" w:hAnsi="Sylfaen" w:cs="Times New Roman"/>
                <w:sz w:val="24"/>
                <w:szCs w:val="24"/>
              </w:rPr>
            </w:pPr>
            <w:r>
              <w:rPr>
                <w:rFonts w:ascii="Sylfaen" w:hAnsi="Sylfaen"/>
                <w:noProof/>
                <w:sz w:val="24"/>
                <w:szCs w:val="24"/>
              </w:rPr>
              <w:pict w14:anchorId="3CD95B05">
                <v:rect id="_x0000_s1032" style="position:absolute;margin-left:3pt;margin-top:4.65pt;width:12.75pt;height:12pt;z-index:251523584"/>
              </w:pict>
            </w:r>
          </w:p>
        </w:tc>
        <w:tc>
          <w:tcPr>
            <w:tcW w:w="3377" w:type="dxa"/>
          </w:tcPr>
          <w:p w14:paraId="4A10B573"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միաբաղադրիչ</w:t>
            </w:r>
          </w:p>
        </w:tc>
        <w:tc>
          <w:tcPr>
            <w:tcW w:w="510" w:type="dxa"/>
          </w:tcPr>
          <w:p w14:paraId="7E0DD4D1" w14:textId="77777777" w:rsidR="006F76EB" w:rsidRPr="00834D52" w:rsidRDefault="00157FD9" w:rsidP="00F71229">
            <w:pPr>
              <w:spacing w:after="160" w:line="360" w:lineRule="auto"/>
              <w:ind w:right="-8"/>
              <w:rPr>
                <w:rFonts w:ascii="Sylfaen" w:eastAsia="Times New Roman" w:hAnsi="Sylfaen" w:cs="Times New Roman"/>
                <w:sz w:val="24"/>
                <w:szCs w:val="24"/>
              </w:rPr>
            </w:pPr>
            <w:r>
              <w:rPr>
                <w:rFonts w:ascii="Sylfaen" w:eastAsia="Times New Roman" w:hAnsi="Sylfaen" w:cs="Times New Roman"/>
                <w:noProof/>
                <w:sz w:val="24"/>
                <w:szCs w:val="24"/>
              </w:rPr>
              <w:pict w14:anchorId="798591E0">
                <v:rect id="_x0000_s1033" style="position:absolute;margin-left:-.55pt;margin-top:4.65pt;width:12.75pt;height:12pt;z-index:251524608;mso-position-horizontal-relative:text;mso-position-vertical-relative:text"/>
              </w:pict>
            </w:r>
          </w:p>
        </w:tc>
        <w:tc>
          <w:tcPr>
            <w:tcW w:w="4798" w:type="dxa"/>
          </w:tcPr>
          <w:p w14:paraId="73AA402C"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բազմաբաղադրիչ</w:t>
            </w:r>
          </w:p>
        </w:tc>
      </w:tr>
    </w:tbl>
    <w:p w14:paraId="193617A3" w14:textId="77777777" w:rsidR="006F76EB" w:rsidRPr="00834D52" w:rsidRDefault="006F76EB" w:rsidP="005A5E5E">
      <w:pPr>
        <w:spacing w:after="160" w:line="480" w:lineRule="auto"/>
        <w:ind w:right="-6"/>
        <w:rPr>
          <w:rFonts w:ascii="Sylfaen" w:hAnsi="Sylfaen"/>
          <w:sz w:val="24"/>
          <w:szCs w:val="24"/>
          <w:lang w:val="en-US"/>
        </w:rPr>
      </w:pPr>
    </w:p>
    <w:p w14:paraId="4B359A7C" w14:textId="77777777" w:rsidR="006F76EB" w:rsidRPr="00834D52" w:rsidRDefault="006F76EB" w:rsidP="006F76EB">
      <w:pPr>
        <w:spacing w:after="160" w:line="348" w:lineRule="auto"/>
        <w:ind w:right="-8" w:firstLine="567"/>
        <w:rPr>
          <w:rFonts w:ascii="Sylfaen" w:eastAsia="Times New Roman" w:hAnsi="Sylfaen" w:cs="Times New Roman"/>
          <w:sz w:val="24"/>
          <w:szCs w:val="24"/>
        </w:rPr>
      </w:pPr>
      <w:r w:rsidRPr="00834D52">
        <w:rPr>
          <w:rFonts w:ascii="Sylfaen" w:hAnsi="Sylfaen"/>
          <w:sz w:val="24"/>
          <w:szCs w:val="24"/>
        </w:rPr>
        <w:t>Օրիգինալ դեղապատրաստուկ՝</w:t>
      </w:r>
    </w:p>
    <w:tbl>
      <w:tblPr>
        <w:tblW w:w="9788" w:type="dxa"/>
        <w:jc w:val="center"/>
        <w:tblLayout w:type="fixed"/>
        <w:tblCellMar>
          <w:left w:w="0" w:type="dxa"/>
          <w:right w:w="0" w:type="dxa"/>
        </w:tblCellMar>
        <w:tblLook w:val="01E0" w:firstRow="1" w:lastRow="1" w:firstColumn="1" w:lastColumn="1" w:noHBand="0" w:noVBand="0"/>
      </w:tblPr>
      <w:tblGrid>
        <w:gridCol w:w="5518"/>
        <w:gridCol w:w="4270"/>
      </w:tblGrid>
      <w:tr w:rsidR="006F76EB" w:rsidRPr="00834D52" w14:paraId="2142B165" w14:textId="77777777" w:rsidTr="00F71229">
        <w:trPr>
          <w:jc w:val="center"/>
        </w:trPr>
        <w:tc>
          <w:tcPr>
            <w:tcW w:w="5518" w:type="dxa"/>
            <w:tcBorders>
              <w:top w:val="single" w:sz="4" w:space="0" w:color="000000"/>
              <w:left w:val="single" w:sz="4" w:space="0" w:color="000000"/>
              <w:bottom w:val="single" w:sz="4" w:space="0" w:color="000000"/>
              <w:right w:val="single" w:sz="4" w:space="0" w:color="000000"/>
            </w:tcBorders>
          </w:tcPr>
          <w:p w14:paraId="627471D1" w14:textId="77777777" w:rsidR="006F76EB" w:rsidRPr="00834D52" w:rsidRDefault="006F76EB" w:rsidP="007040C0">
            <w:pPr>
              <w:spacing w:after="120" w:line="240" w:lineRule="auto"/>
              <w:ind w:left="180" w:right="61"/>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4270" w:type="dxa"/>
            <w:tcBorders>
              <w:top w:val="single" w:sz="4" w:space="0" w:color="000000"/>
              <w:left w:val="single" w:sz="4" w:space="0" w:color="000000"/>
              <w:bottom w:val="single" w:sz="4" w:space="0" w:color="000000"/>
              <w:right w:val="single" w:sz="4" w:space="0" w:color="000000"/>
            </w:tcBorders>
          </w:tcPr>
          <w:p w14:paraId="283F58E9" w14:textId="77777777" w:rsidR="006F76EB" w:rsidRPr="00834D52" w:rsidRDefault="006F76EB" w:rsidP="007040C0">
            <w:pPr>
              <w:spacing w:after="120" w:line="240" w:lineRule="auto"/>
              <w:ind w:right="-8"/>
              <w:rPr>
                <w:rFonts w:ascii="Sylfaen" w:hAnsi="Sylfaen"/>
                <w:sz w:val="24"/>
                <w:szCs w:val="24"/>
              </w:rPr>
            </w:pPr>
          </w:p>
        </w:tc>
      </w:tr>
      <w:tr w:rsidR="006F76EB" w:rsidRPr="00834D52" w14:paraId="61D16C03" w14:textId="77777777" w:rsidTr="00F71229">
        <w:trPr>
          <w:jc w:val="center"/>
        </w:trPr>
        <w:tc>
          <w:tcPr>
            <w:tcW w:w="5518" w:type="dxa"/>
            <w:tcBorders>
              <w:top w:val="single" w:sz="4" w:space="0" w:color="000000"/>
              <w:left w:val="single" w:sz="4" w:space="0" w:color="000000"/>
              <w:bottom w:val="single" w:sz="4" w:space="0" w:color="000000"/>
              <w:right w:val="single" w:sz="4" w:space="0" w:color="000000"/>
            </w:tcBorders>
          </w:tcPr>
          <w:p w14:paraId="169C45DD" w14:textId="77777777" w:rsidR="006F76EB" w:rsidRPr="00834D52" w:rsidRDefault="006F76EB" w:rsidP="007040C0">
            <w:pPr>
              <w:spacing w:after="120" w:line="240" w:lineRule="auto"/>
              <w:ind w:left="180" w:right="61"/>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w:t>
            </w:r>
            <w:r w:rsidRPr="00834D52">
              <w:rPr>
                <w:rFonts w:ascii="Sylfaen" w:hAnsi="Sylfaen"/>
                <w:sz w:val="24"/>
                <w:szCs w:val="24"/>
              </w:rPr>
              <w:lastRenderedPageBreak/>
              <w:t>անդամ պետությունները, որտեղ գրանցվել է օրիգինալ դեղապատրաստուկը</w:t>
            </w:r>
          </w:p>
        </w:tc>
        <w:tc>
          <w:tcPr>
            <w:tcW w:w="4270" w:type="dxa"/>
            <w:tcBorders>
              <w:top w:val="single" w:sz="4" w:space="0" w:color="000000"/>
              <w:left w:val="single" w:sz="4" w:space="0" w:color="000000"/>
              <w:bottom w:val="single" w:sz="4" w:space="0" w:color="000000"/>
              <w:right w:val="single" w:sz="4" w:space="0" w:color="000000"/>
            </w:tcBorders>
          </w:tcPr>
          <w:p w14:paraId="0430DE6B" w14:textId="77777777" w:rsidR="006F76EB" w:rsidRPr="00834D52" w:rsidRDefault="006F76EB" w:rsidP="007040C0">
            <w:pPr>
              <w:spacing w:after="120" w:line="240" w:lineRule="auto"/>
              <w:ind w:right="-8"/>
              <w:rPr>
                <w:rFonts w:ascii="Sylfaen" w:hAnsi="Sylfaen"/>
                <w:sz w:val="24"/>
                <w:szCs w:val="24"/>
              </w:rPr>
            </w:pPr>
          </w:p>
        </w:tc>
      </w:tr>
    </w:tbl>
    <w:p w14:paraId="3A299152" w14:textId="77777777" w:rsidR="006F76EB" w:rsidRPr="00834D52" w:rsidRDefault="0032680A" w:rsidP="006F76EB">
      <w:pPr>
        <w:spacing w:after="160" w:line="348" w:lineRule="auto"/>
        <w:ind w:right="-8" w:firstLine="567"/>
        <w:jc w:val="both"/>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դեղապատրաստուկը, որն օգտագործվել է համարժեքության հետազոտություններում (եթե այդպիսիք անցկացվել են)՝</w:t>
      </w:r>
    </w:p>
    <w:tbl>
      <w:tblPr>
        <w:tblStyle w:val="TableGrid"/>
        <w:tblW w:w="9785" w:type="dxa"/>
        <w:jc w:val="center"/>
        <w:tblLook w:val="04A0" w:firstRow="1" w:lastRow="0" w:firstColumn="1" w:lastColumn="0" w:noHBand="0" w:noVBand="1"/>
      </w:tblPr>
      <w:tblGrid>
        <w:gridCol w:w="5544"/>
        <w:gridCol w:w="4241"/>
      </w:tblGrid>
      <w:tr w:rsidR="006F76EB" w:rsidRPr="00834D52" w14:paraId="6183EEF5" w14:textId="77777777" w:rsidTr="00F71229">
        <w:trPr>
          <w:jc w:val="center"/>
        </w:trPr>
        <w:tc>
          <w:tcPr>
            <w:tcW w:w="5544" w:type="dxa"/>
          </w:tcPr>
          <w:p w14:paraId="67B8D5A5" w14:textId="77777777" w:rsidR="006F76EB" w:rsidRPr="00834D52" w:rsidRDefault="006F76EB" w:rsidP="00986B92">
            <w:pPr>
              <w:spacing w:after="120"/>
              <w:ind w:left="86" w:right="-6"/>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4241" w:type="dxa"/>
          </w:tcPr>
          <w:p w14:paraId="38E9197F" w14:textId="77777777" w:rsidR="006F76EB" w:rsidRPr="00834D52" w:rsidRDefault="006F76EB" w:rsidP="00986B92">
            <w:pPr>
              <w:spacing w:after="120"/>
              <w:ind w:right="-6"/>
              <w:rPr>
                <w:rFonts w:ascii="Sylfaen" w:eastAsia="Times New Roman" w:hAnsi="Sylfaen" w:cs="Times New Roman"/>
                <w:sz w:val="24"/>
                <w:szCs w:val="24"/>
              </w:rPr>
            </w:pPr>
          </w:p>
        </w:tc>
      </w:tr>
      <w:tr w:rsidR="006F76EB" w:rsidRPr="00834D52" w14:paraId="3DDCD8CA" w14:textId="77777777" w:rsidTr="00F71229">
        <w:trPr>
          <w:jc w:val="center"/>
        </w:trPr>
        <w:tc>
          <w:tcPr>
            <w:tcW w:w="5544" w:type="dxa"/>
          </w:tcPr>
          <w:p w14:paraId="1D731455" w14:textId="77777777" w:rsidR="006F76EB" w:rsidRPr="00834D52" w:rsidRDefault="006F76EB" w:rsidP="00986B92">
            <w:pPr>
              <w:spacing w:after="120"/>
              <w:ind w:left="86" w:right="-6"/>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գրանցվել է </w:t>
            </w:r>
            <w:r w:rsidR="0032680A">
              <w:rPr>
                <w:rFonts w:ascii="Sylfaen" w:hAnsi="Sylfaen"/>
                <w:sz w:val="24"/>
                <w:szCs w:val="24"/>
              </w:rPr>
              <w:t xml:space="preserve">ռեֆերենտ </w:t>
            </w:r>
            <w:r w:rsidRPr="00834D52">
              <w:rPr>
                <w:rFonts w:ascii="Sylfaen" w:hAnsi="Sylfaen"/>
                <w:sz w:val="24"/>
                <w:szCs w:val="24"/>
              </w:rPr>
              <w:t>դեղապատրաստուկը</w:t>
            </w:r>
          </w:p>
        </w:tc>
        <w:tc>
          <w:tcPr>
            <w:tcW w:w="4241" w:type="dxa"/>
          </w:tcPr>
          <w:p w14:paraId="62DFC6DC" w14:textId="77777777" w:rsidR="006F76EB" w:rsidRPr="00834D52" w:rsidRDefault="006F76EB" w:rsidP="00986B92">
            <w:pPr>
              <w:spacing w:after="120"/>
              <w:ind w:right="-6"/>
              <w:rPr>
                <w:rFonts w:ascii="Sylfaen" w:hAnsi="Sylfaen"/>
                <w:sz w:val="24"/>
                <w:szCs w:val="24"/>
              </w:rPr>
            </w:pPr>
          </w:p>
        </w:tc>
      </w:tr>
      <w:tr w:rsidR="006F76EB" w:rsidRPr="00834D52" w14:paraId="0096F623" w14:textId="77777777" w:rsidTr="00F71229">
        <w:trPr>
          <w:jc w:val="center"/>
        </w:trPr>
        <w:tc>
          <w:tcPr>
            <w:tcW w:w="5544" w:type="dxa"/>
          </w:tcPr>
          <w:p w14:paraId="5C758251" w14:textId="77777777" w:rsidR="006F76EB" w:rsidRPr="00834D52" w:rsidRDefault="006F76EB" w:rsidP="00986B92">
            <w:pPr>
              <w:spacing w:after="120"/>
              <w:ind w:left="86" w:right="-6"/>
              <w:rPr>
                <w:rFonts w:ascii="Sylfaen" w:eastAsia="Times New Roman" w:hAnsi="Sylfaen" w:cs="Times New Roman"/>
                <w:sz w:val="24"/>
                <w:szCs w:val="24"/>
              </w:rPr>
            </w:pPr>
            <w:r w:rsidRPr="00834D52">
              <w:rPr>
                <w:rFonts w:ascii="Sylfaen" w:hAnsi="Sylfaen"/>
                <w:sz w:val="24"/>
                <w:szCs w:val="24"/>
              </w:rPr>
              <w:t xml:space="preserve">բերել </w:t>
            </w:r>
            <w:r w:rsidR="0032680A">
              <w:rPr>
                <w:rFonts w:ascii="Sylfaen" w:hAnsi="Sylfaen"/>
                <w:sz w:val="24"/>
                <w:szCs w:val="24"/>
              </w:rPr>
              <w:t xml:space="preserve">ռեֆերենտ </w:t>
            </w:r>
            <w:r w:rsidRPr="00834D52">
              <w:rPr>
                <w:rFonts w:ascii="Sylfaen" w:hAnsi="Sylfaen"/>
                <w:sz w:val="24"/>
                <w:szCs w:val="24"/>
              </w:rPr>
              <w:t>պատրաստուկի օգտագործման հիմնավորումներ դրա՝ օրիգինալ պատրաստուկից տարբերվելու դեպքում</w:t>
            </w:r>
          </w:p>
        </w:tc>
        <w:tc>
          <w:tcPr>
            <w:tcW w:w="4241" w:type="dxa"/>
          </w:tcPr>
          <w:p w14:paraId="23153B76" w14:textId="77777777" w:rsidR="006F76EB" w:rsidRPr="00834D52" w:rsidRDefault="006F76EB" w:rsidP="00986B92">
            <w:pPr>
              <w:spacing w:after="120"/>
              <w:ind w:right="-6"/>
              <w:rPr>
                <w:rFonts w:ascii="Sylfaen" w:hAnsi="Sylfaen"/>
                <w:sz w:val="24"/>
                <w:szCs w:val="24"/>
              </w:rPr>
            </w:pPr>
          </w:p>
        </w:tc>
      </w:tr>
      <w:tr w:rsidR="006F76EB" w:rsidRPr="00834D52" w14:paraId="2B91F158" w14:textId="77777777" w:rsidTr="00F71229">
        <w:trPr>
          <w:jc w:val="center"/>
        </w:trPr>
        <w:tc>
          <w:tcPr>
            <w:tcW w:w="5544" w:type="dxa"/>
          </w:tcPr>
          <w:p w14:paraId="3A6D4F24" w14:textId="77777777" w:rsidR="006F76EB" w:rsidRPr="00834D52" w:rsidRDefault="0032680A" w:rsidP="00986B92">
            <w:pPr>
              <w:spacing w:after="120"/>
              <w:ind w:left="86"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դեղապատրաստուկի ընտրության վերաբերյալ Դեղամիջոցների հարցերով փորձագիտական կոմիտեի առաջարկությունների առկայությունը</w:t>
            </w:r>
          </w:p>
        </w:tc>
        <w:tc>
          <w:tcPr>
            <w:tcW w:w="4241" w:type="dxa"/>
          </w:tcPr>
          <w:p w14:paraId="0E81FB4A" w14:textId="77777777" w:rsidR="006F76EB" w:rsidRPr="00834D52" w:rsidRDefault="006F76EB" w:rsidP="00986B92">
            <w:pPr>
              <w:spacing w:after="120"/>
              <w:ind w:right="-6"/>
              <w:rPr>
                <w:rFonts w:ascii="Sylfaen" w:hAnsi="Sylfaen"/>
                <w:sz w:val="24"/>
                <w:szCs w:val="24"/>
              </w:rPr>
            </w:pPr>
          </w:p>
        </w:tc>
      </w:tr>
    </w:tbl>
    <w:p w14:paraId="18E47DEF" w14:textId="77777777" w:rsidR="006F76EB" w:rsidRPr="00834D52" w:rsidRDefault="006F76EB" w:rsidP="006F76EB">
      <w:pPr>
        <w:spacing w:after="160" w:line="348" w:lineRule="auto"/>
        <w:ind w:right="-6"/>
        <w:rPr>
          <w:rFonts w:ascii="Sylfaen" w:hAnsi="Sylfae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8"/>
        <w:gridCol w:w="6982"/>
      </w:tblGrid>
      <w:tr w:rsidR="006F76EB" w:rsidRPr="00834D52" w14:paraId="7C69682F" w14:textId="77777777" w:rsidTr="00644138">
        <w:trPr>
          <w:jc w:val="center"/>
        </w:trPr>
        <w:tc>
          <w:tcPr>
            <w:tcW w:w="2318" w:type="dxa"/>
          </w:tcPr>
          <w:p w14:paraId="10BFFFCF"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Ծանոթագրություն:</w:t>
            </w:r>
          </w:p>
        </w:tc>
        <w:tc>
          <w:tcPr>
            <w:tcW w:w="6982" w:type="dxa"/>
          </w:tcPr>
          <w:p w14:paraId="30C574B4" w14:textId="77777777" w:rsidR="006F76EB" w:rsidRPr="00834D52" w:rsidRDefault="00986B92" w:rsidP="00986B92">
            <w:pPr>
              <w:tabs>
                <w:tab w:val="left" w:pos="801"/>
              </w:tabs>
              <w:spacing w:after="160" w:line="336" w:lineRule="auto"/>
              <w:ind w:right="-6"/>
              <w:jc w:val="both"/>
              <w:rPr>
                <w:rFonts w:ascii="Sylfaen" w:eastAsia="Times New Roman" w:hAnsi="Sylfaen" w:cs="Times New Roman"/>
                <w:sz w:val="24"/>
                <w:szCs w:val="24"/>
              </w:rPr>
            </w:pPr>
            <w:r>
              <w:rPr>
                <w:rFonts w:ascii="Sylfaen" w:hAnsi="Sylfaen"/>
                <w:sz w:val="24"/>
                <w:szCs w:val="24"/>
              </w:rPr>
              <w:t>1.</w:t>
            </w:r>
            <w:r w:rsidRPr="007F5A60">
              <w:rPr>
                <w:rFonts w:ascii="Sylfaen" w:hAnsi="Sylfaen"/>
                <w:sz w:val="24"/>
                <w:szCs w:val="24"/>
              </w:rPr>
              <w:tab/>
            </w:r>
            <w:r w:rsidR="006F76EB" w:rsidRPr="00834D52">
              <w:rPr>
                <w:rFonts w:ascii="Sylfaen" w:hAnsi="Sylfaen"/>
                <w:sz w:val="24"/>
                <w:szCs w:val="24"/>
              </w:rPr>
              <w:t>Բաժինն անհրաժեշտ է լրացնել յուրաքանչյուր դեղապատրաստուկի համար, որն օգտագործվել է համարժեքության հետազոտություններում:</w:t>
            </w:r>
          </w:p>
          <w:p w14:paraId="221AE254" w14:textId="77777777" w:rsidR="006F76EB" w:rsidRPr="00834D52" w:rsidRDefault="00986B92" w:rsidP="00986B92">
            <w:pPr>
              <w:tabs>
                <w:tab w:val="left" w:pos="801"/>
              </w:tabs>
              <w:spacing w:after="160" w:line="336" w:lineRule="auto"/>
              <w:ind w:right="-6"/>
              <w:jc w:val="both"/>
              <w:rPr>
                <w:rFonts w:ascii="Sylfaen" w:eastAsia="Times New Roman" w:hAnsi="Sylfaen" w:cs="Times New Roman"/>
                <w:sz w:val="24"/>
                <w:szCs w:val="24"/>
              </w:rPr>
            </w:pPr>
            <w:r>
              <w:rPr>
                <w:rFonts w:ascii="Sylfaen" w:hAnsi="Sylfaen"/>
                <w:sz w:val="24"/>
                <w:szCs w:val="24"/>
              </w:rPr>
              <w:t>2.</w:t>
            </w:r>
            <w:r w:rsidRPr="00986B92">
              <w:rPr>
                <w:rFonts w:ascii="Sylfaen" w:hAnsi="Sylfaen"/>
                <w:sz w:val="24"/>
                <w:szCs w:val="24"/>
              </w:rPr>
              <w:tab/>
            </w:r>
            <w:r w:rsidR="006F76EB" w:rsidRPr="00834D52">
              <w:rPr>
                <w:rFonts w:ascii="Sylfaen" w:hAnsi="Sylfaen"/>
                <w:sz w:val="24"/>
                <w:szCs w:val="24"/>
              </w:rPr>
              <w:t>Հայտը լրացնելիս «օրիգինալ պատրաստուկ» դաշտում նշվում է տեղեկատվություն այն օրիգինալ պատրաստուկի մասին, որի վերարտադրված կրկնօրինակը տվյալ դեղապատրաստուկն է: «</w:t>
            </w:r>
            <w:r w:rsidR="0032680A">
              <w:rPr>
                <w:rFonts w:ascii="Sylfaen" w:hAnsi="Sylfaen"/>
                <w:sz w:val="24"/>
                <w:szCs w:val="24"/>
              </w:rPr>
              <w:t xml:space="preserve">Ռեֆերենտ </w:t>
            </w:r>
            <w:r w:rsidR="006F76EB" w:rsidRPr="00834D52">
              <w:rPr>
                <w:rFonts w:ascii="Sylfaen" w:hAnsi="Sylfaen"/>
                <w:sz w:val="24"/>
                <w:szCs w:val="24"/>
              </w:rPr>
              <w:t xml:space="preserve">պատրաստուկ» դաշտում նշվում է տեղեկատվություն այն պատրաստուկի մասին, որն օգտագործվել է համարժեքությունը հաստատելու համար: </w:t>
            </w:r>
            <w:r w:rsidR="0032680A">
              <w:rPr>
                <w:rFonts w:ascii="Sylfaen" w:hAnsi="Sylfaen"/>
                <w:sz w:val="24"/>
                <w:szCs w:val="24"/>
              </w:rPr>
              <w:t xml:space="preserve">Ռեֆերենտ </w:t>
            </w:r>
            <w:r w:rsidR="00C54D75">
              <w:rPr>
                <w:rFonts w:ascii="Sylfaen" w:hAnsi="Sylfaen"/>
                <w:sz w:val="24"/>
                <w:szCs w:val="24"/>
              </w:rPr>
              <w:t>և</w:t>
            </w:r>
            <w:r w:rsidR="006F76EB" w:rsidRPr="00834D52">
              <w:rPr>
                <w:rFonts w:ascii="Sylfaen" w:hAnsi="Sylfaen"/>
                <w:sz w:val="24"/>
                <w:szCs w:val="24"/>
              </w:rPr>
              <w:t xml:space="preserve"> օրիգինալ պատրաստուկների մասին տեղեկատվությունը համընկնելու դեպքում համապատասխան տեղեկատվությունը կրկնվում է:</w:t>
            </w:r>
          </w:p>
        </w:tc>
      </w:tr>
    </w:tbl>
    <w:p w14:paraId="72CED1B3" w14:textId="77777777" w:rsidR="006F76EB" w:rsidRPr="00834D52" w:rsidRDefault="00157FD9" w:rsidP="00644138">
      <w:pPr>
        <w:spacing w:after="160" w:line="360" w:lineRule="auto"/>
        <w:ind w:left="567" w:right="579"/>
        <w:jc w:val="center"/>
        <w:rPr>
          <w:rFonts w:ascii="Sylfaen" w:eastAsia="Times New Roman" w:hAnsi="Sylfaen" w:cs="Times New Roman"/>
          <w:sz w:val="24"/>
          <w:szCs w:val="24"/>
        </w:rPr>
      </w:pPr>
      <w:r>
        <w:rPr>
          <w:rFonts w:ascii="Sylfaen" w:hAnsi="Sylfaen"/>
          <w:noProof/>
          <w:sz w:val="24"/>
          <w:szCs w:val="24"/>
        </w:rPr>
        <w:lastRenderedPageBreak/>
        <w:pict w14:anchorId="143A2E05">
          <v:rect id="_x0000_s1034" style="position:absolute;left:0;text-align:left;margin-left:47.6pt;margin-top:2.45pt;width:12.75pt;height:12pt;z-index:251525632;mso-position-horizontal-relative:text;mso-position-vertical-relative:text"/>
        </w:pict>
      </w:r>
      <w:r w:rsidR="006F76EB" w:rsidRPr="00834D52">
        <w:rPr>
          <w:rFonts w:ascii="Sylfaen" w:hAnsi="Sylfaen" w:cs="Sylfaen"/>
          <w:sz w:val="24"/>
          <w:szCs w:val="24"/>
        </w:rPr>
        <w:t>ԿԵՆՍԱՆՄԱՆ</w:t>
      </w:r>
      <w:r w:rsidR="006F76EB" w:rsidRPr="00834D52">
        <w:rPr>
          <w:rFonts w:ascii="Sylfaen" w:hAnsi="Sylfaen"/>
          <w:sz w:val="24"/>
          <w:szCs w:val="24"/>
        </w:rPr>
        <w:t xml:space="preserve"> </w:t>
      </w:r>
      <w:r w:rsidR="006F76EB" w:rsidRPr="00834D52">
        <w:rPr>
          <w:rFonts w:ascii="Sylfaen" w:hAnsi="Sylfaen" w:cs="Sylfaen"/>
          <w:sz w:val="24"/>
          <w:szCs w:val="24"/>
        </w:rPr>
        <w:t>ԴԵՂԱՊԱՏՐԱՍՏՈՒԿ</w:t>
      </w:r>
      <w:r w:rsidR="006F76EB" w:rsidRPr="00834D52">
        <w:rPr>
          <w:rFonts w:ascii="Sylfaen" w:hAnsi="Sylfaen"/>
          <w:sz w:val="24"/>
          <w:szCs w:val="24"/>
        </w:rPr>
        <w:t xml:space="preserve"> (</w:t>
      </w:r>
      <w:r w:rsidR="006F76EB" w:rsidRPr="00834D52">
        <w:rPr>
          <w:rFonts w:ascii="Sylfaen" w:hAnsi="Sylfaen" w:cs="Sylfaen"/>
          <w:sz w:val="24"/>
          <w:szCs w:val="24"/>
        </w:rPr>
        <w:t>ԿԵՆՍԱՆՄԱՆԱԿ</w:t>
      </w:r>
      <w:r w:rsidR="006F76EB" w:rsidRPr="00834D52">
        <w:rPr>
          <w:rFonts w:ascii="Sylfaen" w:hAnsi="Sylfaen"/>
          <w:sz w:val="24"/>
          <w:szCs w:val="24"/>
        </w:rPr>
        <w:t>)</w:t>
      </w:r>
    </w:p>
    <w:p w14:paraId="034FBF5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Օրիգինալ կենսաբանական դեղապատրաստուկ՝</w:t>
      </w:r>
    </w:p>
    <w:tbl>
      <w:tblPr>
        <w:tblW w:w="10065" w:type="dxa"/>
        <w:jc w:val="center"/>
        <w:tblLayout w:type="fixed"/>
        <w:tblCellMar>
          <w:left w:w="0" w:type="dxa"/>
          <w:right w:w="0" w:type="dxa"/>
        </w:tblCellMar>
        <w:tblLook w:val="01E0" w:firstRow="1" w:lastRow="1" w:firstColumn="1" w:lastColumn="1" w:noHBand="0" w:noVBand="0"/>
      </w:tblPr>
      <w:tblGrid>
        <w:gridCol w:w="4977"/>
        <w:gridCol w:w="5088"/>
      </w:tblGrid>
      <w:tr w:rsidR="006F76EB" w:rsidRPr="00834D52" w14:paraId="303DD337" w14:textId="77777777" w:rsidTr="00A5746F">
        <w:trPr>
          <w:jc w:val="center"/>
        </w:trPr>
        <w:tc>
          <w:tcPr>
            <w:tcW w:w="4977" w:type="dxa"/>
            <w:tcBorders>
              <w:top w:val="single" w:sz="4" w:space="0" w:color="000000"/>
              <w:left w:val="single" w:sz="4" w:space="0" w:color="000000"/>
              <w:bottom w:val="single" w:sz="4" w:space="0" w:color="000000"/>
              <w:right w:val="single" w:sz="4" w:space="0" w:color="000000"/>
            </w:tcBorders>
          </w:tcPr>
          <w:p w14:paraId="256BEABC" w14:textId="77777777" w:rsidR="006F76EB" w:rsidRPr="00834D52" w:rsidRDefault="006F76EB" w:rsidP="00644138">
            <w:pPr>
              <w:spacing w:after="120" w:line="240" w:lineRule="auto"/>
              <w:ind w:left="191" w:right="-6"/>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5088" w:type="dxa"/>
            <w:tcBorders>
              <w:top w:val="single" w:sz="4" w:space="0" w:color="000000"/>
              <w:left w:val="single" w:sz="4" w:space="0" w:color="000000"/>
              <w:bottom w:val="single" w:sz="4" w:space="0" w:color="000000"/>
              <w:right w:val="single" w:sz="4" w:space="0" w:color="000000"/>
            </w:tcBorders>
          </w:tcPr>
          <w:p w14:paraId="3818F362" w14:textId="77777777" w:rsidR="006F76EB" w:rsidRPr="00834D52" w:rsidRDefault="006F76EB" w:rsidP="00644138">
            <w:pPr>
              <w:spacing w:after="120" w:line="240" w:lineRule="auto"/>
              <w:ind w:right="-6"/>
              <w:rPr>
                <w:rFonts w:ascii="Sylfaen" w:hAnsi="Sylfaen"/>
                <w:sz w:val="24"/>
                <w:szCs w:val="24"/>
              </w:rPr>
            </w:pPr>
          </w:p>
        </w:tc>
      </w:tr>
      <w:tr w:rsidR="006F76EB" w:rsidRPr="00834D52" w14:paraId="25652D50" w14:textId="77777777" w:rsidTr="00A5746F">
        <w:trPr>
          <w:jc w:val="center"/>
        </w:trPr>
        <w:tc>
          <w:tcPr>
            <w:tcW w:w="4977" w:type="dxa"/>
            <w:tcBorders>
              <w:top w:val="single" w:sz="4" w:space="0" w:color="000000"/>
              <w:left w:val="single" w:sz="4" w:space="0" w:color="000000"/>
              <w:bottom w:val="single" w:sz="4" w:space="0" w:color="000000"/>
              <w:right w:val="single" w:sz="4" w:space="0" w:color="000000"/>
            </w:tcBorders>
          </w:tcPr>
          <w:p w14:paraId="4EDCABF0" w14:textId="77777777" w:rsidR="006F76EB" w:rsidRPr="00834D52" w:rsidRDefault="006F76EB" w:rsidP="00644138">
            <w:pPr>
              <w:spacing w:after="120" w:line="240" w:lineRule="auto"/>
              <w:ind w:left="191" w:right="-6"/>
              <w:rPr>
                <w:rFonts w:ascii="Sylfaen" w:eastAsia="Times New Roman" w:hAnsi="Sylfaen" w:cs="Times New Roman"/>
                <w:sz w:val="24"/>
                <w:szCs w:val="24"/>
              </w:rPr>
            </w:pPr>
            <w:r w:rsidRPr="00834D52">
              <w:rPr>
                <w:rFonts w:ascii="Sylfaen" w:hAnsi="Sylfaen"/>
                <w:sz w:val="24"/>
                <w:szCs w:val="24"/>
              </w:rPr>
              <w:t>գրանցման հավաստագրի իրավատերը</w:t>
            </w:r>
            <w:r w:rsidRPr="00834D52">
              <w:rPr>
                <w:rFonts w:ascii="Sylfaen" w:hAnsi="Sylfaen"/>
                <w:sz w:val="24"/>
                <w:szCs w:val="24"/>
              </w:rPr>
              <w:br/>
              <w:t>(այն ընկերությունը, որի անունով տրվել է գրանցման հավաստագիրը), գրանցման</w:t>
            </w:r>
          </w:p>
        </w:tc>
        <w:tc>
          <w:tcPr>
            <w:tcW w:w="5088" w:type="dxa"/>
            <w:tcBorders>
              <w:top w:val="single" w:sz="4" w:space="0" w:color="000000"/>
              <w:left w:val="single" w:sz="4" w:space="0" w:color="000000"/>
              <w:bottom w:val="single" w:sz="4" w:space="0" w:color="000000"/>
              <w:right w:val="single" w:sz="4" w:space="0" w:color="000000"/>
            </w:tcBorders>
          </w:tcPr>
          <w:p w14:paraId="02BCF08E" w14:textId="77777777" w:rsidR="006F76EB" w:rsidRPr="00834D52" w:rsidRDefault="006F76EB" w:rsidP="00644138">
            <w:pPr>
              <w:spacing w:after="120" w:line="240" w:lineRule="auto"/>
              <w:ind w:right="-6"/>
              <w:rPr>
                <w:rFonts w:ascii="Sylfaen" w:hAnsi="Sylfaen"/>
                <w:sz w:val="24"/>
                <w:szCs w:val="24"/>
              </w:rPr>
            </w:pPr>
          </w:p>
        </w:tc>
      </w:tr>
      <w:tr w:rsidR="006F76EB" w:rsidRPr="00834D52" w14:paraId="3F5F714B" w14:textId="77777777" w:rsidTr="00A5746F">
        <w:trPr>
          <w:jc w:val="center"/>
        </w:trPr>
        <w:tc>
          <w:tcPr>
            <w:tcW w:w="4977" w:type="dxa"/>
            <w:tcBorders>
              <w:top w:val="single" w:sz="4" w:space="0" w:color="000000"/>
              <w:left w:val="single" w:sz="4" w:space="0" w:color="000000"/>
              <w:bottom w:val="single" w:sz="4" w:space="0" w:color="000000"/>
              <w:right w:val="single" w:sz="4" w:space="0" w:color="000000"/>
            </w:tcBorders>
          </w:tcPr>
          <w:p w14:paraId="3588129C" w14:textId="77777777" w:rsidR="006F76EB" w:rsidRPr="00834D52" w:rsidRDefault="006F76EB" w:rsidP="00644138">
            <w:pPr>
              <w:spacing w:after="120" w:line="240" w:lineRule="auto"/>
              <w:ind w:left="191" w:right="-6"/>
              <w:rPr>
                <w:rFonts w:ascii="Sylfaen" w:eastAsia="Times New Roman" w:hAnsi="Sylfaen" w:cs="Times New Roman"/>
                <w:sz w:val="24"/>
                <w:szCs w:val="24"/>
              </w:rPr>
            </w:pPr>
            <w:r w:rsidRPr="00834D52">
              <w:rPr>
                <w:rFonts w:ascii="Sylfaen" w:hAnsi="Sylfaen"/>
                <w:sz w:val="24"/>
                <w:szCs w:val="24"/>
              </w:rPr>
              <w:t>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5088" w:type="dxa"/>
            <w:tcBorders>
              <w:top w:val="single" w:sz="4" w:space="0" w:color="000000"/>
              <w:left w:val="single" w:sz="4" w:space="0" w:color="000000"/>
              <w:bottom w:val="single" w:sz="4" w:space="0" w:color="000000"/>
              <w:right w:val="single" w:sz="4" w:space="0" w:color="000000"/>
            </w:tcBorders>
          </w:tcPr>
          <w:p w14:paraId="403EAC29" w14:textId="77777777" w:rsidR="006F76EB" w:rsidRPr="00834D52" w:rsidRDefault="006F76EB" w:rsidP="00644138">
            <w:pPr>
              <w:spacing w:after="120" w:line="240" w:lineRule="auto"/>
              <w:ind w:right="-6"/>
              <w:rPr>
                <w:rFonts w:ascii="Sylfaen" w:hAnsi="Sylfaen"/>
                <w:sz w:val="24"/>
                <w:szCs w:val="24"/>
              </w:rPr>
            </w:pPr>
          </w:p>
        </w:tc>
      </w:tr>
    </w:tbl>
    <w:p w14:paraId="4B8A2043" w14:textId="77777777" w:rsidR="006F76EB" w:rsidRPr="00834D52" w:rsidRDefault="0032680A" w:rsidP="006F76EB">
      <w:pPr>
        <w:spacing w:after="160" w:line="360" w:lineRule="auto"/>
        <w:ind w:right="-6" w:firstLine="567"/>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կենսաբանական դեղապատրաստուկ՝</w:t>
      </w:r>
    </w:p>
    <w:tbl>
      <w:tblPr>
        <w:tblStyle w:val="TableGrid"/>
        <w:tblW w:w="10161" w:type="dxa"/>
        <w:jc w:val="center"/>
        <w:tblLayout w:type="fixed"/>
        <w:tblLook w:val="04A0" w:firstRow="1" w:lastRow="0" w:firstColumn="1" w:lastColumn="0" w:noHBand="0" w:noVBand="1"/>
      </w:tblPr>
      <w:tblGrid>
        <w:gridCol w:w="4916"/>
        <w:gridCol w:w="5245"/>
      </w:tblGrid>
      <w:tr w:rsidR="006F76EB" w:rsidRPr="00834D52" w14:paraId="59FF25B0" w14:textId="77777777" w:rsidTr="00F71229">
        <w:trPr>
          <w:jc w:val="center"/>
        </w:trPr>
        <w:tc>
          <w:tcPr>
            <w:tcW w:w="4916" w:type="dxa"/>
          </w:tcPr>
          <w:p w14:paraId="0D049843" w14:textId="77777777" w:rsidR="006F76EB" w:rsidRPr="00834D52" w:rsidRDefault="006F76EB" w:rsidP="00BE625D">
            <w:pPr>
              <w:spacing w:after="120"/>
              <w:ind w:right="-8"/>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5245" w:type="dxa"/>
          </w:tcPr>
          <w:p w14:paraId="045207BA" w14:textId="77777777" w:rsidR="006F76EB" w:rsidRPr="00834D52" w:rsidRDefault="006F76EB" w:rsidP="00BE625D">
            <w:pPr>
              <w:spacing w:after="120"/>
              <w:ind w:right="-8"/>
              <w:rPr>
                <w:rFonts w:ascii="Sylfaen" w:eastAsia="Times New Roman" w:hAnsi="Sylfaen" w:cs="Times New Roman"/>
                <w:sz w:val="24"/>
                <w:szCs w:val="24"/>
              </w:rPr>
            </w:pPr>
          </w:p>
        </w:tc>
      </w:tr>
      <w:tr w:rsidR="006F76EB" w:rsidRPr="00834D52" w14:paraId="0BEE2685" w14:textId="77777777" w:rsidTr="00F71229">
        <w:trPr>
          <w:jc w:val="center"/>
        </w:trPr>
        <w:tc>
          <w:tcPr>
            <w:tcW w:w="4916" w:type="dxa"/>
          </w:tcPr>
          <w:p w14:paraId="2C55B6D7" w14:textId="77777777" w:rsidR="006F76EB" w:rsidRPr="00834D52" w:rsidRDefault="006F76EB" w:rsidP="00BE625D">
            <w:pPr>
              <w:spacing w:after="120"/>
              <w:ind w:right="-8"/>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գրանցման ամսաթիվը, գրանցման հավաստագրի համարը, Եվրասիական տնտեսական միության այն անդամ պետությունները, որտեղ գրանցված է </w:t>
            </w:r>
            <w:r w:rsidR="0032680A">
              <w:rPr>
                <w:rFonts w:ascii="Sylfaen" w:hAnsi="Sylfaen"/>
                <w:sz w:val="24"/>
                <w:szCs w:val="24"/>
              </w:rPr>
              <w:t xml:space="preserve">ռեֆերենտ </w:t>
            </w:r>
            <w:r w:rsidRPr="00834D52">
              <w:rPr>
                <w:rFonts w:ascii="Sylfaen" w:hAnsi="Sylfaen"/>
                <w:sz w:val="24"/>
                <w:szCs w:val="24"/>
              </w:rPr>
              <w:t>դեղապատրաստուկը</w:t>
            </w:r>
          </w:p>
        </w:tc>
        <w:tc>
          <w:tcPr>
            <w:tcW w:w="5245" w:type="dxa"/>
          </w:tcPr>
          <w:p w14:paraId="6F543124" w14:textId="77777777" w:rsidR="006F76EB" w:rsidRPr="00834D52" w:rsidRDefault="006F76EB" w:rsidP="00BE625D">
            <w:pPr>
              <w:spacing w:after="120"/>
              <w:ind w:right="-8"/>
              <w:rPr>
                <w:rFonts w:ascii="Sylfaen" w:eastAsia="Times New Roman" w:hAnsi="Sylfaen" w:cs="Times New Roman"/>
                <w:sz w:val="24"/>
                <w:szCs w:val="24"/>
              </w:rPr>
            </w:pPr>
          </w:p>
        </w:tc>
      </w:tr>
      <w:tr w:rsidR="006F76EB" w:rsidRPr="00834D52" w14:paraId="51341AF4" w14:textId="77777777" w:rsidTr="00F71229">
        <w:trPr>
          <w:jc w:val="center"/>
        </w:trPr>
        <w:tc>
          <w:tcPr>
            <w:tcW w:w="4916" w:type="dxa"/>
          </w:tcPr>
          <w:p w14:paraId="4A487A48" w14:textId="77777777" w:rsidR="006F76EB" w:rsidRPr="00834D52" w:rsidRDefault="0032680A" w:rsidP="00BE625D">
            <w:pPr>
              <w:spacing w:after="120"/>
              <w:ind w:right="-8"/>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դեղապատրաստուկի ընտրության վերաբերյալ Դեղամիջոցների հարցերով փորձագիտական կոմիտեի առաջարկությունների առկայությունը</w:t>
            </w:r>
          </w:p>
        </w:tc>
        <w:tc>
          <w:tcPr>
            <w:tcW w:w="5245" w:type="dxa"/>
          </w:tcPr>
          <w:p w14:paraId="5987FE50" w14:textId="77777777" w:rsidR="006F76EB" w:rsidRPr="00834D52" w:rsidRDefault="006F76EB" w:rsidP="00BE625D">
            <w:pPr>
              <w:spacing w:after="120"/>
              <w:ind w:right="-8"/>
              <w:rPr>
                <w:rFonts w:ascii="Sylfaen" w:eastAsia="Times New Roman" w:hAnsi="Sylfaen" w:cs="Times New Roman"/>
                <w:sz w:val="24"/>
                <w:szCs w:val="24"/>
              </w:rPr>
            </w:pPr>
          </w:p>
        </w:tc>
      </w:tr>
      <w:tr w:rsidR="006F76EB" w:rsidRPr="00834D52" w14:paraId="736B1ED6" w14:textId="77777777" w:rsidTr="00F71229">
        <w:trPr>
          <w:trHeight w:val="482"/>
          <w:jc w:val="center"/>
        </w:trPr>
        <w:tc>
          <w:tcPr>
            <w:tcW w:w="4916" w:type="dxa"/>
            <w:vMerge w:val="restart"/>
          </w:tcPr>
          <w:p w14:paraId="56FADEF4" w14:textId="77777777" w:rsidR="006F76EB" w:rsidRPr="00834D52" w:rsidRDefault="0032680A" w:rsidP="00BE625D">
            <w:pPr>
              <w:spacing w:after="120"/>
              <w:ind w:right="-8"/>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կենսաբանական դեղապատրաստուկի համեմատ տարբերությունները (եթե առկա են)՝</w:t>
            </w:r>
          </w:p>
        </w:tc>
        <w:tc>
          <w:tcPr>
            <w:tcW w:w="5245" w:type="dxa"/>
            <w:vAlign w:val="center"/>
          </w:tcPr>
          <w:p w14:paraId="71480816"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hAnsi="Sylfaen"/>
                <w:noProof/>
                <w:sz w:val="24"/>
                <w:szCs w:val="24"/>
              </w:rPr>
              <w:pict w14:anchorId="1704422C">
                <v:rect id="_x0000_s1035" style="position:absolute;left:0;text-align:left;margin-left:2.9pt;margin-top:2.55pt;width:12.75pt;height:12pt;z-index:251526656;mso-position-horizontal-relative:text;mso-position-vertical-relative:text"/>
              </w:pict>
            </w:r>
            <w:r w:rsidR="006F76EB" w:rsidRPr="00834D52">
              <w:rPr>
                <w:rFonts w:ascii="Sylfaen" w:hAnsi="Sylfaen" w:cs="Sylfaen"/>
                <w:sz w:val="24"/>
                <w:szCs w:val="24"/>
              </w:rPr>
              <w:t>ելանյութերի</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w:t>
            </w:r>
          </w:p>
        </w:tc>
      </w:tr>
      <w:tr w:rsidR="006F76EB" w:rsidRPr="00834D52" w14:paraId="65DCBA83" w14:textId="77777777" w:rsidTr="00F71229">
        <w:trPr>
          <w:trHeight w:val="482"/>
          <w:jc w:val="center"/>
        </w:trPr>
        <w:tc>
          <w:tcPr>
            <w:tcW w:w="4916" w:type="dxa"/>
            <w:vMerge/>
          </w:tcPr>
          <w:p w14:paraId="6F8AF8D7"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vAlign w:val="center"/>
          </w:tcPr>
          <w:p w14:paraId="41794F1C"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eastAsia="Times New Roman" w:hAnsi="Sylfaen" w:cs="Times New Roman"/>
                <w:sz w:val="24"/>
                <w:szCs w:val="24"/>
              </w:rPr>
              <w:pict w14:anchorId="196B48FC">
                <v:rect id="_x0000_s1036" style="position:absolute;left:0;text-align:left;margin-left:3.75pt;margin-top:5.35pt;width:12.75pt;height:12pt;z-index:251527680;mso-position-horizontal-relative:text;mso-position-vertical-relative:text"/>
              </w:pict>
            </w:r>
            <w:r w:rsidR="006F76EB" w:rsidRPr="00834D52">
              <w:rPr>
                <w:rFonts w:ascii="Sylfaen" w:hAnsi="Sylfaen" w:cs="Sylfaen"/>
                <w:sz w:val="24"/>
                <w:szCs w:val="24"/>
              </w:rPr>
              <w:t>արտադրական</w:t>
            </w:r>
            <w:r w:rsidR="006F76EB" w:rsidRPr="00834D52">
              <w:rPr>
                <w:rFonts w:ascii="Sylfaen" w:hAnsi="Sylfaen"/>
                <w:sz w:val="24"/>
                <w:szCs w:val="24"/>
              </w:rPr>
              <w:t xml:space="preserve"> </w:t>
            </w:r>
            <w:r w:rsidR="006F76EB" w:rsidRPr="00834D52">
              <w:rPr>
                <w:rFonts w:ascii="Sylfaen" w:hAnsi="Sylfaen" w:cs="Sylfaen"/>
                <w:sz w:val="24"/>
                <w:szCs w:val="24"/>
              </w:rPr>
              <w:t>գործընթացի</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w:t>
            </w:r>
          </w:p>
        </w:tc>
      </w:tr>
      <w:tr w:rsidR="006F76EB" w:rsidRPr="00834D52" w14:paraId="164D827F" w14:textId="77777777" w:rsidTr="00F71229">
        <w:trPr>
          <w:trHeight w:val="482"/>
          <w:jc w:val="center"/>
        </w:trPr>
        <w:tc>
          <w:tcPr>
            <w:tcW w:w="4916" w:type="dxa"/>
            <w:vMerge/>
          </w:tcPr>
          <w:p w14:paraId="5FEC2F85"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vAlign w:val="center"/>
          </w:tcPr>
          <w:p w14:paraId="02E7EBCB"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eastAsia="Times New Roman" w:hAnsi="Sylfaen" w:cs="Times New Roman"/>
                <w:noProof/>
                <w:sz w:val="24"/>
                <w:szCs w:val="24"/>
              </w:rPr>
              <w:pict w14:anchorId="43DBAB76">
                <v:rect id="_x0000_s1037" style="position:absolute;left:0;text-align:left;margin-left:3.8pt;margin-top:4.95pt;width:12.75pt;height:12pt;z-index:251528704;mso-position-horizontal-relative:text;mso-position-vertical-relative:text"/>
              </w:pict>
            </w:r>
            <w:r w:rsidR="006F76EB" w:rsidRPr="00834D52">
              <w:rPr>
                <w:rFonts w:ascii="Sylfaen" w:hAnsi="Sylfaen" w:cs="Sylfaen"/>
                <w:sz w:val="24"/>
                <w:szCs w:val="24"/>
              </w:rPr>
              <w:t>կիրառման</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ցուցումներ</w:t>
            </w:r>
          </w:p>
        </w:tc>
      </w:tr>
      <w:tr w:rsidR="006F76EB" w:rsidRPr="00834D52" w14:paraId="44B88E91" w14:textId="77777777" w:rsidTr="00F71229">
        <w:trPr>
          <w:trHeight w:val="482"/>
          <w:jc w:val="center"/>
        </w:trPr>
        <w:tc>
          <w:tcPr>
            <w:tcW w:w="4916" w:type="dxa"/>
            <w:vMerge/>
          </w:tcPr>
          <w:p w14:paraId="3693FB03"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vAlign w:val="center"/>
          </w:tcPr>
          <w:p w14:paraId="66116766"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eastAsia="Times New Roman" w:hAnsi="Sylfaen" w:cs="Times New Roman"/>
                <w:sz w:val="24"/>
                <w:szCs w:val="24"/>
              </w:rPr>
              <w:pict w14:anchorId="5D4DA562">
                <v:rect id="_x0000_s1038" style="position:absolute;left:0;text-align:left;margin-left:3.95pt;margin-top:6.2pt;width:12.75pt;height:12pt;z-index:251529728;mso-position-horizontal-relative:text;mso-position-vertical-relative:text"/>
              </w:pict>
            </w:r>
            <w:r w:rsidR="006F76EB" w:rsidRPr="00834D52">
              <w:rPr>
                <w:rFonts w:ascii="Sylfaen" w:hAnsi="Sylfaen" w:cs="Sylfaen"/>
                <w:sz w:val="24"/>
                <w:szCs w:val="24"/>
              </w:rPr>
              <w:t>դեղաձ</w:t>
            </w:r>
            <w:r w:rsidR="00C54D75">
              <w:rPr>
                <w:rFonts w:ascii="Sylfaen" w:hAnsi="Sylfaen" w:cs="Sylfaen"/>
                <w:sz w:val="24"/>
                <w:szCs w:val="24"/>
              </w:rPr>
              <w:t>և</w:t>
            </w:r>
            <w:r w:rsidR="006F76EB" w:rsidRPr="00834D52">
              <w:rPr>
                <w:rFonts w:ascii="Sylfaen" w:hAnsi="Sylfaen" w:cs="Sylfaen"/>
                <w:sz w:val="24"/>
                <w:szCs w:val="24"/>
              </w:rPr>
              <w:t>ի</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w:t>
            </w:r>
          </w:p>
        </w:tc>
      </w:tr>
      <w:tr w:rsidR="006F76EB" w:rsidRPr="00834D52" w14:paraId="2A10BB0D" w14:textId="77777777" w:rsidTr="00F71229">
        <w:trPr>
          <w:trHeight w:val="482"/>
          <w:jc w:val="center"/>
        </w:trPr>
        <w:tc>
          <w:tcPr>
            <w:tcW w:w="4916" w:type="dxa"/>
            <w:vMerge/>
          </w:tcPr>
          <w:p w14:paraId="77423AB2"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vAlign w:val="center"/>
          </w:tcPr>
          <w:p w14:paraId="42D2BFB1"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eastAsia="Times New Roman" w:hAnsi="Sylfaen" w:cs="Times New Roman"/>
                <w:sz w:val="24"/>
                <w:szCs w:val="24"/>
              </w:rPr>
              <w:pict w14:anchorId="06CE8070">
                <v:rect id="_x0000_s1039" style="position:absolute;left:0;text-align:left;margin-left:3.9pt;margin-top:7.25pt;width:12.75pt;height:12pt;z-index:251530752;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դեղաչափեր</w:t>
            </w:r>
            <w:r w:rsidR="006F76EB" w:rsidRPr="00834D52">
              <w:rPr>
                <w:rFonts w:ascii="Sylfaen" w:hAnsi="Sylfaen"/>
                <w:sz w:val="24"/>
                <w:szCs w:val="24"/>
              </w:rPr>
              <w:t xml:space="preserve"> (</w:t>
            </w:r>
            <w:r w:rsidR="006F76EB" w:rsidRPr="00834D52">
              <w:rPr>
                <w:rFonts w:ascii="Sylfaen" w:hAnsi="Sylfaen" w:cs="Sylfaen"/>
                <w:sz w:val="24"/>
                <w:szCs w:val="24"/>
              </w:rPr>
              <w:t>ԱԴԲ</w:t>
            </w:r>
            <w:r w:rsidR="006F76EB" w:rsidRPr="00834D52">
              <w:rPr>
                <w:rFonts w:ascii="Sylfaen" w:hAnsi="Sylfaen"/>
                <w:sz w:val="24"/>
                <w:szCs w:val="24"/>
              </w:rPr>
              <w:t>-</w:t>
            </w:r>
            <w:r w:rsidR="006F76EB" w:rsidRPr="00834D52">
              <w:rPr>
                <w:rFonts w:ascii="Sylfaen" w:hAnsi="Sylfaen" w:cs="Sylfaen"/>
                <w:sz w:val="24"/>
                <w:szCs w:val="24"/>
              </w:rPr>
              <w:t>ի</w:t>
            </w:r>
            <w:r w:rsidR="006F76EB" w:rsidRPr="00834D52">
              <w:rPr>
                <w:rFonts w:ascii="Sylfaen" w:hAnsi="Sylfaen"/>
                <w:sz w:val="24"/>
                <w:szCs w:val="24"/>
              </w:rPr>
              <w:t xml:space="preserve"> </w:t>
            </w:r>
            <w:r w:rsidR="006F76EB" w:rsidRPr="00834D52">
              <w:rPr>
                <w:rFonts w:ascii="Sylfaen" w:hAnsi="Sylfaen" w:cs="Sylfaen"/>
                <w:sz w:val="24"/>
                <w:szCs w:val="24"/>
              </w:rPr>
              <w:t>քանակական</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փոփոխություններ</w:t>
            </w:r>
            <w:r w:rsidR="006F76EB" w:rsidRPr="00834D52">
              <w:rPr>
                <w:rFonts w:ascii="Sylfaen" w:hAnsi="Sylfaen"/>
                <w:sz w:val="24"/>
                <w:szCs w:val="24"/>
              </w:rPr>
              <w:t>)</w:t>
            </w:r>
          </w:p>
        </w:tc>
      </w:tr>
      <w:tr w:rsidR="006F76EB" w:rsidRPr="00834D52" w14:paraId="636F5567" w14:textId="77777777" w:rsidTr="00F71229">
        <w:trPr>
          <w:trHeight w:val="482"/>
          <w:jc w:val="center"/>
        </w:trPr>
        <w:tc>
          <w:tcPr>
            <w:tcW w:w="4916" w:type="dxa"/>
            <w:vMerge/>
          </w:tcPr>
          <w:p w14:paraId="5EE49BB7"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vAlign w:val="center"/>
          </w:tcPr>
          <w:p w14:paraId="0336ABF4" w14:textId="77777777" w:rsidR="006F76EB" w:rsidRPr="00834D52" w:rsidRDefault="00157FD9" w:rsidP="00BE625D">
            <w:pPr>
              <w:spacing w:after="120"/>
              <w:ind w:left="459" w:right="-8"/>
              <w:rPr>
                <w:rFonts w:ascii="Sylfaen" w:eastAsia="Times New Roman" w:hAnsi="Sylfaen" w:cs="Times New Roman"/>
                <w:sz w:val="24"/>
                <w:szCs w:val="24"/>
              </w:rPr>
            </w:pPr>
            <w:r>
              <w:rPr>
                <w:rFonts w:ascii="Sylfaen" w:eastAsia="Times New Roman" w:hAnsi="Sylfaen" w:cs="Times New Roman"/>
                <w:noProof/>
                <w:sz w:val="24"/>
                <w:szCs w:val="24"/>
              </w:rPr>
              <w:pict w14:anchorId="3B220861">
                <v:rect id="_x0000_s1040" style="position:absolute;left:0;text-align:left;margin-left:3.75pt;margin-top:3.95pt;width:12.75pt;height:12pt;z-index:251531776;mso-position-horizontal-relative:text;mso-position-vertical-relative:text"/>
              </w:pict>
            </w:r>
            <w:r w:rsidR="006F76EB" w:rsidRPr="00834D52">
              <w:rPr>
                <w:rFonts w:ascii="Sylfaen" w:hAnsi="Sylfaen" w:cs="Sylfaen"/>
                <w:sz w:val="24"/>
                <w:szCs w:val="24"/>
              </w:rPr>
              <w:t>ներմուծման</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եղանակ</w:t>
            </w:r>
          </w:p>
        </w:tc>
      </w:tr>
      <w:tr w:rsidR="006F76EB" w:rsidRPr="00834D52" w14:paraId="0E68BE61" w14:textId="77777777" w:rsidTr="00F71229">
        <w:trPr>
          <w:trHeight w:val="482"/>
          <w:jc w:val="center"/>
        </w:trPr>
        <w:tc>
          <w:tcPr>
            <w:tcW w:w="4916" w:type="dxa"/>
            <w:vMerge/>
            <w:tcBorders>
              <w:bottom w:val="single" w:sz="4" w:space="0" w:color="auto"/>
            </w:tcBorders>
          </w:tcPr>
          <w:p w14:paraId="412C3F3D" w14:textId="77777777" w:rsidR="006F76EB" w:rsidRPr="00834D52" w:rsidRDefault="006F76EB" w:rsidP="00BE625D">
            <w:pPr>
              <w:spacing w:after="120"/>
              <w:ind w:right="-8"/>
              <w:rPr>
                <w:rFonts w:ascii="Sylfaen" w:eastAsia="Times New Roman" w:hAnsi="Sylfaen" w:cs="Times New Roman"/>
                <w:sz w:val="24"/>
                <w:szCs w:val="24"/>
              </w:rPr>
            </w:pPr>
          </w:p>
        </w:tc>
        <w:tc>
          <w:tcPr>
            <w:tcW w:w="5245" w:type="dxa"/>
            <w:tcBorders>
              <w:bottom w:val="single" w:sz="4" w:space="0" w:color="auto"/>
            </w:tcBorders>
            <w:vAlign w:val="center"/>
          </w:tcPr>
          <w:p w14:paraId="5982EA70" w14:textId="77777777" w:rsidR="006F76EB" w:rsidRPr="00834D52" w:rsidRDefault="00157FD9" w:rsidP="00BE625D">
            <w:pPr>
              <w:spacing w:after="120"/>
              <w:ind w:left="459" w:right="-66"/>
              <w:rPr>
                <w:rFonts w:ascii="Sylfaen" w:eastAsia="Times New Roman" w:hAnsi="Sylfaen" w:cs="Times New Roman"/>
                <w:sz w:val="24"/>
                <w:szCs w:val="24"/>
                <w:lang w:val="en-US"/>
              </w:rPr>
            </w:pPr>
            <w:r>
              <w:rPr>
                <w:rFonts w:ascii="Sylfaen" w:eastAsia="Times New Roman" w:hAnsi="Sylfaen" w:cs="Times New Roman"/>
                <w:sz w:val="24"/>
                <w:szCs w:val="24"/>
              </w:rPr>
              <w:pict w14:anchorId="23A833DA">
                <v:rect id="_x0000_s1041" style="position:absolute;left:0;text-align:left;margin-left:4.1pt;margin-top:3.5pt;width:12.75pt;height:12pt;z-index:251532800;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w:t>
            </w:r>
            <w:r w:rsidR="006F76EB" w:rsidRPr="00834D52">
              <w:rPr>
                <w:rFonts w:ascii="Sylfaen" w:hAnsi="Sylfaen"/>
                <w:sz w:val="24"/>
                <w:szCs w:val="24"/>
              </w:rPr>
              <w:t>______________</w:t>
            </w:r>
            <w:r w:rsidR="006F76EB" w:rsidRPr="00834D52">
              <w:rPr>
                <w:rFonts w:ascii="Sylfaen" w:hAnsi="Sylfaen"/>
                <w:sz w:val="24"/>
                <w:szCs w:val="24"/>
                <w:lang w:val="en-US"/>
              </w:rPr>
              <w:t>___</w:t>
            </w:r>
          </w:p>
        </w:tc>
      </w:tr>
    </w:tbl>
    <w:p w14:paraId="635C5418" w14:textId="77777777" w:rsidR="006F76EB" w:rsidRPr="00834D52" w:rsidRDefault="006F76EB" w:rsidP="006F76EB">
      <w:pPr>
        <w:rPr>
          <w:rFonts w:ascii="Sylfaen" w:hAnsi="Sylfaen"/>
        </w:rPr>
      </w:pPr>
    </w:p>
    <w:tbl>
      <w:tblPr>
        <w:tblStyle w:val="TableGrid"/>
        <w:tblW w:w="9781" w:type="dxa"/>
        <w:jc w:val="center"/>
        <w:tblLook w:val="04A0" w:firstRow="1" w:lastRow="0" w:firstColumn="1" w:lastColumn="0" w:noHBand="0" w:noVBand="1"/>
      </w:tblPr>
      <w:tblGrid>
        <w:gridCol w:w="2318"/>
        <w:gridCol w:w="7463"/>
      </w:tblGrid>
      <w:tr w:rsidR="006F76EB" w:rsidRPr="00834D52" w14:paraId="69173037" w14:textId="77777777" w:rsidTr="00F71229">
        <w:trPr>
          <w:trHeight w:val="482"/>
          <w:jc w:val="center"/>
        </w:trPr>
        <w:tc>
          <w:tcPr>
            <w:tcW w:w="2318" w:type="dxa"/>
            <w:tcBorders>
              <w:top w:val="nil"/>
              <w:left w:val="nil"/>
              <w:bottom w:val="nil"/>
              <w:right w:val="nil"/>
            </w:tcBorders>
          </w:tcPr>
          <w:p w14:paraId="68131A26"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lastRenderedPageBreak/>
              <w:t>Ծանոթագրություն:</w:t>
            </w:r>
          </w:p>
        </w:tc>
        <w:tc>
          <w:tcPr>
            <w:tcW w:w="7463" w:type="dxa"/>
            <w:tcBorders>
              <w:top w:val="nil"/>
              <w:left w:val="nil"/>
              <w:bottom w:val="nil"/>
              <w:right w:val="nil"/>
            </w:tcBorders>
            <w:vAlign w:val="center"/>
          </w:tcPr>
          <w:p w14:paraId="3FDF0031" w14:textId="77777777" w:rsidR="006F76EB" w:rsidRPr="00834D52" w:rsidRDefault="006F76EB" w:rsidP="00F71229">
            <w:pPr>
              <w:spacing w:after="160" w:line="360" w:lineRule="auto"/>
              <w:ind w:right="-8"/>
              <w:jc w:val="both"/>
              <w:rPr>
                <w:rFonts w:ascii="Sylfaen" w:eastAsia="Times New Roman" w:hAnsi="Sylfaen" w:cs="Times New Roman"/>
                <w:sz w:val="24"/>
                <w:szCs w:val="24"/>
              </w:rPr>
            </w:pPr>
            <w:r w:rsidRPr="00834D52">
              <w:rPr>
                <w:rFonts w:ascii="Sylfaen" w:hAnsi="Sylfaen"/>
                <w:sz w:val="24"/>
                <w:szCs w:val="24"/>
              </w:rPr>
              <w:t>Հայտը լրացնելիս «օրիգինալ կենսաբանական դեղապատրաստուկ» դաշտում նշվում է տեղեկատվություն այն օրիգինալ պատրաստուկի մասին, որի կենսանմանակը գրանցման ներկայացվող դեղապատրաստուկն է: «</w:t>
            </w:r>
            <w:r w:rsidR="0032680A">
              <w:rPr>
                <w:rFonts w:ascii="Sylfaen" w:hAnsi="Sylfaen"/>
                <w:sz w:val="24"/>
                <w:szCs w:val="24"/>
              </w:rPr>
              <w:t xml:space="preserve">Ռեֆերենտ </w:t>
            </w:r>
            <w:r w:rsidRPr="00834D52">
              <w:rPr>
                <w:rFonts w:ascii="Sylfaen" w:hAnsi="Sylfaen"/>
                <w:sz w:val="24"/>
                <w:szCs w:val="24"/>
              </w:rPr>
              <w:t xml:space="preserve">պատրաստուկ» դաշտում նշվում է տեղեկատվություն այն պատրաստուկի (պատրաստուկների) մասին, որն օգտագործվել է (օգտագործվել են) կենսահամանմանությունը հաստատելու համար: </w:t>
            </w:r>
            <w:r w:rsidR="0032680A">
              <w:rPr>
                <w:rFonts w:ascii="Sylfaen" w:hAnsi="Sylfaen"/>
                <w:sz w:val="24"/>
                <w:szCs w:val="24"/>
              </w:rPr>
              <w:t xml:space="preserve">Ռեֆերենտ </w:t>
            </w:r>
            <w:r w:rsidR="00C54D75">
              <w:rPr>
                <w:rFonts w:ascii="Sylfaen" w:hAnsi="Sylfaen"/>
                <w:sz w:val="24"/>
                <w:szCs w:val="24"/>
              </w:rPr>
              <w:t>և</w:t>
            </w:r>
            <w:r w:rsidRPr="00834D52">
              <w:rPr>
                <w:rFonts w:ascii="Sylfaen" w:hAnsi="Sylfaen"/>
                <w:sz w:val="24"/>
                <w:szCs w:val="24"/>
              </w:rPr>
              <w:t xml:space="preserve"> օրիգինալ պատրաստուկների մասին տեղեկատվությունը համընկնելու դեպքում համապատասխան տեղեկատվությունը կրկնվում է:</w:t>
            </w:r>
          </w:p>
        </w:tc>
      </w:tr>
    </w:tbl>
    <w:p w14:paraId="39A194B5" w14:textId="77777777" w:rsidR="006F76EB" w:rsidRPr="00834D52" w:rsidRDefault="006F76EB" w:rsidP="006F76EB">
      <w:pPr>
        <w:spacing w:after="160" w:line="360" w:lineRule="auto"/>
        <w:ind w:right="-8"/>
        <w:jc w:val="center"/>
        <w:rPr>
          <w:rFonts w:ascii="Sylfaen" w:hAnsi="Sylfaen"/>
          <w:sz w:val="24"/>
          <w:szCs w:val="24"/>
        </w:rPr>
      </w:pPr>
    </w:p>
    <w:p w14:paraId="06D2BEB8"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06D9F808">
          <v:rect id="_x0000_s1042" style="position:absolute;left:0;text-align:left;margin-left:100.15pt;margin-top:1.45pt;width:12.75pt;height:12pt;z-index:251533824"/>
        </w:pict>
      </w:r>
      <w:r w:rsidR="006F76EB" w:rsidRPr="00834D52">
        <w:rPr>
          <w:rFonts w:ascii="Sylfaen" w:hAnsi="Sylfaen"/>
          <w:sz w:val="24"/>
          <w:szCs w:val="24"/>
        </w:rPr>
        <w:t>ՀԻԲՐԻԴԱՅԻՆ ԴԵՂԱՊԱՏՐԱՍՏՈՒԿ</w:t>
      </w:r>
    </w:p>
    <w:p w14:paraId="5DEB5FF3"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Օրիգինալ դեղապատրաստուկ՝</w:t>
      </w:r>
    </w:p>
    <w:tbl>
      <w:tblPr>
        <w:tblW w:w="10136" w:type="dxa"/>
        <w:jc w:val="center"/>
        <w:tblLayout w:type="fixed"/>
        <w:tblCellMar>
          <w:left w:w="0" w:type="dxa"/>
          <w:right w:w="0" w:type="dxa"/>
        </w:tblCellMar>
        <w:tblLook w:val="01E0" w:firstRow="1" w:lastRow="1" w:firstColumn="1" w:lastColumn="1" w:noHBand="0" w:noVBand="0"/>
      </w:tblPr>
      <w:tblGrid>
        <w:gridCol w:w="2198"/>
        <w:gridCol w:w="2552"/>
        <w:gridCol w:w="5037"/>
        <w:gridCol w:w="349"/>
      </w:tblGrid>
      <w:tr w:rsidR="006F76EB" w:rsidRPr="00834D52" w14:paraId="1F15DE54" w14:textId="77777777" w:rsidTr="00F71229">
        <w:trPr>
          <w:jc w:val="center"/>
        </w:trPr>
        <w:tc>
          <w:tcPr>
            <w:tcW w:w="4750" w:type="dxa"/>
            <w:gridSpan w:val="2"/>
            <w:tcBorders>
              <w:top w:val="single" w:sz="4" w:space="0" w:color="000000"/>
              <w:left w:val="single" w:sz="4" w:space="0" w:color="000000"/>
              <w:bottom w:val="single" w:sz="4" w:space="0" w:color="000000"/>
              <w:right w:val="single" w:sz="4" w:space="0" w:color="000000"/>
            </w:tcBorders>
          </w:tcPr>
          <w:p w14:paraId="29CCD594" w14:textId="77777777" w:rsidR="006F76EB" w:rsidRPr="00834D52" w:rsidRDefault="006F76EB" w:rsidP="00BE625D">
            <w:pPr>
              <w:spacing w:after="120" w:line="240" w:lineRule="auto"/>
              <w:ind w:left="71" w:right="-8"/>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5386" w:type="dxa"/>
            <w:gridSpan w:val="2"/>
            <w:tcBorders>
              <w:top w:val="single" w:sz="4" w:space="0" w:color="000000"/>
              <w:left w:val="single" w:sz="4" w:space="0" w:color="000000"/>
              <w:bottom w:val="single" w:sz="4" w:space="0" w:color="000000"/>
              <w:right w:val="single" w:sz="4" w:space="0" w:color="000000"/>
            </w:tcBorders>
          </w:tcPr>
          <w:p w14:paraId="322A629D" w14:textId="77777777" w:rsidR="006F76EB" w:rsidRPr="00834D52" w:rsidRDefault="006F76EB" w:rsidP="00BE625D">
            <w:pPr>
              <w:spacing w:after="120" w:line="240" w:lineRule="auto"/>
              <w:ind w:right="-8"/>
              <w:rPr>
                <w:rFonts w:ascii="Sylfaen" w:hAnsi="Sylfaen"/>
                <w:sz w:val="24"/>
                <w:szCs w:val="24"/>
              </w:rPr>
            </w:pPr>
          </w:p>
        </w:tc>
      </w:tr>
      <w:tr w:rsidR="006F76EB" w:rsidRPr="00834D52" w14:paraId="7BA6C4B8" w14:textId="77777777" w:rsidTr="00F71229">
        <w:trPr>
          <w:jc w:val="center"/>
        </w:trPr>
        <w:tc>
          <w:tcPr>
            <w:tcW w:w="4750" w:type="dxa"/>
            <w:gridSpan w:val="2"/>
            <w:tcBorders>
              <w:top w:val="single" w:sz="4" w:space="0" w:color="000000"/>
              <w:left w:val="single" w:sz="4" w:space="0" w:color="000000"/>
              <w:bottom w:val="single" w:sz="4" w:space="0" w:color="auto"/>
              <w:right w:val="single" w:sz="4" w:space="0" w:color="000000"/>
            </w:tcBorders>
          </w:tcPr>
          <w:p w14:paraId="24FF0652" w14:textId="77777777" w:rsidR="006F76EB" w:rsidRPr="00834D52" w:rsidRDefault="006F76EB" w:rsidP="00BE625D">
            <w:pPr>
              <w:spacing w:after="120" w:line="240" w:lineRule="auto"/>
              <w:ind w:left="71" w:right="-8"/>
              <w:rPr>
                <w:rFonts w:ascii="Sylfaen" w:eastAsia="Times New Roman" w:hAnsi="Sylfaen" w:cs="Times New Roman"/>
                <w:sz w:val="24"/>
                <w:szCs w:val="24"/>
              </w:rPr>
            </w:pPr>
            <w:r w:rsidRPr="00834D52">
              <w:rPr>
                <w:rFonts w:ascii="Sylfaen" w:hAnsi="Sylfaen"/>
                <w:sz w:val="24"/>
                <w:szCs w:val="24"/>
              </w:rPr>
              <w:t>գրանցման հավաստագրի իրավատերը,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5386" w:type="dxa"/>
            <w:gridSpan w:val="2"/>
            <w:tcBorders>
              <w:top w:val="single" w:sz="4" w:space="0" w:color="000000"/>
              <w:left w:val="single" w:sz="4" w:space="0" w:color="000000"/>
              <w:bottom w:val="single" w:sz="4" w:space="0" w:color="auto"/>
              <w:right w:val="single" w:sz="4" w:space="0" w:color="000000"/>
            </w:tcBorders>
          </w:tcPr>
          <w:p w14:paraId="66A24E67" w14:textId="77777777" w:rsidR="006F76EB" w:rsidRPr="00834D52" w:rsidRDefault="006F76EB" w:rsidP="00BE625D">
            <w:pPr>
              <w:spacing w:after="120" w:line="240" w:lineRule="auto"/>
              <w:ind w:right="-8"/>
              <w:rPr>
                <w:rFonts w:ascii="Sylfaen" w:hAnsi="Sylfaen"/>
                <w:sz w:val="24"/>
                <w:szCs w:val="24"/>
              </w:rPr>
            </w:pPr>
          </w:p>
        </w:tc>
      </w:tr>
      <w:tr w:rsidR="006F76EB" w:rsidRPr="00834D52" w14:paraId="39524D04" w14:textId="77777777" w:rsidTr="00F71229">
        <w:trPr>
          <w:jc w:val="center"/>
        </w:trPr>
        <w:tc>
          <w:tcPr>
            <w:tcW w:w="4750" w:type="dxa"/>
            <w:gridSpan w:val="2"/>
            <w:vMerge w:val="restart"/>
            <w:tcBorders>
              <w:top w:val="single" w:sz="4" w:space="0" w:color="auto"/>
              <w:left w:val="single" w:sz="4" w:space="0" w:color="auto"/>
              <w:bottom w:val="single" w:sz="4" w:space="0" w:color="auto"/>
              <w:right w:val="single" w:sz="4" w:space="0" w:color="auto"/>
            </w:tcBorders>
          </w:tcPr>
          <w:p w14:paraId="47D5B7FC" w14:textId="77777777" w:rsidR="006F76EB" w:rsidRPr="00834D52" w:rsidRDefault="006F76EB" w:rsidP="00BE625D">
            <w:pPr>
              <w:spacing w:after="120" w:line="240" w:lineRule="auto"/>
              <w:ind w:left="71" w:right="113"/>
              <w:rPr>
                <w:rFonts w:ascii="Sylfaen" w:eastAsia="Times New Roman" w:hAnsi="Sylfaen" w:cs="Times New Roman"/>
                <w:sz w:val="24"/>
                <w:szCs w:val="24"/>
              </w:rPr>
            </w:pPr>
            <w:r w:rsidRPr="00834D52">
              <w:rPr>
                <w:rFonts w:ascii="Sylfaen" w:hAnsi="Sylfaen"/>
                <w:sz w:val="24"/>
                <w:szCs w:val="24"/>
              </w:rPr>
              <w:t>օրիգինալ դեղապատրաստուկի համեմատ տարբերությունները՝</w:t>
            </w:r>
          </w:p>
        </w:tc>
        <w:tc>
          <w:tcPr>
            <w:tcW w:w="5386" w:type="dxa"/>
            <w:gridSpan w:val="2"/>
            <w:tcBorders>
              <w:top w:val="single" w:sz="4" w:space="0" w:color="auto"/>
              <w:left w:val="single" w:sz="4" w:space="0" w:color="auto"/>
              <w:bottom w:val="single" w:sz="4" w:space="0" w:color="auto"/>
              <w:right w:val="single" w:sz="4" w:space="0" w:color="auto"/>
            </w:tcBorders>
          </w:tcPr>
          <w:p w14:paraId="6D00232C" w14:textId="77777777" w:rsidR="006F76EB" w:rsidRPr="00834D52" w:rsidRDefault="00157FD9" w:rsidP="00BE625D">
            <w:pPr>
              <w:spacing w:after="120" w:line="240" w:lineRule="auto"/>
              <w:ind w:left="459" w:right="-8"/>
              <w:rPr>
                <w:rFonts w:ascii="Sylfaen" w:eastAsia="Times New Roman" w:hAnsi="Sylfaen" w:cs="Times New Roman"/>
                <w:sz w:val="24"/>
                <w:szCs w:val="24"/>
              </w:rPr>
            </w:pPr>
            <w:r>
              <w:rPr>
                <w:rFonts w:ascii="Sylfaen" w:eastAsia="Times New Roman" w:hAnsi="Sylfaen" w:cs="Times New Roman"/>
                <w:noProof/>
                <w:sz w:val="24"/>
                <w:szCs w:val="24"/>
              </w:rPr>
              <w:pict w14:anchorId="730D0978">
                <v:rect id="_x0000_s1043" style="position:absolute;left:0;text-align:left;margin-left:4.25pt;margin-top:4.8pt;width:12.75pt;height:12pt;z-index:251534848;mso-position-horizontal-relative:text;mso-position-vertical-relative:text"/>
              </w:pict>
            </w:r>
            <w:r w:rsidR="006F76EB" w:rsidRPr="00834D52">
              <w:rPr>
                <w:rFonts w:ascii="Sylfaen" w:hAnsi="Sylfaen" w:cs="Sylfaen"/>
                <w:sz w:val="24"/>
                <w:szCs w:val="24"/>
              </w:rPr>
              <w:t>ակտիվ</w:t>
            </w:r>
            <w:r w:rsidR="006F76EB" w:rsidRPr="00834D52">
              <w:rPr>
                <w:rFonts w:ascii="Sylfaen" w:hAnsi="Sylfaen"/>
                <w:sz w:val="24"/>
                <w:szCs w:val="24"/>
              </w:rPr>
              <w:t xml:space="preserve"> </w:t>
            </w:r>
            <w:r w:rsidR="006F76EB" w:rsidRPr="00834D52">
              <w:rPr>
                <w:rFonts w:ascii="Sylfaen" w:hAnsi="Sylfaen" w:cs="Sylfaen"/>
                <w:sz w:val="24"/>
                <w:szCs w:val="24"/>
              </w:rPr>
              <w:t>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բաղադրամասի</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փոփոխություններ</w:t>
            </w:r>
          </w:p>
        </w:tc>
      </w:tr>
      <w:tr w:rsidR="006F76EB" w:rsidRPr="00834D52" w14:paraId="441E0570" w14:textId="77777777" w:rsidTr="00F71229">
        <w:trPr>
          <w:jc w:val="center"/>
        </w:trPr>
        <w:tc>
          <w:tcPr>
            <w:tcW w:w="4750" w:type="dxa"/>
            <w:gridSpan w:val="2"/>
            <w:vMerge/>
            <w:tcBorders>
              <w:top w:val="single" w:sz="4" w:space="0" w:color="auto"/>
              <w:left w:val="single" w:sz="4" w:space="0" w:color="auto"/>
              <w:bottom w:val="single" w:sz="4" w:space="0" w:color="auto"/>
              <w:right w:val="single" w:sz="4" w:space="0" w:color="auto"/>
            </w:tcBorders>
          </w:tcPr>
          <w:p w14:paraId="25615A03"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22C6EA7A" w14:textId="77777777" w:rsidR="006F76EB" w:rsidRPr="00834D52" w:rsidRDefault="00157FD9" w:rsidP="00BE625D">
            <w:pPr>
              <w:spacing w:after="120" w:line="240" w:lineRule="auto"/>
              <w:ind w:left="459" w:right="-8"/>
              <w:rPr>
                <w:rFonts w:ascii="Sylfaen" w:eastAsia="Times New Roman" w:hAnsi="Sylfaen" w:cs="Times New Roman"/>
                <w:sz w:val="24"/>
                <w:szCs w:val="24"/>
              </w:rPr>
            </w:pPr>
            <w:r>
              <w:rPr>
                <w:rFonts w:ascii="Sylfaen" w:eastAsia="Times New Roman" w:hAnsi="Sylfaen" w:cs="Times New Roman"/>
                <w:noProof/>
                <w:sz w:val="24"/>
                <w:szCs w:val="24"/>
              </w:rPr>
              <w:pict w14:anchorId="56313422">
                <v:rect id="_x0000_s1044" style="position:absolute;left:0;text-align:left;margin-left:3.5pt;margin-top:4.35pt;width:12.75pt;height:12pt;z-index:251535872;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դեղաձ</w:t>
            </w:r>
            <w:r w:rsidR="00C54D75">
              <w:rPr>
                <w:rFonts w:ascii="Sylfaen" w:hAnsi="Sylfaen" w:cs="Sylfaen"/>
                <w:sz w:val="24"/>
                <w:szCs w:val="24"/>
              </w:rPr>
              <w:t>և</w:t>
            </w:r>
          </w:p>
        </w:tc>
      </w:tr>
      <w:tr w:rsidR="006F76EB" w:rsidRPr="00834D52" w14:paraId="28968545" w14:textId="77777777" w:rsidTr="00F71229">
        <w:trPr>
          <w:jc w:val="center"/>
        </w:trPr>
        <w:tc>
          <w:tcPr>
            <w:tcW w:w="4750" w:type="dxa"/>
            <w:gridSpan w:val="2"/>
            <w:vMerge/>
            <w:tcBorders>
              <w:top w:val="single" w:sz="4" w:space="0" w:color="auto"/>
              <w:left w:val="single" w:sz="4" w:space="0" w:color="auto"/>
              <w:bottom w:val="single" w:sz="4" w:space="0" w:color="auto"/>
              <w:right w:val="single" w:sz="4" w:space="0" w:color="auto"/>
            </w:tcBorders>
          </w:tcPr>
          <w:p w14:paraId="4EC37F97"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3D029EE5" w14:textId="77777777" w:rsidR="006F76EB" w:rsidRPr="00834D52" w:rsidRDefault="00157FD9" w:rsidP="00BE625D">
            <w:pPr>
              <w:spacing w:after="120" w:line="240" w:lineRule="auto"/>
              <w:ind w:left="459" w:right="501"/>
              <w:rPr>
                <w:rFonts w:ascii="Sylfaen" w:hAnsi="Sylfaen"/>
                <w:sz w:val="24"/>
                <w:szCs w:val="24"/>
              </w:rPr>
            </w:pPr>
            <w:r>
              <w:rPr>
                <w:rFonts w:ascii="Sylfaen" w:eastAsia="Times New Roman" w:hAnsi="Sylfaen" w:cs="Times New Roman"/>
                <w:noProof/>
                <w:sz w:val="24"/>
                <w:szCs w:val="24"/>
              </w:rPr>
              <w:pict w14:anchorId="38A9D9CA">
                <v:rect id="_x0000_s1045" style="position:absolute;left:0;text-align:left;margin-left:3.5pt;margin-top:2.75pt;width:12.75pt;height:12pt;z-index:251536896;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դեղաչափեր</w:t>
            </w:r>
            <w:r w:rsidR="006F76EB" w:rsidRPr="00834D52">
              <w:rPr>
                <w:rFonts w:ascii="Sylfaen" w:hAnsi="Sylfaen"/>
                <w:sz w:val="24"/>
                <w:szCs w:val="24"/>
              </w:rPr>
              <w:t xml:space="preserve"> (</w:t>
            </w:r>
            <w:r w:rsidR="006F76EB" w:rsidRPr="00834D52">
              <w:rPr>
                <w:rFonts w:ascii="Sylfaen" w:hAnsi="Sylfaen" w:cs="Sylfaen"/>
                <w:sz w:val="24"/>
                <w:szCs w:val="24"/>
              </w:rPr>
              <w:t>ԱԴԲ</w:t>
            </w:r>
            <w:r w:rsidR="006F76EB" w:rsidRPr="00834D52">
              <w:rPr>
                <w:rFonts w:ascii="Sylfaen" w:hAnsi="Sylfaen"/>
                <w:sz w:val="24"/>
                <w:szCs w:val="24"/>
              </w:rPr>
              <w:t>-</w:t>
            </w:r>
            <w:r w:rsidR="006F76EB" w:rsidRPr="00834D52">
              <w:rPr>
                <w:rFonts w:ascii="Sylfaen" w:hAnsi="Sylfaen" w:cs="Sylfaen"/>
                <w:sz w:val="24"/>
                <w:szCs w:val="24"/>
              </w:rPr>
              <w:t>ի</w:t>
            </w:r>
            <w:r w:rsidR="006F76EB" w:rsidRPr="00834D52">
              <w:rPr>
                <w:rFonts w:ascii="Sylfaen" w:hAnsi="Sylfaen"/>
                <w:sz w:val="24"/>
                <w:szCs w:val="24"/>
              </w:rPr>
              <w:t xml:space="preserve"> </w:t>
            </w:r>
            <w:r w:rsidR="006F76EB" w:rsidRPr="00834D52">
              <w:rPr>
                <w:rFonts w:ascii="Sylfaen" w:hAnsi="Sylfaen" w:cs="Sylfaen"/>
                <w:sz w:val="24"/>
                <w:szCs w:val="24"/>
              </w:rPr>
              <w:t>քանակական</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փոփոխություններ</w:t>
            </w:r>
            <w:r w:rsidR="006F76EB" w:rsidRPr="00834D52">
              <w:rPr>
                <w:rFonts w:ascii="Sylfaen" w:hAnsi="Sylfaen"/>
                <w:sz w:val="24"/>
                <w:szCs w:val="24"/>
              </w:rPr>
              <w:t>)</w:t>
            </w:r>
          </w:p>
        </w:tc>
      </w:tr>
      <w:tr w:rsidR="006F76EB" w:rsidRPr="00834D52" w14:paraId="263720ED" w14:textId="77777777" w:rsidTr="00F71229">
        <w:trPr>
          <w:jc w:val="center"/>
        </w:trPr>
        <w:tc>
          <w:tcPr>
            <w:tcW w:w="4750" w:type="dxa"/>
            <w:gridSpan w:val="2"/>
            <w:vMerge/>
            <w:tcBorders>
              <w:top w:val="single" w:sz="4" w:space="0" w:color="auto"/>
              <w:left w:val="single" w:sz="4" w:space="0" w:color="auto"/>
              <w:bottom w:val="single" w:sz="4" w:space="0" w:color="auto"/>
              <w:right w:val="single" w:sz="4" w:space="0" w:color="auto"/>
            </w:tcBorders>
          </w:tcPr>
          <w:p w14:paraId="318365E2"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18E86353" w14:textId="77777777" w:rsidR="006F76EB" w:rsidRPr="00834D52" w:rsidRDefault="00157FD9" w:rsidP="00BE625D">
            <w:pPr>
              <w:spacing w:after="120" w:line="240" w:lineRule="auto"/>
              <w:ind w:left="459" w:right="-8"/>
              <w:rPr>
                <w:rFonts w:ascii="Sylfaen" w:hAnsi="Sylfaen"/>
                <w:sz w:val="24"/>
                <w:szCs w:val="24"/>
              </w:rPr>
            </w:pPr>
            <w:r>
              <w:rPr>
                <w:rFonts w:ascii="Sylfaen" w:eastAsia="Times New Roman" w:hAnsi="Sylfaen" w:cs="Times New Roman"/>
                <w:noProof/>
                <w:sz w:val="24"/>
                <w:szCs w:val="24"/>
              </w:rPr>
              <w:pict w14:anchorId="6714E143">
                <v:rect id="_x0000_s1046" style="position:absolute;left:0;text-align:left;margin-left:3.5pt;margin-top:3.75pt;width:12.75pt;height:12pt;z-index:251537920;mso-position-horizontal-relative:text;mso-position-vertical-relative:text"/>
              </w:pict>
            </w:r>
            <w:r w:rsidR="006F76EB" w:rsidRPr="00834D52">
              <w:rPr>
                <w:rFonts w:ascii="Sylfaen" w:hAnsi="Sylfaen" w:cs="Sylfaen"/>
                <w:sz w:val="24"/>
                <w:szCs w:val="24"/>
              </w:rPr>
              <w:t>ներմուծման</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եղանակ</w:t>
            </w:r>
          </w:p>
        </w:tc>
      </w:tr>
      <w:tr w:rsidR="006F76EB" w:rsidRPr="00834D52" w14:paraId="35CBD9C7" w14:textId="77777777" w:rsidTr="00F71229">
        <w:trPr>
          <w:jc w:val="center"/>
        </w:trPr>
        <w:tc>
          <w:tcPr>
            <w:tcW w:w="4750" w:type="dxa"/>
            <w:gridSpan w:val="2"/>
            <w:vMerge/>
            <w:tcBorders>
              <w:top w:val="single" w:sz="4" w:space="0" w:color="auto"/>
              <w:left w:val="single" w:sz="4" w:space="0" w:color="auto"/>
              <w:bottom w:val="single" w:sz="4" w:space="0" w:color="auto"/>
              <w:right w:val="single" w:sz="4" w:space="0" w:color="auto"/>
            </w:tcBorders>
          </w:tcPr>
          <w:p w14:paraId="2BF6D94C"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auto"/>
              <w:left w:val="single" w:sz="4" w:space="0" w:color="auto"/>
              <w:bottom w:val="single" w:sz="4" w:space="0" w:color="auto"/>
              <w:right w:val="single" w:sz="4" w:space="0" w:color="auto"/>
            </w:tcBorders>
          </w:tcPr>
          <w:p w14:paraId="37FB111A" w14:textId="77777777" w:rsidR="006F76EB" w:rsidRPr="00834D52" w:rsidRDefault="00157FD9" w:rsidP="00BE625D">
            <w:pPr>
              <w:spacing w:after="120" w:line="240" w:lineRule="auto"/>
              <w:ind w:left="459" w:right="-8"/>
              <w:rPr>
                <w:rFonts w:ascii="Sylfaen" w:hAnsi="Sylfaen"/>
                <w:sz w:val="24"/>
                <w:szCs w:val="24"/>
              </w:rPr>
            </w:pPr>
            <w:r>
              <w:rPr>
                <w:rFonts w:ascii="Sylfaen" w:eastAsia="Times New Roman" w:hAnsi="Sylfaen" w:cs="Times New Roman"/>
                <w:noProof/>
                <w:sz w:val="24"/>
                <w:szCs w:val="24"/>
              </w:rPr>
              <w:pict w14:anchorId="2712C11A">
                <v:rect id="_x0000_s1047" style="position:absolute;left:0;text-align:left;margin-left:3.5pt;margin-top:3.65pt;width:12.75pt;height:12pt;z-index:251538944;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355C33">
              <w:rPr>
                <w:rFonts w:ascii="Sylfaen" w:hAnsi="Sylfaen"/>
                <w:sz w:val="24"/>
                <w:szCs w:val="24"/>
              </w:rPr>
              <w:t>դեղա</w:t>
            </w:r>
            <w:r w:rsidR="006F76EB" w:rsidRPr="00834D52">
              <w:rPr>
                <w:rFonts w:ascii="Sylfaen" w:hAnsi="Sylfaen" w:cs="Sylfaen"/>
                <w:sz w:val="24"/>
                <w:szCs w:val="24"/>
              </w:rPr>
              <w:t>կինետիկա</w:t>
            </w:r>
            <w:r w:rsidR="006F76EB" w:rsidRPr="00834D52">
              <w:rPr>
                <w:rFonts w:ascii="Sylfaen" w:hAnsi="Sylfaen"/>
                <w:sz w:val="24"/>
                <w:szCs w:val="24"/>
              </w:rPr>
              <w:t xml:space="preserve"> (</w:t>
            </w:r>
            <w:r w:rsidR="006F76EB" w:rsidRPr="00834D52">
              <w:rPr>
                <w:rFonts w:ascii="Sylfaen" w:hAnsi="Sylfaen" w:cs="Sylfaen"/>
                <w:sz w:val="24"/>
                <w:szCs w:val="24"/>
              </w:rPr>
              <w:t>ներառյալ՝</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կենսամատչելիություն</w:t>
            </w:r>
            <w:r w:rsidR="006F76EB" w:rsidRPr="00834D52">
              <w:rPr>
                <w:rFonts w:ascii="Sylfaen" w:hAnsi="Sylfaen"/>
                <w:sz w:val="24"/>
                <w:szCs w:val="24"/>
              </w:rPr>
              <w:t>)</w:t>
            </w:r>
          </w:p>
        </w:tc>
      </w:tr>
      <w:tr w:rsidR="006F76EB" w:rsidRPr="00834D52" w14:paraId="314B7EF2" w14:textId="77777777" w:rsidTr="00F71229">
        <w:trPr>
          <w:jc w:val="center"/>
        </w:trPr>
        <w:tc>
          <w:tcPr>
            <w:tcW w:w="4750" w:type="dxa"/>
            <w:gridSpan w:val="2"/>
            <w:vMerge/>
            <w:tcBorders>
              <w:top w:val="single" w:sz="4" w:space="0" w:color="auto"/>
              <w:left w:val="single" w:sz="4" w:space="0" w:color="000000"/>
              <w:right w:val="single" w:sz="4" w:space="0" w:color="000000"/>
            </w:tcBorders>
          </w:tcPr>
          <w:p w14:paraId="686E7E22"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auto"/>
              <w:left w:val="single" w:sz="4" w:space="0" w:color="000000"/>
              <w:bottom w:val="single" w:sz="4" w:space="0" w:color="000000"/>
              <w:right w:val="single" w:sz="4" w:space="0" w:color="000000"/>
            </w:tcBorders>
          </w:tcPr>
          <w:p w14:paraId="71E9CC32" w14:textId="77777777" w:rsidR="006F76EB" w:rsidRPr="00834D52" w:rsidRDefault="00157FD9" w:rsidP="00BE625D">
            <w:pPr>
              <w:spacing w:after="120" w:line="240" w:lineRule="auto"/>
              <w:ind w:left="459" w:right="-8"/>
              <w:rPr>
                <w:rFonts w:ascii="Sylfaen" w:hAnsi="Sylfaen"/>
                <w:sz w:val="24"/>
                <w:szCs w:val="24"/>
              </w:rPr>
            </w:pPr>
            <w:r>
              <w:rPr>
                <w:rFonts w:ascii="Sylfaen" w:eastAsia="Times New Roman" w:hAnsi="Sylfaen" w:cs="Times New Roman"/>
                <w:noProof/>
                <w:sz w:val="24"/>
                <w:szCs w:val="24"/>
              </w:rPr>
              <w:pict w14:anchorId="1586BC4B">
                <v:rect id="_x0000_s1048" style="position:absolute;left:0;text-align:left;margin-left:3.5pt;margin-top:2.45pt;width:12.75pt;height:12pt;z-index:251539968;mso-position-horizontal-relative:text;mso-position-vertical-relative:text"/>
              </w:pict>
            </w:r>
            <w:r w:rsidR="006F76EB" w:rsidRPr="00834D52">
              <w:rPr>
                <w:rFonts w:ascii="Sylfaen" w:hAnsi="Sylfaen" w:cs="Sylfaen"/>
                <w:sz w:val="24"/>
                <w:szCs w:val="24"/>
              </w:rPr>
              <w:t>կիրառման</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ցուցում</w:t>
            </w:r>
          </w:p>
        </w:tc>
      </w:tr>
      <w:tr w:rsidR="006F76EB" w:rsidRPr="00834D52" w14:paraId="37E66F1D" w14:textId="77777777" w:rsidTr="00F71229">
        <w:trPr>
          <w:trHeight w:val="486"/>
          <w:jc w:val="center"/>
        </w:trPr>
        <w:tc>
          <w:tcPr>
            <w:tcW w:w="4750" w:type="dxa"/>
            <w:gridSpan w:val="2"/>
            <w:vMerge/>
            <w:tcBorders>
              <w:left w:val="single" w:sz="4" w:space="0" w:color="000000"/>
              <w:bottom w:val="single" w:sz="4" w:space="0" w:color="auto"/>
              <w:right w:val="single" w:sz="4" w:space="0" w:color="000000"/>
            </w:tcBorders>
          </w:tcPr>
          <w:p w14:paraId="3851C93B" w14:textId="77777777" w:rsidR="006F76EB" w:rsidRPr="00834D52" w:rsidRDefault="006F76EB" w:rsidP="00BE625D">
            <w:pPr>
              <w:spacing w:after="120" w:line="240" w:lineRule="auto"/>
              <w:ind w:left="71" w:right="-8"/>
              <w:rPr>
                <w:rFonts w:ascii="Sylfaen" w:eastAsia="Times New Roman" w:hAnsi="Sylfaen" w:cs="Times New Roman"/>
                <w:sz w:val="24"/>
                <w:szCs w:val="24"/>
              </w:rPr>
            </w:pPr>
          </w:p>
        </w:tc>
        <w:tc>
          <w:tcPr>
            <w:tcW w:w="5386" w:type="dxa"/>
            <w:gridSpan w:val="2"/>
            <w:tcBorders>
              <w:top w:val="single" w:sz="4" w:space="0" w:color="000000"/>
              <w:left w:val="single" w:sz="4" w:space="0" w:color="000000"/>
              <w:bottom w:val="single" w:sz="4" w:space="0" w:color="auto"/>
              <w:right w:val="single" w:sz="4" w:space="0" w:color="000000"/>
            </w:tcBorders>
          </w:tcPr>
          <w:p w14:paraId="34A1A291" w14:textId="77777777" w:rsidR="006F76EB" w:rsidRPr="00834D52" w:rsidRDefault="00157FD9" w:rsidP="00BE625D">
            <w:pPr>
              <w:spacing w:after="120" w:line="240" w:lineRule="auto"/>
              <w:ind w:left="459" w:right="-8"/>
              <w:rPr>
                <w:rFonts w:ascii="Sylfaen" w:hAnsi="Sylfaen"/>
                <w:sz w:val="24"/>
                <w:szCs w:val="24"/>
                <w:lang w:val="en-US"/>
              </w:rPr>
            </w:pPr>
            <w:r>
              <w:rPr>
                <w:rFonts w:ascii="Sylfaen" w:eastAsia="Times New Roman" w:hAnsi="Sylfaen" w:cs="Times New Roman"/>
                <w:noProof/>
                <w:sz w:val="24"/>
                <w:szCs w:val="24"/>
              </w:rPr>
              <w:pict w14:anchorId="6CF24569">
                <v:rect id="_x0000_s1049" style="position:absolute;left:0;text-align:left;margin-left:4.25pt;margin-top:4.6pt;width:12.75pt;height:12pt;z-index:251540992;mso-position-horizontal-relative:text;mso-position-vertical-relative:text"/>
              </w:pic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w:t>
            </w:r>
            <w:r w:rsidR="006F76EB" w:rsidRPr="00834D52">
              <w:rPr>
                <w:rFonts w:ascii="Sylfaen" w:hAnsi="Sylfaen"/>
                <w:sz w:val="24"/>
                <w:szCs w:val="24"/>
              </w:rPr>
              <w:t>_____________</w:t>
            </w:r>
            <w:r w:rsidR="006F76EB" w:rsidRPr="00834D52">
              <w:rPr>
                <w:rFonts w:ascii="Sylfaen" w:hAnsi="Sylfaen"/>
                <w:sz w:val="24"/>
                <w:szCs w:val="24"/>
                <w:lang w:val="en-US"/>
              </w:rPr>
              <w:t>_</w:t>
            </w:r>
            <w:r w:rsidR="006F76EB" w:rsidRPr="00834D52">
              <w:rPr>
                <w:rFonts w:ascii="Sylfaen" w:hAnsi="Sylfaen"/>
                <w:sz w:val="24"/>
                <w:szCs w:val="24"/>
              </w:rPr>
              <w:t>___</w:t>
            </w:r>
            <w:r w:rsidR="006F76EB" w:rsidRPr="00834D52">
              <w:rPr>
                <w:rFonts w:ascii="Sylfaen" w:hAnsi="Sylfaen"/>
                <w:sz w:val="24"/>
                <w:szCs w:val="24"/>
                <w:lang w:val="en-US"/>
              </w:rPr>
              <w:t>__</w:t>
            </w:r>
          </w:p>
        </w:tc>
      </w:tr>
      <w:tr w:rsidR="006F76EB" w:rsidRPr="00834D52" w14:paraId="553305CD" w14:textId="77777777" w:rsidTr="00F71229">
        <w:tblPrEx>
          <w:jc w:val="left"/>
        </w:tblPrEx>
        <w:trPr>
          <w:gridAfter w:val="1"/>
          <w:wAfter w:w="349" w:type="dxa"/>
        </w:trPr>
        <w:tc>
          <w:tcPr>
            <w:tcW w:w="2198" w:type="dxa"/>
          </w:tcPr>
          <w:p w14:paraId="1E418E98"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lastRenderedPageBreak/>
              <w:t>Ծանոթագրություն:</w:t>
            </w:r>
          </w:p>
        </w:tc>
        <w:tc>
          <w:tcPr>
            <w:tcW w:w="7589" w:type="dxa"/>
            <w:gridSpan w:val="2"/>
          </w:tcPr>
          <w:p w14:paraId="540815A4" w14:textId="77777777" w:rsidR="006F76EB" w:rsidRPr="00834D52" w:rsidRDefault="006F76EB" w:rsidP="00F71229">
            <w:pPr>
              <w:spacing w:after="160" w:line="360" w:lineRule="auto"/>
              <w:ind w:left="61" w:right="25"/>
              <w:jc w:val="both"/>
              <w:rPr>
                <w:rFonts w:ascii="Sylfaen" w:eastAsia="Times New Roman" w:hAnsi="Sylfaen" w:cs="Times New Roman"/>
                <w:sz w:val="24"/>
                <w:szCs w:val="24"/>
              </w:rPr>
            </w:pPr>
            <w:r w:rsidRPr="00834D52">
              <w:rPr>
                <w:rFonts w:ascii="Sylfaen" w:hAnsi="Sylfaen"/>
                <w:sz w:val="24"/>
                <w:szCs w:val="24"/>
              </w:rPr>
              <w:t>Հայտը լրացնելիս տվյալ դաշտում նշվում է տեղեկատվություն այն օրիգինալ պատրաստուկի մասին, որի հիբրիդային կրկնօրինակը տվյալ դեղապատրաստուկն է: Նշված դաշտը լրացվում է՝ անկախ օրիգինալ պատրաստուկի՝ դեղագործական շուկայում առկայությունից:</w:t>
            </w:r>
          </w:p>
        </w:tc>
      </w:tr>
    </w:tbl>
    <w:p w14:paraId="21725F6B" w14:textId="77777777" w:rsidR="006F76EB" w:rsidRPr="00834D52" w:rsidRDefault="006F76EB" w:rsidP="00F24A75">
      <w:pPr>
        <w:spacing w:after="0" w:line="240" w:lineRule="auto"/>
        <w:ind w:right="-6"/>
        <w:jc w:val="center"/>
        <w:rPr>
          <w:rFonts w:ascii="Sylfaen" w:hAnsi="Sylfaen"/>
          <w:sz w:val="24"/>
          <w:szCs w:val="24"/>
        </w:rPr>
      </w:pPr>
    </w:p>
    <w:p w14:paraId="3BC34C76"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55DC7E1">
          <v:rect id="_x0000_s1050" style="position:absolute;left:0;text-align:left;margin-left:102pt;margin-top:3pt;width:12.75pt;height:12pt;z-index:251542016"/>
        </w:pict>
      </w:r>
      <w:r w:rsidR="006F76EB" w:rsidRPr="00834D52">
        <w:rPr>
          <w:rFonts w:ascii="Sylfaen" w:hAnsi="Sylfaen"/>
          <w:sz w:val="24"/>
          <w:szCs w:val="24"/>
        </w:rPr>
        <w:t>ՀԱՄԱԿՑՎԱԾ ԴԵՂԱՊԱՏՐԱՍՏՈՒԿ</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4791"/>
        <w:gridCol w:w="567"/>
        <w:gridCol w:w="3402"/>
      </w:tblGrid>
      <w:tr w:rsidR="006F76EB" w:rsidRPr="00834D52" w14:paraId="3908B307" w14:textId="77777777" w:rsidTr="00F71229">
        <w:trPr>
          <w:jc w:val="center"/>
        </w:trPr>
        <w:tc>
          <w:tcPr>
            <w:tcW w:w="420" w:type="dxa"/>
          </w:tcPr>
          <w:p w14:paraId="4E59145F" w14:textId="77777777" w:rsidR="006F76EB" w:rsidRPr="00834D52" w:rsidRDefault="00157FD9" w:rsidP="00F71229">
            <w:pPr>
              <w:spacing w:after="160" w:line="360" w:lineRule="auto"/>
              <w:ind w:right="-8"/>
              <w:rPr>
                <w:rFonts w:ascii="Sylfaen" w:hAnsi="Sylfaen"/>
                <w:sz w:val="24"/>
                <w:szCs w:val="24"/>
              </w:rPr>
            </w:pPr>
            <w:r>
              <w:rPr>
                <w:rFonts w:ascii="Sylfaen" w:hAnsi="Sylfaen"/>
                <w:noProof/>
                <w:sz w:val="24"/>
                <w:szCs w:val="24"/>
              </w:rPr>
              <w:pict w14:anchorId="19C9CA99">
                <v:rect id="_x0000_s1051" style="position:absolute;margin-left:-3pt;margin-top:4.05pt;width:12.75pt;height:12pt;z-index:251543040"/>
              </w:pict>
            </w:r>
          </w:p>
        </w:tc>
        <w:tc>
          <w:tcPr>
            <w:tcW w:w="4791" w:type="dxa"/>
          </w:tcPr>
          <w:p w14:paraId="4A6F619E" w14:textId="77777777" w:rsidR="006F76EB" w:rsidRPr="00834D52" w:rsidRDefault="006F76EB" w:rsidP="00F71229">
            <w:pPr>
              <w:spacing w:after="160" w:line="360" w:lineRule="auto"/>
              <w:ind w:right="-8"/>
              <w:rPr>
                <w:rFonts w:ascii="Sylfaen" w:hAnsi="Sylfaen"/>
                <w:sz w:val="24"/>
                <w:szCs w:val="24"/>
              </w:rPr>
            </w:pPr>
            <w:r w:rsidRPr="00834D52">
              <w:rPr>
                <w:rFonts w:ascii="Sylfaen" w:hAnsi="Sylfaen"/>
                <w:sz w:val="24"/>
                <w:szCs w:val="24"/>
              </w:rPr>
              <w:t>հայտնի համակցություն</w:t>
            </w:r>
          </w:p>
        </w:tc>
        <w:tc>
          <w:tcPr>
            <w:tcW w:w="567" w:type="dxa"/>
            <w:vAlign w:val="center"/>
          </w:tcPr>
          <w:p w14:paraId="2E00D3D3" w14:textId="77777777" w:rsidR="006F76EB" w:rsidRPr="00834D52" w:rsidRDefault="00157FD9" w:rsidP="00F71229">
            <w:pPr>
              <w:spacing w:after="160" w:line="360" w:lineRule="auto"/>
              <w:ind w:right="-8"/>
              <w:jc w:val="right"/>
              <w:rPr>
                <w:rFonts w:ascii="Sylfaen" w:hAnsi="Sylfaen"/>
                <w:sz w:val="24"/>
                <w:szCs w:val="24"/>
              </w:rPr>
            </w:pPr>
            <w:r>
              <w:rPr>
                <w:rFonts w:ascii="Sylfaen" w:hAnsi="Sylfaen"/>
                <w:noProof/>
                <w:sz w:val="24"/>
                <w:szCs w:val="24"/>
              </w:rPr>
              <w:pict w14:anchorId="6D6E0A79">
                <v:rect id="_x0000_s1052" style="position:absolute;left:0;text-align:left;margin-left:-.65pt;margin-top:4.15pt;width:12.75pt;height:12pt;z-index:251544064;mso-position-horizontal-relative:text;mso-position-vertical-relative:text"/>
              </w:pict>
            </w:r>
          </w:p>
        </w:tc>
        <w:tc>
          <w:tcPr>
            <w:tcW w:w="3402" w:type="dxa"/>
          </w:tcPr>
          <w:p w14:paraId="70CB0EEE" w14:textId="77777777" w:rsidR="006F76EB" w:rsidRPr="00834D52" w:rsidRDefault="006F76EB" w:rsidP="00F71229">
            <w:pPr>
              <w:spacing w:after="160" w:line="360" w:lineRule="auto"/>
              <w:ind w:right="-8"/>
              <w:rPr>
                <w:rFonts w:ascii="Sylfaen" w:hAnsi="Sylfaen"/>
                <w:sz w:val="24"/>
                <w:szCs w:val="24"/>
              </w:rPr>
            </w:pPr>
            <w:r w:rsidRPr="00834D52">
              <w:rPr>
                <w:rFonts w:ascii="Sylfaen" w:hAnsi="Sylfaen"/>
                <w:sz w:val="24"/>
                <w:szCs w:val="24"/>
              </w:rPr>
              <w:t>նոր համակցություն</w:t>
            </w:r>
          </w:p>
        </w:tc>
      </w:tr>
    </w:tbl>
    <w:p w14:paraId="1DC8E30B" w14:textId="77777777" w:rsidR="006F76EB" w:rsidRPr="00834D52" w:rsidRDefault="006F76EB" w:rsidP="00F24A75">
      <w:pPr>
        <w:spacing w:after="0" w:line="240" w:lineRule="auto"/>
        <w:ind w:right="-6"/>
        <w:rPr>
          <w:rFonts w:ascii="Sylfaen" w:hAnsi="Sylfaen"/>
          <w:sz w:val="24"/>
          <w:szCs w:val="24"/>
          <w:lang w:val="en-US"/>
        </w:rPr>
      </w:pPr>
    </w:p>
    <w:p w14:paraId="3EBAEC1F"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Օրիգինալ դեղապատրաստուկ (հայտնի համակցության դեպքում)՝</w:t>
      </w:r>
    </w:p>
    <w:tbl>
      <w:tblPr>
        <w:tblW w:w="0" w:type="auto"/>
        <w:jc w:val="center"/>
        <w:tblLayout w:type="fixed"/>
        <w:tblCellMar>
          <w:left w:w="0" w:type="dxa"/>
          <w:right w:w="0" w:type="dxa"/>
        </w:tblCellMar>
        <w:tblLook w:val="01E0" w:firstRow="1" w:lastRow="1" w:firstColumn="1" w:lastColumn="1" w:noHBand="0" w:noVBand="0"/>
      </w:tblPr>
      <w:tblGrid>
        <w:gridCol w:w="4810"/>
        <w:gridCol w:w="4978"/>
      </w:tblGrid>
      <w:tr w:rsidR="006F76EB" w:rsidRPr="00834D52" w14:paraId="436C70C9" w14:textId="77777777" w:rsidTr="00F71229">
        <w:trPr>
          <w:jc w:val="center"/>
        </w:trPr>
        <w:tc>
          <w:tcPr>
            <w:tcW w:w="4810" w:type="dxa"/>
            <w:tcBorders>
              <w:top w:val="single" w:sz="4" w:space="0" w:color="000000"/>
              <w:left w:val="single" w:sz="4" w:space="0" w:color="000000"/>
              <w:bottom w:val="single" w:sz="4" w:space="0" w:color="000000"/>
              <w:right w:val="single" w:sz="4" w:space="0" w:color="000000"/>
            </w:tcBorders>
          </w:tcPr>
          <w:p w14:paraId="240133E9" w14:textId="77777777" w:rsidR="006F76EB" w:rsidRPr="00834D52" w:rsidRDefault="006F76EB" w:rsidP="00F24A75">
            <w:pPr>
              <w:spacing w:after="120" w:line="240" w:lineRule="auto"/>
              <w:ind w:left="213" w:right="-6"/>
              <w:rPr>
                <w:rFonts w:ascii="Sylfaen" w:eastAsia="Times New Roman" w:hAnsi="Sylfaen" w:cs="Times New Roman"/>
                <w:sz w:val="24"/>
                <w:szCs w:val="24"/>
              </w:rPr>
            </w:pPr>
            <w:r w:rsidRPr="00834D52">
              <w:rPr>
                <w:rFonts w:ascii="Sylfaen" w:hAnsi="Sylfaen"/>
                <w:sz w:val="24"/>
                <w:szCs w:val="24"/>
              </w:rPr>
              <w:t>դեղապատրաստուկի անվանումը, դեղաչափը, դեղաձ</w:t>
            </w:r>
            <w:r w:rsidR="00C54D75">
              <w:rPr>
                <w:rFonts w:ascii="Sylfaen" w:hAnsi="Sylfaen"/>
                <w:sz w:val="24"/>
                <w:szCs w:val="24"/>
              </w:rPr>
              <w:t>և</w:t>
            </w:r>
            <w:r w:rsidRPr="00834D52">
              <w:rPr>
                <w:rFonts w:ascii="Sylfaen" w:hAnsi="Sylfaen"/>
                <w:sz w:val="24"/>
                <w:szCs w:val="24"/>
              </w:rPr>
              <w:t>ը</w:t>
            </w:r>
          </w:p>
        </w:tc>
        <w:tc>
          <w:tcPr>
            <w:tcW w:w="4978" w:type="dxa"/>
            <w:tcBorders>
              <w:top w:val="single" w:sz="4" w:space="0" w:color="000000"/>
              <w:left w:val="single" w:sz="4" w:space="0" w:color="000000"/>
              <w:bottom w:val="single" w:sz="4" w:space="0" w:color="000000"/>
              <w:right w:val="single" w:sz="4" w:space="0" w:color="000000"/>
            </w:tcBorders>
          </w:tcPr>
          <w:p w14:paraId="5D313288" w14:textId="77777777" w:rsidR="006F76EB" w:rsidRPr="00834D52" w:rsidRDefault="006F76EB" w:rsidP="00F24A75">
            <w:pPr>
              <w:spacing w:after="120" w:line="240" w:lineRule="auto"/>
              <w:ind w:right="-6"/>
              <w:rPr>
                <w:rFonts w:ascii="Sylfaen" w:hAnsi="Sylfaen"/>
                <w:sz w:val="24"/>
                <w:szCs w:val="24"/>
              </w:rPr>
            </w:pPr>
          </w:p>
        </w:tc>
      </w:tr>
      <w:tr w:rsidR="006F76EB" w:rsidRPr="00834D52" w14:paraId="3939AD0F" w14:textId="77777777" w:rsidTr="00F71229">
        <w:trPr>
          <w:jc w:val="center"/>
        </w:trPr>
        <w:tc>
          <w:tcPr>
            <w:tcW w:w="4810" w:type="dxa"/>
            <w:tcBorders>
              <w:top w:val="single" w:sz="4" w:space="0" w:color="000000"/>
              <w:left w:val="single" w:sz="4" w:space="0" w:color="000000"/>
              <w:bottom w:val="single" w:sz="4" w:space="0" w:color="000000"/>
              <w:right w:val="single" w:sz="4" w:space="0" w:color="000000"/>
            </w:tcBorders>
          </w:tcPr>
          <w:p w14:paraId="322F9FA5" w14:textId="77777777" w:rsidR="006F76EB" w:rsidRPr="00834D52" w:rsidRDefault="006F76EB" w:rsidP="00F24A75">
            <w:pPr>
              <w:spacing w:after="120" w:line="240" w:lineRule="auto"/>
              <w:ind w:left="213" w:right="-6"/>
              <w:rPr>
                <w:rFonts w:ascii="Sylfaen" w:eastAsia="Times New Roman" w:hAnsi="Sylfaen" w:cs="Times New Roman"/>
                <w:sz w:val="24"/>
                <w:szCs w:val="24"/>
              </w:rPr>
            </w:pPr>
            <w:r w:rsidRPr="00834D52">
              <w:rPr>
                <w:rFonts w:ascii="Sylfaen" w:hAnsi="Sylfaen"/>
                <w:sz w:val="24"/>
                <w:szCs w:val="24"/>
              </w:rPr>
              <w:t>գրանցման հավաստագրի իրավատերը,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978" w:type="dxa"/>
            <w:tcBorders>
              <w:top w:val="single" w:sz="4" w:space="0" w:color="000000"/>
              <w:left w:val="single" w:sz="4" w:space="0" w:color="000000"/>
              <w:bottom w:val="single" w:sz="4" w:space="0" w:color="000000"/>
              <w:right w:val="single" w:sz="4" w:space="0" w:color="000000"/>
            </w:tcBorders>
          </w:tcPr>
          <w:p w14:paraId="680C4180" w14:textId="77777777" w:rsidR="006F76EB" w:rsidRPr="00834D52" w:rsidRDefault="006F76EB" w:rsidP="00F24A75">
            <w:pPr>
              <w:spacing w:after="120" w:line="240" w:lineRule="auto"/>
              <w:ind w:right="-6"/>
              <w:rPr>
                <w:rFonts w:ascii="Sylfaen" w:hAnsi="Sylfaen"/>
                <w:sz w:val="24"/>
                <w:szCs w:val="24"/>
              </w:rPr>
            </w:pPr>
          </w:p>
        </w:tc>
      </w:tr>
    </w:tbl>
    <w:p w14:paraId="74B0DEF4" w14:textId="77777777" w:rsidR="006F76EB" w:rsidRPr="00834D52" w:rsidRDefault="006F76EB" w:rsidP="00F24A75">
      <w:pPr>
        <w:widowControl/>
        <w:jc w:val="center"/>
        <w:rPr>
          <w:rFonts w:ascii="Sylfaen" w:hAnsi="Sylfaen"/>
          <w:sz w:val="24"/>
          <w:szCs w:val="24"/>
        </w:rPr>
      </w:pPr>
    </w:p>
    <w:p w14:paraId="406633EC" w14:textId="77777777" w:rsidR="006F76EB" w:rsidRPr="00834D52" w:rsidRDefault="00157FD9" w:rsidP="006F76EB">
      <w:pPr>
        <w:spacing w:after="160" w:line="360" w:lineRule="auto"/>
        <w:ind w:left="1134" w:right="1132"/>
        <w:jc w:val="center"/>
        <w:rPr>
          <w:rFonts w:ascii="Sylfaen" w:eastAsia="Times New Roman" w:hAnsi="Sylfaen" w:cs="Times New Roman"/>
          <w:sz w:val="24"/>
          <w:szCs w:val="24"/>
        </w:rPr>
      </w:pPr>
      <w:r>
        <w:rPr>
          <w:rFonts w:ascii="Sylfaen" w:eastAsia="Times New Roman" w:hAnsi="Sylfaen" w:cs="Times New Roman"/>
          <w:noProof/>
          <w:sz w:val="24"/>
          <w:szCs w:val="24"/>
        </w:rPr>
        <w:pict w14:anchorId="3194BB52">
          <v:rect id="_x0000_s1053" style="position:absolute;left:0;text-align:left;margin-left:42.75pt;margin-top:2.8pt;width:12.75pt;height:12pt;z-index:251545088"/>
        </w:pict>
      </w:r>
      <w:r w:rsidR="006F76EB" w:rsidRPr="00834D52">
        <w:rPr>
          <w:rFonts w:ascii="Sylfaen" w:hAnsi="Sylfaen" w:cs="Sylfaen"/>
          <w:sz w:val="24"/>
          <w:szCs w:val="24"/>
        </w:rPr>
        <w:t>ԼԱՎ</w:t>
      </w:r>
      <w:r w:rsidR="006F76EB" w:rsidRPr="00834D52">
        <w:rPr>
          <w:rFonts w:ascii="Sylfaen" w:hAnsi="Sylfaen"/>
          <w:sz w:val="24"/>
          <w:szCs w:val="24"/>
        </w:rPr>
        <w:t xml:space="preserve"> </w:t>
      </w:r>
      <w:r w:rsidR="006F76EB" w:rsidRPr="00834D52">
        <w:rPr>
          <w:rFonts w:ascii="Sylfaen" w:hAnsi="Sylfaen" w:cs="Sylfaen"/>
          <w:sz w:val="24"/>
          <w:szCs w:val="24"/>
        </w:rPr>
        <w:t>ՈՒՍՈՒՄՆԱՍԻՐՎԱԾ</w:t>
      </w:r>
      <w:r w:rsidR="006F76EB" w:rsidRPr="00834D52">
        <w:rPr>
          <w:rFonts w:ascii="Sylfaen" w:hAnsi="Sylfaen"/>
          <w:sz w:val="24"/>
          <w:szCs w:val="24"/>
        </w:rPr>
        <w:t xml:space="preserve"> </w:t>
      </w:r>
      <w:r w:rsidR="006F76EB" w:rsidRPr="00834D52">
        <w:rPr>
          <w:rFonts w:ascii="Sylfaen" w:hAnsi="Sylfaen" w:cs="Sylfaen"/>
          <w:sz w:val="24"/>
          <w:szCs w:val="24"/>
        </w:rPr>
        <w:t>ԲԺՇԿԱԿԱՆ</w:t>
      </w:r>
      <w:r w:rsidR="006F76EB" w:rsidRPr="00834D52">
        <w:rPr>
          <w:rFonts w:ascii="Sylfaen" w:hAnsi="Sylfaen"/>
          <w:sz w:val="24"/>
          <w:szCs w:val="24"/>
        </w:rPr>
        <w:t xml:space="preserve"> </w:t>
      </w:r>
      <w:r w:rsidR="006F76EB" w:rsidRPr="00834D52">
        <w:rPr>
          <w:rFonts w:ascii="Sylfaen" w:hAnsi="Sylfaen" w:cs="Sylfaen"/>
          <w:sz w:val="24"/>
          <w:szCs w:val="24"/>
        </w:rPr>
        <w:t>ԿԻՐԱՌՈՒԹՅԱՄԲ</w:t>
      </w:r>
      <w:r w:rsidR="006F76EB" w:rsidRPr="00834D52">
        <w:rPr>
          <w:rFonts w:ascii="Sylfaen" w:hAnsi="Sylfaen"/>
          <w:sz w:val="24"/>
          <w:szCs w:val="24"/>
        </w:rPr>
        <w:t xml:space="preserve"> </w:t>
      </w:r>
      <w:r w:rsidR="006F76EB" w:rsidRPr="00834D52">
        <w:rPr>
          <w:rFonts w:ascii="Sylfaen" w:hAnsi="Sylfaen" w:cs="Sylfaen"/>
          <w:sz w:val="24"/>
          <w:szCs w:val="24"/>
        </w:rPr>
        <w:t>ԴԵՂԱՊԱՏՐԱՍՏՈՒԿ</w:t>
      </w:r>
    </w:p>
    <w:p w14:paraId="2BE2B330" w14:textId="77777777" w:rsidR="006F76EB" w:rsidRPr="00834D52" w:rsidRDefault="00157FD9" w:rsidP="006F76EB">
      <w:pPr>
        <w:spacing w:after="160" w:line="360" w:lineRule="auto"/>
        <w:ind w:left="1134" w:right="1132"/>
        <w:jc w:val="center"/>
        <w:rPr>
          <w:rFonts w:ascii="Sylfaen" w:eastAsia="Times New Roman" w:hAnsi="Sylfaen" w:cs="Times New Roman"/>
          <w:sz w:val="24"/>
          <w:szCs w:val="24"/>
        </w:rPr>
      </w:pPr>
      <w:r>
        <w:rPr>
          <w:rFonts w:ascii="Sylfaen" w:hAnsi="Sylfaen"/>
          <w:noProof/>
          <w:sz w:val="24"/>
          <w:szCs w:val="24"/>
        </w:rPr>
        <w:pict w14:anchorId="31E2F9E7">
          <v:rect id="_x0000_s1054" style="position:absolute;left:0;text-align:left;margin-left:55.5pt;margin-top:2.5pt;width:12.75pt;height:12pt;z-index:251546112"/>
        </w:pict>
      </w:r>
      <w:r w:rsidR="006F76EB" w:rsidRPr="00834D52">
        <w:rPr>
          <w:rFonts w:ascii="Sylfaen" w:hAnsi="Sylfaen" w:cs="Sylfaen"/>
          <w:sz w:val="24"/>
          <w:szCs w:val="24"/>
        </w:rPr>
        <w:t>ՌԱԴԻՈԴԵՂԱԳՈՐԾԱԿԱՆ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ԴԵՂԱՊԱՏՐԱՍՏՈՒԿ</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ՊՐԵԿՈՒՐՍՈՐ</w:t>
      </w:r>
    </w:p>
    <w:p w14:paraId="3300F2BC" w14:textId="77777777" w:rsidR="006F76EB" w:rsidRPr="00834D52" w:rsidRDefault="00157FD9" w:rsidP="006F76EB">
      <w:pPr>
        <w:spacing w:after="160" w:line="360" w:lineRule="auto"/>
        <w:ind w:left="567" w:right="-8"/>
        <w:rPr>
          <w:rFonts w:ascii="Sylfaen" w:eastAsia="Times New Roman" w:hAnsi="Sylfaen" w:cs="Times New Roman"/>
          <w:sz w:val="24"/>
          <w:szCs w:val="24"/>
        </w:rPr>
      </w:pPr>
      <w:r>
        <w:rPr>
          <w:rFonts w:ascii="Sylfaen" w:hAnsi="Sylfaen"/>
          <w:noProof/>
          <w:sz w:val="24"/>
          <w:szCs w:val="24"/>
        </w:rPr>
        <w:pict w14:anchorId="6B99E6D6">
          <v:rect id="_x0000_s1055" style="position:absolute;left:0;text-align:left;margin-left:1.5pt;margin-top:4.9pt;width:12.75pt;height:12pt;z-index:251547136"/>
        </w:pict>
      </w:r>
      <w:r w:rsidR="006F76EB" w:rsidRPr="00834D52">
        <w:rPr>
          <w:rFonts w:ascii="Sylfaen" w:hAnsi="Sylfaen" w:cs="Sylfaen"/>
          <w:sz w:val="24"/>
          <w:szCs w:val="24"/>
        </w:rPr>
        <w:t>ռադիոդեղագործական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հավաքակազմը</w:t>
      </w:r>
    </w:p>
    <w:p w14:paraId="466CD5E9" w14:textId="77777777" w:rsidR="006F76EB" w:rsidRPr="00834D52" w:rsidRDefault="00157FD9" w:rsidP="006F76EB">
      <w:pPr>
        <w:spacing w:after="160" w:line="360" w:lineRule="auto"/>
        <w:ind w:left="567" w:right="-8"/>
        <w:rPr>
          <w:rFonts w:ascii="Sylfaen" w:eastAsia="Times New Roman" w:hAnsi="Sylfaen" w:cs="Times New Roman"/>
          <w:sz w:val="24"/>
          <w:szCs w:val="24"/>
        </w:rPr>
      </w:pPr>
      <w:r>
        <w:rPr>
          <w:rFonts w:ascii="Sylfaen" w:eastAsia="Times New Roman" w:hAnsi="Sylfaen" w:cs="Times New Roman"/>
          <w:noProof/>
          <w:sz w:val="24"/>
          <w:szCs w:val="24"/>
        </w:rPr>
        <w:pict w14:anchorId="0A398A5E">
          <v:rect id="_x0000_s1056" style="position:absolute;left:0;text-align:left;margin-left:1.5pt;margin-top:2.3pt;width:12.75pt;height:12pt;z-index:251548160"/>
        </w:pict>
      </w:r>
      <w:r w:rsidR="006F76EB" w:rsidRPr="00834D52">
        <w:rPr>
          <w:rFonts w:ascii="Sylfaen" w:hAnsi="Sylfaen" w:cs="Sylfaen"/>
          <w:sz w:val="24"/>
          <w:szCs w:val="24"/>
        </w:rPr>
        <w:t>ռադիոնուկլիդի</w:t>
      </w:r>
      <w:r w:rsidR="006F76EB" w:rsidRPr="00834D52">
        <w:rPr>
          <w:rFonts w:ascii="Sylfaen" w:hAnsi="Sylfaen"/>
          <w:sz w:val="24"/>
          <w:szCs w:val="24"/>
        </w:rPr>
        <w:t xml:space="preserve"> </w:t>
      </w:r>
      <w:r w:rsidR="006F76EB" w:rsidRPr="00834D52">
        <w:rPr>
          <w:rFonts w:ascii="Sylfaen" w:hAnsi="Sylfaen" w:cs="Sylfaen"/>
          <w:sz w:val="24"/>
          <w:szCs w:val="24"/>
        </w:rPr>
        <w:t>պրեկուրսորը</w:t>
      </w:r>
    </w:p>
    <w:tbl>
      <w:tblPr>
        <w:tblW w:w="9788" w:type="dxa"/>
        <w:jc w:val="center"/>
        <w:tblLayout w:type="fixed"/>
        <w:tblCellMar>
          <w:left w:w="0" w:type="dxa"/>
          <w:right w:w="0" w:type="dxa"/>
        </w:tblCellMar>
        <w:tblLook w:val="01E0" w:firstRow="1" w:lastRow="1" w:firstColumn="1" w:lastColumn="1" w:noHBand="0" w:noVBand="0"/>
      </w:tblPr>
      <w:tblGrid>
        <w:gridCol w:w="4804"/>
        <w:gridCol w:w="6"/>
        <w:gridCol w:w="4978"/>
      </w:tblGrid>
      <w:tr w:rsidR="006F76EB" w:rsidRPr="00834D52" w14:paraId="606C9D50" w14:textId="77777777" w:rsidTr="00F71229">
        <w:trPr>
          <w:jc w:val="center"/>
        </w:trPr>
        <w:tc>
          <w:tcPr>
            <w:tcW w:w="4810" w:type="dxa"/>
            <w:gridSpan w:val="2"/>
            <w:tcBorders>
              <w:top w:val="single" w:sz="4" w:space="0" w:color="000000"/>
              <w:left w:val="single" w:sz="4" w:space="0" w:color="000000"/>
              <w:bottom w:val="single" w:sz="4" w:space="0" w:color="000000"/>
              <w:right w:val="single" w:sz="4" w:space="0" w:color="000000"/>
            </w:tcBorders>
          </w:tcPr>
          <w:p w14:paraId="58572DA6" w14:textId="77777777" w:rsidR="006F76EB" w:rsidRPr="00834D52" w:rsidRDefault="006F76EB" w:rsidP="00F24A75">
            <w:pPr>
              <w:spacing w:after="120" w:line="240" w:lineRule="auto"/>
              <w:ind w:left="213" w:right="-6"/>
              <w:rPr>
                <w:rFonts w:ascii="Sylfaen" w:eastAsia="Times New Roman" w:hAnsi="Sylfaen" w:cs="Times New Roman"/>
                <w:sz w:val="24"/>
                <w:szCs w:val="24"/>
              </w:rPr>
            </w:pPr>
            <w:r w:rsidRPr="00834D52">
              <w:rPr>
                <w:rFonts w:ascii="Sylfaen" w:hAnsi="Sylfaen"/>
                <w:sz w:val="24"/>
                <w:szCs w:val="24"/>
              </w:rPr>
              <w:t xml:space="preserve">ռադիոնուկլիդի աղբյուրը </w:t>
            </w:r>
            <w:r w:rsidRPr="00834D52">
              <w:rPr>
                <w:rFonts w:ascii="Sylfaen" w:hAnsi="Sylfaen"/>
                <w:sz w:val="24"/>
                <w:szCs w:val="24"/>
              </w:rPr>
              <w:br/>
              <w:t xml:space="preserve">(առաջնային </w:t>
            </w:r>
            <w:r w:rsidR="00C54D75">
              <w:rPr>
                <w:rFonts w:ascii="Sylfaen" w:hAnsi="Sylfaen"/>
                <w:sz w:val="24"/>
                <w:szCs w:val="24"/>
              </w:rPr>
              <w:t>և</w:t>
            </w:r>
            <w:r w:rsidRPr="00834D52">
              <w:rPr>
                <w:rFonts w:ascii="Sylfaen" w:hAnsi="Sylfaen"/>
                <w:sz w:val="24"/>
                <w:szCs w:val="24"/>
              </w:rPr>
              <w:t xml:space="preserve"> երկրորդային)</w:t>
            </w:r>
            <w:r w:rsidRPr="00834D52">
              <w:rPr>
                <w:rFonts w:ascii="Sylfaen" w:hAnsi="Sylfaen"/>
                <w:sz w:val="24"/>
                <w:szCs w:val="24"/>
              </w:rPr>
              <w:br/>
              <w:t>(առկայության դեպքում)</w:t>
            </w:r>
          </w:p>
        </w:tc>
        <w:tc>
          <w:tcPr>
            <w:tcW w:w="4978" w:type="dxa"/>
            <w:tcBorders>
              <w:top w:val="single" w:sz="4" w:space="0" w:color="000000"/>
              <w:left w:val="single" w:sz="4" w:space="0" w:color="000000"/>
              <w:bottom w:val="single" w:sz="4" w:space="0" w:color="000000"/>
              <w:right w:val="single" w:sz="4" w:space="0" w:color="000000"/>
            </w:tcBorders>
          </w:tcPr>
          <w:p w14:paraId="237F29A0" w14:textId="77777777" w:rsidR="006F76EB" w:rsidRPr="00834D52" w:rsidRDefault="006F76EB" w:rsidP="00F24A75">
            <w:pPr>
              <w:spacing w:after="120" w:line="240" w:lineRule="auto"/>
              <w:ind w:right="-8"/>
              <w:rPr>
                <w:rFonts w:ascii="Sylfaen" w:hAnsi="Sylfaen"/>
                <w:sz w:val="24"/>
                <w:szCs w:val="24"/>
              </w:rPr>
            </w:pPr>
          </w:p>
        </w:tc>
      </w:tr>
      <w:tr w:rsidR="006F76EB" w:rsidRPr="00834D52" w14:paraId="6F63359A" w14:textId="77777777" w:rsidTr="00DE7C06">
        <w:trPr>
          <w:jc w:val="center"/>
        </w:trPr>
        <w:tc>
          <w:tcPr>
            <w:tcW w:w="4804" w:type="dxa"/>
            <w:tcBorders>
              <w:top w:val="single" w:sz="4" w:space="0" w:color="000000"/>
              <w:left w:val="single" w:sz="4" w:space="0" w:color="000000"/>
              <w:bottom w:val="single" w:sz="4" w:space="0" w:color="000000"/>
              <w:right w:val="single" w:sz="4" w:space="0" w:color="000000"/>
            </w:tcBorders>
          </w:tcPr>
          <w:p w14:paraId="41DBFD20" w14:textId="77777777" w:rsidR="006F76EB" w:rsidRPr="00834D52" w:rsidRDefault="006F76EB" w:rsidP="00F71229">
            <w:pPr>
              <w:spacing w:after="160" w:line="360" w:lineRule="auto"/>
              <w:ind w:left="213" w:right="-8"/>
              <w:rPr>
                <w:rFonts w:ascii="Sylfaen" w:eastAsia="Times New Roman" w:hAnsi="Sylfaen" w:cs="Times New Roman"/>
                <w:sz w:val="24"/>
                <w:szCs w:val="24"/>
              </w:rPr>
            </w:pPr>
            <w:r w:rsidRPr="00834D52">
              <w:rPr>
                <w:rFonts w:ascii="Sylfaen" w:hAnsi="Sylfaen"/>
                <w:sz w:val="24"/>
                <w:szCs w:val="24"/>
              </w:rPr>
              <w:t>գեներատոր</w:t>
            </w:r>
          </w:p>
        </w:tc>
        <w:tc>
          <w:tcPr>
            <w:tcW w:w="4984" w:type="dxa"/>
            <w:gridSpan w:val="2"/>
            <w:tcBorders>
              <w:top w:val="single" w:sz="4" w:space="0" w:color="000000"/>
              <w:left w:val="single" w:sz="4" w:space="0" w:color="000000"/>
              <w:bottom w:val="single" w:sz="4" w:space="0" w:color="000000"/>
              <w:right w:val="single" w:sz="4" w:space="0" w:color="000000"/>
            </w:tcBorders>
          </w:tcPr>
          <w:p w14:paraId="2F8A8027" w14:textId="77777777" w:rsidR="006F76EB" w:rsidRPr="00834D52" w:rsidRDefault="006F76EB" w:rsidP="00F71229">
            <w:pPr>
              <w:spacing w:after="160" w:line="360" w:lineRule="auto"/>
              <w:ind w:right="-8"/>
              <w:rPr>
                <w:rFonts w:ascii="Sylfaen" w:hAnsi="Sylfaen"/>
                <w:sz w:val="24"/>
                <w:szCs w:val="24"/>
              </w:rPr>
            </w:pPr>
          </w:p>
        </w:tc>
      </w:tr>
    </w:tbl>
    <w:p w14:paraId="4C0C4231" w14:textId="77777777" w:rsidR="006F76EB" w:rsidRPr="00834D52" w:rsidRDefault="006F76EB" w:rsidP="006F76EB">
      <w:pPr>
        <w:spacing w:after="160" w:line="360" w:lineRule="auto"/>
        <w:ind w:right="-8"/>
        <w:rPr>
          <w:rFonts w:ascii="Sylfaen" w:hAnsi="Sylfaen"/>
          <w:sz w:val="24"/>
          <w:szCs w:val="24"/>
        </w:rPr>
      </w:pPr>
    </w:p>
    <w:p w14:paraId="0D542559"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lastRenderedPageBreak/>
        <w:pict w14:anchorId="5C7DFDE8">
          <v:rect id="_x0000_s1057" style="position:absolute;left:0;text-align:left;margin-left:100.85pt;margin-top:2.85pt;width:12.75pt;height:12pt;z-index:251549184"/>
        </w:pict>
      </w:r>
      <w:r w:rsidR="006F76EB" w:rsidRPr="00834D52">
        <w:rPr>
          <w:rFonts w:ascii="Sylfaen" w:hAnsi="Sylfaen"/>
          <w:sz w:val="24"/>
          <w:szCs w:val="24"/>
        </w:rPr>
        <w:t>ՀՈՄԵՈՊԱԹԻԿ ԴԵՂԱՊԱՏՐԱՍՏՈՒԿ</w:t>
      </w:r>
    </w:p>
    <w:p w14:paraId="70298F1C" w14:textId="77777777" w:rsidR="006F76EB" w:rsidRPr="00834D52" w:rsidRDefault="006F76EB" w:rsidP="00DE7C06">
      <w:pPr>
        <w:spacing w:after="160" w:line="360" w:lineRule="auto"/>
        <w:ind w:right="-8"/>
        <w:jc w:val="center"/>
        <w:rPr>
          <w:rFonts w:ascii="Sylfaen" w:hAnsi="Sylfaen"/>
          <w:sz w:val="24"/>
          <w:szCs w:val="24"/>
        </w:rPr>
      </w:pPr>
    </w:p>
    <w:p w14:paraId="056425D4" w14:textId="77777777" w:rsidR="006F76EB" w:rsidRPr="00834D52" w:rsidRDefault="00157FD9" w:rsidP="006F76EB">
      <w:pPr>
        <w:spacing w:after="160" w:line="360" w:lineRule="auto"/>
        <w:ind w:left="567" w:right="-8"/>
        <w:rPr>
          <w:rFonts w:ascii="Sylfaen" w:eastAsia="Times New Roman" w:hAnsi="Sylfaen" w:cs="Times New Roman"/>
          <w:sz w:val="24"/>
          <w:szCs w:val="24"/>
        </w:rPr>
      </w:pPr>
      <w:r>
        <w:rPr>
          <w:rFonts w:ascii="Sylfaen" w:hAnsi="Sylfaen"/>
          <w:noProof/>
          <w:sz w:val="24"/>
          <w:szCs w:val="24"/>
        </w:rPr>
        <w:pict w14:anchorId="68828B3D">
          <v:rect id="_x0000_s1058" style="position:absolute;left:0;text-align:left;margin-left:.75pt;margin-top:5.15pt;width:12.75pt;height:12pt;z-index:251550208"/>
        </w:pict>
      </w:r>
      <w:r w:rsidR="006F76EB" w:rsidRPr="00834D52">
        <w:rPr>
          <w:rFonts w:ascii="Sylfaen" w:hAnsi="Sylfaen" w:cs="Sylfaen"/>
          <w:sz w:val="24"/>
          <w:szCs w:val="24"/>
        </w:rPr>
        <w:t>դեղագրքերում</w:t>
      </w:r>
      <w:r w:rsidR="006F76EB" w:rsidRPr="00834D52">
        <w:rPr>
          <w:rFonts w:ascii="Sylfaen" w:hAnsi="Sylfaen"/>
          <w:sz w:val="24"/>
          <w:szCs w:val="24"/>
        </w:rPr>
        <w:t xml:space="preserve"> </w:t>
      </w:r>
      <w:r w:rsidR="00C54D75">
        <w:rPr>
          <w:rFonts w:ascii="Sylfaen" w:hAnsi="Sylfaen" w:cs="Sylfaen"/>
          <w:sz w:val="24"/>
          <w:szCs w:val="24"/>
        </w:rPr>
        <w:t>և</w:t>
      </w:r>
      <w:r w:rsidR="006F76EB" w:rsidRPr="00834D52">
        <w:rPr>
          <w:rFonts w:ascii="Sylfaen" w:hAnsi="Sylfaen"/>
          <w:sz w:val="24"/>
          <w:szCs w:val="24"/>
        </w:rPr>
        <w:t xml:space="preserve"> </w:t>
      </w:r>
      <w:r w:rsidR="006F76EB" w:rsidRPr="00834D52">
        <w:rPr>
          <w:rFonts w:ascii="Sylfaen" w:hAnsi="Sylfaen" w:cs="Sylfaen"/>
          <w:sz w:val="24"/>
          <w:szCs w:val="24"/>
        </w:rPr>
        <w:t>մենագրությունների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մեջ</w:t>
      </w:r>
      <w:r w:rsidR="006F76EB" w:rsidRPr="00834D52">
        <w:rPr>
          <w:rFonts w:ascii="Sylfaen" w:hAnsi="Sylfaen"/>
          <w:sz w:val="24"/>
          <w:szCs w:val="24"/>
        </w:rPr>
        <w:t xml:space="preserve"> </w:t>
      </w:r>
      <w:r w:rsidR="006F76EB" w:rsidRPr="00834D52">
        <w:rPr>
          <w:rFonts w:ascii="Sylfaen" w:hAnsi="Sylfaen" w:cs="Sylfaen"/>
          <w:sz w:val="24"/>
          <w:szCs w:val="24"/>
        </w:rPr>
        <w:t>չներառված</w:t>
      </w:r>
      <w:r w:rsidR="006F76EB" w:rsidRPr="00834D52">
        <w:rPr>
          <w:rFonts w:ascii="Sylfaen" w:hAnsi="Sylfaen"/>
          <w:sz w:val="24"/>
          <w:szCs w:val="24"/>
        </w:rPr>
        <w:t xml:space="preserve"> </w: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հոմեոպաթիկ</w:t>
      </w:r>
      <w:r w:rsidR="006F76EB" w:rsidRPr="00834D52">
        <w:rPr>
          <w:rFonts w:ascii="Sylfaen" w:hAnsi="Sylfaen"/>
          <w:sz w:val="24"/>
          <w:szCs w:val="24"/>
        </w:rPr>
        <w:t xml:space="preserve"> </w:t>
      </w:r>
      <w:r w:rsidR="006F76EB" w:rsidRPr="00834D52">
        <w:rPr>
          <w:rFonts w:ascii="Sylfaen" w:hAnsi="Sylfaen" w:cs="Sylfaen"/>
          <w:sz w:val="24"/>
          <w:szCs w:val="24"/>
        </w:rPr>
        <w:t>պատրաստուկ</w:t>
      </w:r>
    </w:p>
    <w:p w14:paraId="6E0BE4D8" w14:textId="77777777" w:rsidR="006F76EB" w:rsidRPr="00834D52" w:rsidRDefault="00157FD9" w:rsidP="006F76EB">
      <w:pPr>
        <w:spacing w:after="160" w:line="360" w:lineRule="auto"/>
        <w:ind w:left="567" w:right="-8"/>
        <w:rPr>
          <w:rFonts w:ascii="Sylfaen" w:eastAsia="Times New Roman" w:hAnsi="Sylfaen" w:cs="Times New Roman"/>
          <w:sz w:val="24"/>
          <w:szCs w:val="24"/>
        </w:rPr>
      </w:pPr>
      <w:r>
        <w:rPr>
          <w:rFonts w:ascii="Sylfaen" w:hAnsi="Sylfaen"/>
          <w:noProof/>
          <w:sz w:val="24"/>
          <w:szCs w:val="24"/>
        </w:rPr>
        <w:pict w14:anchorId="73249AD1">
          <v:rect id="_x0000_s1059" style="position:absolute;left:0;text-align:left;margin-left:.75pt;margin-top:2.55pt;width:12.75pt;height:12pt;z-index:251551232"/>
        </w:pict>
      </w:r>
      <w:r w:rsidR="006F76EB" w:rsidRPr="00834D52">
        <w:rPr>
          <w:rFonts w:ascii="Sylfaen" w:hAnsi="Sylfaen" w:cs="Sylfaen"/>
          <w:sz w:val="24"/>
          <w:szCs w:val="24"/>
        </w:rPr>
        <w:t>դեղագրքերում</w:t>
      </w:r>
      <w:r w:rsidR="006F76EB" w:rsidRPr="00834D52">
        <w:rPr>
          <w:rFonts w:ascii="Sylfaen" w:hAnsi="Sylfaen"/>
          <w:sz w:val="24"/>
          <w:szCs w:val="24"/>
        </w:rPr>
        <w:t xml:space="preserve"> </w:t>
      </w:r>
      <w:r w:rsidR="00C54D75">
        <w:rPr>
          <w:rFonts w:ascii="Sylfaen" w:hAnsi="Sylfaen" w:cs="Sylfaen"/>
          <w:sz w:val="24"/>
          <w:szCs w:val="24"/>
        </w:rPr>
        <w:t>և</w:t>
      </w:r>
      <w:r w:rsidR="006F76EB" w:rsidRPr="00834D52">
        <w:rPr>
          <w:rFonts w:ascii="Sylfaen" w:hAnsi="Sylfaen"/>
          <w:sz w:val="24"/>
          <w:szCs w:val="24"/>
        </w:rPr>
        <w:t xml:space="preserve"> </w:t>
      </w:r>
      <w:r w:rsidR="006F76EB" w:rsidRPr="00834D52">
        <w:rPr>
          <w:rFonts w:ascii="Sylfaen" w:hAnsi="Sylfaen" w:cs="Sylfaen"/>
          <w:sz w:val="24"/>
          <w:szCs w:val="24"/>
        </w:rPr>
        <w:t>մենագրությունների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մեջ</w:t>
      </w:r>
      <w:r w:rsidR="006F76EB" w:rsidRPr="00834D52">
        <w:rPr>
          <w:rFonts w:ascii="Sylfaen" w:hAnsi="Sylfaen"/>
          <w:sz w:val="24"/>
          <w:szCs w:val="24"/>
        </w:rPr>
        <w:t xml:space="preserve"> </w:t>
      </w:r>
      <w:r w:rsidR="006F76EB" w:rsidRPr="00834D52">
        <w:rPr>
          <w:rFonts w:ascii="Sylfaen" w:hAnsi="Sylfaen" w:cs="Sylfaen"/>
          <w:sz w:val="24"/>
          <w:szCs w:val="24"/>
        </w:rPr>
        <w:t>ներառված</w:t>
      </w:r>
      <w:r w:rsidR="006F76EB" w:rsidRPr="00834D52">
        <w:rPr>
          <w:rFonts w:ascii="Sylfaen" w:hAnsi="Sylfaen"/>
          <w:sz w:val="24"/>
          <w:szCs w:val="24"/>
        </w:rPr>
        <w:t xml:space="preserve"> </w:t>
      </w:r>
      <w:r w:rsidR="006F76EB" w:rsidRPr="00834D52">
        <w:rPr>
          <w:rFonts w:ascii="Sylfaen" w:hAnsi="Sylfaen" w:cs="Sylfaen"/>
          <w:sz w:val="24"/>
          <w:szCs w:val="24"/>
        </w:rPr>
        <w:t>հոմեոպաթիկ</w:t>
      </w:r>
      <w:r w:rsidR="006F76EB" w:rsidRPr="00834D52">
        <w:rPr>
          <w:rFonts w:ascii="Sylfaen" w:hAnsi="Sylfaen"/>
          <w:sz w:val="24"/>
          <w:szCs w:val="24"/>
        </w:rPr>
        <w:t xml:space="preserve"> </w:t>
      </w:r>
      <w:r w:rsidR="006F76EB" w:rsidRPr="00834D52">
        <w:rPr>
          <w:rFonts w:ascii="Sylfaen" w:hAnsi="Sylfaen" w:cs="Sylfaen"/>
          <w:sz w:val="24"/>
          <w:szCs w:val="24"/>
        </w:rPr>
        <w:t>պատրաստուկ</w:t>
      </w:r>
    </w:p>
    <w:p w14:paraId="59572076"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5E544733">
          <v:rect id="_x0000_s1060" style="position:absolute;left:0;text-align:left;margin-left:105pt;margin-top:2.55pt;width:12.75pt;height:12pt;z-index:251552256"/>
        </w:pict>
      </w:r>
      <w:r w:rsidR="006F76EB" w:rsidRPr="00834D52">
        <w:rPr>
          <w:rFonts w:ascii="Sylfaen" w:hAnsi="Sylfaen" w:cs="Sylfaen"/>
          <w:sz w:val="24"/>
          <w:szCs w:val="24"/>
        </w:rPr>
        <w:t>ԲՈՒՍԱԿԱՆ</w:t>
      </w:r>
      <w:r w:rsidR="006F76EB" w:rsidRPr="00834D52">
        <w:rPr>
          <w:rFonts w:ascii="Sylfaen" w:hAnsi="Sylfaen"/>
          <w:sz w:val="24"/>
          <w:szCs w:val="24"/>
        </w:rPr>
        <w:t xml:space="preserve"> ԴԵՂԱՊԱՏՐԱՍՏՈՒԿ</w:t>
      </w:r>
    </w:p>
    <w:p w14:paraId="7E854194"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623C525B">
          <v:rect id="_x0000_s1061" style="position:absolute;left:0;text-align:left;margin-left:51.35pt;margin-top:3.35pt;width:12.75pt;height:12pt;z-index:251553280"/>
        </w:pic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ԳՐԱՆՑՈՒՄ</w:t>
      </w:r>
      <w:r w:rsidR="006F76EB" w:rsidRPr="00834D52">
        <w:rPr>
          <w:rFonts w:ascii="Sylfaen" w:hAnsi="Sylfaen"/>
          <w:sz w:val="24"/>
          <w:szCs w:val="24"/>
        </w:rPr>
        <w:t xml:space="preserve"> </w:t>
      </w:r>
      <w:r w:rsidR="006F76EB" w:rsidRPr="00834D52">
        <w:rPr>
          <w:rFonts w:ascii="Sylfaen" w:hAnsi="Sylfaen" w:cs="Sylfaen"/>
          <w:sz w:val="24"/>
          <w:szCs w:val="24"/>
        </w:rPr>
        <w:t>ՊԱՀԱՆՋՈՂ</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ՓՈՓՈԽՈՒԹՅՈՒՆՆԵՐ</w:t>
      </w:r>
    </w:p>
    <w:p w14:paraId="5931CE7D" w14:textId="77777777" w:rsidR="006F76EB" w:rsidRPr="00834D52" w:rsidRDefault="006F76EB" w:rsidP="00DE7C06">
      <w:pPr>
        <w:spacing w:after="160" w:line="360" w:lineRule="auto"/>
        <w:ind w:right="-8"/>
        <w:jc w:val="center"/>
        <w:rPr>
          <w:rFonts w:ascii="Sylfaen" w:hAnsi="Sylfaen"/>
          <w:sz w:val="24"/>
          <w:szCs w:val="24"/>
        </w:rPr>
      </w:pPr>
    </w:p>
    <w:p w14:paraId="66CB77D6"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Նշել անհրաժեշտը՝</w:t>
      </w:r>
    </w:p>
    <w:p w14:paraId="26C13232" w14:textId="77777777" w:rsidR="006F76EB" w:rsidRPr="00834D52" w:rsidRDefault="00157FD9" w:rsidP="006F76EB">
      <w:pPr>
        <w:spacing w:after="160" w:line="360" w:lineRule="auto"/>
        <w:ind w:right="-8" w:firstLine="567"/>
        <w:rPr>
          <w:rFonts w:ascii="Sylfaen" w:eastAsia="Times New Roman" w:hAnsi="Sylfaen" w:cs="Times New Roman"/>
          <w:sz w:val="24"/>
          <w:szCs w:val="24"/>
        </w:rPr>
      </w:pPr>
      <w:r>
        <w:rPr>
          <w:rFonts w:ascii="Sylfaen" w:hAnsi="Sylfaen"/>
          <w:noProof/>
          <w:sz w:val="24"/>
          <w:szCs w:val="24"/>
        </w:rPr>
        <w:pict w14:anchorId="3F305D4D">
          <v:rect id="_x0000_s1062" style="position:absolute;left:0;text-align:left;margin-left:.75pt;margin-top:4.5pt;width:12.75pt;height:12pt;z-index:251554304"/>
        </w:pict>
      </w:r>
      <w:r w:rsidR="006F76EB" w:rsidRPr="00834D52">
        <w:rPr>
          <w:rFonts w:ascii="Sylfaen" w:hAnsi="Sylfaen" w:cs="Sylfaen"/>
          <w:sz w:val="24"/>
          <w:szCs w:val="24"/>
        </w:rPr>
        <w:t>այն</w:t>
      </w:r>
      <w:r w:rsidR="006F76EB" w:rsidRPr="00834D52">
        <w:rPr>
          <w:rFonts w:ascii="Sylfaen" w:hAnsi="Sylfaen"/>
          <w:sz w:val="24"/>
          <w:szCs w:val="24"/>
        </w:rPr>
        <w:t xml:space="preserve"> </w:t>
      </w:r>
      <w:r w:rsidR="006F76EB" w:rsidRPr="00834D52">
        <w:rPr>
          <w:rFonts w:ascii="Sylfaen" w:hAnsi="Sylfaen" w:cs="Sylfaen"/>
          <w:sz w:val="24"/>
          <w:szCs w:val="24"/>
        </w:rPr>
        <w:t>ակտիվ</w:t>
      </w:r>
      <w:r w:rsidR="006F76EB" w:rsidRPr="00834D52">
        <w:rPr>
          <w:rFonts w:ascii="Sylfaen" w:hAnsi="Sylfaen"/>
          <w:sz w:val="24"/>
          <w:szCs w:val="24"/>
        </w:rPr>
        <w:t xml:space="preserve"> </w:t>
      </w:r>
      <w:r w:rsidR="006F76EB" w:rsidRPr="00834D52">
        <w:rPr>
          <w:rFonts w:ascii="Sylfaen" w:hAnsi="Sylfaen" w:cs="Sylfaen"/>
          <w:sz w:val="24"/>
          <w:szCs w:val="24"/>
        </w:rPr>
        <w:t>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բաղադրամասերի</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փոփոխությունները</w:t>
      </w:r>
      <w:r w:rsidR="006F76EB" w:rsidRPr="00834D52">
        <w:rPr>
          <w:rFonts w:ascii="Sylfaen" w:hAnsi="Sylfaen"/>
          <w:sz w:val="24"/>
          <w:szCs w:val="24"/>
        </w:rPr>
        <w:t xml:space="preserve">, </w:t>
      </w:r>
      <w:r w:rsidR="006F76EB" w:rsidRPr="00834D52">
        <w:rPr>
          <w:rFonts w:ascii="Sylfaen" w:hAnsi="Sylfaen" w:cs="Sylfaen"/>
          <w:sz w:val="24"/>
          <w:szCs w:val="24"/>
        </w:rPr>
        <w:t>որոնք</w:t>
      </w:r>
      <w:r w:rsidR="006F76EB" w:rsidRPr="00834D52">
        <w:rPr>
          <w:rFonts w:ascii="Sylfaen" w:hAnsi="Sylfaen"/>
          <w:sz w:val="24"/>
          <w:szCs w:val="24"/>
        </w:rPr>
        <w:t xml:space="preserve"> </w:t>
      </w:r>
      <w:r w:rsidR="006F76EB" w:rsidRPr="00834D52">
        <w:rPr>
          <w:rFonts w:ascii="Sylfaen" w:hAnsi="Sylfaen" w:cs="Sylfaen"/>
          <w:sz w:val="24"/>
          <w:szCs w:val="24"/>
        </w:rPr>
        <w:t>չեն</w:t>
      </w:r>
      <w:r w:rsidR="006F76EB" w:rsidRPr="00834D52">
        <w:rPr>
          <w:rFonts w:ascii="Sylfaen" w:hAnsi="Sylfaen"/>
          <w:sz w:val="24"/>
          <w:szCs w:val="24"/>
        </w:rPr>
        <w:t xml:space="preserve"> </w:t>
      </w:r>
      <w:r w:rsidR="006F76EB" w:rsidRPr="00834D52">
        <w:rPr>
          <w:rFonts w:ascii="Sylfaen" w:hAnsi="Sylfaen" w:cs="Sylfaen"/>
          <w:sz w:val="24"/>
          <w:szCs w:val="24"/>
        </w:rPr>
        <w:t>որակվում</w:t>
      </w:r>
      <w:r w:rsidR="006F76EB" w:rsidRPr="00834D52">
        <w:rPr>
          <w:rFonts w:ascii="Sylfaen" w:hAnsi="Sylfaen"/>
          <w:sz w:val="24"/>
          <w:szCs w:val="24"/>
        </w:rPr>
        <w:t xml:space="preserve"> </w:t>
      </w:r>
      <w:r w:rsidR="006F76EB" w:rsidRPr="00834D52">
        <w:rPr>
          <w:rFonts w:ascii="Sylfaen" w:hAnsi="Sylfaen" w:cs="Sylfaen"/>
          <w:sz w:val="24"/>
          <w:szCs w:val="24"/>
        </w:rPr>
        <w:t>որպես</w:t>
      </w:r>
      <w:r w:rsidR="006F76EB" w:rsidRPr="00834D52">
        <w:rPr>
          <w:rFonts w:ascii="Sylfaen" w:hAnsi="Sylfaen"/>
          <w:sz w:val="24"/>
          <w:szCs w:val="24"/>
        </w:rPr>
        <w:t xml:space="preserve"> </w: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ԱԴԲ՝</w:t>
      </w:r>
    </w:p>
    <w:p w14:paraId="5CAF7FC1"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3D78308F">
          <v:rect id="_x0000_s1063" style="position:absolute;left:0;text-align:left;margin-left:-.55pt;margin-top:3.05pt;width:12.75pt;height:12pt;z-index:251555328"/>
        </w:pict>
      </w:r>
      <w:r w:rsidR="006F76EB" w:rsidRPr="00834D52">
        <w:rPr>
          <w:rFonts w:ascii="Sylfaen" w:hAnsi="Sylfaen"/>
          <w:sz w:val="24"/>
          <w:szCs w:val="24"/>
        </w:rPr>
        <w:t>քիմիական ԱԴԲ-ի փոխարինումն այլ աղով (եթերով, կոմպլեքսով, ածանցյալով) ազդող նյութի մոլեկուլի նույն ակտիվ ֆունկցիոնալ մասով, որը պատասխանատու է թերապ</w:t>
      </w:r>
      <w:r w:rsidR="00C54D75">
        <w:rPr>
          <w:rFonts w:ascii="Sylfaen" w:hAnsi="Sylfaen"/>
          <w:sz w:val="24"/>
          <w:szCs w:val="24"/>
        </w:rPr>
        <w:t>և</w:t>
      </w:r>
      <w:r w:rsidR="006F76EB" w:rsidRPr="00834D52">
        <w:rPr>
          <w:rFonts w:ascii="Sylfaen" w:hAnsi="Sylfaen"/>
          <w:sz w:val="24"/>
          <w:szCs w:val="24"/>
        </w:rPr>
        <w:t>տիկ ազդեցության համար արդյունավետության (անվտանգության) մասով էական տարբերությունների բացակայության դեպքում,</w:t>
      </w:r>
    </w:p>
    <w:p w14:paraId="53C4F5EA"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46EBB2C5">
          <v:rect id="_x0000_s1064" style="position:absolute;left:0;text-align:left;margin-left:.2pt;margin-top:3.9pt;width:12.75pt;height:12pt;z-index:251556352"/>
        </w:pict>
      </w:r>
      <w:r w:rsidR="006F76EB" w:rsidRPr="00834D52">
        <w:rPr>
          <w:rFonts w:ascii="Sylfaen" w:hAnsi="Sylfaen" w:cs="Sylfaen"/>
          <w:sz w:val="24"/>
          <w:szCs w:val="24"/>
        </w:rPr>
        <w:t>փոխարինում</w:t>
      </w:r>
      <w:r w:rsidR="006F76EB" w:rsidRPr="00834D52">
        <w:rPr>
          <w:rFonts w:ascii="Sylfaen" w:hAnsi="Sylfaen"/>
          <w:sz w:val="24"/>
          <w:szCs w:val="24"/>
        </w:rPr>
        <w:t xml:space="preserve">ն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իզոմերով</w:t>
      </w:r>
      <w:r w:rsidR="006F76EB" w:rsidRPr="00834D52">
        <w:rPr>
          <w:rFonts w:ascii="Sylfaen" w:hAnsi="Sylfaen"/>
          <w:sz w:val="24"/>
          <w:szCs w:val="24"/>
        </w:rPr>
        <w:t xml:space="preserve">, </w:t>
      </w:r>
      <w:r w:rsidR="006F76EB" w:rsidRPr="00834D52">
        <w:rPr>
          <w:rFonts w:ascii="Sylfaen" w:hAnsi="Sylfaen" w:cs="Sylfaen"/>
          <w:sz w:val="24"/>
          <w:szCs w:val="24"/>
        </w:rPr>
        <w:t>իզոմերների</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խառնուրդով</w:t>
      </w:r>
      <w:r w:rsidR="006F76EB" w:rsidRPr="00834D52">
        <w:rPr>
          <w:rFonts w:ascii="Sylfaen" w:hAnsi="Sylfaen"/>
          <w:sz w:val="24"/>
          <w:szCs w:val="24"/>
        </w:rPr>
        <w:t xml:space="preserve">, </w:t>
      </w:r>
      <w:r w:rsidR="006F76EB" w:rsidRPr="00834D52">
        <w:rPr>
          <w:rFonts w:ascii="Sylfaen" w:hAnsi="Sylfaen" w:cs="Sylfaen"/>
          <w:sz w:val="24"/>
          <w:szCs w:val="24"/>
        </w:rPr>
        <w:t>առանձին</w:t>
      </w:r>
      <w:r w:rsidR="006F76EB" w:rsidRPr="00834D52">
        <w:rPr>
          <w:rFonts w:ascii="Sylfaen" w:hAnsi="Sylfaen"/>
          <w:sz w:val="24"/>
          <w:szCs w:val="24"/>
        </w:rPr>
        <w:t xml:space="preserve"> </w:t>
      </w:r>
      <w:r w:rsidR="006F76EB" w:rsidRPr="00834D52">
        <w:rPr>
          <w:rFonts w:ascii="Sylfaen" w:hAnsi="Sylfaen" w:cs="Sylfaen"/>
          <w:sz w:val="24"/>
          <w:szCs w:val="24"/>
        </w:rPr>
        <w:t>իզոմերների</w:t>
      </w:r>
      <w:r w:rsidR="006F76EB" w:rsidRPr="00834D52">
        <w:rPr>
          <w:rFonts w:ascii="Sylfaen" w:hAnsi="Sylfaen"/>
          <w:sz w:val="24"/>
          <w:szCs w:val="24"/>
        </w:rPr>
        <w:t xml:space="preserve"> </w:t>
      </w:r>
      <w:r w:rsidR="006F76EB" w:rsidRPr="00834D52">
        <w:rPr>
          <w:rFonts w:ascii="Sylfaen" w:hAnsi="Sylfaen" w:cs="Sylfaen"/>
          <w:sz w:val="24"/>
          <w:szCs w:val="24"/>
        </w:rPr>
        <w:t>խառնուրդով</w:t>
      </w:r>
      <w:r w:rsidR="006F76EB" w:rsidRPr="00834D52">
        <w:rPr>
          <w:rFonts w:ascii="Sylfaen" w:hAnsi="Sylfaen"/>
          <w:sz w:val="24"/>
          <w:szCs w:val="24"/>
        </w:rPr>
        <w:t xml:space="preserve"> (</w:t>
      </w:r>
      <w:r w:rsidR="006F76EB" w:rsidRPr="00834D52">
        <w:rPr>
          <w:rFonts w:ascii="Sylfaen" w:hAnsi="Sylfaen" w:cs="Sylfaen"/>
          <w:sz w:val="24"/>
          <w:szCs w:val="24"/>
        </w:rPr>
        <w:t>օրինակ՝</w:t>
      </w:r>
      <w:r w:rsidR="006F76EB" w:rsidRPr="00834D52">
        <w:rPr>
          <w:rFonts w:ascii="Sylfaen" w:hAnsi="Sylfaen"/>
          <w:sz w:val="24"/>
          <w:szCs w:val="24"/>
        </w:rPr>
        <w:t xml:space="preserve"> </w:t>
      </w:r>
      <w:r w:rsidR="006F76EB" w:rsidRPr="00834D52">
        <w:rPr>
          <w:rFonts w:ascii="Sylfaen" w:hAnsi="Sylfaen" w:cs="Sylfaen"/>
          <w:sz w:val="24"/>
          <w:szCs w:val="24"/>
        </w:rPr>
        <w:t>ռացեմատի</w:t>
      </w:r>
      <w:r w:rsidR="006F76EB" w:rsidRPr="00834D52">
        <w:rPr>
          <w:rFonts w:ascii="Sylfaen" w:hAnsi="Sylfaen"/>
          <w:sz w:val="24"/>
          <w:szCs w:val="24"/>
        </w:rPr>
        <w:t xml:space="preserve"> </w:t>
      </w:r>
      <w:r w:rsidR="006F76EB" w:rsidRPr="00834D52">
        <w:rPr>
          <w:rFonts w:ascii="Sylfaen" w:hAnsi="Sylfaen" w:cs="Sylfaen"/>
          <w:sz w:val="24"/>
          <w:szCs w:val="24"/>
        </w:rPr>
        <w:t>փոխարինումը</w:t>
      </w:r>
      <w:r w:rsidR="006F76EB" w:rsidRPr="00834D52">
        <w:rPr>
          <w:rFonts w:ascii="Sylfaen" w:hAnsi="Sylfaen"/>
          <w:sz w:val="24"/>
          <w:szCs w:val="24"/>
        </w:rPr>
        <w:t xml:space="preserve"> </w:t>
      </w:r>
      <w:r w:rsidR="006F76EB" w:rsidRPr="00834D52">
        <w:rPr>
          <w:rFonts w:ascii="Sylfaen" w:hAnsi="Sylfaen" w:cs="Sylfaen"/>
          <w:sz w:val="24"/>
          <w:szCs w:val="24"/>
        </w:rPr>
        <w:t>միակ</w:t>
      </w:r>
      <w:r w:rsidR="006F76EB" w:rsidRPr="00834D52">
        <w:rPr>
          <w:rFonts w:ascii="Sylfaen" w:hAnsi="Sylfaen"/>
          <w:sz w:val="24"/>
          <w:szCs w:val="24"/>
        </w:rPr>
        <w:t xml:space="preserve"> </w:t>
      </w:r>
      <w:r w:rsidR="006F76EB" w:rsidRPr="00834D52">
        <w:rPr>
          <w:rFonts w:ascii="Sylfaen" w:hAnsi="Sylfaen" w:cs="Sylfaen"/>
          <w:sz w:val="24"/>
          <w:szCs w:val="24"/>
        </w:rPr>
        <w:t>էնանտիոմերով</w:t>
      </w:r>
      <w:r w:rsidR="006F76EB" w:rsidRPr="00834D52">
        <w:rPr>
          <w:rFonts w:ascii="Sylfaen" w:hAnsi="Sylfaen"/>
          <w:sz w:val="24"/>
          <w:szCs w:val="24"/>
        </w:rPr>
        <w:t xml:space="preserve">) </w:t>
      </w:r>
      <w:r w:rsidR="006F76EB" w:rsidRPr="00834D52">
        <w:rPr>
          <w:rFonts w:ascii="Sylfaen" w:hAnsi="Sylfaen" w:cs="Sylfaen"/>
          <w:sz w:val="24"/>
          <w:szCs w:val="24"/>
        </w:rPr>
        <w:t>արդյունավետության</w:t>
      </w:r>
      <w:r w:rsidR="006F76EB" w:rsidRPr="00834D52">
        <w:rPr>
          <w:rFonts w:ascii="Sylfaen" w:hAnsi="Sylfaen"/>
          <w:sz w:val="24"/>
          <w:szCs w:val="24"/>
        </w:rPr>
        <w:t xml:space="preserve"> (</w:t>
      </w:r>
      <w:r w:rsidR="006F76EB" w:rsidRPr="00834D52">
        <w:rPr>
          <w:rFonts w:ascii="Sylfaen" w:hAnsi="Sylfaen" w:cs="Sylfaen"/>
          <w:sz w:val="24"/>
          <w:szCs w:val="24"/>
        </w:rPr>
        <w:t>անվտանգության</w:t>
      </w:r>
      <w:r w:rsidR="006F76EB" w:rsidRPr="00834D52">
        <w:rPr>
          <w:rFonts w:ascii="Sylfaen" w:hAnsi="Sylfaen"/>
          <w:sz w:val="24"/>
          <w:szCs w:val="24"/>
        </w:rPr>
        <w:t xml:space="preserve">) </w:t>
      </w:r>
      <w:r w:rsidR="006F76EB" w:rsidRPr="00834D52">
        <w:rPr>
          <w:rFonts w:ascii="Sylfaen" w:hAnsi="Sylfaen" w:cs="Sylfaen"/>
          <w:sz w:val="24"/>
          <w:szCs w:val="24"/>
        </w:rPr>
        <w:t>մասով</w:t>
      </w:r>
      <w:r w:rsidR="006F76EB" w:rsidRPr="00834D52">
        <w:rPr>
          <w:rFonts w:ascii="Sylfaen" w:hAnsi="Sylfaen"/>
          <w:sz w:val="24"/>
          <w:szCs w:val="24"/>
        </w:rPr>
        <w:t xml:space="preserve"> </w:t>
      </w:r>
      <w:r w:rsidR="006F76EB" w:rsidRPr="00834D52">
        <w:rPr>
          <w:rFonts w:ascii="Sylfaen" w:hAnsi="Sylfaen" w:cs="Sylfaen"/>
          <w:sz w:val="24"/>
          <w:szCs w:val="24"/>
        </w:rPr>
        <w:t>էական</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բացակայության</w:t>
      </w:r>
      <w:r w:rsidR="006F76EB" w:rsidRPr="00834D52">
        <w:rPr>
          <w:rFonts w:ascii="Sylfaen" w:hAnsi="Sylfaen"/>
          <w:sz w:val="24"/>
          <w:szCs w:val="24"/>
        </w:rPr>
        <w:t xml:space="preserve"> </w:t>
      </w:r>
      <w:r w:rsidR="006F76EB" w:rsidRPr="00834D52">
        <w:rPr>
          <w:rFonts w:ascii="Sylfaen" w:hAnsi="Sylfaen" w:cs="Sylfaen"/>
          <w:sz w:val="24"/>
          <w:szCs w:val="24"/>
        </w:rPr>
        <w:t>դեպքում</w:t>
      </w:r>
      <w:r w:rsidR="006F76EB" w:rsidRPr="00834D52">
        <w:rPr>
          <w:rFonts w:ascii="Sylfaen" w:hAnsi="Sylfaen"/>
          <w:sz w:val="24"/>
          <w:szCs w:val="24"/>
        </w:rPr>
        <w:t>,</w:t>
      </w:r>
    </w:p>
    <w:p w14:paraId="461AF3F0"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5B35FAB8">
          <v:rect id="_x0000_s1065" style="position:absolute;left:0;text-align:left;margin-left:.1pt;margin-top:3.55pt;width:12.75pt;height:12pt;z-index:251557376"/>
        </w:pict>
      </w:r>
      <w:r w:rsidR="006F76EB" w:rsidRPr="00834D52">
        <w:rPr>
          <w:rFonts w:ascii="Sylfaen" w:hAnsi="Sylfaen"/>
          <w:sz w:val="24"/>
          <w:szCs w:val="24"/>
        </w:rPr>
        <w:t xml:space="preserve">կենսաբանական ԱԴԲ-ի փոխարինումը մեկ այլ՝ փոքր-ինչ փոփոխված մոլեկուլային կառուցվածքով արդյունավետության </w:t>
      </w:r>
      <w:r w:rsidR="00C54D75">
        <w:rPr>
          <w:rFonts w:ascii="Sylfaen" w:hAnsi="Sylfaen"/>
          <w:sz w:val="24"/>
          <w:szCs w:val="24"/>
        </w:rPr>
        <w:t>և</w:t>
      </w:r>
      <w:r w:rsidR="006F76EB" w:rsidRPr="00834D52">
        <w:rPr>
          <w:rFonts w:ascii="Sylfaen" w:hAnsi="Sylfaen"/>
          <w:sz w:val="24"/>
          <w:szCs w:val="24"/>
        </w:rPr>
        <w:t xml:space="preserve"> (կամ) անվտանգության մասով էական տարբերությունների բացակայության դեպքում՝ բացառությամբ մարդու գրիպի կանխարգելման համար սեզոնային, նախահամավարակային կամ համավարակային պատվաստանյութի ԱԴԲ-ի փոփոխությունների,</w:t>
      </w:r>
    </w:p>
    <w:p w14:paraId="130D278A"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lastRenderedPageBreak/>
        <w:pict w14:anchorId="40E045CD">
          <v:rect id="_x0000_s1066" style="position:absolute;left:0;text-align:left;margin-left:.85pt;margin-top:4.4pt;width:12.75pt;height:12pt;z-index:251558400"/>
        </w:pict>
      </w:r>
      <w:r w:rsidR="006F76EB" w:rsidRPr="00834D52">
        <w:rPr>
          <w:rFonts w:ascii="Sylfaen" w:hAnsi="Sylfaen" w:cs="Sylfaen"/>
          <w:sz w:val="24"/>
          <w:szCs w:val="24"/>
        </w:rPr>
        <w:t>հակածին</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ելանյութ</w:t>
      </w:r>
      <w:r w:rsidR="006F76EB" w:rsidRPr="00834D52">
        <w:rPr>
          <w:rFonts w:ascii="Sylfaen" w:hAnsi="Sylfaen"/>
          <w:sz w:val="24"/>
          <w:szCs w:val="24"/>
        </w:rPr>
        <w:t xml:space="preserve"> </w:t>
      </w:r>
      <w:r w:rsidR="006F76EB" w:rsidRPr="00834D52">
        <w:rPr>
          <w:rFonts w:ascii="Sylfaen" w:hAnsi="Sylfaen" w:cs="Sylfaen"/>
          <w:sz w:val="24"/>
          <w:szCs w:val="24"/>
        </w:rPr>
        <w:t>ստանալու</w:t>
      </w:r>
      <w:r w:rsidR="006F76EB" w:rsidRPr="00834D52">
        <w:rPr>
          <w:rFonts w:ascii="Sylfaen" w:hAnsi="Sylfaen"/>
          <w:sz w:val="24"/>
          <w:szCs w:val="24"/>
        </w:rPr>
        <w:t xml:space="preserve"> </w:t>
      </w:r>
      <w:r w:rsidR="006F76EB" w:rsidRPr="00834D52">
        <w:rPr>
          <w:rFonts w:ascii="Sylfaen" w:hAnsi="Sylfaen" w:cs="Sylfaen"/>
          <w:sz w:val="24"/>
          <w:szCs w:val="24"/>
        </w:rPr>
        <w:t>համար</w:t>
      </w:r>
      <w:r w:rsidR="006F76EB" w:rsidRPr="00834D52">
        <w:rPr>
          <w:rFonts w:ascii="Sylfaen" w:hAnsi="Sylfaen"/>
          <w:sz w:val="24"/>
          <w:szCs w:val="24"/>
        </w:rPr>
        <w:t xml:space="preserve"> </w:t>
      </w:r>
      <w:r w:rsidR="006F76EB" w:rsidRPr="00834D52">
        <w:rPr>
          <w:rFonts w:ascii="Sylfaen" w:hAnsi="Sylfaen" w:cs="Sylfaen"/>
          <w:sz w:val="24"/>
          <w:szCs w:val="24"/>
        </w:rPr>
        <w:t>օգտագործվող</w:t>
      </w:r>
      <w:r w:rsidR="006F76EB" w:rsidRPr="00834D52">
        <w:rPr>
          <w:rFonts w:ascii="Sylfaen" w:hAnsi="Sylfaen"/>
          <w:sz w:val="24"/>
          <w:szCs w:val="24"/>
        </w:rPr>
        <w:t xml:space="preserve"> </w:t>
      </w:r>
      <w:r w:rsidR="006F76EB" w:rsidRPr="00834D52">
        <w:rPr>
          <w:rFonts w:ascii="Sylfaen" w:hAnsi="Sylfaen" w:cs="Sylfaen"/>
          <w:sz w:val="24"/>
          <w:szCs w:val="24"/>
        </w:rPr>
        <w:t>վեկտորի</w:t>
      </w:r>
      <w:r w:rsidR="006F76EB" w:rsidRPr="00834D52">
        <w:rPr>
          <w:rFonts w:ascii="Sylfaen" w:hAnsi="Sylfaen"/>
          <w:sz w:val="24"/>
          <w:szCs w:val="24"/>
        </w:rPr>
        <w:t xml:space="preserve"> </w:t>
      </w:r>
      <w:r w:rsidR="006F76EB" w:rsidRPr="00834D52">
        <w:rPr>
          <w:rFonts w:ascii="Sylfaen" w:hAnsi="Sylfaen" w:cs="Sylfaen"/>
          <w:sz w:val="24"/>
          <w:szCs w:val="24"/>
        </w:rPr>
        <w:t>մոդիֆիկացումները՝</w:t>
      </w:r>
      <w:r w:rsidR="006F76EB" w:rsidRPr="00834D52">
        <w:rPr>
          <w:rFonts w:ascii="Sylfaen" w:hAnsi="Sylfaen"/>
          <w:sz w:val="24"/>
          <w:szCs w:val="24"/>
        </w:rPr>
        <w:t xml:space="preserve"> </w:t>
      </w:r>
      <w:r w:rsidR="006F76EB" w:rsidRPr="00834D52">
        <w:rPr>
          <w:rFonts w:ascii="Sylfaen" w:hAnsi="Sylfaen" w:cs="Sylfaen"/>
          <w:sz w:val="24"/>
          <w:szCs w:val="24"/>
        </w:rPr>
        <w:t>ներառյալ</w:t>
      </w:r>
      <w:r w:rsidR="006F76EB" w:rsidRPr="00834D52">
        <w:rPr>
          <w:rFonts w:ascii="Sylfaen" w:hAnsi="Sylfaen"/>
          <w:sz w:val="24"/>
          <w:szCs w:val="24"/>
        </w:rPr>
        <w:t xml:space="preserve"> </w:t>
      </w:r>
      <w:r w:rsidR="006F76EB" w:rsidRPr="00834D52">
        <w:rPr>
          <w:rFonts w:ascii="Sylfaen" w:hAnsi="Sylfaen" w:cs="Sylfaen"/>
          <w:sz w:val="24"/>
          <w:szCs w:val="24"/>
        </w:rPr>
        <w:t>արդյունավետության</w:t>
      </w:r>
      <w:r w:rsidR="006F76EB" w:rsidRPr="00834D52">
        <w:rPr>
          <w:rFonts w:ascii="Sylfaen" w:hAnsi="Sylfaen"/>
          <w:sz w:val="24"/>
          <w:szCs w:val="24"/>
        </w:rPr>
        <w:t xml:space="preserve"> (</w:t>
      </w:r>
      <w:r w:rsidR="006F76EB" w:rsidRPr="00834D52">
        <w:rPr>
          <w:rFonts w:ascii="Sylfaen" w:hAnsi="Sylfaen" w:cs="Sylfaen"/>
          <w:sz w:val="24"/>
          <w:szCs w:val="24"/>
        </w:rPr>
        <w:t>անվտանգության</w:t>
      </w:r>
      <w:r w:rsidR="006F76EB" w:rsidRPr="00834D52">
        <w:rPr>
          <w:rFonts w:ascii="Sylfaen" w:hAnsi="Sylfaen"/>
          <w:sz w:val="24"/>
          <w:szCs w:val="24"/>
        </w:rPr>
        <w:t xml:space="preserve">) </w:t>
      </w:r>
      <w:r w:rsidR="006F76EB" w:rsidRPr="00834D52">
        <w:rPr>
          <w:rFonts w:ascii="Sylfaen" w:hAnsi="Sylfaen" w:cs="Sylfaen"/>
          <w:sz w:val="24"/>
          <w:szCs w:val="24"/>
        </w:rPr>
        <w:t>մասով</w:t>
      </w:r>
      <w:r w:rsidR="006F76EB" w:rsidRPr="00834D52">
        <w:rPr>
          <w:rFonts w:ascii="Sylfaen" w:hAnsi="Sylfaen"/>
          <w:sz w:val="24"/>
          <w:szCs w:val="24"/>
        </w:rPr>
        <w:t xml:space="preserve"> </w:t>
      </w:r>
      <w:r w:rsidR="006F76EB" w:rsidRPr="00834D52">
        <w:rPr>
          <w:rFonts w:ascii="Sylfaen" w:hAnsi="Sylfaen" w:cs="Sylfaen"/>
          <w:sz w:val="24"/>
          <w:szCs w:val="24"/>
        </w:rPr>
        <w:t>էական</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բացակայության</w:t>
      </w:r>
      <w:r w:rsidR="006F76EB" w:rsidRPr="00834D52">
        <w:rPr>
          <w:rFonts w:ascii="Sylfaen" w:hAnsi="Sylfaen"/>
          <w:sz w:val="24"/>
          <w:szCs w:val="24"/>
        </w:rPr>
        <w:t xml:space="preserve"> </w:t>
      </w:r>
      <w:r w:rsidR="006F76EB" w:rsidRPr="00834D52">
        <w:rPr>
          <w:rFonts w:ascii="Sylfaen" w:hAnsi="Sylfaen" w:cs="Sylfaen"/>
          <w:sz w:val="24"/>
          <w:szCs w:val="24"/>
        </w:rPr>
        <w:t>դեպքում</w:t>
      </w:r>
      <w:r w:rsidR="006F76EB" w:rsidRPr="00834D52">
        <w:rPr>
          <w:rFonts w:ascii="Sylfaen" w:hAnsi="Sylfaen"/>
          <w:sz w:val="24"/>
          <w:szCs w:val="24"/>
        </w:rPr>
        <w:t xml:space="preserve"> </w:t>
      </w:r>
      <w:r w:rsidR="006F76EB" w:rsidRPr="00834D52">
        <w:rPr>
          <w:rFonts w:ascii="Sylfaen" w:hAnsi="Sylfaen" w:cs="Sylfaen"/>
          <w:sz w:val="24"/>
          <w:szCs w:val="24"/>
        </w:rPr>
        <w:t>այլ</w:t>
      </w:r>
      <w:r w:rsidR="006F76EB" w:rsidRPr="00834D52">
        <w:rPr>
          <w:rFonts w:ascii="Sylfaen" w:hAnsi="Sylfaen"/>
          <w:sz w:val="24"/>
          <w:szCs w:val="24"/>
        </w:rPr>
        <w:t xml:space="preserve"> </w:t>
      </w:r>
      <w:r w:rsidR="006F76EB" w:rsidRPr="00834D52">
        <w:rPr>
          <w:rFonts w:ascii="Sylfaen" w:hAnsi="Sylfaen" w:cs="Sylfaen"/>
          <w:sz w:val="24"/>
          <w:szCs w:val="24"/>
        </w:rPr>
        <w:t>աղբյուրից</w:t>
      </w:r>
      <w:r w:rsidR="006F76EB" w:rsidRPr="00834D52">
        <w:rPr>
          <w:rFonts w:ascii="Sylfaen" w:hAnsi="Sylfaen"/>
          <w:sz w:val="24"/>
          <w:szCs w:val="24"/>
        </w:rPr>
        <w:t xml:space="preserve"> </w:t>
      </w:r>
      <w:r w:rsidR="006F76EB" w:rsidRPr="00834D52">
        <w:rPr>
          <w:rFonts w:ascii="Sylfaen" w:hAnsi="Sylfaen" w:cs="Sylfaen"/>
          <w:sz w:val="24"/>
          <w:szCs w:val="24"/>
        </w:rPr>
        <w:t>բջիջների</w:t>
      </w:r>
      <w:r w:rsidR="006F76EB" w:rsidRPr="00834D52">
        <w:rPr>
          <w:rFonts w:ascii="Sylfaen" w:hAnsi="Sylfaen"/>
          <w:sz w:val="24"/>
          <w:szCs w:val="24"/>
        </w:rPr>
        <w:t xml:space="preserve"> </w: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գլխավոր</w:t>
      </w:r>
      <w:r w:rsidR="006F76EB" w:rsidRPr="00834D52">
        <w:rPr>
          <w:rFonts w:ascii="Sylfaen" w:hAnsi="Sylfaen"/>
          <w:sz w:val="24"/>
          <w:szCs w:val="24"/>
        </w:rPr>
        <w:t xml:space="preserve"> </w:t>
      </w:r>
      <w:r w:rsidR="006F76EB" w:rsidRPr="00834D52">
        <w:rPr>
          <w:rFonts w:ascii="Sylfaen" w:hAnsi="Sylfaen" w:cs="Sylfaen"/>
          <w:sz w:val="24"/>
          <w:szCs w:val="24"/>
        </w:rPr>
        <w:t>բանկը</w:t>
      </w:r>
      <w:r w:rsidR="006F76EB" w:rsidRPr="00834D52">
        <w:rPr>
          <w:rFonts w:ascii="Sylfaen" w:hAnsi="Sylfaen"/>
          <w:sz w:val="24"/>
          <w:szCs w:val="24"/>
        </w:rPr>
        <w:t>,</w:t>
      </w:r>
    </w:p>
    <w:p w14:paraId="7AB29B71"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76E2A4F5">
          <v:rect id="_x0000_s1067" style="position:absolute;left:0;text-align:left;margin-left:1.6pt;margin-top:2.6pt;width:12.75pt;height:12pt;z-index:251559424"/>
        </w:pic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լիգանդը</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ռադիոդեղագործական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պատրաստուկի</w:t>
      </w:r>
      <w:r w:rsidR="006F76EB" w:rsidRPr="00834D52">
        <w:rPr>
          <w:rFonts w:ascii="Sylfaen" w:hAnsi="Sylfaen"/>
          <w:sz w:val="24"/>
          <w:szCs w:val="24"/>
        </w:rPr>
        <w:t xml:space="preserve"> </w:t>
      </w:r>
      <w:r w:rsidR="006F76EB" w:rsidRPr="00834D52">
        <w:rPr>
          <w:rFonts w:ascii="Sylfaen" w:hAnsi="Sylfaen" w:cs="Sylfaen"/>
          <w:sz w:val="24"/>
          <w:szCs w:val="24"/>
        </w:rPr>
        <w:t>կապող</w:t>
      </w:r>
      <w:r w:rsidR="006F76EB" w:rsidRPr="00834D52">
        <w:rPr>
          <w:rFonts w:ascii="Sylfaen" w:hAnsi="Sylfaen"/>
          <w:sz w:val="24"/>
          <w:szCs w:val="24"/>
        </w:rPr>
        <w:t xml:space="preserve"> </w:t>
      </w:r>
      <w:r w:rsidR="006F76EB" w:rsidRPr="00834D52">
        <w:rPr>
          <w:rFonts w:ascii="Sylfaen" w:hAnsi="Sylfaen" w:cs="Sylfaen"/>
          <w:sz w:val="24"/>
          <w:szCs w:val="24"/>
        </w:rPr>
        <w:t>մեխանիզմ</w:t>
      </w:r>
      <w:r w:rsidR="006F76EB" w:rsidRPr="00834D52">
        <w:rPr>
          <w:rFonts w:ascii="Sylfaen" w:hAnsi="Sylfaen"/>
          <w:sz w:val="24"/>
          <w:szCs w:val="24"/>
        </w:rPr>
        <w:t xml:space="preserve">ն </w:t>
      </w:r>
      <w:r w:rsidR="006F76EB" w:rsidRPr="00834D52">
        <w:rPr>
          <w:rFonts w:ascii="Sylfaen" w:hAnsi="Sylfaen" w:cs="Sylfaen"/>
          <w:sz w:val="24"/>
          <w:szCs w:val="24"/>
        </w:rPr>
        <w:t>արդյունավետության</w:t>
      </w:r>
      <w:r w:rsidR="006F76EB" w:rsidRPr="00834D52">
        <w:rPr>
          <w:rFonts w:ascii="Sylfaen" w:hAnsi="Sylfaen"/>
          <w:sz w:val="24"/>
          <w:szCs w:val="24"/>
        </w:rPr>
        <w:t xml:space="preserve"> (</w:t>
      </w:r>
      <w:r w:rsidR="006F76EB" w:rsidRPr="00834D52">
        <w:rPr>
          <w:rFonts w:ascii="Sylfaen" w:hAnsi="Sylfaen" w:cs="Sylfaen"/>
          <w:sz w:val="24"/>
          <w:szCs w:val="24"/>
        </w:rPr>
        <w:t>անվտանգության</w:t>
      </w:r>
      <w:r w:rsidR="006F76EB" w:rsidRPr="00834D52">
        <w:rPr>
          <w:rFonts w:ascii="Sylfaen" w:hAnsi="Sylfaen"/>
          <w:sz w:val="24"/>
          <w:szCs w:val="24"/>
        </w:rPr>
        <w:t xml:space="preserve">) </w:t>
      </w:r>
      <w:r w:rsidR="006F76EB" w:rsidRPr="00834D52">
        <w:rPr>
          <w:rFonts w:ascii="Sylfaen" w:hAnsi="Sylfaen" w:cs="Sylfaen"/>
          <w:sz w:val="24"/>
          <w:szCs w:val="24"/>
        </w:rPr>
        <w:t>մասով</w:t>
      </w:r>
      <w:r w:rsidR="006F76EB" w:rsidRPr="00834D52">
        <w:rPr>
          <w:rFonts w:ascii="Sylfaen" w:hAnsi="Sylfaen"/>
          <w:sz w:val="24"/>
          <w:szCs w:val="24"/>
        </w:rPr>
        <w:t xml:space="preserve"> </w:t>
      </w:r>
      <w:r w:rsidR="006F76EB" w:rsidRPr="00834D52">
        <w:rPr>
          <w:rFonts w:ascii="Sylfaen" w:hAnsi="Sylfaen" w:cs="Sylfaen"/>
          <w:sz w:val="24"/>
          <w:szCs w:val="24"/>
        </w:rPr>
        <w:t>էական</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բացակայության</w:t>
      </w:r>
      <w:r w:rsidR="006F76EB" w:rsidRPr="00834D52">
        <w:rPr>
          <w:rFonts w:ascii="Sylfaen" w:hAnsi="Sylfaen"/>
          <w:sz w:val="24"/>
          <w:szCs w:val="24"/>
        </w:rPr>
        <w:t xml:space="preserve"> </w:t>
      </w:r>
      <w:r w:rsidR="006F76EB" w:rsidRPr="00834D52">
        <w:rPr>
          <w:rFonts w:ascii="Sylfaen" w:hAnsi="Sylfaen" w:cs="Sylfaen"/>
          <w:sz w:val="24"/>
          <w:szCs w:val="24"/>
        </w:rPr>
        <w:t>դեպքում</w:t>
      </w:r>
      <w:r w:rsidR="006F76EB" w:rsidRPr="00834D52">
        <w:rPr>
          <w:rFonts w:ascii="Sylfaen" w:hAnsi="Sylfaen"/>
          <w:sz w:val="24"/>
          <w:szCs w:val="24"/>
        </w:rPr>
        <w:t>,</w:t>
      </w:r>
    </w:p>
    <w:p w14:paraId="310234BD" w14:textId="77777777" w:rsidR="006F76EB" w:rsidRPr="00834D52" w:rsidRDefault="00157FD9" w:rsidP="006F76EB">
      <w:pPr>
        <w:spacing w:after="160" w:line="360" w:lineRule="auto"/>
        <w:ind w:right="-8" w:firstLine="567"/>
        <w:rPr>
          <w:rFonts w:ascii="Sylfaen" w:eastAsia="Times New Roman" w:hAnsi="Sylfaen" w:cs="Times New Roman"/>
          <w:sz w:val="24"/>
          <w:szCs w:val="24"/>
        </w:rPr>
      </w:pPr>
      <w:r>
        <w:rPr>
          <w:rFonts w:ascii="Sylfaen" w:eastAsia="Times New Roman" w:hAnsi="Sylfaen" w:cs="Times New Roman"/>
          <w:noProof/>
          <w:sz w:val="24"/>
          <w:szCs w:val="24"/>
        </w:rPr>
        <w:pict w14:anchorId="6FDF42E3">
          <v:rect id="_x0000_s1069" style="position:absolute;left:0;text-align:left;margin-left:3pt;margin-top:100.4pt;width:12.75pt;height:12pt;z-index:251560448"/>
        </w:pict>
      </w:r>
      <w:r>
        <w:rPr>
          <w:rFonts w:ascii="Sylfaen" w:eastAsia="Times New Roman" w:hAnsi="Sylfaen" w:cs="Times New Roman"/>
          <w:sz w:val="24"/>
          <w:szCs w:val="24"/>
        </w:rPr>
        <w:pict w14:anchorId="6315F047">
          <v:rect id="_x0000_s1068" style="position:absolute;left:0;text-align:left;margin-left:1.6pt;margin-top:4.15pt;width:12.75pt;height:12pt;z-index:251561472"/>
        </w:pict>
      </w:r>
      <w:r w:rsidR="006F76EB" w:rsidRPr="00834D52">
        <w:rPr>
          <w:rFonts w:ascii="Sylfaen" w:hAnsi="Sylfaen" w:cs="Sylfaen"/>
          <w:sz w:val="24"/>
          <w:szCs w:val="24"/>
        </w:rPr>
        <w:t>էքստրագենտի</w:t>
      </w:r>
      <w:r w:rsidR="006F76EB" w:rsidRPr="00834D52">
        <w:rPr>
          <w:rFonts w:ascii="Sylfaen" w:hAnsi="Sylfaen"/>
          <w:sz w:val="24"/>
          <w:szCs w:val="24"/>
        </w:rPr>
        <w:t xml:space="preserve"> (</w:t>
      </w:r>
      <w:r w:rsidR="006F76EB" w:rsidRPr="00834D52">
        <w:rPr>
          <w:rFonts w:ascii="Sylfaen" w:hAnsi="Sylfaen" w:cs="Sylfaen"/>
          <w:sz w:val="24"/>
          <w:szCs w:val="24"/>
        </w:rPr>
        <w:t>լուծիչի</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դեղաբուսական</w:t>
      </w:r>
      <w:r w:rsidR="006F76EB" w:rsidRPr="00834D52">
        <w:rPr>
          <w:rFonts w:ascii="Sylfaen" w:hAnsi="Sylfaen"/>
          <w:sz w:val="24"/>
          <w:szCs w:val="24"/>
        </w:rPr>
        <w:t xml:space="preserve"> </w:t>
      </w:r>
      <w:r w:rsidR="006F76EB" w:rsidRPr="00834D52">
        <w:rPr>
          <w:rFonts w:ascii="Sylfaen" w:hAnsi="Sylfaen" w:cs="Sylfaen"/>
          <w:sz w:val="24"/>
          <w:szCs w:val="24"/>
        </w:rPr>
        <w:t>հումքի</w:t>
      </w:r>
      <w:r w:rsidR="006F76EB" w:rsidRPr="00834D52">
        <w:rPr>
          <w:rFonts w:ascii="Sylfaen" w:hAnsi="Sylfaen"/>
          <w:sz w:val="24"/>
          <w:szCs w:val="24"/>
        </w:rPr>
        <w:t xml:space="preserve"> </w:t>
      </w:r>
      <w:r w:rsidR="00C54D75">
        <w:rPr>
          <w:rFonts w:ascii="Sylfaen" w:hAnsi="Sylfaen" w:cs="Sylfaen"/>
          <w:sz w:val="24"/>
          <w:szCs w:val="24"/>
        </w:rPr>
        <w:t>և</w:t>
      </w:r>
      <w:r w:rsidR="006F76EB" w:rsidRPr="00834D52">
        <w:rPr>
          <w:rFonts w:ascii="Sylfaen" w:hAnsi="Sylfaen"/>
          <w:sz w:val="24"/>
          <w:szCs w:val="24"/>
        </w:rPr>
        <w:t xml:space="preserve"> </w:t>
      </w:r>
      <w:r w:rsidR="006F76EB" w:rsidRPr="00834D52">
        <w:rPr>
          <w:rFonts w:ascii="Sylfaen" w:hAnsi="Sylfaen" w:cs="Sylfaen"/>
          <w:sz w:val="24"/>
          <w:szCs w:val="24"/>
        </w:rPr>
        <w:t>բուսական</w:t>
      </w:r>
      <w:r w:rsidR="006F76EB" w:rsidRPr="00834D52">
        <w:rPr>
          <w:rFonts w:ascii="Sylfaen" w:hAnsi="Sylfaen"/>
          <w:sz w:val="24"/>
          <w:szCs w:val="24"/>
        </w:rPr>
        <w:t xml:space="preserve"> </w:t>
      </w:r>
      <w:r w:rsidR="006F76EB" w:rsidRPr="00834D52">
        <w:rPr>
          <w:rFonts w:ascii="Sylfaen" w:hAnsi="Sylfaen" w:cs="Sylfaen"/>
          <w:sz w:val="24"/>
          <w:szCs w:val="24"/>
        </w:rPr>
        <w:t>ծագման</w:t>
      </w:r>
      <w:r w:rsidR="006F76EB" w:rsidRPr="00834D52">
        <w:rPr>
          <w:rFonts w:ascii="Sylfaen" w:hAnsi="Sylfaen"/>
          <w:sz w:val="24"/>
          <w:szCs w:val="24"/>
        </w:rPr>
        <w:t xml:space="preserve"> </w:t>
      </w:r>
      <w:r w:rsidR="006F76EB" w:rsidRPr="00834D52">
        <w:rPr>
          <w:rFonts w:ascii="Sylfaen" w:hAnsi="Sylfaen" w:cs="Sylfaen"/>
          <w:sz w:val="24"/>
          <w:szCs w:val="24"/>
        </w:rPr>
        <w:t>դեղագործական</w:t>
      </w:r>
      <w:r w:rsidR="006F76EB" w:rsidRPr="00834D52">
        <w:rPr>
          <w:rFonts w:ascii="Sylfaen" w:hAnsi="Sylfaen"/>
          <w:sz w:val="24"/>
          <w:szCs w:val="24"/>
        </w:rPr>
        <w:t xml:space="preserve"> </w:t>
      </w:r>
      <w:r w:rsidR="006F76EB" w:rsidRPr="00834D52">
        <w:rPr>
          <w:rFonts w:ascii="Sylfaen" w:hAnsi="Sylfaen" w:cs="Sylfaen"/>
          <w:sz w:val="24"/>
          <w:szCs w:val="24"/>
        </w:rPr>
        <w:t>բաղադրամասի</w:t>
      </w:r>
      <w:r w:rsidR="006F76EB" w:rsidRPr="00834D52">
        <w:rPr>
          <w:rFonts w:ascii="Sylfaen" w:hAnsi="Sylfaen"/>
          <w:sz w:val="24"/>
          <w:szCs w:val="24"/>
        </w:rPr>
        <w:t xml:space="preserve"> </w:t>
      </w:r>
      <w:r w:rsidR="006F76EB" w:rsidRPr="00834D52">
        <w:rPr>
          <w:rFonts w:ascii="Sylfaen" w:hAnsi="Sylfaen" w:cs="Sylfaen"/>
          <w:sz w:val="24"/>
          <w:szCs w:val="24"/>
        </w:rPr>
        <w:t>հարաբերակցություններ</w:t>
      </w:r>
      <w:r w:rsidR="006F76EB" w:rsidRPr="00834D52">
        <w:rPr>
          <w:rFonts w:ascii="Sylfaen" w:hAnsi="Sylfaen"/>
          <w:sz w:val="24"/>
          <w:szCs w:val="24"/>
        </w:rPr>
        <w:t xml:space="preserve">ն </w:t>
      </w:r>
      <w:r w:rsidR="006F76EB" w:rsidRPr="00834D52">
        <w:rPr>
          <w:rFonts w:ascii="Sylfaen" w:hAnsi="Sylfaen" w:cs="Sylfaen"/>
          <w:sz w:val="24"/>
          <w:szCs w:val="24"/>
        </w:rPr>
        <w:t>արդյունավետության</w:t>
      </w:r>
      <w:r w:rsidR="006F76EB" w:rsidRPr="00834D52">
        <w:rPr>
          <w:rFonts w:ascii="Sylfaen" w:hAnsi="Sylfaen"/>
          <w:sz w:val="24"/>
          <w:szCs w:val="24"/>
        </w:rPr>
        <w:t xml:space="preserve"> (</w:t>
      </w:r>
      <w:r w:rsidR="006F76EB" w:rsidRPr="00834D52">
        <w:rPr>
          <w:rFonts w:ascii="Sylfaen" w:hAnsi="Sylfaen" w:cs="Sylfaen"/>
          <w:sz w:val="24"/>
          <w:szCs w:val="24"/>
        </w:rPr>
        <w:t>անվտանգության</w:t>
      </w:r>
      <w:r w:rsidR="006F76EB" w:rsidRPr="00834D52">
        <w:rPr>
          <w:rFonts w:ascii="Sylfaen" w:hAnsi="Sylfaen"/>
          <w:sz w:val="24"/>
          <w:szCs w:val="24"/>
        </w:rPr>
        <w:t xml:space="preserve">) </w:t>
      </w:r>
      <w:r w:rsidR="006F76EB" w:rsidRPr="00834D52">
        <w:rPr>
          <w:rFonts w:ascii="Sylfaen" w:hAnsi="Sylfaen" w:cs="Sylfaen"/>
          <w:sz w:val="24"/>
          <w:szCs w:val="24"/>
        </w:rPr>
        <w:t>մեջ</w:t>
      </w:r>
      <w:r w:rsidR="006F76EB" w:rsidRPr="00834D52">
        <w:rPr>
          <w:rFonts w:ascii="Sylfaen" w:hAnsi="Sylfaen"/>
          <w:sz w:val="24"/>
          <w:szCs w:val="24"/>
        </w:rPr>
        <w:t xml:space="preserve"> </w:t>
      </w:r>
      <w:r w:rsidR="006F76EB" w:rsidRPr="00834D52">
        <w:rPr>
          <w:rFonts w:ascii="Sylfaen" w:hAnsi="Sylfaen" w:cs="Sylfaen"/>
          <w:sz w:val="24"/>
          <w:szCs w:val="24"/>
        </w:rPr>
        <w:t>էական</w:t>
      </w:r>
      <w:r w:rsidR="006F76EB" w:rsidRPr="00834D52">
        <w:rPr>
          <w:rFonts w:ascii="Sylfaen" w:hAnsi="Sylfaen"/>
          <w:sz w:val="24"/>
          <w:szCs w:val="24"/>
        </w:rPr>
        <w:t xml:space="preserve"> </w:t>
      </w:r>
      <w:r w:rsidR="006F76EB" w:rsidRPr="00834D52">
        <w:rPr>
          <w:rFonts w:ascii="Sylfaen" w:hAnsi="Sylfaen" w:cs="Sylfaen"/>
          <w:sz w:val="24"/>
          <w:szCs w:val="24"/>
        </w:rPr>
        <w:t>տարբերությունների</w:t>
      </w:r>
      <w:r w:rsidR="006F76EB" w:rsidRPr="00834D52">
        <w:rPr>
          <w:rFonts w:ascii="Sylfaen" w:hAnsi="Sylfaen"/>
          <w:sz w:val="24"/>
          <w:szCs w:val="24"/>
        </w:rPr>
        <w:t xml:space="preserve"> </w:t>
      </w:r>
      <w:r w:rsidR="006F76EB" w:rsidRPr="00834D52">
        <w:rPr>
          <w:rFonts w:ascii="Sylfaen" w:hAnsi="Sylfaen" w:cs="Sylfaen"/>
          <w:sz w:val="24"/>
          <w:szCs w:val="24"/>
        </w:rPr>
        <w:t>բացակայության</w:t>
      </w:r>
      <w:r w:rsidR="006F76EB" w:rsidRPr="00834D52">
        <w:rPr>
          <w:rFonts w:ascii="Sylfaen" w:hAnsi="Sylfaen"/>
          <w:sz w:val="24"/>
          <w:szCs w:val="24"/>
        </w:rPr>
        <w:t xml:space="preserve"> </w:t>
      </w:r>
      <w:r w:rsidR="006F76EB" w:rsidRPr="00834D52">
        <w:rPr>
          <w:rFonts w:ascii="Sylfaen" w:hAnsi="Sylfaen" w:cs="Sylfaen"/>
          <w:sz w:val="24"/>
          <w:szCs w:val="24"/>
        </w:rPr>
        <w:t>դեպքում</w:t>
      </w:r>
      <w:r w:rsidR="006F76EB" w:rsidRPr="00834D52">
        <w:rPr>
          <w:rFonts w:ascii="Sylfaen" w:hAnsi="Sylfaen"/>
          <w:sz w:val="24"/>
          <w:szCs w:val="24"/>
        </w:rPr>
        <w:t>,</w:t>
      </w:r>
    </w:p>
    <w:p w14:paraId="3CAE05B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cs="Sylfaen"/>
          <w:sz w:val="24"/>
          <w:szCs w:val="24"/>
        </w:rPr>
        <w:t>դեղաչափի</w:t>
      </w:r>
      <w:r w:rsidRPr="00834D52">
        <w:rPr>
          <w:rFonts w:ascii="Sylfaen" w:hAnsi="Sylfaen"/>
          <w:sz w:val="24"/>
          <w:szCs w:val="24"/>
        </w:rPr>
        <w:t xml:space="preserve">, </w:t>
      </w:r>
      <w:r w:rsidRPr="00834D52">
        <w:rPr>
          <w:rFonts w:ascii="Sylfaen" w:hAnsi="Sylfaen" w:cs="Sylfaen"/>
          <w:sz w:val="24"/>
          <w:szCs w:val="24"/>
        </w:rPr>
        <w:t>դեղաձ</w:t>
      </w:r>
      <w:r w:rsidR="00C54D75">
        <w:rPr>
          <w:rFonts w:ascii="Sylfaen" w:hAnsi="Sylfaen" w:cs="Sylfaen"/>
          <w:sz w:val="24"/>
          <w:szCs w:val="24"/>
        </w:rPr>
        <w:t>և</w:t>
      </w:r>
      <w:r w:rsidRPr="00834D52">
        <w:rPr>
          <w:rFonts w:ascii="Sylfaen" w:hAnsi="Sylfaen" w:cs="Sylfaen"/>
          <w:sz w:val="24"/>
          <w:szCs w:val="24"/>
        </w:rPr>
        <w:t>ի</w:t>
      </w:r>
      <w:r w:rsidRPr="00834D52">
        <w:rPr>
          <w:rFonts w:ascii="Sylfaen" w:hAnsi="Sylfaen"/>
          <w:sz w:val="24"/>
          <w:szCs w:val="24"/>
        </w:rPr>
        <w:t xml:space="preserve"> </w:t>
      </w:r>
      <w:r w:rsidR="00C54D75">
        <w:rPr>
          <w:rFonts w:ascii="Sylfaen" w:hAnsi="Sylfaen" w:cs="Sylfaen"/>
          <w:sz w:val="24"/>
          <w:szCs w:val="24"/>
        </w:rPr>
        <w:t>և</w:t>
      </w:r>
      <w:r w:rsidRPr="00834D52">
        <w:rPr>
          <w:rFonts w:ascii="Sylfaen" w:hAnsi="Sylfaen"/>
          <w:sz w:val="24"/>
          <w:szCs w:val="24"/>
        </w:rPr>
        <w:t xml:space="preserve"> </w:t>
      </w:r>
      <w:r w:rsidRPr="00834D52">
        <w:rPr>
          <w:rFonts w:ascii="Sylfaen" w:hAnsi="Sylfaen" w:cs="Sylfaen"/>
          <w:sz w:val="24"/>
          <w:szCs w:val="24"/>
        </w:rPr>
        <w:t>կիրառման</w:t>
      </w:r>
      <w:r w:rsidRPr="00834D52">
        <w:rPr>
          <w:rFonts w:ascii="Sylfaen" w:hAnsi="Sylfaen"/>
          <w:sz w:val="24"/>
          <w:szCs w:val="24"/>
        </w:rPr>
        <w:t xml:space="preserve"> </w:t>
      </w:r>
      <w:r w:rsidRPr="00834D52">
        <w:rPr>
          <w:rFonts w:ascii="Sylfaen" w:hAnsi="Sylfaen" w:cs="Sylfaen"/>
          <w:sz w:val="24"/>
          <w:szCs w:val="24"/>
        </w:rPr>
        <w:t>եղանակի</w:t>
      </w:r>
      <w:r w:rsidRPr="00834D52">
        <w:rPr>
          <w:rFonts w:ascii="Sylfaen" w:hAnsi="Sylfaen"/>
          <w:sz w:val="24"/>
          <w:szCs w:val="24"/>
        </w:rPr>
        <w:t xml:space="preserve"> </w:t>
      </w:r>
      <w:r w:rsidRPr="00834D52">
        <w:rPr>
          <w:rFonts w:ascii="Sylfaen" w:hAnsi="Sylfaen" w:cs="Sylfaen"/>
          <w:sz w:val="24"/>
          <w:szCs w:val="24"/>
        </w:rPr>
        <w:t>փոփոխությունները՝</w:t>
      </w:r>
    </w:p>
    <w:p w14:paraId="7B1DE2CB"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5BAFD0B2">
          <v:rect id="_x0000_s1070" style="position:absolute;left:0;text-align:left;margin-left:2.25pt;margin-top:4.2pt;width:12.75pt;height:12pt;z-index:251562496"/>
        </w:pict>
      </w:r>
      <w:r w:rsidR="006F76EB" w:rsidRPr="00834D52">
        <w:rPr>
          <w:rFonts w:ascii="Sylfaen" w:hAnsi="Sylfaen" w:cs="Sylfaen"/>
          <w:sz w:val="24"/>
          <w:szCs w:val="24"/>
        </w:rPr>
        <w:t>կենսամատչելիության</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w:t>
      </w:r>
    </w:p>
    <w:p w14:paraId="4492711E"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02E63501">
          <v:rect id="_x0000_s1071" style="position:absolute;left:0;text-align:left;margin-left:2.25pt;margin-top:4.6pt;width:12.75pt;height:12pt;z-index:251563520"/>
        </w:pict>
      </w:r>
      <w:r w:rsidR="00355C33">
        <w:rPr>
          <w:rFonts w:ascii="Sylfaen" w:hAnsi="Sylfaen" w:cs="Sylfaen"/>
          <w:sz w:val="24"/>
          <w:szCs w:val="24"/>
        </w:rPr>
        <w:t>դեղա</w:t>
      </w:r>
      <w:r w:rsidR="006F76EB" w:rsidRPr="00834D52">
        <w:rPr>
          <w:rFonts w:ascii="Sylfaen" w:hAnsi="Sylfaen" w:cs="Sylfaen"/>
          <w:sz w:val="24"/>
          <w:szCs w:val="24"/>
        </w:rPr>
        <w:t>կինետիկայի</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w:t>
      </w:r>
    </w:p>
    <w:p w14:paraId="410A70FA"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548C0FE6">
          <v:rect id="_x0000_s1072" style="position:absolute;left:0;text-align:left;margin-left:3pt;margin-top:2.75pt;width:12.75pt;height:12pt;z-index:251564544"/>
        </w:pic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դեղաչափի</w:t>
      </w:r>
      <w:r w:rsidR="006F76EB" w:rsidRPr="00834D52">
        <w:rPr>
          <w:rFonts w:ascii="Sylfaen" w:hAnsi="Sylfaen"/>
          <w:sz w:val="24"/>
          <w:szCs w:val="24"/>
        </w:rPr>
        <w:t xml:space="preserve"> (</w:t>
      </w:r>
      <w:r w:rsidR="006F76EB" w:rsidRPr="00834D52">
        <w:rPr>
          <w:rFonts w:ascii="Sylfaen" w:hAnsi="Sylfaen" w:cs="Sylfaen"/>
          <w:sz w:val="24"/>
          <w:szCs w:val="24"/>
        </w:rPr>
        <w:t>ակտիվության</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ավելացումը</w:t>
      </w:r>
      <w:r w:rsidR="006F76EB" w:rsidRPr="00834D52">
        <w:rPr>
          <w:rFonts w:ascii="Sylfaen" w:hAnsi="Sylfaen"/>
          <w:sz w:val="24"/>
          <w:szCs w:val="24"/>
        </w:rPr>
        <w:t>,</w:t>
      </w:r>
    </w:p>
    <w:p w14:paraId="489D01EF"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1C4ACEAA">
          <v:rect id="_x0000_s1073" style="position:absolute;left:0;text-align:left;margin-left:3pt;margin-top:3.15pt;width:12.75pt;height:12pt;z-index:251565568"/>
        </w:pict>
      </w:r>
      <w:r w:rsidR="006F76EB" w:rsidRPr="00834D52">
        <w:rPr>
          <w:rFonts w:ascii="Sylfaen" w:hAnsi="Sylfaen" w:cs="Sylfaen"/>
          <w:sz w:val="24"/>
          <w:szCs w:val="24"/>
        </w:rPr>
        <w:t>դեղաձ</w:t>
      </w:r>
      <w:r w:rsidR="00C54D75">
        <w:rPr>
          <w:rFonts w:ascii="Sylfaen" w:hAnsi="Sylfaen" w:cs="Sylfaen"/>
          <w:sz w:val="24"/>
          <w:szCs w:val="24"/>
        </w:rPr>
        <w:t>և</w:t>
      </w:r>
      <w:r w:rsidR="006F76EB" w:rsidRPr="00834D52">
        <w:rPr>
          <w:rFonts w:ascii="Sylfaen" w:hAnsi="Sylfaen" w:cs="Sylfaen"/>
          <w:sz w:val="24"/>
          <w:szCs w:val="24"/>
        </w:rPr>
        <w:t>ի</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դեղաձ</w:t>
      </w:r>
      <w:r w:rsidR="00C54D75">
        <w:rPr>
          <w:rFonts w:ascii="Sylfaen" w:hAnsi="Sylfaen" w:cs="Sylfaen"/>
          <w:sz w:val="24"/>
          <w:szCs w:val="24"/>
        </w:rPr>
        <w:t>և</w:t>
      </w:r>
      <w:r w:rsidR="006F76EB" w:rsidRPr="00834D52">
        <w:rPr>
          <w:rFonts w:ascii="Sylfaen" w:hAnsi="Sylfaen" w:cs="Sylfaen"/>
          <w:sz w:val="24"/>
          <w:szCs w:val="24"/>
        </w:rPr>
        <w:t>ի</w:t>
      </w:r>
      <w:r w:rsidR="006F76EB" w:rsidRPr="00834D52">
        <w:rPr>
          <w:rFonts w:ascii="Sylfaen" w:hAnsi="Sylfaen"/>
          <w:sz w:val="24"/>
          <w:szCs w:val="24"/>
        </w:rPr>
        <w:t xml:space="preserve"> </w:t>
      </w:r>
      <w:r w:rsidR="006F76EB" w:rsidRPr="00834D52">
        <w:rPr>
          <w:rFonts w:ascii="Sylfaen" w:hAnsi="Sylfaen" w:cs="Sylfaen"/>
          <w:sz w:val="24"/>
          <w:szCs w:val="24"/>
        </w:rPr>
        <w:t>ավելացումը</w:t>
      </w:r>
      <w:r w:rsidR="006F76EB" w:rsidRPr="00834D52">
        <w:rPr>
          <w:rFonts w:ascii="Sylfaen" w:hAnsi="Sylfaen"/>
          <w:sz w:val="24"/>
          <w:szCs w:val="24"/>
        </w:rPr>
        <w:t>,</w:t>
      </w:r>
    </w:p>
    <w:p w14:paraId="4A6002DE"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7CE70DA5">
          <v:rect id="_x0000_s1074" style="position:absolute;left:0;text-align:left;margin-left:3pt;margin-top:1.3pt;width:12.75pt;height:12pt;z-index:251566592"/>
        </w:pict>
      </w:r>
      <w:r w:rsidR="006F76EB" w:rsidRPr="00834D52">
        <w:rPr>
          <w:rFonts w:ascii="Sylfaen" w:hAnsi="Sylfaen" w:cs="Sylfaen"/>
          <w:sz w:val="24"/>
          <w:szCs w:val="24"/>
        </w:rPr>
        <w:t>ներմուծման</w:t>
      </w:r>
      <w:r w:rsidR="006F76EB" w:rsidRPr="00834D52">
        <w:rPr>
          <w:rFonts w:ascii="Sylfaen" w:hAnsi="Sylfaen"/>
          <w:sz w:val="24"/>
          <w:szCs w:val="24"/>
        </w:rPr>
        <w:t xml:space="preserve"> </w:t>
      </w:r>
      <w:r w:rsidR="006F76EB" w:rsidRPr="00834D52">
        <w:rPr>
          <w:rFonts w:ascii="Sylfaen" w:hAnsi="Sylfaen" w:cs="Sylfaen"/>
          <w:sz w:val="24"/>
          <w:szCs w:val="24"/>
        </w:rPr>
        <w:t>ուղու</w:t>
      </w:r>
      <w:r w:rsidR="006F76EB" w:rsidRPr="00834D52">
        <w:rPr>
          <w:rFonts w:ascii="Sylfaen" w:hAnsi="Sylfaen"/>
          <w:sz w:val="24"/>
          <w:szCs w:val="24"/>
        </w:rPr>
        <w:t xml:space="preserve"> </w:t>
      </w:r>
      <w:r w:rsidR="006F76EB" w:rsidRPr="00834D52">
        <w:rPr>
          <w:rFonts w:ascii="Sylfaen" w:hAnsi="Sylfaen" w:cs="Sylfaen"/>
          <w:sz w:val="24"/>
          <w:szCs w:val="24"/>
        </w:rPr>
        <w:t>փոփոխությունը</w:t>
      </w:r>
      <w:r w:rsidR="006F76EB" w:rsidRPr="00834D52">
        <w:rPr>
          <w:rFonts w:ascii="Sylfaen" w:hAnsi="Sylfaen"/>
          <w:sz w:val="24"/>
          <w:szCs w:val="24"/>
        </w:rPr>
        <w:t xml:space="preserve"> </w:t>
      </w:r>
      <w:r w:rsidR="006F76EB" w:rsidRPr="00834D52">
        <w:rPr>
          <w:rFonts w:ascii="Sylfaen" w:hAnsi="Sylfaen" w:cs="Sylfaen"/>
          <w:sz w:val="24"/>
          <w:szCs w:val="24"/>
        </w:rPr>
        <w:t>կամ</w:t>
      </w:r>
      <w:r w:rsidR="006F76EB" w:rsidRPr="00834D52">
        <w:rPr>
          <w:rFonts w:ascii="Sylfaen" w:hAnsi="Sylfaen"/>
          <w:sz w:val="24"/>
          <w:szCs w:val="24"/>
        </w:rPr>
        <w:t xml:space="preserve"> </w:t>
      </w:r>
      <w:r w:rsidR="006F76EB" w:rsidRPr="00834D52">
        <w:rPr>
          <w:rFonts w:ascii="Sylfaen" w:hAnsi="Sylfaen" w:cs="Sylfaen"/>
          <w:sz w:val="24"/>
          <w:szCs w:val="24"/>
        </w:rPr>
        <w:t>ներմուծման</w:t>
      </w:r>
      <w:r w:rsidR="006F76EB" w:rsidRPr="00834D52">
        <w:rPr>
          <w:rFonts w:ascii="Sylfaen" w:hAnsi="Sylfaen"/>
          <w:sz w:val="24"/>
          <w:szCs w:val="24"/>
        </w:rPr>
        <w:t xml:space="preserve"> </w:t>
      </w:r>
      <w:r w:rsidR="006F76EB" w:rsidRPr="00834D52">
        <w:rPr>
          <w:rFonts w:ascii="Sylfaen" w:hAnsi="Sylfaen" w:cs="Sylfaen"/>
          <w:sz w:val="24"/>
          <w:szCs w:val="24"/>
        </w:rPr>
        <w:t>նոր</w:t>
      </w:r>
      <w:r w:rsidR="006F76EB" w:rsidRPr="00834D52">
        <w:rPr>
          <w:rFonts w:ascii="Sylfaen" w:hAnsi="Sylfaen"/>
          <w:sz w:val="24"/>
          <w:szCs w:val="24"/>
        </w:rPr>
        <w:t xml:space="preserve"> </w:t>
      </w:r>
      <w:r w:rsidR="006F76EB" w:rsidRPr="00834D52">
        <w:rPr>
          <w:rFonts w:ascii="Sylfaen" w:hAnsi="Sylfaen" w:cs="Sylfaen"/>
          <w:sz w:val="24"/>
          <w:szCs w:val="24"/>
        </w:rPr>
        <w:t>ուղու</w:t>
      </w:r>
      <w:r w:rsidR="006F76EB" w:rsidRPr="00834D52">
        <w:rPr>
          <w:rFonts w:ascii="Sylfaen" w:hAnsi="Sylfaen"/>
          <w:sz w:val="24"/>
          <w:szCs w:val="24"/>
        </w:rPr>
        <w:t xml:space="preserve"> </w:t>
      </w:r>
      <w:r w:rsidR="006F76EB" w:rsidRPr="00834D52">
        <w:rPr>
          <w:rFonts w:ascii="Sylfaen" w:hAnsi="Sylfaen" w:cs="Sylfaen"/>
          <w:sz w:val="24"/>
          <w:szCs w:val="24"/>
        </w:rPr>
        <w:t>ավելացումը</w:t>
      </w:r>
    </w:p>
    <w:p w14:paraId="605ADEB4" w14:textId="77777777" w:rsidR="006F76EB" w:rsidRPr="00834D52" w:rsidRDefault="006F76EB" w:rsidP="006F76EB">
      <w:pPr>
        <w:spacing w:after="0" w:line="240" w:lineRule="auto"/>
        <w:ind w:right="-6"/>
        <w:jc w:val="both"/>
        <w:rPr>
          <w:rFonts w:ascii="Sylfaen" w:hAnsi="Sylfaen"/>
          <w:sz w:val="24"/>
          <w:szCs w:val="24"/>
        </w:rPr>
      </w:pPr>
      <w:r w:rsidRPr="00834D52">
        <w:rPr>
          <w:rFonts w:ascii="Sylfaen" w:hAnsi="Sylfaen"/>
          <w:sz w:val="24"/>
          <w:szCs w:val="24"/>
        </w:rPr>
        <w:t>Դեղապատրաստուկ, որը գրանցված է</w:t>
      </w:r>
      <w:r w:rsidR="002E0B92" w:rsidRPr="002E0B92">
        <w:rPr>
          <w:rFonts w:ascii="Sylfaen" w:hAnsi="Sylfaen"/>
          <w:sz w:val="24"/>
          <w:szCs w:val="24"/>
        </w:rPr>
        <w:t xml:space="preserve"> </w:t>
      </w:r>
      <w:r w:rsidRPr="00834D52">
        <w:rPr>
          <w:rFonts w:ascii="Sylfaen" w:hAnsi="Sylfaen"/>
          <w:sz w:val="24"/>
          <w:szCs w:val="24"/>
        </w:rPr>
        <w:t xml:space="preserve">___________________ </w:t>
      </w:r>
      <w:r w:rsidR="003426FC">
        <w:rPr>
          <w:rFonts w:ascii="Sylfaen" w:hAnsi="Sylfaen"/>
          <w:sz w:val="24"/>
          <w:szCs w:val="24"/>
        </w:rPr>
        <w:t xml:space="preserve">ռեֆերենտ </w:t>
      </w:r>
      <w:r w:rsidRPr="00834D52">
        <w:rPr>
          <w:rFonts w:ascii="Sylfaen" w:hAnsi="Sylfaen"/>
          <w:sz w:val="24"/>
          <w:szCs w:val="24"/>
        </w:rPr>
        <w:br/>
        <w:t xml:space="preserve">                                        </w:t>
      </w:r>
      <w:r w:rsidR="0056482B">
        <w:rPr>
          <w:rFonts w:ascii="Sylfaen" w:hAnsi="Sylfaen"/>
          <w:sz w:val="24"/>
          <w:szCs w:val="24"/>
        </w:rPr>
        <w:t xml:space="preserve">                       </w:t>
      </w:r>
      <w:r w:rsidRPr="00834D52">
        <w:rPr>
          <w:rFonts w:ascii="Sylfaen" w:hAnsi="Sylfaen"/>
          <w:sz w:val="24"/>
          <w:szCs w:val="24"/>
        </w:rPr>
        <w:t xml:space="preserve">            </w:t>
      </w:r>
      <w:r w:rsidRPr="00834D52">
        <w:rPr>
          <w:rFonts w:ascii="Sylfaen" w:hAnsi="Sylfaen"/>
          <w:sz w:val="20"/>
          <w:szCs w:val="24"/>
        </w:rPr>
        <w:t>(պետության անվանումը)</w:t>
      </w:r>
      <w:r w:rsidRPr="00834D52">
        <w:rPr>
          <w:rFonts w:ascii="Sylfaen" w:hAnsi="Sylfaen"/>
          <w:sz w:val="24"/>
          <w:szCs w:val="24"/>
        </w:rPr>
        <w:t xml:space="preserve"> </w:t>
      </w:r>
    </w:p>
    <w:p w14:paraId="191E9A5A" w14:textId="77777777" w:rsidR="006F76EB" w:rsidRPr="00834D52" w:rsidRDefault="006F76EB" w:rsidP="006F76EB">
      <w:pPr>
        <w:spacing w:after="160" w:line="360" w:lineRule="auto"/>
        <w:ind w:right="-6"/>
        <w:jc w:val="both"/>
        <w:rPr>
          <w:rFonts w:ascii="Sylfaen" w:hAnsi="Sylfaen"/>
          <w:sz w:val="24"/>
          <w:szCs w:val="24"/>
        </w:rPr>
      </w:pPr>
      <w:r w:rsidRPr="00834D52">
        <w:rPr>
          <w:rFonts w:ascii="Sylfaen" w:hAnsi="Sylfaen"/>
          <w:sz w:val="24"/>
          <w:szCs w:val="24"/>
        </w:rPr>
        <w:t xml:space="preserve">պետությունում, </w:t>
      </w:r>
      <w:r w:rsidR="00C54D75">
        <w:rPr>
          <w:rFonts w:ascii="Sylfaen" w:hAnsi="Sylfaen"/>
          <w:sz w:val="24"/>
          <w:szCs w:val="24"/>
        </w:rPr>
        <w:t>և</w:t>
      </w:r>
      <w:r w:rsidRPr="00834D52">
        <w:rPr>
          <w:rFonts w:ascii="Sylfaen" w:hAnsi="Sylfaen"/>
          <w:sz w:val="24"/>
          <w:szCs w:val="24"/>
        </w:rPr>
        <w:t xml:space="preserve"> որում համապատասխան փոփոխություններ են կատարվում՝</w:t>
      </w:r>
    </w:p>
    <w:p w14:paraId="461424F1" w14:textId="77777777" w:rsidR="006F76EB" w:rsidRPr="00834D52" w:rsidRDefault="006F76EB" w:rsidP="006F76EB">
      <w:pPr>
        <w:spacing w:after="160" w:line="360" w:lineRule="auto"/>
        <w:ind w:right="-6"/>
        <w:jc w:val="both"/>
        <w:rPr>
          <w:rFonts w:ascii="Sylfaen" w:hAnsi="Sylfaen"/>
          <w:sz w:val="24"/>
          <w:szCs w:val="24"/>
        </w:rPr>
      </w:pPr>
    </w:p>
    <w:tbl>
      <w:tblPr>
        <w:tblStyle w:val="TableGrid"/>
        <w:tblW w:w="0" w:type="auto"/>
        <w:jc w:val="center"/>
        <w:tblLook w:val="04A0" w:firstRow="1" w:lastRow="0" w:firstColumn="1" w:lastColumn="0" w:noHBand="0" w:noVBand="1"/>
      </w:tblPr>
      <w:tblGrid>
        <w:gridCol w:w="4761"/>
        <w:gridCol w:w="4525"/>
      </w:tblGrid>
      <w:tr w:rsidR="006F76EB" w:rsidRPr="00834D52" w14:paraId="238FDDF7" w14:textId="77777777" w:rsidTr="00F71229">
        <w:trPr>
          <w:jc w:val="center"/>
        </w:trPr>
        <w:tc>
          <w:tcPr>
            <w:tcW w:w="4761" w:type="dxa"/>
          </w:tcPr>
          <w:p w14:paraId="0DDA1EE0" w14:textId="77777777" w:rsidR="006F76EB" w:rsidRPr="00834D52" w:rsidRDefault="006F76EB" w:rsidP="00DE7C06">
            <w:pPr>
              <w:spacing w:after="120"/>
              <w:ind w:right="-6"/>
              <w:rPr>
                <w:rFonts w:ascii="Sylfaen" w:eastAsia="Times New Roman" w:hAnsi="Sylfaen" w:cs="Times New Roman"/>
                <w:sz w:val="24"/>
                <w:szCs w:val="24"/>
              </w:rPr>
            </w:pPr>
            <w:r w:rsidRPr="00834D52">
              <w:rPr>
                <w:rFonts w:ascii="Sylfaen" w:hAnsi="Sylfaen"/>
                <w:sz w:val="24"/>
                <w:szCs w:val="24"/>
              </w:rPr>
              <w:t>դեղապատրաստուկի առ</w:t>
            </w:r>
            <w:r w:rsidR="00C54D75">
              <w:rPr>
                <w:rFonts w:ascii="Sylfaen" w:hAnsi="Sylfaen"/>
                <w:sz w:val="24"/>
                <w:szCs w:val="24"/>
              </w:rPr>
              <w:t>և</w:t>
            </w:r>
            <w:r w:rsidRPr="00834D52">
              <w:rPr>
                <w:rFonts w:ascii="Sylfaen" w:hAnsi="Sylfaen"/>
                <w:sz w:val="24"/>
                <w:szCs w:val="24"/>
              </w:rPr>
              <w:t>տրային անվանումը, դեղաչափը, դեղաձ</w:t>
            </w:r>
            <w:r w:rsidR="00C54D75">
              <w:rPr>
                <w:rFonts w:ascii="Sylfaen" w:hAnsi="Sylfaen"/>
                <w:sz w:val="24"/>
                <w:szCs w:val="24"/>
              </w:rPr>
              <w:t>և</w:t>
            </w:r>
            <w:r w:rsidRPr="00834D52">
              <w:rPr>
                <w:rFonts w:ascii="Sylfaen" w:hAnsi="Sylfaen"/>
                <w:sz w:val="24"/>
                <w:szCs w:val="24"/>
              </w:rPr>
              <w:t>ը</w:t>
            </w:r>
          </w:p>
        </w:tc>
        <w:tc>
          <w:tcPr>
            <w:tcW w:w="4525" w:type="dxa"/>
          </w:tcPr>
          <w:p w14:paraId="03DF2B61" w14:textId="77777777" w:rsidR="006F76EB" w:rsidRPr="00834D52" w:rsidRDefault="006F76EB" w:rsidP="00DE7C06">
            <w:pPr>
              <w:spacing w:after="120"/>
              <w:ind w:right="-6"/>
              <w:rPr>
                <w:rFonts w:ascii="Sylfaen" w:hAnsi="Sylfaen"/>
                <w:sz w:val="24"/>
                <w:szCs w:val="24"/>
              </w:rPr>
            </w:pPr>
          </w:p>
        </w:tc>
      </w:tr>
      <w:tr w:rsidR="006F76EB" w:rsidRPr="00834D52" w14:paraId="7A69E441" w14:textId="77777777" w:rsidTr="00F71229">
        <w:trPr>
          <w:jc w:val="center"/>
        </w:trPr>
        <w:tc>
          <w:tcPr>
            <w:tcW w:w="4761" w:type="dxa"/>
          </w:tcPr>
          <w:p w14:paraId="61430945" w14:textId="77777777" w:rsidR="006F76EB" w:rsidRPr="00834D52" w:rsidRDefault="006F76EB" w:rsidP="00DE7C06">
            <w:pPr>
              <w:spacing w:after="120"/>
              <w:ind w:right="-6"/>
              <w:rPr>
                <w:rFonts w:ascii="Sylfaen" w:eastAsia="Times New Roman" w:hAnsi="Sylfaen" w:cs="Times New Roman"/>
                <w:sz w:val="24"/>
                <w:szCs w:val="24"/>
              </w:rPr>
            </w:pPr>
            <w:r w:rsidRPr="00834D52">
              <w:rPr>
                <w:rFonts w:ascii="Sylfaen" w:hAnsi="Sylfaen"/>
                <w:sz w:val="24"/>
                <w:szCs w:val="24"/>
              </w:rPr>
              <w:t>գրանցման հավաստագրի իրավատերը, գրանցման ամսաթիվը</w:t>
            </w:r>
          </w:p>
        </w:tc>
        <w:tc>
          <w:tcPr>
            <w:tcW w:w="4525" w:type="dxa"/>
          </w:tcPr>
          <w:p w14:paraId="63C79347" w14:textId="77777777" w:rsidR="006F76EB" w:rsidRPr="00834D52" w:rsidRDefault="006F76EB" w:rsidP="00DE7C06">
            <w:pPr>
              <w:spacing w:after="120"/>
              <w:ind w:right="-6"/>
              <w:rPr>
                <w:rFonts w:ascii="Sylfaen" w:hAnsi="Sylfaen"/>
                <w:sz w:val="24"/>
                <w:szCs w:val="24"/>
              </w:rPr>
            </w:pPr>
          </w:p>
        </w:tc>
      </w:tr>
      <w:tr w:rsidR="006F76EB" w:rsidRPr="00834D52" w14:paraId="6DE8919E" w14:textId="77777777" w:rsidTr="00F71229">
        <w:trPr>
          <w:jc w:val="center"/>
        </w:trPr>
        <w:tc>
          <w:tcPr>
            <w:tcW w:w="4761" w:type="dxa"/>
          </w:tcPr>
          <w:p w14:paraId="4B668D2B" w14:textId="77777777" w:rsidR="006F76EB" w:rsidRPr="00834D52" w:rsidRDefault="006F76EB" w:rsidP="00DE7C06">
            <w:pPr>
              <w:spacing w:after="120"/>
              <w:ind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525" w:type="dxa"/>
          </w:tcPr>
          <w:p w14:paraId="384298B1" w14:textId="77777777" w:rsidR="006F76EB" w:rsidRPr="00834D52" w:rsidRDefault="006F76EB" w:rsidP="00DE7C06">
            <w:pPr>
              <w:spacing w:after="120"/>
              <w:ind w:right="-6"/>
              <w:rPr>
                <w:rFonts w:ascii="Sylfaen" w:hAnsi="Sylfaen"/>
                <w:sz w:val="24"/>
                <w:szCs w:val="24"/>
              </w:rPr>
            </w:pPr>
          </w:p>
        </w:tc>
      </w:tr>
    </w:tbl>
    <w:p w14:paraId="0E275A01" w14:textId="77777777" w:rsidR="006F76EB" w:rsidRPr="00834D52" w:rsidRDefault="006F76EB" w:rsidP="006F76EB">
      <w:pPr>
        <w:spacing w:after="160" w:line="360" w:lineRule="auto"/>
        <w:ind w:right="-8"/>
        <w:rPr>
          <w:rFonts w:ascii="Sylfaen" w:hAnsi="Sylfaen"/>
          <w:sz w:val="24"/>
          <w:szCs w:val="24"/>
        </w:rPr>
      </w:pPr>
    </w:p>
    <w:p w14:paraId="16B498BB"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lastRenderedPageBreak/>
        <w:pict w14:anchorId="4703747E">
          <v:rect id="_x0000_s1075" style="position:absolute;left:0;text-align:left;margin-left:57.75pt;margin-top:1.5pt;width:12.75pt;height:12pt;z-index:251567616"/>
        </w:pict>
      </w:r>
      <w:r w:rsidR="006F76EB" w:rsidRPr="00834D52">
        <w:rPr>
          <w:rFonts w:ascii="Sylfaen" w:hAnsi="Sylfaen" w:cs="Sylfaen"/>
          <w:sz w:val="24"/>
          <w:szCs w:val="24"/>
        </w:rPr>
        <w:t>ՀԱԶՎԱԴԵՊ</w:t>
      </w:r>
      <w:r w:rsidR="006F76EB" w:rsidRPr="00834D52">
        <w:rPr>
          <w:rFonts w:ascii="Sylfaen" w:hAnsi="Sylfaen"/>
          <w:sz w:val="24"/>
          <w:szCs w:val="24"/>
        </w:rPr>
        <w:t xml:space="preserve"> </w:t>
      </w:r>
      <w:r w:rsidR="006F76EB" w:rsidRPr="00834D52">
        <w:rPr>
          <w:rFonts w:ascii="Sylfaen" w:hAnsi="Sylfaen" w:cs="Sylfaen"/>
          <w:sz w:val="24"/>
          <w:szCs w:val="24"/>
        </w:rPr>
        <w:t>ԿԻՐԱՌՎՈՂ</w:t>
      </w:r>
      <w:r w:rsidR="006F76EB" w:rsidRPr="00834D52">
        <w:rPr>
          <w:rFonts w:ascii="Sylfaen" w:hAnsi="Sylfaen"/>
          <w:sz w:val="24"/>
          <w:szCs w:val="24"/>
        </w:rPr>
        <w:t xml:space="preserve"> («</w:t>
      </w:r>
      <w:r w:rsidR="006F76EB" w:rsidRPr="00834D52">
        <w:rPr>
          <w:rFonts w:ascii="Sylfaen" w:hAnsi="Sylfaen" w:cs="Sylfaen"/>
          <w:sz w:val="24"/>
          <w:szCs w:val="24"/>
        </w:rPr>
        <w:t>ՈՐԲ</w:t>
      </w:r>
      <w:r w:rsidR="006F76EB" w:rsidRPr="00834D52">
        <w:rPr>
          <w:rFonts w:ascii="Sylfaen" w:hAnsi="Sylfaen"/>
          <w:sz w:val="24"/>
          <w:szCs w:val="24"/>
        </w:rPr>
        <w:t>»)ԴԵՂԱՊԱՏՐԱՍՏՈՒԿ</w:t>
      </w:r>
    </w:p>
    <w:p w14:paraId="2953F289" w14:textId="77777777" w:rsidR="006F76EB" w:rsidRPr="00834D52" w:rsidRDefault="006F76EB" w:rsidP="00100CD9">
      <w:pPr>
        <w:spacing w:after="160" w:line="384" w:lineRule="auto"/>
        <w:ind w:right="-6" w:firstLine="567"/>
        <w:jc w:val="both"/>
        <w:rPr>
          <w:rFonts w:ascii="Sylfaen" w:hAnsi="Sylfaen"/>
          <w:sz w:val="24"/>
          <w:szCs w:val="24"/>
        </w:rPr>
      </w:pPr>
      <w:r w:rsidRPr="00834D52">
        <w:rPr>
          <w:rFonts w:ascii="Sylfaen" w:hAnsi="Sylfaen"/>
          <w:sz w:val="24"/>
          <w:szCs w:val="24"/>
        </w:rPr>
        <w:t>Արդյո՞ք դեղապատրաստուկին տրվել է հազվադեպ կիրառվող («որբ») դեղապատրաստուկի կարգավիճակ Եվրասիական տնտեսական միության անդամ պետություններում կամ դրա սահմաններից դուրս</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252"/>
        <w:gridCol w:w="2941"/>
      </w:tblGrid>
      <w:tr w:rsidR="006F76EB" w:rsidRPr="00834D52" w14:paraId="410A42F5" w14:textId="77777777" w:rsidTr="00F71229">
        <w:trPr>
          <w:jc w:val="center"/>
        </w:trPr>
        <w:tc>
          <w:tcPr>
            <w:tcW w:w="2093" w:type="dxa"/>
          </w:tcPr>
          <w:p w14:paraId="148C38E1" w14:textId="77777777" w:rsidR="006F76EB" w:rsidRPr="00834D52" w:rsidRDefault="00157FD9" w:rsidP="00F71229">
            <w:pPr>
              <w:spacing w:after="160" w:line="360" w:lineRule="auto"/>
              <w:ind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6A98E1DC">
                <v:rect id="_x0000_s1078" style="position:absolute;left:0;text-align:left;margin-left:23.25pt;margin-top:4.3pt;width:12.75pt;height:12pt;z-index:251568640"/>
              </w:pict>
            </w:r>
            <w:r w:rsidR="006F76EB" w:rsidRPr="00834D52">
              <w:rPr>
                <w:rFonts w:ascii="Sylfaen" w:hAnsi="Sylfaen"/>
                <w:sz w:val="24"/>
                <w:szCs w:val="24"/>
              </w:rPr>
              <w:t>ոչ</w:t>
            </w:r>
          </w:p>
        </w:tc>
        <w:tc>
          <w:tcPr>
            <w:tcW w:w="4252" w:type="dxa"/>
          </w:tcPr>
          <w:p w14:paraId="626ED1AC" w14:textId="77777777" w:rsidR="006F76EB" w:rsidRPr="00834D52" w:rsidRDefault="00157FD9" w:rsidP="00F71229">
            <w:pPr>
              <w:spacing w:after="160" w:line="360" w:lineRule="auto"/>
              <w:ind w:right="-8"/>
              <w:jc w:val="center"/>
              <w:rPr>
                <w:rFonts w:ascii="Sylfaen" w:eastAsia="Times New Roman" w:hAnsi="Sylfaen" w:cs="Times New Roman"/>
                <w:sz w:val="24"/>
                <w:szCs w:val="24"/>
                <w:lang w:val="en-US"/>
              </w:rPr>
            </w:pPr>
            <w:r>
              <w:rPr>
                <w:rFonts w:ascii="Sylfaen" w:hAnsi="Sylfaen"/>
                <w:noProof/>
                <w:sz w:val="24"/>
                <w:szCs w:val="24"/>
              </w:rPr>
              <w:pict w14:anchorId="061D97D5">
                <v:rect id="_x0000_s1077" style="position:absolute;left:0;text-align:left;margin-left:2.2pt;margin-top:4.3pt;width:12.75pt;height:12pt;z-index:251569664;mso-position-horizontal-relative:text;mso-position-vertical-relative:text"/>
              </w:pict>
            </w:r>
            <w:r w:rsidR="006F76EB" w:rsidRPr="00834D52">
              <w:rPr>
                <w:rFonts w:ascii="Sylfaen" w:hAnsi="Sylfaen"/>
                <w:sz w:val="24"/>
                <w:szCs w:val="24"/>
              </w:rPr>
              <w:t>քննարկման գործընթացում է</w:t>
            </w:r>
          </w:p>
        </w:tc>
        <w:tc>
          <w:tcPr>
            <w:tcW w:w="2941" w:type="dxa"/>
          </w:tcPr>
          <w:p w14:paraId="506EADB1" w14:textId="77777777" w:rsidR="006F76EB" w:rsidRPr="00834D52" w:rsidRDefault="00157FD9" w:rsidP="00F71229">
            <w:pPr>
              <w:spacing w:after="160" w:line="360" w:lineRule="auto"/>
              <w:ind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385670DD">
                <v:rect id="_x0000_s1076" style="position:absolute;left:0;text-align:left;margin-left:38.7pt;margin-top:4.3pt;width:12.75pt;height:12pt;z-index:251570688;mso-position-horizontal-relative:text;mso-position-vertical-relative:text"/>
              </w:pict>
            </w:r>
            <w:r w:rsidR="006F76EB" w:rsidRPr="00834D52">
              <w:rPr>
                <w:rFonts w:ascii="Sylfaen" w:hAnsi="Sylfaen"/>
                <w:sz w:val="24"/>
                <w:szCs w:val="24"/>
              </w:rPr>
              <w:t>այո</w:t>
            </w:r>
          </w:p>
        </w:tc>
      </w:tr>
    </w:tbl>
    <w:p w14:paraId="41B77ACF" w14:textId="77777777" w:rsidR="006F76EB" w:rsidRPr="00834D52" w:rsidRDefault="006F76EB" w:rsidP="00DC2F35">
      <w:pPr>
        <w:spacing w:after="160" w:line="480" w:lineRule="auto"/>
        <w:ind w:right="-6" w:firstLine="567"/>
        <w:jc w:val="center"/>
        <w:rPr>
          <w:rFonts w:ascii="Sylfaen" w:eastAsia="Times New Roman" w:hAnsi="Sylfaen" w:cs="Times New Roman"/>
          <w:sz w:val="24"/>
          <w:szCs w:val="24"/>
          <w:lang w:val="en-US"/>
        </w:rPr>
      </w:pPr>
    </w:p>
    <w:tbl>
      <w:tblPr>
        <w:tblW w:w="10185" w:type="dxa"/>
        <w:jc w:val="center"/>
        <w:tblLayout w:type="fixed"/>
        <w:tblCellMar>
          <w:left w:w="0" w:type="dxa"/>
          <w:right w:w="0" w:type="dxa"/>
        </w:tblCellMar>
        <w:tblLook w:val="01E0" w:firstRow="1" w:lastRow="1" w:firstColumn="1" w:lastColumn="1" w:noHBand="0" w:noVBand="0"/>
      </w:tblPr>
      <w:tblGrid>
        <w:gridCol w:w="5118"/>
        <w:gridCol w:w="5067"/>
      </w:tblGrid>
      <w:tr w:rsidR="006F76EB" w:rsidRPr="00834D52" w14:paraId="5178A66D" w14:textId="77777777" w:rsidTr="00100CD9">
        <w:trPr>
          <w:trHeight w:val="495"/>
          <w:jc w:val="center"/>
        </w:trPr>
        <w:tc>
          <w:tcPr>
            <w:tcW w:w="5118" w:type="dxa"/>
            <w:tcBorders>
              <w:top w:val="single" w:sz="4" w:space="0" w:color="000000"/>
              <w:left w:val="single" w:sz="4" w:space="0" w:color="000000"/>
              <w:bottom w:val="single" w:sz="4" w:space="0" w:color="000000"/>
              <w:right w:val="single" w:sz="4" w:space="0" w:color="000000"/>
            </w:tcBorders>
          </w:tcPr>
          <w:p w14:paraId="36EF2DD1"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ամսաթիվը</w:t>
            </w:r>
          </w:p>
        </w:tc>
        <w:tc>
          <w:tcPr>
            <w:tcW w:w="5067" w:type="dxa"/>
            <w:tcBorders>
              <w:top w:val="single" w:sz="4" w:space="0" w:color="000000"/>
              <w:left w:val="single" w:sz="4" w:space="0" w:color="000000"/>
              <w:bottom w:val="single" w:sz="4" w:space="0" w:color="000000"/>
              <w:right w:val="single" w:sz="4" w:space="0" w:color="000000"/>
            </w:tcBorders>
          </w:tcPr>
          <w:p w14:paraId="10BD83DE" w14:textId="77777777" w:rsidR="006F76EB" w:rsidRPr="00834D52" w:rsidRDefault="006F76EB" w:rsidP="00DE7C06">
            <w:pPr>
              <w:spacing w:after="120" w:line="240" w:lineRule="auto"/>
              <w:ind w:right="-6"/>
              <w:rPr>
                <w:rFonts w:ascii="Sylfaen" w:hAnsi="Sylfaen"/>
                <w:sz w:val="24"/>
                <w:szCs w:val="24"/>
              </w:rPr>
            </w:pPr>
          </w:p>
        </w:tc>
      </w:tr>
      <w:tr w:rsidR="006F76EB" w:rsidRPr="00834D52" w14:paraId="166E764A" w14:textId="77777777" w:rsidTr="00100CD9">
        <w:trPr>
          <w:trHeight w:val="1199"/>
          <w:jc w:val="center"/>
        </w:trPr>
        <w:tc>
          <w:tcPr>
            <w:tcW w:w="5118" w:type="dxa"/>
            <w:tcBorders>
              <w:top w:val="single" w:sz="4" w:space="0" w:color="000000"/>
              <w:left w:val="single" w:sz="4" w:space="0" w:color="000000"/>
              <w:bottom w:val="single" w:sz="4" w:space="0" w:color="000000"/>
              <w:right w:val="single" w:sz="4" w:space="0" w:color="000000"/>
            </w:tcBorders>
          </w:tcPr>
          <w:p w14:paraId="1C958814"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հազվադեպ կիրառվող («որբ») դեղապատրաստուկի գրանցման հավաստագրի համարը</w:t>
            </w:r>
          </w:p>
        </w:tc>
        <w:tc>
          <w:tcPr>
            <w:tcW w:w="5067" w:type="dxa"/>
            <w:tcBorders>
              <w:top w:val="single" w:sz="4" w:space="0" w:color="000000"/>
              <w:left w:val="single" w:sz="4" w:space="0" w:color="000000"/>
              <w:bottom w:val="single" w:sz="4" w:space="0" w:color="000000"/>
              <w:right w:val="single" w:sz="4" w:space="0" w:color="000000"/>
            </w:tcBorders>
          </w:tcPr>
          <w:p w14:paraId="2F9230FF" w14:textId="77777777" w:rsidR="006F76EB" w:rsidRPr="00834D52" w:rsidRDefault="006F76EB" w:rsidP="00DE7C06">
            <w:pPr>
              <w:spacing w:after="120" w:line="240" w:lineRule="auto"/>
              <w:ind w:right="-6"/>
              <w:rPr>
                <w:rFonts w:ascii="Sylfaen" w:hAnsi="Sylfaen"/>
                <w:sz w:val="24"/>
                <w:szCs w:val="24"/>
              </w:rPr>
            </w:pPr>
          </w:p>
        </w:tc>
      </w:tr>
      <w:tr w:rsidR="006F76EB" w:rsidRPr="00834D52" w14:paraId="76B87267" w14:textId="77777777" w:rsidTr="00100CD9">
        <w:trPr>
          <w:trHeight w:val="2303"/>
          <w:jc w:val="center"/>
        </w:trPr>
        <w:tc>
          <w:tcPr>
            <w:tcW w:w="5118" w:type="dxa"/>
            <w:tcBorders>
              <w:top w:val="single" w:sz="4" w:space="0" w:color="000000"/>
              <w:left w:val="single" w:sz="4" w:space="0" w:color="000000"/>
              <w:bottom w:val="single" w:sz="4" w:space="0" w:color="000000"/>
              <w:right w:val="single" w:sz="4" w:space="0" w:color="000000"/>
            </w:tcBorders>
          </w:tcPr>
          <w:p w14:paraId="26BCAB95"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պետությունները </w:t>
            </w:r>
            <w:r w:rsidR="00C54D75">
              <w:rPr>
                <w:rFonts w:ascii="Sylfaen" w:hAnsi="Sylfaen"/>
                <w:sz w:val="24"/>
                <w:szCs w:val="24"/>
              </w:rPr>
              <w:t>և</w:t>
            </w:r>
            <w:r w:rsidRPr="00834D52">
              <w:rPr>
                <w:rFonts w:ascii="Sylfaen" w:hAnsi="Sylfaen"/>
                <w:sz w:val="24"/>
                <w:szCs w:val="24"/>
              </w:rPr>
              <w:t xml:space="preserve"> (կամ) այլ պետություններ, որոնք տվյալ դեղապատրաստուկին հազվադեպ կիրառվող («որբ») դեղապատրաստուկի կարգավիճակ են տվել</w:t>
            </w:r>
          </w:p>
        </w:tc>
        <w:tc>
          <w:tcPr>
            <w:tcW w:w="5067" w:type="dxa"/>
            <w:tcBorders>
              <w:top w:val="single" w:sz="4" w:space="0" w:color="000000"/>
              <w:left w:val="single" w:sz="4" w:space="0" w:color="000000"/>
              <w:bottom w:val="single" w:sz="4" w:space="0" w:color="000000"/>
              <w:right w:val="single" w:sz="4" w:space="0" w:color="000000"/>
            </w:tcBorders>
          </w:tcPr>
          <w:p w14:paraId="2F0F3D89" w14:textId="77777777" w:rsidR="006F76EB" w:rsidRPr="00834D52" w:rsidRDefault="006F76EB" w:rsidP="00DE7C06">
            <w:pPr>
              <w:spacing w:after="120" w:line="240" w:lineRule="auto"/>
              <w:ind w:right="-6"/>
              <w:rPr>
                <w:rFonts w:ascii="Sylfaen" w:hAnsi="Sylfaen"/>
                <w:sz w:val="24"/>
                <w:szCs w:val="24"/>
              </w:rPr>
            </w:pPr>
          </w:p>
        </w:tc>
      </w:tr>
    </w:tbl>
    <w:p w14:paraId="1D09DE1E" w14:textId="77777777" w:rsidR="006F76EB" w:rsidRPr="00834D52" w:rsidRDefault="006F76EB" w:rsidP="00100CD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Հազվադեպ կիրառվող («որբ») դեղապատրաստուկի կարգավիճակ տալը մերժվել է՝</w:t>
      </w:r>
    </w:p>
    <w:tbl>
      <w:tblPr>
        <w:tblW w:w="10100" w:type="dxa"/>
        <w:jc w:val="center"/>
        <w:tblLayout w:type="fixed"/>
        <w:tblCellMar>
          <w:left w:w="0" w:type="dxa"/>
          <w:right w:w="0" w:type="dxa"/>
        </w:tblCellMar>
        <w:tblLook w:val="01E0" w:firstRow="1" w:lastRow="1" w:firstColumn="1" w:lastColumn="1" w:noHBand="0" w:noVBand="0"/>
      </w:tblPr>
      <w:tblGrid>
        <w:gridCol w:w="4403"/>
        <w:gridCol w:w="5697"/>
      </w:tblGrid>
      <w:tr w:rsidR="006F76EB" w:rsidRPr="00834D52" w14:paraId="1F98E9C4" w14:textId="77777777" w:rsidTr="00100CD9">
        <w:trPr>
          <w:trHeight w:val="516"/>
          <w:jc w:val="center"/>
        </w:trPr>
        <w:tc>
          <w:tcPr>
            <w:tcW w:w="4403" w:type="dxa"/>
            <w:tcBorders>
              <w:top w:val="single" w:sz="4" w:space="0" w:color="000000"/>
              <w:left w:val="single" w:sz="4" w:space="0" w:color="000000"/>
              <w:bottom w:val="single" w:sz="4" w:space="0" w:color="000000"/>
              <w:right w:val="single" w:sz="4" w:space="0" w:color="000000"/>
            </w:tcBorders>
          </w:tcPr>
          <w:p w14:paraId="1E9AF2C0"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ամսաթիվը</w:t>
            </w:r>
          </w:p>
        </w:tc>
        <w:tc>
          <w:tcPr>
            <w:tcW w:w="5697" w:type="dxa"/>
            <w:tcBorders>
              <w:top w:val="single" w:sz="4" w:space="0" w:color="000000"/>
              <w:left w:val="single" w:sz="4" w:space="0" w:color="000000"/>
              <w:bottom w:val="single" w:sz="4" w:space="0" w:color="000000"/>
              <w:right w:val="single" w:sz="4" w:space="0" w:color="000000"/>
            </w:tcBorders>
          </w:tcPr>
          <w:p w14:paraId="395F7F06" w14:textId="77777777" w:rsidR="006F76EB" w:rsidRPr="00834D52" w:rsidRDefault="006F76EB" w:rsidP="00DE7C06">
            <w:pPr>
              <w:spacing w:after="120" w:line="240" w:lineRule="auto"/>
              <w:ind w:right="-6"/>
              <w:rPr>
                <w:rFonts w:ascii="Sylfaen" w:hAnsi="Sylfaen"/>
                <w:sz w:val="24"/>
                <w:szCs w:val="24"/>
              </w:rPr>
            </w:pPr>
          </w:p>
        </w:tc>
      </w:tr>
      <w:tr w:rsidR="006F76EB" w:rsidRPr="00834D52" w14:paraId="6778C4F2" w14:textId="77777777" w:rsidTr="00100CD9">
        <w:trPr>
          <w:trHeight w:val="516"/>
          <w:jc w:val="center"/>
        </w:trPr>
        <w:tc>
          <w:tcPr>
            <w:tcW w:w="4403" w:type="dxa"/>
            <w:tcBorders>
              <w:top w:val="single" w:sz="4" w:space="0" w:color="000000"/>
              <w:left w:val="single" w:sz="4" w:space="0" w:color="000000"/>
              <w:bottom w:val="single" w:sz="4" w:space="0" w:color="000000"/>
              <w:right w:val="single" w:sz="4" w:space="0" w:color="000000"/>
            </w:tcBorders>
          </w:tcPr>
          <w:p w14:paraId="484CBCD9"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որոշման համարը</w:t>
            </w:r>
          </w:p>
        </w:tc>
        <w:tc>
          <w:tcPr>
            <w:tcW w:w="5697" w:type="dxa"/>
            <w:tcBorders>
              <w:top w:val="single" w:sz="4" w:space="0" w:color="000000"/>
              <w:left w:val="single" w:sz="4" w:space="0" w:color="000000"/>
              <w:bottom w:val="single" w:sz="4" w:space="0" w:color="000000"/>
              <w:right w:val="single" w:sz="4" w:space="0" w:color="000000"/>
            </w:tcBorders>
          </w:tcPr>
          <w:p w14:paraId="42F5B6F6" w14:textId="77777777" w:rsidR="006F76EB" w:rsidRPr="00834D52" w:rsidRDefault="006F76EB" w:rsidP="00DE7C06">
            <w:pPr>
              <w:spacing w:after="120" w:line="240" w:lineRule="auto"/>
              <w:ind w:right="-6"/>
              <w:rPr>
                <w:rFonts w:ascii="Sylfaen" w:hAnsi="Sylfaen"/>
                <w:sz w:val="24"/>
                <w:szCs w:val="24"/>
              </w:rPr>
            </w:pPr>
          </w:p>
        </w:tc>
      </w:tr>
      <w:tr w:rsidR="006F76EB" w:rsidRPr="00834D52" w14:paraId="6AF75236" w14:textId="77777777" w:rsidTr="00100CD9">
        <w:trPr>
          <w:trHeight w:val="516"/>
          <w:jc w:val="center"/>
        </w:trPr>
        <w:tc>
          <w:tcPr>
            <w:tcW w:w="10100" w:type="dxa"/>
            <w:gridSpan w:val="2"/>
            <w:tcBorders>
              <w:top w:val="single" w:sz="4" w:space="0" w:color="000000"/>
              <w:left w:val="single" w:sz="4" w:space="0" w:color="000000"/>
              <w:bottom w:val="single" w:sz="4" w:space="0" w:color="000000"/>
              <w:right w:val="single" w:sz="4" w:space="0" w:color="000000"/>
            </w:tcBorders>
          </w:tcPr>
          <w:p w14:paraId="1F285FFE"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կարգավիճակ տալու վերաբերյալ հայտը հետ է կանչվել</w:t>
            </w:r>
          </w:p>
        </w:tc>
      </w:tr>
      <w:tr w:rsidR="006F76EB" w:rsidRPr="00834D52" w14:paraId="65266C3E" w14:textId="77777777" w:rsidTr="00100CD9">
        <w:trPr>
          <w:trHeight w:val="516"/>
          <w:jc w:val="center"/>
        </w:trPr>
        <w:tc>
          <w:tcPr>
            <w:tcW w:w="4403" w:type="dxa"/>
            <w:tcBorders>
              <w:top w:val="single" w:sz="4" w:space="0" w:color="000000"/>
              <w:left w:val="single" w:sz="4" w:space="0" w:color="000000"/>
              <w:bottom w:val="single" w:sz="4" w:space="0" w:color="000000"/>
              <w:right w:val="single" w:sz="4" w:space="0" w:color="000000"/>
            </w:tcBorders>
          </w:tcPr>
          <w:p w14:paraId="2D19D1A3" w14:textId="77777777" w:rsidR="006F76EB" w:rsidRPr="00834D52" w:rsidRDefault="006F76EB" w:rsidP="00DE7C06">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ամսաթիվը</w:t>
            </w:r>
          </w:p>
        </w:tc>
        <w:tc>
          <w:tcPr>
            <w:tcW w:w="5697" w:type="dxa"/>
            <w:tcBorders>
              <w:top w:val="single" w:sz="4" w:space="0" w:color="000000"/>
              <w:left w:val="single" w:sz="4" w:space="0" w:color="000000"/>
              <w:bottom w:val="single" w:sz="4" w:space="0" w:color="000000"/>
              <w:right w:val="single" w:sz="4" w:space="0" w:color="000000"/>
            </w:tcBorders>
          </w:tcPr>
          <w:p w14:paraId="528C22F8" w14:textId="77777777" w:rsidR="006F76EB" w:rsidRPr="00834D52" w:rsidRDefault="006F76EB" w:rsidP="00DE7C06">
            <w:pPr>
              <w:spacing w:after="120" w:line="240" w:lineRule="auto"/>
              <w:ind w:right="-6"/>
              <w:rPr>
                <w:rFonts w:ascii="Sylfaen" w:hAnsi="Sylfaen"/>
                <w:sz w:val="24"/>
                <w:szCs w:val="24"/>
              </w:rPr>
            </w:pPr>
          </w:p>
        </w:tc>
      </w:tr>
    </w:tbl>
    <w:p w14:paraId="0E1372CC" w14:textId="77777777" w:rsidR="006F76EB" w:rsidRPr="00834D52" w:rsidRDefault="006F76EB" w:rsidP="00100CD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Դեղապատրաստուկին հազվադեպ կիրառվող («որբ») պատրաստուկի կարգավիճակ տալը հաստատող փաստաթղթի պատճենը (առկայության դեպքում) (սույն հայտի հավելվածի 4.2 ենթակետ):</w:t>
      </w:r>
    </w:p>
    <w:p w14:paraId="1B27C1A5" w14:textId="77777777" w:rsidR="00100CD9" w:rsidRDefault="00100CD9">
      <w:pPr>
        <w:widowControl/>
        <w:rPr>
          <w:rFonts w:ascii="Sylfaen" w:hAnsi="Sylfaen"/>
          <w:sz w:val="24"/>
          <w:szCs w:val="24"/>
        </w:rPr>
      </w:pPr>
      <w:r>
        <w:rPr>
          <w:rFonts w:ascii="Sylfaen" w:hAnsi="Sylfaen"/>
          <w:sz w:val="24"/>
          <w:szCs w:val="24"/>
        </w:rPr>
        <w:br w:type="page"/>
      </w:r>
    </w:p>
    <w:p w14:paraId="5F3C9FFF"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lastRenderedPageBreak/>
        <w:t>2. Հայտի հատուկ կետերը</w:t>
      </w:r>
    </w:p>
    <w:tbl>
      <w:tblPr>
        <w:tblW w:w="9356" w:type="dxa"/>
        <w:jc w:val="center"/>
        <w:tblLayout w:type="fixed"/>
        <w:tblCellMar>
          <w:left w:w="0" w:type="dxa"/>
          <w:right w:w="0" w:type="dxa"/>
        </w:tblCellMar>
        <w:tblLook w:val="01E0" w:firstRow="1" w:lastRow="1" w:firstColumn="1" w:lastColumn="1" w:noHBand="0" w:noVBand="0"/>
      </w:tblPr>
      <w:tblGrid>
        <w:gridCol w:w="4291"/>
        <w:gridCol w:w="5065"/>
      </w:tblGrid>
      <w:tr w:rsidR="006F76EB" w:rsidRPr="00834D52" w14:paraId="4E8AC216" w14:textId="77777777" w:rsidTr="00F71229">
        <w:trPr>
          <w:jc w:val="center"/>
        </w:trPr>
        <w:tc>
          <w:tcPr>
            <w:tcW w:w="4291" w:type="dxa"/>
            <w:tcBorders>
              <w:top w:val="single" w:sz="4" w:space="0" w:color="000000"/>
              <w:left w:val="single" w:sz="4" w:space="0" w:color="000000"/>
              <w:bottom w:val="single" w:sz="4" w:space="0" w:color="000000"/>
              <w:right w:val="single" w:sz="4" w:space="0" w:color="000000"/>
            </w:tcBorders>
          </w:tcPr>
          <w:p w14:paraId="33D2D74C" w14:textId="77777777" w:rsidR="006F76EB" w:rsidRPr="00834D52" w:rsidRDefault="006F76EB" w:rsidP="00DE7C06">
            <w:pPr>
              <w:spacing w:after="120" w:line="240" w:lineRule="auto"/>
              <w:ind w:left="50" w:right="-6"/>
              <w:rPr>
                <w:rFonts w:ascii="Sylfaen" w:eastAsia="Times New Roman" w:hAnsi="Sylfaen" w:cs="Times New Roman"/>
                <w:sz w:val="24"/>
                <w:szCs w:val="24"/>
              </w:rPr>
            </w:pPr>
            <w:r w:rsidRPr="00834D52">
              <w:rPr>
                <w:rFonts w:ascii="Sylfaen" w:hAnsi="Sylfaen"/>
                <w:sz w:val="24"/>
                <w:szCs w:val="24"/>
              </w:rPr>
              <w:t xml:space="preserve">2.1. Անվանումը </w:t>
            </w:r>
            <w:r w:rsidR="00C54D75">
              <w:rPr>
                <w:rFonts w:ascii="Sylfaen" w:hAnsi="Sylfaen"/>
                <w:sz w:val="24"/>
                <w:szCs w:val="24"/>
              </w:rPr>
              <w:t>և</w:t>
            </w:r>
            <w:r w:rsidRPr="00834D52">
              <w:rPr>
                <w:rFonts w:ascii="Sylfaen" w:hAnsi="Sylfaen"/>
                <w:sz w:val="24"/>
                <w:szCs w:val="24"/>
              </w:rPr>
              <w:t xml:space="preserve"> ԱԲՔ ծածկագիրը</w:t>
            </w:r>
          </w:p>
        </w:tc>
        <w:tc>
          <w:tcPr>
            <w:tcW w:w="5065" w:type="dxa"/>
            <w:tcBorders>
              <w:top w:val="single" w:sz="4" w:space="0" w:color="000000"/>
              <w:left w:val="single" w:sz="4" w:space="0" w:color="000000"/>
              <w:bottom w:val="single" w:sz="4" w:space="0" w:color="000000"/>
              <w:right w:val="single" w:sz="4" w:space="0" w:color="000000"/>
            </w:tcBorders>
          </w:tcPr>
          <w:p w14:paraId="3A9A5A66" w14:textId="77777777" w:rsidR="006F76EB" w:rsidRPr="00834D52" w:rsidRDefault="006F76EB" w:rsidP="00DE7C06">
            <w:pPr>
              <w:spacing w:after="120" w:line="240" w:lineRule="auto"/>
              <w:ind w:right="-6"/>
              <w:rPr>
                <w:rFonts w:ascii="Sylfaen" w:hAnsi="Sylfaen"/>
                <w:sz w:val="24"/>
                <w:szCs w:val="24"/>
              </w:rPr>
            </w:pPr>
          </w:p>
        </w:tc>
      </w:tr>
      <w:tr w:rsidR="006F76EB" w:rsidRPr="00834D52" w14:paraId="4E22A92E" w14:textId="77777777" w:rsidTr="00F71229">
        <w:trPr>
          <w:jc w:val="center"/>
        </w:trPr>
        <w:tc>
          <w:tcPr>
            <w:tcW w:w="4291" w:type="dxa"/>
            <w:tcBorders>
              <w:top w:val="single" w:sz="4" w:space="0" w:color="000000"/>
              <w:left w:val="single" w:sz="4" w:space="0" w:color="000000"/>
              <w:bottom w:val="single" w:sz="4" w:space="0" w:color="000000"/>
              <w:right w:val="single" w:sz="4" w:space="0" w:color="000000"/>
            </w:tcBorders>
          </w:tcPr>
          <w:p w14:paraId="3C44A753" w14:textId="77777777" w:rsidR="006F76EB" w:rsidRPr="00834D52" w:rsidRDefault="006F76EB" w:rsidP="00DE7C06">
            <w:pPr>
              <w:spacing w:after="120" w:line="240" w:lineRule="auto"/>
              <w:ind w:left="50" w:right="-6"/>
              <w:rPr>
                <w:rFonts w:ascii="Sylfaen" w:eastAsia="Times New Roman" w:hAnsi="Sylfaen" w:cs="Times New Roman"/>
                <w:sz w:val="24"/>
                <w:szCs w:val="24"/>
              </w:rPr>
            </w:pPr>
            <w:r w:rsidRPr="00834D52">
              <w:rPr>
                <w:rFonts w:ascii="Sylfaen" w:hAnsi="Sylfaen"/>
                <w:sz w:val="24"/>
                <w:szCs w:val="24"/>
              </w:rPr>
              <w:t>2.1.1. Դեղապատրաստուկի անվանումը</w:t>
            </w:r>
          </w:p>
        </w:tc>
        <w:tc>
          <w:tcPr>
            <w:tcW w:w="5065" w:type="dxa"/>
            <w:tcBorders>
              <w:top w:val="single" w:sz="4" w:space="0" w:color="000000"/>
              <w:left w:val="single" w:sz="4" w:space="0" w:color="000000"/>
              <w:bottom w:val="single" w:sz="4" w:space="0" w:color="000000"/>
              <w:right w:val="single" w:sz="4" w:space="0" w:color="000000"/>
            </w:tcBorders>
          </w:tcPr>
          <w:p w14:paraId="30D3F31F" w14:textId="77777777" w:rsidR="006F76EB" w:rsidRPr="00834D52" w:rsidRDefault="006F76EB" w:rsidP="00DE7C06">
            <w:pPr>
              <w:spacing w:after="120" w:line="240" w:lineRule="auto"/>
              <w:ind w:right="-6"/>
              <w:rPr>
                <w:rFonts w:ascii="Sylfaen" w:hAnsi="Sylfaen"/>
                <w:sz w:val="24"/>
                <w:szCs w:val="24"/>
              </w:rPr>
            </w:pPr>
          </w:p>
        </w:tc>
      </w:tr>
      <w:tr w:rsidR="006F76EB" w:rsidRPr="00834D52" w14:paraId="0DFC7BD8" w14:textId="77777777" w:rsidTr="00F71229">
        <w:trPr>
          <w:jc w:val="center"/>
        </w:trPr>
        <w:tc>
          <w:tcPr>
            <w:tcW w:w="4291" w:type="dxa"/>
            <w:tcBorders>
              <w:top w:val="single" w:sz="4" w:space="0" w:color="000000"/>
              <w:left w:val="single" w:sz="4" w:space="0" w:color="000000"/>
              <w:bottom w:val="single" w:sz="4" w:space="0" w:color="000000"/>
              <w:right w:val="single" w:sz="4" w:space="0" w:color="000000"/>
            </w:tcBorders>
          </w:tcPr>
          <w:p w14:paraId="22C1170A" w14:textId="77777777" w:rsidR="006F76EB" w:rsidRPr="00834D52" w:rsidRDefault="006F76EB" w:rsidP="00DE7C06">
            <w:pPr>
              <w:spacing w:after="120" w:line="240" w:lineRule="auto"/>
              <w:ind w:left="50" w:right="-6"/>
              <w:rPr>
                <w:rFonts w:ascii="Sylfaen" w:eastAsia="Times New Roman" w:hAnsi="Sylfaen" w:cs="Times New Roman"/>
                <w:sz w:val="24"/>
                <w:szCs w:val="24"/>
              </w:rPr>
            </w:pPr>
            <w:r w:rsidRPr="00834D52">
              <w:rPr>
                <w:rFonts w:ascii="Sylfaen" w:hAnsi="Sylfaen"/>
                <w:sz w:val="24"/>
                <w:szCs w:val="24"/>
              </w:rPr>
              <w:t>2.1.2. ԱԴԲ-ի անվանումը կամ բաղադրությունը</w:t>
            </w:r>
          </w:p>
        </w:tc>
        <w:tc>
          <w:tcPr>
            <w:tcW w:w="5065" w:type="dxa"/>
            <w:tcBorders>
              <w:top w:val="single" w:sz="4" w:space="0" w:color="000000"/>
              <w:left w:val="single" w:sz="4" w:space="0" w:color="000000"/>
              <w:bottom w:val="single" w:sz="4" w:space="0" w:color="000000"/>
              <w:right w:val="single" w:sz="4" w:space="0" w:color="000000"/>
            </w:tcBorders>
          </w:tcPr>
          <w:p w14:paraId="649D9F7D" w14:textId="77777777" w:rsidR="006F76EB" w:rsidRPr="00834D52" w:rsidRDefault="006F76EB" w:rsidP="00DE7C06">
            <w:pPr>
              <w:spacing w:after="120" w:line="240" w:lineRule="auto"/>
              <w:ind w:right="-6"/>
              <w:rPr>
                <w:rFonts w:ascii="Sylfaen" w:hAnsi="Sylfaen"/>
                <w:sz w:val="24"/>
                <w:szCs w:val="24"/>
              </w:rPr>
            </w:pPr>
          </w:p>
        </w:tc>
      </w:tr>
    </w:tbl>
    <w:p w14:paraId="2A27C37E" w14:textId="77777777" w:rsidR="006F76EB" w:rsidRPr="007F5A60"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Ծանոթագրություն: Այս կարգով պետք է ներկայացվի միայն մեկ անվանում՝ միջազգային չարտոնագրված անվանումը (այսուհետ՝ ՄՉԱ)</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անվանումն ըստ Եվրասիական տնտեսական միության դեղագրքի, անդամ պետությունների դեղագրքերի (կամ Եվրասիական տնտեսական միության անդամ պետությունների Դեղագրքերի ներդաշնակեցման հայեցակարգին համապատասխան հիմնական դեղագրքերի), համընդհանուր կամ խմբային անվանումը, գիտական (քիմիական) անվանումը:</w:t>
      </w:r>
    </w:p>
    <w:p w14:paraId="52839130" w14:textId="77777777" w:rsidR="007349DC" w:rsidRPr="007F5A60" w:rsidRDefault="007349DC" w:rsidP="007349DC">
      <w:pPr>
        <w:spacing w:after="160" w:line="360" w:lineRule="auto"/>
        <w:ind w:right="-8" w:firstLine="567"/>
        <w:rPr>
          <w:rFonts w:ascii="Sylfaen" w:hAnsi="Sylfaen"/>
          <w:sz w:val="24"/>
          <w:szCs w:val="24"/>
        </w:rPr>
      </w:pPr>
      <w:r w:rsidRPr="007F5A60">
        <w:rPr>
          <w:rFonts w:ascii="Sylfaen" w:hAnsi="Sylfaen"/>
          <w:sz w:val="24"/>
          <w:szCs w:val="24"/>
        </w:rPr>
        <w:t>______________________</w:t>
      </w:r>
    </w:p>
    <w:p w14:paraId="1C65C52B" w14:textId="77777777" w:rsidR="007349DC" w:rsidRPr="007F5A60" w:rsidRDefault="007349DC" w:rsidP="007349DC">
      <w:pPr>
        <w:spacing w:after="120" w:line="240" w:lineRule="auto"/>
        <w:ind w:right="-6" w:firstLine="567"/>
        <w:rPr>
          <w:rFonts w:ascii="Sylfaen" w:eastAsia="Times New Roman" w:hAnsi="Sylfaen" w:cs="Times New Roman"/>
          <w:sz w:val="24"/>
          <w:szCs w:val="24"/>
        </w:rPr>
      </w:pPr>
    </w:p>
    <w:p w14:paraId="0749B739" w14:textId="77777777" w:rsidR="006F76EB" w:rsidRPr="00834D52" w:rsidRDefault="006F76EB" w:rsidP="006F76EB">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footnoteReference w:customMarkFollows="1" w:id="1"/>
        <w:t>2.1.3.</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թերապ</w:t>
      </w:r>
      <w:r w:rsidR="00C54D75">
        <w:rPr>
          <w:rFonts w:ascii="Sylfaen" w:hAnsi="Sylfaen"/>
          <w:sz w:val="24"/>
          <w:szCs w:val="24"/>
        </w:rPr>
        <w:t>և</w:t>
      </w:r>
      <w:r w:rsidRPr="00834D52">
        <w:rPr>
          <w:rFonts w:ascii="Sylfaen" w:hAnsi="Sylfaen"/>
          <w:sz w:val="24"/>
          <w:szCs w:val="24"/>
        </w:rPr>
        <w:t>տիկ խումբը</w:t>
      </w:r>
    </w:p>
    <w:p w14:paraId="3206CCD1"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(օգտագործե՛ք ԱԲՔ գործող ծածկագիրը)</w:t>
      </w:r>
    </w:p>
    <w:tbl>
      <w:tblPr>
        <w:tblW w:w="9787" w:type="dxa"/>
        <w:jc w:val="center"/>
        <w:tblLayout w:type="fixed"/>
        <w:tblCellMar>
          <w:left w:w="0" w:type="dxa"/>
          <w:right w:w="0" w:type="dxa"/>
        </w:tblCellMar>
        <w:tblLook w:val="01E0" w:firstRow="1" w:lastRow="1" w:firstColumn="1" w:lastColumn="1" w:noHBand="0" w:noVBand="0"/>
      </w:tblPr>
      <w:tblGrid>
        <w:gridCol w:w="4128"/>
        <w:gridCol w:w="5659"/>
      </w:tblGrid>
      <w:tr w:rsidR="006F76EB" w:rsidRPr="00834D52" w14:paraId="46D2A6A5" w14:textId="77777777" w:rsidTr="00F71229">
        <w:trPr>
          <w:jc w:val="center"/>
        </w:trPr>
        <w:tc>
          <w:tcPr>
            <w:tcW w:w="4128" w:type="dxa"/>
            <w:tcBorders>
              <w:top w:val="single" w:sz="4" w:space="0" w:color="000000"/>
              <w:left w:val="single" w:sz="4" w:space="0" w:color="000000"/>
              <w:bottom w:val="single" w:sz="4" w:space="0" w:color="000000"/>
              <w:right w:val="single" w:sz="4" w:space="0" w:color="000000"/>
            </w:tcBorders>
          </w:tcPr>
          <w:p w14:paraId="49EC2FDD" w14:textId="77777777" w:rsidR="006F76EB" w:rsidRPr="00834D52" w:rsidRDefault="006F76EB" w:rsidP="003B663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ԱԲՔ ծածկագիրը</w:t>
            </w:r>
          </w:p>
        </w:tc>
        <w:tc>
          <w:tcPr>
            <w:tcW w:w="5659" w:type="dxa"/>
            <w:tcBorders>
              <w:top w:val="single" w:sz="4" w:space="0" w:color="000000"/>
              <w:left w:val="single" w:sz="4" w:space="0" w:color="000000"/>
              <w:bottom w:val="single" w:sz="4" w:space="0" w:color="000000"/>
              <w:right w:val="single" w:sz="4" w:space="0" w:color="000000"/>
            </w:tcBorders>
          </w:tcPr>
          <w:p w14:paraId="04F50522" w14:textId="77777777" w:rsidR="006F76EB" w:rsidRPr="00834D52" w:rsidRDefault="006F76EB" w:rsidP="003B6635">
            <w:pPr>
              <w:spacing w:after="120" w:line="240" w:lineRule="auto"/>
              <w:ind w:right="-6"/>
              <w:rPr>
                <w:rFonts w:ascii="Sylfaen" w:hAnsi="Sylfaen"/>
                <w:sz w:val="24"/>
                <w:szCs w:val="24"/>
              </w:rPr>
            </w:pPr>
          </w:p>
        </w:tc>
      </w:tr>
      <w:tr w:rsidR="006F76EB" w:rsidRPr="00834D52" w14:paraId="2598F64E" w14:textId="77777777" w:rsidTr="00F71229">
        <w:trPr>
          <w:jc w:val="center"/>
        </w:trPr>
        <w:tc>
          <w:tcPr>
            <w:tcW w:w="4128" w:type="dxa"/>
            <w:tcBorders>
              <w:top w:val="single" w:sz="4" w:space="0" w:color="000000"/>
              <w:left w:val="single" w:sz="4" w:space="0" w:color="000000"/>
              <w:bottom w:val="single" w:sz="4" w:space="0" w:color="000000"/>
              <w:right w:val="single" w:sz="4" w:space="0" w:color="000000"/>
            </w:tcBorders>
          </w:tcPr>
          <w:p w14:paraId="1A4FD1C0" w14:textId="77777777" w:rsidR="006F76EB" w:rsidRPr="00834D52" w:rsidRDefault="006F76EB" w:rsidP="003B663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խումբը</w:t>
            </w:r>
          </w:p>
        </w:tc>
        <w:tc>
          <w:tcPr>
            <w:tcW w:w="5659" w:type="dxa"/>
            <w:tcBorders>
              <w:top w:val="single" w:sz="4" w:space="0" w:color="000000"/>
              <w:left w:val="single" w:sz="4" w:space="0" w:color="000000"/>
              <w:bottom w:val="single" w:sz="4" w:space="0" w:color="000000"/>
              <w:right w:val="single" w:sz="4" w:space="0" w:color="000000"/>
            </w:tcBorders>
          </w:tcPr>
          <w:p w14:paraId="032E6302" w14:textId="77777777" w:rsidR="006F76EB" w:rsidRPr="00834D52" w:rsidRDefault="006F76EB" w:rsidP="003B6635">
            <w:pPr>
              <w:spacing w:after="120" w:line="240" w:lineRule="auto"/>
              <w:ind w:right="-6"/>
              <w:rPr>
                <w:rFonts w:ascii="Sylfaen" w:hAnsi="Sylfaen"/>
                <w:sz w:val="24"/>
                <w:szCs w:val="24"/>
              </w:rPr>
            </w:pPr>
          </w:p>
        </w:tc>
      </w:tr>
    </w:tbl>
    <w:p w14:paraId="782DD91D" w14:textId="77777777" w:rsidR="006F76EB" w:rsidRPr="00834D52" w:rsidRDefault="006F76EB" w:rsidP="007349DC">
      <w:pPr>
        <w:spacing w:after="160" w:line="312" w:lineRule="auto"/>
        <w:ind w:right="-6" w:firstLine="567"/>
        <w:jc w:val="both"/>
        <w:rPr>
          <w:rFonts w:ascii="Sylfaen" w:eastAsia="Times New Roman" w:hAnsi="Sylfaen" w:cs="Times New Roman"/>
          <w:sz w:val="24"/>
          <w:szCs w:val="24"/>
        </w:rPr>
      </w:pPr>
      <w:r w:rsidRPr="00834D52">
        <w:rPr>
          <w:rFonts w:ascii="Sylfaen" w:hAnsi="Sylfaen"/>
          <w:sz w:val="24"/>
          <w:szCs w:val="24"/>
        </w:rPr>
        <w:t>Եթե ԱԲՔ ծածկագիր տրված չէ, ապա նշե՛ք, թե արդյոք ներկայացվել է ԱԲՔ ծածկագիր տալու հայտ</w:t>
      </w:r>
    </w:p>
    <w:p w14:paraId="11EF2905" w14:textId="77777777" w:rsidR="006F76EB" w:rsidRPr="00834D52" w:rsidRDefault="006F76EB" w:rsidP="007349DC">
      <w:pPr>
        <w:tabs>
          <w:tab w:val="left" w:pos="1134"/>
        </w:tabs>
        <w:spacing w:after="160" w:line="312" w:lineRule="auto"/>
        <w:ind w:right="-6" w:firstLine="567"/>
        <w:jc w:val="both"/>
        <w:rPr>
          <w:rFonts w:ascii="Sylfaen" w:eastAsia="Times New Roman" w:hAnsi="Sylfaen" w:cs="Times New Roman"/>
          <w:sz w:val="24"/>
          <w:szCs w:val="24"/>
        </w:rPr>
      </w:pPr>
      <w:r w:rsidRPr="00834D52">
        <w:rPr>
          <w:rFonts w:ascii="Sylfaen" w:hAnsi="Sylfaen"/>
          <w:sz w:val="24"/>
          <w:szCs w:val="24"/>
        </w:rPr>
        <w:t>2.2.</w:t>
      </w:r>
      <w:r w:rsidRPr="00834D52">
        <w:rPr>
          <w:rFonts w:ascii="Sylfaen" w:hAnsi="Sylfaen"/>
          <w:sz w:val="24"/>
          <w:szCs w:val="24"/>
        </w:rPr>
        <w:tab/>
        <w:t>Դեղաչափը, դեղաձ</w:t>
      </w:r>
      <w:r w:rsidR="00C54D75">
        <w:rPr>
          <w:rFonts w:ascii="Sylfaen" w:hAnsi="Sylfaen"/>
          <w:sz w:val="24"/>
          <w:szCs w:val="24"/>
        </w:rPr>
        <w:t>և</w:t>
      </w:r>
      <w:r w:rsidRPr="00834D52">
        <w:rPr>
          <w:rFonts w:ascii="Sylfaen" w:hAnsi="Sylfaen"/>
          <w:sz w:val="24"/>
          <w:szCs w:val="24"/>
        </w:rPr>
        <w:t xml:space="preserve">ը </w:t>
      </w:r>
      <w:r w:rsidR="00C54D75">
        <w:rPr>
          <w:rFonts w:ascii="Sylfaen" w:hAnsi="Sylfaen"/>
          <w:sz w:val="24"/>
          <w:szCs w:val="24"/>
        </w:rPr>
        <w:t>և</w:t>
      </w:r>
      <w:r w:rsidRPr="00834D52">
        <w:rPr>
          <w:rFonts w:ascii="Sylfaen" w:hAnsi="Sylfaen"/>
          <w:sz w:val="24"/>
          <w:szCs w:val="24"/>
        </w:rPr>
        <w:t xml:space="preserve"> փաթեթվածքը, ներմուծման ուղին, առաջնային փաթեթվածքի տարողությունը, դոզավորման միավորների թիվը փաթեթվածքի մեջ</w:t>
      </w:r>
    </w:p>
    <w:p w14:paraId="1F05657B" w14:textId="77777777" w:rsidR="006F76EB" w:rsidRPr="00834D52" w:rsidRDefault="006F76EB" w:rsidP="007349DC">
      <w:pPr>
        <w:tabs>
          <w:tab w:val="left" w:pos="1701"/>
        </w:tabs>
        <w:spacing w:after="160" w:line="312" w:lineRule="auto"/>
        <w:ind w:right="-6" w:firstLine="567"/>
        <w:jc w:val="both"/>
        <w:rPr>
          <w:rFonts w:ascii="Sylfaen" w:eastAsia="Times New Roman" w:hAnsi="Sylfaen" w:cs="Times New Roman"/>
          <w:sz w:val="24"/>
          <w:szCs w:val="24"/>
        </w:rPr>
      </w:pPr>
      <w:r w:rsidRPr="00834D52">
        <w:rPr>
          <w:rFonts w:ascii="Sylfaen" w:hAnsi="Sylfaen"/>
          <w:sz w:val="24"/>
          <w:szCs w:val="24"/>
        </w:rPr>
        <w:t>2.2.1.</w:t>
      </w:r>
      <w:r w:rsidRPr="00834D52">
        <w:rPr>
          <w:rFonts w:ascii="Sylfaen" w:hAnsi="Sylfaen"/>
          <w:sz w:val="24"/>
          <w:szCs w:val="24"/>
        </w:rPr>
        <w:tab/>
        <w:t xml:space="preserve">Դեղաչափը </w:t>
      </w:r>
      <w:r w:rsidR="00C54D75">
        <w:rPr>
          <w:rFonts w:ascii="Sylfaen" w:hAnsi="Sylfaen"/>
          <w:sz w:val="24"/>
          <w:szCs w:val="24"/>
        </w:rPr>
        <w:t>և</w:t>
      </w:r>
      <w:r w:rsidRPr="00834D52">
        <w:rPr>
          <w:rFonts w:ascii="Sylfaen" w:hAnsi="Sylfaen"/>
          <w:sz w:val="24"/>
          <w:szCs w:val="24"/>
        </w:rPr>
        <w:t xml:space="preserve"> դեղաձ</w:t>
      </w:r>
      <w:r w:rsidR="00C54D75">
        <w:rPr>
          <w:rFonts w:ascii="Sylfaen" w:hAnsi="Sylfaen"/>
          <w:sz w:val="24"/>
          <w:szCs w:val="24"/>
        </w:rPr>
        <w:t>և</w:t>
      </w:r>
      <w:r w:rsidRPr="00834D52">
        <w:rPr>
          <w:rFonts w:ascii="Sylfaen" w:hAnsi="Sylfaen"/>
          <w:sz w:val="24"/>
          <w:szCs w:val="24"/>
        </w:rPr>
        <w:t>ը</w:t>
      </w:r>
    </w:p>
    <w:p w14:paraId="2D12F028" w14:textId="77777777" w:rsidR="006F76EB" w:rsidRPr="007F5A60" w:rsidRDefault="006F76EB" w:rsidP="007349DC">
      <w:pPr>
        <w:spacing w:after="160" w:line="312" w:lineRule="auto"/>
        <w:ind w:right="-6" w:firstLine="567"/>
        <w:jc w:val="both"/>
        <w:rPr>
          <w:rFonts w:ascii="Sylfaen" w:hAnsi="Sylfaen"/>
          <w:sz w:val="24"/>
          <w:szCs w:val="24"/>
        </w:rPr>
      </w:pPr>
      <w:r w:rsidRPr="00834D52">
        <w:rPr>
          <w:rFonts w:ascii="Sylfaen" w:hAnsi="Sylfaen"/>
          <w:sz w:val="24"/>
          <w:szCs w:val="24"/>
        </w:rPr>
        <w:t>(օգտագործե՛ք Եվրասիական տնտեսական միությունում կիրառվող՝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bl>
      <w:tblPr>
        <w:tblW w:w="9712" w:type="dxa"/>
        <w:jc w:val="center"/>
        <w:tblLayout w:type="fixed"/>
        <w:tblCellMar>
          <w:left w:w="0" w:type="dxa"/>
          <w:right w:w="0" w:type="dxa"/>
        </w:tblCellMar>
        <w:tblLook w:val="01E0" w:firstRow="1" w:lastRow="1" w:firstColumn="1" w:lastColumn="1" w:noHBand="0" w:noVBand="0"/>
      </w:tblPr>
      <w:tblGrid>
        <w:gridCol w:w="5566"/>
        <w:gridCol w:w="4146"/>
      </w:tblGrid>
      <w:tr w:rsidR="006F76EB" w:rsidRPr="00834D52" w14:paraId="5FABA1DF" w14:textId="77777777" w:rsidTr="00F71229">
        <w:trPr>
          <w:jc w:val="center"/>
        </w:trPr>
        <w:tc>
          <w:tcPr>
            <w:tcW w:w="5566" w:type="dxa"/>
            <w:tcBorders>
              <w:top w:val="single" w:sz="4" w:space="0" w:color="000000"/>
              <w:left w:val="single" w:sz="4" w:space="0" w:color="000000"/>
              <w:bottom w:val="single" w:sz="4" w:space="0" w:color="000000"/>
              <w:right w:val="single" w:sz="4" w:space="0" w:color="000000"/>
            </w:tcBorders>
          </w:tcPr>
          <w:p w14:paraId="4A940B84" w14:textId="77777777" w:rsidR="006F76EB" w:rsidRPr="00834D52" w:rsidRDefault="006F76EB" w:rsidP="004E3708">
            <w:pPr>
              <w:spacing w:after="120" w:line="240" w:lineRule="auto"/>
              <w:ind w:left="172" w:right="-6" w:firstLine="492"/>
              <w:rPr>
                <w:rFonts w:ascii="Sylfaen" w:eastAsia="Times New Roman" w:hAnsi="Sylfaen" w:cs="Times New Roman"/>
                <w:sz w:val="24"/>
                <w:szCs w:val="24"/>
              </w:rPr>
            </w:pPr>
            <w:r w:rsidRPr="00834D52">
              <w:rPr>
                <w:rFonts w:ascii="Sylfaen" w:hAnsi="Sylfaen"/>
                <w:sz w:val="24"/>
                <w:szCs w:val="24"/>
              </w:rPr>
              <w:lastRenderedPageBreak/>
              <w:t>դեղաձ</w:t>
            </w:r>
            <w:r w:rsidR="00C54D75">
              <w:rPr>
                <w:rFonts w:ascii="Sylfaen" w:hAnsi="Sylfaen"/>
                <w:sz w:val="24"/>
                <w:szCs w:val="24"/>
              </w:rPr>
              <w:t>և</w:t>
            </w:r>
            <w:r w:rsidRPr="00834D52">
              <w:rPr>
                <w:rFonts w:ascii="Sylfaen" w:hAnsi="Sylfaen"/>
                <w:sz w:val="24"/>
                <w:szCs w:val="24"/>
              </w:rPr>
              <w:t>ը</w:t>
            </w:r>
          </w:p>
        </w:tc>
        <w:tc>
          <w:tcPr>
            <w:tcW w:w="4146" w:type="dxa"/>
            <w:tcBorders>
              <w:top w:val="single" w:sz="4" w:space="0" w:color="000000"/>
              <w:left w:val="single" w:sz="4" w:space="0" w:color="000000"/>
              <w:bottom w:val="single" w:sz="4" w:space="0" w:color="000000"/>
              <w:right w:val="single" w:sz="4" w:space="0" w:color="000000"/>
            </w:tcBorders>
          </w:tcPr>
          <w:p w14:paraId="2C8AB0C1" w14:textId="77777777" w:rsidR="006F76EB" w:rsidRPr="00834D52" w:rsidRDefault="006F76EB" w:rsidP="004E3708">
            <w:pPr>
              <w:spacing w:after="120" w:line="240" w:lineRule="auto"/>
              <w:ind w:right="-6"/>
              <w:rPr>
                <w:rFonts w:ascii="Sylfaen" w:hAnsi="Sylfaen"/>
                <w:sz w:val="24"/>
                <w:szCs w:val="24"/>
              </w:rPr>
            </w:pPr>
          </w:p>
        </w:tc>
      </w:tr>
      <w:tr w:rsidR="006F76EB" w:rsidRPr="00834D52" w14:paraId="4EE67306" w14:textId="77777777" w:rsidTr="00F71229">
        <w:trPr>
          <w:jc w:val="center"/>
        </w:trPr>
        <w:tc>
          <w:tcPr>
            <w:tcW w:w="5566" w:type="dxa"/>
            <w:tcBorders>
              <w:top w:val="single" w:sz="4" w:space="0" w:color="000000"/>
              <w:left w:val="single" w:sz="4" w:space="0" w:color="000000"/>
              <w:bottom w:val="single" w:sz="4" w:space="0" w:color="000000"/>
              <w:right w:val="single" w:sz="4" w:space="0" w:color="000000"/>
            </w:tcBorders>
          </w:tcPr>
          <w:p w14:paraId="566DC5F9" w14:textId="77777777" w:rsidR="006F76EB" w:rsidRPr="00834D52" w:rsidRDefault="006F76EB" w:rsidP="004E3708">
            <w:pPr>
              <w:spacing w:after="120" w:line="240" w:lineRule="auto"/>
              <w:ind w:left="172" w:right="-6" w:firstLine="492"/>
              <w:rPr>
                <w:rFonts w:ascii="Sylfaen" w:eastAsia="Times New Roman" w:hAnsi="Sylfaen" w:cs="Times New Roman"/>
                <w:sz w:val="24"/>
                <w:szCs w:val="24"/>
              </w:rPr>
            </w:pPr>
            <w:r w:rsidRPr="00834D52">
              <w:rPr>
                <w:rFonts w:ascii="Sylfaen" w:hAnsi="Sylfaen"/>
                <w:sz w:val="24"/>
                <w:szCs w:val="24"/>
              </w:rPr>
              <w:t>դեղաչափերը կամ խտությունները</w:t>
            </w:r>
          </w:p>
        </w:tc>
        <w:tc>
          <w:tcPr>
            <w:tcW w:w="4146" w:type="dxa"/>
            <w:tcBorders>
              <w:top w:val="single" w:sz="4" w:space="0" w:color="000000"/>
              <w:left w:val="single" w:sz="4" w:space="0" w:color="000000"/>
              <w:bottom w:val="single" w:sz="4" w:space="0" w:color="000000"/>
              <w:right w:val="single" w:sz="4" w:space="0" w:color="000000"/>
            </w:tcBorders>
          </w:tcPr>
          <w:p w14:paraId="4C50B2C1" w14:textId="77777777" w:rsidR="006F76EB" w:rsidRPr="00834D52" w:rsidRDefault="006F76EB" w:rsidP="004E3708">
            <w:pPr>
              <w:spacing w:after="120" w:line="240" w:lineRule="auto"/>
              <w:ind w:right="-6"/>
              <w:rPr>
                <w:rFonts w:ascii="Sylfaen" w:hAnsi="Sylfaen"/>
                <w:sz w:val="24"/>
                <w:szCs w:val="24"/>
              </w:rPr>
            </w:pPr>
          </w:p>
        </w:tc>
      </w:tr>
      <w:tr w:rsidR="006F76EB" w:rsidRPr="00834D52" w14:paraId="2578E3D5" w14:textId="77777777" w:rsidTr="00F71229">
        <w:trPr>
          <w:jc w:val="center"/>
        </w:trPr>
        <w:tc>
          <w:tcPr>
            <w:tcW w:w="5566" w:type="dxa"/>
            <w:tcBorders>
              <w:top w:val="single" w:sz="4" w:space="0" w:color="000000"/>
              <w:left w:val="single" w:sz="4" w:space="0" w:color="000000"/>
              <w:bottom w:val="single" w:sz="4" w:space="0" w:color="000000"/>
              <w:right w:val="single" w:sz="4" w:space="0" w:color="000000"/>
            </w:tcBorders>
          </w:tcPr>
          <w:p w14:paraId="79D79002" w14:textId="77777777" w:rsidR="006F76EB" w:rsidRPr="00834D52" w:rsidRDefault="006F76EB" w:rsidP="004E3708">
            <w:pPr>
              <w:spacing w:after="120" w:line="240" w:lineRule="auto"/>
              <w:ind w:left="172" w:right="-6" w:firstLine="536"/>
              <w:rPr>
                <w:rFonts w:ascii="Sylfaen" w:eastAsia="Times New Roman" w:hAnsi="Sylfaen" w:cs="Times New Roman"/>
                <w:sz w:val="24"/>
                <w:szCs w:val="24"/>
              </w:rPr>
            </w:pPr>
            <w:r w:rsidRPr="00834D52">
              <w:rPr>
                <w:rFonts w:ascii="Sylfaen" w:hAnsi="Sylfaen"/>
                <w:sz w:val="24"/>
                <w:szCs w:val="24"/>
              </w:rPr>
              <w:t>2.2.2.</w:t>
            </w:r>
            <w:r w:rsidRPr="00834D52">
              <w:rPr>
                <w:rFonts w:ascii="Sylfaen" w:hAnsi="Sylfaen"/>
                <w:sz w:val="24"/>
                <w:szCs w:val="24"/>
              </w:rPr>
              <w:tab/>
            </w:r>
            <w:r w:rsidR="004E3708" w:rsidRPr="007F5A60">
              <w:rPr>
                <w:rFonts w:ascii="Sylfaen" w:hAnsi="Sylfaen"/>
                <w:sz w:val="24"/>
                <w:szCs w:val="24"/>
              </w:rPr>
              <w:tab/>
            </w:r>
            <w:r w:rsidRPr="00834D52">
              <w:rPr>
                <w:rFonts w:ascii="Sylfaen" w:hAnsi="Sylfaen"/>
                <w:sz w:val="24"/>
                <w:szCs w:val="24"/>
              </w:rPr>
              <w:t>Ներմուծման ուղին (օգտագործե՛ք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c>
        <w:tc>
          <w:tcPr>
            <w:tcW w:w="4146" w:type="dxa"/>
            <w:tcBorders>
              <w:top w:val="single" w:sz="4" w:space="0" w:color="000000"/>
              <w:left w:val="single" w:sz="4" w:space="0" w:color="000000"/>
              <w:bottom w:val="single" w:sz="4" w:space="0" w:color="000000"/>
              <w:right w:val="single" w:sz="4" w:space="0" w:color="000000"/>
            </w:tcBorders>
          </w:tcPr>
          <w:p w14:paraId="5DBC8CF8" w14:textId="77777777" w:rsidR="006F76EB" w:rsidRPr="00834D52" w:rsidRDefault="006F76EB" w:rsidP="004E3708">
            <w:pPr>
              <w:spacing w:after="120" w:line="240" w:lineRule="auto"/>
              <w:ind w:right="-6"/>
              <w:rPr>
                <w:rFonts w:ascii="Sylfaen" w:hAnsi="Sylfaen"/>
                <w:sz w:val="24"/>
                <w:szCs w:val="24"/>
              </w:rPr>
            </w:pPr>
          </w:p>
        </w:tc>
      </w:tr>
      <w:tr w:rsidR="006F76EB" w:rsidRPr="00834D52" w14:paraId="71F99DCF" w14:textId="77777777" w:rsidTr="00F71229">
        <w:trPr>
          <w:jc w:val="center"/>
        </w:trPr>
        <w:tc>
          <w:tcPr>
            <w:tcW w:w="5566" w:type="dxa"/>
            <w:tcBorders>
              <w:top w:val="single" w:sz="4" w:space="0" w:color="000000"/>
              <w:left w:val="single" w:sz="4" w:space="0" w:color="000000"/>
              <w:bottom w:val="single" w:sz="4" w:space="0" w:color="000000"/>
              <w:right w:val="single" w:sz="4" w:space="0" w:color="000000"/>
            </w:tcBorders>
          </w:tcPr>
          <w:p w14:paraId="29C91EC6" w14:textId="77777777" w:rsidR="006F76EB" w:rsidRPr="00834D52" w:rsidRDefault="006F76EB" w:rsidP="004E3708">
            <w:pPr>
              <w:spacing w:after="120" w:line="240" w:lineRule="auto"/>
              <w:ind w:left="172" w:right="149" w:firstLine="536"/>
              <w:rPr>
                <w:rFonts w:ascii="Sylfaen" w:eastAsia="Times New Roman" w:hAnsi="Sylfaen" w:cs="Times New Roman"/>
                <w:sz w:val="24"/>
                <w:szCs w:val="24"/>
              </w:rPr>
            </w:pPr>
            <w:r w:rsidRPr="00834D52">
              <w:rPr>
                <w:rFonts w:ascii="Sylfaen" w:hAnsi="Sylfaen"/>
                <w:sz w:val="24"/>
                <w:szCs w:val="24"/>
              </w:rPr>
              <w:t>2.2.3.</w:t>
            </w:r>
            <w:r w:rsidR="004E3708" w:rsidRPr="007F5A60">
              <w:rPr>
                <w:rFonts w:ascii="Sylfaen" w:hAnsi="Sylfaen"/>
                <w:sz w:val="24"/>
                <w:szCs w:val="24"/>
              </w:rPr>
              <w:tab/>
            </w:r>
            <w:r w:rsidRPr="00834D52">
              <w:rPr>
                <w:rFonts w:ascii="Sylfaen" w:hAnsi="Sylfaen"/>
                <w:sz w:val="24"/>
                <w:szCs w:val="24"/>
              </w:rPr>
              <w:tab/>
              <w:t xml:space="preserve">Փաթեթվածքը՝ առաջնային </w:t>
            </w:r>
            <w:r w:rsidR="00C54D75">
              <w:rPr>
                <w:rFonts w:ascii="Sylfaen" w:hAnsi="Sylfaen"/>
                <w:sz w:val="24"/>
                <w:szCs w:val="24"/>
              </w:rPr>
              <w:t>և</w:t>
            </w:r>
            <w:r w:rsidRPr="00834D52">
              <w:rPr>
                <w:rFonts w:ascii="Sylfaen" w:hAnsi="Sylfaen"/>
                <w:sz w:val="24"/>
                <w:szCs w:val="24"/>
              </w:rPr>
              <w:t xml:space="preserve"> երկրորդային փաթեթվածքը, միջանկյալ փաթեթվածքը (առկայության դեպքում), խցանափակման համակարգը </w:t>
            </w:r>
            <w:r w:rsidR="00C54D75">
              <w:rPr>
                <w:rFonts w:ascii="Sylfaen" w:hAnsi="Sylfaen"/>
                <w:sz w:val="24"/>
                <w:szCs w:val="24"/>
              </w:rPr>
              <w:t>և</w:t>
            </w:r>
            <w:r w:rsidRPr="00834D52">
              <w:rPr>
                <w:rFonts w:ascii="Sylfaen" w:hAnsi="Sylfaen"/>
                <w:sz w:val="24"/>
                <w:szCs w:val="24"/>
              </w:rPr>
              <w:t xml:space="preserve"> ներմուծման սարքվածքները՝ ներառյալ այն նյութի նկարագրությունը, որից դրանք պատրաստված են (օգտագործե՛ք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c>
        <w:tc>
          <w:tcPr>
            <w:tcW w:w="4146" w:type="dxa"/>
            <w:tcBorders>
              <w:top w:val="single" w:sz="4" w:space="0" w:color="000000"/>
              <w:left w:val="single" w:sz="4" w:space="0" w:color="000000"/>
              <w:bottom w:val="single" w:sz="4" w:space="0" w:color="000000"/>
              <w:right w:val="single" w:sz="4" w:space="0" w:color="000000"/>
            </w:tcBorders>
          </w:tcPr>
          <w:p w14:paraId="23AE54D8" w14:textId="77777777" w:rsidR="006F76EB" w:rsidRPr="00834D52" w:rsidRDefault="006F76EB" w:rsidP="004E3708">
            <w:pPr>
              <w:spacing w:after="120" w:line="240" w:lineRule="auto"/>
              <w:ind w:right="-6"/>
              <w:rPr>
                <w:rFonts w:ascii="Sylfaen" w:hAnsi="Sylfaen"/>
                <w:sz w:val="24"/>
                <w:szCs w:val="24"/>
              </w:rPr>
            </w:pPr>
          </w:p>
        </w:tc>
      </w:tr>
    </w:tbl>
    <w:p w14:paraId="10280903"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Փաթեթվածքի յուրաքանչյուր տեսակի համար նշե՛ք՝</w:t>
      </w:r>
    </w:p>
    <w:p w14:paraId="6AEE6079"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2.2.3.1.</w:t>
      </w:r>
      <w:r w:rsidRPr="00834D52">
        <w:rPr>
          <w:rFonts w:ascii="Sylfaen" w:hAnsi="Sylfaen"/>
          <w:sz w:val="24"/>
          <w:szCs w:val="24"/>
        </w:rPr>
        <w:tab/>
        <w:t>Դոզավորման միավորների թիվը փաթեթվածքի մեջ:</w:t>
      </w:r>
    </w:p>
    <w:p w14:paraId="55F7FE7D"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2.2.3.2.</w:t>
      </w:r>
      <w:r w:rsidRPr="00834D52">
        <w:rPr>
          <w:rFonts w:ascii="Sylfaen" w:hAnsi="Sylfaen"/>
          <w:sz w:val="24"/>
          <w:szCs w:val="24"/>
        </w:rPr>
        <w:tab/>
        <w:t>Պահպանման առաջարկվող ժամկետը:</w:t>
      </w:r>
    </w:p>
    <w:p w14:paraId="25EAD70E"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2.2.3.3.</w:t>
      </w:r>
      <w:r w:rsidRPr="00834D52">
        <w:rPr>
          <w:rFonts w:ascii="Sylfaen" w:hAnsi="Sylfaen"/>
          <w:sz w:val="24"/>
          <w:szCs w:val="24"/>
        </w:rPr>
        <w:tab/>
        <w:t>Պահպանման առաջարկվող ժամկետը (առաջնային կամ միջանկյալ փաթեթվածքն առաջին անգամ բացելուց հետո):</w:t>
      </w:r>
    </w:p>
    <w:p w14:paraId="3D48FF2A"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2.2.3.4.</w:t>
      </w:r>
      <w:r w:rsidRPr="00834D52">
        <w:rPr>
          <w:rFonts w:ascii="Sylfaen" w:hAnsi="Sylfaen"/>
          <w:sz w:val="24"/>
          <w:szCs w:val="24"/>
        </w:rPr>
        <w:tab/>
        <w:t>Պահպանման առաջարկվող ժամկետը (վերականգնումից (լուծումից) կամ նոսրացումից հետո):</w:t>
      </w:r>
    </w:p>
    <w:p w14:paraId="3471C83F"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2.2.3.5.</w:t>
      </w:r>
      <w:r w:rsidRPr="00834D52">
        <w:rPr>
          <w:rFonts w:ascii="Sylfaen" w:hAnsi="Sylfaen"/>
          <w:sz w:val="24"/>
          <w:szCs w:val="24"/>
        </w:rPr>
        <w:tab/>
        <w:t>Պահպանման առաջարկվող պայմանները:</w:t>
      </w:r>
    </w:p>
    <w:p w14:paraId="0C1BF880" w14:textId="77777777" w:rsidR="006F76EB" w:rsidRPr="00834D52" w:rsidRDefault="006F76EB" w:rsidP="004E3708">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2.2.3.6.</w:t>
      </w:r>
      <w:r w:rsidRPr="00834D52">
        <w:rPr>
          <w:rFonts w:ascii="Sylfaen" w:hAnsi="Sylfaen"/>
          <w:sz w:val="24"/>
          <w:szCs w:val="24"/>
        </w:rPr>
        <w:tab/>
        <w:t>Պահպանման առաջարկվող պայմանները փաթեթվածքը (առաջնային կամ միջանկյալ) առաջին անգամ բացելուց հետո:</w:t>
      </w:r>
    </w:p>
    <w:p w14:paraId="2818F149" w14:textId="77777777" w:rsidR="006F76EB" w:rsidRPr="00834D52" w:rsidRDefault="006F76EB" w:rsidP="004E3708">
      <w:pPr>
        <w:tabs>
          <w:tab w:val="left" w:pos="1701"/>
        </w:tabs>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t>2.2.4.</w:t>
      </w:r>
      <w:r w:rsidRPr="00834D52">
        <w:rPr>
          <w:rFonts w:ascii="Sylfaen" w:hAnsi="Sylfaen"/>
          <w:sz w:val="24"/>
          <w:szCs w:val="24"/>
        </w:rPr>
        <w:tab/>
        <w:t>Տեղեկատվություն՝ ներմուծման սարքվածքների վերաբերյալ</w:t>
      </w:r>
    </w:p>
    <w:p w14:paraId="5FED4C7E" w14:textId="77777777" w:rsidR="006F76EB" w:rsidRPr="00834D52" w:rsidRDefault="006F76EB" w:rsidP="004E3708">
      <w:pPr>
        <w:tabs>
          <w:tab w:val="left" w:pos="1701"/>
        </w:tabs>
        <w:spacing w:after="160" w:line="360" w:lineRule="auto"/>
        <w:ind w:right="-6" w:firstLine="567"/>
        <w:rPr>
          <w:rFonts w:ascii="Sylfaen" w:hAnsi="Sylfaen"/>
          <w:sz w:val="24"/>
          <w:szCs w:val="24"/>
        </w:rPr>
      </w:pPr>
      <w:r w:rsidRPr="00834D52">
        <w:rPr>
          <w:rFonts w:ascii="Sylfaen" w:hAnsi="Sylfaen"/>
          <w:sz w:val="24"/>
          <w:szCs w:val="24"/>
        </w:rPr>
        <w:t>2.3.</w:t>
      </w:r>
      <w:r w:rsidRPr="00834D52">
        <w:rPr>
          <w:rFonts w:ascii="Sylfaen" w:hAnsi="Sylfaen"/>
          <w:sz w:val="24"/>
          <w:szCs w:val="24"/>
        </w:rPr>
        <w:tab/>
        <w:t>Բացթողման կատեգորիան</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4394"/>
      </w:tblGrid>
      <w:tr w:rsidR="006F76EB" w:rsidRPr="00834D52" w14:paraId="67A4A84D" w14:textId="77777777" w:rsidTr="00F71229">
        <w:tc>
          <w:tcPr>
            <w:tcW w:w="5070" w:type="dxa"/>
          </w:tcPr>
          <w:p w14:paraId="2D9C68D9" w14:textId="77777777" w:rsidR="006F76EB" w:rsidRPr="00834D52" w:rsidRDefault="006F76EB" w:rsidP="00F71229">
            <w:pPr>
              <w:spacing w:after="160"/>
              <w:ind w:right="-6"/>
              <w:rPr>
                <w:rFonts w:ascii="Sylfaen" w:eastAsia="Times New Roman" w:hAnsi="Sylfaen" w:cs="Times New Roman"/>
                <w:sz w:val="24"/>
                <w:szCs w:val="24"/>
              </w:rPr>
            </w:pPr>
          </w:p>
        </w:tc>
        <w:tc>
          <w:tcPr>
            <w:tcW w:w="425" w:type="dxa"/>
          </w:tcPr>
          <w:p w14:paraId="646F15F6" w14:textId="77777777" w:rsidR="006F76EB" w:rsidRPr="00834D52" w:rsidRDefault="00157FD9" w:rsidP="00F71229">
            <w:pPr>
              <w:spacing w:after="160"/>
              <w:ind w:right="-6"/>
              <w:rPr>
                <w:rFonts w:ascii="Sylfaen" w:eastAsia="Times New Roman" w:hAnsi="Sylfaen" w:cs="Times New Roman"/>
                <w:sz w:val="24"/>
                <w:szCs w:val="24"/>
              </w:rPr>
            </w:pPr>
            <w:r>
              <w:rPr>
                <w:rFonts w:ascii="Sylfaen" w:hAnsi="Sylfaen"/>
                <w:noProof/>
                <w:sz w:val="24"/>
                <w:szCs w:val="24"/>
              </w:rPr>
              <w:pict w14:anchorId="6734A7BF">
                <v:rect id="_x0000_s1079" style="position:absolute;margin-left:-.4pt;margin-top:5.55pt;width:12.75pt;height:12pt;z-index:251571712;mso-position-horizontal-relative:text;mso-position-vertical-relative:text"/>
              </w:pict>
            </w:r>
          </w:p>
        </w:tc>
        <w:tc>
          <w:tcPr>
            <w:tcW w:w="4394" w:type="dxa"/>
          </w:tcPr>
          <w:p w14:paraId="14AA6300"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դեղատոմսով</w:t>
            </w:r>
          </w:p>
        </w:tc>
      </w:tr>
      <w:tr w:rsidR="006F76EB" w:rsidRPr="00834D52" w14:paraId="3A622C99" w14:textId="77777777" w:rsidTr="00F71229">
        <w:tc>
          <w:tcPr>
            <w:tcW w:w="5070" w:type="dxa"/>
          </w:tcPr>
          <w:p w14:paraId="32D97FBE" w14:textId="77777777" w:rsidR="006F76EB" w:rsidRPr="00834D52" w:rsidRDefault="006F76EB" w:rsidP="00F71229">
            <w:pPr>
              <w:tabs>
                <w:tab w:val="left" w:pos="1701"/>
              </w:tabs>
              <w:spacing w:after="160"/>
              <w:ind w:right="-35" w:firstLine="567"/>
              <w:rPr>
                <w:rFonts w:ascii="Sylfaen" w:eastAsia="Times New Roman" w:hAnsi="Sylfaen" w:cs="Times New Roman"/>
                <w:sz w:val="24"/>
                <w:szCs w:val="24"/>
              </w:rPr>
            </w:pPr>
            <w:r w:rsidRPr="00834D52">
              <w:rPr>
                <w:rFonts w:ascii="Sylfaen" w:hAnsi="Sylfaen"/>
                <w:sz w:val="24"/>
                <w:szCs w:val="24"/>
              </w:rPr>
              <w:t>2.3.1.</w:t>
            </w:r>
            <w:r w:rsidRPr="00834D52">
              <w:rPr>
                <w:rFonts w:ascii="Sylfaen" w:hAnsi="Sylfaen"/>
                <w:sz w:val="24"/>
                <w:szCs w:val="24"/>
                <w:lang w:val="en-US"/>
              </w:rPr>
              <w:tab/>
            </w:r>
            <w:r w:rsidRPr="00834D52">
              <w:rPr>
                <w:rFonts w:ascii="Sylfaen" w:hAnsi="Sylfaen"/>
                <w:sz w:val="24"/>
                <w:szCs w:val="24"/>
              </w:rPr>
              <w:t>Բացթողման առաջարկվող կատեգորիան՝</w:t>
            </w:r>
          </w:p>
        </w:tc>
        <w:tc>
          <w:tcPr>
            <w:tcW w:w="425" w:type="dxa"/>
          </w:tcPr>
          <w:p w14:paraId="5D0679D5" w14:textId="77777777" w:rsidR="006F76EB" w:rsidRPr="00834D52" w:rsidRDefault="00157FD9" w:rsidP="00F71229">
            <w:pPr>
              <w:spacing w:after="160"/>
              <w:ind w:right="-6"/>
              <w:rPr>
                <w:rFonts w:ascii="Sylfaen" w:eastAsia="Times New Roman" w:hAnsi="Sylfaen" w:cs="Times New Roman"/>
                <w:sz w:val="24"/>
                <w:szCs w:val="24"/>
              </w:rPr>
            </w:pPr>
            <w:r>
              <w:rPr>
                <w:rFonts w:ascii="Sylfaen" w:hAnsi="Sylfaen"/>
                <w:noProof/>
                <w:sz w:val="24"/>
                <w:szCs w:val="24"/>
              </w:rPr>
              <w:pict w14:anchorId="6A1445F1">
                <v:rect id="_x0000_s1080" style="position:absolute;margin-left:-.4pt;margin-top:5.45pt;width:12.75pt;height:12pt;z-index:251572736;mso-position-horizontal-relative:text;mso-position-vertical-relative:text"/>
              </w:pict>
            </w:r>
          </w:p>
        </w:tc>
        <w:tc>
          <w:tcPr>
            <w:tcW w:w="4394" w:type="dxa"/>
          </w:tcPr>
          <w:p w14:paraId="5C7CCA1A"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առանց դեղատոմսի</w:t>
            </w:r>
          </w:p>
        </w:tc>
      </w:tr>
      <w:tr w:rsidR="006F76EB" w:rsidRPr="00834D52" w14:paraId="5454E316" w14:textId="77777777" w:rsidTr="00F71229">
        <w:tc>
          <w:tcPr>
            <w:tcW w:w="5070" w:type="dxa"/>
          </w:tcPr>
          <w:p w14:paraId="6355CBA9" w14:textId="77777777" w:rsidR="006F76EB" w:rsidRPr="00834D52" w:rsidRDefault="006F76EB" w:rsidP="00F71229">
            <w:pPr>
              <w:spacing w:after="160"/>
              <w:ind w:right="-6"/>
              <w:rPr>
                <w:rFonts w:ascii="Sylfaen" w:eastAsia="Times New Roman" w:hAnsi="Sylfaen" w:cs="Times New Roman"/>
                <w:sz w:val="24"/>
                <w:szCs w:val="24"/>
              </w:rPr>
            </w:pPr>
          </w:p>
        </w:tc>
        <w:tc>
          <w:tcPr>
            <w:tcW w:w="425" w:type="dxa"/>
          </w:tcPr>
          <w:p w14:paraId="6D7309AE" w14:textId="77777777" w:rsidR="006F76EB" w:rsidRPr="00834D52" w:rsidRDefault="00157FD9" w:rsidP="00F71229">
            <w:pPr>
              <w:spacing w:after="160"/>
              <w:ind w:right="-6"/>
              <w:rPr>
                <w:rFonts w:ascii="Sylfaen" w:eastAsia="Times New Roman" w:hAnsi="Sylfaen" w:cs="Times New Roman"/>
                <w:sz w:val="24"/>
                <w:szCs w:val="24"/>
              </w:rPr>
            </w:pPr>
            <w:r>
              <w:rPr>
                <w:rFonts w:ascii="Sylfaen" w:hAnsi="Sylfaen"/>
                <w:noProof/>
                <w:sz w:val="24"/>
                <w:szCs w:val="24"/>
              </w:rPr>
              <w:pict w14:anchorId="26CC1C8C">
                <v:rect id="_x0000_s1081" style="position:absolute;margin-left:-.4pt;margin-top:5.35pt;width:12.75pt;height:12pt;z-index:251573760;mso-position-horizontal-relative:text;mso-position-vertical-relative:text"/>
              </w:pict>
            </w:r>
          </w:p>
        </w:tc>
        <w:tc>
          <w:tcPr>
            <w:tcW w:w="4394" w:type="dxa"/>
          </w:tcPr>
          <w:p w14:paraId="714738A4" w14:textId="77777777" w:rsidR="006F76EB" w:rsidRPr="00834D52" w:rsidRDefault="006F76EB" w:rsidP="00F71229">
            <w:pPr>
              <w:spacing w:after="160"/>
              <w:ind w:right="-6"/>
              <w:rPr>
                <w:rFonts w:ascii="Sylfaen" w:eastAsia="Times New Roman" w:hAnsi="Sylfaen" w:cs="Times New Roman"/>
                <w:sz w:val="24"/>
                <w:szCs w:val="24"/>
              </w:rPr>
            </w:pPr>
            <w:r w:rsidRPr="00834D52">
              <w:rPr>
                <w:rFonts w:ascii="Sylfaen" w:hAnsi="Sylfaen"/>
                <w:sz w:val="24"/>
                <w:szCs w:val="24"/>
              </w:rPr>
              <w:t>ստացիոնար պայմաններում</w:t>
            </w:r>
          </w:p>
        </w:tc>
      </w:tr>
    </w:tbl>
    <w:p w14:paraId="5798B867" w14:textId="77777777" w:rsidR="006F76EB" w:rsidRPr="00834D52" w:rsidRDefault="006F76EB" w:rsidP="006F76EB">
      <w:pPr>
        <w:tabs>
          <w:tab w:val="left" w:pos="1701"/>
        </w:tabs>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t>2.4.</w:t>
      </w:r>
      <w:r w:rsidRPr="00834D52">
        <w:rPr>
          <w:rFonts w:ascii="Sylfaen" w:hAnsi="Sylfaen"/>
          <w:sz w:val="24"/>
          <w:szCs w:val="24"/>
        </w:rPr>
        <w:tab/>
        <w:t>Գրանցման հավաստագրի իրավատերը</w:t>
      </w:r>
    </w:p>
    <w:p w14:paraId="18E73976" w14:textId="77777777" w:rsidR="006F76EB" w:rsidRPr="00834D52" w:rsidRDefault="006F76EB" w:rsidP="006F76EB">
      <w:pPr>
        <w:tabs>
          <w:tab w:val="left" w:pos="1701"/>
        </w:tabs>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lastRenderedPageBreak/>
        <w:t>2.4.1.</w:t>
      </w:r>
      <w:r w:rsidRPr="00834D52">
        <w:rPr>
          <w:rFonts w:ascii="Sylfaen" w:hAnsi="Sylfaen"/>
          <w:sz w:val="24"/>
          <w:szCs w:val="24"/>
        </w:rPr>
        <w:tab/>
        <w:t>Գրանցման հավաստագրի իրավատերը՝</w:t>
      </w:r>
    </w:p>
    <w:tbl>
      <w:tblPr>
        <w:tblW w:w="9535" w:type="dxa"/>
        <w:jc w:val="center"/>
        <w:tblLayout w:type="fixed"/>
        <w:tblCellMar>
          <w:left w:w="0" w:type="dxa"/>
          <w:right w:w="0" w:type="dxa"/>
        </w:tblCellMar>
        <w:tblLook w:val="01E0" w:firstRow="1" w:lastRow="1" w:firstColumn="1" w:lastColumn="1" w:noHBand="0" w:noVBand="0"/>
      </w:tblPr>
      <w:tblGrid>
        <w:gridCol w:w="4769"/>
        <w:gridCol w:w="4766"/>
      </w:tblGrid>
      <w:tr w:rsidR="006F76EB" w:rsidRPr="00834D52" w14:paraId="0F5BA363"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799428DF"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4766" w:type="dxa"/>
            <w:tcBorders>
              <w:top w:val="single" w:sz="4" w:space="0" w:color="000000"/>
              <w:left w:val="single" w:sz="4" w:space="0" w:color="000000"/>
              <w:bottom w:val="single" w:sz="4" w:space="0" w:color="000000"/>
              <w:right w:val="single" w:sz="4" w:space="0" w:color="000000"/>
            </w:tcBorders>
          </w:tcPr>
          <w:p w14:paraId="43F0FE61" w14:textId="77777777" w:rsidR="006F76EB" w:rsidRPr="00834D52" w:rsidRDefault="006F76EB" w:rsidP="00E8196D">
            <w:pPr>
              <w:spacing w:after="120" w:line="240" w:lineRule="auto"/>
              <w:ind w:right="-6"/>
              <w:rPr>
                <w:rFonts w:ascii="Sylfaen" w:hAnsi="Sylfaen"/>
                <w:sz w:val="24"/>
                <w:szCs w:val="24"/>
              </w:rPr>
            </w:pPr>
          </w:p>
        </w:tc>
      </w:tr>
      <w:tr w:rsidR="006F76EB" w:rsidRPr="00834D52" w14:paraId="0FE35995"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4997BFC4"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հասցեն</w:t>
            </w:r>
          </w:p>
        </w:tc>
        <w:tc>
          <w:tcPr>
            <w:tcW w:w="4766" w:type="dxa"/>
            <w:tcBorders>
              <w:top w:val="single" w:sz="4" w:space="0" w:color="000000"/>
              <w:left w:val="single" w:sz="4" w:space="0" w:color="000000"/>
              <w:bottom w:val="single" w:sz="4" w:space="0" w:color="000000"/>
              <w:right w:val="single" w:sz="4" w:space="0" w:color="000000"/>
            </w:tcBorders>
          </w:tcPr>
          <w:p w14:paraId="5DA4A1E3" w14:textId="77777777" w:rsidR="006F76EB" w:rsidRPr="00834D52" w:rsidRDefault="006F76EB" w:rsidP="00E8196D">
            <w:pPr>
              <w:spacing w:after="120" w:line="240" w:lineRule="auto"/>
              <w:ind w:right="-6"/>
              <w:rPr>
                <w:rFonts w:ascii="Sylfaen" w:hAnsi="Sylfaen"/>
                <w:sz w:val="24"/>
                <w:szCs w:val="24"/>
              </w:rPr>
            </w:pPr>
          </w:p>
        </w:tc>
      </w:tr>
      <w:tr w:rsidR="006F76EB" w:rsidRPr="00834D52" w14:paraId="6261BF75"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1FF073FC"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766" w:type="dxa"/>
            <w:tcBorders>
              <w:top w:val="single" w:sz="4" w:space="0" w:color="000000"/>
              <w:left w:val="single" w:sz="4" w:space="0" w:color="000000"/>
              <w:bottom w:val="single" w:sz="4" w:space="0" w:color="000000"/>
              <w:right w:val="single" w:sz="4" w:space="0" w:color="000000"/>
            </w:tcBorders>
          </w:tcPr>
          <w:p w14:paraId="669E4FA1" w14:textId="77777777" w:rsidR="006F76EB" w:rsidRPr="00834D52" w:rsidRDefault="006F76EB" w:rsidP="00E8196D">
            <w:pPr>
              <w:spacing w:after="120" w:line="240" w:lineRule="auto"/>
              <w:ind w:right="-6"/>
              <w:rPr>
                <w:rFonts w:ascii="Sylfaen" w:hAnsi="Sylfaen"/>
                <w:sz w:val="24"/>
                <w:szCs w:val="24"/>
              </w:rPr>
            </w:pPr>
          </w:p>
        </w:tc>
      </w:tr>
      <w:tr w:rsidR="006F76EB" w:rsidRPr="00834D52" w14:paraId="7BDF0F4F"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5AFAE1E4"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4766" w:type="dxa"/>
            <w:tcBorders>
              <w:top w:val="single" w:sz="4" w:space="0" w:color="000000"/>
              <w:left w:val="single" w:sz="4" w:space="0" w:color="000000"/>
              <w:bottom w:val="single" w:sz="4" w:space="0" w:color="000000"/>
              <w:right w:val="single" w:sz="4" w:space="0" w:color="000000"/>
            </w:tcBorders>
          </w:tcPr>
          <w:p w14:paraId="65B8C15E" w14:textId="77777777" w:rsidR="006F76EB" w:rsidRPr="00834D52" w:rsidRDefault="006F76EB" w:rsidP="00E8196D">
            <w:pPr>
              <w:spacing w:after="120" w:line="240" w:lineRule="auto"/>
              <w:ind w:right="-6"/>
              <w:rPr>
                <w:rFonts w:ascii="Sylfaen" w:hAnsi="Sylfaen"/>
                <w:sz w:val="24"/>
                <w:szCs w:val="24"/>
              </w:rPr>
            </w:pPr>
          </w:p>
        </w:tc>
      </w:tr>
      <w:tr w:rsidR="006F76EB" w:rsidRPr="00834D52" w14:paraId="7A75BAB2"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375B3393"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766" w:type="dxa"/>
            <w:tcBorders>
              <w:top w:val="single" w:sz="4" w:space="0" w:color="000000"/>
              <w:left w:val="single" w:sz="4" w:space="0" w:color="000000"/>
              <w:bottom w:val="single" w:sz="4" w:space="0" w:color="000000"/>
              <w:right w:val="single" w:sz="4" w:space="0" w:color="000000"/>
            </w:tcBorders>
          </w:tcPr>
          <w:p w14:paraId="40D65B34" w14:textId="77777777" w:rsidR="006F76EB" w:rsidRPr="00834D52" w:rsidRDefault="006F76EB" w:rsidP="00E8196D">
            <w:pPr>
              <w:spacing w:after="120" w:line="240" w:lineRule="auto"/>
              <w:ind w:right="-6"/>
              <w:rPr>
                <w:rFonts w:ascii="Sylfaen" w:hAnsi="Sylfaen"/>
                <w:sz w:val="24"/>
                <w:szCs w:val="24"/>
              </w:rPr>
            </w:pPr>
          </w:p>
        </w:tc>
      </w:tr>
    </w:tbl>
    <w:p w14:paraId="11883295"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2.4.2.</w:t>
      </w:r>
      <w:r w:rsidRPr="00834D52">
        <w:rPr>
          <w:rFonts w:ascii="Sylfaen" w:hAnsi="Sylfaen"/>
          <w:sz w:val="24"/>
          <w:szCs w:val="24"/>
        </w:rPr>
        <w:tab/>
        <w:t>Գրանցման հավաստագրի իրավատիրոջ ներկայացուցիչը (գրանցման հավաստագրի իրավատիրոջ անունից հանդես եկող անձը՝ հայտատուն)՝</w:t>
      </w:r>
    </w:p>
    <w:tbl>
      <w:tblPr>
        <w:tblW w:w="9535" w:type="dxa"/>
        <w:jc w:val="center"/>
        <w:tblLayout w:type="fixed"/>
        <w:tblCellMar>
          <w:left w:w="0" w:type="dxa"/>
          <w:right w:w="0" w:type="dxa"/>
        </w:tblCellMar>
        <w:tblLook w:val="01E0" w:firstRow="1" w:lastRow="1" w:firstColumn="1" w:lastColumn="1" w:noHBand="0" w:noVBand="0"/>
      </w:tblPr>
      <w:tblGrid>
        <w:gridCol w:w="4769"/>
        <w:gridCol w:w="4766"/>
      </w:tblGrid>
      <w:tr w:rsidR="006F76EB" w:rsidRPr="00834D52" w14:paraId="2950EE93"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3109319B"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 կամ ֆիզիկական անձի ազգանունը, անունը, հայրանունը</w:t>
            </w:r>
          </w:p>
        </w:tc>
        <w:tc>
          <w:tcPr>
            <w:tcW w:w="4766" w:type="dxa"/>
            <w:tcBorders>
              <w:top w:val="single" w:sz="4" w:space="0" w:color="000000"/>
              <w:left w:val="single" w:sz="4" w:space="0" w:color="000000"/>
              <w:bottom w:val="single" w:sz="4" w:space="0" w:color="000000"/>
              <w:right w:val="single" w:sz="4" w:space="0" w:color="000000"/>
            </w:tcBorders>
          </w:tcPr>
          <w:p w14:paraId="48C0D8FB" w14:textId="77777777" w:rsidR="006F76EB" w:rsidRPr="00834D52" w:rsidRDefault="006F76EB" w:rsidP="00E8196D">
            <w:pPr>
              <w:spacing w:after="120" w:line="240" w:lineRule="auto"/>
              <w:ind w:right="-6"/>
              <w:rPr>
                <w:rFonts w:ascii="Sylfaen" w:hAnsi="Sylfaen"/>
                <w:sz w:val="24"/>
                <w:szCs w:val="24"/>
              </w:rPr>
            </w:pPr>
          </w:p>
        </w:tc>
      </w:tr>
      <w:tr w:rsidR="006F76EB" w:rsidRPr="00834D52" w14:paraId="15A6B581"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20DD4BA1"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4766" w:type="dxa"/>
            <w:tcBorders>
              <w:top w:val="single" w:sz="4" w:space="0" w:color="000000"/>
              <w:left w:val="single" w:sz="4" w:space="0" w:color="000000"/>
              <w:bottom w:val="single" w:sz="4" w:space="0" w:color="000000"/>
              <w:right w:val="single" w:sz="4" w:space="0" w:color="000000"/>
            </w:tcBorders>
          </w:tcPr>
          <w:p w14:paraId="64AB2B3D" w14:textId="77777777" w:rsidR="006F76EB" w:rsidRPr="00834D52" w:rsidRDefault="006F76EB" w:rsidP="00E8196D">
            <w:pPr>
              <w:spacing w:after="120" w:line="240" w:lineRule="auto"/>
              <w:ind w:right="-6"/>
              <w:rPr>
                <w:rFonts w:ascii="Sylfaen" w:hAnsi="Sylfaen"/>
                <w:sz w:val="24"/>
                <w:szCs w:val="24"/>
              </w:rPr>
            </w:pPr>
          </w:p>
        </w:tc>
      </w:tr>
      <w:tr w:rsidR="006F76EB" w:rsidRPr="00834D52" w14:paraId="0A90BEE9" w14:textId="77777777" w:rsidTr="00F71229">
        <w:trPr>
          <w:jc w:val="center"/>
        </w:trPr>
        <w:tc>
          <w:tcPr>
            <w:tcW w:w="4769" w:type="dxa"/>
            <w:tcBorders>
              <w:top w:val="single" w:sz="4" w:space="0" w:color="000000"/>
              <w:left w:val="single" w:sz="4" w:space="0" w:color="000000"/>
              <w:bottom w:val="single" w:sz="4" w:space="0" w:color="000000"/>
              <w:right w:val="single" w:sz="4" w:space="0" w:color="000000"/>
            </w:tcBorders>
          </w:tcPr>
          <w:p w14:paraId="378DD062"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766" w:type="dxa"/>
            <w:tcBorders>
              <w:top w:val="single" w:sz="4" w:space="0" w:color="000000"/>
              <w:left w:val="single" w:sz="4" w:space="0" w:color="000000"/>
              <w:bottom w:val="single" w:sz="4" w:space="0" w:color="000000"/>
              <w:right w:val="single" w:sz="4" w:space="0" w:color="000000"/>
            </w:tcBorders>
          </w:tcPr>
          <w:p w14:paraId="5680141F" w14:textId="77777777" w:rsidR="006F76EB" w:rsidRPr="00834D52" w:rsidRDefault="006F76EB" w:rsidP="00E8196D">
            <w:pPr>
              <w:spacing w:after="120" w:line="240" w:lineRule="auto"/>
              <w:ind w:right="-6"/>
              <w:rPr>
                <w:rFonts w:ascii="Sylfaen" w:hAnsi="Sylfaen"/>
                <w:sz w:val="24"/>
                <w:szCs w:val="24"/>
              </w:rPr>
            </w:pPr>
          </w:p>
        </w:tc>
      </w:tr>
    </w:tbl>
    <w:p w14:paraId="6DF8955B"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Տվյալ կետը լրացնելիս կցե՛ք գրանցման հավաստագրի իրավատիրոջ անունից իրավաբանական նշանակություն ունեցող գործողություններ կատարելու լիազորագիրը (սույն հայտի հավելվածի 4.1 ենթակետ):</w:t>
      </w:r>
    </w:p>
    <w:p w14:paraId="7486C468"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2.4.3.</w:t>
      </w:r>
      <w:r w:rsidRPr="00834D52">
        <w:rPr>
          <w:rFonts w:ascii="Sylfaen" w:hAnsi="Sylfaen"/>
          <w:sz w:val="24"/>
          <w:szCs w:val="24"/>
        </w:rPr>
        <w:tab/>
        <w:t>Դեղապատրաստուկի գրանցումից հետո հայտատուի ներկայացուցիչը (դիմումատուի անունից հանդես եկող անձը), եթե նրանք տարբերվում են սույն հայտի 2.4.2 ենթակետում ներկայացված անձանցից՝</w:t>
      </w:r>
    </w:p>
    <w:tbl>
      <w:tblPr>
        <w:tblW w:w="9395" w:type="dxa"/>
        <w:jc w:val="center"/>
        <w:tblLayout w:type="fixed"/>
        <w:tblCellMar>
          <w:left w:w="0" w:type="dxa"/>
          <w:right w:w="0" w:type="dxa"/>
        </w:tblCellMar>
        <w:tblLook w:val="01E0" w:firstRow="1" w:lastRow="1" w:firstColumn="1" w:lastColumn="1" w:noHBand="0" w:noVBand="0"/>
      </w:tblPr>
      <w:tblGrid>
        <w:gridCol w:w="5125"/>
        <w:gridCol w:w="4270"/>
      </w:tblGrid>
      <w:tr w:rsidR="006F76EB" w:rsidRPr="00834D52" w14:paraId="423E5327" w14:textId="77777777" w:rsidTr="00F71229">
        <w:trPr>
          <w:jc w:val="center"/>
        </w:trPr>
        <w:tc>
          <w:tcPr>
            <w:tcW w:w="5125" w:type="dxa"/>
            <w:tcBorders>
              <w:top w:val="single" w:sz="4" w:space="0" w:color="000000"/>
              <w:left w:val="single" w:sz="4" w:space="0" w:color="000000"/>
              <w:bottom w:val="single" w:sz="4" w:space="0" w:color="000000"/>
              <w:right w:val="single" w:sz="4" w:space="0" w:color="000000"/>
            </w:tcBorders>
          </w:tcPr>
          <w:p w14:paraId="7129CFD3"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հայտատուի ներկայացուցչի ազգանունը, անունը, հայրանունը կամ իրավաբանական անձի անվանումը</w:t>
            </w:r>
          </w:p>
        </w:tc>
        <w:tc>
          <w:tcPr>
            <w:tcW w:w="4270" w:type="dxa"/>
            <w:tcBorders>
              <w:top w:val="single" w:sz="4" w:space="0" w:color="000000"/>
              <w:left w:val="single" w:sz="4" w:space="0" w:color="000000"/>
              <w:bottom w:val="single" w:sz="4" w:space="0" w:color="000000"/>
              <w:right w:val="single" w:sz="4" w:space="0" w:color="000000"/>
            </w:tcBorders>
          </w:tcPr>
          <w:p w14:paraId="6C16D034" w14:textId="77777777" w:rsidR="006F76EB" w:rsidRPr="00834D52" w:rsidRDefault="006F76EB" w:rsidP="00E8196D">
            <w:pPr>
              <w:spacing w:after="120" w:line="240" w:lineRule="auto"/>
              <w:ind w:right="-6"/>
              <w:rPr>
                <w:rFonts w:ascii="Sylfaen" w:hAnsi="Sylfaen"/>
                <w:sz w:val="24"/>
                <w:szCs w:val="24"/>
              </w:rPr>
            </w:pPr>
          </w:p>
        </w:tc>
      </w:tr>
      <w:tr w:rsidR="006F76EB" w:rsidRPr="00834D52" w14:paraId="1E04F778" w14:textId="77777777" w:rsidTr="00F71229">
        <w:trPr>
          <w:jc w:val="center"/>
        </w:trPr>
        <w:tc>
          <w:tcPr>
            <w:tcW w:w="5125" w:type="dxa"/>
            <w:tcBorders>
              <w:top w:val="single" w:sz="4" w:space="0" w:color="000000"/>
              <w:left w:val="single" w:sz="4" w:space="0" w:color="000000"/>
              <w:bottom w:val="single" w:sz="4" w:space="0" w:color="000000"/>
              <w:right w:val="single" w:sz="4" w:space="0" w:color="000000"/>
            </w:tcBorders>
          </w:tcPr>
          <w:p w14:paraId="6C08C72C"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իրավաբանական հասցեն</w:t>
            </w:r>
          </w:p>
        </w:tc>
        <w:tc>
          <w:tcPr>
            <w:tcW w:w="4270" w:type="dxa"/>
            <w:tcBorders>
              <w:top w:val="single" w:sz="4" w:space="0" w:color="000000"/>
              <w:left w:val="single" w:sz="4" w:space="0" w:color="000000"/>
              <w:bottom w:val="single" w:sz="4" w:space="0" w:color="000000"/>
              <w:right w:val="single" w:sz="4" w:space="0" w:color="000000"/>
            </w:tcBorders>
          </w:tcPr>
          <w:p w14:paraId="27CDD22E" w14:textId="77777777" w:rsidR="006F76EB" w:rsidRPr="00834D52" w:rsidRDefault="006F76EB" w:rsidP="00E8196D">
            <w:pPr>
              <w:spacing w:after="120" w:line="240" w:lineRule="auto"/>
              <w:ind w:right="-6"/>
              <w:rPr>
                <w:rFonts w:ascii="Sylfaen" w:hAnsi="Sylfaen"/>
                <w:sz w:val="24"/>
                <w:szCs w:val="24"/>
              </w:rPr>
            </w:pPr>
          </w:p>
        </w:tc>
      </w:tr>
      <w:tr w:rsidR="006F76EB" w:rsidRPr="00834D52" w14:paraId="13342020" w14:textId="77777777" w:rsidTr="00F71229">
        <w:trPr>
          <w:jc w:val="center"/>
        </w:trPr>
        <w:tc>
          <w:tcPr>
            <w:tcW w:w="5125" w:type="dxa"/>
            <w:tcBorders>
              <w:top w:val="single" w:sz="4" w:space="0" w:color="000000"/>
              <w:left w:val="single" w:sz="4" w:space="0" w:color="000000"/>
              <w:bottom w:val="single" w:sz="4" w:space="0" w:color="000000"/>
              <w:right w:val="single" w:sz="4" w:space="0" w:color="000000"/>
            </w:tcBorders>
          </w:tcPr>
          <w:p w14:paraId="3F967862"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երկիրը</w:t>
            </w:r>
          </w:p>
        </w:tc>
        <w:tc>
          <w:tcPr>
            <w:tcW w:w="4270" w:type="dxa"/>
            <w:tcBorders>
              <w:top w:val="single" w:sz="4" w:space="0" w:color="000000"/>
              <w:left w:val="single" w:sz="4" w:space="0" w:color="000000"/>
              <w:bottom w:val="single" w:sz="4" w:space="0" w:color="000000"/>
              <w:right w:val="single" w:sz="4" w:space="0" w:color="000000"/>
            </w:tcBorders>
          </w:tcPr>
          <w:p w14:paraId="0A950D83" w14:textId="77777777" w:rsidR="006F76EB" w:rsidRPr="00834D52" w:rsidRDefault="006F76EB" w:rsidP="00E8196D">
            <w:pPr>
              <w:spacing w:after="120" w:line="240" w:lineRule="auto"/>
              <w:ind w:right="-6"/>
              <w:rPr>
                <w:rFonts w:ascii="Sylfaen" w:hAnsi="Sylfaen"/>
                <w:sz w:val="24"/>
                <w:szCs w:val="24"/>
              </w:rPr>
            </w:pPr>
          </w:p>
        </w:tc>
      </w:tr>
      <w:tr w:rsidR="006F76EB" w:rsidRPr="00834D52" w14:paraId="60094ACC" w14:textId="77777777" w:rsidTr="00F71229">
        <w:trPr>
          <w:jc w:val="center"/>
        </w:trPr>
        <w:tc>
          <w:tcPr>
            <w:tcW w:w="5125" w:type="dxa"/>
            <w:tcBorders>
              <w:top w:val="single" w:sz="4" w:space="0" w:color="000000"/>
              <w:left w:val="single" w:sz="4" w:space="0" w:color="000000"/>
              <w:bottom w:val="single" w:sz="4" w:space="0" w:color="000000"/>
              <w:right w:val="single" w:sz="4" w:space="0" w:color="000000"/>
            </w:tcBorders>
          </w:tcPr>
          <w:p w14:paraId="51C134AE"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4270" w:type="dxa"/>
            <w:tcBorders>
              <w:top w:val="single" w:sz="4" w:space="0" w:color="000000"/>
              <w:left w:val="single" w:sz="4" w:space="0" w:color="000000"/>
              <w:bottom w:val="single" w:sz="4" w:space="0" w:color="000000"/>
              <w:right w:val="single" w:sz="4" w:space="0" w:color="000000"/>
            </w:tcBorders>
          </w:tcPr>
          <w:p w14:paraId="7C0ED4DE" w14:textId="77777777" w:rsidR="006F76EB" w:rsidRPr="00834D52" w:rsidRDefault="006F76EB" w:rsidP="00E8196D">
            <w:pPr>
              <w:spacing w:after="120" w:line="240" w:lineRule="auto"/>
              <w:ind w:right="-6"/>
              <w:rPr>
                <w:rFonts w:ascii="Sylfaen" w:hAnsi="Sylfaen"/>
                <w:sz w:val="24"/>
                <w:szCs w:val="24"/>
              </w:rPr>
            </w:pPr>
          </w:p>
        </w:tc>
      </w:tr>
      <w:tr w:rsidR="006F76EB" w:rsidRPr="00834D52" w14:paraId="7EFA8704" w14:textId="77777777" w:rsidTr="00F71229">
        <w:trPr>
          <w:jc w:val="center"/>
        </w:trPr>
        <w:tc>
          <w:tcPr>
            <w:tcW w:w="5125" w:type="dxa"/>
            <w:tcBorders>
              <w:top w:val="single" w:sz="4" w:space="0" w:color="000000"/>
              <w:left w:val="single" w:sz="4" w:space="0" w:color="000000"/>
              <w:bottom w:val="single" w:sz="4" w:space="0" w:color="000000"/>
              <w:right w:val="single" w:sz="4" w:space="0" w:color="000000"/>
            </w:tcBorders>
          </w:tcPr>
          <w:p w14:paraId="5F876194" w14:textId="77777777" w:rsidR="006F76EB" w:rsidRPr="00834D52" w:rsidRDefault="006F76EB" w:rsidP="00E8196D">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270" w:type="dxa"/>
            <w:tcBorders>
              <w:top w:val="single" w:sz="4" w:space="0" w:color="000000"/>
              <w:left w:val="single" w:sz="4" w:space="0" w:color="000000"/>
              <w:bottom w:val="single" w:sz="4" w:space="0" w:color="000000"/>
              <w:right w:val="single" w:sz="4" w:space="0" w:color="000000"/>
            </w:tcBorders>
          </w:tcPr>
          <w:p w14:paraId="67B75310" w14:textId="77777777" w:rsidR="006F76EB" w:rsidRPr="00834D52" w:rsidRDefault="006F76EB" w:rsidP="00E8196D">
            <w:pPr>
              <w:spacing w:after="120" w:line="240" w:lineRule="auto"/>
              <w:ind w:right="-6"/>
              <w:rPr>
                <w:rFonts w:ascii="Sylfaen" w:hAnsi="Sylfaen"/>
                <w:sz w:val="24"/>
                <w:szCs w:val="24"/>
              </w:rPr>
            </w:pPr>
          </w:p>
        </w:tc>
      </w:tr>
    </w:tbl>
    <w:p w14:paraId="6C1AAE78" w14:textId="77777777" w:rsidR="006F76EB" w:rsidRPr="00834D52" w:rsidRDefault="006F76EB" w:rsidP="006F76EB">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Տվյալ կետը լրացնելիս կցե՛ք լիազորագիրը (սույն հայտի հավելվածի</w:t>
      </w:r>
      <w:r w:rsidRPr="00834D52">
        <w:rPr>
          <w:rFonts w:ascii="Sylfaen" w:hAnsi="Sylfaen"/>
          <w:sz w:val="24"/>
          <w:szCs w:val="24"/>
        </w:rPr>
        <w:br/>
        <w:t>4.1 ենթակետ):</w:t>
      </w:r>
    </w:p>
    <w:p w14:paraId="56A421E9" w14:textId="77777777" w:rsidR="006F76EB" w:rsidRPr="00834D52" w:rsidRDefault="006F76EB" w:rsidP="006F76EB">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2.4.4.</w:t>
      </w:r>
      <w:r w:rsidRPr="00834D52">
        <w:rPr>
          <w:rFonts w:ascii="Sylfaen" w:hAnsi="Sylfaen"/>
          <w:sz w:val="24"/>
          <w:szCs w:val="24"/>
        </w:rPr>
        <w:tab/>
        <w:t>Գրանցման հավաստագրի իրավատիրոջ՝ Եվրասիական տնտեսական միության անդամ պետություններում դեղազգոնության համար պատասխանատու լիազորված անձը՝</w:t>
      </w:r>
    </w:p>
    <w:tbl>
      <w:tblPr>
        <w:tblW w:w="9110" w:type="dxa"/>
        <w:jc w:val="center"/>
        <w:tblLayout w:type="fixed"/>
        <w:tblCellMar>
          <w:left w:w="0" w:type="dxa"/>
          <w:right w:w="0" w:type="dxa"/>
        </w:tblCellMar>
        <w:tblLook w:val="01E0" w:firstRow="1" w:lastRow="1" w:firstColumn="1" w:lastColumn="1" w:noHBand="0" w:noVBand="0"/>
      </w:tblPr>
      <w:tblGrid>
        <w:gridCol w:w="4858"/>
        <w:gridCol w:w="4252"/>
      </w:tblGrid>
      <w:tr w:rsidR="006F76EB" w:rsidRPr="00834D52" w14:paraId="1C8193A4"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71B5CC45"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 հայրանունը</w:t>
            </w:r>
          </w:p>
        </w:tc>
        <w:tc>
          <w:tcPr>
            <w:tcW w:w="4252" w:type="dxa"/>
            <w:tcBorders>
              <w:top w:val="single" w:sz="4" w:space="0" w:color="000000"/>
              <w:left w:val="single" w:sz="4" w:space="0" w:color="000000"/>
              <w:bottom w:val="single" w:sz="4" w:space="0" w:color="000000"/>
              <w:right w:val="single" w:sz="4" w:space="0" w:color="000000"/>
            </w:tcBorders>
          </w:tcPr>
          <w:p w14:paraId="666A7118" w14:textId="77777777" w:rsidR="006F76EB" w:rsidRPr="00834D52" w:rsidRDefault="006F76EB" w:rsidP="000728A0">
            <w:pPr>
              <w:spacing w:after="120" w:line="240" w:lineRule="auto"/>
              <w:ind w:right="-6"/>
              <w:rPr>
                <w:rFonts w:ascii="Sylfaen" w:hAnsi="Sylfaen"/>
                <w:sz w:val="24"/>
                <w:szCs w:val="24"/>
              </w:rPr>
            </w:pPr>
          </w:p>
        </w:tc>
      </w:tr>
      <w:tr w:rsidR="006F76EB" w:rsidRPr="00834D52" w14:paraId="5B1D67BC"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3209BFF7"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անվանումը</w:t>
            </w:r>
          </w:p>
        </w:tc>
        <w:tc>
          <w:tcPr>
            <w:tcW w:w="4252" w:type="dxa"/>
            <w:tcBorders>
              <w:top w:val="single" w:sz="4" w:space="0" w:color="000000"/>
              <w:left w:val="single" w:sz="4" w:space="0" w:color="000000"/>
              <w:bottom w:val="single" w:sz="4" w:space="0" w:color="000000"/>
              <w:right w:val="single" w:sz="4" w:space="0" w:color="000000"/>
            </w:tcBorders>
          </w:tcPr>
          <w:p w14:paraId="3B1621D9" w14:textId="77777777" w:rsidR="006F76EB" w:rsidRPr="00834D52" w:rsidRDefault="006F76EB" w:rsidP="000728A0">
            <w:pPr>
              <w:spacing w:after="120" w:line="240" w:lineRule="auto"/>
              <w:ind w:right="-6"/>
              <w:rPr>
                <w:rFonts w:ascii="Sylfaen" w:hAnsi="Sylfaen"/>
                <w:sz w:val="24"/>
                <w:szCs w:val="24"/>
              </w:rPr>
            </w:pPr>
          </w:p>
        </w:tc>
      </w:tr>
      <w:tr w:rsidR="006F76EB" w:rsidRPr="00834D52" w14:paraId="3F20D69B"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12217256"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իրավաբանական հասցեն</w:t>
            </w:r>
          </w:p>
        </w:tc>
        <w:tc>
          <w:tcPr>
            <w:tcW w:w="4252" w:type="dxa"/>
            <w:tcBorders>
              <w:top w:val="single" w:sz="4" w:space="0" w:color="000000"/>
              <w:left w:val="single" w:sz="4" w:space="0" w:color="000000"/>
              <w:bottom w:val="single" w:sz="4" w:space="0" w:color="000000"/>
              <w:right w:val="single" w:sz="4" w:space="0" w:color="000000"/>
            </w:tcBorders>
          </w:tcPr>
          <w:p w14:paraId="282C1B52" w14:textId="77777777" w:rsidR="006F76EB" w:rsidRPr="00834D52" w:rsidRDefault="006F76EB" w:rsidP="000728A0">
            <w:pPr>
              <w:spacing w:after="120" w:line="240" w:lineRule="auto"/>
              <w:ind w:right="-6"/>
              <w:rPr>
                <w:rFonts w:ascii="Sylfaen" w:hAnsi="Sylfaen"/>
                <w:sz w:val="24"/>
                <w:szCs w:val="24"/>
              </w:rPr>
            </w:pPr>
          </w:p>
        </w:tc>
      </w:tr>
      <w:tr w:rsidR="006F76EB" w:rsidRPr="00834D52" w14:paraId="049594EA"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69D5CC87"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252" w:type="dxa"/>
            <w:tcBorders>
              <w:top w:val="single" w:sz="4" w:space="0" w:color="000000"/>
              <w:left w:val="single" w:sz="4" w:space="0" w:color="000000"/>
              <w:bottom w:val="single" w:sz="4" w:space="0" w:color="000000"/>
              <w:right w:val="single" w:sz="4" w:space="0" w:color="000000"/>
            </w:tcBorders>
          </w:tcPr>
          <w:p w14:paraId="4A14372D" w14:textId="77777777" w:rsidR="006F76EB" w:rsidRPr="00834D52" w:rsidRDefault="006F76EB" w:rsidP="000728A0">
            <w:pPr>
              <w:spacing w:after="120" w:line="240" w:lineRule="auto"/>
              <w:ind w:right="-6"/>
              <w:rPr>
                <w:rFonts w:ascii="Sylfaen" w:hAnsi="Sylfaen"/>
                <w:sz w:val="24"/>
                <w:szCs w:val="24"/>
              </w:rPr>
            </w:pPr>
          </w:p>
        </w:tc>
      </w:tr>
      <w:tr w:rsidR="006F76EB" w:rsidRPr="00834D52" w14:paraId="2481D034"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797E8722"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շուրջօրյա հեռախոսի </w:t>
            </w:r>
            <w:r w:rsidR="00C54D75">
              <w:rPr>
                <w:rFonts w:ascii="Sylfaen" w:hAnsi="Sylfaen"/>
                <w:sz w:val="24"/>
                <w:szCs w:val="24"/>
              </w:rPr>
              <w:t>և</w:t>
            </w:r>
            <w:r w:rsidRPr="00834D52">
              <w:rPr>
                <w:rFonts w:ascii="Sylfaen" w:hAnsi="Sylfaen"/>
                <w:sz w:val="24"/>
                <w:szCs w:val="24"/>
              </w:rPr>
              <w:t xml:space="preserve"> ֆաքսի համարները</w:t>
            </w:r>
          </w:p>
        </w:tc>
        <w:tc>
          <w:tcPr>
            <w:tcW w:w="4252" w:type="dxa"/>
            <w:tcBorders>
              <w:top w:val="single" w:sz="4" w:space="0" w:color="000000"/>
              <w:left w:val="single" w:sz="4" w:space="0" w:color="000000"/>
              <w:bottom w:val="single" w:sz="4" w:space="0" w:color="000000"/>
              <w:right w:val="single" w:sz="4" w:space="0" w:color="000000"/>
            </w:tcBorders>
          </w:tcPr>
          <w:p w14:paraId="0613110D" w14:textId="77777777" w:rsidR="006F76EB" w:rsidRPr="00834D52" w:rsidRDefault="006F76EB" w:rsidP="000728A0">
            <w:pPr>
              <w:spacing w:after="120" w:line="240" w:lineRule="auto"/>
              <w:ind w:right="-6"/>
              <w:rPr>
                <w:rFonts w:ascii="Sylfaen" w:hAnsi="Sylfaen"/>
                <w:sz w:val="24"/>
                <w:szCs w:val="24"/>
              </w:rPr>
            </w:pPr>
          </w:p>
        </w:tc>
      </w:tr>
      <w:tr w:rsidR="006F76EB" w:rsidRPr="00834D52" w14:paraId="6CD2AB7C" w14:textId="77777777" w:rsidTr="00F71229">
        <w:trPr>
          <w:jc w:val="center"/>
        </w:trPr>
        <w:tc>
          <w:tcPr>
            <w:tcW w:w="4858" w:type="dxa"/>
            <w:tcBorders>
              <w:top w:val="single" w:sz="4" w:space="0" w:color="000000"/>
              <w:left w:val="single" w:sz="4" w:space="0" w:color="000000"/>
              <w:bottom w:val="single" w:sz="4" w:space="0" w:color="000000"/>
              <w:right w:val="single" w:sz="4" w:space="0" w:color="000000"/>
            </w:tcBorders>
          </w:tcPr>
          <w:p w14:paraId="231D2260"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252" w:type="dxa"/>
            <w:tcBorders>
              <w:top w:val="single" w:sz="4" w:space="0" w:color="000000"/>
              <w:left w:val="single" w:sz="4" w:space="0" w:color="000000"/>
              <w:bottom w:val="single" w:sz="4" w:space="0" w:color="000000"/>
              <w:right w:val="single" w:sz="4" w:space="0" w:color="000000"/>
            </w:tcBorders>
          </w:tcPr>
          <w:p w14:paraId="2FBC7B4B" w14:textId="77777777" w:rsidR="006F76EB" w:rsidRPr="00834D52" w:rsidRDefault="006F76EB" w:rsidP="000728A0">
            <w:pPr>
              <w:spacing w:after="120" w:line="240" w:lineRule="auto"/>
              <w:ind w:right="-6"/>
              <w:rPr>
                <w:rFonts w:ascii="Sylfaen" w:hAnsi="Sylfaen"/>
                <w:sz w:val="24"/>
                <w:szCs w:val="24"/>
              </w:rPr>
            </w:pPr>
          </w:p>
        </w:tc>
      </w:tr>
    </w:tbl>
    <w:p w14:paraId="69099993"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Նշե՛ք գրանցման հավաստագրի իրավատիրոջ՝ դեղազգոնության համար պատասխանատու լիազորված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w:t>
      </w:r>
    </w:p>
    <w:tbl>
      <w:tblPr>
        <w:tblStyle w:val="TableGrid"/>
        <w:tblW w:w="0" w:type="auto"/>
        <w:jc w:val="center"/>
        <w:tblLook w:val="04A0" w:firstRow="1" w:lastRow="0" w:firstColumn="1" w:lastColumn="0" w:noHBand="0" w:noVBand="1"/>
      </w:tblPr>
      <w:tblGrid>
        <w:gridCol w:w="9036"/>
      </w:tblGrid>
      <w:tr w:rsidR="006F76EB" w:rsidRPr="00834D52" w14:paraId="5A5DF1EB" w14:textId="77777777" w:rsidTr="00F71229">
        <w:trPr>
          <w:jc w:val="center"/>
        </w:trPr>
        <w:tc>
          <w:tcPr>
            <w:tcW w:w="9036" w:type="dxa"/>
          </w:tcPr>
          <w:p w14:paraId="30557B0A" w14:textId="77777777" w:rsidR="006F76EB" w:rsidRPr="00834D52" w:rsidRDefault="006F76EB" w:rsidP="000728A0">
            <w:pPr>
              <w:spacing w:after="120"/>
              <w:ind w:right="-6"/>
              <w:rPr>
                <w:rFonts w:ascii="Sylfaen" w:eastAsia="Times New Roman" w:hAnsi="Sylfaen" w:cs="Times New Roman"/>
                <w:sz w:val="24"/>
                <w:szCs w:val="24"/>
              </w:rPr>
            </w:pPr>
            <w:r w:rsidRPr="00834D52">
              <w:rPr>
                <w:rFonts w:ascii="Sylfaen" w:hAnsi="Sylfaen"/>
                <w:sz w:val="24"/>
                <w:szCs w:val="24"/>
              </w:rPr>
              <w:t>դեղազգոնության մաստեր-ֆայլի վավերապայմանները՝</w:t>
            </w:r>
            <w:r w:rsidRPr="00834D52">
              <w:rPr>
                <w:rFonts w:ascii="Sylfaen" w:hAnsi="Sylfaen"/>
                <w:sz w:val="24"/>
                <w:szCs w:val="24"/>
              </w:rPr>
              <w:br/>
              <w:t>համարը՝</w:t>
            </w:r>
            <w:r w:rsidRPr="00834D52">
              <w:rPr>
                <w:rFonts w:ascii="Sylfaen" w:hAnsi="Sylfaen"/>
                <w:sz w:val="24"/>
                <w:szCs w:val="24"/>
              </w:rPr>
              <w:br/>
              <w:t>գտնվելու վայրի հասցեն՝</w:t>
            </w:r>
          </w:p>
        </w:tc>
      </w:tr>
    </w:tbl>
    <w:p w14:paraId="6116A28E" w14:textId="77777777" w:rsidR="006F76EB" w:rsidRPr="00834D52" w:rsidRDefault="006F76EB" w:rsidP="006F76EB">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2.4.5.</w:t>
      </w:r>
      <w:r w:rsidRPr="00834D52">
        <w:rPr>
          <w:rFonts w:ascii="Sylfaen" w:hAnsi="Sylfaen"/>
          <w:sz w:val="24"/>
          <w:szCs w:val="24"/>
        </w:rPr>
        <w:tab/>
        <w:t>Եվրասիական տնտեսական միության անդամ պետությունում գրանցման հավաստագրի իրավատիրոջ՝ դեղազգոնության իրականացման համար լիազորված անձը, եթե նա տարբերվում է սույն հայտի 2.4.4 կետում նշված անձից՝</w:t>
      </w:r>
    </w:p>
    <w:tbl>
      <w:tblPr>
        <w:tblW w:w="9079" w:type="dxa"/>
        <w:jc w:val="center"/>
        <w:tblLayout w:type="fixed"/>
        <w:tblCellMar>
          <w:left w:w="0" w:type="dxa"/>
          <w:right w:w="0" w:type="dxa"/>
        </w:tblCellMar>
        <w:tblLook w:val="01E0" w:firstRow="1" w:lastRow="1" w:firstColumn="1" w:lastColumn="1" w:noHBand="0" w:noVBand="0"/>
      </w:tblPr>
      <w:tblGrid>
        <w:gridCol w:w="5108"/>
        <w:gridCol w:w="3971"/>
      </w:tblGrid>
      <w:tr w:rsidR="006F76EB" w:rsidRPr="00834D52" w14:paraId="1504AE6B"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3C6707CA"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 հայրանունը</w:t>
            </w:r>
          </w:p>
        </w:tc>
        <w:tc>
          <w:tcPr>
            <w:tcW w:w="3971" w:type="dxa"/>
            <w:tcBorders>
              <w:top w:val="single" w:sz="4" w:space="0" w:color="000000"/>
              <w:left w:val="single" w:sz="4" w:space="0" w:color="000000"/>
              <w:bottom w:val="single" w:sz="4" w:space="0" w:color="000000"/>
              <w:right w:val="single" w:sz="4" w:space="0" w:color="000000"/>
            </w:tcBorders>
          </w:tcPr>
          <w:p w14:paraId="57A2A0EE" w14:textId="77777777" w:rsidR="006F76EB" w:rsidRPr="00834D52" w:rsidRDefault="006F76EB" w:rsidP="000728A0">
            <w:pPr>
              <w:spacing w:after="120" w:line="240" w:lineRule="auto"/>
              <w:ind w:right="-6"/>
              <w:rPr>
                <w:rFonts w:ascii="Sylfaen" w:hAnsi="Sylfaen"/>
                <w:sz w:val="24"/>
                <w:szCs w:val="24"/>
              </w:rPr>
            </w:pPr>
          </w:p>
        </w:tc>
      </w:tr>
      <w:tr w:rsidR="006F76EB" w:rsidRPr="00834D52" w14:paraId="2455E47B"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6FA3FE2F"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t>իրավաբանական անձի (գրանցման հավաստագրի իրավատիրոջ) անվանումը</w:t>
            </w:r>
          </w:p>
        </w:tc>
        <w:tc>
          <w:tcPr>
            <w:tcW w:w="3971" w:type="dxa"/>
            <w:tcBorders>
              <w:top w:val="single" w:sz="4" w:space="0" w:color="000000"/>
              <w:left w:val="single" w:sz="4" w:space="0" w:color="000000"/>
              <w:bottom w:val="single" w:sz="4" w:space="0" w:color="000000"/>
              <w:right w:val="single" w:sz="4" w:space="0" w:color="000000"/>
            </w:tcBorders>
          </w:tcPr>
          <w:p w14:paraId="015B3D93" w14:textId="77777777" w:rsidR="006F76EB" w:rsidRPr="00834D52" w:rsidRDefault="006F76EB" w:rsidP="000728A0">
            <w:pPr>
              <w:spacing w:after="120" w:line="240" w:lineRule="auto"/>
              <w:ind w:right="-6"/>
              <w:rPr>
                <w:rFonts w:ascii="Sylfaen" w:hAnsi="Sylfaen"/>
                <w:sz w:val="24"/>
                <w:szCs w:val="24"/>
              </w:rPr>
            </w:pPr>
          </w:p>
        </w:tc>
      </w:tr>
      <w:tr w:rsidR="006F76EB" w:rsidRPr="00834D52" w14:paraId="207134C4"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0E2AFF61"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lastRenderedPageBreak/>
              <w:t>իրավաբանական անձի հասցեն</w:t>
            </w:r>
          </w:p>
        </w:tc>
        <w:tc>
          <w:tcPr>
            <w:tcW w:w="3971" w:type="dxa"/>
            <w:tcBorders>
              <w:top w:val="single" w:sz="4" w:space="0" w:color="000000"/>
              <w:left w:val="single" w:sz="4" w:space="0" w:color="000000"/>
              <w:bottom w:val="single" w:sz="4" w:space="0" w:color="000000"/>
              <w:right w:val="single" w:sz="4" w:space="0" w:color="000000"/>
            </w:tcBorders>
          </w:tcPr>
          <w:p w14:paraId="2293F02A" w14:textId="77777777" w:rsidR="006F76EB" w:rsidRPr="00834D52" w:rsidRDefault="006F76EB" w:rsidP="000728A0">
            <w:pPr>
              <w:spacing w:after="120" w:line="240" w:lineRule="auto"/>
              <w:ind w:right="-6"/>
              <w:rPr>
                <w:rFonts w:ascii="Sylfaen" w:hAnsi="Sylfaen"/>
                <w:sz w:val="24"/>
                <w:szCs w:val="24"/>
              </w:rPr>
            </w:pPr>
          </w:p>
        </w:tc>
      </w:tr>
      <w:tr w:rsidR="006F76EB" w:rsidRPr="00834D52" w14:paraId="03593D99"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3202198F"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t>պետությունը</w:t>
            </w:r>
          </w:p>
        </w:tc>
        <w:tc>
          <w:tcPr>
            <w:tcW w:w="3971" w:type="dxa"/>
            <w:tcBorders>
              <w:top w:val="single" w:sz="4" w:space="0" w:color="000000"/>
              <w:left w:val="single" w:sz="4" w:space="0" w:color="000000"/>
              <w:bottom w:val="single" w:sz="4" w:space="0" w:color="000000"/>
              <w:right w:val="single" w:sz="4" w:space="0" w:color="000000"/>
            </w:tcBorders>
          </w:tcPr>
          <w:p w14:paraId="159B56AF"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88BC50B"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119CD364"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t xml:space="preserve">շուրջօրյա հեռախոսի </w:t>
            </w:r>
            <w:r w:rsidR="00C54D75">
              <w:rPr>
                <w:rFonts w:ascii="Sylfaen" w:hAnsi="Sylfaen"/>
                <w:sz w:val="24"/>
                <w:szCs w:val="24"/>
              </w:rPr>
              <w:t>և</w:t>
            </w:r>
            <w:r w:rsidRPr="00834D52">
              <w:rPr>
                <w:rFonts w:ascii="Sylfaen" w:hAnsi="Sylfaen"/>
                <w:sz w:val="24"/>
                <w:szCs w:val="24"/>
              </w:rPr>
              <w:t xml:space="preserve"> ֆաքսի համարները</w:t>
            </w:r>
          </w:p>
        </w:tc>
        <w:tc>
          <w:tcPr>
            <w:tcW w:w="3971" w:type="dxa"/>
            <w:tcBorders>
              <w:top w:val="single" w:sz="4" w:space="0" w:color="000000"/>
              <w:left w:val="single" w:sz="4" w:space="0" w:color="000000"/>
              <w:bottom w:val="single" w:sz="4" w:space="0" w:color="000000"/>
              <w:right w:val="single" w:sz="4" w:space="0" w:color="000000"/>
            </w:tcBorders>
          </w:tcPr>
          <w:p w14:paraId="48665305" w14:textId="77777777" w:rsidR="006F76EB" w:rsidRPr="00834D52" w:rsidRDefault="006F76EB" w:rsidP="000728A0">
            <w:pPr>
              <w:spacing w:after="120" w:line="240" w:lineRule="auto"/>
              <w:ind w:right="-6"/>
              <w:rPr>
                <w:rFonts w:ascii="Sylfaen" w:hAnsi="Sylfaen"/>
                <w:sz w:val="24"/>
                <w:szCs w:val="24"/>
              </w:rPr>
            </w:pPr>
          </w:p>
        </w:tc>
      </w:tr>
      <w:tr w:rsidR="006F76EB" w:rsidRPr="00834D52" w14:paraId="73B05DCC" w14:textId="77777777" w:rsidTr="00F71229">
        <w:trPr>
          <w:jc w:val="center"/>
        </w:trPr>
        <w:tc>
          <w:tcPr>
            <w:tcW w:w="5108" w:type="dxa"/>
            <w:tcBorders>
              <w:top w:val="single" w:sz="4" w:space="0" w:color="000000"/>
              <w:left w:val="single" w:sz="4" w:space="0" w:color="000000"/>
              <w:bottom w:val="single" w:sz="4" w:space="0" w:color="000000"/>
              <w:right w:val="single" w:sz="4" w:space="0" w:color="000000"/>
            </w:tcBorders>
          </w:tcPr>
          <w:p w14:paraId="4512E71A" w14:textId="77777777" w:rsidR="006F76EB" w:rsidRPr="00834D52" w:rsidRDefault="006F76EB" w:rsidP="000728A0">
            <w:pPr>
              <w:spacing w:after="120" w:line="240" w:lineRule="auto"/>
              <w:ind w:left="180" w:right="-6"/>
              <w:rPr>
                <w:rFonts w:ascii="Sylfaen" w:hAnsi="Sylfaen"/>
                <w:sz w:val="24"/>
                <w:szCs w:val="24"/>
              </w:rPr>
            </w:pPr>
            <w:r w:rsidRPr="00834D52">
              <w:rPr>
                <w:rFonts w:ascii="Sylfaen" w:hAnsi="Sylfaen"/>
                <w:sz w:val="24"/>
                <w:szCs w:val="24"/>
              </w:rPr>
              <w:t>էլեկտրոնային փոստի հասցեն</w:t>
            </w:r>
          </w:p>
        </w:tc>
        <w:tc>
          <w:tcPr>
            <w:tcW w:w="3971" w:type="dxa"/>
            <w:tcBorders>
              <w:top w:val="single" w:sz="4" w:space="0" w:color="000000"/>
              <w:left w:val="single" w:sz="4" w:space="0" w:color="000000"/>
              <w:bottom w:val="single" w:sz="4" w:space="0" w:color="000000"/>
              <w:right w:val="single" w:sz="4" w:space="0" w:color="000000"/>
            </w:tcBorders>
          </w:tcPr>
          <w:p w14:paraId="01389B74" w14:textId="77777777" w:rsidR="006F76EB" w:rsidRPr="00834D52" w:rsidRDefault="006F76EB" w:rsidP="000728A0">
            <w:pPr>
              <w:spacing w:after="120" w:line="240" w:lineRule="auto"/>
              <w:ind w:right="-6"/>
              <w:rPr>
                <w:rFonts w:ascii="Sylfaen" w:hAnsi="Sylfaen"/>
                <w:sz w:val="24"/>
                <w:szCs w:val="24"/>
              </w:rPr>
            </w:pPr>
          </w:p>
        </w:tc>
      </w:tr>
    </w:tbl>
    <w:p w14:paraId="500B3ED7" w14:textId="77777777" w:rsidR="006F76EB" w:rsidRPr="00834D52" w:rsidRDefault="006F76EB" w:rsidP="006F76EB">
      <w:pPr>
        <w:spacing w:after="160" w:line="360" w:lineRule="auto"/>
        <w:ind w:right="-6" w:firstLine="567"/>
        <w:jc w:val="both"/>
        <w:rPr>
          <w:rFonts w:ascii="Sylfaen" w:hAnsi="Sylfaen"/>
          <w:sz w:val="24"/>
          <w:szCs w:val="24"/>
        </w:rPr>
      </w:pPr>
      <w:r w:rsidRPr="00834D52">
        <w:rPr>
          <w:rFonts w:ascii="Sylfaen" w:hAnsi="Sylfaen"/>
          <w:sz w:val="24"/>
          <w:szCs w:val="24"/>
        </w:rPr>
        <w:t xml:space="preserve">Նշե՛ք Եվրասիական տնտեսական միության անդամ պետությունում դեղազգոնության հարցերով կոնտակտային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 նրա հեռախոսահամարը:</w:t>
      </w:r>
    </w:p>
    <w:p w14:paraId="5A769A7E" w14:textId="77777777" w:rsidR="006F76EB" w:rsidRPr="00834D52" w:rsidRDefault="006F76EB" w:rsidP="000728A0">
      <w:pPr>
        <w:tabs>
          <w:tab w:val="left" w:pos="1134"/>
        </w:tabs>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t>2.5.</w:t>
      </w:r>
      <w:r w:rsidRPr="00834D52">
        <w:rPr>
          <w:rFonts w:ascii="Sylfaen" w:hAnsi="Sylfaen"/>
          <w:sz w:val="24"/>
          <w:szCs w:val="24"/>
        </w:rPr>
        <w:tab/>
        <w:t>Դեղապատրաստուկ արտադրողը</w:t>
      </w:r>
    </w:p>
    <w:p w14:paraId="1311AC31" w14:textId="77777777" w:rsidR="006F76EB" w:rsidRPr="00834D52" w:rsidRDefault="006F76EB" w:rsidP="006F76EB">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2.5.1.</w:t>
      </w:r>
      <w:r w:rsidRPr="00834D52">
        <w:rPr>
          <w:rFonts w:ascii="Sylfaen" w:hAnsi="Sylfaen"/>
          <w:sz w:val="24"/>
          <w:szCs w:val="24"/>
        </w:rPr>
        <w:tab/>
        <w:t xml:space="preserve">Արտադրողը, որը պատասխանատու է դեղապատրաստուկի սերիաների որակի բացթողման հսկողության համար (ինչպես նշված է դեղապատրաստուկի ընդհանուր բնութագրում, ներդիր թերթիկում </w:t>
      </w:r>
      <w:r w:rsidR="00C54D75">
        <w:rPr>
          <w:rFonts w:ascii="Sylfaen" w:hAnsi="Sylfaen"/>
          <w:sz w:val="24"/>
          <w:szCs w:val="24"/>
        </w:rPr>
        <w:t>և</w:t>
      </w:r>
      <w:r w:rsidRPr="00834D52">
        <w:rPr>
          <w:rFonts w:ascii="Sylfaen" w:hAnsi="Sylfaen"/>
          <w:sz w:val="24"/>
          <w:szCs w:val="24"/>
        </w:rPr>
        <w:t xml:space="preserve"> անհրաժեշտության դեպքում՝ մականշվածքում)</w:t>
      </w:r>
    </w:p>
    <w:tbl>
      <w:tblPr>
        <w:tblW w:w="9110" w:type="dxa"/>
        <w:jc w:val="center"/>
        <w:tblLayout w:type="fixed"/>
        <w:tblCellMar>
          <w:left w:w="0" w:type="dxa"/>
          <w:right w:w="0" w:type="dxa"/>
        </w:tblCellMar>
        <w:tblLook w:val="01E0" w:firstRow="1" w:lastRow="1" w:firstColumn="1" w:lastColumn="1" w:noHBand="0" w:noVBand="0"/>
      </w:tblPr>
      <w:tblGrid>
        <w:gridCol w:w="5123"/>
        <w:gridCol w:w="3987"/>
      </w:tblGrid>
      <w:tr w:rsidR="006F76EB" w:rsidRPr="00834D52" w14:paraId="3AE553D1"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2807942A"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3987" w:type="dxa"/>
            <w:tcBorders>
              <w:top w:val="single" w:sz="4" w:space="0" w:color="000000"/>
              <w:left w:val="single" w:sz="4" w:space="0" w:color="000000"/>
              <w:bottom w:val="single" w:sz="4" w:space="0" w:color="000000"/>
              <w:right w:val="single" w:sz="4" w:space="0" w:color="000000"/>
            </w:tcBorders>
          </w:tcPr>
          <w:p w14:paraId="45CBEA39"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1A349A5"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0ACD3ADE"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3987" w:type="dxa"/>
            <w:tcBorders>
              <w:top w:val="single" w:sz="4" w:space="0" w:color="000000"/>
              <w:left w:val="single" w:sz="4" w:space="0" w:color="000000"/>
              <w:bottom w:val="single" w:sz="4" w:space="0" w:color="000000"/>
              <w:right w:val="single" w:sz="4" w:space="0" w:color="000000"/>
            </w:tcBorders>
          </w:tcPr>
          <w:p w14:paraId="7E580420" w14:textId="77777777" w:rsidR="006F76EB" w:rsidRPr="00834D52" w:rsidRDefault="006F76EB" w:rsidP="000728A0">
            <w:pPr>
              <w:spacing w:after="120" w:line="240" w:lineRule="auto"/>
              <w:ind w:right="-6"/>
              <w:rPr>
                <w:rFonts w:ascii="Sylfaen" w:hAnsi="Sylfaen"/>
                <w:sz w:val="24"/>
                <w:szCs w:val="24"/>
              </w:rPr>
            </w:pPr>
          </w:p>
        </w:tc>
      </w:tr>
      <w:tr w:rsidR="006F76EB" w:rsidRPr="00834D52" w14:paraId="5090F915"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404D08E5"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3987" w:type="dxa"/>
            <w:tcBorders>
              <w:top w:val="single" w:sz="4" w:space="0" w:color="000000"/>
              <w:left w:val="single" w:sz="4" w:space="0" w:color="000000"/>
              <w:bottom w:val="single" w:sz="4" w:space="0" w:color="000000"/>
              <w:right w:val="single" w:sz="4" w:space="0" w:color="000000"/>
            </w:tcBorders>
          </w:tcPr>
          <w:p w14:paraId="665B1DBE" w14:textId="77777777" w:rsidR="006F76EB" w:rsidRPr="00834D52" w:rsidRDefault="006F76EB" w:rsidP="000728A0">
            <w:pPr>
              <w:spacing w:after="120" w:line="240" w:lineRule="auto"/>
              <w:ind w:right="-6"/>
              <w:rPr>
                <w:rFonts w:ascii="Sylfaen" w:hAnsi="Sylfaen"/>
                <w:sz w:val="24"/>
                <w:szCs w:val="24"/>
              </w:rPr>
            </w:pPr>
          </w:p>
        </w:tc>
      </w:tr>
      <w:tr w:rsidR="006F76EB" w:rsidRPr="00834D52" w14:paraId="2E2F5DFF"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64B08C85"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3987" w:type="dxa"/>
            <w:tcBorders>
              <w:top w:val="single" w:sz="4" w:space="0" w:color="000000"/>
              <w:left w:val="single" w:sz="4" w:space="0" w:color="000000"/>
              <w:bottom w:val="single" w:sz="4" w:space="0" w:color="000000"/>
              <w:right w:val="single" w:sz="4" w:space="0" w:color="000000"/>
            </w:tcBorders>
          </w:tcPr>
          <w:p w14:paraId="640BA7C0"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409CD12"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6A35D308"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987" w:type="dxa"/>
            <w:tcBorders>
              <w:top w:val="single" w:sz="4" w:space="0" w:color="000000"/>
              <w:left w:val="single" w:sz="4" w:space="0" w:color="000000"/>
              <w:bottom w:val="single" w:sz="4" w:space="0" w:color="000000"/>
              <w:right w:val="single" w:sz="4" w:space="0" w:color="000000"/>
            </w:tcBorders>
          </w:tcPr>
          <w:p w14:paraId="2DEDBA1E" w14:textId="77777777" w:rsidR="006F76EB" w:rsidRPr="00834D52" w:rsidRDefault="006F76EB" w:rsidP="000728A0">
            <w:pPr>
              <w:spacing w:after="120" w:line="240" w:lineRule="auto"/>
              <w:ind w:right="-6"/>
              <w:rPr>
                <w:rFonts w:ascii="Sylfaen" w:hAnsi="Sylfaen"/>
                <w:sz w:val="24"/>
                <w:szCs w:val="24"/>
              </w:rPr>
            </w:pPr>
          </w:p>
        </w:tc>
      </w:tr>
    </w:tbl>
    <w:p w14:paraId="570CD98B" w14:textId="77777777" w:rsidR="006F76EB" w:rsidRPr="00834D52" w:rsidRDefault="006F76EB" w:rsidP="006F76EB">
      <w:pPr>
        <w:tabs>
          <w:tab w:val="left" w:pos="1701"/>
        </w:tabs>
        <w:spacing w:after="160" w:line="348" w:lineRule="auto"/>
        <w:ind w:right="-6" w:firstLine="567"/>
        <w:jc w:val="both"/>
        <w:rPr>
          <w:rFonts w:ascii="Sylfaen" w:hAnsi="Sylfaen"/>
          <w:sz w:val="24"/>
          <w:szCs w:val="24"/>
        </w:rPr>
      </w:pPr>
      <w:r w:rsidRPr="00834D52">
        <w:rPr>
          <w:rFonts w:ascii="Sylfaen" w:hAnsi="Sylfaen"/>
          <w:sz w:val="24"/>
          <w:szCs w:val="24"/>
        </w:rPr>
        <w:t>2.5.2.</w:t>
      </w:r>
      <w:r w:rsidRPr="00834D52">
        <w:rPr>
          <w:rFonts w:ascii="Sylfaen" w:hAnsi="Sylfaen"/>
          <w:sz w:val="24"/>
          <w:szCs w:val="24"/>
        </w:rPr>
        <w:tab/>
        <w:t xml:space="preserve">Արտադրող երկրի՝ արյան պատրաստուկների </w:t>
      </w:r>
      <w:r w:rsidR="00C54D75">
        <w:rPr>
          <w:rFonts w:ascii="Sylfaen" w:hAnsi="Sylfaen"/>
          <w:sz w:val="24"/>
          <w:szCs w:val="24"/>
        </w:rPr>
        <w:t>և</w:t>
      </w:r>
      <w:r w:rsidRPr="00834D52">
        <w:rPr>
          <w:rFonts w:ascii="Sylfaen" w:hAnsi="Sylfaen"/>
          <w:sz w:val="24"/>
          <w:szCs w:val="24"/>
        </w:rPr>
        <w:t xml:space="preserve"> պատվաստանյութերի որակի հսկողության լաբորատորիան, որը պատասխանատու է սերիայի որակի հսկողության (բացթողման) համար</w:t>
      </w:r>
    </w:p>
    <w:tbl>
      <w:tblPr>
        <w:tblW w:w="9121" w:type="dxa"/>
        <w:jc w:val="center"/>
        <w:tblLayout w:type="fixed"/>
        <w:tblCellMar>
          <w:left w:w="0" w:type="dxa"/>
          <w:right w:w="0" w:type="dxa"/>
        </w:tblCellMar>
        <w:tblLook w:val="01E0" w:firstRow="1" w:lastRow="1" w:firstColumn="1" w:lastColumn="1" w:noHBand="0" w:noVBand="0"/>
      </w:tblPr>
      <w:tblGrid>
        <w:gridCol w:w="5129"/>
        <w:gridCol w:w="3992"/>
      </w:tblGrid>
      <w:tr w:rsidR="006F76EB" w:rsidRPr="00834D52" w14:paraId="2731D7E1" w14:textId="77777777" w:rsidTr="00F71229">
        <w:trPr>
          <w:jc w:val="center"/>
        </w:trPr>
        <w:tc>
          <w:tcPr>
            <w:tcW w:w="5129" w:type="dxa"/>
            <w:tcBorders>
              <w:top w:val="single" w:sz="4" w:space="0" w:color="000000"/>
              <w:left w:val="single" w:sz="4" w:space="0" w:color="000000"/>
              <w:bottom w:val="single" w:sz="4" w:space="0" w:color="000000"/>
              <w:right w:val="single" w:sz="4" w:space="0" w:color="000000"/>
            </w:tcBorders>
          </w:tcPr>
          <w:p w14:paraId="23029791"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լաբորատորիայի անվանումը</w:t>
            </w:r>
          </w:p>
        </w:tc>
        <w:tc>
          <w:tcPr>
            <w:tcW w:w="3992" w:type="dxa"/>
            <w:tcBorders>
              <w:top w:val="single" w:sz="4" w:space="0" w:color="000000"/>
              <w:left w:val="single" w:sz="4" w:space="0" w:color="000000"/>
              <w:bottom w:val="single" w:sz="4" w:space="0" w:color="000000"/>
              <w:right w:val="single" w:sz="4" w:space="0" w:color="000000"/>
            </w:tcBorders>
          </w:tcPr>
          <w:p w14:paraId="357D68FF"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571445D" w14:textId="77777777" w:rsidTr="00F71229">
        <w:trPr>
          <w:jc w:val="center"/>
        </w:trPr>
        <w:tc>
          <w:tcPr>
            <w:tcW w:w="5129" w:type="dxa"/>
            <w:tcBorders>
              <w:top w:val="single" w:sz="4" w:space="0" w:color="000000"/>
              <w:left w:val="single" w:sz="4" w:space="0" w:color="000000"/>
              <w:bottom w:val="single" w:sz="4" w:space="0" w:color="000000"/>
              <w:right w:val="single" w:sz="4" w:space="0" w:color="000000"/>
            </w:tcBorders>
          </w:tcPr>
          <w:p w14:paraId="3E339307"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3992" w:type="dxa"/>
            <w:tcBorders>
              <w:top w:val="single" w:sz="4" w:space="0" w:color="000000"/>
              <w:left w:val="single" w:sz="4" w:space="0" w:color="000000"/>
              <w:bottom w:val="single" w:sz="4" w:space="0" w:color="000000"/>
              <w:right w:val="single" w:sz="4" w:space="0" w:color="000000"/>
            </w:tcBorders>
          </w:tcPr>
          <w:p w14:paraId="5B9C4789" w14:textId="77777777" w:rsidR="006F76EB" w:rsidRPr="00834D52" w:rsidRDefault="006F76EB" w:rsidP="000728A0">
            <w:pPr>
              <w:spacing w:after="120" w:line="240" w:lineRule="auto"/>
              <w:ind w:right="-6"/>
              <w:rPr>
                <w:rFonts w:ascii="Sylfaen" w:hAnsi="Sylfaen"/>
                <w:sz w:val="24"/>
                <w:szCs w:val="24"/>
              </w:rPr>
            </w:pPr>
          </w:p>
        </w:tc>
      </w:tr>
      <w:tr w:rsidR="006F76EB" w:rsidRPr="00834D52" w14:paraId="56504AEC" w14:textId="77777777" w:rsidTr="00F71229">
        <w:trPr>
          <w:jc w:val="center"/>
        </w:trPr>
        <w:tc>
          <w:tcPr>
            <w:tcW w:w="5129" w:type="dxa"/>
            <w:tcBorders>
              <w:top w:val="single" w:sz="4" w:space="0" w:color="000000"/>
              <w:left w:val="single" w:sz="4" w:space="0" w:color="000000"/>
              <w:bottom w:val="single" w:sz="4" w:space="0" w:color="000000"/>
              <w:right w:val="single" w:sz="4" w:space="0" w:color="000000"/>
            </w:tcBorders>
          </w:tcPr>
          <w:p w14:paraId="35586559"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3992" w:type="dxa"/>
            <w:tcBorders>
              <w:top w:val="single" w:sz="4" w:space="0" w:color="000000"/>
              <w:left w:val="single" w:sz="4" w:space="0" w:color="000000"/>
              <w:bottom w:val="single" w:sz="4" w:space="0" w:color="000000"/>
              <w:right w:val="single" w:sz="4" w:space="0" w:color="000000"/>
            </w:tcBorders>
          </w:tcPr>
          <w:p w14:paraId="1B34DEB3"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DDD1472" w14:textId="77777777" w:rsidTr="00F71229">
        <w:trPr>
          <w:jc w:val="center"/>
        </w:trPr>
        <w:tc>
          <w:tcPr>
            <w:tcW w:w="5129" w:type="dxa"/>
            <w:tcBorders>
              <w:top w:val="single" w:sz="4" w:space="0" w:color="000000"/>
              <w:left w:val="single" w:sz="4" w:space="0" w:color="000000"/>
              <w:bottom w:val="single" w:sz="4" w:space="0" w:color="000000"/>
              <w:right w:val="single" w:sz="4" w:space="0" w:color="000000"/>
            </w:tcBorders>
          </w:tcPr>
          <w:p w14:paraId="61572E07"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3992" w:type="dxa"/>
            <w:tcBorders>
              <w:top w:val="single" w:sz="4" w:space="0" w:color="000000"/>
              <w:left w:val="single" w:sz="4" w:space="0" w:color="000000"/>
              <w:bottom w:val="single" w:sz="4" w:space="0" w:color="000000"/>
              <w:right w:val="single" w:sz="4" w:space="0" w:color="000000"/>
            </w:tcBorders>
          </w:tcPr>
          <w:p w14:paraId="688DAAC4" w14:textId="77777777" w:rsidR="006F76EB" w:rsidRPr="00834D52" w:rsidRDefault="006F76EB" w:rsidP="000728A0">
            <w:pPr>
              <w:spacing w:after="120" w:line="240" w:lineRule="auto"/>
              <w:ind w:right="-6"/>
              <w:rPr>
                <w:rFonts w:ascii="Sylfaen" w:hAnsi="Sylfaen"/>
                <w:sz w:val="24"/>
                <w:szCs w:val="24"/>
              </w:rPr>
            </w:pPr>
          </w:p>
        </w:tc>
      </w:tr>
      <w:tr w:rsidR="006F76EB" w:rsidRPr="00834D52" w14:paraId="5BBDEF8D" w14:textId="77777777" w:rsidTr="00F71229">
        <w:trPr>
          <w:jc w:val="center"/>
        </w:trPr>
        <w:tc>
          <w:tcPr>
            <w:tcW w:w="5129" w:type="dxa"/>
            <w:tcBorders>
              <w:top w:val="single" w:sz="4" w:space="0" w:color="000000"/>
              <w:left w:val="single" w:sz="4" w:space="0" w:color="000000"/>
              <w:bottom w:val="single" w:sz="4" w:space="0" w:color="000000"/>
              <w:right w:val="single" w:sz="4" w:space="0" w:color="000000"/>
            </w:tcBorders>
          </w:tcPr>
          <w:p w14:paraId="45661AD4"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992" w:type="dxa"/>
            <w:tcBorders>
              <w:top w:val="single" w:sz="4" w:space="0" w:color="000000"/>
              <w:left w:val="single" w:sz="4" w:space="0" w:color="000000"/>
              <w:bottom w:val="single" w:sz="4" w:space="0" w:color="000000"/>
              <w:right w:val="single" w:sz="4" w:space="0" w:color="000000"/>
            </w:tcBorders>
          </w:tcPr>
          <w:p w14:paraId="79200071" w14:textId="77777777" w:rsidR="006F76EB" w:rsidRPr="00834D52" w:rsidRDefault="006F76EB" w:rsidP="000728A0">
            <w:pPr>
              <w:spacing w:after="120" w:line="240" w:lineRule="auto"/>
              <w:ind w:right="-6"/>
              <w:rPr>
                <w:rFonts w:ascii="Sylfaen" w:hAnsi="Sylfaen"/>
                <w:sz w:val="24"/>
                <w:szCs w:val="24"/>
              </w:rPr>
            </w:pPr>
          </w:p>
        </w:tc>
      </w:tr>
    </w:tbl>
    <w:p w14:paraId="209BE1D8" w14:textId="77777777" w:rsidR="000728A0" w:rsidRDefault="000728A0" w:rsidP="006F76EB">
      <w:pPr>
        <w:tabs>
          <w:tab w:val="left" w:pos="1701"/>
        </w:tabs>
        <w:spacing w:after="160" w:line="348" w:lineRule="auto"/>
        <w:ind w:right="-6" w:firstLine="567"/>
        <w:jc w:val="both"/>
        <w:rPr>
          <w:rFonts w:ascii="Sylfaen" w:hAnsi="Sylfaen"/>
          <w:sz w:val="24"/>
          <w:szCs w:val="24"/>
          <w:lang w:val="en-US"/>
        </w:rPr>
      </w:pPr>
    </w:p>
    <w:p w14:paraId="1733EB58" w14:textId="77777777" w:rsidR="006F76EB" w:rsidRPr="00834D52" w:rsidRDefault="006F76EB" w:rsidP="006F76EB">
      <w:pPr>
        <w:tabs>
          <w:tab w:val="left" w:pos="1701"/>
        </w:tabs>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2.5.3.</w:t>
      </w:r>
      <w:r w:rsidRPr="00834D52">
        <w:rPr>
          <w:rFonts w:ascii="Sylfaen" w:hAnsi="Sylfaen"/>
          <w:sz w:val="24"/>
          <w:szCs w:val="24"/>
        </w:rPr>
        <w:tab/>
        <w:t>Եվրասիական տնտեսական միության շրջանակներում բողոքագրերի հետ աշխատանքի համար պատասխանատու կազմակերպությունը (յուրաքանչյուր պետության համար (առկայության դեպքում))</w:t>
      </w:r>
    </w:p>
    <w:tbl>
      <w:tblPr>
        <w:tblW w:w="9110" w:type="dxa"/>
        <w:jc w:val="center"/>
        <w:tblLayout w:type="fixed"/>
        <w:tblCellMar>
          <w:left w:w="0" w:type="dxa"/>
          <w:right w:w="0" w:type="dxa"/>
        </w:tblCellMar>
        <w:tblLook w:val="01E0" w:firstRow="1" w:lastRow="1" w:firstColumn="1" w:lastColumn="1" w:noHBand="0" w:noVBand="0"/>
      </w:tblPr>
      <w:tblGrid>
        <w:gridCol w:w="5123"/>
        <w:gridCol w:w="3987"/>
      </w:tblGrid>
      <w:tr w:rsidR="006F76EB" w:rsidRPr="00834D52" w14:paraId="0F4E132E"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3DD85A92"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3987" w:type="dxa"/>
            <w:tcBorders>
              <w:top w:val="single" w:sz="4" w:space="0" w:color="000000"/>
              <w:left w:val="single" w:sz="4" w:space="0" w:color="000000"/>
              <w:bottom w:val="single" w:sz="4" w:space="0" w:color="000000"/>
              <w:right w:val="single" w:sz="4" w:space="0" w:color="000000"/>
            </w:tcBorders>
          </w:tcPr>
          <w:p w14:paraId="30177772" w14:textId="77777777" w:rsidR="006F76EB" w:rsidRPr="00834D52" w:rsidRDefault="006F76EB" w:rsidP="000728A0">
            <w:pPr>
              <w:spacing w:after="120" w:line="240" w:lineRule="auto"/>
              <w:ind w:right="-6"/>
              <w:rPr>
                <w:rFonts w:ascii="Sylfaen" w:hAnsi="Sylfaen"/>
                <w:sz w:val="24"/>
                <w:szCs w:val="24"/>
              </w:rPr>
            </w:pPr>
          </w:p>
        </w:tc>
      </w:tr>
      <w:tr w:rsidR="006F76EB" w:rsidRPr="00834D52" w14:paraId="1B79586C"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4142791E"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գտնվելու վայրը</w:t>
            </w:r>
          </w:p>
        </w:tc>
        <w:tc>
          <w:tcPr>
            <w:tcW w:w="3987" w:type="dxa"/>
            <w:tcBorders>
              <w:top w:val="single" w:sz="4" w:space="0" w:color="000000"/>
              <w:left w:val="single" w:sz="4" w:space="0" w:color="000000"/>
              <w:bottom w:val="single" w:sz="4" w:space="0" w:color="000000"/>
              <w:right w:val="single" w:sz="4" w:space="0" w:color="000000"/>
            </w:tcBorders>
          </w:tcPr>
          <w:p w14:paraId="2E2D5096" w14:textId="77777777" w:rsidR="006F76EB" w:rsidRPr="00834D52" w:rsidRDefault="006F76EB" w:rsidP="000728A0">
            <w:pPr>
              <w:spacing w:after="120" w:line="240" w:lineRule="auto"/>
              <w:ind w:right="-6"/>
              <w:rPr>
                <w:rFonts w:ascii="Sylfaen" w:hAnsi="Sylfaen"/>
                <w:sz w:val="24"/>
                <w:szCs w:val="24"/>
              </w:rPr>
            </w:pPr>
          </w:p>
        </w:tc>
      </w:tr>
      <w:tr w:rsidR="006F76EB" w:rsidRPr="00834D52" w14:paraId="5797C905"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1941D71E"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երկիրը</w:t>
            </w:r>
          </w:p>
        </w:tc>
        <w:tc>
          <w:tcPr>
            <w:tcW w:w="3987" w:type="dxa"/>
            <w:tcBorders>
              <w:top w:val="single" w:sz="4" w:space="0" w:color="000000"/>
              <w:left w:val="single" w:sz="4" w:space="0" w:color="000000"/>
              <w:bottom w:val="single" w:sz="4" w:space="0" w:color="000000"/>
              <w:right w:val="single" w:sz="4" w:space="0" w:color="000000"/>
            </w:tcBorders>
          </w:tcPr>
          <w:p w14:paraId="0DE65000" w14:textId="77777777" w:rsidR="006F76EB" w:rsidRPr="00834D52" w:rsidRDefault="006F76EB" w:rsidP="000728A0">
            <w:pPr>
              <w:spacing w:after="120" w:line="240" w:lineRule="auto"/>
              <w:ind w:right="-6"/>
              <w:rPr>
                <w:rFonts w:ascii="Sylfaen" w:hAnsi="Sylfaen"/>
                <w:sz w:val="24"/>
                <w:szCs w:val="24"/>
              </w:rPr>
            </w:pPr>
          </w:p>
        </w:tc>
      </w:tr>
      <w:tr w:rsidR="006F76EB" w:rsidRPr="00834D52" w14:paraId="66788C10"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7507A76B"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շուրջօրյա հեռախոսի </w:t>
            </w:r>
            <w:r w:rsidR="00C54D75">
              <w:rPr>
                <w:rFonts w:ascii="Sylfaen" w:hAnsi="Sylfaen"/>
                <w:sz w:val="24"/>
                <w:szCs w:val="24"/>
              </w:rPr>
              <w:t>և</w:t>
            </w:r>
            <w:r w:rsidRPr="00834D52">
              <w:rPr>
                <w:rFonts w:ascii="Sylfaen" w:hAnsi="Sylfaen"/>
                <w:sz w:val="24"/>
                <w:szCs w:val="24"/>
              </w:rPr>
              <w:t xml:space="preserve"> ֆաքսի համարները</w:t>
            </w:r>
          </w:p>
        </w:tc>
        <w:tc>
          <w:tcPr>
            <w:tcW w:w="3987" w:type="dxa"/>
            <w:tcBorders>
              <w:top w:val="single" w:sz="4" w:space="0" w:color="000000"/>
              <w:left w:val="single" w:sz="4" w:space="0" w:color="000000"/>
              <w:bottom w:val="single" w:sz="4" w:space="0" w:color="000000"/>
              <w:right w:val="single" w:sz="4" w:space="0" w:color="000000"/>
            </w:tcBorders>
          </w:tcPr>
          <w:p w14:paraId="41AEB592" w14:textId="77777777" w:rsidR="006F76EB" w:rsidRPr="00834D52" w:rsidRDefault="006F76EB" w:rsidP="000728A0">
            <w:pPr>
              <w:spacing w:after="120" w:line="240" w:lineRule="auto"/>
              <w:ind w:right="-6"/>
              <w:rPr>
                <w:rFonts w:ascii="Sylfaen" w:hAnsi="Sylfaen"/>
                <w:sz w:val="24"/>
                <w:szCs w:val="24"/>
              </w:rPr>
            </w:pPr>
          </w:p>
        </w:tc>
      </w:tr>
      <w:tr w:rsidR="006F76EB" w:rsidRPr="00834D52" w14:paraId="66261ACA" w14:textId="77777777" w:rsidTr="00F71229">
        <w:trPr>
          <w:jc w:val="center"/>
        </w:trPr>
        <w:tc>
          <w:tcPr>
            <w:tcW w:w="5123" w:type="dxa"/>
            <w:tcBorders>
              <w:top w:val="single" w:sz="4" w:space="0" w:color="000000"/>
              <w:left w:val="single" w:sz="4" w:space="0" w:color="000000"/>
              <w:bottom w:val="single" w:sz="4" w:space="0" w:color="000000"/>
              <w:right w:val="single" w:sz="4" w:space="0" w:color="000000"/>
            </w:tcBorders>
          </w:tcPr>
          <w:p w14:paraId="39A21C7A" w14:textId="77777777" w:rsidR="006F76EB" w:rsidRPr="00834D52" w:rsidRDefault="006F76EB" w:rsidP="000728A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987" w:type="dxa"/>
            <w:tcBorders>
              <w:top w:val="single" w:sz="4" w:space="0" w:color="000000"/>
              <w:left w:val="single" w:sz="4" w:space="0" w:color="000000"/>
              <w:bottom w:val="single" w:sz="4" w:space="0" w:color="000000"/>
              <w:right w:val="single" w:sz="4" w:space="0" w:color="000000"/>
            </w:tcBorders>
          </w:tcPr>
          <w:p w14:paraId="1B2B45EB" w14:textId="77777777" w:rsidR="006F76EB" w:rsidRPr="00834D52" w:rsidRDefault="006F76EB" w:rsidP="000728A0">
            <w:pPr>
              <w:spacing w:after="120" w:line="240" w:lineRule="auto"/>
              <w:ind w:right="-6"/>
              <w:rPr>
                <w:rFonts w:ascii="Sylfaen" w:hAnsi="Sylfaen"/>
                <w:sz w:val="24"/>
                <w:szCs w:val="24"/>
              </w:rPr>
            </w:pPr>
          </w:p>
        </w:tc>
      </w:tr>
    </w:tbl>
    <w:p w14:paraId="5EDEB017" w14:textId="77777777" w:rsidR="006F76EB" w:rsidRPr="00834D52" w:rsidRDefault="006F76EB" w:rsidP="006F76EB">
      <w:pPr>
        <w:tabs>
          <w:tab w:val="left" w:pos="1701"/>
        </w:tabs>
        <w:spacing w:after="160" w:line="348" w:lineRule="auto"/>
        <w:ind w:right="-8" w:firstLine="567"/>
        <w:rPr>
          <w:rFonts w:ascii="Sylfaen" w:eastAsia="Times New Roman" w:hAnsi="Sylfaen" w:cs="Times New Roman"/>
          <w:sz w:val="24"/>
          <w:szCs w:val="24"/>
        </w:rPr>
      </w:pPr>
      <w:r w:rsidRPr="00834D52">
        <w:rPr>
          <w:rFonts w:ascii="Sylfaen" w:hAnsi="Sylfaen"/>
          <w:sz w:val="24"/>
          <w:szCs w:val="24"/>
        </w:rPr>
        <w:t>2.5.4.</w:t>
      </w:r>
      <w:r w:rsidRPr="00834D52">
        <w:rPr>
          <w:rFonts w:ascii="Sylfaen" w:hAnsi="Sylfaen"/>
          <w:sz w:val="24"/>
          <w:szCs w:val="24"/>
        </w:rPr>
        <w:tab/>
        <w:t xml:space="preserve">Դեղապատրաստուկ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20165419" w14:textId="77777777" w:rsidR="006F76EB" w:rsidRPr="00834D52" w:rsidRDefault="006F76EB" w:rsidP="006F76EB">
      <w:pPr>
        <w:spacing w:after="160" w:line="348"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(ներառյալ լուծիչների) արտադրության գործընթացին մասնակցող բոլոր արտադրական հարթակները՝ նշելով արտադրական գործընթացի փուլերը՝</w:t>
      </w:r>
    </w:p>
    <w:tbl>
      <w:tblPr>
        <w:tblStyle w:val="TableGrid"/>
        <w:tblW w:w="0" w:type="auto"/>
        <w:jc w:val="center"/>
        <w:tblLook w:val="04A0" w:firstRow="1" w:lastRow="0" w:firstColumn="1" w:lastColumn="0" w:noHBand="0" w:noVBand="1"/>
      </w:tblPr>
      <w:tblGrid>
        <w:gridCol w:w="5080"/>
        <w:gridCol w:w="3986"/>
      </w:tblGrid>
      <w:tr w:rsidR="006F76EB" w:rsidRPr="00834D52" w14:paraId="66F16942" w14:textId="77777777" w:rsidTr="00F71229">
        <w:trPr>
          <w:jc w:val="center"/>
        </w:trPr>
        <w:tc>
          <w:tcPr>
            <w:tcW w:w="5080" w:type="dxa"/>
          </w:tcPr>
          <w:p w14:paraId="13A51295" w14:textId="77777777" w:rsidR="006F76EB" w:rsidRPr="00834D52" w:rsidRDefault="006F76EB" w:rsidP="006D210C">
            <w:pPr>
              <w:spacing w:after="120"/>
              <w:ind w:right="-6"/>
              <w:rPr>
                <w:rFonts w:ascii="Sylfaen" w:eastAsia="Times New Roman" w:hAnsi="Sylfaen" w:cs="Times New Roman"/>
                <w:sz w:val="24"/>
                <w:szCs w:val="24"/>
              </w:rPr>
            </w:pPr>
            <w:r w:rsidRPr="00834D52">
              <w:rPr>
                <w:rFonts w:ascii="Sylfaen" w:hAnsi="Sylfaen"/>
                <w:sz w:val="24"/>
                <w:szCs w:val="24"/>
              </w:rPr>
              <w:t>արտադրական գործընթացի փուլի անվանումը</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իրավաբանական անձի անվանումը*</w:t>
            </w:r>
          </w:p>
        </w:tc>
        <w:tc>
          <w:tcPr>
            <w:tcW w:w="3986" w:type="dxa"/>
          </w:tcPr>
          <w:p w14:paraId="3EC6AD41" w14:textId="77777777" w:rsidR="006F76EB" w:rsidRPr="00834D52" w:rsidRDefault="006F76EB" w:rsidP="006D210C">
            <w:pPr>
              <w:spacing w:after="120"/>
              <w:ind w:right="-6"/>
              <w:rPr>
                <w:rFonts w:ascii="Sylfaen" w:eastAsia="Times New Roman" w:hAnsi="Sylfaen" w:cs="Times New Roman"/>
                <w:sz w:val="24"/>
                <w:szCs w:val="24"/>
              </w:rPr>
            </w:pPr>
          </w:p>
        </w:tc>
      </w:tr>
      <w:tr w:rsidR="006F76EB" w:rsidRPr="00834D52" w14:paraId="5BBCFA66" w14:textId="77777777" w:rsidTr="00F71229">
        <w:trPr>
          <w:jc w:val="center"/>
        </w:trPr>
        <w:tc>
          <w:tcPr>
            <w:tcW w:w="5080" w:type="dxa"/>
          </w:tcPr>
          <w:p w14:paraId="565FF03A" w14:textId="77777777" w:rsidR="006F76EB" w:rsidRPr="00834D52" w:rsidRDefault="006F76EB" w:rsidP="006D210C">
            <w:pPr>
              <w:spacing w:after="120"/>
              <w:ind w:right="-6"/>
              <w:rPr>
                <w:rFonts w:ascii="Sylfaen" w:eastAsia="Times New Roman" w:hAnsi="Sylfaen" w:cs="Times New Roman"/>
                <w:sz w:val="24"/>
                <w:szCs w:val="24"/>
              </w:rPr>
            </w:pPr>
            <w:r w:rsidRPr="00834D52">
              <w:rPr>
                <w:rFonts w:ascii="Sylfaen" w:hAnsi="Sylfaen"/>
                <w:sz w:val="24"/>
                <w:szCs w:val="24"/>
              </w:rPr>
              <w:footnoteReference w:customMarkFollows="1" w:id="2"/>
              <w:t>գործունեության իրականացման վայրի հասցեն*</w:t>
            </w:r>
          </w:p>
        </w:tc>
        <w:tc>
          <w:tcPr>
            <w:tcW w:w="3986" w:type="dxa"/>
          </w:tcPr>
          <w:p w14:paraId="398FC673" w14:textId="77777777" w:rsidR="006F76EB" w:rsidRPr="00834D52" w:rsidRDefault="006F76EB" w:rsidP="006D210C">
            <w:pPr>
              <w:spacing w:after="120"/>
              <w:ind w:right="-6"/>
              <w:rPr>
                <w:rFonts w:ascii="Sylfaen" w:eastAsia="Times New Roman" w:hAnsi="Sylfaen" w:cs="Times New Roman"/>
                <w:sz w:val="24"/>
                <w:szCs w:val="24"/>
              </w:rPr>
            </w:pPr>
          </w:p>
        </w:tc>
      </w:tr>
      <w:tr w:rsidR="006F76EB" w:rsidRPr="00834D52" w14:paraId="194134E6" w14:textId="77777777" w:rsidTr="00F71229">
        <w:trPr>
          <w:jc w:val="center"/>
        </w:trPr>
        <w:tc>
          <w:tcPr>
            <w:tcW w:w="5080" w:type="dxa"/>
          </w:tcPr>
          <w:p w14:paraId="7BDF05F9" w14:textId="77777777" w:rsidR="006F76EB" w:rsidRPr="00834D52" w:rsidRDefault="006F76EB" w:rsidP="006D210C">
            <w:pPr>
              <w:spacing w:after="120"/>
              <w:ind w:right="-6"/>
              <w:rPr>
                <w:rFonts w:ascii="Sylfaen" w:eastAsia="Times New Roman" w:hAnsi="Sylfaen" w:cs="Times New Roman"/>
                <w:sz w:val="24"/>
                <w:szCs w:val="24"/>
              </w:rPr>
            </w:pPr>
            <w:r w:rsidRPr="00834D52">
              <w:rPr>
                <w:rFonts w:ascii="Sylfaen" w:hAnsi="Sylfaen"/>
                <w:sz w:val="24"/>
                <w:szCs w:val="24"/>
              </w:rPr>
              <w:t>պետությունը*</w:t>
            </w:r>
          </w:p>
        </w:tc>
        <w:tc>
          <w:tcPr>
            <w:tcW w:w="3986" w:type="dxa"/>
          </w:tcPr>
          <w:p w14:paraId="35F52961" w14:textId="77777777" w:rsidR="006F76EB" w:rsidRPr="00834D52" w:rsidRDefault="006F76EB" w:rsidP="006D210C">
            <w:pPr>
              <w:spacing w:after="120"/>
              <w:ind w:right="-6"/>
              <w:rPr>
                <w:rFonts w:ascii="Sylfaen" w:eastAsia="Times New Roman" w:hAnsi="Sylfaen" w:cs="Times New Roman"/>
                <w:sz w:val="24"/>
                <w:szCs w:val="24"/>
              </w:rPr>
            </w:pPr>
          </w:p>
        </w:tc>
      </w:tr>
      <w:tr w:rsidR="006F76EB" w:rsidRPr="00834D52" w14:paraId="60EF1028" w14:textId="77777777" w:rsidTr="00F71229">
        <w:trPr>
          <w:jc w:val="center"/>
        </w:trPr>
        <w:tc>
          <w:tcPr>
            <w:tcW w:w="5080" w:type="dxa"/>
          </w:tcPr>
          <w:p w14:paraId="75971A0B" w14:textId="77777777" w:rsidR="006F76EB" w:rsidRPr="00834D52" w:rsidRDefault="006F76EB" w:rsidP="006D210C">
            <w:pPr>
              <w:spacing w:after="120"/>
              <w:ind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3986" w:type="dxa"/>
          </w:tcPr>
          <w:p w14:paraId="40CF0491" w14:textId="77777777" w:rsidR="006F76EB" w:rsidRPr="00834D52" w:rsidRDefault="006F76EB" w:rsidP="006D210C">
            <w:pPr>
              <w:spacing w:after="120"/>
              <w:ind w:right="-6"/>
              <w:rPr>
                <w:rFonts w:ascii="Sylfaen" w:eastAsia="Times New Roman" w:hAnsi="Sylfaen" w:cs="Times New Roman"/>
                <w:sz w:val="24"/>
                <w:szCs w:val="24"/>
              </w:rPr>
            </w:pPr>
          </w:p>
        </w:tc>
      </w:tr>
      <w:tr w:rsidR="006F76EB" w:rsidRPr="00834D52" w14:paraId="7EB37ADB" w14:textId="77777777" w:rsidTr="00F71229">
        <w:trPr>
          <w:jc w:val="center"/>
        </w:trPr>
        <w:tc>
          <w:tcPr>
            <w:tcW w:w="5080" w:type="dxa"/>
          </w:tcPr>
          <w:p w14:paraId="4E4BB46F" w14:textId="77777777" w:rsidR="006F76EB" w:rsidRPr="00834D52" w:rsidRDefault="006F76EB" w:rsidP="006D210C">
            <w:pPr>
              <w:spacing w:after="120"/>
              <w:ind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986" w:type="dxa"/>
          </w:tcPr>
          <w:p w14:paraId="4955E15D" w14:textId="77777777" w:rsidR="006F76EB" w:rsidRPr="00834D52" w:rsidRDefault="006F76EB" w:rsidP="006D210C">
            <w:pPr>
              <w:spacing w:after="120"/>
              <w:ind w:right="-6"/>
              <w:rPr>
                <w:rFonts w:ascii="Sylfaen" w:eastAsia="Times New Roman" w:hAnsi="Sylfaen" w:cs="Times New Roman"/>
                <w:sz w:val="24"/>
                <w:szCs w:val="24"/>
              </w:rPr>
            </w:pPr>
          </w:p>
        </w:tc>
      </w:tr>
    </w:tbl>
    <w:p w14:paraId="467D2E1A"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անցկացվել է Եվրասիական տնտեսական միության պատշաճ արտադրական գործունեության կանոնների պահպանման մասով հարթակի տեսչական ստուգում Եվրասիական տնտեսական միության անդամ պետության լիազորված մարմնի կողմից՝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DB1EC48" w14:textId="77777777" w:rsidTr="00F71229">
        <w:trPr>
          <w:jc w:val="center"/>
        </w:trPr>
        <w:tc>
          <w:tcPr>
            <w:tcW w:w="1560" w:type="dxa"/>
          </w:tcPr>
          <w:p w14:paraId="4B5E6FBD"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F6FF335">
                <v:rect id="_x0000_s1082" style="position:absolute;left:0;text-align:left;margin-left:8.25pt;margin-top:4.05pt;width:12.75pt;height:12pt;z-index:251574784"/>
              </w:pict>
            </w:r>
            <w:r w:rsidR="006F76EB" w:rsidRPr="00834D52">
              <w:rPr>
                <w:rFonts w:ascii="Sylfaen" w:hAnsi="Sylfaen"/>
                <w:sz w:val="24"/>
                <w:szCs w:val="24"/>
              </w:rPr>
              <w:t>ոչ</w:t>
            </w:r>
          </w:p>
        </w:tc>
        <w:tc>
          <w:tcPr>
            <w:tcW w:w="1559" w:type="dxa"/>
          </w:tcPr>
          <w:p w14:paraId="00F18CC4"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04D23BFB">
                <v:rect id="_x0000_s1129" style="position:absolute;left:0;text-align:left;margin-left:.5pt;margin-top:4.05pt;width:12.75pt;height:12pt;z-index:251575808;mso-position-horizontal-relative:text;mso-position-vertical-relative:text"/>
              </w:pict>
            </w:r>
            <w:r w:rsidR="006F76EB" w:rsidRPr="00834D52">
              <w:rPr>
                <w:rFonts w:ascii="Sylfaen" w:hAnsi="Sylfaen"/>
                <w:sz w:val="24"/>
                <w:szCs w:val="24"/>
              </w:rPr>
              <w:t>այո</w:t>
            </w:r>
          </w:p>
        </w:tc>
      </w:tr>
    </w:tbl>
    <w:p w14:paraId="3DC25F06" w14:textId="77777777" w:rsidR="006F76EB" w:rsidRPr="00834D52" w:rsidRDefault="006F76EB" w:rsidP="006F76EB">
      <w:pPr>
        <w:spacing w:after="160" w:line="360" w:lineRule="auto"/>
        <w:ind w:right="-8"/>
        <w:jc w:val="both"/>
        <w:rPr>
          <w:rFonts w:ascii="Sylfaen" w:eastAsia="Times New Roman" w:hAnsi="Sylfaen" w:cs="Times New Roman"/>
          <w:sz w:val="24"/>
          <w:szCs w:val="24"/>
        </w:rPr>
      </w:pPr>
    </w:p>
    <w:p w14:paraId="64C43874"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 նշե՛ք՝</w:t>
      </w:r>
    </w:p>
    <w:tbl>
      <w:tblPr>
        <w:tblW w:w="9636" w:type="dxa"/>
        <w:jc w:val="center"/>
        <w:tblLayout w:type="fixed"/>
        <w:tblCellMar>
          <w:left w:w="0" w:type="dxa"/>
          <w:right w:w="0" w:type="dxa"/>
        </w:tblCellMar>
        <w:tblLook w:val="01E0" w:firstRow="1" w:lastRow="1" w:firstColumn="1" w:lastColumn="1" w:noHBand="0" w:noVBand="0"/>
      </w:tblPr>
      <w:tblGrid>
        <w:gridCol w:w="5141"/>
        <w:gridCol w:w="2835"/>
        <w:gridCol w:w="851"/>
        <w:gridCol w:w="809"/>
      </w:tblGrid>
      <w:tr w:rsidR="006F76EB" w:rsidRPr="00834D52" w14:paraId="4A75461B"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56B69AB9" w14:textId="77777777" w:rsidR="006F76EB" w:rsidRPr="00834D52" w:rsidRDefault="006F76EB" w:rsidP="006D210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4495" w:type="dxa"/>
            <w:gridSpan w:val="3"/>
            <w:tcBorders>
              <w:top w:val="single" w:sz="4" w:space="0" w:color="000000"/>
              <w:left w:val="single" w:sz="4" w:space="0" w:color="000000"/>
              <w:bottom w:val="single" w:sz="4" w:space="0" w:color="000000"/>
              <w:right w:val="single" w:sz="4" w:space="0" w:color="000000"/>
            </w:tcBorders>
          </w:tcPr>
          <w:p w14:paraId="365A8A38" w14:textId="77777777" w:rsidR="006F76EB" w:rsidRPr="00834D52" w:rsidRDefault="006F76EB" w:rsidP="004F2439">
            <w:pPr>
              <w:spacing w:after="120" w:line="240" w:lineRule="auto"/>
              <w:ind w:right="-6"/>
              <w:rPr>
                <w:rFonts w:ascii="Sylfaen" w:hAnsi="Sylfaen"/>
                <w:sz w:val="24"/>
                <w:szCs w:val="24"/>
              </w:rPr>
            </w:pPr>
          </w:p>
        </w:tc>
      </w:tr>
      <w:tr w:rsidR="006F76EB" w:rsidRPr="00834D52" w14:paraId="7C9CCDF4"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100F69C1" w14:textId="77777777" w:rsidR="006F76EB" w:rsidRPr="00834D52" w:rsidRDefault="006F76EB" w:rsidP="006D210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Ստուգում անցկացրած լիազորված մարմնի անվանումը</w:t>
            </w:r>
          </w:p>
        </w:tc>
        <w:tc>
          <w:tcPr>
            <w:tcW w:w="4495" w:type="dxa"/>
            <w:gridSpan w:val="3"/>
            <w:tcBorders>
              <w:top w:val="single" w:sz="4" w:space="0" w:color="000000"/>
              <w:left w:val="single" w:sz="4" w:space="0" w:color="000000"/>
              <w:bottom w:val="single" w:sz="4" w:space="0" w:color="000000"/>
              <w:right w:val="single" w:sz="4" w:space="0" w:color="000000"/>
            </w:tcBorders>
          </w:tcPr>
          <w:p w14:paraId="3A58D2D3" w14:textId="77777777" w:rsidR="006F76EB" w:rsidRPr="00834D52" w:rsidRDefault="006F76EB" w:rsidP="004F2439">
            <w:pPr>
              <w:spacing w:after="120" w:line="240" w:lineRule="auto"/>
              <w:ind w:right="-6"/>
              <w:rPr>
                <w:rFonts w:ascii="Sylfaen" w:hAnsi="Sylfaen"/>
                <w:sz w:val="24"/>
                <w:szCs w:val="24"/>
              </w:rPr>
            </w:pPr>
          </w:p>
        </w:tc>
      </w:tr>
      <w:tr w:rsidR="006F76EB" w:rsidRPr="00834D52" w14:paraId="6BA846F4"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2695F9A9" w14:textId="77777777" w:rsidR="006F76EB" w:rsidRPr="00834D52" w:rsidRDefault="006F76EB" w:rsidP="006D210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4495" w:type="dxa"/>
            <w:gridSpan w:val="3"/>
            <w:tcBorders>
              <w:top w:val="single" w:sz="4" w:space="0" w:color="000000"/>
              <w:left w:val="single" w:sz="4" w:space="0" w:color="000000"/>
              <w:bottom w:val="single" w:sz="4" w:space="0" w:color="000000"/>
              <w:right w:val="single" w:sz="4" w:space="0" w:color="000000"/>
            </w:tcBorders>
          </w:tcPr>
          <w:p w14:paraId="62979126" w14:textId="77777777" w:rsidR="006F76EB" w:rsidRPr="00834D52" w:rsidRDefault="006F76EB" w:rsidP="004F2439">
            <w:pPr>
              <w:spacing w:after="120" w:line="240" w:lineRule="auto"/>
              <w:ind w:right="-6"/>
              <w:rPr>
                <w:rFonts w:ascii="Sylfaen" w:hAnsi="Sylfaen"/>
                <w:sz w:val="24"/>
                <w:szCs w:val="24"/>
              </w:rPr>
            </w:pPr>
          </w:p>
        </w:tc>
      </w:tr>
      <w:tr w:rsidR="006F76EB" w:rsidRPr="00834D52" w14:paraId="3EA8F56C"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31B6EAEA" w14:textId="77777777" w:rsidR="006F76EB" w:rsidRPr="00834D52" w:rsidRDefault="006F76EB" w:rsidP="006D210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ստուգվող դեղապատրաստուկների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br/>
              <w:t>ԱԴԲ-ի կատեգորիան</w:t>
            </w:r>
          </w:p>
        </w:tc>
        <w:tc>
          <w:tcPr>
            <w:tcW w:w="4495" w:type="dxa"/>
            <w:gridSpan w:val="3"/>
            <w:tcBorders>
              <w:top w:val="single" w:sz="4" w:space="0" w:color="000000"/>
              <w:left w:val="single" w:sz="4" w:space="0" w:color="000000"/>
              <w:bottom w:val="single" w:sz="4" w:space="0" w:color="auto"/>
              <w:right w:val="single" w:sz="4" w:space="0" w:color="000000"/>
            </w:tcBorders>
          </w:tcPr>
          <w:p w14:paraId="515ED89E" w14:textId="77777777" w:rsidR="006F76EB" w:rsidRPr="00834D52" w:rsidRDefault="006F76EB" w:rsidP="004F2439">
            <w:pPr>
              <w:spacing w:after="120" w:line="240" w:lineRule="auto"/>
              <w:ind w:right="-6"/>
              <w:rPr>
                <w:rFonts w:ascii="Sylfaen" w:hAnsi="Sylfaen"/>
                <w:sz w:val="24"/>
                <w:szCs w:val="24"/>
              </w:rPr>
            </w:pPr>
          </w:p>
        </w:tc>
      </w:tr>
      <w:tr w:rsidR="006F76EB" w:rsidRPr="00834D52" w14:paraId="43F28363" w14:textId="77777777" w:rsidTr="00F71229">
        <w:trPr>
          <w:jc w:val="center"/>
        </w:trPr>
        <w:tc>
          <w:tcPr>
            <w:tcW w:w="5141" w:type="dxa"/>
            <w:tcBorders>
              <w:top w:val="single" w:sz="4" w:space="0" w:color="000000"/>
              <w:left w:val="single" w:sz="4" w:space="0" w:color="000000"/>
              <w:bottom w:val="single" w:sz="4" w:space="0" w:color="000000"/>
              <w:right w:val="single" w:sz="4" w:space="0" w:color="auto"/>
            </w:tcBorders>
          </w:tcPr>
          <w:p w14:paraId="72DC09C5" w14:textId="77777777" w:rsidR="006F76EB" w:rsidRPr="00834D52" w:rsidRDefault="006F76EB" w:rsidP="006D210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2835" w:type="dxa"/>
            <w:tcBorders>
              <w:top w:val="single" w:sz="4" w:space="0" w:color="auto"/>
              <w:left w:val="single" w:sz="4" w:space="0" w:color="auto"/>
              <w:bottom w:val="single" w:sz="4" w:space="0" w:color="auto"/>
            </w:tcBorders>
          </w:tcPr>
          <w:p w14:paraId="7E6FCD17" w14:textId="77777777" w:rsidR="006F76EB" w:rsidRPr="00834D52" w:rsidRDefault="00157FD9" w:rsidP="006D210C">
            <w:pPr>
              <w:spacing w:after="120" w:line="240" w:lineRule="auto"/>
              <w:ind w:left="42" w:right="-6"/>
              <w:rPr>
                <w:rFonts w:ascii="Sylfaen" w:eastAsia="Times New Roman" w:hAnsi="Sylfaen" w:cs="Times New Roman"/>
                <w:sz w:val="24"/>
                <w:szCs w:val="24"/>
              </w:rPr>
            </w:pPr>
            <w:r>
              <w:rPr>
                <w:rFonts w:ascii="Sylfaen" w:hAnsi="Sylfaen"/>
                <w:noProof/>
                <w:sz w:val="24"/>
                <w:szCs w:val="24"/>
              </w:rPr>
              <w:pict w14:anchorId="1053CC40">
                <v:rect id="_x0000_s1084" style="position:absolute;left:0;text-align:left;margin-left:139.9pt;margin-top:2.2pt;width:12.75pt;height:12pt;z-index:251576832;mso-position-horizontal-relative:text;mso-position-vertical-relative:text"/>
              </w:pict>
            </w:r>
            <w:r w:rsidR="006F76EB" w:rsidRPr="00834D52">
              <w:rPr>
                <w:rFonts w:ascii="Sylfaen" w:hAnsi="Sylfaen"/>
                <w:sz w:val="24"/>
                <w:szCs w:val="24"/>
              </w:rPr>
              <w:t>համապատասխանում է՝</w:t>
            </w:r>
          </w:p>
        </w:tc>
        <w:tc>
          <w:tcPr>
            <w:tcW w:w="851" w:type="dxa"/>
            <w:tcBorders>
              <w:top w:val="single" w:sz="4" w:space="0" w:color="auto"/>
              <w:bottom w:val="single" w:sz="4" w:space="0" w:color="auto"/>
            </w:tcBorders>
          </w:tcPr>
          <w:p w14:paraId="221BD562" w14:textId="77777777" w:rsidR="006F76EB" w:rsidRPr="00834D52" w:rsidRDefault="00157FD9" w:rsidP="006D210C">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79CF7256">
                <v:rect id="_x0000_s1083" style="position:absolute;left:0;text-align:left;margin-left:37.9pt;margin-top:2.2pt;width:12.75pt;height:12pt;z-index:251577856;mso-position-horizontal-relative:text;mso-position-vertical-relative:text"/>
              </w:pict>
            </w:r>
            <w:r w:rsidR="006F76EB" w:rsidRPr="00834D52">
              <w:rPr>
                <w:rFonts w:ascii="Sylfaen" w:hAnsi="Sylfaen"/>
                <w:sz w:val="24"/>
                <w:szCs w:val="24"/>
              </w:rPr>
              <w:t>ոչ</w:t>
            </w:r>
          </w:p>
        </w:tc>
        <w:tc>
          <w:tcPr>
            <w:tcW w:w="809" w:type="dxa"/>
            <w:tcBorders>
              <w:top w:val="single" w:sz="4" w:space="0" w:color="auto"/>
              <w:bottom w:val="single" w:sz="4" w:space="0" w:color="auto"/>
              <w:right w:val="single" w:sz="4" w:space="0" w:color="auto"/>
            </w:tcBorders>
          </w:tcPr>
          <w:p w14:paraId="20D5C4FB" w14:textId="77777777" w:rsidR="006F76EB" w:rsidRPr="00834D52" w:rsidRDefault="006F76EB" w:rsidP="006D210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այո</w:t>
            </w:r>
          </w:p>
        </w:tc>
      </w:tr>
    </w:tbl>
    <w:p w14:paraId="49A73B4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կատարվել է պատշաճ արտադրական գործունեության պահանջների պահպանման մասով հարթակի տեսչական ստուգում այլ պետության լիազորված մարմնի կողմից՝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7DA44E65" w14:textId="77777777" w:rsidTr="00F71229">
        <w:trPr>
          <w:jc w:val="center"/>
        </w:trPr>
        <w:tc>
          <w:tcPr>
            <w:tcW w:w="1560" w:type="dxa"/>
          </w:tcPr>
          <w:p w14:paraId="2F99726D"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6624B33">
                <v:rect id="_x0000_s1130" style="position:absolute;left:0;text-align:left;margin-left:8.25pt;margin-top:4.05pt;width:12.75pt;height:12pt;z-index:251578880"/>
              </w:pict>
            </w:r>
            <w:r w:rsidR="006F76EB" w:rsidRPr="00834D52">
              <w:rPr>
                <w:rFonts w:ascii="Sylfaen" w:hAnsi="Sylfaen"/>
                <w:sz w:val="24"/>
                <w:szCs w:val="24"/>
              </w:rPr>
              <w:t>ոչ</w:t>
            </w:r>
          </w:p>
        </w:tc>
        <w:tc>
          <w:tcPr>
            <w:tcW w:w="1559" w:type="dxa"/>
          </w:tcPr>
          <w:p w14:paraId="2CC78775"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23EBA40B">
                <v:rect id="_x0000_s1131" style="position:absolute;left:0;text-align:left;margin-left:.5pt;margin-top:4.05pt;width:12.75pt;height:12pt;z-index:251579904;mso-position-horizontal-relative:text;mso-position-vertical-relative:text"/>
              </w:pict>
            </w:r>
            <w:r w:rsidR="006F76EB" w:rsidRPr="00834D52">
              <w:rPr>
                <w:rFonts w:ascii="Sylfaen" w:hAnsi="Sylfaen"/>
                <w:sz w:val="24"/>
                <w:szCs w:val="24"/>
              </w:rPr>
              <w:t>այո</w:t>
            </w:r>
          </w:p>
        </w:tc>
      </w:tr>
    </w:tbl>
    <w:p w14:paraId="2360700E"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 նշե՛ք՝</w:t>
      </w:r>
    </w:p>
    <w:tbl>
      <w:tblPr>
        <w:tblW w:w="9636" w:type="dxa"/>
        <w:jc w:val="center"/>
        <w:tblLayout w:type="fixed"/>
        <w:tblCellMar>
          <w:left w:w="0" w:type="dxa"/>
          <w:right w:w="0" w:type="dxa"/>
        </w:tblCellMar>
        <w:tblLook w:val="01E0" w:firstRow="1" w:lastRow="1" w:firstColumn="1" w:lastColumn="1" w:noHBand="0" w:noVBand="0"/>
      </w:tblPr>
      <w:tblGrid>
        <w:gridCol w:w="5141"/>
        <w:gridCol w:w="2835"/>
        <w:gridCol w:w="851"/>
        <w:gridCol w:w="809"/>
      </w:tblGrid>
      <w:tr w:rsidR="006F76EB" w:rsidRPr="00834D52" w14:paraId="2F5AF20A"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45B78A33" w14:textId="77777777" w:rsidR="006F76EB" w:rsidRPr="00834D52" w:rsidRDefault="006F76EB" w:rsidP="006A0AAC">
            <w:pPr>
              <w:spacing w:after="120" w:line="240" w:lineRule="auto"/>
              <w:ind w:left="180" w:right="-6"/>
              <w:rPr>
                <w:rFonts w:ascii="Sylfaen" w:hAnsi="Sylfaen"/>
                <w:sz w:val="24"/>
                <w:szCs w:val="24"/>
              </w:rPr>
            </w:pPr>
            <w:r w:rsidRPr="00834D52">
              <w:rPr>
                <w:rFonts w:ascii="Sylfaen" w:hAnsi="Sylfaen"/>
                <w:sz w:val="24"/>
                <w:szCs w:val="24"/>
              </w:rPr>
              <w:t>վերջին տեսչական ստուգման ամսաթիվը</w:t>
            </w:r>
          </w:p>
        </w:tc>
        <w:tc>
          <w:tcPr>
            <w:tcW w:w="4495" w:type="dxa"/>
            <w:gridSpan w:val="3"/>
            <w:tcBorders>
              <w:top w:val="single" w:sz="4" w:space="0" w:color="000000"/>
              <w:left w:val="single" w:sz="4" w:space="0" w:color="000000"/>
              <w:bottom w:val="single" w:sz="4" w:space="0" w:color="000000"/>
              <w:right w:val="single" w:sz="4" w:space="0" w:color="000000"/>
            </w:tcBorders>
          </w:tcPr>
          <w:p w14:paraId="2D3D9A73" w14:textId="77777777" w:rsidR="006F76EB" w:rsidRPr="00834D52" w:rsidRDefault="006F76EB" w:rsidP="006A0AAC">
            <w:pPr>
              <w:spacing w:after="120" w:line="240" w:lineRule="auto"/>
              <w:ind w:right="-6"/>
              <w:rPr>
                <w:rFonts w:ascii="Sylfaen" w:hAnsi="Sylfaen"/>
                <w:sz w:val="24"/>
                <w:szCs w:val="24"/>
              </w:rPr>
            </w:pPr>
          </w:p>
        </w:tc>
      </w:tr>
      <w:tr w:rsidR="006F76EB" w:rsidRPr="00834D52" w14:paraId="5A47974A"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4F042F51" w14:textId="77777777" w:rsidR="006F76EB" w:rsidRPr="00834D52" w:rsidRDefault="006F76EB" w:rsidP="006A0AAC">
            <w:pPr>
              <w:spacing w:after="120" w:line="240" w:lineRule="auto"/>
              <w:ind w:left="180" w:right="-6"/>
              <w:rPr>
                <w:rFonts w:ascii="Sylfaen" w:hAnsi="Sylfaen"/>
                <w:sz w:val="24"/>
                <w:szCs w:val="24"/>
              </w:rPr>
            </w:pPr>
            <w:r w:rsidRPr="00834D52">
              <w:rPr>
                <w:rFonts w:ascii="Sylfaen" w:hAnsi="Sylfaen"/>
                <w:sz w:val="24"/>
                <w:szCs w:val="24"/>
              </w:rPr>
              <w:t>Ստուգում անցկացրած լիազորված մարմնի անվանումը</w:t>
            </w:r>
          </w:p>
        </w:tc>
        <w:tc>
          <w:tcPr>
            <w:tcW w:w="4495" w:type="dxa"/>
            <w:gridSpan w:val="3"/>
            <w:tcBorders>
              <w:top w:val="single" w:sz="4" w:space="0" w:color="000000"/>
              <w:left w:val="single" w:sz="4" w:space="0" w:color="000000"/>
              <w:bottom w:val="single" w:sz="4" w:space="0" w:color="000000"/>
              <w:right w:val="single" w:sz="4" w:space="0" w:color="000000"/>
            </w:tcBorders>
          </w:tcPr>
          <w:p w14:paraId="6E980D6A" w14:textId="77777777" w:rsidR="006F76EB" w:rsidRPr="00834D52" w:rsidRDefault="006F76EB" w:rsidP="006A0AAC">
            <w:pPr>
              <w:spacing w:after="120" w:line="240" w:lineRule="auto"/>
              <w:ind w:right="-6"/>
              <w:rPr>
                <w:rFonts w:ascii="Sylfaen" w:hAnsi="Sylfaen"/>
                <w:sz w:val="24"/>
                <w:szCs w:val="24"/>
              </w:rPr>
            </w:pPr>
          </w:p>
        </w:tc>
      </w:tr>
      <w:tr w:rsidR="006F76EB" w:rsidRPr="00834D52" w14:paraId="27A4FA32"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0783CE6C" w14:textId="77777777" w:rsidR="006F76EB" w:rsidRPr="00834D52" w:rsidRDefault="006F76EB" w:rsidP="006A0AAC">
            <w:pPr>
              <w:spacing w:after="120" w:line="240" w:lineRule="auto"/>
              <w:ind w:left="180" w:right="-6"/>
              <w:rPr>
                <w:rFonts w:ascii="Sylfaen" w:hAnsi="Sylfaen"/>
                <w:sz w:val="24"/>
                <w:szCs w:val="24"/>
              </w:rPr>
            </w:pPr>
            <w:r w:rsidRPr="00834D52">
              <w:rPr>
                <w:rFonts w:ascii="Sylfaen" w:hAnsi="Sylfaen"/>
                <w:sz w:val="24"/>
                <w:szCs w:val="24"/>
              </w:rPr>
              <w:t>տեսչական ստուգման տեսակը</w:t>
            </w:r>
          </w:p>
        </w:tc>
        <w:tc>
          <w:tcPr>
            <w:tcW w:w="4495" w:type="dxa"/>
            <w:gridSpan w:val="3"/>
            <w:tcBorders>
              <w:top w:val="single" w:sz="4" w:space="0" w:color="000000"/>
              <w:left w:val="single" w:sz="4" w:space="0" w:color="000000"/>
              <w:bottom w:val="single" w:sz="4" w:space="0" w:color="000000"/>
              <w:right w:val="single" w:sz="4" w:space="0" w:color="000000"/>
            </w:tcBorders>
          </w:tcPr>
          <w:p w14:paraId="6692C539" w14:textId="77777777" w:rsidR="006F76EB" w:rsidRPr="00834D52" w:rsidRDefault="006F76EB" w:rsidP="006A0AAC">
            <w:pPr>
              <w:spacing w:after="120" w:line="240" w:lineRule="auto"/>
              <w:ind w:right="-6"/>
              <w:rPr>
                <w:rFonts w:ascii="Sylfaen" w:hAnsi="Sylfaen"/>
                <w:sz w:val="24"/>
                <w:szCs w:val="24"/>
              </w:rPr>
            </w:pPr>
          </w:p>
        </w:tc>
      </w:tr>
      <w:tr w:rsidR="006F76EB" w:rsidRPr="00834D52" w14:paraId="3B1AD3FB"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7F1F0582" w14:textId="77777777" w:rsidR="006F76EB" w:rsidRPr="00834D52" w:rsidRDefault="006F76EB" w:rsidP="006A0AAC">
            <w:pPr>
              <w:spacing w:after="120" w:line="240" w:lineRule="auto"/>
              <w:ind w:left="180" w:right="-6"/>
              <w:rPr>
                <w:rFonts w:ascii="Sylfaen" w:hAnsi="Sylfaen"/>
                <w:sz w:val="24"/>
                <w:szCs w:val="24"/>
              </w:rPr>
            </w:pPr>
            <w:r w:rsidRPr="00834D52">
              <w:rPr>
                <w:rFonts w:ascii="Sylfaen" w:hAnsi="Sylfaen"/>
                <w:sz w:val="24"/>
                <w:szCs w:val="24"/>
              </w:rPr>
              <w:t xml:space="preserve">ստուգվող դեղապատրաստուկների </w:t>
            </w:r>
            <w:r w:rsidR="00C54D75">
              <w:rPr>
                <w:rFonts w:ascii="Sylfaen" w:hAnsi="Sylfaen"/>
                <w:sz w:val="24"/>
                <w:szCs w:val="24"/>
              </w:rPr>
              <w:t>և</w:t>
            </w:r>
            <w:r w:rsidRPr="00834D52">
              <w:rPr>
                <w:rFonts w:ascii="Sylfaen" w:hAnsi="Sylfaen"/>
                <w:sz w:val="24"/>
                <w:szCs w:val="24"/>
              </w:rPr>
              <w:t xml:space="preserve"> ԱԴԲ-ի կատեգորիան</w:t>
            </w:r>
          </w:p>
        </w:tc>
        <w:tc>
          <w:tcPr>
            <w:tcW w:w="4495" w:type="dxa"/>
            <w:gridSpan w:val="3"/>
            <w:tcBorders>
              <w:top w:val="single" w:sz="4" w:space="0" w:color="000000"/>
              <w:left w:val="single" w:sz="4" w:space="0" w:color="000000"/>
              <w:bottom w:val="single" w:sz="4" w:space="0" w:color="000000"/>
              <w:right w:val="single" w:sz="4" w:space="0" w:color="000000"/>
            </w:tcBorders>
          </w:tcPr>
          <w:p w14:paraId="64235904" w14:textId="77777777" w:rsidR="006F76EB" w:rsidRPr="00834D52" w:rsidRDefault="006F76EB" w:rsidP="006A0AAC">
            <w:pPr>
              <w:spacing w:after="120" w:line="240" w:lineRule="auto"/>
              <w:ind w:right="-6"/>
              <w:rPr>
                <w:rFonts w:ascii="Sylfaen" w:hAnsi="Sylfaen"/>
                <w:sz w:val="24"/>
                <w:szCs w:val="24"/>
              </w:rPr>
            </w:pPr>
          </w:p>
        </w:tc>
      </w:tr>
      <w:tr w:rsidR="006F76EB" w:rsidRPr="00834D52" w14:paraId="0C893BD9" w14:textId="77777777" w:rsidTr="00F71229">
        <w:trPr>
          <w:jc w:val="center"/>
        </w:trPr>
        <w:tc>
          <w:tcPr>
            <w:tcW w:w="5141" w:type="dxa"/>
            <w:tcBorders>
              <w:top w:val="single" w:sz="4" w:space="0" w:color="000000"/>
              <w:left w:val="single" w:sz="4" w:space="0" w:color="000000"/>
              <w:bottom w:val="single" w:sz="4" w:space="0" w:color="000000"/>
              <w:right w:val="single" w:sz="4" w:space="0" w:color="auto"/>
            </w:tcBorders>
          </w:tcPr>
          <w:p w14:paraId="0F4322BF"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2835" w:type="dxa"/>
            <w:tcBorders>
              <w:top w:val="single" w:sz="4" w:space="0" w:color="auto"/>
              <w:left w:val="single" w:sz="4" w:space="0" w:color="auto"/>
              <w:bottom w:val="single" w:sz="4" w:space="0" w:color="auto"/>
            </w:tcBorders>
          </w:tcPr>
          <w:p w14:paraId="1D98B5B5" w14:textId="77777777" w:rsidR="006F76EB" w:rsidRPr="00834D52" w:rsidRDefault="00157FD9" w:rsidP="006A0AAC">
            <w:pPr>
              <w:spacing w:after="120" w:line="240" w:lineRule="auto"/>
              <w:ind w:left="56" w:right="-6"/>
              <w:rPr>
                <w:rFonts w:ascii="Sylfaen" w:eastAsia="Times New Roman" w:hAnsi="Sylfaen" w:cs="Times New Roman"/>
                <w:sz w:val="24"/>
                <w:szCs w:val="24"/>
              </w:rPr>
            </w:pPr>
            <w:r>
              <w:rPr>
                <w:rFonts w:ascii="Sylfaen" w:hAnsi="Sylfaen"/>
                <w:noProof/>
                <w:sz w:val="24"/>
                <w:szCs w:val="24"/>
              </w:rPr>
              <w:pict w14:anchorId="2200FC89">
                <v:rect id="_x0000_s1133" style="position:absolute;left:0;text-align:left;margin-left:139.9pt;margin-top:2.2pt;width:12.75pt;height:12pt;z-index:251580928;mso-position-horizontal-relative:text;mso-position-vertical-relative:text"/>
              </w:pict>
            </w:r>
            <w:r w:rsidR="006F76EB" w:rsidRPr="00834D52">
              <w:rPr>
                <w:rFonts w:ascii="Sylfaen" w:hAnsi="Sylfaen"/>
                <w:sz w:val="24"/>
                <w:szCs w:val="24"/>
              </w:rPr>
              <w:t>համապատասխանում է՝</w:t>
            </w:r>
          </w:p>
        </w:tc>
        <w:tc>
          <w:tcPr>
            <w:tcW w:w="851" w:type="dxa"/>
            <w:tcBorders>
              <w:top w:val="single" w:sz="4" w:space="0" w:color="auto"/>
              <w:bottom w:val="single" w:sz="4" w:space="0" w:color="auto"/>
            </w:tcBorders>
          </w:tcPr>
          <w:p w14:paraId="067F9CB3" w14:textId="77777777" w:rsidR="006F76EB" w:rsidRPr="00834D52" w:rsidRDefault="00157FD9" w:rsidP="006A0AAC">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1AE4D2A3">
                <v:rect id="_x0000_s1132" style="position:absolute;left:0;text-align:left;margin-left:37.9pt;margin-top:2.2pt;width:12.75pt;height:12pt;z-index:251581952;mso-position-horizontal-relative:text;mso-position-vertical-relative:text"/>
              </w:pict>
            </w:r>
            <w:r w:rsidR="006F76EB" w:rsidRPr="00834D52">
              <w:rPr>
                <w:rFonts w:ascii="Sylfaen" w:hAnsi="Sylfaen"/>
                <w:sz w:val="24"/>
                <w:szCs w:val="24"/>
              </w:rPr>
              <w:t>ոչ</w:t>
            </w:r>
          </w:p>
        </w:tc>
        <w:tc>
          <w:tcPr>
            <w:tcW w:w="809" w:type="dxa"/>
            <w:tcBorders>
              <w:top w:val="single" w:sz="4" w:space="0" w:color="auto"/>
              <w:bottom w:val="single" w:sz="4" w:space="0" w:color="auto"/>
              <w:right w:val="single" w:sz="4" w:space="0" w:color="auto"/>
            </w:tcBorders>
          </w:tcPr>
          <w:p w14:paraId="68AB3E7D" w14:textId="77777777" w:rsidR="006F76EB" w:rsidRPr="00834D52" w:rsidRDefault="006F76EB" w:rsidP="006A0AA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այո</w:t>
            </w:r>
          </w:p>
        </w:tc>
      </w:tr>
    </w:tbl>
    <w:p w14:paraId="07C99FAB"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2.5.5.</w:t>
      </w:r>
      <w:r w:rsidRPr="00834D52">
        <w:rPr>
          <w:rFonts w:ascii="Sylfaen" w:hAnsi="Sylfaen"/>
          <w:sz w:val="24"/>
          <w:szCs w:val="24"/>
        </w:rPr>
        <w:tab/>
        <w:t xml:space="preserve">ԱԴԲ-ի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5CFF209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Յուրաքանչյուր ԱԴԲ-ի արտադրության գործընթացին մասնակցող բոլոր արտադրական հարթակները՝ նշելով արտադրության փուլը: Կենսաբանական դեղապատրաստուկների դեպքում պետք է թվարկվեն բջիջների գլխավոր </w:t>
      </w:r>
      <w:r w:rsidR="00C54D75">
        <w:rPr>
          <w:rFonts w:ascii="Sylfaen" w:hAnsi="Sylfaen"/>
          <w:sz w:val="24"/>
          <w:szCs w:val="24"/>
        </w:rPr>
        <w:t>և</w:t>
      </w:r>
      <w:r w:rsidRPr="00834D52">
        <w:rPr>
          <w:rFonts w:ascii="Sylfaen" w:hAnsi="Sylfaen"/>
          <w:sz w:val="24"/>
          <w:szCs w:val="24"/>
        </w:rPr>
        <w:t xml:space="preserve"> աշխատանքային բանկերի պահպանում իրականացնող բոլոր հարթակները </w:t>
      </w:r>
      <w:r w:rsidR="00C54D75">
        <w:rPr>
          <w:rFonts w:ascii="Sylfaen" w:hAnsi="Sylfaen"/>
          <w:sz w:val="24"/>
          <w:szCs w:val="24"/>
        </w:rPr>
        <w:t>և</w:t>
      </w:r>
      <w:r w:rsidRPr="00834D52">
        <w:rPr>
          <w:rFonts w:ascii="Sylfaen" w:hAnsi="Sylfaen"/>
          <w:sz w:val="24"/>
          <w:szCs w:val="24"/>
        </w:rPr>
        <w:t xml:space="preserve"> բջիջների աշխատանքային բանկի պատրաստում իրականացնող հարթակները՝</w:t>
      </w:r>
    </w:p>
    <w:tbl>
      <w:tblPr>
        <w:tblW w:w="9636" w:type="dxa"/>
        <w:jc w:val="center"/>
        <w:tblLayout w:type="fixed"/>
        <w:tblCellMar>
          <w:left w:w="0" w:type="dxa"/>
          <w:right w:w="0" w:type="dxa"/>
        </w:tblCellMar>
        <w:tblLook w:val="01E0" w:firstRow="1" w:lastRow="1" w:firstColumn="1" w:lastColumn="1" w:noHBand="0" w:noVBand="0"/>
      </w:tblPr>
      <w:tblGrid>
        <w:gridCol w:w="5141"/>
        <w:gridCol w:w="4495"/>
      </w:tblGrid>
      <w:tr w:rsidR="006F76EB" w:rsidRPr="00834D52" w14:paraId="7390DF8E"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42910C0E"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արտադրական գործընթացի փուլի անվանումը, ակտիվ դեղագործական բաղադրամասը</w:t>
            </w:r>
          </w:p>
        </w:tc>
        <w:tc>
          <w:tcPr>
            <w:tcW w:w="4495" w:type="dxa"/>
            <w:tcBorders>
              <w:top w:val="single" w:sz="4" w:space="0" w:color="000000"/>
              <w:left w:val="single" w:sz="4" w:space="0" w:color="000000"/>
              <w:bottom w:val="single" w:sz="4" w:space="0" w:color="000000"/>
              <w:right w:val="single" w:sz="4" w:space="0" w:color="000000"/>
            </w:tcBorders>
          </w:tcPr>
          <w:p w14:paraId="51884376" w14:textId="77777777" w:rsidR="006F76EB" w:rsidRPr="00834D52" w:rsidRDefault="006F76EB" w:rsidP="006A0AAC">
            <w:pPr>
              <w:spacing w:after="120" w:line="240" w:lineRule="auto"/>
              <w:ind w:right="-6"/>
              <w:rPr>
                <w:rFonts w:ascii="Sylfaen" w:hAnsi="Sylfaen"/>
                <w:sz w:val="24"/>
                <w:szCs w:val="24"/>
              </w:rPr>
            </w:pPr>
          </w:p>
        </w:tc>
      </w:tr>
      <w:tr w:rsidR="006F76EB" w:rsidRPr="00834D52" w14:paraId="1E5D61BB"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17DD34B0"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իրավաբանական անձի անվանումը, անհատ </w:t>
            </w:r>
            <w:r w:rsidRPr="00834D52">
              <w:rPr>
                <w:rFonts w:ascii="Sylfaen" w:hAnsi="Sylfaen"/>
                <w:sz w:val="24"/>
                <w:szCs w:val="24"/>
              </w:rPr>
              <w:lastRenderedPageBreak/>
              <w:t>ձեռնարկատեր հանդիսացող ֆիզիկական անձի ազգանունը, անունը, հայրանունը</w:t>
            </w:r>
          </w:p>
        </w:tc>
        <w:tc>
          <w:tcPr>
            <w:tcW w:w="4495" w:type="dxa"/>
            <w:tcBorders>
              <w:top w:val="single" w:sz="4" w:space="0" w:color="000000"/>
              <w:left w:val="single" w:sz="4" w:space="0" w:color="000000"/>
              <w:bottom w:val="single" w:sz="4" w:space="0" w:color="000000"/>
              <w:right w:val="single" w:sz="4" w:space="0" w:color="000000"/>
            </w:tcBorders>
          </w:tcPr>
          <w:p w14:paraId="1C3AFF35" w14:textId="77777777" w:rsidR="006F76EB" w:rsidRPr="00834D52" w:rsidRDefault="006F76EB" w:rsidP="006A0AAC">
            <w:pPr>
              <w:spacing w:after="120" w:line="240" w:lineRule="auto"/>
              <w:ind w:right="-6"/>
              <w:rPr>
                <w:rFonts w:ascii="Sylfaen" w:hAnsi="Sylfaen"/>
                <w:sz w:val="24"/>
                <w:szCs w:val="24"/>
              </w:rPr>
            </w:pPr>
          </w:p>
        </w:tc>
      </w:tr>
      <w:tr w:rsidR="006F76EB" w:rsidRPr="00834D52" w14:paraId="299B709D"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7F7B15BA"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գործունեություն իրականացնելու վայրի հասցեն</w:t>
            </w:r>
          </w:p>
        </w:tc>
        <w:tc>
          <w:tcPr>
            <w:tcW w:w="4495" w:type="dxa"/>
            <w:tcBorders>
              <w:top w:val="single" w:sz="4" w:space="0" w:color="000000"/>
              <w:left w:val="single" w:sz="4" w:space="0" w:color="000000"/>
              <w:bottom w:val="single" w:sz="4" w:space="0" w:color="000000"/>
              <w:right w:val="single" w:sz="4" w:space="0" w:color="000000"/>
            </w:tcBorders>
          </w:tcPr>
          <w:p w14:paraId="2FFD75C2" w14:textId="77777777" w:rsidR="006F76EB" w:rsidRPr="00834D52" w:rsidRDefault="006F76EB" w:rsidP="006A0AAC">
            <w:pPr>
              <w:spacing w:after="120" w:line="240" w:lineRule="auto"/>
              <w:ind w:right="-6"/>
              <w:rPr>
                <w:rFonts w:ascii="Sylfaen" w:hAnsi="Sylfaen"/>
                <w:sz w:val="24"/>
                <w:szCs w:val="24"/>
              </w:rPr>
            </w:pPr>
          </w:p>
        </w:tc>
      </w:tr>
      <w:tr w:rsidR="006F76EB" w:rsidRPr="00834D52" w14:paraId="0A7E6F1C"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4B3C0868"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495" w:type="dxa"/>
            <w:tcBorders>
              <w:top w:val="single" w:sz="4" w:space="0" w:color="000000"/>
              <w:left w:val="single" w:sz="4" w:space="0" w:color="000000"/>
              <w:bottom w:val="single" w:sz="4" w:space="0" w:color="000000"/>
              <w:right w:val="single" w:sz="4" w:space="0" w:color="000000"/>
            </w:tcBorders>
          </w:tcPr>
          <w:p w14:paraId="591B61A9" w14:textId="77777777" w:rsidR="006F76EB" w:rsidRPr="00834D52" w:rsidRDefault="006F76EB" w:rsidP="006A0AAC">
            <w:pPr>
              <w:spacing w:after="120" w:line="240" w:lineRule="auto"/>
              <w:ind w:right="-6"/>
              <w:rPr>
                <w:rFonts w:ascii="Sylfaen" w:hAnsi="Sylfaen"/>
                <w:sz w:val="24"/>
                <w:szCs w:val="24"/>
              </w:rPr>
            </w:pPr>
          </w:p>
        </w:tc>
      </w:tr>
      <w:tr w:rsidR="006F76EB" w:rsidRPr="00834D52" w14:paraId="03788BF5"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2F792910"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4495" w:type="dxa"/>
            <w:tcBorders>
              <w:top w:val="single" w:sz="4" w:space="0" w:color="000000"/>
              <w:left w:val="single" w:sz="4" w:space="0" w:color="000000"/>
              <w:bottom w:val="single" w:sz="4" w:space="0" w:color="000000"/>
              <w:right w:val="single" w:sz="4" w:space="0" w:color="000000"/>
            </w:tcBorders>
          </w:tcPr>
          <w:p w14:paraId="562924E0" w14:textId="77777777" w:rsidR="006F76EB" w:rsidRPr="00834D52" w:rsidRDefault="006F76EB" w:rsidP="006A0AAC">
            <w:pPr>
              <w:spacing w:after="120" w:line="240" w:lineRule="auto"/>
              <w:ind w:right="-6"/>
              <w:rPr>
                <w:rFonts w:ascii="Sylfaen" w:hAnsi="Sylfaen"/>
                <w:sz w:val="24"/>
                <w:szCs w:val="24"/>
              </w:rPr>
            </w:pPr>
          </w:p>
        </w:tc>
      </w:tr>
      <w:tr w:rsidR="006F76EB" w:rsidRPr="00834D52" w14:paraId="29ECF225" w14:textId="77777777" w:rsidTr="00F71229">
        <w:trPr>
          <w:jc w:val="center"/>
        </w:trPr>
        <w:tc>
          <w:tcPr>
            <w:tcW w:w="5141" w:type="dxa"/>
            <w:tcBorders>
              <w:top w:val="single" w:sz="4" w:space="0" w:color="000000"/>
              <w:left w:val="single" w:sz="4" w:space="0" w:color="000000"/>
              <w:bottom w:val="single" w:sz="4" w:space="0" w:color="000000"/>
              <w:right w:val="single" w:sz="4" w:space="0" w:color="000000"/>
            </w:tcBorders>
          </w:tcPr>
          <w:p w14:paraId="429DDCAB" w14:textId="77777777" w:rsidR="006F76EB" w:rsidRPr="00834D52" w:rsidRDefault="006F76EB" w:rsidP="006A0AA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495" w:type="dxa"/>
            <w:tcBorders>
              <w:top w:val="single" w:sz="4" w:space="0" w:color="000000"/>
              <w:left w:val="single" w:sz="4" w:space="0" w:color="000000"/>
              <w:bottom w:val="single" w:sz="4" w:space="0" w:color="000000"/>
              <w:right w:val="single" w:sz="4" w:space="0" w:color="000000"/>
            </w:tcBorders>
          </w:tcPr>
          <w:p w14:paraId="3D275B78" w14:textId="77777777" w:rsidR="006F76EB" w:rsidRPr="00834D52" w:rsidRDefault="006F76EB" w:rsidP="006A0AAC">
            <w:pPr>
              <w:spacing w:after="120" w:line="240" w:lineRule="auto"/>
              <w:ind w:right="-6"/>
              <w:rPr>
                <w:rFonts w:ascii="Sylfaen" w:hAnsi="Sylfaen"/>
                <w:sz w:val="24"/>
                <w:szCs w:val="24"/>
              </w:rPr>
            </w:pPr>
          </w:p>
        </w:tc>
      </w:tr>
    </w:tbl>
    <w:p w14:paraId="0212505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Յուրաքանչյուր ԱԴԲ-ի համար կցե՛ք արտադրողի լիազորված անձի հայտը՝ համաձայն սույն հայտի հավելվածի 4.5 կետի (կցե՛ք այն սխեման, որը ներառում է արտադրության գործընթացում ներգրավված տարբեր արտադրական հարթակների համար գործողությունները </w:t>
      </w:r>
      <w:r w:rsidR="00C54D75">
        <w:rPr>
          <w:rFonts w:ascii="Sylfaen" w:hAnsi="Sylfaen"/>
          <w:sz w:val="24"/>
          <w:szCs w:val="24"/>
        </w:rPr>
        <w:t>և</w:t>
      </w:r>
      <w:r w:rsidRPr="00834D52">
        <w:rPr>
          <w:rFonts w:ascii="Sylfaen" w:hAnsi="Sylfaen"/>
          <w:sz w:val="24"/>
          <w:szCs w:val="24"/>
        </w:rPr>
        <w:t xml:space="preserve"> դրանց հաջորդականությունը՝ ներառյալ բացթողման հսկողությունը):</w:t>
      </w:r>
    </w:p>
    <w:p w14:paraId="13A08D0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անցկացվել է Եվրասիական տնտեսական միության պատշաճ արտադրական գործունեության կանոնների պահանջների պահպանման մասով ԱԴԲ-ի հարթակի տեսչական ստուգում Եվրասիական տնտեսական միության անդամ պետության լիազորված մարմնի կողմից՝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5C6B3FF1" w14:textId="77777777" w:rsidTr="00F71229">
        <w:trPr>
          <w:jc w:val="center"/>
        </w:trPr>
        <w:tc>
          <w:tcPr>
            <w:tcW w:w="1560" w:type="dxa"/>
          </w:tcPr>
          <w:p w14:paraId="114EBEE1"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577179E6">
                <v:rect id="_x0000_s1134" style="position:absolute;left:0;text-align:left;margin-left:8.25pt;margin-top:4.05pt;width:12.75pt;height:12pt;z-index:251582976"/>
              </w:pict>
            </w:r>
            <w:r w:rsidR="006F76EB" w:rsidRPr="00834D52">
              <w:rPr>
                <w:rFonts w:ascii="Sylfaen" w:hAnsi="Sylfaen"/>
                <w:sz w:val="24"/>
                <w:szCs w:val="24"/>
              </w:rPr>
              <w:t>ոչ</w:t>
            </w:r>
          </w:p>
        </w:tc>
        <w:tc>
          <w:tcPr>
            <w:tcW w:w="1559" w:type="dxa"/>
          </w:tcPr>
          <w:p w14:paraId="14FD81DA"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375E5FB8">
                <v:rect id="_x0000_s1135" style="position:absolute;left:0;text-align:left;margin-left:.5pt;margin-top:4.05pt;width:12.75pt;height:12pt;z-index:251584000;mso-position-horizontal-relative:text;mso-position-vertical-relative:text"/>
              </w:pict>
            </w:r>
            <w:r w:rsidR="006F76EB" w:rsidRPr="00834D52">
              <w:rPr>
                <w:rFonts w:ascii="Sylfaen" w:hAnsi="Sylfaen"/>
                <w:sz w:val="24"/>
                <w:szCs w:val="24"/>
              </w:rPr>
              <w:t>այո</w:t>
            </w:r>
          </w:p>
        </w:tc>
      </w:tr>
    </w:tbl>
    <w:p w14:paraId="1980DFCA"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ԱԴԲ-ի համար տրվել է Եվրոպական դեղագրքի մենագրությանը համապատասխանության սերտիֆիկատ</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1E322E28" w14:textId="77777777" w:rsidTr="00F71229">
        <w:trPr>
          <w:jc w:val="center"/>
        </w:trPr>
        <w:tc>
          <w:tcPr>
            <w:tcW w:w="1560" w:type="dxa"/>
          </w:tcPr>
          <w:p w14:paraId="0015F6B1"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A8AF6A7">
                <v:rect id="_x0000_s1136" style="position:absolute;left:0;text-align:left;margin-left:8.25pt;margin-top:4.05pt;width:12.75pt;height:12pt;z-index:251585024"/>
              </w:pict>
            </w:r>
            <w:r w:rsidR="006F76EB" w:rsidRPr="00834D52">
              <w:rPr>
                <w:rFonts w:ascii="Sylfaen" w:hAnsi="Sylfaen"/>
                <w:sz w:val="24"/>
                <w:szCs w:val="24"/>
              </w:rPr>
              <w:t>ոչ</w:t>
            </w:r>
          </w:p>
        </w:tc>
        <w:tc>
          <w:tcPr>
            <w:tcW w:w="1559" w:type="dxa"/>
          </w:tcPr>
          <w:p w14:paraId="65A5A184"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00253239">
                <v:rect id="_x0000_s1137" style="position:absolute;left:0;text-align:left;margin-left:.5pt;margin-top:4.05pt;width:12.75pt;height:12pt;z-index:251586048;mso-position-horizontal-relative:text;mso-position-vertical-relative:text"/>
              </w:pict>
            </w:r>
            <w:r w:rsidR="006F76EB" w:rsidRPr="00834D52">
              <w:rPr>
                <w:rFonts w:ascii="Sylfaen" w:hAnsi="Sylfaen"/>
                <w:sz w:val="24"/>
                <w:szCs w:val="24"/>
              </w:rPr>
              <w:t>այո</w:t>
            </w:r>
          </w:p>
        </w:tc>
      </w:tr>
    </w:tbl>
    <w:p w14:paraId="0621768C"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636" w:type="dxa"/>
        <w:jc w:val="center"/>
        <w:tblLayout w:type="fixed"/>
        <w:tblCellMar>
          <w:left w:w="0" w:type="dxa"/>
          <w:right w:w="0" w:type="dxa"/>
        </w:tblCellMar>
        <w:tblLook w:val="01E0" w:firstRow="1" w:lastRow="1" w:firstColumn="1" w:lastColumn="1" w:noHBand="0" w:noVBand="0"/>
      </w:tblPr>
      <w:tblGrid>
        <w:gridCol w:w="5103"/>
        <w:gridCol w:w="4533"/>
      </w:tblGrid>
      <w:tr w:rsidR="006F76EB" w:rsidRPr="00834D52" w14:paraId="5F909AF9" w14:textId="77777777" w:rsidTr="00F71229">
        <w:trPr>
          <w:jc w:val="center"/>
        </w:trPr>
        <w:tc>
          <w:tcPr>
            <w:tcW w:w="5103" w:type="dxa"/>
            <w:tcBorders>
              <w:top w:val="single" w:sz="4" w:space="0" w:color="auto"/>
              <w:left w:val="single" w:sz="4" w:space="0" w:color="auto"/>
              <w:bottom w:val="single" w:sz="4" w:space="0" w:color="auto"/>
              <w:right w:val="single" w:sz="4" w:space="0" w:color="auto"/>
            </w:tcBorders>
          </w:tcPr>
          <w:p w14:paraId="4CCD8D4F" w14:textId="77777777" w:rsidR="006F76EB" w:rsidRPr="00834D52" w:rsidRDefault="006F76EB" w:rsidP="0004077C">
            <w:pPr>
              <w:spacing w:after="0" w:line="240" w:lineRule="auto"/>
              <w:ind w:left="180" w:right="-6"/>
              <w:rPr>
                <w:rFonts w:ascii="Sylfaen" w:eastAsia="Times New Roman" w:hAnsi="Sylfaen" w:cs="Times New Roman"/>
                <w:sz w:val="24"/>
                <w:szCs w:val="24"/>
              </w:rPr>
            </w:pPr>
            <w:r w:rsidRPr="00834D52">
              <w:rPr>
                <w:rFonts w:ascii="Sylfaen" w:hAnsi="Sylfaen"/>
                <w:sz w:val="24"/>
                <w:szCs w:val="24"/>
              </w:rPr>
              <w:t>ակտիվ դեղագործական բաղադրամասի անվանումը</w:t>
            </w:r>
          </w:p>
        </w:tc>
        <w:tc>
          <w:tcPr>
            <w:tcW w:w="4533" w:type="dxa"/>
            <w:tcBorders>
              <w:top w:val="single" w:sz="4" w:space="0" w:color="auto"/>
              <w:left w:val="single" w:sz="4" w:space="0" w:color="auto"/>
              <w:bottom w:val="single" w:sz="4" w:space="0" w:color="auto"/>
              <w:right w:val="single" w:sz="4" w:space="0" w:color="auto"/>
            </w:tcBorders>
          </w:tcPr>
          <w:p w14:paraId="04B2EF3D" w14:textId="77777777" w:rsidR="006F76EB" w:rsidRPr="00834D52" w:rsidRDefault="006F76EB" w:rsidP="0004077C">
            <w:pPr>
              <w:spacing w:after="0" w:line="240" w:lineRule="auto"/>
              <w:ind w:right="-6"/>
              <w:rPr>
                <w:rFonts w:ascii="Sylfaen" w:hAnsi="Sylfaen"/>
                <w:sz w:val="24"/>
                <w:szCs w:val="24"/>
              </w:rPr>
            </w:pPr>
          </w:p>
        </w:tc>
      </w:tr>
      <w:tr w:rsidR="006F76EB" w:rsidRPr="00834D52" w14:paraId="505B6E68" w14:textId="77777777" w:rsidTr="00F71229">
        <w:trPr>
          <w:jc w:val="center"/>
        </w:trPr>
        <w:tc>
          <w:tcPr>
            <w:tcW w:w="5103" w:type="dxa"/>
            <w:tcBorders>
              <w:top w:val="single" w:sz="4" w:space="0" w:color="auto"/>
              <w:left w:val="single" w:sz="4" w:space="0" w:color="000000"/>
              <w:bottom w:val="single" w:sz="4" w:space="0" w:color="000000"/>
              <w:right w:val="single" w:sz="4" w:space="0" w:color="000000"/>
            </w:tcBorders>
          </w:tcPr>
          <w:p w14:paraId="49963BEA" w14:textId="77777777" w:rsidR="006F76EB" w:rsidRPr="00834D52" w:rsidRDefault="006F76EB" w:rsidP="0004077C">
            <w:pPr>
              <w:spacing w:after="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 կամ ձեռնարկատեր հանդիսացող ֆիզիկական անձի (արտադրողի) ազգանունը, անունը, հայրանունը</w:t>
            </w:r>
          </w:p>
        </w:tc>
        <w:tc>
          <w:tcPr>
            <w:tcW w:w="4533" w:type="dxa"/>
            <w:tcBorders>
              <w:top w:val="single" w:sz="4" w:space="0" w:color="auto"/>
              <w:left w:val="single" w:sz="4" w:space="0" w:color="000000"/>
              <w:bottom w:val="single" w:sz="4" w:space="0" w:color="000000"/>
              <w:right w:val="single" w:sz="4" w:space="0" w:color="000000"/>
            </w:tcBorders>
          </w:tcPr>
          <w:p w14:paraId="23856AB5" w14:textId="77777777" w:rsidR="006F76EB" w:rsidRPr="00834D52" w:rsidRDefault="006F76EB" w:rsidP="0004077C">
            <w:pPr>
              <w:spacing w:after="0" w:line="240" w:lineRule="auto"/>
              <w:ind w:right="-6"/>
              <w:rPr>
                <w:rFonts w:ascii="Sylfaen" w:hAnsi="Sylfaen"/>
                <w:sz w:val="24"/>
                <w:szCs w:val="24"/>
              </w:rPr>
            </w:pPr>
          </w:p>
        </w:tc>
      </w:tr>
      <w:tr w:rsidR="006F76EB" w:rsidRPr="00834D52" w14:paraId="1A5641E2"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5EA75EA7" w14:textId="77777777" w:rsidR="006F76EB" w:rsidRPr="00834D52" w:rsidRDefault="006F76EB" w:rsidP="0004077C">
            <w:pPr>
              <w:spacing w:after="0" w:line="240" w:lineRule="auto"/>
              <w:ind w:left="180" w:right="-6"/>
              <w:rPr>
                <w:rFonts w:ascii="Sylfaen" w:eastAsia="Times New Roman" w:hAnsi="Sylfaen" w:cs="Times New Roman"/>
                <w:sz w:val="24"/>
                <w:szCs w:val="24"/>
              </w:rPr>
            </w:pPr>
            <w:r w:rsidRPr="00834D52">
              <w:rPr>
                <w:rFonts w:ascii="Sylfaen" w:hAnsi="Sylfaen"/>
                <w:sz w:val="24"/>
                <w:szCs w:val="24"/>
              </w:rPr>
              <w:t>համապատասխանության սերտիֆիկատի համարը</w:t>
            </w:r>
          </w:p>
        </w:tc>
        <w:tc>
          <w:tcPr>
            <w:tcW w:w="4533" w:type="dxa"/>
            <w:tcBorders>
              <w:top w:val="single" w:sz="4" w:space="0" w:color="000000"/>
              <w:left w:val="single" w:sz="4" w:space="0" w:color="000000"/>
              <w:bottom w:val="single" w:sz="4" w:space="0" w:color="000000"/>
              <w:right w:val="single" w:sz="4" w:space="0" w:color="000000"/>
            </w:tcBorders>
          </w:tcPr>
          <w:p w14:paraId="55E70276" w14:textId="77777777" w:rsidR="006F76EB" w:rsidRPr="00834D52" w:rsidRDefault="006F76EB" w:rsidP="0004077C">
            <w:pPr>
              <w:spacing w:after="0" w:line="240" w:lineRule="auto"/>
              <w:ind w:right="-6"/>
              <w:rPr>
                <w:rFonts w:ascii="Sylfaen" w:hAnsi="Sylfaen"/>
                <w:sz w:val="24"/>
                <w:szCs w:val="24"/>
              </w:rPr>
            </w:pPr>
          </w:p>
        </w:tc>
      </w:tr>
      <w:tr w:rsidR="006F76EB" w:rsidRPr="00834D52" w14:paraId="10E17F0F"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7A2A4CD8" w14:textId="77777777" w:rsidR="006F76EB" w:rsidRPr="00834D52" w:rsidRDefault="006F76EB" w:rsidP="0004077C">
            <w:pPr>
              <w:spacing w:after="0" w:line="240" w:lineRule="auto"/>
              <w:ind w:left="180" w:right="-6"/>
              <w:rPr>
                <w:rFonts w:ascii="Sylfaen" w:eastAsia="Times New Roman" w:hAnsi="Sylfaen" w:cs="Times New Roman"/>
                <w:sz w:val="24"/>
                <w:szCs w:val="24"/>
              </w:rPr>
            </w:pPr>
            <w:r w:rsidRPr="00834D52">
              <w:rPr>
                <w:rFonts w:ascii="Sylfaen" w:hAnsi="Sylfaen"/>
                <w:sz w:val="24"/>
                <w:szCs w:val="24"/>
              </w:rPr>
              <w:t>վերջին վերանայման ամսաթիվը</w:t>
            </w:r>
          </w:p>
        </w:tc>
        <w:tc>
          <w:tcPr>
            <w:tcW w:w="4533" w:type="dxa"/>
            <w:tcBorders>
              <w:top w:val="single" w:sz="4" w:space="0" w:color="000000"/>
              <w:left w:val="single" w:sz="4" w:space="0" w:color="000000"/>
              <w:bottom w:val="single" w:sz="4" w:space="0" w:color="000000"/>
              <w:right w:val="single" w:sz="4" w:space="0" w:color="000000"/>
            </w:tcBorders>
          </w:tcPr>
          <w:p w14:paraId="43D30131" w14:textId="77777777" w:rsidR="006F76EB" w:rsidRPr="00834D52" w:rsidRDefault="006F76EB" w:rsidP="0004077C">
            <w:pPr>
              <w:spacing w:after="0" w:line="240" w:lineRule="auto"/>
              <w:ind w:right="-6"/>
              <w:rPr>
                <w:rFonts w:ascii="Sylfaen" w:hAnsi="Sylfaen"/>
                <w:sz w:val="24"/>
                <w:szCs w:val="24"/>
              </w:rPr>
            </w:pPr>
          </w:p>
        </w:tc>
      </w:tr>
    </w:tbl>
    <w:p w14:paraId="35D41627" w14:textId="77777777" w:rsidR="0004077C" w:rsidRDefault="0004077C" w:rsidP="006F76EB">
      <w:pPr>
        <w:spacing w:after="160" w:line="360" w:lineRule="auto"/>
        <w:ind w:right="-8" w:firstLine="567"/>
        <w:jc w:val="both"/>
        <w:rPr>
          <w:rFonts w:ascii="Sylfaen" w:hAnsi="Sylfaen"/>
          <w:sz w:val="24"/>
          <w:szCs w:val="24"/>
          <w:lang w:val="en-US"/>
        </w:rPr>
      </w:pPr>
    </w:p>
    <w:p w14:paraId="2462966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Արդյո՞ք անցկացվել է պատշաճ արտադրական գործունեության կանոնների պահպանման մասով հարթակի տեսչական ստուգում այլ պետության լիազորված մարմնի կողմից՝</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674F165E" w14:textId="77777777" w:rsidTr="00F71229">
        <w:trPr>
          <w:jc w:val="center"/>
        </w:trPr>
        <w:tc>
          <w:tcPr>
            <w:tcW w:w="1560" w:type="dxa"/>
          </w:tcPr>
          <w:p w14:paraId="752FFAA0"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E04681C">
                <v:rect id="_x0000_s1138" style="position:absolute;left:0;text-align:left;margin-left:8.25pt;margin-top:4.05pt;width:12.75pt;height:12pt;z-index:251587072"/>
              </w:pict>
            </w:r>
            <w:r w:rsidR="006F76EB" w:rsidRPr="00834D52">
              <w:rPr>
                <w:rFonts w:ascii="Sylfaen" w:hAnsi="Sylfaen"/>
                <w:sz w:val="24"/>
                <w:szCs w:val="24"/>
              </w:rPr>
              <w:t>ոչ</w:t>
            </w:r>
          </w:p>
        </w:tc>
        <w:tc>
          <w:tcPr>
            <w:tcW w:w="1559" w:type="dxa"/>
          </w:tcPr>
          <w:p w14:paraId="4CAEC1D6"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7A1AC4E0">
                <v:rect id="_x0000_s1139" style="position:absolute;left:0;text-align:left;margin-left:.5pt;margin-top:4.05pt;width:12.75pt;height:12pt;z-index:251588096;mso-position-horizontal-relative:text;mso-position-vertical-relative:text"/>
              </w:pict>
            </w:r>
            <w:r w:rsidR="006F76EB" w:rsidRPr="00834D52">
              <w:rPr>
                <w:rFonts w:ascii="Sylfaen" w:hAnsi="Sylfaen"/>
                <w:sz w:val="24"/>
                <w:szCs w:val="24"/>
              </w:rPr>
              <w:t>այո</w:t>
            </w:r>
          </w:p>
        </w:tc>
      </w:tr>
    </w:tbl>
    <w:p w14:paraId="6019F601"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 նշե՛ք՝</w:t>
      </w:r>
    </w:p>
    <w:tbl>
      <w:tblPr>
        <w:tblW w:w="9786" w:type="dxa"/>
        <w:jc w:val="center"/>
        <w:tblLayout w:type="fixed"/>
        <w:tblCellMar>
          <w:left w:w="0" w:type="dxa"/>
          <w:right w:w="0" w:type="dxa"/>
        </w:tblCellMar>
        <w:tblLook w:val="01E0" w:firstRow="1" w:lastRow="1" w:firstColumn="1" w:lastColumn="1" w:noHBand="0" w:noVBand="0"/>
      </w:tblPr>
      <w:tblGrid>
        <w:gridCol w:w="5164"/>
        <w:gridCol w:w="2936"/>
        <w:gridCol w:w="864"/>
        <w:gridCol w:w="822"/>
      </w:tblGrid>
      <w:tr w:rsidR="006F76EB" w:rsidRPr="00834D52" w14:paraId="5D090F3C" w14:textId="77777777" w:rsidTr="00815B19">
        <w:trPr>
          <w:trHeight w:val="486"/>
          <w:jc w:val="center"/>
        </w:trPr>
        <w:tc>
          <w:tcPr>
            <w:tcW w:w="5164" w:type="dxa"/>
            <w:tcBorders>
              <w:top w:val="single" w:sz="4" w:space="0" w:color="000000"/>
              <w:left w:val="single" w:sz="4" w:space="0" w:color="000000"/>
              <w:bottom w:val="single" w:sz="4" w:space="0" w:color="000000"/>
              <w:right w:val="single" w:sz="4" w:space="0" w:color="000000"/>
            </w:tcBorders>
          </w:tcPr>
          <w:p w14:paraId="5EFF66BE" w14:textId="77777777" w:rsidR="006F76EB" w:rsidRPr="00834D52" w:rsidRDefault="006F76EB" w:rsidP="0004077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4622" w:type="dxa"/>
            <w:gridSpan w:val="3"/>
            <w:tcBorders>
              <w:top w:val="single" w:sz="4" w:space="0" w:color="000000"/>
              <w:left w:val="single" w:sz="4" w:space="0" w:color="000000"/>
              <w:bottom w:val="single" w:sz="4" w:space="0" w:color="000000"/>
              <w:right w:val="single" w:sz="4" w:space="0" w:color="000000"/>
            </w:tcBorders>
          </w:tcPr>
          <w:p w14:paraId="071573D3" w14:textId="77777777" w:rsidR="006F76EB" w:rsidRPr="00834D52" w:rsidRDefault="006F76EB" w:rsidP="0004077C">
            <w:pPr>
              <w:spacing w:after="120" w:line="240" w:lineRule="auto"/>
              <w:ind w:right="-6"/>
              <w:rPr>
                <w:rFonts w:ascii="Sylfaen" w:hAnsi="Sylfaen"/>
                <w:sz w:val="24"/>
                <w:szCs w:val="24"/>
              </w:rPr>
            </w:pPr>
          </w:p>
        </w:tc>
      </w:tr>
      <w:tr w:rsidR="006F76EB" w:rsidRPr="00834D52" w14:paraId="51D6267B" w14:textId="77777777" w:rsidTr="00815B19">
        <w:trPr>
          <w:trHeight w:val="823"/>
          <w:jc w:val="center"/>
        </w:trPr>
        <w:tc>
          <w:tcPr>
            <w:tcW w:w="5164" w:type="dxa"/>
            <w:tcBorders>
              <w:top w:val="single" w:sz="4" w:space="0" w:color="000000"/>
              <w:left w:val="single" w:sz="4" w:space="0" w:color="000000"/>
              <w:bottom w:val="single" w:sz="4" w:space="0" w:color="000000"/>
              <w:right w:val="single" w:sz="4" w:space="0" w:color="000000"/>
            </w:tcBorders>
          </w:tcPr>
          <w:p w14:paraId="3F9A69BB" w14:textId="77777777" w:rsidR="006F76EB" w:rsidRPr="00834D52" w:rsidRDefault="006F76EB" w:rsidP="0004077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Ստուգում անցկացրած լիազորված մարմնի անվանումը</w:t>
            </w:r>
          </w:p>
        </w:tc>
        <w:tc>
          <w:tcPr>
            <w:tcW w:w="4622" w:type="dxa"/>
            <w:gridSpan w:val="3"/>
            <w:tcBorders>
              <w:top w:val="single" w:sz="4" w:space="0" w:color="000000"/>
              <w:left w:val="single" w:sz="4" w:space="0" w:color="000000"/>
              <w:bottom w:val="single" w:sz="4" w:space="0" w:color="000000"/>
              <w:right w:val="single" w:sz="4" w:space="0" w:color="000000"/>
            </w:tcBorders>
          </w:tcPr>
          <w:p w14:paraId="21D70B38" w14:textId="77777777" w:rsidR="006F76EB" w:rsidRPr="00834D52" w:rsidRDefault="006F76EB" w:rsidP="0004077C">
            <w:pPr>
              <w:spacing w:after="120" w:line="240" w:lineRule="auto"/>
              <w:ind w:right="-6"/>
              <w:rPr>
                <w:rFonts w:ascii="Sylfaen" w:hAnsi="Sylfaen"/>
                <w:sz w:val="24"/>
                <w:szCs w:val="24"/>
              </w:rPr>
            </w:pPr>
          </w:p>
        </w:tc>
      </w:tr>
      <w:tr w:rsidR="006F76EB" w:rsidRPr="00834D52" w14:paraId="09933815" w14:textId="77777777" w:rsidTr="00815B19">
        <w:trPr>
          <w:trHeight w:val="486"/>
          <w:jc w:val="center"/>
        </w:trPr>
        <w:tc>
          <w:tcPr>
            <w:tcW w:w="5164" w:type="dxa"/>
            <w:tcBorders>
              <w:top w:val="single" w:sz="4" w:space="0" w:color="000000"/>
              <w:left w:val="single" w:sz="4" w:space="0" w:color="000000"/>
              <w:bottom w:val="single" w:sz="4" w:space="0" w:color="000000"/>
              <w:right w:val="single" w:sz="4" w:space="0" w:color="000000"/>
            </w:tcBorders>
          </w:tcPr>
          <w:p w14:paraId="1F8F0CEF" w14:textId="77777777" w:rsidR="006F76EB" w:rsidRPr="00834D52" w:rsidRDefault="006F76EB" w:rsidP="0004077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4622" w:type="dxa"/>
            <w:gridSpan w:val="3"/>
            <w:tcBorders>
              <w:top w:val="single" w:sz="4" w:space="0" w:color="000000"/>
              <w:left w:val="single" w:sz="4" w:space="0" w:color="000000"/>
              <w:bottom w:val="single" w:sz="4" w:space="0" w:color="000000"/>
              <w:right w:val="single" w:sz="4" w:space="0" w:color="000000"/>
            </w:tcBorders>
          </w:tcPr>
          <w:p w14:paraId="4DEFF4E8" w14:textId="77777777" w:rsidR="006F76EB" w:rsidRPr="00834D52" w:rsidRDefault="006F76EB" w:rsidP="0004077C">
            <w:pPr>
              <w:spacing w:after="120" w:line="240" w:lineRule="auto"/>
              <w:ind w:right="-6"/>
              <w:rPr>
                <w:rFonts w:ascii="Sylfaen" w:hAnsi="Sylfaen"/>
                <w:sz w:val="24"/>
                <w:szCs w:val="24"/>
              </w:rPr>
            </w:pPr>
          </w:p>
        </w:tc>
      </w:tr>
      <w:tr w:rsidR="006F76EB" w:rsidRPr="00834D52" w14:paraId="4B50C31C" w14:textId="77777777" w:rsidTr="00815B19">
        <w:trPr>
          <w:trHeight w:val="823"/>
          <w:jc w:val="center"/>
        </w:trPr>
        <w:tc>
          <w:tcPr>
            <w:tcW w:w="5164" w:type="dxa"/>
            <w:tcBorders>
              <w:top w:val="single" w:sz="4" w:space="0" w:color="000000"/>
              <w:left w:val="single" w:sz="4" w:space="0" w:color="000000"/>
              <w:bottom w:val="single" w:sz="4" w:space="0" w:color="000000"/>
              <w:right w:val="single" w:sz="4" w:space="0" w:color="000000"/>
            </w:tcBorders>
          </w:tcPr>
          <w:p w14:paraId="6FDB4243" w14:textId="77777777" w:rsidR="006F76EB" w:rsidRPr="00834D52" w:rsidRDefault="006F76EB" w:rsidP="0004077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համապատասխանության վերաբերյալ փաստաթղթի համարը</w:t>
            </w:r>
          </w:p>
        </w:tc>
        <w:tc>
          <w:tcPr>
            <w:tcW w:w="4622" w:type="dxa"/>
            <w:gridSpan w:val="3"/>
            <w:tcBorders>
              <w:top w:val="single" w:sz="4" w:space="0" w:color="000000"/>
              <w:left w:val="single" w:sz="4" w:space="0" w:color="000000"/>
              <w:bottom w:val="single" w:sz="4" w:space="0" w:color="000000"/>
              <w:right w:val="single" w:sz="4" w:space="0" w:color="000000"/>
            </w:tcBorders>
          </w:tcPr>
          <w:p w14:paraId="4989ECDD" w14:textId="77777777" w:rsidR="006F76EB" w:rsidRPr="00834D52" w:rsidRDefault="006F76EB" w:rsidP="0004077C">
            <w:pPr>
              <w:spacing w:after="120" w:line="240" w:lineRule="auto"/>
              <w:ind w:right="-6"/>
              <w:rPr>
                <w:rFonts w:ascii="Sylfaen" w:hAnsi="Sylfaen"/>
                <w:sz w:val="24"/>
                <w:szCs w:val="24"/>
              </w:rPr>
            </w:pPr>
          </w:p>
        </w:tc>
      </w:tr>
      <w:tr w:rsidR="006F76EB" w:rsidRPr="00834D52" w14:paraId="6744E5CE" w14:textId="77777777" w:rsidTr="00815B19">
        <w:trPr>
          <w:trHeight w:val="486"/>
          <w:jc w:val="center"/>
        </w:trPr>
        <w:tc>
          <w:tcPr>
            <w:tcW w:w="5164" w:type="dxa"/>
            <w:tcBorders>
              <w:top w:val="single" w:sz="4" w:space="0" w:color="000000"/>
              <w:left w:val="single" w:sz="4" w:space="0" w:color="000000"/>
              <w:bottom w:val="single" w:sz="4" w:space="0" w:color="000000"/>
              <w:right w:val="single" w:sz="4" w:space="0" w:color="auto"/>
            </w:tcBorders>
          </w:tcPr>
          <w:p w14:paraId="7459E76E" w14:textId="77777777" w:rsidR="006F76EB" w:rsidRPr="00834D52" w:rsidRDefault="006F76EB" w:rsidP="0004077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2936" w:type="dxa"/>
            <w:tcBorders>
              <w:top w:val="single" w:sz="4" w:space="0" w:color="auto"/>
              <w:left w:val="single" w:sz="4" w:space="0" w:color="auto"/>
              <w:bottom w:val="single" w:sz="4" w:space="0" w:color="auto"/>
            </w:tcBorders>
          </w:tcPr>
          <w:p w14:paraId="38105422" w14:textId="77777777" w:rsidR="006F76EB" w:rsidRPr="00834D52" w:rsidRDefault="00157FD9" w:rsidP="0004077C">
            <w:pPr>
              <w:spacing w:after="120" w:line="240" w:lineRule="auto"/>
              <w:ind w:left="56" w:right="-6"/>
              <w:rPr>
                <w:rFonts w:ascii="Sylfaen" w:eastAsia="Times New Roman" w:hAnsi="Sylfaen" w:cs="Times New Roman"/>
                <w:sz w:val="24"/>
                <w:szCs w:val="24"/>
              </w:rPr>
            </w:pPr>
            <w:r>
              <w:rPr>
                <w:rFonts w:ascii="Sylfaen" w:hAnsi="Sylfaen"/>
                <w:noProof/>
                <w:sz w:val="24"/>
                <w:szCs w:val="24"/>
              </w:rPr>
              <w:pict w14:anchorId="6FFFB145">
                <v:rect id="_x0000_s1141" style="position:absolute;left:0;text-align:left;margin-left:139.9pt;margin-top:2.2pt;width:12.75pt;height:12pt;z-index:251589120;mso-position-horizontal-relative:text;mso-position-vertical-relative:text"/>
              </w:pict>
            </w:r>
            <w:r w:rsidR="006F76EB" w:rsidRPr="00834D52">
              <w:rPr>
                <w:rFonts w:ascii="Sylfaen" w:hAnsi="Sylfaen"/>
                <w:sz w:val="24"/>
                <w:szCs w:val="24"/>
              </w:rPr>
              <w:t>համապատասխանում է՝</w:t>
            </w:r>
          </w:p>
        </w:tc>
        <w:tc>
          <w:tcPr>
            <w:tcW w:w="864" w:type="dxa"/>
            <w:tcBorders>
              <w:top w:val="single" w:sz="4" w:space="0" w:color="auto"/>
              <w:bottom w:val="single" w:sz="4" w:space="0" w:color="auto"/>
            </w:tcBorders>
          </w:tcPr>
          <w:p w14:paraId="657868DA" w14:textId="77777777" w:rsidR="006F76EB" w:rsidRPr="00834D52" w:rsidRDefault="00157FD9" w:rsidP="0004077C">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3F40937C">
                <v:rect id="_x0000_s1140" style="position:absolute;left:0;text-align:left;margin-left:37.9pt;margin-top:2.2pt;width:12.75pt;height:12pt;z-index:251590144;mso-position-horizontal-relative:text;mso-position-vertical-relative:text"/>
              </w:pict>
            </w:r>
            <w:r w:rsidR="006F76EB" w:rsidRPr="00834D52">
              <w:rPr>
                <w:rFonts w:ascii="Sylfaen" w:hAnsi="Sylfaen"/>
                <w:sz w:val="24"/>
                <w:szCs w:val="24"/>
              </w:rPr>
              <w:t>ոչ</w:t>
            </w:r>
          </w:p>
        </w:tc>
        <w:tc>
          <w:tcPr>
            <w:tcW w:w="822" w:type="dxa"/>
            <w:tcBorders>
              <w:top w:val="single" w:sz="4" w:space="0" w:color="auto"/>
              <w:bottom w:val="single" w:sz="4" w:space="0" w:color="auto"/>
              <w:right w:val="single" w:sz="4" w:space="0" w:color="auto"/>
            </w:tcBorders>
          </w:tcPr>
          <w:p w14:paraId="575B5E7E" w14:textId="77777777" w:rsidR="006F76EB" w:rsidRPr="00834D52" w:rsidRDefault="006F76EB" w:rsidP="0004077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այո</w:t>
            </w:r>
          </w:p>
        </w:tc>
      </w:tr>
    </w:tbl>
    <w:p w14:paraId="59310E7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գրանցման դոսյեի կազմում օգտագործվելու է ԱԴԲ արտադրողի մաստեր-ֆայլը՝</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53A5C789" w14:textId="77777777" w:rsidTr="00F71229">
        <w:trPr>
          <w:jc w:val="center"/>
        </w:trPr>
        <w:tc>
          <w:tcPr>
            <w:tcW w:w="1560" w:type="dxa"/>
          </w:tcPr>
          <w:p w14:paraId="4A04C405"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B66D9C9">
                <v:rect id="_x0000_s1142" style="position:absolute;left:0;text-align:left;margin-left:8.25pt;margin-top:4.05pt;width:12.75pt;height:12pt;z-index:251591168"/>
              </w:pict>
            </w:r>
            <w:r w:rsidR="006F76EB" w:rsidRPr="00834D52">
              <w:rPr>
                <w:rFonts w:ascii="Sylfaen" w:hAnsi="Sylfaen"/>
                <w:sz w:val="24"/>
                <w:szCs w:val="24"/>
              </w:rPr>
              <w:t>ոչ</w:t>
            </w:r>
          </w:p>
        </w:tc>
        <w:tc>
          <w:tcPr>
            <w:tcW w:w="1559" w:type="dxa"/>
          </w:tcPr>
          <w:p w14:paraId="33E0D706"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23BDB06A">
                <v:rect id="_x0000_s1143" style="position:absolute;left:0;text-align:left;margin-left:.5pt;margin-top:4.05pt;width:12.75pt;height:12pt;z-index:251592192;mso-position-horizontal-relative:text;mso-position-vertical-relative:text"/>
              </w:pict>
            </w:r>
            <w:r w:rsidR="006F76EB" w:rsidRPr="00834D52">
              <w:rPr>
                <w:rFonts w:ascii="Sylfaen" w:hAnsi="Sylfaen"/>
                <w:sz w:val="24"/>
                <w:szCs w:val="24"/>
              </w:rPr>
              <w:t>այո</w:t>
            </w:r>
          </w:p>
        </w:tc>
      </w:tr>
    </w:tbl>
    <w:p w14:paraId="19E4C21E"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719" w:type="dxa"/>
        <w:jc w:val="center"/>
        <w:tblLayout w:type="fixed"/>
        <w:tblCellMar>
          <w:left w:w="0" w:type="dxa"/>
          <w:right w:w="0" w:type="dxa"/>
        </w:tblCellMar>
        <w:tblLook w:val="01E0" w:firstRow="1" w:lastRow="1" w:firstColumn="1" w:lastColumn="1" w:noHBand="0" w:noVBand="0"/>
      </w:tblPr>
      <w:tblGrid>
        <w:gridCol w:w="6130"/>
        <w:gridCol w:w="3589"/>
      </w:tblGrid>
      <w:tr w:rsidR="006F76EB" w:rsidRPr="00834D52" w14:paraId="45A064D7" w14:textId="77777777" w:rsidTr="003B78AE">
        <w:trPr>
          <w:trHeight w:val="529"/>
          <w:jc w:val="center"/>
        </w:trPr>
        <w:tc>
          <w:tcPr>
            <w:tcW w:w="6130" w:type="dxa"/>
            <w:tcBorders>
              <w:top w:val="single" w:sz="4" w:space="0" w:color="000000"/>
              <w:left w:val="single" w:sz="4" w:space="0" w:color="000000"/>
              <w:bottom w:val="single" w:sz="4" w:space="0" w:color="000000"/>
              <w:right w:val="single" w:sz="4" w:space="0" w:color="000000"/>
            </w:tcBorders>
          </w:tcPr>
          <w:p w14:paraId="77F7A939" w14:textId="77777777" w:rsidR="006F76EB" w:rsidRPr="00834D52" w:rsidRDefault="006F76EB" w:rsidP="003B78AE">
            <w:pPr>
              <w:spacing w:after="120" w:line="240" w:lineRule="auto"/>
              <w:ind w:left="180" w:right="-6"/>
              <w:rPr>
                <w:rFonts w:ascii="Sylfaen" w:hAnsi="Sylfaen"/>
                <w:sz w:val="24"/>
                <w:szCs w:val="24"/>
              </w:rPr>
            </w:pPr>
            <w:r w:rsidRPr="00834D52">
              <w:rPr>
                <w:rFonts w:ascii="Sylfaen" w:hAnsi="Sylfaen"/>
                <w:sz w:val="24"/>
                <w:szCs w:val="24"/>
              </w:rPr>
              <w:t>ակտիվ դեղագործական բաղադրամասի անվանումը</w:t>
            </w:r>
          </w:p>
        </w:tc>
        <w:tc>
          <w:tcPr>
            <w:tcW w:w="3589" w:type="dxa"/>
            <w:tcBorders>
              <w:top w:val="single" w:sz="4" w:space="0" w:color="000000"/>
              <w:left w:val="single" w:sz="4" w:space="0" w:color="000000"/>
              <w:bottom w:val="single" w:sz="4" w:space="0" w:color="000000"/>
              <w:right w:val="single" w:sz="4" w:space="0" w:color="000000"/>
            </w:tcBorders>
          </w:tcPr>
          <w:p w14:paraId="7323F5FA" w14:textId="77777777" w:rsidR="006F76EB" w:rsidRPr="00834D52" w:rsidRDefault="006F76EB" w:rsidP="003B78AE">
            <w:pPr>
              <w:spacing w:after="120" w:line="240" w:lineRule="auto"/>
              <w:ind w:right="-6"/>
              <w:rPr>
                <w:rFonts w:ascii="Sylfaen" w:hAnsi="Sylfaen"/>
                <w:sz w:val="24"/>
                <w:szCs w:val="24"/>
              </w:rPr>
            </w:pPr>
          </w:p>
        </w:tc>
      </w:tr>
      <w:tr w:rsidR="006F76EB" w:rsidRPr="00834D52" w14:paraId="66FC79B3" w14:textId="77777777" w:rsidTr="003B78AE">
        <w:trPr>
          <w:trHeight w:val="983"/>
          <w:jc w:val="center"/>
        </w:trPr>
        <w:tc>
          <w:tcPr>
            <w:tcW w:w="6130" w:type="dxa"/>
            <w:tcBorders>
              <w:top w:val="single" w:sz="4" w:space="0" w:color="000000"/>
              <w:left w:val="single" w:sz="4" w:space="0" w:color="000000"/>
              <w:bottom w:val="single" w:sz="4" w:space="0" w:color="000000"/>
              <w:right w:val="single" w:sz="4" w:space="0" w:color="000000"/>
            </w:tcBorders>
          </w:tcPr>
          <w:p w14:paraId="35497109" w14:textId="77777777" w:rsidR="006F76EB" w:rsidRPr="00834D52" w:rsidRDefault="006F76EB" w:rsidP="003B78AE">
            <w:pPr>
              <w:spacing w:after="120" w:line="240" w:lineRule="auto"/>
              <w:ind w:left="180" w:right="-6"/>
              <w:rPr>
                <w:rFonts w:ascii="Sylfaen" w:hAnsi="Sylfaen"/>
                <w:sz w:val="24"/>
                <w:szCs w:val="24"/>
              </w:rPr>
            </w:pPr>
            <w:r w:rsidRPr="00834D52">
              <w:rPr>
                <w:rFonts w:ascii="Sylfaen" w:hAnsi="Sylfaen"/>
                <w:sz w:val="24"/>
                <w:szCs w:val="24"/>
              </w:rPr>
              <w:t>ԱԴԲ արտադրողի մաստեր-ֆայլի իրավատիրոջ անվանումը</w:t>
            </w:r>
          </w:p>
        </w:tc>
        <w:tc>
          <w:tcPr>
            <w:tcW w:w="3589" w:type="dxa"/>
            <w:tcBorders>
              <w:top w:val="single" w:sz="4" w:space="0" w:color="000000"/>
              <w:left w:val="single" w:sz="4" w:space="0" w:color="000000"/>
              <w:bottom w:val="single" w:sz="4" w:space="0" w:color="000000"/>
              <w:right w:val="single" w:sz="4" w:space="0" w:color="000000"/>
            </w:tcBorders>
          </w:tcPr>
          <w:p w14:paraId="5D823372" w14:textId="77777777" w:rsidR="006F76EB" w:rsidRPr="00834D52" w:rsidRDefault="006F76EB" w:rsidP="003B78AE">
            <w:pPr>
              <w:spacing w:after="120" w:line="240" w:lineRule="auto"/>
              <w:ind w:right="-6"/>
              <w:rPr>
                <w:rFonts w:ascii="Sylfaen" w:hAnsi="Sylfaen"/>
                <w:sz w:val="24"/>
                <w:szCs w:val="24"/>
              </w:rPr>
            </w:pPr>
          </w:p>
        </w:tc>
      </w:tr>
      <w:tr w:rsidR="006F76EB" w:rsidRPr="00834D52" w14:paraId="30C7BC46" w14:textId="77777777" w:rsidTr="003B78AE">
        <w:trPr>
          <w:trHeight w:val="1401"/>
          <w:jc w:val="center"/>
        </w:trPr>
        <w:tc>
          <w:tcPr>
            <w:tcW w:w="6130" w:type="dxa"/>
            <w:tcBorders>
              <w:top w:val="single" w:sz="4" w:space="0" w:color="000000"/>
              <w:left w:val="single" w:sz="4" w:space="0" w:color="000000"/>
              <w:bottom w:val="single" w:sz="4" w:space="0" w:color="000000"/>
              <w:right w:val="single" w:sz="4" w:space="0" w:color="000000"/>
            </w:tcBorders>
          </w:tcPr>
          <w:p w14:paraId="7ED5A755" w14:textId="77777777" w:rsidR="006F76EB" w:rsidRPr="00834D52" w:rsidRDefault="006F76EB" w:rsidP="003B78AE">
            <w:pPr>
              <w:spacing w:after="120" w:line="240" w:lineRule="auto"/>
              <w:ind w:left="180" w:right="-6"/>
              <w:rPr>
                <w:rFonts w:ascii="Sylfaen" w:hAnsi="Sylfaen"/>
                <w:sz w:val="24"/>
                <w:szCs w:val="24"/>
              </w:rPr>
            </w:pPr>
            <w:r w:rsidRPr="00834D52">
              <w:rPr>
                <w:rFonts w:ascii="Sylfaen" w:hAnsi="Sylfaen"/>
                <w:sz w:val="24"/>
                <w:szCs w:val="24"/>
              </w:rPr>
              <w:t>ԱԴԲ արտադրողի անվանումը, եթե այն տարբերվում է ԱԴԲ արտադրողի մաստեր-ֆայլի իրավատիրոջից</w:t>
            </w:r>
          </w:p>
        </w:tc>
        <w:tc>
          <w:tcPr>
            <w:tcW w:w="3589" w:type="dxa"/>
            <w:tcBorders>
              <w:top w:val="single" w:sz="4" w:space="0" w:color="000000"/>
              <w:left w:val="single" w:sz="4" w:space="0" w:color="000000"/>
              <w:bottom w:val="single" w:sz="4" w:space="0" w:color="000000"/>
              <w:right w:val="single" w:sz="4" w:space="0" w:color="000000"/>
            </w:tcBorders>
          </w:tcPr>
          <w:p w14:paraId="658169E1" w14:textId="77777777" w:rsidR="006F76EB" w:rsidRPr="00834D52" w:rsidRDefault="006F76EB" w:rsidP="003B78AE">
            <w:pPr>
              <w:spacing w:after="120" w:line="240" w:lineRule="auto"/>
              <w:ind w:right="-6"/>
              <w:rPr>
                <w:rFonts w:ascii="Sylfaen" w:hAnsi="Sylfaen"/>
                <w:sz w:val="24"/>
                <w:szCs w:val="24"/>
              </w:rPr>
            </w:pPr>
          </w:p>
        </w:tc>
      </w:tr>
      <w:tr w:rsidR="006F76EB" w:rsidRPr="00834D52" w14:paraId="375B3BFA" w14:textId="77777777" w:rsidTr="003B78AE">
        <w:trPr>
          <w:trHeight w:val="566"/>
          <w:jc w:val="center"/>
        </w:trPr>
        <w:tc>
          <w:tcPr>
            <w:tcW w:w="6130" w:type="dxa"/>
            <w:tcBorders>
              <w:top w:val="single" w:sz="4" w:space="0" w:color="000000"/>
              <w:left w:val="single" w:sz="4" w:space="0" w:color="000000"/>
              <w:bottom w:val="single" w:sz="4" w:space="0" w:color="000000"/>
              <w:right w:val="single" w:sz="4" w:space="0" w:color="000000"/>
            </w:tcBorders>
          </w:tcPr>
          <w:p w14:paraId="798E939B" w14:textId="77777777" w:rsidR="006F76EB" w:rsidRPr="00834D52" w:rsidRDefault="006F76EB" w:rsidP="003B78AE">
            <w:pPr>
              <w:spacing w:after="120" w:line="240" w:lineRule="auto"/>
              <w:ind w:left="180" w:right="-6"/>
              <w:rPr>
                <w:rFonts w:ascii="Sylfaen" w:hAnsi="Sylfaen"/>
                <w:sz w:val="24"/>
                <w:szCs w:val="24"/>
              </w:rPr>
            </w:pPr>
            <w:r w:rsidRPr="00834D52">
              <w:rPr>
                <w:rFonts w:ascii="Sylfaen" w:hAnsi="Sylfaen"/>
                <w:sz w:val="24"/>
                <w:szCs w:val="24"/>
              </w:rPr>
              <w:t>վերջին վերանայման ամսաթիվը</w:t>
            </w:r>
          </w:p>
        </w:tc>
        <w:tc>
          <w:tcPr>
            <w:tcW w:w="3589" w:type="dxa"/>
            <w:tcBorders>
              <w:top w:val="single" w:sz="4" w:space="0" w:color="000000"/>
              <w:left w:val="single" w:sz="4" w:space="0" w:color="000000"/>
              <w:bottom w:val="single" w:sz="4" w:space="0" w:color="000000"/>
              <w:right w:val="single" w:sz="4" w:space="0" w:color="000000"/>
            </w:tcBorders>
          </w:tcPr>
          <w:p w14:paraId="6DC19AC4" w14:textId="77777777" w:rsidR="006F76EB" w:rsidRPr="00834D52" w:rsidRDefault="006F76EB" w:rsidP="003B78AE">
            <w:pPr>
              <w:spacing w:after="120" w:line="240" w:lineRule="auto"/>
              <w:ind w:right="-6"/>
              <w:rPr>
                <w:rFonts w:ascii="Sylfaen" w:hAnsi="Sylfaen"/>
                <w:sz w:val="24"/>
                <w:szCs w:val="24"/>
              </w:rPr>
            </w:pPr>
          </w:p>
        </w:tc>
      </w:tr>
    </w:tbl>
    <w:p w14:paraId="4218B98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տրամադրվել է պատվաստանյութային հակածնի մաստեր-ֆայլի (այսուհետ՝ ՊՀՄՖ) սերտիֆիկատ, որն օգտագործվում է այս դոսյեում, թե այն ստանալու հայտ է ներկայացվել՝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C3E5146" w14:textId="77777777" w:rsidTr="00F71229">
        <w:trPr>
          <w:jc w:val="center"/>
        </w:trPr>
        <w:tc>
          <w:tcPr>
            <w:tcW w:w="1560" w:type="dxa"/>
          </w:tcPr>
          <w:p w14:paraId="4991D2AC"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F25956B">
                <v:rect id="_x0000_s1144" style="position:absolute;left:0;text-align:left;margin-left:8.25pt;margin-top:4.05pt;width:12.75pt;height:12pt;z-index:251593216"/>
              </w:pict>
            </w:r>
            <w:r w:rsidR="006F76EB" w:rsidRPr="00834D52">
              <w:rPr>
                <w:rFonts w:ascii="Sylfaen" w:hAnsi="Sylfaen"/>
                <w:sz w:val="24"/>
                <w:szCs w:val="24"/>
              </w:rPr>
              <w:t>ոչ</w:t>
            </w:r>
          </w:p>
        </w:tc>
        <w:tc>
          <w:tcPr>
            <w:tcW w:w="1559" w:type="dxa"/>
          </w:tcPr>
          <w:p w14:paraId="7A4BE287"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1FE20B94">
                <v:rect id="_x0000_s1145" style="position:absolute;left:0;text-align:left;margin-left:.5pt;margin-top:4.05pt;width:12.75pt;height:12pt;z-index:251594240;mso-position-horizontal-relative:text;mso-position-vertical-relative:text"/>
              </w:pict>
            </w:r>
            <w:r w:rsidR="006F76EB" w:rsidRPr="00834D52">
              <w:rPr>
                <w:rFonts w:ascii="Sylfaen" w:hAnsi="Sylfaen"/>
                <w:sz w:val="24"/>
                <w:szCs w:val="24"/>
              </w:rPr>
              <w:t>այո</w:t>
            </w:r>
          </w:p>
        </w:tc>
      </w:tr>
    </w:tbl>
    <w:p w14:paraId="0DC0CA91"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w:t>
      </w:r>
    </w:p>
    <w:tbl>
      <w:tblPr>
        <w:tblW w:w="9653" w:type="dxa"/>
        <w:jc w:val="center"/>
        <w:tblLayout w:type="fixed"/>
        <w:tblCellMar>
          <w:left w:w="0" w:type="dxa"/>
          <w:right w:w="0" w:type="dxa"/>
        </w:tblCellMar>
        <w:tblLook w:val="01E0" w:firstRow="1" w:lastRow="1" w:firstColumn="1" w:lastColumn="1" w:noHBand="0" w:noVBand="0"/>
      </w:tblPr>
      <w:tblGrid>
        <w:gridCol w:w="5112"/>
        <w:gridCol w:w="4541"/>
      </w:tblGrid>
      <w:tr w:rsidR="006F76EB" w:rsidRPr="00834D52" w14:paraId="4A3049FB" w14:textId="77777777" w:rsidTr="00815B19">
        <w:trPr>
          <w:trHeight w:val="821"/>
          <w:jc w:val="center"/>
        </w:trPr>
        <w:tc>
          <w:tcPr>
            <w:tcW w:w="5112" w:type="dxa"/>
            <w:tcBorders>
              <w:top w:val="single" w:sz="4" w:space="0" w:color="000000"/>
              <w:left w:val="single" w:sz="4" w:space="0" w:color="000000"/>
              <w:bottom w:val="single" w:sz="4" w:space="0" w:color="000000"/>
              <w:right w:val="single" w:sz="4" w:space="0" w:color="000000"/>
            </w:tcBorders>
          </w:tcPr>
          <w:p w14:paraId="3827D1E0"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պատվաստանյութային հակածնի անվանումը</w:t>
            </w:r>
          </w:p>
        </w:tc>
        <w:tc>
          <w:tcPr>
            <w:tcW w:w="4541" w:type="dxa"/>
            <w:tcBorders>
              <w:top w:val="single" w:sz="4" w:space="0" w:color="000000"/>
              <w:left w:val="single" w:sz="4" w:space="0" w:color="000000"/>
              <w:bottom w:val="single" w:sz="4" w:space="0" w:color="000000"/>
              <w:right w:val="single" w:sz="4" w:space="0" w:color="000000"/>
            </w:tcBorders>
          </w:tcPr>
          <w:p w14:paraId="6AAB56DD" w14:textId="77777777" w:rsidR="006F76EB" w:rsidRPr="00834D52" w:rsidRDefault="006F76EB" w:rsidP="00815B19">
            <w:pPr>
              <w:spacing w:after="120" w:line="240" w:lineRule="auto"/>
              <w:ind w:right="-6"/>
              <w:rPr>
                <w:rFonts w:ascii="Sylfaen" w:hAnsi="Sylfaen"/>
                <w:sz w:val="24"/>
                <w:szCs w:val="24"/>
              </w:rPr>
            </w:pPr>
          </w:p>
        </w:tc>
      </w:tr>
      <w:tr w:rsidR="006F76EB" w:rsidRPr="00834D52" w14:paraId="79C64FF4" w14:textId="77777777" w:rsidTr="00815B19">
        <w:trPr>
          <w:trHeight w:val="1176"/>
          <w:jc w:val="center"/>
        </w:trPr>
        <w:tc>
          <w:tcPr>
            <w:tcW w:w="5112" w:type="dxa"/>
            <w:tcBorders>
              <w:top w:val="single" w:sz="4" w:space="0" w:color="000000"/>
              <w:left w:val="single" w:sz="4" w:space="0" w:color="000000"/>
              <w:bottom w:val="single" w:sz="4" w:space="0" w:color="000000"/>
              <w:right w:val="single" w:sz="4" w:space="0" w:color="000000"/>
            </w:tcBorders>
          </w:tcPr>
          <w:p w14:paraId="3992F907"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պատվաստանյութային հակածնի արտադրողի (ՊՀՄՖ-ի սերտիֆիկատին տիրապետողի) անվանումը</w:t>
            </w:r>
          </w:p>
        </w:tc>
        <w:tc>
          <w:tcPr>
            <w:tcW w:w="4541" w:type="dxa"/>
            <w:tcBorders>
              <w:top w:val="single" w:sz="4" w:space="0" w:color="000000"/>
              <w:left w:val="single" w:sz="4" w:space="0" w:color="000000"/>
              <w:bottom w:val="single" w:sz="4" w:space="0" w:color="000000"/>
              <w:right w:val="single" w:sz="4" w:space="0" w:color="000000"/>
            </w:tcBorders>
          </w:tcPr>
          <w:p w14:paraId="56684906" w14:textId="77777777" w:rsidR="006F76EB" w:rsidRPr="00834D52" w:rsidRDefault="006F76EB" w:rsidP="00815B19">
            <w:pPr>
              <w:spacing w:after="120" w:line="240" w:lineRule="auto"/>
              <w:ind w:right="-6"/>
              <w:rPr>
                <w:rFonts w:ascii="Sylfaen" w:hAnsi="Sylfaen"/>
                <w:sz w:val="24"/>
                <w:szCs w:val="24"/>
              </w:rPr>
            </w:pPr>
          </w:p>
        </w:tc>
      </w:tr>
      <w:tr w:rsidR="006F76EB" w:rsidRPr="00834D52" w14:paraId="1D9D3A4E" w14:textId="77777777" w:rsidTr="00815B19">
        <w:trPr>
          <w:trHeight w:val="485"/>
          <w:jc w:val="center"/>
        </w:trPr>
        <w:tc>
          <w:tcPr>
            <w:tcW w:w="5112" w:type="dxa"/>
            <w:tcBorders>
              <w:top w:val="single" w:sz="4" w:space="0" w:color="000000"/>
              <w:left w:val="single" w:sz="4" w:space="0" w:color="000000"/>
              <w:bottom w:val="single" w:sz="4" w:space="0" w:color="000000"/>
              <w:right w:val="single" w:sz="4" w:space="0" w:color="000000"/>
            </w:tcBorders>
          </w:tcPr>
          <w:p w14:paraId="47F64F9B"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հայտի (սերտիֆիկատի) համարը</w:t>
            </w:r>
          </w:p>
        </w:tc>
        <w:tc>
          <w:tcPr>
            <w:tcW w:w="4541" w:type="dxa"/>
            <w:tcBorders>
              <w:top w:val="single" w:sz="4" w:space="0" w:color="000000"/>
              <w:left w:val="single" w:sz="4" w:space="0" w:color="000000"/>
              <w:bottom w:val="single" w:sz="4" w:space="0" w:color="000000"/>
              <w:right w:val="single" w:sz="4" w:space="0" w:color="000000"/>
            </w:tcBorders>
          </w:tcPr>
          <w:p w14:paraId="4F58D2D6" w14:textId="77777777" w:rsidR="006F76EB" w:rsidRPr="00834D52" w:rsidRDefault="006F76EB" w:rsidP="00815B19">
            <w:pPr>
              <w:spacing w:after="120" w:line="240" w:lineRule="auto"/>
              <w:ind w:right="-6"/>
              <w:rPr>
                <w:rFonts w:ascii="Sylfaen" w:hAnsi="Sylfaen"/>
                <w:sz w:val="24"/>
                <w:szCs w:val="24"/>
              </w:rPr>
            </w:pPr>
          </w:p>
        </w:tc>
      </w:tr>
      <w:tr w:rsidR="006F76EB" w:rsidRPr="00834D52" w14:paraId="31B26C49" w14:textId="77777777" w:rsidTr="00815B19">
        <w:trPr>
          <w:trHeight w:val="821"/>
          <w:jc w:val="center"/>
        </w:trPr>
        <w:tc>
          <w:tcPr>
            <w:tcW w:w="5112" w:type="dxa"/>
            <w:tcBorders>
              <w:top w:val="single" w:sz="4" w:space="0" w:color="000000"/>
              <w:left w:val="single" w:sz="4" w:space="0" w:color="000000"/>
              <w:bottom w:val="single" w:sz="4" w:space="0" w:color="000000"/>
              <w:right w:val="single" w:sz="4" w:space="0" w:color="000000"/>
            </w:tcBorders>
          </w:tcPr>
          <w:p w14:paraId="33D27EA7"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ներկայացման ամսաթիվը (եթե քննարկման փուլում է)</w:t>
            </w:r>
          </w:p>
        </w:tc>
        <w:tc>
          <w:tcPr>
            <w:tcW w:w="4541" w:type="dxa"/>
            <w:tcBorders>
              <w:top w:val="single" w:sz="4" w:space="0" w:color="000000"/>
              <w:left w:val="single" w:sz="4" w:space="0" w:color="000000"/>
              <w:bottom w:val="single" w:sz="4" w:space="0" w:color="000000"/>
              <w:right w:val="single" w:sz="4" w:space="0" w:color="000000"/>
            </w:tcBorders>
          </w:tcPr>
          <w:p w14:paraId="2D51AEFA" w14:textId="77777777" w:rsidR="006F76EB" w:rsidRPr="00834D52" w:rsidRDefault="006F76EB" w:rsidP="00815B19">
            <w:pPr>
              <w:spacing w:after="120" w:line="240" w:lineRule="auto"/>
              <w:ind w:right="-6"/>
              <w:rPr>
                <w:rFonts w:ascii="Sylfaen" w:hAnsi="Sylfaen"/>
                <w:sz w:val="24"/>
                <w:szCs w:val="24"/>
              </w:rPr>
            </w:pPr>
          </w:p>
        </w:tc>
      </w:tr>
      <w:tr w:rsidR="006F76EB" w:rsidRPr="00834D52" w14:paraId="283A9D87" w14:textId="77777777" w:rsidTr="00815B19">
        <w:trPr>
          <w:trHeight w:val="839"/>
          <w:jc w:val="center"/>
        </w:trPr>
        <w:tc>
          <w:tcPr>
            <w:tcW w:w="5112" w:type="dxa"/>
            <w:tcBorders>
              <w:top w:val="single" w:sz="4" w:space="0" w:color="000000"/>
              <w:left w:val="single" w:sz="4" w:space="0" w:color="000000"/>
              <w:bottom w:val="single" w:sz="4" w:space="0" w:color="000000"/>
              <w:right w:val="single" w:sz="4" w:space="0" w:color="000000"/>
            </w:tcBorders>
          </w:tcPr>
          <w:p w14:paraId="24F10097"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 (եթե առկա է)</w:t>
            </w:r>
          </w:p>
        </w:tc>
        <w:tc>
          <w:tcPr>
            <w:tcW w:w="4541" w:type="dxa"/>
            <w:tcBorders>
              <w:top w:val="single" w:sz="4" w:space="0" w:color="000000"/>
              <w:left w:val="single" w:sz="4" w:space="0" w:color="000000"/>
              <w:bottom w:val="single" w:sz="4" w:space="0" w:color="000000"/>
              <w:right w:val="single" w:sz="4" w:space="0" w:color="000000"/>
            </w:tcBorders>
          </w:tcPr>
          <w:p w14:paraId="4CB0730D" w14:textId="77777777" w:rsidR="006F76EB" w:rsidRPr="00834D52" w:rsidRDefault="006F76EB" w:rsidP="00815B19">
            <w:pPr>
              <w:spacing w:after="120" w:line="240" w:lineRule="auto"/>
              <w:ind w:right="-6"/>
              <w:rPr>
                <w:rFonts w:ascii="Sylfaen" w:hAnsi="Sylfaen"/>
                <w:sz w:val="24"/>
                <w:szCs w:val="24"/>
              </w:rPr>
            </w:pPr>
          </w:p>
        </w:tc>
      </w:tr>
    </w:tbl>
    <w:p w14:paraId="6BBA1BC8" w14:textId="77777777" w:rsidR="006F76EB" w:rsidRPr="00834D52" w:rsidRDefault="006F76EB" w:rsidP="00E13489">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2.5.6.</w:t>
      </w:r>
      <w:r w:rsidRPr="00834D52">
        <w:rPr>
          <w:rFonts w:ascii="Sylfaen" w:hAnsi="Sylfaen"/>
          <w:sz w:val="24"/>
          <w:szCs w:val="24"/>
        </w:rPr>
        <w:tab/>
        <w:t xml:space="preserve">Կենսամատչելիությունը </w:t>
      </w:r>
      <w:r w:rsidR="00C54D75">
        <w:rPr>
          <w:rFonts w:ascii="Sylfaen" w:hAnsi="Sylfaen"/>
          <w:sz w:val="24"/>
          <w:szCs w:val="24"/>
        </w:rPr>
        <w:t>և</w:t>
      </w:r>
      <w:r w:rsidRPr="00834D52">
        <w:rPr>
          <w:rFonts w:ascii="Sylfaen" w:hAnsi="Sylfaen"/>
          <w:sz w:val="24"/>
          <w:szCs w:val="24"/>
        </w:rPr>
        <w:t xml:space="preserve"> (կամ) կենսահամարժեքությունը որոշելու համար կլինիկական հետազոտության մեջ ներգրավվող պայմանագրային հետազոտական կազմակերպությունները, կամ որոնք ներգրավվել են արյան պատրաստուկների արտադրության գործընթացների վալիդացման համար</w:t>
      </w:r>
    </w:p>
    <w:p w14:paraId="5DC8BC65" w14:textId="77777777" w:rsidR="006F76EB" w:rsidRPr="00834D52" w:rsidRDefault="006F76EB" w:rsidP="00E13489">
      <w:pPr>
        <w:spacing w:after="160" w:line="336" w:lineRule="auto"/>
        <w:ind w:right="-6" w:firstLine="567"/>
        <w:jc w:val="both"/>
        <w:rPr>
          <w:rFonts w:ascii="Sylfaen" w:hAnsi="Sylfaen"/>
          <w:sz w:val="24"/>
          <w:szCs w:val="24"/>
        </w:rPr>
      </w:pPr>
      <w:r w:rsidRPr="00834D52">
        <w:rPr>
          <w:rFonts w:ascii="Sylfaen" w:hAnsi="Sylfaen"/>
          <w:sz w:val="24"/>
          <w:szCs w:val="24"/>
        </w:rPr>
        <w:t xml:space="preserve">Յուրաքանչյուր պայմանագրային հետազոտական կազմակերպության համար նշե՛ք, թե որտեղ են անցկացվել վերլուծական փորձարկումները </w:t>
      </w:r>
      <w:r w:rsidR="00C54D75">
        <w:rPr>
          <w:rFonts w:ascii="Sylfaen" w:hAnsi="Sylfaen"/>
          <w:sz w:val="24"/>
          <w:szCs w:val="24"/>
        </w:rPr>
        <w:t>և</w:t>
      </w:r>
      <w:r w:rsidRPr="00834D52">
        <w:rPr>
          <w:rFonts w:ascii="Sylfaen" w:hAnsi="Sylfaen"/>
          <w:sz w:val="24"/>
          <w:szCs w:val="24"/>
        </w:rPr>
        <w:t xml:space="preserve"> իրականացվել կլինիկական տվյալների հավաքագրումը, ինչպես նա</w:t>
      </w:r>
      <w:r w:rsidR="00C54D75">
        <w:rPr>
          <w:rFonts w:ascii="Sylfaen" w:hAnsi="Sylfaen"/>
          <w:sz w:val="24"/>
          <w:szCs w:val="24"/>
        </w:rPr>
        <w:t>և</w:t>
      </w:r>
      <w:r w:rsidRPr="00834D52">
        <w:rPr>
          <w:rFonts w:ascii="Sylfaen" w:hAnsi="Sylfaen"/>
          <w:sz w:val="24"/>
          <w:szCs w:val="24"/>
        </w:rPr>
        <w:t>՝</w:t>
      </w:r>
    </w:p>
    <w:tbl>
      <w:tblPr>
        <w:tblW w:w="9703" w:type="dxa"/>
        <w:jc w:val="center"/>
        <w:tblLayout w:type="fixed"/>
        <w:tblCellMar>
          <w:left w:w="0" w:type="dxa"/>
          <w:right w:w="0" w:type="dxa"/>
        </w:tblCellMar>
        <w:tblLook w:val="01E0" w:firstRow="1" w:lastRow="1" w:firstColumn="1" w:lastColumn="1" w:noHBand="0" w:noVBand="0"/>
      </w:tblPr>
      <w:tblGrid>
        <w:gridCol w:w="5177"/>
        <w:gridCol w:w="4526"/>
      </w:tblGrid>
      <w:tr w:rsidR="006F76EB" w:rsidRPr="00834D52" w14:paraId="7581E7CD" w14:textId="77777777" w:rsidTr="005A3BE2">
        <w:trPr>
          <w:trHeight w:val="456"/>
          <w:jc w:val="center"/>
        </w:trPr>
        <w:tc>
          <w:tcPr>
            <w:tcW w:w="5177" w:type="dxa"/>
            <w:tcBorders>
              <w:top w:val="single" w:sz="4" w:space="0" w:color="000000"/>
              <w:left w:val="single" w:sz="4" w:space="0" w:color="000000"/>
              <w:bottom w:val="single" w:sz="4" w:space="0" w:color="000000"/>
              <w:right w:val="single" w:sz="4" w:space="0" w:color="000000"/>
            </w:tcBorders>
          </w:tcPr>
          <w:p w14:paraId="78F04887"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հետազոտության անվանումը</w:t>
            </w:r>
          </w:p>
        </w:tc>
        <w:tc>
          <w:tcPr>
            <w:tcW w:w="4526" w:type="dxa"/>
            <w:tcBorders>
              <w:top w:val="single" w:sz="4" w:space="0" w:color="000000"/>
              <w:left w:val="single" w:sz="4" w:space="0" w:color="000000"/>
              <w:bottom w:val="single" w:sz="4" w:space="0" w:color="000000"/>
              <w:right w:val="single" w:sz="4" w:space="0" w:color="000000"/>
            </w:tcBorders>
          </w:tcPr>
          <w:p w14:paraId="351B5B14" w14:textId="77777777" w:rsidR="006F76EB" w:rsidRPr="00834D52" w:rsidRDefault="006F76EB" w:rsidP="00815B19">
            <w:pPr>
              <w:spacing w:after="120" w:line="240" w:lineRule="auto"/>
              <w:ind w:right="-6"/>
              <w:rPr>
                <w:rFonts w:ascii="Sylfaen" w:hAnsi="Sylfaen"/>
                <w:sz w:val="24"/>
                <w:szCs w:val="24"/>
              </w:rPr>
            </w:pPr>
          </w:p>
        </w:tc>
      </w:tr>
      <w:tr w:rsidR="006F76EB" w:rsidRPr="00834D52" w14:paraId="24215B0F" w14:textId="77777777" w:rsidTr="005A3BE2">
        <w:trPr>
          <w:trHeight w:val="456"/>
          <w:jc w:val="center"/>
        </w:trPr>
        <w:tc>
          <w:tcPr>
            <w:tcW w:w="5177" w:type="dxa"/>
            <w:tcBorders>
              <w:top w:val="single" w:sz="4" w:space="0" w:color="000000"/>
              <w:left w:val="single" w:sz="4" w:space="0" w:color="000000"/>
              <w:bottom w:val="single" w:sz="4" w:space="0" w:color="000000"/>
              <w:right w:val="single" w:sz="4" w:space="0" w:color="000000"/>
            </w:tcBorders>
          </w:tcPr>
          <w:p w14:paraId="13A6A600"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արձանագրության ծածկագիրը</w:t>
            </w:r>
          </w:p>
        </w:tc>
        <w:tc>
          <w:tcPr>
            <w:tcW w:w="4526" w:type="dxa"/>
            <w:tcBorders>
              <w:top w:val="single" w:sz="4" w:space="0" w:color="000000"/>
              <w:left w:val="single" w:sz="4" w:space="0" w:color="000000"/>
              <w:bottom w:val="single" w:sz="4" w:space="0" w:color="000000"/>
              <w:right w:val="single" w:sz="4" w:space="0" w:color="000000"/>
            </w:tcBorders>
          </w:tcPr>
          <w:p w14:paraId="7B3B11A8" w14:textId="77777777" w:rsidR="006F76EB" w:rsidRPr="00834D52" w:rsidRDefault="006F76EB" w:rsidP="00815B19">
            <w:pPr>
              <w:spacing w:after="120" w:line="240" w:lineRule="auto"/>
              <w:ind w:right="-6"/>
              <w:rPr>
                <w:rFonts w:ascii="Sylfaen" w:hAnsi="Sylfaen"/>
                <w:sz w:val="24"/>
                <w:szCs w:val="24"/>
              </w:rPr>
            </w:pPr>
          </w:p>
        </w:tc>
      </w:tr>
      <w:tr w:rsidR="006F76EB" w:rsidRPr="00834D52" w14:paraId="499B24C9" w14:textId="77777777" w:rsidTr="005A3BE2">
        <w:trPr>
          <w:trHeight w:val="439"/>
          <w:jc w:val="center"/>
        </w:trPr>
        <w:tc>
          <w:tcPr>
            <w:tcW w:w="5177" w:type="dxa"/>
            <w:tcBorders>
              <w:top w:val="single" w:sz="4" w:space="0" w:color="000000"/>
              <w:left w:val="single" w:sz="4" w:space="0" w:color="000000"/>
              <w:bottom w:val="single" w:sz="4" w:space="0" w:color="000000"/>
              <w:right w:val="single" w:sz="4" w:space="0" w:color="000000"/>
            </w:tcBorders>
          </w:tcPr>
          <w:p w14:paraId="2EAF2033"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EudraCT-ի համարը (առկայության դեպքում)</w:t>
            </w:r>
          </w:p>
        </w:tc>
        <w:tc>
          <w:tcPr>
            <w:tcW w:w="4526" w:type="dxa"/>
            <w:tcBorders>
              <w:top w:val="single" w:sz="4" w:space="0" w:color="000000"/>
              <w:left w:val="single" w:sz="4" w:space="0" w:color="000000"/>
              <w:bottom w:val="single" w:sz="4" w:space="0" w:color="000000"/>
              <w:right w:val="single" w:sz="4" w:space="0" w:color="000000"/>
            </w:tcBorders>
          </w:tcPr>
          <w:p w14:paraId="0F72FE86" w14:textId="77777777" w:rsidR="006F76EB" w:rsidRPr="00834D52" w:rsidRDefault="006F76EB" w:rsidP="00815B19">
            <w:pPr>
              <w:spacing w:after="120" w:line="240" w:lineRule="auto"/>
              <w:ind w:right="-6"/>
              <w:rPr>
                <w:rFonts w:ascii="Sylfaen" w:hAnsi="Sylfaen"/>
                <w:sz w:val="24"/>
                <w:szCs w:val="24"/>
              </w:rPr>
            </w:pPr>
          </w:p>
        </w:tc>
      </w:tr>
      <w:tr w:rsidR="006F76EB" w:rsidRPr="00834D52" w14:paraId="58425F9E" w14:textId="77777777" w:rsidTr="005A3BE2">
        <w:trPr>
          <w:trHeight w:val="772"/>
          <w:jc w:val="center"/>
        </w:trPr>
        <w:tc>
          <w:tcPr>
            <w:tcW w:w="5177" w:type="dxa"/>
            <w:tcBorders>
              <w:top w:val="single" w:sz="4" w:space="0" w:color="000000"/>
              <w:left w:val="single" w:sz="4" w:space="0" w:color="000000"/>
              <w:bottom w:val="single" w:sz="4" w:space="0" w:color="000000"/>
              <w:right w:val="single" w:sz="4" w:space="0" w:color="000000"/>
            </w:tcBorders>
          </w:tcPr>
          <w:p w14:paraId="5FDEFF25"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ClinicalTrials.gov-ի համարը (առկայության դեպքում)</w:t>
            </w:r>
          </w:p>
        </w:tc>
        <w:tc>
          <w:tcPr>
            <w:tcW w:w="4526" w:type="dxa"/>
            <w:tcBorders>
              <w:top w:val="single" w:sz="4" w:space="0" w:color="000000"/>
              <w:left w:val="single" w:sz="4" w:space="0" w:color="000000"/>
              <w:bottom w:val="single" w:sz="4" w:space="0" w:color="000000"/>
              <w:right w:val="single" w:sz="4" w:space="0" w:color="000000"/>
            </w:tcBorders>
          </w:tcPr>
          <w:p w14:paraId="08EF1D44" w14:textId="77777777" w:rsidR="006F76EB" w:rsidRPr="00834D52" w:rsidRDefault="006F76EB" w:rsidP="00815B19">
            <w:pPr>
              <w:spacing w:after="120" w:line="240" w:lineRule="auto"/>
              <w:ind w:right="-6"/>
              <w:rPr>
                <w:rFonts w:ascii="Sylfaen" w:hAnsi="Sylfaen"/>
                <w:sz w:val="24"/>
                <w:szCs w:val="24"/>
              </w:rPr>
            </w:pPr>
          </w:p>
        </w:tc>
      </w:tr>
      <w:tr w:rsidR="006F76EB" w:rsidRPr="00834D52" w14:paraId="44BA98CC" w14:textId="77777777" w:rsidTr="005A3BE2">
        <w:trPr>
          <w:trHeight w:val="789"/>
          <w:jc w:val="center"/>
        </w:trPr>
        <w:tc>
          <w:tcPr>
            <w:tcW w:w="5177" w:type="dxa"/>
            <w:tcBorders>
              <w:top w:val="single" w:sz="4" w:space="0" w:color="000000"/>
              <w:left w:val="single" w:sz="4" w:space="0" w:color="000000"/>
              <w:bottom w:val="single" w:sz="4" w:space="0" w:color="000000"/>
              <w:right w:val="single" w:sz="4" w:space="0" w:color="000000"/>
            </w:tcBorders>
          </w:tcPr>
          <w:p w14:paraId="055B06CB"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պայմանագրային հետազոտական կազմակերպության անվանումը</w:t>
            </w:r>
          </w:p>
        </w:tc>
        <w:tc>
          <w:tcPr>
            <w:tcW w:w="4526" w:type="dxa"/>
            <w:tcBorders>
              <w:top w:val="single" w:sz="4" w:space="0" w:color="000000"/>
              <w:left w:val="single" w:sz="4" w:space="0" w:color="000000"/>
              <w:bottom w:val="single" w:sz="4" w:space="0" w:color="000000"/>
              <w:right w:val="single" w:sz="4" w:space="0" w:color="000000"/>
            </w:tcBorders>
          </w:tcPr>
          <w:p w14:paraId="10205DC9" w14:textId="77777777" w:rsidR="006F76EB" w:rsidRPr="00834D52" w:rsidRDefault="006F76EB" w:rsidP="00815B19">
            <w:pPr>
              <w:spacing w:after="120" w:line="240" w:lineRule="auto"/>
              <w:ind w:right="-6"/>
              <w:rPr>
                <w:rFonts w:ascii="Sylfaen" w:hAnsi="Sylfaen"/>
                <w:sz w:val="24"/>
                <w:szCs w:val="24"/>
              </w:rPr>
            </w:pPr>
          </w:p>
        </w:tc>
      </w:tr>
      <w:tr w:rsidR="006F76EB" w:rsidRPr="00834D52" w14:paraId="1E3F35C9" w14:textId="77777777" w:rsidTr="005A3BE2">
        <w:trPr>
          <w:trHeight w:val="772"/>
          <w:jc w:val="center"/>
        </w:trPr>
        <w:tc>
          <w:tcPr>
            <w:tcW w:w="5177" w:type="dxa"/>
            <w:tcBorders>
              <w:top w:val="single" w:sz="4" w:space="0" w:color="000000"/>
              <w:left w:val="single" w:sz="4" w:space="0" w:color="000000"/>
              <w:bottom w:val="single" w:sz="4" w:space="0" w:color="000000"/>
              <w:right w:val="single" w:sz="4" w:space="0" w:color="000000"/>
            </w:tcBorders>
          </w:tcPr>
          <w:p w14:paraId="4584AD77"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պայմանագրային հետազոտական կազմակերպության հասցեն</w:t>
            </w:r>
          </w:p>
        </w:tc>
        <w:tc>
          <w:tcPr>
            <w:tcW w:w="4526" w:type="dxa"/>
            <w:tcBorders>
              <w:top w:val="single" w:sz="4" w:space="0" w:color="000000"/>
              <w:left w:val="single" w:sz="4" w:space="0" w:color="000000"/>
              <w:bottom w:val="single" w:sz="4" w:space="0" w:color="000000"/>
              <w:right w:val="single" w:sz="4" w:space="0" w:color="000000"/>
            </w:tcBorders>
          </w:tcPr>
          <w:p w14:paraId="0DFF8287" w14:textId="77777777" w:rsidR="006F76EB" w:rsidRPr="00834D52" w:rsidRDefault="006F76EB" w:rsidP="00815B19">
            <w:pPr>
              <w:spacing w:after="120" w:line="240" w:lineRule="auto"/>
              <w:ind w:right="-6"/>
              <w:rPr>
                <w:rFonts w:ascii="Sylfaen" w:hAnsi="Sylfaen"/>
                <w:sz w:val="24"/>
                <w:szCs w:val="24"/>
              </w:rPr>
            </w:pPr>
          </w:p>
        </w:tc>
      </w:tr>
      <w:tr w:rsidR="006F76EB" w:rsidRPr="00834D52" w14:paraId="2E73623D" w14:textId="77777777" w:rsidTr="005A3BE2">
        <w:trPr>
          <w:trHeight w:val="789"/>
          <w:jc w:val="center"/>
        </w:trPr>
        <w:tc>
          <w:tcPr>
            <w:tcW w:w="5177" w:type="dxa"/>
            <w:tcBorders>
              <w:top w:val="single" w:sz="4" w:space="0" w:color="000000"/>
              <w:left w:val="single" w:sz="4" w:space="0" w:color="000000"/>
              <w:bottom w:val="single" w:sz="4" w:space="0" w:color="000000"/>
              <w:right w:val="single" w:sz="4" w:space="0" w:color="000000"/>
            </w:tcBorders>
          </w:tcPr>
          <w:p w14:paraId="79FF1118"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հեռախոսի </w:t>
            </w:r>
            <w:r w:rsidR="00C54D75">
              <w:rPr>
                <w:rFonts w:ascii="Sylfaen" w:hAnsi="Sylfaen"/>
                <w:sz w:val="24"/>
                <w:szCs w:val="24"/>
              </w:rPr>
              <w:t>և</w:t>
            </w:r>
            <w:r w:rsidRPr="00834D52">
              <w:rPr>
                <w:rFonts w:ascii="Sylfaen" w:hAnsi="Sylfaen"/>
                <w:sz w:val="24"/>
                <w:szCs w:val="24"/>
              </w:rPr>
              <w:t xml:space="preserve"> ֆաքսի համարները (առկայության դեպքում)</w:t>
            </w:r>
          </w:p>
        </w:tc>
        <w:tc>
          <w:tcPr>
            <w:tcW w:w="4526" w:type="dxa"/>
            <w:tcBorders>
              <w:top w:val="single" w:sz="4" w:space="0" w:color="000000"/>
              <w:left w:val="single" w:sz="4" w:space="0" w:color="000000"/>
              <w:bottom w:val="single" w:sz="4" w:space="0" w:color="000000"/>
              <w:right w:val="single" w:sz="4" w:space="0" w:color="000000"/>
            </w:tcBorders>
          </w:tcPr>
          <w:p w14:paraId="493FC4F2" w14:textId="77777777" w:rsidR="006F76EB" w:rsidRPr="00834D52" w:rsidRDefault="006F76EB" w:rsidP="00815B19">
            <w:pPr>
              <w:spacing w:after="120" w:line="240" w:lineRule="auto"/>
              <w:ind w:right="-6"/>
              <w:rPr>
                <w:rFonts w:ascii="Sylfaen" w:hAnsi="Sylfaen"/>
                <w:sz w:val="24"/>
                <w:szCs w:val="24"/>
              </w:rPr>
            </w:pPr>
          </w:p>
        </w:tc>
      </w:tr>
      <w:tr w:rsidR="006F76EB" w:rsidRPr="00834D52" w14:paraId="19F488FB" w14:textId="77777777" w:rsidTr="005A3BE2">
        <w:trPr>
          <w:trHeight w:val="456"/>
          <w:jc w:val="center"/>
        </w:trPr>
        <w:tc>
          <w:tcPr>
            <w:tcW w:w="5177" w:type="dxa"/>
            <w:tcBorders>
              <w:top w:val="single" w:sz="4" w:space="0" w:color="000000"/>
              <w:left w:val="single" w:sz="4" w:space="0" w:color="000000"/>
              <w:bottom w:val="single" w:sz="4" w:space="0" w:color="000000"/>
              <w:right w:val="single" w:sz="4" w:space="0" w:color="000000"/>
            </w:tcBorders>
          </w:tcPr>
          <w:p w14:paraId="1B8C8E56" w14:textId="77777777" w:rsidR="006F76EB" w:rsidRPr="00834D52" w:rsidRDefault="006F76EB" w:rsidP="00815B19">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26" w:type="dxa"/>
            <w:tcBorders>
              <w:top w:val="single" w:sz="4" w:space="0" w:color="000000"/>
              <w:left w:val="single" w:sz="4" w:space="0" w:color="000000"/>
              <w:bottom w:val="single" w:sz="4" w:space="0" w:color="000000"/>
              <w:right w:val="single" w:sz="4" w:space="0" w:color="000000"/>
            </w:tcBorders>
          </w:tcPr>
          <w:p w14:paraId="7A3D3A5A" w14:textId="77777777" w:rsidR="006F76EB" w:rsidRPr="00834D52" w:rsidRDefault="006F76EB" w:rsidP="00815B19">
            <w:pPr>
              <w:spacing w:after="120" w:line="240" w:lineRule="auto"/>
              <w:ind w:right="-6"/>
              <w:rPr>
                <w:rFonts w:ascii="Sylfaen" w:hAnsi="Sylfaen"/>
                <w:sz w:val="24"/>
                <w:szCs w:val="24"/>
              </w:rPr>
            </w:pPr>
          </w:p>
        </w:tc>
      </w:tr>
    </w:tbl>
    <w:p w14:paraId="5537C971" w14:textId="77777777" w:rsidR="006F76EB" w:rsidRPr="00834D52" w:rsidRDefault="006F76EB" w:rsidP="00E13489">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2.6.</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w:t>
      </w:r>
    </w:p>
    <w:p w14:paraId="5837E019" w14:textId="77777777" w:rsidR="006F76EB" w:rsidRPr="00834D52" w:rsidRDefault="006F76EB" w:rsidP="00E13489">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2.6.1.</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 (ԱԴՆ-ն </w:t>
      </w:r>
      <w:r w:rsidR="00C54D75">
        <w:rPr>
          <w:rFonts w:ascii="Sylfaen" w:hAnsi="Sylfaen"/>
          <w:sz w:val="24"/>
          <w:szCs w:val="24"/>
        </w:rPr>
        <w:t>և</w:t>
      </w:r>
      <w:r w:rsidRPr="00834D52">
        <w:rPr>
          <w:rFonts w:ascii="Sylfaen" w:hAnsi="Sylfaen"/>
          <w:sz w:val="24"/>
          <w:szCs w:val="24"/>
        </w:rPr>
        <w:t xml:space="preserve"> օժանդակ նյութերը)</w:t>
      </w:r>
    </w:p>
    <w:p w14:paraId="729CF612" w14:textId="77777777" w:rsidR="006F76EB" w:rsidRPr="00834D52" w:rsidRDefault="006F76EB" w:rsidP="00E13489">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Անհրաժեշտ է նշել, թե որ միավորով է բաղադրությունը (դոզավորված ձ</w:t>
      </w:r>
      <w:r w:rsidR="00C54D75">
        <w:rPr>
          <w:rFonts w:ascii="Sylfaen" w:hAnsi="Sylfaen"/>
          <w:sz w:val="24"/>
          <w:szCs w:val="24"/>
        </w:rPr>
        <w:t>և</w:t>
      </w:r>
      <w:r w:rsidRPr="00834D52">
        <w:rPr>
          <w:rFonts w:ascii="Sylfaen" w:hAnsi="Sylfaen"/>
          <w:sz w:val="24"/>
          <w:szCs w:val="24"/>
        </w:rPr>
        <w:t>ի, ծավալի, զանգվածի թե այլ միավորով):</w:t>
      </w:r>
    </w:p>
    <w:p w14:paraId="0A990C53" w14:textId="77777777" w:rsidR="006F76EB" w:rsidRPr="00834D52" w:rsidRDefault="006F76EB" w:rsidP="00E13489">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Թվարկե՛ք ԱԴԲ-ն օժանդակ նյութերից առանձին՝</w:t>
      </w:r>
    </w:p>
    <w:tbl>
      <w:tblPr>
        <w:tblW w:w="10603" w:type="dxa"/>
        <w:jc w:val="center"/>
        <w:tblLayout w:type="fixed"/>
        <w:tblCellMar>
          <w:left w:w="0" w:type="dxa"/>
          <w:right w:w="0" w:type="dxa"/>
        </w:tblCellMar>
        <w:tblLook w:val="01E0" w:firstRow="1" w:lastRow="1" w:firstColumn="1" w:lastColumn="1" w:noHBand="0" w:noVBand="0"/>
      </w:tblPr>
      <w:tblGrid>
        <w:gridCol w:w="908"/>
        <w:gridCol w:w="2553"/>
        <w:gridCol w:w="3399"/>
        <w:gridCol w:w="1418"/>
        <w:gridCol w:w="2325"/>
      </w:tblGrid>
      <w:tr w:rsidR="006F76EB" w:rsidRPr="00834D52" w14:paraId="3D942B94" w14:textId="77777777" w:rsidTr="00F71229">
        <w:trPr>
          <w:jc w:val="center"/>
        </w:trPr>
        <w:tc>
          <w:tcPr>
            <w:tcW w:w="908" w:type="dxa"/>
            <w:tcBorders>
              <w:top w:val="single" w:sz="4" w:space="0" w:color="000000"/>
              <w:left w:val="single" w:sz="4" w:space="0" w:color="000000"/>
              <w:bottom w:val="single" w:sz="4" w:space="0" w:color="000000"/>
              <w:right w:val="single" w:sz="4" w:space="0" w:color="000000"/>
            </w:tcBorders>
          </w:tcPr>
          <w:p w14:paraId="2C7A8254"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553" w:type="dxa"/>
            <w:tcBorders>
              <w:top w:val="single" w:sz="4" w:space="0" w:color="000000"/>
              <w:left w:val="single" w:sz="4" w:space="0" w:color="000000"/>
              <w:bottom w:val="single" w:sz="4" w:space="0" w:color="000000"/>
              <w:right w:val="single" w:sz="4" w:space="0" w:color="000000"/>
            </w:tcBorders>
            <w:vAlign w:val="center"/>
          </w:tcPr>
          <w:p w14:paraId="72E69080"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ԱԴԲ-ի անվանումը</w:t>
            </w:r>
          </w:p>
        </w:tc>
        <w:tc>
          <w:tcPr>
            <w:tcW w:w="3399" w:type="dxa"/>
            <w:tcBorders>
              <w:top w:val="single" w:sz="4" w:space="0" w:color="000000"/>
              <w:left w:val="single" w:sz="4" w:space="0" w:color="000000"/>
              <w:bottom w:val="single" w:sz="4" w:space="0" w:color="000000"/>
              <w:right w:val="single" w:sz="4" w:space="0" w:color="000000"/>
            </w:tcBorders>
            <w:vAlign w:val="center"/>
          </w:tcPr>
          <w:p w14:paraId="1242835A" w14:textId="77777777" w:rsidR="006F76EB" w:rsidRPr="00834D52" w:rsidRDefault="006F76EB" w:rsidP="00F71229">
            <w:pPr>
              <w:spacing w:after="120" w:line="240" w:lineRule="auto"/>
              <w:ind w:right="-3"/>
              <w:jc w:val="center"/>
              <w:rPr>
                <w:rFonts w:ascii="Sylfaen" w:eastAsia="Times New Roman" w:hAnsi="Sylfaen" w:cs="Times New Roman"/>
                <w:sz w:val="24"/>
                <w:szCs w:val="24"/>
              </w:rPr>
            </w:pPr>
            <w:r w:rsidRPr="00834D52">
              <w:rPr>
                <w:rFonts w:ascii="Sylfaen" w:hAnsi="Sylfaen"/>
                <w:sz w:val="24"/>
                <w:szCs w:val="24"/>
              </w:rPr>
              <w:t xml:space="preserve">Քանակությունը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418" w:type="dxa"/>
            <w:tcBorders>
              <w:top w:val="single" w:sz="4" w:space="0" w:color="000000"/>
              <w:left w:val="single" w:sz="4" w:space="0" w:color="000000"/>
              <w:bottom w:val="single" w:sz="4" w:space="0" w:color="000000"/>
              <w:right w:val="single" w:sz="4" w:space="0" w:color="000000"/>
            </w:tcBorders>
            <w:vAlign w:val="center"/>
          </w:tcPr>
          <w:p w14:paraId="1CB5C91F"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2325" w:type="dxa"/>
            <w:tcBorders>
              <w:top w:val="single" w:sz="4" w:space="0" w:color="000000"/>
              <w:left w:val="single" w:sz="4" w:space="0" w:color="000000"/>
              <w:bottom w:val="single" w:sz="4" w:space="0" w:color="000000"/>
              <w:right w:val="single" w:sz="4" w:space="0" w:color="000000"/>
            </w:tcBorders>
            <w:vAlign w:val="center"/>
          </w:tcPr>
          <w:p w14:paraId="04F1714C"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Հոդվածը (մենագրությունը)</w:t>
            </w:r>
          </w:p>
        </w:tc>
      </w:tr>
      <w:tr w:rsidR="006F76EB" w:rsidRPr="00834D52" w14:paraId="59B837EF" w14:textId="77777777" w:rsidTr="00F71229">
        <w:trPr>
          <w:jc w:val="center"/>
        </w:trPr>
        <w:tc>
          <w:tcPr>
            <w:tcW w:w="908" w:type="dxa"/>
            <w:tcBorders>
              <w:top w:val="single" w:sz="4" w:space="0" w:color="000000"/>
              <w:left w:val="single" w:sz="4" w:space="0" w:color="000000"/>
              <w:bottom w:val="single" w:sz="4" w:space="0" w:color="000000"/>
              <w:right w:val="single" w:sz="4" w:space="0" w:color="000000"/>
            </w:tcBorders>
          </w:tcPr>
          <w:p w14:paraId="7858A4BA"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553" w:type="dxa"/>
            <w:tcBorders>
              <w:top w:val="single" w:sz="4" w:space="0" w:color="000000"/>
              <w:left w:val="single" w:sz="4" w:space="0" w:color="000000"/>
              <w:bottom w:val="single" w:sz="4" w:space="0" w:color="000000"/>
              <w:right w:val="single" w:sz="4" w:space="0" w:color="000000"/>
            </w:tcBorders>
            <w:vAlign w:val="center"/>
          </w:tcPr>
          <w:p w14:paraId="7BB47D36"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Օժանդակ նյութերի անվանումը</w:t>
            </w:r>
          </w:p>
        </w:tc>
        <w:tc>
          <w:tcPr>
            <w:tcW w:w="3399" w:type="dxa"/>
            <w:tcBorders>
              <w:top w:val="single" w:sz="4" w:space="0" w:color="000000"/>
              <w:left w:val="single" w:sz="4" w:space="0" w:color="000000"/>
              <w:bottom w:val="single" w:sz="4" w:space="0" w:color="000000"/>
              <w:right w:val="single" w:sz="4" w:space="0" w:color="000000"/>
            </w:tcBorders>
            <w:vAlign w:val="center"/>
          </w:tcPr>
          <w:p w14:paraId="56347461"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Քանակությունը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418" w:type="dxa"/>
            <w:tcBorders>
              <w:top w:val="single" w:sz="4" w:space="0" w:color="000000"/>
              <w:left w:val="single" w:sz="4" w:space="0" w:color="000000"/>
              <w:bottom w:val="single" w:sz="4" w:space="0" w:color="000000"/>
              <w:right w:val="single" w:sz="4" w:space="0" w:color="000000"/>
            </w:tcBorders>
            <w:vAlign w:val="center"/>
          </w:tcPr>
          <w:p w14:paraId="35619F81"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2325" w:type="dxa"/>
            <w:tcBorders>
              <w:top w:val="single" w:sz="4" w:space="0" w:color="000000"/>
              <w:left w:val="single" w:sz="4" w:space="0" w:color="000000"/>
              <w:bottom w:val="single" w:sz="4" w:space="0" w:color="000000"/>
              <w:right w:val="single" w:sz="4" w:space="0" w:color="000000"/>
            </w:tcBorders>
            <w:vAlign w:val="center"/>
          </w:tcPr>
          <w:p w14:paraId="7D30F1C6" w14:textId="77777777" w:rsidR="006F76EB" w:rsidRPr="00834D52" w:rsidRDefault="006F76EB" w:rsidP="00F71229">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Հոդվածը (մենագրությունը)</w:t>
            </w:r>
          </w:p>
        </w:tc>
      </w:tr>
    </w:tbl>
    <w:p w14:paraId="0B46A12C" w14:textId="77777777" w:rsidR="006F76EB" w:rsidRPr="00834D52" w:rsidRDefault="006F76EB" w:rsidP="00E13489">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Ծանոթագրություն: Յուրաքանչյուր ԱԴԲ-ի համար անհրաժեշտ է նշել միայն մեկ անվանում հետ</w:t>
      </w:r>
      <w:r w:rsidR="00C54D75">
        <w:rPr>
          <w:rFonts w:ascii="Sylfaen" w:hAnsi="Sylfaen"/>
          <w:sz w:val="24"/>
          <w:szCs w:val="24"/>
        </w:rPr>
        <w:t>և</w:t>
      </w:r>
      <w:r w:rsidRPr="00834D52">
        <w:rPr>
          <w:rFonts w:ascii="Sylfaen" w:hAnsi="Sylfaen"/>
          <w:sz w:val="24"/>
          <w:szCs w:val="24"/>
        </w:rPr>
        <w:t>յալ հաջորդականությամբ՝ ՄՉԱ</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անվանումն ըստ Եվրասիական տնտեսական միության դեղագրքի, Եվրասիական տնտեսական միության անդամ պետությունների դեղագրքերի (կամ Եվրասիական տնտեսական միության անդամ պետությունների դեղագրքերի ներդաշնակեցման հայեցակարգին համապատասխան հիմնական դեղագրքերի), համընդհանուր կամ խմբային անվանումը, գիտական (քիմիական) անվանումը:</w:t>
      </w:r>
    </w:p>
    <w:p w14:paraId="2FA1C431" w14:textId="77777777" w:rsidR="006F76EB" w:rsidRPr="00834D52" w:rsidRDefault="006F76EB" w:rsidP="00E13489">
      <w:pPr>
        <w:spacing w:after="160" w:line="336" w:lineRule="auto"/>
        <w:ind w:right="-6" w:firstLine="567"/>
        <w:jc w:val="both"/>
        <w:rPr>
          <w:rFonts w:ascii="Sylfaen" w:hAnsi="Sylfaen"/>
          <w:sz w:val="24"/>
          <w:szCs w:val="24"/>
        </w:rPr>
      </w:pPr>
      <w:r w:rsidRPr="00834D52">
        <w:rPr>
          <w:rFonts w:ascii="Sylfaen" w:hAnsi="Sylfaen"/>
          <w:sz w:val="24"/>
          <w:szCs w:val="24"/>
        </w:rPr>
        <w:footnoteReference w:customMarkFollows="1" w:id="3"/>
        <w:t>Չի թույլատրվում ավելցուկի մասին տեղեկությունները նշել բաղադրությանը վերաբերող սյունակներում, դրանք անհրաժեշտ է շարադրել ստոր</w:t>
      </w:r>
      <w:r w:rsidR="00C54D75">
        <w:rPr>
          <w:rFonts w:ascii="Sylfaen" w:hAnsi="Sylfaen"/>
          <w:sz w:val="24"/>
          <w:szCs w:val="24"/>
        </w:rPr>
        <w:t>և</w:t>
      </w:r>
      <w:r w:rsidRPr="00834D52">
        <w:rPr>
          <w:rFonts w:ascii="Sylfaen" w:hAnsi="Sylfaen"/>
          <w:sz w:val="24"/>
          <w:szCs w:val="24"/>
        </w:rPr>
        <w:t>՝</w:t>
      </w:r>
    </w:p>
    <w:tbl>
      <w:tblPr>
        <w:tblW w:w="9636" w:type="dxa"/>
        <w:tblInd w:w="109" w:type="dxa"/>
        <w:tblLayout w:type="fixed"/>
        <w:tblCellMar>
          <w:left w:w="0" w:type="dxa"/>
          <w:right w:w="0" w:type="dxa"/>
        </w:tblCellMar>
        <w:tblLook w:val="01E0" w:firstRow="1" w:lastRow="1" w:firstColumn="1" w:lastColumn="1" w:noHBand="0" w:noVBand="0"/>
      </w:tblPr>
      <w:tblGrid>
        <w:gridCol w:w="5141"/>
        <w:gridCol w:w="4495"/>
      </w:tblGrid>
      <w:tr w:rsidR="006F76EB" w:rsidRPr="00834D52" w14:paraId="2E367A59" w14:textId="77777777" w:rsidTr="00F71229">
        <w:tc>
          <w:tcPr>
            <w:tcW w:w="5141" w:type="dxa"/>
            <w:tcBorders>
              <w:top w:val="single" w:sz="4" w:space="0" w:color="000000"/>
              <w:left w:val="single" w:sz="4" w:space="0" w:color="000000"/>
              <w:bottom w:val="single" w:sz="4" w:space="0" w:color="000000"/>
              <w:right w:val="single" w:sz="4" w:space="0" w:color="000000"/>
            </w:tcBorders>
          </w:tcPr>
          <w:p w14:paraId="6BF04FE9" w14:textId="77777777" w:rsidR="006F76EB" w:rsidRPr="00834D52" w:rsidRDefault="006F76EB" w:rsidP="005A3BE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ակտիվ դեղագործական բաղադրամասերը</w:t>
            </w:r>
          </w:p>
        </w:tc>
        <w:tc>
          <w:tcPr>
            <w:tcW w:w="4495" w:type="dxa"/>
            <w:tcBorders>
              <w:top w:val="single" w:sz="4" w:space="0" w:color="000000"/>
              <w:left w:val="single" w:sz="4" w:space="0" w:color="000000"/>
              <w:bottom w:val="single" w:sz="4" w:space="0" w:color="000000"/>
              <w:right w:val="single" w:sz="4" w:space="0" w:color="000000"/>
            </w:tcBorders>
          </w:tcPr>
          <w:p w14:paraId="7D367BC0" w14:textId="77777777" w:rsidR="006F76EB" w:rsidRPr="00834D52" w:rsidRDefault="006F76EB" w:rsidP="005A3BE2">
            <w:pPr>
              <w:spacing w:after="120" w:line="240" w:lineRule="auto"/>
              <w:ind w:right="-6"/>
              <w:rPr>
                <w:rFonts w:ascii="Sylfaen" w:hAnsi="Sylfaen"/>
                <w:sz w:val="24"/>
                <w:szCs w:val="24"/>
              </w:rPr>
            </w:pPr>
          </w:p>
        </w:tc>
      </w:tr>
      <w:tr w:rsidR="006F76EB" w:rsidRPr="00834D52" w14:paraId="79751D01" w14:textId="77777777" w:rsidTr="00F71229">
        <w:tc>
          <w:tcPr>
            <w:tcW w:w="5141" w:type="dxa"/>
            <w:tcBorders>
              <w:top w:val="single" w:sz="4" w:space="0" w:color="000000"/>
              <w:left w:val="single" w:sz="4" w:space="0" w:color="000000"/>
              <w:bottom w:val="single" w:sz="4" w:space="0" w:color="000000"/>
              <w:right w:val="single" w:sz="4" w:space="0" w:color="000000"/>
            </w:tcBorders>
          </w:tcPr>
          <w:p w14:paraId="7B007D13" w14:textId="77777777" w:rsidR="006F76EB" w:rsidRPr="00834D52" w:rsidRDefault="006F76EB" w:rsidP="005A3BE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օժանդակ նյութերը</w:t>
            </w:r>
          </w:p>
        </w:tc>
        <w:tc>
          <w:tcPr>
            <w:tcW w:w="4495" w:type="dxa"/>
            <w:tcBorders>
              <w:top w:val="single" w:sz="4" w:space="0" w:color="000000"/>
              <w:left w:val="single" w:sz="4" w:space="0" w:color="000000"/>
              <w:bottom w:val="single" w:sz="4" w:space="0" w:color="000000"/>
              <w:right w:val="single" w:sz="4" w:space="0" w:color="000000"/>
            </w:tcBorders>
          </w:tcPr>
          <w:p w14:paraId="5CCB2C73" w14:textId="77777777" w:rsidR="006F76EB" w:rsidRPr="00834D52" w:rsidRDefault="006F76EB" w:rsidP="005A3BE2">
            <w:pPr>
              <w:spacing w:after="120" w:line="240" w:lineRule="auto"/>
              <w:ind w:right="-6"/>
              <w:rPr>
                <w:rFonts w:ascii="Sylfaen" w:hAnsi="Sylfaen"/>
                <w:sz w:val="24"/>
                <w:szCs w:val="24"/>
              </w:rPr>
            </w:pPr>
          </w:p>
        </w:tc>
      </w:tr>
    </w:tbl>
    <w:p w14:paraId="1CE6986A"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2.6.2.</w:t>
      </w:r>
      <w:r w:rsidRPr="00834D52">
        <w:rPr>
          <w:rFonts w:ascii="Sylfaen" w:hAnsi="Sylfaen"/>
          <w:sz w:val="24"/>
          <w:szCs w:val="24"/>
        </w:rPr>
        <w:tab/>
        <w:t xml:space="preserve">Կենդանական </w:t>
      </w:r>
      <w:r w:rsidR="00C54D75">
        <w:rPr>
          <w:rFonts w:ascii="Sylfaen" w:hAnsi="Sylfaen"/>
          <w:sz w:val="24"/>
          <w:szCs w:val="24"/>
        </w:rPr>
        <w:t>և</w:t>
      </w:r>
      <w:r w:rsidRPr="00834D52">
        <w:rPr>
          <w:rFonts w:ascii="Sylfaen" w:hAnsi="Sylfaen"/>
          <w:sz w:val="24"/>
          <w:szCs w:val="24"/>
        </w:rPr>
        <w:t xml:space="preserve"> (կամ) մարդկային ծագման նյութերի ցանկը, որոնք դեղապատրաստուկի բաղադրության մաս են կազմում կամ օգտագործվում են դրա արտադրության գործընթացում</w:t>
      </w:r>
    </w:p>
    <w:p w14:paraId="5571E775"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DE30136">
          <v:rect id="_x0000_s1085" style="position:absolute;left:0;text-align:left;margin-left:188.6pt;margin-top:2.1pt;width:12.75pt;height:12pt;z-index:251595264"/>
        </w:pict>
      </w:r>
      <w:r w:rsidR="006F76EB" w:rsidRPr="00834D52">
        <w:rPr>
          <w:rFonts w:ascii="Sylfaen" w:hAnsi="Sylfaen" w:cs="Sylfaen"/>
          <w:sz w:val="24"/>
          <w:szCs w:val="24"/>
        </w:rPr>
        <w:t>չկան</w:t>
      </w:r>
    </w:p>
    <w:tbl>
      <w:tblPr>
        <w:tblW w:w="11059" w:type="dxa"/>
        <w:jc w:val="center"/>
        <w:tblLayout w:type="fixed"/>
        <w:tblCellMar>
          <w:left w:w="0" w:type="dxa"/>
          <w:right w:w="0" w:type="dxa"/>
        </w:tblCellMar>
        <w:tblLook w:val="01E0" w:firstRow="1" w:lastRow="1" w:firstColumn="1" w:lastColumn="1" w:noHBand="0" w:noVBand="0"/>
      </w:tblPr>
      <w:tblGrid>
        <w:gridCol w:w="1372"/>
        <w:gridCol w:w="832"/>
        <w:gridCol w:w="733"/>
        <w:gridCol w:w="733"/>
        <w:gridCol w:w="1777"/>
        <w:gridCol w:w="1508"/>
        <w:gridCol w:w="1382"/>
        <w:gridCol w:w="2722"/>
      </w:tblGrid>
      <w:tr w:rsidR="003B78AE" w:rsidRPr="00834D52" w14:paraId="44197D5E" w14:textId="77777777" w:rsidTr="003B78AE">
        <w:trPr>
          <w:trHeight w:val="1913"/>
          <w:jc w:val="center"/>
        </w:trPr>
        <w:tc>
          <w:tcPr>
            <w:tcW w:w="1372" w:type="dxa"/>
            <w:tcBorders>
              <w:top w:val="single" w:sz="4" w:space="0" w:color="000000"/>
              <w:left w:val="single" w:sz="4" w:space="0" w:color="000000"/>
              <w:bottom w:val="single" w:sz="4" w:space="0" w:color="000000"/>
              <w:right w:val="single" w:sz="4" w:space="0" w:color="000000"/>
            </w:tcBorders>
          </w:tcPr>
          <w:p w14:paraId="0DC9624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Անվանումը</w:t>
            </w:r>
          </w:p>
        </w:tc>
        <w:tc>
          <w:tcPr>
            <w:tcW w:w="2298" w:type="dxa"/>
            <w:gridSpan w:val="3"/>
            <w:tcBorders>
              <w:top w:val="single" w:sz="4" w:space="0" w:color="000000"/>
              <w:left w:val="single" w:sz="4" w:space="0" w:color="000000"/>
              <w:bottom w:val="single" w:sz="4" w:space="0" w:color="000000"/>
              <w:right w:val="single" w:sz="4" w:space="0" w:color="000000"/>
            </w:tcBorders>
          </w:tcPr>
          <w:p w14:paraId="01CAF69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Գործառույթը</w:t>
            </w:r>
          </w:p>
        </w:tc>
        <w:tc>
          <w:tcPr>
            <w:tcW w:w="1777" w:type="dxa"/>
            <w:tcBorders>
              <w:top w:val="single" w:sz="4" w:space="0" w:color="000000"/>
              <w:left w:val="single" w:sz="4" w:space="0" w:color="000000"/>
              <w:bottom w:val="single" w:sz="4" w:space="0" w:color="000000"/>
              <w:right w:val="single" w:sz="4" w:space="0" w:color="000000"/>
            </w:tcBorders>
          </w:tcPr>
          <w:p w14:paraId="6261A67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ՏՍԷ-ի նկատմամբ զգայուն կենդանիներից</w:t>
            </w:r>
            <w:r w:rsidRPr="00834D52">
              <w:rPr>
                <w:rStyle w:val="FootnoteReference"/>
                <w:rFonts w:ascii="Sylfaen" w:hAnsi="Sylfaen"/>
                <w:sz w:val="24"/>
                <w:szCs w:val="24"/>
              </w:rPr>
              <w:footnoteReference w:id="4"/>
            </w:r>
          </w:p>
        </w:tc>
        <w:tc>
          <w:tcPr>
            <w:tcW w:w="1508" w:type="dxa"/>
            <w:tcBorders>
              <w:top w:val="single" w:sz="4" w:space="0" w:color="000000"/>
              <w:left w:val="single" w:sz="4" w:space="0" w:color="000000"/>
              <w:bottom w:val="single" w:sz="4" w:space="0" w:color="000000"/>
              <w:right w:val="single" w:sz="4" w:space="0" w:color="000000"/>
            </w:tcBorders>
          </w:tcPr>
          <w:p w14:paraId="573BE6E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Այլ կենդանիներ</w:t>
            </w:r>
          </w:p>
        </w:tc>
        <w:tc>
          <w:tcPr>
            <w:tcW w:w="1382" w:type="dxa"/>
            <w:tcBorders>
              <w:top w:val="single" w:sz="4" w:space="0" w:color="000000"/>
              <w:left w:val="single" w:sz="4" w:space="0" w:color="000000"/>
              <w:bottom w:val="single" w:sz="4" w:space="0" w:color="000000"/>
              <w:right w:val="single" w:sz="4" w:space="0" w:color="000000"/>
            </w:tcBorders>
          </w:tcPr>
          <w:p w14:paraId="3015AA7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Մարդկային ծագման</w:t>
            </w:r>
          </w:p>
        </w:tc>
        <w:tc>
          <w:tcPr>
            <w:tcW w:w="2722" w:type="dxa"/>
            <w:tcBorders>
              <w:top w:val="single" w:sz="4" w:space="0" w:color="000000"/>
              <w:left w:val="single" w:sz="4" w:space="0" w:color="000000"/>
              <w:bottom w:val="single" w:sz="4" w:space="0" w:color="000000"/>
              <w:right w:val="single" w:sz="4" w:space="0" w:color="000000"/>
            </w:tcBorders>
          </w:tcPr>
          <w:p w14:paraId="4A3A92A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ՏՍԷ</w:t>
            </w:r>
            <w:r w:rsidRPr="00834D52">
              <w:rPr>
                <w:rFonts w:ascii="Sylfaen" w:hAnsi="Sylfaen"/>
                <w:sz w:val="24"/>
                <w:szCs w:val="24"/>
                <w:vertAlign w:val="superscript"/>
              </w:rPr>
              <w:t>3</w:t>
            </w:r>
            <w:r w:rsidRPr="00834D52">
              <w:rPr>
                <w:rFonts w:ascii="Sylfaen" w:hAnsi="Sylfaen"/>
                <w:sz w:val="24"/>
                <w:szCs w:val="24"/>
              </w:rPr>
              <w:t>-ի վերաբերյալ Եվրոպական դեղագրքի համապատաս-խանության սերտիֆիկատի համարը</w:t>
            </w:r>
            <w:r w:rsidRPr="00834D52">
              <w:rPr>
                <w:rFonts w:ascii="Sylfaen" w:hAnsi="Sylfaen"/>
                <w:sz w:val="24"/>
                <w:szCs w:val="24"/>
              </w:rPr>
              <w:br/>
              <w:t>(առկայության դեպքում)</w:t>
            </w:r>
          </w:p>
        </w:tc>
      </w:tr>
      <w:tr w:rsidR="00D75041" w:rsidRPr="00834D52" w14:paraId="2B7189F5" w14:textId="77777777" w:rsidTr="003B78AE">
        <w:trPr>
          <w:trHeight w:val="375"/>
          <w:jc w:val="center"/>
        </w:trPr>
        <w:tc>
          <w:tcPr>
            <w:tcW w:w="1372" w:type="dxa"/>
            <w:tcBorders>
              <w:top w:val="single" w:sz="4" w:space="0" w:color="000000"/>
              <w:left w:val="single" w:sz="4" w:space="0" w:color="000000"/>
              <w:bottom w:val="single" w:sz="4" w:space="0" w:color="000000"/>
              <w:right w:val="single" w:sz="4" w:space="0" w:color="000000"/>
            </w:tcBorders>
          </w:tcPr>
          <w:p w14:paraId="20EB516C" w14:textId="77777777" w:rsidR="006F76EB" w:rsidRPr="00834D52" w:rsidRDefault="006F76EB" w:rsidP="00F71229">
            <w:pPr>
              <w:spacing w:after="120" w:line="240" w:lineRule="auto"/>
              <w:ind w:right="-8"/>
              <w:rPr>
                <w:rFonts w:ascii="Sylfaen" w:hAnsi="Sylfaen"/>
                <w:sz w:val="24"/>
                <w:szCs w:val="24"/>
              </w:rPr>
            </w:pPr>
          </w:p>
        </w:tc>
        <w:tc>
          <w:tcPr>
            <w:tcW w:w="832" w:type="dxa"/>
            <w:tcBorders>
              <w:top w:val="single" w:sz="4" w:space="0" w:color="000000"/>
              <w:left w:val="single" w:sz="4" w:space="0" w:color="000000"/>
              <w:bottom w:val="single" w:sz="4" w:space="0" w:color="000000"/>
              <w:right w:val="single" w:sz="4" w:space="0" w:color="000000"/>
            </w:tcBorders>
          </w:tcPr>
          <w:p w14:paraId="7E9F60A4" w14:textId="77777777" w:rsidR="006F76EB" w:rsidRPr="00834D52" w:rsidRDefault="006F76EB" w:rsidP="00F71229">
            <w:pPr>
              <w:spacing w:after="120" w:line="240" w:lineRule="auto"/>
              <w:ind w:left="38" w:right="-8"/>
              <w:jc w:val="center"/>
              <w:rPr>
                <w:rFonts w:ascii="Sylfaen" w:eastAsia="Times New Roman" w:hAnsi="Sylfaen" w:cs="Times New Roman"/>
                <w:sz w:val="24"/>
                <w:szCs w:val="24"/>
              </w:rPr>
            </w:pPr>
            <w:r w:rsidRPr="00834D52">
              <w:rPr>
                <w:rFonts w:ascii="Sylfaen" w:hAnsi="Sylfaen"/>
                <w:sz w:val="24"/>
                <w:szCs w:val="24"/>
              </w:rPr>
              <w:t>ԱԴԲ-ն</w:t>
            </w:r>
          </w:p>
        </w:tc>
        <w:tc>
          <w:tcPr>
            <w:tcW w:w="733" w:type="dxa"/>
            <w:tcBorders>
              <w:top w:val="single" w:sz="4" w:space="0" w:color="000000"/>
              <w:left w:val="single" w:sz="4" w:space="0" w:color="000000"/>
              <w:bottom w:val="single" w:sz="4" w:space="0" w:color="000000"/>
              <w:right w:val="single" w:sz="4" w:space="0" w:color="000000"/>
            </w:tcBorders>
          </w:tcPr>
          <w:p w14:paraId="434B6D90" w14:textId="77777777" w:rsidR="006F76EB" w:rsidRPr="00834D52" w:rsidRDefault="006F76EB" w:rsidP="00F71229">
            <w:pPr>
              <w:spacing w:after="120" w:line="240" w:lineRule="auto"/>
              <w:ind w:left="38" w:right="-8"/>
              <w:jc w:val="center"/>
              <w:rPr>
                <w:rFonts w:ascii="Sylfaen" w:eastAsia="Times New Roman" w:hAnsi="Sylfaen" w:cs="Times New Roman"/>
                <w:sz w:val="24"/>
                <w:szCs w:val="24"/>
              </w:rPr>
            </w:pPr>
            <w:r w:rsidRPr="00834D52">
              <w:rPr>
                <w:rFonts w:ascii="Sylfaen" w:hAnsi="Sylfaen"/>
                <w:sz w:val="24"/>
                <w:szCs w:val="24"/>
              </w:rPr>
              <w:t>ՕՆ-ն</w:t>
            </w:r>
            <w:r w:rsidRPr="00834D52">
              <w:rPr>
                <w:rStyle w:val="FootnoteReference"/>
                <w:rFonts w:ascii="Sylfaen" w:hAnsi="Sylfaen"/>
                <w:sz w:val="24"/>
                <w:szCs w:val="24"/>
              </w:rPr>
              <w:footnoteReference w:id="5"/>
            </w:r>
          </w:p>
        </w:tc>
        <w:tc>
          <w:tcPr>
            <w:tcW w:w="733" w:type="dxa"/>
            <w:tcBorders>
              <w:top w:val="single" w:sz="4" w:space="0" w:color="000000"/>
              <w:left w:val="single" w:sz="4" w:space="0" w:color="000000"/>
              <w:bottom w:val="single" w:sz="4" w:space="0" w:color="000000"/>
              <w:right w:val="single" w:sz="4" w:space="0" w:color="000000"/>
            </w:tcBorders>
          </w:tcPr>
          <w:p w14:paraId="3FB6FC10" w14:textId="77777777" w:rsidR="006F76EB" w:rsidRPr="00834D52" w:rsidRDefault="006F76EB" w:rsidP="00F71229">
            <w:pPr>
              <w:spacing w:after="120" w:line="240" w:lineRule="auto"/>
              <w:ind w:left="38" w:right="-8"/>
              <w:jc w:val="center"/>
              <w:rPr>
                <w:rFonts w:ascii="Sylfaen" w:eastAsia="Times New Roman" w:hAnsi="Sylfaen" w:cs="Times New Roman"/>
                <w:sz w:val="24"/>
                <w:szCs w:val="24"/>
              </w:rPr>
            </w:pPr>
            <w:r w:rsidRPr="00834D52">
              <w:rPr>
                <w:rFonts w:ascii="Sylfaen" w:hAnsi="Sylfaen"/>
                <w:sz w:val="24"/>
                <w:szCs w:val="24"/>
              </w:rPr>
              <w:t>Ռ</w:t>
            </w:r>
            <w:r w:rsidRPr="00834D52">
              <w:rPr>
                <w:rStyle w:val="FootnoteReference"/>
                <w:rFonts w:ascii="Sylfaen" w:hAnsi="Sylfaen"/>
                <w:sz w:val="24"/>
                <w:szCs w:val="24"/>
              </w:rPr>
              <w:footnoteReference w:id="6"/>
            </w:r>
          </w:p>
        </w:tc>
        <w:tc>
          <w:tcPr>
            <w:tcW w:w="1777" w:type="dxa"/>
            <w:tcBorders>
              <w:top w:val="single" w:sz="4" w:space="0" w:color="000000"/>
              <w:left w:val="single" w:sz="4" w:space="0" w:color="000000"/>
              <w:bottom w:val="single" w:sz="4" w:space="0" w:color="000000"/>
              <w:right w:val="single" w:sz="4" w:space="0" w:color="000000"/>
            </w:tcBorders>
          </w:tcPr>
          <w:p w14:paraId="69F0C7FA" w14:textId="77777777" w:rsidR="006F76EB" w:rsidRPr="00834D52" w:rsidRDefault="006F76EB" w:rsidP="00F71229">
            <w:pPr>
              <w:spacing w:after="120" w:line="240" w:lineRule="auto"/>
              <w:ind w:right="-8"/>
              <w:rPr>
                <w:rFonts w:ascii="Sylfaen" w:hAnsi="Sylfae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14:paraId="5534BDAD" w14:textId="77777777" w:rsidR="006F76EB" w:rsidRPr="00834D52" w:rsidRDefault="006F76EB" w:rsidP="00F71229">
            <w:pPr>
              <w:spacing w:after="120" w:line="240" w:lineRule="auto"/>
              <w:ind w:right="-8"/>
              <w:rPr>
                <w:rFonts w:ascii="Sylfaen" w:hAnsi="Sylfae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14:paraId="635D795A" w14:textId="77777777" w:rsidR="006F76EB" w:rsidRPr="00834D52" w:rsidRDefault="006F76EB" w:rsidP="00F71229">
            <w:pPr>
              <w:spacing w:after="120" w:line="240" w:lineRule="auto"/>
              <w:ind w:right="-8"/>
              <w:rPr>
                <w:rFonts w:ascii="Sylfaen" w:hAnsi="Sylfae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14:paraId="140553EE" w14:textId="77777777" w:rsidR="006F76EB" w:rsidRPr="00834D52" w:rsidRDefault="006F76EB" w:rsidP="00F71229">
            <w:pPr>
              <w:spacing w:after="120" w:line="240" w:lineRule="auto"/>
              <w:ind w:right="-8"/>
              <w:rPr>
                <w:rFonts w:ascii="Sylfaen" w:hAnsi="Sylfaen"/>
                <w:sz w:val="24"/>
                <w:szCs w:val="24"/>
              </w:rPr>
            </w:pPr>
          </w:p>
        </w:tc>
      </w:tr>
      <w:tr w:rsidR="00D75041" w:rsidRPr="00834D52" w14:paraId="50B784A0" w14:textId="77777777" w:rsidTr="003B78AE">
        <w:trPr>
          <w:trHeight w:val="386"/>
          <w:jc w:val="center"/>
        </w:trPr>
        <w:tc>
          <w:tcPr>
            <w:tcW w:w="1372" w:type="dxa"/>
            <w:tcBorders>
              <w:top w:val="single" w:sz="4" w:space="0" w:color="000000"/>
              <w:left w:val="single" w:sz="4" w:space="0" w:color="000000"/>
              <w:bottom w:val="single" w:sz="4" w:space="0" w:color="000000"/>
              <w:right w:val="single" w:sz="4" w:space="0" w:color="000000"/>
            </w:tcBorders>
          </w:tcPr>
          <w:p w14:paraId="3DC65432" w14:textId="77777777" w:rsidR="006F76EB" w:rsidRPr="00834D52" w:rsidRDefault="006F76EB" w:rsidP="00F71229">
            <w:pPr>
              <w:spacing w:after="120" w:line="240" w:lineRule="auto"/>
              <w:ind w:right="-8"/>
              <w:rPr>
                <w:rFonts w:ascii="Sylfaen" w:eastAsia="Times New Roman" w:hAnsi="Sylfaen" w:cs="Times New Roman"/>
                <w:sz w:val="24"/>
                <w:szCs w:val="24"/>
              </w:rPr>
            </w:pPr>
            <w:r w:rsidRPr="00834D52">
              <w:rPr>
                <w:rFonts w:ascii="Sylfaen" w:hAnsi="Sylfaen"/>
                <w:sz w:val="24"/>
                <w:szCs w:val="24"/>
              </w:rPr>
              <w:t>1</w:t>
            </w:r>
          </w:p>
        </w:tc>
        <w:tc>
          <w:tcPr>
            <w:tcW w:w="832" w:type="dxa"/>
            <w:tcBorders>
              <w:top w:val="single" w:sz="4" w:space="0" w:color="000000"/>
              <w:left w:val="single" w:sz="4" w:space="0" w:color="000000"/>
              <w:bottom w:val="single" w:sz="4" w:space="0" w:color="000000"/>
              <w:right w:val="single" w:sz="4" w:space="0" w:color="000000"/>
            </w:tcBorders>
          </w:tcPr>
          <w:p w14:paraId="7C98D3FB"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0E0951E0"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1696C470" w14:textId="77777777" w:rsidR="006F76EB" w:rsidRPr="00834D52" w:rsidRDefault="006F76EB" w:rsidP="00F71229">
            <w:pPr>
              <w:spacing w:after="120" w:line="240" w:lineRule="auto"/>
              <w:ind w:right="-8"/>
              <w:rPr>
                <w:rFonts w:ascii="Sylfaen" w:hAnsi="Sylfaen"/>
                <w:sz w:val="24"/>
                <w:szCs w:val="24"/>
              </w:rPr>
            </w:pPr>
          </w:p>
        </w:tc>
        <w:tc>
          <w:tcPr>
            <w:tcW w:w="1777" w:type="dxa"/>
            <w:tcBorders>
              <w:top w:val="single" w:sz="4" w:space="0" w:color="000000"/>
              <w:left w:val="single" w:sz="4" w:space="0" w:color="000000"/>
              <w:bottom w:val="single" w:sz="4" w:space="0" w:color="000000"/>
              <w:right w:val="single" w:sz="4" w:space="0" w:color="000000"/>
            </w:tcBorders>
          </w:tcPr>
          <w:p w14:paraId="30FAA9CC" w14:textId="77777777" w:rsidR="006F76EB" w:rsidRPr="00834D52" w:rsidRDefault="006F76EB" w:rsidP="00F71229">
            <w:pPr>
              <w:spacing w:after="120" w:line="240" w:lineRule="auto"/>
              <w:ind w:right="-8"/>
              <w:rPr>
                <w:rFonts w:ascii="Sylfaen" w:hAnsi="Sylfae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14:paraId="1B50B7ED" w14:textId="77777777" w:rsidR="006F76EB" w:rsidRPr="00834D52" w:rsidRDefault="006F76EB" w:rsidP="00F71229">
            <w:pPr>
              <w:spacing w:after="120" w:line="240" w:lineRule="auto"/>
              <w:ind w:right="-8"/>
              <w:rPr>
                <w:rFonts w:ascii="Sylfaen" w:hAnsi="Sylfae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14:paraId="02ACB726" w14:textId="77777777" w:rsidR="006F76EB" w:rsidRPr="00834D52" w:rsidRDefault="006F76EB" w:rsidP="00F71229">
            <w:pPr>
              <w:spacing w:after="120" w:line="240" w:lineRule="auto"/>
              <w:ind w:right="-8"/>
              <w:rPr>
                <w:rFonts w:ascii="Sylfaen" w:hAnsi="Sylfae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14:paraId="36FADB30" w14:textId="77777777" w:rsidR="006F76EB" w:rsidRPr="00834D52" w:rsidRDefault="006F76EB" w:rsidP="00F71229">
            <w:pPr>
              <w:spacing w:after="120" w:line="240" w:lineRule="auto"/>
              <w:ind w:right="-8"/>
              <w:rPr>
                <w:rFonts w:ascii="Sylfaen" w:hAnsi="Sylfaen"/>
                <w:sz w:val="24"/>
                <w:szCs w:val="24"/>
              </w:rPr>
            </w:pPr>
          </w:p>
        </w:tc>
      </w:tr>
      <w:tr w:rsidR="00D75041" w:rsidRPr="00834D52" w14:paraId="7CF18FE2" w14:textId="77777777" w:rsidTr="003B78AE">
        <w:trPr>
          <w:trHeight w:val="401"/>
          <w:jc w:val="center"/>
        </w:trPr>
        <w:tc>
          <w:tcPr>
            <w:tcW w:w="1372" w:type="dxa"/>
            <w:tcBorders>
              <w:top w:val="single" w:sz="4" w:space="0" w:color="000000"/>
              <w:left w:val="single" w:sz="4" w:space="0" w:color="000000"/>
              <w:bottom w:val="single" w:sz="4" w:space="0" w:color="000000"/>
              <w:right w:val="single" w:sz="4" w:space="0" w:color="000000"/>
            </w:tcBorders>
          </w:tcPr>
          <w:p w14:paraId="2B67C3D8" w14:textId="77777777" w:rsidR="006F76EB" w:rsidRPr="00834D52" w:rsidRDefault="006F76EB" w:rsidP="00F71229">
            <w:pPr>
              <w:spacing w:after="120" w:line="240" w:lineRule="auto"/>
              <w:ind w:right="-8"/>
              <w:rPr>
                <w:rFonts w:ascii="Sylfaen" w:eastAsia="Times New Roman" w:hAnsi="Sylfaen" w:cs="Times New Roman"/>
                <w:sz w:val="24"/>
                <w:szCs w:val="24"/>
              </w:rPr>
            </w:pPr>
            <w:r w:rsidRPr="00834D52">
              <w:rPr>
                <w:rFonts w:ascii="Sylfaen" w:hAnsi="Sylfaen"/>
                <w:sz w:val="24"/>
                <w:szCs w:val="24"/>
              </w:rPr>
              <w:t>2</w:t>
            </w:r>
          </w:p>
        </w:tc>
        <w:tc>
          <w:tcPr>
            <w:tcW w:w="832" w:type="dxa"/>
            <w:tcBorders>
              <w:top w:val="single" w:sz="4" w:space="0" w:color="000000"/>
              <w:left w:val="single" w:sz="4" w:space="0" w:color="000000"/>
              <w:bottom w:val="single" w:sz="4" w:space="0" w:color="000000"/>
              <w:right w:val="single" w:sz="4" w:space="0" w:color="000000"/>
            </w:tcBorders>
          </w:tcPr>
          <w:p w14:paraId="46D10784"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5C1A28D2"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729CE045" w14:textId="77777777" w:rsidR="006F76EB" w:rsidRPr="00834D52" w:rsidRDefault="006F76EB" w:rsidP="00F71229">
            <w:pPr>
              <w:spacing w:after="120" w:line="240" w:lineRule="auto"/>
              <w:ind w:right="-8"/>
              <w:rPr>
                <w:rFonts w:ascii="Sylfaen" w:hAnsi="Sylfaen"/>
                <w:sz w:val="24"/>
                <w:szCs w:val="24"/>
              </w:rPr>
            </w:pPr>
          </w:p>
        </w:tc>
        <w:tc>
          <w:tcPr>
            <w:tcW w:w="1777" w:type="dxa"/>
            <w:tcBorders>
              <w:top w:val="single" w:sz="4" w:space="0" w:color="000000"/>
              <w:left w:val="single" w:sz="4" w:space="0" w:color="000000"/>
              <w:bottom w:val="single" w:sz="4" w:space="0" w:color="000000"/>
              <w:right w:val="single" w:sz="4" w:space="0" w:color="000000"/>
            </w:tcBorders>
          </w:tcPr>
          <w:p w14:paraId="0754AB0F" w14:textId="77777777" w:rsidR="006F76EB" w:rsidRPr="00834D52" w:rsidRDefault="006F76EB" w:rsidP="00F71229">
            <w:pPr>
              <w:spacing w:after="120" w:line="240" w:lineRule="auto"/>
              <w:ind w:right="-8"/>
              <w:rPr>
                <w:rFonts w:ascii="Sylfaen" w:hAnsi="Sylfae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14:paraId="563318D1" w14:textId="77777777" w:rsidR="006F76EB" w:rsidRPr="00834D52" w:rsidRDefault="006F76EB" w:rsidP="00F71229">
            <w:pPr>
              <w:spacing w:after="120" w:line="240" w:lineRule="auto"/>
              <w:ind w:right="-8"/>
              <w:rPr>
                <w:rFonts w:ascii="Sylfaen" w:hAnsi="Sylfae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14:paraId="014BF6E0" w14:textId="77777777" w:rsidR="006F76EB" w:rsidRPr="00834D52" w:rsidRDefault="006F76EB" w:rsidP="00F71229">
            <w:pPr>
              <w:spacing w:after="120" w:line="240" w:lineRule="auto"/>
              <w:ind w:right="-8"/>
              <w:rPr>
                <w:rFonts w:ascii="Sylfaen" w:hAnsi="Sylfae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14:paraId="5A4AA6E5" w14:textId="77777777" w:rsidR="006F76EB" w:rsidRPr="00834D52" w:rsidRDefault="006F76EB" w:rsidP="00F71229">
            <w:pPr>
              <w:spacing w:after="120" w:line="240" w:lineRule="auto"/>
              <w:ind w:right="-8"/>
              <w:rPr>
                <w:rFonts w:ascii="Sylfaen" w:hAnsi="Sylfaen"/>
                <w:sz w:val="24"/>
                <w:szCs w:val="24"/>
              </w:rPr>
            </w:pPr>
          </w:p>
        </w:tc>
      </w:tr>
      <w:tr w:rsidR="00D75041" w:rsidRPr="00834D52" w14:paraId="199F21A7" w14:textId="77777777" w:rsidTr="003B78AE">
        <w:trPr>
          <w:trHeight w:val="401"/>
          <w:jc w:val="center"/>
        </w:trPr>
        <w:tc>
          <w:tcPr>
            <w:tcW w:w="1372" w:type="dxa"/>
            <w:tcBorders>
              <w:top w:val="single" w:sz="4" w:space="0" w:color="000000"/>
              <w:left w:val="single" w:sz="4" w:space="0" w:color="000000"/>
              <w:bottom w:val="single" w:sz="4" w:space="0" w:color="000000"/>
              <w:right w:val="single" w:sz="4" w:space="0" w:color="000000"/>
            </w:tcBorders>
          </w:tcPr>
          <w:p w14:paraId="5A29BD99" w14:textId="77777777" w:rsidR="006F76EB" w:rsidRPr="00834D52" w:rsidRDefault="006F76EB" w:rsidP="00F71229">
            <w:pPr>
              <w:spacing w:after="120" w:line="240" w:lineRule="auto"/>
              <w:ind w:right="-8"/>
              <w:rPr>
                <w:rFonts w:ascii="Sylfaen" w:eastAsia="Times New Roman" w:hAnsi="Sylfaen" w:cs="Times New Roman"/>
                <w:sz w:val="24"/>
                <w:szCs w:val="24"/>
              </w:rPr>
            </w:pPr>
            <w:r w:rsidRPr="00834D52">
              <w:rPr>
                <w:rFonts w:ascii="Sylfaen" w:hAnsi="Sylfaen"/>
                <w:sz w:val="24"/>
                <w:szCs w:val="24"/>
              </w:rPr>
              <w:t>3</w:t>
            </w:r>
          </w:p>
        </w:tc>
        <w:tc>
          <w:tcPr>
            <w:tcW w:w="832" w:type="dxa"/>
            <w:tcBorders>
              <w:top w:val="single" w:sz="4" w:space="0" w:color="000000"/>
              <w:left w:val="single" w:sz="4" w:space="0" w:color="000000"/>
              <w:bottom w:val="single" w:sz="4" w:space="0" w:color="000000"/>
              <w:right w:val="single" w:sz="4" w:space="0" w:color="000000"/>
            </w:tcBorders>
          </w:tcPr>
          <w:p w14:paraId="0E5B7106"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650BAFDF"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0C66DCCD" w14:textId="77777777" w:rsidR="006F76EB" w:rsidRPr="00834D52" w:rsidRDefault="006F76EB" w:rsidP="00F71229">
            <w:pPr>
              <w:spacing w:after="120" w:line="240" w:lineRule="auto"/>
              <w:ind w:right="-8"/>
              <w:rPr>
                <w:rFonts w:ascii="Sylfaen" w:hAnsi="Sylfaen"/>
                <w:sz w:val="24"/>
                <w:szCs w:val="24"/>
              </w:rPr>
            </w:pPr>
          </w:p>
        </w:tc>
        <w:tc>
          <w:tcPr>
            <w:tcW w:w="1777" w:type="dxa"/>
            <w:tcBorders>
              <w:top w:val="single" w:sz="4" w:space="0" w:color="000000"/>
              <w:left w:val="single" w:sz="4" w:space="0" w:color="000000"/>
              <w:bottom w:val="single" w:sz="4" w:space="0" w:color="000000"/>
              <w:right w:val="single" w:sz="4" w:space="0" w:color="000000"/>
            </w:tcBorders>
          </w:tcPr>
          <w:p w14:paraId="61314F54" w14:textId="77777777" w:rsidR="006F76EB" w:rsidRPr="00834D52" w:rsidRDefault="006F76EB" w:rsidP="00F71229">
            <w:pPr>
              <w:spacing w:after="120" w:line="240" w:lineRule="auto"/>
              <w:ind w:right="-8"/>
              <w:rPr>
                <w:rFonts w:ascii="Sylfaen" w:hAnsi="Sylfae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14:paraId="3BBD45D2" w14:textId="77777777" w:rsidR="006F76EB" w:rsidRPr="00834D52" w:rsidRDefault="006F76EB" w:rsidP="00F71229">
            <w:pPr>
              <w:spacing w:after="120" w:line="240" w:lineRule="auto"/>
              <w:ind w:right="-8"/>
              <w:rPr>
                <w:rFonts w:ascii="Sylfaen" w:hAnsi="Sylfae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14:paraId="672C703D" w14:textId="77777777" w:rsidR="006F76EB" w:rsidRPr="00834D52" w:rsidRDefault="006F76EB" w:rsidP="00F71229">
            <w:pPr>
              <w:spacing w:after="120" w:line="240" w:lineRule="auto"/>
              <w:ind w:right="-8"/>
              <w:rPr>
                <w:rFonts w:ascii="Sylfaen" w:hAnsi="Sylfae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14:paraId="2EDAC408" w14:textId="77777777" w:rsidR="006F76EB" w:rsidRPr="00834D52" w:rsidRDefault="006F76EB" w:rsidP="00F71229">
            <w:pPr>
              <w:spacing w:after="120" w:line="240" w:lineRule="auto"/>
              <w:ind w:right="-8"/>
              <w:rPr>
                <w:rFonts w:ascii="Sylfaen" w:hAnsi="Sylfaen"/>
                <w:sz w:val="24"/>
                <w:szCs w:val="24"/>
              </w:rPr>
            </w:pPr>
          </w:p>
        </w:tc>
      </w:tr>
      <w:tr w:rsidR="00D75041" w:rsidRPr="00834D52" w14:paraId="7C76E0A4" w14:textId="77777777" w:rsidTr="003B78AE">
        <w:trPr>
          <w:trHeight w:val="401"/>
          <w:jc w:val="center"/>
        </w:trPr>
        <w:tc>
          <w:tcPr>
            <w:tcW w:w="1372" w:type="dxa"/>
            <w:tcBorders>
              <w:top w:val="single" w:sz="4" w:space="0" w:color="000000"/>
              <w:left w:val="single" w:sz="4" w:space="0" w:color="000000"/>
              <w:bottom w:val="single" w:sz="4" w:space="0" w:color="000000"/>
              <w:right w:val="single" w:sz="4" w:space="0" w:color="000000"/>
            </w:tcBorders>
          </w:tcPr>
          <w:p w14:paraId="08DAC6BC" w14:textId="77777777" w:rsidR="006F76EB" w:rsidRPr="00834D52" w:rsidRDefault="006F76EB" w:rsidP="00F71229">
            <w:pPr>
              <w:spacing w:after="120" w:line="240" w:lineRule="auto"/>
              <w:ind w:right="-8"/>
              <w:rPr>
                <w:rFonts w:ascii="Sylfaen" w:eastAsia="Times New Roman" w:hAnsi="Sylfaen" w:cs="Times New Roman"/>
                <w:sz w:val="24"/>
                <w:szCs w:val="24"/>
              </w:rPr>
            </w:pPr>
            <w:r w:rsidRPr="00834D52">
              <w:rPr>
                <w:rFonts w:ascii="Sylfaen" w:hAnsi="Sylfaen"/>
                <w:sz w:val="24"/>
                <w:szCs w:val="24"/>
              </w:rPr>
              <w:t>...</w:t>
            </w:r>
          </w:p>
        </w:tc>
        <w:tc>
          <w:tcPr>
            <w:tcW w:w="832" w:type="dxa"/>
            <w:tcBorders>
              <w:top w:val="single" w:sz="4" w:space="0" w:color="000000"/>
              <w:left w:val="single" w:sz="4" w:space="0" w:color="000000"/>
              <w:bottom w:val="single" w:sz="4" w:space="0" w:color="000000"/>
              <w:right w:val="single" w:sz="4" w:space="0" w:color="000000"/>
            </w:tcBorders>
          </w:tcPr>
          <w:p w14:paraId="4C06BD37"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3995B32F" w14:textId="77777777" w:rsidR="006F76EB" w:rsidRPr="00834D52" w:rsidRDefault="006F76EB" w:rsidP="00F71229">
            <w:pPr>
              <w:spacing w:after="120" w:line="240" w:lineRule="auto"/>
              <w:ind w:right="-8"/>
              <w:rPr>
                <w:rFonts w:ascii="Sylfaen" w:hAnsi="Sylfaen"/>
                <w:sz w:val="24"/>
                <w:szCs w:val="24"/>
              </w:rPr>
            </w:pPr>
          </w:p>
        </w:tc>
        <w:tc>
          <w:tcPr>
            <w:tcW w:w="733" w:type="dxa"/>
            <w:tcBorders>
              <w:top w:val="single" w:sz="4" w:space="0" w:color="000000"/>
              <w:left w:val="single" w:sz="4" w:space="0" w:color="000000"/>
              <w:bottom w:val="single" w:sz="4" w:space="0" w:color="000000"/>
              <w:right w:val="single" w:sz="4" w:space="0" w:color="000000"/>
            </w:tcBorders>
          </w:tcPr>
          <w:p w14:paraId="3F07E180" w14:textId="77777777" w:rsidR="006F76EB" w:rsidRPr="00834D52" w:rsidRDefault="006F76EB" w:rsidP="00F71229">
            <w:pPr>
              <w:spacing w:after="120" w:line="240" w:lineRule="auto"/>
              <w:ind w:right="-8"/>
              <w:rPr>
                <w:rFonts w:ascii="Sylfaen" w:hAnsi="Sylfaen"/>
                <w:sz w:val="24"/>
                <w:szCs w:val="24"/>
              </w:rPr>
            </w:pPr>
          </w:p>
        </w:tc>
        <w:tc>
          <w:tcPr>
            <w:tcW w:w="1777" w:type="dxa"/>
            <w:tcBorders>
              <w:top w:val="single" w:sz="4" w:space="0" w:color="000000"/>
              <w:left w:val="single" w:sz="4" w:space="0" w:color="000000"/>
              <w:bottom w:val="single" w:sz="4" w:space="0" w:color="000000"/>
              <w:right w:val="single" w:sz="4" w:space="0" w:color="000000"/>
            </w:tcBorders>
          </w:tcPr>
          <w:p w14:paraId="2C62B3A8" w14:textId="77777777" w:rsidR="006F76EB" w:rsidRPr="00834D52" w:rsidRDefault="006F76EB" w:rsidP="00F71229">
            <w:pPr>
              <w:spacing w:after="120" w:line="240" w:lineRule="auto"/>
              <w:ind w:right="-8"/>
              <w:rPr>
                <w:rFonts w:ascii="Sylfaen" w:hAnsi="Sylfae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14:paraId="61930ACC" w14:textId="77777777" w:rsidR="006F76EB" w:rsidRPr="00834D52" w:rsidRDefault="006F76EB" w:rsidP="00F71229">
            <w:pPr>
              <w:spacing w:after="120" w:line="240" w:lineRule="auto"/>
              <w:ind w:right="-8"/>
              <w:rPr>
                <w:rFonts w:ascii="Sylfaen" w:hAnsi="Sylfaen"/>
                <w:sz w:val="24"/>
                <w:szCs w:val="24"/>
              </w:rPr>
            </w:pPr>
          </w:p>
        </w:tc>
        <w:tc>
          <w:tcPr>
            <w:tcW w:w="1382" w:type="dxa"/>
            <w:tcBorders>
              <w:top w:val="single" w:sz="4" w:space="0" w:color="000000"/>
              <w:left w:val="single" w:sz="4" w:space="0" w:color="000000"/>
              <w:bottom w:val="single" w:sz="4" w:space="0" w:color="000000"/>
              <w:right w:val="single" w:sz="4" w:space="0" w:color="000000"/>
            </w:tcBorders>
          </w:tcPr>
          <w:p w14:paraId="61121AFC" w14:textId="77777777" w:rsidR="006F76EB" w:rsidRPr="00834D52" w:rsidRDefault="006F76EB" w:rsidP="00F71229">
            <w:pPr>
              <w:spacing w:after="120" w:line="240" w:lineRule="auto"/>
              <w:ind w:right="-8"/>
              <w:rPr>
                <w:rFonts w:ascii="Sylfaen" w:hAnsi="Sylfaen"/>
                <w:sz w:val="24"/>
                <w:szCs w:val="24"/>
              </w:rPr>
            </w:pPr>
          </w:p>
        </w:tc>
        <w:tc>
          <w:tcPr>
            <w:tcW w:w="2722" w:type="dxa"/>
            <w:tcBorders>
              <w:top w:val="single" w:sz="4" w:space="0" w:color="000000"/>
              <w:left w:val="single" w:sz="4" w:space="0" w:color="000000"/>
              <w:bottom w:val="single" w:sz="4" w:space="0" w:color="000000"/>
              <w:right w:val="single" w:sz="4" w:space="0" w:color="000000"/>
            </w:tcBorders>
          </w:tcPr>
          <w:p w14:paraId="0EA21E73" w14:textId="77777777" w:rsidR="006F76EB" w:rsidRPr="00834D52" w:rsidRDefault="006F76EB" w:rsidP="00F71229">
            <w:pPr>
              <w:spacing w:after="120" w:line="240" w:lineRule="auto"/>
              <w:ind w:right="-8"/>
              <w:rPr>
                <w:rFonts w:ascii="Sylfaen" w:hAnsi="Sylfaen"/>
                <w:sz w:val="24"/>
                <w:szCs w:val="24"/>
              </w:rPr>
            </w:pPr>
          </w:p>
        </w:tc>
      </w:tr>
    </w:tbl>
    <w:p w14:paraId="7794DCA0" w14:textId="77777777" w:rsidR="006F76EB" w:rsidRPr="00834D52" w:rsidRDefault="006F76EB" w:rsidP="00523379">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Նշել ՏՍԷ</w:t>
      </w:r>
      <w:r w:rsidRPr="00834D52">
        <w:rPr>
          <w:rFonts w:ascii="Sylfaen" w:hAnsi="Sylfaen"/>
          <w:sz w:val="24"/>
          <w:szCs w:val="24"/>
          <w:vertAlign w:val="superscript"/>
        </w:rPr>
        <w:t>3</w:t>
      </w:r>
      <w:r w:rsidRPr="00834D52">
        <w:rPr>
          <w:rFonts w:ascii="Sylfaen" w:hAnsi="Sylfaen"/>
          <w:sz w:val="24"/>
          <w:szCs w:val="24"/>
        </w:rPr>
        <w:t>-ի վերաբերյալ Եվրոպական դեղագրքերի համապատասխանության սերտիֆիկատի կամ հումքի ծագման երկրի անասնաբուժական վերահսկողության լիազորված մարմինների կողմից տրված փաստաթղթի առկայությունը ՏՍԷ</w:t>
      </w:r>
      <w:r w:rsidRPr="00834D52">
        <w:rPr>
          <w:rFonts w:ascii="Sylfaen" w:hAnsi="Sylfaen"/>
          <w:sz w:val="24"/>
          <w:szCs w:val="24"/>
          <w:vertAlign w:val="superscript"/>
        </w:rPr>
        <w:t>3</w:t>
      </w:r>
      <w:r w:rsidRPr="00834D52">
        <w:rPr>
          <w:rFonts w:ascii="Sylfaen" w:hAnsi="Sylfaen"/>
          <w:sz w:val="24"/>
          <w:szCs w:val="24"/>
        </w:rPr>
        <w:t>-ի դեպքերի հայտնաբերման երկրում</w:t>
      </w:r>
      <w:r w:rsidRPr="00834D52">
        <w:rPr>
          <w:rFonts w:ascii="Sylfaen" w:hAnsi="Sylfaen"/>
          <w:sz w:val="24"/>
          <w:szCs w:val="24"/>
        </w:rPr>
        <w:br/>
        <w:t xml:space="preserve">(ըստ կլինիկական </w:t>
      </w:r>
      <w:r w:rsidR="00C54D75">
        <w:rPr>
          <w:rFonts w:ascii="Sylfaen" w:hAnsi="Sylfaen"/>
          <w:sz w:val="24"/>
          <w:szCs w:val="24"/>
        </w:rPr>
        <w:t>և</w:t>
      </w:r>
      <w:r w:rsidRPr="00834D52">
        <w:rPr>
          <w:rFonts w:ascii="Sylfaen" w:hAnsi="Sylfaen"/>
          <w:sz w:val="24"/>
          <w:szCs w:val="24"/>
        </w:rPr>
        <w:t xml:space="preserve"> լաբորատոր վերահսկողության արդյունքների) գրանցման վերաբերյալ </w:t>
      </w:r>
    </w:p>
    <w:p w14:paraId="24E0D971" w14:textId="77777777" w:rsidR="006F76EB" w:rsidRPr="00834D52" w:rsidRDefault="006F76EB" w:rsidP="00523379">
      <w:pPr>
        <w:tabs>
          <w:tab w:val="left" w:pos="1701"/>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2.6.3.</w:t>
      </w:r>
      <w:r w:rsidRPr="00834D52">
        <w:rPr>
          <w:rFonts w:ascii="Sylfaen" w:hAnsi="Sylfaen"/>
          <w:sz w:val="24"/>
          <w:szCs w:val="24"/>
        </w:rPr>
        <w:tab/>
        <w:t>Արդյո՞ք տրամադրվել է պլազմայի մաստեր-ֆայլի սերտիֆիկատ (այսուհետ՝ ՊՄՖ), որն օգտագործվում է գրանցման դոսյեում, թե այն ստանալու հայտ է ներկայացվել՝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0BFE242" w14:textId="77777777" w:rsidTr="00F71229">
        <w:trPr>
          <w:jc w:val="center"/>
        </w:trPr>
        <w:tc>
          <w:tcPr>
            <w:tcW w:w="1560" w:type="dxa"/>
          </w:tcPr>
          <w:p w14:paraId="61028C81"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48B2434B">
                <v:rect id="_x0000_s1146" style="position:absolute;left:0;text-align:left;margin-left:8.25pt;margin-top:4.05pt;width:12.75pt;height:12pt;z-index:251596288"/>
              </w:pict>
            </w:r>
            <w:r w:rsidR="006F76EB" w:rsidRPr="00834D52">
              <w:rPr>
                <w:rFonts w:ascii="Sylfaen" w:hAnsi="Sylfaen"/>
                <w:sz w:val="24"/>
                <w:szCs w:val="24"/>
              </w:rPr>
              <w:t>ոչ</w:t>
            </w:r>
          </w:p>
        </w:tc>
        <w:tc>
          <w:tcPr>
            <w:tcW w:w="1559" w:type="dxa"/>
          </w:tcPr>
          <w:p w14:paraId="39D52381"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79CC6371">
                <v:rect id="_x0000_s1147" style="position:absolute;left:0;text-align:left;margin-left:.5pt;margin-top:4.05pt;width:12.75pt;height:12pt;z-index:251597312;mso-position-horizontal-relative:text;mso-position-vertical-relative:text"/>
              </w:pict>
            </w:r>
            <w:r w:rsidR="006F76EB" w:rsidRPr="00834D52">
              <w:rPr>
                <w:rFonts w:ascii="Sylfaen" w:hAnsi="Sylfaen"/>
                <w:sz w:val="24"/>
                <w:szCs w:val="24"/>
              </w:rPr>
              <w:t>այո</w:t>
            </w:r>
          </w:p>
        </w:tc>
      </w:tr>
    </w:tbl>
    <w:p w14:paraId="1C57C204" w14:textId="77777777" w:rsidR="00523379" w:rsidRDefault="00523379" w:rsidP="006F76EB">
      <w:pPr>
        <w:spacing w:after="160" w:line="360" w:lineRule="auto"/>
        <w:ind w:right="-8" w:firstLine="567"/>
        <w:rPr>
          <w:rFonts w:ascii="Sylfaen" w:hAnsi="Sylfaen"/>
          <w:sz w:val="24"/>
          <w:szCs w:val="24"/>
        </w:rPr>
      </w:pPr>
    </w:p>
    <w:p w14:paraId="6DBAC43B" w14:textId="77777777" w:rsidR="00523379" w:rsidRDefault="00523379">
      <w:pPr>
        <w:widowControl/>
        <w:rPr>
          <w:rFonts w:ascii="Sylfaen" w:hAnsi="Sylfaen"/>
          <w:sz w:val="24"/>
          <w:szCs w:val="24"/>
        </w:rPr>
      </w:pPr>
      <w:r>
        <w:rPr>
          <w:rFonts w:ascii="Sylfaen" w:hAnsi="Sylfaen"/>
          <w:sz w:val="24"/>
          <w:szCs w:val="24"/>
        </w:rPr>
        <w:br w:type="page"/>
      </w:r>
    </w:p>
    <w:p w14:paraId="3106EECA"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w:t>
      </w:r>
    </w:p>
    <w:tbl>
      <w:tblPr>
        <w:tblStyle w:val="TableGrid"/>
        <w:tblW w:w="0" w:type="auto"/>
        <w:jc w:val="center"/>
        <w:tblLook w:val="04A0" w:firstRow="1" w:lastRow="0" w:firstColumn="1" w:lastColumn="0" w:noHBand="0" w:noVBand="1"/>
      </w:tblPr>
      <w:tblGrid>
        <w:gridCol w:w="4786"/>
        <w:gridCol w:w="1418"/>
        <w:gridCol w:w="1701"/>
        <w:gridCol w:w="1395"/>
      </w:tblGrid>
      <w:tr w:rsidR="006F76EB" w:rsidRPr="00834D52" w14:paraId="6E8903A6" w14:textId="77777777" w:rsidTr="00051BB3">
        <w:trPr>
          <w:jc w:val="center"/>
        </w:trPr>
        <w:tc>
          <w:tcPr>
            <w:tcW w:w="4786" w:type="dxa"/>
          </w:tcPr>
          <w:p w14:paraId="72038FD3"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ՊՄՖ-ի հղմամբ նյութը (սուբստանցիան)</w:t>
            </w:r>
          </w:p>
        </w:tc>
        <w:tc>
          <w:tcPr>
            <w:tcW w:w="4514" w:type="dxa"/>
            <w:gridSpan w:val="3"/>
          </w:tcPr>
          <w:p w14:paraId="0DB186B2" w14:textId="77777777" w:rsidR="006F76EB" w:rsidRPr="00834D52" w:rsidRDefault="006F76EB" w:rsidP="00F71229">
            <w:pPr>
              <w:spacing w:after="120"/>
              <w:ind w:right="-6"/>
              <w:jc w:val="both"/>
              <w:rPr>
                <w:rFonts w:ascii="Sylfaen" w:eastAsia="Times New Roman" w:hAnsi="Sylfaen" w:cs="Times New Roman"/>
                <w:sz w:val="24"/>
                <w:szCs w:val="24"/>
              </w:rPr>
            </w:pPr>
          </w:p>
        </w:tc>
      </w:tr>
      <w:tr w:rsidR="006F76EB" w:rsidRPr="00834D52" w14:paraId="07C485D7" w14:textId="77777777" w:rsidTr="00051BB3">
        <w:trPr>
          <w:jc w:val="center"/>
        </w:trPr>
        <w:tc>
          <w:tcPr>
            <w:tcW w:w="4786" w:type="dxa"/>
            <w:vMerge w:val="restart"/>
          </w:tcPr>
          <w:p w14:paraId="195DDEDC"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գործառույթը</w:t>
            </w:r>
          </w:p>
        </w:tc>
        <w:tc>
          <w:tcPr>
            <w:tcW w:w="1418" w:type="dxa"/>
          </w:tcPr>
          <w:p w14:paraId="413B5299"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ԱԴԲ-ն</w:t>
            </w:r>
          </w:p>
        </w:tc>
        <w:tc>
          <w:tcPr>
            <w:tcW w:w="1701" w:type="dxa"/>
          </w:tcPr>
          <w:p w14:paraId="1BDC85A9" w14:textId="77777777" w:rsidR="006F76EB" w:rsidRPr="00834D52" w:rsidRDefault="006F76EB" w:rsidP="00F71229">
            <w:pPr>
              <w:spacing w:after="120"/>
              <w:ind w:right="-6"/>
              <w:jc w:val="center"/>
              <w:rPr>
                <w:rFonts w:ascii="Sylfaen" w:eastAsia="Times New Roman" w:hAnsi="Sylfaen" w:cs="Times New Roman"/>
                <w:sz w:val="24"/>
                <w:szCs w:val="24"/>
              </w:rPr>
            </w:pPr>
            <w:r w:rsidRPr="00834D52">
              <w:rPr>
                <w:rFonts w:ascii="Sylfaen" w:hAnsi="Sylfaen"/>
                <w:sz w:val="24"/>
                <w:szCs w:val="24"/>
              </w:rPr>
              <w:t>ՕՆ-ն</w:t>
            </w:r>
            <w:r w:rsidRPr="00834D52">
              <w:rPr>
                <w:rStyle w:val="FootnoteReference"/>
                <w:rFonts w:ascii="Sylfaen" w:hAnsi="Sylfaen"/>
                <w:sz w:val="24"/>
                <w:szCs w:val="24"/>
              </w:rPr>
              <w:footnoteReference w:customMarkFollows="1" w:id="7"/>
              <w:t>1</w:t>
            </w:r>
          </w:p>
        </w:tc>
        <w:tc>
          <w:tcPr>
            <w:tcW w:w="1395" w:type="dxa"/>
          </w:tcPr>
          <w:p w14:paraId="76006235" w14:textId="77777777" w:rsidR="006F76EB" w:rsidRPr="00834D52" w:rsidRDefault="006F76EB" w:rsidP="00F71229">
            <w:pPr>
              <w:spacing w:after="120"/>
              <w:ind w:right="-6"/>
              <w:jc w:val="center"/>
              <w:rPr>
                <w:rFonts w:ascii="Sylfaen" w:eastAsia="Times New Roman" w:hAnsi="Sylfaen" w:cs="Times New Roman"/>
                <w:sz w:val="24"/>
                <w:szCs w:val="24"/>
              </w:rPr>
            </w:pPr>
            <w:r w:rsidRPr="00834D52">
              <w:rPr>
                <w:rFonts w:ascii="Sylfaen" w:hAnsi="Sylfaen"/>
                <w:sz w:val="24"/>
                <w:szCs w:val="24"/>
              </w:rPr>
              <w:t>Ռ</w:t>
            </w:r>
            <w:r w:rsidRPr="00834D52">
              <w:rPr>
                <w:rStyle w:val="FootnoteReference"/>
                <w:rFonts w:ascii="Sylfaen" w:hAnsi="Sylfaen"/>
                <w:sz w:val="24"/>
                <w:szCs w:val="24"/>
              </w:rPr>
              <w:footnoteReference w:customMarkFollows="1" w:id="8"/>
              <w:t>2</w:t>
            </w:r>
          </w:p>
        </w:tc>
      </w:tr>
      <w:tr w:rsidR="006F76EB" w:rsidRPr="00834D52" w14:paraId="2D4B6257" w14:textId="77777777" w:rsidTr="00051BB3">
        <w:trPr>
          <w:jc w:val="center"/>
        </w:trPr>
        <w:tc>
          <w:tcPr>
            <w:tcW w:w="4786" w:type="dxa"/>
            <w:vMerge/>
          </w:tcPr>
          <w:p w14:paraId="194F42E1" w14:textId="77777777" w:rsidR="006F76EB" w:rsidRPr="00834D52" w:rsidRDefault="006F76EB" w:rsidP="00F71229">
            <w:pPr>
              <w:spacing w:after="120"/>
              <w:ind w:right="-6"/>
              <w:rPr>
                <w:rFonts w:ascii="Sylfaen" w:eastAsia="Times New Roman" w:hAnsi="Sylfaen" w:cs="Times New Roman"/>
                <w:sz w:val="24"/>
                <w:szCs w:val="24"/>
              </w:rPr>
            </w:pPr>
          </w:p>
        </w:tc>
        <w:tc>
          <w:tcPr>
            <w:tcW w:w="1418" w:type="dxa"/>
          </w:tcPr>
          <w:p w14:paraId="10C566F1" w14:textId="77777777" w:rsidR="006F76EB" w:rsidRPr="00834D52" w:rsidRDefault="006F76EB" w:rsidP="00F71229">
            <w:pPr>
              <w:spacing w:after="120"/>
              <w:ind w:right="-6"/>
              <w:jc w:val="both"/>
              <w:rPr>
                <w:rFonts w:ascii="Sylfaen" w:eastAsia="Times New Roman" w:hAnsi="Sylfaen" w:cs="Times New Roman"/>
                <w:sz w:val="24"/>
                <w:szCs w:val="24"/>
              </w:rPr>
            </w:pPr>
          </w:p>
        </w:tc>
        <w:tc>
          <w:tcPr>
            <w:tcW w:w="1701" w:type="dxa"/>
          </w:tcPr>
          <w:p w14:paraId="000ADDAF" w14:textId="77777777" w:rsidR="006F76EB" w:rsidRPr="00834D52" w:rsidRDefault="006F76EB" w:rsidP="00F71229">
            <w:pPr>
              <w:spacing w:after="120"/>
              <w:ind w:right="-6"/>
              <w:jc w:val="both"/>
              <w:rPr>
                <w:rFonts w:ascii="Sylfaen" w:eastAsia="Times New Roman" w:hAnsi="Sylfaen" w:cs="Times New Roman"/>
                <w:sz w:val="24"/>
                <w:szCs w:val="24"/>
              </w:rPr>
            </w:pPr>
          </w:p>
        </w:tc>
        <w:tc>
          <w:tcPr>
            <w:tcW w:w="1395" w:type="dxa"/>
          </w:tcPr>
          <w:p w14:paraId="3BE7238B" w14:textId="77777777" w:rsidR="006F76EB" w:rsidRPr="00834D52" w:rsidRDefault="006F76EB" w:rsidP="00F71229">
            <w:pPr>
              <w:spacing w:after="120"/>
              <w:ind w:right="-6"/>
              <w:jc w:val="both"/>
              <w:rPr>
                <w:rFonts w:ascii="Sylfaen" w:eastAsia="Times New Roman" w:hAnsi="Sylfaen" w:cs="Times New Roman"/>
                <w:sz w:val="24"/>
                <w:szCs w:val="24"/>
              </w:rPr>
            </w:pPr>
          </w:p>
        </w:tc>
      </w:tr>
      <w:tr w:rsidR="006F76EB" w:rsidRPr="00834D52" w14:paraId="0FD62646" w14:textId="77777777" w:rsidTr="00051BB3">
        <w:trPr>
          <w:jc w:val="center"/>
        </w:trPr>
        <w:tc>
          <w:tcPr>
            <w:tcW w:w="4786" w:type="dxa"/>
          </w:tcPr>
          <w:p w14:paraId="400878B9"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ՊՄՖ-ի տիրապետողի/հայտատուի անվանումը</w:t>
            </w:r>
          </w:p>
        </w:tc>
        <w:tc>
          <w:tcPr>
            <w:tcW w:w="4514" w:type="dxa"/>
            <w:gridSpan w:val="3"/>
          </w:tcPr>
          <w:p w14:paraId="200C383C" w14:textId="77777777" w:rsidR="006F76EB" w:rsidRPr="00834D52" w:rsidRDefault="006F76EB" w:rsidP="00F71229">
            <w:pPr>
              <w:spacing w:after="120"/>
              <w:ind w:right="-6"/>
              <w:rPr>
                <w:rFonts w:ascii="Sylfaen" w:hAnsi="Sylfaen"/>
                <w:sz w:val="24"/>
                <w:szCs w:val="24"/>
              </w:rPr>
            </w:pPr>
          </w:p>
        </w:tc>
      </w:tr>
      <w:tr w:rsidR="006F76EB" w:rsidRPr="00834D52" w14:paraId="45A95870" w14:textId="77777777" w:rsidTr="00051BB3">
        <w:trPr>
          <w:jc w:val="center"/>
        </w:trPr>
        <w:tc>
          <w:tcPr>
            <w:tcW w:w="4786" w:type="dxa"/>
          </w:tcPr>
          <w:p w14:paraId="2587020E"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սերտիֆիկատի/հայտի համարը</w:t>
            </w:r>
          </w:p>
        </w:tc>
        <w:tc>
          <w:tcPr>
            <w:tcW w:w="4514" w:type="dxa"/>
            <w:gridSpan w:val="3"/>
          </w:tcPr>
          <w:p w14:paraId="47669685" w14:textId="77777777" w:rsidR="006F76EB" w:rsidRPr="00834D52" w:rsidRDefault="006F76EB" w:rsidP="00F71229">
            <w:pPr>
              <w:spacing w:after="120"/>
              <w:ind w:right="-6"/>
              <w:rPr>
                <w:rFonts w:ascii="Sylfaen" w:hAnsi="Sylfaen"/>
                <w:sz w:val="24"/>
                <w:szCs w:val="24"/>
              </w:rPr>
            </w:pPr>
          </w:p>
        </w:tc>
      </w:tr>
      <w:tr w:rsidR="006F76EB" w:rsidRPr="00834D52" w14:paraId="48FF4BDB" w14:textId="77777777" w:rsidTr="00051BB3">
        <w:trPr>
          <w:jc w:val="center"/>
        </w:trPr>
        <w:tc>
          <w:tcPr>
            <w:tcW w:w="4786" w:type="dxa"/>
          </w:tcPr>
          <w:p w14:paraId="0CB29EA7"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հայտը ներկայացնելու ամսաթիվը (եթե քննարկման փուլում է)</w:t>
            </w:r>
          </w:p>
        </w:tc>
        <w:tc>
          <w:tcPr>
            <w:tcW w:w="4514" w:type="dxa"/>
            <w:gridSpan w:val="3"/>
          </w:tcPr>
          <w:p w14:paraId="3B7D179A" w14:textId="77777777" w:rsidR="006F76EB" w:rsidRPr="00834D52" w:rsidRDefault="006F76EB" w:rsidP="00F71229">
            <w:pPr>
              <w:spacing w:after="120"/>
              <w:ind w:right="-6"/>
              <w:rPr>
                <w:rFonts w:ascii="Sylfaen" w:hAnsi="Sylfaen"/>
                <w:sz w:val="24"/>
                <w:szCs w:val="24"/>
              </w:rPr>
            </w:pPr>
          </w:p>
        </w:tc>
      </w:tr>
      <w:tr w:rsidR="006F76EB" w:rsidRPr="00834D52" w14:paraId="24EA87D7" w14:textId="77777777" w:rsidTr="00051BB3">
        <w:trPr>
          <w:jc w:val="center"/>
        </w:trPr>
        <w:tc>
          <w:tcPr>
            <w:tcW w:w="4786" w:type="dxa"/>
          </w:tcPr>
          <w:p w14:paraId="050DF365" w14:textId="77777777" w:rsidR="006F76EB" w:rsidRPr="00834D52" w:rsidRDefault="006F76EB" w:rsidP="00F71229">
            <w:pPr>
              <w:spacing w:after="120"/>
              <w:ind w:right="-6"/>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w:t>
            </w:r>
            <w:r w:rsidRPr="00401029">
              <w:rPr>
                <w:rFonts w:ascii="Sylfaen" w:hAnsi="Sylfaen"/>
                <w:sz w:val="24"/>
                <w:szCs w:val="24"/>
              </w:rPr>
              <w:t xml:space="preserve"> </w:t>
            </w:r>
            <w:r w:rsidRPr="00834D52">
              <w:rPr>
                <w:rFonts w:ascii="Sylfaen" w:hAnsi="Sylfaen"/>
                <w:sz w:val="24"/>
                <w:szCs w:val="24"/>
              </w:rPr>
              <w:t>(եթե</w:t>
            </w:r>
            <w:r w:rsidRPr="00401029">
              <w:rPr>
                <w:rFonts w:ascii="Sylfaen" w:hAnsi="Sylfaen"/>
                <w:sz w:val="24"/>
                <w:szCs w:val="24"/>
              </w:rPr>
              <w:t> </w:t>
            </w:r>
            <w:r w:rsidRPr="00834D52">
              <w:rPr>
                <w:rFonts w:ascii="Sylfaen" w:hAnsi="Sylfaen"/>
                <w:sz w:val="24"/>
                <w:szCs w:val="24"/>
              </w:rPr>
              <w:t>առկա է սերտիֆիկատ)</w:t>
            </w:r>
          </w:p>
        </w:tc>
        <w:tc>
          <w:tcPr>
            <w:tcW w:w="4514" w:type="dxa"/>
            <w:gridSpan w:val="3"/>
          </w:tcPr>
          <w:p w14:paraId="033F0D36" w14:textId="77777777" w:rsidR="006F76EB" w:rsidRPr="00834D52" w:rsidRDefault="006F76EB" w:rsidP="00F71229">
            <w:pPr>
              <w:spacing w:after="120"/>
              <w:ind w:right="-6"/>
              <w:rPr>
                <w:rFonts w:ascii="Sylfaen" w:hAnsi="Sylfaen"/>
                <w:sz w:val="24"/>
                <w:szCs w:val="24"/>
              </w:rPr>
            </w:pPr>
          </w:p>
        </w:tc>
      </w:tr>
    </w:tbl>
    <w:p w14:paraId="546A17ED"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2.6.4.</w:t>
      </w:r>
      <w:r w:rsidRPr="00834D52">
        <w:rPr>
          <w:rFonts w:ascii="Sylfaen" w:hAnsi="Sylfaen"/>
          <w:sz w:val="24"/>
          <w:szCs w:val="24"/>
        </w:rPr>
        <w:tab/>
        <w:t>Արդյո՞ք դեղապատրաստուկը պարունակում է կամ բաղկացած է գենետիկորեն մոդիֆիկացված օրգանիզմներից (ԳՄՕ)՝</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77CADB2C" w14:textId="77777777" w:rsidTr="00F71229">
        <w:trPr>
          <w:jc w:val="center"/>
        </w:trPr>
        <w:tc>
          <w:tcPr>
            <w:tcW w:w="1560" w:type="dxa"/>
          </w:tcPr>
          <w:p w14:paraId="0524C142"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10FE608">
                <v:rect id="_x0000_s1148" style="position:absolute;left:0;text-align:left;margin-left:8.25pt;margin-top:4.05pt;width:12.75pt;height:12pt;z-index:251598336"/>
              </w:pict>
            </w:r>
            <w:r w:rsidR="006F76EB" w:rsidRPr="00834D52">
              <w:rPr>
                <w:rFonts w:ascii="Sylfaen" w:hAnsi="Sylfaen"/>
                <w:sz w:val="24"/>
                <w:szCs w:val="24"/>
              </w:rPr>
              <w:t>ոչ</w:t>
            </w:r>
          </w:p>
        </w:tc>
        <w:tc>
          <w:tcPr>
            <w:tcW w:w="1559" w:type="dxa"/>
          </w:tcPr>
          <w:p w14:paraId="6E16B280"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49F87DAC">
                <v:rect id="_x0000_s1149" style="position:absolute;left:0;text-align:left;margin-left:.5pt;margin-top:4.05pt;width:12.75pt;height:12pt;z-index:251599360;mso-position-horizontal-relative:text;mso-position-vertical-relative:text"/>
              </w:pict>
            </w:r>
            <w:r w:rsidR="006F76EB" w:rsidRPr="00834D52">
              <w:rPr>
                <w:rFonts w:ascii="Sylfaen" w:hAnsi="Sylfaen"/>
                <w:sz w:val="24"/>
                <w:szCs w:val="24"/>
              </w:rPr>
              <w:t>այո</w:t>
            </w:r>
          </w:p>
        </w:tc>
      </w:tr>
    </w:tbl>
    <w:p w14:paraId="3C471ECC"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 ապա արդյո՞ք պատրաստուկը համապատասխանում է սահմանված պահանջներին՝</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23A1D2B8" w14:textId="77777777" w:rsidTr="00F71229">
        <w:trPr>
          <w:jc w:val="center"/>
        </w:trPr>
        <w:tc>
          <w:tcPr>
            <w:tcW w:w="1560" w:type="dxa"/>
          </w:tcPr>
          <w:p w14:paraId="0F753CAC"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5CFA153C">
                <v:rect id="_x0000_s1150" style="position:absolute;left:0;text-align:left;margin-left:8.25pt;margin-top:4.05pt;width:12.75pt;height:12pt;z-index:251600384"/>
              </w:pict>
            </w:r>
            <w:r w:rsidR="006F76EB" w:rsidRPr="00834D52">
              <w:rPr>
                <w:rFonts w:ascii="Sylfaen" w:hAnsi="Sylfaen"/>
                <w:sz w:val="24"/>
                <w:szCs w:val="24"/>
              </w:rPr>
              <w:t>ոչ</w:t>
            </w:r>
          </w:p>
        </w:tc>
        <w:tc>
          <w:tcPr>
            <w:tcW w:w="1559" w:type="dxa"/>
          </w:tcPr>
          <w:p w14:paraId="1FA54DAE"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010D9244">
                <v:rect id="_x0000_s1151" style="position:absolute;left:0;text-align:left;margin-left:.5pt;margin-top:4.05pt;width:12.75pt;height:12pt;z-index:251601408;mso-position-horizontal-relative:text;mso-position-vertical-relative:text"/>
              </w:pict>
            </w:r>
            <w:r w:rsidR="006F76EB" w:rsidRPr="00834D52">
              <w:rPr>
                <w:rFonts w:ascii="Sylfaen" w:hAnsi="Sylfaen"/>
                <w:sz w:val="24"/>
                <w:szCs w:val="24"/>
              </w:rPr>
              <w:t>այո</w:t>
            </w:r>
          </w:p>
        </w:tc>
      </w:tr>
    </w:tbl>
    <w:p w14:paraId="121DB3C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Կատարե՛ք անհրաժեշտ հղումը:</w:t>
      </w:r>
    </w:p>
    <w:p w14:paraId="18860E4B" w14:textId="77777777" w:rsidR="006F76EB" w:rsidRPr="00834D52" w:rsidRDefault="006F76EB" w:rsidP="00AB4B3F">
      <w:pPr>
        <w:spacing w:after="0" w:line="240" w:lineRule="auto"/>
        <w:ind w:right="-6"/>
        <w:jc w:val="center"/>
        <w:rPr>
          <w:rFonts w:ascii="Sylfaen" w:eastAsia="Times New Roman" w:hAnsi="Sylfaen" w:cs="Times New Roman"/>
          <w:sz w:val="24"/>
          <w:szCs w:val="24"/>
        </w:rPr>
      </w:pPr>
    </w:p>
    <w:p w14:paraId="69DF0D8A"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 Այլ տեղեկություններ</w:t>
      </w:r>
    </w:p>
    <w:p w14:paraId="2D174D1D" w14:textId="77777777" w:rsidR="006F76EB" w:rsidRPr="00834D52" w:rsidRDefault="006F76EB" w:rsidP="00051BB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3.1.</w:t>
      </w:r>
      <w:r w:rsidRPr="00834D52">
        <w:rPr>
          <w:rFonts w:ascii="Sylfaen" w:hAnsi="Sylfaen"/>
          <w:sz w:val="24"/>
          <w:szCs w:val="24"/>
        </w:rPr>
        <w:tab/>
        <w:t>Պահպանվո՞ւմ են արդյոք դեղապատրաստուկի նկատմամբ մտավոր սեփականության իրավունքները Եվրասիական տնտեսական միության անդամ պետության տարածքում գործող արտոնագրերով՝</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31E9C963" w14:textId="77777777" w:rsidTr="00F71229">
        <w:trPr>
          <w:jc w:val="center"/>
        </w:trPr>
        <w:tc>
          <w:tcPr>
            <w:tcW w:w="1560" w:type="dxa"/>
          </w:tcPr>
          <w:p w14:paraId="71F60D2D"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00B0EAA9">
                <v:rect id="_x0000_s1152" style="position:absolute;left:0;text-align:left;margin-left:8.25pt;margin-top:4.05pt;width:12.75pt;height:12pt;z-index:251602432"/>
              </w:pict>
            </w:r>
            <w:r w:rsidR="006F76EB" w:rsidRPr="00834D52">
              <w:rPr>
                <w:rFonts w:ascii="Sylfaen" w:hAnsi="Sylfaen"/>
                <w:sz w:val="24"/>
                <w:szCs w:val="24"/>
              </w:rPr>
              <w:t>ոչ</w:t>
            </w:r>
          </w:p>
        </w:tc>
        <w:tc>
          <w:tcPr>
            <w:tcW w:w="1559" w:type="dxa"/>
          </w:tcPr>
          <w:p w14:paraId="076467AB"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1E271277">
                <v:rect id="_x0000_s1153" style="position:absolute;left:0;text-align:left;margin-left:.5pt;margin-top:4.05pt;width:12.75pt;height:12pt;z-index:251603456;mso-position-horizontal-relative:text;mso-position-vertical-relative:text"/>
              </w:pict>
            </w:r>
            <w:r w:rsidR="006F76EB" w:rsidRPr="00834D52">
              <w:rPr>
                <w:rFonts w:ascii="Sylfaen" w:hAnsi="Sylfaen"/>
                <w:sz w:val="24"/>
                <w:szCs w:val="24"/>
              </w:rPr>
              <w:t>այո</w:t>
            </w:r>
          </w:p>
        </w:tc>
      </w:tr>
    </w:tbl>
    <w:p w14:paraId="70DFB2A1" w14:textId="77777777" w:rsidR="006F76EB" w:rsidRPr="00834D52" w:rsidRDefault="006F76EB" w:rsidP="006F76EB">
      <w:pPr>
        <w:spacing w:after="160" w:line="360" w:lineRule="auto"/>
        <w:ind w:right="-8"/>
        <w:rPr>
          <w:rFonts w:ascii="Sylfaen" w:hAnsi="Sylfaen"/>
          <w:sz w:val="24"/>
          <w:szCs w:val="24"/>
        </w:rPr>
      </w:pPr>
    </w:p>
    <w:p w14:paraId="50D4B84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Եթե այո, ապա ներկայացրե՛ք հետ</w:t>
      </w:r>
      <w:r w:rsidR="00C54D75">
        <w:rPr>
          <w:rFonts w:ascii="Sylfaen" w:hAnsi="Sylfaen"/>
          <w:sz w:val="24"/>
          <w:szCs w:val="24"/>
        </w:rPr>
        <w:t>և</w:t>
      </w:r>
      <w:r w:rsidRPr="00834D52">
        <w:rPr>
          <w:rFonts w:ascii="Sylfaen" w:hAnsi="Sylfaen"/>
          <w:sz w:val="24"/>
          <w:szCs w:val="24"/>
        </w:rPr>
        <w:t>յալ տեղեկատվությունը՝</w:t>
      </w:r>
    </w:p>
    <w:tbl>
      <w:tblPr>
        <w:tblW w:w="0" w:type="auto"/>
        <w:jc w:val="center"/>
        <w:tblLayout w:type="fixed"/>
        <w:tblCellMar>
          <w:left w:w="0" w:type="dxa"/>
          <w:right w:w="0" w:type="dxa"/>
        </w:tblCellMar>
        <w:tblLook w:val="01E0" w:firstRow="1" w:lastRow="1" w:firstColumn="1" w:lastColumn="1" w:noHBand="0" w:noVBand="0"/>
      </w:tblPr>
      <w:tblGrid>
        <w:gridCol w:w="1838"/>
        <w:gridCol w:w="2268"/>
        <w:gridCol w:w="1560"/>
        <w:gridCol w:w="1702"/>
        <w:gridCol w:w="1843"/>
      </w:tblGrid>
      <w:tr w:rsidR="006F76EB" w:rsidRPr="00834D52" w14:paraId="51B54071" w14:textId="77777777" w:rsidTr="00F71229">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BAD99DD"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 համարը</w:t>
            </w:r>
          </w:p>
        </w:tc>
        <w:tc>
          <w:tcPr>
            <w:tcW w:w="2268" w:type="dxa"/>
            <w:tcBorders>
              <w:top w:val="single" w:sz="4" w:space="0" w:color="000000"/>
              <w:left w:val="single" w:sz="4" w:space="0" w:color="000000"/>
              <w:bottom w:val="single" w:sz="4" w:space="0" w:color="000000"/>
              <w:right w:val="single" w:sz="4" w:space="0" w:color="000000"/>
            </w:tcBorders>
            <w:vAlign w:val="center"/>
          </w:tcPr>
          <w:p w14:paraId="1DF47D9E"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Վավեր է անդամ պետության տարածքում</w:t>
            </w:r>
          </w:p>
        </w:tc>
        <w:tc>
          <w:tcPr>
            <w:tcW w:w="1560" w:type="dxa"/>
            <w:tcBorders>
              <w:top w:val="single" w:sz="4" w:space="0" w:color="000000"/>
              <w:left w:val="single" w:sz="4" w:space="0" w:color="000000"/>
              <w:bottom w:val="single" w:sz="4" w:space="0" w:color="000000"/>
              <w:right w:val="single" w:sz="4" w:space="0" w:color="000000"/>
            </w:tcBorders>
            <w:vAlign w:val="center"/>
          </w:tcPr>
          <w:p w14:paraId="4783D111"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Տրամադրման ամսաթիվը</w:t>
            </w:r>
          </w:p>
        </w:tc>
        <w:tc>
          <w:tcPr>
            <w:tcW w:w="1702" w:type="dxa"/>
            <w:tcBorders>
              <w:top w:val="single" w:sz="4" w:space="0" w:color="000000"/>
              <w:left w:val="single" w:sz="4" w:space="0" w:color="000000"/>
              <w:bottom w:val="single" w:sz="4" w:space="0" w:color="000000"/>
              <w:right w:val="single" w:sz="4" w:space="0" w:color="000000"/>
            </w:tcBorders>
            <w:vAlign w:val="center"/>
          </w:tcPr>
          <w:p w14:paraId="26F85BA2"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1843" w:type="dxa"/>
            <w:tcBorders>
              <w:top w:val="single" w:sz="4" w:space="0" w:color="000000"/>
              <w:left w:val="single" w:sz="4" w:space="0" w:color="000000"/>
              <w:bottom w:val="single" w:sz="4" w:space="0" w:color="000000"/>
              <w:right w:val="single" w:sz="4" w:space="0" w:color="000000"/>
            </w:tcBorders>
            <w:vAlign w:val="center"/>
          </w:tcPr>
          <w:p w14:paraId="20E02341"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Արտոնագրին տիրապետողը</w:t>
            </w:r>
          </w:p>
        </w:tc>
      </w:tr>
      <w:tr w:rsidR="006F76EB" w:rsidRPr="00834D52" w14:paraId="406194B1" w14:textId="77777777" w:rsidTr="00F71229">
        <w:trPr>
          <w:jc w:val="center"/>
        </w:trPr>
        <w:tc>
          <w:tcPr>
            <w:tcW w:w="1838" w:type="dxa"/>
            <w:tcBorders>
              <w:top w:val="single" w:sz="4" w:space="0" w:color="000000"/>
              <w:left w:val="single" w:sz="4" w:space="0" w:color="000000"/>
              <w:bottom w:val="single" w:sz="4" w:space="0" w:color="000000"/>
              <w:right w:val="single" w:sz="4" w:space="0" w:color="000000"/>
            </w:tcBorders>
          </w:tcPr>
          <w:p w14:paraId="317601FF" w14:textId="77777777" w:rsidR="006F76EB" w:rsidRPr="00834D52" w:rsidRDefault="006F76EB" w:rsidP="00051BB3">
            <w:pPr>
              <w:spacing w:after="120" w:line="240" w:lineRule="auto"/>
              <w:ind w:right="-6"/>
              <w:rPr>
                <w:rFonts w:ascii="Sylfaen" w:hAnsi="Sylfae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7377067" w14:textId="77777777" w:rsidR="006F76EB" w:rsidRPr="00834D52" w:rsidRDefault="006F76EB" w:rsidP="00051BB3">
            <w:pPr>
              <w:spacing w:after="120" w:line="240" w:lineRule="auto"/>
              <w:ind w:right="-6"/>
              <w:rPr>
                <w:rFonts w:ascii="Sylfaen" w:hAnsi="Sylfae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4DFCDF3" w14:textId="77777777" w:rsidR="006F76EB" w:rsidRPr="00834D52" w:rsidRDefault="006F76EB" w:rsidP="00051BB3">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8ECB566" w14:textId="77777777" w:rsidR="006F76EB" w:rsidRPr="00834D52" w:rsidRDefault="006F76EB" w:rsidP="00051BB3">
            <w:pPr>
              <w:spacing w:after="120" w:line="240" w:lineRule="auto"/>
              <w:ind w:right="-6"/>
              <w:rPr>
                <w:rFonts w:ascii="Sylfaen" w:hAnsi="Sylfae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BF7E6E5" w14:textId="77777777" w:rsidR="006F76EB" w:rsidRPr="00834D52" w:rsidRDefault="006F76EB" w:rsidP="00051BB3">
            <w:pPr>
              <w:spacing w:after="120" w:line="240" w:lineRule="auto"/>
              <w:ind w:right="-6"/>
              <w:rPr>
                <w:rFonts w:ascii="Sylfaen" w:hAnsi="Sylfaen"/>
                <w:sz w:val="24"/>
                <w:szCs w:val="24"/>
              </w:rPr>
            </w:pPr>
          </w:p>
        </w:tc>
      </w:tr>
    </w:tbl>
    <w:p w14:paraId="7A92184C" w14:textId="77777777" w:rsidR="006F76EB" w:rsidRPr="00834D52" w:rsidRDefault="006F76EB" w:rsidP="00051BB3">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պետության օրենսդրությանը համապատասխան տրամադրված արտոնագիր ունեցող դեղապատրաստուկների գրանցման համար (դեղապատրաստուկի գրանցման դոսյեն Եվրասիական տնտեսական միության իրավունքի մաս կազմող ակտերի պահանջներին համապատասխանեցնելու համար) հայտատուն ներկայացնում է այդպիսի արտոնագրի կամ այն լիցենզիոն համաձայնագրի՝ իր կողմից վավերացված պատճենը, որը գրանցված դեղապատրաստուկի արտադրության </w:t>
      </w:r>
      <w:r w:rsidR="00C54D75">
        <w:rPr>
          <w:rFonts w:ascii="Sylfaen" w:hAnsi="Sylfaen"/>
          <w:sz w:val="24"/>
          <w:szCs w:val="24"/>
        </w:rPr>
        <w:t>և</w:t>
      </w:r>
      <w:r w:rsidRPr="00834D52">
        <w:rPr>
          <w:rFonts w:ascii="Sylfaen" w:hAnsi="Sylfaen"/>
          <w:sz w:val="24"/>
          <w:szCs w:val="24"/>
        </w:rPr>
        <w:t xml:space="preserve"> վաճառքի իրավունք է տալիս: Հայտատուները ներկայացնում են նամակ, որում նշվում է, որ երրորդ անձանց մտավոր իրավունքները, որոնք պաշտպանվում են արտոնագրով կամ փոխանցվում լիցենզիայով, չեն խախտվում դեղապատրաստուկի գրանցման պատճառով:</w:t>
      </w:r>
    </w:p>
    <w:p w14:paraId="51BB1F2F" w14:textId="77777777" w:rsidR="006F76EB" w:rsidRPr="00834D52" w:rsidRDefault="006F76EB" w:rsidP="002D046B">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w:t>
      </w:r>
      <w:r w:rsidRPr="00834D52">
        <w:rPr>
          <w:rFonts w:ascii="Sylfaen" w:hAnsi="Sylfaen"/>
          <w:sz w:val="24"/>
          <w:szCs w:val="24"/>
        </w:rPr>
        <w:tab/>
        <w:t>Արդյո՞ք ապրանքային նշանը գրանցված է Եվրասիական տնտեսական միության անդամ պետություններում՝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5D695FC9" w14:textId="77777777" w:rsidTr="00F71229">
        <w:trPr>
          <w:jc w:val="center"/>
        </w:trPr>
        <w:tc>
          <w:tcPr>
            <w:tcW w:w="1560" w:type="dxa"/>
          </w:tcPr>
          <w:p w14:paraId="12A8266B"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5BFC1FA1">
                <v:rect id="_x0000_s1154" style="position:absolute;left:0;text-align:left;margin-left:8.25pt;margin-top:4.05pt;width:12.75pt;height:12pt;z-index:251604480"/>
              </w:pict>
            </w:r>
            <w:r w:rsidR="006F76EB" w:rsidRPr="00834D52">
              <w:rPr>
                <w:rFonts w:ascii="Sylfaen" w:hAnsi="Sylfaen"/>
                <w:sz w:val="24"/>
                <w:szCs w:val="24"/>
              </w:rPr>
              <w:t>ոչ</w:t>
            </w:r>
          </w:p>
        </w:tc>
        <w:tc>
          <w:tcPr>
            <w:tcW w:w="1559" w:type="dxa"/>
          </w:tcPr>
          <w:p w14:paraId="57D69044"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72563E1C">
                <v:rect id="_x0000_s1155" style="position:absolute;left:0;text-align:left;margin-left:.5pt;margin-top:4.05pt;width:12.75pt;height:12pt;z-index:251605504;mso-position-horizontal-relative:text;mso-position-vertical-relative:text"/>
              </w:pict>
            </w:r>
            <w:r w:rsidR="006F76EB" w:rsidRPr="00834D52">
              <w:rPr>
                <w:rFonts w:ascii="Sylfaen" w:hAnsi="Sylfaen"/>
                <w:sz w:val="24"/>
                <w:szCs w:val="24"/>
              </w:rPr>
              <w:t>այո</w:t>
            </w:r>
          </w:p>
        </w:tc>
      </w:tr>
    </w:tbl>
    <w:p w14:paraId="2E8C8F1E" w14:textId="77777777" w:rsidR="006F76EB" w:rsidRPr="00834D52" w:rsidRDefault="006F76EB" w:rsidP="006F76EB">
      <w:pPr>
        <w:spacing w:after="160" w:line="360" w:lineRule="auto"/>
        <w:ind w:right="-8" w:firstLine="567"/>
        <w:jc w:val="both"/>
        <w:rPr>
          <w:rFonts w:ascii="Sylfaen" w:hAnsi="Sylfaen"/>
          <w:sz w:val="24"/>
          <w:szCs w:val="24"/>
          <w:lang w:val="en-US"/>
        </w:rPr>
      </w:pPr>
    </w:p>
    <w:p w14:paraId="615B375B"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 ապա ներկայացրե՛ք հետ</w:t>
      </w:r>
      <w:r w:rsidR="00C54D75">
        <w:rPr>
          <w:rFonts w:ascii="Sylfaen" w:hAnsi="Sylfaen"/>
          <w:sz w:val="24"/>
          <w:szCs w:val="24"/>
        </w:rPr>
        <w:t>և</w:t>
      </w:r>
      <w:r w:rsidRPr="00834D52">
        <w:rPr>
          <w:rFonts w:ascii="Sylfaen" w:hAnsi="Sylfaen"/>
          <w:sz w:val="24"/>
          <w:szCs w:val="24"/>
        </w:rPr>
        <w:t>յալ տեղեկատվությունը՝</w:t>
      </w:r>
    </w:p>
    <w:tbl>
      <w:tblPr>
        <w:tblW w:w="9564" w:type="dxa"/>
        <w:jc w:val="center"/>
        <w:tblLayout w:type="fixed"/>
        <w:tblCellMar>
          <w:left w:w="0" w:type="dxa"/>
          <w:right w:w="0" w:type="dxa"/>
        </w:tblCellMar>
        <w:tblLook w:val="01E0" w:firstRow="1" w:lastRow="1" w:firstColumn="1" w:lastColumn="1" w:noHBand="0" w:noVBand="0"/>
      </w:tblPr>
      <w:tblGrid>
        <w:gridCol w:w="2158"/>
        <w:gridCol w:w="2410"/>
        <w:gridCol w:w="1594"/>
        <w:gridCol w:w="1526"/>
        <w:gridCol w:w="1876"/>
      </w:tblGrid>
      <w:tr w:rsidR="006F76EB" w:rsidRPr="00834D52" w14:paraId="0A6BD3B2" w14:textId="77777777" w:rsidTr="00F71229">
        <w:trPr>
          <w:jc w:val="center"/>
        </w:trPr>
        <w:tc>
          <w:tcPr>
            <w:tcW w:w="2158" w:type="dxa"/>
            <w:tcBorders>
              <w:top w:val="single" w:sz="4" w:space="0" w:color="000000"/>
              <w:left w:val="single" w:sz="4" w:space="0" w:color="000000"/>
              <w:bottom w:val="single" w:sz="4" w:space="0" w:color="000000"/>
              <w:right w:val="single" w:sz="4" w:space="0" w:color="000000"/>
            </w:tcBorders>
            <w:vAlign w:val="center"/>
          </w:tcPr>
          <w:p w14:paraId="03678683"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Վկայականի համարը</w:t>
            </w:r>
          </w:p>
        </w:tc>
        <w:tc>
          <w:tcPr>
            <w:tcW w:w="2410" w:type="dxa"/>
            <w:tcBorders>
              <w:top w:val="single" w:sz="4" w:space="0" w:color="000000"/>
              <w:left w:val="single" w:sz="4" w:space="0" w:color="000000"/>
              <w:bottom w:val="single" w:sz="4" w:space="0" w:color="000000"/>
              <w:right w:val="single" w:sz="4" w:space="0" w:color="000000"/>
            </w:tcBorders>
            <w:vAlign w:val="center"/>
          </w:tcPr>
          <w:p w14:paraId="35A00B02"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Վավեր է անդամ պետության տարածքում</w:t>
            </w:r>
          </w:p>
        </w:tc>
        <w:tc>
          <w:tcPr>
            <w:tcW w:w="1594" w:type="dxa"/>
            <w:tcBorders>
              <w:top w:val="single" w:sz="4" w:space="0" w:color="000000"/>
              <w:left w:val="single" w:sz="4" w:space="0" w:color="000000"/>
              <w:bottom w:val="single" w:sz="4" w:space="0" w:color="000000"/>
              <w:right w:val="single" w:sz="4" w:space="0" w:color="000000"/>
            </w:tcBorders>
            <w:vAlign w:val="center"/>
          </w:tcPr>
          <w:p w14:paraId="57D32723"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Տրամադրման ամսաթիվը</w:t>
            </w:r>
          </w:p>
        </w:tc>
        <w:tc>
          <w:tcPr>
            <w:tcW w:w="1526" w:type="dxa"/>
            <w:tcBorders>
              <w:top w:val="single" w:sz="4" w:space="0" w:color="000000"/>
              <w:left w:val="single" w:sz="4" w:space="0" w:color="000000"/>
              <w:bottom w:val="single" w:sz="4" w:space="0" w:color="000000"/>
              <w:right w:val="single" w:sz="4" w:space="0" w:color="000000"/>
            </w:tcBorders>
            <w:vAlign w:val="center"/>
          </w:tcPr>
          <w:p w14:paraId="5A915AA1"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1876" w:type="dxa"/>
            <w:tcBorders>
              <w:top w:val="single" w:sz="4" w:space="0" w:color="000000"/>
              <w:left w:val="single" w:sz="4" w:space="0" w:color="000000"/>
              <w:bottom w:val="single" w:sz="4" w:space="0" w:color="000000"/>
              <w:right w:val="single" w:sz="4" w:space="0" w:color="000000"/>
            </w:tcBorders>
            <w:vAlign w:val="center"/>
          </w:tcPr>
          <w:p w14:paraId="154EC86E" w14:textId="77777777" w:rsidR="006F76EB" w:rsidRPr="00834D52" w:rsidRDefault="006F76EB" w:rsidP="00051B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Իրավատերը</w:t>
            </w:r>
          </w:p>
        </w:tc>
      </w:tr>
      <w:tr w:rsidR="006F76EB" w:rsidRPr="00834D52" w14:paraId="728B6A54" w14:textId="77777777" w:rsidTr="00F71229">
        <w:trPr>
          <w:jc w:val="center"/>
        </w:trPr>
        <w:tc>
          <w:tcPr>
            <w:tcW w:w="2158" w:type="dxa"/>
            <w:tcBorders>
              <w:top w:val="single" w:sz="4" w:space="0" w:color="000000"/>
              <w:left w:val="single" w:sz="4" w:space="0" w:color="000000"/>
              <w:bottom w:val="single" w:sz="4" w:space="0" w:color="000000"/>
              <w:right w:val="single" w:sz="4" w:space="0" w:color="000000"/>
            </w:tcBorders>
          </w:tcPr>
          <w:p w14:paraId="65A4FBD3" w14:textId="77777777" w:rsidR="006F76EB" w:rsidRPr="00834D52" w:rsidRDefault="006F76EB" w:rsidP="00051BB3">
            <w:pPr>
              <w:spacing w:after="120" w:line="240" w:lineRule="auto"/>
              <w:ind w:right="-6"/>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55DB548" w14:textId="77777777" w:rsidR="006F76EB" w:rsidRPr="00834D52" w:rsidRDefault="006F76EB" w:rsidP="00051BB3">
            <w:pPr>
              <w:spacing w:after="120" w:line="240" w:lineRule="auto"/>
              <w:ind w:right="-6"/>
              <w:rPr>
                <w:rFonts w:ascii="Sylfaen" w:hAnsi="Sylfaen"/>
                <w:sz w:val="24"/>
                <w:szCs w:val="24"/>
              </w:rPr>
            </w:pPr>
          </w:p>
        </w:tc>
        <w:tc>
          <w:tcPr>
            <w:tcW w:w="1594" w:type="dxa"/>
            <w:tcBorders>
              <w:top w:val="single" w:sz="4" w:space="0" w:color="000000"/>
              <w:left w:val="single" w:sz="4" w:space="0" w:color="000000"/>
              <w:bottom w:val="single" w:sz="4" w:space="0" w:color="000000"/>
              <w:right w:val="single" w:sz="4" w:space="0" w:color="000000"/>
            </w:tcBorders>
          </w:tcPr>
          <w:p w14:paraId="770046A5" w14:textId="77777777" w:rsidR="006F76EB" w:rsidRPr="00834D52" w:rsidRDefault="006F76EB" w:rsidP="00051BB3">
            <w:pPr>
              <w:spacing w:after="120" w:line="240" w:lineRule="auto"/>
              <w:ind w:right="-6"/>
              <w:rPr>
                <w:rFonts w:ascii="Sylfaen" w:hAnsi="Sylfaen"/>
                <w:sz w:val="24"/>
                <w:szCs w:val="24"/>
              </w:rPr>
            </w:pPr>
          </w:p>
        </w:tc>
        <w:tc>
          <w:tcPr>
            <w:tcW w:w="1526" w:type="dxa"/>
            <w:tcBorders>
              <w:top w:val="single" w:sz="4" w:space="0" w:color="000000"/>
              <w:left w:val="single" w:sz="4" w:space="0" w:color="000000"/>
              <w:bottom w:val="single" w:sz="4" w:space="0" w:color="000000"/>
              <w:right w:val="single" w:sz="4" w:space="0" w:color="000000"/>
            </w:tcBorders>
          </w:tcPr>
          <w:p w14:paraId="60A330AF" w14:textId="77777777" w:rsidR="006F76EB" w:rsidRPr="00834D52" w:rsidRDefault="006F76EB" w:rsidP="00051BB3">
            <w:pPr>
              <w:spacing w:after="120" w:line="240" w:lineRule="auto"/>
              <w:ind w:right="-6"/>
              <w:rPr>
                <w:rFonts w:ascii="Sylfaen" w:hAnsi="Sylfaen"/>
                <w:sz w:val="24"/>
                <w:szCs w:val="24"/>
              </w:rPr>
            </w:pPr>
          </w:p>
        </w:tc>
        <w:tc>
          <w:tcPr>
            <w:tcW w:w="1876" w:type="dxa"/>
            <w:tcBorders>
              <w:top w:val="single" w:sz="4" w:space="0" w:color="000000"/>
              <w:left w:val="single" w:sz="4" w:space="0" w:color="000000"/>
              <w:bottom w:val="single" w:sz="4" w:space="0" w:color="000000"/>
              <w:right w:val="single" w:sz="4" w:space="0" w:color="000000"/>
            </w:tcBorders>
          </w:tcPr>
          <w:p w14:paraId="6F8F9671" w14:textId="77777777" w:rsidR="006F76EB" w:rsidRPr="00834D52" w:rsidRDefault="006F76EB" w:rsidP="00051BB3">
            <w:pPr>
              <w:spacing w:after="120" w:line="240" w:lineRule="auto"/>
              <w:ind w:right="-6"/>
              <w:rPr>
                <w:rFonts w:ascii="Sylfaen" w:hAnsi="Sylfaen"/>
                <w:sz w:val="24"/>
                <w:szCs w:val="24"/>
              </w:rPr>
            </w:pPr>
          </w:p>
        </w:tc>
      </w:tr>
    </w:tbl>
    <w:p w14:paraId="697B0D54" w14:textId="77777777" w:rsidR="006F76EB" w:rsidRPr="00834D52" w:rsidRDefault="006F76EB" w:rsidP="006F76EB">
      <w:pPr>
        <w:spacing w:after="160" w:line="360" w:lineRule="auto"/>
        <w:ind w:right="-8"/>
        <w:jc w:val="both"/>
        <w:rPr>
          <w:rFonts w:ascii="Sylfaen" w:eastAsia="Times New Roman" w:hAnsi="Sylfaen" w:cs="Times New Roman"/>
          <w:sz w:val="24"/>
          <w:szCs w:val="24"/>
        </w:rPr>
      </w:pPr>
    </w:p>
    <w:p w14:paraId="30BB304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Կցել հայտատուի կողմից վավերացված՝ ապրանքային նշանի գրանցման հավաստագրի պատճենը, որը գործում է Եվրասիական տնտեսական միության անդամ պետության տարածքում:</w:t>
      </w:r>
    </w:p>
    <w:p w14:paraId="1836CDD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Եթե հայտատուն իրավատերը չէ, ապա կցել հայտատուի կողմից վավերացված լիցենզիոն համաձայնագրի պատճենը կամ ապրանքային նշանի օգտագործման իրավունք տվող պետական գրանցման հաստատումը:</w:t>
      </w:r>
    </w:p>
    <w:p w14:paraId="09834245" w14:textId="77777777" w:rsidR="006F76EB" w:rsidRPr="00834D52" w:rsidRDefault="006F76EB" w:rsidP="00051BB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3.3.</w:t>
      </w:r>
      <w:r w:rsidRPr="00834D52">
        <w:rPr>
          <w:rFonts w:ascii="Sylfaen" w:hAnsi="Sylfaen"/>
          <w:sz w:val="24"/>
          <w:szCs w:val="24"/>
        </w:rPr>
        <w:tab/>
        <w:t>Արդյո՞ք դեղապատրաստուկը գրանցված է արտադրողի երկրում՝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289A1DA5" w14:textId="77777777" w:rsidTr="00F71229">
        <w:trPr>
          <w:jc w:val="center"/>
        </w:trPr>
        <w:tc>
          <w:tcPr>
            <w:tcW w:w="1560" w:type="dxa"/>
          </w:tcPr>
          <w:p w14:paraId="0B91F509"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199BFCA">
                <v:rect id="_x0000_s1156" style="position:absolute;left:0;text-align:left;margin-left:8.25pt;margin-top:4.05pt;width:12.75pt;height:12pt;z-index:251606528"/>
              </w:pict>
            </w:r>
            <w:r w:rsidR="006F76EB" w:rsidRPr="00834D52">
              <w:rPr>
                <w:rFonts w:ascii="Sylfaen" w:hAnsi="Sylfaen"/>
                <w:sz w:val="24"/>
                <w:szCs w:val="24"/>
              </w:rPr>
              <w:t>ոչ</w:t>
            </w:r>
          </w:p>
        </w:tc>
        <w:tc>
          <w:tcPr>
            <w:tcW w:w="1559" w:type="dxa"/>
          </w:tcPr>
          <w:p w14:paraId="797214EF"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325F9FE5">
                <v:rect id="_x0000_s1157" style="position:absolute;left:0;text-align:left;margin-left:.5pt;margin-top:4.05pt;width:12.75pt;height:12pt;z-index:251607552;mso-position-horizontal-relative:text;mso-position-vertical-relative:text"/>
              </w:pict>
            </w:r>
            <w:r w:rsidR="006F76EB" w:rsidRPr="00834D52">
              <w:rPr>
                <w:rFonts w:ascii="Sylfaen" w:hAnsi="Sylfaen"/>
                <w:sz w:val="24"/>
                <w:szCs w:val="24"/>
              </w:rPr>
              <w:t>այո</w:t>
            </w:r>
          </w:p>
        </w:tc>
      </w:tr>
    </w:tbl>
    <w:p w14:paraId="3B70107E" w14:textId="77777777" w:rsidR="006F76EB" w:rsidRPr="00834D52" w:rsidRDefault="006F76EB" w:rsidP="006F76EB">
      <w:pPr>
        <w:spacing w:after="160" w:line="360" w:lineRule="auto"/>
        <w:ind w:right="-8"/>
        <w:jc w:val="both"/>
        <w:rPr>
          <w:rFonts w:ascii="Sylfaen" w:hAnsi="Sylfaen"/>
          <w:sz w:val="24"/>
          <w:szCs w:val="24"/>
          <w:lang w:val="en-US"/>
        </w:rPr>
      </w:pPr>
    </w:p>
    <w:p w14:paraId="55358B89"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դեղապատրաստուկը գրանցված է այլ երկրներում՝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0664D77" w14:textId="77777777" w:rsidTr="00F71229">
        <w:trPr>
          <w:jc w:val="center"/>
        </w:trPr>
        <w:tc>
          <w:tcPr>
            <w:tcW w:w="1560" w:type="dxa"/>
          </w:tcPr>
          <w:p w14:paraId="0236F7D7"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1985E33E">
                <v:rect id="_x0000_s1158" style="position:absolute;left:0;text-align:left;margin-left:8.25pt;margin-top:4.05pt;width:12.75pt;height:12pt;z-index:251608576"/>
              </w:pict>
            </w:r>
            <w:r w:rsidR="006F76EB" w:rsidRPr="00834D52">
              <w:rPr>
                <w:rFonts w:ascii="Sylfaen" w:hAnsi="Sylfaen"/>
                <w:sz w:val="24"/>
                <w:szCs w:val="24"/>
              </w:rPr>
              <w:t>ոչ</w:t>
            </w:r>
          </w:p>
        </w:tc>
        <w:tc>
          <w:tcPr>
            <w:tcW w:w="1559" w:type="dxa"/>
          </w:tcPr>
          <w:p w14:paraId="11CEAA41"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406B8D34">
                <v:rect id="_x0000_s1159" style="position:absolute;left:0;text-align:left;margin-left:.5pt;margin-top:4.05pt;width:12.75pt;height:12pt;z-index:251609600;mso-position-horizontal-relative:text;mso-position-vertical-relative:text"/>
              </w:pict>
            </w:r>
            <w:r w:rsidR="006F76EB" w:rsidRPr="00834D52">
              <w:rPr>
                <w:rFonts w:ascii="Sylfaen" w:hAnsi="Sylfaen"/>
                <w:sz w:val="24"/>
                <w:szCs w:val="24"/>
              </w:rPr>
              <w:t>այո</w:t>
            </w:r>
          </w:p>
        </w:tc>
      </w:tr>
    </w:tbl>
    <w:p w14:paraId="2FB6B482" w14:textId="77777777" w:rsidR="006F76EB" w:rsidRPr="00834D52" w:rsidRDefault="006F76EB" w:rsidP="006F76EB">
      <w:pPr>
        <w:tabs>
          <w:tab w:val="left" w:pos="1701"/>
        </w:tabs>
        <w:spacing w:after="160" w:line="360" w:lineRule="auto"/>
        <w:ind w:right="-8" w:firstLine="567"/>
        <w:jc w:val="both"/>
        <w:rPr>
          <w:rFonts w:ascii="Sylfaen" w:hAnsi="Sylfaen"/>
          <w:sz w:val="24"/>
          <w:szCs w:val="24"/>
          <w:lang w:val="en-US"/>
        </w:rPr>
      </w:pPr>
    </w:p>
    <w:p w14:paraId="0F37B6BF" w14:textId="77777777" w:rsidR="006F76EB" w:rsidRPr="00834D52" w:rsidRDefault="006F76EB" w:rsidP="00051BB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3.4.</w:t>
      </w:r>
      <w:r w:rsidRPr="00834D52">
        <w:rPr>
          <w:rFonts w:ascii="Sylfaen" w:hAnsi="Sylfaen"/>
          <w:sz w:val="24"/>
          <w:szCs w:val="24"/>
        </w:rPr>
        <w:tab/>
        <w:t>Արդյո՞ք անցկացվել է տվյալ դեղապատրաստուկի վերաբերյալ նախնական գիտական խորհրդակցություն Եվրասիական տնտեսական միության անդամ պետություններում՝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199E6AA6" w14:textId="77777777" w:rsidTr="00F71229">
        <w:trPr>
          <w:jc w:val="center"/>
        </w:trPr>
        <w:tc>
          <w:tcPr>
            <w:tcW w:w="1560" w:type="dxa"/>
          </w:tcPr>
          <w:p w14:paraId="676A76DB"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914C8E5">
                <v:rect id="_x0000_s1160" style="position:absolute;left:0;text-align:left;margin-left:8.25pt;margin-top:4.05pt;width:12.75pt;height:12pt;z-index:251610624"/>
              </w:pict>
            </w:r>
            <w:r w:rsidR="006F76EB" w:rsidRPr="00834D52">
              <w:rPr>
                <w:rFonts w:ascii="Sylfaen" w:hAnsi="Sylfaen"/>
                <w:sz w:val="24"/>
                <w:szCs w:val="24"/>
              </w:rPr>
              <w:t>ոչ</w:t>
            </w:r>
          </w:p>
        </w:tc>
        <w:tc>
          <w:tcPr>
            <w:tcW w:w="1559" w:type="dxa"/>
          </w:tcPr>
          <w:p w14:paraId="7A5E959C"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2D6C048F">
                <v:rect id="_x0000_s1161" style="position:absolute;left:0;text-align:left;margin-left:.5pt;margin-top:4.05pt;width:12.75pt;height:12pt;z-index:251611648;mso-position-horizontal-relative:text;mso-position-vertical-relative:text"/>
              </w:pict>
            </w:r>
            <w:r w:rsidR="006F76EB" w:rsidRPr="00834D52">
              <w:rPr>
                <w:rFonts w:ascii="Sylfaen" w:hAnsi="Sylfaen"/>
                <w:sz w:val="24"/>
                <w:szCs w:val="24"/>
              </w:rPr>
              <w:t>այո</w:t>
            </w:r>
          </w:p>
        </w:tc>
      </w:tr>
    </w:tbl>
    <w:p w14:paraId="6D6E2836" w14:textId="77777777" w:rsidR="006F76EB" w:rsidRPr="00834D52" w:rsidRDefault="006F76EB" w:rsidP="006F76EB">
      <w:pPr>
        <w:spacing w:after="160" w:line="360" w:lineRule="auto"/>
        <w:ind w:right="-8"/>
        <w:rPr>
          <w:rFonts w:ascii="Sylfaen" w:hAnsi="Sylfaen"/>
          <w:sz w:val="24"/>
          <w:szCs w:val="24"/>
        </w:rPr>
      </w:pPr>
    </w:p>
    <w:p w14:paraId="36098B8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w:t>
      </w:r>
    </w:p>
    <w:tbl>
      <w:tblPr>
        <w:tblW w:w="9804" w:type="dxa"/>
        <w:jc w:val="center"/>
        <w:tblLayout w:type="fixed"/>
        <w:tblCellMar>
          <w:left w:w="0" w:type="dxa"/>
          <w:right w:w="0" w:type="dxa"/>
        </w:tblCellMar>
        <w:tblLook w:val="01E0" w:firstRow="1" w:lastRow="1" w:firstColumn="1" w:lastColumn="1" w:noHBand="0" w:noVBand="0"/>
      </w:tblPr>
      <w:tblGrid>
        <w:gridCol w:w="5192"/>
        <w:gridCol w:w="4612"/>
      </w:tblGrid>
      <w:tr w:rsidR="006F76EB" w:rsidRPr="00834D52" w14:paraId="7D8683C0" w14:textId="77777777" w:rsidTr="002D046B">
        <w:trPr>
          <w:trHeight w:val="549"/>
          <w:jc w:val="center"/>
        </w:trPr>
        <w:tc>
          <w:tcPr>
            <w:tcW w:w="5192" w:type="dxa"/>
            <w:tcBorders>
              <w:top w:val="single" w:sz="4" w:space="0" w:color="000000"/>
              <w:left w:val="single" w:sz="4" w:space="0" w:color="000000"/>
              <w:bottom w:val="single" w:sz="4" w:space="0" w:color="000000"/>
              <w:right w:val="single" w:sz="4" w:space="0" w:color="000000"/>
            </w:tcBorders>
          </w:tcPr>
          <w:p w14:paraId="273A1003" w14:textId="77777777" w:rsidR="006F76EB" w:rsidRPr="00834D52" w:rsidRDefault="006F76EB" w:rsidP="00280FAE">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անդամ պետությունը</w:t>
            </w:r>
          </w:p>
        </w:tc>
        <w:tc>
          <w:tcPr>
            <w:tcW w:w="4612" w:type="dxa"/>
            <w:tcBorders>
              <w:top w:val="single" w:sz="4" w:space="0" w:color="000000"/>
              <w:left w:val="single" w:sz="4" w:space="0" w:color="000000"/>
              <w:bottom w:val="single" w:sz="4" w:space="0" w:color="000000"/>
              <w:right w:val="single" w:sz="4" w:space="0" w:color="000000"/>
            </w:tcBorders>
          </w:tcPr>
          <w:p w14:paraId="7984FA62" w14:textId="77777777" w:rsidR="006F76EB" w:rsidRPr="00834D52" w:rsidRDefault="006F76EB" w:rsidP="00280FAE">
            <w:pPr>
              <w:spacing w:after="120" w:line="240" w:lineRule="auto"/>
              <w:ind w:right="-8"/>
              <w:rPr>
                <w:rFonts w:ascii="Sylfaen" w:hAnsi="Sylfaen"/>
                <w:sz w:val="24"/>
                <w:szCs w:val="24"/>
              </w:rPr>
            </w:pPr>
          </w:p>
        </w:tc>
      </w:tr>
      <w:tr w:rsidR="006F76EB" w:rsidRPr="00834D52" w14:paraId="480A23A8" w14:textId="77777777" w:rsidTr="002D046B">
        <w:trPr>
          <w:trHeight w:val="549"/>
          <w:jc w:val="center"/>
        </w:trPr>
        <w:tc>
          <w:tcPr>
            <w:tcW w:w="5192" w:type="dxa"/>
            <w:tcBorders>
              <w:top w:val="single" w:sz="4" w:space="0" w:color="000000"/>
              <w:left w:val="single" w:sz="4" w:space="0" w:color="000000"/>
              <w:bottom w:val="single" w:sz="4" w:space="0" w:color="000000"/>
              <w:right w:val="single" w:sz="4" w:space="0" w:color="000000"/>
            </w:tcBorders>
          </w:tcPr>
          <w:p w14:paraId="2C794A39" w14:textId="77777777" w:rsidR="006F76EB" w:rsidRPr="00834D52" w:rsidRDefault="006F76EB" w:rsidP="00280FAE">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անցկացման ամսաթիվը</w:t>
            </w:r>
          </w:p>
        </w:tc>
        <w:tc>
          <w:tcPr>
            <w:tcW w:w="4612" w:type="dxa"/>
            <w:tcBorders>
              <w:top w:val="single" w:sz="4" w:space="0" w:color="000000"/>
              <w:left w:val="single" w:sz="4" w:space="0" w:color="000000"/>
              <w:bottom w:val="single" w:sz="4" w:space="0" w:color="000000"/>
              <w:right w:val="single" w:sz="4" w:space="0" w:color="000000"/>
            </w:tcBorders>
          </w:tcPr>
          <w:p w14:paraId="44212EB8" w14:textId="77777777" w:rsidR="006F76EB" w:rsidRPr="00834D52" w:rsidRDefault="006F76EB" w:rsidP="00280FAE">
            <w:pPr>
              <w:spacing w:after="120" w:line="240" w:lineRule="auto"/>
              <w:ind w:right="-8"/>
              <w:rPr>
                <w:rFonts w:ascii="Sylfaen" w:hAnsi="Sylfaen"/>
                <w:sz w:val="24"/>
                <w:szCs w:val="24"/>
              </w:rPr>
            </w:pPr>
          </w:p>
        </w:tc>
      </w:tr>
      <w:tr w:rsidR="006F76EB" w:rsidRPr="00834D52" w14:paraId="1E95B3A8" w14:textId="77777777" w:rsidTr="002D046B">
        <w:trPr>
          <w:trHeight w:val="1353"/>
          <w:jc w:val="center"/>
        </w:trPr>
        <w:tc>
          <w:tcPr>
            <w:tcW w:w="5192" w:type="dxa"/>
            <w:tcBorders>
              <w:top w:val="single" w:sz="4" w:space="0" w:color="000000"/>
              <w:left w:val="single" w:sz="4" w:space="0" w:color="000000"/>
              <w:bottom w:val="single" w:sz="4" w:space="0" w:color="000000"/>
              <w:right w:val="single" w:sz="4" w:space="0" w:color="000000"/>
            </w:tcBorders>
          </w:tcPr>
          <w:p w14:paraId="4806C391" w14:textId="77777777" w:rsidR="006F76EB" w:rsidRPr="00834D52" w:rsidRDefault="006F76EB" w:rsidP="00280FAE">
            <w:pPr>
              <w:spacing w:after="120" w:line="240" w:lineRule="auto"/>
              <w:ind w:left="180" w:right="830"/>
              <w:rPr>
                <w:rFonts w:ascii="Sylfaen" w:eastAsia="Times New Roman" w:hAnsi="Sylfaen" w:cs="Times New Roman"/>
                <w:sz w:val="24"/>
                <w:szCs w:val="24"/>
              </w:rPr>
            </w:pPr>
            <w:r w:rsidRPr="00834D52">
              <w:rPr>
                <w:rFonts w:ascii="Sylfaen" w:hAnsi="Sylfaen"/>
                <w:sz w:val="24"/>
                <w:szCs w:val="24"/>
              </w:rPr>
              <w:t xml:space="preserve">նշում՝ դոսյեի կազմում եզրակացության առկայության մասին </w:t>
            </w:r>
          </w:p>
        </w:tc>
        <w:tc>
          <w:tcPr>
            <w:tcW w:w="4612" w:type="dxa"/>
            <w:tcBorders>
              <w:top w:val="single" w:sz="4" w:space="0" w:color="000000"/>
              <w:left w:val="single" w:sz="4" w:space="0" w:color="000000"/>
              <w:bottom w:val="single" w:sz="4" w:space="0" w:color="000000"/>
              <w:right w:val="single" w:sz="4" w:space="0" w:color="000000"/>
            </w:tcBorders>
          </w:tcPr>
          <w:p w14:paraId="46895BDB" w14:textId="77777777" w:rsidR="006F76EB" w:rsidRPr="00834D52" w:rsidRDefault="006F76EB" w:rsidP="00280FAE">
            <w:pPr>
              <w:spacing w:after="120" w:line="240" w:lineRule="auto"/>
              <w:ind w:right="-8"/>
              <w:rPr>
                <w:rFonts w:ascii="Sylfaen" w:hAnsi="Sylfaen"/>
                <w:sz w:val="24"/>
                <w:szCs w:val="24"/>
              </w:rPr>
            </w:pPr>
          </w:p>
        </w:tc>
      </w:tr>
    </w:tbl>
    <w:p w14:paraId="7019F85D" w14:textId="77777777" w:rsidR="006F76EB" w:rsidRPr="00834D52" w:rsidRDefault="006F76EB" w:rsidP="006F76EB">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Արդյո՞ք Դեղամիջոցների հարցերով փորձագիտական կոմիտեում անցկացվել է տվյալ դեղապատրաստուկի վերաբերյալ նախնական գիտական խորհրդակցություն՝</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11C7AEA3" w14:textId="77777777" w:rsidTr="00F71229">
        <w:trPr>
          <w:jc w:val="center"/>
        </w:trPr>
        <w:tc>
          <w:tcPr>
            <w:tcW w:w="1560" w:type="dxa"/>
          </w:tcPr>
          <w:p w14:paraId="2F59FACD"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3F7B619">
                <v:rect id="_x0000_s1162" style="position:absolute;left:0;text-align:left;margin-left:8.25pt;margin-top:4.05pt;width:12.75pt;height:12pt;z-index:251612672"/>
              </w:pict>
            </w:r>
            <w:r w:rsidR="006F76EB" w:rsidRPr="00834D52">
              <w:rPr>
                <w:rFonts w:ascii="Sylfaen" w:hAnsi="Sylfaen"/>
                <w:sz w:val="24"/>
                <w:szCs w:val="24"/>
              </w:rPr>
              <w:t>ոչ</w:t>
            </w:r>
          </w:p>
        </w:tc>
        <w:tc>
          <w:tcPr>
            <w:tcW w:w="1559" w:type="dxa"/>
          </w:tcPr>
          <w:p w14:paraId="29F75D6C"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71118FE1">
                <v:rect id="_x0000_s1163" style="position:absolute;left:0;text-align:left;margin-left:.5pt;margin-top:4.05pt;width:12.75pt;height:12pt;z-index:251613696;mso-position-horizontal-relative:text;mso-position-vertical-relative:text"/>
              </w:pict>
            </w:r>
            <w:r w:rsidR="006F76EB" w:rsidRPr="00834D52">
              <w:rPr>
                <w:rFonts w:ascii="Sylfaen" w:hAnsi="Sylfaen"/>
                <w:sz w:val="24"/>
                <w:szCs w:val="24"/>
              </w:rPr>
              <w:t>այո</w:t>
            </w:r>
          </w:p>
        </w:tc>
      </w:tr>
    </w:tbl>
    <w:p w14:paraId="348351BF" w14:textId="77777777" w:rsidR="006F76EB" w:rsidRPr="00834D52" w:rsidRDefault="006F76EB" w:rsidP="006F76EB">
      <w:pPr>
        <w:spacing w:after="160" w:line="360" w:lineRule="auto"/>
        <w:ind w:right="-8"/>
        <w:rPr>
          <w:rFonts w:ascii="Sylfaen" w:hAnsi="Sylfaen"/>
          <w:sz w:val="24"/>
          <w:szCs w:val="24"/>
          <w:lang w:val="en-US"/>
        </w:rPr>
      </w:pPr>
    </w:p>
    <w:p w14:paraId="2CE3DE82"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w:t>
      </w:r>
    </w:p>
    <w:tbl>
      <w:tblPr>
        <w:tblW w:w="9552" w:type="dxa"/>
        <w:tblInd w:w="109" w:type="dxa"/>
        <w:tblLayout w:type="fixed"/>
        <w:tblCellMar>
          <w:left w:w="0" w:type="dxa"/>
          <w:right w:w="0" w:type="dxa"/>
        </w:tblCellMar>
        <w:tblLook w:val="01E0" w:firstRow="1" w:lastRow="1" w:firstColumn="1" w:lastColumn="1" w:noHBand="0" w:noVBand="0"/>
      </w:tblPr>
      <w:tblGrid>
        <w:gridCol w:w="4675"/>
        <w:gridCol w:w="4877"/>
      </w:tblGrid>
      <w:tr w:rsidR="006F76EB" w:rsidRPr="00834D52" w14:paraId="6897C5D9" w14:textId="77777777" w:rsidTr="00DA7D09">
        <w:trPr>
          <w:trHeight w:val="720"/>
        </w:trPr>
        <w:tc>
          <w:tcPr>
            <w:tcW w:w="4675" w:type="dxa"/>
            <w:tcBorders>
              <w:top w:val="single" w:sz="4" w:space="0" w:color="000000"/>
              <w:left w:val="single" w:sz="4" w:space="0" w:color="000000"/>
              <w:bottom w:val="single" w:sz="4" w:space="0" w:color="000000"/>
              <w:right w:val="single" w:sz="4" w:space="0" w:color="000000"/>
            </w:tcBorders>
          </w:tcPr>
          <w:p w14:paraId="3CDBFE10" w14:textId="77777777" w:rsidR="006F76EB" w:rsidRPr="00834D52" w:rsidRDefault="006F76EB" w:rsidP="00280FAE">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անցկացման ամսաթիվը</w:t>
            </w:r>
          </w:p>
        </w:tc>
        <w:tc>
          <w:tcPr>
            <w:tcW w:w="4877" w:type="dxa"/>
            <w:tcBorders>
              <w:top w:val="single" w:sz="4" w:space="0" w:color="000000"/>
              <w:left w:val="single" w:sz="4" w:space="0" w:color="000000"/>
              <w:bottom w:val="single" w:sz="4" w:space="0" w:color="000000"/>
              <w:right w:val="single" w:sz="4" w:space="0" w:color="000000"/>
            </w:tcBorders>
          </w:tcPr>
          <w:p w14:paraId="5EAE87AC" w14:textId="77777777" w:rsidR="006F76EB" w:rsidRPr="00834D52" w:rsidRDefault="006F76EB" w:rsidP="00280FAE">
            <w:pPr>
              <w:spacing w:after="120" w:line="240" w:lineRule="auto"/>
              <w:ind w:right="-6"/>
              <w:rPr>
                <w:rFonts w:ascii="Sylfaen" w:hAnsi="Sylfaen"/>
                <w:sz w:val="24"/>
                <w:szCs w:val="24"/>
              </w:rPr>
            </w:pPr>
          </w:p>
        </w:tc>
      </w:tr>
      <w:tr w:rsidR="006F76EB" w:rsidRPr="00834D52" w14:paraId="07EC5401" w14:textId="77777777" w:rsidTr="00DA7D09">
        <w:trPr>
          <w:trHeight w:val="1293"/>
        </w:trPr>
        <w:tc>
          <w:tcPr>
            <w:tcW w:w="4675" w:type="dxa"/>
            <w:tcBorders>
              <w:top w:val="single" w:sz="4" w:space="0" w:color="000000"/>
              <w:left w:val="single" w:sz="4" w:space="0" w:color="000000"/>
              <w:bottom w:val="single" w:sz="4" w:space="0" w:color="000000"/>
              <w:right w:val="single" w:sz="4" w:space="0" w:color="000000"/>
            </w:tcBorders>
          </w:tcPr>
          <w:p w14:paraId="218DF30C" w14:textId="77777777" w:rsidR="006F76EB" w:rsidRPr="00834D52" w:rsidRDefault="006F76EB" w:rsidP="00280FAE">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նշում՝ դոսյեի կազմում եզրակացության առկայության մասին </w:t>
            </w:r>
          </w:p>
        </w:tc>
        <w:tc>
          <w:tcPr>
            <w:tcW w:w="4877" w:type="dxa"/>
            <w:tcBorders>
              <w:top w:val="single" w:sz="4" w:space="0" w:color="000000"/>
              <w:left w:val="single" w:sz="4" w:space="0" w:color="000000"/>
              <w:bottom w:val="single" w:sz="4" w:space="0" w:color="000000"/>
              <w:right w:val="single" w:sz="4" w:space="0" w:color="000000"/>
            </w:tcBorders>
          </w:tcPr>
          <w:p w14:paraId="5DB1C556" w14:textId="77777777" w:rsidR="006F76EB" w:rsidRPr="00834D52" w:rsidRDefault="006F76EB" w:rsidP="00280FAE">
            <w:pPr>
              <w:spacing w:after="120" w:line="240" w:lineRule="auto"/>
              <w:ind w:right="-6"/>
              <w:rPr>
                <w:rFonts w:ascii="Sylfaen" w:hAnsi="Sylfaen"/>
                <w:sz w:val="24"/>
                <w:szCs w:val="24"/>
              </w:rPr>
            </w:pPr>
          </w:p>
        </w:tc>
      </w:tr>
    </w:tbl>
    <w:p w14:paraId="105F6316"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w:t>
      </w:r>
      <w:r w:rsidRPr="00834D52">
        <w:rPr>
          <w:rFonts w:ascii="Sylfaen" w:hAnsi="Sylfaen"/>
          <w:sz w:val="24"/>
          <w:szCs w:val="24"/>
        </w:rPr>
        <w:tab/>
        <w:t xml:space="preserve">Արտադրողի երկրում </w:t>
      </w:r>
      <w:r w:rsidR="00C54D75">
        <w:rPr>
          <w:rFonts w:ascii="Sylfaen" w:hAnsi="Sylfaen"/>
          <w:sz w:val="24"/>
          <w:szCs w:val="24"/>
        </w:rPr>
        <w:t>և</w:t>
      </w:r>
      <w:r w:rsidRPr="00834D52">
        <w:rPr>
          <w:rFonts w:ascii="Sylfaen" w:hAnsi="Sylfaen"/>
          <w:sz w:val="24"/>
          <w:szCs w:val="24"/>
        </w:rPr>
        <w:t xml:space="preserve"> այլ երկրներում դեղապատրաստուկի գրանցման հավաստագրի մերժման, հետկանչի </w:t>
      </w:r>
      <w:r w:rsidR="00C54D75">
        <w:rPr>
          <w:rFonts w:ascii="Sylfaen" w:hAnsi="Sylfaen"/>
          <w:sz w:val="24"/>
          <w:szCs w:val="24"/>
        </w:rPr>
        <w:t>և</w:t>
      </w:r>
      <w:r w:rsidRPr="00834D52">
        <w:rPr>
          <w:rFonts w:ascii="Sylfaen" w:hAnsi="Sylfaen"/>
          <w:sz w:val="24"/>
          <w:szCs w:val="24"/>
        </w:rPr>
        <w:t xml:space="preserve"> գործողության դադարեցման մասին տեղեկատվություն:</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7C6CF6FD" w14:textId="77777777" w:rsidTr="00F71229">
        <w:trPr>
          <w:jc w:val="center"/>
        </w:trPr>
        <w:tc>
          <w:tcPr>
            <w:tcW w:w="1560" w:type="dxa"/>
          </w:tcPr>
          <w:p w14:paraId="366909BA"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49C9B0C9">
                <v:rect id="_x0000_s1164" style="position:absolute;left:0;text-align:left;margin-left:8.25pt;margin-top:4.05pt;width:12.75pt;height:12pt;z-index:251614720"/>
              </w:pict>
            </w:r>
            <w:r w:rsidR="006F76EB" w:rsidRPr="00834D52">
              <w:rPr>
                <w:rFonts w:ascii="Sylfaen" w:hAnsi="Sylfaen"/>
                <w:sz w:val="24"/>
                <w:szCs w:val="24"/>
              </w:rPr>
              <w:t>ոչ</w:t>
            </w:r>
          </w:p>
        </w:tc>
        <w:tc>
          <w:tcPr>
            <w:tcW w:w="1559" w:type="dxa"/>
          </w:tcPr>
          <w:p w14:paraId="76A6EA07"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598FE735">
                <v:rect id="_x0000_s1165" style="position:absolute;left:0;text-align:left;margin-left:.5pt;margin-top:4.05pt;width:12.75pt;height:12pt;z-index:251615744;mso-position-horizontal-relative:text;mso-position-vertical-relative:text"/>
              </w:pict>
            </w:r>
            <w:r w:rsidR="006F76EB" w:rsidRPr="00834D52">
              <w:rPr>
                <w:rFonts w:ascii="Sylfaen" w:hAnsi="Sylfaen"/>
                <w:sz w:val="24"/>
                <w:szCs w:val="24"/>
              </w:rPr>
              <w:t>այո</w:t>
            </w:r>
          </w:p>
        </w:tc>
      </w:tr>
    </w:tbl>
    <w:p w14:paraId="7B4C5034" w14:textId="77777777" w:rsidR="006F76EB" w:rsidRPr="00834D52" w:rsidRDefault="006F76EB" w:rsidP="006F76EB">
      <w:pPr>
        <w:spacing w:after="160" w:line="360" w:lineRule="auto"/>
        <w:ind w:right="-8"/>
        <w:rPr>
          <w:rFonts w:ascii="Sylfaen" w:hAnsi="Sylfaen"/>
          <w:sz w:val="24"/>
          <w:szCs w:val="24"/>
          <w:lang w:val="en-US"/>
        </w:rPr>
      </w:pPr>
    </w:p>
    <w:p w14:paraId="39ADC451" w14:textId="77777777" w:rsidR="006F76EB" w:rsidRPr="00834D52" w:rsidRDefault="006F76EB" w:rsidP="006F76EB">
      <w:pPr>
        <w:spacing w:after="160" w:line="343" w:lineRule="auto"/>
        <w:ind w:right="-6" w:firstLine="567"/>
        <w:rPr>
          <w:rFonts w:ascii="Sylfaen" w:eastAsia="Times New Roman" w:hAnsi="Sylfaen" w:cs="Times New Roman"/>
          <w:sz w:val="24"/>
          <w:szCs w:val="24"/>
        </w:rPr>
      </w:pPr>
      <w:r w:rsidRPr="00834D52">
        <w:rPr>
          <w:rFonts w:ascii="Sylfaen" w:hAnsi="Sylfaen"/>
          <w:sz w:val="24"/>
          <w:szCs w:val="24"/>
        </w:rPr>
        <w:t>Եթե այո՝</w:t>
      </w:r>
    </w:p>
    <w:tbl>
      <w:tblPr>
        <w:tblW w:w="9980" w:type="dxa"/>
        <w:jc w:val="center"/>
        <w:tblLayout w:type="fixed"/>
        <w:tblCellMar>
          <w:left w:w="0" w:type="dxa"/>
          <w:right w:w="0" w:type="dxa"/>
        </w:tblCellMar>
        <w:tblLook w:val="01E0" w:firstRow="1" w:lastRow="1" w:firstColumn="1" w:lastColumn="1" w:noHBand="0" w:noVBand="0"/>
      </w:tblPr>
      <w:tblGrid>
        <w:gridCol w:w="3496"/>
        <w:gridCol w:w="1351"/>
        <w:gridCol w:w="1575"/>
        <w:gridCol w:w="1882"/>
        <w:gridCol w:w="1676"/>
      </w:tblGrid>
      <w:tr w:rsidR="006F76EB" w:rsidRPr="00834D52" w14:paraId="11518283" w14:textId="77777777" w:rsidTr="00DA7D09">
        <w:trPr>
          <w:trHeight w:val="838"/>
          <w:jc w:val="center"/>
        </w:trPr>
        <w:tc>
          <w:tcPr>
            <w:tcW w:w="3496" w:type="dxa"/>
            <w:tcBorders>
              <w:top w:val="single" w:sz="4" w:space="0" w:color="000000"/>
              <w:left w:val="single" w:sz="4" w:space="0" w:color="000000"/>
              <w:bottom w:val="single" w:sz="4" w:space="0" w:color="000000"/>
              <w:right w:val="single" w:sz="4" w:space="0" w:color="000000"/>
            </w:tcBorders>
          </w:tcPr>
          <w:p w14:paraId="5A5120C8" w14:textId="77777777" w:rsidR="006F76EB" w:rsidRPr="00834D52" w:rsidRDefault="006F76EB" w:rsidP="00280FAE">
            <w:pPr>
              <w:spacing w:after="120" w:line="240" w:lineRule="auto"/>
              <w:ind w:left="27" w:right="79"/>
              <w:rPr>
                <w:rFonts w:ascii="Sylfaen" w:eastAsia="Times New Roman" w:hAnsi="Sylfaen" w:cs="Times New Roman"/>
                <w:sz w:val="24"/>
                <w:szCs w:val="24"/>
              </w:rPr>
            </w:pPr>
            <w:r w:rsidRPr="00834D52">
              <w:rPr>
                <w:rFonts w:ascii="Sylfaen" w:hAnsi="Sylfaen"/>
                <w:sz w:val="24"/>
                <w:szCs w:val="24"/>
              </w:rPr>
              <w:t>Սահմանափակման տեսակը</w:t>
            </w:r>
          </w:p>
        </w:tc>
        <w:tc>
          <w:tcPr>
            <w:tcW w:w="1351" w:type="dxa"/>
            <w:tcBorders>
              <w:top w:val="single" w:sz="4" w:space="0" w:color="000000"/>
              <w:left w:val="single" w:sz="4" w:space="0" w:color="000000"/>
              <w:bottom w:val="single" w:sz="4" w:space="0" w:color="000000"/>
              <w:right w:val="single" w:sz="4" w:space="0" w:color="000000"/>
            </w:tcBorders>
          </w:tcPr>
          <w:p w14:paraId="75636BD3" w14:textId="77777777" w:rsidR="006F76EB" w:rsidRPr="00834D52" w:rsidRDefault="006F76EB" w:rsidP="00280FAE">
            <w:pPr>
              <w:spacing w:after="120" w:line="240" w:lineRule="auto"/>
              <w:ind w:left="27" w:right="79"/>
              <w:rPr>
                <w:rFonts w:ascii="Sylfaen" w:eastAsia="Times New Roman" w:hAnsi="Sylfaen" w:cs="Times New Roman"/>
                <w:sz w:val="24"/>
                <w:szCs w:val="24"/>
              </w:rPr>
            </w:pPr>
            <w:r w:rsidRPr="00834D52">
              <w:rPr>
                <w:rFonts w:ascii="Sylfaen" w:hAnsi="Sylfaen"/>
                <w:sz w:val="24"/>
                <w:szCs w:val="24"/>
              </w:rPr>
              <w:t>Պատճառը</w:t>
            </w:r>
          </w:p>
        </w:tc>
        <w:tc>
          <w:tcPr>
            <w:tcW w:w="1575" w:type="dxa"/>
            <w:tcBorders>
              <w:top w:val="single" w:sz="4" w:space="0" w:color="000000"/>
              <w:left w:val="single" w:sz="4" w:space="0" w:color="000000"/>
              <w:bottom w:val="single" w:sz="4" w:space="0" w:color="000000"/>
              <w:right w:val="single" w:sz="4" w:space="0" w:color="000000"/>
            </w:tcBorders>
          </w:tcPr>
          <w:p w14:paraId="022C6F53" w14:textId="77777777" w:rsidR="006F76EB" w:rsidRPr="00834D52" w:rsidRDefault="006F76EB" w:rsidP="00280FAE">
            <w:pPr>
              <w:spacing w:after="120" w:line="240" w:lineRule="auto"/>
              <w:ind w:left="27" w:right="79"/>
              <w:rPr>
                <w:rFonts w:ascii="Sylfaen" w:eastAsia="Times New Roman" w:hAnsi="Sylfaen" w:cs="Times New Roman"/>
                <w:sz w:val="24"/>
                <w:szCs w:val="24"/>
              </w:rPr>
            </w:pPr>
            <w:r w:rsidRPr="00834D52">
              <w:rPr>
                <w:rFonts w:ascii="Sylfaen" w:hAnsi="Sylfaen"/>
                <w:sz w:val="24"/>
                <w:szCs w:val="24"/>
              </w:rPr>
              <w:t>Երկիրը</w:t>
            </w:r>
          </w:p>
        </w:tc>
        <w:tc>
          <w:tcPr>
            <w:tcW w:w="1882" w:type="dxa"/>
            <w:tcBorders>
              <w:top w:val="single" w:sz="4" w:space="0" w:color="000000"/>
              <w:left w:val="single" w:sz="4" w:space="0" w:color="000000"/>
              <w:bottom w:val="single" w:sz="4" w:space="0" w:color="000000"/>
              <w:right w:val="single" w:sz="4" w:space="0" w:color="000000"/>
            </w:tcBorders>
          </w:tcPr>
          <w:p w14:paraId="7DB76564" w14:textId="77777777" w:rsidR="006F76EB" w:rsidRPr="00834D52" w:rsidRDefault="006F76EB" w:rsidP="00280FAE">
            <w:pPr>
              <w:spacing w:after="120" w:line="240" w:lineRule="auto"/>
              <w:ind w:left="27" w:right="79"/>
              <w:rPr>
                <w:rFonts w:ascii="Sylfaen" w:eastAsia="Times New Roman" w:hAnsi="Sylfaen" w:cs="Times New Roman"/>
                <w:sz w:val="24"/>
                <w:szCs w:val="24"/>
              </w:rPr>
            </w:pPr>
            <w:r w:rsidRPr="00834D52">
              <w:rPr>
                <w:rFonts w:ascii="Sylfaen" w:hAnsi="Sylfaen"/>
                <w:sz w:val="24"/>
                <w:szCs w:val="24"/>
              </w:rPr>
              <w:t>Ժամկետը</w:t>
            </w:r>
          </w:p>
        </w:tc>
        <w:tc>
          <w:tcPr>
            <w:tcW w:w="1676" w:type="dxa"/>
            <w:tcBorders>
              <w:top w:val="single" w:sz="4" w:space="0" w:color="000000"/>
              <w:left w:val="single" w:sz="4" w:space="0" w:color="000000"/>
              <w:bottom w:val="single" w:sz="4" w:space="0" w:color="000000"/>
              <w:right w:val="single" w:sz="4" w:space="0" w:color="000000"/>
            </w:tcBorders>
          </w:tcPr>
          <w:p w14:paraId="7FB9ADE7" w14:textId="77777777" w:rsidR="006F76EB" w:rsidRPr="00834D52" w:rsidRDefault="006F76EB" w:rsidP="00280FAE">
            <w:pPr>
              <w:spacing w:after="120" w:line="240" w:lineRule="auto"/>
              <w:ind w:left="27" w:right="79"/>
              <w:rPr>
                <w:rFonts w:ascii="Sylfaen" w:eastAsia="Times New Roman" w:hAnsi="Sylfaen" w:cs="Times New Roman"/>
                <w:sz w:val="24"/>
                <w:szCs w:val="24"/>
              </w:rPr>
            </w:pPr>
            <w:r w:rsidRPr="00834D52">
              <w:rPr>
                <w:rFonts w:ascii="Sylfaen" w:hAnsi="Sylfaen"/>
                <w:sz w:val="24"/>
                <w:szCs w:val="24"/>
              </w:rPr>
              <w:t>Ամսաթիվը</w:t>
            </w:r>
          </w:p>
        </w:tc>
      </w:tr>
      <w:tr w:rsidR="006F76EB" w:rsidRPr="00834D52" w14:paraId="07FCD511" w14:textId="77777777" w:rsidTr="00DA7D09">
        <w:trPr>
          <w:trHeight w:val="807"/>
          <w:jc w:val="center"/>
        </w:trPr>
        <w:tc>
          <w:tcPr>
            <w:tcW w:w="3496" w:type="dxa"/>
            <w:tcBorders>
              <w:top w:val="single" w:sz="4" w:space="0" w:color="000000"/>
              <w:left w:val="single" w:sz="4" w:space="0" w:color="000000"/>
              <w:bottom w:val="single" w:sz="4" w:space="0" w:color="000000"/>
              <w:right w:val="single" w:sz="4" w:space="0" w:color="000000"/>
            </w:tcBorders>
          </w:tcPr>
          <w:p w14:paraId="7F089E59" w14:textId="77777777" w:rsidR="006F76EB" w:rsidRPr="00834D52" w:rsidRDefault="006F76EB" w:rsidP="00280FAE">
            <w:pPr>
              <w:spacing w:after="120" w:line="240" w:lineRule="auto"/>
              <w:ind w:right="-6"/>
              <w:rPr>
                <w:rFonts w:ascii="Sylfaen" w:hAnsi="Sylfaen"/>
                <w:sz w:val="24"/>
                <w:szCs w:val="24"/>
              </w:rPr>
            </w:pPr>
          </w:p>
        </w:tc>
        <w:tc>
          <w:tcPr>
            <w:tcW w:w="1351" w:type="dxa"/>
            <w:tcBorders>
              <w:top w:val="single" w:sz="4" w:space="0" w:color="000000"/>
              <w:left w:val="single" w:sz="4" w:space="0" w:color="000000"/>
              <w:bottom w:val="single" w:sz="4" w:space="0" w:color="000000"/>
              <w:right w:val="single" w:sz="4" w:space="0" w:color="000000"/>
            </w:tcBorders>
          </w:tcPr>
          <w:p w14:paraId="08AFB678" w14:textId="77777777" w:rsidR="006F76EB" w:rsidRPr="00834D52" w:rsidRDefault="006F76EB" w:rsidP="00280FAE">
            <w:pPr>
              <w:spacing w:after="120" w:line="240" w:lineRule="auto"/>
              <w:ind w:right="-6"/>
              <w:rPr>
                <w:rFonts w:ascii="Sylfaen" w:hAnsi="Sylfaen"/>
                <w:sz w:val="24"/>
                <w:szCs w:val="24"/>
              </w:rPr>
            </w:pPr>
          </w:p>
        </w:tc>
        <w:tc>
          <w:tcPr>
            <w:tcW w:w="1575" w:type="dxa"/>
            <w:tcBorders>
              <w:top w:val="single" w:sz="4" w:space="0" w:color="000000"/>
              <w:left w:val="single" w:sz="4" w:space="0" w:color="000000"/>
              <w:bottom w:val="single" w:sz="4" w:space="0" w:color="000000"/>
              <w:right w:val="single" w:sz="4" w:space="0" w:color="000000"/>
            </w:tcBorders>
          </w:tcPr>
          <w:p w14:paraId="57F7D011" w14:textId="77777777" w:rsidR="006F76EB" w:rsidRPr="00834D52" w:rsidRDefault="006F76EB" w:rsidP="00280FAE">
            <w:pPr>
              <w:spacing w:after="120" w:line="240" w:lineRule="auto"/>
              <w:ind w:right="-6"/>
              <w:rPr>
                <w:rFonts w:ascii="Sylfaen" w:hAnsi="Sylfaen"/>
                <w:sz w:val="24"/>
                <w:szCs w:val="24"/>
              </w:rPr>
            </w:pPr>
          </w:p>
        </w:tc>
        <w:tc>
          <w:tcPr>
            <w:tcW w:w="1882" w:type="dxa"/>
            <w:tcBorders>
              <w:top w:val="single" w:sz="4" w:space="0" w:color="000000"/>
              <w:left w:val="single" w:sz="4" w:space="0" w:color="000000"/>
              <w:bottom w:val="single" w:sz="4" w:space="0" w:color="000000"/>
              <w:right w:val="single" w:sz="4" w:space="0" w:color="000000"/>
            </w:tcBorders>
          </w:tcPr>
          <w:p w14:paraId="58F5F809" w14:textId="77777777" w:rsidR="006F76EB" w:rsidRPr="00834D52" w:rsidRDefault="006F76EB" w:rsidP="00280FAE">
            <w:pPr>
              <w:spacing w:after="120" w:line="240" w:lineRule="auto"/>
              <w:ind w:right="-6"/>
              <w:rPr>
                <w:rFonts w:ascii="Sylfaen" w:hAnsi="Sylfaen"/>
                <w:sz w:val="24"/>
                <w:szCs w:val="24"/>
              </w:rPr>
            </w:pPr>
          </w:p>
        </w:tc>
        <w:tc>
          <w:tcPr>
            <w:tcW w:w="1676" w:type="dxa"/>
            <w:tcBorders>
              <w:top w:val="single" w:sz="4" w:space="0" w:color="000000"/>
              <w:left w:val="single" w:sz="4" w:space="0" w:color="000000"/>
              <w:bottom w:val="single" w:sz="4" w:space="0" w:color="000000"/>
              <w:right w:val="single" w:sz="4" w:space="0" w:color="000000"/>
            </w:tcBorders>
          </w:tcPr>
          <w:p w14:paraId="6F3965A1" w14:textId="77777777" w:rsidR="006F76EB" w:rsidRPr="00834D52" w:rsidRDefault="006F76EB" w:rsidP="00280FAE">
            <w:pPr>
              <w:spacing w:after="120" w:line="240" w:lineRule="auto"/>
              <w:ind w:right="-6"/>
              <w:rPr>
                <w:rFonts w:ascii="Sylfaen" w:hAnsi="Sylfaen"/>
                <w:sz w:val="24"/>
                <w:szCs w:val="24"/>
              </w:rPr>
            </w:pPr>
          </w:p>
        </w:tc>
      </w:tr>
      <w:tr w:rsidR="006F76EB" w:rsidRPr="00834D52" w14:paraId="7D7E197A" w14:textId="77777777" w:rsidTr="00DA7D09">
        <w:trPr>
          <w:trHeight w:val="838"/>
          <w:jc w:val="center"/>
        </w:trPr>
        <w:tc>
          <w:tcPr>
            <w:tcW w:w="3496" w:type="dxa"/>
            <w:tcBorders>
              <w:top w:val="single" w:sz="4" w:space="0" w:color="000000"/>
              <w:left w:val="single" w:sz="4" w:space="0" w:color="000000"/>
              <w:bottom w:val="single" w:sz="4" w:space="0" w:color="000000"/>
              <w:right w:val="single" w:sz="4" w:space="0" w:color="000000"/>
            </w:tcBorders>
          </w:tcPr>
          <w:p w14:paraId="09869F28" w14:textId="77777777" w:rsidR="006F76EB" w:rsidRPr="00834D52" w:rsidRDefault="006F76EB" w:rsidP="00280FAE">
            <w:pPr>
              <w:spacing w:after="120" w:line="240" w:lineRule="auto"/>
              <w:ind w:right="-6"/>
              <w:rPr>
                <w:rFonts w:ascii="Sylfaen" w:eastAsia="Times New Roman" w:hAnsi="Sylfaen" w:cs="Times New Roman"/>
                <w:sz w:val="24"/>
                <w:szCs w:val="24"/>
              </w:rPr>
            </w:pPr>
            <w:r w:rsidRPr="00834D52">
              <w:rPr>
                <w:rFonts w:ascii="Sylfaen" w:hAnsi="Sylfaen"/>
                <w:sz w:val="24"/>
                <w:szCs w:val="24"/>
              </w:rPr>
              <w:t>...</w:t>
            </w:r>
          </w:p>
        </w:tc>
        <w:tc>
          <w:tcPr>
            <w:tcW w:w="1351" w:type="dxa"/>
            <w:tcBorders>
              <w:top w:val="single" w:sz="4" w:space="0" w:color="000000"/>
              <w:left w:val="single" w:sz="4" w:space="0" w:color="000000"/>
              <w:bottom w:val="single" w:sz="4" w:space="0" w:color="000000"/>
              <w:right w:val="single" w:sz="4" w:space="0" w:color="000000"/>
            </w:tcBorders>
          </w:tcPr>
          <w:p w14:paraId="0C947AEE" w14:textId="77777777" w:rsidR="006F76EB" w:rsidRPr="00834D52" w:rsidRDefault="006F76EB" w:rsidP="00280FAE">
            <w:pPr>
              <w:spacing w:after="120" w:line="240" w:lineRule="auto"/>
              <w:ind w:right="-6"/>
              <w:rPr>
                <w:rFonts w:ascii="Sylfaen" w:hAnsi="Sylfaen"/>
                <w:sz w:val="24"/>
                <w:szCs w:val="24"/>
              </w:rPr>
            </w:pPr>
          </w:p>
        </w:tc>
        <w:tc>
          <w:tcPr>
            <w:tcW w:w="1575" w:type="dxa"/>
            <w:tcBorders>
              <w:top w:val="single" w:sz="4" w:space="0" w:color="000000"/>
              <w:left w:val="single" w:sz="4" w:space="0" w:color="000000"/>
              <w:bottom w:val="single" w:sz="4" w:space="0" w:color="000000"/>
              <w:right w:val="single" w:sz="4" w:space="0" w:color="000000"/>
            </w:tcBorders>
          </w:tcPr>
          <w:p w14:paraId="373CB52F" w14:textId="77777777" w:rsidR="006F76EB" w:rsidRPr="00834D52" w:rsidRDefault="006F76EB" w:rsidP="00280FAE">
            <w:pPr>
              <w:spacing w:after="120" w:line="240" w:lineRule="auto"/>
              <w:ind w:right="-6"/>
              <w:rPr>
                <w:rFonts w:ascii="Sylfaen" w:hAnsi="Sylfaen"/>
                <w:sz w:val="24"/>
                <w:szCs w:val="24"/>
              </w:rPr>
            </w:pPr>
          </w:p>
        </w:tc>
        <w:tc>
          <w:tcPr>
            <w:tcW w:w="1882" w:type="dxa"/>
            <w:tcBorders>
              <w:top w:val="single" w:sz="4" w:space="0" w:color="000000"/>
              <w:left w:val="single" w:sz="4" w:space="0" w:color="000000"/>
              <w:bottom w:val="single" w:sz="4" w:space="0" w:color="000000"/>
              <w:right w:val="single" w:sz="4" w:space="0" w:color="000000"/>
            </w:tcBorders>
          </w:tcPr>
          <w:p w14:paraId="2EFF92CF" w14:textId="77777777" w:rsidR="006F76EB" w:rsidRPr="00834D52" w:rsidRDefault="006F76EB" w:rsidP="00280FAE">
            <w:pPr>
              <w:spacing w:after="120" w:line="240" w:lineRule="auto"/>
              <w:ind w:right="-6"/>
              <w:rPr>
                <w:rFonts w:ascii="Sylfaen" w:hAnsi="Sylfaen"/>
                <w:sz w:val="24"/>
                <w:szCs w:val="24"/>
              </w:rPr>
            </w:pPr>
          </w:p>
        </w:tc>
        <w:tc>
          <w:tcPr>
            <w:tcW w:w="1676" w:type="dxa"/>
            <w:tcBorders>
              <w:top w:val="single" w:sz="4" w:space="0" w:color="000000"/>
              <w:left w:val="single" w:sz="4" w:space="0" w:color="000000"/>
              <w:bottom w:val="single" w:sz="4" w:space="0" w:color="000000"/>
              <w:right w:val="single" w:sz="4" w:space="0" w:color="000000"/>
            </w:tcBorders>
          </w:tcPr>
          <w:p w14:paraId="1DAFD4A9" w14:textId="77777777" w:rsidR="006F76EB" w:rsidRPr="00834D52" w:rsidRDefault="006F76EB" w:rsidP="00280FAE">
            <w:pPr>
              <w:spacing w:after="120" w:line="240" w:lineRule="auto"/>
              <w:ind w:right="-6"/>
              <w:rPr>
                <w:rFonts w:ascii="Sylfaen" w:hAnsi="Sylfaen"/>
                <w:sz w:val="24"/>
                <w:szCs w:val="24"/>
              </w:rPr>
            </w:pPr>
          </w:p>
        </w:tc>
      </w:tr>
    </w:tbl>
    <w:p w14:paraId="69A46576" w14:textId="77777777" w:rsidR="00280FAE" w:rsidRDefault="00280FAE" w:rsidP="006F76EB">
      <w:pPr>
        <w:spacing w:after="160" w:line="343" w:lineRule="auto"/>
        <w:ind w:right="-6"/>
        <w:jc w:val="center"/>
        <w:rPr>
          <w:rFonts w:ascii="Sylfaen" w:hAnsi="Sylfaen"/>
          <w:sz w:val="24"/>
          <w:szCs w:val="24"/>
          <w:lang w:val="en-US"/>
        </w:rPr>
      </w:pPr>
    </w:p>
    <w:p w14:paraId="62D561B7" w14:textId="77777777" w:rsidR="006F76EB" w:rsidRPr="00834D52" w:rsidRDefault="006F76EB" w:rsidP="00DA7D09">
      <w:pPr>
        <w:spacing w:after="160" w:line="384" w:lineRule="auto"/>
        <w:ind w:right="-6"/>
        <w:jc w:val="center"/>
        <w:rPr>
          <w:rFonts w:ascii="Sylfaen" w:hAnsi="Sylfaen"/>
          <w:sz w:val="24"/>
          <w:szCs w:val="24"/>
          <w:lang w:val="en-US"/>
        </w:rPr>
      </w:pPr>
      <w:r w:rsidRPr="00834D52">
        <w:rPr>
          <w:rFonts w:ascii="Sylfaen" w:hAnsi="Sylfaen"/>
          <w:sz w:val="24"/>
          <w:szCs w:val="24"/>
        </w:rPr>
        <w:t>4. Հայտի հավելվածները</w:t>
      </w:r>
    </w:p>
    <w:p w14:paraId="2F12A15E" w14:textId="77777777" w:rsidR="006F76EB" w:rsidRPr="00834D52" w:rsidRDefault="006F76EB" w:rsidP="00105DDA">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4.1.</w:t>
      </w:r>
      <w:r w:rsidRPr="00834D52">
        <w:rPr>
          <w:rFonts w:ascii="Sylfaen" w:hAnsi="Sylfaen"/>
          <w:sz w:val="24"/>
          <w:szCs w:val="24"/>
          <w:lang w:val="en-US"/>
        </w:rPr>
        <w:tab/>
      </w:r>
      <w:r w:rsidRPr="00834D52">
        <w:rPr>
          <w:rFonts w:ascii="Sylfaen" w:hAnsi="Sylfaen"/>
          <w:sz w:val="24"/>
          <w:szCs w:val="24"/>
        </w:rPr>
        <w:t xml:space="preserve">Գրանցման հավաստագրի իրավատիրոջ </w:t>
      </w:r>
      <w:r w:rsidR="00C54D75">
        <w:rPr>
          <w:rFonts w:ascii="Sylfaen" w:hAnsi="Sylfaen"/>
          <w:sz w:val="24"/>
          <w:szCs w:val="24"/>
        </w:rPr>
        <w:t>և</w:t>
      </w:r>
      <w:r w:rsidRPr="00834D52">
        <w:rPr>
          <w:rFonts w:ascii="Sylfaen" w:hAnsi="Sylfaen"/>
          <w:sz w:val="24"/>
          <w:szCs w:val="24"/>
        </w:rPr>
        <w:t xml:space="preserve"> հայտատուի անունից իրավաբանական նշանակություն ունեցող գործողություններ իրականացնելու լիազորագիրը (եթե կիրառելի է):</w:t>
      </w:r>
    </w:p>
    <w:p w14:paraId="78C55E99" w14:textId="77777777" w:rsidR="006F76EB" w:rsidRPr="00834D52" w:rsidRDefault="006F76EB" w:rsidP="00105DDA">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4.2.</w:t>
      </w:r>
      <w:r w:rsidRPr="00834D52">
        <w:rPr>
          <w:rFonts w:ascii="Sylfaen" w:hAnsi="Sylfaen"/>
          <w:sz w:val="24"/>
          <w:szCs w:val="24"/>
        </w:rPr>
        <w:tab/>
        <w:t>Դեղապատրաստուկի հազվադեպ կիրառվող («որբ») կարգավիճակը հաստատող փաստաթղթի պատճենը:</w:t>
      </w:r>
    </w:p>
    <w:p w14:paraId="46CB106A" w14:textId="77777777" w:rsidR="006F76EB" w:rsidRPr="00834D52" w:rsidRDefault="006F76EB" w:rsidP="00105DDA">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4.3.</w:t>
      </w:r>
      <w:r w:rsidRPr="00834D52">
        <w:rPr>
          <w:rFonts w:ascii="Sylfaen" w:hAnsi="Sylfaen"/>
          <w:sz w:val="24"/>
          <w:szCs w:val="24"/>
        </w:rPr>
        <w:tab/>
        <w:t>Գրանցվող դեղապատրաստուկի մասով Եվրասիական տնտեսական միության անդամ պետությունների տարածքում գործող արտոնագրերի պատճենները:</w:t>
      </w:r>
    </w:p>
    <w:p w14:paraId="77417DA8" w14:textId="77777777" w:rsidR="006F76EB" w:rsidRPr="00834D52" w:rsidRDefault="006F76EB" w:rsidP="00DA7D0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4.4.</w:t>
      </w:r>
      <w:r w:rsidRPr="00834D52">
        <w:rPr>
          <w:rFonts w:ascii="Sylfaen" w:hAnsi="Sylfaen"/>
          <w:sz w:val="24"/>
          <w:szCs w:val="24"/>
        </w:rPr>
        <w:tab/>
        <w:t>Հայտատուի գրավոր հաստատումն այն մասին, որ դեղապատրաստուկի գրանցումը չի խախտում երրորդ անձանց` մտավոր սեփականության իրավունքները:</w:t>
      </w:r>
    </w:p>
    <w:p w14:paraId="267E9D5B" w14:textId="77777777" w:rsidR="006F76EB" w:rsidRPr="00834D52" w:rsidRDefault="006F76EB" w:rsidP="00DA7D0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4.5.</w:t>
      </w:r>
      <w:r w:rsidRPr="00834D52">
        <w:rPr>
          <w:rFonts w:ascii="Sylfaen" w:hAnsi="Sylfaen"/>
          <w:sz w:val="24"/>
          <w:szCs w:val="24"/>
        </w:rPr>
        <w:tab/>
        <w:t>Ապրանքային նշանի Միության անդամ պետության տարածքում գործող՝ ապրանքային նշանի գրանցման վկայականի պատճենը:</w:t>
      </w:r>
    </w:p>
    <w:p w14:paraId="62676155" w14:textId="77777777" w:rsidR="006F76EB" w:rsidRPr="00834D52" w:rsidRDefault="006F76EB" w:rsidP="00DA7D09">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4.6.</w:t>
      </w:r>
      <w:r w:rsidRPr="00834D52">
        <w:rPr>
          <w:rFonts w:ascii="Sylfaen" w:hAnsi="Sylfaen"/>
          <w:sz w:val="24"/>
          <w:szCs w:val="24"/>
        </w:rPr>
        <w:tab/>
        <w:t xml:space="preserve">Որակի վերահսկողության հարցերով լիազորված անձի հայտն արտադրության՝ Հանձնաժողովի կողմից հաստատվող՝ Եվրասիական տնտեսական միության պատշաճ արտադրական գործունեության կանոններին </w:t>
      </w:r>
      <w:r w:rsidR="00C54D75">
        <w:rPr>
          <w:rFonts w:ascii="Sylfaen" w:hAnsi="Sylfaen"/>
          <w:sz w:val="24"/>
          <w:szCs w:val="24"/>
        </w:rPr>
        <w:t>և</w:t>
      </w:r>
      <w:r w:rsidRPr="00834D52">
        <w:rPr>
          <w:rFonts w:ascii="Sylfaen" w:hAnsi="Sylfaen"/>
          <w:sz w:val="24"/>
          <w:szCs w:val="24"/>
        </w:rPr>
        <w:t xml:space="preserve"> դեղապատրաստուկի </w:t>
      </w:r>
      <w:r w:rsidR="00C54D75">
        <w:rPr>
          <w:rFonts w:ascii="Sylfaen" w:hAnsi="Sylfaen"/>
          <w:sz w:val="24"/>
          <w:szCs w:val="24"/>
        </w:rPr>
        <w:t>և</w:t>
      </w:r>
      <w:r w:rsidRPr="00834D52">
        <w:rPr>
          <w:rFonts w:ascii="Sylfaen" w:hAnsi="Sylfaen"/>
          <w:sz w:val="24"/>
          <w:szCs w:val="24"/>
        </w:rPr>
        <w:t xml:space="preserve"> ԱԴԲ-ի արտադրության գործընթացում օգտագործվող յուրաքանչյուր արտադրական հարթակի համար ելանյութերի մասով պատշաճ գործունեության ձեռնարկներին համապատասխանելու վերաբերյալ՝ ներառյալ այն հարթակները, որտեղ իրականացվում է որակի վերահսկողությունը (վերահսկողությունը արտադրության ընթացքում):</w:t>
      </w:r>
    </w:p>
    <w:p w14:paraId="330DD957" w14:textId="77777777" w:rsidR="006F76EB" w:rsidRPr="00834D52" w:rsidRDefault="006F76EB" w:rsidP="006F76EB">
      <w:pPr>
        <w:spacing w:after="160" w:line="360" w:lineRule="auto"/>
        <w:ind w:right="-8"/>
        <w:jc w:val="center"/>
        <w:rPr>
          <w:rFonts w:ascii="Sylfaen" w:hAnsi="Sylfaen"/>
          <w:sz w:val="24"/>
          <w:szCs w:val="24"/>
        </w:rPr>
      </w:pPr>
    </w:p>
    <w:p w14:paraId="3557A1D1" w14:textId="77777777" w:rsidR="006F76EB" w:rsidRPr="00834D52" w:rsidRDefault="006F76EB" w:rsidP="006F76EB">
      <w:pPr>
        <w:widowControl/>
        <w:rPr>
          <w:rFonts w:ascii="Sylfaen" w:hAnsi="Sylfaen"/>
          <w:sz w:val="24"/>
          <w:szCs w:val="24"/>
        </w:rPr>
      </w:pPr>
      <w:r w:rsidRPr="00834D52">
        <w:rPr>
          <w:rFonts w:ascii="Sylfaen" w:hAnsi="Sylfaen"/>
          <w:sz w:val="24"/>
          <w:szCs w:val="24"/>
        </w:rPr>
        <w:br w:type="page"/>
      </w:r>
    </w:p>
    <w:p w14:paraId="7DE7A624"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lastRenderedPageBreak/>
        <w:t>II. ՀԱՅՏ</w:t>
      </w:r>
    </w:p>
    <w:p w14:paraId="3ADD9D67"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դեղապատրաստուկի վերագրանցման</w:t>
      </w:r>
    </w:p>
    <w:p w14:paraId="62EC48AA" w14:textId="77777777" w:rsidR="006F76EB" w:rsidRPr="00834D52" w:rsidRDefault="006F76EB" w:rsidP="006F76EB">
      <w:pPr>
        <w:spacing w:after="160" w:line="360" w:lineRule="auto"/>
        <w:ind w:right="-8"/>
        <w:rPr>
          <w:rFonts w:ascii="Sylfaen" w:hAnsi="Sylfae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917"/>
      </w:tblGrid>
      <w:tr w:rsidR="006F76EB" w:rsidRPr="00834D52" w14:paraId="234C4CF0" w14:textId="77777777" w:rsidTr="00F71229">
        <w:trPr>
          <w:jc w:val="center"/>
        </w:trPr>
        <w:tc>
          <w:tcPr>
            <w:tcW w:w="5038" w:type="dxa"/>
          </w:tcPr>
          <w:p w14:paraId="1DAC9034"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Հայտն ստանալու ամսաթիվը</w:t>
            </w:r>
          </w:p>
        </w:tc>
        <w:tc>
          <w:tcPr>
            <w:tcW w:w="5038" w:type="dxa"/>
          </w:tcPr>
          <w:p w14:paraId="0024EAB2" w14:textId="77777777" w:rsidR="006F76EB" w:rsidRPr="00834D52" w:rsidRDefault="006F76EB" w:rsidP="00F71229">
            <w:pPr>
              <w:spacing w:after="160" w:line="360" w:lineRule="auto"/>
              <w:ind w:right="-8"/>
              <w:rPr>
                <w:rFonts w:ascii="Sylfaen" w:hAnsi="Sylfaen"/>
                <w:sz w:val="24"/>
                <w:szCs w:val="24"/>
              </w:rPr>
            </w:pPr>
            <w:r w:rsidRPr="00834D52">
              <w:rPr>
                <w:rFonts w:ascii="Sylfaen" w:hAnsi="Sylfaen"/>
                <w:sz w:val="24"/>
                <w:szCs w:val="24"/>
              </w:rPr>
              <w:t>թիվ_________________________________</w:t>
            </w:r>
          </w:p>
        </w:tc>
      </w:tr>
      <w:tr w:rsidR="006F76EB" w:rsidRPr="00834D52" w14:paraId="23CE8418" w14:textId="77777777" w:rsidTr="00F71229">
        <w:trPr>
          <w:jc w:val="center"/>
        </w:trPr>
        <w:tc>
          <w:tcPr>
            <w:tcW w:w="5038" w:type="dxa"/>
          </w:tcPr>
          <w:p w14:paraId="4130555A"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«____» ____________________ 20___թ.</w:t>
            </w:r>
          </w:p>
        </w:tc>
        <w:tc>
          <w:tcPr>
            <w:tcW w:w="5038" w:type="dxa"/>
          </w:tcPr>
          <w:p w14:paraId="76472E77" w14:textId="77777777" w:rsidR="006F76EB" w:rsidRPr="00834D52" w:rsidRDefault="006F76EB" w:rsidP="00F71229">
            <w:pPr>
              <w:spacing w:after="160" w:line="360" w:lineRule="auto"/>
              <w:ind w:right="-8"/>
              <w:rPr>
                <w:rFonts w:ascii="Sylfaen" w:eastAsia="Times New Roman" w:hAnsi="Sylfaen" w:cs="Times New Roman"/>
                <w:sz w:val="24"/>
                <w:szCs w:val="24"/>
              </w:rPr>
            </w:pPr>
          </w:p>
        </w:tc>
      </w:tr>
    </w:tbl>
    <w:p w14:paraId="44AE3FBF" w14:textId="77777777" w:rsidR="006F76EB" w:rsidRPr="00834D52" w:rsidRDefault="006F76EB" w:rsidP="006F76EB">
      <w:pPr>
        <w:spacing w:after="160" w:line="360" w:lineRule="auto"/>
        <w:ind w:right="-8"/>
        <w:rPr>
          <w:rFonts w:ascii="Sylfaen" w:hAnsi="Sylfaen"/>
          <w:sz w:val="24"/>
          <w:szCs w:val="24"/>
        </w:rPr>
      </w:pPr>
    </w:p>
    <w:tbl>
      <w:tblPr>
        <w:tblW w:w="9910" w:type="dxa"/>
        <w:jc w:val="center"/>
        <w:tblLayout w:type="fixed"/>
        <w:tblCellMar>
          <w:left w:w="0" w:type="dxa"/>
          <w:right w:w="0" w:type="dxa"/>
        </w:tblCellMar>
        <w:tblLook w:val="01E0" w:firstRow="1" w:lastRow="1" w:firstColumn="1" w:lastColumn="1" w:noHBand="0" w:noVBand="0"/>
      </w:tblPr>
      <w:tblGrid>
        <w:gridCol w:w="5240"/>
        <w:gridCol w:w="4670"/>
      </w:tblGrid>
      <w:tr w:rsidR="006F76EB" w:rsidRPr="00834D52" w14:paraId="7D27AB6E"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6BD0509C"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առ</w:t>
            </w:r>
            <w:r w:rsidR="00C54D75">
              <w:rPr>
                <w:rFonts w:ascii="Sylfaen" w:hAnsi="Sylfaen"/>
                <w:sz w:val="24"/>
                <w:szCs w:val="24"/>
              </w:rPr>
              <w:t>և</w:t>
            </w:r>
            <w:r w:rsidRPr="00834D52">
              <w:rPr>
                <w:rFonts w:ascii="Sylfaen" w:hAnsi="Sylfaen"/>
                <w:sz w:val="24"/>
                <w:szCs w:val="24"/>
              </w:rPr>
              <w:t>տրային անվանումները</w:t>
            </w:r>
          </w:p>
        </w:tc>
        <w:tc>
          <w:tcPr>
            <w:tcW w:w="4670" w:type="dxa"/>
            <w:tcBorders>
              <w:top w:val="single" w:sz="4" w:space="0" w:color="000000"/>
              <w:left w:val="single" w:sz="4" w:space="0" w:color="000000"/>
              <w:bottom w:val="single" w:sz="4" w:space="0" w:color="000000"/>
              <w:right w:val="single" w:sz="4" w:space="0" w:color="000000"/>
            </w:tcBorders>
          </w:tcPr>
          <w:p w14:paraId="31B162CA" w14:textId="77777777" w:rsidR="006F76EB" w:rsidRPr="00834D52" w:rsidRDefault="006F76EB" w:rsidP="00F71229">
            <w:pPr>
              <w:spacing w:after="120" w:line="240" w:lineRule="auto"/>
              <w:ind w:right="-6"/>
              <w:rPr>
                <w:rFonts w:ascii="Sylfaen" w:hAnsi="Sylfaen"/>
                <w:sz w:val="24"/>
                <w:szCs w:val="24"/>
              </w:rPr>
            </w:pPr>
          </w:p>
        </w:tc>
      </w:tr>
      <w:tr w:rsidR="006F76EB" w:rsidRPr="00834D52" w14:paraId="47CF7C38"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75E8A92C"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Ակտիվ դեղաբանական բաղադրամասերը</w:t>
            </w:r>
          </w:p>
        </w:tc>
        <w:tc>
          <w:tcPr>
            <w:tcW w:w="4670" w:type="dxa"/>
            <w:tcBorders>
              <w:top w:val="single" w:sz="4" w:space="0" w:color="000000"/>
              <w:left w:val="single" w:sz="4" w:space="0" w:color="000000"/>
              <w:bottom w:val="single" w:sz="4" w:space="0" w:color="000000"/>
              <w:right w:val="single" w:sz="4" w:space="0" w:color="000000"/>
            </w:tcBorders>
          </w:tcPr>
          <w:p w14:paraId="79AEF3E4" w14:textId="77777777" w:rsidR="006F76EB" w:rsidRPr="00834D52" w:rsidRDefault="006F76EB" w:rsidP="00F71229">
            <w:pPr>
              <w:spacing w:after="120" w:line="240" w:lineRule="auto"/>
              <w:ind w:right="-6"/>
              <w:rPr>
                <w:rFonts w:ascii="Sylfaen" w:hAnsi="Sylfaen"/>
                <w:sz w:val="24"/>
                <w:szCs w:val="24"/>
              </w:rPr>
            </w:pPr>
          </w:p>
        </w:tc>
      </w:tr>
      <w:tr w:rsidR="006F76EB" w:rsidRPr="00834D52" w14:paraId="59B9BB5F"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7DDD5D10"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 xml:space="preserve">Դոզավորումները կամ կոնցենտրացիաները </w:t>
            </w:r>
          </w:p>
        </w:tc>
        <w:tc>
          <w:tcPr>
            <w:tcW w:w="4670" w:type="dxa"/>
            <w:tcBorders>
              <w:top w:val="single" w:sz="4" w:space="0" w:color="000000"/>
              <w:left w:val="single" w:sz="4" w:space="0" w:color="000000"/>
              <w:bottom w:val="single" w:sz="4" w:space="0" w:color="000000"/>
              <w:right w:val="single" w:sz="4" w:space="0" w:color="000000"/>
            </w:tcBorders>
          </w:tcPr>
          <w:p w14:paraId="30481E28" w14:textId="77777777" w:rsidR="006F76EB" w:rsidRPr="00834D52" w:rsidRDefault="006F76EB" w:rsidP="00F71229">
            <w:pPr>
              <w:spacing w:after="120" w:line="240" w:lineRule="auto"/>
              <w:ind w:right="-6"/>
              <w:rPr>
                <w:rFonts w:ascii="Sylfaen" w:hAnsi="Sylfaen"/>
                <w:sz w:val="24"/>
                <w:szCs w:val="24"/>
              </w:rPr>
            </w:pPr>
          </w:p>
        </w:tc>
      </w:tr>
      <w:tr w:rsidR="006F76EB" w:rsidRPr="00834D52" w14:paraId="0BE8A359"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4556195B"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ը</w:t>
            </w:r>
          </w:p>
        </w:tc>
        <w:tc>
          <w:tcPr>
            <w:tcW w:w="4670" w:type="dxa"/>
            <w:tcBorders>
              <w:top w:val="single" w:sz="4" w:space="0" w:color="000000"/>
              <w:left w:val="single" w:sz="4" w:space="0" w:color="000000"/>
              <w:bottom w:val="single" w:sz="4" w:space="0" w:color="000000"/>
              <w:right w:val="single" w:sz="4" w:space="0" w:color="000000"/>
            </w:tcBorders>
          </w:tcPr>
          <w:p w14:paraId="13179CD7" w14:textId="77777777" w:rsidR="006F76EB" w:rsidRPr="00834D52" w:rsidRDefault="006F76EB" w:rsidP="00F71229">
            <w:pPr>
              <w:spacing w:after="120" w:line="240" w:lineRule="auto"/>
              <w:ind w:right="-6"/>
              <w:rPr>
                <w:rFonts w:ascii="Sylfaen" w:hAnsi="Sylfaen"/>
                <w:sz w:val="24"/>
                <w:szCs w:val="24"/>
              </w:rPr>
            </w:pPr>
          </w:p>
        </w:tc>
      </w:tr>
      <w:tr w:rsidR="006F76EB" w:rsidRPr="00834D52" w14:paraId="39C0C97F"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76CF4C7E"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Բացթողման ձ</w:t>
            </w:r>
            <w:r w:rsidR="00C54D75">
              <w:rPr>
                <w:rFonts w:ascii="Sylfaen" w:hAnsi="Sylfaen"/>
                <w:sz w:val="24"/>
                <w:szCs w:val="24"/>
              </w:rPr>
              <w:t>և</w:t>
            </w:r>
            <w:r w:rsidRPr="00834D52">
              <w:rPr>
                <w:rFonts w:ascii="Sylfaen" w:hAnsi="Sylfaen"/>
                <w:sz w:val="24"/>
                <w:szCs w:val="24"/>
              </w:rPr>
              <w:t>ը</w:t>
            </w:r>
          </w:p>
        </w:tc>
        <w:tc>
          <w:tcPr>
            <w:tcW w:w="4670" w:type="dxa"/>
            <w:tcBorders>
              <w:top w:val="single" w:sz="4" w:space="0" w:color="000000"/>
              <w:left w:val="single" w:sz="4" w:space="0" w:color="000000"/>
              <w:bottom w:val="single" w:sz="4" w:space="0" w:color="000000"/>
              <w:right w:val="single" w:sz="4" w:space="0" w:color="000000"/>
            </w:tcBorders>
          </w:tcPr>
          <w:p w14:paraId="09B682B3" w14:textId="77777777" w:rsidR="006F76EB" w:rsidRPr="00834D52" w:rsidRDefault="006F76EB" w:rsidP="00F71229">
            <w:pPr>
              <w:spacing w:after="120" w:line="240" w:lineRule="auto"/>
              <w:ind w:right="-6"/>
              <w:rPr>
                <w:rFonts w:ascii="Sylfaen" w:hAnsi="Sylfaen"/>
                <w:sz w:val="24"/>
                <w:szCs w:val="24"/>
              </w:rPr>
            </w:pPr>
          </w:p>
        </w:tc>
      </w:tr>
      <w:tr w:rsidR="006F76EB" w:rsidRPr="00834D52" w14:paraId="4F6E5E73"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33FED704"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w:t>
            </w:r>
          </w:p>
        </w:tc>
        <w:tc>
          <w:tcPr>
            <w:tcW w:w="4670" w:type="dxa"/>
            <w:tcBorders>
              <w:top w:val="single" w:sz="4" w:space="0" w:color="000000"/>
              <w:left w:val="single" w:sz="4" w:space="0" w:color="000000"/>
              <w:bottom w:val="single" w:sz="4" w:space="0" w:color="000000"/>
              <w:right w:val="single" w:sz="4" w:space="0" w:color="000000"/>
            </w:tcBorders>
          </w:tcPr>
          <w:p w14:paraId="528B920A" w14:textId="77777777" w:rsidR="006F76EB" w:rsidRPr="00834D52" w:rsidRDefault="006F76EB" w:rsidP="00F71229">
            <w:pPr>
              <w:spacing w:after="120" w:line="240" w:lineRule="auto"/>
              <w:ind w:right="-6"/>
              <w:rPr>
                <w:rFonts w:ascii="Sylfaen" w:hAnsi="Sylfaen"/>
                <w:sz w:val="24"/>
                <w:szCs w:val="24"/>
              </w:rPr>
            </w:pPr>
          </w:p>
        </w:tc>
      </w:tr>
      <w:tr w:rsidR="006F76EB" w:rsidRPr="00834D52" w14:paraId="6CCDB760"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582A534B"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Հայտատուն</w:t>
            </w:r>
          </w:p>
        </w:tc>
        <w:tc>
          <w:tcPr>
            <w:tcW w:w="4670" w:type="dxa"/>
            <w:tcBorders>
              <w:top w:val="single" w:sz="4" w:space="0" w:color="000000"/>
              <w:left w:val="single" w:sz="4" w:space="0" w:color="000000"/>
              <w:bottom w:val="single" w:sz="4" w:space="0" w:color="000000"/>
              <w:right w:val="single" w:sz="4" w:space="0" w:color="000000"/>
            </w:tcBorders>
          </w:tcPr>
          <w:p w14:paraId="6ACA4533" w14:textId="77777777" w:rsidR="006F76EB" w:rsidRPr="00834D52" w:rsidRDefault="006F76EB" w:rsidP="00F71229">
            <w:pPr>
              <w:spacing w:after="120" w:line="240" w:lineRule="auto"/>
              <w:ind w:right="-6"/>
              <w:rPr>
                <w:rFonts w:ascii="Sylfaen" w:hAnsi="Sylfaen"/>
                <w:sz w:val="24"/>
                <w:szCs w:val="24"/>
              </w:rPr>
            </w:pPr>
          </w:p>
        </w:tc>
      </w:tr>
      <w:tr w:rsidR="006F76EB" w:rsidRPr="00834D52" w14:paraId="70250E79"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2B00D5D6"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Հայտատուի ներկայացուցիչը</w:t>
            </w:r>
          </w:p>
        </w:tc>
        <w:tc>
          <w:tcPr>
            <w:tcW w:w="4670" w:type="dxa"/>
            <w:tcBorders>
              <w:top w:val="single" w:sz="4" w:space="0" w:color="000000"/>
              <w:left w:val="single" w:sz="4" w:space="0" w:color="000000"/>
              <w:bottom w:val="single" w:sz="4" w:space="0" w:color="000000"/>
              <w:right w:val="single" w:sz="4" w:space="0" w:color="000000"/>
            </w:tcBorders>
          </w:tcPr>
          <w:p w14:paraId="5A18453D" w14:textId="77777777" w:rsidR="006F76EB" w:rsidRPr="00834D52" w:rsidRDefault="006F76EB" w:rsidP="00F71229">
            <w:pPr>
              <w:spacing w:after="120" w:line="240" w:lineRule="auto"/>
              <w:ind w:right="-6"/>
              <w:rPr>
                <w:rFonts w:ascii="Sylfaen" w:hAnsi="Sylfaen"/>
                <w:sz w:val="24"/>
                <w:szCs w:val="24"/>
              </w:rPr>
            </w:pPr>
          </w:p>
        </w:tc>
      </w:tr>
      <w:tr w:rsidR="006F76EB" w:rsidRPr="00834D52" w14:paraId="6C136EB6" w14:textId="77777777" w:rsidTr="00F71229">
        <w:trPr>
          <w:jc w:val="center"/>
        </w:trPr>
        <w:tc>
          <w:tcPr>
            <w:tcW w:w="9910" w:type="dxa"/>
            <w:gridSpan w:val="2"/>
            <w:tcBorders>
              <w:top w:val="single" w:sz="4" w:space="0" w:color="000000"/>
              <w:left w:val="single" w:sz="4" w:space="0" w:color="000000"/>
              <w:bottom w:val="single" w:sz="4" w:space="0" w:color="000000"/>
              <w:right w:val="single" w:sz="4" w:space="0" w:color="000000"/>
            </w:tcBorders>
          </w:tcPr>
          <w:p w14:paraId="58A92593" w14:textId="77777777" w:rsidR="006F76EB" w:rsidRPr="00834D52" w:rsidRDefault="006F76EB" w:rsidP="00F71229">
            <w:pPr>
              <w:spacing w:after="120" w:line="240" w:lineRule="auto"/>
              <w:ind w:left="186" w:right="-6"/>
              <w:jc w:val="center"/>
              <w:rPr>
                <w:rFonts w:ascii="Sylfaen" w:eastAsia="Times New Roman" w:hAnsi="Sylfaen" w:cs="Times New Roman"/>
                <w:sz w:val="24"/>
                <w:szCs w:val="24"/>
              </w:rPr>
            </w:pPr>
            <w:r w:rsidRPr="00834D52">
              <w:rPr>
                <w:rFonts w:ascii="Sylfaen" w:hAnsi="Sylfaen"/>
                <w:sz w:val="24"/>
                <w:szCs w:val="24"/>
              </w:rPr>
              <w:t>Գրանցման հավաստագրի տվյալները</w:t>
            </w:r>
          </w:p>
        </w:tc>
      </w:tr>
      <w:tr w:rsidR="006F76EB" w:rsidRPr="00834D52" w14:paraId="2135139B"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408B350D"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670" w:type="dxa"/>
            <w:tcBorders>
              <w:top w:val="single" w:sz="4" w:space="0" w:color="000000"/>
              <w:left w:val="single" w:sz="4" w:space="0" w:color="000000"/>
              <w:bottom w:val="single" w:sz="4" w:space="0" w:color="000000"/>
              <w:right w:val="single" w:sz="4" w:space="0" w:color="000000"/>
            </w:tcBorders>
          </w:tcPr>
          <w:p w14:paraId="377F1428" w14:textId="77777777" w:rsidR="006F76EB" w:rsidRPr="00834D52" w:rsidRDefault="006F76EB" w:rsidP="00F71229">
            <w:pPr>
              <w:spacing w:after="120" w:line="240" w:lineRule="auto"/>
              <w:ind w:right="-6"/>
              <w:rPr>
                <w:rFonts w:ascii="Sylfaen" w:hAnsi="Sylfaen"/>
                <w:sz w:val="24"/>
                <w:szCs w:val="24"/>
              </w:rPr>
            </w:pPr>
          </w:p>
        </w:tc>
      </w:tr>
      <w:tr w:rsidR="006F76EB" w:rsidRPr="00834D52" w14:paraId="4ECD59BB"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0C3DE951"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ամսաթիվը</w:t>
            </w:r>
          </w:p>
        </w:tc>
        <w:tc>
          <w:tcPr>
            <w:tcW w:w="4670" w:type="dxa"/>
            <w:tcBorders>
              <w:top w:val="single" w:sz="4" w:space="0" w:color="000000"/>
              <w:left w:val="single" w:sz="4" w:space="0" w:color="000000"/>
              <w:bottom w:val="single" w:sz="4" w:space="0" w:color="000000"/>
              <w:right w:val="single" w:sz="4" w:space="0" w:color="000000"/>
            </w:tcBorders>
          </w:tcPr>
          <w:p w14:paraId="3E2C9142" w14:textId="77777777" w:rsidR="006F76EB" w:rsidRPr="00834D52" w:rsidRDefault="006F76EB" w:rsidP="00F71229">
            <w:pPr>
              <w:spacing w:after="120" w:line="240" w:lineRule="auto"/>
              <w:ind w:right="-6"/>
              <w:rPr>
                <w:rFonts w:ascii="Sylfaen" w:hAnsi="Sylfaen"/>
                <w:sz w:val="24"/>
                <w:szCs w:val="24"/>
              </w:rPr>
            </w:pPr>
          </w:p>
        </w:tc>
      </w:tr>
      <w:tr w:rsidR="006F76EB" w:rsidRPr="00834D52" w14:paraId="41EF2B74" w14:textId="77777777" w:rsidTr="00F71229">
        <w:trPr>
          <w:jc w:val="center"/>
        </w:trPr>
        <w:tc>
          <w:tcPr>
            <w:tcW w:w="5240" w:type="dxa"/>
            <w:tcBorders>
              <w:top w:val="single" w:sz="4" w:space="0" w:color="000000"/>
              <w:left w:val="single" w:sz="4" w:space="0" w:color="000000"/>
              <w:bottom w:val="single" w:sz="4" w:space="0" w:color="000000"/>
              <w:right w:val="single" w:sz="4" w:space="0" w:color="000000"/>
            </w:tcBorders>
          </w:tcPr>
          <w:p w14:paraId="36F84316" w14:textId="77777777" w:rsidR="006F76EB" w:rsidRPr="00834D52" w:rsidRDefault="006F76EB" w:rsidP="00F71229">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որակի նորմատիվային փաստաթղթի համարը</w:t>
            </w:r>
          </w:p>
        </w:tc>
        <w:tc>
          <w:tcPr>
            <w:tcW w:w="4670" w:type="dxa"/>
            <w:tcBorders>
              <w:top w:val="single" w:sz="4" w:space="0" w:color="000000"/>
              <w:left w:val="single" w:sz="4" w:space="0" w:color="000000"/>
              <w:bottom w:val="single" w:sz="4" w:space="0" w:color="000000"/>
              <w:right w:val="single" w:sz="4" w:space="0" w:color="000000"/>
            </w:tcBorders>
          </w:tcPr>
          <w:p w14:paraId="6D3268E6" w14:textId="77777777" w:rsidR="006F76EB" w:rsidRPr="00834D52" w:rsidRDefault="006F76EB" w:rsidP="00F71229">
            <w:pPr>
              <w:spacing w:after="120" w:line="240" w:lineRule="auto"/>
              <w:ind w:right="-6"/>
              <w:rPr>
                <w:rFonts w:ascii="Sylfaen" w:hAnsi="Sylfaen"/>
                <w:sz w:val="24"/>
                <w:szCs w:val="24"/>
              </w:rPr>
            </w:pPr>
          </w:p>
        </w:tc>
      </w:tr>
    </w:tbl>
    <w:p w14:paraId="0F62CA33"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երաշխավորում եմ ներկայացված փաստաթղթերում </w:t>
      </w:r>
      <w:r w:rsidR="00C54D75">
        <w:rPr>
          <w:rFonts w:ascii="Sylfaen" w:hAnsi="Sylfaen"/>
          <w:sz w:val="24"/>
          <w:szCs w:val="24"/>
        </w:rPr>
        <w:t>և</w:t>
      </w:r>
      <w:r w:rsidRPr="00834D52">
        <w:rPr>
          <w:rFonts w:ascii="Sylfaen" w:hAnsi="Sylfaen"/>
          <w:sz w:val="24"/>
          <w:szCs w:val="24"/>
        </w:rPr>
        <w:t xml:space="preserve"> գրանցման դոսյեում ներառված տվյալներում պարունակվող տեղեկատվության հավաստիությունը </w:t>
      </w:r>
      <w:r w:rsidR="00C54D75">
        <w:rPr>
          <w:rFonts w:ascii="Sylfaen" w:hAnsi="Sylfaen"/>
          <w:sz w:val="24"/>
          <w:szCs w:val="24"/>
        </w:rPr>
        <w:t>և</w:t>
      </w:r>
      <w:r w:rsidRPr="00834D52">
        <w:rPr>
          <w:rFonts w:ascii="Sylfaen" w:hAnsi="Sylfaen"/>
          <w:sz w:val="24"/>
          <w:szCs w:val="24"/>
        </w:rPr>
        <w:t xml:space="preserve"> պատասխանատվություն եմ կրում դրա համար:</w:t>
      </w:r>
    </w:p>
    <w:p w14:paraId="5BF3BDD3"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համաձայն եմ, որ 30 օրվա ընթացքում գրանցման դոսյեի լրացման համար անհրաժեշտ փաստաթղթերը </w:t>
      </w:r>
      <w:r w:rsidR="00C54D75">
        <w:rPr>
          <w:rFonts w:ascii="Sylfaen" w:hAnsi="Sylfaen"/>
          <w:sz w:val="24"/>
          <w:szCs w:val="24"/>
        </w:rPr>
        <w:t>և</w:t>
      </w:r>
      <w:r w:rsidRPr="00834D52">
        <w:rPr>
          <w:rFonts w:ascii="Sylfaen" w:hAnsi="Sylfaen"/>
          <w:sz w:val="24"/>
          <w:szCs w:val="24"/>
        </w:rPr>
        <w:t xml:space="preserve"> տվյալները չներկայացնելու դեպքում </w:t>
      </w:r>
      <w:r w:rsidR="003426FC">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դիտողությունների հիման վրա տվյալ հայտի ուսումնասիրությունը կմերժվի:</w:t>
      </w:r>
    </w:p>
    <w:p w14:paraId="30C62371"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հաստատում եմ, որ գրանցման դոսյեի կազմում ներառված բոլոր տվյալները ձեռք են բերվել սահմանված կարգով, </w:t>
      </w:r>
      <w:r w:rsidR="00C54D75">
        <w:rPr>
          <w:rFonts w:ascii="Sylfaen" w:hAnsi="Sylfaen"/>
          <w:sz w:val="24"/>
          <w:szCs w:val="24"/>
        </w:rPr>
        <w:t>և</w:t>
      </w:r>
      <w:r w:rsidRPr="00834D52">
        <w:rPr>
          <w:rFonts w:ascii="Sylfaen" w:hAnsi="Sylfaen"/>
          <w:sz w:val="24"/>
          <w:szCs w:val="24"/>
        </w:rPr>
        <w:t xml:space="preserve"> դրանցով չեն խախտվում </w:t>
      </w:r>
      <w:r w:rsidRPr="00834D52">
        <w:rPr>
          <w:rFonts w:ascii="Sylfaen" w:hAnsi="Sylfaen"/>
          <w:sz w:val="24"/>
          <w:szCs w:val="24"/>
        </w:rPr>
        <w:lastRenderedPageBreak/>
        <w:t xml:space="preserve">երրորդ անձանց մտավոր սեփականության իրավունքները (սույն հայտի հավելվածի </w:t>
      </w:r>
      <w:r w:rsidR="00E90FAF" w:rsidRPr="00E90FAF">
        <w:rPr>
          <w:rFonts w:ascii="Sylfaen" w:hAnsi="Sylfaen"/>
          <w:sz w:val="24"/>
          <w:szCs w:val="24"/>
        </w:rPr>
        <w:t>5</w:t>
      </w:r>
      <w:r w:rsidRPr="00834D52">
        <w:rPr>
          <w:rFonts w:ascii="Sylfaen" w:hAnsi="Sylfaen"/>
          <w:sz w:val="24"/>
          <w:szCs w:val="24"/>
        </w:rPr>
        <w:t xml:space="preserve">.3 </w:t>
      </w:r>
      <w:r w:rsidR="00C54D75">
        <w:rPr>
          <w:rFonts w:ascii="Sylfaen" w:hAnsi="Sylfaen"/>
          <w:sz w:val="24"/>
          <w:szCs w:val="24"/>
        </w:rPr>
        <w:t>և</w:t>
      </w:r>
      <w:r w:rsidRPr="00834D52">
        <w:rPr>
          <w:rFonts w:ascii="Sylfaen" w:hAnsi="Sylfaen"/>
          <w:sz w:val="24"/>
          <w:szCs w:val="24"/>
        </w:rPr>
        <w:t xml:space="preserve"> </w:t>
      </w:r>
      <w:r w:rsidR="00E90FAF" w:rsidRPr="00E90FAF">
        <w:rPr>
          <w:rFonts w:ascii="Sylfaen" w:hAnsi="Sylfaen"/>
          <w:sz w:val="24"/>
          <w:szCs w:val="24"/>
        </w:rPr>
        <w:t>5</w:t>
      </w:r>
      <w:r w:rsidRPr="00834D52">
        <w:rPr>
          <w:rFonts w:ascii="Sylfaen" w:hAnsi="Sylfaen"/>
          <w:sz w:val="24"/>
          <w:szCs w:val="24"/>
        </w:rPr>
        <w:t xml:space="preserve">.4 ենթակետեր): </w:t>
      </w:r>
    </w:p>
    <w:p w14:paraId="3C4A6D1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Ես նա</w:t>
      </w:r>
      <w:r w:rsidR="00C54D75">
        <w:rPr>
          <w:rFonts w:ascii="Sylfaen" w:hAnsi="Sylfaen"/>
          <w:sz w:val="24"/>
          <w:szCs w:val="24"/>
        </w:rPr>
        <w:t>և</w:t>
      </w:r>
      <w:r w:rsidRPr="00834D52">
        <w:rPr>
          <w:rFonts w:ascii="Sylfaen" w:hAnsi="Sylfaen"/>
          <w:sz w:val="24"/>
          <w:szCs w:val="24"/>
        </w:rPr>
        <w:t xml:space="preserve"> հաստատում եմ, որ բոլոր նախատեսված գանձումները (տուրքերը) վճարված են (կվճարվեն) օրենսդրության պահանջներին համապատասխան: </w:t>
      </w:r>
    </w:p>
    <w:p w14:paraId="0E479FF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Կից ներկայացված է գրանցման հավաստագրի իրավատիրոջ անունից իրավաբանական նշանակություն ունեցող գործողություններ կատարելու լիազորագիրը (սույն հայտի հավելվածի 5.1 ենթակետ):</w:t>
      </w:r>
    </w:p>
    <w:p w14:paraId="6CD07855" w14:textId="77777777" w:rsidR="006F76EB" w:rsidRPr="00834D52" w:rsidRDefault="006F76EB" w:rsidP="004F6D87">
      <w:pPr>
        <w:spacing w:after="120" w:line="240" w:lineRule="auto"/>
        <w:ind w:right="-6" w:firstLine="567"/>
        <w:jc w:val="both"/>
        <w:rPr>
          <w:rFonts w:ascii="Sylfaen" w:hAnsi="Sylfaen"/>
          <w:sz w:val="24"/>
          <w:szCs w:val="24"/>
        </w:rPr>
      </w:pPr>
    </w:p>
    <w:p w14:paraId="14A53829"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Հայտատուի անունից</w:t>
      </w:r>
    </w:p>
    <w:p w14:paraId="21684A4C" w14:textId="77777777" w:rsidR="006F76EB" w:rsidRPr="00834D52" w:rsidRDefault="006F76EB" w:rsidP="006F76EB">
      <w:pPr>
        <w:spacing w:after="0" w:line="240" w:lineRule="auto"/>
        <w:ind w:right="-6"/>
        <w:jc w:val="both"/>
        <w:rPr>
          <w:rFonts w:ascii="Sylfaen" w:eastAsia="Times New Roman" w:hAnsi="Sylfaen" w:cs="Times New Roman"/>
          <w:sz w:val="24"/>
          <w:szCs w:val="24"/>
        </w:rPr>
      </w:pPr>
      <w:r w:rsidRPr="00834D52">
        <w:rPr>
          <w:rFonts w:ascii="Sylfaen" w:hAnsi="Sylfaen"/>
          <w:sz w:val="24"/>
          <w:szCs w:val="24"/>
        </w:rPr>
        <w:t>_____________________________</w:t>
      </w:r>
    </w:p>
    <w:p w14:paraId="38F71170" w14:textId="77777777" w:rsidR="006F76EB" w:rsidRPr="00834D52" w:rsidRDefault="006F76EB" w:rsidP="006F76EB">
      <w:pPr>
        <w:spacing w:after="160" w:line="360" w:lineRule="auto"/>
        <w:ind w:right="5526"/>
        <w:jc w:val="center"/>
        <w:rPr>
          <w:rFonts w:ascii="Sylfaen" w:eastAsia="Times New Roman" w:hAnsi="Sylfaen" w:cs="Times New Roman"/>
          <w:sz w:val="20"/>
          <w:szCs w:val="24"/>
        </w:rPr>
      </w:pPr>
      <w:r w:rsidRPr="00834D52">
        <w:rPr>
          <w:rFonts w:ascii="Sylfaen" w:hAnsi="Sylfaen"/>
          <w:sz w:val="20"/>
          <w:szCs w:val="24"/>
        </w:rPr>
        <w:t>(ստորագրություն)</w:t>
      </w:r>
    </w:p>
    <w:p w14:paraId="7964C8A1" w14:textId="77777777" w:rsidR="006F76EB" w:rsidRPr="00834D52" w:rsidRDefault="006F76EB" w:rsidP="006F76EB">
      <w:pPr>
        <w:spacing w:after="0" w:line="240" w:lineRule="auto"/>
        <w:ind w:right="5526"/>
        <w:jc w:val="both"/>
        <w:rPr>
          <w:rFonts w:ascii="Sylfaen" w:eastAsia="Times New Roman" w:hAnsi="Sylfaen" w:cs="Times New Roman"/>
          <w:sz w:val="24"/>
          <w:szCs w:val="24"/>
        </w:rPr>
      </w:pPr>
      <w:r w:rsidRPr="00834D52">
        <w:rPr>
          <w:rFonts w:ascii="Sylfaen" w:hAnsi="Sylfaen"/>
          <w:sz w:val="24"/>
          <w:szCs w:val="24"/>
        </w:rPr>
        <w:t>_____________________________</w:t>
      </w:r>
    </w:p>
    <w:p w14:paraId="2A71CB9D" w14:textId="77777777" w:rsidR="006F76EB" w:rsidRPr="00834D52" w:rsidRDefault="006F76EB" w:rsidP="006F76EB">
      <w:pPr>
        <w:spacing w:after="160" w:line="360" w:lineRule="auto"/>
        <w:ind w:right="5526"/>
        <w:jc w:val="center"/>
        <w:rPr>
          <w:rFonts w:ascii="Sylfaen" w:eastAsia="Times New Roman" w:hAnsi="Sylfaen" w:cs="Times New Roman"/>
          <w:sz w:val="20"/>
          <w:szCs w:val="20"/>
        </w:rPr>
      </w:pPr>
      <w:r w:rsidRPr="00834D52">
        <w:rPr>
          <w:rFonts w:ascii="Sylfaen" w:hAnsi="Sylfaen"/>
          <w:sz w:val="20"/>
          <w:szCs w:val="20"/>
        </w:rPr>
        <w:t>(ազգանուն, անուն, հայրանուն)</w:t>
      </w:r>
    </w:p>
    <w:p w14:paraId="6A9D1B14" w14:textId="77777777" w:rsidR="006F76EB" w:rsidRPr="00834D52" w:rsidRDefault="006F76EB" w:rsidP="006F76EB">
      <w:pPr>
        <w:spacing w:after="0" w:line="240" w:lineRule="auto"/>
        <w:ind w:right="-6"/>
        <w:jc w:val="both"/>
        <w:rPr>
          <w:rFonts w:ascii="Sylfaen" w:eastAsia="Times New Roman" w:hAnsi="Sylfaen" w:cs="Times New Roman"/>
          <w:sz w:val="24"/>
          <w:szCs w:val="24"/>
        </w:rPr>
      </w:pPr>
      <w:r w:rsidRPr="00834D52">
        <w:rPr>
          <w:rFonts w:ascii="Sylfaen" w:hAnsi="Sylfaen"/>
          <w:sz w:val="24"/>
          <w:szCs w:val="24"/>
        </w:rPr>
        <w:t>_____________________________</w:t>
      </w:r>
    </w:p>
    <w:p w14:paraId="2824AE53" w14:textId="77777777" w:rsidR="006F76EB" w:rsidRPr="00834D52" w:rsidRDefault="006F76EB" w:rsidP="006F76EB">
      <w:pPr>
        <w:spacing w:after="160" w:line="360" w:lineRule="auto"/>
        <w:ind w:right="5526"/>
        <w:jc w:val="center"/>
        <w:rPr>
          <w:rFonts w:ascii="Sylfaen" w:eastAsia="Times New Roman" w:hAnsi="Sylfaen" w:cs="Times New Roman"/>
          <w:sz w:val="20"/>
          <w:szCs w:val="20"/>
        </w:rPr>
      </w:pPr>
      <w:r w:rsidRPr="00834D52">
        <w:rPr>
          <w:rFonts w:ascii="Sylfaen" w:hAnsi="Sylfaen"/>
          <w:sz w:val="20"/>
          <w:szCs w:val="20"/>
        </w:rPr>
        <w:t>(պաշտոն)</w:t>
      </w:r>
    </w:p>
    <w:p w14:paraId="22407AC0" w14:textId="77777777" w:rsidR="006F76EB" w:rsidRPr="00834D52" w:rsidRDefault="006F76EB" w:rsidP="008B170E">
      <w:pPr>
        <w:spacing w:after="160" w:line="240" w:lineRule="auto"/>
        <w:ind w:right="-6"/>
        <w:rPr>
          <w:rFonts w:ascii="Sylfaen" w:hAnsi="Sylfaen"/>
          <w:sz w:val="24"/>
          <w:szCs w:val="24"/>
        </w:rPr>
      </w:pPr>
    </w:p>
    <w:p w14:paraId="1EB1CE00" w14:textId="77777777" w:rsidR="006F76EB" w:rsidRPr="00834D52" w:rsidRDefault="006F76EB" w:rsidP="006F76EB">
      <w:pPr>
        <w:spacing w:after="160" w:line="360" w:lineRule="auto"/>
        <w:ind w:right="-8"/>
        <w:rPr>
          <w:rFonts w:ascii="Sylfaen" w:eastAsia="Times New Roman" w:hAnsi="Sylfaen" w:cs="Times New Roman"/>
          <w:sz w:val="24"/>
          <w:szCs w:val="24"/>
        </w:rPr>
      </w:pPr>
      <w:r w:rsidRPr="00834D52">
        <w:rPr>
          <w:rFonts w:ascii="Sylfaen" w:hAnsi="Sylfaen"/>
          <w:sz w:val="24"/>
          <w:szCs w:val="24"/>
        </w:rPr>
        <w:t>Կ. Տ.</w:t>
      </w:r>
    </w:p>
    <w:p w14:paraId="26389CF6" w14:textId="77777777" w:rsidR="006F76EB" w:rsidRPr="000D7620" w:rsidRDefault="006F76EB" w:rsidP="006F76EB">
      <w:pPr>
        <w:spacing w:after="160" w:line="360" w:lineRule="auto"/>
        <w:ind w:right="-8"/>
        <w:jc w:val="center"/>
        <w:rPr>
          <w:rFonts w:ascii="Sylfaen" w:eastAsia="Times New Roman" w:hAnsi="Sylfaen" w:cs="Times New Roman"/>
          <w:sz w:val="24"/>
          <w:szCs w:val="24"/>
        </w:rPr>
      </w:pPr>
      <w:r w:rsidRPr="000D7620">
        <w:rPr>
          <w:rFonts w:ascii="Sylfaen" w:hAnsi="Sylfaen"/>
          <w:sz w:val="24"/>
          <w:szCs w:val="24"/>
        </w:rPr>
        <w:t>1. Հայտի ընդհանուր կետերը</w:t>
      </w:r>
    </w:p>
    <w:p w14:paraId="64EA3D5E" w14:textId="77777777" w:rsidR="006F76EB" w:rsidRPr="00834D52" w:rsidRDefault="006F76EB" w:rsidP="006F76EB">
      <w:pPr>
        <w:spacing w:after="160" w:line="360" w:lineRule="auto"/>
        <w:ind w:right="-8"/>
        <w:jc w:val="both"/>
        <w:rPr>
          <w:rFonts w:ascii="Sylfaen" w:hAnsi="Sylfaen"/>
          <w:sz w:val="24"/>
          <w:szCs w:val="24"/>
        </w:rPr>
      </w:pPr>
    </w:p>
    <w:p w14:paraId="09411B3D" w14:textId="77777777" w:rsidR="006F76EB" w:rsidRPr="00834D52" w:rsidRDefault="006F76EB" w:rsidP="000D762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w:t>
      </w:r>
      <w:r w:rsidRPr="00834D52">
        <w:rPr>
          <w:rFonts w:ascii="Sylfaen" w:hAnsi="Sylfaen"/>
          <w:sz w:val="24"/>
          <w:szCs w:val="24"/>
        </w:rPr>
        <w:tab/>
        <w:t>Այս հայտը ներկայացվում է հետ</w:t>
      </w:r>
      <w:r w:rsidR="00C54D75">
        <w:rPr>
          <w:rFonts w:ascii="Sylfaen" w:hAnsi="Sylfaen"/>
          <w:sz w:val="24"/>
          <w:szCs w:val="24"/>
        </w:rPr>
        <w:t>և</w:t>
      </w:r>
      <w:r w:rsidRPr="00834D52">
        <w:rPr>
          <w:rFonts w:ascii="Sylfaen" w:hAnsi="Sylfaen"/>
          <w:sz w:val="24"/>
          <w:szCs w:val="24"/>
        </w:rPr>
        <w:t>յալի համաձայն:</w:t>
      </w:r>
    </w:p>
    <w:p w14:paraId="21BEAFB4"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1.1.1.</w:t>
      </w:r>
      <w:r w:rsidRPr="00834D52">
        <w:rPr>
          <w:rFonts w:ascii="Sylfaen" w:hAnsi="Sylfaen"/>
          <w:sz w:val="24"/>
          <w:szCs w:val="24"/>
        </w:rPr>
        <w:tab/>
        <w:t xml:space="preserve">Հայտը ներկայացված է փոխադարձ ճանաչման ընթացակարգով՝ </w:t>
      </w:r>
    </w:p>
    <w:tbl>
      <w:tblPr>
        <w:tblW w:w="9714" w:type="dxa"/>
        <w:jc w:val="center"/>
        <w:tblLayout w:type="fixed"/>
        <w:tblCellMar>
          <w:left w:w="0" w:type="dxa"/>
          <w:right w:w="0" w:type="dxa"/>
        </w:tblCellMar>
        <w:tblLook w:val="01E0" w:firstRow="1" w:lastRow="1" w:firstColumn="1" w:lastColumn="1" w:noHBand="0" w:noVBand="0"/>
      </w:tblPr>
      <w:tblGrid>
        <w:gridCol w:w="5145"/>
        <w:gridCol w:w="4569"/>
      </w:tblGrid>
      <w:tr w:rsidR="006F76EB" w:rsidRPr="00834D52" w14:paraId="7C80BD51" w14:textId="77777777" w:rsidTr="00EB2655">
        <w:trPr>
          <w:trHeight w:val="557"/>
          <w:jc w:val="center"/>
        </w:trPr>
        <w:tc>
          <w:tcPr>
            <w:tcW w:w="5145" w:type="dxa"/>
            <w:tcBorders>
              <w:top w:val="single" w:sz="4" w:space="0" w:color="000000"/>
              <w:left w:val="single" w:sz="4" w:space="0" w:color="000000"/>
              <w:bottom w:val="single" w:sz="4" w:space="0" w:color="000000"/>
              <w:right w:val="single" w:sz="4" w:space="0" w:color="000000"/>
            </w:tcBorders>
          </w:tcPr>
          <w:p w14:paraId="2B675D3D" w14:textId="77777777" w:rsidR="006F76EB" w:rsidRPr="00834D52" w:rsidRDefault="0032680A" w:rsidP="008B170E">
            <w:pPr>
              <w:spacing w:after="120" w:line="240" w:lineRule="auto"/>
              <w:ind w:left="186"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4569" w:type="dxa"/>
            <w:tcBorders>
              <w:top w:val="single" w:sz="4" w:space="0" w:color="000000"/>
              <w:left w:val="single" w:sz="4" w:space="0" w:color="000000"/>
              <w:bottom w:val="single" w:sz="4" w:space="0" w:color="000000"/>
              <w:right w:val="single" w:sz="4" w:space="0" w:color="000000"/>
            </w:tcBorders>
          </w:tcPr>
          <w:p w14:paraId="3770C6A0" w14:textId="77777777" w:rsidR="006F76EB" w:rsidRPr="00834D52" w:rsidRDefault="006F76EB" w:rsidP="008B170E">
            <w:pPr>
              <w:spacing w:after="120" w:line="240" w:lineRule="auto"/>
              <w:ind w:right="-6"/>
              <w:rPr>
                <w:rFonts w:ascii="Sylfaen" w:hAnsi="Sylfaen"/>
                <w:sz w:val="24"/>
                <w:szCs w:val="24"/>
              </w:rPr>
            </w:pPr>
          </w:p>
        </w:tc>
      </w:tr>
      <w:tr w:rsidR="006F76EB" w:rsidRPr="00834D52" w14:paraId="025390EF" w14:textId="77777777" w:rsidTr="00EB2655">
        <w:trPr>
          <w:trHeight w:val="964"/>
          <w:jc w:val="center"/>
        </w:trPr>
        <w:tc>
          <w:tcPr>
            <w:tcW w:w="5145" w:type="dxa"/>
            <w:tcBorders>
              <w:top w:val="single" w:sz="4" w:space="0" w:color="000000"/>
              <w:left w:val="single" w:sz="4" w:space="0" w:color="000000"/>
              <w:bottom w:val="single" w:sz="4" w:space="0" w:color="000000"/>
              <w:right w:val="single" w:sz="4" w:space="0" w:color="000000"/>
            </w:tcBorders>
          </w:tcPr>
          <w:p w14:paraId="71EBBA6B"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 xml:space="preserve">պետությունում </w:t>
            </w:r>
          </w:p>
        </w:tc>
        <w:tc>
          <w:tcPr>
            <w:tcW w:w="4569" w:type="dxa"/>
            <w:tcBorders>
              <w:top w:val="single" w:sz="4" w:space="0" w:color="000000"/>
              <w:left w:val="single" w:sz="4" w:space="0" w:color="000000"/>
              <w:bottom w:val="single" w:sz="4" w:space="0" w:color="000000"/>
              <w:right w:val="single" w:sz="4" w:space="0" w:color="000000"/>
            </w:tcBorders>
          </w:tcPr>
          <w:p w14:paraId="7B5B8D95" w14:textId="77777777" w:rsidR="006F76EB" w:rsidRPr="00834D52" w:rsidRDefault="006F76EB" w:rsidP="008B170E">
            <w:pPr>
              <w:spacing w:after="120" w:line="240" w:lineRule="auto"/>
              <w:ind w:right="-6"/>
              <w:rPr>
                <w:rFonts w:ascii="Sylfaen" w:hAnsi="Sylfaen"/>
                <w:sz w:val="24"/>
                <w:szCs w:val="24"/>
              </w:rPr>
            </w:pPr>
          </w:p>
        </w:tc>
      </w:tr>
      <w:tr w:rsidR="006F76EB" w:rsidRPr="00834D52" w14:paraId="2DDDF0E3" w14:textId="77777777" w:rsidTr="00EB2655">
        <w:trPr>
          <w:trHeight w:val="579"/>
          <w:jc w:val="center"/>
        </w:trPr>
        <w:tc>
          <w:tcPr>
            <w:tcW w:w="5145" w:type="dxa"/>
            <w:tcBorders>
              <w:top w:val="single" w:sz="4" w:space="0" w:color="000000"/>
              <w:left w:val="single" w:sz="4" w:space="0" w:color="000000"/>
              <w:bottom w:val="single" w:sz="4" w:space="0" w:color="000000"/>
              <w:right w:val="single" w:sz="4" w:space="0" w:color="000000"/>
            </w:tcBorders>
          </w:tcPr>
          <w:p w14:paraId="5AEBC16B"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ամսաթիվը</w:t>
            </w:r>
          </w:p>
        </w:tc>
        <w:tc>
          <w:tcPr>
            <w:tcW w:w="4569" w:type="dxa"/>
            <w:tcBorders>
              <w:top w:val="single" w:sz="4" w:space="0" w:color="000000"/>
              <w:left w:val="single" w:sz="4" w:space="0" w:color="000000"/>
              <w:bottom w:val="single" w:sz="4" w:space="0" w:color="000000"/>
              <w:right w:val="single" w:sz="4" w:space="0" w:color="000000"/>
            </w:tcBorders>
          </w:tcPr>
          <w:p w14:paraId="2168003D" w14:textId="77777777" w:rsidR="006F76EB" w:rsidRPr="00834D52" w:rsidRDefault="006F76EB" w:rsidP="008B170E">
            <w:pPr>
              <w:spacing w:after="120" w:line="240" w:lineRule="auto"/>
              <w:ind w:right="-6"/>
              <w:rPr>
                <w:rFonts w:ascii="Sylfaen" w:hAnsi="Sylfaen"/>
                <w:sz w:val="24"/>
                <w:szCs w:val="24"/>
              </w:rPr>
            </w:pPr>
          </w:p>
        </w:tc>
      </w:tr>
      <w:tr w:rsidR="006F76EB" w:rsidRPr="00834D52" w14:paraId="42C85E1E" w14:textId="77777777" w:rsidTr="00EB2655">
        <w:trPr>
          <w:trHeight w:val="537"/>
          <w:jc w:val="center"/>
        </w:trPr>
        <w:tc>
          <w:tcPr>
            <w:tcW w:w="5145" w:type="dxa"/>
            <w:tcBorders>
              <w:top w:val="single" w:sz="4" w:space="0" w:color="000000"/>
              <w:left w:val="single" w:sz="4" w:space="0" w:color="000000"/>
              <w:bottom w:val="single" w:sz="4" w:space="0" w:color="000000"/>
              <w:right w:val="single" w:sz="4" w:space="0" w:color="000000"/>
            </w:tcBorders>
          </w:tcPr>
          <w:p w14:paraId="366F0E4E"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569" w:type="dxa"/>
            <w:tcBorders>
              <w:top w:val="single" w:sz="4" w:space="0" w:color="000000"/>
              <w:left w:val="single" w:sz="4" w:space="0" w:color="000000"/>
              <w:bottom w:val="single" w:sz="4" w:space="0" w:color="000000"/>
              <w:right w:val="single" w:sz="4" w:space="0" w:color="000000"/>
            </w:tcBorders>
          </w:tcPr>
          <w:p w14:paraId="5D849802" w14:textId="77777777" w:rsidR="006F76EB" w:rsidRPr="00834D52" w:rsidRDefault="006F76EB" w:rsidP="008B170E">
            <w:pPr>
              <w:spacing w:after="120" w:line="240" w:lineRule="auto"/>
              <w:ind w:right="-6"/>
              <w:rPr>
                <w:rFonts w:ascii="Sylfaen" w:hAnsi="Sylfaen"/>
                <w:sz w:val="24"/>
                <w:szCs w:val="24"/>
              </w:rPr>
            </w:pPr>
          </w:p>
        </w:tc>
      </w:tr>
      <w:tr w:rsidR="006F76EB" w:rsidRPr="00834D52" w14:paraId="57B17B37" w14:textId="77777777" w:rsidTr="00EB2655">
        <w:trPr>
          <w:trHeight w:val="557"/>
          <w:jc w:val="center"/>
        </w:trPr>
        <w:tc>
          <w:tcPr>
            <w:tcW w:w="5145" w:type="dxa"/>
            <w:tcBorders>
              <w:top w:val="single" w:sz="4" w:space="0" w:color="000000"/>
              <w:left w:val="single" w:sz="4" w:space="0" w:color="000000"/>
              <w:bottom w:val="single" w:sz="4" w:space="0" w:color="000000"/>
              <w:right w:val="single" w:sz="4" w:space="0" w:color="000000"/>
            </w:tcBorders>
          </w:tcPr>
          <w:p w14:paraId="1BCF7320"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lastRenderedPageBreak/>
              <w:t>գրանցման հավաստագրի պատճենը</w:t>
            </w:r>
          </w:p>
        </w:tc>
        <w:tc>
          <w:tcPr>
            <w:tcW w:w="4569" w:type="dxa"/>
            <w:tcBorders>
              <w:top w:val="single" w:sz="4" w:space="0" w:color="000000"/>
              <w:left w:val="single" w:sz="4" w:space="0" w:color="000000"/>
              <w:bottom w:val="single" w:sz="4" w:space="0" w:color="000000"/>
              <w:right w:val="single" w:sz="4" w:space="0" w:color="000000"/>
            </w:tcBorders>
          </w:tcPr>
          <w:p w14:paraId="00805E62" w14:textId="77777777" w:rsidR="006F76EB" w:rsidRPr="00834D52" w:rsidRDefault="006F76EB" w:rsidP="008B170E">
            <w:pPr>
              <w:spacing w:after="120" w:line="240" w:lineRule="auto"/>
              <w:ind w:right="-6"/>
              <w:rPr>
                <w:rFonts w:ascii="Sylfaen" w:hAnsi="Sylfaen"/>
                <w:sz w:val="24"/>
                <w:szCs w:val="24"/>
              </w:rPr>
            </w:pPr>
          </w:p>
        </w:tc>
      </w:tr>
      <w:tr w:rsidR="006F76EB" w:rsidRPr="00834D52" w14:paraId="4ACA5FB1" w14:textId="77777777" w:rsidTr="00EB2655">
        <w:trPr>
          <w:trHeight w:val="557"/>
          <w:jc w:val="center"/>
        </w:trPr>
        <w:tc>
          <w:tcPr>
            <w:tcW w:w="5145" w:type="dxa"/>
            <w:tcBorders>
              <w:top w:val="single" w:sz="4" w:space="0" w:color="000000"/>
              <w:left w:val="single" w:sz="4" w:space="0" w:color="000000"/>
              <w:bottom w:val="single" w:sz="4" w:space="0" w:color="000000"/>
              <w:right w:val="single" w:sz="4" w:space="0" w:color="000000"/>
            </w:tcBorders>
          </w:tcPr>
          <w:p w14:paraId="4ED0CDDD"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նույնականացման համարը</w:t>
            </w:r>
          </w:p>
        </w:tc>
        <w:tc>
          <w:tcPr>
            <w:tcW w:w="4569" w:type="dxa"/>
            <w:tcBorders>
              <w:top w:val="single" w:sz="4" w:space="0" w:color="000000"/>
              <w:left w:val="single" w:sz="4" w:space="0" w:color="000000"/>
              <w:bottom w:val="single" w:sz="4" w:space="0" w:color="000000"/>
              <w:right w:val="single" w:sz="4" w:space="0" w:color="000000"/>
            </w:tcBorders>
          </w:tcPr>
          <w:p w14:paraId="3B767745" w14:textId="77777777" w:rsidR="006F76EB" w:rsidRPr="00834D52" w:rsidRDefault="006F76EB" w:rsidP="008B170E">
            <w:pPr>
              <w:spacing w:after="120" w:line="240" w:lineRule="auto"/>
              <w:ind w:right="-6"/>
              <w:rPr>
                <w:rFonts w:ascii="Sylfaen" w:hAnsi="Sylfaen"/>
                <w:sz w:val="24"/>
                <w:szCs w:val="24"/>
              </w:rPr>
            </w:pPr>
          </w:p>
        </w:tc>
      </w:tr>
      <w:tr w:rsidR="006F76EB" w:rsidRPr="00834D52" w14:paraId="270F8615" w14:textId="77777777" w:rsidTr="00EB2655">
        <w:trPr>
          <w:trHeight w:val="1351"/>
          <w:jc w:val="center"/>
        </w:trPr>
        <w:tc>
          <w:tcPr>
            <w:tcW w:w="5145" w:type="dxa"/>
            <w:tcBorders>
              <w:top w:val="single" w:sz="4" w:space="0" w:color="000000"/>
              <w:left w:val="single" w:sz="4" w:space="0" w:color="000000"/>
              <w:bottom w:val="single" w:sz="4" w:space="0" w:color="000000"/>
              <w:right w:val="single" w:sz="4" w:space="0" w:color="000000"/>
            </w:tcBorders>
          </w:tcPr>
          <w:p w14:paraId="50C5EA08"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ներկայացման՝ Եվրասիական տնտեսական միության այլ անդամ պետություններ (առկայության դեպքում)</w:t>
            </w:r>
          </w:p>
        </w:tc>
        <w:tc>
          <w:tcPr>
            <w:tcW w:w="4569" w:type="dxa"/>
            <w:tcBorders>
              <w:top w:val="single" w:sz="4" w:space="0" w:color="000000"/>
              <w:left w:val="single" w:sz="4" w:space="0" w:color="000000"/>
              <w:bottom w:val="single" w:sz="4" w:space="0" w:color="000000"/>
              <w:right w:val="single" w:sz="4" w:space="0" w:color="000000"/>
            </w:tcBorders>
          </w:tcPr>
          <w:p w14:paraId="53B021DA" w14:textId="77777777" w:rsidR="006F76EB" w:rsidRPr="00834D52" w:rsidRDefault="006F76EB" w:rsidP="008B170E">
            <w:pPr>
              <w:spacing w:after="120" w:line="240" w:lineRule="auto"/>
              <w:ind w:right="-6"/>
              <w:rPr>
                <w:rFonts w:ascii="Sylfaen" w:hAnsi="Sylfaen"/>
                <w:sz w:val="24"/>
                <w:szCs w:val="24"/>
              </w:rPr>
            </w:pPr>
          </w:p>
        </w:tc>
      </w:tr>
      <w:tr w:rsidR="006F76EB" w:rsidRPr="00834D52" w14:paraId="0295B8BB" w14:textId="77777777" w:rsidTr="00EB2655">
        <w:trPr>
          <w:trHeight w:val="1759"/>
          <w:jc w:val="center"/>
        </w:trPr>
        <w:tc>
          <w:tcPr>
            <w:tcW w:w="5145" w:type="dxa"/>
            <w:tcBorders>
              <w:top w:val="single" w:sz="4" w:space="0" w:color="000000"/>
              <w:left w:val="single" w:sz="4" w:space="0" w:color="000000"/>
              <w:bottom w:val="single" w:sz="4" w:space="0" w:color="000000"/>
              <w:right w:val="single" w:sz="4" w:space="0" w:color="000000"/>
            </w:tcBorders>
          </w:tcPr>
          <w:p w14:paraId="19979DF6" w14:textId="77777777" w:rsidR="006F76EB" w:rsidRPr="00834D52" w:rsidRDefault="006F76EB" w:rsidP="008B170E">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պետությունում գրանցվածից առ</w:t>
            </w:r>
            <w:r w:rsidR="00C54D75">
              <w:rPr>
                <w:rFonts w:ascii="Sylfaen" w:hAnsi="Sylfaen"/>
                <w:sz w:val="24"/>
                <w:szCs w:val="24"/>
              </w:rPr>
              <w:t>և</w:t>
            </w:r>
            <w:r w:rsidRPr="00834D52">
              <w:rPr>
                <w:rFonts w:ascii="Sylfaen" w:hAnsi="Sylfaen"/>
                <w:sz w:val="24"/>
                <w:szCs w:val="24"/>
              </w:rPr>
              <w:t>տրային անվանման տարբերության դեպքում)</w:t>
            </w:r>
          </w:p>
        </w:tc>
        <w:tc>
          <w:tcPr>
            <w:tcW w:w="4569" w:type="dxa"/>
            <w:tcBorders>
              <w:top w:val="single" w:sz="4" w:space="0" w:color="000000"/>
              <w:left w:val="single" w:sz="4" w:space="0" w:color="000000"/>
              <w:bottom w:val="single" w:sz="4" w:space="0" w:color="000000"/>
              <w:right w:val="single" w:sz="4" w:space="0" w:color="000000"/>
            </w:tcBorders>
          </w:tcPr>
          <w:p w14:paraId="6893A109" w14:textId="77777777" w:rsidR="006F76EB" w:rsidRPr="00834D52" w:rsidRDefault="006F76EB" w:rsidP="008B170E">
            <w:pPr>
              <w:spacing w:after="120" w:line="240" w:lineRule="auto"/>
              <w:ind w:right="-6"/>
              <w:rPr>
                <w:rFonts w:ascii="Sylfaen" w:hAnsi="Sylfaen"/>
                <w:sz w:val="24"/>
                <w:szCs w:val="24"/>
              </w:rPr>
            </w:pPr>
          </w:p>
        </w:tc>
      </w:tr>
    </w:tbl>
    <w:p w14:paraId="44DC84F9" w14:textId="77777777" w:rsidR="006F76EB" w:rsidRPr="00834D52" w:rsidRDefault="006F76EB" w:rsidP="006F76EB">
      <w:pPr>
        <w:tabs>
          <w:tab w:val="left" w:pos="1701"/>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1.1.2.</w:t>
      </w:r>
      <w:r w:rsidRPr="00834D52">
        <w:rPr>
          <w:rFonts w:ascii="Sylfaen" w:hAnsi="Sylfaen"/>
          <w:sz w:val="24"/>
          <w:szCs w:val="24"/>
        </w:rPr>
        <w:tab/>
        <w:t>Հայտը ներկայացված է ապակենտրոնացված ընթացակարգով՝</w:t>
      </w:r>
    </w:p>
    <w:tbl>
      <w:tblPr>
        <w:tblW w:w="9612" w:type="dxa"/>
        <w:jc w:val="center"/>
        <w:tblLayout w:type="fixed"/>
        <w:tblCellMar>
          <w:left w:w="0" w:type="dxa"/>
          <w:right w:w="0" w:type="dxa"/>
        </w:tblCellMar>
        <w:tblLook w:val="01E0" w:firstRow="1" w:lastRow="1" w:firstColumn="1" w:lastColumn="1" w:noHBand="0" w:noVBand="0"/>
      </w:tblPr>
      <w:tblGrid>
        <w:gridCol w:w="5091"/>
        <w:gridCol w:w="4521"/>
      </w:tblGrid>
      <w:tr w:rsidR="006F76EB" w:rsidRPr="00834D52" w14:paraId="2597914A" w14:textId="77777777" w:rsidTr="00EB2655">
        <w:trPr>
          <w:trHeight w:val="575"/>
          <w:jc w:val="center"/>
        </w:trPr>
        <w:tc>
          <w:tcPr>
            <w:tcW w:w="5091" w:type="dxa"/>
            <w:tcBorders>
              <w:top w:val="single" w:sz="4" w:space="0" w:color="000000"/>
              <w:left w:val="single" w:sz="4" w:space="0" w:color="000000"/>
              <w:bottom w:val="single" w:sz="4" w:space="0" w:color="000000"/>
              <w:right w:val="single" w:sz="4" w:space="0" w:color="000000"/>
            </w:tcBorders>
          </w:tcPr>
          <w:p w14:paraId="5AE61049" w14:textId="77777777" w:rsidR="006F76EB" w:rsidRPr="00834D52" w:rsidRDefault="006F76EB" w:rsidP="004F6D87">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նույնականացման համարը</w:t>
            </w:r>
          </w:p>
        </w:tc>
        <w:tc>
          <w:tcPr>
            <w:tcW w:w="4521" w:type="dxa"/>
            <w:tcBorders>
              <w:top w:val="single" w:sz="4" w:space="0" w:color="000000"/>
              <w:left w:val="single" w:sz="4" w:space="0" w:color="000000"/>
              <w:bottom w:val="single" w:sz="4" w:space="0" w:color="000000"/>
              <w:right w:val="single" w:sz="4" w:space="0" w:color="000000"/>
            </w:tcBorders>
          </w:tcPr>
          <w:p w14:paraId="470BAA78" w14:textId="77777777" w:rsidR="006F76EB" w:rsidRPr="00834D52" w:rsidRDefault="006F76EB" w:rsidP="004F6D87">
            <w:pPr>
              <w:spacing w:after="120" w:line="240" w:lineRule="auto"/>
              <w:ind w:right="-6"/>
              <w:rPr>
                <w:rFonts w:ascii="Sylfaen" w:hAnsi="Sylfaen"/>
                <w:sz w:val="24"/>
                <w:szCs w:val="24"/>
              </w:rPr>
            </w:pPr>
          </w:p>
        </w:tc>
      </w:tr>
      <w:tr w:rsidR="006F76EB" w:rsidRPr="00834D52" w14:paraId="767D3823" w14:textId="77777777" w:rsidTr="00EB2655">
        <w:trPr>
          <w:trHeight w:val="575"/>
          <w:jc w:val="center"/>
        </w:trPr>
        <w:tc>
          <w:tcPr>
            <w:tcW w:w="5091" w:type="dxa"/>
            <w:tcBorders>
              <w:top w:val="single" w:sz="4" w:space="0" w:color="000000"/>
              <w:left w:val="single" w:sz="4" w:space="0" w:color="000000"/>
              <w:bottom w:val="single" w:sz="4" w:space="0" w:color="000000"/>
              <w:right w:val="single" w:sz="4" w:space="0" w:color="000000"/>
            </w:tcBorders>
          </w:tcPr>
          <w:p w14:paraId="42AD999A" w14:textId="77777777" w:rsidR="006F76EB" w:rsidRPr="00834D52" w:rsidRDefault="0032680A" w:rsidP="004F6D87">
            <w:pPr>
              <w:spacing w:after="120" w:line="240" w:lineRule="auto"/>
              <w:ind w:left="186"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4521" w:type="dxa"/>
            <w:tcBorders>
              <w:top w:val="single" w:sz="4" w:space="0" w:color="000000"/>
              <w:left w:val="single" w:sz="4" w:space="0" w:color="000000"/>
              <w:bottom w:val="single" w:sz="4" w:space="0" w:color="000000"/>
              <w:right w:val="single" w:sz="4" w:space="0" w:color="000000"/>
            </w:tcBorders>
          </w:tcPr>
          <w:p w14:paraId="18EA7AFF" w14:textId="77777777" w:rsidR="006F76EB" w:rsidRPr="00834D52" w:rsidRDefault="006F76EB" w:rsidP="004F6D87">
            <w:pPr>
              <w:spacing w:after="120" w:line="240" w:lineRule="auto"/>
              <w:ind w:right="-6"/>
              <w:rPr>
                <w:rFonts w:ascii="Sylfaen" w:hAnsi="Sylfaen"/>
                <w:sz w:val="24"/>
                <w:szCs w:val="24"/>
              </w:rPr>
            </w:pPr>
          </w:p>
        </w:tc>
      </w:tr>
      <w:tr w:rsidR="006F76EB" w:rsidRPr="00834D52" w14:paraId="36B3554B" w14:textId="77777777" w:rsidTr="00EB2655">
        <w:trPr>
          <w:trHeight w:val="974"/>
          <w:jc w:val="center"/>
        </w:trPr>
        <w:tc>
          <w:tcPr>
            <w:tcW w:w="5091" w:type="dxa"/>
            <w:tcBorders>
              <w:top w:val="single" w:sz="4" w:space="0" w:color="000000"/>
              <w:left w:val="single" w:sz="4" w:space="0" w:color="000000"/>
              <w:bottom w:val="single" w:sz="4" w:space="0" w:color="000000"/>
              <w:right w:val="single" w:sz="4" w:space="0" w:color="000000"/>
            </w:tcBorders>
          </w:tcPr>
          <w:p w14:paraId="3CDF9D10" w14:textId="77777777" w:rsidR="006F76EB" w:rsidRPr="00834D52" w:rsidRDefault="006F76EB" w:rsidP="004F6D87">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4521" w:type="dxa"/>
            <w:tcBorders>
              <w:top w:val="single" w:sz="4" w:space="0" w:color="000000"/>
              <w:left w:val="single" w:sz="4" w:space="0" w:color="000000"/>
              <w:bottom w:val="single" w:sz="4" w:space="0" w:color="000000"/>
              <w:right w:val="single" w:sz="4" w:space="0" w:color="000000"/>
            </w:tcBorders>
          </w:tcPr>
          <w:p w14:paraId="69993C83" w14:textId="77777777" w:rsidR="006F76EB" w:rsidRPr="00834D52" w:rsidRDefault="006F76EB" w:rsidP="004F6D87">
            <w:pPr>
              <w:spacing w:after="120" w:line="240" w:lineRule="auto"/>
              <w:ind w:right="-6"/>
              <w:rPr>
                <w:rFonts w:ascii="Sylfaen" w:hAnsi="Sylfaen"/>
                <w:sz w:val="24"/>
                <w:szCs w:val="24"/>
              </w:rPr>
            </w:pPr>
          </w:p>
        </w:tc>
      </w:tr>
      <w:tr w:rsidR="006F76EB" w:rsidRPr="00834D52" w14:paraId="614B8642" w14:textId="77777777" w:rsidTr="00EB2655">
        <w:trPr>
          <w:trHeight w:val="974"/>
          <w:jc w:val="center"/>
        </w:trPr>
        <w:tc>
          <w:tcPr>
            <w:tcW w:w="5091" w:type="dxa"/>
            <w:tcBorders>
              <w:top w:val="single" w:sz="4" w:space="0" w:color="000000"/>
              <w:left w:val="single" w:sz="4" w:space="0" w:color="000000"/>
              <w:bottom w:val="single" w:sz="4" w:space="0" w:color="000000"/>
              <w:right w:val="single" w:sz="4" w:space="0" w:color="000000"/>
            </w:tcBorders>
          </w:tcPr>
          <w:p w14:paraId="18DBE0B6" w14:textId="77777777" w:rsidR="006F76EB" w:rsidRPr="00834D52" w:rsidRDefault="006F76EB" w:rsidP="004F6D87">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ներկայացման ճանաչման պետությունները</w:t>
            </w:r>
          </w:p>
        </w:tc>
        <w:tc>
          <w:tcPr>
            <w:tcW w:w="4521" w:type="dxa"/>
            <w:tcBorders>
              <w:top w:val="single" w:sz="4" w:space="0" w:color="000000"/>
              <w:left w:val="single" w:sz="4" w:space="0" w:color="000000"/>
              <w:bottom w:val="single" w:sz="4" w:space="0" w:color="000000"/>
              <w:right w:val="single" w:sz="4" w:space="0" w:color="000000"/>
            </w:tcBorders>
          </w:tcPr>
          <w:p w14:paraId="46485E03" w14:textId="77777777" w:rsidR="006F76EB" w:rsidRPr="00834D52" w:rsidRDefault="006F76EB" w:rsidP="004F6D87">
            <w:pPr>
              <w:spacing w:after="120" w:line="240" w:lineRule="auto"/>
              <w:ind w:right="-6"/>
              <w:rPr>
                <w:rFonts w:ascii="Sylfaen" w:hAnsi="Sylfaen"/>
                <w:sz w:val="24"/>
                <w:szCs w:val="24"/>
              </w:rPr>
            </w:pPr>
          </w:p>
        </w:tc>
      </w:tr>
      <w:tr w:rsidR="006F76EB" w:rsidRPr="00834D52" w14:paraId="63833E8F" w14:textId="77777777" w:rsidTr="00EB2655">
        <w:trPr>
          <w:trHeight w:val="1837"/>
          <w:jc w:val="center"/>
        </w:trPr>
        <w:tc>
          <w:tcPr>
            <w:tcW w:w="5091" w:type="dxa"/>
            <w:tcBorders>
              <w:top w:val="single" w:sz="4" w:space="0" w:color="000000"/>
              <w:left w:val="single" w:sz="4" w:space="0" w:color="000000"/>
              <w:bottom w:val="single" w:sz="4" w:space="0" w:color="000000"/>
              <w:right w:val="single" w:sz="4" w:space="0" w:color="000000"/>
            </w:tcBorders>
          </w:tcPr>
          <w:p w14:paraId="296A84C5" w14:textId="77777777" w:rsidR="006F76EB" w:rsidRPr="00834D52" w:rsidRDefault="006F76EB" w:rsidP="004F6D87">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պետության հետ առ</w:t>
            </w:r>
            <w:r w:rsidR="00C54D75">
              <w:rPr>
                <w:rFonts w:ascii="Sylfaen" w:hAnsi="Sylfaen"/>
                <w:sz w:val="24"/>
                <w:szCs w:val="24"/>
              </w:rPr>
              <w:t>և</w:t>
            </w:r>
            <w:r w:rsidRPr="00834D52">
              <w:rPr>
                <w:rFonts w:ascii="Sylfaen" w:hAnsi="Sylfaen"/>
                <w:sz w:val="24"/>
                <w:szCs w:val="24"/>
              </w:rPr>
              <w:t>տրային անվանումների տարբերությունների դեպքում)</w:t>
            </w:r>
          </w:p>
        </w:tc>
        <w:tc>
          <w:tcPr>
            <w:tcW w:w="4521" w:type="dxa"/>
            <w:tcBorders>
              <w:top w:val="single" w:sz="4" w:space="0" w:color="000000"/>
              <w:left w:val="single" w:sz="4" w:space="0" w:color="000000"/>
              <w:bottom w:val="single" w:sz="4" w:space="0" w:color="000000"/>
              <w:right w:val="single" w:sz="4" w:space="0" w:color="000000"/>
            </w:tcBorders>
          </w:tcPr>
          <w:p w14:paraId="76743787" w14:textId="77777777" w:rsidR="006F76EB" w:rsidRPr="00834D52" w:rsidRDefault="006F76EB" w:rsidP="004F6D87">
            <w:pPr>
              <w:spacing w:after="120" w:line="240" w:lineRule="auto"/>
              <w:ind w:right="-6"/>
              <w:rPr>
                <w:rFonts w:ascii="Sylfaen" w:hAnsi="Sylfaen"/>
                <w:sz w:val="24"/>
                <w:szCs w:val="24"/>
              </w:rPr>
            </w:pPr>
          </w:p>
        </w:tc>
      </w:tr>
    </w:tbl>
    <w:p w14:paraId="3D03F25B"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Ծանոթագրություն. Բաժինը պետք է լրացվի ցանկացած հայտի համար՝ ներառյալ այն հայտերը, որոնց հղում է կատարվում այս բաժնում: </w:t>
      </w:r>
    </w:p>
    <w:p w14:paraId="5B7550F1" w14:textId="77777777" w:rsidR="00EB2655" w:rsidRDefault="00EB2655">
      <w:pPr>
        <w:widowControl/>
        <w:rPr>
          <w:rFonts w:ascii="Sylfaen" w:hAnsi="Sylfaen"/>
          <w:sz w:val="24"/>
          <w:szCs w:val="24"/>
        </w:rPr>
      </w:pPr>
      <w:r>
        <w:rPr>
          <w:rFonts w:ascii="Sylfaen" w:hAnsi="Sylfaen"/>
          <w:sz w:val="24"/>
          <w:szCs w:val="24"/>
        </w:rPr>
        <w:br w:type="page"/>
      </w:r>
    </w:p>
    <w:p w14:paraId="3EAF1D1F" w14:textId="77777777" w:rsidR="006F76EB" w:rsidRPr="00834D52" w:rsidRDefault="006F76EB" w:rsidP="006F76EB">
      <w:pPr>
        <w:spacing w:after="160" w:line="360" w:lineRule="auto"/>
        <w:ind w:left="567" w:right="423"/>
        <w:jc w:val="center"/>
        <w:rPr>
          <w:rFonts w:ascii="Sylfaen" w:eastAsia="Times New Roman" w:hAnsi="Sylfaen" w:cs="Times New Roman"/>
          <w:sz w:val="24"/>
          <w:szCs w:val="24"/>
        </w:rPr>
      </w:pPr>
      <w:r w:rsidRPr="00834D52">
        <w:rPr>
          <w:rFonts w:ascii="Sylfaen" w:hAnsi="Sylfaen"/>
          <w:sz w:val="24"/>
          <w:szCs w:val="24"/>
        </w:rPr>
        <w:lastRenderedPageBreak/>
        <w:t xml:space="preserve">2. Հաստատված փոփոխությունները կամ քննարկման փուլում </w:t>
      </w:r>
      <w:r w:rsidRPr="00834D52">
        <w:rPr>
          <w:rFonts w:ascii="Sylfaen" w:hAnsi="Sylfaen"/>
          <w:sz w:val="24"/>
          <w:szCs w:val="24"/>
        </w:rPr>
        <w:br/>
        <w:t xml:space="preserve">գտնվող փոփոխություները, որոնք եղել են գրանցման </w:t>
      </w:r>
      <w:r w:rsidRPr="00834D52">
        <w:rPr>
          <w:rFonts w:ascii="Sylfaen" w:hAnsi="Sylfaen"/>
          <w:sz w:val="24"/>
          <w:szCs w:val="24"/>
        </w:rPr>
        <w:br/>
        <w:t>հավաստագրի տրման պահից</w:t>
      </w:r>
    </w:p>
    <w:tbl>
      <w:tblPr>
        <w:tblW w:w="8931" w:type="dxa"/>
        <w:jc w:val="center"/>
        <w:tblLayout w:type="fixed"/>
        <w:tblCellMar>
          <w:left w:w="0" w:type="dxa"/>
          <w:right w:w="0" w:type="dxa"/>
        </w:tblCellMar>
        <w:tblLook w:val="01E0" w:firstRow="1" w:lastRow="1" w:firstColumn="1" w:lastColumn="1" w:noHBand="0" w:noVBand="0"/>
      </w:tblPr>
      <w:tblGrid>
        <w:gridCol w:w="916"/>
        <w:gridCol w:w="2407"/>
        <w:gridCol w:w="2410"/>
        <w:gridCol w:w="3198"/>
      </w:tblGrid>
      <w:tr w:rsidR="006F76EB" w:rsidRPr="00834D52" w14:paraId="5CA30773" w14:textId="77777777" w:rsidTr="00F71229">
        <w:trPr>
          <w:jc w:val="center"/>
        </w:trPr>
        <w:tc>
          <w:tcPr>
            <w:tcW w:w="916" w:type="dxa"/>
            <w:tcBorders>
              <w:top w:val="single" w:sz="4" w:space="0" w:color="000000"/>
              <w:left w:val="single" w:sz="4" w:space="0" w:color="000000"/>
              <w:bottom w:val="single" w:sz="4" w:space="0" w:color="000000"/>
              <w:right w:val="single" w:sz="4" w:space="0" w:color="000000"/>
            </w:tcBorders>
          </w:tcPr>
          <w:p w14:paraId="5EFCF37E" w14:textId="77777777" w:rsidR="006F76EB" w:rsidRPr="00834D52" w:rsidRDefault="006F76EB" w:rsidP="004F6D87">
            <w:pPr>
              <w:spacing w:after="120" w:line="240" w:lineRule="auto"/>
              <w:ind w:left="28" w:right="48"/>
              <w:rPr>
                <w:rFonts w:ascii="Sylfaen" w:eastAsia="Times New Roman" w:hAnsi="Sylfaen" w:cs="Times New Roman"/>
                <w:sz w:val="24"/>
                <w:szCs w:val="24"/>
              </w:rPr>
            </w:pPr>
            <w:r w:rsidRPr="00834D52">
              <w:rPr>
                <w:rFonts w:ascii="Sylfaen" w:hAnsi="Sylfaen"/>
                <w:sz w:val="24"/>
                <w:szCs w:val="24"/>
              </w:rPr>
              <w:t>Թիվ</w:t>
            </w:r>
          </w:p>
        </w:tc>
        <w:tc>
          <w:tcPr>
            <w:tcW w:w="2407" w:type="dxa"/>
            <w:tcBorders>
              <w:top w:val="single" w:sz="4" w:space="0" w:color="000000"/>
              <w:left w:val="single" w:sz="4" w:space="0" w:color="000000"/>
              <w:bottom w:val="single" w:sz="4" w:space="0" w:color="000000"/>
              <w:right w:val="single" w:sz="4" w:space="0" w:color="000000"/>
            </w:tcBorders>
          </w:tcPr>
          <w:p w14:paraId="291622AF" w14:textId="77777777" w:rsidR="006F76EB" w:rsidRPr="00834D52" w:rsidRDefault="006F76EB" w:rsidP="004F6D87">
            <w:pPr>
              <w:spacing w:after="120" w:line="240" w:lineRule="auto"/>
              <w:ind w:left="142" w:right="48"/>
              <w:rPr>
                <w:rFonts w:ascii="Sylfaen" w:eastAsia="Times New Roman" w:hAnsi="Sylfaen" w:cs="Times New Roman"/>
                <w:sz w:val="24"/>
                <w:szCs w:val="24"/>
              </w:rPr>
            </w:pPr>
            <w:r w:rsidRPr="00834D52">
              <w:rPr>
                <w:rFonts w:ascii="Sylfaen" w:hAnsi="Sylfaen"/>
                <w:sz w:val="24"/>
                <w:szCs w:val="24"/>
              </w:rPr>
              <w:t>Ներկայացման ամսաթիվը</w:t>
            </w:r>
          </w:p>
        </w:tc>
        <w:tc>
          <w:tcPr>
            <w:tcW w:w="2410" w:type="dxa"/>
            <w:tcBorders>
              <w:top w:val="single" w:sz="4" w:space="0" w:color="000000"/>
              <w:left w:val="single" w:sz="4" w:space="0" w:color="000000"/>
              <w:bottom w:val="single" w:sz="4" w:space="0" w:color="000000"/>
              <w:right w:val="single" w:sz="4" w:space="0" w:color="000000"/>
            </w:tcBorders>
          </w:tcPr>
          <w:p w14:paraId="513D5B5B" w14:textId="77777777" w:rsidR="006F76EB" w:rsidRPr="00834D52" w:rsidRDefault="006F76EB" w:rsidP="004F6D87">
            <w:pPr>
              <w:spacing w:after="120" w:line="240" w:lineRule="auto"/>
              <w:ind w:left="142" w:right="48"/>
              <w:rPr>
                <w:rFonts w:ascii="Sylfaen" w:eastAsia="Times New Roman" w:hAnsi="Sylfaen" w:cs="Times New Roman"/>
                <w:sz w:val="24"/>
                <w:szCs w:val="24"/>
              </w:rPr>
            </w:pPr>
            <w:r w:rsidRPr="00834D52">
              <w:rPr>
                <w:rFonts w:ascii="Sylfaen" w:hAnsi="Sylfaen"/>
                <w:sz w:val="24"/>
                <w:szCs w:val="24"/>
              </w:rPr>
              <w:t>Փոփոխության հաստատման ամսաթիվը</w:t>
            </w:r>
          </w:p>
        </w:tc>
        <w:tc>
          <w:tcPr>
            <w:tcW w:w="3198" w:type="dxa"/>
            <w:tcBorders>
              <w:top w:val="single" w:sz="4" w:space="0" w:color="000000"/>
              <w:left w:val="single" w:sz="4" w:space="0" w:color="000000"/>
              <w:bottom w:val="single" w:sz="4" w:space="0" w:color="000000"/>
              <w:right w:val="single" w:sz="4" w:space="0" w:color="000000"/>
            </w:tcBorders>
          </w:tcPr>
          <w:p w14:paraId="39E68C59" w14:textId="77777777" w:rsidR="006F76EB" w:rsidRPr="00834D52" w:rsidRDefault="006F76EB" w:rsidP="004F6D87">
            <w:pPr>
              <w:spacing w:after="120" w:line="240" w:lineRule="auto"/>
              <w:ind w:left="142" w:right="48"/>
              <w:rPr>
                <w:rFonts w:ascii="Sylfaen" w:eastAsia="Times New Roman" w:hAnsi="Sylfaen" w:cs="Times New Roman"/>
                <w:sz w:val="24"/>
                <w:szCs w:val="24"/>
              </w:rPr>
            </w:pPr>
            <w:r w:rsidRPr="00834D52">
              <w:rPr>
                <w:rFonts w:ascii="Sylfaen" w:hAnsi="Sylfaen"/>
                <w:sz w:val="24"/>
                <w:szCs w:val="24"/>
              </w:rPr>
              <w:t>Փոփոխության տիպը (ընթացակարգի տեսակը), փոփոխության համառոտ նկարագրությունը</w:t>
            </w:r>
          </w:p>
        </w:tc>
      </w:tr>
      <w:tr w:rsidR="006F76EB" w:rsidRPr="00834D52" w14:paraId="5A88E66A" w14:textId="77777777" w:rsidTr="00F71229">
        <w:trPr>
          <w:jc w:val="center"/>
        </w:trPr>
        <w:tc>
          <w:tcPr>
            <w:tcW w:w="916" w:type="dxa"/>
            <w:tcBorders>
              <w:top w:val="single" w:sz="4" w:space="0" w:color="000000"/>
              <w:left w:val="single" w:sz="4" w:space="0" w:color="000000"/>
              <w:bottom w:val="single" w:sz="4" w:space="0" w:color="000000"/>
              <w:right w:val="single" w:sz="4" w:space="0" w:color="000000"/>
            </w:tcBorders>
          </w:tcPr>
          <w:p w14:paraId="7561ADCD" w14:textId="77777777" w:rsidR="006F76EB" w:rsidRPr="00834D52" w:rsidRDefault="006F76EB" w:rsidP="004F6D87">
            <w:pPr>
              <w:spacing w:after="120" w:line="240" w:lineRule="auto"/>
              <w:ind w:right="-8"/>
              <w:rPr>
                <w:rFonts w:ascii="Sylfaen" w:hAnsi="Sylfaen"/>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F55884F" w14:textId="77777777" w:rsidR="006F76EB" w:rsidRPr="00834D52" w:rsidRDefault="006F76EB" w:rsidP="004F6D87">
            <w:pPr>
              <w:spacing w:after="120" w:line="240" w:lineRule="auto"/>
              <w:ind w:right="-8"/>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F5B1BD6" w14:textId="77777777" w:rsidR="006F76EB" w:rsidRPr="00834D52" w:rsidRDefault="006F76EB" w:rsidP="004F6D87">
            <w:pPr>
              <w:spacing w:after="120" w:line="240" w:lineRule="auto"/>
              <w:ind w:right="-8"/>
              <w:rPr>
                <w:rFonts w:ascii="Sylfaen" w:hAnsi="Sylfaen"/>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7547B21D" w14:textId="77777777" w:rsidR="006F76EB" w:rsidRPr="00834D52" w:rsidRDefault="006F76EB" w:rsidP="004F6D87">
            <w:pPr>
              <w:spacing w:after="120" w:line="240" w:lineRule="auto"/>
              <w:ind w:right="-8"/>
              <w:rPr>
                <w:rFonts w:ascii="Sylfaen" w:hAnsi="Sylfaen"/>
                <w:sz w:val="24"/>
                <w:szCs w:val="24"/>
              </w:rPr>
            </w:pPr>
          </w:p>
        </w:tc>
      </w:tr>
      <w:tr w:rsidR="006F76EB" w:rsidRPr="00834D52" w14:paraId="45513695" w14:textId="77777777" w:rsidTr="00F71229">
        <w:trPr>
          <w:jc w:val="center"/>
        </w:trPr>
        <w:tc>
          <w:tcPr>
            <w:tcW w:w="916" w:type="dxa"/>
            <w:tcBorders>
              <w:top w:val="single" w:sz="4" w:space="0" w:color="000000"/>
              <w:left w:val="single" w:sz="4" w:space="0" w:color="000000"/>
              <w:bottom w:val="single" w:sz="4" w:space="0" w:color="000000"/>
              <w:right w:val="single" w:sz="4" w:space="0" w:color="000000"/>
            </w:tcBorders>
          </w:tcPr>
          <w:p w14:paraId="50FC4F4B" w14:textId="77777777" w:rsidR="006F76EB" w:rsidRPr="00834D52" w:rsidRDefault="006F76EB" w:rsidP="004F6D87">
            <w:pPr>
              <w:spacing w:after="120" w:line="240" w:lineRule="auto"/>
              <w:ind w:right="-8"/>
              <w:rPr>
                <w:rFonts w:ascii="Sylfaen" w:eastAsia="Times New Roman" w:hAnsi="Sylfaen" w:cs="Times New Roman"/>
                <w:sz w:val="24"/>
                <w:szCs w:val="24"/>
              </w:rPr>
            </w:pPr>
            <w:r w:rsidRPr="00834D52">
              <w:rPr>
                <w:rFonts w:ascii="Sylfaen" w:hAnsi="Sylfaen"/>
                <w:sz w:val="24"/>
                <w:szCs w:val="24"/>
              </w:rPr>
              <w:t>...</w:t>
            </w:r>
          </w:p>
        </w:tc>
        <w:tc>
          <w:tcPr>
            <w:tcW w:w="2407" w:type="dxa"/>
            <w:tcBorders>
              <w:top w:val="single" w:sz="4" w:space="0" w:color="000000"/>
              <w:left w:val="single" w:sz="4" w:space="0" w:color="000000"/>
              <w:bottom w:val="single" w:sz="4" w:space="0" w:color="000000"/>
              <w:right w:val="single" w:sz="4" w:space="0" w:color="000000"/>
            </w:tcBorders>
          </w:tcPr>
          <w:p w14:paraId="7A7AC177" w14:textId="77777777" w:rsidR="006F76EB" w:rsidRPr="00834D52" w:rsidRDefault="006F76EB" w:rsidP="004F6D87">
            <w:pPr>
              <w:spacing w:after="120" w:line="240" w:lineRule="auto"/>
              <w:ind w:right="-8"/>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25CEE89" w14:textId="77777777" w:rsidR="006F76EB" w:rsidRPr="00834D52" w:rsidRDefault="006F76EB" w:rsidP="004F6D87">
            <w:pPr>
              <w:spacing w:after="120" w:line="240" w:lineRule="auto"/>
              <w:ind w:right="-8"/>
              <w:rPr>
                <w:rFonts w:ascii="Sylfaen" w:hAnsi="Sylfaen"/>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5237E4CC" w14:textId="77777777" w:rsidR="006F76EB" w:rsidRPr="00834D52" w:rsidRDefault="006F76EB" w:rsidP="004F6D87">
            <w:pPr>
              <w:spacing w:after="120" w:line="240" w:lineRule="auto"/>
              <w:ind w:right="-8"/>
              <w:rPr>
                <w:rFonts w:ascii="Sylfaen" w:hAnsi="Sylfaen"/>
                <w:sz w:val="24"/>
                <w:szCs w:val="24"/>
              </w:rPr>
            </w:pPr>
          </w:p>
        </w:tc>
      </w:tr>
    </w:tbl>
    <w:p w14:paraId="57A7CF1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Դեղապատրաստուկի՝ ստոր</w:t>
      </w:r>
      <w:r w:rsidR="00C54D75">
        <w:rPr>
          <w:rFonts w:ascii="Sylfaen" w:hAnsi="Sylfaen"/>
          <w:sz w:val="24"/>
          <w:szCs w:val="24"/>
        </w:rPr>
        <w:t>և</w:t>
      </w:r>
      <w:r w:rsidRPr="00834D52">
        <w:rPr>
          <w:rFonts w:ascii="Sylfaen" w:hAnsi="Sylfaen"/>
          <w:sz w:val="24"/>
          <w:szCs w:val="24"/>
        </w:rPr>
        <w:t xml:space="preserve"> բերված համապատասխան տիպի համար հայտ ներկայացնելու դեպքում հայտի մնացած բաժինները, որոնք վերաբերում են դեղապատրաստուկների այլ տիպերին, չեն լրացվում:</w:t>
      </w:r>
    </w:p>
    <w:p w14:paraId="5BC17555"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00A5D471">
          <v:rect id="_x0000_s1086" style="position:absolute;left:0;text-align:left;margin-left:115.1pt;margin-top:1.55pt;width:12.75pt;height:12pt;z-index:251616768"/>
        </w:pict>
      </w:r>
      <w:r w:rsidR="006F76EB" w:rsidRPr="00834D52">
        <w:rPr>
          <w:rFonts w:ascii="Sylfaen" w:hAnsi="Sylfaen"/>
          <w:sz w:val="24"/>
          <w:szCs w:val="24"/>
        </w:rPr>
        <w:t>ՕՐԻԳԻՆԱԼ ԴԵՂԱՊԱՏՐԱՍՏՈՒԿ</w:t>
      </w:r>
    </w:p>
    <w:tbl>
      <w:tblPr>
        <w:tblStyle w:val="TableGrid"/>
        <w:tblW w:w="0" w:type="auto"/>
        <w:tblLook w:val="04A0" w:firstRow="1" w:lastRow="0" w:firstColumn="1" w:lastColumn="0" w:noHBand="0" w:noVBand="1"/>
      </w:tblPr>
      <w:tblGrid>
        <w:gridCol w:w="4503"/>
        <w:gridCol w:w="4536"/>
      </w:tblGrid>
      <w:tr w:rsidR="006F76EB" w:rsidRPr="00834D52" w14:paraId="04C5F1AB" w14:textId="77777777" w:rsidTr="00F71229">
        <w:tc>
          <w:tcPr>
            <w:tcW w:w="4503" w:type="dxa"/>
          </w:tcPr>
          <w:p w14:paraId="27BF2A01" w14:textId="77777777" w:rsidR="006F76EB" w:rsidRPr="00834D52" w:rsidRDefault="00157FD9" w:rsidP="00EB2655">
            <w:pPr>
              <w:spacing w:after="120"/>
              <w:ind w:right="1420" w:firstLine="426"/>
              <w:rPr>
                <w:rFonts w:ascii="Sylfaen" w:eastAsia="Times New Roman" w:hAnsi="Sylfaen" w:cs="Times New Roman"/>
                <w:sz w:val="24"/>
                <w:szCs w:val="24"/>
              </w:rPr>
            </w:pPr>
            <w:r>
              <w:rPr>
                <w:rFonts w:ascii="Sylfaen" w:eastAsia="Times New Roman" w:hAnsi="Sylfaen" w:cs="Times New Roman"/>
                <w:noProof/>
                <w:sz w:val="24"/>
                <w:szCs w:val="24"/>
              </w:rPr>
              <w:pict w14:anchorId="74D3B403">
                <v:rect id="_x0000_s1087" style="position:absolute;left:0;text-align:left;margin-left:-1.25pt;margin-top:4.85pt;width:12.75pt;height:12pt;z-index:251617792"/>
              </w:pict>
            </w:r>
            <w:r w:rsidR="006F76EB" w:rsidRPr="00834D52">
              <w:rPr>
                <w:rFonts w:ascii="Sylfaen" w:hAnsi="Sylfaen"/>
                <w:sz w:val="24"/>
                <w:szCs w:val="24"/>
              </w:rPr>
              <w:t>կենսաբանական դեղապատրաստուկ</w:t>
            </w:r>
          </w:p>
        </w:tc>
        <w:tc>
          <w:tcPr>
            <w:tcW w:w="4536" w:type="dxa"/>
          </w:tcPr>
          <w:p w14:paraId="6BBB1FF5" w14:textId="77777777" w:rsidR="006F76EB" w:rsidRPr="00834D52" w:rsidRDefault="00157FD9" w:rsidP="00EB2655">
            <w:pPr>
              <w:spacing w:after="120"/>
              <w:ind w:left="349" w:right="-8"/>
              <w:rPr>
                <w:rFonts w:ascii="Sylfaen" w:eastAsia="Times New Roman" w:hAnsi="Sylfaen" w:cs="Times New Roman"/>
                <w:sz w:val="24"/>
                <w:szCs w:val="24"/>
              </w:rPr>
            </w:pPr>
            <w:r>
              <w:rPr>
                <w:rFonts w:ascii="Sylfaen" w:eastAsia="Times New Roman" w:hAnsi="Sylfaen" w:cs="Times New Roman"/>
                <w:noProof/>
                <w:sz w:val="24"/>
                <w:szCs w:val="24"/>
              </w:rPr>
              <w:pict w14:anchorId="78ADC36F">
                <v:rect id="_x0000_s1088" style="position:absolute;left:0;text-align:left;margin-left:-1.9pt;margin-top:4.85pt;width:12.75pt;height:12pt;z-index:251618816;mso-position-horizontal-relative:text;mso-position-vertical-relative:text"/>
              </w:pict>
            </w:r>
            <w:r w:rsidR="006F76EB" w:rsidRPr="00834D52">
              <w:rPr>
                <w:rFonts w:ascii="Sylfaen" w:hAnsi="Sylfaen"/>
                <w:sz w:val="24"/>
                <w:szCs w:val="24"/>
              </w:rPr>
              <w:t>այլ դեղապատրաստուկ</w:t>
            </w:r>
          </w:p>
        </w:tc>
      </w:tr>
      <w:tr w:rsidR="006F76EB" w:rsidRPr="00834D52" w14:paraId="457E3969" w14:textId="77777777" w:rsidTr="00F71229">
        <w:tc>
          <w:tcPr>
            <w:tcW w:w="9039" w:type="dxa"/>
            <w:gridSpan w:val="2"/>
          </w:tcPr>
          <w:p w14:paraId="38D4E3BF" w14:textId="77777777" w:rsidR="006F76EB" w:rsidRPr="00834D52" w:rsidRDefault="00157FD9" w:rsidP="00EB2655">
            <w:pPr>
              <w:spacing w:after="120"/>
              <w:ind w:right="-10" w:firstLine="426"/>
              <w:rPr>
                <w:rFonts w:ascii="Sylfaen" w:eastAsia="Times New Roman" w:hAnsi="Sylfaen" w:cs="Times New Roman"/>
                <w:sz w:val="24"/>
                <w:szCs w:val="24"/>
              </w:rPr>
            </w:pPr>
            <w:r>
              <w:rPr>
                <w:rFonts w:ascii="Sylfaen" w:eastAsia="Times New Roman" w:hAnsi="Sylfaen" w:cs="Times New Roman"/>
                <w:sz w:val="24"/>
                <w:szCs w:val="24"/>
              </w:rPr>
              <w:pict w14:anchorId="3D2F77BB">
                <v:rect id="_x0000_s1089" style="position:absolute;left:0;text-align:left;margin-left:-2pt;margin-top:3.65pt;width:12.75pt;height:12pt;z-index:251619840;mso-position-horizontal-relative:text;mso-position-vertical-relative:text"/>
              </w:pict>
            </w:r>
            <w:r w:rsidR="006F76EB" w:rsidRPr="00834D52">
              <w:rPr>
                <w:rFonts w:ascii="Sylfaen" w:hAnsi="Sylfaen"/>
                <w:sz w:val="24"/>
                <w:szCs w:val="24"/>
              </w:rPr>
              <w:t>նոր ակտիվ դեղաբանական բաղադրամաս (այսուհետ՝ ԱԴԲ)</w:t>
            </w:r>
          </w:p>
          <w:p w14:paraId="5A31D9D2" w14:textId="77777777" w:rsidR="006F76EB" w:rsidRPr="00834D52" w:rsidRDefault="006F76EB" w:rsidP="00EB2655">
            <w:pPr>
              <w:spacing w:after="120"/>
              <w:ind w:right="-10"/>
              <w:jc w:val="both"/>
              <w:rPr>
                <w:rFonts w:ascii="Sylfaen" w:eastAsia="Times New Roman" w:hAnsi="Sylfaen" w:cs="Times New Roman"/>
                <w:sz w:val="24"/>
                <w:szCs w:val="24"/>
              </w:rPr>
            </w:pPr>
            <w:r w:rsidRPr="00834D52">
              <w:rPr>
                <w:rFonts w:ascii="Sylfaen" w:hAnsi="Sylfaen"/>
                <w:sz w:val="24"/>
                <w:szCs w:val="24"/>
              </w:rPr>
              <w:t xml:space="preserve">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բացակայում են ԱԴԲ-ի մասին տեղեկությունները: </w:t>
            </w:r>
          </w:p>
        </w:tc>
      </w:tr>
      <w:tr w:rsidR="006F76EB" w:rsidRPr="00834D52" w14:paraId="312538B9" w14:textId="77777777" w:rsidTr="00F71229">
        <w:tc>
          <w:tcPr>
            <w:tcW w:w="9039" w:type="dxa"/>
            <w:gridSpan w:val="2"/>
          </w:tcPr>
          <w:p w14:paraId="166D4F1C" w14:textId="77777777" w:rsidR="006F76EB" w:rsidRPr="00834D52" w:rsidRDefault="00157FD9" w:rsidP="00EB2655">
            <w:pPr>
              <w:spacing w:after="120"/>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611104E4">
                <v:rect id="_x0000_s1090" style="position:absolute;left:0;text-align:left;margin-left:-2pt;margin-top:3.25pt;width:12.75pt;height:12pt;z-index:251620864;mso-position-horizontal-relative:text;mso-position-vertical-relative:text"/>
              </w:pict>
            </w:r>
            <w:r w:rsidR="006F76EB" w:rsidRPr="00834D52">
              <w:rPr>
                <w:rFonts w:ascii="Sylfaen" w:hAnsi="Sylfaen"/>
                <w:sz w:val="24"/>
                <w:szCs w:val="24"/>
              </w:rPr>
              <w:t>հայտնի ԱԴԲ</w:t>
            </w:r>
          </w:p>
          <w:p w14:paraId="7A80901A" w14:textId="77777777" w:rsidR="006F76EB" w:rsidRPr="00834D52" w:rsidRDefault="006F76EB" w:rsidP="00EB2655">
            <w:pPr>
              <w:spacing w:after="120"/>
              <w:ind w:right="-8"/>
              <w:jc w:val="both"/>
              <w:rPr>
                <w:rFonts w:ascii="Sylfaen" w:eastAsia="Times New Roman" w:hAnsi="Sylfaen" w:cs="Times New Roman"/>
                <w:sz w:val="24"/>
                <w:szCs w:val="24"/>
              </w:rPr>
            </w:pPr>
            <w:r w:rsidRPr="00834D52">
              <w:rPr>
                <w:rFonts w:ascii="Sylfaen" w:hAnsi="Sylfaen"/>
                <w:sz w:val="24"/>
                <w:szCs w:val="24"/>
              </w:rPr>
              <w:t>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առկա են ԱԴԲ-ի մասին տեղեկություններ:</w:t>
            </w:r>
          </w:p>
        </w:tc>
      </w:tr>
    </w:tbl>
    <w:p w14:paraId="7BFDCDAC" w14:textId="77777777" w:rsidR="006F76EB" w:rsidRPr="00834D52" w:rsidRDefault="006F76EB" w:rsidP="00A64FAB">
      <w:pPr>
        <w:spacing w:after="160" w:line="480" w:lineRule="auto"/>
        <w:ind w:right="-6"/>
        <w:jc w:val="center"/>
        <w:rPr>
          <w:rFonts w:ascii="Sylfaen" w:hAnsi="Sylfaen"/>
          <w:sz w:val="24"/>
          <w:szCs w:val="24"/>
        </w:rPr>
      </w:pPr>
    </w:p>
    <w:p w14:paraId="52C82FBA"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64F5955D">
          <v:rect id="_x0000_s1091" style="position:absolute;left:0;text-align:left;margin-left:89.5pt;margin-top:2.5pt;width:12.75pt;height:12pt;z-index:251621888"/>
        </w:pict>
      </w:r>
      <w:r w:rsidR="006F76EB" w:rsidRPr="00834D52">
        <w:rPr>
          <w:rFonts w:ascii="Sylfaen" w:hAnsi="Sylfaen"/>
          <w:sz w:val="24"/>
          <w:szCs w:val="24"/>
        </w:rPr>
        <w:t>ՎԵՐԱՐՏԱԴՐՎԱԾ ԴԵՂԱՊԱՏՐԱՍՏՈՒԿ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F76EB" w:rsidRPr="00834D52" w14:paraId="41F612A1" w14:textId="77777777" w:rsidTr="00F71229">
        <w:tc>
          <w:tcPr>
            <w:tcW w:w="4643" w:type="dxa"/>
          </w:tcPr>
          <w:p w14:paraId="64DBD04E" w14:textId="77777777" w:rsidR="006F76EB" w:rsidRPr="00834D52" w:rsidRDefault="00157FD9" w:rsidP="00F71229">
            <w:pPr>
              <w:spacing w:after="160" w:line="360" w:lineRule="auto"/>
              <w:ind w:right="-8"/>
              <w:jc w:val="center"/>
              <w:rPr>
                <w:rFonts w:ascii="Sylfaen" w:hAnsi="Sylfaen"/>
                <w:sz w:val="24"/>
                <w:szCs w:val="24"/>
                <w:lang w:val="ru-RU"/>
              </w:rPr>
            </w:pPr>
            <w:r>
              <w:rPr>
                <w:rFonts w:ascii="Sylfaen" w:eastAsia="Wingdings 2" w:hAnsi="Sylfaen" w:cs="Wingdings 2"/>
                <w:noProof/>
                <w:sz w:val="24"/>
                <w:szCs w:val="24"/>
              </w:rPr>
              <w:pict w14:anchorId="3C6FF843">
                <v:rect id="_x0000_s1093" style="position:absolute;left:0;text-align:left;margin-left:52.1pt;margin-top:2.35pt;width:12.75pt;height:12pt;z-index:251622912"/>
              </w:pict>
            </w:r>
            <w:r w:rsidR="006F76EB" w:rsidRPr="00834D52">
              <w:rPr>
                <w:rFonts w:ascii="Sylfaen" w:hAnsi="Sylfaen"/>
                <w:sz w:val="24"/>
                <w:szCs w:val="24"/>
              </w:rPr>
              <w:t>միաբաղադրիչ</w:t>
            </w:r>
          </w:p>
        </w:tc>
        <w:tc>
          <w:tcPr>
            <w:tcW w:w="4643" w:type="dxa"/>
          </w:tcPr>
          <w:p w14:paraId="5FD32317" w14:textId="77777777" w:rsidR="006F76EB" w:rsidRPr="00834D52" w:rsidRDefault="00157FD9" w:rsidP="00F71229">
            <w:pPr>
              <w:spacing w:after="160" w:line="360" w:lineRule="auto"/>
              <w:ind w:right="-8"/>
              <w:jc w:val="center"/>
              <w:rPr>
                <w:rFonts w:ascii="Sylfaen" w:hAnsi="Sylfaen"/>
                <w:sz w:val="24"/>
                <w:szCs w:val="24"/>
                <w:lang w:val="ru-RU"/>
              </w:rPr>
            </w:pPr>
            <w:r>
              <w:rPr>
                <w:rFonts w:ascii="Sylfaen" w:eastAsia="Times New Roman" w:hAnsi="Sylfaen" w:cs="Times New Roman"/>
                <w:noProof/>
                <w:sz w:val="24"/>
                <w:szCs w:val="24"/>
              </w:rPr>
              <w:pict w14:anchorId="2E93F643">
                <v:rect id="_x0000_s1092" style="position:absolute;left:0;text-align:left;margin-left:41.85pt;margin-top:2.35pt;width:12.75pt;height:12pt;z-index:251623936;mso-position-horizontal-relative:text;mso-position-vertical-relative:text"/>
              </w:pict>
            </w:r>
            <w:r w:rsidR="006F76EB" w:rsidRPr="00834D52">
              <w:rPr>
                <w:rFonts w:ascii="Sylfaen" w:hAnsi="Sylfaen"/>
                <w:sz w:val="24"/>
                <w:szCs w:val="24"/>
              </w:rPr>
              <w:t>բազմաբաղադրիչ</w:t>
            </w:r>
          </w:p>
        </w:tc>
      </w:tr>
    </w:tbl>
    <w:p w14:paraId="18358C33" w14:textId="77777777" w:rsidR="006F76EB" w:rsidRPr="00834D52" w:rsidRDefault="006F76EB" w:rsidP="006F76EB">
      <w:pPr>
        <w:spacing w:after="160" w:line="360" w:lineRule="auto"/>
        <w:ind w:right="-8"/>
        <w:rPr>
          <w:rFonts w:ascii="Sylfaen" w:hAnsi="Sylfae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498"/>
        <w:gridCol w:w="4114"/>
      </w:tblGrid>
      <w:tr w:rsidR="006F76EB" w:rsidRPr="00834D52" w14:paraId="7418E558" w14:textId="77777777" w:rsidTr="00F71229">
        <w:trPr>
          <w:jc w:val="center"/>
        </w:trPr>
        <w:tc>
          <w:tcPr>
            <w:tcW w:w="9612" w:type="dxa"/>
            <w:gridSpan w:val="2"/>
            <w:tcBorders>
              <w:top w:val="single" w:sz="4" w:space="0" w:color="000000"/>
              <w:left w:val="single" w:sz="4" w:space="0" w:color="000000"/>
              <w:bottom w:val="single" w:sz="4" w:space="0" w:color="000000"/>
              <w:right w:val="single" w:sz="4" w:space="0" w:color="000000"/>
            </w:tcBorders>
          </w:tcPr>
          <w:p w14:paraId="59502E9B"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Օրիգինալ դեղապատրաստուկ՝</w:t>
            </w:r>
          </w:p>
        </w:tc>
      </w:tr>
      <w:tr w:rsidR="006F76EB" w:rsidRPr="00834D52" w14:paraId="0B2177E5"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7A235687"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lastRenderedPageBreak/>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 xml:space="preserve">ը </w:t>
            </w:r>
          </w:p>
        </w:tc>
        <w:tc>
          <w:tcPr>
            <w:tcW w:w="4114" w:type="dxa"/>
            <w:tcBorders>
              <w:top w:val="single" w:sz="4" w:space="0" w:color="000000"/>
              <w:left w:val="single" w:sz="4" w:space="0" w:color="000000"/>
              <w:bottom w:val="single" w:sz="4" w:space="0" w:color="000000"/>
              <w:right w:val="single" w:sz="4" w:space="0" w:color="000000"/>
            </w:tcBorders>
          </w:tcPr>
          <w:p w14:paraId="38BB7919" w14:textId="77777777" w:rsidR="006F76EB" w:rsidRPr="00834D52" w:rsidRDefault="006F76EB" w:rsidP="00A64FAB">
            <w:pPr>
              <w:spacing w:after="120" w:line="240" w:lineRule="auto"/>
              <w:ind w:right="-6"/>
              <w:rPr>
                <w:rFonts w:ascii="Sylfaen" w:hAnsi="Sylfaen"/>
                <w:sz w:val="24"/>
                <w:szCs w:val="24"/>
              </w:rPr>
            </w:pPr>
          </w:p>
        </w:tc>
      </w:tr>
      <w:tr w:rsidR="006F76EB" w:rsidRPr="00834D52" w14:paraId="0495459A"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1E014E6E"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114" w:type="dxa"/>
            <w:tcBorders>
              <w:top w:val="single" w:sz="4" w:space="0" w:color="000000"/>
              <w:left w:val="single" w:sz="4" w:space="0" w:color="000000"/>
              <w:bottom w:val="single" w:sz="4" w:space="0" w:color="000000"/>
              <w:right w:val="single" w:sz="4" w:space="0" w:color="000000"/>
            </w:tcBorders>
          </w:tcPr>
          <w:p w14:paraId="332A9B51" w14:textId="77777777" w:rsidR="006F76EB" w:rsidRPr="00834D52" w:rsidRDefault="006F76EB" w:rsidP="00A64FAB">
            <w:pPr>
              <w:spacing w:after="120" w:line="240" w:lineRule="auto"/>
              <w:ind w:right="-6"/>
              <w:rPr>
                <w:rFonts w:ascii="Sylfaen" w:hAnsi="Sylfaen"/>
                <w:sz w:val="24"/>
                <w:szCs w:val="24"/>
              </w:rPr>
            </w:pPr>
          </w:p>
        </w:tc>
      </w:tr>
      <w:tr w:rsidR="006F76EB" w:rsidRPr="00834D52" w14:paraId="0C9CD200" w14:textId="77777777" w:rsidTr="00F71229">
        <w:trPr>
          <w:jc w:val="center"/>
        </w:trPr>
        <w:tc>
          <w:tcPr>
            <w:tcW w:w="9612" w:type="dxa"/>
            <w:gridSpan w:val="2"/>
            <w:tcBorders>
              <w:top w:val="single" w:sz="4" w:space="0" w:color="000000"/>
              <w:left w:val="single" w:sz="4" w:space="0" w:color="000000"/>
              <w:bottom w:val="single" w:sz="4" w:space="0" w:color="000000"/>
              <w:right w:val="single" w:sz="4" w:space="0" w:color="000000"/>
            </w:tcBorders>
          </w:tcPr>
          <w:p w14:paraId="6D9BC9E2" w14:textId="77777777" w:rsidR="006F76EB" w:rsidRPr="00834D52" w:rsidRDefault="00D0720C" w:rsidP="00A64FAB">
            <w:pPr>
              <w:spacing w:after="120" w:line="240" w:lineRule="auto"/>
              <w:ind w:left="186" w:right="-6"/>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դեղապատրաստուկը, որն օգտագործվել է համարժեքության հետազոտություններում (եթե այդպիսիք անցկացվել են)՝</w:t>
            </w:r>
          </w:p>
        </w:tc>
      </w:tr>
      <w:tr w:rsidR="006F76EB" w:rsidRPr="00834D52" w14:paraId="2E403D70"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7730F6E1"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114" w:type="dxa"/>
            <w:tcBorders>
              <w:top w:val="single" w:sz="4" w:space="0" w:color="000000"/>
              <w:left w:val="single" w:sz="4" w:space="0" w:color="000000"/>
              <w:bottom w:val="single" w:sz="4" w:space="0" w:color="000000"/>
              <w:right w:val="single" w:sz="4" w:space="0" w:color="000000"/>
            </w:tcBorders>
          </w:tcPr>
          <w:p w14:paraId="2C7C0E60" w14:textId="77777777" w:rsidR="006F76EB" w:rsidRPr="00834D52" w:rsidRDefault="006F76EB" w:rsidP="00A64FAB">
            <w:pPr>
              <w:spacing w:after="120" w:line="240" w:lineRule="auto"/>
              <w:ind w:right="-6"/>
              <w:rPr>
                <w:rFonts w:ascii="Sylfaen" w:hAnsi="Sylfaen"/>
                <w:sz w:val="24"/>
                <w:szCs w:val="24"/>
              </w:rPr>
            </w:pPr>
          </w:p>
        </w:tc>
      </w:tr>
      <w:tr w:rsidR="006F76EB" w:rsidRPr="00834D52" w14:paraId="1639D7AB"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7181ACE1"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գրանցված է </w:t>
            </w:r>
            <w:r w:rsidR="00D0720C">
              <w:rPr>
                <w:rFonts w:ascii="Sylfaen" w:hAnsi="Sylfaen"/>
                <w:sz w:val="24"/>
                <w:szCs w:val="24"/>
              </w:rPr>
              <w:t>ռեֆերենտ</w:t>
            </w:r>
            <w:r w:rsidRPr="00834D52">
              <w:rPr>
                <w:rFonts w:ascii="Sylfaen" w:hAnsi="Sylfaen"/>
                <w:sz w:val="24"/>
                <w:szCs w:val="24"/>
              </w:rPr>
              <w:t xml:space="preserve"> դեղապատրաստուկը</w:t>
            </w:r>
          </w:p>
        </w:tc>
        <w:tc>
          <w:tcPr>
            <w:tcW w:w="4114" w:type="dxa"/>
            <w:tcBorders>
              <w:top w:val="single" w:sz="4" w:space="0" w:color="000000"/>
              <w:left w:val="single" w:sz="4" w:space="0" w:color="000000"/>
              <w:bottom w:val="single" w:sz="4" w:space="0" w:color="000000"/>
              <w:right w:val="single" w:sz="4" w:space="0" w:color="000000"/>
            </w:tcBorders>
          </w:tcPr>
          <w:p w14:paraId="16D2209D" w14:textId="77777777" w:rsidR="006F76EB" w:rsidRPr="00834D52" w:rsidRDefault="006F76EB" w:rsidP="00A64FAB">
            <w:pPr>
              <w:spacing w:after="120" w:line="240" w:lineRule="auto"/>
              <w:ind w:right="-6"/>
              <w:rPr>
                <w:rFonts w:ascii="Sylfaen" w:hAnsi="Sylfaen"/>
                <w:sz w:val="24"/>
                <w:szCs w:val="24"/>
              </w:rPr>
            </w:pPr>
          </w:p>
        </w:tc>
      </w:tr>
      <w:tr w:rsidR="006F76EB" w:rsidRPr="00834D52" w14:paraId="38A9F074"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44136A2D"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 xml:space="preserve">բերել </w:t>
            </w:r>
            <w:r w:rsidR="00D0720C">
              <w:rPr>
                <w:rFonts w:ascii="Sylfaen" w:hAnsi="Sylfaen"/>
                <w:sz w:val="24"/>
                <w:szCs w:val="24"/>
              </w:rPr>
              <w:t>ռեֆերենտ</w:t>
            </w:r>
            <w:r w:rsidRPr="00834D52">
              <w:rPr>
                <w:rFonts w:ascii="Sylfaen" w:hAnsi="Sylfaen"/>
                <w:sz w:val="24"/>
                <w:szCs w:val="24"/>
              </w:rPr>
              <w:t xml:space="preserve"> պատրաստուկի օգտագործման հիմնավորումներ օրիգինալ պատրաստուկից դրա տարբերության դեպքում</w:t>
            </w:r>
          </w:p>
        </w:tc>
        <w:tc>
          <w:tcPr>
            <w:tcW w:w="4114" w:type="dxa"/>
            <w:tcBorders>
              <w:top w:val="single" w:sz="4" w:space="0" w:color="000000"/>
              <w:left w:val="single" w:sz="4" w:space="0" w:color="000000"/>
              <w:bottom w:val="single" w:sz="4" w:space="0" w:color="000000"/>
              <w:right w:val="single" w:sz="4" w:space="0" w:color="000000"/>
            </w:tcBorders>
          </w:tcPr>
          <w:p w14:paraId="37DD1CE3" w14:textId="77777777" w:rsidR="006F76EB" w:rsidRPr="00834D52" w:rsidRDefault="006F76EB" w:rsidP="00A64FAB">
            <w:pPr>
              <w:spacing w:after="120" w:line="240" w:lineRule="auto"/>
              <w:ind w:right="-6"/>
              <w:rPr>
                <w:rFonts w:ascii="Sylfaen" w:hAnsi="Sylfaen"/>
                <w:sz w:val="24"/>
                <w:szCs w:val="24"/>
              </w:rPr>
            </w:pPr>
          </w:p>
        </w:tc>
      </w:tr>
      <w:tr w:rsidR="006F76EB" w:rsidRPr="00834D52" w14:paraId="7DFE492A" w14:textId="77777777" w:rsidTr="00F71229">
        <w:trPr>
          <w:jc w:val="center"/>
        </w:trPr>
        <w:tc>
          <w:tcPr>
            <w:tcW w:w="5498" w:type="dxa"/>
            <w:tcBorders>
              <w:top w:val="single" w:sz="4" w:space="0" w:color="000000"/>
              <w:left w:val="single" w:sz="4" w:space="0" w:color="000000"/>
              <w:bottom w:val="single" w:sz="4" w:space="0" w:color="000000"/>
              <w:right w:val="single" w:sz="4" w:space="0" w:color="000000"/>
            </w:tcBorders>
          </w:tcPr>
          <w:p w14:paraId="6A7A709F" w14:textId="77777777" w:rsidR="006F76EB" w:rsidRPr="00834D52" w:rsidRDefault="00D0720C" w:rsidP="00A64FAB">
            <w:pPr>
              <w:spacing w:after="120" w:line="240" w:lineRule="auto"/>
              <w:ind w:left="186" w:right="-6"/>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դեղապատրաստուկի ընտրության վերաբերյալ Դեղամիջոցների հարցերով փորձագիտական կոմիտեի առաջարկությունների առկայությունը</w:t>
            </w:r>
          </w:p>
        </w:tc>
        <w:tc>
          <w:tcPr>
            <w:tcW w:w="4114" w:type="dxa"/>
            <w:tcBorders>
              <w:top w:val="single" w:sz="4" w:space="0" w:color="000000"/>
              <w:left w:val="single" w:sz="4" w:space="0" w:color="000000"/>
              <w:bottom w:val="single" w:sz="4" w:space="0" w:color="000000"/>
              <w:right w:val="single" w:sz="4" w:space="0" w:color="000000"/>
            </w:tcBorders>
          </w:tcPr>
          <w:p w14:paraId="763F85D6" w14:textId="77777777" w:rsidR="006F76EB" w:rsidRPr="00834D52" w:rsidRDefault="006F76EB" w:rsidP="00A64FAB">
            <w:pPr>
              <w:spacing w:after="120" w:line="240" w:lineRule="auto"/>
              <w:ind w:right="-6"/>
              <w:rPr>
                <w:rFonts w:ascii="Sylfaen" w:hAnsi="Sylfaen"/>
                <w:sz w:val="24"/>
                <w:szCs w:val="24"/>
              </w:rPr>
            </w:pPr>
          </w:p>
        </w:tc>
      </w:tr>
    </w:tbl>
    <w:p w14:paraId="1F49DC2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Ծանոթագրություն. Բաժինն անհրաժեշտ է լրացնել յուրաքանչյուր դեղապատրաստուկի համար, որն օգտագործվել է համարժեքության հետազոտություններում:</w:t>
      </w:r>
    </w:p>
    <w:p w14:paraId="6F8F7C70" w14:textId="77777777" w:rsidR="006F76EB" w:rsidRPr="00834D52" w:rsidRDefault="006F76EB" w:rsidP="006F76EB">
      <w:pPr>
        <w:spacing w:after="160" w:line="360" w:lineRule="auto"/>
        <w:rPr>
          <w:rFonts w:ascii="Sylfaen" w:hAnsi="Sylfaen"/>
          <w:sz w:val="24"/>
          <w:szCs w:val="24"/>
        </w:rPr>
      </w:pPr>
      <w:r w:rsidRPr="00834D52">
        <w:rPr>
          <w:rFonts w:ascii="Sylfaen" w:hAnsi="Sylfaen"/>
          <w:sz w:val="24"/>
          <w:szCs w:val="24"/>
        </w:rPr>
        <w:br w:type="page"/>
      </w:r>
    </w:p>
    <w:p w14:paraId="6EA5BE55" w14:textId="77777777" w:rsidR="006F76EB" w:rsidRPr="00834D52" w:rsidRDefault="00157FD9" w:rsidP="006F76EB">
      <w:pPr>
        <w:spacing w:after="160" w:line="360" w:lineRule="auto"/>
        <w:ind w:right="-6"/>
        <w:jc w:val="center"/>
        <w:rPr>
          <w:rFonts w:ascii="Sylfaen" w:eastAsia="Times New Roman" w:hAnsi="Sylfaen" w:cs="Times New Roman"/>
          <w:sz w:val="24"/>
          <w:szCs w:val="24"/>
        </w:rPr>
      </w:pPr>
      <w:r>
        <w:rPr>
          <w:rFonts w:ascii="Sylfaen" w:hAnsi="Sylfaen"/>
          <w:noProof/>
          <w:sz w:val="24"/>
          <w:szCs w:val="24"/>
        </w:rPr>
        <w:lastRenderedPageBreak/>
        <w:pict w14:anchorId="7D5B2C99">
          <v:rect id="_x0000_s1094" style="position:absolute;left:0;text-align:left;margin-left:49pt;margin-top:.75pt;width:12.75pt;height:12pt;z-index:251624960"/>
        </w:pict>
      </w:r>
      <w:r w:rsidR="006F76EB" w:rsidRPr="00834D52">
        <w:rPr>
          <w:rFonts w:ascii="Sylfaen" w:hAnsi="Sylfaen"/>
          <w:sz w:val="24"/>
          <w:szCs w:val="24"/>
        </w:rPr>
        <w:t>ԿԵՆՍԱՆՄԱՆ ԴԵՂԱՊԱՏՐԱՍՏՈՒԿ (ԿԵՆՍԱՆՄԱՆԱԿ)</w:t>
      </w:r>
    </w:p>
    <w:p w14:paraId="6783C793"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Օրիգինալ կենսաբանական դեղապատրաստուկ՝</w:t>
      </w:r>
    </w:p>
    <w:tbl>
      <w:tblPr>
        <w:tblW w:w="9903" w:type="dxa"/>
        <w:jc w:val="center"/>
        <w:tblLayout w:type="fixed"/>
        <w:tblCellMar>
          <w:left w:w="0" w:type="dxa"/>
          <w:right w:w="0" w:type="dxa"/>
        </w:tblCellMar>
        <w:tblLook w:val="01E0" w:firstRow="1" w:lastRow="1" w:firstColumn="1" w:lastColumn="1" w:noHBand="0" w:noVBand="0"/>
      </w:tblPr>
      <w:tblGrid>
        <w:gridCol w:w="5147"/>
        <w:gridCol w:w="4756"/>
      </w:tblGrid>
      <w:tr w:rsidR="006F76EB" w:rsidRPr="00834D52" w14:paraId="46A0A911" w14:textId="77777777" w:rsidTr="00A64FAB">
        <w:trPr>
          <w:jc w:val="center"/>
        </w:trPr>
        <w:tc>
          <w:tcPr>
            <w:tcW w:w="5147" w:type="dxa"/>
            <w:tcBorders>
              <w:top w:val="single" w:sz="4" w:space="0" w:color="000000"/>
              <w:left w:val="single" w:sz="4" w:space="0" w:color="000000"/>
              <w:bottom w:val="single" w:sz="4" w:space="0" w:color="000000"/>
              <w:right w:val="single" w:sz="4" w:space="0" w:color="000000"/>
            </w:tcBorders>
          </w:tcPr>
          <w:p w14:paraId="458C469E"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756" w:type="dxa"/>
            <w:tcBorders>
              <w:top w:val="single" w:sz="4" w:space="0" w:color="000000"/>
              <w:left w:val="single" w:sz="4" w:space="0" w:color="000000"/>
              <w:bottom w:val="single" w:sz="4" w:space="0" w:color="000000"/>
              <w:right w:val="single" w:sz="4" w:space="0" w:color="000000"/>
            </w:tcBorders>
          </w:tcPr>
          <w:p w14:paraId="317DEAAC" w14:textId="77777777" w:rsidR="006F76EB" w:rsidRPr="00834D52" w:rsidRDefault="006F76EB" w:rsidP="00A64FAB">
            <w:pPr>
              <w:spacing w:after="120" w:line="240" w:lineRule="auto"/>
              <w:ind w:right="-6"/>
              <w:rPr>
                <w:rFonts w:ascii="Sylfaen" w:hAnsi="Sylfaen"/>
                <w:sz w:val="24"/>
                <w:szCs w:val="24"/>
              </w:rPr>
            </w:pPr>
          </w:p>
        </w:tc>
      </w:tr>
      <w:tr w:rsidR="006F76EB" w:rsidRPr="00834D52" w14:paraId="0D5E7179" w14:textId="77777777" w:rsidTr="00A64FAB">
        <w:trPr>
          <w:jc w:val="center"/>
        </w:trPr>
        <w:tc>
          <w:tcPr>
            <w:tcW w:w="5147" w:type="dxa"/>
            <w:tcBorders>
              <w:top w:val="single" w:sz="4" w:space="0" w:color="000000"/>
              <w:left w:val="single" w:sz="4" w:space="0" w:color="000000"/>
              <w:bottom w:val="single" w:sz="4" w:space="0" w:color="000000"/>
              <w:right w:val="single" w:sz="4" w:space="0" w:color="000000"/>
            </w:tcBorders>
          </w:tcPr>
          <w:p w14:paraId="1C82D030"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756" w:type="dxa"/>
            <w:tcBorders>
              <w:top w:val="single" w:sz="4" w:space="0" w:color="000000"/>
              <w:left w:val="single" w:sz="4" w:space="0" w:color="000000"/>
              <w:bottom w:val="single" w:sz="4" w:space="0" w:color="000000"/>
              <w:right w:val="single" w:sz="4" w:space="0" w:color="000000"/>
            </w:tcBorders>
          </w:tcPr>
          <w:p w14:paraId="61798133" w14:textId="77777777" w:rsidR="006F76EB" w:rsidRPr="00834D52" w:rsidRDefault="006F76EB" w:rsidP="00A64FAB">
            <w:pPr>
              <w:spacing w:after="120" w:line="240" w:lineRule="auto"/>
              <w:ind w:right="-6"/>
              <w:rPr>
                <w:rFonts w:ascii="Sylfaen" w:hAnsi="Sylfaen"/>
                <w:sz w:val="24"/>
                <w:szCs w:val="24"/>
              </w:rPr>
            </w:pPr>
          </w:p>
        </w:tc>
      </w:tr>
    </w:tbl>
    <w:p w14:paraId="7B33F0AA" w14:textId="77777777" w:rsidR="006F76EB" w:rsidRPr="00834D52" w:rsidRDefault="00D0720C" w:rsidP="006F76EB">
      <w:pPr>
        <w:spacing w:after="160" w:line="360" w:lineRule="auto"/>
        <w:ind w:right="-8" w:firstLine="567"/>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կենսաբանական դեղապատրաստուկ՝</w:t>
      </w:r>
    </w:p>
    <w:tbl>
      <w:tblPr>
        <w:tblW w:w="9762" w:type="dxa"/>
        <w:jc w:val="center"/>
        <w:tblLayout w:type="fixed"/>
        <w:tblCellMar>
          <w:left w:w="0" w:type="dxa"/>
          <w:right w:w="0" w:type="dxa"/>
        </w:tblCellMar>
        <w:tblLook w:val="01E0" w:firstRow="1" w:lastRow="1" w:firstColumn="1" w:lastColumn="1" w:noHBand="0" w:noVBand="0"/>
      </w:tblPr>
      <w:tblGrid>
        <w:gridCol w:w="5147"/>
        <w:gridCol w:w="4615"/>
      </w:tblGrid>
      <w:tr w:rsidR="006F76EB" w:rsidRPr="00834D52" w14:paraId="0F37E64C" w14:textId="77777777" w:rsidTr="00A64FAB">
        <w:trPr>
          <w:jc w:val="center"/>
        </w:trPr>
        <w:tc>
          <w:tcPr>
            <w:tcW w:w="5147" w:type="dxa"/>
            <w:tcBorders>
              <w:top w:val="single" w:sz="4" w:space="0" w:color="000000"/>
              <w:left w:val="single" w:sz="4" w:space="0" w:color="000000"/>
              <w:bottom w:val="single" w:sz="4" w:space="0" w:color="000000"/>
              <w:right w:val="single" w:sz="4" w:space="0" w:color="000000"/>
            </w:tcBorders>
          </w:tcPr>
          <w:p w14:paraId="12A4B56D"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615" w:type="dxa"/>
            <w:tcBorders>
              <w:top w:val="single" w:sz="4" w:space="0" w:color="000000"/>
              <w:left w:val="single" w:sz="4" w:space="0" w:color="000000"/>
              <w:bottom w:val="single" w:sz="4" w:space="0" w:color="000000"/>
              <w:right w:val="single" w:sz="4" w:space="0" w:color="000000"/>
            </w:tcBorders>
          </w:tcPr>
          <w:p w14:paraId="53D0E040" w14:textId="77777777" w:rsidR="006F76EB" w:rsidRPr="00834D52" w:rsidRDefault="006F76EB" w:rsidP="00A64FAB">
            <w:pPr>
              <w:spacing w:after="120" w:line="240" w:lineRule="auto"/>
              <w:ind w:right="-6"/>
              <w:rPr>
                <w:rFonts w:ascii="Sylfaen" w:hAnsi="Sylfaen"/>
                <w:sz w:val="24"/>
                <w:szCs w:val="24"/>
              </w:rPr>
            </w:pPr>
          </w:p>
        </w:tc>
      </w:tr>
      <w:tr w:rsidR="006F76EB" w:rsidRPr="00834D52" w14:paraId="4CEFF26F" w14:textId="77777777" w:rsidTr="00A64FAB">
        <w:trPr>
          <w:jc w:val="center"/>
        </w:trPr>
        <w:tc>
          <w:tcPr>
            <w:tcW w:w="5147" w:type="dxa"/>
            <w:tcBorders>
              <w:top w:val="single" w:sz="4" w:space="0" w:color="000000"/>
              <w:left w:val="single" w:sz="4" w:space="0" w:color="000000"/>
              <w:bottom w:val="single" w:sz="4" w:space="0" w:color="000000"/>
              <w:right w:val="single" w:sz="4" w:space="0" w:color="000000"/>
            </w:tcBorders>
          </w:tcPr>
          <w:p w14:paraId="6E8AAC6D" w14:textId="77777777" w:rsidR="006F76EB" w:rsidRPr="00834D52" w:rsidRDefault="006F76EB" w:rsidP="00A64FAB">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գրանցման ամսաթիվը, գրանցման հավաստագրի համարը, Միության այն անդամ պետությունները, որտեղ գրանցված է </w:t>
            </w:r>
            <w:r w:rsidR="00D0720C">
              <w:rPr>
                <w:rFonts w:ascii="Sylfaen" w:hAnsi="Sylfaen"/>
                <w:sz w:val="24"/>
                <w:szCs w:val="24"/>
              </w:rPr>
              <w:t>ռեֆերենտ</w:t>
            </w:r>
            <w:r w:rsidRPr="00834D52">
              <w:rPr>
                <w:rFonts w:ascii="Sylfaen" w:hAnsi="Sylfaen"/>
                <w:sz w:val="24"/>
                <w:szCs w:val="24"/>
              </w:rPr>
              <w:t xml:space="preserve"> դեղապատրաստուկը </w:t>
            </w:r>
          </w:p>
        </w:tc>
        <w:tc>
          <w:tcPr>
            <w:tcW w:w="4615" w:type="dxa"/>
            <w:tcBorders>
              <w:top w:val="single" w:sz="4" w:space="0" w:color="000000"/>
              <w:left w:val="single" w:sz="4" w:space="0" w:color="000000"/>
              <w:bottom w:val="single" w:sz="4" w:space="0" w:color="000000"/>
              <w:right w:val="single" w:sz="4" w:space="0" w:color="000000"/>
            </w:tcBorders>
          </w:tcPr>
          <w:p w14:paraId="5905C1FD" w14:textId="77777777" w:rsidR="006F76EB" w:rsidRPr="00834D52" w:rsidRDefault="006F76EB" w:rsidP="00A64FAB">
            <w:pPr>
              <w:spacing w:after="120" w:line="240" w:lineRule="auto"/>
              <w:ind w:right="-6"/>
              <w:rPr>
                <w:rFonts w:ascii="Sylfaen" w:hAnsi="Sylfaen"/>
                <w:sz w:val="24"/>
                <w:szCs w:val="24"/>
              </w:rPr>
            </w:pPr>
          </w:p>
        </w:tc>
      </w:tr>
      <w:tr w:rsidR="006F76EB" w:rsidRPr="00834D52" w14:paraId="070C8F35" w14:textId="77777777" w:rsidTr="00A64FAB">
        <w:trPr>
          <w:jc w:val="center"/>
        </w:trPr>
        <w:tc>
          <w:tcPr>
            <w:tcW w:w="5147" w:type="dxa"/>
            <w:tcBorders>
              <w:top w:val="single" w:sz="4" w:space="0" w:color="000000"/>
              <w:left w:val="single" w:sz="4" w:space="0" w:color="000000"/>
              <w:bottom w:val="single" w:sz="4" w:space="0" w:color="000000"/>
              <w:right w:val="single" w:sz="4" w:space="0" w:color="000000"/>
            </w:tcBorders>
          </w:tcPr>
          <w:p w14:paraId="2C3458E7" w14:textId="77777777" w:rsidR="006F76EB" w:rsidRPr="00834D52" w:rsidRDefault="00D0720C" w:rsidP="00A64FAB">
            <w:pPr>
              <w:spacing w:after="120" w:line="240" w:lineRule="auto"/>
              <w:ind w:left="186" w:right="-6"/>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դեղապատրաստուկի ընտրության հարցի վերաբերյալ Դեղամիջոցների հարցերով փորձագիտական կոմիտեի առաջարկությունների առկայությունը</w:t>
            </w:r>
          </w:p>
        </w:tc>
        <w:tc>
          <w:tcPr>
            <w:tcW w:w="4615" w:type="dxa"/>
            <w:tcBorders>
              <w:top w:val="single" w:sz="4" w:space="0" w:color="000000"/>
              <w:left w:val="single" w:sz="4" w:space="0" w:color="000000"/>
              <w:bottom w:val="single" w:sz="4" w:space="0" w:color="000000"/>
              <w:right w:val="single" w:sz="4" w:space="0" w:color="000000"/>
            </w:tcBorders>
          </w:tcPr>
          <w:p w14:paraId="6F4361D1" w14:textId="77777777" w:rsidR="006F76EB" w:rsidRPr="00834D52" w:rsidRDefault="006F76EB" w:rsidP="00A64FAB">
            <w:pPr>
              <w:spacing w:after="120" w:line="240" w:lineRule="auto"/>
              <w:ind w:right="-6"/>
              <w:rPr>
                <w:rFonts w:ascii="Sylfaen" w:hAnsi="Sylfaen"/>
                <w:sz w:val="24"/>
                <w:szCs w:val="24"/>
              </w:rPr>
            </w:pPr>
          </w:p>
        </w:tc>
      </w:tr>
      <w:tr w:rsidR="006F76EB" w:rsidRPr="00834D52" w14:paraId="50BD1F72" w14:textId="77777777" w:rsidTr="00A64FAB">
        <w:trPr>
          <w:trHeight w:val="693"/>
          <w:jc w:val="center"/>
        </w:trPr>
        <w:tc>
          <w:tcPr>
            <w:tcW w:w="5147" w:type="dxa"/>
            <w:vMerge w:val="restart"/>
            <w:tcBorders>
              <w:top w:val="single" w:sz="4" w:space="0" w:color="000000"/>
              <w:left w:val="single" w:sz="4" w:space="0" w:color="000000"/>
              <w:right w:val="single" w:sz="4" w:space="0" w:color="000000"/>
            </w:tcBorders>
          </w:tcPr>
          <w:p w14:paraId="07DE9689" w14:textId="77777777" w:rsidR="006F76EB" w:rsidRPr="00834D52" w:rsidRDefault="00D0720C" w:rsidP="00A64FAB">
            <w:pPr>
              <w:spacing w:after="120" w:line="240" w:lineRule="auto"/>
              <w:ind w:left="186" w:right="-6"/>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կենսաբանական դեղապատրաստուկի համեմատությամբ տարբերությունները (առկայության դեպքում)՝</w:t>
            </w:r>
          </w:p>
        </w:tc>
        <w:tc>
          <w:tcPr>
            <w:tcW w:w="4615" w:type="dxa"/>
            <w:tcBorders>
              <w:top w:val="single" w:sz="4" w:space="0" w:color="000000"/>
              <w:left w:val="single" w:sz="4" w:space="0" w:color="000000"/>
              <w:bottom w:val="single" w:sz="4" w:space="0" w:color="000000"/>
              <w:right w:val="single" w:sz="4" w:space="0" w:color="000000"/>
            </w:tcBorders>
          </w:tcPr>
          <w:p w14:paraId="0141B4AE"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2DCAD5A1">
                <v:rect id="_x0000_s1095" style="position:absolute;left:0;text-align:left;margin-left:2.7pt;margin-top:4.95pt;width:12.75pt;height:12pt;z-index:251625984;mso-position-horizontal-relative:text;mso-position-vertical-relative:text"/>
              </w:pict>
            </w:r>
            <w:r w:rsidR="006F76EB" w:rsidRPr="00834D52">
              <w:rPr>
                <w:rFonts w:ascii="Sylfaen" w:hAnsi="Sylfaen"/>
                <w:sz w:val="24"/>
                <w:szCs w:val="24"/>
              </w:rPr>
              <w:t>ելանյութերի տարբերությունները</w:t>
            </w:r>
          </w:p>
        </w:tc>
      </w:tr>
      <w:tr w:rsidR="006F76EB" w:rsidRPr="00834D52" w14:paraId="35495ED7" w14:textId="77777777" w:rsidTr="00A64FAB">
        <w:trPr>
          <w:jc w:val="center"/>
        </w:trPr>
        <w:tc>
          <w:tcPr>
            <w:tcW w:w="5147" w:type="dxa"/>
            <w:vMerge/>
            <w:tcBorders>
              <w:left w:val="single" w:sz="4" w:space="0" w:color="000000"/>
              <w:right w:val="single" w:sz="4" w:space="0" w:color="000000"/>
            </w:tcBorders>
          </w:tcPr>
          <w:p w14:paraId="026C4703"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0EED00EE"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597258A1">
                <v:rect id="_x0000_s1096" style="position:absolute;left:0;text-align:left;margin-left:2.7pt;margin-top:6.35pt;width:12.75pt;height:12pt;z-index:251627008;mso-position-horizontal-relative:text;mso-position-vertical-relative:text"/>
              </w:pict>
            </w:r>
            <w:r w:rsidR="006F76EB" w:rsidRPr="00834D52">
              <w:rPr>
                <w:rFonts w:ascii="Sylfaen" w:hAnsi="Sylfaen"/>
                <w:sz w:val="24"/>
                <w:szCs w:val="24"/>
              </w:rPr>
              <w:t>արտադրական գործընթացի տարբերությունները</w:t>
            </w:r>
          </w:p>
        </w:tc>
      </w:tr>
      <w:tr w:rsidR="006F76EB" w:rsidRPr="00834D52" w14:paraId="44D45028" w14:textId="77777777" w:rsidTr="00A64FAB">
        <w:trPr>
          <w:jc w:val="center"/>
        </w:trPr>
        <w:tc>
          <w:tcPr>
            <w:tcW w:w="5147" w:type="dxa"/>
            <w:vMerge/>
            <w:tcBorders>
              <w:left w:val="single" w:sz="4" w:space="0" w:color="000000"/>
              <w:right w:val="single" w:sz="4" w:space="0" w:color="000000"/>
            </w:tcBorders>
          </w:tcPr>
          <w:p w14:paraId="5AC8274F"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4B98ED4C"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12BEFBD9">
                <v:rect id="_x0000_s1097" style="position:absolute;left:0;text-align:left;margin-left:1.95pt;margin-top:7pt;width:12.75pt;height:12pt;z-index:251628032;mso-position-horizontal-relative:text;mso-position-vertical-relative:text"/>
              </w:pict>
            </w:r>
            <w:r w:rsidR="006F76EB" w:rsidRPr="00834D52">
              <w:rPr>
                <w:rFonts w:ascii="Sylfaen" w:hAnsi="Sylfaen"/>
                <w:sz w:val="24"/>
                <w:szCs w:val="24"/>
              </w:rPr>
              <w:t>կիրառման այլ ցուցումներ</w:t>
            </w:r>
          </w:p>
        </w:tc>
      </w:tr>
      <w:tr w:rsidR="006F76EB" w:rsidRPr="00834D52" w14:paraId="219B72D1" w14:textId="77777777" w:rsidTr="00A64FAB">
        <w:trPr>
          <w:jc w:val="center"/>
        </w:trPr>
        <w:tc>
          <w:tcPr>
            <w:tcW w:w="5147" w:type="dxa"/>
            <w:vMerge/>
            <w:tcBorders>
              <w:left w:val="single" w:sz="4" w:space="0" w:color="000000"/>
              <w:right w:val="single" w:sz="4" w:space="0" w:color="000000"/>
            </w:tcBorders>
          </w:tcPr>
          <w:p w14:paraId="2013D651"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411955A"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43D061C3">
                <v:rect id="_x0000_s1098" style="position:absolute;left:0;text-align:left;margin-left:2.7pt;margin-top:4.65pt;width:12.75pt;height:12pt;z-index:251629056;mso-position-horizontal-relative:text;mso-position-vertical-relative:text"/>
              </w:pict>
            </w:r>
            <w:r w:rsidR="006F76EB" w:rsidRPr="00834D52">
              <w:rPr>
                <w:rFonts w:ascii="Sylfaen" w:hAnsi="Sylfaen"/>
                <w:sz w:val="24"/>
                <w:szCs w:val="24"/>
              </w:rPr>
              <w:t>դեղաձ</w:t>
            </w:r>
            <w:r w:rsidR="00C54D75">
              <w:rPr>
                <w:rFonts w:ascii="Sylfaen" w:hAnsi="Sylfaen"/>
                <w:sz w:val="24"/>
                <w:szCs w:val="24"/>
              </w:rPr>
              <w:t>և</w:t>
            </w:r>
            <w:r w:rsidR="006F76EB" w:rsidRPr="00834D52">
              <w:rPr>
                <w:rFonts w:ascii="Sylfaen" w:hAnsi="Sylfaen"/>
                <w:sz w:val="24"/>
                <w:szCs w:val="24"/>
              </w:rPr>
              <w:t>ի տարբերությունները</w:t>
            </w:r>
          </w:p>
        </w:tc>
      </w:tr>
      <w:tr w:rsidR="006F76EB" w:rsidRPr="00834D52" w14:paraId="15BCDC81" w14:textId="77777777" w:rsidTr="00A64FAB">
        <w:trPr>
          <w:jc w:val="center"/>
        </w:trPr>
        <w:tc>
          <w:tcPr>
            <w:tcW w:w="5147" w:type="dxa"/>
            <w:vMerge/>
            <w:tcBorders>
              <w:left w:val="single" w:sz="4" w:space="0" w:color="000000"/>
              <w:right w:val="single" w:sz="4" w:space="0" w:color="000000"/>
            </w:tcBorders>
          </w:tcPr>
          <w:p w14:paraId="63907C96"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9087D54"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2C435CF1">
                <v:rect id="_x0000_s1099" style="position:absolute;left:0;text-align:left;margin-left:2.7pt;margin-top:6.8pt;width:12.75pt;height:12pt;z-index:251630080;mso-position-horizontal-relative:text;mso-position-vertical-relative:text"/>
              </w:pict>
            </w:r>
            <w:r w:rsidR="006F76EB" w:rsidRPr="00834D52">
              <w:rPr>
                <w:rFonts w:ascii="Sylfaen" w:hAnsi="Sylfaen"/>
                <w:sz w:val="24"/>
                <w:szCs w:val="24"/>
              </w:rPr>
              <w:t>այլ դոզավորումներ (ԱԴԲ-ի քանակական փոփոխություններ)</w:t>
            </w:r>
          </w:p>
        </w:tc>
      </w:tr>
      <w:tr w:rsidR="006F76EB" w:rsidRPr="00834D52" w14:paraId="4132BAE5" w14:textId="77777777" w:rsidTr="00A64FAB">
        <w:trPr>
          <w:jc w:val="center"/>
        </w:trPr>
        <w:tc>
          <w:tcPr>
            <w:tcW w:w="5147" w:type="dxa"/>
            <w:vMerge/>
            <w:tcBorders>
              <w:left w:val="single" w:sz="4" w:space="0" w:color="000000"/>
              <w:right w:val="single" w:sz="4" w:space="0" w:color="000000"/>
            </w:tcBorders>
          </w:tcPr>
          <w:p w14:paraId="0964044D"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D05C3BB" w14:textId="77777777" w:rsidR="006F76EB" w:rsidRPr="00834D52" w:rsidRDefault="00157FD9" w:rsidP="00A64FAB">
            <w:pPr>
              <w:spacing w:after="120" w:line="240" w:lineRule="auto"/>
              <w:ind w:left="642" w:right="-6"/>
              <w:rPr>
                <w:rFonts w:ascii="Sylfaen" w:hAnsi="Sylfaen"/>
                <w:sz w:val="24"/>
                <w:szCs w:val="24"/>
              </w:rPr>
            </w:pPr>
            <w:r>
              <w:rPr>
                <w:rFonts w:ascii="Sylfaen" w:eastAsia="Times New Roman" w:hAnsi="Sylfaen" w:cs="Times New Roman"/>
                <w:noProof/>
                <w:sz w:val="24"/>
                <w:szCs w:val="24"/>
              </w:rPr>
              <w:pict w14:anchorId="2F5160FE">
                <v:rect id="_x0000_s1100" style="position:absolute;left:0;text-align:left;margin-left:2.7pt;margin-top:4.8pt;width:12.75pt;height:12pt;z-index:251631104;mso-position-horizontal-relative:text;mso-position-vertical-relative:text"/>
              </w:pict>
            </w:r>
            <w:r w:rsidR="006F76EB" w:rsidRPr="00834D52">
              <w:rPr>
                <w:rFonts w:ascii="Sylfaen" w:hAnsi="Sylfaen"/>
                <w:sz w:val="24"/>
                <w:szCs w:val="24"/>
              </w:rPr>
              <w:t>ներմուծման այլ եղանակ</w:t>
            </w:r>
          </w:p>
        </w:tc>
      </w:tr>
      <w:tr w:rsidR="006F76EB" w:rsidRPr="00834D52" w14:paraId="7A9375A3" w14:textId="77777777" w:rsidTr="00A64FAB">
        <w:trPr>
          <w:jc w:val="center"/>
        </w:trPr>
        <w:tc>
          <w:tcPr>
            <w:tcW w:w="5147" w:type="dxa"/>
            <w:vMerge/>
            <w:tcBorders>
              <w:left w:val="single" w:sz="4" w:space="0" w:color="000000"/>
              <w:bottom w:val="single" w:sz="4" w:space="0" w:color="000000"/>
              <w:right w:val="single" w:sz="4" w:space="0" w:color="000000"/>
            </w:tcBorders>
          </w:tcPr>
          <w:p w14:paraId="5238B47D" w14:textId="77777777" w:rsidR="006F76EB" w:rsidRPr="00834D52" w:rsidRDefault="006F76EB" w:rsidP="00A64FAB">
            <w:pPr>
              <w:spacing w:after="120" w:line="240" w:lineRule="auto"/>
              <w:ind w:right="-6"/>
              <w:rPr>
                <w:rFonts w:ascii="Sylfaen" w:eastAsia="Times New Roman" w:hAnsi="Sylfaen" w:cs="Times New Roman"/>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6470FC52" w14:textId="77777777" w:rsidR="006F76EB" w:rsidRPr="00834D52" w:rsidRDefault="00157FD9" w:rsidP="00A64FAB">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6002C923">
                <v:rect id="_x0000_s1101" style="position:absolute;left:0;text-align:left;margin-left:2.7pt;margin-top:6.2pt;width:12.75pt;height:12pt;z-index:251632128;mso-position-horizontal-relative:text;mso-position-vertical-relative:text"/>
              </w:pict>
            </w:r>
            <w:r w:rsidR="006F76EB" w:rsidRPr="00834D52">
              <w:rPr>
                <w:rFonts w:ascii="Sylfaen" w:hAnsi="Sylfaen"/>
                <w:sz w:val="24"/>
                <w:szCs w:val="24"/>
              </w:rPr>
              <w:t>այլ տարբերություններ՝</w:t>
            </w:r>
          </w:p>
          <w:p w14:paraId="5D8CB89E" w14:textId="77777777" w:rsidR="006F76EB" w:rsidRPr="00834D52" w:rsidRDefault="006F76EB" w:rsidP="00A64FAB">
            <w:pPr>
              <w:spacing w:after="120" w:line="240" w:lineRule="auto"/>
              <w:ind w:left="75" w:right="-6"/>
              <w:rPr>
                <w:rFonts w:ascii="Sylfaen" w:hAnsi="Sylfaen"/>
                <w:sz w:val="24"/>
                <w:szCs w:val="24"/>
                <w:lang w:val="en-US"/>
              </w:rPr>
            </w:pPr>
            <w:r w:rsidRPr="00834D52">
              <w:rPr>
                <w:rFonts w:ascii="Sylfaen" w:hAnsi="Sylfaen"/>
                <w:sz w:val="24"/>
                <w:szCs w:val="24"/>
              </w:rPr>
              <w:t>____</w:t>
            </w:r>
            <w:r w:rsidR="00A00382">
              <w:rPr>
                <w:rFonts w:ascii="Sylfaen" w:hAnsi="Sylfaen"/>
                <w:sz w:val="24"/>
                <w:szCs w:val="24"/>
              </w:rPr>
              <w:t>________________________</w:t>
            </w:r>
            <w:r w:rsidRPr="00834D52">
              <w:rPr>
                <w:rFonts w:ascii="Sylfaen" w:hAnsi="Sylfaen"/>
                <w:sz w:val="24"/>
                <w:szCs w:val="24"/>
              </w:rPr>
              <w:t>_________</w:t>
            </w:r>
          </w:p>
        </w:tc>
      </w:tr>
    </w:tbl>
    <w:p w14:paraId="0614F22B"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lastRenderedPageBreak/>
        <w:pict w14:anchorId="65EB2DE3">
          <v:rect id="_x0000_s1102" style="position:absolute;left:0;text-align:left;margin-left:106.75pt;margin-top:1.5pt;width:12.75pt;height:12pt;z-index:251633152;mso-position-horizontal-relative:text;mso-position-vertical-relative:text"/>
        </w:pict>
      </w:r>
      <w:r w:rsidR="006F76EB" w:rsidRPr="00834D52">
        <w:rPr>
          <w:rFonts w:ascii="Sylfaen" w:hAnsi="Sylfaen"/>
          <w:sz w:val="24"/>
          <w:szCs w:val="24"/>
        </w:rPr>
        <w:t>ՀԻԲՐԻԴԱՅԻՆ ԴԵՂԱՊԱՏՐԱՍՏՈՒԿ</w:t>
      </w:r>
    </w:p>
    <w:tbl>
      <w:tblPr>
        <w:tblW w:w="9870" w:type="dxa"/>
        <w:jc w:val="center"/>
        <w:tblLayout w:type="fixed"/>
        <w:tblCellMar>
          <w:left w:w="0" w:type="dxa"/>
          <w:right w:w="0" w:type="dxa"/>
        </w:tblCellMar>
        <w:tblLook w:val="01E0" w:firstRow="1" w:lastRow="1" w:firstColumn="1" w:lastColumn="1" w:noHBand="0" w:noVBand="0"/>
      </w:tblPr>
      <w:tblGrid>
        <w:gridCol w:w="5196"/>
        <w:gridCol w:w="4674"/>
      </w:tblGrid>
      <w:tr w:rsidR="006F76EB" w:rsidRPr="00834D52" w14:paraId="12E14C4B" w14:textId="77777777" w:rsidTr="006760AA">
        <w:trPr>
          <w:trHeight w:val="490"/>
          <w:jc w:val="center"/>
        </w:trPr>
        <w:tc>
          <w:tcPr>
            <w:tcW w:w="9869" w:type="dxa"/>
            <w:gridSpan w:val="2"/>
            <w:tcBorders>
              <w:top w:val="single" w:sz="4" w:space="0" w:color="000000"/>
              <w:left w:val="single" w:sz="4" w:space="0" w:color="000000"/>
              <w:bottom w:val="single" w:sz="4" w:space="0" w:color="000000"/>
              <w:right w:val="single" w:sz="4" w:space="0" w:color="000000"/>
            </w:tcBorders>
          </w:tcPr>
          <w:p w14:paraId="6C9B0A26" w14:textId="77777777" w:rsidR="006F76EB" w:rsidRPr="00834D52" w:rsidRDefault="006F76EB" w:rsidP="00A00382">
            <w:pPr>
              <w:spacing w:after="120" w:line="240" w:lineRule="auto"/>
              <w:ind w:left="186" w:right="-6"/>
              <w:rPr>
                <w:rFonts w:ascii="Sylfaen" w:hAnsi="Sylfaen"/>
                <w:sz w:val="24"/>
                <w:szCs w:val="24"/>
              </w:rPr>
            </w:pPr>
            <w:r w:rsidRPr="00834D52">
              <w:rPr>
                <w:rFonts w:ascii="Sylfaen" w:hAnsi="Sylfaen"/>
                <w:sz w:val="24"/>
                <w:szCs w:val="24"/>
              </w:rPr>
              <w:t>Օրիգինալ դեղապատրաստուկ՝</w:t>
            </w:r>
          </w:p>
        </w:tc>
      </w:tr>
      <w:tr w:rsidR="006F76EB" w:rsidRPr="00834D52" w14:paraId="40272AC1" w14:textId="77777777" w:rsidTr="006760AA">
        <w:trPr>
          <w:trHeight w:val="841"/>
          <w:jc w:val="center"/>
        </w:trPr>
        <w:tc>
          <w:tcPr>
            <w:tcW w:w="5196" w:type="dxa"/>
            <w:tcBorders>
              <w:top w:val="single" w:sz="4" w:space="0" w:color="000000"/>
              <w:left w:val="single" w:sz="4" w:space="0" w:color="000000"/>
              <w:bottom w:val="single" w:sz="4" w:space="0" w:color="000000"/>
              <w:right w:val="single" w:sz="4" w:space="0" w:color="000000"/>
            </w:tcBorders>
          </w:tcPr>
          <w:p w14:paraId="68388FB8" w14:textId="77777777" w:rsidR="006F76EB" w:rsidRPr="00834D52" w:rsidRDefault="006F76EB" w:rsidP="00A00382">
            <w:pPr>
              <w:spacing w:after="120" w:line="240" w:lineRule="auto"/>
              <w:ind w:left="186" w:right="-6"/>
              <w:rPr>
                <w:rFonts w:ascii="Sylfaen" w:hAnsi="Sylfae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674" w:type="dxa"/>
            <w:tcBorders>
              <w:top w:val="single" w:sz="4" w:space="0" w:color="000000"/>
              <w:left w:val="single" w:sz="4" w:space="0" w:color="000000"/>
              <w:bottom w:val="single" w:sz="4" w:space="0" w:color="000000"/>
              <w:right w:val="single" w:sz="4" w:space="0" w:color="000000"/>
            </w:tcBorders>
          </w:tcPr>
          <w:p w14:paraId="5CEE61B4" w14:textId="77777777" w:rsidR="006F76EB" w:rsidRPr="00834D52" w:rsidRDefault="006F76EB" w:rsidP="00A00382">
            <w:pPr>
              <w:spacing w:after="120" w:line="240" w:lineRule="auto"/>
              <w:ind w:right="-6"/>
              <w:rPr>
                <w:rFonts w:ascii="Sylfaen" w:hAnsi="Sylfaen"/>
                <w:sz w:val="24"/>
                <w:szCs w:val="24"/>
              </w:rPr>
            </w:pPr>
          </w:p>
        </w:tc>
      </w:tr>
      <w:tr w:rsidR="006F76EB" w:rsidRPr="00834D52" w14:paraId="4FC68C88" w14:textId="77777777" w:rsidTr="006760AA">
        <w:trPr>
          <w:trHeight w:val="1834"/>
          <w:jc w:val="center"/>
        </w:trPr>
        <w:tc>
          <w:tcPr>
            <w:tcW w:w="5196" w:type="dxa"/>
            <w:tcBorders>
              <w:top w:val="single" w:sz="4" w:space="0" w:color="000000"/>
              <w:left w:val="single" w:sz="4" w:space="0" w:color="000000"/>
              <w:bottom w:val="single" w:sz="4" w:space="0" w:color="auto"/>
              <w:right w:val="single" w:sz="4" w:space="0" w:color="000000"/>
            </w:tcBorders>
          </w:tcPr>
          <w:p w14:paraId="39A00B53" w14:textId="77777777" w:rsidR="006F76EB" w:rsidRPr="00834D52" w:rsidRDefault="006F76EB" w:rsidP="00A00382">
            <w:pPr>
              <w:spacing w:after="120" w:line="240" w:lineRule="auto"/>
              <w:ind w:left="186" w:right="-6"/>
              <w:rPr>
                <w:rFonts w:ascii="Sylfaen" w:hAnsi="Sylfaen"/>
                <w:sz w:val="24"/>
                <w:szCs w:val="24"/>
              </w:rPr>
            </w:pPr>
            <w:r w:rsidRPr="00834D52">
              <w:rPr>
                <w:rFonts w:ascii="Sylfaen" w:hAnsi="Sylfaen"/>
                <w:sz w:val="24"/>
                <w:szCs w:val="24"/>
              </w:rPr>
              <w:t>գրանցման հավաստագրի իրավատերը, գրանցման ամսաթիվը, գրանցման հավաստագրի համարը, Միության այն անդամ պետությունները, որտեղ գրանցված է օրիգինալ դեղապատրաստուկը</w:t>
            </w:r>
          </w:p>
        </w:tc>
        <w:tc>
          <w:tcPr>
            <w:tcW w:w="4674" w:type="dxa"/>
            <w:tcBorders>
              <w:top w:val="single" w:sz="4" w:space="0" w:color="000000"/>
              <w:left w:val="single" w:sz="4" w:space="0" w:color="000000"/>
              <w:bottom w:val="single" w:sz="4" w:space="0" w:color="auto"/>
              <w:right w:val="single" w:sz="4" w:space="0" w:color="000000"/>
            </w:tcBorders>
          </w:tcPr>
          <w:p w14:paraId="4BDF477E" w14:textId="77777777" w:rsidR="006F76EB" w:rsidRPr="00834D52" w:rsidRDefault="006F76EB" w:rsidP="00A00382">
            <w:pPr>
              <w:spacing w:after="120" w:line="240" w:lineRule="auto"/>
              <w:ind w:right="-6"/>
              <w:rPr>
                <w:rFonts w:ascii="Sylfaen" w:hAnsi="Sylfaen"/>
                <w:sz w:val="24"/>
                <w:szCs w:val="24"/>
              </w:rPr>
            </w:pPr>
          </w:p>
        </w:tc>
      </w:tr>
      <w:tr w:rsidR="006F76EB" w:rsidRPr="00834D52" w14:paraId="522C44AF" w14:textId="77777777" w:rsidTr="006760AA">
        <w:trPr>
          <w:trHeight w:val="846"/>
          <w:jc w:val="center"/>
        </w:trPr>
        <w:tc>
          <w:tcPr>
            <w:tcW w:w="5196" w:type="dxa"/>
            <w:vMerge w:val="restart"/>
            <w:tcBorders>
              <w:top w:val="single" w:sz="4" w:space="0" w:color="auto"/>
              <w:left w:val="single" w:sz="4" w:space="0" w:color="auto"/>
              <w:bottom w:val="single" w:sz="4" w:space="0" w:color="auto"/>
              <w:right w:val="single" w:sz="4" w:space="0" w:color="auto"/>
            </w:tcBorders>
          </w:tcPr>
          <w:p w14:paraId="0F0A1C7E" w14:textId="77777777" w:rsidR="006F76EB" w:rsidRPr="00834D52" w:rsidRDefault="006F76EB" w:rsidP="00A00382">
            <w:pPr>
              <w:spacing w:after="120" w:line="240" w:lineRule="auto"/>
              <w:ind w:left="186" w:right="-6"/>
              <w:rPr>
                <w:rFonts w:ascii="Sylfaen" w:hAnsi="Sylfaen"/>
                <w:sz w:val="24"/>
                <w:szCs w:val="24"/>
              </w:rPr>
            </w:pPr>
            <w:r w:rsidRPr="00834D52">
              <w:rPr>
                <w:rFonts w:ascii="Sylfaen" w:hAnsi="Sylfaen"/>
                <w:sz w:val="24"/>
                <w:szCs w:val="24"/>
              </w:rPr>
              <w:t>Օրիգինալ դեղապատրաստուկի համեմատությամբ տարբերությունները՝</w:t>
            </w:r>
          </w:p>
        </w:tc>
        <w:tc>
          <w:tcPr>
            <w:tcW w:w="4674" w:type="dxa"/>
            <w:tcBorders>
              <w:top w:val="single" w:sz="4" w:space="0" w:color="auto"/>
              <w:left w:val="single" w:sz="4" w:space="0" w:color="auto"/>
              <w:bottom w:val="single" w:sz="4" w:space="0" w:color="auto"/>
              <w:right w:val="single" w:sz="4" w:space="0" w:color="auto"/>
            </w:tcBorders>
          </w:tcPr>
          <w:p w14:paraId="11F3D482"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0A4C4611">
                <v:rect id="_x0000_s1103" style="position:absolute;left:0;text-align:left;margin-left:6.45pt;margin-top:7.25pt;width:12.75pt;height:12pt;z-index:251634176;mso-position-horizontal-relative:text;mso-position-vertical-relative:text"/>
              </w:pict>
            </w:r>
            <w:r w:rsidR="006F76EB" w:rsidRPr="00834D52">
              <w:rPr>
                <w:rFonts w:ascii="Sylfaen" w:hAnsi="Sylfaen"/>
                <w:sz w:val="24"/>
                <w:szCs w:val="24"/>
              </w:rPr>
              <w:t>ակտիվ դեղաբանական բաղադրամասի փոփոխություններ</w:t>
            </w:r>
          </w:p>
        </w:tc>
      </w:tr>
      <w:tr w:rsidR="006F76EB" w:rsidRPr="00834D52" w14:paraId="4A8E09C8" w14:textId="77777777" w:rsidTr="00A00382">
        <w:trPr>
          <w:trHeight w:val="155"/>
          <w:jc w:val="center"/>
        </w:trPr>
        <w:tc>
          <w:tcPr>
            <w:tcW w:w="5196" w:type="dxa"/>
            <w:vMerge/>
            <w:tcBorders>
              <w:top w:val="single" w:sz="4" w:space="0" w:color="auto"/>
              <w:left w:val="single" w:sz="4" w:space="0" w:color="000000"/>
              <w:right w:val="single" w:sz="4" w:space="0" w:color="000000"/>
            </w:tcBorders>
          </w:tcPr>
          <w:p w14:paraId="0753D607"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auto"/>
              <w:left w:val="single" w:sz="4" w:space="0" w:color="000000"/>
              <w:bottom w:val="single" w:sz="4" w:space="0" w:color="000000"/>
              <w:right w:val="single" w:sz="4" w:space="0" w:color="000000"/>
            </w:tcBorders>
          </w:tcPr>
          <w:p w14:paraId="364685F6"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2B28C388">
                <v:rect id="_x0000_s1104" style="position:absolute;left:0;text-align:left;margin-left:6.45pt;margin-top:5.3pt;width:12.75pt;height:12pt;z-index:251635200;mso-position-horizontal-relative:text;mso-position-vertical-relative:text"/>
              </w:pict>
            </w:r>
            <w:r w:rsidR="006F76EB" w:rsidRPr="00834D52">
              <w:rPr>
                <w:rFonts w:ascii="Sylfaen" w:hAnsi="Sylfaen"/>
                <w:sz w:val="24"/>
                <w:szCs w:val="24"/>
              </w:rPr>
              <w:t>այլ դեղաձ</w:t>
            </w:r>
            <w:r w:rsidR="00C54D75">
              <w:rPr>
                <w:rFonts w:ascii="Sylfaen" w:hAnsi="Sylfaen"/>
                <w:sz w:val="24"/>
                <w:szCs w:val="24"/>
              </w:rPr>
              <w:t>և</w:t>
            </w:r>
          </w:p>
        </w:tc>
      </w:tr>
      <w:tr w:rsidR="006F76EB" w:rsidRPr="00834D52" w14:paraId="464E60E5" w14:textId="77777777" w:rsidTr="00A00382">
        <w:trPr>
          <w:trHeight w:val="155"/>
          <w:jc w:val="center"/>
        </w:trPr>
        <w:tc>
          <w:tcPr>
            <w:tcW w:w="5196" w:type="dxa"/>
            <w:vMerge/>
            <w:tcBorders>
              <w:left w:val="single" w:sz="4" w:space="0" w:color="000000"/>
              <w:right w:val="single" w:sz="4" w:space="0" w:color="000000"/>
            </w:tcBorders>
          </w:tcPr>
          <w:p w14:paraId="461A0836"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Pr>
          <w:p w14:paraId="6FB9CF30"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55E20B93">
                <v:rect id="_x0000_s1105" style="position:absolute;left:0;text-align:left;margin-left:6.45pt;margin-top:5.95pt;width:12.75pt;height:12pt;z-index:251636224;mso-position-horizontal-relative:text;mso-position-vertical-relative:text"/>
              </w:pict>
            </w:r>
            <w:r w:rsidR="006F76EB" w:rsidRPr="00834D52">
              <w:rPr>
                <w:rFonts w:ascii="Sylfaen" w:hAnsi="Sylfaen"/>
                <w:sz w:val="24"/>
                <w:szCs w:val="24"/>
              </w:rPr>
              <w:t>այլ դոզավորումներ (ԱԴԲ-ի քանակական փոփոխություններ)</w:t>
            </w:r>
          </w:p>
        </w:tc>
      </w:tr>
      <w:tr w:rsidR="006F76EB" w:rsidRPr="00834D52" w14:paraId="60E0128E" w14:textId="77777777" w:rsidTr="00A00382">
        <w:trPr>
          <w:trHeight w:val="155"/>
          <w:jc w:val="center"/>
        </w:trPr>
        <w:tc>
          <w:tcPr>
            <w:tcW w:w="5196" w:type="dxa"/>
            <w:vMerge/>
            <w:tcBorders>
              <w:left w:val="single" w:sz="4" w:space="0" w:color="000000"/>
              <w:right w:val="single" w:sz="4" w:space="0" w:color="000000"/>
            </w:tcBorders>
          </w:tcPr>
          <w:p w14:paraId="47E7FFCB"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Pr>
          <w:p w14:paraId="2A4CD6FB"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5BE2F811">
                <v:rect id="_x0000_s1106" style="position:absolute;left:0;text-align:left;margin-left:5.7pt;margin-top:4pt;width:12.75pt;height:12pt;z-index:251637248;mso-position-horizontal-relative:text;mso-position-vertical-relative:text"/>
              </w:pict>
            </w:r>
            <w:r w:rsidR="006F76EB" w:rsidRPr="00834D52">
              <w:rPr>
                <w:rFonts w:ascii="Sylfaen" w:hAnsi="Sylfaen"/>
                <w:sz w:val="24"/>
                <w:szCs w:val="24"/>
              </w:rPr>
              <w:t>ներմուծման այլ եղանակ</w:t>
            </w:r>
          </w:p>
        </w:tc>
      </w:tr>
      <w:tr w:rsidR="006F76EB" w:rsidRPr="00834D52" w14:paraId="72CCD771" w14:textId="77777777" w:rsidTr="00A00382">
        <w:trPr>
          <w:trHeight w:val="155"/>
          <w:jc w:val="center"/>
        </w:trPr>
        <w:tc>
          <w:tcPr>
            <w:tcW w:w="5196" w:type="dxa"/>
            <w:vMerge/>
            <w:tcBorders>
              <w:left w:val="single" w:sz="4" w:space="0" w:color="000000"/>
              <w:right w:val="single" w:sz="4" w:space="0" w:color="000000"/>
            </w:tcBorders>
          </w:tcPr>
          <w:p w14:paraId="0F34B458"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Pr>
          <w:p w14:paraId="73F756E0"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2D539312">
                <v:rect id="_x0000_s1107" style="position:absolute;left:0;text-align:left;margin-left:5.7pt;margin-top:8.4pt;width:12.75pt;height:12pt;z-index:251638272;mso-position-horizontal-relative:text;mso-position-vertical-relative:text"/>
              </w:pict>
            </w:r>
            <w:r w:rsidR="006F76EB" w:rsidRPr="00834D52">
              <w:rPr>
                <w:rFonts w:ascii="Sylfaen" w:hAnsi="Sylfaen"/>
                <w:sz w:val="24"/>
                <w:szCs w:val="24"/>
              </w:rPr>
              <w:t xml:space="preserve">այլ </w:t>
            </w:r>
            <w:r w:rsidR="00355C33">
              <w:rPr>
                <w:rFonts w:ascii="Sylfaen" w:hAnsi="Sylfaen"/>
                <w:sz w:val="24"/>
                <w:szCs w:val="24"/>
              </w:rPr>
              <w:t>դեղա</w:t>
            </w:r>
            <w:r w:rsidR="006F76EB" w:rsidRPr="00834D52">
              <w:rPr>
                <w:rFonts w:ascii="Sylfaen" w:hAnsi="Sylfaen"/>
                <w:sz w:val="24"/>
                <w:szCs w:val="24"/>
              </w:rPr>
              <w:t>կինետիկա (ներառյալ այլ կենսամատչելիություն)</w:t>
            </w:r>
          </w:p>
        </w:tc>
      </w:tr>
      <w:tr w:rsidR="006F76EB" w:rsidRPr="00834D52" w14:paraId="77A4AEA6" w14:textId="77777777" w:rsidTr="00A00382">
        <w:trPr>
          <w:trHeight w:val="155"/>
          <w:jc w:val="center"/>
        </w:trPr>
        <w:tc>
          <w:tcPr>
            <w:tcW w:w="5196" w:type="dxa"/>
            <w:vMerge/>
            <w:tcBorders>
              <w:left w:val="single" w:sz="4" w:space="0" w:color="000000"/>
              <w:right w:val="single" w:sz="4" w:space="0" w:color="000000"/>
            </w:tcBorders>
          </w:tcPr>
          <w:p w14:paraId="377204DC"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Pr>
          <w:p w14:paraId="2C313AAC" w14:textId="77777777" w:rsidR="006F76EB" w:rsidRPr="00834D52" w:rsidRDefault="00157FD9" w:rsidP="00A00382">
            <w:pPr>
              <w:spacing w:after="120" w:line="240" w:lineRule="auto"/>
              <w:ind w:left="642" w:right="-6"/>
              <w:rPr>
                <w:rFonts w:ascii="Sylfaen" w:eastAsia="Times New Roman" w:hAnsi="Sylfaen" w:cs="Times New Roman"/>
                <w:sz w:val="24"/>
                <w:szCs w:val="24"/>
              </w:rPr>
            </w:pPr>
            <w:r>
              <w:rPr>
                <w:rFonts w:ascii="Sylfaen" w:eastAsia="Times New Roman" w:hAnsi="Sylfaen" w:cs="Times New Roman"/>
                <w:noProof/>
                <w:sz w:val="24"/>
                <w:szCs w:val="24"/>
              </w:rPr>
              <w:pict w14:anchorId="7A3DECC8">
                <v:rect id="_x0000_s1108" style="position:absolute;left:0;text-align:left;margin-left:6.45pt;margin-top:6.4pt;width:12.75pt;height:12pt;z-index:251639296;mso-position-horizontal-relative:text;mso-position-vertical-relative:text"/>
              </w:pict>
            </w:r>
            <w:r w:rsidR="006F76EB" w:rsidRPr="00834D52">
              <w:rPr>
                <w:rFonts w:ascii="Sylfaen" w:hAnsi="Sylfaen"/>
                <w:sz w:val="24"/>
                <w:szCs w:val="24"/>
              </w:rPr>
              <w:t>կիրառման այլ ցուցում</w:t>
            </w:r>
          </w:p>
        </w:tc>
      </w:tr>
      <w:tr w:rsidR="006F76EB" w:rsidRPr="00834D52" w14:paraId="02ED81A3" w14:textId="77777777" w:rsidTr="00A00382">
        <w:trPr>
          <w:trHeight w:val="155"/>
          <w:jc w:val="center"/>
        </w:trPr>
        <w:tc>
          <w:tcPr>
            <w:tcW w:w="5196" w:type="dxa"/>
            <w:vMerge/>
            <w:tcBorders>
              <w:left w:val="single" w:sz="4" w:space="0" w:color="000000"/>
              <w:bottom w:val="single" w:sz="4" w:space="0" w:color="000000"/>
              <w:right w:val="single" w:sz="4" w:space="0" w:color="000000"/>
            </w:tcBorders>
          </w:tcPr>
          <w:p w14:paraId="03CD122A" w14:textId="77777777" w:rsidR="006F76EB" w:rsidRPr="00834D52" w:rsidRDefault="006F76EB" w:rsidP="00A00382">
            <w:pPr>
              <w:spacing w:after="120" w:line="240" w:lineRule="auto"/>
              <w:ind w:right="-6"/>
              <w:rPr>
                <w:rFonts w:ascii="Sylfaen" w:eastAsia="Times New Roman" w:hAnsi="Sylfaen" w:cs="Times New Roman"/>
                <w:sz w:val="24"/>
                <w:szCs w:val="24"/>
              </w:rPr>
            </w:pPr>
          </w:p>
        </w:tc>
        <w:tc>
          <w:tcPr>
            <w:tcW w:w="4674" w:type="dxa"/>
            <w:tcBorders>
              <w:top w:val="single" w:sz="4" w:space="0" w:color="000000"/>
              <w:left w:val="single" w:sz="4" w:space="0" w:color="000000"/>
              <w:bottom w:val="single" w:sz="4" w:space="0" w:color="000000"/>
              <w:right w:val="single" w:sz="4" w:space="0" w:color="000000"/>
            </w:tcBorders>
          </w:tcPr>
          <w:p w14:paraId="6D3E9279" w14:textId="77777777" w:rsidR="006F76EB" w:rsidRPr="00834D52" w:rsidRDefault="00157FD9" w:rsidP="00A00382">
            <w:pPr>
              <w:spacing w:after="120" w:line="240" w:lineRule="auto"/>
              <w:ind w:left="642" w:right="-6"/>
              <w:rPr>
                <w:rFonts w:ascii="Sylfaen" w:hAnsi="Sylfaen"/>
                <w:sz w:val="24"/>
                <w:szCs w:val="24"/>
                <w:lang w:val="en-US"/>
              </w:rPr>
            </w:pPr>
            <w:r>
              <w:rPr>
                <w:rFonts w:ascii="Sylfaen" w:eastAsia="Times New Roman" w:hAnsi="Sylfaen" w:cs="Times New Roman"/>
                <w:noProof/>
                <w:sz w:val="24"/>
                <w:szCs w:val="24"/>
              </w:rPr>
              <w:pict w14:anchorId="34B1AD4B">
                <v:rect id="_x0000_s1109" style="position:absolute;left:0;text-align:left;margin-left:6.45pt;margin-top:4.8pt;width:12.75pt;height:12pt;z-index:251640320;mso-position-horizontal-relative:text;mso-position-vertical-relative:text"/>
              </w:pict>
            </w:r>
            <w:r w:rsidR="006F76EB" w:rsidRPr="00834D52">
              <w:rPr>
                <w:rFonts w:ascii="Sylfaen" w:hAnsi="Sylfaen"/>
                <w:sz w:val="24"/>
                <w:szCs w:val="24"/>
              </w:rPr>
              <w:t>այլ տարբերություններ՝</w:t>
            </w:r>
          </w:p>
          <w:p w14:paraId="14861529" w14:textId="77777777" w:rsidR="006F76EB" w:rsidRPr="00834D52" w:rsidRDefault="006F76EB" w:rsidP="006760AA">
            <w:pPr>
              <w:spacing w:after="0" w:line="240" w:lineRule="auto"/>
              <w:ind w:left="641" w:right="-6"/>
              <w:rPr>
                <w:rFonts w:ascii="Sylfaen" w:hAnsi="Sylfaen"/>
                <w:sz w:val="24"/>
                <w:szCs w:val="24"/>
                <w:lang w:val="en-US"/>
              </w:rPr>
            </w:pPr>
            <w:r w:rsidRPr="00834D52">
              <w:rPr>
                <w:rFonts w:ascii="Sylfaen" w:hAnsi="Sylfaen"/>
                <w:sz w:val="24"/>
                <w:szCs w:val="24"/>
              </w:rPr>
              <w:t>_______________________________</w:t>
            </w:r>
          </w:p>
          <w:p w14:paraId="76E67A44" w14:textId="77777777" w:rsidR="006F76EB" w:rsidRPr="00834D52" w:rsidRDefault="006F76EB" w:rsidP="006760AA">
            <w:pPr>
              <w:spacing w:after="0" w:line="240" w:lineRule="auto"/>
              <w:ind w:left="641" w:right="-6"/>
              <w:rPr>
                <w:rFonts w:ascii="Sylfaen" w:eastAsia="Times New Roman" w:hAnsi="Sylfaen" w:cs="Times New Roman"/>
                <w:sz w:val="24"/>
                <w:szCs w:val="24"/>
              </w:rPr>
            </w:pPr>
            <w:r w:rsidRPr="00834D52">
              <w:rPr>
                <w:rFonts w:ascii="Sylfaen" w:hAnsi="Sylfaen"/>
                <w:sz w:val="24"/>
                <w:szCs w:val="24"/>
              </w:rPr>
              <w:t>_______________________________</w:t>
            </w:r>
          </w:p>
        </w:tc>
      </w:tr>
    </w:tbl>
    <w:p w14:paraId="6C92F24D" w14:textId="77777777" w:rsidR="006F76EB" w:rsidRPr="00834D52" w:rsidRDefault="006F76EB" w:rsidP="006760AA">
      <w:pPr>
        <w:spacing w:after="120" w:line="240" w:lineRule="auto"/>
        <w:ind w:right="-6"/>
        <w:rPr>
          <w:rFonts w:ascii="Sylfaen" w:hAnsi="Sylfaen"/>
          <w:sz w:val="24"/>
          <w:szCs w:val="24"/>
        </w:rPr>
      </w:pPr>
    </w:p>
    <w:p w14:paraId="5C6654A2" w14:textId="77777777" w:rsidR="006F76EB" w:rsidRPr="00834D52" w:rsidRDefault="00157FD9" w:rsidP="006F76EB">
      <w:pPr>
        <w:spacing w:after="160" w:line="360" w:lineRule="auto"/>
        <w:ind w:right="-8"/>
        <w:jc w:val="center"/>
        <w:rPr>
          <w:rFonts w:ascii="Sylfaen" w:hAnsi="Sylfaen"/>
          <w:sz w:val="24"/>
          <w:szCs w:val="24"/>
          <w:lang w:val="en-US"/>
        </w:rPr>
      </w:pPr>
      <w:r>
        <w:rPr>
          <w:rFonts w:ascii="Sylfaen" w:hAnsi="Sylfaen"/>
          <w:noProof/>
          <w:sz w:val="24"/>
          <w:szCs w:val="24"/>
        </w:rPr>
        <w:pict w14:anchorId="1F51DACF">
          <v:rect id="_x0000_s1110" style="position:absolute;left:0;text-align:left;margin-left:103.1pt;margin-top:1.5pt;width:12.75pt;height:12pt;z-index:251641344"/>
        </w:pict>
      </w:r>
      <w:r w:rsidR="006F76EB" w:rsidRPr="00834D52">
        <w:rPr>
          <w:rFonts w:ascii="Sylfaen" w:hAnsi="Sylfaen"/>
          <w:sz w:val="24"/>
          <w:szCs w:val="24"/>
        </w:rPr>
        <w:t>ՀԱՄԱԿՑՎԱԾ ԴԵՂԱՊԱՏՐԱՍՏՈՒԿ</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3829"/>
      </w:tblGrid>
      <w:tr w:rsidR="006F76EB" w:rsidRPr="00834D52" w14:paraId="4C3F2970" w14:textId="77777777" w:rsidTr="00F71229">
        <w:trPr>
          <w:jc w:val="center"/>
        </w:trPr>
        <w:tc>
          <w:tcPr>
            <w:tcW w:w="4643" w:type="dxa"/>
          </w:tcPr>
          <w:p w14:paraId="5CC9A18B" w14:textId="77777777" w:rsidR="006F76EB" w:rsidRPr="00834D52" w:rsidRDefault="00157FD9" w:rsidP="00F71229">
            <w:pPr>
              <w:spacing w:after="160" w:line="360" w:lineRule="auto"/>
              <w:ind w:right="-8"/>
              <w:jc w:val="center"/>
              <w:rPr>
                <w:rFonts w:ascii="Sylfaen" w:hAnsi="Sylfaen"/>
                <w:sz w:val="24"/>
                <w:szCs w:val="24"/>
              </w:rPr>
            </w:pPr>
            <w:r>
              <w:rPr>
                <w:rFonts w:ascii="Sylfaen" w:eastAsia="Times New Roman" w:hAnsi="Sylfaen" w:cs="Times New Roman"/>
                <w:noProof/>
                <w:sz w:val="24"/>
                <w:szCs w:val="24"/>
              </w:rPr>
              <w:pict w14:anchorId="2243F265">
                <v:rect id="_x0000_s1112" style="position:absolute;left:0;text-align:left;margin-left:25.75pt;margin-top:3.2pt;width:12.75pt;height:12pt;z-index:251642368"/>
              </w:pict>
            </w:r>
            <w:r w:rsidR="006F76EB" w:rsidRPr="00834D52">
              <w:rPr>
                <w:rFonts w:ascii="Sylfaen" w:hAnsi="Sylfaen"/>
                <w:sz w:val="24"/>
                <w:szCs w:val="24"/>
              </w:rPr>
              <w:t>հայտնի համակցություն</w:t>
            </w:r>
          </w:p>
        </w:tc>
        <w:tc>
          <w:tcPr>
            <w:tcW w:w="3829" w:type="dxa"/>
          </w:tcPr>
          <w:p w14:paraId="3E473168" w14:textId="77777777" w:rsidR="006F76EB" w:rsidRPr="00834D52" w:rsidRDefault="00157FD9" w:rsidP="00F71229">
            <w:pPr>
              <w:spacing w:after="160" w:line="360" w:lineRule="auto"/>
              <w:ind w:right="-8" w:firstLine="993"/>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23B6D333">
                <v:rect id="_x0000_s1111" style="position:absolute;left:0;text-align:left;margin-left:38.95pt;margin-top:3.2pt;width:12.75pt;height:12pt;z-index:251643392;mso-position-horizontal-relative:text;mso-position-vertical-relative:text"/>
              </w:pict>
            </w:r>
            <w:r w:rsidR="006F76EB" w:rsidRPr="00834D52">
              <w:rPr>
                <w:rFonts w:ascii="Sylfaen" w:hAnsi="Sylfaen"/>
                <w:sz w:val="24"/>
                <w:szCs w:val="24"/>
              </w:rPr>
              <w:t>նոր համակցություն</w:t>
            </w:r>
          </w:p>
        </w:tc>
      </w:tr>
    </w:tbl>
    <w:p w14:paraId="2E25928B"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Օրիգինալ դեղապատրաստուկ (հայտնի համակցության դեպքում)՝</w:t>
      </w:r>
    </w:p>
    <w:tbl>
      <w:tblPr>
        <w:tblW w:w="9646" w:type="dxa"/>
        <w:tblInd w:w="109" w:type="dxa"/>
        <w:tblLayout w:type="fixed"/>
        <w:tblCellMar>
          <w:left w:w="0" w:type="dxa"/>
          <w:right w:w="0" w:type="dxa"/>
        </w:tblCellMar>
        <w:tblLook w:val="01E0" w:firstRow="1" w:lastRow="1" w:firstColumn="1" w:lastColumn="1" w:noHBand="0" w:noVBand="0"/>
      </w:tblPr>
      <w:tblGrid>
        <w:gridCol w:w="5141"/>
        <w:gridCol w:w="4505"/>
      </w:tblGrid>
      <w:tr w:rsidR="006F76EB" w:rsidRPr="00834D52" w14:paraId="7BE1670A" w14:textId="77777777" w:rsidTr="00F71229">
        <w:tc>
          <w:tcPr>
            <w:tcW w:w="5141" w:type="dxa"/>
            <w:tcBorders>
              <w:top w:val="single" w:sz="4" w:space="0" w:color="000000"/>
              <w:left w:val="single" w:sz="4" w:space="0" w:color="000000"/>
              <w:bottom w:val="single" w:sz="4" w:space="0" w:color="000000"/>
              <w:right w:val="single" w:sz="4" w:space="0" w:color="000000"/>
            </w:tcBorders>
          </w:tcPr>
          <w:p w14:paraId="7273A4B3" w14:textId="77777777" w:rsidR="006F76EB" w:rsidRPr="00834D52" w:rsidRDefault="006F76EB" w:rsidP="00A0038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505" w:type="dxa"/>
            <w:tcBorders>
              <w:top w:val="single" w:sz="4" w:space="0" w:color="000000"/>
              <w:left w:val="single" w:sz="4" w:space="0" w:color="000000"/>
              <w:bottom w:val="single" w:sz="4" w:space="0" w:color="000000"/>
              <w:right w:val="single" w:sz="4" w:space="0" w:color="000000"/>
            </w:tcBorders>
          </w:tcPr>
          <w:p w14:paraId="59826ECC" w14:textId="77777777" w:rsidR="006F76EB" w:rsidRPr="00834D52" w:rsidRDefault="006F76EB" w:rsidP="00A00382">
            <w:pPr>
              <w:spacing w:after="120" w:line="240" w:lineRule="auto"/>
              <w:ind w:right="-6"/>
              <w:rPr>
                <w:rFonts w:ascii="Sylfaen" w:hAnsi="Sylfaen"/>
                <w:sz w:val="24"/>
                <w:szCs w:val="24"/>
              </w:rPr>
            </w:pPr>
          </w:p>
        </w:tc>
      </w:tr>
      <w:tr w:rsidR="006F76EB" w:rsidRPr="00834D52" w14:paraId="55AE0AE0" w14:textId="77777777" w:rsidTr="00F71229">
        <w:tc>
          <w:tcPr>
            <w:tcW w:w="5141" w:type="dxa"/>
            <w:tcBorders>
              <w:top w:val="single" w:sz="4" w:space="0" w:color="000000"/>
              <w:left w:val="single" w:sz="4" w:space="0" w:color="000000"/>
              <w:bottom w:val="single" w:sz="4" w:space="0" w:color="000000"/>
              <w:right w:val="single" w:sz="4" w:space="0" w:color="000000"/>
            </w:tcBorders>
          </w:tcPr>
          <w:p w14:paraId="113AF029" w14:textId="77777777" w:rsidR="006F76EB" w:rsidRPr="00834D52" w:rsidRDefault="006F76EB" w:rsidP="00A0038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հավաստագրի իրավատերը,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505" w:type="dxa"/>
            <w:tcBorders>
              <w:top w:val="single" w:sz="4" w:space="0" w:color="000000"/>
              <w:left w:val="single" w:sz="4" w:space="0" w:color="000000"/>
              <w:bottom w:val="single" w:sz="4" w:space="0" w:color="000000"/>
              <w:right w:val="single" w:sz="4" w:space="0" w:color="000000"/>
            </w:tcBorders>
          </w:tcPr>
          <w:p w14:paraId="1D1BFC62" w14:textId="77777777" w:rsidR="006F76EB" w:rsidRPr="00834D52" w:rsidRDefault="006F76EB" w:rsidP="00A00382">
            <w:pPr>
              <w:spacing w:after="120" w:line="240" w:lineRule="auto"/>
              <w:ind w:right="-6"/>
              <w:rPr>
                <w:rFonts w:ascii="Sylfaen" w:hAnsi="Sylfaen"/>
                <w:sz w:val="24"/>
                <w:szCs w:val="24"/>
              </w:rPr>
            </w:pPr>
          </w:p>
        </w:tc>
      </w:tr>
    </w:tbl>
    <w:p w14:paraId="10E413F6"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lastRenderedPageBreak/>
        <w:pict w14:anchorId="37D12272">
          <v:rect id="_x0000_s1113" style="position:absolute;left:0;text-align:left;margin-left:39.35pt;margin-top:2.2pt;width:12.75pt;height:12pt;z-index:251644416;mso-position-horizontal-relative:text;mso-position-vertical-relative:text"/>
        </w:pict>
      </w:r>
      <w:r w:rsidR="006F76EB" w:rsidRPr="00834D52">
        <w:rPr>
          <w:rFonts w:ascii="Sylfaen" w:hAnsi="Sylfaen"/>
          <w:sz w:val="24"/>
          <w:szCs w:val="24"/>
        </w:rPr>
        <w:t>ԼԱՎ ՈՒՍՈՒՄՆԱՍԻՐՎԱԾ ԲԺՇԿԱԿԱՆ ԿԻՐԱՌՈՒԹՅԱՄԲ ԴԵՂԱՊԱՏՐԱՍՏՈՒԿ</w:t>
      </w:r>
    </w:p>
    <w:p w14:paraId="18DE7D04"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6D233DDD">
          <v:rect id="_x0000_s1114" style="position:absolute;left:0;text-align:left;margin-left:11pt;margin-top:1.9pt;width:12.75pt;height:12pt;z-index:251645440"/>
        </w:pict>
      </w:r>
      <w:r w:rsidR="006F76EB" w:rsidRPr="00834D52">
        <w:rPr>
          <w:rFonts w:ascii="Sylfaen" w:hAnsi="Sylfaen"/>
          <w:sz w:val="24"/>
          <w:szCs w:val="24"/>
        </w:rPr>
        <w:t>ՌԱԴԻՈԴԵՂԱԳՈՐԾԱԿԱՆ ԴԵՂԱՊԱՏՐԱՍՏՈՒԿ ԿԱՄ ՊՐԵԿՈՒՐՍՈՐ</w:t>
      </w:r>
    </w:p>
    <w:p w14:paraId="2A6EC238" w14:textId="77777777" w:rsidR="006F76EB" w:rsidRPr="00834D52" w:rsidRDefault="006F76EB" w:rsidP="006F76EB">
      <w:pPr>
        <w:spacing w:after="160" w:line="360" w:lineRule="auto"/>
        <w:ind w:right="-8"/>
        <w:rPr>
          <w:rFonts w:ascii="Sylfaen" w:hAnsi="Sylfaen"/>
          <w:sz w:val="24"/>
          <w:szCs w:val="24"/>
        </w:rPr>
      </w:pPr>
    </w:p>
    <w:p w14:paraId="761DA7EC" w14:textId="77777777" w:rsidR="006F76EB" w:rsidRPr="00834D52" w:rsidRDefault="00157FD9" w:rsidP="006F76EB">
      <w:pPr>
        <w:spacing w:after="160" w:line="360" w:lineRule="auto"/>
        <w:ind w:right="-8" w:firstLine="567"/>
        <w:rPr>
          <w:rFonts w:ascii="Sylfaen" w:eastAsia="Times New Roman" w:hAnsi="Sylfaen" w:cs="Times New Roman"/>
          <w:sz w:val="24"/>
          <w:szCs w:val="24"/>
        </w:rPr>
      </w:pPr>
      <w:r>
        <w:rPr>
          <w:rFonts w:ascii="Sylfaen" w:hAnsi="Sylfaen"/>
          <w:noProof/>
          <w:sz w:val="24"/>
          <w:szCs w:val="24"/>
        </w:rPr>
        <w:pict w14:anchorId="7C0927F0">
          <v:rect id="_x0000_s1115" style="position:absolute;left:0;text-align:left;margin-left:1.25pt;margin-top:2.65pt;width:12.75pt;height:12pt;z-index:251646464"/>
        </w:pict>
      </w:r>
      <w:r w:rsidR="006F76EB" w:rsidRPr="00834D52">
        <w:rPr>
          <w:rFonts w:ascii="Sylfaen" w:hAnsi="Sylfaen"/>
          <w:sz w:val="24"/>
          <w:szCs w:val="24"/>
        </w:rPr>
        <w:t>ռադիոդեղագործական հավաքակազմ</w:t>
      </w:r>
    </w:p>
    <w:p w14:paraId="6ABFF0CF" w14:textId="77777777" w:rsidR="006F76EB" w:rsidRDefault="00157FD9" w:rsidP="00D87E6B">
      <w:pPr>
        <w:spacing w:after="160" w:line="360" w:lineRule="auto"/>
        <w:ind w:right="-8" w:firstLine="567"/>
        <w:rPr>
          <w:rFonts w:ascii="Sylfaen" w:hAnsi="Sylfaen"/>
          <w:sz w:val="24"/>
          <w:szCs w:val="24"/>
          <w:lang w:val="en-US"/>
        </w:rPr>
      </w:pPr>
      <w:r>
        <w:rPr>
          <w:rFonts w:ascii="Sylfaen" w:hAnsi="Sylfaen"/>
          <w:noProof/>
          <w:sz w:val="24"/>
          <w:szCs w:val="24"/>
        </w:rPr>
        <w:pict w14:anchorId="064E2EAF">
          <v:rect id="_x0000_s1116" style="position:absolute;left:0;text-align:left;margin-left:1.25pt;margin-top:3.8pt;width:12.75pt;height:12pt;z-index:251647488"/>
        </w:pict>
      </w:r>
      <w:r w:rsidR="006F76EB" w:rsidRPr="00834D52">
        <w:rPr>
          <w:rFonts w:ascii="Sylfaen" w:hAnsi="Sylfaen"/>
          <w:sz w:val="24"/>
          <w:szCs w:val="24"/>
        </w:rPr>
        <w:t>ռադիոնուկլիդի պրեկուրսոր</w:t>
      </w:r>
    </w:p>
    <w:p w14:paraId="60861A93" w14:textId="77777777" w:rsidR="00D87E6B" w:rsidRPr="00D87E6B" w:rsidRDefault="00D87E6B" w:rsidP="00D87E6B">
      <w:pPr>
        <w:spacing w:after="160" w:line="360" w:lineRule="auto"/>
        <w:ind w:right="-8" w:firstLine="567"/>
        <w:rPr>
          <w:rFonts w:ascii="Sylfaen" w:eastAsia="Times New Roman" w:hAnsi="Sylfaen" w:cs="Times New Roman"/>
          <w:sz w:val="24"/>
          <w:szCs w:val="24"/>
          <w:lang w:val="en-US"/>
        </w:rPr>
      </w:pPr>
    </w:p>
    <w:tbl>
      <w:tblPr>
        <w:tblW w:w="9646" w:type="dxa"/>
        <w:tblInd w:w="109" w:type="dxa"/>
        <w:tblLayout w:type="fixed"/>
        <w:tblCellMar>
          <w:left w:w="0" w:type="dxa"/>
          <w:right w:w="0" w:type="dxa"/>
        </w:tblCellMar>
        <w:tblLook w:val="01E0" w:firstRow="1" w:lastRow="1" w:firstColumn="1" w:lastColumn="1" w:noHBand="0" w:noVBand="0"/>
      </w:tblPr>
      <w:tblGrid>
        <w:gridCol w:w="4817"/>
        <w:gridCol w:w="4829"/>
      </w:tblGrid>
      <w:tr w:rsidR="006F76EB" w:rsidRPr="00834D52" w14:paraId="4DB19605" w14:textId="77777777" w:rsidTr="00D87E6B">
        <w:trPr>
          <w:trHeight w:val="1077"/>
        </w:trPr>
        <w:tc>
          <w:tcPr>
            <w:tcW w:w="4817" w:type="dxa"/>
            <w:tcBorders>
              <w:top w:val="single" w:sz="4" w:space="0" w:color="000000"/>
              <w:left w:val="single" w:sz="4" w:space="0" w:color="000000"/>
              <w:bottom w:val="single" w:sz="4" w:space="0" w:color="000000"/>
              <w:right w:val="single" w:sz="4" w:space="0" w:color="000000"/>
            </w:tcBorders>
          </w:tcPr>
          <w:p w14:paraId="13B67064" w14:textId="77777777" w:rsidR="006F76EB" w:rsidRPr="00834D52" w:rsidRDefault="006F76EB" w:rsidP="00EC36F7">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ռադիոնուկլիդի աղբյուրը (առաջնային </w:t>
            </w:r>
            <w:r w:rsidR="00C54D75">
              <w:rPr>
                <w:rFonts w:ascii="Sylfaen" w:hAnsi="Sylfaen"/>
                <w:sz w:val="24"/>
                <w:szCs w:val="24"/>
              </w:rPr>
              <w:t>և</w:t>
            </w:r>
            <w:r w:rsidRPr="00834D52">
              <w:rPr>
                <w:rFonts w:ascii="Sylfaen" w:hAnsi="Sylfaen"/>
                <w:sz w:val="24"/>
                <w:szCs w:val="24"/>
              </w:rPr>
              <w:t xml:space="preserve"> երկրորդային) (առկայության դեպքում)</w:t>
            </w:r>
          </w:p>
        </w:tc>
        <w:tc>
          <w:tcPr>
            <w:tcW w:w="4829" w:type="dxa"/>
            <w:tcBorders>
              <w:top w:val="single" w:sz="4" w:space="0" w:color="000000"/>
              <w:left w:val="single" w:sz="4" w:space="0" w:color="000000"/>
              <w:bottom w:val="single" w:sz="4" w:space="0" w:color="000000"/>
              <w:right w:val="single" w:sz="4" w:space="0" w:color="000000"/>
            </w:tcBorders>
          </w:tcPr>
          <w:p w14:paraId="590270E3" w14:textId="77777777" w:rsidR="006F76EB" w:rsidRPr="00834D52" w:rsidRDefault="006F76EB" w:rsidP="00EC36F7">
            <w:pPr>
              <w:spacing w:after="120" w:line="240" w:lineRule="auto"/>
              <w:ind w:right="-6"/>
              <w:rPr>
                <w:rFonts w:ascii="Sylfaen" w:hAnsi="Sylfaen"/>
                <w:sz w:val="24"/>
                <w:szCs w:val="24"/>
              </w:rPr>
            </w:pPr>
          </w:p>
        </w:tc>
      </w:tr>
      <w:tr w:rsidR="006F76EB" w:rsidRPr="00834D52" w14:paraId="57D03802" w14:textId="77777777" w:rsidTr="00D87E6B">
        <w:trPr>
          <w:trHeight w:val="622"/>
        </w:trPr>
        <w:tc>
          <w:tcPr>
            <w:tcW w:w="4817" w:type="dxa"/>
            <w:tcBorders>
              <w:top w:val="single" w:sz="4" w:space="0" w:color="000000"/>
              <w:left w:val="single" w:sz="4" w:space="0" w:color="000000"/>
              <w:bottom w:val="single" w:sz="4" w:space="0" w:color="000000"/>
              <w:right w:val="single" w:sz="4" w:space="0" w:color="000000"/>
            </w:tcBorders>
          </w:tcPr>
          <w:p w14:paraId="30D52AB0" w14:textId="77777777" w:rsidR="006F76EB" w:rsidRPr="00834D52" w:rsidRDefault="006F76EB" w:rsidP="00EC36F7">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գեներատոր</w:t>
            </w:r>
          </w:p>
        </w:tc>
        <w:tc>
          <w:tcPr>
            <w:tcW w:w="4829" w:type="dxa"/>
            <w:tcBorders>
              <w:top w:val="single" w:sz="4" w:space="0" w:color="000000"/>
              <w:left w:val="single" w:sz="4" w:space="0" w:color="000000"/>
              <w:bottom w:val="single" w:sz="4" w:space="0" w:color="000000"/>
              <w:right w:val="single" w:sz="4" w:space="0" w:color="000000"/>
            </w:tcBorders>
          </w:tcPr>
          <w:p w14:paraId="7CD378DA" w14:textId="77777777" w:rsidR="006F76EB" w:rsidRPr="00834D52" w:rsidRDefault="006F76EB" w:rsidP="00EC36F7">
            <w:pPr>
              <w:spacing w:after="120" w:line="240" w:lineRule="auto"/>
              <w:ind w:right="-6"/>
              <w:rPr>
                <w:rFonts w:ascii="Sylfaen" w:hAnsi="Sylfaen"/>
                <w:sz w:val="24"/>
                <w:szCs w:val="24"/>
              </w:rPr>
            </w:pPr>
          </w:p>
        </w:tc>
      </w:tr>
    </w:tbl>
    <w:p w14:paraId="6A018575" w14:textId="77777777" w:rsidR="006F76EB" w:rsidRPr="00834D52" w:rsidRDefault="006F76EB" w:rsidP="006F76EB">
      <w:pPr>
        <w:spacing w:after="160" w:line="360" w:lineRule="auto"/>
        <w:ind w:right="-8"/>
        <w:rPr>
          <w:rFonts w:ascii="Sylfaen" w:hAnsi="Sylfaen"/>
          <w:sz w:val="24"/>
          <w:szCs w:val="24"/>
        </w:rPr>
      </w:pPr>
    </w:p>
    <w:p w14:paraId="5769C673"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006192DF">
          <v:rect id="_x0000_s1117" style="position:absolute;left:0;text-align:left;margin-left:103.85pt;margin-top:1.7pt;width:12.75pt;height:12pt;z-index:251648512"/>
        </w:pict>
      </w:r>
      <w:r w:rsidR="006F76EB" w:rsidRPr="00834D52">
        <w:rPr>
          <w:rFonts w:ascii="Sylfaen" w:hAnsi="Sylfaen"/>
          <w:sz w:val="24"/>
          <w:szCs w:val="24"/>
        </w:rPr>
        <w:t>ՀՈՄԵՈՊԱԹԻԿ ԴԵՂԱՊԱՏՐԱՍՏՈՒԿ</w:t>
      </w:r>
    </w:p>
    <w:p w14:paraId="0FEF07AA" w14:textId="77777777" w:rsidR="006F76EB" w:rsidRPr="00834D52" w:rsidRDefault="00157FD9" w:rsidP="006F76EB">
      <w:pPr>
        <w:spacing w:after="160" w:line="360" w:lineRule="auto"/>
        <w:ind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3A4C1754">
          <v:rect id="_x0000_s1118" style="position:absolute;left:0;text-align:left;margin-left:-.25pt;margin-top:2.5pt;width:12.75pt;height:12pt;z-index:251649536"/>
        </w:pict>
      </w:r>
      <w:r w:rsidR="006F76EB" w:rsidRPr="00834D52">
        <w:rPr>
          <w:rFonts w:ascii="Sylfaen" w:hAnsi="Sylfaen"/>
          <w:sz w:val="24"/>
          <w:szCs w:val="24"/>
        </w:rPr>
        <w:t xml:space="preserve">դեղագրքում </w:t>
      </w:r>
      <w:r w:rsidR="00C54D75">
        <w:rPr>
          <w:rFonts w:ascii="Sylfaen" w:hAnsi="Sylfaen"/>
          <w:sz w:val="24"/>
          <w:szCs w:val="24"/>
        </w:rPr>
        <w:t>և</w:t>
      </w:r>
      <w:r w:rsidR="006F76EB" w:rsidRPr="00834D52">
        <w:rPr>
          <w:rFonts w:ascii="Sylfaen" w:hAnsi="Sylfaen"/>
          <w:sz w:val="24"/>
          <w:szCs w:val="24"/>
        </w:rPr>
        <w:t xml:space="preserve"> մենագրության մեջ չներառված նոր հոմեոպաթիկ պատրաստուկ</w:t>
      </w:r>
    </w:p>
    <w:p w14:paraId="6005CF16" w14:textId="77777777" w:rsidR="006F76EB" w:rsidRPr="00834D52" w:rsidRDefault="00157FD9" w:rsidP="006F76EB">
      <w:pPr>
        <w:spacing w:after="160" w:line="360" w:lineRule="auto"/>
        <w:ind w:right="-8" w:firstLine="567"/>
        <w:rPr>
          <w:rFonts w:ascii="Sylfaen" w:eastAsia="Times New Roman" w:hAnsi="Sylfaen" w:cs="Times New Roman"/>
          <w:sz w:val="24"/>
          <w:szCs w:val="24"/>
        </w:rPr>
      </w:pPr>
      <w:r>
        <w:rPr>
          <w:rFonts w:ascii="Sylfaen" w:hAnsi="Sylfaen"/>
          <w:noProof/>
          <w:sz w:val="24"/>
          <w:szCs w:val="24"/>
        </w:rPr>
        <w:pict w14:anchorId="1427D2B4">
          <v:rect id="_x0000_s1119" style="position:absolute;left:0;text-align:left;margin-left:-1.75pt;margin-top:1.8pt;width:12.75pt;height:12pt;z-index:251650560"/>
        </w:pict>
      </w:r>
      <w:r w:rsidR="006F76EB" w:rsidRPr="00834D52">
        <w:rPr>
          <w:rFonts w:ascii="Sylfaen" w:hAnsi="Sylfaen"/>
          <w:sz w:val="24"/>
          <w:szCs w:val="24"/>
        </w:rPr>
        <w:t xml:space="preserve">դեղագրքում </w:t>
      </w:r>
      <w:r w:rsidR="00C54D75">
        <w:rPr>
          <w:rFonts w:ascii="Sylfaen" w:hAnsi="Sylfaen"/>
          <w:sz w:val="24"/>
          <w:szCs w:val="24"/>
        </w:rPr>
        <w:t>և</w:t>
      </w:r>
      <w:r w:rsidR="006F76EB" w:rsidRPr="00834D52">
        <w:rPr>
          <w:rFonts w:ascii="Sylfaen" w:hAnsi="Sylfaen"/>
          <w:sz w:val="24"/>
          <w:szCs w:val="24"/>
        </w:rPr>
        <w:t xml:space="preserve"> մենագրության մեջ ներառված հոմեոպաթիկ պատրաստուկ</w:t>
      </w:r>
    </w:p>
    <w:p w14:paraId="59E66006" w14:textId="77777777" w:rsidR="006F76EB" w:rsidRPr="00834D52" w:rsidRDefault="00157FD9" w:rsidP="006F76EB">
      <w:pPr>
        <w:spacing w:after="160" w:line="360" w:lineRule="auto"/>
        <w:ind w:right="-8"/>
        <w:rPr>
          <w:rFonts w:ascii="Sylfaen" w:hAnsi="Sylfaen"/>
          <w:sz w:val="24"/>
          <w:szCs w:val="24"/>
        </w:rPr>
      </w:pPr>
      <w:r>
        <w:rPr>
          <w:rFonts w:ascii="Sylfaen" w:hAnsi="Sylfaen"/>
          <w:noProof/>
          <w:sz w:val="24"/>
          <w:szCs w:val="24"/>
        </w:rPr>
        <w:pict w14:anchorId="56CAF571">
          <v:rect id="_x0000_s1120" style="position:absolute;margin-left:108.35pt;margin-top:30.45pt;width:12.75pt;height:12pt;z-index:251651584"/>
        </w:pict>
      </w:r>
    </w:p>
    <w:p w14:paraId="75FEA8A2"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ԲՈՒՍԱԿԱՆ ԴԵՂԱՊԱՏՐԱՍՏՈՒԿ</w:t>
      </w:r>
    </w:p>
    <w:p w14:paraId="4598429E"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4336D6C7">
          <v:rect id="_x0000_s1121" style="position:absolute;left:0;text-align:left;margin-left:52.1pt;margin-top:1.55pt;width:12.75pt;height:12pt;z-index:251652608"/>
        </w:pict>
      </w:r>
      <w:r w:rsidR="006F76EB" w:rsidRPr="00834D52">
        <w:rPr>
          <w:rFonts w:ascii="Sylfaen" w:hAnsi="Sylfaen"/>
          <w:sz w:val="24"/>
          <w:szCs w:val="24"/>
        </w:rPr>
        <w:t>ՀԱԶՎԱԴԵՊ ԿԻՐԱՌՎՈՂ («ՈՐԲ») ԴԵՂԱՊԱՏՐԱՍՏՈՒԿ</w:t>
      </w:r>
    </w:p>
    <w:p w14:paraId="7D40734C"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Արդյոք Եվրասիական տնտեսական միության անդամ պետություններում կամ դրա սահմաններից դուրս դեղապատրաստուկին տրվել է հազվադեպ կիրառվող («որբ») դեղապատրաստուկի կարգավիճակ</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gridCol w:w="1166"/>
      </w:tblGrid>
      <w:tr w:rsidR="006F76EB" w:rsidRPr="00834D52" w14:paraId="0340E1DF" w14:textId="77777777" w:rsidTr="00F71229">
        <w:trPr>
          <w:jc w:val="center"/>
        </w:trPr>
        <w:tc>
          <w:tcPr>
            <w:tcW w:w="959" w:type="dxa"/>
          </w:tcPr>
          <w:p w14:paraId="2C942AE3"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9DA6B42">
                <v:rect id="_x0000_s1124" style="position:absolute;left:0;text-align:left;margin-left:-3pt;margin-top:1.2pt;width:12.75pt;height:12pt;z-index:251653632"/>
              </w:pict>
            </w:r>
            <w:r w:rsidR="006F76EB" w:rsidRPr="00834D52">
              <w:rPr>
                <w:rFonts w:ascii="Sylfaen" w:hAnsi="Sylfaen"/>
                <w:sz w:val="24"/>
                <w:szCs w:val="24"/>
              </w:rPr>
              <w:t xml:space="preserve">ոչ </w:t>
            </w:r>
          </w:p>
        </w:tc>
        <w:tc>
          <w:tcPr>
            <w:tcW w:w="5953" w:type="dxa"/>
          </w:tcPr>
          <w:p w14:paraId="4B3E1F1B"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B518A16">
                <v:rect id="_x0000_s1123" style="position:absolute;left:0;text-align:left;margin-left:-1.1pt;margin-top:1.2pt;width:12.75pt;height:12pt;z-index:251654656;mso-position-horizontal-relative:text;mso-position-vertical-relative:text"/>
              </w:pict>
            </w:r>
            <w:r w:rsidR="006F76EB" w:rsidRPr="00834D52">
              <w:rPr>
                <w:rFonts w:ascii="Sylfaen" w:hAnsi="Sylfaen"/>
                <w:sz w:val="24"/>
                <w:szCs w:val="24"/>
              </w:rPr>
              <w:t>գտնվում է ուսումնասիրության գործընթացում</w:t>
            </w:r>
          </w:p>
        </w:tc>
        <w:tc>
          <w:tcPr>
            <w:tcW w:w="1166" w:type="dxa"/>
          </w:tcPr>
          <w:p w14:paraId="293C2414" w14:textId="77777777" w:rsidR="006F76EB" w:rsidRPr="00834D52" w:rsidRDefault="00157FD9" w:rsidP="00F71229">
            <w:pPr>
              <w:spacing w:after="160" w:line="360" w:lineRule="auto"/>
              <w:ind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422B2FEE">
                <v:rect id="_x0000_s1122" style="position:absolute;left:0;text-align:left;margin-left:-2.8pt;margin-top:1.2pt;width:12.75pt;height:12pt;z-index:251655680;mso-position-horizontal-relative:text;mso-position-vertical-relative:text"/>
              </w:pict>
            </w:r>
            <w:r w:rsidR="006F76EB" w:rsidRPr="00834D52">
              <w:rPr>
                <w:rFonts w:ascii="Sylfaen" w:hAnsi="Sylfaen"/>
                <w:sz w:val="24"/>
                <w:szCs w:val="24"/>
              </w:rPr>
              <w:t>այո</w:t>
            </w:r>
          </w:p>
        </w:tc>
      </w:tr>
    </w:tbl>
    <w:p w14:paraId="6B25C9E1" w14:textId="77777777" w:rsidR="006F76EB" w:rsidRPr="00834D52" w:rsidRDefault="006F76EB" w:rsidP="006F76EB">
      <w:pPr>
        <w:spacing w:after="160" w:line="360" w:lineRule="auto"/>
        <w:ind w:right="-8"/>
        <w:rPr>
          <w:rFonts w:ascii="Sylfaen" w:hAnsi="Sylfaen"/>
          <w:sz w:val="24"/>
          <w:szCs w:val="24"/>
        </w:rPr>
      </w:pPr>
    </w:p>
    <w:tbl>
      <w:tblPr>
        <w:tblW w:w="9610" w:type="dxa"/>
        <w:jc w:val="center"/>
        <w:tblLayout w:type="fixed"/>
        <w:tblCellMar>
          <w:left w:w="0" w:type="dxa"/>
          <w:right w:w="0" w:type="dxa"/>
        </w:tblCellMar>
        <w:tblLook w:val="01E0" w:firstRow="1" w:lastRow="1" w:firstColumn="1" w:lastColumn="1" w:noHBand="0" w:noVBand="0"/>
      </w:tblPr>
      <w:tblGrid>
        <w:gridCol w:w="4142"/>
        <w:gridCol w:w="2240"/>
        <w:gridCol w:w="3228"/>
      </w:tblGrid>
      <w:tr w:rsidR="006F76EB" w:rsidRPr="00834D52" w14:paraId="41D005B0" w14:textId="77777777" w:rsidTr="00F71229">
        <w:trPr>
          <w:jc w:val="center"/>
        </w:trPr>
        <w:tc>
          <w:tcPr>
            <w:tcW w:w="4142" w:type="dxa"/>
            <w:tcBorders>
              <w:top w:val="single" w:sz="4" w:space="0" w:color="000000"/>
              <w:left w:val="single" w:sz="4" w:space="0" w:color="000000"/>
              <w:bottom w:val="single" w:sz="4" w:space="0" w:color="000000"/>
              <w:right w:val="single" w:sz="4" w:space="0" w:color="000000"/>
            </w:tcBorders>
          </w:tcPr>
          <w:p w14:paraId="23BE9A7A" w14:textId="77777777" w:rsidR="006F76EB" w:rsidRPr="00834D52" w:rsidRDefault="006F76EB" w:rsidP="00285E87">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lastRenderedPageBreak/>
              <w:t>ամսաթիվը</w:t>
            </w:r>
          </w:p>
        </w:tc>
        <w:tc>
          <w:tcPr>
            <w:tcW w:w="5468" w:type="dxa"/>
            <w:gridSpan w:val="2"/>
            <w:tcBorders>
              <w:top w:val="single" w:sz="4" w:space="0" w:color="000000"/>
              <w:left w:val="single" w:sz="4" w:space="0" w:color="000000"/>
              <w:bottom w:val="single" w:sz="4" w:space="0" w:color="000000"/>
              <w:right w:val="single" w:sz="4" w:space="0" w:color="000000"/>
            </w:tcBorders>
          </w:tcPr>
          <w:p w14:paraId="62390DB7" w14:textId="77777777" w:rsidR="006F76EB" w:rsidRPr="00834D52" w:rsidRDefault="006F76EB" w:rsidP="00285E87">
            <w:pPr>
              <w:spacing w:after="120" w:line="240" w:lineRule="auto"/>
              <w:ind w:right="-6"/>
              <w:rPr>
                <w:rFonts w:ascii="Sylfaen" w:hAnsi="Sylfaen"/>
                <w:sz w:val="24"/>
                <w:szCs w:val="24"/>
              </w:rPr>
            </w:pPr>
          </w:p>
        </w:tc>
      </w:tr>
      <w:tr w:rsidR="006F76EB" w:rsidRPr="00834D52" w14:paraId="7FA1E96F" w14:textId="77777777" w:rsidTr="00F71229">
        <w:trPr>
          <w:jc w:val="center"/>
        </w:trPr>
        <w:tc>
          <w:tcPr>
            <w:tcW w:w="6382" w:type="dxa"/>
            <w:gridSpan w:val="2"/>
            <w:tcBorders>
              <w:top w:val="single" w:sz="4" w:space="0" w:color="000000"/>
              <w:left w:val="single" w:sz="4" w:space="0" w:color="000000"/>
              <w:bottom w:val="single" w:sz="4" w:space="0" w:color="000000"/>
              <w:right w:val="single" w:sz="4" w:space="0" w:color="000000"/>
            </w:tcBorders>
          </w:tcPr>
          <w:p w14:paraId="64771377" w14:textId="77777777" w:rsidR="006F76EB" w:rsidRPr="00834D52" w:rsidRDefault="006F76EB" w:rsidP="00285E87">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հազվադեպ կիրառվող («որբ») դեղապատրաստուկի գրանցման հավաստագրի համարը</w:t>
            </w:r>
          </w:p>
        </w:tc>
        <w:tc>
          <w:tcPr>
            <w:tcW w:w="3228" w:type="dxa"/>
            <w:tcBorders>
              <w:top w:val="single" w:sz="4" w:space="0" w:color="000000"/>
              <w:left w:val="single" w:sz="4" w:space="0" w:color="000000"/>
              <w:bottom w:val="single" w:sz="4" w:space="0" w:color="000000"/>
              <w:right w:val="single" w:sz="4" w:space="0" w:color="000000"/>
            </w:tcBorders>
          </w:tcPr>
          <w:p w14:paraId="4732B6F7" w14:textId="77777777" w:rsidR="006F76EB" w:rsidRPr="00834D52" w:rsidRDefault="006F76EB" w:rsidP="00285E87">
            <w:pPr>
              <w:spacing w:after="120" w:line="240" w:lineRule="auto"/>
              <w:ind w:right="-6"/>
              <w:rPr>
                <w:rFonts w:ascii="Sylfaen" w:hAnsi="Sylfaen"/>
                <w:sz w:val="24"/>
                <w:szCs w:val="24"/>
              </w:rPr>
            </w:pPr>
          </w:p>
        </w:tc>
      </w:tr>
      <w:tr w:rsidR="006F76EB" w:rsidRPr="00834D52" w14:paraId="74136461" w14:textId="77777777" w:rsidTr="00F71229">
        <w:trPr>
          <w:jc w:val="center"/>
        </w:trPr>
        <w:tc>
          <w:tcPr>
            <w:tcW w:w="6382" w:type="dxa"/>
            <w:gridSpan w:val="2"/>
            <w:tcBorders>
              <w:top w:val="single" w:sz="4" w:space="0" w:color="000000"/>
              <w:left w:val="single" w:sz="4" w:space="0" w:color="000000"/>
              <w:bottom w:val="single" w:sz="4" w:space="0" w:color="000000"/>
              <w:right w:val="single" w:sz="4" w:space="0" w:color="000000"/>
            </w:tcBorders>
          </w:tcPr>
          <w:p w14:paraId="01854103" w14:textId="77777777" w:rsidR="006F76EB" w:rsidRPr="00834D52" w:rsidRDefault="006F76EB" w:rsidP="00285E87">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պետությունները </w:t>
            </w:r>
            <w:r w:rsidR="00C54D75">
              <w:rPr>
                <w:rFonts w:ascii="Sylfaen" w:hAnsi="Sylfaen"/>
                <w:sz w:val="24"/>
                <w:szCs w:val="24"/>
              </w:rPr>
              <w:t>և</w:t>
            </w:r>
            <w:r w:rsidRPr="00834D52">
              <w:rPr>
                <w:rFonts w:ascii="Sylfaen" w:hAnsi="Sylfaen"/>
                <w:sz w:val="24"/>
                <w:szCs w:val="24"/>
              </w:rPr>
              <w:t xml:space="preserve"> (կամ) այլ պետություններ, որոնք տվյալ դեղապատրաստուկին շնորհել են հազվադեպ կիրառվող («որբ») դեղապատրաստուկի կարգավիճակ </w:t>
            </w:r>
          </w:p>
        </w:tc>
        <w:tc>
          <w:tcPr>
            <w:tcW w:w="3228" w:type="dxa"/>
            <w:tcBorders>
              <w:top w:val="single" w:sz="4" w:space="0" w:color="000000"/>
              <w:left w:val="single" w:sz="4" w:space="0" w:color="000000"/>
              <w:bottom w:val="single" w:sz="4" w:space="0" w:color="000000"/>
              <w:right w:val="single" w:sz="4" w:space="0" w:color="000000"/>
            </w:tcBorders>
          </w:tcPr>
          <w:p w14:paraId="701BC2F7" w14:textId="77777777" w:rsidR="006F76EB" w:rsidRPr="00834D52" w:rsidRDefault="006F76EB" w:rsidP="00285E87">
            <w:pPr>
              <w:spacing w:after="120" w:line="240" w:lineRule="auto"/>
              <w:ind w:right="-6"/>
              <w:rPr>
                <w:rFonts w:ascii="Sylfaen" w:hAnsi="Sylfaen"/>
                <w:sz w:val="24"/>
                <w:szCs w:val="24"/>
              </w:rPr>
            </w:pPr>
          </w:p>
        </w:tc>
      </w:tr>
    </w:tbl>
    <w:p w14:paraId="26FEE323"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Հազվադեպ կիրառվող («որբ») դեղապատրաստուկի կարգավիճակի շնորհումը մերժվել է՝</w:t>
      </w:r>
    </w:p>
    <w:tbl>
      <w:tblPr>
        <w:tblW w:w="0" w:type="auto"/>
        <w:jc w:val="center"/>
        <w:tblLayout w:type="fixed"/>
        <w:tblCellMar>
          <w:left w:w="0" w:type="dxa"/>
          <w:right w:w="0" w:type="dxa"/>
        </w:tblCellMar>
        <w:tblLook w:val="01E0" w:firstRow="1" w:lastRow="1" w:firstColumn="1" w:lastColumn="1" w:noHBand="0" w:noVBand="0"/>
      </w:tblPr>
      <w:tblGrid>
        <w:gridCol w:w="4142"/>
        <w:gridCol w:w="5468"/>
      </w:tblGrid>
      <w:tr w:rsidR="006F76EB" w:rsidRPr="00834D52" w14:paraId="6F39101B" w14:textId="77777777" w:rsidTr="00F71229">
        <w:trPr>
          <w:jc w:val="center"/>
        </w:trPr>
        <w:tc>
          <w:tcPr>
            <w:tcW w:w="4142" w:type="dxa"/>
            <w:tcBorders>
              <w:top w:val="single" w:sz="4" w:space="0" w:color="000000"/>
              <w:left w:val="single" w:sz="4" w:space="0" w:color="000000"/>
              <w:bottom w:val="single" w:sz="4" w:space="0" w:color="000000"/>
              <w:right w:val="single" w:sz="4" w:space="0" w:color="000000"/>
            </w:tcBorders>
          </w:tcPr>
          <w:p w14:paraId="1B5C7FF9" w14:textId="77777777" w:rsidR="006F76EB" w:rsidRPr="00834D52" w:rsidRDefault="006F76EB" w:rsidP="00D87E6B">
            <w:pPr>
              <w:spacing w:after="120" w:line="240" w:lineRule="auto"/>
              <w:ind w:left="181" w:right="-8"/>
              <w:rPr>
                <w:rFonts w:ascii="Sylfaen" w:eastAsia="Times New Roman" w:hAnsi="Sylfaen" w:cs="Times New Roman"/>
                <w:sz w:val="24"/>
                <w:szCs w:val="24"/>
              </w:rPr>
            </w:pPr>
            <w:r w:rsidRPr="00834D52">
              <w:rPr>
                <w:rFonts w:ascii="Sylfaen" w:hAnsi="Sylfaen"/>
                <w:sz w:val="24"/>
                <w:szCs w:val="24"/>
              </w:rPr>
              <w:t>ամսաթիվը</w:t>
            </w:r>
          </w:p>
        </w:tc>
        <w:tc>
          <w:tcPr>
            <w:tcW w:w="5468" w:type="dxa"/>
            <w:tcBorders>
              <w:top w:val="single" w:sz="4" w:space="0" w:color="000000"/>
              <w:left w:val="single" w:sz="4" w:space="0" w:color="000000"/>
              <w:bottom w:val="single" w:sz="4" w:space="0" w:color="000000"/>
              <w:right w:val="single" w:sz="4" w:space="0" w:color="000000"/>
            </w:tcBorders>
          </w:tcPr>
          <w:p w14:paraId="46A62728" w14:textId="77777777" w:rsidR="006F76EB" w:rsidRPr="00834D52" w:rsidRDefault="006F76EB" w:rsidP="00F71229">
            <w:pPr>
              <w:spacing w:after="160" w:line="360" w:lineRule="auto"/>
              <w:ind w:left="180" w:right="-8"/>
              <w:rPr>
                <w:rFonts w:ascii="Sylfaen" w:hAnsi="Sylfaen"/>
                <w:sz w:val="24"/>
                <w:szCs w:val="24"/>
              </w:rPr>
            </w:pPr>
          </w:p>
        </w:tc>
      </w:tr>
      <w:tr w:rsidR="006F76EB" w:rsidRPr="00834D52" w14:paraId="78E6C6FF" w14:textId="77777777" w:rsidTr="00F71229">
        <w:trPr>
          <w:jc w:val="center"/>
        </w:trPr>
        <w:tc>
          <w:tcPr>
            <w:tcW w:w="4142" w:type="dxa"/>
            <w:tcBorders>
              <w:top w:val="single" w:sz="4" w:space="0" w:color="000000"/>
              <w:left w:val="single" w:sz="4" w:space="0" w:color="000000"/>
              <w:bottom w:val="single" w:sz="4" w:space="0" w:color="000000"/>
              <w:right w:val="single" w:sz="4" w:space="0" w:color="000000"/>
            </w:tcBorders>
          </w:tcPr>
          <w:p w14:paraId="7B2BCF32" w14:textId="77777777" w:rsidR="006F76EB" w:rsidRPr="00834D52" w:rsidRDefault="006F76EB" w:rsidP="00D87E6B">
            <w:pPr>
              <w:spacing w:after="120" w:line="240" w:lineRule="auto"/>
              <w:ind w:left="181" w:right="-8"/>
              <w:rPr>
                <w:rFonts w:ascii="Sylfaen" w:eastAsia="Times New Roman" w:hAnsi="Sylfaen" w:cs="Times New Roman"/>
                <w:sz w:val="24"/>
                <w:szCs w:val="24"/>
              </w:rPr>
            </w:pPr>
            <w:r w:rsidRPr="00834D52">
              <w:rPr>
                <w:rFonts w:ascii="Sylfaen" w:hAnsi="Sylfaen"/>
                <w:sz w:val="24"/>
                <w:szCs w:val="24"/>
              </w:rPr>
              <w:t>որոշման համարը</w:t>
            </w:r>
          </w:p>
        </w:tc>
        <w:tc>
          <w:tcPr>
            <w:tcW w:w="5468" w:type="dxa"/>
            <w:tcBorders>
              <w:top w:val="single" w:sz="4" w:space="0" w:color="000000"/>
              <w:left w:val="single" w:sz="4" w:space="0" w:color="000000"/>
              <w:bottom w:val="single" w:sz="4" w:space="0" w:color="000000"/>
              <w:right w:val="single" w:sz="4" w:space="0" w:color="000000"/>
            </w:tcBorders>
          </w:tcPr>
          <w:p w14:paraId="5AB8A6E0" w14:textId="77777777" w:rsidR="006F76EB" w:rsidRPr="00834D52" w:rsidRDefault="006F76EB" w:rsidP="00F71229">
            <w:pPr>
              <w:spacing w:after="160" w:line="360" w:lineRule="auto"/>
              <w:ind w:left="180" w:right="-8"/>
              <w:rPr>
                <w:rFonts w:ascii="Sylfaen" w:hAnsi="Sylfaen"/>
                <w:sz w:val="24"/>
                <w:szCs w:val="24"/>
              </w:rPr>
            </w:pPr>
          </w:p>
        </w:tc>
      </w:tr>
      <w:tr w:rsidR="006F76EB" w:rsidRPr="00834D52" w14:paraId="1F5EB017" w14:textId="77777777" w:rsidTr="00F71229">
        <w:trPr>
          <w:jc w:val="center"/>
        </w:trPr>
        <w:tc>
          <w:tcPr>
            <w:tcW w:w="9610" w:type="dxa"/>
            <w:gridSpan w:val="2"/>
            <w:tcBorders>
              <w:top w:val="single" w:sz="4" w:space="0" w:color="000000"/>
              <w:left w:val="single" w:sz="4" w:space="0" w:color="000000"/>
              <w:bottom w:val="single" w:sz="4" w:space="0" w:color="000000"/>
              <w:right w:val="single" w:sz="4" w:space="0" w:color="000000"/>
            </w:tcBorders>
          </w:tcPr>
          <w:p w14:paraId="486D2CDB" w14:textId="77777777" w:rsidR="006F76EB" w:rsidRPr="00834D52" w:rsidRDefault="006F76EB" w:rsidP="00D87E6B">
            <w:pPr>
              <w:spacing w:after="120" w:line="240" w:lineRule="auto"/>
              <w:ind w:left="181" w:right="-8"/>
              <w:rPr>
                <w:rFonts w:ascii="Sylfaen" w:eastAsia="Times New Roman" w:hAnsi="Sylfaen" w:cs="Times New Roman"/>
                <w:sz w:val="24"/>
                <w:szCs w:val="24"/>
              </w:rPr>
            </w:pPr>
            <w:r w:rsidRPr="00834D52">
              <w:rPr>
                <w:rFonts w:ascii="Sylfaen" w:hAnsi="Sylfaen"/>
                <w:sz w:val="24"/>
                <w:szCs w:val="24"/>
              </w:rPr>
              <w:t>կարգավիճակի շնորհման վերաբերյալ հայտը հետ է կանչվել</w:t>
            </w:r>
          </w:p>
        </w:tc>
      </w:tr>
      <w:tr w:rsidR="006F76EB" w:rsidRPr="00834D52" w14:paraId="2574881D" w14:textId="77777777" w:rsidTr="00F71229">
        <w:trPr>
          <w:jc w:val="center"/>
        </w:trPr>
        <w:tc>
          <w:tcPr>
            <w:tcW w:w="4142" w:type="dxa"/>
            <w:tcBorders>
              <w:top w:val="single" w:sz="4" w:space="0" w:color="000000"/>
              <w:left w:val="single" w:sz="4" w:space="0" w:color="000000"/>
              <w:bottom w:val="single" w:sz="4" w:space="0" w:color="000000"/>
              <w:right w:val="single" w:sz="4" w:space="0" w:color="000000"/>
            </w:tcBorders>
          </w:tcPr>
          <w:p w14:paraId="0E9636BA" w14:textId="77777777" w:rsidR="006F76EB" w:rsidRPr="00834D52" w:rsidRDefault="006F76EB" w:rsidP="00D87E6B">
            <w:pPr>
              <w:spacing w:after="120" w:line="240" w:lineRule="auto"/>
              <w:ind w:left="181" w:right="-8"/>
              <w:rPr>
                <w:rFonts w:ascii="Sylfaen" w:eastAsia="Times New Roman" w:hAnsi="Sylfaen" w:cs="Times New Roman"/>
                <w:sz w:val="24"/>
                <w:szCs w:val="24"/>
              </w:rPr>
            </w:pPr>
            <w:r w:rsidRPr="00834D52">
              <w:rPr>
                <w:rFonts w:ascii="Sylfaen" w:hAnsi="Sylfaen"/>
                <w:sz w:val="24"/>
                <w:szCs w:val="24"/>
              </w:rPr>
              <w:t>ամսաթիվը</w:t>
            </w:r>
          </w:p>
        </w:tc>
        <w:tc>
          <w:tcPr>
            <w:tcW w:w="5468" w:type="dxa"/>
            <w:tcBorders>
              <w:top w:val="single" w:sz="4" w:space="0" w:color="000000"/>
              <w:left w:val="single" w:sz="4" w:space="0" w:color="000000"/>
              <w:bottom w:val="single" w:sz="4" w:space="0" w:color="000000"/>
              <w:right w:val="single" w:sz="4" w:space="0" w:color="000000"/>
            </w:tcBorders>
          </w:tcPr>
          <w:p w14:paraId="33BE4547" w14:textId="77777777" w:rsidR="006F76EB" w:rsidRPr="00834D52" w:rsidRDefault="006F76EB" w:rsidP="00F71229">
            <w:pPr>
              <w:spacing w:after="160" w:line="360" w:lineRule="auto"/>
              <w:ind w:left="180" w:right="-8"/>
              <w:rPr>
                <w:rFonts w:ascii="Sylfaen" w:hAnsi="Sylfaen"/>
                <w:sz w:val="24"/>
                <w:szCs w:val="24"/>
              </w:rPr>
            </w:pPr>
          </w:p>
        </w:tc>
      </w:tr>
      <w:tr w:rsidR="006F76EB" w:rsidRPr="00834D52" w14:paraId="29795321" w14:textId="77777777" w:rsidTr="00F71229">
        <w:trPr>
          <w:jc w:val="center"/>
        </w:trPr>
        <w:tc>
          <w:tcPr>
            <w:tcW w:w="9610" w:type="dxa"/>
            <w:gridSpan w:val="2"/>
            <w:tcBorders>
              <w:top w:val="single" w:sz="4" w:space="0" w:color="000000"/>
              <w:left w:val="single" w:sz="4" w:space="0" w:color="000000"/>
              <w:bottom w:val="single" w:sz="4" w:space="0" w:color="000000"/>
              <w:right w:val="single" w:sz="4" w:space="0" w:color="000000"/>
            </w:tcBorders>
          </w:tcPr>
          <w:p w14:paraId="029699C7" w14:textId="77777777" w:rsidR="006F76EB" w:rsidRPr="00834D52" w:rsidRDefault="006F76EB" w:rsidP="00D87E6B">
            <w:pPr>
              <w:spacing w:after="120" w:line="240" w:lineRule="auto"/>
              <w:ind w:left="181" w:right="45"/>
              <w:jc w:val="both"/>
              <w:rPr>
                <w:rFonts w:ascii="Sylfaen" w:eastAsia="Times New Roman" w:hAnsi="Sylfaen" w:cs="Times New Roman"/>
                <w:sz w:val="24"/>
                <w:szCs w:val="24"/>
              </w:rPr>
            </w:pPr>
            <w:r w:rsidRPr="00834D52">
              <w:rPr>
                <w:rFonts w:ascii="Sylfaen" w:hAnsi="Sylfaen"/>
                <w:sz w:val="24"/>
                <w:szCs w:val="24"/>
              </w:rPr>
              <w:t>դեղապատրաստուկին հազվադեպ կիրառվող («որբ») դեղապատրաստուկի կարգավիճակի շնորհումը հաստատող</w:t>
            </w:r>
          </w:p>
          <w:p w14:paraId="66962794" w14:textId="77777777" w:rsidR="006F76EB" w:rsidRPr="00834D52" w:rsidRDefault="006F76EB" w:rsidP="00D87E6B">
            <w:pPr>
              <w:spacing w:after="120" w:line="240" w:lineRule="auto"/>
              <w:ind w:left="181" w:right="45"/>
              <w:jc w:val="both"/>
              <w:rPr>
                <w:rFonts w:ascii="Sylfaen" w:eastAsia="Times New Roman" w:hAnsi="Sylfaen" w:cs="Times New Roman"/>
                <w:sz w:val="24"/>
                <w:szCs w:val="24"/>
              </w:rPr>
            </w:pPr>
            <w:r w:rsidRPr="00834D52">
              <w:rPr>
                <w:rFonts w:ascii="Sylfaen" w:hAnsi="Sylfaen"/>
                <w:sz w:val="24"/>
                <w:szCs w:val="24"/>
              </w:rPr>
              <w:t>փաստաթղթի պատճենը (առկայության դեպքում) (սույն հայտի հավելվածի</w:t>
            </w:r>
            <w:r w:rsidRPr="00834D52">
              <w:rPr>
                <w:rFonts w:ascii="Sylfaen" w:hAnsi="Sylfaen"/>
                <w:sz w:val="24"/>
                <w:szCs w:val="24"/>
              </w:rPr>
              <w:br/>
              <w:t xml:space="preserve">5.2 ենթակետ): </w:t>
            </w:r>
          </w:p>
        </w:tc>
      </w:tr>
    </w:tbl>
    <w:p w14:paraId="2E76D4DB"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p>
    <w:p w14:paraId="1FD0B46C" w14:textId="77777777" w:rsidR="006F76EB" w:rsidRPr="00B51587" w:rsidRDefault="006F76EB" w:rsidP="00B51587">
      <w:pPr>
        <w:widowControl/>
        <w:jc w:val="center"/>
        <w:rPr>
          <w:rFonts w:ascii="Sylfaen" w:hAnsi="Sylfaen"/>
          <w:sz w:val="24"/>
          <w:szCs w:val="24"/>
        </w:rPr>
      </w:pPr>
      <w:r w:rsidRPr="00834D52">
        <w:rPr>
          <w:rFonts w:ascii="Sylfaen" w:hAnsi="Sylfaen"/>
          <w:sz w:val="24"/>
          <w:szCs w:val="24"/>
        </w:rPr>
        <w:t>3. Հայտի հատուկ կետերը</w:t>
      </w:r>
    </w:p>
    <w:tbl>
      <w:tblPr>
        <w:tblW w:w="9609" w:type="dxa"/>
        <w:jc w:val="center"/>
        <w:tblLayout w:type="fixed"/>
        <w:tblCellMar>
          <w:left w:w="0" w:type="dxa"/>
          <w:right w:w="0" w:type="dxa"/>
        </w:tblCellMar>
        <w:tblLook w:val="01E0" w:firstRow="1" w:lastRow="1" w:firstColumn="1" w:lastColumn="1" w:noHBand="0" w:noVBand="0"/>
      </w:tblPr>
      <w:tblGrid>
        <w:gridCol w:w="5373"/>
        <w:gridCol w:w="4236"/>
      </w:tblGrid>
      <w:tr w:rsidR="006F76EB" w:rsidRPr="00834D52" w14:paraId="3453562E" w14:textId="77777777" w:rsidTr="00F71229">
        <w:trPr>
          <w:jc w:val="center"/>
        </w:trPr>
        <w:tc>
          <w:tcPr>
            <w:tcW w:w="5373" w:type="dxa"/>
            <w:tcBorders>
              <w:top w:val="single" w:sz="4" w:space="0" w:color="000000"/>
              <w:left w:val="single" w:sz="4" w:space="0" w:color="000000"/>
              <w:bottom w:val="single" w:sz="4" w:space="0" w:color="000000"/>
              <w:right w:val="single" w:sz="4" w:space="0" w:color="000000"/>
            </w:tcBorders>
          </w:tcPr>
          <w:p w14:paraId="24A64510" w14:textId="77777777" w:rsidR="006F76EB" w:rsidRPr="00834D52" w:rsidRDefault="006F76EB" w:rsidP="00923BA3">
            <w:pPr>
              <w:tabs>
                <w:tab w:val="left" w:pos="1114"/>
              </w:tabs>
              <w:spacing w:after="120" w:line="240" w:lineRule="auto"/>
              <w:ind w:left="38" w:right="-6" w:firstLine="1"/>
              <w:rPr>
                <w:rFonts w:ascii="Sylfaen" w:eastAsia="Times New Roman" w:hAnsi="Sylfaen" w:cs="Times New Roman"/>
                <w:sz w:val="24"/>
                <w:szCs w:val="24"/>
              </w:rPr>
            </w:pPr>
            <w:r w:rsidRPr="00834D52">
              <w:rPr>
                <w:rFonts w:ascii="Sylfaen" w:hAnsi="Sylfaen"/>
                <w:sz w:val="24"/>
                <w:szCs w:val="24"/>
              </w:rPr>
              <w:t>3.1.</w:t>
            </w:r>
            <w:r w:rsidRPr="00834D52">
              <w:rPr>
                <w:rFonts w:ascii="Sylfaen" w:hAnsi="Sylfaen"/>
                <w:sz w:val="24"/>
                <w:szCs w:val="24"/>
              </w:rPr>
              <w:tab/>
              <w:t xml:space="preserve">Անվանումը </w:t>
            </w:r>
            <w:r w:rsidR="00C54D75">
              <w:rPr>
                <w:rFonts w:ascii="Sylfaen" w:hAnsi="Sylfaen"/>
                <w:sz w:val="24"/>
                <w:szCs w:val="24"/>
              </w:rPr>
              <w:t>և</w:t>
            </w:r>
            <w:r w:rsidRPr="00834D52">
              <w:rPr>
                <w:rFonts w:ascii="Sylfaen" w:hAnsi="Sylfaen"/>
                <w:sz w:val="24"/>
                <w:szCs w:val="24"/>
              </w:rPr>
              <w:t xml:space="preserve"> ԱԲՔ ծածկագիրը</w:t>
            </w:r>
          </w:p>
        </w:tc>
        <w:tc>
          <w:tcPr>
            <w:tcW w:w="4236" w:type="dxa"/>
            <w:tcBorders>
              <w:top w:val="single" w:sz="4" w:space="0" w:color="000000"/>
              <w:left w:val="single" w:sz="4" w:space="0" w:color="000000"/>
              <w:bottom w:val="single" w:sz="4" w:space="0" w:color="000000"/>
              <w:right w:val="single" w:sz="4" w:space="0" w:color="000000"/>
            </w:tcBorders>
          </w:tcPr>
          <w:p w14:paraId="19B448A3" w14:textId="77777777" w:rsidR="006F76EB" w:rsidRPr="00834D52" w:rsidRDefault="006F76EB" w:rsidP="00923BA3">
            <w:pPr>
              <w:spacing w:after="120" w:line="240" w:lineRule="auto"/>
              <w:ind w:right="-6"/>
              <w:rPr>
                <w:rFonts w:ascii="Sylfaen" w:hAnsi="Sylfaen"/>
                <w:sz w:val="24"/>
                <w:szCs w:val="24"/>
              </w:rPr>
            </w:pPr>
          </w:p>
        </w:tc>
      </w:tr>
      <w:tr w:rsidR="006F76EB" w:rsidRPr="00834D52" w14:paraId="742353A1" w14:textId="77777777" w:rsidTr="00F71229">
        <w:trPr>
          <w:jc w:val="center"/>
        </w:trPr>
        <w:tc>
          <w:tcPr>
            <w:tcW w:w="5373" w:type="dxa"/>
            <w:tcBorders>
              <w:top w:val="single" w:sz="4" w:space="0" w:color="000000"/>
              <w:left w:val="single" w:sz="4" w:space="0" w:color="000000"/>
              <w:bottom w:val="single" w:sz="4" w:space="0" w:color="000000"/>
              <w:right w:val="single" w:sz="4" w:space="0" w:color="000000"/>
            </w:tcBorders>
          </w:tcPr>
          <w:p w14:paraId="7C1DE8B1" w14:textId="77777777" w:rsidR="006F76EB" w:rsidRPr="00834D52" w:rsidRDefault="006F76EB" w:rsidP="00923BA3">
            <w:pPr>
              <w:tabs>
                <w:tab w:val="left" w:pos="1114"/>
              </w:tabs>
              <w:spacing w:after="120" w:line="240" w:lineRule="auto"/>
              <w:ind w:left="38" w:right="-6" w:firstLine="1"/>
              <w:rPr>
                <w:rFonts w:ascii="Sylfaen" w:eastAsia="Times New Roman" w:hAnsi="Sylfaen" w:cs="Times New Roman"/>
                <w:sz w:val="24"/>
                <w:szCs w:val="24"/>
              </w:rPr>
            </w:pPr>
            <w:r w:rsidRPr="00834D52">
              <w:rPr>
                <w:rFonts w:ascii="Sylfaen" w:hAnsi="Sylfaen"/>
                <w:sz w:val="24"/>
                <w:szCs w:val="24"/>
              </w:rPr>
              <w:t xml:space="preserve">3.1.1. </w:t>
            </w:r>
            <w:r w:rsidRPr="00834D52">
              <w:rPr>
                <w:rFonts w:ascii="Sylfaen" w:hAnsi="Sylfaen"/>
                <w:sz w:val="24"/>
                <w:szCs w:val="24"/>
                <w:lang w:val="en-US"/>
              </w:rPr>
              <w:tab/>
            </w:r>
            <w:r w:rsidRPr="00834D52">
              <w:rPr>
                <w:rFonts w:ascii="Sylfaen" w:hAnsi="Sylfaen"/>
                <w:sz w:val="24"/>
                <w:szCs w:val="24"/>
              </w:rPr>
              <w:t>Դեղապատրաստուկի անվանումը</w:t>
            </w:r>
          </w:p>
        </w:tc>
        <w:tc>
          <w:tcPr>
            <w:tcW w:w="4236" w:type="dxa"/>
            <w:tcBorders>
              <w:top w:val="single" w:sz="4" w:space="0" w:color="000000"/>
              <w:left w:val="single" w:sz="4" w:space="0" w:color="000000"/>
              <w:bottom w:val="single" w:sz="4" w:space="0" w:color="000000"/>
              <w:right w:val="single" w:sz="4" w:space="0" w:color="000000"/>
            </w:tcBorders>
          </w:tcPr>
          <w:p w14:paraId="2274C12B" w14:textId="77777777" w:rsidR="006F76EB" w:rsidRPr="00834D52" w:rsidRDefault="006F76EB" w:rsidP="00923BA3">
            <w:pPr>
              <w:spacing w:after="120" w:line="240" w:lineRule="auto"/>
              <w:ind w:right="-6"/>
              <w:rPr>
                <w:rFonts w:ascii="Sylfaen" w:hAnsi="Sylfaen"/>
                <w:sz w:val="24"/>
                <w:szCs w:val="24"/>
              </w:rPr>
            </w:pPr>
          </w:p>
        </w:tc>
      </w:tr>
      <w:tr w:rsidR="006F76EB" w:rsidRPr="00834D52" w14:paraId="50DD5D89" w14:textId="77777777" w:rsidTr="00F71229">
        <w:trPr>
          <w:jc w:val="center"/>
        </w:trPr>
        <w:tc>
          <w:tcPr>
            <w:tcW w:w="5373" w:type="dxa"/>
            <w:tcBorders>
              <w:top w:val="single" w:sz="4" w:space="0" w:color="000000"/>
              <w:left w:val="single" w:sz="4" w:space="0" w:color="000000"/>
              <w:bottom w:val="single" w:sz="4" w:space="0" w:color="000000"/>
              <w:right w:val="single" w:sz="4" w:space="0" w:color="000000"/>
            </w:tcBorders>
          </w:tcPr>
          <w:p w14:paraId="0A4C2C7F" w14:textId="77777777" w:rsidR="006F76EB" w:rsidRPr="00834D52" w:rsidRDefault="006F76EB" w:rsidP="00923BA3">
            <w:pPr>
              <w:tabs>
                <w:tab w:val="left" w:pos="1114"/>
              </w:tabs>
              <w:spacing w:after="120" w:line="240" w:lineRule="auto"/>
              <w:ind w:left="38" w:right="-6" w:firstLine="1"/>
              <w:rPr>
                <w:rFonts w:ascii="Sylfaen" w:eastAsia="Times New Roman" w:hAnsi="Sylfaen" w:cs="Times New Roman"/>
                <w:sz w:val="24"/>
                <w:szCs w:val="24"/>
              </w:rPr>
            </w:pPr>
            <w:r w:rsidRPr="00834D52">
              <w:rPr>
                <w:rFonts w:ascii="Sylfaen" w:hAnsi="Sylfaen"/>
                <w:sz w:val="24"/>
                <w:szCs w:val="24"/>
              </w:rPr>
              <w:t>3.1.2.</w:t>
            </w:r>
            <w:r w:rsidRPr="00834D52">
              <w:rPr>
                <w:rFonts w:ascii="Sylfaen" w:hAnsi="Sylfaen"/>
                <w:sz w:val="24"/>
                <w:szCs w:val="24"/>
              </w:rPr>
              <w:tab/>
              <w:t>ԱԴԲ-ի անվանումը կամ բաղադրությունը</w:t>
            </w:r>
          </w:p>
        </w:tc>
        <w:tc>
          <w:tcPr>
            <w:tcW w:w="4236" w:type="dxa"/>
            <w:tcBorders>
              <w:top w:val="single" w:sz="4" w:space="0" w:color="000000"/>
              <w:left w:val="single" w:sz="4" w:space="0" w:color="000000"/>
              <w:bottom w:val="single" w:sz="4" w:space="0" w:color="000000"/>
              <w:right w:val="single" w:sz="4" w:space="0" w:color="000000"/>
            </w:tcBorders>
          </w:tcPr>
          <w:p w14:paraId="2753B1EB" w14:textId="77777777" w:rsidR="006F76EB" w:rsidRPr="00834D52" w:rsidRDefault="006F76EB" w:rsidP="00923BA3">
            <w:pPr>
              <w:spacing w:after="120" w:line="240" w:lineRule="auto"/>
              <w:ind w:right="-6"/>
              <w:rPr>
                <w:rFonts w:ascii="Sylfaen" w:hAnsi="Sylfaen"/>
                <w:sz w:val="24"/>
                <w:szCs w:val="24"/>
              </w:rPr>
            </w:pPr>
          </w:p>
        </w:tc>
      </w:tr>
    </w:tbl>
    <w:p w14:paraId="575A3074" w14:textId="77777777" w:rsidR="006F76EB" w:rsidRPr="00F26B87" w:rsidRDefault="006F76EB" w:rsidP="00923BA3">
      <w:pPr>
        <w:spacing w:after="160" w:line="336" w:lineRule="auto"/>
        <w:ind w:right="-6" w:firstLine="567"/>
        <w:jc w:val="both"/>
        <w:rPr>
          <w:rFonts w:ascii="Sylfaen" w:hAnsi="Sylfaen"/>
          <w:sz w:val="24"/>
          <w:szCs w:val="24"/>
        </w:rPr>
      </w:pPr>
      <w:r w:rsidRPr="00834D52">
        <w:rPr>
          <w:rFonts w:ascii="Sylfaen" w:hAnsi="Sylfaen"/>
          <w:sz w:val="24"/>
          <w:szCs w:val="24"/>
        </w:rPr>
        <w:t>Ծանոթագրություն. Միայն մեկ անվանում պետք է բերվի հետ</w:t>
      </w:r>
      <w:r w:rsidR="00C54D75">
        <w:rPr>
          <w:rFonts w:ascii="Sylfaen" w:hAnsi="Sylfaen"/>
          <w:sz w:val="24"/>
          <w:szCs w:val="24"/>
        </w:rPr>
        <w:t>և</w:t>
      </w:r>
      <w:r w:rsidRPr="00834D52">
        <w:rPr>
          <w:rFonts w:ascii="Sylfaen" w:hAnsi="Sylfaen"/>
          <w:sz w:val="24"/>
          <w:szCs w:val="24"/>
        </w:rPr>
        <w:t>յալ կարգով՝ միջազգային չարտոնագրված անվանումը (այսուհետ՝ ՄՉԱ)</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անվանումը՝ ըստ Եվրասիական տնտեսական միության դեղագրքի, Եվրասիական տնտեսական միության անդամ պետությունների դեղագրքերի (կամ Եվրասիական տնտեսական հանձնաժողովի կողմից հաստատված Եվրասիական տնտեսական միության անդամ պետությունների դեղագրքերի ներդաշնակեցման հայեցակարգին համապատասխան հիմնական դեղագրքերի), համընդհանուր կամ խմբի անվանումը, գիտական (քիմիական) անվանումը:</w:t>
      </w:r>
    </w:p>
    <w:p w14:paraId="3A01AA42" w14:textId="77777777" w:rsidR="006F76EB" w:rsidRPr="00834D52" w:rsidRDefault="006F76EB" w:rsidP="00923BA3">
      <w:pPr>
        <w:tabs>
          <w:tab w:val="left" w:pos="1701"/>
        </w:tabs>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lastRenderedPageBreak/>
        <w:footnoteReference w:customMarkFollows="1" w:id="9"/>
        <w:t>3.1.3.</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թերապ</w:t>
      </w:r>
      <w:r w:rsidR="00C54D75">
        <w:rPr>
          <w:rFonts w:ascii="Sylfaen" w:hAnsi="Sylfaen"/>
          <w:sz w:val="24"/>
          <w:szCs w:val="24"/>
        </w:rPr>
        <w:t>և</w:t>
      </w:r>
      <w:r w:rsidRPr="00834D52">
        <w:rPr>
          <w:rFonts w:ascii="Sylfaen" w:hAnsi="Sylfaen"/>
          <w:sz w:val="24"/>
          <w:szCs w:val="24"/>
        </w:rPr>
        <w:t>տիկ խումբը</w:t>
      </w:r>
    </w:p>
    <w:p w14:paraId="6CED70D4"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(օգտագործեք ԱԲՔ գործող ծածկագիրը)</w:t>
      </w:r>
    </w:p>
    <w:tbl>
      <w:tblPr>
        <w:tblW w:w="9609" w:type="dxa"/>
        <w:jc w:val="center"/>
        <w:tblLayout w:type="fixed"/>
        <w:tblCellMar>
          <w:left w:w="0" w:type="dxa"/>
          <w:right w:w="0" w:type="dxa"/>
        </w:tblCellMar>
        <w:tblLook w:val="01E0" w:firstRow="1" w:lastRow="1" w:firstColumn="1" w:lastColumn="1" w:noHBand="0" w:noVBand="0"/>
      </w:tblPr>
      <w:tblGrid>
        <w:gridCol w:w="5090"/>
        <w:gridCol w:w="4519"/>
      </w:tblGrid>
      <w:tr w:rsidR="006F76EB" w:rsidRPr="00834D52" w14:paraId="145619F3"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C0E6076" w14:textId="77777777" w:rsidR="006F76EB" w:rsidRPr="002C43D7" w:rsidRDefault="006F76EB" w:rsidP="00923BA3">
            <w:pPr>
              <w:spacing w:after="160" w:line="360" w:lineRule="auto"/>
              <w:ind w:left="25" w:right="-8"/>
              <w:rPr>
                <w:rFonts w:ascii="Sylfaen" w:eastAsia="Times New Roman" w:hAnsi="Sylfaen" w:cs="Times New Roman"/>
                <w:sz w:val="24"/>
                <w:szCs w:val="24"/>
              </w:rPr>
            </w:pPr>
            <w:r w:rsidRPr="002C43D7">
              <w:rPr>
                <w:rFonts w:ascii="Sylfaen" w:hAnsi="Sylfaen"/>
                <w:sz w:val="24"/>
                <w:szCs w:val="24"/>
              </w:rPr>
              <w:t>ԱԲՔ ծածկագիրը</w:t>
            </w:r>
          </w:p>
        </w:tc>
        <w:tc>
          <w:tcPr>
            <w:tcW w:w="4519" w:type="dxa"/>
            <w:tcBorders>
              <w:top w:val="single" w:sz="4" w:space="0" w:color="000000"/>
              <w:left w:val="single" w:sz="4" w:space="0" w:color="000000"/>
              <w:bottom w:val="single" w:sz="4" w:space="0" w:color="000000"/>
              <w:right w:val="single" w:sz="4" w:space="0" w:color="000000"/>
            </w:tcBorders>
          </w:tcPr>
          <w:p w14:paraId="7E977AFC" w14:textId="77777777" w:rsidR="006F76EB" w:rsidRPr="00834D52" w:rsidRDefault="006F76EB" w:rsidP="00F71229">
            <w:pPr>
              <w:spacing w:after="160" w:line="360" w:lineRule="auto"/>
              <w:ind w:right="-8"/>
              <w:rPr>
                <w:rFonts w:ascii="Sylfaen" w:hAnsi="Sylfaen"/>
                <w:sz w:val="24"/>
                <w:szCs w:val="24"/>
              </w:rPr>
            </w:pPr>
          </w:p>
        </w:tc>
      </w:tr>
      <w:tr w:rsidR="006F76EB" w:rsidRPr="00834D52" w14:paraId="11119D99"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462E3141" w14:textId="77777777" w:rsidR="006F76EB" w:rsidRPr="002C43D7" w:rsidRDefault="006F76EB" w:rsidP="00923BA3">
            <w:pPr>
              <w:spacing w:after="160" w:line="360" w:lineRule="auto"/>
              <w:ind w:right="-8"/>
              <w:rPr>
                <w:rFonts w:ascii="Sylfaen" w:eastAsia="Times New Roman" w:hAnsi="Sylfaen" w:cs="Times New Roman"/>
                <w:sz w:val="24"/>
                <w:szCs w:val="24"/>
              </w:rPr>
            </w:pPr>
            <w:r w:rsidRPr="002C43D7">
              <w:rPr>
                <w:rFonts w:ascii="Sylfaen" w:hAnsi="Sylfaen"/>
                <w:sz w:val="24"/>
                <w:szCs w:val="24"/>
              </w:rPr>
              <w:t>Խումբը</w:t>
            </w:r>
          </w:p>
        </w:tc>
        <w:tc>
          <w:tcPr>
            <w:tcW w:w="4519" w:type="dxa"/>
            <w:tcBorders>
              <w:top w:val="single" w:sz="4" w:space="0" w:color="000000"/>
              <w:left w:val="single" w:sz="4" w:space="0" w:color="000000"/>
              <w:bottom w:val="single" w:sz="4" w:space="0" w:color="000000"/>
              <w:right w:val="single" w:sz="4" w:space="0" w:color="000000"/>
            </w:tcBorders>
          </w:tcPr>
          <w:p w14:paraId="75246A5E" w14:textId="77777777" w:rsidR="006F76EB" w:rsidRPr="00834D52" w:rsidRDefault="006F76EB" w:rsidP="00F71229">
            <w:pPr>
              <w:spacing w:after="160" w:line="360" w:lineRule="auto"/>
              <w:ind w:right="-8"/>
              <w:rPr>
                <w:rFonts w:ascii="Sylfaen" w:hAnsi="Sylfaen"/>
                <w:sz w:val="24"/>
                <w:szCs w:val="24"/>
              </w:rPr>
            </w:pPr>
          </w:p>
        </w:tc>
      </w:tr>
    </w:tbl>
    <w:p w14:paraId="6BD7BD63"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Եթե ԱԲՔ ծածկագիր շնորհված չէ, ապա նշե՛ք, թե արդյոք ներկայացվել է ԱԲՔ ծածկագրի շնորհման հայտ </w:t>
      </w:r>
    </w:p>
    <w:p w14:paraId="4E8971C1" w14:textId="77777777" w:rsidR="006F76EB" w:rsidRPr="00834D52" w:rsidRDefault="006F76EB" w:rsidP="00923BA3">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w:t>
      </w:r>
      <w:r w:rsidRPr="00834D52">
        <w:rPr>
          <w:rFonts w:ascii="Sylfaen" w:hAnsi="Sylfaen"/>
          <w:sz w:val="24"/>
          <w:szCs w:val="24"/>
        </w:rPr>
        <w:tab/>
        <w:t>Դոզավորումը, դեղաձ</w:t>
      </w:r>
      <w:r w:rsidR="00C54D75">
        <w:rPr>
          <w:rFonts w:ascii="Sylfaen" w:hAnsi="Sylfaen"/>
          <w:sz w:val="24"/>
          <w:szCs w:val="24"/>
        </w:rPr>
        <w:t>և</w:t>
      </w:r>
      <w:r w:rsidRPr="00834D52">
        <w:rPr>
          <w:rFonts w:ascii="Sylfaen" w:hAnsi="Sylfaen"/>
          <w:sz w:val="24"/>
          <w:szCs w:val="24"/>
        </w:rPr>
        <w:t xml:space="preserve">ը </w:t>
      </w:r>
      <w:r w:rsidR="00C54D75">
        <w:rPr>
          <w:rFonts w:ascii="Sylfaen" w:hAnsi="Sylfaen"/>
          <w:sz w:val="24"/>
          <w:szCs w:val="24"/>
        </w:rPr>
        <w:t>և</w:t>
      </w:r>
      <w:r w:rsidRPr="00834D52">
        <w:rPr>
          <w:rFonts w:ascii="Sylfaen" w:hAnsi="Sylfaen"/>
          <w:sz w:val="24"/>
          <w:szCs w:val="24"/>
        </w:rPr>
        <w:t xml:space="preserve"> փաթեթվածքը, ներմուծման եղանակը, առաջնային փաթեթվածքի տարողունակությունը, դոզավորման միավորների քանակը փաթեթվածքում</w:t>
      </w:r>
    </w:p>
    <w:p w14:paraId="09DDDD72" w14:textId="77777777" w:rsidR="006F76EB" w:rsidRPr="00834D52" w:rsidRDefault="006F76EB" w:rsidP="00923BA3">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3.2.1.</w:t>
      </w:r>
      <w:r w:rsidRPr="00834D52">
        <w:rPr>
          <w:rFonts w:ascii="Sylfaen" w:hAnsi="Sylfaen"/>
          <w:sz w:val="24"/>
          <w:szCs w:val="24"/>
        </w:rPr>
        <w:tab/>
        <w:t xml:space="preserve">Դոզավորումը </w:t>
      </w:r>
      <w:r w:rsidR="00C54D75">
        <w:rPr>
          <w:rFonts w:ascii="Sylfaen" w:hAnsi="Sylfaen"/>
          <w:sz w:val="24"/>
          <w:szCs w:val="24"/>
        </w:rPr>
        <w:t>և</w:t>
      </w:r>
      <w:r w:rsidRPr="00834D52">
        <w:rPr>
          <w:rFonts w:ascii="Sylfaen" w:hAnsi="Sylfaen"/>
          <w:sz w:val="24"/>
          <w:szCs w:val="24"/>
        </w:rPr>
        <w:t xml:space="preserve"> դեղաձ</w:t>
      </w:r>
      <w:r w:rsidR="00C54D75">
        <w:rPr>
          <w:rFonts w:ascii="Sylfaen" w:hAnsi="Sylfaen"/>
          <w:sz w:val="24"/>
          <w:szCs w:val="24"/>
        </w:rPr>
        <w:t>և</w:t>
      </w:r>
      <w:r w:rsidRPr="00834D52">
        <w:rPr>
          <w:rFonts w:ascii="Sylfaen" w:hAnsi="Sylfaen"/>
          <w:sz w:val="24"/>
          <w:szCs w:val="24"/>
        </w:rPr>
        <w:t>ը</w:t>
      </w:r>
    </w:p>
    <w:p w14:paraId="1F851A3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(օգտագործե՛ք Եվրասիական տնտեսական միությունում կիրառվող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bl>
      <w:tblPr>
        <w:tblW w:w="9289" w:type="dxa"/>
        <w:jc w:val="center"/>
        <w:tblLayout w:type="fixed"/>
        <w:tblCellMar>
          <w:left w:w="0" w:type="dxa"/>
          <w:right w:w="0" w:type="dxa"/>
        </w:tblCellMar>
        <w:tblLook w:val="01E0" w:firstRow="1" w:lastRow="1" w:firstColumn="1" w:lastColumn="1" w:noHBand="0" w:noVBand="0"/>
      </w:tblPr>
      <w:tblGrid>
        <w:gridCol w:w="5222"/>
        <w:gridCol w:w="4067"/>
      </w:tblGrid>
      <w:tr w:rsidR="006F76EB" w:rsidRPr="00834D52" w14:paraId="46C37B8F" w14:textId="77777777" w:rsidTr="00D249A2">
        <w:trPr>
          <w:trHeight w:val="487"/>
          <w:jc w:val="center"/>
        </w:trPr>
        <w:tc>
          <w:tcPr>
            <w:tcW w:w="5222" w:type="dxa"/>
            <w:tcBorders>
              <w:top w:val="single" w:sz="4" w:space="0" w:color="000000"/>
              <w:left w:val="single" w:sz="4" w:space="0" w:color="000000"/>
              <w:bottom w:val="single" w:sz="4" w:space="0" w:color="000000"/>
              <w:right w:val="single" w:sz="4" w:space="0" w:color="000000"/>
            </w:tcBorders>
          </w:tcPr>
          <w:p w14:paraId="504B3B25" w14:textId="77777777" w:rsidR="006F76EB" w:rsidRPr="00834D52" w:rsidRDefault="006F76EB" w:rsidP="00B70AD0">
            <w:pPr>
              <w:spacing w:after="120" w:line="240" w:lineRule="auto"/>
              <w:ind w:left="48" w:right="-6" w:firstLine="7"/>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ը</w:t>
            </w:r>
          </w:p>
        </w:tc>
        <w:tc>
          <w:tcPr>
            <w:tcW w:w="4067" w:type="dxa"/>
            <w:tcBorders>
              <w:top w:val="single" w:sz="4" w:space="0" w:color="000000"/>
              <w:left w:val="single" w:sz="4" w:space="0" w:color="000000"/>
              <w:bottom w:val="single" w:sz="4" w:space="0" w:color="000000"/>
              <w:right w:val="single" w:sz="4" w:space="0" w:color="000000"/>
            </w:tcBorders>
          </w:tcPr>
          <w:p w14:paraId="7128D6C0" w14:textId="77777777" w:rsidR="006F76EB" w:rsidRPr="00834D52" w:rsidRDefault="006F76EB" w:rsidP="00B70AD0">
            <w:pPr>
              <w:spacing w:after="120" w:line="240" w:lineRule="auto"/>
              <w:ind w:right="-6"/>
              <w:rPr>
                <w:rFonts w:ascii="Sylfaen" w:hAnsi="Sylfaen"/>
                <w:sz w:val="24"/>
                <w:szCs w:val="24"/>
              </w:rPr>
            </w:pPr>
          </w:p>
        </w:tc>
      </w:tr>
      <w:tr w:rsidR="006F76EB" w:rsidRPr="00834D52" w14:paraId="2614C28C" w14:textId="77777777" w:rsidTr="00D249A2">
        <w:trPr>
          <w:trHeight w:val="506"/>
          <w:jc w:val="center"/>
        </w:trPr>
        <w:tc>
          <w:tcPr>
            <w:tcW w:w="5222" w:type="dxa"/>
            <w:tcBorders>
              <w:top w:val="single" w:sz="4" w:space="0" w:color="000000"/>
              <w:left w:val="single" w:sz="4" w:space="0" w:color="000000"/>
              <w:bottom w:val="single" w:sz="4" w:space="0" w:color="000000"/>
              <w:right w:val="single" w:sz="4" w:space="0" w:color="000000"/>
            </w:tcBorders>
          </w:tcPr>
          <w:p w14:paraId="546807DF" w14:textId="77777777" w:rsidR="006F76EB" w:rsidRPr="00834D52" w:rsidRDefault="006F76EB" w:rsidP="00B70AD0">
            <w:pPr>
              <w:spacing w:after="120" w:line="240" w:lineRule="auto"/>
              <w:ind w:left="48" w:right="-6" w:firstLine="7"/>
              <w:rPr>
                <w:rFonts w:ascii="Sylfaen" w:eastAsia="Times New Roman" w:hAnsi="Sylfaen" w:cs="Times New Roman"/>
                <w:sz w:val="24"/>
                <w:szCs w:val="24"/>
              </w:rPr>
            </w:pPr>
            <w:r w:rsidRPr="00834D52">
              <w:rPr>
                <w:rFonts w:ascii="Sylfaen" w:hAnsi="Sylfaen"/>
                <w:sz w:val="24"/>
                <w:szCs w:val="24"/>
              </w:rPr>
              <w:t>դոզավորումները կամ կոնցենտրացիաները</w:t>
            </w:r>
          </w:p>
        </w:tc>
        <w:tc>
          <w:tcPr>
            <w:tcW w:w="4067" w:type="dxa"/>
            <w:tcBorders>
              <w:top w:val="single" w:sz="4" w:space="0" w:color="000000"/>
              <w:left w:val="single" w:sz="4" w:space="0" w:color="000000"/>
              <w:bottom w:val="single" w:sz="4" w:space="0" w:color="000000"/>
              <w:right w:val="single" w:sz="4" w:space="0" w:color="000000"/>
            </w:tcBorders>
          </w:tcPr>
          <w:p w14:paraId="3602D792" w14:textId="77777777" w:rsidR="006F76EB" w:rsidRPr="00834D52" w:rsidRDefault="006F76EB" w:rsidP="00B70AD0">
            <w:pPr>
              <w:spacing w:after="120" w:line="240" w:lineRule="auto"/>
              <w:ind w:right="-6"/>
              <w:rPr>
                <w:rFonts w:ascii="Sylfaen" w:hAnsi="Sylfaen"/>
                <w:sz w:val="24"/>
                <w:szCs w:val="24"/>
              </w:rPr>
            </w:pPr>
          </w:p>
        </w:tc>
      </w:tr>
      <w:tr w:rsidR="006F76EB" w:rsidRPr="00834D52" w14:paraId="5D375CAE" w14:textId="77777777" w:rsidTr="00D249A2">
        <w:trPr>
          <w:trHeight w:val="1247"/>
          <w:jc w:val="center"/>
        </w:trPr>
        <w:tc>
          <w:tcPr>
            <w:tcW w:w="5222" w:type="dxa"/>
            <w:tcBorders>
              <w:top w:val="single" w:sz="4" w:space="0" w:color="000000"/>
              <w:left w:val="single" w:sz="4" w:space="0" w:color="000000"/>
              <w:bottom w:val="single" w:sz="4" w:space="0" w:color="000000"/>
              <w:right w:val="single" w:sz="4" w:space="0" w:color="000000"/>
            </w:tcBorders>
          </w:tcPr>
          <w:p w14:paraId="05784BC8" w14:textId="77777777" w:rsidR="006F76EB" w:rsidRPr="00834D52" w:rsidRDefault="006F76EB" w:rsidP="00B70AD0">
            <w:pPr>
              <w:tabs>
                <w:tab w:val="left" w:pos="1105"/>
              </w:tabs>
              <w:spacing w:after="120" w:line="240" w:lineRule="auto"/>
              <w:ind w:left="48" w:right="-6" w:hanging="21"/>
              <w:rPr>
                <w:rFonts w:ascii="Sylfaen" w:eastAsia="Times New Roman" w:hAnsi="Sylfaen" w:cs="Times New Roman"/>
                <w:sz w:val="24"/>
                <w:szCs w:val="24"/>
              </w:rPr>
            </w:pPr>
            <w:r w:rsidRPr="00834D52">
              <w:rPr>
                <w:rFonts w:ascii="Sylfaen" w:hAnsi="Sylfaen"/>
                <w:sz w:val="24"/>
                <w:szCs w:val="24"/>
              </w:rPr>
              <w:t>3.2.2.</w:t>
            </w:r>
            <w:r w:rsidRPr="00834D52">
              <w:rPr>
                <w:rFonts w:ascii="Sylfaen" w:hAnsi="Sylfaen"/>
                <w:sz w:val="24"/>
                <w:szCs w:val="24"/>
              </w:rPr>
              <w:tab/>
              <w:t>Ներմուծման եղանակը (օգտագործե՛ք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c>
        <w:tc>
          <w:tcPr>
            <w:tcW w:w="4067" w:type="dxa"/>
            <w:tcBorders>
              <w:top w:val="single" w:sz="4" w:space="0" w:color="000000"/>
              <w:left w:val="single" w:sz="4" w:space="0" w:color="000000"/>
              <w:bottom w:val="single" w:sz="4" w:space="0" w:color="000000"/>
              <w:right w:val="single" w:sz="4" w:space="0" w:color="000000"/>
            </w:tcBorders>
          </w:tcPr>
          <w:p w14:paraId="72FFDFBD" w14:textId="77777777" w:rsidR="006F76EB" w:rsidRPr="00834D52" w:rsidRDefault="006F76EB" w:rsidP="00B70AD0">
            <w:pPr>
              <w:spacing w:after="120" w:line="240" w:lineRule="auto"/>
              <w:ind w:right="-6"/>
              <w:rPr>
                <w:rFonts w:ascii="Sylfaen" w:hAnsi="Sylfaen"/>
                <w:sz w:val="24"/>
                <w:szCs w:val="24"/>
              </w:rPr>
            </w:pPr>
          </w:p>
        </w:tc>
      </w:tr>
      <w:tr w:rsidR="006F76EB" w:rsidRPr="00834D52" w14:paraId="0D2AE727" w14:textId="77777777" w:rsidTr="00D249A2">
        <w:trPr>
          <w:trHeight w:val="2727"/>
          <w:jc w:val="center"/>
        </w:trPr>
        <w:tc>
          <w:tcPr>
            <w:tcW w:w="5222" w:type="dxa"/>
            <w:tcBorders>
              <w:top w:val="single" w:sz="4" w:space="0" w:color="000000"/>
              <w:left w:val="single" w:sz="4" w:space="0" w:color="000000"/>
              <w:bottom w:val="single" w:sz="4" w:space="0" w:color="000000"/>
              <w:right w:val="single" w:sz="4" w:space="0" w:color="000000"/>
            </w:tcBorders>
          </w:tcPr>
          <w:p w14:paraId="2FEB6557" w14:textId="77777777" w:rsidR="006F76EB" w:rsidRPr="00834D52" w:rsidRDefault="006F76EB" w:rsidP="00B70AD0">
            <w:pPr>
              <w:tabs>
                <w:tab w:val="left" w:pos="1105"/>
              </w:tabs>
              <w:spacing w:after="120" w:line="240" w:lineRule="auto"/>
              <w:ind w:left="48" w:right="-6" w:hanging="21"/>
              <w:rPr>
                <w:rFonts w:ascii="Sylfaen" w:eastAsia="Times New Roman" w:hAnsi="Sylfaen" w:cs="Times New Roman"/>
                <w:spacing w:val="-4"/>
                <w:sz w:val="24"/>
                <w:szCs w:val="24"/>
              </w:rPr>
            </w:pPr>
            <w:r w:rsidRPr="00834D52">
              <w:rPr>
                <w:rFonts w:ascii="Sylfaen" w:hAnsi="Sylfaen"/>
                <w:spacing w:val="-4"/>
                <w:sz w:val="24"/>
                <w:szCs w:val="24"/>
              </w:rPr>
              <w:t>3.2.3.</w:t>
            </w:r>
            <w:r w:rsidRPr="00834D52">
              <w:rPr>
                <w:rFonts w:ascii="Sylfaen" w:hAnsi="Sylfaen"/>
                <w:spacing w:val="-4"/>
                <w:sz w:val="24"/>
                <w:szCs w:val="24"/>
              </w:rPr>
              <w:tab/>
              <w:t xml:space="preserve">Փաթեթվածքը՝ առաջնային </w:t>
            </w:r>
            <w:r w:rsidR="00C54D75">
              <w:rPr>
                <w:rFonts w:ascii="Sylfaen" w:hAnsi="Sylfaen"/>
                <w:spacing w:val="-4"/>
                <w:sz w:val="24"/>
                <w:szCs w:val="24"/>
              </w:rPr>
              <w:t>և</w:t>
            </w:r>
            <w:r w:rsidRPr="00834D52">
              <w:rPr>
                <w:rFonts w:ascii="Sylfaen" w:hAnsi="Sylfaen"/>
                <w:spacing w:val="-4"/>
                <w:sz w:val="24"/>
                <w:szCs w:val="24"/>
              </w:rPr>
              <w:t xml:space="preserve"> երկրորդային փաթեթվածք (առկայության դեպքում), խցանափակման համակարգը </w:t>
            </w:r>
            <w:r w:rsidR="00C54D75">
              <w:rPr>
                <w:rFonts w:ascii="Sylfaen" w:hAnsi="Sylfaen"/>
                <w:spacing w:val="-4"/>
                <w:sz w:val="24"/>
                <w:szCs w:val="24"/>
              </w:rPr>
              <w:t>և</w:t>
            </w:r>
            <w:r w:rsidRPr="00834D52">
              <w:rPr>
                <w:rFonts w:ascii="Sylfaen" w:hAnsi="Sylfaen"/>
                <w:spacing w:val="-4"/>
                <w:sz w:val="24"/>
                <w:szCs w:val="24"/>
              </w:rPr>
              <w:t xml:space="preserve"> ներմուծման սարքերը՝ ներառյալ այն նյութի նկարագրությունը, որից դրանք պատրաստված են (օգտագործե՛ք դեղաձ</w:t>
            </w:r>
            <w:r w:rsidR="00C54D75">
              <w:rPr>
                <w:rFonts w:ascii="Sylfaen" w:hAnsi="Sylfaen"/>
                <w:spacing w:val="-4"/>
                <w:sz w:val="24"/>
                <w:szCs w:val="24"/>
              </w:rPr>
              <w:t>և</w:t>
            </w:r>
            <w:r w:rsidRPr="00834D52">
              <w:rPr>
                <w:rFonts w:ascii="Sylfaen" w:hAnsi="Sylfaen"/>
                <w:spacing w:val="-4"/>
                <w:sz w:val="24"/>
                <w:szCs w:val="24"/>
              </w:rPr>
              <w:t>երի անվանացանկի ստանդարտ եզրույթների ցանկը)</w:t>
            </w:r>
          </w:p>
        </w:tc>
        <w:tc>
          <w:tcPr>
            <w:tcW w:w="4067" w:type="dxa"/>
            <w:tcBorders>
              <w:top w:val="single" w:sz="4" w:space="0" w:color="000000"/>
              <w:left w:val="single" w:sz="4" w:space="0" w:color="000000"/>
              <w:bottom w:val="single" w:sz="4" w:space="0" w:color="000000"/>
              <w:right w:val="single" w:sz="4" w:space="0" w:color="000000"/>
            </w:tcBorders>
          </w:tcPr>
          <w:p w14:paraId="749B842F" w14:textId="77777777" w:rsidR="006F76EB" w:rsidRPr="00834D52" w:rsidRDefault="006F76EB" w:rsidP="00B70AD0">
            <w:pPr>
              <w:spacing w:after="120" w:line="240" w:lineRule="auto"/>
              <w:ind w:right="-6"/>
              <w:rPr>
                <w:rFonts w:ascii="Sylfaen" w:hAnsi="Sylfaen"/>
                <w:sz w:val="24"/>
                <w:szCs w:val="24"/>
              </w:rPr>
            </w:pPr>
          </w:p>
        </w:tc>
      </w:tr>
    </w:tbl>
    <w:p w14:paraId="41F2822F" w14:textId="77777777" w:rsidR="006F76EB" w:rsidRPr="00834D52" w:rsidRDefault="006F76EB" w:rsidP="006F76EB">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Փաթեթվածքի յուրաքանչյուր տեսակի համար նշե՛ք՝</w:t>
      </w:r>
    </w:p>
    <w:p w14:paraId="0F7915B3"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3.2.3.1.</w:t>
      </w:r>
      <w:r w:rsidRPr="00834D52">
        <w:rPr>
          <w:rFonts w:ascii="Sylfaen" w:hAnsi="Sylfaen"/>
          <w:sz w:val="24"/>
          <w:szCs w:val="24"/>
        </w:rPr>
        <w:tab/>
        <w:t>Դոզավորման միավորների քանակը փաթեթվածքում</w:t>
      </w:r>
    </w:p>
    <w:p w14:paraId="33423896"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3.2.3.2.</w:t>
      </w:r>
      <w:r w:rsidRPr="00834D52">
        <w:rPr>
          <w:rFonts w:ascii="Sylfaen" w:hAnsi="Sylfaen"/>
          <w:sz w:val="24"/>
          <w:szCs w:val="24"/>
        </w:rPr>
        <w:tab/>
        <w:t>Պահպանման առաջարկվող ժամկետը</w:t>
      </w:r>
    </w:p>
    <w:p w14:paraId="0E81B40D"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3.2.3.3.</w:t>
      </w:r>
      <w:r w:rsidRPr="00834D52">
        <w:rPr>
          <w:rFonts w:ascii="Sylfaen" w:hAnsi="Sylfaen"/>
          <w:sz w:val="24"/>
          <w:szCs w:val="24"/>
        </w:rPr>
        <w:tab/>
        <w:t>Պահպանման առաջարկվող ժամկետը (առաջնային կամ միջանկյալ փաթեթվածքն առաջին անգամ բացելուց հետո)</w:t>
      </w:r>
    </w:p>
    <w:p w14:paraId="20E51D3B"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3.2.3.4.</w:t>
      </w:r>
      <w:r w:rsidRPr="00834D52">
        <w:rPr>
          <w:rFonts w:ascii="Sylfaen" w:hAnsi="Sylfaen"/>
          <w:sz w:val="24"/>
          <w:szCs w:val="24"/>
        </w:rPr>
        <w:tab/>
        <w:t>Պահպանման առաջարկվող ժամկետը (վերականգնումից (լուծումից) կամ նոսրացումից հետո)</w:t>
      </w:r>
    </w:p>
    <w:p w14:paraId="109F375B"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3.2.3.5.</w:t>
      </w:r>
      <w:r w:rsidRPr="00834D52">
        <w:rPr>
          <w:rFonts w:ascii="Sylfaen" w:hAnsi="Sylfaen"/>
          <w:sz w:val="24"/>
          <w:szCs w:val="24"/>
        </w:rPr>
        <w:tab/>
        <w:t>Պահպանման առաջարկվող պայմանները</w:t>
      </w:r>
    </w:p>
    <w:p w14:paraId="471B4625"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3.2.3.6.</w:t>
      </w:r>
      <w:r w:rsidRPr="00834D52">
        <w:rPr>
          <w:rFonts w:ascii="Sylfaen" w:hAnsi="Sylfaen"/>
          <w:sz w:val="24"/>
          <w:szCs w:val="24"/>
        </w:rPr>
        <w:tab/>
        <w:t>Պահպանման առաջարկվող պայմանները փաթեթվածքն (առաջնային կամ միջանկյալ) առաջին անգամ բացելուց հետո</w:t>
      </w:r>
    </w:p>
    <w:p w14:paraId="7C5EDA18" w14:textId="77777777" w:rsidR="006F76EB" w:rsidRPr="00834D52" w:rsidRDefault="006F76EB" w:rsidP="00B70AD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3.2.4.</w:t>
      </w:r>
      <w:r w:rsidRPr="00834D52">
        <w:rPr>
          <w:rFonts w:ascii="Sylfaen" w:hAnsi="Sylfaen"/>
          <w:sz w:val="24"/>
          <w:szCs w:val="24"/>
        </w:rPr>
        <w:tab/>
        <w:t>Ներմուծման սարքերի վերաբերյալ տեղեկատվություն</w:t>
      </w:r>
    </w:p>
    <w:p w14:paraId="5DE1D70F" w14:textId="77777777" w:rsidR="006F76EB" w:rsidRPr="00834D52" w:rsidRDefault="006F76EB" w:rsidP="007D3755">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3.3.</w:t>
      </w:r>
      <w:r w:rsidRPr="00834D52">
        <w:rPr>
          <w:rFonts w:ascii="Sylfaen" w:hAnsi="Sylfaen"/>
          <w:sz w:val="24"/>
          <w:szCs w:val="24"/>
        </w:rPr>
        <w:tab/>
        <w:t>Բացթողման կատեգորիան</w:t>
      </w:r>
    </w:p>
    <w:tbl>
      <w:tblPr>
        <w:tblStyle w:val="TableGrid"/>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323"/>
      </w:tblGrid>
      <w:tr w:rsidR="006F76EB" w:rsidRPr="00834D52" w14:paraId="6733BCF2" w14:textId="77777777" w:rsidTr="00D249A2">
        <w:trPr>
          <w:trHeight w:val="812"/>
        </w:trPr>
        <w:tc>
          <w:tcPr>
            <w:tcW w:w="5199" w:type="dxa"/>
          </w:tcPr>
          <w:p w14:paraId="3C043C88" w14:textId="77777777" w:rsidR="006F76EB" w:rsidRPr="00834D52" w:rsidRDefault="006F76EB" w:rsidP="00F71229">
            <w:pPr>
              <w:tabs>
                <w:tab w:val="left" w:pos="1418"/>
              </w:tabs>
              <w:spacing w:after="160" w:line="360" w:lineRule="auto"/>
              <w:ind w:right="-8"/>
              <w:rPr>
                <w:rFonts w:ascii="Sylfaen" w:eastAsia="Times New Roman" w:hAnsi="Sylfaen" w:cs="Times New Roman"/>
                <w:sz w:val="24"/>
                <w:szCs w:val="24"/>
              </w:rPr>
            </w:pPr>
          </w:p>
        </w:tc>
        <w:tc>
          <w:tcPr>
            <w:tcW w:w="4323" w:type="dxa"/>
          </w:tcPr>
          <w:p w14:paraId="0992FE55" w14:textId="77777777" w:rsidR="006F76EB" w:rsidRPr="00834D52" w:rsidRDefault="00157FD9" w:rsidP="00F71229">
            <w:pPr>
              <w:tabs>
                <w:tab w:val="left" w:pos="1418"/>
              </w:tabs>
              <w:spacing w:after="160" w:line="360" w:lineRule="auto"/>
              <w:ind w:left="513" w:right="-8"/>
              <w:rPr>
                <w:rFonts w:ascii="Sylfaen" w:eastAsia="Times New Roman" w:hAnsi="Sylfaen" w:cs="Times New Roman"/>
                <w:sz w:val="24"/>
                <w:szCs w:val="24"/>
              </w:rPr>
            </w:pPr>
            <w:r>
              <w:rPr>
                <w:rFonts w:ascii="Sylfaen" w:hAnsi="Sylfaen"/>
                <w:noProof/>
                <w:sz w:val="24"/>
                <w:szCs w:val="24"/>
              </w:rPr>
              <w:pict w14:anchorId="0DDA914F">
                <v:rect id="_x0000_s1125" style="position:absolute;left:0;text-align:left;margin-left:-.45pt;margin-top:6.45pt;width:12.75pt;height:12pt;z-index:251656704;mso-position-horizontal-relative:text;mso-position-vertical-relative:text"/>
              </w:pict>
            </w:r>
            <w:r w:rsidR="006F76EB" w:rsidRPr="00834D52">
              <w:rPr>
                <w:rFonts w:ascii="Sylfaen" w:hAnsi="Sylfaen"/>
                <w:sz w:val="24"/>
                <w:szCs w:val="24"/>
              </w:rPr>
              <w:t>դեղատոմսով</w:t>
            </w:r>
          </w:p>
        </w:tc>
      </w:tr>
      <w:tr w:rsidR="006F76EB" w:rsidRPr="00834D52" w14:paraId="73E37538" w14:textId="77777777" w:rsidTr="00D249A2">
        <w:trPr>
          <w:trHeight w:val="1432"/>
        </w:trPr>
        <w:tc>
          <w:tcPr>
            <w:tcW w:w="5199" w:type="dxa"/>
          </w:tcPr>
          <w:p w14:paraId="46E4875A" w14:textId="77777777" w:rsidR="006F76EB" w:rsidRPr="00834D52" w:rsidRDefault="006F76EB" w:rsidP="008119C0">
            <w:pPr>
              <w:tabs>
                <w:tab w:val="left" w:pos="1134"/>
              </w:tabs>
              <w:spacing w:after="160" w:line="360" w:lineRule="auto"/>
              <w:ind w:right="-8"/>
              <w:rPr>
                <w:rFonts w:ascii="Sylfaen" w:eastAsia="Times New Roman" w:hAnsi="Sylfaen" w:cs="Times New Roman"/>
                <w:sz w:val="24"/>
                <w:szCs w:val="24"/>
              </w:rPr>
            </w:pPr>
            <w:r w:rsidRPr="00834D52">
              <w:rPr>
                <w:rFonts w:ascii="Sylfaen" w:hAnsi="Sylfaen"/>
                <w:sz w:val="24"/>
                <w:szCs w:val="24"/>
              </w:rPr>
              <w:t>3.3.1.</w:t>
            </w:r>
            <w:r w:rsidRPr="00834D52">
              <w:rPr>
                <w:rFonts w:ascii="Sylfaen" w:hAnsi="Sylfaen"/>
                <w:sz w:val="24"/>
                <w:szCs w:val="24"/>
                <w:lang w:val="en-US"/>
              </w:rPr>
              <w:tab/>
            </w:r>
            <w:r w:rsidRPr="00834D52">
              <w:rPr>
                <w:rFonts w:ascii="Sylfaen" w:hAnsi="Sylfaen"/>
                <w:sz w:val="24"/>
                <w:szCs w:val="24"/>
              </w:rPr>
              <w:t>Բացթողման առաջարկվող կատեգորիան՝</w:t>
            </w:r>
          </w:p>
        </w:tc>
        <w:tc>
          <w:tcPr>
            <w:tcW w:w="4323" w:type="dxa"/>
          </w:tcPr>
          <w:p w14:paraId="48294FB4" w14:textId="77777777" w:rsidR="006F76EB" w:rsidRPr="00834D52" w:rsidRDefault="00157FD9" w:rsidP="00F71229">
            <w:pPr>
              <w:tabs>
                <w:tab w:val="left" w:pos="1418"/>
              </w:tabs>
              <w:spacing w:after="160" w:line="360" w:lineRule="auto"/>
              <w:ind w:left="513" w:right="-8"/>
              <w:rPr>
                <w:rFonts w:ascii="Sylfaen" w:eastAsia="Times New Roman" w:hAnsi="Sylfaen" w:cs="Times New Roman"/>
                <w:sz w:val="24"/>
                <w:szCs w:val="24"/>
              </w:rPr>
            </w:pPr>
            <w:r>
              <w:rPr>
                <w:rFonts w:ascii="Sylfaen" w:eastAsia="Times New Roman" w:hAnsi="Sylfaen" w:cs="Times New Roman"/>
                <w:noProof/>
                <w:sz w:val="24"/>
                <w:szCs w:val="24"/>
              </w:rPr>
              <w:pict w14:anchorId="150540FE">
                <v:rect id="_x0000_s1126" style="position:absolute;left:0;text-align:left;margin-left:-.45pt;margin-top:5.35pt;width:12.75pt;height:12pt;z-index:251657728;mso-position-horizontal-relative:text;mso-position-vertical-relative:text"/>
              </w:pict>
            </w:r>
            <w:r w:rsidR="006F76EB" w:rsidRPr="00834D52">
              <w:rPr>
                <w:rFonts w:ascii="Sylfaen" w:hAnsi="Sylfaen"/>
                <w:sz w:val="24"/>
                <w:szCs w:val="24"/>
              </w:rPr>
              <w:t>առանց դեղատոմսի</w:t>
            </w:r>
          </w:p>
        </w:tc>
      </w:tr>
      <w:tr w:rsidR="006F76EB" w:rsidRPr="00834D52" w14:paraId="5475B4AB" w14:textId="77777777" w:rsidTr="00D249A2">
        <w:trPr>
          <w:trHeight w:val="812"/>
        </w:trPr>
        <w:tc>
          <w:tcPr>
            <w:tcW w:w="5199" w:type="dxa"/>
          </w:tcPr>
          <w:p w14:paraId="7814D476" w14:textId="77777777" w:rsidR="006F76EB" w:rsidRPr="00834D52" w:rsidRDefault="006F76EB" w:rsidP="00F71229">
            <w:pPr>
              <w:tabs>
                <w:tab w:val="left" w:pos="1418"/>
              </w:tabs>
              <w:spacing w:after="160" w:line="360" w:lineRule="auto"/>
              <w:ind w:right="-8"/>
              <w:rPr>
                <w:rFonts w:ascii="Sylfaen" w:eastAsia="Times New Roman" w:hAnsi="Sylfaen" w:cs="Times New Roman"/>
                <w:sz w:val="24"/>
                <w:szCs w:val="24"/>
              </w:rPr>
            </w:pPr>
          </w:p>
        </w:tc>
        <w:tc>
          <w:tcPr>
            <w:tcW w:w="4323" w:type="dxa"/>
          </w:tcPr>
          <w:p w14:paraId="52279B17" w14:textId="77777777" w:rsidR="006F76EB" w:rsidRPr="00834D52" w:rsidRDefault="00157FD9" w:rsidP="00F71229">
            <w:pPr>
              <w:tabs>
                <w:tab w:val="left" w:pos="1418"/>
              </w:tabs>
              <w:spacing w:after="160" w:line="360" w:lineRule="auto"/>
              <w:ind w:left="513" w:right="-8"/>
              <w:rPr>
                <w:rFonts w:ascii="Sylfaen" w:eastAsia="Times New Roman" w:hAnsi="Sylfaen" w:cs="Times New Roman"/>
                <w:sz w:val="24"/>
                <w:szCs w:val="24"/>
              </w:rPr>
            </w:pPr>
            <w:r>
              <w:rPr>
                <w:rFonts w:ascii="Sylfaen" w:eastAsia="Times New Roman" w:hAnsi="Sylfaen" w:cs="Times New Roman"/>
                <w:noProof/>
                <w:sz w:val="24"/>
                <w:szCs w:val="24"/>
              </w:rPr>
              <w:pict w14:anchorId="059B1A15">
                <v:rect id="_x0000_s1127" style="position:absolute;left:0;text-align:left;margin-left:-.45pt;margin-top:5pt;width:12.75pt;height:12pt;z-index:251658752;mso-position-horizontal-relative:text;mso-position-vertical-relative:text"/>
              </w:pict>
            </w:r>
            <w:r w:rsidR="006F76EB" w:rsidRPr="00834D52">
              <w:rPr>
                <w:rFonts w:ascii="Sylfaen" w:hAnsi="Sylfaen"/>
                <w:sz w:val="24"/>
                <w:szCs w:val="24"/>
              </w:rPr>
              <w:t>ստացիոնար պայմաններում</w:t>
            </w:r>
          </w:p>
        </w:tc>
      </w:tr>
    </w:tbl>
    <w:p w14:paraId="42A0F2DE" w14:textId="77777777" w:rsidR="006F76EB" w:rsidRPr="00834D52" w:rsidRDefault="006F76EB" w:rsidP="008119C0">
      <w:pPr>
        <w:tabs>
          <w:tab w:val="left" w:pos="1701"/>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3.4.</w:t>
      </w:r>
      <w:r w:rsidRPr="00834D52">
        <w:rPr>
          <w:rFonts w:ascii="Sylfaen" w:hAnsi="Sylfaen"/>
          <w:sz w:val="24"/>
          <w:szCs w:val="24"/>
        </w:rPr>
        <w:tab/>
        <w:t>Գրանցման հավաստագրի իրավատերը</w:t>
      </w:r>
    </w:p>
    <w:p w14:paraId="3391F3F5" w14:textId="77777777" w:rsidR="006F76EB" w:rsidRPr="00834D52" w:rsidRDefault="006F76EB" w:rsidP="008119C0">
      <w:pPr>
        <w:tabs>
          <w:tab w:val="left" w:pos="1701"/>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3.4.1.</w:t>
      </w:r>
      <w:r w:rsidRPr="00834D52">
        <w:rPr>
          <w:rFonts w:ascii="Sylfaen" w:hAnsi="Sylfaen"/>
          <w:sz w:val="24"/>
          <w:szCs w:val="24"/>
        </w:rPr>
        <w:tab/>
        <w:t>Գրանցման հավաստագրի իրավատերը՝</w:t>
      </w:r>
    </w:p>
    <w:tbl>
      <w:tblPr>
        <w:tblW w:w="9609" w:type="dxa"/>
        <w:jc w:val="center"/>
        <w:tblLayout w:type="fixed"/>
        <w:tblCellMar>
          <w:left w:w="0" w:type="dxa"/>
          <w:right w:w="0" w:type="dxa"/>
        </w:tblCellMar>
        <w:tblLook w:val="01E0" w:firstRow="1" w:lastRow="1" w:firstColumn="1" w:lastColumn="1" w:noHBand="0" w:noVBand="0"/>
      </w:tblPr>
      <w:tblGrid>
        <w:gridCol w:w="5090"/>
        <w:gridCol w:w="4519"/>
      </w:tblGrid>
      <w:tr w:rsidR="006F76EB" w:rsidRPr="00834D52" w14:paraId="4202367C"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148D885"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4519" w:type="dxa"/>
            <w:tcBorders>
              <w:top w:val="single" w:sz="4" w:space="0" w:color="000000"/>
              <w:left w:val="single" w:sz="4" w:space="0" w:color="000000"/>
              <w:bottom w:val="single" w:sz="4" w:space="0" w:color="000000"/>
              <w:right w:val="single" w:sz="4" w:space="0" w:color="000000"/>
            </w:tcBorders>
          </w:tcPr>
          <w:p w14:paraId="62A729FA" w14:textId="77777777" w:rsidR="006F76EB" w:rsidRPr="00834D52" w:rsidRDefault="006F76EB" w:rsidP="00D249A2">
            <w:pPr>
              <w:spacing w:after="120" w:line="240" w:lineRule="auto"/>
              <w:ind w:right="-6"/>
              <w:rPr>
                <w:rFonts w:ascii="Sylfaen" w:hAnsi="Sylfaen"/>
                <w:sz w:val="24"/>
                <w:szCs w:val="24"/>
              </w:rPr>
            </w:pPr>
          </w:p>
        </w:tc>
      </w:tr>
      <w:tr w:rsidR="006F76EB" w:rsidRPr="00834D52" w14:paraId="0CCC0B68"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9F1101B"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հասցեն</w:t>
            </w:r>
          </w:p>
        </w:tc>
        <w:tc>
          <w:tcPr>
            <w:tcW w:w="4519" w:type="dxa"/>
            <w:tcBorders>
              <w:top w:val="single" w:sz="4" w:space="0" w:color="000000"/>
              <w:left w:val="single" w:sz="4" w:space="0" w:color="000000"/>
              <w:bottom w:val="single" w:sz="4" w:space="0" w:color="000000"/>
              <w:right w:val="single" w:sz="4" w:space="0" w:color="000000"/>
            </w:tcBorders>
          </w:tcPr>
          <w:p w14:paraId="6003CC93" w14:textId="77777777" w:rsidR="006F76EB" w:rsidRPr="00834D52" w:rsidRDefault="006F76EB" w:rsidP="00D249A2">
            <w:pPr>
              <w:spacing w:after="120" w:line="240" w:lineRule="auto"/>
              <w:ind w:right="-6"/>
              <w:rPr>
                <w:rFonts w:ascii="Sylfaen" w:hAnsi="Sylfaen"/>
                <w:sz w:val="24"/>
                <w:szCs w:val="24"/>
              </w:rPr>
            </w:pPr>
          </w:p>
        </w:tc>
      </w:tr>
      <w:tr w:rsidR="006F76EB" w:rsidRPr="00834D52" w14:paraId="0572D423"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ADE4CC2"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519" w:type="dxa"/>
            <w:tcBorders>
              <w:top w:val="single" w:sz="4" w:space="0" w:color="000000"/>
              <w:left w:val="single" w:sz="4" w:space="0" w:color="000000"/>
              <w:bottom w:val="single" w:sz="4" w:space="0" w:color="000000"/>
              <w:right w:val="single" w:sz="4" w:space="0" w:color="000000"/>
            </w:tcBorders>
          </w:tcPr>
          <w:p w14:paraId="0D3355E4" w14:textId="77777777" w:rsidR="006F76EB" w:rsidRPr="00834D52" w:rsidRDefault="006F76EB" w:rsidP="00D249A2">
            <w:pPr>
              <w:spacing w:after="120" w:line="240" w:lineRule="auto"/>
              <w:ind w:right="-6"/>
              <w:rPr>
                <w:rFonts w:ascii="Sylfaen" w:hAnsi="Sylfaen"/>
                <w:sz w:val="24"/>
                <w:szCs w:val="24"/>
              </w:rPr>
            </w:pPr>
          </w:p>
        </w:tc>
      </w:tr>
      <w:tr w:rsidR="006F76EB" w:rsidRPr="00834D52" w14:paraId="0109007F"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141010F"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519" w:type="dxa"/>
            <w:tcBorders>
              <w:top w:val="single" w:sz="4" w:space="0" w:color="000000"/>
              <w:left w:val="single" w:sz="4" w:space="0" w:color="000000"/>
              <w:bottom w:val="single" w:sz="4" w:space="0" w:color="000000"/>
              <w:right w:val="single" w:sz="4" w:space="0" w:color="000000"/>
            </w:tcBorders>
          </w:tcPr>
          <w:p w14:paraId="55D254B8" w14:textId="77777777" w:rsidR="006F76EB" w:rsidRPr="00834D52" w:rsidRDefault="006F76EB" w:rsidP="00D249A2">
            <w:pPr>
              <w:spacing w:after="120" w:line="240" w:lineRule="auto"/>
              <w:ind w:right="-6"/>
              <w:rPr>
                <w:rFonts w:ascii="Sylfaen" w:hAnsi="Sylfaen"/>
                <w:sz w:val="24"/>
                <w:szCs w:val="24"/>
              </w:rPr>
            </w:pPr>
          </w:p>
        </w:tc>
      </w:tr>
      <w:tr w:rsidR="006F76EB" w:rsidRPr="00834D52" w14:paraId="2385CD45"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5164BFF5"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19" w:type="dxa"/>
            <w:tcBorders>
              <w:top w:val="single" w:sz="4" w:space="0" w:color="000000"/>
              <w:left w:val="single" w:sz="4" w:space="0" w:color="000000"/>
              <w:bottom w:val="single" w:sz="4" w:space="0" w:color="000000"/>
              <w:right w:val="single" w:sz="4" w:space="0" w:color="000000"/>
            </w:tcBorders>
          </w:tcPr>
          <w:p w14:paraId="21250036" w14:textId="77777777" w:rsidR="006F76EB" w:rsidRPr="00834D52" w:rsidRDefault="006F76EB" w:rsidP="00D249A2">
            <w:pPr>
              <w:spacing w:after="120" w:line="240" w:lineRule="auto"/>
              <w:ind w:right="-6"/>
              <w:rPr>
                <w:rFonts w:ascii="Sylfaen" w:hAnsi="Sylfaen"/>
                <w:sz w:val="24"/>
                <w:szCs w:val="24"/>
              </w:rPr>
            </w:pPr>
          </w:p>
        </w:tc>
      </w:tr>
    </w:tbl>
    <w:p w14:paraId="5F2085A3" w14:textId="77777777" w:rsidR="006F76EB" w:rsidRPr="00834D52" w:rsidRDefault="006F76EB" w:rsidP="006F76EB">
      <w:pPr>
        <w:tabs>
          <w:tab w:val="left" w:pos="1418"/>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3.4.2.</w:t>
      </w:r>
      <w:r w:rsidRPr="00834D52">
        <w:rPr>
          <w:rFonts w:ascii="Sylfaen" w:hAnsi="Sylfaen"/>
          <w:sz w:val="24"/>
          <w:szCs w:val="24"/>
        </w:rPr>
        <w:tab/>
        <w:t>Գրանցման հավաստագրի իրավատիրոջ ներկայացուցիչը (գրանցման հավաստագրի իրավատիրոջ անունից հանդես եկող անձը՝ հայտատուն)՝</w:t>
      </w:r>
    </w:p>
    <w:tbl>
      <w:tblPr>
        <w:tblW w:w="9609" w:type="dxa"/>
        <w:jc w:val="center"/>
        <w:tblLayout w:type="fixed"/>
        <w:tblCellMar>
          <w:left w:w="0" w:type="dxa"/>
          <w:right w:w="0" w:type="dxa"/>
        </w:tblCellMar>
        <w:tblLook w:val="01E0" w:firstRow="1" w:lastRow="1" w:firstColumn="1" w:lastColumn="1" w:noHBand="0" w:noVBand="0"/>
      </w:tblPr>
      <w:tblGrid>
        <w:gridCol w:w="5090"/>
        <w:gridCol w:w="4519"/>
      </w:tblGrid>
      <w:tr w:rsidR="006F76EB" w:rsidRPr="00834D52" w14:paraId="647E2B11"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7DB3B98B"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lastRenderedPageBreak/>
              <w:t>իրավաբանական անձի անվանումը կամ ֆիզիկական անձի ազգանունը, անունը, հայրանունը</w:t>
            </w:r>
          </w:p>
        </w:tc>
        <w:tc>
          <w:tcPr>
            <w:tcW w:w="4519" w:type="dxa"/>
            <w:tcBorders>
              <w:top w:val="single" w:sz="4" w:space="0" w:color="000000"/>
              <w:left w:val="single" w:sz="4" w:space="0" w:color="000000"/>
              <w:bottom w:val="single" w:sz="4" w:space="0" w:color="000000"/>
              <w:right w:val="single" w:sz="4" w:space="0" w:color="000000"/>
            </w:tcBorders>
          </w:tcPr>
          <w:p w14:paraId="72E208F2" w14:textId="77777777" w:rsidR="006F76EB" w:rsidRPr="00834D52" w:rsidRDefault="006F76EB" w:rsidP="00D249A2">
            <w:pPr>
              <w:spacing w:after="120" w:line="240" w:lineRule="auto"/>
              <w:ind w:right="-6"/>
              <w:rPr>
                <w:rFonts w:ascii="Sylfaen" w:hAnsi="Sylfaen"/>
                <w:sz w:val="24"/>
                <w:szCs w:val="24"/>
              </w:rPr>
            </w:pPr>
          </w:p>
        </w:tc>
      </w:tr>
      <w:tr w:rsidR="006F76EB" w:rsidRPr="00834D52" w14:paraId="63EF8F3C"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57470E74"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519" w:type="dxa"/>
            <w:tcBorders>
              <w:top w:val="single" w:sz="4" w:space="0" w:color="000000"/>
              <w:left w:val="single" w:sz="4" w:space="0" w:color="000000"/>
              <w:bottom w:val="single" w:sz="4" w:space="0" w:color="000000"/>
              <w:right w:val="single" w:sz="4" w:space="0" w:color="000000"/>
            </w:tcBorders>
          </w:tcPr>
          <w:p w14:paraId="5C026BD4" w14:textId="77777777" w:rsidR="006F76EB" w:rsidRPr="00834D52" w:rsidRDefault="006F76EB" w:rsidP="00D249A2">
            <w:pPr>
              <w:spacing w:after="120" w:line="240" w:lineRule="auto"/>
              <w:ind w:right="-6"/>
              <w:rPr>
                <w:rFonts w:ascii="Sylfaen" w:hAnsi="Sylfaen"/>
                <w:sz w:val="24"/>
                <w:szCs w:val="24"/>
              </w:rPr>
            </w:pPr>
          </w:p>
        </w:tc>
      </w:tr>
      <w:tr w:rsidR="006F76EB" w:rsidRPr="00834D52" w14:paraId="60D777FE"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7856EE39" w14:textId="77777777" w:rsidR="006F76EB" w:rsidRPr="00834D52" w:rsidRDefault="006F76EB" w:rsidP="00D249A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19" w:type="dxa"/>
            <w:tcBorders>
              <w:top w:val="single" w:sz="4" w:space="0" w:color="000000"/>
              <w:left w:val="single" w:sz="4" w:space="0" w:color="000000"/>
              <w:bottom w:val="single" w:sz="4" w:space="0" w:color="000000"/>
              <w:right w:val="single" w:sz="4" w:space="0" w:color="000000"/>
            </w:tcBorders>
          </w:tcPr>
          <w:p w14:paraId="39FE0375" w14:textId="77777777" w:rsidR="006F76EB" w:rsidRPr="00834D52" w:rsidRDefault="006F76EB" w:rsidP="00D249A2">
            <w:pPr>
              <w:spacing w:after="120" w:line="240" w:lineRule="auto"/>
              <w:ind w:right="-6"/>
              <w:rPr>
                <w:rFonts w:ascii="Sylfaen" w:hAnsi="Sylfaen"/>
                <w:sz w:val="24"/>
                <w:szCs w:val="24"/>
              </w:rPr>
            </w:pPr>
          </w:p>
        </w:tc>
      </w:tr>
    </w:tbl>
    <w:p w14:paraId="452338F8" w14:textId="77777777" w:rsidR="006F76EB" w:rsidRPr="00834D52" w:rsidRDefault="006F76EB" w:rsidP="006F76EB">
      <w:pPr>
        <w:spacing w:after="160" w:line="360" w:lineRule="auto"/>
        <w:ind w:right="-8" w:firstLine="567"/>
        <w:jc w:val="both"/>
        <w:rPr>
          <w:rFonts w:ascii="Sylfaen" w:hAnsi="Sylfaen"/>
          <w:sz w:val="24"/>
          <w:szCs w:val="24"/>
          <w:lang w:val="en-US"/>
        </w:rPr>
      </w:pPr>
    </w:p>
    <w:p w14:paraId="734D58E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կետը լրացնելիս կցե՛ք գրանցման հավաստագրի իրավատիրոջ անունից իրավաբանական նշանակություն ունեցող գործողություններ կատարելու լիազորագիրը (սույն հայտի հավելվածի 5.1 ենթակետ):</w:t>
      </w:r>
    </w:p>
    <w:p w14:paraId="7959B6AA" w14:textId="77777777" w:rsidR="006F76EB" w:rsidRPr="00834D52" w:rsidRDefault="006F76EB" w:rsidP="006F76EB">
      <w:pPr>
        <w:tabs>
          <w:tab w:val="left" w:pos="1418"/>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3.4.3.</w:t>
      </w:r>
      <w:r w:rsidRPr="00834D52">
        <w:rPr>
          <w:rFonts w:ascii="Sylfaen" w:hAnsi="Sylfaen"/>
          <w:sz w:val="24"/>
          <w:szCs w:val="24"/>
        </w:rPr>
        <w:tab/>
        <w:t>Դեղապատրաստուկի գրանցումից հետո հայտատուի ներկայացուցիչը (հայտատուի անունից հանդես եկող անձը), եթե նրանք տարբերվում են սույն հայտի 3.4.2 ենթակետում ներկայացվածներից՝</w:t>
      </w:r>
    </w:p>
    <w:tbl>
      <w:tblPr>
        <w:tblW w:w="9610" w:type="dxa"/>
        <w:jc w:val="center"/>
        <w:tblLayout w:type="fixed"/>
        <w:tblCellMar>
          <w:left w:w="0" w:type="dxa"/>
          <w:right w:w="0" w:type="dxa"/>
        </w:tblCellMar>
        <w:tblLook w:val="01E0" w:firstRow="1" w:lastRow="1" w:firstColumn="1" w:lastColumn="1" w:noHBand="0" w:noVBand="0"/>
      </w:tblPr>
      <w:tblGrid>
        <w:gridCol w:w="5090"/>
        <w:gridCol w:w="4520"/>
      </w:tblGrid>
      <w:tr w:rsidR="006F76EB" w:rsidRPr="00834D52" w14:paraId="134792B7"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1C1A30E"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հայտատուի ներկայացուցչի ազգանունը, անունը, հայրանունը կամ իրավաբանական անձի անվանումը </w:t>
            </w:r>
          </w:p>
        </w:tc>
        <w:tc>
          <w:tcPr>
            <w:tcW w:w="4520" w:type="dxa"/>
            <w:tcBorders>
              <w:top w:val="single" w:sz="4" w:space="0" w:color="000000"/>
              <w:left w:val="single" w:sz="4" w:space="0" w:color="000000"/>
              <w:bottom w:val="single" w:sz="4" w:space="0" w:color="000000"/>
              <w:right w:val="single" w:sz="4" w:space="0" w:color="000000"/>
            </w:tcBorders>
          </w:tcPr>
          <w:p w14:paraId="7C98F6F8" w14:textId="77777777" w:rsidR="006F76EB" w:rsidRPr="00834D52" w:rsidRDefault="006F76EB" w:rsidP="007D3755">
            <w:pPr>
              <w:spacing w:after="120" w:line="240" w:lineRule="auto"/>
              <w:ind w:right="-6"/>
              <w:rPr>
                <w:rFonts w:ascii="Sylfaen" w:hAnsi="Sylfaen"/>
                <w:sz w:val="24"/>
                <w:szCs w:val="24"/>
              </w:rPr>
            </w:pPr>
          </w:p>
        </w:tc>
      </w:tr>
      <w:tr w:rsidR="006F76EB" w:rsidRPr="00834D52" w14:paraId="76D93797"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3BD44262"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իրավաբանական հասցեն</w:t>
            </w:r>
          </w:p>
        </w:tc>
        <w:tc>
          <w:tcPr>
            <w:tcW w:w="4520" w:type="dxa"/>
            <w:tcBorders>
              <w:top w:val="single" w:sz="4" w:space="0" w:color="000000"/>
              <w:left w:val="single" w:sz="4" w:space="0" w:color="000000"/>
              <w:bottom w:val="single" w:sz="4" w:space="0" w:color="000000"/>
              <w:right w:val="single" w:sz="4" w:space="0" w:color="000000"/>
            </w:tcBorders>
          </w:tcPr>
          <w:p w14:paraId="59038384" w14:textId="77777777" w:rsidR="006F76EB" w:rsidRPr="00834D52" w:rsidRDefault="006F76EB" w:rsidP="007D3755">
            <w:pPr>
              <w:spacing w:after="120" w:line="240" w:lineRule="auto"/>
              <w:ind w:right="-6"/>
              <w:rPr>
                <w:rFonts w:ascii="Sylfaen" w:hAnsi="Sylfaen"/>
                <w:sz w:val="24"/>
                <w:szCs w:val="24"/>
              </w:rPr>
            </w:pPr>
          </w:p>
        </w:tc>
      </w:tr>
      <w:tr w:rsidR="006F76EB" w:rsidRPr="00834D52" w14:paraId="7B5BAC0F"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636977E"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520" w:type="dxa"/>
            <w:tcBorders>
              <w:top w:val="single" w:sz="4" w:space="0" w:color="000000"/>
              <w:left w:val="single" w:sz="4" w:space="0" w:color="000000"/>
              <w:bottom w:val="single" w:sz="4" w:space="0" w:color="000000"/>
              <w:right w:val="single" w:sz="4" w:space="0" w:color="000000"/>
            </w:tcBorders>
          </w:tcPr>
          <w:p w14:paraId="775E6528" w14:textId="77777777" w:rsidR="006F76EB" w:rsidRPr="00834D52" w:rsidRDefault="006F76EB" w:rsidP="007D3755">
            <w:pPr>
              <w:spacing w:after="120" w:line="240" w:lineRule="auto"/>
              <w:ind w:right="-6"/>
              <w:rPr>
                <w:rFonts w:ascii="Sylfaen" w:hAnsi="Sylfaen"/>
                <w:sz w:val="24"/>
                <w:szCs w:val="24"/>
              </w:rPr>
            </w:pPr>
          </w:p>
        </w:tc>
      </w:tr>
      <w:tr w:rsidR="006F76EB" w:rsidRPr="00834D52" w14:paraId="432AE3FD"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6E4B776"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520" w:type="dxa"/>
            <w:tcBorders>
              <w:top w:val="single" w:sz="4" w:space="0" w:color="000000"/>
              <w:left w:val="single" w:sz="4" w:space="0" w:color="000000"/>
              <w:bottom w:val="single" w:sz="4" w:space="0" w:color="000000"/>
              <w:right w:val="single" w:sz="4" w:space="0" w:color="000000"/>
            </w:tcBorders>
          </w:tcPr>
          <w:p w14:paraId="0F5ECEA9" w14:textId="77777777" w:rsidR="006F76EB" w:rsidRPr="00834D52" w:rsidRDefault="006F76EB" w:rsidP="007D3755">
            <w:pPr>
              <w:spacing w:after="120" w:line="240" w:lineRule="auto"/>
              <w:ind w:right="-6"/>
              <w:rPr>
                <w:rFonts w:ascii="Sylfaen" w:hAnsi="Sylfaen"/>
                <w:sz w:val="24"/>
                <w:szCs w:val="24"/>
              </w:rPr>
            </w:pPr>
          </w:p>
        </w:tc>
      </w:tr>
      <w:tr w:rsidR="006F76EB" w:rsidRPr="00834D52" w14:paraId="5BB08738"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5F793C65"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20" w:type="dxa"/>
            <w:tcBorders>
              <w:top w:val="single" w:sz="4" w:space="0" w:color="000000"/>
              <w:left w:val="single" w:sz="4" w:space="0" w:color="000000"/>
              <w:bottom w:val="single" w:sz="4" w:space="0" w:color="000000"/>
              <w:right w:val="single" w:sz="4" w:space="0" w:color="000000"/>
            </w:tcBorders>
          </w:tcPr>
          <w:p w14:paraId="490EE694" w14:textId="77777777" w:rsidR="006F76EB" w:rsidRPr="00834D52" w:rsidRDefault="006F76EB" w:rsidP="007D3755">
            <w:pPr>
              <w:spacing w:after="120" w:line="240" w:lineRule="auto"/>
              <w:ind w:right="-6"/>
              <w:rPr>
                <w:rFonts w:ascii="Sylfaen" w:hAnsi="Sylfaen"/>
                <w:sz w:val="24"/>
                <w:szCs w:val="24"/>
              </w:rPr>
            </w:pPr>
          </w:p>
        </w:tc>
      </w:tr>
    </w:tbl>
    <w:p w14:paraId="1E4045D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կետը լրացնելիս կցե՛ք լիազորագիրը (սույն հայտի հավելվածի 5.1 ենթակետ):</w:t>
      </w:r>
    </w:p>
    <w:p w14:paraId="22C30791" w14:textId="77777777" w:rsidR="006F76EB" w:rsidRPr="00834D52" w:rsidRDefault="006F76EB" w:rsidP="0060033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3.4.4.</w:t>
      </w:r>
      <w:r w:rsidRPr="00834D52">
        <w:rPr>
          <w:rFonts w:ascii="Sylfaen" w:hAnsi="Sylfaen"/>
          <w:sz w:val="24"/>
          <w:szCs w:val="24"/>
        </w:rPr>
        <w:tab/>
        <w:t>Գրանցման հավաստագրի իրավատիրոջ՝ դեղազգոնության համար պատասխանատու լիազորված անձը՝</w:t>
      </w:r>
    </w:p>
    <w:tbl>
      <w:tblPr>
        <w:tblW w:w="9610" w:type="dxa"/>
        <w:jc w:val="center"/>
        <w:tblLayout w:type="fixed"/>
        <w:tblCellMar>
          <w:left w:w="0" w:type="dxa"/>
          <w:right w:w="0" w:type="dxa"/>
        </w:tblCellMar>
        <w:tblLook w:val="01E0" w:firstRow="1" w:lastRow="1" w:firstColumn="1" w:lastColumn="1" w:noHBand="0" w:noVBand="0"/>
      </w:tblPr>
      <w:tblGrid>
        <w:gridCol w:w="5090"/>
        <w:gridCol w:w="4520"/>
      </w:tblGrid>
      <w:tr w:rsidR="006F76EB" w:rsidRPr="00834D52" w14:paraId="2B5C1B77"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F0618B3" w14:textId="77777777" w:rsidR="006F76EB" w:rsidRPr="00834D52" w:rsidRDefault="006F76EB" w:rsidP="007D3755">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w:t>
            </w:r>
          </w:p>
        </w:tc>
        <w:tc>
          <w:tcPr>
            <w:tcW w:w="4520" w:type="dxa"/>
            <w:tcBorders>
              <w:top w:val="single" w:sz="4" w:space="0" w:color="000000"/>
              <w:left w:val="single" w:sz="4" w:space="0" w:color="000000"/>
              <w:bottom w:val="single" w:sz="4" w:space="0" w:color="000000"/>
              <w:right w:val="single" w:sz="4" w:space="0" w:color="000000"/>
            </w:tcBorders>
          </w:tcPr>
          <w:p w14:paraId="17EE4865" w14:textId="77777777" w:rsidR="006F76EB" w:rsidRPr="00834D52" w:rsidRDefault="006F76EB" w:rsidP="007D3755">
            <w:pPr>
              <w:spacing w:after="120" w:line="240" w:lineRule="auto"/>
              <w:ind w:right="-8"/>
              <w:rPr>
                <w:rFonts w:ascii="Sylfaen" w:hAnsi="Sylfaen"/>
                <w:sz w:val="24"/>
                <w:szCs w:val="24"/>
              </w:rPr>
            </w:pPr>
          </w:p>
        </w:tc>
      </w:tr>
      <w:tr w:rsidR="006F76EB" w:rsidRPr="00834D52" w14:paraId="188A49B9"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79676BB" w14:textId="77777777" w:rsidR="006F76EB" w:rsidRPr="00834D52" w:rsidRDefault="006F76EB" w:rsidP="007D3755">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անվանումը</w:t>
            </w:r>
          </w:p>
        </w:tc>
        <w:tc>
          <w:tcPr>
            <w:tcW w:w="4520" w:type="dxa"/>
            <w:tcBorders>
              <w:top w:val="single" w:sz="4" w:space="0" w:color="000000"/>
              <w:left w:val="single" w:sz="4" w:space="0" w:color="000000"/>
              <w:bottom w:val="single" w:sz="4" w:space="0" w:color="000000"/>
              <w:right w:val="single" w:sz="4" w:space="0" w:color="000000"/>
            </w:tcBorders>
          </w:tcPr>
          <w:p w14:paraId="325596E3" w14:textId="77777777" w:rsidR="006F76EB" w:rsidRPr="00834D52" w:rsidRDefault="006F76EB" w:rsidP="007D3755">
            <w:pPr>
              <w:spacing w:after="120" w:line="240" w:lineRule="auto"/>
              <w:ind w:right="-8"/>
              <w:rPr>
                <w:rFonts w:ascii="Sylfaen" w:hAnsi="Sylfaen"/>
                <w:sz w:val="24"/>
                <w:szCs w:val="24"/>
              </w:rPr>
            </w:pPr>
          </w:p>
        </w:tc>
      </w:tr>
      <w:tr w:rsidR="006F76EB" w:rsidRPr="00834D52" w14:paraId="735A46D6"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C3B0E16"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lastRenderedPageBreak/>
              <w:t>իրավաբանական անձի (գրանցման հավաստագրի իրավատիրոջ) իրավաբանական հասցեն</w:t>
            </w:r>
          </w:p>
        </w:tc>
        <w:tc>
          <w:tcPr>
            <w:tcW w:w="4520" w:type="dxa"/>
            <w:tcBorders>
              <w:top w:val="single" w:sz="4" w:space="0" w:color="000000"/>
              <w:left w:val="single" w:sz="4" w:space="0" w:color="000000"/>
              <w:bottom w:val="single" w:sz="4" w:space="0" w:color="000000"/>
              <w:right w:val="single" w:sz="4" w:space="0" w:color="000000"/>
            </w:tcBorders>
          </w:tcPr>
          <w:p w14:paraId="5098073B" w14:textId="77777777" w:rsidR="006F76EB" w:rsidRPr="00834D52" w:rsidRDefault="006F76EB" w:rsidP="007D3755">
            <w:pPr>
              <w:spacing w:after="120" w:line="240" w:lineRule="auto"/>
              <w:ind w:right="-6"/>
              <w:rPr>
                <w:rFonts w:ascii="Sylfaen" w:hAnsi="Sylfaen"/>
                <w:sz w:val="24"/>
                <w:szCs w:val="24"/>
              </w:rPr>
            </w:pPr>
          </w:p>
        </w:tc>
      </w:tr>
      <w:tr w:rsidR="006F76EB" w:rsidRPr="00834D52" w14:paraId="5CC4256D"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95C68DD"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520" w:type="dxa"/>
            <w:tcBorders>
              <w:top w:val="single" w:sz="4" w:space="0" w:color="000000"/>
              <w:left w:val="single" w:sz="4" w:space="0" w:color="000000"/>
              <w:bottom w:val="single" w:sz="4" w:space="0" w:color="000000"/>
              <w:right w:val="single" w:sz="4" w:space="0" w:color="000000"/>
            </w:tcBorders>
          </w:tcPr>
          <w:p w14:paraId="192FE07F" w14:textId="77777777" w:rsidR="006F76EB" w:rsidRPr="00834D52" w:rsidRDefault="006F76EB" w:rsidP="007D3755">
            <w:pPr>
              <w:spacing w:after="120" w:line="240" w:lineRule="auto"/>
              <w:ind w:right="-6"/>
              <w:rPr>
                <w:rFonts w:ascii="Sylfaen" w:hAnsi="Sylfaen"/>
                <w:sz w:val="24"/>
                <w:szCs w:val="24"/>
              </w:rPr>
            </w:pPr>
          </w:p>
        </w:tc>
      </w:tr>
      <w:tr w:rsidR="006F76EB" w:rsidRPr="00834D52" w14:paraId="2A08783B"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BDCB6C3"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շուրջօրյա հեռախոսահամարը </w:t>
            </w:r>
            <w:r w:rsidR="00C54D75">
              <w:rPr>
                <w:rFonts w:ascii="Sylfaen" w:hAnsi="Sylfaen"/>
                <w:sz w:val="24"/>
                <w:szCs w:val="24"/>
              </w:rPr>
              <w:t>և</w:t>
            </w:r>
            <w:r w:rsidRPr="00834D52">
              <w:rPr>
                <w:rFonts w:ascii="Sylfaen" w:hAnsi="Sylfaen"/>
                <w:sz w:val="24"/>
                <w:szCs w:val="24"/>
              </w:rPr>
              <w:t xml:space="preserve"> ֆաքսի համարը</w:t>
            </w:r>
          </w:p>
        </w:tc>
        <w:tc>
          <w:tcPr>
            <w:tcW w:w="4520" w:type="dxa"/>
            <w:tcBorders>
              <w:top w:val="single" w:sz="4" w:space="0" w:color="000000"/>
              <w:left w:val="single" w:sz="4" w:space="0" w:color="000000"/>
              <w:bottom w:val="single" w:sz="4" w:space="0" w:color="000000"/>
              <w:right w:val="single" w:sz="4" w:space="0" w:color="000000"/>
            </w:tcBorders>
          </w:tcPr>
          <w:p w14:paraId="0D5C53D3" w14:textId="77777777" w:rsidR="006F76EB" w:rsidRPr="00834D52" w:rsidRDefault="006F76EB" w:rsidP="007D3755">
            <w:pPr>
              <w:spacing w:after="120" w:line="240" w:lineRule="auto"/>
              <w:ind w:right="-6"/>
              <w:rPr>
                <w:rFonts w:ascii="Sylfaen" w:hAnsi="Sylfaen"/>
                <w:sz w:val="24"/>
                <w:szCs w:val="24"/>
              </w:rPr>
            </w:pPr>
          </w:p>
        </w:tc>
      </w:tr>
      <w:tr w:rsidR="006F76EB" w:rsidRPr="00834D52" w14:paraId="01989ED1"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1F93A37" w14:textId="77777777" w:rsidR="006F76EB" w:rsidRPr="00834D52" w:rsidRDefault="006F76EB" w:rsidP="007D3755">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20" w:type="dxa"/>
            <w:tcBorders>
              <w:top w:val="single" w:sz="4" w:space="0" w:color="000000"/>
              <w:left w:val="single" w:sz="4" w:space="0" w:color="000000"/>
              <w:bottom w:val="single" w:sz="4" w:space="0" w:color="000000"/>
              <w:right w:val="single" w:sz="4" w:space="0" w:color="000000"/>
            </w:tcBorders>
          </w:tcPr>
          <w:p w14:paraId="713B0E18" w14:textId="77777777" w:rsidR="006F76EB" w:rsidRPr="00834D52" w:rsidRDefault="006F76EB" w:rsidP="007D3755">
            <w:pPr>
              <w:spacing w:after="120" w:line="240" w:lineRule="auto"/>
              <w:ind w:right="-6"/>
              <w:rPr>
                <w:rFonts w:ascii="Sylfaen" w:hAnsi="Sylfaen"/>
                <w:sz w:val="24"/>
                <w:szCs w:val="24"/>
              </w:rPr>
            </w:pPr>
          </w:p>
        </w:tc>
      </w:tr>
    </w:tbl>
    <w:p w14:paraId="57116136"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Նշե՛ք գրանցման հավաստագրի իրավատիրոջ՝ դեղազգոնության համար պատասխանատու լիազորված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w:t>
      </w:r>
    </w:p>
    <w:tbl>
      <w:tblPr>
        <w:tblStyle w:val="TableGrid"/>
        <w:tblW w:w="9497" w:type="dxa"/>
        <w:jc w:val="center"/>
        <w:tblLook w:val="04A0" w:firstRow="1" w:lastRow="0" w:firstColumn="1" w:lastColumn="0" w:noHBand="0" w:noVBand="1"/>
      </w:tblPr>
      <w:tblGrid>
        <w:gridCol w:w="9497"/>
      </w:tblGrid>
      <w:tr w:rsidR="006F76EB" w:rsidRPr="00834D52" w14:paraId="1E3DB615" w14:textId="77777777" w:rsidTr="00F71229">
        <w:trPr>
          <w:jc w:val="center"/>
        </w:trPr>
        <w:tc>
          <w:tcPr>
            <w:tcW w:w="9497" w:type="dxa"/>
          </w:tcPr>
          <w:p w14:paraId="50CB31AE" w14:textId="77777777" w:rsidR="006F76EB" w:rsidRPr="00834D52" w:rsidRDefault="006F76EB" w:rsidP="007D3755">
            <w:pPr>
              <w:spacing w:after="120"/>
              <w:ind w:right="-6"/>
              <w:rPr>
                <w:rFonts w:ascii="Sylfaen" w:eastAsia="Times New Roman" w:hAnsi="Sylfaen" w:cs="Times New Roman"/>
                <w:sz w:val="24"/>
                <w:szCs w:val="24"/>
              </w:rPr>
            </w:pPr>
            <w:r w:rsidRPr="00834D52">
              <w:rPr>
                <w:rFonts w:ascii="Sylfaen" w:hAnsi="Sylfaen"/>
                <w:sz w:val="24"/>
                <w:szCs w:val="24"/>
              </w:rPr>
              <w:t>դեղազգոնության մաստեր-ֆայլը՝</w:t>
            </w:r>
            <w:r w:rsidRPr="00834D52">
              <w:rPr>
                <w:rFonts w:ascii="Sylfaen" w:hAnsi="Sylfaen"/>
                <w:sz w:val="24"/>
                <w:szCs w:val="24"/>
              </w:rPr>
              <w:br/>
              <w:t>համարը՝</w:t>
            </w:r>
            <w:r w:rsidRPr="00834D52">
              <w:rPr>
                <w:rFonts w:ascii="Sylfaen" w:hAnsi="Sylfaen"/>
                <w:sz w:val="24"/>
                <w:szCs w:val="24"/>
              </w:rPr>
              <w:br/>
              <w:t>գտնվելու վայրի հասցեն՝</w:t>
            </w:r>
          </w:p>
        </w:tc>
      </w:tr>
    </w:tbl>
    <w:p w14:paraId="407EFD40" w14:textId="77777777" w:rsidR="006F76EB" w:rsidRPr="00834D52" w:rsidRDefault="006F76EB" w:rsidP="0060033A">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3.4.5.</w:t>
      </w:r>
      <w:r w:rsidRPr="00834D52">
        <w:rPr>
          <w:rFonts w:ascii="Sylfaen" w:hAnsi="Sylfaen"/>
          <w:sz w:val="24"/>
          <w:szCs w:val="24"/>
        </w:rPr>
        <w:tab/>
        <w:t xml:space="preserve">Եվրասիական տնտեսական միության անդամ պետությունում գրանցման հավաստագրի իրավատիրոջ՝ դեղազգոնություն իրականացնելու համար լիազորված անձը, եթե նա տարբերվում է սույն հայտի 3.4.4 ենթակետում նշվածից՝ </w:t>
      </w:r>
    </w:p>
    <w:tbl>
      <w:tblPr>
        <w:tblW w:w="9821" w:type="dxa"/>
        <w:jc w:val="center"/>
        <w:tblLayout w:type="fixed"/>
        <w:tblCellMar>
          <w:left w:w="0" w:type="dxa"/>
          <w:right w:w="0" w:type="dxa"/>
        </w:tblCellMar>
        <w:tblLook w:val="01E0" w:firstRow="1" w:lastRow="1" w:firstColumn="1" w:lastColumn="1" w:noHBand="0" w:noVBand="0"/>
      </w:tblPr>
      <w:tblGrid>
        <w:gridCol w:w="5166"/>
        <w:gridCol w:w="4655"/>
      </w:tblGrid>
      <w:tr w:rsidR="006F76EB" w:rsidRPr="00834D52" w14:paraId="4767D7C1" w14:textId="77777777" w:rsidTr="005B32CC">
        <w:trPr>
          <w:trHeight w:val="1637"/>
          <w:jc w:val="center"/>
        </w:trPr>
        <w:tc>
          <w:tcPr>
            <w:tcW w:w="5166" w:type="dxa"/>
            <w:tcBorders>
              <w:top w:val="single" w:sz="4" w:space="0" w:color="000000"/>
              <w:left w:val="single" w:sz="4" w:space="0" w:color="000000"/>
              <w:bottom w:val="single" w:sz="4" w:space="0" w:color="000000"/>
              <w:right w:val="single" w:sz="4" w:space="0" w:color="000000"/>
            </w:tcBorders>
          </w:tcPr>
          <w:p w14:paraId="62C64DE0"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 հայրանունը</w:t>
            </w:r>
          </w:p>
        </w:tc>
        <w:tc>
          <w:tcPr>
            <w:tcW w:w="4655" w:type="dxa"/>
            <w:tcBorders>
              <w:top w:val="single" w:sz="4" w:space="0" w:color="000000"/>
              <w:left w:val="single" w:sz="4" w:space="0" w:color="000000"/>
              <w:bottom w:val="single" w:sz="4" w:space="0" w:color="000000"/>
              <w:right w:val="single" w:sz="4" w:space="0" w:color="000000"/>
            </w:tcBorders>
          </w:tcPr>
          <w:p w14:paraId="6CA66B1B" w14:textId="77777777" w:rsidR="006F76EB" w:rsidRPr="00834D52" w:rsidRDefault="006F76EB" w:rsidP="0060033A">
            <w:pPr>
              <w:spacing w:after="120" w:line="240" w:lineRule="auto"/>
              <w:ind w:right="-6"/>
              <w:rPr>
                <w:rFonts w:ascii="Sylfaen" w:hAnsi="Sylfaen"/>
                <w:sz w:val="24"/>
                <w:szCs w:val="24"/>
              </w:rPr>
            </w:pPr>
          </w:p>
        </w:tc>
      </w:tr>
      <w:tr w:rsidR="006F76EB" w:rsidRPr="00834D52" w14:paraId="4F387A7A" w14:textId="77777777" w:rsidTr="005B32CC">
        <w:trPr>
          <w:trHeight w:val="879"/>
          <w:jc w:val="center"/>
        </w:trPr>
        <w:tc>
          <w:tcPr>
            <w:tcW w:w="5166" w:type="dxa"/>
            <w:tcBorders>
              <w:top w:val="single" w:sz="4" w:space="0" w:color="000000"/>
              <w:left w:val="single" w:sz="4" w:space="0" w:color="000000"/>
              <w:bottom w:val="single" w:sz="4" w:space="0" w:color="000000"/>
              <w:right w:val="single" w:sz="4" w:space="0" w:color="000000"/>
            </w:tcBorders>
          </w:tcPr>
          <w:p w14:paraId="75CCE525"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անվանումը</w:t>
            </w:r>
          </w:p>
        </w:tc>
        <w:tc>
          <w:tcPr>
            <w:tcW w:w="4655" w:type="dxa"/>
            <w:tcBorders>
              <w:top w:val="single" w:sz="4" w:space="0" w:color="000000"/>
              <w:left w:val="single" w:sz="4" w:space="0" w:color="000000"/>
              <w:bottom w:val="single" w:sz="4" w:space="0" w:color="000000"/>
              <w:right w:val="single" w:sz="4" w:space="0" w:color="000000"/>
            </w:tcBorders>
          </w:tcPr>
          <w:p w14:paraId="507FBB12" w14:textId="77777777" w:rsidR="006F76EB" w:rsidRPr="00834D52" w:rsidRDefault="006F76EB" w:rsidP="0060033A">
            <w:pPr>
              <w:spacing w:after="120" w:line="240" w:lineRule="auto"/>
              <w:ind w:right="-6"/>
              <w:rPr>
                <w:rFonts w:ascii="Sylfaen" w:hAnsi="Sylfaen"/>
                <w:sz w:val="24"/>
                <w:szCs w:val="24"/>
              </w:rPr>
            </w:pPr>
          </w:p>
        </w:tc>
      </w:tr>
      <w:tr w:rsidR="006F76EB" w:rsidRPr="00834D52" w14:paraId="180AAA10" w14:textId="77777777" w:rsidTr="005B32CC">
        <w:trPr>
          <w:trHeight w:val="519"/>
          <w:jc w:val="center"/>
        </w:trPr>
        <w:tc>
          <w:tcPr>
            <w:tcW w:w="5166" w:type="dxa"/>
            <w:tcBorders>
              <w:top w:val="single" w:sz="4" w:space="0" w:color="000000"/>
              <w:left w:val="single" w:sz="4" w:space="0" w:color="000000"/>
              <w:bottom w:val="single" w:sz="4" w:space="0" w:color="000000"/>
              <w:right w:val="single" w:sz="4" w:space="0" w:color="000000"/>
            </w:tcBorders>
          </w:tcPr>
          <w:p w14:paraId="44BF8B76"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հասցեն</w:t>
            </w:r>
          </w:p>
        </w:tc>
        <w:tc>
          <w:tcPr>
            <w:tcW w:w="4655" w:type="dxa"/>
            <w:tcBorders>
              <w:top w:val="single" w:sz="4" w:space="0" w:color="000000"/>
              <w:left w:val="single" w:sz="4" w:space="0" w:color="000000"/>
              <w:bottom w:val="single" w:sz="4" w:space="0" w:color="000000"/>
              <w:right w:val="single" w:sz="4" w:space="0" w:color="000000"/>
            </w:tcBorders>
          </w:tcPr>
          <w:p w14:paraId="0356125A" w14:textId="77777777" w:rsidR="006F76EB" w:rsidRPr="00834D52" w:rsidRDefault="006F76EB" w:rsidP="0060033A">
            <w:pPr>
              <w:spacing w:after="120" w:line="240" w:lineRule="auto"/>
              <w:ind w:right="-6"/>
              <w:rPr>
                <w:rFonts w:ascii="Sylfaen" w:hAnsi="Sylfaen"/>
                <w:sz w:val="24"/>
                <w:szCs w:val="24"/>
              </w:rPr>
            </w:pPr>
          </w:p>
        </w:tc>
      </w:tr>
      <w:tr w:rsidR="006F76EB" w:rsidRPr="00834D52" w14:paraId="6D01E303" w14:textId="77777777" w:rsidTr="005B32CC">
        <w:trPr>
          <w:trHeight w:val="500"/>
          <w:jc w:val="center"/>
        </w:trPr>
        <w:tc>
          <w:tcPr>
            <w:tcW w:w="5166" w:type="dxa"/>
            <w:tcBorders>
              <w:top w:val="single" w:sz="4" w:space="0" w:color="000000"/>
              <w:left w:val="single" w:sz="4" w:space="0" w:color="000000"/>
              <w:bottom w:val="single" w:sz="4" w:space="0" w:color="000000"/>
              <w:right w:val="single" w:sz="4" w:space="0" w:color="000000"/>
            </w:tcBorders>
          </w:tcPr>
          <w:p w14:paraId="6C2AF775"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երկիրը</w:t>
            </w:r>
          </w:p>
        </w:tc>
        <w:tc>
          <w:tcPr>
            <w:tcW w:w="4655" w:type="dxa"/>
            <w:tcBorders>
              <w:top w:val="single" w:sz="4" w:space="0" w:color="000000"/>
              <w:left w:val="single" w:sz="4" w:space="0" w:color="000000"/>
              <w:bottom w:val="single" w:sz="4" w:space="0" w:color="000000"/>
              <w:right w:val="single" w:sz="4" w:space="0" w:color="000000"/>
            </w:tcBorders>
          </w:tcPr>
          <w:p w14:paraId="476446EE" w14:textId="77777777" w:rsidR="006F76EB" w:rsidRPr="00834D52" w:rsidRDefault="006F76EB" w:rsidP="0060033A">
            <w:pPr>
              <w:spacing w:after="120" w:line="240" w:lineRule="auto"/>
              <w:ind w:right="-6"/>
              <w:rPr>
                <w:rFonts w:ascii="Sylfaen" w:hAnsi="Sylfaen"/>
                <w:sz w:val="24"/>
                <w:szCs w:val="24"/>
              </w:rPr>
            </w:pPr>
          </w:p>
        </w:tc>
      </w:tr>
      <w:tr w:rsidR="006F76EB" w:rsidRPr="00834D52" w14:paraId="2D2FF58F" w14:textId="77777777" w:rsidTr="005B32CC">
        <w:trPr>
          <w:trHeight w:val="519"/>
          <w:jc w:val="center"/>
        </w:trPr>
        <w:tc>
          <w:tcPr>
            <w:tcW w:w="5166" w:type="dxa"/>
            <w:tcBorders>
              <w:top w:val="single" w:sz="4" w:space="0" w:color="000000"/>
              <w:left w:val="single" w:sz="4" w:space="0" w:color="000000"/>
              <w:bottom w:val="single" w:sz="4" w:space="0" w:color="000000"/>
              <w:right w:val="single" w:sz="4" w:space="0" w:color="000000"/>
            </w:tcBorders>
          </w:tcPr>
          <w:p w14:paraId="7C6EE006"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շուրջօրյա հեռախոսը/ֆաքսը</w:t>
            </w:r>
          </w:p>
        </w:tc>
        <w:tc>
          <w:tcPr>
            <w:tcW w:w="4655" w:type="dxa"/>
            <w:tcBorders>
              <w:top w:val="single" w:sz="4" w:space="0" w:color="000000"/>
              <w:left w:val="single" w:sz="4" w:space="0" w:color="000000"/>
              <w:bottom w:val="single" w:sz="4" w:space="0" w:color="000000"/>
              <w:right w:val="single" w:sz="4" w:space="0" w:color="000000"/>
            </w:tcBorders>
          </w:tcPr>
          <w:p w14:paraId="449542C9" w14:textId="77777777" w:rsidR="006F76EB" w:rsidRPr="00834D52" w:rsidRDefault="006F76EB" w:rsidP="0060033A">
            <w:pPr>
              <w:spacing w:after="120" w:line="240" w:lineRule="auto"/>
              <w:ind w:right="-6"/>
              <w:rPr>
                <w:rFonts w:ascii="Sylfaen" w:hAnsi="Sylfaen"/>
                <w:sz w:val="24"/>
                <w:szCs w:val="24"/>
              </w:rPr>
            </w:pPr>
          </w:p>
        </w:tc>
      </w:tr>
      <w:tr w:rsidR="006F76EB" w:rsidRPr="00834D52" w14:paraId="1FE82133" w14:textId="77777777" w:rsidTr="005B32CC">
        <w:trPr>
          <w:trHeight w:val="519"/>
          <w:jc w:val="center"/>
        </w:trPr>
        <w:tc>
          <w:tcPr>
            <w:tcW w:w="5166" w:type="dxa"/>
            <w:tcBorders>
              <w:top w:val="single" w:sz="4" w:space="0" w:color="000000"/>
              <w:left w:val="single" w:sz="4" w:space="0" w:color="000000"/>
              <w:bottom w:val="single" w:sz="4" w:space="0" w:color="000000"/>
              <w:right w:val="single" w:sz="4" w:space="0" w:color="000000"/>
            </w:tcBorders>
          </w:tcPr>
          <w:p w14:paraId="23EC2EF1" w14:textId="77777777" w:rsidR="006F76EB" w:rsidRPr="00834D52" w:rsidRDefault="006F76EB" w:rsidP="0060033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փոստը</w:t>
            </w:r>
          </w:p>
        </w:tc>
        <w:tc>
          <w:tcPr>
            <w:tcW w:w="4655" w:type="dxa"/>
            <w:tcBorders>
              <w:top w:val="single" w:sz="4" w:space="0" w:color="000000"/>
              <w:left w:val="single" w:sz="4" w:space="0" w:color="000000"/>
              <w:bottom w:val="single" w:sz="4" w:space="0" w:color="000000"/>
              <w:right w:val="single" w:sz="4" w:space="0" w:color="000000"/>
            </w:tcBorders>
          </w:tcPr>
          <w:p w14:paraId="36D18BAC" w14:textId="77777777" w:rsidR="006F76EB" w:rsidRPr="00834D52" w:rsidRDefault="006F76EB" w:rsidP="0060033A">
            <w:pPr>
              <w:spacing w:after="120" w:line="240" w:lineRule="auto"/>
              <w:ind w:right="-6"/>
              <w:rPr>
                <w:rFonts w:ascii="Sylfaen" w:hAnsi="Sylfaen"/>
                <w:sz w:val="24"/>
                <w:szCs w:val="24"/>
              </w:rPr>
            </w:pPr>
          </w:p>
        </w:tc>
      </w:tr>
    </w:tbl>
    <w:p w14:paraId="274E619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Նշե՛ք Եվրասիական տնտեսական միության անդամ պետությունում դեղազգոնություն իրականացնելու համար լիազորված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 նրա հեռախոսահամարը:</w:t>
      </w:r>
    </w:p>
    <w:p w14:paraId="0502C350" w14:textId="77777777" w:rsidR="006F76EB" w:rsidRPr="00834D52" w:rsidRDefault="006F76EB" w:rsidP="005B32CC">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w:t>
      </w:r>
      <w:r w:rsidRPr="00834D52">
        <w:rPr>
          <w:rFonts w:ascii="Sylfaen" w:hAnsi="Sylfaen"/>
          <w:sz w:val="24"/>
          <w:szCs w:val="24"/>
        </w:rPr>
        <w:tab/>
        <w:t>Դեղապատրաստուկն արտադրողը</w:t>
      </w:r>
    </w:p>
    <w:p w14:paraId="560B854A" w14:textId="77777777" w:rsidR="006F76EB" w:rsidRPr="00834D52" w:rsidRDefault="006F76EB" w:rsidP="005B32CC">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3.5.1.</w:t>
      </w:r>
      <w:r w:rsidRPr="00834D52">
        <w:rPr>
          <w:rFonts w:ascii="Sylfaen" w:hAnsi="Sylfaen"/>
          <w:sz w:val="24"/>
          <w:szCs w:val="24"/>
        </w:rPr>
        <w:tab/>
        <w:t xml:space="preserve">Արտադրողը, որը պատասխանատու է դեղապատրաստուկի սերիաների բացթողման համար անհրաժեշտ որակի հսկողության համար (ինչպես նշված է դեղապատրաստուկի ընդհանուր բնութագրում, ներդիր թերթիկում </w:t>
      </w:r>
      <w:r w:rsidR="00C54D75">
        <w:rPr>
          <w:rFonts w:ascii="Sylfaen" w:hAnsi="Sylfaen"/>
          <w:sz w:val="24"/>
          <w:szCs w:val="24"/>
        </w:rPr>
        <w:t>և</w:t>
      </w:r>
      <w:r w:rsidRPr="00834D52">
        <w:rPr>
          <w:rFonts w:ascii="Sylfaen" w:hAnsi="Sylfaen"/>
          <w:sz w:val="24"/>
          <w:szCs w:val="24"/>
        </w:rPr>
        <w:t>,անհրաժեշտության դեպքում՝ մականշվածքում)</w:t>
      </w:r>
    </w:p>
    <w:tbl>
      <w:tblPr>
        <w:tblW w:w="9610" w:type="dxa"/>
        <w:jc w:val="center"/>
        <w:tblLayout w:type="fixed"/>
        <w:tblCellMar>
          <w:left w:w="0" w:type="dxa"/>
          <w:right w:w="0" w:type="dxa"/>
        </w:tblCellMar>
        <w:tblLook w:val="01E0" w:firstRow="1" w:lastRow="1" w:firstColumn="1" w:lastColumn="1" w:noHBand="0" w:noVBand="0"/>
      </w:tblPr>
      <w:tblGrid>
        <w:gridCol w:w="5090"/>
        <w:gridCol w:w="4520"/>
      </w:tblGrid>
      <w:tr w:rsidR="006F76EB" w:rsidRPr="00834D52" w14:paraId="52174B36"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13054EB0" w14:textId="77777777" w:rsidR="006F76EB" w:rsidRPr="00834D52" w:rsidRDefault="006F76EB" w:rsidP="005B32C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4520" w:type="dxa"/>
            <w:tcBorders>
              <w:top w:val="single" w:sz="4" w:space="0" w:color="000000"/>
              <w:left w:val="single" w:sz="4" w:space="0" w:color="000000"/>
              <w:bottom w:val="single" w:sz="4" w:space="0" w:color="000000"/>
              <w:right w:val="single" w:sz="4" w:space="0" w:color="000000"/>
            </w:tcBorders>
          </w:tcPr>
          <w:p w14:paraId="4DA87181" w14:textId="77777777" w:rsidR="006F76EB" w:rsidRPr="00834D52" w:rsidRDefault="006F76EB" w:rsidP="005B32CC">
            <w:pPr>
              <w:spacing w:after="120" w:line="240" w:lineRule="auto"/>
              <w:ind w:right="-6"/>
              <w:rPr>
                <w:rFonts w:ascii="Sylfaen" w:hAnsi="Sylfaen"/>
                <w:sz w:val="24"/>
                <w:szCs w:val="24"/>
              </w:rPr>
            </w:pPr>
          </w:p>
        </w:tc>
      </w:tr>
      <w:tr w:rsidR="006F76EB" w:rsidRPr="00834D52" w14:paraId="6756E016"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2AD3F4A" w14:textId="77777777" w:rsidR="006F76EB" w:rsidRPr="00834D52" w:rsidRDefault="006F76EB" w:rsidP="005B32C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4520" w:type="dxa"/>
            <w:tcBorders>
              <w:top w:val="single" w:sz="4" w:space="0" w:color="000000"/>
              <w:left w:val="single" w:sz="4" w:space="0" w:color="000000"/>
              <w:bottom w:val="single" w:sz="4" w:space="0" w:color="000000"/>
              <w:right w:val="single" w:sz="4" w:space="0" w:color="000000"/>
            </w:tcBorders>
          </w:tcPr>
          <w:p w14:paraId="2B61F092" w14:textId="77777777" w:rsidR="006F76EB" w:rsidRPr="00834D52" w:rsidRDefault="006F76EB" w:rsidP="005B32CC">
            <w:pPr>
              <w:spacing w:after="120" w:line="240" w:lineRule="auto"/>
              <w:ind w:right="-6"/>
              <w:rPr>
                <w:rFonts w:ascii="Sylfaen" w:hAnsi="Sylfaen"/>
                <w:sz w:val="24"/>
                <w:szCs w:val="24"/>
              </w:rPr>
            </w:pPr>
          </w:p>
        </w:tc>
      </w:tr>
      <w:tr w:rsidR="006F76EB" w:rsidRPr="00834D52" w14:paraId="0AE57CCD"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ADF9E09" w14:textId="77777777" w:rsidR="006F76EB" w:rsidRPr="00834D52" w:rsidRDefault="006F76EB" w:rsidP="005B32C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520" w:type="dxa"/>
            <w:tcBorders>
              <w:top w:val="single" w:sz="4" w:space="0" w:color="000000"/>
              <w:left w:val="single" w:sz="4" w:space="0" w:color="000000"/>
              <w:bottom w:val="single" w:sz="4" w:space="0" w:color="000000"/>
              <w:right w:val="single" w:sz="4" w:space="0" w:color="000000"/>
            </w:tcBorders>
          </w:tcPr>
          <w:p w14:paraId="3FBE8447" w14:textId="77777777" w:rsidR="006F76EB" w:rsidRPr="00834D52" w:rsidRDefault="006F76EB" w:rsidP="005B32CC">
            <w:pPr>
              <w:spacing w:after="120" w:line="240" w:lineRule="auto"/>
              <w:ind w:right="-6"/>
              <w:rPr>
                <w:rFonts w:ascii="Sylfaen" w:hAnsi="Sylfaen"/>
                <w:sz w:val="24"/>
                <w:szCs w:val="24"/>
              </w:rPr>
            </w:pPr>
          </w:p>
        </w:tc>
      </w:tr>
      <w:tr w:rsidR="006F76EB" w:rsidRPr="00834D52" w14:paraId="795FB1F9"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0F17242" w14:textId="77777777" w:rsidR="006F76EB" w:rsidRPr="00834D52" w:rsidRDefault="006F76EB" w:rsidP="005B32C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520" w:type="dxa"/>
            <w:tcBorders>
              <w:top w:val="single" w:sz="4" w:space="0" w:color="000000"/>
              <w:left w:val="single" w:sz="4" w:space="0" w:color="000000"/>
              <w:bottom w:val="single" w:sz="4" w:space="0" w:color="000000"/>
              <w:right w:val="single" w:sz="4" w:space="0" w:color="000000"/>
            </w:tcBorders>
          </w:tcPr>
          <w:p w14:paraId="69B900C7" w14:textId="77777777" w:rsidR="006F76EB" w:rsidRPr="00834D52" w:rsidRDefault="006F76EB" w:rsidP="005B32CC">
            <w:pPr>
              <w:spacing w:after="120" w:line="240" w:lineRule="auto"/>
              <w:ind w:right="-6"/>
              <w:rPr>
                <w:rFonts w:ascii="Sylfaen" w:hAnsi="Sylfaen"/>
                <w:sz w:val="24"/>
                <w:szCs w:val="24"/>
              </w:rPr>
            </w:pPr>
          </w:p>
        </w:tc>
      </w:tr>
      <w:tr w:rsidR="006F76EB" w:rsidRPr="00834D52" w14:paraId="6CCC9814"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73B9BEF" w14:textId="77777777" w:rsidR="006F76EB" w:rsidRPr="00834D52" w:rsidRDefault="006F76EB" w:rsidP="005B32C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520" w:type="dxa"/>
            <w:tcBorders>
              <w:top w:val="single" w:sz="4" w:space="0" w:color="000000"/>
              <w:left w:val="single" w:sz="4" w:space="0" w:color="000000"/>
              <w:bottom w:val="single" w:sz="4" w:space="0" w:color="000000"/>
              <w:right w:val="single" w:sz="4" w:space="0" w:color="000000"/>
            </w:tcBorders>
          </w:tcPr>
          <w:p w14:paraId="74DA110A" w14:textId="77777777" w:rsidR="006F76EB" w:rsidRPr="00834D52" w:rsidRDefault="006F76EB" w:rsidP="005B32CC">
            <w:pPr>
              <w:spacing w:after="120" w:line="240" w:lineRule="auto"/>
              <w:ind w:right="-6"/>
              <w:rPr>
                <w:rFonts w:ascii="Sylfaen" w:hAnsi="Sylfaen"/>
                <w:sz w:val="24"/>
                <w:szCs w:val="24"/>
              </w:rPr>
            </w:pPr>
          </w:p>
        </w:tc>
      </w:tr>
    </w:tbl>
    <w:p w14:paraId="7FF32362" w14:textId="77777777" w:rsidR="006F76EB" w:rsidRPr="00834D52" w:rsidRDefault="006F76EB" w:rsidP="006F76EB">
      <w:pPr>
        <w:tabs>
          <w:tab w:val="left" w:pos="1418"/>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3.5.2.</w:t>
      </w:r>
      <w:r w:rsidRPr="00834D52">
        <w:rPr>
          <w:rFonts w:ascii="Sylfaen" w:hAnsi="Sylfaen"/>
          <w:sz w:val="24"/>
          <w:szCs w:val="24"/>
        </w:rPr>
        <w:tab/>
        <w:t xml:space="preserve">Արտադրող երկրի՝ արյան </w:t>
      </w:r>
      <w:r w:rsidR="00C54D75">
        <w:rPr>
          <w:rFonts w:ascii="Sylfaen" w:hAnsi="Sylfaen"/>
          <w:sz w:val="24"/>
          <w:szCs w:val="24"/>
        </w:rPr>
        <w:t>և</w:t>
      </w:r>
      <w:r w:rsidRPr="00834D52">
        <w:rPr>
          <w:rFonts w:ascii="Sylfaen" w:hAnsi="Sylfaen"/>
          <w:sz w:val="24"/>
          <w:szCs w:val="24"/>
        </w:rPr>
        <w:t xml:space="preserve"> պատվաստանյութերի պատրաստուկների որակի հսկողության լաբորատորիան, որը պատասխանատու</w:t>
      </w:r>
      <w:r w:rsidR="00CF27EA" w:rsidRPr="00591731">
        <w:rPr>
          <w:rFonts w:ascii="Sylfaen" w:hAnsi="Sylfaen"/>
          <w:sz w:val="24"/>
          <w:szCs w:val="24"/>
        </w:rPr>
        <w:t> </w:t>
      </w:r>
      <w:r w:rsidRPr="00834D52">
        <w:rPr>
          <w:rFonts w:ascii="Sylfaen" w:hAnsi="Sylfaen"/>
          <w:sz w:val="24"/>
          <w:szCs w:val="24"/>
        </w:rPr>
        <w:t>է սերիայի որակի հսկողության (բացթողման) համար</w:t>
      </w:r>
    </w:p>
    <w:tbl>
      <w:tblPr>
        <w:tblW w:w="0" w:type="auto"/>
        <w:jc w:val="center"/>
        <w:tblLayout w:type="fixed"/>
        <w:tblCellMar>
          <w:left w:w="0" w:type="dxa"/>
          <w:right w:w="0" w:type="dxa"/>
        </w:tblCellMar>
        <w:tblLook w:val="01E0" w:firstRow="1" w:lastRow="1" w:firstColumn="1" w:lastColumn="1" w:noHBand="0" w:noVBand="0"/>
      </w:tblPr>
      <w:tblGrid>
        <w:gridCol w:w="5532"/>
        <w:gridCol w:w="4078"/>
      </w:tblGrid>
      <w:tr w:rsidR="006F76EB" w:rsidRPr="00834D52" w14:paraId="2B90645E"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2DA16B00" w14:textId="77777777" w:rsidR="006F76EB" w:rsidRPr="00834D52" w:rsidRDefault="006F76EB" w:rsidP="00CF27EA">
            <w:pPr>
              <w:spacing w:after="120" w:line="240" w:lineRule="auto"/>
              <w:ind w:left="121" w:right="-6"/>
              <w:rPr>
                <w:rFonts w:ascii="Sylfaen" w:eastAsia="Times New Roman" w:hAnsi="Sylfaen" w:cs="Times New Roman"/>
                <w:sz w:val="24"/>
                <w:szCs w:val="24"/>
              </w:rPr>
            </w:pPr>
            <w:r w:rsidRPr="00834D52">
              <w:rPr>
                <w:rFonts w:ascii="Sylfaen" w:hAnsi="Sylfaen"/>
                <w:sz w:val="24"/>
                <w:szCs w:val="24"/>
              </w:rPr>
              <w:t>լաբորատորիայի անվանումը</w:t>
            </w:r>
          </w:p>
        </w:tc>
        <w:tc>
          <w:tcPr>
            <w:tcW w:w="4078" w:type="dxa"/>
            <w:tcBorders>
              <w:top w:val="single" w:sz="4" w:space="0" w:color="000000"/>
              <w:left w:val="single" w:sz="4" w:space="0" w:color="000000"/>
              <w:bottom w:val="single" w:sz="4" w:space="0" w:color="000000"/>
              <w:right w:val="single" w:sz="4" w:space="0" w:color="000000"/>
            </w:tcBorders>
          </w:tcPr>
          <w:p w14:paraId="2492B758" w14:textId="77777777" w:rsidR="006F76EB" w:rsidRPr="00834D52" w:rsidRDefault="006F76EB" w:rsidP="00CF27EA">
            <w:pPr>
              <w:spacing w:after="120" w:line="240" w:lineRule="auto"/>
              <w:ind w:right="-6"/>
              <w:rPr>
                <w:rFonts w:ascii="Sylfaen" w:hAnsi="Sylfaen"/>
                <w:sz w:val="24"/>
                <w:szCs w:val="24"/>
              </w:rPr>
            </w:pPr>
          </w:p>
        </w:tc>
      </w:tr>
      <w:tr w:rsidR="006F76EB" w:rsidRPr="00834D52" w14:paraId="2E4AE3D9"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5D6722DE" w14:textId="77777777" w:rsidR="006F76EB" w:rsidRPr="00834D52" w:rsidRDefault="006F76EB" w:rsidP="00CF27EA">
            <w:pPr>
              <w:spacing w:after="120" w:line="240" w:lineRule="auto"/>
              <w:ind w:left="121"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4078" w:type="dxa"/>
            <w:tcBorders>
              <w:top w:val="single" w:sz="4" w:space="0" w:color="000000"/>
              <w:left w:val="single" w:sz="4" w:space="0" w:color="000000"/>
              <w:bottom w:val="single" w:sz="4" w:space="0" w:color="000000"/>
              <w:right w:val="single" w:sz="4" w:space="0" w:color="000000"/>
            </w:tcBorders>
          </w:tcPr>
          <w:p w14:paraId="58B18BBE" w14:textId="77777777" w:rsidR="006F76EB" w:rsidRPr="00834D52" w:rsidRDefault="006F76EB" w:rsidP="00CF27EA">
            <w:pPr>
              <w:spacing w:after="120" w:line="240" w:lineRule="auto"/>
              <w:ind w:right="-6"/>
              <w:rPr>
                <w:rFonts w:ascii="Sylfaen" w:hAnsi="Sylfaen"/>
                <w:sz w:val="24"/>
                <w:szCs w:val="24"/>
              </w:rPr>
            </w:pPr>
          </w:p>
        </w:tc>
      </w:tr>
      <w:tr w:rsidR="006F76EB" w:rsidRPr="00834D52" w14:paraId="1E4A2D95"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0A13BDEC" w14:textId="77777777" w:rsidR="006F76EB" w:rsidRPr="00834D52" w:rsidRDefault="006F76EB" w:rsidP="00CF27EA">
            <w:pPr>
              <w:spacing w:after="120" w:line="240" w:lineRule="auto"/>
              <w:ind w:left="121" w:right="-6"/>
              <w:rPr>
                <w:rFonts w:ascii="Sylfaen" w:eastAsia="Times New Roman" w:hAnsi="Sylfaen" w:cs="Times New Roman"/>
                <w:sz w:val="24"/>
                <w:szCs w:val="24"/>
              </w:rPr>
            </w:pPr>
            <w:r w:rsidRPr="00834D52">
              <w:rPr>
                <w:rFonts w:ascii="Sylfaen" w:hAnsi="Sylfaen"/>
                <w:sz w:val="24"/>
                <w:szCs w:val="24"/>
              </w:rPr>
              <w:t>պետությունը</w:t>
            </w:r>
          </w:p>
        </w:tc>
        <w:tc>
          <w:tcPr>
            <w:tcW w:w="4078" w:type="dxa"/>
            <w:tcBorders>
              <w:top w:val="single" w:sz="4" w:space="0" w:color="000000"/>
              <w:left w:val="single" w:sz="4" w:space="0" w:color="000000"/>
              <w:bottom w:val="single" w:sz="4" w:space="0" w:color="000000"/>
              <w:right w:val="single" w:sz="4" w:space="0" w:color="000000"/>
            </w:tcBorders>
          </w:tcPr>
          <w:p w14:paraId="3269C227" w14:textId="77777777" w:rsidR="006F76EB" w:rsidRPr="00834D52" w:rsidRDefault="006F76EB" w:rsidP="00CF27EA">
            <w:pPr>
              <w:spacing w:after="120" w:line="240" w:lineRule="auto"/>
              <w:ind w:right="-6"/>
              <w:rPr>
                <w:rFonts w:ascii="Sylfaen" w:hAnsi="Sylfaen"/>
                <w:sz w:val="24"/>
                <w:szCs w:val="24"/>
              </w:rPr>
            </w:pPr>
          </w:p>
        </w:tc>
      </w:tr>
      <w:tr w:rsidR="006F76EB" w:rsidRPr="00834D52" w14:paraId="02EA3BE7"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1EC377AF" w14:textId="77777777" w:rsidR="006F76EB" w:rsidRPr="00834D52" w:rsidRDefault="006F76EB" w:rsidP="00CF27EA">
            <w:pPr>
              <w:spacing w:after="120" w:line="240" w:lineRule="auto"/>
              <w:ind w:left="121"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078" w:type="dxa"/>
            <w:tcBorders>
              <w:top w:val="single" w:sz="4" w:space="0" w:color="000000"/>
              <w:left w:val="single" w:sz="4" w:space="0" w:color="000000"/>
              <w:bottom w:val="single" w:sz="4" w:space="0" w:color="000000"/>
              <w:right w:val="single" w:sz="4" w:space="0" w:color="000000"/>
            </w:tcBorders>
          </w:tcPr>
          <w:p w14:paraId="4BD34426" w14:textId="77777777" w:rsidR="006F76EB" w:rsidRPr="00834D52" w:rsidRDefault="006F76EB" w:rsidP="00CF27EA">
            <w:pPr>
              <w:spacing w:after="120" w:line="240" w:lineRule="auto"/>
              <w:ind w:right="-6"/>
              <w:rPr>
                <w:rFonts w:ascii="Sylfaen" w:hAnsi="Sylfaen"/>
                <w:sz w:val="24"/>
                <w:szCs w:val="24"/>
              </w:rPr>
            </w:pPr>
          </w:p>
        </w:tc>
      </w:tr>
      <w:tr w:rsidR="006F76EB" w:rsidRPr="00834D52" w14:paraId="7290CEAF"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6F08B514" w14:textId="77777777" w:rsidR="006F76EB" w:rsidRPr="00834D52" w:rsidRDefault="006F76EB" w:rsidP="00CF27EA">
            <w:pPr>
              <w:spacing w:after="120" w:line="240" w:lineRule="auto"/>
              <w:ind w:left="121"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078" w:type="dxa"/>
            <w:tcBorders>
              <w:top w:val="single" w:sz="4" w:space="0" w:color="000000"/>
              <w:left w:val="single" w:sz="4" w:space="0" w:color="000000"/>
              <w:bottom w:val="single" w:sz="4" w:space="0" w:color="000000"/>
              <w:right w:val="single" w:sz="4" w:space="0" w:color="000000"/>
            </w:tcBorders>
          </w:tcPr>
          <w:p w14:paraId="3C17A7E5" w14:textId="77777777" w:rsidR="006F76EB" w:rsidRPr="00834D52" w:rsidRDefault="006F76EB" w:rsidP="00CF27EA">
            <w:pPr>
              <w:spacing w:after="120" w:line="240" w:lineRule="auto"/>
              <w:ind w:right="-6"/>
              <w:rPr>
                <w:rFonts w:ascii="Sylfaen" w:hAnsi="Sylfaen"/>
                <w:sz w:val="24"/>
                <w:szCs w:val="24"/>
              </w:rPr>
            </w:pPr>
          </w:p>
        </w:tc>
      </w:tr>
    </w:tbl>
    <w:p w14:paraId="38560F41" w14:textId="77777777" w:rsidR="006F76EB" w:rsidRPr="00834D52" w:rsidRDefault="006F76EB" w:rsidP="00591731">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3.5.3.</w:t>
      </w:r>
      <w:r w:rsidRPr="00834D52">
        <w:rPr>
          <w:rFonts w:ascii="Sylfaen" w:hAnsi="Sylfaen"/>
          <w:sz w:val="24"/>
          <w:szCs w:val="24"/>
        </w:rPr>
        <w:tab/>
        <w:t>Եվրասիական տնտեսական միության շրջանակներում բողոքագրերի հետ աշխատանքի համար պատասխանատու կազմակերպությունը (յուրաքանչյուր անդամ պետության համար՝ առկայության դեպքում)</w:t>
      </w:r>
    </w:p>
    <w:tbl>
      <w:tblPr>
        <w:tblW w:w="0" w:type="auto"/>
        <w:jc w:val="center"/>
        <w:tblLayout w:type="fixed"/>
        <w:tblCellMar>
          <w:left w:w="0" w:type="dxa"/>
          <w:right w:w="0" w:type="dxa"/>
        </w:tblCellMar>
        <w:tblLook w:val="01E0" w:firstRow="1" w:lastRow="1" w:firstColumn="1" w:lastColumn="1" w:noHBand="0" w:noVBand="0"/>
      </w:tblPr>
      <w:tblGrid>
        <w:gridCol w:w="5532"/>
        <w:gridCol w:w="4078"/>
      </w:tblGrid>
      <w:tr w:rsidR="006F76EB" w:rsidRPr="00834D52" w14:paraId="6A1DD111"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5893F7DE" w14:textId="77777777" w:rsidR="006F76EB" w:rsidRPr="00834D52" w:rsidRDefault="006F76EB" w:rsidP="00591731">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4078" w:type="dxa"/>
            <w:tcBorders>
              <w:top w:val="single" w:sz="4" w:space="0" w:color="000000"/>
              <w:left w:val="single" w:sz="4" w:space="0" w:color="000000"/>
              <w:bottom w:val="single" w:sz="4" w:space="0" w:color="000000"/>
              <w:right w:val="single" w:sz="4" w:space="0" w:color="000000"/>
            </w:tcBorders>
          </w:tcPr>
          <w:p w14:paraId="3F98F5E3" w14:textId="77777777" w:rsidR="006F76EB" w:rsidRPr="00834D52" w:rsidRDefault="006F76EB" w:rsidP="00591731">
            <w:pPr>
              <w:spacing w:after="120" w:line="240" w:lineRule="auto"/>
              <w:ind w:right="-6"/>
              <w:rPr>
                <w:rFonts w:ascii="Sylfaen" w:hAnsi="Sylfaen"/>
                <w:sz w:val="24"/>
                <w:szCs w:val="24"/>
              </w:rPr>
            </w:pPr>
          </w:p>
        </w:tc>
      </w:tr>
      <w:tr w:rsidR="006F76EB" w:rsidRPr="00834D52" w14:paraId="01DE019A"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14EA5D95" w14:textId="77777777" w:rsidR="006F76EB" w:rsidRPr="00834D52" w:rsidRDefault="006F76EB" w:rsidP="00591731">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իրավաբանական անձի գտնվելու վայրը</w:t>
            </w:r>
          </w:p>
        </w:tc>
        <w:tc>
          <w:tcPr>
            <w:tcW w:w="4078" w:type="dxa"/>
            <w:tcBorders>
              <w:top w:val="single" w:sz="4" w:space="0" w:color="000000"/>
              <w:left w:val="single" w:sz="4" w:space="0" w:color="000000"/>
              <w:bottom w:val="single" w:sz="4" w:space="0" w:color="000000"/>
              <w:right w:val="single" w:sz="4" w:space="0" w:color="000000"/>
            </w:tcBorders>
          </w:tcPr>
          <w:p w14:paraId="7E14DFE3" w14:textId="77777777" w:rsidR="006F76EB" w:rsidRPr="00834D52" w:rsidRDefault="006F76EB" w:rsidP="00591731">
            <w:pPr>
              <w:spacing w:after="120" w:line="240" w:lineRule="auto"/>
              <w:ind w:right="-6"/>
              <w:rPr>
                <w:rFonts w:ascii="Sylfaen" w:hAnsi="Sylfaen"/>
                <w:sz w:val="24"/>
                <w:szCs w:val="24"/>
              </w:rPr>
            </w:pPr>
          </w:p>
        </w:tc>
      </w:tr>
      <w:tr w:rsidR="006F76EB" w:rsidRPr="00834D52" w14:paraId="7CD9844C"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3CF0276B" w14:textId="77777777" w:rsidR="006F76EB" w:rsidRPr="00834D52" w:rsidRDefault="006F76EB" w:rsidP="00591731">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պետությունը</w:t>
            </w:r>
          </w:p>
        </w:tc>
        <w:tc>
          <w:tcPr>
            <w:tcW w:w="4078" w:type="dxa"/>
            <w:tcBorders>
              <w:top w:val="single" w:sz="4" w:space="0" w:color="000000"/>
              <w:left w:val="single" w:sz="4" w:space="0" w:color="000000"/>
              <w:bottom w:val="single" w:sz="4" w:space="0" w:color="000000"/>
              <w:right w:val="single" w:sz="4" w:space="0" w:color="000000"/>
            </w:tcBorders>
          </w:tcPr>
          <w:p w14:paraId="64250FBC" w14:textId="77777777" w:rsidR="006F76EB" w:rsidRPr="00834D52" w:rsidRDefault="006F76EB" w:rsidP="00591731">
            <w:pPr>
              <w:spacing w:after="120" w:line="240" w:lineRule="auto"/>
              <w:ind w:right="-6"/>
              <w:rPr>
                <w:rFonts w:ascii="Sylfaen" w:hAnsi="Sylfaen"/>
                <w:sz w:val="24"/>
                <w:szCs w:val="24"/>
              </w:rPr>
            </w:pPr>
          </w:p>
        </w:tc>
      </w:tr>
      <w:tr w:rsidR="006F76EB" w:rsidRPr="00834D52" w14:paraId="14567F5F"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3FB5521E" w14:textId="77777777" w:rsidR="006F76EB" w:rsidRPr="00834D52" w:rsidRDefault="006F76EB" w:rsidP="00591731">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շուրջօրյա հեռախոսահամարը </w:t>
            </w:r>
            <w:r w:rsidR="00C54D75">
              <w:rPr>
                <w:rFonts w:ascii="Sylfaen" w:hAnsi="Sylfaen"/>
                <w:sz w:val="24"/>
                <w:szCs w:val="24"/>
              </w:rPr>
              <w:t>և</w:t>
            </w:r>
            <w:r w:rsidRPr="00834D52">
              <w:rPr>
                <w:rFonts w:ascii="Sylfaen" w:hAnsi="Sylfaen"/>
                <w:sz w:val="24"/>
                <w:szCs w:val="24"/>
              </w:rPr>
              <w:t xml:space="preserve"> ֆաքսի համարը</w:t>
            </w:r>
          </w:p>
        </w:tc>
        <w:tc>
          <w:tcPr>
            <w:tcW w:w="4078" w:type="dxa"/>
            <w:tcBorders>
              <w:top w:val="single" w:sz="4" w:space="0" w:color="000000"/>
              <w:left w:val="single" w:sz="4" w:space="0" w:color="000000"/>
              <w:bottom w:val="single" w:sz="4" w:space="0" w:color="000000"/>
              <w:right w:val="single" w:sz="4" w:space="0" w:color="000000"/>
            </w:tcBorders>
          </w:tcPr>
          <w:p w14:paraId="2A1C2224" w14:textId="77777777" w:rsidR="006F76EB" w:rsidRPr="00834D52" w:rsidRDefault="006F76EB" w:rsidP="00591731">
            <w:pPr>
              <w:spacing w:after="120" w:line="240" w:lineRule="auto"/>
              <w:ind w:right="-6"/>
              <w:rPr>
                <w:rFonts w:ascii="Sylfaen" w:hAnsi="Sylfaen"/>
                <w:sz w:val="24"/>
                <w:szCs w:val="24"/>
              </w:rPr>
            </w:pPr>
          </w:p>
        </w:tc>
      </w:tr>
      <w:tr w:rsidR="006F76EB" w:rsidRPr="00834D52" w14:paraId="0C5FFB0D" w14:textId="77777777" w:rsidTr="00F71229">
        <w:trPr>
          <w:jc w:val="center"/>
        </w:trPr>
        <w:tc>
          <w:tcPr>
            <w:tcW w:w="5532" w:type="dxa"/>
            <w:tcBorders>
              <w:top w:val="single" w:sz="4" w:space="0" w:color="000000"/>
              <w:left w:val="single" w:sz="4" w:space="0" w:color="000000"/>
              <w:bottom w:val="single" w:sz="4" w:space="0" w:color="000000"/>
              <w:right w:val="single" w:sz="4" w:space="0" w:color="000000"/>
            </w:tcBorders>
          </w:tcPr>
          <w:p w14:paraId="55610D24" w14:textId="77777777" w:rsidR="006F76EB" w:rsidRPr="00834D52" w:rsidRDefault="006F76EB" w:rsidP="00591731">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078" w:type="dxa"/>
            <w:tcBorders>
              <w:top w:val="single" w:sz="4" w:space="0" w:color="000000"/>
              <w:left w:val="single" w:sz="4" w:space="0" w:color="000000"/>
              <w:bottom w:val="single" w:sz="4" w:space="0" w:color="000000"/>
              <w:right w:val="single" w:sz="4" w:space="0" w:color="000000"/>
            </w:tcBorders>
          </w:tcPr>
          <w:p w14:paraId="07420FAC" w14:textId="77777777" w:rsidR="006F76EB" w:rsidRPr="00834D52" w:rsidRDefault="006F76EB" w:rsidP="00591731">
            <w:pPr>
              <w:spacing w:after="120" w:line="240" w:lineRule="auto"/>
              <w:ind w:right="-6"/>
              <w:rPr>
                <w:rFonts w:ascii="Sylfaen" w:hAnsi="Sylfaen"/>
                <w:sz w:val="24"/>
                <w:szCs w:val="24"/>
              </w:rPr>
            </w:pPr>
          </w:p>
        </w:tc>
      </w:tr>
    </w:tbl>
    <w:p w14:paraId="592ED2B9" w14:textId="77777777" w:rsidR="006F76EB" w:rsidRPr="00834D52" w:rsidRDefault="006F76EB" w:rsidP="00591731">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3.5.4.</w:t>
      </w:r>
      <w:r w:rsidRPr="00834D52">
        <w:rPr>
          <w:rFonts w:ascii="Sylfaen" w:hAnsi="Sylfaen"/>
          <w:sz w:val="24"/>
          <w:szCs w:val="24"/>
        </w:rPr>
        <w:tab/>
        <w:t xml:space="preserve">Դեղապատրաստուկն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7456FB7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արտադրական գործընթացին մասնակցող բոլոր </w:t>
      </w:r>
      <w:r w:rsidRPr="00834D52">
        <w:rPr>
          <w:rFonts w:ascii="Sylfaen" w:hAnsi="Sylfaen"/>
          <w:sz w:val="24"/>
          <w:szCs w:val="24"/>
        </w:rPr>
        <w:lastRenderedPageBreak/>
        <w:t>արտադրական հարթակները (ներառյալ լուծիչները)՝ նշելով արտադրական գործընթացի ընթացաշրջանը</w:t>
      </w:r>
    </w:p>
    <w:tbl>
      <w:tblPr>
        <w:tblW w:w="9610" w:type="dxa"/>
        <w:jc w:val="center"/>
        <w:tblLayout w:type="fixed"/>
        <w:tblCellMar>
          <w:left w:w="0" w:type="dxa"/>
          <w:right w:w="0" w:type="dxa"/>
        </w:tblCellMar>
        <w:tblLook w:val="01E0" w:firstRow="1" w:lastRow="1" w:firstColumn="1" w:lastColumn="1" w:noHBand="0" w:noVBand="0"/>
      </w:tblPr>
      <w:tblGrid>
        <w:gridCol w:w="5933"/>
        <w:gridCol w:w="3677"/>
      </w:tblGrid>
      <w:tr w:rsidR="006F76EB" w:rsidRPr="00834D52" w14:paraId="747C1F28" w14:textId="77777777" w:rsidTr="00487CCB">
        <w:trPr>
          <w:jc w:val="center"/>
        </w:trPr>
        <w:tc>
          <w:tcPr>
            <w:tcW w:w="5933" w:type="dxa"/>
            <w:tcBorders>
              <w:top w:val="single" w:sz="4" w:space="0" w:color="000000"/>
              <w:left w:val="single" w:sz="4" w:space="0" w:color="000000"/>
              <w:bottom w:val="single" w:sz="4" w:space="0" w:color="000000"/>
              <w:right w:val="single" w:sz="4" w:space="0" w:color="000000"/>
            </w:tcBorders>
          </w:tcPr>
          <w:p w14:paraId="47F9F286" w14:textId="77777777" w:rsidR="006F76EB" w:rsidRPr="00834D52" w:rsidRDefault="006F76EB" w:rsidP="00487CCB">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արտադրական գործընթացի ընթացաշրջանի անվանումը</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իրավաբանական անձի անվանումը*</w:t>
            </w:r>
          </w:p>
        </w:tc>
        <w:tc>
          <w:tcPr>
            <w:tcW w:w="3677" w:type="dxa"/>
            <w:tcBorders>
              <w:top w:val="single" w:sz="4" w:space="0" w:color="000000"/>
              <w:left w:val="single" w:sz="4" w:space="0" w:color="000000"/>
              <w:bottom w:val="single" w:sz="4" w:space="0" w:color="000000"/>
              <w:right w:val="single" w:sz="4" w:space="0" w:color="000000"/>
            </w:tcBorders>
          </w:tcPr>
          <w:p w14:paraId="5AD9E6E7" w14:textId="77777777" w:rsidR="006F76EB" w:rsidRPr="00834D52" w:rsidRDefault="006F76EB" w:rsidP="00487CCB">
            <w:pPr>
              <w:spacing w:after="120" w:line="240" w:lineRule="auto"/>
              <w:ind w:right="-6"/>
              <w:rPr>
                <w:rFonts w:ascii="Sylfaen" w:hAnsi="Sylfaen"/>
                <w:sz w:val="24"/>
                <w:szCs w:val="24"/>
              </w:rPr>
            </w:pPr>
          </w:p>
        </w:tc>
      </w:tr>
      <w:tr w:rsidR="006F76EB" w:rsidRPr="00834D52" w14:paraId="360FFD00" w14:textId="77777777" w:rsidTr="00487CCB">
        <w:trPr>
          <w:jc w:val="center"/>
        </w:trPr>
        <w:tc>
          <w:tcPr>
            <w:tcW w:w="5933" w:type="dxa"/>
            <w:tcBorders>
              <w:top w:val="single" w:sz="4" w:space="0" w:color="000000"/>
              <w:left w:val="single" w:sz="4" w:space="0" w:color="000000"/>
              <w:bottom w:val="single" w:sz="4" w:space="0" w:color="000000"/>
              <w:right w:val="single" w:sz="4" w:space="0" w:color="000000"/>
            </w:tcBorders>
          </w:tcPr>
          <w:p w14:paraId="58C4294E" w14:textId="77777777" w:rsidR="006F76EB" w:rsidRPr="00834D52" w:rsidRDefault="006F76EB" w:rsidP="00487CCB">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footnoteReference w:customMarkFollows="1" w:id="10"/>
              <w:t>գործունեության իրականացման վայրի հասցեն*</w:t>
            </w:r>
          </w:p>
        </w:tc>
        <w:tc>
          <w:tcPr>
            <w:tcW w:w="3677" w:type="dxa"/>
            <w:tcBorders>
              <w:top w:val="single" w:sz="4" w:space="0" w:color="000000"/>
              <w:left w:val="single" w:sz="4" w:space="0" w:color="000000"/>
              <w:bottom w:val="single" w:sz="4" w:space="0" w:color="000000"/>
              <w:right w:val="single" w:sz="4" w:space="0" w:color="000000"/>
            </w:tcBorders>
          </w:tcPr>
          <w:p w14:paraId="78718533" w14:textId="77777777" w:rsidR="006F76EB" w:rsidRPr="00834D52" w:rsidRDefault="006F76EB" w:rsidP="00487CCB">
            <w:pPr>
              <w:spacing w:after="120" w:line="240" w:lineRule="auto"/>
              <w:ind w:right="-6"/>
              <w:rPr>
                <w:rFonts w:ascii="Sylfaen" w:hAnsi="Sylfaen"/>
                <w:sz w:val="24"/>
                <w:szCs w:val="24"/>
              </w:rPr>
            </w:pPr>
          </w:p>
        </w:tc>
      </w:tr>
      <w:tr w:rsidR="006F76EB" w:rsidRPr="00834D52" w14:paraId="698283EB" w14:textId="77777777" w:rsidTr="00487CCB">
        <w:trPr>
          <w:jc w:val="center"/>
        </w:trPr>
        <w:tc>
          <w:tcPr>
            <w:tcW w:w="5933" w:type="dxa"/>
            <w:tcBorders>
              <w:top w:val="single" w:sz="4" w:space="0" w:color="000000"/>
              <w:left w:val="single" w:sz="4" w:space="0" w:color="000000"/>
              <w:bottom w:val="single" w:sz="4" w:space="0" w:color="000000"/>
              <w:right w:val="single" w:sz="4" w:space="0" w:color="000000"/>
            </w:tcBorders>
          </w:tcPr>
          <w:p w14:paraId="1E69AC10" w14:textId="77777777" w:rsidR="006F76EB" w:rsidRPr="00834D52" w:rsidRDefault="006F76EB" w:rsidP="00487CCB">
            <w:pPr>
              <w:spacing w:after="120" w:line="240" w:lineRule="auto"/>
              <w:ind w:left="128" w:right="-6"/>
              <w:rPr>
                <w:rFonts w:ascii="Sylfaen" w:hAnsi="Sylfaen"/>
                <w:sz w:val="24"/>
                <w:szCs w:val="24"/>
              </w:rPr>
            </w:pPr>
            <w:r w:rsidRPr="00834D52">
              <w:rPr>
                <w:rFonts w:ascii="Sylfaen" w:hAnsi="Sylfaen"/>
                <w:sz w:val="24"/>
                <w:szCs w:val="24"/>
              </w:rPr>
              <w:t>պետությունը*</w:t>
            </w:r>
          </w:p>
        </w:tc>
        <w:tc>
          <w:tcPr>
            <w:tcW w:w="3677" w:type="dxa"/>
            <w:tcBorders>
              <w:top w:val="single" w:sz="4" w:space="0" w:color="000000"/>
              <w:left w:val="single" w:sz="4" w:space="0" w:color="000000"/>
              <w:bottom w:val="single" w:sz="4" w:space="0" w:color="000000"/>
              <w:right w:val="single" w:sz="4" w:space="0" w:color="000000"/>
            </w:tcBorders>
          </w:tcPr>
          <w:p w14:paraId="56FAAB17" w14:textId="77777777" w:rsidR="006F76EB" w:rsidRPr="00834D52" w:rsidRDefault="006F76EB" w:rsidP="00487CCB">
            <w:pPr>
              <w:spacing w:after="120" w:line="240" w:lineRule="auto"/>
              <w:ind w:right="-6"/>
              <w:rPr>
                <w:rFonts w:ascii="Sylfaen" w:hAnsi="Sylfaen"/>
                <w:sz w:val="24"/>
                <w:szCs w:val="24"/>
              </w:rPr>
            </w:pPr>
          </w:p>
        </w:tc>
      </w:tr>
      <w:tr w:rsidR="006F76EB" w:rsidRPr="00834D52" w14:paraId="3C0DC67D" w14:textId="77777777" w:rsidTr="00487CCB">
        <w:trPr>
          <w:jc w:val="center"/>
        </w:trPr>
        <w:tc>
          <w:tcPr>
            <w:tcW w:w="5933" w:type="dxa"/>
            <w:tcBorders>
              <w:top w:val="single" w:sz="4" w:space="0" w:color="000000"/>
              <w:left w:val="single" w:sz="4" w:space="0" w:color="000000"/>
              <w:bottom w:val="single" w:sz="4" w:space="0" w:color="000000"/>
              <w:right w:val="single" w:sz="4" w:space="0" w:color="000000"/>
            </w:tcBorders>
          </w:tcPr>
          <w:p w14:paraId="4F0BC428" w14:textId="77777777" w:rsidR="006F76EB" w:rsidRPr="00834D52" w:rsidRDefault="006F76EB" w:rsidP="00487CCB">
            <w:pPr>
              <w:spacing w:after="120" w:line="240" w:lineRule="auto"/>
              <w:ind w:left="128" w:right="-6"/>
              <w:rPr>
                <w:rFonts w:ascii="Sylfaen" w:hAnsi="Sylfae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677" w:type="dxa"/>
            <w:tcBorders>
              <w:top w:val="single" w:sz="4" w:space="0" w:color="000000"/>
              <w:left w:val="single" w:sz="4" w:space="0" w:color="000000"/>
              <w:bottom w:val="single" w:sz="4" w:space="0" w:color="000000"/>
              <w:right w:val="single" w:sz="4" w:space="0" w:color="000000"/>
            </w:tcBorders>
          </w:tcPr>
          <w:p w14:paraId="1171210E" w14:textId="77777777" w:rsidR="006F76EB" w:rsidRPr="00834D52" w:rsidRDefault="006F76EB" w:rsidP="00487CCB">
            <w:pPr>
              <w:spacing w:after="120" w:line="240" w:lineRule="auto"/>
              <w:ind w:right="-6"/>
              <w:rPr>
                <w:rFonts w:ascii="Sylfaen" w:hAnsi="Sylfaen"/>
                <w:sz w:val="24"/>
                <w:szCs w:val="24"/>
              </w:rPr>
            </w:pPr>
          </w:p>
        </w:tc>
      </w:tr>
      <w:tr w:rsidR="006F76EB" w:rsidRPr="00834D52" w14:paraId="2261D31A" w14:textId="77777777" w:rsidTr="00487CCB">
        <w:trPr>
          <w:jc w:val="center"/>
        </w:trPr>
        <w:tc>
          <w:tcPr>
            <w:tcW w:w="5933" w:type="dxa"/>
            <w:tcBorders>
              <w:top w:val="single" w:sz="4" w:space="0" w:color="000000"/>
              <w:left w:val="single" w:sz="4" w:space="0" w:color="000000"/>
              <w:bottom w:val="single" w:sz="4" w:space="0" w:color="000000"/>
              <w:right w:val="single" w:sz="4" w:space="0" w:color="000000"/>
            </w:tcBorders>
          </w:tcPr>
          <w:p w14:paraId="77849049" w14:textId="77777777" w:rsidR="006F76EB" w:rsidRPr="00834D52" w:rsidRDefault="006F76EB" w:rsidP="00487CCB">
            <w:pPr>
              <w:spacing w:after="120" w:line="240" w:lineRule="auto"/>
              <w:ind w:left="128" w:right="-6"/>
              <w:rPr>
                <w:rFonts w:ascii="Sylfaen" w:hAnsi="Sylfaen"/>
                <w:sz w:val="24"/>
                <w:szCs w:val="24"/>
              </w:rPr>
            </w:pPr>
            <w:r w:rsidRPr="00834D52">
              <w:rPr>
                <w:rFonts w:ascii="Sylfaen" w:hAnsi="Sylfaen"/>
                <w:sz w:val="24"/>
                <w:szCs w:val="24"/>
              </w:rPr>
              <w:t>էլեկտրոնային փոստի հասցեն*</w:t>
            </w:r>
          </w:p>
        </w:tc>
        <w:tc>
          <w:tcPr>
            <w:tcW w:w="3677" w:type="dxa"/>
            <w:tcBorders>
              <w:top w:val="single" w:sz="4" w:space="0" w:color="000000"/>
              <w:left w:val="single" w:sz="4" w:space="0" w:color="000000"/>
              <w:bottom w:val="single" w:sz="4" w:space="0" w:color="000000"/>
              <w:right w:val="single" w:sz="4" w:space="0" w:color="000000"/>
            </w:tcBorders>
          </w:tcPr>
          <w:p w14:paraId="33A0296C" w14:textId="77777777" w:rsidR="006F76EB" w:rsidRPr="00834D52" w:rsidRDefault="006F76EB" w:rsidP="00487CCB">
            <w:pPr>
              <w:spacing w:after="120" w:line="240" w:lineRule="auto"/>
              <w:ind w:right="-6"/>
              <w:rPr>
                <w:rFonts w:ascii="Sylfaen" w:hAnsi="Sylfaen"/>
                <w:sz w:val="24"/>
                <w:szCs w:val="24"/>
              </w:rPr>
            </w:pPr>
          </w:p>
        </w:tc>
      </w:tr>
    </w:tbl>
    <w:p w14:paraId="1DEC4F2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Եվրասիական տնտեսական միության անդամ պետության լիազորված մարմնի (կազմակերպության) կողմից անցկացվել է Եվրասիական տնտեսական հանձնաժողովի կողմից հաստատված Եվրասիական տնտեսական միության պատշաճ արտադրական գործունեության կանոնների պահպանման մասով տեսչական ստուգում՝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5AC2745F" w14:textId="77777777" w:rsidTr="00F71229">
        <w:trPr>
          <w:jc w:val="center"/>
        </w:trPr>
        <w:tc>
          <w:tcPr>
            <w:tcW w:w="1560" w:type="dxa"/>
          </w:tcPr>
          <w:p w14:paraId="0DA49828"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A4447E2">
                <v:rect id="_x0000_s1166" style="position:absolute;left:0;text-align:left;margin-left:8.25pt;margin-top:4.05pt;width:12.75pt;height:12pt;z-index:251659776"/>
              </w:pict>
            </w:r>
            <w:r w:rsidR="006F76EB" w:rsidRPr="00834D52">
              <w:rPr>
                <w:rFonts w:ascii="Sylfaen" w:hAnsi="Sylfaen"/>
                <w:sz w:val="24"/>
                <w:szCs w:val="24"/>
              </w:rPr>
              <w:t>ոչ</w:t>
            </w:r>
          </w:p>
        </w:tc>
        <w:tc>
          <w:tcPr>
            <w:tcW w:w="1559" w:type="dxa"/>
          </w:tcPr>
          <w:p w14:paraId="7E6DF0F9"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1886820B">
                <v:rect id="_x0000_s1167" style="position:absolute;left:0;text-align:left;margin-left:.5pt;margin-top:4.05pt;width:12.75pt;height:12pt;z-index:251660800;mso-position-horizontal-relative:text;mso-position-vertical-relative:text"/>
              </w:pict>
            </w:r>
            <w:r w:rsidR="006F76EB" w:rsidRPr="00834D52">
              <w:rPr>
                <w:rFonts w:ascii="Sylfaen" w:hAnsi="Sylfaen"/>
                <w:sz w:val="24"/>
                <w:szCs w:val="24"/>
              </w:rPr>
              <w:t>այո</w:t>
            </w:r>
          </w:p>
        </w:tc>
      </w:tr>
    </w:tbl>
    <w:p w14:paraId="70F73A59"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 նշե</w:t>
      </w:r>
      <w:r w:rsidRPr="00834D52">
        <w:rPr>
          <w:rFonts w:ascii="Sylfaen" w:hAnsi="Sylfaen"/>
          <w:sz w:val="24"/>
          <w:szCs w:val="24"/>
          <w:lang w:val="en-US"/>
        </w:rPr>
        <w:t>՛</w:t>
      </w:r>
      <w:r w:rsidRPr="00834D52">
        <w:rPr>
          <w:rFonts w:ascii="Sylfaen" w:hAnsi="Sylfaen"/>
          <w:sz w:val="24"/>
          <w:szCs w:val="24"/>
        </w:rPr>
        <w:t>ք՝</w:t>
      </w:r>
    </w:p>
    <w:tbl>
      <w:tblPr>
        <w:tblW w:w="9592" w:type="dxa"/>
        <w:jc w:val="center"/>
        <w:tblLayout w:type="fixed"/>
        <w:tblCellMar>
          <w:left w:w="0" w:type="dxa"/>
          <w:right w:w="0" w:type="dxa"/>
        </w:tblCellMar>
        <w:tblLook w:val="01E0" w:firstRow="1" w:lastRow="1" w:firstColumn="1" w:lastColumn="1" w:noHBand="0" w:noVBand="0"/>
      </w:tblPr>
      <w:tblGrid>
        <w:gridCol w:w="5103"/>
        <w:gridCol w:w="2873"/>
        <w:gridCol w:w="851"/>
        <w:gridCol w:w="765"/>
      </w:tblGrid>
      <w:tr w:rsidR="006F76EB" w:rsidRPr="00834D52" w14:paraId="00CB6F1A"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5786605E" w14:textId="77777777" w:rsidR="006F76EB" w:rsidRPr="00834D52" w:rsidRDefault="006F76EB" w:rsidP="00487CCB">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4489" w:type="dxa"/>
            <w:gridSpan w:val="3"/>
            <w:tcBorders>
              <w:top w:val="single" w:sz="4" w:space="0" w:color="000000"/>
              <w:left w:val="single" w:sz="4" w:space="0" w:color="000000"/>
              <w:bottom w:val="single" w:sz="4" w:space="0" w:color="000000"/>
              <w:right w:val="single" w:sz="4" w:space="0" w:color="000000"/>
            </w:tcBorders>
          </w:tcPr>
          <w:p w14:paraId="592BCFB0" w14:textId="77777777" w:rsidR="006F76EB" w:rsidRPr="00834D52" w:rsidRDefault="006F76EB" w:rsidP="00487CCB">
            <w:pPr>
              <w:spacing w:after="120" w:line="240" w:lineRule="auto"/>
              <w:ind w:right="-6"/>
              <w:rPr>
                <w:rFonts w:ascii="Sylfaen" w:hAnsi="Sylfaen"/>
                <w:sz w:val="24"/>
                <w:szCs w:val="24"/>
              </w:rPr>
            </w:pPr>
          </w:p>
        </w:tc>
      </w:tr>
      <w:tr w:rsidR="006F76EB" w:rsidRPr="00834D52" w14:paraId="29649547"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1771FBF5" w14:textId="77777777" w:rsidR="006F76EB" w:rsidRPr="00834D52" w:rsidRDefault="006F76EB" w:rsidP="00487CCB">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4489" w:type="dxa"/>
            <w:gridSpan w:val="3"/>
            <w:tcBorders>
              <w:top w:val="single" w:sz="4" w:space="0" w:color="000000"/>
              <w:left w:val="single" w:sz="4" w:space="0" w:color="000000"/>
              <w:bottom w:val="single" w:sz="4" w:space="0" w:color="000000"/>
              <w:right w:val="single" w:sz="4" w:space="0" w:color="000000"/>
            </w:tcBorders>
          </w:tcPr>
          <w:p w14:paraId="0ADBB2BC" w14:textId="77777777" w:rsidR="006F76EB" w:rsidRPr="00834D52" w:rsidRDefault="006F76EB" w:rsidP="00487CCB">
            <w:pPr>
              <w:spacing w:after="120" w:line="240" w:lineRule="auto"/>
              <w:ind w:right="-6"/>
              <w:rPr>
                <w:rFonts w:ascii="Sylfaen" w:hAnsi="Sylfaen"/>
                <w:sz w:val="24"/>
                <w:szCs w:val="24"/>
              </w:rPr>
            </w:pPr>
          </w:p>
        </w:tc>
      </w:tr>
      <w:tr w:rsidR="006F76EB" w:rsidRPr="00834D52" w14:paraId="413AB398"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12BF7EC1" w14:textId="77777777" w:rsidR="006F76EB" w:rsidRPr="00834D52" w:rsidRDefault="006F76EB" w:rsidP="00487CCB">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4489" w:type="dxa"/>
            <w:gridSpan w:val="3"/>
            <w:tcBorders>
              <w:top w:val="single" w:sz="4" w:space="0" w:color="000000"/>
              <w:left w:val="single" w:sz="4" w:space="0" w:color="000000"/>
              <w:bottom w:val="single" w:sz="4" w:space="0" w:color="000000"/>
              <w:right w:val="single" w:sz="4" w:space="0" w:color="000000"/>
            </w:tcBorders>
          </w:tcPr>
          <w:p w14:paraId="576E658D" w14:textId="77777777" w:rsidR="006F76EB" w:rsidRPr="00834D52" w:rsidRDefault="006F76EB" w:rsidP="00487CCB">
            <w:pPr>
              <w:spacing w:after="120" w:line="240" w:lineRule="auto"/>
              <w:ind w:right="-6"/>
              <w:rPr>
                <w:rFonts w:ascii="Sylfaen" w:hAnsi="Sylfaen"/>
                <w:sz w:val="24"/>
                <w:szCs w:val="24"/>
              </w:rPr>
            </w:pPr>
          </w:p>
        </w:tc>
      </w:tr>
      <w:tr w:rsidR="006F76EB" w:rsidRPr="00834D52" w14:paraId="58415F58"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04089674" w14:textId="77777777" w:rsidR="006F76EB" w:rsidRPr="00834D52" w:rsidRDefault="006F76EB" w:rsidP="00487CCB">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ստուգվող դեղապատրաստուկների կատեգորիաներն ու ԱԴԲ-ն</w:t>
            </w:r>
          </w:p>
        </w:tc>
        <w:tc>
          <w:tcPr>
            <w:tcW w:w="4489" w:type="dxa"/>
            <w:gridSpan w:val="3"/>
            <w:tcBorders>
              <w:top w:val="single" w:sz="4" w:space="0" w:color="000000"/>
              <w:left w:val="single" w:sz="4" w:space="0" w:color="000000"/>
              <w:bottom w:val="single" w:sz="4" w:space="0" w:color="000000"/>
              <w:right w:val="single" w:sz="4" w:space="0" w:color="000000"/>
            </w:tcBorders>
          </w:tcPr>
          <w:p w14:paraId="58809783" w14:textId="77777777" w:rsidR="006F76EB" w:rsidRPr="00834D52" w:rsidRDefault="006F76EB" w:rsidP="00487CCB">
            <w:pPr>
              <w:spacing w:after="120" w:line="240" w:lineRule="auto"/>
              <w:ind w:right="-6"/>
              <w:rPr>
                <w:rFonts w:ascii="Sylfaen" w:hAnsi="Sylfaen"/>
                <w:sz w:val="24"/>
                <w:szCs w:val="24"/>
              </w:rPr>
            </w:pPr>
          </w:p>
        </w:tc>
      </w:tr>
      <w:tr w:rsidR="006F76EB" w:rsidRPr="00834D52" w14:paraId="619EDAB5" w14:textId="77777777" w:rsidTr="00F71229">
        <w:trPr>
          <w:jc w:val="center"/>
        </w:trPr>
        <w:tc>
          <w:tcPr>
            <w:tcW w:w="5103" w:type="dxa"/>
            <w:tcBorders>
              <w:top w:val="single" w:sz="4" w:space="0" w:color="000000"/>
              <w:left w:val="single" w:sz="4" w:space="0" w:color="000000"/>
              <w:bottom w:val="single" w:sz="4" w:space="0" w:color="000000"/>
              <w:right w:val="single" w:sz="4" w:space="0" w:color="auto"/>
            </w:tcBorders>
          </w:tcPr>
          <w:p w14:paraId="5EF39C3E" w14:textId="77777777" w:rsidR="006F76EB" w:rsidRPr="00834D52" w:rsidRDefault="006F76EB" w:rsidP="00487CCB">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2873" w:type="dxa"/>
            <w:tcBorders>
              <w:top w:val="single" w:sz="4" w:space="0" w:color="auto"/>
              <w:left w:val="single" w:sz="4" w:space="0" w:color="auto"/>
              <w:bottom w:val="single" w:sz="4" w:space="0" w:color="auto"/>
            </w:tcBorders>
          </w:tcPr>
          <w:p w14:paraId="42BDD83B" w14:textId="77777777" w:rsidR="006F76EB" w:rsidRPr="00834D52" w:rsidRDefault="00157FD9" w:rsidP="00487CCB">
            <w:pPr>
              <w:spacing w:after="120" w:line="240" w:lineRule="auto"/>
              <w:ind w:left="56" w:right="-6"/>
              <w:rPr>
                <w:rFonts w:ascii="Sylfaen" w:eastAsia="Times New Roman" w:hAnsi="Sylfaen" w:cs="Times New Roman"/>
                <w:sz w:val="24"/>
                <w:szCs w:val="24"/>
              </w:rPr>
            </w:pPr>
            <w:r>
              <w:rPr>
                <w:rFonts w:ascii="Sylfaen" w:hAnsi="Sylfaen"/>
                <w:noProof/>
                <w:sz w:val="24"/>
                <w:szCs w:val="24"/>
              </w:rPr>
              <w:pict w14:anchorId="7B37AAC5">
                <v:rect id="_x0000_s1169" style="position:absolute;left:0;text-align:left;margin-left:139.9pt;margin-top:2.2pt;width:12.75pt;height:12pt;z-index:251661824;mso-position-horizontal-relative:text;mso-position-vertical-relative:text"/>
              </w:pict>
            </w:r>
            <w:r w:rsidR="006F76EB" w:rsidRPr="00834D52">
              <w:rPr>
                <w:rFonts w:ascii="Sylfaen" w:hAnsi="Sylfaen"/>
                <w:sz w:val="24"/>
                <w:szCs w:val="24"/>
              </w:rPr>
              <w:t>համապատասխանում է՝</w:t>
            </w:r>
          </w:p>
        </w:tc>
        <w:tc>
          <w:tcPr>
            <w:tcW w:w="851" w:type="dxa"/>
            <w:tcBorders>
              <w:top w:val="single" w:sz="4" w:space="0" w:color="auto"/>
              <w:bottom w:val="single" w:sz="4" w:space="0" w:color="auto"/>
            </w:tcBorders>
          </w:tcPr>
          <w:p w14:paraId="081D23E2" w14:textId="77777777" w:rsidR="006F76EB" w:rsidRPr="00834D52" w:rsidRDefault="00157FD9" w:rsidP="00487CCB">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219F5269">
                <v:rect id="_x0000_s1168" style="position:absolute;left:0;text-align:left;margin-left:37.9pt;margin-top:2.2pt;width:12.75pt;height:12pt;z-index:251662848;mso-position-horizontal-relative:text;mso-position-vertical-relative:text"/>
              </w:pict>
            </w:r>
            <w:r w:rsidR="006F76EB" w:rsidRPr="00834D52">
              <w:rPr>
                <w:rFonts w:ascii="Sylfaen" w:hAnsi="Sylfaen"/>
                <w:sz w:val="24"/>
                <w:szCs w:val="24"/>
              </w:rPr>
              <w:t>ոչ</w:t>
            </w:r>
          </w:p>
        </w:tc>
        <w:tc>
          <w:tcPr>
            <w:tcW w:w="765" w:type="dxa"/>
            <w:tcBorders>
              <w:top w:val="single" w:sz="4" w:space="0" w:color="auto"/>
              <w:bottom w:val="single" w:sz="4" w:space="0" w:color="auto"/>
              <w:right w:val="single" w:sz="4" w:space="0" w:color="auto"/>
            </w:tcBorders>
          </w:tcPr>
          <w:p w14:paraId="60F63D69" w14:textId="77777777" w:rsidR="006F76EB" w:rsidRPr="00834D52" w:rsidRDefault="006F76EB" w:rsidP="00487CCB">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այո</w:t>
            </w:r>
          </w:p>
        </w:tc>
      </w:tr>
    </w:tbl>
    <w:p w14:paraId="26392B5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այլ պետության լիազորված մարմնի (կազմակերպության) կողմից անցկացվել է պատշաճ արտադրական գործունեության պահանջների կատարման մասով տարածքի տեսչական ստուգում՝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3BCE51C" w14:textId="77777777" w:rsidTr="00F71229">
        <w:trPr>
          <w:jc w:val="center"/>
        </w:trPr>
        <w:tc>
          <w:tcPr>
            <w:tcW w:w="1560" w:type="dxa"/>
          </w:tcPr>
          <w:p w14:paraId="7A419846"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8294FF2">
                <v:rect id="_x0000_s1170" style="position:absolute;left:0;text-align:left;margin-left:8.25pt;margin-top:4.05pt;width:12.75pt;height:12pt;z-index:251663872"/>
              </w:pict>
            </w:r>
            <w:r w:rsidR="006F76EB" w:rsidRPr="00834D52">
              <w:rPr>
                <w:rFonts w:ascii="Sylfaen" w:hAnsi="Sylfaen"/>
                <w:sz w:val="24"/>
                <w:szCs w:val="24"/>
              </w:rPr>
              <w:t>ոչ</w:t>
            </w:r>
          </w:p>
        </w:tc>
        <w:tc>
          <w:tcPr>
            <w:tcW w:w="1559" w:type="dxa"/>
          </w:tcPr>
          <w:p w14:paraId="417BC18C"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63ECF3E5">
                <v:rect id="_x0000_s1171" style="position:absolute;left:0;text-align:left;margin-left:.5pt;margin-top:4.05pt;width:12.75pt;height:12pt;z-index:251664896;mso-position-horizontal-relative:text;mso-position-vertical-relative:text"/>
              </w:pict>
            </w:r>
            <w:r w:rsidR="006F76EB" w:rsidRPr="00834D52">
              <w:rPr>
                <w:rFonts w:ascii="Sylfaen" w:hAnsi="Sylfaen"/>
                <w:sz w:val="24"/>
                <w:szCs w:val="24"/>
              </w:rPr>
              <w:t>այո</w:t>
            </w:r>
          </w:p>
        </w:tc>
      </w:tr>
    </w:tbl>
    <w:p w14:paraId="40AE476D"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 նշե՛ք՝</w:t>
      </w:r>
    </w:p>
    <w:tbl>
      <w:tblPr>
        <w:tblW w:w="10050" w:type="dxa"/>
        <w:jc w:val="center"/>
        <w:tblLayout w:type="fixed"/>
        <w:tblCellMar>
          <w:left w:w="0" w:type="dxa"/>
          <w:right w:w="0" w:type="dxa"/>
        </w:tblCellMar>
        <w:tblLook w:val="01E0" w:firstRow="1" w:lastRow="1" w:firstColumn="1" w:lastColumn="1" w:noHBand="0" w:noVBand="0"/>
      </w:tblPr>
      <w:tblGrid>
        <w:gridCol w:w="5103"/>
        <w:gridCol w:w="2873"/>
        <w:gridCol w:w="1005"/>
        <w:gridCol w:w="1069"/>
      </w:tblGrid>
      <w:tr w:rsidR="006F76EB" w:rsidRPr="00834D52" w14:paraId="712750D7"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78F6FBC8" w14:textId="77777777" w:rsidR="006F76EB" w:rsidRPr="00834D52" w:rsidRDefault="006F76EB" w:rsidP="00EC7E9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4947" w:type="dxa"/>
            <w:gridSpan w:val="3"/>
            <w:tcBorders>
              <w:top w:val="single" w:sz="4" w:space="0" w:color="000000"/>
              <w:left w:val="single" w:sz="4" w:space="0" w:color="000000"/>
              <w:bottom w:val="single" w:sz="4" w:space="0" w:color="000000"/>
              <w:right w:val="single" w:sz="4" w:space="0" w:color="000000"/>
            </w:tcBorders>
          </w:tcPr>
          <w:p w14:paraId="36262A08" w14:textId="77777777" w:rsidR="006F76EB" w:rsidRPr="00834D52" w:rsidRDefault="006F76EB" w:rsidP="00EC7E9F">
            <w:pPr>
              <w:spacing w:after="120" w:line="240" w:lineRule="auto"/>
              <w:ind w:right="-6"/>
              <w:rPr>
                <w:rFonts w:ascii="Sylfaen" w:hAnsi="Sylfaen"/>
                <w:sz w:val="24"/>
                <w:szCs w:val="24"/>
              </w:rPr>
            </w:pPr>
          </w:p>
        </w:tc>
      </w:tr>
      <w:tr w:rsidR="006F76EB" w:rsidRPr="00834D52" w14:paraId="794282BF"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0C554371" w14:textId="77777777" w:rsidR="006F76EB" w:rsidRPr="00834D52" w:rsidRDefault="006F76EB" w:rsidP="00EC7E9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4947" w:type="dxa"/>
            <w:gridSpan w:val="3"/>
            <w:tcBorders>
              <w:top w:val="single" w:sz="4" w:space="0" w:color="000000"/>
              <w:left w:val="single" w:sz="4" w:space="0" w:color="000000"/>
              <w:bottom w:val="single" w:sz="4" w:space="0" w:color="000000"/>
              <w:right w:val="single" w:sz="4" w:space="0" w:color="000000"/>
            </w:tcBorders>
          </w:tcPr>
          <w:p w14:paraId="3E08F8ED" w14:textId="77777777" w:rsidR="006F76EB" w:rsidRPr="00834D52" w:rsidRDefault="006F76EB" w:rsidP="00EC7E9F">
            <w:pPr>
              <w:spacing w:after="120" w:line="240" w:lineRule="auto"/>
              <w:ind w:right="-6"/>
              <w:rPr>
                <w:rFonts w:ascii="Sylfaen" w:hAnsi="Sylfaen"/>
                <w:sz w:val="24"/>
                <w:szCs w:val="24"/>
              </w:rPr>
            </w:pPr>
          </w:p>
        </w:tc>
      </w:tr>
      <w:tr w:rsidR="006F76EB" w:rsidRPr="00834D52" w14:paraId="49697BD5"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079ED3C0" w14:textId="77777777" w:rsidR="006F76EB" w:rsidRPr="00834D52" w:rsidRDefault="006F76EB" w:rsidP="00EC7E9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4947" w:type="dxa"/>
            <w:gridSpan w:val="3"/>
            <w:tcBorders>
              <w:top w:val="single" w:sz="4" w:space="0" w:color="000000"/>
              <w:left w:val="single" w:sz="4" w:space="0" w:color="000000"/>
              <w:bottom w:val="single" w:sz="4" w:space="0" w:color="000000"/>
              <w:right w:val="single" w:sz="4" w:space="0" w:color="000000"/>
            </w:tcBorders>
          </w:tcPr>
          <w:p w14:paraId="732E11B0" w14:textId="77777777" w:rsidR="006F76EB" w:rsidRPr="00834D52" w:rsidRDefault="006F76EB" w:rsidP="00EC7E9F">
            <w:pPr>
              <w:spacing w:after="120" w:line="240" w:lineRule="auto"/>
              <w:ind w:right="-6"/>
              <w:rPr>
                <w:rFonts w:ascii="Sylfaen" w:hAnsi="Sylfaen"/>
                <w:sz w:val="24"/>
                <w:szCs w:val="24"/>
              </w:rPr>
            </w:pPr>
          </w:p>
        </w:tc>
      </w:tr>
      <w:tr w:rsidR="006F76EB" w:rsidRPr="00834D52" w14:paraId="4650BE9D" w14:textId="77777777" w:rsidTr="00F71229">
        <w:trPr>
          <w:jc w:val="center"/>
        </w:trPr>
        <w:tc>
          <w:tcPr>
            <w:tcW w:w="5103" w:type="dxa"/>
            <w:tcBorders>
              <w:top w:val="single" w:sz="4" w:space="0" w:color="000000"/>
              <w:left w:val="single" w:sz="4" w:space="0" w:color="000000"/>
              <w:bottom w:val="single" w:sz="4" w:space="0" w:color="000000"/>
              <w:right w:val="single" w:sz="4" w:space="0" w:color="000000"/>
            </w:tcBorders>
          </w:tcPr>
          <w:p w14:paraId="6EC06D9F" w14:textId="77777777" w:rsidR="006F76EB" w:rsidRPr="00834D52" w:rsidRDefault="006F76EB" w:rsidP="00EC7E9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ստուգվող դեղապատրաստուկների կատեգորիաներն ու ԱԴԲ-ն</w:t>
            </w:r>
          </w:p>
        </w:tc>
        <w:tc>
          <w:tcPr>
            <w:tcW w:w="4947" w:type="dxa"/>
            <w:gridSpan w:val="3"/>
            <w:tcBorders>
              <w:top w:val="single" w:sz="4" w:space="0" w:color="000000"/>
              <w:left w:val="single" w:sz="4" w:space="0" w:color="000000"/>
              <w:bottom w:val="single" w:sz="4" w:space="0" w:color="000000"/>
              <w:right w:val="single" w:sz="4" w:space="0" w:color="000000"/>
            </w:tcBorders>
          </w:tcPr>
          <w:p w14:paraId="673A6565" w14:textId="77777777" w:rsidR="006F76EB" w:rsidRPr="00834D52" w:rsidRDefault="006F76EB" w:rsidP="00EC7E9F">
            <w:pPr>
              <w:spacing w:after="120" w:line="240" w:lineRule="auto"/>
              <w:ind w:right="-6"/>
              <w:rPr>
                <w:rFonts w:ascii="Sylfaen" w:hAnsi="Sylfaen"/>
                <w:sz w:val="24"/>
                <w:szCs w:val="24"/>
              </w:rPr>
            </w:pPr>
          </w:p>
        </w:tc>
      </w:tr>
      <w:tr w:rsidR="006F76EB" w:rsidRPr="00834D52" w14:paraId="2B001295" w14:textId="77777777" w:rsidTr="00F71229">
        <w:trPr>
          <w:jc w:val="center"/>
        </w:trPr>
        <w:tc>
          <w:tcPr>
            <w:tcW w:w="5103" w:type="dxa"/>
            <w:tcBorders>
              <w:top w:val="single" w:sz="4" w:space="0" w:color="000000"/>
              <w:left w:val="single" w:sz="4" w:space="0" w:color="000000"/>
              <w:bottom w:val="single" w:sz="4" w:space="0" w:color="000000"/>
              <w:right w:val="single" w:sz="4" w:space="0" w:color="auto"/>
            </w:tcBorders>
          </w:tcPr>
          <w:p w14:paraId="22AD6E98" w14:textId="77777777" w:rsidR="006F76EB" w:rsidRPr="00834D52" w:rsidRDefault="006F76EB" w:rsidP="00EC7E9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2873" w:type="dxa"/>
            <w:tcBorders>
              <w:top w:val="single" w:sz="4" w:space="0" w:color="auto"/>
              <w:left w:val="single" w:sz="4" w:space="0" w:color="auto"/>
              <w:bottom w:val="single" w:sz="4" w:space="0" w:color="auto"/>
            </w:tcBorders>
          </w:tcPr>
          <w:p w14:paraId="727883B9" w14:textId="77777777" w:rsidR="006F76EB" w:rsidRPr="00834D52" w:rsidRDefault="006F76EB" w:rsidP="00EC7E9F">
            <w:pPr>
              <w:spacing w:after="120" w:line="240" w:lineRule="auto"/>
              <w:ind w:left="56" w:right="-6"/>
              <w:rPr>
                <w:rFonts w:ascii="Sylfaen" w:eastAsia="Times New Roman" w:hAnsi="Sylfaen" w:cs="Times New Roman"/>
                <w:sz w:val="24"/>
                <w:szCs w:val="24"/>
              </w:rPr>
            </w:pPr>
            <w:r w:rsidRPr="00834D52">
              <w:rPr>
                <w:rFonts w:ascii="Sylfaen" w:hAnsi="Sylfaen"/>
                <w:sz w:val="24"/>
                <w:szCs w:val="24"/>
              </w:rPr>
              <w:t>համապատասխանում է՝</w:t>
            </w:r>
          </w:p>
        </w:tc>
        <w:tc>
          <w:tcPr>
            <w:tcW w:w="1005" w:type="dxa"/>
            <w:tcBorders>
              <w:top w:val="single" w:sz="4" w:space="0" w:color="auto"/>
              <w:bottom w:val="single" w:sz="4" w:space="0" w:color="auto"/>
            </w:tcBorders>
          </w:tcPr>
          <w:p w14:paraId="14624D7D" w14:textId="77777777" w:rsidR="006F76EB" w:rsidRPr="00834D52" w:rsidRDefault="00157FD9" w:rsidP="00EC7E9F">
            <w:pPr>
              <w:spacing w:after="120" w:line="240" w:lineRule="auto"/>
              <w:ind w:right="-6"/>
              <w:jc w:val="center"/>
              <w:rPr>
                <w:rFonts w:ascii="Sylfaen" w:eastAsia="Times New Roman" w:hAnsi="Sylfaen" w:cs="Times New Roman"/>
                <w:sz w:val="24"/>
                <w:szCs w:val="24"/>
              </w:rPr>
            </w:pPr>
            <w:r>
              <w:rPr>
                <w:rFonts w:ascii="Sylfaen" w:hAnsi="Sylfaen"/>
                <w:noProof/>
                <w:sz w:val="24"/>
                <w:szCs w:val="24"/>
              </w:rPr>
              <w:pict w14:anchorId="14557122">
                <v:rect id="_x0000_s1173" style="position:absolute;left:0;text-align:left;margin-left:1.9pt;margin-top:2.2pt;width:12.75pt;height:12pt;z-index:251665920;mso-position-horizontal-relative:text;mso-position-vertical-relative:text"/>
              </w:pict>
            </w:r>
            <w:r w:rsidR="006F76EB" w:rsidRPr="00834D52">
              <w:rPr>
                <w:rFonts w:ascii="Sylfaen" w:hAnsi="Sylfaen"/>
                <w:sz w:val="24"/>
                <w:szCs w:val="24"/>
              </w:rPr>
              <w:t>ոչ</w:t>
            </w:r>
          </w:p>
        </w:tc>
        <w:tc>
          <w:tcPr>
            <w:tcW w:w="1069" w:type="dxa"/>
            <w:tcBorders>
              <w:top w:val="single" w:sz="4" w:space="0" w:color="auto"/>
              <w:bottom w:val="single" w:sz="4" w:space="0" w:color="auto"/>
              <w:right w:val="single" w:sz="4" w:space="0" w:color="auto"/>
            </w:tcBorders>
          </w:tcPr>
          <w:p w14:paraId="1A4382DD" w14:textId="77777777" w:rsidR="006F76EB" w:rsidRPr="00834D52" w:rsidRDefault="00157FD9" w:rsidP="00EC7E9F">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2CE1F022">
                <v:rect id="_x0000_s1172" style="position:absolute;left:0;text-align:left;margin-left:3.5pt;margin-top:2.2pt;width:12.75pt;height:12pt;z-index:251666944;mso-position-horizontal-relative:text;mso-position-vertical-relative:text"/>
              </w:pict>
            </w:r>
            <w:r w:rsidR="006F76EB" w:rsidRPr="00834D52">
              <w:rPr>
                <w:rFonts w:ascii="Sylfaen" w:hAnsi="Sylfaen"/>
                <w:sz w:val="24"/>
                <w:szCs w:val="24"/>
              </w:rPr>
              <w:t>այո</w:t>
            </w:r>
          </w:p>
        </w:tc>
      </w:tr>
    </w:tbl>
    <w:p w14:paraId="3CD59DBE" w14:textId="77777777" w:rsidR="006F76EB" w:rsidRPr="00834D52" w:rsidRDefault="006F76EB" w:rsidP="00EC7E9F">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3.5.5.</w:t>
      </w:r>
      <w:r w:rsidRPr="00834D52">
        <w:rPr>
          <w:rFonts w:ascii="Sylfaen" w:hAnsi="Sylfaen"/>
          <w:sz w:val="24"/>
          <w:szCs w:val="24"/>
        </w:rPr>
        <w:tab/>
        <w:t xml:space="preserve">ԱԴԲ-ն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6A116407"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Յուրաքանչյուր ԱԴԲ-ի արտադրական գործընթացին մասնակցող բոլոր արտադրական հարթակները՝ նշելով արտադրության էտապը: Կենսաբանական դեղապատրաստուկների համար պետք է թվարկվեն բջիջների գլխավոր </w:t>
      </w:r>
      <w:r w:rsidR="00C54D75">
        <w:rPr>
          <w:rFonts w:ascii="Sylfaen" w:hAnsi="Sylfaen"/>
          <w:sz w:val="24"/>
          <w:szCs w:val="24"/>
        </w:rPr>
        <w:t>և</w:t>
      </w:r>
      <w:r w:rsidRPr="00834D52">
        <w:rPr>
          <w:rFonts w:ascii="Sylfaen" w:hAnsi="Sylfaen"/>
          <w:sz w:val="24"/>
          <w:szCs w:val="24"/>
        </w:rPr>
        <w:t xml:space="preserve"> աշխատանքային բանկերի պահպանում իրականացնող բոլոր հարթակները </w:t>
      </w:r>
      <w:r w:rsidR="00C54D75">
        <w:rPr>
          <w:rFonts w:ascii="Sylfaen" w:hAnsi="Sylfaen"/>
          <w:sz w:val="24"/>
          <w:szCs w:val="24"/>
        </w:rPr>
        <w:t>և</w:t>
      </w:r>
      <w:r w:rsidRPr="00834D52">
        <w:rPr>
          <w:rFonts w:ascii="Sylfaen" w:hAnsi="Sylfaen"/>
          <w:sz w:val="24"/>
          <w:szCs w:val="24"/>
        </w:rPr>
        <w:t xml:space="preserve"> բջիջների աշխատանքային բանկի պատրաստում իրականացնող հարթակները:</w:t>
      </w:r>
    </w:p>
    <w:tbl>
      <w:tblPr>
        <w:tblW w:w="9610" w:type="dxa"/>
        <w:jc w:val="center"/>
        <w:tblLayout w:type="fixed"/>
        <w:tblCellMar>
          <w:left w:w="0" w:type="dxa"/>
          <w:right w:w="0" w:type="dxa"/>
        </w:tblCellMar>
        <w:tblLook w:val="01E0" w:firstRow="1" w:lastRow="1" w:firstColumn="1" w:lastColumn="1" w:noHBand="0" w:noVBand="0"/>
      </w:tblPr>
      <w:tblGrid>
        <w:gridCol w:w="5508"/>
        <w:gridCol w:w="4102"/>
      </w:tblGrid>
      <w:tr w:rsidR="006F76EB" w:rsidRPr="00834D52" w14:paraId="72EDD504"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383750DC" w14:textId="77777777" w:rsidR="006F76EB" w:rsidRPr="00834D52" w:rsidRDefault="006F76EB" w:rsidP="00EC7E9F">
            <w:pPr>
              <w:spacing w:after="120" w:line="240" w:lineRule="auto"/>
              <w:ind w:left="180" w:right="142"/>
              <w:rPr>
                <w:rFonts w:ascii="Sylfaen" w:eastAsia="Times New Roman" w:hAnsi="Sylfaen" w:cs="Times New Roman"/>
                <w:sz w:val="24"/>
                <w:szCs w:val="24"/>
              </w:rPr>
            </w:pPr>
            <w:r w:rsidRPr="00834D52">
              <w:rPr>
                <w:rFonts w:ascii="Sylfaen" w:hAnsi="Sylfaen"/>
                <w:sz w:val="24"/>
                <w:szCs w:val="24"/>
              </w:rPr>
              <w:t xml:space="preserve">արտադրական գործընթացի ընթացաշրջանի անվանումը, ակտիվ դեղաբանական բաղադրամասը </w:t>
            </w:r>
          </w:p>
        </w:tc>
        <w:tc>
          <w:tcPr>
            <w:tcW w:w="4102" w:type="dxa"/>
            <w:tcBorders>
              <w:top w:val="single" w:sz="4" w:space="0" w:color="000000"/>
              <w:left w:val="single" w:sz="4" w:space="0" w:color="000000"/>
              <w:bottom w:val="single" w:sz="4" w:space="0" w:color="000000"/>
              <w:right w:val="single" w:sz="4" w:space="0" w:color="000000"/>
            </w:tcBorders>
          </w:tcPr>
          <w:p w14:paraId="3D25EC7A" w14:textId="77777777" w:rsidR="006F76EB" w:rsidRPr="00834D52" w:rsidRDefault="006F76EB" w:rsidP="00EC7E9F">
            <w:pPr>
              <w:spacing w:after="120" w:line="240" w:lineRule="auto"/>
              <w:ind w:right="-8"/>
              <w:rPr>
                <w:rFonts w:ascii="Sylfaen" w:hAnsi="Sylfaen"/>
                <w:sz w:val="24"/>
                <w:szCs w:val="24"/>
              </w:rPr>
            </w:pPr>
          </w:p>
        </w:tc>
      </w:tr>
      <w:tr w:rsidR="006F76EB" w:rsidRPr="00834D52" w14:paraId="5FCF61A9"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2911EC59" w14:textId="77777777" w:rsidR="006F76EB" w:rsidRPr="00834D52" w:rsidRDefault="006F76EB" w:rsidP="00EC7E9F">
            <w:pPr>
              <w:spacing w:after="120" w:line="240" w:lineRule="auto"/>
              <w:ind w:left="180" w:right="142"/>
              <w:rPr>
                <w:rFonts w:ascii="Sylfaen" w:eastAsia="Times New Roman" w:hAnsi="Sylfaen" w:cs="Times New Roman"/>
                <w:sz w:val="24"/>
                <w:szCs w:val="24"/>
              </w:rPr>
            </w:pPr>
            <w:r w:rsidRPr="00834D52">
              <w:rPr>
                <w:rFonts w:ascii="Sylfaen" w:hAnsi="Sylfaen"/>
                <w:sz w:val="24"/>
                <w:szCs w:val="24"/>
              </w:rPr>
              <w:t>իրավաբանական անձի անվանումը, անհատ ձեռնարկատեր ֆիզիկական անձի ազգանունը, անունը, հայրանունը</w:t>
            </w:r>
          </w:p>
        </w:tc>
        <w:tc>
          <w:tcPr>
            <w:tcW w:w="4102" w:type="dxa"/>
            <w:tcBorders>
              <w:top w:val="single" w:sz="4" w:space="0" w:color="000000"/>
              <w:left w:val="single" w:sz="4" w:space="0" w:color="000000"/>
              <w:bottom w:val="single" w:sz="4" w:space="0" w:color="000000"/>
              <w:right w:val="single" w:sz="4" w:space="0" w:color="000000"/>
            </w:tcBorders>
          </w:tcPr>
          <w:p w14:paraId="2FA4C968" w14:textId="77777777" w:rsidR="006F76EB" w:rsidRPr="00834D52" w:rsidRDefault="006F76EB" w:rsidP="00EC7E9F">
            <w:pPr>
              <w:spacing w:after="120" w:line="240" w:lineRule="auto"/>
              <w:ind w:right="-8"/>
              <w:rPr>
                <w:rFonts w:ascii="Sylfaen" w:hAnsi="Sylfaen"/>
                <w:sz w:val="24"/>
                <w:szCs w:val="24"/>
              </w:rPr>
            </w:pPr>
          </w:p>
        </w:tc>
      </w:tr>
      <w:tr w:rsidR="006F76EB" w:rsidRPr="00834D52" w14:paraId="18F87769"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31E28A27" w14:textId="77777777" w:rsidR="006F76EB" w:rsidRPr="00834D52" w:rsidRDefault="006F76EB" w:rsidP="00EC7E9F">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4102" w:type="dxa"/>
            <w:tcBorders>
              <w:top w:val="single" w:sz="4" w:space="0" w:color="000000"/>
              <w:left w:val="single" w:sz="4" w:space="0" w:color="000000"/>
              <w:bottom w:val="single" w:sz="4" w:space="0" w:color="000000"/>
              <w:right w:val="single" w:sz="4" w:space="0" w:color="000000"/>
            </w:tcBorders>
          </w:tcPr>
          <w:p w14:paraId="5ADADA60" w14:textId="77777777" w:rsidR="006F76EB" w:rsidRPr="00834D52" w:rsidRDefault="006F76EB" w:rsidP="00EC7E9F">
            <w:pPr>
              <w:spacing w:after="120" w:line="240" w:lineRule="auto"/>
              <w:ind w:right="-8"/>
              <w:rPr>
                <w:rFonts w:ascii="Sylfaen" w:hAnsi="Sylfaen"/>
                <w:sz w:val="24"/>
                <w:szCs w:val="24"/>
              </w:rPr>
            </w:pPr>
          </w:p>
        </w:tc>
      </w:tr>
      <w:tr w:rsidR="006F76EB" w:rsidRPr="00834D52" w14:paraId="3CEFB4B2"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0F09A527" w14:textId="77777777" w:rsidR="006F76EB" w:rsidRPr="00834D52" w:rsidRDefault="006F76EB" w:rsidP="00EC7E9F">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պետությունը</w:t>
            </w:r>
          </w:p>
        </w:tc>
        <w:tc>
          <w:tcPr>
            <w:tcW w:w="4102" w:type="dxa"/>
            <w:tcBorders>
              <w:top w:val="single" w:sz="4" w:space="0" w:color="000000"/>
              <w:left w:val="single" w:sz="4" w:space="0" w:color="000000"/>
              <w:bottom w:val="single" w:sz="4" w:space="0" w:color="000000"/>
              <w:right w:val="single" w:sz="4" w:space="0" w:color="000000"/>
            </w:tcBorders>
          </w:tcPr>
          <w:p w14:paraId="001190E1" w14:textId="77777777" w:rsidR="006F76EB" w:rsidRPr="00834D52" w:rsidRDefault="006F76EB" w:rsidP="00EC7E9F">
            <w:pPr>
              <w:spacing w:after="120" w:line="240" w:lineRule="auto"/>
              <w:ind w:right="-8"/>
              <w:rPr>
                <w:rFonts w:ascii="Sylfaen" w:hAnsi="Sylfaen"/>
                <w:sz w:val="24"/>
                <w:szCs w:val="24"/>
              </w:rPr>
            </w:pPr>
          </w:p>
        </w:tc>
      </w:tr>
      <w:tr w:rsidR="006F76EB" w:rsidRPr="00834D52" w14:paraId="168FC280"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52F3E9E7" w14:textId="77777777" w:rsidR="006F76EB" w:rsidRPr="00834D52" w:rsidRDefault="006F76EB" w:rsidP="00EC7E9F">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102" w:type="dxa"/>
            <w:tcBorders>
              <w:top w:val="single" w:sz="4" w:space="0" w:color="000000"/>
              <w:left w:val="single" w:sz="4" w:space="0" w:color="000000"/>
              <w:bottom w:val="single" w:sz="4" w:space="0" w:color="000000"/>
              <w:right w:val="single" w:sz="4" w:space="0" w:color="000000"/>
            </w:tcBorders>
          </w:tcPr>
          <w:p w14:paraId="72613734" w14:textId="77777777" w:rsidR="006F76EB" w:rsidRPr="00834D52" w:rsidRDefault="006F76EB" w:rsidP="00EC7E9F">
            <w:pPr>
              <w:spacing w:after="120" w:line="240" w:lineRule="auto"/>
              <w:ind w:right="-8"/>
              <w:rPr>
                <w:rFonts w:ascii="Sylfaen" w:hAnsi="Sylfaen"/>
                <w:sz w:val="24"/>
                <w:szCs w:val="24"/>
              </w:rPr>
            </w:pPr>
          </w:p>
        </w:tc>
      </w:tr>
      <w:tr w:rsidR="006F76EB" w:rsidRPr="00834D52" w14:paraId="4F7E3A3A" w14:textId="77777777" w:rsidTr="002139FC">
        <w:trPr>
          <w:jc w:val="center"/>
        </w:trPr>
        <w:tc>
          <w:tcPr>
            <w:tcW w:w="5508" w:type="dxa"/>
            <w:tcBorders>
              <w:top w:val="single" w:sz="4" w:space="0" w:color="000000"/>
              <w:left w:val="single" w:sz="4" w:space="0" w:color="000000"/>
              <w:bottom w:val="single" w:sz="4" w:space="0" w:color="000000"/>
              <w:right w:val="single" w:sz="4" w:space="0" w:color="000000"/>
            </w:tcBorders>
          </w:tcPr>
          <w:p w14:paraId="24255EAD" w14:textId="77777777" w:rsidR="006F76EB" w:rsidRPr="00834D52" w:rsidRDefault="006F76EB" w:rsidP="00EC7E9F">
            <w:pPr>
              <w:spacing w:after="120" w:line="240" w:lineRule="auto"/>
              <w:ind w:left="180" w:right="-8"/>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102" w:type="dxa"/>
            <w:tcBorders>
              <w:top w:val="single" w:sz="4" w:space="0" w:color="000000"/>
              <w:left w:val="single" w:sz="4" w:space="0" w:color="000000"/>
              <w:bottom w:val="single" w:sz="4" w:space="0" w:color="000000"/>
              <w:right w:val="single" w:sz="4" w:space="0" w:color="000000"/>
            </w:tcBorders>
          </w:tcPr>
          <w:p w14:paraId="48ADD2D6" w14:textId="77777777" w:rsidR="006F76EB" w:rsidRPr="00834D52" w:rsidRDefault="006F76EB" w:rsidP="00EC7E9F">
            <w:pPr>
              <w:spacing w:after="120" w:line="240" w:lineRule="auto"/>
              <w:ind w:right="-8"/>
              <w:rPr>
                <w:rFonts w:ascii="Sylfaen" w:hAnsi="Sylfaen"/>
                <w:sz w:val="24"/>
                <w:szCs w:val="24"/>
              </w:rPr>
            </w:pPr>
          </w:p>
        </w:tc>
      </w:tr>
    </w:tbl>
    <w:p w14:paraId="388C9EC9"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Յուրաքանչյուր ԱԴԲ-ի համար կցե՛ք լիազորված անձի հայտը՝ սույն հայտի հավելվածի 5.5 ենթակետի համաձայն (կցե՛ք այն սխեման, որը ներառում է արտադրական գործընթացում ներգրավված տարբեր արտադրական հարթակների համար հաջորդականությունը </w:t>
      </w:r>
      <w:r w:rsidR="00C54D75">
        <w:rPr>
          <w:rFonts w:ascii="Sylfaen" w:hAnsi="Sylfaen"/>
          <w:sz w:val="24"/>
          <w:szCs w:val="24"/>
        </w:rPr>
        <w:t>և</w:t>
      </w:r>
      <w:r w:rsidRPr="00834D52">
        <w:rPr>
          <w:rFonts w:ascii="Sylfaen" w:hAnsi="Sylfaen"/>
          <w:sz w:val="24"/>
          <w:szCs w:val="24"/>
        </w:rPr>
        <w:t xml:space="preserve"> գործողությունները՝ ներառյալ բացթողման համար անհրաժեշտ հսկողությունը):</w:t>
      </w:r>
    </w:p>
    <w:p w14:paraId="05B44516" w14:textId="77777777" w:rsidR="006F76EB" w:rsidRPr="00834D52" w:rsidRDefault="006F76EB" w:rsidP="006F76EB">
      <w:pPr>
        <w:spacing w:after="160" w:line="353"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Արդյոք Եվրասիական տնտեսական միության անդամ պետության </w:t>
      </w:r>
      <w:r w:rsidRPr="00834D52">
        <w:rPr>
          <w:rFonts w:ascii="Sylfaen" w:hAnsi="Sylfaen"/>
          <w:sz w:val="24"/>
          <w:szCs w:val="24"/>
        </w:rPr>
        <w:lastRenderedPageBreak/>
        <w:t>լիազորված մարմնի կողմից անցկացվել է Եվրասիական տնտեսական միության պատշաճ արտադրական գործունեության պահանջների կատարման մասով տեսչական ստուգում՝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6D973038" w14:textId="77777777" w:rsidTr="00F71229">
        <w:trPr>
          <w:jc w:val="center"/>
        </w:trPr>
        <w:tc>
          <w:tcPr>
            <w:tcW w:w="1560" w:type="dxa"/>
          </w:tcPr>
          <w:p w14:paraId="6FCB1C14" w14:textId="77777777" w:rsidR="006F76EB" w:rsidRPr="00834D52" w:rsidRDefault="00157FD9" w:rsidP="00F71229">
            <w:pPr>
              <w:spacing w:after="160" w:line="353"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2C60677">
                <v:rect id="_x0000_s1174" style="position:absolute;left:0;text-align:left;margin-left:8.25pt;margin-top:4.05pt;width:12.75pt;height:12pt;z-index:251667968"/>
              </w:pict>
            </w:r>
            <w:r w:rsidR="006F76EB" w:rsidRPr="00834D52">
              <w:rPr>
                <w:rFonts w:ascii="Sylfaen" w:hAnsi="Sylfaen"/>
                <w:sz w:val="24"/>
                <w:szCs w:val="24"/>
              </w:rPr>
              <w:t>ոչ</w:t>
            </w:r>
          </w:p>
        </w:tc>
        <w:tc>
          <w:tcPr>
            <w:tcW w:w="1559" w:type="dxa"/>
          </w:tcPr>
          <w:p w14:paraId="5E012938" w14:textId="77777777" w:rsidR="006F76EB" w:rsidRPr="00834D52" w:rsidRDefault="00157FD9" w:rsidP="00F71229">
            <w:pPr>
              <w:spacing w:after="160" w:line="353"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31F2F353">
                <v:rect id="_x0000_s1175" style="position:absolute;left:0;text-align:left;margin-left:.5pt;margin-top:4.05pt;width:12.75pt;height:12pt;z-index:251668992;mso-position-horizontal-relative:text;mso-position-vertical-relative:text"/>
              </w:pict>
            </w:r>
            <w:r w:rsidR="006F76EB" w:rsidRPr="00834D52">
              <w:rPr>
                <w:rFonts w:ascii="Sylfaen" w:hAnsi="Sylfaen"/>
                <w:sz w:val="24"/>
                <w:szCs w:val="24"/>
              </w:rPr>
              <w:t>այո</w:t>
            </w:r>
          </w:p>
        </w:tc>
      </w:tr>
    </w:tbl>
    <w:p w14:paraId="5C21BD3E" w14:textId="77777777" w:rsidR="006F76EB" w:rsidRPr="00834D52" w:rsidRDefault="006F76EB" w:rsidP="006F76EB">
      <w:pPr>
        <w:spacing w:after="160" w:line="353"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Արդյոք ԱԴԲ-ի համար տրվել է Եվրոպական դեղագրքի մենագրությանը համապատասխանության սերտիֆիկատ՝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4E925346" w14:textId="77777777" w:rsidTr="00F71229">
        <w:trPr>
          <w:jc w:val="center"/>
        </w:trPr>
        <w:tc>
          <w:tcPr>
            <w:tcW w:w="1560" w:type="dxa"/>
          </w:tcPr>
          <w:p w14:paraId="1565D8C1" w14:textId="77777777" w:rsidR="006F76EB" w:rsidRPr="00834D52" w:rsidRDefault="00157FD9" w:rsidP="00F71229">
            <w:pPr>
              <w:spacing w:after="160" w:line="353"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506D86CD">
                <v:rect id="_x0000_s1176" style="position:absolute;left:0;text-align:left;margin-left:8.25pt;margin-top:4.05pt;width:12.75pt;height:12pt;z-index:251670016"/>
              </w:pict>
            </w:r>
            <w:r w:rsidR="006F76EB" w:rsidRPr="00834D52">
              <w:rPr>
                <w:rFonts w:ascii="Sylfaen" w:hAnsi="Sylfaen"/>
                <w:sz w:val="24"/>
                <w:szCs w:val="24"/>
              </w:rPr>
              <w:t>ոչ</w:t>
            </w:r>
          </w:p>
        </w:tc>
        <w:tc>
          <w:tcPr>
            <w:tcW w:w="1559" w:type="dxa"/>
          </w:tcPr>
          <w:p w14:paraId="7F3926CC" w14:textId="77777777" w:rsidR="006F76EB" w:rsidRPr="00834D52" w:rsidRDefault="00157FD9" w:rsidP="00F71229">
            <w:pPr>
              <w:spacing w:after="160" w:line="353" w:lineRule="auto"/>
              <w:ind w:left="-108" w:right="-8"/>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14D94389">
                <v:rect id="_x0000_s1177" style="position:absolute;left:0;text-align:left;margin-left:.5pt;margin-top:4.05pt;width:12.75pt;height:12pt;z-index:251671040;mso-position-horizontal-relative:text;mso-position-vertical-relative:text"/>
              </w:pict>
            </w:r>
            <w:r w:rsidR="006F76EB" w:rsidRPr="00834D52">
              <w:rPr>
                <w:rFonts w:ascii="Sylfaen" w:hAnsi="Sylfaen"/>
                <w:sz w:val="24"/>
                <w:szCs w:val="24"/>
              </w:rPr>
              <w:t>այո</w:t>
            </w:r>
          </w:p>
        </w:tc>
      </w:tr>
    </w:tbl>
    <w:p w14:paraId="5E91854F" w14:textId="77777777" w:rsidR="006F76EB" w:rsidRPr="00834D52" w:rsidRDefault="006F76EB" w:rsidP="006F76EB">
      <w:pPr>
        <w:spacing w:after="160" w:line="353"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714" w:type="dxa"/>
        <w:tblInd w:w="5" w:type="dxa"/>
        <w:tblLayout w:type="fixed"/>
        <w:tblCellMar>
          <w:left w:w="0" w:type="dxa"/>
          <w:right w:w="0" w:type="dxa"/>
        </w:tblCellMar>
        <w:tblLook w:val="01E0" w:firstRow="1" w:lastRow="1" w:firstColumn="1" w:lastColumn="1" w:noHBand="0" w:noVBand="0"/>
      </w:tblPr>
      <w:tblGrid>
        <w:gridCol w:w="5954"/>
        <w:gridCol w:w="3760"/>
      </w:tblGrid>
      <w:tr w:rsidR="006F76EB" w:rsidRPr="00834D52" w14:paraId="5E8F0E02" w14:textId="77777777" w:rsidTr="00754307">
        <w:tc>
          <w:tcPr>
            <w:tcW w:w="5954" w:type="dxa"/>
            <w:tcBorders>
              <w:top w:val="single" w:sz="4" w:space="0" w:color="000000"/>
              <w:left w:val="single" w:sz="4" w:space="0" w:color="000000"/>
              <w:bottom w:val="single" w:sz="4" w:space="0" w:color="000000"/>
              <w:right w:val="single" w:sz="4" w:space="0" w:color="000000"/>
            </w:tcBorders>
          </w:tcPr>
          <w:p w14:paraId="0FB42296" w14:textId="77777777" w:rsidR="006F76EB" w:rsidRPr="00834D52" w:rsidRDefault="006F76EB" w:rsidP="002139FC">
            <w:pPr>
              <w:spacing w:after="120" w:line="240" w:lineRule="auto"/>
              <w:ind w:left="38" w:right="84"/>
              <w:rPr>
                <w:rFonts w:ascii="Sylfaen" w:eastAsia="Times New Roman" w:hAnsi="Sylfaen" w:cs="Times New Roman"/>
                <w:sz w:val="24"/>
                <w:szCs w:val="24"/>
              </w:rPr>
            </w:pPr>
            <w:r w:rsidRPr="00834D52">
              <w:rPr>
                <w:rFonts w:ascii="Sylfaen" w:hAnsi="Sylfaen"/>
                <w:sz w:val="24"/>
                <w:szCs w:val="24"/>
              </w:rPr>
              <w:t>ակտիվ դեղաբանական բաղադրամասի անվանումը</w:t>
            </w:r>
          </w:p>
        </w:tc>
        <w:tc>
          <w:tcPr>
            <w:tcW w:w="3760" w:type="dxa"/>
            <w:tcBorders>
              <w:top w:val="single" w:sz="4" w:space="0" w:color="000000"/>
              <w:left w:val="single" w:sz="4" w:space="0" w:color="000000"/>
              <w:bottom w:val="single" w:sz="4" w:space="0" w:color="000000"/>
              <w:right w:val="single" w:sz="4" w:space="0" w:color="000000"/>
            </w:tcBorders>
          </w:tcPr>
          <w:p w14:paraId="0C9F83C7" w14:textId="77777777" w:rsidR="006F76EB" w:rsidRPr="00834D52" w:rsidRDefault="006F76EB" w:rsidP="002139FC">
            <w:pPr>
              <w:spacing w:after="120" w:line="240" w:lineRule="auto"/>
              <w:ind w:right="-8"/>
              <w:rPr>
                <w:rFonts w:ascii="Sylfaen" w:hAnsi="Sylfaen"/>
                <w:sz w:val="24"/>
                <w:szCs w:val="24"/>
              </w:rPr>
            </w:pPr>
          </w:p>
        </w:tc>
      </w:tr>
      <w:tr w:rsidR="006F76EB" w:rsidRPr="00834D52" w14:paraId="6617FB80" w14:textId="77777777" w:rsidTr="00754307">
        <w:tc>
          <w:tcPr>
            <w:tcW w:w="5954" w:type="dxa"/>
            <w:tcBorders>
              <w:top w:val="single" w:sz="4" w:space="0" w:color="000000"/>
              <w:left w:val="single" w:sz="4" w:space="0" w:color="000000"/>
              <w:bottom w:val="single" w:sz="4" w:space="0" w:color="000000"/>
              <w:right w:val="single" w:sz="4" w:space="0" w:color="000000"/>
            </w:tcBorders>
          </w:tcPr>
          <w:p w14:paraId="31193CB7" w14:textId="77777777" w:rsidR="006F76EB" w:rsidRPr="00834D52" w:rsidRDefault="006F76EB" w:rsidP="002139FC">
            <w:pPr>
              <w:spacing w:after="120" w:line="240" w:lineRule="auto"/>
              <w:ind w:left="38" w:right="84"/>
              <w:rPr>
                <w:rFonts w:ascii="Sylfaen" w:eastAsia="Times New Roman" w:hAnsi="Sylfaen" w:cs="Times New Roman"/>
                <w:sz w:val="24"/>
                <w:szCs w:val="24"/>
              </w:rPr>
            </w:pPr>
            <w:r w:rsidRPr="00834D52">
              <w:rPr>
                <w:rFonts w:ascii="Sylfaen" w:hAnsi="Sylfaen"/>
                <w:sz w:val="24"/>
                <w:szCs w:val="24"/>
              </w:rPr>
              <w:t>իրավաբանական անձի անվանումը կամ անհատ ձեռնարկատեր ֆիզիկական անձի (արտադրողի) ազգանունը, անունը, հայրանունը</w:t>
            </w:r>
          </w:p>
        </w:tc>
        <w:tc>
          <w:tcPr>
            <w:tcW w:w="3760" w:type="dxa"/>
            <w:tcBorders>
              <w:top w:val="single" w:sz="4" w:space="0" w:color="000000"/>
              <w:left w:val="single" w:sz="4" w:space="0" w:color="000000"/>
              <w:bottom w:val="single" w:sz="4" w:space="0" w:color="000000"/>
              <w:right w:val="single" w:sz="4" w:space="0" w:color="000000"/>
            </w:tcBorders>
          </w:tcPr>
          <w:p w14:paraId="303B1817" w14:textId="77777777" w:rsidR="006F76EB" w:rsidRPr="00834D52" w:rsidRDefault="006F76EB" w:rsidP="002139FC">
            <w:pPr>
              <w:spacing w:after="120" w:line="240" w:lineRule="auto"/>
              <w:ind w:right="-8"/>
              <w:rPr>
                <w:rFonts w:ascii="Sylfaen" w:hAnsi="Sylfaen"/>
                <w:sz w:val="24"/>
                <w:szCs w:val="24"/>
              </w:rPr>
            </w:pPr>
          </w:p>
        </w:tc>
      </w:tr>
      <w:tr w:rsidR="006F76EB" w:rsidRPr="00834D52" w14:paraId="668E090E" w14:textId="77777777" w:rsidTr="00754307">
        <w:tc>
          <w:tcPr>
            <w:tcW w:w="5954" w:type="dxa"/>
            <w:tcBorders>
              <w:top w:val="single" w:sz="4" w:space="0" w:color="000000"/>
              <w:left w:val="single" w:sz="4" w:space="0" w:color="000000"/>
              <w:bottom w:val="single" w:sz="4" w:space="0" w:color="000000"/>
              <w:right w:val="single" w:sz="4" w:space="0" w:color="000000"/>
            </w:tcBorders>
          </w:tcPr>
          <w:p w14:paraId="411852D7" w14:textId="77777777" w:rsidR="006F76EB" w:rsidRPr="00834D52" w:rsidRDefault="006F76EB" w:rsidP="002139FC">
            <w:pPr>
              <w:spacing w:after="120" w:line="240" w:lineRule="auto"/>
              <w:ind w:left="38" w:right="84"/>
              <w:rPr>
                <w:rFonts w:ascii="Sylfaen" w:eastAsia="Times New Roman" w:hAnsi="Sylfaen" w:cs="Times New Roman"/>
                <w:sz w:val="24"/>
                <w:szCs w:val="24"/>
              </w:rPr>
            </w:pPr>
            <w:r w:rsidRPr="00834D52">
              <w:rPr>
                <w:rFonts w:ascii="Sylfaen" w:hAnsi="Sylfaen"/>
                <w:sz w:val="24"/>
                <w:szCs w:val="24"/>
              </w:rPr>
              <w:t>համապատասխանության վերաբերյալ փաստաթղթի համարը</w:t>
            </w:r>
          </w:p>
        </w:tc>
        <w:tc>
          <w:tcPr>
            <w:tcW w:w="3760" w:type="dxa"/>
            <w:tcBorders>
              <w:top w:val="single" w:sz="4" w:space="0" w:color="000000"/>
              <w:left w:val="single" w:sz="4" w:space="0" w:color="000000"/>
              <w:bottom w:val="single" w:sz="4" w:space="0" w:color="000000"/>
              <w:right w:val="single" w:sz="4" w:space="0" w:color="000000"/>
            </w:tcBorders>
          </w:tcPr>
          <w:p w14:paraId="5D2EC6D0" w14:textId="77777777" w:rsidR="006F76EB" w:rsidRPr="00834D52" w:rsidRDefault="006F76EB" w:rsidP="002139FC">
            <w:pPr>
              <w:spacing w:after="120" w:line="240" w:lineRule="auto"/>
              <w:ind w:right="-8"/>
              <w:rPr>
                <w:rFonts w:ascii="Sylfaen" w:hAnsi="Sylfaen"/>
                <w:sz w:val="24"/>
                <w:szCs w:val="24"/>
              </w:rPr>
            </w:pPr>
          </w:p>
        </w:tc>
      </w:tr>
      <w:tr w:rsidR="006F76EB" w:rsidRPr="00834D52" w14:paraId="6826FF5C" w14:textId="77777777" w:rsidTr="00754307">
        <w:tc>
          <w:tcPr>
            <w:tcW w:w="5954" w:type="dxa"/>
            <w:tcBorders>
              <w:top w:val="single" w:sz="4" w:space="0" w:color="000000"/>
              <w:left w:val="single" w:sz="4" w:space="0" w:color="000000"/>
              <w:bottom w:val="single" w:sz="4" w:space="0" w:color="000000"/>
              <w:right w:val="single" w:sz="4" w:space="0" w:color="000000"/>
            </w:tcBorders>
          </w:tcPr>
          <w:p w14:paraId="71FE42B6" w14:textId="77777777" w:rsidR="006F76EB" w:rsidRPr="00834D52" w:rsidRDefault="006F76EB" w:rsidP="002139FC">
            <w:pPr>
              <w:spacing w:after="120" w:line="240" w:lineRule="auto"/>
              <w:ind w:left="38" w:right="84"/>
              <w:rPr>
                <w:rFonts w:ascii="Sylfaen" w:eastAsia="Times New Roman" w:hAnsi="Sylfaen" w:cs="Times New Roman"/>
                <w:sz w:val="24"/>
                <w:szCs w:val="24"/>
              </w:rPr>
            </w:pPr>
            <w:r w:rsidRPr="00834D52">
              <w:rPr>
                <w:rFonts w:ascii="Sylfaen" w:hAnsi="Sylfaen"/>
                <w:sz w:val="24"/>
                <w:szCs w:val="24"/>
              </w:rPr>
              <w:t>վերջին վերանայման ամսաթիվը</w:t>
            </w:r>
          </w:p>
        </w:tc>
        <w:tc>
          <w:tcPr>
            <w:tcW w:w="3760" w:type="dxa"/>
            <w:tcBorders>
              <w:top w:val="single" w:sz="4" w:space="0" w:color="000000"/>
              <w:left w:val="single" w:sz="4" w:space="0" w:color="000000"/>
              <w:bottom w:val="single" w:sz="4" w:space="0" w:color="000000"/>
              <w:right w:val="single" w:sz="4" w:space="0" w:color="000000"/>
            </w:tcBorders>
          </w:tcPr>
          <w:p w14:paraId="42523E26" w14:textId="77777777" w:rsidR="006F76EB" w:rsidRPr="00834D52" w:rsidRDefault="006F76EB" w:rsidP="002139FC">
            <w:pPr>
              <w:spacing w:after="120" w:line="240" w:lineRule="auto"/>
              <w:ind w:right="-8"/>
              <w:rPr>
                <w:rFonts w:ascii="Sylfaen" w:hAnsi="Sylfaen"/>
                <w:sz w:val="24"/>
                <w:szCs w:val="24"/>
              </w:rPr>
            </w:pPr>
          </w:p>
        </w:tc>
      </w:tr>
    </w:tbl>
    <w:p w14:paraId="3B1F582B" w14:textId="77777777" w:rsidR="006F76EB" w:rsidRPr="00834D52" w:rsidRDefault="006F76EB" w:rsidP="006F76EB">
      <w:pPr>
        <w:spacing w:after="160" w:line="348" w:lineRule="auto"/>
        <w:ind w:right="-6" w:firstLine="567"/>
        <w:jc w:val="both"/>
        <w:rPr>
          <w:rFonts w:ascii="Sylfaen" w:eastAsia="Times New Roman" w:hAnsi="Sylfaen" w:cs="Times New Roman"/>
          <w:sz w:val="24"/>
          <w:szCs w:val="24"/>
        </w:rPr>
      </w:pPr>
      <w:r w:rsidRPr="00834D52">
        <w:rPr>
          <w:rFonts w:ascii="Sylfaen" w:hAnsi="Sylfaen"/>
          <w:sz w:val="24"/>
          <w:szCs w:val="24"/>
        </w:rPr>
        <w:t>Արդյոք այլ պետության լիազորված մարմնի (կազմակերպության) կողմից անցկացվել է պատշաճ արտադրական գործունեության պահանջների կատարման մասով հարթակի տեսչական ստուգում՝</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0E25D360" w14:textId="77777777" w:rsidTr="00F71229">
        <w:trPr>
          <w:jc w:val="center"/>
        </w:trPr>
        <w:tc>
          <w:tcPr>
            <w:tcW w:w="1560" w:type="dxa"/>
          </w:tcPr>
          <w:p w14:paraId="3C864B1A" w14:textId="77777777" w:rsidR="006F76EB" w:rsidRPr="00834D52" w:rsidRDefault="00157FD9" w:rsidP="00F71229">
            <w:pPr>
              <w:spacing w:after="160" w:line="348"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6E00A92C">
                <v:rect id="_x0000_s1178" style="position:absolute;left:0;text-align:left;margin-left:8.25pt;margin-top:4.05pt;width:12.75pt;height:12pt;z-index:251672064"/>
              </w:pict>
            </w:r>
            <w:r w:rsidR="006F76EB" w:rsidRPr="00834D52">
              <w:rPr>
                <w:rFonts w:ascii="Sylfaen" w:hAnsi="Sylfaen"/>
                <w:sz w:val="24"/>
                <w:szCs w:val="24"/>
              </w:rPr>
              <w:t>ոչ</w:t>
            </w:r>
          </w:p>
        </w:tc>
        <w:tc>
          <w:tcPr>
            <w:tcW w:w="1559" w:type="dxa"/>
          </w:tcPr>
          <w:p w14:paraId="06FC0A5A" w14:textId="77777777" w:rsidR="006F76EB" w:rsidRPr="00834D52" w:rsidRDefault="00157FD9" w:rsidP="00F71229">
            <w:pPr>
              <w:spacing w:after="160" w:line="348" w:lineRule="auto"/>
              <w:ind w:left="-108" w:right="-6"/>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2A66E4FD">
                <v:rect id="_x0000_s1179" style="position:absolute;left:0;text-align:left;margin-left:.5pt;margin-top:4.05pt;width:12.75pt;height:12pt;z-index:251673088;mso-position-horizontal-relative:text;mso-position-vertical-relative:text"/>
              </w:pict>
            </w:r>
            <w:r w:rsidR="006F76EB" w:rsidRPr="00834D52">
              <w:rPr>
                <w:rFonts w:ascii="Sylfaen" w:hAnsi="Sylfaen"/>
                <w:sz w:val="24"/>
                <w:szCs w:val="24"/>
              </w:rPr>
              <w:t>այո</w:t>
            </w:r>
          </w:p>
        </w:tc>
      </w:tr>
    </w:tbl>
    <w:p w14:paraId="5C2AB196" w14:textId="77777777" w:rsidR="006F76EB" w:rsidRDefault="006F76EB" w:rsidP="006F76EB">
      <w:pPr>
        <w:spacing w:after="160" w:line="348" w:lineRule="auto"/>
        <w:ind w:right="-6"/>
        <w:rPr>
          <w:rFonts w:ascii="Sylfaen" w:hAnsi="Sylfaen"/>
          <w:sz w:val="24"/>
          <w:szCs w:val="24"/>
          <w:lang w:val="en-US"/>
        </w:rPr>
      </w:pPr>
      <w:r w:rsidRPr="00834D52">
        <w:rPr>
          <w:rFonts w:ascii="Sylfaen" w:hAnsi="Sylfaen"/>
          <w:sz w:val="24"/>
          <w:szCs w:val="24"/>
        </w:rPr>
        <w:t>Եթե այո՝ նշե՛ք՝</w:t>
      </w:r>
    </w:p>
    <w:tbl>
      <w:tblPr>
        <w:tblW w:w="9724" w:type="dxa"/>
        <w:jc w:val="center"/>
        <w:tblLayout w:type="fixed"/>
        <w:tblCellMar>
          <w:left w:w="0" w:type="dxa"/>
          <w:right w:w="0" w:type="dxa"/>
        </w:tblCellMar>
        <w:tblLook w:val="01E0" w:firstRow="1" w:lastRow="1" w:firstColumn="1" w:lastColumn="1" w:noHBand="0" w:noVBand="0"/>
      </w:tblPr>
      <w:tblGrid>
        <w:gridCol w:w="6180"/>
        <w:gridCol w:w="1559"/>
        <w:gridCol w:w="945"/>
        <w:gridCol w:w="1040"/>
      </w:tblGrid>
      <w:tr w:rsidR="006F76EB" w:rsidRPr="00834D52" w14:paraId="4A520E86" w14:textId="77777777" w:rsidTr="00754307">
        <w:trPr>
          <w:jc w:val="center"/>
        </w:trPr>
        <w:tc>
          <w:tcPr>
            <w:tcW w:w="6180" w:type="dxa"/>
            <w:tcBorders>
              <w:top w:val="single" w:sz="4" w:space="0" w:color="000000"/>
              <w:left w:val="single" w:sz="4" w:space="0" w:color="000000"/>
              <w:bottom w:val="single" w:sz="4" w:space="0" w:color="000000"/>
              <w:right w:val="single" w:sz="4" w:space="0" w:color="000000"/>
            </w:tcBorders>
          </w:tcPr>
          <w:p w14:paraId="6CEBABAB" w14:textId="77777777" w:rsidR="006F76EB" w:rsidRPr="00834D52" w:rsidRDefault="006F76EB" w:rsidP="002139F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3544" w:type="dxa"/>
            <w:gridSpan w:val="3"/>
            <w:tcBorders>
              <w:top w:val="single" w:sz="4" w:space="0" w:color="000000"/>
              <w:left w:val="single" w:sz="4" w:space="0" w:color="000000"/>
              <w:bottom w:val="single" w:sz="4" w:space="0" w:color="000000"/>
              <w:right w:val="single" w:sz="4" w:space="0" w:color="000000"/>
            </w:tcBorders>
          </w:tcPr>
          <w:p w14:paraId="2825B9B5" w14:textId="77777777" w:rsidR="006F76EB" w:rsidRPr="00834D52" w:rsidRDefault="006F76EB" w:rsidP="002139FC">
            <w:pPr>
              <w:spacing w:after="120" w:line="240" w:lineRule="auto"/>
              <w:ind w:right="-6"/>
              <w:rPr>
                <w:rFonts w:ascii="Sylfaen" w:hAnsi="Sylfaen"/>
                <w:sz w:val="24"/>
                <w:szCs w:val="24"/>
              </w:rPr>
            </w:pPr>
          </w:p>
        </w:tc>
      </w:tr>
      <w:tr w:rsidR="006F76EB" w:rsidRPr="00834D52" w14:paraId="01E0CDCA" w14:textId="77777777" w:rsidTr="00754307">
        <w:trPr>
          <w:jc w:val="center"/>
        </w:trPr>
        <w:tc>
          <w:tcPr>
            <w:tcW w:w="6180" w:type="dxa"/>
            <w:tcBorders>
              <w:top w:val="single" w:sz="4" w:space="0" w:color="000000"/>
              <w:left w:val="single" w:sz="4" w:space="0" w:color="000000"/>
              <w:bottom w:val="single" w:sz="4" w:space="0" w:color="000000"/>
              <w:right w:val="single" w:sz="4" w:space="0" w:color="000000"/>
            </w:tcBorders>
          </w:tcPr>
          <w:p w14:paraId="4904063E" w14:textId="77777777" w:rsidR="006F76EB" w:rsidRPr="00834D52" w:rsidRDefault="006F76EB" w:rsidP="002139F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3544" w:type="dxa"/>
            <w:gridSpan w:val="3"/>
            <w:tcBorders>
              <w:top w:val="single" w:sz="4" w:space="0" w:color="000000"/>
              <w:left w:val="single" w:sz="4" w:space="0" w:color="000000"/>
              <w:bottom w:val="single" w:sz="4" w:space="0" w:color="000000"/>
              <w:right w:val="single" w:sz="4" w:space="0" w:color="000000"/>
            </w:tcBorders>
          </w:tcPr>
          <w:p w14:paraId="3A705104" w14:textId="77777777" w:rsidR="006F76EB" w:rsidRPr="00834D52" w:rsidRDefault="006F76EB" w:rsidP="002139FC">
            <w:pPr>
              <w:spacing w:after="120" w:line="240" w:lineRule="auto"/>
              <w:ind w:right="-6"/>
              <w:rPr>
                <w:rFonts w:ascii="Sylfaen" w:hAnsi="Sylfaen"/>
                <w:sz w:val="24"/>
                <w:szCs w:val="24"/>
              </w:rPr>
            </w:pPr>
          </w:p>
        </w:tc>
      </w:tr>
      <w:tr w:rsidR="006F76EB" w:rsidRPr="00834D52" w14:paraId="41FBE9FC" w14:textId="77777777" w:rsidTr="00754307">
        <w:trPr>
          <w:jc w:val="center"/>
        </w:trPr>
        <w:tc>
          <w:tcPr>
            <w:tcW w:w="6180" w:type="dxa"/>
            <w:tcBorders>
              <w:top w:val="single" w:sz="4" w:space="0" w:color="000000"/>
              <w:left w:val="single" w:sz="4" w:space="0" w:color="000000"/>
              <w:bottom w:val="single" w:sz="4" w:space="0" w:color="000000"/>
              <w:right w:val="single" w:sz="4" w:space="0" w:color="000000"/>
            </w:tcBorders>
          </w:tcPr>
          <w:p w14:paraId="28436EDD" w14:textId="77777777" w:rsidR="006F76EB" w:rsidRPr="00834D52" w:rsidRDefault="006F76EB" w:rsidP="002139F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3544" w:type="dxa"/>
            <w:gridSpan w:val="3"/>
            <w:tcBorders>
              <w:top w:val="single" w:sz="4" w:space="0" w:color="000000"/>
              <w:left w:val="single" w:sz="4" w:space="0" w:color="000000"/>
              <w:bottom w:val="single" w:sz="4" w:space="0" w:color="000000"/>
              <w:right w:val="single" w:sz="4" w:space="0" w:color="000000"/>
            </w:tcBorders>
          </w:tcPr>
          <w:p w14:paraId="3E00DBC5" w14:textId="77777777" w:rsidR="006F76EB" w:rsidRPr="00834D52" w:rsidRDefault="006F76EB" w:rsidP="002139FC">
            <w:pPr>
              <w:spacing w:after="120" w:line="240" w:lineRule="auto"/>
              <w:ind w:right="-6"/>
              <w:rPr>
                <w:rFonts w:ascii="Sylfaen" w:hAnsi="Sylfaen"/>
                <w:sz w:val="24"/>
                <w:szCs w:val="24"/>
              </w:rPr>
            </w:pPr>
          </w:p>
        </w:tc>
      </w:tr>
      <w:tr w:rsidR="006F76EB" w:rsidRPr="00834D52" w14:paraId="0F7BA7D2" w14:textId="77777777" w:rsidTr="00754307">
        <w:trPr>
          <w:jc w:val="center"/>
        </w:trPr>
        <w:tc>
          <w:tcPr>
            <w:tcW w:w="6180" w:type="dxa"/>
            <w:tcBorders>
              <w:top w:val="single" w:sz="4" w:space="0" w:color="000000"/>
              <w:left w:val="single" w:sz="4" w:space="0" w:color="000000"/>
              <w:bottom w:val="single" w:sz="4" w:space="0" w:color="000000"/>
              <w:right w:val="single" w:sz="4" w:space="0" w:color="000000"/>
            </w:tcBorders>
          </w:tcPr>
          <w:p w14:paraId="784C4515" w14:textId="77777777" w:rsidR="006F76EB" w:rsidRPr="00834D52" w:rsidRDefault="006F76EB" w:rsidP="002139F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համապատասխանության վերաբերյալ փաստաթղթի համարը</w:t>
            </w:r>
          </w:p>
        </w:tc>
        <w:tc>
          <w:tcPr>
            <w:tcW w:w="3544" w:type="dxa"/>
            <w:gridSpan w:val="3"/>
            <w:tcBorders>
              <w:top w:val="single" w:sz="4" w:space="0" w:color="000000"/>
              <w:left w:val="single" w:sz="4" w:space="0" w:color="000000"/>
              <w:bottom w:val="single" w:sz="4" w:space="0" w:color="000000"/>
              <w:right w:val="single" w:sz="4" w:space="0" w:color="000000"/>
            </w:tcBorders>
          </w:tcPr>
          <w:p w14:paraId="21031CFC" w14:textId="77777777" w:rsidR="006F76EB" w:rsidRPr="00834D52" w:rsidRDefault="006F76EB" w:rsidP="002139FC">
            <w:pPr>
              <w:spacing w:after="120" w:line="240" w:lineRule="auto"/>
              <w:ind w:right="-6"/>
              <w:rPr>
                <w:rFonts w:ascii="Sylfaen" w:hAnsi="Sylfaen"/>
                <w:sz w:val="24"/>
                <w:szCs w:val="24"/>
              </w:rPr>
            </w:pPr>
          </w:p>
        </w:tc>
      </w:tr>
      <w:tr w:rsidR="006F76EB" w:rsidRPr="00834D52" w14:paraId="6C2F0392" w14:textId="77777777" w:rsidTr="00754307">
        <w:trPr>
          <w:jc w:val="center"/>
        </w:trPr>
        <w:tc>
          <w:tcPr>
            <w:tcW w:w="6180" w:type="dxa"/>
            <w:tcBorders>
              <w:top w:val="single" w:sz="4" w:space="0" w:color="000000"/>
              <w:left w:val="single" w:sz="4" w:space="0" w:color="000000"/>
              <w:bottom w:val="single" w:sz="4" w:space="0" w:color="000000"/>
              <w:right w:val="single" w:sz="4" w:space="0" w:color="auto"/>
            </w:tcBorders>
          </w:tcPr>
          <w:p w14:paraId="15E1E694" w14:textId="77777777" w:rsidR="006F76EB" w:rsidRPr="00834D52" w:rsidRDefault="006F76EB" w:rsidP="002139FC">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եզրակացություն</w:t>
            </w:r>
          </w:p>
        </w:tc>
        <w:tc>
          <w:tcPr>
            <w:tcW w:w="1559" w:type="dxa"/>
            <w:tcBorders>
              <w:top w:val="single" w:sz="4" w:space="0" w:color="auto"/>
              <w:left w:val="single" w:sz="4" w:space="0" w:color="auto"/>
              <w:bottom w:val="single" w:sz="4" w:space="0" w:color="auto"/>
            </w:tcBorders>
          </w:tcPr>
          <w:p w14:paraId="16577397" w14:textId="77777777" w:rsidR="006F76EB" w:rsidRPr="00834D52" w:rsidRDefault="006F76EB" w:rsidP="002139FC">
            <w:pPr>
              <w:spacing w:after="120" w:line="240" w:lineRule="auto"/>
              <w:ind w:left="56" w:right="-6"/>
              <w:rPr>
                <w:rFonts w:ascii="Sylfaen" w:eastAsia="Times New Roman" w:hAnsi="Sylfaen" w:cs="Times New Roman"/>
                <w:sz w:val="24"/>
                <w:szCs w:val="24"/>
              </w:rPr>
            </w:pPr>
            <w:r w:rsidRPr="00834D52">
              <w:rPr>
                <w:rFonts w:ascii="Sylfaen" w:hAnsi="Sylfaen"/>
                <w:sz w:val="24"/>
                <w:szCs w:val="24"/>
              </w:rPr>
              <w:t>համապատասխանում է՝</w:t>
            </w:r>
          </w:p>
        </w:tc>
        <w:tc>
          <w:tcPr>
            <w:tcW w:w="945" w:type="dxa"/>
            <w:tcBorders>
              <w:top w:val="single" w:sz="4" w:space="0" w:color="auto"/>
              <w:bottom w:val="single" w:sz="4" w:space="0" w:color="auto"/>
            </w:tcBorders>
          </w:tcPr>
          <w:p w14:paraId="33FA27B2" w14:textId="77777777" w:rsidR="006F76EB" w:rsidRPr="00834D52" w:rsidRDefault="00157FD9" w:rsidP="002139FC">
            <w:pPr>
              <w:spacing w:after="120" w:line="240" w:lineRule="auto"/>
              <w:ind w:right="-6"/>
              <w:jc w:val="center"/>
              <w:rPr>
                <w:rFonts w:ascii="Sylfaen" w:eastAsia="Times New Roman" w:hAnsi="Sylfaen" w:cs="Times New Roman"/>
                <w:sz w:val="24"/>
                <w:szCs w:val="24"/>
              </w:rPr>
            </w:pPr>
            <w:r>
              <w:rPr>
                <w:rFonts w:ascii="Sylfaen" w:hAnsi="Sylfaen"/>
                <w:noProof/>
                <w:sz w:val="24"/>
                <w:szCs w:val="24"/>
              </w:rPr>
              <w:pict w14:anchorId="486B75E2">
                <v:rect id="_x0000_s1181" style="position:absolute;left:0;text-align:left;margin-left:3.4pt;margin-top:2.2pt;width:12.75pt;height:12pt;z-index:251674112;mso-position-horizontal-relative:text;mso-position-vertical-relative:text"/>
              </w:pict>
            </w:r>
            <w:r w:rsidR="006F76EB" w:rsidRPr="00834D52">
              <w:rPr>
                <w:rFonts w:ascii="Sylfaen" w:hAnsi="Sylfaen"/>
                <w:sz w:val="24"/>
                <w:szCs w:val="24"/>
              </w:rPr>
              <w:t>ոչ</w:t>
            </w:r>
          </w:p>
        </w:tc>
        <w:tc>
          <w:tcPr>
            <w:tcW w:w="1040" w:type="dxa"/>
            <w:tcBorders>
              <w:top w:val="single" w:sz="4" w:space="0" w:color="auto"/>
              <w:bottom w:val="single" w:sz="4" w:space="0" w:color="auto"/>
              <w:right w:val="single" w:sz="4" w:space="0" w:color="auto"/>
            </w:tcBorders>
          </w:tcPr>
          <w:p w14:paraId="1ED1A837" w14:textId="77777777" w:rsidR="006F76EB" w:rsidRPr="00834D52" w:rsidRDefault="00157FD9" w:rsidP="002139FC">
            <w:pPr>
              <w:spacing w:after="120" w:line="24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5D962CE0">
                <v:rect id="_x0000_s1180" style="position:absolute;left:0;text-align:left;margin-left:1.85pt;margin-top:2.2pt;width:12.75pt;height:12pt;z-index:251675136;mso-position-horizontal-relative:text;mso-position-vertical-relative:text"/>
              </w:pict>
            </w:r>
            <w:r w:rsidR="006F76EB" w:rsidRPr="00834D52">
              <w:rPr>
                <w:rFonts w:ascii="Sylfaen" w:hAnsi="Sylfaen"/>
                <w:sz w:val="24"/>
                <w:szCs w:val="24"/>
              </w:rPr>
              <w:t>այո</w:t>
            </w:r>
          </w:p>
        </w:tc>
      </w:tr>
    </w:tbl>
    <w:p w14:paraId="62A8DDB7" w14:textId="77777777" w:rsidR="00754307" w:rsidRDefault="00754307" w:rsidP="006F76EB">
      <w:pPr>
        <w:spacing w:after="160" w:line="348" w:lineRule="auto"/>
        <w:ind w:right="-6" w:firstLine="567"/>
        <w:rPr>
          <w:rFonts w:ascii="Sylfaen" w:hAnsi="Sylfaen"/>
          <w:sz w:val="24"/>
          <w:szCs w:val="24"/>
          <w:lang w:val="en-US"/>
        </w:rPr>
      </w:pPr>
    </w:p>
    <w:p w14:paraId="034EA20E" w14:textId="77777777" w:rsidR="006F76EB" w:rsidRPr="00834D52" w:rsidRDefault="006F76EB" w:rsidP="006F76EB">
      <w:pPr>
        <w:spacing w:after="160" w:line="348" w:lineRule="auto"/>
        <w:ind w:right="-6" w:firstLine="567"/>
        <w:rPr>
          <w:rFonts w:ascii="Sylfaen" w:eastAsia="Times New Roman" w:hAnsi="Sylfaen" w:cs="Times New Roman"/>
          <w:sz w:val="24"/>
          <w:szCs w:val="24"/>
        </w:rPr>
      </w:pPr>
      <w:r w:rsidRPr="00834D52">
        <w:rPr>
          <w:rFonts w:ascii="Sylfaen" w:hAnsi="Sylfaen"/>
          <w:sz w:val="24"/>
          <w:szCs w:val="24"/>
        </w:rPr>
        <w:lastRenderedPageBreak/>
        <w:t>Արդյոք գրանցման դոսյեի կազմում օգտագործվելու է ԱԴԲ-ն արտադրողի մաստեր-ֆայլը՝</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77CA81E5" w14:textId="77777777" w:rsidTr="00F71229">
        <w:trPr>
          <w:jc w:val="center"/>
        </w:trPr>
        <w:tc>
          <w:tcPr>
            <w:tcW w:w="1560" w:type="dxa"/>
          </w:tcPr>
          <w:p w14:paraId="7AABAE20" w14:textId="77777777" w:rsidR="006F76EB" w:rsidRPr="00834D52" w:rsidRDefault="00157FD9" w:rsidP="00F71229">
            <w:pPr>
              <w:spacing w:after="160" w:line="348"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pict w14:anchorId="65447C0B">
                <v:rect id="_x0000_s1182" style="position:absolute;left:0;text-align:left;margin-left:8.25pt;margin-top:4.05pt;width:12.75pt;height:12pt;z-index:251676160"/>
              </w:pict>
            </w:r>
            <w:r w:rsidR="006F76EB" w:rsidRPr="00834D52">
              <w:rPr>
                <w:rFonts w:ascii="Sylfaen" w:hAnsi="Sylfaen"/>
                <w:sz w:val="24"/>
                <w:szCs w:val="24"/>
              </w:rPr>
              <w:t>ոչ</w:t>
            </w:r>
          </w:p>
        </w:tc>
        <w:tc>
          <w:tcPr>
            <w:tcW w:w="1559" w:type="dxa"/>
          </w:tcPr>
          <w:p w14:paraId="274406ED" w14:textId="77777777" w:rsidR="006F76EB" w:rsidRPr="00834D52" w:rsidRDefault="00157FD9" w:rsidP="00F71229">
            <w:pPr>
              <w:spacing w:after="160" w:line="348" w:lineRule="auto"/>
              <w:ind w:left="-108" w:right="-6"/>
              <w:jc w:val="center"/>
              <w:rPr>
                <w:rFonts w:ascii="Sylfaen" w:eastAsia="Times New Roman" w:hAnsi="Sylfaen" w:cs="Times New Roman"/>
                <w:sz w:val="24"/>
                <w:szCs w:val="24"/>
                <w:lang w:val="en-US"/>
              </w:rPr>
            </w:pPr>
            <w:r>
              <w:rPr>
                <w:rFonts w:ascii="Sylfaen" w:eastAsia="Times New Roman" w:hAnsi="Sylfaen" w:cs="Times New Roman"/>
                <w:noProof/>
                <w:sz w:val="24"/>
                <w:szCs w:val="24"/>
              </w:rPr>
              <w:pict w14:anchorId="0F5796B4">
                <v:rect id="_x0000_s1183" style="position:absolute;left:0;text-align:left;margin-left:.5pt;margin-top:4.05pt;width:12.75pt;height:12pt;z-index:251677184;mso-position-horizontal-relative:text;mso-position-vertical-relative:text"/>
              </w:pict>
            </w:r>
            <w:r w:rsidR="006F76EB" w:rsidRPr="00834D52">
              <w:rPr>
                <w:rFonts w:ascii="Sylfaen" w:hAnsi="Sylfaen"/>
                <w:sz w:val="24"/>
                <w:szCs w:val="24"/>
              </w:rPr>
              <w:t>այո</w:t>
            </w:r>
          </w:p>
        </w:tc>
      </w:tr>
    </w:tbl>
    <w:p w14:paraId="2EE61931" w14:textId="77777777" w:rsidR="006F76EB" w:rsidRPr="00834D52" w:rsidRDefault="006F76EB" w:rsidP="006F76EB">
      <w:pPr>
        <w:spacing w:after="160" w:line="348" w:lineRule="auto"/>
        <w:ind w:right="-6" w:firstLine="567"/>
        <w:rPr>
          <w:rFonts w:ascii="Sylfaen" w:eastAsia="Times New Roman" w:hAnsi="Sylfaen" w:cs="Times New Roman"/>
          <w:sz w:val="24"/>
          <w:szCs w:val="24"/>
        </w:rPr>
      </w:pPr>
      <w:r w:rsidRPr="00834D52">
        <w:rPr>
          <w:rFonts w:ascii="Sylfaen" w:hAnsi="Sylfaen"/>
          <w:sz w:val="24"/>
          <w:szCs w:val="24"/>
        </w:rPr>
        <w:t>Եթե այո՝</w:t>
      </w:r>
    </w:p>
    <w:tbl>
      <w:tblPr>
        <w:tblW w:w="9610" w:type="dxa"/>
        <w:jc w:val="center"/>
        <w:tblLayout w:type="fixed"/>
        <w:tblCellMar>
          <w:left w:w="0" w:type="dxa"/>
          <w:right w:w="0" w:type="dxa"/>
        </w:tblCellMar>
        <w:tblLook w:val="01E0" w:firstRow="1" w:lastRow="1" w:firstColumn="1" w:lastColumn="1" w:noHBand="0" w:noVBand="0"/>
      </w:tblPr>
      <w:tblGrid>
        <w:gridCol w:w="5090"/>
        <w:gridCol w:w="4520"/>
      </w:tblGrid>
      <w:tr w:rsidR="006F76EB" w:rsidRPr="00834D52" w14:paraId="68CD6230"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4C612EF6" w14:textId="77777777" w:rsidR="006F76EB" w:rsidRPr="00834D52" w:rsidRDefault="006F76EB" w:rsidP="00732974">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ակտիվ դեղաբանական բաղադրամասի անվանումը</w:t>
            </w:r>
          </w:p>
        </w:tc>
        <w:tc>
          <w:tcPr>
            <w:tcW w:w="4520" w:type="dxa"/>
            <w:tcBorders>
              <w:top w:val="single" w:sz="4" w:space="0" w:color="000000"/>
              <w:left w:val="single" w:sz="4" w:space="0" w:color="000000"/>
              <w:bottom w:val="single" w:sz="4" w:space="0" w:color="000000"/>
              <w:right w:val="single" w:sz="4" w:space="0" w:color="000000"/>
            </w:tcBorders>
          </w:tcPr>
          <w:p w14:paraId="47537C1E" w14:textId="77777777" w:rsidR="006F76EB" w:rsidRPr="00834D52" w:rsidRDefault="006F76EB" w:rsidP="00732974">
            <w:pPr>
              <w:spacing w:after="120" w:line="240" w:lineRule="auto"/>
              <w:ind w:right="-6"/>
              <w:rPr>
                <w:rFonts w:ascii="Sylfaen" w:hAnsi="Sylfaen"/>
                <w:sz w:val="24"/>
                <w:szCs w:val="24"/>
              </w:rPr>
            </w:pPr>
          </w:p>
        </w:tc>
      </w:tr>
      <w:tr w:rsidR="006F76EB" w:rsidRPr="00834D52" w14:paraId="4C883466"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A3CBCBB" w14:textId="77777777" w:rsidR="006F76EB" w:rsidRPr="00834D52" w:rsidRDefault="006F76EB" w:rsidP="00732974">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ԱԴԲՆ-ն արտադրողի մաստեր-ֆայլի իրավատիրոջ անվանումը</w:t>
            </w:r>
          </w:p>
        </w:tc>
        <w:tc>
          <w:tcPr>
            <w:tcW w:w="4520" w:type="dxa"/>
            <w:tcBorders>
              <w:top w:val="single" w:sz="4" w:space="0" w:color="000000"/>
              <w:left w:val="single" w:sz="4" w:space="0" w:color="000000"/>
              <w:bottom w:val="single" w:sz="4" w:space="0" w:color="000000"/>
              <w:right w:val="single" w:sz="4" w:space="0" w:color="000000"/>
            </w:tcBorders>
          </w:tcPr>
          <w:p w14:paraId="77211DFC" w14:textId="77777777" w:rsidR="006F76EB" w:rsidRPr="00834D52" w:rsidRDefault="006F76EB" w:rsidP="00732974">
            <w:pPr>
              <w:spacing w:after="120" w:line="240" w:lineRule="auto"/>
              <w:ind w:right="-6"/>
              <w:rPr>
                <w:rFonts w:ascii="Sylfaen" w:hAnsi="Sylfaen"/>
                <w:sz w:val="24"/>
                <w:szCs w:val="24"/>
              </w:rPr>
            </w:pPr>
          </w:p>
        </w:tc>
      </w:tr>
      <w:tr w:rsidR="006F76EB" w:rsidRPr="00834D52" w14:paraId="06E36CEF"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204EFD9B" w14:textId="77777777" w:rsidR="006F76EB" w:rsidRPr="00834D52" w:rsidRDefault="006F76EB" w:rsidP="00732974">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ԱԴԲ-ն արտադրողի անվանումը, եթե</w:t>
            </w:r>
          </w:p>
          <w:p w14:paraId="1163E0E7" w14:textId="77777777" w:rsidR="006F76EB" w:rsidRPr="00834D52" w:rsidRDefault="006F76EB" w:rsidP="00732974">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տարբերվում է ԱԴԲ-ն արտադրողի մաստեր-ֆայլի իրավատիրոջից</w:t>
            </w:r>
          </w:p>
        </w:tc>
        <w:tc>
          <w:tcPr>
            <w:tcW w:w="4520" w:type="dxa"/>
            <w:tcBorders>
              <w:top w:val="single" w:sz="4" w:space="0" w:color="000000"/>
              <w:left w:val="single" w:sz="4" w:space="0" w:color="000000"/>
              <w:bottom w:val="single" w:sz="4" w:space="0" w:color="000000"/>
              <w:right w:val="single" w:sz="4" w:space="0" w:color="000000"/>
            </w:tcBorders>
          </w:tcPr>
          <w:p w14:paraId="3FB7BD3C" w14:textId="77777777" w:rsidR="006F76EB" w:rsidRPr="00834D52" w:rsidRDefault="006F76EB" w:rsidP="00732974">
            <w:pPr>
              <w:spacing w:after="120" w:line="240" w:lineRule="auto"/>
              <w:ind w:right="-6"/>
              <w:rPr>
                <w:rFonts w:ascii="Sylfaen" w:hAnsi="Sylfaen"/>
                <w:sz w:val="24"/>
                <w:szCs w:val="24"/>
              </w:rPr>
            </w:pPr>
          </w:p>
        </w:tc>
      </w:tr>
      <w:tr w:rsidR="006F76EB" w:rsidRPr="00834D52" w14:paraId="7C10B174"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5DD6C0E6" w14:textId="77777777" w:rsidR="006F76EB" w:rsidRPr="00834D52" w:rsidRDefault="006F76EB" w:rsidP="00732974">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վերջին վերանայման ամսաթիվը</w:t>
            </w:r>
          </w:p>
        </w:tc>
        <w:tc>
          <w:tcPr>
            <w:tcW w:w="4520" w:type="dxa"/>
            <w:tcBorders>
              <w:top w:val="single" w:sz="4" w:space="0" w:color="000000"/>
              <w:left w:val="single" w:sz="4" w:space="0" w:color="000000"/>
              <w:bottom w:val="single" w:sz="4" w:space="0" w:color="000000"/>
              <w:right w:val="single" w:sz="4" w:space="0" w:color="000000"/>
            </w:tcBorders>
          </w:tcPr>
          <w:p w14:paraId="12B31A9D" w14:textId="77777777" w:rsidR="006F76EB" w:rsidRPr="00834D52" w:rsidRDefault="006F76EB" w:rsidP="00732974">
            <w:pPr>
              <w:spacing w:after="120" w:line="240" w:lineRule="auto"/>
              <w:ind w:right="-6"/>
              <w:rPr>
                <w:rFonts w:ascii="Sylfaen" w:hAnsi="Sylfaen"/>
                <w:sz w:val="24"/>
                <w:szCs w:val="24"/>
              </w:rPr>
            </w:pPr>
          </w:p>
        </w:tc>
      </w:tr>
    </w:tbl>
    <w:p w14:paraId="2774A6BA"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տրվել է պատվաստանյութային հակածնի մաստեր-ֆայլի սերտիֆիկատ (այսուհետ՝ ՊՀՄՖ), որն օգտագործվում է գրանցման դոսյեում,</w:t>
      </w:r>
      <w:r w:rsidRPr="00834D52">
        <w:rPr>
          <w:rFonts w:ascii="Sylfaen" w:hAnsi="Sylfaen"/>
          <w:sz w:val="24"/>
          <w:szCs w:val="24"/>
        </w:rPr>
        <w:br/>
        <w:t>թե այն ստանալու հայտ է ներկայացվել՝</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tblGrid>
      <w:tr w:rsidR="006F76EB" w:rsidRPr="00834D52" w14:paraId="6EB16100" w14:textId="77777777" w:rsidTr="00F71229">
        <w:trPr>
          <w:jc w:val="center"/>
        </w:trPr>
        <w:tc>
          <w:tcPr>
            <w:tcW w:w="1560" w:type="dxa"/>
          </w:tcPr>
          <w:p w14:paraId="412D0383" w14:textId="77777777" w:rsidR="006F76EB" w:rsidRPr="00834D52" w:rsidRDefault="00157FD9" w:rsidP="00F71229">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2E3D2FAA">
                <v:rect id="_x0000_s1184" style="position:absolute;left:0;text-align:left;margin-left:8.25pt;margin-top:4.05pt;width:12.75pt;height:12pt;z-index:251678208"/>
              </w:pict>
            </w:r>
            <w:r w:rsidR="006F76EB" w:rsidRPr="00834D52">
              <w:rPr>
                <w:rFonts w:ascii="Sylfaen" w:hAnsi="Sylfaen"/>
                <w:sz w:val="24"/>
                <w:szCs w:val="24"/>
              </w:rPr>
              <w:t>ոչ</w:t>
            </w:r>
          </w:p>
        </w:tc>
        <w:tc>
          <w:tcPr>
            <w:tcW w:w="1559" w:type="dxa"/>
          </w:tcPr>
          <w:p w14:paraId="76EC9F8A"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7C5A500A">
                <v:rect id="_x0000_s1185" style="position:absolute;left:0;text-align:left;margin-left:.5pt;margin-top:4.05pt;width:12.75pt;height:12pt;z-index:251679232;mso-position-horizontal-relative:text;mso-position-vertical-relative:text"/>
              </w:pict>
            </w:r>
            <w:r w:rsidR="006F76EB" w:rsidRPr="00834D52">
              <w:rPr>
                <w:rFonts w:ascii="Sylfaen" w:hAnsi="Sylfaen"/>
                <w:sz w:val="24"/>
                <w:szCs w:val="24"/>
              </w:rPr>
              <w:t>այո</w:t>
            </w:r>
          </w:p>
        </w:tc>
      </w:tr>
    </w:tbl>
    <w:p w14:paraId="25E31E2F"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610" w:type="dxa"/>
        <w:jc w:val="center"/>
        <w:tblLayout w:type="fixed"/>
        <w:tblCellMar>
          <w:left w:w="0" w:type="dxa"/>
          <w:right w:w="0" w:type="dxa"/>
        </w:tblCellMar>
        <w:tblLook w:val="01E0" w:firstRow="1" w:lastRow="1" w:firstColumn="1" w:lastColumn="1" w:noHBand="0" w:noVBand="0"/>
      </w:tblPr>
      <w:tblGrid>
        <w:gridCol w:w="5090"/>
        <w:gridCol w:w="4520"/>
      </w:tblGrid>
      <w:tr w:rsidR="006F76EB" w:rsidRPr="00834D52" w14:paraId="1626C390"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1509BB2E" w14:textId="77777777" w:rsidR="006F76EB" w:rsidRPr="00834D52" w:rsidRDefault="006F76EB" w:rsidP="00732974">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պատվաստանյութային հակածնի անվանումը</w:t>
            </w:r>
          </w:p>
        </w:tc>
        <w:tc>
          <w:tcPr>
            <w:tcW w:w="4520" w:type="dxa"/>
            <w:tcBorders>
              <w:top w:val="single" w:sz="4" w:space="0" w:color="000000"/>
              <w:left w:val="single" w:sz="4" w:space="0" w:color="000000"/>
              <w:bottom w:val="single" w:sz="4" w:space="0" w:color="000000"/>
              <w:right w:val="single" w:sz="4" w:space="0" w:color="000000"/>
            </w:tcBorders>
          </w:tcPr>
          <w:p w14:paraId="315E9FD7" w14:textId="77777777" w:rsidR="006F76EB" w:rsidRPr="00834D52" w:rsidRDefault="006F76EB" w:rsidP="00732974">
            <w:pPr>
              <w:spacing w:after="120" w:line="240" w:lineRule="auto"/>
              <w:ind w:right="-6"/>
              <w:rPr>
                <w:rFonts w:ascii="Sylfaen" w:hAnsi="Sylfaen"/>
                <w:sz w:val="24"/>
                <w:szCs w:val="24"/>
              </w:rPr>
            </w:pPr>
          </w:p>
        </w:tc>
      </w:tr>
      <w:tr w:rsidR="006F76EB" w:rsidRPr="00834D52" w14:paraId="7999C548"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68293796" w14:textId="77777777" w:rsidR="006F76EB" w:rsidRPr="00834D52" w:rsidRDefault="006F76EB" w:rsidP="00732974">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պատվաստանյութային հակածինն արտադրողի (ՊՀՄՖ սերտիֆիկատին տիրապետողի) անվանումը</w:t>
            </w:r>
          </w:p>
        </w:tc>
        <w:tc>
          <w:tcPr>
            <w:tcW w:w="4520" w:type="dxa"/>
            <w:tcBorders>
              <w:top w:val="single" w:sz="4" w:space="0" w:color="000000"/>
              <w:left w:val="single" w:sz="4" w:space="0" w:color="000000"/>
              <w:bottom w:val="single" w:sz="4" w:space="0" w:color="000000"/>
              <w:right w:val="single" w:sz="4" w:space="0" w:color="000000"/>
            </w:tcBorders>
          </w:tcPr>
          <w:p w14:paraId="10467240" w14:textId="77777777" w:rsidR="006F76EB" w:rsidRPr="00834D52" w:rsidRDefault="006F76EB" w:rsidP="00732974">
            <w:pPr>
              <w:spacing w:after="120" w:line="240" w:lineRule="auto"/>
              <w:ind w:right="-6"/>
              <w:rPr>
                <w:rFonts w:ascii="Sylfaen" w:hAnsi="Sylfaen"/>
                <w:sz w:val="24"/>
                <w:szCs w:val="24"/>
              </w:rPr>
            </w:pPr>
          </w:p>
        </w:tc>
      </w:tr>
      <w:tr w:rsidR="006F76EB" w:rsidRPr="00834D52" w14:paraId="51912FEA"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1B3258AA" w14:textId="77777777" w:rsidR="006F76EB" w:rsidRPr="00834D52" w:rsidRDefault="006F76EB" w:rsidP="00732974">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 xml:space="preserve">հայտի (սերտիֆիկատի) համարը </w:t>
            </w:r>
          </w:p>
        </w:tc>
        <w:tc>
          <w:tcPr>
            <w:tcW w:w="4520" w:type="dxa"/>
            <w:tcBorders>
              <w:top w:val="single" w:sz="4" w:space="0" w:color="000000"/>
              <w:left w:val="single" w:sz="4" w:space="0" w:color="000000"/>
              <w:bottom w:val="single" w:sz="4" w:space="0" w:color="000000"/>
              <w:right w:val="single" w:sz="4" w:space="0" w:color="000000"/>
            </w:tcBorders>
          </w:tcPr>
          <w:p w14:paraId="75802ED2" w14:textId="77777777" w:rsidR="006F76EB" w:rsidRPr="00834D52" w:rsidRDefault="006F76EB" w:rsidP="00732974">
            <w:pPr>
              <w:spacing w:after="120" w:line="240" w:lineRule="auto"/>
              <w:ind w:right="-6"/>
              <w:rPr>
                <w:rFonts w:ascii="Sylfaen" w:hAnsi="Sylfaen"/>
                <w:sz w:val="24"/>
                <w:szCs w:val="24"/>
              </w:rPr>
            </w:pPr>
          </w:p>
        </w:tc>
      </w:tr>
      <w:tr w:rsidR="006F76EB" w:rsidRPr="00834D52" w14:paraId="2F665BB2"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49E80723" w14:textId="77777777" w:rsidR="006F76EB" w:rsidRPr="00834D52" w:rsidRDefault="006F76EB" w:rsidP="00732974">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ներկայացման ամսաթիվը (եթե քննարկման փուլում է)</w:t>
            </w:r>
          </w:p>
        </w:tc>
        <w:tc>
          <w:tcPr>
            <w:tcW w:w="4520" w:type="dxa"/>
            <w:tcBorders>
              <w:top w:val="single" w:sz="4" w:space="0" w:color="000000"/>
              <w:left w:val="single" w:sz="4" w:space="0" w:color="000000"/>
              <w:bottom w:val="single" w:sz="4" w:space="0" w:color="000000"/>
              <w:right w:val="single" w:sz="4" w:space="0" w:color="000000"/>
            </w:tcBorders>
          </w:tcPr>
          <w:p w14:paraId="6566AF77" w14:textId="77777777" w:rsidR="006F76EB" w:rsidRPr="00834D52" w:rsidRDefault="006F76EB" w:rsidP="00732974">
            <w:pPr>
              <w:spacing w:after="120" w:line="240" w:lineRule="auto"/>
              <w:ind w:right="-6"/>
              <w:rPr>
                <w:rFonts w:ascii="Sylfaen" w:hAnsi="Sylfaen"/>
                <w:sz w:val="24"/>
                <w:szCs w:val="24"/>
              </w:rPr>
            </w:pPr>
          </w:p>
        </w:tc>
      </w:tr>
      <w:tr w:rsidR="006F76EB" w:rsidRPr="00834D52" w14:paraId="5B93BB4C" w14:textId="77777777" w:rsidTr="00F71229">
        <w:trPr>
          <w:jc w:val="center"/>
        </w:trPr>
        <w:tc>
          <w:tcPr>
            <w:tcW w:w="5090" w:type="dxa"/>
            <w:tcBorders>
              <w:top w:val="single" w:sz="4" w:space="0" w:color="000000"/>
              <w:left w:val="single" w:sz="4" w:space="0" w:color="000000"/>
              <w:bottom w:val="single" w:sz="4" w:space="0" w:color="000000"/>
              <w:right w:val="single" w:sz="4" w:space="0" w:color="000000"/>
            </w:tcBorders>
          </w:tcPr>
          <w:p w14:paraId="04D891FC" w14:textId="77777777" w:rsidR="006F76EB" w:rsidRPr="00834D52" w:rsidRDefault="006F76EB" w:rsidP="00732974">
            <w:pPr>
              <w:spacing w:after="120" w:line="240" w:lineRule="auto"/>
              <w:ind w:left="128" w:right="-6"/>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 (եթե առկա է)</w:t>
            </w:r>
          </w:p>
        </w:tc>
        <w:tc>
          <w:tcPr>
            <w:tcW w:w="4520" w:type="dxa"/>
            <w:tcBorders>
              <w:top w:val="single" w:sz="4" w:space="0" w:color="000000"/>
              <w:left w:val="single" w:sz="4" w:space="0" w:color="000000"/>
              <w:bottom w:val="single" w:sz="4" w:space="0" w:color="000000"/>
              <w:right w:val="single" w:sz="4" w:space="0" w:color="000000"/>
            </w:tcBorders>
          </w:tcPr>
          <w:p w14:paraId="03652D9E" w14:textId="77777777" w:rsidR="006F76EB" w:rsidRPr="00834D52" w:rsidRDefault="006F76EB" w:rsidP="00732974">
            <w:pPr>
              <w:spacing w:after="120" w:line="240" w:lineRule="auto"/>
              <w:ind w:right="-6"/>
              <w:rPr>
                <w:rFonts w:ascii="Sylfaen" w:hAnsi="Sylfaen"/>
                <w:sz w:val="24"/>
                <w:szCs w:val="24"/>
              </w:rPr>
            </w:pPr>
          </w:p>
        </w:tc>
      </w:tr>
    </w:tbl>
    <w:p w14:paraId="4D853597" w14:textId="77777777" w:rsidR="006F76EB" w:rsidRPr="00834D52" w:rsidRDefault="006F76EB" w:rsidP="00732974">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3.5.6.</w:t>
      </w:r>
      <w:r w:rsidRPr="00834D52">
        <w:rPr>
          <w:rFonts w:ascii="Sylfaen" w:hAnsi="Sylfaen"/>
          <w:sz w:val="24"/>
          <w:szCs w:val="24"/>
        </w:rPr>
        <w:tab/>
        <w:t xml:space="preserve">Պայմանագրային հետազոտական կազմակերպությունները, որոնք ներգրավվում են կենսամատչելիության </w:t>
      </w:r>
      <w:r w:rsidR="00C54D75">
        <w:rPr>
          <w:rFonts w:ascii="Sylfaen" w:hAnsi="Sylfaen"/>
          <w:sz w:val="24"/>
          <w:szCs w:val="24"/>
        </w:rPr>
        <w:t>և</w:t>
      </w:r>
      <w:r w:rsidRPr="00834D52">
        <w:rPr>
          <w:rFonts w:ascii="Sylfaen" w:hAnsi="Sylfaen"/>
          <w:sz w:val="24"/>
          <w:szCs w:val="24"/>
        </w:rPr>
        <w:t xml:space="preserve"> (կամ) կենսահամարժեքության որոշման համար կլինիկական հետազոտություններին, կամ որոնք ներգրավվել են արյան պատրաստուկների արտադրական գործընթացների վալիդացմանը</w:t>
      </w:r>
    </w:p>
    <w:p w14:paraId="0A65B9AD"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lastRenderedPageBreak/>
        <w:t xml:space="preserve">Յուրաքանչյուր պայմանագրային հետազոտական կազմակերպության համար նշե՛ք, թե որտեղ են անցկացվել վերլուծական փորձարկումները </w:t>
      </w:r>
      <w:r w:rsidR="00C54D75">
        <w:rPr>
          <w:rFonts w:ascii="Sylfaen" w:hAnsi="Sylfaen"/>
          <w:sz w:val="24"/>
          <w:szCs w:val="24"/>
        </w:rPr>
        <w:t>և</w:t>
      </w:r>
      <w:r w:rsidRPr="00834D52">
        <w:rPr>
          <w:rFonts w:ascii="Sylfaen" w:hAnsi="Sylfaen"/>
          <w:sz w:val="24"/>
          <w:szCs w:val="24"/>
        </w:rPr>
        <w:t xml:space="preserve"> իրականացվել կլինիկական տվյալների հավաքագրումը, ինչպես նա</w:t>
      </w:r>
      <w:r w:rsidR="00C54D75">
        <w:rPr>
          <w:rFonts w:ascii="Sylfaen" w:hAnsi="Sylfaen"/>
          <w:sz w:val="24"/>
          <w:szCs w:val="24"/>
        </w:rPr>
        <w:t>և</w:t>
      </w:r>
      <w:r w:rsidRPr="00834D52">
        <w:rPr>
          <w:rFonts w:ascii="Sylfaen" w:hAnsi="Sylfaen"/>
          <w:sz w:val="24"/>
          <w:szCs w:val="24"/>
        </w:rPr>
        <w:t>՝</w:t>
      </w:r>
    </w:p>
    <w:tbl>
      <w:tblPr>
        <w:tblW w:w="10233" w:type="dxa"/>
        <w:jc w:val="center"/>
        <w:tblLayout w:type="fixed"/>
        <w:tblCellMar>
          <w:left w:w="0" w:type="dxa"/>
          <w:right w:w="0" w:type="dxa"/>
        </w:tblCellMar>
        <w:tblLook w:val="01E0" w:firstRow="1" w:lastRow="1" w:firstColumn="1" w:lastColumn="1" w:noHBand="0" w:noVBand="0"/>
      </w:tblPr>
      <w:tblGrid>
        <w:gridCol w:w="5420"/>
        <w:gridCol w:w="4813"/>
      </w:tblGrid>
      <w:tr w:rsidR="006F76EB" w:rsidRPr="00834D52" w14:paraId="377680C1" w14:textId="77777777" w:rsidTr="009B121E">
        <w:trPr>
          <w:trHeight w:val="455"/>
          <w:jc w:val="center"/>
        </w:trPr>
        <w:tc>
          <w:tcPr>
            <w:tcW w:w="5420" w:type="dxa"/>
            <w:tcBorders>
              <w:top w:val="single" w:sz="4" w:space="0" w:color="000000"/>
              <w:left w:val="single" w:sz="4" w:space="0" w:color="000000"/>
              <w:bottom w:val="single" w:sz="4" w:space="0" w:color="000000"/>
              <w:right w:val="single" w:sz="4" w:space="0" w:color="000000"/>
            </w:tcBorders>
          </w:tcPr>
          <w:p w14:paraId="7B90D0D3"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հետազոտության անվանումը</w:t>
            </w:r>
          </w:p>
        </w:tc>
        <w:tc>
          <w:tcPr>
            <w:tcW w:w="4813" w:type="dxa"/>
            <w:tcBorders>
              <w:top w:val="single" w:sz="4" w:space="0" w:color="000000"/>
              <w:left w:val="single" w:sz="4" w:space="0" w:color="000000"/>
              <w:bottom w:val="single" w:sz="4" w:space="0" w:color="000000"/>
              <w:right w:val="single" w:sz="4" w:space="0" w:color="000000"/>
            </w:tcBorders>
          </w:tcPr>
          <w:p w14:paraId="7DA82A95" w14:textId="77777777" w:rsidR="006F76EB" w:rsidRPr="00834D52" w:rsidRDefault="006F76EB" w:rsidP="00520390">
            <w:pPr>
              <w:spacing w:after="120" w:line="240" w:lineRule="auto"/>
              <w:ind w:right="-6"/>
              <w:rPr>
                <w:rFonts w:ascii="Sylfaen" w:hAnsi="Sylfaen"/>
                <w:sz w:val="24"/>
                <w:szCs w:val="24"/>
              </w:rPr>
            </w:pPr>
          </w:p>
        </w:tc>
      </w:tr>
      <w:tr w:rsidR="006F76EB" w:rsidRPr="00834D52" w14:paraId="2D6BC2C1" w14:textId="77777777" w:rsidTr="009B121E">
        <w:trPr>
          <w:trHeight w:val="438"/>
          <w:jc w:val="center"/>
        </w:trPr>
        <w:tc>
          <w:tcPr>
            <w:tcW w:w="5420" w:type="dxa"/>
            <w:tcBorders>
              <w:top w:val="single" w:sz="4" w:space="0" w:color="000000"/>
              <w:left w:val="single" w:sz="4" w:space="0" w:color="000000"/>
              <w:bottom w:val="single" w:sz="4" w:space="0" w:color="000000"/>
              <w:right w:val="single" w:sz="4" w:space="0" w:color="000000"/>
            </w:tcBorders>
          </w:tcPr>
          <w:p w14:paraId="583631DF"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արձանագրության ծածկագիրը</w:t>
            </w:r>
          </w:p>
        </w:tc>
        <w:tc>
          <w:tcPr>
            <w:tcW w:w="4813" w:type="dxa"/>
            <w:tcBorders>
              <w:top w:val="single" w:sz="4" w:space="0" w:color="000000"/>
              <w:left w:val="single" w:sz="4" w:space="0" w:color="000000"/>
              <w:bottom w:val="single" w:sz="4" w:space="0" w:color="000000"/>
              <w:right w:val="single" w:sz="4" w:space="0" w:color="000000"/>
            </w:tcBorders>
          </w:tcPr>
          <w:p w14:paraId="322415F9" w14:textId="77777777" w:rsidR="006F76EB" w:rsidRPr="00834D52" w:rsidRDefault="006F76EB" w:rsidP="00520390">
            <w:pPr>
              <w:spacing w:after="120" w:line="240" w:lineRule="auto"/>
              <w:ind w:right="-6"/>
              <w:rPr>
                <w:rFonts w:ascii="Sylfaen" w:hAnsi="Sylfaen"/>
                <w:sz w:val="24"/>
                <w:szCs w:val="24"/>
              </w:rPr>
            </w:pPr>
          </w:p>
        </w:tc>
      </w:tr>
      <w:tr w:rsidR="006F76EB" w:rsidRPr="00834D52" w14:paraId="17C3DCF9" w14:textId="77777777" w:rsidTr="009B121E">
        <w:trPr>
          <w:trHeight w:val="759"/>
          <w:jc w:val="center"/>
        </w:trPr>
        <w:tc>
          <w:tcPr>
            <w:tcW w:w="5420" w:type="dxa"/>
            <w:tcBorders>
              <w:top w:val="single" w:sz="4" w:space="0" w:color="000000"/>
              <w:left w:val="single" w:sz="4" w:space="0" w:color="000000"/>
              <w:bottom w:val="single" w:sz="4" w:space="0" w:color="000000"/>
              <w:right w:val="single" w:sz="4" w:space="0" w:color="000000"/>
            </w:tcBorders>
          </w:tcPr>
          <w:p w14:paraId="1A1B4307"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EudraCT-ի համարը</w:t>
            </w:r>
            <w:r w:rsidRPr="00834D52">
              <w:rPr>
                <w:rFonts w:ascii="Sylfaen" w:hAnsi="Sylfaen"/>
                <w:sz w:val="24"/>
                <w:szCs w:val="24"/>
              </w:rPr>
              <w:br/>
              <w:t>(առկայության դեպքում)</w:t>
            </w:r>
          </w:p>
        </w:tc>
        <w:tc>
          <w:tcPr>
            <w:tcW w:w="4813" w:type="dxa"/>
            <w:tcBorders>
              <w:top w:val="single" w:sz="4" w:space="0" w:color="000000"/>
              <w:left w:val="single" w:sz="4" w:space="0" w:color="000000"/>
              <w:bottom w:val="single" w:sz="4" w:space="0" w:color="000000"/>
              <w:right w:val="single" w:sz="4" w:space="0" w:color="000000"/>
            </w:tcBorders>
          </w:tcPr>
          <w:p w14:paraId="22E72003" w14:textId="77777777" w:rsidR="006F76EB" w:rsidRPr="00834D52" w:rsidRDefault="006F76EB" w:rsidP="00520390">
            <w:pPr>
              <w:spacing w:after="120" w:line="240" w:lineRule="auto"/>
              <w:ind w:right="-6"/>
              <w:rPr>
                <w:rFonts w:ascii="Sylfaen" w:hAnsi="Sylfaen"/>
                <w:sz w:val="24"/>
                <w:szCs w:val="24"/>
              </w:rPr>
            </w:pPr>
          </w:p>
        </w:tc>
      </w:tr>
      <w:tr w:rsidR="006F76EB" w:rsidRPr="00834D52" w14:paraId="0FC61110" w14:textId="77777777" w:rsidTr="009B121E">
        <w:trPr>
          <w:trHeight w:val="828"/>
          <w:jc w:val="center"/>
        </w:trPr>
        <w:tc>
          <w:tcPr>
            <w:tcW w:w="5420" w:type="dxa"/>
            <w:tcBorders>
              <w:top w:val="single" w:sz="4" w:space="0" w:color="000000"/>
              <w:left w:val="single" w:sz="4" w:space="0" w:color="000000"/>
              <w:bottom w:val="single" w:sz="4" w:space="0" w:color="000000"/>
              <w:right w:val="single" w:sz="4" w:space="0" w:color="000000"/>
            </w:tcBorders>
          </w:tcPr>
          <w:p w14:paraId="5000F3AE"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ClinicalTrials.gov-ի համարը</w:t>
            </w:r>
            <w:r w:rsidRPr="00834D52">
              <w:rPr>
                <w:rFonts w:ascii="Sylfaen" w:hAnsi="Sylfaen"/>
                <w:sz w:val="24"/>
                <w:szCs w:val="24"/>
              </w:rPr>
              <w:br/>
              <w:t>(առկայության դեպքում)</w:t>
            </w:r>
          </w:p>
        </w:tc>
        <w:tc>
          <w:tcPr>
            <w:tcW w:w="4813" w:type="dxa"/>
            <w:tcBorders>
              <w:top w:val="single" w:sz="4" w:space="0" w:color="000000"/>
              <w:left w:val="single" w:sz="4" w:space="0" w:color="000000"/>
              <w:bottom w:val="single" w:sz="4" w:space="0" w:color="000000"/>
              <w:right w:val="single" w:sz="4" w:space="0" w:color="000000"/>
            </w:tcBorders>
          </w:tcPr>
          <w:p w14:paraId="4F912F07" w14:textId="77777777" w:rsidR="006F76EB" w:rsidRPr="00834D52" w:rsidRDefault="006F76EB" w:rsidP="00520390">
            <w:pPr>
              <w:spacing w:after="120" w:line="240" w:lineRule="auto"/>
              <w:ind w:right="-6"/>
              <w:rPr>
                <w:rFonts w:ascii="Sylfaen" w:hAnsi="Sylfaen"/>
                <w:sz w:val="24"/>
                <w:szCs w:val="24"/>
              </w:rPr>
            </w:pPr>
          </w:p>
        </w:tc>
      </w:tr>
      <w:tr w:rsidR="006F76EB" w:rsidRPr="00834D52" w14:paraId="05D8AA98" w14:textId="77777777" w:rsidTr="009B121E">
        <w:trPr>
          <w:trHeight w:val="793"/>
          <w:jc w:val="center"/>
        </w:trPr>
        <w:tc>
          <w:tcPr>
            <w:tcW w:w="5420" w:type="dxa"/>
            <w:tcBorders>
              <w:top w:val="single" w:sz="4" w:space="0" w:color="000000"/>
              <w:left w:val="single" w:sz="4" w:space="0" w:color="000000"/>
              <w:bottom w:val="single" w:sz="4" w:space="0" w:color="000000"/>
              <w:right w:val="single" w:sz="4" w:space="0" w:color="000000"/>
            </w:tcBorders>
          </w:tcPr>
          <w:p w14:paraId="3C894D68"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պայմանագրային հետազոտական կազմակերպության անվանումը</w:t>
            </w:r>
          </w:p>
        </w:tc>
        <w:tc>
          <w:tcPr>
            <w:tcW w:w="4813" w:type="dxa"/>
            <w:tcBorders>
              <w:top w:val="single" w:sz="4" w:space="0" w:color="000000"/>
              <w:left w:val="single" w:sz="4" w:space="0" w:color="000000"/>
              <w:bottom w:val="single" w:sz="4" w:space="0" w:color="000000"/>
              <w:right w:val="single" w:sz="4" w:space="0" w:color="000000"/>
            </w:tcBorders>
          </w:tcPr>
          <w:p w14:paraId="7A6B6A44" w14:textId="77777777" w:rsidR="006F76EB" w:rsidRPr="00834D52" w:rsidRDefault="006F76EB" w:rsidP="00520390">
            <w:pPr>
              <w:spacing w:after="120" w:line="240" w:lineRule="auto"/>
              <w:ind w:right="-6"/>
              <w:rPr>
                <w:rFonts w:ascii="Sylfaen" w:hAnsi="Sylfaen"/>
                <w:sz w:val="24"/>
                <w:szCs w:val="24"/>
              </w:rPr>
            </w:pPr>
          </w:p>
        </w:tc>
      </w:tr>
      <w:tr w:rsidR="006F76EB" w:rsidRPr="00834D52" w14:paraId="264F33A0" w14:textId="77777777" w:rsidTr="009B121E">
        <w:trPr>
          <w:trHeight w:val="818"/>
          <w:jc w:val="center"/>
        </w:trPr>
        <w:tc>
          <w:tcPr>
            <w:tcW w:w="5420" w:type="dxa"/>
            <w:tcBorders>
              <w:top w:val="single" w:sz="4" w:space="0" w:color="000000"/>
              <w:left w:val="single" w:sz="4" w:space="0" w:color="000000"/>
              <w:bottom w:val="single" w:sz="4" w:space="0" w:color="000000"/>
              <w:right w:val="single" w:sz="4" w:space="0" w:color="000000"/>
            </w:tcBorders>
          </w:tcPr>
          <w:p w14:paraId="64152E4E"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պայմանագրային հետազոտական կազմակերպության հասցեն</w:t>
            </w:r>
          </w:p>
        </w:tc>
        <w:tc>
          <w:tcPr>
            <w:tcW w:w="4813" w:type="dxa"/>
            <w:tcBorders>
              <w:top w:val="single" w:sz="4" w:space="0" w:color="000000"/>
              <w:left w:val="single" w:sz="4" w:space="0" w:color="000000"/>
              <w:bottom w:val="single" w:sz="4" w:space="0" w:color="000000"/>
              <w:right w:val="single" w:sz="4" w:space="0" w:color="000000"/>
            </w:tcBorders>
          </w:tcPr>
          <w:p w14:paraId="1B9E632B" w14:textId="77777777" w:rsidR="006F76EB" w:rsidRPr="00834D52" w:rsidRDefault="006F76EB" w:rsidP="00520390">
            <w:pPr>
              <w:spacing w:after="120" w:line="240" w:lineRule="auto"/>
              <w:ind w:right="-6"/>
              <w:rPr>
                <w:rFonts w:ascii="Sylfaen" w:hAnsi="Sylfaen"/>
                <w:sz w:val="24"/>
                <w:szCs w:val="24"/>
              </w:rPr>
            </w:pPr>
          </w:p>
        </w:tc>
      </w:tr>
      <w:tr w:rsidR="006F76EB" w:rsidRPr="00834D52" w14:paraId="43E1AFC2" w14:textId="77777777" w:rsidTr="009B121E">
        <w:trPr>
          <w:trHeight w:val="828"/>
          <w:jc w:val="center"/>
        </w:trPr>
        <w:tc>
          <w:tcPr>
            <w:tcW w:w="5420" w:type="dxa"/>
            <w:tcBorders>
              <w:top w:val="single" w:sz="4" w:space="0" w:color="000000"/>
              <w:left w:val="single" w:sz="4" w:space="0" w:color="000000"/>
              <w:bottom w:val="single" w:sz="4" w:space="0" w:color="000000"/>
              <w:right w:val="single" w:sz="4" w:space="0" w:color="000000"/>
            </w:tcBorders>
          </w:tcPr>
          <w:p w14:paraId="477C5425"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813" w:type="dxa"/>
            <w:tcBorders>
              <w:top w:val="single" w:sz="4" w:space="0" w:color="000000"/>
              <w:left w:val="single" w:sz="4" w:space="0" w:color="000000"/>
              <w:bottom w:val="single" w:sz="4" w:space="0" w:color="000000"/>
              <w:right w:val="single" w:sz="4" w:space="0" w:color="000000"/>
            </w:tcBorders>
          </w:tcPr>
          <w:p w14:paraId="07B4F32D" w14:textId="77777777" w:rsidR="006F76EB" w:rsidRPr="00834D52" w:rsidRDefault="006F76EB" w:rsidP="00520390">
            <w:pPr>
              <w:spacing w:after="120" w:line="240" w:lineRule="auto"/>
              <w:ind w:right="-6"/>
              <w:rPr>
                <w:rFonts w:ascii="Sylfaen" w:hAnsi="Sylfaen"/>
                <w:sz w:val="24"/>
                <w:szCs w:val="24"/>
              </w:rPr>
            </w:pPr>
          </w:p>
        </w:tc>
      </w:tr>
      <w:tr w:rsidR="006F76EB" w:rsidRPr="00834D52" w14:paraId="2CD1C730" w14:textId="77777777" w:rsidTr="009B121E">
        <w:trPr>
          <w:trHeight w:val="786"/>
          <w:jc w:val="center"/>
        </w:trPr>
        <w:tc>
          <w:tcPr>
            <w:tcW w:w="5420" w:type="dxa"/>
            <w:tcBorders>
              <w:top w:val="single" w:sz="4" w:space="0" w:color="000000"/>
              <w:left w:val="single" w:sz="4" w:space="0" w:color="000000"/>
              <w:bottom w:val="single" w:sz="4" w:space="0" w:color="000000"/>
              <w:right w:val="single" w:sz="4" w:space="0" w:color="000000"/>
            </w:tcBorders>
          </w:tcPr>
          <w:p w14:paraId="442077F9" w14:textId="77777777" w:rsidR="006F76EB" w:rsidRPr="00834D52" w:rsidRDefault="006F76EB" w:rsidP="00520390">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813" w:type="dxa"/>
            <w:tcBorders>
              <w:top w:val="single" w:sz="4" w:space="0" w:color="000000"/>
              <w:left w:val="single" w:sz="4" w:space="0" w:color="000000"/>
              <w:bottom w:val="single" w:sz="4" w:space="0" w:color="000000"/>
              <w:right w:val="single" w:sz="4" w:space="0" w:color="000000"/>
            </w:tcBorders>
          </w:tcPr>
          <w:p w14:paraId="2CA764C6" w14:textId="77777777" w:rsidR="006F76EB" w:rsidRPr="00834D52" w:rsidRDefault="006F76EB" w:rsidP="00520390">
            <w:pPr>
              <w:spacing w:after="120" w:line="240" w:lineRule="auto"/>
              <w:ind w:right="-6"/>
              <w:rPr>
                <w:rFonts w:ascii="Sylfaen" w:hAnsi="Sylfaen"/>
                <w:sz w:val="24"/>
                <w:szCs w:val="24"/>
              </w:rPr>
            </w:pPr>
          </w:p>
        </w:tc>
      </w:tr>
    </w:tbl>
    <w:p w14:paraId="06D34C51" w14:textId="77777777" w:rsidR="006F76EB" w:rsidRPr="00834D52" w:rsidRDefault="006F76EB" w:rsidP="0052039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w:t>
      </w:r>
    </w:p>
    <w:p w14:paraId="732364AA" w14:textId="77777777" w:rsidR="006F76EB" w:rsidRPr="00834D52" w:rsidRDefault="006F76EB" w:rsidP="0052039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3.6.1.</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 (ԱԴԲ-ն </w:t>
      </w:r>
      <w:r w:rsidR="00C54D75">
        <w:rPr>
          <w:rFonts w:ascii="Sylfaen" w:hAnsi="Sylfaen"/>
          <w:sz w:val="24"/>
          <w:szCs w:val="24"/>
        </w:rPr>
        <w:t>և</w:t>
      </w:r>
      <w:r w:rsidRPr="00834D52">
        <w:rPr>
          <w:rFonts w:ascii="Sylfaen" w:hAnsi="Sylfaen"/>
          <w:sz w:val="24"/>
          <w:szCs w:val="24"/>
        </w:rPr>
        <w:t xml:space="preserve"> օժանդակ նյութերը)</w:t>
      </w:r>
    </w:p>
    <w:p w14:paraId="2FD9B22A" w14:textId="77777777" w:rsidR="00136617" w:rsidRDefault="006F76EB" w:rsidP="006F76EB">
      <w:pPr>
        <w:tabs>
          <w:tab w:val="left" w:pos="1418"/>
        </w:tabs>
        <w:spacing w:after="160" w:line="360" w:lineRule="auto"/>
        <w:ind w:right="-8" w:firstLine="567"/>
        <w:jc w:val="both"/>
        <w:rPr>
          <w:rFonts w:ascii="Sylfaen" w:hAnsi="Sylfaen"/>
          <w:sz w:val="24"/>
          <w:szCs w:val="24"/>
        </w:rPr>
      </w:pPr>
      <w:r w:rsidRPr="00834D52">
        <w:rPr>
          <w:rFonts w:ascii="Sylfaen" w:hAnsi="Sylfaen"/>
          <w:sz w:val="24"/>
          <w:szCs w:val="24"/>
        </w:rPr>
        <w:t>Անհրաժեշտ է նշել, թե որ միավորի հաշվով է բաղադրությունը (դոզավորված ձ</w:t>
      </w:r>
      <w:r w:rsidR="00C54D75">
        <w:rPr>
          <w:rFonts w:ascii="Sylfaen" w:hAnsi="Sylfaen"/>
          <w:sz w:val="24"/>
          <w:szCs w:val="24"/>
        </w:rPr>
        <w:t>և</w:t>
      </w:r>
      <w:r w:rsidRPr="00834D52">
        <w:rPr>
          <w:rFonts w:ascii="Sylfaen" w:hAnsi="Sylfaen"/>
          <w:sz w:val="24"/>
          <w:szCs w:val="24"/>
        </w:rPr>
        <w:t xml:space="preserve">ի միավորի, ծավալի միավորի, զանգվածի միավորի </w:t>
      </w:r>
      <w:r w:rsidR="00C54D75">
        <w:rPr>
          <w:rFonts w:ascii="Sylfaen" w:hAnsi="Sylfaen"/>
          <w:sz w:val="24"/>
          <w:szCs w:val="24"/>
        </w:rPr>
        <w:t>և</w:t>
      </w:r>
      <w:r w:rsidRPr="00834D52">
        <w:rPr>
          <w:rFonts w:ascii="Sylfaen" w:hAnsi="Sylfaen"/>
          <w:sz w:val="24"/>
          <w:szCs w:val="24"/>
        </w:rPr>
        <w:t xml:space="preserve"> այլն):</w:t>
      </w:r>
    </w:p>
    <w:p w14:paraId="4D94B805" w14:textId="77777777" w:rsidR="00136617" w:rsidRDefault="00136617">
      <w:pPr>
        <w:widowControl/>
        <w:rPr>
          <w:rFonts w:ascii="Sylfaen" w:hAnsi="Sylfaen"/>
          <w:sz w:val="24"/>
          <w:szCs w:val="24"/>
        </w:rPr>
      </w:pPr>
      <w:r>
        <w:rPr>
          <w:rFonts w:ascii="Sylfaen" w:hAnsi="Sylfaen"/>
          <w:sz w:val="24"/>
          <w:szCs w:val="24"/>
        </w:rPr>
        <w:br w:type="page"/>
      </w:r>
    </w:p>
    <w:p w14:paraId="5D646B96" w14:textId="77777777" w:rsidR="00520390"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lastRenderedPageBreak/>
        <w:t>ԱԴԲ-ն թվարկե՛ք օժանդակ նյութերից առանձին՝</w:t>
      </w:r>
    </w:p>
    <w:tbl>
      <w:tblPr>
        <w:tblW w:w="10395" w:type="dxa"/>
        <w:jc w:val="center"/>
        <w:tblLayout w:type="fixed"/>
        <w:tblCellMar>
          <w:left w:w="0" w:type="dxa"/>
          <w:right w:w="0" w:type="dxa"/>
        </w:tblCellMar>
        <w:tblLook w:val="01E0" w:firstRow="1" w:lastRow="1" w:firstColumn="1" w:lastColumn="1" w:noHBand="0" w:noVBand="0"/>
      </w:tblPr>
      <w:tblGrid>
        <w:gridCol w:w="706"/>
        <w:gridCol w:w="2973"/>
        <w:gridCol w:w="3419"/>
        <w:gridCol w:w="1340"/>
        <w:gridCol w:w="1957"/>
      </w:tblGrid>
      <w:tr w:rsidR="006F76EB" w:rsidRPr="00834D52" w14:paraId="65244D70" w14:textId="77777777" w:rsidTr="003A6399">
        <w:trPr>
          <w:trHeight w:val="1969"/>
          <w:jc w:val="center"/>
        </w:trPr>
        <w:tc>
          <w:tcPr>
            <w:tcW w:w="706" w:type="dxa"/>
            <w:tcBorders>
              <w:top w:val="single" w:sz="4" w:space="0" w:color="000000"/>
              <w:left w:val="single" w:sz="4" w:space="0" w:color="000000"/>
              <w:bottom w:val="single" w:sz="4" w:space="0" w:color="000000"/>
              <w:right w:val="single" w:sz="4" w:space="0" w:color="000000"/>
            </w:tcBorders>
          </w:tcPr>
          <w:p w14:paraId="7080362D"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973" w:type="dxa"/>
            <w:tcBorders>
              <w:top w:val="single" w:sz="4" w:space="0" w:color="000000"/>
              <w:left w:val="single" w:sz="4" w:space="0" w:color="000000"/>
              <w:bottom w:val="single" w:sz="4" w:space="0" w:color="000000"/>
              <w:right w:val="single" w:sz="4" w:space="0" w:color="000000"/>
            </w:tcBorders>
          </w:tcPr>
          <w:p w14:paraId="01AB50A4"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ԱԴԲ-ի անվանումը</w:t>
            </w:r>
            <w:r w:rsidRPr="00834D52">
              <w:rPr>
                <w:rStyle w:val="FootnoteReference"/>
                <w:rFonts w:ascii="Sylfaen" w:eastAsia="Times New Roman" w:hAnsi="Sylfaen" w:cs="Times New Roman"/>
                <w:sz w:val="24"/>
                <w:szCs w:val="24"/>
              </w:rPr>
              <w:sym w:font="Symbol" w:char="F02A"/>
            </w:r>
          </w:p>
        </w:tc>
        <w:tc>
          <w:tcPr>
            <w:tcW w:w="3419" w:type="dxa"/>
            <w:tcBorders>
              <w:top w:val="single" w:sz="4" w:space="0" w:color="000000"/>
              <w:left w:val="single" w:sz="4" w:space="0" w:color="000000"/>
              <w:bottom w:val="single" w:sz="4" w:space="0" w:color="000000"/>
              <w:right w:val="single" w:sz="4" w:space="0" w:color="000000"/>
            </w:tcBorders>
          </w:tcPr>
          <w:p w14:paraId="24415376"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footnoteReference w:customMarkFollows="1" w:id="11"/>
              <w:t xml:space="preserve">Քանակությունը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340" w:type="dxa"/>
            <w:tcBorders>
              <w:top w:val="single" w:sz="4" w:space="0" w:color="000000"/>
              <w:left w:val="single" w:sz="4" w:space="0" w:color="000000"/>
              <w:bottom w:val="single" w:sz="4" w:space="0" w:color="000000"/>
              <w:right w:val="single" w:sz="4" w:space="0" w:color="000000"/>
            </w:tcBorders>
          </w:tcPr>
          <w:p w14:paraId="792B8BF7"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1957" w:type="dxa"/>
            <w:tcBorders>
              <w:top w:val="single" w:sz="4" w:space="0" w:color="000000"/>
              <w:left w:val="single" w:sz="4" w:space="0" w:color="000000"/>
              <w:bottom w:val="single" w:sz="4" w:space="0" w:color="000000"/>
              <w:right w:val="single" w:sz="4" w:space="0" w:color="000000"/>
            </w:tcBorders>
          </w:tcPr>
          <w:p w14:paraId="16A5791F"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Հոդված (մենագրություն)</w:t>
            </w:r>
          </w:p>
        </w:tc>
      </w:tr>
      <w:tr w:rsidR="006F76EB" w:rsidRPr="00834D52" w14:paraId="1E662F17" w14:textId="77777777" w:rsidTr="003A6399">
        <w:trPr>
          <w:trHeight w:val="1993"/>
          <w:jc w:val="center"/>
        </w:trPr>
        <w:tc>
          <w:tcPr>
            <w:tcW w:w="706" w:type="dxa"/>
            <w:tcBorders>
              <w:top w:val="single" w:sz="4" w:space="0" w:color="000000"/>
              <w:left w:val="single" w:sz="4" w:space="0" w:color="000000"/>
              <w:bottom w:val="single" w:sz="4" w:space="0" w:color="000000"/>
              <w:right w:val="single" w:sz="4" w:space="0" w:color="000000"/>
            </w:tcBorders>
          </w:tcPr>
          <w:p w14:paraId="3CBB9DDA"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973" w:type="dxa"/>
            <w:tcBorders>
              <w:top w:val="single" w:sz="4" w:space="0" w:color="000000"/>
              <w:left w:val="single" w:sz="4" w:space="0" w:color="000000"/>
              <w:bottom w:val="single" w:sz="4" w:space="0" w:color="000000"/>
              <w:right w:val="single" w:sz="4" w:space="0" w:color="000000"/>
            </w:tcBorders>
          </w:tcPr>
          <w:p w14:paraId="04A377B6"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Օժանդակ նյութերի անվանումը</w:t>
            </w:r>
          </w:p>
        </w:tc>
        <w:tc>
          <w:tcPr>
            <w:tcW w:w="3419" w:type="dxa"/>
            <w:tcBorders>
              <w:top w:val="single" w:sz="4" w:space="0" w:color="000000"/>
              <w:left w:val="single" w:sz="4" w:space="0" w:color="000000"/>
              <w:bottom w:val="single" w:sz="4" w:space="0" w:color="000000"/>
              <w:right w:val="single" w:sz="4" w:space="0" w:color="000000"/>
            </w:tcBorders>
          </w:tcPr>
          <w:p w14:paraId="0E34277C"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Քանակությունը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340" w:type="dxa"/>
            <w:tcBorders>
              <w:top w:val="single" w:sz="4" w:space="0" w:color="000000"/>
              <w:left w:val="single" w:sz="4" w:space="0" w:color="000000"/>
              <w:bottom w:val="single" w:sz="4" w:space="0" w:color="000000"/>
              <w:right w:val="single" w:sz="4" w:space="0" w:color="000000"/>
            </w:tcBorders>
          </w:tcPr>
          <w:p w14:paraId="01DB7387"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1957" w:type="dxa"/>
            <w:tcBorders>
              <w:top w:val="single" w:sz="4" w:space="0" w:color="000000"/>
              <w:left w:val="single" w:sz="4" w:space="0" w:color="000000"/>
              <w:bottom w:val="single" w:sz="4" w:space="0" w:color="000000"/>
              <w:right w:val="single" w:sz="4" w:space="0" w:color="000000"/>
            </w:tcBorders>
          </w:tcPr>
          <w:p w14:paraId="5AEBAD5A" w14:textId="77777777" w:rsidR="006F76EB" w:rsidRPr="00834D52" w:rsidRDefault="006F76EB" w:rsidP="0052039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Հոդված (մենագրություն)</w:t>
            </w:r>
          </w:p>
        </w:tc>
      </w:tr>
    </w:tbl>
    <w:p w14:paraId="5129443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Ավելցուկների մասին տեղեկությունները չի թույլատրվում նշել բաղադրության մասին սյունակներում, դրանք պետք է շարադրել ստոր</w:t>
      </w:r>
      <w:r w:rsidR="00C54D75">
        <w:rPr>
          <w:rFonts w:ascii="Sylfaen" w:hAnsi="Sylfaen"/>
          <w:sz w:val="24"/>
          <w:szCs w:val="24"/>
        </w:rPr>
        <w:t>և</w:t>
      </w:r>
      <w:r w:rsidRPr="00834D52">
        <w:rPr>
          <w:rFonts w:ascii="Sylfaen" w:hAnsi="Sylfaen"/>
          <w:sz w:val="24"/>
          <w:szCs w:val="24"/>
        </w:rPr>
        <w:t>՝</w:t>
      </w:r>
    </w:p>
    <w:tbl>
      <w:tblPr>
        <w:tblW w:w="10325" w:type="dxa"/>
        <w:jc w:val="center"/>
        <w:tblLayout w:type="fixed"/>
        <w:tblCellMar>
          <w:left w:w="0" w:type="dxa"/>
          <w:right w:w="0" w:type="dxa"/>
        </w:tblCellMar>
        <w:tblLook w:val="01E0" w:firstRow="1" w:lastRow="1" w:firstColumn="1" w:lastColumn="1" w:noHBand="0" w:noVBand="0"/>
      </w:tblPr>
      <w:tblGrid>
        <w:gridCol w:w="5718"/>
        <w:gridCol w:w="4607"/>
      </w:tblGrid>
      <w:tr w:rsidR="006F76EB" w:rsidRPr="00834D52" w14:paraId="69405E94" w14:textId="77777777" w:rsidTr="004147B3">
        <w:trPr>
          <w:trHeight w:val="918"/>
          <w:jc w:val="center"/>
        </w:trPr>
        <w:tc>
          <w:tcPr>
            <w:tcW w:w="5718" w:type="dxa"/>
            <w:tcBorders>
              <w:top w:val="single" w:sz="4" w:space="0" w:color="000000"/>
              <w:left w:val="single" w:sz="4" w:space="0" w:color="000000"/>
              <w:bottom w:val="single" w:sz="4" w:space="0" w:color="000000"/>
              <w:right w:val="single" w:sz="4" w:space="0" w:color="000000"/>
            </w:tcBorders>
          </w:tcPr>
          <w:p w14:paraId="372B0165" w14:textId="77777777" w:rsidR="006F76EB" w:rsidRPr="00834D52" w:rsidRDefault="006F76EB" w:rsidP="00C623F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ակտիվ դեղաբանական բաղադրամասը</w:t>
            </w:r>
          </w:p>
        </w:tc>
        <w:tc>
          <w:tcPr>
            <w:tcW w:w="4607" w:type="dxa"/>
            <w:tcBorders>
              <w:top w:val="single" w:sz="4" w:space="0" w:color="000000"/>
              <w:left w:val="single" w:sz="4" w:space="0" w:color="000000"/>
              <w:bottom w:val="single" w:sz="4" w:space="0" w:color="000000"/>
              <w:right w:val="single" w:sz="4" w:space="0" w:color="000000"/>
            </w:tcBorders>
          </w:tcPr>
          <w:p w14:paraId="07E14C7F" w14:textId="77777777" w:rsidR="006F76EB" w:rsidRPr="00834D52" w:rsidRDefault="006F76EB" w:rsidP="00C623FA">
            <w:pPr>
              <w:spacing w:after="120" w:line="240" w:lineRule="auto"/>
              <w:ind w:right="-6"/>
              <w:rPr>
                <w:rFonts w:ascii="Sylfaen" w:hAnsi="Sylfaen"/>
                <w:sz w:val="24"/>
                <w:szCs w:val="24"/>
              </w:rPr>
            </w:pPr>
          </w:p>
        </w:tc>
      </w:tr>
      <w:tr w:rsidR="006F76EB" w:rsidRPr="00834D52" w14:paraId="6E01BC85" w14:textId="77777777" w:rsidTr="004147B3">
        <w:trPr>
          <w:trHeight w:val="954"/>
          <w:jc w:val="center"/>
        </w:trPr>
        <w:tc>
          <w:tcPr>
            <w:tcW w:w="5718" w:type="dxa"/>
            <w:tcBorders>
              <w:top w:val="single" w:sz="4" w:space="0" w:color="000000"/>
              <w:left w:val="single" w:sz="4" w:space="0" w:color="000000"/>
              <w:bottom w:val="single" w:sz="4" w:space="0" w:color="000000"/>
              <w:right w:val="single" w:sz="4" w:space="0" w:color="000000"/>
            </w:tcBorders>
          </w:tcPr>
          <w:p w14:paraId="657947AD" w14:textId="77777777" w:rsidR="006F76EB" w:rsidRPr="00834D52" w:rsidRDefault="006F76EB" w:rsidP="00C623FA">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օժանդակ նյութ(եր)ը</w:t>
            </w:r>
          </w:p>
        </w:tc>
        <w:tc>
          <w:tcPr>
            <w:tcW w:w="4607" w:type="dxa"/>
            <w:tcBorders>
              <w:top w:val="single" w:sz="4" w:space="0" w:color="000000"/>
              <w:left w:val="single" w:sz="4" w:space="0" w:color="000000"/>
              <w:bottom w:val="single" w:sz="4" w:space="0" w:color="000000"/>
              <w:right w:val="single" w:sz="4" w:space="0" w:color="000000"/>
            </w:tcBorders>
          </w:tcPr>
          <w:p w14:paraId="78BFB7F9" w14:textId="77777777" w:rsidR="006F76EB" w:rsidRPr="00834D52" w:rsidRDefault="006F76EB" w:rsidP="00C623FA">
            <w:pPr>
              <w:spacing w:after="120" w:line="240" w:lineRule="auto"/>
              <w:ind w:right="-6"/>
              <w:rPr>
                <w:rFonts w:ascii="Sylfaen" w:hAnsi="Sylfaen"/>
                <w:sz w:val="24"/>
                <w:szCs w:val="24"/>
              </w:rPr>
            </w:pPr>
          </w:p>
        </w:tc>
      </w:tr>
    </w:tbl>
    <w:p w14:paraId="53AA3E44" w14:textId="77777777" w:rsidR="006F76EB" w:rsidRPr="00834D52" w:rsidRDefault="006F76EB" w:rsidP="00C623F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3.6.2.</w:t>
      </w:r>
      <w:r w:rsidRPr="00834D52">
        <w:rPr>
          <w:rFonts w:ascii="Sylfaen" w:hAnsi="Sylfaen"/>
          <w:sz w:val="24"/>
          <w:szCs w:val="24"/>
        </w:rPr>
        <w:tab/>
        <w:t xml:space="preserve">Դեղապատրաստուկի բաղադրության մաս կազմող կամ դրա արտադրության գործընթացում կիրառվող կենդանական </w:t>
      </w:r>
      <w:r w:rsidR="00C54D75">
        <w:rPr>
          <w:rFonts w:ascii="Sylfaen" w:hAnsi="Sylfaen"/>
          <w:sz w:val="24"/>
          <w:szCs w:val="24"/>
        </w:rPr>
        <w:t>և</w:t>
      </w:r>
      <w:r w:rsidRPr="00834D52">
        <w:rPr>
          <w:rFonts w:ascii="Sylfaen" w:hAnsi="Sylfaen"/>
          <w:sz w:val="24"/>
          <w:szCs w:val="24"/>
        </w:rPr>
        <w:t xml:space="preserve"> (կամ) մարդկային ծագման նյութերի ցանկը</w:t>
      </w:r>
    </w:p>
    <w:p w14:paraId="45238B99" w14:textId="77777777" w:rsidR="003A6399" w:rsidRDefault="00157FD9" w:rsidP="006F76EB">
      <w:pPr>
        <w:spacing w:after="160" w:line="360" w:lineRule="auto"/>
        <w:ind w:right="-8"/>
        <w:jc w:val="center"/>
        <w:rPr>
          <w:rFonts w:ascii="Sylfaen" w:hAnsi="Sylfaen"/>
          <w:sz w:val="24"/>
          <w:szCs w:val="24"/>
        </w:rPr>
      </w:pPr>
      <w:r>
        <w:rPr>
          <w:rFonts w:ascii="Sylfaen" w:eastAsia="Times New Roman" w:hAnsi="Sylfaen" w:cs="Times New Roman"/>
          <w:noProof/>
          <w:sz w:val="24"/>
          <w:szCs w:val="24"/>
        </w:rPr>
        <w:pict w14:anchorId="2FBD942F">
          <v:rect id="_x0000_s1128" style="position:absolute;left:0;text-align:left;margin-left:166.1pt;margin-top:2.75pt;width:12.75pt;height:12pt;z-index:251680256"/>
        </w:pict>
      </w:r>
      <w:r w:rsidR="006F76EB" w:rsidRPr="00834D52">
        <w:rPr>
          <w:rFonts w:ascii="Sylfaen" w:hAnsi="Sylfaen"/>
          <w:sz w:val="24"/>
          <w:szCs w:val="24"/>
        </w:rPr>
        <w:t>բացակայում են</w:t>
      </w:r>
    </w:p>
    <w:p w14:paraId="7FAF3EB3" w14:textId="77777777" w:rsidR="003A6399" w:rsidRDefault="003A6399">
      <w:pPr>
        <w:widowControl/>
        <w:rPr>
          <w:rFonts w:ascii="Sylfaen" w:hAnsi="Sylfaen"/>
          <w:sz w:val="24"/>
          <w:szCs w:val="24"/>
        </w:rPr>
      </w:pPr>
      <w:r>
        <w:rPr>
          <w:rFonts w:ascii="Sylfaen" w:hAnsi="Sylfaen"/>
          <w:sz w:val="24"/>
          <w:szCs w:val="24"/>
        </w:rPr>
        <w:br w:type="page"/>
      </w:r>
    </w:p>
    <w:p w14:paraId="01055C3B"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p>
    <w:tbl>
      <w:tblPr>
        <w:tblW w:w="10366" w:type="dxa"/>
        <w:jc w:val="center"/>
        <w:tblLayout w:type="fixed"/>
        <w:tblCellMar>
          <w:left w:w="0" w:type="dxa"/>
          <w:right w:w="0" w:type="dxa"/>
        </w:tblCellMar>
        <w:tblLook w:val="01E0" w:firstRow="1" w:lastRow="1" w:firstColumn="1" w:lastColumn="1" w:noHBand="0" w:noVBand="0"/>
      </w:tblPr>
      <w:tblGrid>
        <w:gridCol w:w="1225"/>
        <w:gridCol w:w="723"/>
        <w:gridCol w:w="722"/>
        <w:gridCol w:w="579"/>
        <w:gridCol w:w="1776"/>
        <w:gridCol w:w="1225"/>
        <w:gridCol w:w="1308"/>
        <w:gridCol w:w="2808"/>
      </w:tblGrid>
      <w:tr w:rsidR="006F76EB" w:rsidRPr="00834D52" w14:paraId="521230C8" w14:textId="77777777" w:rsidTr="00BE0DB5">
        <w:trPr>
          <w:trHeight w:val="1960"/>
          <w:jc w:val="center"/>
        </w:trPr>
        <w:tc>
          <w:tcPr>
            <w:tcW w:w="1225" w:type="dxa"/>
            <w:tcBorders>
              <w:top w:val="single" w:sz="4" w:space="0" w:color="000000"/>
              <w:left w:val="single" w:sz="4" w:space="0" w:color="000000"/>
              <w:bottom w:val="single" w:sz="4" w:space="0" w:color="000000"/>
              <w:right w:val="single" w:sz="4" w:space="0" w:color="000000"/>
            </w:tcBorders>
          </w:tcPr>
          <w:p w14:paraId="45AFF902" w14:textId="77777777" w:rsidR="006F76EB" w:rsidRPr="00834D52" w:rsidRDefault="006F76EB" w:rsidP="00C623F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Անվանումը</w:t>
            </w:r>
          </w:p>
        </w:tc>
        <w:tc>
          <w:tcPr>
            <w:tcW w:w="2024" w:type="dxa"/>
            <w:gridSpan w:val="3"/>
            <w:tcBorders>
              <w:top w:val="single" w:sz="4" w:space="0" w:color="000000"/>
              <w:left w:val="single" w:sz="4" w:space="0" w:color="000000"/>
              <w:bottom w:val="single" w:sz="4" w:space="0" w:color="000000"/>
              <w:right w:val="single" w:sz="4" w:space="0" w:color="000000"/>
            </w:tcBorders>
          </w:tcPr>
          <w:p w14:paraId="0AF096B3" w14:textId="77777777" w:rsidR="006F76EB" w:rsidRPr="00834D52" w:rsidRDefault="006F76EB" w:rsidP="00C623FA">
            <w:pPr>
              <w:spacing w:after="120" w:line="240" w:lineRule="auto"/>
              <w:ind w:left="142" w:right="-6"/>
              <w:jc w:val="center"/>
              <w:rPr>
                <w:rFonts w:ascii="Sylfaen" w:eastAsia="Times New Roman" w:hAnsi="Sylfaen" w:cs="Times New Roman"/>
                <w:sz w:val="20"/>
                <w:szCs w:val="20"/>
              </w:rPr>
            </w:pPr>
            <w:r w:rsidRPr="00834D52">
              <w:rPr>
                <w:rFonts w:ascii="Sylfaen" w:hAnsi="Sylfaen"/>
                <w:sz w:val="20"/>
                <w:szCs w:val="20"/>
              </w:rPr>
              <w:t>Գործառույթը</w:t>
            </w:r>
          </w:p>
        </w:tc>
        <w:tc>
          <w:tcPr>
            <w:tcW w:w="1776" w:type="dxa"/>
            <w:tcBorders>
              <w:top w:val="single" w:sz="4" w:space="0" w:color="000000"/>
              <w:left w:val="single" w:sz="4" w:space="0" w:color="000000"/>
              <w:bottom w:val="single" w:sz="4" w:space="0" w:color="000000"/>
              <w:right w:val="single" w:sz="4" w:space="0" w:color="000000"/>
            </w:tcBorders>
          </w:tcPr>
          <w:p w14:paraId="4AD20F38" w14:textId="77777777" w:rsidR="006F76EB" w:rsidRPr="00834D52" w:rsidRDefault="006F76EB" w:rsidP="00D7038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ՏՍԷ-ի նկատմամբ զգայուն կենդանիներից</w:t>
            </w:r>
          </w:p>
        </w:tc>
        <w:tc>
          <w:tcPr>
            <w:tcW w:w="1225" w:type="dxa"/>
            <w:tcBorders>
              <w:top w:val="single" w:sz="4" w:space="0" w:color="000000"/>
              <w:left w:val="single" w:sz="4" w:space="0" w:color="000000"/>
              <w:bottom w:val="single" w:sz="4" w:space="0" w:color="000000"/>
              <w:right w:val="single" w:sz="4" w:space="0" w:color="000000"/>
            </w:tcBorders>
          </w:tcPr>
          <w:p w14:paraId="779EA80A" w14:textId="77777777" w:rsidR="006F76EB" w:rsidRPr="00834D52" w:rsidRDefault="006F76EB" w:rsidP="00C623F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Այլ կենդանիներ</w:t>
            </w:r>
          </w:p>
        </w:tc>
        <w:tc>
          <w:tcPr>
            <w:tcW w:w="1308" w:type="dxa"/>
            <w:tcBorders>
              <w:top w:val="single" w:sz="4" w:space="0" w:color="000000"/>
              <w:left w:val="single" w:sz="4" w:space="0" w:color="000000"/>
              <w:bottom w:val="single" w:sz="4" w:space="0" w:color="000000"/>
              <w:right w:val="single" w:sz="4" w:space="0" w:color="000000"/>
            </w:tcBorders>
          </w:tcPr>
          <w:p w14:paraId="1CA17987" w14:textId="77777777" w:rsidR="006F76EB" w:rsidRPr="00834D52" w:rsidRDefault="006F76EB" w:rsidP="00C623F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Մարդկային ծագման</w:t>
            </w:r>
          </w:p>
        </w:tc>
        <w:tc>
          <w:tcPr>
            <w:tcW w:w="2808" w:type="dxa"/>
            <w:tcBorders>
              <w:top w:val="single" w:sz="4" w:space="0" w:color="000000"/>
              <w:left w:val="single" w:sz="4" w:space="0" w:color="000000"/>
              <w:bottom w:val="single" w:sz="4" w:space="0" w:color="000000"/>
              <w:right w:val="single" w:sz="4" w:space="0" w:color="000000"/>
            </w:tcBorders>
          </w:tcPr>
          <w:p w14:paraId="79BFE71D" w14:textId="77777777" w:rsidR="006F76EB" w:rsidRPr="00834D52" w:rsidRDefault="006F76EB" w:rsidP="00C623F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ՏՍԷ</w:t>
            </w:r>
            <w:r w:rsidRPr="00834D52">
              <w:rPr>
                <w:rFonts w:ascii="Sylfaen" w:hAnsi="Sylfaen"/>
                <w:sz w:val="20"/>
                <w:szCs w:val="20"/>
                <w:vertAlign w:val="superscript"/>
              </w:rPr>
              <w:t>3</w:t>
            </w:r>
            <w:r w:rsidRPr="00834D52">
              <w:rPr>
                <w:rFonts w:ascii="Sylfaen" w:hAnsi="Sylfaen"/>
                <w:sz w:val="20"/>
                <w:szCs w:val="20"/>
              </w:rPr>
              <w:t>-ի վերաբերյալ Եվրոպական դեղագրքերի համապատասխանության սերտիֆիկատ (նշե՛ք համարը)</w:t>
            </w:r>
          </w:p>
        </w:tc>
      </w:tr>
      <w:tr w:rsidR="006F76EB" w:rsidRPr="00834D52" w14:paraId="69885BF9" w14:textId="77777777" w:rsidTr="00BE0DB5">
        <w:trPr>
          <w:trHeight w:val="507"/>
          <w:jc w:val="center"/>
        </w:trPr>
        <w:tc>
          <w:tcPr>
            <w:tcW w:w="1225" w:type="dxa"/>
            <w:tcBorders>
              <w:top w:val="single" w:sz="4" w:space="0" w:color="000000"/>
              <w:left w:val="single" w:sz="4" w:space="0" w:color="000000"/>
              <w:bottom w:val="single" w:sz="4" w:space="0" w:color="000000"/>
              <w:right w:val="single" w:sz="4" w:space="0" w:color="000000"/>
            </w:tcBorders>
          </w:tcPr>
          <w:p w14:paraId="1EE63C34" w14:textId="77777777" w:rsidR="006F76EB" w:rsidRPr="00834D52" w:rsidRDefault="006F76EB" w:rsidP="00C623FA">
            <w:pPr>
              <w:spacing w:after="120" w:line="240" w:lineRule="auto"/>
              <w:ind w:right="-6"/>
              <w:rPr>
                <w:rFonts w:ascii="Sylfaen" w:hAnsi="Sylfaen"/>
                <w:sz w:val="20"/>
                <w:szCs w:val="20"/>
              </w:rPr>
            </w:pPr>
          </w:p>
        </w:tc>
        <w:tc>
          <w:tcPr>
            <w:tcW w:w="723" w:type="dxa"/>
            <w:tcBorders>
              <w:top w:val="single" w:sz="4" w:space="0" w:color="000000"/>
              <w:left w:val="single" w:sz="4" w:space="0" w:color="000000"/>
              <w:bottom w:val="single" w:sz="4" w:space="0" w:color="000000"/>
              <w:right w:val="single" w:sz="4" w:space="0" w:color="000000"/>
            </w:tcBorders>
          </w:tcPr>
          <w:p w14:paraId="01A05EAD" w14:textId="77777777" w:rsidR="006F76EB" w:rsidRPr="00834D52" w:rsidRDefault="006F76EB" w:rsidP="00C623FA">
            <w:pPr>
              <w:spacing w:after="120" w:line="240" w:lineRule="auto"/>
              <w:ind w:right="-6"/>
              <w:rPr>
                <w:rFonts w:ascii="Sylfaen" w:eastAsia="Times New Roman" w:hAnsi="Sylfaen" w:cs="Times New Roman"/>
                <w:sz w:val="20"/>
                <w:szCs w:val="20"/>
              </w:rPr>
            </w:pPr>
            <w:r w:rsidRPr="00834D52">
              <w:rPr>
                <w:rFonts w:ascii="Sylfaen" w:hAnsi="Sylfaen"/>
                <w:sz w:val="20"/>
                <w:szCs w:val="20"/>
              </w:rPr>
              <w:t>ԱԴԲ</w:t>
            </w:r>
          </w:p>
        </w:tc>
        <w:tc>
          <w:tcPr>
            <w:tcW w:w="722" w:type="dxa"/>
            <w:tcBorders>
              <w:top w:val="single" w:sz="4" w:space="0" w:color="000000"/>
              <w:left w:val="single" w:sz="4" w:space="0" w:color="000000"/>
              <w:bottom w:val="single" w:sz="4" w:space="0" w:color="000000"/>
              <w:right w:val="single" w:sz="4" w:space="0" w:color="000000"/>
            </w:tcBorders>
          </w:tcPr>
          <w:p w14:paraId="005CC6C7" w14:textId="77777777" w:rsidR="006F76EB" w:rsidRPr="002C3F55" w:rsidRDefault="006F76EB" w:rsidP="002C3F55">
            <w:pPr>
              <w:spacing w:after="120" w:line="240" w:lineRule="auto"/>
              <w:ind w:right="-6"/>
              <w:rPr>
                <w:rFonts w:ascii="Sylfaen" w:eastAsia="Times New Roman" w:hAnsi="Sylfaen" w:cs="Times New Roman"/>
                <w:sz w:val="20"/>
                <w:szCs w:val="20"/>
                <w:lang w:val="en-US"/>
              </w:rPr>
            </w:pPr>
            <w:r w:rsidRPr="00834D52">
              <w:rPr>
                <w:rFonts w:ascii="Sylfaen" w:hAnsi="Sylfaen"/>
                <w:sz w:val="20"/>
                <w:szCs w:val="20"/>
              </w:rPr>
              <w:t>ՕՆ</w:t>
            </w:r>
            <w:r w:rsidR="002C3F55">
              <w:rPr>
                <w:rStyle w:val="FootnoteReference"/>
                <w:rFonts w:ascii="Sylfaen" w:hAnsi="Sylfaen"/>
                <w:sz w:val="20"/>
                <w:szCs w:val="20"/>
              </w:rPr>
              <w:footnoteReference w:id="12"/>
            </w:r>
          </w:p>
        </w:tc>
        <w:tc>
          <w:tcPr>
            <w:tcW w:w="579" w:type="dxa"/>
            <w:tcBorders>
              <w:top w:val="single" w:sz="4" w:space="0" w:color="000000"/>
              <w:left w:val="single" w:sz="4" w:space="0" w:color="000000"/>
              <w:bottom w:val="single" w:sz="4" w:space="0" w:color="000000"/>
              <w:right w:val="single" w:sz="4" w:space="0" w:color="000000"/>
            </w:tcBorders>
          </w:tcPr>
          <w:p w14:paraId="02426F0E" w14:textId="77777777" w:rsidR="006F76EB" w:rsidRPr="002C3F55" w:rsidRDefault="006F76EB" w:rsidP="002C3F55">
            <w:pPr>
              <w:spacing w:after="120" w:line="240" w:lineRule="auto"/>
              <w:ind w:right="-6"/>
              <w:rPr>
                <w:rFonts w:ascii="Sylfaen" w:eastAsia="Times New Roman" w:hAnsi="Sylfaen" w:cs="Times New Roman"/>
                <w:sz w:val="20"/>
                <w:szCs w:val="20"/>
                <w:lang w:val="en-US"/>
              </w:rPr>
            </w:pPr>
            <w:r w:rsidRPr="00834D52">
              <w:rPr>
                <w:rFonts w:ascii="Sylfaen" w:hAnsi="Sylfaen"/>
                <w:sz w:val="20"/>
                <w:szCs w:val="20"/>
              </w:rPr>
              <w:t>Ռ</w:t>
            </w:r>
            <w:r w:rsidR="002C3F55">
              <w:rPr>
                <w:rStyle w:val="FootnoteReference"/>
                <w:rFonts w:ascii="Sylfaen" w:hAnsi="Sylfaen"/>
                <w:sz w:val="20"/>
                <w:szCs w:val="20"/>
              </w:rPr>
              <w:footnoteReference w:id="13"/>
            </w:r>
          </w:p>
        </w:tc>
        <w:tc>
          <w:tcPr>
            <w:tcW w:w="1776" w:type="dxa"/>
            <w:tcBorders>
              <w:top w:val="single" w:sz="4" w:space="0" w:color="000000"/>
              <w:left w:val="single" w:sz="4" w:space="0" w:color="000000"/>
              <w:bottom w:val="single" w:sz="4" w:space="0" w:color="000000"/>
              <w:right w:val="single" w:sz="4" w:space="0" w:color="000000"/>
            </w:tcBorders>
          </w:tcPr>
          <w:p w14:paraId="49AB11E3" w14:textId="77777777" w:rsidR="006F76EB" w:rsidRPr="00834D52" w:rsidRDefault="006F76EB" w:rsidP="00C623FA">
            <w:pPr>
              <w:spacing w:after="120" w:line="240" w:lineRule="auto"/>
              <w:ind w:right="-6"/>
              <w:rPr>
                <w:rFonts w:ascii="Sylfaen" w:hAnsi="Sylfaen"/>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42D9FC78" w14:textId="77777777" w:rsidR="006F76EB" w:rsidRPr="00834D52" w:rsidRDefault="006F76EB" w:rsidP="00C623FA">
            <w:pPr>
              <w:spacing w:after="120" w:line="240" w:lineRule="auto"/>
              <w:ind w:right="-6"/>
              <w:rPr>
                <w:rFonts w:ascii="Sylfaen" w:hAnsi="Sylfaen"/>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FB75A9D" w14:textId="77777777" w:rsidR="006F76EB" w:rsidRPr="00834D52" w:rsidRDefault="006F76EB" w:rsidP="00C623FA">
            <w:pPr>
              <w:spacing w:after="120" w:line="240" w:lineRule="auto"/>
              <w:ind w:right="-6"/>
              <w:rPr>
                <w:rFonts w:ascii="Sylfaen" w:hAnsi="Sylfaen"/>
                <w:sz w:val="20"/>
                <w:szCs w:val="20"/>
              </w:rPr>
            </w:pPr>
          </w:p>
        </w:tc>
        <w:tc>
          <w:tcPr>
            <w:tcW w:w="2808" w:type="dxa"/>
            <w:tcBorders>
              <w:top w:val="single" w:sz="4" w:space="0" w:color="000000"/>
              <w:left w:val="single" w:sz="4" w:space="0" w:color="000000"/>
              <w:bottom w:val="single" w:sz="4" w:space="0" w:color="000000"/>
              <w:right w:val="single" w:sz="4" w:space="0" w:color="000000"/>
            </w:tcBorders>
          </w:tcPr>
          <w:p w14:paraId="781C1CC3" w14:textId="77777777" w:rsidR="006F76EB" w:rsidRPr="00834D52" w:rsidRDefault="006F76EB" w:rsidP="00C623FA">
            <w:pPr>
              <w:spacing w:after="120" w:line="240" w:lineRule="auto"/>
              <w:ind w:right="-6"/>
              <w:rPr>
                <w:rFonts w:ascii="Sylfaen" w:hAnsi="Sylfaen"/>
                <w:sz w:val="20"/>
                <w:szCs w:val="20"/>
              </w:rPr>
            </w:pPr>
          </w:p>
        </w:tc>
      </w:tr>
      <w:tr w:rsidR="006F76EB" w:rsidRPr="00834D52" w14:paraId="024838FE" w14:textId="77777777" w:rsidTr="00BE0DB5">
        <w:trPr>
          <w:trHeight w:val="530"/>
          <w:jc w:val="center"/>
        </w:trPr>
        <w:tc>
          <w:tcPr>
            <w:tcW w:w="1225" w:type="dxa"/>
            <w:tcBorders>
              <w:top w:val="single" w:sz="4" w:space="0" w:color="000000"/>
              <w:left w:val="single" w:sz="4" w:space="0" w:color="000000"/>
              <w:bottom w:val="single" w:sz="4" w:space="0" w:color="000000"/>
              <w:right w:val="single" w:sz="4" w:space="0" w:color="000000"/>
            </w:tcBorders>
          </w:tcPr>
          <w:p w14:paraId="2F3D5878" w14:textId="77777777" w:rsidR="006F76EB" w:rsidRPr="00834D52" w:rsidRDefault="006F76EB" w:rsidP="00C623FA">
            <w:pPr>
              <w:spacing w:after="120" w:line="240" w:lineRule="auto"/>
              <w:ind w:right="-6"/>
              <w:rPr>
                <w:rFonts w:ascii="Sylfaen" w:eastAsia="Times New Roman" w:hAnsi="Sylfaen" w:cs="Times New Roman"/>
                <w:sz w:val="20"/>
                <w:szCs w:val="20"/>
              </w:rPr>
            </w:pPr>
            <w:r w:rsidRPr="00834D52">
              <w:rPr>
                <w:rFonts w:ascii="Sylfaen" w:hAnsi="Sylfaen"/>
                <w:sz w:val="20"/>
                <w:szCs w:val="20"/>
              </w:rPr>
              <w:t>1</w:t>
            </w:r>
          </w:p>
        </w:tc>
        <w:tc>
          <w:tcPr>
            <w:tcW w:w="723" w:type="dxa"/>
            <w:tcBorders>
              <w:top w:val="single" w:sz="4" w:space="0" w:color="000000"/>
              <w:left w:val="single" w:sz="4" w:space="0" w:color="000000"/>
              <w:bottom w:val="single" w:sz="4" w:space="0" w:color="000000"/>
              <w:right w:val="single" w:sz="4" w:space="0" w:color="000000"/>
            </w:tcBorders>
          </w:tcPr>
          <w:p w14:paraId="5F77B47B" w14:textId="77777777" w:rsidR="006F76EB" w:rsidRPr="00834D52" w:rsidRDefault="006F76EB" w:rsidP="00C623FA">
            <w:pPr>
              <w:spacing w:after="120" w:line="240" w:lineRule="auto"/>
              <w:ind w:right="-6"/>
              <w:rPr>
                <w:rFonts w:ascii="Sylfaen" w:hAnsi="Sylfaen"/>
                <w:sz w:val="20"/>
                <w:szCs w:val="20"/>
              </w:rPr>
            </w:pPr>
          </w:p>
        </w:tc>
        <w:tc>
          <w:tcPr>
            <w:tcW w:w="722" w:type="dxa"/>
            <w:tcBorders>
              <w:top w:val="single" w:sz="4" w:space="0" w:color="000000"/>
              <w:left w:val="single" w:sz="4" w:space="0" w:color="000000"/>
              <w:bottom w:val="single" w:sz="4" w:space="0" w:color="000000"/>
              <w:right w:val="single" w:sz="4" w:space="0" w:color="000000"/>
            </w:tcBorders>
          </w:tcPr>
          <w:p w14:paraId="0E53B811" w14:textId="77777777" w:rsidR="006F76EB" w:rsidRPr="00834D52" w:rsidRDefault="006F76EB" w:rsidP="00C623FA">
            <w:pPr>
              <w:spacing w:after="120" w:line="240" w:lineRule="auto"/>
              <w:ind w:right="-6"/>
              <w:rPr>
                <w:rFonts w:ascii="Sylfaen" w:hAnsi="Sylfae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3CC90E70" w14:textId="77777777" w:rsidR="006F76EB" w:rsidRPr="00834D52" w:rsidRDefault="006F76EB" w:rsidP="00C623FA">
            <w:pPr>
              <w:spacing w:after="120" w:line="240" w:lineRule="auto"/>
              <w:ind w:right="-6"/>
              <w:rPr>
                <w:rFonts w:ascii="Sylfaen" w:hAnsi="Sylfaen"/>
                <w:sz w:val="20"/>
                <w:szCs w:val="20"/>
              </w:rPr>
            </w:pPr>
          </w:p>
        </w:tc>
        <w:tc>
          <w:tcPr>
            <w:tcW w:w="1776" w:type="dxa"/>
            <w:tcBorders>
              <w:top w:val="single" w:sz="4" w:space="0" w:color="000000"/>
              <w:left w:val="single" w:sz="4" w:space="0" w:color="000000"/>
              <w:bottom w:val="single" w:sz="4" w:space="0" w:color="000000"/>
              <w:right w:val="single" w:sz="4" w:space="0" w:color="000000"/>
            </w:tcBorders>
          </w:tcPr>
          <w:p w14:paraId="083BA340" w14:textId="77777777" w:rsidR="006F76EB" w:rsidRPr="00834D52" w:rsidRDefault="006F76EB" w:rsidP="00C623FA">
            <w:pPr>
              <w:spacing w:after="120" w:line="240" w:lineRule="auto"/>
              <w:ind w:right="-6"/>
              <w:rPr>
                <w:rFonts w:ascii="Sylfaen" w:hAnsi="Sylfaen"/>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72F28971" w14:textId="77777777" w:rsidR="006F76EB" w:rsidRPr="00834D52" w:rsidRDefault="006F76EB" w:rsidP="00C623FA">
            <w:pPr>
              <w:spacing w:after="120" w:line="240" w:lineRule="auto"/>
              <w:ind w:right="-6"/>
              <w:rPr>
                <w:rFonts w:ascii="Sylfaen" w:hAnsi="Sylfaen"/>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5D8FA0EC" w14:textId="77777777" w:rsidR="006F76EB" w:rsidRPr="00834D52" w:rsidRDefault="006F76EB" w:rsidP="00C623FA">
            <w:pPr>
              <w:spacing w:after="120" w:line="240" w:lineRule="auto"/>
              <w:ind w:right="-6"/>
              <w:rPr>
                <w:rFonts w:ascii="Sylfaen" w:hAnsi="Sylfaen"/>
                <w:sz w:val="20"/>
                <w:szCs w:val="20"/>
              </w:rPr>
            </w:pPr>
          </w:p>
        </w:tc>
        <w:tc>
          <w:tcPr>
            <w:tcW w:w="2808" w:type="dxa"/>
            <w:tcBorders>
              <w:top w:val="single" w:sz="4" w:space="0" w:color="000000"/>
              <w:left w:val="single" w:sz="4" w:space="0" w:color="000000"/>
              <w:bottom w:val="single" w:sz="4" w:space="0" w:color="000000"/>
              <w:right w:val="single" w:sz="4" w:space="0" w:color="000000"/>
            </w:tcBorders>
          </w:tcPr>
          <w:p w14:paraId="6A1D54B9" w14:textId="77777777" w:rsidR="006F76EB" w:rsidRPr="00834D52" w:rsidRDefault="006F76EB" w:rsidP="00C623FA">
            <w:pPr>
              <w:spacing w:after="120" w:line="240" w:lineRule="auto"/>
              <w:ind w:right="-6"/>
              <w:rPr>
                <w:rFonts w:ascii="Sylfaen" w:hAnsi="Sylfaen"/>
                <w:sz w:val="20"/>
                <w:szCs w:val="20"/>
              </w:rPr>
            </w:pPr>
          </w:p>
        </w:tc>
      </w:tr>
      <w:tr w:rsidR="006F76EB" w:rsidRPr="00834D52" w14:paraId="079E6236" w14:textId="77777777" w:rsidTr="00BE0DB5">
        <w:trPr>
          <w:trHeight w:val="507"/>
          <w:jc w:val="center"/>
        </w:trPr>
        <w:tc>
          <w:tcPr>
            <w:tcW w:w="1225" w:type="dxa"/>
            <w:tcBorders>
              <w:top w:val="single" w:sz="4" w:space="0" w:color="000000"/>
              <w:left w:val="single" w:sz="4" w:space="0" w:color="000000"/>
              <w:bottom w:val="single" w:sz="4" w:space="0" w:color="000000"/>
              <w:right w:val="single" w:sz="4" w:space="0" w:color="000000"/>
            </w:tcBorders>
          </w:tcPr>
          <w:p w14:paraId="27BF1E73" w14:textId="77777777" w:rsidR="006F76EB" w:rsidRPr="00834D52" w:rsidRDefault="006F76EB" w:rsidP="00C623FA">
            <w:pPr>
              <w:spacing w:after="120" w:line="240" w:lineRule="auto"/>
              <w:ind w:right="-6"/>
              <w:rPr>
                <w:rFonts w:ascii="Sylfaen" w:eastAsia="Times New Roman" w:hAnsi="Sylfaen" w:cs="Times New Roman"/>
                <w:sz w:val="20"/>
                <w:szCs w:val="20"/>
              </w:rPr>
            </w:pPr>
            <w:r w:rsidRPr="00834D52">
              <w:rPr>
                <w:rFonts w:ascii="Sylfaen" w:hAnsi="Sylfaen"/>
                <w:sz w:val="20"/>
                <w:szCs w:val="20"/>
              </w:rPr>
              <w:t>2</w:t>
            </w:r>
          </w:p>
        </w:tc>
        <w:tc>
          <w:tcPr>
            <w:tcW w:w="723" w:type="dxa"/>
            <w:tcBorders>
              <w:top w:val="single" w:sz="4" w:space="0" w:color="000000"/>
              <w:left w:val="single" w:sz="4" w:space="0" w:color="000000"/>
              <w:bottom w:val="single" w:sz="4" w:space="0" w:color="000000"/>
              <w:right w:val="single" w:sz="4" w:space="0" w:color="000000"/>
            </w:tcBorders>
          </w:tcPr>
          <w:p w14:paraId="69FFE1C4" w14:textId="77777777" w:rsidR="006F76EB" w:rsidRPr="00834D52" w:rsidRDefault="006F76EB" w:rsidP="00C623FA">
            <w:pPr>
              <w:spacing w:after="120" w:line="240" w:lineRule="auto"/>
              <w:ind w:right="-6"/>
              <w:rPr>
                <w:rFonts w:ascii="Sylfaen" w:hAnsi="Sylfaen"/>
                <w:sz w:val="20"/>
                <w:szCs w:val="20"/>
              </w:rPr>
            </w:pPr>
          </w:p>
        </w:tc>
        <w:tc>
          <w:tcPr>
            <w:tcW w:w="722" w:type="dxa"/>
            <w:tcBorders>
              <w:top w:val="single" w:sz="4" w:space="0" w:color="000000"/>
              <w:left w:val="single" w:sz="4" w:space="0" w:color="000000"/>
              <w:bottom w:val="single" w:sz="4" w:space="0" w:color="000000"/>
              <w:right w:val="single" w:sz="4" w:space="0" w:color="000000"/>
            </w:tcBorders>
          </w:tcPr>
          <w:p w14:paraId="188511B2" w14:textId="77777777" w:rsidR="006F76EB" w:rsidRPr="00834D52" w:rsidRDefault="006F76EB" w:rsidP="00C623FA">
            <w:pPr>
              <w:spacing w:after="120" w:line="240" w:lineRule="auto"/>
              <w:ind w:right="-6"/>
              <w:rPr>
                <w:rFonts w:ascii="Sylfaen" w:hAnsi="Sylfae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440485F2" w14:textId="77777777" w:rsidR="006F76EB" w:rsidRPr="00834D52" w:rsidRDefault="006F76EB" w:rsidP="00C623FA">
            <w:pPr>
              <w:spacing w:after="120" w:line="240" w:lineRule="auto"/>
              <w:ind w:right="-6"/>
              <w:rPr>
                <w:rFonts w:ascii="Sylfaen" w:hAnsi="Sylfaen"/>
                <w:sz w:val="20"/>
                <w:szCs w:val="20"/>
              </w:rPr>
            </w:pPr>
          </w:p>
        </w:tc>
        <w:tc>
          <w:tcPr>
            <w:tcW w:w="1776" w:type="dxa"/>
            <w:tcBorders>
              <w:top w:val="single" w:sz="4" w:space="0" w:color="000000"/>
              <w:left w:val="single" w:sz="4" w:space="0" w:color="000000"/>
              <w:bottom w:val="single" w:sz="4" w:space="0" w:color="000000"/>
              <w:right w:val="single" w:sz="4" w:space="0" w:color="000000"/>
            </w:tcBorders>
          </w:tcPr>
          <w:p w14:paraId="7C937C29" w14:textId="77777777" w:rsidR="006F76EB" w:rsidRPr="00834D52" w:rsidRDefault="006F76EB" w:rsidP="00C623FA">
            <w:pPr>
              <w:spacing w:after="120" w:line="240" w:lineRule="auto"/>
              <w:ind w:right="-6"/>
              <w:rPr>
                <w:rFonts w:ascii="Sylfaen" w:hAnsi="Sylfaen"/>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410F3CA3" w14:textId="77777777" w:rsidR="006F76EB" w:rsidRPr="00834D52" w:rsidRDefault="006F76EB" w:rsidP="00C623FA">
            <w:pPr>
              <w:spacing w:after="120" w:line="240" w:lineRule="auto"/>
              <w:ind w:right="-6"/>
              <w:rPr>
                <w:rFonts w:ascii="Sylfaen" w:hAnsi="Sylfaen"/>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09609EB" w14:textId="77777777" w:rsidR="006F76EB" w:rsidRPr="00834D52" w:rsidRDefault="006F76EB" w:rsidP="00C623FA">
            <w:pPr>
              <w:spacing w:after="120" w:line="240" w:lineRule="auto"/>
              <w:ind w:right="-6"/>
              <w:rPr>
                <w:rFonts w:ascii="Sylfaen" w:hAnsi="Sylfaen"/>
                <w:sz w:val="20"/>
                <w:szCs w:val="20"/>
              </w:rPr>
            </w:pPr>
          </w:p>
        </w:tc>
        <w:tc>
          <w:tcPr>
            <w:tcW w:w="2808" w:type="dxa"/>
            <w:tcBorders>
              <w:top w:val="single" w:sz="4" w:space="0" w:color="000000"/>
              <w:left w:val="single" w:sz="4" w:space="0" w:color="000000"/>
              <w:bottom w:val="single" w:sz="4" w:space="0" w:color="000000"/>
              <w:right w:val="single" w:sz="4" w:space="0" w:color="000000"/>
            </w:tcBorders>
          </w:tcPr>
          <w:p w14:paraId="1707218A" w14:textId="77777777" w:rsidR="006F76EB" w:rsidRPr="00834D52" w:rsidRDefault="006F76EB" w:rsidP="00C623FA">
            <w:pPr>
              <w:spacing w:after="120" w:line="240" w:lineRule="auto"/>
              <w:ind w:right="-6"/>
              <w:rPr>
                <w:rFonts w:ascii="Sylfaen" w:hAnsi="Sylfaen"/>
                <w:sz w:val="20"/>
                <w:szCs w:val="20"/>
              </w:rPr>
            </w:pPr>
          </w:p>
        </w:tc>
      </w:tr>
      <w:tr w:rsidR="006F76EB" w:rsidRPr="00834D52" w14:paraId="42C7A7B6" w14:textId="77777777" w:rsidTr="00BE0DB5">
        <w:trPr>
          <w:trHeight w:val="530"/>
          <w:jc w:val="center"/>
        </w:trPr>
        <w:tc>
          <w:tcPr>
            <w:tcW w:w="1225" w:type="dxa"/>
            <w:tcBorders>
              <w:top w:val="single" w:sz="4" w:space="0" w:color="000000"/>
              <w:left w:val="single" w:sz="4" w:space="0" w:color="000000"/>
              <w:bottom w:val="single" w:sz="4" w:space="0" w:color="000000"/>
              <w:right w:val="single" w:sz="4" w:space="0" w:color="000000"/>
            </w:tcBorders>
          </w:tcPr>
          <w:p w14:paraId="622A5DA3" w14:textId="77777777" w:rsidR="006F76EB" w:rsidRPr="00834D52" w:rsidRDefault="006F76EB" w:rsidP="00C623FA">
            <w:pPr>
              <w:spacing w:after="120" w:line="240" w:lineRule="auto"/>
              <w:ind w:right="-6"/>
              <w:rPr>
                <w:rFonts w:ascii="Sylfaen" w:eastAsia="Times New Roman" w:hAnsi="Sylfaen" w:cs="Times New Roman"/>
                <w:sz w:val="20"/>
                <w:szCs w:val="20"/>
              </w:rPr>
            </w:pPr>
            <w:r w:rsidRPr="00834D52">
              <w:rPr>
                <w:rFonts w:ascii="Sylfaen" w:hAnsi="Sylfaen"/>
                <w:sz w:val="20"/>
                <w:szCs w:val="20"/>
              </w:rPr>
              <w:t>3</w:t>
            </w:r>
          </w:p>
        </w:tc>
        <w:tc>
          <w:tcPr>
            <w:tcW w:w="723" w:type="dxa"/>
            <w:tcBorders>
              <w:top w:val="single" w:sz="4" w:space="0" w:color="000000"/>
              <w:left w:val="single" w:sz="4" w:space="0" w:color="000000"/>
              <w:bottom w:val="single" w:sz="4" w:space="0" w:color="000000"/>
              <w:right w:val="single" w:sz="4" w:space="0" w:color="000000"/>
            </w:tcBorders>
          </w:tcPr>
          <w:p w14:paraId="0E571843" w14:textId="77777777" w:rsidR="006F76EB" w:rsidRPr="00834D52" w:rsidRDefault="006F76EB" w:rsidP="00C623FA">
            <w:pPr>
              <w:spacing w:after="120" w:line="240" w:lineRule="auto"/>
              <w:ind w:right="-6"/>
              <w:rPr>
                <w:rFonts w:ascii="Sylfaen" w:hAnsi="Sylfaen"/>
                <w:sz w:val="20"/>
                <w:szCs w:val="20"/>
              </w:rPr>
            </w:pPr>
          </w:p>
        </w:tc>
        <w:tc>
          <w:tcPr>
            <w:tcW w:w="722" w:type="dxa"/>
            <w:tcBorders>
              <w:top w:val="single" w:sz="4" w:space="0" w:color="000000"/>
              <w:left w:val="single" w:sz="4" w:space="0" w:color="000000"/>
              <w:bottom w:val="single" w:sz="4" w:space="0" w:color="000000"/>
              <w:right w:val="single" w:sz="4" w:space="0" w:color="000000"/>
            </w:tcBorders>
          </w:tcPr>
          <w:p w14:paraId="3E4A7CA2" w14:textId="77777777" w:rsidR="006F76EB" w:rsidRPr="00834D52" w:rsidRDefault="006F76EB" w:rsidP="00C623FA">
            <w:pPr>
              <w:spacing w:after="120" w:line="240" w:lineRule="auto"/>
              <w:ind w:right="-6"/>
              <w:rPr>
                <w:rFonts w:ascii="Sylfaen" w:hAnsi="Sylfae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4A9C38D4" w14:textId="77777777" w:rsidR="006F76EB" w:rsidRPr="00834D52" w:rsidRDefault="006F76EB" w:rsidP="00C623FA">
            <w:pPr>
              <w:spacing w:after="120" w:line="240" w:lineRule="auto"/>
              <w:ind w:right="-6"/>
              <w:rPr>
                <w:rFonts w:ascii="Sylfaen" w:hAnsi="Sylfaen"/>
                <w:sz w:val="20"/>
                <w:szCs w:val="20"/>
              </w:rPr>
            </w:pPr>
          </w:p>
        </w:tc>
        <w:tc>
          <w:tcPr>
            <w:tcW w:w="1776" w:type="dxa"/>
            <w:tcBorders>
              <w:top w:val="single" w:sz="4" w:space="0" w:color="000000"/>
              <w:left w:val="single" w:sz="4" w:space="0" w:color="000000"/>
              <w:bottom w:val="single" w:sz="4" w:space="0" w:color="000000"/>
              <w:right w:val="single" w:sz="4" w:space="0" w:color="000000"/>
            </w:tcBorders>
          </w:tcPr>
          <w:p w14:paraId="663CFF05" w14:textId="77777777" w:rsidR="006F76EB" w:rsidRPr="00834D52" w:rsidRDefault="006F76EB" w:rsidP="00C623FA">
            <w:pPr>
              <w:spacing w:after="120" w:line="240" w:lineRule="auto"/>
              <w:ind w:right="-6"/>
              <w:rPr>
                <w:rFonts w:ascii="Sylfaen" w:hAnsi="Sylfaen"/>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4D105322" w14:textId="77777777" w:rsidR="006F76EB" w:rsidRPr="00834D52" w:rsidRDefault="006F76EB" w:rsidP="00C623FA">
            <w:pPr>
              <w:spacing w:after="120" w:line="240" w:lineRule="auto"/>
              <w:ind w:right="-6"/>
              <w:rPr>
                <w:rFonts w:ascii="Sylfaen" w:hAnsi="Sylfaen"/>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065223E9" w14:textId="77777777" w:rsidR="006F76EB" w:rsidRPr="00834D52" w:rsidRDefault="006F76EB" w:rsidP="00C623FA">
            <w:pPr>
              <w:spacing w:after="120" w:line="240" w:lineRule="auto"/>
              <w:ind w:right="-6"/>
              <w:rPr>
                <w:rFonts w:ascii="Sylfaen" w:hAnsi="Sylfaen"/>
                <w:sz w:val="20"/>
                <w:szCs w:val="20"/>
              </w:rPr>
            </w:pPr>
          </w:p>
        </w:tc>
        <w:tc>
          <w:tcPr>
            <w:tcW w:w="2808" w:type="dxa"/>
            <w:tcBorders>
              <w:top w:val="single" w:sz="4" w:space="0" w:color="000000"/>
              <w:left w:val="single" w:sz="4" w:space="0" w:color="000000"/>
              <w:bottom w:val="single" w:sz="4" w:space="0" w:color="000000"/>
              <w:right w:val="single" w:sz="4" w:space="0" w:color="000000"/>
            </w:tcBorders>
          </w:tcPr>
          <w:p w14:paraId="18384BFB" w14:textId="77777777" w:rsidR="006F76EB" w:rsidRPr="00834D52" w:rsidRDefault="006F76EB" w:rsidP="00C623FA">
            <w:pPr>
              <w:spacing w:after="120" w:line="240" w:lineRule="auto"/>
              <w:ind w:right="-6"/>
              <w:rPr>
                <w:rFonts w:ascii="Sylfaen" w:hAnsi="Sylfaen"/>
                <w:sz w:val="20"/>
                <w:szCs w:val="20"/>
              </w:rPr>
            </w:pPr>
          </w:p>
        </w:tc>
      </w:tr>
      <w:tr w:rsidR="006F76EB" w:rsidRPr="00834D52" w14:paraId="031C61BE" w14:textId="77777777" w:rsidTr="00BE0DB5">
        <w:trPr>
          <w:trHeight w:val="530"/>
          <w:jc w:val="center"/>
        </w:trPr>
        <w:tc>
          <w:tcPr>
            <w:tcW w:w="1225" w:type="dxa"/>
            <w:tcBorders>
              <w:top w:val="single" w:sz="4" w:space="0" w:color="000000"/>
              <w:left w:val="single" w:sz="4" w:space="0" w:color="000000"/>
              <w:bottom w:val="single" w:sz="4" w:space="0" w:color="000000"/>
              <w:right w:val="single" w:sz="4" w:space="0" w:color="000000"/>
            </w:tcBorders>
          </w:tcPr>
          <w:p w14:paraId="0079CE8F" w14:textId="77777777" w:rsidR="006F76EB" w:rsidRPr="00834D52" w:rsidRDefault="006F76EB" w:rsidP="00C623FA">
            <w:pPr>
              <w:spacing w:after="120" w:line="240" w:lineRule="auto"/>
              <w:ind w:right="-6"/>
              <w:rPr>
                <w:rFonts w:ascii="Sylfaen" w:eastAsia="Times New Roman" w:hAnsi="Sylfaen" w:cs="Times New Roman"/>
                <w:sz w:val="20"/>
                <w:szCs w:val="20"/>
              </w:rPr>
            </w:pPr>
            <w:r w:rsidRPr="00834D52">
              <w:rPr>
                <w:rFonts w:ascii="Sylfaen" w:hAnsi="Sylfaen"/>
                <w:sz w:val="20"/>
                <w:szCs w:val="20"/>
              </w:rPr>
              <w:t>....</w:t>
            </w:r>
          </w:p>
        </w:tc>
        <w:tc>
          <w:tcPr>
            <w:tcW w:w="723" w:type="dxa"/>
            <w:tcBorders>
              <w:top w:val="single" w:sz="4" w:space="0" w:color="000000"/>
              <w:left w:val="single" w:sz="4" w:space="0" w:color="000000"/>
              <w:bottom w:val="single" w:sz="4" w:space="0" w:color="000000"/>
              <w:right w:val="single" w:sz="4" w:space="0" w:color="000000"/>
            </w:tcBorders>
          </w:tcPr>
          <w:p w14:paraId="5BF5E477" w14:textId="77777777" w:rsidR="006F76EB" w:rsidRPr="00834D52" w:rsidRDefault="006F76EB" w:rsidP="00C623FA">
            <w:pPr>
              <w:spacing w:after="120" w:line="240" w:lineRule="auto"/>
              <w:ind w:right="-6"/>
              <w:rPr>
                <w:rFonts w:ascii="Sylfaen" w:hAnsi="Sylfaen"/>
                <w:sz w:val="20"/>
                <w:szCs w:val="20"/>
              </w:rPr>
            </w:pPr>
          </w:p>
        </w:tc>
        <w:tc>
          <w:tcPr>
            <w:tcW w:w="722" w:type="dxa"/>
            <w:tcBorders>
              <w:top w:val="single" w:sz="4" w:space="0" w:color="000000"/>
              <w:left w:val="single" w:sz="4" w:space="0" w:color="000000"/>
              <w:bottom w:val="single" w:sz="4" w:space="0" w:color="000000"/>
              <w:right w:val="single" w:sz="4" w:space="0" w:color="000000"/>
            </w:tcBorders>
          </w:tcPr>
          <w:p w14:paraId="034AA2FE" w14:textId="77777777" w:rsidR="006F76EB" w:rsidRPr="00834D52" w:rsidRDefault="006F76EB" w:rsidP="00C623FA">
            <w:pPr>
              <w:spacing w:after="120" w:line="240" w:lineRule="auto"/>
              <w:ind w:right="-6"/>
              <w:rPr>
                <w:rFonts w:ascii="Sylfaen" w:hAnsi="Sylfaen"/>
                <w:sz w:val="20"/>
                <w:szCs w:val="20"/>
              </w:rPr>
            </w:pPr>
          </w:p>
        </w:tc>
        <w:tc>
          <w:tcPr>
            <w:tcW w:w="579" w:type="dxa"/>
            <w:tcBorders>
              <w:top w:val="single" w:sz="4" w:space="0" w:color="000000"/>
              <w:left w:val="single" w:sz="4" w:space="0" w:color="000000"/>
              <w:bottom w:val="single" w:sz="4" w:space="0" w:color="000000"/>
              <w:right w:val="single" w:sz="4" w:space="0" w:color="000000"/>
            </w:tcBorders>
          </w:tcPr>
          <w:p w14:paraId="615BAF95" w14:textId="77777777" w:rsidR="006F76EB" w:rsidRPr="00834D52" w:rsidRDefault="006F76EB" w:rsidP="00C623FA">
            <w:pPr>
              <w:spacing w:after="120" w:line="240" w:lineRule="auto"/>
              <w:ind w:right="-6"/>
              <w:rPr>
                <w:rFonts w:ascii="Sylfaen" w:hAnsi="Sylfaen"/>
                <w:sz w:val="20"/>
                <w:szCs w:val="20"/>
              </w:rPr>
            </w:pPr>
          </w:p>
        </w:tc>
        <w:tc>
          <w:tcPr>
            <w:tcW w:w="1776" w:type="dxa"/>
            <w:tcBorders>
              <w:top w:val="single" w:sz="4" w:space="0" w:color="000000"/>
              <w:left w:val="single" w:sz="4" w:space="0" w:color="000000"/>
              <w:bottom w:val="single" w:sz="4" w:space="0" w:color="000000"/>
              <w:right w:val="single" w:sz="4" w:space="0" w:color="000000"/>
            </w:tcBorders>
          </w:tcPr>
          <w:p w14:paraId="156BC1A6" w14:textId="77777777" w:rsidR="006F76EB" w:rsidRPr="00834D52" w:rsidRDefault="006F76EB" w:rsidP="00C623FA">
            <w:pPr>
              <w:spacing w:after="120" w:line="240" w:lineRule="auto"/>
              <w:ind w:right="-6"/>
              <w:rPr>
                <w:rFonts w:ascii="Sylfaen" w:hAnsi="Sylfaen"/>
                <w:sz w:val="20"/>
                <w:szCs w:val="20"/>
              </w:rPr>
            </w:pPr>
          </w:p>
        </w:tc>
        <w:tc>
          <w:tcPr>
            <w:tcW w:w="1225" w:type="dxa"/>
            <w:tcBorders>
              <w:top w:val="single" w:sz="4" w:space="0" w:color="000000"/>
              <w:left w:val="single" w:sz="4" w:space="0" w:color="000000"/>
              <w:bottom w:val="single" w:sz="4" w:space="0" w:color="000000"/>
              <w:right w:val="single" w:sz="4" w:space="0" w:color="000000"/>
            </w:tcBorders>
          </w:tcPr>
          <w:p w14:paraId="61F0B19A" w14:textId="77777777" w:rsidR="006F76EB" w:rsidRPr="00834D52" w:rsidRDefault="006F76EB" w:rsidP="00C623FA">
            <w:pPr>
              <w:spacing w:after="120" w:line="240" w:lineRule="auto"/>
              <w:ind w:right="-6"/>
              <w:rPr>
                <w:rFonts w:ascii="Sylfaen" w:hAnsi="Sylfaen"/>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69DA58E7" w14:textId="77777777" w:rsidR="006F76EB" w:rsidRPr="00834D52" w:rsidRDefault="006F76EB" w:rsidP="00C623FA">
            <w:pPr>
              <w:spacing w:after="120" w:line="240" w:lineRule="auto"/>
              <w:ind w:right="-6"/>
              <w:rPr>
                <w:rFonts w:ascii="Sylfaen" w:hAnsi="Sylfaen"/>
                <w:sz w:val="20"/>
                <w:szCs w:val="20"/>
              </w:rPr>
            </w:pPr>
          </w:p>
        </w:tc>
        <w:tc>
          <w:tcPr>
            <w:tcW w:w="2808" w:type="dxa"/>
            <w:tcBorders>
              <w:top w:val="single" w:sz="4" w:space="0" w:color="000000"/>
              <w:left w:val="single" w:sz="4" w:space="0" w:color="000000"/>
              <w:bottom w:val="single" w:sz="4" w:space="0" w:color="000000"/>
              <w:right w:val="single" w:sz="4" w:space="0" w:color="000000"/>
            </w:tcBorders>
          </w:tcPr>
          <w:p w14:paraId="78918EB3" w14:textId="77777777" w:rsidR="006F76EB" w:rsidRPr="00834D52" w:rsidRDefault="006F76EB" w:rsidP="00C623FA">
            <w:pPr>
              <w:spacing w:after="120" w:line="240" w:lineRule="auto"/>
              <w:ind w:right="-6"/>
              <w:rPr>
                <w:rFonts w:ascii="Sylfaen" w:hAnsi="Sylfaen"/>
                <w:sz w:val="20"/>
                <w:szCs w:val="20"/>
              </w:rPr>
            </w:pPr>
          </w:p>
        </w:tc>
      </w:tr>
    </w:tbl>
    <w:p w14:paraId="72DE5B1C" w14:textId="77777777" w:rsidR="006F76EB" w:rsidRPr="00834D52" w:rsidRDefault="006F76EB" w:rsidP="004147B3">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Նշել ՏՍԷ</w:t>
      </w:r>
      <w:r w:rsidR="002C3F55">
        <w:rPr>
          <w:rStyle w:val="FootnoteReference"/>
          <w:rFonts w:ascii="Sylfaen" w:hAnsi="Sylfaen"/>
          <w:sz w:val="24"/>
          <w:szCs w:val="24"/>
        </w:rPr>
        <w:footnoteReference w:id="14"/>
      </w:r>
      <w:r w:rsidRPr="00834D52">
        <w:rPr>
          <w:rFonts w:ascii="Sylfaen" w:hAnsi="Sylfaen"/>
          <w:sz w:val="24"/>
          <w:szCs w:val="24"/>
        </w:rPr>
        <w:t>-ի վերաբերյալ Եվրոպական դեղագրքերի համապատասխանության սերտիֆիկատի կամ հումքի ծագման երկրի անասնաբուժական վերահսկողության՝ երկրում ՏՍԷ</w:t>
      </w:r>
      <w:r w:rsidRPr="00834D52">
        <w:rPr>
          <w:rFonts w:ascii="Sylfaen" w:hAnsi="Sylfaen"/>
          <w:sz w:val="24"/>
          <w:szCs w:val="24"/>
          <w:vertAlign w:val="superscript"/>
        </w:rPr>
        <w:t>3</w:t>
      </w:r>
      <w:r w:rsidRPr="00834D52">
        <w:rPr>
          <w:rFonts w:ascii="Sylfaen" w:hAnsi="Sylfaen"/>
          <w:sz w:val="24"/>
          <w:szCs w:val="24"/>
        </w:rPr>
        <w:t xml:space="preserve">-ի դեպքերի գրանցման (ըստ կլինիկական </w:t>
      </w:r>
      <w:r w:rsidR="00C54D75">
        <w:rPr>
          <w:rFonts w:ascii="Sylfaen" w:hAnsi="Sylfaen"/>
          <w:sz w:val="24"/>
          <w:szCs w:val="24"/>
        </w:rPr>
        <w:t>և</w:t>
      </w:r>
      <w:r w:rsidRPr="00834D52">
        <w:rPr>
          <w:rFonts w:ascii="Sylfaen" w:hAnsi="Sylfaen"/>
          <w:sz w:val="24"/>
          <w:szCs w:val="24"/>
        </w:rPr>
        <w:t xml:space="preserve"> լաբորատոր հսկողության արդյունքների) մասով լիազորված մարմինների կողմից տրված փաստաթղթի առկայությունը</w:t>
      </w:r>
    </w:p>
    <w:p w14:paraId="575A3E01" w14:textId="77777777" w:rsidR="006F76EB" w:rsidRPr="00834D52" w:rsidRDefault="006F76EB" w:rsidP="004147B3">
      <w:pPr>
        <w:tabs>
          <w:tab w:val="left" w:pos="1701"/>
        </w:tabs>
        <w:spacing w:after="160" w:line="336" w:lineRule="auto"/>
        <w:ind w:right="-6" w:firstLine="567"/>
        <w:jc w:val="both"/>
        <w:rPr>
          <w:rFonts w:ascii="Sylfaen" w:hAnsi="Sylfaen"/>
          <w:sz w:val="24"/>
          <w:szCs w:val="24"/>
        </w:rPr>
      </w:pPr>
      <w:r w:rsidRPr="00834D52">
        <w:rPr>
          <w:rFonts w:ascii="Sylfaen" w:hAnsi="Sylfaen"/>
          <w:sz w:val="24"/>
          <w:szCs w:val="24"/>
        </w:rPr>
        <w:t>3.6.3.</w:t>
      </w:r>
      <w:r w:rsidRPr="00834D52">
        <w:rPr>
          <w:rFonts w:ascii="Sylfaen" w:hAnsi="Sylfaen"/>
          <w:sz w:val="24"/>
          <w:szCs w:val="24"/>
        </w:rPr>
        <w:tab/>
        <w:t>Արդյոք տրվել է պլազմայի մաստեր-ֆայլի սերտիֆիկատ (այսուհետ՝ ՊՄՖ), որն օգտագործվում է տվյալ դոսյեում, թե այն ստանալու հայտ է ներկայացվել՝</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0870CFAE" w14:textId="77777777" w:rsidTr="00F71229">
        <w:tc>
          <w:tcPr>
            <w:tcW w:w="2268" w:type="dxa"/>
          </w:tcPr>
          <w:p w14:paraId="3C098E72"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rPr>
            </w:pPr>
            <w:r>
              <w:rPr>
                <w:rFonts w:ascii="Sylfaen" w:eastAsia="Times New Roman" w:hAnsi="Sylfaen" w:cs="Times New Roman"/>
                <w:noProof/>
                <w:sz w:val="24"/>
                <w:szCs w:val="24"/>
                <w:lang w:val="en-US" w:eastAsia="en-US" w:bidi="ar-SA"/>
              </w:rPr>
              <w:pict w14:anchorId="16EA8EFE">
                <v:rect id="_x0000_s1235" style="position:absolute;left:0;text-align:left;margin-left:40.6pt;margin-top:3.05pt;width:12.75pt;height:12pt;z-index:251681280"/>
              </w:pict>
            </w:r>
            <w:r w:rsidR="006F76EB" w:rsidRPr="00834D52">
              <w:rPr>
                <w:rFonts w:ascii="Sylfaen" w:hAnsi="Sylfaen"/>
                <w:sz w:val="24"/>
                <w:szCs w:val="24"/>
              </w:rPr>
              <w:t>ոչ</w:t>
            </w:r>
          </w:p>
        </w:tc>
        <w:tc>
          <w:tcPr>
            <w:tcW w:w="2126" w:type="dxa"/>
          </w:tcPr>
          <w:p w14:paraId="55AA7C56"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rPr>
            </w:pPr>
            <w:r>
              <w:rPr>
                <w:rFonts w:ascii="Sylfaen" w:eastAsia="Times New Roman" w:hAnsi="Sylfaen" w:cs="Times New Roman"/>
                <w:noProof/>
                <w:sz w:val="24"/>
                <w:szCs w:val="24"/>
              </w:rPr>
              <w:pict w14:anchorId="3F7C576D">
                <v:rect id="_x0000_s1186" style="position:absolute;left:0;text-align:left;margin-left:15.15pt;margin-top:3.05pt;width:12.75pt;height:12pt;z-index:251682304;mso-position-horizontal-relative:text;mso-position-vertical-relative:text"/>
              </w:pict>
            </w:r>
            <w:r w:rsidR="006F76EB" w:rsidRPr="00834D52">
              <w:rPr>
                <w:rFonts w:ascii="Sylfaen" w:hAnsi="Sylfaen"/>
                <w:sz w:val="24"/>
                <w:szCs w:val="24"/>
              </w:rPr>
              <w:t>այո</w:t>
            </w:r>
          </w:p>
        </w:tc>
      </w:tr>
    </w:tbl>
    <w:p w14:paraId="6ADBF0EB" w14:textId="77777777" w:rsidR="00BE0DB5" w:rsidRDefault="00BE0DB5" w:rsidP="006F76EB">
      <w:pPr>
        <w:spacing w:after="160" w:line="360" w:lineRule="auto"/>
        <w:ind w:right="-8" w:firstLine="567"/>
        <w:rPr>
          <w:rFonts w:ascii="Sylfaen" w:hAnsi="Sylfaen"/>
          <w:sz w:val="24"/>
          <w:szCs w:val="24"/>
        </w:rPr>
      </w:pPr>
    </w:p>
    <w:p w14:paraId="12B655BE" w14:textId="77777777" w:rsidR="00BE0DB5" w:rsidRDefault="00BE0DB5">
      <w:pPr>
        <w:widowControl/>
        <w:rPr>
          <w:rFonts w:ascii="Sylfaen" w:hAnsi="Sylfaen"/>
          <w:sz w:val="24"/>
          <w:szCs w:val="24"/>
        </w:rPr>
      </w:pPr>
      <w:r>
        <w:rPr>
          <w:rFonts w:ascii="Sylfaen" w:hAnsi="Sylfaen"/>
          <w:sz w:val="24"/>
          <w:szCs w:val="24"/>
        </w:rPr>
        <w:br w:type="page"/>
      </w:r>
    </w:p>
    <w:p w14:paraId="780422ED" w14:textId="77777777" w:rsidR="006F76EB" w:rsidRPr="00834D52" w:rsidRDefault="006F76EB" w:rsidP="006F76EB">
      <w:pPr>
        <w:spacing w:after="160" w:line="360" w:lineRule="auto"/>
        <w:ind w:right="-8" w:firstLine="567"/>
        <w:rPr>
          <w:rFonts w:ascii="Sylfaen" w:hAnsi="Sylfaen"/>
          <w:sz w:val="24"/>
          <w:szCs w:val="24"/>
          <w:lang w:val="en-US"/>
        </w:rPr>
      </w:pPr>
      <w:r w:rsidRPr="00834D52">
        <w:rPr>
          <w:rFonts w:ascii="Sylfaen" w:hAnsi="Sylfaen"/>
          <w:sz w:val="24"/>
          <w:szCs w:val="24"/>
        </w:rPr>
        <w:lastRenderedPageBreak/>
        <w:t>Եթե այո՝</w:t>
      </w:r>
    </w:p>
    <w:tbl>
      <w:tblPr>
        <w:tblW w:w="9610" w:type="dxa"/>
        <w:tblInd w:w="109" w:type="dxa"/>
        <w:tblLayout w:type="fixed"/>
        <w:tblCellMar>
          <w:left w:w="0" w:type="dxa"/>
          <w:right w:w="0" w:type="dxa"/>
        </w:tblCellMar>
        <w:tblLook w:val="01E0" w:firstRow="1" w:lastRow="1" w:firstColumn="1" w:lastColumn="1" w:noHBand="0" w:noVBand="0"/>
      </w:tblPr>
      <w:tblGrid>
        <w:gridCol w:w="4142"/>
        <w:gridCol w:w="1822"/>
        <w:gridCol w:w="1822"/>
        <w:gridCol w:w="1824"/>
      </w:tblGrid>
      <w:tr w:rsidR="006F76EB" w:rsidRPr="00834D52" w14:paraId="288F1918"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51BCD42F"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ՊՄՖ-ի հղումով նյութը (սուբստանցիան)</w:t>
            </w:r>
          </w:p>
        </w:tc>
        <w:tc>
          <w:tcPr>
            <w:tcW w:w="5468" w:type="dxa"/>
            <w:gridSpan w:val="3"/>
            <w:tcBorders>
              <w:top w:val="single" w:sz="4" w:space="0" w:color="000000"/>
              <w:left w:val="single" w:sz="4" w:space="0" w:color="000000"/>
              <w:bottom w:val="single" w:sz="4" w:space="0" w:color="000000"/>
              <w:right w:val="single" w:sz="4" w:space="0" w:color="000000"/>
            </w:tcBorders>
          </w:tcPr>
          <w:p w14:paraId="5424F31A" w14:textId="77777777" w:rsidR="006F76EB" w:rsidRPr="00834D52" w:rsidRDefault="006F76EB" w:rsidP="004147B3">
            <w:pPr>
              <w:spacing w:after="120" w:line="240" w:lineRule="auto"/>
              <w:ind w:right="-6"/>
              <w:rPr>
                <w:rFonts w:ascii="Sylfaen" w:hAnsi="Sylfaen"/>
                <w:sz w:val="24"/>
                <w:szCs w:val="24"/>
              </w:rPr>
            </w:pPr>
          </w:p>
        </w:tc>
      </w:tr>
      <w:tr w:rsidR="006F76EB" w:rsidRPr="00834D52" w14:paraId="3D44131B" w14:textId="77777777" w:rsidTr="00F71229">
        <w:tc>
          <w:tcPr>
            <w:tcW w:w="4142" w:type="dxa"/>
            <w:vMerge w:val="restart"/>
            <w:tcBorders>
              <w:top w:val="single" w:sz="4" w:space="0" w:color="000000"/>
              <w:left w:val="single" w:sz="4" w:space="0" w:color="000000"/>
              <w:right w:val="single" w:sz="4" w:space="0" w:color="000000"/>
            </w:tcBorders>
          </w:tcPr>
          <w:p w14:paraId="14C26FBC"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գործառույթը</w:t>
            </w:r>
          </w:p>
        </w:tc>
        <w:tc>
          <w:tcPr>
            <w:tcW w:w="1822" w:type="dxa"/>
            <w:tcBorders>
              <w:top w:val="single" w:sz="4" w:space="0" w:color="000000"/>
              <w:left w:val="single" w:sz="4" w:space="0" w:color="000000"/>
              <w:bottom w:val="single" w:sz="4" w:space="0" w:color="000000"/>
              <w:right w:val="single" w:sz="4" w:space="0" w:color="000000"/>
            </w:tcBorders>
          </w:tcPr>
          <w:p w14:paraId="024533C0" w14:textId="77777777" w:rsidR="006F76EB" w:rsidRPr="00834D52" w:rsidRDefault="006F76EB" w:rsidP="004147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ԱԴՆ-ն</w:t>
            </w:r>
          </w:p>
        </w:tc>
        <w:tc>
          <w:tcPr>
            <w:tcW w:w="1822" w:type="dxa"/>
            <w:tcBorders>
              <w:top w:val="single" w:sz="4" w:space="0" w:color="000000"/>
              <w:left w:val="single" w:sz="4" w:space="0" w:color="000000"/>
              <w:bottom w:val="single" w:sz="4" w:space="0" w:color="000000"/>
              <w:right w:val="single" w:sz="4" w:space="0" w:color="000000"/>
            </w:tcBorders>
          </w:tcPr>
          <w:p w14:paraId="33DF05EC" w14:textId="77777777" w:rsidR="006F76EB" w:rsidRPr="00834D52" w:rsidRDefault="006F76EB" w:rsidP="004147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ՕՆ-ն</w:t>
            </w:r>
            <w:r w:rsidRPr="00834D52">
              <w:rPr>
                <w:rStyle w:val="FootnoteReference"/>
                <w:rFonts w:ascii="Sylfaen" w:hAnsi="Sylfaen"/>
                <w:sz w:val="24"/>
                <w:szCs w:val="24"/>
              </w:rPr>
              <w:footnoteReference w:customMarkFollows="1" w:id="15"/>
              <w:t>1</w:t>
            </w:r>
          </w:p>
        </w:tc>
        <w:tc>
          <w:tcPr>
            <w:tcW w:w="1824" w:type="dxa"/>
            <w:tcBorders>
              <w:top w:val="single" w:sz="4" w:space="0" w:color="000000"/>
              <w:left w:val="single" w:sz="4" w:space="0" w:color="000000"/>
              <w:bottom w:val="single" w:sz="4" w:space="0" w:color="000000"/>
              <w:right w:val="single" w:sz="4" w:space="0" w:color="000000"/>
            </w:tcBorders>
          </w:tcPr>
          <w:p w14:paraId="0DF2F8EB" w14:textId="77777777" w:rsidR="006F76EB" w:rsidRPr="00834D52" w:rsidRDefault="006F76EB" w:rsidP="004147B3">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Ռ</w:t>
            </w:r>
            <w:r w:rsidRPr="00834D52">
              <w:rPr>
                <w:rStyle w:val="FootnoteReference"/>
                <w:rFonts w:ascii="Sylfaen" w:hAnsi="Sylfaen"/>
                <w:sz w:val="24"/>
                <w:szCs w:val="24"/>
              </w:rPr>
              <w:footnoteReference w:customMarkFollows="1" w:id="16"/>
              <w:t>2</w:t>
            </w:r>
          </w:p>
        </w:tc>
      </w:tr>
      <w:tr w:rsidR="006F76EB" w:rsidRPr="00834D52" w14:paraId="4B265E53" w14:textId="77777777" w:rsidTr="00F71229">
        <w:tc>
          <w:tcPr>
            <w:tcW w:w="4142" w:type="dxa"/>
            <w:vMerge/>
            <w:tcBorders>
              <w:left w:val="single" w:sz="4" w:space="0" w:color="000000"/>
              <w:bottom w:val="single" w:sz="4" w:space="0" w:color="000000"/>
              <w:right w:val="single" w:sz="4" w:space="0" w:color="000000"/>
            </w:tcBorders>
          </w:tcPr>
          <w:p w14:paraId="779DD470" w14:textId="77777777" w:rsidR="006F76EB" w:rsidRPr="00834D52" w:rsidRDefault="006F76EB" w:rsidP="004147B3">
            <w:pPr>
              <w:spacing w:after="120" w:line="240" w:lineRule="auto"/>
              <w:ind w:left="180" w:right="135"/>
              <w:rPr>
                <w:rFonts w:ascii="Sylfaen" w:hAnsi="Sylfae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7CEBC086" w14:textId="77777777" w:rsidR="006F76EB" w:rsidRPr="00834D52" w:rsidRDefault="006F76EB" w:rsidP="004147B3">
            <w:pPr>
              <w:spacing w:after="120" w:line="240" w:lineRule="auto"/>
              <w:ind w:right="-6"/>
              <w:rPr>
                <w:rFonts w:ascii="Sylfaen" w:hAnsi="Sylfae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7B45CDFC" w14:textId="77777777" w:rsidR="006F76EB" w:rsidRPr="00834D52" w:rsidRDefault="006F76EB" w:rsidP="004147B3">
            <w:pPr>
              <w:spacing w:after="120" w:line="240" w:lineRule="auto"/>
              <w:ind w:right="-6"/>
              <w:rPr>
                <w:rFonts w:ascii="Sylfaen" w:hAnsi="Sylfaen"/>
                <w:sz w:val="24"/>
                <w:szCs w:val="24"/>
              </w:rPr>
            </w:pPr>
          </w:p>
        </w:tc>
        <w:tc>
          <w:tcPr>
            <w:tcW w:w="1824" w:type="dxa"/>
            <w:tcBorders>
              <w:top w:val="single" w:sz="4" w:space="0" w:color="000000"/>
              <w:left w:val="single" w:sz="4" w:space="0" w:color="000000"/>
              <w:bottom w:val="single" w:sz="4" w:space="0" w:color="000000"/>
              <w:right w:val="single" w:sz="4" w:space="0" w:color="000000"/>
            </w:tcBorders>
          </w:tcPr>
          <w:p w14:paraId="3FFC3FBF" w14:textId="77777777" w:rsidR="006F76EB" w:rsidRPr="00834D52" w:rsidRDefault="006F76EB" w:rsidP="004147B3">
            <w:pPr>
              <w:spacing w:after="120" w:line="240" w:lineRule="auto"/>
              <w:ind w:right="-6"/>
              <w:rPr>
                <w:rFonts w:ascii="Sylfaen" w:hAnsi="Sylfaen"/>
                <w:sz w:val="24"/>
                <w:szCs w:val="24"/>
              </w:rPr>
            </w:pPr>
          </w:p>
        </w:tc>
      </w:tr>
      <w:tr w:rsidR="006F76EB" w:rsidRPr="00834D52" w14:paraId="5E211E69"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19FD6B20"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ՊՄՖ-ին տիրապետողի/հայտատուի անվանումը</w:t>
            </w:r>
          </w:p>
        </w:tc>
        <w:tc>
          <w:tcPr>
            <w:tcW w:w="5468" w:type="dxa"/>
            <w:gridSpan w:val="3"/>
            <w:tcBorders>
              <w:top w:val="single" w:sz="4" w:space="0" w:color="000000"/>
              <w:left w:val="single" w:sz="4" w:space="0" w:color="000000"/>
              <w:bottom w:val="single" w:sz="4" w:space="0" w:color="000000"/>
              <w:right w:val="single" w:sz="4" w:space="0" w:color="000000"/>
            </w:tcBorders>
          </w:tcPr>
          <w:p w14:paraId="2A035D5A" w14:textId="77777777" w:rsidR="006F76EB" w:rsidRPr="00834D52" w:rsidRDefault="006F76EB" w:rsidP="004147B3">
            <w:pPr>
              <w:spacing w:after="120" w:line="240" w:lineRule="auto"/>
              <w:ind w:right="-6"/>
              <w:rPr>
                <w:rFonts w:ascii="Sylfaen" w:hAnsi="Sylfaen"/>
                <w:sz w:val="24"/>
                <w:szCs w:val="24"/>
              </w:rPr>
            </w:pPr>
          </w:p>
        </w:tc>
      </w:tr>
      <w:tr w:rsidR="006F76EB" w:rsidRPr="00834D52" w14:paraId="45E82E3C"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37987E62"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սերտիֆիկատի/հայտի համարը</w:t>
            </w:r>
          </w:p>
        </w:tc>
        <w:tc>
          <w:tcPr>
            <w:tcW w:w="5468" w:type="dxa"/>
            <w:gridSpan w:val="3"/>
            <w:tcBorders>
              <w:top w:val="single" w:sz="4" w:space="0" w:color="000000"/>
              <w:left w:val="single" w:sz="4" w:space="0" w:color="000000"/>
              <w:bottom w:val="single" w:sz="4" w:space="0" w:color="000000"/>
              <w:right w:val="single" w:sz="4" w:space="0" w:color="000000"/>
            </w:tcBorders>
          </w:tcPr>
          <w:p w14:paraId="70354014" w14:textId="77777777" w:rsidR="006F76EB" w:rsidRPr="00834D52" w:rsidRDefault="006F76EB" w:rsidP="004147B3">
            <w:pPr>
              <w:spacing w:after="120" w:line="240" w:lineRule="auto"/>
              <w:ind w:right="-6"/>
              <w:rPr>
                <w:rFonts w:ascii="Sylfaen" w:hAnsi="Sylfaen"/>
                <w:sz w:val="24"/>
                <w:szCs w:val="24"/>
              </w:rPr>
            </w:pPr>
          </w:p>
        </w:tc>
      </w:tr>
      <w:tr w:rsidR="006F76EB" w:rsidRPr="00834D52" w14:paraId="0CEA9434"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77428E15"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հայտի ներկայացման ամսաթիվը (եթե քննարկման փուլում է)</w:t>
            </w:r>
          </w:p>
        </w:tc>
        <w:tc>
          <w:tcPr>
            <w:tcW w:w="5468" w:type="dxa"/>
            <w:gridSpan w:val="3"/>
            <w:tcBorders>
              <w:top w:val="single" w:sz="4" w:space="0" w:color="000000"/>
              <w:left w:val="single" w:sz="4" w:space="0" w:color="000000"/>
              <w:bottom w:val="single" w:sz="4" w:space="0" w:color="000000"/>
              <w:right w:val="single" w:sz="4" w:space="0" w:color="000000"/>
            </w:tcBorders>
          </w:tcPr>
          <w:p w14:paraId="4F51B71C" w14:textId="77777777" w:rsidR="006F76EB" w:rsidRPr="00834D52" w:rsidRDefault="006F76EB" w:rsidP="004147B3">
            <w:pPr>
              <w:spacing w:after="120" w:line="240" w:lineRule="auto"/>
              <w:ind w:right="-6"/>
              <w:rPr>
                <w:rFonts w:ascii="Sylfaen" w:hAnsi="Sylfaen"/>
                <w:sz w:val="24"/>
                <w:szCs w:val="24"/>
              </w:rPr>
            </w:pPr>
          </w:p>
        </w:tc>
      </w:tr>
      <w:tr w:rsidR="006F76EB" w:rsidRPr="00834D52" w14:paraId="002C5A5A"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1E443901" w14:textId="77777777" w:rsidR="006F76EB" w:rsidRPr="00834D52" w:rsidRDefault="006F76EB" w:rsidP="004147B3">
            <w:pPr>
              <w:spacing w:after="120" w:line="240" w:lineRule="auto"/>
              <w:ind w:left="180" w:right="135"/>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 (եթե սերտիֆիկատն առկա է)</w:t>
            </w:r>
          </w:p>
        </w:tc>
        <w:tc>
          <w:tcPr>
            <w:tcW w:w="5468" w:type="dxa"/>
            <w:gridSpan w:val="3"/>
            <w:tcBorders>
              <w:top w:val="single" w:sz="4" w:space="0" w:color="000000"/>
              <w:left w:val="single" w:sz="4" w:space="0" w:color="000000"/>
              <w:bottom w:val="single" w:sz="4" w:space="0" w:color="000000"/>
              <w:right w:val="single" w:sz="4" w:space="0" w:color="000000"/>
            </w:tcBorders>
          </w:tcPr>
          <w:p w14:paraId="3A4B91FD" w14:textId="77777777" w:rsidR="006F76EB" w:rsidRPr="00834D52" w:rsidRDefault="006F76EB" w:rsidP="004147B3">
            <w:pPr>
              <w:spacing w:after="120" w:line="240" w:lineRule="auto"/>
              <w:ind w:right="-6"/>
              <w:rPr>
                <w:rFonts w:ascii="Sylfaen" w:hAnsi="Sylfaen"/>
                <w:sz w:val="24"/>
                <w:szCs w:val="24"/>
              </w:rPr>
            </w:pPr>
          </w:p>
        </w:tc>
      </w:tr>
    </w:tbl>
    <w:p w14:paraId="4092CE17"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3.6.4.</w:t>
      </w:r>
      <w:r w:rsidRPr="00834D52">
        <w:rPr>
          <w:rFonts w:ascii="Sylfaen" w:hAnsi="Sylfaen"/>
          <w:sz w:val="24"/>
          <w:szCs w:val="24"/>
        </w:rPr>
        <w:tab/>
        <w:t>Արդյոք դեղապատրաստուկը պարունակում է կամ բաղկացած է գենետիկորեն մոդիֆիկացված օրգանիզմներից (ԳՄՕ)՝</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6245F749" w14:textId="77777777" w:rsidTr="00F71229">
        <w:tc>
          <w:tcPr>
            <w:tcW w:w="2268" w:type="dxa"/>
          </w:tcPr>
          <w:p w14:paraId="5AF92651"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2032D06F">
                <v:rect id="_x0000_s1237" style="position:absolute;left:0;text-align:left;margin-left:40.6pt;margin-top:3.05pt;width:12.75pt;height:12pt;z-index:251683328"/>
              </w:pict>
            </w:r>
            <w:r w:rsidR="006F76EB" w:rsidRPr="00834D52">
              <w:rPr>
                <w:rFonts w:ascii="Sylfaen" w:hAnsi="Sylfaen"/>
                <w:sz w:val="24"/>
                <w:szCs w:val="24"/>
              </w:rPr>
              <w:t>ոչ</w:t>
            </w:r>
          </w:p>
        </w:tc>
        <w:tc>
          <w:tcPr>
            <w:tcW w:w="2126" w:type="dxa"/>
          </w:tcPr>
          <w:p w14:paraId="233FD11C"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5872F203">
                <v:rect id="_x0000_s1236" style="position:absolute;left:0;text-align:left;margin-left:15.15pt;margin-top:3.05pt;width:12.75pt;height:12pt;z-index:251684352;mso-position-horizontal-relative:text;mso-position-vertical-relative:text"/>
              </w:pict>
            </w:r>
            <w:r w:rsidR="006F76EB" w:rsidRPr="00834D52">
              <w:rPr>
                <w:rFonts w:ascii="Sylfaen" w:hAnsi="Sylfaen"/>
                <w:sz w:val="24"/>
                <w:szCs w:val="24"/>
              </w:rPr>
              <w:t>այո</w:t>
            </w:r>
          </w:p>
        </w:tc>
      </w:tr>
    </w:tbl>
    <w:p w14:paraId="312C9CBD"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Եթե այո, ապա արդյոք պատրաստուկը համապատասխանում է սահմանված պահանջներին՝</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541175A9" w14:textId="77777777" w:rsidTr="00F71229">
        <w:tc>
          <w:tcPr>
            <w:tcW w:w="2268" w:type="dxa"/>
          </w:tcPr>
          <w:p w14:paraId="1785C3BF"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4CBB4610">
                <v:rect id="_x0000_s1239" style="position:absolute;left:0;text-align:left;margin-left:40.6pt;margin-top:3.05pt;width:12.75pt;height:12pt;z-index:251685376"/>
              </w:pict>
            </w:r>
            <w:r w:rsidR="006F76EB" w:rsidRPr="00834D52">
              <w:rPr>
                <w:rFonts w:ascii="Sylfaen" w:hAnsi="Sylfaen"/>
                <w:sz w:val="24"/>
                <w:szCs w:val="24"/>
              </w:rPr>
              <w:t>ոչ</w:t>
            </w:r>
          </w:p>
        </w:tc>
        <w:tc>
          <w:tcPr>
            <w:tcW w:w="2126" w:type="dxa"/>
          </w:tcPr>
          <w:p w14:paraId="01B33C00"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77BC002">
                <v:rect id="_x0000_s1238" style="position:absolute;left:0;text-align:left;margin-left:15.15pt;margin-top:3.05pt;width:12.75pt;height:12pt;z-index:251686400;mso-position-horizontal-relative:text;mso-position-vertical-relative:text"/>
              </w:pict>
            </w:r>
            <w:r w:rsidR="006F76EB" w:rsidRPr="00834D52">
              <w:rPr>
                <w:rFonts w:ascii="Sylfaen" w:hAnsi="Sylfaen"/>
                <w:sz w:val="24"/>
                <w:szCs w:val="24"/>
              </w:rPr>
              <w:t>այո</w:t>
            </w:r>
          </w:p>
        </w:tc>
      </w:tr>
    </w:tbl>
    <w:p w14:paraId="3CDBADF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Կատարե՛ք անհրաժեշտ հղում:</w:t>
      </w:r>
    </w:p>
    <w:p w14:paraId="52AC9CFD"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4. Այլ տեղեկություններ</w:t>
      </w:r>
    </w:p>
    <w:p w14:paraId="430F76B8" w14:textId="77777777" w:rsidR="006F76EB" w:rsidRPr="00834D52" w:rsidRDefault="006F76EB" w:rsidP="006F76EB">
      <w:pPr>
        <w:tabs>
          <w:tab w:val="left" w:pos="1418"/>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4.1.</w:t>
      </w:r>
      <w:r w:rsidRPr="00834D52">
        <w:rPr>
          <w:rFonts w:ascii="Sylfaen" w:hAnsi="Sylfaen"/>
          <w:sz w:val="24"/>
          <w:szCs w:val="24"/>
        </w:rPr>
        <w:tab/>
        <w:t>Արդյոք Եվրասիական տնտեսական միության անդամ պետության տարածքում գործող արտոնագրերով պահպանվում են դեղապատրաստուկի նկատմամբ մտավոր սեփականության իրավունքները՝</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02C18D36" w14:textId="77777777" w:rsidTr="00F71229">
        <w:tc>
          <w:tcPr>
            <w:tcW w:w="2268" w:type="dxa"/>
          </w:tcPr>
          <w:p w14:paraId="434A3E65"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7181F1A7">
                <v:rect id="_x0000_s1241" style="position:absolute;left:0;text-align:left;margin-left:40.6pt;margin-top:3.05pt;width:12.75pt;height:12pt;z-index:251687424"/>
              </w:pict>
            </w:r>
            <w:r w:rsidR="006F76EB" w:rsidRPr="00834D52">
              <w:rPr>
                <w:rFonts w:ascii="Sylfaen" w:hAnsi="Sylfaen"/>
                <w:sz w:val="24"/>
                <w:szCs w:val="24"/>
              </w:rPr>
              <w:t>ոչ</w:t>
            </w:r>
          </w:p>
        </w:tc>
        <w:tc>
          <w:tcPr>
            <w:tcW w:w="2126" w:type="dxa"/>
          </w:tcPr>
          <w:p w14:paraId="12488275"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21208736">
                <v:rect id="_x0000_s1240" style="position:absolute;left:0;text-align:left;margin-left:15.15pt;margin-top:3.05pt;width:12.75pt;height:12pt;z-index:251688448;mso-position-horizontal-relative:text;mso-position-vertical-relative:text"/>
              </w:pict>
            </w:r>
            <w:r w:rsidR="006F76EB" w:rsidRPr="00834D52">
              <w:rPr>
                <w:rFonts w:ascii="Sylfaen" w:hAnsi="Sylfaen"/>
                <w:sz w:val="24"/>
                <w:szCs w:val="24"/>
              </w:rPr>
              <w:t>այո</w:t>
            </w:r>
          </w:p>
        </w:tc>
      </w:tr>
    </w:tbl>
    <w:p w14:paraId="565307C3"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Եթե այո, ապա ներկայացրե՛ք այդ տեղեկատվությունը՝</w:t>
      </w:r>
    </w:p>
    <w:tbl>
      <w:tblPr>
        <w:tblW w:w="9211" w:type="dxa"/>
        <w:tblInd w:w="102" w:type="dxa"/>
        <w:tblLayout w:type="fixed"/>
        <w:tblCellMar>
          <w:left w:w="0" w:type="dxa"/>
          <w:right w:w="0" w:type="dxa"/>
        </w:tblCellMar>
        <w:tblLook w:val="01E0" w:firstRow="1" w:lastRow="1" w:firstColumn="1" w:lastColumn="1" w:noHBand="0" w:noVBand="0"/>
      </w:tblPr>
      <w:tblGrid>
        <w:gridCol w:w="1838"/>
        <w:gridCol w:w="2268"/>
        <w:gridCol w:w="1560"/>
        <w:gridCol w:w="1702"/>
        <w:gridCol w:w="1843"/>
      </w:tblGrid>
      <w:tr w:rsidR="006F76EB" w:rsidRPr="00834D52" w14:paraId="4F94FC70" w14:textId="77777777" w:rsidTr="00F71229">
        <w:tc>
          <w:tcPr>
            <w:tcW w:w="1838" w:type="dxa"/>
            <w:tcBorders>
              <w:top w:val="single" w:sz="4" w:space="0" w:color="000000"/>
              <w:left w:val="single" w:sz="4" w:space="0" w:color="000000"/>
              <w:bottom w:val="single" w:sz="4" w:space="0" w:color="000000"/>
              <w:right w:val="single" w:sz="4" w:space="0" w:color="000000"/>
            </w:tcBorders>
          </w:tcPr>
          <w:p w14:paraId="4A5DB80E"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 համարը</w:t>
            </w:r>
          </w:p>
        </w:tc>
        <w:tc>
          <w:tcPr>
            <w:tcW w:w="2268" w:type="dxa"/>
            <w:tcBorders>
              <w:top w:val="single" w:sz="4" w:space="0" w:color="000000"/>
              <w:left w:val="single" w:sz="4" w:space="0" w:color="000000"/>
              <w:bottom w:val="single" w:sz="4" w:space="0" w:color="000000"/>
              <w:right w:val="single" w:sz="4" w:space="0" w:color="000000"/>
            </w:tcBorders>
          </w:tcPr>
          <w:p w14:paraId="086AD75E"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անդամ պետության տարածքում</w:t>
            </w:r>
          </w:p>
        </w:tc>
        <w:tc>
          <w:tcPr>
            <w:tcW w:w="1560" w:type="dxa"/>
            <w:tcBorders>
              <w:top w:val="single" w:sz="4" w:space="0" w:color="000000"/>
              <w:left w:val="single" w:sz="4" w:space="0" w:color="000000"/>
              <w:bottom w:val="single" w:sz="4" w:space="0" w:color="000000"/>
              <w:right w:val="single" w:sz="4" w:space="0" w:color="000000"/>
            </w:tcBorders>
          </w:tcPr>
          <w:p w14:paraId="05D4E24E"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Տրման ամսաթիվը</w:t>
            </w:r>
          </w:p>
        </w:tc>
        <w:tc>
          <w:tcPr>
            <w:tcW w:w="1702" w:type="dxa"/>
            <w:tcBorders>
              <w:top w:val="single" w:sz="4" w:space="0" w:color="000000"/>
              <w:left w:val="single" w:sz="4" w:space="0" w:color="000000"/>
              <w:bottom w:val="single" w:sz="4" w:space="0" w:color="000000"/>
              <w:right w:val="single" w:sz="4" w:space="0" w:color="000000"/>
            </w:tcBorders>
          </w:tcPr>
          <w:p w14:paraId="52FA83CE"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1843" w:type="dxa"/>
            <w:tcBorders>
              <w:top w:val="single" w:sz="4" w:space="0" w:color="000000"/>
              <w:left w:val="single" w:sz="4" w:space="0" w:color="000000"/>
              <w:bottom w:val="single" w:sz="4" w:space="0" w:color="000000"/>
              <w:right w:val="single" w:sz="4" w:space="0" w:color="000000"/>
            </w:tcBorders>
          </w:tcPr>
          <w:p w14:paraId="6F9F5BE3"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Արտոնագրին տիրապետողը</w:t>
            </w:r>
          </w:p>
        </w:tc>
      </w:tr>
      <w:tr w:rsidR="006F76EB" w:rsidRPr="00834D52" w14:paraId="4A7976F8" w14:textId="77777777" w:rsidTr="00F71229">
        <w:tc>
          <w:tcPr>
            <w:tcW w:w="1838" w:type="dxa"/>
            <w:tcBorders>
              <w:top w:val="single" w:sz="4" w:space="0" w:color="000000"/>
              <w:left w:val="single" w:sz="4" w:space="0" w:color="000000"/>
              <w:bottom w:val="single" w:sz="4" w:space="0" w:color="000000"/>
              <w:right w:val="single" w:sz="4" w:space="0" w:color="000000"/>
            </w:tcBorders>
          </w:tcPr>
          <w:p w14:paraId="21A540F6" w14:textId="77777777" w:rsidR="006F76EB" w:rsidRPr="00834D52" w:rsidRDefault="006F76EB" w:rsidP="004947F6">
            <w:pPr>
              <w:spacing w:after="120" w:line="240" w:lineRule="auto"/>
              <w:ind w:right="-6"/>
              <w:rPr>
                <w:rFonts w:ascii="Sylfaen" w:hAnsi="Sylfae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BB9E2E6" w14:textId="77777777" w:rsidR="006F76EB" w:rsidRPr="00834D52" w:rsidRDefault="006F76EB" w:rsidP="004947F6">
            <w:pPr>
              <w:spacing w:after="120" w:line="240" w:lineRule="auto"/>
              <w:ind w:right="-6"/>
              <w:rPr>
                <w:rFonts w:ascii="Sylfaen" w:hAnsi="Sylfae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54280FA" w14:textId="77777777" w:rsidR="006F76EB" w:rsidRPr="00834D52" w:rsidRDefault="006F76EB" w:rsidP="004947F6">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35AAE1E" w14:textId="77777777" w:rsidR="006F76EB" w:rsidRPr="00834D52" w:rsidRDefault="006F76EB" w:rsidP="004947F6">
            <w:pPr>
              <w:spacing w:after="120" w:line="240" w:lineRule="auto"/>
              <w:ind w:right="-6"/>
              <w:rPr>
                <w:rFonts w:ascii="Sylfaen" w:hAnsi="Sylfae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8D690B0" w14:textId="77777777" w:rsidR="006F76EB" w:rsidRPr="00834D52" w:rsidRDefault="006F76EB" w:rsidP="004947F6">
            <w:pPr>
              <w:spacing w:after="120" w:line="240" w:lineRule="auto"/>
              <w:ind w:right="-6"/>
              <w:rPr>
                <w:rFonts w:ascii="Sylfaen" w:hAnsi="Sylfaen"/>
                <w:sz w:val="24"/>
                <w:szCs w:val="24"/>
              </w:rPr>
            </w:pPr>
          </w:p>
        </w:tc>
      </w:tr>
    </w:tbl>
    <w:p w14:paraId="30D5E96D" w14:textId="77777777" w:rsidR="006F76EB" w:rsidRPr="00834D52" w:rsidRDefault="006F76EB" w:rsidP="004947F6">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Այն դեղապատրաստուկների գրանցման համար, որոնք հիմնվում են մտավոր սեփականության օբյեկտների վրա կամ առնչություն ունեն մտավոր սեփականության այն օբյեկտների հետ, որոնց համար, Եվրասիական տնտեսական միության անդամ պետության օրենսդրությանը համապատասխան, տրվել է արտոնագիր, հայտատուն տրամադրում է իր կողմից վավերացված՝ Եվրասիական տնտեսական միության անդամ պետության տարածքում գործող արտոնագրի կամ լիցենզիոն համաձայնագրի պատճենը, որը տալիս է գրանցված դեղապատրաստուկի արտադրության կամ վաճառքի իրավունք: Հայտատուները ներկայացնում են նամակ, որում նշվում է, որ երրորդ անձանց՝ արտոնագրով պաշտպանված կամ լիցենզիայով փոխանցված մտավոր սեփականության իրավունքները չեն խախտվում դեղապատրաստուկի գրանցման հետ</w:t>
      </w:r>
      <w:r w:rsidR="00C54D75">
        <w:rPr>
          <w:rFonts w:ascii="Sylfaen" w:hAnsi="Sylfaen"/>
          <w:sz w:val="24"/>
          <w:szCs w:val="24"/>
        </w:rPr>
        <w:t>և</w:t>
      </w:r>
      <w:r w:rsidRPr="00834D52">
        <w:rPr>
          <w:rFonts w:ascii="Sylfaen" w:hAnsi="Sylfaen"/>
          <w:sz w:val="24"/>
          <w:szCs w:val="24"/>
        </w:rPr>
        <w:t>անքով:</w:t>
      </w:r>
    </w:p>
    <w:p w14:paraId="1968D291" w14:textId="77777777" w:rsidR="006F76EB" w:rsidRPr="00834D52" w:rsidRDefault="006F76EB" w:rsidP="004947F6">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4.2.</w:t>
      </w:r>
      <w:r w:rsidRPr="00834D52">
        <w:rPr>
          <w:rFonts w:ascii="Sylfaen" w:hAnsi="Sylfaen"/>
          <w:sz w:val="24"/>
          <w:szCs w:val="24"/>
        </w:rPr>
        <w:tab/>
        <w:t>Արդյոք ապրանքային նշանը գրանցված է Եվրասիական տնտեսական միության անդամ պետություններում՝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410D0CB8" w14:textId="77777777" w:rsidTr="00F71229">
        <w:tc>
          <w:tcPr>
            <w:tcW w:w="2268" w:type="dxa"/>
          </w:tcPr>
          <w:p w14:paraId="6562C197"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77EFD9B0">
                <v:rect id="_x0000_s1243" style="position:absolute;left:0;text-align:left;margin-left:40.6pt;margin-top:3.05pt;width:12.75pt;height:12pt;z-index:251689472"/>
              </w:pict>
            </w:r>
            <w:r w:rsidR="006F76EB" w:rsidRPr="00834D52">
              <w:rPr>
                <w:rFonts w:ascii="Sylfaen" w:hAnsi="Sylfaen"/>
                <w:sz w:val="24"/>
                <w:szCs w:val="24"/>
              </w:rPr>
              <w:t>ոչ</w:t>
            </w:r>
          </w:p>
        </w:tc>
        <w:tc>
          <w:tcPr>
            <w:tcW w:w="2126" w:type="dxa"/>
          </w:tcPr>
          <w:p w14:paraId="18A9B18C"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77F222F">
                <v:rect id="_x0000_s1242" style="position:absolute;left:0;text-align:left;margin-left:15.15pt;margin-top:3.05pt;width:12.75pt;height:12pt;z-index:251690496;mso-position-horizontal-relative:text;mso-position-vertical-relative:text"/>
              </w:pict>
            </w:r>
            <w:r w:rsidR="006F76EB" w:rsidRPr="00834D52">
              <w:rPr>
                <w:rFonts w:ascii="Sylfaen" w:hAnsi="Sylfaen"/>
                <w:sz w:val="24"/>
                <w:szCs w:val="24"/>
              </w:rPr>
              <w:t>այո</w:t>
            </w:r>
          </w:p>
        </w:tc>
      </w:tr>
    </w:tbl>
    <w:p w14:paraId="2CADC5E9" w14:textId="77777777" w:rsidR="006F76EB" w:rsidRPr="00834D52" w:rsidRDefault="006F76EB" w:rsidP="006F76EB">
      <w:pPr>
        <w:spacing w:after="160" w:line="336" w:lineRule="auto"/>
        <w:ind w:right="-8" w:firstLine="567"/>
        <w:rPr>
          <w:rFonts w:ascii="Sylfaen" w:eastAsia="Times New Roman" w:hAnsi="Sylfaen" w:cs="Times New Roman"/>
          <w:sz w:val="24"/>
          <w:szCs w:val="24"/>
        </w:rPr>
      </w:pPr>
      <w:r w:rsidRPr="00834D52">
        <w:rPr>
          <w:rFonts w:ascii="Sylfaen" w:hAnsi="Sylfaen"/>
          <w:sz w:val="24"/>
          <w:szCs w:val="24"/>
        </w:rPr>
        <w:t>Եթե այո, ապա ներկայացրե՛ք այդ տեղեկատվությունը՝</w:t>
      </w:r>
    </w:p>
    <w:tbl>
      <w:tblPr>
        <w:tblW w:w="9407" w:type="dxa"/>
        <w:tblInd w:w="102" w:type="dxa"/>
        <w:tblLayout w:type="fixed"/>
        <w:tblCellMar>
          <w:left w:w="0" w:type="dxa"/>
          <w:right w:w="0" w:type="dxa"/>
        </w:tblCellMar>
        <w:tblLook w:val="01E0" w:firstRow="1" w:lastRow="1" w:firstColumn="1" w:lastColumn="1" w:noHBand="0" w:noVBand="0"/>
      </w:tblPr>
      <w:tblGrid>
        <w:gridCol w:w="1733"/>
        <w:gridCol w:w="2274"/>
        <w:gridCol w:w="1279"/>
        <w:gridCol w:w="1813"/>
        <w:gridCol w:w="2308"/>
      </w:tblGrid>
      <w:tr w:rsidR="006F76EB" w:rsidRPr="00834D52" w14:paraId="170B7584" w14:textId="77777777" w:rsidTr="004947F6">
        <w:trPr>
          <w:trHeight w:val="1453"/>
        </w:trPr>
        <w:tc>
          <w:tcPr>
            <w:tcW w:w="1733" w:type="dxa"/>
            <w:tcBorders>
              <w:top w:val="single" w:sz="4" w:space="0" w:color="000000"/>
              <w:left w:val="single" w:sz="4" w:space="0" w:color="000000"/>
              <w:bottom w:val="single" w:sz="4" w:space="0" w:color="000000"/>
              <w:right w:val="single" w:sz="4" w:space="0" w:color="000000"/>
            </w:tcBorders>
          </w:tcPr>
          <w:p w14:paraId="218E5809"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Վկայականի համարը</w:t>
            </w:r>
          </w:p>
        </w:tc>
        <w:tc>
          <w:tcPr>
            <w:tcW w:w="2274" w:type="dxa"/>
            <w:tcBorders>
              <w:top w:val="single" w:sz="4" w:space="0" w:color="000000"/>
              <w:left w:val="single" w:sz="4" w:space="0" w:color="000000"/>
              <w:bottom w:val="single" w:sz="4" w:space="0" w:color="000000"/>
              <w:right w:val="single" w:sz="4" w:space="0" w:color="000000"/>
            </w:tcBorders>
          </w:tcPr>
          <w:p w14:paraId="6CD40352"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անդամ պետության տարածքում</w:t>
            </w:r>
          </w:p>
        </w:tc>
        <w:tc>
          <w:tcPr>
            <w:tcW w:w="1279" w:type="dxa"/>
            <w:tcBorders>
              <w:top w:val="single" w:sz="4" w:space="0" w:color="000000"/>
              <w:left w:val="single" w:sz="4" w:space="0" w:color="000000"/>
              <w:bottom w:val="single" w:sz="4" w:space="0" w:color="000000"/>
              <w:right w:val="single" w:sz="4" w:space="0" w:color="000000"/>
            </w:tcBorders>
          </w:tcPr>
          <w:p w14:paraId="1C904785"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Տրման ամսաթիվը</w:t>
            </w:r>
          </w:p>
        </w:tc>
        <w:tc>
          <w:tcPr>
            <w:tcW w:w="1813" w:type="dxa"/>
            <w:tcBorders>
              <w:top w:val="single" w:sz="4" w:space="0" w:color="000000"/>
              <w:left w:val="single" w:sz="4" w:space="0" w:color="000000"/>
              <w:bottom w:val="single" w:sz="4" w:space="0" w:color="000000"/>
              <w:right w:val="single" w:sz="4" w:space="0" w:color="000000"/>
            </w:tcBorders>
          </w:tcPr>
          <w:p w14:paraId="66146DFD"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2308" w:type="dxa"/>
            <w:tcBorders>
              <w:top w:val="single" w:sz="4" w:space="0" w:color="000000"/>
              <w:left w:val="single" w:sz="4" w:space="0" w:color="000000"/>
              <w:bottom w:val="single" w:sz="4" w:space="0" w:color="000000"/>
              <w:right w:val="single" w:sz="4" w:space="0" w:color="000000"/>
            </w:tcBorders>
          </w:tcPr>
          <w:p w14:paraId="38CC7759" w14:textId="77777777" w:rsidR="006F76EB" w:rsidRPr="00834D52" w:rsidRDefault="006F76EB" w:rsidP="004947F6">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Իրավատերը</w:t>
            </w:r>
          </w:p>
        </w:tc>
      </w:tr>
      <w:tr w:rsidR="006F76EB" w:rsidRPr="00834D52" w14:paraId="4A0FD4DB" w14:textId="77777777" w:rsidTr="004947F6">
        <w:trPr>
          <w:trHeight w:val="599"/>
        </w:trPr>
        <w:tc>
          <w:tcPr>
            <w:tcW w:w="1733" w:type="dxa"/>
            <w:tcBorders>
              <w:top w:val="single" w:sz="4" w:space="0" w:color="000000"/>
              <w:left w:val="single" w:sz="4" w:space="0" w:color="000000"/>
              <w:bottom w:val="single" w:sz="4" w:space="0" w:color="000000"/>
              <w:right w:val="single" w:sz="4" w:space="0" w:color="000000"/>
            </w:tcBorders>
          </w:tcPr>
          <w:p w14:paraId="2DA7F6D0" w14:textId="77777777" w:rsidR="006F76EB" w:rsidRPr="00834D52" w:rsidRDefault="006F76EB" w:rsidP="004947F6">
            <w:pPr>
              <w:spacing w:after="120" w:line="240" w:lineRule="auto"/>
              <w:ind w:right="-6"/>
              <w:rPr>
                <w:rFonts w:ascii="Sylfaen" w:hAnsi="Sylfaen"/>
                <w:sz w:val="24"/>
                <w:szCs w:val="24"/>
              </w:rPr>
            </w:pPr>
          </w:p>
        </w:tc>
        <w:tc>
          <w:tcPr>
            <w:tcW w:w="2274" w:type="dxa"/>
            <w:tcBorders>
              <w:top w:val="single" w:sz="4" w:space="0" w:color="000000"/>
              <w:left w:val="single" w:sz="4" w:space="0" w:color="000000"/>
              <w:bottom w:val="single" w:sz="4" w:space="0" w:color="000000"/>
              <w:right w:val="single" w:sz="4" w:space="0" w:color="000000"/>
            </w:tcBorders>
          </w:tcPr>
          <w:p w14:paraId="1FB44356" w14:textId="77777777" w:rsidR="006F76EB" w:rsidRPr="00834D52" w:rsidRDefault="006F76EB" w:rsidP="004947F6">
            <w:pPr>
              <w:spacing w:after="120" w:line="240" w:lineRule="auto"/>
              <w:ind w:right="-6"/>
              <w:rPr>
                <w:rFonts w:ascii="Sylfaen" w:hAnsi="Sylfaen"/>
                <w:sz w:val="24"/>
                <w:szCs w:val="24"/>
              </w:rPr>
            </w:pPr>
          </w:p>
        </w:tc>
        <w:tc>
          <w:tcPr>
            <w:tcW w:w="1279" w:type="dxa"/>
            <w:tcBorders>
              <w:top w:val="single" w:sz="4" w:space="0" w:color="000000"/>
              <w:left w:val="single" w:sz="4" w:space="0" w:color="000000"/>
              <w:bottom w:val="single" w:sz="4" w:space="0" w:color="000000"/>
              <w:right w:val="single" w:sz="4" w:space="0" w:color="000000"/>
            </w:tcBorders>
          </w:tcPr>
          <w:p w14:paraId="6187EF71" w14:textId="77777777" w:rsidR="006F76EB" w:rsidRPr="00834D52" w:rsidRDefault="006F76EB" w:rsidP="004947F6">
            <w:pPr>
              <w:spacing w:after="120" w:line="240" w:lineRule="auto"/>
              <w:ind w:right="-6"/>
              <w:rPr>
                <w:rFonts w:ascii="Sylfaen" w:hAnsi="Sylfaen"/>
                <w:sz w:val="24"/>
                <w:szCs w:val="24"/>
              </w:rPr>
            </w:pPr>
          </w:p>
        </w:tc>
        <w:tc>
          <w:tcPr>
            <w:tcW w:w="1813" w:type="dxa"/>
            <w:tcBorders>
              <w:top w:val="single" w:sz="4" w:space="0" w:color="000000"/>
              <w:left w:val="single" w:sz="4" w:space="0" w:color="000000"/>
              <w:bottom w:val="single" w:sz="4" w:space="0" w:color="000000"/>
              <w:right w:val="single" w:sz="4" w:space="0" w:color="000000"/>
            </w:tcBorders>
          </w:tcPr>
          <w:p w14:paraId="36F99A8B" w14:textId="77777777" w:rsidR="006F76EB" w:rsidRPr="00834D52" w:rsidRDefault="006F76EB" w:rsidP="004947F6">
            <w:pPr>
              <w:spacing w:after="120" w:line="240" w:lineRule="auto"/>
              <w:ind w:right="-6"/>
              <w:rPr>
                <w:rFonts w:ascii="Sylfaen" w:hAnsi="Sylfaen"/>
                <w:sz w:val="24"/>
                <w:szCs w:val="24"/>
              </w:rPr>
            </w:pPr>
          </w:p>
        </w:tc>
        <w:tc>
          <w:tcPr>
            <w:tcW w:w="2308" w:type="dxa"/>
            <w:tcBorders>
              <w:top w:val="single" w:sz="4" w:space="0" w:color="000000"/>
              <w:left w:val="single" w:sz="4" w:space="0" w:color="000000"/>
              <w:bottom w:val="single" w:sz="4" w:space="0" w:color="000000"/>
              <w:right w:val="single" w:sz="4" w:space="0" w:color="000000"/>
            </w:tcBorders>
          </w:tcPr>
          <w:p w14:paraId="20AA8DD4" w14:textId="77777777" w:rsidR="006F76EB" w:rsidRPr="00834D52" w:rsidRDefault="006F76EB" w:rsidP="004947F6">
            <w:pPr>
              <w:spacing w:after="120" w:line="240" w:lineRule="auto"/>
              <w:ind w:right="-6"/>
              <w:rPr>
                <w:rFonts w:ascii="Sylfaen" w:hAnsi="Sylfaen"/>
                <w:sz w:val="24"/>
                <w:szCs w:val="24"/>
              </w:rPr>
            </w:pPr>
          </w:p>
        </w:tc>
      </w:tr>
    </w:tbl>
    <w:p w14:paraId="5C65C367" w14:textId="77777777" w:rsidR="006F76EB" w:rsidRPr="00834D52" w:rsidRDefault="006F76EB" w:rsidP="004947F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Կցել հայտատուի կողմից վավերացված՝ Եվրասիական տնտեսական միության անդամ պետության տարածքում գործող ապրանքային նշանի գրանցման վկայականի պատճենը:</w:t>
      </w:r>
    </w:p>
    <w:p w14:paraId="47062B32"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Եթե հայտատուն իրավատեր չէ, ապա կցել հայտատուի կողմից վավերացված լիցենզիոն պայմանագրի պատճենը կամ ապրանքային նշանի օգտագործման իրավունքի տր</w:t>
      </w:r>
      <w:r w:rsidR="00037B30">
        <w:rPr>
          <w:rFonts w:ascii="Sylfaen" w:hAnsi="Sylfaen"/>
          <w:sz w:val="24"/>
          <w:szCs w:val="24"/>
        </w:rPr>
        <w:t>ա</w:t>
      </w:r>
      <w:r w:rsidRPr="00834D52">
        <w:rPr>
          <w:rFonts w:ascii="Sylfaen" w:hAnsi="Sylfaen"/>
          <w:sz w:val="24"/>
          <w:szCs w:val="24"/>
        </w:rPr>
        <w:t>մ</w:t>
      </w:r>
      <w:r w:rsidR="00037B30">
        <w:rPr>
          <w:rFonts w:ascii="Sylfaen" w:hAnsi="Sylfaen"/>
          <w:sz w:val="24"/>
          <w:szCs w:val="24"/>
        </w:rPr>
        <w:t>ադրմ</w:t>
      </w:r>
      <w:r w:rsidRPr="00834D52">
        <w:rPr>
          <w:rFonts w:ascii="Sylfaen" w:hAnsi="Sylfaen"/>
          <w:sz w:val="24"/>
          <w:szCs w:val="24"/>
        </w:rPr>
        <w:t>ան</w:t>
      </w:r>
      <w:r w:rsidR="00037B30">
        <w:rPr>
          <w:rFonts w:ascii="Sylfaen" w:hAnsi="Sylfaen"/>
          <w:sz w:val="24"/>
          <w:szCs w:val="24"/>
        </w:rPr>
        <w:t xml:space="preserve"> գրանցման</w:t>
      </w:r>
      <w:r w:rsidRPr="00834D52">
        <w:rPr>
          <w:rFonts w:ascii="Sylfaen" w:hAnsi="Sylfaen"/>
          <w:sz w:val="24"/>
          <w:szCs w:val="24"/>
        </w:rPr>
        <w:t xml:space="preserve"> հաստատումը:</w:t>
      </w:r>
    </w:p>
    <w:p w14:paraId="52B402C4" w14:textId="77777777" w:rsidR="006F76EB" w:rsidRPr="00834D52" w:rsidRDefault="006F76EB" w:rsidP="00B71A73">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4.3.</w:t>
      </w:r>
      <w:r w:rsidRPr="00834D52">
        <w:rPr>
          <w:rFonts w:ascii="Sylfaen" w:hAnsi="Sylfaen"/>
          <w:sz w:val="24"/>
          <w:szCs w:val="24"/>
        </w:rPr>
        <w:tab/>
        <w:t>Արդյոք դեղապատրաստուկը գրանցված է արտադրողի երկրում՝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44A0674" w14:textId="77777777" w:rsidTr="00F71229">
        <w:tc>
          <w:tcPr>
            <w:tcW w:w="2268" w:type="dxa"/>
          </w:tcPr>
          <w:p w14:paraId="5EDAFEBB"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734F389E">
                <v:rect id="_x0000_s1245" style="position:absolute;left:0;text-align:left;margin-left:40.6pt;margin-top:3.05pt;width:12.75pt;height:12pt;z-index:251691520"/>
              </w:pict>
            </w:r>
            <w:r w:rsidR="006F76EB" w:rsidRPr="00834D52">
              <w:rPr>
                <w:rFonts w:ascii="Sylfaen" w:hAnsi="Sylfaen"/>
                <w:sz w:val="24"/>
                <w:szCs w:val="24"/>
              </w:rPr>
              <w:t>ոչ</w:t>
            </w:r>
          </w:p>
        </w:tc>
        <w:tc>
          <w:tcPr>
            <w:tcW w:w="2126" w:type="dxa"/>
          </w:tcPr>
          <w:p w14:paraId="126B2A7F"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13BF38B">
                <v:rect id="_x0000_s1244" style="position:absolute;left:0;text-align:left;margin-left:15.15pt;margin-top:3.05pt;width:12.75pt;height:12pt;z-index:251692544;mso-position-horizontal-relative:text;mso-position-vertical-relative:text"/>
              </w:pict>
            </w:r>
            <w:r w:rsidR="006F76EB" w:rsidRPr="00834D52">
              <w:rPr>
                <w:rFonts w:ascii="Sylfaen" w:hAnsi="Sylfaen"/>
                <w:sz w:val="24"/>
                <w:szCs w:val="24"/>
              </w:rPr>
              <w:t>այո</w:t>
            </w:r>
          </w:p>
        </w:tc>
      </w:tr>
    </w:tbl>
    <w:p w14:paraId="16E67273"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դեղապատրաստուկը գրանցված է այլ երկրներում՝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5E09CC6A" w14:textId="77777777" w:rsidTr="00F71229">
        <w:tc>
          <w:tcPr>
            <w:tcW w:w="2268" w:type="dxa"/>
          </w:tcPr>
          <w:p w14:paraId="21C1653E"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33FAF5F0">
                <v:rect id="_x0000_s1247" style="position:absolute;left:0;text-align:left;margin-left:40.6pt;margin-top:3.05pt;width:12.75pt;height:12pt;z-index:251693568"/>
              </w:pict>
            </w:r>
            <w:r w:rsidR="006F76EB" w:rsidRPr="00834D52">
              <w:rPr>
                <w:rFonts w:ascii="Sylfaen" w:hAnsi="Sylfaen"/>
                <w:sz w:val="24"/>
                <w:szCs w:val="24"/>
              </w:rPr>
              <w:t>ոչ</w:t>
            </w:r>
          </w:p>
        </w:tc>
        <w:tc>
          <w:tcPr>
            <w:tcW w:w="2126" w:type="dxa"/>
          </w:tcPr>
          <w:p w14:paraId="1355CF99"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3DB9B4E1">
                <v:rect id="_x0000_s1246" style="position:absolute;left:0;text-align:left;margin-left:15.15pt;margin-top:3.05pt;width:12.75pt;height:12pt;z-index:251694592;mso-position-horizontal-relative:text;mso-position-vertical-relative:text"/>
              </w:pict>
            </w:r>
            <w:r w:rsidR="006F76EB" w:rsidRPr="00834D52">
              <w:rPr>
                <w:rFonts w:ascii="Sylfaen" w:hAnsi="Sylfaen"/>
                <w:sz w:val="24"/>
                <w:szCs w:val="24"/>
              </w:rPr>
              <w:t>այո</w:t>
            </w:r>
          </w:p>
        </w:tc>
      </w:tr>
    </w:tbl>
    <w:p w14:paraId="38F3E250" w14:textId="77777777" w:rsidR="006F76EB" w:rsidRPr="00834D52" w:rsidRDefault="00AA40D1" w:rsidP="00B71A73">
      <w:pPr>
        <w:tabs>
          <w:tab w:val="left" w:pos="1134"/>
        </w:tabs>
        <w:spacing w:after="160" w:line="336" w:lineRule="auto"/>
        <w:ind w:right="-8" w:firstLine="567"/>
        <w:jc w:val="both"/>
        <w:rPr>
          <w:rFonts w:ascii="Sylfaen" w:eastAsia="Times New Roman" w:hAnsi="Sylfaen" w:cs="Times New Roman"/>
          <w:sz w:val="24"/>
          <w:szCs w:val="24"/>
        </w:rPr>
      </w:pPr>
      <w:r>
        <w:rPr>
          <w:rFonts w:ascii="Sylfaen" w:hAnsi="Sylfaen"/>
          <w:sz w:val="24"/>
          <w:szCs w:val="24"/>
        </w:rPr>
        <w:t>4</w:t>
      </w:r>
      <w:r w:rsidR="006F76EB" w:rsidRPr="00834D52">
        <w:rPr>
          <w:rFonts w:ascii="Sylfaen" w:hAnsi="Sylfaen"/>
          <w:sz w:val="24"/>
          <w:szCs w:val="24"/>
        </w:rPr>
        <w:t>.4.</w:t>
      </w:r>
      <w:r w:rsidR="006F76EB" w:rsidRPr="00834D52">
        <w:rPr>
          <w:rFonts w:ascii="Sylfaen" w:hAnsi="Sylfaen"/>
          <w:sz w:val="24"/>
          <w:szCs w:val="24"/>
        </w:rPr>
        <w:tab/>
        <w:t>Արդյոք Եվրասիական տնտեսական միության անդամ պետություններում անցկացվել է տվյալ դեղապատրաստուկի առնչությամբ նախնական գիտական խորհրդատվություն ՝</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27F6A875" w14:textId="77777777" w:rsidTr="00F71229">
        <w:tc>
          <w:tcPr>
            <w:tcW w:w="2268" w:type="dxa"/>
          </w:tcPr>
          <w:p w14:paraId="7F3DEECD"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185CFA86">
                <v:rect id="_x0000_s1249" style="position:absolute;left:0;text-align:left;margin-left:40.6pt;margin-top:3.05pt;width:12.75pt;height:12pt;z-index:251695616"/>
              </w:pict>
            </w:r>
            <w:r w:rsidR="006F76EB" w:rsidRPr="00834D52">
              <w:rPr>
                <w:rFonts w:ascii="Sylfaen" w:hAnsi="Sylfaen"/>
                <w:sz w:val="24"/>
                <w:szCs w:val="24"/>
              </w:rPr>
              <w:t>ոչ</w:t>
            </w:r>
          </w:p>
        </w:tc>
        <w:tc>
          <w:tcPr>
            <w:tcW w:w="2126" w:type="dxa"/>
          </w:tcPr>
          <w:p w14:paraId="05FF2337"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203B7E7">
                <v:rect id="_x0000_s1248" style="position:absolute;left:0;text-align:left;margin-left:15.15pt;margin-top:3.05pt;width:12.75pt;height:12pt;z-index:251696640;mso-position-horizontal-relative:text;mso-position-vertical-relative:text"/>
              </w:pict>
            </w:r>
            <w:r w:rsidR="006F76EB" w:rsidRPr="00834D52">
              <w:rPr>
                <w:rFonts w:ascii="Sylfaen" w:hAnsi="Sylfaen"/>
                <w:sz w:val="24"/>
                <w:szCs w:val="24"/>
              </w:rPr>
              <w:t>այո</w:t>
            </w:r>
          </w:p>
        </w:tc>
      </w:tr>
    </w:tbl>
    <w:p w14:paraId="3CA9622D"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0" w:type="auto"/>
        <w:tblInd w:w="109" w:type="dxa"/>
        <w:tblLayout w:type="fixed"/>
        <w:tblCellMar>
          <w:left w:w="0" w:type="dxa"/>
          <w:right w:w="0" w:type="dxa"/>
        </w:tblCellMar>
        <w:tblLook w:val="01E0" w:firstRow="1" w:lastRow="1" w:firstColumn="1" w:lastColumn="1" w:noHBand="0" w:noVBand="0"/>
      </w:tblPr>
      <w:tblGrid>
        <w:gridCol w:w="4142"/>
        <w:gridCol w:w="5467"/>
      </w:tblGrid>
      <w:tr w:rsidR="006F76EB" w:rsidRPr="00834D52" w14:paraId="3F9AE938"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492831BD" w14:textId="77777777" w:rsidR="006F76EB" w:rsidRPr="00834D52" w:rsidRDefault="006F76EB" w:rsidP="00B71A73">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Եվրասիական տնտեսական միության անդամ պետությունը</w:t>
            </w:r>
          </w:p>
        </w:tc>
        <w:tc>
          <w:tcPr>
            <w:tcW w:w="5467" w:type="dxa"/>
            <w:tcBorders>
              <w:top w:val="single" w:sz="4" w:space="0" w:color="000000"/>
              <w:left w:val="single" w:sz="4" w:space="0" w:color="000000"/>
              <w:bottom w:val="single" w:sz="4" w:space="0" w:color="000000"/>
              <w:right w:val="single" w:sz="4" w:space="0" w:color="000000"/>
            </w:tcBorders>
          </w:tcPr>
          <w:p w14:paraId="2608EDE3" w14:textId="77777777" w:rsidR="006F76EB" w:rsidRPr="00834D52" w:rsidRDefault="006F76EB" w:rsidP="00B71A73">
            <w:pPr>
              <w:spacing w:after="120" w:line="240" w:lineRule="auto"/>
              <w:ind w:right="-6"/>
              <w:rPr>
                <w:rFonts w:ascii="Sylfaen" w:hAnsi="Sylfaen"/>
                <w:sz w:val="24"/>
                <w:szCs w:val="24"/>
              </w:rPr>
            </w:pPr>
          </w:p>
        </w:tc>
      </w:tr>
      <w:tr w:rsidR="006F76EB" w:rsidRPr="00834D52" w14:paraId="36A81A01"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34F1D552" w14:textId="77777777" w:rsidR="006F76EB" w:rsidRPr="00834D52" w:rsidRDefault="006F76EB" w:rsidP="00B71A73">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անցկացման ամսաթիվը</w:t>
            </w:r>
          </w:p>
        </w:tc>
        <w:tc>
          <w:tcPr>
            <w:tcW w:w="5467" w:type="dxa"/>
            <w:tcBorders>
              <w:top w:val="single" w:sz="4" w:space="0" w:color="000000"/>
              <w:left w:val="single" w:sz="4" w:space="0" w:color="000000"/>
              <w:bottom w:val="single" w:sz="4" w:space="0" w:color="000000"/>
              <w:right w:val="single" w:sz="4" w:space="0" w:color="000000"/>
            </w:tcBorders>
          </w:tcPr>
          <w:p w14:paraId="3C918BAC" w14:textId="77777777" w:rsidR="006F76EB" w:rsidRPr="00834D52" w:rsidRDefault="006F76EB" w:rsidP="00B71A73">
            <w:pPr>
              <w:spacing w:after="120" w:line="240" w:lineRule="auto"/>
              <w:ind w:right="-6"/>
              <w:rPr>
                <w:rFonts w:ascii="Sylfaen" w:hAnsi="Sylfaen"/>
                <w:sz w:val="24"/>
                <w:szCs w:val="24"/>
              </w:rPr>
            </w:pPr>
          </w:p>
        </w:tc>
      </w:tr>
      <w:tr w:rsidR="006F76EB" w:rsidRPr="00834D52" w14:paraId="0B2D71D4"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69FA6E01" w14:textId="77777777" w:rsidR="006F76EB" w:rsidRPr="00834D52" w:rsidRDefault="006F76EB" w:rsidP="00B71A73">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դոսյեի կազմում եզրակացության առկայության մասին նշում</w:t>
            </w:r>
          </w:p>
        </w:tc>
        <w:tc>
          <w:tcPr>
            <w:tcW w:w="5467" w:type="dxa"/>
            <w:tcBorders>
              <w:top w:val="single" w:sz="4" w:space="0" w:color="000000"/>
              <w:left w:val="single" w:sz="4" w:space="0" w:color="000000"/>
              <w:bottom w:val="single" w:sz="4" w:space="0" w:color="000000"/>
              <w:right w:val="single" w:sz="4" w:space="0" w:color="000000"/>
            </w:tcBorders>
          </w:tcPr>
          <w:p w14:paraId="475B0DCE" w14:textId="77777777" w:rsidR="006F76EB" w:rsidRPr="00834D52" w:rsidRDefault="006F76EB" w:rsidP="00B71A73">
            <w:pPr>
              <w:spacing w:after="120" w:line="240" w:lineRule="auto"/>
              <w:ind w:right="-6"/>
              <w:rPr>
                <w:rFonts w:ascii="Sylfaen" w:hAnsi="Sylfaen"/>
                <w:sz w:val="24"/>
                <w:szCs w:val="24"/>
              </w:rPr>
            </w:pPr>
          </w:p>
        </w:tc>
      </w:tr>
    </w:tbl>
    <w:p w14:paraId="69748B4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Դեղամիջոցների փորձագիտական կոմիտեում</w:t>
      </w:r>
      <w:r w:rsidRPr="00834D52" w:rsidDel="00D67DB4">
        <w:rPr>
          <w:rFonts w:ascii="Sylfaen" w:hAnsi="Sylfaen"/>
          <w:sz w:val="24"/>
          <w:szCs w:val="24"/>
        </w:rPr>
        <w:t xml:space="preserve"> </w:t>
      </w:r>
      <w:r w:rsidRPr="00834D52">
        <w:rPr>
          <w:rFonts w:ascii="Sylfaen" w:hAnsi="Sylfaen"/>
          <w:sz w:val="24"/>
          <w:szCs w:val="24"/>
        </w:rPr>
        <w:t>անցկացվել է տվյալ դեղապատրաստուկի առնչությամբ նախնական գիտական խորհրդատվություն՝</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5A8C66AC" w14:textId="77777777" w:rsidTr="00F71229">
        <w:tc>
          <w:tcPr>
            <w:tcW w:w="2268" w:type="dxa"/>
          </w:tcPr>
          <w:p w14:paraId="370F5A7D"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23B2EEDD">
                <v:rect id="_x0000_s1251" style="position:absolute;left:0;text-align:left;margin-left:40.6pt;margin-top:3.05pt;width:12.75pt;height:12pt;z-index:251697664"/>
              </w:pict>
            </w:r>
            <w:r w:rsidR="006F76EB" w:rsidRPr="00834D52">
              <w:rPr>
                <w:rFonts w:ascii="Sylfaen" w:hAnsi="Sylfaen"/>
                <w:sz w:val="24"/>
                <w:szCs w:val="24"/>
              </w:rPr>
              <w:t>ոչ</w:t>
            </w:r>
          </w:p>
        </w:tc>
        <w:tc>
          <w:tcPr>
            <w:tcW w:w="2126" w:type="dxa"/>
          </w:tcPr>
          <w:p w14:paraId="630F3C62"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228254E0">
                <v:rect id="_x0000_s1250" style="position:absolute;left:0;text-align:left;margin-left:15.15pt;margin-top:3.05pt;width:12.75pt;height:12pt;z-index:251698688;mso-position-horizontal-relative:text;mso-position-vertical-relative:text"/>
              </w:pict>
            </w:r>
            <w:r w:rsidR="006F76EB" w:rsidRPr="00834D52">
              <w:rPr>
                <w:rFonts w:ascii="Sylfaen" w:hAnsi="Sylfaen"/>
                <w:sz w:val="24"/>
                <w:szCs w:val="24"/>
              </w:rPr>
              <w:t>այո</w:t>
            </w:r>
          </w:p>
        </w:tc>
      </w:tr>
    </w:tbl>
    <w:p w14:paraId="574BC3FA"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w:t>
      </w:r>
    </w:p>
    <w:tbl>
      <w:tblPr>
        <w:tblW w:w="9676" w:type="dxa"/>
        <w:tblInd w:w="109" w:type="dxa"/>
        <w:tblLayout w:type="fixed"/>
        <w:tblCellMar>
          <w:left w:w="0" w:type="dxa"/>
          <w:right w:w="0" w:type="dxa"/>
        </w:tblCellMar>
        <w:tblLook w:val="01E0" w:firstRow="1" w:lastRow="1" w:firstColumn="1" w:lastColumn="1" w:noHBand="0" w:noVBand="0"/>
      </w:tblPr>
      <w:tblGrid>
        <w:gridCol w:w="4171"/>
        <w:gridCol w:w="5505"/>
      </w:tblGrid>
      <w:tr w:rsidR="006F76EB" w:rsidRPr="00834D52" w14:paraId="766805D1" w14:textId="77777777" w:rsidTr="00AF3B62">
        <w:trPr>
          <w:trHeight w:val="604"/>
        </w:trPr>
        <w:tc>
          <w:tcPr>
            <w:tcW w:w="4171" w:type="dxa"/>
            <w:tcBorders>
              <w:top w:val="single" w:sz="4" w:space="0" w:color="000000"/>
              <w:left w:val="single" w:sz="4" w:space="0" w:color="000000"/>
              <w:bottom w:val="single" w:sz="4" w:space="0" w:color="000000"/>
              <w:right w:val="single" w:sz="4" w:space="0" w:color="000000"/>
            </w:tcBorders>
          </w:tcPr>
          <w:p w14:paraId="10AA3274" w14:textId="77777777" w:rsidR="006F76EB" w:rsidRPr="00834D52" w:rsidRDefault="006F76EB" w:rsidP="00AF3B6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անցկացման ամսաթիվը</w:t>
            </w:r>
          </w:p>
        </w:tc>
        <w:tc>
          <w:tcPr>
            <w:tcW w:w="5505" w:type="dxa"/>
            <w:tcBorders>
              <w:top w:val="single" w:sz="4" w:space="0" w:color="000000"/>
              <w:left w:val="single" w:sz="4" w:space="0" w:color="000000"/>
              <w:bottom w:val="single" w:sz="4" w:space="0" w:color="000000"/>
              <w:right w:val="single" w:sz="4" w:space="0" w:color="000000"/>
            </w:tcBorders>
          </w:tcPr>
          <w:p w14:paraId="6C5E3D71" w14:textId="77777777" w:rsidR="006F76EB" w:rsidRPr="00834D52" w:rsidRDefault="006F76EB" w:rsidP="00AF3B62">
            <w:pPr>
              <w:spacing w:after="120" w:line="240" w:lineRule="auto"/>
              <w:ind w:right="-6"/>
              <w:rPr>
                <w:rFonts w:ascii="Sylfaen" w:hAnsi="Sylfaen"/>
                <w:sz w:val="24"/>
                <w:szCs w:val="24"/>
              </w:rPr>
            </w:pPr>
          </w:p>
        </w:tc>
      </w:tr>
      <w:tr w:rsidR="006F76EB" w:rsidRPr="00834D52" w14:paraId="45AFB4C0" w14:textId="77777777" w:rsidTr="00AF3B62">
        <w:trPr>
          <w:trHeight w:val="1045"/>
        </w:trPr>
        <w:tc>
          <w:tcPr>
            <w:tcW w:w="4171" w:type="dxa"/>
            <w:tcBorders>
              <w:top w:val="single" w:sz="4" w:space="0" w:color="000000"/>
              <w:left w:val="single" w:sz="4" w:space="0" w:color="000000"/>
              <w:bottom w:val="single" w:sz="4" w:space="0" w:color="000000"/>
              <w:right w:val="single" w:sz="4" w:space="0" w:color="000000"/>
            </w:tcBorders>
          </w:tcPr>
          <w:p w14:paraId="0FB4272D" w14:textId="77777777" w:rsidR="006F76EB" w:rsidRPr="00834D52" w:rsidRDefault="006F76EB" w:rsidP="00AF3B62">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դոսյեի կազմում եզրակացության առկայության մասին նշում</w:t>
            </w:r>
          </w:p>
        </w:tc>
        <w:tc>
          <w:tcPr>
            <w:tcW w:w="5505" w:type="dxa"/>
            <w:tcBorders>
              <w:top w:val="single" w:sz="4" w:space="0" w:color="000000"/>
              <w:left w:val="single" w:sz="4" w:space="0" w:color="000000"/>
              <w:bottom w:val="single" w:sz="4" w:space="0" w:color="000000"/>
              <w:right w:val="single" w:sz="4" w:space="0" w:color="000000"/>
            </w:tcBorders>
          </w:tcPr>
          <w:p w14:paraId="0D4FB3C1" w14:textId="77777777" w:rsidR="006F76EB" w:rsidRPr="00834D52" w:rsidRDefault="006F76EB" w:rsidP="00AF3B62">
            <w:pPr>
              <w:spacing w:after="120" w:line="240" w:lineRule="auto"/>
              <w:ind w:right="-6"/>
              <w:rPr>
                <w:rFonts w:ascii="Sylfaen" w:hAnsi="Sylfaen"/>
                <w:sz w:val="24"/>
                <w:szCs w:val="24"/>
              </w:rPr>
            </w:pPr>
          </w:p>
        </w:tc>
      </w:tr>
    </w:tbl>
    <w:p w14:paraId="00B60817" w14:textId="77777777" w:rsidR="006F76EB" w:rsidRPr="00834D52" w:rsidRDefault="006F76EB" w:rsidP="00AF3B6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4.5.</w:t>
      </w:r>
      <w:r w:rsidRPr="00834D52">
        <w:rPr>
          <w:rFonts w:ascii="Sylfaen" w:hAnsi="Sylfaen"/>
          <w:sz w:val="24"/>
          <w:szCs w:val="24"/>
        </w:rPr>
        <w:tab/>
        <w:t xml:space="preserve">Արտադրողի երկրում </w:t>
      </w:r>
      <w:r w:rsidR="00C54D75">
        <w:rPr>
          <w:rFonts w:ascii="Sylfaen" w:hAnsi="Sylfaen"/>
          <w:sz w:val="24"/>
          <w:szCs w:val="24"/>
        </w:rPr>
        <w:t>և</w:t>
      </w:r>
      <w:r w:rsidRPr="00834D52">
        <w:rPr>
          <w:rFonts w:ascii="Sylfaen" w:hAnsi="Sylfaen"/>
          <w:sz w:val="24"/>
          <w:szCs w:val="24"/>
        </w:rPr>
        <w:t xml:space="preserve"> այլ երկրներում դեղապատրաստուկի գրանցման հավաստագրի մերժումների, հետկանչերի </w:t>
      </w:r>
      <w:r w:rsidR="00C54D75">
        <w:rPr>
          <w:rFonts w:ascii="Sylfaen" w:hAnsi="Sylfaen"/>
          <w:sz w:val="24"/>
          <w:szCs w:val="24"/>
        </w:rPr>
        <w:t>և</w:t>
      </w:r>
      <w:r w:rsidRPr="00834D52">
        <w:rPr>
          <w:rFonts w:ascii="Sylfaen" w:hAnsi="Sylfaen"/>
          <w:sz w:val="24"/>
          <w:szCs w:val="24"/>
        </w:rPr>
        <w:t xml:space="preserve"> գործողությունը դադարեցնելու մասին տեղեկատվություն:</w:t>
      </w:r>
    </w:p>
    <w:p w14:paraId="626101C4"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Եթե այո՝</w:t>
      </w:r>
    </w:p>
    <w:tbl>
      <w:tblPr>
        <w:tblW w:w="9529" w:type="dxa"/>
        <w:tblInd w:w="222" w:type="dxa"/>
        <w:tblLayout w:type="fixed"/>
        <w:tblCellMar>
          <w:left w:w="0" w:type="dxa"/>
          <w:right w:w="0" w:type="dxa"/>
        </w:tblCellMar>
        <w:tblLook w:val="01E0" w:firstRow="1" w:lastRow="1" w:firstColumn="1" w:lastColumn="1" w:noHBand="0" w:noVBand="0"/>
      </w:tblPr>
      <w:tblGrid>
        <w:gridCol w:w="2582"/>
        <w:gridCol w:w="1558"/>
        <w:gridCol w:w="1702"/>
        <w:gridCol w:w="1702"/>
        <w:gridCol w:w="1985"/>
      </w:tblGrid>
      <w:tr w:rsidR="006F76EB" w:rsidRPr="00834D52" w14:paraId="1C4750A3" w14:textId="77777777" w:rsidTr="00AF3B62">
        <w:trPr>
          <w:trHeight w:val="1000"/>
        </w:trPr>
        <w:tc>
          <w:tcPr>
            <w:tcW w:w="2582" w:type="dxa"/>
            <w:tcBorders>
              <w:top w:val="single" w:sz="4" w:space="0" w:color="000000"/>
              <w:left w:val="single" w:sz="4" w:space="0" w:color="000000"/>
              <w:bottom w:val="single" w:sz="4" w:space="0" w:color="000000"/>
              <w:right w:val="single" w:sz="4" w:space="0" w:color="000000"/>
            </w:tcBorders>
          </w:tcPr>
          <w:p w14:paraId="3E8DAAE0" w14:textId="77777777" w:rsidR="006F76EB" w:rsidRPr="00834D52" w:rsidRDefault="006F76EB" w:rsidP="00AF3B62">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Սահմանափակման տեսակը</w:t>
            </w:r>
          </w:p>
        </w:tc>
        <w:tc>
          <w:tcPr>
            <w:tcW w:w="1558" w:type="dxa"/>
            <w:tcBorders>
              <w:top w:val="single" w:sz="4" w:space="0" w:color="000000"/>
              <w:left w:val="single" w:sz="4" w:space="0" w:color="000000"/>
              <w:bottom w:val="single" w:sz="4" w:space="0" w:color="000000"/>
              <w:right w:val="single" w:sz="4" w:space="0" w:color="000000"/>
            </w:tcBorders>
          </w:tcPr>
          <w:p w14:paraId="5BE11D2E" w14:textId="77777777" w:rsidR="006F76EB" w:rsidRPr="00834D52" w:rsidRDefault="006F76EB" w:rsidP="00AF3B62">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Պատճառը</w:t>
            </w:r>
          </w:p>
        </w:tc>
        <w:tc>
          <w:tcPr>
            <w:tcW w:w="1702" w:type="dxa"/>
            <w:tcBorders>
              <w:top w:val="single" w:sz="4" w:space="0" w:color="000000"/>
              <w:left w:val="single" w:sz="4" w:space="0" w:color="000000"/>
              <w:bottom w:val="single" w:sz="4" w:space="0" w:color="000000"/>
              <w:right w:val="single" w:sz="4" w:space="0" w:color="000000"/>
            </w:tcBorders>
          </w:tcPr>
          <w:p w14:paraId="66294453" w14:textId="77777777" w:rsidR="006F76EB" w:rsidRPr="00834D52" w:rsidRDefault="006F76EB" w:rsidP="00AF3B62">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Երկիրը</w:t>
            </w:r>
          </w:p>
        </w:tc>
        <w:tc>
          <w:tcPr>
            <w:tcW w:w="1702" w:type="dxa"/>
            <w:tcBorders>
              <w:top w:val="single" w:sz="4" w:space="0" w:color="000000"/>
              <w:left w:val="single" w:sz="4" w:space="0" w:color="000000"/>
              <w:bottom w:val="single" w:sz="4" w:space="0" w:color="000000"/>
              <w:right w:val="single" w:sz="4" w:space="0" w:color="000000"/>
            </w:tcBorders>
          </w:tcPr>
          <w:p w14:paraId="582F2374" w14:textId="77777777" w:rsidR="006F76EB" w:rsidRPr="00834D52" w:rsidRDefault="006F76EB" w:rsidP="00AF3B62">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Ժամկետը</w:t>
            </w:r>
          </w:p>
        </w:tc>
        <w:tc>
          <w:tcPr>
            <w:tcW w:w="1985" w:type="dxa"/>
            <w:tcBorders>
              <w:top w:val="single" w:sz="4" w:space="0" w:color="000000"/>
              <w:left w:val="single" w:sz="4" w:space="0" w:color="000000"/>
              <w:bottom w:val="single" w:sz="4" w:space="0" w:color="000000"/>
              <w:right w:val="single" w:sz="4" w:space="0" w:color="000000"/>
            </w:tcBorders>
          </w:tcPr>
          <w:p w14:paraId="23700A49" w14:textId="77777777" w:rsidR="006F76EB" w:rsidRPr="00834D52" w:rsidRDefault="006F76EB" w:rsidP="00AF3B62">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Ամսաթիվը</w:t>
            </w:r>
          </w:p>
        </w:tc>
      </w:tr>
      <w:tr w:rsidR="006F76EB" w:rsidRPr="00834D52" w14:paraId="31F1F449" w14:textId="77777777" w:rsidTr="00AF3B62">
        <w:trPr>
          <w:trHeight w:val="590"/>
        </w:trPr>
        <w:tc>
          <w:tcPr>
            <w:tcW w:w="2582" w:type="dxa"/>
            <w:tcBorders>
              <w:top w:val="single" w:sz="4" w:space="0" w:color="000000"/>
              <w:left w:val="single" w:sz="4" w:space="0" w:color="000000"/>
              <w:bottom w:val="single" w:sz="4" w:space="0" w:color="000000"/>
              <w:right w:val="single" w:sz="4" w:space="0" w:color="000000"/>
            </w:tcBorders>
          </w:tcPr>
          <w:p w14:paraId="76ED46F1" w14:textId="77777777" w:rsidR="006F76EB" w:rsidRPr="00834D52" w:rsidRDefault="006F76EB" w:rsidP="00AF3B62">
            <w:pPr>
              <w:spacing w:after="120" w:line="240" w:lineRule="auto"/>
              <w:ind w:right="-6"/>
              <w:rPr>
                <w:rFonts w:ascii="Sylfaen" w:hAnsi="Sylfae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7C78191" w14:textId="77777777" w:rsidR="006F76EB" w:rsidRPr="00834D52" w:rsidRDefault="006F76EB" w:rsidP="00AF3B62">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BC24E74" w14:textId="77777777" w:rsidR="006F76EB" w:rsidRPr="00834D52" w:rsidRDefault="006F76EB" w:rsidP="00AF3B62">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8486326" w14:textId="77777777" w:rsidR="006F76EB" w:rsidRPr="00834D52" w:rsidRDefault="006F76EB" w:rsidP="00AF3B62">
            <w:pPr>
              <w:spacing w:after="120" w:line="240" w:lineRule="auto"/>
              <w:ind w:right="-6"/>
              <w:rPr>
                <w:rFonts w:ascii="Sylfaen" w:hAnsi="Sylfae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C108CAF" w14:textId="77777777" w:rsidR="006F76EB" w:rsidRPr="00834D52" w:rsidRDefault="006F76EB" w:rsidP="00AF3B62">
            <w:pPr>
              <w:spacing w:after="120" w:line="240" w:lineRule="auto"/>
              <w:ind w:right="-6"/>
              <w:rPr>
                <w:rFonts w:ascii="Sylfaen" w:hAnsi="Sylfaen"/>
                <w:sz w:val="24"/>
                <w:szCs w:val="24"/>
              </w:rPr>
            </w:pPr>
          </w:p>
        </w:tc>
      </w:tr>
      <w:tr w:rsidR="006F76EB" w:rsidRPr="00834D52" w14:paraId="395053B6" w14:textId="77777777" w:rsidTr="00AF3B62">
        <w:trPr>
          <w:trHeight w:val="590"/>
        </w:trPr>
        <w:tc>
          <w:tcPr>
            <w:tcW w:w="2582" w:type="dxa"/>
            <w:tcBorders>
              <w:top w:val="single" w:sz="4" w:space="0" w:color="000000"/>
              <w:left w:val="single" w:sz="4" w:space="0" w:color="000000"/>
              <w:bottom w:val="single" w:sz="4" w:space="0" w:color="000000"/>
              <w:right w:val="single" w:sz="4" w:space="0" w:color="000000"/>
            </w:tcBorders>
          </w:tcPr>
          <w:p w14:paraId="2A355EC6" w14:textId="77777777" w:rsidR="006F76EB" w:rsidRPr="00834D52" w:rsidRDefault="006F76EB" w:rsidP="00AF3B62">
            <w:pPr>
              <w:spacing w:after="120" w:line="240" w:lineRule="auto"/>
              <w:ind w:right="-6"/>
              <w:rPr>
                <w:rFonts w:ascii="Sylfaen" w:eastAsia="Times New Roman" w:hAnsi="Sylfaen" w:cs="Times New Roman"/>
                <w:sz w:val="24"/>
                <w:szCs w:val="24"/>
              </w:rPr>
            </w:pPr>
            <w:r w:rsidRPr="00834D52">
              <w:rPr>
                <w:rFonts w:ascii="Sylfaen" w:hAnsi="Sylfaen"/>
                <w:sz w:val="24"/>
                <w:szCs w:val="24"/>
              </w:rPr>
              <w:t>...</w:t>
            </w:r>
          </w:p>
        </w:tc>
        <w:tc>
          <w:tcPr>
            <w:tcW w:w="1558" w:type="dxa"/>
            <w:tcBorders>
              <w:top w:val="single" w:sz="4" w:space="0" w:color="000000"/>
              <w:left w:val="single" w:sz="4" w:space="0" w:color="000000"/>
              <w:bottom w:val="single" w:sz="4" w:space="0" w:color="000000"/>
              <w:right w:val="single" w:sz="4" w:space="0" w:color="000000"/>
            </w:tcBorders>
          </w:tcPr>
          <w:p w14:paraId="5C81ABFE" w14:textId="77777777" w:rsidR="006F76EB" w:rsidRPr="00834D52" w:rsidRDefault="006F76EB" w:rsidP="00AF3B62">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5B015D9" w14:textId="77777777" w:rsidR="006F76EB" w:rsidRPr="00834D52" w:rsidRDefault="006F76EB" w:rsidP="00AF3B62">
            <w:pPr>
              <w:spacing w:after="120" w:line="240" w:lineRule="auto"/>
              <w:ind w:right="-6"/>
              <w:rPr>
                <w:rFonts w:ascii="Sylfaen" w:hAnsi="Sylfae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7F431938" w14:textId="77777777" w:rsidR="006F76EB" w:rsidRPr="00834D52" w:rsidRDefault="006F76EB" w:rsidP="00AF3B62">
            <w:pPr>
              <w:spacing w:after="120" w:line="240" w:lineRule="auto"/>
              <w:ind w:right="-6"/>
              <w:rPr>
                <w:rFonts w:ascii="Sylfaen" w:hAnsi="Sylfae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C2B6F0E" w14:textId="77777777" w:rsidR="006F76EB" w:rsidRPr="00834D52" w:rsidRDefault="006F76EB" w:rsidP="00AF3B62">
            <w:pPr>
              <w:spacing w:after="120" w:line="240" w:lineRule="auto"/>
              <w:ind w:right="-6"/>
              <w:rPr>
                <w:rFonts w:ascii="Sylfaen" w:hAnsi="Sylfaen"/>
                <w:sz w:val="24"/>
                <w:szCs w:val="24"/>
              </w:rPr>
            </w:pPr>
          </w:p>
        </w:tc>
      </w:tr>
    </w:tbl>
    <w:p w14:paraId="59A84EF9" w14:textId="77777777" w:rsidR="006F76EB" w:rsidRPr="00834D52" w:rsidRDefault="006F76EB" w:rsidP="006F76EB">
      <w:pPr>
        <w:spacing w:after="160" w:line="336" w:lineRule="auto"/>
        <w:ind w:right="-8"/>
        <w:jc w:val="center"/>
        <w:rPr>
          <w:rFonts w:ascii="Sylfaen" w:hAnsi="Sylfaen"/>
          <w:sz w:val="24"/>
          <w:szCs w:val="24"/>
          <w:lang w:val="en-US"/>
        </w:rPr>
      </w:pPr>
    </w:p>
    <w:p w14:paraId="28EA88D7" w14:textId="77777777" w:rsidR="006F76EB" w:rsidRPr="00834D52" w:rsidRDefault="006F76EB" w:rsidP="006F76EB">
      <w:pPr>
        <w:spacing w:after="160" w:line="336" w:lineRule="auto"/>
        <w:ind w:right="-6"/>
        <w:jc w:val="center"/>
        <w:rPr>
          <w:rFonts w:ascii="Sylfaen" w:eastAsia="Times New Roman" w:hAnsi="Sylfaen" w:cs="Times New Roman"/>
          <w:sz w:val="24"/>
          <w:szCs w:val="24"/>
        </w:rPr>
      </w:pPr>
      <w:r w:rsidRPr="00834D52">
        <w:rPr>
          <w:rFonts w:ascii="Sylfaen" w:hAnsi="Sylfaen"/>
          <w:sz w:val="24"/>
          <w:szCs w:val="24"/>
        </w:rPr>
        <w:t>5. Հայտի հավելվածները</w:t>
      </w:r>
    </w:p>
    <w:p w14:paraId="4890668A" w14:textId="77777777" w:rsidR="006F76EB" w:rsidRPr="00834D52" w:rsidRDefault="006F76EB" w:rsidP="00AF3B62">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5.1.</w:t>
      </w:r>
      <w:r w:rsidRPr="00834D52">
        <w:rPr>
          <w:rFonts w:ascii="Sylfaen" w:hAnsi="Sylfaen"/>
          <w:sz w:val="24"/>
          <w:szCs w:val="24"/>
        </w:rPr>
        <w:tab/>
        <w:t xml:space="preserve">Գրանցման հավաստագրի իրավատիրոջ </w:t>
      </w:r>
      <w:r w:rsidR="00C54D75">
        <w:rPr>
          <w:rFonts w:ascii="Sylfaen" w:hAnsi="Sylfaen"/>
          <w:sz w:val="24"/>
          <w:szCs w:val="24"/>
        </w:rPr>
        <w:t>և</w:t>
      </w:r>
      <w:r w:rsidRPr="00834D52">
        <w:rPr>
          <w:rFonts w:ascii="Sylfaen" w:hAnsi="Sylfaen"/>
          <w:sz w:val="24"/>
          <w:szCs w:val="24"/>
        </w:rPr>
        <w:t xml:space="preserve"> հայտատուի անունից իրավաբանական նշանակություն ունեցող գործողություններ կատարելու լիազորագիրը (եթե կիրառելի է):</w:t>
      </w:r>
    </w:p>
    <w:p w14:paraId="66BA8C14" w14:textId="77777777" w:rsidR="006F76EB" w:rsidRPr="00834D52" w:rsidRDefault="006F76EB" w:rsidP="00AF3B62">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5.2.</w:t>
      </w:r>
      <w:r w:rsidRPr="00834D52">
        <w:rPr>
          <w:rFonts w:ascii="Sylfaen" w:hAnsi="Sylfaen"/>
          <w:sz w:val="24"/>
          <w:szCs w:val="24"/>
        </w:rPr>
        <w:tab/>
        <w:t>Դեղապատրաստուկի հազվադեպ կիրառվող («որբ») կարգավիճակը հաստատող փաստաթղթի պատճենը:</w:t>
      </w:r>
    </w:p>
    <w:p w14:paraId="1D9CD434" w14:textId="77777777" w:rsidR="006F76EB" w:rsidRPr="00834D52" w:rsidRDefault="006F76EB" w:rsidP="00AF3B62">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5.3.</w:t>
      </w:r>
      <w:r w:rsidRPr="00834D52">
        <w:rPr>
          <w:rFonts w:ascii="Sylfaen" w:hAnsi="Sylfaen"/>
          <w:sz w:val="24"/>
          <w:szCs w:val="24"/>
        </w:rPr>
        <w:tab/>
        <w:t>Գրանցվող դեղապատրաստուկի առնչությամբ Եվրասիական տնտեսական միության անդամ պետությունների տարածքում գործող արտոնագրերի պատճենները:</w:t>
      </w:r>
    </w:p>
    <w:p w14:paraId="248588D0" w14:textId="77777777" w:rsidR="006F76EB" w:rsidRPr="00834D52" w:rsidRDefault="006F76EB" w:rsidP="00AF3B62">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5.4.</w:t>
      </w:r>
      <w:r w:rsidRPr="00834D52">
        <w:rPr>
          <w:rFonts w:ascii="Sylfaen" w:hAnsi="Sylfaen"/>
          <w:sz w:val="24"/>
          <w:szCs w:val="24"/>
        </w:rPr>
        <w:tab/>
        <w:t>Հայտատուի գրավոր հաստատումն այն մասին, որ դեղապատրաստուկի գրանցմամբ չի խախտվում երրորդ անձանց մտավոր սեփականության իրավունքները:</w:t>
      </w:r>
    </w:p>
    <w:p w14:paraId="31DE56B3" w14:textId="77777777" w:rsidR="006F76EB" w:rsidRPr="00834D52" w:rsidRDefault="006F76EB" w:rsidP="00AF3B62">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5.5.</w:t>
      </w:r>
      <w:r w:rsidRPr="00834D52">
        <w:rPr>
          <w:rFonts w:ascii="Sylfaen" w:hAnsi="Sylfaen"/>
          <w:sz w:val="24"/>
          <w:szCs w:val="24"/>
        </w:rPr>
        <w:tab/>
        <w:t>Եվրասիական տնտեսական միության անդամ պետության տարածքում գործող ապրանքային նշանի գրանցման վկայականի պատճենը:</w:t>
      </w:r>
    </w:p>
    <w:p w14:paraId="39B0E147" w14:textId="77777777" w:rsidR="006F76EB" w:rsidRPr="00834D52" w:rsidRDefault="006F76EB" w:rsidP="00AF3B62">
      <w:pPr>
        <w:tabs>
          <w:tab w:val="left" w:pos="1134"/>
        </w:tabs>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5.6.</w:t>
      </w:r>
      <w:r w:rsidRPr="00834D52">
        <w:rPr>
          <w:rFonts w:ascii="Sylfaen" w:hAnsi="Sylfaen"/>
          <w:spacing w:val="-4"/>
          <w:sz w:val="24"/>
          <w:szCs w:val="24"/>
        </w:rPr>
        <w:tab/>
        <w:t xml:space="preserve">Որակի հսկողության հարցերով լիազորված անձի հայտը՝ արտադրության՝ Եվրասիական տնտեսական միության պատշաճ արտադրական գործունեության կանոններին </w:t>
      </w:r>
      <w:r w:rsidR="00C54D75">
        <w:rPr>
          <w:rFonts w:ascii="Sylfaen" w:hAnsi="Sylfaen"/>
          <w:spacing w:val="-4"/>
          <w:sz w:val="24"/>
          <w:szCs w:val="24"/>
        </w:rPr>
        <w:t>և</w:t>
      </w:r>
      <w:r w:rsidRPr="00834D52">
        <w:rPr>
          <w:rFonts w:ascii="Sylfaen" w:hAnsi="Sylfaen"/>
          <w:spacing w:val="-4"/>
          <w:sz w:val="24"/>
          <w:szCs w:val="24"/>
        </w:rPr>
        <w:t xml:space="preserve"> դեղապատրաստուկի ու ԱԴԲ-ի արտադրության գործընթացում օգտագործվող յուրաքանչյուր արտադրական հարթակի համար ելանյութերի մասով պատշաճ գործունեության ձեռնարկներին համապատասխանելու մասին, ներառյալ այն հարթակները, որտեղ իրականացվում է որակի հսկողություն (արտադրության գործընթացում հսկողություն):</w:t>
      </w:r>
    </w:p>
    <w:p w14:paraId="51BF28E0" w14:textId="77777777" w:rsidR="006F76EB" w:rsidRPr="00F06D43" w:rsidRDefault="006F76EB" w:rsidP="006F76EB">
      <w:pPr>
        <w:spacing w:after="160" w:line="360" w:lineRule="auto"/>
        <w:ind w:left="567" w:right="565"/>
        <w:jc w:val="center"/>
        <w:rPr>
          <w:rFonts w:ascii="Sylfaen" w:eastAsia="Times New Roman" w:hAnsi="Sylfaen" w:cs="Times New Roman"/>
          <w:sz w:val="24"/>
          <w:szCs w:val="24"/>
        </w:rPr>
      </w:pPr>
      <w:r w:rsidRPr="00F06D43">
        <w:rPr>
          <w:rFonts w:ascii="Sylfaen" w:hAnsi="Sylfaen"/>
          <w:sz w:val="24"/>
          <w:szCs w:val="24"/>
        </w:rPr>
        <w:lastRenderedPageBreak/>
        <w:t xml:space="preserve">III. </w:t>
      </w:r>
      <w:r w:rsidR="00F06D43" w:rsidRPr="00F06D43">
        <w:rPr>
          <w:rFonts w:ascii="Sylfaen" w:hAnsi="Sylfaen"/>
          <w:sz w:val="24"/>
          <w:szCs w:val="24"/>
        </w:rPr>
        <w:t>ՀԱՅՏ</w:t>
      </w:r>
      <w:r w:rsidRPr="00F06D43">
        <w:rPr>
          <w:rFonts w:ascii="Sylfaen" w:hAnsi="Sylfaen"/>
          <w:sz w:val="24"/>
          <w:szCs w:val="24"/>
        </w:rPr>
        <w:t xml:space="preserve"> </w:t>
      </w:r>
      <w:r w:rsidR="00537062">
        <w:rPr>
          <w:rFonts w:ascii="Sylfaen" w:hAnsi="Sylfaen"/>
          <w:sz w:val="24"/>
          <w:szCs w:val="24"/>
        </w:rPr>
        <w:br/>
      </w:r>
      <w:r w:rsidR="00F06D43" w:rsidRPr="00F06D43">
        <w:rPr>
          <w:rFonts w:ascii="Sylfaen" w:hAnsi="Sylfaen"/>
          <w:sz w:val="24"/>
          <w:szCs w:val="24"/>
        </w:rPr>
        <w:t>Դ</w:t>
      </w:r>
      <w:r w:rsidRPr="00F06D43">
        <w:rPr>
          <w:rFonts w:ascii="Sylfaen" w:hAnsi="Sylfaen"/>
          <w:sz w:val="24"/>
          <w:szCs w:val="24"/>
        </w:rPr>
        <w:t xml:space="preserve">եղապատրաստուկի գրանցման դոսյեում </w:t>
      </w:r>
      <w:r w:rsidRPr="00F06D43">
        <w:rPr>
          <w:rFonts w:ascii="Sylfaen" w:hAnsi="Sylfaen"/>
          <w:sz w:val="24"/>
          <w:szCs w:val="24"/>
        </w:rPr>
        <w:br/>
        <w:t>փոփոխություններ կատարելու մասին</w:t>
      </w:r>
    </w:p>
    <w:tbl>
      <w:tblPr>
        <w:tblStyle w:val="TableGrid"/>
        <w:tblW w:w="955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56"/>
      </w:tblGrid>
      <w:tr w:rsidR="006F76EB" w:rsidRPr="00834D52" w14:paraId="3297B0B6" w14:textId="77777777" w:rsidTr="00B9781A">
        <w:trPr>
          <w:trHeight w:val="442"/>
        </w:trPr>
        <w:tc>
          <w:tcPr>
            <w:tcW w:w="5103" w:type="dxa"/>
          </w:tcPr>
          <w:p w14:paraId="2D8FE92D"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Հայտն ստանալու ամսաթիվը</w:t>
            </w:r>
          </w:p>
        </w:tc>
        <w:tc>
          <w:tcPr>
            <w:tcW w:w="4456" w:type="dxa"/>
            <w:vMerge w:val="restart"/>
          </w:tcPr>
          <w:p w14:paraId="04F127FC" w14:textId="77777777" w:rsidR="006F76EB" w:rsidRPr="00834D52" w:rsidRDefault="006F76EB" w:rsidP="00F71229">
            <w:pPr>
              <w:spacing w:after="160" w:line="360" w:lineRule="auto"/>
              <w:ind w:right="-8"/>
              <w:rPr>
                <w:rFonts w:ascii="Sylfaen" w:eastAsia="Times New Roman" w:hAnsi="Sylfaen" w:cs="Times New Roman"/>
                <w:sz w:val="24"/>
                <w:szCs w:val="24"/>
              </w:rPr>
            </w:pPr>
            <w:r w:rsidRPr="00834D52">
              <w:rPr>
                <w:rFonts w:ascii="Sylfaen" w:hAnsi="Sylfaen"/>
                <w:sz w:val="24"/>
                <w:szCs w:val="24"/>
              </w:rPr>
              <w:t>թիվ _______________________________</w:t>
            </w:r>
          </w:p>
        </w:tc>
      </w:tr>
      <w:tr w:rsidR="006F76EB" w:rsidRPr="00834D52" w14:paraId="23177D77" w14:textId="77777777" w:rsidTr="00B9781A">
        <w:trPr>
          <w:trHeight w:val="497"/>
        </w:trPr>
        <w:tc>
          <w:tcPr>
            <w:tcW w:w="5103" w:type="dxa"/>
          </w:tcPr>
          <w:p w14:paraId="0062F882" w14:textId="77777777" w:rsidR="006F76EB" w:rsidRPr="00834D52" w:rsidRDefault="006F76EB" w:rsidP="00F71229">
            <w:pPr>
              <w:spacing w:after="160" w:line="360" w:lineRule="auto"/>
              <w:ind w:right="-8"/>
              <w:rPr>
                <w:rFonts w:ascii="Sylfaen" w:hAnsi="Sylfaen"/>
                <w:sz w:val="24"/>
                <w:szCs w:val="24"/>
              </w:rPr>
            </w:pPr>
            <w:r w:rsidRPr="00834D52">
              <w:rPr>
                <w:rFonts w:ascii="Sylfaen" w:hAnsi="Sylfaen"/>
                <w:sz w:val="24"/>
                <w:szCs w:val="24"/>
              </w:rPr>
              <w:t>«___» _______________ 20 ___ թ.</w:t>
            </w:r>
          </w:p>
        </w:tc>
        <w:tc>
          <w:tcPr>
            <w:tcW w:w="4456" w:type="dxa"/>
            <w:vMerge/>
          </w:tcPr>
          <w:p w14:paraId="6FE44427" w14:textId="77777777" w:rsidR="006F76EB" w:rsidRPr="00834D52" w:rsidRDefault="006F76EB" w:rsidP="00F71229">
            <w:pPr>
              <w:spacing w:after="160" w:line="360" w:lineRule="auto"/>
              <w:ind w:right="-8"/>
              <w:rPr>
                <w:rFonts w:ascii="Sylfaen" w:hAnsi="Sylfaen"/>
                <w:sz w:val="24"/>
                <w:szCs w:val="24"/>
              </w:rPr>
            </w:pPr>
          </w:p>
        </w:tc>
      </w:tr>
    </w:tbl>
    <w:p w14:paraId="5734F24E" w14:textId="77777777" w:rsidR="006F76EB" w:rsidRPr="00834D52" w:rsidRDefault="006F76EB" w:rsidP="00666B75">
      <w:pPr>
        <w:spacing w:after="120" w:line="240" w:lineRule="auto"/>
        <w:ind w:right="-6"/>
        <w:jc w:val="center"/>
        <w:rPr>
          <w:rFonts w:ascii="Sylfaen" w:eastAsia="Times New Roman" w:hAnsi="Sylfaen" w:cs="Times New Roman"/>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5558"/>
        <w:gridCol w:w="4241"/>
      </w:tblGrid>
      <w:tr w:rsidR="006F76EB" w:rsidRPr="00834D52" w14:paraId="359CDDC2" w14:textId="77777777" w:rsidTr="00BC304C">
        <w:trPr>
          <w:trHeight w:val="640"/>
          <w:jc w:val="center"/>
        </w:trPr>
        <w:tc>
          <w:tcPr>
            <w:tcW w:w="5558" w:type="dxa"/>
            <w:tcBorders>
              <w:top w:val="single" w:sz="4" w:space="0" w:color="000000"/>
              <w:left w:val="single" w:sz="4" w:space="0" w:color="000000"/>
              <w:bottom w:val="single" w:sz="4" w:space="0" w:color="000000"/>
              <w:right w:val="single" w:sz="4" w:space="0" w:color="000000"/>
            </w:tcBorders>
          </w:tcPr>
          <w:p w14:paraId="25407D65"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առ</w:t>
            </w:r>
            <w:r w:rsidR="00C54D75">
              <w:rPr>
                <w:rFonts w:ascii="Sylfaen" w:hAnsi="Sylfaen"/>
                <w:sz w:val="24"/>
                <w:szCs w:val="24"/>
              </w:rPr>
              <w:t>և</w:t>
            </w:r>
            <w:r w:rsidRPr="00834D52">
              <w:rPr>
                <w:rFonts w:ascii="Sylfaen" w:hAnsi="Sylfaen"/>
                <w:sz w:val="24"/>
                <w:szCs w:val="24"/>
              </w:rPr>
              <w:t>տրային անվանումները</w:t>
            </w:r>
          </w:p>
        </w:tc>
        <w:tc>
          <w:tcPr>
            <w:tcW w:w="4241" w:type="dxa"/>
            <w:tcBorders>
              <w:top w:val="single" w:sz="4" w:space="0" w:color="000000"/>
              <w:left w:val="single" w:sz="4" w:space="0" w:color="000000"/>
              <w:bottom w:val="single" w:sz="4" w:space="0" w:color="000000"/>
              <w:right w:val="single" w:sz="4" w:space="0" w:color="000000"/>
            </w:tcBorders>
          </w:tcPr>
          <w:p w14:paraId="3617441D" w14:textId="77777777" w:rsidR="006F76EB" w:rsidRPr="00834D52" w:rsidRDefault="006F76EB" w:rsidP="00537062">
            <w:pPr>
              <w:spacing w:after="60" w:line="240" w:lineRule="auto"/>
              <w:ind w:right="-6"/>
              <w:rPr>
                <w:rFonts w:ascii="Sylfaen" w:hAnsi="Sylfaen"/>
                <w:sz w:val="24"/>
                <w:szCs w:val="24"/>
              </w:rPr>
            </w:pPr>
          </w:p>
        </w:tc>
      </w:tr>
      <w:tr w:rsidR="006F76EB" w:rsidRPr="00834D52" w14:paraId="5C10B428" w14:textId="77777777" w:rsidTr="00BC304C">
        <w:trPr>
          <w:trHeight w:val="377"/>
          <w:jc w:val="center"/>
        </w:trPr>
        <w:tc>
          <w:tcPr>
            <w:tcW w:w="5558" w:type="dxa"/>
            <w:tcBorders>
              <w:top w:val="single" w:sz="4" w:space="0" w:color="000000"/>
              <w:left w:val="single" w:sz="4" w:space="0" w:color="000000"/>
              <w:bottom w:val="single" w:sz="4" w:space="0" w:color="000000"/>
              <w:right w:val="single" w:sz="4" w:space="0" w:color="000000"/>
            </w:tcBorders>
          </w:tcPr>
          <w:p w14:paraId="5DF4316B"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Ակտիվ դեղաբանական բաղադրամասերը</w:t>
            </w:r>
          </w:p>
        </w:tc>
        <w:tc>
          <w:tcPr>
            <w:tcW w:w="4241" w:type="dxa"/>
            <w:tcBorders>
              <w:top w:val="single" w:sz="4" w:space="0" w:color="000000"/>
              <w:left w:val="single" w:sz="4" w:space="0" w:color="000000"/>
              <w:bottom w:val="single" w:sz="4" w:space="0" w:color="000000"/>
              <w:right w:val="single" w:sz="4" w:space="0" w:color="000000"/>
            </w:tcBorders>
          </w:tcPr>
          <w:p w14:paraId="7C18BCD2" w14:textId="77777777" w:rsidR="006F76EB" w:rsidRPr="00834D52" w:rsidRDefault="006F76EB" w:rsidP="00537062">
            <w:pPr>
              <w:spacing w:after="60" w:line="240" w:lineRule="auto"/>
              <w:ind w:right="-6"/>
              <w:rPr>
                <w:rFonts w:ascii="Sylfaen" w:hAnsi="Sylfaen"/>
                <w:sz w:val="24"/>
                <w:szCs w:val="24"/>
              </w:rPr>
            </w:pPr>
          </w:p>
        </w:tc>
      </w:tr>
      <w:tr w:rsidR="006F76EB" w:rsidRPr="00834D52" w14:paraId="37279FC0" w14:textId="77777777" w:rsidTr="00BC304C">
        <w:trPr>
          <w:trHeight w:val="668"/>
          <w:jc w:val="center"/>
        </w:trPr>
        <w:tc>
          <w:tcPr>
            <w:tcW w:w="5558" w:type="dxa"/>
            <w:tcBorders>
              <w:top w:val="single" w:sz="4" w:space="0" w:color="000000"/>
              <w:left w:val="single" w:sz="4" w:space="0" w:color="000000"/>
              <w:bottom w:val="single" w:sz="4" w:space="0" w:color="000000"/>
              <w:right w:val="single" w:sz="4" w:space="0" w:color="000000"/>
            </w:tcBorders>
          </w:tcPr>
          <w:p w14:paraId="07DC43B8" w14:textId="77777777" w:rsidR="006F76EB" w:rsidRPr="00834D52" w:rsidRDefault="006F76EB" w:rsidP="00537062">
            <w:pPr>
              <w:spacing w:after="60" w:line="240" w:lineRule="auto"/>
              <w:ind w:left="186" w:right="69"/>
              <w:rPr>
                <w:rFonts w:ascii="Sylfaen" w:eastAsia="Times New Roman" w:hAnsi="Sylfaen" w:cs="Times New Roman"/>
                <w:sz w:val="24"/>
                <w:szCs w:val="24"/>
              </w:rPr>
            </w:pPr>
            <w:r w:rsidRPr="00834D52">
              <w:rPr>
                <w:rFonts w:ascii="Sylfaen" w:hAnsi="Sylfaen"/>
                <w:sz w:val="24"/>
                <w:szCs w:val="24"/>
              </w:rPr>
              <w:t>Դոզավորումները կամ կոնցենտրացիաները</w:t>
            </w:r>
          </w:p>
        </w:tc>
        <w:tc>
          <w:tcPr>
            <w:tcW w:w="4241" w:type="dxa"/>
            <w:tcBorders>
              <w:top w:val="single" w:sz="4" w:space="0" w:color="000000"/>
              <w:left w:val="single" w:sz="4" w:space="0" w:color="000000"/>
              <w:bottom w:val="single" w:sz="4" w:space="0" w:color="000000"/>
              <w:right w:val="single" w:sz="4" w:space="0" w:color="000000"/>
            </w:tcBorders>
          </w:tcPr>
          <w:p w14:paraId="281E8D83" w14:textId="77777777" w:rsidR="006F76EB" w:rsidRPr="00834D52" w:rsidRDefault="006F76EB" w:rsidP="00537062">
            <w:pPr>
              <w:spacing w:after="60" w:line="240" w:lineRule="auto"/>
              <w:ind w:right="-6"/>
              <w:rPr>
                <w:rFonts w:ascii="Sylfaen" w:hAnsi="Sylfaen"/>
                <w:sz w:val="24"/>
                <w:szCs w:val="24"/>
              </w:rPr>
            </w:pPr>
          </w:p>
        </w:tc>
      </w:tr>
      <w:tr w:rsidR="006F76EB" w:rsidRPr="00834D52" w14:paraId="3F4D39C9" w14:textId="77777777" w:rsidTr="00BC304C">
        <w:trPr>
          <w:trHeight w:val="364"/>
          <w:jc w:val="center"/>
        </w:trPr>
        <w:tc>
          <w:tcPr>
            <w:tcW w:w="5558" w:type="dxa"/>
            <w:tcBorders>
              <w:top w:val="single" w:sz="4" w:space="0" w:color="000000"/>
              <w:left w:val="single" w:sz="4" w:space="0" w:color="000000"/>
              <w:bottom w:val="single" w:sz="4" w:space="0" w:color="000000"/>
              <w:right w:val="single" w:sz="4" w:space="0" w:color="000000"/>
            </w:tcBorders>
          </w:tcPr>
          <w:p w14:paraId="06285555"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ը</w:t>
            </w:r>
          </w:p>
        </w:tc>
        <w:tc>
          <w:tcPr>
            <w:tcW w:w="4241" w:type="dxa"/>
            <w:tcBorders>
              <w:top w:val="single" w:sz="4" w:space="0" w:color="000000"/>
              <w:left w:val="single" w:sz="4" w:space="0" w:color="000000"/>
              <w:bottom w:val="single" w:sz="4" w:space="0" w:color="000000"/>
              <w:right w:val="single" w:sz="4" w:space="0" w:color="000000"/>
            </w:tcBorders>
          </w:tcPr>
          <w:p w14:paraId="545E436B" w14:textId="77777777" w:rsidR="006F76EB" w:rsidRPr="00834D52" w:rsidRDefault="006F76EB" w:rsidP="00537062">
            <w:pPr>
              <w:spacing w:after="60" w:line="240" w:lineRule="auto"/>
              <w:ind w:right="-6"/>
              <w:rPr>
                <w:rFonts w:ascii="Sylfaen" w:hAnsi="Sylfaen"/>
                <w:sz w:val="24"/>
                <w:szCs w:val="24"/>
              </w:rPr>
            </w:pPr>
          </w:p>
        </w:tc>
      </w:tr>
      <w:tr w:rsidR="006F76EB" w:rsidRPr="00834D52" w14:paraId="0413DC5D" w14:textId="77777777" w:rsidTr="00BC304C">
        <w:trPr>
          <w:trHeight w:val="377"/>
          <w:jc w:val="center"/>
        </w:trPr>
        <w:tc>
          <w:tcPr>
            <w:tcW w:w="5558" w:type="dxa"/>
            <w:tcBorders>
              <w:top w:val="single" w:sz="4" w:space="0" w:color="000000"/>
              <w:left w:val="single" w:sz="4" w:space="0" w:color="000000"/>
              <w:bottom w:val="single" w:sz="4" w:space="0" w:color="000000"/>
              <w:right w:val="single" w:sz="4" w:space="0" w:color="000000"/>
            </w:tcBorders>
          </w:tcPr>
          <w:p w14:paraId="10AEACAA"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Բացթողման ձ</w:t>
            </w:r>
            <w:r w:rsidR="00C54D75">
              <w:rPr>
                <w:rFonts w:ascii="Sylfaen" w:hAnsi="Sylfaen"/>
                <w:sz w:val="24"/>
                <w:szCs w:val="24"/>
              </w:rPr>
              <w:t>և</w:t>
            </w:r>
            <w:r w:rsidRPr="00834D52">
              <w:rPr>
                <w:rFonts w:ascii="Sylfaen" w:hAnsi="Sylfaen"/>
                <w:sz w:val="24"/>
                <w:szCs w:val="24"/>
              </w:rPr>
              <w:t>ը</w:t>
            </w:r>
          </w:p>
        </w:tc>
        <w:tc>
          <w:tcPr>
            <w:tcW w:w="4241" w:type="dxa"/>
            <w:tcBorders>
              <w:top w:val="single" w:sz="4" w:space="0" w:color="000000"/>
              <w:left w:val="single" w:sz="4" w:space="0" w:color="000000"/>
              <w:bottom w:val="single" w:sz="4" w:space="0" w:color="000000"/>
              <w:right w:val="single" w:sz="4" w:space="0" w:color="000000"/>
            </w:tcBorders>
          </w:tcPr>
          <w:p w14:paraId="1822A4AA" w14:textId="77777777" w:rsidR="006F76EB" w:rsidRPr="00834D52" w:rsidRDefault="006F76EB" w:rsidP="00537062">
            <w:pPr>
              <w:spacing w:after="60" w:line="240" w:lineRule="auto"/>
              <w:ind w:right="-6"/>
              <w:rPr>
                <w:rFonts w:ascii="Sylfaen" w:hAnsi="Sylfaen"/>
                <w:sz w:val="24"/>
                <w:szCs w:val="24"/>
              </w:rPr>
            </w:pPr>
          </w:p>
        </w:tc>
      </w:tr>
      <w:tr w:rsidR="006F76EB" w:rsidRPr="00834D52" w14:paraId="17E44B2D" w14:textId="77777777" w:rsidTr="00BC304C">
        <w:trPr>
          <w:trHeight w:val="364"/>
          <w:jc w:val="center"/>
        </w:trPr>
        <w:tc>
          <w:tcPr>
            <w:tcW w:w="5558" w:type="dxa"/>
            <w:tcBorders>
              <w:top w:val="single" w:sz="4" w:space="0" w:color="000000"/>
              <w:left w:val="single" w:sz="4" w:space="0" w:color="000000"/>
              <w:bottom w:val="single" w:sz="4" w:space="0" w:color="000000"/>
              <w:right w:val="single" w:sz="4" w:space="0" w:color="000000"/>
            </w:tcBorders>
          </w:tcPr>
          <w:p w14:paraId="08F97DA8"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w:t>
            </w:r>
          </w:p>
        </w:tc>
        <w:tc>
          <w:tcPr>
            <w:tcW w:w="4241" w:type="dxa"/>
            <w:tcBorders>
              <w:top w:val="single" w:sz="4" w:space="0" w:color="000000"/>
              <w:left w:val="single" w:sz="4" w:space="0" w:color="000000"/>
              <w:bottom w:val="single" w:sz="4" w:space="0" w:color="000000"/>
              <w:right w:val="single" w:sz="4" w:space="0" w:color="000000"/>
            </w:tcBorders>
          </w:tcPr>
          <w:p w14:paraId="66564D67" w14:textId="77777777" w:rsidR="006F76EB" w:rsidRPr="00834D52" w:rsidRDefault="006F76EB" w:rsidP="00537062">
            <w:pPr>
              <w:spacing w:after="60" w:line="240" w:lineRule="auto"/>
              <w:ind w:right="-6"/>
              <w:rPr>
                <w:rFonts w:ascii="Sylfaen" w:hAnsi="Sylfaen"/>
                <w:sz w:val="24"/>
                <w:szCs w:val="24"/>
              </w:rPr>
            </w:pPr>
          </w:p>
        </w:tc>
      </w:tr>
      <w:tr w:rsidR="006F76EB" w:rsidRPr="00834D52" w14:paraId="5E455F04" w14:textId="77777777" w:rsidTr="00BC304C">
        <w:trPr>
          <w:trHeight w:val="377"/>
          <w:jc w:val="center"/>
        </w:trPr>
        <w:tc>
          <w:tcPr>
            <w:tcW w:w="5558" w:type="dxa"/>
            <w:tcBorders>
              <w:top w:val="single" w:sz="4" w:space="0" w:color="000000"/>
              <w:left w:val="single" w:sz="4" w:space="0" w:color="000000"/>
              <w:bottom w:val="single" w:sz="4" w:space="0" w:color="000000"/>
              <w:right w:val="single" w:sz="4" w:space="0" w:color="000000"/>
            </w:tcBorders>
          </w:tcPr>
          <w:p w14:paraId="2C24C043"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Հայտատուն</w:t>
            </w:r>
          </w:p>
        </w:tc>
        <w:tc>
          <w:tcPr>
            <w:tcW w:w="4241" w:type="dxa"/>
            <w:tcBorders>
              <w:top w:val="single" w:sz="4" w:space="0" w:color="000000"/>
              <w:left w:val="single" w:sz="4" w:space="0" w:color="000000"/>
              <w:bottom w:val="single" w:sz="4" w:space="0" w:color="000000"/>
              <w:right w:val="single" w:sz="4" w:space="0" w:color="000000"/>
            </w:tcBorders>
          </w:tcPr>
          <w:p w14:paraId="18F085B0" w14:textId="77777777" w:rsidR="006F76EB" w:rsidRPr="00834D52" w:rsidRDefault="006F76EB" w:rsidP="00537062">
            <w:pPr>
              <w:spacing w:after="60" w:line="240" w:lineRule="auto"/>
              <w:ind w:right="-6"/>
              <w:rPr>
                <w:rFonts w:ascii="Sylfaen" w:hAnsi="Sylfaen"/>
                <w:sz w:val="24"/>
                <w:szCs w:val="24"/>
              </w:rPr>
            </w:pPr>
          </w:p>
        </w:tc>
      </w:tr>
      <w:tr w:rsidR="006F76EB" w:rsidRPr="00834D52" w14:paraId="31E27313" w14:textId="77777777" w:rsidTr="00BC304C">
        <w:trPr>
          <w:trHeight w:val="377"/>
          <w:jc w:val="center"/>
        </w:trPr>
        <w:tc>
          <w:tcPr>
            <w:tcW w:w="5558" w:type="dxa"/>
            <w:tcBorders>
              <w:top w:val="single" w:sz="4" w:space="0" w:color="000000"/>
              <w:left w:val="single" w:sz="4" w:space="0" w:color="000000"/>
              <w:bottom w:val="single" w:sz="4" w:space="0" w:color="000000"/>
              <w:right w:val="single" w:sz="4" w:space="0" w:color="000000"/>
            </w:tcBorders>
          </w:tcPr>
          <w:p w14:paraId="265B117E"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Հայտատուի ներկայացուցիչը</w:t>
            </w:r>
          </w:p>
        </w:tc>
        <w:tc>
          <w:tcPr>
            <w:tcW w:w="4241" w:type="dxa"/>
            <w:tcBorders>
              <w:top w:val="single" w:sz="4" w:space="0" w:color="000000"/>
              <w:left w:val="single" w:sz="4" w:space="0" w:color="000000"/>
              <w:bottom w:val="single" w:sz="4" w:space="0" w:color="000000"/>
              <w:right w:val="single" w:sz="4" w:space="0" w:color="000000"/>
            </w:tcBorders>
          </w:tcPr>
          <w:p w14:paraId="0EBADDFA" w14:textId="77777777" w:rsidR="006F76EB" w:rsidRPr="00834D52" w:rsidRDefault="006F76EB" w:rsidP="00537062">
            <w:pPr>
              <w:spacing w:after="60" w:line="240" w:lineRule="auto"/>
              <w:ind w:right="-6"/>
              <w:rPr>
                <w:rFonts w:ascii="Sylfaen" w:hAnsi="Sylfaen"/>
                <w:sz w:val="24"/>
                <w:szCs w:val="24"/>
              </w:rPr>
            </w:pPr>
          </w:p>
        </w:tc>
      </w:tr>
      <w:tr w:rsidR="006F76EB" w:rsidRPr="00834D52" w14:paraId="66A0F1DF" w14:textId="77777777" w:rsidTr="00BC304C">
        <w:trPr>
          <w:trHeight w:val="364"/>
          <w:jc w:val="center"/>
        </w:trPr>
        <w:tc>
          <w:tcPr>
            <w:tcW w:w="9799" w:type="dxa"/>
            <w:gridSpan w:val="2"/>
            <w:tcBorders>
              <w:top w:val="single" w:sz="4" w:space="0" w:color="000000"/>
              <w:left w:val="single" w:sz="4" w:space="0" w:color="000000"/>
              <w:bottom w:val="single" w:sz="4" w:space="0" w:color="000000"/>
              <w:right w:val="single" w:sz="4" w:space="0" w:color="000000"/>
            </w:tcBorders>
          </w:tcPr>
          <w:p w14:paraId="57655CAB" w14:textId="77777777" w:rsidR="006F76EB" w:rsidRPr="00834D52" w:rsidRDefault="006F76EB" w:rsidP="00537062">
            <w:pPr>
              <w:spacing w:after="60" w:line="240" w:lineRule="auto"/>
              <w:ind w:left="186" w:right="-6"/>
              <w:jc w:val="center"/>
              <w:rPr>
                <w:rFonts w:ascii="Sylfaen" w:eastAsia="Times New Roman" w:hAnsi="Sylfaen" w:cs="Times New Roman"/>
                <w:sz w:val="24"/>
                <w:szCs w:val="24"/>
              </w:rPr>
            </w:pPr>
            <w:r w:rsidRPr="00834D52">
              <w:rPr>
                <w:rFonts w:ascii="Sylfaen" w:hAnsi="Sylfaen"/>
                <w:sz w:val="24"/>
                <w:szCs w:val="24"/>
              </w:rPr>
              <w:t>Գրանցման հավաստագրի տվյալները</w:t>
            </w:r>
          </w:p>
        </w:tc>
      </w:tr>
      <w:tr w:rsidR="006F76EB" w:rsidRPr="00834D52" w14:paraId="2921B9A5" w14:textId="77777777" w:rsidTr="00BC304C">
        <w:trPr>
          <w:trHeight w:val="377"/>
          <w:jc w:val="center"/>
        </w:trPr>
        <w:tc>
          <w:tcPr>
            <w:tcW w:w="5558" w:type="dxa"/>
            <w:tcBorders>
              <w:top w:val="single" w:sz="4" w:space="0" w:color="000000"/>
              <w:left w:val="single" w:sz="4" w:space="0" w:color="000000"/>
              <w:bottom w:val="single" w:sz="4" w:space="0" w:color="000000"/>
              <w:right w:val="single" w:sz="4" w:space="0" w:color="000000"/>
            </w:tcBorders>
          </w:tcPr>
          <w:p w14:paraId="476BEB7A"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4241" w:type="dxa"/>
            <w:tcBorders>
              <w:top w:val="single" w:sz="4" w:space="0" w:color="000000"/>
              <w:left w:val="single" w:sz="4" w:space="0" w:color="000000"/>
              <w:bottom w:val="single" w:sz="4" w:space="0" w:color="000000"/>
              <w:right w:val="single" w:sz="4" w:space="0" w:color="000000"/>
            </w:tcBorders>
          </w:tcPr>
          <w:p w14:paraId="12357DA4" w14:textId="77777777" w:rsidR="006F76EB" w:rsidRPr="00834D52" w:rsidRDefault="006F76EB" w:rsidP="00537062">
            <w:pPr>
              <w:spacing w:after="60" w:line="240" w:lineRule="auto"/>
              <w:ind w:right="-6"/>
              <w:rPr>
                <w:rFonts w:ascii="Sylfaen" w:hAnsi="Sylfaen"/>
                <w:sz w:val="24"/>
                <w:szCs w:val="24"/>
              </w:rPr>
            </w:pPr>
          </w:p>
        </w:tc>
      </w:tr>
      <w:tr w:rsidR="006F76EB" w:rsidRPr="00834D52" w14:paraId="5F12B5D3" w14:textId="77777777" w:rsidTr="00BC304C">
        <w:trPr>
          <w:trHeight w:val="364"/>
          <w:jc w:val="center"/>
        </w:trPr>
        <w:tc>
          <w:tcPr>
            <w:tcW w:w="5558" w:type="dxa"/>
            <w:tcBorders>
              <w:top w:val="single" w:sz="4" w:space="0" w:color="000000"/>
              <w:left w:val="single" w:sz="4" w:space="0" w:color="000000"/>
              <w:bottom w:val="single" w:sz="4" w:space="0" w:color="000000"/>
              <w:right w:val="single" w:sz="4" w:space="0" w:color="000000"/>
            </w:tcBorders>
          </w:tcPr>
          <w:p w14:paraId="0DDBCA35"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գրանցման ամսաթիվը</w:t>
            </w:r>
          </w:p>
        </w:tc>
        <w:tc>
          <w:tcPr>
            <w:tcW w:w="4241" w:type="dxa"/>
            <w:tcBorders>
              <w:top w:val="single" w:sz="4" w:space="0" w:color="000000"/>
              <w:left w:val="single" w:sz="4" w:space="0" w:color="000000"/>
              <w:bottom w:val="single" w:sz="4" w:space="0" w:color="000000"/>
              <w:right w:val="single" w:sz="4" w:space="0" w:color="000000"/>
            </w:tcBorders>
          </w:tcPr>
          <w:p w14:paraId="43E90FDF" w14:textId="77777777" w:rsidR="006F76EB" w:rsidRPr="00834D52" w:rsidRDefault="006F76EB" w:rsidP="00537062">
            <w:pPr>
              <w:spacing w:after="60" w:line="240" w:lineRule="auto"/>
              <w:ind w:right="-6"/>
              <w:rPr>
                <w:rFonts w:ascii="Sylfaen" w:hAnsi="Sylfaen"/>
                <w:sz w:val="24"/>
                <w:szCs w:val="24"/>
              </w:rPr>
            </w:pPr>
          </w:p>
        </w:tc>
      </w:tr>
      <w:tr w:rsidR="006F76EB" w:rsidRPr="00834D52" w14:paraId="38CEAD89" w14:textId="77777777" w:rsidTr="00BC304C">
        <w:trPr>
          <w:trHeight w:val="529"/>
          <w:jc w:val="center"/>
        </w:trPr>
        <w:tc>
          <w:tcPr>
            <w:tcW w:w="5558" w:type="dxa"/>
            <w:tcBorders>
              <w:top w:val="single" w:sz="4" w:space="0" w:color="000000"/>
              <w:left w:val="single" w:sz="4" w:space="0" w:color="000000"/>
              <w:bottom w:val="single" w:sz="4" w:space="0" w:color="000000"/>
              <w:right w:val="single" w:sz="4" w:space="0" w:color="000000"/>
            </w:tcBorders>
          </w:tcPr>
          <w:p w14:paraId="6BD65B5B" w14:textId="77777777" w:rsidR="006F76EB" w:rsidRPr="00834D52" w:rsidRDefault="006F76EB" w:rsidP="00537062">
            <w:pPr>
              <w:spacing w:after="60" w:line="240" w:lineRule="auto"/>
              <w:ind w:left="186" w:right="-6"/>
              <w:rPr>
                <w:rFonts w:ascii="Sylfaen" w:eastAsia="Times New Roman" w:hAnsi="Sylfaen" w:cs="Times New Roman"/>
                <w:sz w:val="24"/>
                <w:szCs w:val="24"/>
              </w:rPr>
            </w:pPr>
            <w:r w:rsidRPr="00834D52">
              <w:rPr>
                <w:rFonts w:ascii="Sylfaen" w:hAnsi="Sylfaen"/>
                <w:sz w:val="24"/>
                <w:szCs w:val="24"/>
              </w:rPr>
              <w:t>որակի նորմատիվային փաստաթղթի համարը</w:t>
            </w:r>
          </w:p>
        </w:tc>
        <w:tc>
          <w:tcPr>
            <w:tcW w:w="4241" w:type="dxa"/>
            <w:tcBorders>
              <w:top w:val="single" w:sz="4" w:space="0" w:color="000000"/>
              <w:left w:val="single" w:sz="4" w:space="0" w:color="000000"/>
              <w:bottom w:val="single" w:sz="4" w:space="0" w:color="000000"/>
              <w:right w:val="single" w:sz="4" w:space="0" w:color="000000"/>
            </w:tcBorders>
          </w:tcPr>
          <w:p w14:paraId="197BADFE" w14:textId="77777777" w:rsidR="006F76EB" w:rsidRPr="00834D52" w:rsidRDefault="006F76EB" w:rsidP="00537062">
            <w:pPr>
              <w:spacing w:after="60" w:line="240" w:lineRule="auto"/>
              <w:ind w:right="-6"/>
              <w:rPr>
                <w:rFonts w:ascii="Sylfaen" w:hAnsi="Sylfaen"/>
                <w:sz w:val="24"/>
                <w:szCs w:val="24"/>
              </w:rPr>
            </w:pPr>
          </w:p>
        </w:tc>
      </w:tr>
    </w:tbl>
    <w:p w14:paraId="6BE42673" w14:textId="77777777" w:rsidR="006F76EB" w:rsidRPr="00834D52" w:rsidRDefault="006F76EB" w:rsidP="00B9781A">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երաշխավորում եմ ներկայացված փաստաթղթերում </w:t>
      </w:r>
      <w:r w:rsidR="00C54D75">
        <w:rPr>
          <w:rFonts w:ascii="Sylfaen" w:hAnsi="Sylfaen"/>
          <w:sz w:val="24"/>
          <w:szCs w:val="24"/>
        </w:rPr>
        <w:t>և</w:t>
      </w:r>
      <w:r w:rsidRPr="00834D52">
        <w:rPr>
          <w:rFonts w:ascii="Sylfaen" w:hAnsi="Sylfaen"/>
          <w:sz w:val="24"/>
          <w:szCs w:val="24"/>
        </w:rPr>
        <w:t xml:space="preserve"> գրանցման դոսյեում ներառված տվյալներում պարունակվող տեղեկատվության հավաստիությունը </w:t>
      </w:r>
      <w:r w:rsidR="00C54D75">
        <w:rPr>
          <w:rFonts w:ascii="Sylfaen" w:hAnsi="Sylfaen"/>
          <w:sz w:val="24"/>
          <w:szCs w:val="24"/>
        </w:rPr>
        <w:t>և</w:t>
      </w:r>
      <w:r w:rsidRPr="00834D52">
        <w:rPr>
          <w:rFonts w:ascii="Sylfaen" w:hAnsi="Sylfaen"/>
          <w:sz w:val="24"/>
          <w:szCs w:val="24"/>
        </w:rPr>
        <w:t xml:space="preserve"> պատասխանատվություն եմ կրում դրանց համար:</w:t>
      </w:r>
    </w:p>
    <w:p w14:paraId="2AA40722" w14:textId="77777777" w:rsidR="006F76EB" w:rsidRPr="00834D52" w:rsidRDefault="006F76EB" w:rsidP="00B9781A">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Ես համաձայն եմ, որ 30 օրվա ընթացքում գրանցման դոսյեի լրացման համար անհրաժեշտ փաստաթղթերը </w:t>
      </w:r>
      <w:r w:rsidR="00C54D75">
        <w:rPr>
          <w:rFonts w:ascii="Sylfaen" w:hAnsi="Sylfaen"/>
          <w:sz w:val="24"/>
          <w:szCs w:val="24"/>
        </w:rPr>
        <w:t>և</w:t>
      </w:r>
      <w:r w:rsidRPr="00834D52">
        <w:rPr>
          <w:rFonts w:ascii="Sylfaen" w:hAnsi="Sylfaen"/>
          <w:sz w:val="24"/>
          <w:szCs w:val="24"/>
        </w:rPr>
        <w:t xml:space="preserve"> տվյալները չներկայացնելու դեպքում </w:t>
      </w:r>
      <w:r w:rsidR="0032680A">
        <w:rPr>
          <w:rFonts w:ascii="Sylfaen" w:hAnsi="Sylfaen"/>
          <w:sz w:val="24"/>
          <w:szCs w:val="24"/>
        </w:rPr>
        <w:t xml:space="preserve">ռեֆերենտ </w:t>
      </w:r>
      <w:r w:rsidRPr="00834D52">
        <w:rPr>
          <w:rFonts w:ascii="Sylfaen" w:hAnsi="Sylfaen"/>
          <w:sz w:val="24"/>
          <w:szCs w:val="24"/>
        </w:rPr>
        <w:t>պետության լիազորված մարմնի (փորձագիտական կազմակերպության) դիտողությունների հիման վրա տվյալ հայտի ուսումնասիրությունը կմերժվի:</w:t>
      </w:r>
    </w:p>
    <w:p w14:paraId="71B278D8" w14:textId="77777777" w:rsidR="006F76EB" w:rsidRPr="00666B75" w:rsidRDefault="006F76EB" w:rsidP="00B9781A">
      <w:pPr>
        <w:spacing w:after="160" w:line="336" w:lineRule="auto"/>
        <w:ind w:right="-6" w:firstLine="567"/>
        <w:jc w:val="both"/>
        <w:rPr>
          <w:rFonts w:ascii="Sylfaen" w:eastAsia="Times New Roman" w:hAnsi="Sylfaen" w:cs="Times New Roman"/>
          <w:spacing w:val="-6"/>
          <w:sz w:val="24"/>
          <w:szCs w:val="24"/>
        </w:rPr>
      </w:pPr>
      <w:r w:rsidRPr="00666B75">
        <w:rPr>
          <w:rFonts w:ascii="Sylfaen" w:hAnsi="Sylfaen"/>
          <w:spacing w:val="-6"/>
          <w:sz w:val="24"/>
          <w:szCs w:val="24"/>
        </w:rPr>
        <w:t xml:space="preserve">Ես հաստատում եմ, որ գրանցման դոսյեի կազմում ներառված բոլոր տվյալները ձեռք են բերվել սահմանված կարգով, </w:t>
      </w:r>
      <w:r w:rsidR="00C54D75">
        <w:rPr>
          <w:rFonts w:ascii="Sylfaen" w:hAnsi="Sylfaen"/>
          <w:spacing w:val="-6"/>
          <w:sz w:val="24"/>
          <w:szCs w:val="24"/>
        </w:rPr>
        <w:t>և</w:t>
      </w:r>
      <w:r w:rsidRPr="00666B75">
        <w:rPr>
          <w:rFonts w:ascii="Sylfaen" w:hAnsi="Sylfaen"/>
          <w:spacing w:val="-6"/>
          <w:sz w:val="24"/>
          <w:szCs w:val="24"/>
        </w:rPr>
        <w:t xml:space="preserve"> դրանցով չեն խախտվում երրորդ անձանց մտավոր սեփականության իրավունքները (սույն հայտի հավելվածի </w:t>
      </w:r>
      <w:r w:rsidR="00B57BA8" w:rsidRPr="00666B75">
        <w:rPr>
          <w:rFonts w:ascii="Sylfaen" w:hAnsi="Sylfaen"/>
          <w:spacing w:val="-6"/>
          <w:sz w:val="24"/>
          <w:szCs w:val="24"/>
        </w:rPr>
        <w:t>5</w:t>
      </w:r>
      <w:r w:rsidRPr="00666B75">
        <w:rPr>
          <w:rFonts w:ascii="Sylfaen" w:hAnsi="Sylfaen"/>
          <w:spacing w:val="-6"/>
          <w:sz w:val="24"/>
          <w:szCs w:val="24"/>
        </w:rPr>
        <w:t xml:space="preserve">.3 </w:t>
      </w:r>
      <w:r w:rsidR="00C54D75">
        <w:rPr>
          <w:rFonts w:ascii="Sylfaen" w:hAnsi="Sylfaen"/>
          <w:spacing w:val="-6"/>
          <w:sz w:val="24"/>
          <w:szCs w:val="24"/>
        </w:rPr>
        <w:t>և</w:t>
      </w:r>
      <w:r w:rsidRPr="00666B75">
        <w:rPr>
          <w:rFonts w:ascii="Sylfaen" w:hAnsi="Sylfaen"/>
          <w:spacing w:val="-6"/>
          <w:sz w:val="24"/>
          <w:szCs w:val="24"/>
        </w:rPr>
        <w:t xml:space="preserve"> </w:t>
      </w:r>
      <w:r w:rsidR="00B57BA8" w:rsidRPr="00666B75">
        <w:rPr>
          <w:rFonts w:ascii="Sylfaen" w:hAnsi="Sylfaen"/>
          <w:spacing w:val="-6"/>
          <w:sz w:val="24"/>
          <w:szCs w:val="24"/>
        </w:rPr>
        <w:t>5</w:t>
      </w:r>
      <w:r w:rsidRPr="00666B75">
        <w:rPr>
          <w:rFonts w:ascii="Sylfaen" w:hAnsi="Sylfaen"/>
          <w:spacing w:val="-6"/>
          <w:sz w:val="24"/>
          <w:szCs w:val="24"/>
        </w:rPr>
        <w:t>.4</w:t>
      </w:r>
      <w:r w:rsidR="005053A4" w:rsidRPr="00526607">
        <w:rPr>
          <w:rFonts w:ascii="Sylfaen" w:hAnsi="Sylfaen"/>
          <w:spacing w:val="-6"/>
          <w:sz w:val="24"/>
          <w:szCs w:val="24"/>
        </w:rPr>
        <w:t> </w:t>
      </w:r>
      <w:r w:rsidRPr="00666B75">
        <w:rPr>
          <w:rFonts w:ascii="Sylfaen" w:hAnsi="Sylfaen"/>
          <w:spacing w:val="-6"/>
          <w:sz w:val="24"/>
          <w:szCs w:val="24"/>
        </w:rPr>
        <w:t>ենթակետեր):</w:t>
      </w:r>
    </w:p>
    <w:p w14:paraId="66D2D9F9"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Ես նա</w:t>
      </w:r>
      <w:r w:rsidR="00C54D75">
        <w:rPr>
          <w:rFonts w:ascii="Sylfaen" w:hAnsi="Sylfaen"/>
          <w:sz w:val="24"/>
          <w:szCs w:val="24"/>
        </w:rPr>
        <w:t>և</w:t>
      </w:r>
      <w:r w:rsidRPr="00834D52">
        <w:rPr>
          <w:rFonts w:ascii="Sylfaen" w:hAnsi="Sylfaen"/>
          <w:sz w:val="24"/>
          <w:szCs w:val="24"/>
        </w:rPr>
        <w:t xml:space="preserve"> հաստատում եմ, որ բոլոր նախատեսված գանձումները (տուրքերը) վճարված են (կվճարվեն) օրենսդրության պահանջներին համապատասխան:</w:t>
      </w:r>
    </w:p>
    <w:p w14:paraId="420107B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Կից ներկայացված է</w:t>
      </w:r>
      <w:r w:rsidRPr="00834D52" w:rsidDel="00A7499F">
        <w:rPr>
          <w:rFonts w:ascii="Sylfaen" w:hAnsi="Sylfaen"/>
          <w:sz w:val="24"/>
          <w:szCs w:val="24"/>
        </w:rPr>
        <w:t xml:space="preserve"> </w:t>
      </w:r>
      <w:r w:rsidRPr="00834D52">
        <w:rPr>
          <w:rFonts w:ascii="Sylfaen" w:hAnsi="Sylfaen"/>
          <w:sz w:val="24"/>
          <w:szCs w:val="24"/>
        </w:rPr>
        <w:t>գրանցման հավաստագրի իրավատիրոջ անունից իրավաբանական նշանակություն ունեցող գործողություններ կատարելու լիազորագիրը (սույն հայտի հավելվածի 5.1 ենթակետ):</w:t>
      </w:r>
    </w:p>
    <w:p w14:paraId="3C90C9CC"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Հայտատուի անունից</w:t>
      </w:r>
    </w:p>
    <w:p w14:paraId="199A6F4D" w14:textId="77777777" w:rsidR="006F76EB" w:rsidRPr="00834D52" w:rsidRDefault="006F76EB" w:rsidP="00F560AC">
      <w:pPr>
        <w:spacing w:after="120" w:line="240" w:lineRule="auto"/>
        <w:ind w:right="-6" w:firstLine="567"/>
        <w:jc w:val="both"/>
        <w:rPr>
          <w:rFonts w:ascii="Sylfaen" w:eastAsia="Times New Roman" w:hAnsi="Sylfaen" w:cs="Times New Roman"/>
          <w:sz w:val="24"/>
          <w:szCs w:val="24"/>
        </w:rPr>
      </w:pPr>
      <w:r w:rsidRPr="00834D52">
        <w:rPr>
          <w:rFonts w:ascii="Sylfaen" w:hAnsi="Sylfaen"/>
          <w:sz w:val="24"/>
          <w:szCs w:val="24"/>
        </w:rPr>
        <w:t>_____________________________</w:t>
      </w:r>
    </w:p>
    <w:p w14:paraId="54ACAECB" w14:textId="77777777" w:rsidR="006F76EB" w:rsidRPr="00F560AC" w:rsidRDefault="006F76EB" w:rsidP="00F560AC">
      <w:pPr>
        <w:spacing w:after="120" w:line="240" w:lineRule="auto"/>
        <w:ind w:right="-8" w:firstLine="567"/>
        <w:rPr>
          <w:rFonts w:ascii="Sylfaen" w:eastAsia="Times New Roman" w:hAnsi="Sylfaen" w:cs="Times New Roman"/>
          <w:sz w:val="20"/>
          <w:szCs w:val="20"/>
        </w:rPr>
      </w:pPr>
      <w:r w:rsidRPr="00F560AC">
        <w:rPr>
          <w:rFonts w:ascii="Sylfaen" w:hAnsi="Sylfaen"/>
          <w:sz w:val="20"/>
          <w:szCs w:val="20"/>
        </w:rPr>
        <w:t>(ստորագրություն)</w:t>
      </w:r>
    </w:p>
    <w:p w14:paraId="7FBA8912" w14:textId="77777777" w:rsidR="006F76EB" w:rsidRPr="00834D52" w:rsidRDefault="006F76EB" w:rsidP="001543F8">
      <w:pPr>
        <w:spacing w:after="160" w:line="240" w:lineRule="auto"/>
        <w:ind w:right="-6" w:firstLine="567"/>
        <w:rPr>
          <w:rFonts w:ascii="Sylfaen" w:hAnsi="Sylfaen"/>
          <w:sz w:val="24"/>
          <w:szCs w:val="24"/>
        </w:rPr>
      </w:pPr>
    </w:p>
    <w:p w14:paraId="322963E3" w14:textId="77777777" w:rsidR="006F76EB" w:rsidRPr="00834D52" w:rsidRDefault="006F76EB" w:rsidP="00F560AC">
      <w:pPr>
        <w:spacing w:after="120" w:line="240" w:lineRule="auto"/>
        <w:ind w:right="-6" w:firstLine="567"/>
        <w:jc w:val="both"/>
        <w:rPr>
          <w:rFonts w:ascii="Sylfaen" w:eastAsia="Times New Roman" w:hAnsi="Sylfaen" w:cs="Times New Roman"/>
          <w:sz w:val="24"/>
          <w:szCs w:val="24"/>
        </w:rPr>
      </w:pPr>
      <w:r w:rsidRPr="00834D52">
        <w:rPr>
          <w:rFonts w:ascii="Sylfaen" w:hAnsi="Sylfaen"/>
          <w:sz w:val="24"/>
          <w:szCs w:val="24"/>
        </w:rPr>
        <w:t>_____________________________</w:t>
      </w:r>
    </w:p>
    <w:p w14:paraId="78E9C81D" w14:textId="77777777" w:rsidR="006F76EB" w:rsidRPr="00F560AC" w:rsidRDefault="006F76EB" w:rsidP="00F560AC">
      <w:pPr>
        <w:spacing w:after="120" w:line="240" w:lineRule="auto"/>
        <w:ind w:right="-8" w:firstLine="567"/>
        <w:rPr>
          <w:rFonts w:ascii="Sylfaen" w:eastAsia="Times New Roman" w:hAnsi="Sylfaen" w:cs="Times New Roman"/>
          <w:sz w:val="20"/>
          <w:szCs w:val="20"/>
        </w:rPr>
      </w:pPr>
      <w:r w:rsidRPr="00F560AC">
        <w:rPr>
          <w:rFonts w:ascii="Sylfaen" w:hAnsi="Sylfaen"/>
          <w:sz w:val="20"/>
          <w:szCs w:val="20"/>
        </w:rPr>
        <w:t>(ազգանուն, անուն, հայրանուն)</w:t>
      </w:r>
    </w:p>
    <w:p w14:paraId="3BAEF9C5" w14:textId="77777777" w:rsidR="006F76EB" w:rsidRPr="00F560AC" w:rsidRDefault="006F76EB" w:rsidP="001543F8">
      <w:pPr>
        <w:spacing w:after="160" w:line="240" w:lineRule="auto"/>
        <w:ind w:right="-6" w:firstLine="567"/>
        <w:rPr>
          <w:rFonts w:ascii="Sylfaen" w:hAnsi="Sylfaen"/>
          <w:sz w:val="20"/>
          <w:szCs w:val="20"/>
        </w:rPr>
      </w:pPr>
    </w:p>
    <w:p w14:paraId="42B0D082" w14:textId="77777777" w:rsidR="006F76EB" w:rsidRPr="00834D52" w:rsidRDefault="006F76EB" w:rsidP="00F560AC">
      <w:pPr>
        <w:spacing w:after="120" w:line="240" w:lineRule="auto"/>
        <w:ind w:right="-6" w:firstLine="567"/>
        <w:jc w:val="both"/>
        <w:rPr>
          <w:rFonts w:ascii="Sylfaen" w:eastAsia="Times New Roman" w:hAnsi="Sylfaen" w:cs="Times New Roman"/>
          <w:sz w:val="24"/>
          <w:szCs w:val="24"/>
        </w:rPr>
      </w:pPr>
      <w:r w:rsidRPr="00834D52">
        <w:rPr>
          <w:rFonts w:ascii="Sylfaen" w:hAnsi="Sylfaen"/>
          <w:sz w:val="24"/>
          <w:szCs w:val="24"/>
        </w:rPr>
        <w:t>_____________________________</w:t>
      </w:r>
    </w:p>
    <w:p w14:paraId="143BF22E" w14:textId="77777777" w:rsidR="006F76EB" w:rsidRPr="007F5A60" w:rsidRDefault="006F76EB" w:rsidP="00F560AC">
      <w:pPr>
        <w:spacing w:after="120" w:line="240" w:lineRule="auto"/>
        <w:ind w:right="-8" w:firstLine="567"/>
        <w:rPr>
          <w:rFonts w:ascii="Sylfaen" w:hAnsi="Sylfaen"/>
          <w:sz w:val="20"/>
          <w:szCs w:val="20"/>
        </w:rPr>
      </w:pPr>
      <w:r w:rsidRPr="00F560AC">
        <w:rPr>
          <w:rFonts w:ascii="Sylfaen" w:hAnsi="Sylfaen"/>
          <w:sz w:val="20"/>
          <w:szCs w:val="20"/>
        </w:rPr>
        <w:t>(պաշտոն)</w:t>
      </w:r>
    </w:p>
    <w:p w14:paraId="5AC69837" w14:textId="77777777" w:rsidR="001543F8" w:rsidRPr="007F5A60" w:rsidRDefault="001543F8" w:rsidP="00F560AC">
      <w:pPr>
        <w:spacing w:after="120" w:line="240" w:lineRule="auto"/>
        <w:ind w:right="-8" w:firstLine="567"/>
        <w:rPr>
          <w:rFonts w:ascii="Sylfaen" w:eastAsia="Times New Roman" w:hAnsi="Sylfaen" w:cs="Times New Roman"/>
          <w:sz w:val="20"/>
          <w:szCs w:val="20"/>
        </w:rPr>
      </w:pPr>
    </w:p>
    <w:p w14:paraId="0FCA5717"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Կ. Տ.</w:t>
      </w:r>
    </w:p>
    <w:p w14:paraId="607BD06A" w14:textId="77777777" w:rsidR="006F76EB" w:rsidRPr="00F75C7A" w:rsidRDefault="006F76EB" w:rsidP="006F76EB">
      <w:pPr>
        <w:spacing w:after="160" w:line="360" w:lineRule="auto"/>
        <w:ind w:right="-8"/>
        <w:jc w:val="center"/>
        <w:rPr>
          <w:rFonts w:ascii="Sylfaen" w:hAnsi="Sylfaen"/>
          <w:sz w:val="24"/>
          <w:szCs w:val="24"/>
          <w:u w:val="thick" w:color="000000"/>
        </w:rPr>
      </w:pPr>
    </w:p>
    <w:p w14:paraId="08F76228" w14:textId="77777777" w:rsidR="006F76EB" w:rsidRPr="00537062" w:rsidRDefault="006F76EB" w:rsidP="006F76EB">
      <w:pPr>
        <w:spacing w:after="160" w:line="360" w:lineRule="auto"/>
        <w:ind w:right="-8"/>
        <w:jc w:val="center"/>
        <w:rPr>
          <w:rFonts w:ascii="Sylfaen" w:eastAsia="Times New Roman" w:hAnsi="Sylfaen" w:cs="Times New Roman"/>
          <w:sz w:val="24"/>
          <w:szCs w:val="24"/>
        </w:rPr>
      </w:pPr>
      <w:r w:rsidRPr="00537062">
        <w:rPr>
          <w:rFonts w:ascii="Sylfaen" w:hAnsi="Sylfaen"/>
          <w:sz w:val="24"/>
          <w:szCs w:val="24"/>
        </w:rPr>
        <w:t>1. Հայտի ընդհանուր կետերը</w:t>
      </w:r>
    </w:p>
    <w:p w14:paraId="157D3E5F" w14:textId="77777777" w:rsidR="006F76EB" w:rsidRPr="00834D52" w:rsidRDefault="006F76EB" w:rsidP="006F76EB">
      <w:pPr>
        <w:tabs>
          <w:tab w:val="left" w:pos="1418"/>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1.1.</w:t>
      </w:r>
      <w:r w:rsidRPr="00834D52">
        <w:rPr>
          <w:rFonts w:ascii="Sylfaen" w:hAnsi="Sylfaen"/>
          <w:sz w:val="24"/>
          <w:szCs w:val="24"/>
        </w:rPr>
        <w:tab/>
        <w:t>Այս հայտը ներկայացվում է հետ</w:t>
      </w:r>
      <w:r w:rsidR="00C54D75">
        <w:rPr>
          <w:rFonts w:ascii="Sylfaen" w:hAnsi="Sylfaen"/>
          <w:sz w:val="24"/>
          <w:szCs w:val="24"/>
        </w:rPr>
        <w:t>և</w:t>
      </w:r>
      <w:r w:rsidRPr="00834D52">
        <w:rPr>
          <w:rFonts w:ascii="Sylfaen" w:hAnsi="Sylfaen"/>
          <w:sz w:val="24"/>
          <w:szCs w:val="24"/>
        </w:rPr>
        <w:t>յալի համաձայն:</w:t>
      </w:r>
    </w:p>
    <w:p w14:paraId="00CE91F1" w14:textId="77777777" w:rsidR="006F76EB" w:rsidRPr="00834D52" w:rsidRDefault="006F76EB" w:rsidP="006F76EB">
      <w:pPr>
        <w:tabs>
          <w:tab w:val="left" w:pos="1418"/>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1.1.1.</w:t>
      </w:r>
      <w:r w:rsidRPr="00834D52">
        <w:rPr>
          <w:rFonts w:ascii="Sylfaen" w:hAnsi="Sylfaen"/>
          <w:sz w:val="24"/>
          <w:szCs w:val="24"/>
        </w:rPr>
        <w:tab/>
        <w:t>Հայտը ներկայացված է փոխադարձ ճանաչման ընթացակարգով՝</w:t>
      </w:r>
    </w:p>
    <w:tbl>
      <w:tblPr>
        <w:tblW w:w="9612" w:type="dxa"/>
        <w:tblInd w:w="103" w:type="dxa"/>
        <w:tblLayout w:type="fixed"/>
        <w:tblCellMar>
          <w:left w:w="0" w:type="dxa"/>
          <w:right w:w="0" w:type="dxa"/>
        </w:tblCellMar>
        <w:tblLook w:val="01E0" w:firstRow="1" w:lastRow="1" w:firstColumn="1" w:lastColumn="1" w:noHBand="0" w:noVBand="0"/>
      </w:tblPr>
      <w:tblGrid>
        <w:gridCol w:w="4606"/>
        <w:gridCol w:w="5006"/>
      </w:tblGrid>
      <w:tr w:rsidR="006F76EB" w:rsidRPr="00834D52" w14:paraId="101B18AE"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0FC16C59" w14:textId="77777777" w:rsidR="006F76EB" w:rsidRPr="00834D52" w:rsidRDefault="0032680A" w:rsidP="001543F8">
            <w:pPr>
              <w:spacing w:after="120" w:line="240" w:lineRule="auto"/>
              <w:ind w:left="186"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5006" w:type="dxa"/>
            <w:tcBorders>
              <w:top w:val="single" w:sz="4" w:space="0" w:color="000000"/>
              <w:left w:val="single" w:sz="4" w:space="0" w:color="000000"/>
              <w:bottom w:val="single" w:sz="4" w:space="0" w:color="000000"/>
              <w:right w:val="single" w:sz="4" w:space="0" w:color="000000"/>
            </w:tcBorders>
          </w:tcPr>
          <w:p w14:paraId="0A6642BE" w14:textId="77777777" w:rsidR="006F76EB" w:rsidRPr="00834D52" w:rsidRDefault="006F76EB" w:rsidP="001543F8">
            <w:pPr>
              <w:spacing w:after="120" w:line="240" w:lineRule="auto"/>
              <w:ind w:right="-6"/>
              <w:rPr>
                <w:rFonts w:ascii="Sylfaen" w:hAnsi="Sylfaen"/>
                <w:sz w:val="24"/>
                <w:szCs w:val="24"/>
              </w:rPr>
            </w:pPr>
          </w:p>
        </w:tc>
      </w:tr>
      <w:tr w:rsidR="006F76EB" w:rsidRPr="00834D52" w14:paraId="77C92ECD"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7A8E7607"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5006" w:type="dxa"/>
            <w:tcBorders>
              <w:top w:val="single" w:sz="4" w:space="0" w:color="000000"/>
              <w:left w:val="single" w:sz="4" w:space="0" w:color="000000"/>
              <w:bottom w:val="single" w:sz="4" w:space="0" w:color="000000"/>
              <w:right w:val="single" w:sz="4" w:space="0" w:color="000000"/>
            </w:tcBorders>
          </w:tcPr>
          <w:p w14:paraId="4652F68C" w14:textId="77777777" w:rsidR="006F76EB" w:rsidRPr="00834D52" w:rsidRDefault="006F76EB" w:rsidP="001543F8">
            <w:pPr>
              <w:spacing w:after="120" w:line="240" w:lineRule="auto"/>
              <w:ind w:right="-6"/>
              <w:rPr>
                <w:rFonts w:ascii="Sylfaen" w:hAnsi="Sylfaen"/>
                <w:sz w:val="24"/>
                <w:szCs w:val="24"/>
              </w:rPr>
            </w:pPr>
          </w:p>
        </w:tc>
      </w:tr>
      <w:tr w:rsidR="006F76EB" w:rsidRPr="00834D52" w14:paraId="5EC5865E"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7C15556C"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ամսաթիվը</w:t>
            </w:r>
          </w:p>
        </w:tc>
        <w:tc>
          <w:tcPr>
            <w:tcW w:w="5006" w:type="dxa"/>
            <w:tcBorders>
              <w:top w:val="single" w:sz="4" w:space="0" w:color="000000"/>
              <w:left w:val="single" w:sz="4" w:space="0" w:color="000000"/>
              <w:bottom w:val="single" w:sz="4" w:space="0" w:color="000000"/>
              <w:right w:val="single" w:sz="4" w:space="0" w:color="000000"/>
            </w:tcBorders>
          </w:tcPr>
          <w:p w14:paraId="597B0040" w14:textId="77777777" w:rsidR="006F76EB" w:rsidRPr="00834D52" w:rsidRDefault="006F76EB" w:rsidP="001543F8">
            <w:pPr>
              <w:spacing w:after="120" w:line="240" w:lineRule="auto"/>
              <w:ind w:right="-6"/>
              <w:rPr>
                <w:rFonts w:ascii="Sylfaen" w:hAnsi="Sylfaen"/>
                <w:sz w:val="24"/>
                <w:szCs w:val="24"/>
              </w:rPr>
            </w:pPr>
          </w:p>
        </w:tc>
      </w:tr>
      <w:tr w:rsidR="006F76EB" w:rsidRPr="00834D52" w14:paraId="630062A2"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5AC0AC4C"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համարը</w:t>
            </w:r>
          </w:p>
        </w:tc>
        <w:tc>
          <w:tcPr>
            <w:tcW w:w="5006" w:type="dxa"/>
            <w:tcBorders>
              <w:top w:val="single" w:sz="4" w:space="0" w:color="000000"/>
              <w:left w:val="single" w:sz="4" w:space="0" w:color="000000"/>
              <w:bottom w:val="single" w:sz="4" w:space="0" w:color="000000"/>
              <w:right w:val="single" w:sz="4" w:space="0" w:color="000000"/>
            </w:tcBorders>
          </w:tcPr>
          <w:p w14:paraId="2C9ECBE2" w14:textId="77777777" w:rsidR="006F76EB" w:rsidRPr="00834D52" w:rsidRDefault="006F76EB" w:rsidP="001543F8">
            <w:pPr>
              <w:spacing w:after="120" w:line="240" w:lineRule="auto"/>
              <w:ind w:right="-6"/>
              <w:rPr>
                <w:rFonts w:ascii="Sylfaen" w:hAnsi="Sylfaen"/>
                <w:sz w:val="24"/>
                <w:szCs w:val="24"/>
              </w:rPr>
            </w:pPr>
          </w:p>
        </w:tc>
      </w:tr>
      <w:tr w:rsidR="006F76EB" w:rsidRPr="00834D52" w14:paraId="78F5EF5B"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20D4D046"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պատճենը</w:t>
            </w:r>
          </w:p>
        </w:tc>
        <w:tc>
          <w:tcPr>
            <w:tcW w:w="5006" w:type="dxa"/>
            <w:tcBorders>
              <w:top w:val="single" w:sz="4" w:space="0" w:color="000000"/>
              <w:left w:val="single" w:sz="4" w:space="0" w:color="000000"/>
              <w:bottom w:val="single" w:sz="4" w:space="0" w:color="000000"/>
              <w:right w:val="single" w:sz="4" w:space="0" w:color="000000"/>
            </w:tcBorders>
          </w:tcPr>
          <w:p w14:paraId="1F46C4BB" w14:textId="77777777" w:rsidR="006F76EB" w:rsidRPr="00834D52" w:rsidRDefault="006F76EB" w:rsidP="001543F8">
            <w:pPr>
              <w:spacing w:after="120" w:line="240" w:lineRule="auto"/>
              <w:ind w:right="-6"/>
              <w:rPr>
                <w:rFonts w:ascii="Sylfaen" w:hAnsi="Sylfaen"/>
                <w:sz w:val="24"/>
                <w:szCs w:val="24"/>
              </w:rPr>
            </w:pPr>
          </w:p>
        </w:tc>
      </w:tr>
      <w:tr w:rsidR="006F76EB" w:rsidRPr="00834D52" w14:paraId="43C00BEC"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0DEC6375"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նույնականացման համարը</w:t>
            </w:r>
          </w:p>
        </w:tc>
        <w:tc>
          <w:tcPr>
            <w:tcW w:w="5006" w:type="dxa"/>
            <w:tcBorders>
              <w:top w:val="single" w:sz="4" w:space="0" w:color="000000"/>
              <w:left w:val="single" w:sz="4" w:space="0" w:color="000000"/>
              <w:bottom w:val="single" w:sz="4" w:space="0" w:color="000000"/>
              <w:right w:val="single" w:sz="4" w:space="0" w:color="000000"/>
            </w:tcBorders>
          </w:tcPr>
          <w:p w14:paraId="40B03A79" w14:textId="77777777" w:rsidR="006F76EB" w:rsidRPr="00834D52" w:rsidRDefault="006F76EB" w:rsidP="001543F8">
            <w:pPr>
              <w:spacing w:after="120" w:line="240" w:lineRule="auto"/>
              <w:ind w:right="-6"/>
              <w:rPr>
                <w:rFonts w:ascii="Sylfaen" w:hAnsi="Sylfaen"/>
                <w:sz w:val="24"/>
                <w:szCs w:val="24"/>
              </w:rPr>
            </w:pPr>
          </w:p>
        </w:tc>
      </w:tr>
      <w:tr w:rsidR="006F76EB" w:rsidRPr="00834D52" w14:paraId="50650B84"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39964004"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 xml:space="preserve">հայտի ներկայացման՝ Եվրասիական տնտեսական միության այլ անդամ </w:t>
            </w:r>
            <w:r w:rsidRPr="00834D52">
              <w:rPr>
                <w:rFonts w:ascii="Sylfaen" w:hAnsi="Sylfaen"/>
                <w:sz w:val="24"/>
                <w:szCs w:val="24"/>
              </w:rPr>
              <w:lastRenderedPageBreak/>
              <w:t>պետություններ (առկայության դեպքում)</w:t>
            </w:r>
          </w:p>
        </w:tc>
        <w:tc>
          <w:tcPr>
            <w:tcW w:w="5006" w:type="dxa"/>
            <w:tcBorders>
              <w:top w:val="single" w:sz="4" w:space="0" w:color="000000"/>
              <w:left w:val="single" w:sz="4" w:space="0" w:color="000000"/>
              <w:bottom w:val="single" w:sz="4" w:space="0" w:color="000000"/>
              <w:right w:val="single" w:sz="4" w:space="0" w:color="000000"/>
            </w:tcBorders>
          </w:tcPr>
          <w:p w14:paraId="5422A6C7" w14:textId="77777777" w:rsidR="006F76EB" w:rsidRPr="00834D52" w:rsidRDefault="006F76EB" w:rsidP="001543F8">
            <w:pPr>
              <w:spacing w:after="120" w:line="240" w:lineRule="auto"/>
              <w:ind w:right="-6"/>
              <w:rPr>
                <w:rFonts w:ascii="Sylfaen" w:hAnsi="Sylfaen"/>
                <w:sz w:val="24"/>
                <w:szCs w:val="24"/>
              </w:rPr>
            </w:pPr>
          </w:p>
        </w:tc>
      </w:tr>
      <w:tr w:rsidR="006F76EB" w:rsidRPr="00834D52" w14:paraId="0ABF5D4F"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4F779E05" w14:textId="77777777" w:rsidR="006F76EB" w:rsidRPr="00834D52" w:rsidRDefault="006F76EB" w:rsidP="001543F8">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պետությունում գրանցվածից առ</w:t>
            </w:r>
            <w:r w:rsidR="00C54D75">
              <w:rPr>
                <w:rFonts w:ascii="Sylfaen" w:hAnsi="Sylfaen"/>
                <w:sz w:val="24"/>
                <w:szCs w:val="24"/>
              </w:rPr>
              <w:t>և</w:t>
            </w:r>
            <w:r w:rsidRPr="00834D52">
              <w:rPr>
                <w:rFonts w:ascii="Sylfaen" w:hAnsi="Sylfaen"/>
                <w:sz w:val="24"/>
                <w:szCs w:val="24"/>
              </w:rPr>
              <w:t>տրային անվանման տարբերության դեպքում)</w:t>
            </w:r>
          </w:p>
        </w:tc>
        <w:tc>
          <w:tcPr>
            <w:tcW w:w="5006" w:type="dxa"/>
            <w:tcBorders>
              <w:top w:val="single" w:sz="4" w:space="0" w:color="000000"/>
              <w:left w:val="single" w:sz="4" w:space="0" w:color="000000"/>
              <w:bottom w:val="single" w:sz="4" w:space="0" w:color="000000"/>
              <w:right w:val="single" w:sz="4" w:space="0" w:color="000000"/>
            </w:tcBorders>
          </w:tcPr>
          <w:p w14:paraId="3AF60234" w14:textId="77777777" w:rsidR="006F76EB" w:rsidRPr="00834D52" w:rsidRDefault="006F76EB" w:rsidP="001543F8">
            <w:pPr>
              <w:spacing w:after="120" w:line="240" w:lineRule="auto"/>
              <w:ind w:right="-6"/>
              <w:rPr>
                <w:rFonts w:ascii="Sylfaen" w:hAnsi="Sylfaen"/>
                <w:sz w:val="24"/>
                <w:szCs w:val="24"/>
              </w:rPr>
            </w:pPr>
          </w:p>
        </w:tc>
      </w:tr>
    </w:tbl>
    <w:p w14:paraId="6A6B600F" w14:textId="77777777" w:rsidR="006F76EB" w:rsidRPr="00834D52" w:rsidRDefault="006F76EB" w:rsidP="006F76EB">
      <w:pPr>
        <w:tabs>
          <w:tab w:val="left" w:pos="1418"/>
        </w:tabs>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1.1.2.</w:t>
      </w:r>
      <w:r w:rsidRPr="00834D52">
        <w:rPr>
          <w:rFonts w:ascii="Sylfaen" w:hAnsi="Sylfaen"/>
          <w:sz w:val="24"/>
          <w:szCs w:val="24"/>
        </w:rPr>
        <w:tab/>
        <w:t>Հայտը ներկայացված է ապակենտրոնացված ընթացակարգով՝</w:t>
      </w:r>
    </w:p>
    <w:tbl>
      <w:tblPr>
        <w:tblW w:w="9612" w:type="dxa"/>
        <w:tblInd w:w="103" w:type="dxa"/>
        <w:tblLayout w:type="fixed"/>
        <w:tblCellMar>
          <w:left w:w="0" w:type="dxa"/>
          <w:right w:w="0" w:type="dxa"/>
        </w:tblCellMar>
        <w:tblLook w:val="01E0" w:firstRow="1" w:lastRow="1" w:firstColumn="1" w:lastColumn="1" w:noHBand="0" w:noVBand="0"/>
      </w:tblPr>
      <w:tblGrid>
        <w:gridCol w:w="4606"/>
        <w:gridCol w:w="5006"/>
      </w:tblGrid>
      <w:tr w:rsidR="006F76EB" w:rsidRPr="00834D52" w14:paraId="249DE65B"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345120C7" w14:textId="77777777" w:rsidR="006F76EB" w:rsidRPr="00834D52" w:rsidRDefault="006F76EB" w:rsidP="00BC304C">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նույնականացման համարը</w:t>
            </w:r>
          </w:p>
        </w:tc>
        <w:tc>
          <w:tcPr>
            <w:tcW w:w="5006" w:type="dxa"/>
            <w:tcBorders>
              <w:top w:val="single" w:sz="4" w:space="0" w:color="000000"/>
              <w:left w:val="single" w:sz="4" w:space="0" w:color="000000"/>
              <w:bottom w:val="single" w:sz="4" w:space="0" w:color="000000"/>
              <w:right w:val="single" w:sz="4" w:space="0" w:color="000000"/>
            </w:tcBorders>
          </w:tcPr>
          <w:p w14:paraId="27633967" w14:textId="77777777" w:rsidR="006F76EB" w:rsidRPr="00834D52" w:rsidRDefault="006F76EB" w:rsidP="00BC304C">
            <w:pPr>
              <w:spacing w:after="120" w:line="240" w:lineRule="auto"/>
              <w:ind w:right="-6"/>
              <w:rPr>
                <w:rFonts w:ascii="Sylfaen" w:hAnsi="Sylfaen"/>
                <w:sz w:val="24"/>
                <w:szCs w:val="24"/>
              </w:rPr>
            </w:pPr>
          </w:p>
        </w:tc>
      </w:tr>
      <w:tr w:rsidR="006F76EB" w:rsidRPr="00834D52" w14:paraId="0834D236"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589B04E7" w14:textId="77777777" w:rsidR="006F76EB" w:rsidRPr="00834D52" w:rsidRDefault="0032680A" w:rsidP="00BC304C">
            <w:pPr>
              <w:spacing w:after="120" w:line="240" w:lineRule="auto"/>
              <w:ind w:left="186" w:right="-6"/>
              <w:rPr>
                <w:rFonts w:ascii="Sylfaen" w:eastAsia="Times New Roman" w:hAnsi="Sylfaen" w:cs="Times New Roman"/>
                <w:sz w:val="24"/>
                <w:szCs w:val="24"/>
              </w:rPr>
            </w:pPr>
            <w:r>
              <w:rPr>
                <w:rFonts w:ascii="Sylfaen" w:hAnsi="Sylfaen"/>
                <w:sz w:val="24"/>
                <w:szCs w:val="24"/>
              </w:rPr>
              <w:t xml:space="preserve">ռեֆերենտ </w:t>
            </w:r>
            <w:r w:rsidR="006F76EB" w:rsidRPr="00834D52">
              <w:rPr>
                <w:rFonts w:ascii="Sylfaen" w:hAnsi="Sylfaen"/>
                <w:sz w:val="24"/>
                <w:szCs w:val="24"/>
              </w:rPr>
              <w:t>պետությունը</w:t>
            </w:r>
          </w:p>
        </w:tc>
        <w:tc>
          <w:tcPr>
            <w:tcW w:w="5006" w:type="dxa"/>
            <w:tcBorders>
              <w:top w:val="single" w:sz="4" w:space="0" w:color="000000"/>
              <w:left w:val="single" w:sz="4" w:space="0" w:color="000000"/>
              <w:bottom w:val="single" w:sz="4" w:space="0" w:color="000000"/>
              <w:right w:val="single" w:sz="4" w:space="0" w:color="000000"/>
            </w:tcBorders>
          </w:tcPr>
          <w:p w14:paraId="4E17F592" w14:textId="77777777" w:rsidR="006F76EB" w:rsidRPr="00834D52" w:rsidRDefault="006F76EB" w:rsidP="00BC304C">
            <w:pPr>
              <w:spacing w:after="120" w:line="240" w:lineRule="auto"/>
              <w:ind w:right="-6"/>
              <w:rPr>
                <w:rFonts w:ascii="Sylfaen" w:hAnsi="Sylfaen"/>
                <w:sz w:val="24"/>
                <w:szCs w:val="24"/>
              </w:rPr>
            </w:pPr>
          </w:p>
        </w:tc>
      </w:tr>
      <w:tr w:rsidR="006F76EB" w:rsidRPr="00834D52" w14:paraId="6F450B7E"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6D7111DE" w14:textId="77777777" w:rsidR="006F76EB" w:rsidRPr="00834D52" w:rsidRDefault="006F76EB" w:rsidP="00BC304C">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 xml:space="preserve">տրային անվանումը </w:t>
            </w:r>
            <w:r w:rsidR="0032680A">
              <w:rPr>
                <w:rFonts w:ascii="Sylfaen" w:hAnsi="Sylfaen"/>
                <w:sz w:val="24"/>
                <w:szCs w:val="24"/>
              </w:rPr>
              <w:t xml:space="preserve">ռեֆերենտ </w:t>
            </w:r>
            <w:r w:rsidRPr="00834D52">
              <w:rPr>
                <w:rFonts w:ascii="Sylfaen" w:hAnsi="Sylfaen"/>
                <w:sz w:val="24"/>
                <w:szCs w:val="24"/>
              </w:rPr>
              <w:t>պետությունում</w:t>
            </w:r>
          </w:p>
        </w:tc>
        <w:tc>
          <w:tcPr>
            <w:tcW w:w="5006" w:type="dxa"/>
            <w:tcBorders>
              <w:top w:val="single" w:sz="4" w:space="0" w:color="000000"/>
              <w:left w:val="single" w:sz="4" w:space="0" w:color="000000"/>
              <w:bottom w:val="single" w:sz="4" w:space="0" w:color="000000"/>
              <w:right w:val="single" w:sz="4" w:space="0" w:color="000000"/>
            </w:tcBorders>
          </w:tcPr>
          <w:p w14:paraId="25C770F4" w14:textId="77777777" w:rsidR="006F76EB" w:rsidRPr="00834D52" w:rsidRDefault="006F76EB" w:rsidP="00BC304C">
            <w:pPr>
              <w:spacing w:after="120" w:line="240" w:lineRule="auto"/>
              <w:ind w:right="-6"/>
              <w:rPr>
                <w:rFonts w:ascii="Sylfaen" w:hAnsi="Sylfaen"/>
                <w:sz w:val="24"/>
                <w:szCs w:val="24"/>
              </w:rPr>
            </w:pPr>
          </w:p>
        </w:tc>
      </w:tr>
      <w:tr w:rsidR="006F76EB" w:rsidRPr="00834D52" w14:paraId="02FEEF32"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46D6CC38" w14:textId="77777777" w:rsidR="006F76EB" w:rsidRPr="00834D52" w:rsidRDefault="006F76EB" w:rsidP="00BC304C">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հայտի ներկայացման ճանաչման պետությունները</w:t>
            </w:r>
          </w:p>
        </w:tc>
        <w:tc>
          <w:tcPr>
            <w:tcW w:w="5006" w:type="dxa"/>
            <w:tcBorders>
              <w:top w:val="single" w:sz="4" w:space="0" w:color="000000"/>
              <w:left w:val="single" w:sz="4" w:space="0" w:color="000000"/>
              <w:bottom w:val="single" w:sz="4" w:space="0" w:color="000000"/>
              <w:right w:val="single" w:sz="4" w:space="0" w:color="000000"/>
            </w:tcBorders>
          </w:tcPr>
          <w:p w14:paraId="39656C77" w14:textId="77777777" w:rsidR="006F76EB" w:rsidRPr="00834D52" w:rsidRDefault="006F76EB" w:rsidP="00BC304C">
            <w:pPr>
              <w:spacing w:after="120" w:line="240" w:lineRule="auto"/>
              <w:ind w:right="-6"/>
              <w:rPr>
                <w:rFonts w:ascii="Sylfaen" w:hAnsi="Sylfaen"/>
                <w:sz w:val="24"/>
                <w:szCs w:val="24"/>
              </w:rPr>
            </w:pPr>
          </w:p>
        </w:tc>
      </w:tr>
      <w:tr w:rsidR="006F76EB" w:rsidRPr="00834D52" w14:paraId="5A093519" w14:textId="77777777" w:rsidTr="00BC304C">
        <w:tc>
          <w:tcPr>
            <w:tcW w:w="4606" w:type="dxa"/>
            <w:tcBorders>
              <w:top w:val="single" w:sz="4" w:space="0" w:color="000000"/>
              <w:left w:val="single" w:sz="4" w:space="0" w:color="000000"/>
              <w:bottom w:val="single" w:sz="4" w:space="0" w:color="000000"/>
              <w:right w:val="single" w:sz="4" w:space="0" w:color="000000"/>
            </w:tcBorders>
          </w:tcPr>
          <w:p w14:paraId="092AFC1A" w14:textId="77777777" w:rsidR="006F76EB" w:rsidRPr="00834D52" w:rsidRDefault="006F76EB" w:rsidP="00BC304C">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առ</w:t>
            </w:r>
            <w:r w:rsidR="00C54D75">
              <w:rPr>
                <w:rFonts w:ascii="Sylfaen" w:hAnsi="Sylfaen"/>
                <w:sz w:val="24"/>
                <w:szCs w:val="24"/>
              </w:rPr>
              <w:t>և</w:t>
            </w:r>
            <w:r w:rsidRPr="00834D52">
              <w:rPr>
                <w:rFonts w:ascii="Sylfaen" w:hAnsi="Sylfaen"/>
                <w:sz w:val="24"/>
                <w:szCs w:val="24"/>
              </w:rPr>
              <w:t>տրային անվանումները ճանաչման պետություններում (</w:t>
            </w:r>
            <w:r w:rsidR="0032680A">
              <w:rPr>
                <w:rFonts w:ascii="Sylfaen" w:hAnsi="Sylfaen"/>
                <w:sz w:val="24"/>
                <w:szCs w:val="24"/>
              </w:rPr>
              <w:t xml:space="preserve">ռեֆերենտ </w:t>
            </w:r>
            <w:r w:rsidRPr="00834D52">
              <w:rPr>
                <w:rFonts w:ascii="Sylfaen" w:hAnsi="Sylfaen"/>
                <w:sz w:val="24"/>
                <w:szCs w:val="24"/>
              </w:rPr>
              <w:t>պետության հետ առ</w:t>
            </w:r>
            <w:r w:rsidR="00C54D75">
              <w:rPr>
                <w:rFonts w:ascii="Sylfaen" w:hAnsi="Sylfaen"/>
                <w:sz w:val="24"/>
                <w:szCs w:val="24"/>
              </w:rPr>
              <w:t>և</w:t>
            </w:r>
            <w:r w:rsidRPr="00834D52">
              <w:rPr>
                <w:rFonts w:ascii="Sylfaen" w:hAnsi="Sylfaen"/>
                <w:sz w:val="24"/>
                <w:szCs w:val="24"/>
              </w:rPr>
              <w:t>տրային անվանումների տարբերությունների դեպքում)</w:t>
            </w:r>
          </w:p>
        </w:tc>
        <w:tc>
          <w:tcPr>
            <w:tcW w:w="5006" w:type="dxa"/>
            <w:tcBorders>
              <w:top w:val="single" w:sz="4" w:space="0" w:color="000000"/>
              <w:left w:val="single" w:sz="4" w:space="0" w:color="000000"/>
              <w:bottom w:val="single" w:sz="4" w:space="0" w:color="000000"/>
              <w:right w:val="single" w:sz="4" w:space="0" w:color="000000"/>
            </w:tcBorders>
          </w:tcPr>
          <w:p w14:paraId="511627FF" w14:textId="77777777" w:rsidR="006F76EB" w:rsidRPr="00834D52" w:rsidRDefault="006F76EB" w:rsidP="00BC304C">
            <w:pPr>
              <w:spacing w:after="120" w:line="240" w:lineRule="auto"/>
              <w:ind w:right="-6"/>
              <w:rPr>
                <w:rFonts w:ascii="Sylfaen" w:hAnsi="Sylfaen"/>
                <w:sz w:val="24"/>
                <w:szCs w:val="24"/>
              </w:rPr>
            </w:pPr>
          </w:p>
        </w:tc>
      </w:tr>
    </w:tbl>
    <w:p w14:paraId="2E46D7F9"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Ծանոթագրություն. Բաժինը պետք է լրացվի ցանկացած հայտի համար՝ ներառյալ այն հայտերը, որոնց հղում է կատարվում այդ բաժնում:</w:t>
      </w:r>
    </w:p>
    <w:p w14:paraId="6ED847C4" w14:textId="77777777" w:rsidR="006F76EB" w:rsidRPr="00834D52" w:rsidRDefault="006F76EB" w:rsidP="006F76EB">
      <w:pPr>
        <w:spacing w:after="160" w:line="360" w:lineRule="auto"/>
        <w:ind w:right="-8"/>
        <w:jc w:val="center"/>
        <w:rPr>
          <w:rFonts w:ascii="Sylfaen" w:hAnsi="Sylfaen"/>
          <w:sz w:val="24"/>
          <w:szCs w:val="24"/>
        </w:rPr>
      </w:pPr>
    </w:p>
    <w:p w14:paraId="7A462203"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2. Կատարվող փոփոխությունները</w:t>
      </w:r>
    </w:p>
    <w:tbl>
      <w:tblPr>
        <w:tblW w:w="9346" w:type="dxa"/>
        <w:tblInd w:w="215" w:type="dxa"/>
        <w:tblLayout w:type="fixed"/>
        <w:tblCellMar>
          <w:left w:w="0" w:type="dxa"/>
          <w:right w:w="0" w:type="dxa"/>
        </w:tblCellMar>
        <w:tblLook w:val="01E0" w:firstRow="1" w:lastRow="1" w:firstColumn="1" w:lastColumn="1" w:noHBand="0" w:noVBand="0"/>
      </w:tblPr>
      <w:tblGrid>
        <w:gridCol w:w="706"/>
        <w:gridCol w:w="2407"/>
        <w:gridCol w:w="2410"/>
        <w:gridCol w:w="3823"/>
      </w:tblGrid>
      <w:tr w:rsidR="006F76EB" w:rsidRPr="00834D52" w14:paraId="1D9BE33B" w14:textId="77777777" w:rsidTr="00F71229">
        <w:tc>
          <w:tcPr>
            <w:tcW w:w="706" w:type="dxa"/>
            <w:tcBorders>
              <w:top w:val="single" w:sz="4" w:space="0" w:color="000000"/>
              <w:left w:val="single" w:sz="4" w:space="0" w:color="000000"/>
              <w:bottom w:val="single" w:sz="4" w:space="0" w:color="000000"/>
              <w:right w:val="single" w:sz="4" w:space="0" w:color="000000"/>
            </w:tcBorders>
          </w:tcPr>
          <w:p w14:paraId="6F93B803" w14:textId="77777777" w:rsidR="006F76EB" w:rsidRPr="00834D52" w:rsidRDefault="006F76EB" w:rsidP="00BC304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407" w:type="dxa"/>
            <w:tcBorders>
              <w:top w:val="single" w:sz="4" w:space="0" w:color="000000"/>
              <w:left w:val="single" w:sz="4" w:space="0" w:color="000000"/>
              <w:bottom w:val="single" w:sz="4" w:space="0" w:color="000000"/>
              <w:right w:val="single" w:sz="4" w:space="0" w:color="000000"/>
            </w:tcBorders>
          </w:tcPr>
          <w:p w14:paraId="11072CB9" w14:textId="77777777" w:rsidR="006F76EB" w:rsidRPr="00834D52" w:rsidRDefault="006F76EB" w:rsidP="00BC304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Փոփոխության անվանումը</w:t>
            </w:r>
          </w:p>
        </w:tc>
        <w:tc>
          <w:tcPr>
            <w:tcW w:w="2410" w:type="dxa"/>
            <w:tcBorders>
              <w:top w:val="single" w:sz="4" w:space="0" w:color="000000"/>
              <w:left w:val="single" w:sz="4" w:space="0" w:color="000000"/>
              <w:bottom w:val="single" w:sz="4" w:space="0" w:color="000000"/>
              <w:right w:val="single" w:sz="4" w:space="0" w:color="000000"/>
            </w:tcBorders>
          </w:tcPr>
          <w:p w14:paraId="5B4B82C2" w14:textId="77777777" w:rsidR="006F76EB" w:rsidRPr="00834D52" w:rsidRDefault="006F76EB" w:rsidP="00BC304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Փոփոխության տիպը</w:t>
            </w:r>
          </w:p>
        </w:tc>
        <w:tc>
          <w:tcPr>
            <w:tcW w:w="3823" w:type="dxa"/>
            <w:tcBorders>
              <w:top w:val="single" w:sz="4" w:space="0" w:color="000000"/>
              <w:left w:val="single" w:sz="4" w:space="0" w:color="000000"/>
              <w:bottom w:val="single" w:sz="4" w:space="0" w:color="000000"/>
              <w:right w:val="single" w:sz="4" w:space="0" w:color="000000"/>
            </w:tcBorders>
          </w:tcPr>
          <w:p w14:paraId="7AE4263D" w14:textId="77777777" w:rsidR="006F76EB" w:rsidRPr="00834D52" w:rsidRDefault="006F76EB" w:rsidP="00BC304C">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Փոփոխության համառոտ նկարագրությունը</w:t>
            </w:r>
          </w:p>
        </w:tc>
      </w:tr>
      <w:tr w:rsidR="006F76EB" w:rsidRPr="00834D52" w14:paraId="0D05948B" w14:textId="77777777" w:rsidTr="00F71229">
        <w:tc>
          <w:tcPr>
            <w:tcW w:w="706" w:type="dxa"/>
            <w:tcBorders>
              <w:top w:val="single" w:sz="4" w:space="0" w:color="000000"/>
              <w:left w:val="single" w:sz="4" w:space="0" w:color="000000"/>
              <w:bottom w:val="single" w:sz="4" w:space="0" w:color="000000"/>
              <w:right w:val="single" w:sz="4" w:space="0" w:color="000000"/>
            </w:tcBorders>
          </w:tcPr>
          <w:p w14:paraId="006905A9" w14:textId="77777777" w:rsidR="006F76EB" w:rsidRPr="00834D52" w:rsidRDefault="006F76EB" w:rsidP="00BC304C">
            <w:pPr>
              <w:spacing w:after="120" w:line="240" w:lineRule="auto"/>
              <w:ind w:right="-6"/>
              <w:rPr>
                <w:rFonts w:ascii="Sylfaen" w:hAnsi="Sylfaen"/>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580AD2D9" w14:textId="77777777" w:rsidR="006F76EB" w:rsidRPr="00834D52" w:rsidRDefault="006F76EB" w:rsidP="00BC304C">
            <w:pPr>
              <w:spacing w:after="120" w:line="240" w:lineRule="auto"/>
              <w:ind w:right="-6"/>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247C05A" w14:textId="77777777" w:rsidR="006F76EB" w:rsidRPr="00834D52" w:rsidRDefault="006F76EB" w:rsidP="00BC304C">
            <w:pPr>
              <w:spacing w:after="120" w:line="240" w:lineRule="auto"/>
              <w:ind w:right="-6"/>
              <w:rPr>
                <w:rFonts w:ascii="Sylfaen" w:hAnsi="Sylfaen"/>
                <w:sz w:val="24"/>
                <w:szCs w:val="24"/>
              </w:rPr>
            </w:pPr>
          </w:p>
        </w:tc>
        <w:tc>
          <w:tcPr>
            <w:tcW w:w="3823" w:type="dxa"/>
            <w:tcBorders>
              <w:top w:val="single" w:sz="4" w:space="0" w:color="000000"/>
              <w:left w:val="single" w:sz="4" w:space="0" w:color="000000"/>
              <w:bottom w:val="single" w:sz="4" w:space="0" w:color="000000"/>
              <w:right w:val="single" w:sz="4" w:space="0" w:color="000000"/>
            </w:tcBorders>
          </w:tcPr>
          <w:p w14:paraId="05AB05AE" w14:textId="77777777" w:rsidR="006F76EB" w:rsidRPr="00834D52" w:rsidRDefault="006F76EB" w:rsidP="00BC304C">
            <w:pPr>
              <w:spacing w:after="120" w:line="240" w:lineRule="auto"/>
              <w:ind w:right="-6"/>
              <w:rPr>
                <w:rFonts w:ascii="Sylfaen" w:hAnsi="Sylfaen"/>
                <w:sz w:val="24"/>
                <w:szCs w:val="24"/>
              </w:rPr>
            </w:pPr>
          </w:p>
        </w:tc>
      </w:tr>
      <w:tr w:rsidR="006F76EB" w:rsidRPr="00834D52" w14:paraId="6FC7A8DE" w14:textId="77777777" w:rsidTr="00F71229">
        <w:tc>
          <w:tcPr>
            <w:tcW w:w="706" w:type="dxa"/>
            <w:tcBorders>
              <w:top w:val="single" w:sz="4" w:space="0" w:color="000000"/>
              <w:left w:val="single" w:sz="4" w:space="0" w:color="000000"/>
              <w:bottom w:val="single" w:sz="4" w:space="0" w:color="000000"/>
              <w:right w:val="single" w:sz="4" w:space="0" w:color="000000"/>
            </w:tcBorders>
          </w:tcPr>
          <w:p w14:paraId="2A20520B" w14:textId="77777777" w:rsidR="006F76EB" w:rsidRPr="00834D52" w:rsidRDefault="006F76EB" w:rsidP="00BC304C">
            <w:pPr>
              <w:spacing w:after="120" w:line="240" w:lineRule="auto"/>
              <w:ind w:right="-6"/>
              <w:rPr>
                <w:rFonts w:ascii="Sylfaen" w:hAnsi="Sylfaen"/>
                <w:sz w:val="24"/>
                <w:szCs w:val="24"/>
              </w:rPr>
            </w:pPr>
          </w:p>
        </w:tc>
        <w:tc>
          <w:tcPr>
            <w:tcW w:w="2407" w:type="dxa"/>
            <w:tcBorders>
              <w:top w:val="single" w:sz="4" w:space="0" w:color="000000"/>
              <w:left w:val="single" w:sz="4" w:space="0" w:color="000000"/>
              <w:bottom w:val="single" w:sz="4" w:space="0" w:color="000000"/>
              <w:right w:val="single" w:sz="4" w:space="0" w:color="000000"/>
            </w:tcBorders>
          </w:tcPr>
          <w:p w14:paraId="34F836A8" w14:textId="77777777" w:rsidR="006F76EB" w:rsidRPr="00834D52" w:rsidRDefault="006F76EB" w:rsidP="00BC304C">
            <w:pPr>
              <w:spacing w:after="120" w:line="240" w:lineRule="auto"/>
              <w:ind w:right="-6"/>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1558986" w14:textId="77777777" w:rsidR="006F76EB" w:rsidRPr="00834D52" w:rsidRDefault="006F76EB" w:rsidP="00BC304C">
            <w:pPr>
              <w:spacing w:after="120" w:line="240" w:lineRule="auto"/>
              <w:ind w:right="-6"/>
              <w:rPr>
                <w:rFonts w:ascii="Sylfaen" w:hAnsi="Sylfaen"/>
                <w:sz w:val="24"/>
                <w:szCs w:val="24"/>
              </w:rPr>
            </w:pPr>
          </w:p>
        </w:tc>
        <w:tc>
          <w:tcPr>
            <w:tcW w:w="3823" w:type="dxa"/>
            <w:tcBorders>
              <w:top w:val="single" w:sz="4" w:space="0" w:color="000000"/>
              <w:left w:val="single" w:sz="4" w:space="0" w:color="000000"/>
              <w:bottom w:val="single" w:sz="4" w:space="0" w:color="000000"/>
              <w:right w:val="single" w:sz="4" w:space="0" w:color="000000"/>
            </w:tcBorders>
          </w:tcPr>
          <w:p w14:paraId="39899FE3" w14:textId="77777777" w:rsidR="006F76EB" w:rsidRPr="00834D52" w:rsidRDefault="006F76EB" w:rsidP="00BC304C">
            <w:pPr>
              <w:spacing w:after="120" w:line="240" w:lineRule="auto"/>
              <w:ind w:right="-6"/>
              <w:rPr>
                <w:rFonts w:ascii="Sylfaen" w:hAnsi="Sylfaen"/>
                <w:sz w:val="24"/>
                <w:szCs w:val="24"/>
              </w:rPr>
            </w:pPr>
          </w:p>
        </w:tc>
      </w:tr>
      <w:tr w:rsidR="006F76EB" w:rsidRPr="00834D52" w14:paraId="784A47F7" w14:textId="77777777" w:rsidTr="00F71229">
        <w:tc>
          <w:tcPr>
            <w:tcW w:w="706" w:type="dxa"/>
            <w:tcBorders>
              <w:top w:val="single" w:sz="4" w:space="0" w:color="000000"/>
              <w:left w:val="single" w:sz="4" w:space="0" w:color="000000"/>
              <w:bottom w:val="single" w:sz="4" w:space="0" w:color="000000"/>
              <w:right w:val="single" w:sz="4" w:space="0" w:color="000000"/>
            </w:tcBorders>
          </w:tcPr>
          <w:p w14:paraId="59A651F2" w14:textId="77777777" w:rsidR="006F76EB" w:rsidRPr="00834D52" w:rsidRDefault="006F76EB" w:rsidP="00BC304C">
            <w:pPr>
              <w:spacing w:after="120" w:line="240" w:lineRule="auto"/>
              <w:ind w:right="-6"/>
              <w:rPr>
                <w:rFonts w:ascii="Sylfaen" w:eastAsia="Times New Roman" w:hAnsi="Sylfaen" w:cs="Times New Roman"/>
                <w:sz w:val="24"/>
                <w:szCs w:val="24"/>
              </w:rPr>
            </w:pPr>
            <w:r w:rsidRPr="00834D52">
              <w:rPr>
                <w:rFonts w:ascii="Sylfaen" w:hAnsi="Sylfaen"/>
                <w:sz w:val="24"/>
                <w:szCs w:val="24"/>
              </w:rPr>
              <w:t>...</w:t>
            </w:r>
          </w:p>
        </w:tc>
        <w:tc>
          <w:tcPr>
            <w:tcW w:w="2407" w:type="dxa"/>
            <w:tcBorders>
              <w:top w:val="single" w:sz="4" w:space="0" w:color="000000"/>
              <w:left w:val="single" w:sz="4" w:space="0" w:color="000000"/>
              <w:bottom w:val="single" w:sz="4" w:space="0" w:color="000000"/>
              <w:right w:val="single" w:sz="4" w:space="0" w:color="000000"/>
            </w:tcBorders>
          </w:tcPr>
          <w:p w14:paraId="5CA29026" w14:textId="77777777" w:rsidR="006F76EB" w:rsidRPr="00834D52" w:rsidRDefault="006F76EB" w:rsidP="00BC304C">
            <w:pPr>
              <w:spacing w:after="120" w:line="240" w:lineRule="auto"/>
              <w:ind w:right="-6"/>
              <w:rPr>
                <w:rFonts w:ascii="Sylfaen" w:hAnsi="Sylfae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380D679" w14:textId="77777777" w:rsidR="006F76EB" w:rsidRPr="00834D52" w:rsidRDefault="006F76EB" w:rsidP="00BC304C">
            <w:pPr>
              <w:spacing w:after="120" w:line="240" w:lineRule="auto"/>
              <w:ind w:right="-6"/>
              <w:rPr>
                <w:rFonts w:ascii="Sylfaen" w:hAnsi="Sylfaen"/>
                <w:sz w:val="24"/>
                <w:szCs w:val="24"/>
              </w:rPr>
            </w:pPr>
          </w:p>
        </w:tc>
        <w:tc>
          <w:tcPr>
            <w:tcW w:w="3823" w:type="dxa"/>
            <w:tcBorders>
              <w:top w:val="single" w:sz="4" w:space="0" w:color="000000"/>
              <w:left w:val="single" w:sz="4" w:space="0" w:color="000000"/>
              <w:bottom w:val="single" w:sz="4" w:space="0" w:color="000000"/>
              <w:right w:val="single" w:sz="4" w:space="0" w:color="000000"/>
            </w:tcBorders>
          </w:tcPr>
          <w:p w14:paraId="60B0C389" w14:textId="77777777" w:rsidR="006F76EB" w:rsidRPr="00834D52" w:rsidRDefault="006F76EB" w:rsidP="00BC304C">
            <w:pPr>
              <w:spacing w:after="120" w:line="240" w:lineRule="auto"/>
              <w:ind w:right="-6"/>
              <w:rPr>
                <w:rFonts w:ascii="Sylfaen" w:hAnsi="Sylfaen"/>
                <w:sz w:val="24"/>
                <w:szCs w:val="24"/>
              </w:rPr>
            </w:pPr>
          </w:p>
        </w:tc>
      </w:tr>
    </w:tbl>
    <w:p w14:paraId="54B7CFD5"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Դեղապատրաստուկի՝ ստոր</w:t>
      </w:r>
      <w:r w:rsidR="00C54D75">
        <w:rPr>
          <w:rFonts w:ascii="Sylfaen" w:hAnsi="Sylfaen"/>
          <w:sz w:val="24"/>
          <w:szCs w:val="24"/>
        </w:rPr>
        <w:t>և</w:t>
      </w:r>
      <w:r w:rsidRPr="00834D52">
        <w:rPr>
          <w:rFonts w:ascii="Sylfaen" w:hAnsi="Sylfaen"/>
          <w:sz w:val="24"/>
          <w:szCs w:val="24"/>
        </w:rPr>
        <w:t xml:space="preserve"> բերված համապատասխան տիպի համար հայտ ներկայացնելու դեպքում հայտի մնացած բաժինները, որոնք վերաբերում են դեղապատրաստուկների այլ տիպերին, չեն լրացվում:</w:t>
      </w:r>
    </w:p>
    <w:p w14:paraId="2AACF70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p>
    <w:p w14:paraId="488D5016" w14:textId="77777777" w:rsidR="006F76EB" w:rsidRPr="00834D52" w:rsidRDefault="00157FD9" w:rsidP="00E15800">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lastRenderedPageBreak/>
        <w:pict w14:anchorId="7CFEDEE0">
          <v:rect id="_x0000_s1187" style="position:absolute;left:0;text-align:left;margin-left:70pt;margin-top:2.2pt;width:12.75pt;height:12pt;z-index:251699712"/>
        </w:pict>
      </w:r>
      <w:r w:rsidR="006F76EB" w:rsidRPr="00834D52">
        <w:rPr>
          <w:rFonts w:ascii="Sylfaen" w:hAnsi="Sylfaen"/>
          <w:sz w:val="24"/>
          <w:szCs w:val="24"/>
        </w:rPr>
        <w:t>ՕՐԻԳԻՆԱԼ ԴԵՂԱՊԱՏՐԱՍՏՈՒԿ</w:t>
      </w:r>
    </w:p>
    <w:tbl>
      <w:tblPr>
        <w:tblW w:w="9612" w:type="dxa"/>
        <w:tblInd w:w="103" w:type="dxa"/>
        <w:tblLayout w:type="fixed"/>
        <w:tblCellMar>
          <w:left w:w="0" w:type="dxa"/>
          <w:right w:w="0" w:type="dxa"/>
        </w:tblCellMar>
        <w:tblLook w:val="01E0" w:firstRow="1" w:lastRow="1" w:firstColumn="1" w:lastColumn="1" w:noHBand="0" w:noVBand="0"/>
      </w:tblPr>
      <w:tblGrid>
        <w:gridCol w:w="5289"/>
        <w:gridCol w:w="4323"/>
      </w:tblGrid>
      <w:tr w:rsidR="006F76EB" w:rsidRPr="00834D52" w14:paraId="085C0684" w14:textId="77777777" w:rsidTr="00F71229">
        <w:tc>
          <w:tcPr>
            <w:tcW w:w="5289" w:type="dxa"/>
            <w:tcBorders>
              <w:top w:val="single" w:sz="4" w:space="0" w:color="000000"/>
              <w:left w:val="single" w:sz="4" w:space="0" w:color="000000"/>
              <w:bottom w:val="single" w:sz="4" w:space="0" w:color="000000"/>
              <w:right w:val="single" w:sz="4" w:space="0" w:color="000000"/>
            </w:tcBorders>
          </w:tcPr>
          <w:p w14:paraId="70462A97" w14:textId="77777777" w:rsidR="006F76EB" w:rsidRPr="00834D52" w:rsidRDefault="00157FD9" w:rsidP="00BC304C">
            <w:pPr>
              <w:spacing w:after="120" w:line="240" w:lineRule="auto"/>
              <w:ind w:left="186" w:right="-8" w:firstLine="567"/>
              <w:jc w:val="both"/>
              <w:rPr>
                <w:rFonts w:ascii="Sylfaen" w:eastAsia="Times New Roman" w:hAnsi="Sylfaen" w:cs="Times New Roman"/>
                <w:sz w:val="24"/>
                <w:szCs w:val="24"/>
              </w:rPr>
            </w:pPr>
            <w:r>
              <w:rPr>
                <w:rFonts w:ascii="Sylfaen" w:eastAsia="Times New Roman" w:hAnsi="Sylfaen" w:cs="Times New Roman"/>
                <w:noProof/>
                <w:sz w:val="24"/>
                <w:szCs w:val="24"/>
              </w:rPr>
              <w:pict w14:anchorId="58B93ED8">
                <v:rect id="_x0000_s1188" style="position:absolute;left:0;text-align:left;margin-left:14.6pt;margin-top:4.75pt;width:12.75pt;height:12pt;z-index:251700736"/>
              </w:pict>
            </w:r>
            <w:r w:rsidR="006F76EB" w:rsidRPr="00834D52">
              <w:rPr>
                <w:rFonts w:ascii="Sylfaen" w:hAnsi="Sylfaen"/>
                <w:sz w:val="24"/>
                <w:szCs w:val="24"/>
              </w:rPr>
              <w:t>կենսաբանական դեղապատրաստուկ</w:t>
            </w:r>
          </w:p>
        </w:tc>
        <w:tc>
          <w:tcPr>
            <w:tcW w:w="4323" w:type="dxa"/>
            <w:tcBorders>
              <w:top w:val="single" w:sz="4" w:space="0" w:color="000000"/>
              <w:left w:val="single" w:sz="4" w:space="0" w:color="000000"/>
              <w:bottom w:val="single" w:sz="4" w:space="0" w:color="000000"/>
              <w:right w:val="single" w:sz="4" w:space="0" w:color="000000"/>
            </w:tcBorders>
          </w:tcPr>
          <w:p w14:paraId="4EDCD173" w14:textId="77777777" w:rsidR="006F76EB" w:rsidRPr="00834D52" w:rsidRDefault="00157FD9" w:rsidP="00BC304C">
            <w:pPr>
              <w:spacing w:after="120" w:line="240" w:lineRule="auto"/>
              <w:ind w:left="186" w:right="-8" w:firstLine="567"/>
              <w:rPr>
                <w:rFonts w:ascii="Sylfaen" w:eastAsia="Times New Roman" w:hAnsi="Sylfaen" w:cs="Times New Roman"/>
                <w:sz w:val="24"/>
                <w:szCs w:val="24"/>
              </w:rPr>
            </w:pPr>
            <w:r>
              <w:rPr>
                <w:rFonts w:ascii="Sylfaen" w:hAnsi="Sylfaen"/>
                <w:noProof/>
                <w:sz w:val="24"/>
                <w:szCs w:val="24"/>
              </w:rPr>
              <w:pict w14:anchorId="55ACCDE4">
                <v:rect id="_x0000_s1189" style="position:absolute;left:0;text-align:left;margin-left:15.95pt;margin-top:4.75pt;width:12.75pt;height:12pt;z-index:251701760;mso-position-horizontal-relative:text;mso-position-vertical-relative:text"/>
              </w:pict>
            </w:r>
            <w:r w:rsidR="006F76EB" w:rsidRPr="00834D52">
              <w:rPr>
                <w:rFonts w:ascii="Sylfaen" w:hAnsi="Sylfaen"/>
                <w:sz w:val="24"/>
                <w:szCs w:val="24"/>
              </w:rPr>
              <w:t>այլ դեղապատրաստուկ</w:t>
            </w:r>
          </w:p>
        </w:tc>
      </w:tr>
      <w:tr w:rsidR="006F76EB" w:rsidRPr="00834D52" w14:paraId="1DBF033B" w14:textId="77777777" w:rsidTr="00F71229">
        <w:tc>
          <w:tcPr>
            <w:tcW w:w="9612" w:type="dxa"/>
            <w:gridSpan w:val="2"/>
            <w:tcBorders>
              <w:top w:val="single" w:sz="4" w:space="0" w:color="000000"/>
              <w:left w:val="single" w:sz="4" w:space="0" w:color="000000"/>
              <w:bottom w:val="single" w:sz="4" w:space="0" w:color="000000"/>
              <w:right w:val="single" w:sz="4" w:space="0" w:color="000000"/>
            </w:tcBorders>
          </w:tcPr>
          <w:p w14:paraId="4D72B258" w14:textId="77777777" w:rsidR="006F76EB" w:rsidRPr="00834D52" w:rsidRDefault="00157FD9" w:rsidP="00BC304C">
            <w:pPr>
              <w:spacing w:after="120" w:line="240" w:lineRule="auto"/>
              <w:ind w:left="753" w:right="-8"/>
              <w:jc w:val="both"/>
              <w:rPr>
                <w:rFonts w:ascii="Sylfaen" w:eastAsia="Times New Roman" w:hAnsi="Sylfaen" w:cs="Times New Roman"/>
                <w:sz w:val="24"/>
                <w:szCs w:val="24"/>
              </w:rPr>
            </w:pPr>
            <w:r>
              <w:rPr>
                <w:rFonts w:ascii="Sylfaen" w:eastAsia="Times New Roman" w:hAnsi="Sylfaen" w:cs="Times New Roman"/>
                <w:noProof/>
                <w:sz w:val="24"/>
                <w:szCs w:val="24"/>
              </w:rPr>
              <w:pict w14:anchorId="61639378">
                <v:rect id="_x0000_s1190" style="position:absolute;left:0;text-align:left;margin-left:14.6pt;margin-top:5.05pt;width:12.75pt;height:12pt;z-index:251702784;mso-position-horizontal-relative:text;mso-position-vertical-relative:text"/>
              </w:pict>
            </w:r>
            <w:r w:rsidR="006F76EB" w:rsidRPr="00834D52">
              <w:rPr>
                <w:rFonts w:ascii="Sylfaen" w:hAnsi="Sylfaen"/>
                <w:sz w:val="24"/>
                <w:szCs w:val="24"/>
              </w:rPr>
              <w:t>նոր ակտիվ դեղաբանական բաղադրամաս (այսուհետ՝ ԱԴԲ)</w:t>
            </w:r>
          </w:p>
          <w:p w14:paraId="4430C33E" w14:textId="77777777" w:rsidR="006F76EB" w:rsidRPr="00834D52" w:rsidRDefault="006F76EB" w:rsidP="00BC304C">
            <w:pPr>
              <w:spacing w:after="120" w:line="240" w:lineRule="auto"/>
              <w:ind w:left="186" w:right="212"/>
              <w:jc w:val="both"/>
              <w:rPr>
                <w:rFonts w:ascii="Sylfaen" w:eastAsia="Times New Roman" w:hAnsi="Sylfaen" w:cs="Times New Roman"/>
                <w:sz w:val="24"/>
                <w:szCs w:val="24"/>
              </w:rPr>
            </w:pPr>
            <w:r w:rsidRPr="00834D52">
              <w:rPr>
                <w:rFonts w:ascii="Sylfaen" w:hAnsi="Sylfaen"/>
                <w:sz w:val="24"/>
                <w:szCs w:val="24"/>
              </w:rPr>
              <w:t>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բացակայում են ԱԴԲ-ի մասին տեղեկությունները:</w:t>
            </w:r>
          </w:p>
        </w:tc>
      </w:tr>
      <w:tr w:rsidR="006F76EB" w:rsidRPr="00834D52" w14:paraId="033CB1B6" w14:textId="77777777" w:rsidTr="00F71229">
        <w:tc>
          <w:tcPr>
            <w:tcW w:w="9612" w:type="dxa"/>
            <w:gridSpan w:val="2"/>
            <w:tcBorders>
              <w:top w:val="single" w:sz="4" w:space="0" w:color="000000"/>
              <w:left w:val="single" w:sz="4" w:space="0" w:color="000000"/>
              <w:bottom w:val="single" w:sz="4" w:space="0" w:color="000000"/>
              <w:right w:val="single" w:sz="4" w:space="0" w:color="000000"/>
            </w:tcBorders>
          </w:tcPr>
          <w:p w14:paraId="43EBC2E1" w14:textId="77777777" w:rsidR="006F76EB" w:rsidRPr="00834D52" w:rsidRDefault="00157FD9" w:rsidP="00BC304C">
            <w:pPr>
              <w:spacing w:after="120" w:line="240" w:lineRule="auto"/>
              <w:ind w:left="753" w:right="-8"/>
              <w:jc w:val="both"/>
              <w:rPr>
                <w:rFonts w:ascii="Sylfaen" w:eastAsia="Times New Roman" w:hAnsi="Sylfaen" w:cs="Times New Roman"/>
                <w:sz w:val="24"/>
                <w:szCs w:val="24"/>
              </w:rPr>
            </w:pPr>
            <w:r>
              <w:rPr>
                <w:rFonts w:ascii="Sylfaen" w:eastAsia="Times New Roman" w:hAnsi="Sylfaen" w:cs="Times New Roman"/>
                <w:noProof/>
                <w:sz w:val="24"/>
                <w:szCs w:val="24"/>
              </w:rPr>
              <w:pict w14:anchorId="441D5529">
                <v:rect id="_x0000_s1191" style="position:absolute;left:0;text-align:left;margin-left:14.6pt;margin-top:4.6pt;width:12.75pt;height:12pt;z-index:251703808;mso-position-horizontal-relative:text;mso-position-vertical-relative:text"/>
              </w:pict>
            </w:r>
            <w:r w:rsidR="006F76EB" w:rsidRPr="00834D52">
              <w:rPr>
                <w:rFonts w:ascii="Sylfaen" w:hAnsi="Sylfaen"/>
                <w:sz w:val="24"/>
                <w:szCs w:val="24"/>
              </w:rPr>
              <w:t>հայտնի ԱԴԲ</w:t>
            </w:r>
          </w:p>
          <w:p w14:paraId="46A0006A" w14:textId="77777777" w:rsidR="006F76EB" w:rsidRPr="00834D52" w:rsidRDefault="006F76EB" w:rsidP="00BC304C">
            <w:pPr>
              <w:spacing w:after="120" w:line="240" w:lineRule="auto"/>
              <w:ind w:left="186" w:right="212"/>
              <w:rPr>
                <w:rFonts w:ascii="Sylfaen" w:hAnsi="Sylfaen"/>
                <w:sz w:val="24"/>
                <w:szCs w:val="24"/>
              </w:rPr>
            </w:pPr>
            <w:r w:rsidRPr="00834D52">
              <w:rPr>
                <w:rFonts w:ascii="Sylfaen" w:hAnsi="Sylfaen"/>
                <w:sz w:val="24"/>
                <w:szCs w:val="24"/>
              </w:rPr>
              <w:t>Ծանոթագրություն. Եվրասիական տնտեսական միության գրանցված դեղամիջոցների միասնական ռեեստրում կամ Եվրասիական տնտեսական միության անդամ պետությունների համապատասխան ազգային ռեեստրներում առկա են ԱԴԲ-ի մասին տեղեկություններ:</w:t>
            </w:r>
          </w:p>
        </w:tc>
      </w:tr>
    </w:tbl>
    <w:p w14:paraId="4A7A465E" w14:textId="77777777" w:rsidR="006F76EB" w:rsidRPr="00834D52" w:rsidRDefault="006F76EB" w:rsidP="006F76EB">
      <w:pPr>
        <w:spacing w:after="160" w:line="360" w:lineRule="auto"/>
        <w:ind w:right="-8"/>
        <w:jc w:val="center"/>
        <w:rPr>
          <w:rFonts w:ascii="Sylfaen" w:hAnsi="Sylfaen"/>
          <w:sz w:val="24"/>
          <w:szCs w:val="24"/>
        </w:rPr>
      </w:pPr>
    </w:p>
    <w:p w14:paraId="4FEA6748"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eastAsia="Times New Roman" w:hAnsi="Sylfaen" w:cs="Times New Roman"/>
          <w:noProof/>
          <w:sz w:val="24"/>
          <w:szCs w:val="24"/>
        </w:rPr>
        <w:pict w14:anchorId="3458D552">
          <v:rect id="_x0000_s1192" style="position:absolute;left:0;text-align:left;margin-left:57.25pt;margin-top:2.45pt;width:12.75pt;height:12pt;z-index:251704832"/>
        </w:pict>
      </w:r>
      <w:r w:rsidR="006F76EB" w:rsidRPr="00834D52">
        <w:rPr>
          <w:rFonts w:ascii="Sylfaen" w:hAnsi="Sylfaen"/>
          <w:sz w:val="24"/>
          <w:szCs w:val="24"/>
        </w:rPr>
        <w:t>ՎԵՐԱՐՏԱԴՐՎԱԾ ԴԵՂԱՊԱՏՐԱՍՏՈՒԿ</w:t>
      </w:r>
    </w:p>
    <w:tbl>
      <w:tblPr>
        <w:tblStyle w:val="TableGri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0"/>
      </w:tblGrid>
      <w:tr w:rsidR="006F76EB" w:rsidRPr="00834D52" w14:paraId="2A1D8F1F" w14:textId="77777777" w:rsidTr="00F71229">
        <w:tc>
          <w:tcPr>
            <w:tcW w:w="5387" w:type="dxa"/>
          </w:tcPr>
          <w:p w14:paraId="6E890B8C" w14:textId="77777777" w:rsidR="006F76EB" w:rsidRPr="00834D52" w:rsidRDefault="00157FD9" w:rsidP="00F71229">
            <w:pPr>
              <w:spacing w:after="160" w:line="360" w:lineRule="auto"/>
              <w:ind w:left="44" w:right="-8" w:firstLine="425"/>
              <w:rPr>
                <w:rFonts w:ascii="Sylfaen" w:hAnsi="Sylfaen"/>
                <w:sz w:val="24"/>
                <w:szCs w:val="24"/>
              </w:rPr>
            </w:pPr>
            <w:r>
              <w:rPr>
                <w:rFonts w:ascii="Sylfaen" w:eastAsia="Times New Roman" w:hAnsi="Sylfaen" w:cs="Times New Roman"/>
                <w:noProof/>
                <w:sz w:val="24"/>
                <w:szCs w:val="24"/>
              </w:rPr>
              <w:pict w14:anchorId="4EFC72F2">
                <v:rect id="_x0000_s1193" style="position:absolute;left:0;text-align:left;margin-left:1.75pt;margin-top:4.35pt;width:12.75pt;height:12pt;z-index:251705856"/>
              </w:pict>
            </w:r>
            <w:r w:rsidR="006F76EB" w:rsidRPr="00834D52">
              <w:rPr>
                <w:rFonts w:ascii="Sylfaen" w:hAnsi="Sylfaen"/>
                <w:sz w:val="24"/>
                <w:szCs w:val="24"/>
              </w:rPr>
              <w:t>միաբաղադրիչ</w:t>
            </w:r>
          </w:p>
        </w:tc>
        <w:tc>
          <w:tcPr>
            <w:tcW w:w="4110" w:type="dxa"/>
          </w:tcPr>
          <w:p w14:paraId="1A8CE443" w14:textId="77777777" w:rsidR="006F76EB" w:rsidRPr="00834D52" w:rsidRDefault="00157FD9" w:rsidP="00F71229">
            <w:pPr>
              <w:spacing w:after="160" w:line="360" w:lineRule="auto"/>
              <w:ind w:left="469" w:right="-8"/>
              <w:rPr>
                <w:rFonts w:ascii="Sylfaen" w:hAnsi="Sylfaen"/>
                <w:sz w:val="24"/>
                <w:szCs w:val="24"/>
              </w:rPr>
            </w:pPr>
            <w:r>
              <w:rPr>
                <w:rFonts w:ascii="Sylfaen" w:eastAsia="Times New Roman" w:hAnsi="Sylfaen" w:cs="Times New Roman"/>
                <w:noProof/>
                <w:sz w:val="24"/>
                <w:szCs w:val="24"/>
              </w:rPr>
              <w:pict w14:anchorId="45D284AE">
                <v:rect id="_x0000_s1194" style="position:absolute;left:0;text-align:left;margin-left:-.4pt;margin-top:4.35pt;width:12.75pt;height:12pt;z-index:251706880;mso-position-horizontal-relative:text;mso-position-vertical-relative:text"/>
              </w:pict>
            </w:r>
            <w:r w:rsidR="006F76EB" w:rsidRPr="00834D52">
              <w:rPr>
                <w:rFonts w:ascii="Sylfaen" w:hAnsi="Sylfaen"/>
                <w:sz w:val="24"/>
                <w:szCs w:val="24"/>
              </w:rPr>
              <w:t>բազմաբաղադրիչ</w:t>
            </w:r>
          </w:p>
        </w:tc>
      </w:tr>
    </w:tbl>
    <w:p w14:paraId="4B085541" w14:textId="77777777" w:rsidR="006F76EB" w:rsidRPr="00834D52" w:rsidRDefault="006F76EB" w:rsidP="006F76EB">
      <w:pPr>
        <w:spacing w:after="160" w:line="360" w:lineRule="auto"/>
        <w:ind w:right="-8"/>
        <w:rPr>
          <w:rFonts w:ascii="Sylfaen" w:hAnsi="Sylfae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498"/>
        <w:gridCol w:w="4114"/>
      </w:tblGrid>
      <w:tr w:rsidR="006F76EB" w:rsidRPr="00834D52" w14:paraId="47341562" w14:textId="77777777" w:rsidTr="00F71229">
        <w:tc>
          <w:tcPr>
            <w:tcW w:w="9612" w:type="dxa"/>
            <w:gridSpan w:val="2"/>
            <w:tcBorders>
              <w:top w:val="single" w:sz="4" w:space="0" w:color="000000"/>
              <w:left w:val="single" w:sz="4" w:space="0" w:color="000000"/>
              <w:bottom w:val="single" w:sz="4" w:space="0" w:color="000000"/>
              <w:right w:val="single" w:sz="4" w:space="0" w:color="000000"/>
            </w:tcBorders>
          </w:tcPr>
          <w:p w14:paraId="19BB72E9"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Օրիգինալ դեղապատրաստուկ՝</w:t>
            </w:r>
          </w:p>
        </w:tc>
      </w:tr>
      <w:tr w:rsidR="006F76EB" w:rsidRPr="00834D52" w14:paraId="4DDA1018"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3425280B"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114" w:type="dxa"/>
            <w:tcBorders>
              <w:top w:val="single" w:sz="4" w:space="0" w:color="000000"/>
              <w:left w:val="single" w:sz="4" w:space="0" w:color="000000"/>
              <w:bottom w:val="single" w:sz="4" w:space="0" w:color="000000"/>
              <w:right w:val="single" w:sz="4" w:space="0" w:color="000000"/>
            </w:tcBorders>
          </w:tcPr>
          <w:p w14:paraId="107E06DD" w14:textId="77777777" w:rsidR="006F76EB" w:rsidRPr="00834D52" w:rsidRDefault="006F76EB" w:rsidP="00E15800">
            <w:pPr>
              <w:spacing w:after="120" w:line="240" w:lineRule="auto"/>
              <w:ind w:right="-6"/>
              <w:rPr>
                <w:rFonts w:ascii="Sylfaen" w:hAnsi="Sylfaen"/>
                <w:sz w:val="24"/>
                <w:szCs w:val="24"/>
              </w:rPr>
            </w:pPr>
          </w:p>
        </w:tc>
      </w:tr>
      <w:tr w:rsidR="006F76EB" w:rsidRPr="00834D52" w14:paraId="6BF4DE9C"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41A85152"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114" w:type="dxa"/>
            <w:tcBorders>
              <w:top w:val="single" w:sz="4" w:space="0" w:color="000000"/>
              <w:left w:val="single" w:sz="4" w:space="0" w:color="000000"/>
              <w:bottom w:val="single" w:sz="4" w:space="0" w:color="000000"/>
              <w:right w:val="single" w:sz="4" w:space="0" w:color="000000"/>
            </w:tcBorders>
          </w:tcPr>
          <w:p w14:paraId="71448024" w14:textId="77777777" w:rsidR="006F76EB" w:rsidRPr="00834D52" w:rsidRDefault="006F76EB" w:rsidP="00E15800">
            <w:pPr>
              <w:spacing w:after="120" w:line="240" w:lineRule="auto"/>
              <w:ind w:right="-6"/>
              <w:rPr>
                <w:rFonts w:ascii="Sylfaen" w:hAnsi="Sylfaen"/>
                <w:sz w:val="24"/>
                <w:szCs w:val="24"/>
              </w:rPr>
            </w:pPr>
          </w:p>
        </w:tc>
      </w:tr>
      <w:tr w:rsidR="006F76EB" w:rsidRPr="00834D52" w14:paraId="08A5A9F5" w14:textId="77777777" w:rsidTr="00F71229">
        <w:tc>
          <w:tcPr>
            <w:tcW w:w="9612" w:type="dxa"/>
            <w:gridSpan w:val="2"/>
            <w:tcBorders>
              <w:top w:val="single" w:sz="4" w:space="0" w:color="000000"/>
              <w:left w:val="single" w:sz="4" w:space="0" w:color="000000"/>
              <w:bottom w:val="single" w:sz="4" w:space="0" w:color="000000"/>
              <w:right w:val="single" w:sz="4" w:space="0" w:color="000000"/>
            </w:tcBorders>
          </w:tcPr>
          <w:p w14:paraId="2C0CF87D" w14:textId="77777777" w:rsidR="006F76EB" w:rsidRPr="00834D52" w:rsidRDefault="00D0720C" w:rsidP="00E15800">
            <w:pPr>
              <w:spacing w:after="120" w:line="240" w:lineRule="auto"/>
              <w:ind w:left="187" w:right="-6"/>
              <w:rPr>
                <w:rFonts w:ascii="Sylfaen" w:eastAsia="Times New Roman" w:hAnsi="Sylfaen" w:cs="Times New Roman"/>
                <w:sz w:val="24"/>
                <w:szCs w:val="24"/>
              </w:rPr>
            </w:pPr>
            <w:r>
              <w:rPr>
                <w:rFonts w:ascii="Sylfaen" w:hAnsi="Sylfaen"/>
                <w:sz w:val="24"/>
                <w:szCs w:val="24"/>
              </w:rPr>
              <w:t>Ռեֆերենտ</w:t>
            </w:r>
            <w:r w:rsidRPr="00834D52">
              <w:rPr>
                <w:rFonts w:ascii="Sylfaen" w:hAnsi="Sylfaen"/>
                <w:sz w:val="24"/>
                <w:szCs w:val="24"/>
              </w:rPr>
              <w:t xml:space="preserve"> </w:t>
            </w:r>
            <w:r w:rsidR="006F76EB" w:rsidRPr="00834D52">
              <w:rPr>
                <w:rFonts w:ascii="Sylfaen" w:hAnsi="Sylfaen"/>
                <w:sz w:val="24"/>
                <w:szCs w:val="24"/>
              </w:rPr>
              <w:t>դեղապատրաստուկը, որն օգտագործվել է համարժեքության հետազոտություններում (եթե այդպիսիք անցկացվել են)՝</w:t>
            </w:r>
          </w:p>
        </w:tc>
      </w:tr>
      <w:tr w:rsidR="006F76EB" w:rsidRPr="00834D52" w14:paraId="2B65D4EE"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5675C79C"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114" w:type="dxa"/>
            <w:tcBorders>
              <w:top w:val="single" w:sz="4" w:space="0" w:color="000000"/>
              <w:left w:val="single" w:sz="4" w:space="0" w:color="000000"/>
              <w:bottom w:val="single" w:sz="4" w:space="0" w:color="000000"/>
              <w:right w:val="single" w:sz="4" w:space="0" w:color="000000"/>
            </w:tcBorders>
          </w:tcPr>
          <w:p w14:paraId="7F77A0EE" w14:textId="77777777" w:rsidR="006F76EB" w:rsidRPr="00834D52" w:rsidRDefault="006F76EB" w:rsidP="00E15800">
            <w:pPr>
              <w:spacing w:after="120" w:line="240" w:lineRule="auto"/>
              <w:ind w:right="-6"/>
              <w:rPr>
                <w:rFonts w:ascii="Sylfaen" w:hAnsi="Sylfaen"/>
                <w:sz w:val="24"/>
                <w:szCs w:val="24"/>
              </w:rPr>
            </w:pPr>
          </w:p>
        </w:tc>
      </w:tr>
      <w:tr w:rsidR="006F76EB" w:rsidRPr="00834D52" w14:paraId="7B73ECD9"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7CA67BB5"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w:t>
            </w:r>
            <w:r w:rsidRPr="00834D52">
              <w:rPr>
                <w:rFonts w:ascii="Sylfaen" w:hAnsi="Sylfaen"/>
                <w:sz w:val="24"/>
                <w:szCs w:val="24"/>
              </w:rPr>
              <w:lastRenderedPageBreak/>
              <w:t xml:space="preserve">անդամ պետությունները, որտեղ գրանցված է </w:t>
            </w:r>
            <w:r w:rsidR="00D0720C">
              <w:rPr>
                <w:rFonts w:ascii="Sylfaen" w:hAnsi="Sylfaen"/>
                <w:sz w:val="24"/>
                <w:szCs w:val="24"/>
              </w:rPr>
              <w:t>ռեֆերենտ</w:t>
            </w:r>
            <w:r w:rsidRPr="00834D52">
              <w:rPr>
                <w:rFonts w:ascii="Sylfaen" w:hAnsi="Sylfaen"/>
                <w:sz w:val="24"/>
                <w:szCs w:val="24"/>
              </w:rPr>
              <w:t xml:space="preserve"> դեղապատրաստուկը</w:t>
            </w:r>
          </w:p>
        </w:tc>
        <w:tc>
          <w:tcPr>
            <w:tcW w:w="4114" w:type="dxa"/>
            <w:tcBorders>
              <w:top w:val="single" w:sz="4" w:space="0" w:color="000000"/>
              <w:left w:val="single" w:sz="4" w:space="0" w:color="000000"/>
              <w:bottom w:val="single" w:sz="4" w:space="0" w:color="000000"/>
              <w:right w:val="single" w:sz="4" w:space="0" w:color="000000"/>
            </w:tcBorders>
          </w:tcPr>
          <w:p w14:paraId="19E4D960" w14:textId="77777777" w:rsidR="006F76EB" w:rsidRPr="00834D52" w:rsidRDefault="006F76EB" w:rsidP="00E15800">
            <w:pPr>
              <w:spacing w:after="120" w:line="240" w:lineRule="auto"/>
              <w:ind w:right="-6"/>
              <w:rPr>
                <w:rFonts w:ascii="Sylfaen" w:hAnsi="Sylfaen"/>
                <w:sz w:val="24"/>
                <w:szCs w:val="24"/>
              </w:rPr>
            </w:pPr>
          </w:p>
        </w:tc>
      </w:tr>
      <w:tr w:rsidR="006F76EB" w:rsidRPr="00834D52" w14:paraId="44792828"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29522AC8"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 xml:space="preserve">բերել </w:t>
            </w:r>
            <w:r w:rsidR="00D0720C">
              <w:rPr>
                <w:rFonts w:ascii="Sylfaen" w:hAnsi="Sylfaen"/>
                <w:sz w:val="24"/>
                <w:szCs w:val="24"/>
              </w:rPr>
              <w:t>ռեֆերենտ</w:t>
            </w:r>
            <w:r w:rsidRPr="00834D52">
              <w:rPr>
                <w:rFonts w:ascii="Sylfaen" w:hAnsi="Sylfaen"/>
                <w:sz w:val="24"/>
                <w:szCs w:val="24"/>
              </w:rPr>
              <w:t xml:space="preserve"> պատրաստուկի օգտագործման հիմնավորումներ օրիգինալ պատրաստուկից դրա տարբերության դեպքում</w:t>
            </w:r>
          </w:p>
        </w:tc>
        <w:tc>
          <w:tcPr>
            <w:tcW w:w="4114" w:type="dxa"/>
            <w:tcBorders>
              <w:top w:val="single" w:sz="4" w:space="0" w:color="000000"/>
              <w:left w:val="single" w:sz="4" w:space="0" w:color="000000"/>
              <w:bottom w:val="single" w:sz="4" w:space="0" w:color="000000"/>
              <w:right w:val="single" w:sz="4" w:space="0" w:color="000000"/>
            </w:tcBorders>
          </w:tcPr>
          <w:p w14:paraId="50400E80" w14:textId="77777777" w:rsidR="006F76EB" w:rsidRPr="00834D52" w:rsidRDefault="006F76EB" w:rsidP="00E15800">
            <w:pPr>
              <w:spacing w:after="120" w:line="240" w:lineRule="auto"/>
              <w:ind w:right="-6"/>
              <w:rPr>
                <w:rFonts w:ascii="Sylfaen" w:hAnsi="Sylfaen"/>
                <w:sz w:val="24"/>
                <w:szCs w:val="24"/>
              </w:rPr>
            </w:pPr>
          </w:p>
        </w:tc>
      </w:tr>
      <w:tr w:rsidR="006F76EB" w:rsidRPr="00834D52" w14:paraId="1200D5DD"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77065055" w14:textId="77777777" w:rsidR="006F76EB" w:rsidRPr="00834D52" w:rsidRDefault="00D0720C" w:rsidP="00E15800">
            <w:pPr>
              <w:spacing w:after="120" w:line="240" w:lineRule="auto"/>
              <w:ind w:left="187" w:right="-6"/>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դեղապատրաստուկի ընտրության վերաբերյալ Դեղամիջոցների հարցերով փորձագիտական կոմիտեի առաջարկությունների առկայությունը</w:t>
            </w:r>
          </w:p>
        </w:tc>
        <w:tc>
          <w:tcPr>
            <w:tcW w:w="4114" w:type="dxa"/>
            <w:tcBorders>
              <w:top w:val="single" w:sz="4" w:space="0" w:color="000000"/>
              <w:left w:val="single" w:sz="4" w:space="0" w:color="000000"/>
              <w:bottom w:val="single" w:sz="4" w:space="0" w:color="000000"/>
              <w:right w:val="single" w:sz="4" w:space="0" w:color="000000"/>
            </w:tcBorders>
          </w:tcPr>
          <w:p w14:paraId="4844C9DC" w14:textId="77777777" w:rsidR="006F76EB" w:rsidRPr="00834D52" w:rsidRDefault="006F76EB" w:rsidP="00E15800">
            <w:pPr>
              <w:spacing w:after="120" w:line="240" w:lineRule="auto"/>
              <w:ind w:right="-6"/>
              <w:rPr>
                <w:rFonts w:ascii="Sylfaen" w:hAnsi="Sylfaen"/>
                <w:sz w:val="24"/>
                <w:szCs w:val="24"/>
              </w:rPr>
            </w:pPr>
          </w:p>
        </w:tc>
      </w:tr>
    </w:tbl>
    <w:p w14:paraId="45194A10" w14:textId="77777777" w:rsidR="006F76EB" w:rsidRPr="00834D52" w:rsidRDefault="006F76EB" w:rsidP="006F76EB">
      <w:pPr>
        <w:spacing w:after="160" w:line="360" w:lineRule="auto"/>
        <w:ind w:right="-8" w:firstLine="567"/>
        <w:jc w:val="both"/>
        <w:rPr>
          <w:rFonts w:ascii="Sylfaen" w:hAnsi="Sylfaen"/>
          <w:sz w:val="24"/>
          <w:szCs w:val="24"/>
        </w:rPr>
      </w:pPr>
      <w:r w:rsidRPr="00834D52">
        <w:rPr>
          <w:rFonts w:ascii="Sylfaen" w:hAnsi="Sylfaen"/>
          <w:sz w:val="24"/>
          <w:szCs w:val="24"/>
        </w:rPr>
        <w:t>Ծանոթագրություն. Բաժինն անհրաժեշտ է լրացնել յուրաքանչյուր դեղապատրաստուկի համար, որն օգտագործվել է համարժեքության հետազոտություններում:</w:t>
      </w:r>
    </w:p>
    <w:p w14:paraId="763B2C4A" w14:textId="77777777" w:rsidR="006F76EB" w:rsidRPr="00834D52" w:rsidRDefault="006F76EB" w:rsidP="00DA62B0">
      <w:pPr>
        <w:spacing w:after="160" w:line="360" w:lineRule="auto"/>
        <w:ind w:right="-8"/>
        <w:jc w:val="center"/>
        <w:rPr>
          <w:rFonts w:ascii="Sylfaen" w:hAnsi="Sylfaen"/>
          <w:sz w:val="24"/>
          <w:szCs w:val="24"/>
        </w:rPr>
      </w:pPr>
    </w:p>
    <w:p w14:paraId="571F02F9"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3838EE17">
          <v:rect id="_x0000_s1195" style="position:absolute;left:0;text-align:left;margin-left:32.5pt;margin-top:2.1pt;width:12.75pt;height:12pt;z-index:251707904"/>
        </w:pict>
      </w:r>
      <w:r w:rsidR="006F76EB" w:rsidRPr="00834D52">
        <w:rPr>
          <w:rFonts w:ascii="Sylfaen" w:hAnsi="Sylfaen"/>
          <w:sz w:val="24"/>
          <w:szCs w:val="24"/>
        </w:rPr>
        <w:t>ԿԵՆՍԱՆՄԱՆ ԴԵՂԱՊԱՏՐԱՍՏՈՒԿ (ԿԵՆՍԱՆՄԱՆԱԿ)</w:t>
      </w:r>
    </w:p>
    <w:p w14:paraId="5BC20078"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Օրիգինալ կենսաբանական դեղապատրաստուկ՝</w:t>
      </w:r>
    </w:p>
    <w:tbl>
      <w:tblPr>
        <w:tblW w:w="9612" w:type="dxa"/>
        <w:tblInd w:w="103" w:type="dxa"/>
        <w:tblLayout w:type="fixed"/>
        <w:tblCellMar>
          <w:left w:w="0" w:type="dxa"/>
          <w:right w:w="0" w:type="dxa"/>
        </w:tblCellMar>
        <w:tblLook w:val="01E0" w:firstRow="1" w:lastRow="1" w:firstColumn="1" w:lastColumn="1" w:noHBand="0" w:noVBand="0"/>
      </w:tblPr>
      <w:tblGrid>
        <w:gridCol w:w="5498"/>
        <w:gridCol w:w="4114"/>
      </w:tblGrid>
      <w:tr w:rsidR="006F76EB" w:rsidRPr="00834D52" w14:paraId="2E0BDD53"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3C98D8A8" w14:textId="77777777" w:rsidR="006F76EB" w:rsidRPr="00834D52" w:rsidRDefault="006F76EB" w:rsidP="00E1580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114" w:type="dxa"/>
            <w:tcBorders>
              <w:top w:val="single" w:sz="4" w:space="0" w:color="000000"/>
              <w:left w:val="single" w:sz="4" w:space="0" w:color="000000"/>
              <w:bottom w:val="single" w:sz="4" w:space="0" w:color="000000"/>
              <w:right w:val="single" w:sz="4" w:space="0" w:color="000000"/>
            </w:tcBorders>
          </w:tcPr>
          <w:p w14:paraId="4EBC6F6F" w14:textId="77777777" w:rsidR="006F76EB" w:rsidRPr="00834D52" w:rsidRDefault="006F76EB" w:rsidP="00E15800">
            <w:pPr>
              <w:spacing w:after="120" w:line="240" w:lineRule="auto"/>
              <w:ind w:right="-6"/>
              <w:rPr>
                <w:rFonts w:ascii="Sylfaen" w:hAnsi="Sylfaen"/>
                <w:sz w:val="24"/>
                <w:szCs w:val="24"/>
              </w:rPr>
            </w:pPr>
          </w:p>
        </w:tc>
      </w:tr>
      <w:tr w:rsidR="006F76EB" w:rsidRPr="00834D52" w14:paraId="1D364DBF" w14:textId="77777777" w:rsidTr="00F71229">
        <w:tc>
          <w:tcPr>
            <w:tcW w:w="5498" w:type="dxa"/>
            <w:tcBorders>
              <w:top w:val="single" w:sz="4" w:space="0" w:color="000000"/>
              <w:left w:val="single" w:sz="4" w:space="0" w:color="000000"/>
              <w:bottom w:val="single" w:sz="4" w:space="0" w:color="000000"/>
              <w:right w:val="single" w:sz="4" w:space="0" w:color="000000"/>
            </w:tcBorders>
          </w:tcPr>
          <w:p w14:paraId="1836977D" w14:textId="77777777" w:rsidR="006F76EB" w:rsidRPr="00834D52" w:rsidRDefault="006F76EB" w:rsidP="00E1580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 (այն ընկերությունը, որի անունով տրվել է գրանցման հավաստագիրը),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4114" w:type="dxa"/>
            <w:tcBorders>
              <w:top w:val="single" w:sz="4" w:space="0" w:color="000000"/>
              <w:left w:val="single" w:sz="4" w:space="0" w:color="000000"/>
              <w:bottom w:val="single" w:sz="4" w:space="0" w:color="000000"/>
              <w:right w:val="single" w:sz="4" w:space="0" w:color="000000"/>
            </w:tcBorders>
          </w:tcPr>
          <w:p w14:paraId="015E6431" w14:textId="77777777" w:rsidR="006F76EB" w:rsidRPr="00834D52" w:rsidRDefault="006F76EB" w:rsidP="00E15800">
            <w:pPr>
              <w:spacing w:after="120" w:line="240" w:lineRule="auto"/>
              <w:ind w:right="-6"/>
              <w:rPr>
                <w:rFonts w:ascii="Sylfaen" w:hAnsi="Sylfaen"/>
                <w:sz w:val="24"/>
                <w:szCs w:val="24"/>
              </w:rPr>
            </w:pPr>
          </w:p>
        </w:tc>
      </w:tr>
    </w:tbl>
    <w:p w14:paraId="475156BA" w14:textId="77777777" w:rsidR="006F76EB" w:rsidRPr="00834D52" w:rsidRDefault="00D0720C" w:rsidP="006F76EB">
      <w:pPr>
        <w:spacing w:after="160" w:line="360" w:lineRule="auto"/>
        <w:ind w:right="-8"/>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կենսաբանական դեղապատրաստուկ՝</w:t>
      </w:r>
    </w:p>
    <w:tbl>
      <w:tblPr>
        <w:tblW w:w="9612" w:type="dxa"/>
        <w:tblInd w:w="103" w:type="dxa"/>
        <w:tblLayout w:type="fixed"/>
        <w:tblCellMar>
          <w:left w:w="0" w:type="dxa"/>
          <w:right w:w="0" w:type="dxa"/>
        </w:tblCellMar>
        <w:tblLook w:val="01E0" w:firstRow="1" w:lastRow="1" w:firstColumn="1" w:lastColumn="1" w:noHBand="0" w:noVBand="0"/>
      </w:tblPr>
      <w:tblGrid>
        <w:gridCol w:w="5431"/>
        <w:gridCol w:w="4181"/>
      </w:tblGrid>
      <w:tr w:rsidR="006F76EB" w:rsidRPr="00834D52" w14:paraId="1EA2BA79" w14:textId="77777777" w:rsidTr="00F71229">
        <w:tc>
          <w:tcPr>
            <w:tcW w:w="5431" w:type="dxa"/>
            <w:tcBorders>
              <w:top w:val="single" w:sz="4" w:space="0" w:color="000000"/>
              <w:left w:val="single" w:sz="4" w:space="0" w:color="000000"/>
              <w:bottom w:val="single" w:sz="4" w:space="0" w:color="000000"/>
              <w:right w:val="single" w:sz="4" w:space="0" w:color="000000"/>
            </w:tcBorders>
          </w:tcPr>
          <w:p w14:paraId="167907B6" w14:textId="77777777" w:rsidR="006F76EB" w:rsidRPr="00834D52" w:rsidRDefault="006F76EB" w:rsidP="00E15800">
            <w:pPr>
              <w:spacing w:after="120" w:line="240" w:lineRule="auto"/>
              <w:ind w:left="186" w:right="-8"/>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4181" w:type="dxa"/>
            <w:tcBorders>
              <w:top w:val="single" w:sz="4" w:space="0" w:color="000000"/>
              <w:left w:val="single" w:sz="4" w:space="0" w:color="000000"/>
              <w:bottom w:val="single" w:sz="4" w:space="0" w:color="000000"/>
              <w:right w:val="single" w:sz="4" w:space="0" w:color="000000"/>
            </w:tcBorders>
          </w:tcPr>
          <w:p w14:paraId="3C297CBA" w14:textId="77777777" w:rsidR="006F76EB" w:rsidRPr="00834D52" w:rsidRDefault="006F76EB" w:rsidP="00E15800">
            <w:pPr>
              <w:spacing w:after="120" w:line="240" w:lineRule="auto"/>
              <w:ind w:right="-8"/>
              <w:rPr>
                <w:rFonts w:ascii="Sylfaen" w:hAnsi="Sylfaen"/>
                <w:sz w:val="24"/>
                <w:szCs w:val="24"/>
              </w:rPr>
            </w:pPr>
          </w:p>
        </w:tc>
      </w:tr>
      <w:tr w:rsidR="006F76EB" w:rsidRPr="00834D52" w14:paraId="599A610C" w14:textId="77777777" w:rsidTr="00F71229">
        <w:tc>
          <w:tcPr>
            <w:tcW w:w="5431" w:type="dxa"/>
            <w:tcBorders>
              <w:top w:val="single" w:sz="4" w:space="0" w:color="000000"/>
              <w:left w:val="single" w:sz="4" w:space="0" w:color="000000"/>
              <w:bottom w:val="single" w:sz="4" w:space="0" w:color="000000"/>
              <w:right w:val="single" w:sz="4" w:space="0" w:color="000000"/>
            </w:tcBorders>
          </w:tcPr>
          <w:p w14:paraId="63D871B2" w14:textId="77777777" w:rsidR="006F76EB" w:rsidRPr="00834D52" w:rsidRDefault="006F76EB" w:rsidP="00E15800">
            <w:pPr>
              <w:spacing w:after="120" w:line="240" w:lineRule="auto"/>
              <w:ind w:left="186" w:right="-8"/>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իրավատերը, գրանցման ամսաթիվը, գրանցման հավաստագրի համարը, Եվրասիական տնտեսական միության այն անդամ պետությունները, որտեղ գրանցված է </w:t>
            </w:r>
            <w:r w:rsidR="00D0720C">
              <w:rPr>
                <w:rFonts w:ascii="Sylfaen" w:hAnsi="Sylfaen"/>
                <w:sz w:val="24"/>
                <w:szCs w:val="24"/>
              </w:rPr>
              <w:t>ռեֆերենտ</w:t>
            </w:r>
            <w:r w:rsidRPr="00834D52">
              <w:rPr>
                <w:rFonts w:ascii="Sylfaen" w:hAnsi="Sylfaen"/>
                <w:sz w:val="24"/>
                <w:szCs w:val="24"/>
              </w:rPr>
              <w:t xml:space="preserve"> դեղապատրաստուկը</w:t>
            </w:r>
          </w:p>
        </w:tc>
        <w:tc>
          <w:tcPr>
            <w:tcW w:w="4181" w:type="dxa"/>
            <w:tcBorders>
              <w:top w:val="single" w:sz="4" w:space="0" w:color="000000"/>
              <w:left w:val="single" w:sz="4" w:space="0" w:color="000000"/>
              <w:bottom w:val="single" w:sz="4" w:space="0" w:color="000000"/>
              <w:right w:val="single" w:sz="4" w:space="0" w:color="000000"/>
            </w:tcBorders>
          </w:tcPr>
          <w:p w14:paraId="018EAD48" w14:textId="77777777" w:rsidR="006F76EB" w:rsidRPr="00834D52" w:rsidRDefault="006F76EB" w:rsidP="00E15800">
            <w:pPr>
              <w:spacing w:after="120" w:line="240" w:lineRule="auto"/>
              <w:ind w:right="-8"/>
              <w:rPr>
                <w:rFonts w:ascii="Sylfaen" w:hAnsi="Sylfaen"/>
                <w:sz w:val="24"/>
                <w:szCs w:val="24"/>
              </w:rPr>
            </w:pPr>
          </w:p>
        </w:tc>
      </w:tr>
      <w:tr w:rsidR="006F76EB" w:rsidRPr="00834D52" w14:paraId="758CD529" w14:textId="77777777" w:rsidTr="00F71229">
        <w:tc>
          <w:tcPr>
            <w:tcW w:w="5431" w:type="dxa"/>
            <w:tcBorders>
              <w:top w:val="single" w:sz="4" w:space="0" w:color="000000"/>
              <w:left w:val="single" w:sz="4" w:space="0" w:color="000000"/>
              <w:bottom w:val="single" w:sz="4" w:space="0" w:color="000000"/>
              <w:right w:val="single" w:sz="4" w:space="0" w:color="000000"/>
            </w:tcBorders>
          </w:tcPr>
          <w:p w14:paraId="1289E48D" w14:textId="77777777" w:rsidR="006F76EB" w:rsidRPr="00834D52" w:rsidRDefault="00D0720C" w:rsidP="00E15800">
            <w:pPr>
              <w:spacing w:after="120" w:line="240" w:lineRule="auto"/>
              <w:ind w:left="186" w:right="-8"/>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դեղապատրաստուկի ընտրության հարցի վերաբերյալ Դեղամիջոցների հարցերով </w:t>
            </w:r>
            <w:r w:rsidR="006F76EB" w:rsidRPr="00834D52">
              <w:rPr>
                <w:rFonts w:ascii="Sylfaen" w:hAnsi="Sylfaen"/>
                <w:sz w:val="24"/>
                <w:szCs w:val="24"/>
              </w:rPr>
              <w:lastRenderedPageBreak/>
              <w:t>փորձագիտական կոմիտեի առաջարկությունների առկայությունը</w:t>
            </w:r>
          </w:p>
        </w:tc>
        <w:tc>
          <w:tcPr>
            <w:tcW w:w="4181" w:type="dxa"/>
            <w:tcBorders>
              <w:top w:val="single" w:sz="4" w:space="0" w:color="000000"/>
              <w:left w:val="single" w:sz="4" w:space="0" w:color="000000"/>
              <w:bottom w:val="single" w:sz="4" w:space="0" w:color="000000"/>
              <w:right w:val="single" w:sz="4" w:space="0" w:color="000000"/>
            </w:tcBorders>
          </w:tcPr>
          <w:p w14:paraId="4F11B656" w14:textId="77777777" w:rsidR="006F76EB" w:rsidRPr="00834D52" w:rsidRDefault="006F76EB" w:rsidP="00E15800">
            <w:pPr>
              <w:spacing w:after="120" w:line="240" w:lineRule="auto"/>
              <w:ind w:right="-8"/>
              <w:rPr>
                <w:rFonts w:ascii="Sylfaen" w:hAnsi="Sylfaen"/>
                <w:sz w:val="24"/>
                <w:szCs w:val="24"/>
              </w:rPr>
            </w:pPr>
          </w:p>
        </w:tc>
      </w:tr>
      <w:tr w:rsidR="006F76EB" w:rsidRPr="00834D52" w14:paraId="67A8DF1C" w14:textId="77777777" w:rsidTr="00F71229">
        <w:tc>
          <w:tcPr>
            <w:tcW w:w="5431" w:type="dxa"/>
            <w:tcBorders>
              <w:top w:val="single" w:sz="4" w:space="0" w:color="000000"/>
              <w:left w:val="single" w:sz="4" w:space="0" w:color="000000"/>
              <w:bottom w:val="single" w:sz="4" w:space="0" w:color="000000"/>
              <w:right w:val="single" w:sz="4" w:space="0" w:color="000000"/>
            </w:tcBorders>
          </w:tcPr>
          <w:p w14:paraId="36DA7085" w14:textId="77777777" w:rsidR="006F76EB" w:rsidRPr="00834D52" w:rsidRDefault="00D0720C" w:rsidP="00E15800">
            <w:pPr>
              <w:spacing w:after="120" w:line="240" w:lineRule="auto"/>
              <w:ind w:left="186" w:right="-8"/>
              <w:rPr>
                <w:rFonts w:ascii="Sylfaen" w:eastAsia="Times New Roman" w:hAnsi="Sylfaen" w:cs="Times New Roman"/>
                <w:sz w:val="24"/>
                <w:szCs w:val="24"/>
              </w:rPr>
            </w:pPr>
            <w:r>
              <w:rPr>
                <w:rFonts w:ascii="Sylfaen" w:hAnsi="Sylfaen"/>
                <w:sz w:val="24"/>
                <w:szCs w:val="24"/>
              </w:rPr>
              <w:t>ռեֆերենտ</w:t>
            </w:r>
            <w:r w:rsidR="006F76EB" w:rsidRPr="00834D52">
              <w:rPr>
                <w:rFonts w:ascii="Sylfaen" w:hAnsi="Sylfaen"/>
                <w:sz w:val="24"/>
                <w:szCs w:val="24"/>
              </w:rPr>
              <w:t xml:space="preserve"> կենսաբանական դեղապատրաստուկի համեմատությամբ տարբերությունները (առկայության դեպքում)՝</w:t>
            </w:r>
          </w:p>
        </w:tc>
        <w:tc>
          <w:tcPr>
            <w:tcW w:w="4181" w:type="dxa"/>
            <w:tcBorders>
              <w:top w:val="single" w:sz="4" w:space="0" w:color="000000"/>
              <w:left w:val="single" w:sz="4" w:space="0" w:color="000000"/>
              <w:bottom w:val="single" w:sz="4" w:space="0" w:color="000000"/>
              <w:right w:val="single" w:sz="4" w:space="0" w:color="000000"/>
            </w:tcBorders>
          </w:tcPr>
          <w:p w14:paraId="751B6412"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7B12AAE3">
                <v:rect id="_x0000_s1196" style="position:absolute;left:0;text-align:left;margin-left:4.2pt;margin-top:5.4pt;width:12.75pt;height:12pt;z-index:251708928;mso-position-horizontal-relative:text;mso-position-vertical-relative:text"/>
              </w:pict>
            </w:r>
            <w:r w:rsidR="006F76EB" w:rsidRPr="00834D52">
              <w:rPr>
                <w:rFonts w:ascii="Sylfaen" w:hAnsi="Sylfaen"/>
                <w:sz w:val="24"/>
                <w:szCs w:val="24"/>
              </w:rPr>
              <w:t>ելանյութերի տարբերությունները</w:t>
            </w:r>
          </w:p>
          <w:p w14:paraId="36DB0ADD"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1632D20F">
                <v:rect id="_x0000_s1197" style="position:absolute;left:0;text-align:left;margin-left:4.95pt;margin-top:5.05pt;width:12.75pt;height:12pt;z-index:251709952"/>
              </w:pict>
            </w:r>
            <w:r w:rsidR="006F76EB" w:rsidRPr="00834D52">
              <w:rPr>
                <w:rFonts w:ascii="Sylfaen" w:hAnsi="Sylfaen"/>
                <w:sz w:val="24"/>
                <w:szCs w:val="24"/>
              </w:rPr>
              <w:t>արտադրական գործընթացի տարբերությունները</w:t>
            </w:r>
          </w:p>
          <w:p w14:paraId="0C3C91BC"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36B14C36">
                <v:rect id="_x0000_s1198" style="position:absolute;left:0;text-align:left;margin-left:5.7pt;margin-top:2.55pt;width:12.75pt;height:12pt;z-index:251710976"/>
              </w:pict>
            </w:r>
            <w:r w:rsidR="006F76EB" w:rsidRPr="00834D52">
              <w:rPr>
                <w:rFonts w:ascii="Sylfaen" w:hAnsi="Sylfaen"/>
                <w:sz w:val="24"/>
                <w:szCs w:val="24"/>
              </w:rPr>
              <w:t>կիրառման այլ ցուցումներ</w:t>
            </w:r>
          </w:p>
          <w:p w14:paraId="0AAF9DC9"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4AC58763">
                <v:rect id="_x0000_s1199" style="position:absolute;left:0;text-align:left;margin-left:5.7pt;margin-top:4.5pt;width:12.75pt;height:12pt;z-index:251712000"/>
              </w:pict>
            </w:r>
            <w:r w:rsidR="006F76EB" w:rsidRPr="00834D52">
              <w:rPr>
                <w:rFonts w:ascii="Sylfaen" w:hAnsi="Sylfaen"/>
                <w:sz w:val="24"/>
                <w:szCs w:val="24"/>
              </w:rPr>
              <w:t>դեղաձ</w:t>
            </w:r>
            <w:r w:rsidR="00C54D75">
              <w:rPr>
                <w:rFonts w:ascii="Sylfaen" w:hAnsi="Sylfaen"/>
                <w:sz w:val="24"/>
                <w:szCs w:val="24"/>
              </w:rPr>
              <w:t>և</w:t>
            </w:r>
            <w:r w:rsidR="006F76EB" w:rsidRPr="00834D52">
              <w:rPr>
                <w:rFonts w:ascii="Sylfaen" w:hAnsi="Sylfaen"/>
                <w:sz w:val="24"/>
                <w:szCs w:val="24"/>
              </w:rPr>
              <w:t>ի տարբերությունները</w:t>
            </w:r>
          </w:p>
          <w:p w14:paraId="0E44DC3F"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16E7BDA7">
                <v:rect id="_x0000_s1200" style="position:absolute;left:0;text-align:left;margin-left:5.7pt;margin-top:6.45pt;width:12.75pt;height:12pt;z-index:251713024"/>
              </w:pict>
            </w:r>
            <w:r w:rsidR="006F76EB" w:rsidRPr="00834D52">
              <w:rPr>
                <w:rFonts w:ascii="Sylfaen" w:hAnsi="Sylfaen"/>
                <w:sz w:val="24"/>
                <w:szCs w:val="24"/>
              </w:rPr>
              <w:t>այլ դոզավորումներ (ԱԴԲ-ի քանակական փոփոխություններ)</w:t>
            </w:r>
          </w:p>
          <w:p w14:paraId="02C22785" w14:textId="77777777" w:rsidR="006F76EB" w:rsidRPr="00834D52" w:rsidRDefault="00157FD9" w:rsidP="00E15800">
            <w:pPr>
              <w:spacing w:after="120" w:line="240" w:lineRule="auto"/>
              <w:ind w:left="469" w:right="-8"/>
              <w:rPr>
                <w:rFonts w:ascii="Sylfaen" w:eastAsia="Times New Roman" w:hAnsi="Sylfaen" w:cs="Times New Roman"/>
                <w:sz w:val="24"/>
                <w:szCs w:val="24"/>
              </w:rPr>
            </w:pPr>
            <w:r>
              <w:rPr>
                <w:rFonts w:ascii="Sylfaen" w:hAnsi="Sylfaen"/>
                <w:noProof/>
                <w:sz w:val="24"/>
                <w:szCs w:val="24"/>
              </w:rPr>
              <w:pict w14:anchorId="53637D98">
                <v:rect id="_x0000_s1201" style="position:absolute;left:0;text-align:left;margin-left:5.7pt;margin-top:5.15pt;width:12.75pt;height:12pt;z-index:251714048"/>
              </w:pict>
            </w:r>
            <w:r w:rsidR="006F76EB" w:rsidRPr="00834D52">
              <w:rPr>
                <w:rFonts w:ascii="Sylfaen" w:hAnsi="Sylfaen"/>
                <w:sz w:val="24"/>
                <w:szCs w:val="24"/>
              </w:rPr>
              <w:t>ներմուծման այլ եղանակ</w:t>
            </w:r>
          </w:p>
          <w:p w14:paraId="6D72C97E" w14:textId="77777777" w:rsidR="006F76EB" w:rsidRPr="00834D52" w:rsidRDefault="00157FD9" w:rsidP="00E15800">
            <w:pPr>
              <w:spacing w:after="120" w:line="240" w:lineRule="auto"/>
              <w:ind w:left="469"/>
              <w:rPr>
                <w:rFonts w:ascii="Sylfaen" w:eastAsia="Times New Roman" w:hAnsi="Sylfaen" w:cs="Times New Roman"/>
                <w:sz w:val="24"/>
                <w:szCs w:val="24"/>
              </w:rPr>
            </w:pPr>
            <w:r>
              <w:rPr>
                <w:rFonts w:ascii="Sylfaen" w:hAnsi="Sylfaen"/>
                <w:noProof/>
                <w:sz w:val="24"/>
                <w:szCs w:val="24"/>
              </w:rPr>
              <w:pict w14:anchorId="2AD60676">
                <v:rect id="_x0000_s1202" style="position:absolute;left:0;text-align:left;margin-left:5.7pt;margin-top:1.8pt;width:12.75pt;height:12pt;z-index:251715072"/>
              </w:pict>
            </w:r>
            <w:r w:rsidR="006F76EB" w:rsidRPr="00834D52">
              <w:rPr>
                <w:rFonts w:ascii="Sylfaen" w:hAnsi="Sylfaen"/>
                <w:sz w:val="24"/>
                <w:szCs w:val="24"/>
              </w:rPr>
              <w:t>այլ տարբերություններ՝ ______________________</w:t>
            </w:r>
          </w:p>
        </w:tc>
      </w:tr>
    </w:tbl>
    <w:p w14:paraId="54841B26" w14:textId="77777777" w:rsidR="006F76EB" w:rsidRPr="00834D52" w:rsidRDefault="006F76EB" w:rsidP="006F76EB">
      <w:pPr>
        <w:spacing w:after="160" w:line="360" w:lineRule="auto"/>
        <w:ind w:right="-8"/>
        <w:jc w:val="center"/>
        <w:rPr>
          <w:rFonts w:ascii="Sylfaen" w:hAnsi="Sylfaen"/>
          <w:sz w:val="24"/>
          <w:szCs w:val="24"/>
        </w:rPr>
      </w:pPr>
    </w:p>
    <w:p w14:paraId="6B1262CF" w14:textId="77777777" w:rsidR="006F76EB" w:rsidRPr="00834D52" w:rsidRDefault="00157FD9" w:rsidP="006F76EB">
      <w:pPr>
        <w:spacing w:after="160" w:line="360" w:lineRule="auto"/>
        <w:ind w:right="-8"/>
        <w:jc w:val="center"/>
        <w:rPr>
          <w:rFonts w:ascii="Sylfaen" w:eastAsia="Times New Roman" w:hAnsi="Sylfaen" w:cs="Times New Roman"/>
          <w:sz w:val="24"/>
          <w:szCs w:val="24"/>
        </w:rPr>
      </w:pPr>
      <w:r>
        <w:rPr>
          <w:rFonts w:ascii="Sylfaen" w:hAnsi="Sylfaen"/>
          <w:noProof/>
          <w:sz w:val="24"/>
          <w:szCs w:val="24"/>
        </w:rPr>
        <w:pict w14:anchorId="6FC2B953">
          <v:rect id="_x0000_s1203" style="position:absolute;left:0;text-align:left;margin-left:82.1pt;margin-top:1.9pt;width:12.75pt;height:12pt;z-index:251716096"/>
        </w:pict>
      </w:r>
      <w:r w:rsidR="006F76EB" w:rsidRPr="00834D52">
        <w:rPr>
          <w:rFonts w:ascii="Sylfaen" w:hAnsi="Sylfaen"/>
          <w:sz w:val="24"/>
          <w:szCs w:val="24"/>
        </w:rPr>
        <w:t>ՀԻԲՐԻԴԱՅԻՆ ԴԵՂԱՊԱՏՐԱՍՏՈՒԿ</w:t>
      </w:r>
    </w:p>
    <w:tbl>
      <w:tblPr>
        <w:tblW w:w="9612" w:type="dxa"/>
        <w:tblInd w:w="103" w:type="dxa"/>
        <w:tblLayout w:type="fixed"/>
        <w:tblCellMar>
          <w:left w:w="0" w:type="dxa"/>
          <w:right w:w="0" w:type="dxa"/>
        </w:tblCellMar>
        <w:tblLook w:val="01E0" w:firstRow="1" w:lastRow="1" w:firstColumn="1" w:lastColumn="1" w:noHBand="0" w:noVBand="0"/>
      </w:tblPr>
      <w:tblGrid>
        <w:gridCol w:w="4580"/>
        <w:gridCol w:w="5032"/>
      </w:tblGrid>
      <w:tr w:rsidR="006F76EB" w:rsidRPr="00834D52" w14:paraId="423F9F95" w14:textId="77777777" w:rsidTr="00F71229">
        <w:tc>
          <w:tcPr>
            <w:tcW w:w="9612" w:type="dxa"/>
            <w:gridSpan w:val="2"/>
            <w:tcBorders>
              <w:top w:val="single" w:sz="4" w:space="0" w:color="000000"/>
              <w:left w:val="single" w:sz="4" w:space="0" w:color="000000"/>
              <w:bottom w:val="single" w:sz="4" w:space="0" w:color="000000"/>
              <w:right w:val="single" w:sz="4" w:space="0" w:color="000000"/>
            </w:tcBorders>
          </w:tcPr>
          <w:p w14:paraId="3B658F84"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Օրիգինալ դեղապատրաստուկ՝</w:t>
            </w:r>
          </w:p>
        </w:tc>
      </w:tr>
      <w:tr w:rsidR="006F76EB" w:rsidRPr="00834D52" w14:paraId="4FE7D8C3" w14:textId="77777777" w:rsidTr="00F71229">
        <w:tc>
          <w:tcPr>
            <w:tcW w:w="4580" w:type="dxa"/>
            <w:tcBorders>
              <w:top w:val="single" w:sz="4" w:space="0" w:color="000000"/>
              <w:left w:val="single" w:sz="4" w:space="0" w:color="000000"/>
              <w:bottom w:val="single" w:sz="4" w:space="0" w:color="000000"/>
              <w:right w:val="single" w:sz="4" w:space="0" w:color="000000"/>
            </w:tcBorders>
          </w:tcPr>
          <w:p w14:paraId="1DD9EECC"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5032" w:type="dxa"/>
            <w:tcBorders>
              <w:top w:val="single" w:sz="4" w:space="0" w:color="000000"/>
              <w:left w:val="single" w:sz="4" w:space="0" w:color="000000"/>
              <w:bottom w:val="single" w:sz="4" w:space="0" w:color="000000"/>
              <w:right w:val="single" w:sz="4" w:space="0" w:color="000000"/>
            </w:tcBorders>
          </w:tcPr>
          <w:p w14:paraId="4CAACF84" w14:textId="77777777" w:rsidR="006F76EB" w:rsidRPr="00834D52" w:rsidRDefault="006F76EB" w:rsidP="00E15800">
            <w:pPr>
              <w:spacing w:after="120" w:line="240" w:lineRule="auto"/>
              <w:ind w:right="-6"/>
              <w:rPr>
                <w:rFonts w:ascii="Sylfaen" w:hAnsi="Sylfaen"/>
                <w:sz w:val="24"/>
                <w:szCs w:val="24"/>
              </w:rPr>
            </w:pPr>
          </w:p>
        </w:tc>
      </w:tr>
      <w:tr w:rsidR="006F76EB" w:rsidRPr="00834D52" w14:paraId="1A109650" w14:textId="77777777" w:rsidTr="00F71229">
        <w:tc>
          <w:tcPr>
            <w:tcW w:w="4580" w:type="dxa"/>
            <w:tcBorders>
              <w:top w:val="single" w:sz="4" w:space="0" w:color="000000"/>
              <w:left w:val="single" w:sz="4" w:space="0" w:color="000000"/>
              <w:bottom w:val="single" w:sz="4" w:space="0" w:color="000000"/>
              <w:right w:val="single" w:sz="4" w:space="0" w:color="000000"/>
            </w:tcBorders>
          </w:tcPr>
          <w:p w14:paraId="0C739A91" w14:textId="77777777" w:rsidR="006F76EB" w:rsidRPr="00834D52" w:rsidRDefault="006F76EB" w:rsidP="00E15800">
            <w:pPr>
              <w:spacing w:after="120" w:line="240" w:lineRule="auto"/>
              <w:ind w:left="187" w:right="-6"/>
              <w:rPr>
                <w:rFonts w:ascii="Sylfaen" w:eastAsia="Times New Roman" w:hAnsi="Sylfaen" w:cs="Times New Roman"/>
                <w:sz w:val="24"/>
                <w:szCs w:val="24"/>
              </w:rPr>
            </w:pPr>
            <w:r w:rsidRPr="00834D52">
              <w:rPr>
                <w:rFonts w:ascii="Sylfaen" w:hAnsi="Sylfaen"/>
                <w:sz w:val="24"/>
                <w:szCs w:val="24"/>
              </w:rPr>
              <w:t>գրանցման հավաստագրի իրավատերը,</w:t>
            </w:r>
          </w:p>
        </w:tc>
        <w:tc>
          <w:tcPr>
            <w:tcW w:w="5032" w:type="dxa"/>
            <w:tcBorders>
              <w:top w:val="single" w:sz="4" w:space="0" w:color="000000"/>
              <w:left w:val="single" w:sz="4" w:space="0" w:color="000000"/>
              <w:bottom w:val="single" w:sz="4" w:space="0" w:color="000000"/>
              <w:right w:val="single" w:sz="4" w:space="0" w:color="000000"/>
            </w:tcBorders>
          </w:tcPr>
          <w:p w14:paraId="49FD6B77" w14:textId="77777777" w:rsidR="006F76EB" w:rsidRPr="00834D52" w:rsidRDefault="006F76EB" w:rsidP="00E15800">
            <w:pPr>
              <w:spacing w:after="120" w:line="240" w:lineRule="auto"/>
              <w:ind w:right="-6"/>
              <w:rPr>
                <w:rFonts w:ascii="Sylfaen" w:hAnsi="Sylfaen"/>
                <w:sz w:val="24"/>
                <w:szCs w:val="24"/>
              </w:rPr>
            </w:pPr>
          </w:p>
        </w:tc>
      </w:tr>
      <w:tr w:rsidR="006F76EB" w:rsidRPr="00834D52" w14:paraId="231E8842" w14:textId="77777777" w:rsidTr="00F71229">
        <w:tc>
          <w:tcPr>
            <w:tcW w:w="4580" w:type="dxa"/>
            <w:tcBorders>
              <w:top w:val="single" w:sz="4" w:space="0" w:color="000000"/>
              <w:left w:val="single" w:sz="4" w:space="0" w:color="000000"/>
              <w:bottom w:val="single" w:sz="4" w:space="0" w:color="000000"/>
              <w:right w:val="single" w:sz="4" w:space="0" w:color="000000"/>
            </w:tcBorders>
          </w:tcPr>
          <w:p w14:paraId="09634BFD" w14:textId="77777777" w:rsidR="006F76EB" w:rsidRPr="00834D52" w:rsidRDefault="006F76EB" w:rsidP="00E1580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ամսաթիվը, Եվրասիական տնտեսական միության այն անդամ պետությունների գրանցման հավաստագրի համարը, որտեղ գրանցված է օրիգինալ դեղապատրաստուկը</w:t>
            </w:r>
          </w:p>
        </w:tc>
        <w:tc>
          <w:tcPr>
            <w:tcW w:w="5032" w:type="dxa"/>
            <w:tcBorders>
              <w:top w:val="single" w:sz="4" w:space="0" w:color="000000"/>
              <w:left w:val="single" w:sz="4" w:space="0" w:color="000000"/>
              <w:bottom w:val="single" w:sz="4" w:space="0" w:color="000000"/>
              <w:right w:val="single" w:sz="4" w:space="0" w:color="000000"/>
            </w:tcBorders>
          </w:tcPr>
          <w:p w14:paraId="4166E2FB" w14:textId="77777777" w:rsidR="006F76EB" w:rsidRPr="00834D52" w:rsidRDefault="006F76EB" w:rsidP="00E15800">
            <w:pPr>
              <w:spacing w:after="120" w:line="240" w:lineRule="auto"/>
              <w:ind w:right="-6"/>
              <w:rPr>
                <w:rFonts w:ascii="Sylfaen" w:hAnsi="Sylfaen"/>
                <w:sz w:val="24"/>
                <w:szCs w:val="24"/>
              </w:rPr>
            </w:pPr>
          </w:p>
        </w:tc>
      </w:tr>
      <w:tr w:rsidR="006F76EB" w:rsidRPr="00834D52" w14:paraId="6C7440FB" w14:textId="77777777" w:rsidTr="00F71229">
        <w:tc>
          <w:tcPr>
            <w:tcW w:w="4580" w:type="dxa"/>
            <w:tcBorders>
              <w:top w:val="single" w:sz="4" w:space="0" w:color="000000"/>
              <w:left w:val="single" w:sz="4" w:space="0" w:color="000000"/>
              <w:bottom w:val="single" w:sz="4" w:space="0" w:color="000000"/>
              <w:right w:val="single" w:sz="4" w:space="0" w:color="000000"/>
            </w:tcBorders>
          </w:tcPr>
          <w:p w14:paraId="655E13FB" w14:textId="77777777" w:rsidR="006F76EB" w:rsidRPr="00834D52" w:rsidRDefault="006F76EB" w:rsidP="00E1580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Օրիգինալ դեղապատրաստուկի համեմատությամբ տարբերությունները՝</w:t>
            </w:r>
          </w:p>
        </w:tc>
        <w:tc>
          <w:tcPr>
            <w:tcW w:w="5032" w:type="dxa"/>
            <w:tcBorders>
              <w:top w:val="single" w:sz="4" w:space="0" w:color="000000"/>
              <w:left w:val="single" w:sz="4" w:space="0" w:color="000000"/>
              <w:bottom w:val="single" w:sz="4" w:space="0" w:color="000000"/>
              <w:right w:val="single" w:sz="4" w:space="0" w:color="000000"/>
            </w:tcBorders>
          </w:tcPr>
          <w:p w14:paraId="65317360"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hAnsi="Sylfaen"/>
                <w:noProof/>
                <w:sz w:val="24"/>
                <w:szCs w:val="24"/>
              </w:rPr>
              <w:pict w14:anchorId="1C4CAAE7">
                <v:rect id="_x0000_s1204" style="position:absolute;left:0;text-align:left;margin-left:2.7pt;margin-top:6.05pt;width:12.75pt;height:12pt;z-index:251717120;mso-position-horizontal-relative:text;mso-position-vertical-relative:text"/>
              </w:pict>
            </w:r>
            <w:r w:rsidR="006F76EB" w:rsidRPr="00834D52">
              <w:rPr>
                <w:rFonts w:ascii="Sylfaen" w:hAnsi="Sylfaen"/>
                <w:sz w:val="24"/>
                <w:szCs w:val="24"/>
              </w:rPr>
              <w:t>ակտիվ դեղաբանական բաղադրամասի փոփոխություններ</w:t>
            </w:r>
          </w:p>
          <w:p w14:paraId="352418FF"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hAnsi="Sylfaen"/>
                <w:noProof/>
                <w:sz w:val="24"/>
                <w:szCs w:val="24"/>
              </w:rPr>
              <w:pict w14:anchorId="44451C3C">
                <v:rect id="_x0000_s1205" style="position:absolute;left:0;text-align:left;margin-left:2.7pt;margin-top:3.1pt;width:12.75pt;height:12pt;z-index:251718144"/>
              </w:pict>
            </w:r>
            <w:r w:rsidR="006F76EB" w:rsidRPr="00834D52">
              <w:rPr>
                <w:rFonts w:ascii="Sylfaen" w:hAnsi="Sylfaen"/>
                <w:sz w:val="24"/>
                <w:szCs w:val="24"/>
              </w:rPr>
              <w:t>այլ դեղաձ</w:t>
            </w:r>
            <w:r w:rsidR="00C54D75">
              <w:rPr>
                <w:rFonts w:ascii="Sylfaen" w:hAnsi="Sylfaen"/>
                <w:sz w:val="24"/>
                <w:szCs w:val="24"/>
              </w:rPr>
              <w:t>և</w:t>
            </w:r>
          </w:p>
          <w:p w14:paraId="44DFB06C"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hAnsi="Sylfaen"/>
                <w:noProof/>
                <w:sz w:val="24"/>
                <w:szCs w:val="24"/>
              </w:rPr>
              <w:pict w14:anchorId="2A590C1B">
                <v:rect id="_x0000_s1206" style="position:absolute;left:0;text-align:left;margin-left:2.7pt;margin-top:5pt;width:12.75pt;height:12pt;z-index:251719168"/>
              </w:pict>
            </w:r>
            <w:r w:rsidR="006F76EB" w:rsidRPr="00834D52">
              <w:rPr>
                <w:rFonts w:ascii="Sylfaen" w:hAnsi="Sylfaen"/>
                <w:sz w:val="24"/>
                <w:szCs w:val="24"/>
              </w:rPr>
              <w:t>այլ դոզավորումներ (ԱԴԲ-ի քանակական փոփոխություններ)</w:t>
            </w:r>
          </w:p>
          <w:p w14:paraId="54800B81"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hAnsi="Sylfaen"/>
                <w:noProof/>
                <w:sz w:val="24"/>
                <w:szCs w:val="24"/>
              </w:rPr>
              <w:pict w14:anchorId="35322746">
                <v:rect id="_x0000_s1207" style="position:absolute;left:0;text-align:left;margin-left:2.7pt;margin-top:3.15pt;width:12.75pt;height:12pt;z-index:251720192"/>
              </w:pict>
            </w:r>
            <w:r w:rsidR="006F76EB" w:rsidRPr="00834D52">
              <w:rPr>
                <w:rFonts w:ascii="Sylfaen" w:hAnsi="Sylfaen"/>
                <w:sz w:val="24"/>
                <w:szCs w:val="24"/>
              </w:rPr>
              <w:t>ներմուծման այլ եղանակ</w:t>
            </w:r>
          </w:p>
          <w:p w14:paraId="4F463FC2"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eastAsia="Times New Roman" w:hAnsi="Sylfaen" w:cs="Times New Roman"/>
                <w:noProof/>
                <w:sz w:val="24"/>
                <w:szCs w:val="24"/>
              </w:rPr>
              <w:pict w14:anchorId="60197C7F">
                <v:rect id="_x0000_s1208" style="position:absolute;left:0;text-align:left;margin-left:2.7pt;margin-top:5.45pt;width:12.75pt;height:12pt;z-index:251721216"/>
              </w:pict>
            </w:r>
            <w:r w:rsidR="006F76EB" w:rsidRPr="00834D52">
              <w:rPr>
                <w:rFonts w:ascii="Sylfaen" w:hAnsi="Sylfaen"/>
                <w:sz w:val="24"/>
                <w:szCs w:val="24"/>
              </w:rPr>
              <w:t xml:space="preserve">այլ </w:t>
            </w:r>
            <w:r w:rsidR="00355C33">
              <w:rPr>
                <w:rFonts w:ascii="Sylfaen" w:hAnsi="Sylfaen"/>
                <w:sz w:val="24"/>
                <w:szCs w:val="24"/>
              </w:rPr>
              <w:t>դեղա</w:t>
            </w:r>
            <w:r w:rsidR="006F76EB" w:rsidRPr="00834D52">
              <w:rPr>
                <w:rFonts w:ascii="Sylfaen" w:hAnsi="Sylfaen"/>
                <w:sz w:val="24"/>
                <w:szCs w:val="24"/>
              </w:rPr>
              <w:t>կինետիկա (ներառյալ՝ այլ կենսամատչելիություն).</w:t>
            </w:r>
          </w:p>
          <w:p w14:paraId="5508E4E5" w14:textId="77777777" w:rsidR="006F76EB" w:rsidRPr="00834D52" w:rsidRDefault="00157FD9" w:rsidP="00E15800">
            <w:pPr>
              <w:spacing w:after="120" w:line="240" w:lineRule="auto"/>
              <w:ind w:left="469" w:right="-6"/>
              <w:rPr>
                <w:rFonts w:ascii="Sylfaen" w:eastAsia="Times New Roman" w:hAnsi="Sylfaen" w:cs="Times New Roman"/>
                <w:sz w:val="24"/>
                <w:szCs w:val="24"/>
              </w:rPr>
            </w:pPr>
            <w:r>
              <w:rPr>
                <w:rFonts w:ascii="Sylfaen" w:hAnsi="Sylfaen"/>
                <w:noProof/>
                <w:sz w:val="24"/>
                <w:szCs w:val="24"/>
              </w:rPr>
              <w:pict w14:anchorId="4CCA0CB2">
                <v:rect id="_x0000_s1209" style="position:absolute;left:0;text-align:left;margin-left:2.7pt;margin-top:3.2pt;width:12.75pt;height:12pt;z-index:251722240"/>
              </w:pict>
            </w:r>
            <w:r w:rsidR="006F76EB" w:rsidRPr="00834D52">
              <w:rPr>
                <w:rFonts w:ascii="Sylfaen" w:hAnsi="Sylfaen"/>
                <w:sz w:val="24"/>
                <w:szCs w:val="24"/>
              </w:rPr>
              <w:t>կիրառման այլ ցուցում</w:t>
            </w:r>
          </w:p>
          <w:p w14:paraId="514202DA" w14:textId="77777777" w:rsidR="006F76EB" w:rsidRPr="00834D52" w:rsidRDefault="006F76EB" w:rsidP="00E15800">
            <w:pPr>
              <w:spacing w:after="120" w:line="240" w:lineRule="auto"/>
              <w:ind w:left="469" w:right="-6"/>
              <w:rPr>
                <w:rFonts w:ascii="Sylfaen" w:eastAsia="Times New Roman" w:hAnsi="Sylfaen" w:cs="Times New Roman"/>
                <w:sz w:val="24"/>
                <w:szCs w:val="24"/>
              </w:rPr>
            </w:pPr>
            <w:r w:rsidRPr="00834D52">
              <w:rPr>
                <w:rFonts w:ascii="Sylfaen" w:hAnsi="Sylfaen"/>
                <w:sz w:val="24"/>
                <w:szCs w:val="24"/>
              </w:rPr>
              <w:t>այլ տարբերություններ՝___________________</w:t>
            </w:r>
          </w:p>
        </w:tc>
      </w:tr>
    </w:tbl>
    <w:p w14:paraId="42EDCA94" w14:textId="77777777" w:rsidR="006F76EB" w:rsidRPr="00834D52" w:rsidRDefault="00157FD9" w:rsidP="006F76EB">
      <w:pPr>
        <w:spacing w:after="160" w:line="360" w:lineRule="auto"/>
        <w:ind w:right="-6"/>
        <w:jc w:val="center"/>
        <w:rPr>
          <w:rFonts w:ascii="Sylfaen" w:eastAsia="Times New Roman" w:hAnsi="Sylfaen" w:cs="Times New Roman"/>
          <w:sz w:val="24"/>
          <w:szCs w:val="24"/>
        </w:rPr>
      </w:pPr>
      <w:r>
        <w:rPr>
          <w:rFonts w:ascii="Sylfaen" w:hAnsi="Sylfaen"/>
          <w:noProof/>
          <w:sz w:val="24"/>
          <w:szCs w:val="24"/>
        </w:rPr>
        <w:lastRenderedPageBreak/>
        <w:pict w14:anchorId="7E55EC77">
          <v:rect id="_x0000_s1210" style="position:absolute;left:0;text-align:left;margin-left:60.5pt;margin-top:1.65pt;width:12.75pt;height:12pt;z-index:251723264;mso-position-horizontal-relative:text;mso-position-vertical-relative:text"/>
        </w:pict>
      </w:r>
      <w:r w:rsidR="006F76EB" w:rsidRPr="00834D52">
        <w:rPr>
          <w:rFonts w:ascii="Sylfaen" w:hAnsi="Sylfaen"/>
          <w:sz w:val="24"/>
          <w:szCs w:val="24"/>
        </w:rPr>
        <w:t>ՀԱՄԱԿՑՎԱԾ ԴԵՂԱՊԱՏՐԱՍՏՈՒԿ</w:t>
      </w:r>
    </w:p>
    <w:tbl>
      <w:tblPr>
        <w:tblStyle w:val="TableGrid"/>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103"/>
      </w:tblGrid>
      <w:tr w:rsidR="006F76EB" w:rsidRPr="00834D52" w14:paraId="5A8E43A3" w14:textId="77777777" w:rsidTr="00F71229">
        <w:tc>
          <w:tcPr>
            <w:tcW w:w="4394" w:type="dxa"/>
          </w:tcPr>
          <w:p w14:paraId="37817119" w14:textId="77777777" w:rsidR="006F76EB" w:rsidRPr="00834D52" w:rsidRDefault="00157FD9" w:rsidP="00F71229">
            <w:pPr>
              <w:spacing w:after="160" w:line="360" w:lineRule="auto"/>
              <w:ind w:left="44" w:right="-6" w:firstLine="425"/>
              <w:rPr>
                <w:rFonts w:ascii="Sylfaen" w:hAnsi="Sylfaen"/>
                <w:sz w:val="24"/>
                <w:szCs w:val="24"/>
              </w:rPr>
            </w:pPr>
            <w:r>
              <w:rPr>
                <w:rFonts w:ascii="Sylfaen" w:hAnsi="Sylfaen"/>
                <w:noProof/>
                <w:sz w:val="24"/>
                <w:szCs w:val="24"/>
              </w:rPr>
              <w:pict w14:anchorId="415D8F56">
                <v:rect id="_x0000_s1211" style="position:absolute;left:0;text-align:left;margin-left:-1.75pt;margin-top:3.55pt;width:12.75pt;height:12pt;z-index:251724288"/>
              </w:pict>
            </w:r>
            <w:r w:rsidR="006F76EB" w:rsidRPr="00834D52">
              <w:rPr>
                <w:rFonts w:ascii="Sylfaen" w:hAnsi="Sylfaen"/>
                <w:sz w:val="24"/>
                <w:szCs w:val="24"/>
              </w:rPr>
              <w:t>հայտնի համակցություն</w:t>
            </w:r>
          </w:p>
        </w:tc>
        <w:tc>
          <w:tcPr>
            <w:tcW w:w="5103" w:type="dxa"/>
          </w:tcPr>
          <w:p w14:paraId="7BDCA40B" w14:textId="77777777" w:rsidR="006F76EB" w:rsidRPr="00834D52" w:rsidRDefault="00157FD9" w:rsidP="00F71229">
            <w:pPr>
              <w:spacing w:after="160" w:line="360" w:lineRule="auto"/>
              <w:ind w:left="469" w:right="-6"/>
              <w:rPr>
                <w:rFonts w:ascii="Sylfaen" w:eastAsia="Times New Roman" w:hAnsi="Sylfaen" w:cs="Times New Roman"/>
                <w:sz w:val="24"/>
                <w:szCs w:val="24"/>
              </w:rPr>
            </w:pPr>
            <w:r>
              <w:rPr>
                <w:rFonts w:ascii="Sylfaen" w:hAnsi="Sylfaen"/>
                <w:noProof/>
                <w:sz w:val="24"/>
                <w:szCs w:val="24"/>
              </w:rPr>
              <w:pict w14:anchorId="3D50A4B1">
                <v:rect id="_x0000_s1212" style="position:absolute;left:0;text-align:left;margin-left:-1.9pt;margin-top:3.55pt;width:12.75pt;height:12pt;z-index:251725312;mso-position-horizontal-relative:text;mso-position-vertical-relative:text"/>
              </w:pict>
            </w:r>
            <w:r w:rsidR="006F76EB" w:rsidRPr="00834D52">
              <w:rPr>
                <w:rFonts w:ascii="Sylfaen" w:hAnsi="Sylfaen"/>
                <w:sz w:val="24"/>
                <w:szCs w:val="24"/>
              </w:rPr>
              <w:t>նոր համակցություն</w:t>
            </w:r>
          </w:p>
        </w:tc>
      </w:tr>
    </w:tbl>
    <w:p w14:paraId="1EC5B7FB" w14:textId="77777777" w:rsidR="006F76EB" w:rsidRPr="00834D52" w:rsidRDefault="006F76EB" w:rsidP="006F76EB">
      <w:pPr>
        <w:spacing w:after="160" w:line="360" w:lineRule="auto"/>
        <w:ind w:right="-6" w:firstLine="567"/>
        <w:rPr>
          <w:rFonts w:ascii="Sylfaen" w:eastAsia="Times New Roman" w:hAnsi="Sylfaen" w:cs="Times New Roman"/>
          <w:sz w:val="24"/>
          <w:szCs w:val="24"/>
        </w:rPr>
      </w:pPr>
      <w:r w:rsidRPr="00834D52">
        <w:rPr>
          <w:rFonts w:ascii="Sylfaen" w:hAnsi="Sylfaen"/>
          <w:sz w:val="24"/>
          <w:szCs w:val="24"/>
        </w:rPr>
        <w:t>Օրիգինալ դեղապատրաստուկ (հայտնի համակցության դեպքում)՝</w:t>
      </w:r>
    </w:p>
    <w:tbl>
      <w:tblPr>
        <w:tblW w:w="0" w:type="auto"/>
        <w:tblInd w:w="109" w:type="dxa"/>
        <w:tblLayout w:type="fixed"/>
        <w:tblCellMar>
          <w:left w:w="0" w:type="dxa"/>
          <w:right w:w="0" w:type="dxa"/>
        </w:tblCellMar>
        <w:tblLook w:val="01E0" w:firstRow="1" w:lastRow="1" w:firstColumn="1" w:lastColumn="1" w:noHBand="0" w:noVBand="0"/>
      </w:tblPr>
      <w:tblGrid>
        <w:gridCol w:w="4258"/>
        <w:gridCol w:w="5388"/>
      </w:tblGrid>
      <w:tr w:rsidR="006F76EB" w:rsidRPr="00834D52" w14:paraId="3632A808" w14:textId="77777777" w:rsidTr="00F71229">
        <w:tc>
          <w:tcPr>
            <w:tcW w:w="4258" w:type="dxa"/>
            <w:tcBorders>
              <w:top w:val="single" w:sz="4" w:space="0" w:color="000000"/>
              <w:left w:val="single" w:sz="4" w:space="0" w:color="000000"/>
              <w:bottom w:val="single" w:sz="4" w:space="0" w:color="000000"/>
              <w:right w:val="single" w:sz="4" w:space="0" w:color="000000"/>
            </w:tcBorders>
          </w:tcPr>
          <w:p w14:paraId="222FE403" w14:textId="77777777" w:rsidR="006F76EB" w:rsidRPr="00834D52" w:rsidRDefault="006F76EB" w:rsidP="00DA62B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դեղապատրաստուկի անվանումը, դոզավորումը, դեղաձ</w:t>
            </w:r>
            <w:r w:rsidR="00C54D75">
              <w:rPr>
                <w:rFonts w:ascii="Sylfaen" w:hAnsi="Sylfaen"/>
                <w:sz w:val="24"/>
                <w:szCs w:val="24"/>
              </w:rPr>
              <w:t>և</w:t>
            </w:r>
            <w:r w:rsidRPr="00834D52">
              <w:rPr>
                <w:rFonts w:ascii="Sylfaen" w:hAnsi="Sylfaen"/>
                <w:sz w:val="24"/>
                <w:szCs w:val="24"/>
              </w:rPr>
              <w:t>ը</w:t>
            </w:r>
          </w:p>
        </w:tc>
        <w:tc>
          <w:tcPr>
            <w:tcW w:w="5388" w:type="dxa"/>
            <w:tcBorders>
              <w:top w:val="single" w:sz="4" w:space="0" w:color="000000"/>
              <w:left w:val="single" w:sz="4" w:space="0" w:color="000000"/>
              <w:bottom w:val="single" w:sz="4" w:space="0" w:color="000000"/>
              <w:right w:val="single" w:sz="4" w:space="0" w:color="000000"/>
            </w:tcBorders>
          </w:tcPr>
          <w:p w14:paraId="224B1A0A" w14:textId="77777777" w:rsidR="006F76EB" w:rsidRPr="00834D52" w:rsidRDefault="006F76EB" w:rsidP="00DA62B0">
            <w:pPr>
              <w:spacing w:after="120" w:line="240" w:lineRule="auto"/>
              <w:ind w:right="-6"/>
              <w:rPr>
                <w:rFonts w:ascii="Sylfaen" w:hAnsi="Sylfaen"/>
                <w:sz w:val="24"/>
                <w:szCs w:val="24"/>
              </w:rPr>
            </w:pPr>
          </w:p>
        </w:tc>
      </w:tr>
      <w:tr w:rsidR="006F76EB" w:rsidRPr="00834D52" w14:paraId="5CDC8D0E" w14:textId="77777777" w:rsidTr="00F71229">
        <w:tc>
          <w:tcPr>
            <w:tcW w:w="4258" w:type="dxa"/>
            <w:tcBorders>
              <w:top w:val="single" w:sz="4" w:space="0" w:color="000000"/>
              <w:left w:val="single" w:sz="4" w:space="0" w:color="000000"/>
              <w:bottom w:val="single" w:sz="4" w:space="0" w:color="000000"/>
              <w:right w:val="single" w:sz="4" w:space="0" w:color="000000"/>
            </w:tcBorders>
          </w:tcPr>
          <w:p w14:paraId="50650FCD" w14:textId="77777777" w:rsidR="006F76EB" w:rsidRPr="00834D52" w:rsidRDefault="006F76EB" w:rsidP="00DA62B0">
            <w:pPr>
              <w:spacing w:after="120" w:line="240" w:lineRule="auto"/>
              <w:ind w:left="186" w:right="-6"/>
              <w:rPr>
                <w:rFonts w:ascii="Sylfaen" w:eastAsia="Times New Roman" w:hAnsi="Sylfaen" w:cs="Times New Roman"/>
                <w:sz w:val="24"/>
                <w:szCs w:val="24"/>
              </w:rPr>
            </w:pPr>
            <w:r w:rsidRPr="00834D52">
              <w:rPr>
                <w:rFonts w:ascii="Sylfaen" w:hAnsi="Sylfaen"/>
                <w:sz w:val="24"/>
                <w:szCs w:val="24"/>
              </w:rPr>
              <w:t>գրանցման հավաստագրի իրավատերը, գրանցման ամսաթիվը, գրանցման հավաստագրի համարը, Եվրասիական տնտեսական միության այն անդամ պետությունները, որտեղ գրանցված է օրիգինալ դեղապատրաստուկը</w:t>
            </w:r>
          </w:p>
        </w:tc>
        <w:tc>
          <w:tcPr>
            <w:tcW w:w="5388" w:type="dxa"/>
            <w:tcBorders>
              <w:top w:val="single" w:sz="4" w:space="0" w:color="000000"/>
              <w:left w:val="single" w:sz="4" w:space="0" w:color="000000"/>
              <w:bottom w:val="single" w:sz="4" w:space="0" w:color="000000"/>
              <w:right w:val="single" w:sz="4" w:space="0" w:color="000000"/>
            </w:tcBorders>
          </w:tcPr>
          <w:p w14:paraId="501BFD98" w14:textId="77777777" w:rsidR="006F76EB" w:rsidRPr="00834D52" w:rsidRDefault="006F76EB" w:rsidP="00DA62B0">
            <w:pPr>
              <w:spacing w:after="120" w:line="240" w:lineRule="auto"/>
              <w:ind w:right="-6"/>
              <w:rPr>
                <w:rFonts w:ascii="Sylfaen" w:hAnsi="Sylfaen"/>
                <w:sz w:val="24"/>
                <w:szCs w:val="24"/>
              </w:rPr>
            </w:pPr>
          </w:p>
        </w:tc>
      </w:tr>
    </w:tbl>
    <w:p w14:paraId="141C2DF3" w14:textId="77777777" w:rsidR="006F76EB" w:rsidRPr="00834D52" w:rsidRDefault="006F76EB" w:rsidP="006F76EB">
      <w:pPr>
        <w:spacing w:after="160" w:line="336" w:lineRule="auto"/>
        <w:ind w:right="-8"/>
        <w:rPr>
          <w:rFonts w:ascii="Sylfaen" w:hAnsi="Sylfaen"/>
          <w:sz w:val="24"/>
          <w:szCs w:val="24"/>
        </w:rPr>
      </w:pPr>
    </w:p>
    <w:p w14:paraId="181B9148" w14:textId="77777777" w:rsidR="006F76EB" w:rsidRPr="00834D52" w:rsidRDefault="00157FD9" w:rsidP="00DA62B0">
      <w:pPr>
        <w:spacing w:after="160" w:line="336" w:lineRule="auto"/>
        <w:ind w:left="567" w:right="-6"/>
        <w:jc w:val="center"/>
        <w:rPr>
          <w:rFonts w:ascii="Sylfaen" w:eastAsia="Times New Roman" w:hAnsi="Sylfaen" w:cs="Times New Roman"/>
          <w:sz w:val="24"/>
          <w:szCs w:val="24"/>
        </w:rPr>
      </w:pPr>
      <w:r>
        <w:rPr>
          <w:rFonts w:ascii="Sylfaen" w:hAnsi="Sylfaen"/>
          <w:noProof/>
          <w:sz w:val="24"/>
          <w:szCs w:val="24"/>
        </w:rPr>
        <w:pict w14:anchorId="59CAFAF5">
          <v:rect id="_x0000_s1213" style="position:absolute;left:0;text-align:left;margin-left:8.25pt;margin-top:.4pt;width:12.75pt;height:12pt;z-index:251726336"/>
        </w:pict>
      </w:r>
      <w:r w:rsidR="006F76EB" w:rsidRPr="00834D52">
        <w:rPr>
          <w:rFonts w:ascii="Sylfaen" w:hAnsi="Sylfaen"/>
          <w:sz w:val="24"/>
          <w:szCs w:val="24"/>
        </w:rPr>
        <w:t>ԼԱՎ ՈՒՍՈՒՄՆԱՍԻՐՎԱԾ ԲԺՇԿԱԿԱՆ ԿԻՐԱՌՈՒԹՅԱՄԲ ԴԵՂԱՊԱՏՐԱՍՏՈՒԿ</w:t>
      </w:r>
    </w:p>
    <w:p w14:paraId="74A12E00" w14:textId="77777777" w:rsidR="006F76EB" w:rsidRPr="00834D52" w:rsidRDefault="00157FD9" w:rsidP="00DA62B0">
      <w:pPr>
        <w:spacing w:after="160" w:line="336" w:lineRule="auto"/>
        <w:ind w:left="567" w:right="-6"/>
        <w:jc w:val="center"/>
        <w:rPr>
          <w:rFonts w:ascii="Sylfaen" w:hAnsi="Sylfaen"/>
          <w:sz w:val="24"/>
          <w:szCs w:val="24"/>
        </w:rPr>
      </w:pPr>
      <w:r>
        <w:rPr>
          <w:rFonts w:ascii="Sylfaen" w:hAnsi="Sylfaen"/>
          <w:noProof/>
          <w:sz w:val="24"/>
          <w:szCs w:val="24"/>
        </w:rPr>
        <w:pict w14:anchorId="5B0A6EFB">
          <v:rect id="_x0000_s1214" style="position:absolute;left:0;text-align:left;margin-left:8.25pt;margin-top:1.95pt;width:12.75pt;height:12pt;z-index:251727360"/>
        </w:pict>
      </w:r>
      <w:r w:rsidR="006F76EB" w:rsidRPr="00834D52">
        <w:rPr>
          <w:rFonts w:ascii="Sylfaen" w:hAnsi="Sylfaen"/>
          <w:sz w:val="24"/>
          <w:szCs w:val="24"/>
        </w:rPr>
        <w:t>ՌԱԴԻՈԴԵՂԱԳՈՐԾԱԿԱՆ ԴԵՂԱՊԱՏՐԱՍՏՈՒԿ ԿԱՄ ՊՐԵԿՈՒՐՍՈՐ</w:t>
      </w:r>
    </w:p>
    <w:p w14:paraId="666EB4B4" w14:textId="77777777" w:rsidR="006F76EB" w:rsidRPr="00834D52" w:rsidRDefault="006F76EB" w:rsidP="006F76EB">
      <w:pPr>
        <w:spacing w:after="160" w:line="336" w:lineRule="auto"/>
        <w:ind w:right="-6"/>
        <w:jc w:val="center"/>
        <w:rPr>
          <w:rFonts w:ascii="Sylfaen" w:eastAsia="Times New Roman" w:hAnsi="Sylfaen" w:cs="Times New Roman"/>
          <w:sz w:val="24"/>
          <w:szCs w:val="24"/>
        </w:rPr>
      </w:pPr>
    </w:p>
    <w:p w14:paraId="40173D39" w14:textId="77777777" w:rsidR="006F76EB" w:rsidRPr="00834D52" w:rsidRDefault="00157FD9" w:rsidP="006F76EB">
      <w:pPr>
        <w:spacing w:after="160" w:line="336" w:lineRule="auto"/>
        <w:ind w:left="567" w:right="-6"/>
        <w:rPr>
          <w:rFonts w:ascii="Sylfaen" w:eastAsia="Times New Roman" w:hAnsi="Sylfaen" w:cs="Times New Roman"/>
          <w:sz w:val="24"/>
          <w:szCs w:val="24"/>
        </w:rPr>
      </w:pPr>
      <w:r>
        <w:rPr>
          <w:rFonts w:ascii="Sylfaen" w:hAnsi="Sylfaen"/>
          <w:noProof/>
          <w:sz w:val="24"/>
          <w:szCs w:val="24"/>
        </w:rPr>
        <w:pict w14:anchorId="3A507531">
          <v:rect id="_x0000_s1215" style="position:absolute;left:0;text-align:left;margin-left:8.25pt;margin-top:5.75pt;width:12.75pt;height:12pt;z-index:251728384"/>
        </w:pict>
      </w:r>
      <w:r w:rsidR="006F76EB" w:rsidRPr="00834D52">
        <w:rPr>
          <w:rFonts w:ascii="Sylfaen" w:hAnsi="Sylfaen"/>
          <w:sz w:val="24"/>
          <w:szCs w:val="24"/>
        </w:rPr>
        <w:t>ռադիոդեղագործական հավաքակազմ</w:t>
      </w:r>
    </w:p>
    <w:p w14:paraId="569499C2" w14:textId="77777777" w:rsidR="006F76EB" w:rsidRPr="00DA62B0" w:rsidRDefault="00157FD9" w:rsidP="006F76EB">
      <w:pPr>
        <w:spacing w:after="160" w:line="336" w:lineRule="auto"/>
        <w:ind w:left="567" w:right="-6"/>
        <w:rPr>
          <w:rFonts w:ascii="Sylfaen" w:hAnsi="Sylfaen"/>
          <w:sz w:val="24"/>
          <w:szCs w:val="24"/>
        </w:rPr>
      </w:pPr>
      <w:r>
        <w:rPr>
          <w:rFonts w:ascii="Sylfaen" w:hAnsi="Sylfaen"/>
          <w:noProof/>
          <w:sz w:val="24"/>
          <w:szCs w:val="24"/>
        </w:rPr>
        <w:pict w14:anchorId="3BACA2C1">
          <v:rect id="_x0000_s1216" style="position:absolute;left:0;text-align:left;margin-left:9pt;margin-top:4.65pt;width:12.75pt;height:12pt;z-index:251729408"/>
        </w:pict>
      </w:r>
      <w:r w:rsidR="006F76EB" w:rsidRPr="00834D52">
        <w:rPr>
          <w:rFonts w:ascii="Sylfaen" w:hAnsi="Sylfaen"/>
          <w:sz w:val="24"/>
          <w:szCs w:val="24"/>
        </w:rPr>
        <w:t>ռադիոնուկլիդի պրեկուրսոր</w:t>
      </w:r>
    </w:p>
    <w:tbl>
      <w:tblPr>
        <w:tblW w:w="9646" w:type="dxa"/>
        <w:tblInd w:w="109" w:type="dxa"/>
        <w:tblLayout w:type="fixed"/>
        <w:tblCellMar>
          <w:left w:w="0" w:type="dxa"/>
          <w:right w:w="0" w:type="dxa"/>
        </w:tblCellMar>
        <w:tblLook w:val="01E0" w:firstRow="1" w:lastRow="1" w:firstColumn="1" w:lastColumn="1" w:noHBand="0" w:noVBand="0"/>
      </w:tblPr>
      <w:tblGrid>
        <w:gridCol w:w="4817"/>
        <w:gridCol w:w="4829"/>
      </w:tblGrid>
      <w:tr w:rsidR="006F76EB" w:rsidRPr="00834D52" w14:paraId="69A47062" w14:textId="77777777" w:rsidTr="00F71229">
        <w:tc>
          <w:tcPr>
            <w:tcW w:w="4817" w:type="dxa"/>
            <w:tcBorders>
              <w:top w:val="single" w:sz="4" w:space="0" w:color="000000"/>
              <w:left w:val="single" w:sz="4" w:space="0" w:color="000000"/>
              <w:bottom w:val="single" w:sz="4" w:space="0" w:color="000000"/>
              <w:right w:val="single" w:sz="4" w:space="0" w:color="000000"/>
            </w:tcBorders>
          </w:tcPr>
          <w:p w14:paraId="1DDB9074" w14:textId="77777777" w:rsidR="006F76EB" w:rsidRPr="00834D52" w:rsidRDefault="006F76EB" w:rsidP="00DA62B0">
            <w:pPr>
              <w:spacing w:after="120" w:line="240" w:lineRule="auto"/>
              <w:ind w:left="186" w:right="1235"/>
              <w:rPr>
                <w:rFonts w:ascii="Sylfaen" w:eastAsia="Times New Roman" w:hAnsi="Sylfaen" w:cs="Times New Roman"/>
                <w:sz w:val="24"/>
                <w:szCs w:val="24"/>
              </w:rPr>
            </w:pPr>
            <w:r w:rsidRPr="00834D52">
              <w:rPr>
                <w:rFonts w:ascii="Sylfaen" w:hAnsi="Sylfaen"/>
                <w:sz w:val="24"/>
                <w:szCs w:val="24"/>
              </w:rPr>
              <w:t xml:space="preserve">ռադիոնուկլիդի աղբյուրը (առաջնային </w:t>
            </w:r>
            <w:r w:rsidR="00C54D75">
              <w:rPr>
                <w:rFonts w:ascii="Sylfaen" w:hAnsi="Sylfaen"/>
                <w:sz w:val="24"/>
                <w:szCs w:val="24"/>
              </w:rPr>
              <w:t>և</w:t>
            </w:r>
            <w:r w:rsidRPr="00834D52">
              <w:rPr>
                <w:rFonts w:ascii="Sylfaen" w:hAnsi="Sylfaen"/>
                <w:sz w:val="24"/>
                <w:szCs w:val="24"/>
              </w:rPr>
              <w:t xml:space="preserve"> երկրորդային) (առկայության դեպքում)</w:t>
            </w:r>
          </w:p>
        </w:tc>
        <w:tc>
          <w:tcPr>
            <w:tcW w:w="4829" w:type="dxa"/>
            <w:tcBorders>
              <w:top w:val="single" w:sz="4" w:space="0" w:color="000000"/>
              <w:left w:val="single" w:sz="4" w:space="0" w:color="000000"/>
              <w:bottom w:val="single" w:sz="4" w:space="0" w:color="000000"/>
              <w:right w:val="single" w:sz="4" w:space="0" w:color="000000"/>
            </w:tcBorders>
          </w:tcPr>
          <w:p w14:paraId="0B4177FA" w14:textId="77777777" w:rsidR="006F76EB" w:rsidRPr="00834D52" w:rsidRDefault="006F76EB" w:rsidP="00DA62B0">
            <w:pPr>
              <w:spacing w:after="120" w:line="240" w:lineRule="auto"/>
              <w:ind w:right="-8"/>
              <w:rPr>
                <w:rFonts w:ascii="Sylfaen" w:hAnsi="Sylfaen"/>
                <w:sz w:val="24"/>
                <w:szCs w:val="24"/>
              </w:rPr>
            </w:pPr>
          </w:p>
        </w:tc>
      </w:tr>
      <w:tr w:rsidR="006F76EB" w:rsidRPr="00834D52" w14:paraId="4B48F418" w14:textId="77777777" w:rsidTr="00F71229">
        <w:tc>
          <w:tcPr>
            <w:tcW w:w="4817" w:type="dxa"/>
            <w:tcBorders>
              <w:top w:val="single" w:sz="4" w:space="0" w:color="000000"/>
              <w:left w:val="single" w:sz="4" w:space="0" w:color="000000"/>
              <w:bottom w:val="single" w:sz="4" w:space="0" w:color="000000"/>
              <w:right w:val="single" w:sz="4" w:space="0" w:color="000000"/>
            </w:tcBorders>
          </w:tcPr>
          <w:p w14:paraId="64785324" w14:textId="77777777" w:rsidR="006F76EB" w:rsidRPr="00834D52" w:rsidRDefault="006F76EB" w:rsidP="00DA62B0">
            <w:pPr>
              <w:spacing w:after="120" w:line="240" w:lineRule="auto"/>
              <w:ind w:left="186" w:right="-8"/>
              <w:rPr>
                <w:rFonts w:ascii="Sylfaen" w:eastAsia="Times New Roman" w:hAnsi="Sylfaen" w:cs="Times New Roman"/>
                <w:sz w:val="24"/>
                <w:szCs w:val="24"/>
              </w:rPr>
            </w:pPr>
            <w:r w:rsidRPr="00834D52">
              <w:rPr>
                <w:rFonts w:ascii="Sylfaen" w:hAnsi="Sylfaen"/>
                <w:sz w:val="24"/>
                <w:szCs w:val="24"/>
              </w:rPr>
              <w:t>գեներատոր</w:t>
            </w:r>
          </w:p>
        </w:tc>
        <w:tc>
          <w:tcPr>
            <w:tcW w:w="4829" w:type="dxa"/>
            <w:tcBorders>
              <w:top w:val="single" w:sz="4" w:space="0" w:color="000000"/>
              <w:left w:val="single" w:sz="4" w:space="0" w:color="000000"/>
              <w:bottom w:val="single" w:sz="4" w:space="0" w:color="000000"/>
              <w:right w:val="single" w:sz="4" w:space="0" w:color="000000"/>
            </w:tcBorders>
          </w:tcPr>
          <w:p w14:paraId="771A695C" w14:textId="77777777" w:rsidR="006F76EB" w:rsidRPr="00834D52" w:rsidRDefault="006F76EB" w:rsidP="00DA62B0">
            <w:pPr>
              <w:spacing w:after="120" w:line="240" w:lineRule="auto"/>
              <w:ind w:right="-8"/>
              <w:rPr>
                <w:rFonts w:ascii="Sylfaen" w:hAnsi="Sylfaen"/>
                <w:sz w:val="24"/>
                <w:szCs w:val="24"/>
              </w:rPr>
            </w:pPr>
          </w:p>
        </w:tc>
      </w:tr>
    </w:tbl>
    <w:p w14:paraId="48C9185B" w14:textId="77777777" w:rsidR="006F76EB" w:rsidRPr="00834D52" w:rsidRDefault="006F76EB" w:rsidP="006F76EB">
      <w:pPr>
        <w:spacing w:after="160" w:line="336" w:lineRule="auto"/>
        <w:ind w:right="-8"/>
        <w:rPr>
          <w:rFonts w:ascii="Sylfaen" w:hAnsi="Sylfaen"/>
          <w:sz w:val="24"/>
          <w:szCs w:val="24"/>
        </w:rPr>
      </w:pPr>
    </w:p>
    <w:p w14:paraId="65B83A84" w14:textId="77777777" w:rsidR="006F76EB" w:rsidRPr="00834D52" w:rsidRDefault="00157FD9" w:rsidP="006F76EB">
      <w:pPr>
        <w:spacing w:after="160" w:line="336" w:lineRule="auto"/>
        <w:ind w:right="-6"/>
        <w:jc w:val="center"/>
        <w:rPr>
          <w:rFonts w:ascii="Sylfaen" w:hAnsi="Sylfaen"/>
          <w:sz w:val="24"/>
          <w:szCs w:val="24"/>
          <w:lang w:val="en-US"/>
        </w:rPr>
      </w:pPr>
      <w:r>
        <w:rPr>
          <w:rFonts w:ascii="Sylfaen" w:hAnsi="Sylfaen"/>
          <w:noProof/>
          <w:sz w:val="24"/>
          <w:szCs w:val="24"/>
        </w:rPr>
        <w:pict w14:anchorId="68ECAAAA">
          <v:rect id="_x0000_s1217" style="position:absolute;left:0;text-align:left;margin-left:57.75pt;margin-top:2.9pt;width:12.75pt;height:12pt;z-index:251730432"/>
        </w:pict>
      </w:r>
      <w:r w:rsidR="006F76EB" w:rsidRPr="00834D52">
        <w:rPr>
          <w:rFonts w:ascii="Sylfaen" w:hAnsi="Sylfaen"/>
          <w:sz w:val="24"/>
          <w:szCs w:val="24"/>
        </w:rPr>
        <w:t>ՀՈՄԵՈՊԱԹԻԿ ԴԵՂԱՊԱՏՐԱՍՏՈՒԿ</w:t>
      </w:r>
    </w:p>
    <w:p w14:paraId="67A9C386" w14:textId="77777777" w:rsidR="006F76EB" w:rsidRPr="00834D52" w:rsidRDefault="006F76EB" w:rsidP="006F76EB">
      <w:pPr>
        <w:spacing w:after="160" w:line="336" w:lineRule="auto"/>
        <w:ind w:right="-6"/>
        <w:jc w:val="center"/>
        <w:rPr>
          <w:rFonts w:ascii="Sylfaen" w:eastAsia="Times New Roman" w:hAnsi="Sylfaen" w:cs="Times New Roman"/>
          <w:sz w:val="24"/>
          <w:szCs w:val="24"/>
          <w:lang w:val="en-US"/>
        </w:rPr>
      </w:pPr>
    </w:p>
    <w:p w14:paraId="76BEE942" w14:textId="77777777" w:rsidR="006F76EB" w:rsidRPr="00834D52" w:rsidRDefault="00157FD9" w:rsidP="006F76EB">
      <w:pPr>
        <w:spacing w:after="160" w:line="336" w:lineRule="auto"/>
        <w:ind w:left="567" w:right="-6"/>
        <w:jc w:val="both"/>
        <w:rPr>
          <w:rFonts w:ascii="Sylfaen" w:eastAsia="Times New Roman" w:hAnsi="Sylfaen" w:cs="Times New Roman"/>
          <w:sz w:val="24"/>
          <w:szCs w:val="24"/>
        </w:rPr>
      </w:pPr>
      <w:r>
        <w:rPr>
          <w:rFonts w:ascii="Sylfaen" w:hAnsi="Sylfaen"/>
          <w:noProof/>
          <w:sz w:val="24"/>
          <w:szCs w:val="24"/>
        </w:rPr>
        <w:pict w14:anchorId="5A5C32D1">
          <v:rect id="_x0000_s1218" style="position:absolute;left:0;text-align:left;margin-left:8.25pt;margin-top:2.95pt;width:12.75pt;height:12pt;z-index:251731456"/>
        </w:pict>
      </w:r>
      <w:r w:rsidR="006F76EB" w:rsidRPr="00834D52">
        <w:rPr>
          <w:rFonts w:ascii="Sylfaen" w:hAnsi="Sylfaen"/>
          <w:sz w:val="24"/>
          <w:szCs w:val="24"/>
        </w:rPr>
        <w:t xml:space="preserve">դեղագրքում </w:t>
      </w:r>
      <w:r w:rsidR="00C54D75">
        <w:rPr>
          <w:rFonts w:ascii="Sylfaen" w:hAnsi="Sylfaen"/>
          <w:sz w:val="24"/>
          <w:szCs w:val="24"/>
        </w:rPr>
        <w:t>և</w:t>
      </w:r>
      <w:r w:rsidR="006F76EB" w:rsidRPr="00834D52">
        <w:rPr>
          <w:rFonts w:ascii="Sylfaen" w:hAnsi="Sylfaen"/>
          <w:sz w:val="24"/>
          <w:szCs w:val="24"/>
        </w:rPr>
        <w:t xml:space="preserve"> մենագրության մեջ չներառված նոր հոմեոպաթիկ պատրաստուկ</w:t>
      </w:r>
    </w:p>
    <w:p w14:paraId="1507734E" w14:textId="77777777" w:rsidR="006F76EB" w:rsidRPr="00834D52" w:rsidRDefault="00157FD9" w:rsidP="006F76EB">
      <w:pPr>
        <w:spacing w:after="160" w:line="336" w:lineRule="auto"/>
        <w:ind w:left="567" w:right="-6"/>
        <w:jc w:val="both"/>
        <w:rPr>
          <w:rFonts w:ascii="Sylfaen" w:eastAsia="Times New Roman" w:hAnsi="Sylfaen" w:cs="Times New Roman"/>
          <w:sz w:val="24"/>
          <w:szCs w:val="24"/>
        </w:rPr>
      </w:pPr>
      <w:r>
        <w:rPr>
          <w:rFonts w:ascii="Sylfaen" w:hAnsi="Sylfaen"/>
          <w:noProof/>
          <w:sz w:val="24"/>
          <w:szCs w:val="24"/>
        </w:rPr>
        <w:pict w14:anchorId="1E166DD2">
          <v:rect id="_x0000_s1219" style="position:absolute;left:0;text-align:left;margin-left:9pt;margin-top:1.85pt;width:12.75pt;height:12pt;z-index:251732480"/>
        </w:pict>
      </w:r>
      <w:r w:rsidR="006F76EB" w:rsidRPr="00834D52">
        <w:rPr>
          <w:rFonts w:ascii="Sylfaen" w:hAnsi="Sylfaen"/>
          <w:sz w:val="24"/>
          <w:szCs w:val="24"/>
        </w:rPr>
        <w:t xml:space="preserve">դեղագրքում </w:t>
      </w:r>
      <w:r w:rsidR="00C54D75">
        <w:rPr>
          <w:rFonts w:ascii="Sylfaen" w:hAnsi="Sylfaen"/>
          <w:sz w:val="24"/>
          <w:szCs w:val="24"/>
        </w:rPr>
        <w:t>և</w:t>
      </w:r>
      <w:r w:rsidR="006F76EB" w:rsidRPr="00834D52">
        <w:rPr>
          <w:rFonts w:ascii="Sylfaen" w:hAnsi="Sylfaen"/>
          <w:sz w:val="24"/>
          <w:szCs w:val="24"/>
        </w:rPr>
        <w:t xml:space="preserve"> մենագրության մեջ ներառված հոմեոպաթիկ պատրաստուկ</w:t>
      </w:r>
    </w:p>
    <w:p w14:paraId="59DF2138" w14:textId="77777777" w:rsidR="006F76EB" w:rsidRPr="00834D52" w:rsidRDefault="00157FD9" w:rsidP="006F76EB">
      <w:pPr>
        <w:spacing w:after="160" w:line="360" w:lineRule="auto"/>
        <w:ind w:right="-6"/>
        <w:jc w:val="center"/>
        <w:rPr>
          <w:rFonts w:ascii="Sylfaen" w:eastAsia="Times New Roman" w:hAnsi="Sylfaen" w:cs="Times New Roman"/>
          <w:sz w:val="24"/>
          <w:szCs w:val="24"/>
        </w:rPr>
      </w:pPr>
      <w:r>
        <w:rPr>
          <w:rFonts w:ascii="Sylfaen" w:eastAsia="Times New Roman" w:hAnsi="Sylfaen" w:cs="Times New Roman"/>
          <w:noProof/>
          <w:sz w:val="24"/>
          <w:szCs w:val="24"/>
        </w:rPr>
        <w:lastRenderedPageBreak/>
        <w:pict w14:anchorId="5D7FC85C">
          <v:rect id="_x0000_s1220" style="position:absolute;left:0;text-align:left;margin-left:70.5pt;margin-top:1.9pt;width:12.75pt;height:12pt;z-index:251733504"/>
        </w:pict>
      </w:r>
      <w:r w:rsidR="006F76EB" w:rsidRPr="00834D52">
        <w:rPr>
          <w:rFonts w:ascii="Sylfaen" w:hAnsi="Sylfaen"/>
          <w:sz w:val="24"/>
          <w:szCs w:val="24"/>
        </w:rPr>
        <w:t>ԲՈՒՍԱԿԱՆ ԴԵՂԱՊԱՏՐԱՍՏՈՒԿ</w:t>
      </w:r>
    </w:p>
    <w:p w14:paraId="600A4FC9" w14:textId="77777777" w:rsidR="006F76EB" w:rsidRPr="00834D52" w:rsidRDefault="00157FD9" w:rsidP="006F76EB">
      <w:pPr>
        <w:spacing w:after="160" w:line="360" w:lineRule="auto"/>
        <w:ind w:left="567" w:right="-6"/>
        <w:jc w:val="center"/>
        <w:rPr>
          <w:rFonts w:ascii="Sylfaen" w:hAnsi="Sylfaen"/>
          <w:sz w:val="24"/>
          <w:szCs w:val="24"/>
        </w:rPr>
      </w:pPr>
      <w:r>
        <w:rPr>
          <w:rFonts w:ascii="Sylfaen" w:hAnsi="Sylfaen"/>
          <w:noProof/>
          <w:sz w:val="24"/>
          <w:szCs w:val="24"/>
        </w:rPr>
        <w:pict w14:anchorId="0A365EAC">
          <v:rect id="_x0000_s1221" style="position:absolute;left:0;text-align:left;margin-left:70.5pt;margin-top:1.9pt;width:12.75pt;height:12pt;z-index:251734528"/>
        </w:pict>
      </w:r>
      <w:r w:rsidR="006F76EB" w:rsidRPr="00834D52">
        <w:rPr>
          <w:rFonts w:ascii="Sylfaen" w:hAnsi="Sylfaen"/>
          <w:sz w:val="24"/>
          <w:szCs w:val="24"/>
        </w:rPr>
        <w:t>ՀԱԶՎԱԴԵՊ ԿԻՐԱՌՎՈՂ («ՈՐԲ») ԴԵՂԱՊԱՏՐԱՍՏՈՒԿ</w:t>
      </w:r>
    </w:p>
    <w:p w14:paraId="06A3C82F" w14:textId="77777777" w:rsidR="006F76EB" w:rsidRPr="00834D52" w:rsidRDefault="006F76EB" w:rsidP="006F76EB">
      <w:pPr>
        <w:spacing w:after="160" w:line="360" w:lineRule="auto"/>
        <w:ind w:right="-6"/>
        <w:jc w:val="center"/>
        <w:rPr>
          <w:rFonts w:ascii="Sylfaen" w:eastAsia="Times New Roman" w:hAnsi="Sylfaen" w:cs="Times New Roman"/>
          <w:sz w:val="24"/>
          <w:szCs w:val="24"/>
        </w:rPr>
      </w:pPr>
    </w:p>
    <w:p w14:paraId="544377B5"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Արդյոք Եվրասիական տնտեսական միության անդամ պետություններում կամ դրա սահմաններից դուրս դեղապատրաստուկին տրվել է հազվադեպ կիրառվող («որբ») դեղապատրաստուկի կարգավիճակ </w:t>
      </w:r>
    </w:p>
    <w:tbl>
      <w:tblPr>
        <w:tblStyle w:val="TableGrid"/>
        <w:tblW w:w="960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954"/>
        <w:gridCol w:w="1843"/>
      </w:tblGrid>
      <w:tr w:rsidR="006F76EB" w:rsidRPr="00834D52" w14:paraId="479E6A50" w14:textId="77777777" w:rsidTr="00F71229">
        <w:tc>
          <w:tcPr>
            <w:tcW w:w="1809" w:type="dxa"/>
          </w:tcPr>
          <w:p w14:paraId="3B544348" w14:textId="77777777" w:rsidR="006F76EB" w:rsidRPr="00834D52" w:rsidRDefault="00157FD9" w:rsidP="00F71229">
            <w:pPr>
              <w:spacing w:after="160" w:line="360" w:lineRule="auto"/>
              <w:ind w:right="-8"/>
              <w:jc w:val="center"/>
              <w:rPr>
                <w:rFonts w:ascii="Sylfaen" w:eastAsia="Wingdings 2" w:hAnsi="Sylfaen" w:cs="Wingdings 2"/>
                <w:sz w:val="24"/>
                <w:szCs w:val="24"/>
              </w:rPr>
            </w:pPr>
            <w:r>
              <w:rPr>
                <w:rFonts w:ascii="Sylfaen" w:eastAsia="Times New Roman" w:hAnsi="Sylfaen" w:cs="Times New Roman"/>
                <w:noProof/>
                <w:sz w:val="24"/>
                <w:szCs w:val="24"/>
              </w:rPr>
              <w:pict w14:anchorId="62DA9984">
                <v:rect id="_x0000_s1223" style="position:absolute;left:0;text-align:left;margin-left:61.85pt;margin-top:3.9pt;width:12.75pt;height:12pt;z-index:251735552"/>
              </w:pict>
            </w:r>
            <w:r w:rsidR="006F76EB" w:rsidRPr="00834D52">
              <w:rPr>
                <w:rFonts w:ascii="Sylfaen" w:hAnsi="Sylfaen"/>
                <w:sz w:val="24"/>
                <w:szCs w:val="24"/>
              </w:rPr>
              <w:t>ոչ</w:t>
            </w:r>
          </w:p>
        </w:tc>
        <w:tc>
          <w:tcPr>
            <w:tcW w:w="5954" w:type="dxa"/>
          </w:tcPr>
          <w:p w14:paraId="2AA5E38B" w14:textId="77777777" w:rsidR="006F76EB" w:rsidRPr="00834D52" w:rsidRDefault="00157FD9" w:rsidP="00F71229">
            <w:pPr>
              <w:spacing w:after="160" w:line="360" w:lineRule="auto"/>
              <w:ind w:right="-8"/>
              <w:jc w:val="center"/>
              <w:rPr>
                <w:rFonts w:ascii="Sylfaen" w:eastAsia="Wingdings 2" w:hAnsi="Sylfaen" w:cs="Wingdings 2"/>
                <w:sz w:val="24"/>
                <w:szCs w:val="24"/>
              </w:rPr>
            </w:pPr>
            <w:r>
              <w:rPr>
                <w:rFonts w:ascii="Sylfaen" w:hAnsi="Sylfaen"/>
                <w:noProof/>
                <w:sz w:val="24"/>
                <w:szCs w:val="24"/>
              </w:rPr>
              <w:pict w14:anchorId="77403D28">
                <v:rect id="_x0000_s1222" style="position:absolute;left:0;text-align:left;margin-left:-1.15pt;margin-top:3.9pt;width:12.75pt;height:12pt;z-index:251736576;mso-position-horizontal-relative:text;mso-position-vertical-relative:text"/>
              </w:pict>
            </w:r>
            <w:r w:rsidR="006F76EB" w:rsidRPr="00834D52">
              <w:rPr>
                <w:rFonts w:ascii="Sylfaen" w:hAnsi="Sylfaen"/>
                <w:sz w:val="24"/>
                <w:szCs w:val="24"/>
              </w:rPr>
              <w:t>գտնվում է ուսումնասիրության գործընթացում</w:t>
            </w:r>
          </w:p>
        </w:tc>
        <w:tc>
          <w:tcPr>
            <w:tcW w:w="1843" w:type="dxa"/>
          </w:tcPr>
          <w:p w14:paraId="391722CA" w14:textId="77777777" w:rsidR="006F76EB" w:rsidRPr="00834D52" w:rsidRDefault="00157FD9" w:rsidP="00F71229">
            <w:pPr>
              <w:spacing w:after="160" w:line="360" w:lineRule="auto"/>
              <w:ind w:left="-108" w:right="-8"/>
              <w:jc w:val="center"/>
              <w:rPr>
                <w:rFonts w:ascii="Sylfaen" w:eastAsia="Times New Roman" w:hAnsi="Sylfaen" w:cs="Times New Roman"/>
                <w:sz w:val="24"/>
                <w:szCs w:val="24"/>
              </w:rPr>
            </w:pPr>
            <w:r>
              <w:rPr>
                <w:rFonts w:ascii="Sylfaen" w:hAnsi="Sylfaen"/>
                <w:noProof/>
                <w:sz w:val="24"/>
                <w:szCs w:val="24"/>
              </w:rPr>
              <w:pict w14:anchorId="7677306C">
                <v:rect id="_x0000_s1224" style="position:absolute;left:0;text-align:left;margin-left:62.55pt;margin-top:3.9pt;width:12.75pt;height:12pt;z-index:251737600;mso-position-horizontal-relative:text;mso-position-vertical-relative:text"/>
              </w:pict>
            </w:r>
            <w:r w:rsidR="006F76EB" w:rsidRPr="00834D52">
              <w:rPr>
                <w:rFonts w:ascii="Sylfaen" w:hAnsi="Sylfaen"/>
                <w:sz w:val="24"/>
                <w:szCs w:val="24"/>
              </w:rPr>
              <w:t>այո</w:t>
            </w:r>
          </w:p>
        </w:tc>
      </w:tr>
    </w:tbl>
    <w:p w14:paraId="23614B1E" w14:textId="77777777" w:rsidR="006F76EB" w:rsidRPr="00834D52" w:rsidRDefault="006F76EB" w:rsidP="006F76EB">
      <w:pPr>
        <w:spacing w:after="160" w:line="360" w:lineRule="auto"/>
        <w:ind w:right="-8"/>
        <w:rPr>
          <w:rFonts w:ascii="Sylfaen" w:hAnsi="Sylfaen"/>
          <w:sz w:val="24"/>
          <w:szCs w:val="24"/>
        </w:rPr>
      </w:pPr>
    </w:p>
    <w:tbl>
      <w:tblPr>
        <w:tblW w:w="9610" w:type="dxa"/>
        <w:tblInd w:w="109" w:type="dxa"/>
        <w:tblLayout w:type="fixed"/>
        <w:tblCellMar>
          <w:left w:w="0" w:type="dxa"/>
          <w:right w:w="0" w:type="dxa"/>
        </w:tblCellMar>
        <w:tblLook w:val="01E0" w:firstRow="1" w:lastRow="1" w:firstColumn="1" w:lastColumn="1" w:noHBand="0" w:noVBand="0"/>
      </w:tblPr>
      <w:tblGrid>
        <w:gridCol w:w="4142"/>
        <w:gridCol w:w="2240"/>
        <w:gridCol w:w="3228"/>
      </w:tblGrid>
      <w:tr w:rsidR="006F76EB" w:rsidRPr="00834D52" w14:paraId="5013CACD"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668B7F62" w14:textId="77777777" w:rsidR="006F76EB" w:rsidRPr="00834D52" w:rsidRDefault="006F76EB" w:rsidP="001516A4">
            <w:pPr>
              <w:spacing w:after="120" w:line="240" w:lineRule="auto"/>
              <w:ind w:left="186" w:right="1235"/>
              <w:rPr>
                <w:rFonts w:ascii="Sylfaen" w:eastAsia="Times New Roman" w:hAnsi="Sylfaen" w:cs="Times New Roman"/>
                <w:sz w:val="24"/>
                <w:szCs w:val="24"/>
              </w:rPr>
            </w:pPr>
            <w:r w:rsidRPr="00834D52">
              <w:rPr>
                <w:rFonts w:ascii="Sylfaen" w:hAnsi="Sylfaen"/>
                <w:sz w:val="24"/>
                <w:szCs w:val="24"/>
              </w:rPr>
              <w:t>ամսաթիվը</w:t>
            </w:r>
          </w:p>
        </w:tc>
        <w:tc>
          <w:tcPr>
            <w:tcW w:w="5468" w:type="dxa"/>
            <w:gridSpan w:val="2"/>
            <w:tcBorders>
              <w:top w:val="single" w:sz="4" w:space="0" w:color="000000"/>
              <w:left w:val="single" w:sz="4" w:space="0" w:color="000000"/>
              <w:bottom w:val="single" w:sz="4" w:space="0" w:color="000000"/>
              <w:right w:val="single" w:sz="4" w:space="0" w:color="000000"/>
            </w:tcBorders>
          </w:tcPr>
          <w:p w14:paraId="10A2C95E" w14:textId="77777777" w:rsidR="006F76EB" w:rsidRPr="00834D52" w:rsidRDefault="006F76EB" w:rsidP="001516A4">
            <w:pPr>
              <w:spacing w:after="120" w:line="240" w:lineRule="auto"/>
              <w:ind w:left="186" w:right="1235"/>
              <w:rPr>
                <w:rFonts w:ascii="Sylfaen" w:eastAsia="Times New Roman" w:hAnsi="Sylfaen" w:cs="Times New Roman"/>
                <w:sz w:val="24"/>
                <w:szCs w:val="24"/>
              </w:rPr>
            </w:pPr>
          </w:p>
        </w:tc>
      </w:tr>
      <w:tr w:rsidR="006F76EB" w:rsidRPr="00834D52" w14:paraId="05A94A63" w14:textId="77777777" w:rsidTr="00F71229">
        <w:tc>
          <w:tcPr>
            <w:tcW w:w="6382" w:type="dxa"/>
            <w:gridSpan w:val="2"/>
            <w:tcBorders>
              <w:top w:val="single" w:sz="4" w:space="0" w:color="000000"/>
              <w:left w:val="single" w:sz="4" w:space="0" w:color="000000"/>
              <w:bottom w:val="single" w:sz="4" w:space="0" w:color="000000"/>
              <w:right w:val="single" w:sz="4" w:space="0" w:color="000000"/>
            </w:tcBorders>
          </w:tcPr>
          <w:p w14:paraId="22580865" w14:textId="77777777" w:rsidR="006F76EB" w:rsidRPr="00834D52" w:rsidRDefault="006F76EB" w:rsidP="001516A4">
            <w:pPr>
              <w:spacing w:after="120" w:line="240" w:lineRule="auto"/>
              <w:ind w:left="186" w:right="1235"/>
              <w:rPr>
                <w:rFonts w:ascii="Sylfaen" w:eastAsia="Times New Roman" w:hAnsi="Sylfaen" w:cs="Times New Roman"/>
                <w:sz w:val="24"/>
                <w:szCs w:val="24"/>
              </w:rPr>
            </w:pPr>
            <w:r w:rsidRPr="00834D52">
              <w:rPr>
                <w:rFonts w:ascii="Sylfaen" w:hAnsi="Sylfaen"/>
                <w:sz w:val="24"/>
                <w:szCs w:val="24"/>
              </w:rPr>
              <w:t>հազվադեպ կիրառվող («որբ») դեղապատրաստուկի գրանցման հավաստագրի համարը</w:t>
            </w:r>
          </w:p>
        </w:tc>
        <w:tc>
          <w:tcPr>
            <w:tcW w:w="3228" w:type="dxa"/>
            <w:tcBorders>
              <w:top w:val="single" w:sz="4" w:space="0" w:color="000000"/>
              <w:left w:val="single" w:sz="4" w:space="0" w:color="000000"/>
              <w:bottom w:val="single" w:sz="4" w:space="0" w:color="000000"/>
              <w:right w:val="single" w:sz="4" w:space="0" w:color="000000"/>
            </w:tcBorders>
          </w:tcPr>
          <w:p w14:paraId="2646D014" w14:textId="77777777" w:rsidR="006F76EB" w:rsidRPr="00834D52" w:rsidRDefault="006F76EB" w:rsidP="001516A4">
            <w:pPr>
              <w:spacing w:after="120" w:line="240" w:lineRule="auto"/>
              <w:ind w:right="-8"/>
              <w:rPr>
                <w:rFonts w:ascii="Sylfaen" w:hAnsi="Sylfaen"/>
                <w:sz w:val="24"/>
                <w:szCs w:val="24"/>
              </w:rPr>
            </w:pPr>
          </w:p>
        </w:tc>
      </w:tr>
      <w:tr w:rsidR="006F76EB" w:rsidRPr="00834D52" w14:paraId="69A1EDFE" w14:textId="77777777" w:rsidTr="00F71229">
        <w:tc>
          <w:tcPr>
            <w:tcW w:w="6382" w:type="dxa"/>
            <w:gridSpan w:val="2"/>
            <w:tcBorders>
              <w:top w:val="single" w:sz="4" w:space="0" w:color="000000"/>
              <w:left w:val="single" w:sz="4" w:space="0" w:color="000000"/>
              <w:bottom w:val="single" w:sz="4" w:space="0" w:color="000000"/>
              <w:right w:val="single" w:sz="4" w:space="0" w:color="000000"/>
            </w:tcBorders>
          </w:tcPr>
          <w:p w14:paraId="4A977781" w14:textId="77777777" w:rsidR="006F76EB" w:rsidRPr="00834D52" w:rsidRDefault="006F76EB" w:rsidP="001516A4">
            <w:pPr>
              <w:spacing w:after="120" w:line="240" w:lineRule="auto"/>
              <w:ind w:left="186" w:right="1235"/>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պետությունները </w:t>
            </w:r>
            <w:r w:rsidR="00C54D75">
              <w:rPr>
                <w:rFonts w:ascii="Sylfaen" w:hAnsi="Sylfaen"/>
                <w:sz w:val="24"/>
                <w:szCs w:val="24"/>
              </w:rPr>
              <w:t>և</w:t>
            </w:r>
            <w:r w:rsidRPr="00834D52">
              <w:rPr>
                <w:rFonts w:ascii="Sylfaen" w:hAnsi="Sylfaen"/>
                <w:sz w:val="24"/>
                <w:szCs w:val="24"/>
              </w:rPr>
              <w:t xml:space="preserve"> (կամ) այլ պետություններ, որոնք տվյալ դեղապատրաստուկին շնորհել են հազվադեպ կիրառվող («որբ») դեղապատրաստուկի կարգավիճակ</w:t>
            </w:r>
          </w:p>
        </w:tc>
        <w:tc>
          <w:tcPr>
            <w:tcW w:w="3228" w:type="dxa"/>
            <w:tcBorders>
              <w:top w:val="single" w:sz="4" w:space="0" w:color="000000"/>
              <w:left w:val="single" w:sz="4" w:space="0" w:color="000000"/>
              <w:bottom w:val="single" w:sz="4" w:space="0" w:color="000000"/>
              <w:right w:val="single" w:sz="4" w:space="0" w:color="000000"/>
            </w:tcBorders>
          </w:tcPr>
          <w:p w14:paraId="2FD06AE7" w14:textId="77777777" w:rsidR="006F76EB" w:rsidRPr="00834D52" w:rsidRDefault="006F76EB" w:rsidP="001516A4">
            <w:pPr>
              <w:spacing w:after="120" w:line="240" w:lineRule="auto"/>
              <w:ind w:right="-8"/>
              <w:rPr>
                <w:rFonts w:ascii="Sylfaen" w:hAnsi="Sylfaen"/>
                <w:sz w:val="24"/>
                <w:szCs w:val="24"/>
              </w:rPr>
            </w:pPr>
          </w:p>
        </w:tc>
      </w:tr>
    </w:tbl>
    <w:p w14:paraId="04340D75" w14:textId="77777777" w:rsidR="006F76EB" w:rsidRPr="00834D52" w:rsidRDefault="006F76EB" w:rsidP="006F76EB">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z w:val="24"/>
          <w:szCs w:val="24"/>
        </w:rPr>
        <w:t>Հազվադեպ կիրառվող («որբ») դեղապատրաստուկի կարգավիճակի շնորհումը մերժվել է</w:t>
      </w:r>
      <w:r w:rsidRPr="00834D52">
        <w:rPr>
          <w:rFonts w:ascii="Sylfaen" w:hAnsi="Sylfaen"/>
          <w:spacing w:val="-4"/>
          <w:sz w:val="24"/>
          <w:szCs w:val="24"/>
        </w:rPr>
        <w:t>՝</w:t>
      </w:r>
    </w:p>
    <w:tbl>
      <w:tblPr>
        <w:tblW w:w="9663" w:type="dxa"/>
        <w:tblInd w:w="109" w:type="dxa"/>
        <w:tblLayout w:type="fixed"/>
        <w:tblCellMar>
          <w:left w:w="0" w:type="dxa"/>
          <w:right w:w="0" w:type="dxa"/>
        </w:tblCellMar>
        <w:tblLook w:val="01E0" w:firstRow="1" w:lastRow="1" w:firstColumn="1" w:lastColumn="1" w:noHBand="0" w:noVBand="0"/>
      </w:tblPr>
      <w:tblGrid>
        <w:gridCol w:w="4164"/>
        <w:gridCol w:w="5499"/>
      </w:tblGrid>
      <w:tr w:rsidR="006F76EB" w:rsidRPr="00834D52" w14:paraId="41AA2F26" w14:textId="77777777" w:rsidTr="001516A4">
        <w:trPr>
          <w:trHeight w:val="493"/>
        </w:trPr>
        <w:tc>
          <w:tcPr>
            <w:tcW w:w="4164" w:type="dxa"/>
            <w:tcBorders>
              <w:top w:val="single" w:sz="4" w:space="0" w:color="000000"/>
              <w:left w:val="single" w:sz="4" w:space="0" w:color="000000"/>
              <w:bottom w:val="single" w:sz="4" w:space="0" w:color="000000"/>
              <w:right w:val="single" w:sz="4" w:space="0" w:color="000000"/>
            </w:tcBorders>
          </w:tcPr>
          <w:p w14:paraId="5BF4EF5C"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r w:rsidRPr="00834D52">
              <w:rPr>
                <w:rFonts w:ascii="Sylfaen" w:hAnsi="Sylfaen"/>
                <w:sz w:val="24"/>
                <w:szCs w:val="24"/>
              </w:rPr>
              <w:t>ամսաթիվը</w:t>
            </w:r>
          </w:p>
        </w:tc>
        <w:tc>
          <w:tcPr>
            <w:tcW w:w="5499" w:type="dxa"/>
            <w:tcBorders>
              <w:top w:val="single" w:sz="4" w:space="0" w:color="000000"/>
              <w:left w:val="single" w:sz="4" w:space="0" w:color="000000"/>
              <w:bottom w:val="single" w:sz="4" w:space="0" w:color="000000"/>
              <w:right w:val="single" w:sz="4" w:space="0" w:color="000000"/>
            </w:tcBorders>
          </w:tcPr>
          <w:p w14:paraId="5E8F7C8E"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p>
        </w:tc>
      </w:tr>
      <w:tr w:rsidR="006F76EB" w:rsidRPr="00834D52" w14:paraId="6AAF7B64" w14:textId="77777777" w:rsidTr="001516A4">
        <w:trPr>
          <w:trHeight w:val="493"/>
        </w:trPr>
        <w:tc>
          <w:tcPr>
            <w:tcW w:w="4164" w:type="dxa"/>
            <w:tcBorders>
              <w:top w:val="single" w:sz="4" w:space="0" w:color="000000"/>
              <w:left w:val="single" w:sz="4" w:space="0" w:color="000000"/>
              <w:bottom w:val="single" w:sz="4" w:space="0" w:color="000000"/>
              <w:right w:val="single" w:sz="4" w:space="0" w:color="auto"/>
            </w:tcBorders>
          </w:tcPr>
          <w:p w14:paraId="38DF9D4C"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r w:rsidRPr="00834D52">
              <w:rPr>
                <w:rFonts w:ascii="Sylfaen" w:hAnsi="Sylfaen"/>
                <w:sz w:val="24"/>
                <w:szCs w:val="24"/>
              </w:rPr>
              <w:t>որոշման համարը</w:t>
            </w:r>
          </w:p>
        </w:tc>
        <w:tc>
          <w:tcPr>
            <w:tcW w:w="5499" w:type="dxa"/>
            <w:tcBorders>
              <w:top w:val="single" w:sz="4" w:space="0" w:color="000000"/>
              <w:left w:val="single" w:sz="4" w:space="0" w:color="auto"/>
              <w:bottom w:val="single" w:sz="4" w:space="0" w:color="000000"/>
              <w:right w:val="single" w:sz="4" w:space="0" w:color="000000"/>
            </w:tcBorders>
          </w:tcPr>
          <w:p w14:paraId="75A233F0"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p>
        </w:tc>
      </w:tr>
      <w:tr w:rsidR="006F76EB" w:rsidRPr="00834D52" w14:paraId="2F8CF1A3" w14:textId="77777777" w:rsidTr="001516A4">
        <w:trPr>
          <w:trHeight w:val="493"/>
        </w:trPr>
        <w:tc>
          <w:tcPr>
            <w:tcW w:w="9663" w:type="dxa"/>
            <w:gridSpan w:val="2"/>
            <w:tcBorders>
              <w:top w:val="single" w:sz="4" w:space="0" w:color="000000"/>
              <w:left w:val="single" w:sz="4" w:space="0" w:color="000000"/>
              <w:bottom w:val="single" w:sz="4" w:space="0" w:color="000000"/>
              <w:right w:val="single" w:sz="4" w:space="0" w:color="000000"/>
            </w:tcBorders>
          </w:tcPr>
          <w:p w14:paraId="691D993F"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r w:rsidRPr="00834D52">
              <w:rPr>
                <w:rFonts w:ascii="Sylfaen" w:hAnsi="Sylfaen"/>
                <w:sz w:val="24"/>
                <w:szCs w:val="24"/>
              </w:rPr>
              <w:t>կարգավիճակի շնորհման վերաբերյալ հայտը հետ է կանչվել</w:t>
            </w:r>
          </w:p>
        </w:tc>
      </w:tr>
      <w:tr w:rsidR="006F76EB" w:rsidRPr="00834D52" w14:paraId="0543CAB3" w14:textId="77777777" w:rsidTr="001516A4">
        <w:trPr>
          <w:trHeight w:val="493"/>
        </w:trPr>
        <w:tc>
          <w:tcPr>
            <w:tcW w:w="4164" w:type="dxa"/>
            <w:tcBorders>
              <w:top w:val="single" w:sz="4" w:space="0" w:color="000000"/>
              <w:left w:val="single" w:sz="4" w:space="0" w:color="000000"/>
              <w:bottom w:val="single" w:sz="4" w:space="0" w:color="000000"/>
              <w:right w:val="single" w:sz="4" w:space="0" w:color="auto"/>
            </w:tcBorders>
          </w:tcPr>
          <w:p w14:paraId="4D1EB555"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r w:rsidRPr="00834D52">
              <w:rPr>
                <w:rFonts w:ascii="Sylfaen" w:hAnsi="Sylfaen"/>
                <w:sz w:val="24"/>
                <w:szCs w:val="24"/>
              </w:rPr>
              <w:t>ամսաթիվը</w:t>
            </w:r>
          </w:p>
        </w:tc>
        <w:tc>
          <w:tcPr>
            <w:tcW w:w="5499" w:type="dxa"/>
            <w:tcBorders>
              <w:top w:val="single" w:sz="4" w:space="0" w:color="000000"/>
              <w:left w:val="single" w:sz="4" w:space="0" w:color="auto"/>
              <w:bottom w:val="single" w:sz="4" w:space="0" w:color="000000"/>
              <w:right w:val="single" w:sz="4" w:space="0" w:color="000000"/>
            </w:tcBorders>
          </w:tcPr>
          <w:p w14:paraId="2E1F63C8" w14:textId="77777777" w:rsidR="006F76EB" w:rsidRPr="00834D52" w:rsidRDefault="006F76EB" w:rsidP="001516A4">
            <w:pPr>
              <w:spacing w:after="120" w:line="240" w:lineRule="auto"/>
              <w:ind w:left="187" w:right="1235"/>
              <w:rPr>
                <w:rFonts w:ascii="Sylfaen" w:eastAsia="Times New Roman" w:hAnsi="Sylfaen" w:cs="Times New Roman"/>
                <w:sz w:val="24"/>
                <w:szCs w:val="24"/>
              </w:rPr>
            </w:pPr>
          </w:p>
        </w:tc>
      </w:tr>
      <w:tr w:rsidR="006F76EB" w:rsidRPr="00834D52" w14:paraId="38F822D7" w14:textId="77777777" w:rsidTr="001516A4">
        <w:trPr>
          <w:trHeight w:val="1197"/>
        </w:trPr>
        <w:tc>
          <w:tcPr>
            <w:tcW w:w="9663" w:type="dxa"/>
            <w:gridSpan w:val="2"/>
            <w:tcBorders>
              <w:top w:val="single" w:sz="4" w:space="0" w:color="000000"/>
              <w:left w:val="single" w:sz="4" w:space="0" w:color="000000"/>
              <w:bottom w:val="single" w:sz="4" w:space="0" w:color="000000"/>
              <w:right w:val="single" w:sz="4" w:space="0" w:color="000000"/>
            </w:tcBorders>
          </w:tcPr>
          <w:p w14:paraId="14C3DCBE" w14:textId="77777777" w:rsidR="006F76EB" w:rsidRPr="00834D52" w:rsidRDefault="006F76EB" w:rsidP="001516A4">
            <w:pPr>
              <w:spacing w:after="120" w:line="240" w:lineRule="auto"/>
              <w:ind w:left="187"/>
              <w:rPr>
                <w:rFonts w:ascii="Sylfaen" w:eastAsia="Times New Roman" w:hAnsi="Sylfaen" w:cs="Times New Roman"/>
                <w:sz w:val="24"/>
                <w:szCs w:val="24"/>
              </w:rPr>
            </w:pPr>
            <w:r w:rsidRPr="00834D52">
              <w:rPr>
                <w:rFonts w:ascii="Sylfaen" w:hAnsi="Sylfaen"/>
                <w:sz w:val="24"/>
                <w:szCs w:val="24"/>
              </w:rPr>
              <w:t>դեղապատրաստուկին հազվադեպ կիրառվող («որբ») պատրաստուկի կարգավիճակի շնորհումը հաստատող փաստաթղթի պատճենը (առկայության դեպքում) (սույն հայտի հավելվածի 5.2 ենթակետ):</w:t>
            </w:r>
          </w:p>
        </w:tc>
      </w:tr>
    </w:tbl>
    <w:p w14:paraId="225D6654" w14:textId="77777777" w:rsidR="006F76EB" w:rsidRPr="00834D52" w:rsidRDefault="006F76EB" w:rsidP="006F76EB">
      <w:pPr>
        <w:spacing w:after="160" w:line="360" w:lineRule="auto"/>
        <w:ind w:right="-8"/>
        <w:rPr>
          <w:rFonts w:ascii="Sylfaen" w:eastAsia="Times New Roman" w:hAnsi="Sylfaen" w:cs="Times New Roman"/>
          <w:sz w:val="24"/>
          <w:szCs w:val="24"/>
        </w:rPr>
      </w:pPr>
    </w:p>
    <w:p w14:paraId="742B5E48" w14:textId="77777777" w:rsidR="001516A4" w:rsidRPr="007F5A60" w:rsidRDefault="001516A4">
      <w:pPr>
        <w:widowControl/>
        <w:rPr>
          <w:rFonts w:ascii="Sylfaen" w:hAnsi="Sylfaen"/>
          <w:sz w:val="24"/>
          <w:szCs w:val="24"/>
        </w:rPr>
      </w:pPr>
      <w:r w:rsidRPr="007F5A60">
        <w:rPr>
          <w:rFonts w:ascii="Sylfaen" w:hAnsi="Sylfaen"/>
          <w:sz w:val="24"/>
          <w:szCs w:val="24"/>
        </w:rPr>
        <w:br w:type="page"/>
      </w:r>
    </w:p>
    <w:p w14:paraId="3ECCF215" w14:textId="77777777" w:rsidR="006F76EB" w:rsidRPr="00834D52" w:rsidRDefault="006F76EB" w:rsidP="001516A4">
      <w:pPr>
        <w:spacing w:after="160" w:line="336" w:lineRule="auto"/>
        <w:ind w:right="-8"/>
        <w:jc w:val="center"/>
        <w:rPr>
          <w:rFonts w:ascii="Sylfaen" w:eastAsia="Times New Roman" w:hAnsi="Sylfaen" w:cs="Times New Roman"/>
          <w:sz w:val="24"/>
          <w:szCs w:val="24"/>
        </w:rPr>
      </w:pPr>
      <w:r w:rsidRPr="00834D52">
        <w:rPr>
          <w:rFonts w:ascii="Sylfaen" w:hAnsi="Sylfaen"/>
          <w:sz w:val="24"/>
          <w:szCs w:val="24"/>
        </w:rPr>
        <w:lastRenderedPageBreak/>
        <w:t>3. Հայտի հատուկ կետերը</w:t>
      </w:r>
    </w:p>
    <w:tbl>
      <w:tblPr>
        <w:tblW w:w="9535" w:type="dxa"/>
        <w:tblInd w:w="109" w:type="dxa"/>
        <w:tblLayout w:type="fixed"/>
        <w:tblCellMar>
          <w:left w:w="0" w:type="dxa"/>
          <w:right w:w="0" w:type="dxa"/>
        </w:tblCellMar>
        <w:tblLook w:val="01E0" w:firstRow="1" w:lastRow="1" w:firstColumn="1" w:lastColumn="1" w:noHBand="0" w:noVBand="0"/>
      </w:tblPr>
      <w:tblGrid>
        <w:gridCol w:w="5850"/>
        <w:gridCol w:w="3685"/>
      </w:tblGrid>
      <w:tr w:rsidR="006F76EB" w:rsidRPr="00834D52" w14:paraId="4031D5D8" w14:textId="77777777" w:rsidTr="00F71229">
        <w:tc>
          <w:tcPr>
            <w:tcW w:w="5850" w:type="dxa"/>
            <w:tcBorders>
              <w:top w:val="single" w:sz="4" w:space="0" w:color="000000"/>
              <w:left w:val="single" w:sz="4" w:space="0" w:color="000000"/>
              <w:bottom w:val="single" w:sz="4" w:space="0" w:color="000000"/>
              <w:right w:val="single" w:sz="4" w:space="0" w:color="000000"/>
            </w:tcBorders>
          </w:tcPr>
          <w:p w14:paraId="576FE845" w14:textId="77777777" w:rsidR="006F76EB" w:rsidRPr="00834D52" w:rsidRDefault="006F76EB" w:rsidP="001516A4">
            <w:pPr>
              <w:tabs>
                <w:tab w:val="left" w:pos="1172"/>
              </w:tabs>
              <w:spacing w:after="120" w:line="240" w:lineRule="auto"/>
              <w:ind w:left="186" w:right="277"/>
              <w:rPr>
                <w:rFonts w:ascii="Sylfaen" w:eastAsia="Times New Roman" w:hAnsi="Sylfaen" w:cs="Times New Roman"/>
                <w:sz w:val="24"/>
                <w:szCs w:val="24"/>
              </w:rPr>
            </w:pPr>
            <w:r w:rsidRPr="00834D52">
              <w:rPr>
                <w:rFonts w:ascii="Sylfaen" w:hAnsi="Sylfaen"/>
                <w:sz w:val="24"/>
                <w:szCs w:val="24"/>
              </w:rPr>
              <w:t>3.1.</w:t>
            </w:r>
            <w:r w:rsidRPr="00834D52">
              <w:rPr>
                <w:rFonts w:ascii="Sylfaen" w:hAnsi="Sylfaen"/>
                <w:sz w:val="24"/>
                <w:szCs w:val="24"/>
              </w:rPr>
              <w:tab/>
              <w:t xml:space="preserve">Անվանումը </w:t>
            </w:r>
            <w:r w:rsidR="00C54D75">
              <w:rPr>
                <w:rFonts w:ascii="Sylfaen" w:hAnsi="Sylfaen"/>
                <w:sz w:val="24"/>
                <w:szCs w:val="24"/>
              </w:rPr>
              <w:t>և</w:t>
            </w:r>
            <w:r w:rsidRPr="00834D52">
              <w:rPr>
                <w:rFonts w:ascii="Sylfaen" w:hAnsi="Sylfaen"/>
                <w:sz w:val="24"/>
                <w:szCs w:val="24"/>
              </w:rPr>
              <w:t xml:space="preserve"> ԱԲՔ ծածկագիրը</w:t>
            </w:r>
          </w:p>
        </w:tc>
        <w:tc>
          <w:tcPr>
            <w:tcW w:w="3685" w:type="dxa"/>
            <w:tcBorders>
              <w:top w:val="single" w:sz="4" w:space="0" w:color="000000"/>
              <w:left w:val="single" w:sz="4" w:space="0" w:color="000000"/>
              <w:bottom w:val="single" w:sz="4" w:space="0" w:color="000000"/>
              <w:right w:val="single" w:sz="4" w:space="0" w:color="000000"/>
            </w:tcBorders>
          </w:tcPr>
          <w:p w14:paraId="7B2E7455" w14:textId="77777777" w:rsidR="006F76EB" w:rsidRPr="00834D52" w:rsidRDefault="006F76EB" w:rsidP="001516A4">
            <w:pPr>
              <w:spacing w:after="120" w:line="240" w:lineRule="auto"/>
              <w:ind w:right="-8"/>
              <w:rPr>
                <w:rFonts w:ascii="Sylfaen" w:hAnsi="Sylfaen"/>
                <w:sz w:val="24"/>
                <w:szCs w:val="24"/>
              </w:rPr>
            </w:pPr>
          </w:p>
        </w:tc>
      </w:tr>
      <w:tr w:rsidR="006F76EB" w:rsidRPr="00834D52" w14:paraId="0EDD747D" w14:textId="77777777" w:rsidTr="00F71229">
        <w:tc>
          <w:tcPr>
            <w:tcW w:w="5850" w:type="dxa"/>
            <w:tcBorders>
              <w:top w:val="single" w:sz="4" w:space="0" w:color="000000"/>
              <w:left w:val="single" w:sz="4" w:space="0" w:color="000000"/>
              <w:bottom w:val="single" w:sz="4" w:space="0" w:color="000000"/>
              <w:right w:val="single" w:sz="4" w:space="0" w:color="000000"/>
            </w:tcBorders>
          </w:tcPr>
          <w:p w14:paraId="52E587C6" w14:textId="77777777" w:rsidR="006F76EB" w:rsidRPr="00834D52" w:rsidRDefault="006F76EB" w:rsidP="001516A4">
            <w:pPr>
              <w:tabs>
                <w:tab w:val="left" w:pos="1172"/>
              </w:tabs>
              <w:spacing w:after="120" w:line="240" w:lineRule="auto"/>
              <w:ind w:left="186"/>
              <w:rPr>
                <w:rFonts w:ascii="Sylfaen" w:eastAsia="Times New Roman" w:hAnsi="Sylfaen" w:cs="Times New Roman"/>
                <w:sz w:val="24"/>
                <w:szCs w:val="24"/>
              </w:rPr>
            </w:pPr>
            <w:r w:rsidRPr="00834D52">
              <w:rPr>
                <w:rFonts w:ascii="Sylfaen" w:hAnsi="Sylfaen"/>
                <w:sz w:val="24"/>
                <w:szCs w:val="24"/>
              </w:rPr>
              <w:t>3.1.1.</w:t>
            </w:r>
            <w:r w:rsidRPr="00834D52">
              <w:rPr>
                <w:rFonts w:ascii="Sylfaen" w:hAnsi="Sylfaen"/>
                <w:sz w:val="24"/>
                <w:szCs w:val="24"/>
              </w:rPr>
              <w:tab/>
              <w:t>Դեղապատրաստուկի անվանումը</w:t>
            </w:r>
          </w:p>
        </w:tc>
        <w:tc>
          <w:tcPr>
            <w:tcW w:w="3685" w:type="dxa"/>
            <w:tcBorders>
              <w:top w:val="single" w:sz="4" w:space="0" w:color="000000"/>
              <w:left w:val="single" w:sz="4" w:space="0" w:color="000000"/>
              <w:bottom w:val="single" w:sz="4" w:space="0" w:color="000000"/>
              <w:right w:val="single" w:sz="4" w:space="0" w:color="000000"/>
            </w:tcBorders>
          </w:tcPr>
          <w:p w14:paraId="4A969BA2" w14:textId="77777777" w:rsidR="006F76EB" w:rsidRPr="00834D52" w:rsidRDefault="006F76EB" w:rsidP="001516A4">
            <w:pPr>
              <w:spacing w:after="120" w:line="240" w:lineRule="auto"/>
              <w:ind w:right="-8"/>
              <w:rPr>
                <w:rFonts w:ascii="Sylfaen" w:hAnsi="Sylfaen"/>
                <w:sz w:val="24"/>
                <w:szCs w:val="24"/>
              </w:rPr>
            </w:pPr>
          </w:p>
        </w:tc>
      </w:tr>
      <w:tr w:rsidR="006F76EB" w:rsidRPr="00834D52" w14:paraId="4DB9BF09" w14:textId="77777777" w:rsidTr="00F71229">
        <w:tc>
          <w:tcPr>
            <w:tcW w:w="5850" w:type="dxa"/>
            <w:tcBorders>
              <w:top w:val="single" w:sz="4" w:space="0" w:color="000000"/>
              <w:left w:val="single" w:sz="4" w:space="0" w:color="000000"/>
              <w:bottom w:val="single" w:sz="4" w:space="0" w:color="000000"/>
              <w:right w:val="single" w:sz="4" w:space="0" w:color="000000"/>
            </w:tcBorders>
          </w:tcPr>
          <w:p w14:paraId="60CAA2B2" w14:textId="77777777" w:rsidR="006F76EB" w:rsidRPr="00834D52" w:rsidRDefault="006F76EB" w:rsidP="001516A4">
            <w:pPr>
              <w:tabs>
                <w:tab w:val="left" w:pos="1172"/>
              </w:tabs>
              <w:spacing w:after="120" w:line="240" w:lineRule="auto"/>
              <w:ind w:left="186" w:right="277"/>
              <w:rPr>
                <w:rFonts w:ascii="Sylfaen" w:eastAsia="Times New Roman" w:hAnsi="Sylfaen" w:cs="Times New Roman"/>
                <w:sz w:val="24"/>
                <w:szCs w:val="24"/>
              </w:rPr>
            </w:pPr>
            <w:r w:rsidRPr="00834D52">
              <w:rPr>
                <w:rFonts w:ascii="Sylfaen" w:hAnsi="Sylfaen"/>
                <w:sz w:val="24"/>
                <w:szCs w:val="24"/>
              </w:rPr>
              <w:t>3.1.2.</w:t>
            </w:r>
            <w:r w:rsidRPr="00834D52">
              <w:rPr>
                <w:rFonts w:ascii="Sylfaen" w:hAnsi="Sylfaen"/>
                <w:sz w:val="24"/>
                <w:szCs w:val="24"/>
              </w:rPr>
              <w:tab/>
              <w:t>ԱԴԲ-ի անվանումը կամ բաղադրությունը</w:t>
            </w:r>
          </w:p>
        </w:tc>
        <w:tc>
          <w:tcPr>
            <w:tcW w:w="3685" w:type="dxa"/>
            <w:tcBorders>
              <w:top w:val="single" w:sz="4" w:space="0" w:color="000000"/>
              <w:left w:val="single" w:sz="4" w:space="0" w:color="000000"/>
              <w:bottom w:val="single" w:sz="4" w:space="0" w:color="000000"/>
              <w:right w:val="single" w:sz="4" w:space="0" w:color="000000"/>
            </w:tcBorders>
          </w:tcPr>
          <w:p w14:paraId="58D064D9" w14:textId="77777777" w:rsidR="006F76EB" w:rsidRPr="00834D52" w:rsidRDefault="006F76EB" w:rsidP="001516A4">
            <w:pPr>
              <w:spacing w:after="120" w:line="240" w:lineRule="auto"/>
              <w:ind w:right="-8"/>
              <w:rPr>
                <w:rFonts w:ascii="Sylfaen" w:hAnsi="Sylfaen"/>
                <w:sz w:val="24"/>
                <w:szCs w:val="24"/>
              </w:rPr>
            </w:pPr>
          </w:p>
        </w:tc>
      </w:tr>
    </w:tbl>
    <w:p w14:paraId="69E28CD1" w14:textId="77777777" w:rsidR="006F76EB" w:rsidRDefault="006F76EB" w:rsidP="006F76EB">
      <w:pPr>
        <w:spacing w:after="160" w:line="336" w:lineRule="auto"/>
        <w:ind w:right="-8" w:firstLine="567"/>
        <w:jc w:val="both"/>
        <w:rPr>
          <w:rFonts w:ascii="Sylfaen" w:hAnsi="Sylfaen"/>
          <w:sz w:val="24"/>
          <w:szCs w:val="24"/>
        </w:rPr>
      </w:pPr>
      <w:r w:rsidRPr="00834D52">
        <w:rPr>
          <w:rFonts w:ascii="Sylfaen" w:hAnsi="Sylfaen"/>
          <w:sz w:val="24"/>
          <w:szCs w:val="24"/>
        </w:rPr>
        <w:t>Ծանոթագրություն. Միայն մեկ անվանում պետք է բերվի հետ</w:t>
      </w:r>
      <w:r w:rsidR="00C54D75">
        <w:rPr>
          <w:rFonts w:ascii="Sylfaen" w:hAnsi="Sylfaen"/>
          <w:sz w:val="24"/>
          <w:szCs w:val="24"/>
        </w:rPr>
        <w:t>և</w:t>
      </w:r>
      <w:r w:rsidRPr="00834D52">
        <w:rPr>
          <w:rFonts w:ascii="Sylfaen" w:hAnsi="Sylfaen"/>
          <w:sz w:val="24"/>
          <w:szCs w:val="24"/>
        </w:rPr>
        <w:t>յալ կարգով՝ միջազգային չարտոնագրված անվանումը (այսուհետ՝ ՄՉԱ)</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xml:space="preserve">, անվանումը՝ ըստ Եվրասիական տնտեսական միության դեղագրքի, Եվրասիական տնտեսական միության անդամ պետությունների դեղագրքերի (կամ Եվրասիական տնտեսական հանձնաժողովի կողմից հաստատված Եվրասիական տնտեսական միության անդամ պետությունների դեղագրքերի ներդաշնակեցման հայեցակարգին </w:t>
      </w:r>
      <w:r w:rsidRPr="007E6BCD">
        <w:rPr>
          <w:rFonts w:ascii="Sylfaen" w:hAnsi="Sylfaen"/>
          <w:sz w:val="24"/>
          <w:szCs w:val="24"/>
        </w:rPr>
        <w:t xml:space="preserve">համապատասխան հիմնական դեղագրքերի), համընդհանուր կամ </w:t>
      </w:r>
      <w:r w:rsidR="00C648A4">
        <w:rPr>
          <w:rFonts w:ascii="Sylfaen" w:hAnsi="Sylfaen"/>
          <w:sz w:val="24"/>
          <w:szCs w:val="24"/>
        </w:rPr>
        <w:t>խմբի անվանումը, գիտական (քիմիական) անվանումը:</w:t>
      </w:r>
    </w:p>
    <w:p w14:paraId="334111E2" w14:textId="77777777" w:rsidR="006F76EB" w:rsidRPr="00834D52" w:rsidRDefault="006F76EB" w:rsidP="00FA28B3">
      <w:pPr>
        <w:tabs>
          <w:tab w:val="left" w:pos="1701"/>
        </w:tabs>
        <w:spacing w:after="160" w:line="336" w:lineRule="auto"/>
        <w:ind w:right="4331" w:firstLine="567"/>
        <w:jc w:val="both"/>
        <w:rPr>
          <w:rFonts w:ascii="Sylfaen" w:eastAsia="Times New Roman" w:hAnsi="Sylfaen" w:cs="Times New Roman"/>
          <w:sz w:val="24"/>
          <w:szCs w:val="24"/>
        </w:rPr>
      </w:pPr>
      <w:r w:rsidRPr="00834D52">
        <w:rPr>
          <w:rFonts w:ascii="Sylfaen" w:hAnsi="Sylfaen"/>
          <w:sz w:val="24"/>
          <w:szCs w:val="24"/>
        </w:rPr>
        <w:footnoteReference w:customMarkFollows="1" w:id="17"/>
        <w:t>3.1.3.</w:t>
      </w:r>
      <w:r w:rsidRPr="00834D52">
        <w:rPr>
          <w:rFonts w:ascii="Sylfaen" w:hAnsi="Sylfaen"/>
          <w:sz w:val="24"/>
          <w:szCs w:val="24"/>
        </w:rPr>
        <w:tab/>
      </w:r>
      <w:r w:rsidR="00355C33">
        <w:rPr>
          <w:rFonts w:ascii="Sylfaen" w:hAnsi="Sylfaen"/>
          <w:sz w:val="24"/>
          <w:szCs w:val="24"/>
        </w:rPr>
        <w:t>Դեղա</w:t>
      </w:r>
      <w:r w:rsidRPr="00834D52">
        <w:rPr>
          <w:rFonts w:ascii="Sylfaen" w:hAnsi="Sylfaen"/>
          <w:sz w:val="24"/>
          <w:szCs w:val="24"/>
        </w:rPr>
        <w:t>թերապ</w:t>
      </w:r>
      <w:r w:rsidR="00C54D75">
        <w:rPr>
          <w:rFonts w:ascii="Sylfaen" w:hAnsi="Sylfaen"/>
          <w:sz w:val="24"/>
          <w:szCs w:val="24"/>
        </w:rPr>
        <w:t>և</w:t>
      </w:r>
      <w:r w:rsidRPr="00834D52">
        <w:rPr>
          <w:rFonts w:ascii="Sylfaen" w:hAnsi="Sylfaen"/>
          <w:sz w:val="24"/>
          <w:szCs w:val="24"/>
        </w:rPr>
        <w:t>տիկ խումբը (օգտագործե՛ք գործող ԱԲՔ ծածկագիրը)</w:t>
      </w:r>
    </w:p>
    <w:tbl>
      <w:tblPr>
        <w:tblW w:w="9660" w:type="dxa"/>
        <w:tblInd w:w="109" w:type="dxa"/>
        <w:tblLayout w:type="fixed"/>
        <w:tblCellMar>
          <w:left w:w="0" w:type="dxa"/>
          <w:right w:w="0" w:type="dxa"/>
        </w:tblCellMar>
        <w:tblLook w:val="01E0" w:firstRow="1" w:lastRow="1" w:firstColumn="1" w:lastColumn="1" w:noHBand="0" w:noVBand="0"/>
      </w:tblPr>
      <w:tblGrid>
        <w:gridCol w:w="4164"/>
        <w:gridCol w:w="5496"/>
      </w:tblGrid>
      <w:tr w:rsidR="006F76EB" w:rsidRPr="00834D52" w14:paraId="784DCDCC" w14:textId="77777777" w:rsidTr="00FA28B3">
        <w:trPr>
          <w:trHeight w:val="722"/>
        </w:trPr>
        <w:tc>
          <w:tcPr>
            <w:tcW w:w="4164" w:type="dxa"/>
            <w:tcBorders>
              <w:top w:val="single" w:sz="4" w:space="0" w:color="000000"/>
              <w:left w:val="single" w:sz="4" w:space="0" w:color="000000"/>
              <w:bottom w:val="single" w:sz="4" w:space="0" w:color="000000"/>
              <w:right w:val="single" w:sz="4" w:space="0" w:color="000000"/>
            </w:tcBorders>
          </w:tcPr>
          <w:p w14:paraId="6257CA6A" w14:textId="77777777" w:rsidR="006F76EB" w:rsidRPr="00834D52" w:rsidRDefault="006F76EB" w:rsidP="00FA28B3">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ԱԲՔ ծածկագիրը</w:t>
            </w:r>
          </w:p>
        </w:tc>
        <w:tc>
          <w:tcPr>
            <w:tcW w:w="5496" w:type="dxa"/>
            <w:tcBorders>
              <w:top w:val="single" w:sz="4" w:space="0" w:color="000000"/>
              <w:left w:val="single" w:sz="4" w:space="0" w:color="000000"/>
              <w:bottom w:val="single" w:sz="4" w:space="0" w:color="000000"/>
              <w:right w:val="single" w:sz="4" w:space="0" w:color="000000"/>
            </w:tcBorders>
          </w:tcPr>
          <w:p w14:paraId="5CFD3101" w14:textId="77777777" w:rsidR="006F76EB" w:rsidRPr="00834D52" w:rsidRDefault="006F76EB" w:rsidP="00FA28B3">
            <w:pPr>
              <w:spacing w:after="120" w:line="240" w:lineRule="auto"/>
              <w:ind w:right="-8"/>
              <w:rPr>
                <w:rFonts w:ascii="Sylfaen" w:hAnsi="Sylfaen"/>
                <w:sz w:val="24"/>
                <w:szCs w:val="24"/>
              </w:rPr>
            </w:pPr>
          </w:p>
        </w:tc>
      </w:tr>
      <w:tr w:rsidR="006F76EB" w:rsidRPr="00834D52" w14:paraId="24471EFB" w14:textId="77777777" w:rsidTr="00FA28B3">
        <w:trPr>
          <w:trHeight w:val="722"/>
        </w:trPr>
        <w:tc>
          <w:tcPr>
            <w:tcW w:w="4164" w:type="dxa"/>
            <w:tcBorders>
              <w:top w:val="single" w:sz="4" w:space="0" w:color="000000"/>
              <w:left w:val="single" w:sz="4" w:space="0" w:color="000000"/>
              <w:bottom w:val="single" w:sz="4" w:space="0" w:color="000000"/>
              <w:right w:val="single" w:sz="4" w:space="0" w:color="000000"/>
            </w:tcBorders>
          </w:tcPr>
          <w:p w14:paraId="5BDD1487" w14:textId="77777777" w:rsidR="006F76EB" w:rsidRPr="00834D52" w:rsidRDefault="006F76EB" w:rsidP="00FA28B3">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Խումբը</w:t>
            </w:r>
          </w:p>
        </w:tc>
        <w:tc>
          <w:tcPr>
            <w:tcW w:w="5496" w:type="dxa"/>
            <w:tcBorders>
              <w:top w:val="single" w:sz="4" w:space="0" w:color="000000"/>
              <w:left w:val="single" w:sz="4" w:space="0" w:color="000000"/>
              <w:bottom w:val="single" w:sz="4" w:space="0" w:color="000000"/>
              <w:right w:val="single" w:sz="4" w:space="0" w:color="000000"/>
            </w:tcBorders>
          </w:tcPr>
          <w:p w14:paraId="4B695DFA" w14:textId="77777777" w:rsidR="006F76EB" w:rsidRPr="00834D52" w:rsidRDefault="006F76EB" w:rsidP="00FA28B3">
            <w:pPr>
              <w:spacing w:after="120" w:line="240" w:lineRule="auto"/>
              <w:ind w:right="-8"/>
              <w:rPr>
                <w:rFonts w:ascii="Sylfaen" w:hAnsi="Sylfaen"/>
                <w:sz w:val="24"/>
                <w:szCs w:val="24"/>
              </w:rPr>
            </w:pPr>
          </w:p>
        </w:tc>
      </w:tr>
    </w:tbl>
    <w:p w14:paraId="577C50E2" w14:textId="77777777" w:rsidR="006F76EB" w:rsidRPr="00834D52" w:rsidRDefault="006F76EB" w:rsidP="006F76EB">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ԱԲՔ ծածկագիր շնորհված չէ, ապա նշե՛ք, թե արդյոք ներկայացվել է ԱԲՔ ծածկագրի շնորհման հայտ </w:t>
      </w:r>
    </w:p>
    <w:p w14:paraId="5737D5CD" w14:textId="77777777" w:rsidR="006F76EB" w:rsidRPr="00834D52" w:rsidRDefault="006F76EB" w:rsidP="00FA28B3">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w:t>
      </w:r>
      <w:r w:rsidRPr="00834D52">
        <w:rPr>
          <w:rFonts w:ascii="Sylfaen" w:hAnsi="Sylfaen"/>
          <w:sz w:val="24"/>
          <w:szCs w:val="24"/>
        </w:rPr>
        <w:tab/>
        <w:t>Դոզավորումը, դեղաձ</w:t>
      </w:r>
      <w:r w:rsidR="00C54D75">
        <w:rPr>
          <w:rFonts w:ascii="Sylfaen" w:hAnsi="Sylfaen"/>
          <w:sz w:val="24"/>
          <w:szCs w:val="24"/>
        </w:rPr>
        <w:t>և</w:t>
      </w:r>
      <w:r w:rsidRPr="00834D52">
        <w:rPr>
          <w:rFonts w:ascii="Sylfaen" w:hAnsi="Sylfaen"/>
          <w:sz w:val="24"/>
          <w:szCs w:val="24"/>
        </w:rPr>
        <w:t xml:space="preserve">ը </w:t>
      </w:r>
      <w:r w:rsidR="00C54D75">
        <w:rPr>
          <w:rFonts w:ascii="Sylfaen" w:hAnsi="Sylfaen"/>
          <w:sz w:val="24"/>
          <w:szCs w:val="24"/>
        </w:rPr>
        <w:t>և</w:t>
      </w:r>
      <w:r w:rsidRPr="00834D52">
        <w:rPr>
          <w:rFonts w:ascii="Sylfaen" w:hAnsi="Sylfaen"/>
          <w:sz w:val="24"/>
          <w:szCs w:val="24"/>
        </w:rPr>
        <w:t xml:space="preserve"> փաթեթվածքը, ներմուծման եղանակը, առաջնային փաթեթվածքի տարողունակությունը, դոզավորման միավորների քանակը փաթեթվածքում</w:t>
      </w:r>
    </w:p>
    <w:p w14:paraId="1412024D" w14:textId="77777777" w:rsidR="006F76EB" w:rsidRPr="00834D52" w:rsidRDefault="006F76EB" w:rsidP="00FA28B3">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3.2.1.</w:t>
      </w:r>
      <w:r w:rsidRPr="00834D52">
        <w:rPr>
          <w:rFonts w:ascii="Sylfaen" w:hAnsi="Sylfaen"/>
          <w:sz w:val="24"/>
          <w:szCs w:val="24"/>
        </w:rPr>
        <w:tab/>
        <w:t xml:space="preserve">Դոզավորումը </w:t>
      </w:r>
      <w:r w:rsidR="00C54D75">
        <w:rPr>
          <w:rFonts w:ascii="Sylfaen" w:hAnsi="Sylfaen"/>
          <w:sz w:val="24"/>
          <w:szCs w:val="24"/>
        </w:rPr>
        <w:t>և</w:t>
      </w:r>
      <w:r w:rsidRPr="00834D52">
        <w:rPr>
          <w:rFonts w:ascii="Sylfaen" w:hAnsi="Sylfaen"/>
          <w:sz w:val="24"/>
          <w:szCs w:val="24"/>
        </w:rPr>
        <w:t xml:space="preserve"> դեղաձ</w:t>
      </w:r>
      <w:r w:rsidR="00C54D75">
        <w:rPr>
          <w:rFonts w:ascii="Sylfaen" w:hAnsi="Sylfaen"/>
          <w:sz w:val="24"/>
          <w:szCs w:val="24"/>
        </w:rPr>
        <w:t>և</w:t>
      </w:r>
      <w:r w:rsidRPr="00834D52">
        <w:rPr>
          <w:rFonts w:ascii="Sylfaen" w:hAnsi="Sylfaen"/>
          <w:sz w:val="24"/>
          <w:szCs w:val="24"/>
        </w:rPr>
        <w:t>ը</w:t>
      </w:r>
    </w:p>
    <w:p w14:paraId="11EEFBDF"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(օգտագործե՛ք Եվրասիական տնտեսական միությունում կիրառվող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bl>
      <w:tblPr>
        <w:tblW w:w="0" w:type="auto"/>
        <w:tblInd w:w="109" w:type="dxa"/>
        <w:tblLayout w:type="fixed"/>
        <w:tblCellMar>
          <w:left w:w="0" w:type="dxa"/>
          <w:right w:w="0" w:type="dxa"/>
        </w:tblCellMar>
        <w:tblLook w:val="01E0" w:firstRow="1" w:lastRow="1" w:firstColumn="1" w:lastColumn="1" w:noHBand="0" w:noVBand="0"/>
      </w:tblPr>
      <w:tblGrid>
        <w:gridCol w:w="5815"/>
        <w:gridCol w:w="3794"/>
      </w:tblGrid>
      <w:tr w:rsidR="006F76EB" w:rsidRPr="00834D52" w14:paraId="7B8964CE"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184160D2" w14:textId="77777777" w:rsidR="006F76EB" w:rsidRPr="00834D52" w:rsidRDefault="006F76EB" w:rsidP="00FA28B3">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lastRenderedPageBreak/>
              <w:t>դեղաձ</w:t>
            </w:r>
            <w:r w:rsidR="00C54D75">
              <w:rPr>
                <w:rFonts w:ascii="Sylfaen" w:hAnsi="Sylfaen"/>
                <w:sz w:val="24"/>
                <w:szCs w:val="24"/>
              </w:rPr>
              <w:t>և</w:t>
            </w:r>
            <w:r w:rsidRPr="00834D52">
              <w:rPr>
                <w:rFonts w:ascii="Sylfaen" w:hAnsi="Sylfaen"/>
                <w:sz w:val="24"/>
                <w:szCs w:val="24"/>
              </w:rPr>
              <w:t>ը</w:t>
            </w:r>
          </w:p>
        </w:tc>
        <w:tc>
          <w:tcPr>
            <w:tcW w:w="3794" w:type="dxa"/>
            <w:tcBorders>
              <w:top w:val="single" w:sz="4" w:space="0" w:color="000000"/>
              <w:left w:val="single" w:sz="4" w:space="0" w:color="000000"/>
              <w:bottom w:val="single" w:sz="4" w:space="0" w:color="000000"/>
              <w:right w:val="single" w:sz="4" w:space="0" w:color="000000"/>
            </w:tcBorders>
          </w:tcPr>
          <w:p w14:paraId="1F2C24B8" w14:textId="77777777" w:rsidR="006F76EB" w:rsidRPr="00834D52" w:rsidRDefault="006F76EB" w:rsidP="00FA28B3">
            <w:pPr>
              <w:spacing w:after="120" w:line="240" w:lineRule="auto"/>
              <w:ind w:right="-8"/>
              <w:rPr>
                <w:rFonts w:ascii="Sylfaen" w:hAnsi="Sylfaen"/>
                <w:sz w:val="24"/>
                <w:szCs w:val="24"/>
              </w:rPr>
            </w:pPr>
          </w:p>
        </w:tc>
      </w:tr>
      <w:tr w:rsidR="006F76EB" w:rsidRPr="00834D52" w14:paraId="25C3AB55"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60ED3B5B" w14:textId="77777777" w:rsidR="006F76EB" w:rsidRPr="00834D52" w:rsidRDefault="006F76EB" w:rsidP="00FA28B3">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դոզավորումները կամ կոնցենտրացիաները</w:t>
            </w:r>
          </w:p>
        </w:tc>
        <w:tc>
          <w:tcPr>
            <w:tcW w:w="3794" w:type="dxa"/>
            <w:tcBorders>
              <w:top w:val="single" w:sz="4" w:space="0" w:color="000000"/>
              <w:left w:val="single" w:sz="4" w:space="0" w:color="000000"/>
              <w:bottom w:val="single" w:sz="4" w:space="0" w:color="000000"/>
              <w:right w:val="single" w:sz="4" w:space="0" w:color="000000"/>
            </w:tcBorders>
          </w:tcPr>
          <w:p w14:paraId="080AEA1A" w14:textId="77777777" w:rsidR="006F76EB" w:rsidRPr="00834D52" w:rsidRDefault="006F76EB" w:rsidP="00FA28B3">
            <w:pPr>
              <w:spacing w:after="120" w:line="240" w:lineRule="auto"/>
              <w:ind w:right="-8"/>
              <w:rPr>
                <w:rFonts w:ascii="Sylfaen" w:hAnsi="Sylfaen"/>
                <w:sz w:val="24"/>
                <w:szCs w:val="24"/>
              </w:rPr>
            </w:pPr>
          </w:p>
        </w:tc>
      </w:tr>
      <w:tr w:rsidR="006F76EB" w:rsidRPr="00834D52" w14:paraId="76D43E9D"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5E90A515" w14:textId="77777777" w:rsidR="006F76EB" w:rsidRPr="00834D52" w:rsidRDefault="006F76EB" w:rsidP="00FA28B3">
            <w:pPr>
              <w:tabs>
                <w:tab w:val="left" w:pos="1030"/>
              </w:tabs>
              <w:spacing w:after="120" w:line="240" w:lineRule="auto"/>
              <w:ind w:left="186" w:right="277"/>
              <w:rPr>
                <w:rFonts w:ascii="Sylfaen" w:eastAsia="Times New Roman" w:hAnsi="Sylfaen" w:cs="Times New Roman"/>
                <w:sz w:val="24"/>
                <w:szCs w:val="24"/>
              </w:rPr>
            </w:pPr>
            <w:r w:rsidRPr="00834D52">
              <w:rPr>
                <w:rFonts w:ascii="Sylfaen" w:hAnsi="Sylfaen"/>
                <w:sz w:val="24"/>
                <w:szCs w:val="24"/>
              </w:rPr>
              <w:t>3.2.2.</w:t>
            </w:r>
            <w:r w:rsidRPr="00834D52">
              <w:rPr>
                <w:rFonts w:ascii="Sylfaen" w:hAnsi="Sylfaen"/>
                <w:sz w:val="24"/>
                <w:szCs w:val="24"/>
              </w:rPr>
              <w:tab/>
              <w:t>Ներմուծման եղանակը (օգտագործե՛ք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c>
        <w:tc>
          <w:tcPr>
            <w:tcW w:w="3794" w:type="dxa"/>
            <w:tcBorders>
              <w:top w:val="single" w:sz="4" w:space="0" w:color="000000"/>
              <w:left w:val="single" w:sz="4" w:space="0" w:color="000000"/>
              <w:bottom w:val="single" w:sz="4" w:space="0" w:color="000000"/>
              <w:right w:val="single" w:sz="4" w:space="0" w:color="000000"/>
            </w:tcBorders>
          </w:tcPr>
          <w:p w14:paraId="6E1A0239" w14:textId="77777777" w:rsidR="006F76EB" w:rsidRPr="00834D52" w:rsidRDefault="006F76EB" w:rsidP="00FA28B3">
            <w:pPr>
              <w:spacing w:after="120" w:line="240" w:lineRule="auto"/>
              <w:ind w:right="-8"/>
              <w:rPr>
                <w:rFonts w:ascii="Sylfaen" w:hAnsi="Sylfaen"/>
                <w:sz w:val="24"/>
                <w:szCs w:val="24"/>
              </w:rPr>
            </w:pPr>
          </w:p>
        </w:tc>
      </w:tr>
      <w:tr w:rsidR="006F76EB" w:rsidRPr="00834D52" w14:paraId="0F7294E2"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4772FB41" w14:textId="77777777" w:rsidR="006F76EB" w:rsidRPr="00834D52" w:rsidRDefault="006F76EB" w:rsidP="00FA28B3">
            <w:pPr>
              <w:tabs>
                <w:tab w:val="left" w:pos="1030"/>
              </w:tabs>
              <w:spacing w:after="120" w:line="240" w:lineRule="auto"/>
              <w:ind w:left="186" w:right="277"/>
              <w:rPr>
                <w:rFonts w:ascii="Sylfaen" w:eastAsia="Times New Roman" w:hAnsi="Sylfaen" w:cs="Times New Roman"/>
                <w:sz w:val="24"/>
                <w:szCs w:val="24"/>
              </w:rPr>
            </w:pPr>
            <w:r w:rsidRPr="00834D52">
              <w:rPr>
                <w:rFonts w:ascii="Sylfaen" w:hAnsi="Sylfaen"/>
                <w:sz w:val="24"/>
                <w:szCs w:val="24"/>
              </w:rPr>
              <w:t>3.2.3.</w:t>
            </w:r>
            <w:r w:rsidRPr="00834D52">
              <w:rPr>
                <w:rFonts w:ascii="Sylfaen" w:hAnsi="Sylfaen"/>
                <w:sz w:val="24"/>
                <w:szCs w:val="24"/>
              </w:rPr>
              <w:tab/>
              <w:t xml:space="preserve">Փաթեթվածքը՝ առաջնային </w:t>
            </w:r>
            <w:r w:rsidR="00C54D75">
              <w:rPr>
                <w:rFonts w:ascii="Sylfaen" w:hAnsi="Sylfaen"/>
                <w:sz w:val="24"/>
                <w:szCs w:val="24"/>
              </w:rPr>
              <w:t>և</w:t>
            </w:r>
            <w:r w:rsidRPr="00834D52">
              <w:rPr>
                <w:rFonts w:ascii="Sylfaen" w:hAnsi="Sylfaen"/>
                <w:sz w:val="24"/>
                <w:szCs w:val="24"/>
              </w:rPr>
              <w:t xml:space="preserve"> երկրորդային փաթեթվածք (առկայության դեպքում), խցանափակման համակարգը </w:t>
            </w:r>
            <w:r w:rsidR="00C54D75">
              <w:rPr>
                <w:rFonts w:ascii="Sylfaen" w:hAnsi="Sylfaen"/>
                <w:sz w:val="24"/>
                <w:szCs w:val="24"/>
              </w:rPr>
              <w:t>և</w:t>
            </w:r>
            <w:r w:rsidRPr="00834D52">
              <w:rPr>
                <w:rFonts w:ascii="Sylfaen" w:hAnsi="Sylfaen"/>
                <w:sz w:val="24"/>
                <w:szCs w:val="24"/>
              </w:rPr>
              <w:t xml:space="preserve"> ներմուծման սարքերը՝ ներառյալ այն նյութի նկարագրությունը, որից դրանք պատրաստված են (օգտագործե՛ք դեղաձ</w:t>
            </w:r>
            <w:r w:rsidR="00C54D75">
              <w:rPr>
                <w:rFonts w:ascii="Sylfaen" w:hAnsi="Sylfaen"/>
                <w:sz w:val="24"/>
                <w:szCs w:val="24"/>
              </w:rPr>
              <w:t>և</w:t>
            </w:r>
            <w:r w:rsidRPr="00834D52">
              <w:rPr>
                <w:rFonts w:ascii="Sylfaen" w:hAnsi="Sylfaen"/>
                <w:sz w:val="24"/>
                <w:szCs w:val="24"/>
              </w:rPr>
              <w:t>երի անվանացանկի ստանդարտ եզրույթների ցանկը)</w:t>
            </w:r>
          </w:p>
        </w:tc>
        <w:tc>
          <w:tcPr>
            <w:tcW w:w="3794" w:type="dxa"/>
            <w:tcBorders>
              <w:top w:val="single" w:sz="4" w:space="0" w:color="000000"/>
              <w:left w:val="single" w:sz="4" w:space="0" w:color="000000"/>
              <w:bottom w:val="single" w:sz="4" w:space="0" w:color="000000"/>
              <w:right w:val="single" w:sz="4" w:space="0" w:color="000000"/>
            </w:tcBorders>
          </w:tcPr>
          <w:p w14:paraId="211DCDF3" w14:textId="77777777" w:rsidR="006F76EB" w:rsidRPr="00834D52" w:rsidRDefault="006F76EB" w:rsidP="00FA28B3">
            <w:pPr>
              <w:spacing w:after="120" w:line="240" w:lineRule="auto"/>
              <w:ind w:right="-8"/>
              <w:rPr>
                <w:rFonts w:ascii="Sylfaen" w:hAnsi="Sylfaen"/>
                <w:sz w:val="24"/>
                <w:szCs w:val="24"/>
              </w:rPr>
            </w:pPr>
          </w:p>
        </w:tc>
      </w:tr>
    </w:tbl>
    <w:p w14:paraId="39C65F05" w14:textId="77777777" w:rsidR="006F76EB" w:rsidRPr="00834D52" w:rsidRDefault="006F76EB" w:rsidP="009A0FA0">
      <w:pPr>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Փաթեթվածքի յուրաքանչյուր տեսակի համար նշե՛ք՝</w:t>
      </w:r>
    </w:p>
    <w:p w14:paraId="0A381025"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3.2.3.1.</w:t>
      </w:r>
      <w:r w:rsidRPr="00834D52">
        <w:rPr>
          <w:rFonts w:ascii="Sylfaen" w:hAnsi="Sylfaen"/>
          <w:sz w:val="24"/>
          <w:szCs w:val="24"/>
        </w:rPr>
        <w:tab/>
        <w:t>Դոզավորման միավորների քանակը փաթեթվածքում</w:t>
      </w:r>
    </w:p>
    <w:p w14:paraId="23D0204D"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3.2.3.2.</w:t>
      </w:r>
      <w:r w:rsidRPr="00834D52">
        <w:rPr>
          <w:rFonts w:ascii="Sylfaen" w:hAnsi="Sylfaen"/>
          <w:sz w:val="24"/>
          <w:szCs w:val="24"/>
        </w:rPr>
        <w:tab/>
        <w:t>Պահպանման առաջարկվող ժամկետը</w:t>
      </w:r>
    </w:p>
    <w:p w14:paraId="0274010B"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3.2.3.3.</w:t>
      </w:r>
      <w:r w:rsidRPr="00834D52">
        <w:rPr>
          <w:rFonts w:ascii="Sylfaen" w:hAnsi="Sylfaen"/>
          <w:sz w:val="24"/>
          <w:szCs w:val="24"/>
        </w:rPr>
        <w:tab/>
        <w:t>Պահպանման առաջարկվող ժամկետը (առաջնային կամ միջանկյալ փաթեթվածքն առաջին անգամ բացելուց հետո)</w:t>
      </w:r>
    </w:p>
    <w:p w14:paraId="3758B905"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3.2.3.4.</w:t>
      </w:r>
      <w:r w:rsidRPr="00834D52">
        <w:rPr>
          <w:rFonts w:ascii="Sylfaen" w:hAnsi="Sylfaen"/>
          <w:sz w:val="24"/>
          <w:szCs w:val="24"/>
        </w:rPr>
        <w:tab/>
        <w:t>Պահպանման առաջարկվող ժամկետը (վերականգնումից (լուծումից) կամ նոսրացումից հետո)</w:t>
      </w:r>
    </w:p>
    <w:p w14:paraId="61BECD3B"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3.2.3.5.</w:t>
      </w:r>
      <w:r w:rsidRPr="00834D52">
        <w:rPr>
          <w:rFonts w:ascii="Sylfaen" w:hAnsi="Sylfaen"/>
          <w:sz w:val="24"/>
          <w:szCs w:val="24"/>
        </w:rPr>
        <w:tab/>
        <w:t>Պահպանման առաջարկվող պայմանները</w:t>
      </w:r>
    </w:p>
    <w:p w14:paraId="6FD44E29" w14:textId="77777777" w:rsidR="006F76EB" w:rsidRPr="00834D52" w:rsidRDefault="006F76EB" w:rsidP="009A0FA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3.2.3.6.</w:t>
      </w:r>
      <w:r w:rsidRPr="00834D52">
        <w:rPr>
          <w:rFonts w:ascii="Sylfaen" w:hAnsi="Sylfaen"/>
          <w:sz w:val="24"/>
          <w:szCs w:val="24"/>
        </w:rPr>
        <w:tab/>
        <w:t>Պահպանման առաջարկվող պայմանները փաթեթվածքը (առաջնային կամ միջանկյալ) առաջին անգամ բացելուց հետո</w:t>
      </w:r>
    </w:p>
    <w:p w14:paraId="3EC77328" w14:textId="77777777" w:rsidR="006F76EB" w:rsidRPr="00834D52" w:rsidRDefault="006F76EB" w:rsidP="009A0FA0">
      <w:pPr>
        <w:tabs>
          <w:tab w:val="left" w:pos="1701"/>
        </w:tabs>
        <w:spacing w:after="160" w:line="336" w:lineRule="auto"/>
        <w:ind w:right="-6" w:firstLine="567"/>
        <w:rPr>
          <w:rFonts w:ascii="Sylfaen" w:eastAsia="Times New Roman" w:hAnsi="Sylfaen" w:cs="Times New Roman"/>
          <w:sz w:val="24"/>
          <w:szCs w:val="24"/>
        </w:rPr>
      </w:pPr>
      <w:r w:rsidRPr="00834D52">
        <w:rPr>
          <w:rFonts w:ascii="Sylfaen" w:hAnsi="Sylfaen"/>
          <w:sz w:val="24"/>
          <w:szCs w:val="24"/>
        </w:rPr>
        <w:t>3.2.4.</w:t>
      </w:r>
      <w:r w:rsidRPr="00834D52">
        <w:rPr>
          <w:rFonts w:ascii="Sylfaen" w:hAnsi="Sylfaen"/>
          <w:sz w:val="24"/>
          <w:szCs w:val="24"/>
        </w:rPr>
        <w:tab/>
        <w:t>Ներմուծման սարքերի վերաբերյալ տեղեկատվություն</w:t>
      </w:r>
    </w:p>
    <w:p w14:paraId="04998D8B" w14:textId="77777777" w:rsidR="006F76EB" w:rsidRPr="00834D52" w:rsidRDefault="006F76EB" w:rsidP="009A0FA0">
      <w:pPr>
        <w:tabs>
          <w:tab w:val="left" w:pos="1701"/>
        </w:tabs>
        <w:spacing w:after="160" w:line="336" w:lineRule="auto"/>
        <w:ind w:right="-6" w:firstLine="567"/>
        <w:rPr>
          <w:rFonts w:ascii="Sylfaen" w:hAnsi="Sylfaen"/>
          <w:sz w:val="24"/>
          <w:szCs w:val="24"/>
        </w:rPr>
      </w:pPr>
      <w:r w:rsidRPr="00834D52">
        <w:rPr>
          <w:rFonts w:ascii="Sylfaen" w:hAnsi="Sylfaen"/>
          <w:sz w:val="24"/>
          <w:szCs w:val="24"/>
        </w:rPr>
        <w:t>3.3.</w:t>
      </w:r>
      <w:r w:rsidRPr="00834D52">
        <w:rPr>
          <w:rFonts w:ascii="Sylfaen" w:hAnsi="Sylfaen"/>
          <w:sz w:val="24"/>
          <w:szCs w:val="24"/>
        </w:rPr>
        <w:tab/>
        <w:t>Բացթողման կատեգորիան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85"/>
      </w:tblGrid>
      <w:tr w:rsidR="006F76EB" w:rsidRPr="00834D52" w14:paraId="300A0033" w14:textId="77777777" w:rsidTr="007527B5">
        <w:tc>
          <w:tcPr>
            <w:tcW w:w="4615" w:type="dxa"/>
          </w:tcPr>
          <w:p w14:paraId="11D7AFF7" w14:textId="77777777" w:rsidR="006F76EB" w:rsidRPr="00834D52" w:rsidRDefault="006F76EB" w:rsidP="00F71229">
            <w:pPr>
              <w:spacing w:after="160" w:line="336" w:lineRule="auto"/>
              <w:ind w:right="-6"/>
              <w:rPr>
                <w:rFonts w:ascii="Sylfaen" w:eastAsia="Times New Roman" w:hAnsi="Sylfaen" w:cs="Times New Roman"/>
                <w:sz w:val="24"/>
                <w:szCs w:val="24"/>
              </w:rPr>
            </w:pPr>
          </w:p>
        </w:tc>
        <w:tc>
          <w:tcPr>
            <w:tcW w:w="4685" w:type="dxa"/>
          </w:tcPr>
          <w:p w14:paraId="1A865F7D" w14:textId="77777777" w:rsidR="006F76EB" w:rsidRPr="00834D52" w:rsidRDefault="00157FD9" w:rsidP="00F71229">
            <w:pPr>
              <w:spacing w:after="160" w:line="336" w:lineRule="auto"/>
              <w:ind w:left="632" w:right="-6"/>
              <w:rPr>
                <w:rFonts w:ascii="Sylfaen" w:eastAsia="Times New Roman" w:hAnsi="Sylfaen" w:cs="Times New Roman"/>
                <w:sz w:val="24"/>
                <w:szCs w:val="24"/>
              </w:rPr>
            </w:pPr>
            <w:r>
              <w:rPr>
                <w:rFonts w:ascii="Sylfaen" w:eastAsia="Times New Roman" w:hAnsi="Sylfaen" w:cs="Times New Roman"/>
                <w:noProof/>
                <w:sz w:val="24"/>
                <w:szCs w:val="24"/>
              </w:rPr>
              <w:pict w14:anchorId="55899A0A">
                <v:rect id="_x0000_s1225" style="position:absolute;left:0;text-align:left;margin-left:1.9pt;margin-top:4.3pt;width:12.75pt;height:12pt;z-index:251738624;mso-position-horizontal-relative:text;mso-position-vertical-relative:text"/>
              </w:pict>
            </w:r>
            <w:r w:rsidR="006F76EB" w:rsidRPr="00834D52">
              <w:rPr>
                <w:rFonts w:ascii="Sylfaen" w:hAnsi="Sylfaen"/>
                <w:sz w:val="24"/>
                <w:szCs w:val="24"/>
              </w:rPr>
              <w:t>դեղատոմսով</w:t>
            </w:r>
          </w:p>
        </w:tc>
      </w:tr>
      <w:tr w:rsidR="006F76EB" w:rsidRPr="00834D52" w14:paraId="036123C4" w14:textId="77777777" w:rsidTr="007527B5">
        <w:tc>
          <w:tcPr>
            <w:tcW w:w="4615" w:type="dxa"/>
          </w:tcPr>
          <w:p w14:paraId="0AB66A70" w14:textId="77777777" w:rsidR="006F76EB" w:rsidRPr="00834D52" w:rsidRDefault="006F76EB" w:rsidP="009A0FA0">
            <w:pPr>
              <w:tabs>
                <w:tab w:val="left" w:pos="1134"/>
              </w:tabs>
              <w:spacing w:after="160" w:line="336" w:lineRule="auto"/>
              <w:ind w:right="-6" w:firstLine="567"/>
              <w:rPr>
                <w:rFonts w:ascii="Sylfaen" w:eastAsia="Times New Roman" w:hAnsi="Sylfaen" w:cs="Times New Roman"/>
                <w:sz w:val="24"/>
                <w:szCs w:val="24"/>
              </w:rPr>
            </w:pPr>
            <w:r w:rsidRPr="00834D52">
              <w:rPr>
                <w:rFonts w:ascii="Sylfaen" w:hAnsi="Sylfaen"/>
                <w:sz w:val="24"/>
                <w:szCs w:val="24"/>
              </w:rPr>
              <w:t>3.3.1.</w:t>
            </w:r>
            <w:r w:rsidRPr="00834D52">
              <w:rPr>
                <w:rFonts w:ascii="Sylfaen" w:hAnsi="Sylfaen"/>
                <w:sz w:val="24"/>
                <w:szCs w:val="24"/>
              </w:rPr>
              <w:tab/>
              <w:t>Բացթողման առաջարկվող կատեգորիան.</w:t>
            </w:r>
          </w:p>
        </w:tc>
        <w:tc>
          <w:tcPr>
            <w:tcW w:w="4685" w:type="dxa"/>
          </w:tcPr>
          <w:p w14:paraId="131E1039" w14:textId="77777777" w:rsidR="006F76EB" w:rsidRPr="00834D52" w:rsidRDefault="00157FD9" w:rsidP="00F71229">
            <w:pPr>
              <w:spacing w:after="160" w:line="336" w:lineRule="auto"/>
              <w:ind w:left="632" w:right="-6"/>
              <w:rPr>
                <w:rFonts w:ascii="Sylfaen" w:eastAsia="Times New Roman" w:hAnsi="Sylfaen" w:cs="Times New Roman"/>
                <w:sz w:val="24"/>
                <w:szCs w:val="24"/>
              </w:rPr>
            </w:pPr>
            <w:r>
              <w:rPr>
                <w:rFonts w:ascii="Sylfaen" w:eastAsia="Times New Roman" w:hAnsi="Sylfaen" w:cs="Times New Roman"/>
                <w:noProof/>
                <w:sz w:val="24"/>
                <w:szCs w:val="24"/>
              </w:rPr>
              <w:pict w14:anchorId="1AE766C0">
                <v:rect id="_x0000_s1226" style="position:absolute;left:0;text-align:left;margin-left:1.9pt;margin-top:6.7pt;width:12.75pt;height:12pt;z-index:251739648;mso-position-horizontal-relative:text;mso-position-vertical-relative:text"/>
              </w:pict>
            </w:r>
            <w:r w:rsidR="006F76EB" w:rsidRPr="00834D52">
              <w:rPr>
                <w:rFonts w:ascii="Sylfaen" w:hAnsi="Sylfaen"/>
                <w:sz w:val="24"/>
                <w:szCs w:val="24"/>
              </w:rPr>
              <w:t>առանց դեղատոմսի</w:t>
            </w:r>
          </w:p>
        </w:tc>
      </w:tr>
      <w:tr w:rsidR="006F76EB" w:rsidRPr="00834D52" w14:paraId="54BE74EA" w14:textId="77777777" w:rsidTr="007527B5">
        <w:tc>
          <w:tcPr>
            <w:tcW w:w="4615" w:type="dxa"/>
          </w:tcPr>
          <w:p w14:paraId="40A5CD80" w14:textId="77777777" w:rsidR="006F76EB" w:rsidRPr="00834D52" w:rsidRDefault="006F76EB" w:rsidP="00F71229">
            <w:pPr>
              <w:spacing w:after="160" w:line="336" w:lineRule="auto"/>
              <w:ind w:right="-6"/>
              <w:rPr>
                <w:rFonts w:ascii="Sylfaen" w:eastAsia="Times New Roman" w:hAnsi="Sylfaen" w:cs="Times New Roman"/>
                <w:sz w:val="24"/>
                <w:szCs w:val="24"/>
              </w:rPr>
            </w:pPr>
          </w:p>
        </w:tc>
        <w:tc>
          <w:tcPr>
            <w:tcW w:w="4685" w:type="dxa"/>
          </w:tcPr>
          <w:p w14:paraId="33C9834A" w14:textId="77777777" w:rsidR="006F76EB" w:rsidRPr="00834D52" w:rsidRDefault="00157FD9" w:rsidP="00F71229">
            <w:pPr>
              <w:spacing w:after="160" w:line="336" w:lineRule="auto"/>
              <w:ind w:left="632" w:right="-6"/>
              <w:rPr>
                <w:rFonts w:ascii="Sylfaen" w:eastAsia="Times New Roman" w:hAnsi="Sylfaen" w:cs="Times New Roman"/>
                <w:sz w:val="24"/>
                <w:szCs w:val="24"/>
              </w:rPr>
            </w:pPr>
            <w:r>
              <w:rPr>
                <w:rFonts w:ascii="Sylfaen" w:eastAsia="Times New Roman" w:hAnsi="Sylfaen" w:cs="Times New Roman"/>
                <w:noProof/>
                <w:sz w:val="24"/>
                <w:szCs w:val="24"/>
              </w:rPr>
              <w:pict w14:anchorId="3A5D838E">
                <v:rect id="_x0000_s1227" style="position:absolute;left:0;text-align:left;margin-left:1.9pt;margin-top:5.6pt;width:12.75pt;height:12pt;z-index:251740672;mso-position-horizontal-relative:text;mso-position-vertical-relative:text"/>
              </w:pict>
            </w:r>
            <w:r w:rsidR="006F76EB" w:rsidRPr="00834D52">
              <w:rPr>
                <w:rFonts w:ascii="Sylfaen" w:hAnsi="Sylfaen"/>
                <w:sz w:val="24"/>
                <w:szCs w:val="24"/>
              </w:rPr>
              <w:t>ստացիոնար պայմաններում</w:t>
            </w:r>
          </w:p>
        </w:tc>
      </w:tr>
    </w:tbl>
    <w:p w14:paraId="29981657" w14:textId="77777777" w:rsidR="006F76EB" w:rsidRPr="00834D52" w:rsidRDefault="006F76EB" w:rsidP="009A0FA0">
      <w:pPr>
        <w:tabs>
          <w:tab w:val="left" w:pos="1701"/>
        </w:tabs>
        <w:spacing w:after="160" w:line="336" w:lineRule="auto"/>
        <w:ind w:right="-8" w:firstLine="567"/>
        <w:rPr>
          <w:rFonts w:ascii="Sylfaen" w:eastAsia="Times New Roman" w:hAnsi="Sylfaen" w:cs="Times New Roman"/>
          <w:sz w:val="24"/>
          <w:szCs w:val="24"/>
        </w:rPr>
      </w:pPr>
      <w:r w:rsidRPr="00834D52">
        <w:rPr>
          <w:rFonts w:ascii="Sylfaen" w:hAnsi="Sylfaen"/>
          <w:sz w:val="24"/>
          <w:szCs w:val="24"/>
        </w:rPr>
        <w:t>3.4.</w:t>
      </w:r>
      <w:r w:rsidRPr="00834D52">
        <w:rPr>
          <w:rFonts w:ascii="Sylfaen" w:hAnsi="Sylfaen"/>
          <w:sz w:val="24"/>
          <w:szCs w:val="24"/>
          <w:lang w:val="en-US"/>
        </w:rPr>
        <w:tab/>
      </w:r>
      <w:r w:rsidRPr="00834D52">
        <w:rPr>
          <w:rFonts w:ascii="Sylfaen" w:hAnsi="Sylfaen"/>
          <w:sz w:val="24"/>
          <w:szCs w:val="24"/>
        </w:rPr>
        <w:t>Գրանցման հավաստագրի իրավատերը</w:t>
      </w:r>
    </w:p>
    <w:p w14:paraId="4A9DDF92" w14:textId="77777777" w:rsidR="006F76EB" w:rsidRPr="00834D52" w:rsidRDefault="006F76EB" w:rsidP="009A0FA0">
      <w:pPr>
        <w:tabs>
          <w:tab w:val="left" w:pos="1701"/>
        </w:tabs>
        <w:spacing w:after="160" w:line="336" w:lineRule="auto"/>
        <w:ind w:right="-8" w:firstLine="567"/>
        <w:rPr>
          <w:rFonts w:ascii="Sylfaen" w:eastAsia="Times New Roman" w:hAnsi="Sylfaen" w:cs="Times New Roman"/>
          <w:sz w:val="24"/>
          <w:szCs w:val="24"/>
          <w:lang w:val="en-US"/>
        </w:rPr>
      </w:pPr>
      <w:r w:rsidRPr="00834D52">
        <w:rPr>
          <w:rFonts w:ascii="Sylfaen" w:hAnsi="Sylfaen"/>
          <w:sz w:val="24"/>
          <w:szCs w:val="24"/>
        </w:rPr>
        <w:lastRenderedPageBreak/>
        <w:t>3.4.1.</w:t>
      </w:r>
      <w:r w:rsidRPr="00834D52">
        <w:rPr>
          <w:rFonts w:ascii="Sylfaen" w:hAnsi="Sylfaen"/>
          <w:sz w:val="24"/>
          <w:szCs w:val="24"/>
        </w:rPr>
        <w:tab/>
        <w:t>Գրանցման հավաստագրի իրավատերը՝</w:t>
      </w:r>
    </w:p>
    <w:tbl>
      <w:tblPr>
        <w:tblW w:w="0" w:type="auto"/>
        <w:tblInd w:w="109" w:type="dxa"/>
        <w:tblLayout w:type="fixed"/>
        <w:tblCellMar>
          <w:left w:w="0" w:type="dxa"/>
          <w:right w:w="0" w:type="dxa"/>
        </w:tblCellMar>
        <w:tblLook w:val="01E0" w:firstRow="1" w:lastRow="1" w:firstColumn="1" w:lastColumn="1" w:noHBand="0" w:noVBand="0"/>
      </w:tblPr>
      <w:tblGrid>
        <w:gridCol w:w="5815"/>
        <w:gridCol w:w="3794"/>
      </w:tblGrid>
      <w:tr w:rsidR="006F76EB" w:rsidRPr="00834D52" w14:paraId="79E5DDC1"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2596C752"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3794" w:type="dxa"/>
            <w:tcBorders>
              <w:top w:val="single" w:sz="4" w:space="0" w:color="000000"/>
              <w:left w:val="single" w:sz="4" w:space="0" w:color="000000"/>
              <w:bottom w:val="single" w:sz="4" w:space="0" w:color="000000"/>
              <w:right w:val="single" w:sz="4" w:space="0" w:color="000000"/>
            </w:tcBorders>
          </w:tcPr>
          <w:p w14:paraId="2469621E" w14:textId="77777777" w:rsidR="006F76EB" w:rsidRPr="00834D52" w:rsidRDefault="006F76EB" w:rsidP="009A0FA0">
            <w:pPr>
              <w:spacing w:after="120" w:line="240" w:lineRule="auto"/>
              <w:ind w:right="-8"/>
              <w:rPr>
                <w:rFonts w:ascii="Sylfaen" w:hAnsi="Sylfaen"/>
                <w:sz w:val="24"/>
                <w:szCs w:val="24"/>
              </w:rPr>
            </w:pPr>
          </w:p>
        </w:tc>
      </w:tr>
      <w:tr w:rsidR="006F76EB" w:rsidRPr="00834D52" w14:paraId="2FA3A843"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0279328C"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իրավաբանական հասցեն</w:t>
            </w:r>
          </w:p>
        </w:tc>
        <w:tc>
          <w:tcPr>
            <w:tcW w:w="3794" w:type="dxa"/>
            <w:tcBorders>
              <w:top w:val="single" w:sz="4" w:space="0" w:color="000000"/>
              <w:left w:val="single" w:sz="4" w:space="0" w:color="000000"/>
              <w:bottom w:val="single" w:sz="4" w:space="0" w:color="000000"/>
              <w:right w:val="single" w:sz="4" w:space="0" w:color="000000"/>
            </w:tcBorders>
          </w:tcPr>
          <w:p w14:paraId="7E94DB07" w14:textId="77777777" w:rsidR="006F76EB" w:rsidRPr="00834D52" w:rsidRDefault="006F76EB" w:rsidP="009A0FA0">
            <w:pPr>
              <w:spacing w:after="120" w:line="240" w:lineRule="auto"/>
              <w:ind w:right="-8"/>
              <w:rPr>
                <w:rFonts w:ascii="Sylfaen" w:hAnsi="Sylfaen"/>
                <w:sz w:val="24"/>
                <w:szCs w:val="24"/>
              </w:rPr>
            </w:pPr>
          </w:p>
        </w:tc>
      </w:tr>
      <w:tr w:rsidR="006F76EB" w:rsidRPr="00834D52" w14:paraId="3BF93684"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347AE18A"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պետությունը</w:t>
            </w:r>
          </w:p>
        </w:tc>
        <w:tc>
          <w:tcPr>
            <w:tcW w:w="3794" w:type="dxa"/>
            <w:tcBorders>
              <w:top w:val="single" w:sz="4" w:space="0" w:color="000000"/>
              <w:left w:val="single" w:sz="4" w:space="0" w:color="000000"/>
              <w:bottom w:val="single" w:sz="4" w:space="0" w:color="000000"/>
              <w:right w:val="single" w:sz="4" w:space="0" w:color="000000"/>
            </w:tcBorders>
          </w:tcPr>
          <w:p w14:paraId="692B44BF" w14:textId="77777777" w:rsidR="006F76EB" w:rsidRPr="00834D52" w:rsidRDefault="006F76EB" w:rsidP="009A0FA0">
            <w:pPr>
              <w:spacing w:after="120" w:line="240" w:lineRule="auto"/>
              <w:ind w:right="-8"/>
              <w:rPr>
                <w:rFonts w:ascii="Sylfaen" w:hAnsi="Sylfaen"/>
                <w:sz w:val="24"/>
                <w:szCs w:val="24"/>
              </w:rPr>
            </w:pPr>
          </w:p>
        </w:tc>
      </w:tr>
      <w:tr w:rsidR="006F76EB" w:rsidRPr="00834D52" w14:paraId="452546E0"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62AD4BB4"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794" w:type="dxa"/>
            <w:tcBorders>
              <w:top w:val="single" w:sz="4" w:space="0" w:color="000000"/>
              <w:left w:val="single" w:sz="4" w:space="0" w:color="000000"/>
              <w:bottom w:val="single" w:sz="4" w:space="0" w:color="000000"/>
              <w:right w:val="single" w:sz="4" w:space="0" w:color="000000"/>
            </w:tcBorders>
          </w:tcPr>
          <w:p w14:paraId="2D3E2BDB" w14:textId="77777777" w:rsidR="006F76EB" w:rsidRPr="00834D52" w:rsidRDefault="006F76EB" w:rsidP="009A0FA0">
            <w:pPr>
              <w:spacing w:after="120" w:line="240" w:lineRule="auto"/>
              <w:ind w:right="-8"/>
              <w:rPr>
                <w:rFonts w:ascii="Sylfaen" w:hAnsi="Sylfaen"/>
                <w:sz w:val="24"/>
                <w:szCs w:val="24"/>
              </w:rPr>
            </w:pPr>
          </w:p>
        </w:tc>
      </w:tr>
      <w:tr w:rsidR="006F76EB" w:rsidRPr="00834D52" w14:paraId="5116A610"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421CE2CE"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794" w:type="dxa"/>
            <w:tcBorders>
              <w:top w:val="single" w:sz="4" w:space="0" w:color="000000"/>
              <w:left w:val="single" w:sz="4" w:space="0" w:color="000000"/>
              <w:bottom w:val="single" w:sz="4" w:space="0" w:color="000000"/>
              <w:right w:val="single" w:sz="4" w:space="0" w:color="000000"/>
            </w:tcBorders>
          </w:tcPr>
          <w:p w14:paraId="6935D419" w14:textId="77777777" w:rsidR="006F76EB" w:rsidRPr="00834D52" w:rsidRDefault="006F76EB" w:rsidP="009A0FA0">
            <w:pPr>
              <w:spacing w:after="120" w:line="240" w:lineRule="auto"/>
              <w:ind w:right="-8"/>
              <w:rPr>
                <w:rFonts w:ascii="Sylfaen" w:hAnsi="Sylfaen"/>
                <w:sz w:val="24"/>
                <w:szCs w:val="24"/>
              </w:rPr>
            </w:pPr>
          </w:p>
        </w:tc>
      </w:tr>
    </w:tbl>
    <w:p w14:paraId="6CED8BA0" w14:textId="77777777" w:rsidR="006F76EB" w:rsidRPr="00834D52" w:rsidRDefault="006F76EB" w:rsidP="009A0FA0">
      <w:pPr>
        <w:tabs>
          <w:tab w:val="left" w:pos="1701"/>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3.4.2.</w:t>
      </w:r>
      <w:r w:rsidRPr="00834D52">
        <w:rPr>
          <w:rFonts w:ascii="Sylfaen" w:hAnsi="Sylfaen"/>
          <w:sz w:val="24"/>
          <w:szCs w:val="24"/>
        </w:rPr>
        <w:tab/>
        <w:t>Գրանցման հավաստագրի իրավատիրոջ ներկայացուցիչը (գրանցման հավաստագրի իրավատիրոջ անունից հանդես եկող անձը՝ հայտատուն)՝</w:t>
      </w:r>
    </w:p>
    <w:tbl>
      <w:tblPr>
        <w:tblW w:w="9609" w:type="dxa"/>
        <w:tblInd w:w="109" w:type="dxa"/>
        <w:tblLayout w:type="fixed"/>
        <w:tblCellMar>
          <w:left w:w="0" w:type="dxa"/>
          <w:right w:w="0" w:type="dxa"/>
        </w:tblCellMar>
        <w:tblLook w:val="01E0" w:firstRow="1" w:lastRow="1" w:firstColumn="1" w:lastColumn="1" w:noHBand="0" w:noVBand="0"/>
      </w:tblPr>
      <w:tblGrid>
        <w:gridCol w:w="5815"/>
        <w:gridCol w:w="3794"/>
      </w:tblGrid>
      <w:tr w:rsidR="006F76EB" w:rsidRPr="00834D52" w14:paraId="4916E255"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701274D4"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իրավաբանական անձի անվանումը կամ ֆիզիկական անձի ազգանունը, անունը, հայրանունը</w:t>
            </w:r>
          </w:p>
        </w:tc>
        <w:tc>
          <w:tcPr>
            <w:tcW w:w="3794" w:type="dxa"/>
            <w:tcBorders>
              <w:top w:val="single" w:sz="4" w:space="0" w:color="000000"/>
              <w:left w:val="single" w:sz="4" w:space="0" w:color="000000"/>
              <w:bottom w:val="single" w:sz="4" w:space="0" w:color="000000"/>
              <w:right w:val="single" w:sz="4" w:space="0" w:color="000000"/>
            </w:tcBorders>
          </w:tcPr>
          <w:p w14:paraId="0F18E506" w14:textId="77777777" w:rsidR="006F76EB" w:rsidRPr="00834D52" w:rsidRDefault="006F76EB" w:rsidP="009A0FA0">
            <w:pPr>
              <w:spacing w:after="120" w:line="240" w:lineRule="auto"/>
              <w:ind w:right="-8"/>
              <w:rPr>
                <w:rFonts w:ascii="Sylfaen" w:hAnsi="Sylfaen"/>
                <w:sz w:val="24"/>
                <w:szCs w:val="24"/>
              </w:rPr>
            </w:pPr>
          </w:p>
        </w:tc>
      </w:tr>
      <w:tr w:rsidR="006F76EB" w:rsidRPr="00834D52" w14:paraId="0C9D70F6"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0DF5B7D7"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794" w:type="dxa"/>
            <w:tcBorders>
              <w:top w:val="single" w:sz="4" w:space="0" w:color="000000"/>
              <w:left w:val="single" w:sz="4" w:space="0" w:color="000000"/>
              <w:bottom w:val="single" w:sz="4" w:space="0" w:color="000000"/>
              <w:right w:val="single" w:sz="4" w:space="0" w:color="000000"/>
            </w:tcBorders>
          </w:tcPr>
          <w:p w14:paraId="269A683B" w14:textId="77777777" w:rsidR="006F76EB" w:rsidRPr="00834D52" w:rsidRDefault="006F76EB" w:rsidP="009A0FA0">
            <w:pPr>
              <w:spacing w:after="120" w:line="240" w:lineRule="auto"/>
              <w:ind w:right="-8"/>
              <w:rPr>
                <w:rFonts w:ascii="Sylfaen" w:hAnsi="Sylfaen"/>
                <w:sz w:val="24"/>
                <w:szCs w:val="24"/>
              </w:rPr>
            </w:pPr>
          </w:p>
        </w:tc>
      </w:tr>
      <w:tr w:rsidR="006F76EB" w:rsidRPr="00834D52" w14:paraId="6A9A8375" w14:textId="77777777" w:rsidTr="00F71229">
        <w:tc>
          <w:tcPr>
            <w:tcW w:w="5815" w:type="dxa"/>
            <w:tcBorders>
              <w:top w:val="single" w:sz="4" w:space="0" w:color="000000"/>
              <w:left w:val="single" w:sz="4" w:space="0" w:color="000000"/>
              <w:bottom w:val="single" w:sz="4" w:space="0" w:color="000000"/>
              <w:right w:val="single" w:sz="4" w:space="0" w:color="000000"/>
            </w:tcBorders>
          </w:tcPr>
          <w:p w14:paraId="0F033276"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794" w:type="dxa"/>
            <w:tcBorders>
              <w:top w:val="single" w:sz="4" w:space="0" w:color="000000"/>
              <w:left w:val="single" w:sz="4" w:space="0" w:color="000000"/>
              <w:bottom w:val="single" w:sz="4" w:space="0" w:color="000000"/>
              <w:right w:val="single" w:sz="4" w:space="0" w:color="000000"/>
            </w:tcBorders>
          </w:tcPr>
          <w:p w14:paraId="08B388FA" w14:textId="77777777" w:rsidR="006F76EB" w:rsidRPr="00834D52" w:rsidRDefault="006F76EB" w:rsidP="009A0FA0">
            <w:pPr>
              <w:spacing w:after="120" w:line="240" w:lineRule="auto"/>
              <w:ind w:right="-8"/>
              <w:rPr>
                <w:rFonts w:ascii="Sylfaen" w:hAnsi="Sylfaen"/>
                <w:sz w:val="24"/>
                <w:szCs w:val="24"/>
              </w:rPr>
            </w:pPr>
          </w:p>
        </w:tc>
      </w:tr>
    </w:tbl>
    <w:p w14:paraId="44B218E3"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Սույն կետը լրացնելիս կցե՛ք գրանցման հավաստագրի իրավատիրոջ անունից իրավաբանական նշանակություն ունեցող գործողություններ կատարելու լիազորագիրը (սույն հայտի հավելվածի 5.1 ենթակետ):</w:t>
      </w:r>
    </w:p>
    <w:p w14:paraId="7F71A031" w14:textId="77777777" w:rsidR="006F76EB" w:rsidRPr="00834D52" w:rsidRDefault="006F76EB" w:rsidP="009A0FA0">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3.4.3.</w:t>
      </w:r>
      <w:r w:rsidRPr="00834D52">
        <w:rPr>
          <w:rFonts w:ascii="Sylfaen" w:hAnsi="Sylfaen"/>
          <w:sz w:val="24"/>
          <w:szCs w:val="24"/>
        </w:rPr>
        <w:tab/>
        <w:t>Դեղապատրաստուկի գրանցումից հետո հայտատուի ներկայացուցիչը (հայտատուի անունից հանդես եկող անձը), եթե նրանք տարբերվում են սույն հայտի 3.4.2 ենթակետում ներկայացվածներից՝</w:t>
      </w:r>
    </w:p>
    <w:tbl>
      <w:tblPr>
        <w:tblW w:w="9610" w:type="dxa"/>
        <w:tblInd w:w="109" w:type="dxa"/>
        <w:tblLayout w:type="fixed"/>
        <w:tblCellMar>
          <w:left w:w="0" w:type="dxa"/>
          <w:right w:w="0" w:type="dxa"/>
        </w:tblCellMar>
        <w:tblLook w:val="01E0" w:firstRow="1" w:lastRow="1" w:firstColumn="1" w:lastColumn="1" w:noHBand="0" w:noVBand="0"/>
      </w:tblPr>
      <w:tblGrid>
        <w:gridCol w:w="5992"/>
        <w:gridCol w:w="3618"/>
      </w:tblGrid>
      <w:tr w:rsidR="006F76EB" w:rsidRPr="00834D52" w14:paraId="4E7B35A1" w14:textId="77777777" w:rsidTr="00827072">
        <w:tc>
          <w:tcPr>
            <w:tcW w:w="5992" w:type="dxa"/>
            <w:tcBorders>
              <w:top w:val="single" w:sz="4" w:space="0" w:color="000000"/>
              <w:left w:val="single" w:sz="4" w:space="0" w:color="000000"/>
              <w:bottom w:val="single" w:sz="4" w:space="0" w:color="000000"/>
              <w:right w:val="single" w:sz="4" w:space="0" w:color="000000"/>
            </w:tcBorders>
          </w:tcPr>
          <w:p w14:paraId="451B6EF0"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հայտատուի ներկայացուցչի ազգանունը, անունը, հայրանունը կամ իրավաբանական անձի անվանումը</w:t>
            </w:r>
          </w:p>
        </w:tc>
        <w:tc>
          <w:tcPr>
            <w:tcW w:w="3618" w:type="dxa"/>
            <w:tcBorders>
              <w:top w:val="single" w:sz="4" w:space="0" w:color="000000"/>
              <w:left w:val="single" w:sz="4" w:space="0" w:color="000000"/>
              <w:bottom w:val="single" w:sz="4" w:space="0" w:color="000000"/>
              <w:right w:val="single" w:sz="4" w:space="0" w:color="000000"/>
            </w:tcBorders>
          </w:tcPr>
          <w:p w14:paraId="487BBFD5" w14:textId="77777777" w:rsidR="006F76EB" w:rsidRPr="00834D52" w:rsidRDefault="006F76EB" w:rsidP="009A0FA0">
            <w:pPr>
              <w:spacing w:after="120" w:line="240" w:lineRule="auto"/>
              <w:ind w:right="-8"/>
              <w:rPr>
                <w:rFonts w:ascii="Sylfaen" w:hAnsi="Sylfaen"/>
                <w:sz w:val="24"/>
                <w:szCs w:val="24"/>
              </w:rPr>
            </w:pPr>
          </w:p>
        </w:tc>
      </w:tr>
      <w:tr w:rsidR="006F76EB" w:rsidRPr="00834D52" w14:paraId="2A84D8FE" w14:textId="77777777" w:rsidTr="00827072">
        <w:tc>
          <w:tcPr>
            <w:tcW w:w="5992" w:type="dxa"/>
            <w:tcBorders>
              <w:top w:val="single" w:sz="4" w:space="0" w:color="000000"/>
              <w:left w:val="single" w:sz="4" w:space="0" w:color="000000"/>
              <w:bottom w:val="single" w:sz="4" w:space="0" w:color="000000"/>
              <w:right w:val="single" w:sz="4" w:space="0" w:color="000000"/>
            </w:tcBorders>
          </w:tcPr>
          <w:p w14:paraId="67C546DD"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իրավաբանական անձի իրավաբանական հասցեն</w:t>
            </w:r>
          </w:p>
        </w:tc>
        <w:tc>
          <w:tcPr>
            <w:tcW w:w="3618" w:type="dxa"/>
            <w:tcBorders>
              <w:top w:val="single" w:sz="4" w:space="0" w:color="000000"/>
              <w:left w:val="single" w:sz="4" w:space="0" w:color="000000"/>
              <w:bottom w:val="single" w:sz="4" w:space="0" w:color="000000"/>
              <w:right w:val="single" w:sz="4" w:space="0" w:color="000000"/>
            </w:tcBorders>
          </w:tcPr>
          <w:p w14:paraId="163C8346" w14:textId="77777777" w:rsidR="006F76EB" w:rsidRPr="00834D52" w:rsidRDefault="006F76EB" w:rsidP="009A0FA0">
            <w:pPr>
              <w:spacing w:after="120" w:line="240" w:lineRule="auto"/>
              <w:ind w:right="-8"/>
              <w:rPr>
                <w:rFonts w:ascii="Sylfaen" w:hAnsi="Sylfaen"/>
                <w:sz w:val="24"/>
                <w:szCs w:val="24"/>
              </w:rPr>
            </w:pPr>
          </w:p>
        </w:tc>
      </w:tr>
      <w:tr w:rsidR="006F76EB" w:rsidRPr="00834D52" w14:paraId="7B21D15C" w14:textId="77777777" w:rsidTr="00827072">
        <w:tc>
          <w:tcPr>
            <w:tcW w:w="5992" w:type="dxa"/>
            <w:tcBorders>
              <w:top w:val="single" w:sz="4" w:space="0" w:color="000000"/>
              <w:left w:val="single" w:sz="4" w:space="0" w:color="000000"/>
              <w:bottom w:val="single" w:sz="4" w:space="0" w:color="000000"/>
              <w:right w:val="single" w:sz="4" w:space="0" w:color="000000"/>
            </w:tcBorders>
          </w:tcPr>
          <w:p w14:paraId="45854377"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պետությունը</w:t>
            </w:r>
          </w:p>
        </w:tc>
        <w:tc>
          <w:tcPr>
            <w:tcW w:w="3618" w:type="dxa"/>
            <w:tcBorders>
              <w:top w:val="single" w:sz="4" w:space="0" w:color="000000"/>
              <w:left w:val="single" w:sz="4" w:space="0" w:color="000000"/>
              <w:bottom w:val="single" w:sz="4" w:space="0" w:color="000000"/>
              <w:right w:val="single" w:sz="4" w:space="0" w:color="000000"/>
            </w:tcBorders>
          </w:tcPr>
          <w:p w14:paraId="247A191A" w14:textId="77777777" w:rsidR="006F76EB" w:rsidRPr="00834D52" w:rsidRDefault="006F76EB" w:rsidP="009A0FA0">
            <w:pPr>
              <w:spacing w:after="120" w:line="240" w:lineRule="auto"/>
              <w:ind w:right="-8"/>
              <w:rPr>
                <w:rFonts w:ascii="Sylfaen" w:hAnsi="Sylfaen"/>
                <w:sz w:val="24"/>
                <w:szCs w:val="24"/>
              </w:rPr>
            </w:pPr>
          </w:p>
        </w:tc>
      </w:tr>
      <w:tr w:rsidR="006F76EB" w:rsidRPr="00834D52" w14:paraId="0F3D10FE" w14:textId="77777777" w:rsidTr="00827072">
        <w:tc>
          <w:tcPr>
            <w:tcW w:w="5992" w:type="dxa"/>
            <w:tcBorders>
              <w:top w:val="single" w:sz="4" w:space="0" w:color="000000"/>
              <w:left w:val="single" w:sz="4" w:space="0" w:color="000000"/>
              <w:bottom w:val="single" w:sz="4" w:space="0" w:color="000000"/>
              <w:right w:val="single" w:sz="4" w:space="0" w:color="000000"/>
            </w:tcBorders>
          </w:tcPr>
          <w:p w14:paraId="5B69AB3C"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618" w:type="dxa"/>
            <w:tcBorders>
              <w:top w:val="single" w:sz="4" w:space="0" w:color="000000"/>
              <w:left w:val="single" w:sz="4" w:space="0" w:color="000000"/>
              <w:bottom w:val="single" w:sz="4" w:space="0" w:color="000000"/>
              <w:right w:val="single" w:sz="4" w:space="0" w:color="000000"/>
            </w:tcBorders>
          </w:tcPr>
          <w:p w14:paraId="7FDAFD87" w14:textId="77777777" w:rsidR="006F76EB" w:rsidRPr="00834D52" w:rsidRDefault="006F76EB" w:rsidP="009A0FA0">
            <w:pPr>
              <w:spacing w:after="120" w:line="240" w:lineRule="auto"/>
              <w:ind w:right="-8"/>
              <w:rPr>
                <w:rFonts w:ascii="Sylfaen" w:hAnsi="Sylfaen"/>
                <w:sz w:val="24"/>
                <w:szCs w:val="24"/>
              </w:rPr>
            </w:pPr>
          </w:p>
        </w:tc>
      </w:tr>
      <w:tr w:rsidR="006F76EB" w:rsidRPr="00834D52" w14:paraId="478D7880" w14:textId="77777777" w:rsidTr="00827072">
        <w:tc>
          <w:tcPr>
            <w:tcW w:w="5992" w:type="dxa"/>
            <w:tcBorders>
              <w:top w:val="single" w:sz="4" w:space="0" w:color="000000"/>
              <w:left w:val="single" w:sz="4" w:space="0" w:color="000000"/>
              <w:bottom w:val="single" w:sz="4" w:space="0" w:color="000000"/>
              <w:right w:val="single" w:sz="4" w:space="0" w:color="000000"/>
            </w:tcBorders>
          </w:tcPr>
          <w:p w14:paraId="34C197F2" w14:textId="77777777" w:rsidR="006F76EB" w:rsidRPr="00834D52" w:rsidRDefault="006F76EB" w:rsidP="009A0FA0">
            <w:pPr>
              <w:spacing w:after="120" w:line="240" w:lineRule="auto"/>
              <w:ind w:left="186" w:right="277"/>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618" w:type="dxa"/>
            <w:tcBorders>
              <w:top w:val="single" w:sz="4" w:space="0" w:color="000000"/>
              <w:left w:val="single" w:sz="4" w:space="0" w:color="000000"/>
              <w:bottom w:val="single" w:sz="4" w:space="0" w:color="000000"/>
              <w:right w:val="single" w:sz="4" w:space="0" w:color="000000"/>
            </w:tcBorders>
          </w:tcPr>
          <w:p w14:paraId="01EEF72F" w14:textId="77777777" w:rsidR="006F76EB" w:rsidRPr="00834D52" w:rsidRDefault="006F76EB" w:rsidP="009A0FA0">
            <w:pPr>
              <w:spacing w:after="120" w:line="240" w:lineRule="auto"/>
              <w:ind w:right="-8"/>
              <w:rPr>
                <w:rFonts w:ascii="Sylfaen" w:hAnsi="Sylfaen"/>
                <w:sz w:val="24"/>
                <w:szCs w:val="24"/>
              </w:rPr>
            </w:pPr>
          </w:p>
        </w:tc>
      </w:tr>
    </w:tbl>
    <w:p w14:paraId="1954A9B6" w14:textId="77777777" w:rsidR="006F76EB" w:rsidRPr="009A0FA0" w:rsidRDefault="006F76EB" w:rsidP="006F76EB">
      <w:pPr>
        <w:spacing w:after="160" w:line="360" w:lineRule="auto"/>
        <w:ind w:right="-8" w:firstLine="567"/>
        <w:jc w:val="both"/>
        <w:rPr>
          <w:rFonts w:ascii="Sylfaen" w:eastAsia="Times New Roman" w:hAnsi="Sylfaen" w:cs="Times New Roman"/>
          <w:spacing w:val="-6"/>
          <w:sz w:val="24"/>
          <w:szCs w:val="24"/>
        </w:rPr>
      </w:pPr>
      <w:r w:rsidRPr="009A0FA0">
        <w:rPr>
          <w:rFonts w:ascii="Sylfaen" w:hAnsi="Sylfaen"/>
          <w:spacing w:val="-6"/>
          <w:sz w:val="24"/>
          <w:szCs w:val="24"/>
        </w:rPr>
        <w:t>Սույն կետը լրացնելիս կցե՛ք լիազորագիրը (սույն հայտի հավելվածի 5.1 ենթակետ):</w:t>
      </w:r>
    </w:p>
    <w:p w14:paraId="5FFF621D" w14:textId="77777777" w:rsidR="006F76EB" w:rsidRPr="00834D52" w:rsidRDefault="006F76EB" w:rsidP="00827072">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3.4.4.</w:t>
      </w:r>
      <w:r w:rsidRPr="00834D52">
        <w:rPr>
          <w:rFonts w:ascii="Sylfaen" w:hAnsi="Sylfaen"/>
          <w:sz w:val="24"/>
          <w:szCs w:val="24"/>
        </w:rPr>
        <w:tab/>
        <w:t>Գրանցման հավաստագրի իրավատիրոջ՝ դեղազգոնության համար պատասխանատու լիազորված անձը՝</w:t>
      </w:r>
    </w:p>
    <w:tbl>
      <w:tblPr>
        <w:tblStyle w:val="TableGrid"/>
        <w:tblW w:w="0" w:type="auto"/>
        <w:tblInd w:w="250" w:type="dxa"/>
        <w:tblLook w:val="04A0" w:firstRow="1" w:lastRow="0" w:firstColumn="1" w:lastColumn="0" w:noHBand="0" w:noVBand="1"/>
      </w:tblPr>
      <w:tblGrid>
        <w:gridCol w:w="5954"/>
        <w:gridCol w:w="3096"/>
      </w:tblGrid>
      <w:tr w:rsidR="006F76EB" w:rsidRPr="00834D52" w14:paraId="6A5B8E19" w14:textId="77777777" w:rsidTr="00183A19">
        <w:tc>
          <w:tcPr>
            <w:tcW w:w="5954" w:type="dxa"/>
          </w:tcPr>
          <w:p w14:paraId="6363D8CF" w14:textId="77777777" w:rsidR="006F76EB" w:rsidRPr="00834D52" w:rsidRDefault="006F76EB" w:rsidP="00827072">
            <w:pPr>
              <w:spacing w:after="120"/>
              <w:ind w:right="-6"/>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w:t>
            </w:r>
          </w:p>
        </w:tc>
        <w:tc>
          <w:tcPr>
            <w:tcW w:w="3096" w:type="dxa"/>
          </w:tcPr>
          <w:p w14:paraId="08817B15" w14:textId="77777777" w:rsidR="006F76EB" w:rsidRPr="00834D52" w:rsidRDefault="006F76EB" w:rsidP="00827072">
            <w:pPr>
              <w:spacing w:after="120"/>
              <w:ind w:right="-6"/>
              <w:rPr>
                <w:rFonts w:ascii="Sylfaen" w:hAnsi="Sylfaen"/>
                <w:sz w:val="24"/>
                <w:szCs w:val="24"/>
              </w:rPr>
            </w:pPr>
          </w:p>
        </w:tc>
      </w:tr>
      <w:tr w:rsidR="006F76EB" w:rsidRPr="00834D52" w14:paraId="66660C59" w14:textId="77777777" w:rsidTr="00183A19">
        <w:tc>
          <w:tcPr>
            <w:tcW w:w="5954" w:type="dxa"/>
          </w:tcPr>
          <w:p w14:paraId="55673B22" w14:textId="77777777" w:rsidR="006F76EB" w:rsidRPr="00834D52" w:rsidRDefault="006F76EB" w:rsidP="00827072">
            <w:pPr>
              <w:spacing w:after="120"/>
              <w:ind w:left="112"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անվանումը</w:t>
            </w:r>
          </w:p>
        </w:tc>
        <w:tc>
          <w:tcPr>
            <w:tcW w:w="3096" w:type="dxa"/>
          </w:tcPr>
          <w:p w14:paraId="74547053" w14:textId="77777777" w:rsidR="006F76EB" w:rsidRPr="00834D52" w:rsidRDefault="006F76EB" w:rsidP="00827072">
            <w:pPr>
              <w:spacing w:after="120"/>
              <w:ind w:right="-6"/>
              <w:rPr>
                <w:rFonts w:ascii="Sylfaen" w:hAnsi="Sylfaen"/>
                <w:sz w:val="24"/>
                <w:szCs w:val="24"/>
              </w:rPr>
            </w:pPr>
          </w:p>
        </w:tc>
      </w:tr>
      <w:tr w:rsidR="006F76EB" w:rsidRPr="00834D52" w14:paraId="1DDC4F64" w14:textId="77777777" w:rsidTr="00183A19">
        <w:tc>
          <w:tcPr>
            <w:tcW w:w="5954" w:type="dxa"/>
          </w:tcPr>
          <w:p w14:paraId="73F49742" w14:textId="77777777" w:rsidR="006F76EB" w:rsidRPr="00834D52" w:rsidRDefault="006F76EB" w:rsidP="00827072">
            <w:pPr>
              <w:spacing w:after="120"/>
              <w:ind w:left="112"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իրավաբանական հասցեն</w:t>
            </w:r>
          </w:p>
        </w:tc>
        <w:tc>
          <w:tcPr>
            <w:tcW w:w="3096" w:type="dxa"/>
          </w:tcPr>
          <w:p w14:paraId="095BB285" w14:textId="77777777" w:rsidR="006F76EB" w:rsidRPr="00834D52" w:rsidRDefault="006F76EB" w:rsidP="00827072">
            <w:pPr>
              <w:spacing w:after="120"/>
              <w:ind w:right="-6"/>
              <w:rPr>
                <w:rFonts w:ascii="Sylfaen" w:hAnsi="Sylfaen"/>
                <w:sz w:val="24"/>
                <w:szCs w:val="24"/>
              </w:rPr>
            </w:pPr>
          </w:p>
        </w:tc>
      </w:tr>
      <w:tr w:rsidR="006F76EB" w:rsidRPr="00834D52" w14:paraId="2151584D" w14:textId="77777777" w:rsidTr="00183A19">
        <w:tc>
          <w:tcPr>
            <w:tcW w:w="5954" w:type="dxa"/>
          </w:tcPr>
          <w:p w14:paraId="27DE7636" w14:textId="77777777" w:rsidR="006F76EB" w:rsidRPr="00834D52" w:rsidRDefault="006F76EB" w:rsidP="00827072">
            <w:pPr>
              <w:spacing w:after="120"/>
              <w:ind w:left="112" w:right="-6"/>
              <w:rPr>
                <w:rFonts w:ascii="Sylfaen" w:eastAsia="Times New Roman" w:hAnsi="Sylfaen" w:cs="Times New Roman"/>
                <w:sz w:val="24"/>
                <w:szCs w:val="24"/>
              </w:rPr>
            </w:pPr>
            <w:r w:rsidRPr="00834D52">
              <w:rPr>
                <w:rFonts w:ascii="Sylfaen" w:hAnsi="Sylfaen"/>
                <w:sz w:val="24"/>
                <w:szCs w:val="24"/>
              </w:rPr>
              <w:t>պետությունը</w:t>
            </w:r>
          </w:p>
        </w:tc>
        <w:tc>
          <w:tcPr>
            <w:tcW w:w="3096" w:type="dxa"/>
          </w:tcPr>
          <w:p w14:paraId="1C69C904" w14:textId="77777777" w:rsidR="006F76EB" w:rsidRPr="00834D52" w:rsidRDefault="006F76EB" w:rsidP="00827072">
            <w:pPr>
              <w:spacing w:after="120"/>
              <w:ind w:right="-6"/>
              <w:rPr>
                <w:rFonts w:ascii="Sylfaen" w:hAnsi="Sylfaen"/>
                <w:sz w:val="24"/>
                <w:szCs w:val="24"/>
              </w:rPr>
            </w:pPr>
          </w:p>
        </w:tc>
      </w:tr>
      <w:tr w:rsidR="006F76EB" w:rsidRPr="00834D52" w14:paraId="4C46667C" w14:textId="77777777" w:rsidTr="00183A19">
        <w:tc>
          <w:tcPr>
            <w:tcW w:w="5954" w:type="dxa"/>
          </w:tcPr>
          <w:p w14:paraId="48B53E24" w14:textId="77777777" w:rsidR="006F76EB" w:rsidRPr="00834D52" w:rsidRDefault="006F76EB" w:rsidP="00827072">
            <w:pPr>
              <w:spacing w:after="120"/>
              <w:ind w:left="112" w:right="-6"/>
              <w:rPr>
                <w:rFonts w:ascii="Sylfaen" w:eastAsia="Times New Roman" w:hAnsi="Sylfaen" w:cs="Times New Roman"/>
                <w:sz w:val="24"/>
                <w:szCs w:val="24"/>
              </w:rPr>
            </w:pPr>
            <w:r w:rsidRPr="00834D52">
              <w:rPr>
                <w:rFonts w:ascii="Sylfaen" w:hAnsi="Sylfaen"/>
                <w:sz w:val="24"/>
                <w:szCs w:val="24"/>
              </w:rPr>
              <w:t xml:space="preserve">շուրջօրյա հեռախոսահամարը </w:t>
            </w:r>
            <w:r w:rsidR="00C54D75">
              <w:rPr>
                <w:rFonts w:ascii="Sylfaen" w:hAnsi="Sylfaen"/>
                <w:sz w:val="24"/>
                <w:szCs w:val="24"/>
              </w:rPr>
              <w:t>և</w:t>
            </w:r>
            <w:r w:rsidRPr="00834D52">
              <w:rPr>
                <w:rFonts w:ascii="Sylfaen" w:hAnsi="Sylfaen"/>
                <w:sz w:val="24"/>
                <w:szCs w:val="24"/>
              </w:rPr>
              <w:t xml:space="preserve"> ֆաքսի համարը</w:t>
            </w:r>
          </w:p>
        </w:tc>
        <w:tc>
          <w:tcPr>
            <w:tcW w:w="3096" w:type="dxa"/>
          </w:tcPr>
          <w:p w14:paraId="6C1DBF72" w14:textId="77777777" w:rsidR="006F76EB" w:rsidRPr="00834D52" w:rsidRDefault="006F76EB" w:rsidP="00827072">
            <w:pPr>
              <w:spacing w:after="120"/>
              <w:ind w:right="-6"/>
              <w:rPr>
                <w:rFonts w:ascii="Sylfaen" w:hAnsi="Sylfaen"/>
                <w:sz w:val="24"/>
                <w:szCs w:val="24"/>
              </w:rPr>
            </w:pPr>
          </w:p>
        </w:tc>
      </w:tr>
      <w:tr w:rsidR="006F76EB" w:rsidRPr="00834D52" w14:paraId="04259F83" w14:textId="77777777" w:rsidTr="00183A19">
        <w:tc>
          <w:tcPr>
            <w:tcW w:w="5954" w:type="dxa"/>
          </w:tcPr>
          <w:p w14:paraId="43D67671" w14:textId="77777777" w:rsidR="006F76EB" w:rsidRPr="00834D52" w:rsidRDefault="006F76EB" w:rsidP="00827072">
            <w:pPr>
              <w:spacing w:after="120"/>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096" w:type="dxa"/>
          </w:tcPr>
          <w:p w14:paraId="158AAD43" w14:textId="77777777" w:rsidR="006F76EB" w:rsidRPr="00834D52" w:rsidRDefault="006F76EB" w:rsidP="00827072">
            <w:pPr>
              <w:spacing w:after="120"/>
              <w:ind w:right="-6"/>
              <w:rPr>
                <w:rFonts w:ascii="Sylfaen" w:hAnsi="Sylfaen"/>
                <w:sz w:val="24"/>
                <w:szCs w:val="24"/>
              </w:rPr>
            </w:pPr>
          </w:p>
        </w:tc>
      </w:tr>
    </w:tbl>
    <w:p w14:paraId="32651299"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Նշե՛ք գրանցման հավաստագրի իրավատիրոջ՝ դեղազգոնության համար պատասխանատու լիազորված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w:t>
      </w:r>
    </w:p>
    <w:tbl>
      <w:tblPr>
        <w:tblStyle w:val="TableGrid"/>
        <w:tblW w:w="9639" w:type="dxa"/>
        <w:tblInd w:w="250" w:type="dxa"/>
        <w:tblLook w:val="04A0" w:firstRow="1" w:lastRow="0" w:firstColumn="1" w:lastColumn="0" w:noHBand="0" w:noVBand="1"/>
      </w:tblPr>
      <w:tblGrid>
        <w:gridCol w:w="9639"/>
      </w:tblGrid>
      <w:tr w:rsidR="006F76EB" w:rsidRPr="00834D52" w14:paraId="304E61A4" w14:textId="77777777" w:rsidTr="00F71229">
        <w:tc>
          <w:tcPr>
            <w:tcW w:w="9639" w:type="dxa"/>
          </w:tcPr>
          <w:p w14:paraId="6A873F49" w14:textId="77777777" w:rsidR="006F76EB" w:rsidRPr="00834D52" w:rsidRDefault="006F76EB" w:rsidP="00183A19">
            <w:pPr>
              <w:spacing w:after="120"/>
              <w:ind w:right="-6"/>
              <w:jc w:val="both"/>
              <w:rPr>
                <w:rFonts w:ascii="Sylfaen" w:eastAsia="Times New Roman" w:hAnsi="Sylfaen" w:cs="Times New Roman"/>
                <w:sz w:val="24"/>
                <w:szCs w:val="24"/>
              </w:rPr>
            </w:pPr>
            <w:r w:rsidRPr="00834D52">
              <w:rPr>
                <w:rFonts w:ascii="Sylfaen" w:hAnsi="Sylfaen"/>
                <w:sz w:val="24"/>
                <w:szCs w:val="24"/>
              </w:rPr>
              <w:t>դեղազգոնության մաստեր-ֆայլը՝</w:t>
            </w:r>
          </w:p>
          <w:p w14:paraId="6193CD34" w14:textId="77777777" w:rsidR="006F76EB" w:rsidRPr="00834D52" w:rsidRDefault="006F76EB" w:rsidP="00183A19">
            <w:pPr>
              <w:spacing w:after="120"/>
              <w:ind w:right="-6"/>
              <w:jc w:val="both"/>
              <w:rPr>
                <w:rFonts w:ascii="Sylfaen" w:eastAsia="Times New Roman" w:hAnsi="Sylfaen" w:cs="Times New Roman"/>
                <w:sz w:val="24"/>
                <w:szCs w:val="24"/>
              </w:rPr>
            </w:pPr>
            <w:r w:rsidRPr="00834D52">
              <w:rPr>
                <w:rFonts w:ascii="Sylfaen" w:hAnsi="Sylfaen"/>
                <w:sz w:val="24"/>
                <w:szCs w:val="24"/>
              </w:rPr>
              <w:t>համարը՝</w:t>
            </w:r>
          </w:p>
          <w:p w14:paraId="7E341D20" w14:textId="77777777" w:rsidR="006F76EB" w:rsidRPr="00834D52" w:rsidRDefault="006F76EB" w:rsidP="00183A19">
            <w:pPr>
              <w:spacing w:after="120"/>
              <w:ind w:right="-6"/>
              <w:jc w:val="both"/>
              <w:rPr>
                <w:rFonts w:ascii="Sylfaen" w:eastAsia="Times New Roman" w:hAnsi="Sylfaen" w:cs="Times New Roman"/>
                <w:sz w:val="24"/>
                <w:szCs w:val="24"/>
              </w:rPr>
            </w:pPr>
            <w:r w:rsidRPr="00834D52">
              <w:rPr>
                <w:rFonts w:ascii="Sylfaen" w:hAnsi="Sylfaen"/>
                <w:sz w:val="24"/>
                <w:szCs w:val="24"/>
              </w:rPr>
              <w:t>գտնվելու վայրի հասցեն՝</w:t>
            </w:r>
          </w:p>
        </w:tc>
      </w:tr>
    </w:tbl>
    <w:p w14:paraId="4A04A4B9" w14:textId="77777777" w:rsidR="006F76EB" w:rsidRPr="00834D52" w:rsidRDefault="006F76EB" w:rsidP="00183A19">
      <w:pPr>
        <w:tabs>
          <w:tab w:val="left" w:pos="1701"/>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3.4.5.</w:t>
      </w:r>
      <w:r w:rsidRPr="00834D52">
        <w:rPr>
          <w:rFonts w:ascii="Sylfaen" w:hAnsi="Sylfaen"/>
          <w:sz w:val="24"/>
          <w:szCs w:val="24"/>
        </w:rPr>
        <w:tab/>
        <w:t>Եվրասիական տնտեսական միության անդամ պետությունում գրանցման հավաստագրի իրավատիրոջ՝ դեղազգոնություն իրականացնելու համար լիազորված անձը, եթե նա տարբերվում է սույն հայտի 3.4.4 ենթակետում նշվածից՝</w:t>
      </w:r>
    </w:p>
    <w:tbl>
      <w:tblPr>
        <w:tblW w:w="0" w:type="auto"/>
        <w:tblInd w:w="109" w:type="dxa"/>
        <w:tblLayout w:type="fixed"/>
        <w:tblCellMar>
          <w:left w:w="0" w:type="dxa"/>
          <w:right w:w="0" w:type="dxa"/>
        </w:tblCellMar>
        <w:tblLook w:val="01E0" w:firstRow="1" w:lastRow="1" w:firstColumn="1" w:lastColumn="1" w:noHBand="0" w:noVBand="0"/>
      </w:tblPr>
      <w:tblGrid>
        <w:gridCol w:w="5532"/>
        <w:gridCol w:w="4078"/>
      </w:tblGrid>
      <w:tr w:rsidR="006F76EB" w:rsidRPr="00834D52" w14:paraId="6CF15847"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2F302660"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համար պատասխանատու լիազորված անձի ազգանունը, անունը, հայրանունը</w:t>
            </w:r>
          </w:p>
        </w:tc>
        <w:tc>
          <w:tcPr>
            <w:tcW w:w="4078" w:type="dxa"/>
            <w:tcBorders>
              <w:top w:val="single" w:sz="4" w:space="0" w:color="000000"/>
              <w:left w:val="single" w:sz="4" w:space="0" w:color="000000"/>
              <w:bottom w:val="single" w:sz="4" w:space="0" w:color="000000"/>
              <w:right w:val="single" w:sz="4" w:space="0" w:color="000000"/>
            </w:tcBorders>
          </w:tcPr>
          <w:p w14:paraId="653CEA31" w14:textId="77777777" w:rsidR="006F76EB" w:rsidRPr="00834D52" w:rsidRDefault="006F76EB" w:rsidP="00183A19">
            <w:pPr>
              <w:spacing w:after="120" w:line="240" w:lineRule="auto"/>
              <w:ind w:right="-6"/>
              <w:rPr>
                <w:rFonts w:ascii="Sylfaen" w:hAnsi="Sylfaen"/>
                <w:sz w:val="24"/>
                <w:szCs w:val="24"/>
              </w:rPr>
            </w:pPr>
          </w:p>
        </w:tc>
      </w:tr>
      <w:tr w:rsidR="006F76EB" w:rsidRPr="00834D52" w14:paraId="742F70D4"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01D48D04"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(գրանցման հավաստագրի իրավատիրոջ) անվանումը</w:t>
            </w:r>
          </w:p>
        </w:tc>
        <w:tc>
          <w:tcPr>
            <w:tcW w:w="4078" w:type="dxa"/>
            <w:tcBorders>
              <w:top w:val="single" w:sz="4" w:space="0" w:color="000000"/>
              <w:left w:val="single" w:sz="4" w:space="0" w:color="000000"/>
              <w:bottom w:val="single" w:sz="4" w:space="0" w:color="000000"/>
              <w:right w:val="single" w:sz="4" w:space="0" w:color="000000"/>
            </w:tcBorders>
          </w:tcPr>
          <w:p w14:paraId="5232713F" w14:textId="77777777" w:rsidR="006F76EB" w:rsidRPr="00834D52" w:rsidRDefault="006F76EB" w:rsidP="00183A19">
            <w:pPr>
              <w:spacing w:after="120" w:line="240" w:lineRule="auto"/>
              <w:ind w:right="-6"/>
              <w:rPr>
                <w:rFonts w:ascii="Sylfaen" w:hAnsi="Sylfaen"/>
                <w:sz w:val="24"/>
                <w:szCs w:val="24"/>
              </w:rPr>
            </w:pPr>
          </w:p>
        </w:tc>
      </w:tr>
      <w:tr w:rsidR="006F76EB" w:rsidRPr="00834D52" w14:paraId="2D3F3298"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5B0857EB"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հասցեն</w:t>
            </w:r>
          </w:p>
        </w:tc>
        <w:tc>
          <w:tcPr>
            <w:tcW w:w="4078" w:type="dxa"/>
            <w:tcBorders>
              <w:top w:val="single" w:sz="4" w:space="0" w:color="000000"/>
              <w:left w:val="single" w:sz="4" w:space="0" w:color="000000"/>
              <w:bottom w:val="single" w:sz="4" w:space="0" w:color="000000"/>
              <w:right w:val="single" w:sz="4" w:space="0" w:color="000000"/>
            </w:tcBorders>
          </w:tcPr>
          <w:p w14:paraId="6A21C994" w14:textId="77777777" w:rsidR="006F76EB" w:rsidRPr="00834D52" w:rsidRDefault="006F76EB" w:rsidP="00183A19">
            <w:pPr>
              <w:spacing w:after="120" w:line="240" w:lineRule="auto"/>
              <w:ind w:right="-6"/>
              <w:rPr>
                <w:rFonts w:ascii="Sylfaen" w:hAnsi="Sylfaen"/>
                <w:sz w:val="24"/>
                <w:szCs w:val="24"/>
              </w:rPr>
            </w:pPr>
          </w:p>
        </w:tc>
      </w:tr>
      <w:tr w:rsidR="006F76EB" w:rsidRPr="00834D52" w14:paraId="2A25696F"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6C84C669"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երկիրը</w:t>
            </w:r>
          </w:p>
        </w:tc>
        <w:tc>
          <w:tcPr>
            <w:tcW w:w="4078" w:type="dxa"/>
            <w:tcBorders>
              <w:top w:val="single" w:sz="4" w:space="0" w:color="000000"/>
              <w:left w:val="single" w:sz="4" w:space="0" w:color="000000"/>
              <w:bottom w:val="single" w:sz="4" w:space="0" w:color="000000"/>
              <w:right w:val="single" w:sz="4" w:space="0" w:color="000000"/>
            </w:tcBorders>
          </w:tcPr>
          <w:p w14:paraId="3CBC9824" w14:textId="77777777" w:rsidR="006F76EB" w:rsidRPr="00834D52" w:rsidRDefault="006F76EB" w:rsidP="00183A19">
            <w:pPr>
              <w:spacing w:after="120" w:line="240" w:lineRule="auto"/>
              <w:ind w:right="-6"/>
              <w:rPr>
                <w:rFonts w:ascii="Sylfaen" w:hAnsi="Sylfaen"/>
                <w:sz w:val="24"/>
                <w:szCs w:val="24"/>
              </w:rPr>
            </w:pPr>
          </w:p>
        </w:tc>
      </w:tr>
      <w:tr w:rsidR="006F76EB" w:rsidRPr="00834D52" w14:paraId="23D8C1C5"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784A7E52"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շուրջօրյա հեռախոսը (ֆաքսը)</w:t>
            </w:r>
          </w:p>
        </w:tc>
        <w:tc>
          <w:tcPr>
            <w:tcW w:w="4078" w:type="dxa"/>
            <w:tcBorders>
              <w:top w:val="single" w:sz="4" w:space="0" w:color="000000"/>
              <w:left w:val="single" w:sz="4" w:space="0" w:color="000000"/>
              <w:bottom w:val="single" w:sz="4" w:space="0" w:color="000000"/>
              <w:right w:val="single" w:sz="4" w:space="0" w:color="000000"/>
            </w:tcBorders>
          </w:tcPr>
          <w:p w14:paraId="5CDCF611" w14:textId="77777777" w:rsidR="006F76EB" w:rsidRPr="00834D52" w:rsidRDefault="006F76EB" w:rsidP="00183A19">
            <w:pPr>
              <w:spacing w:after="120" w:line="240" w:lineRule="auto"/>
              <w:ind w:right="-6"/>
              <w:rPr>
                <w:rFonts w:ascii="Sylfaen" w:hAnsi="Sylfaen"/>
                <w:sz w:val="24"/>
                <w:szCs w:val="24"/>
              </w:rPr>
            </w:pPr>
          </w:p>
        </w:tc>
      </w:tr>
      <w:tr w:rsidR="006F76EB" w:rsidRPr="00834D52" w14:paraId="3EE6C998" w14:textId="77777777" w:rsidTr="00F71229">
        <w:tc>
          <w:tcPr>
            <w:tcW w:w="5532" w:type="dxa"/>
            <w:tcBorders>
              <w:top w:val="single" w:sz="4" w:space="0" w:color="000000"/>
              <w:left w:val="single" w:sz="4" w:space="0" w:color="000000"/>
              <w:bottom w:val="single" w:sz="4" w:space="0" w:color="000000"/>
              <w:right w:val="single" w:sz="4" w:space="0" w:color="000000"/>
            </w:tcBorders>
          </w:tcPr>
          <w:p w14:paraId="4D8E6301" w14:textId="77777777" w:rsidR="006F76EB" w:rsidRPr="00834D52" w:rsidRDefault="006F76EB" w:rsidP="00183A19">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փոստը</w:t>
            </w:r>
          </w:p>
        </w:tc>
        <w:tc>
          <w:tcPr>
            <w:tcW w:w="4078" w:type="dxa"/>
            <w:tcBorders>
              <w:top w:val="single" w:sz="4" w:space="0" w:color="000000"/>
              <w:left w:val="single" w:sz="4" w:space="0" w:color="000000"/>
              <w:bottom w:val="single" w:sz="4" w:space="0" w:color="000000"/>
              <w:right w:val="single" w:sz="4" w:space="0" w:color="000000"/>
            </w:tcBorders>
          </w:tcPr>
          <w:p w14:paraId="6A78FF4B" w14:textId="77777777" w:rsidR="006F76EB" w:rsidRPr="00834D52" w:rsidRDefault="006F76EB" w:rsidP="00183A19">
            <w:pPr>
              <w:spacing w:after="120" w:line="240" w:lineRule="auto"/>
              <w:ind w:right="-6"/>
              <w:rPr>
                <w:rFonts w:ascii="Sylfaen" w:hAnsi="Sylfaen"/>
                <w:sz w:val="24"/>
                <w:szCs w:val="24"/>
              </w:rPr>
            </w:pPr>
          </w:p>
        </w:tc>
      </w:tr>
    </w:tbl>
    <w:p w14:paraId="36D0B4E5" w14:textId="77777777" w:rsidR="006F76EB" w:rsidRPr="00834D52" w:rsidRDefault="006F76EB" w:rsidP="00FA2FDE">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lastRenderedPageBreak/>
        <w:t xml:space="preserve">Նշե՛ք Եվրասիական տնտեսական միության անդամ պետությունում դեղազգոնություն իրականացնելու համար լիազորված անձի գրանցման վայրը </w:t>
      </w:r>
      <w:r w:rsidR="00C54D75">
        <w:rPr>
          <w:rFonts w:ascii="Sylfaen" w:hAnsi="Sylfaen"/>
          <w:sz w:val="24"/>
          <w:szCs w:val="24"/>
        </w:rPr>
        <w:t>և</w:t>
      </w:r>
      <w:r w:rsidRPr="00834D52">
        <w:rPr>
          <w:rFonts w:ascii="Sylfaen" w:hAnsi="Sylfaen"/>
          <w:sz w:val="24"/>
          <w:szCs w:val="24"/>
        </w:rPr>
        <w:t xml:space="preserve"> փաստացի բնակության վայրը, նրա հեռախոսահամարը:</w:t>
      </w:r>
    </w:p>
    <w:p w14:paraId="7FB88583" w14:textId="77777777" w:rsidR="006F76EB" w:rsidRPr="00834D52" w:rsidRDefault="006F76EB" w:rsidP="00FA2FDE">
      <w:pPr>
        <w:tabs>
          <w:tab w:val="left" w:pos="1134"/>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3.5.</w:t>
      </w:r>
      <w:r w:rsidRPr="00834D52">
        <w:rPr>
          <w:rFonts w:ascii="Sylfaen" w:hAnsi="Sylfaen"/>
          <w:sz w:val="24"/>
          <w:szCs w:val="24"/>
        </w:rPr>
        <w:tab/>
        <w:t>Դեղապատրաստուկն արտադրողը</w:t>
      </w:r>
    </w:p>
    <w:p w14:paraId="64E6E800" w14:textId="77777777" w:rsidR="006F76EB" w:rsidRPr="00834D52" w:rsidRDefault="006F76EB" w:rsidP="00FA2FDE">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3.5.1.</w:t>
      </w:r>
      <w:r w:rsidRPr="00834D52">
        <w:rPr>
          <w:rFonts w:ascii="Sylfaen" w:hAnsi="Sylfaen"/>
          <w:sz w:val="24"/>
          <w:szCs w:val="24"/>
        </w:rPr>
        <w:tab/>
        <w:t xml:space="preserve">Արտադրողը, որը պատասխանատու է դեղապատրաստուկի սերիաների բացթողման համար անհրաժեշտ որակի հսկողության համար (ինչպես նշված է դեղապատրաստուկի ընդհանուր բնութագրում, ներդիր թերթիկում </w:t>
      </w:r>
      <w:r w:rsidR="00C54D75">
        <w:rPr>
          <w:rFonts w:ascii="Sylfaen" w:hAnsi="Sylfaen"/>
          <w:sz w:val="24"/>
          <w:szCs w:val="24"/>
        </w:rPr>
        <w:t>և</w:t>
      </w:r>
      <w:r w:rsidRPr="00834D52">
        <w:rPr>
          <w:rFonts w:ascii="Sylfaen" w:hAnsi="Sylfaen"/>
          <w:sz w:val="24"/>
          <w:szCs w:val="24"/>
        </w:rPr>
        <w:t xml:space="preserve"> անհրաժեշտության դեպքում՝ մականշվածքում)</w:t>
      </w:r>
    </w:p>
    <w:tbl>
      <w:tblPr>
        <w:tblW w:w="9695" w:type="dxa"/>
        <w:tblInd w:w="109" w:type="dxa"/>
        <w:tblLayout w:type="fixed"/>
        <w:tblCellMar>
          <w:left w:w="0" w:type="dxa"/>
          <w:right w:w="0" w:type="dxa"/>
        </w:tblCellMar>
        <w:tblLook w:val="01E0" w:firstRow="1" w:lastRow="1" w:firstColumn="1" w:lastColumn="1" w:noHBand="0" w:noVBand="0"/>
      </w:tblPr>
      <w:tblGrid>
        <w:gridCol w:w="5581"/>
        <w:gridCol w:w="4114"/>
      </w:tblGrid>
      <w:tr w:rsidR="006F76EB" w:rsidRPr="00834D52" w14:paraId="7108DE41" w14:textId="77777777" w:rsidTr="00FA2FDE">
        <w:trPr>
          <w:trHeight w:val="526"/>
        </w:trPr>
        <w:tc>
          <w:tcPr>
            <w:tcW w:w="5581" w:type="dxa"/>
            <w:tcBorders>
              <w:top w:val="single" w:sz="4" w:space="0" w:color="000000"/>
              <w:left w:val="single" w:sz="4" w:space="0" w:color="000000"/>
              <w:bottom w:val="single" w:sz="4" w:space="0" w:color="000000"/>
              <w:right w:val="single" w:sz="4" w:space="0" w:color="000000"/>
            </w:tcBorders>
          </w:tcPr>
          <w:p w14:paraId="095F3A1F"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անվանումը</w:t>
            </w:r>
          </w:p>
        </w:tc>
        <w:tc>
          <w:tcPr>
            <w:tcW w:w="4114" w:type="dxa"/>
            <w:tcBorders>
              <w:top w:val="single" w:sz="4" w:space="0" w:color="000000"/>
              <w:left w:val="single" w:sz="4" w:space="0" w:color="000000"/>
              <w:bottom w:val="single" w:sz="4" w:space="0" w:color="000000"/>
              <w:right w:val="single" w:sz="4" w:space="0" w:color="000000"/>
            </w:tcBorders>
          </w:tcPr>
          <w:p w14:paraId="25455CE1" w14:textId="77777777" w:rsidR="006F76EB" w:rsidRPr="00834D52" w:rsidRDefault="006F76EB" w:rsidP="00FA2FDE">
            <w:pPr>
              <w:spacing w:after="120" w:line="240" w:lineRule="auto"/>
              <w:ind w:right="-6"/>
              <w:rPr>
                <w:rFonts w:ascii="Sylfaen" w:hAnsi="Sylfaen"/>
                <w:sz w:val="24"/>
                <w:szCs w:val="24"/>
              </w:rPr>
            </w:pPr>
          </w:p>
        </w:tc>
      </w:tr>
      <w:tr w:rsidR="006F76EB" w:rsidRPr="00834D52" w14:paraId="1FD6DAD0" w14:textId="77777777" w:rsidTr="00FA2FDE">
        <w:trPr>
          <w:trHeight w:val="547"/>
        </w:trPr>
        <w:tc>
          <w:tcPr>
            <w:tcW w:w="5581" w:type="dxa"/>
            <w:tcBorders>
              <w:top w:val="single" w:sz="4" w:space="0" w:color="000000"/>
              <w:left w:val="single" w:sz="4" w:space="0" w:color="000000"/>
              <w:bottom w:val="single" w:sz="4" w:space="0" w:color="000000"/>
              <w:right w:val="single" w:sz="4" w:space="0" w:color="000000"/>
            </w:tcBorders>
          </w:tcPr>
          <w:p w14:paraId="7C435E7E"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4114" w:type="dxa"/>
            <w:tcBorders>
              <w:top w:val="single" w:sz="4" w:space="0" w:color="000000"/>
              <w:left w:val="single" w:sz="4" w:space="0" w:color="000000"/>
              <w:bottom w:val="single" w:sz="4" w:space="0" w:color="000000"/>
              <w:right w:val="single" w:sz="4" w:space="0" w:color="000000"/>
            </w:tcBorders>
          </w:tcPr>
          <w:p w14:paraId="3F8D03C8" w14:textId="77777777" w:rsidR="006F76EB" w:rsidRPr="00834D52" w:rsidRDefault="006F76EB" w:rsidP="00FA2FDE">
            <w:pPr>
              <w:spacing w:after="120" w:line="240" w:lineRule="auto"/>
              <w:ind w:right="-6"/>
              <w:rPr>
                <w:rFonts w:ascii="Sylfaen" w:hAnsi="Sylfaen"/>
                <w:sz w:val="24"/>
                <w:szCs w:val="24"/>
              </w:rPr>
            </w:pPr>
          </w:p>
        </w:tc>
      </w:tr>
      <w:tr w:rsidR="006F76EB" w:rsidRPr="00834D52" w14:paraId="3D0A9B57" w14:textId="77777777" w:rsidTr="00FA2FDE">
        <w:trPr>
          <w:trHeight w:val="547"/>
        </w:trPr>
        <w:tc>
          <w:tcPr>
            <w:tcW w:w="5581" w:type="dxa"/>
            <w:tcBorders>
              <w:top w:val="single" w:sz="4" w:space="0" w:color="000000"/>
              <w:left w:val="single" w:sz="4" w:space="0" w:color="000000"/>
              <w:bottom w:val="single" w:sz="4" w:space="0" w:color="000000"/>
              <w:right w:val="single" w:sz="4" w:space="0" w:color="000000"/>
            </w:tcBorders>
          </w:tcPr>
          <w:p w14:paraId="10951829"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պետությունը</w:t>
            </w:r>
          </w:p>
        </w:tc>
        <w:tc>
          <w:tcPr>
            <w:tcW w:w="4114" w:type="dxa"/>
            <w:tcBorders>
              <w:top w:val="single" w:sz="4" w:space="0" w:color="000000"/>
              <w:left w:val="single" w:sz="4" w:space="0" w:color="000000"/>
              <w:bottom w:val="single" w:sz="4" w:space="0" w:color="000000"/>
              <w:right w:val="single" w:sz="4" w:space="0" w:color="000000"/>
            </w:tcBorders>
          </w:tcPr>
          <w:p w14:paraId="42CC9205" w14:textId="77777777" w:rsidR="006F76EB" w:rsidRPr="00834D52" w:rsidRDefault="006F76EB" w:rsidP="00FA2FDE">
            <w:pPr>
              <w:spacing w:after="120" w:line="240" w:lineRule="auto"/>
              <w:ind w:right="-6"/>
              <w:rPr>
                <w:rFonts w:ascii="Sylfaen" w:hAnsi="Sylfaen"/>
                <w:sz w:val="24"/>
                <w:szCs w:val="24"/>
              </w:rPr>
            </w:pPr>
          </w:p>
        </w:tc>
      </w:tr>
      <w:tr w:rsidR="006F76EB" w:rsidRPr="00834D52" w14:paraId="2C9EE760" w14:textId="77777777" w:rsidTr="00FA2FDE">
        <w:trPr>
          <w:trHeight w:val="946"/>
        </w:trPr>
        <w:tc>
          <w:tcPr>
            <w:tcW w:w="5581" w:type="dxa"/>
            <w:tcBorders>
              <w:top w:val="single" w:sz="4" w:space="0" w:color="000000"/>
              <w:left w:val="single" w:sz="4" w:space="0" w:color="000000"/>
              <w:bottom w:val="single" w:sz="4" w:space="0" w:color="000000"/>
              <w:right w:val="single" w:sz="4" w:space="0" w:color="000000"/>
            </w:tcBorders>
          </w:tcPr>
          <w:p w14:paraId="5AF6240F"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114" w:type="dxa"/>
            <w:tcBorders>
              <w:top w:val="single" w:sz="4" w:space="0" w:color="000000"/>
              <w:left w:val="single" w:sz="4" w:space="0" w:color="000000"/>
              <w:bottom w:val="single" w:sz="4" w:space="0" w:color="000000"/>
              <w:right w:val="single" w:sz="4" w:space="0" w:color="000000"/>
            </w:tcBorders>
          </w:tcPr>
          <w:p w14:paraId="2FD229EB" w14:textId="77777777" w:rsidR="006F76EB" w:rsidRPr="00834D52" w:rsidRDefault="006F76EB" w:rsidP="00FA2FDE">
            <w:pPr>
              <w:spacing w:after="120" w:line="240" w:lineRule="auto"/>
              <w:ind w:right="-6"/>
              <w:rPr>
                <w:rFonts w:ascii="Sylfaen" w:hAnsi="Sylfaen"/>
                <w:sz w:val="24"/>
                <w:szCs w:val="24"/>
              </w:rPr>
            </w:pPr>
          </w:p>
        </w:tc>
      </w:tr>
      <w:tr w:rsidR="006F76EB" w:rsidRPr="00834D52" w14:paraId="4F1E3282" w14:textId="77777777" w:rsidTr="00FA2FDE">
        <w:trPr>
          <w:trHeight w:val="568"/>
        </w:trPr>
        <w:tc>
          <w:tcPr>
            <w:tcW w:w="5581" w:type="dxa"/>
            <w:tcBorders>
              <w:top w:val="single" w:sz="4" w:space="0" w:color="000000"/>
              <w:left w:val="single" w:sz="4" w:space="0" w:color="000000"/>
              <w:bottom w:val="single" w:sz="4" w:space="0" w:color="000000"/>
              <w:right w:val="single" w:sz="4" w:space="0" w:color="000000"/>
            </w:tcBorders>
          </w:tcPr>
          <w:p w14:paraId="671F20E5"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114" w:type="dxa"/>
            <w:tcBorders>
              <w:top w:val="single" w:sz="4" w:space="0" w:color="000000"/>
              <w:left w:val="single" w:sz="4" w:space="0" w:color="000000"/>
              <w:bottom w:val="single" w:sz="4" w:space="0" w:color="000000"/>
              <w:right w:val="single" w:sz="4" w:space="0" w:color="000000"/>
            </w:tcBorders>
          </w:tcPr>
          <w:p w14:paraId="303DD4EC" w14:textId="77777777" w:rsidR="006F76EB" w:rsidRPr="00834D52" w:rsidRDefault="006F76EB" w:rsidP="00FA2FDE">
            <w:pPr>
              <w:spacing w:after="120" w:line="240" w:lineRule="auto"/>
              <w:ind w:right="-6"/>
              <w:rPr>
                <w:rFonts w:ascii="Sylfaen" w:hAnsi="Sylfaen"/>
                <w:sz w:val="24"/>
                <w:szCs w:val="24"/>
              </w:rPr>
            </w:pPr>
          </w:p>
        </w:tc>
      </w:tr>
    </w:tbl>
    <w:p w14:paraId="548477B9" w14:textId="77777777" w:rsidR="006F76EB" w:rsidRPr="00834D52" w:rsidRDefault="006F76EB" w:rsidP="00FA2FDE">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3.5.2.</w:t>
      </w:r>
      <w:r w:rsidRPr="00834D52">
        <w:rPr>
          <w:rFonts w:ascii="Sylfaen" w:hAnsi="Sylfaen"/>
          <w:sz w:val="24"/>
          <w:szCs w:val="24"/>
        </w:rPr>
        <w:tab/>
        <w:t xml:space="preserve">Արտադրող երկրի՝ արյան </w:t>
      </w:r>
      <w:r w:rsidR="00C54D75">
        <w:rPr>
          <w:rFonts w:ascii="Sylfaen" w:hAnsi="Sylfaen"/>
          <w:sz w:val="24"/>
          <w:szCs w:val="24"/>
        </w:rPr>
        <w:t>և</w:t>
      </w:r>
      <w:r w:rsidRPr="00834D52">
        <w:rPr>
          <w:rFonts w:ascii="Sylfaen" w:hAnsi="Sylfaen"/>
          <w:sz w:val="24"/>
          <w:szCs w:val="24"/>
        </w:rPr>
        <w:t xml:space="preserve"> պատվաստանյութերի պատրաստուկների որակի հսկողության լաբորատորիան, որը պատասխանատու</w:t>
      </w:r>
      <w:r w:rsidR="00FA2FDE" w:rsidRPr="00FA2FDE">
        <w:rPr>
          <w:rFonts w:ascii="Sylfaen" w:hAnsi="Sylfaen"/>
          <w:sz w:val="24"/>
          <w:szCs w:val="24"/>
        </w:rPr>
        <w:t> </w:t>
      </w:r>
      <w:r w:rsidRPr="00834D52">
        <w:rPr>
          <w:rFonts w:ascii="Sylfaen" w:hAnsi="Sylfaen"/>
          <w:sz w:val="24"/>
          <w:szCs w:val="24"/>
        </w:rPr>
        <w:t>է սերիայի որակի հսկողության (բացթողման) համար</w:t>
      </w:r>
    </w:p>
    <w:tbl>
      <w:tblPr>
        <w:tblW w:w="9644" w:type="dxa"/>
        <w:tblInd w:w="109" w:type="dxa"/>
        <w:tblLayout w:type="fixed"/>
        <w:tblCellMar>
          <w:left w:w="0" w:type="dxa"/>
          <w:right w:w="0" w:type="dxa"/>
        </w:tblCellMar>
        <w:tblLook w:val="01E0" w:firstRow="1" w:lastRow="1" w:firstColumn="1" w:lastColumn="1" w:noHBand="0" w:noVBand="0"/>
      </w:tblPr>
      <w:tblGrid>
        <w:gridCol w:w="5552"/>
        <w:gridCol w:w="4092"/>
      </w:tblGrid>
      <w:tr w:rsidR="006F76EB" w:rsidRPr="00834D52" w14:paraId="43D54B23" w14:textId="77777777" w:rsidTr="00426865">
        <w:trPr>
          <w:trHeight w:val="524"/>
        </w:trPr>
        <w:tc>
          <w:tcPr>
            <w:tcW w:w="5552" w:type="dxa"/>
            <w:tcBorders>
              <w:top w:val="single" w:sz="4" w:space="0" w:color="000000"/>
              <w:left w:val="single" w:sz="4" w:space="0" w:color="000000"/>
              <w:bottom w:val="single" w:sz="4" w:space="0" w:color="000000"/>
              <w:right w:val="single" w:sz="4" w:space="0" w:color="000000"/>
            </w:tcBorders>
          </w:tcPr>
          <w:p w14:paraId="78F1CD85"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լաբորատորիայի անվանումը</w:t>
            </w:r>
          </w:p>
        </w:tc>
        <w:tc>
          <w:tcPr>
            <w:tcW w:w="4092" w:type="dxa"/>
            <w:tcBorders>
              <w:top w:val="single" w:sz="4" w:space="0" w:color="000000"/>
              <w:left w:val="single" w:sz="4" w:space="0" w:color="000000"/>
              <w:bottom w:val="single" w:sz="4" w:space="0" w:color="000000"/>
              <w:right w:val="single" w:sz="4" w:space="0" w:color="000000"/>
            </w:tcBorders>
          </w:tcPr>
          <w:p w14:paraId="6F6654EF" w14:textId="77777777" w:rsidR="006F76EB" w:rsidRPr="00834D52" w:rsidRDefault="006F76EB" w:rsidP="00FA2FDE">
            <w:pPr>
              <w:spacing w:after="120" w:line="240" w:lineRule="auto"/>
              <w:ind w:right="-6"/>
              <w:rPr>
                <w:rFonts w:ascii="Sylfaen" w:hAnsi="Sylfaen"/>
                <w:sz w:val="24"/>
                <w:szCs w:val="24"/>
              </w:rPr>
            </w:pPr>
          </w:p>
        </w:tc>
      </w:tr>
      <w:tr w:rsidR="006F76EB" w:rsidRPr="00834D52" w14:paraId="77776BDC" w14:textId="77777777" w:rsidTr="00426865">
        <w:trPr>
          <w:trHeight w:val="524"/>
        </w:trPr>
        <w:tc>
          <w:tcPr>
            <w:tcW w:w="5552" w:type="dxa"/>
            <w:tcBorders>
              <w:top w:val="single" w:sz="4" w:space="0" w:color="000000"/>
              <w:left w:val="single" w:sz="4" w:space="0" w:color="000000"/>
              <w:bottom w:val="single" w:sz="4" w:space="0" w:color="000000"/>
              <w:right w:val="single" w:sz="4" w:space="0" w:color="000000"/>
            </w:tcBorders>
          </w:tcPr>
          <w:p w14:paraId="68B0505C"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4092" w:type="dxa"/>
            <w:tcBorders>
              <w:top w:val="single" w:sz="4" w:space="0" w:color="000000"/>
              <w:left w:val="single" w:sz="4" w:space="0" w:color="000000"/>
              <w:bottom w:val="single" w:sz="4" w:space="0" w:color="000000"/>
              <w:right w:val="single" w:sz="4" w:space="0" w:color="000000"/>
            </w:tcBorders>
          </w:tcPr>
          <w:p w14:paraId="4F07C0AC" w14:textId="77777777" w:rsidR="006F76EB" w:rsidRPr="00834D52" w:rsidRDefault="006F76EB" w:rsidP="00FA2FDE">
            <w:pPr>
              <w:spacing w:after="120" w:line="240" w:lineRule="auto"/>
              <w:ind w:right="-6"/>
              <w:rPr>
                <w:rFonts w:ascii="Sylfaen" w:hAnsi="Sylfaen"/>
                <w:sz w:val="24"/>
                <w:szCs w:val="24"/>
              </w:rPr>
            </w:pPr>
          </w:p>
        </w:tc>
      </w:tr>
      <w:tr w:rsidR="006F76EB" w:rsidRPr="00834D52" w14:paraId="33143473" w14:textId="77777777" w:rsidTr="00426865">
        <w:trPr>
          <w:trHeight w:val="524"/>
        </w:trPr>
        <w:tc>
          <w:tcPr>
            <w:tcW w:w="5552" w:type="dxa"/>
            <w:tcBorders>
              <w:top w:val="single" w:sz="4" w:space="0" w:color="000000"/>
              <w:left w:val="single" w:sz="4" w:space="0" w:color="000000"/>
              <w:bottom w:val="single" w:sz="4" w:space="0" w:color="000000"/>
              <w:right w:val="single" w:sz="4" w:space="0" w:color="000000"/>
            </w:tcBorders>
          </w:tcPr>
          <w:p w14:paraId="3B71CDE9"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պետությունը</w:t>
            </w:r>
          </w:p>
        </w:tc>
        <w:tc>
          <w:tcPr>
            <w:tcW w:w="4092" w:type="dxa"/>
            <w:tcBorders>
              <w:top w:val="single" w:sz="4" w:space="0" w:color="000000"/>
              <w:left w:val="single" w:sz="4" w:space="0" w:color="000000"/>
              <w:bottom w:val="single" w:sz="4" w:space="0" w:color="000000"/>
              <w:right w:val="single" w:sz="4" w:space="0" w:color="000000"/>
            </w:tcBorders>
          </w:tcPr>
          <w:p w14:paraId="17F52835" w14:textId="77777777" w:rsidR="006F76EB" w:rsidRPr="00834D52" w:rsidRDefault="006F76EB" w:rsidP="00FA2FDE">
            <w:pPr>
              <w:spacing w:after="120" w:line="240" w:lineRule="auto"/>
              <w:ind w:right="-6"/>
              <w:rPr>
                <w:rFonts w:ascii="Sylfaen" w:hAnsi="Sylfaen"/>
                <w:sz w:val="24"/>
                <w:szCs w:val="24"/>
              </w:rPr>
            </w:pPr>
          </w:p>
        </w:tc>
      </w:tr>
      <w:tr w:rsidR="006F76EB" w:rsidRPr="00834D52" w14:paraId="0E597824" w14:textId="77777777" w:rsidTr="00426865">
        <w:trPr>
          <w:trHeight w:val="888"/>
        </w:trPr>
        <w:tc>
          <w:tcPr>
            <w:tcW w:w="5552" w:type="dxa"/>
            <w:tcBorders>
              <w:top w:val="single" w:sz="4" w:space="0" w:color="000000"/>
              <w:left w:val="single" w:sz="4" w:space="0" w:color="000000"/>
              <w:bottom w:val="single" w:sz="4" w:space="0" w:color="000000"/>
              <w:right w:val="single" w:sz="4" w:space="0" w:color="000000"/>
            </w:tcBorders>
          </w:tcPr>
          <w:p w14:paraId="292CE649"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092" w:type="dxa"/>
            <w:tcBorders>
              <w:top w:val="single" w:sz="4" w:space="0" w:color="000000"/>
              <w:left w:val="single" w:sz="4" w:space="0" w:color="000000"/>
              <w:bottom w:val="single" w:sz="4" w:space="0" w:color="000000"/>
              <w:right w:val="single" w:sz="4" w:space="0" w:color="000000"/>
            </w:tcBorders>
          </w:tcPr>
          <w:p w14:paraId="3A8B5570" w14:textId="77777777" w:rsidR="006F76EB" w:rsidRPr="00834D52" w:rsidRDefault="006F76EB" w:rsidP="00FA2FDE">
            <w:pPr>
              <w:spacing w:after="120" w:line="240" w:lineRule="auto"/>
              <w:ind w:right="-6"/>
              <w:rPr>
                <w:rFonts w:ascii="Sylfaen" w:hAnsi="Sylfaen"/>
                <w:sz w:val="24"/>
                <w:szCs w:val="24"/>
              </w:rPr>
            </w:pPr>
          </w:p>
        </w:tc>
      </w:tr>
      <w:tr w:rsidR="006F76EB" w:rsidRPr="00834D52" w14:paraId="53A3A66A" w14:textId="77777777" w:rsidTr="00426865">
        <w:trPr>
          <w:trHeight w:val="544"/>
        </w:trPr>
        <w:tc>
          <w:tcPr>
            <w:tcW w:w="5552" w:type="dxa"/>
            <w:tcBorders>
              <w:top w:val="single" w:sz="4" w:space="0" w:color="000000"/>
              <w:left w:val="single" w:sz="4" w:space="0" w:color="000000"/>
              <w:bottom w:val="single" w:sz="4" w:space="0" w:color="000000"/>
              <w:right w:val="single" w:sz="4" w:space="0" w:color="000000"/>
            </w:tcBorders>
          </w:tcPr>
          <w:p w14:paraId="1962B760"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092" w:type="dxa"/>
            <w:tcBorders>
              <w:top w:val="single" w:sz="4" w:space="0" w:color="000000"/>
              <w:left w:val="single" w:sz="4" w:space="0" w:color="000000"/>
              <w:bottom w:val="single" w:sz="4" w:space="0" w:color="000000"/>
              <w:right w:val="single" w:sz="4" w:space="0" w:color="000000"/>
            </w:tcBorders>
          </w:tcPr>
          <w:p w14:paraId="7B219D7C" w14:textId="77777777" w:rsidR="006F76EB" w:rsidRPr="00834D52" w:rsidRDefault="006F76EB" w:rsidP="00FA2FDE">
            <w:pPr>
              <w:spacing w:after="120" w:line="240" w:lineRule="auto"/>
              <w:ind w:right="-6"/>
              <w:rPr>
                <w:rFonts w:ascii="Sylfaen" w:hAnsi="Sylfaen"/>
                <w:sz w:val="24"/>
                <w:szCs w:val="24"/>
              </w:rPr>
            </w:pPr>
          </w:p>
        </w:tc>
      </w:tr>
    </w:tbl>
    <w:p w14:paraId="483420D3" w14:textId="77777777" w:rsidR="006F76EB" w:rsidRPr="00DB039F" w:rsidRDefault="006F76EB" w:rsidP="00FA2FDE">
      <w:pPr>
        <w:tabs>
          <w:tab w:val="left" w:pos="1701"/>
        </w:tabs>
        <w:spacing w:after="160" w:line="360" w:lineRule="auto"/>
        <w:ind w:right="-6" w:firstLine="567"/>
        <w:jc w:val="both"/>
        <w:rPr>
          <w:rFonts w:ascii="Sylfaen" w:hAnsi="Sylfaen"/>
          <w:spacing w:val="-4"/>
          <w:sz w:val="24"/>
          <w:szCs w:val="24"/>
        </w:rPr>
      </w:pPr>
      <w:r w:rsidRPr="00834D52">
        <w:rPr>
          <w:rFonts w:ascii="Sylfaen" w:hAnsi="Sylfaen"/>
          <w:spacing w:val="-4"/>
          <w:sz w:val="24"/>
          <w:szCs w:val="24"/>
        </w:rPr>
        <w:t>3.5.3.</w:t>
      </w:r>
      <w:r w:rsidRPr="00834D52">
        <w:rPr>
          <w:rFonts w:ascii="Sylfaen" w:hAnsi="Sylfaen"/>
          <w:spacing w:val="-4"/>
          <w:sz w:val="24"/>
          <w:szCs w:val="24"/>
        </w:rPr>
        <w:tab/>
        <w:t>Եվրասիական տնտեսական միության շրջանակներում բողոքագրերի հետ աշխատանքի համար պատասխանատու կազմակերպությունը (Եվրասիական տնտեսական միության յուրաքանչյուր անդամ պետության համար (առկայության դեպքում)</w:t>
      </w:r>
    </w:p>
    <w:tbl>
      <w:tblPr>
        <w:tblW w:w="9695" w:type="dxa"/>
        <w:tblInd w:w="109" w:type="dxa"/>
        <w:tblLayout w:type="fixed"/>
        <w:tblCellMar>
          <w:left w:w="0" w:type="dxa"/>
          <w:right w:w="0" w:type="dxa"/>
        </w:tblCellMar>
        <w:tblLook w:val="01E0" w:firstRow="1" w:lastRow="1" w:firstColumn="1" w:lastColumn="1" w:noHBand="0" w:noVBand="0"/>
      </w:tblPr>
      <w:tblGrid>
        <w:gridCol w:w="5581"/>
        <w:gridCol w:w="4114"/>
      </w:tblGrid>
      <w:tr w:rsidR="006F76EB" w:rsidRPr="00834D52" w14:paraId="780FF42A" w14:textId="77777777" w:rsidTr="00FD580B">
        <w:trPr>
          <w:trHeight w:val="519"/>
        </w:trPr>
        <w:tc>
          <w:tcPr>
            <w:tcW w:w="5581" w:type="dxa"/>
            <w:tcBorders>
              <w:top w:val="single" w:sz="4" w:space="0" w:color="000000"/>
              <w:left w:val="single" w:sz="4" w:space="0" w:color="000000"/>
              <w:bottom w:val="single" w:sz="4" w:space="0" w:color="000000"/>
              <w:right w:val="single" w:sz="4" w:space="0" w:color="000000"/>
            </w:tcBorders>
          </w:tcPr>
          <w:p w14:paraId="12DC2336"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lastRenderedPageBreak/>
              <w:t>իրավաբանական անձի անվանումը</w:t>
            </w:r>
          </w:p>
        </w:tc>
        <w:tc>
          <w:tcPr>
            <w:tcW w:w="4114" w:type="dxa"/>
            <w:tcBorders>
              <w:top w:val="single" w:sz="4" w:space="0" w:color="000000"/>
              <w:left w:val="single" w:sz="4" w:space="0" w:color="000000"/>
              <w:bottom w:val="single" w:sz="4" w:space="0" w:color="000000"/>
              <w:right w:val="single" w:sz="4" w:space="0" w:color="000000"/>
            </w:tcBorders>
          </w:tcPr>
          <w:p w14:paraId="223F78F4" w14:textId="77777777" w:rsidR="006F76EB" w:rsidRPr="00834D52" w:rsidRDefault="006F76EB" w:rsidP="00FA2FDE">
            <w:pPr>
              <w:spacing w:after="120" w:line="240" w:lineRule="auto"/>
              <w:ind w:right="-6"/>
              <w:rPr>
                <w:rFonts w:ascii="Sylfaen" w:hAnsi="Sylfaen"/>
                <w:sz w:val="24"/>
                <w:szCs w:val="24"/>
              </w:rPr>
            </w:pPr>
          </w:p>
        </w:tc>
      </w:tr>
      <w:tr w:rsidR="006F76EB" w:rsidRPr="00834D52" w14:paraId="09E16926" w14:textId="77777777" w:rsidTr="00FD580B">
        <w:trPr>
          <w:trHeight w:val="539"/>
        </w:trPr>
        <w:tc>
          <w:tcPr>
            <w:tcW w:w="5581" w:type="dxa"/>
            <w:tcBorders>
              <w:top w:val="single" w:sz="4" w:space="0" w:color="000000"/>
              <w:left w:val="single" w:sz="4" w:space="0" w:color="000000"/>
              <w:bottom w:val="single" w:sz="4" w:space="0" w:color="000000"/>
              <w:right w:val="single" w:sz="4" w:space="0" w:color="000000"/>
            </w:tcBorders>
          </w:tcPr>
          <w:p w14:paraId="1716F30F"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գտնվելու վայրը</w:t>
            </w:r>
          </w:p>
        </w:tc>
        <w:tc>
          <w:tcPr>
            <w:tcW w:w="4114" w:type="dxa"/>
            <w:tcBorders>
              <w:top w:val="single" w:sz="4" w:space="0" w:color="000000"/>
              <w:left w:val="single" w:sz="4" w:space="0" w:color="000000"/>
              <w:bottom w:val="single" w:sz="4" w:space="0" w:color="000000"/>
              <w:right w:val="single" w:sz="4" w:space="0" w:color="000000"/>
            </w:tcBorders>
          </w:tcPr>
          <w:p w14:paraId="66774D67" w14:textId="77777777" w:rsidR="006F76EB" w:rsidRPr="00834D52" w:rsidRDefault="006F76EB" w:rsidP="00FA2FDE">
            <w:pPr>
              <w:spacing w:after="120" w:line="240" w:lineRule="auto"/>
              <w:ind w:right="-6"/>
              <w:rPr>
                <w:rFonts w:ascii="Sylfaen" w:hAnsi="Sylfaen"/>
                <w:sz w:val="24"/>
                <w:szCs w:val="24"/>
              </w:rPr>
            </w:pPr>
          </w:p>
        </w:tc>
      </w:tr>
      <w:tr w:rsidR="006F76EB" w:rsidRPr="00834D52" w14:paraId="6773B01F" w14:textId="77777777" w:rsidTr="00FD580B">
        <w:trPr>
          <w:trHeight w:val="539"/>
        </w:trPr>
        <w:tc>
          <w:tcPr>
            <w:tcW w:w="5581" w:type="dxa"/>
            <w:tcBorders>
              <w:top w:val="single" w:sz="4" w:space="0" w:color="000000"/>
              <w:left w:val="single" w:sz="4" w:space="0" w:color="000000"/>
              <w:bottom w:val="single" w:sz="4" w:space="0" w:color="000000"/>
              <w:right w:val="single" w:sz="4" w:space="0" w:color="000000"/>
            </w:tcBorders>
          </w:tcPr>
          <w:p w14:paraId="278B8C88" w14:textId="77777777" w:rsidR="006F76EB" w:rsidRPr="00834D52" w:rsidRDefault="006F76EB" w:rsidP="00FA2FDE">
            <w:pPr>
              <w:spacing w:after="120" w:line="240" w:lineRule="auto"/>
              <w:ind w:left="112" w:right="-6"/>
              <w:rPr>
                <w:rFonts w:ascii="Sylfaen" w:eastAsia="Times New Roman" w:hAnsi="Sylfaen" w:cs="Times New Roman"/>
                <w:sz w:val="24"/>
                <w:szCs w:val="24"/>
                <w:lang w:val="en-US"/>
              </w:rPr>
            </w:pPr>
            <w:r w:rsidRPr="00834D52">
              <w:rPr>
                <w:rFonts w:ascii="Sylfaen" w:hAnsi="Sylfaen"/>
                <w:sz w:val="24"/>
                <w:szCs w:val="24"/>
              </w:rPr>
              <w:t>պետությունը</w:t>
            </w:r>
          </w:p>
        </w:tc>
        <w:tc>
          <w:tcPr>
            <w:tcW w:w="4114" w:type="dxa"/>
            <w:tcBorders>
              <w:top w:val="single" w:sz="4" w:space="0" w:color="000000"/>
              <w:left w:val="single" w:sz="4" w:space="0" w:color="000000"/>
              <w:bottom w:val="single" w:sz="4" w:space="0" w:color="000000"/>
              <w:right w:val="single" w:sz="4" w:space="0" w:color="000000"/>
            </w:tcBorders>
          </w:tcPr>
          <w:p w14:paraId="2F9AF9F3" w14:textId="77777777" w:rsidR="006F76EB" w:rsidRPr="00834D52" w:rsidRDefault="006F76EB" w:rsidP="00FA2FDE">
            <w:pPr>
              <w:spacing w:after="120" w:line="240" w:lineRule="auto"/>
              <w:ind w:right="-6"/>
              <w:rPr>
                <w:rFonts w:ascii="Sylfaen" w:hAnsi="Sylfaen"/>
                <w:sz w:val="24"/>
                <w:szCs w:val="24"/>
              </w:rPr>
            </w:pPr>
          </w:p>
        </w:tc>
      </w:tr>
      <w:tr w:rsidR="006F76EB" w:rsidRPr="00834D52" w14:paraId="3403B0DB" w14:textId="77777777" w:rsidTr="00FD580B">
        <w:trPr>
          <w:trHeight w:val="913"/>
        </w:trPr>
        <w:tc>
          <w:tcPr>
            <w:tcW w:w="5581" w:type="dxa"/>
            <w:tcBorders>
              <w:top w:val="single" w:sz="4" w:space="0" w:color="000000"/>
              <w:left w:val="single" w:sz="4" w:space="0" w:color="000000"/>
              <w:bottom w:val="single" w:sz="4" w:space="0" w:color="000000"/>
              <w:right w:val="single" w:sz="4" w:space="0" w:color="000000"/>
            </w:tcBorders>
          </w:tcPr>
          <w:p w14:paraId="5C389517"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շուրջօրյա հեռախոսահամարը </w:t>
            </w:r>
            <w:r w:rsidR="00C54D75">
              <w:rPr>
                <w:rFonts w:ascii="Sylfaen" w:hAnsi="Sylfaen"/>
                <w:sz w:val="24"/>
                <w:szCs w:val="24"/>
              </w:rPr>
              <w:t>և</w:t>
            </w:r>
            <w:r w:rsidRPr="00834D52">
              <w:rPr>
                <w:rFonts w:ascii="Sylfaen" w:hAnsi="Sylfaen"/>
                <w:sz w:val="24"/>
                <w:szCs w:val="24"/>
              </w:rPr>
              <w:t xml:space="preserve"> ֆաքսի համարը</w:t>
            </w:r>
          </w:p>
        </w:tc>
        <w:tc>
          <w:tcPr>
            <w:tcW w:w="4114" w:type="dxa"/>
            <w:tcBorders>
              <w:top w:val="single" w:sz="4" w:space="0" w:color="000000"/>
              <w:left w:val="single" w:sz="4" w:space="0" w:color="000000"/>
              <w:bottom w:val="single" w:sz="4" w:space="0" w:color="000000"/>
              <w:right w:val="single" w:sz="4" w:space="0" w:color="000000"/>
            </w:tcBorders>
          </w:tcPr>
          <w:p w14:paraId="01BC688E" w14:textId="77777777" w:rsidR="006F76EB" w:rsidRPr="00834D52" w:rsidRDefault="006F76EB" w:rsidP="00FA2FDE">
            <w:pPr>
              <w:spacing w:after="120" w:line="240" w:lineRule="auto"/>
              <w:ind w:right="-6"/>
              <w:rPr>
                <w:rFonts w:ascii="Sylfaen" w:hAnsi="Sylfaen"/>
                <w:sz w:val="24"/>
                <w:szCs w:val="24"/>
              </w:rPr>
            </w:pPr>
          </w:p>
        </w:tc>
      </w:tr>
      <w:tr w:rsidR="006F76EB" w:rsidRPr="00834D52" w14:paraId="32D6E1F0" w14:textId="77777777" w:rsidTr="00FD580B">
        <w:trPr>
          <w:trHeight w:val="539"/>
        </w:trPr>
        <w:tc>
          <w:tcPr>
            <w:tcW w:w="5581" w:type="dxa"/>
            <w:tcBorders>
              <w:top w:val="single" w:sz="4" w:space="0" w:color="000000"/>
              <w:left w:val="single" w:sz="4" w:space="0" w:color="000000"/>
              <w:bottom w:val="single" w:sz="4" w:space="0" w:color="000000"/>
              <w:right w:val="single" w:sz="4" w:space="0" w:color="000000"/>
            </w:tcBorders>
          </w:tcPr>
          <w:p w14:paraId="0CA48DEB" w14:textId="77777777" w:rsidR="006F76EB" w:rsidRPr="00834D52" w:rsidRDefault="006F76EB" w:rsidP="00FA2FD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114" w:type="dxa"/>
            <w:tcBorders>
              <w:top w:val="single" w:sz="4" w:space="0" w:color="000000"/>
              <w:left w:val="single" w:sz="4" w:space="0" w:color="000000"/>
              <w:bottom w:val="single" w:sz="4" w:space="0" w:color="000000"/>
              <w:right w:val="single" w:sz="4" w:space="0" w:color="000000"/>
            </w:tcBorders>
          </w:tcPr>
          <w:p w14:paraId="1FE51803" w14:textId="77777777" w:rsidR="006F76EB" w:rsidRPr="00834D52" w:rsidRDefault="006F76EB" w:rsidP="00FA2FDE">
            <w:pPr>
              <w:spacing w:after="120" w:line="240" w:lineRule="auto"/>
              <w:ind w:right="-6"/>
              <w:rPr>
                <w:rFonts w:ascii="Sylfaen" w:hAnsi="Sylfaen"/>
                <w:sz w:val="24"/>
                <w:szCs w:val="24"/>
              </w:rPr>
            </w:pPr>
          </w:p>
        </w:tc>
      </w:tr>
    </w:tbl>
    <w:p w14:paraId="78A68C86" w14:textId="77777777" w:rsidR="006F76EB" w:rsidRPr="00834D52" w:rsidRDefault="006F76EB" w:rsidP="00FD580B">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3.5.4.</w:t>
      </w:r>
      <w:r w:rsidRPr="00834D52">
        <w:rPr>
          <w:rFonts w:ascii="Sylfaen" w:hAnsi="Sylfaen"/>
          <w:sz w:val="24"/>
          <w:szCs w:val="24"/>
        </w:rPr>
        <w:tab/>
        <w:t xml:space="preserve">Դեղապատրաստուկն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2869F6CE" w14:textId="77777777" w:rsidR="006F76EB" w:rsidRPr="00834D52" w:rsidRDefault="006F76EB" w:rsidP="006F76EB">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Դեղապատրաստուկի արտադրական գործընթացին մասնակցող բոլոր արտադրական հարթակները (ներառյալ լուծիչները)՝ նշելով արտադրական գործընթացի ընթացաշրջանը</w:t>
      </w:r>
    </w:p>
    <w:tbl>
      <w:tblPr>
        <w:tblW w:w="9812" w:type="dxa"/>
        <w:tblInd w:w="109" w:type="dxa"/>
        <w:tblLayout w:type="fixed"/>
        <w:tblCellMar>
          <w:left w:w="0" w:type="dxa"/>
          <w:right w:w="0" w:type="dxa"/>
        </w:tblCellMar>
        <w:tblLook w:val="01E0" w:firstRow="1" w:lastRow="1" w:firstColumn="1" w:lastColumn="1" w:noHBand="0" w:noVBand="0"/>
      </w:tblPr>
      <w:tblGrid>
        <w:gridCol w:w="5648"/>
        <w:gridCol w:w="4164"/>
      </w:tblGrid>
      <w:tr w:rsidR="006F76EB" w:rsidRPr="00834D52" w14:paraId="67CF13D0" w14:textId="77777777" w:rsidTr="00FD580B">
        <w:trPr>
          <w:trHeight w:val="1312"/>
        </w:trPr>
        <w:tc>
          <w:tcPr>
            <w:tcW w:w="5648" w:type="dxa"/>
            <w:tcBorders>
              <w:top w:val="single" w:sz="4" w:space="0" w:color="000000"/>
              <w:left w:val="single" w:sz="4" w:space="0" w:color="000000"/>
              <w:bottom w:val="single" w:sz="4" w:space="0" w:color="000000"/>
              <w:right w:val="single" w:sz="4" w:space="0" w:color="000000"/>
            </w:tcBorders>
          </w:tcPr>
          <w:p w14:paraId="042DF5B6"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արտադրական գործընթացի ընթացաշրջանի անվանումը</w:t>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իրավաբանական անձի անվանումը*</w:t>
            </w:r>
          </w:p>
        </w:tc>
        <w:tc>
          <w:tcPr>
            <w:tcW w:w="4164" w:type="dxa"/>
            <w:tcBorders>
              <w:top w:val="single" w:sz="4" w:space="0" w:color="000000"/>
              <w:left w:val="single" w:sz="4" w:space="0" w:color="000000"/>
              <w:bottom w:val="single" w:sz="4" w:space="0" w:color="000000"/>
              <w:right w:val="single" w:sz="4" w:space="0" w:color="000000"/>
            </w:tcBorders>
          </w:tcPr>
          <w:p w14:paraId="7237F56C" w14:textId="77777777" w:rsidR="006F76EB" w:rsidRPr="00834D52" w:rsidRDefault="006F76EB" w:rsidP="00FD580B">
            <w:pPr>
              <w:spacing w:after="120" w:line="240" w:lineRule="auto"/>
              <w:ind w:right="-6"/>
              <w:rPr>
                <w:rFonts w:ascii="Sylfaen" w:hAnsi="Sylfaen"/>
                <w:sz w:val="24"/>
                <w:szCs w:val="24"/>
              </w:rPr>
            </w:pPr>
          </w:p>
        </w:tc>
      </w:tr>
      <w:tr w:rsidR="006F76EB" w:rsidRPr="00834D52" w14:paraId="69C76A38" w14:textId="77777777" w:rsidTr="00FD580B">
        <w:trPr>
          <w:trHeight w:val="521"/>
        </w:trPr>
        <w:tc>
          <w:tcPr>
            <w:tcW w:w="5648" w:type="dxa"/>
            <w:tcBorders>
              <w:top w:val="single" w:sz="4" w:space="0" w:color="000000"/>
              <w:left w:val="single" w:sz="4" w:space="0" w:color="000000"/>
              <w:bottom w:val="single" w:sz="4" w:space="0" w:color="000000"/>
              <w:right w:val="single" w:sz="4" w:space="0" w:color="000000"/>
            </w:tcBorders>
          </w:tcPr>
          <w:p w14:paraId="0E37FBD7"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footnoteReference w:customMarkFollows="1" w:id="18"/>
              <w:t>գործունեության իրականացման վայրի հասցեն*</w:t>
            </w:r>
          </w:p>
        </w:tc>
        <w:tc>
          <w:tcPr>
            <w:tcW w:w="4164" w:type="dxa"/>
            <w:tcBorders>
              <w:top w:val="single" w:sz="4" w:space="0" w:color="000000"/>
              <w:left w:val="single" w:sz="4" w:space="0" w:color="000000"/>
              <w:bottom w:val="single" w:sz="4" w:space="0" w:color="000000"/>
              <w:right w:val="single" w:sz="4" w:space="0" w:color="000000"/>
            </w:tcBorders>
          </w:tcPr>
          <w:p w14:paraId="14C52274" w14:textId="77777777" w:rsidR="006F76EB" w:rsidRPr="00834D52" w:rsidRDefault="006F76EB" w:rsidP="00FD580B">
            <w:pPr>
              <w:spacing w:after="120" w:line="240" w:lineRule="auto"/>
              <w:ind w:right="-6"/>
              <w:rPr>
                <w:rFonts w:ascii="Sylfaen" w:hAnsi="Sylfaen"/>
                <w:sz w:val="24"/>
                <w:szCs w:val="24"/>
              </w:rPr>
            </w:pPr>
          </w:p>
        </w:tc>
      </w:tr>
      <w:tr w:rsidR="006F76EB" w:rsidRPr="00834D52" w14:paraId="30094B17" w14:textId="77777777" w:rsidTr="00FD580B">
        <w:trPr>
          <w:trHeight w:val="541"/>
        </w:trPr>
        <w:tc>
          <w:tcPr>
            <w:tcW w:w="5648" w:type="dxa"/>
            <w:tcBorders>
              <w:top w:val="single" w:sz="4" w:space="0" w:color="000000"/>
              <w:left w:val="single" w:sz="4" w:space="0" w:color="000000"/>
              <w:bottom w:val="single" w:sz="4" w:space="0" w:color="000000"/>
              <w:right w:val="single" w:sz="4" w:space="0" w:color="000000"/>
            </w:tcBorders>
          </w:tcPr>
          <w:p w14:paraId="2242DB62"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պետությունը*</w:t>
            </w:r>
          </w:p>
        </w:tc>
        <w:tc>
          <w:tcPr>
            <w:tcW w:w="4164" w:type="dxa"/>
            <w:tcBorders>
              <w:top w:val="single" w:sz="4" w:space="0" w:color="000000"/>
              <w:left w:val="single" w:sz="4" w:space="0" w:color="000000"/>
              <w:bottom w:val="single" w:sz="4" w:space="0" w:color="000000"/>
              <w:right w:val="single" w:sz="4" w:space="0" w:color="000000"/>
            </w:tcBorders>
          </w:tcPr>
          <w:p w14:paraId="79E70DCC" w14:textId="77777777" w:rsidR="006F76EB" w:rsidRPr="00834D52" w:rsidRDefault="006F76EB" w:rsidP="00FD580B">
            <w:pPr>
              <w:spacing w:after="120" w:line="240" w:lineRule="auto"/>
              <w:ind w:right="-6"/>
              <w:rPr>
                <w:rFonts w:ascii="Sylfaen" w:hAnsi="Sylfaen"/>
                <w:sz w:val="24"/>
                <w:szCs w:val="24"/>
              </w:rPr>
            </w:pPr>
          </w:p>
        </w:tc>
      </w:tr>
      <w:tr w:rsidR="006F76EB" w:rsidRPr="00834D52" w14:paraId="523D43B4" w14:textId="77777777" w:rsidTr="00FD580B">
        <w:trPr>
          <w:trHeight w:val="936"/>
        </w:trPr>
        <w:tc>
          <w:tcPr>
            <w:tcW w:w="5648" w:type="dxa"/>
            <w:tcBorders>
              <w:top w:val="single" w:sz="4" w:space="0" w:color="000000"/>
              <w:left w:val="single" w:sz="4" w:space="0" w:color="000000"/>
              <w:bottom w:val="single" w:sz="4" w:space="0" w:color="000000"/>
              <w:right w:val="single" w:sz="4" w:space="0" w:color="000000"/>
            </w:tcBorders>
          </w:tcPr>
          <w:p w14:paraId="6F926E1F"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4164" w:type="dxa"/>
            <w:tcBorders>
              <w:top w:val="single" w:sz="4" w:space="0" w:color="000000"/>
              <w:left w:val="single" w:sz="4" w:space="0" w:color="000000"/>
              <w:bottom w:val="single" w:sz="4" w:space="0" w:color="000000"/>
              <w:right w:val="single" w:sz="4" w:space="0" w:color="000000"/>
            </w:tcBorders>
          </w:tcPr>
          <w:p w14:paraId="5F978103" w14:textId="77777777" w:rsidR="006F76EB" w:rsidRPr="00834D52" w:rsidRDefault="006F76EB" w:rsidP="00FD580B">
            <w:pPr>
              <w:spacing w:after="120" w:line="240" w:lineRule="auto"/>
              <w:ind w:right="-6"/>
              <w:rPr>
                <w:rFonts w:ascii="Sylfaen" w:hAnsi="Sylfaen"/>
                <w:sz w:val="24"/>
                <w:szCs w:val="24"/>
              </w:rPr>
            </w:pPr>
          </w:p>
        </w:tc>
      </w:tr>
      <w:tr w:rsidR="006F76EB" w:rsidRPr="00834D52" w14:paraId="5FD6C300" w14:textId="77777777" w:rsidTr="00FD580B">
        <w:trPr>
          <w:trHeight w:val="541"/>
        </w:trPr>
        <w:tc>
          <w:tcPr>
            <w:tcW w:w="5648" w:type="dxa"/>
            <w:tcBorders>
              <w:top w:val="single" w:sz="4" w:space="0" w:color="000000"/>
              <w:left w:val="single" w:sz="4" w:space="0" w:color="000000"/>
              <w:bottom w:val="single" w:sz="4" w:space="0" w:color="000000"/>
              <w:right w:val="single" w:sz="4" w:space="0" w:color="000000"/>
            </w:tcBorders>
          </w:tcPr>
          <w:p w14:paraId="135B34A6"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4164" w:type="dxa"/>
            <w:tcBorders>
              <w:top w:val="single" w:sz="4" w:space="0" w:color="000000"/>
              <w:left w:val="single" w:sz="4" w:space="0" w:color="000000"/>
              <w:bottom w:val="single" w:sz="4" w:space="0" w:color="000000"/>
              <w:right w:val="single" w:sz="4" w:space="0" w:color="000000"/>
            </w:tcBorders>
          </w:tcPr>
          <w:p w14:paraId="2CFF7921" w14:textId="77777777" w:rsidR="006F76EB" w:rsidRPr="00834D52" w:rsidRDefault="006F76EB" w:rsidP="00FD580B">
            <w:pPr>
              <w:spacing w:after="120" w:line="240" w:lineRule="auto"/>
              <w:ind w:right="-6"/>
              <w:rPr>
                <w:rFonts w:ascii="Sylfaen" w:hAnsi="Sylfaen"/>
                <w:sz w:val="24"/>
                <w:szCs w:val="24"/>
              </w:rPr>
            </w:pPr>
          </w:p>
        </w:tc>
      </w:tr>
    </w:tbl>
    <w:p w14:paraId="4D03B2F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Եվրասիական տնտեսական միության անդամ պետության լիազորված մարմնի կողմից</w:t>
      </w:r>
      <w:r w:rsidRPr="00834D52" w:rsidDel="00615D9B">
        <w:rPr>
          <w:rFonts w:ascii="Sylfaen" w:hAnsi="Sylfaen"/>
          <w:sz w:val="24"/>
          <w:szCs w:val="24"/>
        </w:rPr>
        <w:t xml:space="preserve"> </w:t>
      </w:r>
      <w:r w:rsidRPr="00834D52">
        <w:rPr>
          <w:rFonts w:ascii="Sylfaen" w:hAnsi="Sylfaen"/>
          <w:sz w:val="24"/>
          <w:szCs w:val="24"/>
        </w:rPr>
        <w:t>անցկացվել է Եվրասիական տնտեսական միության պատշաճ արտադրական գործունեության պահանջների կատարման մասով տեսչական ստուգում՝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6AF56D79" w14:textId="77777777" w:rsidTr="00F71229">
        <w:tc>
          <w:tcPr>
            <w:tcW w:w="2268" w:type="dxa"/>
          </w:tcPr>
          <w:p w14:paraId="21F47629"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308CB415">
                <v:rect id="_x0000_s1253" style="position:absolute;left:0;text-align:left;margin-left:40.6pt;margin-top:3.05pt;width:12.75pt;height:12pt;z-index:251741696"/>
              </w:pict>
            </w:r>
            <w:r w:rsidR="006F76EB" w:rsidRPr="00834D52">
              <w:rPr>
                <w:rFonts w:ascii="Sylfaen" w:hAnsi="Sylfaen"/>
                <w:sz w:val="24"/>
                <w:szCs w:val="24"/>
              </w:rPr>
              <w:t>ոչ</w:t>
            </w:r>
          </w:p>
        </w:tc>
        <w:tc>
          <w:tcPr>
            <w:tcW w:w="2126" w:type="dxa"/>
          </w:tcPr>
          <w:p w14:paraId="3A65B59F"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20E546C6">
                <v:rect id="_x0000_s1252" style="position:absolute;left:0;text-align:left;margin-left:15.15pt;margin-top:3.05pt;width:12.75pt;height:12pt;z-index:251742720;mso-position-horizontal-relative:text;mso-position-vertical-relative:text"/>
              </w:pict>
            </w:r>
            <w:r w:rsidR="006F76EB" w:rsidRPr="00834D52">
              <w:rPr>
                <w:rFonts w:ascii="Sylfaen" w:hAnsi="Sylfaen"/>
                <w:sz w:val="24"/>
                <w:szCs w:val="24"/>
              </w:rPr>
              <w:t>այո</w:t>
            </w:r>
          </w:p>
        </w:tc>
      </w:tr>
    </w:tbl>
    <w:p w14:paraId="6475BD8E" w14:textId="77777777" w:rsidR="008603F3" w:rsidRDefault="008603F3" w:rsidP="006F76EB">
      <w:pPr>
        <w:spacing w:after="160" w:line="360" w:lineRule="auto"/>
        <w:ind w:right="-8" w:firstLine="567"/>
        <w:rPr>
          <w:rFonts w:ascii="Sylfaen" w:hAnsi="Sylfaen"/>
          <w:sz w:val="24"/>
          <w:szCs w:val="24"/>
          <w:lang w:val="en-US"/>
        </w:rPr>
      </w:pPr>
    </w:p>
    <w:p w14:paraId="13F5E182" w14:textId="77777777" w:rsidR="006F76EB" w:rsidRDefault="006F76EB" w:rsidP="006F76EB">
      <w:pPr>
        <w:spacing w:after="160" w:line="360" w:lineRule="auto"/>
        <w:ind w:right="-8" w:firstLine="567"/>
        <w:rPr>
          <w:rFonts w:ascii="Sylfaen" w:hAnsi="Sylfaen"/>
          <w:sz w:val="24"/>
          <w:szCs w:val="24"/>
          <w:lang w:val="en-US"/>
        </w:rPr>
      </w:pPr>
      <w:r w:rsidRPr="00834D52">
        <w:rPr>
          <w:rFonts w:ascii="Sylfaen" w:hAnsi="Sylfaen"/>
          <w:sz w:val="24"/>
          <w:szCs w:val="24"/>
        </w:rPr>
        <w:lastRenderedPageBreak/>
        <w:t>Եթե այո՝ նշե՛ք՝</w:t>
      </w:r>
    </w:p>
    <w:tbl>
      <w:tblPr>
        <w:tblW w:w="9611" w:type="dxa"/>
        <w:tblInd w:w="109" w:type="dxa"/>
        <w:tblLayout w:type="fixed"/>
        <w:tblCellMar>
          <w:left w:w="0" w:type="dxa"/>
          <w:right w:w="0" w:type="dxa"/>
        </w:tblCellMar>
        <w:tblLook w:val="01E0" w:firstRow="1" w:lastRow="1" w:firstColumn="1" w:lastColumn="1" w:noHBand="0" w:noVBand="0"/>
      </w:tblPr>
      <w:tblGrid>
        <w:gridCol w:w="4269"/>
        <w:gridCol w:w="5342"/>
      </w:tblGrid>
      <w:tr w:rsidR="006F76EB" w:rsidRPr="00834D52" w14:paraId="2BC6D62F" w14:textId="77777777" w:rsidTr="00F71229">
        <w:tc>
          <w:tcPr>
            <w:tcW w:w="4269" w:type="dxa"/>
            <w:tcBorders>
              <w:top w:val="single" w:sz="4" w:space="0" w:color="000000"/>
              <w:left w:val="single" w:sz="4" w:space="0" w:color="000000"/>
              <w:bottom w:val="single" w:sz="4" w:space="0" w:color="000000"/>
              <w:right w:val="single" w:sz="4" w:space="0" w:color="000000"/>
            </w:tcBorders>
          </w:tcPr>
          <w:p w14:paraId="5AD8E170"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5342" w:type="dxa"/>
            <w:tcBorders>
              <w:top w:val="single" w:sz="4" w:space="0" w:color="000000"/>
              <w:left w:val="single" w:sz="4" w:space="0" w:color="000000"/>
              <w:bottom w:val="single" w:sz="4" w:space="0" w:color="000000"/>
              <w:right w:val="single" w:sz="4" w:space="0" w:color="000000"/>
            </w:tcBorders>
          </w:tcPr>
          <w:p w14:paraId="4D4D5BC8" w14:textId="77777777" w:rsidR="006F76EB" w:rsidRPr="00834D52" w:rsidRDefault="006F76EB" w:rsidP="00FD580B">
            <w:pPr>
              <w:spacing w:after="120" w:line="240" w:lineRule="auto"/>
              <w:ind w:right="-6"/>
              <w:rPr>
                <w:rFonts w:ascii="Sylfaen" w:hAnsi="Sylfaen"/>
                <w:sz w:val="24"/>
                <w:szCs w:val="24"/>
              </w:rPr>
            </w:pPr>
          </w:p>
        </w:tc>
      </w:tr>
      <w:tr w:rsidR="006F76EB" w:rsidRPr="00834D52" w14:paraId="6EE48C76" w14:textId="77777777" w:rsidTr="00F71229">
        <w:tc>
          <w:tcPr>
            <w:tcW w:w="4269" w:type="dxa"/>
            <w:tcBorders>
              <w:top w:val="single" w:sz="4" w:space="0" w:color="000000"/>
              <w:left w:val="single" w:sz="4" w:space="0" w:color="000000"/>
              <w:bottom w:val="single" w:sz="4" w:space="0" w:color="000000"/>
              <w:right w:val="single" w:sz="4" w:space="0" w:color="000000"/>
            </w:tcBorders>
          </w:tcPr>
          <w:p w14:paraId="06138A57"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5342" w:type="dxa"/>
            <w:tcBorders>
              <w:top w:val="single" w:sz="4" w:space="0" w:color="000000"/>
              <w:left w:val="single" w:sz="4" w:space="0" w:color="000000"/>
              <w:bottom w:val="single" w:sz="4" w:space="0" w:color="000000"/>
              <w:right w:val="single" w:sz="4" w:space="0" w:color="000000"/>
            </w:tcBorders>
          </w:tcPr>
          <w:p w14:paraId="36AEE719" w14:textId="77777777" w:rsidR="006F76EB" w:rsidRPr="00834D52" w:rsidRDefault="006F76EB" w:rsidP="00FD580B">
            <w:pPr>
              <w:spacing w:after="120" w:line="240" w:lineRule="auto"/>
              <w:ind w:right="-6"/>
              <w:rPr>
                <w:rFonts w:ascii="Sylfaen" w:hAnsi="Sylfaen"/>
                <w:sz w:val="24"/>
                <w:szCs w:val="24"/>
              </w:rPr>
            </w:pPr>
          </w:p>
        </w:tc>
      </w:tr>
      <w:tr w:rsidR="006F76EB" w:rsidRPr="00834D52" w14:paraId="4B33E653" w14:textId="77777777" w:rsidTr="00F71229">
        <w:tc>
          <w:tcPr>
            <w:tcW w:w="4269" w:type="dxa"/>
            <w:tcBorders>
              <w:top w:val="single" w:sz="4" w:space="0" w:color="000000"/>
              <w:left w:val="single" w:sz="4" w:space="0" w:color="000000"/>
              <w:bottom w:val="single" w:sz="4" w:space="0" w:color="000000"/>
              <w:right w:val="single" w:sz="4" w:space="0" w:color="000000"/>
            </w:tcBorders>
          </w:tcPr>
          <w:p w14:paraId="50ED77AA"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5342" w:type="dxa"/>
            <w:tcBorders>
              <w:top w:val="single" w:sz="4" w:space="0" w:color="000000"/>
              <w:left w:val="single" w:sz="4" w:space="0" w:color="000000"/>
              <w:bottom w:val="single" w:sz="4" w:space="0" w:color="000000"/>
              <w:right w:val="single" w:sz="4" w:space="0" w:color="000000"/>
            </w:tcBorders>
          </w:tcPr>
          <w:p w14:paraId="411484B5" w14:textId="77777777" w:rsidR="006F76EB" w:rsidRPr="00834D52" w:rsidRDefault="006F76EB" w:rsidP="00FD580B">
            <w:pPr>
              <w:spacing w:after="120" w:line="240" w:lineRule="auto"/>
              <w:ind w:right="-6"/>
              <w:rPr>
                <w:rFonts w:ascii="Sylfaen" w:hAnsi="Sylfaen"/>
                <w:sz w:val="24"/>
                <w:szCs w:val="24"/>
              </w:rPr>
            </w:pPr>
          </w:p>
        </w:tc>
      </w:tr>
      <w:tr w:rsidR="006F76EB" w:rsidRPr="00834D52" w14:paraId="142D3BE7" w14:textId="77777777" w:rsidTr="00F71229">
        <w:tc>
          <w:tcPr>
            <w:tcW w:w="4269" w:type="dxa"/>
            <w:tcBorders>
              <w:top w:val="single" w:sz="4" w:space="0" w:color="000000"/>
              <w:left w:val="single" w:sz="4" w:space="0" w:color="000000"/>
              <w:bottom w:val="single" w:sz="4" w:space="0" w:color="000000"/>
              <w:right w:val="single" w:sz="4" w:space="0" w:color="000000"/>
            </w:tcBorders>
          </w:tcPr>
          <w:p w14:paraId="2117DE70"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ստուգվող դեղապատրաստուկների կատեգորիաներն ու ԱԴԲ-ն</w:t>
            </w:r>
          </w:p>
        </w:tc>
        <w:tc>
          <w:tcPr>
            <w:tcW w:w="5342" w:type="dxa"/>
            <w:tcBorders>
              <w:top w:val="single" w:sz="4" w:space="0" w:color="000000"/>
              <w:left w:val="single" w:sz="4" w:space="0" w:color="000000"/>
              <w:bottom w:val="single" w:sz="4" w:space="0" w:color="000000"/>
              <w:right w:val="single" w:sz="4" w:space="0" w:color="000000"/>
            </w:tcBorders>
          </w:tcPr>
          <w:p w14:paraId="2BBD31D3" w14:textId="77777777" w:rsidR="006F76EB" w:rsidRPr="00834D52" w:rsidRDefault="006F76EB" w:rsidP="00FD580B">
            <w:pPr>
              <w:spacing w:after="120" w:line="240" w:lineRule="auto"/>
              <w:ind w:right="-6"/>
              <w:rPr>
                <w:rFonts w:ascii="Sylfaen" w:hAnsi="Sylfaen"/>
                <w:sz w:val="24"/>
                <w:szCs w:val="24"/>
              </w:rPr>
            </w:pPr>
          </w:p>
        </w:tc>
      </w:tr>
      <w:tr w:rsidR="006F76EB" w:rsidRPr="00834D52" w14:paraId="220BED1C" w14:textId="77777777" w:rsidTr="00F71229">
        <w:tc>
          <w:tcPr>
            <w:tcW w:w="4269" w:type="dxa"/>
            <w:tcBorders>
              <w:top w:val="single" w:sz="4" w:space="0" w:color="000000"/>
              <w:left w:val="single" w:sz="4" w:space="0" w:color="000000"/>
              <w:bottom w:val="single" w:sz="4" w:space="0" w:color="000000"/>
              <w:right w:val="single" w:sz="4" w:space="0" w:color="000000"/>
            </w:tcBorders>
          </w:tcPr>
          <w:p w14:paraId="265FD500" w14:textId="77777777" w:rsidR="006F76EB" w:rsidRPr="00834D52" w:rsidRDefault="006F76EB" w:rsidP="00FD580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եզրակացությունը</w:t>
            </w:r>
          </w:p>
        </w:tc>
        <w:tc>
          <w:tcPr>
            <w:tcW w:w="5342" w:type="dxa"/>
            <w:tcBorders>
              <w:top w:val="single" w:sz="4" w:space="0" w:color="000000"/>
              <w:left w:val="single" w:sz="4" w:space="0" w:color="000000"/>
              <w:bottom w:val="single" w:sz="4" w:space="0" w:color="000000"/>
              <w:right w:val="single" w:sz="4" w:space="0" w:color="000000"/>
            </w:tcBorders>
          </w:tcPr>
          <w:p w14:paraId="457B30CC" w14:textId="77777777" w:rsidR="006F76EB" w:rsidRPr="00834D52" w:rsidRDefault="00157FD9" w:rsidP="00FD580B">
            <w:pPr>
              <w:spacing w:after="120" w:line="240" w:lineRule="auto"/>
              <w:ind w:left="163" w:right="-6"/>
              <w:rPr>
                <w:rFonts w:ascii="Sylfaen" w:eastAsia="Times New Roman" w:hAnsi="Sylfaen" w:cs="Times New Roman"/>
                <w:sz w:val="24"/>
                <w:szCs w:val="24"/>
              </w:rPr>
            </w:pPr>
            <w:r>
              <w:rPr>
                <w:rFonts w:ascii="Sylfaen" w:hAnsi="Sylfaen"/>
                <w:noProof/>
                <w:sz w:val="24"/>
                <w:szCs w:val="24"/>
              </w:rPr>
              <w:pict w14:anchorId="16D8D5CD">
                <v:rect id="_x0000_s1229" style="position:absolute;left:0;text-align:left;margin-left:213.3pt;margin-top:5.7pt;width:12.75pt;height:12pt;z-index:251743744;mso-position-horizontal-relative:text;mso-position-vertical-relative:text"/>
              </w:pict>
            </w:r>
            <w:r>
              <w:rPr>
                <w:rFonts w:ascii="Sylfaen" w:eastAsia="Times New Roman" w:hAnsi="Sylfaen" w:cs="Times New Roman"/>
                <w:noProof/>
                <w:sz w:val="24"/>
                <w:szCs w:val="24"/>
              </w:rPr>
              <w:pict w14:anchorId="178ED1F9">
                <v:rect id="_x0000_s1228" style="position:absolute;left:0;text-align:left;margin-left:163.2pt;margin-top:5.7pt;width:12.75pt;height:12pt;z-index:251744768;mso-position-horizontal-relative:text;mso-position-vertical-relative:text"/>
              </w:pict>
            </w:r>
            <w:r w:rsidR="006F76EB" w:rsidRPr="00834D52">
              <w:rPr>
                <w:rFonts w:ascii="Sylfaen" w:hAnsi="Sylfaen"/>
                <w:sz w:val="24"/>
                <w:szCs w:val="24"/>
              </w:rPr>
              <w:t xml:space="preserve">համապատասխանում է՝ ոչ </w:t>
            </w:r>
            <w:r w:rsidR="006F76EB" w:rsidRPr="00834D52">
              <w:rPr>
                <w:rFonts w:ascii="Sylfaen" w:hAnsi="Sylfaen"/>
                <w:sz w:val="24"/>
                <w:szCs w:val="24"/>
                <w:lang w:val="en-US"/>
              </w:rPr>
              <w:t xml:space="preserve">                       </w:t>
            </w:r>
            <w:r w:rsidR="006F76EB" w:rsidRPr="00834D52">
              <w:rPr>
                <w:rFonts w:ascii="Sylfaen" w:hAnsi="Sylfaen"/>
                <w:sz w:val="24"/>
                <w:szCs w:val="24"/>
              </w:rPr>
              <w:t>այո</w:t>
            </w:r>
          </w:p>
        </w:tc>
      </w:tr>
    </w:tbl>
    <w:p w14:paraId="3E940D5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այլ պետության լիազորված մարմնի կողմից անցկացվել է պատշաճ արտադրական գործունեության պահանջների կատարման մասով տարածքի տեսչական ստուգում՝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5F424C95" w14:textId="77777777" w:rsidTr="00F71229">
        <w:tc>
          <w:tcPr>
            <w:tcW w:w="2268" w:type="dxa"/>
          </w:tcPr>
          <w:p w14:paraId="50D05EA1"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5D19EF48">
                <v:rect id="_x0000_s1255" style="position:absolute;left:0;text-align:left;margin-left:40.6pt;margin-top:3.05pt;width:12.75pt;height:12pt;z-index:251745792"/>
              </w:pict>
            </w:r>
            <w:r w:rsidR="006F76EB" w:rsidRPr="00834D52">
              <w:rPr>
                <w:rFonts w:ascii="Sylfaen" w:hAnsi="Sylfaen"/>
                <w:sz w:val="24"/>
                <w:szCs w:val="24"/>
              </w:rPr>
              <w:t>ոչ</w:t>
            </w:r>
          </w:p>
        </w:tc>
        <w:tc>
          <w:tcPr>
            <w:tcW w:w="2126" w:type="dxa"/>
          </w:tcPr>
          <w:p w14:paraId="64CB1DC7"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6FD9557">
                <v:rect id="_x0000_s1254" style="position:absolute;left:0;text-align:left;margin-left:15.15pt;margin-top:3.05pt;width:12.75pt;height:12pt;z-index:251746816;mso-position-horizontal-relative:text;mso-position-vertical-relative:text"/>
              </w:pict>
            </w:r>
            <w:r w:rsidR="006F76EB" w:rsidRPr="00834D52">
              <w:rPr>
                <w:rFonts w:ascii="Sylfaen" w:hAnsi="Sylfaen"/>
                <w:sz w:val="24"/>
                <w:szCs w:val="24"/>
              </w:rPr>
              <w:t>այո</w:t>
            </w:r>
          </w:p>
        </w:tc>
      </w:tr>
    </w:tbl>
    <w:p w14:paraId="0D80E28C"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 նշե՛ք՝</w:t>
      </w:r>
    </w:p>
    <w:tbl>
      <w:tblPr>
        <w:tblW w:w="9528" w:type="dxa"/>
        <w:tblInd w:w="109" w:type="dxa"/>
        <w:tblLayout w:type="fixed"/>
        <w:tblCellMar>
          <w:left w:w="0" w:type="dxa"/>
          <w:right w:w="0" w:type="dxa"/>
        </w:tblCellMar>
        <w:tblLook w:val="01E0" w:firstRow="1" w:lastRow="1" w:firstColumn="1" w:lastColumn="1" w:noHBand="0" w:noVBand="0"/>
      </w:tblPr>
      <w:tblGrid>
        <w:gridCol w:w="4252"/>
        <w:gridCol w:w="5276"/>
      </w:tblGrid>
      <w:tr w:rsidR="006F76EB" w:rsidRPr="00834D52" w14:paraId="08A9AFF4" w14:textId="77777777" w:rsidTr="002A181E">
        <w:trPr>
          <w:trHeight w:val="927"/>
        </w:trPr>
        <w:tc>
          <w:tcPr>
            <w:tcW w:w="4252" w:type="dxa"/>
            <w:tcBorders>
              <w:top w:val="single" w:sz="4" w:space="0" w:color="000000"/>
              <w:left w:val="single" w:sz="4" w:space="0" w:color="000000"/>
              <w:bottom w:val="single" w:sz="4" w:space="0" w:color="000000"/>
              <w:right w:val="single" w:sz="4" w:space="0" w:color="000000"/>
            </w:tcBorders>
          </w:tcPr>
          <w:p w14:paraId="247FD659"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5276" w:type="dxa"/>
            <w:tcBorders>
              <w:top w:val="single" w:sz="4" w:space="0" w:color="000000"/>
              <w:left w:val="single" w:sz="4" w:space="0" w:color="000000"/>
              <w:bottom w:val="single" w:sz="4" w:space="0" w:color="000000"/>
              <w:right w:val="single" w:sz="4" w:space="0" w:color="000000"/>
            </w:tcBorders>
          </w:tcPr>
          <w:p w14:paraId="574EE4BB" w14:textId="77777777" w:rsidR="006F76EB" w:rsidRPr="00834D52" w:rsidRDefault="006F76EB" w:rsidP="002A181E">
            <w:pPr>
              <w:spacing w:after="120" w:line="240" w:lineRule="auto"/>
              <w:ind w:right="-6"/>
              <w:rPr>
                <w:rFonts w:ascii="Sylfaen" w:hAnsi="Sylfaen"/>
                <w:sz w:val="24"/>
                <w:szCs w:val="24"/>
              </w:rPr>
            </w:pPr>
          </w:p>
        </w:tc>
      </w:tr>
      <w:tr w:rsidR="006F76EB" w:rsidRPr="00834D52" w14:paraId="61EE7446" w14:textId="77777777" w:rsidTr="002A181E">
        <w:trPr>
          <w:trHeight w:val="927"/>
        </w:trPr>
        <w:tc>
          <w:tcPr>
            <w:tcW w:w="4252" w:type="dxa"/>
            <w:tcBorders>
              <w:top w:val="single" w:sz="4" w:space="0" w:color="000000"/>
              <w:left w:val="single" w:sz="4" w:space="0" w:color="000000"/>
              <w:bottom w:val="single" w:sz="4" w:space="0" w:color="000000"/>
              <w:right w:val="single" w:sz="4" w:space="0" w:color="000000"/>
            </w:tcBorders>
          </w:tcPr>
          <w:p w14:paraId="70CFEB32"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5276" w:type="dxa"/>
            <w:tcBorders>
              <w:top w:val="single" w:sz="4" w:space="0" w:color="000000"/>
              <w:left w:val="single" w:sz="4" w:space="0" w:color="000000"/>
              <w:bottom w:val="single" w:sz="4" w:space="0" w:color="000000"/>
              <w:right w:val="single" w:sz="4" w:space="0" w:color="000000"/>
            </w:tcBorders>
          </w:tcPr>
          <w:p w14:paraId="737EC8E8" w14:textId="77777777" w:rsidR="006F76EB" w:rsidRPr="00834D52" w:rsidRDefault="006F76EB" w:rsidP="002A181E">
            <w:pPr>
              <w:spacing w:after="120" w:line="240" w:lineRule="auto"/>
              <w:ind w:right="-6"/>
              <w:rPr>
                <w:rFonts w:ascii="Sylfaen" w:hAnsi="Sylfaen"/>
                <w:sz w:val="24"/>
                <w:szCs w:val="24"/>
              </w:rPr>
            </w:pPr>
          </w:p>
        </w:tc>
      </w:tr>
      <w:tr w:rsidR="006F76EB" w:rsidRPr="00834D52" w14:paraId="04113901" w14:textId="77777777" w:rsidTr="002A181E">
        <w:trPr>
          <w:trHeight w:val="536"/>
        </w:trPr>
        <w:tc>
          <w:tcPr>
            <w:tcW w:w="4252" w:type="dxa"/>
            <w:tcBorders>
              <w:top w:val="single" w:sz="4" w:space="0" w:color="000000"/>
              <w:left w:val="single" w:sz="4" w:space="0" w:color="000000"/>
              <w:bottom w:val="single" w:sz="4" w:space="0" w:color="000000"/>
              <w:right w:val="single" w:sz="4" w:space="0" w:color="000000"/>
            </w:tcBorders>
          </w:tcPr>
          <w:p w14:paraId="13EF9559"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5276" w:type="dxa"/>
            <w:tcBorders>
              <w:top w:val="single" w:sz="4" w:space="0" w:color="000000"/>
              <w:left w:val="single" w:sz="4" w:space="0" w:color="000000"/>
              <w:bottom w:val="single" w:sz="4" w:space="0" w:color="000000"/>
              <w:right w:val="single" w:sz="4" w:space="0" w:color="000000"/>
            </w:tcBorders>
          </w:tcPr>
          <w:p w14:paraId="69412ABB" w14:textId="77777777" w:rsidR="006F76EB" w:rsidRPr="00834D52" w:rsidRDefault="006F76EB" w:rsidP="002A181E">
            <w:pPr>
              <w:spacing w:after="120" w:line="240" w:lineRule="auto"/>
              <w:ind w:right="-6"/>
              <w:rPr>
                <w:rFonts w:ascii="Sylfaen" w:hAnsi="Sylfaen"/>
                <w:sz w:val="24"/>
                <w:szCs w:val="24"/>
              </w:rPr>
            </w:pPr>
          </w:p>
        </w:tc>
      </w:tr>
      <w:tr w:rsidR="006F76EB" w:rsidRPr="00834D52" w14:paraId="6980B353" w14:textId="77777777" w:rsidTr="002A181E">
        <w:trPr>
          <w:trHeight w:val="908"/>
        </w:trPr>
        <w:tc>
          <w:tcPr>
            <w:tcW w:w="4252" w:type="dxa"/>
            <w:tcBorders>
              <w:top w:val="single" w:sz="4" w:space="0" w:color="000000"/>
              <w:left w:val="single" w:sz="4" w:space="0" w:color="000000"/>
              <w:bottom w:val="single" w:sz="4" w:space="0" w:color="000000"/>
              <w:right w:val="single" w:sz="4" w:space="0" w:color="000000"/>
            </w:tcBorders>
          </w:tcPr>
          <w:p w14:paraId="23C49283"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ստուգվող դեղապատրաստուկների կատեգորիաներն ու ԱԴԲ-ն</w:t>
            </w:r>
          </w:p>
        </w:tc>
        <w:tc>
          <w:tcPr>
            <w:tcW w:w="5276" w:type="dxa"/>
            <w:tcBorders>
              <w:top w:val="single" w:sz="4" w:space="0" w:color="000000"/>
              <w:left w:val="single" w:sz="4" w:space="0" w:color="000000"/>
              <w:bottom w:val="single" w:sz="4" w:space="0" w:color="000000"/>
              <w:right w:val="single" w:sz="4" w:space="0" w:color="000000"/>
            </w:tcBorders>
          </w:tcPr>
          <w:p w14:paraId="47357971" w14:textId="77777777" w:rsidR="006F76EB" w:rsidRPr="00834D52" w:rsidRDefault="006F76EB" w:rsidP="002A181E">
            <w:pPr>
              <w:spacing w:after="120" w:line="240" w:lineRule="auto"/>
              <w:ind w:right="-6"/>
              <w:rPr>
                <w:rFonts w:ascii="Sylfaen" w:hAnsi="Sylfaen"/>
                <w:sz w:val="24"/>
                <w:szCs w:val="24"/>
              </w:rPr>
            </w:pPr>
          </w:p>
        </w:tc>
      </w:tr>
      <w:tr w:rsidR="006F76EB" w:rsidRPr="00834D52" w14:paraId="5BEEE476" w14:textId="77777777" w:rsidTr="002A181E">
        <w:trPr>
          <w:trHeight w:val="536"/>
        </w:trPr>
        <w:tc>
          <w:tcPr>
            <w:tcW w:w="4252" w:type="dxa"/>
            <w:tcBorders>
              <w:top w:val="single" w:sz="4" w:space="0" w:color="000000"/>
              <w:left w:val="single" w:sz="4" w:space="0" w:color="000000"/>
              <w:bottom w:val="single" w:sz="4" w:space="0" w:color="000000"/>
              <w:right w:val="single" w:sz="4" w:space="0" w:color="000000"/>
            </w:tcBorders>
          </w:tcPr>
          <w:p w14:paraId="096C57BD"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եզրակացությունը</w:t>
            </w:r>
          </w:p>
        </w:tc>
        <w:tc>
          <w:tcPr>
            <w:tcW w:w="5276" w:type="dxa"/>
            <w:tcBorders>
              <w:top w:val="single" w:sz="4" w:space="0" w:color="000000"/>
              <w:left w:val="single" w:sz="4" w:space="0" w:color="000000"/>
              <w:bottom w:val="single" w:sz="4" w:space="0" w:color="000000"/>
              <w:right w:val="single" w:sz="4" w:space="0" w:color="000000"/>
            </w:tcBorders>
          </w:tcPr>
          <w:p w14:paraId="1C6EA64F" w14:textId="77777777" w:rsidR="006F76EB" w:rsidRPr="00834D52" w:rsidRDefault="00157FD9" w:rsidP="002A181E">
            <w:pPr>
              <w:spacing w:after="120" w:line="240" w:lineRule="auto"/>
              <w:ind w:left="163" w:right="-6"/>
              <w:rPr>
                <w:rFonts w:ascii="Sylfaen" w:eastAsia="Times New Roman" w:hAnsi="Sylfaen" w:cs="Times New Roman"/>
                <w:sz w:val="24"/>
                <w:szCs w:val="24"/>
              </w:rPr>
            </w:pPr>
            <w:r>
              <w:rPr>
                <w:rFonts w:ascii="Sylfaen" w:hAnsi="Sylfaen"/>
                <w:noProof/>
                <w:sz w:val="24"/>
                <w:szCs w:val="24"/>
              </w:rPr>
              <w:pict w14:anchorId="095711EF">
                <v:rect id="_x0000_s1231" style="position:absolute;left:0;text-align:left;margin-left:195.05pt;margin-top:1.95pt;width:12.75pt;height:12pt;z-index:251747840;mso-position-horizontal-relative:text;mso-position-vertical-relative:text"/>
              </w:pict>
            </w:r>
            <w:r>
              <w:rPr>
                <w:rFonts w:ascii="Sylfaen" w:eastAsia="Times New Roman" w:hAnsi="Sylfaen" w:cs="Times New Roman"/>
                <w:noProof/>
                <w:sz w:val="24"/>
                <w:szCs w:val="24"/>
              </w:rPr>
              <w:pict w14:anchorId="6C57C3CE">
                <v:rect id="_x0000_s1230" style="position:absolute;left:0;text-align:left;margin-left:162.3pt;margin-top:1.95pt;width:12.75pt;height:12pt;z-index:251748864;mso-position-horizontal-relative:text;mso-position-vertical-relative:text"/>
              </w:pict>
            </w:r>
            <w:r w:rsidR="006F76EB" w:rsidRPr="00834D52">
              <w:rPr>
                <w:rFonts w:ascii="Sylfaen" w:hAnsi="Sylfaen"/>
                <w:sz w:val="24"/>
                <w:szCs w:val="24"/>
              </w:rPr>
              <w:t xml:space="preserve">համապատասխանում է՝ ոչ </w:t>
            </w:r>
            <w:r w:rsidR="006F76EB" w:rsidRPr="00834D52">
              <w:rPr>
                <w:rFonts w:ascii="Sylfaen" w:hAnsi="Sylfaen"/>
                <w:sz w:val="24"/>
                <w:szCs w:val="24"/>
                <w:lang w:val="en-US"/>
              </w:rPr>
              <w:t xml:space="preserve">                  </w:t>
            </w:r>
            <w:r w:rsidR="006F76EB" w:rsidRPr="00834D52">
              <w:rPr>
                <w:rFonts w:ascii="Sylfaen" w:hAnsi="Sylfaen"/>
                <w:sz w:val="24"/>
                <w:szCs w:val="24"/>
              </w:rPr>
              <w:t>այո</w:t>
            </w:r>
          </w:p>
        </w:tc>
      </w:tr>
    </w:tbl>
    <w:p w14:paraId="76BF72CF" w14:textId="77777777" w:rsidR="006F76EB" w:rsidRPr="00834D52" w:rsidRDefault="006F76EB" w:rsidP="002A181E">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3.5.5.</w:t>
      </w:r>
      <w:r w:rsidRPr="00834D52">
        <w:rPr>
          <w:rFonts w:ascii="Sylfaen" w:hAnsi="Sylfaen"/>
          <w:sz w:val="24"/>
          <w:szCs w:val="24"/>
        </w:rPr>
        <w:tab/>
        <w:t xml:space="preserve">ԱԴԲ-ն արտադրողը </w:t>
      </w:r>
      <w:r w:rsidR="00C54D75">
        <w:rPr>
          <w:rFonts w:ascii="Sylfaen" w:hAnsi="Sylfaen"/>
          <w:sz w:val="24"/>
          <w:szCs w:val="24"/>
        </w:rPr>
        <w:t>և</w:t>
      </w:r>
      <w:r w:rsidRPr="00834D52">
        <w:rPr>
          <w:rFonts w:ascii="Sylfaen" w:hAnsi="Sylfaen"/>
          <w:sz w:val="24"/>
          <w:szCs w:val="24"/>
        </w:rPr>
        <w:t xml:space="preserve"> արտադրական հարթակները</w:t>
      </w:r>
    </w:p>
    <w:p w14:paraId="29A45747" w14:textId="77777777" w:rsidR="006F76EB" w:rsidRPr="007F5A60" w:rsidRDefault="006F76EB" w:rsidP="006F76EB">
      <w:pPr>
        <w:spacing w:after="160" w:line="336" w:lineRule="auto"/>
        <w:ind w:right="-6" w:firstLine="567"/>
        <w:jc w:val="both"/>
        <w:rPr>
          <w:rFonts w:ascii="Sylfaen" w:hAnsi="Sylfaen"/>
          <w:sz w:val="24"/>
          <w:szCs w:val="24"/>
        </w:rPr>
      </w:pPr>
      <w:r w:rsidRPr="00834D52">
        <w:rPr>
          <w:rFonts w:ascii="Sylfaen" w:hAnsi="Sylfaen"/>
          <w:sz w:val="24"/>
          <w:szCs w:val="24"/>
        </w:rPr>
        <w:t xml:space="preserve">Յուրաքանչյուր ԱԴԲ-ի արտադրական գործընթացին մասնակցող բոլոր արտադրական հարթակները՝ նշելով արտադրության էտապը: Կենսաբանական դեղապատրաստուկների համար պետք է թվարկվեն բջիջների գլխավոր </w:t>
      </w:r>
      <w:r w:rsidR="00C54D75">
        <w:rPr>
          <w:rFonts w:ascii="Sylfaen" w:hAnsi="Sylfaen"/>
          <w:sz w:val="24"/>
          <w:szCs w:val="24"/>
        </w:rPr>
        <w:t>և</w:t>
      </w:r>
      <w:r w:rsidRPr="00834D52">
        <w:rPr>
          <w:rFonts w:ascii="Sylfaen" w:hAnsi="Sylfaen"/>
          <w:sz w:val="24"/>
          <w:szCs w:val="24"/>
        </w:rPr>
        <w:t xml:space="preserve"> աշխատանքային բանկերի պահպանում իրականացնող բոլոր հարթակները </w:t>
      </w:r>
      <w:r w:rsidR="00C54D75">
        <w:rPr>
          <w:rFonts w:ascii="Sylfaen" w:hAnsi="Sylfaen"/>
          <w:sz w:val="24"/>
          <w:szCs w:val="24"/>
        </w:rPr>
        <w:t>և</w:t>
      </w:r>
      <w:r w:rsidRPr="00834D52">
        <w:rPr>
          <w:rFonts w:ascii="Sylfaen" w:hAnsi="Sylfaen"/>
          <w:sz w:val="24"/>
          <w:szCs w:val="24"/>
        </w:rPr>
        <w:t xml:space="preserve"> բջիջների աշխատանքային բանկի պատրաստում իրականացնող հարթակները:</w:t>
      </w:r>
    </w:p>
    <w:p w14:paraId="20B4FDCF" w14:textId="77777777" w:rsidR="002A181E" w:rsidRPr="007F5A60" w:rsidRDefault="002A181E" w:rsidP="006F76EB">
      <w:pPr>
        <w:spacing w:after="160" w:line="336" w:lineRule="auto"/>
        <w:ind w:right="-6" w:firstLine="567"/>
        <w:jc w:val="both"/>
        <w:rPr>
          <w:rFonts w:ascii="Sylfaen" w:eastAsia="Times New Roman" w:hAnsi="Sylfaen" w:cs="Times New Roman"/>
          <w:sz w:val="24"/>
          <w:szCs w:val="24"/>
        </w:rPr>
      </w:pPr>
    </w:p>
    <w:tbl>
      <w:tblPr>
        <w:tblW w:w="9610" w:type="dxa"/>
        <w:tblInd w:w="109" w:type="dxa"/>
        <w:tblLayout w:type="fixed"/>
        <w:tblCellMar>
          <w:left w:w="0" w:type="dxa"/>
          <w:right w:w="0" w:type="dxa"/>
        </w:tblCellMar>
        <w:tblLook w:val="01E0" w:firstRow="1" w:lastRow="1" w:firstColumn="1" w:lastColumn="1" w:noHBand="0" w:noVBand="0"/>
      </w:tblPr>
      <w:tblGrid>
        <w:gridCol w:w="5957"/>
        <w:gridCol w:w="3653"/>
      </w:tblGrid>
      <w:tr w:rsidR="006F76EB" w:rsidRPr="00834D52" w14:paraId="3DC31E2D"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5A79BED2"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lastRenderedPageBreak/>
              <w:t>արտադրական գործընթացի ընթացաշրջանի անվանումը, ակտիվ դեղաբանական բաղադրամասը</w:t>
            </w:r>
          </w:p>
        </w:tc>
        <w:tc>
          <w:tcPr>
            <w:tcW w:w="3653" w:type="dxa"/>
            <w:tcBorders>
              <w:top w:val="single" w:sz="4" w:space="0" w:color="000000"/>
              <w:left w:val="single" w:sz="4" w:space="0" w:color="000000"/>
              <w:bottom w:val="single" w:sz="4" w:space="0" w:color="000000"/>
              <w:right w:val="single" w:sz="4" w:space="0" w:color="000000"/>
            </w:tcBorders>
          </w:tcPr>
          <w:p w14:paraId="0B9A6937" w14:textId="77777777" w:rsidR="006F76EB" w:rsidRPr="00834D52" w:rsidRDefault="006F76EB" w:rsidP="002A181E">
            <w:pPr>
              <w:spacing w:after="120" w:line="240" w:lineRule="auto"/>
              <w:ind w:right="-6"/>
              <w:rPr>
                <w:rFonts w:ascii="Sylfaen" w:hAnsi="Sylfaen"/>
                <w:sz w:val="24"/>
                <w:szCs w:val="24"/>
              </w:rPr>
            </w:pPr>
          </w:p>
        </w:tc>
      </w:tr>
      <w:tr w:rsidR="006F76EB" w:rsidRPr="00834D52" w14:paraId="46AB58C5"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01696ADC"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անվանումը, անհատ ձեռնարկատեր ֆիզիկական անձի ազգանունը, անունը, հայրանունը</w:t>
            </w:r>
          </w:p>
        </w:tc>
        <w:tc>
          <w:tcPr>
            <w:tcW w:w="3653" w:type="dxa"/>
            <w:tcBorders>
              <w:top w:val="single" w:sz="4" w:space="0" w:color="000000"/>
              <w:left w:val="single" w:sz="4" w:space="0" w:color="000000"/>
              <w:bottom w:val="single" w:sz="4" w:space="0" w:color="000000"/>
              <w:right w:val="single" w:sz="4" w:space="0" w:color="000000"/>
            </w:tcBorders>
          </w:tcPr>
          <w:p w14:paraId="44352A7A" w14:textId="77777777" w:rsidR="006F76EB" w:rsidRPr="00834D52" w:rsidRDefault="006F76EB" w:rsidP="002A181E">
            <w:pPr>
              <w:spacing w:after="120" w:line="240" w:lineRule="auto"/>
              <w:ind w:right="-6"/>
              <w:rPr>
                <w:rFonts w:ascii="Sylfaen" w:hAnsi="Sylfaen"/>
                <w:sz w:val="24"/>
                <w:szCs w:val="24"/>
              </w:rPr>
            </w:pPr>
          </w:p>
        </w:tc>
      </w:tr>
      <w:tr w:rsidR="006F76EB" w:rsidRPr="00834D52" w14:paraId="0A56E2DB"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367969B0"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գործունեության իրականացման վայրի հասցեն</w:t>
            </w:r>
          </w:p>
        </w:tc>
        <w:tc>
          <w:tcPr>
            <w:tcW w:w="3653" w:type="dxa"/>
            <w:tcBorders>
              <w:top w:val="single" w:sz="4" w:space="0" w:color="000000"/>
              <w:left w:val="single" w:sz="4" w:space="0" w:color="000000"/>
              <w:bottom w:val="single" w:sz="4" w:space="0" w:color="000000"/>
              <w:right w:val="single" w:sz="4" w:space="0" w:color="000000"/>
            </w:tcBorders>
          </w:tcPr>
          <w:p w14:paraId="6AD862E5" w14:textId="77777777" w:rsidR="006F76EB" w:rsidRPr="00834D52" w:rsidRDefault="006F76EB" w:rsidP="002A181E">
            <w:pPr>
              <w:spacing w:after="120" w:line="240" w:lineRule="auto"/>
              <w:ind w:right="-6"/>
              <w:rPr>
                <w:rFonts w:ascii="Sylfaen" w:hAnsi="Sylfaen"/>
                <w:sz w:val="24"/>
                <w:szCs w:val="24"/>
              </w:rPr>
            </w:pPr>
          </w:p>
        </w:tc>
      </w:tr>
      <w:tr w:rsidR="006F76EB" w:rsidRPr="00834D52" w14:paraId="28506F5A"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4249A22E"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պետությունը</w:t>
            </w:r>
          </w:p>
        </w:tc>
        <w:tc>
          <w:tcPr>
            <w:tcW w:w="3653" w:type="dxa"/>
            <w:tcBorders>
              <w:top w:val="single" w:sz="4" w:space="0" w:color="000000"/>
              <w:left w:val="single" w:sz="4" w:space="0" w:color="000000"/>
              <w:bottom w:val="single" w:sz="4" w:space="0" w:color="000000"/>
              <w:right w:val="single" w:sz="4" w:space="0" w:color="000000"/>
            </w:tcBorders>
          </w:tcPr>
          <w:p w14:paraId="1DDFA883" w14:textId="77777777" w:rsidR="006F76EB" w:rsidRPr="00834D52" w:rsidRDefault="006F76EB" w:rsidP="002A181E">
            <w:pPr>
              <w:spacing w:after="120" w:line="240" w:lineRule="auto"/>
              <w:ind w:right="-6"/>
              <w:rPr>
                <w:rFonts w:ascii="Sylfaen" w:hAnsi="Sylfaen"/>
                <w:sz w:val="24"/>
                <w:szCs w:val="24"/>
              </w:rPr>
            </w:pPr>
          </w:p>
        </w:tc>
      </w:tr>
      <w:tr w:rsidR="006F76EB" w:rsidRPr="00834D52" w14:paraId="0E33C669"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30CC874B"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653" w:type="dxa"/>
            <w:tcBorders>
              <w:top w:val="single" w:sz="4" w:space="0" w:color="000000"/>
              <w:left w:val="single" w:sz="4" w:space="0" w:color="000000"/>
              <w:bottom w:val="single" w:sz="4" w:space="0" w:color="000000"/>
              <w:right w:val="single" w:sz="4" w:space="0" w:color="000000"/>
            </w:tcBorders>
          </w:tcPr>
          <w:p w14:paraId="316F198B" w14:textId="77777777" w:rsidR="006F76EB" w:rsidRPr="00834D52" w:rsidRDefault="006F76EB" w:rsidP="002A181E">
            <w:pPr>
              <w:spacing w:after="120" w:line="240" w:lineRule="auto"/>
              <w:ind w:right="-6"/>
              <w:rPr>
                <w:rFonts w:ascii="Sylfaen" w:hAnsi="Sylfaen"/>
                <w:sz w:val="24"/>
                <w:szCs w:val="24"/>
              </w:rPr>
            </w:pPr>
          </w:p>
        </w:tc>
      </w:tr>
      <w:tr w:rsidR="006F76EB" w:rsidRPr="00834D52" w14:paraId="1CE614BF"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734F669C" w14:textId="77777777" w:rsidR="006F76EB" w:rsidRPr="00834D52" w:rsidRDefault="006F76EB" w:rsidP="002A181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653" w:type="dxa"/>
            <w:tcBorders>
              <w:top w:val="single" w:sz="4" w:space="0" w:color="000000"/>
              <w:left w:val="single" w:sz="4" w:space="0" w:color="000000"/>
              <w:bottom w:val="single" w:sz="4" w:space="0" w:color="000000"/>
              <w:right w:val="single" w:sz="4" w:space="0" w:color="000000"/>
            </w:tcBorders>
          </w:tcPr>
          <w:p w14:paraId="48205EEA" w14:textId="77777777" w:rsidR="006F76EB" w:rsidRPr="00834D52" w:rsidRDefault="006F76EB" w:rsidP="002A181E">
            <w:pPr>
              <w:spacing w:after="120" w:line="240" w:lineRule="auto"/>
              <w:ind w:right="-6"/>
              <w:rPr>
                <w:rFonts w:ascii="Sylfaen" w:hAnsi="Sylfaen"/>
                <w:sz w:val="24"/>
                <w:szCs w:val="24"/>
              </w:rPr>
            </w:pPr>
          </w:p>
        </w:tc>
      </w:tr>
    </w:tbl>
    <w:p w14:paraId="41B69FC7" w14:textId="77777777" w:rsidR="006F76EB" w:rsidRPr="00834D52" w:rsidRDefault="006F76EB" w:rsidP="00762F9B">
      <w:pPr>
        <w:spacing w:after="160" w:line="336" w:lineRule="auto"/>
        <w:ind w:right="-6" w:firstLine="567"/>
        <w:jc w:val="both"/>
        <w:rPr>
          <w:rFonts w:ascii="Sylfaen" w:hAnsi="Sylfaen"/>
          <w:sz w:val="24"/>
          <w:szCs w:val="24"/>
        </w:rPr>
      </w:pPr>
      <w:r w:rsidRPr="00834D52">
        <w:rPr>
          <w:rFonts w:ascii="Sylfaen" w:hAnsi="Sylfaen"/>
          <w:sz w:val="24"/>
          <w:szCs w:val="24"/>
        </w:rPr>
        <w:t xml:space="preserve">Յուրաքանչյուր ԱԴԲ-ի համար կցե՛ք լիազորված անձի հայտը՝ սույն հայտի հավելվածի 5.5 ենթակետի համաձայն (կցե՛ք այն սխեման, որը ներառում է արտադրական գործընթացում ներգրավված տարբեր արտադրական հարթակների համար հաջորդականությունը </w:t>
      </w:r>
      <w:r w:rsidR="00C54D75">
        <w:rPr>
          <w:rFonts w:ascii="Sylfaen" w:hAnsi="Sylfaen"/>
          <w:sz w:val="24"/>
          <w:szCs w:val="24"/>
        </w:rPr>
        <w:t>և</w:t>
      </w:r>
      <w:r w:rsidRPr="00834D52">
        <w:rPr>
          <w:rFonts w:ascii="Sylfaen" w:hAnsi="Sylfaen"/>
          <w:sz w:val="24"/>
          <w:szCs w:val="24"/>
        </w:rPr>
        <w:t xml:space="preserve"> գործողությունները՝ ներառյալ բացթողման համար անհրաժեշտ հսկողությունը):</w:t>
      </w:r>
    </w:p>
    <w:p w14:paraId="161C7E92" w14:textId="77777777" w:rsidR="006F76EB" w:rsidRPr="00834D52" w:rsidRDefault="006F76EB" w:rsidP="00762F9B">
      <w:pPr>
        <w:spacing w:after="160" w:line="336" w:lineRule="auto"/>
        <w:ind w:right="-8"/>
        <w:jc w:val="both"/>
        <w:rPr>
          <w:rFonts w:ascii="Sylfaen" w:eastAsia="Times New Roman" w:hAnsi="Sylfaen" w:cs="Times New Roman"/>
          <w:sz w:val="24"/>
          <w:szCs w:val="24"/>
        </w:rPr>
      </w:pPr>
      <w:r w:rsidRPr="00834D52">
        <w:rPr>
          <w:rFonts w:ascii="Sylfaen" w:hAnsi="Sylfaen"/>
          <w:sz w:val="24"/>
          <w:szCs w:val="24"/>
        </w:rPr>
        <w:t>Արդյոք Եվրասիական տնտեսական միության անդամ պետության լիազորված մարմնի կողմից անցկացվել է Եվրասիական տնտեսական միության պատշաճ արտադրական գործունեության պահանջների կատարման մասով տեսչական ստուգում՝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53FC8108" w14:textId="77777777" w:rsidTr="00F71229">
        <w:tc>
          <w:tcPr>
            <w:tcW w:w="2268" w:type="dxa"/>
          </w:tcPr>
          <w:p w14:paraId="5E306261"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7DFFA8B3">
                <v:rect id="_x0000_s1257" style="position:absolute;left:0;text-align:left;margin-left:40.6pt;margin-top:3.05pt;width:12.75pt;height:12pt;z-index:251749888"/>
              </w:pict>
            </w:r>
            <w:r w:rsidR="006F76EB" w:rsidRPr="00834D52">
              <w:rPr>
                <w:rFonts w:ascii="Sylfaen" w:hAnsi="Sylfaen"/>
                <w:sz w:val="24"/>
                <w:szCs w:val="24"/>
              </w:rPr>
              <w:t>ոչ</w:t>
            </w:r>
          </w:p>
        </w:tc>
        <w:tc>
          <w:tcPr>
            <w:tcW w:w="2126" w:type="dxa"/>
          </w:tcPr>
          <w:p w14:paraId="013B1E0D"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53F7C666">
                <v:rect id="_x0000_s1256" style="position:absolute;left:0;text-align:left;margin-left:15.15pt;margin-top:3.05pt;width:12.75pt;height:12pt;z-index:251750912;mso-position-horizontal-relative:text;mso-position-vertical-relative:text"/>
              </w:pict>
            </w:r>
            <w:r w:rsidR="006F76EB" w:rsidRPr="00834D52">
              <w:rPr>
                <w:rFonts w:ascii="Sylfaen" w:hAnsi="Sylfaen"/>
                <w:sz w:val="24"/>
                <w:szCs w:val="24"/>
              </w:rPr>
              <w:t>այո</w:t>
            </w:r>
          </w:p>
        </w:tc>
      </w:tr>
    </w:tbl>
    <w:p w14:paraId="18EF0579"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ԱԴԲ-ի համար տրվել է Եվրոպական դեղագրքի մենագրությանը համապատասխանության սերտիֆիկատ</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424338A0" w14:textId="77777777" w:rsidTr="00F71229">
        <w:tc>
          <w:tcPr>
            <w:tcW w:w="2268" w:type="dxa"/>
          </w:tcPr>
          <w:p w14:paraId="24B1B1AD"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63831C22">
                <v:rect id="_x0000_s1259" style="position:absolute;left:0;text-align:left;margin-left:40.6pt;margin-top:3.05pt;width:12.75pt;height:12pt;z-index:251751936"/>
              </w:pict>
            </w:r>
            <w:r w:rsidR="006F76EB" w:rsidRPr="00834D52">
              <w:rPr>
                <w:rFonts w:ascii="Sylfaen" w:hAnsi="Sylfaen"/>
                <w:sz w:val="24"/>
                <w:szCs w:val="24"/>
              </w:rPr>
              <w:t>ոչ</w:t>
            </w:r>
          </w:p>
        </w:tc>
        <w:tc>
          <w:tcPr>
            <w:tcW w:w="2126" w:type="dxa"/>
          </w:tcPr>
          <w:p w14:paraId="4FF9EE99"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37DB1F77">
                <v:rect id="_x0000_s1258" style="position:absolute;left:0;text-align:left;margin-left:15.15pt;margin-top:3.05pt;width:12.75pt;height:12pt;z-index:251752960;mso-position-horizontal-relative:text;mso-position-vertical-relative:text"/>
              </w:pict>
            </w:r>
            <w:r w:rsidR="006F76EB" w:rsidRPr="00834D52">
              <w:rPr>
                <w:rFonts w:ascii="Sylfaen" w:hAnsi="Sylfaen"/>
                <w:sz w:val="24"/>
                <w:szCs w:val="24"/>
              </w:rPr>
              <w:t>այո</w:t>
            </w:r>
          </w:p>
        </w:tc>
      </w:tr>
    </w:tbl>
    <w:p w14:paraId="27E0322F" w14:textId="77777777" w:rsidR="006F76EB" w:rsidRPr="00834D52" w:rsidRDefault="006F76EB" w:rsidP="006F76EB">
      <w:pPr>
        <w:spacing w:after="160" w:line="360" w:lineRule="auto"/>
        <w:ind w:right="-8" w:firstLine="567"/>
        <w:rPr>
          <w:rFonts w:ascii="Sylfaen" w:hAnsi="Sylfaen"/>
          <w:sz w:val="24"/>
          <w:szCs w:val="24"/>
        </w:rPr>
      </w:pPr>
      <w:r w:rsidRPr="00834D52">
        <w:rPr>
          <w:rFonts w:ascii="Sylfaen" w:hAnsi="Sylfaen"/>
          <w:sz w:val="24"/>
          <w:szCs w:val="24"/>
        </w:rPr>
        <w:t>Եթե այո՝</w:t>
      </w:r>
    </w:p>
    <w:tbl>
      <w:tblPr>
        <w:tblW w:w="0" w:type="auto"/>
        <w:tblInd w:w="109" w:type="dxa"/>
        <w:tblLayout w:type="fixed"/>
        <w:tblCellMar>
          <w:left w:w="0" w:type="dxa"/>
          <w:right w:w="0" w:type="dxa"/>
        </w:tblCellMar>
        <w:tblLook w:val="01E0" w:firstRow="1" w:lastRow="1" w:firstColumn="1" w:lastColumn="1" w:noHBand="0" w:noVBand="0"/>
      </w:tblPr>
      <w:tblGrid>
        <w:gridCol w:w="5957"/>
        <w:gridCol w:w="3653"/>
      </w:tblGrid>
      <w:tr w:rsidR="006F76EB" w:rsidRPr="00834D52" w14:paraId="223A1042"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5EF209AB" w14:textId="77777777" w:rsidR="006F76EB" w:rsidRPr="00834D52" w:rsidRDefault="006F76EB" w:rsidP="00762F9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ակտիվ դեղաբանական բաղադրամասի անվանումը</w:t>
            </w:r>
          </w:p>
        </w:tc>
        <w:tc>
          <w:tcPr>
            <w:tcW w:w="3653" w:type="dxa"/>
            <w:tcBorders>
              <w:top w:val="single" w:sz="4" w:space="0" w:color="000000"/>
              <w:left w:val="single" w:sz="4" w:space="0" w:color="000000"/>
              <w:bottom w:val="single" w:sz="4" w:space="0" w:color="000000"/>
              <w:right w:val="single" w:sz="4" w:space="0" w:color="000000"/>
            </w:tcBorders>
          </w:tcPr>
          <w:p w14:paraId="0669C1BC" w14:textId="77777777" w:rsidR="006F76EB" w:rsidRPr="00834D52" w:rsidRDefault="006F76EB" w:rsidP="00762F9B">
            <w:pPr>
              <w:spacing w:after="120" w:line="240" w:lineRule="auto"/>
              <w:ind w:right="-6"/>
              <w:rPr>
                <w:rFonts w:ascii="Sylfaen" w:hAnsi="Sylfaen"/>
                <w:sz w:val="24"/>
                <w:szCs w:val="24"/>
              </w:rPr>
            </w:pPr>
          </w:p>
        </w:tc>
      </w:tr>
      <w:tr w:rsidR="006F76EB" w:rsidRPr="00834D52" w14:paraId="477D5030"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288E67FB" w14:textId="77777777" w:rsidR="006F76EB" w:rsidRPr="00834D52" w:rsidRDefault="006F76EB" w:rsidP="00762F9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իրավաբանական անձի անվանումը կամ ձեռնարկատեր ֆիզիկական անձի (արտադրողի) ազգանունը, անունը, հայրանունը</w:t>
            </w:r>
          </w:p>
        </w:tc>
        <w:tc>
          <w:tcPr>
            <w:tcW w:w="3653" w:type="dxa"/>
            <w:tcBorders>
              <w:top w:val="single" w:sz="4" w:space="0" w:color="000000"/>
              <w:left w:val="single" w:sz="4" w:space="0" w:color="000000"/>
              <w:bottom w:val="single" w:sz="4" w:space="0" w:color="000000"/>
              <w:right w:val="single" w:sz="4" w:space="0" w:color="000000"/>
            </w:tcBorders>
          </w:tcPr>
          <w:p w14:paraId="7A37BDE7" w14:textId="77777777" w:rsidR="006F76EB" w:rsidRPr="00834D52" w:rsidRDefault="006F76EB" w:rsidP="00762F9B">
            <w:pPr>
              <w:spacing w:after="120" w:line="240" w:lineRule="auto"/>
              <w:ind w:right="-6"/>
              <w:rPr>
                <w:rFonts w:ascii="Sylfaen" w:hAnsi="Sylfaen"/>
                <w:sz w:val="24"/>
                <w:szCs w:val="24"/>
              </w:rPr>
            </w:pPr>
          </w:p>
        </w:tc>
      </w:tr>
      <w:tr w:rsidR="006F76EB" w:rsidRPr="00834D52" w14:paraId="3CCEBFBE"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2D7A1249" w14:textId="77777777" w:rsidR="006F76EB" w:rsidRPr="00834D52" w:rsidRDefault="006F76EB" w:rsidP="00762F9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համապատասխանության վերաբերյալ փաստաթղթի համարը</w:t>
            </w:r>
          </w:p>
        </w:tc>
        <w:tc>
          <w:tcPr>
            <w:tcW w:w="3653" w:type="dxa"/>
            <w:tcBorders>
              <w:top w:val="single" w:sz="4" w:space="0" w:color="000000"/>
              <w:left w:val="single" w:sz="4" w:space="0" w:color="000000"/>
              <w:bottom w:val="single" w:sz="4" w:space="0" w:color="000000"/>
              <w:right w:val="single" w:sz="4" w:space="0" w:color="000000"/>
            </w:tcBorders>
          </w:tcPr>
          <w:p w14:paraId="3F1C53FC" w14:textId="77777777" w:rsidR="006F76EB" w:rsidRPr="00834D52" w:rsidRDefault="006F76EB" w:rsidP="00762F9B">
            <w:pPr>
              <w:spacing w:after="120" w:line="240" w:lineRule="auto"/>
              <w:ind w:right="-6"/>
              <w:rPr>
                <w:rFonts w:ascii="Sylfaen" w:hAnsi="Sylfaen"/>
                <w:sz w:val="24"/>
                <w:szCs w:val="24"/>
              </w:rPr>
            </w:pPr>
          </w:p>
        </w:tc>
      </w:tr>
      <w:tr w:rsidR="006F76EB" w:rsidRPr="00834D52" w14:paraId="44C1FCF6" w14:textId="77777777" w:rsidTr="00F71229">
        <w:tc>
          <w:tcPr>
            <w:tcW w:w="5957" w:type="dxa"/>
            <w:tcBorders>
              <w:top w:val="single" w:sz="4" w:space="0" w:color="000000"/>
              <w:left w:val="single" w:sz="4" w:space="0" w:color="000000"/>
              <w:bottom w:val="nil"/>
              <w:right w:val="single" w:sz="4" w:space="0" w:color="000000"/>
            </w:tcBorders>
          </w:tcPr>
          <w:p w14:paraId="629EA3A7" w14:textId="77777777" w:rsidR="006F76EB" w:rsidRPr="00834D52" w:rsidRDefault="006F76EB" w:rsidP="00762F9B">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վերջին վերանայման ամսաթիվը</w:t>
            </w:r>
          </w:p>
        </w:tc>
        <w:tc>
          <w:tcPr>
            <w:tcW w:w="3653" w:type="dxa"/>
            <w:tcBorders>
              <w:top w:val="single" w:sz="4" w:space="0" w:color="000000"/>
              <w:left w:val="single" w:sz="4" w:space="0" w:color="000000"/>
              <w:bottom w:val="nil"/>
              <w:right w:val="single" w:sz="4" w:space="0" w:color="000000"/>
            </w:tcBorders>
          </w:tcPr>
          <w:p w14:paraId="7AF93061" w14:textId="77777777" w:rsidR="006F76EB" w:rsidRPr="00834D52" w:rsidRDefault="006F76EB" w:rsidP="00762F9B">
            <w:pPr>
              <w:spacing w:after="120" w:line="240" w:lineRule="auto"/>
              <w:ind w:right="-6"/>
              <w:rPr>
                <w:rFonts w:ascii="Sylfaen" w:hAnsi="Sylfaen"/>
                <w:sz w:val="24"/>
                <w:szCs w:val="24"/>
              </w:rPr>
            </w:pPr>
          </w:p>
        </w:tc>
      </w:tr>
    </w:tbl>
    <w:p w14:paraId="61124FCB"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Արդյոք այլ պետության լիազորված մարմնի կողմից անցկացվել է պատշաճ արտադրական գործունեության պահանջների կատարման մասով հարթակի տեսչական ստուգում՝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0ACD95B4" w14:textId="77777777" w:rsidTr="00F71229">
        <w:tc>
          <w:tcPr>
            <w:tcW w:w="2268" w:type="dxa"/>
          </w:tcPr>
          <w:p w14:paraId="168C0434"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6C52ED46">
                <v:rect id="_x0000_s1261" style="position:absolute;left:0;text-align:left;margin-left:40.6pt;margin-top:3.05pt;width:12.75pt;height:12pt;z-index:251753984"/>
              </w:pict>
            </w:r>
            <w:r w:rsidR="006F76EB" w:rsidRPr="00834D52">
              <w:rPr>
                <w:rFonts w:ascii="Sylfaen" w:hAnsi="Sylfaen"/>
                <w:sz w:val="24"/>
                <w:szCs w:val="24"/>
              </w:rPr>
              <w:t>ոչ</w:t>
            </w:r>
          </w:p>
        </w:tc>
        <w:tc>
          <w:tcPr>
            <w:tcW w:w="2126" w:type="dxa"/>
          </w:tcPr>
          <w:p w14:paraId="1489F01F"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465767D">
                <v:rect id="_x0000_s1260" style="position:absolute;left:0;text-align:left;margin-left:15.15pt;margin-top:3.05pt;width:12.75pt;height:12pt;z-index:251755008;mso-position-horizontal-relative:text;mso-position-vertical-relative:text"/>
              </w:pict>
            </w:r>
            <w:r w:rsidR="006F76EB" w:rsidRPr="00834D52">
              <w:rPr>
                <w:rFonts w:ascii="Sylfaen" w:hAnsi="Sylfaen"/>
                <w:sz w:val="24"/>
                <w:szCs w:val="24"/>
              </w:rPr>
              <w:t>այո</w:t>
            </w:r>
          </w:p>
        </w:tc>
      </w:tr>
    </w:tbl>
    <w:p w14:paraId="0BF4D5F6"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 նշե՛ք՝</w:t>
      </w:r>
    </w:p>
    <w:tbl>
      <w:tblPr>
        <w:tblW w:w="9611" w:type="dxa"/>
        <w:tblInd w:w="109" w:type="dxa"/>
        <w:tblLayout w:type="fixed"/>
        <w:tblCellMar>
          <w:left w:w="0" w:type="dxa"/>
          <w:right w:w="0" w:type="dxa"/>
        </w:tblCellMar>
        <w:tblLook w:val="01E0" w:firstRow="1" w:lastRow="1" w:firstColumn="1" w:lastColumn="1" w:noHBand="0" w:noVBand="0"/>
      </w:tblPr>
      <w:tblGrid>
        <w:gridCol w:w="4259"/>
        <w:gridCol w:w="5352"/>
      </w:tblGrid>
      <w:tr w:rsidR="006F76EB" w:rsidRPr="00834D52" w14:paraId="4CF686D6" w14:textId="77777777" w:rsidTr="00F71229">
        <w:tc>
          <w:tcPr>
            <w:tcW w:w="4259" w:type="dxa"/>
            <w:tcBorders>
              <w:top w:val="single" w:sz="4" w:space="0" w:color="000000"/>
              <w:left w:val="single" w:sz="4" w:space="0" w:color="000000"/>
              <w:bottom w:val="single" w:sz="4" w:space="0" w:color="000000"/>
              <w:right w:val="single" w:sz="4" w:space="0" w:color="000000"/>
            </w:tcBorders>
          </w:tcPr>
          <w:p w14:paraId="4AC1015A"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վերջին տեսչական ստուգման ամսաթիվը</w:t>
            </w:r>
          </w:p>
        </w:tc>
        <w:tc>
          <w:tcPr>
            <w:tcW w:w="5352" w:type="dxa"/>
            <w:tcBorders>
              <w:top w:val="single" w:sz="4" w:space="0" w:color="000000"/>
              <w:left w:val="single" w:sz="4" w:space="0" w:color="000000"/>
              <w:bottom w:val="single" w:sz="4" w:space="0" w:color="000000"/>
              <w:right w:val="single" w:sz="4" w:space="0" w:color="000000"/>
            </w:tcBorders>
          </w:tcPr>
          <w:p w14:paraId="695DC25E" w14:textId="77777777" w:rsidR="006F76EB" w:rsidRPr="00834D52" w:rsidRDefault="006F76EB" w:rsidP="00BA3580">
            <w:pPr>
              <w:spacing w:after="120" w:line="240" w:lineRule="auto"/>
              <w:ind w:right="-6"/>
              <w:rPr>
                <w:rFonts w:ascii="Sylfaen" w:hAnsi="Sylfaen"/>
                <w:sz w:val="24"/>
                <w:szCs w:val="24"/>
              </w:rPr>
            </w:pPr>
          </w:p>
        </w:tc>
      </w:tr>
      <w:tr w:rsidR="006F76EB" w:rsidRPr="00834D52" w14:paraId="0716939C" w14:textId="77777777" w:rsidTr="00F71229">
        <w:tc>
          <w:tcPr>
            <w:tcW w:w="4259" w:type="dxa"/>
            <w:tcBorders>
              <w:top w:val="single" w:sz="4" w:space="0" w:color="000000"/>
              <w:left w:val="single" w:sz="4" w:space="0" w:color="000000"/>
              <w:bottom w:val="single" w:sz="4" w:space="0" w:color="000000"/>
              <w:right w:val="single" w:sz="4" w:space="0" w:color="000000"/>
            </w:tcBorders>
          </w:tcPr>
          <w:p w14:paraId="289F8ECB"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ստուգումն անցկացրած լիազորված մարմնի անվանումը</w:t>
            </w:r>
          </w:p>
        </w:tc>
        <w:tc>
          <w:tcPr>
            <w:tcW w:w="5352" w:type="dxa"/>
            <w:tcBorders>
              <w:top w:val="single" w:sz="4" w:space="0" w:color="000000"/>
              <w:left w:val="single" w:sz="4" w:space="0" w:color="000000"/>
              <w:bottom w:val="single" w:sz="4" w:space="0" w:color="000000"/>
              <w:right w:val="single" w:sz="4" w:space="0" w:color="000000"/>
            </w:tcBorders>
          </w:tcPr>
          <w:p w14:paraId="0C35CD6D" w14:textId="77777777" w:rsidR="006F76EB" w:rsidRPr="00834D52" w:rsidRDefault="006F76EB" w:rsidP="00BA3580">
            <w:pPr>
              <w:spacing w:after="120" w:line="240" w:lineRule="auto"/>
              <w:ind w:right="-6"/>
              <w:rPr>
                <w:rFonts w:ascii="Sylfaen" w:hAnsi="Sylfaen"/>
                <w:sz w:val="24"/>
                <w:szCs w:val="24"/>
              </w:rPr>
            </w:pPr>
          </w:p>
        </w:tc>
      </w:tr>
      <w:tr w:rsidR="006F76EB" w:rsidRPr="00834D52" w14:paraId="2CA6ED6C" w14:textId="77777777" w:rsidTr="00F71229">
        <w:tc>
          <w:tcPr>
            <w:tcW w:w="4259" w:type="dxa"/>
            <w:tcBorders>
              <w:top w:val="single" w:sz="4" w:space="0" w:color="000000"/>
              <w:left w:val="single" w:sz="4" w:space="0" w:color="000000"/>
              <w:bottom w:val="single" w:sz="4" w:space="0" w:color="000000"/>
              <w:right w:val="single" w:sz="4" w:space="0" w:color="000000"/>
            </w:tcBorders>
          </w:tcPr>
          <w:p w14:paraId="08298651"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տեսչական ստուգման տեսակը</w:t>
            </w:r>
          </w:p>
        </w:tc>
        <w:tc>
          <w:tcPr>
            <w:tcW w:w="5352" w:type="dxa"/>
            <w:tcBorders>
              <w:top w:val="single" w:sz="4" w:space="0" w:color="000000"/>
              <w:left w:val="single" w:sz="4" w:space="0" w:color="000000"/>
              <w:bottom w:val="single" w:sz="4" w:space="0" w:color="000000"/>
              <w:right w:val="single" w:sz="4" w:space="0" w:color="000000"/>
            </w:tcBorders>
          </w:tcPr>
          <w:p w14:paraId="3C127F35" w14:textId="77777777" w:rsidR="006F76EB" w:rsidRPr="00834D52" w:rsidRDefault="006F76EB" w:rsidP="00BA3580">
            <w:pPr>
              <w:spacing w:after="120" w:line="240" w:lineRule="auto"/>
              <w:ind w:right="-6"/>
              <w:rPr>
                <w:rFonts w:ascii="Sylfaen" w:hAnsi="Sylfaen"/>
                <w:sz w:val="24"/>
                <w:szCs w:val="24"/>
              </w:rPr>
            </w:pPr>
          </w:p>
        </w:tc>
      </w:tr>
      <w:tr w:rsidR="006F76EB" w:rsidRPr="00834D52" w14:paraId="5F8BD03E" w14:textId="77777777" w:rsidTr="00F71229">
        <w:tc>
          <w:tcPr>
            <w:tcW w:w="4259" w:type="dxa"/>
            <w:tcBorders>
              <w:top w:val="single" w:sz="4" w:space="0" w:color="000000"/>
              <w:left w:val="single" w:sz="4" w:space="0" w:color="000000"/>
              <w:bottom w:val="single" w:sz="4" w:space="0" w:color="000000"/>
              <w:right w:val="single" w:sz="4" w:space="0" w:color="000000"/>
            </w:tcBorders>
          </w:tcPr>
          <w:p w14:paraId="1AEF018F"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համապատասխանության վերաբերյալ փաստաթղթի համարը</w:t>
            </w:r>
          </w:p>
        </w:tc>
        <w:tc>
          <w:tcPr>
            <w:tcW w:w="5352" w:type="dxa"/>
            <w:tcBorders>
              <w:top w:val="single" w:sz="4" w:space="0" w:color="000000"/>
              <w:left w:val="single" w:sz="4" w:space="0" w:color="000000"/>
              <w:bottom w:val="single" w:sz="4" w:space="0" w:color="000000"/>
              <w:right w:val="single" w:sz="4" w:space="0" w:color="000000"/>
            </w:tcBorders>
          </w:tcPr>
          <w:p w14:paraId="5E1B7CB3" w14:textId="77777777" w:rsidR="006F76EB" w:rsidRPr="00834D52" w:rsidRDefault="006F76EB" w:rsidP="00BA3580">
            <w:pPr>
              <w:spacing w:after="120" w:line="240" w:lineRule="auto"/>
              <w:ind w:right="-6"/>
              <w:rPr>
                <w:rFonts w:ascii="Sylfaen" w:hAnsi="Sylfaen"/>
                <w:sz w:val="24"/>
                <w:szCs w:val="24"/>
              </w:rPr>
            </w:pPr>
          </w:p>
        </w:tc>
      </w:tr>
      <w:tr w:rsidR="006F76EB" w:rsidRPr="00834D52" w14:paraId="28510733" w14:textId="77777777" w:rsidTr="00F71229">
        <w:tc>
          <w:tcPr>
            <w:tcW w:w="4259" w:type="dxa"/>
            <w:tcBorders>
              <w:top w:val="single" w:sz="4" w:space="0" w:color="000000"/>
              <w:left w:val="single" w:sz="4" w:space="0" w:color="000000"/>
              <w:bottom w:val="single" w:sz="4" w:space="0" w:color="000000"/>
              <w:right w:val="single" w:sz="4" w:space="0" w:color="000000"/>
            </w:tcBorders>
          </w:tcPr>
          <w:p w14:paraId="11C0C5F9"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եզրակացությունը</w:t>
            </w:r>
          </w:p>
        </w:tc>
        <w:tc>
          <w:tcPr>
            <w:tcW w:w="5352" w:type="dxa"/>
            <w:tcBorders>
              <w:top w:val="single" w:sz="4" w:space="0" w:color="000000"/>
              <w:left w:val="single" w:sz="4" w:space="0" w:color="000000"/>
              <w:bottom w:val="single" w:sz="4" w:space="0" w:color="000000"/>
              <w:right w:val="single" w:sz="4" w:space="0" w:color="000000"/>
            </w:tcBorders>
          </w:tcPr>
          <w:p w14:paraId="2B77A711" w14:textId="77777777" w:rsidR="006F76EB" w:rsidRPr="00834D52" w:rsidRDefault="00157FD9" w:rsidP="00BA3580">
            <w:pPr>
              <w:spacing w:after="120" w:line="240" w:lineRule="auto"/>
              <w:ind w:left="163" w:right="-6"/>
              <w:rPr>
                <w:rFonts w:ascii="Sylfaen" w:eastAsia="Times New Roman" w:hAnsi="Sylfaen" w:cs="Times New Roman"/>
                <w:sz w:val="24"/>
                <w:szCs w:val="24"/>
              </w:rPr>
            </w:pPr>
            <w:r>
              <w:rPr>
                <w:rFonts w:ascii="Sylfaen" w:eastAsia="Times New Roman" w:hAnsi="Sylfaen" w:cs="Times New Roman"/>
                <w:noProof/>
                <w:sz w:val="24"/>
                <w:szCs w:val="24"/>
              </w:rPr>
              <w:pict w14:anchorId="037F6E28">
                <v:rect id="_x0000_s1232" style="position:absolute;left:0;text-align:left;margin-left:166.7pt;margin-top:5.7pt;width:12.75pt;height:12pt;z-index:251756032;mso-position-horizontal-relative:text;mso-position-vertical-relative:text"/>
              </w:pict>
            </w:r>
            <w:r>
              <w:rPr>
                <w:rFonts w:ascii="Sylfaen" w:hAnsi="Sylfaen"/>
                <w:noProof/>
                <w:sz w:val="24"/>
                <w:szCs w:val="24"/>
              </w:rPr>
              <w:pict w14:anchorId="4AB1B8B7">
                <v:rect id="_x0000_s1233" style="position:absolute;left:0;text-align:left;margin-left:208.05pt;margin-top:5.7pt;width:12.75pt;height:12pt;z-index:251757056;mso-position-horizontal-relative:text;mso-position-vertical-relative:text"/>
              </w:pict>
            </w:r>
            <w:r w:rsidR="006F76EB" w:rsidRPr="00834D52">
              <w:rPr>
                <w:rFonts w:ascii="Sylfaen" w:hAnsi="Sylfaen"/>
                <w:sz w:val="24"/>
                <w:szCs w:val="24"/>
              </w:rPr>
              <w:t>համապատասխանում է՝ ոչ</w:t>
            </w:r>
            <w:r w:rsidR="006F76EB" w:rsidRPr="00834D52">
              <w:rPr>
                <w:rFonts w:ascii="Sylfaen" w:hAnsi="Sylfaen"/>
                <w:sz w:val="24"/>
                <w:szCs w:val="24"/>
                <w:lang w:val="en-US"/>
              </w:rPr>
              <w:t xml:space="preserve">                      </w:t>
            </w:r>
            <w:r w:rsidR="006F76EB" w:rsidRPr="00834D52">
              <w:rPr>
                <w:rFonts w:ascii="Sylfaen" w:hAnsi="Sylfaen"/>
                <w:sz w:val="24"/>
                <w:szCs w:val="24"/>
              </w:rPr>
              <w:t xml:space="preserve"> այո</w:t>
            </w:r>
          </w:p>
        </w:tc>
      </w:tr>
    </w:tbl>
    <w:p w14:paraId="478E0911"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գրանցման դոսյեի կազմում օգտագործվելու է ԱԴԲ-ն արտադրողի մաստեր-ֆայլը՝</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468D99A0" w14:textId="77777777" w:rsidTr="00F71229">
        <w:tc>
          <w:tcPr>
            <w:tcW w:w="2268" w:type="dxa"/>
          </w:tcPr>
          <w:p w14:paraId="2EFEAD57"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1F082990">
                <v:rect id="_x0000_s1263" style="position:absolute;left:0;text-align:left;margin-left:40.6pt;margin-top:3.05pt;width:12.75pt;height:12pt;z-index:251758080"/>
              </w:pict>
            </w:r>
            <w:r w:rsidR="006F76EB" w:rsidRPr="00834D52">
              <w:rPr>
                <w:rFonts w:ascii="Sylfaen" w:hAnsi="Sylfaen"/>
                <w:sz w:val="24"/>
                <w:szCs w:val="24"/>
              </w:rPr>
              <w:t>ոչ</w:t>
            </w:r>
          </w:p>
        </w:tc>
        <w:tc>
          <w:tcPr>
            <w:tcW w:w="2126" w:type="dxa"/>
          </w:tcPr>
          <w:p w14:paraId="7B4CA61D"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172F2E11">
                <v:rect id="_x0000_s1262" style="position:absolute;left:0;text-align:left;margin-left:15.15pt;margin-top:3.05pt;width:12.75pt;height:12pt;z-index:251759104;mso-position-horizontal-relative:text;mso-position-vertical-relative:text"/>
              </w:pict>
            </w:r>
            <w:r w:rsidR="006F76EB" w:rsidRPr="00834D52">
              <w:rPr>
                <w:rFonts w:ascii="Sylfaen" w:hAnsi="Sylfaen"/>
                <w:sz w:val="24"/>
                <w:szCs w:val="24"/>
              </w:rPr>
              <w:t>այո</w:t>
            </w:r>
          </w:p>
        </w:tc>
      </w:tr>
    </w:tbl>
    <w:p w14:paraId="414B68F7"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610" w:type="dxa"/>
        <w:tblInd w:w="109" w:type="dxa"/>
        <w:tblLayout w:type="fixed"/>
        <w:tblCellMar>
          <w:left w:w="0" w:type="dxa"/>
          <w:right w:w="0" w:type="dxa"/>
        </w:tblCellMar>
        <w:tblLook w:val="01E0" w:firstRow="1" w:lastRow="1" w:firstColumn="1" w:lastColumn="1" w:noHBand="0" w:noVBand="0"/>
      </w:tblPr>
      <w:tblGrid>
        <w:gridCol w:w="5957"/>
        <w:gridCol w:w="3653"/>
      </w:tblGrid>
      <w:tr w:rsidR="006F76EB" w:rsidRPr="00834D52" w14:paraId="1E3C406D"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05069D68"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ակտիվ դեղաբանական բաղադրամասի անվանումը</w:t>
            </w:r>
          </w:p>
        </w:tc>
        <w:tc>
          <w:tcPr>
            <w:tcW w:w="3653" w:type="dxa"/>
            <w:tcBorders>
              <w:top w:val="single" w:sz="4" w:space="0" w:color="000000"/>
              <w:left w:val="single" w:sz="4" w:space="0" w:color="000000"/>
              <w:bottom w:val="single" w:sz="4" w:space="0" w:color="000000"/>
              <w:right w:val="single" w:sz="4" w:space="0" w:color="000000"/>
            </w:tcBorders>
          </w:tcPr>
          <w:p w14:paraId="69D151CE" w14:textId="77777777" w:rsidR="006F76EB" w:rsidRPr="00834D52" w:rsidRDefault="006F76EB" w:rsidP="00BA3580">
            <w:pPr>
              <w:spacing w:after="120" w:line="240" w:lineRule="auto"/>
              <w:ind w:right="-6"/>
              <w:rPr>
                <w:rFonts w:ascii="Sylfaen" w:hAnsi="Sylfaen"/>
                <w:sz w:val="24"/>
                <w:szCs w:val="24"/>
              </w:rPr>
            </w:pPr>
          </w:p>
        </w:tc>
      </w:tr>
      <w:tr w:rsidR="006F76EB" w:rsidRPr="00834D52" w14:paraId="2DCBF85E"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0880615B"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ԱԴԲ-ն արտադրողի մաստեր-ֆայլի իրավատիրոջ անվանումը</w:t>
            </w:r>
          </w:p>
        </w:tc>
        <w:tc>
          <w:tcPr>
            <w:tcW w:w="3653" w:type="dxa"/>
            <w:tcBorders>
              <w:top w:val="single" w:sz="4" w:space="0" w:color="000000"/>
              <w:left w:val="single" w:sz="4" w:space="0" w:color="000000"/>
              <w:bottom w:val="single" w:sz="4" w:space="0" w:color="000000"/>
              <w:right w:val="single" w:sz="4" w:space="0" w:color="000000"/>
            </w:tcBorders>
          </w:tcPr>
          <w:p w14:paraId="402385AC" w14:textId="77777777" w:rsidR="006F76EB" w:rsidRPr="00834D52" w:rsidRDefault="006F76EB" w:rsidP="00BA3580">
            <w:pPr>
              <w:spacing w:after="120" w:line="240" w:lineRule="auto"/>
              <w:ind w:right="-6"/>
              <w:rPr>
                <w:rFonts w:ascii="Sylfaen" w:hAnsi="Sylfaen"/>
                <w:sz w:val="24"/>
                <w:szCs w:val="24"/>
              </w:rPr>
            </w:pPr>
          </w:p>
        </w:tc>
      </w:tr>
      <w:tr w:rsidR="006F76EB" w:rsidRPr="00834D52" w14:paraId="11203D49"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050402AC"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ԱԴԲ-ն արտադրողի անվանումը, եթե նա տարբերվում է ԱԴԲ-ն արտադրողի մաստեր-ֆայլի իրավատիրոջից</w:t>
            </w:r>
          </w:p>
        </w:tc>
        <w:tc>
          <w:tcPr>
            <w:tcW w:w="3653" w:type="dxa"/>
            <w:tcBorders>
              <w:top w:val="single" w:sz="4" w:space="0" w:color="000000"/>
              <w:left w:val="single" w:sz="4" w:space="0" w:color="000000"/>
              <w:bottom w:val="single" w:sz="4" w:space="0" w:color="000000"/>
              <w:right w:val="single" w:sz="4" w:space="0" w:color="000000"/>
            </w:tcBorders>
          </w:tcPr>
          <w:p w14:paraId="05E72FC5" w14:textId="77777777" w:rsidR="006F76EB" w:rsidRPr="00834D52" w:rsidRDefault="006F76EB" w:rsidP="00BA3580">
            <w:pPr>
              <w:spacing w:after="120" w:line="240" w:lineRule="auto"/>
              <w:ind w:right="-6"/>
              <w:rPr>
                <w:rFonts w:ascii="Sylfaen" w:hAnsi="Sylfaen"/>
                <w:sz w:val="24"/>
                <w:szCs w:val="24"/>
              </w:rPr>
            </w:pPr>
          </w:p>
        </w:tc>
      </w:tr>
      <w:tr w:rsidR="006F76EB" w:rsidRPr="00834D52" w14:paraId="0E8E97E0"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1CDBCD26"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վերջին վերանայման ամսաթիվը</w:t>
            </w:r>
          </w:p>
        </w:tc>
        <w:tc>
          <w:tcPr>
            <w:tcW w:w="3653" w:type="dxa"/>
            <w:tcBorders>
              <w:top w:val="single" w:sz="4" w:space="0" w:color="000000"/>
              <w:left w:val="single" w:sz="4" w:space="0" w:color="000000"/>
              <w:bottom w:val="single" w:sz="4" w:space="0" w:color="000000"/>
              <w:right w:val="single" w:sz="4" w:space="0" w:color="000000"/>
            </w:tcBorders>
          </w:tcPr>
          <w:p w14:paraId="3759E40D" w14:textId="77777777" w:rsidR="006F76EB" w:rsidRPr="00834D52" w:rsidRDefault="006F76EB" w:rsidP="00BA3580">
            <w:pPr>
              <w:spacing w:after="120" w:line="240" w:lineRule="auto"/>
              <w:ind w:right="-6"/>
              <w:rPr>
                <w:rFonts w:ascii="Sylfaen" w:hAnsi="Sylfaen"/>
                <w:sz w:val="24"/>
                <w:szCs w:val="24"/>
              </w:rPr>
            </w:pPr>
          </w:p>
        </w:tc>
      </w:tr>
    </w:tbl>
    <w:p w14:paraId="0F6514FD"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տրվել է պատվաստանյութային հակածինի մաստեր-ֆայլի սերտիֆիկատ (այսուհետ՝ ՊՀՄՖ), որն օգտագործվում է գրանցման դոսյեում, թե այն ստանալու հայտ է ներկայացվել՝</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E7DBD75" w14:textId="77777777" w:rsidTr="00F71229">
        <w:tc>
          <w:tcPr>
            <w:tcW w:w="2268" w:type="dxa"/>
          </w:tcPr>
          <w:p w14:paraId="33E2F29F"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0806F0DC">
                <v:rect id="_x0000_s1265" style="position:absolute;left:0;text-align:left;margin-left:40.6pt;margin-top:3.05pt;width:12.75pt;height:12pt;z-index:251760128"/>
              </w:pict>
            </w:r>
            <w:r w:rsidR="006F76EB" w:rsidRPr="00834D52">
              <w:rPr>
                <w:rFonts w:ascii="Sylfaen" w:hAnsi="Sylfaen"/>
                <w:sz w:val="24"/>
                <w:szCs w:val="24"/>
              </w:rPr>
              <w:t>ոչ</w:t>
            </w:r>
          </w:p>
        </w:tc>
        <w:tc>
          <w:tcPr>
            <w:tcW w:w="2126" w:type="dxa"/>
          </w:tcPr>
          <w:p w14:paraId="248286E5"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0D52E19F">
                <v:rect id="_x0000_s1264" style="position:absolute;left:0;text-align:left;margin-left:15.15pt;margin-top:3.05pt;width:12.75pt;height:12pt;z-index:251761152;mso-position-horizontal-relative:text;mso-position-vertical-relative:text"/>
              </w:pict>
            </w:r>
            <w:r w:rsidR="006F76EB" w:rsidRPr="00834D52">
              <w:rPr>
                <w:rFonts w:ascii="Sylfaen" w:hAnsi="Sylfaen"/>
                <w:sz w:val="24"/>
                <w:szCs w:val="24"/>
              </w:rPr>
              <w:t>այո</w:t>
            </w:r>
          </w:p>
        </w:tc>
      </w:tr>
    </w:tbl>
    <w:p w14:paraId="78DA092B" w14:textId="77777777" w:rsidR="00BA3580" w:rsidRDefault="00BA3580" w:rsidP="006F76EB">
      <w:pPr>
        <w:spacing w:after="160" w:line="336" w:lineRule="auto"/>
        <w:ind w:right="-8" w:firstLine="567"/>
        <w:rPr>
          <w:rFonts w:ascii="Sylfaen" w:hAnsi="Sylfaen"/>
          <w:sz w:val="24"/>
          <w:szCs w:val="24"/>
          <w:lang w:val="en-US"/>
        </w:rPr>
      </w:pPr>
    </w:p>
    <w:p w14:paraId="5F9EA464" w14:textId="77777777" w:rsidR="006F76EB" w:rsidRPr="00834D52" w:rsidRDefault="006F76EB" w:rsidP="006F76EB">
      <w:pPr>
        <w:spacing w:after="160" w:line="336"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w:t>
      </w:r>
    </w:p>
    <w:tbl>
      <w:tblPr>
        <w:tblW w:w="9928" w:type="dxa"/>
        <w:tblInd w:w="109" w:type="dxa"/>
        <w:tblLayout w:type="fixed"/>
        <w:tblCellMar>
          <w:left w:w="0" w:type="dxa"/>
          <w:right w:w="0" w:type="dxa"/>
        </w:tblCellMar>
        <w:tblLook w:val="01E0" w:firstRow="1" w:lastRow="1" w:firstColumn="1" w:lastColumn="1" w:noHBand="0" w:noVBand="0"/>
      </w:tblPr>
      <w:tblGrid>
        <w:gridCol w:w="6275"/>
        <w:gridCol w:w="3653"/>
      </w:tblGrid>
      <w:tr w:rsidR="006F76EB" w:rsidRPr="00834D52" w14:paraId="09F5FDBC" w14:textId="77777777" w:rsidTr="00F71229">
        <w:tc>
          <w:tcPr>
            <w:tcW w:w="6275" w:type="dxa"/>
            <w:tcBorders>
              <w:top w:val="single" w:sz="4" w:space="0" w:color="000000"/>
              <w:left w:val="single" w:sz="4" w:space="0" w:color="000000"/>
              <w:bottom w:val="single" w:sz="4" w:space="0" w:color="000000"/>
              <w:right w:val="single" w:sz="4" w:space="0" w:color="000000"/>
            </w:tcBorders>
          </w:tcPr>
          <w:p w14:paraId="64156E36"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պատվաստանյութային հակածինի անվանումը</w:t>
            </w:r>
          </w:p>
        </w:tc>
        <w:tc>
          <w:tcPr>
            <w:tcW w:w="3653" w:type="dxa"/>
            <w:tcBorders>
              <w:top w:val="single" w:sz="4" w:space="0" w:color="000000"/>
              <w:left w:val="single" w:sz="4" w:space="0" w:color="000000"/>
              <w:bottom w:val="single" w:sz="4" w:space="0" w:color="000000"/>
              <w:right w:val="single" w:sz="4" w:space="0" w:color="000000"/>
            </w:tcBorders>
          </w:tcPr>
          <w:p w14:paraId="2531FE50" w14:textId="77777777" w:rsidR="006F76EB" w:rsidRPr="00834D52" w:rsidRDefault="006F76EB" w:rsidP="00BA3580">
            <w:pPr>
              <w:spacing w:after="120" w:line="240" w:lineRule="auto"/>
              <w:ind w:right="-6"/>
              <w:rPr>
                <w:rFonts w:ascii="Sylfaen" w:hAnsi="Sylfaen"/>
                <w:sz w:val="24"/>
                <w:szCs w:val="24"/>
              </w:rPr>
            </w:pPr>
          </w:p>
        </w:tc>
      </w:tr>
      <w:tr w:rsidR="006F76EB" w:rsidRPr="00834D52" w14:paraId="18F2EFC4" w14:textId="77777777" w:rsidTr="00F71229">
        <w:tc>
          <w:tcPr>
            <w:tcW w:w="6275" w:type="dxa"/>
            <w:tcBorders>
              <w:top w:val="single" w:sz="4" w:space="0" w:color="000000"/>
              <w:left w:val="single" w:sz="4" w:space="0" w:color="000000"/>
              <w:bottom w:val="single" w:sz="4" w:space="0" w:color="000000"/>
              <w:right w:val="single" w:sz="4" w:space="0" w:color="000000"/>
            </w:tcBorders>
          </w:tcPr>
          <w:p w14:paraId="3D13D164"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պատվաստանյութային հակածինն արտադրողի (ՊՀՄՖ սերտիֆիկատին տիրապետողի) անվանումը</w:t>
            </w:r>
          </w:p>
        </w:tc>
        <w:tc>
          <w:tcPr>
            <w:tcW w:w="3653" w:type="dxa"/>
            <w:tcBorders>
              <w:top w:val="single" w:sz="4" w:space="0" w:color="000000"/>
              <w:left w:val="single" w:sz="4" w:space="0" w:color="000000"/>
              <w:bottom w:val="single" w:sz="4" w:space="0" w:color="000000"/>
              <w:right w:val="single" w:sz="4" w:space="0" w:color="000000"/>
            </w:tcBorders>
          </w:tcPr>
          <w:p w14:paraId="3C54B6BB" w14:textId="77777777" w:rsidR="006F76EB" w:rsidRPr="00834D52" w:rsidRDefault="006F76EB" w:rsidP="00BA3580">
            <w:pPr>
              <w:spacing w:after="120" w:line="240" w:lineRule="auto"/>
              <w:ind w:right="-6"/>
              <w:rPr>
                <w:rFonts w:ascii="Sylfaen" w:hAnsi="Sylfaen"/>
                <w:sz w:val="24"/>
                <w:szCs w:val="24"/>
              </w:rPr>
            </w:pPr>
          </w:p>
        </w:tc>
      </w:tr>
      <w:tr w:rsidR="006F76EB" w:rsidRPr="00834D52" w14:paraId="32A24A8D" w14:textId="77777777" w:rsidTr="00F71229">
        <w:tc>
          <w:tcPr>
            <w:tcW w:w="6275" w:type="dxa"/>
            <w:tcBorders>
              <w:top w:val="single" w:sz="4" w:space="0" w:color="000000"/>
              <w:left w:val="single" w:sz="4" w:space="0" w:color="000000"/>
              <w:bottom w:val="single" w:sz="4" w:space="0" w:color="000000"/>
              <w:right w:val="single" w:sz="4" w:space="0" w:color="000000"/>
            </w:tcBorders>
          </w:tcPr>
          <w:p w14:paraId="3AE4DEC9"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հայտի (սերտիֆիկատի) համարը</w:t>
            </w:r>
          </w:p>
        </w:tc>
        <w:tc>
          <w:tcPr>
            <w:tcW w:w="3653" w:type="dxa"/>
            <w:tcBorders>
              <w:top w:val="single" w:sz="4" w:space="0" w:color="000000"/>
              <w:left w:val="single" w:sz="4" w:space="0" w:color="000000"/>
              <w:bottom w:val="single" w:sz="4" w:space="0" w:color="000000"/>
              <w:right w:val="single" w:sz="4" w:space="0" w:color="000000"/>
            </w:tcBorders>
          </w:tcPr>
          <w:p w14:paraId="7943A1C7" w14:textId="77777777" w:rsidR="006F76EB" w:rsidRPr="00834D52" w:rsidRDefault="006F76EB" w:rsidP="00BA3580">
            <w:pPr>
              <w:spacing w:after="120" w:line="240" w:lineRule="auto"/>
              <w:ind w:right="-6"/>
              <w:rPr>
                <w:rFonts w:ascii="Sylfaen" w:hAnsi="Sylfaen"/>
                <w:sz w:val="24"/>
                <w:szCs w:val="24"/>
              </w:rPr>
            </w:pPr>
          </w:p>
        </w:tc>
      </w:tr>
      <w:tr w:rsidR="006F76EB" w:rsidRPr="00834D52" w14:paraId="2FBABD97" w14:textId="77777777" w:rsidTr="00F71229">
        <w:tc>
          <w:tcPr>
            <w:tcW w:w="6275" w:type="dxa"/>
            <w:tcBorders>
              <w:top w:val="single" w:sz="4" w:space="0" w:color="000000"/>
              <w:left w:val="single" w:sz="4" w:space="0" w:color="000000"/>
              <w:bottom w:val="single" w:sz="4" w:space="0" w:color="000000"/>
              <w:right w:val="single" w:sz="4" w:space="0" w:color="000000"/>
            </w:tcBorders>
          </w:tcPr>
          <w:p w14:paraId="1712D56C"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ներկայացման ամսաթիվը (եթե քննարկման փուլում է)</w:t>
            </w:r>
          </w:p>
        </w:tc>
        <w:tc>
          <w:tcPr>
            <w:tcW w:w="3653" w:type="dxa"/>
            <w:tcBorders>
              <w:top w:val="single" w:sz="4" w:space="0" w:color="000000"/>
              <w:left w:val="single" w:sz="4" w:space="0" w:color="000000"/>
              <w:bottom w:val="single" w:sz="4" w:space="0" w:color="000000"/>
              <w:right w:val="single" w:sz="4" w:space="0" w:color="000000"/>
            </w:tcBorders>
          </w:tcPr>
          <w:p w14:paraId="48924DAD" w14:textId="77777777" w:rsidR="006F76EB" w:rsidRPr="00834D52" w:rsidRDefault="006F76EB" w:rsidP="00BA3580">
            <w:pPr>
              <w:spacing w:after="120" w:line="240" w:lineRule="auto"/>
              <w:ind w:right="-6"/>
              <w:rPr>
                <w:rFonts w:ascii="Sylfaen" w:hAnsi="Sylfaen"/>
                <w:sz w:val="24"/>
                <w:szCs w:val="24"/>
              </w:rPr>
            </w:pPr>
          </w:p>
        </w:tc>
      </w:tr>
      <w:tr w:rsidR="006F76EB" w:rsidRPr="00834D52" w14:paraId="0C4BB45D" w14:textId="77777777" w:rsidTr="00F71229">
        <w:tc>
          <w:tcPr>
            <w:tcW w:w="6275" w:type="dxa"/>
            <w:tcBorders>
              <w:top w:val="single" w:sz="4" w:space="0" w:color="000000"/>
              <w:left w:val="single" w:sz="4" w:space="0" w:color="000000"/>
              <w:bottom w:val="single" w:sz="4" w:space="0" w:color="000000"/>
              <w:right w:val="single" w:sz="4" w:space="0" w:color="000000"/>
            </w:tcBorders>
          </w:tcPr>
          <w:p w14:paraId="2A08183B"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 (եթե առկա է)</w:t>
            </w:r>
          </w:p>
        </w:tc>
        <w:tc>
          <w:tcPr>
            <w:tcW w:w="3653" w:type="dxa"/>
            <w:tcBorders>
              <w:top w:val="single" w:sz="4" w:space="0" w:color="000000"/>
              <w:left w:val="single" w:sz="4" w:space="0" w:color="000000"/>
              <w:bottom w:val="single" w:sz="4" w:space="0" w:color="000000"/>
              <w:right w:val="single" w:sz="4" w:space="0" w:color="000000"/>
            </w:tcBorders>
          </w:tcPr>
          <w:p w14:paraId="13966920" w14:textId="77777777" w:rsidR="006F76EB" w:rsidRPr="00834D52" w:rsidRDefault="006F76EB" w:rsidP="00BA3580">
            <w:pPr>
              <w:spacing w:after="120" w:line="240" w:lineRule="auto"/>
              <w:ind w:right="-6"/>
              <w:rPr>
                <w:rFonts w:ascii="Sylfaen" w:hAnsi="Sylfaen"/>
                <w:sz w:val="24"/>
                <w:szCs w:val="24"/>
              </w:rPr>
            </w:pPr>
          </w:p>
        </w:tc>
      </w:tr>
    </w:tbl>
    <w:p w14:paraId="4F530F0E" w14:textId="77777777" w:rsidR="006F76EB" w:rsidRPr="00834D52" w:rsidRDefault="006F76EB" w:rsidP="00BA3580">
      <w:pPr>
        <w:tabs>
          <w:tab w:val="left" w:pos="1701"/>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3.5.6.</w:t>
      </w:r>
      <w:r w:rsidRPr="00834D52">
        <w:rPr>
          <w:rFonts w:ascii="Sylfaen" w:hAnsi="Sylfaen"/>
          <w:sz w:val="24"/>
          <w:szCs w:val="24"/>
        </w:rPr>
        <w:tab/>
        <w:t xml:space="preserve">Պայմանագրային հետազոտական կազմակերպությունները, որոնք ներգրավվում են կենսամատչելիության </w:t>
      </w:r>
      <w:r w:rsidR="00C54D75">
        <w:rPr>
          <w:rFonts w:ascii="Sylfaen" w:hAnsi="Sylfaen"/>
          <w:sz w:val="24"/>
          <w:szCs w:val="24"/>
        </w:rPr>
        <w:t>և</w:t>
      </w:r>
      <w:r w:rsidRPr="00834D52">
        <w:rPr>
          <w:rFonts w:ascii="Sylfaen" w:hAnsi="Sylfaen"/>
          <w:sz w:val="24"/>
          <w:szCs w:val="24"/>
        </w:rPr>
        <w:t xml:space="preserve"> (կամ) կենսահամարժեքության որոշման համար կլինիկական հետազոտություններին, կամ որոնք ներգրավվել են արյան պատրաստուկների արտադրական գործընթացների վալիդացմանը</w:t>
      </w:r>
    </w:p>
    <w:p w14:paraId="40755990" w14:textId="77777777" w:rsidR="006F76EB" w:rsidRPr="00834D52" w:rsidRDefault="006F76EB" w:rsidP="006F76EB">
      <w:pPr>
        <w:spacing w:after="160" w:line="336" w:lineRule="auto"/>
        <w:ind w:right="-6" w:firstLine="567"/>
        <w:jc w:val="both"/>
        <w:rPr>
          <w:rFonts w:ascii="Sylfaen" w:hAnsi="Sylfaen"/>
          <w:sz w:val="24"/>
          <w:szCs w:val="24"/>
        </w:rPr>
      </w:pPr>
      <w:r w:rsidRPr="00834D52">
        <w:rPr>
          <w:rFonts w:ascii="Sylfaen" w:hAnsi="Sylfaen"/>
          <w:sz w:val="24"/>
          <w:szCs w:val="24"/>
        </w:rPr>
        <w:t xml:space="preserve">Յուրաքանչյուր պայմանագրային հետազոտական կազմակերպության համար նշե՛ք, թե որտեղ են անցկացվել վերլուծական փորձարկումները </w:t>
      </w:r>
      <w:r w:rsidR="00C54D75">
        <w:rPr>
          <w:rFonts w:ascii="Sylfaen" w:hAnsi="Sylfaen"/>
          <w:sz w:val="24"/>
          <w:szCs w:val="24"/>
        </w:rPr>
        <w:t>և</w:t>
      </w:r>
      <w:r w:rsidRPr="00834D52">
        <w:rPr>
          <w:rFonts w:ascii="Sylfaen" w:hAnsi="Sylfaen"/>
          <w:sz w:val="24"/>
          <w:szCs w:val="24"/>
        </w:rPr>
        <w:t xml:space="preserve"> իրականացվել կլինիկական տվյալների հավաքագրումը, ինչպես նա</w:t>
      </w:r>
      <w:r w:rsidR="00C54D75">
        <w:rPr>
          <w:rFonts w:ascii="Sylfaen" w:hAnsi="Sylfaen"/>
          <w:sz w:val="24"/>
          <w:szCs w:val="24"/>
        </w:rPr>
        <w:t>և</w:t>
      </w:r>
      <w:r w:rsidRPr="00834D52">
        <w:rPr>
          <w:rFonts w:ascii="Sylfaen" w:hAnsi="Sylfaen"/>
          <w:sz w:val="24"/>
          <w:szCs w:val="24"/>
        </w:rPr>
        <w:t>՝</w:t>
      </w:r>
    </w:p>
    <w:tbl>
      <w:tblPr>
        <w:tblW w:w="9610" w:type="dxa"/>
        <w:tblInd w:w="109" w:type="dxa"/>
        <w:tblLayout w:type="fixed"/>
        <w:tblCellMar>
          <w:left w:w="0" w:type="dxa"/>
          <w:right w:w="0" w:type="dxa"/>
        </w:tblCellMar>
        <w:tblLook w:val="01E0" w:firstRow="1" w:lastRow="1" w:firstColumn="1" w:lastColumn="1" w:noHBand="0" w:noVBand="0"/>
      </w:tblPr>
      <w:tblGrid>
        <w:gridCol w:w="5957"/>
        <w:gridCol w:w="3653"/>
      </w:tblGrid>
      <w:tr w:rsidR="006F76EB" w:rsidRPr="00834D52" w14:paraId="4E40AFC6"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70F9BC1B"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հետազոտության անվանումը</w:t>
            </w:r>
          </w:p>
        </w:tc>
        <w:tc>
          <w:tcPr>
            <w:tcW w:w="3653" w:type="dxa"/>
            <w:tcBorders>
              <w:top w:val="single" w:sz="4" w:space="0" w:color="000000"/>
              <w:left w:val="single" w:sz="4" w:space="0" w:color="000000"/>
              <w:bottom w:val="single" w:sz="4" w:space="0" w:color="000000"/>
              <w:right w:val="single" w:sz="4" w:space="0" w:color="000000"/>
            </w:tcBorders>
          </w:tcPr>
          <w:p w14:paraId="37B24CFF" w14:textId="77777777" w:rsidR="006F76EB" w:rsidRPr="00834D52" w:rsidRDefault="006F76EB" w:rsidP="00BA3580">
            <w:pPr>
              <w:spacing w:after="120" w:line="240" w:lineRule="auto"/>
              <w:ind w:right="-6"/>
              <w:rPr>
                <w:rFonts w:ascii="Sylfaen" w:hAnsi="Sylfaen"/>
                <w:sz w:val="24"/>
                <w:szCs w:val="24"/>
              </w:rPr>
            </w:pPr>
          </w:p>
        </w:tc>
      </w:tr>
      <w:tr w:rsidR="006F76EB" w:rsidRPr="00834D52" w14:paraId="55DBB2E7"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22A4104E"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արձանագրության ծածկագիրը</w:t>
            </w:r>
          </w:p>
        </w:tc>
        <w:tc>
          <w:tcPr>
            <w:tcW w:w="3653" w:type="dxa"/>
            <w:tcBorders>
              <w:top w:val="single" w:sz="4" w:space="0" w:color="000000"/>
              <w:left w:val="single" w:sz="4" w:space="0" w:color="000000"/>
              <w:bottom w:val="single" w:sz="4" w:space="0" w:color="000000"/>
              <w:right w:val="single" w:sz="4" w:space="0" w:color="000000"/>
            </w:tcBorders>
          </w:tcPr>
          <w:p w14:paraId="0B123DDB" w14:textId="77777777" w:rsidR="006F76EB" w:rsidRPr="00834D52" w:rsidRDefault="006F76EB" w:rsidP="00BA3580">
            <w:pPr>
              <w:spacing w:after="120" w:line="240" w:lineRule="auto"/>
              <w:ind w:right="-6"/>
              <w:rPr>
                <w:rFonts w:ascii="Sylfaen" w:hAnsi="Sylfaen"/>
                <w:sz w:val="24"/>
                <w:szCs w:val="24"/>
              </w:rPr>
            </w:pPr>
          </w:p>
        </w:tc>
      </w:tr>
      <w:tr w:rsidR="006F76EB" w:rsidRPr="00834D52" w14:paraId="573A06F4"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686B3888"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EudraCT-ի համարը (առկայության դեպքում)</w:t>
            </w:r>
          </w:p>
        </w:tc>
        <w:tc>
          <w:tcPr>
            <w:tcW w:w="3653" w:type="dxa"/>
            <w:tcBorders>
              <w:top w:val="single" w:sz="4" w:space="0" w:color="000000"/>
              <w:left w:val="single" w:sz="4" w:space="0" w:color="000000"/>
              <w:bottom w:val="single" w:sz="4" w:space="0" w:color="000000"/>
              <w:right w:val="single" w:sz="4" w:space="0" w:color="000000"/>
            </w:tcBorders>
          </w:tcPr>
          <w:p w14:paraId="7464B9D5" w14:textId="77777777" w:rsidR="006F76EB" w:rsidRPr="00834D52" w:rsidRDefault="006F76EB" w:rsidP="00BA3580">
            <w:pPr>
              <w:spacing w:after="120" w:line="240" w:lineRule="auto"/>
              <w:ind w:right="-6"/>
              <w:rPr>
                <w:rFonts w:ascii="Sylfaen" w:hAnsi="Sylfaen"/>
                <w:sz w:val="24"/>
                <w:szCs w:val="24"/>
              </w:rPr>
            </w:pPr>
          </w:p>
        </w:tc>
      </w:tr>
      <w:tr w:rsidR="006F76EB" w:rsidRPr="00834D52" w14:paraId="50E68B0E"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6829B21A"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ClinicalTrials.gov-ի համարը (առկայության դեպքում)</w:t>
            </w:r>
          </w:p>
        </w:tc>
        <w:tc>
          <w:tcPr>
            <w:tcW w:w="3653" w:type="dxa"/>
            <w:tcBorders>
              <w:top w:val="single" w:sz="4" w:space="0" w:color="000000"/>
              <w:left w:val="single" w:sz="4" w:space="0" w:color="000000"/>
              <w:bottom w:val="single" w:sz="4" w:space="0" w:color="000000"/>
              <w:right w:val="single" w:sz="4" w:space="0" w:color="000000"/>
            </w:tcBorders>
          </w:tcPr>
          <w:p w14:paraId="22A28C21" w14:textId="77777777" w:rsidR="006F76EB" w:rsidRPr="00834D52" w:rsidRDefault="006F76EB" w:rsidP="00BA3580">
            <w:pPr>
              <w:spacing w:after="120" w:line="240" w:lineRule="auto"/>
              <w:ind w:right="-6"/>
              <w:rPr>
                <w:rFonts w:ascii="Sylfaen" w:hAnsi="Sylfaen"/>
                <w:sz w:val="24"/>
                <w:szCs w:val="24"/>
              </w:rPr>
            </w:pPr>
          </w:p>
        </w:tc>
      </w:tr>
      <w:tr w:rsidR="006F76EB" w:rsidRPr="00834D52" w14:paraId="6F0FD4E0"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37717359"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պայմանագրային հետազոտական կազմակերպության անվանումը</w:t>
            </w:r>
          </w:p>
        </w:tc>
        <w:tc>
          <w:tcPr>
            <w:tcW w:w="3653" w:type="dxa"/>
            <w:tcBorders>
              <w:top w:val="single" w:sz="4" w:space="0" w:color="000000"/>
              <w:left w:val="single" w:sz="4" w:space="0" w:color="000000"/>
              <w:bottom w:val="single" w:sz="4" w:space="0" w:color="000000"/>
              <w:right w:val="single" w:sz="4" w:space="0" w:color="000000"/>
            </w:tcBorders>
          </w:tcPr>
          <w:p w14:paraId="16630051" w14:textId="77777777" w:rsidR="006F76EB" w:rsidRPr="00834D52" w:rsidRDefault="006F76EB" w:rsidP="00BA3580">
            <w:pPr>
              <w:spacing w:after="120" w:line="240" w:lineRule="auto"/>
              <w:ind w:right="-6"/>
              <w:rPr>
                <w:rFonts w:ascii="Sylfaen" w:hAnsi="Sylfaen"/>
                <w:sz w:val="24"/>
                <w:szCs w:val="24"/>
              </w:rPr>
            </w:pPr>
          </w:p>
        </w:tc>
      </w:tr>
      <w:tr w:rsidR="006F76EB" w:rsidRPr="00834D52" w14:paraId="7CBC5081"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4D669115" w14:textId="77777777" w:rsidR="006F76EB" w:rsidRPr="00834D52" w:rsidRDefault="006F76EB" w:rsidP="00BA3580">
            <w:pPr>
              <w:spacing w:after="120" w:line="240" w:lineRule="auto"/>
              <w:ind w:left="112" w:right="-6"/>
              <w:rPr>
                <w:rFonts w:ascii="Sylfaen" w:eastAsia="Times New Roman" w:hAnsi="Sylfaen" w:cs="Times New Roman"/>
                <w:sz w:val="24"/>
                <w:szCs w:val="24"/>
                <w:lang w:val="en-US"/>
              </w:rPr>
            </w:pPr>
            <w:r w:rsidRPr="00834D52">
              <w:rPr>
                <w:rFonts w:ascii="Sylfaen" w:hAnsi="Sylfaen"/>
                <w:sz w:val="24"/>
                <w:szCs w:val="24"/>
              </w:rPr>
              <w:t>պայմանագրային հետազոտական կազմակերպության հասցեն</w:t>
            </w:r>
          </w:p>
        </w:tc>
        <w:tc>
          <w:tcPr>
            <w:tcW w:w="3653" w:type="dxa"/>
            <w:tcBorders>
              <w:top w:val="single" w:sz="4" w:space="0" w:color="000000"/>
              <w:left w:val="single" w:sz="4" w:space="0" w:color="000000"/>
              <w:bottom w:val="single" w:sz="4" w:space="0" w:color="000000"/>
              <w:right w:val="single" w:sz="4" w:space="0" w:color="000000"/>
            </w:tcBorders>
          </w:tcPr>
          <w:p w14:paraId="72D8A845" w14:textId="77777777" w:rsidR="006F76EB" w:rsidRPr="00834D52" w:rsidRDefault="006F76EB" w:rsidP="00BA3580">
            <w:pPr>
              <w:spacing w:after="120" w:line="240" w:lineRule="auto"/>
              <w:ind w:right="-6"/>
              <w:rPr>
                <w:rFonts w:ascii="Sylfaen" w:hAnsi="Sylfaen"/>
                <w:sz w:val="24"/>
                <w:szCs w:val="24"/>
              </w:rPr>
            </w:pPr>
          </w:p>
        </w:tc>
      </w:tr>
      <w:tr w:rsidR="006F76EB" w:rsidRPr="00834D52" w14:paraId="04FDFBA9"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5F69655D"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 xml:space="preserve">հեռախոսահամարը </w:t>
            </w:r>
            <w:r w:rsidR="00C54D75">
              <w:rPr>
                <w:rFonts w:ascii="Sylfaen" w:hAnsi="Sylfaen"/>
                <w:sz w:val="24"/>
                <w:szCs w:val="24"/>
              </w:rPr>
              <w:t>և</w:t>
            </w:r>
            <w:r w:rsidRPr="00834D52">
              <w:rPr>
                <w:rFonts w:ascii="Sylfaen" w:hAnsi="Sylfaen"/>
                <w:sz w:val="24"/>
                <w:szCs w:val="24"/>
              </w:rPr>
              <w:t xml:space="preserve"> ֆաքսի համարը (առկայության դեպքում)</w:t>
            </w:r>
          </w:p>
        </w:tc>
        <w:tc>
          <w:tcPr>
            <w:tcW w:w="3653" w:type="dxa"/>
            <w:tcBorders>
              <w:top w:val="single" w:sz="4" w:space="0" w:color="000000"/>
              <w:left w:val="single" w:sz="4" w:space="0" w:color="000000"/>
              <w:bottom w:val="single" w:sz="4" w:space="0" w:color="000000"/>
              <w:right w:val="single" w:sz="4" w:space="0" w:color="000000"/>
            </w:tcBorders>
          </w:tcPr>
          <w:p w14:paraId="69628E67" w14:textId="77777777" w:rsidR="006F76EB" w:rsidRPr="00834D52" w:rsidRDefault="006F76EB" w:rsidP="00BA3580">
            <w:pPr>
              <w:spacing w:after="120" w:line="240" w:lineRule="auto"/>
              <w:ind w:right="-6"/>
              <w:rPr>
                <w:rFonts w:ascii="Sylfaen" w:hAnsi="Sylfaen"/>
                <w:sz w:val="24"/>
                <w:szCs w:val="24"/>
              </w:rPr>
            </w:pPr>
          </w:p>
        </w:tc>
      </w:tr>
      <w:tr w:rsidR="006F76EB" w:rsidRPr="00834D52" w14:paraId="42EEE4BD" w14:textId="77777777" w:rsidTr="00F71229">
        <w:tc>
          <w:tcPr>
            <w:tcW w:w="5957" w:type="dxa"/>
            <w:tcBorders>
              <w:top w:val="single" w:sz="4" w:space="0" w:color="000000"/>
              <w:left w:val="single" w:sz="4" w:space="0" w:color="000000"/>
              <w:bottom w:val="single" w:sz="4" w:space="0" w:color="000000"/>
              <w:right w:val="single" w:sz="4" w:space="0" w:color="000000"/>
            </w:tcBorders>
          </w:tcPr>
          <w:p w14:paraId="1EAC27A3" w14:textId="77777777" w:rsidR="006F76EB" w:rsidRPr="00834D52" w:rsidRDefault="006F76EB" w:rsidP="00BA3580">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էլեկտրոնային փոստի հասցեն</w:t>
            </w:r>
          </w:p>
        </w:tc>
        <w:tc>
          <w:tcPr>
            <w:tcW w:w="3653" w:type="dxa"/>
            <w:tcBorders>
              <w:top w:val="single" w:sz="4" w:space="0" w:color="000000"/>
              <w:left w:val="single" w:sz="4" w:space="0" w:color="000000"/>
              <w:bottom w:val="single" w:sz="4" w:space="0" w:color="000000"/>
              <w:right w:val="single" w:sz="4" w:space="0" w:color="000000"/>
            </w:tcBorders>
          </w:tcPr>
          <w:p w14:paraId="4D795641" w14:textId="77777777" w:rsidR="006F76EB" w:rsidRPr="00834D52" w:rsidRDefault="006F76EB" w:rsidP="00BA3580">
            <w:pPr>
              <w:spacing w:after="120" w:line="240" w:lineRule="auto"/>
              <w:ind w:right="-6"/>
              <w:rPr>
                <w:rFonts w:ascii="Sylfaen" w:hAnsi="Sylfaen"/>
                <w:sz w:val="24"/>
                <w:szCs w:val="24"/>
              </w:rPr>
            </w:pPr>
          </w:p>
        </w:tc>
      </w:tr>
    </w:tbl>
    <w:p w14:paraId="61C9FA6E" w14:textId="77777777" w:rsidR="006F76EB" w:rsidRPr="00834D52" w:rsidRDefault="006F76EB" w:rsidP="00BA3580">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w:t>
      </w:r>
    </w:p>
    <w:p w14:paraId="1C992AA6" w14:textId="77777777" w:rsidR="006F76EB" w:rsidRPr="00834D52" w:rsidRDefault="006F76EB" w:rsidP="00BA3580">
      <w:pPr>
        <w:tabs>
          <w:tab w:val="left" w:pos="1701"/>
        </w:tabs>
        <w:spacing w:after="160" w:line="360" w:lineRule="auto"/>
        <w:ind w:right="1780" w:firstLine="567"/>
        <w:jc w:val="both"/>
        <w:rPr>
          <w:rFonts w:ascii="Sylfaen" w:eastAsia="Times New Roman" w:hAnsi="Sylfaen" w:cs="Times New Roman"/>
          <w:sz w:val="24"/>
          <w:szCs w:val="24"/>
        </w:rPr>
      </w:pPr>
      <w:r w:rsidRPr="00834D52">
        <w:rPr>
          <w:rFonts w:ascii="Sylfaen" w:hAnsi="Sylfaen"/>
          <w:sz w:val="24"/>
          <w:szCs w:val="24"/>
        </w:rPr>
        <w:t>3.6.1.</w:t>
      </w:r>
      <w:r w:rsidRPr="00834D52">
        <w:rPr>
          <w:rFonts w:ascii="Sylfaen" w:hAnsi="Sylfaen"/>
          <w:sz w:val="24"/>
          <w:szCs w:val="24"/>
        </w:rPr>
        <w:tab/>
        <w:t xml:space="preserve">Դեղապատրաստուկի որակական </w:t>
      </w:r>
      <w:r w:rsidR="00C54D75">
        <w:rPr>
          <w:rFonts w:ascii="Sylfaen" w:hAnsi="Sylfaen"/>
          <w:sz w:val="24"/>
          <w:szCs w:val="24"/>
        </w:rPr>
        <w:t>և</w:t>
      </w:r>
      <w:r w:rsidRPr="00834D52">
        <w:rPr>
          <w:rFonts w:ascii="Sylfaen" w:hAnsi="Sylfaen"/>
          <w:sz w:val="24"/>
          <w:szCs w:val="24"/>
        </w:rPr>
        <w:t xml:space="preserve"> քանակական բաղադրությունը (ԱԴԲ-ն </w:t>
      </w:r>
      <w:r w:rsidR="00C54D75">
        <w:rPr>
          <w:rFonts w:ascii="Sylfaen" w:hAnsi="Sylfaen"/>
          <w:sz w:val="24"/>
          <w:szCs w:val="24"/>
        </w:rPr>
        <w:t>և</w:t>
      </w:r>
      <w:r w:rsidRPr="00834D52">
        <w:rPr>
          <w:rFonts w:ascii="Sylfaen" w:hAnsi="Sylfaen"/>
          <w:sz w:val="24"/>
          <w:szCs w:val="24"/>
        </w:rPr>
        <w:t xml:space="preserve"> օժանդակ նյութերը)</w:t>
      </w:r>
    </w:p>
    <w:p w14:paraId="3B05F03B"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Անհրաժեշտ է նշել, թե որ միավորի հաշվով է բաղադրությունը (դոզավորված ձ</w:t>
      </w:r>
      <w:r w:rsidR="00C54D75">
        <w:rPr>
          <w:rFonts w:ascii="Sylfaen" w:hAnsi="Sylfaen"/>
          <w:sz w:val="24"/>
          <w:szCs w:val="24"/>
        </w:rPr>
        <w:t>և</w:t>
      </w:r>
      <w:r w:rsidRPr="00834D52">
        <w:rPr>
          <w:rFonts w:ascii="Sylfaen" w:hAnsi="Sylfaen"/>
          <w:sz w:val="24"/>
          <w:szCs w:val="24"/>
        </w:rPr>
        <w:t xml:space="preserve">ի միավորի, ծավալի միավորի, զանգվածի միավորի </w:t>
      </w:r>
      <w:r w:rsidR="00C54D75">
        <w:rPr>
          <w:rFonts w:ascii="Sylfaen" w:hAnsi="Sylfaen"/>
          <w:sz w:val="24"/>
          <w:szCs w:val="24"/>
        </w:rPr>
        <w:t>և</w:t>
      </w:r>
      <w:r w:rsidRPr="00834D52">
        <w:rPr>
          <w:rFonts w:ascii="Sylfaen" w:hAnsi="Sylfaen"/>
          <w:sz w:val="24"/>
          <w:szCs w:val="24"/>
        </w:rPr>
        <w:t xml:space="preserve"> այլն):</w:t>
      </w:r>
    </w:p>
    <w:p w14:paraId="6DDDDDAC" w14:textId="77777777" w:rsidR="006F76EB" w:rsidRPr="00834D52" w:rsidRDefault="006F76EB" w:rsidP="006F76EB">
      <w:pPr>
        <w:spacing w:after="160" w:line="360" w:lineRule="auto"/>
        <w:ind w:right="-8" w:firstLine="567"/>
        <w:rPr>
          <w:rFonts w:ascii="Sylfaen" w:eastAsia="Times New Roman" w:hAnsi="Sylfaen" w:cs="Times New Roman"/>
          <w:sz w:val="24"/>
          <w:szCs w:val="24"/>
        </w:rPr>
      </w:pPr>
      <w:r w:rsidRPr="00834D52">
        <w:rPr>
          <w:rFonts w:ascii="Sylfaen" w:hAnsi="Sylfaen"/>
          <w:sz w:val="24"/>
          <w:szCs w:val="24"/>
        </w:rPr>
        <w:lastRenderedPageBreak/>
        <w:t>Թվարկեք ԱԴԲ-ն՝ օժանդակ նյութերից առանձին</w:t>
      </w:r>
    </w:p>
    <w:tbl>
      <w:tblPr>
        <w:tblW w:w="9565" w:type="dxa"/>
        <w:tblInd w:w="222" w:type="dxa"/>
        <w:tblLayout w:type="fixed"/>
        <w:tblCellMar>
          <w:left w:w="0" w:type="dxa"/>
          <w:right w:w="0" w:type="dxa"/>
        </w:tblCellMar>
        <w:tblLook w:val="01E0" w:firstRow="1" w:lastRow="1" w:firstColumn="1" w:lastColumn="1" w:noHBand="0" w:noVBand="0"/>
      </w:tblPr>
      <w:tblGrid>
        <w:gridCol w:w="634"/>
        <w:gridCol w:w="2410"/>
        <w:gridCol w:w="3401"/>
        <w:gridCol w:w="1277"/>
        <w:gridCol w:w="1843"/>
      </w:tblGrid>
      <w:tr w:rsidR="006F76EB" w:rsidRPr="00834D52" w14:paraId="7B8EDF9B" w14:textId="77777777" w:rsidTr="0099364A">
        <w:trPr>
          <w:trHeight w:val="1524"/>
        </w:trPr>
        <w:tc>
          <w:tcPr>
            <w:tcW w:w="634" w:type="dxa"/>
            <w:tcBorders>
              <w:top w:val="single" w:sz="4" w:space="0" w:color="000000"/>
              <w:left w:val="single" w:sz="4" w:space="0" w:color="000000"/>
              <w:bottom w:val="single" w:sz="4" w:space="0" w:color="000000"/>
              <w:right w:val="single" w:sz="4" w:space="0" w:color="000000"/>
            </w:tcBorders>
            <w:vAlign w:val="center"/>
          </w:tcPr>
          <w:p w14:paraId="738E124E"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410" w:type="dxa"/>
            <w:tcBorders>
              <w:top w:val="single" w:sz="4" w:space="0" w:color="000000"/>
              <w:left w:val="single" w:sz="4" w:space="0" w:color="000000"/>
              <w:bottom w:val="single" w:sz="4" w:space="0" w:color="000000"/>
              <w:right w:val="single" w:sz="4" w:space="0" w:color="000000"/>
            </w:tcBorders>
            <w:vAlign w:val="center"/>
          </w:tcPr>
          <w:p w14:paraId="2C61403C"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ԱԴԲ-ի անվանումը </w:t>
            </w:r>
          </w:p>
        </w:tc>
        <w:tc>
          <w:tcPr>
            <w:tcW w:w="3401" w:type="dxa"/>
            <w:tcBorders>
              <w:top w:val="single" w:sz="4" w:space="0" w:color="000000"/>
              <w:left w:val="single" w:sz="4" w:space="0" w:color="000000"/>
              <w:bottom w:val="single" w:sz="4" w:space="0" w:color="000000"/>
              <w:right w:val="single" w:sz="4" w:space="0" w:color="000000"/>
            </w:tcBorders>
            <w:vAlign w:val="center"/>
          </w:tcPr>
          <w:p w14:paraId="29EA080D"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Քանակը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277" w:type="dxa"/>
            <w:tcBorders>
              <w:top w:val="single" w:sz="4" w:space="0" w:color="000000"/>
              <w:left w:val="single" w:sz="4" w:space="0" w:color="000000"/>
              <w:bottom w:val="single" w:sz="4" w:space="0" w:color="000000"/>
              <w:right w:val="single" w:sz="4" w:space="0" w:color="000000"/>
            </w:tcBorders>
            <w:vAlign w:val="center"/>
          </w:tcPr>
          <w:p w14:paraId="1243B4CA"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1843" w:type="dxa"/>
            <w:tcBorders>
              <w:top w:val="single" w:sz="4" w:space="0" w:color="000000"/>
              <w:left w:val="single" w:sz="4" w:space="0" w:color="000000"/>
              <w:bottom w:val="single" w:sz="4" w:space="0" w:color="000000"/>
              <w:right w:val="single" w:sz="4" w:space="0" w:color="000000"/>
            </w:tcBorders>
            <w:vAlign w:val="center"/>
          </w:tcPr>
          <w:p w14:paraId="4A7B6999"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Հոդված (մենագրություն) </w:t>
            </w:r>
          </w:p>
        </w:tc>
      </w:tr>
      <w:tr w:rsidR="006F76EB" w:rsidRPr="00834D52" w14:paraId="10C05BC1" w14:textId="77777777" w:rsidTr="0099364A">
        <w:trPr>
          <w:trHeight w:val="1549"/>
        </w:trPr>
        <w:tc>
          <w:tcPr>
            <w:tcW w:w="634" w:type="dxa"/>
            <w:tcBorders>
              <w:top w:val="single" w:sz="4" w:space="0" w:color="000000"/>
              <w:left w:val="single" w:sz="4" w:space="0" w:color="000000"/>
              <w:bottom w:val="single" w:sz="4" w:space="0" w:color="000000"/>
              <w:right w:val="single" w:sz="4" w:space="0" w:color="000000"/>
            </w:tcBorders>
            <w:vAlign w:val="center"/>
          </w:tcPr>
          <w:p w14:paraId="33253306"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թիվ</w:t>
            </w:r>
          </w:p>
        </w:tc>
        <w:tc>
          <w:tcPr>
            <w:tcW w:w="2410" w:type="dxa"/>
            <w:tcBorders>
              <w:top w:val="single" w:sz="4" w:space="0" w:color="000000"/>
              <w:left w:val="single" w:sz="4" w:space="0" w:color="000000"/>
              <w:bottom w:val="single" w:sz="4" w:space="0" w:color="000000"/>
              <w:right w:val="single" w:sz="4" w:space="0" w:color="000000"/>
            </w:tcBorders>
            <w:vAlign w:val="center"/>
          </w:tcPr>
          <w:p w14:paraId="35232E71"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Օժանդակ նյութերի անվանումը</w:t>
            </w:r>
          </w:p>
        </w:tc>
        <w:tc>
          <w:tcPr>
            <w:tcW w:w="3401" w:type="dxa"/>
            <w:tcBorders>
              <w:top w:val="single" w:sz="4" w:space="0" w:color="000000"/>
              <w:left w:val="single" w:sz="4" w:space="0" w:color="000000"/>
              <w:bottom w:val="single" w:sz="4" w:space="0" w:color="000000"/>
              <w:right w:val="single" w:sz="4" w:space="0" w:color="000000"/>
            </w:tcBorders>
            <w:vAlign w:val="center"/>
          </w:tcPr>
          <w:p w14:paraId="21B986E9"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 xml:space="preserve">Քանակը (զանգվածի, ծավալի, ակտիվության կամ խտության </w:t>
            </w:r>
            <w:r w:rsidR="00C54D75">
              <w:rPr>
                <w:rFonts w:ascii="Sylfaen" w:hAnsi="Sylfaen"/>
                <w:sz w:val="24"/>
                <w:szCs w:val="24"/>
              </w:rPr>
              <w:t>և</w:t>
            </w:r>
            <w:r w:rsidRPr="00834D52">
              <w:rPr>
                <w:rFonts w:ascii="Sylfaen" w:hAnsi="Sylfaen"/>
                <w:sz w:val="24"/>
                <w:szCs w:val="24"/>
              </w:rPr>
              <w:t xml:space="preserve"> այլ միավորներով)</w:t>
            </w:r>
          </w:p>
        </w:tc>
        <w:tc>
          <w:tcPr>
            <w:tcW w:w="1277" w:type="dxa"/>
            <w:tcBorders>
              <w:top w:val="single" w:sz="4" w:space="0" w:color="000000"/>
              <w:left w:val="single" w:sz="4" w:space="0" w:color="000000"/>
              <w:bottom w:val="single" w:sz="4" w:space="0" w:color="000000"/>
              <w:right w:val="single" w:sz="4" w:space="0" w:color="000000"/>
            </w:tcBorders>
            <w:vAlign w:val="center"/>
          </w:tcPr>
          <w:p w14:paraId="657954A9"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Չափման միավորը</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1C430" w14:textId="77777777" w:rsidR="006F76EB" w:rsidRPr="00834D52" w:rsidRDefault="006F76EB" w:rsidP="00BA3580">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Հոդված (մենագրություն)</w:t>
            </w:r>
          </w:p>
        </w:tc>
      </w:tr>
    </w:tbl>
    <w:p w14:paraId="3E8CA765" w14:textId="77777777" w:rsidR="006F76EB" w:rsidRPr="00834D52" w:rsidRDefault="006F76EB" w:rsidP="006F76EB">
      <w:pPr>
        <w:spacing w:after="160" w:line="360" w:lineRule="auto"/>
        <w:ind w:right="-8" w:firstLine="567"/>
        <w:jc w:val="both"/>
        <w:rPr>
          <w:rFonts w:ascii="Sylfaen" w:eastAsia="Times New Roman" w:hAnsi="Sylfaen" w:cs="Times New Roman"/>
          <w:spacing w:val="-4"/>
          <w:sz w:val="24"/>
          <w:szCs w:val="24"/>
        </w:rPr>
      </w:pPr>
      <w:r w:rsidRPr="00834D52">
        <w:rPr>
          <w:rFonts w:ascii="Sylfaen" w:hAnsi="Sylfaen"/>
          <w:spacing w:val="-4"/>
          <w:sz w:val="24"/>
          <w:szCs w:val="24"/>
        </w:rPr>
        <w:t>Ծանոթագրություն. Յուրաքանչյուր ԱԴԲ-ի համար միայն մեկ անվանում պետք</w:t>
      </w:r>
      <w:r w:rsidRPr="00A97FD7">
        <w:rPr>
          <w:rFonts w:ascii="Sylfaen" w:hAnsi="Sylfaen"/>
          <w:spacing w:val="-4"/>
          <w:sz w:val="24"/>
          <w:szCs w:val="24"/>
        </w:rPr>
        <w:t> </w:t>
      </w:r>
      <w:r w:rsidRPr="00834D52">
        <w:rPr>
          <w:rFonts w:ascii="Sylfaen" w:hAnsi="Sylfaen"/>
          <w:spacing w:val="-4"/>
          <w:sz w:val="24"/>
          <w:szCs w:val="24"/>
        </w:rPr>
        <w:t>է նշել հետ</w:t>
      </w:r>
      <w:r w:rsidR="00C54D75">
        <w:rPr>
          <w:rFonts w:ascii="Sylfaen" w:hAnsi="Sylfaen"/>
          <w:spacing w:val="-4"/>
          <w:sz w:val="24"/>
          <w:szCs w:val="24"/>
        </w:rPr>
        <w:t>և</w:t>
      </w:r>
      <w:r w:rsidRPr="00834D52">
        <w:rPr>
          <w:rFonts w:ascii="Sylfaen" w:hAnsi="Sylfaen"/>
          <w:spacing w:val="-4"/>
          <w:sz w:val="24"/>
          <w:szCs w:val="24"/>
        </w:rPr>
        <w:t>յալ հաջորդականությամբ՝ ՄՉԱ-ն, *անվանումը՝ ըստ Եվրասիական տնտեսական միության դեղագրքի, Եվրասիական տնտեսական միության անդամ պետությունների դեղագրքերի (կամ Եվրասիական տնտեսական միության անդամ պետությունների դեղագրքերի ներդաշնակեցման հայեցակարգի հիմնական դեղագրքերի), համընդհանուր կամ խմբային անվանումը, գիտական (քիմիական) անունը:</w:t>
      </w:r>
    </w:p>
    <w:p w14:paraId="34FEB4F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footnoteReference w:customMarkFollows="1" w:id="19"/>
        <w:t>Չի թույլատրվում ավելցուկի մասին տեղեկությունները նշել բաղադրությանը վերաբերող սյունակներում, դրանք անհրաժեշտ է շարադրել ստոր</w:t>
      </w:r>
      <w:r w:rsidR="00C54D75">
        <w:rPr>
          <w:rFonts w:ascii="Sylfaen" w:hAnsi="Sylfaen"/>
          <w:sz w:val="24"/>
          <w:szCs w:val="24"/>
        </w:rPr>
        <w:t>և</w:t>
      </w:r>
      <w:r w:rsidRPr="00834D52">
        <w:rPr>
          <w:rFonts w:ascii="Sylfaen" w:hAnsi="Sylfaen"/>
          <w:sz w:val="24"/>
          <w:szCs w:val="24"/>
        </w:rPr>
        <w:t>՝</w:t>
      </w:r>
    </w:p>
    <w:tbl>
      <w:tblPr>
        <w:tblW w:w="9577" w:type="dxa"/>
        <w:tblInd w:w="109" w:type="dxa"/>
        <w:tblLayout w:type="fixed"/>
        <w:tblCellMar>
          <w:left w:w="0" w:type="dxa"/>
          <w:right w:w="0" w:type="dxa"/>
        </w:tblCellMar>
        <w:tblLook w:val="01E0" w:firstRow="1" w:lastRow="1" w:firstColumn="1" w:lastColumn="1" w:noHBand="0" w:noVBand="0"/>
      </w:tblPr>
      <w:tblGrid>
        <w:gridCol w:w="6219"/>
        <w:gridCol w:w="3358"/>
      </w:tblGrid>
      <w:tr w:rsidR="006F76EB" w:rsidRPr="00834D52" w14:paraId="157CD58E" w14:textId="77777777" w:rsidTr="0099364A">
        <w:trPr>
          <w:trHeight w:val="791"/>
        </w:trPr>
        <w:tc>
          <w:tcPr>
            <w:tcW w:w="6219" w:type="dxa"/>
            <w:tcBorders>
              <w:top w:val="single" w:sz="4" w:space="0" w:color="000000"/>
              <w:left w:val="single" w:sz="4" w:space="0" w:color="000000"/>
              <w:bottom w:val="single" w:sz="4" w:space="0" w:color="000000"/>
              <w:right w:val="single" w:sz="4" w:space="0" w:color="000000"/>
            </w:tcBorders>
          </w:tcPr>
          <w:p w14:paraId="2A7066EE" w14:textId="77777777" w:rsidR="006F76EB" w:rsidRPr="00834D52" w:rsidRDefault="006F76EB" w:rsidP="00714E9D">
            <w:pPr>
              <w:spacing w:after="0" w:line="240" w:lineRule="auto"/>
              <w:ind w:left="112" w:right="-6"/>
              <w:rPr>
                <w:rFonts w:ascii="Sylfaen" w:eastAsia="Times New Roman" w:hAnsi="Sylfaen" w:cs="Times New Roman"/>
                <w:sz w:val="24"/>
                <w:szCs w:val="24"/>
              </w:rPr>
            </w:pPr>
            <w:r w:rsidRPr="00834D52">
              <w:rPr>
                <w:rFonts w:ascii="Sylfaen" w:hAnsi="Sylfaen"/>
                <w:sz w:val="24"/>
                <w:szCs w:val="24"/>
              </w:rPr>
              <w:t>ակտիվ դեղագործական բաղադրամասեր</w:t>
            </w:r>
          </w:p>
        </w:tc>
        <w:tc>
          <w:tcPr>
            <w:tcW w:w="3358" w:type="dxa"/>
            <w:tcBorders>
              <w:top w:val="single" w:sz="4" w:space="0" w:color="000000"/>
              <w:left w:val="single" w:sz="4" w:space="0" w:color="000000"/>
              <w:bottom w:val="single" w:sz="4" w:space="0" w:color="000000"/>
              <w:right w:val="single" w:sz="4" w:space="0" w:color="000000"/>
            </w:tcBorders>
          </w:tcPr>
          <w:p w14:paraId="35298916" w14:textId="77777777" w:rsidR="006F76EB" w:rsidRPr="00834D52" w:rsidRDefault="006F76EB" w:rsidP="00714E9D">
            <w:pPr>
              <w:spacing w:after="0" w:line="240" w:lineRule="auto"/>
              <w:ind w:right="-6"/>
              <w:rPr>
                <w:rFonts w:ascii="Sylfaen" w:hAnsi="Sylfaen"/>
                <w:sz w:val="24"/>
                <w:szCs w:val="24"/>
              </w:rPr>
            </w:pPr>
          </w:p>
        </w:tc>
      </w:tr>
      <w:tr w:rsidR="006F76EB" w:rsidRPr="00834D52" w14:paraId="39FA4040" w14:textId="77777777" w:rsidTr="0099364A">
        <w:trPr>
          <w:trHeight w:val="835"/>
        </w:trPr>
        <w:tc>
          <w:tcPr>
            <w:tcW w:w="6219" w:type="dxa"/>
            <w:tcBorders>
              <w:top w:val="single" w:sz="4" w:space="0" w:color="000000"/>
              <w:left w:val="single" w:sz="4" w:space="0" w:color="000000"/>
              <w:bottom w:val="single" w:sz="4" w:space="0" w:color="000000"/>
              <w:right w:val="single" w:sz="4" w:space="0" w:color="000000"/>
            </w:tcBorders>
          </w:tcPr>
          <w:p w14:paraId="711963C7" w14:textId="77777777" w:rsidR="006F76EB" w:rsidRPr="00834D52" w:rsidRDefault="006F76EB" w:rsidP="00714E9D">
            <w:pPr>
              <w:spacing w:after="0" w:line="240" w:lineRule="auto"/>
              <w:ind w:left="112" w:right="-6"/>
              <w:rPr>
                <w:rFonts w:ascii="Sylfaen" w:eastAsia="Times New Roman" w:hAnsi="Sylfaen" w:cs="Times New Roman"/>
                <w:sz w:val="24"/>
                <w:szCs w:val="24"/>
              </w:rPr>
            </w:pPr>
            <w:r w:rsidRPr="00834D52">
              <w:rPr>
                <w:rFonts w:ascii="Sylfaen" w:hAnsi="Sylfaen"/>
                <w:sz w:val="24"/>
                <w:szCs w:val="24"/>
              </w:rPr>
              <w:t>օժանդակ նյութ (եր)</w:t>
            </w:r>
          </w:p>
        </w:tc>
        <w:tc>
          <w:tcPr>
            <w:tcW w:w="3358" w:type="dxa"/>
            <w:tcBorders>
              <w:top w:val="single" w:sz="4" w:space="0" w:color="000000"/>
              <w:left w:val="single" w:sz="4" w:space="0" w:color="000000"/>
              <w:bottom w:val="single" w:sz="4" w:space="0" w:color="000000"/>
              <w:right w:val="single" w:sz="4" w:space="0" w:color="000000"/>
            </w:tcBorders>
          </w:tcPr>
          <w:p w14:paraId="7615B629" w14:textId="77777777" w:rsidR="006F76EB" w:rsidRPr="00834D52" w:rsidRDefault="006F76EB" w:rsidP="00714E9D">
            <w:pPr>
              <w:spacing w:after="0" w:line="240" w:lineRule="auto"/>
              <w:ind w:right="-6"/>
              <w:rPr>
                <w:rFonts w:ascii="Sylfaen" w:hAnsi="Sylfaen"/>
                <w:sz w:val="24"/>
                <w:szCs w:val="24"/>
              </w:rPr>
            </w:pPr>
          </w:p>
        </w:tc>
      </w:tr>
    </w:tbl>
    <w:p w14:paraId="507FACBE" w14:textId="77777777" w:rsidR="006F76EB" w:rsidRPr="00834D52" w:rsidRDefault="006F76EB" w:rsidP="00714E9D">
      <w:pPr>
        <w:tabs>
          <w:tab w:val="left" w:pos="1701"/>
        </w:tabs>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3.6.2.</w:t>
      </w:r>
      <w:r w:rsidRPr="00834D52">
        <w:rPr>
          <w:rFonts w:ascii="Sylfaen" w:hAnsi="Sylfaen"/>
          <w:sz w:val="24"/>
          <w:szCs w:val="24"/>
        </w:rPr>
        <w:tab/>
        <w:t xml:space="preserve">Կենդանական </w:t>
      </w:r>
      <w:r w:rsidR="00C54D75">
        <w:rPr>
          <w:rFonts w:ascii="Sylfaen" w:hAnsi="Sylfaen"/>
          <w:sz w:val="24"/>
          <w:szCs w:val="24"/>
        </w:rPr>
        <w:t>և</w:t>
      </w:r>
      <w:r w:rsidRPr="00834D52">
        <w:rPr>
          <w:rFonts w:ascii="Sylfaen" w:hAnsi="Sylfaen"/>
          <w:sz w:val="24"/>
          <w:szCs w:val="24"/>
        </w:rPr>
        <w:t xml:space="preserve"> (կամ) մարդկային ծագման այն նյութերի ցանկը, որոնք դեղապատրաստուկի բաղադրության մաս են կազմում կամ կիրառվում են դրա արտադրության պրոցեսում</w:t>
      </w:r>
    </w:p>
    <w:p w14:paraId="4D12D887" w14:textId="77777777" w:rsidR="006F76EB" w:rsidRDefault="00157FD9" w:rsidP="006F76EB">
      <w:pPr>
        <w:spacing w:after="160" w:line="360" w:lineRule="auto"/>
        <w:ind w:right="-6"/>
        <w:jc w:val="center"/>
        <w:rPr>
          <w:rFonts w:ascii="Sylfaen" w:hAnsi="Sylfaen"/>
          <w:sz w:val="24"/>
          <w:szCs w:val="24"/>
          <w:lang w:val="en-US"/>
        </w:rPr>
      </w:pPr>
      <w:r>
        <w:rPr>
          <w:rFonts w:ascii="Sylfaen" w:eastAsia="Times New Roman" w:hAnsi="Sylfaen" w:cs="Times New Roman"/>
          <w:noProof/>
          <w:sz w:val="24"/>
          <w:szCs w:val="24"/>
        </w:rPr>
        <w:pict w14:anchorId="3FA63EFE">
          <v:rect id="_x0000_s1234" style="position:absolute;left:0;text-align:left;margin-left:170.25pt;margin-top:5.45pt;width:12.75pt;height:12pt;z-index:251762176"/>
        </w:pict>
      </w:r>
      <w:r w:rsidR="006F76EB" w:rsidRPr="00834D52">
        <w:rPr>
          <w:rFonts w:ascii="Sylfaen" w:hAnsi="Sylfaen"/>
          <w:sz w:val="24"/>
          <w:szCs w:val="24"/>
        </w:rPr>
        <w:t>առկա չեն</w:t>
      </w:r>
    </w:p>
    <w:p w14:paraId="67099546" w14:textId="77777777" w:rsidR="0099364A" w:rsidRPr="0099364A" w:rsidRDefault="0099364A" w:rsidP="006F76EB">
      <w:pPr>
        <w:spacing w:after="160" w:line="360" w:lineRule="auto"/>
        <w:ind w:right="-6"/>
        <w:jc w:val="center"/>
        <w:rPr>
          <w:rFonts w:ascii="Sylfaen" w:hAnsi="Sylfaen"/>
          <w:sz w:val="24"/>
          <w:szCs w:val="24"/>
          <w:lang w:val="en-US"/>
        </w:rPr>
      </w:pPr>
    </w:p>
    <w:tbl>
      <w:tblPr>
        <w:tblW w:w="9951" w:type="dxa"/>
        <w:tblInd w:w="5" w:type="dxa"/>
        <w:tblLayout w:type="fixed"/>
        <w:tblCellMar>
          <w:left w:w="0" w:type="dxa"/>
          <w:right w:w="0" w:type="dxa"/>
        </w:tblCellMar>
        <w:tblLook w:val="01E0" w:firstRow="1" w:lastRow="1" w:firstColumn="1" w:lastColumn="1" w:noHBand="0" w:noVBand="0"/>
      </w:tblPr>
      <w:tblGrid>
        <w:gridCol w:w="1437"/>
        <w:gridCol w:w="575"/>
        <w:gridCol w:w="575"/>
        <w:gridCol w:w="574"/>
        <w:gridCol w:w="1725"/>
        <w:gridCol w:w="1436"/>
        <w:gridCol w:w="1150"/>
        <w:gridCol w:w="2479"/>
      </w:tblGrid>
      <w:tr w:rsidR="006F76EB" w:rsidRPr="00834D52" w14:paraId="40AEF8B4" w14:textId="77777777" w:rsidTr="00FB13FE">
        <w:trPr>
          <w:trHeight w:val="2040"/>
        </w:trPr>
        <w:tc>
          <w:tcPr>
            <w:tcW w:w="1437" w:type="dxa"/>
            <w:tcBorders>
              <w:top w:val="single" w:sz="4" w:space="0" w:color="000000"/>
              <w:left w:val="single" w:sz="4" w:space="0" w:color="000000"/>
              <w:bottom w:val="single" w:sz="4" w:space="0" w:color="000000"/>
              <w:right w:val="single" w:sz="4" w:space="0" w:color="000000"/>
            </w:tcBorders>
            <w:vAlign w:val="center"/>
          </w:tcPr>
          <w:p w14:paraId="75B07D49"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lastRenderedPageBreak/>
              <w:t>Անունը</w:t>
            </w:r>
          </w:p>
        </w:tc>
        <w:tc>
          <w:tcPr>
            <w:tcW w:w="1724" w:type="dxa"/>
            <w:gridSpan w:val="3"/>
            <w:tcBorders>
              <w:top w:val="single" w:sz="4" w:space="0" w:color="000000"/>
              <w:left w:val="single" w:sz="4" w:space="0" w:color="000000"/>
              <w:bottom w:val="single" w:sz="4" w:space="0" w:color="000000"/>
              <w:right w:val="single" w:sz="4" w:space="0" w:color="000000"/>
            </w:tcBorders>
            <w:vAlign w:val="center"/>
          </w:tcPr>
          <w:p w14:paraId="0EC35814"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Գործառույթը</w:t>
            </w:r>
          </w:p>
        </w:tc>
        <w:tc>
          <w:tcPr>
            <w:tcW w:w="1725" w:type="dxa"/>
            <w:tcBorders>
              <w:top w:val="single" w:sz="4" w:space="0" w:color="000000"/>
              <w:left w:val="single" w:sz="4" w:space="0" w:color="000000"/>
              <w:bottom w:val="single" w:sz="4" w:space="0" w:color="000000"/>
              <w:right w:val="single" w:sz="4" w:space="0" w:color="000000"/>
            </w:tcBorders>
            <w:vAlign w:val="center"/>
          </w:tcPr>
          <w:p w14:paraId="7716A2CC"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ՏՍԷ-ի նկատմամբ զգայուն կենդանիներից</w:t>
            </w:r>
            <w:r w:rsidRPr="00834D52">
              <w:rPr>
                <w:rStyle w:val="FootnoteReference"/>
                <w:rFonts w:ascii="Sylfaen" w:hAnsi="Sylfaen"/>
                <w:sz w:val="20"/>
                <w:szCs w:val="20"/>
              </w:rPr>
              <w:footnoteReference w:customMarkFollows="1" w:id="20"/>
              <w:t>3</w:t>
            </w:r>
          </w:p>
        </w:tc>
        <w:tc>
          <w:tcPr>
            <w:tcW w:w="1436" w:type="dxa"/>
            <w:tcBorders>
              <w:top w:val="single" w:sz="4" w:space="0" w:color="000000"/>
              <w:left w:val="single" w:sz="4" w:space="0" w:color="000000"/>
              <w:bottom w:val="single" w:sz="4" w:space="0" w:color="000000"/>
              <w:right w:val="single" w:sz="4" w:space="0" w:color="000000"/>
            </w:tcBorders>
            <w:vAlign w:val="center"/>
          </w:tcPr>
          <w:p w14:paraId="3A705A68"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Այլ կենդանիներից</w:t>
            </w:r>
          </w:p>
        </w:tc>
        <w:tc>
          <w:tcPr>
            <w:tcW w:w="1150" w:type="dxa"/>
            <w:tcBorders>
              <w:top w:val="single" w:sz="4" w:space="0" w:color="000000"/>
              <w:left w:val="single" w:sz="4" w:space="0" w:color="000000"/>
              <w:bottom w:val="single" w:sz="4" w:space="0" w:color="000000"/>
              <w:right w:val="single" w:sz="4" w:space="0" w:color="000000"/>
            </w:tcBorders>
            <w:vAlign w:val="center"/>
          </w:tcPr>
          <w:p w14:paraId="034909A6"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Մարդկային ծագման</w:t>
            </w:r>
          </w:p>
        </w:tc>
        <w:tc>
          <w:tcPr>
            <w:tcW w:w="2479" w:type="dxa"/>
            <w:tcBorders>
              <w:top w:val="single" w:sz="4" w:space="0" w:color="000000"/>
              <w:left w:val="single" w:sz="4" w:space="0" w:color="000000"/>
              <w:bottom w:val="single" w:sz="4" w:space="0" w:color="000000"/>
              <w:right w:val="single" w:sz="4" w:space="0" w:color="000000"/>
            </w:tcBorders>
            <w:vAlign w:val="center"/>
          </w:tcPr>
          <w:p w14:paraId="2403CBD2" w14:textId="77777777" w:rsidR="006F76EB" w:rsidRPr="00834D52" w:rsidRDefault="006F76EB" w:rsidP="0099364A">
            <w:pPr>
              <w:spacing w:after="120" w:line="240" w:lineRule="auto"/>
              <w:ind w:right="-6"/>
              <w:jc w:val="center"/>
              <w:rPr>
                <w:rFonts w:ascii="Sylfaen" w:eastAsia="Times New Roman" w:hAnsi="Sylfaen" w:cs="Times New Roman"/>
                <w:sz w:val="20"/>
                <w:szCs w:val="20"/>
              </w:rPr>
            </w:pPr>
            <w:r w:rsidRPr="00834D52">
              <w:rPr>
                <w:rFonts w:ascii="Sylfaen" w:hAnsi="Sylfaen"/>
                <w:sz w:val="20"/>
                <w:szCs w:val="20"/>
              </w:rPr>
              <w:t>ՏՍԷ</w:t>
            </w:r>
            <w:r w:rsidRPr="00834D52">
              <w:rPr>
                <w:rFonts w:ascii="Sylfaen" w:hAnsi="Sylfaen"/>
                <w:sz w:val="20"/>
                <w:szCs w:val="20"/>
                <w:vertAlign w:val="superscript"/>
              </w:rPr>
              <w:t>3</w:t>
            </w:r>
            <w:r w:rsidRPr="00834D52">
              <w:rPr>
                <w:rFonts w:ascii="Sylfaen" w:hAnsi="Sylfaen"/>
                <w:sz w:val="20"/>
                <w:szCs w:val="20"/>
              </w:rPr>
              <w:t>-ի մասով Եվրոպական դեղագրքերի համապատասխանության սերտիֆիկատ (նշե՛ք համարը)</w:t>
            </w:r>
          </w:p>
        </w:tc>
      </w:tr>
      <w:tr w:rsidR="006F76EB" w:rsidRPr="00834D52" w14:paraId="317191BC" w14:textId="77777777" w:rsidTr="00FB13FE">
        <w:trPr>
          <w:trHeight w:val="551"/>
        </w:trPr>
        <w:tc>
          <w:tcPr>
            <w:tcW w:w="1437" w:type="dxa"/>
            <w:tcBorders>
              <w:top w:val="single" w:sz="4" w:space="0" w:color="000000"/>
              <w:left w:val="single" w:sz="4" w:space="0" w:color="000000"/>
              <w:bottom w:val="single" w:sz="4" w:space="0" w:color="000000"/>
              <w:right w:val="single" w:sz="4" w:space="0" w:color="000000"/>
            </w:tcBorders>
          </w:tcPr>
          <w:p w14:paraId="1387F1D4"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6154FCB9"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ԱԴԲ</w:t>
            </w:r>
          </w:p>
        </w:tc>
        <w:tc>
          <w:tcPr>
            <w:tcW w:w="575" w:type="dxa"/>
            <w:tcBorders>
              <w:top w:val="single" w:sz="4" w:space="0" w:color="000000"/>
              <w:left w:val="single" w:sz="4" w:space="0" w:color="000000"/>
              <w:bottom w:val="single" w:sz="4" w:space="0" w:color="000000"/>
              <w:right w:val="single" w:sz="4" w:space="0" w:color="000000"/>
            </w:tcBorders>
          </w:tcPr>
          <w:p w14:paraId="14703394"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ՕՆ</w:t>
            </w:r>
            <w:r w:rsidRPr="00834D52">
              <w:rPr>
                <w:rStyle w:val="FootnoteReference"/>
                <w:rFonts w:ascii="Sylfaen" w:hAnsi="Sylfaen"/>
                <w:sz w:val="20"/>
                <w:szCs w:val="20"/>
              </w:rPr>
              <w:footnoteReference w:customMarkFollows="1" w:id="21"/>
              <w:t>1</w:t>
            </w:r>
          </w:p>
        </w:tc>
        <w:tc>
          <w:tcPr>
            <w:tcW w:w="574" w:type="dxa"/>
            <w:tcBorders>
              <w:top w:val="single" w:sz="4" w:space="0" w:color="000000"/>
              <w:left w:val="single" w:sz="4" w:space="0" w:color="000000"/>
              <w:bottom w:val="single" w:sz="4" w:space="0" w:color="000000"/>
              <w:right w:val="single" w:sz="4" w:space="0" w:color="000000"/>
            </w:tcBorders>
          </w:tcPr>
          <w:p w14:paraId="2F777D99"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Ռ</w:t>
            </w:r>
            <w:r w:rsidRPr="00834D52">
              <w:rPr>
                <w:rStyle w:val="FootnoteReference"/>
                <w:rFonts w:ascii="Sylfaen" w:hAnsi="Sylfaen"/>
                <w:sz w:val="20"/>
                <w:szCs w:val="20"/>
              </w:rPr>
              <w:footnoteReference w:customMarkFollows="1" w:id="22"/>
              <w:t>2</w:t>
            </w:r>
          </w:p>
        </w:tc>
        <w:tc>
          <w:tcPr>
            <w:tcW w:w="1725" w:type="dxa"/>
            <w:tcBorders>
              <w:top w:val="single" w:sz="4" w:space="0" w:color="000000"/>
              <w:left w:val="single" w:sz="4" w:space="0" w:color="000000"/>
              <w:bottom w:val="single" w:sz="4" w:space="0" w:color="000000"/>
              <w:right w:val="single" w:sz="4" w:space="0" w:color="000000"/>
            </w:tcBorders>
          </w:tcPr>
          <w:p w14:paraId="161A1F57"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03310E66"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0C01FE9A"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43911F7B" w14:textId="77777777" w:rsidR="006F76EB" w:rsidRPr="00834D52" w:rsidRDefault="006F76EB" w:rsidP="0099364A">
            <w:pPr>
              <w:spacing w:after="120" w:line="240" w:lineRule="auto"/>
              <w:ind w:right="-6"/>
              <w:rPr>
                <w:rFonts w:ascii="Sylfaen" w:hAnsi="Sylfaen"/>
                <w:sz w:val="20"/>
                <w:szCs w:val="20"/>
              </w:rPr>
            </w:pPr>
          </w:p>
        </w:tc>
      </w:tr>
      <w:tr w:rsidR="006F76EB" w:rsidRPr="00834D52" w14:paraId="794E00D4" w14:textId="77777777" w:rsidTr="00FB13FE">
        <w:trPr>
          <w:trHeight w:val="528"/>
        </w:trPr>
        <w:tc>
          <w:tcPr>
            <w:tcW w:w="1437" w:type="dxa"/>
            <w:tcBorders>
              <w:top w:val="single" w:sz="4" w:space="0" w:color="000000"/>
              <w:left w:val="single" w:sz="4" w:space="0" w:color="000000"/>
              <w:bottom w:val="single" w:sz="4" w:space="0" w:color="000000"/>
              <w:right w:val="single" w:sz="4" w:space="0" w:color="000000"/>
            </w:tcBorders>
          </w:tcPr>
          <w:p w14:paraId="6CF09E9A"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1</w:t>
            </w:r>
          </w:p>
        </w:tc>
        <w:tc>
          <w:tcPr>
            <w:tcW w:w="575" w:type="dxa"/>
            <w:tcBorders>
              <w:top w:val="single" w:sz="4" w:space="0" w:color="000000"/>
              <w:left w:val="single" w:sz="4" w:space="0" w:color="000000"/>
              <w:bottom w:val="single" w:sz="4" w:space="0" w:color="000000"/>
              <w:right w:val="single" w:sz="4" w:space="0" w:color="000000"/>
            </w:tcBorders>
          </w:tcPr>
          <w:p w14:paraId="66017AD2"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61D1B450" w14:textId="77777777" w:rsidR="006F76EB" w:rsidRPr="00834D52" w:rsidRDefault="006F76EB" w:rsidP="0099364A">
            <w:pPr>
              <w:spacing w:after="120" w:line="240" w:lineRule="auto"/>
              <w:ind w:right="-6"/>
              <w:rPr>
                <w:rFonts w:ascii="Sylfaen" w:hAnsi="Sylfae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44FF3BBA" w14:textId="77777777" w:rsidR="006F76EB" w:rsidRPr="00834D52" w:rsidRDefault="006F76EB" w:rsidP="0099364A">
            <w:pPr>
              <w:spacing w:after="120" w:line="240" w:lineRule="auto"/>
              <w:ind w:right="-6"/>
              <w:rPr>
                <w:rFonts w:ascii="Sylfaen" w:hAnsi="Sylfaen"/>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0EA3202C"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2315E40B"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19DA4C58"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66AF9758" w14:textId="77777777" w:rsidR="006F76EB" w:rsidRPr="00834D52" w:rsidRDefault="006F76EB" w:rsidP="0099364A">
            <w:pPr>
              <w:spacing w:after="120" w:line="240" w:lineRule="auto"/>
              <w:ind w:right="-6"/>
              <w:rPr>
                <w:rFonts w:ascii="Sylfaen" w:hAnsi="Sylfaen"/>
                <w:sz w:val="20"/>
                <w:szCs w:val="20"/>
              </w:rPr>
            </w:pPr>
          </w:p>
        </w:tc>
      </w:tr>
      <w:tr w:rsidR="006F76EB" w:rsidRPr="00834D52" w14:paraId="2410355E" w14:textId="77777777" w:rsidTr="00FB13FE">
        <w:trPr>
          <w:trHeight w:val="551"/>
        </w:trPr>
        <w:tc>
          <w:tcPr>
            <w:tcW w:w="1437" w:type="dxa"/>
            <w:tcBorders>
              <w:top w:val="single" w:sz="4" w:space="0" w:color="000000"/>
              <w:left w:val="single" w:sz="4" w:space="0" w:color="000000"/>
              <w:bottom w:val="single" w:sz="4" w:space="0" w:color="000000"/>
              <w:right w:val="single" w:sz="4" w:space="0" w:color="000000"/>
            </w:tcBorders>
          </w:tcPr>
          <w:p w14:paraId="4082BA81"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2</w:t>
            </w:r>
          </w:p>
        </w:tc>
        <w:tc>
          <w:tcPr>
            <w:tcW w:w="575" w:type="dxa"/>
            <w:tcBorders>
              <w:top w:val="single" w:sz="4" w:space="0" w:color="000000"/>
              <w:left w:val="single" w:sz="4" w:space="0" w:color="000000"/>
              <w:bottom w:val="single" w:sz="4" w:space="0" w:color="000000"/>
              <w:right w:val="single" w:sz="4" w:space="0" w:color="000000"/>
            </w:tcBorders>
          </w:tcPr>
          <w:p w14:paraId="7239B982"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2B8E977B" w14:textId="77777777" w:rsidR="006F76EB" w:rsidRPr="00834D52" w:rsidRDefault="006F76EB" w:rsidP="0099364A">
            <w:pPr>
              <w:spacing w:after="120" w:line="240" w:lineRule="auto"/>
              <w:ind w:right="-6"/>
              <w:rPr>
                <w:rFonts w:ascii="Sylfaen" w:hAnsi="Sylfae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185608DA" w14:textId="77777777" w:rsidR="006F76EB" w:rsidRPr="00834D52" w:rsidRDefault="006F76EB" w:rsidP="0099364A">
            <w:pPr>
              <w:spacing w:after="120" w:line="240" w:lineRule="auto"/>
              <w:ind w:right="-6"/>
              <w:rPr>
                <w:rFonts w:ascii="Sylfaen" w:hAnsi="Sylfaen"/>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379E4B64"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4EBF1E02"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14EF1509"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3306B9BC" w14:textId="77777777" w:rsidR="006F76EB" w:rsidRPr="00834D52" w:rsidRDefault="006F76EB" w:rsidP="0099364A">
            <w:pPr>
              <w:spacing w:after="120" w:line="240" w:lineRule="auto"/>
              <w:ind w:right="-6"/>
              <w:rPr>
                <w:rFonts w:ascii="Sylfaen" w:hAnsi="Sylfaen"/>
                <w:sz w:val="20"/>
                <w:szCs w:val="20"/>
              </w:rPr>
            </w:pPr>
          </w:p>
        </w:tc>
      </w:tr>
      <w:tr w:rsidR="006F76EB" w:rsidRPr="00834D52" w14:paraId="53CF5C07" w14:textId="77777777" w:rsidTr="00FB13FE">
        <w:trPr>
          <w:trHeight w:val="528"/>
        </w:trPr>
        <w:tc>
          <w:tcPr>
            <w:tcW w:w="1437" w:type="dxa"/>
            <w:tcBorders>
              <w:top w:val="single" w:sz="4" w:space="0" w:color="000000"/>
              <w:left w:val="single" w:sz="4" w:space="0" w:color="000000"/>
              <w:bottom w:val="single" w:sz="4" w:space="0" w:color="000000"/>
              <w:right w:val="single" w:sz="4" w:space="0" w:color="000000"/>
            </w:tcBorders>
          </w:tcPr>
          <w:p w14:paraId="1CDC2959"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3</w:t>
            </w:r>
          </w:p>
        </w:tc>
        <w:tc>
          <w:tcPr>
            <w:tcW w:w="575" w:type="dxa"/>
            <w:tcBorders>
              <w:top w:val="single" w:sz="4" w:space="0" w:color="000000"/>
              <w:left w:val="single" w:sz="4" w:space="0" w:color="000000"/>
              <w:bottom w:val="single" w:sz="4" w:space="0" w:color="000000"/>
              <w:right w:val="single" w:sz="4" w:space="0" w:color="000000"/>
            </w:tcBorders>
          </w:tcPr>
          <w:p w14:paraId="452AF8C6"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1C969BAC" w14:textId="77777777" w:rsidR="006F76EB" w:rsidRPr="00834D52" w:rsidRDefault="006F76EB" w:rsidP="0099364A">
            <w:pPr>
              <w:spacing w:after="120" w:line="240" w:lineRule="auto"/>
              <w:ind w:right="-6"/>
              <w:rPr>
                <w:rFonts w:ascii="Sylfaen" w:hAnsi="Sylfae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58DEE3DC" w14:textId="77777777" w:rsidR="006F76EB" w:rsidRPr="00834D52" w:rsidRDefault="006F76EB" w:rsidP="0099364A">
            <w:pPr>
              <w:spacing w:after="120" w:line="240" w:lineRule="auto"/>
              <w:ind w:right="-6"/>
              <w:rPr>
                <w:rFonts w:ascii="Sylfaen" w:hAnsi="Sylfaen"/>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79D8489C"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796672C4"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6A4DD132"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465F5F14" w14:textId="77777777" w:rsidR="006F76EB" w:rsidRPr="00834D52" w:rsidRDefault="006F76EB" w:rsidP="0099364A">
            <w:pPr>
              <w:spacing w:after="120" w:line="240" w:lineRule="auto"/>
              <w:ind w:right="-6"/>
              <w:rPr>
                <w:rFonts w:ascii="Sylfaen" w:hAnsi="Sylfaen"/>
                <w:sz w:val="20"/>
                <w:szCs w:val="20"/>
              </w:rPr>
            </w:pPr>
          </w:p>
        </w:tc>
      </w:tr>
      <w:tr w:rsidR="006F76EB" w:rsidRPr="00834D52" w14:paraId="219B8963" w14:textId="77777777" w:rsidTr="00FB13FE">
        <w:trPr>
          <w:trHeight w:val="551"/>
        </w:trPr>
        <w:tc>
          <w:tcPr>
            <w:tcW w:w="1437" w:type="dxa"/>
            <w:tcBorders>
              <w:top w:val="single" w:sz="4" w:space="0" w:color="000000"/>
              <w:left w:val="single" w:sz="4" w:space="0" w:color="000000"/>
              <w:bottom w:val="single" w:sz="4" w:space="0" w:color="000000"/>
              <w:right w:val="single" w:sz="4" w:space="0" w:color="000000"/>
            </w:tcBorders>
          </w:tcPr>
          <w:p w14:paraId="550A699C" w14:textId="77777777" w:rsidR="006F76EB" w:rsidRPr="00834D52" w:rsidRDefault="006F76EB" w:rsidP="0099364A">
            <w:pPr>
              <w:spacing w:after="120" w:line="240" w:lineRule="auto"/>
              <w:ind w:right="-6"/>
              <w:rPr>
                <w:rFonts w:ascii="Sylfaen" w:eastAsia="Times New Roman" w:hAnsi="Sylfaen" w:cs="Times New Roman"/>
                <w:sz w:val="20"/>
                <w:szCs w:val="20"/>
              </w:rPr>
            </w:pPr>
            <w:r w:rsidRPr="00834D52">
              <w:rPr>
                <w:rFonts w:ascii="Sylfaen" w:hAnsi="Sylfaen"/>
                <w:sz w:val="20"/>
                <w:szCs w:val="20"/>
              </w:rPr>
              <w:t>...</w:t>
            </w:r>
          </w:p>
        </w:tc>
        <w:tc>
          <w:tcPr>
            <w:tcW w:w="575" w:type="dxa"/>
            <w:tcBorders>
              <w:top w:val="single" w:sz="4" w:space="0" w:color="000000"/>
              <w:left w:val="single" w:sz="4" w:space="0" w:color="000000"/>
              <w:bottom w:val="single" w:sz="4" w:space="0" w:color="000000"/>
              <w:right w:val="single" w:sz="4" w:space="0" w:color="000000"/>
            </w:tcBorders>
          </w:tcPr>
          <w:p w14:paraId="0B826330"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2423CFED" w14:textId="77777777" w:rsidR="006F76EB" w:rsidRPr="00834D52" w:rsidRDefault="006F76EB" w:rsidP="0099364A">
            <w:pPr>
              <w:spacing w:after="120" w:line="240" w:lineRule="auto"/>
              <w:ind w:right="-6"/>
              <w:rPr>
                <w:rFonts w:ascii="Sylfaen" w:hAnsi="Sylfae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0CEC8660" w14:textId="77777777" w:rsidR="006F76EB" w:rsidRPr="00834D52" w:rsidRDefault="006F76EB" w:rsidP="0099364A">
            <w:pPr>
              <w:spacing w:after="120" w:line="240" w:lineRule="auto"/>
              <w:ind w:right="-6"/>
              <w:rPr>
                <w:rFonts w:ascii="Sylfaen" w:hAnsi="Sylfaen"/>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68EBCB18"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38DB36BB"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4CCF63B2"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4B30939B" w14:textId="77777777" w:rsidR="006F76EB" w:rsidRPr="00834D52" w:rsidRDefault="006F76EB" w:rsidP="0099364A">
            <w:pPr>
              <w:spacing w:after="120" w:line="240" w:lineRule="auto"/>
              <w:ind w:right="-6"/>
              <w:rPr>
                <w:rFonts w:ascii="Sylfaen" w:hAnsi="Sylfaen"/>
                <w:sz w:val="20"/>
                <w:szCs w:val="20"/>
              </w:rPr>
            </w:pPr>
          </w:p>
        </w:tc>
      </w:tr>
      <w:tr w:rsidR="006F76EB" w:rsidRPr="00834D52" w14:paraId="33384E73" w14:textId="77777777" w:rsidTr="00FB13FE">
        <w:trPr>
          <w:trHeight w:val="551"/>
        </w:trPr>
        <w:tc>
          <w:tcPr>
            <w:tcW w:w="1437" w:type="dxa"/>
            <w:tcBorders>
              <w:top w:val="single" w:sz="4" w:space="0" w:color="000000"/>
              <w:left w:val="single" w:sz="4" w:space="0" w:color="000000"/>
              <w:bottom w:val="single" w:sz="4" w:space="0" w:color="000000"/>
              <w:right w:val="single" w:sz="4" w:space="0" w:color="000000"/>
            </w:tcBorders>
          </w:tcPr>
          <w:p w14:paraId="66F259E7"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7A6FE2EF" w14:textId="77777777" w:rsidR="006F76EB" w:rsidRPr="00834D52" w:rsidRDefault="006F76EB" w:rsidP="0099364A">
            <w:pPr>
              <w:spacing w:after="120" w:line="240" w:lineRule="auto"/>
              <w:ind w:right="-6"/>
              <w:rPr>
                <w:rFonts w:ascii="Sylfaen" w:hAnsi="Sylfaen"/>
                <w:sz w:val="20"/>
                <w:szCs w:val="20"/>
              </w:rPr>
            </w:pPr>
          </w:p>
        </w:tc>
        <w:tc>
          <w:tcPr>
            <w:tcW w:w="575" w:type="dxa"/>
            <w:tcBorders>
              <w:top w:val="single" w:sz="4" w:space="0" w:color="000000"/>
              <w:left w:val="single" w:sz="4" w:space="0" w:color="000000"/>
              <w:bottom w:val="single" w:sz="4" w:space="0" w:color="000000"/>
              <w:right w:val="single" w:sz="4" w:space="0" w:color="000000"/>
            </w:tcBorders>
          </w:tcPr>
          <w:p w14:paraId="3161D9DF" w14:textId="77777777" w:rsidR="006F76EB" w:rsidRPr="00834D52" w:rsidRDefault="006F76EB" w:rsidP="0099364A">
            <w:pPr>
              <w:spacing w:after="120" w:line="240" w:lineRule="auto"/>
              <w:ind w:right="-6"/>
              <w:rPr>
                <w:rFonts w:ascii="Sylfaen" w:hAnsi="Sylfae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11EFFAFC" w14:textId="77777777" w:rsidR="006F76EB" w:rsidRPr="00834D52" w:rsidRDefault="006F76EB" w:rsidP="0099364A">
            <w:pPr>
              <w:spacing w:after="120" w:line="240" w:lineRule="auto"/>
              <w:ind w:right="-6"/>
              <w:rPr>
                <w:rFonts w:ascii="Sylfaen" w:hAnsi="Sylfaen"/>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3E7C4726" w14:textId="77777777" w:rsidR="006F76EB" w:rsidRPr="00834D52" w:rsidRDefault="006F76EB" w:rsidP="0099364A">
            <w:pPr>
              <w:spacing w:after="120" w:line="240" w:lineRule="auto"/>
              <w:ind w:right="-6"/>
              <w:rPr>
                <w:rFonts w:ascii="Sylfaen" w:hAnsi="Sylfaen"/>
                <w:sz w:val="20"/>
                <w:szCs w:val="20"/>
              </w:rPr>
            </w:pPr>
          </w:p>
        </w:tc>
        <w:tc>
          <w:tcPr>
            <w:tcW w:w="1436" w:type="dxa"/>
            <w:tcBorders>
              <w:top w:val="single" w:sz="4" w:space="0" w:color="000000"/>
              <w:left w:val="single" w:sz="4" w:space="0" w:color="000000"/>
              <w:bottom w:val="single" w:sz="4" w:space="0" w:color="000000"/>
              <w:right w:val="single" w:sz="4" w:space="0" w:color="000000"/>
            </w:tcBorders>
          </w:tcPr>
          <w:p w14:paraId="40C26016" w14:textId="77777777" w:rsidR="006F76EB" w:rsidRPr="00834D52" w:rsidRDefault="006F76EB" w:rsidP="0099364A">
            <w:pPr>
              <w:spacing w:after="120" w:line="240" w:lineRule="auto"/>
              <w:ind w:right="-6"/>
              <w:rPr>
                <w:rFonts w:ascii="Sylfaen" w:hAnsi="Sylfaen"/>
                <w:sz w:val="20"/>
                <w:szCs w:val="20"/>
              </w:rPr>
            </w:pPr>
          </w:p>
        </w:tc>
        <w:tc>
          <w:tcPr>
            <w:tcW w:w="1150" w:type="dxa"/>
            <w:tcBorders>
              <w:top w:val="single" w:sz="4" w:space="0" w:color="000000"/>
              <w:left w:val="single" w:sz="4" w:space="0" w:color="000000"/>
              <w:bottom w:val="single" w:sz="4" w:space="0" w:color="000000"/>
              <w:right w:val="single" w:sz="4" w:space="0" w:color="000000"/>
            </w:tcBorders>
          </w:tcPr>
          <w:p w14:paraId="7BECF951" w14:textId="77777777" w:rsidR="006F76EB" w:rsidRPr="00834D52" w:rsidRDefault="006F76EB" w:rsidP="0099364A">
            <w:pPr>
              <w:spacing w:after="120" w:line="240" w:lineRule="auto"/>
              <w:ind w:right="-6"/>
              <w:rPr>
                <w:rFonts w:ascii="Sylfaen" w:hAnsi="Sylfaen"/>
                <w:sz w:val="20"/>
                <w:szCs w:val="20"/>
              </w:rPr>
            </w:pPr>
          </w:p>
        </w:tc>
        <w:tc>
          <w:tcPr>
            <w:tcW w:w="2479" w:type="dxa"/>
            <w:tcBorders>
              <w:top w:val="single" w:sz="4" w:space="0" w:color="000000"/>
              <w:left w:val="single" w:sz="4" w:space="0" w:color="000000"/>
              <w:bottom w:val="single" w:sz="4" w:space="0" w:color="000000"/>
              <w:right w:val="single" w:sz="4" w:space="0" w:color="000000"/>
            </w:tcBorders>
          </w:tcPr>
          <w:p w14:paraId="4D2583A6" w14:textId="77777777" w:rsidR="006F76EB" w:rsidRPr="00834D52" w:rsidRDefault="006F76EB" w:rsidP="0099364A">
            <w:pPr>
              <w:spacing w:after="120" w:line="240" w:lineRule="auto"/>
              <w:ind w:right="-6"/>
              <w:rPr>
                <w:rFonts w:ascii="Sylfaen" w:hAnsi="Sylfaen"/>
                <w:sz w:val="20"/>
                <w:szCs w:val="20"/>
              </w:rPr>
            </w:pPr>
          </w:p>
        </w:tc>
      </w:tr>
    </w:tbl>
    <w:p w14:paraId="12264EC6" w14:textId="77777777" w:rsidR="006F76EB" w:rsidRPr="00834D52" w:rsidRDefault="006F76EB" w:rsidP="00FB13FE">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Նշել ՏՍԷ</w:t>
      </w:r>
      <w:r w:rsidRPr="00834D52">
        <w:rPr>
          <w:rFonts w:ascii="Sylfaen" w:hAnsi="Sylfaen"/>
          <w:sz w:val="24"/>
          <w:szCs w:val="24"/>
          <w:vertAlign w:val="superscript"/>
        </w:rPr>
        <w:t>3</w:t>
      </w:r>
      <w:r w:rsidRPr="00834D52">
        <w:rPr>
          <w:rFonts w:ascii="Sylfaen" w:hAnsi="Sylfaen"/>
          <w:sz w:val="24"/>
          <w:szCs w:val="24"/>
        </w:rPr>
        <w:t xml:space="preserve">-ի մասով Եվրոպական դեղագրքերի համապատասխանության սերտիֆիկատի կամ հումքի ծագման երկրի անասնաբուժական վերահսկողություն իրականացնող լիազորված մարմինների կողմից՝ երկրում (կլինիկական </w:t>
      </w:r>
      <w:r w:rsidR="00C54D75">
        <w:rPr>
          <w:rFonts w:ascii="Sylfaen" w:hAnsi="Sylfaen"/>
          <w:sz w:val="24"/>
          <w:szCs w:val="24"/>
        </w:rPr>
        <w:t>և</w:t>
      </w:r>
      <w:r w:rsidRPr="00834D52">
        <w:rPr>
          <w:rFonts w:ascii="Sylfaen" w:hAnsi="Sylfaen"/>
          <w:sz w:val="24"/>
          <w:szCs w:val="24"/>
        </w:rPr>
        <w:t xml:space="preserve"> լաբորատոր վերահսկողության արդյունքների հիման վրա) ՏՍԷ-ի դեպքերի գրանցման առնչությամբ տրված փաստաթղթի առկայությունը:</w:t>
      </w:r>
    </w:p>
    <w:p w14:paraId="62A8AFDC" w14:textId="77777777" w:rsidR="006F76EB" w:rsidRPr="00834D52" w:rsidRDefault="006F76EB" w:rsidP="00FB13FE">
      <w:pPr>
        <w:tabs>
          <w:tab w:val="left" w:pos="1701"/>
        </w:tabs>
        <w:spacing w:after="160" w:line="384" w:lineRule="auto"/>
        <w:ind w:right="-8" w:firstLine="567"/>
        <w:jc w:val="both"/>
        <w:rPr>
          <w:rFonts w:ascii="Sylfaen" w:eastAsia="Times New Roman" w:hAnsi="Sylfaen" w:cs="Times New Roman"/>
          <w:sz w:val="24"/>
          <w:szCs w:val="24"/>
        </w:rPr>
      </w:pPr>
      <w:r w:rsidRPr="00834D52">
        <w:rPr>
          <w:rFonts w:ascii="Sylfaen" w:hAnsi="Sylfaen"/>
          <w:sz w:val="24"/>
          <w:szCs w:val="24"/>
        </w:rPr>
        <w:t>3.6.3.</w:t>
      </w:r>
      <w:r w:rsidRPr="00834D52">
        <w:rPr>
          <w:rFonts w:ascii="Sylfaen" w:hAnsi="Sylfaen"/>
          <w:sz w:val="24"/>
          <w:szCs w:val="24"/>
        </w:rPr>
        <w:tab/>
        <w:t>Արդյոք տրամադրվել է պլազմայի մաստեր-ֆայլի սերտիֆիկատ (այսուհետ՝ ՊՄՖ), որն օգտագործվում է տվյալ դոսյեում, թե այն ստանալու հայտ է ներկայացվել՝</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01DAD7B5" w14:textId="77777777" w:rsidTr="00F71229">
        <w:tc>
          <w:tcPr>
            <w:tcW w:w="2268" w:type="dxa"/>
          </w:tcPr>
          <w:p w14:paraId="7C6F7205"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67CB72E2">
                <v:rect id="_x0000_s1267" style="position:absolute;left:0;text-align:left;margin-left:40.6pt;margin-top:3.05pt;width:12.75pt;height:12pt;z-index:251763200"/>
              </w:pict>
            </w:r>
            <w:r w:rsidR="006F76EB" w:rsidRPr="00834D52">
              <w:rPr>
                <w:rFonts w:ascii="Sylfaen" w:hAnsi="Sylfaen"/>
                <w:sz w:val="24"/>
                <w:szCs w:val="24"/>
              </w:rPr>
              <w:t>ոչ</w:t>
            </w:r>
          </w:p>
        </w:tc>
        <w:tc>
          <w:tcPr>
            <w:tcW w:w="2126" w:type="dxa"/>
          </w:tcPr>
          <w:p w14:paraId="5A76279F"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0303356D">
                <v:rect id="_x0000_s1266" style="position:absolute;left:0;text-align:left;margin-left:15.15pt;margin-top:3.05pt;width:12.75pt;height:12pt;z-index:251764224;mso-position-horizontal-relative:text;mso-position-vertical-relative:text"/>
              </w:pict>
            </w:r>
            <w:r w:rsidR="006F76EB" w:rsidRPr="00834D52">
              <w:rPr>
                <w:rFonts w:ascii="Sylfaen" w:hAnsi="Sylfaen"/>
                <w:sz w:val="24"/>
                <w:szCs w:val="24"/>
              </w:rPr>
              <w:t>այո</w:t>
            </w:r>
          </w:p>
        </w:tc>
      </w:tr>
    </w:tbl>
    <w:p w14:paraId="4391DF2B" w14:textId="77777777" w:rsidR="00FB13FE" w:rsidRDefault="00FB13FE" w:rsidP="006F76EB">
      <w:pPr>
        <w:spacing w:after="160" w:line="360" w:lineRule="auto"/>
        <w:ind w:right="-8" w:firstLine="567"/>
        <w:rPr>
          <w:rFonts w:ascii="Sylfaen" w:hAnsi="Sylfaen"/>
          <w:sz w:val="24"/>
          <w:szCs w:val="24"/>
          <w:lang w:val="en-US"/>
        </w:rPr>
      </w:pPr>
    </w:p>
    <w:p w14:paraId="4E2B591A" w14:textId="77777777" w:rsidR="006F76EB" w:rsidRDefault="006F76EB" w:rsidP="006F76EB">
      <w:pPr>
        <w:spacing w:after="160" w:line="360" w:lineRule="auto"/>
        <w:ind w:right="-8" w:firstLine="567"/>
        <w:rPr>
          <w:rFonts w:ascii="Sylfaen" w:hAnsi="Sylfaen"/>
          <w:sz w:val="24"/>
          <w:szCs w:val="24"/>
          <w:lang w:val="en-US"/>
        </w:rPr>
      </w:pPr>
      <w:r w:rsidRPr="00834D52">
        <w:rPr>
          <w:rFonts w:ascii="Sylfaen" w:hAnsi="Sylfaen"/>
          <w:sz w:val="24"/>
          <w:szCs w:val="24"/>
        </w:rPr>
        <w:lastRenderedPageBreak/>
        <w:t>Եթե այո՝</w:t>
      </w:r>
    </w:p>
    <w:tbl>
      <w:tblPr>
        <w:tblW w:w="9610" w:type="dxa"/>
        <w:tblInd w:w="109" w:type="dxa"/>
        <w:tblLayout w:type="fixed"/>
        <w:tblCellMar>
          <w:left w:w="0" w:type="dxa"/>
          <w:right w:w="0" w:type="dxa"/>
        </w:tblCellMar>
        <w:tblLook w:val="01E0" w:firstRow="1" w:lastRow="1" w:firstColumn="1" w:lastColumn="1" w:noHBand="0" w:noVBand="0"/>
      </w:tblPr>
      <w:tblGrid>
        <w:gridCol w:w="4142"/>
        <w:gridCol w:w="1822"/>
        <w:gridCol w:w="1822"/>
        <w:gridCol w:w="1824"/>
      </w:tblGrid>
      <w:tr w:rsidR="006F76EB" w:rsidRPr="00834D52" w14:paraId="78596D47"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70061B2D"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նյութը (սուբստանցիան)՝ ՊՄՖ-ին արված հղումով</w:t>
            </w:r>
          </w:p>
        </w:tc>
        <w:tc>
          <w:tcPr>
            <w:tcW w:w="5468" w:type="dxa"/>
            <w:gridSpan w:val="3"/>
            <w:tcBorders>
              <w:top w:val="single" w:sz="4" w:space="0" w:color="000000"/>
              <w:left w:val="single" w:sz="4" w:space="0" w:color="000000"/>
              <w:bottom w:val="single" w:sz="4" w:space="0" w:color="000000"/>
              <w:right w:val="single" w:sz="4" w:space="0" w:color="000000"/>
            </w:tcBorders>
          </w:tcPr>
          <w:p w14:paraId="354D7A4B" w14:textId="77777777" w:rsidR="006F76EB" w:rsidRPr="00834D52" w:rsidRDefault="006F76EB" w:rsidP="00FB13FE">
            <w:pPr>
              <w:spacing w:after="120" w:line="240" w:lineRule="auto"/>
              <w:ind w:right="-6"/>
              <w:rPr>
                <w:rFonts w:ascii="Sylfaen" w:hAnsi="Sylfaen"/>
                <w:sz w:val="24"/>
                <w:szCs w:val="24"/>
              </w:rPr>
            </w:pPr>
          </w:p>
        </w:tc>
      </w:tr>
      <w:tr w:rsidR="006F76EB" w:rsidRPr="00834D52" w14:paraId="5139A98A" w14:textId="77777777" w:rsidTr="00F71229">
        <w:tc>
          <w:tcPr>
            <w:tcW w:w="4142" w:type="dxa"/>
            <w:vMerge w:val="restart"/>
            <w:tcBorders>
              <w:top w:val="single" w:sz="4" w:space="0" w:color="000000"/>
              <w:left w:val="single" w:sz="4" w:space="0" w:color="000000"/>
              <w:right w:val="single" w:sz="4" w:space="0" w:color="000000"/>
            </w:tcBorders>
          </w:tcPr>
          <w:p w14:paraId="19C23B6D"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գործառույթը</w:t>
            </w:r>
          </w:p>
        </w:tc>
        <w:tc>
          <w:tcPr>
            <w:tcW w:w="1822" w:type="dxa"/>
            <w:tcBorders>
              <w:top w:val="single" w:sz="4" w:space="0" w:color="000000"/>
              <w:left w:val="single" w:sz="4" w:space="0" w:color="000000"/>
              <w:bottom w:val="single" w:sz="4" w:space="0" w:color="000000"/>
              <w:right w:val="single" w:sz="4" w:space="0" w:color="000000"/>
            </w:tcBorders>
            <w:vAlign w:val="center"/>
          </w:tcPr>
          <w:p w14:paraId="4B6E772D" w14:textId="77777777" w:rsidR="006F76EB" w:rsidRPr="00834D52" w:rsidRDefault="006F76EB" w:rsidP="00FB13FE">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ԱԴԲ-ն</w:t>
            </w:r>
          </w:p>
        </w:tc>
        <w:tc>
          <w:tcPr>
            <w:tcW w:w="1822" w:type="dxa"/>
            <w:tcBorders>
              <w:top w:val="single" w:sz="4" w:space="0" w:color="000000"/>
              <w:left w:val="single" w:sz="4" w:space="0" w:color="000000"/>
              <w:bottom w:val="single" w:sz="4" w:space="0" w:color="000000"/>
              <w:right w:val="single" w:sz="4" w:space="0" w:color="000000"/>
            </w:tcBorders>
            <w:vAlign w:val="center"/>
          </w:tcPr>
          <w:p w14:paraId="67DEC420" w14:textId="77777777" w:rsidR="006F76EB" w:rsidRPr="00834D52" w:rsidRDefault="006F76EB" w:rsidP="00FB13FE">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ՕՆ-ն</w:t>
            </w:r>
            <w:r w:rsidRPr="00834D52">
              <w:rPr>
                <w:rStyle w:val="FootnoteReference"/>
                <w:rFonts w:ascii="Sylfaen" w:hAnsi="Sylfaen"/>
                <w:sz w:val="24"/>
                <w:szCs w:val="24"/>
              </w:rPr>
              <w:footnoteReference w:customMarkFollows="1" w:id="23"/>
              <w:t>1</w:t>
            </w:r>
          </w:p>
        </w:tc>
        <w:tc>
          <w:tcPr>
            <w:tcW w:w="1824" w:type="dxa"/>
            <w:tcBorders>
              <w:top w:val="single" w:sz="4" w:space="0" w:color="000000"/>
              <w:left w:val="single" w:sz="4" w:space="0" w:color="000000"/>
              <w:bottom w:val="single" w:sz="4" w:space="0" w:color="000000"/>
              <w:right w:val="single" w:sz="4" w:space="0" w:color="000000"/>
            </w:tcBorders>
            <w:vAlign w:val="center"/>
          </w:tcPr>
          <w:p w14:paraId="6816E41A" w14:textId="77777777" w:rsidR="006F76EB" w:rsidRPr="00834D52" w:rsidRDefault="006F76EB" w:rsidP="00FB13FE">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Ռ-ն</w:t>
            </w:r>
            <w:r w:rsidRPr="00834D52">
              <w:rPr>
                <w:rStyle w:val="FootnoteReference"/>
                <w:rFonts w:ascii="Sylfaen" w:hAnsi="Sylfaen"/>
                <w:sz w:val="24"/>
                <w:szCs w:val="24"/>
              </w:rPr>
              <w:footnoteReference w:customMarkFollows="1" w:id="24"/>
              <w:t>2</w:t>
            </w:r>
          </w:p>
        </w:tc>
      </w:tr>
      <w:tr w:rsidR="006F76EB" w:rsidRPr="00834D52" w14:paraId="7B148ACC" w14:textId="77777777" w:rsidTr="00F71229">
        <w:tc>
          <w:tcPr>
            <w:tcW w:w="4142" w:type="dxa"/>
            <w:vMerge/>
            <w:tcBorders>
              <w:left w:val="single" w:sz="4" w:space="0" w:color="000000"/>
              <w:bottom w:val="single" w:sz="4" w:space="0" w:color="000000"/>
              <w:right w:val="single" w:sz="4" w:space="0" w:color="000000"/>
            </w:tcBorders>
          </w:tcPr>
          <w:p w14:paraId="2C29E2C8" w14:textId="77777777" w:rsidR="006F76EB" w:rsidRPr="00834D52" w:rsidRDefault="006F76EB" w:rsidP="00FB13FE">
            <w:pPr>
              <w:spacing w:after="120" w:line="240" w:lineRule="auto"/>
              <w:ind w:left="112" w:right="-6"/>
              <w:rPr>
                <w:rFonts w:ascii="Sylfaen" w:eastAsia="Times New Roman" w:hAnsi="Sylfae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5DEDEFB7" w14:textId="77777777" w:rsidR="006F76EB" w:rsidRPr="00834D52" w:rsidRDefault="006F76EB" w:rsidP="00FB13FE">
            <w:pPr>
              <w:spacing w:after="120" w:line="240" w:lineRule="auto"/>
              <w:ind w:right="-6"/>
              <w:rPr>
                <w:rFonts w:ascii="Sylfaen" w:hAnsi="Sylfae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0C123040" w14:textId="77777777" w:rsidR="006F76EB" w:rsidRPr="00834D52" w:rsidRDefault="006F76EB" w:rsidP="00FB13FE">
            <w:pPr>
              <w:spacing w:after="120" w:line="240" w:lineRule="auto"/>
              <w:ind w:right="-6"/>
              <w:rPr>
                <w:rFonts w:ascii="Sylfaen" w:hAnsi="Sylfaen"/>
                <w:sz w:val="24"/>
                <w:szCs w:val="24"/>
              </w:rPr>
            </w:pPr>
          </w:p>
        </w:tc>
        <w:tc>
          <w:tcPr>
            <w:tcW w:w="1824" w:type="dxa"/>
            <w:tcBorders>
              <w:top w:val="single" w:sz="4" w:space="0" w:color="000000"/>
              <w:left w:val="single" w:sz="4" w:space="0" w:color="000000"/>
              <w:bottom w:val="single" w:sz="4" w:space="0" w:color="000000"/>
              <w:right w:val="single" w:sz="4" w:space="0" w:color="000000"/>
            </w:tcBorders>
          </w:tcPr>
          <w:p w14:paraId="30D1C8E3" w14:textId="77777777" w:rsidR="006F76EB" w:rsidRPr="00834D52" w:rsidRDefault="006F76EB" w:rsidP="00FB13FE">
            <w:pPr>
              <w:spacing w:after="120" w:line="240" w:lineRule="auto"/>
              <w:ind w:right="-6"/>
              <w:rPr>
                <w:rFonts w:ascii="Sylfaen" w:hAnsi="Sylfaen"/>
                <w:sz w:val="24"/>
                <w:szCs w:val="24"/>
              </w:rPr>
            </w:pPr>
          </w:p>
        </w:tc>
      </w:tr>
      <w:tr w:rsidR="006F76EB" w:rsidRPr="00834D52" w14:paraId="66B35707"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5E1DA83F"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ՊՄՖ-ի տիրապետողի (հայտատուի) անվանումը</w:t>
            </w:r>
          </w:p>
        </w:tc>
        <w:tc>
          <w:tcPr>
            <w:tcW w:w="5468" w:type="dxa"/>
            <w:gridSpan w:val="3"/>
            <w:tcBorders>
              <w:top w:val="single" w:sz="4" w:space="0" w:color="000000"/>
              <w:left w:val="single" w:sz="4" w:space="0" w:color="000000"/>
              <w:bottom w:val="single" w:sz="4" w:space="0" w:color="000000"/>
              <w:right w:val="single" w:sz="4" w:space="0" w:color="000000"/>
            </w:tcBorders>
          </w:tcPr>
          <w:p w14:paraId="32CC67B5" w14:textId="77777777" w:rsidR="006F76EB" w:rsidRPr="00834D52" w:rsidRDefault="006F76EB" w:rsidP="00FB13FE">
            <w:pPr>
              <w:spacing w:after="120" w:line="240" w:lineRule="auto"/>
              <w:ind w:right="-6"/>
              <w:rPr>
                <w:rFonts w:ascii="Sylfaen" w:hAnsi="Sylfaen"/>
                <w:sz w:val="24"/>
                <w:szCs w:val="24"/>
              </w:rPr>
            </w:pPr>
          </w:p>
        </w:tc>
      </w:tr>
      <w:tr w:rsidR="006F76EB" w:rsidRPr="00834D52" w14:paraId="32983DDF"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091EA44D"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Սերտիֆիկատի (հայտի) համարը</w:t>
            </w:r>
          </w:p>
        </w:tc>
        <w:tc>
          <w:tcPr>
            <w:tcW w:w="5468" w:type="dxa"/>
            <w:gridSpan w:val="3"/>
            <w:tcBorders>
              <w:top w:val="single" w:sz="4" w:space="0" w:color="000000"/>
              <w:left w:val="single" w:sz="4" w:space="0" w:color="000000"/>
              <w:bottom w:val="single" w:sz="4" w:space="0" w:color="000000"/>
              <w:right w:val="single" w:sz="4" w:space="0" w:color="000000"/>
            </w:tcBorders>
          </w:tcPr>
          <w:p w14:paraId="7791E201" w14:textId="77777777" w:rsidR="006F76EB" w:rsidRPr="00834D52" w:rsidRDefault="006F76EB" w:rsidP="00FB13FE">
            <w:pPr>
              <w:spacing w:after="120" w:line="240" w:lineRule="auto"/>
              <w:ind w:right="-6"/>
              <w:rPr>
                <w:rFonts w:ascii="Sylfaen" w:hAnsi="Sylfaen"/>
                <w:sz w:val="24"/>
                <w:szCs w:val="24"/>
              </w:rPr>
            </w:pPr>
          </w:p>
        </w:tc>
      </w:tr>
      <w:tr w:rsidR="006F76EB" w:rsidRPr="00834D52" w14:paraId="40A5E906"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158A5115"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հայտի ներկայացման ամսաթիվը (եթե քննարկման փուլում է գտնվում)</w:t>
            </w:r>
          </w:p>
        </w:tc>
        <w:tc>
          <w:tcPr>
            <w:tcW w:w="5468" w:type="dxa"/>
            <w:gridSpan w:val="3"/>
            <w:tcBorders>
              <w:top w:val="single" w:sz="4" w:space="0" w:color="000000"/>
              <w:left w:val="single" w:sz="4" w:space="0" w:color="000000"/>
              <w:bottom w:val="single" w:sz="4" w:space="0" w:color="000000"/>
              <w:right w:val="single" w:sz="4" w:space="0" w:color="000000"/>
            </w:tcBorders>
          </w:tcPr>
          <w:p w14:paraId="76554786" w14:textId="77777777" w:rsidR="006F76EB" w:rsidRPr="00834D52" w:rsidRDefault="006F76EB" w:rsidP="00FB13FE">
            <w:pPr>
              <w:spacing w:after="120" w:line="240" w:lineRule="auto"/>
              <w:ind w:right="-6"/>
              <w:rPr>
                <w:rFonts w:ascii="Sylfaen" w:hAnsi="Sylfaen"/>
                <w:sz w:val="24"/>
                <w:szCs w:val="24"/>
              </w:rPr>
            </w:pPr>
          </w:p>
        </w:tc>
      </w:tr>
      <w:tr w:rsidR="006F76EB" w:rsidRPr="00834D52" w14:paraId="503DCDA4"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37E96312" w14:textId="77777777" w:rsidR="006F76EB" w:rsidRPr="00834D52" w:rsidRDefault="006F76EB" w:rsidP="00FB13FE">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հաստատման կամ վերջին վերանայման ամսաթիվը (եթե սերտիֆիկատն առկա է)</w:t>
            </w:r>
          </w:p>
        </w:tc>
        <w:tc>
          <w:tcPr>
            <w:tcW w:w="5468" w:type="dxa"/>
            <w:gridSpan w:val="3"/>
            <w:tcBorders>
              <w:top w:val="single" w:sz="4" w:space="0" w:color="000000"/>
              <w:left w:val="single" w:sz="4" w:space="0" w:color="000000"/>
              <w:bottom w:val="single" w:sz="4" w:space="0" w:color="000000"/>
              <w:right w:val="single" w:sz="4" w:space="0" w:color="000000"/>
            </w:tcBorders>
          </w:tcPr>
          <w:p w14:paraId="0F8A85DB" w14:textId="77777777" w:rsidR="006F76EB" w:rsidRPr="00834D52" w:rsidRDefault="006F76EB" w:rsidP="00FB13FE">
            <w:pPr>
              <w:spacing w:after="120" w:line="240" w:lineRule="auto"/>
              <w:ind w:right="-6"/>
              <w:rPr>
                <w:rFonts w:ascii="Sylfaen" w:hAnsi="Sylfaen"/>
                <w:sz w:val="24"/>
                <w:szCs w:val="24"/>
              </w:rPr>
            </w:pPr>
          </w:p>
        </w:tc>
      </w:tr>
    </w:tbl>
    <w:p w14:paraId="6E06F76C" w14:textId="77777777" w:rsidR="006F76EB" w:rsidRPr="00834D52" w:rsidRDefault="006F76EB" w:rsidP="009D1C0A">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3.6.4.</w:t>
      </w:r>
      <w:r w:rsidRPr="00834D52">
        <w:rPr>
          <w:rFonts w:ascii="Sylfaen" w:hAnsi="Sylfaen"/>
          <w:sz w:val="24"/>
          <w:szCs w:val="24"/>
        </w:rPr>
        <w:tab/>
        <w:t>Արդյոք դեղապատրաստուկը պարունակում է կամ բաղկացած է գենետիկորեն մոդիֆիկացված օրգանիզմներից (ԳՄՕ)՝</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B325197" w14:textId="77777777" w:rsidTr="00F71229">
        <w:tc>
          <w:tcPr>
            <w:tcW w:w="2268" w:type="dxa"/>
          </w:tcPr>
          <w:p w14:paraId="1C4EEB30"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2D254A99">
                <v:rect id="_x0000_s1269" style="position:absolute;left:0;text-align:left;margin-left:40.6pt;margin-top:3.05pt;width:12.75pt;height:12pt;z-index:251765248"/>
              </w:pict>
            </w:r>
            <w:r w:rsidR="006F76EB" w:rsidRPr="00834D52">
              <w:rPr>
                <w:rFonts w:ascii="Sylfaen" w:hAnsi="Sylfaen"/>
                <w:sz w:val="24"/>
                <w:szCs w:val="24"/>
              </w:rPr>
              <w:t>ոչ</w:t>
            </w:r>
          </w:p>
        </w:tc>
        <w:tc>
          <w:tcPr>
            <w:tcW w:w="2126" w:type="dxa"/>
          </w:tcPr>
          <w:p w14:paraId="1AA15B25"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0AABABAD">
                <v:rect id="_x0000_s1268" style="position:absolute;left:0;text-align:left;margin-left:15.15pt;margin-top:3.05pt;width:12.75pt;height:12pt;z-index:251766272;mso-position-horizontal-relative:text;mso-position-vertical-relative:text"/>
              </w:pict>
            </w:r>
            <w:r w:rsidR="006F76EB" w:rsidRPr="00834D52">
              <w:rPr>
                <w:rFonts w:ascii="Sylfaen" w:hAnsi="Sylfaen"/>
                <w:sz w:val="24"/>
                <w:szCs w:val="24"/>
              </w:rPr>
              <w:t>այո</w:t>
            </w:r>
          </w:p>
        </w:tc>
      </w:tr>
    </w:tbl>
    <w:p w14:paraId="1470DBB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 ապա արդյոք պատրաստուկը համապատասխանում է սահմանված պահանջներին՝</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168B1A3" w14:textId="77777777" w:rsidTr="00F71229">
        <w:tc>
          <w:tcPr>
            <w:tcW w:w="2268" w:type="dxa"/>
          </w:tcPr>
          <w:p w14:paraId="48A97E07"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76E5B907">
                <v:rect id="_x0000_s1271" style="position:absolute;left:0;text-align:left;margin-left:40.6pt;margin-top:3.05pt;width:12.75pt;height:12pt;z-index:251767296"/>
              </w:pict>
            </w:r>
            <w:r w:rsidR="006F76EB" w:rsidRPr="00834D52">
              <w:rPr>
                <w:rFonts w:ascii="Sylfaen" w:hAnsi="Sylfaen"/>
                <w:sz w:val="24"/>
                <w:szCs w:val="24"/>
              </w:rPr>
              <w:t>ոչ</w:t>
            </w:r>
          </w:p>
        </w:tc>
        <w:tc>
          <w:tcPr>
            <w:tcW w:w="2126" w:type="dxa"/>
          </w:tcPr>
          <w:p w14:paraId="2954B321"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65F82FB0">
                <v:rect id="_x0000_s1270" style="position:absolute;left:0;text-align:left;margin-left:15.15pt;margin-top:3.05pt;width:12.75pt;height:12pt;z-index:251768320;mso-position-horizontal-relative:text;mso-position-vertical-relative:text"/>
              </w:pict>
            </w:r>
            <w:r w:rsidR="006F76EB" w:rsidRPr="00834D52">
              <w:rPr>
                <w:rFonts w:ascii="Sylfaen" w:hAnsi="Sylfaen"/>
                <w:sz w:val="24"/>
                <w:szCs w:val="24"/>
              </w:rPr>
              <w:t>այո</w:t>
            </w:r>
          </w:p>
        </w:tc>
      </w:tr>
    </w:tbl>
    <w:p w14:paraId="187379FB"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Կատարե՛ք անհրաժեշտ հղումը:</w:t>
      </w:r>
    </w:p>
    <w:p w14:paraId="211B5BC4" w14:textId="77777777" w:rsidR="006F76EB" w:rsidRPr="00834D52" w:rsidRDefault="006F76EB" w:rsidP="006F76EB">
      <w:pPr>
        <w:spacing w:after="160" w:line="360" w:lineRule="auto"/>
        <w:ind w:right="-8"/>
        <w:jc w:val="center"/>
        <w:rPr>
          <w:rFonts w:ascii="Sylfaen" w:hAnsi="Sylfaen"/>
          <w:sz w:val="24"/>
          <w:szCs w:val="24"/>
          <w:lang w:val="en-US"/>
        </w:rPr>
      </w:pPr>
    </w:p>
    <w:p w14:paraId="319C2FEB"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4. Այլ տեղեկություններ</w:t>
      </w:r>
    </w:p>
    <w:p w14:paraId="4FE7094F" w14:textId="77777777" w:rsidR="006F76EB" w:rsidRPr="00834D52" w:rsidRDefault="006F76EB" w:rsidP="00D05A7F">
      <w:pPr>
        <w:tabs>
          <w:tab w:val="left" w:pos="1701"/>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4.1.</w:t>
      </w:r>
      <w:r w:rsidRPr="00834D52">
        <w:rPr>
          <w:rFonts w:ascii="Sylfaen" w:hAnsi="Sylfaen"/>
          <w:sz w:val="24"/>
          <w:szCs w:val="24"/>
        </w:rPr>
        <w:tab/>
        <w:t>Պահպանվո՞ւմ են արդյոք դեղապատրաստուկի նկատմամբ մտավոր սեփականության իրավունքները Եվրասիական տնտեսական միության անդամ պետության տարածքում գործող արտոնագրերով՝</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A78A803" w14:textId="77777777" w:rsidTr="00F71229">
        <w:tc>
          <w:tcPr>
            <w:tcW w:w="2268" w:type="dxa"/>
          </w:tcPr>
          <w:p w14:paraId="6D5D0BB7"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lastRenderedPageBreak/>
              <w:pict w14:anchorId="7D4A4D5F">
                <v:rect id="_x0000_s1273" style="position:absolute;left:0;text-align:left;margin-left:40.6pt;margin-top:3.05pt;width:12.75pt;height:12pt;z-index:251769344"/>
              </w:pict>
            </w:r>
            <w:r w:rsidR="006F76EB" w:rsidRPr="00834D52">
              <w:rPr>
                <w:rFonts w:ascii="Sylfaen" w:hAnsi="Sylfaen"/>
                <w:sz w:val="24"/>
                <w:szCs w:val="24"/>
              </w:rPr>
              <w:t>ոչ</w:t>
            </w:r>
          </w:p>
        </w:tc>
        <w:tc>
          <w:tcPr>
            <w:tcW w:w="2126" w:type="dxa"/>
          </w:tcPr>
          <w:p w14:paraId="25975A87"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26873EEF">
                <v:rect id="_x0000_s1272" style="position:absolute;left:0;text-align:left;margin-left:15.15pt;margin-top:3.05pt;width:12.75pt;height:12pt;z-index:251770368;mso-position-horizontal-relative:text;mso-position-vertical-relative:text"/>
              </w:pict>
            </w:r>
            <w:r w:rsidR="006F76EB" w:rsidRPr="00834D52">
              <w:rPr>
                <w:rFonts w:ascii="Sylfaen" w:hAnsi="Sylfaen"/>
                <w:sz w:val="24"/>
                <w:szCs w:val="24"/>
              </w:rPr>
              <w:t>այո</w:t>
            </w:r>
          </w:p>
        </w:tc>
      </w:tr>
    </w:tbl>
    <w:p w14:paraId="41D2530E"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 ապա ներկայացրե՛ք հետ</w:t>
      </w:r>
      <w:r w:rsidR="00C54D75">
        <w:rPr>
          <w:rFonts w:ascii="Sylfaen" w:hAnsi="Sylfaen"/>
          <w:sz w:val="24"/>
          <w:szCs w:val="24"/>
        </w:rPr>
        <w:t>և</w:t>
      </w:r>
      <w:r w:rsidRPr="00834D52">
        <w:rPr>
          <w:rFonts w:ascii="Sylfaen" w:hAnsi="Sylfaen"/>
          <w:sz w:val="24"/>
          <w:szCs w:val="24"/>
        </w:rPr>
        <w:t>յալ տեղեկությունները՝</w:t>
      </w:r>
    </w:p>
    <w:tbl>
      <w:tblPr>
        <w:tblW w:w="9227" w:type="dxa"/>
        <w:tblInd w:w="102" w:type="dxa"/>
        <w:tblLayout w:type="fixed"/>
        <w:tblCellMar>
          <w:left w:w="0" w:type="dxa"/>
          <w:right w:w="0" w:type="dxa"/>
        </w:tblCellMar>
        <w:tblLook w:val="01E0" w:firstRow="1" w:lastRow="1" w:firstColumn="1" w:lastColumn="1" w:noHBand="0" w:noVBand="0"/>
      </w:tblPr>
      <w:tblGrid>
        <w:gridCol w:w="1841"/>
        <w:gridCol w:w="2272"/>
        <w:gridCol w:w="1563"/>
        <w:gridCol w:w="1705"/>
        <w:gridCol w:w="1846"/>
      </w:tblGrid>
      <w:tr w:rsidR="006F76EB" w:rsidRPr="00834D52" w14:paraId="40FDEFA0" w14:textId="77777777" w:rsidTr="00D05A7F">
        <w:trPr>
          <w:trHeight w:val="1358"/>
        </w:trPr>
        <w:tc>
          <w:tcPr>
            <w:tcW w:w="1841" w:type="dxa"/>
            <w:tcBorders>
              <w:top w:val="single" w:sz="4" w:space="0" w:color="000000"/>
              <w:left w:val="single" w:sz="4" w:space="0" w:color="000000"/>
              <w:bottom w:val="single" w:sz="4" w:space="0" w:color="000000"/>
              <w:right w:val="single" w:sz="4" w:space="0" w:color="000000"/>
            </w:tcBorders>
            <w:vAlign w:val="center"/>
          </w:tcPr>
          <w:p w14:paraId="3CC9235E" w14:textId="77777777" w:rsidR="006F76EB" w:rsidRPr="00834D52" w:rsidRDefault="006F76EB" w:rsidP="00D05A7F">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 համարը</w:t>
            </w:r>
          </w:p>
        </w:tc>
        <w:tc>
          <w:tcPr>
            <w:tcW w:w="2272" w:type="dxa"/>
            <w:tcBorders>
              <w:top w:val="single" w:sz="4" w:space="0" w:color="000000"/>
              <w:left w:val="single" w:sz="4" w:space="0" w:color="000000"/>
              <w:bottom w:val="single" w:sz="4" w:space="0" w:color="000000"/>
              <w:right w:val="single" w:sz="4" w:space="0" w:color="000000"/>
            </w:tcBorders>
            <w:vAlign w:val="center"/>
          </w:tcPr>
          <w:p w14:paraId="0B5E9A7A" w14:textId="77777777" w:rsidR="006F76EB" w:rsidRPr="00834D52" w:rsidRDefault="006F76EB" w:rsidP="00D05A7F">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անդամ պետության տարածքում</w:t>
            </w:r>
          </w:p>
        </w:tc>
        <w:tc>
          <w:tcPr>
            <w:tcW w:w="1563" w:type="dxa"/>
            <w:tcBorders>
              <w:top w:val="single" w:sz="4" w:space="0" w:color="000000"/>
              <w:left w:val="single" w:sz="4" w:space="0" w:color="000000"/>
              <w:bottom w:val="single" w:sz="4" w:space="0" w:color="000000"/>
              <w:right w:val="single" w:sz="4" w:space="0" w:color="000000"/>
            </w:tcBorders>
            <w:vAlign w:val="center"/>
          </w:tcPr>
          <w:p w14:paraId="4758FF2E" w14:textId="77777777" w:rsidR="006F76EB" w:rsidRPr="00834D52" w:rsidRDefault="006F76EB" w:rsidP="00D05A7F">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Տրման ամսաթիվը</w:t>
            </w:r>
          </w:p>
        </w:tc>
        <w:tc>
          <w:tcPr>
            <w:tcW w:w="1705" w:type="dxa"/>
            <w:tcBorders>
              <w:top w:val="single" w:sz="4" w:space="0" w:color="000000"/>
              <w:left w:val="single" w:sz="4" w:space="0" w:color="000000"/>
              <w:bottom w:val="single" w:sz="4" w:space="0" w:color="000000"/>
              <w:right w:val="single" w:sz="4" w:space="0" w:color="000000"/>
            </w:tcBorders>
            <w:vAlign w:val="center"/>
          </w:tcPr>
          <w:p w14:paraId="3C425EC7" w14:textId="77777777" w:rsidR="006F76EB" w:rsidRPr="00834D52" w:rsidRDefault="006F76EB" w:rsidP="00D05A7F">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1846" w:type="dxa"/>
            <w:tcBorders>
              <w:top w:val="single" w:sz="4" w:space="0" w:color="000000"/>
              <w:left w:val="single" w:sz="4" w:space="0" w:color="000000"/>
              <w:bottom w:val="single" w:sz="4" w:space="0" w:color="000000"/>
              <w:right w:val="single" w:sz="4" w:space="0" w:color="000000"/>
            </w:tcBorders>
            <w:vAlign w:val="center"/>
          </w:tcPr>
          <w:p w14:paraId="593AD4AE" w14:textId="77777777" w:rsidR="006F76EB" w:rsidRPr="00834D52" w:rsidRDefault="006F76EB" w:rsidP="00D05A7F">
            <w:pPr>
              <w:spacing w:after="120" w:line="240" w:lineRule="auto"/>
              <w:ind w:right="-6"/>
              <w:jc w:val="center"/>
              <w:rPr>
                <w:rFonts w:ascii="Sylfaen" w:eastAsia="Times New Roman" w:hAnsi="Sylfaen" w:cs="Times New Roman"/>
                <w:sz w:val="24"/>
                <w:szCs w:val="24"/>
              </w:rPr>
            </w:pPr>
            <w:r w:rsidRPr="00834D52">
              <w:rPr>
                <w:rFonts w:ascii="Sylfaen" w:hAnsi="Sylfaen"/>
                <w:sz w:val="24"/>
                <w:szCs w:val="24"/>
              </w:rPr>
              <w:t>Արտոնագրի տիրապետողը</w:t>
            </w:r>
          </w:p>
        </w:tc>
      </w:tr>
      <w:tr w:rsidR="006F76EB" w:rsidRPr="00834D52" w14:paraId="4DB0DF94" w14:textId="77777777" w:rsidTr="00D05A7F">
        <w:trPr>
          <w:trHeight w:val="551"/>
        </w:trPr>
        <w:tc>
          <w:tcPr>
            <w:tcW w:w="1841" w:type="dxa"/>
            <w:tcBorders>
              <w:top w:val="single" w:sz="4" w:space="0" w:color="000000"/>
              <w:left w:val="single" w:sz="4" w:space="0" w:color="000000"/>
              <w:bottom w:val="single" w:sz="4" w:space="0" w:color="000000"/>
              <w:right w:val="single" w:sz="4" w:space="0" w:color="000000"/>
            </w:tcBorders>
          </w:tcPr>
          <w:p w14:paraId="68DEB3D9" w14:textId="77777777" w:rsidR="006F76EB" w:rsidRPr="00834D52" w:rsidRDefault="006F76EB" w:rsidP="00D05A7F">
            <w:pPr>
              <w:spacing w:after="120" w:line="240" w:lineRule="auto"/>
              <w:ind w:right="-6"/>
              <w:rPr>
                <w:rFonts w:ascii="Sylfaen" w:hAnsi="Sylfaen"/>
                <w:sz w:val="24"/>
                <w:szCs w:val="24"/>
              </w:rPr>
            </w:pPr>
          </w:p>
        </w:tc>
        <w:tc>
          <w:tcPr>
            <w:tcW w:w="2272" w:type="dxa"/>
            <w:tcBorders>
              <w:top w:val="single" w:sz="4" w:space="0" w:color="000000"/>
              <w:left w:val="single" w:sz="4" w:space="0" w:color="000000"/>
              <w:bottom w:val="single" w:sz="4" w:space="0" w:color="000000"/>
              <w:right w:val="single" w:sz="4" w:space="0" w:color="000000"/>
            </w:tcBorders>
          </w:tcPr>
          <w:p w14:paraId="42A68D29" w14:textId="77777777" w:rsidR="006F76EB" w:rsidRPr="00834D52" w:rsidRDefault="006F76EB" w:rsidP="00D05A7F">
            <w:pPr>
              <w:spacing w:after="120" w:line="240" w:lineRule="auto"/>
              <w:ind w:right="-6"/>
              <w:rPr>
                <w:rFonts w:ascii="Sylfaen" w:hAnsi="Sylfaen"/>
                <w:sz w:val="24"/>
                <w:szCs w:val="24"/>
              </w:rPr>
            </w:pPr>
          </w:p>
        </w:tc>
        <w:tc>
          <w:tcPr>
            <w:tcW w:w="1563" w:type="dxa"/>
            <w:tcBorders>
              <w:top w:val="single" w:sz="4" w:space="0" w:color="000000"/>
              <w:left w:val="single" w:sz="4" w:space="0" w:color="000000"/>
              <w:bottom w:val="single" w:sz="4" w:space="0" w:color="000000"/>
              <w:right w:val="single" w:sz="4" w:space="0" w:color="000000"/>
            </w:tcBorders>
          </w:tcPr>
          <w:p w14:paraId="0A822501" w14:textId="77777777" w:rsidR="006F76EB" w:rsidRPr="00834D52" w:rsidRDefault="006F76EB" w:rsidP="00D05A7F">
            <w:pPr>
              <w:spacing w:after="120" w:line="240" w:lineRule="auto"/>
              <w:ind w:right="-6"/>
              <w:rPr>
                <w:rFonts w:ascii="Sylfaen" w:hAnsi="Sylfaen"/>
                <w:sz w:val="24"/>
                <w:szCs w:val="24"/>
              </w:rPr>
            </w:pPr>
          </w:p>
        </w:tc>
        <w:tc>
          <w:tcPr>
            <w:tcW w:w="1705" w:type="dxa"/>
            <w:tcBorders>
              <w:top w:val="single" w:sz="4" w:space="0" w:color="000000"/>
              <w:left w:val="single" w:sz="4" w:space="0" w:color="000000"/>
              <w:bottom w:val="single" w:sz="4" w:space="0" w:color="000000"/>
              <w:right w:val="single" w:sz="4" w:space="0" w:color="000000"/>
            </w:tcBorders>
          </w:tcPr>
          <w:p w14:paraId="3DD2594D" w14:textId="77777777" w:rsidR="006F76EB" w:rsidRPr="00834D52" w:rsidRDefault="006F76EB" w:rsidP="00D05A7F">
            <w:pPr>
              <w:spacing w:after="120" w:line="240" w:lineRule="auto"/>
              <w:ind w:right="-6"/>
              <w:rPr>
                <w:rFonts w:ascii="Sylfaen" w:hAnsi="Sylfae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14:paraId="49B8B2D1" w14:textId="77777777" w:rsidR="006F76EB" w:rsidRPr="00834D52" w:rsidRDefault="006F76EB" w:rsidP="00D05A7F">
            <w:pPr>
              <w:spacing w:after="120" w:line="240" w:lineRule="auto"/>
              <w:ind w:right="-6"/>
              <w:rPr>
                <w:rFonts w:ascii="Sylfaen" w:hAnsi="Sylfaen"/>
                <w:sz w:val="24"/>
                <w:szCs w:val="24"/>
              </w:rPr>
            </w:pPr>
          </w:p>
        </w:tc>
      </w:tr>
    </w:tbl>
    <w:p w14:paraId="157E20F0" w14:textId="77777777" w:rsidR="006F76EB" w:rsidRPr="00834D52" w:rsidRDefault="006F76EB" w:rsidP="00A86C06">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Այն դեղապատրաստուկների գրանցման համար, որոնք հիմնվում են մտավոր սեփականության այն օբյեկտների վրա կամ առնչություն ունեն մտավոր սեփականության այն օբյեկտների հետ, որոնց համար, Եվրասիական տնտեսական միության անդամ պետության օրենսդրությանը համապատասխան, տրվել է արտոնագիր, հայտատուն տրամադրում է իր կողմից վավերացված՝ Եվրասիական տնտեսական միության անդամ պետության տարածքում գործող արտոնագրի կամ լիցենզիոն համաձայնագրի պատճենը, որը տալիս է գրանցված դեղապատրաստուկի արտադրության </w:t>
      </w:r>
      <w:r w:rsidR="00C54D75">
        <w:rPr>
          <w:rFonts w:ascii="Sylfaen" w:hAnsi="Sylfaen"/>
          <w:sz w:val="24"/>
          <w:szCs w:val="24"/>
        </w:rPr>
        <w:t>և</w:t>
      </w:r>
      <w:r w:rsidRPr="00834D52">
        <w:rPr>
          <w:rFonts w:ascii="Sylfaen" w:hAnsi="Sylfaen"/>
          <w:sz w:val="24"/>
          <w:szCs w:val="24"/>
        </w:rPr>
        <w:t xml:space="preserve"> վաճառքի իրավունք: Հայտատուները ներկայացնում են նամակ, որում նշվում է, որ երրորդ անձանց՝ արտոնագրով պաշտպանվող կամ լիցենզիայով փոխանցվող մտավոր սեփականության իրավունքները չեն խախտվում դեղապատրաստուկի գրանցման պատճառով:</w:t>
      </w:r>
    </w:p>
    <w:p w14:paraId="22C24772" w14:textId="77777777" w:rsidR="006F76EB" w:rsidRPr="00834D52" w:rsidRDefault="006F76EB" w:rsidP="00A86C06">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4.2.</w:t>
      </w:r>
      <w:r w:rsidRPr="00834D52">
        <w:rPr>
          <w:rFonts w:ascii="Sylfaen" w:hAnsi="Sylfaen"/>
          <w:sz w:val="24"/>
          <w:szCs w:val="24"/>
        </w:rPr>
        <w:tab/>
        <w:t>Արդյոք ապրանքային նշանը գրանցված է Եվրասիական տնտեսական միության անդամ պետություններում՝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429A0834" w14:textId="77777777" w:rsidTr="00F71229">
        <w:tc>
          <w:tcPr>
            <w:tcW w:w="2268" w:type="dxa"/>
          </w:tcPr>
          <w:p w14:paraId="123B92FE"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2D860F66">
                <v:rect id="_x0000_s1275" style="position:absolute;left:0;text-align:left;margin-left:40.6pt;margin-top:3.05pt;width:12.75pt;height:12pt;z-index:251771392"/>
              </w:pict>
            </w:r>
            <w:r w:rsidR="006F76EB" w:rsidRPr="00834D52">
              <w:rPr>
                <w:rFonts w:ascii="Sylfaen" w:hAnsi="Sylfaen"/>
                <w:sz w:val="24"/>
                <w:szCs w:val="24"/>
              </w:rPr>
              <w:t>ոչ</w:t>
            </w:r>
          </w:p>
        </w:tc>
        <w:tc>
          <w:tcPr>
            <w:tcW w:w="2126" w:type="dxa"/>
          </w:tcPr>
          <w:p w14:paraId="1282E50E"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0B0974DB">
                <v:rect id="_x0000_s1274" style="position:absolute;left:0;text-align:left;margin-left:15.15pt;margin-top:3.05pt;width:12.75pt;height:12pt;z-index:251772416;mso-position-horizontal-relative:text;mso-position-vertical-relative:text"/>
              </w:pict>
            </w:r>
            <w:r w:rsidR="006F76EB" w:rsidRPr="00834D52">
              <w:rPr>
                <w:rFonts w:ascii="Sylfaen" w:hAnsi="Sylfaen"/>
                <w:sz w:val="24"/>
                <w:szCs w:val="24"/>
              </w:rPr>
              <w:t>այո</w:t>
            </w:r>
          </w:p>
        </w:tc>
      </w:tr>
    </w:tbl>
    <w:p w14:paraId="2A397C9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այո, ապա ներկայացրե՛ք հետ</w:t>
      </w:r>
      <w:r w:rsidR="00C54D75">
        <w:rPr>
          <w:rFonts w:ascii="Sylfaen" w:hAnsi="Sylfaen"/>
          <w:sz w:val="24"/>
          <w:szCs w:val="24"/>
        </w:rPr>
        <w:t>և</w:t>
      </w:r>
      <w:r w:rsidRPr="00834D52">
        <w:rPr>
          <w:rFonts w:ascii="Sylfaen" w:hAnsi="Sylfaen"/>
          <w:sz w:val="24"/>
          <w:szCs w:val="24"/>
        </w:rPr>
        <w:t>յալ տեղեկությունները՝</w:t>
      </w:r>
    </w:p>
    <w:tbl>
      <w:tblPr>
        <w:tblW w:w="9325" w:type="dxa"/>
        <w:tblInd w:w="222" w:type="dxa"/>
        <w:tblLayout w:type="fixed"/>
        <w:tblCellMar>
          <w:left w:w="0" w:type="dxa"/>
          <w:right w:w="0" w:type="dxa"/>
        </w:tblCellMar>
        <w:tblLook w:val="01E0" w:firstRow="1" w:lastRow="1" w:firstColumn="1" w:lastColumn="1" w:noHBand="0" w:noVBand="0"/>
      </w:tblPr>
      <w:tblGrid>
        <w:gridCol w:w="1718"/>
        <w:gridCol w:w="2254"/>
        <w:gridCol w:w="1268"/>
        <w:gridCol w:w="1797"/>
        <w:gridCol w:w="2288"/>
      </w:tblGrid>
      <w:tr w:rsidR="006F76EB" w:rsidRPr="00834D52" w14:paraId="5A8E6E00" w14:textId="77777777" w:rsidTr="00337D8C">
        <w:trPr>
          <w:trHeight w:val="1417"/>
        </w:trPr>
        <w:tc>
          <w:tcPr>
            <w:tcW w:w="1718" w:type="dxa"/>
            <w:tcBorders>
              <w:top w:val="single" w:sz="4" w:space="0" w:color="000000"/>
              <w:left w:val="single" w:sz="4" w:space="0" w:color="000000"/>
              <w:bottom w:val="single" w:sz="4" w:space="0" w:color="000000"/>
              <w:right w:val="single" w:sz="4" w:space="0" w:color="000000"/>
            </w:tcBorders>
            <w:vAlign w:val="center"/>
          </w:tcPr>
          <w:p w14:paraId="7A6EAF68" w14:textId="77777777" w:rsidR="006F76EB" w:rsidRPr="00834D52" w:rsidRDefault="006F76EB" w:rsidP="00337D8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Վկայագրի համարը</w:t>
            </w:r>
          </w:p>
        </w:tc>
        <w:tc>
          <w:tcPr>
            <w:tcW w:w="2254" w:type="dxa"/>
            <w:tcBorders>
              <w:top w:val="single" w:sz="4" w:space="0" w:color="000000"/>
              <w:left w:val="single" w:sz="4" w:space="0" w:color="000000"/>
              <w:bottom w:val="single" w:sz="4" w:space="0" w:color="000000"/>
              <w:right w:val="single" w:sz="4" w:space="0" w:color="000000"/>
            </w:tcBorders>
            <w:vAlign w:val="center"/>
          </w:tcPr>
          <w:p w14:paraId="034C2C36" w14:textId="77777777" w:rsidR="006F76EB" w:rsidRPr="00834D52" w:rsidRDefault="006F76EB" w:rsidP="00337D8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Գործում է անդամ պետության տարածքում</w:t>
            </w:r>
          </w:p>
        </w:tc>
        <w:tc>
          <w:tcPr>
            <w:tcW w:w="1268" w:type="dxa"/>
            <w:tcBorders>
              <w:top w:val="single" w:sz="4" w:space="0" w:color="000000"/>
              <w:left w:val="single" w:sz="4" w:space="0" w:color="000000"/>
              <w:bottom w:val="single" w:sz="4" w:space="0" w:color="000000"/>
              <w:right w:val="single" w:sz="4" w:space="0" w:color="000000"/>
            </w:tcBorders>
            <w:vAlign w:val="center"/>
          </w:tcPr>
          <w:p w14:paraId="1C48B7CF" w14:textId="77777777" w:rsidR="006F76EB" w:rsidRPr="00834D52" w:rsidRDefault="006F76EB" w:rsidP="00337D8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Տրման ամսաթիվը</w:t>
            </w:r>
          </w:p>
        </w:tc>
        <w:tc>
          <w:tcPr>
            <w:tcW w:w="1797" w:type="dxa"/>
            <w:tcBorders>
              <w:top w:val="single" w:sz="4" w:space="0" w:color="000000"/>
              <w:left w:val="single" w:sz="4" w:space="0" w:color="000000"/>
              <w:bottom w:val="single" w:sz="4" w:space="0" w:color="000000"/>
              <w:right w:val="single" w:sz="4" w:space="0" w:color="000000"/>
            </w:tcBorders>
            <w:vAlign w:val="center"/>
          </w:tcPr>
          <w:p w14:paraId="2CC04FC7" w14:textId="77777777" w:rsidR="006F76EB" w:rsidRPr="00834D52" w:rsidRDefault="006F76EB" w:rsidP="00337D8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Գործում է մինչ</w:t>
            </w:r>
            <w:r w:rsidR="00C54D75">
              <w:rPr>
                <w:rFonts w:ascii="Sylfaen" w:hAnsi="Sylfaen"/>
                <w:sz w:val="24"/>
                <w:szCs w:val="24"/>
              </w:rPr>
              <w:t>և</w:t>
            </w:r>
          </w:p>
        </w:tc>
        <w:tc>
          <w:tcPr>
            <w:tcW w:w="2288" w:type="dxa"/>
            <w:tcBorders>
              <w:top w:val="single" w:sz="4" w:space="0" w:color="000000"/>
              <w:left w:val="single" w:sz="4" w:space="0" w:color="000000"/>
              <w:bottom w:val="single" w:sz="4" w:space="0" w:color="000000"/>
              <w:right w:val="single" w:sz="4" w:space="0" w:color="000000"/>
            </w:tcBorders>
            <w:vAlign w:val="center"/>
          </w:tcPr>
          <w:p w14:paraId="68C14C06" w14:textId="77777777" w:rsidR="006F76EB" w:rsidRPr="00834D52" w:rsidRDefault="006F76EB" w:rsidP="00337D8C">
            <w:pPr>
              <w:spacing w:after="120" w:line="240" w:lineRule="auto"/>
              <w:ind w:left="209" w:right="252"/>
              <w:jc w:val="center"/>
              <w:rPr>
                <w:rFonts w:ascii="Sylfaen" w:eastAsia="Times New Roman" w:hAnsi="Sylfaen" w:cs="Times New Roman"/>
                <w:sz w:val="24"/>
                <w:szCs w:val="24"/>
              </w:rPr>
            </w:pPr>
            <w:r w:rsidRPr="00834D52">
              <w:rPr>
                <w:rFonts w:ascii="Sylfaen" w:hAnsi="Sylfaen"/>
                <w:sz w:val="24"/>
                <w:szCs w:val="24"/>
              </w:rPr>
              <w:t>Իրավատերը</w:t>
            </w:r>
          </w:p>
        </w:tc>
      </w:tr>
      <w:tr w:rsidR="006F76EB" w:rsidRPr="00834D52" w14:paraId="5C8E19AC" w14:textId="77777777" w:rsidTr="00337D8C">
        <w:trPr>
          <w:trHeight w:val="598"/>
        </w:trPr>
        <w:tc>
          <w:tcPr>
            <w:tcW w:w="1718" w:type="dxa"/>
            <w:tcBorders>
              <w:top w:val="single" w:sz="4" w:space="0" w:color="000000"/>
              <w:left w:val="single" w:sz="4" w:space="0" w:color="000000"/>
              <w:bottom w:val="single" w:sz="4" w:space="0" w:color="000000"/>
              <w:right w:val="single" w:sz="4" w:space="0" w:color="000000"/>
            </w:tcBorders>
          </w:tcPr>
          <w:p w14:paraId="251EDE74" w14:textId="77777777" w:rsidR="006F76EB" w:rsidRPr="00834D52" w:rsidRDefault="006F76EB" w:rsidP="00337D8C">
            <w:pPr>
              <w:spacing w:after="120" w:line="240" w:lineRule="auto"/>
              <w:ind w:right="-8"/>
              <w:rPr>
                <w:rFonts w:ascii="Sylfaen" w:hAnsi="Sylfaen"/>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2C48C38F" w14:textId="77777777" w:rsidR="006F76EB" w:rsidRPr="00834D52" w:rsidRDefault="006F76EB" w:rsidP="00337D8C">
            <w:pPr>
              <w:spacing w:after="120" w:line="240" w:lineRule="auto"/>
              <w:ind w:right="-8"/>
              <w:rPr>
                <w:rFonts w:ascii="Sylfaen" w:hAnsi="Sylfaen"/>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E83205C" w14:textId="77777777" w:rsidR="006F76EB" w:rsidRPr="00834D52" w:rsidRDefault="006F76EB" w:rsidP="00337D8C">
            <w:pPr>
              <w:spacing w:after="120" w:line="240" w:lineRule="auto"/>
              <w:ind w:right="-8"/>
              <w:rPr>
                <w:rFonts w:ascii="Sylfaen" w:hAnsi="Sylfaen"/>
                <w:sz w:val="24"/>
                <w:szCs w:val="24"/>
              </w:rPr>
            </w:pPr>
          </w:p>
        </w:tc>
        <w:tc>
          <w:tcPr>
            <w:tcW w:w="1797" w:type="dxa"/>
            <w:tcBorders>
              <w:top w:val="single" w:sz="4" w:space="0" w:color="000000"/>
              <w:left w:val="single" w:sz="4" w:space="0" w:color="000000"/>
              <w:bottom w:val="single" w:sz="4" w:space="0" w:color="000000"/>
              <w:right w:val="single" w:sz="4" w:space="0" w:color="000000"/>
            </w:tcBorders>
          </w:tcPr>
          <w:p w14:paraId="077D5A58" w14:textId="77777777" w:rsidR="006F76EB" w:rsidRPr="00834D52" w:rsidRDefault="006F76EB" w:rsidP="00337D8C">
            <w:pPr>
              <w:spacing w:after="120" w:line="240" w:lineRule="auto"/>
              <w:ind w:right="-8"/>
              <w:rPr>
                <w:rFonts w:ascii="Sylfaen" w:hAnsi="Sylfaen"/>
                <w:sz w:val="24"/>
                <w:szCs w:val="24"/>
              </w:rPr>
            </w:pPr>
          </w:p>
        </w:tc>
        <w:tc>
          <w:tcPr>
            <w:tcW w:w="2288" w:type="dxa"/>
            <w:tcBorders>
              <w:top w:val="single" w:sz="4" w:space="0" w:color="000000"/>
              <w:left w:val="single" w:sz="4" w:space="0" w:color="000000"/>
              <w:bottom w:val="single" w:sz="4" w:space="0" w:color="000000"/>
              <w:right w:val="single" w:sz="4" w:space="0" w:color="000000"/>
            </w:tcBorders>
          </w:tcPr>
          <w:p w14:paraId="6EFF8B40" w14:textId="77777777" w:rsidR="006F76EB" w:rsidRPr="00834D52" w:rsidRDefault="006F76EB" w:rsidP="00337D8C">
            <w:pPr>
              <w:spacing w:after="120" w:line="240" w:lineRule="auto"/>
              <w:ind w:right="-8"/>
              <w:rPr>
                <w:rFonts w:ascii="Sylfaen" w:hAnsi="Sylfaen"/>
                <w:sz w:val="24"/>
                <w:szCs w:val="24"/>
              </w:rPr>
            </w:pPr>
          </w:p>
        </w:tc>
      </w:tr>
    </w:tbl>
    <w:p w14:paraId="527BCC67" w14:textId="77777777" w:rsidR="00A86C06" w:rsidRDefault="00A86C06" w:rsidP="006F76EB">
      <w:pPr>
        <w:spacing w:after="160" w:line="360" w:lineRule="auto"/>
        <w:ind w:right="-8" w:firstLine="567"/>
        <w:jc w:val="both"/>
        <w:rPr>
          <w:rFonts w:ascii="Sylfaen" w:hAnsi="Sylfaen"/>
          <w:sz w:val="24"/>
          <w:szCs w:val="24"/>
          <w:lang w:val="en-US"/>
        </w:rPr>
      </w:pPr>
    </w:p>
    <w:p w14:paraId="725D5AF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lastRenderedPageBreak/>
        <w:t>Կցել Եվրասիական տնտեսական միության անդամ պետության տարածքում գործող՝ ապրանքային նշանի գրանցման վկայագրի՝ հայտատուի կողմից վավերացված պատճենը:</w:t>
      </w:r>
    </w:p>
    <w:p w14:paraId="0278985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Եթե հայտատուն իրավատերը չէ, ապա կցել լիցենզիոն համաձայնագրի՝ հայտատուի կողմից վավերացված պատճենը կամ ապրանքային նշանի օգտագործման իրավունքի տրամադրման գրանցման հաստատումը:</w:t>
      </w:r>
    </w:p>
    <w:p w14:paraId="677A1CBF" w14:textId="77777777" w:rsidR="006F76EB" w:rsidRPr="00834D52" w:rsidRDefault="006F76EB" w:rsidP="00B45C4F">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4.3.</w:t>
      </w:r>
      <w:r w:rsidRPr="00834D52">
        <w:rPr>
          <w:rFonts w:ascii="Sylfaen" w:hAnsi="Sylfaen"/>
          <w:sz w:val="24"/>
          <w:szCs w:val="24"/>
        </w:rPr>
        <w:tab/>
        <w:t>Արդյոք դեղապատրաստուկը գրանցված է արտադրողի երկրում՝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110256D" w14:textId="77777777" w:rsidTr="00F71229">
        <w:tc>
          <w:tcPr>
            <w:tcW w:w="2268" w:type="dxa"/>
          </w:tcPr>
          <w:p w14:paraId="52ADB9FB"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04D49CE6">
                <v:rect id="_x0000_s1277" style="position:absolute;left:0;text-align:left;margin-left:40.6pt;margin-top:3.05pt;width:12.75pt;height:12pt;z-index:251773440"/>
              </w:pict>
            </w:r>
            <w:r w:rsidR="006F76EB" w:rsidRPr="00834D52">
              <w:rPr>
                <w:rFonts w:ascii="Sylfaen" w:hAnsi="Sylfaen"/>
                <w:sz w:val="24"/>
                <w:szCs w:val="24"/>
              </w:rPr>
              <w:t>ոչ</w:t>
            </w:r>
          </w:p>
        </w:tc>
        <w:tc>
          <w:tcPr>
            <w:tcW w:w="2126" w:type="dxa"/>
          </w:tcPr>
          <w:p w14:paraId="6DC4C6EB"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6B93E4E4">
                <v:rect id="_x0000_s1276" style="position:absolute;left:0;text-align:left;margin-left:15.15pt;margin-top:3.05pt;width:12.75pt;height:12pt;z-index:251774464;mso-position-horizontal-relative:text;mso-position-vertical-relative:text"/>
              </w:pict>
            </w:r>
            <w:r w:rsidR="006F76EB" w:rsidRPr="00834D52">
              <w:rPr>
                <w:rFonts w:ascii="Sylfaen" w:hAnsi="Sylfaen"/>
                <w:sz w:val="24"/>
                <w:szCs w:val="24"/>
              </w:rPr>
              <w:t>այո</w:t>
            </w:r>
          </w:p>
        </w:tc>
      </w:tr>
    </w:tbl>
    <w:p w14:paraId="53788A6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դեղապատրաստուկը գրանցված է այլ երկրներում՝</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678BC22C" w14:textId="77777777" w:rsidTr="00F71229">
        <w:tc>
          <w:tcPr>
            <w:tcW w:w="2268" w:type="dxa"/>
          </w:tcPr>
          <w:p w14:paraId="5262A061" w14:textId="77777777" w:rsidR="006F76EB" w:rsidRPr="00834D52" w:rsidRDefault="00157FD9" w:rsidP="00F71229">
            <w:pPr>
              <w:spacing w:after="160" w:line="360"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23C0E7A8">
                <v:rect id="_x0000_s1279" style="position:absolute;left:0;text-align:left;margin-left:40.6pt;margin-top:3.05pt;width:12.75pt;height:12pt;z-index:251775488"/>
              </w:pict>
            </w:r>
            <w:r w:rsidR="006F76EB" w:rsidRPr="00834D52">
              <w:rPr>
                <w:rFonts w:ascii="Sylfaen" w:hAnsi="Sylfaen"/>
                <w:sz w:val="24"/>
                <w:szCs w:val="24"/>
              </w:rPr>
              <w:t>ոչ</w:t>
            </w:r>
          </w:p>
        </w:tc>
        <w:tc>
          <w:tcPr>
            <w:tcW w:w="2126" w:type="dxa"/>
          </w:tcPr>
          <w:p w14:paraId="2CAF98F5" w14:textId="77777777" w:rsidR="006F76EB" w:rsidRPr="00834D52" w:rsidRDefault="00157FD9" w:rsidP="00F71229">
            <w:pPr>
              <w:spacing w:after="160" w:line="360"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3A83D001">
                <v:rect id="_x0000_s1278" style="position:absolute;left:0;text-align:left;margin-left:15.15pt;margin-top:3.05pt;width:12.75pt;height:12pt;z-index:251776512;mso-position-horizontal-relative:text;mso-position-vertical-relative:text"/>
              </w:pict>
            </w:r>
            <w:r w:rsidR="006F76EB" w:rsidRPr="00834D52">
              <w:rPr>
                <w:rFonts w:ascii="Sylfaen" w:hAnsi="Sylfaen"/>
                <w:sz w:val="24"/>
                <w:szCs w:val="24"/>
              </w:rPr>
              <w:t>այո</w:t>
            </w:r>
          </w:p>
        </w:tc>
      </w:tr>
    </w:tbl>
    <w:p w14:paraId="77A503A6" w14:textId="77777777" w:rsidR="006F76EB" w:rsidRPr="00834D52" w:rsidRDefault="006F76EB" w:rsidP="00B45C4F">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3.4.</w:t>
      </w:r>
      <w:r w:rsidRPr="00834D52">
        <w:rPr>
          <w:rFonts w:ascii="Sylfaen" w:hAnsi="Sylfaen"/>
          <w:sz w:val="24"/>
          <w:szCs w:val="24"/>
        </w:rPr>
        <w:tab/>
        <w:t>Արդյոք տվյալ դեղապատրաստուկի առնչությամբ Եվրասիական տնտեսական միության անդամ պետություններում անցկացվել է նախնական գիտական խորհրդակցություն՝</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60574F33" w14:textId="77777777" w:rsidTr="00F71229">
        <w:tc>
          <w:tcPr>
            <w:tcW w:w="2268" w:type="dxa"/>
          </w:tcPr>
          <w:p w14:paraId="1089E634"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6DCF8423">
                <v:rect id="_x0000_s1281" style="position:absolute;left:0;text-align:left;margin-left:40.6pt;margin-top:3.05pt;width:12.75pt;height:12pt;z-index:251777536"/>
              </w:pict>
            </w:r>
            <w:r w:rsidR="006F76EB" w:rsidRPr="00834D52">
              <w:rPr>
                <w:rFonts w:ascii="Sylfaen" w:hAnsi="Sylfaen"/>
                <w:sz w:val="24"/>
                <w:szCs w:val="24"/>
              </w:rPr>
              <w:t>ոչ</w:t>
            </w:r>
          </w:p>
        </w:tc>
        <w:tc>
          <w:tcPr>
            <w:tcW w:w="2126" w:type="dxa"/>
          </w:tcPr>
          <w:p w14:paraId="155105C7"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4D0D2162">
                <v:rect id="_x0000_s1280" style="position:absolute;left:0;text-align:left;margin-left:15.15pt;margin-top:3.05pt;width:12.75pt;height:12pt;z-index:251778560;mso-position-horizontal-relative:text;mso-position-vertical-relative:text"/>
              </w:pict>
            </w:r>
            <w:r w:rsidR="006F76EB" w:rsidRPr="00834D52">
              <w:rPr>
                <w:rFonts w:ascii="Sylfaen" w:hAnsi="Sylfaen"/>
                <w:sz w:val="24"/>
                <w:szCs w:val="24"/>
              </w:rPr>
              <w:t>այո</w:t>
            </w:r>
          </w:p>
        </w:tc>
      </w:tr>
    </w:tbl>
    <w:p w14:paraId="1086424E" w14:textId="77777777" w:rsidR="006F76EB" w:rsidRPr="00834D52" w:rsidRDefault="006F76EB" w:rsidP="006F76EB">
      <w:pPr>
        <w:spacing w:after="160" w:line="336" w:lineRule="auto"/>
        <w:ind w:right="-8" w:firstLine="567"/>
        <w:rPr>
          <w:rFonts w:ascii="Sylfaen" w:eastAsia="Times New Roman" w:hAnsi="Sylfaen" w:cs="Times New Roman"/>
          <w:sz w:val="24"/>
          <w:szCs w:val="24"/>
        </w:rPr>
      </w:pPr>
      <w:r w:rsidRPr="00834D52">
        <w:rPr>
          <w:rFonts w:ascii="Sylfaen" w:hAnsi="Sylfaen"/>
          <w:sz w:val="24"/>
          <w:szCs w:val="24"/>
        </w:rPr>
        <w:t>Եթե այո՝</w:t>
      </w:r>
    </w:p>
    <w:tbl>
      <w:tblPr>
        <w:tblW w:w="9654" w:type="dxa"/>
        <w:tblInd w:w="109" w:type="dxa"/>
        <w:tblLayout w:type="fixed"/>
        <w:tblCellMar>
          <w:left w:w="0" w:type="dxa"/>
          <w:right w:w="0" w:type="dxa"/>
        </w:tblCellMar>
        <w:tblLook w:val="01E0" w:firstRow="1" w:lastRow="1" w:firstColumn="1" w:lastColumn="1" w:noHBand="0" w:noVBand="0"/>
      </w:tblPr>
      <w:tblGrid>
        <w:gridCol w:w="4631"/>
        <w:gridCol w:w="5023"/>
      </w:tblGrid>
      <w:tr w:rsidR="006F76EB" w:rsidRPr="00834D52" w14:paraId="01367044" w14:textId="77777777" w:rsidTr="007C43CF">
        <w:trPr>
          <w:trHeight w:val="1014"/>
        </w:trPr>
        <w:tc>
          <w:tcPr>
            <w:tcW w:w="4631" w:type="dxa"/>
            <w:tcBorders>
              <w:top w:val="single" w:sz="4" w:space="0" w:color="000000"/>
              <w:left w:val="single" w:sz="4" w:space="0" w:color="000000"/>
              <w:bottom w:val="single" w:sz="4" w:space="0" w:color="000000"/>
              <w:right w:val="single" w:sz="4" w:space="0" w:color="000000"/>
            </w:tcBorders>
          </w:tcPr>
          <w:p w14:paraId="09AA5799" w14:textId="77777777" w:rsidR="006F76EB" w:rsidRPr="00834D52" w:rsidRDefault="006F76EB" w:rsidP="00B45C4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Եվրասիական տնտեսական միության անդամ պետությունը</w:t>
            </w:r>
          </w:p>
        </w:tc>
        <w:tc>
          <w:tcPr>
            <w:tcW w:w="5023" w:type="dxa"/>
            <w:tcBorders>
              <w:top w:val="single" w:sz="4" w:space="0" w:color="000000"/>
              <w:left w:val="single" w:sz="4" w:space="0" w:color="000000"/>
              <w:bottom w:val="single" w:sz="4" w:space="0" w:color="000000"/>
              <w:right w:val="single" w:sz="4" w:space="0" w:color="000000"/>
            </w:tcBorders>
          </w:tcPr>
          <w:p w14:paraId="66EF30F7" w14:textId="77777777" w:rsidR="006F76EB" w:rsidRPr="00834D52" w:rsidRDefault="006F76EB" w:rsidP="00B45C4F">
            <w:pPr>
              <w:spacing w:after="120" w:line="240" w:lineRule="auto"/>
              <w:ind w:right="-6"/>
              <w:rPr>
                <w:rFonts w:ascii="Sylfaen" w:hAnsi="Sylfaen"/>
                <w:sz w:val="24"/>
                <w:szCs w:val="24"/>
              </w:rPr>
            </w:pPr>
          </w:p>
        </w:tc>
      </w:tr>
      <w:tr w:rsidR="006F76EB" w:rsidRPr="00834D52" w14:paraId="0731E8D6" w14:textId="77777777" w:rsidTr="007C43CF">
        <w:trPr>
          <w:trHeight w:val="599"/>
        </w:trPr>
        <w:tc>
          <w:tcPr>
            <w:tcW w:w="4631" w:type="dxa"/>
            <w:tcBorders>
              <w:top w:val="single" w:sz="4" w:space="0" w:color="000000"/>
              <w:left w:val="single" w:sz="4" w:space="0" w:color="000000"/>
              <w:bottom w:val="single" w:sz="4" w:space="0" w:color="000000"/>
              <w:right w:val="single" w:sz="4" w:space="0" w:color="000000"/>
            </w:tcBorders>
          </w:tcPr>
          <w:p w14:paraId="207D8FD6" w14:textId="77777777" w:rsidR="006F76EB" w:rsidRPr="00834D52" w:rsidRDefault="006F76EB" w:rsidP="00B45C4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անցկացման ամսաթիվը</w:t>
            </w:r>
          </w:p>
        </w:tc>
        <w:tc>
          <w:tcPr>
            <w:tcW w:w="5023" w:type="dxa"/>
            <w:tcBorders>
              <w:top w:val="single" w:sz="4" w:space="0" w:color="000000"/>
              <w:left w:val="single" w:sz="4" w:space="0" w:color="000000"/>
              <w:bottom w:val="single" w:sz="4" w:space="0" w:color="000000"/>
              <w:right w:val="single" w:sz="4" w:space="0" w:color="000000"/>
            </w:tcBorders>
          </w:tcPr>
          <w:p w14:paraId="0C03C1E3" w14:textId="77777777" w:rsidR="006F76EB" w:rsidRPr="00834D52" w:rsidRDefault="006F76EB" w:rsidP="00B45C4F">
            <w:pPr>
              <w:spacing w:after="120" w:line="240" w:lineRule="auto"/>
              <w:ind w:right="-6"/>
              <w:rPr>
                <w:rFonts w:ascii="Sylfaen" w:hAnsi="Sylfaen"/>
                <w:sz w:val="24"/>
                <w:szCs w:val="24"/>
              </w:rPr>
            </w:pPr>
          </w:p>
        </w:tc>
      </w:tr>
      <w:tr w:rsidR="006F76EB" w:rsidRPr="00834D52" w14:paraId="62CADA24" w14:textId="77777777" w:rsidTr="007C43CF">
        <w:trPr>
          <w:trHeight w:val="1060"/>
        </w:trPr>
        <w:tc>
          <w:tcPr>
            <w:tcW w:w="4631" w:type="dxa"/>
            <w:tcBorders>
              <w:top w:val="single" w:sz="4" w:space="0" w:color="000000"/>
              <w:left w:val="single" w:sz="4" w:space="0" w:color="000000"/>
              <w:bottom w:val="single" w:sz="4" w:space="0" w:color="000000"/>
              <w:right w:val="single" w:sz="4" w:space="0" w:color="000000"/>
            </w:tcBorders>
          </w:tcPr>
          <w:p w14:paraId="20BE20E4" w14:textId="77777777" w:rsidR="006F76EB" w:rsidRPr="00834D52" w:rsidRDefault="006F76EB" w:rsidP="00B45C4F">
            <w:pPr>
              <w:spacing w:after="120" w:line="240" w:lineRule="auto"/>
              <w:ind w:left="180" w:right="-6"/>
              <w:rPr>
                <w:rFonts w:ascii="Sylfaen" w:eastAsia="Times New Roman" w:hAnsi="Sylfaen" w:cs="Times New Roman"/>
                <w:sz w:val="24"/>
                <w:szCs w:val="24"/>
              </w:rPr>
            </w:pPr>
            <w:r w:rsidRPr="00834D52">
              <w:rPr>
                <w:rFonts w:ascii="Sylfaen" w:hAnsi="Sylfaen"/>
                <w:sz w:val="24"/>
                <w:szCs w:val="24"/>
              </w:rPr>
              <w:t>դոսյեում եզրակացության առկայության մասին նշումը</w:t>
            </w:r>
          </w:p>
        </w:tc>
        <w:tc>
          <w:tcPr>
            <w:tcW w:w="5023" w:type="dxa"/>
            <w:tcBorders>
              <w:top w:val="single" w:sz="4" w:space="0" w:color="000000"/>
              <w:left w:val="single" w:sz="4" w:space="0" w:color="000000"/>
              <w:bottom w:val="single" w:sz="4" w:space="0" w:color="000000"/>
              <w:right w:val="single" w:sz="4" w:space="0" w:color="000000"/>
            </w:tcBorders>
          </w:tcPr>
          <w:p w14:paraId="39007D11" w14:textId="77777777" w:rsidR="006F76EB" w:rsidRPr="00834D52" w:rsidRDefault="006F76EB" w:rsidP="00B45C4F">
            <w:pPr>
              <w:spacing w:after="120" w:line="240" w:lineRule="auto"/>
              <w:ind w:right="-6"/>
              <w:rPr>
                <w:rFonts w:ascii="Sylfaen" w:hAnsi="Sylfaen"/>
                <w:sz w:val="24"/>
                <w:szCs w:val="24"/>
              </w:rPr>
            </w:pPr>
          </w:p>
        </w:tc>
      </w:tr>
    </w:tbl>
    <w:p w14:paraId="1B1F7AE3" w14:textId="77777777" w:rsidR="006F76EB" w:rsidRPr="00834D52" w:rsidRDefault="006F76EB" w:rsidP="006F76EB">
      <w:pPr>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Արդյոք տվյալ դեղապատրաստուկի առնչությամբ Դեղամիջոցների հարցերով փորձագիտական կոմիտեում անցկացվել է նախնական գիտական խորհրդակցություն՝</w:t>
      </w:r>
    </w:p>
    <w:tbl>
      <w:tblPr>
        <w:tblStyle w:val="TableGrid"/>
        <w:tblW w:w="4394"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6"/>
      </w:tblGrid>
      <w:tr w:rsidR="006F76EB" w:rsidRPr="00834D52" w14:paraId="3A58B329" w14:textId="77777777" w:rsidTr="00F71229">
        <w:tc>
          <w:tcPr>
            <w:tcW w:w="2268" w:type="dxa"/>
          </w:tcPr>
          <w:p w14:paraId="21BA07D8" w14:textId="77777777" w:rsidR="006F76EB" w:rsidRPr="00834D52" w:rsidRDefault="00157FD9" w:rsidP="00F71229">
            <w:pPr>
              <w:spacing w:after="160" w:line="336" w:lineRule="auto"/>
              <w:ind w:left="1134" w:right="458"/>
              <w:jc w:val="right"/>
              <w:rPr>
                <w:rFonts w:ascii="Sylfaen" w:eastAsia="Times New Roman" w:hAnsi="Sylfaen" w:cs="Times New Roman"/>
                <w:sz w:val="24"/>
                <w:szCs w:val="24"/>
                <w:lang w:val="en-US"/>
              </w:rPr>
            </w:pPr>
            <w:r>
              <w:rPr>
                <w:rFonts w:ascii="Sylfaen" w:eastAsia="Times New Roman" w:hAnsi="Sylfaen" w:cs="Times New Roman"/>
                <w:noProof/>
                <w:sz w:val="24"/>
                <w:szCs w:val="24"/>
                <w:lang w:val="en-US" w:eastAsia="en-US" w:bidi="ar-SA"/>
              </w:rPr>
              <w:pict w14:anchorId="0BC69162">
                <v:rect id="_x0000_s1283" style="position:absolute;left:0;text-align:left;margin-left:40.6pt;margin-top:3.05pt;width:12.75pt;height:12pt;z-index:251779584"/>
              </w:pict>
            </w:r>
            <w:r w:rsidR="006F76EB" w:rsidRPr="00834D52">
              <w:rPr>
                <w:rFonts w:ascii="Sylfaen" w:hAnsi="Sylfaen"/>
                <w:sz w:val="24"/>
                <w:szCs w:val="24"/>
              </w:rPr>
              <w:t>ոչ</w:t>
            </w:r>
          </w:p>
        </w:tc>
        <w:tc>
          <w:tcPr>
            <w:tcW w:w="2126" w:type="dxa"/>
          </w:tcPr>
          <w:p w14:paraId="78CBB7D7" w14:textId="77777777" w:rsidR="006F76EB" w:rsidRPr="00834D52" w:rsidRDefault="00157FD9" w:rsidP="00F71229">
            <w:pPr>
              <w:spacing w:after="160" w:line="336" w:lineRule="auto"/>
              <w:ind w:left="744" w:right="-8"/>
              <w:jc w:val="both"/>
              <w:rPr>
                <w:rFonts w:ascii="Sylfaen" w:eastAsia="Times New Roman" w:hAnsi="Sylfaen" w:cs="Times New Roman"/>
                <w:sz w:val="24"/>
                <w:szCs w:val="24"/>
                <w:lang w:val="en-US"/>
              </w:rPr>
            </w:pPr>
            <w:r>
              <w:rPr>
                <w:rFonts w:ascii="Sylfaen" w:eastAsia="Times New Roman" w:hAnsi="Sylfaen" w:cs="Times New Roman"/>
                <w:noProof/>
                <w:sz w:val="24"/>
                <w:szCs w:val="24"/>
              </w:rPr>
              <w:pict w14:anchorId="5BC41BD7">
                <v:rect id="_x0000_s1282" style="position:absolute;left:0;text-align:left;margin-left:15.15pt;margin-top:3.05pt;width:12.75pt;height:12pt;z-index:251780608;mso-position-horizontal-relative:text;mso-position-vertical-relative:text"/>
              </w:pict>
            </w:r>
            <w:r w:rsidR="006F76EB" w:rsidRPr="00834D52">
              <w:rPr>
                <w:rFonts w:ascii="Sylfaen" w:hAnsi="Sylfaen"/>
                <w:sz w:val="24"/>
                <w:szCs w:val="24"/>
              </w:rPr>
              <w:t>այո</w:t>
            </w:r>
          </w:p>
        </w:tc>
      </w:tr>
    </w:tbl>
    <w:p w14:paraId="77DDEFB4" w14:textId="77777777" w:rsidR="007C43CF" w:rsidRDefault="007C43CF" w:rsidP="006F76EB">
      <w:pPr>
        <w:spacing w:after="160" w:line="336" w:lineRule="auto"/>
        <w:ind w:right="-8" w:firstLine="567"/>
        <w:rPr>
          <w:rFonts w:ascii="Sylfaen" w:hAnsi="Sylfaen"/>
          <w:sz w:val="24"/>
          <w:szCs w:val="24"/>
          <w:lang w:val="en-US"/>
        </w:rPr>
      </w:pPr>
    </w:p>
    <w:p w14:paraId="1841B4FE" w14:textId="77777777" w:rsidR="006F76EB" w:rsidRPr="00834D52" w:rsidRDefault="006F76EB" w:rsidP="006F76EB">
      <w:pPr>
        <w:spacing w:after="160" w:line="336" w:lineRule="auto"/>
        <w:ind w:right="-8" w:firstLine="567"/>
        <w:rPr>
          <w:rFonts w:ascii="Sylfaen" w:eastAsia="Times New Roman" w:hAnsi="Sylfaen" w:cs="Times New Roman"/>
          <w:sz w:val="24"/>
          <w:szCs w:val="24"/>
        </w:rPr>
      </w:pPr>
      <w:r w:rsidRPr="00834D52">
        <w:rPr>
          <w:rFonts w:ascii="Sylfaen" w:hAnsi="Sylfaen"/>
          <w:sz w:val="24"/>
          <w:szCs w:val="24"/>
        </w:rPr>
        <w:lastRenderedPageBreak/>
        <w:t>Եթե այո՝</w:t>
      </w:r>
    </w:p>
    <w:tbl>
      <w:tblPr>
        <w:tblW w:w="9609" w:type="dxa"/>
        <w:tblInd w:w="109" w:type="dxa"/>
        <w:tblLayout w:type="fixed"/>
        <w:tblCellMar>
          <w:left w:w="0" w:type="dxa"/>
          <w:right w:w="0" w:type="dxa"/>
        </w:tblCellMar>
        <w:tblLook w:val="01E0" w:firstRow="1" w:lastRow="1" w:firstColumn="1" w:lastColumn="1" w:noHBand="0" w:noVBand="0"/>
      </w:tblPr>
      <w:tblGrid>
        <w:gridCol w:w="4142"/>
        <w:gridCol w:w="5467"/>
      </w:tblGrid>
      <w:tr w:rsidR="006F76EB" w:rsidRPr="00834D52" w14:paraId="69AE4AB2"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2BC93DA1" w14:textId="77777777" w:rsidR="006F76EB" w:rsidRPr="00834D52" w:rsidRDefault="006F76EB" w:rsidP="007C43CF">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անցկացման ամսաթիվը</w:t>
            </w:r>
          </w:p>
        </w:tc>
        <w:tc>
          <w:tcPr>
            <w:tcW w:w="5467" w:type="dxa"/>
            <w:tcBorders>
              <w:top w:val="single" w:sz="4" w:space="0" w:color="000000"/>
              <w:left w:val="single" w:sz="4" w:space="0" w:color="000000"/>
              <w:bottom w:val="single" w:sz="4" w:space="0" w:color="000000"/>
              <w:right w:val="single" w:sz="4" w:space="0" w:color="000000"/>
            </w:tcBorders>
          </w:tcPr>
          <w:p w14:paraId="624E1CA8" w14:textId="77777777" w:rsidR="006F76EB" w:rsidRPr="00834D52" w:rsidRDefault="006F76EB" w:rsidP="007C43CF">
            <w:pPr>
              <w:spacing w:after="120" w:line="240" w:lineRule="auto"/>
              <w:ind w:right="-6"/>
              <w:rPr>
                <w:rFonts w:ascii="Sylfaen" w:hAnsi="Sylfaen"/>
                <w:sz w:val="24"/>
                <w:szCs w:val="24"/>
              </w:rPr>
            </w:pPr>
          </w:p>
        </w:tc>
      </w:tr>
      <w:tr w:rsidR="006F76EB" w:rsidRPr="00834D52" w14:paraId="78EB126F" w14:textId="77777777" w:rsidTr="00F71229">
        <w:tc>
          <w:tcPr>
            <w:tcW w:w="4142" w:type="dxa"/>
            <w:tcBorders>
              <w:top w:val="single" w:sz="4" w:space="0" w:color="000000"/>
              <w:left w:val="single" w:sz="4" w:space="0" w:color="000000"/>
              <w:bottom w:val="single" w:sz="4" w:space="0" w:color="000000"/>
              <w:right w:val="single" w:sz="4" w:space="0" w:color="000000"/>
            </w:tcBorders>
          </w:tcPr>
          <w:p w14:paraId="5E747D8E" w14:textId="77777777" w:rsidR="006F76EB" w:rsidRPr="00834D52" w:rsidRDefault="006F76EB" w:rsidP="007C43CF">
            <w:pPr>
              <w:spacing w:after="120" w:line="240" w:lineRule="auto"/>
              <w:ind w:left="112" w:right="-6"/>
              <w:rPr>
                <w:rFonts w:ascii="Sylfaen" w:eastAsia="Times New Roman" w:hAnsi="Sylfaen" w:cs="Times New Roman"/>
                <w:sz w:val="24"/>
                <w:szCs w:val="24"/>
              </w:rPr>
            </w:pPr>
            <w:r w:rsidRPr="00834D52">
              <w:rPr>
                <w:rFonts w:ascii="Sylfaen" w:hAnsi="Sylfaen"/>
                <w:sz w:val="24"/>
                <w:szCs w:val="24"/>
              </w:rPr>
              <w:t>դոսյեում եզրակացության առկայության մասին նշումը</w:t>
            </w:r>
          </w:p>
        </w:tc>
        <w:tc>
          <w:tcPr>
            <w:tcW w:w="5467" w:type="dxa"/>
            <w:tcBorders>
              <w:top w:val="single" w:sz="4" w:space="0" w:color="000000"/>
              <w:left w:val="single" w:sz="4" w:space="0" w:color="000000"/>
              <w:bottom w:val="single" w:sz="4" w:space="0" w:color="000000"/>
              <w:right w:val="single" w:sz="4" w:space="0" w:color="000000"/>
            </w:tcBorders>
          </w:tcPr>
          <w:p w14:paraId="3601AA32" w14:textId="77777777" w:rsidR="006F76EB" w:rsidRPr="00834D52" w:rsidRDefault="006F76EB" w:rsidP="007C43CF">
            <w:pPr>
              <w:spacing w:after="120" w:line="240" w:lineRule="auto"/>
              <w:ind w:right="-6"/>
              <w:rPr>
                <w:rFonts w:ascii="Sylfaen" w:hAnsi="Sylfaen"/>
                <w:sz w:val="24"/>
                <w:szCs w:val="24"/>
              </w:rPr>
            </w:pPr>
          </w:p>
        </w:tc>
      </w:tr>
    </w:tbl>
    <w:p w14:paraId="6D2F1718" w14:textId="77777777" w:rsidR="006F76EB" w:rsidRPr="00834D52" w:rsidRDefault="006F76EB" w:rsidP="00190846">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4.5.</w:t>
      </w:r>
      <w:r w:rsidRPr="00834D52">
        <w:rPr>
          <w:rFonts w:ascii="Sylfaen" w:hAnsi="Sylfaen"/>
          <w:sz w:val="24"/>
          <w:szCs w:val="24"/>
        </w:rPr>
        <w:tab/>
        <w:t xml:space="preserve">Արտադրողի երկրում </w:t>
      </w:r>
      <w:r w:rsidR="00C54D75">
        <w:rPr>
          <w:rFonts w:ascii="Sylfaen" w:hAnsi="Sylfaen"/>
          <w:sz w:val="24"/>
          <w:szCs w:val="24"/>
        </w:rPr>
        <w:t>և</w:t>
      </w:r>
      <w:r w:rsidRPr="00834D52">
        <w:rPr>
          <w:rFonts w:ascii="Sylfaen" w:hAnsi="Sylfaen"/>
          <w:sz w:val="24"/>
          <w:szCs w:val="24"/>
        </w:rPr>
        <w:t xml:space="preserve"> այլ երկրներում դեղապատրաստուկի գրանցման հավաստագրի մերժման, հետկանչի </w:t>
      </w:r>
      <w:r w:rsidR="00C54D75">
        <w:rPr>
          <w:rFonts w:ascii="Sylfaen" w:hAnsi="Sylfaen"/>
          <w:sz w:val="24"/>
          <w:szCs w:val="24"/>
        </w:rPr>
        <w:t>և</w:t>
      </w:r>
      <w:r w:rsidRPr="00834D52">
        <w:rPr>
          <w:rFonts w:ascii="Sylfaen" w:hAnsi="Sylfaen"/>
          <w:sz w:val="24"/>
          <w:szCs w:val="24"/>
        </w:rPr>
        <w:t xml:space="preserve"> գործողության կասեցման մասին տեղեկատվություն:</w:t>
      </w:r>
    </w:p>
    <w:p w14:paraId="4295EDC7" w14:textId="77777777" w:rsidR="006F76EB" w:rsidRDefault="006F76EB" w:rsidP="006F76EB">
      <w:pPr>
        <w:spacing w:after="160" w:line="336" w:lineRule="auto"/>
        <w:ind w:right="-6" w:firstLine="567"/>
        <w:jc w:val="both"/>
        <w:rPr>
          <w:rFonts w:ascii="Sylfaen" w:hAnsi="Sylfaen"/>
          <w:sz w:val="24"/>
          <w:szCs w:val="24"/>
          <w:lang w:val="en-US"/>
        </w:rPr>
      </w:pPr>
      <w:r w:rsidRPr="00834D52">
        <w:rPr>
          <w:rFonts w:ascii="Sylfaen" w:hAnsi="Sylfaen"/>
          <w:sz w:val="24"/>
          <w:szCs w:val="24"/>
        </w:rPr>
        <w:t>Եթե այո՝</w:t>
      </w:r>
    </w:p>
    <w:tbl>
      <w:tblPr>
        <w:tblW w:w="9562" w:type="dxa"/>
        <w:tblInd w:w="102" w:type="dxa"/>
        <w:tblLayout w:type="fixed"/>
        <w:tblCellMar>
          <w:left w:w="0" w:type="dxa"/>
          <w:right w:w="0" w:type="dxa"/>
        </w:tblCellMar>
        <w:tblLook w:val="01E0" w:firstRow="1" w:lastRow="1" w:firstColumn="1" w:lastColumn="1" w:noHBand="0" w:noVBand="0"/>
      </w:tblPr>
      <w:tblGrid>
        <w:gridCol w:w="2762"/>
        <w:gridCol w:w="1431"/>
        <w:gridCol w:w="1858"/>
        <w:gridCol w:w="1857"/>
        <w:gridCol w:w="1654"/>
      </w:tblGrid>
      <w:tr w:rsidR="006F76EB" w:rsidRPr="00834D52" w14:paraId="28045089" w14:textId="77777777" w:rsidTr="00D4123F">
        <w:trPr>
          <w:trHeight w:val="922"/>
        </w:trPr>
        <w:tc>
          <w:tcPr>
            <w:tcW w:w="2762" w:type="dxa"/>
            <w:tcBorders>
              <w:top w:val="single" w:sz="4" w:space="0" w:color="000000"/>
              <w:left w:val="single" w:sz="4" w:space="0" w:color="000000"/>
              <w:bottom w:val="single" w:sz="4" w:space="0" w:color="000000"/>
              <w:right w:val="single" w:sz="4" w:space="0" w:color="000000"/>
            </w:tcBorders>
            <w:vAlign w:val="center"/>
          </w:tcPr>
          <w:p w14:paraId="0CCFC117" w14:textId="77777777" w:rsidR="006F76EB" w:rsidRPr="00834D52" w:rsidRDefault="006F76EB" w:rsidP="007902F3">
            <w:pPr>
              <w:spacing w:after="120" w:line="240" w:lineRule="auto"/>
              <w:ind w:left="187" w:right="-6"/>
              <w:jc w:val="center"/>
              <w:rPr>
                <w:rFonts w:ascii="Sylfaen" w:eastAsia="Times New Roman" w:hAnsi="Sylfaen" w:cs="Times New Roman"/>
                <w:sz w:val="24"/>
                <w:szCs w:val="24"/>
              </w:rPr>
            </w:pPr>
            <w:r w:rsidRPr="00834D52">
              <w:rPr>
                <w:rFonts w:ascii="Sylfaen" w:hAnsi="Sylfaen"/>
                <w:sz w:val="24"/>
                <w:szCs w:val="24"/>
              </w:rPr>
              <w:t>Սահմանափակման տեսակը</w:t>
            </w:r>
          </w:p>
        </w:tc>
        <w:tc>
          <w:tcPr>
            <w:tcW w:w="1431" w:type="dxa"/>
            <w:tcBorders>
              <w:top w:val="single" w:sz="4" w:space="0" w:color="000000"/>
              <w:left w:val="single" w:sz="4" w:space="0" w:color="000000"/>
              <w:bottom w:val="single" w:sz="4" w:space="0" w:color="000000"/>
              <w:right w:val="single" w:sz="4" w:space="0" w:color="000000"/>
            </w:tcBorders>
            <w:vAlign w:val="center"/>
          </w:tcPr>
          <w:p w14:paraId="192F4202" w14:textId="77777777" w:rsidR="006F76EB" w:rsidRPr="00834D52" w:rsidRDefault="006F76EB" w:rsidP="007902F3">
            <w:pPr>
              <w:spacing w:after="120" w:line="240" w:lineRule="auto"/>
              <w:ind w:left="50" w:right="-6"/>
              <w:jc w:val="center"/>
              <w:rPr>
                <w:rFonts w:ascii="Sylfaen" w:eastAsia="Times New Roman" w:hAnsi="Sylfaen" w:cs="Times New Roman"/>
                <w:sz w:val="24"/>
                <w:szCs w:val="24"/>
              </w:rPr>
            </w:pPr>
            <w:r w:rsidRPr="00834D52">
              <w:rPr>
                <w:rFonts w:ascii="Sylfaen" w:hAnsi="Sylfaen"/>
                <w:sz w:val="24"/>
                <w:szCs w:val="24"/>
              </w:rPr>
              <w:t>Պատճառը</w:t>
            </w:r>
          </w:p>
        </w:tc>
        <w:tc>
          <w:tcPr>
            <w:tcW w:w="1858" w:type="dxa"/>
            <w:tcBorders>
              <w:top w:val="single" w:sz="4" w:space="0" w:color="000000"/>
              <w:left w:val="single" w:sz="4" w:space="0" w:color="000000"/>
              <w:bottom w:val="single" w:sz="4" w:space="0" w:color="000000"/>
              <w:right w:val="single" w:sz="4" w:space="0" w:color="000000"/>
            </w:tcBorders>
            <w:vAlign w:val="center"/>
          </w:tcPr>
          <w:p w14:paraId="45041879" w14:textId="77777777" w:rsidR="006F76EB" w:rsidRPr="00834D52" w:rsidRDefault="006F76EB" w:rsidP="007902F3">
            <w:pPr>
              <w:spacing w:after="120" w:line="240" w:lineRule="auto"/>
              <w:ind w:left="50" w:right="-6"/>
              <w:jc w:val="center"/>
              <w:rPr>
                <w:rFonts w:ascii="Sylfaen" w:eastAsia="Times New Roman" w:hAnsi="Sylfaen" w:cs="Times New Roman"/>
                <w:sz w:val="24"/>
                <w:szCs w:val="24"/>
              </w:rPr>
            </w:pPr>
            <w:r w:rsidRPr="00834D52">
              <w:rPr>
                <w:rFonts w:ascii="Sylfaen" w:hAnsi="Sylfaen"/>
                <w:sz w:val="24"/>
                <w:szCs w:val="24"/>
              </w:rPr>
              <w:t>Երկիրը</w:t>
            </w:r>
          </w:p>
        </w:tc>
        <w:tc>
          <w:tcPr>
            <w:tcW w:w="1857" w:type="dxa"/>
            <w:tcBorders>
              <w:top w:val="single" w:sz="4" w:space="0" w:color="000000"/>
              <w:left w:val="single" w:sz="4" w:space="0" w:color="000000"/>
              <w:bottom w:val="single" w:sz="4" w:space="0" w:color="000000"/>
              <w:right w:val="single" w:sz="4" w:space="0" w:color="000000"/>
            </w:tcBorders>
            <w:vAlign w:val="center"/>
          </w:tcPr>
          <w:p w14:paraId="492BBA51" w14:textId="77777777" w:rsidR="006F76EB" w:rsidRPr="00834D52" w:rsidRDefault="006F76EB" w:rsidP="007902F3">
            <w:pPr>
              <w:spacing w:after="120" w:line="240" w:lineRule="auto"/>
              <w:ind w:left="50" w:right="-6"/>
              <w:jc w:val="center"/>
              <w:rPr>
                <w:rFonts w:ascii="Sylfaen" w:eastAsia="Times New Roman" w:hAnsi="Sylfaen" w:cs="Times New Roman"/>
                <w:sz w:val="24"/>
                <w:szCs w:val="24"/>
              </w:rPr>
            </w:pPr>
            <w:r w:rsidRPr="00834D52">
              <w:rPr>
                <w:rFonts w:ascii="Sylfaen" w:hAnsi="Sylfaen"/>
                <w:sz w:val="24"/>
                <w:szCs w:val="24"/>
              </w:rPr>
              <w:t>Ժամկետը</w:t>
            </w:r>
          </w:p>
        </w:tc>
        <w:tc>
          <w:tcPr>
            <w:tcW w:w="1654" w:type="dxa"/>
            <w:tcBorders>
              <w:top w:val="single" w:sz="4" w:space="0" w:color="000000"/>
              <w:left w:val="single" w:sz="4" w:space="0" w:color="000000"/>
              <w:bottom w:val="single" w:sz="4" w:space="0" w:color="000000"/>
              <w:right w:val="single" w:sz="4" w:space="0" w:color="000000"/>
            </w:tcBorders>
            <w:vAlign w:val="center"/>
          </w:tcPr>
          <w:p w14:paraId="2D977F88" w14:textId="77777777" w:rsidR="006F76EB" w:rsidRPr="00834D52" w:rsidRDefault="006F76EB" w:rsidP="007902F3">
            <w:pPr>
              <w:spacing w:after="120" w:line="240" w:lineRule="auto"/>
              <w:ind w:left="50" w:right="-6"/>
              <w:jc w:val="center"/>
              <w:rPr>
                <w:rFonts w:ascii="Sylfaen" w:eastAsia="Times New Roman" w:hAnsi="Sylfaen" w:cs="Times New Roman"/>
                <w:sz w:val="24"/>
                <w:szCs w:val="24"/>
              </w:rPr>
            </w:pPr>
            <w:r w:rsidRPr="00834D52">
              <w:rPr>
                <w:rFonts w:ascii="Sylfaen" w:hAnsi="Sylfaen"/>
                <w:sz w:val="24"/>
                <w:szCs w:val="24"/>
              </w:rPr>
              <w:t>Ամսաթիվը</w:t>
            </w:r>
          </w:p>
        </w:tc>
      </w:tr>
      <w:tr w:rsidR="006F76EB" w:rsidRPr="00834D52" w14:paraId="4FB91022" w14:textId="77777777" w:rsidTr="00D4123F">
        <w:trPr>
          <w:trHeight w:val="532"/>
        </w:trPr>
        <w:tc>
          <w:tcPr>
            <w:tcW w:w="2762" w:type="dxa"/>
            <w:tcBorders>
              <w:top w:val="single" w:sz="4" w:space="0" w:color="000000"/>
              <w:left w:val="single" w:sz="4" w:space="0" w:color="000000"/>
              <w:bottom w:val="single" w:sz="4" w:space="0" w:color="000000"/>
              <w:right w:val="single" w:sz="4" w:space="0" w:color="000000"/>
            </w:tcBorders>
          </w:tcPr>
          <w:p w14:paraId="4892603A" w14:textId="77777777" w:rsidR="006F76EB" w:rsidRPr="00834D52" w:rsidRDefault="006F76EB" w:rsidP="007902F3">
            <w:pPr>
              <w:spacing w:after="120" w:line="240" w:lineRule="auto"/>
              <w:ind w:left="187" w:right="-6"/>
              <w:rPr>
                <w:rFonts w:ascii="Sylfaen" w:hAnsi="Sylfaen"/>
                <w:sz w:val="24"/>
                <w:szCs w:val="24"/>
              </w:rPr>
            </w:pPr>
          </w:p>
        </w:tc>
        <w:tc>
          <w:tcPr>
            <w:tcW w:w="1431" w:type="dxa"/>
            <w:tcBorders>
              <w:top w:val="single" w:sz="4" w:space="0" w:color="000000"/>
              <w:left w:val="single" w:sz="4" w:space="0" w:color="000000"/>
              <w:bottom w:val="single" w:sz="4" w:space="0" w:color="000000"/>
              <w:right w:val="single" w:sz="4" w:space="0" w:color="000000"/>
            </w:tcBorders>
          </w:tcPr>
          <w:p w14:paraId="32825D59" w14:textId="77777777" w:rsidR="006F76EB" w:rsidRPr="00834D52" w:rsidRDefault="006F76EB" w:rsidP="007902F3">
            <w:pPr>
              <w:spacing w:after="120" w:line="240" w:lineRule="auto"/>
              <w:ind w:right="-6"/>
              <w:rPr>
                <w:rFonts w:ascii="Sylfaen" w:hAnsi="Sylfae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4E43F5B9" w14:textId="77777777" w:rsidR="006F76EB" w:rsidRPr="00834D52" w:rsidRDefault="006F76EB" w:rsidP="007902F3">
            <w:pPr>
              <w:spacing w:after="120" w:line="240" w:lineRule="auto"/>
              <w:ind w:right="-6"/>
              <w:rPr>
                <w:rFonts w:ascii="Sylfaen" w:hAnsi="Sylfae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2036A49C" w14:textId="77777777" w:rsidR="006F76EB" w:rsidRPr="00834D52" w:rsidRDefault="006F76EB" w:rsidP="007902F3">
            <w:pPr>
              <w:spacing w:after="120" w:line="240" w:lineRule="auto"/>
              <w:ind w:right="-6"/>
              <w:rPr>
                <w:rFonts w:ascii="Sylfaen" w:hAnsi="Sylfaen"/>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6B55A573" w14:textId="77777777" w:rsidR="006F76EB" w:rsidRPr="00834D52" w:rsidRDefault="006F76EB" w:rsidP="007902F3">
            <w:pPr>
              <w:spacing w:after="120" w:line="240" w:lineRule="auto"/>
              <w:ind w:right="-6"/>
              <w:rPr>
                <w:rFonts w:ascii="Sylfaen" w:hAnsi="Sylfaen"/>
                <w:sz w:val="24"/>
                <w:szCs w:val="24"/>
              </w:rPr>
            </w:pPr>
          </w:p>
        </w:tc>
      </w:tr>
      <w:tr w:rsidR="006F76EB" w:rsidRPr="00834D52" w14:paraId="4272E72E" w14:textId="77777777" w:rsidTr="00D4123F">
        <w:trPr>
          <w:trHeight w:val="532"/>
        </w:trPr>
        <w:tc>
          <w:tcPr>
            <w:tcW w:w="2762" w:type="dxa"/>
            <w:tcBorders>
              <w:top w:val="single" w:sz="4" w:space="0" w:color="000000"/>
              <w:left w:val="single" w:sz="4" w:space="0" w:color="000000"/>
              <w:bottom w:val="single" w:sz="4" w:space="0" w:color="000000"/>
              <w:right w:val="single" w:sz="4" w:space="0" w:color="000000"/>
            </w:tcBorders>
          </w:tcPr>
          <w:p w14:paraId="09ACBCCD" w14:textId="77777777" w:rsidR="006F76EB" w:rsidRPr="007902F3" w:rsidRDefault="006F76EB" w:rsidP="007902F3">
            <w:pPr>
              <w:spacing w:after="120" w:line="240" w:lineRule="auto"/>
              <w:ind w:left="187" w:right="-6"/>
              <w:rPr>
                <w:rFonts w:ascii="Sylfaen" w:eastAsia="Times New Roman" w:hAnsi="Sylfaen" w:cs="Times New Roman"/>
                <w:sz w:val="24"/>
                <w:szCs w:val="24"/>
                <w:lang w:val="en-US"/>
              </w:rPr>
            </w:pPr>
            <w:r w:rsidRPr="00834D52">
              <w:rPr>
                <w:rFonts w:ascii="Sylfaen" w:hAnsi="Sylfaen"/>
                <w:sz w:val="24"/>
                <w:szCs w:val="24"/>
              </w:rPr>
              <w:t>...</w:t>
            </w:r>
          </w:p>
        </w:tc>
        <w:tc>
          <w:tcPr>
            <w:tcW w:w="1431" w:type="dxa"/>
            <w:tcBorders>
              <w:top w:val="single" w:sz="4" w:space="0" w:color="000000"/>
              <w:left w:val="single" w:sz="4" w:space="0" w:color="000000"/>
              <w:bottom w:val="single" w:sz="4" w:space="0" w:color="000000"/>
              <w:right w:val="single" w:sz="4" w:space="0" w:color="000000"/>
            </w:tcBorders>
          </w:tcPr>
          <w:p w14:paraId="42D3ACC9" w14:textId="77777777" w:rsidR="006F76EB" w:rsidRPr="00834D52" w:rsidRDefault="006F76EB" w:rsidP="007902F3">
            <w:pPr>
              <w:spacing w:after="120" w:line="240" w:lineRule="auto"/>
              <w:ind w:right="-6"/>
              <w:rPr>
                <w:rFonts w:ascii="Sylfaen" w:hAnsi="Sylfaen"/>
                <w:sz w:val="24"/>
                <w:szCs w:val="24"/>
              </w:rPr>
            </w:pPr>
          </w:p>
        </w:tc>
        <w:tc>
          <w:tcPr>
            <w:tcW w:w="1858" w:type="dxa"/>
            <w:tcBorders>
              <w:top w:val="single" w:sz="4" w:space="0" w:color="000000"/>
              <w:left w:val="single" w:sz="4" w:space="0" w:color="000000"/>
              <w:bottom w:val="single" w:sz="4" w:space="0" w:color="000000"/>
              <w:right w:val="single" w:sz="4" w:space="0" w:color="000000"/>
            </w:tcBorders>
          </w:tcPr>
          <w:p w14:paraId="4D986A38" w14:textId="77777777" w:rsidR="006F76EB" w:rsidRPr="00834D52" w:rsidRDefault="006F76EB" w:rsidP="007902F3">
            <w:pPr>
              <w:spacing w:after="120" w:line="240" w:lineRule="auto"/>
              <w:ind w:right="-6"/>
              <w:rPr>
                <w:rFonts w:ascii="Sylfaen" w:hAnsi="Sylfae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6B2FBFF5" w14:textId="77777777" w:rsidR="006F76EB" w:rsidRPr="00834D52" w:rsidRDefault="006F76EB" w:rsidP="007902F3">
            <w:pPr>
              <w:spacing w:after="120" w:line="240" w:lineRule="auto"/>
              <w:ind w:right="-6"/>
              <w:rPr>
                <w:rFonts w:ascii="Sylfaen" w:hAnsi="Sylfaen"/>
                <w:sz w:val="24"/>
                <w:szCs w:val="24"/>
              </w:rPr>
            </w:pPr>
          </w:p>
        </w:tc>
        <w:tc>
          <w:tcPr>
            <w:tcW w:w="1654" w:type="dxa"/>
            <w:tcBorders>
              <w:top w:val="single" w:sz="4" w:space="0" w:color="000000"/>
              <w:left w:val="single" w:sz="4" w:space="0" w:color="000000"/>
              <w:bottom w:val="single" w:sz="4" w:space="0" w:color="000000"/>
              <w:right w:val="single" w:sz="4" w:space="0" w:color="000000"/>
            </w:tcBorders>
          </w:tcPr>
          <w:p w14:paraId="21E3FD23" w14:textId="77777777" w:rsidR="006F76EB" w:rsidRPr="00834D52" w:rsidRDefault="006F76EB" w:rsidP="007902F3">
            <w:pPr>
              <w:spacing w:after="120" w:line="240" w:lineRule="auto"/>
              <w:ind w:right="-6"/>
              <w:rPr>
                <w:rFonts w:ascii="Sylfaen" w:hAnsi="Sylfaen"/>
                <w:sz w:val="24"/>
                <w:szCs w:val="24"/>
              </w:rPr>
            </w:pPr>
          </w:p>
        </w:tc>
      </w:tr>
    </w:tbl>
    <w:p w14:paraId="4D1BA3C8" w14:textId="77777777" w:rsidR="007902F3" w:rsidRDefault="007902F3" w:rsidP="006F76EB">
      <w:pPr>
        <w:spacing w:after="160" w:line="336" w:lineRule="auto"/>
        <w:ind w:right="-6"/>
        <w:jc w:val="center"/>
        <w:rPr>
          <w:rFonts w:ascii="Sylfaen" w:hAnsi="Sylfaen"/>
          <w:sz w:val="24"/>
          <w:szCs w:val="24"/>
          <w:lang w:val="en-US"/>
        </w:rPr>
      </w:pPr>
    </w:p>
    <w:p w14:paraId="386701DA" w14:textId="77777777" w:rsidR="006F76EB" w:rsidRPr="00834D52" w:rsidRDefault="006F76EB" w:rsidP="006F76EB">
      <w:pPr>
        <w:spacing w:after="160" w:line="336" w:lineRule="auto"/>
        <w:ind w:right="-6"/>
        <w:jc w:val="center"/>
        <w:rPr>
          <w:rFonts w:ascii="Sylfaen" w:eastAsia="Times New Roman" w:hAnsi="Sylfaen" w:cs="Times New Roman"/>
          <w:sz w:val="24"/>
          <w:szCs w:val="24"/>
        </w:rPr>
      </w:pPr>
      <w:r w:rsidRPr="00834D52">
        <w:rPr>
          <w:rFonts w:ascii="Sylfaen" w:hAnsi="Sylfaen"/>
          <w:sz w:val="24"/>
          <w:szCs w:val="24"/>
        </w:rPr>
        <w:t>5. Հայտի հավելված</w:t>
      </w:r>
    </w:p>
    <w:p w14:paraId="62BEEBFF" w14:textId="77777777" w:rsidR="006F76EB" w:rsidRPr="00834D52" w:rsidRDefault="006F76EB" w:rsidP="00D4123F">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5.1.</w:t>
      </w:r>
      <w:r w:rsidRPr="00834D52">
        <w:rPr>
          <w:rFonts w:ascii="Sylfaen" w:hAnsi="Sylfaen"/>
          <w:sz w:val="24"/>
          <w:szCs w:val="24"/>
        </w:rPr>
        <w:tab/>
        <w:t xml:space="preserve">Գրանցման հավաստագրի իրավատիրոջ </w:t>
      </w:r>
      <w:r w:rsidR="00C54D75">
        <w:rPr>
          <w:rFonts w:ascii="Sylfaen" w:hAnsi="Sylfaen"/>
          <w:sz w:val="24"/>
          <w:szCs w:val="24"/>
        </w:rPr>
        <w:t>և</w:t>
      </w:r>
      <w:r w:rsidRPr="00834D52">
        <w:rPr>
          <w:rFonts w:ascii="Sylfaen" w:hAnsi="Sylfaen"/>
          <w:sz w:val="24"/>
          <w:szCs w:val="24"/>
        </w:rPr>
        <w:t xml:space="preserve"> հայտատուի անունից իրավաբանորեն նշանակալի գործողություններ կատարելու լիազորագիրը (եթե կիրառելի է):</w:t>
      </w:r>
    </w:p>
    <w:p w14:paraId="517093BE" w14:textId="77777777" w:rsidR="006F76EB" w:rsidRPr="00834D52" w:rsidRDefault="006F76EB" w:rsidP="00D4123F">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5.2.</w:t>
      </w:r>
      <w:r w:rsidRPr="00834D52">
        <w:rPr>
          <w:rFonts w:ascii="Sylfaen" w:hAnsi="Sylfaen"/>
          <w:sz w:val="24"/>
          <w:szCs w:val="24"/>
        </w:rPr>
        <w:tab/>
        <w:t>Դեղապատրաստուկի հազվադեպ կիրառելի (որբ) կարգավիճակը հաստատող փաստաթղթի պատճենը:</w:t>
      </w:r>
    </w:p>
    <w:p w14:paraId="66E0AE65" w14:textId="77777777" w:rsidR="006F76EB" w:rsidRPr="00834D52" w:rsidRDefault="006F76EB" w:rsidP="00D4123F">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5.3.</w:t>
      </w:r>
      <w:r w:rsidRPr="00834D52">
        <w:rPr>
          <w:rFonts w:ascii="Sylfaen" w:hAnsi="Sylfaen"/>
          <w:sz w:val="24"/>
          <w:szCs w:val="24"/>
        </w:rPr>
        <w:tab/>
        <w:t>Գրանցվող դեղապատրաստուկի մասով Եվրասիական տնտեսական միության անդամ պետությունների տարածքում գործող արտոնագրերի պատճենները:</w:t>
      </w:r>
    </w:p>
    <w:p w14:paraId="548F58BE" w14:textId="77777777" w:rsidR="006F76EB" w:rsidRPr="00834D52" w:rsidRDefault="006F76EB" w:rsidP="00D4123F">
      <w:pPr>
        <w:tabs>
          <w:tab w:val="left" w:pos="1134"/>
        </w:tabs>
        <w:spacing w:after="160" w:line="336" w:lineRule="auto"/>
        <w:ind w:right="-8" w:firstLine="567"/>
        <w:jc w:val="both"/>
        <w:rPr>
          <w:rFonts w:ascii="Sylfaen" w:eastAsia="Times New Roman" w:hAnsi="Sylfaen" w:cs="Times New Roman"/>
          <w:sz w:val="24"/>
          <w:szCs w:val="24"/>
        </w:rPr>
      </w:pPr>
      <w:r w:rsidRPr="00834D52">
        <w:rPr>
          <w:rFonts w:ascii="Sylfaen" w:hAnsi="Sylfaen"/>
          <w:sz w:val="24"/>
          <w:szCs w:val="24"/>
        </w:rPr>
        <w:t>5.4.</w:t>
      </w:r>
      <w:r w:rsidRPr="00834D52">
        <w:rPr>
          <w:rFonts w:ascii="Sylfaen" w:hAnsi="Sylfaen"/>
          <w:sz w:val="24"/>
          <w:szCs w:val="24"/>
        </w:rPr>
        <w:tab/>
        <w:t>Հայտատուի գրավոր հաստատումն այն մասին, որ դեղապատրաստուկի գրանցումը չի խախտում երրորդ անձանց` մտավոր սեփականության իրավունքները:</w:t>
      </w:r>
    </w:p>
    <w:p w14:paraId="1A4C5B20" w14:textId="77777777" w:rsidR="006F76EB" w:rsidRPr="00834D52" w:rsidRDefault="006F76EB" w:rsidP="00D4123F">
      <w:pPr>
        <w:tabs>
          <w:tab w:val="left" w:pos="1134"/>
        </w:tabs>
        <w:spacing w:after="160" w:line="336" w:lineRule="auto"/>
        <w:ind w:right="-6" w:firstLine="567"/>
        <w:jc w:val="both"/>
        <w:rPr>
          <w:rFonts w:ascii="Sylfaen" w:eastAsia="Times New Roman" w:hAnsi="Sylfaen" w:cs="Times New Roman"/>
          <w:sz w:val="24"/>
          <w:szCs w:val="24"/>
        </w:rPr>
      </w:pPr>
      <w:r w:rsidRPr="00834D52">
        <w:rPr>
          <w:rFonts w:ascii="Sylfaen" w:hAnsi="Sylfaen"/>
          <w:sz w:val="24"/>
          <w:szCs w:val="24"/>
        </w:rPr>
        <w:t>5.5.</w:t>
      </w:r>
      <w:r w:rsidRPr="00834D52">
        <w:rPr>
          <w:rFonts w:ascii="Sylfaen" w:hAnsi="Sylfaen"/>
          <w:sz w:val="24"/>
          <w:szCs w:val="24"/>
        </w:rPr>
        <w:tab/>
        <w:t>Միության անդամ պետության տարածքում ապրանքային նշանի գրանցման մասին գործող վկայագրի պատճենը:</w:t>
      </w:r>
    </w:p>
    <w:p w14:paraId="7E5095E4" w14:textId="77777777" w:rsidR="006F76EB" w:rsidRDefault="006F76EB" w:rsidP="00D4123F">
      <w:pPr>
        <w:tabs>
          <w:tab w:val="left" w:pos="1134"/>
        </w:tabs>
        <w:spacing w:after="160" w:line="336" w:lineRule="auto"/>
        <w:ind w:right="-6" w:firstLine="567"/>
        <w:jc w:val="both"/>
        <w:rPr>
          <w:rFonts w:ascii="Sylfaen" w:hAnsi="Sylfaen"/>
          <w:sz w:val="24"/>
          <w:szCs w:val="24"/>
        </w:rPr>
        <w:sectPr w:rsidR="006F76EB" w:rsidSect="00F71229">
          <w:footnotePr>
            <w:numRestart w:val="eachPage"/>
          </w:footnotePr>
          <w:pgSz w:w="11920" w:h="16840"/>
          <w:pgMar w:top="1418" w:right="1418" w:bottom="1418" w:left="1418" w:header="738" w:footer="370" w:gutter="0"/>
          <w:pgNumType w:start="16"/>
          <w:cols w:space="720"/>
        </w:sectPr>
      </w:pPr>
      <w:r w:rsidRPr="00834D52">
        <w:rPr>
          <w:rFonts w:ascii="Sylfaen" w:hAnsi="Sylfaen"/>
          <w:sz w:val="24"/>
          <w:szCs w:val="24"/>
        </w:rPr>
        <w:lastRenderedPageBreak/>
        <w:t>5.6.</w:t>
      </w:r>
      <w:r w:rsidRPr="00834D52">
        <w:rPr>
          <w:rFonts w:ascii="Sylfaen" w:hAnsi="Sylfaen"/>
          <w:sz w:val="24"/>
          <w:szCs w:val="24"/>
        </w:rPr>
        <w:tab/>
        <w:t xml:space="preserve">Որակի հսկողության հարցերով լիազորված անձի հայտարարությունն արտադրության՝ Եվրասիական տնտեսական հանձնաժողովի կողմից հաստատվող` Եվրասիական տնտեսական միության պատշաճ արտադրական գործունեության կանոններին, դեղապատրաստուկի </w:t>
      </w:r>
      <w:r w:rsidR="00C54D75">
        <w:rPr>
          <w:rFonts w:ascii="Sylfaen" w:hAnsi="Sylfaen"/>
          <w:sz w:val="24"/>
          <w:szCs w:val="24"/>
        </w:rPr>
        <w:t>և</w:t>
      </w:r>
      <w:r w:rsidRPr="00834D52">
        <w:rPr>
          <w:rFonts w:ascii="Sylfaen" w:hAnsi="Sylfaen"/>
          <w:sz w:val="24"/>
          <w:szCs w:val="24"/>
        </w:rPr>
        <w:t xml:space="preserve"> ԱԴԲ-ի արտադրության գործընթացում օգտագործվող յուրաքանչյուր արտադրական հարթակի համար ելանյութերի առնչությամբ պատշաճ գործունեության ձեռնարկներին համապատասխանության մասին, այդ թվում այն հարթակների, որտեղ իրականացվում է որակի հսկողությունը (արտադրության գործընթացի հսկողությունը): </w:t>
      </w:r>
    </w:p>
    <w:p w14:paraId="74933FAA" w14:textId="77777777" w:rsidR="006F76EB" w:rsidRPr="00834D52" w:rsidRDefault="006F76EB" w:rsidP="006F76EB">
      <w:pPr>
        <w:spacing w:after="160" w:line="360" w:lineRule="auto"/>
        <w:ind w:left="4395" w:right="-8"/>
        <w:jc w:val="center"/>
        <w:rPr>
          <w:rFonts w:ascii="Sylfaen" w:eastAsia="Times New Roman" w:hAnsi="Sylfaen" w:cs="Times New Roman"/>
          <w:sz w:val="24"/>
          <w:szCs w:val="24"/>
        </w:rPr>
      </w:pPr>
      <w:r w:rsidRPr="00834D52">
        <w:rPr>
          <w:rFonts w:ascii="Sylfaen" w:hAnsi="Sylfaen"/>
          <w:sz w:val="24"/>
          <w:szCs w:val="24"/>
        </w:rPr>
        <w:lastRenderedPageBreak/>
        <w:t xml:space="preserve">ՀԱՎԵԼՎԱԾ </w:t>
      </w:r>
      <w:r w:rsidR="001F4516">
        <w:rPr>
          <w:rFonts w:ascii="Sylfaen" w:hAnsi="Sylfaen"/>
          <w:sz w:val="24"/>
          <w:szCs w:val="24"/>
        </w:rPr>
        <w:t xml:space="preserve">ԹԻՎ </w:t>
      </w:r>
      <w:r w:rsidRPr="00834D52">
        <w:rPr>
          <w:rFonts w:ascii="Sylfaen" w:hAnsi="Sylfaen"/>
          <w:sz w:val="24"/>
          <w:szCs w:val="24"/>
        </w:rPr>
        <w:t>3</w:t>
      </w:r>
    </w:p>
    <w:p w14:paraId="4FFE5611" w14:textId="77777777" w:rsidR="006F76EB" w:rsidRPr="00834D52" w:rsidRDefault="006F76EB" w:rsidP="006F76EB">
      <w:pPr>
        <w:spacing w:after="160" w:line="360" w:lineRule="auto"/>
        <w:ind w:left="4395" w:right="-8"/>
        <w:jc w:val="center"/>
        <w:rPr>
          <w:rFonts w:ascii="Sylfaen" w:eastAsia="Times New Roman" w:hAnsi="Sylfaen" w:cs="Times New Roman"/>
          <w:sz w:val="24"/>
          <w:szCs w:val="24"/>
        </w:rPr>
      </w:pPr>
      <w:r w:rsidRPr="00834D52">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w:t>
      </w:r>
    </w:p>
    <w:p w14:paraId="6B38A702" w14:textId="77777777" w:rsidR="006F76EB" w:rsidRPr="00834D52" w:rsidRDefault="006F76EB" w:rsidP="006F76EB">
      <w:pPr>
        <w:spacing w:after="160" w:line="360" w:lineRule="auto"/>
        <w:ind w:right="-8"/>
        <w:jc w:val="center"/>
        <w:rPr>
          <w:rFonts w:ascii="Sylfaen" w:hAnsi="Sylfaen"/>
          <w:sz w:val="24"/>
          <w:szCs w:val="24"/>
        </w:rPr>
      </w:pPr>
    </w:p>
    <w:p w14:paraId="776BF9F3" w14:textId="77777777" w:rsidR="006F76EB" w:rsidRPr="00834D52" w:rsidRDefault="006F76EB" w:rsidP="006F76EB">
      <w:pPr>
        <w:spacing w:after="160" w:line="360" w:lineRule="auto"/>
        <w:ind w:left="567" w:right="567"/>
        <w:jc w:val="center"/>
        <w:rPr>
          <w:rFonts w:ascii="Sylfaen" w:eastAsia="Times New Roman" w:hAnsi="Sylfaen" w:cs="Times New Roman"/>
          <w:sz w:val="24"/>
          <w:szCs w:val="24"/>
        </w:rPr>
      </w:pPr>
      <w:r w:rsidRPr="00834D52">
        <w:rPr>
          <w:rFonts w:ascii="Sylfaen" w:hAnsi="Sylfaen"/>
          <w:b/>
          <w:sz w:val="24"/>
          <w:szCs w:val="24"/>
        </w:rPr>
        <w:t>ՑՈՒՑՈՒՄՆԵՐ</w:t>
      </w:r>
    </w:p>
    <w:p w14:paraId="0460D3CB" w14:textId="77777777" w:rsidR="006F76EB" w:rsidRPr="00834D52" w:rsidRDefault="006F76EB" w:rsidP="006F76EB">
      <w:pPr>
        <w:spacing w:after="160" w:line="360" w:lineRule="auto"/>
        <w:ind w:left="567" w:right="567"/>
        <w:jc w:val="center"/>
        <w:rPr>
          <w:rFonts w:ascii="Sylfaen" w:eastAsia="Times New Roman" w:hAnsi="Sylfaen" w:cs="Times New Roman"/>
          <w:sz w:val="24"/>
          <w:szCs w:val="24"/>
        </w:rPr>
      </w:pPr>
      <w:r w:rsidRPr="00834D52">
        <w:rPr>
          <w:rFonts w:ascii="Sylfaen" w:hAnsi="Sylfaen"/>
          <w:b/>
          <w:sz w:val="24"/>
          <w:szCs w:val="24"/>
        </w:rPr>
        <w:t xml:space="preserve">Որակի </w:t>
      </w:r>
      <w:r w:rsidR="00C64C1C">
        <w:rPr>
          <w:rFonts w:ascii="Sylfaen" w:hAnsi="Sylfaen"/>
          <w:b/>
          <w:sz w:val="24"/>
          <w:szCs w:val="24"/>
        </w:rPr>
        <w:t xml:space="preserve">վերաբերյալ </w:t>
      </w:r>
      <w:r w:rsidRPr="00834D52">
        <w:rPr>
          <w:rFonts w:ascii="Sylfaen" w:hAnsi="Sylfaen"/>
          <w:b/>
          <w:sz w:val="24"/>
          <w:szCs w:val="24"/>
        </w:rPr>
        <w:t>նորմատիվ փաստաթղթի կազմման, որն ուղեկցում է դեղապատրաստուկի գրանցման հայտին</w:t>
      </w:r>
    </w:p>
    <w:p w14:paraId="11A9D79C" w14:textId="77777777" w:rsidR="006F76EB" w:rsidRPr="00834D52" w:rsidRDefault="006F76EB" w:rsidP="006F76EB">
      <w:pPr>
        <w:spacing w:after="160" w:line="360" w:lineRule="auto"/>
        <w:ind w:right="-8" w:firstLine="567"/>
        <w:jc w:val="both"/>
        <w:rPr>
          <w:rFonts w:ascii="Sylfaen" w:hAnsi="Sylfaen"/>
          <w:sz w:val="24"/>
          <w:szCs w:val="24"/>
        </w:rPr>
      </w:pPr>
    </w:p>
    <w:p w14:paraId="3BC12C6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Որակի հսկողության նորմատիվ փաստաթղթերի (այսուհետ` ՆՓ) նախագիծը պետք է ներառի 8 բաժիններ`</w:t>
      </w:r>
    </w:p>
    <w:p w14:paraId="7CD03B42" w14:textId="77777777" w:rsidR="006F76EB" w:rsidRPr="00834D52" w:rsidRDefault="006F76EB" w:rsidP="009B75EA">
      <w:pPr>
        <w:pStyle w:val="ListParagraph"/>
        <w:numPr>
          <w:ilvl w:val="0"/>
          <w:numId w:val="2"/>
        </w:numPr>
        <w:tabs>
          <w:tab w:val="left" w:pos="1134"/>
        </w:tabs>
        <w:spacing w:after="160" w:line="360" w:lineRule="auto"/>
        <w:ind w:left="0" w:right="-8" w:firstLine="567"/>
        <w:contextualSpacing w:val="0"/>
        <w:jc w:val="both"/>
        <w:rPr>
          <w:rFonts w:ascii="Sylfaen" w:eastAsia="Times New Roman" w:hAnsi="Sylfaen" w:cs="Times New Roman"/>
          <w:sz w:val="24"/>
          <w:szCs w:val="24"/>
        </w:rPr>
      </w:pPr>
      <w:r w:rsidRPr="00834D52">
        <w:rPr>
          <w:rFonts w:ascii="Sylfaen" w:hAnsi="Sylfaen" w:cs="Arial"/>
          <w:sz w:val="24"/>
          <w:szCs w:val="24"/>
        </w:rPr>
        <w:t>Ամփոփաթերթը</w:t>
      </w:r>
      <w:r w:rsidRPr="00834D52">
        <w:rPr>
          <w:rFonts w:ascii="Sylfaen" w:hAnsi="Sylfaen"/>
          <w:sz w:val="24"/>
          <w:szCs w:val="24"/>
        </w:rPr>
        <w:t>, ներառյալ`</w:t>
      </w:r>
    </w:p>
    <w:p w14:paraId="5B7E51C1"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դեղապատրաստուկի անվանումը (ապրանքային անվանումը </w:t>
      </w:r>
      <w:r w:rsidR="00C54D75">
        <w:rPr>
          <w:rFonts w:ascii="Sylfaen" w:hAnsi="Sylfaen"/>
          <w:sz w:val="24"/>
          <w:szCs w:val="24"/>
        </w:rPr>
        <w:t>և</w:t>
      </w:r>
      <w:r w:rsidRPr="00834D52">
        <w:rPr>
          <w:rFonts w:ascii="Sylfaen" w:hAnsi="Sylfaen"/>
          <w:sz w:val="24"/>
          <w:szCs w:val="24"/>
        </w:rPr>
        <w:t xml:space="preserve"> ՄՉԱ-ն, դրա բացակայության դեպքում` համընդհանուր (խմբային) անվանումը, վերջինիս բացակայության դեպքում` քիմիական անվանումը),</w:t>
      </w:r>
    </w:p>
    <w:p w14:paraId="18133FD8"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ը,</w:t>
      </w:r>
    </w:p>
    <w:p w14:paraId="3584F612"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դեղաչափը,</w:t>
      </w:r>
    </w:p>
    <w:p w14:paraId="48E0D7A5"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իրավատիրոջ </w:t>
      </w:r>
      <w:r w:rsidR="00C54D75">
        <w:rPr>
          <w:rFonts w:ascii="Sylfaen" w:hAnsi="Sylfaen"/>
          <w:sz w:val="24"/>
          <w:szCs w:val="24"/>
        </w:rPr>
        <w:t>և</w:t>
      </w:r>
      <w:r w:rsidRPr="00834D52">
        <w:rPr>
          <w:rFonts w:ascii="Sylfaen" w:hAnsi="Sylfaen"/>
          <w:sz w:val="24"/>
          <w:szCs w:val="24"/>
        </w:rPr>
        <w:t xml:space="preserve"> երկրի անվանումը,</w:t>
      </w:r>
    </w:p>
    <w:p w14:paraId="74BDBD3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ՆՓ համարի նշման համար դաշտ (նշվում է </w:t>
      </w:r>
      <w:r w:rsidR="0032680A">
        <w:rPr>
          <w:rFonts w:ascii="Sylfaen" w:hAnsi="Sylfaen"/>
          <w:sz w:val="24"/>
          <w:szCs w:val="24"/>
        </w:rPr>
        <w:t xml:space="preserve">ռեֆերենտ </w:t>
      </w:r>
      <w:r w:rsidRPr="00834D52">
        <w:rPr>
          <w:rFonts w:ascii="Sylfaen" w:hAnsi="Sylfaen"/>
          <w:sz w:val="24"/>
          <w:szCs w:val="24"/>
        </w:rPr>
        <w:t>պետության կողմից տրված գրանցման հավաստագրի համարի ձ</w:t>
      </w:r>
      <w:r w:rsidR="00C54D75">
        <w:rPr>
          <w:rFonts w:ascii="Sylfaen" w:hAnsi="Sylfaen"/>
          <w:sz w:val="24"/>
          <w:szCs w:val="24"/>
        </w:rPr>
        <w:t>և</w:t>
      </w:r>
      <w:r w:rsidRPr="00834D52">
        <w:rPr>
          <w:rFonts w:ascii="Sylfaen" w:hAnsi="Sylfaen"/>
          <w:sz w:val="24"/>
          <w:szCs w:val="24"/>
        </w:rPr>
        <w:t xml:space="preserve">ով </w:t>
      </w:r>
      <w:r w:rsidR="00C54D75">
        <w:rPr>
          <w:rFonts w:ascii="Sylfaen" w:hAnsi="Sylfaen"/>
          <w:sz w:val="24"/>
          <w:szCs w:val="24"/>
        </w:rPr>
        <w:t>և</w:t>
      </w:r>
      <w:r w:rsidRPr="00834D52">
        <w:rPr>
          <w:rFonts w:ascii="Sylfaen" w:hAnsi="Sylfaen"/>
          <w:sz w:val="24"/>
          <w:szCs w:val="24"/>
        </w:rPr>
        <w:t xml:space="preserve"> ՕՕ.ԱԱ.ՏՏՏՏ ձ</w:t>
      </w:r>
      <w:r w:rsidR="00C54D75">
        <w:rPr>
          <w:rFonts w:ascii="Sylfaen" w:hAnsi="Sylfaen"/>
          <w:sz w:val="24"/>
          <w:szCs w:val="24"/>
        </w:rPr>
        <w:t>և</w:t>
      </w:r>
      <w:r w:rsidRPr="00834D52">
        <w:rPr>
          <w:rFonts w:ascii="Sylfaen" w:hAnsi="Sylfaen"/>
          <w:sz w:val="24"/>
          <w:szCs w:val="24"/>
        </w:rPr>
        <w:t>աչափով գրանցման ամսաթիվը, որը նշվում է միացման գծիկով),</w:t>
      </w:r>
    </w:p>
    <w:p w14:paraId="2E11C75F"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համաձայնեցման գրիֆը:</w:t>
      </w:r>
    </w:p>
    <w:p w14:paraId="7B1A44E0" w14:textId="77777777" w:rsidR="006F76EB" w:rsidRPr="00834D52" w:rsidRDefault="006F76EB" w:rsidP="009B75E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2.</w:t>
      </w:r>
      <w:r w:rsidRPr="00834D52">
        <w:rPr>
          <w:rFonts w:ascii="Sylfaen" w:hAnsi="Sylfaen"/>
          <w:sz w:val="24"/>
          <w:szCs w:val="24"/>
        </w:rPr>
        <w:tab/>
        <w:t xml:space="preserve">Դեղապատրաստուկի բաղադրությունը նշվում է ՆՓ առանձին բաժնում գրանցման դոսյեի 3-րդ մոդուլի 3.2.Р.5.1 բաժնին համապատասխան (առանց նշելու ֆունկցիոնալ նշանակությունը) `որպես դեղագործական բաղադրամասի </w:t>
      </w:r>
      <w:r w:rsidR="00C54D75">
        <w:rPr>
          <w:rFonts w:ascii="Sylfaen" w:hAnsi="Sylfaen"/>
          <w:sz w:val="24"/>
          <w:szCs w:val="24"/>
        </w:rPr>
        <w:t>և</w:t>
      </w:r>
      <w:r w:rsidRPr="00834D52">
        <w:rPr>
          <w:rFonts w:ascii="Sylfaen" w:hAnsi="Sylfaen"/>
          <w:sz w:val="24"/>
          <w:szCs w:val="24"/>
        </w:rPr>
        <w:t xml:space="preserve"> </w:t>
      </w:r>
      <w:r w:rsidRPr="00834D52">
        <w:rPr>
          <w:rFonts w:ascii="Sylfaen" w:hAnsi="Sylfaen"/>
          <w:sz w:val="24"/>
          <w:szCs w:val="24"/>
        </w:rPr>
        <w:lastRenderedPageBreak/>
        <w:t xml:space="preserve">օժանդակ նյութերի քանակական </w:t>
      </w:r>
      <w:r w:rsidR="00C54D75">
        <w:rPr>
          <w:rFonts w:ascii="Sylfaen" w:hAnsi="Sylfaen"/>
          <w:sz w:val="24"/>
          <w:szCs w:val="24"/>
        </w:rPr>
        <w:t>և</w:t>
      </w:r>
      <w:r w:rsidRPr="00834D52">
        <w:rPr>
          <w:rFonts w:ascii="Sylfaen" w:hAnsi="Sylfaen"/>
          <w:sz w:val="24"/>
          <w:szCs w:val="24"/>
        </w:rPr>
        <w:t xml:space="preserve"> որակական բաղադրության ցուցում` դրանց որակը կարգավորող դեղագրքին կամ նորմատիվ փաստաթղթերին արված հղումներով: </w:t>
      </w:r>
    </w:p>
    <w:p w14:paraId="39D13C83" w14:textId="77777777" w:rsidR="006F76EB" w:rsidRPr="00834D52" w:rsidRDefault="006F76EB" w:rsidP="009B75EA">
      <w:pPr>
        <w:tabs>
          <w:tab w:val="left" w:pos="1134"/>
        </w:tabs>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3.</w:t>
      </w:r>
      <w:r w:rsidRPr="00834D52">
        <w:rPr>
          <w:rFonts w:ascii="Sylfaen" w:hAnsi="Sylfaen"/>
          <w:sz w:val="24"/>
          <w:szCs w:val="24"/>
        </w:rPr>
        <w:tab/>
        <w:t>Մասնագիրը (գրանցման դոսյեի 3-րդ մոդուլի 3.2.Р.5.1 բաժնին համապատասխան)՝ 3 սյունակներից բաղկացած աղյուսակի տեսքով՝</w:t>
      </w:r>
    </w:p>
    <w:p w14:paraId="2B0B403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որակի բոլոր ցուցանիշների ցանկը,</w:t>
      </w:r>
    </w:p>
    <w:p w14:paraId="69AC250C"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նորմաները (թույլատրելի շեմերը),</w:t>
      </w:r>
    </w:p>
    <w:p w14:paraId="0C1622BE"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փորձարկման մեթոդներին արված հղումները:</w:t>
      </w:r>
    </w:p>
    <w:p w14:paraId="483F7D48" w14:textId="77777777" w:rsidR="006F76EB" w:rsidRPr="00834D52" w:rsidRDefault="006F76EB" w:rsidP="006F76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Որակի ցուցանիշները պետք է սահմանվեն Եվրասիական տնտեսական միության դեղագրքի (այսուհետ՝ Միություն) ընդհանուր դեղագրքային հոդվածների (մենագրությունների)` դեղաձ</w:t>
      </w:r>
      <w:r w:rsidR="00C54D75">
        <w:rPr>
          <w:rFonts w:ascii="Sylfaen" w:hAnsi="Sylfaen"/>
          <w:sz w:val="24"/>
          <w:szCs w:val="24"/>
        </w:rPr>
        <w:t>և</w:t>
      </w:r>
      <w:r w:rsidRPr="00834D52">
        <w:rPr>
          <w:rFonts w:ascii="Sylfaen" w:hAnsi="Sylfaen"/>
          <w:sz w:val="24"/>
          <w:szCs w:val="24"/>
        </w:rPr>
        <w:t>երին առնչվող պահանջներին համապատասխան` հաշվի առնելով դեղագործական բաղադրամասի բնույթից կախված դեղապատրաստուկի կոնկրետ դեղաձ</w:t>
      </w:r>
      <w:r w:rsidR="00C54D75">
        <w:rPr>
          <w:rFonts w:ascii="Sylfaen" w:hAnsi="Sylfaen"/>
          <w:sz w:val="24"/>
          <w:szCs w:val="24"/>
        </w:rPr>
        <w:t>և</w:t>
      </w:r>
      <w:r w:rsidRPr="00834D52">
        <w:rPr>
          <w:rFonts w:ascii="Sylfaen" w:hAnsi="Sylfaen"/>
          <w:sz w:val="24"/>
          <w:szCs w:val="24"/>
        </w:rPr>
        <w:t xml:space="preserve">երի առանձնահատկությունները, </w:t>
      </w:r>
      <w:r w:rsidR="00C54D75">
        <w:rPr>
          <w:rFonts w:ascii="Sylfaen" w:hAnsi="Sylfaen"/>
          <w:sz w:val="24"/>
          <w:szCs w:val="24"/>
        </w:rPr>
        <w:t>և</w:t>
      </w:r>
      <w:r w:rsidRPr="00834D52">
        <w:rPr>
          <w:rFonts w:ascii="Sylfaen" w:hAnsi="Sylfaen"/>
          <w:sz w:val="24"/>
          <w:szCs w:val="24"/>
        </w:rPr>
        <w:t xml:space="preserve"> սույն փաստաթղթին համապատասխան:</w:t>
      </w:r>
    </w:p>
    <w:p w14:paraId="46B61E14" w14:textId="77777777" w:rsidR="006F76EB" w:rsidRPr="00834D52" w:rsidRDefault="006F76EB" w:rsidP="006F76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Մասնագրում որակի ցուցանիշների անվանումը նշվում է Եվրասիական տնտեսական միության դեղագրքին համապատասխան:</w:t>
      </w:r>
    </w:p>
    <w:p w14:paraId="53ACC6D2" w14:textId="77777777" w:rsidR="006F76EB" w:rsidRPr="00834D52" w:rsidRDefault="006F76EB" w:rsidP="006F76EB">
      <w:pPr>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Եթե առանձին ցուցանիշների մասով փորձարկումն իրականացվում է ընտրանքային կարգով կամ սահմանված պարբերականությամբ, ապա մասնագրում սահմանվում է փորձարկման ընտրողականությունը </w:t>
      </w:r>
      <w:r w:rsidR="00C54D75">
        <w:rPr>
          <w:rFonts w:ascii="Sylfaen" w:hAnsi="Sylfaen"/>
          <w:sz w:val="24"/>
          <w:szCs w:val="24"/>
        </w:rPr>
        <w:t>և</w:t>
      </w:r>
      <w:r w:rsidRPr="00834D52">
        <w:rPr>
          <w:rFonts w:ascii="Sylfaen" w:hAnsi="Sylfaen"/>
          <w:sz w:val="24"/>
          <w:szCs w:val="24"/>
        </w:rPr>
        <w:t xml:space="preserve"> պարբերականությունը:</w:t>
      </w:r>
    </w:p>
    <w:p w14:paraId="26545329" w14:textId="77777777" w:rsidR="006F76EB" w:rsidRPr="00834D52" w:rsidRDefault="006F76EB" w:rsidP="009B75EA">
      <w:pPr>
        <w:tabs>
          <w:tab w:val="left" w:pos="1134"/>
        </w:tabs>
        <w:spacing w:after="160" w:line="384" w:lineRule="auto"/>
        <w:ind w:right="-6" w:firstLine="567"/>
        <w:jc w:val="both"/>
        <w:rPr>
          <w:rFonts w:ascii="Sylfaen" w:eastAsia="Times New Roman" w:hAnsi="Sylfaen" w:cs="Times New Roman"/>
          <w:sz w:val="24"/>
          <w:szCs w:val="24"/>
        </w:rPr>
      </w:pPr>
      <w:r w:rsidRPr="00834D52">
        <w:rPr>
          <w:rFonts w:ascii="Sylfaen" w:hAnsi="Sylfaen"/>
          <w:sz w:val="24"/>
          <w:szCs w:val="24"/>
        </w:rPr>
        <w:t>4.</w:t>
      </w:r>
      <w:r w:rsidRPr="00834D52">
        <w:rPr>
          <w:rFonts w:ascii="Sylfaen" w:hAnsi="Sylfaen"/>
          <w:sz w:val="24"/>
          <w:szCs w:val="24"/>
        </w:rPr>
        <w:tab/>
        <w:t xml:space="preserve">Դեղապատրաստուկի փորձարկման մեթոդների </w:t>
      </w:r>
      <w:r w:rsidR="00C54D75">
        <w:rPr>
          <w:rFonts w:ascii="Sylfaen" w:hAnsi="Sylfaen"/>
          <w:sz w:val="24"/>
          <w:szCs w:val="24"/>
        </w:rPr>
        <w:t>և</w:t>
      </w:r>
      <w:r w:rsidRPr="00834D52">
        <w:rPr>
          <w:rFonts w:ascii="Sylfaen" w:hAnsi="Sylfaen"/>
          <w:sz w:val="24"/>
          <w:szCs w:val="24"/>
        </w:rPr>
        <w:t xml:space="preserve"> մեթոդիկաների իրականացման մանրամասն նկարագրությունը՝ որակի մասնագրի բոլոր ցուցանիշների մասով, Միության դեղագրքին արված հղումներով (եթե կիրառելի է) իրականացվում է գրանցման դոսյեի 3-րդ մոդուլի 3.2.Р.5.2 բաժնին համապատասխան: </w:t>
      </w:r>
    </w:p>
    <w:p w14:paraId="0C0722D1" w14:textId="77777777" w:rsidR="006F76EB" w:rsidRPr="009B75EA" w:rsidRDefault="006F76EB" w:rsidP="009B75EA">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lastRenderedPageBreak/>
        <w:t>5.</w:t>
      </w:r>
      <w:r w:rsidRPr="009B75EA">
        <w:rPr>
          <w:rFonts w:ascii="Sylfaen" w:hAnsi="Sylfaen"/>
          <w:sz w:val="24"/>
          <w:szCs w:val="24"/>
        </w:rPr>
        <w:tab/>
        <w:t xml:space="preserve">ՆՓ-ի «Փաթեթվածք» բաժնում նկարագրվում են առաջնային փաթեթվածքը (ամպուլաներ, սրվակներ, բանկաներ, փաթեթներ </w:t>
      </w:r>
      <w:r w:rsidR="00C54D75">
        <w:rPr>
          <w:rFonts w:ascii="Sylfaen" w:hAnsi="Sylfaen"/>
          <w:sz w:val="24"/>
          <w:szCs w:val="24"/>
        </w:rPr>
        <w:t>և</w:t>
      </w:r>
      <w:r w:rsidRPr="009B75EA">
        <w:rPr>
          <w:rFonts w:ascii="Sylfaen" w:hAnsi="Sylfaen"/>
          <w:sz w:val="24"/>
          <w:szCs w:val="24"/>
        </w:rPr>
        <w:t xml:space="preserve"> այլն), առաջնային փաթեթվածքում միավոր արտադրանքի քանակը (օրինակ` ուրվագծային բջջային (բլիստերային) կամ ոչ բջջային (ոչ բլիստերային) փաթեթվածքում դեղահաբերի քանակը), միջանկյալ, երկրորդային (սպառողական) փաթեթվածքը </w:t>
      </w:r>
      <w:r w:rsidR="00C54D75">
        <w:rPr>
          <w:rFonts w:ascii="Sylfaen" w:hAnsi="Sylfaen"/>
          <w:sz w:val="24"/>
          <w:szCs w:val="24"/>
        </w:rPr>
        <w:t>և</w:t>
      </w:r>
      <w:r w:rsidRPr="009B75EA">
        <w:rPr>
          <w:rFonts w:ascii="Sylfaen" w:hAnsi="Sylfaen"/>
          <w:sz w:val="24"/>
          <w:szCs w:val="24"/>
        </w:rPr>
        <w:t xml:space="preserve"> դրանում առաջնային փաթեթվածքների քանակը (օրինակ` երկրորդային փաթեթվածքում ուրվագծային բջջային փաթեթվածքների քանակը), խոնավության կլանիչի, ներդիր թերթիկի (բժշկական կիրառման հրահանգի) առկայությունը, լրակազմությունը (ասեղ, կաթոցիչ, սեղմակ </w:t>
      </w:r>
      <w:r w:rsidR="00C54D75">
        <w:rPr>
          <w:rFonts w:ascii="Sylfaen" w:hAnsi="Sylfaen"/>
          <w:sz w:val="24"/>
          <w:szCs w:val="24"/>
        </w:rPr>
        <w:t>և</w:t>
      </w:r>
      <w:r w:rsidRPr="009B75EA">
        <w:rPr>
          <w:rFonts w:ascii="Sylfaen" w:hAnsi="Sylfaen"/>
          <w:sz w:val="24"/>
          <w:szCs w:val="24"/>
        </w:rPr>
        <w:t xml:space="preserve"> այլն) </w:t>
      </w:r>
      <w:r w:rsidR="00C54D75">
        <w:rPr>
          <w:rFonts w:ascii="Sylfaen" w:hAnsi="Sylfaen"/>
          <w:sz w:val="24"/>
          <w:szCs w:val="24"/>
        </w:rPr>
        <w:t>և</w:t>
      </w:r>
      <w:r w:rsidRPr="009B75EA">
        <w:rPr>
          <w:rFonts w:ascii="Sylfaen" w:hAnsi="Sylfaen"/>
          <w:sz w:val="24"/>
          <w:szCs w:val="24"/>
        </w:rPr>
        <w:t xml:space="preserve"> այլն:</w:t>
      </w:r>
    </w:p>
    <w:p w14:paraId="08CF5404" w14:textId="77777777" w:rsidR="006F76EB" w:rsidRPr="009B75EA" w:rsidRDefault="006F76EB" w:rsidP="009B75EA">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6.</w:t>
      </w:r>
      <w:r w:rsidRPr="00834D52">
        <w:rPr>
          <w:rFonts w:ascii="Sylfaen" w:hAnsi="Sylfaen"/>
          <w:sz w:val="24"/>
          <w:szCs w:val="24"/>
        </w:rPr>
        <w:tab/>
        <w:t>ՆՓ-ի «Մականշվածք» բաժնում հղում է բերվում գրանցման դոսյեի 1-ին մոդուլի 1.3.2. բաժնին:</w:t>
      </w:r>
    </w:p>
    <w:p w14:paraId="14D6D7C0" w14:textId="77777777" w:rsidR="006F76EB" w:rsidRPr="009B75EA" w:rsidRDefault="006F76EB" w:rsidP="009B75EA">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7.</w:t>
      </w:r>
      <w:r w:rsidRPr="00834D52">
        <w:rPr>
          <w:rFonts w:ascii="Sylfaen" w:hAnsi="Sylfaen"/>
          <w:sz w:val="24"/>
          <w:szCs w:val="24"/>
        </w:rPr>
        <w:tab/>
        <w:t>Պահման պայմանները:</w:t>
      </w:r>
    </w:p>
    <w:p w14:paraId="111FA05E" w14:textId="77777777" w:rsidR="006F76EB" w:rsidRDefault="006F76EB" w:rsidP="009B75EA">
      <w:pPr>
        <w:tabs>
          <w:tab w:val="left" w:pos="1134"/>
        </w:tabs>
        <w:spacing w:after="160" w:line="384" w:lineRule="auto"/>
        <w:ind w:right="-6" w:firstLine="567"/>
        <w:jc w:val="both"/>
        <w:rPr>
          <w:rFonts w:ascii="Sylfaen" w:hAnsi="Sylfaen"/>
          <w:sz w:val="24"/>
          <w:szCs w:val="24"/>
        </w:rPr>
      </w:pPr>
      <w:r w:rsidRPr="00834D52">
        <w:rPr>
          <w:rFonts w:ascii="Sylfaen" w:hAnsi="Sylfaen"/>
          <w:sz w:val="24"/>
          <w:szCs w:val="24"/>
        </w:rPr>
        <w:t>8.</w:t>
      </w:r>
      <w:r w:rsidRPr="00834D52">
        <w:rPr>
          <w:rFonts w:ascii="Sylfaen" w:hAnsi="Sylfaen"/>
          <w:sz w:val="24"/>
          <w:szCs w:val="24"/>
        </w:rPr>
        <w:tab/>
        <w:t>Պիտանիության (պահման) ժամկետը:</w:t>
      </w:r>
    </w:p>
    <w:p w14:paraId="0557F1CC" w14:textId="77777777" w:rsidR="00974276" w:rsidRPr="00834D52" w:rsidRDefault="00974276" w:rsidP="00974276">
      <w:pPr>
        <w:tabs>
          <w:tab w:val="left" w:pos="1134"/>
        </w:tabs>
        <w:spacing w:after="160" w:line="384" w:lineRule="auto"/>
        <w:ind w:right="-6" w:firstLine="567"/>
        <w:jc w:val="center"/>
        <w:rPr>
          <w:rFonts w:ascii="Sylfaen" w:eastAsia="Times New Roman" w:hAnsi="Sylfaen" w:cs="Times New Roman"/>
          <w:sz w:val="24"/>
          <w:szCs w:val="24"/>
        </w:rPr>
      </w:pPr>
      <w:r>
        <w:rPr>
          <w:rFonts w:ascii="Sylfaen" w:hAnsi="Sylfaen"/>
          <w:sz w:val="24"/>
          <w:szCs w:val="24"/>
        </w:rPr>
        <w:noBreakHyphen/>
      </w:r>
      <w:r>
        <w:rPr>
          <w:rFonts w:ascii="Sylfaen" w:hAnsi="Sylfaen"/>
          <w:sz w:val="24"/>
          <w:szCs w:val="24"/>
        </w:rPr>
        <w:noBreakHyphen/>
      </w:r>
      <w:r>
        <w:rPr>
          <w:rFonts w:ascii="Sylfaen" w:hAnsi="Sylfaen"/>
          <w:sz w:val="24"/>
          <w:szCs w:val="24"/>
        </w:rPr>
        <w:noBreakHyphen/>
      </w:r>
      <w:r>
        <w:rPr>
          <w:rFonts w:ascii="Sylfaen" w:hAnsi="Sylfaen"/>
          <w:sz w:val="24"/>
          <w:szCs w:val="24"/>
        </w:rPr>
        <w:noBreakHyphen/>
      </w:r>
      <w:r>
        <w:rPr>
          <w:rFonts w:ascii="Sylfaen" w:hAnsi="Sylfaen"/>
          <w:sz w:val="24"/>
          <w:szCs w:val="24"/>
        </w:rPr>
        <w:noBreakHyphen/>
      </w:r>
      <w:r>
        <w:rPr>
          <w:rFonts w:ascii="Sylfaen" w:hAnsi="Sylfaen"/>
          <w:sz w:val="24"/>
          <w:szCs w:val="24"/>
        </w:rPr>
        <w:noBreakHyphen/>
      </w:r>
      <w:r>
        <w:rPr>
          <w:rFonts w:ascii="Sylfaen" w:hAnsi="Sylfaen"/>
          <w:sz w:val="24"/>
          <w:szCs w:val="24"/>
        </w:rPr>
        <w:noBreakHyphen/>
      </w:r>
      <w:r>
        <w:rPr>
          <w:rFonts w:ascii="Sylfaen" w:hAnsi="Sylfaen"/>
          <w:sz w:val="24"/>
          <w:szCs w:val="24"/>
        </w:rPr>
        <w:noBreakHyphen/>
        <w:t>———</w:t>
      </w:r>
    </w:p>
    <w:p w14:paraId="19E3C2B4" w14:textId="77777777" w:rsidR="006F76EB" w:rsidRDefault="006F76EB" w:rsidP="006F76EB">
      <w:pPr>
        <w:widowControl/>
        <w:rPr>
          <w:rFonts w:ascii="Sylfaen" w:hAnsi="Sylfaen"/>
          <w:sz w:val="24"/>
          <w:szCs w:val="24"/>
        </w:rPr>
      </w:pPr>
    </w:p>
    <w:p w14:paraId="51B13195" w14:textId="77777777" w:rsidR="006F76EB" w:rsidRDefault="006F76EB" w:rsidP="006F76EB">
      <w:pPr>
        <w:widowControl/>
        <w:spacing w:after="160" w:line="360" w:lineRule="auto"/>
        <w:rPr>
          <w:rFonts w:ascii="Sylfaen" w:hAnsi="Sylfaen"/>
          <w:sz w:val="24"/>
          <w:szCs w:val="24"/>
        </w:rPr>
        <w:sectPr w:rsidR="006F76EB" w:rsidSect="00F71229">
          <w:pgSz w:w="11920" w:h="16840"/>
          <w:pgMar w:top="1418" w:right="1418" w:bottom="1418" w:left="1418" w:header="738" w:footer="375" w:gutter="0"/>
          <w:pgNumType w:start="1"/>
          <w:cols w:space="720"/>
          <w:titlePg/>
          <w:docGrid w:linePitch="299"/>
        </w:sectPr>
      </w:pPr>
    </w:p>
    <w:p w14:paraId="15C7F1D4" w14:textId="77777777" w:rsidR="006F76EB" w:rsidRPr="00834D52" w:rsidRDefault="006F76EB" w:rsidP="006F76EB">
      <w:pPr>
        <w:spacing w:after="160" w:line="360" w:lineRule="auto"/>
        <w:ind w:left="4536" w:right="-8"/>
        <w:jc w:val="center"/>
        <w:rPr>
          <w:rFonts w:ascii="Sylfaen" w:eastAsia="Times New Roman" w:hAnsi="Sylfaen" w:cs="Times New Roman"/>
          <w:sz w:val="24"/>
          <w:szCs w:val="24"/>
        </w:rPr>
      </w:pPr>
      <w:r w:rsidRPr="00834D52">
        <w:rPr>
          <w:rFonts w:ascii="Sylfaen" w:hAnsi="Sylfaen"/>
          <w:sz w:val="24"/>
          <w:szCs w:val="24"/>
        </w:rPr>
        <w:lastRenderedPageBreak/>
        <w:t xml:space="preserve">ՀԱՎԵԼՎԱԾ </w:t>
      </w:r>
      <w:r w:rsidR="001C09E1">
        <w:rPr>
          <w:rFonts w:ascii="Sylfaen" w:hAnsi="Sylfaen"/>
          <w:sz w:val="24"/>
          <w:szCs w:val="24"/>
        </w:rPr>
        <w:t xml:space="preserve">ԹԻՎ </w:t>
      </w:r>
      <w:r w:rsidRPr="00834D52">
        <w:rPr>
          <w:rFonts w:ascii="Sylfaen" w:hAnsi="Sylfaen"/>
          <w:sz w:val="24"/>
          <w:szCs w:val="24"/>
        </w:rPr>
        <w:t>4</w:t>
      </w:r>
    </w:p>
    <w:p w14:paraId="32951D8B" w14:textId="77777777" w:rsidR="006F76EB" w:rsidRPr="00834D52" w:rsidRDefault="006F76EB" w:rsidP="006F76EB">
      <w:pPr>
        <w:spacing w:after="160" w:line="360" w:lineRule="auto"/>
        <w:ind w:left="4536" w:right="-8"/>
        <w:jc w:val="center"/>
        <w:rPr>
          <w:rFonts w:ascii="Sylfaen" w:eastAsia="Times New Roman" w:hAnsi="Sylfaen" w:cs="Times New Roman"/>
          <w:sz w:val="24"/>
          <w:szCs w:val="24"/>
        </w:rPr>
      </w:pPr>
      <w:r w:rsidRPr="00834D52">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w:t>
      </w:r>
    </w:p>
    <w:p w14:paraId="1D9B3AEF" w14:textId="77777777" w:rsidR="006F76EB" w:rsidRPr="00834D52" w:rsidRDefault="006F76EB" w:rsidP="006F76EB">
      <w:pPr>
        <w:spacing w:after="160" w:line="360" w:lineRule="auto"/>
        <w:ind w:left="567" w:right="567"/>
        <w:jc w:val="center"/>
        <w:rPr>
          <w:rFonts w:ascii="Sylfaen" w:hAnsi="Sylfaen"/>
          <w:sz w:val="24"/>
          <w:szCs w:val="24"/>
        </w:rPr>
      </w:pPr>
    </w:p>
    <w:p w14:paraId="6730A9B4" w14:textId="77777777" w:rsidR="006F76EB" w:rsidRPr="00834D52" w:rsidRDefault="006F76EB" w:rsidP="006F76EB">
      <w:pPr>
        <w:spacing w:after="160" w:line="360" w:lineRule="auto"/>
        <w:ind w:left="567" w:right="567"/>
        <w:jc w:val="center"/>
        <w:rPr>
          <w:rFonts w:ascii="Sylfaen" w:eastAsia="Times New Roman" w:hAnsi="Sylfaen" w:cs="Times New Roman"/>
          <w:sz w:val="24"/>
          <w:szCs w:val="24"/>
        </w:rPr>
      </w:pPr>
      <w:r w:rsidRPr="00834D52">
        <w:rPr>
          <w:rFonts w:ascii="Sylfaen" w:hAnsi="Sylfaen"/>
          <w:b/>
          <w:sz w:val="24"/>
          <w:szCs w:val="24"/>
        </w:rPr>
        <w:t>ՊԱՀԱՆՋՆԵՐ</w:t>
      </w:r>
    </w:p>
    <w:p w14:paraId="50EB5826" w14:textId="77777777" w:rsidR="006F76EB" w:rsidRPr="00834D52" w:rsidRDefault="006F76EB" w:rsidP="006F76EB">
      <w:pPr>
        <w:spacing w:after="160" w:line="360" w:lineRule="auto"/>
        <w:ind w:left="567" w:right="567"/>
        <w:jc w:val="center"/>
        <w:rPr>
          <w:rFonts w:ascii="Sylfaen" w:eastAsia="Times New Roman" w:hAnsi="Sylfaen" w:cs="Times New Roman"/>
          <w:b/>
          <w:bCs/>
          <w:sz w:val="24"/>
          <w:szCs w:val="24"/>
        </w:rPr>
      </w:pPr>
      <w:r w:rsidRPr="00834D52">
        <w:rPr>
          <w:rFonts w:ascii="Sylfaen" w:hAnsi="Sylfaen"/>
          <w:b/>
          <w:sz w:val="24"/>
          <w:szCs w:val="24"/>
        </w:rPr>
        <w:t>ընդհանուր տեխնիկական փաստաթղթի (ԸՏՓ) ձ</w:t>
      </w:r>
      <w:r w:rsidR="00C54D75">
        <w:rPr>
          <w:rFonts w:ascii="Sylfaen" w:hAnsi="Sylfaen"/>
          <w:b/>
          <w:sz w:val="24"/>
          <w:szCs w:val="24"/>
        </w:rPr>
        <w:t>և</w:t>
      </w:r>
      <w:r w:rsidRPr="00834D52">
        <w:rPr>
          <w:rFonts w:ascii="Sylfaen" w:hAnsi="Sylfaen"/>
          <w:b/>
          <w:sz w:val="24"/>
          <w:szCs w:val="24"/>
        </w:rPr>
        <w:t>աչափով դեղապատրաստուկի գրանցման դոսյեի փաստաթղթերի ձ</w:t>
      </w:r>
      <w:r w:rsidR="00C54D75">
        <w:rPr>
          <w:rFonts w:ascii="Sylfaen" w:hAnsi="Sylfaen"/>
          <w:b/>
          <w:sz w:val="24"/>
          <w:szCs w:val="24"/>
        </w:rPr>
        <w:t>և</w:t>
      </w:r>
      <w:r w:rsidRPr="00834D52">
        <w:rPr>
          <w:rFonts w:ascii="Sylfaen" w:hAnsi="Sylfaen"/>
          <w:b/>
          <w:sz w:val="24"/>
          <w:szCs w:val="24"/>
        </w:rPr>
        <w:t xml:space="preserve">աչափին </w:t>
      </w:r>
      <w:r w:rsidR="00C54D75">
        <w:rPr>
          <w:rFonts w:ascii="Sylfaen" w:hAnsi="Sylfaen"/>
          <w:b/>
          <w:sz w:val="24"/>
          <w:szCs w:val="24"/>
        </w:rPr>
        <w:t>և</w:t>
      </w:r>
      <w:r w:rsidRPr="00834D52">
        <w:rPr>
          <w:rFonts w:ascii="Sylfaen" w:hAnsi="Sylfaen"/>
          <w:b/>
          <w:sz w:val="24"/>
          <w:szCs w:val="24"/>
        </w:rPr>
        <w:t xml:space="preserve"> տեղադրմանը ներկայացվող</w:t>
      </w:r>
    </w:p>
    <w:p w14:paraId="6FA18A03" w14:textId="77777777" w:rsidR="006F76EB" w:rsidRPr="00834D52" w:rsidRDefault="006F76EB" w:rsidP="006F76EB">
      <w:pPr>
        <w:spacing w:after="160" w:line="360" w:lineRule="auto"/>
        <w:ind w:left="567" w:right="567"/>
        <w:jc w:val="center"/>
        <w:rPr>
          <w:rFonts w:ascii="Sylfaen" w:eastAsia="Times New Roman" w:hAnsi="Sylfaen" w:cs="Times New Roman"/>
          <w:sz w:val="24"/>
          <w:szCs w:val="24"/>
        </w:rPr>
      </w:pPr>
    </w:p>
    <w:p w14:paraId="2338779F" w14:textId="77777777" w:rsidR="006F76EB" w:rsidRPr="00834D52" w:rsidRDefault="006F76EB" w:rsidP="006F76EB">
      <w:pPr>
        <w:spacing w:after="160" w:line="360" w:lineRule="auto"/>
        <w:ind w:left="567" w:right="567"/>
        <w:jc w:val="center"/>
        <w:rPr>
          <w:rFonts w:ascii="Sylfaen" w:eastAsia="Times New Roman" w:hAnsi="Sylfaen" w:cs="Times New Roman"/>
          <w:sz w:val="24"/>
          <w:szCs w:val="24"/>
        </w:rPr>
      </w:pPr>
      <w:r w:rsidRPr="00834D52">
        <w:rPr>
          <w:rFonts w:ascii="Sylfaen" w:hAnsi="Sylfaen"/>
          <w:sz w:val="24"/>
          <w:szCs w:val="24"/>
        </w:rPr>
        <w:t xml:space="preserve">I. Դեղապատրաստուկի գրանցման դոսյեի մոդուլներում </w:t>
      </w:r>
      <w:r w:rsidRPr="00834D52">
        <w:rPr>
          <w:rFonts w:ascii="Sylfaen" w:hAnsi="Sylfaen"/>
          <w:sz w:val="24"/>
          <w:szCs w:val="24"/>
        </w:rPr>
        <w:br/>
        <w:t>փաստաթղթերի ցանկը</w:t>
      </w:r>
    </w:p>
    <w:tbl>
      <w:tblPr>
        <w:tblStyle w:val="TableGrid"/>
        <w:tblW w:w="9977" w:type="dxa"/>
        <w:tblLook w:val="04A0" w:firstRow="1" w:lastRow="0" w:firstColumn="1" w:lastColumn="0" w:noHBand="0" w:noVBand="1"/>
      </w:tblPr>
      <w:tblGrid>
        <w:gridCol w:w="1809"/>
        <w:gridCol w:w="8157"/>
        <w:gridCol w:w="11"/>
      </w:tblGrid>
      <w:tr w:rsidR="006F76EB" w:rsidRPr="00834D52" w14:paraId="1FF617AA" w14:textId="77777777" w:rsidTr="00F71229">
        <w:trPr>
          <w:gridAfter w:val="1"/>
          <w:wAfter w:w="11" w:type="dxa"/>
          <w:tblHeader/>
        </w:trPr>
        <w:tc>
          <w:tcPr>
            <w:tcW w:w="1809" w:type="dxa"/>
          </w:tcPr>
          <w:p w14:paraId="4851E335" w14:textId="77777777" w:rsidR="006F76EB" w:rsidRPr="00834D52" w:rsidRDefault="006F76EB" w:rsidP="00E7523C">
            <w:pPr>
              <w:spacing w:after="120" w:line="360" w:lineRule="auto"/>
              <w:ind w:right="-6"/>
              <w:jc w:val="center"/>
              <w:rPr>
                <w:rFonts w:ascii="Sylfaen" w:eastAsia="Times New Roman" w:hAnsi="Sylfaen" w:cs="Times New Roman"/>
                <w:sz w:val="24"/>
                <w:szCs w:val="24"/>
              </w:rPr>
            </w:pPr>
            <w:r w:rsidRPr="00834D52">
              <w:rPr>
                <w:rFonts w:ascii="Sylfaen" w:hAnsi="Sylfaen"/>
                <w:sz w:val="24"/>
                <w:szCs w:val="24"/>
              </w:rPr>
              <w:t>Համարը՝ ը/կ</w:t>
            </w:r>
          </w:p>
        </w:tc>
        <w:tc>
          <w:tcPr>
            <w:tcW w:w="8157" w:type="dxa"/>
          </w:tcPr>
          <w:p w14:paraId="088636EF" w14:textId="77777777" w:rsidR="006F76EB" w:rsidRPr="00834D52" w:rsidRDefault="006F76EB" w:rsidP="00E7523C">
            <w:pPr>
              <w:spacing w:after="120" w:line="360" w:lineRule="auto"/>
              <w:ind w:right="111"/>
              <w:jc w:val="center"/>
              <w:rPr>
                <w:rFonts w:ascii="Sylfaen" w:eastAsia="Times New Roman" w:hAnsi="Sylfaen" w:cs="Times New Roman"/>
                <w:sz w:val="24"/>
                <w:szCs w:val="24"/>
              </w:rPr>
            </w:pPr>
            <w:r w:rsidRPr="00834D52">
              <w:rPr>
                <w:rFonts w:ascii="Sylfaen" w:hAnsi="Sylfaen"/>
                <w:sz w:val="24"/>
                <w:szCs w:val="24"/>
              </w:rPr>
              <w:t>ՓԱՍՏԱԹՂԹԻ ԱՆՎԱՆՈՒՄԸ</w:t>
            </w:r>
          </w:p>
        </w:tc>
      </w:tr>
      <w:tr w:rsidR="006F76EB" w:rsidRPr="00834D52" w14:paraId="12CC97DC" w14:textId="77777777" w:rsidTr="00F71229">
        <w:trPr>
          <w:gridAfter w:val="1"/>
          <w:wAfter w:w="11" w:type="dxa"/>
        </w:trPr>
        <w:tc>
          <w:tcPr>
            <w:tcW w:w="9966" w:type="dxa"/>
            <w:gridSpan w:val="2"/>
            <w:tcBorders>
              <w:bottom w:val="single" w:sz="4" w:space="0" w:color="auto"/>
            </w:tcBorders>
          </w:tcPr>
          <w:p w14:paraId="3EF68802" w14:textId="77777777" w:rsidR="006F76EB" w:rsidRPr="00834D52" w:rsidRDefault="006F76EB" w:rsidP="00E7523C">
            <w:pPr>
              <w:spacing w:after="120" w:line="360" w:lineRule="auto"/>
              <w:ind w:right="-31"/>
              <w:jc w:val="center"/>
              <w:rPr>
                <w:rFonts w:ascii="Sylfaen" w:eastAsia="Times New Roman" w:hAnsi="Sylfaen" w:cs="Times New Roman"/>
                <w:sz w:val="24"/>
                <w:szCs w:val="24"/>
              </w:rPr>
            </w:pPr>
            <w:r w:rsidRPr="00834D52">
              <w:rPr>
                <w:rFonts w:ascii="Sylfaen" w:hAnsi="Sylfaen"/>
                <w:sz w:val="24"/>
                <w:szCs w:val="24"/>
              </w:rPr>
              <w:t>ՄՈԴՈՒԼ 1. ՎԱՐՉԱԿԱՆ ՏԵՂԵԿԱՏՎՈՒԹՅՈՒՆ</w:t>
            </w:r>
          </w:p>
        </w:tc>
      </w:tr>
      <w:tr w:rsidR="006F76EB" w:rsidRPr="00834D52" w14:paraId="6A072593" w14:textId="77777777" w:rsidTr="00F71229">
        <w:trPr>
          <w:gridAfter w:val="1"/>
          <w:wAfter w:w="11" w:type="dxa"/>
        </w:trPr>
        <w:tc>
          <w:tcPr>
            <w:tcW w:w="1809" w:type="dxa"/>
            <w:tcBorders>
              <w:top w:val="single" w:sz="4" w:space="0" w:color="auto"/>
              <w:left w:val="nil"/>
              <w:bottom w:val="nil"/>
              <w:right w:val="nil"/>
            </w:tcBorders>
          </w:tcPr>
          <w:p w14:paraId="4DEA9250" w14:textId="77777777" w:rsidR="006F76EB" w:rsidRPr="00BC09C1" w:rsidRDefault="006F76EB" w:rsidP="00F71229">
            <w:pPr>
              <w:spacing w:after="160" w:line="360" w:lineRule="auto"/>
              <w:ind w:right="-6"/>
              <w:jc w:val="center"/>
              <w:rPr>
                <w:rFonts w:ascii="Sylfaen" w:eastAsia="Times New Roman" w:hAnsi="Sylfaen" w:cs="Times New Roman"/>
                <w:sz w:val="24"/>
                <w:szCs w:val="24"/>
                <w:lang w:val="en-US"/>
              </w:rPr>
            </w:pPr>
            <w:r w:rsidRPr="00834D52">
              <w:rPr>
                <w:rFonts w:ascii="Sylfaen" w:hAnsi="Sylfaen"/>
                <w:sz w:val="24"/>
                <w:szCs w:val="24"/>
              </w:rPr>
              <w:t>1.0.</w:t>
            </w:r>
          </w:p>
        </w:tc>
        <w:tc>
          <w:tcPr>
            <w:tcW w:w="8157" w:type="dxa"/>
            <w:tcBorders>
              <w:top w:val="single" w:sz="4" w:space="0" w:color="auto"/>
              <w:left w:val="nil"/>
              <w:bottom w:val="nil"/>
              <w:right w:val="nil"/>
            </w:tcBorders>
          </w:tcPr>
          <w:p w14:paraId="3AFBD42A"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Ուղեկցող նամակ (ինչպես ԸՏՓ-ում)</w:t>
            </w:r>
          </w:p>
        </w:tc>
      </w:tr>
      <w:tr w:rsidR="006F76EB" w:rsidRPr="00834D52" w14:paraId="7104D78E" w14:textId="77777777" w:rsidTr="00F71229">
        <w:trPr>
          <w:gridAfter w:val="1"/>
          <w:wAfter w:w="11" w:type="dxa"/>
        </w:trPr>
        <w:tc>
          <w:tcPr>
            <w:tcW w:w="1809" w:type="dxa"/>
            <w:tcBorders>
              <w:top w:val="nil"/>
              <w:left w:val="nil"/>
              <w:bottom w:val="nil"/>
              <w:right w:val="nil"/>
            </w:tcBorders>
          </w:tcPr>
          <w:p w14:paraId="2F395BD5" w14:textId="77777777" w:rsidR="006F76EB" w:rsidRPr="00BC09C1" w:rsidRDefault="006F76EB" w:rsidP="00F71229">
            <w:pPr>
              <w:spacing w:after="160" w:line="360" w:lineRule="auto"/>
              <w:ind w:right="-6"/>
              <w:jc w:val="center"/>
              <w:rPr>
                <w:rFonts w:ascii="Sylfaen" w:eastAsia="Times New Roman" w:hAnsi="Sylfaen" w:cs="Times New Roman"/>
                <w:sz w:val="24"/>
                <w:szCs w:val="24"/>
                <w:lang w:val="en-US"/>
              </w:rPr>
            </w:pPr>
            <w:r w:rsidRPr="00834D52">
              <w:rPr>
                <w:rFonts w:ascii="Sylfaen" w:hAnsi="Sylfaen"/>
                <w:sz w:val="24"/>
                <w:szCs w:val="24"/>
              </w:rPr>
              <w:t>1.1.</w:t>
            </w:r>
          </w:p>
        </w:tc>
        <w:tc>
          <w:tcPr>
            <w:tcW w:w="8157" w:type="dxa"/>
            <w:tcBorders>
              <w:top w:val="nil"/>
              <w:left w:val="nil"/>
              <w:bottom w:val="nil"/>
              <w:right w:val="nil"/>
            </w:tcBorders>
          </w:tcPr>
          <w:p w14:paraId="4684D5A4"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Բովանդակություն</w:t>
            </w:r>
          </w:p>
        </w:tc>
      </w:tr>
      <w:tr w:rsidR="006F76EB" w:rsidRPr="00834D52" w14:paraId="0518146E" w14:textId="77777777" w:rsidTr="00F71229">
        <w:trPr>
          <w:gridAfter w:val="1"/>
          <w:wAfter w:w="11" w:type="dxa"/>
        </w:trPr>
        <w:tc>
          <w:tcPr>
            <w:tcW w:w="1809" w:type="dxa"/>
            <w:tcBorders>
              <w:top w:val="nil"/>
              <w:left w:val="nil"/>
              <w:bottom w:val="nil"/>
              <w:right w:val="nil"/>
            </w:tcBorders>
          </w:tcPr>
          <w:p w14:paraId="61CE60C3" w14:textId="77777777" w:rsidR="006F76EB" w:rsidRPr="00BC09C1" w:rsidRDefault="006F76EB" w:rsidP="00F71229">
            <w:pPr>
              <w:spacing w:after="160" w:line="360" w:lineRule="auto"/>
              <w:ind w:right="-6"/>
              <w:jc w:val="center"/>
              <w:rPr>
                <w:rFonts w:ascii="Sylfaen" w:eastAsia="Times New Roman" w:hAnsi="Sylfaen" w:cs="Times New Roman"/>
                <w:sz w:val="24"/>
                <w:szCs w:val="24"/>
                <w:lang w:val="en-US"/>
              </w:rPr>
            </w:pPr>
            <w:r w:rsidRPr="00834D52">
              <w:rPr>
                <w:rFonts w:ascii="Sylfaen" w:hAnsi="Sylfaen"/>
                <w:sz w:val="24"/>
                <w:szCs w:val="24"/>
              </w:rPr>
              <w:t>1.2.</w:t>
            </w:r>
          </w:p>
        </w:tc>
        <w:tc>
          <w:tcPr>
            <w:tcW w:w="8157" w:type="dxa"/>
            <w:tcBorders>
              <w:top w:val="nil"/>
              <w:left w:val="nil"/>
              <w:bottom w:val="nil"/>
              <w:right w:val="nil"/>
            </w:tcBorders>
          </w:tcPr>
          <w:p w14:paraId="4563148C"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Ընդհանուր փաստաթղթերը</w:t>
            </w:r>
          </w:p>
        </w:tc>
      </w:tr>
      <w:tr w:rsidR="006F76EB" w:rsidRPr="00834D52" w14:paraId="467CB38A" w14:textId="77777777" w:rsidTr="00F71229">
        <w:trPr>
          <w:gridAfter w:val="1"/>
          <w:wAfter w:w="11" w:type="dxa"/>
        </w:trPr>
        <w:tc>
          <w:tcPr>
            <w:tcW w:w="1809" w:type="dxa"/>
            <w:tcBorders>
              <w:top w:val="nil"/>
              <w:left w:val="nil"/>
              <w:bottom w:val="nil"/>
              <w:right w:val="nil"/>
            </w:tcBorders>
          </w:tcPr>
          <w:p w14:paraId="07D48413" w14:textId="77777777" w:rsidR="006F76EB" w:rsidRPr="00BC09C1" w:rsidRDefault="006F76EB" w:rsidP="00F71229">
            <w:pPr>
              <w:spacing w:after="160" w:line="360" w:lineRule="auto"/>
              <w:ind w:right="-6"/>
              <w:jc w:val="center"/>
              <w:rPr>
                <w:rFonts w:ascii="Sylfaen" w:eastAsia="Times New Roman" w:hAnsi="Sylfaen" w:cs="Times New Roman"/>
                <w:sz w:val="24"/>
                <w:szCs w:val="24"/>
                <w:lang w:val="en-US"/>
              </w:rPr>
            </w:pPr>
            <w:r w:rsidRPr="00834D52">
              <w:rPr>
                <w:rFonts w:ascii="Sylfaen" w:hAnsi="Sylfaen"/>
                <w:sz w:val="24"/>
                <w:szCs w:val="24"/>
              </w:rPr>
              <w:t>1.2.1.</w:t>
            </w:r>
          </w:p>
        </w:tc>
        <w:tc>
          <w:tcPr>
            <w:tcW w:w="8157" w:type="dxa"/>
            <w:tcBorders>
              <w:top w:val="nil"/>
              <w:left w:val="nil"/>
              <w:bottom w:val="nil"/>
              <w:right w:val="nil"/>
            </w:tcBorders>
          </w:tcPr>
          <w:p w14:paraId="7EDB84A5"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Դեղապատրաստուկի գրանցման հայտը</w:t>
            </w:r>
          </w:p>
        </w:tc>
      </w:tr>
      <w:tr w:rsidR="006F76EB" w:rsidRPr="00834D52" w14:paraId="3EE582D0" w14:textId="77777777" w:rsidTr="00F71229">
        <w:trPr>
          <w:gridAfter w:val="1"/>
          <w:wAfter w:w="11" w:type="dxa"/>
        </w:trPr>
        <w:tc>
          <w:tcPr>
            <w:tcW w:w="1809" w:type="dxa"/>
            <w:tcBorders>
              <w:top w:val="nil"/>
              <w:left w:val="nil"/>
              <w:bottom w:val="nil"/>
              <w:right w:val="nil"/>
            </w:tcBorders>
          </w:tcPr>
          <w:p w14:paraId="390089E1"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1.2.2.</w:t>
            </w:r>
          </w:p>
        </w:tc>
        <w:tc>
          <w:tcPr>
            <w:tcW w:w="8157" w:type="dxa"/>
            <w:tcBorders>
              <w:top w:val="nil"/>
              <w:left w:val="nil"/>
              <w:bottom w:val="nil"/>
              <w:right w:val="nil"/>
            </w:tcBorders>
          </w:tcPr>
          <w:p w14:paraId="64B640EC"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փորձագիտական աշխատանքների վճարումը </w:t>
            </w:r>
            <w:r w:rsidR="00C54D75">
              <w:rPr>
                <w:rFonts w:ascii="Sylfaen" w:hAnsi="Sylfaen"/>
                <w:sz w:val="24"/>
                <w:szCs w:val="24"/>
              </w:rPr>
              <w:t>և</w:t>
            </w:r>
            <w:r w:rsidRPr="00834D52">
              <w:rPr>
                <w:rFonts w:ascii="Sylfaen" w:hAnsi="Sylfaen"/>
                <w:sz w:val="24"/>
                <w:szCs w:val="24"/>
              </w:rPr>
              <w:t xml:space="preserve"> (կամ) գրանցման վճարների (տուրքերի) վճարումը հաստատող փաստաթղթերը՝ Եվրասիական տնտեսական միության գրանցում իրականացնող անդամ պետության օրենսդրությանը համապատասխան սահմանված դեպքում </w:t>
            </w:r>
            <w:r w:rsidR="00C54D75">
              <w:rPr>
                <w:rFonts w:ascii="Sylfaen" w:hAnsi="Sylfaen"/>
                <w:sz w:val="24"/>
                <w:szCs w:val="24"/>
              </w:rPr>
              <w:t>և</w:t>
            </w:r>
            <w:r w:rsidRPr="00834D52">
              <w:rPr>
                <w:rFonts w:ascii="Sylfaen" w:hAnsi="Sylfaen"/>
                <w:sz w:val="24"/>
                <w:szCs w:val="24"/>
              </w:rPr>
              <w:t xml:space="preserve"> կարգով</w:t>
            </w:r>
            <w:r w:rsidRPr="00834D52">
              <w:rPr>
                <w:rStyle w:val="FootnoteReference"/>
                <w:rFonts w:ascii="Sylfaen" w:eastAsia="Times New Roman" w:hAnsi="Sylfaen" w:cs="Times New Roman"/>
                <w:sz w:val="24"/>
                <w:szCs w:val="24"/>
              </w:rPr>
              <w:sym w:font="Symbol" w:char="F02A"/>
            </w:r>
          </w:p>
        </w:tc>
      </w:tr>
      <w:tr w:rsidR="006F76EB" w:rsidRPr="00834D52" w14:paraId="36F367E3" w14:textId="77777777" w:rsidTr="00F71229">
        <w:trPr>
          <w:gridAfter w:val="1"/>
          <w:wAfter w:w="11" w:type="dxa"/>
        </w:trPr>
        <w:tc>
          <w:tcPr>
            <w:tcW w:w="1809" w:type="dxa"/>
            <w:tcBorders>
              <w:top w:val="nil"/>
              <w:left w:val="nil"/>
              <w:bottom w:val="nil"/>
              <w:right w:val="nil"/>
            </w:tcBorders>
          </w:tcPr>
          <w:p w14:paraId="05D840AE"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footnoteReference w:customMarkFollows="1" w:id="25"/>
              <w:t>1.2.3.</w:t>
            </w:r>
          </w:p>
        </w:tc>
        <w:tc>
          <w:tcPr>
            <w:tcW w:w="8157" w:type="dxa"/>
            <w:tcBorders>
              <w:top w:val="nil"/>
              <w:left w:val="nil"/>
              <w:bottom w:val="nil"/>
              <w:right w:val="nil"/>
            </w:tcBorders>
          </w:tcPr>
          <w:p w14:paraId="543601E4"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արտադրող երկրի լիազորված մարմնի կողմից տրված՝ դեղապատրաստուկի սերտիֆիկատի պատճենը (սահմանված կարգով վավերացված)` ըստ ԱՀԿ-ի կողմից առաջարկվող ձ</w:t>
            </w:r>
            <w:r w:rsidR="00C54D75">
              <w:rPr>
                <w:rFonts w:ascii="Sylfaen" w:hAnsi="Sylfaen"/>
                <w:sz w:val="24"/>
                <w:szCs w:val="24"/>
              </w:rPr>
              <w:t>և</w:t>
            </w:r>
            <w:r w:rsidRPr="00834D52">
              <w:rPr>
                <w:rFonts w:ascii="Sylfaen" w:hAnsi="Sylfaen"/>
                <w:sz w:val="24"/>
                <w:szCs w:val="24"/>
              </w:rPr>
              <w:t xml:space="preserve">աչափի: Այդպիսի սերտիֆիկատի բացակայության դեպքում ներկայացվում է արտադրող երկրում </w:t>
            </w:r>
            <w:r w:rsidR="00C54D75">
              <w:rPr>
                <w:rFonts w:ascii="Sylfaen" w:hAnsi="Sylfaen"/>
                <w:sz w:val="24"/>
                <w:szCs w:val="24"/>
              </w:rPr>
              <w:t>և</w:t>
            </w:r>
            <w:r w:rsidRPr="00834D52">
              <w:rPr>
                <w:rFonts w:ascii="Sylfaen" w:hAnsi="Sylfaen"/>
                <w:sz w:val="24"/>
                <w:szCs w:val="24"/>
              </w:rPr>
              <w:t xml:space="preserve"> (կամ) դեղապատրաստուկի գրանցման հավաստագրի իրավատեր երկրում գրանցումը հաստատող (սահմանված կարգով վավերացված) փաստաթուղթը (առկայության դեպքում)</w:t>
            </w:r>
          </w:p>
        </w:tc>
      </w:tr>
      <w:tr w:rsidR="006F76EB" w:rsidRPr="00834D52" w14:paraId="22EABCC6" w14:textId="77777777" w:rsidTr="00F71229">
        <w:trPr>
          <w:gridAfter w:val="1"/>
          <w:wAfter w:w="11" w:type="dxa"/>
        </w:trPr>
        <w:tc>
          <w:tcPr>
            <w:tcW w:w="1809" w:type="dxa"/>
            <w:tcBorders>
              <w:top w:val="nil"/>
              <w:left w:val="nil"/>
              <w:bottom w:val="nil"/>
              <w:right w:val="nil"/>
            </w:tcBorders>
          </w:tcPr>
          <w:p w14:paraId="32E5440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1.2.4.</w:t>
            </w:r>
          </w:p>
        </w:tc>
        <w:tc>
          <w:tcPr>
            <w:tcW w:w="8157" w:type="dxa"/>
            <w:tcBorders>
              <w:top w:val="nil"/>
              <w:left w:val="nil"/>
              <w:bottom w:val="nil"/>
              <w:right w:val="nil"/>
            </w:tcBorders>
          </w:tcPr>
          <w:p w14:paraId="2070D010"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լիազորված մարմնի կողմից արտադրող երկրում կամ դեղապատրաստուկի գրանցման հավաստագրի (առկայության դեպքում) իրավատեր երկրում դեղապատրաստուկի գրանցման ժամանակ տրված փորձագիտական հաշվետվության ռուսերեն թարգմանությունը </w:t>
            </w:r>
            <w:r w:rsidR="00C54D75">
              <w:rPr>
                <w:rFonts w:ascii="Sylfaen" w:hAnsi="Sylfaen"/>
                <w:sz w:val="24"/>
                <w:szCs w:val="24"/>
              </w:rPr>
              <w:t>և</w:t>
            </w:r>
            <w:r w:rsidRPr="00834D52">
              <w:rPr>
                <w:rFonts w:ascii="Sylfaen" w:hAnsi="Sylfaen"/>
                <w:sz w:val="24"/>
                <w:szCs w:val="24"/>
              </w:rPr>
              <w:t xml:space="preserve"> սահմանված կարգով հաստատված պատճենը</w:t>
            </w:r>
          </w:p>
        </w:tc>
      </w:tr>
      <w:tr w:rsidR="006F76EB" w:rsidRPr="00834D52" w14:paraId="3283CEC4" w14:textId="77777777" w:rsidTr="00F71229">
        <w:trPr>
          <w:gridAfter w:val="1"/>
          <w:wAfter w:w="11" w:type="dxa"/>
        </w:trPr>
        <w:tc>
          <w:tcPr>
            <w:tcW w:w="1809" w:type="dxa"/>
            <w:tcBorders>
              <w:top w:val="nil"/>
              <w:left w:val="nil"/>
              <w:bottom w:val="nil"/>
              <w:right w:val="nil"/>
            </w:tcBorders>
          </w:tcPr>
          <w:p w14:paraId="2258ABE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1.2.5.</w:t>
            </w:r>
          </w:p>
        </w:tc>
        <w:tc>
          <w:tcPr>
            <w:tcW w:w="8157" w:type="dxa"/>
            <w:tcBorders>
              <w:top w:val="nil"/>
              <w:left w:val="nil"/>
              <w:bottom w:val="nil"/>
              <w:right w:val="nil"/>
            </w:tcBorders>
          </w:tcPr>
          <w:p w14:paraId="3EC8A58C"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Եվրասիական տնտեսական միության անդամ պետության լիազորված մարմնի (լիազորված կազմակերպության) եզրակացությունը (առաջարկությունը) Եվրասիական տնտեսական միության անդամ պետությունում տվյալ դեղապատրաստուկի վերաբերյալ նախնական գիտական խորհրդատվության արդյունքներով (առկայության դեպքում)</w:t>
            </w:r>
          </w:p>
        </w:tc>
      </w:tr>
      <w:tr w:rsidR="006F76EB" w:rsidRPr="00834D52" w14:paraId="5C59867B" w14:textId="77777777" w:rsidTr="00F71229">
        <w:trPr>
          <w:gridAfter w:val="1"/>
          <w:wAfter w:w="11" w:type="dxa"/>
        </w:trPr>
        <w:tc>
          <w:tcPr>
            <w:tcW w:w="1809" w:type="dxa"/>
            <w:tcBorders>
              <w:top w:val="nil"/>
              <w:left w:val="nil"/>
              <w:bottom w:val="nil"/>
              <w:right w:val="nil"/>
            </w:tcBorders>
          </w:tcPr>
          <w:p w14:paraId="05A0060E"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1.2.6.</w:t>
            </w:r>
          </w:p>
        </w:tc>
        <w:tc>
          <w:tcPr>
            <w:tcW w:w="8157" w:type="dxa"/>
            <w:tcBorders>
              <w:top w:val="nil"/>
              <w:left w:val="nil"/>
              <w:bottom w:val="nil"/>
              <w:right w:val="nil"/>
            </w:tcBorders>
          </w:tcPr>
          <w:p w14:paraId="6714FA2F" w14:textId="77777777" w:rsidR="006F76EB" w:rsidRPr="00834D52" w:rsidRDefault="006F76EB" w:rsidP="00F71229">
            <w:pPr>
              <w:spacing w:after="160" w:line="360" w:lineRule="auto"/>
              <w:ind w:right="111"/>
              <w:jc w:val="both"/>
              <w:rPr>
                <w:rFonts w:ascii="Sylfaen" w:hAnsi="Sylfaen"/>
                <w:sz w:val="24"/>
                <w:szCs w:val="24"/>
              </w:rPr>
            </w:pPr>
            <w:r w:rsidRPr="00834D52">
              <w:rPr>
                <w:rFonts w:ascii="Sylfaen" w:hAnsi="Sylfaen"/>
                <w:sz w:val="24"/>
                <w:szCs w:val="24"/>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 (առկայության դեպքում)</w:t>
            </w:r>
          </w:p>
          <w:p w14:paraId="2ACED8A2"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p>
        </w:tc>
      </w:tr>
      <w:tr w:rsidR="006F76EB" w:rsidRPr="00834D52" w14:paraId="27AA5DF0" w14:textId="77777777" w:rsidTr="00F71229">
        <w:trPr>
          <w:gridAfter w:val="1"/>
          <w:wAfter w:w="11" w:type="dxa"/>
        </w:trPr>
        <w:tc>
          <w:tcPr>
            <w:tcW w:w="1809" w:type="dxa"/>
            <w:tcBorders>
              <w:top w:val="nil"/>
              <w:left w:val="nil"/>
              <w:bottom w:val="nil"/>
              <w:right w:val="nil"/>
            </w:tcBorders>
          </w:tcPr>
          <w:p w14:paraId="71890F6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1.3.</w:t>
            </w:r>
          </w:p>
        </w:tc>
        <w:tc>
          <w:tcPr>
            <w:tcW w:w="8157" w:type="dxa"/>
            <w:tcBorders>
              <w:top w:val="nil"/>
              <w:left w:val="nil"/>
              <w:bottom w:val="nil"/>
              <w:right w:val="nil"/>
            </w:tcBorders>
          </w:tcPr>
          <w:p w14:paraId="3220996B"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Դեղապատրաստուկի ընդհանուր բնութագիրը, բժշկական կիրառման հրահանգը (ներդիր թերթիկը), մականշվածքը՝</w:t>
            </w:r>
          </w:p>
        </w:tc>
      </w:tr>
      <w:tr w:rsidR="006F76EB" w:rsidRPr="00834D52" w14:paraId="0E7DFC68" w14:textId="77777777" w:rsidTr="00F71229">
        <w:trPr>
          <w:gridAfter w:val="1"/>
          <w:wAfter w:w="11" w:type="dxa"/>
        </w:trPr>
        <w:tc>
          <w:tcPr>
            <w:tcW w:w="1809" w:type="dxa"/>
            <w:tcBorders>
              <w:top w:val="nil"/>
              <w:left w:val="nil"/>
              <w:bottom w:val="nil"/>
              <w:right w:val="nil"/>
            </w:tcBorders>
          </w:tcPr>
          <w:p w14:paraId="4DE27F4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1.3.1.</w:t>
            </w:r>
          </w:p>
        </w:tc>
        <w:tc>
          <w:tcPr>
            <w:tcW w:w="8157" w:type="dxa"/>
            <w:tcBorders>
              <w:top w:val="nil"/>
              <w:left w:val="nil"/>
              <w:bottom w:val="nil"/>
              <w:right w:val="nil"/>
            </w:tcBorders>
          </w:tcPr>
          <w:p w14:paraId="05399E63"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դեղապատրաստուկի ընդհանուր բնութագրի նախագծերը, բժշկական կիրառման հրահանգը (ներդիր թերթիկը), որոնք կազմվել են Եվրասիական տնտեսական միության մարմինների ակտերի պահանջներին համապատասխան՝ ռուսերեն լեզվով</w:t>
            </w:r>
          </w:p>
        </w:tc>
      </w:tr>
      <w:tr w:rsidR="006F76EB" w:rsidRPr="00834D52" w14:paraId="626863E2" w14:textId="77777777" w:rsidTr="00F71229">
        <w:trPr>
          <w:gridAfter w:val="1"/>
          <w:wAfter w:w="11" w:type="dxa"/>
        </w:trPr>
        <w:tc>
          <w:tcPr>
            <w:tcW w:w="1809" w:type="dxa"/>
            <w:tcBorders>
              <w:top w:val="nil"/>
              <w:left w:val="nil"/>
              <w:bottom w:val="nil"/>
              <w:right w:val="nil"/>
            </w:tcBorders>
          </w:tcPr>
          <w:p w14:paraId="1248DD5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1.3.2.</w:t>
            </w:r>
          </w:p>
        </w:tc>
        <w:tc>
          <w:tcPr>
            <w:tcW w:w="8157" w:type="dxa"/>
            <w:tcBorders>
              <w:top w:val="nil"/>
              <w:left w:val="nil"/>
              <w:bottom w:val="nil"/>
              <w:right w:val="nil"/>
            </w:tcBorders>
          </w:tcPr>
          <w:p w14:paraId="106088AF"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առաջնային (ներքին) </w:t>
            </w:r>
            <w:r w:rsidR="00C54D75">
              <w:rPr>
                <w:rFonts w:ascii="Sylfaen" w:hAnsi="Sylfaen"/>
                <w:sz w:val="24"/>
                <w:szCs w:val="24"/>
              </w:rPr>
              <w:t>և</w:t>
            </w:r>
            <w:r w:rsidRPr="00834D52">
              <w:rPr>
                <w:rFonts w:ascii="Sylfaen" w:hAnsi="Sylfaen"/>
                <w:sz w:val="24"/>
                <w:szCs w:val="24"/>
              </w:rPr>
              <w:t xml:space="preserve"> երկրորդային (սպառողական) միջանկյալ փաթեթվածքների մակետները, որոնք պատրաստվել են Եվրասիական տնտեսական միության մարմինների ակտերի պահանջներին համապատասխան՝ ռուսերեն լեզվով: Միջանկյալ փաթեթվածքի, պիտակների, սթիքերների մակետները ներկայացվում են առկայության դեպքում</w:t>
            </w:r>
          </w:p>
        </w:tc>
      </w:tr>
      <w:tr w:rsidR="006F76EB" w:rsidRPr="00834D52" w14:paraId="07661501" w14:textId="77777777" w:rsidTr="00F71229">
        <w:trPr>
          <w:gridAfter w:val="1"/>
          <w:wAfter w:w="11" w:type="dxa"/>
        </w:trPr>
        <w:tc>
          <w:tcPr>
            <w:tcW w:w="1809" w:type="dxa"/>
            <w:tcBorders>
              <w:top w:val="nil"/>
              <w:left w:val="nil"/>
              <w:bottom w:val="nil"/>
              <w:right w:val="nil"/>
            </w:tcBorders>
          </w:tcPr>
          <w:p w14:paraId="59CCCBC9"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1.3.3.</w:t>
            </w:r>
          </w:p>
        </w:tc>
        <w:tc>
          <w:tcPr>
            <w:tcW w:w="8157" w:type="dxa"/>
            <w:tcBorders>
              <w:top w:val="nil"/>
              <w:left w:val="nil"/>
              <w:bottom w:val="nil"/>
              <w:right w:val="nil"/>
            </w:tcBorders>
          </w:tcPr>
          <w:p w14:paraId="20B2D36F" w14:textId="77777777" w:rsidR="006F76EB" w:rsidRPr="00834D52" w:rsidRDefault="006F76EB" w:rsidP="00377927">
            <w:pPr>
              <w:spacing w:after="160" w:line="360" w:lineRule="auto"/>
              <w:ind w:right="111"/>
              <w:rPr>
                <w:rFonts w:ascii="Sylfaen" w:eastAsia="Times New Roman" w:hAnsi="Sylfaen" w:cs="Times New Roman"/>
                <w:sz w:val="24"/>
                <w:szCs w:val="24"/>
              </w:rPr>
            </w:pPr>
            <w:r w:rsidRPr="00834D52">
              <w:rPr>
                <w:rFonts w:ascii="Sylfaen" w:hAnsi="Sylfaen"/>
                <w:sz w:val="24"/>
                <w:szCs w:val="24"/>
              </w:rPr>
              <w:t>բժշկական կիրառման հրահանգի (ներդիր թերթիկի) տեքստը օգտագործողների թեստավորման արդյունքները (</w:t>
            </w:r>
            <w:r w:rsidR="00377927">
              <w:rPr>
                <w:rFonts w:ascii="Sylfaen" w:hAnsi="Sylfaen"/>
                <w:sz w:val="24"/>
                <w:szCs w:val="24"/>
              </w:rPr>
              <w:t>առկայության դեպքում</w:t>
            </w:r>
            <w:r w:rsidRPr="00834D52">
              <w:rPr>
                <w:rFonts w:ascii="Sylfaen" w:hAnsi="Sylfaen"/>
                <w:sz w:val="24"/>
                <w:szCs w:val="24"/>
              </w:rPr>
              <w:t>)</w:t>
            </w:r>
          </w:p>
        </w:tc>
      </w:tr>
      <w:tr w:rsidR="006F76EB" w:rsidRPr="00834D52" w14:paraId="4AEB8519" w14:textId="77777777" w:rsidTr="00F71229">
        <w:trPr>
          <w:gridAfter w:val="1"/>
          <w:wAfter w:w="11" w:type="dxa"/>
        </w:trPr>
        <w:tc>
          <w:tcPr>
            <w:tcW w:w="1809" w:type="dxa"/>
            <w:tcBorders>
              <w:top w:val="nil"/>
              <w:left w:val="nil"/>
              <w:bottom w:val="nil"/>
              <w:right w:val="nil"/>
            </w:tcBorders>
          </w:tcPr>
          <w:p w14:paraId="72408C5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1.3.4.</w:t>
            </w:r>
          </w:p>
        </w:tc>
        <w:tc>
          <w:tcPr>
            <w:tcW w:w="8157" w:type="dxa"/>
            <w:tcBorders>
              <w:top w:val="nil"/>
              <w:left w:val="nil"/>
              <w:bottom w:val="nil"/>
              <w:right w:val="nil"/>
            </w:tcBorders>
          </w:tcPr>
          <w:p w14:paraId="3155FD84" w14:textId="77777777" w:rsidR="006F76EB" w:rsidRPr="00834D52" w:rsidRDefault="006F76EB" w:rsidP="00F71229">
            <w:pPr>
              <w:spacing w:after="160" w:line="360" w:lineRule="auto"/>
              <w:ind w:right="111"/>
              <w:jc w:val="both"/>
              <w:rPr>
                <w:rFonts w:ascii="Sylfaen" w:eastAsia="Times New Roman" w:hAnsi="Sylfaen" w:cs="Times New Roman"/>
                <w:spacing w:val="4"/>
                <w:sz w:val="24"/>
                <w:szCs w:val="24"/>
              </w:rPr>
            </w:pPr>
            <w:r w:rsidRPr="00834D52">
              <w:rPr>
                <w:rFonts w:ascii="Sylfaen" w:hAnsi="Sylfaen"/>
                <w:spacing w:val="4"/>
                <w:sz w:val="24"/>
                <w:szCs w:val="24"/>
              </w:rPr>
              <w:t xml:space="preserve">դեղապատրաստուկի ընդհանուր բնութագրի՝ իրավատիրոջ կողմից վավերացված գրանցման հավաստագրի պատճենները՝ վերջին վերանայման ամսաթվով, բժշկական կիրառման հրահանգը (ներդիր թերթիկը), որը հաստատվել է արտադրող երկրի, գրանցման հավաստագրի իրավատեր երկրի </w:t>
            </w:r>
            <w:r w:rsidR="00C54D75">
              <w:rPr>
                <w:rFonts w:ascii="Sylfaen" w:hAnsi="Sylfaen"/>
                <w:spacing w:val="4"/>
                <w:sz w:val="24"/>
                <w:szCs w:val="24"/>
              </w:rPr>
              <w:t>և</w:t>
            </w:r>
            <w:r w:rsidRPr="00834D52">
              <w:rPr>
                <w:rFonts w:ascii="Sylfaen" w:hAnsi="Sylfaen"/>
                <w:spacing w:val="4"/>
                <w:sz w:val="24"/>
                <w:szCs w:val="24"/>
              </w:rPr>
              <w:t xml:space="preserve"> (կամ) լավ կարգավորվող դեղագործական շուկա ունեցող մեկ այլ երկրի լիազորված մարմնի կողմից, որտեղ գրանցված է դեղապատրաստուկը (առկայության դեպքում)</w:t>
            </w:r>
          </w:p>
        </w:tc>
      </w:tr>
      <w:tr w:rsidR="006F76EB" w:rsidRPr="00834D52" w14:paraId="3FDEBA28" w14:textId="77777777" w:rsidTr="00F71229">
        <w:trPr>
          <w:gridAfter w:val="1"/>
          <w:wAfter w:w="11" w:type="dxa"/>
        </w:trPr>
        <w:tc>
          <w:tcPr>
            <w:tcW w:w="1809" w:type="dxa"/>
            <w:tcBorders>
              <w:top w:val="nil"/>
              <w:left w:val="nil"/>
              <w:bottom w:val="nil"/>
              <w:right w:val="nil"/>
            </w:tcBorders>
          </w:tcPr>
          <w:p w14:paraId="485DE93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1.4.</w:t>
            </w:r>
          </w:p>
        </w:tc>
        <w:tc>
          <w:tcPr>
            <w:tcW w:w="8157" w:type="dxa"/>
            <w:tcBorders>
              <w:top w:val="nil"/>
              <w:left w:val="nil"/>
              <w:bottom w:val="nil"/>
              <w:right w:val="nil"/>
            </w:tcBorders>
          </w:tcPr>
          <w:p w14:paraId="55C9F592"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Այլ երկրներում դեղապատրաստուկի կարգավորման կարգավիճակի մասին տեղեկատվությունը (առկայության դեպքում)</w:t>
            </w:r>
          </w:p>
        </w:tc>
      </w:tr>
      <w:tr w:rsidR="006F76EB" w:rsidRPr="00834D52" w14:paraId="32E67A55" w14:textId="77777777" w:rsidTr="00F71229">
        <w:trPr>
          <w:gridAfter w:val="1"/>
          <w:wAfter w:w="11" w:type="dxa"/>
        </w:trPr>
        <w:tc>
          <w:tcPr>
            <w:tcW w:w="1809" w:type="dxa"/>
            <w:tcBorders>
              <w:top w:val="nil"/>
              <w:left w:val="nil"/>
              <w:bottom w:val="nil"/>
              <w:right w:val="nil"/>
            </w:tcBorders>
          </w:tcPr>
          <w:p w14:paraId="5E985B62"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1.4.1.</w:t>
            </w:r>
          </w:p>
        </w:tc>
        <w:tc>
          <w:tcPr>
            <w:tcW w:w="8157" w:type="dxa"/>
            <w:tcBorders>
              <w:top w:val="nil"/>
              <w:left w:val="nil"/>
              <w:bottom w:val="nil"/>
              <w:right w:val="nil"/>
            </w:tcBorders>
          </w:tcPr>
          <w:p w14:paraId="15F6AA0D"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Այն երկրների ցանկը, որտեղ դեղապատրաստուկը ներկայացվել է գրանցման, գրանցվել է, գրանցման մերժում է ստացել կամ որոնց շուկայում դրա շրջանառությունը կասեցվել է` նշելով դեղապատրաստուկի անվանումը, գրանցման հավաստագրի համարը </w:t>
            </w:r>
            <w:r w:rsidR="00C54D75">
              <w:rPr>
                <w:rFonts w:ascii="Sylfaen" w:hAnsi="Sylfaen"/>
                <w:sz w:val="24"/>
                <w:szCs w:val="24"/>
              </w:rPr>
              <w:t>և</w:t>
            </w:r>
            <w:r w:rsidRPr="00834D52">
              <w:rPr>
                <w:rFonts w:ascii="Sylfaen" w:hAnsi="Sylfaen"/>
                <w:sz w:val="24"/>
                <w:szCs w:val="24"/>
              </w:rPr>
              <w:t xml:space="preserve"> ամսաթիվը, դրա գործողության ժամկետը կամ գրանցումը մերժելու մասին որոշում կայացնելու, գրանցման հավաստագրի գործողությունը կասեցնելու ամսաթիվը: Ներկայացվող տեղեկատվությունը պետք է վավերացվի գրանցման հավաստագրի իրավատիրոջ կողմից</w:t>
            </w:r>
          </w:p>
        </w:tc>
      </w:tr>
      <w:tr w:rsidR="006F76EB" w:rsidRPr="00834D52" w14:paraId="3A41EDAB" w14:textId="77777777" w:rsidTr="00F71229">
        <w:trPr>
          <w:gridAfter w:val="1"/>
          <w:wAfter w:w="11" w:type="dxa"/>
        </w:trPr>
        <w:tc>
          <w:tcPr>
            <w:tcW w:w="1809" w:type="dxa"/>
            <w:tcBorders>
              <w:top w:val="nil"/>
              <w:left w:val="nil"/>
              <w:bottom w:val="nil"/>
              <w:right w:val="nil"/>
            </w:tcBorders>
          </w:tcPr>
          <w:p w14:paraId="4EEFDEE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w:t>
            </w:r>
          </w:p>
        </w:tc>
        <w:tc>
          <w:tcPr>
            <w:tcW w:w="8157" w:type="dxa"/>
            <w:tcBorders>
              <w:top w:val="nil"/>
              <w:left w:val="nil"/>
              <w:bottom w:val="nil"/>
              <w:right w:val="nil"/>
            </w:tcBorders>
          </w:tcPr>
          <w:p w14:paraId="63471D75"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Որակի փաստաթղթերը</w:t>
            </w:r>
          </w:p>
        </w:tc>
      </w:tr>
      <w:tr w:rsidR="006F76EB" w:rsidRPr="00834D52" w14:paraId="79194A9A" w14:textId="77777777" w:rsidTr="00F71229">
        <w:trPr>
          <w:gridAfter w:val="1"/>
          <w:wAfter w:w="11" w:type="dxa"/>
        </w:trPr>
        <w:tc>
          <w:tcPr>
            <w:tcW w:w="1809" w:type="dxa"/>
            <w:tcBorders>
              <w:top w:val="nil"/>
              <w:left w:val="nil"/>
              <w:bottom w:val="nil"/>
              <w:right w:val="nil"/>
            </w:tcBorders>
          </w:tcPr>
          <w:p w14:paraId="0E477CA3"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1.5.1.</w:t>
            </w:r>
          </w:p>
        </w:tc>
        <w:tc>
          <w:tcPr>
            <w:tcW w:w="8157" w:type="dxa"/>
            <w:tcBorders>
              <w:top w:val="nil"/>
              <w:left w:val="nil"/>
              <w:bottom w:val="nil"/>
              <w:right w:val="nil"/>
            </w:tcBorders>
          </w:tcPr>
          <w:p w14:paraId="67851F93" w14:textId="77777777" w:rsidR="006F76EB" w:rsidRPr="00834D52" w:rsidRDefault="006F76EB" w:rsidP="00CE6A25">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Եվրասիական տնտեսական միության դեղագրքի հոդվածին կամ սպունգանման էնցեֆալոպատիայի մասով Եվրոպական դեղագրքին համապատասխանության սերտիֆիկատը կամ կենդանական ծագման դեղագործական բաղադրամասի օգտագործման դեպքում հումքի ծագման երկրի անասնաբուժական վերահսկողություն իրականացնող լիազորված մարմինների կողմից տրված փաստաթուղթը (</w:t>
            </w:r>
            <w:r w:rsidR="00DC3B8B">
              <w:rPr>
                <w:rFonts w:ascii="Sylfaen" w:hAnsi="Sylfaen"/>
                <w:sz w:val="24"/>
                <w:szCs w:val="24"/>
              </w:rPr>
              <w:t>եթե</w:t>
            </w:r>
            <w:r w:rsidR="00CE6A25" w:rsidRPr="00CE6A25">
              <w:rPr>
                <w:rFonts w:ascii="Sylfaen" w:hAnsi="Sylfaen"/>
                <w:sz w:val="24"/>
                <w:szCs w:val="24"/>
              </w:rPr>
              <w:t> </w:t>
            </w:r>
            <w:r w:rsidR="00DC3B8B">
              <w:rPr>
                <w:rFonts w:ascii="Sylfaen" w:hAnsi="Sylfaen"/>
                <w:sz w:val="24"/>
                <w:szCs w:val="24"/>
              </w:rPr>
              <w:t>կիրառելի է</w:t>
            </w:r>
            <w:r w:rsidRPr="00834D52">
              <w:rPr>
                <w:rFonts w:ascii="Sylfaen" w:hAnsi="Sylfaen"/>
                <w:sz w:val="24"/>
                <w:szCs w:val="24"/>
              </w:rPr>
              <w:t>)</w:t>
            </w:r>
          </w:p>
        </w:tc>
      </w:tr>
      <w:tr w:rsidR="006F76EB" w:rsidRPr="00834D52" w14:paraId="37BB885F" w14:textId="77777777" w:rsidTr="00F71229">
        <w:trPr>
          <w:gridAfter w:val="1"/>
          <w:wAfter w:w="11" w:type="dxa"/>
        </w:trPr>
        <w:tc>
          <w:tcPr>
            <w:tcW w:w="1809" w:type="dxa"/>
            <w:tcBorders>
              <w:top w:val="nil"/>
              <w:left w:val="nil"/>
              <w:bottom w:val="nil"/>
              <w:right w:val="nil"/>
            </w:tcBorders>
          </w:tcPr>
          <w:p w14:paraId="5A4FEDFB"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1.5.2.</w:t>
            </w:r>
          </w:p>
        </w:tc>
        <w:tc>
          <w:tcPr>
            <w:tcW w:w="8157" w:type="dxa"/>
            <w:tcBorders>
              <w:top w:val="nil"/>
              <w:left w:val="nil"/>
              <w:bottom w:val="nil"/>
              <w:right w:val="nil"/>
            </w:tcBorders>
          </w:tcPr>
          <w:p w14:paraId="47698FB9" w14:textId="77777777" w:rsidR="006F76EB" w:rsidRPr="00834D52" w:rsidRDefault="006F76EB" w:rsidP="0004184B">
            <w:pPr>
              <w:spacing w:after="160" w:line="360" w:lineRule="auto"/>
              <w:ind w:right="111"/>
              <w:jc w:val="both"/>
              <w:rPr>
                <w:rFonts w:ascii="Sylfaen" w:eastAsia="Times New Roman" w:hAnsi="Sylfaen" w:cs="Times New Roman"/>
                <w:spacing w:val="-4"/>
                <w:sz w:val="24"/>
                <w:szCs w:val="24"/>
              </w:rPr>
            </w:pPr>
            <w:r w:rsidRPr="00834D52">
              <w:rPr>
                <w:rFonts w:ascii="Sylfaen" w:hAnsi="Sylfaen"/>
                <w:spacing w:val="-4"/>
                <w:sz w:val="24"/>
                <w:szCs w:val="24"/>
              </w:rPr>
              <w:t xml:space="preserve">ակտիվ դեղագործական բաղադրամասի մաստեր-ֆայլի իրավատիրոջ նամակը՝ դեղապատրաստուկի արտադրողին </w:t>
            </w:r>
            <w:r w:rsidR="00C54D75">
              <w:rPr>
                <w:rFonts w:ascii="Sylfaen" w:hAnsi="Sylfaen"/>
                <w:spacing w:val="-4"/>
                <w:sz w:val="24"/>
                <w:szCs w:val="24"/>
              </w:rPr>
              <w:t>և</w:t>
            </w:r>
            <w:r w:rsidRPr="00834D52">
              <w:rPr>
                <w:rFonts w:ascii="Sylfaen" w:hAnsi="Sylfaen"/>
                <w:spacing w:val="-4"/>
                <w:sz w:val="24"/>
                <w:szCs w:val="24"/>
              </w:rPr>
              <w:t xml:space="preserve"> Եվրասիական տնտեսական միության անդամ պետության լիազորված մարմնին նախքան դեղագործական բաղադրամասի մաստեր-ֆայլում որ</w:t>
            </w:r>
            <w:r w:rsidR="00C54D75">
              <w:rPr>
                <w:rFonts w:ascii="Sylfaen" w:hAnsi="Sylfaen"/>
                <w:spacing w:val="-4"/>
                <w:sz w:val="24"/>
                <w:szCs w:val="24"/>
              </w:rPr>
              <w:t>և</w:t>
            </w:r>
            <w:r w:rsidRPr="00834D52">
              <w:rPr>
                <w:rFonts w:ascii="Sylfaen" w:hAnsi="Sylfaen"/>
                <w:spacing w:val="-4"/>
                <w:sz w:val="24"/>
                <w:szCs w:val="24"/>
              </w:rPr>
              <w:t>է էական փոփոխություն մտցնելը բոլոր փոփոխությունների մասին հաղորդելու պարտավորությամբ (որակի հարցերով լիազորված մարմնի ստորագրությամբ նամակի</w:t>
            </w:r>
            <w:r w:rsidR="003052D3">
              <w:rPr>
                <w:rFonts w:ascii="Sylfaen" w:hAnsi="Sylfaen"/>
                <w:spacing w:val="-4"/>
                <w:sz w:val="24"/>
                <w:szCs w:val="24"/>
              </w:rPr>
              <w:t>՝ նոտարական կարգով վավերացված պատճենը</w:t>
            </w:r>
            <w:r w:rsidRPr="00834D52">
              <w:rPr>
                <w:rFonts w:ascii="Sylfaen" w:hAnsi="Sylfaen"/>
                <w:spacing w:val="-4"/>
                <w:sz w:val="24"/>
                <w:szCs w:val="24"/>
              </w:rPr>
              <w:t>` թարգմանությա</w:t>
            </w:r>
            <w:r w:rsidR="0004184B">
              <w:rPr>
                <w:rFonts w:ascii="Sylfaen" w:hAnsi="Sylfaen"/>
                <w:spacing w:val="-4"/>
                <w:sz w:val="24"/>
                <w:szCs w:val="24"/>
              </w:rPr>
              <w:t>մբ</w:t>
            </w:r>
            <w:r w:rsidRPr="00834D52">
              <w:rPr>
                <w:rFonts w:ascii="Sylfaen" w:hAnsi="Sylfaen"/>
                <w:spacing w:val="-4"/>
                <w:sz w:val="24"/>
                <w:szCs w:val="24"/>
              </w:rPr>
              <w:t>)</w:t>
            </w:r>
          </w:p>
        </w:tc>
      </w:tr>
      <w:tr w:rsidR="006F76EB" w:rsidRPr="00834D52" w14:paraId="5FB1F01E" w14:textId="77777777" w:rsidTr="00F71229">
        <w:trPr>
          <w:gridAfter w:val="1"/>
          <w:wAfter w:w="11" w:type="dxa"/>
        </w:trPr>
        <w:tc>
          <w:tcPr>
            <w:tcW w:w="1809" w:type="dxa"/>
            <w:tcBorders>
              <w:top w:val="nil"/>
              <w:left w:val="nil"/>
              <w:bottom w:val="nil"/>
              <w:right w:val="nil"/>
            </w:tcBorders>
          </w:tcPr>
          <w:p w14:paraId="306B6806"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1.5.3.</w:t>
            </w:r>
          </w:p>
        </w:tc>
        <w:tc>
          <w:tcPr>
            <w:tcW w:w="8157" w:type="dxa"/>
            <w:tcBorders>
              <w:top w:val="nil"/>
              <w:left w:val="nil"/>
              <w:bottom w:val="nil"/>
              <w:right w:val="nil"/>
            </w:tcBorders>
          </w:tcPr>
          <w:p w14:paraId="23827AE9" w14:textId="77777777" w:rsidR="006F76EB" w:rsidRPr="00834D52" w:rsidRDefault="006F76EB" w:rsidP="00607D50">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 xml:space="preserve">դեղագործական բաղադրամասի մաստեր-ֆայլի իրավատիրոջ` դեղագործական բաղադրամասի մաստեր-ֆայլի փակ մասի փաստաթղթերը Եվրասիական տնտեսական միության անդամ </w:t>
            </w:r>
            <w:r w:rsidRPr="00834D52">
              <w:rPr>
                <w:rFonts w:ascii="Sylfaen" w:hAnsi="Sylfaen"/>
                <w:sz w:val="24"/>
                <w:szCs w:val="24"/>
              </w:rPr>
              <w:lastRenderedPageBreak/>
              <w:t>պետության լիազորված մարմնի հարցմամբ ներկայացնելու համաձայնությունը հաստատող նամակը</w:t>
            </w:r>
          </w:p>
        </w:tc>
      </w:tr>
      <w:tr w:rsidR="006F76EB" w:rsidRPr="00834D52" w14:paraId="15CC2435" w14:textId="77777777" w:rsidTr="00F71229">
        <w:trPr>
          <w:gridAfter w:val="1"/>
          <w:wAfter w:w="11" w:type="dxa"/>
        </w:trPr>
        <w:tc>
          <w:tcPr>
            <w:tcW w:w="1809" w:type="dxa"/>
            <w:tcBorders>
              <w:top w:val="nil"/>
              <w:left w:val="nil"/>
              <w:bottom w:val="nil"/>
              <w:right w:val="nil"/>
            </w:tcBorders>
          </w:tcPr>
          <w:p w14:paraId="4855A6E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1.5.4.</w:t>
            </w:r>
          </w:p>
        </w:tc>
        <w:tc>
          <w:tcPr>
            <w:tcW w:w="8157" w:type="dxa"/>
            <w:tcBorders>
              <w:top w:val="nil"/>
              <w:left w:val="nil"/>
              <w:bottom w:val="nil"/>
              <w:right w:val="nil"/>
            </w:tcBorders>
          </w:tcPr>
          <w:p w14:paraId="18F1F837" w14:textId="77777777" w:rsidR="006F76EB" w:rsidRPr="00834D52" w:rsidRDefault="006F76EB" w:rsidP="00607D50">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Եվրոպական դեղագրքի պահանջներին դեղագործական բաղադրամասի համապատասխանության սերտիֆիկատի պատճենը (առկայության դեպքում)</w:t>
            </w:r>
          </w:p>
        </w:tc>
      </w:tr>
      <w:tr w:rsidR="006F76EB" w:rsidRPr="00834D52" w14:paraId="0B67AB47" w14:textId="77777777" w:rsidTr="00F71229">
        <w:trPr>
          <w:gridAfter w:val="1"/>
          <w:wAfter w:w="11" w:type="dxa"/>
        </w:trPr>
        <w:tc>
          <w:tcPr>
            <w:tcW w:w="1809" w:type="dxa"/>
            <w:tcBorders>
              <w:top w:val="nil"/>
              <w:left w:val="nil"/>
              <w:bottom w:val="nil"/>
              <w:right w:val="nil"/>
            </w:tcBorders>
          </w:tcPr>
          <w:p w14:paraId="5395D101"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1.5.5.</w:t>
            </w:r>
          </w:p>
        </w:tc>
        <w:tc>
          <w:tcPr>
            <w:tcW w:w="8157" w:type="dxa"/>
            <w:tcBorders>
              <w:top w:val="nil"/>
              <w:left w:val="nil"/>
              <w:bottom w:val="nil"/>
              <w:right w:val="nil"/>
            </w:tcBorders>
          </w:tcPr>
          <w:p w14:paraId="358005B4" w14:textId="77777777" w:rsidR="006F76EB" w:rsidRPr="00834D52" w:rsidRDefault="006F76EB" w:rsidP="00607D50">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պլազմայի մաստեր-ֆայլի սերտիֆիկատի պատճենը, որը տրվել է արտադրող երկրի լիազորված մարմնի կողմից (առկայության դեպքում)</w:t>
            </w:r>
          </w:p>
        </w:tc>
      </w:tr>
      <w:tr w:rsidR="006F76EB" w:rsidRPr="00834D52" w14:paraId="5E27FBD0" w14:textId="77777777" w:rsidTr="00F71229">
        <w:trPr>
          <w:gridAfter w:val="1"/>
          <w:wAfter w:w="11" w:type="dxa"/>
        </w:trPr>
        <w:tc>
          <w:tcPr>
            <w:tcW w:w="1809" w:type="dxa"/>
            <w:tcBorders>
              <w:top w:val="nil"/>
              <w:left w:val="nil"/>
              <w:bottom w:val="nil"/>
              <w:right w:val="nil"/>
            </w:tcBorders>
          </w:tcPr>
          <w:p w14:paraId="232270F3"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1.5.6.</w:t>
            </w:r>
          </w:p>
        </w:tc>
        <w:tc>
          <w:tcPr>
            <w:tcW w:w="8157" w:type="dxa"/>
            <w:tcBorders>
              <w:top w:val="nil"/>
              <w:left w:val="nil"/>
              <w:bottom w:val="nil"/>
              <w:right w:val="nil"/>
            </w:tcBorders>
          </w:tcPr>
          <w:p w14:paraId="7B53EFEB" w14:textId="77777777" w:rsidR="006F76EB" w:rsidRPr="00834D52" w:rsidRDefault="006F76EB" w:rsidP="00607D50">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պատվաստանյութային հակածնի մաստեր-ֆայլի սերտիֆիկատի պատճենը, որը տրվել է արտադրող երկրի լիազորված մարմնի կողմից (առկայության դեպքում)</w:t>
            </w:r>
          </w:p>
        </w:tc>
      </w:tr>
      <w:tr w:rsidR="006F76EB" w:rsidRPr="00834D52" w14:paraId="6334644E" w14:textId="77777777" w:rsidTr="00F71229">
        <w:trPr>
          <w:gridAfter w:val="1"/>
          <w:wAfter w:w="11" w:type="dxa"/>
        </w:trPr>
        <w:tc>
          <w:tcPr>
            <w:tcW w:w="1809" w:type="dxa"/>
            <w:tcBorders>
              <w:top w:val="nil"/>
              <w:left w:val="nil"/>
              <w:bottom w:val="nil"/>
              <w:right w:val="nil"/>
            </w:tcBorders>
          </w:tcPr>
          <w:p w14:paraId="3EF434B4"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w:t>
            </w:r>
          </w:p>
        </w:tc>
        <w:tc>
          <w:tcPr>
            <w:tcW w:w="8157" w:type="dxa"/>
            <w:tcBorders>
              <w:top w:val="nil"/>
              <w:left w:val="nil"/>
              <w:bottom w:val="nil"/>
              <w:right w:val="nil"/>
            </w:tcBorders>
          </w:tcPr>
          <w:p w14:paraId="3996A493" w14:textId="77777777" w:rsidR="006F76EB" w:rsidRPr="00834D52" w:rsidRDefault="006F76EB" w:rsidP="00607D50">
            <w:pPr>
              <w:spacing w:after="160" w:line="336" w:lineRule="auto"/>
              <w:ind w:right="113"/>
              <w:rPr>
                <w:rFonts w:ascii="Sylfaen" w:eastAsia="Times New Roman" w:hAnsi="Sylfaen" w:cs="Times New Roman"/>
                <w:sz w:val="24"/>
                <w:szCs w:val="24"/>
              </w:rPr>
            </w:pPr>
            <w:r w:rsidRPr="00834D52">
              <w:rPr>
                <w:rFonts w:ascii="Sylfaen" w:hAnsi="Sylfaen"/>
                <w:sz w:val="24"/>
                <w:szCs w:val="24"/>
              </w:rPr>
              <w:t>Արտադրության փաստաթղթերը</w:t>
            </w:r>
          </w:p>
        </w:tc>
      </w:tr>
      <w:tr w:rsidR="006F76EB" w:rsidRPr="00834D52" w14:paraId="6287280F" w14:textId="77777777" w:rsidTr="00F71229">
        <w:trPr>
          <w:gridAfter w:val="1"/>
          <w:wAfter w:w="11" w:type="dxa"/>
        </w:trPr>
        <w:tc>
          <w:tcPr>
            <w:tcW w:w="1809" w:type="dxa"/>
            <w:tcBorders>
              <w:top w:val="nil"/>
              <w:left w:val="nil"/>
              <w:bottom w:val="nil"/>
              <w:right w:val="nil"/>
            </w:tcBorders>
          </w:tcPr>
          <w:p w14:paraId="6BF8FA6C"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1.6.1.</w:t>
            </w:r>
          </w:p>
        </w:tc>
        <w:tc>
          <w:tcPr>
            <w:tcW w:w="8157" w:type="dxa"/>
            <w:tcBorders>
              <w:top w:val="nil"/>
              <w:left w:val="nil"/>
              <w:bottom w:val="nil"/>
              <w:right w:val="nil"/>
            </w:tcBorders>
          </w:tcPr>
          <w:p w14:paraId="49ABE543" w14:textId="77777777" w:rsidR="006F76EB" w:rsidRPr="00834D52" w:rsidRDefault="006F76EB" w:rsidP="00607D50">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պետության լիազորված մարմնի կողմից տրված՝ Եվրասիական տնտեսական հանձնաժողովի կողմից հաստատվող՝ Եվրասիական տնտեսական միության պատշաճ արտադրական գործունեության կանոնների պահանջներին գրանցման համար հայտագրված դեղապատրաստուկի արտադրողի (արտադրական հարթակի) համապատասխանությունը հաստատող գործող փաստաթղթի սահմանված կարգով վավերացված պատճենը, այն երկրի (երկրների) լիազորված մարմինների կողմից տրված՝ պատշաճ արտադրական գործունեության պահանջներին արտադրողի համապատասխանությունը հաստատող գործող փաստաթղթերի սահմանված կարգով վավերացված պատճենները, որտեղ տեղակայված է արտադրական հարթակը (արտադրության տարբեր էտապներում արտադրական հարթակները), </w:t>
            </w:r>
            <w:r w:rsidR="00C54D75">
              <w:rPr>
                <w:rFonts w:ascii="Sylfaen" w:hAnsi="Sylfaen"/>
                <w:sz w:val="24"/>
                <w:szCs w:val="24"/>
              </w:rPr>
              <w:t>և</w:t>
            </w:r>
            <w:r w:rsidRPr="00834D52">
              <w:rPr>
                <w:rFonts w:ascii="Sylfaen" w:hAnsi="Sylfaen"/>
                <w:sz w:val="24"/>
                <w:szCs w:val="24"/>
              </w:rPr>
              <w:t xml:space="preserve"> (կամ) այլ լիազորված մարմինների կողմից տրված պատճենները, իսկ առկայության դեպքում «Ինտերնետ» տեղեկատվական-հեռահաղորդակցության ցանցում (եթե կիրառելի է) ներկայացնել լիազորված մարմինների կողմից տրված՝ պատշաճ արտադրական գործունեության (օրինակ՝ EudraGMP) </w:t>
            </w:r>
            <w:r w:rsidRPr="00834D52">
              <w:rPr>
                <w:rFonts w:ascii="Sylfaen" w:hAnsi="Sylfaen"/>
                <w:sz w:val="24"/>
                <w:szCs w:val="24"/>
              </w:rPr>
              <w:lastRenderedPageBreak/>
              <w:t>պահանջներին համապատասխանությունը հաստատող սերտիֆիկատների ռեեստրի կայքի հասցեն</w:t>
            </w:r>
          </w:p>
        </w:tc>
      </w:tr>
      <w:tr w:rsidR="006F76EB" w:rsidRPr="00834D52" w14:paraId="276588AC" w14:textId="77777777" w:rsidTr="00F71229">
        <w:trPr>
          <w:gridAfter w:val="1"/>
          <w:wAfter w:w="11" w:type="dxa"/>
        </w:trPr>
        <w:tc>
          <w:tcPr>
            <w:tcW w:w="1809" w:type="dxa"/>
            <w:tcBorders>
              <w:top w:val="nil"/>
              <w:left w:val="nil"/>
              <w:bottom w:val="nil"/>
              <w:right w:val="nil"/>
            </w:tcBorders>
          </w:tcPr>
          <w:p w14:paraId="7618B6C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1.6.2.</w:t>
            </w:r>
          </w:p>
        </w:tc>
        <w:tc>
          <w:tcPr>
            <w:tcW w:w="8157" w:type="dxa"/>
            <w:tcBorders>
              <w:top w:val="nil"/>
              <w:left w:val="nil"/>
              <w:bottom w:val="nil"/>
              <w:right w:val="nil"/>
            </w:tcBorders>
          </w:tcPr>
          <w:p w14:paraId="2D296071"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այն երկրի լիազորված մարմնի կողմից տրված՝ արտադրություն իրականացնելու գործող թույտվության (լիցենզիայի) սահմանված կարգով վավերացված պատճենը (այդ թվում՝ դրա հավելվածները), որտեղ տեղակայված է արտադրական հարթակը (արտադրության տարբեր էտապներում արտադրական հարթակները)</w:t>
            </w:r>
          </w:p>
        </w:tc>
      </w:tr>
      <w:tr w:rsidR="006F76EB" w:rsidRPr="00834D52" w14:paraId="60D8F0F0" w14:textId="77777777" w:rsidTr="00F71229">
        <w:trPr>
          <w:gridAfter w:val="1"/>
          <w:wAfter w:w="11" w:type="dxa"/>
        </w:trPr>
        <w:tc>
          <w:tcPr>
            <w:tcW w:w="1809" w:type="dxa"/>
            <w:tcBorders>
              <w:top w:val="nil"/>
              <w:left w:val="nil"/>
              <w:bottom w:val="nil"/>
              <w:right w:val="nil"/>
            </w:tcBorders>
          </w:tcPr>
          <w:p w14:paraId="7D38FC1B"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1.6.3.</w:t>
            </w:r>
          </w:p>
        </w:tc>
        <w:tc>
          <w:tcPr>
            <w:tcW w:w="8157" w:type="dxa"/>
            <w:tcBorders>
              <w:top w:val="nil"/>
              <w:left w:val="nil"/>
              <w:bottom w:val="nil"/>
              <w:right w:val="nil"/>
            </w:tcBorders>
          </w:tcPr>
          <w:p w14:paraId="0E2C9EE8"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արտադրական հարթակի (արտադրության տարբեր էտապներում արտադրական հարթակների) պատշաճ արտադրական գործունեությանը համապատասխանության մասով տեսչական այն ստուգման (ստուգումների) հաշվետվությունների սահմանված կարգով վավերացված պատճենները, որն իրականացվել է (որոնք իրականացվել են) արտադրող երկրի լիազորված մարմնի կամ այլ լիազորված մարմնի կողմից՝ հայտը ներկայացնելու օրվանից հետո վերջին 3 տարիների ընթացքում՝ տեսչական ստուգումից հետո շտկող միջոցառումների (САРА) պլանի </w:t>
            </w:r>
            <w:r w:rsidR="00C54D75">
              <w:rPr>
                <w:rFonts w:ascii="Sylfaen" w:hAnsi="Sylfaen"/>
                <w:sz w:val="24"/>
                <w:szCs w:val="24"/>
              </w:rPr>
              <w:t>և</w:t>
            </w:r>
            <w:r w:rsidRPr="00834D52">
              <w:rPr>
                <w:rFonts w:ascii="Sylfaen" w:hAnsi="Sylfaen"/>
                <w:sz w:val="24"/>
                <w:szCs w:val="24"/>
              </w:rPr>
              <w:t xml:space="preserve"> հաշվետվության հետ մեկտեղ (առկայության դեպքում)</w:t>
            </w:r>
          </w:p>
        </w:tc>
      </w:tr>
      <w:tr w:rsidR="006F76EB" w:rsidRPr="00834D52" w14:paraId="52DF545F" w14:textId="77777777" w:rsidTr="00F71229">
        <w:trPr>
          <w:gridAfter w:val="1"/>
          <w:wAfter w:w="11" w:type="dxa"/>
        </w:trPr>
        <w:tc>
          <w:tcPr>
            <w:tcW w:w="1809" w:type="dxa"/>
            <w:tcBorders>
              <w:top w:val="nil"/>
              <w:left w:val="nil"/>
              <w:bottom w:val="nil"/>
              <w:right w:val="nil"/>
            </w:tcBorders>
          </w:tcPr>
          <w:p w14:paraId="7DA00C0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1.6.4.</w:t>
            </w:r>
          </w:p>
        </w:tc>
        <w:tc>
          <w:tcPr>
            <w:tcW w:w="8157" w:type="dxa"/>
            <w:tcBorders>
              <w:top w:val="nil"/>
              <w:left w:val="nil"/>
              <w:bottom w:val="nil"/>
              <w:right w:val="nil"/>
            </w:tcBorders>
          </w:tcPr>
          <w:p w14:paraId="7FFAC833" w14:textId="77777777" w:rsidR="006F76EB" w:rsidRPr="008C65C0"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իրավատիրոջ </w:t>
            </w:r>
            <w:r w:rsidR="00C54D75">
              <w:rPr>
                <w:rFonts w:ascii="Sylfaen" w:hAnsi="Sylfaen"/>
                <w:sz w:val="24"/>
                <w:szCs w:val="24"/>
              </w:rPr>
              <w:t>և</w:t>
            </w:r>
            <w:r w:rsidRPr="00834D52">
              <w:rPr>
                <w:rFonts w:ascii="Sylfaen" w:hAnsi="Sylfaen"/>
                <w:sz w:val="24"/>
                <w:szCs w:val="24"/>
              </w:rPr>
              <w:t xml:space="preserve"> արտադրողի միջ</w:t>
            </w:r>
            <w:r w:rsidR="00C54D75">
              <w:rPr>
                <w:rFonts w:ascii="Sylfaen" w:hAnsi="Sylfaen"/>
                <w:sz w:val="24"/>
                <w:szCs w:val="24"/>
              </w:rPr>
              <w:t>և</w:t>
            </w:r>
            <w:r w:rsidRPr="00834D52">
              <w:rPr>
                <w:rFonts w:ascii="Sylfaen" w:hAnsi="Sylfaen"/>
                <w:sz w:val="24"/>
                <w:szCs w:val="24"/>
              </w:rPr>
              <w:t xml:space="preserve"> պատշաճ արտադրական գործունեության պահանջները պահպանելու հարցերով կոնտրակտի (պայմանագրի)՝ սահմանված կարգով վավերացված պատճենը, եթե գրանցման հավաստագրի իրավատերը չի մասնակցում դեղապատրաստուկի արտադրության գործընթացին</w:t>
            </w:r>
            <w:r w:rsidR="008C65C0">
              <w:rPr>
                <w:rFonts w:ascii="Sylfaen" w:hAnsi="Sylfaen"/>
                <w:sz w:val="24"/>
                <w:szCs w:val="24"/>
              </w:rPr>
              <w:t xml:space="preserve"> </w:t>
            </w:r>
            <w:r w:rsidR="00E90FAF" w:rsidRPr="00E90FAF">
              <w:rPr>
                <w:rFonts w:ascii="Sylfaen" w:hAnsi="Sylfaen"/>
                <w:sz w:val="24"/>
                <w:szCs w:val="24"/>
              </w:rPr>
              <w:t>(</w:t>
            </w:r>
            <w:r w:rsidR="008C65C0">
              <w:rPr>
                <w:rFonts w:ascii="Sylfaen" w:hAnsi="Sylfaen"/>
                <w:sz w:val="24"/>
                <w:szCs w:val="24"/>
              </w:rPr>
              <w:t>առկայության դեպքում</w:t>
            </w:r>
            <w:r w:rsidR="00E90FAF" w:rsidRPr="00E90FAF">
              <w:rPr>
                <w:rFonts w:ascii="Sylfaen" w:hAnsi="Sylfaen"/>
                <w:sz w:val="24"/>
                <w:szCs w:val="24"/>
              </w:rPr>
              <w:t>)</w:t>
            </w:r>
          </w:p>
        </w:tc>
      </w:tr>
      <w:tr w:rsidR="006F76EB" w:rsidRPr="00834D52" w14:paraId="294B31D4" w14:textId="77777777" w:rsidTr="00F71229">
        <w:trPr>
          <w:gridAfter w:val="1"/>
          <w:wAfter w:w="11" w:type="dxa"/>
        </w:trPr>
        <w:tc>
          <w:tcPr>
            <w:tcW w:w="1809" w:type="dxa"/>
            <w:tcBorders>
              <w:top w:val="nil"/>
              <w:left w:val="nil"/>
              <w:bottom w:val="nil"/>
              <w:right w:val="nil"/>
            </w:tcBorders>
          </w:tcPr>
          <w:p w14:paraId="5CB4A67D"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1.6.5.</w:t>
            </w:r>
          </w:p>
        </w:tc>
        <w:tc>
          <w:tcPr>
            <w:tcW w:w="8157" w:type="dxa"/>
            <w:tcBorders>
              <w:top w:val="nil"/>
              <w:left w:val="nil"/>
              <w:bottom w:val="nil"/>
              <w:right w:val="nil"/>
            </w:tcBorders>
          </w:tcPr>
          <w:p w14:paraId="1963EB6B" w14:textId="77777777" w:rsidR="006F76EB" w:rsidRPr="007342DE"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պայմանագրային արտադրական հարթակի </w:t>
            </w:r>
            <w:r w:rsidR="00C54D75">
              <w:rPr>
                <w:rFonts w:ascii="Sylfaen" w:hAnsi="Sylfaen"/>
                <w:sz w:val="24"/>
                <w:szCs w:val="24"/>
              </w:rPr>
              <w:t>և</w:t>
            </w:r>
            <w:r w:rsidRPr="00834D52">
              <w:rPr>
                <w:rFonts w:ascii="Sylfaen" w:hAnsi="Sylfaen"/>
                <w:sz w:val="24"/>
                <w:szCs w:val="24"/>
              </w:rPr>
              <w:t xml:space="preserve"> արտադրողի միջ</w:t>
            </w:r>
            <w:r w:rsidR="00C54D75">
              <w:rPr>
                <w:rFonts w:ascii="Sylfaen" w:hAnsi="Sylfaen"/>
                <w:sz w:val="24"/>
                <w:szCs w:val="24"/>
              </w:rPr>
              <w:t>և</w:t>
            </w:r>
            <w:r w:rsidRPr="00834D52">
              <w:rPr>
                <w:rFonts w:ascii="Sylfaen" w:hAnsi="Sylfaen"/>
                <w:sz w:val="24"/>
                <w:szCs w:val="24"/>
              </w:rPr>
              <w:t xml:space="preserve"> պատշաճ արտադրական գործունեության պահանջները պահպանելու հարցերով կոնտրակտի (պայմանագրի)՝ սահմանված կարգով վավերացված պատճենը, եթե դեղապատրաստուկի արտադրության </w:t>
            </w:r>
            <w:r w:rsidRPr="00834D52">
              <w:rPr>
                <w:rFonts w:ascii="Sylfaen" w:hAnsi="Sylfaen"/>
                <w:sz w:val="24"/>
                <w:szCs w:val="24"/>
              </w:rPr>
              <w:lastRenderedPageBreak/>
              <w:t>ամբողջ գործընթացը կամ էտապներից մեկը իրականացվում է պայմանագրային արտադրական հարթակում</w:t>
            </w:r>
            <w:r w:rsidR="007342DE">
              <w:rPr>
                <w:rFonts w:ascii="Sylfaen" w:hAnsi="Sylfaen"/>
                <w:sz w:val="24"/>
                <w:szCs w:val="24"/>
              </w:rPr>
              <w:t xml:space="preserve"> </w:t>
            </w:r>
            <w:r w:rsidR="00E90FAF" w:rsidRPr="00E90FAF">
              <w:rPr>
                <w:rFonts w:ascii="Sylfaen" w:hAnsi="Sylfaen"/>
                <w:sz w:val="24"/>
                <w:szCs w:val="24"/>
              </w:rPr>
              <w:t>(</w:t>
            </w:r>
            <w:r w:rsidR="007342DE">
              <w:rPr>
                <w:rFonts w:ascii="Sylfaen" w:hAnsi="Sylfaen"/>
                <w:sz w:val="24"/>
                <w:szCs w:val="24"/>
              </w:rPr>
              <w:t>եթե կիրառելի է</w:t>
            </w:r>
            <w:r w:rsidR="00E90FAF" w:rsidRPr="00E90FAF">
              <w:rPr>
                <w:rFonts w:ascii="Sylfaen" w:hAnsi="Sylfaen"/>
                <w:sz w:val="24"/>
                <w:szCs w:val="24"/>
              </w:rPr>
              <w:t>)</w:t>
            </w:r>
          </w:p>
        </w:tc>
      </w:tr>
      <w:tr w:rsidR="006F76EB" w:rsidRPr="00834D52" w14:paraId="65CB492B" w14:textId="77777777" w:rsidTr="00F71229">
        <w:trPr>
          <w:gridAfter w:val="1"/>
          <w:wAfter w:w="11" w:type="dxa"/>
        </w:trPr>
        <w:tc>
          <w:tcPr>
            <w:tcW w:w="1809" w:type="dxa"/>
            <w:tcBorders>
              <w:top w:val="nil"/>
              <w:left w:val="nil"/>
              <w:bottom w:val="nil"/>
              <w:right w:val="nil"/>
            </w:tcBorders>
          </w:tcPr>
          <w:p w14:paraId="44C3503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1.6.6.</w:t>
            </w:r>
          </w:p>
        </w:tc>
        <w:tc>
          <w:tcPr>
            <w:tcW w:w="8157" w:type="dxa"/>
            <w:tcBorders>
              <w:top w:val="nil"/>
              <w:left w:val="nil"/>
              <w:bottom w:val="nil"/>
              <w:right w:val="nil"/>
            </w:tcBorders>
          </w:tcPr>
          <w:p w14:paraId="13E8D1F4"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կարգավորիչ ցանկացած միջոցի մասին տեղեկություններ, որը ձեռնարկվել է հայտագրված արտադրական հարթակին առնչվող տեսչական ստուգման արդյունքներով տեսչական ստուգում իրականացնող լիազորված մարմնի կողմից վերջին 3 տարիների ընթացքում (հայտը ներկայացնելու օրվանից) (առկայության դեպքում)</w:t>
            </w:r>
          </w:p>
        </w:tc>
      </w:tr>
      <w:tr w:rsidR="006F76EB" w:rsidRPr="00834D52" w14:paraId="17EF3247" w14:textId="77777777" w:rsidTr="00F71229">
        <w:trPr>
          <w:gridAfter w:val="1"/>
          <w:wAfter w:w="11" w:type="dxa"/>
        </w:trPr>
        <w:tc>
          <w:tcPr>
            <w:tcW w:w="1809" w:type="dxa"/>
            <w:tcBorders>
              <w:top w:val="nil"/>
              <w:left w:val="nil"/>
              <w:bottom w:val="nil"/>
              <w:right w:val="nil"/>
            </w:tcBorders>
          </w:tcPr>
          <w:p w14:paraId="42C2D40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1.6.7.</w:t>
            </w:r>
          </w:p>
        </w:tc>
        <w:tc>
          <w:tcPr>
            <w:tcW w:w="8157" w:type="dxa"/>
            <w:tcBorders>
              <w:top w:val="nil"/>
              <w:left w:val="nil"/>
              <w:bottom w:val="nil"/>
              <w:right w:val="nil"/>
            </w:tcBorders>
          </w:tcPr>
          <w:p w14:paraId="474E0A55"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որակի հարցերով լիազորված անձի նամակը գրանցման համար հայտագրված դեղապատրաստուկի արտադրության պայմանների՝ Եվրասիական տնտեսական հանձնաժողովի կողմից հաստատվող` Եվրասիական տնտեսական միության պատշաճ արտադրական գործունեության կանոններին համապատասխանության մասին, այդ թվում՝ դեղապատրաստուկի </w:t>
            </w:r>
            <w:r w:rsidR="00C54D75">
              <w:rPr>
                <w:rFonts w:ascii="Sylfaen" w:hAnsi="Sylfaen"/>
                <w:sz w:val="24"/>
                <w:szCs w:val="24"/>
              </w:rPr>
              <w:t>և</w:t>
            </w:r>
            <w:r w:rsidRPr="00834D52">
              <w:rPr>
                <w:rFonts w:ascii="Sylfaen" w:hAnsi="Sylfaen"/>
                <w:sz w:val="24"/>
                <w:szCs w:val="24"/>
              </w:rPr>
              <w:t xml:space="preserve"> ակտիվ դեղագործական բաղադրամասի արտադրության գործընթացում օգտագործվող յուրաքանչյուր արտադրական հարթակի համար ելանյութերի </w:t>
            </w:r>
            <w:r w:rsidR="00C54D75">
              <w:rPr>
                <w:rFonts w:ascii="Sylfaen" w:hAnsi="Sylfaen"/>
                <w:sz w:val="24"/>
                <w:szCs w:val="24"/>
              </w:rPr>
              <w:t>և</w:t>
            </w:r>
            <w:r w:rsidRPr="00834D52">
              <w:rPr>
                <w:rFonts w:ascii="Sylfaen" w:hAnsi="Sylfaen"/>
                <w:sz w:val="24"/>
                <w:szCs w:val="24"/>
              </w:rPr>
              <w:t xml:space="preserve"> ակտիվ դեղագործական բաղադրամասի մասով, ներառյալ այն հարթակները, որտեղ իրականացվում է որակի հսկողություն </w:t>
            </w:r>
            <w:r w:rsidR="00C54D75">
              <w:rPr>
                <w:rFonts w:ascii="Sylfaen" w:hAnsi="Sylfaen"/>
                <w:sz w:val="24"/>
                <w:szCs w:val="24"/>
              </w:rPr>
              <w:t>և</w:t>
            </w:r>
            <w:r w:rsidRPr="00834D52">
              <w:rPr>
                <w:rFonts w:ascii="Sylfaen" w:hAnsi="Sylfaen"/>
                <w:sz w:val="24"/>
                <w:szCs w:val="24"/>
              </w:rPr>
              <w:t xml:space="preserve"> հսկողություն արտադրության գործընթացում: Նամակը պետք է ստորագրվի որակի հարցերով լիազորված մարմնի կողմից </w:t>
            </w:r>
            <w:r w:rsidR="00C54D75">
              <w:rPr>
                <w:rFonts w:ascii="Sylfaen" w:hAnsi="Sylfaen"/>
                <w:sz w:val="24"/>
                <w:szCs w:val="24"/>
              </w:rPr>
              <w:t>և</w:t>
            </w:r>
            <w:r w:rsidRPr="00834D52">
              <w:rPr>
                <w:rFonts w:ascii="Sylfaen" w:hAnsi="Sylfaen"/>
                <w:sz w:val="24"/>
                <w:szCs w:val="24"/>
              </w:rPr>
              <w:t xml:space="preserve"> վավերացվի արտադրողի կնիքով (դրոշմակնիքով)՝ անհրաժեշտության դեպքում ուղեկցվելով ռուսերեն թարգմանությամբ</w:t>
            </w:r>
          </w:p>
        </w:tc>
      </w:tr>
      <w:tr w:rsidR="006F76EB" w:rsidRPr="00834D52" w14:paraId="636B4B2E" w14:textId="77777777" w:rsidTr="00F71229">
        <w:trPr>
          <w:gridAfter w:val="1"/>
          <w:wAfter w:w="11" w:type="dxa"/>
        </w:trPr>
        <w:tc>
          <w:tcPr>
            <w:tcW w:w="1809" w:type="dxa"/>
            <w:tcBorders>
              <w:top w:val="nil"/>
              <w:left w:val="nil"/>
              <w:bottom w:val="nil"/>
              <w:right w:val="nil"/>
            </w:tcBorders>
          </w:tcPr>
          <w:p w14:paraId="4E6887A3"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1.6.8.</w:t>
            </w:r>
          </w:p>
        </w:tc>
        <w:tc>
          <w:tcPr>
            <w:tcW w:w="8157" w:type="dxa"/>
            <w:tcBorders>
              <w:top w:val="nil"/>
              <w:left w:val="nil"/>
              <w:bottom w:val="nil"/>
              <w:right w:val="nil"/>
            </w:tcBorders>
          </w:tcPr>
          <w:p w14:paraId="1B285AC0" w14:textId="77777777" w:rsidR="006F76EB" w:rsidRPr="00834D52" w:rsidRDefault="006F76EB" w:rsidP="00F71229">
            <w:pPr>
              <w:spacing w:after="160" w:line="360" w:lineRule="auto"/>
              <w:ind w:right="111"/>
              <w:jc w:val="both"/>
              <w:rPr>
                <w:rFonts w:ascii="Sylfaen" w:hAnsi="Sylfaen"/>
                <w:sz w:val="24"/>
                <w:szCs w:val="24"/>
              </w:rPr>
            </w:pPr>
            <w:r w:rsidRPr="00834D52">
              <w:rPr>
                <w:rFonts w:ascii="Sylfaen" w:hAnsi="Sylfaen"/>
                <w:sz w:val="24"/>
                <w:szCs w:val="24"/>
              </w:rPr>
              <w:t>դեղապատրաստուկի գրանցման համար հայտագրված արտադրական հարթակում դեղապատրաստուկների որակի առնչությամբ վերջին 3 տարիների ընթացքում ներկայացված բողոքագրերի մասին տեղեկությունները (եթե կիրառելի է)</w:t>
            </w:r>
          </w:p>
          <w:p w14:paraId="762E25C1"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p>
        </w:tc>
      </w:tr>
      <w:tr w:rsidR="006F76EB" w:rsidRPr="00834D52" w14:paraId="2E12EF01" w14:textId="77777777" w:rsidTr="00F71229">
        <w:trPr>
          <w:gridAfter w:val="1"/>
          <w:wAfter w:w="11" w:type="dxa"/>
        </w:trPr>
        <w:tc>
          <w:tcPr>
            <w:tcW w:w="1809" w:type="dxa"/>
            <w:tcBorders>
              <w:top w:val="nil"/>
              <w:left w:val="nil"/>
              <w:bottom w:val="nil"/>
              <w:right w:val="nil"/>
            </w:tcBorders>
          </w:tcPr>
          <w:p w14:paraId="26301D79"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1.6.9.</w:t>
            </w:r>
          </w:p>
        </w:tc>
        <w:tc>
          <w:tcPr>
            <w:tcW w:w="8157" w:type="dxa"/>
            <w:tcBorders>
              <w:top w:val="nil"/>
              <w:left w:val="nil"/>
              <w:bottom w:val="nil"/>
              <w:right w:val="nil"/>
            </w:tcBorders>
          </w:tcPr>
          <w:p w14:paraId="1EE764CE"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Եվրասիական տնտեսական հանձնաժողովի կողմից հաստատվող՝ Եվրասիական տնտեսական միության պատշաճ արտադրական գործունեության կանոնների պահանջներին համապատասխանության մասով դեղագործական տեսչական ստուգում անցկացնելու համաձայնությունը</w:t>
            </w:r>
          </w:p>
        </w:tc>
      </w:tr>
      <w:tr w:rsidR="006F76EB" w:rsidRPr="00834D52" w14:paraId="12FE92B0" w14:textId="77777777" w:rsidTr="00F71229">
        <w:trPr>
          <w:gridAfter w:val="1"/>
          <w:wAfter w:w="11" w:type="dxa"/>
        </w:trPr>
        <w:tc>
          <w:tcPr>
            <w:tcW w:w="1809" w:type="dxa"/>
            <w:tcBorders>
              <w:top w:val="nil"/>
              <w:left w:val="nil"/>
              <w:bottom w:val="nil"/>
              <w:right w:val="nil"/>
            </w:tcBorders>
          </w:tcPr>
          <w:p w14:paraId="2767CDBC"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1.6.10.</w:t>
            </w:r>
          </w:p>
        </w:tc>
        <w:tc>
          <w:tcPr>
            <w:tcW w:w="8157" w:type="dxa"/>
            <w:tcBorders>
              <w:top w:val="nil"/>
              <w:left w:val="nil"/>
              <w:bottom w:val="nil"/>
              <w:right w:val="nil"/>
            </w:tcBorders>
          </w:tcPr>
          <w:p w14:paraId="544C6D01"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արտադրական հարթակի (արտադրական հարթակների) հիմնական դոսյեի (մաստեր-ֆայլի)՝ հայտատուի կողմից վավերացված պատճենը (եթե կիրառելի է)</w:t>
            </w:r>
          </w:p>
        </w:tc>
      </w:tr>
      <w:tr w:rsidR="006F76EB" w:rsidRPr="00834D52" w14:paraId="33C397FA" w14:textId="77777777" w:rsidTr="00F71229">
        <w:trPr>
          <w:gridAfter w:val="1"/>
          <w:wAfter w:w="11" w:type="dxa"/>
        </w:trPr>
        <w:tc>
          <w:tcPr>
            <w:tcW w:w="1809" w:type="dxa"/>
            <w:tcBorders>
              <w:top w:val="nil"/>
              <w:left w:val="nil"/>
              <w:bottom w:val="nil"/>
              <w:right w:val="nil"/>
            </w:tcBorders>
          </w:tcPr>
          <w:p w14:paraId="4B4E1CD0"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1.6.11.</w:t>
            </w:r>
          </w:p>
        </w:tc>
        <w:tc>
          <w:tcPr>
            <w:tcW w:w="8157" w:type="dxa"/>
            <w:tcBorders>
              <w:top w:val="nil"/>
              <w:left w:val="nil"/>
              <w:bottom w:val="nil"/>
              <w:right w:val="nil"/>
            </w:tcBorders>
          </w:tcPr>
          <w:p w14:paraId="0EB43E38"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արտադրության էտապների սխեման՝ նշելով դեղապատրաստուկի </w:t>
            </w:r>
            <w:r w:rsidR="00C54D75">
              <w:rPr>
                <w:rFonts w:ascii="Sylfaen" w:hAnsi="Sylfaen"/>
                <w:sz w:val="24"/>
                <w:szCs w:val="24"/>
              </w:rPr>
              <w:t>և</w:t>
            </w:r>
            <w:r w:rsidRPr="00834D52">
              <w:rPr>
                <w:rFonts w:ascii="Sylfaen" w:hAnsi="Sylfaen"/>
                <w:sz w:val="24"/>
                <w:szCs w:val="24"/>
              </w:rPr>
              <w:t xml:space="preserve"> ակտիվ դեղագործական բաղադրամասի արտադրության գործընթացում ներգրավված բոլոր արտադրական հարթակները, ներառյալ՝ բացթողման որակի հսկողությունը</w:t>
            </w:r>
          </w:p>
        </w:tc>
      </w:tr>
      <w:tr w:rsidR="006F76EB" w:rsidRPr="00834D52" w14:paraId="1720F0F7" w14:textId="77777777" w:rsidTr="00F71229">
        <w:trPr>
          <w:gridAfter w:val="1"/>
          <w:wAfter w:w="11" w:type="dxa"/>
        </w:trPr>
        <w:tc>
          <w:tcPr>
            <w:tcW w:w="1809" w:type="dxa"/>
            <w:tcBorders>
              <w:top w:val="nil"/>
              <w:left w:val="nil"/>
              <w:bottom w:val="nil"/>
              <w:right w:val="nil"/>
            </w:tcBorders>
          </w:tcPr>
          <w:p w14:paraId="71AA1D0C"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1.7.</w:t>
            </w:r>
          </w:p>
        </w:tc>
        <w:tc>
          <w:tcPr>
            <w:tcW w:w="8157" w:type="dxa"/>
            <w:tcBorders>
              <w:top w:val="nil"/>
              <w:left w:val="nil"/>
              <w:bottom w:val="nil"/>
              <w:right w:val="nil"/>
            </w:tcBorders>
          </w:tcPr>
          <w:p w14:paraId="26293D49"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Մասնագետների մասին տեղեկատվություն՝</w:t>
            </w:r>
          </w:p>
        </w:tc>
      </w:tr>
      <w:tr w:rsidR="006F76EB" w:rsidRPr="00834D52" w14:paraId="033BD5EA" w14:textId="77777777" w:rsidTr="00F71229">
        <w:trPr>
          <w:gridAfter w:val="1"/>
          <w:wAfter w:w="11" w:type="dxa"/>
        </w:trPr>
        <w:tc>
          <w:tcPr>
            <w:tcW w:w="1809" w:type="dxa"/>
            <w:tcBorders>
              <w:top w:val="nil"/>
              <w:left w:val="nil"/>
              <w:bottom w:val="nil"/>
              <w:right w:val="nil"/>
            </w:tcBorders>
          </w:tcPr>
          <w:p w14:paraId="65C8E63B"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1.7.1</w:t>
            </w:r>
          </w:p>
        </w:tc>
        <w:tc>
          <w:tcPr>
            <w:tcW w:w="8157" w:type="dxa"/>
            <w:tcBorders>
              <w:top w:val="nil"/>
              <w:left w:val="nil"/>
              <w:bottom w:val="nil"/>
              <w:right w:val="nil"/>
            </w:tcBorders>
          </w:tcPr>
          <w:p w14:paraId="67354F9B"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տեղեկատվություն (հակիրճ ռեզյումե)՝ որակի ռեզյումե պատրաստած մասնագետի մասին</w:t>
            </w:r>
          </w:p>
        </w:tc>
      </w:tr>
      <w:tr w:rsidR="006F76EB" w:rsidRPr="00834D52" w14:paraId="0FF99E4B" w14:textId="77777777" w:rsidTr="00F71229">
        <w:trPr>
          <w:gridAfter w:val="1"/>
          <w:wAfter w:w="11" w:type="dxa"/>
        </w:trPr>
        <w:tc>
          <w:tcPr>
            <w:tcW w:w="1809" w:type="dxa"/>
            <w:tcBorders>
              <w:top w:val="nil"/>
              <w:left w:val="nil"/>
              <w:bottom w:val="nil"/>
              <w:right w:val="nil"/>
            </w:tcBorders>
          </w:tcPr>
          <w:p w14:paraId="298A1500"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1.7.2.</w:t>
            </w:r>
          </w:p>
        </w:tc>
        <w:tc>
          <w:tcPr>
            <w:tcW w:w="8157" w:type="dxa"/>
            <w:tcBorders>
              <w:top w:val="nil"/>
              <w:left w:val="nil"/>
              <w:bottom w:val="nil"/>
              <w:right w:val="nil"/>
            </w:tcBorders>
          </w:tcPr>
          <w:p w14:paraId="3154742D"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տեղեկատվություն (հակիրճ ռեզյումե)՝ նախակլինիկական տվյալների վերաբերյալ ռեզյումե պատրաստած մասնագետի մասին</w:t>
            </w:r>
          </w:p>
        </w:tc>
      </w:tr>
      <w:tr w:rsidR="006F76EB" w:rsidRPr="00834D52" w14:paraId="78B267C8" w14:textId="77777777" w:rsidTr="00F71229">
        <w:trPr>
          <w:gridAfter w:val="1"/>
          <w:wAfter w:w="11" w:type="dxa"/>
          <w:trHeight w:val="930"/>
        </w:trPr>
        <w:tc>
          <w:tcPr>
            <w:tcW w:w="1809" w:type="dxa"/>
            <w:tcBorders>
              <w:top w:val="nil"/>
              <w:left w:val="nil"/>
              <w:bottom w:val="nil"/>
              <w:right w:val="nil"/>
            </w:tcBorders>
          </w:tcPr>
          <w:p w14:paraId="763A62B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1.7.3.</w:t>
            </w:r>
          </w:p>
        </w:tc>
        <w:tc>
          <w:tcPr>
            <w:tcW w:w="8157" w:type="dxa"/>
            <w:tcBorders>
              <w:top w:val="nil"/>
              <w:left w:val="nil"/>
              <w:bottom w:val="nil"/>
              <w:right w:val="nil"/>
            </w:tcBorders>
          </w:tcPr>
          <w:p w14:paraId="38E9B430"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տեղեկատվություն (հակիրճ ռեզյումե)՝ կլինիկական տվյալների վերաբերյալ ռեզյումե պատրաստած մասնագետի մասին</w:t>
            </w:r>
          </w:p>
        </w:tc>
      </w:tr>
      <w:tr w:rsidR="006F76EB" w:rsidRPr="00834D52" w14:paraId="5A544B86" w14:textId="77777777" w:rsidTr="00F71229">
        <w:trPr>
          <w:gridAfter w:val="1"/>
          <w:wAfter w:w="11" w:type="dxa"/>
        </w:trPr>
        <w:tc>
          <w:tcPr>
            <w:tcW w:w="1809" w:type="dxa"/>
            <w:tcBorders>
              <w:top w:val="nil"/>
              <w:left w:val="nil"/>
              <w:bottom w:val="nil"/>
              <w:right w:val="nil"/>
            </w:tcBorders>
          </w:tcPr>
          <w:p w14:paraId="6F44556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1.8.</w:t>
            </w:r>
          </w:p>
        </w:tc>
        <w:tc>
          <w:tcPr>
            <w:tcW w:w="8157" w:type="dxa"/>
            <w:tcBorders>
              <w:top w:val="nil"/>
              <w:left w:val="nil"/>
              <w:bottom w:val="nil"/>
              <w:right w:val="nil"/>
            </w:tcBorders>
          </w:tcPr>
          <w:p w14:paraId="2B8CF9B4"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Տարբեր տեսակի հայտերի համար մասնահատուկ պահանջները՝</w:t>
            </w:r>
          </w:p>
        </w:tc>
      </w:tr>
      <w:tr w:rsidR="006F76EB" w:rsidRPr="00834D52" w14:paraId="4FFF85C0" w14:textId="77777777" w:rsidTr="00F71229">
        <w:trPr>
          <w:gridAfter w:val="1"/>
          <w:wAfter w:w="11" w:type="dxa"/>
        </w:trPr>
        <w:tc>
          <w:tcPr>
            <w:tcW w:w="1809" w:type="dxa"/>
            <w:tcBorders>
              <w:top w:val="nil"/>
              <w:left w:val="nil"/>
              <w:bottom w:val="nil"/>
              <w:right w:val="nil"/>
            </w:tcBorders>
          </w:tcPr>
          <w:p w14:paraId="6EE24B6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1.8.1.</w:t>
            </w:r>
          </w:p>
        </w:tc>
        <w:tc>
          <w:tcPr>
            <w:tcW w:w="8157" w:type="dxa"/>
            <w:tcBorders>
              <w:top w:val="nil"/>
              <w:left w:val="nil"/>
              <w:bottom w:val="nil"/>
              <w:right w:val="nil"/>
            </w:tcBorders>
          </w:tcPr>
          <w:p w14:paraId="7A740562" w14:textId="77777777" w:rsidR="006F76EB" w:rsidRPr="00401706"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դեղապատրաստուկի լրացուցիչ առ</w:t>
            </w:r>
            <w:r w:rsidR="00C54D75">
              <w:rPr>
                <w:rFonts w:ascii="Sylfaen" w:hAnsi="Sylfaen"/>
                <w:sz w:val="24"/>
                <w:szCs w:val="24"/>
              </w:rPr>
              <w:t>և</w:t>
            </w:r>
            <w:r w:rsidRPr="00834D52">
              <w:rPr>
                <w:rFonts w:ascii="Sylfaen" w:hAnsi="Sylfaen"/>
                <w:sz w:val="24"/>
                <w:szCs w:val="24"/>
              </w:rPr>
              <w:t>տրային անվանման մասին գրանցման հավաստագրի իրավատիրոջ նամակը</w:t>
            </w:r>
            <w:r w:rsidR="00401706">
              <w:rPr>
                <w:rFonts w:ascii="Sylfaen" w:hAnsi="Sylfaen"/>
                <w:sz w:val="24"/>
                <w:szCs w:val="24"/>
              </w:rPr>
              <w:t xml:space="preserve"> </w:t>
            </w:r>
            <w:r w:rsidR="00E90FAF" w:rsidRPr="00E90FAF">
              <w:rPr>
                <w:rFonts w:ascii="Sylfaen" w:hAnsi="Sylfaen"/>
                <w:sz w:val="24"/>
                <w:szCs w:val="24"/>
              </w:rPr>
              <w:t>(</w:t>
            </w:r>
            <w:r w:rsidR="00401706">
              <w:rPr>
                <w:rFonts w:ascii="Sylfaen" w:hAnsi="Sylfaen"/>
                <w:sz w:val="24"/>
                <w:szCs w:val="24"/>
              </w:rPr>
              <w:t>եթե կիրառելի է</w:t>
            </w:r>
            <w:r w:rsidR="00E90FAF" w:rsidRPr="00E90FAF">
              <w:rPr>
                <w:rFonts w:ascii="Sylfaen" w:hAnsi="Sylfaen"/>
                <w:sz w:val="24"/>
                <w:szCs w:val="24"/>
              </w:rPr>
              <w:t>)</w:t>
            </w:r>
          </w:p>
        </w:tc>
      </w:tr>
      <w:tr w:rsidR="006F76EB" w:rsidRPr="00834D52" w14:paraId="1C88C6E6" w14:textId="77777777" w:rsidTr="00F71229">
        <w:trPr>
          <w:gridAfter w:val="1"/>
          <w:wAfter w:w="11" w:type="dxa"/>
        </w:trPr>
        <w:tc>
          <w:tcPr>
            <w:tcW w:w="1809" w:type="dxa"/>
            <w:tcBorders>
              <w:top w:val="nil"/>
              <w:left w:val="nil"/>
              <w:bottom w:val="nil"/>
              <w:right w:val="nil"/>
            </w:tcBorders>
          </w:tcPr>
          <w:p w14:paraId="18BAE80D"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1.8.2.</w:t>
            </w:r>
          </w:p>
        </w:tc>
        <w:tc>
          <w:tcPr>
            <w:tcW w:w="8157" w:type="dxa"/>
            <w:tcBorders>
              <w:top w:val="nil"/>
              <w:left w:val="nil"/>
              <w:bottom w:val="nil"/>
              <w:right w:val="nil"/>
            </w:tcBorders>
          </w:tcPr>
          <w:p w14:paraId="5564F145" w14:textId="77777777" w:rsidR="006F76EB" w:rsidRPr="00834D52" w:rsidRDefault="006F76EB" w:rsidP="003205E0">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կլինիկական հետազոտությունների փաստաթղթերը (եթե կիրառելի են)</w:t>
            </w:r>
          </w:p>
        </w:tc>
      </w:tr>
      <w:tr w:rsidR="006F76EB" w:rsidRPr="00834D52" w14:paraId="2B33C977" w14:textId="77777777" w:rsidTr="00F71229">
        <w:trPr>
          <w:gridAfter w:val="1"/>
          <w:wAfter w:w="11" w:type="dxa"/>
        </w:trPr>
        <w:tc>
          <w:tcPr>
            <w:tcW w:w="1809" w:type="dxa"/>
            <w:tcBorders>
              <w:top w:val="nil"/>
              <w:left w:val="nil"/>
              <w:bottom w:val="nil"/>
              <w:right w:val="nil"/>
            </w:tcBorders>
          </w:tcPr>
          <w:p w14:paraId="46432F6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1.8.3.</w:t>
            </w:r>
          </w:p>
        </w:tc>
        <w:tc>
          <w:tcPr>
            <w:tcW w:w="8157" w:type="dxa"/>
            <w:tcBorders>
              <w:top w:val="nil"/>
              <w:left w:val="nil"/>
              <w:bottom w:val="nil"/>
              <w:right w:val="nil"/>
            </w:tcBorders>
          </w:tcPr>
          <w:p w14:paraId="1A7F92EA" w14:textId="77777777" w:rsidR="006F76EB" w:rsidRPr="00834D52" w:rsidRDefault="006F76EB" w:rsidP="00F71229">
            <w:pPr>
              <w:spacing w:after="160" w:line="360" w:lineRule="auto"/>
              <w:ind w:right="111"/>
              <w:jc w:val="both"/>
              <w:rPr>
                <w:rFonts w:ascii="Sylfaen" w:eastAsia="Times New Roman" w:hAnsi="Sylfaen" w:cs="Times New Roman"/>
                <w:spacing w:val="-4"/>
                <w:sz w:val="24"/>
                <w:szCs w:val="24"/>
              </w:rPr>
            </w:pPr>
            <w:r w:rsidRPr="00834D52">
              <w:rPr>
                <w:rFonts w:ascii="Sylfaen" w:hAnsi="Sylfaen"/>
                <w:spacing w:val="-4"/>
                <w:sz w:val="24"/>
                <w:szCs w:val="24"/>
              </w:rPr>
              <w:t>կլինիկական հետազոտությունների ցանկով աղյուսակ (եթե կիրառելի է)</w:t>
            </w:r>
          </w:p>
        </w:tc>
      </w:tr>
      <w:tr w:rsidR="006F76EB" w:rsidRPr="00834D52" w14:paraId="4ABC2696" w14:textId="77777777" w:rsidTr="00F71229">
        <w:trPr>
          <w:gridAfter w:val="1"/>
          <w:wAfter w:w="11" w:type="dxa"/>
        </w:trPr>
        <w:tc>
          <w:tcPr>
            <w:tcW w:w="1809" w:type="dxa"/>
            <w:tcBorders>
              <w:top w:val="nil"/>
              <w:left w:val="nil"/>
              <w:bottom w:val="nil"/>
              <w:right w:val="nil"/>
            </w:tcBorders>
          </w:tcPr>
          <w:p w14:paraId="7CC4A561"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1.8.4.</w:t>
            </w:r>
          </w:p>
        </w:tc>
        <w:tc>
          <w:tcPr>
            <w:tcW w:w="8157" w:type="dxa"/>
            <w:tcBorders>
              <w:top w:val="nil"/>
              <w:left w:val="nil"/>
              <w:bottom w:val="nil"/>
              <w:right w:val="nil"/>
            </w:tcBorders>
          </w:tcPr>
          <w:p w14:paraId="1F098190" w14:textId="77777777" w:rsidR="006F76EB" w:rsidRPr="00834D52" w:rsidRDefault="006F76EB" w:rsidP="00F71229">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 xml:space="preserve">գրանցման հավաստագրի իրավատիրոջ նամակը՝ Եվրասիական տնտեսական հանձնաժողովի կողմից հաստատվող՝ Եվրասիական տնտեսական միության պատշաճ կլինիկական գործունեության կանոնների պահանջներին գրանցման համար հայտագրված դեղապատրաստուկի կլինիկական հետազոտությունների համապատասխանության մասին </w:t>
            </w:r>
          </w:p>
        </w:tc>
      </w:tr>
      <w:tr w:rsidR="006F76EB" w:rsidRPr="00834D52" w14:paraId="623D4869" w14:textId="77777777" w:rsidTr="00F71229">
        <w:trPr>
          <w:gridAfter w:val="1"/>
          <w:wAfter w:w="11" w:type="dxa"/>
        </w:trPr>
        <w:tc>
          <w:tcPr>
            <w:tcW w:w="1809" w:type="dxa"/>
            <w:tcBorders>
              <w:top w:val="nil"/>
              <w:left w:val="nil"/>
              <w:bottom w:val="nil"/>
              <w:right w:val="nil"/>
            </w:tcBorders>
          </w:tcPr>
          <w:p w14:paraId="2F2127F4"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1.9.</w:t>
            </w:r>
          </w:p>
        </w:tc>
        <w:tc>
          <w:tcPr>
            <w:tcW w:w="8157" w:type="dxa"/>
            <w:tcBorders>
              <w:top w:val="nil"/>
              <w:left w:val="nil"/>
              <w:bottom w:val="nil"/>
              <w:right w:val="nil"/>
            </w:tcBorders>
          </w:tcPr>
          <w:p w14:paraId="26067EDA" w14:textId="77777777" w:rsidR="006F76EB" w:rsidRPr="00834D52" w:rsidRDefault="006F76EB" w:rsidP="00F71229">
            <w:pPr>
              <w:spacing w:after="160" w:line="336" w:lineRule="auto"/>
              <w:ind w:right="113"/>
              <w:rPr>
                <w:rFonts w:ascii="Sylfaen" w:eastAsia="Times New Roman" w:hAnsi="Sylfaen" w:cs="Times New Roman"/>
                <w:sz w:val="24"/>
                <w:szCs w:val="24"/>
              </w:rPr>
            </w:pPr>
            <w:r w:rsidRPr="00834D52">
              <w:rPr>
                <w:rFonts w:ascii="Sylfaen" w:hAnsi="Sylfaen"/>
                <w:sz w:val="24"/>
                <w:szCs w:val="24"/>
              </w:rPr>
              <w:t>Հայտատուի փաստաթղթերը՝ շրջակա միջավայրի համար պոտենցիալ վտանգը գնահատելու մասին (առկայության դեպքում)՝</w:t>
            </w:r>
          </w:p>
        </w:tc>
      </w:tr>
      <w:tr w:rsidR="006F76EB" w:rsidRPr="00834D52" w14:paraId="74FAC3AD" w14:textId="77777777" w:rsidTr="00F71229">
        <w:trPr>
          <w:gridAfter w:val="1"/>
          <w:wAfter w:w="11" w:type="dxa"/>
        </w:trPr>
        <w:tc>
          <w:tcPr>
            <w:tcW w:w="1809" w:type="dxa"/>
            <w:tcBorders>
              <w:top w:val="nil"/>
              <w:left w:val="nil"/>
              <w:bottom w:val="nil"/>
              <w:right w:val="nil"/>
            </w:tcBorders>
          </w:tcPr>
          <w:p w14:paraId="640FCE7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1.9.1.</w:t>
            </w:r>
          </w:p>
        </w:tc>
        <w:tc>
          <w:tcPr>
            <w:tcW w:w="8157" w:type="dxa"/>
            <w:tcBorders>
              <w:top w:val="nil"/>
              <w:left w:val="nil"/>
              <w:bottom w:val="nil"/>
              <w:right w:val="nil"/>
            </w:tcBorders>
          </w:tcPr>
          <w:p w14:paraId="4D70A1C4" w14:textId="77777777" w:rsidR="006F76EB" w:rsidRPr="00834D52" w:rsidRDefault="006F76EB" w:rsidP="00F71229">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 xml:space="preserve">հայտատուի նամակն այն մասին, որ դեղապատրաստուկները պարունակում են գենետիկորեն մոդիֆիկացված օրգանիզմներ կամ ստացվել են դրանցից </w:t>
            </w:r>
            <w:r w:rsidR="00E369DB" w:rsidRPr="00834D52">
              <w:rPr>
                <w:rFonts w:ascii="Sylfaen" w:hAnsi="Sylfaen"/>
                <w:spacing w:val="-4"/>
                <w:sz w:val="24"/>
                <w:szCs w:val="24"/>
              </w:rPr>
              <w:t>(եթե կիրառելի է)</w:t>
            </w:r>
          </w:p>
        </w:tc>
      </w:tr>
      <w:tr w:rsidR="006F76EB" w:rsidRPr="00834D52" w14:paraId="649D66B7" w14:textId="77777777" w:rsidTr="00F71229">
        <w:trPr>
          <w:gridAfter w:val="1"/>
          <w:wAfter w:w="11" w:type="dxa"/>
        </w:trPr>
        <w:tc>
          <w:tcPr>
            <w:tcW w:w="1809" w:type="dxa"/>
            <w:tcBorders>
              <w:top w:val="nil"/>
              <w:left w:val="nil"/>
              <w:bottom w:val="nil"/>
              <w:right w:val="nil"/>
            </w:tcBorders>
          </w:tcPr>
          <w:p w14:paraId="5331BE21"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1.10.</w:t>
            </w:r>
          </w:p>
        </w:tc>
        <w:tc>
          <w:tcPr>
            <w:tcW w:w="8157" w:type="dxa"/>
            <w:tcBorders>
              <w:top w:val="nil"/>
              <w:left w:val="nil"/>
              <w:bottom w:val="nil"/>
              <w:right w:val="nil"/>
            </w:tcBorders>
          </w:tcPr>
          <w:p w14:paraId="3657E29D"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Եվրասիական տնտեսական միության անդամ պետությունում հայտատուի դեղազգոնության մասով տեղեկատվություն </w:t>
            </w:r>
          </w:p>
        </w:tc>
      </w:tr>
      <w:tr w:rsidR="006F76EB" w:rsidRPr="00834D52" w14:paraId="24AF5B6F" w14:textId="77777777" w:rsidTr="00F71229">
        <w:trPr>
          <w:gridAfter w:val="1"/>
          <w:wAfter w:w="11" w:type="dxa"/>
        </w:trPr>
        <w:tc>
          <w:tcPr>
            <w:tcW w:w="1809" w:type="dxa"/>
            <w:tcBorders>
              <w:top w:val="nil"/>
              <w:left w:val="nil"/>
              <w:bottom w:val="nil"/>
              <w:right w:val="nil"/>
            </w:tcBorders>
          </w:tcPr>
          <w:p w14:paraId="057A77D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1.10.1.</w:t>
            </w:r>
          </w:p>
        </w:tc>
        <w:tc>
          <w:tcPr>
            <w:tcW w:w="8157" w:type="dxa"/>
            <w:tcBorders>
              <w:top w:val="nil"/>
              <w:left w:val="nil"/>
              <w:bottom w:val="nil"/>
              <w:right w:val="nil"/>
            </w:tcBorders>
          </w:tcPr>
          <w:p w14:paraId="46542229" w14:textId="77777777" w:rsidR="006F76EB" w:rsidRPr="00834D52" w:rsidRDefault="006F76EB" w:rsidP="00F71229">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գրանցման հավաստագրի իրավատիրոջ դեղազգոնության համակարգի մաստեր-ֆայլը՝ Եվրասիական տնտեսական միության պատշաճ դեղազգոնության գործունեությանը համապատասխան, կամ գրանցման հավաստագրի իրավատիրոջ դեղազգոնության համակարգի հակիրճ բնութագիրը</w:t>
            </w:r>
          </w:p>
        </w:tc>
      </w:tr>
      <w:tr w:rsidR="006F76EB" w:rsidRPr="00834D52" w14:paraId="749C1EA5" w14:textId="77777777" w:rsidTr="00F71229">
        <w:trPr>
          <w:gridAfter w:val="1"/>
          <w:wAfter w:w="11" w:type="dxa"/>
        </w:trPr>
        <w:tc>
          <w:tcPr>
            <w:tcW w:w="1809" w:type="dxa"/>
            <w:tcBorders>
              <w:top w:val="nil"/>
              <w:left w:val="nil"/>
              <w:bottom w:val="nil"/>
              <w:right w:val="nil"/>
            </w:tcBorders>
          </w:tcPr>
          <w:p w14:paraId="7653714F"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1.10.2.</w:t>
            </w:r>
          </w:p>
        </w:tc>
        <w:tc>
          <w:tcPr>
            <w:tcW w:w="8157" w:type="dxa"/>
            <w:tcBorders>
              <w:top w:val="nil"/>
              <w:left w:val="nil"/>
              <w:bottom w:val="nil"/>
              <w:right w:val="nil"/>
            </w:tcBorders>
          </w:tcPr>
          <w:p w14:paraId="7A2EE88B" w14:textId="77777777" w:rsidR="006F76EB" w:rsidRPr="00834D52" w:rsidRDefault="006F76EB" w:rsidP="00F71229">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գրավոր հաստատում այն մասին, որ գրանցման հավաստագրի իրավատերը իր տիրապետության տակ ունի որակավորված անձ, որը պատասխանատու է Եվրասիական տնտեսական միության անդամ պետության տարածքում դեղազգոնության համակարգի համար</w:t>
            </w:r>
          </w:p>
        </w:tc>
      </w:tr>
      <w:tr w:rsidR="006F76EB" w:rsidRPr="00834D52" w14:paraId="63381221" w14:textId="77777777" w:rsidTr="00F71229">
        <w:trPr>
          <w:gridAfter w:val="1"/>
          <w:wAfter w:w="11" w:type="dxa"/>
        </w:trPr>
        <w:tc>
          <w:tcPr>
            <w:tcW w:w="1809" w:type="dxa"/>
            <w:tcBorders>
              <w:top w:val="nil"/>
              <w:left w:val="nil"/>
              <w:bottom w:val="nil"/>
              <w:right w:val="nil"/>
            </w:tcBorders>
          </w:tcPr>
          <w:p w14:paraId="24508D6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1.10.3.</w:t>
            </w:r>
          </w:p>
        </w:tc>
        <w:tc>
          <w:tcPr>
            <w:tcW w:w="8157" w:type="dxa"/>
            <w:tcBorders>
              <w:top w:val="nil"/>
              <w:left w:val="nil"/>
              <w:bottom w:val="nil"/>
              <w:right w:val="nil"/>
            </w:tcBorders>
          </w:tcPr>
          <w:p w14:paraId="414DDD85" w14:textId="77777777" w:rsidR="006F76EB" w:rsidRPr="00834D52" w:rsidRDefault="006F76EB" w:rsidP="00F71229">
            <w:pPr>
              <w:spacing w:after="160" w:line="336" w:lineRule="auto"/>
              <w:ind w:right="113"/>
              <w:jc w:val="both"/>
              <w:rPr>
                <w:rFonts w:ascii="Sylfaen" w:eastAsia="Times New Roman" w:hAnsi="Sylfaen" w:cs="Times New Roman"/>
                <w:sz w:val="24"/>
                <w:szCs w:val="24"/>
              </w:rPr>
            </w:pPr>
            <w:r w:rsidRPr="00834D52">
              <w:rPr>
                <w:rFonts w:ascii="Sylfaen" w:hAnsi="Sylfaen"/>
                <w:sz w:val="24"/>
                <w:szCs w:val="24"/>
              </w:rPr>
              <w:t>Եվրասիական տնտեսական հանձնաժողովի կողմից հաստատվող՝ Եվրասիական տնտեսական միության պատշաճ դեղազգոնության գործունեության կանոնների պահանջներին համապատասխան գրանցման համար հայտագրված դեղապատրաստուկի ռիսկերի կառավարման պլանը (եթե կիրառելի է)</w:t>
            </w:r>
          </w:p>
        </w:tc>
      </w:tr>
      <w:tr w:rsidR="006F76EB" w:rsidRPr="00834D52" w14:paraId="4284E42B" w14:textId="77777777" w:rsidTr="00F71229">
        <w:trPr>
          <w:gridAfter w:val="1"/>
          <w:wAfter w:w="11" w:type="dxa"/>
        </w:trPr>
        <w:tc>
          <w:tcPr>
            <w:tcW w:w="1809" w:type="dxa"/>
            <w:tcBorders>
              <w:top w:val="nil"/>
              <w:left w:val="nil"/>
              <w:bottom w:val="nil"/>
              <w:right w:val="nil"/>
            </w:tcBorders>
          </w:tcPr>
          <w:p w14:paraId="791C5B8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1.10.4.</w:t>
            </w:r>
          </w:p>
        </w:tc>
        <w:tc>
          <w:tcPr>
            <w:tcW w:w="8157" w:type="dxa"/>
            <w:tcBorders>
              <w:top w:val="nil"/>
              <w:left w:val="nil"/>
              <w:bottom w:val="nil"/>
              <w:right w:val="nil"/>
            </w:tcBorders>
          </w:tcPr>
          <w:p w14:paraId="4FEFEDDC"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պատշաճ կերպով վավերացված փաստաթղթեր, որոնցով հաստատվում են գրանցման հավաստագրի իրավատիրոջ բոլոր պարտավորությունների մի քանի իրավաբանական անձանց կողմից պատշաճ կատարումն ապահովող փոխգործակցության առկայությունը</w:t>
            </w:r>
            <w:r w:rsidR="00E369DB">
              <w:rPr>
                <w:rFonts w:ascii="Sylfaen" w:hAnsi="Sylfaen"/>
                <w:sz w:val="24"/>
                <w:szCs w:val="24"/>
              </w:rPr>
              <w:t xml:space="preserve"> </w:t>
            </w:r>
            <w:r w:rsidR="00E369DB" w:rsidRPr="00834D52">
              <w:rPr>
                <w:rFonts w:ascii="Sylfaen" w:hAnsi="Sylfaen"/>
                <w:spacing w:val="-4"/>
                <w:sz w:val="24"/>
                <w:szCs w:val="24"/>
              </w:rPr>
              <w:t>(եթե կիրառելի է)</w:t>
            </w:r>
          </w:p>
        </w:tc>
      </w:tr>
      <w:tr w:rsidR="006F76EB" w:rsidRPr="00834D52" w14:paraId="7AAB97A3" w14:textId="77777777" w:rsidTr="00F71229">
        <w:trPr>
          <w:gridAfter w:val="1"/>
          <w:wAfter w:w="11" w:type="dxa"/>
        </w:trPr>
        <w:tc>
          <w:tcPr>
            <w:tcW w:w="1809" w:type="dxa"/>
            <w:tcBorders>
              <w:top w:val="nil"/>
              <w:left w:val="nil"/>
              <w:bottom w:val="single" w:sz="4" w:space="0" w:color="auto"/>
              <w:right w:val="nil"/>
            </w:tcBorders>
          </w:tcPr>
          <w:p w14:paraId="7F3217E4"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1.11.</w:t>
            </w:r>
          </w:p>
        </w:tc>
        <w:tc>
          <w:tcPr>
            <w:tcW w:w="8157" w:type="dxa"/>
            <w:tcBorders>
              <w:top w:val="nil"/>
              <w:left w:val="nil"/>
              <w:bottom w:val="single" w:sz="4" w:space="0" w:color="auto"/>
              <w:right w:val="nil"/>
            </w:tcBorders>
          </w:tcPr>
          <w:p w14:paraId="3FCB709A"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Ապրանքային նշանի գրանցումը հաստատող փաստաթղթերի պատճենները (առկայության դեպքում):</w:t>
            </w:r>
          </w:p>
        </w:tc>
      </w:tr>
      <w:tr w:rsidR="006F76EB" w:rsidRPr="00834D52" w14:paraId="2D79E9A8" w14:textId="77777777" w:rsidTr="00F71229">
        <w:trPr>
          <w:gridAfter w:val="1"/>
          <w:wAfter w:w="11" w:type="dxa"/>
        </w:trPr>
        <w:tc>
          <w:tcPr>
            <w:tcW w:w="9966" w:type="dxa"/>
            <w:gridSpan w:val="2"/>
            <w:tcBorders>
              <w:top w:val="nil"/>
              <w:left w:val="single" w:sz="4" w:space="0" w:color="auto"/>
              <w:bottom w:val="nil"/>
              <w:right w:val="single" w:sz="4" w:space="0" w:color="auto"/>
            </w:tcBorders>
          </w:tcPr>
          <w:p w14:paraId="23E5444C" w14:textId="77777777" w:rsidR="006F76EB" w:rsidRPr="00834D52" w:rsidRDefault="006F76EB" w:rsidP="00F71229">
            <w:pPr>
              <w:spacing w:after="160" w:line="360" w:lineRule="auto"/>
              <w:ind w:right="-31"/>
              <w:jc w:val="center"/>
              <w:rPr>
                <w:rFonts w:ascii="Sylfaen" w:eastAsia="Times New Roman" w:hAnsi="Sylfaen" w:cs="Times New Roman"/>
                <w:sz w:val="24"/>
                <w:szCs w:val="24"/>
              </w:rPr>
            </w:pPr>
            <w:r w:rsidRPr="00834D52">
              <w:rPr>
                <w:rFonts w:ascii="Sylfaen" w:hAnsi="Sylfaen"/>
                <w:sz w:val="24"/>
                <w:szCs w:val="24"/>
              </w:rPr>
              <w:t>ՄՈԴՈՒԼ 2. ԸՆԴՀԱՆՈՒՐ ՏԵԽՆԻԿԱԿԱՆ ՓԱՍՏԱԹՂԹԻ ՌԵԶՅՈՒՄԵՆ</w:t>
            </w:r>
          </w:p>
        </w:tc>
      </w:tr>
      <w:tr w:rsidR="006F76EB" w:rsidRPr="00834D52" w14:paraId="0CF935C3" w14:textId="77777777" w:rsidTr="00F71229">
        <w:trPr>
          <w:gridAfter w:val="1"/>
          <w:wAfter w:w="11" w:type="dxa"/>
        </w:trPr>
        <w:tc>
          <w:tcPr>
            <w:tcW w:w="1809" w:type="dxa"/>
            <w:tcBorders>
              <w:top w:val="single" w:sz="4" w:space="0" w:color="auto"/>
              <w:left w:val="nil"/>
              <w:bottom w:val="nil"/>
              <w:right w:val="nil"/>
            </w:tcBorders>
          </w:tcPr>
          <w:p w14:paraId="3905A7E6"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2.1.</w:t>
            </w:r>
          </w:p>
        </w:tc>
        <w:tc>
          <w:tcPr>
            <w:tcW w:w="8157" w:type="dxa"/>
            <w:tcBorders>
              <w:top w:val="single" w:sz="4" w:space="0" w:color="auto"/>
              <w:left w:val="nil"/>
              <w:bottom w:val="nil"/>
              <w:right w:val="nil"/>
            </w:tcBorders>
          </w:tcPr>
          <w:p w14:paraId="2907028A"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2-5-րդ մոդուլների բովանդակությունը</w:t>
            </w:r>
          </w:p>
        </w:tc>
      </w:tr>
      <w:tr w:rsidR="006F76EB" w:rsidRPr="00834D52" w14:paraId="4539FC6A" w14:textId="77777777" w:rsidTr="00F71229">
        <w:trPr>
          <w:gridAfter w:val="1"/>
          <w:wAfter w:w="11" w:type="dxa"/>
        </w:trPr>
        <w:tc>
          <w:tcPr>
            <w:tcW w:w="1809" w:type="dxa"/>
            <w:tcBorders>
              <w:top w:val="nil"/>
              <w:left w:val="nil"/>
              <w:bottom w:val="nil"/>
              <w:right w:val="nil"/>
            </w:tcBorders>
          </w:tcPr>
          <w:p w14:paraId="4F90343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2.2.</w:t>
            </w:r>
          </w:p>
        </w:tc>
        <w:tc>
          <w:tcPr>
            <w:tcW w:w="8157" w:type="dxa"/>
            <w:tcBorders>
              <w:top w:val="nil"/>
              <w:left w:val="nil"/>
              <w:bottom w:val="nil"/>
              <w:right w:val="nil"/>
            </w:tcBorders>
          </w:tcPr>
          <w:p w14:paraId="6A2FC233"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ԸՏՓ-ի ներածությունը</w:t>
            </w:r>
          </w:p>
        </w:tc>
      </w:tr>
      <w:tr w:rsidR="006F76EB" w:rsidRPr="00834D52" w14:paraId="49EB7063" w14:textId="77777777" w:rsidTr="00F71229">
        <w:trPr>
          <w:gridAfter w:val="1"/>
          <w:wAfter w:w="11" w:type="dxa"/>
        </w:trPr>
        <w:tc>
          <w:tcPr>
            <w:tcW w:w="1809" w:type="dxa"/>
            <w:tcBorders>
              <w:top w:val="nil"/>
              <w:left w:val="nil"/>
              <w:bottom w:val="nil"/>
              <w:right w:val="nil"/>
            </w:tcBorders>
          </w:tcPr>
          <w:p w14:paraId="5C9538D6"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2.3.</w:t>
            </w:r>
          </w:p>
        </w:tc>
        <w:tc>
          <w:tcPr>
            <w:tcW w:w="8157" w:type="dxa"/>
            <w:tcBorders>
              <w:top w:val="nil"/>
              <w:left w:val="nil"/>
              <w:bottom w:val="nil"/>
              <w:right w:val="nil"/>
            </w:tcBorders>
          </w:tcPr>
          <w:p w14:paraId="63B24AC6"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Որակի ընդհանուր ռեզյումեն</w:t>
            </w:r>
          </w:p>
        </w:tc>
      </w:tr>
      <w:tr w:rsidR="006F76EB" w:rsidRPr="00834D52" w14:paraId="6F7F31C3" w14:textId="77777777" w:rsidTr="00F71229">
        <w:trPr>
          <w:gridAfter w:val="1"/>
          <w:wAfter w:w="11" w:type="dxa"/>
        </w:trPr>
        <w:tc>
          <w:tcPr>
            <w:tcW w:w="1809" w:type="dxa"/>
            <w:tcBorders>
              <w:top w:val="nil"/>
              <w:left w:val="nil"/>
              <w:bottom w:val="nil"/>
              <w:right w:val="nil"/>
            </w:tcBorders>
          </w:tcPr>
          <w:p w14:paraId="6843535D"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2.4.</w:t>
            </w:r>
          </w:p>
        </w:tc>
        <w:tc>
          <w:tcPr>
            <w:tcW w:w="8157" w:type="dxa"/>
            <w:tcBorders>
              <w:top w:val="nil"/>
              <w:left w:val="nil"/>
              <w:bottom w:val="nil"/>
              <w:right w:val="nil"/>
            </w:tcBorders>
          </w:tcPr>
          <w:p w14:paraId="79E208F9"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Նախակլինիկական տվյալների ամփոփումը</w:t>
            </w:r>
          </w:p>
        </w:tc>
      </w:tr>
      <w:tr w:rsidR="006F76EB" w:rsidRPr="00834D52" w14:paraId="4614D615" w14:textId="77777777" w:rsidTr="00F71229">
        <w:trPr>
          <w:gridAfter w:val="1"/>
          <w:wAfter w:w="11" w:type="dxa"/>
        </w:trPr>
        <w:tc>
          <w:tcPr>
            <w:tcW w:w="1809" w:type="dxa"/>
            <w:tcBorders>
              <w:top w:val="nil"/>
              <w:left w:val="nil"/>
              <w:bottom w:val="nil"/>
              <w:right w:val="nil"/>
            </w:tcBorders>
          </w:tcPr>
          <w:p w14:paraId="7DA50909"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2.5.</w:t>
            </w:r>
          </w:p>
        </w:tc>
        <w:tc>
          <w:tcPr>
            <w:tcW w:w="8157" w:type="dxa"/>
            <w:tcBorders>
              <w:top w:val="nil"/>
              <w:left w:val="nil"/>
              <w:bottom w:val="nil"/>
              <w:right w:val="nil"/>
            </w:tcBorders>
          </w:tcPr>
          <w:p w14:paraId="3F58A092"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Կլինիկական տվյալների ամփոփումը</w:t>
            </w:r>
          </w:p>
        </w:tc>
      </w:tr>
      <w:tr w:rsidR="006F76EB" w:rsidRPr="00834D52" w14:paraId="1FF43D05" w14:textId="77777777" w:rsidTr="00F71229">
        <w:trPr>
          <w:gridAfter w:val="1"/>
          <w:wAfter w:w="11" w:type="dxa"/>
        </w:trPr>
        <w:tc>
          <w:tcPr>
            <w:tcW w:w="1809" w:type="dxa"/>
            <w:tcBorders>
              <w:top w:val="nil"/>
              <w:left w:val="nil"/>
              <w:bottom w:val="nil"/>
              <w:right w:val="nil"/>
            </w:tcBorders>
          </w:tcPr>
          <w:p w14:paraId="2865C3B0"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w:t>
            </w:r>
          </w:p>
        </w:tc>
        <w:tc>
          <w:tcPr>
            <w:tcW w:w="8157" w:type="dxa"/>
            <w:tcBorders>
              <w:top w:val="nil"/>
              <w:left w:val="nil"/>
              <w:bottom w:val="nil"/>
              <w:right w:val="nil"/>
            </w:tcBorders>
          </w:tcPr>
          <w:p w14:paraId="63110B88"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Կլինիկական հետազոտությունների ռեզյումեն</w:t>
            </w:r>
          </w:p>
        </w:tc>
      </w:tr>
      <w:tr w:rsidR="006F76EB" w:rsidRPr="00834D52" w14:paraId="33682E7C" w14:textId="77777777" w:rsidTr="00F71229">
        <w:trPr>
          <w:gridAfter w:val="1"/>
          <w:wAfter w:w="11" w:type="dxa"/>
        </w:trPr>
        <w:tc>
          <w:tcPr>
            <w:tcW w:w="1809" w:type="dxa"/>
            <w:tcBorders>
              <w:top w:val="nil"/>
              <w:left w:val="nil"/>
              <w:bottom w:val="nil"/>
              <w:right w:val="nil"/>
            </w:tcBorders>
          </w:tcPr>
          <w:p w14:paraId="77D5AFC5"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2.6.1.</w:t>
            </w:r>
          </w:p>
        </w:tc>
        <w:tc>
          <w:tcPr>
            <w:tcW w:w="8157" w:type="dxa"/>
            <w:tcBorders>
              <w:top w:val="nil"/>
              <w:left w:val="nil"/>
              <w:bottom w:val="nil"/>
              <w:right w:val="nil"/>
            </w:tcBorders>
          </w:tcPr>
          <w:p w14:paraId="5BC5194B"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Դեղաբանական տվյալների ռեզյումեն՝ տեքստային ձ</w:t>
            </w:r>
            <w:r w:rsidR="00C54D75">
              <w:rPr>
                <w:rFonts w:ascii="Sylfaen" w:hAnsi="Sylfaen"/>
                <w:sz w:val="24"/>
                <w:szCs w:val="24"/>
              </w:rPr>
              <w:t>և</w:t>
            </w:r>
            <w:r w:rsidRPr="00834D52">
              <w:rPr>
                <w:rFonts w:ascii="Sylfaen" w:hAnsi="Sylfaen"/>
                <w:sz w:val="24"/>
                <w:szCs w:val="24"/>
              </w:rPr>
              <w:t>աչափով</w:t>
            </w:r>
          </w:p>
        </w:tc>
      </w:tr>
      <w:tr w:rsidR="006F76EB" w:rsidRPr="00834D52" w14:paraId="01534E86" w14:textId="77777777" w:rsidTr="00F71229">
        <w:trPr>
          <w:gridAfter w:val="1"/>
          <w:wAfter w:w="11" w:type="dxa"/>
        </w:trPr>
        <w:tc>
          <w:tcPr>
            <w:tcW w:w="1809" w:type="dxa"/>
            <w:tcBorders>
              <w:top w:val="nil"/>
              <w:left w:val="nil"/>
              <w:bottom w:val="nil"/>
              <w:right w:val="nil"/>
            </w:tcBorders>
          </w:tcPr>
          <w:p w14:paraId="3ECC158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2.6.2.</w:t>
            </w:r>
          </w:p>
        </w:tc>
        <w:tc>
          <w:tcPr>
            <w:tcW w:w="8157" w:type="dxa"/>
            <w:tcBorders>
              <w:top w:val="nil"/>
              <w:left w:val="nil"/>
              <w:bottom w:val="nil"/>
              <w:right w:val="nil"/>
            </w:tcBorders>
          </w:tcPr>
          <w:p w14:paraId="3662A4A6"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Դեղաբանական տվյալների ռեզյումեն՝ աղյուսակների տեսքով</w:t>
            </w:r>
          </w:p>
        </w:tc>
      </w:tr>
      <w:tr w:rsidR="006F76EB" w:rsidRPr="00834D52" w14:paraId="26D746E1" w14:textId="77777777" w:rsidTr="00F71229">
        <w:trPr>
          <w:gridAfter w:val="1"/>
          <w:wAfter w:w="11" w:type="dxa"/>
        </w:trPr>
        <w:tc>
          <w:tcPr>
            <w:tcW w:w="1809" w:type="dxa"/>
            <w:tcBorders>
              <w:top w:val="nil"/>
              <w:left w:val="nil"/>
              <w:bottom w:val="nil"/>
              <w:right w:val="nil"/>
            </w:tcBorders>
          </w:tcPr>
          <w:p w14:paraId="73F8127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2.6.3.</w:t>
            </w:r>
          </w:p>
        </w:tc>
        <w:tc>
          <w:tcPr>
            <w:tcW w:w="8157" w:type="dxa"/>
            <w:tcBorders>
              <w:top w:val="nil"/>
              <w:left w:val="nil"/>
              <w:bottom w:val="nil"/>
              <w:right w:val="nil"/>
            </w:tcBorders>
          </w:tcPr>
          <w:p w14:paraId="0EE94A62" w14:textId="77777777" w:rsidR="006F76EB" w:rsidRPr="00834D52" w:rsidRDefault="00355C33" w:rsidP="00F71229">
            <w:pPr>
              <w:spacing w:after="160" w:line="360" w:lineRule="auto"/>
              <w:ind w:right="111"/>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 տվյալների ռեզյումեն՝ տեքստային ձ</w:t>
            </w:r>
            <w:r w:rsidR="00C54D75">
              <w:rPr>
                <w:rFonts w:ascii="Sylfaen" w:hAnsi="Sylfaen"/>
                <w:sz w:val="24"/>
                <w:szCs w:val="24"/>
              </w:rPr>
              <w:t>և</w:t>
            </w:r>
            <w:r w:rsidR="006F76EB" w:rsidRPr="00834D52">
              <w:rPr>
                <w:rFonts w:ascii="Sylfaen" w:hAnsi="Sylfaen"/>
                <w:sz w:val="24"/>
                <w:szCs w:val="24"/>
              </w:rPr>
              <w:t>աչափով</w:t>
            </w:r>
          </w:p>
        </w:tc>
      </w:tr>
      <w:tr w:rsidR="006F76EB" w:rsidRPr="00834D52" w14:paraId="74FCB9DB" w14:textId="77777777" w:rsidTr="00F71229">
        <w:trPr>
          <w:gridAfter w:val="1"/>
          <w:wAfter w:w="11" w:type="dxa"/>
        </w:trPr>
        <w:tc>
          <w:tcPr>
            <w:tcW w:w="1809" w:type="dxa"/>
            <w:tcBorders>
              <w:top w:val="nil"/>
              <w:left w:val="nil"/>
              <w:bottom w:val="nil"/>
              <w:right w:val="nil"/>
            </w:tcBorders>
          </w:tcPr>
          <w:p w14:paraId="2BC6DED6"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2.6.4.</w:t>
            </w:r>
          </w:p>
        </w:tc>
        <w:tc>
          <w:tcPr>
            <w:tcW w:w="8157" w:type="dxa"/>
            <w:tcBorders>
              <w:top w:val="nil"/>
              <w:left w:val="nil"/>
              <w:bottom w:val="nil"/>
              <w:right w:val="nil"/>
            </w:tcBorders>
          </w:tcPr>
          <w:p w14:paraId="075F7AF5" w14:textId="77777777" w:rsidR="006F76EB" w:rsidRPr="00834D52" w:rsidRDefault="00355C33" w:rsidP="00F71229">
            <w:pPr>
              <w:spacing w:after="160" w:line="360" w:lineRule="auto"/>
              <w:ind w:right="111"/>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 տվյալների ռեզյումեն՝ աղյուսակների տեսքով</w:t>
            </w:r>
          </w:p>
        </w:tc>
      </w:tr>
      <w:tr w:rsidR="006F76EB" w:rsidRPr="00834D52" w14:paraId="3C51EAC7" w14:textId="77777777" w:rsidTr="00F71229">
        <w:trPr>
          <w:gridAfter w:val="1"/>
          <w:wAfter w:w="11" w:type="dxa"/>
        </w:trPr>
        <w:tc>
          <w:tcPr>
            <w:tcW w:w="1809" w:type="dxa"/>
            <w:tcBorders>
              <w:top w:val="nil"/>
              <w:left w:val="nil"/>
              <w:bottom w:val="nil"/>
              <w:right w:val="nil"/>
            </w:tcBorders>
          </w:tcPr>
          <w:p w14:paraId="1E72F0E2"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2.6.5.</w:t>
            </w:r>
          </w:p>
        </w:tc>
        <w:tc>
          <w:tcPr>
            <w:tcW w:w="8157" w:type="dxa"/>
            <w:tcBorders>
              <w:top w:val="nil"/>
              <w:left w:val="nil"/>
              <w:bottom w:val="nil"/>
              <w:right w:val="nil"/>
            </w:tcBorders>
          </w:tcPr>
          <w:p w14:paraId="3A8FDE5A"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Թունաբանական տվյալների ռեզյումեն՝ տեքստային ձ</w:t>
            </w:r>
            <w:r w:rsidR="00C54D75">
              <w:rPr>
                <w:rFonts w:ascii="Sylfaen" w:hAnsi="Sylfaen"/>
                <w:sz w:val="24"/>
                <w:szCs w:val="24"/>
              </w:rPr>
              <w:t>և</w:t>
            </w:r>
            <w:r w:rsidRPr="00834D52">
              <w:rPr>
                <w:rFonts w:ascii="Sylfaen" w:hAnsi="Sylfaen"/>
                <w:sz w:val="24"/>
                <w:szCs w:val="24"/>
              </w:rPr>
              <w:t>աչափով</w:t>
            </w:r>
          </w:p>
        </w:tc>
      </w:tr>
      <w:tr w:rsidR="006F76EB" w:rsidRPr="00834D52" w14:paraId="1456F239" w14:textId="77777777" w:rsidTr="00F71229">
        <w:trPr>
          <w:gridAfter w:val="1"/>
          <w:wAfter w:w="11" w:type="dxa"/>
        </w:trPr>
        <w:tc>
          <w:tcPr>
            <w:tcW w:w="1809" w:type="dxa"/>
            <w:tcBorders>
              <w:top w:val="nil"/>
              <w:left w:val="nil"/>
              <w:bottom w:val="nil"/>
              <w:right w:val="nil"/>
            </w:tcBorders>
          </w:tcPr>
          <w:p w14:paraId="2DA8A418"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2.6.6.</w:t>
            </w:r>
          </w:p>
        </w:tc>
        <w:tc>
          <w:tcPr>
            <w:tcW w:w="8157" w:type="dxa"/>
            <w:tcBorders>
              <w:top w:val="nil"/>
              <w:left w:val="nil"/>
              <w:bottom w:val="nil"/>
              <w:right w:val="nil"/>
            </w:tcBorders>
          </w:tcPr>
          <w:p w14:paraId="39ABF15B"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Թունաբանական տվյալների ռեզյումեն՝ աղյուսակների տեսքով</w:t>
            </w:r>
          </w:p>
        </w:tc>
      </w:tr>
      <w:tr w:rsidR="006F76EB" w:rsidRPr="00834D52" w14:paraId="19FB1D05" w14:textId="77777777" w:rsidTr="00F71229">
        <w:trPr>
          <w:gridAfter w:val="1"/>
          <w:wAfter w:w="11" w:type="dxa"/>
        </w:trPr>
        <w:tc>
          <w:tcPr>
            <w:tcW w:w="1809" w:type="dxa"/>
            <w:tcBorders>
              <w:top w:val="nil"/>
              <w:left w:val="nil"/>
              <w:bottom w:val="nil"/>
              <w:right w:val="nil"/>
            </w:tcBorders>
          </w:tcPr>
          <w:p w14:paraId="66973717"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w:t>
            </w:r>
          </w:p>
        </w:tc>
        <w:tc>
          <w:tcPr>
            <w:tcW w:w="8157" w:type="dxa"/>
            <w:tcBorders>
              <w:top w:val="nil"/>
              <w:left w:val="nil"/>
              <w:bottom w:val="nil"/>
              <w:right w:val="nil"/>
            </w:tcBorders>
          </w:tcPr>
          <w:p w14:paraId="52296B02" w14:textId="77777777" w:rsidR="006F76EB" w:rsidRPr="00834D52" w:rsidRDefault="006F76EB" w:rsidP="00F71229">
            <w:pPr>
              <w:spacing w:after="160" w:line="360" w:lineRule="auto"/>
              <w:ind w:right="111"/>
              <w:rPr>
                <w:rFonts w:ascii="Sylfaen" w:eastAsia="Times New Roman" w:hAnsi="Sylfaen" w:cs="Times New Roman"/>
                <w:sz w:val="24"/>
                <w:szCs w:val="24"/>
                <w:lang w:val="en-US"/>
              </w:rPr>
            </w:pPr>
            <w:r w:rsidRPr="00834D52">
              <w:rPr>
                <w:rFonts w:ascii="Sylfaen" w:hAnsi="Sylfaen"/>
                <w:sz w:val="24"/>
                <w:szCs w:val="24"/>
              </w:rPr>
              <w:t>Կլինիկական տվյալների ռեզյումեն</w:t>
            </w:r>
          </w:p>
        </w:tc>
      </w:tr>
      <w:tr w:rsidR="006F76EB" w:rsidRPr="00834D52" w14:paraId="5F3EAEE5" w14:textId="77777777" w:rsidTr="00F71229">
        <w:trPr>
          <w:gridAfter w:val="1"/>
          <w:wAfter w:w="11" w:type="dxa"/>
        </w:trPr>
        <w:tc>
          <w:tcPr>
            <w:tcW w:w="1809" w:type="dxa"/>
            <w:tcBorders>
              <w:top w:val="nil"/>
              <w:left w:val="nil"/>
              <w:bottom w:val="nil"/>
              <w:right w:val="nil"/>
            </w:tcBorders>
          </w:tcPr>
          <w:p w14:paraId="519514DE"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2.7.1.</w:t>
            </w:r>
          </w:p>
        </w:tc>
        <w:tc>
          <w:tcPr>
            <w:tcW w:w="8157" w:type="dxa"/>
            <w:tcBorders>
              <w:top w:val="nil"/>
              <w:left w:val="nil"/>
              <w:bottom w:val="nil"/>
              <w:right w:val="nil"/>
            </w:tcBorders>
          </w:tcPr>
          <w:p w14:paraId="5F4E707F" w14:textId="77777777" w:rsidR="006F76EB" w:rsidRPr="00834D52" w:rsidRDefault="006F76EB" w:rsidP="00F71229">
            <w:pPr>
              <w:spacing w:after="160" w:line="360" w:lineRule="auto"/>
              <w:ind w:right="111"/>
              <w:jc w:val="both"/>
              <w:rPr>
                <w:rFonts w:ascii="Sylfaen" w:eastAsia="Times New Roman" w:hAnsi="Sylfaen" w:cs="Times New Roman"/>
                <w:sz w:val="24"/>
                <w:szCs w:val="24"/>
              </w:rPr>
            </w:pPr>
            <w:r w:rsidRPr="00834D52">
              <w:rPr>
                <w:rFonts w:ascii="Sylfaen" w:hAnsi="Sylfaen"/>
                <w:sz w:val="24"/>
                <w:szCs w:val="24"/>
              </w:rPr>
              <w:t xml:space="preserve">Կենսադեղագործական հետազոտությունների </w:t>
            </w:r>
            <w:r w:rsidR="00C54D75">
              <w:rPr>
                <w:rFonts w:ascii="Sylfaen" w:hAnsi="Sylfaen"/>
                <w:sz w:val="24"/>
                <w:szCs w:val="24"/>
              </w:rPr>
              <w:t>և</w:t>
            </w:r>
            <w:r w:rsidRPr="00834D52">
              <w:rPr>
                <w:rFonts w:ascii="Sylfaen" w:hAnsi="Sylfaen"/>
                <w:sz w:val="24"/>
                <w:szCs w:val="24"/>
              </w:rPr>
              <w:t xml:space="preserve"> դրանց առնչվող </w:t>
            </w:r>
            <w:r w:rsidRPr="00834D52">
              <w:rPr>
                <w:rFonts w:ascii="Sylfaen" w:hAnsi="Sylfaen"/>
                <w:sz w:val="24"/>
                <w:szCs w:val="24"/>
              </w:rPr>
              <w:lastRenderedPageBreak/>
              <w:t>վերլուծական մեթոդների ռեզյումեն</w:t>
            </w:r>
          </w:p>
        </w:tc>
      </w:tr>
      <w:tr w:rsidR="006F76EB" w:rsidRPr="00834D52" w14:paraId="169053C2" w14:textId="77777777" w:rsidTr="00F71229">
        <w:trPr>
          <w:gridAfter w:val="1"/>
          <w:wAfter w:w="11" w:type="dxa"/>
        </w:trPr>
        <w:tc>
          <w:tcPr>
            <w:tcW w:w="1809" w:type="dxa"/>
            <w:tcBorders>
              <w:top w:val="nil"/>
              <w:left w:val="nil"/>
              <w:bottom w:val="nil"/>
              <w:right w:val="nil"/>
            </w:tcBorders>
          </w:tcPr>
          <w:p w14:paraId="02C88394"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2.7.2.</w:t>
            </w:r>
          </w:p>
        </w:tc>
        <w:tc>
          <w:tcPr>
            <w:tcW w:w="8157" w:type="dxa"/>
            <w:tcBorders>
              <w:top w:val="nil"/>
              <w:left w:val="nil"/>
              <w:bottom w:val="nil"/>
              <w:right w:val="nil"/>
            </w:tcBorders>
          </w:tcPr>
          <w:p w14:paraId="616C65F5"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Կլինիկական դեղաբանության մասով հետազոտությունների ռեզյումեն</w:t>
            </w:r>
          </w:p>
        </w:tc>
      </w:tr>
      <w:tr w:rsidR="006F76EB" w:rsidRPr="00834D52" w14:paraId="322721B7" w14:textId="77777777" w:rsidTr="00F71229">
        <w:trPr>
          <w:gridAfter w:val="1"/>
          <w:wAfter w:w="11" w:type="dxa"/>
        </w:trPr>
        <w:tc>
          <w:tcPr>
            <w:tcW w:w="1809" w:type="dxa"/>
            <w:tcBorders>
              <w:top w:val="nil"/>
              <w:left w:val="nil"/>
              <w:bottom w:val="nil"/>
              <w:right w:val="nil"/>
            </w:tcBorders>
          </w:tcPr>
          <w:p w14:paraId="39E9E53C"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2.7.3.</w:t>
            </w:r>
          </w:p>
        </w:tc>
        <w:tc>
          <w:tcPr>
            <w:tcW w:w="8157" w:type="dxa"/>
            <w:tcBorders>
              <w:top w:val="nil"/>
              <w:left w:val="nil"/>
              <w:bottom w:val="nil"/>
              <w:right w:val="nil"/>
            </w:tcBorders>
          </w:tcPr>
          <w:p w14:paraId="5D0C0BA2"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Կլինիկական արդյունավետության մասով ռեզյումեն</w:t>
            </w:r>
          </w:p>
        </w:tc>
      </w:tr>
      <w:tr w:rsidR="006F76EB" w:rsidRPr="00834D52" w14:paraId="25A29789" w14:textId="77777777" w:rsidTr="00F71229">
        <w:trPr>
          <w:gridAfter w:val="1"/>
          <w:wAfter w:w="11" w:type="dxa"/>
        </w:trPr>
        <w:tc>
          <w:tcPr>
            <w:tcW w:w="1809" w:type="dxa"/>
            <w:tcBorders>
              <w:top w:val="nil"/>
              <w:left w:val="nil"/>
              <w:bottom w:val="nil"/>
              <w:right w:val="nil"/>
            </w:tcBorders>
          </w:tcPr>
          <w:p w14:paraId="2245377C"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2.7.4.</w:t>
            </w:r>
          </w:p>
        </w:tc>
        <w:tc>
          <w:tcPr>
            <w:tcW w:w="8157" w:type="dxa"/>
            <w:tcBorders>
              <w:top w:val="nil"/>
              <w:left w:val="nil"/>
              <w:bottom w:val="nil"/>
              <w:right w:val="nil"/>
            </w:tcBorders>
          </w:tcPr>
          <w:p w14:paraId="546E46E5"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Կլինիկական անվտանգության մասով ռեզյումեն</w:t>
            </w:r>
          </w:p>
        </w:tc>
      </w:tr>
      <w:tr w:rsidR="006F76EB" w:rsidRPr="00834D52" w14:paraId="598A34B3" w14:textId="77777777" w:rsidTr="00F71229">
        <w:trPr>
          <w:gridAfter w:val="1"/>
          <w:wAfter w:w="11" w:type="dxa"/>
        </w:trPr>
        <w:tc>
          <w:tcPr>
            <w:tcW w:w="1809" w:type="dxa"/>
            <w:tcBorders>
              <w:top w:val="nil"/>
              <w:left w:val="nil"/>
              <w:bottom w:val="nil"/>
              <w:right w:val="nil"/>
            </w:tcBorders>
          </w:tcPr>
          <w:p w14:paraId="699C1C2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2.7.5.</w:t>
            </w:r>
          </w:p>
        </w:tc>
        <w:tc>
          <w:tcPr>
            <w:tcW w:w="8157" w:type="dxa"/>
            <w:tcBorders>
              <w:top w:val="nil"/>
              <w:left w:val="nil"/>
              <w:bottom w:val="nil"/>
              <w:right w:val="nil"/>
            </w:tcBorders>
          </w:tcPr>
          <w:p w14:paraId="24F15658"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Օգտագործված գրականության աղբյուրների պատճենները</w:t>
            </w:r>
          </w:p>
        </w:tc>
      </w:tr>
      <w:tr w:rsidR="006F76EB" w:rsidRPr="00834D52" w14:paraId="389376F0" w14:textId="77777777" w:rsidTr="00F71229">
        <w:trPr>
          <w:gridAfter w:val="1"/>
          <w:wAfter w:w="11" w:type="dxa"/>
        </w:trPr>
        <w:tc>
          <w:tcPr>
            <w:tcW w:w="1809" w:type="dxa"/>
            <w:tcBorders>
              <w:top w:val="nil"/>
              <w:left w:val="nil"/>
              <w:bottom w:val="nil"/>
              <w:right w:val="nil"/>
            </w:tcBorders>
          </w:tcPr>
          <w:p w14:paraId="2614A2DA" w14:textId="77777777" w:rsidR="006F76EB" w:rsidRPr="00834D52" w:rsidRDefault="006F76EB" w:rsidP="00F71229">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2.7.6.</w:t>
            </w:r>
          </w:p>
        </w:tc>
        <w:tc>
          <w:tcPr>
            <w:tcW w:w="8157" w:type="dxa"/>
            <w:tcBorders>
              <w:top w:val="nil"/>
              <w:left w:val="nil"/>
              <w:bottom w:val="nil"/>
              <w:right w:val="nil"/>
            </w:tcBorders>
          </w:tcPr>
          <w:p w14:paraId="00B84749" w14:textId="77777777" w:rsidR="006F76EB" w:rsidRPr="00834D52" w:rsidRDefault="006F76EB" w:rsidP="00F71229">
            <w:pPr>
              <w:spacing w:after="160" w:line="360" w:lineRule="auto"/>
              <w:ind w:right="111"/>
              <w:rPr>
                <w:rFonts w:ascii="Sylfaen" w:eastAsia="Times New Roman" w:hAnsi="Sylfaen" w:cs="Times New Roman"/>
                <w:sz w:val="24"/>
                <w:szCs w:val="24"/>
              </w:rPr>
            </w:pPr>
            <w:r w:rsidRPr="00834D52">
              <w:rPr>
                <w:rFonts w:ascii="Sylfaen" w:hAnsi="Sylfaen"/>
                <w:sz w:val="24"/>
                <w:szCs w:val="24"/>
              </w:rPr>
              <w:t>Անհատական հետազոտությունների հակիրճ ամփոփումը</w:t>
            </w:r>
          </w:p>
        </w:tc>
      </w:tr>
      <w:tr w:rsidR="006F76EB" w:rsidRPr="00834D52" w14:paraId="0EF1D9F7" w14:textId="77777777" w:rsidTr="00F71229">
        <w:tc>
          <w:tcPr>
            <w:tcW w:w="9977" w:type="dxa"/>
            <w:gridSpan w:val="3"/>
            <w:tcBorders>
              <w:top w:val="single" w:sz="4" w:space="0" w:color="auto"/>
              <w:left w:val="single" w:sz="4" w:space="0" w:color="auto"/>
              <w:bottom w:val="single" w:sz="4" w:space="0" w:color="auto"/>
              <w:right w:val="single" w:sz="4" w:space="0" w:color="auto"/>
            </w:tcBorders>
          </w:tcPr>
          <w:p w14:paraId="0C46B09B" w14:textId="77777777" w:rsidR="006F76EB" w:rsidRPr="00834D52" w:rsidRDefault="006F76EB" w:rsidP="00F71229">
            <w:pPr>
              <w:spacing w:after="120"/>
              <w:ind w:right="-8"/>
              <w:jc w:val="center"/>
              <w:rPr>
                <w:rFonts w:ascii="Sylfaen" w:eastAsia="Times New Roman" w:hAnsi="Sylfaen" w:cs="Times New Roman"/>
                <w:sz w:val="24"/>
                <w:szCs w:val="24"/>
              </w:rPr>
            </w:pPr>
            <w:r w:rsidRPr="00834D52">
              <w:rPr>
                <w:rFonts w:ascii="Sylfaen" w:hAnsi="Sylfaen"/>
                <w:sz w:val="24"/>
                <w:szCs w:val="24"/>
              </w:rPr>
              <w:t>ՄՈԴՈՒԼ 3. ՈՐԱԿ</w:t>
            </w:r>
          </w:p>
        </w:tc>
      </w:tr>
      <w:tr w:rsidR="006F76EB" w:rsidRPr="00834D52" w14:paraId="26A29E56" w14:textId="77777777" w:rsidTr="00F71229">
        <w:tc>
          <w:tcPr>
            <w:tcW w:w="1809" w:type="dxa"/>
            <w:tcBorders>
              <w:top w:val="single" w:sz="4" w:space="0" w:color="auto"/>
              <w:left w:val="nil"/>
              <w:bottom w:val="nil"/>
              <w:right w:val="nil"/>
            </w:tcBorders>
          </w:tcPr>
          <w:p w14:paraId="6F43A049"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3.1.</w:t>
            </w:r>
          </w:p>
        </w:tc>
        <w:tc>
          <w:tcPr>
            <w:tcW w:w="8168" w:type="dxa"/>
            <w:gridSpan w:val="2"/>
            <w:tcBorders>
              <w:top w:val="single" w:sz="4" w:space="0" w:color="auto"/>
              <w:left w:val="nil"/>
              <w:bottom w:val="nil"/>
              <w:right w:val="nil"/>
            </w:tcBorders>
          </w:tcPr>
          <w:p w14:paraId="1068FC45"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3-րդ մոդուլի բովանդակությունը</w:t>
            </w:r>
          </w:p>
        </w:tc>
      </w:tr>
      <w:tr w:rsidR="006F76EB" w:rsidRPr="00834D52" w14:paraId="0C885968" w14:textId="77777777" w:rsidTr="00F71229">
        <w:tc>
          <w:tcPr>
            <w:tcW w:w="1809" w:type="dxa"/>
            <w:tcBorders>
              <w:top w:val="nil"/>
              <w:left w:val="nil"/>
              <w:bottom w:val="nil"/>
              <w:right w:val="nil"/>
            </w:tcBorders>
          </w:tcPr>
          <w:p w14:paraId="47A116B8"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3.2.</w:t>
            </w:r>
          </w:p>
        </w:tc>
        <w:tc>
          <w:tcPr>
            <w:tcW w:w="8168" w:type="dxa"/>
            <w:gridSpan w:val="2"/>
            <w:tcBorders>
              <w:top w:val="nil"/>
              <w:left w:val="nil"/>
              <w:bottom w:val="nil"/>
              <w:right w:val="nil"/>
            </w:tcBorders>
          </w:tcPr>
          <w:p w14:paraId="09F163A5"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Հիմնական տեղեկություններ</w:t>
            </w:r>
          </w:p>
        </w:tc>
      </w:tr>
      <w:tr w:rsidR="006F76EB" w:rsidRPr="00834D52" w14:paraId="06A9BBE3" w14:textId="77777777" w:rsidTr="00F71229">
        <w:tc>
          <w:tcPr>
            <w:tcW w:w="1809" w:type="dxa"/>
            <w:tcBorders>
              <w:top w:val="nil"/>
              <w:left w:val="nil"/>
              <w:bottom w:val="nil"/>
              <w:right w:val="nil"/>
            </w:tcBorders>
          </w:tcPr>
          <w:p w14:paraId="65DAA18D"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3.2.S.</w:t>
            </w:r>
          </w:p>
        </w:tc>
        <w:tc>
          <w:tcPr>
            <w:tcW w:w="8168" w:type="dxa"/>
            <w:gridSpan w:val="2"/>
            <w:tcBorders>
              <w:top w:val="nil"/>
              <w:left w:val="nil"/>
              <w:bottom w:val="nil"/>
              <w:right w:val="nil"/>
            </w:tcBorders>
          </w:tcPr>
          <w:p w14:paraId="0F7495F6" w14:textId="77777777" w:rsidR="006F76EB" w:rsidRPr="00834D52" w:rsidRDefault="006F76EB" w:rsidP="00A028E3">
            <w:pPr>
              <w:spacing w:after="160" w:line="360" w:lineRule="auto"/>
              <w:ind w:right="-6"/>
              <w:jc w:val="both"/>
              <w:rPr>
                <w:rFonts w:ascii="Sylfaen" w:eastAsia="Times New Roman" w:hAnsi="Sylfaen" w:cs="Times New Roman"/>
                <w:sz w:val="24"/>
                <w:szCs w:val="24"/>
              </w:rPr>
            </w:pPr>
            <w:r w:rsidRPr="00834D52">
              <w:rPr>
                <w:rFonts w:ascii="Sylfaen" w:hAnsi="Sylfaen"/>
                <w:sz w:val="24"/>
                <w:szCs w:val="24"/>
              </w:rPr>
              <w:t>Ակտիվ դեղագործական բաղադրամաս (ԱԴԲ)՝ մի քանի ակտիվ (ազդող) նյութ պարունակող դեղապատրաստուկների համար տեղեկատվությունը ներկայացվում է ամբողջ ծավալով դրանցից յուրաքանչյուրի վերաբերյալ</w:t>
            </w:r>
            <w:r w:rsidRPr="00834D52">
              <w:rPr>
                <w:rStyle w:val="FootnoteReference"/>
                <w:rFonts w:ascii="Sylfaen" w:eastAsia="Times New Roman" w:hAnsi="Sylfaen" w:cs="Times New Roman"/>
                <w:sz w:val="24"/>
                <w:szCs w:val="24"/>
              </w:rPr>
              <w:sym w:font="Symbol" w:char="F02A"/>
            </w:r>
            <w:r w:rsidRPr="00834D52">
              <w:rPr>
                <w:rStyle w:val="FootnoteReference"/>
                <w:rFonts w:ascii="Sylfaen" w:eastAsia="Times New Roman" w:hAnsi="Sylfaen" w:cs="Times New Roman"/>
                <w:sz w:val="24"/>
                <w:szCs w:val="24"/>
              </w:rPr>
              <w:sym w:font="Symbol" w:char="F02A"/>
            </w:r>
            <w:r w:rsidRPr="00834D52">
              <w:rPr>
                <w:rFonts w:ascii="Sylfaen" w:hAnsi="Sylfaen"/>
                <w:sz w:val="24"/>
                <w:szCs w:val="24"/>
              </w:rPr>
              <w:t xml:space="preserve"> </w:t>
            </w:r>
          </w:p>
        </w:tc>
      </w:tr>
      <w:tr w:rsidR="006F76EB" w:rsidRPr="00834D52" w14:paraId="79686FFD" w14:textId="77777777" w:rsidTr="00F71229">
        <w:tc>
          <w:tcPr>
            <w:tcW w:w="1809" w:type="dxa"/>
            <w:tcBorders>
              <w:top w:val="nil"/>
              <w:left w:val="nil"/>
              <w:bottom w:val="nil"/>
              <w:right w:val="nil"/>
            </w:tcBorders>
          </w:tcPr>
          <w:p w14:paraId="3899ABD0"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footnoteReference w:customMarkFollows="1" w:id="26"/>
              <w:t>3.2.S.1.</w:t>
            </w:r>
          </w:p>
        </w:tc>
        <w:tc>
          <w:tcPr>
            <w:tcW w:w="8168" w:type="dxa"/>
            <w:gridSpan w:val="2"/>
            <w:tcBorders>
              <w:top w:val="nil"/>
              <w:left w:val="nil"/>
              <w:bottom w:val="nil"/>
              <w:right w:val="nil"/>
            </w:tcBorders>
          </w:tcPr>
          <w:p w14:paraId="7A6114D0"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 xml:space="preserve">Ելանյութերի </w:t>
            </w:r>
            <w:r w:rsidR="00C54D75">
              <w:rPr>
                <w:rFonts w:ascii="Sylfaen" w:hAnsi="Sylfaen"/>
                <w:sz w:val="24"/>
                <w:szCs w:val="24"/>
              </w:rPr>
              <w:t>և</w:t>
            </w:r>
            <w:r w:rsidRPr="00834D52">
              <w:rPr>
                <w:rFonts w:ascii="Sylfaen" w:hAnsi="Sylfaen"/>
                <w:sz w:val="24"/>
                <w:szCs w:val="24"/>
              </w:rPr>
              <w:t xml:space="preserve"> հումքի վերաբերյալ ընդհանուր տեղեկատվություն**</w:t>
            </w:r>
          </w:p>
        </w:tc>
      </w:tr>
      <w:tr w:rsidR="006F76EB" w:rsidRPr="00834D52" w14:paraId="01892EB1" w14:textId="77777777" w:rsidTr="00F71229">
        <w:tc>
          <w:tcPr>
            <w:tcW w:w="1809" w:type="dxa"/>
            <w:tcBorders>
              <w:top w:val="nil"/>
              <w:left w:val="nil"/>
              <w:bottom w:val="nil"/>
              <w:right w:val="nil"/>
            </w:tcBorders>
          </w:tcPr>
          <w:p w14:paraId="369D23A3"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3.2.S.1.1.</w:t>
            </w:r>
          </w:p>
        </w:tc>
        <w:tc>
          <w:tcPr>
            <w:tcW w:w="8168" w:type="dxa"/>
            <w:gridSpan w:val="2"/>
            <w:tcBorders>
              <w:top w:val="nil"/>
              <w:left w:val="nil"/>
              <w:bottom w:val="nil"/>
              <w:right w:val="nil"/>
            </w:tcBorders>
          </w:tcPr>
          <w:p w14:paraId="456CFF41"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ԱԴԲ-ի անվանումների մասին տեղեկատվություն**</w:t>
            </w:r>
          </w:p>
        </w:tc>
      </w:tr>
      <w:tr w:rsidR="006F76EB" w:rsidRPr="00834D52" w14:paraId="2B54DB89" w14:textId="77777777" w:rsidTr="00F71229">
        <w:tc>
          <w:tcPr>
            <w:tcW w:w="1809" w:type="dxa"/>
            <w:tcBorders>
              <w:top w:val="nil"/>
              <w:left w:val="nil"/>
              <w:bottom w:val="nil"/>
              <w:right w:val="nil"/>
            </w:tcBorders>
          </w:tcPr>
          <w:p w14:paraId="06D0FA1F"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t>3.2.S.1.2.</w:t>
            </w:r>
          </w:p>
        </w:tc>
        <w:tc>
          <w:tcPr>
            <w:tcW w:w="8168" w:type="dxa"/>
            <w:gridSpan w:val="2"/>
            <w:tcBorders>
              <w:top w:val="nil"/>
              <w:left w:val="nil"/>
              <w:bottom w:val="nil"/>
              <w:right w:val="nil"/>
            </w:tcBorders>
          </w:tcPr>
          <w:p w14:paraId="1A18251F"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ԱԴԲ-ի կառուցվածքը**</w:t>
            </w:r>
          </w:p>
        </w:tc>
      </w:tr>
      <w:tr w:rsidR="006F76EB" w:rsidRPr="00834D52" w14:paraId="5E843C8F" w14:textId="77777777" w:rsidTr="00F71229">
        <w:tc>
          <w:tcPr>
            <w:tcW w:w="1809" w:type="dxa"/>
            <w:tcBorders>
              <w:top w:val="nil"/>
              <w:left w:val="nil"/>
              <w:bottom w:val="nil"/>
              <w:right w:val="nil"/>
            </w:tcBorders>
          </w:tcPr>
          <w:p w14:paraId="7176DA9D" w14:textId="77777777" w:rsidR="006F76EB" w:rsidRPr="00834D52" w:rsidRDefault="006F76EB" w:rsidP="00A028E3">
            <w:pPr>
              <w:spacing w:after="160" w:line="360" w:lineRule="auto"/>
              <w:ind w:right="-6"/>
              <w:jc w:val="center"/>
              <w:rPr>
                <w:rFonts w:ascii="Sylfaen" w:eastAsia="Times New Roman" w:hAnsi="Sylfaen" w:cs="Times New Roman"/>
                <w:sz w:val="24"/>
                <w:szCs w:val="24"/>
              </w:rPr>
            </w:pPr>
            <w:r w:rsidRPr="00834D52">
              <w:rPr>
                <w:rFonts w:ascii="Sylfaen" w:hAnsi="Sylfaen"/>
                <w:sz w:val="24"/>
                <w:szCs w:val="24"/>
              </w:rPr>
              <w:lastRenderedPageBreak/>
              <w:t>3.2.S.1.3.</w:t>
            </w:r>
          </w:p>
        </w:tc>
        <w:tc>
          <w:tcPr>
            <w:tcW w:w="8168" w:type="dxa"/>
            <w:gridSpan w:val="2"/>
            <w:tcBorders>
              <w:top w:val="nil"/>
              <w:left w:val="nil"/>
              <w:bottom w:val="nil"/>
              <w:right w:val="nil"/>
            </w:tcBorders>
          </w:tcPr>
          <w:p w14:paraId="77ADB84C" w14:textId="77777777" w:rsidR="006F76EB" w:rsidRPr="00834D52" w:rsidRDefault="006F76EB" w:rsidP="00A028E3">
            <w:pPr>
              <w:spacing w:after="160" w:line="360" w:lineRule="auto"/>
              <w:ind w:right="-6"/>
              <w:rPr>
                <w:rFonts w:ascii="Sylfaen" w:eastAsia="Times New Roman" w:hAnsi="Sylfaen" w:cs="Times New Roman"/>
                <w:sz w:val="24"/>
                <w:szCs w:val="24"/>
              </w:rPr>
            </w:pPr>
            <w:r w:rsidRPr="00834D52">
              <w:rPr>
                <w:rFonts w:ascii="Sylfaen" w:hAnsi="Sylfaen"/>
                <w:sz w:val="24"/>
                <w:szCs w:val="24"/>
              </w:rPr>
              <w:t>ԱԴԲ-ի ընդհանուր հատկությունները**</w:t>
            </w:r>
          </w:p>
        </w:tc>
      </w:tr>
      <w:tr w:rsidR="006F76EB" w:rsidRPr="00834D52" w14:paraId="192E7295" w14:textId="77777777" w:rsidTr="00F71229">
        <w:tc>
          <w:tcPr>
            <w:tcW w:w="1809" w:type="dxa"/>
            <w:tcBorders>
              <w:top w:val="nil"/>
              <w:left w:val="nil"/>
              <w:bottom w:val="nil"/>
              <w:right w:val="nil"/>
            </w:tcBorders>
          </w:tcPr>
          <w:p w14:paraId="12142B0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w:t>
            </w:r>
          </w:p>
        </w:tc>
        <w:tc>
          <w:tcPr>
            <w:tcW w:w="8168" w:type="dxa"/>
            <w:gridSpan w:val="2"/>
            <w:tcBorders>
              <w:top w:val="nil"/>
              <w:left w:val="nil"/>
              <w:bottom w:val="nil"/>
              <w:right w:val="nil"/>
            </w:tcBorders>
          </w:tcPr>
          <w:p w14:paraId="2AC315F7"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ԱԴԲ-ի արտադրության գործընթացը</w:t>
            </w:r>
          </w:p>
        </w:tc>
      </w:tr>
      <w:tr w:rsidR="006F76EB" w:rsidRPr="00834D52" w14:paraId="419BA402" w14:textId="77777777" w:rsidTr="00F71229">
        <w:tc>
          <w:tcPr>
            <w:tcW w:w="1809" w:type="dxa"/>
            <w:tcBorders>
              <w:top w:val="nil"/>
              <w:left w:val="nil"/>
              <w:bottom w:val="nil"/>
              <w:right w:val="nil"/>
            </w:tcBorders>
          </w:tcPr>
          <w:p w14:paraId="25EE8D68"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3.2.S.2.1.</w:t>
            </w:r>
          </w:p>
        </w:tc>
        <w:tc>
          <w:tcPr>
            <w:tcW w:w="8168" w:type="dxa"/>
            <w:gridSpan w:val="2"/>
            <w:tcBorders>
              <w:top w:val="nil"/>
              <w:left w:val="nil"/>
              <w:bottom w:val="nil"/>
              <w:right w:val="nil"/>
            </w:tcBorders>
          </w:tcPr>
          <w:p w14:paraId="4BB38900"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Արտադրողը**</w:t>
            </w:r>
          </w:p>
        </w:tc>
      </w:tr>
      <w:tr w:rsidR="006F76EB" w:rsidRPr="00834D52" w14:paraId="1515EBCB" w14:textId="77777777" w:rsidTr="00F71229">
        <w:tc>
          <w:tcPr>
            <w:tcW w:w="1809" w:type="dxa"/>
            <w:tcBorders>
              <w:top w:val="nil"/>
              <w:left w:val="nil"/>
              <w:bottom w:val="nil"/>
              <w:right w:val="nil"/>
            </w:tcBorders>
          </w:tcPr>
          <w:p w14:paraId="0AEFC6DB"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3.2.S.2.2.</w:t>
            </w:r>
          </w:p>
        </w:tc>
        <w:tc>
          <w:tcPr>
            <w:tcW w:w="8168" w:type="dxa"/>
            <w:gridSpan w:val="2"/>
            <w:tcBorders>
              <w:top w:val="nil"/>
              <w:left w:val="nil"/>
              <w:bottom w:val="nil"/>
              <w:right w:val="nil"/>
            </w:tcBorders>
          </w:tcPr>
          <w:p w14:paraId="2BAC8924"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Արտադրական գործընթացի նկարագրությունն ու դրա հսկողությունը</w:t>
            </w:r>
          </w:p>
        </w:tc>
      </w:tr>
      <w:tr w:rsidR="006F76EB" w:rsidRPr="00834D52" w14:paraId="0B5F05E7" w14:textId="77777777" w:rsidTr="00F71229">
        <w:tc>
          <w:tcPr>
            <w:tcW w:w="1809" w:type="dxa"/>
            <w:tcBorders>
              <w:top w:val="nil"/>
              <w:left w:val="nil"/>
              <w:bottom w:val="nil"/>
              <w:right w:val="nil"/>
            </w:tcBorders>
          </w:tcPr>
          <w:p w14:paraId="050389B1"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3.2.S.2.3.</w:t>
            </w:r>
          </w:p>
        </w:tc>
        <w:tc>
          <w:tcPr>
            <w:tcW w:w="8168" w:type="dxa"/>
            <w:gridSpan w:val="2"/>
            <w:tcBorders>
              <w:top w:val="nil"/>
              <w:left w:val="nil"/>
              <w:bottom w:val="nil"/>
              <w:right w:val="nil"/>
            </w:tcBorders>
          </w:tcPr>
          <w:p w14:paraId="73C5EE97"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Ելանյութերի հսկողությունը</w:t>
            </w:r>
          </w:p>
        </w:tc>
      </w:tr>
      <w:tr w:rsidR="006F76EB" w:rsidRPr="00834D52" w14:paraId="77B27C3D" w14:textId="77777777" w:rsidTr="00F71229">
        <w:tc>
          <w:tcPr>
            <w:tcW w:w="1809" w:type="dxa"/>
            <w:tcBorders>
              <w:top w:val="nil"/>
              <w:left w:val="nil"/>
              <w:bottom w:val="nil"/>
              <w:right w:val="nil"/>
            </w:tcBorders>
          </w:tcPr>
          <w:p w14:paraId="577229E3"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3.2.S.2.4.</w:t>
            </w:r>
          </w:p>
        </w:tc>
        <w:tc>
          <w:tcPr>
            <w:tcW w:w="8168" w:type="dxa"/>
            <w:gridSpan w:val="2"/>
            <w:tcBorders>
              <w:top w:val="nil"/>
              <w:left w:val="nil"/>
              <w:bottom w:val="nil"/>
              <w:right w:val="nil"/>
            </w:tcBorders>
          </w:tcPr>
          <w:p w14:paraId="51BDC16E"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Կրիտիկական փուլերի </w:t>
            </w:r>
            <w:r w:rsidR="00C54D75">
              <w:rPr>
                <w:rFonts w:ascii="Sylfaen" w:hAnsi="Sylfaen"/>
                <w:sz w:val="24"/>
                <w:szCs w:val="24"/>
              </w:rPr>
              <w:t>և</w:t>
            </w:r>
            <w:r w:rsidRPr="00834D52">
              <w:rPr>
                <w:rFonts w:ascii="Sylfaen" w:hAnsi="Sylfaen"/>
                <w:sz w:val="24"/>
                <w:szCs w:val="24"/>
              </w:rPr>
              <w:t xml:space="preserve"> միջանկյալ արտադրանքի հսկողությունը</w:t>
            </w:r>
          </w:p>
        </w:tc>
      </w:tr>
      <w:tr w:rsidR="006F76EB" w:rsidRPr="00834D52" w14:paraId="70E01B26" w14:textId="77777777" w:rsidTr="00F71229">
        <w:tc>
          <w:tcPr>
            <w:tcW w:w="1809" w:type="dxa"/>
            <w:tcBorders>
              <w:top w:val="nil"/>
              <w:left w:val="nil"/>
              <w:bottom w:val="nil"/>
              <w:right w:val="nil"/>
            </w:tcBorders>
          </w:tcPr>
          <w:p w14:paraId="155523DA"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3.2.S.2.5.</w:t>
            </w:r>
          </w:p>
        </w:tc>
        <w:tc>
          <w:tcPr>
            <w:tcW w:w="8168" w:type="dxa"/>
            <w:gridSpan w:val="2"/>
            <w:tcBorders>
              <w:top w:val="nil"/>
              <w:left w:val="nil"/>
              <w:bottom w:val="nil"/>
              <w:right w:val="nil"/>
            </w:tcBorders>
          </w:tcPr>
          <w:p w14:paraId="7E4D270D"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Արտադրական գործընթացի վալիդացումը </w:t>
            </w:r>
            <w:r w:rsidR="00C54D75">
              <w:rPr>
                <w:rFonts w:ascii="Sylfaen" w:hAnsi="Sylfaen"/>
                <w:sz w:val="24"/>
                <w:szCs w:val="24"/>
              </w:rPr>
              <w:t>և</w:t>
            </w:r>
            <w:r w:rsidRPr="00834D52">
              <w:rPr>
                <w:rFonts w:ascii="Sylfaen" w:hAnsi="Sylfaen"/>
                <w:sz w:val="24"/>
                <w:szCs w:val="24"/>
              </w:rPr>
              <w:t xml:space="preserve"> (կամ) գնահատումը</w:t>
            </w:r>
          </w:p>
        </w:tc>
      </w:tr>
      <w:tr w:rsidR="006F76EB" w:rsidRPr="00834D52" w14:paraId="4ACE1561" w14:textId="77777777" w:rsidTr="00F71229">
        <w:tc>
          <w:tcPr>
            <w:tcW w:w="1809" w:type="dxa"/>
            <w:tcBorders>
              <w:top w:val="nil"/>
              <w:left w:val="nil"/>
              <w:bottom w:val="nil"/>
              <w:right w:val="nil"/>
            </w:tcBorders>
          </w:tcPr>
          <w:p w14:paraId="607E83B4"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3.2.S.2.6.</w:t>
            </w:r>
          </w:p>
        </w:tc>
        <w:tc>
          <w:tcPr>
            <w:tcW w:w="8168" w:type="dxa"/>
            <w:gridSpan w:val="2"/>
            <w:tcBorders>
              <w:top w:val="nil"/>
              <w:left w:val="nil"/>
              <w:bottom w:val="nil"/>
              <w:right w:val="nil"/>
            </w:tcBorders>
          </w:tcPr>
          <w:p w14:paraId="708F76D1"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Արտադրական գործընթացի մշակումը</w:t>
            </w:r>
          </w:p>
        </w:tc>
      </w:tr>
      <w:tr w:rsidR="006F76EB" w:rsidRPr="00834D52" w14:paraId="5C21EFA3" w14:textId="77777777" w:rsidTr="00F71229">
        <w:tc>
          <w:tcPr>
            <w:tcW w:w="1809" w:type="dxa"/>
            <w:tcBorders>
              <w:top w:val="nil"/>
              <w:left w:val="nil"/>
              <w:bottom w:val="nil"/>
              <w:right w:val="nil"/>
            </w:tcBorders>
          </w:tcPr>
          <w:p w14:paraId="5F1701FA"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3.2.S.3.</w:t>
            </w:r>
          </w:p>
        </w:tc>
        <w:tc>
          <w:tcPr>
            <w:tcW w:w="8168" w:type="dxa"/>
            <w:gridSpan w:val="2"/>
            <w:tcBorders>
              <w:top w:val="nil"/>
              <w:left w:val="nil"/>
              <w:bottom w:val="nil"/>
              <w:right w:val="nil"/>
            </w:tcBorders>
          </w:tcPr>
          <w:p w14:paraId="10B3C890"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ԱԴԲ-ի բնութագրերի նկարագրությունը**</w:t>
            </w:r>
          </w:p>
        </w:tc>
      </w:tr>
      <w:tr w:rsidR="006F76EB" w:rsidRPr="00834D52" w14:paraId="3B121A24" w14:textId="77777777" w:rsidTr="00F71229">
        <w:tc>
          <w:tcPr>
            <w:tcW w:w="1809" w:type="dxa"/>
            <w:tcBorders>
              <w:top w:val="nil"/>
              <w:left w:val="nil"/>
              <w:bottom w:val="nil"/>
              <w:right w:val="nil"/>
            </w:tcBorders>
          </w:tcPr>
          <w:p w14:paraId="1CF32A51"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3.2.S.3.1.</w:t>
            </w:r>
          </w:p>
        </w:tc>
        <w:tc>
          <w:tcPr>
            <w:tcW w:w="8168" w:type="dxa"/>
            <w:gridSpan w:val="2"/>
            <w:tcBorders>
              <w:top w:val="nil"/>
              <w:left w:val="nil"/>
              <w:bottom w:val="nil"/>
              <w:right w:val="nil"/>
            </w:tcBorders>
          </w:tcPr>
          <w:p w14:paraId="37AB20B2"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Կառուցվածքի </w:t>
            </w:r>
            <w:r w:rsidR="00C54D75">
              <w:rPr>
                <w:rFonts w:ascii="Sylfaen" w:hAnsi="Sylfaen"/>
                <w:sz w:val="24"/>
                <w:szCs w:val="24"/>
              </w:rPr>
              <w:t>և</w:t>
            </w:r>
            <w:r w:rsidRPr="00834D52">
              <w:rPr>
                <w:rFonts w:ascii="Sylfaen" w:hAnsi="Sylfaen"/>
                <w:sz w:val="24"/>
                <w:szCs w:val="24"/>
              </w:rPr>
              <w:t xml:space="preserve"> այլ բնութագրերի հաստատումը</w:t>
            </w:r>
          </w:p>
        </w:tc>
      </w:tr>
      <w:tr w:rsidR="006F76EB" w:rsidRPr="00834D52" w14:paraId="53C012AA" w14:textId="77777777" w:rsidTr="00F71229">
        <w:tc>
          <w:tcPr>
            <w:tcW w:w="1809" w:type="dxa"/>
            <w:tcBorders>
              <w:top w:val="nil"/>
              <w:left w:val="nil"/>
              <w:bottom w:val="nil"/>
              <w:right w:val="nil"/>
            </w:tcBorders>
          </w:tcPr>
          <w:p w14:paraId="4081A9E0"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3.2.S.3.2.</w:t>
            </w:r>
          </w:p>
        </w:tc>
        <w:tc>
          <w:tcPr>
            <w:tcW w:w="8168" w:type="dxa"/>
            <w:gridSpan w:val="2"/>
            <w:tcBorders>
              <w:top w:val="nil"/>
              <w:left w:val="nil"/>
              <w:bottom w:val="nil"/>
              <w:right w:val="nil"/>
            </w:tcBorders>
          </w:tcPr>
          <w:p w14:paraId="495EC533"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Խառնուկները**</w:t>
            </w:r>
          </w:p>
        </w:tc>
      </w:tr>
      <w:tr w:rsidR="006F76EB" w:rsidRPr="00834D52" w14:paraId="2886C15C" w14:textId="77777777" w:rsidTr="00F71229">
        <w:tc>
          <w:tcPr>
            <w:tcW w:w="1809" w:type="dxa"/>
            <w:tcBorders>
              <w:top w:val="nil"/>
              <w:left w:val="nil"/>
              <w:bottom w:val="nil"/>
              <w:right w:val="nil"/>
            </w:tcBorders>
          </w:tcPr>
          <w:p w14:paraId="0A98D522"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w:t>
            </w:r>
          </w:p>
        </w:tc>
        <w:tc>
          <w:tcPr>
            <w:tcW w:w="8168" w:type="dxa"/>
            <w:gridSpan w:val="2"/>
            <w:tcBorders>
              <w:top w:val="nil"/>
              <w:left w:val="nil"/>
              <w:bottom w:val="nil"/>
              <w:right w:val="nil"/>
            </w:tcBorders>
          </w:tcPr>
          <w:p w14:paraId="243536DF"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ԱԴԲ-ի որակի հսկողությունը**</w:t>
            </w:r>
          </w:p>
        </w:tc>
      </w:tr>
      <w:tr w:rsidR="006F76EB" w:rsidRPr="00834D52" w14:paraId="7177EF38" w14:textId="77777777" w:rsidTr="00F71229">
        <w:tc>
          <w:tcPr>
            <w:tcW w:w="1809" w:type="dxa"/>
            <w:tcBorders>
              <w:top w:val="nil"/>
              <w:left w:val="nil"/>
              <w:bottom w:val="nil"/>
              <w:right w:val="nil"/>
            </w:tcBorders>
          </w:tcPr>
          <w:p w14:paraId="54B4B0AD"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3.2.S.4.1.</w:t>
            </w:r>
          </w:p>
        </w:tc>
        <w:tc>
          <w:tcPr>
            <w:tcW w:w="8168" w:type="dxa"/>
            <w:gridSpan w:val="2"/>
            <w:tcBorders>
              <w:top w:val="nil"/>
              <w:left w:val="nil"/>
              <w:bottom w:val="nil"/>
              <w:right w:val="nil"/>
            </w:tcBorders>
          </w:tcPr>
          <w:p w14:paraId="32EAB6EA"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Մասնագիրը**</w:t>
            </w:r>
          </w:p>
        </w:tc>
      </w:tr>
      <w:tr w:rsidR="006F76EB" w:rsidRPr="00834D52" w14:paraId="6356CA7E" w14:textId="77777777" w:rsidTr="00F71229">
        <w:tc>
          <w:tcPr>
            <w:tcW w:w="1809" w:type="dxa"/>
            <w:tcBorders>
              <w:top w:val="nil"/>
              <w:left w:val="nil"/>
              <w:bottom w:val="nil"/>
              <w:right w:val="nil"/>
            </w:tcBorders>
          </w:tcPr>
          <w:p w14:paraId="21212ABC"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3.2.S.4.2.</w:t>
            </w:r>
          </w:p>
        </w:tc>
        <w:tc>
          <w:tcPr>
            <w:tcW w:w="8168" w:type="dxa"/>
            <w:gridSpan w:val="2"/>
            <w:tcBorders>
              <w:top w:val="nil"/>
              <w:left w:val="nil"/>
              <w:bottom w:val="nil"/>
              <w:right w:val="nil"/>
            </w:tcBorders>
          </w:tcPr>
          <w:p w14:paraId="10713DA6"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Վերլուծական մեթոդիկաները**</w:t>
            </w:r>
          </w:p>
        </w:tc>
      </w:tr>
      <w:tr w:rsidR="006F76EB" w:rsidRPr="00834D52" w14:paraId="5EC0809C" w14:textId="77777777" w:rsidTr="00F71229">
        <w:tc>
          <w:tcPr>
            <w:tcW w:w="1809" w:type="dxa"/>
            <w:tcBorders>
              <w:top w:val="nil"/>
              <w:left w:val="nil"/>
              <w:bottom w:val="nil"/>
              <w:right w:val="nil"/>
            </w:tcBorders>
          </w:tcPr>
          <w:p w14:paraId="13A31EAA"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3.2.S.4.3.</w:t>
            </w:r>
          </w:p>
        </w:tc>
        <w:tc>
          <w:tcPr>
            <w:tcW w:w="8168" w:type="dxa"/>
            <w:gridSpan w:val="2"/>
            <w:tcBorders>
              <w:top w:val="nil"/>
              <w:left w:val="nil"/>
              <w:bottom w:val="nil"/>
              <w:right w:val="nil"/>
            </w:tcBorders>
          </w:tcPr>
          <w:p w14:paraId="73DC1FE5"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Վերլուծական մեթոդիկաների վալիդացումը</w:t>
            </w:r>
          </w:p>
        </w:tc>
      </w:tr>
      <w:tr w:rsidR="006F76EB" w:rsidRPr="00834D52" w14:paraId="36B1BDEF" w14:textId="77777777" w:rsidTr="00F71229">
        <w:tc>
          <w:tcPr>
            <w:tcW w:w="1809" w:type="dxa"/>
            <w:tcBorders>
              <w:top w:val="nil"/>
              <w:left w:val="nil"/>
              <w:bottom w:val="nil"/>
              <w:right w:val="nil"/>
            </w:tcBorders>
          </w:tcPr>
          <w:p w14:paraId="1A12DA9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3.2.S.4.4.</w:t>
            </w:r>
          </w:p>
        </w:tc>
        <w:tc>
          <w:tcPr>
            <w:tcW w:w="8168" w:type="dxa"/>
            <w:gridSpan w:val="2"/>
            <w:tcBorders>
              <w:top w:val="nil"/>
              <w:left w:val="nil"/>
              <w:bottom w:val="nil"/>
              <w:right w:val="nil"/>
            </w:tcBorders>
          </w:tcPr>
          <w:p w14:paraId="60584DE9"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Սերիաների վերլուծություն (սերիաների վերլուծության արդյունքները)**</w:t>
            </w:r>
          </w:p>
        </w:tc>
      </w:tr>
      <w:tr w:rsidR="006F76EB" w:rsidRPr="00834D52" w14:paraId="54ACB03D" w14:textId="77777777" w:rsidTr="00F71229">
        <w:tc>
          <w:tcPr>
            <w:tcW w:w="1809" w:type="dxa"/>
            <w:tcBorders>
              <w:top w:val="nil"/>
              <w:left w:val="nil"/>
              <w:bottom w:val="nil"/>
              <w:right w:val="nil"/>
            </w:tcBorders>
          </w:tcPr>
          <w:p w14:paraId="5BD04EF1"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3.2.S.4.5.</w:t>
            </w:r>
          </w:p>
        </w:tc>
        <w:tc>
          <w:tcPr>
            <w:tcW w:w="8168" w:type="dxa"/>
            <w:gridSpan w:val="2"/>
            <w:tcBorders>
              <w:top w:val="nil"/>
              <w:left w:val="nil"/>
              <w:bottom w:val="nil"/>
              <w:right w:val="nil"/>
            </w:tcBorders>
          </w:tcPr>
          <w:p w14:paraId="61715A93"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Մասնագրի հիմնավորումը</w:t>
            </w:r>
          </w:p>
        </w:tc>
      </w:tr>
      <w:tr w:rsidR="006F76EB" w:rsidRPr="00834D52" w14:paraId="110BCA49" w14:textId="77777777" w:rsidTr="00F71229">
        <w:tc>
          <w:tcPr>
            <w:tcW w:w="1809" w:type="dxa"/>
            <w:tcBorders>
              <w:top w:val="nil"/>
              <w:left w:val="nil"/>
              <w:bottom w:val="nil"/>
              <w:right w:val="nil"/>
            </w:tcBorders>
          </w:tcPr>
          <w:p w14:paraId="7FF1F12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3.2.S.5.</w:t>
            </w:r>
          </w:p>
        </w:tc>
        <w:tc>
          <w:tcPr>
            <w:tcW w:w="8168" w:type="dxa"/>
            <w:gridSpan w:val="2"/>
            <w:tcBorders>
              <w:top w:val="nil"/>
              <w:left w:val="nil"/>
              <w:bottom w:val="nil"/>
              <w:right w:val="nil"/>
            </w:tcBorders>
          </w:tcPr>
          <w:p w14:paraId="7FBD023D"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Ստանդարտ նմուշները կամ նյութերը</w:t>
            </w:r>
          </w:p>
        </w:tc>
      </w:tr>
      <w:tr w:rsidR="006F76EB" w:rsidRPr="00834D52" w14:paraId="0E2AAEF8" w14:textId="77777777" w:rsidTr="00F71229">
        <w:tc>
          <w:tcPr>
            <w:tcW w:w="1809" w:type="dxa"/>
            <w:tcBorders>
              <w:top w:val="nil"/>
              <w:left w:val="nil"/>
              <w:bottom w:val="nil"/>
              <w:right w:val="nil"/>
            </w:tcBorders>
          </w:tcPr>
          <w:p w14:paraId="0C5C0A32"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3.2.S.6.</w:t>
            </w:r>
          </w:p>
        </w:tc>
        <w:tc>
          <w:tcPr>
            <w:tcW w:w="8168" w:type="dxa"/>
            <w:gridSpan w:val="2"/>
            <w:tcBorders>
              <w:top w:val="nil"/>
              <w:left w:val="nil"/>
              <w:bottom w:val="nil"/>
              <w:right w:val="nil"/>
            </w:tcBorders>
          </w:tcPr>
          <w:p w14:paraId="41FFD211"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Փաթեթավորման (խցանափակման) համակարգը**</w:t>
            </w:r>
          </w:p>
        </w:tc>
      </w:tr>
      <w:tr w:rsidR="006F76EB" w:rsidRPr="00834D52" w14:paraId="0BA568D8" w14:textId="77777777" w:rsidTr="00F71229">
        <w:tc>
          <w:tcPr>
            <w:tcW w:w="1809" w:type="dxa"/>
            <w:tcBorders>
              <w:top w:val="nil"/>
              <w:left w:val="nil"/>
              <w:bottom w:val="nil"/>
              <w:right w:val="nil"/>
            </w:tcBorders>
          </w:tcPr>
          <w:p w14:paraId="16871CF0"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3.2.S.7.</w:t>
            </w:r>
          </w:p>
        </w:tc>
        <w:tc>
          <w:tcPr>
            <w:tcW w:w="8168" w:type="dxa"/>
            <w:gridSpan w:val="2"/>
            <w:tcBorders>
              <w:top w:val="nil"/>
              <w:left w:val="nil"/>
              <w:bottom w:val="nil"/>
              <w:right w:val="nil"/>
            </w:tcBorders>
          </w:tcPr>
          <w:p w14:paraId="586DE98B"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Կայունությունը**</w:t>
            </w:r>
          </w:p>
        </w:tc>
      </w:tr>
      <w:tr w:rsidR="006F76EB" w:rsidRPr="00834D52" w14:paraId="23F2F67A" w14:textId="77777777" w:rsidTr="00F71229">
        <w:tc>
          <w:tcPr>
            <w:tcW w:w="1809" w:type="dxa"/>
            <w:tcBorders>
              <w:top w:val="nil"/>
              <w:left w:val="nil"/>
              <w:bottom w:val="nil"/>
              <w:right w:val="nil"/>
            </w:tcBorders>
          </w:tcPr>
          <w:p w14:paraId="63B3D6CC"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3.2.S.7.1.</w:t>
            </w:r>
          </w:p>
        </w:tc>
        <w:tc>
          <w:tcPr>
            <w:tcW w:w="8168" w:type="dxa"/>
            <w:gridSpan w:val="2"/>
            <w:tcBorders>
              <w:top w:val="nil"/>
              <w:left w:val="nil"/>
              <w:bottom w:val="nil"/>
              <w:right w:val="nil"/>
            </w:tcBorders>
          </w:tcPr>
          <w:p w14:paraId="05443006"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Կայունության փորձարկումների վերաբերյալ ռեզյումեն </w:t>
            </w:r>
            <w:r w:rsidR="00C54D75">
              <w:rPr>
                <w:rFonts w:ascii="Sylfaen" w:hAnsi="Sylfaen"/>
                <w:sz w:val="24"/>
                <w:szCs w:val="24"/>
              </w:rPr>
              <w:t>և</w:t>
            </w:r>
            <w:r w:rsidRPr="00834D52">
              <w:rPr>
                <w:rFonts w:ascii="Sylfaen" w:hAnsi="Sylfaen"/>
                <w:sz w:val="24"/>
                <w:szCs w:val="24"/>
              </w:rPr>
              <w:t xml:space="preserve"> կայունության </w:t>
            </w:r>
            <w:r w:rsidRPr="00834D52">
              <w:rPr>
                <w:rFonts w:ascii="Sylfaen" w:hAnsi="Sylfaen"/>
                <w:sz w:val="24"/>
                <w:szCs w:val="24"/>
              </w:rPr>
              <w:lastRenderedPageBreak/>
              <w:t>վերաբերյալ եզրակացությունը**</w:t>
            </w:r>
          </w:p>
        </w:tc>
      </w:tr>
      <w:tr w:rsidR="006F76EB" w:rsidRPr="00834D52" w14:paraId="729F77F8" w14:textId="77777777" w:rsidTr="00F71229">
        <w:tc>
          <w:tcPr>
            <w:tcW w:w="1809" w:type="dxa"/>
            <w:tcBorders>
              <w:top w:val="nil"/>
              <w:left w:val="nil"/>
              <w:bottom w:val="nil"/>
              <w:right w:val="nil"/>
            </w:tcBorders>
          </w:tcPr>
          <w:p w14:paraId="3AE664D0"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lastRenderedPageBreak/>
              <w:t>3.2.S.7.2.</w:t>
            </w:r>
          </w:p>
        </w:tc>
        <w:tc>
          <w:tcPr>
            <w:tcW w:w="8168" w:type="dxa"/>
            <w:gridSpan w:val="2"/>
            <w:tcBorders>
              <w:top w:val="nil"/>
              <w:left w:val="nil"/>
              <w:bottom w:val="nil"/>
              <w:right w:val="nil"/>
            </w:tcBorders>
          </w:tcPr>
          <w:p w14:paraId="33B645C5"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Կայունության հետգրանցումային փորձարկումների ծրագիրը </w:t>
            </w:r>
            <w:r w:rsidR="00C54D75">
              <w:rPr>
                <w:rFonts w:ascii="Sylfaen" w:hAnsi="Sylfaen"/>
                <w:sz w:val="24"/>
                <w:szCs w:val="24"/>
              </w:rPr>
              <w:t>և</w:t>
            </w:r>
            <w:r w:rsidRPr="00834D52">
              <w:rPr>
                <w:rFonts w:ascii="Sylfaen" w:hAnsi="Sylfaen"/>
                <w:sz w:val="24"/>
                <w:szCs w:val="24"/>
              </w:rPr>
              <w:t xml:space="preserve"> կայունությանը վերաբերող պարտավորությունները**</w:t>
            </w:r>
          </w:p>
        </w:tc>
      </w:tr>
      <w:tr w:rsidR="006F76EB" w:rsidRPr="00834D52" w14:paraId="75F2320E" w14:textId="77777777" w:rsidTr="00F71229">
        <w:tc>
          <w:tcPr>
            <w:tcW w:w="1809" w:type="dxa"/>
            <w:tcBorders>
              <w:top w:val="nil"/>
              <w:left w:val="nil"/>
              <w:bottom w:val="nil"/>
              <w:right w:val="nil"/>
            </w:tcBorders>
          </w:tcPr>
          <w:p w14:paraId="6ACA6A64"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3.2.S.7.3.</w:t>
            </w:r>
          </w:p>
        </w:tc>
        <w:tc>
          <w:tcPr>
            <w:tcW w:w="8168" w:type="dxa"/>
            <w:gridSpan w:val="2"/>
            <w:tcBorders>
              <w:top w:val="nil"/>
              <w:left w:val="nil"/>
              <w:bottom w:val="nil"/>
              <w:right w:val="nil"/>
            </w:tcBorders>
          </w:tcPr>
          <w:p w14:paraId="72605D8F"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Կայունության վերաբերյալ փորձարկումների տվյալները**</w:t>
            </w:r>
          </w:p>
        </w:tc>
      </w:tr>
      <w:tr w:rsidR="006F76EB" w:rsidRPr="00834D52" w14:paraId="3627C356" w14:textId="77777777" w:rsidTr="00F71229">
        <w:tc>
          <w:tcPr>
            <w:tcW w:w="1809" w:type="dxa"/>
            <w:tcBorders>
              <w:top w:val="nil"/>
              <w:left w:val="nil"/>
              <w:bottom w:val="nil"/>
              <w:right w:val="nil"/>
            </w:tcBorders>
          </w:tcPr>
          <w:p w14:paraId="67772DB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w:t>
            </w:r>
          </w:p>
        </w:tc>
        <w:tc>
          <w:tcPr>
            <w:tcW w:w="8168" w:type="dxa"/>
            <w:gridSpan w:val="2"/>
            <w:tcBorders>
              <w:top w:val="nil"/>
              <w:left w:val="nil"/>
              <w:bottom w:val="nil"/>
              <w:right w:val="nil"/>
            </w:tcBorders>
          </w:tcPr>
          <w:p w14:paraId="622164E0"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Դեղապատրաստուկ</w:t>
            </w:r>
          </w:p>
        </w:tc>
      </w:tr>
      <w:tr w:rsidR="006F76EB" w:rsidRPr="00834D52" w14:paraId="56112AD3" w14:textId="77777777" w:rsidTr="00F71229">
        <w:tc>
          <w:tcPr>
            <w:tcW w:w="1809" w:type="dxa"/>
            <w:tcBorders>
              <w:top w:val="nil"/>
              <w:left w:val="nil"/>
              <w:bottom w:val="nil"/>
              <w:right w:val="nil"/>
            </w:tcBorders>
          </w:tcPr>
          <w:p w14:paraId="2E7D8B8A"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3.2.Р.1.</w:t>
            </w:r>
          </w:p>
        </w:tc>
        <w:tc>
          <w:tcPr>
            <w:tcW w:w="8168" w:type="dxa"/>
            <w:gridSpan w:val="2"/>
            <w:tcBorders>
              <w:top w:val="nil"/>
              <w:left w:val="nil"/>
              <w:bottom w:val="nil"/>
              <w:right w:val="nil"/>
            </w:tcBorders>
          </w:tcPr>
          <w:p w14:paraId="215F0A0C"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Դեղապատրաստուկի նկարագրությունը </w:t>
            </w:r>
            <w:r w:rsidR="00C54D75">
              <w:rPr>
                <w:rFonts w:ascii="Sylfaen" w:hAnsi="Sylfaen"/>
                <w:sz w:val="24"/>
                <w:szCs w:val="24"/>
              </w:rPr>
              <w:t>և</w:t>
            </w:r>
            <w:r w:rsidRPr="00834D52">
              <w:rPr>
                <w:rFonts w:ascii="Sylfaen" w:hAnsi="Sylfaen"/>
                <w:sz w:val="24"/>
                <w:szCs w:val="24"/>
              </w:rPr>
              <w:t xml:space="preserve"> բաղադրությունը</w:t>
            </w:r>
          </w:p>
        </w:tc>
      </w:tr>
      <w:tr w:rsidR="006F76EB" w:rsidRPr="00834D52" w14:paraId="5E19AD2F" w14:textId="77777777" w:rsidTr="00F71229">
        <w:tc>
          <w:tcPr>
            <w:tcW w:w="1809" w:type="dxa"/>
            <w:tcBorders>
              <w:top w:val="nil"/>
              <w:left w:val="nil"/>
              <w:bottom w:val="nil"/>
              <w:right w:val="nil"/>
            </w:tcBorders>
          </w:tcPr>
          <w:p w14:paraId="6BA4D0E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w:t>
            </w:r>
          </w:p>
        </w:tc>
        <w:tc>
          <w:tcPr>
            <w:tcW w:w="8168" w:type="dxa"/>
            <w:gridSpan w:val="2"/>
            <w:tcBorders>
              <w:top w:val="nil"/>
              <w:left w:val="nil"/>
              <w:bottom w:val="nil"/>
              <w:right w:val="nil"/>
            </w:tcBorders>
          </w:tcPr>
          <w:p w14:paraId="2CEEBEC7"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Դեղագործական մշակում</w:t>
            </w:r>
          </w:p>
        </w:tc>
      </w:tr>
      <w:tr w:rsidR="006F76EB" w:rsidRPr="00834D52" w14:paraId="503198E2" w14:textId="77777777" w:rsidTr="00F71229">
        <w:tc>
          <w:tcPr>
            <w:tcW w:w="1809" w:type="dxa"/>
            <w:tcBorders>
              <w:top w:val="nil"/>
              <w:left w:val="nil"/>
              <w:bottom w:val="nil"/>
              <w:right w:val="nil"/>
            </w:tcBorders>
          </w:tcPr>
          <w:p w14:paraId="1A15DC90"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3.2.Р.2.1.</w:t>
            </w:r>
          </w:p>
        </w:tc>
        <w:tc>
          <w:tcPr>
            <w:tcW w:w="8168" w:type="dxa"/>
            <w:gridSpan w:val="2"/>
            <w:tcBorders>
              <w:top w:val="nil"/>
              <w:left w:val="nil"/>
              <w:bottom w:val="nil"/>
              <w:right w:val="nil"/>
            </w:tcBorders>
          </w:tcPr>
          <w:p w14:paraId="53BB36C9"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Դեղապատրաստուկի բաղադրիչները</w:t>
            </w:r>
          </w:p>
        </w:tc>
      </w:tr>
      <w:tr w:rsidR="006F76EB" w:rsidRPr="00834D52" w14:paraId="25618360" w14:textId="77777777" w:rsidTr="00F71229">
        <w:tc>
          <w:tcPr>
            <w:tcW w:w="1809" w:type="dxa"/>
            <w:tcBorders>
              <w:top w:val="nil"/>
              <w:left w:val="nil"/>
              <w:bottom w:val="nil"/>
              <w:right w:val="nil"/>
            </w:tcBorders>
          </w:tcPr>
          <w:p w14:paraId="19C2E41B"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3.2.Р.2.1.1.</w:t>
            </w:r>
          </w:p>
        </w:tc>
        <w:tc>
          <w:tcPr>
            <w:tcW w:w="8168" w:type="dxa"/>
            <w:gridSpan w:val="2"/>
            <w:tcBorders>
              <w:top w:val="nil"/>
              <w:left w:val="nil"/>
              <w:bottom w:val="nil"/>
              <w:right w:val="nil"/>
            </w:tcBorders>
          </w:tcPr>
          <w:p w14:paraId="64B596A7"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Ակտիվ դեղագործական բաղադրամաս</w:t>
            </w:r>
          </w:p>
        </w:tc>
      </w:tr>
      <w:tr w:rsidR="006F76EB" w:rsidRPr="00834D52" w14:paraId="76B9C7E6" w14:textId="77777777" w:rsidTr="00F71229">
        <w:tc>
          <w:tcPr>
            <w:tcW w:w="1809" w:type="dxa"/>
            <w:tcBorders>
              <w:top w:val="nil"/>
              <w:left w:val="nil"/>
              <w:bottom w:val="nil"/>
              <w:right w:val="nil"/>
            </w:tcBorders>
          </w:tcPr>
          <w:p w14:paraId="28F9B346"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3.2.Р.2.1.2.</w:t>
            </w:r>
          </w:p>
        </w:tc>
        <w:tc>
          <w:tcPr>
            <w:tcW w:w="8168" w:type="dxa"/>
            <w:gridSpan w:val="2"/>
            <w:tcBorders>
              <w:top w:val="nil"/>
              <w:left w:val="nil"/>
              <w:bottom w:val="nil"/>
              <w:right w:val="nil"/>
            </w:tcBorders>
          </w:tcPr>
          <w:p w14:paraId="0E5F3D27"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Օժանդակ նյութեր</w:t>
            </w:r>
          </w:p>
        </w:tc>
      </w:tr>
      <w:tr w:rsidR="006F76EB" w:rsidRPr="00834D52" w14:paraId="2C8D0ECE" w14:textId="77777777" w:rsidTr="00F71229">
        <w:tc>
          <w:tcPr>
            <w:tcW w:w="1809" w:type="dxa"/>
            <w:tcBorders>
              <w:top w:val="nil"/>
              <w:left w:val="nil"/>
              <w:bottom w:val="nil"/>
              <w:right w:val="nil"/>
            </w:tcBorders>
          </w:tcPr>
          <w:p w14:paraId="5036AE60"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3.2.Р.2.2.</w:t>
            </w:r>
          </w:p>
        </w:tc>
        <w:tc>
          <w:tcPr>
            <w:tcW w:w="8168" w:type="dxa"/>
            <w:gridSpan w:val="2"/>
            <w:tcBorders>
              <w:top w:val="nil"/>
              <w:left w:val="nil"/>
              <w:bottom w:val="nil"/>
              <w:right w:val="nil"/>
            </w:tcBorders>
          </w:tcPr>
          <w:p w14:paraId="5CCC8166"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Դեղապատրաստուկ</w:t>
            </w:r>
          </w:p>
        </w:tc>
      </w:tr>
      <w:tr w:rsidR="006F76EB" w:rsidRPr="00834D52" w14:paraId="12EA7B6D" w14:textId="77777777" w:rsidTr="00F71229">
        <w:tc>
          <w:tcPr>
            <w:tcW w:w="1809" w:type="dxa"/>
            <w:tcBorders>
              <w:top w:val="nil"/>
              <w:left w:val="nil"/>
              <w:bottom w:val="nil"/>
              <w:right w:val="nil"/>
            </w:tcBorders>
          </w:tcPr>
          <w:p w14:paraId="3A7DCC21"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3.2.Р.2.2.1.</w:t>
            </w:r>
          </w:p>
        </w:tc>
        <w:tc>
          <w:tcPr>
            <w:tcW w:w="8168" w:type="dxa"/>
            <w:gridSpan w:val="2"/>
            <w:tcBorders>
              <w:top w:val="nil"/>
              <w:left w:val="nil"/>
              <w:bottom w:val="nil"/>
              <w:right w:val="nil"/>
            </w:tcBorders>
          </w:tcPr>
          <w:p w14:paraId="070CD8EC"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Դեղաձ</w:t>
            </w:r>
            <w:r w:rsidR="00C54D75">
              <w:rPr>
                <w:rFonts w:ascii="Sylfaen" w:hAnsi="Sylfaen"/>
                <w:sz w:val="24"/>
                <w:szCs w:val="24"/>
              </w:rPr>
              <w:t>և</w:t>
            </w:r>
            <w:r w:rsidRPr="00834D52">
              <w:rPr>
                <w:rFonts w:ascii="Sylfaen" w:hAnsi="Sylfaen"/>
                <w:sz w:val="24"/>
                <w:szCs w:val="24"/>
              </w:rPr>
              <w:t>ի մշակումը</w:t>
            </w:r>
          </w:p>
        </w:tc>
      </w:tr>
      <w:tr w:rsidR="006F76EB" w:rsidRPr="00834D52" w14:paraId="309C7459" w14:textId="77777777" w:rsidTr="00F71229">
        <w:tc>
          <w:tcPr>
            <w:tcW w:w="1809" w:type="dxa"/>
            <w:tcBorders>
              <w:top w:val="nil"/>
              <w:left w:val="nil"/>
              <w:bottom w:val="nil"/>
              <w:right w:val="nil"/>
            </w:tcBorders>
          </w:tcPr>
          <w:p w14:paraId="488DC616"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3.2.Р.2.2.2.</w:t>
            </w:r>
          </w:p>
        </w:tc>
        <w:tc>
          <w:tcPr>
            <w:tcW w:w="8168" w:type="dxa"/>
            <w:gridSpan w:val="2"/>
            <w:tcBorders>
              <w:top w:val="nil"/>
              <w:left w:val="nil"/>
              <w:bottom w:val="nil"/>
              <w:right w:val="nil"/>
            </w:tcBorders>
          </w:tcPr>
          <w:p w14:paraId="01F50A65"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Արտադրական ավելցուկները</w:t>
            </w:r>
          </w:p>
        </w:tc>
      </w:tr>
      <w:tr w:rsidR="006F76EB" w:rsidRPr="00834D52" w14:paraId="71CCAA78" w14:textId="77777777" w:rsidTr="00F71229">
        <w:tc>
          <w:tcPr>
            <w:tcW w:w="1809" w:type="dxa"/>
            <w:tcBorders>
              <w:top w:val="nil"/>
              <w:left w:val="nil"/>
              <w:bottom w:val="nil"/>
              <w:right w:val="nil"/>
            </w:tcBorders>
          </w:tcPr>
          <w:p w14:paraId="7D2841E3"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3.2.Р.2.2.3.</w:t>
            </w:r>
          </w:p>
        </w:tc>
        <w:tc>
          <w:tcPr>
            <w:tcW w:w="8168" w:type="dxa"/>
            <w:gridSpan w:val="2"/>
            <w:tcBorders>
              <w:top w:val="nil"/>
              <w:left w:val="nil"/>
              <w:bottom w:val="nil"/>
              <w:right w:val="nil"/>
            </w:tcBorders>
          </w:tcPr>
          <w:p w14:paraId="0C74A438"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Ֆիզիկաքիմիական </w:t>
            </w:r>
            <w:r w:rsidR="00C54D75">
              <w:rPr>
                <w:rFonts w:ascii="Sylfaen" w:hAnsi="Sylfaen"/>
                <w:sz w:val="24"/>
                <w:szCs w:val="24"/>
              </w:rPr>
              <w:t>և</w:t>
            </w:r>
            <w:r w:rsidRPr="00834D52">
              <w:rPr>
                <w:rFonts w:ascii="Sylfaen" w:hAnsi="Sylfaen"/>
                <w:sz w:val="24"/>
                <w:szCs w:val="24"/>
              </w:rPr>
              <w:t xml:space="preserve"> կենսաբանական հատկությունները</w:t>
            </w:r>
          </w:p>
        </w:tc>
      </w:tr>
      <w:tr w:rsidR="006F76EB" w:rsidRPr="00834D52" w14:paraId="3021030E" w14:textId="77777777" w:rsidTr="00F71229">
        <w:tc>
          <w:tcPr>
            <w:tcW w:w="1809" w:type="dxa"/>
            <w:tcBorders>
              <w:top w:val="nil"/>
              <w:left w:val="nil"/>
              <w:bottom w:val="nil"/>
              <w:right w:val="nil"/>
            </w:tcBorders>
          </w:tcPr>
          <w:p w14:paraId="53B4AB4A"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3.2.Р.2.3.</w:t>
            </w:r>
          </w:p>
        </w:tc>
        <w:tc>
          <w:tcPr>
            <w:tcW w:w="8168" w:type="dxa"/>
            <w:gridSpan w:val="2"/>
            <w:tcBorders>
              <w:top w:val="nil"/>
              <w:left w:val="nil"/>
              <w:bottom w:val="nil"/>
              <w:right w:val="nil"/>
            </w:tcBorders>
          </w:tcPr>
          <w:p w14:paraId="551C0CB9"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Արտադրական գործընթացի մշակումը</w:t>
            </w:r>
          </w:p>
        </w:tc>
      </w:tr>
      <w:tr w:rsidR="006F76EB" w:rsidRPr="00834D52" w14:paraId="090EECFA" w14:textId="77777777" w:rsidTr="00F71229">
        <w:tc>
          <w:tcPr>
            <w:tcW w:w="1809" w:type="dxa"/>
            <w:tcBorders>
              <w:top w:val="nil"/>
              <w:left w:val="nil"/>
              <w:bottom w:val="nil"/>
              <w:right w:val="nil"/>
            </w:tcBorders>
          </w:tcPr>
          <w:p w14:paraId="7D7EEE7F"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3.2.Р.2.4.</w:t>
            </w:r>
          </w:p>
        </w:tc>
        <w:tc>
          <w:tcPr>
            <w:tcW w:w="8168" w:type="dxa"/>
            <w:gridSpan w:val="2"/>
            <w:tcBorders>
              <w:top w:val="nil"/>
              <w:left w:val="nil"/>
              <w:bottom w:val="nil"/>
              <w:right w:val="nil"/>
            </w:tcBorders>
          </w:tcPr>
          <w:p w14:paraId="09908A1B"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Փաթեթավորման (խցանափակման) համակարգը</w:t>
            </w:r>
          </w:p>
        </w:tc>
      </w:tr>
      <w:tr w:rsidR="006F76EB" w:rsidRPr="00834D52" w14:paraId="412489A8" w14:textId="77777777" w:rsidTr="00F71229">
        <w:tc>
          <w:tcPr>
            <w:tcW w:w="1809" w:type="dxa"/>
            <w:tcBorders>
              <w:top w:val="nil"/>
              <w:left w:val="nil"/>
              <w:bottom w:val="nil"/>
              <w:right w:val="nil"/>
            </w:tcBorders>
          </w:tcPr>
          <w:p w14:paraId="1CA5EB0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3.2.Р.2.5.</w:t>
            </w:r>
          </w:p>
        </w:tc>
        <w:tc>
          <w:tcPr>
            <w:tcW w:w="8168" w:type="dxa"/>
            <w:gridSpan w:val="2"/>
            <w:tcBorders>
              <w:top w:val="nil"/>
              <w:left w:val="nil"/>
              <w:bottom w:val="nil"/>
              <w:right w:val="nil"/>
            </w:tcBorders>
          </w:tcPr>
          <w:p w14:paraId="2435DB23"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Միկրոկենսաբանական բնութագրերը</w:t>
            </w:r>
          </w:p>
        </w:tc>
      </w:tr>
      <w:tr w:rsidR="006F76EB" w:rsidRPr="00834D52" w14:paraId="5CE47078" w14:textId="77777777" w:rsidTr="00F71229">
        <w:tc>
          <w:tcPr>
            <w:tcW w:w="1809" w:type="dxa"/>
            <w:tcBorders>
              <w:top w:val="nil"/>
              <w:left w:val="nil"/>
              <w:bottom w:val="nil"/>
              <w:right w:val="nil"/>
            </w:tcBorders>
          </w:tcPr>
          <w:p w14:paraId="31C1D7DC"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3.2.Р.2.6.</w:t>
            </w:r>
          </w:p>
        </w:tc>
        <w:tc>
          <w:tcPr>
            <w:tcW w:w="8168" w:type="dxa"/>
            <w:gridSpan w:val="2"/>
            <w:tcBorders>
              <w:top w:val="nil"/>
              <w:left w:val="nil"/>
              <w:bottom w:val="nil"/>
              <w:right w:val="nil"/>
            </w:tcBorders>
          </w:tcPr>
          <w:p w14:paraId="7482E6FD"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Համատեղելիությունը</w:t>
            </w:r>
          </w:p>
        </w:tc>
      </w:tr>
      <w:tr w:rsidR="006F76EB" w:rsidRPr="00834D52" w14:paraId="1E3FB161" w14:textId="77777777" w:rsidTr="00F71229">
        <w:tc>
          <w:tcPr>
            <w:tcW w:w="1809" w:type="dxa"/>
            <w:tcBorders>
              <w:top w:val="nil"/>
              <w:left w:val="nil"/>
              <w:bottom w:val="nil"/>
              <w:right w:val="nil"/>
            </w:tcBorders>
          </w:tcPr>
          <w:p w14:paraId="42BB8F79"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3.2.Р.3.</w:t>
            </w:r>
          </w:p>
        </w:tc>
        <w:tc>
          <w:tcPr>
            <w:tcW w:w="8168" w:type="dxa"/>
            <w:gridSpan w:val="2"/>
            <w:tcBorders>
              <w:top w:val="nil"/>
              <w:left w:val="nil"/>
              <w:bottom w:val="nil"/>
              <w:right w:val="nil"/>
            </w:tcBorders>
          </w:tcPr>
          <w:p w14:paraId="307BF3AB"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Դեղապատրաստուկի արտադրության գործընթացը</w:t>
            </w:r>
          </w:p>
        </w:tc>
      </w:tr>
      <w:tr w:rsidR="006F76EB" w:rsidRPr="00834D52" w14:paraId="20ED063B" w14:textId="77777777" w:rsidTr="00F71229">
        <w:tc>
          <w:tcPr>
            <w:tcW w:w="1809" w:type="dxa"/>
            <w:tcBorders>
              <w:top w:val="nil"/>
              <w:left w:val="nil"/>
              <w:bottom w:val="nil"/>
              <w:right w:val="nil"/>
            </w:tcBorders>
          </w:tcPr>
          <w:p w14:paraId="0C8489F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3.2.Р.3.1.</w:t>
            </w:r>
          </w:p>
        </w:tc>
        <w:tc>
          <w:tcPr>
            <w:tcW w:w="8168" w:type="dxa"/>
            <w:gridSpan w:val="2"/>
            <w:tcBorders>
              <w:top w:val="nil"/>
              <w:left w:val="nil"/>
              <w:bottom w:val="nil"/>
              <w:right w:val="nil"/>
            </w:tcBorders>
          </w:tcPr>
          <w:p w14:paraId="53ACA2C3"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Արտադրողները</w:t>
            </w:r>
          </w:p>
        </w:tc>
      </w:tr>
      <w:tr w:rsidR="006F76EB" w:rsidRPr="00834D52" w14:paraId="33C6A025" w14:textId="77777777" w:rsidTr="00F71229">
        <w:tc>
          <w:tcPr>
            <w:tcW w:w="1809" w:type="dxa"/>
            <w:tcBorders>
              <w:top w:val="nil"/>
              <w:left w:val="nil"/>
              <w:bottom w:val="nil"/>
              <w:right w:val="nil"/>
            </w:tcBorders>
          </w:tcPr>
          <w:p w14:paraId="4014D4C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3.2.Р.3.2.</w:t>
            </w:r>
          </w:p>
        </w:tc>
        <w:tc>
          <w:tcPr>
            <w:tcW w:w="8168" w:type="dxa"/>
            <w:gridSpan w:val="2"/>
            <w:tcBorders>
              <w:top w:val="nil"/>
              <w:left w:val="nil"/>
              <w:bottom w:val="nil"/>
              <w:right w:val="nil"/>
            </w:tcBorders>
          </w:tcPr>
          <w:p w14:paraId="7A33E434"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Բաղադրությունը՝ սերիայի համար (արտադրական դեղագրությունը)</w:t>
            </w:r>
          </w:p>
        </w:tc>
      </w:tr>
      <w:tr w:rsidR="006F76EB" w:rsidRPr="00834D52" w14:paraId="6293E3CC" w14:textId="77777777" w:rsidTr="00F71229">
        <w:tc>
          <w:tcPr>
            <w:tcW w:w="1809" w:type="dxa"/>
            <w:tcBorders>
              <w:top w:val="nil"/>
              <w:left w:val="nil"/>
              <w:bottom w:val="nil"/>
              <w:right w:val="nil"/>
            </w:tcBorders>
          </w:tcPr>
          <w:p w14:paraId="65FA6BA7"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3.2.Р.3.3.</w:t>
            </w:r>
          </w:p>
        </w:tc>
        <w:tc>
          <w:tcPr>
            <w:tcW w:w="8168" w:type="dxa"/>
            <w:gridSpan w:val="2"/>
            <w:tcBorders>
              <w:top w:val="nil"/>
              <w:left w:val="nil"/>
              <w:bottom w:val="nil"/>
              <w:right w:val="nil"/>
            </w:tcBorders>
          </w:tcPr>
          <w:p w14:paraId="5300D90F"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Արտադրական գործընթացի ու դրա հսկողության նկարագրությունը </w:t>
            </w:r>
          </w:p>
        </w:tc>
      </w:tr>
      <w:tr w:rsidR="006F76EB" w:rsidRPr="00834D52" w14:paraId="667CD6A8" w14:textId="77777777" w:rsidTr="00F71229">
        <w:tc>
          <w:tcPr>
            <w:tcW w:w="1809" w:type="dxa"/>
            <w:tcBorders>
              <w:top w:val="nil"/>
              <w:left w:val="nil"/>
              <w:bottom w:val="nil"/>
              <w:right w:val="nil"/>
            </w:tcBorders>
          </w:tcPr>
          <w:p w14:paraId="5E96F0A9"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lastRenderedPageBreak/>
              <w:t>3.2.Р.3.4.</w:t>
            </w:r>
          </w:p>
        </w:tc>
        <w:tc>
          <w:tcPr>
            <w:tcW w:w="8168" w:type="dxa"/>
            <w:gridSpan w:val="2"/>
            <w:tcBorders>
              <w:top w:val="nil"/>
              <w:left w:val="nil"/>
              <w:bottom w:val="nil"/>
              <w:right w:val="nil"/>
            </w:tcBorders>
          </w:tcPr>
          <w:p w14:paraId="5F9B5E48" w14:textId="77777777" w:rsidR="006F76EB" w:rsidRPr="00834D52" w:rsidRDefault="006F76EB" w:rsidP="00607D50">
            <w:pPr>
              <w:spacing w:after="160" w:line="28" w:lineRule="atLeast"/>
              <w:ind w:right="-8"/>
              <w:jc w:val="both"/>
              <w:rPr>
                <w:rFonts w:ascii="Sylfaen" w:eastAsia="Times New Roman" w:hAnsi="Sylfaen" w:cs="Times New Roman"/>
                <w:sz w:val="24"/>
                <w:szCs w:val="24"/>
              </w:rPr>
            </w:pPr>
            <w:r w:rsidRPr="00834D52">
              <w:rPr>
                <w:rFonts w:ascii="Sylfaen" w:hAnsi="Sylfaen"/>
                <w:sz w:val="24"/>
                <w:szCs w:val="24"/>
              </w:rPr>
              <w:t xml:space="preserve">Կրիտիկական փուլերի </w:t>
            </w:r>
            <w:r w:rsidR="00C54D75">
              <w:rPr>
                <w:rFonts w:ascii="Sylfaen" w:hAnsi="Sylfaen"/>
                <w:sz w:val="24"/>
                <w:szCs w:val="24"/>
              </w:rPr>
              <w:t>և</w:t>
            </w:r>
            <w:r w:rsidRPr="00834D52">
              <w:rPr>
                <w:rFonts w:ascii="Sylfaen" w:hAnsi="Sylfaen"/>
                <w:sz w:val="24"/>
                <w:szCs w:val="24"/>
              </w:rPr>
              <w:t xml:space="preserve"> միջանկյալ արտադրանքի հսկողությունը</w:t>
            </w:r>
          </w:p>
        </w:tc>
      </w:tr>
      <w:tr w:rsidR="006F76EB" w:rsidRPr="00834D52" w14:paraId="72FA57D8" w14:textId="77777777" w:rsidTr="00F71229">
        <w:tc>
          <w:tcPr>
            <w:tcW w:w="1809" w:type="dxa"/>
            <w:tcBorders>
              <w:top w:val="nil"/>
              <w:left w:val="nil"/>
              <w:bottom w:val="nil"/>
              <w:right w:val="nil"/>
            </w:tcBorders>
          </w:tcPr>
          <w:p w14:paraId="5E43D773"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3.2.Р.3.5.</w:t>
            </w:r>
          </w:p>
        </w:tc>
        <w:tc>
          <w:tcPr>
            <w:tcW w:w="8168" w:type="dxa"/>
            <w:gridSpan w:val="2"/>
            <w:tcBorders>
              <w:top w:val="nil"/>
              <w:left w:val="nil"/>
              <w:bottom w:val="nil"/>
              <w:right w:val="nil"/>
            </w:tcBorders>
          </w:tcPr>
          <w:p w14:paraId="6BAD509C"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Արտադրական գործընթացի վալիդացումը </w:t>
            </w:r>
            <w:r w:rsidR="00C54D75">
              <w:rPr>
                <w:rFonts w:ascii="Sylfaen" w:hAnsi="Sylfaen"/>
                <w:sz w:val="24"/>
                <w:szCs w:val="24"/>
              </w:rPr>
              <w:t>և</w:t>
            </w:r>
            <w:r w:rsidRPr="00834D52">
              <w:rPr>
                <w:rFonts w:ascii="Sylfaen" w:hAnsi="Sylfaen"/>
                <w:sz w:val="24"/>
                <w:szCs w:val="24"/>
              </w:rPr>
              <w:t xml:space="preserve"> (կամ) գնահատումը</w:t>
            </w:r>
          </w:p>
        </w:tc>
      </w:tr>
      <w:tr w:rsidR="006F76EB" w:rsidRPr="00834D52" w14:paraId="66991603" w14:textId="77777777" w:rsidTr="00F71229">
        <w:tc>
          <w:tcPr>
            <w:tcW w:w="1809" w:type="dxa"/>
            <w:tcBorders>
              <w:top w:val="nil"/>
              <w:left w:val="nil"/>
              <w:bottom w:val="nil"/>
              <w:right w:val="nil"/>
            </w:tcBorders>
          </w:tcPr>
          <w:p w14:paraId="0908FE5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w:t>
            </w:r>
          </w:p>
        </w:tc>
        <w:tc>
          <w:tcPr>
            <w:tcW w:w="8168" w:type="dxa"/>
            <w:gridSpan w:val="2"/>
            <w:tcBorders>
              <w:top w:val="nil"/>
              <w:left w:val="nil"/>
              <w:bottom w:val="nil"/>
              <w:right w:val="nil"/>
            </w:tcBorders>
          </w:tcPr>
          <w:p w14:paraId="39114537"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Օժանդակ նյութերի որակի հսկողությունը</w:t>
            </w:r>
          </w:p>
        </w:tc>
      </w:tr>
      <w:tr w:rsidR="006F76EB" w:rsidRPr="00834D52" w14:paraId="405274CF" w14:textId="77777777" w:rsidTr="00F71229">
        <w:tc>
          <w:tcPr>
            <w:tcW w:w="1809" w:type="dxa"/>
            <w:tcBorders>
              <w:top w:val="nil"/>
              <w:left w:val="nil"/>
              <w:bottom w:val="nil"/>
              <w:right w:val="nil"/>
            </w:tcBorders>
          </w:tcPr>
          <w:p w14:paraId="19EE526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3.2.Р.4.1.</w:t>
            </w:r>
          </w:p>
        </w:tc>
        <w:tc>
          <w:tcPr>
            <w:tcW w:w="8168" w:type="dxa"/>
            <w:gridSpan w:val="2"/>
            <w:tcBorders>
              <w:top w:val="nil"/>
              <w:left w:val="nil"/>
              <w:bottom w:val="nil"/>
              <w:right w:val="nil"/>
            </w:tcBorders>
          </w:tcPr>
          <w:p w14:paraId="66DCD133"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Մասնագրերը</w:t>
            </w:r>
          </w:p>
        </w:tc>
      </w:tr>
      <w:tr w:rsidR="006F76EB" w:rsidRPr="00834D52" w14:paraId="01B43DFD" w14:textId="77777777" w:rsidTr="00F71229">
        <w:tc>
          <w:tcPr>
            <w:tcW w:w="1809" w:type="dxa"/>
            <w:tcBorders>
              <w:top w:val="nil"/>
              <w:left w:val="nil"/>
              <w:bottom w:val="nil"/>
              <w:right w:val="nil"/>
            </w:tcBorders>
          </w:tcPr>
          <w:p w14:paraId="3657F687"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3.2.Р.4.2.</w:t>
            </w:r>
          </w:p>
        </w:tc>
        <w:tc>
          <w:tcPr>
            <w:tcW w:w="8168" w:type="dxa"/>
            <w:gridSpan w:val="2"/>
            <w:tcBorders>
              <w:top w:val="nil"/>
              <w:left w:val="nil"/>
              <w:bottom w:val="nil"/>
              <w:right w:val="nil"/>
            </w:tcBorders>
          </w:tcPr>
          <w:p w14:paraId="67995DE6"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Վերլուծական մեթոդիկաները</w:t>
            </w:r>
          </w:p>
        </w:tc>
      </w:tr>
      <w:tr w:rsidR="006F76EB" w:rsidRPr="00834D52" w14:paraId="2F288EF7" w14:textId="77777777" w:rsidTr="00F71229">
        <w:tc>
          <w:tcPr>
            <w:tcW w:w="1809" w:type="dxa"/>
            <w:tcBorders>
              <w:top w:val="nil"/>
              <w:left w:val="nil"/>
              <w:bottom w:val="nil"/>
              <w:right w:val="nil"/>
            </w:tcBorders>
          </w:tcPr>
          <w:p w14:paraId="7ABAC8EE"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3.2.Р.4.3.</w:t>
            </w:r>
          </w:p>
        </w:tc>
        <w:tc>
          <w:tcPr>
            <w:tcW w:w="8168" w:type="dxa"/>
            <w:gridSpan w:val="2"/>
            <w:tcBorders>
              <w:top w:val="nil"/>
              <w:left w:val="nil"/>
              <w:bottom w:val="nil"/>
              <w:right w:val="nil"/>
            </w:tcBorders>
          </w:tcPr>
          <w:p w14:paraId="6ABB513D"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Վերլուծական մեթոդիկաների վալիդացումը</w:t>
            </w:r>
          </w:p>
        </w:tc>
      </w:tr>
      <w:tr w:rsidR="006F76EB" w:rsidRPr="00834D52" w14:paraId="35A5B3EE" w14:textId="77777777" w:rsidTr="00F71229">
        <w:tc>
          <w:tcPr>
            <w:tcW w:w="1809" w:type="dxa"/>
            <w:tcBorders>
              <w:top w:val="nil"/>
              <w:left w:val="nil"/>
              <w:bottom w:val="nil"/>
              <w:right w:val="nil"/>
            </w:tcBorders>
          </w:tcPr>
          <w:p w14:paraId="4201729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3.2.Р.4.4.</w:t>
            </w:r>
          </w:p>
        </w:tc>
        <w:tc>
          <w:tcPr>
            <w:tcW w:w="8168" w:type="dxa"/>
            <w:gridSpan w:val="2"/>
            <w:tcBorders>
              <w:top w:val="nil"/>
              <w:left w:val="nil"/>
              <w:bottom w:val="nil"/>
              <w:right w:val="nil"/>
            </w:tcBorders>
          </w:tcPr>
          <w:p w14:paraId="4C961B64"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Մասնագրերի հիմնավորումը</w:t>
            </w:r>
          </w:p>
        </w:tc>
      </w:tr>
      <w:tr w:rsidR="006F76EB" w:rsidRPr="00834D52" w14:paraId="7B9DC562" w14:textId="77777777" w:rsidTr="00F71229">
        <w:tc>
          <w:tcPr>
            <w:tcW w:w="1809" w:type="dxa"/>
            <w:tcBorders>
              <w:top w:val="nil"/>
              <w:left w:val="nil"/>
              <w:bottom w:val="nil"/>
              <w:right w:val="nil"/>
            </w:tcBorders>
          </w:tcPr>
          <w:p w14:paraId="30F47AD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3.2.Р.4.5.</w:t>
            </w:r>
          </w:p>
        </w:tc>
        <w:tc>
          <w:tcPr>
            <w:tcW w:w="8168" w:type="dxa"/>
            <w:gridSpan w:val="2"/>
            <w:tcBorders>
              <w:top w:val="nil"/>
              <w:left w:val="nil"/>
              <w:bottom w:val="nil"/>
              <w:right w:val="nil"/>
            </w:tcBorders>
          </w:tcPr>
          <w:p w14:paraId="2E187719" w14:textId="77777777" w:rsidR="006F76EB" w:rsidRPr="00834D52" w:rsidRDefault="006F76EB" w:rsidP="00607D50">
            <w:pPr>
              <w:spacing w:after="160" w:line="28" w:lineRule="atLeast"/>
              <w:ind w:right="-8"/>
              <w:jc w:val="both"/>
              <w:rPr>
                <w:rFonts w:ascii="Sylfaen" w:eastAsia="Times New Roman" w:hAnsi="Sylfaen" w:cs="Times New Roman"/>
                <w:sz w:val="24"/>
                <w:szCs w:val="24"/>
              </w:rPr>
            </w:pPr>
            <w:r w:rsidRPr="00834D52">
              <w:rPr>
                <w:rFonts w:ascii="Sylfaen" w:hAnsi="Sylfaen"/>
                <w:sz w:val="24"/>
                <w:szCs w:val="24"/>
              </w:rPr>
              <w:t xml:space="preserve">Մարդկային </w:t>
            </w:r>
            <w:r w:rsidR="00C54D75">
              <w:rPr>
                <w:rFonts w:ascii="Sylfaen" w:hAnsi="Sylfaen"/>
                <w:sz w:val="24"/>
                <w:szCs w:val="24"/>
              </w:rPr>
              <w:t>և</w:t>
            </w:r>
            <w:r w:rsidRPr="00834D52">
              <w:rPr>
                <w:rFonts w:ascii="Sylfaen" w:hAnsi="Sylfaen"/>
                <w:sz w:val="24"/>
                <w:szCs w:val="24"/>
              </w:rPr>
              <w:t xml:space="preserve"> կենդանական ծագման օժանդակ նյութերը</w:t>
            </w:r>
          </w:p>
        </w:tc>
      </w:tr>
      <w:tr w:rsidR="006F76EB" w:rsidRPr="00834D52" w14:paraId="4981F7F3" w14:textId="77777777" w:rsidTr="00F71229">
        <w:tc>
          <w:tcPr>
            <w:tcW w:w="1809" w:type="dxa"/>
            <w:tcBorders>
              <w:top w:val="nil"/>
              <w:left w:val="nil"/>
              <w:bottom w:val="nil"/>
              <w:right w:val="nil"/>
            </w:tcBorders>
          </w:tcPr>
          <w:p w14:paraId="6EAA2F7E"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3.2.Р.4.6.</w:t>
            </w:r>
          </w:p>
        </w:tc>
        <w:tc>
          <w:tcPr>
            <w:tcW w:w="8168" w:type="dxa"/>
            <w:gridSpan w:val="2"/>
            <w:tcBorders>
              <w:top w:val="nil"/>
              <w:left w:val="nil"/>
              <w:bottom w:val="nil"/>
              <w:right w:val="nil"/>
            </w:tcBorders>
          </w:tcPr>
          <w:p w14:paraId="11ECEE63"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Նոր օժանդակ նյութեր</w:t>
            </w:r>
          </w:p>
        </w:tc>
      </w:tr>
      <w:tr w:rsidR="006F76EB" w:rsidRPr="00834D52" w14:paraId="619B2C87" w14:textId="77777777" w:rsidTr="00F71229">
        <w:tc>
          <w:tcPr>
            <w:tcW w:w="1809" w:type="dxa"/>
            <w:tcBorders>
              <w:top w:val="nil"/>
              <w:left w:val="nil"/>
              <w:bottom w:val="nil"/>
              <w:right w:val="nil"/>
            </w:tcBorders>
          </w:tcPr>
          <w:p w14:paraId="1A11F0A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w:t>
            </w:r>
          </w:p>
        </w:tc>
        <w:tc>
          <w:tcPr>
            <w:tcW w:w="8168" w:type="dxa"/>
            <w:gridSpan w:val="2"/>
            <w:tcBorders>
              <w:top w:val="nil"/>
              <w:left w:val="nil"/>
              <w:bottom w:val="nil"/>
              <w:right w:val="nil"/>
            </w:tcBorders>
          </w:tcPr>
          <w:p w14:paraId="3D4A2C88"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Դեղապատրաստուկի որակի հսկողությունը</w:t>
            </w:r>
          </w:p>
        </w:tc>
      </w:tr>
      <w:tr w:rsidR="006F76EB" w:rsidRPr="00834D52" w14:paraId="26AABAD6" w14:textId="77777777" w:rsidTr="00F71229">
        <w:tc>
          <w:tcPr>
            <w:tcW w:w="1809" w:type="dxa"/>
            <w:tcBorders>
              <w:top w:val="nil"/>
              <w:left w:val="nil"/>
              <w:bottom w:val="nil"/>
              <w:right w:val="nil"/>
            </w:tcBorders>
          </w:tcPr>
          <w:p w14:paraId="1908300E"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3.2.Р.5.1.</w:t>
            </w:r>
          </w:p>
        </w:tc>
        <w:tc>
          <w:tcPr>
            <w:tcW w:w="8168" w:type="dxa"/>
            <w:gridSpan w:val="2"/>
            <w:tcBorders>
              <w:top w:val="nil"/>
              <w:left w:val="nil"/>
              <w:bottom w:val="nil"/>
              <w:right w:val="nil"/>
            </w:tcBorders>
          </w:tcPr>
          <w:p w14:paraId="6A2849F9"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Մասնագրերը</w:t>
            </w:r>
          </w:p>
        </w:tc>
      </w:tr>
      <w:tr w:rsidR="006F76EB" w:rsidRPr="00834D52" w14:paraId="78024762" w14:textId="77777777" w:rsidTr="00F71229">
        <w:tc>
          <w:tcPr>
            <w:tcW w:w="1809" w:type="dxa"/>
            <w:tcBorders>
              <w:top w:val="nil"/>
              <w:left w:val="nil"/>
              <w:bottom w:val="nil"/>
              <w:right w:val="nil"/>
            </w:tcBorders>
          </w:tcPr>
          <w:p w14:paraId="7ECE745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3.2.Р.5.2.</w:t>
            </w:r>
          </w:p>
        </w:tc>
        <w:tc>
          <w:tcPr>
            <w:tcW w:w="8168" w:type="dxa"/>
            <w:gridSpan w:val="2"/>
            <w:tcBorders>
              <w:top w:val="nil"/>
              <w:left w:val="nil"/>
              <w:bottom w:val="nil"/>
              <w:right w:val="nil"/>
            </w:tcBorders>
          </w:tcPr>
          <w:p w14:paraId="5152FEB5" w14:textId="77777777" w:rsidR="006F76EB" w:rsidRPr="00834D52" w:rsidRDefault="006F76EB" w:rsidP="00607D50">
            <w:pPr>
              <w:spacing w:after="160" w:line="28" w:lineRule="atLeast"/>
              <w:ind w:right="-8"/>
              <w:jc w:val="both"/>
              <w:rPr>
                <w:rFonts w:ascii="Sylfaen" w:eastAsia="Times New Roman" w:hAnsi="Sylfaen" w:cs="Times New Roman"/>
                <w:sz w:val="24"/>
                <w:szCs w:val="24"/>
              </w:rPr>
            </w:pPr>
            <w:r w:rsidRPr="00834D52">
              <w:rPr>
                <w:rFonts w:ascii="Sylfaen" w:hAnsi="Sylfaen"/>
                <w:sz w:val="24"/>
                <w:szCs w:val="24"/>
              </w:rPr>
              <w:t>Վերլուծական մեթոդիկաները։ Եվրասիական տնտեսական հանձնաժողովի կողմից հաստատվող հանձնարարականներին համապատասխան նախապատրաստված՝ որակի վերաբերյալ նորմատիվ փաստաթղթի նախագիծը</w:t>
            </w:r>
            <w:r w:rsidRPr="00834D52">
              <w:rPr>
                <w:rStyle w:val="FootnoteReference"/>
                <w:rFonts w:ascii="Sylfaen" w:hAnsi="Sylfaen"/>
                <w:sz w:val="24"/>
                <w:szCs w:val="24"/>
              </w:rPr>
              <w:footnoteReference w:customMarkFollows="1" w:id="27"/>
              <w:t>***</w:t>
            </w:r>
          </w:p>
        </w:tc>
      </w:tr>
      <w:tr w:rsidR="006F76EB" w:rsidRPr="00834D52" w14:paraId="51358E66" w14:textId="77777777" w:rsidTr="00F71229">
        <w:tc>
          <w:tcPr>
            <w:tcW w:w="1809" w:type="dxa"/>
            <w:tcBorders>
              <w:top w:val="nil"/>
              <w:left w:val="nil"/>
              <w:bottom w:val="nil"/>
              <w:right w:val="nil"/>
            </w:tcBorders>
          </w:tcPr>
          <w:p w14:paraId="0A796E7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3.2.Р.5.3.</w:t>
            </w:r>
          </w:p>
        </w:tc>
        <w:tc>
          <w:tcPr>
            <w:tcW w:w="8168" w:type="dxa"/>
            <w:gridSpan w:val="2"/>
            <w:tcBorders>
              <w:top w:val="nil"/>
              <w:left w:val="nil"/>
              <w:bottom w:val="nil"/>
              <w:right w:val="nil"/>
            </w:tcBorders>
          </w:tcPr>
          <w:p w14:paraId="6F8EB7FE"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Վերլուծական մեթոդիկաների վալիդացումը</w:t>
            </w:r>
          </w:p>
        </w:tc>
      </w:tr>
      <w:tr w:rsidR="006F76EB" w:rsidRPr="00834D52" w14:paraId="4BEB50AC" w14:textId="77777777" w:rsidTr="00F71229">
        <w:tc>
          <w:tcPr>
            <w:tcW w:w="1809" w:type="dxa"/>
            <w:tcBorders>
              <w:top w:val="nil"/>
              <w:left w:val="nil"/>
              <w:bottom w:val="nil"/>
              <w:right w:val="nil"/>
            </w:tcBorders>
          </w:tcPr>
          <w:p w14:paraId="0EA4B41A"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3.2.Р.5.4.</w:t>
            </w:r>
          </w:p>
        </w:tc>
        <w:tc>
          <w:tcPr>
            <w:tcW w:w="8168" w:type="dxa"/>
            <w:gridSpan w:val="2"/>
            <w:tcBorders>
              <w:top w:val="nil"/>
              <w:left w:val="nil"/>
              <w:bottom w:val="nil"/>
              <w:right w:val="nil"/>
            </w:tcBorders>
          </w:tcPr>
          <w:p w14:paraId="5F9E0323"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Սերիաների վերլուծության արդյունքները</w:t>
            </w:r>
          </w:p>
        </w:tc>
      </w:tr>
      <w:tr w:rsidR="006F76EB" w:rsidRPr="00834D52" w14:paraId="1AB89300" w14:textId="77777777" w:rsidTr="00F71229">
        <w:tc>
          <w:tcPr>
            <w:tcW w:w="1809" w:type="dxa"/>
            <w:tcBorders>
              <w:top w:val="nil"/>
              <w:left w:val="nil"/>
              <w:bottom w:val="nil"/>
              <w:right w:val="nil"/>
            </w:tcBorders>
          </w:tcPr>
          <w:p w14:paraId="1D82B319"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3.2.Р.5.5.</w:t>
            </w:r>
          </w:p>
        </w:tc>
        <w:tc>
          <w:tcPr>
            <w:tcW w:w="8168" w:type="dxa"/>
            <w:gridSpan w:val="2"/>
            <w:tcBorders>
              <w:top w:val="nil"/>
              <w:left w:val="nil"/>
              <w:bottom w:val="nil"/>
              <w:right w:val="nil"/>
            </w:tcBorders>
          </w:tcPr>
          <w:p w14:paraId="3A1D8D0A"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Խառնուկների բնութագիրը</w:t>
            </w:r>
          </w:p>
        </w:tc>
      </w:tr>
      <w:tr w:rsidR="006F76EB" w:rsidRPr="00834D52" w14:paraId="0B07D163" w14:textId="77777777" w:rsidTr="00F71229">
        <w:tc>
          <w:tcPr>
            <w:tcW w:w="1809" w:type="dxa"/>
            <w:tcBorders>
              <w:top w:val="nil"/>
              <w:left w:val="nil"/>
              <w:bottom w:val="nil"/>
              <w:right w:val="nil"/>
            </w:tcBorders>
          </w:tcPr>
          <w:p w14:paraId="35EC1CB9"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3.2.Р.5.6.</w:t>
            </w:r>
          </w:p>
        </w:tc>
        <w:tc>
          <w:tcPr>
            <w:tcW w:w="8168" w:type="dxa"/>
            <w:gridSpan w:val="2"/>
            <w:tcBorders>
              <w:top w:val="nil"/>
              <w:left w:val="nil"/>
              <w:bottom w:val="nil"/>
              <w:right w:val="nil"/>
            </w:tcBorders>
          </w:tcPr>
          <w:p w14:paraId="3E16C81D"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Մասնագրերի հիմնավորումները</w:t>
            </w:r>
          </w:p>
        </w:tc>
      </w:tr>
      <w:tr w:rsidR="006F76EB" w:rsidRPr="00834D52" w14:paraId="2149E725" w14:textId="77777777" w:rsidTr="00F71229">
        <w:tc>
          <w:tcPr>
            <w:tcW w:w="1809" w:type="dxa"/>
            <w:tcBorders>
              <w:top w:val="nil"/>
              <w:left w:val="nil"/>
              <w:bottom w:val="nil"/>
              <w:right w:val="nil"/>
            </w:tcBorders>
          </w:tcPr>
          <w:p w14:paraId="45F8761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3.2.Р.6.</w:t>
            </w:r>
          </w:p>
        </w:tc>
        <w:tc>
          <w:tcPr>
            <w:tcW w:w="8168" w:type="dxa"/>
            <w:gridSpan w:val="2"/>
            <w:tcBorders>
              <w:top w:val="nil"/>
              <w:left w:val="nil"/>
              <w:bottom w:val="nil"/>
              <w:right w:val="nil"/>
            </w:tcBorders>
          </w:tcPr>
          <w:p w14:paraId="67D63F5E"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 xml:space="preserve">Ստանդարտ նմուշները </w:t>
            </w:r>
            <w:r w:rsidR="00C54D75">
              <w:rPr>
                <w:rFonts w:ascii="Sylfaen" w:hAnsi="Sylfaen"/>
                <w:sz w:val="24"/>
                <w:szCs w:val="24"/>
              </w:rPr>
              <w:t>և</w:t>
            </w:r>
            <w:r w:rsidRPr="00834D52">
              <w:rPr>
                <w:rFonts w:ascii="Sylfaen" w:hAnsi="Sylfaen"/>
                <w:sz w:val="24"/>
                <w:szCs w:val="24"/>
              </w:rPr>
              <w:t xml:space="preserve"> նյութերը</w:t>
            </w:r>
          </w:p>
        </w:tc>
      </w:tr>
      <w:tr w:rsidR="006F76EB" w:rsidRPr="00834D52" w14:paraId="632B4915" w14:textId="77777777" w:rsidTr="00F71229">
        <w:tc>
          <w:tcPr>
            <w:tcW w:w="1809" w:type="dxa"/>
            <w:tcBorders>
              <w:top w:val="nil"/>
              <w:left w:val="nil"/>
              <w:bottom w:val="nil"/>
              <w:right w:val="nil"/>
            </w:tcBorders>
          </w:tcPr>
          <w:p w14:paraId="2B3542CC"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3.2.Р.7.</w:t>
            </w:r>
          </w:p>
        </w:tc>
        <w:tc>
          <w:tcPr>
            <w:tcW w:w="8168" w:type="dxa"/>
            <w:gridSpan w:val="2"/>
            <w:tcBorders>
              <w:top w:val="nil"/>
              <w:left w:val="nil"/>
              <w:bottom w:val="nil"/>
              <w:right w:val="nil"/>
            </w:tcBorders>
          </w:tcPr>
          <w:p w14:paraId="3550431C"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Փաթեթավորման (խցանափակման) համակարգը</w:t>
            </w:r>
          </w:p>
        </w:tc>
      </w:tr>
      <w:tr w:rsidR="006F76EB" w:rsidRPr="00834D52" w14:paraId="75B51C80" w14:textId="77777777" w:rsidTr="00F71229">
        <w:tc>
          <w:tcPr>
            <w:tcW w:w="1809" w:type="dxa"/>
            <w:tcBorders>
              <w:top w:val="nil"/>
              <w:left w:val="nil"/>
              <w:bottom w:val="nil"/>
              <w:right w:val="nil"/>
            </w:tcBorders>
          </w:tcPr>
          <w:p w14:paraId="0E9FA883"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3.2.Р.8.</w:t>
            </w:r>
          </w:p>
        </w:tc>
        <w:tc>
          <w:tcPr>
            <w:tcW w:w="8168" w:type="dxa"/>
            <w:gridSpan w:val="2"/>
            <w:tcBorders>
              <w:top w:val="nil"/>
              <w:left w:val="nil"/>
              <w:bottom w:val="nil"/>
              <w:right w:val="nil"/>
            </w:tcBorders>
          </w:tcPr>
          <w:p w14:paraId="1E106310"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Դեղապատրաստուկի կայունությունը</w:t>
            </w:r>
          </w:p>
        </w:tc>
      </w:tr>
      <w:tr w:rsidR="006F76EB" w:rsidRPr="00834D52" w14:paraId="16084DF8" w14:textId="77777777" w:rsidTr="00F71229">
        <w:tc>
          <w:tcPr>
            <w:tcW w:w="1809" w:type="dxa"/>
            <w:tcBorders>
              <w:top w:val="nil"/>
              <w:left w:val="nil"/>
              <w:bottom w:val="nil"/>
              <w:right w:val="nil"/>
            </w:tcBorders>
          </w:tcPr>
          <w:p w14:paraId="4013437A"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3.2.Р.8.1.</w:t>
            </w:r>
          </w:p>
        </w:tc>
        <w:tc>
          <w:tcPr>
            <w:tcW w:w="8168" w:type="dxa"/>
            <w:gridSpan w:val="2"/>
            <w:tcBorders>
              <w:top w:val="nil"/>
              <w:left w:val="nil"/>
              <w:bottom w:val="nil"/>
              <w:right w:val="nil"/>
            </w:tcBorders>
          </w:tcPr>
          <w:p w14:paraId="3E10653B" w14:textId="77777777" w:rsidR="006F76EB" w:rsidRPr="00834D52" w:rsidRDefault="006F76EB" w:rsidP="00607D50">
            <w:pPr>
              <w:spacing w:after="160" w:line="28" w:lineRule="atLeast"/>
              <w:ind w:right="-6"/>
              <w:jc w:val="both"/>
              <w:rPr>
                <w:rFonts w:ascii="Sylfaen" w:eastAsia="Times New Roman" w:hAnsi="Sylfaen" w:cs="Times New Roman"/>
                <w:sz w:val="24"/>
                <w:szCs w:val="24"/>
              </w:rPr>
            </w:pPr>
            <w:r w:rsidRPr="00834D52">
              <w:rPr>
                <w:rFonts w:ascii="Sylfaen" w:hAnsi="Sylfaen"/>
                <w:sz w:val="24"/>
                <w:szCs w:val="24"/>
              </w:rPr>
              <w:t xml:space="preserve">Կայունության փորձարկումների վերաբերյալ ռեզյումեն </w:t>
            </w:r>
            <w:r w:rsidR="00C54D75">
              <w:rPr>
                <w:rFonts w:ascii="Sylfaen" w:hAnsi="Sylfaen"/>
                <w:sz w:val="24"/>
                <w:szCs w:val="24"/>
              </w:rPr>
              <w:t>և</w:t>
            </w:r>
            <w:r w:rsidRPr="00834D52">
              <w:rPr>
                <w:rFonts w:ascii="Sylfaen" w:hAnsi="Sylfaen"/>
                <w:sz w:val="24"/>
                <w:szCs w:val="24"/>
              </w:rPr>
              <w:t xml:space="preserve"> կայունության վերաբերյալ եզրակացությունը**</w:t>
            </w:r>
          </w:p>
        </w:tc>
      </w:tr>
      <w:tr w:rsidR="006F76EB" w:rsidRPr="00834D52" w14:paraId="1B06F005" w14:textId="77777777" w:rsidTr="00F71229">
        <w:tc>
          <w:tcPr>
            <w:tcW w:w="1809" w:type="dxa"/>
            <w:tcBorders>
              <w:top w:val="nil"/>
              <w:left w:val="nil"/>
              <w:bottom w:val="nil"/>
              <w:right w:val="nil"/>
            </w:tcBorders>
          </w:tcPr>
          <w:p w14:paraId="57A3EC26"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3.2.Р.8.2.</w:t>
            </w:r>
          </w:p>
        </w:tc>
        <w:tc>
          <w:tcPr>
            <w:tcW w:w="8168" w:type="dxa"/>
            <w:gridSpan w:val="2"/>
            <w:tcBorders>
              <w:top w:val="nil"/>
              <w:left w:val="nil"/>
              <w:bottom w:val="nil"/>
              <w:right w:val="nil"/>
            </w:tcBorders>
          </w:tcPr>
          <w:p w14:paraId="46A74B77" w14:textId="77777777" w:rsidR="006F76EB" w:rsidRPr="00834D52" w:rsidRDefault="006F76EB" w:rsidP="00607D50">
            <w:pPr>
              <w:spacing w:after="160" w:line="28" w:lineRule="atLeast"/>
              <w:ind w:right="-6"/>
              <w:jc w:val="both"/>
              <w:rPr>
                <w:rFonts w:ascii="Sylfaen" w:eastAsia="Times New Roman" w:hAnsi="Sylfaen" w:cs="Times New Roman"/>
                <w:sz w:val="24"/>
                <w:szCs w:val="24"/>
              </w:rPr>
            </w:pPr>
            <w:r w:rsidRPr="00834D52">
              <w:rPr>
                <w:rFonts w:ascii="Sylfaen" w:hAnsi="Sylfaen"/>
                <w:sz w:val="24"/>
                <w:szCs w:val="24"/>
              </w:rPr>
              <w:t xml:space="preserve">Կայունության հետգրանցումային փորձարկումների ծրագիրը </w:t>
            </w:r>
            <w:r w:rsidR="00C54D75">
              <w:rPr>
                <w:rFonts w:ascii="Sylfaen" w:hAnsi="Sylfaen"/>
                <w:sz w:val="24"/>
                <w:szCs w:val="24"/>
              </w:rPr>
              <w:t>և</w:t>
            </w:r>
            <w:r w:rsidRPr="00834D52">
              <w:rPr>
                <w:rFonts w:ascii="Sylfaen" w:hAnsi="Sylfaen"/>
                <w:sz w:val="24"/>
                <w:szCs w:val="24"/>
              </w:rPr>
              <w:t xml:space="preserve"> կայունության ուսումնասիրությանը վերաբերող պարտավորությունները</w:t>
            </w:r>
          </w:p>
        </w:tc>
      </w:tr>
      <w:tr w:rsidR="006F76EB" w:rsidRPr="00834D52" w14:paraId="2DE4174D" w14:textId="77777777" w:rsidTr="00F71229">
        <w:tc>
          <w:tcPr>
            <w:tcW w:w="1809" w:type="dxa"/>
            <w:tcBorders>
              <w:top w:val="nil"/>
              <w:left w:val="nil"/>
              <w:bottom w:val="nil"/>
              <w:right w:val="nil"/>
            </w:tcBorders>
          </w:tcPr>
          <w:p w14:paraId="7432B6D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lastRenderedPageBreak/>
              <w:t>3.2.Р.8.3.</w:t>
            </w:r>
          </w:p>
        </w:tc>
        <w:tc>
          <w:tcPr>
            <w:tcW w:w="8168" w:type="dxa"/>
            <w:gridSpan w:val="2"/>
            <w:tcBorders>
              <w:top w:val="nil"/>
              <w:left w:val="nil"/>
              <w:bottom w:val="nil"/>
              <w:right w:val="nil"/>
            </w:tcBorders>
          </w:tcPr>
          <w:p w14:paraId="589D842A"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Կայունության փորձարկումների տվյալները</w:t>
            </w:r>
          </w:p>
        </w:tc>
      </w:tr>
      <w:tr w:rsidR="006F76EB" w:rsidRPr="00834D52" w14:paraId="7BB0BC38" w14:textId="77777777" w:rsidTr="00F71229">
        <w:tc>
          <w:tcPr>
            <w:tcW w:w="1809" w:type="dxa"/>
            <w:tcBorders>
              <w:top w:val="nil"/>
              <w:left w:val="nil"/>
              <w:bottom w:val="nil"/>
              <w:right w:val="nil"/>
            </w:tcBorders>
          </w:tcPr>
          <w:p w14:paraId="225EA8DC"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3.2.А.</w:t>
            </w:r>
          </w:p>
        </w:tc>
        <w:tc>
          <w:tcPr>
            <w:tcW w:w="8168" w:type="dxa"/>
            <w:gridSpan w:val="2"/>
            <w:tcBorders>
              <w:top w:val="nil"/>
              <w:left w:val="nil"/>
              <w:bottom w:val="nil"/>
              <w:right w:val="nil"/>
            </w:tcBorders>
          </w:tcPr>
          <w:p w14:paraId="2480C921"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Լրացումները</w:t>
            </w:r>
          </w:p>
        </w:tc>
      </w:tr>
      <w:tr w:rsidR="006F76EB" w:rsidRPr="00834D52" w14:paraId="678BA7D9" w14:textId="77777777" w:rsidTr="00F71229">
        <w:tc>
          <w:tcPr>
            <w:tcW w:w="1809" w:type="dxa"/>
            <w:tcBorders>
              <w:top w:val="nil"/>
              <w:left w:val="nil"/>
              <w:bottom w:val="nil"/>
              <w:right w:val="nil"/>
            </w:tcBorders>
          </w:tcPr>
          <w:p w14:paraId="4631AA4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3.2.А.1.</w:t>
            </w:r>
          </w:p>
        </w:tc>
        <w:tc>
          <w:tcPr>
            <w:tcW w:w="8168" w:type="dxa"/>
            <w:gridSpan w:val="2"/>
            <w:tcBorders>
              <w:top w:val="nil"/>
              <w:left w:val="nil"/>
              <w:bottom w:val="nil"/>
              <w:right w:val="nil"/>
            </w:tcBorders>
          </w:tcPr>
          <w:p w14:paraId="7A5D4777"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 xml:space="preserve">Արտադրական տարածքները </w:t>
            </w:r>
            <w:r w:rsidR="00C54D75">
              <w:rPr>
                <w:rFonts w:ascii="Sylfaen" w:hAnsi="Sylfaen"/>
                <w:sz w:val="24"/>
                <w:szCs w:val="24"/>
              </w:rPr>
              <w:t>և</w:t>
            </w:r>
            <w:r w:rsidRPr="00834D52">
              <w:rPr>
                <w:rFonts w:ascii="Sylfaen" w:hAnsi="Sylfaen"/>
                <w:sz w:val="24"/>
                <w:szCs w:val="24"/>
              </w:rPr>
              <w:t xml:space="preserve"> սարքավորումները</w:t>
            </w:r>
          </w:p>
        </w:tc>
      </w:tr>
      <w:tr w:rsidR="006F76EB" w:rsidRPr="00834D52" w14:paraId="03CAEDC7" w14:textId="77777777" w:rsidTr="00F71229">
        <w:tc>
          <w:tcPr>
            <w:tcW w:w="1809" w:type="dxa"/>
            <w:tcBorders>
              <w:top w:val="nil"/>
              <w:left w:val="nil"/>
              <w:bottom w:val="nil"/>
              <w:right w:val="nil"/>
            </w:tcBorders>
          </w:tcPr>
          <w:p w14:paraId="73B32757"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3.2.А.2.</w:t>
            </w:r>
          </w:p>
        </w:tc>
        <w:tc>
          <w:tcPr>
            <w:tcW w:w="8168" w:type="dxa"/>
            <w:gridSpan w:val="2"/>
            <w:tcBorders>
              <w:top w:val="nil"/>
              <w:left w:val="nil"/>
              <w:bottom w:val="nil"/>
              <w:right w:val="nil"/>
            </w:tcBorders>
          </w:tcPr>
          <w:p w14:paraId="3AF929F2" w14:textId="77777777" w:rsidR="006F76EB" w:rsidRPr="00834D52" w:rsidRDefault="006F76EB" w:rsidP="00607D50">
            <w:pPr>
              <w:spacing w:after="160" w:line="28" w:lineRule="atLeast"/>
              <w:ind w:right="-6"/>
              <w:rPr>
                <w:rFonts w:ascii="Sylfaen" w:eastAsia="Times New Roman" w:hAnsi="Sylfaen" w:cs="Times New Roman"/>
                <w:sz w:val="24"/>
                <w:szCs w:val="24"/>
              </w:rPr>
            </w:pPr>
            <w:r w:rsidRPr="00834D52">
              <w:rPr>
                <w:rFonts w:ascii="Sylfaen" w:hAnsi="Sylfaen"/>
                <w:sz w:val="24"/>
                <w:szCs w:val="24"/>
              </w:rPr>
              <w:t>Կողմնակի ագենտների մասով անվտանգության գնահատումը</w:t>
            </w:r>
          </w:p>
        </w:tc>
      </w:tr>
      <w:tr w:rsidR="006F76EB" w:rsidRPr="00834D52" w14:paraId="38E65899" w14:textId="77777777" w:rsidTr="00F71229">
        <w:tc>
          <w:tcPr>
            <w:tcW w:w="1809" w:type="dxa"/>
            <w:tcBorders>
              <w:top w:val="nil"/>
              <w:left w:val="nil"/>
              <w:bottom w:val="nil"/>
              <w:right w:val="nil"/>
            </w:tcBorders>
          </w:tcPr>
          <w:p w14:paraId="1B109C00"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3.2.А.3.</w:t>
            </w:r>
          </w:p>
        </w:tc>
        <w:tc>
          <w:tcPr>
            <w:tcW w:w="8168" w:type="dxa"/>
            <w:gridSpan w:val="2"/>
            <w:tcBorders>
              <w:top w:val="nil"/>
              <w:left w:val="nil"/>
              <w:bottom w:val="nil"/>
              <w:right w:val="nil"/>
            </w:tcBorders>
          </w:tcPr>
          <w:p w14:paraId="673D6205"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Նոր օժանդակ նյութեր</w:t>
            </w:r>
          </w:p>
        </w:tc>
      </w:tr>
      <w:tr w:rsidR="006F76EB" w:rsidRPr="00834D52" w14:paraId="1875F1FF" w14:textId="77777777" w:rsidTr="00F71229">
        <w:tc>
          <w:tcPr>
            <w:tcW w:w="1809" w:type="dxa"/>
            <w:tcBorders>
              <w:top w:val="nil"/>
              <w:left w:val="nil"/>
              <w:bottom w:val="nil"/>
              <w:right w:val="nil"/>
            </w:tcBorders>
          </w:tcPr>
          <w:p w14:paraId="77E1A5F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3.2.R.</w:t>
            </w:r>
          </w:p>
        </w:tc>
        <w:tc>
          <w:tcPr>
            <w:tcW w:w="8168" w:type="dxa"/>
            <w:gridSpan w:val="2"/>
            <w:tcBorders>
              <w:top w:val="nil"/>
              <w:left w:val="nil"/>
              <w:bottom w:val="nil"/>
              <w:right w:val="nil"/>
            </w:tcBorders>
          </w:tcPr>
          <w:p w14:paraId="26A80FE1"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Տարածաշրջանային տեղեկատվություն</w:t>
            </w:r>
          </w:p>
        </w:tc>
      </w:tr>
      <w:tr w:rsidR="006F76EB" w:rsidRPr="00834D52" w14:paraId="081D4049" w14:textId="77777777" w:rsidTr="00F71229">
        <w:tc>
          <w:tcPr>
            <w:tcW w:w="1809" w:type="dxa"/>
            <w:tcBorders>
              <w:top w:val="nil"/>
              <w:left w:val="nil"/>
              <w:bottom w:val="single" w:sz="4" w:space="0" w:color="auto"/>
              <w:right w:val="nil"/>
            </w:tcBorders>
          </w:tcPr>
          <w:p w14:paraId="7FD1938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3.3.</w:t>
            </w:r>
          </w:p>
        </w:tc>
        <w:tc>
          <w:tcPr>
            <w:tcW w:w="8168" w:type="dxa"/>
            <w:gridSpan w:val="2"/>
            <w:tcBorders>
              <w:top w:val="nil"/>
              <w:left w:val="nil"/>
              <w:bottom w:val="single" w:sz="4" w:space="0" w:color="auto"/>
              <w:right w:val="nil"/>
            </w:tcBorders>
          </w:tcPr>
          <w:p w14:paraId="2614D432"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Օգտագործված գրական աղբյուրների պատճենները</w:t>
            </w:r>
          </w:p>
        </w:tc>
      </w:tr>
      <w:tr w:rsidR="006F76EB" w:rsidRPr="00834D52" w14:paraId="29C87B1E" w14:textId="77777777" w:rsidTr="00F71229">
        <w:tc>
          <w:tcPr>
            <w:tcW w:w="9977" w:type="dxa"/>
            <w:gridSpan w:val="3"/>
            <w:tcBorders>
              <w:top w:val="single" w:sz="4" w:space="0" w:color="auto"/>
              <w:left w:val="single" w:sz="4" w:space="0" w:color="auto"/>
              <w:bottom w:val="single" w:sz="4" w:space="0" w:color="auto"/>
              <w:right w:val="single" w:sz="4" w:space="0" w:color="auto"/>
            </w:tcBorders>
          </w:tcPr>
          <w:p w14:paraId="6537D3E2" w14:textId="77777777" w:rsidR="006F76EB" w:rsidRPr="00834D52" w:rsidRDefault="006F76EB" w:rsidP="00607D50">
            <w:pPr>
              <w:spacing w:after="160" w:line="28" w:lineRule="atLeast"/>
              <w:ind w:left="567" w:right="437"/>
              <w:jc w:val="center"/>
              <w:rPr>
                <w:rFonts w:ascii="Sylfaen" w:eastAsia="Times New Roman" w:hAnsi="Sylfaen" w:cs="Times New Roman"/>
                <w:sz w:val="24"/>
                <w:szCs w:val="24"/>
              </w:rPr>
            </w:pPr>
            <w:r w:rsidRPr="00834D52">
              <w:rPr>
                <w:rFonts w:ascii="Sylfaen" w:hAnsi="Sylfaen"/>
                <w:sz w:val="24"/>
                <w:szCs w:val="24"/>
              </w:rPr>
              <w:t>ՄՈԴՈՒԼ 4. ՆԱԽԱԿԼԻՆԻԿԱԿԱՆ (ՈՉ ԿԼԻՆԻԿԱԿԱՆ) ՀԵՏԱԶՈՏՈՒԹՅՈՒՆՆԵՐԻ ՎԵՐԱԲԵՐՅԱԼ ՀԱՇՎԵՏՎՈՒԹՅՈՒՆՆԵՐԸ</w:t>
            </w:r>
          </w:p>
        </w:tc>
      </w:tr>
      <w:tr w:rsidR="006F76EB" w:rsidRPr="00834D52" w14:paraId="15FC2A8D" w14:textId="77777777" w:rsidTr="00F71229">
        <w:tc>
          <w:tcPr>
            <w:tcW w:w="1809" w:type="dxa"/>
            <w:tcBorders>
              <w:top w:val="single" w:sz="4" w:space="0" w:color="auto"/>
              <w:left w:val="nil"/>
              <w:bottom w:val="nil"/>
              <w:right w:val="nil"/>
            </w:tcBorders>
          </w:tcPr>
          <w:p w14:paraId="0B27E49A"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4.1.</w:t>
            </w:r>
          </w:p>
        </w:tc>
        <w:tc>
          <w:tcPr>
            <w:tcW w:w="8168" w:type="dxa"/>
            <w:gridSpan w:val="2"/>
            <w:tcBorders>
              <w:top w:val="single" w:sz="4" w:space="0" w:color="auto"/>
              <w:left w:val="nil"/>
              <w:bottom w:val="nil"/>
              <w:right w:val="nil"/>
            </w:tcBorders>
          </w:tcPr>
          <w:p w14:paraId="14798BFD"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4-րդ մոդուլի բովանդակությունը</w:t>
            </w:r>
          </w:p>
        </w:tc>
      </w:tr>
      <w:tr w:rsidR="006F76EB" w:rsidRPr="00834D52" w14:paraId="333757DC" w14:textId="77777777" w:rsidTr="00F71229">
        <w:tc>
          <w:tcPr>
            <w:tcW w:w="1809" w:type="dxa"/>
            <w:tcBorders>
              <w:top w:val="nil"/>
              <w:left w:val="nil"/>
              <w:bottom w:val="nil"/>
              <w:right w:val="nil"/>
            </w:tcBorders>
          </w:tcPr>
          <w:p w14:paraId="05F91B33"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w:t>
            </w:r>
          </w:p>
        </w:tc>
        <w:tc>
          <w:tcPr>
            <w:tcW w:w="8168" w:type="dxa"/>
            <w:gridSpan w:val="2"/>
            <w:tcBorders>
              <w:top w:val="nil"/>
              <w:left w:val="nil"/>
              <w:bottom w:val="nil"/>
              <w:right w:val="nil"/>
            </w:tcBorders>
          </w:tcPr>
          <w:p w14:paraId="40951AF1"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Հետազոտությունների վերաբերյալ հաշվետվությունները (կիրառելիության դեպքում)</w:t>
            </w:r>
          </w:p>
        </w:tc>
      </w:tr>
      <w:tr w:rsidR="006F76EB" w:rsidRPr="00834D52" w14:paraId="2A431B2F" w14:textId="77777777" w:rsidTr="00F71229">
        <w:tc>
          <w:tcPr>
            <w:tcW w:w="1809" w:type="dxa"/>
            <w:tcBorders>
              <w:top w:val="nil"/>
              <w:left w:val="nil"/>
              <w:bottom w:val="nil"/>
              <w:right w:val="nil"/>
            </w:tcBorders>
          </w:tcPr>
          <w:p w14:paraId="6D325143"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4.2.1.</w:t>
            </w:r>
          </w:p>
        </w:tc>
        <w:tc>
          <w:tcPr>
            <w:tcW w:w="8168" w:type="dxa"/>
            <w:gridSpan w:val="2"/>
            <w:tcBorders>
              <w:top w:val="nil"/>
              <w:left w:val="nil"/>
              <w:bottom w:val="nil"/>
              <w:right w:val="nil"/>
            </w:tcBorders>
          </w:tcPr>
          <w:p w14:paraId="3E6455FA"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Դեղաբանություն</w:t>
            </w:r>
          </w:p>
        </w:tc>
      </w:tr>
      <w:tr w:rsidR="006F76EB" w:rsidRPr="00834D52" w14:paraId="25263F26" w14:textId="77777777" w:rsidTr="00F71229">
        <w:tc>
          <w:tcPr>
            <w:tcW w:w="1809" w:type="dxa"/>
            <w:tcBorders>
              <w:top w:val="nil"/>
              <w:left w:val="nil"/>
              <w:bottom w:val="nil"/>
              <w:right w:val="nil"/>
            </w:tcBorders>
          </w:tcPr>
          <w:p w14:paraId="6B7698D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4.2.1.1.</w:t>
            </w:r>
          </w:p>
        </w:tc>
        <w:tc>
          <w:tcPr>
            <w:tcW w:w="8168" w:type="dxa"/>
            <w:gridSpan w:val="2"/>
            <w:tcBorders>
              <w:top w:val="nil"/>
              <w:left w:val="nil"/>
              <w:bottom w:val="nil"/>
              <w:right w:val="nil"/>
            </w:tcBorders>
          </w:tcPr>
          <w:p w14:paraId="3FD3385E"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Առաջնային </w:t>
            </w:r>
            <w:r w:rsidR="00355C33">
              <w:rPr>
                <w:rFonts w:ascii="Sylfaen" w:hAnsi="Sylfaen"/>
                <w:sz w:val="24"/>
                <w:szCs w:val="24"/>
              </w:rPr>
              <w:t>դեղա</w:t>
            </w:r>
            <w:r w:rsidRPr="00834D52">
              <w:rPr>
                <w:rFonts w:ascii="Sylfaen" w:hAnsi="Sylfaen"/>
                <w:sz w:val="24"/>
                <w:szCs w:val="24"/>
              </w:rPr>
              <w:t>դինամիկա</w:t>
            </w:r>
          </w:p>
        </w:tc>
      </w:tr>
      <w:tr w:rsidR="006F76EB" w:rsidRPr="00834D52" w14:paraId="2484539E" w14:textId="77777777" w:rsidTr="00F71229">
        <w:tc>
          <w:tcPr>
            <w:tcW w:w="1809" w:type="dxa"/>
            <w:tcBorders>
              <w:top w:val="nil"/>
              <w:left w:val="nil"/>
              <w:bottom w:val="nil"/>
              <w:right w:val="nil"/>
            </w:tcBorders>
          </w:tcPr>
          <w:p w14:paraId="475155D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4.2.1.2.</w:t>
            </w:r>
          </w:p>
        </w:tc>
        <w:tc>
          <w:tcPr>
            <w:tcW w:w="8168" w:type="dxa"/>
            <w:gridSpan w:val="2"/>
            <w:tcBorders>
              <w:top w:val="nil"/>
              <w:left w:val="nil"/>
              <w:bottom w:val="nil"/>
              <w:right w:val="nil"/>
            </w:tcBorders>
          </w:tcPr>
          <w:p w14:paraId="16570C6C"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Երկրորդային </w:t>
            </w:r>
            <w:r w:rsidR="00355C33">
              <w:rPr>
                <w:rFonts w:ascii="Sylfaen" w:hAnsi="Sylfaen"/>
                <w:sz w:val="24"/>
                <w:szCs w:val="24"/>
              </w:rPr>
              <w:t>դեղա</w:t>
            </w:r>
            <w:r w:rsidRPr="00834D52">
              <w:rPr>
                <w:rFonts w:ascii="Sylfaen" w:hAnsi="Sylfaen"/>
                <w:sz w:val="24"/>
                <w:szCs w:val="24"/>
              </w:rPr>
              <w:t>դինամիկա</w:t>
            </w:r>
          </w:p>
        </w:tc>
      </w:tr>
      <w:tr w:rsidR="006F76EB" w:rsidRPr="00834D52" w14:paraId="2DEE0DBA" w14:textId="77777777" w:rsidTr="00F71229">
        <w:tc>
          <w:tcPr>
            <w:tcW w:w="1809" w:type="dxa"/>
            <w:tcBorders>
              <w:top w:val="nil"/>
              <w:left w:val="nil"/>
              <w:bottom w:val="nil"/>
              <w:right w:val="nil"/>
            </w:tcBorders>
          </w:tcPr>
          <w:p w14:paraId="038899B6"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4.2.1.3.</w:t>
            </w:r>
          </w:p>
        </w:tc>
        <w:tc>
          <w:tcPr>
            <w:tcW w:w="8168" w:type="dxa"/>
            <w:gridSpan w:val="2"/>
            <w:tcBorders>
              <w:top w:val="nil"/>
              <w:left w:val="nil"/>
              <w:bottom w:val="nil"/>
              <w:right w:val="nil"/>
            </w:tcBorders>
          </w:tcPr>
          <w:p w14:paraId="2A7D8F45"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Դեղաբանական անվտանգությունը</w:t>
            </w:r>
          </w:p>
        </w:tc>
      </w:tr>
      <w:tr w:rsidR="006F76EB" w:rsidRPr="00834D52" w14:paraId="6FDC731C" w14:textId="77777777" w:rsidTr="00F71229">
        <w:tc>
          <w:tcPr>
            <w:tcW w:w="1809" w:type="dxa"/>
            <w:tcBorders>
              <w:top w:val="nil"/>
              <w:left w:val="nil"/>
              <w:bottom w:val="nil"/>
              <w:right w:val="nil"/>
            </w:tcBorders>
          </w:tcPr>
          <w:p w14:paraId="2091733C"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4.2.1.4.</w:t>
            </w:r>
          </w:p>
        </w:tc>
        <w:tc>
          <w:tcPr>
            <w:tcW w:w="8168" w:type="dxa"/>
            <w:gridSpan w:val="2"/>
            <w:tcBorders>
              <w:top w:val="nil"/>
              <w:left w:val="nil"/>
              <w:bottom w:val="nil"/>
              <w:right w:val="nil"/>
            </w:tcBorders>
          </w:tcPr>
          <w:p w14:paraId="06FE9666" w14:textId="77777777" w:rsidR="006F76EB" w:rsidRPr="00834D52" w:rsidRDefault="00355C33" w:rsidP="00607D50">
            <w:pPr>
              <w:spacing w:after="160" w:line="28" w:lineRule="atLeast"/>
              <w:ind w:right="-8"/>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դինամիկ դեղային փոխազդեցություններ</w:t>
            </w:r>
          </w:p>
        </w:tc>
      </w:tr>
      <w:tr w:rsidR="006F76EB" w:rsidRPr="00834D52" w14:paraId="5CCDBC20" w14:textId="77777777" w:rsidTr="00F71229">
        <w:tc>
          <w:tcPr>
            <w:tcW w:w="1809" w:type="dxa"/>
            <w:tcBorders>
              <w:top w:val="nil"/>
              <w:left w:val="nil"/>
              <w:bottom w:val="nil"/>
              <w:right w:val="nil"/>
            </w:tcBorders>
          </w:tcPr>
          <w:p w14:paraId="7738F1E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w:t>
            </w:r>
          </w:p>
        </w:tc>
        <w:tc>
          <w:tcPr>
            <w:tcW w:w="8168" w:type="dxa"/>
            <w:gridSpan w:val="2"/>
            <w:tcBorders>
              <w:top w:val="nil"/>
              <w:left w:val="nil"/>
              <w:bottom w:val="nil"/>
              <w:right w:val="nil"/>
            </w:tcBorders>
          </w:tcPr>
          <w:p w14:paraId="5EA4368E" w14:textId="77777777" w:rsidR="006F76EB" w:rsidRPr="00834D52" w:rsidRDefault="00355C33" w:rsidP="00607D50">
            <w:pPr>
              <w:spacing w:after="160" w:line="28" w:lineRule="atLeast"/>
              <w:ind w:right="-8"/>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կինետիկա</w:t>
            </w:r>
          </w:p>
        </w:tc>
      </w:tr>
      <w:tr w:rsidR="006F76EB" w:rsidRPr="00834D52" w14:paraId="357857CF" w14:textId="77777777" w:rsidTr="00F71229">
        <w:tc>
          <w:tcPr>
            <w:tcW w:w="1809" w:type="dxa"/>
            <w:tcBorders>
              <w:top w:val="nil"/>
              <w:left w:val="nil"/>
              <w:bottom w:val="nil"/>
              <w:right w:val="nil"/>
            </w:tcBorders>
          </w:tcPr>
          <w:p w14:paraId="5BB70FF5"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4.2.2.1.</w:t>
            </w:r>
          </w:p>
        </w:tc>
        <w:tc>
          <w:tcPr>
            <w:tcW w:w="8168" w:type="dxa"/>
            <w:gridSpan w:val="2"/>
            <w:tcBorders>
              <w:top w:val="nil"/>
              <w:left w:val="nil"/>
              <w:bottom w:val="nil"/>
              <w:right w:val="nil"/>
            </w:tcBorders>
          </w:tcPr>
          <w:p w14:paraId="18EC1F45"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Վերլուծական մեթոդիկաները </w:t>
            </w:r>
            <w:r w:rsidR="00C54D75">
              <w:rPr>
                <w:rFonts w:ascii="Sylfaen" w:hAnsi="Sylfaen"/>
                <w:sz w:val="24"/>
                <w:szCs w:val="24"/>
              </w:rPr>
              <w:t>և</w:t>
            </w:r>
            <w:r w:rsidRPr="00834D52">
              <w:rPr>
                <w:rFonts w:ascii="Sylfaen" w:hAnsi="Sylfaen"/>
                <w:sz w:val="24"/>
                <w:szCs w:val="24"/>
              </w:rPr>
              <w:t xml:space="preserve"> վալիդացման հաշվետվությունները</w:t>
            </w:r>
          </w:p>
        </w:tc>
      </w:tr>
      <w:tr w:rsidR="006F76EB" w:rsidRPr="00834D52" w14:paraId="0F834319" w14:textId="77777777" w:rsidTr="00F71229">
        <w:tc>
          <w:tcPr>
            <w:tcW w:w="1809" w:type="dxa"/>
            <w:tcBorders>
              <w:top w:val="nil"/>
              <w:left w:val="nil"/>
              <w:bottom w:val="nil"/>
              <w:right w:val="nil"/>
            </w:tcBorders>
          </w:tcPr>
          <w:p w14:paraId="64CD6D73"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4.2.2.2.</w:t>
            </w:r>
          </w:p>
        </w:tc>
        <w:tc>
          <w:tcPr>
            <w:tcW w:w="8168" w:type="dxa"/>
            <w:gridSpan w:val="2"/>
            <w:tcBorders>
              <w:top w:val="nil"/>
              <w:left w:val="nil"/>
              <w:bottom w:val="nil"/>
              <w:right w:val="nil"/>
            </w:tcBorders>
          </w:tcPr>
          <w:p w14:paraId="37ECB908"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Կլանումը</w:t>
            </w:r>
          </w:p>
        </w:tc>
      </w:tr>
      <w:tr w:rsidR="006F76EB" w:rsidRPr="00834D52" w14:paraId="0EE55FFC" w14:textId="77777777" w:rsidTr="00F71229">
        <w:tc>
          <w:tcPr>
            <w:tcW w:w="1809" w:type="dxa"/>
            <w:tcBorders>
              <w:top w:val="nil"/>
              <w:left w:val="nil"/>
              <w:bottom w:val="nil"/>
              <w:right w:val="nil"/>
            </w:tcBorders>
          </w:tcPr>
          <w:p w14:paraId="39B1CBBB"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4.2.2.3.</w:t>
            </w:r>
          </w:p>
        </w:tc>
        <w:tc>
          <w:tcPr>
            <w:tcW w:w="8168" w:type="dxa"/>
            <w:gridSpan w:val="2"/>
            <w:tcBorders>
              <w:top w:val="nil"/>
              <w:left w:val="nil"/>
              <w:bottom w:val="nil"/>
              <w:right w:val="nil"/>
            </w:tcBorders>
          </w:tcPr>
          <w:p w14:paraId="74E1A0DE"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Բաշխումը</w:t>
            </w:r>
          </w:p>
        </w:tc>
      </w:tr>
      <w:tr w:rsidR="006F76EB" w:rsidRPr="00834D52" w14:paraId="354CFA76" w14:textId="77777777" w:rsidTr="00F71229">
        <w:tc>
          <w:tcPr>
            <w:tcW w:w="1809" w:type="dxa"/>
            <w:tcBorders>
              <w:top w:val="nil"/>
              <w:left w:val="nil"/>
              <w:bottom w:val="nil"/>
              <w:right w:val="nil"/>
            </w:tcBorders>
          </w:tcPr>
          <w:p w14:paraId="109FF96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4.2.2.4.</w:t>
            </w:r>
          </w:p>
        </w:tc>
        <w:tc>
          <w:tcPr>
            <w:tcW w:w="8168" w:type="dxa"/>
            <w:gridSpan w:val="2"/>
            <w:tcBorders>
              <w:top w:val="nil"/>
              <w:left w:val="nil"/>
              <w:bottom w:val="nil"/>
              <w:right w:val="nil"/>
            </w:tcBorders>
          </w:tcPr>
          <w:p w14:paraId="64308AE2"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Մետաբոլիզմը</w:t>
            </w:r>
          </w:p>
        </w:tc>
      </w:tr>
      <w:tr w:rsidR="006F76EB" w:rsidRPr="00834D52" w14:paraId="6FF4BD4E" w14:textId="77777777" w:rsidTr="00F71229">
        <w:tc>
          <w:tcPr>
            <w:tcW w:w="1809" w:type="dxa"/>
            <w:tcBorders>
              <w:top w:val="nil"/>
              <w:left w:val="nil"/>
              <w:bottom w:val="nil"/>
              <w:right w:val="nil"/>
            </w:tcBorders>
          </w:tcPr>
          <w:p w14:paraId="65314C18"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4.2.2.5.</w:t>
            </w:r>
          </w:p>
        </w:tc>
        <w:tc>
          <w:tcPr>
            <w:tcW w:w="8168" w:type="dxa"/>
            <w:gridSpan w:val="2"/>
            <w:tcBorders>
              <w:top w:val="nil"/>
              <w:left w:val="nil"/>
              <w:bottom w:val="nil"/>
              <w:right w:val="nil"/>
            </w:tcBorders>
          </w:tcPr>
          <w:p w14:paraId="2F411CA5"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Արտազատում (դուրսբերում)</w:t>
            </w:r>
          </w:p>
        </w:tc>
      </w:tr>
      <w:tr w:rsidR="006F76EB" w:rsidRPr="00834D52" w14:paraId="40CDC3B0" w14:textId="77777777" w:rsidTr="00F71229">
        <w:tc>
          <w:tcPr>
            <w:tcW w:w="1809" w:type="dxa"/>
            <w:tcBorders>
              <w:top w:val="nil"/>
              <w:left w:val="nil"/>
              <w:bottom w:val="nil"/>
              <w:right w:val="nil"/>
            </w:tcBorders>
          </w:tcPr>
          <w:p w14:paraId="1B0F5199"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4.2.2.6.</w:t>
            </w:r>
          </w:p>
        </w:tc>
        <w:tc>
          <w:tcPr>
            <w:tcW w:w="8168" w:type="dxa"/>
            <w:gridSpan w:val="2"/>
            <w:tcBorders>
              <w:top w:val="nil"/>
              <w:left w:val="nil"/>
              <w:bottom w:val="nil"/>
              <w:right w:val="nil"/>
            </w:tcBorders>
          </w:tcPr>
          <w:p w14:paraId="35BA2297" w14:textId="77777777" w:rsidR="006F76EB" w:rsidRPr="00834D52" w:rsidRDefault="00355C33" w:rsidP="00607D50">
            <w:pPr>
              <w:spacing w:after="160" w:line="28" w:lineRule="atLeast"/>
              <w:ind w:right="-8"/>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 դեղային փոխազդեցությունները</w:t>
            </w:r>
          </w:p>
        </w:tc>
      </w:tr>
      <w:tr w:rsidR="006F76EB" w:rsidRPr="00834D52" w14:paraId="2268550D" w14:textId="77777777" w:rsidTr="00F71229">
        <w:tc>
          <w:tcPr>
            <w:tcW w:w="1809" w:type="dxa"/>
            <w:tcBorders>
              <w:top w:val="nil"/>
              <w:left w:val="nil"/>
              <w:bottom w:val="nil"/>
              <w:right w:val="nil"/>
            </w:tcBorders>
          </w:tcPr>
          <w:p w14:paraId="30D8FFB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4.2.2.7.</w:t>
            </w:r>
          </w:p>
        </w:tc>
        <w:tc>
          <w:tcPr>
            <w:tcW w:w="8168" w:type="dxa"/>
            <w:gridSpan w:val="2"/>
            <w:tcBorders>
              <w:top w:val="nil"/>
              <w:left w:val="nil"/>
              <w:bottom w:val="nil"/>
              <w:right w:val="nil"/>
            </w:tcBorders>
          </w:tcPr>
          <w:p w14:paraId="0FD61174"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Այլ </w:t>
            </w:r>
            <w:r w:rsidR="00355C33">
              <w:rPr>
                <w:rFonts w:ascii="Sylfaen" w:hAnsi="Sylfaen"/>
                <w:sz w:val="24"/>
                <w:szCs w:val="24"/>
              </w:rPr>
              <w:t>դեղա</w:t>
            </w:r>
            <w:r w:rsidRPr="00834D52">
              <w:rPr>
                <w:rFonts w:ascii="Sylfaen" w:hAnsi="Sylfaen"/>
                <w:sz w:val="24"/>
                <w:szCs w:val="24"/>
              </w:rPr>
              <w:t>կինետիկ հետազոտություններ</w:t>
            </w:r>
          </w:p>
        </w:tc>
      </w:tr>
      <w:tr w:rsidR="006F76EB" w:rsidRPr="00834D52" w14:paraId="71D10A90" w14:textId="77777777" w:rsidTr="00F71229">
        <w:tc>
          <w:tcPr>
            <w:tcW w:w="1809" w:type="dxa"/>
            <w:tcBorders>
              <w:top w:val="nil"/>
              <w:left w:val="nil"/>
              <w:bottom w:val="nil"/>
              <w:right w:val="nil"/>
            </w:tcBorders>
          </w:tcPr>
          <w:p w14:paraId="1793994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w:t>
            </w:r>
          </w:p>
        </w:tc>
        <w:tc>
          <w:tcPr>
            <w:tcW w:w="8168" w:type="dxa"/>
            <w:gridSpan w:val="2"/>
            <w:tcBorders>
              <w:top w:val="nil"/>
              <w:left w:val="nil"/>
              <w:bottom w:val="nil"/>
              <w:right w:val="nil"/>
            </w:tcBorders>
          </w:tcPr>
          <w:p w14:paraId="146B4209"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Թունաբանություն</w:t>
            </w:r>
          </w:p>
        </w:tc>
      </w:tr>
      <w:tr w:rsidR="006F76EB" w:rsidRPr="00834D52" w14:paraId="082B6F9F" w14:textId="77777777" w:rsidTr="00F71229">
        <w:tc>
          <w:tcPr>
            <w:tcW w:w="1809" w:type="dxa"/>
            <w:tcBorders>
              <w:top w:val="nil"/>
              <w:left w:val="nil"/>
              <w:bottom w:val="nil"/>
              <w:right w:val="nil"/>
            </w:tcBorders>
          </w:tcPr>
          <w:p w14:paraId="7B8F3876"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4.2.3.1.</w:t>
            </w:r>
          </w:p>
        </w:tc>
        <w:tc>
          <w:tcPr>
            <w:tcW w:w="8168" w:type="dxa"/>
            <w:gridSpan w:val="2"/>
            <w:tcBorders>
              <w:top w:val="nil"/>
              <w:left w:val="nil"/>
              <w:bottom w:val="nil"/>
              <w:right w:val="nil"/>
            </w:tcBorders>
          </w:tcPr>
          <w:p w14:paraId="4075F456"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Թունավորություն՝ մեկանգամյա ներմուծման դեպքում</w:t>
            </w:r>
          </w:p>
        </w:tc>
      </w:tr>
      <w:tr w:rsidR="006F76EB" w:rsidRPr="00834D52" w14:paraId="63025058" w14:textId="77777777" w:rsidTr="00F71229">
        <w:tc>
          <w:tcPr>
            <w:tcW w:w="1809" w:type="dxa"/>
            <w:tcBorders>
              <w:top w:val="nil"/>
              <w:left w:val="nil"/>
              <w:bottom w:val="nil"/>
              <w:right w:val="nil"/>
            </w:tcBorders>
          </w:tcPr>
          <w:p w14:paraId="0565DB37"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4.2.3.2.</w:t>
            </w:r>
          </w:p>
        </w:tc>
        <w:tc>
          <w:tcPr>
            <w:tcW w:w="8168" w:type="dxa"/>
            <w:gridSpan w:val="2"/>
            <w:tcBorders>
              <w:top w:val="nil"/>
              <w:left w:val="nil"/>
              <w:bottom w:val="nil"/>
              <w:right w:val="nil"/>
            </w:tcBorders>
          </w:tcPr>
          <w:p w14:paraId="2F978627"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Թունավորություն՝ բազմակի ներմուծման դեպքում</w:t>
            </w:r>
          </w:p>
        </w:tc>
      </w:tr>
      <w:tr w:rsidR="006F76EB" w:rsidRPr="00834D52" w14:paraId="28933143" w14:textId="77777777" w:rsidTr="00F71229">
        <w:tc>
          <w:tcPr>
            <w:tcW w:w="1809" w:type="dxa"/>
            <w:tcBorders>
              <w:top w:val="nil"/>
              <w:left w:val="nil"/>
              <w:bottom w:val="nil"/>
              <w:right w:val="nil"/>
            </w:tcBorders>
          </w:tcPr>
          <w:p w14:paraId="6AD1396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lastRenderedPageBreak/>
              <w:t>4.2.3.3.</w:t>
            </w:r>
          </w:p>
        </w:tc>
        <w:tc>
          <w:tcPr>
            <w:tcW w:w="8168" w:type="dxa"/>
            <w:gridSpan w:val="2"/>
            <w:tcBorders>
              <w:top w:val="nil"/>
              <w:left w:val="nil"/>
              <w:bottom w:val="nil"/>
              <w:right w:val="nil"/>
            </w:tcBorders>
          </w:tcPr>
          <w:p w14:paraId="7794F54B"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Գենոտոքսիկություն</w:t>
            </w:r>
          </w:p>
        </w:tc>
      </w:tr>
      <w:tr w:rsidR="006F76EB" w:rsidRPr="00834D52" w14:paraId="306F920D" w14:textId="77777777" w:rsidTr="00F71229">
        <w:tc>
          <w:tcPr>
            <w:tcW w:w="1809" w:type="dxa"/>
            <w:tcBorders>
              <w:top w:val="nil"/>
              <w:left w:val="nil"/>
              <w:bottom w:val="nil"/>
              <w:right w:val="nil"/>
            </w:tcBorders>
          </w:tcPr>
          <w:p w14:paraId="31D5AA49"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4.2.3.4.</w:t>
            </w:r>
          </w:p>
        </w:tc>
        <w:tc>
          <w:tcPr>
            <w:tcW w:w="8168" w:type="dxa"/>
            <w:gridSpan w:val="2"/>
            <w:tcBorders>
              <w:top w:val="nil"/>
              <w:left w:val="nil"/>
              <w:bottom w:val="nil"/>
              <w:right w:val="nil"/>
            </w:tcBorders>
          </w:tcPr>
          <w:p w14:paraId="6CF28F47"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Քաղցկեղածնություն</w:t>
            </w:r>
          </w:p>
        </w:tc>
      </w:tr>
      <w:tr w:rsidR="006F76EB" w:rsidRPr="00834D52" w14:paraId="73192316" w14:textId="77777777" w:rsidTr="00F71229">
        <w:tc>
          <w:tcPr>
            <w:tcW w:w="1809" w:type="dxa"/>
            <w:tcBorders>
              <w:top w:val="nil"/>
              <w:left w:val="nil"/>
              <w:bottom w:val="nil"/>
              <w:right w:val="nil"/>
            </w:tcBorders>
          </w:tcPr>
          <w:p w14:paraId="4342CEEB"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4.2.3.5.</w:t>
            </w:r>
          </w:p>
        </w:tc>
        <w:tc>
          <w:tcPr>
            <w:tcW w:w="8168" w:type="dxa"/>
            <w:gridSpan w:val="2"/>
            <w:tcBorders>
              <w:top w:val="nil"/>
              <w:left w:val="nil"/>
              <w:bottom w:val="nil"/>
              <w:right w:val="nil"/>
            </w:tcBorders>
          </w:tcPr>
          <w:p w14:paraId="7508F12C"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Վերարտադրողական </w:t>
            </w:r>
            <w:r w:rsidR="00C54D75">
              <w:rPr>
                <w:rFonts w:ascii="Sylfaen" w:hAnsi="Sylfaen"/>
                <w:sz w:val="24"/>
                <w:szCs w:val="24"/>
              </w:rPr>
              <w:t>և</w:t>
            </w:r>
            <w:r w:rsidRPr="00834D52">
              <w:rPr>
                <w:rFonts w:ascii="Sylfaen" w:hAnsi="Sylfaen"/>
                <w:sz w:val="24"/>
                <w:szCs w:val="24"/>
              </w:rPr>
              <w:t xml:space="preserve"> օնտոգենետիկ թունավորություն՝ պտղաբերությունը </w:t>
            </w:r>
            <w:r w:rsidR="00C54D75">
              <w:rPr>
                <w:rFonts w:ascii="Sylfaen" w:hAnsi="Sylfaen"/>
                <w:sz w:val="24"/>
                <w:szCs w:val="24"/>
              </w:rPr>
              <w:t>և</w:t>
            </w:r>
            <w:r w:rsidRPr="00834D52">
              <w:rPr>
                <w:rFonts w:ascii="Sylfaen" w:hAnsi="Sylfaen"/>
                <w:sz w:val="24"/>
                <w:szCs w:val="24"/>
              </w:rPr>
              <w:t xml:space="preserve"> վաղ սաղմնային զարգացումը, սաղմնապտղային զարգացումը, նախածննդյան </w:t>
            </w:r>
            <w:r w:rsidR="00C54D75">
              <w:rPr>
                <w:rFonts w:ascii="Sylfaen" w:hAnsi="Sylfaen"/>
                <w:sz w:val="24"/>
                <w:szCs w:val="24"/>
              </w:rPr>
              <w:t>և</w:t>
            </w:r>
            <w:r w:rsidRPr="00834D52">
              <w:rPr>
                <w:rFonts w:ascii="Sylfaen" w:hAnsi="Sylfaen"/>
                <w:sz w:val="24"/>
                <w:szCs w:val="24"/>
              </w:rPr>
              <w:t xml:space="preserve"> հետծննդյան զարգացումը, ոչ սեռահասուն սերնդի հետազոտությունները՝ հաջորդող հսկողությամբ </w:t>
            </w:r>
          </w:p>
        </w:tc>
      </w:tr>
      <w:tr w:rsidR="006F76EB" w:rsidRPr="00834D52" w14:paraId="3338F99F" w14:textId="77777777" w:rsidTr="00F71229">
        <w:tc>
          <w:tcPr>
            <w:tcW w:w="1809" w:type="dxa"/>
            <w:tcBorders>
              <w:top w:val="nil"/>
              <w:left w:val="nil"/>
              <w:bottom w:val="nil"/>
              <w:right w:val="nil"/>
            </w:tcBorders>
          </w:tcPr>
          <w:p w14:paraId="2663F7CF"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4.2.3.6.</w:t>
            </w:r>
          </w:p>
        </w:tc>
        <w:tc>
          <w:tcPr>
            <w:tcW w:w="8168" w:type="dxa"/>
            <w:gridSpan w:val="2"/>
            <w:tcBorders>
              <w:top w:val="nil"/>
              <w:left w:val="nil"/>
              <w:bottom w:val="nil"/>
              <w:right w:val="nil"/>
            </w:tcBorders>
          </w:tcPr>
          <w:p w14:paraId="64267A91"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Տեղային տանելիությունը</w:t>
            </w:r>
          </w:p>
        </w:tc>
      </w:tr>
      <w:tr w:rsidR="006F76EB" w:rsidRPr="00834D52" w14:paraId="4230BFE2" w14:textId="77777777" w:rsidTr="00F71229">
        <w:tc>
          <w:tcPr>
            <w:tcW w:w="1809" w:type="dxa"/>
            <w:tcBorders>
              <w:top w:val="nil"/>
              <w:left w:val="nil"/>
              <w:bottom w:val="nil"/>
              <w:right w:val="nil"/>
            </w:tcBorders>
          </w:tcPr>
          <w:p w14:paraId="2BCD26A6"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4.2.3.7.</w:t>
            </w:r>
          </w:p>
        </w:tc>
        <w:tc>
          <w:tcPr>
            <w:tcW w:w="8168" w:type="dxa"/>
            <w:gridSpan w:val="2"/>
            <w:tcBorders>
              <w:top w:val="nil"/>
              <w:left w:val="nil"/>
              <w:bottom w:val="nil"/>
              <w:right w:val="nil"/>
            </w:tcBorders>
          </w:tcPr>
          <w:p w14:paraId="785078A1" w14:textId="77777777" w:rsidR="006F76EB" w:rsidRPr="00834D52" w:rsidRDefault="006F76EB" w:rsidP="00607D50">
            <w:pPr>
              <w:spacing w:after="160" w:line="28" w:lineRule="atLeast"/>
              <w:ind w:right="-8"/>
              <w:jc w:val="both"/>
              <w:rPr>
                <w:rFonts w:ascii="Sylfaen" w:eastAsia="Times New Roman" w:hAnsi="Sylfaen" w:cs="Times New Roman"/>
                <w:sz w:val="24"/>
                <w:szCs w:val="24"/>
              </w:rPr>
            </w:pPr>
            <w:r w:rsidRPr="00834D52">
              <w:rPr>
                <w:rFonts w:ascii="Sylfaen" w:hAnsi="Sylfaen"/>
                <w:sz w:val="24"/>
                <w:szCs w:val="24"/>
              </w:rPr>
              <w:t xml:space="preserve">Թունաբանության այլ հետազոտություններ՝ հակածնություն, իմունաթունավորություն, ազդեցության մեխանիզմի հետազոտություններ, դեղային կախվածություն, մետաբոլիտներ, խառնուկներ </w:t>
            </w:r>
            <w:r w:rsidR="00C54D75">
              <w:rPr>
                <w:rFonts w:ascii="Sylfaen" w:hAnsi="Sylfaen"/>
                <w:sz w:val="24"/>
                <w:szCs w:val="24"/>
              </w:rPr>
              <w:t>և</w:t>
            </w:r>
            <w:r w:rsidRPr="00834D52">
              <w:rPr>
                <w:rFonts w:ascii="Sylfaen" w:hAnsi="Sylfaen"/>
                <w:sz w:val="24"/>
                <w:szCs w:val="24"/>
              </w:rPr>
              <w:t xml:space="preserve"> այլն</w:t>
            </w:r>
          </w:p>
        </w:tc>
      </w:tr>
      <w:tr w:rsidR="006F76EB" w:rsidRPr="00834D52" w14:paraId="62329C69" w14:textId="77777777" w:rsidTr="00F71229">
        <w:tc>
          <w:tcPr>
            <w:tcW w:w="1809" w:type="dxa"/>
            <w:tcBorders>
              <w:top w:val="nil"/>
              <w:left w:val="nil"/>
              <w:bottom w:val="nil"/>
              <w:right w:val="nil"/>
            </w:tcBorders>
          </w:tcPr>
          <w:p w14:paraId="633E23A1"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4.3.</w:t>
            </w:r>
          </w:p>
        </w:tc>
        <w:tc>
          <w:tcPr>
            <w:tcW w:w="8168" w:type="dxa"/>
            <w:gridSpan w:val="2"/>
            <w:tcBorders>
              <w:top w:val="nil"/>
              <w:left w:val="nil"/>
              <w:bottom w:val="nil"/>
              <w:right w:val="nil"/>
            </w:tcBorders>
          </w:tcPr>
          <w:p w14:paraId="61E9D238"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Օգտագործված գրական աղբյուրների պատճենները</w:t>
            </w:r>
          </w:p>
        </w:tc>
      </w:tr>
      <w:tr w:rsidR="006F76EB" w:rsidRPr="00834D52" w14:paraId="1260DB42" w14:textId="77777777" w:rsidTr="00F71229">
        <w:tc>
          <w:tcPr>
            <w:tcW w:w="9977" w:type="dxa"/>
            <w:gridSpan w:val="3"/>
            <w:tcBorders>
              <w:top w:val="nil"/>
              <w:left w:val="nil"/>
              <w:bottom w:val="nil"/>
              <w:right w:val="nil"/>
            </w:tcBorders>
            <w:vAlign w:val="center"/>
          </w:tcPr>
          <w:p w14:paraId="4AA761D4" w14:textId="77777777" w:rsidR="006F76EB" w:rsidRPr="00834D52" w:rsidRDefault="006F76EB" w:rsidP="00607D50">
            <w:pPr>
              <w:spacing w:after="160" w:line="28" w:lineRule="atLeast"/>
              <w:ind w:left="567" w:right="437"/>
              <w:jc w:val="center"/>
              <w:rPr>
                <w:rFonts w:ascii="Sylfaen" w:eastAsia="Times New Roman" w:hAnsi="Sylfaen" w:cs="Times New Roman"/>
                <w:sz w:val="24"/>
                <w:szCs w:val="24"/>
              </w:rPr>
            </w:pPr>
            <w:r w:rsidRPr="00834D52">
              <w:rPr>
                <w:rFonts w:ascii="Sylfaen" w:hAnsi="Sylfaen"/>
                <w:sz w:val="24"/>
                <w:szCs w:val="24"/>
              </w:rPr>
              <w:t>ՄՈԴՈՒԼ 5. ԿԼԻՆԻԿԱԿԱՆ ՀԵՏԱԶՈՏՈՒԹՅՈՒՆՆԵՐԻ ՎԵՐԱԲԵՐՅԱԼ ՀԱՇՎԵՏՎՈՒԹՅՈՒՆՆԵՐԸ</w:t>
            </w:r>
          </w:p>
        </w:tc>
      </w:tr>
      <w:tr w:rsidR="006F76EB" w:rsidRPr="00834D52" w14:paraId="3CF31D42" w14:textId="77777777" w:rsidTr="00F71229">
        <w:tc>
          <w:tcPr>
            <w:tcW w:w="1809" w:type="dxa"/>
            <w:tcBorders>
              <w:top w:val="nil"/>
              <w:left w:val="nil"/>
              <w:bottom w:val="nil"/>
              <w:right w:val="nil"/>
            </w:tcBorders>
          </w:tcPr>
          <w:p w14:paraId="28C83344"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5.1.</w:t>
            </w:r>
          </w:p>
        </w:tc>
        <w:tc>
          <w:tcPr>
            <w:tcW w:w="8168" w:type="dxa"/>
            <w:gridSpan w:val="2"/>
            <w:tcBorders>
              <w:top w:val="nil"/>
              <w:left w:val="nil"/>
              <w:bottom w:val="nil"/>
              <w:right w:val="nil"/>
            </w:tcBorders>
          </w:tcPr>
          <w:p w14:paraId="23638BB3"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5-րդ մոդուլի բովանդակությունը</w:t>
            </w:r>
          </w:p>
        </w:tc>
      </w:tr>
      <w:tr w:rsidR="006F76EB" w:rsidRPr="00834D52" w14:paraId="0E0B6F66" w14:textId="77777777" w:rsidTr="00F71229">
        <w:tc>
          <w:tcPr>
            <w:tcW w:w="1809" w:type="dxa"/>
            <w:tcBorders>
              <w:top w:val="nil"/>
              <w:left w:val="nil"/>
              <w:bottom w:val="nil"/>
              <w:right w:val="nil"/>
            </w:tcBorders>
          </w:tcPr>
          <w:p w14:paraId="55B62E8A"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5.2.</w:t>
            </w:r>
          </w:p>
        </w:tc>
        <w:tc>
          <w:tcPr>
            <w:tcW w:w="8168" w:type="dxa"/>
            <w:gridSpan w:val="2"/>
            <w:tcBorders>
              <w:top w:val="nil"/>
              <w:left w:val="nil"/>
              <w:bottom w:val="nil"/>
              <w:right w:val="nil"/>
            </w:tcBorders>
          </w:tcPr>
          <w:p w14:paraId="49243B80"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Բոլոր կլինիկական հետազոտությունների (փորձարկումների) ցանկը՝ աղյուսակների տեսքով</w:t>
            </w:r>
          </w:p>
        </w:tc>
      </w:tr>
      <w:tr w:rsidR="006F76EB" w:rsidRPr="00834D52" w14:paraId="24BE52CF" w14:textId="77777777" w:rsidTr="00F71229">
        <w:tc>
          <w:tcPr>
            <w:tcW w:w="1809" w:type="dxa"/>
            <w:tcBorders>
              <w:top w:val="nil"/>
              <w:left w:val="nil"/>
              <w:bottom w:val="nil"/>
              <w:right w:val="nil"/>
            </w:tcBorders>
          </w:tcPr>
          <w:p w14:paraId="67BD63FC"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5.3.</w:t>
            </w:r>
          </w:p>
        </w:tc>
        <w:tc>
          <w:tcPr>
            <w:tcW w:w="8168" w:type="dxa"/>
            <w:gridSpan w:val="2"/>
            <w:tcBorders>
              <w:top w:val="nil"/>
              <w:left w:val="nil"/>
              <w:bottom w:val="nil"/>
              <w:right w:val="nil"/>
            </w:tcBorders>
          </w:tcPr>
          <w:p w14:paraId="67B1A2C5"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Կլինիկական հետազոտությունների (փորձարկումների) վերաբերյալ հաշվետվությունները</w:t>
            </w:r>
          </w:p>
        </w:tc>
      </w:tr>
      <w:tr w:rsidR="006F76EB" w:rsidRPr="00834D52" w14:paraId="3983CF5F" w14:textId="77777777" w:rsidTr="00F71229">
        <w:tc>
          <w:tcPr>
            <w:tcW w:w="1809" w:type="dxa"/>
            <w:tcBorders>
              <w:top w:val="nil"/>
              <w:left w:val="nil"/>
              <w:bottom w:val="nil"/>
              <w:right w:val="nil"/>
            </w:tcBorders>
          </w:tcPr>
          <w:p w14:paraId="347B909D"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5.3.1.</w:t>
            </w:r>
          </w:p>
        </w:tc>
        <w:tc>
          <w:tcPr>
            <w:tcW w:w="8168" w:type="dxa"/>
            <w:gridSpan w:val="2"/>
            <w:tcBorders>
              <w:top w:val="nil"/>
              <w:left w:val="nil"/>
              <w:bottom w:val="nil"/>
              <w:right w:val="nil"/>
            </w:tcBorders>
          </w:tcPr>
          <w:p w14:paraId="0367A078"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Կենսադեղագործական հետազոտությունների վերաբերյալ հաշվետվությունները </w:t>
            </w:r>
          </w:p>
        </w:tc>
      </w:tr>
      <w:tr w:rsidR="006F76EB" w:rsidRPr="00834D52" w14:paraId="008D97C4" w14:textId="77777777" w:rsidTr="00F71229">
        <w:tc>
          <w:tcPr>
            <w:tcW w:w="1809" w:type="dxa"/>
            <w:tcBorders>
              <w:top w:val="nil"/>
              <w:left w:val="nil"/>
              <w:bottom w:val="nil"/>
              <w:right w:val="nil"/>
            </w:tcBorders>
          </w:tcPr>
          <w:p w14:paraId="10B736B2"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5.3.2.</w:t>
            </w:r>
          </w:p>
        </w:tc>
        <w:tc>
          <w:tcPr>
            <w:tcW w:w="8168" w:type="dxa"/>
            <w:gridSpan w:val="2"/>
            <w:tcBorders>
              <w:top w:val="nil"/>
              <w:left w:val="nil"/>
              <w:bottom w:val="nil"/>
              <w:right w:val="nil"/>
            </w:tcBorders>
          </w:tcPr>
          <w:p w14:paraId="5FBA1391"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Մարդու կենսանյութերի օգտագործմամբ </w:t>
            </w:r>
            <w:r w:rsidR="00355C33">
              <w:rPr>
                <w:rFonts w:ascii="Sylfaen" w:hAnsi="Sylfaen"/>
                <w:sz w:val="24"/>
                <w:szCs w:val="24"/>
              </w:rPr>
              <w:t>դեղա</w:t>
            </w:r>
            <w:r w:rsidRPr="00834D52">
              <w:rPr>
                <w:rFonts w:ascii="Sylfaen" w:hAnsi="Sylfaen"/>
                <w:sz w:val="24"/>
                <w:szCs w:val="24"/>
              </w:rPr>
              <w:t>կինետիկ հետազոտությունների վերաբերյալ հաշվետվությունները</w:t>
            </w:r>
          </w:p>
        </w:tc>
      </w:tr>
      <w:tr w:rsidR="006F76EB" w:rsidRPr="00834D52" w14:paraId="3A9DED16" w14:textId="77777777" w:rsidTr="00F71229">
        <w:tc>
          <w:tcPr>
            <w:tcW w:w="1809" w:type="dxa"/>
            <w:tcBorders>
              <w:top w:val="nil"/>
              <w:left w:val="nil"/>
              <w:bottom w:val="nil"/>
              <w:right w:val="nil"/>
            </w:tcBorders>
          </w:tcPr>
          <w:p w14:paraId="5303F7DE" w14:textId="77777777" w:rsidR="006F76EB" w:rsidRPr="00834D52" w:rsidRDefault="006F76EB" w:rsidP="00607D50">
            <w:pPr>
              <w:spacing w:after="160" w:line="28" w:lineRule="atLeast"/>
              <w:ind w:right="-8"/>
              <w:jc w:val="center"/>
              <w:rPr>
                <w:rFonts w:ascii="Sylfaen" w:eastAsia="Times New Roman" w:hAnsi="Sylfaen" w:cs="Times New Roman"/>
                <w:sz w:val="24"/>
                <w:szCs w:val="24"/>
              </w:rPr>
            </w:pPr>
            <w:r w:rsidRPr="00834D52">
              <w:rPr>
                <w:rFonts w:ascii="Sylfaen" w:hAnsi="Sylfaen"/>
                <w:sz w:val="24"/>
                <w:szCs w:val="24"/>
              </w:rPr>
              <w:t>5.3.3.</w:t>
            </w:r>
          </w:p>
        </w:tc>
        <w:tc>
          <w:tcPr>
            <w:tcW w:w="8168" w:type="dxa"/>
            <w:gridSpan w:val="2"/>
            <w:tcBorders>
              <w:top w:val="nil"/>
              <w:left w:val="nil"/>
              <w:bottom w:val="nil"/>
              <w:right w:val="nil"/>
            </w:tcBorders>
          </w:tcPr>
          <w:p w14:paraId="5A48EC4B" w14:textId="77777777" w:rsidR="006F76EB" w:rsidRPr="00834D52" w:rsidRDefault="006F76EB" w:rsidP="00607D50">
            <w:pPr>
              <w:spacing w:after="160" w:line="28" w:lineRule="atLeast"/>
              <w:ind w:right="-8"/>
              <w:rPr>
                <w:rFonts w:ascii="Sylfaen" w:eastAsia="Times New Roman" w:hAnsi="Sylfaen" w:cs="Times New Roman"/>
                <w:sz w:val="24"/>
                <w:szCs w:val="24"/>
              </w:rPr>
            </w:pPr>
            <w:r w:rsidRPr="00834D52">
              <w:rPr>
                <w:rFonts w:ascii="Sylfaen" w:hAnsi="Sylfaen"/>
                <w:sz w:val="24"/>
                <w:szCs w:val="24"/>
              </w:rPr>
              <w:t xml:space="preserve">Մարդու </w:t>
            </w:r>
            <w:r w:rsidR="00355C33">
              <w:rPr>
                <w:rFonts w:ascii="Sylfaen" w:hAnsi="Sylfaen"/>
                <w:sz w:val="24"/>
                <w:szCs w:val="24"/>
              </w:rPr>
              <w:t>դեղա</w:t>
            </w:r>
            <w:r w:rsidRPr="00834D52">
              <w:rPr>
                <w:rFonts w:ascii="Sylfaen" w:hAnsi="Sylfaen"/>
                <w:sz w:val="24"/>
                <w:szCs w:val="24"/>
              </w:rPr>
              <w:t>կինետիկ հետազոտությունների վերաբերյալ հաշվետվությունները</w:t>
            </w:r>
          </w:p>
        </w:tc>
      </w:tr>
      <w:tr w:rsidR="006F76EB" w:rsidRPr="00834D52" w14:paraId="43BE4164" w14:textId="77777777" w:rsidTr="00F71229">
        <w:tc>
          <w:tcPr>
            <w:tcW w:w="1809" w:type="dxa"/>
            <w:tcBorders>
              <w:top w:val="nil"/>
              <w:left w:val="nil"/>
              <w:bottom w:val="nil"/>
              <w:right w:val="nil"/>
            </w:tcBorders>
          </w:tcPr>
          <w:p w14:paraId="579D37C9"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5.3.4.</w:t>
            </w:r>
          </w:p>
        </w:tc>
        <w:tc>
          <w:tcPr>
            <w:tcW w:w="8168" w:type="dxa"/>
            <w:gridSpan w:val="2"/>
            <w:tcBorders>
              <w:top w:val="nil"/>
              <w:left w:val="nil"/>
              <w:bottom w:val="nil"/>
              <w:right w:val="nil"/>
            </w:tcBorders>
          </w:tcPr>
          <w:p w14:paraId="45720F35"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Մարդու </w:t>
            </w:r>
            <w:r w:rsidR="00355C33">
              <w:rPr>
                <w:rFonts w:ascii="Sylfaen" w:hAnsi="Sylfaen"/>
                <w:sz w:val="24"/>
                <w:szCs w:val="24"/>
              </w:rPr>
              <w:t>դեղա</w:t>
            </w:r>
            <w:r w:rsidRPr="00834D52">
              <w:rPr>
                <w:rFonts w:ascii="Sylfaen" w:hAnsi="Sylfaen"/>
                <w:sz w:val="24"/>
                <w:szCs w:val="24"/>
              </w:rPr>
              <w:t>դինամիկ հետազոտությունների վերաբերյալ հաշվետվությունները</w:t>
            </w:r>
          </w:p>
        </w:tc>
      </w:tr>
      <w:tr w:rsidR="006F76EB" w:rsidRPr="00834D52" w14:paraId="284CFB11" w14:textId="77777777" w:rsidTr="00F71229">
        <w:tc>
          <w:tcPr>
            <w:tcW w:w="1809" w:type="dxa"/>
            <w:tcBorders>
              <w:top w:val="nil"/>
              <w:left w:val="nil"/>
              <w:bottom w:val="nil"/>
              <w:right w:val="nil"/>
            </w:tcBorders>
          </w:tcPr>
          <w:p w14:paraId="74DF6AB3"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5.3.5.</w:t>
            </w:r>
          </w:p>
        </w:tc>
        <w:tc>
          <w:tcPr>
            <w:tcW w:w="8168" w:type="dxa"/>
            <w:gridSpan w:val="2"/>
            <w:tcBorders>
              <w:top w:val="nil"/>
              <w:left w:val="nil"/>
              <w:bottom w:val="nil"/>
              <w:right w:val="nil"/>
            </w:tcBorders>
          </w:tcPr>
          <w:p w14:paraId="3A0D38E8"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Արդյունավետության </w:t>
            </w:r>
            <w:r w:rsidR="00C54D75">
              <w:rPr>
                <w:rFonts w:ascii="Sylfaen" w:hAnsi="Sylfaen"/>
                <w:sz w:val="24"/>
                <w:szCs w:val="24"/>
              </w:rPr>
              <w:t>և</w:t>
            </w:r>
            <w:r w:rsidRPr="00834D52">
              <w:rPr>
                <w:rFonts w:ascii="Sylfaen" w:hAnsi="Sylfaen"/>
                <w:sz w:val="24"/>
                <w:szCs w:val="24"/>
              </w:rPr>
              <w:t xml:space="preserve"> անվտանգության հետազոտության վերաբերյալ հաշվետվությունները</w:t>
            </w:r>
          </w:p>
        </w:tc>
      </w:tr>
      <w:tr w:rsidR="006F76EB" w:rsidRPr="00834D52" w14:paraId="692FEF96" w14:textId="77777777" w:rsidTr="00F71229">
        <w:tc>
          <w:tcPr>
            <w:tcW w:w="1809" w:type="dxa"/>
            <w:tcBorders>
              <w:top w:val="nil"/>
              <w:left w:val="nil"/>
              <w:bottom w:val="nil"/>
              <w:right w:val="nil"/>
            </w:tcBorders>
          </w:tcPr>
          <w:p w14:paraId="2C488C66"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5.3.6.</w:t>
            </w:r>
          </w:p>
        </w:tc>
        <w:tc>
          <w:tcPr>
            <w:tcW w:w="8168" w:type="dxa"/>
            <w:gridSpan w:val="2"/>
            <w:tcBorders>
              <w:top w:val="nil"/>
              <w:left w:val="nil"/>
              <w:bottom w:val="nil"/>
              <w:right w:val="nil"/>
            </w:tcBorders>
          </w:tcPr>
          <w:p w14:paraId="763EFAFF"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Կիրառության հետգրանցումային փորձի վերաբերյալ հաշվետվությունները</w:t>
            </w:r>
          </w:p>
        </w:tc>
      </w:tr>
      <w:tr w:rsidR="006F76EB" w:rsidRPr="00834D52" w14:paraId="4D519F66" w14:textId="77777777" w:rsidTr="00F71229">
        <w:tc>
          <w:tcPr>
            <w:tcW w:w="1809" w:type="dxa"/>
            <w:tcBorders>
              <w:top w:val="nil"/>
              <w:left w:val="nil"/>
              <w:bottom w:val="nil"/>
              <w:right w:val="nil"/>
            </w:tcBorders>
          </w:tcPr>
          <w:p w14:paraId="6F073D82"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lastRenderedPageBreak/>
              <w:t>5.3.7.</w:t>
            </w:r>
          </w:p>
        </w:tc>
        <w:tc>
          <w:tcPr>
            <w:tcW w:w="8168" w:type="dxa"/>
            <w:gridSpan w:val="2"/>
            <w:tcBorders>
              <w:top w:val="nil"/>
              <w:left w:val="nil"/>
              <w:bottom w:val="nil"/>
              <w:right w:val="nil"/>
            </w:tcBorders>
          </w:tcPr>
          <w:p w14:paraId="03CF9346"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 xml:space="preserve">Պացիենտների անհատական գրանցման քարտերը </w:t>
            </w:r>
            <w:r w:rsidR="00C54D75">
              <w:rPr>
                <w:rFonts w:ascii="Sylfaen" w:hAnsi="Sylfaen"/>
                <w:sz w:val="24"/>
                <w:szCs w:val="24"/>
              </w:rPr>
              <w:t>և</w:t>
            </w:r>
            <w:r w:rsidRPr="00834D52">
              <w:rPr>
                <w:rFonts w:ascii="Sylfaen" w:hAnsi="Sylfaen"/>
                <w:sz w:val="24"/>
                <w:szCs w:val="24"/>
              </w:rPr>
              <w:t xml:space="preserve"> ցանկերը</w:t>
            </w:r>
          </w:p>
        </w:tc>
      </w:tr>
      <w:tr w:rsidR="006F76EB" w:rsidRPr="00834D52" w14:paraId="7579C768" w14:textId="77777777" w:rsidTr="00F71229">
        <w:tc>
          <w:tcPr>
            <w:tcW w:w="1809" w:type="dxa"/>
            <w:tcBorders>
              <w:top w:val="nil"/>
              <w:left w:val="nil"/>
              <w:bottom w:val="nil"/>
              <w:right w:val="nil"/>
            </w:tcBorders>
          </w:tcPr>
          <w:p w14:paraId="4F5CE405" w14:textId="77777777" w:rsidR="006F76EB" w:rsidRPr="00834D52" w:rsidRDefault="006F76EB" w:rsidP="00A028E3">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5.4.</w:t>
            </w:r>
          </w:p>
        </w:tc>
        <w:tc>
          <w:tcPr>
            <w:tcW w:w="8168" w:type="dxa"/>
            <w:gridSpan w:val="2"/>
            <w:tcBorders>
              <w:top w:val="nil"/>
              <w:left w:val="nil"/>
              <w:bottom w:val="nil"/>
              <w:right w:val="nil"/>
            </w:tcBorders>
          </w:tcPr>
          <w:p w14:paraId="39A47719" w14:textId="77777777" w:rsidR="006F76EB" w:rsidRPr="00834D52" w:rsidRDefault="006F76EB" w:rsidP="00A028E3">
            <w:pPr>
              <w:spacing w:after="160" w:line="360" w:lineRule="auto"/>
              <w:ind w:right="-8"/>
              <w:rPr>
                <w:rFonts w:ascii="Sylfaen" w:eastAsia="Times New Roman" w:hAnsi="Sylfaen" w:cs="Times New Roman"/>
                <w:sz w:val="24"/>
                <w:szCs w:val="24"/>
              </w:rPr>
            </w:pPr>
            <w:r w:rsidRPr="00834D52">
              <w:rPr>
                <w:rFonts w:ascii="Sylfaen" w:hAnsi="Sylfaen"/>
                <w:sz w:val="24"/>
                <w:szCs w:val="24"/>
              </w:rPr>
              <w:t>Օգտագործված գրական աղբյուրների պատճենները</w:t>
            </w:r>
          </w:p>
        </w:tc>
      </w:tr>
    </w:tbl>
    <w:p w14:paraId="5BE3CC01" w14:textId="77777777" w:rsidR="006F76EB" w:rsidRPr="00834D52" w:rsidRDefault="006F76EB" w:rsidP="006F76EB">
      <w:pPr>
        <w:spacing w:after="120" w:line="240" w:lineRule="auto"/>
        <w:ind w:right="-8"/>
        <w:rPr>
          <w:rFonts w:ascii="Sylfaen" w:hAnsi="Sylfaen"/>
          <w:sz w:val="24"/>
          <w:szCs w:val="24"/>
        </w:rPr>
      </w:pPr>
    </w:p>
    <w:p w14:paraId="4D161981" w14:textId="77777777" w:rsidR="006F76EB" w:rsidRPr="00834D52" w:rsidRDefault="006F76EB" w:rsidP="006F76EB">
      <w:pPr>
        <w:spacing w:after="120" w:line="240" w:lineRule="auto"/>
        <w:ind w:right="-8" w:firstLine="567"/>
        <w:rPr>
          <w:rFonts w:ascii="Sylfaen" w:eastAsia="Times New Roman" w:hAnsi="Sylfaen" w:cs="Times New Roman"/>
        </w:rPr>
      </w:pPr>
      <w:r w:rsidRPr="00834D52">
        <w:rPr>
          <w:rFonts w:ascii="Sylfaen" w:hAnsi="Sylfaen"/>
        </w:rPr>
        <w:t>Ծանոթագրություն.</w:t>
      </w:r>
    </w:p>
    <w:p w14:paraId="63DD4D37" w14:textId="77777777" w:rsidR="006F76EB" w:rsidRPr="007F5A60" w:rsidRDefault="006F76EB" w:rsidP="006F76EB">
      <w:pPr>
        <w:spacing w:after="120" w:line="240" w:lineRule="auto"/>
        <w:ind w:right="-8" w:firstLine="567"/>
        <w:jc w:val="both"/>
        <w:rPr>
          <w:rFonts w:ascii="Sylfaen" w:hAnsi="Sylfaen"/>
        </w:rPr>
      </w:pPr>
      <w:r w:rsidRPr="00834D52">
        <w:rPr>
          <w:rFonts w:ascii="Sylfaen" w:hAnsi="Sylfaen"/>
        </w:rPr>
        <w:t xml:space="preserve">Եթե Եվրասիական տնտեսական հանձնաժողովի կողմից հաստատվող՝ բժշկական կիրառության դեղամիջոցների գրանցման </w:t>
      </w:r>
      <w:r w:rsidR="00C54D75">
        <w:rPr>
          <w:rFonts w:ascii="Sylfaen" w:hAnsi="Sylfaen"/>
        </w:rPr>
        <w:t>և</w:t>
      </w:r>
      <w:r w:rsidRPr="00834D52">
        <w:rPr>
          <w:rFonts w:ascii="Sylfaen" w:hAnsi="Sylfaen"/>
        </w:rPr>
        <w:t xml:space="preserve"> փորձաքննության կանոններով այլ բան սահմանված չէ, ապա ներկայացվում են հայտատուի կողմից վավերացված փաստաթղթերը։ Գրանցման դոսյեի փաստաթղթերը ներկայացվում են ռուսերենով կամ ռուսերեն թարգմանությամբ՝ սույն փաստաթղթի երկրորդ մասում ներկայացված ցուցումներին համապատասխան։ Թույլատրվում է</w:t>
      </w:r>
      <w:r w:rsidR="00910A59">
        <w:rPr>
          <w:rFonts w:ascii="Sylfaen" w:hAnsi="Sylfaen"/>
        </w:rPr>
        <w:t xml:space="preserve"> 1-ին մոդուլի 1</w:t>
      </w:r>
      <w:r w:rsidR="00910A59" w:rsidRPr="00910A59">
        <w:rPr>
          <w:rFonts w:ascii="Sylfaen" w:hAnsi="Sylfaen"/>
        </w:rPr>
        <w:t xml:space="preserve">.6.3 </w:t>
      </w:r>
      <w:r w:rsidR="00910A59">
        <w:rPr>
          <w:rFonts w:ascii="Sylfaen" w:hAnsi="Sylfaen"/>
        </w:rPr>
        <w:t>բաժնի</w:t>
      </w:r>
      <w:r w:rsidR="00D9182D">
        <w:rPr>
          <w:rFonts w:ascii="Sylfaen" w:hAnsi="Sylfaen"/>
        </w:rPr>
        <w:t xml:space="preserve"> փաստաթուղթը</w:t>
      </w:r>
      <w:r w:rsidR="00C83269">
        <w:rPr>
          <w:rFonts w:ascii="Sylfaen" w:hAnsi="Sylfaen"/>
        </w:rPr>
        <w:t>, ինչպես նաև</w:t>
      </w:r>
      <w:r w:rsidRPr="00834D52">
        <w:rPr>
          <w:rFonts w:ascii="Sylfaen" w:hAnsi="Sylfaen"/>
        </w:rPr>
        <w:t xml:space="preserve"> 3-5-րդ մոդուլների փաստաթղթերը ներկայացնել անգլերենով՝ 3-րդ մոդուլի հետ</w:t>
      </w:r>
      <w:r w:rsidR="00C54D75">
        <w:rPr>
          <w:rFonts w:ascii="Sylfaen" w:hAnsi="Sylfaen"/>
        </w:rPr>
        <w:t>և</w:t>
      </w:r>
      <w:r w:rsidRPr="00834D52">
        <w:rPr>
          <w:rFonts w:ascii="Sylfaen" w:hAnsi="Sylfaen"/>
        </w:rPr>
        <w:t xml:space="preserve">յալ բաժինների պարտադիր ռուսերեն թարգմանությամբ՝ արտադրական գործընթացի նկարագրությունը </w:t>
      </w:r>
      <w:r w:rsidR="00C54D75">
        <w:rPr>
          <w:rFonts w:ascii="Sylfaen" w:hAnsi="Sylfaen"/>
        </w:rPr>
        <w:t>և</w:t>
      </w:r>
      <w:r w:rsidRPr="00834D52">
        <w:rPr>
          <w:rFonts w:ascii="Sylfaen" w:hAnsi="Sylfaen"/>
        </w:rPr>
        <w:t xml:space="preserve"> դրա հսկողությունը (3.2.S.2.2), արտադրական գործընթացի վալիդացումը </w:t>
      </w:r>
      <w:r w:rsidR="00C54D75">
        <w:rPr>
          <w:rFonts w:ascii="Sylfaen" w:hAnsi="Sylfaen"/>
        </w:rPr>
        <w:t>և</w:t>
      </w:r>
      <w:r w:rsidRPr="00834D52">
        <w:rPr>
          <w:rFonts w:ascii="Sylfaen" w:hAnsi="Sylfaen"/>
        </w:rPr>
        <w:t xml:space="preserve"> (կամ) դրա գնահատումը (3.2.S.2.5), խառնուկները (3.2.S.3.2), վերլուծական մեթոդիկաները (3.2.S.4.2), վերլուծական մեթոդիկաների վալիդացումը (3.2.S.4.3), մասնագրի հիմնավորումը (3.2.S.4.5), կայունության փորձարկումների վերաբերյալ ռեզյումեն </w:t>
      </w:r>
      <w:r w:rsidR="00C54D75">
        <w:rPr>
          <w:rFonts w:ascii="Sylfaen" w:hAnsi="Sylfaen"/>
        </w:rPr>
        <w:t>և</w:t>
      </w:r>
      <w:r w:rsidRPr="00834D52">
        <w:rPr>
          <w:rFonts w:ascii="Sylfaen" w:hAnsi="Sylfaen"/>
        </w:rPr>
        <w:t xml:space="preserve"> կայունության վերաբերյալ եզրակացությունը (3.2.S.7.1), դեղապատրաստուկի նկարագրությունը </w:t>
      </w:r>
      <w:r w:rsidR="00C54D75">
        <w:rPr>
          <w:rFonts w:ascii="Sylfaen" w:hAnsi="Sylfaen"/>
        </w:rPr>
        <w:t>և</w:t>
      </w:r>
      <w:r w:rsidRPr="00834D52">
        <w:rPr>
          <w:rFonts w:ascii="Sylfaen" w:hAnsi="Sylfaen"/>
        </w:rPr>
        <w:t xml:space="preserve"> բաղադրությունը (3.2.P.1), դեղաձ</w:t>
      </w:r>
      <w:r w:rsidR="00C54D75">
        <w:rPr>
          <w:rFonts w:ascii="Sylfaen" w:hAnsi="Sylfaen"/>
        </w:rPr>
        <w:t>և</w:t>
      </w:r>
      <w:r w:rsidRPr="00834D52">
        <w:rPr>
          <w:rFonts w:ascii="Sylfaen" w:hAnsi="Sylfaen"/>
        </w:rPr>
        <w:t xml:space="preserve">ի մշակումը (3.2.P.2.2.1), արտադրական ավելցուկները (3.2.P.2.2.2), ֆիզիկաքիմիական </w:t>
      </w:r>
      <w:r w:rsidR="00C54D75">
        <w:rPr>
          <w:rFonts w:ascii="Sylfaen" w:hAnsi="Sylfaen"/>
        </w:rPr>
        <w:t>և</w:t>
      </w:r>
      <w:r w:rsidRPr="00834D52">
        <w:rPr>
          <w:rFonts w:ascii="Sylfaen" w:hAnsi="Sylfaen"/>
        </w:rPr>
        <w:t xml:space="preserve"> կենսաբանական հատկությունները (3.2.P.2.2.3), փաթեթավորման (խցանափակման) համակարգը (3.2.P.2.4), համատեղելիությունը (3.2.P.2.6), արտադրական գործընթացի նկարագրությունը </w:t>
      </w:r>
      <w:r w:rsidR="00C54D75">
        <w:rPr>
          <w:rFonts w:ascii="Sylfaen" w:hAnsi="Sylfaen"/>
        </w:rPr>
        <w:t>և</w:t>
      </w:r>
      <w:r w:rsidRPr="00834D52">
        <w:rPr>
          <w:rFonts w:ascii="Sylfaen" w:hAnsi="Sylfaen"/>
        </w:rPr>
        <w:t xml:space="preserve"> դրա հսկողությունը (3.2.P.3.3), կրիտիկական փուլերի </w:t>
      </w:r>
      <w:r w:rsidR="00C54D75">
        <w:rPr>
          <w:rFonts w:ascii="Sylfaen" w:hAnsi="Sylfaen"/>
        </w:rPr>
        <w:t>և</w:t>
      </w:r>
      <w:r w:rsidRPr="00834D52">
        <w:rPr>
          <w:rFonts w:ascii="Sylfaen" w:hAnsi="Sylfaen"/>
        </w:rPr>
        <w:t xml:space="preserve"> միջանկյալ արտադրանքի հսկողությունը (3.2.P.3.4), արտադրական գործընթացի վալիդացումը </w:t>
      </w:r>
      <w:r w:rsidR="00C54D75">
        <w:rPr>
          <w:rFonts w:ascii="Sylfaen" w:hAnsi="Sylfaen"/>
        </w:rPr>
        <w:t>և</w:t>
      </w:r>
      <w:r w:rsidRPr="00834D52">
        <w:rPr>
          <w:rFonts w:ascii="Sylfaen" w:hAnsi="Sylfaen"/>
        </w:rPr>
        <w:t xml:space="preserve"> (կամ) դրա գնահատումը (3.2.P.3.5), վերլուծական մեթոդիկաների վալիդացումը (3.2.Р.4.3), մասնագրերի հիմնավորումը (3.2.Р.4.4), մարդկային </w:t>
      </w:r>
      <w:r w:rsidR="00C54D75">
        <w:rPr>
          <w:rFonts w:ascii="Sylfaen" w:hAnsi="Sylfaen"/>
        </w:rPr>
        <w:t>և</w:t>
      </w:r>
      <w:r w:rsidRPr="00834D52">
        <w:rPr>
          <w:rFonts w:ascii="Sylfaen" w:hAnsi="Sylfaen"/>
        </w:rPr>
        <w:t xml:space="preserve"> կենդանական ծագման օժանդակ նյութերը (3.2.Р.4.5), նոր օժանդակ նյութերը (3.2.Р.4.6), մասնագրերը (3.2.P.5.1), վերլուծական մեթոդիկաները (3.2.Р.5.2), վերլուծական մեթոդիկաների վալիդացումը (3.2.Р.5.3), խառնուկների բնութագիրը (3.2.Р.5.5), մասնագրերի հիմնավորումը (3.2.Р.5.6), փաթեթավորման (խցանափակման) համակարգը (3.2.Р.7), կայունության փորձարկումների վերաբերյալ ռեզյումեն </w:t>
      </w:r>
      <w:r w:rsidR="00C54D75">
        <w:rPr>
          <w:rFonts w:ascii="Sylfaen" w:hAnsi="Sylfaen"/>
        </w:rPr>
        <w:t>և</w:t>
      </w:r>
      <w:r w:rsidRPr="00834D52">
        <w:rPr>
          <w:rFonts w:ascii="Sylfaen" w:hAnsi="Sylfaen"/>
        </w:rPr>
        <w:t xml:space="preserve"> կայունության վերաբերյալ եզրակացությունը (3.2.Р.8.1), կայունության հետգրանցումային փորձարկումների ծրագիրը </w:t>
      </w:r>
      <w:r w:rsidR="00C54D75">
        <w:rPr>
          <w:rFonts w:ascii="Sylfaen" w:hAnsi="Sylfaen"/>
        </w:rPr>
        <w:t>և</w:t>
      </w:r>
      <w:r w:rsidRPr="00834D52">
        <w:rPr>
          <w:rFonts w:ascii="Sylfaen" w:hAnsi="Sylfaen"/>
        </w:rPr>
        <w:t xml:space="preserve"> կայունության ուսումնասիրությանը վերաբերող պարտավորությունները (3.2.Р.8.2), կողմնակի ագենտների մասով անվտանգության գնահատումը (3.2.А.2), նոր օժանդակ նյութեր (3.2.А.3</w:t>
      </w:r>
      <w:r w:rsidRPr="009A0199">
        <w:rPr>
          <w:rFonts w:ascii="Sylfaen" w:hAnsi="Sylfaen"/>
        </w:rPr>
        <w:t>)</w:t>
      </w:r>
      <w:r w:rsidR="00C648A4">
        <w:rPr>
          <w:rFonts w:ascii="Sylfaen" w:hAnsi="Sylfaen"/>
        </w:rPr>
        <w:t xml:space="preserve">։ Թույլատրվում է </w:t>
      </w:r>
      <w:r w:rsidR="00C648A4">
        <w:rPr>
          <w:rFonts w:ascii="Sylfaen" w:hAnsi="Sylfaen"/>
          <w:sz w:val="24"/>
          <w:szCs w:val="24"/>
        </w:rPr>
        <w:t>դեղազգոնության մասով մաստեր-ֆայլը ներկայացնել անգլերենով՝</w:t>
      </w:r>
      <w:r w:rsidR="00E90FAF" w:rsidRPr="00E90FAF">
        <w:rPr>
          <w:rFonts w:ascii="Sylfaen" w:hAnsi="Sylfaen"/>
        </w:rPr>
        <w:t xml:space="preserve"> </w:t>
      </w:r>
      <w:r w:rsidR="006313BB" w:rsidRPr="009A0199">
        <w:rPr>
          <w:rFonts w:ascii="Sylfaen" w:hAnsi="Sylfaen"/>
        </w:rPr>
        <w:t>գ</w:t>
      </w:r>
      <w:r w:rsidR="00C648A4">
        <w:rPr>
          <w:rFonts w:ascii="Sylfaen" w:hAnsi="Sylfaen"/>
        </w:rPr>
        <w:t xml:space="preserve">րանցման </w:t>
      </w:r>
      <w:r w:rsidR="00C648A4">
        <w:rPr>
          <w:rFonts w:ascii="Sylfaen" w:hAnsi="Sylfaen"/>
          <w:sz w:val="24"/>
          <w:szCs w:val="24"/>
        </w:rPr>
        <w:t xml:space="preserve">հավաստագրի իրավատիրոջ՝ դեղազգոնության համակարգի համառոտ բնութագրի պարտադիր ռուսերեն թարգմանությամբ, </w:t>
      </w:r>
      <w:r w:rsidR="00C648A4">
        <w:rPr>
          <w:rFonts w:ascii="Sylfaen" w:hAnsi="Sylfaen"/>
        </w:rPr>
        <w:t>ռիսկերի կառավարման պլանը ներկայացնել անգլերենով՝ ռեզյումեի պարտադիր ռուսերեն թարգմանությամբ։</w:t>
      </w:r>
    </w:p>
    <w:p w14:paraId="3BE831A3" w14:textId="77777777" w:rsidR="00607D50" w:rsidRPr="007F5A60" w:rsidRDefault="00607D50">
      <w:pPr>
        <w:widowControl/>
        <w:rPr>
          <w:rFonts w:ascii="Sylfaen" w:hAnsi="Sylfaen"/>
        </w:rPr>
      </w:pPr>
      <w:r w:rsidRPr="007F5A60">
        <w:rPr>
          <w:rFonts w:ascii="Sylfaen" w:hAnsi="Sylfaen"/>
        </w:rPr>
        <w:br w:type="page"/>
      </w:r>
    </w:p>
    <w:p w14:paraId="55C52151" w14:textId="77777777" w:rsidR="006F76EB" w:rsidRPr="00834D52" w:rsidRDefault="006F76EB" w:rsidP="008E009C">
      <w:pPr>
        <w:spacing w:after="160" w:line="360" w:lineRule="auto"/>
        <w:ind w:left="567" w:right="437"/>
        <w:jc w:val="center"/>
        <w:rPr>
          <w:rFonts w:ascii="Sylfaen" w:eastAsia="Times New Roman" w:hAnsi="Sylfaen" w:cs="Times New Roman"/>
          <w:sz w:val="24"/>
          <w:szCs w:val="24"/>
        </w:rPr>
      </w:pPr>
      <w:r w:rsidRPr="00834D52">
        <w:rPr>
          <w:rFonts w:ascii="Sylfaen" w:hAnsi="Sylfaen"/>
          <w:sz w:val="24"/>
          <w:szCs w:val="24"/>
        </w:rPr>
        <w:lastRenderedPageBreak/>
        <w:t>II. Դեղապատրաստուկների տարբեր տեսակների համար գրանցման դոսյեի մոդուլներում ներկայացվող փաստաթղթերի օրինակելի ցանկը</w:t>
      </w:r>
    </w:p>
    <w:p w14:paraId="069BF7DF" w14:textId="77777777" w:rsidR="006F76EB" w:rsidRPr="00834D52" w:rsidRDefault="006F76EB" w:rsidP="008E009C">
      <w:pPr>
        <w:spacing w:after="160" w:line="360" w:lineRule="auto"/>
        <w:ind w:right="-8"/>
        <w:rPr>
          <w:rFonts w:ascii="Sylfaen" w:hAnsi="Sylfaen"/>
          <w:sz w:val="24"/>
          <w:szCs w:val="24"/>
        </w:rPr>
      </w:pPr>
    </w:p>
    <w:p w14:paraId="2880D884" w14:textId="77777777" w:rsidR="006F76EB" w:rsidRPr="00834D52" w:rsidRDefault="006F76EB" w:rsidP="008E009C">
      <w:pPr>
        <w:spacing w:after="160" w:line="360" w:lineRule="auto"/>
        <w:ind w:right="-6" w:firstLine="567"/>
        <w:jc w:val="both"/>
        <w:rPr>
          <w:rFonts w:ascii="Sylfaen" w:hAnsi="Sylfaen"/>
          <w:sz w:val="24"/>
          <w:szCs w:val="24"/>
        </w:rPr>
      </w:pPr>
      <w:r w:rsidRPr="00834D52">
        <w:rPr>
          <w:rFonts w:ascii="Sylfaen" w:hAnsi="Sylfaen"/>
          <w:sz w:val="24"/>
          <w:szCs w:val="24"/>
        </w:rPr>
        <w:t xml:space="preserve">Սույն ցանկն օժանդակող է սույն փաստաթղթի I մասի համար </w:t>
      </w:r>
      <w:r w:rsidR="00C54D75">
        <w:rPr>
          <w:rFonts w:ascii="Sylfaen" w:hAnsi="Sylfaen"/>
          <w:sz w:val="24"/>
          <w:szCs w:val="24"/>
        </w:rPr>
        <w:t>և</w:t>
      </w:r>
      <w:r w:rsidRPr="00834D52">
        <w:rPr>
          <w:rFonts w:ascii="Sylfaen" w:hAnsi="Sylfaen"/>
          <w:sz w:val="24"/>
          <w:szCs w:val="24"/>
        </w:rPr>
        <w:t xml:space="preserve"> աղյուսակային ձ</w:t>
      </w:r>
      <w:r w:rsidR="00C54D75">
        <w:rPr>
          <w:rFonts w:ascii="Sylfaen" w:hAnsi="Sylfaen"/>
          <w:sz w:val="24"/>
          <w:szCs w:val="24"/>
        </w:rPr>
        <w:t>և</w:t>
      </w:r>
      <w:r w:rsidRPr="00834D52">
        <w:rPr>
          <w:rFonts w:ascii="Sylfaen" w:hAnsi="Sylfaen"/>
          <w:sz w:val="24"/>
          <w:szCs w:val="24"/>
        </w:rPr>
        <w:t xml:space="preserve">ով ներկայացնում է դեղապատրաստուկի գրանցման դոսյեի օրինակելի լրակազմության </w:t>
      </w:r>
    </w:p>
    <w:p w14:paraId="71FF03C3" w14:textId="77777777" w:rsidR="006F76EB" w:rsidRPr="00834D52" w:rsidRDefault="006F76EB" w:rsidP="008E009C">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հետազոտությունների անցկացման անհրաժեշտ ծավալով։ վերաբերյալ տեղեկատվություն՝ դեղապատրաստուկների առանձին տեսակների համար։ </w:t>
      </w:r>
    </w:p>
    <w:p w14:paraId="5F403870" w14:textId="77777777" w:rsidR="006F76EB" w:rsidRPr="00834D52" w:rsidRDefault="006F76EB" w:rsidP="008E009C">
      <w:pPr>
        <w:spacing w:after="160" w:line="360"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Գրանցման դոսյեն կազմելիս </w:t>
      </w:r>
      <w:r w:rsidR="00C54D75">
        <w:rPr>
          <w:rFonts w:ascii="Sylfaen" w:hAnsi="Sylfaen"/>
          <w:sz w:val="24"/>
          <w:szCs w:val="24"/>
        </w:rPr>
        <w:t>և</w:t>
      </w:r>
      <w:r w:rsidRPr="00834D52">
        <w:rPr>
          <w:rFonts w:ascii="Sylfaen" w:hAnsi="Sylfaen"/>
          <w:sz w:val="24"/>
          <w:szCs w:val="24"/>
        </w:rPr>
        <w:t xml:space="preserve"> դրա լրակազմության գնահատումն անցկացնելիս հարկավոր է առաջին հերթին ղեկավարվել սույն փաստաթղթի I մասում </w:t>
      </w:r>
      <w:r w:rsidR="00C54D75">
        <w:rPr>
          <w:rFonts w:ascii="Sylfaen" w:hAnsi="Sylfaen"/>
          <w:sz w:val="24"/>
          <w:szCs w:val="24"/>
        </w:rPr>
        <w:t>և</w:t>
      </w:r>
      <w:r w:rsidRPr="00834D52">
        <w:rPr>
          <w:rFonts w:ascii="Sylfaen" w:hAnsi="Sylfaen"/>
          <w:sz w:val="24"/>
          <w:szCs w:val="24"/>
        </w:rPr>
        <w:t xml:space="preserve"> Եվրասիական տնտեսական հանձնաժողովի կողմից հաստատվող՝ Բժշկական կիրառության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 թիվ 1 հավելվածում ներկայացված ցուցումներով, ինչպես նա</w:t>
      </w:r>
      <w:r w:rsidR="00C54D75">
        <w:rPr>
          <w:rFonts w:ascii="Sylfaen" w:hAnsi="Sylfaen"/>
          <w:sz w:val="24"/>
          <w:szCs w:val="24"/>
        </w:rPr>
        <w:t>և</w:t>
      </w:r>
      <w:r w:rsidRPr="00834D52">
        <w:rPr>
          <w:rFonts w:ascii="Sylfaen" w:hAnsi="Sylfaen"/>
          <w:sz w:val="24"/>
          <w:szCs w:val="24"/>
        </w:rPr>
        <w:t xml:space="preserve"> դեղապատրաստուկ մշակելիս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կանոններում </w:t>
      </w:r>
      <w:r w:rsidR="00C54D75">
        <w:rPr>
          <w:rFonts w:ascii="Sylfaen" w:hAnsi="Sylfaen"/>
          <w:sz w:val="24"/>
          <w:szCs w:val="24"/>
        </w:rPr>
        <w:t>և</w:t>
      </w:r>
      <w:r w:rsidRPr="00834D52">
        <w:rPr>
          <w:rFonts w:ascii="Sylfaen" w:hAnsi="Sylfaen"/>
          <w:sz w:val="24"/>
          <w:szCs w:val="24"/>
        </w:rPr>
        <w:t xml:space="preserve"> Եվրասիական տնտեսական միության տարածքում կենսաբանական դեղամիջոցների հետազոտությունների անցկացման կանոններում նշված նախակլինիկական </w:t>
      </w:r>
      <w:r w:rsidR="00C54D75">
        <w:rPr>
          <w:rFonts w:ascii="Sylfaen" w:hAnsi="Sylfaen"/>
          <w:sz w:val="24"/>
          <w:szCs w:val="24"/>
        </w:rPr>
        <w:t>և</w:t>
      </w:r>
      <w:r w:rsidRPr="00834D52">
        <w:rPr>
          <w:rFonts w:ascii="Sylfaen" w:hAnsi="Sylfaen"/>
          <w:sz w:val="24"/>
          <w:szCs w:val="24"/>
        </w:rPr>
        <w:t xml:space="preserve"> կլինիկական</w:t>
      </w:r>
    </w:p>
    <w:p w14:paraId="3DC21068" w14:textId="77777777" w:rsidR="006F76EB" w:rsidRPr="00834D52" w:rsidRDefault="006F76EB" w:rsidP="006F76EB">
      <w:pPr>
        <w:spacing w:after="120" w:line="240" w:lineRule="auto"/>
        <w:ind w:right="-8"/>
        <w:jc w:val="both"/>
        <w:rPr>
          <w:rFonts w:ascii="Sylfaen" w:eastAsia="Times New Roman" w:hAnsi="Sylfaen" w:cs="Times New Roman"/>
          <w:sz w:val="24"/>
          <w:szCs w:val="24"/>
        </w:rPr>
        <w:sectPr w:rsidR="006F76EB" w:rsidRPr="00834D52" w:rsidSect="00F71229">
          <w:footerReference w:type="default" r:id="rId11"/>
          <w:pgSz w:w="11920" w:h="16840"/>
          <w:pgMar w:top="1418" w:right="1418" w:bottom="1418" w:left="1418" w:header="738" w:footer="517" w:gutter="0"/>
          <w:pgNumType w:start="1"/>
          <w:cols w:space="720"/>
          <w:titlePg/>
          <w:docGrid w:linePitch="299"/>
        </w:sectPr>
      </w:pPr>
    </w:p>
    <w:tbl>
      <w:tblPr>
        <w:tblW w:w="0" w:type="auto"/>
        <w:jc w:val="center"/>
        <w:tblLayout w:type="fixed"/>
        <w:tblCellMar>
          <w:left w:w="0" w:type="dxa"/>
          <w:right w:w="0" w:type="dxa"/>
        </w:tblCellMar>
        <w:tblLook w:val="01E0" w:firstRow="1" w:lastRow="1" w:firstColumn="1" w:lastColumn="1" w:noHBand="0" w:noVBand="0"/>
      </w:tblPr>
      <w:tblGrid>
        <w:gridCol w:w="1134"/>
        <w:gridCol w:w="1276"/>
        <w:gridCol w:w="1984"/>
        <w:gridCol w:w="1418"/>
        <w:gridCol w:w="1560"/>
        <w:gridCol w:w="1417"/>
        <w:gridCol w:w="1559"/>
        <w:gridCol w:w="1701"/>
        <w:gridCol w:w="1275"/>
        <w:gridCol w:w="1560"/>
      </w:tblGrid>
      <w:tr w:rsidR="006F76EB" w:rsidRPr="00834D52" w14:paraId="2B011372" w14:textId="77777777" w:rsidTr="001A24A9">
        <w:trPr>
          <w:trHeight w:val="405"/>
          <w:tblHeader/>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8FC38F3" w14:textId="77777777" w:rsidR="006F76EB" w:rsidRPr="00834D52" w:rsidRDefault="006F76EB" w:rsidP="00F71229">
            <w:pPr>
              <w:spacing w:after="120" w:line="240" w:lineRule="auto"/>
              <w:ind w:right="-20"/>
              <w:jc w:val="center"/>
              <w:rPr>
                <w:rFonts w:ascii="Sylfaen" w:eastAsia="Times New Roman" w:hAnsi="Sylfaen" w:cs="Times New Roman"/>
                <w:sz w:val="24"/>
                <w:szCs w:val="24"/>
              </w:rPr>
            </w:pPr>
            <w:r w:rsidRPr="00834D52">
              <w:rPr>
                <w:rFonts w:ascii="Sylfaen" w:hAnsi="Sylfaen"/>
                <w:sz w:val="24"/>
                <w:szCs w:val="24"/>
              </w:rPr>
              <w:lastRenderedPageBreak/>
              <w:t>Մոդուլի մասի համարը</w:t>
            </w:r>
          </w:p>
        </w:tc>
        <w:tc>
          <w:tcPr>
            <w:tcW w:w="13750" w:type="dxa"/>
            <w:gridSpan w:val="9"/>
            <w:tcBorders>
              <w:top w:val="single" w:sz="4" w:space="0" w:color="auto"/>
              <w:left w:val="single" w:sz="4" w:space="0" w:color="auto"/>
              <w:bottom w:val="single" w:sz="4" w:space="0" w:color="auto"/>
              <w:right w:val="single" w:sz="4" w:space="0" w:color="auto"/>
            </w:tcBorders>
            <w:vAlign w:val="center"/>
          </w:tcPr>
          <w:p w14:paraId="5F21B3F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Դեղապատրաստուկ</w:t>
            </w:r>
          </w:p>
        </w:tc>
      </w:tr>
      <w:tr w:rsidR="006F76EB" w:rsidRPr="00834D52" w14:paraId="625745F4" w14:textId="77777777" w:rsidTr="001A24A9">
        <w:trPr>
          <w:trHeight w:val="540"/>
          <w:tblHeader/>
          <w:jc w:val="center"/>
        </w:trPr>
        <w:tc>
          <w:tcPr>
            <w:tcW w:w="1134" w:type="dxa"/>
            <w:vMerge/>
            <w:tcBorders>
              <w:top w:val="single" w:sz="4" w:space="0" w:color="auto"/>
              <w:left w:val="single" w:sz="4" w:space="0" w:color="auto"/>
              <w:bottom w:val="single" w:sz="4" w:space="0" w:color="auto"/>
              <w:right w:val="single" w:sz="4" w:space="0" w:color="auto"/>
            </w:tcBorders>
            <w:vAlign w:val="center"/>
          </w:tcPr>
          <w:p w14:paraId="6353CFA8" w14:textId="77777777" w:rsidR="006F76EB" w:rsidRPr="00834D52" w:rsidRDefault="006F76EB" w:rsidP="00F71229">
            <w:pPr>
              <w:spacing w:after="120" w:line="240" w:lineRule="auto"/>
              <w:ind w:left="208" w:right="-20"/>
              <w:jc w:val="center"/>
              <w:rPr>
                <w:rFonts w:ascii="Sylfaen" w:eastAsia="Times New Roman" w:hAnsi="Sylfae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5258AB" w14:textId="77777777" w:rsidR="006F76EB" w:rsidRPr="00834D52" w:rsidRDefault="006F76EB" w:rsidP="00F71229">
            <w:pPr>
              <w:spacing w:after="120" w:line="240" w:lineRule="auto"/>
              <w:ind w:left="95" w:right="72"/>
              <w:jc w:val="center"/>
              <w:rPr>
                <w:rFonts w:ascii="Sylfaen" w:eastAsia="Times New Roman" w:hAnsi="Sylfaen" w:cs="Times New Roman"/>
                <w:sz w:val="24"/>
                <w:szCs w:val="24"/>
              </w:rPr>
            </w:pPr>
            <w:r w:rsidRPr="00834D52">
              <w:rPr>
                <w:rFonts w:ascii="Sylfaen" w:hAnsi="Sylfaen"/>
                <w:sz w:val="24"/>
                <w:szCs w:val="24"/>
              </w:rPr>
              <w:t>օրիգինալ</w:t>
            </w:r>
          </w:p>
        </w:tc>
        <w:tc>
          <w:tcPr>
            <w:tcW w:w="1984" w:type="dxa"/>
            <w:tcBorders>
              <w:top w:val="single" w:sz="4" w:space="0" w:color="auto"/>
              <w:left w:val="single" w:sz="4" w:space="0" w:color="auto"/>
              <w:bottom w:val="single" w:sz="4" w:space="0" w:color="auto"/>
              <w:right w:val="single" w:sz="4" w:space="0" w:color="auto"/>
            </w:tcBorders>
            <w:vAlign w:val="center"/>
          </w:tcPr>
          <w:p w14:paraId="6F205C87" w14:textId="77777777" w:rsidR="006F76EB" w:rsidRPr="00834D52" w:rsidRDefault="006F76EB" w:rsidP="00F71229">
            <w:pPr>
              <w:spacing w:after="120" w:line="240" w:lineRule="auto"/>
              <w:ind w:left="52" w:right="27"/>
              <w:jc w:val="center"/>
              <w:rPr>
                <w:rFonts w:ascii="Sylfaen" w:eastAsia="Times New Roman" w:hAnsi="Sylfaen" w:cs="Times New Roman"/>
                <w:sz w:val="24"/>
                <w:szCs w:val="24"/>
              </w:rPr>
            </w:pPr>
            <w:r w:rsidRPr="00834D52">
              <w:rPr>
                <w:rFonts w:ascii="Sylfaen" w:hAnsi="Sylfaen"/>
                <w:sz w:val="24"/>
                <w:szCs w:val="24"/>
              </w:rPr>
              <w:t>վերարտադրված</w:t>
            </w:r>
          </w:p>
        </w:tc>
        <w:tc>
          <w:tcPr>
            <w:tcW w:w="1418" w:type="dxa"/>
            <w:tcBorders>
              <w:top w:val="single" w:sz="4" w:space="0" w:color="auto"/>
              <w:left w:val="single" w:sz="4" w:space="0" w:color="auto"/>
              <w:bottom w:val="single" w:sz="4" w:space="0" w:color="auto"/>
              <w:right w:val="single" w:sz="4" w:space="0" w:color="auto"/>
            </w:tcBorders>
            <w:vAlign w:val="center"/>
          </w:tcPr>
          <w:p w14:paraId="478AA10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հիբրիդային</w:t>
            </w:r>
          </w:p>
        </w:tc>
        <w:tc>
          <w:tcPr>
            <w:tcW w:w="1560" w:type="dxa"/>
            <w:tcBorders>
              <w:top w:val="single" w:sz="4" w:space="0" w:color="auto"/>
              <w:left w:val="single" w:sz="4" w:space="0" w:color="auto"/>
              <w:bottom w:val="single" w:sz="4" w:space="0" w:color="auto"/>
              <w:right w:val="single" w:sz="4" w:space="0" w:color="auto"/>
            </w:tcBorders>
            <w:vAlign w:val="center"/>
          </w:tcPr>
          <w:p w14:paraId="2C50584B" w14:textId="77777777" w:rsidR="006F76EB" w:rsidRPr="00834D52" w:rsidRDefault="006F76EB" w:rsidP="00F71229">
            <w:pPr>
              <w:spacing w:after="120" w:line="240" w:lineRule="auto"/>
              <w:ind w:left="28" w:right="3"/>
              <w:jc w:val="center"/>
              <w:rPr>
                <w:rFonts w:ascii="Sylfaen" w:eastAsia="Times New Roman" w:hAnsi="Sylfaen" w:cs="Times New Roman"/>
                <w:sz w:val="24"/>
                <w:szCs w:val="24"/>
              </w:rPr>
            </w:pPr>
            <w:r w:rsidRPr="00834D52">
              <w:rPr>
                <w:rFonts w:ascii="Sylfaen" w:hAnsi="Sylfaen"/>
                <w:sz w:val="24"/>
                <w:szCs w:val="24"/>
              </w:rPr>
              <w:t>կենսաանա</w:t>
            </w:r>
            <w:r w:rsidRPr="00834D52">
              <w:rPr>
                <w:rFonts w:ascii="Sylfaen" w:hAnsi="Sylfaen"/>
                <w:sz w:val="24"/>
                <w:szCs w:val="24"/>
                <w:lang w:val="en-US"/>
              </w:rPr>
              <w:t>-</w:t>
            </w:r>
            <w:r w:rsidRPr="00834D52">
              <w:rPr>
                <w:rFonts w:ascii="Sylfaen" w:hAnsi="Sylfaen"/>
                <w:sz w:val="24"/>
                <w:szCs w:val="24"/>
              </w:rPr>
              <w:t>լոգային</w:t>
            </w:r>
          </w:p>
        </w:tc>
        <w:tc>
          <w:tcPr>
            <w:tcW w:w="1417" w:type="dxa"/>
            <w:tcBorders>
              <w:top w:val="single" w:sz="4" w:space="0" w:color="auto"/>
              <w:left w:val="single" w:sz="4" w:space="0" w:color="auto"/>
              <w:bottom w:val="single" w:sz="4" w:space="0" w:color="auto"/>
              <w:right w:val="single" w:sz="4" w:space="0" w:color="auto"/>
            </w:tcBorders>
            <w:vAlign w:val="center"/>
          </w:tcPr>
          <w:p w14:paraId="21580B6A" w14:textId="77777777" w:rsidR="006F76EB" w:rsidRPr="00834D52" w:rsidRDefault="006F76EB" w:rsidP="00F71229">
            <w:pPr>
              <w:spacing w:after="120" w:line="240" w:lineRule="auto"/>
              <w:ind w:right="51"/>
              <w:jc w:val="center"/>
              <w:rPr>
                <w:rFonts w:ascii="Sylfaen" w:eastAsia="Times New Roman" w:hAnsi="Sylfaen" w:cs="Times New Roman"/>
                <w:sz w:val="24"/>
                <w:szCs w:val="24"/>
              </w:rPr>
            </w:pPr>
            <w:r w:rsidRPr="00834D52">
              <w:rPr>
                <w:rFonts w:ascii="Sylfaen" w:hAnsi="Sylfaen"/>
                <w:sz w:val="24"/>
                <w:szCs w:val="24"/>
              </w:rPr>
              <w:t>պատվաստանյութեր (շիճուկներ)</w:t>
            </w:r>
          </w:p>
        </w:tc>
        <w:tc>
          <w:tcPr>
            <w:tcW w:w="1559" w:type="dxa"/>
            <w:tcBorders>
              <w:top w:val="single" w:sz="4" w:space="0" w:color="auto"/>
              <w:left w:val="single" w:sz="4" w:space="0" w:color="auto"/>
              <w:bottom w:val="single" w:sz="4" w:space="0" w:color="auto"/>
              <w:right w:val="single" w:sz="4" w:space="0" w:color="auto"/>
            </w:tcBorders>
            <w:vAlign w:val="center"/>
          </w:tcPr>
          <w:p w14:paraId="49BAB700" w14:textId="77777777" w:rsidR="006F76EB" w:rsidRPr="00834D52" w:rsidRDefault="006F76EB" w:rsidP="00F71229">
            <w:pPr>
              <w:spacing w:after="120" w:line="240" w:lineRule="auto"/>
              <w:ind w:left="21"/>
              <w:jc w:val="center"/>
              <w:rPr>
                <w:rFonts w:ascii="Sylfaen" w:eastAsia="Times New Roman" w:hAnsi="Sylfaen" w:cs="Times New Roman"/>
                <w:sz w:val="24"/>
                <w:szCs w:val="24"/>
              </w:rPr>
            </w:pPr>
            <w:r w:rsidRPr="00834D52">
              <w:rPr>
                <w:rFonts w:ascii="Sylfaen" w:hAnsi="Sylfaen"/>
                <w:sz w:val="24"/>
                <w:szCs w:val="24"/>
              </w:rPr>
              <w:t>հոմեոպաթիկ</w:t>
            </w:r>
          </w:p>
        </w:tc>
        <w:tc>
          <w:tcPr>
            <w:tcW w:w="1701" w:type="dxa"/>
            <w:tcBorders>
              <w:top w:val="single" w:sz="4" w:space="0" w:color="auto"/>
              <w:left w:val="single" w:sz="4" w:space="0" w:color="auto"/>
              <w:bottom w:val="single" w:sz="4" w:space="0" w:color="auto"/>
              <w:right w:val="single" w:sz="4" w:space="0" w:color="auto"/>
            </w:tcBorders>
            <w:vAlign w:val="center"/>
          </w:tcPr>
          <w:p w14:paraId="1B0B5E82" w14:textId="77777777" w:rsidR="006F76EB" w:rsidRPr="00834D52" w:rsidRDefault="006F76EB" w:rsidP="00F71229">
            <w:pPr>
              <w:spacing w:after="120" w:line="240" w:lineRule="auto"/>
              <w:ind w:left="64" w:right="43"/>
              <w:jc w:val="center"/>
              <w:rPr>
                <w:rFonts w:ascii="Sylfaen" w:eastAsia="Times New Roman" w:hAnsi="Sylfaen" w:cs="Times New Roman"/>
                <w:sz w:val="24"/>
                <w:szCs w:val="24"/>
              </w:rPr>
            </w:pPr>
            <w:r w:rsidRPr="00834D52">
              <w:rPr>
                <w:rFonts w:ascii="Sylfaen" w:hAnsi="Sylfaen"/>
                <w:sz w:val="24"/>
                <w:szCs w:val="24"/>
              </w:rPr>
              <w:t>Հոմեոպաթիկ (պարզեցված դոսյե)</w:t>
            </w:r>
          </w:p>
        </w:tc>
        <w:tc>
          <w:tcPr>
            <w:tcW w:w="1275" w:type="dxa"/>
            <w:tcBorders>
              <w:top w:val="single" w:sz="4" w:space="0" w:color="auto"/>
              <w:left w:val="single" w:sz="4" w:space="0" w:color="auto"/>
              <w:bottom w:val="single" w:sz="4" w:space="0" w:color="auto"/>
              <w:right w:val="single" w:sz="4" w:space="0" w:color="auto"/>
            </w:tcBorders>
            <w:vAlign w:val="center"/>
          </w:tcPr>
          <w:p w14:paraId="1E355D19" w14:textId="77777777" w:rsidR="006F76EB" w:rsidRPr="00834D52" w:rsidRDefault="006F76EB" w:rsidP="00F71229">
            <w:pPr>
              <w:spacing w:after="120" w:line="240" w:lineRule="auto"/>
              <w:ind w:left="21"/>
              <w:jc w:val="center"/>
              <w:rPr>
                <w:rFonts w:ascii="Sylfaen" w:eastAsia="Times New Roman" w:hAnsi="Sylfaen" w:cs="Times New Roman"/>
                <w:sz w:val="24"/>
                <w:szCs w:val="24"/>
              </w:rPr>
            </w:pPr>
            <w:r w:rsidRPr="00834D52">
              <w:rPr>
                <w:rFonts w:ascii="Sylfaen" w:hAnsi="Sylfaen"/>
                <w:sz w:val="24"/>
                <w:szCs w:val="24"/>
              </w:rPr>
              <w:t>բուսական</w:t>
            </w:r>
          </w:p>
        </w:tc>
        <w:tc>
          <w:tcPr>
            <w:tcW w:w="1560" w:type="dxa"/>
            <w:tcBorders>
              <w:top w:val="single" w:sz="4" w:space="0" w:color="auto"/>
              <w:left w:val="single" w:sz="4" w:space="0" w:color="auto"/>
              <w:bottom w:val="single" w:sz="4" w:space="0" w:color="auto"/>
              <w:right w:val="single" w:sz="4" w:space="0" w:color="auto"/>
            </w:tcBorders>
            <w:vAlign w:val="center"/>
          </w:tcPr>
          <w:p w14:paraId="00414095" w14:textId="77777777" w:rsidR="006F76EB" w:rsidRPr="00834D52" w:rsidRDefault="006F76EB" w:rsidP="00F71229">
            <w:pPr>
              <w:spacing w:after="120" w:line="240" w:lineRule="auto"/>
              <w:jc w:val="center"/>
              <w:rPr>
                <w:rFonts w:ascii="Sylfaen" w:eastAsia="Times New Roman" w:hAnsi="Sylfaen" w:cs="Times New Roman"/>
                <w:sz w:val="24"/>
                <w:szCs w:val="24"/>
              </w:rPr>
            </w:pPr>
            <w:r w:rsidRPr="00834D52">
              <w:rPr>
                <w:rFonts w:ascii="Sylfaen" w:hAnsi="Sylfaen"/>
                <w:sz w:val="24"/>
                <w:szCs w:val="24"/>
              </w:rPr>
              <w:t>բուսական (պարզեցված դոսյե)</w:t>
            </w:r>
          </w:p>
        </w:tc>
      </w:tr>
      <w:tr w:rsidR="006F76EB" w:rsidRPr="00834D52" w14:paraId="75D1295D" w14:textId="77777777" w:rsidTr="001A24A9">
        <w:trPr>
          <w:jc w:val="center"/>
        </w:trPr>
        <w:tc>
          <w:tcPr>
            <w:tcW w:w="14884" w:type="dxa"/>
            <w:gridSpan w:val="10"/>
            <w:tcBorders>
              <w:top w:val="single" w:sz="4" w:space="0" w:color="auto"/>
              <w:left w:val="single" w:sz="4" w:space="0" w:color="auto"/>
              <w:bottom w:val="single" w:sz="4" w:space="0" w:color="auto"/>
              <w:right w:val="single" w:sz="4" w:space="0" w:color="auto"/>
            </w:tcBorders>
            <w:vAlign w:val="center"/>
          </w:tcPr>
          <w:p w14:paraId="492399D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ՄՈԴՈՒԼ 1. ՎԱՐՉԱԿԱՆ ՏԵՂԵԿԱՏՎՈՒԹՅՈՒՆ</w:t>
            </w:r>
          </w:p>
        </w:tc>
      </w:tr>
      <w:tr w:rsidR="006F76EB" w:rsidRPr="00834D52" w14:paraId="2C919642" w14:textId="77777777" w:rsidTr="001A24A9">
        <w:trPr>
          <w:jc w:val="center"/>
        </w:trPr>
        <w:tc>
          <w:tcPr>
            <w:tcW w:w="1134" w:type="dxa"/>
            <w:tcBorders>
              <w:top w:val="nil"/>
              <w:left w:val="nil"/>
              <w:bottom w:val="nil"/>
              <w:right w:val="nil"/>
            </w:tcBorders>
            <w:vAlign w:val="center"/>
          </w:tcPr>
          <w:p w14:paraId="742CBC5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1.0.</w:t>
            </w:r>
          </w:p>
        </w:tc>
        <w:tc>
          <w:tcPr>
            <w:tcW w:w="1276" w:type="dxa"/>
            <w:tcBorders>
              <w:top w:val="nil"/>
              <w:left w:val="nil"/>
              <w:bottom w:val="nil"/>
              <w:right w:val="nil"/>
            </w:tcBorders>
            <w:vAlign w:val="center"/>
          </w:tcPr>
          <w:p w14:paraId="73420A47" w14:textId="77777777" w:rsidR="006F76EB" w:rsidRPr="00834D52" w:rsidRDefault="006F76EB" w:rsidP="000B3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47913A4E" w14:textId="77777777" w:rsidR="006F76EB" w:rsidRPr="00834D52" w:rsidRDefault="006F76EB" w:rsidP="000B3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976AD8F"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8ED1E04"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BA55BD7"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21C11F86"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08E3180C"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0B1E38F6"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17BFC7A"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5BFD6637" w14:textId="77777777" w:rsidTr="001A24A9">
        <w:trPr>
          <w:jc w:val="center"/>
        </w:trPr>
        <w:tc>
          <w:tcPr>
            <w:tcW w:w="1134" w:type="dxa"/>
            <w:tcBorders>
              <w:top w:val="nil"/>
              <w:left w:val="nil"/>
              <w:bottom w:val="nil"/>
              <w:right w:val="nil"/>
            </w:tcBorders>
            <w:vAlign w:val="center"/>
          </w:tcPr>
          <w:p w14:paraId="683E35D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w:t>
            </w:r>
          </w:p>
        </w:tc>
        <w:tc>
          <w:tcPr>
            <w:tcW w:w="1276" w:type="dxa"/>
            <w:tcBorders>
              <w:top w:val="nil"/>
              <w:left w:val="nil"/>
              <w:bottom w:val="nil"/>
              <w:right w:val="nil"/>
            </w:tcBorders>
            <w:vAlign w:val="center"/>
          </w:tcPr>
          <w:p w14:paraId="35A39CF2" w14:textId="77777777" w:rsidR="006F76EB" w:rsidRPr="00834D52" w:rsidRDefault="006F76EB" w:rsidP="00DF7AD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0C8B9B7" w14:textId="77777777" w:rsidR="006F76EB" w:rsidRPr="00834D52" w:rsidRDefault="006F76EB" w:rsidP="00D774F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F899E77" w14:textId="77777777" w:rsidR="006F76EB" w:rsidRPr="00834D52" w:rsidRDefault="006F76EB" w:rsidP="00D774F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D90EDCF" w14:textId="77777777" w:rsidR="006F76EB" w:rsidRPr="00834D52" w:rsidRDefault="006F76EB" w:rsidP="00D774F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2BFFE8FB" w14:textId="77777777" w:rsidR="006F76EB" w:rsidRPr="00834D52" w:rsidRDefault="006F76EB" w:rsidP="00F734F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1399A34D" w14:textId="77777777" w:rsidR="006F76EB" w:rsidRPr="00834D52" w:rsidRDefault="006F76EB" w:rsidP="00F734F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081A8AB5" w14:textId="77777777" w:rsidR="006F76EB" w:rsidRPr="00834D52" w:rsidRDefault="006F76EB" w:rsidP="00F734F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7D47EB09" w14:textId="77777777" w:rsidR="006F76EB" w:rsidRPr="00834D52" w:rsidRDefault="006F76EB" w:rsidP="00F734F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B10BBB2" w14:textId="77777777" w:rsidR="006F76EB" w:rsidRPr="00834D52" w:rsidRDefault="006F76EB" w:rsidP="00F734F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6D6C0B28" w14:textId="77777777" w:rsidTr="001A24A9">
        <w:trPr>
          <w:jc w:val="center"/>
        </w:trPr>
        <w:tc>
          <w:tcPr>
            <w:tcW w:w="1134" w:type="dxa"/>
            <w:tcBorders>
              <w:top w:val="nil"/>
              <w:left w:val="nil"/>
              <w:bottom w:val="nil"/>
              <w:right w:val="nil"/>
            </w:tcBorders>
            <w:vAlign w:val="center"/>
          </w:tcPr>
          <w:p w14:paraId="234741E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w:t>
            </w:r>
          </w:p>
        </w:tc>
        <w:tc>
          <w:tcPr>
            <w:tcW w:w="1276" w:type="dxa"/>
            <w:tcBorders>
              <w:top w:val="nil"/>
              <w:left w:val="nil"/>
              <w:bottom w:val="nil"/>
              <w:right w:val="nil"/>
            </w:tcBorders>
            <w:vAlign w:val="center"/>
          </w:tcPr>
          <w:p w14:paraId="7FB8AA76"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6A7065C1"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74FC84BC"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167D2885"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5A88327C"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3605936B"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0EF53795"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7061FC15"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7A10B13B"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7B42CDFF" w14:textId="77777777" w:rsidTr="001A24A9">
        <w:trPr>
          <w:jc w:val="center"/>
        </w:trPr>
        <w:tc>
          <w:tcPr>
            <w:tcW w:w="1134" w:type="dxa"/>
            <w:tcBorders>
              <w:top w:val="nil"/>
              <w:left w:val="nil"/>
              <w:bottom w:val="nil"/>
              <w:right w:val="nil"/>
            </w:tcBorders>
            <w:vAlign w:val="center"/>
          </w:tcPr>
          <w:p w14:paraId="64F4FEE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1.2.1.</w:t>
            </w:r>
          </w:p>
        </w:tc>
        <w:tc>
          <w:tcPr>
            <w:tcW w:w="1276" w:type="dxa"/>
            <w:tcBorders>
              <w:top w:val="nil"/>
              <w:left w:val="nil"/>
              <w:bottom w:val="nil"/>
              <w:right w:val="nil"/>
            </w:tcBorders>
            <w:vAlign w:val="center"/>
          </w:tcPr>
          <w:p w14:paraId="25E4E4FA"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9310F9A"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4A307D68"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147DF4A"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D4DF1EC"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246D4FC"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26590E6"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6D74C116"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3205AA9"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2062B13" w14:textId="77777777" w:rsidTr="001A24A9">
        <w:trPr>
          <w:jc w:val="center"/>
        </w:trPr>
        <w:tc>
          <w:tcPr>
            <w:tcW w:w="1134" w:type="dxa"/>
            <w:tcBorders>
              <w:top w:val="nil"/>
              <w:left w:val="nil"/>
              <w:bottom w:val="nil"/>
              <w:right w:val="nil"/>
            </w:tcBorders>
            <w:vAlign w:val="center"/>
          </w:tcPr>
          <w:p w14:paraId="4CE5B03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1.2.2.</w:t>
            </w:r>
          </w:p>
        </w:tc>
        <w:tc>
          <w:tcPr>
            <w:tcW w:w="1276" w:type="dxa"/>
            <w:tcBorders>
              <w:top w:val="nil"/>
              <w:left w:val="nil"/>
              <w:bottom w:val="nil"/>
              <w:right w:val="nil"/>
            </w:tcBorders>
            <w:vAlign w:val="center"/>
          </w:tcPr>
          <w:p w14:paraId="22A5FC22"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4C66923"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ABC33D0"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11C9313"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042F195"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33AA503"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BD95F1F"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3D230BD8"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48A204F" w14:textId="77777777" w:rsidR="006F76EB" w:rsidRPr="00834D52" w:rsidRDefault="006F76EB" w:rsidP="00AC208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280225D" w14:textId="77777777" w:rsidTr="001A24A9">
        <w:trPr>
          <w:jc w:val="center"/>
        </w:trPr>
        <w:tc>
          <w:tcPr>
            <w:tcW w:w="1134" w:type="dxa"/>
            <w:tcBorders>
              <w:top w:val="nil"/>
              <w:left w:val="nil"/>
              <w:bottom w:val="nil"/>
              <w:right w:val="nil"/>
            </w:tcBorders>
            <w:vAlign w:val="center"/>
          </w:tcPr>
          <w:p w14:paraId="01AF507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1.2.3.</w:t>
            </w:r>
          </w:p>
        </w:tc>
        <w:tc>
          <w:tcPr>
            <w:tcW w:w="1276" w:type="dxa"/>
            <w:tcBorders>
              <w:top w:val="nil"/>
              <w:left w:val="nil"/>
              <w:bottom w:val="nil"/>
              <w:right w:val="nil"/>
            </w:tcBorders>
            <w:vAlign w:val="center"/>
          </w:tcPr>
          <w:p w14:paraId="3DAED9E5"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7E9F8E9"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65FF07DD"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3DDA7FE"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98274AB"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CC2A334"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1FBEEFC"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90C255F" w14:textId="77777777" w:rsidR="006F76EB" w:rsidRPr="00834D52" w:rsidRDefault="006F76EB" w:rsidP="00486CE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2026F9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500E9EB" w14:textId="77777777" w:rsidTr="001A24A9">
        <w:trPr>
          <w:jc w:val="center"/>
        </w:trPr>
        <w:tc>
          <w:tcPr>
            <w:tcW w:w="1134" w:type="dxa"/>
            <w:tcBorders>
              <w:top w:val="nil"/>
              <w:left w:val="nil"/>
              <w:bottom w:val="nil"/>
              <w:right w:val="nil"/>
            </w:tcBorders>
            <w:vAlign w:val="center"/>
          </w:tcPr>
          <w:p w14:paraId="78B3253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1.2.4.</w:t>
            </w:r>
          </w:p>
        </w:tc>
        <w:tc>
          <w:tcPr>
            <w:tcW w:w="1276" w:type="dxa"/>
            <w:tcBorders>
              <w:top w:val="nil"/>
              <w:left w:val="nil"/>
              <w:bottom w:val="nil"/>
              <w:right w:val="nil"/>
            </w:tcBorders>
            <w:vAlign w:val="center"/>
          </w:tcPr>
          <w:p w14:paraId="0BA6F716"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984" w:type="dxa"/>
            <w:tcBorders>
              <w:top w:val="nil"/>
              <w:left w:val="nil"/>
              <w:bottom w:val="nil"/>
              <w:right w:val="nil"/>
            </w:tcBorders>
            <w:vAlign w:val="center"/>
          </w:tcPr>
          <w:p w14:paraId="1F61CDA7"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418" w:type="dxa"/>
            <w:tcBorders>
              <w:top w:val="nil"/>
              <w:left w:val="nil"/>
              <w:bottom w:val="nil"/>
              <w:right w:val="nil"/>
            </w:tcBorders>
            <w:vAlign w:val="center"/>
          </w:tcPr>
          <w:p w14:paraId="061B3E29"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560" w:type="dxa"/>
            <w:tcBorders>
              <w:top w:val="nil"/>
              <w:left w:val="nil"/>
              <w:bottom w:val="nil"/>
              <w:right w:val="nil"/>
            </w:tcBorders>
            <w:vAlign w:val="center"/>
          </w:tcPr>
          <w:p w14:paraId="5E2C711A"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417" w:type="dxa"/>
            <w:tcBorders>
              <w:top w:val="nil"/>
              <w:left w:val="nil"/>
              <w:bottom w:val="nil"/>
              <w:right w:val="nil"/>
            </w:tcBorders>
            <w:vAlign w:val="center"/>
          </w:tcPr>
          <w:p w14:paraId="69FBD3DA"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559" w:type="dxa"/>
            <w:tcBorders>
              <w:top w:val="nil"/>
              <w:left w:val="nil"/>
              <w:bottom w:val="nil"/>
              <w:right w:val="nil"/>
            </w:tcBorders>
            <w:vAlign w:val="center"/>
          </w:tcPr>
          <w:p w14:paraId="7CFB3120"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B989E26"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38F7E5A8"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9322D4F"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r>
      <w:tr w:rsidR="006F76EB" w:rsidRPr="00834D52" w14:paraId="4CD12C35" w14:textId="77777777" w:rsidTr="001A24A9">
        <w:trPr>
          <w:jc w:val="center"/>
        </w:trPr>
        <w:tc>
          <w:tcPr>
            <w:tcW w:w="1134" w:type="dxa"/>
            <w:tcBorders>
              <w:top w:val="nil"/>
              <w:left w:val="nil"/>
              <w:bottom w:val="nil"/>
              <w:right w:val="nil"/>
            </w:tcBorders>
            <w:vAlign w:val="center"/>
          </w:tcPr>
          <w:p w14:paraId="7F1ABB6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1.2.5.</w:t>
            </w:r>
          </w:p>
        </w:tc>
        <w:tc>
          <w:tcPr>
            <w:tcW w:w="1276" w:type="dxa"/>
            <w:tcBorders>
              <w:top w:val="nil"/>
              <w:left w:val="nil"/>
              <w:bottom w:val="nil"/>
              <w:right w:val="nil"/>
            </w:tcBorders>
            <w:vAlign w:val="center"/>
          </w:tcPr>
          <w:p w14:paraId="3F935E5E"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984" w:type="dxa"/>
            <w:tcBorders>
              <w:top w:val="nil"/>
              <w:left w:val="nil"/>
              <w:bottom w:val="nil"/>
              <w:right w:val="nil"/>
            </w:tcBorders>
            <w:vAlign w:val="center"/>
          </w:tcPr>
          <w:p w14:paraId="139805CE"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418" w:type="dxa"/>
            <w:tcBorders>
              <w:top w:val="nil"/>
              <w:left w:val="nil"/>
              <w:bottom w:val="nil"/>
              <w:right w:val="nil"/>
            </w:tcBorders>
            <w:vAlign w:val="center"/>
          </w:tcPr>
          <w:p w14:paraId="4A237884"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560" w:type="dxa"/>
            <w:tcBorders>
              <w:top w:val="nil"/>
              <w:left w:val="nil"/>
              <w:bottom w:val="nil"/>
              <w:right w:val="nil"/>
            </w:tcBorders>
            <w:vAlign w:val="center"/>
          </w:tcPr>
          <w:p w14:paraId="4DD34122"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417" w:type="dxa"/>
            <w:tcBorders>
              <w:top w:val="nil"/>
              <w:left w:val="nil"/>
              <w:bottom w:val="nil"/>
              <w:right w:val="nil"/>
            </w:tcBorders>
            <w:vAlign w:val="center"/>
          </w:tcPr>
          <w:p w14:paraId="3C76A5BF" w14:textId="77777777" w:rsidR="006F76EB" w:rsidRPr="00834D52" w:rsidRDefault="006F76EB" w:rsidP="008048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804804" w:rsidRPr="00834D52">
              <w:rPr>
                <w:rFonts w:ascii="Sylfaen" w:hAnsi="Sylfaen"/>
                <w:sz w:val="24"/>
                <w:szCs w:val="24"/>
              </w:rPr>
              <w:t>+</w:t>
            </w:r>
            <w:r w:rsidRPr="00834D52">
              <w:rPr>
                <w:rFonts w:ascii="Sylfaen" w:hAnsi="Sylfaen"/>
                <w:sz w:val="24"/>
                <w:szCs w:val="24"/>
              </w:rPr>
              <w:t>)</w:t>
            </w:r>
          </w:p>
        </w:tc>
        <w:tc>
          <w:tcPr>
            <w:tcW w:w="1559" w:type="dxa"/>
            <w:tcBorders>
              <w:top w:val="nil"/>
              <w:left w:val="nil"/>
              <w:bottom w:val="nil"/>
              <w:right w:val="nil"/>
            </w:tcBorders>
            <w:vAlign w:val="center"/>
          </w:tcPr>
          <w:p w14:paraId="2EC1558C"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9FBA870"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56799C97"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27926C6" w14:textId="77777777" w:rsidR="006F76EB" w:rsidRPr="00834D52" w:rsidRDefault="00804804" w:rsidP="00F71229">
            <w:pPr>
              <w:spacing w:after="120" w:line="240" w:lineRule="auto"/>
              <w:ind w:right="-8"/>
              <w:jc w:val="center"/>
              <w:rPr>
                <w:rFonts w:ascii="Sylfaen" w:hAnsi="Sylfaen"/>
                <w:sz w:val="24"/>
                <w:szCs w:val="24"/>
              </w:rPr>
            </w:pPr>
            <w:r w:rsidRPr="00834D52">
              <w:rPr>
                <w:rFonts w:ascii="Sylfaen" w:hAnsi="Sylfaen"/>
                <w:sz w:val="24"/>
                <w:szCs w:val="24"/>
              </w:rPr>
              <w:t>-</w:t>
            </w:r>
          </w:p>
        </w:tc>
      </w:tr>
      <w:tr w:rsidR="006F76EB" w:rsidRPr="00834D52" w14:paraId="41B5864E" w14:textId="77777777" w:rsidTr="001A24A9">
        <w:trPr>
          <w:jc w:val="center"/>
        </w:trPr>
        <w:tc>
          <w:tcPr>
            <w:tcW w:w="1134" w:type="dxa"/>
            <w:tcBorders>
              <w:top w:val="nil"/>
              <w:left w:val="nil"/>
              <w:bottom w:val="nil"/>
              <w:right w:val="nil"/>
            </w:tcBorders>
            <w:vAlign w:val="center"/>
          </w:tcPr>
          <w:p w14:paraId="0F99C28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1.2.6.</w:t>
            </w:r>
          </w:p>
        </w:tc>
        <w:tc>
          <w:tcPr>
            <w:tcW w:w="1276" w:type="dxa"/>
            <w:tcBorders>
              <w:top w:val="nil"/>
              <w:left w:val="nil"/>
              <w:bottom w:val="nil"/>
              <w:right w:val="nil"/>
            </w:tcBorders>
            <w:vAlign w:val="center"/>
          </w:tcPr>
          <w:p w14:paraId="18C85D4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E8176E" w:rsidRPr="00834D52">
              <w:rPr>
                <w:rFonts w:ascii="Sylfaen" w:hAnsi="Sylfaen"/>
                <w:sz w:val="24"/>
                <w:szCs w:val="24"/>
              </w:rPr>
              <w:t>+</w:t>
            </w:r>
            <w:r w:rsidRPr="00834D52">
              <w:rPr>
                <w:rFonts w:ascii="Sylfaen" w:hAnsi="Sylfaen"/>
                <w:sz w:val="24"/>
                <w:szCs w:val="24"/>
              </w:rPr>
              <w:t>)</w:t>
            </w:r>
          </w:p>
        </w:tc>
        <w:tc>
          <w:tcPr>
            <w:tcW w:w="1984" w:type="dxa"/>
            <w:tcBorders>
              <w:top w:val="nil"/>
              <w:left w:val="nil"/>
              <w:bottom w:val="nil"/>
              <w:right w:val="nil"/>
            </w:tcBorders>
            <w:vAlign w:val="center"/>
          </w:tcPr>
          <w:p w14:paraId="59AF5B63"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E8176E" w:rsidRPr="00834D52">
              <w:rPr>
                <w:rFonts w:ascii="Sylfaen" w:hAnsi="Sylfaen"/>
                <w:sz w:val="24"/>
                <w:szCs w:val="24"/>
              </w:rPr>
              <w:t>+</w:t>
            </w:r>
            <w:r w:rsidRPr="00834D52">
              <w:rPr>
                <w:rFonts w:ascii="Sylfaen" w:hAnsi="Sylfaen"/>
                <w:sz w:val="24"/>
                <w:szCs w:val="24"/>
              </w:rPr>
              <w:t>)</w:t>
            </w:r>
          </w:p>
        </w:tc>
        <w:tc>
          <w:tcPr>
            <w:tcW w:w="1418" w:type="dxa"/>
            <w:tcBorders>
              <w:top w:val="nil"/>
              <w:left w:val="nil"/>
              <w:bottom w:val="nil"/>
              <w:right w:val="nil"/>
            </w:tcBorders>
            <w:vAlign w:val="center"/>
          </w:tcPr>
          <w:p w14:paraId="3751C2B3"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E8176E" w:rsidRPr="00834D52">
              <w:rPr>
                <w:rFonts w:ascii="Sylfaen" w:hAnsi="Sylfaen"/>
                <w:sz w:val="24"/>
                <w:szCs w:val="24"/>
              </w:rPr>
              <w:t>+</w:t>
            </w:r>
            <w:r w:rsidRPr="00834D52">
              <w:rPr>
                <w:rFonts w:ascii="Sylfaen" w:hAnsi="Sylfaen"/>
                <w:sz w:val="24"/>
                <w:szCs w:val="24"/>
              </w:rPr>
              <w:t>)</w:t>
            </w:r>
          </w:p>
        </w:tc>
        <w:tc>
          <w:tcPr>
            <w:tcW w:w="1560" w:type="dxa"/>
            <w:tcBorders>
              <w:top w:val="nil"/>
              <w:left w:val="nil"/>
              <w:bottom w:val="nil"/>
              <w:right w:val="nil"/>
            </w:tcBorders>
            <w:vAlign w:val="center"/>
          </w:tcPr>
          <w:p w14:paraId="56A72FC8"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E8176E" w:rsidRPr="00834D52">
              <w:rPr>
                <w:rFonts w:ascii="Sylfaen" w:hAnsi="Sylfaen"/>
                <w:sz w:val="24"/>
                <w:szCs w:val="24"/>
              </w:rPr>
              <w:t>+</w:t>
            </w:r>
            <w:r w:rsidRPr="00834D52">
              <w:rPr>
                <w:rFonts w:ascii="Sylfaen" w:hAnsi="Sylfaen"/>
                <w:sz w:val="24"/>
                <w:szCs w:val="24"/>
              </w:rPr>
              <w:t>)</w:t>
            </w:r>
          </w:p>
        </w:tc>
        <w:tc>
          <w:tcPr>
            <w:tcW w:w="1417" w:type="dxa"/>
            <w:tcBorders>
              <w:top w:val="nil"/>
              <w:left w:val="nil"/>
              <w:bottom w:val="nil"/>
              <w:right w:val="nil"/>
            </w:tcBorders>
            <w:vAlign w:val="center"/>
          </w:tcPr>
          <w:p w14:paraId="66E0F4EE"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E8176E" w:rsidRPr="00834D52">
              <w:rPr>
                <w:rFonts w:ascii="Sylfaen" w:hAnsi="Sylfaen"/>
                <w:sz w:val="24"/>
                <w:szCs w:val="24"/>
              </w:rPr>
              <w:t>+</w:t>
            </w:r>
            <w:r w:rsidRPr="00834D52">
              <w:rPr>
                <w:rFonts w:ascii="Sylfaen" w:hAnsi="Sylfaen"/>
                <w:sz w:val="24"/>
                <w:szCs w:val="24"/>
              </w:rPr>
              <w:t>)</w:t>
            </w:r>
          </w:p>
        </w:tc>
        <w:tc>
          <w:tcPr>
            <w:tcW w:w="1559" w:type="dxa"/>
            <w:tcBorders>
              <w:top w:val="nil"/>
              <w:left w:val="nil"/>
              <w:bottom w:val="nil"/>
              <w:right w:val="nil"/>
            </w:tcBorders>
            <w:vAlign w:val="center"/>
          </w:tcPr>
          <w:p w14:paraId="5F21302A" w14:textId="77777777" w:rsidR="006F76EB" w:rsidRPr="00834D52" w:rsidRDefault="00E8176E"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741B611" w14:textId="77777777" w:rsidR="006F76EB" w:rsidRPr="00834D52" w:rsidRDefault="00E8176E"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EF278DA" w14:textId="77777777" w:rsidR="006F76EB" w:rsidRPr="00834D52" w:rsidRDefault="00E8176E"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7131265" w14:textId="77777777" w:rsidR="006F76EB" w:rsidRPr="00834D52" w:rsidRDefault="00E8176E" w:rsidP="00F71229">
            <w:pPr>
              <w:spacing w:after="120" w:line="240" w:lineRule="auto"/>
              <w:ind w:right="-8"/>
              <w:jc w:val="center"/>
              <w:rPr>
                <w:rFonts w:ascii="Sylfaen" w:hAnsi="Sylfaen"/>
                <w:sz w:val="24"/>
                <w:szCs w:val="24"/>
              </w:rPr>
            </w:pPr>
            <w:r w:rsidRPr="00834D52">
              <w:rPr>
                <w:rFonts w:ascii="Sylfaen" w:hAnsi="Sylfaen"/>
                <w:sz w:val="24"/>
                <w:szCs w:val="24"/>
              </w:rPr>
              <w:t>-</w:t>
            </w:r>
          </w:p>
        </w:tc>
      </w:tr>
      <w:tr w:rsidR="006F76EB" w:rsidRPr="00834D52" w14:paraId="65918E9D" w14:textId="77777777" w:rsidTr="001A24A9">
        <w:trPr>
          <w:jc w:val="center"/>
        </w:trPr>
        <w:tc>
          <w:tcPr>
            <w:tcW w:w="1134" w:type="dxa"/>
            <w:tcBorders>
              <w:top w:val="nil"/>
              <w:left w:val="nil"/>
              <w:bottom w:val="nil"/>
              <w:right w:val="nil"/>
            </w:tcBorders>
            <w:vAlign w:val="center"/>
          </w:tcPr>
          <w:p w14:paraId="6BEE417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1.3.</w:t>
            </w:r>
          </w:p>
        </w:tc>
        <w:tc>
          <w:tcPr>
            <w:tcW w:w="1276" w:type="dxa"/>
            <w:tcBorders>
              <w:top w:val="nil"/>
              <w:left w:val="nil"/>
              <w:bottom w:val="nil"/>
              <w:right w:val="nil"/>
            </w:tcBorders>
            <w:vAlign w:val="center"/>
          </w:tcPr>
          <w:p w14:paraId="2E5257FC"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28062BCD"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0FCB155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7CFF6BF8"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6DDE0B77"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7A6AD687"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6FB4F473"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0C12BFEA"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6592948"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4EE303C8" w14:textId="77777777" w:rsidTr="001A24A9">
        <w:trPr>
          <w:jc w:val="center"/>
        </w:trPr>
        <w:tc>
          <w:tcPr>
            <w:tcW w:w="1134" w:type="dxa"/>
            <w:tcBorders>
              <w:top w:val="nil"/>
              <w:left w:val="nil"/>
              <w:bottom w:val="nil"/>
              <w:right w:val="nil"/>
            </w:tcBorders>
            <w:vAlign w:val="center"/>
          </w:tcPr>
          <w:p w14:paraId="1C19069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1.3.1.</w:t>
            </w:r>
          </w:p>
        </w:tc>
        <w:tc>
          <w:tcPr>
            <w:tcW w:w="1276" w:type="dxa"/>
            <w:tcBorders>
              <w:top w:val="nil"/>
              <w:left w:val="nil"/>
              <w:bottom w:val="nil"/>
              <w:right w:val="nil"/>
            </w:tcBorders>
            <w:vAlign w:val="center"/>
          </w:tcPr>
          <w:p w14:paraId="071F65E4"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A949FC9" w14:textId="77777777" w:rsidR="006F76EB" w:rsidRPr="00834D52" w:rsidRDefault="006F76EB" w:rsidP="00E8176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2C2D88F"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7FAA710"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5E7E4BB"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C3EC48E"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F0767A2"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A1F88FF"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6D75BA1" w14:textId="77777777" w:rsidR="006F76EB" w:rsidRPr="00834D52" w:rsidRDefault="006F76EB" w:rsidP="00FB543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A498D1F" w14:textId="77777777" w:rsidTr="001A24A9">
        <w:trPr>
          <w:jc w:val="center"/>
        </w:trPr>
        <w:tc>
          <w:tcPr>
            <w:tcW w:w="1134" w:type="dxa"/>
            <w:tcBorders>
              <w:top w:val="nil"/>
              <w:left w:val="nil"/>
              <w:bottom w:val="nil"/>
              <w:right w:val="nil"/>
            </w:tcBorders>
            <w:vAlign w:val="center"/>
          </w:tcPr>
          <w:p w14:paraId="7614F6C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1.3.2.</w:t>
            </w:r>
          </w:p>
        </w:tc>
        <w:tc>
          <w:tcPr>
            <w:tcW w:w="1276" w:type="dxa"/>
            <w:tcBorders>
              <w:top w:val="nil"/>
              <w:left w:val="nil"/>
              <w:bottom w:val="nil"/>
              <w:right w:val="nil"/>
            </w:tcBorders>
            <w:vAlign w:val="center"/>
          </w:tcPr>
          <w:p w14:paraId="1D4B47EC"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C12DB4F"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A7456D8"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C345ABC"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F89B5F7"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1168C23"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90AF886"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4ED1667"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6815292"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A501BC5" w14:textId="77777777" w:rsidTr="001A24A9">
        <w:trPr>
          <w:jc w:val="center"/>
        </w:trPr>
        <w:tc>
          <w:tcPr>
            <w:tcW w:w="1134" w:type="dxa"/>
            <w:tcBorders>
              <w:top w:val="nil"/>
              <w:left w:val="nil"/>
              <w:bottom w:val="nil"/>
              <w:right w:val="nil"/>
            </w:tcBorders>
            <w:vAlign w:val="center"/>
          </w:tcPr>
          <w:p w14:paraId="32B7AF2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1.3.3.</w:t>
            </w:r>
          </w:p>
        </w:tc>
        <w:tc>
          <w:tcPr>
            <w:tcW w:w="1276" w:type="dxa"/>
            <w:tcBorders>
              <w:top w:val="nil"/>
              <w:left w:val="nil"/>
              <w:bottom w:val="nil"/>
              <w:right w:val="nil"/>
            </w:tcBorders>
            <w:vAlign w:val="center"/>
          </w:tcPr>
          <w:p w14:paraId="4BC87E82"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5AA124C"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88CDBFB" w14:textId="77777777" w:rsidR="006F76EB" w:rsidRPr="00834D52" w:rsidRDefault="006F76EB" w:rsidP="0005387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EDFF503"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50C76335"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0C35D068"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0788EBB1"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AC6AAD6"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22949CCD"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567015A7" w14:textId="77777777" w:rsidTr="001A24A9">
        <w:trPr>
          <w:jc w:val="center"/>
        </w:trPr>
        <w:tc>
          <w:tcPr>
            <w:tcW w:w="1134" w:type="dxa"/>
            <w:tcBorders>
              <w:top w:val="nil"/>
              <w:left w:val="nil"/>
              <w:bottom w:val="nil"/>
              <w:right w:val="nil"/>
            </w:tcBorders>
            <w:vAlign w:val="center"/>
          </w:tcPr>
          <w:p w14:paraId="2E46305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1.3.4.</w:t>
            </w:r>
          </w:p>
        </w:tc>
        <w:tc>
          <w:tcPr>
            <w:tcW w:w="1276" w:type="dxa"/>
            <w:tcBorders>
              <w:top w:val="nil"/>
              <w:left w:val="nil"/>
              <w:bottom w:val="nil"/>
              <w:right w:val="nil"/>
            </w:tcBorders>
            <w:vAlign w:val="center"/>
          </w:tcPr>
          <w:p w14:paraId="55B9DA17"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5F085B0"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74588E8"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1A1E933"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B7C16DB"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285946B"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99BA3F0"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72ED0A92"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ABB81D2" w14:textId="77777777" w:rsidR="006F76EB" w:rsidRPr="00834D52" w:rsidRDefault="006F76EB" w:rsidP="00114AC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62F1C5FD" w14:textId="77777777" w:rsidTr="001A24A9">
        <w:trPr>
          <w:jc w:val="center"/>
        </w:trPr>
        <w:tc>
          <w:tcPr>
            <w:tcW w:w="1134" w:type="dxa"/>
            <w:tcBorders>
              <w:top w:val="nil"/>
              <w:left w:val="nil"/>
              <w:bottom w:val="nil"/>
              <w:right w:val="nil"/>
            </w:tcBorders>
            <w:vAlign w:val="center"/>
          </w:tcPr>
          <w:p w14:paraId="24FB82A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1.4.</w:t>
            </w:r>
          </w:p>
        </w:tc>
        <w:tc>
          <w:tcPr>
            <w:tcW w:w="1276" w:type="dxa"/>
            <w:tcBorders>
              <w:top w:val="nil"/>
              <w:left w:val="nil"/>
              <w:bottom w:val="nil"/>
              <w:right w:val="nil"/>
            </w:tcBorders>
            <w:vAlign w:val="center"/>
          </w:tcPr>
          <w:p w14:paraId="5FCF47F5"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2E086A4E"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13E3062F"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770F65F"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13A83DF5"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385D9042"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78740CEA"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17205E27"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FC8BC6F"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4E4617A1" w14:textId="77777777" w:rsidTr="001A24A9">
        <w:trPr>
          <w:jc w:val="center"/>
        </w:trPr>
        <w:tc>
          <w:tcPr>
            <w:tcW w:w="1134" w:type="dxa"/>
            <w:tcBorders>
              <w:top w:val="nil"/>
              <w:left w:val="nil"/>
              <w:bottom w:val="nil"/>
              <w:right w:val="nil"/>
            </w:tcBorders>
            <w:vAlign w:val="center"/>
          </w:tcPr>
          <w:p w14:paraId="704568A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1.4.1.</w:t>
            </w:r>
          </w:p>
        </w:tc>
        <w:tc>
          <w:tcPr>
            <w:tcW w:w="1276" w:type="dxa"/>
            <w:tcBorders>
              <w:top w:val="nil"/>
              <w:left w:val="nil"/>
              <w:bottom w:val="nil"/>
              <w:right w:val="nil"/>
            </w:tcBorders>
            <w:vAlign w:val="center"/>
          </w:tcPr>
          <w:p w14:paraId="31CDB906"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3C3FDE8A"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79493948"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927879B"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C89EFF1"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2C6D7F3"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01577899"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3BA279A"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78E0441" w14:textId="77777777" w:rsidR="006F76EB" w:rsidRPr="00834D52" w:rsidRDefault="006F76EB" w:rsidP="00D55D9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07CCCE79" w14:textId="77777777" w:rsidTr="001A24A9">
        <w:trPr>
          <w:jc w:val="center"/>
        </w:trPr>
        <w:tc>
          <w:tcPr>
            <w:tcW w:w="1134" w:type="dxa"/>
            <w:tcBorders>
              <w:top w:val="nil"/>
              <w:left w:val="nil"/>
              <w:bottom w:val="nil"/>
              <w:right w:val="nil"/>
            </w:tcBorders>
            <w:vAlign w:val="center"/>
          </w:tcPr>
          <w:p w14:paraId="72054DC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1.5.</w:t>
            </w:r>
          </w:p>
        </w:tc>
        <w:tc>
          <w:tcPr>
            <w:tcW w:w="1276" w:type="dxa"/>
            <w:tcBorders>
              <w:top w:val="nil"/>
              <w:left w:val="nil"/>
              <w:bottom w:val="nil"/>
              <w:right w:val="nil"/>
            </w:tcBorders>
            <w:vAlign w:val="center"/>
          </w:tcPr>
          <w:p w14:paraId="5084F640"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17E7C8F3"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3214C1A2"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615535E5"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1D018E6D"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5FC1A537"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22EC22F9"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580664D3"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856DF9A"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64480017" w14:textId="77777777" w:rsidTr="001A24A9">
        <w:trPr>
          <w:jc w:val="center"/>
        </w:trPr>
        <w:tc>
          <w:tcPr>
            <w:tcW w:w="1134" w:type="dxa"/>
            <w:tcBorders>
              <w:top w:val="nil"/>
              <w:left w:val="nil"/>
              <w:bottom w:val="nil"/>
              <w:right w:val="nil"/>
            </w:tcBorders>
            <w:vAlign w:val="center"/>
          </w:tcPr>
          <w:p w14:paraId="57199BE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1.5.1.</w:t>
            </w:r>
          </w:p>
        </w:tc>
        <w:tc>
          <w:tcPr>
            <w:tcW w:w="1276" w:type="dxa"/>
            <w:tcBorders>
              <w:top w:val="nil"/>
              <w:left w:val="nil"/>
              <w:bottom w:val="nil"/>
              <w:right w:val="nil"/>
            </w:tcBorders>
            <w:vAlign w:val="center"/>
          </w:tcPr>
          <w:p w14:paraId="0C7F8DC5"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146E7AA9"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6D6472CB"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194C7F0"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3C71523"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0782961E"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7C5AB6E"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354E6D15"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CBB9B78" w14:textId="77777777" w:rsidR="006F76EB" w:rsidRPr="00834D52" w:rsidRDefault="006F76EB" w:rsidP="00B130D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75BF1584" w14:textId="77777777" w:rsidTr="001A24A9">
        <w:trPr>
          <w:jc w:val="center"/>
        </w:trPr>
        <w:tc>
          <w:tcPr>
            <w:tcW w:w="1134" w:type="dxa"/>
            <w:tcBorders>
              <w:top w:val="nil"/>
              <w:left w:val="nil"/>
              <w:bottom w:val="nil"/>
              <w:right w:val="nil"/>
            </w:tcBorders>
            <w:vAlign w:val="center"/>
          </w:tcPr>
          <w:p w14:paraId="393866B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1.5.2.</w:t>
            </w:r>
          </w:p>
        </w:tc>
        <w:tc>
          <w:tcPr>
            <w:tcW w:w="1276" w:type="dxa"/>
            <w:tcBorders>
              <w:top w:val="nil"/>
              <w:left w:val="nil"/>
              <w:bottom w:val="nil"/>
              <w:right w:val="nil"/>
            </w:tcBorders>
            <w:vAlign w:val="center"/>
          </w:tcPr>
          <w:p w14:paraId="43C97E0E"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3F5B76E"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48AB05C"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79C7224"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7D3BC2C"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20E6CFCF"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1BEFA49" w14:textId="77777777" w:rsidR="006F76EB" w:rsidRPr="00834D52" w:rsidRDefault="00314778"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694A44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F6FF963" w14:textId="77777777" w:rsidR="006F76EB" w:rsidRPr="00834D52" w:rsidRDefault="006F76EB" w:rsidP="0031477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DCFD646" w14:textId="77777777" w:rsidTr="001A24A9">
        <w:trPr>
          <w:jc w:val="center"/>
        </w:trPr>
        <w:tc>
          <w:tcPr>
            <w:tcW w:w="1134" w:type="dxa"/>
            <w:tcBorders>
              <w:top w:val="nil"/>
              <w:left w:val="nil"/>
              <w:bottom w:val="nil"/>
              <w:right w:val="nil"/>
            </w:tcBorders>
            <w:vAlign w:val="center"/>
          </w:tcPr>
          <w:p w14:paraId="3EA95EE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1.5.3.</w:t>
            </w:r>
          </w:p>
        </w:tc>
        <w:tc>
          <w:tcPr>
            <w:tcW w:w="1276" w:type="dxa"/>
            <w:tcBorders>
              <w:top w:val="nil"/>
              <w:left w:val="nil"/>
              <w:bottom w:val="nil"/>
              <w:right w:val="nil"/>
            </w:tcBorders>
            <w:vAlign w:val="center"/>
          </w:tcPr>
          <w:p w14:paraId="02AA2713" w14:textId="77777777" w:rsidR="006F76EB" w:rsidRPr="00834D52" w:rsidRDefault="006F76EB" w:rsidP="00C76C8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4A9BA00" w14:textId="77777777" w:rsidR="006F76EB" w:rsidRPr="00834D52" w:rsidRDefault="006F76EB" w:rsidP="00C76C8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E517164" w14:textId="77777777" w:rsidR="006F76EB" w:rsidRPr="00834D52" w:rsidRDefault="006F76EB" w:rsidP="00C76C8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577B635" w14:textId="77777777" w:rsidR="006F76EB" w:rsidRPr="00834D52" w:rsidRDefault="006F76EB" w:rsidP="00C76C8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3C9607E4" w14:textId="77777777" w:rsidR="006F76EB" w:rsidRPr="00834D52" w:rsidRDefault="006F76EB" w:rsidP="00C76C8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2B97A3C" w14:textId="77777777" w:rsidR="006F76EB" w:rsidRPr="00834D52" w:rsidRDefault="00C76C8E"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009349C9" w14:textId="77777777" w:rsidR="006F76EB" w:rsidRPr="00834D52" w:rsidRDefault="00C76C8E"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D824C68" w14:textId="77777777" w:rsidR="006F76EB" w:rsidRPr="00834D52" w:rsidRDefault="00C76C8E" w:rsidP="00F71229">
            <w:pPr>
              <w:spacing w:after="120" w:line="240" w:lineRule="auto"/>
              <w:ind w:right="-8"/>
              <w:jc w:val="center"/>
              <w:rPr>
                <w:rFonts w:ascii="Sylfaen" w:eastAsia="Times New Roman" w:hAnsi="Sylfaen" w:cs="Times New Roman"/>
                <w:sz w:val="24"/>
                <w:szCs w:val="24"/>
              </w:rPr>
            </w:pPr>
            <w:r>
              <w:rPr>
                <w:rFonts w:ascii="Sylfaen" w:hAnsi="Sylfaen"/>
                <w:sz w:val="24"/>
                <w:szCs w:val="24"/>
              </w:rPr>
              <w:t>-</w:t>
            </w:r>
          </w:p>
        </w:tc>
        <w:tc>
          <w:tcPr>
            <w:tcW w:w="1560" w:type="dxa"/>
            <w:tcBorders>
              <w:top w:val="nil"/>
              <w:left w:val="nil"/>
              <w:bottom w:val="nil"/>
              <w:right w:val="nil"/>
            </w:tcBorders>
            <w:vAlign w:val="center"/>
          </w:tcPr>
          <w:p w14:paraId="7ABA07F2" w14:textId="77777777" w:rsidR="006F76EB" w:rsidRPr="00834D52" w:rsidRDefault="00C76C8E" w:rsidP="00F71229">
            <w:pPr>
              <w:spacing w:after="120" w:line="240" w:lineRule="auto"/>
              <w:ind w:right="-8"/>
              <w:jc w:val="center"/>
              <w:rPr>
                <w:rFonts w:ascii="Sylfaen" w:eastAsia="Times New Roman" w:hAnsi="Sylfaen" w:cs="Times New Roman"/>
                <w:sz w:val="24"/>
                <w:szCs w:val="24"/>
              </w:rPr>
            </w:pPr>
            <w:r>
              <w:rPr>
                <w:rFonts w:ascii="Sylfaen" w:hAnsi="Sylfaen"/>
                <w:sz w:val="24"/>
                <w:szCs w:val="24"/>
              </w:rPr>
              <w:t>-</w:t>
            </w:r>
          </w:p>
        </w:tc>
      </w:tr>
      <w:tr w:rsidR="006F76EB" w:rsidRPr="00834D52" w14:paraId="4AF9573F" w14:textId="77777777" w:rsidTr="001A24A9">
        <w:trPr>
          <w:jc w:val="center"/>
        </w:trPr>
        <w:tc>
          <w:tcPr>
            <w:tcW w:w="1134" w:type="dxa"/>
            <w:tcBorders>
              <w:top w:val="nil"/>
              <w:left w:val="nil"/>
              <w:bottom w:val="nil"/>
              <w:right w:val="nil"/>
            </w:tcBorders>
            <w:vAlign w:val="center"/>
          </w:tcPr>
          <w:p w14:paraId="395C075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1.5.4.</w:t>
            </w:r>
          </w:p>
        </w:tc>
        <w:tc>
          <w:tcPr>
            <w:tcW w:w="1276" w:type="dxa"/>
            <w:tcBorders>
              <w:top w:val="nil"/>
              <w:left w:val="nil"/>
              <w:bottom w:val="nil"/>
              <w:right w:val="nil"/>
            </w:tcBorders>
            <w:vAlign w:val="center"/>
          </w:tcPr>
          <w:p w14:paraId="1A9221CC"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3274162"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4404483C"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353F48B"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6D97506"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0F6B6330"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25C8F398" w14:textId="77777777" w:rsidR="006F76EB" w:rsidRPr="00834D52" w:rsidRDefault="005E7C0D"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935C8D0"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F65AF0E" w14:textId="77777777" w:rsidR="006F76EB" w:rsidRPr="00834D52" w:rsidRDefault="006F76EB" w:rsidP="005E7C0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FB250F2" w14:textId="77777777" w:rsidTr="001A24A9">
        <w:trPr>
          <w:jc w:val="center"/>
        </w:trPr>
        <w:tc>
          <w:tcPr>
            <w:tcW w:w="1134" w:type="dxa"/>
            <w:tcBorders>
              <w:top w:val="nil"/>
              <w:left w:val="nil"/>
              <w:bottom w:val="nil"/>
              <w:right w:val="nil"/>
            </w:tcBorders>
            <w:vAlign w:val="center"/>
          </w:tcPr>
          <w:p w14:paraId="5A94D75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1.5.5.</w:t>
            </w:r>
          </w:p>
        </w:tc>
        <w:tc>
          <w:tcPr>
            <w:tcW w:w="1276" w:type="dxa"/>
            <w:tcBorders>
              <w:top w:val="nil"/>
              <w:left w:val="nil"/>
              <w:bottom w:val="nil"/>
              <w:right w:val="nil"/>
            </w:tcBorders>
            <w:vAlign w:val="center"/>
          </w:tcPr>
          <w:p w14:paraId="1B15FB13"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354DD2E8"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05A0E14E"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07F02AB5"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23A30C2A"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11679C1"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649BA6E"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581D538"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00DD9539"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630555D2" w14:textId="77777777" w:rsidTr="001A24A9">
        <w:trPr>
          <w:jc w:val="center"/>
        </w:trPr>
        <w:tc>
          <w:tcPr>
            <w:tcW w:w="1134" w:type="dxa"/>
            <w:tcBorders>
              <w:top w:val="nil"/>
              <w:left w:val="nil"/>
              <w:bottom w:val="nil"/>
              <w:right w:val="nil"/>
            </w:tcBorders>
            <w:vAlign w:val="center"/>
          </w:tcPr>
          <w:p w14:paraId="06D8385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1.5.6.</w:t>
            </w:r>
          </w:p>
        </w:tc>
        <w:tc>
          <w:tcPr>
            <w:tcW w:w="1276" w:type="dxa"/>
            <w:tcBorders>
              <w:top w:val="nil"/>
              <w:left w:val="nil"/>
              <w:bottom w:val="nil"/>
              <w:right w:val="nil"/>
            </w:tcBorders>
            <w:vAlign w:val="center"/>
          </w:tcPr>
          <w:p w14:paraId="2FF57004"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5D71534"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57555E3B" w14:textId="77777777" w:rsidR="006F76EB" w:rsidRPr="00834D52" w:rsidRDefault="008F5F14"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010CDE78"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5BF5DAF" w14:textId="77777777" w:rsidR="006F76EB" w:rsidRPr="00834D52" w:rsidRDefault="006F76EB" w:rsidP="008F5F1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7979F656" w14:textId="77777777" w:rsidR="006F76EB" w:rsidRPr="00834D52" w:rsidRDefault="00663B3E"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56EC3EE5" w14:textId="77777777" w:rsidR="006F76EB" w:rsidRPr="00834D52" w:rsidRDefault="00663B3E"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035C88F" w14:textId="77777777" w:rsidR="006F76EB" w:rsidRPr="00834D52" w:rsidRDefault="00663B3E"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6A5BE8F8" w14:textId="77777777" w:rsidR="006F76EB" w:rsidRPr="00834D52" w:rsidRDefault="00663B3E"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06008436" w14:textId="77777777" w:rsidTr="001A24A9">
        <w:trPr>
          <w:jc w:val="center"/>
        </w:trPr>
        <w:tc>
          <w:tcPr>
            <w:tcW w:w="1134" w:type="dxa"/>
            <w:tcBorders>
              <w:top w:val="nil"/>
              <w:left w:val="nil"/>
              <w:bottom w:val="nil"/>
              <w:right w:val="nil"/>
            </w:tcBorders>
            <w:vAlign w:val="center"/>
          </w:tcPr>
          <w:p w14:paraId="5EBA506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w:t>
            </w:r>
          </w:p>
        </w:tc>
        <w:tc>
          <w:tcPr>
            <w:tcW w:w="1276" w:type="dxa"/>
            <w:tcBorders>
              <w:top w:val="nil"/>
              <w:left w:val="nil"/>
              <w:bottom w:val="nil"/>
              <w:right w:val="nil"/>
            </w:tcBorders>
            <w:vAlign w:val="center"/>
          </w:tcPr>
          <w:p w14:paraId="2CAC3818"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65F0CA08"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61838286"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D3344EC"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02E7B6FA"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0E6352DD"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136EAB0D"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17A4D623"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29B7A9F9"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0843D446" w14:textId="77777777" w:rsidTr="001A24A9">
        <w:trPr>
          <w:jc w:val="center"/>
        </w:trPr>
        <w:tc>
          <w:tcPr>
            <w:tcW w:w="1134" w:type="dxa"/>
            <w:tcBorders>
              <w:top w:val="nil"/>
              <w:left w:val="nil"/>
              <w:bottom w:val="nil"/>
              <w:right w:val="nil"/>
            </w:tcBorders>
            <w:vAlign w:val="center"/>
          </w:tcPr>
          <w:p w14:paraId="5CDCBB6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1.6.1</w:t>
            </w:r>
          </w:p>
        </w:tc>
        <w:tc>
          <w:tcPr>
            <w:tcW w:w="1276" w:type="dxa"/>
            <w:tcBorders>
              <w:top w:val="nil"/>
              <w:left w:val="nil"/>
              <w:bottom w:val="nil"/>
              <w:right w:val="nil"/>
            </w:tcBorders>
            <w:vAlign w:val="center"/>
          </w:tcPr>
          <w:p w14:paraId="1B0EF3BB"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7A90A14"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AF45D23"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BA5C036"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10CBAFD0"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71246A05"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D042925"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3AB3680"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A569FF9" w14:textId="77777777" w:rsidR="006F76EB" w:rsidRPr="00834D52" w:rsidRDefault="006F76EB" w:rsidP="00A552F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21710BC6" w14:textId="77777777" w:rsidTr="001A24A9">
        <w:trPr>
          <w:jc w:val="center"/>
        </w:trPr>
        <w:tc>
          <w:tcPr>
            <w:tcW w:w="1134" w:type="dxa"/>
            <w:tcBorders>
              <w:top w:val="nil"/>
              <w:left w:val="nil"/>
              <w:bottom w:val="nil"/>
              <w:right w:val="nil"/>
            </w:tcBorders>
            <w:vAlign w:val="center"/>
          </w:tcPr>
          <w:p w14:paraId="2D33397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1.6.2.</w:t>
            </w:r>
          </w:p>
        </w:tc>
        <w:tc>
          <w:tcPr>
            <w:tcW w:w="1276" w:type="dxa"/>
            <w:tcBorders>
              <w:top w:val="nil"/>
              <w:left w:val="nil"/>
              <w:bottom w:val="nil"/>
              <w:right w:val="nil"/>
            </w:tcBorders>
            <w:vAlign w:val="center"/>
          </w:tcPr>
          <w:p w14:paraId="2130D211"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8F79A5C"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7DE9A07F"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6BF299E"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EAC4114"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1497C52"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B3350E5"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5AB34BBD"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B6D76BD" w14:textId="77777777" w:rsidR="006F76EB" w:rsidRPr="00834D52" w:rsidRDefault="006F76EB" w:rsidP="00DE22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1FA77E3F" w14:textId="77777777" w:rsidTr="001A24A9">
        <w:trPr>
          <w:jc w:val="center"/>
        </w:trPr>
        <w:tc>
          <w:tcPr>
            <w:tcW w:w="1134" w:type="dxa"/>
            <w:tcBorders>
              <w:top w:val="nil"/>
              <w:left w:val="nil"/>
              <w:bottom w:val="nil"/>
              <w:right w:val="nil"/>
            </w:tcBorders>
            <w:vAlign w:val="center"/>
          </w:tcPr>
          <w:p w14:paraId="08DD7FF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1.6.3.</w:t>
            </w:r>
          </w:p>
        </w:tc>
        <w:tc>
          <w:tcPr>
            <w:tcW w:w="1276" w:type="dxa"/>
            <w:tcBorders>
              <w:top w:val="nil"/>
              <w:left w:val="nil"/>
              <w:bottom w:val="nil"/>
              <w:right w:val="nil"/>
            </w:tcBorders>
            <w:vAlign w:val="center"/>
          </w:tcPr>
          <w:p w14:paraId="34835384"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D27C38C"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6985AE78"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8831EEA"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945D15E"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67E0599"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BA9A17D"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55A50942"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7610271"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D7C38B5" w14:textId="77777777" w:rsidTr="001A24A9">
        <w:trPr>
          <w:jc w:val="center"/>
        </w:trPr>
        <w:tc>
          <w:tcPr>
            <w:tcW w:w="1134" w:type="dxa"/>
            <w:tcBorders>
              <w:top w:val="nil"/>
              <w:left w:val="nil"/>
              <w:bottom w:val="nil"/>
              <w:right w:val="nil"/>
            </w:tcBorders>
            <w:vAlign w:val="center"/>
          </w:tcPr>
          <w:p w14:paraId="77A2FE84"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430B00A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8257D8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714E9DD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009C7C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4241D73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72EA1C3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1A485B0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64D892C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6383AC77" w14:textId="77777777" w:rsidR="006F76EB" w:rsidRPr="00834D52" w:rsidRDefault="006F76EB" w:rsidP="00B55B10">
            <w:pPr>
              <w:spacing w:after="120" w:line="240" w:lineRule="auto"/>
              <w:ind w:right="-8"/>
              <w:jc w:val="center"/>
              <w:rPr>
                <w:rFonts w:ascii="Sylfaen" w:eastAsia="Times New Roman" w:hAnsi="Sylfaen" w:cs="Times New Roman"/>
                <w:sz w:val="24"/>
                <w:szCs w:val="24"/>
              </w:rPr>
            </w:pPr>
          </w:p>
        </w:tc>
      </w:tr>
      <w:tr w:rsidR="006F76EB" w:rsidRPr="00834D52" w14:paraId="4AF792B2" w14:textId="77777777" w:rsidTr="001A24A9">
        <w:trPr>
          <w:jc w:val="center"/>
        </w:trPr>
        <w:tc>
          <w:tcPr>
            <w:tcW w:w="1134" w:type="dxa"/>
            <w:tcBorders>
              <w:top w:val="nil"/>
              <w:left w:val="nil"/>
              <w:bottom w:val="nil"/>
              <w:right w:val="nil"/>
            </w:tcBorders>
            <w:vAlign w:val="center"/>
          </w:tcPr>
          <w:p w14:paraId="31984BA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1.6.4.</w:t>
            </w:r>
          </w:p>
        </w:tc>
        <w:tc>
          <w:tcPr>
            <w:tcW w:w="1276" w:type="dxa"/>
            <w:tcBorders>
              <w:top w:val="nil"/>
              <w:left w:val="nil"/>
              <w:bottom w:val="nil"/>
              <w:right w:val="nil"/>
            </w:tcBorders>
            <w:vAlign w:val="center"/>
          </w:tcPr>
          <w:p w14:paraId="3A9BF01C"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B5727DC"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9A0D38D"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9E09DA5"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590C791D"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E8F33E3"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6C669F3"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64DB6AFD"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0A45256"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94B2589" w14:textId="77777777" w:rsidTr="001A24A9">
        <w:trPr>
          <w:jc w:val="center"/>
        </w:trPr>
        <w:tc>
          <w:tcPr>
            <w:tcW w:w="1134" w:type="dxa"/>
            <w:tcBorders>
              <w:top w:val="nil"/>
              <w:left w:val="nil"/>
              <w:bottom w:val="nil"/>
              <w:right w:val="nil"/>
            </w:tcBorders>
            <w:vAlign w:val="center"/>
          </w:tcPr>
          <w:p w14:paraId="16C38E4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1.6.5.</w:t>
            </w:r>
          </w:p>
        </w:tc>
        <w:tc>
          <w:tcPr>
            <w:tcW w:w="1276" w:type="dxa"/>
            <w:tcBorders>
              <w:top w:val="nil"/>
              <w:left w:val="nil"/>
              <w:bottom w:val="nil"/>
              <w:right w:val="nil"/>
            </w:tcBorders>
            <w:vAlign w:val="center"/>
          </w:tcPr>
          <w:p w14:paraId="67353A6A"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00ED67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4457009"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6E7F1F3"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B39AEE1"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EF698AC"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54BDB66"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A2C9486"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B4AA28F" w14:textId="77777777" w:rsidR="006F76EB" w:rsidRPr="00834D52" w:rsidRDefault="006F76EB" w:rsidP="001C13D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74032C6F" w14:textId="77777777" w:rsidTr="001A24A9">
        <w:trPr>
          <w:jc w:val="center"/>
        </w:trPr>
        <w:tc>
          <w:tcPr>
            <w:tcW w:w="1134" w:type="dxa"/>
            <w:tcBorders>
              <w:top w:val="nil"/>
              <w:left w:val="nil"/>
              <w:bottom w:val="nil"/>
              <w:right w:val="nil"/>
            </w:tcBorders>
            <w:vAlign w:val="center"/>
          </w:tcPr>
          <w:p w14:paraId="12EBCD9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1.6.6.</w:t>
            </w:r>
          </w:p>
        </w:tc>
        <w:tc>
          <w:tcPr>
            <w:tcW w:w="1276" w:type="dxa"/>
            <w:tcBorders>
              <w:top w:val="nil"/>
              <w:left w:val="nil"/>
              <w:bottom w:val="nil"/>
              <w:right w:val="nil"/>
            </w:tcBorders>
            <w:vAlign w:val="center"/>
          </w:tcPr>
          <w:p w14:paraId="7B3AE501"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1D705EB0"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7AED3B35"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A056613"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3C29D0A0"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2B356F5B"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BFDB8BF"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0FA54431"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235C63E" w14:textId="77777777" w:rsidR="006F76EB" w:rsidRPr="00834D52" w:rsidRDefault="006F76EB" w:rsidP="0055203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C82DBA1" w14:textId="77777777" w:rsidTr="001A24A9">
        <w:trPr>
          <w:jc w:val="center"/>
        </w:trPr>
        <w:tc>
          <w:tcPr>
            <w:tcW w:w="1134" w:type="dxa"/>
            <w:tcBorders>
              <w:top w:val="nil"/>
              <w:left w:val="nil"/>
              <w:bottom w:val="nil"/>
              <w:right w:val="nil"/>
            </w:tcBorders>
            <w:vAlign w:val="center"/>
          </w:tcPr>
          <w:p w14:paraId="38CC9E7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1.6.7.</w:t>
            </w:r>
          </w:p>
        </w:tc>
        <w:tc>
          <w:tcPr>
            <w:tcW w:w="1276" w:type="dxa"/>
            <w:tcBorders>
              <w:top w:val="nil"/>
              <w:left w:val="nil"/>
              <w:bottom w:val="nil"/>
              <w:right w:val="nil"/>
            </w:tcBorders>
            <w:vAlign w:val="center"/>
          </w:tcPr>
          <w:p w14:paraId="1CE792FF"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AFF05B8"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48B4FD1"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F81D507"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2D627B1"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6CBD62F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88AFB12"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6CEC1D2"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4EE7ECB"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3FEEF6FB" w14:textId="77777777" w:rsidTr="001A24A9">
        <w:trPr>
          <w:jc w:val="center"/>
        </w:trPr>
        <w:tc>
          <w:tcPr>
            <w:tcW w:w="1134" w:type="dxa"/>
            <w:tcBorders>
              <w:top w:val="nil"/>
              <w:left w:val="nil"/>
              <w:bottom w:val="nil"/>
              <w:right w:val="nil"/>
            </w:tcBorders>
            <w:vAlign w:val="center"/>
          </w:tcPr>
          <w:p w14:paraId="53309DE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1.6.8.</w:t>
            </w:r>
          </w:p>
        </w:tc>
        <w:tc>
          <w:tcPr>
            <w:tcW w:w="1276" w:type="dxa"/>
            <w:tcBorders>
              <w:top w:val="nil"/>
              <w:left w:val="nil"/>
              <w:bottom w:val="nil"/>
              <w:right w:val="nil"/>
            </w:tcBorders>
            <w:vAlign w:val="center"/>
          </w:tcPr>
          <w:p w14:paraId="0B27A9A0"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BA323C3"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C9FB201"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57C92BF"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716A70A"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B131BED" w14:textId="77777777" w:rsidR="006F76EB" w:rsidRPr="00834D52" w:rsidRDefault="006F76EB" w:rsidP="00277AD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7231F26" w14:textId="77777777" w:rsidR="006F76EB" w:rsidRPr="00834D52" w:rsidRDefault="00C9094D" w:rsidP="00F71229">
            <w:pPr>
              <w:spacing w:after="120" w:line="240" w:lineRule="auto"/>
              <w:ind w:right="-8"/>
              <w:jc w:val="center"/>
              <w:rPr>
                <w:rFonts w:ascii="Sylfaen" w:hAnsi="Sylfae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96EDCA8" w14:textId="77777777" w:rsidR="006F76EB" w:rsidRPr="00834D52" w:rsidRDefault="006F76EB" w:rsidP="00C9094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D13E96E" w14:textId="77777777" w:rsidR="006F76EB" w:rsidRPr="00834D52" w:rsidRDefault="006F76EB" w:rsidP="00C9094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1A5E66AC" w14:textId="77777777" w:rsidTr="001A24A9">
        <w:trPr>
          <w:jc w:val="center"/>
        </w:trPr>
        <w:tc>
          <w:tcPr>
            <w:tcW w:w="1134" w:type="dxa"/>
            <w:tcBorders>
              <w:top w:val="nil"/>
              <w:left w:val="nil"/>
              <w:bottom w:val="nil"/>
              <w:right w:val="nil"/>
            </w:tcBorders>
            <w:vAlign w:val="center"/>
          </w:tcPr>
          <w:p w14:paraId="4D85C2B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1.6.9.</w:t>
            </w:r>
          </w:p>
        </w:tc>
        <w:tc>
          <w:tcPr>
            <w:tcW w:w="1276" w:type="dxa"/>
            <w:tcBorders>
              <w:top w:val="nil"/>
              <w:left w:val="nil"/>
              <w:bottom w:val="nil"/>
              <w:right w:val="nil"/>
            </w:tcBorders>
            <w:vAlign w:val="center"/>
          </w:tcPr>
          <w:p w14:paraId="1F8CB869"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48B4F43"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F6CA33F"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5BF5C90"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394ECE63"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1F509025"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70B6AFA8"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2B7DC687"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33604AF" w14:textId="77777777" w:rsidR="006F76EB" w:rsidRPr="00834D52" w:rsidRDefault="006F76EB" w:rsidP="008675E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109BD702" w14:textId="77777777" w:rsidTr="001A24A9">
        <w:trPr>
          <w:jc w:val="center"/>
        </w:trPr>
        <w:tc>
          <w:tcPr>
            <w:tcW w:w="1134" w:type="dxa"/>
            <w:tcBorders>
              <w:top w:val="nil"/>
              <w:left w:val="nil"/>
              <w:bottom w:val="nil"/>
              <w:right w:val="nil"/>
            </w:tcBorders>
            <w:vAlign w:val="center"/>
          </w:tcPr>
          <w:p w14:paraId="329597B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1.6.10.</w:t>
            </w:r>
          </w:p>
        </w:tc>
        <w:tc>
          <w:tcPr>
            <w:tcW w:w="1276" w:type="dxa"/>
            <w:tcBorders>
              <w:top w:val="nil"/>
              <w:left w:val="nil"/>
              <w:bottom w:val="nil"/>
              <w:right w:val="nil"/>
            </w:tcBorders>
            <w:vAlign w:val="center"/>
          </w:tcPr>
          <w:p w14:paraId="2FE95EE2"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6E9C810"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71ACDDFC"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FCCF407"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4BA5E2D"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CBBAF94"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074B8255"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76D3A7E1"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0DC5B00" w14:textId="77777777" w:rsidR="006F76EB" w:rsidRPr="00834D52" w:rsidRDefault="008675E2"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733EE5EA" w14:textId="77777777" w:rsidTr="001A24A9">
        <w:trPr>
          <w:jc w:val="center"/>
        </w:trPr>
        <w:tc>
          <w:tcPr>
            <w:tcW w:w="1134" w:type="dxa"/>
            <w:tcBorders>
              <w:top w:val="nil"/>
              <w:left w:val="nil"/>
              <w:bottom w:val="nil"/>
              <w:right w:val="nil"/>
            </w:tcBorders>
            <w:vAlign w:val="center"/>
          </w:tcPr>
          <w:p w14:paraId="4594308F"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6117A6B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63632F8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6F23AD6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6C0345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56A3D07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6581DC5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41EEF7C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07A3948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985208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B575D73" w14:textId="77777777" w:rsidTr="001A24A9">
        <w:trPr>
          <w:jc w:val="center"/>
        </w:trPr>
        <w:tc>
          <w:tcPr>
            <w:tcW w:w="1134" w:type="dxa"/>
            <w:tcBorders>
              <w:top w:val="nil"/>
              <w:left w:val="nil"/>
              <w:bottom w:val="nil"/>
              <w:right w:val="nil"/>
            </w:tcBorders>
            <w:vAlign w:val="center"/>
          </w:tcPr>
          <w:p w14:paraId="4F07254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1.6.11.</w:t>
            </w:r>
          </w:p>
        </w:tc>
        <w:tc>
          <w:tcPr>
            <w:tcW w:w="1276" w:type="dxa"/>
            <w:tcBorders>
              <w:top w:val="nil"/>
              <w:left w:val="nil"/>
              <w:bottom w:val="nil"/>
              <w:right w:val="nil"/>
            </w:tcBorders>
            <w:vAlign w:val="center"/>
          </w:tcPr>
          <w:p w14:paraId="602E5548"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C8A9D58"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CC33248"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76CAAA2"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EDABE59"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58C550B2"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24B599F4"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65DFDE96"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86AFC21"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13D1ED06" w14:textId="77777777" w:rsidTr="001A24A9">
        <w:trPr>
          <w:jc w:val="center"/>
        </w:trPr>
        <w:tc>
          <w:tcPr>
            <w:tcW w:w="1134" w:type="dxa"/>
            <w:tcBorders>
              <w:top w:val="nil"/>
              <w:left w:val="nil"/>
              <w:bottom w:val="nil"/>
              <w:right w:val="nil"/>
            </w:tcBorders>
            <w:vAlign w:val="center"/>
          </w:tcPr>
          <w:p w14:paraId="01A8C7F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1.7.</w:t>
            </w:r>
          </w:p>
        </w:tc>
        <w:tc>
          <w:tcPr>
            <w:tcW w:w="1276" w:type="dxa"/>
            <w:tcBorders>
              <w:top w:val="nil"/>
              <w:left w:val="nil"/>
              <w:bottom w:val="nil"/>
              <w:right w:val="nil"/>
            </w:tcBorders>
            <w:vAlign w:val="center"/>
          </w:tcPr>
          <w:p w14:paraId="430D0C20"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669711F3"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C9872EA"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F7D5A78"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570470CE"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6068660D"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201FEB0C"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0388FB89"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392677E2"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4FE406EB" w14:textId="77777777" w:rsidTr="001A24A9">
        <w:trPr>
          <w:jc w:val="center"/>
        </w:trPr>
        <w:tc>
          <w:tcPr>
            <w:tcW w:w="1134" w:type="dxa"/>
            <w:tcBorders>
              <w:top w:val="nil"/>
              <w:left w:val="nil"/>
              <w:bottom w:val="nil"/>
              <w:right w:val="nil"/>
            </w:tcBorders>
            <w:vAlign w:val="center"/>
          </w:tcPr>
          <w:p w14:paraId="777EC37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1.7.1</w:t>
            </w:r>
          </w:p>
        </w:tc>
        <w:tc>
          <w:tcPr>
            <w:tcW w:w="1276" w:type="dxa"/>
            <w:tcBorders>
              <w:top w:val="nil"/>
              <w:left w:val="nil"/>
              <w:bottom w:val="nil"/>
              <w:right w:val="nil"/>
            </w:tcBorders>
            <w:vAlign w:val="center"/>
          </w:tcPr>
          <w:p w14:paraId="551C8BBC"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43298270"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A7DE60B"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AEF084B"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F1DE5FB"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90CCBFD"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AFA81DA"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375452F9"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8FFFEF0" w14:textId="77777777" w:rsidR="006F76EB" w:rsidRPr="00834D52" w:rsidRDefault="006F76EB" w:rsidP="004F60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28CCB6D7" w14:textId="77777777" w:rsidTr="001A24A9">
        <w:trPr>
          <w:jc w:val="center"/>
        </w:trPr>
        <w:tc>
          <w:tcPr>
            <w:tcW w:w="1134" w:type="dxa"/>
            <w:tcBorders>
              <w:top w:val="nil"/>
              <w:left w:val="nil"/>
              <w:bottom w:val="nil"/>
              <w:right w:val="nil"/>
            </w:tcBorders>
            <w:vAlign w:val="center"/>
          </w:tcPr>
          <w:p w14:paraId="79EA350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1.7.2.</w:t>
            </w:r>
          </w:p>
        </w:tc>
        <w:tc>
          <w:tcPr>
            <w:tcW w:w="1276" w:type="dxa"/>
            <w:tcBorders>
              <w:top w:val="nil"/>
              <w:left w:val="nil"/>
              <w:bottom w:val="nil"/>
              <w:right w:val="nil"/>
            </w:tcBorders>
            <w:vAlign w:val="center"/>
          </w:tcPr>
          <w:p w14:paraId="2900DDE1"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14CCB4B"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A1FCBD3"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0DB0D62"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E9D371F"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7058AE40"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521AF2F"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84A6123"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87D44FE"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79C41764" w14:textId="77777777" w:rsidTr="001A24A9">
        <w:trPr>
          <w:jc w:val="center"/>
        </w:trPr>
        <w:tc>
          <w:tcPr>
            <w:tcW w:w="1134" w:type="dxa"/>
            <w:tcBorders>
              <w:top w:val="nil"/>
              <w:left w:val="nil"/>
              <w:bottom w:val="nil"/>
              <w:right w:val="nil"/>
            </w:tcBorders>
            <w:vAlign w:val="center"/>
          </w:tcPr>
          <w:p w14:paraId="508F258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1.7.3.</w:t>
            </w:r>
          </w:p>
        </w:tc>
        <w:tc>
          <w:tcPr>
            <w:tcW w:w="1276" w:type="dxa"/>
            <w:tcBorders>
              <w:top w:val="nil"/>
              <w:left w:val="nil"/>
              <w:bottom w:val="nil"/>
              <w:right w:val="nil"/>
            </w:tcBorders>
            <w:vAlign w:val="center"/>
          </w:tcPr>
          <w:p w14:paraId="1E9F9A91"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BF95D14"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874AF24"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F6FE10E"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52199BEB"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B7F6B4D"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22443627"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2DDE2D18"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F74AAAA"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744EDBD3" w14:textId="77777777" w:rsidTr="001A24A9">
        <w:trPr>
          <w:jc w:val="center"/>
        </w:trPr>
        <w:tc>
          <w:tcPr>
            <w:tcW w:w="1134" w:type="dxa"/>
            <w:tcBorders>
              <w:top w:val="nil"/>
              <w:left w:val="nil"/>
              <w:bottom w:val="nil"/>
              <w:right w:val="nil"/>
            </w:tcBorders>
            <w:vAlign w:val="center"/>
          </w:tcPr>
          <w:p w14:paraId="72C25D2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1.8.</w:t>
            </w:r>
          </w:p>
        </w:tc>
        <w:tc>
          <w:tcPr>
            <w:tcW w:w="1276" w:type="dxa"/>
            <w:tcBorders>
              <w:top w:val="nil"/>
              <w:left w:val="nil"/>
              <w:bottom w:val="nil"/>
              <w:right w:val="nil"/>
            </w:tcBorders>
            <w:vAlign w:val="center"/>
          </w:tcPr>
          <w:p w14:paraId="257C6488"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30297446"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15E641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5D339FB3"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208276D6"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4815BD4B"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050BC004"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ED1FDCB"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9023242"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6E288DBE" w14:textId="77777777" w:rsidTr="001A24A9">
        <w:trPr>
          <w:jc w:val="center"/>
        </w:trPr>
        <w:tc>
          <w:tcPr>
            <w:tcW w:w="1134" w:type="dxa"/>
            <w:tcBorders>
              <w:top w:val="nil"/>
              <w:left w:val="nil"/>
              <w:bottom w:val="nil"/>
              <w:right w:val="nil"/>
            </w:tcBorders>
            <w:vAlign w:val="center"/>
          </w:tcPr>
          <w:p w14:paraId="1054234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1.8.1.</w:t>
            </w:r>
          </w:p>
        </w:tc>
        <w:tc>
          <w:tcPr>
            <w:tcW w:w="1276" w:type="dxa"/>
            <w:tcBorders>
              <w:top w:val="nil"/>
              <w:left w:val="nil"/>
              <w:bottom w:val="nil"/>
              <w:right w:val="nil"/>
            </w:tcBorders>
            <w:vAlign w:val="center"/>
          </w:tcPr>
          <w:p w14:paraId="06DAAE9E"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E69A9FC"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6AAE013"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462DCDE"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3FC011AE"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67322AB"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A05C786"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5AC42B81"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2C5ED2C"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261ECB9" w14:textId="77777777" w:rsidTr="001A24A9">
        <w:trPr>
          <w:jc w:val="center"/>
        </w:trPr>
        <w:tc>
          <w:tcPr>
            <w:tcW w:w="1134" w:type="dxa"/>
            <w:tcBorders>
              <w:top w:val="nil"/>
              <w:left w:val="nil"/>
              <w:bottom w:val="nil"/>
              <w:right w:val="nil"/>
            </w:tcBorders>
            <w:vAlign w:val="center"/>
          </w:tcPr>
          <w:p w14:paraId="24D2AD4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1.8.2.</w:t>
            </w:r>
          </w:p>
        </w:tc>
        <w:tc>
          <w:tcPr>
            <w:tcW w:w="1276" w:type="dxa"/>
            <w:tcBorders>
              <w:top w:val="nil"/>
              <w:left w:val="nil"/>
              <w:bottom w:val="nil"/>
              <w:right w:val="nil"/>
            </w:tcBorders>
            <w:vAlign w:val="center"/>
          </w:tcPr>
          <w:p w14:paraId="414E755A"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9F8E17F"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BEFC33D"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821EFFA"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900041D"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0AAB283"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F8F2D98" w14:textId="77777777" w:rsidR="006F76EB" w:rsidRPr="00834D52" w:rsidRDefault="00261E6B"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2D51089" w14:textId="77777777" w:rsidR="006F76EB" w:rsidRPr="00834D52" w:rsidRDefault="006F76EB" w:rsidP="00261E6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2E83C66" w14:textId="77777777" w:rsidR="006F76EB" w:rsidRPr="00834D52" w:rsidRDefault="00261E6B"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C9F402B" w14:textId="77777777" w:rsidTr="001A24A9">
        <w:trPr>
          <w:jc w:val="center"/>
        </w:trPr>
        <w:tc>
          <w:tcPr>
            <w:tcW w:w="1134" w:type="dxa"/>
            <w:tcBorders>
              <w:top w:val="nil"/>
              <w:left w:val="nil"/>
              <w:bottom w:val="nil"/>
              <w:right w:val="nil"/>
            </w:tcBorders>
            <w:vAlign w:val="center"/>
          </w:tcPr>
          <w:p w14:paraId="41C33C9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1.8.3.</w:t>
            </w:r>
          </w:p>
        </w:tc>
        <w:tc>
          <w:tcPr>
            <w:tcW w:w="1276" w:type="dxa"/>
            <w:tcBorders>
              <w:top w:val="nil"/>
              <w:left w:val="nil"/>
              <w:bottom w:val="nil"/>
              <w:right w:val="nil"/>
            </w:tcBorders>
            <w:vAlign w:val="center"/>
          </w:tcPr>
          <w:p w14:paraId="79F930D8"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7D3B831"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404E1507"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E899699"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4F631205"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26B72AA0" w14:textId="77777777" w:rsidR="006F76EB" w:rsidRPr="00834D52" w:rsidRDefault="006F76EB" w:rsidP="00554A7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BEB09AD" w14:textId="77777777" w:rsidR="006F76EB" w:rsidRPr="00834D52" w:rsidRDefault="00554A71"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2DF0B9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1CD50BE" w14:textId="77777777" w:rsidR="006F76EB" w:rsidRPr="00834D52" w:rsidRDefault="00554A71"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179CE266" w14:textId="77777777" w:rsidTr="001A24A9">
        <w:trPr>
          <w:jc w:val="center"/>
        </w:trPr>
        <w:tc>
          <w:tcPr>
            <w:tcW w:w="1134" w:type="dxa"/>
            <w:tcBorders>
              <w:top w:val="nil"/>
              <w:left w:val="nil"/>
              <w:bottom w:val="nil"/>
              <w:right w:val="nil"/>
            </w:tcBorders>
            <w:vAlign w:val="center"/>
          </w:tcPr>
          <w:p w14:paraId="646DA5D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1.8.4.</w:t>
            </w:r>
          </w:p>
        </w:tc>
        <w:tc>
          <w:tcPr>
            <w:tcW w:w="1276" w:type="dxa"/>
            <w:tcBorders>
              <w:top w:val="nil"/>
              <w:left w:val="nil"/>
              <w:bottom w:val="nil"/>
              <w:right w:val="nil"/>
            </w:tcBorders>
            <w:vAlign w:val="center"/>
          </w:tcPr>
          <w:p w14:paraId="5D7FD204"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BA8C40A"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64756C47"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07C7C5ED"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1600B851"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4ABBD24"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3B83CD05" w14:textId="77777777" w:rsidR="006F76EB" w:rsidRPr="00834D52" w:rsidRDefault="002D12E4"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A5D0278" w14:textId="77777777" w:rsidR="006F76EB" w:rsidRPr="00834D52" w:rsidRDefault="006F76EB" w:rsidP="002D12E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D34A4A3" w14:textId="77777777" w:rsidR="006F76EB" w:rsidRPr="00834D52" w:rsidRDefault="002D12E4"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778A079" w14:textId="77777777" w:rsidTr="001A24A9">
        <w:trPr>
          <w:jc w:val="center"/>
        </w:trPr>
        <w:tc>
          <w:tcPr>
            <w:tcW w:w="1134" w:type="dxa"/>
            <w:tcBorders>
              <w:top w:val="nil"/>
              <w:left w:val="nil"/>
              <w:bottom w:val="nil"/>
              <w:right w:val="nil"/>
            </w:tcBorders>
            <w:vAlign w:val="center"/>
          </w:tcPr>
          <w:p w14:paraId="78A62D2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1.9.</w:t>
            </w:r>
          </w:p>
        </w:tc>
        <w:tc>
          <w:tcPr>
            <w:tcW w:w="1276" w:type="dxa"/>
            <w:tcBorders>
              <w:top w:val="nil"/>
              <w:left w:val="nil"/>
              <w:bottom w:val="nil"/>
              <w:right w:val="nil"/>
            </w:tcBorders>
            <w:vAlign w:val="center"/>
          </w:tcPr>
          <w:p w14:paraId="1A1F4A0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3D6790A3"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924897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19BB7D2B"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48BD9EA8"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2D7C6A2D"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1901FD58"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7C60C6E5"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27BB4CA8"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1BFB563E" w14:textId="77777777" w:rsidTr="001A24A9">
        <w:trPr>
          <w:jc w:val="center"/>
        </w:trPr>
        <w:tc>
          <w:tcPr>
            <w:tcW w:w="1134" w:type="dxa"/>
            <w:tcBorders>
              <w:top w:val="nil"/>
              <w:left w:val="nil"/>
              <w:bottom w:val="nil"/>
              <w:right w:val="nil"/>
            </w:tcBorders>
            <w:vAlign w:val="center"/>
          </w:tcPr>
          <w:p w14:paraId="49B11AD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1.9.1.</w:t>
            </w:r>
          </w:p>
        </w:tc>
        <w:tc>
          <w:tcPr>
            <w:tcW w:w="1276" w:type="dxa"/>
            <w:tcBorders>
              <w:top w:val="nil"/>
              <w:left w:val="nil"/>
              <w:bottom w:val="nil"/>
              <w:right w:val="nil"/>
            </w:tcBorders>
            <w:vAlign w:val="center"/>
          </w:tcPr>
          <w:p w14:paraId="2A5ED477" w14:textId="77777777" w:rsidR="006F76EB" w:rsidRPr="00834D52" w:rsidRDefault="006F76EB" w:rsidP="006D49E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13099B78" w14:textId="77777777" w:rsidR="006F76EB" w:rsidRPr="00834D52" w:rsidRDefault="006F76EB" w:rsidP="006D49E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729E13F2" w14:textId="77777777" w:rsidR="006F76EB" w:rsidRPr="00834D52" w:rsidRDefault="006F76EB" w:rsidP="006D49E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5702473" w14:textId="77777777" w:rsidR="006F76EB" w:rsidRPr="00834D52" w:rsidRDefault="006F76EB" w:rsidP="006D49E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2A331B3B" w14:textId="77777777" w:rsidR="006F76EB" w:rsidRPr="00834D52" w:rsidRDefault="006F76EB" w:rsidP="006D49E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05A87CE8" w14:textId="77777777" w:rsidR="006F76EB" w:rsidRPr="00834D52" w:rsidRDefault="006D49E1"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2BCC74EC" w14:textId="77777777" w:rsidR="006F76EB" w:rsidRPr="00834D52" w:rsidRDefault="006D49E1"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5DAE54C1" w14:textId="77777777" w:rsidR="006F76EB" w:rsidRPr="00834D52" w:rsidRDefault="006D49E1"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03F653D9" w14:textId="77777777" w:rsidR="006F76EB" w:rsidRPr="00834D52" w:rsidRDefault="006D49E1"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48DA3283" w14:textId="77777777" w:rsidTr="001A24A9">
        <w:trPr>
          <w:jc w:val="center"/>
        </w:trPr>
        <w:tc>
          <w:tcPr>
            <w:tcW w:w="1134" w:type="dxa"/>
            <w:tcBorders>
              <w:top w:val="nil"/>
              <w:left w:val="nil"/>
              <w:bottom w:val="nil"/>
              <w:right w:val="nil"/>
            </w:tcBorders>
            <w:vAlign w:val="center"/>
          </w:tcPr>
          <w:p w14:paraId="14285B0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1.10.</w:t>
            </w:r>
          </w:p>
        </w:tc>
        <w:tc>
          <w:tcPr>
            <w:tcW w:w="1276" w:type="dxa"/>
            <w:tcBorders>
              <w:top w:val="nil"/>
              <w:left w:val="nil"/>
              <w:bottom w:val="nil"/>
              <w:right w:val="nil"/>
            </w:tcBorders>
            <w:vAlign w:val="center"/>
          </w:tcPr>
          <w:p w14:paraId="6B38A821"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7796E79B"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73401B9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7D707567"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5E54FE1B"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7DA53E3A"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475130E7"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10CDF53F"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84637DF"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60F3C762" w14:textId="77777777" w:rsidTr="001A24A9">
        <w:trPr>
          <w:jc w:val="center"/>
        </w:trPr>
        <w:tc>
          <w:tcPr>
            <w:tcW w:w="1134" w:type="dxa"/>
            <w:tcBorders>
              <w:top w:val="nil"/>
              <w:left w:val="nil"/>
              <w:bottom w:val="nil"/>
              <w:right w:val="nil"/>
            </w:tcBorders>
            <w:vAlign w:val="center"/>
          </w:tcPr>
          <w:p w14:paraId="75D0B6E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1.10.1.</w:t>
            </w:r>
          </w:p>
        </w:tc>
        <w:tc>
          <w:tcPr>
            <w:tcW w:w="1276" w:type="dxa"/>
            <w:tcBorders>
              <w:top w:val="nil"/>
              <w:left w:val="nil"/>
              <w:bottom w:val="nil"/>
              <w:right w:val="nil"/>
            </w:tcBorders>
            <w:vAlign w:val="center"/>
          </w:tcPr>
          <w:p w14:paraId="6305007F"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1F106D7"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6A045DE"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DA50E5E"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7025193E"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5A464B58"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5C5577E"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0EBA6587"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FD59CF9" w14:textId="77777777" w:rsidR="006F76EB" w:rsidRPr="00834D52" w:rsidRDefault="006F76EB" w:rsidP="00BC2E5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68EA837B" w14:textId="77777777" w:rsidTr="001A24A9">
        <w:trPr>
          <w:jc w:val="center"/>
        </w:trPr>
        <w:tc>
          <w:tcPr>
            <w:tcW w:w="1134" w:type="dxa"/>
            <w:tcBorders>
              <w:top w:val="nil"/>
              <w:left w:val="nil"/>
              <w:bottom w:val="nil"/>
              <w:right w:val="nil"/>
            </w:tcBorders>
            <w:vAlign w:val="center"/>
          </w:tcPr>
          <w:p w14:paraId="0334ED0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1.10.2.</w:t>
            </w:r>
          </w:p>
        </w:tc>
        <w:tc>
          <w:tcPr>
            <w:tcW w:w="1276" w:type="dxa"/>
            <w:tcBorders>
              <w:top w:val="nil"/>
              <w:left w:val="nil"/>
              <w:bottom w:val="nil"/>
              <w:right w:val="nil"/>
            </w:tcBorders>
            <w:vAlign w:val="center"/>
          </w:tcPr>
          <w:p w14:paraId="20759A4E"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AAD72BC"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4B178351"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0159F47"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388C535D"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7A66F830"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B4C4EBC"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9756189"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72B7313" w14:textId="77777777" w:rsidR="006F76EB" w:rsidRPr="00834D52" w:rsidRDefault="006F76EB" w:rsidP="00164BD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66831114" w14:textId="77777777" w:rsidTr="001A24A9">
        <w:trPr>
          <w:jc w:val="center"/>
        </w:trPr>
        <w:tc>
          <w:tcPr>
            <w:tcW w:w="1134" w:type="dxa"/>
            <w:tcBorders>
              <w:top w:val="nil"/>
              <w:left w:val="nil"/>
              <w:bottom w:val="nil"/>
              <w:right w:val="nil"/>
            </w:tcBorders>
            <w:vAlign w:val="center"/>
          </w:tcPr>
          <w:p w14:paraId="07C2EEE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1.10.3.</w:t>
            </w:r>
          </w:p>
        </w:tc>
        <w:tc>
          <w:tcPr>
            <w:tcW w:w="1276" w:type="dxa"/>
            <w:tcBorders>
              <w:top w:val="nil"/>
              <w:left w:val="nil"/>
              <w:bottom w:val="nil"/>
              <w:right w:val="nil"/>
            </w:tcBorders>
            <w:vAlign w:val="center"/>
          </w:tcPr>
          <w:p w14:paraId="5C532ED7" w14:textId="77777777" w:rsidR="006F76EB" w:rsidRPr="00834D52" w:rsidRDefault="00164BD9"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7E38C6AB" w14:textId="77777777" w:rsidR="006F76EB" w:rsidRPr="00834D52" w:rsidRDefault="00164BD9"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632A82C8" w14:textId="77777777" w:rsidR="006F76EB" w:rsidRPr="00834D52" w:rsidRDefault="0077226C"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0E82BD0" w14:textId="77777777" w:rsidR="006F76EB" w:rsidRPr="00834D52" w:rsidRDefault="0077226C" w:rsidP="0077226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15E5BFC1" w14:textId="77777777" w:rsidR="006F76EB" w:rsidRPr="00834D52" w:rsidRDefault="0077226C" w:rsidP="0077226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29FA05E3" w14:textId="77777777" w:rsidR="006F76EB" w:rsidRPr="00834D52" w:rsidRDefault="00164BD9"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77C0A6D5" w14:textId="77777777" w:rsidR="006F76EB" w:rsidRPr="00834D52" w:rsidRDefault="00164BD9"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34CD439F" w14:textId="77777777" w:rsidR="006F76EB" w:rsidRPr="00834D52" w:rsidRDefault="00164BD9"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41A8098C" w14:textId="77777777" w:rsidR="006F76EB" w:rsidRPr="00834D52" w:rsidRDefault="00164BD9"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21AF7603" w14:textId="77777777" w:rsidTr="001A24A9">
        <w:trPr>
          <w:jc w:val="center"/>
        </w:trPr>
        <w:tc>
          <w:tcPr>
            <w:tcW w:w="1134" w:type="dxa"/>
            <w:tcBorders>
              <w:top w:val="nil"/>
              <w:left w:val="nil"/>
              <w:bottom w:val="nil"/>
              <w:right w:val="nil"/>
            </w:tcBorders>
            <w:vAlign w:val="center"/>
          </w:tcPr>
          <w:p w14:paraId="4D33289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1.10.4.</w:t>
            </w:r>
          </w:p>
        </w:tc>
        <w:tc>
          <w:tcPr>
            <w:tcW w:w="1276" w:type="dxa"/>
            <w:tcBorders>
              <w:top w:val="nil"/>
              <w:left w:val="nil"/>
              <w:bottom w:val="nil"/>
              <w:right w:val="nil"/>
            </w:tcBorders>
            <w:vAlign w:val="center"/>
          </w:tcPr>
          <w:p w14:paraId="3EA84FFE"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A118CC7"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6E528F66"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054257A"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72EA909"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0417B7E2"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1CF60503"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252B0880"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EF1EA1E" w14:textId="77777777" w:rsidR="006F76EB" w:rsidRPr="00834D52" w:rsidRDefault="006F76EB" w:rsidP="0080170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553E8452" w14:textId="77777777" w:rsidTr="001A24A9">
        <w:trPr>
          <w:jc w:val="center"/>
        </w:trPr>
        <w:tc>
          <w:tcPr>
            <w:tcW w:w="1134" w:type="dxa"/>
            <w:tcBorders>
              <w:top w:val="nil"/>
              <w:left w:val="nil"/>
              <w:bottom w:val="nil"/>
              <w:right w:val="nil"/>
            </w:tcBorders>
            <w:vAlign w:val="center"/>
          </w:tcPr>
          <w:p w14:paraId="634F275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1.11.</w:t>
            </w:r>
          </w:p>
        </w:tc>
        <w:tc>
          <w:tcPr>
            <w:tcW w:w="1276" w:type="dxa"/>
            <w:tcBorders>
              <w:top w:val="nil"/>
              <w:left w:val="nil"/>
              <w:bottom w:val="nil"/>
              <w:right w:val="nil"/>
            </w:tcBorders>
            <w:vAlign w:val="center"/>
          </w:tcPr>
          <w:p w14:paraId="6EA4C457"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420D1CFD"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C1DF898"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4D69B29"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80B59B8"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167DE25B"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76616FDB"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30D2A9C"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7B28547F" w14:textId="77777777" w:rsidR="006F76EB" w:rsidRPr="00834D52" w:rsidRDefault="006F76EB" w:rsidP="0016642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207B5E2" w14:textId="77777777" w:rsidTr="001A24A9">
        <w:trPr>
          <w:jc w:val="center"/>
        </w:trPr>
        <w:tc>
          <w:tcPr>
            <w:tcW w:w="14884" w:type="dxa"/>
            <w:gridSpan w:val="10"/>
            <w:tcBorders>
              <w:top w:val="nil"/>
              <w:left w:val="nil"/>
              <w:bottom w:val="nil"/>
              <w:right w:val="nil"/>
            </w:tcBorders>
            <w:vAlign w:val="center"/>
          </w:tcPr>
          <w:p w14:paraId="5A67251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ՄՈԴՈՒԼ 2. ԸՆԴՀԱՆՈՒՐ ՏԵԽՆԻԿԱԿԱՆ ՓԱՍՏԱԹՂԹԻ ՌԵԶՅՈՒՄԵ</w:t>
            </w:r>
          </w:p>
        </w:tc>
      </w:tr>
      <w:tr w:rsidR="006F76EB" w:rsidRPr="00834D52" w14:paraId="5A2B32AB" w14:textId="77777777" w:rsidTr="001A24A9">
        <w:trPr>
          <w:jc w:val="center"/>
        </w:trPr>
        <w:tc>
          <w:tcPr>
            <w:tcW w:w="1134" w:type="dxa"/>
            <w:tcBorders>
              <w:top w:val="nil"/>
              <w:left w:val="nil"/>
              <w:bottom w:val="nil"/>
              <w:right w:val="nil"/>
            </w:tcBorders>
            <w:vAlign w:val="center"/>
          </w:tcPr>
          <w:p w14:paraId="3CD96B9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2.1.</w:t>
            </w:r>
          </w:p>
        </w:tc>
        <w:tc>
          <w:tcPr>
            <w:tcW w:w="1276" w:type="dxa"/>
            <w:tcBorders>
              <w:top w:val="nil"/>
              <w:left w:val="nil"/>
              <w:bottom w:val="nil"/>
              <w:right w:val="nil"/>
            </w:tcBorders>
            <w:vAlign w:val="center"/>
          </w:tcPr>
          <w:p w14:paraId="7C01DE3D" w14:textId="77777777" w:rsidR="006F76EB" w:rsidRPr="00834D52" w:rsidRDefault="004B2EBC"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EB7CE8E"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1C7C1C4B"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05622B7"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37EAC88"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0DADC662"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5EA0636F"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4A137E41"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68DF50CA" w14:textId="77777777" w:rsidR="006F76EB" w:rsidRPr="00834D52" w:rsidRDefault="004B2EBC" w:rsidP="004B2EB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44B86E42" w14:textId="77777777" w:rsidTr="001A24A9">
        <w:trPr>
          <w:jc w:val="center"/>
        </w:trPr>
        <w:tc>
          <w:tcPr>
            <w:tcW w:w="1134" w:type="dxa"/>
            <w:tcBorders>
              <w:top w:val="nil"/>
              <w:left w:val="nil"/>
              <w:bottom w:val="nil"/>
              <w:right w:val="nil"/>
            </w:tcBorders>
            <w:vAlign w:val="center"/>
          </w:tcPr>
          <w:p w14:paraId="4643A96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2.2.</w:t>
            </w:r>
          </w:p>
        </w:tc>
        <w:tc>
          <w:tcPr>
            <w:tcW w:w="1276" w:type="dxa"/>
            <w:tcBorders>
              <w:top w:val="nil"/>
              <w:left w:val="nil"/>
              <w:bottom w:val="nil"/>
              <w:right w:val="nil"/>
            </w:tcBorders>
            <w:vAlign w:val="center"/>
          </w:tcPr>
          <w:p w14:paraId="2CC7BC9A"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59B190B"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A1C7E35"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2228E79"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22C07BEB"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4D5EB68B"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458DD9F9"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6DEFF960"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A3EC280" w14:textId="77777777" w:rsidR="006F76EB" w:rsidRPr="00834D52" w:rsidRDefault="007C5173" w:rsidP="007C517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5C75E31D" w14:textId="77777777" w:rsidTr="001A24A9">
        <w:trPr>
          <w:jc w:val="center"/>
        </w:trPr>
        <w:tc>
          <w:tcPr>
            <w:tcW w:w="1134" w:type="dxa"/>
            <w:tcBorders>
              <w:top w:val="nil"/>
              <w:left w:val="nil"/>
              <w:bottom w:val="nil"/>
              <w:right w:val="nil"/>
            </w:tcBorders>
            <w:vAlign w:val="center"/>
          </w:tcPr>
          <w:p w14:paraId="726AB7E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2.3.</w:t>
            </w:r>
          </w:p>
        </w:tc>
        <w:tc>
          <w:tcPr>
            <w:tcW w:w="1276" w:type="dxa"/>
            <w:tcBorders>
              <w:top w:val="nil"/>
              <w:left w:val="nil"/>
              <w:bottom w:val="nil"/>
              <w:right w:val="nil"/>
            </w:tcBorders>
            <w:vAlign w:val="center"/>
          </w:tcPr>
          <w:p w14:paraId="031F437D" w14:textId="77777777" w:rsidR="006F76EB" w:rsidRPr="00834D52" w:rsidRDefault="001F13A5"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616CC908"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256921B6"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4D3EF984"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03F711DA"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387483F4"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68F70479"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6773982E"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58A21113" w14:textId="77777777" w:rsidR="006F76EB" w:rsidRPr="00834D52" w:rsidRDefault="001F13A5" w:rsidP="001F13A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22419C04" w14:textId="77777777" w:rsidTr="001A24A9">
        <w:trPr>
          <w:jc w:val="center"/>
        </w:trPr>
        <w:tc>
          <w:tcPr>
            <w:tcW w:w="1134" w:type="dxa"/>
            <w:tcBorders>
              <w:top w:val="nil"/>
              <w:left w:val="nil"/>
              <w:bottom w:val="nil"/>
              <w:right w:val="nil"/>
            </w:tcBorders>
            <w:vAlign w:val="center"/>
          </w:tcPr>
          <w:p w14:paraId="3196A7E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2.4.</w:t>
            </w:r>
          </w:p>
        </w:tc>
        <w:tc>
          <w:tcPr>
            <w:tcW w:w="1276" w:type="dxa"/>
            <w:tcBorders>
              <w:top w:val="nil"/>
              <w:left w:val="nil"/>
              <w:bottom w:val="nil"/>
              <w:right w:val="nil"/>
            </w:tcBorders>
            <w:vAlign w:val="center"/>
          </w:tcPr>
          <w:p w14:paraId="7BB31C21"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214B2370"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A9B467E"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1EC4291"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2FC272A5"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51B4DFBC"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701" w:type="dxa"/>
            <w:tcBorders>
              <w:top w:val="nil"/>
              <w:left w:val="nil"/>
              <w:bottom w:val="nil"/>
              <w:right w:val="nil"/>
            </w:tcBorders>
            <w:vAlign w:val="center"/>
          </w:tcPr>
          <w:p w14:paraId="22F80731"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203898C0"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3648CF33" w14:textId="77777777" w:rsidR="006F76EB" w:rsidRPr="00834D52" w:rsidRDefault="00DE6764" w:rsidP="00DE676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200B18B8" w14:textId="77777777" w:rsidTr="001A24A9">
        <w:trPr>
          <w:jc w:val="center"/>
        </w:trPr>
        <w:tc>
          <w:tcPr>
            <w:tcW w:w="1134" w:type="dxa"/>
            <w:tcBorders>
              <w:top w:val="nil"/>
              <w:left w:val="nil"/>
              <w:bottom w:val="nil"/>
              <w:right w:val="nil"/>
            </w:tcBorders>
            <w:vAlign w:val="center"/>
          </w:tcPr>
          <w:p w14:paraId="4A0AF9A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2.5.</w:t>
            </w:r>
          </w:p>
        </w:tc>
        <w:tc>
          <w:tcPr>
            <w:tcW w:w="1276" w:type="dxa"/>
            <w:tcBorders>
              <w:top w:val="nil"/>
              <w:left w:val="nil"/>
              <w:bottom w:val="nil"/>
              <w:right w:val="nil"/>
            </w:tcBorders>
            <w:vAlign w:val="center"/>
          </w:tcPr>
          <w:p w14:paraId="221952D7"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408BD8A6"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50032A47"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2479B4B2"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7" w:type="dxa"/>
            <w:tcBorders>
              <w:top w:val="nil"/>
              <w:left w:val="nil"/>
              <w:bottom w:val="nil"/>
              <w:right w:val="nil"/>
            </w:tcBorders>
            <w:vAlign w:val="center"/>
          </w:tcPr>
          <w:p w14:paraId="6C15CE67"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1B9C3909"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Pr="00834D52" w:rsidDel="00430C60">
              <w:rPr>
                <w:rFonts w:ascii="Sylfaen" w:hAnsi="Sylfaen"/>
                <w:sz w:val="24"/>
                <w:szCs w:val="24"/>
              </w:rPr>
              <w:t xml:space="preserve"> </w:t>
            </w:r>
          </w:p>
        </w:tc>
        <w:tc>
          <w:tcPr>
            <w:tcW w:w="1701" w:type="dxa"/>
            <w:tcBorders>
              <w:top w:val="nil"/>
              <w:left w:val="nil"/>
              <w:bottom w:val="nil"/>
              <w:right w:val="nil"/>
            </w:tcBorders>
            <w:vAlign w:val="center"/>
          </w:tcPr>
          <w:p w14:paraId="5344CC3C"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275" w:type="dxa"/>
            <w:tcBorders>
              <w:top w:val="nil"/>
              <w:left w:val="nil"/>
              <w:bottom w:val="nil"/>
              <w:right w:val="nil"/>
            </w:tcBorders>
            <w:vAlign w:val="center"/>
          </w:tcPr>
          <w:p w14:paraId="115BFBF5"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0DD9789" w14:textId="77777777" w:rsidR="006F76EB" w:rsidRPr="00834D52" w:rsidRDefault="00430C60" w:rsidP="00430C60">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r>
      <w:tr w:rsidR="006F76EB" w:rsidRPr="00834D52" w14:paraId="5001D321" w14:textId="77777777" w:rsidTr="001A24A9">
        <w:trPr>
          <w:jc w:val="center"/>
        </w:trPr>
        <w:tc>
          <w:tcPr>
            <w:tcW w:w="1134" w:type="dxa"/>
            <w:tcBorders>
              <w:top w:val="nil"/>
              <w:left w:val="nil"/>
              <w:bottom w:val="nil"/>
              <w:right w:val="nil"/>
            </w:tcBorders>
            <w:vAlign w:val="center"/>
          </w:tcPr>
          <w:p w14:paraId="64C01C4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w:t>
            </w:r>
          </w:p>
        </w:tc>
        <w:tc>
          <w:tcPr>
            <w:tcW w:w="1276" w:type="dxa"/>
            <w:tcBorders>
              <w:top w:val="nil"/>
              <w:left w:val="nil"/>
              <w:bottom w:val="nil"/>
              <w:right w:val="nil"/>
            </w:tcBorders>
            <w:vAlign w:val="center"/>
          </w:tcPr>
          <w:p w14:paraId="390A2DBB"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56893985"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6970944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1EF6713E"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6F63297E"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4A3BBC09"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70A98972"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330AD4FF"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19A1AC5"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6BEE8BED" w14:textId="77777777" w:rsidTr="001A24A9">
        <w:trPr>
          <w:jc w:val="center"/>
        </w:trPr>
        <w:tc>
          <w:tcPr>
            <w:tcW w:w="1134" w:type="dxa"/>
            <w:tcBorders>
              <w:top w:val="nil"/>
              <w:left w:val="nil"/>
              <w:bottom w:val="nil"/>
              <w:right w:val="nil"/>
            </w:tcBorders>
            <w:vAlign w:val="center"/>
          </w:tcPr>
          <w:p w14:paraId="710D717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2.6.1.</w:t>
            </w:r>
          </w:p>
        </w:tc>
        <w:tc>
          <w:tcPr>
            <w:tcW w:w="1276" w:type="dxa"/>
            <w:tcBorders>
              <w:top w:val="nil"/>
              <w:left w:val="nil"/>
              <w:bottom w:val="nil"/>
              <w:right w:val="nil"/>
            </w:tcBorders>
            <w:vAlign w:val="center"/>
          </w:tcPr>
          <w:p w14:paraId="2BC74304" w14:textId="77777777" w:rsidR="006F76EB" w:rsidRPr="00834D52" w:rsidRDefault="00087A2B" w:rsidP="00087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1662C74C" w14:textId="77777777" w:rsidR="006F76EB" w:rsidRPr="00834D52" w:rsidRDefault="00087A2B"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66847617" w14:textId="77777777" w:rsidR="006F76EB" w:rsidRPr="00834D52" w:rsidRDefault="00087A2B"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02B33523" w14:textId="77777777" w:rsidR="006F76EB" w:rsidRPr="00834D52" w:rsidRDefault="00087A2B" w:rsidP="00087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00A3EF5" w14:textId="77777777" w:rsidR="006F76EB" w:rsidRPr="00834D52" w:rsidRDefault="00087A2B" w:rsidP="00087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141DFC2C" w14:textId="77777777" w:rsidR="006F76EB" w:rsidRPr="00834D52" w:rsidRDefault="00087A2B"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5D5FF32F" w14:textId="77777777" w:rsidR="006F76EB" w:rsidRPr="00834D52" w:rsidRDefault="00087A2B"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5012BB0" w14:textId="77777777" w:rsidR="006F76EB" w:rsidRPr="00834D52" w:rsidRDefault="00087A2B" w:rsidP="00087A2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8F5E211" w14:textId="77777777" w:rsidR="006F76EB" w:rsidRPr="00834D52" w:rsidRDefault="00087A2B"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7554538" w14:textId="77777777" w:rsidTr="001A24A9">
        <w:trPr>
          <w:jc w:val="center"/>
        </w:trPr>
        <w:tc>
          <w:tcPr>
            <w:tcW w:w="1134" w:type="dxa"/>
            <w:tcBorders>
              <w:top w:val="nil"/>
              <w:left w:val="nil"/>
              <w:bottom w:val="nil"/>
              <w:right w:val="nil"/>
            </w:tcBorders>
            <w:vAlign w:val="center"/>
          </w:tcPr>
          <w:p w14:paraId="397AF69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2.6.2.</w:t>
            </w:r>
          </w:p>
        </w:tc>
        <w:tc>
          <w:tcPr>
            <w:tcW w:w="1276" w:type="dxa"/>
            <w:tcBorders>
              <w:top w:val="nil"/>
              <w:left w:val="nil"/>
              <w:bottom w:val="nil"/>
              <w:right w:val="nil"/>
            </w:tcBorders>
            <w:vAlign w:val="center"/>
          </w:tcPr>
          <w:p w14:paraId="3D51C8B5" w14:textId="77777777" w:rsidR="006F76EB" w:rsidRPr="00834D52" w:rsidRDefault="007074F8" w:rsidP="007074F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058D8BCB" w14:textId="77777777" w:rsidR="006F76EB" w:rsidRPr="00834D52" w:rsidRDefault="007074F8"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22389B87" w14:textId="77777777" w:rsidR="006F76EB" w:rsidRPr="00834D52" w:rsidRDefault="007074F8"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70B34708" w14:textId="77777777" w:rsidR="006F76EB" w:rsidRPr="00834D52" w:rsidRDefault="007074F8" w:rsidP="007074F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8B8F891" w14:textId="77777777" w:rsidR="006F76EB" w:rsidRPr="00834D52" w:rsidRDefault="007074F8" w:rsidP="007074F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59" w:type="dxa"/>
            <w:tcBorders>
              <w:top w:val="nil"/>
              <w:left w:val="nil"/>
              <w:bottom w:val="nil"/>
              <w:right w:val="nil"/>
            </w:tcBorders>
            <w:vAlign w:val="center"/>
          </w:tcPr>
          <w:p w14:paraId="5B24937D" w14:textId="77777777" w:rsidR="006F76EB" w:rsidRPr="00834D52" w:rsidRDefault="007074F8"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253B00D2" w14:textId="77777777" w:rsidR="006F76EB" w:rsidRPr="00834D52" w:rsidRDefault="007074F8"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39B4D08" w14:textId="77777777" w:rsidR="006F76EB" w:rsidRPr="00834D52" w:rsidRDefault="007074F8" w:rsidP="007074F8">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7E71674" w14:textId="77777777" w:rsidR="006F76EB" w:rsidRPr="00834D52" w:rsidRDefault="007074F8"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76A2A94F" w14:textId="77777777" w:rsidTr="001A24A9">
        <w:trPr>
          <w:jc w:val="center"/>
        </w:trPr>
        <w:tc>
          <w:tcPr>
            <w:tcW w:w="1134" w:type="dxa"/>
            <w:tcBorders>
              <w:top w:val="nil"/>
              <w:left w:val="nil"/>
              <w:bottom w:val="nil"/>
              <w:right w:val="nil"/>
            </w:tcBorders>
            <w:vAlign w:val="center"/>
          </w:tcPr>
          <w:p w14:paraId="7D4D507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2.6.3.</w:t>
            </w:r>
          </w:p>
        </w:tc>
        <w:tc>
          <w:tcPr>
            <w:tcW w:w="1276" w:type="dxa"/>
            <w:tcBorders>
              <w:top w:val="nil"/>
              <w:left w:val="nil"/>
              <w:bottom w:val="nil"/>
              <w:right w:val="nil"/>
            </w:tcBorders>
            <w:vAlign w:val="center"/>
          </w:tcPr>
          <w:p w14:paraId="1A146D8D" w14:textId="77777777" w:rsidR="006F76EB" w:rsidRPr="00834D52" w:rsidRDefault="00995B6C" w:rsidP="00995B6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1CBB73FF"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5E5DB2D6"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4BA2943B" w14:textId="77777777" w:rsidR="006F76EB" w:rsidRPr="00834D52" w:rsidRDefault="00995B6C" w:rsidP="00995B6C">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71D8921"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559" w:type="dxa"/>
            <w:tcBorders>
              <w:top w:val="nil"/>
              <w:left w:val="nil"/>
              <w:bottom w:val="nil"/>
              <w:right w:val="nil"/>
            </w:tcBorders>
            <w:vAlign w:val="center"/>
          </w:tcPr>
          <w:p w14:paraId="03228DD6"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5FA7EBDC"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8103BB4"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31CF3EA2" w14:textId="77777777" w:rsidR="006F76EB" w:rsidRPr="00834D52" w:rsidRDefault="00995B6C"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02F6854" w14:textId="77777777" w:rsidTr="001A24A9">
        <w:trPr>
          <w:jc w:val="center"/>
        </w:trPr>
        <w:tc>
          <w:tcPr>
            <w:tcW w:w="1134" w:type="dxa"/>
            <w:tcBorders>
              <w:top w:val="nil"/>
              <w:left w:val="nil"/>
              <w:bottom w:val="nil"/>
              <w:right w:val="nil"/>
            </w:tcBorders>
            <w:vAlign w:val="center"/>
          </w:tcPr>
          <w:p w14:paraId="5946417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2.6.4.</w:t>
            </w:r>
          </w:p>
        </w:tc>
        <w:tc>
          <w:tcPr>
            <w:tcW w:w="1276" w:type="dxa"/>
            <w:tcBorders>
              <w:top w:val="nil"/>
              <w:left w:val="nil"/>
              <w:bottom w:val="nil"/>
              <w:right w:val="nil"/>
            </w:tcBorders>
            <w:vAlign w:val="center"/>
          </w:tcPr>
          <w:p w14:paraId="77499517" w14:textId="77777777" w:rsidR="006F76EB" w:rsidRPr="00834D52" w:rsidRDefault="00D0538A" w:rsidP="00D0538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5CE99C06"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09137803"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4AEFB8CC" w14:textId="77777777" w:rsidR="006F76EB" w:rsidRPr="00834D52" w:rsidRDefault="00D0538A" w:rsidP="00D0538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69913C4E"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559" w:type="dxa"/>
            <w:tcBorders>
              <w:top w:val="nil"/>
              <w:left w:val="nil"/>
              <w:bottom w:val="nil"/>
              <w:right w:val="nil"/>
            </w:tcBorders>
            <w:vAlign w:val="center"/>
          </w:tcPr>
          <w:p w14:paraId="03C36025"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794C1CD1"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77FA72A9"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5E0DBD98" w14:textId="77777777" w:rsidR="006F76EB" w:rsidRPr="00834D52" w:rsidRDefault="00D0538A"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2A4608B2" w14:textId="77777777" w:rsidTr="001A24A9">
        <w:trPr>
          <w:jc w:val="center"/>
        </w:trPr>
        <w:tc>
          <w:tcPr>
            <w:tcW w:w="1134" w:type="dxa"/>
            <w:tcBorders>
              <w:top w:val="nil"/>
              <w:left w:val="nil"/>
              <w:bottom w:val="nil"/>
              <w:right w:val="nil"/>
            </w:tcBorders>
            <w:vAlign w:val="center"/>
          </w:tcPr>
          <w:p w14:paraId="45C23EE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2.6.5.</w:t>
            </w:r>
          </w:p>
        </w:tc>
        <w:tc>
          <w:tcPr>
            <w:tcW w:w="1276" w:type="dxa"/>
            <w:tcBorders>
              <w:top w:val="nil"/>
              <w:left w:val="nil"/>
              <w:bottom w:val="nil"/>
              <w:right w:val="nil"/>
            </w:tcBorders>
            <w:vAlign w:val="center"/>
          </w:tcPr>
          <w:p w14:paraId="47F2E17B" w14:textId="77777777" w:rsidR="006F76EB" w:rsidRPr="00834D52" w:rsidRDefault="00753A7B" w:rsidP="00753A7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4BC0F7CF" w14:textId="77777777" w:rsidR="006F76EB" w:rsidRPr="00834D52" w:rsidRDefault="00753A7B"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44EFAF05" w14:textId="77777777" w:rsidR="006F76EB" w:rsidRPr="00834D52" w:rsidRDefault="00753A7B"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3A1A1F18" w14:textId="77777777" w:rsidR="006F76EB" w:rsidRPr="00834D52" w:rsidRDefault="00753A7B" w:rsidP="00753A7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1727B21D" w14:textId="77777777" w:rsidR="006F76EB" w:rsidRPr="00834D52" w:rsidRDefault="00753A7B" w:rsidP="00753A7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68E8C691" w14:textId="77777777" w:rsidR="006F76EB" w:rsidRPr="00834D52" w:rsidRDefault="00753A7B" w:rsidP="00753A7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4516A62E" w14:textId="77777777" w:rsidR="006F76EB" w:rsidRPr="00834D52" w:rsidRDefault="00753A7B"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10F21612" w14:textId="77777777" w:rsidR="006F76EB" w:rsidRPr="00834D52" w:rsidRDefault="00753A7B" w:rsidP="00753A7B">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32455E79" w14:textId="77777777" w:rsidR="006F76EB" w:rsidRPr="00834D52" w:rsidRDefault="00753A7B"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78503374" w14:textId="77777777" w:rsidTr="001A24A9">
        <w:trPr>
          <w:jc w:val="center"/>
        </w:trPr>
        <w:tc>
          <w:tcPr>
            <w:tcW w:w="1134" w:type="dxa"/>
            <w:tcBorders>
              <w:top w:val="nil"/>
              <w:left w:val="nil"/>
              <w:bottom w:val="nil"/>
              <w:right w:val="nil"/>
            </w:tcBorders>
            <w:vAlign w:val="center"/>
          </w:tcPr>
          <w:p w14:paraId="5BC86C1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2.6.6.</w:t>
            </w:r>
          </w:p>
        </w:tc>
        <w:tc>
          <w:tcPr>
            <w:tcW w:w="1276" w:type="dxa"/>
            <w:tcBorders>
              <w:top w:val="nil"/>
              <w:left w:val="nil"/>
              <w:bottom w:val="nil"/>
              <w:right w:val="nil"/>
            </w:tcBorders>
            <w:vAlign w:val="center"/>
          </w:tcPr>
          <w:p w14:paraId="32E820AD"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0E3A50A9" w14:textId="77777777" w:rsidR="006F76EB" w:rsidRPr="00834D52" w:rsidRDefault="00E60B69"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6E3525A1"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7F18136"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6F6A180"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E9E7DC5"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314BD957" w14:textId="77777777" w:rsidR="006F76EB" w:rsidRPr="00834D52" w:rsidRDefault="00E60B69"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5DDB23A" w14:textId="77777777" w:rsidR="006F76EB" w:rsidRPr="00834D52" w:rsidRDefault="00E60B69" w:rsidP="00E60B6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50B29D1" w14:textId="77777777" w:rsidR="006F76EB" w:rsidRPr="00834D52" w:rsidRDefault="00E60B69"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60EC950E" w14:textId="77777777" w:rsidTr="001A24A9">
        <w:trPr>
          <w:jc w:val="center"/>
        </w:trPr>
        <w:tc>
          <w:tcPr>
            <w:tcW w:w="1134" w:type="dxa"/>
            <w:tcBorders>
              <w:top w:val="nil"/>
              <w:left w:val="nil"/>
              <w:bottom w:val="nil"/>
              <w:right w:val="nil"/>
            </w:tcBorders>
            <w:vAlign w:val="center"/>
          </w:tcPr>
          <w:p w14:paraId="37D2E4F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2.7.</w:t>
            </w:r>
          </w:p>
        </w:tc>
        <w:tc>
          <w:tcPr>
            <w:tcW w:w="1276" w:type="dxa"/>
            <w:tcBorders>
              <w:top w:val="nil"/>
              <w:left w:val="nil"/>
              <w:bottom w:val="nil"/>
              <w:right w:val="nil"/>
            </w:tcBorders>
            <w:vAlign w:val="center"/>
          </w:tcPr>
          <w:p w14:paraId="30A7EE38"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356A9D2E"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561CC873"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2942BC58"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00404A46"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3D6E0BCA"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41C70C3E"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0C2D6FCF"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626FE0A"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241D0F35" w14:textId="77777777" w:rsidTr="001A24A9">
        <w:trPr>
          <w:jc w:val="center"/>
        </w:trPr>
        <w:tc>
          <w:tcPr>
            <w:tcW w:w="1134" w:type="dxa"/>
            <w:tcBorders>
              <w:top w:val="nil"/>
              <w:left w:val="nil"/>
              <w:bottom w:val="nil"/>
              <w:right w:val="nil"/>
            </w:tcBorders>
            <w:vAlign w:val="center"/>
          </w:tcPr>
          <w:p w14:paraId="6F1F289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2.7.1.</w:t>
            </w:r>
          </w:p>
        </w:tc>
        <w:tc>
          <w:tcPr>
            <w:tcW w:w="1276" w:type="dxa"/>
            <w:tcBorders>
              <w:top w:val="nil"/>
              <w:left w:val="nil"/>
              <w:bottom w:val="nil"/>
              <w:right w:val="nil"/>
            </w:tcBorders>
            <w:vAlign w:val="center"/>
          </w:tcPr>
          <w:p w14:paraId="19659914" w14:textId="77777777" w:rsidR="006F76EB" w:rsidRPr="00834D52" w:rsidRDefault="00F52A36" w:rsidP="00F52A3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69AE54ED" w14:textId="77777777" w:rsidR="006F76EB" w:rsidRPr="00834D52" w:rsidRDefault="00F52A36" w:rsidP="00F52A3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5FFCFEEF" w14:textId="77777777" w:rsidR="006F76EB" w:rsidRPr="00834D52" w:rsidRDefault="00F52A36" w:rsidP="00F52A3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7CCF3D0" w14:textId="77777777" w:rsidR="006F76EB" w:rsidRPr="00834D52" w:rsidRDefault="00F52A36" w:rsidP="00F52A3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CB235FF" w14:textId="77777777" w:rsidR="006F76EB" w:rsidRPr="00834D52" w:rsidRDefault="00F52A36" w:rsidP="00F71229">
            <w:pPr>
              <w:spacing w:after="120" w:line="240" w:lineRule="auto"/>
              <w:ind w:right="-8"/>
              <w:jc w:val="center"/>
              <w:rPr>
                <w:rFonts w:ascii="Sylfaen" w:hAnsi="Sylfaen"/>
                <w:sz w:val="24"/>
                <w:szCs w:val="24"/>
              </w:rPr>
            </w:pPr>
            <w:r>
              <w:rPr>
                <w:rFonts w:ascii="Sylfaen" w:hAnsi="Sylfaen"/>
                <w:sz w:val="24"/>
                <w:szCs w:val="24"/>
              </w:rPr>
              <w:t>-</w:t>
            </w:r>
          </w:p>
        </w:tc>
        <w:tc>
          <w:tcPr>
            <w:tcW w:w="1559" w:type="dxa"/>
            <w:tcBorders>
              <w:top w:val="nil"/>
              <w:left w:val="nil"/>
              <w:bottom w:val="nil"/>
              <w:right w:val="nil"/>
            </w:tcBorders>
            <w:vAlign w:val="center"/>
          </w:tcPr>
          <w:p w14:paraId="3BCE63C2" w14:textId="77777777" w:rsidR="006F76EB" w:rsidRPr="00834D52" w:rsidRDefault="00F52A36"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77D5E76F" w14:textId="77777777" w:rsidR="006F76EB" w:rsidRPr="00834D52" w:rsidRDefault="00F52A36"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41C84FC" w14:textId="77777777" w:rsidR="006F76EB" w:rsidRPr="00834D52" w:rsidRDefault="00F52A36" w:rsidP="00F52A36">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35269489" w14:textId="77777777" w:rsidR="006F76EB" w:rsidRPr="00834D52" w:rsidRDefault="00F52A36"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8641720" w14:textId="77777777" w:rsidTr="001A24A9">
        <w:trPr>
          <w:jc w:val="center"/>
        </w:trPr>
        <w:tc>
          <w:tcPr>
            <w:tcW w:w="1134" w:type="dxa"/>
            <w:tcBorders>
              <w:top w:val="nil"/>
              <w:left w:val="nil"/>
              <w:bottom w:val="nil"/>
              <w:right w:val="nil"/>
            </w:tcBorders>
            <w:vAlign w:val="center"/>
          </w:tcPr>
          <w:p w14:paraId="09DD2A0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2.7.2.</w:t>
            </w:r>
          </w:p>
        </w:tc>
        <w:tc>
          <w:tcPr>
            <w:tcW w:w="1276" w:type="dxa"/>
            <w:tcBorders>
              <w:top w:val="nil"/>
              <w:left w:val="nil"/>
              <w:bottom w:val="nil"/>
              <w:right w:val="nil"/>
            </w:tcBorders>
            <w:vAlign w:val="center"/>
          </w:tcPr>
          <w:p w14:paraId="04A1930E" w14:textId="77777777" w:rsidR="006F76EB" w:rsidRPr="00834D52" w:rsidRDefault="00B65152" w:rsidP="00B6515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45932B05" w14:textId="77777777" w:rsidR="006F76EB" w:rsidRPr="00834D52" w:rsidRDefault="00B65152"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39E63BBA" w14:textId="77777777" w:rsidR="006F76EB" w:rsidRPr="00834D52" w:rsidRDefault="00B65152" w:rsidP="00B6515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08E3166" w14:textId="77777777" w:rsidR="006F76EB" w:rsidRPr="00834D52" w:rsidRDefault="00B65152" w:rsidP="00B6515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7A0A064B" w14:textId="77777777" w:rsidR="006F76EB" w:rsidRPr="00834D52" w:rsidRDefault="00B65152" w:rsidP="00F71229">
            <w:pPr>
              <w:spacing w:after="120" w:line="240" w:lineRule="auto"/>
              <w:ind w:right="-8"/>
              <w:jc w:val="center"/>
              <w:rPr>
                <w:rFonts w:ascii="Sylfaen" w:hAnsi="Sylfaen"/>
                <w:sz w:val="24"/>
                <w:szCs w:val="24"/>
              </w:rPr>
            </w:pPr>
            <w:r>
              <w:rPr>
                <w:rFonts w:ascii="Sylfaen" w:hAnsi="Sylfaen"/>
                <w:sz w:val="24"/>
                <w:szCs w:val="24"/>
              </w:rPr>
              <w:t>-</w:t>
            </w:r>
          </w:p>
        </w:tc>
        <w:tc>
          <w:tcPr>
            <w:tcW w:w="1559" w:type="dxa"/>
            <w:tcBorders>
              <w:top w:val="nil"/>
              <w:left w:val="nil"/>
              <w:bottom w:val="nil"/>
              <w:right w:val="nil"/>
            </w:tcBorders>
            <w:vAlign w:val="center"/>
          </w:tcPr>
          <w:p w14:paraId="6DA06F31" w14:textId="77777777" w:rsidR="006F76EB" w:rsidRPr="00834D52" w:rsidRDefault="00B65152"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3ED6A60F" w14:textId="77777777" w:rsidR="006F76EB" w:rsidRPr="00834D52" w:rsidRDefault="00B65152"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BAD5FA5" w14:textId="77777777" w:rsidR="006F76EB" w:rsidRPr="00834D52" w:rsidRDefault="00B65152" w:rsidP="00B6515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53B20BF" w14:textId="77777777" w:rsidR="006F76EB" w:rsidRPr="00834D52" w:rsidRDefault="00B65152"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705641D9" w14:textId="77777777" w:rsidTr="001A24A9">
        <w:trPr>
          <w:jc w:val="center"/>
        </w:trPr>
        <w:tc>
          <w:tcPr>
            <w:tcW w:w="1134" w:type="dxa"/>
            <w:tcBorders>
              <w:top w:val="nil"/>
              <w:left w:val="nil"/>
              <w:bottom w:val="nil"/>
              <w:right w:val="nil"/>
            </w:tcBorders>
            <w:vAlign w:val="center"/>
          </w:tcPr>
          <w:p w14:paraId="12D81B5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2.7.3.</w:t>
            </w:r>
          </w:p>
        </w:tc>
        <w:tc>
          <w:tcPr>
            <w:tcW w:w="1276" w:type="dxa"/>
            <w:tcBorders>
              <w:top w:val="nil"/>
              <w:left w:val="nil"/>
              <w:bottom w:val="nil"/>
              <w:right w:val="nil"/>
            </w:tcBorders>
            <w:vAlign w:val="center"/>
          </w:tcPr>
          <w:p w14:paraId="079E987A" w14:textId="77777777" w:rsidR="006F76EB" w:rsidRPr="00834D52" w:rsidRDefault="00B57243" w:rsidP="00B5724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6A4C440E" w14:textId="77777777" w:rsidR="006F76EB" w:rsidRPr="00834D52" w:rsidRDefault="00B57243"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0ADBAEB9" w14:textId="77777777" w:rsidR="006F76EB" w:rsidRPr="00834D52" w:rsidRDefault="00B57243"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28CA9652" w14:textId="77777777" w:rsidR="006F76EB" w:rsidRPr="00834D52" w:rsidRDefault="00B57243" w:rsidP="00B5724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7EF59A95" w14:textId="77777777" w:rsidR="006F76EB" w:rsidRPr="00834D52" w:rsidRDefault="00B57243" w:rsidP="00B5724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2F383B51" w14:textId="77777777" w:rsidR="006F76EB" w:rsidRPr="00834D52" w:rsidRDefault="00B57243" w:rsidP="00B5724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1B486F90" w14:textId="77777777" w:rsidR="006F76EB" w:rsidRPr="00834D52" w:rsidRDefault="00B57243"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44ECB8AF" w14:textId="77777777" w:rsidR="006F76EB" w:rsidRPr="00834D52" w:rsidRDefault="00B57243" w:rsidP="00B5724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875F574" w14:textId="77777777" w:rsidR="006F76EB" w:rsidRPr="00834D52" w:rsidRDefault="00B57243"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5F4C46B9" w14:textId="77777777" w:rsidTr="001A24A9">
        <w:trPr>
          <w:jc w:val="center"/>
        </w:trPr>
        <w:tc>
          <w:tcPr>
            <w:tcW w:w="1134" w:type="dxa"/>
            <w:tcBorders>
              <w:top w:val="nil"/>
              <w:left w:val="nil"/>
              <w:bottom w:val="nil"/>
              <w:right w:val="nil"/>
            </w:tcBorders>
            <w:vAlign w:val="center"/>
          </w:tcPr>
          <w:p w14:paraId="3829127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2.7.4.</w:t>
            </w:r>
          </w:p>
        </w:tc>
        <w:tc>
          <w:tcPr>
            <w:tcW w:w="1276" w:type="dxa"/>
            <w:tcBorders>
              <w:top w:val="nil"/>
              <w:left w:val="nil"/>
              <w:bottom w:val="nil"/>
              <w:right w:val="nil"/>
            </w:tcBorders>
            <w:vAlign w:val="center"/>
          </w:tcPr>
          <w:p w14:paraId="1AB59FEB" w14:textId="77777777" w:rsidR="006F76EB" w:rsidRPr="00834D52" w:rsidRDefault="007413FF" w:rsidP="007413F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44C4C18E" w14:textId="77777777" w:rsidR="006F76EB" w:rsidRPr="00834D52" w:rsidRDefault="007413FF"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4B422D7E" w14:textId="77777777" w:rsidR="006F76EB" w:rsidRPr="00834D52" w:rsidRDefault="007413FF"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44D80A7F" w14:textId="77777777" w:rsidR="006F76EB" w:rsidRPr="00834D52" w:rsidRDefault="007413FF" w:rsidP="007413F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F178E2B" w14:textId="77777777" w:rsidR="006F76EB" w:rsidRPr="00834D52" w:rsidRDefault="007413FF" w:rsidP="007413F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35B5CDE8" w14:textId="77777777" w:rsidR="006F76EB" w:rsidRPr="00834D52" w:rsidRDefault="007413FF" w:rsidP="007413F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1AA8FF4C" w14:textId="77777777" w:rsidR="006F76EB" w:rsidRPr="00834D52" w:rsidRDefault="007413FF"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056BB0F" w14:textId="77777777" w:rsidR="006F76EB" w:rsidRPr="00834D52" w:rsidRDefault="007413FF" w:rsidP="007413F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A530DFB" w14:textId="77777777" w:rsidR="006F76EB" w:rsidRPr="00834D52" w:rsidRDefault="007413FF"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14B0E9C1" w14:textId="77777777" w:rsidTr="001A24A9">
        <w:trPr>
          <w:jc w:val="center"/>
        </w:trPr>
        <w:tc>
          <w:tcPr>
            <w:tcW w:w="1134" w:type="dxa"/>
            <w:tcBorders>
              <w:top w:val="nil"/>
              <w:left w:val="nil"/>
              <w:bottom w:val="nil"/>
              <w:right w:val="nil"/>
            </w:tcBorders>
            <w:vAlign w:val="center"/>
          </w:tcPr>
          <w:p w14:paraId="0C4220D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2.7.5.</w:t>
            </w:r>
          </w:p>
        </w:tc>
        <w:tc>
          <w:tcPr>
            <w:tcW w:w="1276" w:type="dxa"/>
            <w:tcBorders>
              <w:top w:val="nil"/>
              <w:left w:val="nil"/>
              <w:bottom w:val="nil"/>
              <w:right w:val="nil"/>
            </w:tcBorders>
            <w:vAlign w:val="center"/>
          </w:tcPr>
          <w:p w14:paraId="5FF1C432"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59009CF0"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079176D0"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287B1F2"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AC28D72"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74B9240E"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7DA91E86"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5C04FB2E"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6250155" w14:textId="77777777" w:rsidR="006F76EB" w:rsidRPr="00834D52" w:rsidRDefault="000F5045" w:rsidP="000F504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734989AD" w14:textId="77777777" w:rsidTr="001A24A9">
        <w:trPr>
          <w:jc w:val="center"/>
        </w:trPr>
        <w:tc>
          <w:tcPr>
            <w:tcW w:w="1134" w:type="dxa"/>
            <w:tcBorders>
              <w:top w:val="nil"/>
              <w:left w:val="nil"/>
              <w:bottom w:val="nil"/>
              <w:right w:val="nil"/>
            </w:tcBorders>
            <w:vAlign w:val="center"/>
          </w:tcPr>
          <w:p w14:paraId="62045CB7"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5C65BCE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460C133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584A6BD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3A17F3C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43F080A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7C851CB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19ABE80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72F15A7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30276B3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6072481" w14:textId="77777777" w:rsidTr="001A24A9">
        <w:trPr>
          <w:jc w:val="center"/>
        </w:trPr>
        <w:tc>
          <w:tcPr>
            <w:tcW w:w="1134" w:type="dxa"/>
            <w:tcBorders>
              <w:top w:val="nil"/>
              <w:left w:val="nil"/>
              <w:bottom w:val="nil"/>
              <w:right w:val="nil"/>
            </w:tcBorders>
            <w:vAlign w:val="center"/>
          </w:tcPr>
          <w:p w14:paraId="6733AA7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2.7.6.</w:t>
            </w:r>
          </w:p>
        </w:tc>
        <w:tc>
          <w:tcPr>
            <w:tcW w:w="1276" w:type="dxa"/>
            <w:tcBorders>
              <w:top w:val="nil"/>
              <w:left w:val="nil"/>
              <w:bottom w:val="nil"/>
              <w:right w:val="nil"/>
            </w:tcBorders>
            <w:vAlign w:val="center"/>
          </w:tcPr>
          <w:p w14:paraId="44201B9B"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1ECFEADE" w14:textId="77777777" w:rsidR="006F76EB" w:rsidRPr="00834D52" w:rsidRDefault="00EC21ED" w:rsidP="00F71229">
            <w:pPr>
              <w:spacing w:after="120" w:line="240" w:lineRule="auto"/>
              <w:ind w:right="-8"/>
              <w:jc w:val="center"/>
              <w:rPr>
                <w:rFonts w:ascii="Sylfaen" w:hAnsi="Sylfaen"/>
                <w:sz w:val="24"/>
                <w:szCs w:val="24"/>
              </w:rPr>
            </w:pPr>
            <w:r>
              <w:rPr>
                <w:rFonts w:ascii="Sylfaen" w:hAnsi="Sylfaen"/>
                <w:sz w:val="24"/>
                <w:szCs w:val="24"/>
              </w:rPr>
              <w:t>-</w:t>
            </w:r>
          </w:p>
        </w:tc>
        <w:tc>
          <w:tcPr>
            <w:tcW w:w="1418" w:type="dxa"/>
            <w:tcBorders>
              <w:top w:val="nil"/>
              <w:left w:val="nil"/>
              <w:bottom w:val="nil"/>
              <w:right w:val="nil"/>
            </w:tcBorders>
            <w:vAlign w:val="center"/>
          </w:tcPr>
          <w:p w14:paraId="29720D28"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76F8E73"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DB8A03B"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1EE7B1BB"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399A128C" w14:textId="77777777" w:rsidR="006F76EB" w:rsidRPr="00834D52" w:rsidRDefault="00EC21ED"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6C666DD" w14:textId="77777777" w:rsidR="006F76EB" w:rsidRPr="00834D52" w:rsidRDefault="00EC21ED" w:rsidP="00EC21E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4651C9A" w14:textId="77777777" w:rsidR="006F76EB" w:rsidRPr="00834D52" w:rsidRDefault="00EC21ED"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22BD570F" w14:textId="77777777" w:rsidTr="001A24A9">
        <w:trPr>
          <w:jc w:val="center"/>
        </w:trPr>
        <w:tc>
          <w:tcPr>
            <w:tcW w:w="14884" w:type="dxa"/>
            <w:gridSpan w:val="10"/>
            <w:tcBorders>
              <w:top w:val="nil"/>
              <w:left w:val="nil"/>
              <w:bottom w:val="nil"/>
              <w:right w:val="nil"/>
            </w:tcBorders>
            <w:vAlign w:val="center"/>
          </w:tcPr>
          <w:p w14:paraId="2B10133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ՄՈԴՈՒԼ 3. ՈՐԱԿ</w:t>
            </w:r>
          </w:p>
        </w:tc>
      </w:tr>
      <w:tr w:rsidR="006F76EB" w:rsidRPr="00834D52" w14:paraId="63172856" w14:textId="77777777" w:rsidTr="001A24A9">
        <w:trPr>
          <w:jc w:val="center"/>
        </w:trPr>
        <w:tc>
          <w:tcPr>
            <w:tcW w:w="1134" w:type="dxa"/>
            <w:tcBorders>
              <w:top w:val="nil"/>
              <w:left w:val="nil"/>
              <w:bottom w:val="nil"/>
              <w:right w:val="nil"/>
            </w:tcBorders>
            <w:vAlign w:val="center"/>
          </w:tcPr>
          <w:p w14:paraId="54C1918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3.1.</w:t>
            </w:r>
          </w:p>
        </w:tc>
        <w:tc>
          <w:tcPr>
            <w:tcW w:w="1276" w:type="dxa"/>
            <w:tcBorders>
              <w:top w:val="nil"/>
              <w:left w:val="nil"/>
              <w:bottom w:val="nil"/>
              <w:right w:val="nil"/>
            </w:tcBorders>
            <w:vAlign w:val="center"/>
          </w:tcPr>
          <w:p w14:paraId="20F88890"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799BCFB4"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697C32F6"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CBBE9E5"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008F0ED"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620F7BCD"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070D6129"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275514C6"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60AB039" w14:textId="77777777" w:rsidR="006F76EB" w:rsidRPr="00834D52" w:rsidRDefault="003D5D79" w:rsidP="003D5D7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228AC679" w14:textId="77777777" w:rsidTr="001A24A9">
        <w:trPr>
          <w:jc w:val="center"/>
        </w:trPr>
        <w:tc>
          <w:tcPr>
            <w:tcW w:w="1134" w:type="dxa"/>
            <w:tcBorders>
              <w:top w:val="nil"/>
              <w:left w:val="nil"/>
              <w:bottom w:val="nil"/>
              <w:right w:val="nil"/>
            </w:tcBorders>
            <w:vAlign w:val="center"/>
          </w:tcPr>
          <w:p w14:paraId="0A735CD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w:t>
            </w:r>
          </w:p>
        </w:tc>
        <w:tc>
          <w:tcPr>
            <w:tcW w:w="1276" w:type="dxa"/>
            <w:tcBorders>
              <w:top w:val="nil"/>
              <w:left w:val="nil"/>
              <w:bottom w:val="nil"/>
              <w:right w:val="nil"/>
            </w:tcBorders>
            <w:vAlign w:val="center"/>
          </w:tcPr>
          <w:p w14:paraId="06BD3F4F"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25326AB4"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1A344D4A"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385D7D0"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0B52ECA"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61D0C842"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219F73C1"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7D287C8A"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53EBAA3" w14:textId="77777777" w:rsidR="006F76EB" w:rsidRPr="00834D52" w:rsidRDefault="00777CF2" w:rsidP="00777CF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272E95C5" w14:textId="77777777" w:rsidTr="001A24A9">
        <w:trPr>
          <w:jc w:val="center"/>
        </w:trPr>
        <w:tc>
          <w:tcPr>
            <w:tcW w:w="1134" w:type="dxa"/>
            <w:tcBorders>
              <w:top w:val="nil"/>
              <w:left w:val="nil"/>
              <w:bottom w:val="nil"/>
              <w:right w:val="nil"/>
            </w:tcBorders>
            <w:vAlign w:val="center"/>
          </w:tcPr>
          <w:p w14:paraId="40ECDFD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w:t>
            </w:r>
          </w:p>
        </w:tc>
        <w:tc>
          <w:tcPr>
            <w:tcW w:w="1276" w:type="dxa"/>
            <w:tcBorders>
              <w:top w:val="nil"/>
              <w:left w:val="nil"/>
              <w:bottom w:val="nil"/>
              <w:right w:val="nil"/>
            </w:tcBorders>
            <w:vAlign w:val="center"/>
          </w:tcPr>
          <w:p w14:paraId="5A53B9FB"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5912B696"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3DF3819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1C05E2B"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0BE97450"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161FC8A1"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5C60785E"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7BF68A9B"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3C30620E"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5C0D5DEE" w14:textId="77777777" w:rsidTr="001A24A9">
        <w:trPr>
          <w:jc w:val="center"/>
        </w:trPr>
        <w:tc>
          <w:tcPr>
            <w:tcW w:w="1134" w:type="dxa"/>
            <w:tcBorders>
              <w:top w:val="nil"/>
              <w:left w:val="nil"/>
              <w:bottom w:val="nil"/>
              <w:right w:val="nil"/>
            </w:tcBorders>
            <w:vAlign w:val="center"/>
          </w:tcPr>
          <w:p w14:paraId="4134628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3.2.S.1.</w:t>
            </w:r>
          </w:p>
        </w:tc>
        <w:tc>
          <w:tcPr>
            <w:tcW w:w="1276" w:type="dxa"/>
            <w:tcBorders>
              <w:top w:val="nil"/>
              <w:left w:val="nil"/>
              <w:bottom w:val="nil"/>
              <w:right w:val="nil"/>
            </w:tcBorders>
            <w:vAlign w:val="center"/>
          </w:tcPr>
          <w:p w14:paraId="11B3FB0F"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40B31C28"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324BFCBB"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282B4F60"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090ED9E"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72F894C5"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4570499E"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7FC51C91"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7E5F5A4" w14:textId="77777777" w:rsidR="006F76EB" w:rsidRPr="00834D52" w:rsidRDefault="002C36BA" w:rsidP="002C36B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19A14F97" w14:textId="77777777" w:rsidTr="001A24A9">
        <w:trPr>
          <w:jc w:val="center"/>
        </w:trPr>
        <w:tc>
          <w:tcPr>
            <w:tcW w:w="1134" w:type="dxa"/>
            <w:tcBorders>
              <w:top w:val="nil"/>
              <w:left w:val="nil"/>
              <w:bottom w:val="nil"/>
              <w:right w:val="nil"/>
            </w:tcBorders>
            <w:vAlign w:val="center"/>
          </w:tcPr>
          <w:p w14:paraId="07D96D00"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3B373DF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51500F1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075F6BE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2BA42A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6E9B9EB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6324A62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1007E22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197B581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BEF627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2178DB6D" w14:textId="77777777" w:rsidTr="001A24A9">
        <w:trPr>
          <w:jc w:val="center"/>
        </w:trPr>
        <w:tc>
          <w:tcPr>
            <w:tcW w:w="1134" w:type="dxa"/>
            <w:tcBorders>
              <w:top w:val="nil"/>
              <w:left w:val="nil"/>
              <w:bottom w:val="nil"/>
              <w:right w:val="nil"/>
            </w:tcBorders>
            <w:vAlign w:val="center"/>
          </w:tcPr>
          <w:p w14:paraId="5C771DF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3.2.S.2.</w:t>
            </w:r>
          </w:p>
        </w:tc>
        <w:tc>
          <w:tcPr>
            <w:tcW w:w="1276" w:type="dxa"/>
            <w:tcBorders>
              <w:top w:val="nil"/>
              <w:left w:val="nil"/>
              <w:bottom w:val="nil"/>
              <w:right w:val="nil"/>
            </w:tcBorders>
            <w:vAlign w:val="center"/>
          </w:tcPr>
          <w:p w14:paraId="60C5327E"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082EFA99"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0D506580"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0528F87"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A591871"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270B7E32"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7EF50127"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183A2FD4"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B4998D5"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568F2CA1" w14:textId="77777777" w:rsidTr="001A24A9">
        <w:trPr>
          <w:jc w:val="center"/>
        </w:trPr>
        <w:tc>
          <w:tcPr>
            <w:tcW w:w="1134" w:type="dxa"/>
            <w:tcBorders>
              <w:top w:val="nil"/>
              <w:left w:val="nil"/>
              <w:bottom w:val="nil"/>
              <w:right w:val="nil"/>
            </w:tcBorders>
            <w:vAlign w:val="center"/>
          </w:tcPr>
          <w:p w14:paraId="3486B95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3.2.S.3.</w:t>
            </w:r>
          </w:p>
        </w:tc>
        <w:tc>
          <w:tcPr>
            <w:tcW w:w="1276" w:type="dxa"/>
            <w:tcBorders>
              <w:top w:val="nil"/>
              <w:left w:val="nil"/>
              <w:bottom w:val="nil"/>
              <w:right w:val="nil"/>
            </w:tcBorders>
            <w:vAlign w:val="center"/>
          </w:tcPr>
          <w:p w14:paraId="2F812928"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0914A240"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77A125FF"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C3BA30A"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16EABD22"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66676A0"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63E1B795"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654CB8B3"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B56A89B" w14:textId="77777777" w:rsidR="006F76EB" w:rsidRPr="00834D52" w:rsidRDefault="00CE405F" w:rsidP="00CE405F">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3458F862" w14:textId="77777777" w:rsidTr="001A24A9">
        <w:trPr>
          <w:jc w:val="center"/>
        </w:trPr>
        <w:tc>
          <w:tcPr>
            <w:tcW w:w="1134" w:type="dxa"/>
            <w:tcBorders>
              <w:top w:val="nil"/>
              <w:left w:val="nil"/>
              <w:bottom w:val="nil"/>
              <w:right w:val="nil"/>
            </w:tcBorders>
            <w:vAlign w:val="center"/>
          </w:tcPr>
          <w:p w14:paraId="4DB0130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3.2.S.4.</w:t>
            </w:r>
          </w:p>
        </w:tc>
        <w:tc>
          <w:tcPr>
            <w:tcW w:w="1276" w:type="dxa"/>
            <w:tcBorders>
              <w:top w:val="nil"/>
              <w:left w:val="nil"/>
              <w:bottom w:val="nil"/>
              <w:right w:val="nil"/>
            </w:tcBorders>
            <w:vAlign w:val="center"/>
          </w:tcPr>
          <w:p w14:paraId="76D6B4A7"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25DD64F4"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3976A8E7"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83A6B9B"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143EC9F1"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7D5D19B"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70D703D8"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03BB5BD3"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5BE65EC" w14:textId="77777777" w:rsidR="006F76EB" w:rsidRPr="00834D52" w:rsidRDefault="00D73647" w:rsidP="00D7364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712F3FBE" w14:textId="77777777" w:rsidTr="001A24A9">
        <w:trPr>
          <w:jc w:val="center"/>
        </w:trPr>
        <w:tc>
          <w:tcPr>
            <w:tcW w:w="1134" w:type="dxa"/>
            <w:tcBorders>
              <w:top w:val="nil"/>
              <w:left w:val="nil"/>
              <w:bottom w:val="nil"/>
              <w:right w:val="nil"/>
            </w:tcBorders>
            <w:vAlign w:val="center"/>
          </w:tcPr>
          <w:p w14:paraId="543DA5C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3.2.S.5.</w:t>
            </w:r>
          </w:p>
        </w:tc>
        <w:tc>
          <w:tcPr>
            <w:tcW w:w="1276" w:type="dxa"/>
            <w:tcBorders>
              <w:top w:val="nil"/>
              <w:left w:val="nil"/>
              <w:bottom w:val="nil"/>
              <w:right w:val="nil"/>
            </w:tcBorders>
            <w:vAlign w:val="center"/>
          </w:tcPr>
          <w:p w14:paraId="5C0DF638"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1EABB942"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3CEED691"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31AA5E5B"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6FF28F30"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76C253D"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1ADD784B" w14:textId="77777777" w:rsidR="006F76EB" w:rsidRPr="00834D52" w:rsidRDefault="00976DFA"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3D5C94A3"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23BEFE51" w14:textId="77777777" w:rsidR="006F76EB" w:rsidRPr="00834D52" w:rsidRDefault="00976DFA" w:rsidP="00976DF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58A436E5" w14:textId="77777777" w:rsidTr="001A24A9">
        <w:trPr>
          <w:jc w:val="center"/>
        </w:trPr>
        <w:tc>
          <w:tcPr>
            <w:tcW w:w="1134" w:type="dxa"/>
            <w:tcBorders>
              <w:top w:val="nil"/>
              <w:left w:val="nil"/>
              <w:bottom w:val="nil"/>
              <w:right w:val="nil"/>
            </w:tcBorders>
            <w:vAlign w:val="center"/>
          </w:tcPr>
          <w:p w14:paraId="3CAD3F74"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5D68207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7EB2D24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2D3974C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104132A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04049D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D5E9B6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217C520D"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396486D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60953F2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54C58636" w14:textId="77777777" w:rsidTr="001A24A9">
        <w:trPr>
          <w:jc w:val="center"/>
        </w:trPr>
        <w:tc>
          <w:tcPr>
            <w:tcW w:w="1134" w:type="dxa"/>
            <w:tcBorders>
              <w:top w:val="nil"/>
              <w:left w:val="nil"/>
              <w:bottom w:val="nil"/>
              <w:right w:val="nil"/>
            </w:tcBorders>
            <w:vAlign w:val="center"/>
          </w:tcPr>
          <w:p w14:paraId="2EDAE1D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3.2.S.6.</w:t>
            </w:r>
          </w:p>
        </w:tc>
        <w:tc>
          <w:tcPr>
            <w:tcW w:w="1276" w:type="dxa"/>
            <w:tcBorders>
              <w:top w:val="nil"/>
              <w:left w:val="nil"/>
              <w:bottom w:val="nil"/>
              <w:right w:val="nil"/>
            </w:tcBorders>
            <w:vAlign w:val="center"/>
          </w:tcPr>
          <w:p w14:paraId="1E167EC6"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Pr="00834D52" w:rsidDel="00FE0E62">
              <w:rPr>
                <w:rFonts w:ascii="Sylfaen" w:hAnsi="Sylfaen"/>
                <w:sz w:val="24"/>
                <w:szCs w:val="24"/>
              </w:rPr>
              <w:t xml:space="preserve"> </w:t>
            </w:r>
          </w:p>
        </w:tc>
        <w:tc>
          <w:tcPr>
            <w:tcW w:w="1984" w:type="dxa"/>
            <w:tcBorders>
              <w:top w:val="nil"/>
              <w:left w:val="nil"/>
              <w:bottom w:val="nil"/>
              <w:right w:val="nil"/>
            </w:tcBorders>
            <w:vAlign w:val="center"/>
          </w:tcPr>
          <w:p w14:paraId="600A35F7"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02C51BE0"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ECB1D5D"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1327372"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7783B427"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12A330E9"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19980E1F"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9628CEE" w14:textId="77777777" w:rsidR="006F76EB" w:rsidRPr="00834D52" w:rsidRDefault="00FE0E62" w:rsidP="00FE0E62">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3A81BD77" w14:textId="77777777" w:rsidTr="001A24A9">
        <w:trPr>
          <w:jc w:val="center"/>
        </w:trPr>
        <w:tc>
          <w:tcPr>
            <w:tcW w:w="1134" w:type="dxa"/>
            <w:tcBorders>
              <w:top w:val="nil"/>
              <w:left w:val="nil"/>
              <w:bottom w:val="nil"/>
              <w:right w:val="nil"/>
            </w:tcBorders>
            <w:vAlign w:val="center"/>
          </w:tcPr>
          <w:p w14:paraId="38BABA48"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6E892EE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FD8359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448CE98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6CE89E3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3097AB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0DB5B24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0E83E6B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7536CD6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5273AB5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06B45BBC" w14:textId="77777777" w:rsidTr="001A24A9">
        <w:trPr>
          <w:jc w:val="center"/>
        </w:trPr>
        <w:tc>
          <w:tcPr>
            <w:tcW w:w="1134" w:type="dxa"/>
            <w:tcBorders>
              <w:top w:val="nil"/>
              <w:left w:val="nil"/>
              <w:bottom w:val="nil"/>
              <w:right w:val="nil"/>
            </w:tcBorders>
            <w:vAlign w:val="center"/>
          </w:tcPr>
          <w:p w14:paraId="1E4E5E4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3.2.S.7.</w:t>
            </w:r>
          </w:p>
        </w:tc>
        <w:tc>
          <w:tcPr>
            <w:tcW w:w="1276" w:type="dxa"/>
            <w:tcBorders>
              <w:top w:val="nil"/>
              <w:left w:val="nil"/>
              <w:bottom w:val="nil"/>
              <w:right w:val="nil"/>
            </w:tcBorders>
            <w:vAlign w:val="center"/>
          </w:tcPr>
          <w:p w14:paraId="3F84117A"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489F51EE"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231704C9"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451F4705"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BF466E7"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A1C8ED3"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44A00580"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49FFD8F7"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73350EC" w14:textId="77777777" w:rsidR="006F76EB" w:rsidRPr="00834D52" w:rsidRDefault="002D2ED7" w:rsidP="002D2ED7">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73EBC530" w14:textId="77777777" w:rsidTr="001A24A9">
        <w:trPr>
          <w:jc w:val="center"/>
        </w:trPr>
        <w:tc>
          <w:tcPr>
            <w:tcW w:w="1134" w:type="dxa"/>
            <w:tcBorders>
              <w:top w:val="nil"/>
              <w:left w:val="nil"/>
              <w:bottom w:val="nil"/>
              <w:right w:val="nil"/>
            </w:tcBorders>
            <w:vAlign w:val="center"/>
          </w:tcPr>
          <w:p w14:paraId="502FE14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w:t>
            </w:r>
          </w:p>
        </w:tc>
        <w:tc>
          <w:tcPr>
            <w:tcW w:w="1276" w:type="dxa"/>
            <w:tcBorders>
              <w:top w:val="nil"/>
              <w:left w:val="nil"/>
              <w:bottom w:val="nil"/>
              <w:right w:val="nil"/>
            </w:tcBorders>
            <w:vAlign w:val="center"/>
          </w:tcPr>
          <w:p w14:paraId="57E28AE1"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28F6C004"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1D3130F9"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33079EE"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75C25F26"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3CC91DC8"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0A885E7F"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C9DE3A3"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032B237"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667B00B8" w14:textId="77777777" w:rsidTr="001A24A9">
        <w:trPr>
          <w:jc w:val="center"/>
        </w:trPr>
        <w:tc>
          <w:tcPr>
            <w:tcW w:w="1134" w:type="dxa"/>
            <w:tcBorders>
              <w:top w:val="nil"/>
              <w:left w:val="nil"/>
              <w:bottom w:val="nil"/>
              <w:right w:val="nil"/>
            </w:tcBorders>
            <w:vAlign w:val="center"/>
          </w:tcPr>
          <w:p w14:paraId="36F8C12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3.2.Р.1.</w:t>
            </w:r>
          </w:p>
        </w:tc>
        <w:tc>
          <w:tcPr>
            <w:tcW w:w="1276" w:type="dxa"/>
            <w:tcBorders>
              <w:top w:val="nil"/>
              <w:left w:val="nil"/>
              <w:bottom w:val="nil"/>
              <w:right w:val="nil"/>
            </w:tcBorders>
            <w:vAlign w:val="center"/>
          </w:tcPr>
          <w:p w14:paraId="001661EA"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75B70DB2"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418" w:type="dxa"/>
            <w:tcBorders>
              <w:top w:val="nil"/>
              <w:left w:val="nil"/>
              <w:bottom w:val="nil"/>
              <w:right w:val="nil"/>
            </w:tcBorders>
            <w:vAlign w:val="center"/>
          </w:tcPr>
          <w:p w14:paraId="0A954EA5"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560" w:type="dxa"/>
            <w:tcBorders>
              <w:top w:val="nil"/>
              <w:left w:val="nil"/>
              <w:bottom w:val="nil"/>
              <w:right w:val="nil"/>
            </w:tcBorders>
            <w:vAlign w:val="center"/>
          </w:tcPr>
          <w:p w14:paraId="1CF6BD20"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40C23C68"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76943C11"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2FD153A9"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0C833B10"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217D7EED" w14:textId="77777777" w:rsidR="006F76EB" w:rsidRPr="00834D52" w:rsidRDefault="00B80961" w:rsidP="00B8096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5ECA09FF" w14:textId="77777777" w:rsidTr="001A24A9">
        <w:trPr>
          <w:jc w:val="center"/>
        </w:trPr>
        <w:tc>
          <w:tcPr>
            <w:tcW w:w="1134" w:type="dxa"/>
            <w:tcBorders>
              <w:top w:val="nil"/>
              <w:left w:val="nil"/>
              <w:bottom w:val="nil"/>
              <w:right w:val="nil"/>
            </w:tcBorders>
            <w:vAlign w:val="center"/>
          </w:tcPr>
          <w:p w14:paraId="17D77CA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3.2.Р.2.</w:t>
            </w:r>
          </w:p>
        </w:tc>
        <w:tc>
          <w:tcPr>
            <w:tcW w:w="1276" w:type="dxa"/>
            <w:tcBorders>
              <w:top w:val="nil"/>
              <w:left w:val="nil"/>
              <w:bottom w:val="nil"/>
              <w:right w:val="nil"/>
            </w:tcBorders>
            <w:vAlign w:val="center"/>
          </w:tcPr>
          <w:p w14:paraId="40D58BB3" w14:textId="77777777" w:rsidR="006F76EB" w:rsidRPr="00834D52" w:rsidRDefault="00397A04" w:rsidP="00397A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5B5D2FFC" w14:textId="77777777" w:rsidR="006F76EB" w:rsidRPr="00834D52" w:rsidRDefault="00397A04" w:rsidP="00397A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2106CE36" w14:textId="77777777" w:rsidR="006F76EB" w:rsidRPr="00834D52" w:rsidRDefault="00397A04" w:rsidP="00397A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D21A42B" w14:textId="77777777" w:rsidR="006F76EB" w:rsidRPr="00834D52" w:rsidRDefault="00397A04" w:rsidP="00397A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EA3C217" w14:textId="77777777" w:rsidR="006F76EB" w:rsidRPr="00834D52" w:rsidRDefault="00397A04" w:rsidP="00397A0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5B59B63C" w14:textId="77777777" w:rsidR="006F76EB" w:rsidRPr="00834D52" w:rsidRDefault="00397A04" w:rsidP="00F71229">
            <w:pPr>
              <w:spacing w:after="120" w:line="240" w:lineRule="auto"/>
              <w:ind w:right="-8"/>
              <w:jc w:val="center"/>
              <w:rPr>
                <w:rFonts w:ascii="Sylfaen" w:hAnsi="Sylfaen"/>
                <w:sz w:val="24"/>
                <w:szCs w:val="24"/>
              </w:rPr>
            </w:pPr>
            <w:r>
              <w:rPr>
                <w:rFonts w:ascii="Sylfaen" w:hAnsi="Sylfaen"/>
                <w:sz w:val="24"/>
                <w:szCs w:val="24"/>
              </w:rPr>
              <w:t>-</w:t>
            </w:r>
          </w:p>
        </w:tc>
        <w:tc>
          <w:tcPr>
            <w:tcW w:w="1701" w:type="dxa"/>
            <w:tcBorders>
              <w:top w:val="nil"/>
              <w:left w:val="nil"/>
              <w:bottom w:val="nil"/>
              <w:right w:val="nil"/>
            </w:tcBorders>
            <w:vAlign w:val="center"/>
          </w:tcPr>
          <w:p w14:paraId="1BB0F963" w14:textId="77777777" w:rsidR="006F76EB" w:rsidRPr="00834D52" w:rsidRDefault="00397A04"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6F5BF96B" w14:textId="77777777" w:rsidR="006F76EB" w:rsidRPr="00834D52" w:rsidRDefault="00397A04" w:rsidP="00F71229">
            <w:pPr>
              <w:spacing w:after="120" w:line="240" w:lineRule="auto"/>
              <w:ind w:right="-8"/>
              <w:jc w:val="center"/>
              <w:rPr>
                <w:rFonts w:ascii="Sylfaen" w:hAnsi="Sylfaen"/>
                <w:sz w:val="24"/>
                <w:szCs w:val="24"/>
              </w:rPr>
            </w:pPr>
            <w:r>
              <w:rPr>
                <w:rFonts w:ascii="Sylfaen" w:hAnsi="Sylfaen"/>
                <w:sz w:val="24"/>
                <w:szCs w:val="24"/>
              </w:rPr>
              <w:t>-</w:t>
            </w:r>
          </w:p>
        </w:tc>
        <w:tc>
          <w:tcPr>
            <w:tcW w:w="1560" w:type="dxa"/>
            <w:tcBorders>
              <w:top w:val="nil"/>
              <w:left w:val="nil"/>
              <w:bottom w:val="nil"/>
              <w:right w:val="nil"/>
            </w:tcBorders>
            <w:vAlign w:val="center"/>
          </w:tcPr>
          <w:p w14:paraId="367C6F63" w14:textId="77777777" w:rsidR="006F76EB" w:rsidRPr="00834D52" w:rsidRDefault="00397A04" w:rsidP="00F71229">
            <w:pPr>
              <w:spacing w:after="120" w:line="240" w:lineRule="auto"/>
              <w:ind w:right="-8"/>
              <w:jc w:val="center"/>
              <w:rPr>
                <w:rFonts w:ascii="Sylfaen" w:hAnsi="Sylfaen"/>
                <w:sz w:val="24"/>
                <w:szCs w:val="24"/>
              </w:rPr>
            </w:pPr>
            <w:r>
              <w:rPr>
                <w:rFonts w:ascii="Sylfaen" w:hAnsi="Sylfaen"/>
                <w:sz w:val="24"/>
                <w:szCs w:val="24"/>
              </w:rPr>
              <w:t>-</w:t>
            </w:r>
          </w:p>
        </w:tc>
      </w:tr>
      <w:tr w:rsidR="006F76EB" w:rsidRPr="00834D52" w14:paraId="6E7A4004" w14:textId="77777777" w:rsidTr="001A24A9">
        <w:trPr>
          <w:jc w:val="center"/>
        </w:trPr>
        <w:tc>
          <w:tcPr>
            <w:tcW w:w="1134" w:type="dxa"/>
            <w:tcBorders>
              <w:top w:val="nil"/>
              <w:left w:val="nil"/>
              <w:bottom w:val="nil"/>
              <w:right w:val="nil"/>
            </w:tcBorders>
            <w:vAlign w:val="center"/>
          </w:tcPr>
          <w:p w14:paraId="07EE5E1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3.2.Р.3.</w:t>
            </w:r>
          </w:p>
        </w:tc>
        <w:tc>
          <w:tcPr>
            <w:tcW w:w="1276" w:type="dxa"/>
            <w:tcBorders>
              <w:top w:val="nil"/>
              <w:left w:val="nil"/>
              <w:bottom w:val="nil"/>
              <w:right w:val="nil"/>
            </w:tcBorders>
            <w:vAlign w:val="center"/>
          </w:tcPr>
          <w:p w14:paraId="5E9C8C1E"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36B84D17"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57723E4D"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54CCECBC"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54A2BD31"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0240D2ED"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0BE88493"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7232B0E7"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DB972EA" w14:textId="77777777" w:rsidR="006F76EB" w:rsidRPr="00834D52" w:rsidRDefault="00AC781D" w:rsidP="00AC781D">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026DD384" w14:textId="77777777" w:rsidTr="001A24A9">
        <w:trPr>
          <w:jc w:val="center"/>
        </w:trPr>
        <w:tc>
          <w:tcPr>
            <w:tcW w:w="1134" w:type="dxa"/>
            <w:tcBorders>
              <w:top w:val="nil"/>
              <w:left w:val="nil"/>
              <w:bottom w:val="nil"/>
              <w:right w:val="nil"/>
            </w:tcBorders>
            <w:vAlign w:val="center"/>
          </w:tcPr>
          <w:p w14:paraId="62F6BE7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3.2.Р.4.</w:t>
            </w:r>
          </w:p>
        </w:tc>
        <w:tc>
          <w:tcPr>
            <w:tcW w:w="1276" w:type="dxa"/>
            <w:tcBorders>
              <w:top w:val="nil"/>
              <w:left w:val="nil"/>
              <w:bottom w:val="nil"/>
              <w:right w:val="nil"/>
            </w:tcBorders>
            <w:vAlign w:val="center"/>
          </w:tcPr>
          <w:p w14:paraId="2EF562A6"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16D65379"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Pr="00834D52" w:rsidDel="00210BBE">
              <w:rPr>
                <w:rFonts w:ascii="Sylfaen" w:hAnsi="Sylfaen"/>
                <w:sz w:val="24"/>
                <w:szCs w:val="24"/>
              </w:rPr>
              <w:t xml:space="preserve"> </w:t>
            </w:r>
          </w:p>
        </w:tc>
        <w:tc>
          <w:tcPr>
            <w:tcW w:w="1418" w:type="dxa"/>
            <w:tcBorders>
              <w:top w:val="nil"/>
              <w:left w:val="nil"/>
              <w:bottom w:val="nil"/>
              <w:right w:val="nil"/>
            </w:tcBorders>
            <w:vAlign w:val="center"/>
          </w:tcPr>
          <w:p w14:paraId="374D0247"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205D35E9"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2E9F680"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54A25195"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7220AD19"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6A9D8E77"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396F6B22" w14:textId="77777777" w:rsidR="006F76EB" w:rsidRPr="00834D52" w:rsidRDefault="00210BBE" w:rsidP="00210BBE">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01623919" w14:textId="77777777" w:rsidTr="001A24A9">
        <w:trPr>
          <w:jc w:val="center"/>
        </w:trPr>
        <w:tc>
          <w:tcPr>
            <w:tcW w:w="1134" w:type="dxa"/>
            <w:tcBorders>
              <w:top w:val="nil"/>
              <w:left w:val="nil"/>
              <w:bottom w:val="nil"/>
              <w:right w:val="nil"/>
            </w:tcBorders>
            <w:vAlign w:val="center"/>
          </w:tcPr>
          <w:p w14:paraId="4A58327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3.2.Р.5.</w:t>
            </w:r>
          </w:p>
        </w:tc>
        <w:tc>
          <w:tcPr>
            <w:tcW w:w="1276" w:type="dxa"/>
            <w:tcBorders>
              <w:top w:val="nil"/>
              <w:left w:val="nil"/>
              <w:bottom w:val="nil"/>
              <w:right w:val="nil"/>
            </w:tcBorders>
            <w:vAlign w:val="center"/>
          </w:tcPr>
          <w:p w14:paraId="3494CBF6"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p>
        </w:tc>
        <w:tc>
          <w:tcPr>
            <w:tcW w:w="1984" w:type="dxa"/>
            <w:tcBorders>
              <w:top w:val="nil"/>
              <w:left w:val="nil"/>
              <w:bottom w:val="nil"/>
              <w:right w:val="nil"/>
            </w:tcBorders>
            <w:vAlign w:val="center"/>
          </w:tcPr>
          <w:p w14:paraId="4B6166D8"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72B35B6F"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5C7B1E6"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900B912"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6BC8AC52"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0C87BC41"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4E4DC3D5"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85EA164" w14:textId="77777777" w:rsidR="006F76EB" w:rsidRPr="00834D52" w:rsidRDefault="00212723" w:rsidP="00212723">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0C365EC3" w14:textId="77777777" w:rsidTr="001A24A9">
        <w:trPr>
          <w:jc w:val="center"/>
        </w:trPr>
        <w:tc>
          <w:tcPr>
            <w:tcW w:w="1134" w:type="dxa"/>
            <w:tcBorders>
              <w:top w:val="nil"/>
              <w:left w:val="nil"/>
              <w:bottom w:val="nil"/>
              <w:right w:val="nil"/>
            </w:tcBorders>
            <w:vAlign w:val="center"/>
          </w:tcPr>
          <w:p w14:paraId="3035174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3.2.Р.6.</w:t>
            </w:r>
          </w:p>
        </w:tc>
        <w:tc>
          <w:tcPr>
            <w:tcW w:w="1276" w:type="dxa"/>
            <w:tcBorders>
              <w:top w:val="nil"/>
              <w:left w:val="nil"/>
              <w:bottom w:val="nil"/>
              <w:right w:val="nil"/>
            </w:tcBorders>
            <w:vAlign w:val="center"/>
          </w:tcPr>
          <w:p w14:paraId="7FCBA6AF"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42C67861"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5304F994"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0E78287"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4C872DC3"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78F37EEF"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30598E1D"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76ADA89A"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7F2A1361" w14:textId="77777777" w:rsidR="006F76EB" w:rsidRPr="00834D52" w:rsidRDefault="006F76EB" w:rsidP="00F71229">
            <w:pPr>
              <w:spacing w:after="120" w:line="240" w:lineRule="auto"/>
              <w:ind w:right="-8"/>
              <w:jc w:val="center"/>
              <w:rPr>
                <w:rFonts w:ascii="Sylfaen" w:hAnsi="Sylfaen"/>
                <w:sz w:val="24"/>
                <w:szCs w:val="24"/>
              </w:rPr>
            </w:pPr>
          </w:p>
        </w:tc>
      </w:tr>
      <w:tr w:rsidR="006F76EB" w:rsidRPr="00834D52" w14:paraId="262DC8D1" w14:textId="77777777" w:rsidTr="001A24A9">
        <w:trPr>
          <w:jc w:val="center"/>
        </w:trPr>
        <w:tc>
          <w:tcPr>
            <w:tcW w:w="1134" w:type="dxa"/>
            <w:tcBorders>
              <w:top w:val="nil"/>
              <w:left w:val="nil"/>
              <w:bottom w:val="nil"/>
              <w:right w:val="nil"/>
            </w:tcBorders>
            <w:vAlign w:val="center"/>
          </w:tcPr>
          <w:p w14:paraId="1CDE0F5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3.2.Р.7.</w:t>
            </w:r>
          </w:p>
        </w:tc>
        <w:tc>
          <w:tcPr>
            <w:tcW w:w="1276" w:type="dxa"/>
            <w:tcBorders>
              <w:top w:val="nil"/>
              <w:left w:val="nil"/>
              <w:bottom w:val="nil"/>
              <w:right w:val="nil"/>
            </w:tcBorders>
            <w:vAlign w:val="center"/>
          </w:tcPr>
          <w:p w14:paraId="0DFE8446"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78252FD8"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45A95712"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C7E3312"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6079F1BC"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413B9BFA"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26DBA821"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53CDB974"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6506B37" w14:textId="77777777" w:rsidR="006F76EB" w:rsidRPr="00834D52" w:rsidRDefault="003A6784" w:rsidP="003A6784">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3682BC30" w14:textId="77777777" w:rsidTr="001A24A9">
        <w:trPr>
          <w:jc w:val="center"/>
        </w:trPr>
        <w:tc>
          <w:tcPr>
            <w:tcW w:w="1134" w:type="dxa"/>
            <w:tcBorders>
              <w:top w:val="nil"/>
              <w:left w:val="nil"/>
              <w:bottom w:val="nil"/>
              <w:right w:val="nil"/>
            </w:tcBorders>
            <w:vAlign w:val="center"/>
          </w:tcPr>
          <w:p w14:paraId="457DB75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3.2.Р.8.</w:t>
            </w:r>
          </w:p>
        </w:tc>
        <w:tc>
          <w:tcPr>
            <w:tcW w:w="1276" w:type="dxa"/>
            <w:tcBorders>
              <w:top w:val="nil"/>
              <w:left w:val="nil"/>
              <w:bottom w:val="nil"/>
              <w:right w:val="nil"/>
            </w:tcBorders>
            <w:vAlign w:val="center"/>
          </w:tcPr>
          <w:p w14:paraId="02F068E5"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5BF4C134"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57A4C195"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6A34BDD"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21A25C37"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6CB87847"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7BEB34E0"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275" w:type="dxa"/>
            <w:tcBorders>
              <w:top w:val="nil"/>
              <w:left w:val="nil"/>
              <w:bottom w:val="nil"/>
              <w:right w:val="nil"/>
            </w:tcBorders>
            <w:vAlign w:val="center"/>
          </w:tcPr>
          <w:p w14:paraId="09586399"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EF19F8E" w14:textId="77777777" w:rsidR="006F76EB" w:rsidRPr="00834D52" w:rsidRDefault="00B03D1A" w:rsidP="00B03D1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77F9BA26" w14:textId="77777777" w:rsidTr="001A24A9">
        <w:trPr>
          <w:jc w:val="center"/>
        </w:trPr>
        <w:tc>
          <w:tcPr>
            <w:tcW w:w="1134" w:type="dxa"/>
            <w:tcBorders>
              <w:top w:val="nil"/>
              <w:left w:val="nil"/>
              <w:bottom w:val="nil"/>
              <w:right w:val="nil"/>
            </w:tcBorders>
            <w:vAlign w:val="center"/>
          </w:tcPr>
          <w:p w14:paraId="507A60B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3.2.А.</w:t>
            </w:r>
          </w:p>
        </w:tc>
        <w:tc>
          <w:tcPr>
            <w:tcW w:w="1276" w:type="dxa"/>
            <w:tcBorders>
              <w:top w:val="nil"/>
              <w:left w:val="nil"/>
              <w:bottom w:val="nil"/>
              <w:right w:val="nil"/>
            </w:tcBorders>
            <w:vAlign w:val="center"/>
          </w:tcPr>
          <w:p w14:paraId="01DD402D"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1FF39CD9"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5FD4E189"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04DD382A"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5C04C3F"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2D39CE13"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1DA389CB" w14:textId="77777777" w:rsidR="006F76EB" w:rsidRPr="00834D52" w:rsidRDefault="00FF2891"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5E9F0E3"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1ACAFA87" w14:textId="77777777" w:rsidR="006F76EB" w:rsidRPr="00834D52" w:rsidRDefault="00FF2891" w:rsidP="00FF289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7686E9A6" w14:textId="77777777" w:rsidTr="001A24A9">
        <w:trPr>
          <w:jc w:val="center"/>
        </w:trPr>
        <w:tc>
          <w:tcPr>
            <w:tcW w:w="1134" w:type="dxa"/>
            <w:tcBorders>
              <w:top w:val="nil"/>
              <w:left w:val="nil"/>
              <w:bottom w:val="nil"/>
              <w:right w:val="nil"/>
            </w:tcBorders>
            <w:vAlign w:val="center"/>
          </w:tcPr>
          <w:p w14:paraId="42672AFB"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0AE8BDA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DC124D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15AEE5C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1B2F54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7978EF7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F87DBD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0A09635B"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5355FE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0BAC92C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5C83DEB" w14:textId="77777777" w:rsidTr="001A24A9">
        <w:trPr>
          <w:jc w:val="center"/>
        </w:trPr>
        <w:tc>
          <w:tcPr>
            <w:tcW w:w="1134" w:type="dxa"/>
            <w:tcBorders>
              <w:top w:val="nil"/>
              <w:left w:val="nil"/>
              <w:bottom w:val="nil"/>
              <w:right w:val="nil"/>
            </w:tcBorders>
            <w:vAlign w:val="center"/>
          </w:tcPr>
          <w:p w14:paraId="30BE88F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3.2.А.1.</w:t>
            </w:r>
          </w:p>
        </w:tc>
        <w:tc>
          <w:tcPr>
            <w:tcW w:w="1276" w:type="dxa"/>
            <w:tcBorders>
              <w:top w:val="nil"/>
              <w:left w:val="nil"/>
              <w:bottom w:val="nil"/>
              <w:right w:val="nil"/>
            </w:tcBorders>
            <w:vAlign w:val="center"/>
          </w:tcPr>
          <w:p w14:paraId="1898D807"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984" w:type="dxa"/>
            <w:tcBorders>
              <w:top w:val="nil"/>
              <w:left w:val="nil"/>
              <w:bottom w:val="nil"/>
              <w:right w:val="nil"/>
            </w:tcBorders>
            <w:vAlign w:val="center"/>
          </w:tcPr>
          <w:p w14:paraId="3AA440C9"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8" w:type="dxa"/>
            <w:tcBorders>
              <w:top w:val="nil"/>
              <w:left w:val="nil"/>
              <w:bottom w:val="nil"/>
              <w:right w:val="nil"/>
            </w:tcBorders>
            <w:vAlign w:val="center"/>
          </w:tcPr>
          <w:p w14:paraId="4A563A5B"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69099F01"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417" w:type="dxa"/>
            <w:tcBorders>
              <w:top w:val="nil"/>
              <w:left w:val="nil"/>
              <w:bottom w:val="nil"/>
              <w:right w:val="nil"/>
            </w:tcBorders>
            <w:vAlign w:val="center"/>
          </w:tcPr>
          <w:p w14:paraId="3125E36C"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59" w:type="dxa"/>
            <w:tcBorders>
              <w:top w:val="nil"/>
              <w:left w:val="nil"/>
              <w:bottom w:val="nil"/>
              <w:right w:val="nil"/>
            </w:tcBorders>
            <w:vAlign w:val="center"/>
          </w:tcPr>
          <w:p w14:paraId="15927BF5"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701" w:type="dxa"/>
            <w:tcBorders>
              <w:top w:val="nil"/>
              <w:left w:val="nil"/>
              <w:bottom w:val="nil"/>
              <w:right w:val="nil"/>
            </w:tcBorders>
            <w:vAlign w:val="center"/>
          </w:tcPr>
          <w:p w14:paraId="2FAA11B0" w14:textId="77777777" w:rsidR="006F76EB" w:rsidRPr="00834D52" w:rsidRDefault="003820D1" w:rsidP="00F71229">
            <w:pPr>
              <w:spacing w:after="120" w:line="240" w:lineRule="auto"/>
              <w:ind w:right="-8"/>
              <w:jc w:val="center"/>
              <w:rPr>
                <w:rFonts w:ascii="Sylfaen" w:hAnsi="Sylfaen"/>
                <w:sz w:val="24"/>
                <w:szCs w:val="24"/>
              </w:rPr>
            </w:pPr>
            <w:r>
              <w:rPr>
                <w:rFonts w:ascii="Sylfaen" w:hAnsi="Sylfaen"/>
                <w:sz w:val="24"/>
                <w:szCs w:val="24"/>
              </w:rPr>
              <w:t>-</w:t>
            </w:r>
          </w:p>
        </w:tc>
        <w:tc>
          <w:tcPr>
            <w:tcW w:w="1275" w:type="dxa"/>
            <w:tcBorders>
              <w:top w:val="nil"/>
              <w:left w:val="nil"/>
              <w:bottom w:val="nil"/>
              <w:right w:val="nil"/>
            </w:tcBorders>
            <w:vAlign w:val="center"/>
          </w:tcPr>
          <w:p w14:paraId="2A7562CF"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c>
          <w:tcPr>
            <w:tcW w:w="1560" w:type="dxa"/>
            <w:tcBorders>
              <w:top w:val="nil"/>
              <w:left w:val="nil"/>
              <w:bottom w:val="nil"/>
              <w:right w:val="nil"/>
            </w:tcBorders>
            <w:vAlign w:val="center"/>
          </w:tcPr>
          <w:p w14:paraId="745C58D1" w14:textId="77777777" w:rsidR="006F76EB" w:rsidRPr="00834D52" w:rsidRDefault="003820D1" w:rsidP="003820D1">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 xml:space="preserve">+ </w:t>
            </w:r>
          </w:p>
        </w:tc>
      </w:tr>
      <w:tr w:rsidR="006F76EB" w:rsidRPr="00834D52" w14:paraId="132E82D3" w14:textId="77777777" w:rsidTr="001A24A9">
        <w:trPr>
          <w:trHeight w:val="553"/>
          <w:jc w:val="center"/>
        </w:trPr>
        <w:tc>
          <w:tcPr>
            <w:tcW w:w="1134" w:type="dxa"/>
            <w:tcBorders>
              <w:top w:val="nil"/>
              <w:left w:val="nil"/>
              <w:bottom w:val="nil"/>
              <w:right w:val="nil"/>
            </w:tcBorders>
            <w:vAlign w:val="center"/>
          </w:tcPr>
          <w:p w14:paraId="3DFC1ABE"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0B9AB19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489C653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32E2F97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88A37C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798BBC4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00C356A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60DFEA35"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0928CD2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D53CEB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0A8FFCE9" w14:textId="77777777" w:rsidTr="001A24A9">
        <w:trPr>
          <w:jc w:val="center"/>
        </w:trPr>
        <w:tc>
          <w:tcPr>
            <w:tcW w:w="1134" w:type="dxa"/>
            <w:tcBorders>
              <w:top w:val="nil"/>
              <w:left w:val="nil"/>
              <w:bottom w:val="nil"/>
              <w:right w:val="nil"/>
            </w:tcBorders>
            <w:vAlign w:val="center"/>
          </w:tcPr>
          <w:p w14:paraId="7A5D969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3.2.А.2.</w:t>
            </w:r>
          </w:p>
        </w:tc>
        <w:tc>
          <w:tcPr>
            <w:tcW w:w="1276" w:type="dxa"/>
            <w:tcBorders>
              <w:top w:val="nil"/>
              <w:left w:val="nil"/>
              <w:bottom w:val="nil"/>
              <w:right w:val="nil"/>
            </w:tcBorders>
            <w:vAlign w:val="center"/>
          </w:tcPr>
          <w:p w14:paraId="73680D8D" w14:textId="77777777" w:rsidR="006F76EB" w:rsidRPr="00F26B87" w:rsidRDefault="00F26B87" w:rsidP="00F71229">
            <w:pPr>
              <w:spacing w:after="120" w:line="240" w:lineRule="auto"/>
              <w:ind w:right="-8"/>
              <w:jc w:val="center"/>
              <w:rPr>
                <w:rFonts w:ascii="Sylfaen" w:eastAsia="Times New Roman" w:hAnsi="Sylfaen" w:cs="Times New Roman"/>
                <w:sz w:val="24"/>
                <w:szCs w:val="24"/>
                <w:lang w:val="ru-RU"/>
              </w:rPr>
            </w:pPr>
            <w:r>
              <w:rPr>
                <w:rFonts w:ascii="Sylfaen" w:hAnsi="Sylfaen"/>
                <w:sz w:val="24"/>
                <w:szCs w:val="24"/>
                <w:lang w:val="ru-RU"/>
              </w:rPr>
              <w:t>+</w:t>
            </w:r>
          </w:p>
        </w:tc>
        <w:tc>
          <w:tcPr>
            <w:tcW w:w="1984" w:type="dxa"/>
            <w:tcBorders>
              <w:top w:val="nil"/>
              <w:left w:val="nil"/>
              <w:bottom w:val="nil"/>
              <w:right w:val="nil"/>
            </w:tcBorders>
            <w:vAlign w:val="center"/>
          </w:tcPr>
          <w:p w14:paraId="79DCD8A0" w14:textId="77777777" w:rsidR="006F76EB" w:rsidRPr="00834D52" w:rsidRDefault="00F26B87"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286F5C73" w14:textId="77777777" w:rsidR="006F76EB" w:rsidRPr="00834D52" w:rsidRDefault="00F26B87"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533A7806" w14:textId="77777777" w:rsidR="006F76EB" w:rsidRPr="00834D52" w:rsidRDefault="00F26B87"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051B6CA1" w14:textId="77777777" w:rsidR="006F76EB" w:rsidRPr="00834D52" w:rsidRDefault="00CB05D5" w:rsidP="00CB05D5">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082305ED" w14:textId="77777777" w:rsidR="006F76EB" w:rsidRPr="00834D52" w:rsidRDefault="006F76EB" w:rsidP="00CB05D5">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CB05D5">
              <w:rPr>
                <w:rFonts w:ascii="Sylfaen" w:hAnsi="Sylfaen"/>
                <w:sz w:val="24"/>
                <w:szCs w:val="24"/>
                <w:lang w:val="ru-RU"/>
              </w:rPr>
              <w:t>+</w:t>
            </w:r>
            <w:r w:rsidRPr="00834D52">
              <w:rPr>
                <w:rFonts w:ascii="Sylfaen" w:hAnsi="Sylfaen"/>
                <w:sz w:val="24"/>
                <w:szCs w:val="24"/>
              </w:rPr>
              <w:t>)</w:t>
            </w:r>
          </w:p>
        </w:tc>
        <w:tc>
          <w:tcPr>
            <w:tcW w:w="1701" w:type="dxa"/>
            <w:tcBorders>
              <w:top w:val="nil"/>
              <w:left w:val="nil"/>
              <w:bottom w:val="nil"/>
              <w:right w:val="nil"/>
            </w:tcBorders>
            <w:vAlign w:val="center"/>
          </w:tcPr>
          <w:p w14:paraId="42A719BB" w14:textId="77777777" w:rsidR="006F76EB" w:rsidRPr="00CB05D5" w:rsidRDefault="00CB05D5"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1F930376" w14:textId="77777777" w:rsidR="006F76EB" w:rsidRPr="00834D52" w:rsidRDefault="00C72BDE"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Pr>
                <w:rFonts w:ascii="Sylfaen" w:hAnsi="Sylfaen"/>
                <w:sz w:val="24"/>
                <w:szCs w:val="24"/>
                <w:lang w:val="ru-RU"/>
              </w:rPr>
              <w:t>+</w:t>
            </w:r>
            <w:r w:rsidRPr="00834D52">
              <w:rPr>
                <w:rFonts w:ascii="Sylfaen" w:hAnsi="Sylfaen"/>
                <w:sz w:val="24"/>
                <w:szCs w:val="24"/>
              </w:rPr>
              <w:t>)</w:t>
            </w:r>
          </w:p>
        </w:tc>
        <w:tc>
          <w:tcPr>
            <w:tcW w:w="1560" w:type="dxa"/>
            <w:tcBorders>
              <w:top w:val="nil"/>
              <w:left w:val="nil"/>
              <w:bottom w:val="nil"/>
              <w:right w:val="nil"/>
            </w:tcBorders>
            <w:vAlign w:val="center"/>
          </w:tcPr>
          <w:p w14:paraId="65F88840" w14:textId="77777777" w:rsidR="006F76EB" w:rsidRPr="00834D52" w:rsidRDefault="00C72BDE"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Pr>
                <w:rFonts w:ascii="Sylfaen" w:hAnsi="Sylfaen"/>
                <w:sz w:val="24"/>
                <w:szCs w:val="24"/>
                <w:lang w:val="ru-RU"/>
              </w:rPr>
              <w:t>+</w:t>
            </w:r>
            <w:r w:rsidRPr="00834D52">
              <w:rPr>
                <w:rFonts w:ascii="Sylfaen" w:hAnsi="Sylfaen"/>
                <w:sz w:val="24"/>
                <w:szCs w:val="24"/>
              </w:rPr>
              <w:t>)</w:t>
            </w:r>
          </w:p>
        </w:tc>
      </w:tr>
      <w:tr w:rsidR="006F76EB" w:rsidRPr="00834D52" w14:paraId="75F4CAE9" w14:textId="77777777" w:rsidTr="001A24A9">
        <w:trPr>
          <w:jc w:val="center"/>
        </w:trPr>
        <w:tc>
          <w:tcPr>
            <w:tcW w:w="1134" w:type="dxa"/>
            <w:tcBorders>
              <w:top w:val="nil"/>
              <w:left w:val="nil"/>
              <w:bottom w:val="nil"/>
              <w:right w:val="nil"/>
            </w:tcBorders>
            <w:vAlign w:val="center"/>
          </w:tcPr>
          <w:p w14:paraId="50E61B3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3.2.А.3.</w:t>
            </w:r>
          </w:p>
        </w:tc>
        <w:tc>
          <w:tcPr>
            <w:tcW w:w="1276" w:type="dxa"/>
            <w:tcBorders>
              <w:top w:val="nil"/>
              <w:left w:val="nil"/>
              <w:bottom w:val="nil"/>
              <w:right w:val="nil"/>
            </w:tcBorders>
            <w:vAlign w:val="center"/>
          </w:tcPr>
          <w:p w14:paraId="26AEB2AC" w14:textId="77777777" w:rsidR="006F76EB" w:rsidRPr="00834D52" w:rsidRDefault="009F62EE" w:rsidP="009F62E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170931F9" w14:textId="77777777" w:rsidR="006F76EB" w:rsidRPr="009F62EE" w:rsidRDefault="009F62EE" w:rsidP="009F62EE">
            <w:pPr>
              <w:spacing w:after="120" w:line="240" w:lineRule="auto"/>
              <w:ind w:right="-8"/>
              <w:jc w:val="center"/>
              <w:rPr>
                <w:rFonts w:ascii="Sylfaen" w:eastAsia="Times New Roman" w:hAnsi="Sylfaen" w:cs="Times New Roma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56CEEDDB" w14:textId="77777777" w:rsidR="006F76EB" w:rsidRPr="009F62EE" w:rsidRDefault="009F62EE" w:rsidP="009F62EE">
            <w:pPr>
              <w:spacing w:after="120" w:line="240" w:lineRule="auto"/>
              <w:ind w:right="-8"/>
              <w:jc w:val="center"/>
              <w:rPr>
                <w:rFonts w:ascii="Sylfaen" w:eastAsia="Times New Roman" w:hAnsi="Sylfaen" w:cs="Times New Roma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5B87C093" w14:textId="77777777" w:rsidR="006F76EB" w:rsidRPr="00834D52" w:rsidRDefault="009F62EE" w:rsidP="009F62E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01F3B554" w14:textId="77777777" w:rsidR="006F76EB" w:rsidRPr="00834D52" w:rsidRDefault="009F62EE"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7D7FF688" w14:textId="77777777" w:rsidR="006F76EB" w:rsidRPr="00834D52" w:rsidRDefault="00F9343A"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Pr>
                <w:rFonts w:ascii="Sylfaen" w:hAnsi="Sylfaen"/>
                <w:sz w:val="24"/>
                <w:szCs w:val="24"/>
                <w:lang w:val="ru-RU"/>
              </w:rPr>
              <w:t>+</w:t>
            </w:r>
            <w:r w:rsidRPr="00834D52">
              <w:rPr>
                <w:rFonts w:ascii="Sylfaen" w:hAnsi="Sylfaen"/>
                <w:sz w:val="24"/>
                <w:szCs w:val="24"/>
              </w:rPr>
              <w:t>)</w:t>
            </w:r>
          </w:p>
        </w:tc>
        <w:tc>
          <w:tcPr>
            <w:tcW w:w="1701" w:type="dxa"/>
            <w:tcBorders>
              <w:top w:val="nil"/>
              <w:left w:val="nil"/>
              <w:bottom w:val="nil"/>
              <w:right w:val="nil"/>
            </w:tcBorders>
            <w:vAlign w:val="center"/>
          </w:tcPr>
          <w:p w14:paraId="3121C741" w14:textId="77777777" w:rsidR="006F76EB" w:rsidRPr="00F9343A" w:rsidRDefault="00F9343A"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77E5DF27" w14:textId="77777777" w:rsidR="006F76EB" w:rsidRPr="00834D52" w:rsidRDefault="006F76EB" w:rsidP="00F9343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F9343A">
              <w:rPr>
                <w:rFonts w:ascii="Sylfaen" w:hAnsi="Sylfaen"/>
                <w:sz w:val="24"/>
                <w:szCs w:val="24"/>
                <w:lang w:val="ru-RU"/>
              </w:rPr>
              <w:t>+</w:t>
            </w:r>
            <w:r w:rsidRPr="00834D52">
              <w:rPr>
                <w:rFonts w:ascii="Sylfaen" w:hAnsi="Sylfaen"/>
                <w:sz w:val="24"/>
                <w:szCs w:val="24"/>
              </w:rPr>
              <w:t>)</w:t>
            </w:r>
          </w:p>
        </w:tc>
        <w:tc>
          <w:tcPr>
            <w:tcW w:w="1560" w:type="dxa"/>
            <w:tcBorders>
              <w:top w:val="nil"/>
              <w:left w:val="nil"/>
              <w:bottom w:val="nil"/>
              <w:right w:val="nil"/>
            </w:tcBorders>
            <w:vAlign w:val="center"/>
          </w:tcPr>
          <w:p w14:paraId="48AED381" w14:textId="77777777" w:rsidR="006F76EB" w:rsidRPr="00834D52" w:rsidRDefault="006F76EB" w:rsidP="00F9343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F9343A">
              <w:rPr>
                <w:rFonts w:ascii="Sylfaen" w:hAnsi="Sylfaen"/>
                <w:sz w:val="24"/>
                <w:szCs w:val="24"/>
                <w:lang w:val="ru-RU"/>
              </w:rPr>
              <w:t>+</w:t>
            </w:r>
            <w:r w:rsidRPr="00834D52">
              <w:rPr>
                <w:rFonts w:ascii="Sylfaen" w:hAnsi="Sylfaen"/>
                <w:sz w:val="24"/>
                <w:szCs w:val="24"/>
              </w:rPr>
              <w:t>)</w:t>
            </w:r>
          </w:p>
        </w:tc>
      </w:tr>
      <w:tr w:rsidR="006F76EB" w:rsidRPr="00834D52" w14:paraId="377EF3EA" w14:textId="77777777" w:rsidTr="001A24A9">
        <w:trPr>
          <w:jc w:val="center"/>
        </w:trPr>
        <w:tc>
          <w:tcPr>
            <w:tcW w:w="1134" w:type="dxa"/>
            <w:tcBorders>
              <w:top w:val="nil"/>
              <w:left w:val="nil"/>
              <w:bottom w:val="nil"/>
              <w:right w:val="nil"/>
            </w:tcBorders>
            <w:vAlign w:val="center"/>
          </w:tcPr>
          <w:p w14:paraId="4B193EA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3.2.R.</w:t>
            </w:r>
          </w:p>
        </w:tc>
        <w:tc>
          <w:tcPr>
            <w:tcW w:w="1276" w:type="dxa"/>
            <w:tcBorders>
              <w:top w:val="nil"/>
              <w:left w:val="nil"/>
              <w:bottom w:val="nil"/>
              <w:right w:val="nil"/>
            </w:tcBorders>
            <w:vAlign w:val="center"/>
          </w:tcPr>
          <w:p w14:paraId="2286AB19"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235EAAA9"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01C5E14D"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1F60FA87"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6677BF52"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1AF39910" w14:textId="77777777" w:rsidR="006F76EB" w:rsidRPr="00834D52" w:rsidRDefault="006F76EB" w:rsidP="00A467DA">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w:t>
            </w:r>
            <w:r w:rsidR="00A467DA">
              <w:rPr>
                <w:rFonts w:ascii="Sylfaen" w:hAnsi="Sylfaen"/>
                <w:sz w:val="24"/>
                <w:szCs w:val="24"/>
                <w:lang w:val="ru-RU"/>
              </w:rPr>
              <w:t>+</w:t>
            </w:r>
            <w:r w:rsidRPr="00834D52">
              <w:rPr>
                <w:rFonts w:ascii="Sylfaen" w:hAnsi="Sylfaen"/>
                <w:sz w:val="24"/>
                <w:szCs w:val="24"/>
              </w:rPr>
              <w:t>)</w:t>
            </w:r>
          </w:p>
        </w:tc>
        <w:tc>
          <w:tcPr>
            <w:tcW w:w="1701" w:type="dxa"/>
            <w:tcBorders>
              <w:top w:val="nil"/>
              <w:left w:val="nil"/>
              <w:bottom w:val="nil"/>
              <w:right w:val="nil"/>
            </w:tcBorders>
            <w:vAlign w:val="center"/>
          </w:tcPr>
          <w:p w14:paraId="0E43C059" w14:textId="77777777" w:rsidR="006F76EB" w:rsidRPr="004E2474" w:rsidRDefault="004E2474"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5836DF63"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4C24B6A0" w14:textId="77777777" w:rsidR="006F76EB" w:rsidRPr="00834D52" w:rsidRDefault="004E2474"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r>
      <w:tr w:rsidR="006F76EB" w:rsidRPr="00834D52" w14:paraId="13001354" w14:textId="77777777" w:rsidTr="001A24A9">
        <w:trPr>
          <w:jc w:val="center"/>
        </w:trPr>
        <w:tc>
          <w:tcPr>
            <w:tcW w:w="1134" w:type="dxa"/>
            <w:tcBorders>
              <w:top w:val="nil"/>
              <w:left w:val="nil"/>
              <w:bottom w:val="nil"/>
              <w:right w:val="nil"/>
            </w:tcBorders>
            <w:vAlign w:val="center"/>
          </w:tcPr>
          <w:p w14:paraId="1C601F0B"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2E93A3F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710612B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110819F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ED8265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4542BD4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C63398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75A3FFB5"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F95BE0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1EA74B4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27AFA0B7" w14:textId="77777777" w:rsidTr="001A24A9">
        <w:trPr>
          <w:trHeight w:val="747"/>
          <w:jc w:val="center"/>
        </w:trPr>
        <w:tc>
          <w:tcPr>
            <w:tcW w:w="1134" w:type="dxa"/>
            <w:tcBorders>
              <w:top w:val="nil"/>
              <w:left w:val="nil"/>
              <w:bottom w:val="nil"/>
              <w:right w:val="nil"/>
            </w:tcBorders>
            <w:vAlign w:val="center"/>
          </w:tcPr>
          <w:p w14:paraId="04F22EE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3.3.</w:t>
            </w:r>
          </w:p>
        </w:tc>
        <w:tc>
          <w:tcPr>
            <w:tcW w:w="1276" w:type="dxa"/>
            <w:tcBorders>
              <w:top w:val="nil"/>
              <w:left w:val="nil"/>
              <w:bottom w:val="nil"/>
              <w:right w:val="nil"/>
            </w:tcBorders>
            <w:vAlign w:val="center"/>
          </w:tcPr>
          <w:p w14:paraId="59FDD591" w14:textId="77777777" w:rsidR="006F76EB" w:rsidRPr="00834D52" w:rsidRDefault="006A55CE" w:rsidP="00F7122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79F6F55D"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8" w:type="dxa"/>
            <w:tcBorders>
              <w:top w:val="nil"/>
              <w:left w:val="nil"/>
              <w:bottom w:val="nil"/>
              <w:right w:val="nil"/>
            </w:tcBorders>
            <w:vAlign w:val="center"/>
          </w:tcPr>
          <w:p w14:paraId="122FDAE3"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50ECF1BB"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2D0286C6"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54F92CB9"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7635AA64"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275" w:type="dxa"/>
            <w:tcBorders>
              <w:top w:val="nil"/>
              <w:left w:val="nil"/>
              <w:bottom w:val="nil"/>
              <w:right w:val="nil"/>
            </w:tcBorders>
            <w:vAlign w:val="center"/>
          </w:tcPr>
          <w:p w14:paraId="03D6C1D5"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60D6B376" w14:textId="77777777" w:rsidR="006F76EB" w:rsidRPr="00834D52" w:rsidRDefault="006A55CE" w:rsidP="006A55C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r>
      <w:tr w:rsidR="006F76EB" w:rsidRPr="00834D52" w14:paraId="2CDBA065" w14:textId="77777777" w:rsidTr="001A24A9">
        <w:trPr>
          <w:jc w:val="center"/>
        </w:trPr>
        <w:tc>
          <w:tcPr>
            <w:tcW w:w="1134" w:type="dxa"/>
            <w:tcBorders>
              <w:top w:val="nil"/>
              <w:left w:val="nil"/>
              <w:bottom w:val="nil"/>
              <w:right w:val="nil"/>
            </w:tcBorders>
            <w:vAlign w:val="center"/>
          </w:tcPr>
          <w:p w14:paraId="17B56712"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253FE82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FBA902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53396D3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5D203F5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92A83F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F1627C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0001A15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599847F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20DF77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564201BD" w14:textId="77777777" w:rsidTr="001A24A9">
        <w:trPr>
          <w:jc w:val="center"/>
        </w:trPr>
        <w:tc>
          <w:tcPr>
            <w:tcW w:w="14884" w:type="dxa"/>
            <w:gridSpan w:val="10"/>
            <w:tcBorders>
              <w:top w:val="nil"/>
              <w:left w:val="nil"/>
              <w:bottom w:val="nil"/>
              <w:right w:val="nil"/>
            </w:tcBorders>
            <w:vAlign w:val="center"/>
          </w:tcPr>
          <w:p w14:paraId="00A50874" w14:textId="77777777" w:rsidR="006F76EB" w:rsidRPr="00834D52" w:rsidRDefault="006F76EB" w:rsidP="00F71229">
            <w:pPr>
              <w:spacing w:after="120" w:line="240" w:lineRule="auto"/>
              <w:ind w:left="567" w:right="567"/>
              <w:jc w:val="center"/>
              <w:rPr>
                <w:rFonts w:ascii="Sylfaen" w:eastAsia="Times New Roman" w:hAnsi="Sylfaen" w:cs="Times New Roman"/>
                <w:sz w:val="24"/>
                <w:szCs w:val="24"/>
              </w:rPr>
            </w:pPr>
            <w:r w:rsidRPr="00834D52">
              <w:rPr>
                <w:rFonts w:ascii="Sylfaen" w:hAnsi="Sylfaen"/>
                <w:sz w:val="24"/>
                <w:szCs w:val="24"/>
              </w:rPr>
              <w:t>ՄՈԴՈՒԼ 4. ՆԱԽԱԿԼԻՆԻԿԱԿԱՆ (ՈՉ ԿԼԻՆԻԿԱԿԱՆ) ՀԵՏԱԶՈՏՈՒԹՅՈՒՆՆԵՐԻ ՎԵՐԱԲԵՐՅԱԼ ՀԱՇՎԵՏՎՈՒԹՅՈՒՆՆԵՐԸ</w:t>
            </w:r>
          </w:p>
        </w:tc>
      </w:tr>
      <w:tr w:rsidR="006F76EB" w:rsidRPr="00834D52" w14:paraId="6AD6821D" w14:textId="77777777" w:rsidTr="001A24A9">
        <w:trPr>
          <w:jc w:val="center"/>
        </w:trPr>
        <w:tc>
          <w:tcPr>
            <w:tcW w:w="1134" w:type="dxa"/>
            <w:tcBorders>
              <w:top w:val="nil"/>
              <w:left w:val="nil"/>
              <w:bottom w:val="nil"/>
              <w:right w:val="nil"/>
            </w:tcBorders>
            <w:vAlign w:val="center"/>
          </w:tcPr>
          <w:p w14:paraId="3D4980F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4.1.</w:t>
            </w:r>
          </w:p>
        </w:tc>
        <w:tc>
          <w:tcPr>
            <w:tcW w:w="1276" w:type="dxa"/>
            <w:tcBorders>
              <w:top w:val="nil"/>
              <w:left w:val="nil"/>
              <w:bottom w:val="nil"/>
              <w:right w:val="nil"/>
            </w:tcBorders>
            <w:vAlign w:val="center"/>
          </w:tcPr>
          <w:p w14:paraId="47E51F61" w14:textId="77777777" w:rsidR="006F76EB" w:rsidRPr="00DB7012" w:rsidRDefault="00DB7012"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hAnsi="Sylfaen"/>
                <w:sz w:val="24"/>
                <w:szCs w:val="24"/>
                <w:lang w:val="ru-RU"/>
              </w:rPr>
              <w:t>+</w:t>
            </w:r>
          </w:p>
        </w:tc>
        <w:tc>
          <w:tcPr>
            <w:tcW w:w="1984" w:type="dxa"/>
            <w:tcBorders>
              <w:top w:val="nil"/>
              <w:left w:val="nil"/>
              <w:bottom w:val="nil"/>
              <w:right w:val="nil"/>
            </w:tcBorders>
            <w:vAlign w:val="center"/>
          </w:tcPr>
          <w:p w14:paraId="3BF1A70D" w14:textId="77777777" w:rsidR="006F76EB" w:rsidRPr="00834D52" w:rsidRDefault="00DB7012" w:rsidP="00DB70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40A27D42" w14:textId="77777777" w:rsidR="006F76EB" w:rsidRPr="00834D52" w:rsidRDefault="00DB7012" w:rsidP="00DB70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34AC1728" w14:textId="77777777" w:rsidR="006F76EB" w:rsidRPr="00834D52" w:rsidRDefault="00DB7012" w:rsidP="00DB70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49012CA0" w14:textId="77777777" w:rsidR="006F76EB" w:rsidRPr="00834D52" w:rsidRDefault="00DB7012" w:rsidP="00DB70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4D19E0D3" w14:textId="77777777" w:rsidR="006F76EB" w:rsidRPr="00834D52" w:rsidRDefault="00DB7012" w:rsidP="00DB70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74D2CB4D" w14:textId="77777777" w:rsidR="006F76EB" w:rsidRPr="00DB7012" w:rsidRDefault="00DB7012"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55CE4235" w14:textId="77777777" w:rsidR="006F76EB" w:rsidRPr="00DB7012" w:rsidRDefault="00DB7012"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64CEC132" w14:textId="77777777" w:rsidR="006F76EB" w:rsidRPr="00DB7012" w:rsidRDefault="00DB7012"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53DCEE1B" w14:textId="77777777" w:rsidTr="001A24A9">
        <w:trPr>
          <w:jc w:val="center"/>
        </w:trPr>
        <w:tc>
          <w:tcPr>
            <w:tcW w:w="1134" w:type="dxa"/>
            <w:tcBorders>
              <w:top w:val="nil"/>
              <w:left w:val="nil"/>
              <w:bottom w:val="nil"/>
              <w:right w:val="nil"/>
            </w:tcBorders>
            <w:vAlign w:val="center"/>
          </w:tcPr>
          <w:p w14:paraId="424A826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4.2.</w:t>
            </w:r>
          </w:p>
        </w:tc>
        <w:tc>
          <w:tcPr>
            <w:tcW w:w="1276" w:type="dxa"/>
            <w:tcBorders>
              <w:top w:val="nil"/>
              <w:left w:val="nil"/>
              <w:bottom w:val="nil"/>
              <w:right w:val="nil"/>
            </w:tcBorders>
            <w:vAlign w:val="center"/>
          </w:tcPr>
          <w:p w14:paraId="3F798A9A"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34C6FFFA"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5156DEFA"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0CB50FC4"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192A77BF"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0D408DF1"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009208D5"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7D698248"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53B7F91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03662F1" w14:textId="77777777" w:rsidTr="001A24A9">
        <w:trPr>
          <w:jc w:val="center"/>
        </w:trPr>
        <w:tc>
          <w:tcPr>
            <w:tcW w:w="1134" w:type="dxa"/>
            <w:tcBorders>
              <w:top w:val="nil"/>
              <w:left w:val="nil"/>
              <w:bottom w:val="nil"/>
              <w:right w:val="nil"/>
            </w:tcBorders>
            <w:vAlign w:val="center"/>
          </w:tcPr>
          <w:p w14:paraId="5DA7657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4.2.1.</w:t>
            </w:r>
          </w:p>
        </w:tc>
        <w:tc>
          <w:tcPr>
            <w:tcW w:w="1276" w:type="dxa"/>
            <w:tcBorders>
              <w:top w:val="nil"/>
              <w:left w:val="nil"/>
              <w:bottom w:val="nil"/>
              <w:right w:val="nil"/>
            </w:tcBorders>
            <w:vAlign w:val="center"/>
          </w:tcPr>
          <w:p w14:paraId="79EC5008" w14:textId="77777777" w:rsidR="006F76EB" w:rsidRPr="00834D52" w:rsidRDefault="005D6612" w:rsidP="005D66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79C73FE2" w14:textId="77777777" w:rsidR="006F76EB" w:rsidRPr="005D6612" w:rsidRDefault="005D6612"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6BEAC067" w14:textId="77777777" w:rsidR="006F76EB" w:rsidRPr="005D6612" w:rsidRDefault="005D6612"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27E420A3" w14:textId="77777777" w:rsidR="006F76EB" w:rsidRPr="00834D52" w:rsidRDefault="005D6612" w:rsidP="005D66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75C4D25F" w14:textId="77777777" w:rsidR="006F76EB" w:rsidRPr="00834D52" w:rsidRDefault="005D6612" w:rsidP="005D6612">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1AC77974" w14:textId="77777777" w:rsidR="006F76EB" w:rsidRPr="005D6612" w:rsidRDefault="005D6612"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718B2331" w14:textId="77777777" w:rsidR="006F76EB" w:rsidRPr="005D6612" w:rsidRDefault="005D6612"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01D1F6A8" w14:textId="77777777" w:rsidR="006F76EB" w:rsidRPr="005D6612" w:rsidRDefault="005D6612"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6EF03537" w14:textId="77777777" w:rsidR="006F76EB" w:rsidRPr="005D6612" w:rsidRDefault="005D6612"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B05B74D" w14:textId="77777777" w:rsidTr="001A24A9">
        <w:trPr>
          <w:jc w:val="center"/>
        </w:trPr>
        <w:tc>
          <w:tcPr>
            <w:tcW w:w="1134" w:type="dxa"/>
            <w:tcBorders>
              <w:top w:val="nil"/>
              <w:left w:val="nil"/>
              <w:bottom w:val="nil"/>
              <w:right w:val="nil"/>
            </w:tcBorders>
            <w:vAlign w:val="center"/>
          </w:tcPr>
          <w:p w14:paraId="117E6795"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3958832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3ACB967"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64516168"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2112CD7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696028C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909A4D3"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72050B8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4697B120"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473014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03164262" w14:textId="77777777" w:rsidTr="001A24A9">
        <w:trPr>
          <w:jc w:val="center"/>
        </w:trPr>
        <w:tc>
          <w:tcPr>
            <w:tcW w:w="1134" w:type="dxa"/>
            <w:tcBorders>
              <w:top w:val="nil"/>
              <w:left w:val="nil"/>
              <w:bottom w:val="nil"/>
              <w:right w:val="nil"/>
            </w:tcBorders>
            <w:vAlign w:val="center"/>
          </w:tcPr>
          <w:p w14:paraId="7555ADA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4.2.2.</w:t>
            </w:r>
          </w:p>
        </w:tc>
        <w:tc>
          <w:tcPr>
            <w:tcW w:w="1276" w:type="dxa"/>
            <w:tcBorders>
              <w:top w:val="nil"/>
              <w:left w:val="nil"/>
              <w:bottom w:val="nil"/>
              <w:right w:val="nil"/>
            </w:tcBorders>
            <w:vAlign w:val="center"/>
          </w:tcPr>
          <w:p w14:paraId="72F3F812" w14:textId="77777777" w:rsidR="006F76EB" w:rsidRPr="00834D52" w:rsidRDefault="00FD1035" w:rsidP="00FD1035">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1480B610"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28D55077"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1A7CB81B" w14:textId="77777777" w:rsidR="006F76EB" w:rsidRPr="00834D52" w:rsidRDefault="00FD1035" w:rsidP="00FD1035">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3DAF933D"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59" w:type="dxa"/>
            <w:tcBorders>
              <w:top w:val="nil"/>
              <w:left w:val="nil"/>
              <w:bottom w:val="nil"/>
              <w:right w:val="nil"/>
            </w:tcBorders>
            <w:vAlign w:val="center"/>
          </w:tcPr>
          <w:p w14:paraId="13B0642E"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70FFE417"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23DE4D14" w14:textId="77777777" w:rsidR="006F76EB" w:rsidRPr="00FD1035" w:rsidRDefault="00FD1035"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223FC286" w14:textId="77777777" w:rsidR="006F76EB" w:rsidRPr="00FD1035" w:rsidRDefault="00FD1035"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E879422" w14:textId="77777777" w:rsidTr="001A24A9">
        <w:trPr>
          <w:jc w:val="center"/>
        </w:trPr>
        <w:tc>
          <w:tcPr>
            <w:tcW w:w="1134" w:type="dxa"/>
            <w:tcBorders>
              <w:top w:val="nil"/>
              <w:left w:val="nil"/>
              <w:bottom w:val="nil"/>
              <w:right w:val="nil"/>
            </w:tcBorders>
            <w:vAlign w:val="center"/>
          </w:tcPr>
          <w:p w14:paraId="07FD69D2"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1FD143F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3A28CDFC"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A730BC9"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3A97E7E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70A84023"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01B179E7"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109E37B6"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20CBFBB7"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C84679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D2CA2FF" w14:textId="77777777" w:rsidTr="001A24A9">
        <w:trPr>
          <w:jc w:val="center"/>
        </w:trPr>
        <w:tc>
          <w:tcPr>
            <w:tcW w:w="1134" w:type="dxa"/>
            <w:tcBorders>
              <w:top w:val="nil"/>
              <w:left w:val="nil"/>
              <w:bottom w:val="nil"/>
              <w:right w:val="nil"/>
            </w:tcBorders>
            <w:vAlign w:val="center"/>
          </w:tcPr>
          <w:p w14:paraId="024A824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lastRenderedPageBreak/>
              <w:t>4.2.3.</w:t>
            </w:r>
          </w:p>
        </w:tc>
        <w:tc>
          <w:tcPr>
            <w:tcW w:w="1276" w:type="dxa"/>
            <w:tcBorders>
              <w:top w:val="nil"/>
              <w:left w:val="nil"/>
              <w:bottom w:val="nil"/>
              <w:right w:val="nil"/>
            </w:tcBorders>
            <w:vAlign w:val="center"/>
          </w:tcPr>
          <w:p w14:paraId="7F744118"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29F2201F" w14:textId="77777777" w:rsidR="006F76EB" w:rsidRPr="00F81439" w:rsidRDefault="00F81439"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48C70D1E"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174F1928"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5084E487"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153FF672"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51DE405D" w14:textId="77777777" w:rsidR="006F76EB" w:rsidRPr="00834D52" w:rsidRDefault="00F81439" w:rsidP="00F8143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56581E87" w14:textId="77777777" w:rsidR="006F76EB" w:rsidRPr="00F81439" w:rsidRDefault="00F81439"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0D980CB8" w14:textId="77777777" w:rsidR="006F76EB" w:rsidRPr="00F81439" w:rsidRDefault="00F81439"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9A35B10" w14:textId="77777777" w:rsidTr="001A24A9">
        <w:trPr>
          <w:jc w:val="center"/>
        </w:trPr>
        <w:tc>
          <w:tcPr>
            <w:tcW w:w="1134" w:type="dxa"/>
            <w:tcBorders>
              <w:top w:val="nil"/>
              <w:left w:val="nil"/>
              <w:bottom w:val="nil"/>
              <w:right w:val="nil"/>
            </w:tcBorders>
            <w:vAlign w:val="center"/>
          </w:tcPr>
          <w:p w14:paraId="5475D44C"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475E424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06214908"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45FB63F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5836CD1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496643A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733DE07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27D81E2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290A76FF"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1183D58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73C74B6E" w14:textId="77777777" w:rsidTr="001A24A9">
        <w:trPr>
          <w:jc w:val="center"/>
        </w:trPr>
        <w:tc>
          <w:tcPr>
            <w:tcW w:w="1134" w:type="dxa"/>
            <w:tcBorders>
              <w:top w:val="nil"/>
              <w:left w:val="nil"/>
              <w:bottom w:val="nil"/>
              <w:right w:val="nil"/>
            </w:tcBorders>
            <w:vAlign w:val="center"/>
          </w:tcPr>
          <w:p w14:paraId="5AE91F1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4.3.</w:t>
            </w:r>
          </w:p>
        </w:tc>
        <w:tc>
          <w:tcPr>
            <w:tcW w:w="1276" w:type="dxa"/>
            <w:tcBorders>
              <w:top w:val="nil"/>
              <w:left w:val="nil"/>
              <w:bottom w:val="nil"/>
              <w:right w:val="nil"/>
            </w:tcBorders>
            <w:vAlign w:val="center"/>
          </w:tcPr>
          <w:p w14:paraId="3C59E076"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5F04F06C"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8" w:type="dxa"/>
            <w:tcBorders>
              <w:top w:val="nil"/>
              <w:left w:val="nil"/>
              <w:bottom w:val="nil"/>
              <w:right w:val="nil"/>
            </w:tcBorders>
            <w:vAlign w:val="center"/>
          </w:tcPr>
          <w:p w14:paraId="5B884C1B"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16DC7EBA"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23F67406"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40CDC479"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30F73BF0" w14:textId="77777777" w:rsidR="006F76EB" w:rsidRPr="00834D52" w:rsidRDefault="00CD4450" w:rsidP="00CD4450">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17C321D5" w14:textId="77777777" w:rsidR="006F76EB" w:rsidRPr="00CD4450" w:rsidRDefault="00CD4450" w:rsidP="00CD4450">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33F5B256" w14:textId="77777777" w:rsidR="006F76EB" w:rsidRPr="00CD4450" w:rsidRDefault="00CD4450"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64994ECA" w14:textId="77777777" w:rsidTr="001A24A9">
        <w:trPr>
          <w:jc w:val="center"/>
        </w:trPr>
        <w:tc>
          <w:tcPr>
            <w:tcW w:w="1134" w:type="dxa"/>
            <w:tcBorders>
              <w:top w:val="nil"/>
              <w:left w:val="nil"/>
              <w:bottom w:val="nil"/>
              <w:right w:val="nil"/>
            </w:tcBorders>
            <w:vAlign w:val="center"/>
          </w:tcPr>
          <w:p w14:paraId="3FA5B206"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52AB5BC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12ECEC1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2628E49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09D5AF2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65AE07A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60691F6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3BE6D56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2195136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6F171BF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3D875ACB" w14:textId="77777777" w:rsidTr="001A24A9">
        <w:trPr>
          <w:jc w:val="center"/>
        </w:trPr>
        <w:tc>
          <w:tcPr>
            <w:tcW w:w="14884" w:type="dxa"/>
            <w:gridSpan w:val="10"/>
            <w:tcBorders>
              <w:top w:val="nil"/>
              <w:left w:val="nil"/>
              <w:bottom w:val="nil"/>
              <w:right w:val="nil"/>
            </w:tcBorders>
            <w:vAlign w:val="center"/>
          </w:tcPr>
          <w:p w14:paraId="687076B8" w14:textId="77777777" w:rsidR="006F76EB" w:rsidRPr="00834D52" w:rsidRDefault="006F76EB" w:rsidP="00F71229">
            <w:pPr>
              <w:spacing w:after="120" w:line="240" w:lineRule="auto"/>
              <w:ind w:left="567" w:right="567"/>
              <w:jc w:val="center"/>
              <w:rPr>
                <w:rFonts w:ascii="Sylfaen" w:eastAsia="Times New Roman" w:hAnsi="Sylfaen" w:cs="Times New Roman"/>
                <w:sz w:val="24"/>
                <w:szCs w:val="24"/>
              </w:rPr>
            </w:pPr>
            <w:r w:rsidRPr="00834D52">
              <w:rPr>
                <w:rFonts w:ascii="Sylfaen" w:hAnsi="Sylfaen"/>
                <w:sz w:val="24"/>
                <w:szCs w:val="24"/>
              </w:rPr>
              <w:t>ՄՈԴՈՒԼ 5. ԿԼԻՆԻԿԱԿԱՆ ՀԵՏԱԶՈՏՈՒԹՅՈՒՆՆԵՐԻ ՎԵՐԱԲԵՐՅԱԼ ՀԱՇՎԵՏՎՈՒԹՅՈՒՆՆԵՐԸ</w:t>
            </w:r>
          </w:p>
        </w:tc>
      </w:tr>
      <w:tr w:rsidR="006F76EB" w:rsidRPr="00834D52" w14:paraId="6811F9C3" w14:textId="77777777" w:rsidTr="001A24A9">
        <w:trPr>
          <w:jc w:val="center"/>
        </w:trPr>
        <w:tc>
          <w:tcPr>
            <w:tcW w:w="1134" w:type="dxa"/>
            <w:tcBorders>
              <w:top w:val="nil"/>
              <w:left w:val="nil"/>
              <w:bottom w:val="nil"/>
              <w:right w:val="nil"/>
            </w:tcBorders>
            <w:vAlign w:val="center"/>
          </w:tcPr>
          <w:p w14:paraId="0CB2F17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5.1.</w:t>
            </w:r>
          </w:p>
        </w:tc>
        <w:tc>
          <w:tcPr>
            <w:tcW w:w="1276" w:type="dxa"/>
            <w:tcBorders>
              <w:top w:val="nil"/>
              <w:left w:val="nil"/>
              <w:bottom w:val="nil"/>
              <w:right w:val="nil"/>
            </w:tcBorders>
            <w:vAlign w:val="center"/>
          </w:tcPr>
          <w:p w14:paraId="47E551C5"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437EC49D"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8" w:type="dxa"/>
            <w:tcBorders>
              <w:top w:val="nil"/>
              <w:left w:val="nil"/>
              <w:bottom w:val="nil"/>
              <w:right w:val="nil"/>
            </w:tcBorders>
            <w:vAlign w:val="center"/>
          </w:tcPr>
          <w:p w14:paraId="714990E6"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2E48CDE7"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3A0FE49F"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0EC2691A"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5346CCE8" w14:textId="77777777" w:rsidR="006F76EB" w:rsidRPr="00834D52" w:rsidRDefault="00570DEF" w:rsidP="00570DEF">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5E2FBE8A" w14:textId="77777777" w:rsidR="006F76EB" w:rsidRPr="00570DEF" w:rsidRDefault="00570DEF"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68ADA14D" w14:textId="77777777" w:rsidR="006F76EB" w:rsidRPr="00570DEF" w:rsidRDefault="00570DEF"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E311565" w14:textId="77777777" w:rsidTr="001A24A9">
        <w:trPr>
          <w:jc w:val="center"/>
        </w:trPr>
        <w:tc>
          <w:tcPr>
            <w:tcW w:w="1134" w:type="dxa"/>
            <w:tcBorders>
              <w:top w:val="nil"/>
              <w:left w:val="nil"/>
              <w:bottom w:val="nil"/>
              <w:right w:val="nil"/>
            </w:tcBorders>
            <w:vAlign w:val="center"/>
          </w:tcPr>
          <w:p w14:paraId="14A7922C"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5.2.</w:t>
            </w:r>
          </w:p>
        </w:tc>
        <w:tc>
          <w:tcPr>
            <w:tcW w:w="1276" w:type="dxa"/>
            <w:tcBorders>
              <w:top w:val="nil"/>
              <w:left w:val="nil"/>
              <w:bottom w:val="nil"/>
              <w:right w:val="nil"/>
            </w:tcBorders>
            <w:vAlign w:val="center"/>
          </w:tcPr>
          <w:p w14:paraId="7B9F5DC6"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2BDD732F"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8" w:type="dxa"/>
            <w:tcBorders>
              <w:top w:val="nil"/>
              <w:left w:val="nil"/>
              <w:bottom w:val="nil"/>
              <w:right w:val="nil"/>
            </w:tcBorders>
            <w:vAlign w:val="center"/>
          </w:tcPr>
          <w:p w14:paraId="6998AE75"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2169BD49"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708F59E1"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46780E11"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06C06970" w14:textId="77777777" w:rsidR="006F76EB" w:rsidRPr="00834D52" w:rsidRDefault="00657B53" w:rsidP="00657B53">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1E999733" w14:textId="77777777" w:rsidR="006F76EB" w:rsidRPr="00657B53" w:rsidRDefault="00657B53"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054A4B22" w14:textId="77777777" w:rsidR="006F76EB" w:rsidRPr="00657B53" w:rsidRDefault="00657B53"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4522E9BA" w14:textId="77777777" w:rsidTr="001A24A9">
        <w:trPr>
          <w:jc w:val="center"/>
        </w:trPr>
        <w:tc>
          <w:tcPr>
            <w:tcW w:w="1134" w:type="dxa"/>
            <w:tcBorders>
              <w:top w:val="nil"/>
              <w:left w:val="nil"/>
              <w:bottom w:val="nil"/>
              <w:right w:val="nil"/>
            </w:tcBorders>
            <w:vAlign w:val="center"/>
          </w:tcPr>
          <w:p w14:paraId="0C0E867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w:t>
            </w:r>
          </w:p>
        </w:tc>
        <w:tc>
          <w:tcPr>
            <w:tcW w:w="1276" w:type="dxa"/>
            <w:tcBorders>
              <w:top w:val="nil"/>
              <w:left w:val="nil"/>
              <w:bottom w:val="nil"/>
              <w:right w:val="nil"/>
            </w:tcBorders>
            <w:vAlign w:val="center"/>
          </w:tcPr>
          <w:p w14:paraId="2448E3EA" w14:textId="77777777" w:rsidR="006F76EB" w:rsidRPr="00834D52" w:rsidRDefault="006F76EB" w:rsidP="00F71229">
            <w:pPr>
              <w:spacing w:after="120" w:line="240" w:lineRule="auto"/>
              <w:ind w:right="-8"/>
              <w:jc w:val="center"/>
              <w:rPr>
                <w:rFonts w:ascii="Sylfaen" w:hAnsi="Sylfaen"/>
                <w:sz w:val="24"/>
                <w:szCs w:val="24"/>
              </w:rPr>
            </w:pPr>
          </w:p>
        </w:tc>
        <w:tc>
          <w:tcPr>
            <w:tcW w:w="1984" w:type="dxa"/>
            <w:tcBorders>
              <w:top w:val="nil"/>
              <w:left w:val="nil"/>
              <w:bottom w:val="nil"/>
              <w:right w:val="nil"/>
            </w:tcBorders>
            <w:vAlign w:val="center"/>
          </w:tcPr>
          <w:p w14:paraId="1B5C3E55"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3CD010CE"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15218515" w14:textId="77777777" w:rsidR="006F76EB" w:rsidRPr="00834D52" w:rsidRDefault="006F76EB" w:rsidP="00F71229">
            <w:pPr>
              <w:spacing w:after="120" w:line="240" w:lineRule="auto"/>
              <w:ind w:right="-8"/>
              <w:jc w:val="center"/>
              <w:rPr>
                <w:rFonts w:ascii="Sylfaen" w:hAnsi="Sylfaen"/>
                <w:sz w:val="24"/>
                <w:szCs w:val="24"/>
              </w:rPr>
            </w:pPr>
          </w:p>
        </w:tc>
        <w:tc>
          <w:tcPr>
            <w:tcW w:w="1417" w:type="dxa"/>
            <w:tcBorders>
              <w:top w:val="nil"/>
              <w:left w:val="nil"/>
              <w:bottom w:val="nil"/>
              <w:right w:val="nil"/>
            </w:tcBorders>
            <w:vAlign w:val="center"/>
          </w:tcPr>
          <w:p w14:paraId="41FB2CBA"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5BEFBAF4"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16E40540"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44AA1D3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D2FFDA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511046E1" w14:textId="77777777" w:rsidTr="001A24A9">
        <w:trPr>
          <w:jc w:val="center"/>
        </w:trPr>
        <w:tc>
          <w:tcPr>
            <w:tcW w:w="1134" w:type="dxa"/>
            <w:tcBorders>
              <w:top w:val="nil"/>
              <w:left w:val="nil"/>
              <w:bottom w:val="nil"/>
              <w:right w:val="nil"/>
            </w:tcBorders>
            <w:vAlign w:val="center"/>
          </w:tcPr>
          <w:p w14:paraId="676D5A4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5.3.1.</w:t>
            </w:r>
          </w:p>
        </w:tc>
        <w:tc>
          <w:tcPr>
            <w:tcW w:w="1276" w:type="dxa"/>
            <w:tcBorders>
              <w:top w:val="nil"/>
              <w:left w:val="nil"/>
              <w:bottom w:val="nil"/>
              <w:right w:val="nil"/>
            </w:tcBorders>
            <w:vAlign w:val="center"/>
          </w:tcPr>
          <w:p w14:paraId="692D9AED" w14:textId="77777777" w:rsidR="006F76EB" w:rsidRPr="00834D52" w:rsidRDefault="00AE5D44" w:rsidP="00AE5D44">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159D7255" w14:textId="77777777" w:rsidR="006F76EB" w:rsidRPr="00834D52" w:rsidRDefault="00AE5D44" w:rsidP="00AE5D44">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5437E07F" w14:textId="77777777" w:rsidR="006F76EB" w:rsidRPr="00834D52" w:rsidRDefault="00AE5D44" w:rsidP="00AE5D44">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7EAC5C1F" w14:textId="77777777" w:rsidR="006F76EB" w:rsidRPr="00834D52" w:rsidRDefault="00AE5D44" w:rsidP="00AE5D44">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3557185C" w14:textId="77777777" w:rsidR="006F76EB" w:rsidRPr="00AE5D44" w:rsidRDefault="00AE5D44"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59" w:type="dxa"/>
            <w:tcBorders>
              <w:top w:val="nil"/>
              <w:left w:val="nil"/>
              <w:bottom w:val="nil"/>
              <w:right w:val="nil"/>
            </w:tcBorders>
            <w:vAlign w:val="center"/>
          </w:tcPr>
          <w:p w14:paraId="694E4814" w14:textId="77777777" w:rsidR="006F76EB" w:rsidRPr="00AE5D44" w:rsidRDefault="00AE5D44"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7B300C1E" w14:textId="77777777" w:rsidR="006F76EB" w:rsidRPr="00AE5D44" w:rsidRDefault="00AE5D44" w:rsidP="00AE5D44">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7D4DC777" w14:textId="77777777" w:rsidR="006F76EB" w:rsidRPr="00AE5D44" w:rsidRDefault="00AE5D44"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2BEA2814" w14:textId="77777777" w:rsidR="006F76EB" w:rsidRPr="00AE5D44" w:rsidRDefault="00AE5D44"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22D4A249" w14:textId="77777777" w:rsidTr="001A24A9">
        <w:trPr>
          <w:jc w:val="center"/>
        </w:trPr>
        <w:tc>
          <w:tcPr>
            <w:tcW w:w="1134" w:type="dxa"/>
            <w:tcBorders>
              <w:top w:val="nil"/>
              <w:left w:val="nil"/>
              <w:bottom w:val="nil"/>
              <w:right w:val="nil"/>
            </w:tcBorders>
            <w:vAlign w:val="center"/>
          </w:tcPr>
          <w:p w14:paraId="787C07BE"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4941F45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0247923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0EC1DF7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3EA69FA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19472508"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59645E33"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7A7EB08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694626D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34E02F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75439DD2" w14:textId="77777777" w:rsidTr="001A24A9">
        <w:trPr>
          <w:jc w:val="center"/>
        </w:trPr>
        <w:tc>
          <w:tcPr>
            <w:tcW w:w="1134" w:type="dxa"/>
            <w:tcBorders>
              <w:top w:val="nil"/>
              <w:left w:val="nil"/>
              <w:bottom w:val="nil"/>
              <w:right w:val="nil"/>
            </w:tcBorders>
            <w:vAlign w:val="center"/>
          </w:tcPr>
          <w:p w14:paraId="52629B3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5.3.2.</w:t>
            </w:r>
          </w:p>
        </w:tc>
        <w:tc>
          <w:tcPr>
            <w:tcW w:w="1276" w:type="dxa"/>
            <w:tcBorders>
              <w:top w:val="nil"/>
              <w:left w:val="nil"/>
              <w:bottom w:val="nil"/>
              <w:right w:val="nil"/>
            </w:tcBorders>
            <w:vAlign w:val="center"/>
          </w:tcPr>
          <w:p w14:paraId="2BE97EDF"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37B50E73" w14:textId="77777777" w:rsidR="006F76EB" w:rsidRPr="00387B4E" w:rsidRDefault="00387B4E"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37F818A9"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43D6DECA"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252DCB98" w14:textId="77777777" w:rsidR="006F76EB" w:rsidRPr="00387B4E" w:rsidRDefault="00387B4E"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559" w:type="dxa"/>
            <w:tcBorders>
              <w:top w:val="nil"/>
              <w:left w:val="nil"/>
              <w:bottom w:val="nil"/>
              <w:right w:val="nil"/>
            </w:tcBorders>
            <w:vAlign w:val="center"/>
          </w:tcPr>
          <w:p w14:paraId="68E84262" w14:textId="77777777" w:rsidR="006F76EB" w:rsidRPr="00387B4E" w:rsidRDefault="00387B4E"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3147A456" w14:textId="77777777" w:rsidR="006F76EB" w:rsidRPr="00387B4E" w:rsidRDefault="00387B4E" w:rsidP="00F71229">
            <w:pPr>
              <w:shd w:val="clear" w:color="auto" w:fill="FFFFFF"/>
              <w:spacing w:before="120" w:after="120" w:line="240" w:lineRule="auto"/>
              <w:ind w:right="-8"/>
              <w:jc w:val="center"/>
              <w:outlineLvl w:val="0"/>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24783EF3" w14:textId="77777777" w:rsidR="006F76EB" w:rsidRPr="00387B4E" w:rsidRDefault="00387B4E"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3413C399" w14:textId="77777777" w:rsidR="006F76EB" w:rsidRPr="00387B4E" w:rsidRDefault="00387B4E" w:rsidP="00F71229">
            <w:pPr>
              <w:shd w:val="clear" w:color="auto" w:fill="FFFFFF"/>
              <w:spacing w:before="120" w:after="120" w:line="240" w:lineRule="auto"/>
              <w:ind w:right="-8"/>
              <w:jc w:val="center"/>
              <w:outlineLvl w:val="0"/>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24A09F4F" w14:textId="77777777" w:rsidTr="001A24A9">
        <w:trPr>
          <w:jc w:val="center"/>
        </w:trPr>
        <w:tc>
          <w:tcPr>
            <w:tcW w:w="1134" w:type="dxa"/>
            <w:tcBorders>
              <w:top w:val="nil"/>
              <w:left w:val="nil"/>
              <w:bottom w:val="nil"/>
              <w:right w:val="nil"/>
            </w:tcBorders>
            <w:vAlign w:val="center"/>
          </w:tcPr>
          <w:p w14:paraId="3E0A67F1"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30425CB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7CEAF1D3"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5C4C31B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21B783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22DFCE2B"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7EF50895" w14:textId="77777777" w:rsidR="006F76EB" w:rsidRPr="00387B4E" w:rsidRDefault="006F76EB" w:rsidP="00F71229">
            <w:pPr>
              <w:spacing w:after="120" w:line="240" w:lineRule="auto"/>
              <w:ind w:right="-8"/>
              <w:jc w:val="center"/>
              <w:rPr>
                <w:rFonts w:ascii="Sylfaen" w:hAnsi="Sylfaen"/>
                <w:sz w:val="24"/>
                <w:szCs w:val="24"/>
                <w:lang w:val="ru-RU"/>
              </w:rPr>
            </w:pPr>
          </w:p>
        </w:tc>
        <w:tc>
          <w:tcPr>
            <w:tcW w:w="1701" w:type="dxa"/>
            <w:tcBorders>
              <w:top w:val="nil"/>
              <w:left w:val="nil"/>
              <w:bottom w:val="nil"/>
              <w:right w:val="nil"/>
            </w:tcBorders>
            <w:vAlign w:val="center"/>
          </w:tcPr>
          <w:p w14:paraId="1957287A"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3FB89CF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86ACF5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6D25D95E" w14:textId="77777777" w:rsidTr="001A24A9">
        <w:trPr>
          <w:jc w:val="center"/>
        </w:trPr>
        <w:tc>
          <w:tcPr>
            <w:tcW w:w="1134" w:type="dxa"/>
            <w:tcBorders>
              <w:top w:val="nil"/>
              <w:left w:val="nil"/>
              <w:bottom w:val="nil"/>
              <w:right w:val="nil"/>
            </w:tcBorders>
            <w:vAlign w:val="center"/>
          </w:tcPr>
          <w:p w14:paraId="410C72B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5.3.3.</w:t>
            </w:r>
          </w:p>
        </w:tc>
        <w:tc>
          <w:tcPr>
            <w:tcW w:w="1276" w:type="dxa"/>
            <w:tcBorders>
              <w:top w:val="nil"/>
              <w:left w:val="nil"/>
              <w:bottom w:val="nil"/>
              <w:right w:val="nil"/>
            </w:tcBorders>
            <w:vAlign w:val="center"/>
          </w:tcPr>
          <w:p w14:paraId="1599A83B"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42D7996E"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6425DB10"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1B51E74E"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302363CB"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559" w:type="dxa"/>
            <w:tcBorders>
              <w:top w:val="nil"/>
              <w:left w:val="nil"/>
              <w:bottom w:val="nil"/>
              <w:right w:val="nil"/>
            </w:tcBorders>
            <w:vAlign w:val="center"/>
          </w:tcPr>
          <w:p w14:paraId="58B82F06"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2CF0CF93"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2D57FE70" w14:textId="77777777" w:rsidR="006F76EB" w:rsidRPr="00387B4E" w:rsidRDefault="00387B4E"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23C8E5D5" w14:textId="77777777" w:rsidR="006F76EB" w:rsidRPr="00387B4E" w:rsidRDefault="00387B4E"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4F50C230" w14:textId="77777777" w:rsidTr="001A24A9">
        <w:trPr>
          <w:jc w:val="center"/>
        </w:trPr>
        <w:tc>
          <w:tcPr>
            <w:tcW w:w="1134" w:type="dxa"/>
            <w:tcBorders>
              <w:top w:val="nil"/>
              <w:left w:val="nil"/>
              <w:bottom w:val="nil"/>
              <w:right w:val="nil"/>
            </w:tcBorders>
            <w:vAlign w:val="center"/>
          </w:tcPr>
          <w:p w14:paraId="6010E5C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6" w:type="dxa"/>
            <w:tcBorders>
              <w:top w:val="nil"/>
              <w:left w:val="nil"/>
              <w:bottom w:val="nil"/>
              <w:right w:val="nil"/>
            </w:tcBorders>
            <w:vAlign w:val="center"/>
          </w:tcPr>
          <w:p w14:paraId="034CF70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3AAD0C80"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1BC55F4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DE3CF1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278BE7EB" w14:textId="77777777" w:rsidR="006F76EB" w:rsidRPr="00834D52" w:rsidRDefault="006F76EB" w:rsidP="00F71229">
            <w:pPr>
              <w:spacing w:after="120" w:line="240" w:lineRule="auto"/>
              <w:ind w:right="-8"/>
              <w:jc w:val="center"/>
              <w:rPr>
                <w:rFonts w:ascii="Sylfaen" w:hAnsi="Sylfaen"/>
                <w:sz w:val="24"/>
                <w:szCs w:val="24"/>
              </w:rPr>
            </w:pPr>
          </w:p>
        </w:tc>
        <w:tc>
          <w:tcPr>
            <w:tcW w:w="1559" w:type="dxa"/>
            <w:tcBorders>
              <w:top w:val="nil"/>
              <w:left w:val="nil"/>
              <w:bottom w:val="nil"/>
              <w:right w:val="nil"/>
            </w:tcBorders>
            <w:vAlign w:val="center"/>
          </w:tcPr>
          <w:p w14:paraId="3D4CD7F2"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480533E2" w14:textId="77777777" w:rsidR="006F76EB" w:rsidRPr="00834D52" w:rsidRDefault="006F76EB" w:rsidP="00F71229">
            <w:pPr>
              <w:spacing w:after="120" w:line="240" w:lineRule="auto"/>
              <w:ind w:right="-8"/>
              <w:jc w:val="center"/>
              <w:rPr>
                <w:rFonts w:ascii="Sylfaen" w:hAnsi="Sylfaen"/>
                <w:sz w:val="24"/>
                <w:szCs w:val="24"/>
              </w:rPr>
            </w:pPr>
          </w:p>
        </w:tc>
        <w:tc>
          <w:tcPr>
            <w:tcW w:w="1275" w:type="dxa"/>
            <w:tcBorders>
              <w:top w:val="nil"/>
              <w:left w:val="nil"/>
              <w:bottom w:val="nil"/>
              <w:right w:val="nil"/>
            </w:tcBorders>
            <w:vAlign w:val="center"/>
          </w:tcPr>
          <w:p w14:paraId="0AA43E3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59F2B68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3C52D700" w14:textId="77777777" w:rsidTr="001A24A9">
        <w:trPr>
          <w:jc w:val="center"/>
        </w:trPr>
        <w:tc>
          <w:tcPr>
            <w:tcW w:w="1134" w:type="dxa"/>
            <w:tcBorders>
              <w:top w:val="nil"/>
              <w:left w:val="nil"/>
              <w:bottom w:val="nil"/>
              <w:right w:val="nil"/>
            </w:tcBorders>
            <w:vAlign w:val="center"/>
          </w:tcPr>
          <w:p w14:paraId="68369C4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5.3.4.</w:t>
            </w:r>
          </w:p>
        </w:tc>
        <w:tc>
          <w:tcPr>
            <w:tcW w:w="1276" w:type="dxa"/>
            <w:tcBorders>
              <w:top w:val="nil"/>
              <w:left w:val="nil"/>
              <w:bottom w:val="nil"/>
              <w:right w:val="nil"/>
            </w:tcBorders>
            <w:vAlign w:val="center"/>
          </w:tcPr>
          <w:p w14:paraId="12163EC4"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7A72990D"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19667C3D"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0BB8F506"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519C97E2"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7F7B957C" w14:textId="77777777" w:rsidR="006F76EB" w:rsidRPr="00387B4E" w:rsidRDefault="00387B4E"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701" w:type="dxa"/>
            <w:tcBorders>
              <w:top w:val="nil"/>
              <w:left w:val="nil"/>
              <w:bottom w:val="nil"/>
              <w:right w:val="nil"/>
            </w:tcBorders>
            <w:vAlign w:val="center"/>
          </w:tcPr>
          <w:p w14:paraId="4322B4D3" w14:textId="77777777" w:rsidR="006F76EB" w:rsidRPr="00834D52" w:rsidRDefault="00387B4E" w:rsidP="00387B4E">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257FE962" w14:textId="77777777" w:rsidR="006F76EB" w:rsidRPr="00387B4E" w:rsidRDefault="00387B4E"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37290934" w14:textId="77777777" w:rsidR="006F76EB" w:rsidRPr="00387B4E" w:rsidRDefault="00387B4E"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0F18317" w14:textId="77777777" w:rsidTr="001A24A9">
        <w:trPr>
          <w:jc w:val="center"/>
        </w:trPr>
        <w:tc>
          <w:tcPr>
            <w:tcW w:w="1134" w:type="dxa"/>
            <w:tcBorders>
              <w:top w:val="nil"/>
              <w:left w:val="nil"/>
              <w:bottom w:val="nil"/>
              <w:right w:val="nil"/>
            </w:tcBorders>
            <w:vAlign w:val="center"/>
          </w:tcPr>
          <w:p w14:paraId="510EDCF0"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423EB70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7B00918F"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5FDD0B1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3E00549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2DBA04C4"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545599DC" w14:textId="77777777" w:rsidR="006F76EB" w:rsidRPr="00834D52" w:rsidRDefault="006F76EB" w:rsidP="00F71229">
            <w:pPr>
              <w:spacing w:after="120" w:line="240" w:lineRule="auto"/>
              <w:ind w:right="-8"/>
              <w:jc w:val="center"/>
              <w:rPr>
                <w:rFonts w:ascii="Sylfaen" w:hAnsi="Sylfaen"/>
                <w:sz w:val="24"/>
                <w:szCs w:val="24"/>
              </w:rPr>
            </w:pPr>
          </w:p>
        </w:tc>
        <w:tc>
          <w:tcPr>
            <w:tcW w:w="1701" w:type="dxa"/>
            <w:tcBorders>
              <w:top w:val="nil"/>
              <w:left w:val="nil"/>
              <w:bottom w:val="nil"/>
              <w:right w:val="nil"/>
            </w:tcBorders>
            <w:vAlign w:val="center"/>
          </w:tcPr>
          <w:p w14:paraId="72FC71C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59A5A58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42CB00F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1236A478" w14:textId="77777777" w:rsidTr="001A24A9">
        <w:trPr>
          <w:jc w:val="center"/>
        </w:trPr>
        <w:tc>
          <w:tcPr>
            <w:tcW w:w="1134" w:type="dxa"/>
            <w:tcBorders>
              <w:top w:val="nil"/>
              <w:left w:val="nil"/>
              <w:bottom w:val="nil"/>
              <w:right w:val="nil"/>
            </w:tcBorders>
            <w:vAlign w:val="center"/>
          </w:tcPr>
          <w:p w14:paraId="4C3EBE0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5.3.5.</w:t>
            </w:r>
          </w:p>
        </w:tc>
        <w:tc>
          <w:tcPr>
            <w:tcW w:w="1276" w:type="dxa"/>
            <w:tcBorders>
              <w:top w:val="nil"/>
              <w:left w:val="nil"/>
              <w:bottom w:val="nil"/>
              <w:right w:val="nil"/>
            </w:tcBorders>
            <w:vAlign w:val="center"/>
          </w:tcPr>
          <w:p w14:paraId="1E0D06FC" w14:textId="77777777" w:rsidR="006F76EB" w:rsidRPr="00834D52" w:rsidRDefault="00A926FB" w:rsidP="00A926F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984" w:type="dxa"/>
            <w:tcBorders>
              <w:top w:val="nil"/>
              <w:left w:val="nil"/>
              <w:bottom w:val="nil"/>
              <w:right w:val="nil"/>
            </w:tcBorders>
            <w:vAlign w:val="center"/>
          </w:tcPr>
          <w:p w14:paraId="74D1BAD3" w14:textId="77777777" w:rsidR="006F76EB" w:rsidRPr="00A926FB" w:rsidRDefault="00A926FB"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418" w:type="dxa"/>
            <w:tcBorders>
              <w:top w:val="nil"/>
              <w:left w:val="nil"/>
              <w:bottom w:val="nil"/>
              <w:right w:val="nil"/>
            </w:tcBorders>
            <w:vAlign w:val="center"/>
          </w:tcPr>
          <w:p w14:paraId="2CF92338" w14:textId="77777777" w:rsidR="006F76EB" w:rsidRPr="00A926FB" w:rsidRDefault="00A926FB"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6CC8EAD7" w14:textId="77777777" w:rsidR="006F76EB" w:rsidRPr="00834D52" w:rsidRDefault="00A926FB" w:rsidP="00A926F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72E62F97" w14:textId="77777777" w:rsidR="006F76EB" w:rsidRPr="00834D52" w:rsidRDefault="00A926FB" w:rsidP="00A926F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03BCACDE" w14:textId="77777777" w:rsidR="006F76EB" w:rsidRPr="00834D52" w:rsidRDefault="00A926FB" w:rsidP="00A926F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701" w:type="dxa"/>
            <w:tcBorders>
              <w:top w:val="nil"/>
              <w:left w:val="nil"/>
              <w:bottom w:val="nil"/>
              <w:right w:val="nil"/>
            </w:tcBorders>
            <w:vAlign w:val="center"/>
          </w:tcPr>
          <w:p w14:paraId="7840819C" w14:textId="77777777" w:rsidR="006F76EB" w:rsidRPr="00834D52" w:rsidRDefault="00A926FB" w:rsidP="00A926F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5DB92A04" w14:textId="77777777" w:rsidR="006F76EB" w:rsidRPr="00A926FB" w:rsidRDefault="00A926FB"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c>
          <w:tcPr>
            <w:tcW w:w="1560" w:type="dxa"/>
            <w:tcBorders>
              <w:top w:val="nil"/>
              <w:left w:val="nil"/>
              <w:bottom w:val="nil"/>
              <w:right w:val="nil"/>
            </w:tcBorders>
            <w:vAlign w:val="center"/>
          </w:tcPr>
          <w:p w14:paraId="238DCE78" w14:textId="77777777" w:rsidR="006F76EB" w:rsidRPr="00A926FB" w:rsidRDefault="00A926FB"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0FF68C4F" w14:textId="77777777" w:rsidTr="001A24A9">
        <w:trPr>
          <w:jc w:val="center"/>
        </w:trPr>
        <w:tc>
          <w:tcPr>
            <w:tcW w:w="1134" w:type="dxa"/>
            <w:tcBorders>
              <w:top w:val="nil"/>
              <w:left w:val="nil"/>
              <w:bottom w:val="nil"/>
              <w:right w:val="nil"/>
            </w:tcBorders>
            <w:vAlign w:val="center"/>
          </w:tcPr>
          <w:p w14:paraId="55503F06"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028EA23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34F129E9" w14:textId="77777777" w:rsidR="006F76EB" w:rsidRPr="00834D52" w:rsidRDefault="006F76EB" w:rsidP="00F71229">
            <w:pPr>
              <w:spacing w:after="120" w:line="240" w:lineRule="auto"/>
              <w:ind w:right="-8"/>
              <w:jc w:val="center"/>
              <w:rPr>
                <w:rFonts w:ascii="Sylfaen" w:hAnsi="Sylfaen"/>
                <w:sz w:val="24"/>
                <w:szCs w:val="24"/>
              </w:rPr>
            </w:pPr>
          </w:p>
        </w:tc>
        <w:tc>
          <w:tcPr>
            <w:tcW w:w="1418" w:type="dxa"/>
            <w:tcBorders>
              <w:top w:val="nil"/>
              <w:left w:val="nil"/>
              <w:bottom w:val="nil"/>
              <w:right w:val="nil"/>
            </w:tcBorders>
            <w:vAlign w:val="center"/>
          </w:tcPr>
          <w:p w14:paraId="22E1B002"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4729F77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007A00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2F92A91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286DF04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1CA7EFF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71ACDF1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6ACD34C1" w14:textId="77777777" w:rsidTr="001A24A9">
        <w:trPr>
          <w:jc w:val="center"/>
        </w:trPr>
        <w:tc>
          <w:tcPr>
            <w:tcW w:w="1134" w:type="dxa"/>
            <w:tcBorders>
              <w:top w:val="nil"/>
              <w:left w:val="nil"/>
              <w:bottom w:val="nil"/>
              <w:right w:val="nil"/>
            </w:tcBorders>
            <w:vAlign w:val="center"/>
          </w:tcPr>
          <w:p w14:paraId="0071735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5.3.6.</w:t>
            </w:r>
          </w:p>
        </w:tc>
        <w:tc>
          <w:tcPr>
            <w:tcW w:w="1276" w:type="dxa"/>
            <w:tcBorders>
              <w:top w:val="nil"/>
              <w:left w:val="nil"/>
              <w:bottom w:val="nil"/>
              <w:right w:val="nil"/>
            </w:tcBorders>
            <w:vAlign w:val="center"/>
          </w:tcPr>
          <w:p w14:paraId="1B638743"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5448CBF6"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07C591AC"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4172217E"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527BA67B"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6CAE9000" w14:textId="77777777" w:rsidR="006F76EB" w:rsidRPr="00834D52" w:rsidRDefault="00ED4AEB" w:rsidP="00ED4AEB">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701" w:type="dxa"/>
            <w:tcBorders>
              <w:top w:val="nil"/>
              <w:left w:val="nil"/>
              <w:bottom w:val="nil"/>
              <w:right w:val="nil"/>
            </w:tcBorders>
            <w:vAlign w:val="center"/>
          </w:tcPr>
          <w:p w14:paraId="7FD74F99" w14:textId="77777777" w:rsidR="006F76EB" w:rsidRPr="00ED4AEB" w:rsidRDefault="00ED4AEB" w:rsidP="00ED4AEB">
            <w:pPr>
              <w:spacing w:after="120" w:line="240" w:lineRule="auto"/>
              <w:ind w:right="-8"/>
              <w:jc w:val="center"/>
              <w:rPr>
                <w:rFonts w:ascii="Sylfaen" w:eastAsia="Times New Roman" w:hAnsi="Sylfaen" w:cs="Times New Roman"/>
                <w:sz w:val="24"/>
                <w:szCs w:val="24"/>
                <w:lang w:val="ru-RU"/>
              </w:rPr>
            </w:pPr>
            <w:r>
              <w:rPr>
                <w:rFonts w:ascii="Sylfaen" w:hAnsi="Sylfaen"/>
                <w:sz w:val="24"/>
                <w:szCs w:val="24"/>
                <w:lang w:val="ru-RU"/>
              </w:rPr>
              <w:t>-</w:t>
            </w:r>
          </w:p>
        </w:tc>
        <w:tc>
          <w:tcPr>
            <w:tcW w:w="1275" w:type="dxa"/>
            <w:tcBorders>
              <w:top w:val="nil"/>
              <w:left w:val="nil"/>
              <w:bottom w:val="nil"/>
              <w:right w:val="nil"/>
            </w:tcBorders>
            <w:vAlign w:val="center"/>
          </w:tcPr>
          <w:p w14:paraId="0215ADAD" w14:textId="77777777" w:rsidR="006F76EB" w:rsidRPr="00ED4AEB" w:rsidRDefault="00ED4AEB"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14B47A86" w14:textId="77777777" w:rsidR="006F76EB" w:rsidRPr="00ED4AEB" w:rsidRDefault="00ED4AEB"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401253A6" w14:textId="77777777" w:rsidTr="001A24A9">
        <w:trPr>
          <w:jc w:val="center"/>
        </w:trPr>
        <w:tc>
          <w:tcPr>
            <w:tcW w:w="1134" w:type="dxa"/>
            <w:tcBorders>
              <w:top w:val="nil"/>
              <w:left w:val="nil"/>
              <w:bottom w:val="nil"/>
              <w:right w:val="nil"/>
            </w:tcBorders>
            <w:vAlign w:val="center"/>
          </w:tcPr>
          <w:p w14:paraId="5D6DCB4B"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581CEDC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68DA32C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15DB979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4539A1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64BC94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1474E5C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63A10133"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32B7FAEA"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5721A05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52498331" w14:textId="77777777" w:rsidTr="001A24A9">
        <w:trPr>
          <w:jc w:val="center"/>
        </w:trPr>
        <w:tc>
          <w:tcPr>
            <w:tcW w:w="1134" w:type="dxa"/>
            <w:tcBorders>
              <w:top w:val="nil"/>
              <w:left w:val="nil"/>
              <w:bottom w:val="nil"/>
              <w:right w:val="nil"/>
            </w:tcBorders>
            <w:vAlign w:val="center"/>
          </w:tcPr>
          <w:p w14:paraId="1A1FD9C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5.3.7.</w:t>
            </w:r>
          </w:p>
        </w:tc>
        <w:tc>
          <w:tcPr>
            <w:tcW w:w="1276" w:type="dxa"/>
            <w:tcBorders>
              <w:top w:val="nil"/>
              <w:left w:val="nil"/>
              <w:bottom w:val="nil"/>
              <w:right w:val="nil"/>
            </w:tcBorders>
            <w:vAlign w:val="center"/>
          </w:tcPr>
          <w:p w14:paraId="52F366C9"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5EBB1AA3"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8" w:type="dxa"/>
            <w:tcBorders>
              <w:top w:val="nil"/>
              <w:left w:val="nil"/>
              <w:bottom w:val="nil"/>
              <w:right w:val="nil"/>
            </w:tcBorders>
            <w:vAlign w:val="center"/>
          </w:tcPr>
          <w:p w14:paraId="4AF9D574"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6D7E8EBE"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417" w:type="dxa"/>
            <w:tcBorders>
              <w:top w:val="nil"/>
              <w:left w:val="nil"/>
              <w:bottom w:val="nil"/>
              <w:right w:val="nil"/>
            </w:tcBorders>
            <w:vAlign w:val="center"/>
          </w:tcPr>
          <w:p w14:paraId="2B36F36E"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59" w:type="dxa"/>
            <w:tcBorders>
              <w:top w:val="nil"/>
              <w:left w:val="nil"/>
              <w:bottom w:val="nil"/>
              <w:right w:val="nil"/>
            </w:tcBorders>
            <w:vAlign w:val="center"/>
          </w:tcPr>
          <w:p w14:paraId="762585B8"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701" w:type="dxa"/>
            <w:tcBorders>
              <w:top w:val="nil"/>
              <w:left w:val="nil"/>
              <w:bottom w:val="nil"/>
              <w:right w:val="nil"/>
            </w:tcBorders>
            <w:vAlign w:val="center"/>
          </w:tcPr>
          <w:p w14:paraId="1887DDFB"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2F5B9CA8" w14:textId="77777777" w:rsidR="006F76EB" w:rsidRPr="006D5D99" w:rsidRDefault="006D5D99" w:rsidP="00F71229">
            <w:pPr>
              <w:spacing w:after="120" w:line="240" w:lineRule="auto"/>
              <w:ind w:right="-8"/>
              <w:jc w:val="center"/>
              <w:rPr>
                <w:rFonts w:ascii="Sylfaen" w:hAnsi="Sylfaen"/>
                <w:sz w:val="24"/>
                <w:szCs w:val="24"/>
                <w:lang w:val="ru-RU"/>
              </w:rPr>
            </w:pPr>
            <w:r>
              <w:rPr>
                <w:rFonts w:ascii="Sylfaen" w:hAnsi="Sylfaen"/>
                <w:sz w:val="24"/>
                <w:szCs w:val="24"/>
                <w:lang w:val="ru-RU"/>
              </w:rPr>
              <w:t>+</w:t>
            </w:r>
          </w:p>
        </w:tc>
        <w:tc>
          <w:tcPr>
            <w:tcW w:w="1560" w:type="dxa"/>
            <w:tcBorders>
              <w:top w:val="nil"/>
              <w:left w:val="nil"/>
              <w:bottom w:val="nil"/>
              <w:right w:val="nil"/>
            </w:tcBorders>
            <w:vAlign w:val="center"/>
          </w:tcPr>
          <w:p w14:paraId="6895B4E4" w14:textId="77777777" w:rsidR="006F76EB" w:rsidRPr="006D5D99" w:rsidRDefault="006D5D99"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1399E762" w14:textId="77777777" w:rsidTr="001A24A9">
        <w:trPr>
          <w:jc w:val="center"/>
        </w:trPr>
        <w:tc>
          <w:tcPr>
            <w:tcW w:w="1134" w:type="dxa"/>
            <w:tcBorders>
              <w:top w:val="nil"/>
              <w:left w:val="nil"/>
              <w:bottom w:val="nil"/>
              <w:right w:val="nil"/>
            </w:tcBorders>
            <w:vAlign w:val="center"/>
          </w:tcPr>
          <w:p w14:paraId="693ACC02"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0FB1676F"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23D9C6B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74A95FED"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0D1F43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3191E7A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456FA73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676EA46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1AA5B878" w14:textId="77777777" w:rsidR="006F76EB" w:rsidRPr="00834D52" w:rsidRDefault="006F76EB" w:rsidP="00F71229">
            <w:pPr>
              <w:spacing w:after="120" w:line="240" w:lineRule="auto"/>
              <w:ind w:right="-8"/>
              <w:jc w:val="center"/>
              <w:rPr>
                <w:rFonts w:ascii="Sylfaen" w:hAnsi="Sylfaen"/>
                <w:sz w:val="24"/>
                <w:szCs w:val="24"/>
              </w:rPr>
            </w:pPr>
          </w:p>
        </w:tc>
        <w:tc>
          <w:tcPr>
            <w:tcW w:w="1560" w:type="dxa"/>
            <w:tcBorders>
              <w:top w:val="nil"/>
              <w:left w:val="nil"/>
              <w:bottom w:val="nil"/>
              <w:right w:val="nil"/>
            </w:tcBorders>
            <w:vAlign w:val="center"/>
          </w:tcPr>
          <w:p w14:paraId="62A29E25"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r w:rsidR="006F76EB" w:rsidRPr="00834D52" w14:paraId="32B6EABC" w14:textId="77777777" w:rsidTr="001A24A9">
        <w:trPr>
          <w:jc w:val="center"/>
        </w:trPr>
        <w:tc>
          <w:tcPr>
            <w:tcW w:w="1134" w:type="dxa"/>
            <w:tcBorders>
              <w:top w:val="nil"/>
              <w:left w:val="nil"/>
              <w:bottom w:val="nil"/>
              <w:right w:val="nil"/>
            </w:tcBorders>
            <w:vAlign w:val="center"/>
          </w:tcPr>
          <w:p w14:paraId="124E4A56"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r w:rsidRPr="00834D52">
              <w:rPr>
                <w:rFonts w:ascii="Sylfaen" w:hAnsi="Sylfaen"/>
                <w:sz w:val="24"/>
                <w:szCs w:val="24"/>
              </w:rPr>
              <w:t>5.4.</w:t>
            </w:r>
          </w:p>
        </w:tc>
        <w:tc>
          <w:tcPr>
            <w:tcW w:w="1276" w:type="dxa"/>
            <w:tcBorders>
              <w:top w:val="nil"/>
              <w:left w:val="nil"/>
              <w:bottom w:val="nil"/>
              <w:right w:val="nil"/>
            </w:tcBorders>
            <w:vAlign w:val="center"/>
          </w:tcPr>
          <w:p w14:paraId="60866D67"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984" w:type="dxa"/>
            <w:tcBorders>
              <w:top w:val="nil"/>
              <w:left w:val="nil"/>
              <w:bottom w:val="nil"/>
              <w:right w:val="nil"/>
            </w:tcBorders>
            <w:vAlign w:val="center"/>
          </w:tcPr>
          <w:p w14:paraId="201FF00C"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8" w:type="dxa"/>
            <w:tcBorders>
              <w:top w:val="nil"/>
              <w:left w:val="nil"/>
              <w:bottom w:val="nil"/>
              <w:right w:val="nil"/>
            </w:tcBorders>
            <w:vAlign w:val="center"/>
          </w:tcPr>
          <w:p w14:paraId="0448B7DB"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60" w:type="dxa"/>
            <w:tcBorders>
              <w:top w:val="nil"/>
              <w:left w:val="nil"/>
              <w:bottom w:val="nil"/>
              <w:right w:val="nil"/>
            </w:tcBorders>
            <w:vAlign w:val="center"/>
          </w:tcPr>
          <w:p w14:paraId="74C20893"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417" w:type="dxa"/>
            <w:tcBorders>
              <w:top w:val="nil"/>
              <w:left w:val="nil"/>
              <w:bottom w:val="nil"/>
              <w:right w:val="nil"/>
            </w:tcBorders>
            <w:vAlign w:val="center"/>
          </w:tcPr>
          <w:p w14:paraId="52CFDC33"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559" w:type="dxa"/>
            <w:tcBorders>
              <w:top w:val="nil"/>
              <w:left w:val="nil"/>
              <w:bottom w:val="nil"/>
              <w:right w:val="nil"/>
            </w:tcBorders>
            <w:vAlign w:val="center"/>
          </w:tcPr>
          <w:p w14:paraId="0B3F607B"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r w:rsidRPr="00834D52">
              <w:rPr>
                <w:rFonts w:ascii="Sylfaen" w:hAnsi="Sylfaen"/>
                <w:sz w:val="24"/>
                <w:szCs w:val="24"/>
              </w:rPr>
              <w:t xml:space="preserve"> </w:t>
            </w:r>
          </w:p>
        </w:tc>
        <w:tc>
          <w:tcPr>
            <w:tcW w:w="1701" w:type="dxa"/>
            <w:tcBorders>
              <w:top w:val="nil"/>
              <w:left w:val="nil"/>
              <w:bottom w:val="nil"/>
              <w:right w:val="nil"/>
            </w:tcBorders>
            <w:vAlign w:val="center"/>
          </w:tcPr>
          <w:p w14:paraId="1964FAE5"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275" w:type="dxa"/>
            <w:tcBorders>
              <w:top w:val="nil"/>
              <w:left w:val="nil"/>
              <w:bottom w:val="nil"/>
              <w:right w:val="nil"/>
            </w:tcBorders>
            <w:vAlign w:val="center"/>
          </w:tcPr>
          <w:p w14:paraId="51F9DD1C" w14:textId="77777777" w:rsidR="006F76EB" w:rsidRPr="00834D52" w:rsidRDefault="006D5D99" w:rsidP="006D5D99">
            <w:pPr>
              <w:spacing w:after="120" w:line="240" w:lineRule="auto"/>
              <w:ind w:right="-8"/>
              <w:jc w:val="center"/>
              <w:rPr>
                <w:rFonts w:ascii="Sylfaen" w:eastAsia="Times New Roman" w:hAnsi="Sylfaen" w:cs="Times New Roman"/>
                <w:sz w:val="24"/>
                <w:szCs w:val="24"/>
              </w:rPr>
            </w:pPr>
            <w:r>
              <w:rPr>
                <w:rFonts w:ascii="Sylfaen" w:hAnsi="Sylfaen"/>
                <w:sz w:val="24"/>
                <w:szCs w:val="24"/>
                <w:lang w:val="ru-RU"/>
              </w:rPr>
              <w:t>+</w:t>
            </w:r>
          </w:p>
        </w:tc>
        <w:tc>
          <w:tcPr>
            <w:tcW w:w="1560" w:type="dxa"/>
            <w:tcBorders>
              <w:top w:val="nil"/>
              <w:left w:val="nil"/>
              <w:bottom w:val="nil"/>
              <w:right w:val="nil"/>
            </w:tcBorders>
            <w:vAlign w:val="center"/>
          </w:tcPr>
          <w:p w14:paraId="79A464AB" w14:textId="77777777" w:rsidR="006F76EB" w:rsidRPr="006D5D99" w:rsidRDefault="006D5D99" w:rsidP="00F71229">
            <w:pPr>
              <w:spacing w:after="120" w:line="240" w:lineRule="auto"/>
              <w:ind w:right="-8"/>
              <w:jc w:val="center"/>
              <w:rPr>
                <w:rFonts w:ascii="Sylfaen" w:eastAsia="Times New Roman" w:hAnsi="Sylfaen" w:cs="Times New Roman"/>
                <w:sz w:val="24"/>
                <w:szCs w:val="24"/>
                <w:lang w:val="ru-RU"/>
              </w:rPr>
            </w:pPr>
            <w:r>
              <w:rPr>
                <w:rFonts w:ascii="Sylfaen" w:eastAsia="Times New Roman" w:hAnsi="Sylfaen" w:cs="Times New Roman"/>
                <w:sz w:val="24"/>
                <w:szCs w:val="24"/>
                <w:lang w:val="ru-RU"/>
              </w:rPr>
              <w:t>+</w:t>
            </w:r>
          </w:p>
        </w:tc>
      </w:tr>
      <w:tr w:rsidR="006F76EB" w:rsidRPr="00834D52" w14:paraId="6FF979AA" w14:textId="77777777" w:rsidTr="001A24A9">
        <w:trPr>
          <w:jc w:val="center"/>
        </w:trPr>
        <w:tc>
          <w:tcPr>
            <w:tcW w:w="1134" w:type="dxa"/>
            <w:tcBorders>
              <w:top w:val="nil"/>
              <w:left w:val="nil"/>
              <w:bottom w:val="nil"/>
              <w:right w:val="nil"/>
            </w:tcBorders>
            <w:vAlign w:val="center"/>
          </w:tcPr>
          <w:p w14:paraId="2E57F674" w14:textId="77777777" w:rsidR="006F76EB" w:rsidRPr="00834D52" w:rsidRDefault="006F76EB" w:rsidP="00F71229">
            <w:pPr>
              <w:spacing w:after="120" w:line="240" w:lineRule="auto"/>
              <w:ind w:right="-8"/>
              <w:jc w:val="center"/>
              <w:rPr>
                <w:rFonts w:ascii="Sylfaen" w:hAnsi="Sylfaen"/>
                <w:sz w:val="24"/>
                <w:szCs w:val="24"/>
              </w:rPr>
            </w:pPr>
          </w:p>
        </w:tc>
        <w:tc>
          <w:tcPr>
            <w:tcW w:w="1276" w:type="dxa"/>
            <w:tcBorders>
              <w:top w:val="nil"/>
              <w:left w:val="nil"/>
              <w:bottom w:val="nil"/>
              <w:right w:val="nil"/>
            </w:tcBorders>
            <w:vAlign w:val="center"/>
          </w:tcPr>
          <w:p w14:paraId="7F9696E7"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984" w:type="dxa"/>
            <w:tcBorders>
              <w:top w:val="nil"/>
              <w:left w:val="nil"/>
              <w:bottom w:val="nil"/>
              <w:right w:val="nil"/>
            </w:tcBorders>
            <w:vAlign w:val="center"/>
          </w:tcPr>
          <w:p w14:paraId="4F282928"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8" w:type="dxa"/>
            <w:tcBorders>
              <w:top w:val="nil"/>
              <w:left w:val="nil"/>
              <w:bottom w:val="nil"/>
              <w:right w:val="nil"/>
            </w:tcBorders>
            <w:vAlign w:val="center"/>
          </w:tcPr>
          <w:p w14:paraId="52BFCC81"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23155D10"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417" w:type="dxa"/>
            <w:tcBorders>
              <w:top w:val="nil"/>
              <w:left w:val="nil"/>
              <w:bottom w:val="nil"/>
              <w:right w:val="nil"/>
            </w:tcBorders>
            <w:vAlign w:val="center"/>
          </w:tcPr>
          <w:p w14:paraId="059FED62"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59" w:type="dxa"/>
            <w:tcBorders>
              <w:top w:val="nil"/>
              <w:left w:val="nil"/>
              <w:bottom w:val="nil"/>
              <w:right w:val="nil"/>
            </w:tcBorders>
            <w:vAlign w:val="center"/>
          </w:tcPr>
          <w:p w14:paraId="63626F6A"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701" w:type="dxa"/>
            <w:tcBorders>
              <w:top w:val="nil"/>
              <w:left w:val="nil"/>
              <w:bottom w:val="nil"/>
              <w:right w:val="nil"/>
            </w:tcBorders>
            <w:vAlign w:val="center"/>
          </w:tcPr>
          <w:p w14:paraId="525912CB"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275" w:type="dxa"/>
            <w:tcBorders>
              <w:top w:val="nil"/>
              <w:left w:val="nil"/>
              <w:bottom w:val="nil"/>
              <w:right w:val="nil"/>
            </w:tcBorders>
            <w:vAlign w:val="center"/>
          </w:tcPr>
          <w:p w14:paraId="3E32D50E"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c>
          <w:tcPr>
            <w:tcW w:w="1560" w:type="dxa"/>
            <w:tcBorders>
              <w:top w:val="nil"/>
              <w:left w:val="nil"/>
              <w:bottom w:val="nil"/>
              <w:right w:val="nil"/>
            </w:tcBorders>
            <w:vAlign w:val="center"/>
          </w:tcPr>
          <w:p w14:paraId="3F2455B9" w14:textId="77777777" w:rsidR="006F76EB" w:rsidRPr="00834D52" w:rsidRDefault="006F76EB" w:rsidP="00F71229">
            <w:pPr>
              <w:spacing w:after="120" w:line="240" w:lineRule="auto"/>
              <w:ind w:right="-8"/>
              <w:jc w:val="center"/>
              <w:rPr>
                <w:rFonts w:ascii="Sylfaen" w:eastAsia="Times New Roman" w:hAnsi="Sylfaen" w:cs="Times New Roman"/>
                <w:sz w:val="24"/>
                <w:szCs w:val="24"/>
              </w:rPr>
            </w:pPr>
          </w:p>
        </w:tc>
      </w:tr>
    </w:tbl>
    <w:p w14:paraId="50BD5855" w14:textId="77777777" w:rsidR="006F76EB" w:rsidRPr="00834D52" w:rsidRDefault="006F76EB" w:rsidP="006F76EB">
      <w:pPr>
        <w:spacing w:after="120" w:line="240" w:lineRule="auto"/>
        <w:ind w:right="-8"/>
        <w:rPr>
          <w:rFonts w:ascii="Sylfaen" w:hAnsi="Sylfaen"/>
          <w:sz w:val="24"/>
          <w:szCs w:val="24"/>
        </w:rPr>
      </w:pPr>
    </w:p>
    <w:p w14:paraId="0AF28C2D" w14:textId="77777777" w:rsidR="009C4CE7" w:rsidRPr="009C4CE7" w:rsidRDefault="006F76EB" w:rsidP="00450D30">
      <w:pPr>
        <w:spacing w:after="120" w:line="240" w:lineRule="auto"/>
        <w:ind w:right="-8"/>
        <w:jc w:val="both"/>
        <w:rPr>
          <w:rFonts w:ascii="Sylfaen" w:eastAsia="Times New Roman" w:hAnsi="Sylfaen" w:cs="Times New Roman"/>
          <w:lang w:val="en-US"/>
        </w:rPr>
      </w:pPr>
      <w:r w:rsidRPr="00834D52">
        <w:rPr>
          <w:rFonts w:ascii="Sylfaen" w:hAnsi="Sylfaen"/>
        </w:rPr>
        <w:t>Ծանոթագրություն. Օգտագործվող նշանները՝</w:t>
      </w:r>
    </w:p>
    <w:p w14:paraId="15F83EEA" w14:textId="77777777" w:rsidR="006F76EB" w:rsidRPr="00834D52" w:rsidRDefault="00E90FAF" w:rsidP="00450D30">
      <w:pPr>
        <w:spacing w:after="120" w:line="240" w:lineRule="auto"/>
        <w:ind w:right="-8"/>
        <w:jc w:val="both"/>
        <w:rPr>
          <w:rFonts w:ascii="Sylfaen" w:hAnsi="Sylfaen"/>
        </w:rPr>
      </w:pPr>
      <w:r w:rsidRPr="00E90FAF">
        <w:rPr>
          <w:rFonts w:ascii="Sylfaen" w:hAnsi="Sylfaen"/>
          <w:lang w:val="en-US"/>
        </w:rPr>
        <w:t>«</w:t>
      </w:r>
      <w:r w:rsidR="006F76EB" w:rsidRPr="00834D52">
        <w:rPr>
          <w:rFonts w:ascii="Sylfaen" w:hAnsi="Sylfaen"/>
        </w:rPr>
        <w:t>+</w:t>
      </w:r>
      <w:r w:rsidRPr="00E90FAF">
        <w:rPr>
          <w:rFonts w:ascii="Sylfaen" w:hAnsi="Sylfaen"/>
          <w:lang w:val="en-US"/>
        </w:rPr>
        <w:t>»</w:t>
      </w:r>
      <w:r w:rsidR="006F76EB" w:rsidRPr="00834D52">
        <w:rPr>
          <w:rFonts w:ascii="Sylfaen" w:hAnsi="Sylfaen"/>
        </w:rPr>
        <w:t xml:space="preserve">` փաստաթուղթը </w:t>
      </w:r>
      <w:r w:rsidR="009C4CE7">
        <w:rPr>
          <w:rFonts w:ascii="Sylfaen" w:hAnsi="Sylfaen"/>
        </w:rPr>
        <w:t xml:space="preserve">պարտադիր կարգով կամ անհրաժեշտության դեպքում </w:t>
      </w:r>
      <w:r w:rsidR="006F76EB" w:rsidRPr="00834D52">
        <w:rPr>
          <w:rFonts w:ascii="Sylfaen" w:hAnsi="Sylfaen"/>
        </w:rPr>
        <w:t xml:space="preserve">ներկայացվում է </w:t>
      </w:r>
      <w:r w:rsidR="009C4CE7">
        <w:rPr>
          <w:rFonts w:ascii="Sylfaen" w:hAnsi="Sylfaen"/>
        </w:rPr>
        <w:t xml:space="preserve">սույն հավելվածի </w:t>
      </w:r>
      <w:r w:rsidR="009C4CE7">
        <w:rPr>
          <w:rFonts w:ascii="Sylfaen" w:hAnsi="Sylfaen"/>
          <w:lang w:val="en-US"/>
        </w:rPr>
        <w:t xml:space="preserve">I </w:t>
      </w:r>
      <w:r w:rsidR="009C4CE7">
        <w:rPr>
          <w:rFonts w:ascii="Sylfaen" w:hAnsi="Sylfaen"/>
        </w:rPr>
        <w:t>մասում ներկայացված ցուցումներին համապատասխան</w:t>
      </w:r>
      <w:r w:rsidR="006F76EB" w:rsidRPr="00834D52">
        <w:rPr>
          <w:rFonts w:ascii="Sylfaen" w:hAnsi="Sylfaen"/>
        </w:rPr>
        <w:t xml:space="preserve"> </w:t>
      </w:r>
    </w:p>
    <w:p w14:paraId="6F92630F" w14:textId="77777777" w:rsidR="006F76EB" w:rsidRPr="00834D52" w:rsidRDefault="00E90FAF" w:rsidP="00450D30">
      <w:pPr>
        <w:spacing w:after="120" w:line="240" w:lineRule="auto"/>
        <w:ind w:right="-8"/>
        <w:jc w:val="both"/>
        <w:rPr>
          <w:rFonts w:ascii="Sylfaen" w:eastAsia="Times New Roman" w:hAnsi="Sylfaen" w:cs="Times New Roman"/>
        </w:rPr>
      </w:pPr>
      <w:r w:rsidRPr="00E90FAF">
        <w:rPr>
          <w:rFonts w:ascii="Sylfaen" w:hAnsi="Sylfaen"/>
        </w:rPr>
        <w:t>«(+)»</w:t>
      </w:r>
      <w:r w:rsidR="006F76EB" w:rsidRPr="00834D52">
        <w:rPr>
          <w:rFonts w:ascii="Sylfaen" w:hAnsi="Sylfaen"/>
        </w:rPr>
        <w:t>՝</w:t>
      </w:r>
      <w:r w:rsidR="00557AE2" w:rsidRPr="00834D52">
        <w:rPr>
          <w:rFonts w:ascii="Sylfaen" w:hAnsi="Sylfaen"/>
        </w:rPr>
        <w:t>փաստաթուղթը ներկայացվում է առկայության դեպքում</w:t>
      </w:r>
      <w:r w:rsidR="00BA33FD">
        <w:rPr>
          <w:rFonts w:ascii="Sylfaen" w:hAnsi="Sylfaen"/>
        </w:rPr>
        <w:t>,</w:t>
      </w:r>
    </w:p>
    <w:p w14:paraId="5DEF1E4C" w14:textId="77777777" w:rsidR="006F76EB" w:rsidRPr="00834D52" w:rsidRDefault="00E90FAF" w:rsidP="00450D30">
      <w:pPr>
        <w:spacing w:after="120" w:line="240" w:lineRule="auto"/>
        <w:ind w:right="-8"/>
        <w:jc w:val="both"/>
        <w:rPr>
          <w:rFonts w:ascii="Sylfaen" w:eastAsia="Times New Roman" w:hAnsi="Sylfaen" w:cs="Times New Roman"/>
        </w:rPr>
      </w:pPr>
      <w:r w:rsidRPr="00E90FAF">
        <w:rPr>
          <w:rFonts w:ascii="Sylfaen" w:hAnsi="Sylfaen"/>
        </w:rPr>
        <w:t>«</w:t>
      </w:r>
      <w:r w:rsidR="006F76EB" w:rsidRPr="00834D52">
        <w:rPr>
          <w:rFonts w:ascii="Sylfaen" w:hAnsi="Sylfaen"/>
        </w:rPr>
        <w:t>-</w:t>
      </w:r>
      <w:r w:rsidRPr="00E90FAF">
        <w:rPr>
          <w:rFonts w:ascii="Sylfaen" w:hAnsi="Sylfaen"/>
        </w:rPr>
        <w:t>»`</w:t>
      </w:r>
      <w:r w:rsidR="002B4BF8">
        <w:rPr>
          <w:rFonts w:ascii="Sylfaen" w:hAnsi="Sylfaen"/>
        </w:rPr>
        <w:t>փաստաթուղթը չի ներկայացվում</w:t>
      </w:r>
      <w:r w:rsidR="00280E60">
        <w:rPr>
          <w:rFonts w:ascii="Sylfaen" w:hAnsi="Sylfaen"/>
        </w:rPr>
        <w:t>:</w:t>
      </w:r>
    </w:p>
    <w:p w14:paraId="396A4085" w14:textId="77777777" w:rsidR="006F76EB" w:rsidRPr="00834D52" w:rsidRDefault="006F76EB" w:rsidP="006F76EB">
      <w:pPr>
        <w:spacing w:after="120" w:line="240" w:lineRule="auto"/>
        <w:ind w:right="-8"/>
        <w:rPr>
          <w:rFonts w:ascii="Sylfaen" w:eastAsia="Times New Roman" w:hAnsi="Sylfaen" w:cs="Times New Roman"/>
          <w:sz w:val="24"/>
          <w:szCs w:val="24"/>
        </w:rPr>
      </w:pPr>
    </w:p>
    <w:p w14:paraId="3C3A1245" w14:textId="77777777" w:rsidR="006F76EB" w:rsidRPr="00834D52" w:rsidRDefault="006F76EB" w:rsidP="006F76EB">
      <w:pPr>
        <w:spacing w:after="120" w:line="240" w:lineRule="auto"/>
        <w:ind w:right="-8"/>
        <w:rPr>
          <w:rFonts w:ascii="Sylfaen" w:eastAsia="Times New Roman" w:hAnsi="Sylfaen" w:cs="Times New Roman"/>
          <w:sz w:val="24"/>
          <w:szCs w:val="24"/>
        </w:rPr>
        <w:sectPr w:rsidR="006F76EB" w:rsidRPr="00834D52" w:rsidSect="00F71229">
          <w:headerReference w:type="default" r:id="rId12"/>
          <w:pgSz w:w="16840" w:h="11920" w:orient="landscape"/>
          <w:pgMar w:top="1418" w:right="1418" w:bottom="1418" w:left="1418" w:header="882" w:footer="395" w:gutter="0"/>
          <w:cols w:space="720"/>
        </w:sectPr>
      </w:pPr>
    </w:p>
    <w:p w14:paraId="1ADBC6BF" w14:textId="77777777" w:rsidR="006F76EB" w:rsidRPr="00834D52" w:rsidRDefault="006F76EB" w:rsidP="006F76EB">
      <w:pPr>
        <w:tabs>
          <w:tab w:val="left" w:pos="4395"/>
        </w:tabs>
        <w:spacing w:after="160" w:line="360" w:lineRule="auto"/>
        <w:ind w:left="4395" w:right="-8"/>
        <w:jc w:val="center"/>
        <w:rPr>
          <w:rFonts w:ascii="Sylfaen" w:eastAsia="Times New Roman" w:hAnsi="Sylfaen" w:cs="Times New Roman"/>
          <w:sz w:val="24"/>
          <w:szCs w:val="24"/>
        </w:rPr>
      </w:pPr>
      <w:r w:rsidRPr="00834D52">
        <w:rPr>
          <w:rFonts w:ascii="Sylfaen" w:hAnsi="Sylfaen"/>
          <w:sz w:val="24"/>
          <w:szCs w:val="24"/>
        </w:rPr>
        <w:lastRenderedPageBreak/>
        <w:t xml:space="preserve">ՀԱՎԵԼՎԱԾ </w:t>
      </w:r>
      <w:r w:rsidR="002C1A53">
        <w:rPr>
          <w:rFonts w:ascii="Sylfaen" w:hAnsi="Sylfaen"/>
          <w:sz w:val="24"/>
          <w:szCs w:val="24"/>
        </w:rPr>
        <w:t xml:space="preserve">ԹԻՎ </w:t>
      </w:r>
      <w:r w:rsidRPr="00834D52">
        <w:rPr>
          <w:rFonts w:ascii="Sylfaen" w:hAnsi="Sylfaen"/>
          <w:sz w:val="24"/>
          <w:szCs w:val="24"/>
        </w:rPr>
        <w:t>5</w:t>
      </w:r>
    </w:p>
    <w:p w14:paraId="7C645384" w14:textId="77777777" w:rsidR="006F76EB" w:rsidRPr="00834D52" w:rsidRDefault="006F76EB" w:rsidP="006F76EB">
      <w:pPr>
        <w:tabs>
          <w:tab w:val="left" w:pos="4395"/>
        </w:tabs>
        <w:spacing w:after="160" w:line="360" w:lineRule="auto"/>
        <w:ind w:left="4395" w:right="-8"/>
        <w:jc w:val="center"/>
        <w:rPr>
          <w:rFonts w:ascii="Sylfaen" w:eastAsia="Times New Roman" w:hAnsi="Sylfaen" w:cs="Times New Roman"/>
          <w:sz w:val="24"/>
          <w:szCs w:val="24"/>
        </w:rPr>
      </w:pPr>
      <w:r w:rsidRPr="00834D52">
        <w:rPr>
          <w:rFonts w:ascii="Sylfaen" w:hAnsi="Sylfaen"/>
          <w:sz w:val="24"/>
          <w:szCs w:val="24"/>
        </w:rPr>
        <w:t xml:space="preserve">Բժշկական կիրառության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w:t>
      </w:r>
    </w:p>
    <w:p w14:paraId="2FE4EFC2" w14:textId="77777777" w:rsidR="006F76EB" w:rsidRPr="00834D52" w:rsidRDefault="006F76EB" w:rsidP="006F76EB">
      <w:pPr>
        <w:spacing w:after="160" w:line="360" w:lineRule="auto"/>
        <w:ind w:right="-8"/>
        <w:rPr>
          <w:rFonts w:ascii="Sylfaen" w:hAnsi="Sylfaen"/>
          <w:sz w:val="24"/>
          <w:szCs w:val="24"/>
        </w:rPr>
      </w:pPr>
    </w:p>
    <w:p w14:paraId="7CCEA23D" w14:textId="77777777" w:rsidR="006F76EB" w:rsidRPr="00834D52" w:rsidRDefault="006F76EB" w:rsidP="006F76EB">
      <w:pPr>
        <w:spacing w:after="160" w:line="360" w:lineRule="auto"/>
        <w:ind w:left="567" w:right="579"/>
        <w:jc w:val="center"/>
        <w:rPr>
          <w:rFonts w:ascii="Sylfaen" w:eastAsia="Times New Roman" w:hAnsi="Sylfaen" w:cs="Times New Roman"/>
          <w:sz w:val="24"/>
          <w:szCs w:val="24"/>
        </w:rPr>
      </w:pPr>
      <w:r w:rsidRPr="00834D52">
        <w:rPr>
          <w:rFonts w:ascii="Sylfaen" w:hAnsi="Sylfaen"/>
          <w:b/>
          <w:sz w:val="24"/>
          <w:szCs w:val="24"/>
        </w:rPr>
        <w:t>ԿԱՌՈՒՑՎԱԾՔԸ</w:t>
      </w:r>
    </w:p>
    <w:p w14:paraId="1E330A47" w14:textId="77777777" w:rsidR="006F76EB" w:rsidRPr="00834D52" w:rsidRDefault="006F76EB" w:rsidP="006F76EB">
      <w:pPr>
        <w:spacing w:after="160" w:line="360" w:lineRule="auto"/>
        <w:ind w:left="567" w:right="579"/>
        <w:jc w:val="center"/>
        <w:rPr>
          <w:rFonts w:ascii="Sylfaen" w:eastAsia="Times New Roman" w:hAnsi="Sylfaen" w:cs="Times New Roman"/>
          <w:sz w:val="24"/>
          <w:szCs w:val="24"/>
        </w:rPr>
      </w:pPr>
      <w:r w:rsidRPr="00834D52">
        <w:rPr>
          <w:rFonts w:ascii="Sylfaen" w:hAnsi="Sylfaen"/>
          <w:b/>
          <w:sz w:val="24"/>
          <w:szCs w:val="24"/>
        </w:rPr>
        <w:t>բժշկական նշանակության դեղապատրաստուկների գրանցման համար նախատեսված ընդհանուր տեխնիկական փաստաթղթի</w:t>
      </w:r>
    </w:p>
    <w:p w14:paraId="271E130C" w14:textId="77777777" w:rsidR="006F76EB" w:rsidRPr="00834D52" w:rsidRDefault="006F76EB" w:rsidP="006F76EB">
      <w:pPr>
        <w:spacing w:after="160" w:line="360" w:lineRule="auto"/>
        <w:ind w:right="-8"/>
        <w:rPr>
          <w:rFonts w:ascii="Sylfaen" w:hAnsi="Sylfaen"/>
          <w:sz w:val="24"/>
          <w:szCs w:val="24"/>
        </w:rPr>
      </w:pPr>
    </w:p>
    <w:p w14:paraId="47CD7140" w14:textId="77777777" w:rsidR="006F76EB" w:rsidRPr="00834D52" w:rsidRDefault="006F76EB" w:rsidP="006F76EB">
      <w:pPr>
        <w:spacing w:after="160" w:line="360" w:lineRule="auto"/>
        <w:ind w:right="-8"/>
        <w:jc w:val="center"/>
        <w:rPr>
          <w:rFonts w:ascii="Sylfaen" w:eastAsia="Times New Roman" w:hAnsi="Sylfaen" w:cs="Times New Roman"/>
          <w:sz w:val="24"/>
          <w:szCs w:val="24"/>
        </w:rPr>
      </w:pPr>
      <w:r w:rsidRPr="00834D52">
        <w:rPr>
          <w:rFonts w:ascii="Sylfaen" w:hAnsi="Sylfaen"/>
          <w:sz w:val="24"/>
          <w:szCs w:val="24"/>
        </w:rPr>
        <w:t>I. Նպատակը</w:t>
      </w:r>
    </w:p>
    <w:p w14:paraId="2F7E7F70"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փաստաթուղթն անդամ պետությունների լիազորված մարմինների կողմից տրամադրվող գրանցման դոսյեների՝ պատշաճ ձ</w:t>
      </w:r>
      <w:r w:rsidR="00C54D75">
        <w:rPr>
          <w:rFonts w:ascii="Sylfaen" w:hAnsi="Sylfaen"/>
          <w:sz w:val="24"/>
          <w:szCs w:val="24"/>
        </w:rPr>
        <w:t>և</w:t>
      </w:r>
      <w:r w:rsidRPr="00834D52">
        <w:rPr>
          <w:rFonts w:ascii="Sylfaen" w:hAnsi="Sylfaen"/>
          <w:sz w:val="24"/>
          <w:szCs w:val="24"/>
        </w:rPr>
        <w:t>ով կառուցվածքավորված ընդհանուր տեխնիկական փաստաթղթի (այսուհետ՝ ԸՏՓ) ներկայացման՝ Եվրասիական տնտեսական միության անդամ պետությունների (այսուհետ համապատասխանաբար՝ Միություն, անդամ պետություններ) կողմից համաձայնեցված ընդհանուր ձ</w:t>
      </w:r>
      <w:r w:rsidR="00C54D75">
        <w:rPr>
          <w:rFonts w:ascii="Sylfaen" w:hAnsi="Sylfaen"/>
          <w:sz w:val="24"/>
          <w:szCs w:val="24"/>
        </w:rPr>
        <w:t>և</w:t>
      </w:r>
      <w:r w:rsidRPr="00834D52">
        <w:rPr>
          <w:rFonts w:ascii="Sylfaen" w:hAnsi="Sylfaen"/>
          <w:sz w:val="24"/>
          <w:szCs w:val="24"/>
        </w:rPr>
        <w:t>աչափն է։</w:t>
      </w:r>
    </w:p>
    <w:p w14:paraId="22EBC7B4"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Տեխնիկական փաստաթղթերի ընդհանուր ձ</w:t>
      </w:r>
      <w:r w:rsidR="00C54D75">
        <w:rPr>
          <w:rFonts w:ascii="Sylfaen" w:hAnsi="Sylfaen"/>
          <w:sz w:val="24"/>
          <w:szCs w:val="24"/>
        </w:rPr>
        <w:t>և</w:t>
      </w:r>
      <w:r w:rsidRPr="00834D52">
        <w:rPr>
          <w:rFonts w:ascii="Sylfaen" w:hAnsi="Sylfaen"/>
          <w:sz w:val="24"/>
          <w:szCs w:val="24"/>
        </w:rPr>
        <w:t xml:space="preserve">աչափն էապես կրճատում է բժշկական կիրառության դեղապատրաստուկների վերաբերյալ գրանցման դոսյեներ կազմելու վրա ծախսվող ժամանակն ու ռեսուրսները </w:t>
      </w:r>
      <w:r w:rsidR="00C54D75">
        <w:rPr>
          <w:rFonts w:ascii="Sylfaen" w:hAnsi="Sylfaen"/>
          <w:sz w:val="24"/>
          <w:szCs w:val="24"/>
        </w:rPr>
        <w:t>և</w:t>
      </w:r>
      <w:r w:rsidRPr="00834D52">
        <w:rPr>
          <w:rFonts w:ascii="Sylfaen" w:hAnsi="Sylfaen"/>
          <w:sz w:val="24"/>
          <w:szCs w:val="24"/>
        </w:rPr>
        <w:t xml:space="preserve"> դյուրացնում է ընդհանուր տեխնիկական փաստաթղթի ձ</w:t>
      </w:r>
      <w:r w:rsidR="00C54D75">
        <w:rPr>
          <w:rFonts w:ascii="Sylfaen" w:hAnsi="Sylfaen"/>
          <w:sz w:val="24"/>
          <w:szCs w:val="24"/>
        </w:rPr>
        <w:t>և</w:t>
      </w:r>
      <w:r w:rsidRPr="00834D52">
        <w:rPr>
          <w:rFonts w:ascii="Sylfaen" w:hAnsi="Sylfaen"/>
          <w:sz w:val="24"/>
          <w:szCs w:val="24"/>
        </w:rPr>
        <w:t xml:space="preserve">աչափով փաստաթղթերի էլեկտրոնային տարբերակով ներկայացնելը (այսուհետ՝ ԷԸՏՓ)։ </w:t>
      </w:r>
    </w:p>
    <w:p w14:paraId="4A58F9F7"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Փաստաթղթերի ընդհանուր տարրերն ստանդարտացնելիս պարզեցվում է կարգավորիչ փորձաքննությունը </w:t>
      </w:r>
      <w:r w:rsidR="00C54D75">
        <w:rPr>
          <w:rFonts w:ascii="Sylfaen" w:hAnsi="Sylfaen"/>
          <w:sz w:val="24"/>
          <w:szCs w:val="24"/>
        </w:rPr>
        <w:t>և</w:t>
      </w:r>
      <w:r w:rsidRPr="00834D52">
        <w:rPr>
          <w:rFonts w:ascii="Sylfaen" w:hAnsi="Sylfaen"/>
          <w:sz w:val="24"/>
          <w:szCs w:val="24"/>
        </w:rPr>
        <w:t xml:space="preserve"> հայտատուի հետ փոխգործակցությունը։ Բացի այդ, դյուրացվում է անդամ պետությունների լիազորված մարմինների միջ</w:t>
      </w:r>
      <w:r w:rsidR="00C54D75">
        <w:rPr>
          <w:rFonts w:ascii="Sylfaen" w:hAnsi="Sylfaen"/>
          <w:sz w:val="24"/>
          <w:szCs w:val="24"/>
        </w:rPr>
        <w:t>և</w:t>
      </w:r>
      <w:r w:rsidRPr="00834D52">
        <w:rPr>
          <w:rFonts w:ascii="Sylfaen" w:hAnsi="Sylfaen"/>
          <w:sz w:val="24"/>
          <w:szCs w:val="24"/>
        </w:rPr>
        <w:t xml:space="preserve"> կարգավորիչ տեղեկատվության փոխանակումը։</w:t>
      </w:r>
    </w:p>
    <w:p w14:paraId="527A4DB3" w14:textId="77777777" w:rsidR="006F76EB" w:rsidRPr="00834D52" w:rsidRDefault="006F76EB" w:rsidP="006F76EB">
      <w:pPr>
        <w:spacing w:after="160" w:line="360" w:lineRule="auto"/>
        <w:ind w:right="-8"/>
        <w:rPr>
          <w:rFonts w:ascii="Sylfaen" w:hAnsi="Sylfaen"/>
          <w:sz w:val="24"/>
          <w:szCs w:val="24"/>
        </w:rPr>
      </w:pPr>
    </w:p>
    <w:p w14:paraId="3903A51E" w14:textId="77777777" w:rsidR="006F76EB" w:rsidRPr="00834D52" w:rsidRDefault="006F76EB" w:rsidP="006F76EB">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lastRenderedPageBreak/>
        <w:t>II. Կիրառության ոլորտը</w:t>
      </w:r>
    </w:p>
    <w:p w14:paraId="5BE2489D"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փաստաթղթում գլխավորապես քննարկվում է նոր դեղապատրաստուկների (ներառյալ՝ կենսատեխնոլոգիական դեղապարաստուկների) վերաբերյալ գրանցման դոսյեների կազմում ներկայացման ենթակա տեղեկությունների կազմակերպումը։</w:t>
      </w:r>
    </w:p>
    <w:p w14:paraId="13088B46" w14:textId="77777777" w:rsidR="006F76EB" w:rsidRPr="00834D52" w:rsidRDefault="006F76EB" w:rsidP="006F76EB">
      <w:pPr>
        <w:spacing w:after="160" w:line="360" w:lineRule="auto"/>
        <w:ind w:right="-8" w:firstLine="567"/>
        <w:jc w:val="both"/>
        <w:rPr>
          <w:rFonts w:ascii="Sylfaen" w:eastAsia="Times New Roman" w:hAnsi="Sylfaen" w:cs="Times New Roman"/>
          <w:sz w:val="24"/>
          <w:szCs w:val="24"/>
        </w:rPr>
      </w:pPr>
      <w:r w:rsidRPr="00834D52">
        <w:rPr>
          <w:rFonts w:ascii="Sylfaen" w:hAnsi="Sylfaen"/>
          <w:sz w:val="24"/>
          <w:szCs w:val="24"/>
        </w:rPr>
        <w:t>Սույն փաստաթղթում բացակայում են պարզաբանումներ, թե որ հետազոտությունների արդյունքներն է անհրաժեշտ ներկայացնել։ Սույն փաստաթուղթը միայն մատնանշում է ստացված տվյալների ներկայացման համապատասխան ձ</w:t>
      </w:r>
      <w:r w:rsidR="00C54D75">
        <w:rPr>
          <w:rFonts w:ascii="Sylfaen" w:hAnsi="Sylfaen"/>
          <w:sz w:val="24"/>
          <w:szCs w:val="24"/>
        </w:rPr>
        <w:t>և</w:t>
      </w:r>
      <w:r w:rsidRPr="00834D52">
        <w:rPr>
          <w:rFonts w:ascii="Sylfaen" w:hAnsi="Sylfaen"/>
          <w:sz w:val="24"/>
          <w:szCs w:val="24"/>
        </w:rPr>
        <w:t xml:space="preserve">աչափը։ Հայտատուներն իրավասու չեն փոխելու սույն փաստաթղթում նկարագրված ԸՏՓ-ի սկզբունքային կազմակերպումը։ Սակայն նախակլինիկական </w:t>
      </w:r>
      <w:r w:rsidR="00C54D75">
        <w:rPr>
          <w:rFonts w:ascii="Sylfaen" w:hAnsi="Sylfaen"/>
          <w:sz w:val="24"/>
          <w:szCs w:val="24"/>
        </w:rPr>
        <w:t>և</w:t>
      </w:r>
      <w:r w:rsidRPr="00834D52">
        <w:rPr>
          <w:rFonts w:ascii="Sylfaen" w:hAnsi="Sylfaen"/>
          <w:sz w:val="24"/>
          <w:szCs w:val="24"/>
        </w:rPr>
        <w:t xml:space="preserve"> կլինիկական ռեզյումեներում հայտատուներն իրավասու են փոխելու առանձին ձ</w:t>
      </w:r>
      <w:r w:rsidR="00C54D75">
        <w:rPr>
          <w:rFonts w:ascii="Sylfaen" w:hAnsi="Sylfaen"/>
          <w:sz w:val="24"/>
          <w:szCs w:val="24"/>
        </w:rPr>
        <w:t>և</w:t>
      </w:r>
      <w:r w:rsidRPr="00834D52">
        <w:rPr>
          <w:rFonts w:ascii="Sylfaen" w:hAnsi="Sylfaen"/>
          <w:sz w:val="24"/>
          <w:szCs w:val="24"/>
        </w:rPr>
        <w:t xml:space="preserve">աչափեր, եթե այդ է պահանջում արդյունքները հասկանալուն </w:t>
      </w:r>
      <w:r w:rsidR="00C54D75">
        <w:rPr>
          <w:rFonts w:ascii="Sylfaen" w:hAnsi="Sylfaen"/>
          <w:sz w:val="24"/>
          <w:szCs w:val="24"/>
        </w:rPr>
        <w:t>և</w:t>
      </w:r>
      <w:r w:rsidRPr="00834D52">
        <w:rPr>
          <w:rFonts w:ascii="Sylfaen" w:hAnsi="Sylfaen"/>
          <w:sz w:val="24"/>
          <w:szCs w:val="24"/>
        </w:rPr>
        <w:t xml:space="preserve"> գնահատելուն նպաստելու նպատակով տեխնիկական տեղեկությունների օպտիմալ ներկայացումը։</w:t>
      </w:r>
    </w:p>
    <w:p w14:paraId="49D3C6E8" w14:textId="77777777" w:rsidR="006F76EB" w:rsidRPr="00834D52" w:rsidRDefault="006F76EB" w:rsidP="006F76EB">
      <w:pPr>
        <w:spacing w:after="160" w:line="360" w:lineRule="auto"/>
        <w:ind w:right="-8"/>
        <w:rPr>
          <w:rFonts w:ascii="Sylfaen" w:hAnsi="Sylfaen"/>
          <w:sz w:val="24"/>
          <w:szCs w:val="24"/>
        </w:rPr>
      </w:pPr>
    </w:p>
    <w:p w14:paraId="5C82A140" w14:textId="77777777" w:rsidR="006F76EB" w:rsidRPr="00834D52" w:rsidRDefault="006F76EB" w:rsidP="006F76EB">
      <w:pPr>
        <w:spacing w:after="160" w:line="360" w:lineRule="auto"/>
        <w:ind w:left="567" w:right="579"/>
        <w:jc w:val="center"/>
        <w:rPr>
          <w:rFonts w:ascii="Sylfaen" w:eastAsia="Times New Roman" w:hAnsi="Sylfaen" w:cs="Times New Roman"/>
          <w:sz w:val="24"/>
          <w:szCs w:val="24"/>
        </w:rPr>
      </w:pPr>
      <w:r w:rsidRPr="00834D52">
        <w:rPr>
          <w:rFonts w:ascii="Sylfaen" w:hAnsi="Sylfaen"/>
          <w:sz w:val="24"/>
          <w:szCs w:val="24"/>
        </w:rPr>
        <w:t>III. Ընդհանուր սկզբունքները</w:t>
      </w:r>
    </w:p>
    <w:p w14:paraId="1A70EE77"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Հիմնական տվյալների փորձաքննություն անցկացնելիս փորձագետին աջակցություն ցուցաբերելու </w:t>
      </w:r>
      <w:r w:rsidR="00C54D75">
        <w:rPr>
          <w:rFonts w:ascii="Sylfaen" w:hAnsi="Sylfaen"/>
          <w:sz w:val="24"/>
          <w:szCs w:val="24"/>
        </w:rPr>
        <w:t>և</w:t>
      </w:r>
      <w:r w:rsidRPr="00834D52">
        <w:rPr>
          <w:rFonts w:ascii="Sylfaen" w:hAnsi="Sylfaen"/>
          <w:sz w:val="24"/>
          <w:szCs w:val="24"/>
        </w:rPr>
        <w:t xml:space="preserve"> գրանցման դոսյեի բովանդակության մեջ արագ կողմնորոշվելու հարցում նրան օգնելու նպատակով ամբողջ ԸՏՓ-ի կազմման ընթացքում տեղեկությունների ներկայացումը պետք է լինի ոչ երկիմաստ ու թափանցիկ։ Տեքստի </w:t>
      </w:r>
      <w:r w:rsidR="00C54D75">
        <w:rPr>
          <w:rFonts w:ascii="Sylfaen" w:hAnsi="Sylfaen"/>
          <w:sz w:val="24"/>
          <w:szCs w:val="24"/>
        </w:rPr>
        <w:t>և</w:t>
      </w:r>
      <w:r w:rsidRPr="00834D52">
        <w:rPr>
          <w:rFonts w:ascii="Sylfaen" w:hAnsi="Sylfaen"/>
          <w:sz w:val="24"/>
          <w:szCs w:val="24"/>
        </w:rPr>
        <w:t xml:space="preserve"> աղյուսակների եզրագծերը պետք է թույլ տան փաստաթղթի տպագրումը A4 ձ</w:t>
      </w:r>
      <w:r w:rsidR="00C54D75">
        <w:rPr>
          <w:rFonts w:ascii="Sylfaen" w:hAnsi="Sylfaen"/>
          <w:sz w:val="24"/>
          <w:szCs w:val="24"/>
        </w:rPr>
        <w:t>և</w:t>
      </w:r>
      <w:r w:rsidRPr="00834D52">
        <w:rPr>
          <w:rFonts w:ascii="Sylfaen" w:hAnsi="Sylfaen"/>
          <w:sz w:val="24"/>
          <w:szCs w:val="24"/>
        </w:rPr>
        <w:t xml:space="preserve">աչափի թղթի վրա։ Ձախ եզրագիծը պետք է բավականաչափ լայն լինի, որպեսզի չվնասվեն տեղեկությունները՝ դրանք կարակցելիս (օրինակ՝ ձախ եզրագիծը՝ 3 սմ, աջ եզրագիծը՝ 1,5 սմ, վերին </w:t>
      </w:r>
      <w:r w:rsidR="00C54D75">
        <w:rPr>
          <w:rFonts w:ascii="Sylfaen" w:hAnsi="Sylfaen"/>
          <w:sz w:val="24"/>
          <w:szCs w:val="24"/>
        </w:rPr>
        <w:t>և</w:t>
      </w:r>
      <w:r w:rsidRPr="00834D52">
        <w:rPr>
          <w:rFonts w:ascii="Sylfaen" w:hAnsi="Sylfaen"/>
          <w:sz w:val="24"/>
          <w:szCs w:val="24"/>
        </w:rPr>
        <w:t xml:space="preserve"> ստորին եզրագծերը՝ 2 սմ)։ Տեքստի </w:t>
      </w:r>
      <w:r w:rsidR="00C54D75">
        <w:rPr>
          <w:rFonts w:ascii="Sylfaen" w:hAnsi="Sylfaen"/>
          <w:sz w:val="24"/>
          <w:szCs w:val="24"/>
        </w:rPr>
        <w:t>և</w:t>
      </w:r>
      <w:r w:rsidRPr="00834D52">
        <w:rPr>
          <w:rFonts w:ascii="Sylfaen" w:hAnsi="Sylfaen"/>
          <w:sz w:val="24"/>
          <w:szCs w:val="24"/>
        </w:rPr>
        <w:t xml:space="preserve"> աղյուսակների տառատեսակի ոճն ու կեգելը պետք է լինեն բավականաչափ մեծ, որպեսզի ապահովեն ընթեռնելիությունը նույնիսկ պատճենահանումից հետո։ Պատմողական տեքստի համար խորհուրդ է տրվում օգտագործել Times New </w:t>
      </w:r>
      <w:r w:rsidRPr="00834D52">
        <w:rPr>
          <w:rFonts w:ascii="Sylfaen" w:hAnsi="Sylfaen"/>
          <w:sz w:val="24"/>
          <w:szCs w:val="24"/>
        </w:rPr>
        <w:lastRenderedPageBreak/>
        <w:t xml:space="preserve">Roman տառատեսակը, 12 տառաչափը։ Յուրաքանչյուր էջ պետք է համարակալվի պարզաբանող փաստաթղթին համապատասխան (տե՛ս սույն փաստաթղթի հավելվածը)։ Կրճատումները </w:t>
      </w:r>
      <w:r w:rsidR="00C54D75">
        <w:rPr>
          <w:rFonts w:ascii="Sylfaen" w:hAnsi="Sylfaen"/>
          <w:sz w:val="24"/>
          <w:szCs w:val="24"/>
        </w:rPr>
        <w:t>և</w:t>
      </w:r>
      <w:r w:rsidRPr="00834D52">
        <w:rPr>
          <w:rFonts w:ascii="Sylfaen" w:hAnsi="Sylfaen"/>
          <w:sz w:val="24"/>
          <w:szCs w:val="24"/>
        </w:rPr>
        <w:t xml:space="preserve"> հապավումները հարկավոր է վերծանել՝ յուրաքանչյուր մոդուլում դրանք առաջին անգամ հիշատակելիս։ Անհրաժեշտ է հղումները մեջբերել՝ Բժշկական հանդեսների խմբագիրների միջազգային կոմիտեի (այսուհետ՝ ԲՀԽՄԿ)՝ «Կենսաբժշկական հանդեսներում ներառվող բնագիր նյութերի վերաբերյալ միասնական պահանջներ»-ի գործող խմբագրությանը համապատասխան («Կենսաբժշկական հանդեսներում ներառվող բնագիր նյութերի վերաբերյալ միասնական պահանջներ»-ի առաջին խմբագրությունը հաստատվել է Վանկուվերյան խմբի կողմից </w:t>
      </w:r>
      <w:r w:rsidR="00C54D75">
        <w:rPr>
          <w:rFonts w:ascii="Sylfaen" w:hAnsi="Sylfaen"/>
          <w:sz w:val="24"/>
          <w:szCs w:val="24"/>
        </w:rPr>
        <w:t>և</w:t>
      </w:r>
      <w:r w:rsidRPr="00834D52">
        <w:rPr>
          <w:rFonts w:ascii="Sylfaen" w:hAnsi="Sylfaen"/>
          <w:sz w:val="24"/>
          <w:szCs w:val="24"/>
        </w:rPr>
        <w:t xml:space="preserve"> հրատարակվել է 1979 թվականին)։</w:t>
      </w:r>
    </w:p>
    <w:p w14:paraId="79791961" w14:textId="77777777" w:rsidR="006F76EB" w:rsidRPr="00834D52" w:rsidRDefault="006F76EB" w:rsidP="008E1BE5">
      <w:pPr>
        <w:spacing w:after="160" w:line="372" w:lineRule="auto"/>
        <w:ind w:right="-8"/>
        <w:rPr>
          <w:rFonts w:ascii="Sylfaen" w:hAnsi="Sylfaen"/>
          <w:sz w:val="24"/>
          <w:szCs w:val="24"/>
        </w:rPr>
      </w:pPr>
    </w:p>
    <w:p w14:paraId="35CF8963" w14:textId="77777777" w:rsidR="006F76EB" w:rsidRPr="00834D52" w:rsidRDefault="006F76EB" w:rsidP="008E1BE5">
      <w:pPr>
        <w:spacing w:after="160" w:line="372" w:lineRule="auto"/>
        <w:ind w:left="567" w:right="579"/>
        <w:jc w:val="center"/>
        <w:rPr>
          <w:rFonts w:ascii="Sylfaen" w:eastAsia="Times New Roman" w:hAnsi="Sylfaen" w:cs="Times New Roman"/>
          <w:sz w:val="24"/>
          <w:szCs w:val="24"/>
        </w:rPr>
      </w:pPr>
      <w:r w:rsidRPr="00834D52">
        <w:rPr>
          <w:rFonts w:ascii="Sylfaen" w:hAnsi="Sylfaen"/>
          <w:sz w:val="24"/>
          <w:szCs w:val="24"/>
        </w:rPr>
        <w:t>IV. ԸՆԴՀԱՆՈՒՐ ՏԵԽՆԻԿԱԿԱՆ ՓԱՍՏԱԹՂԹԻ ԿԱՌՈՒՑՎԱԾՔԸ</w:t>
      </w:r>
    </w:p>
    <w:p w14:paraId="75D66B36" w14:textId="77777777" w:rsidR="006F76EB" w:rsidRPr="00834D52" w:rsidRDefault="006F76EB" w:rsidP="008E1BE5">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ԸՏՓ-ն բաղկացած է 5 մոդուլից։ Առաջին մոդուլը յուրահատուկ է անդամ պետությունների համար։ 2-5-րդ մոդուլները բոլոր տարածաշրջանների համար ընդհանուր են։ Սույն փաստաթղթին համապատասխանությունը պետք է ապահովի այդ 4 մոդուլների ներկայացումը՝ անդամ պետությունների լիազորված մարմինների համար ընդունելի ձ</w:t>
      </w:r>
      <w:r w:rsidR="00C54D75">
        <w:rPr>
          <w:rFonts w:ascii="Sylfaen" w:hAnsi="Sylfaen"/>
          <w:sz w:val="24"/>
          <w:szCs w:val="24"/>
        </w:rPr>
        <w:t>և</w:t>
      </w:r>
      <w:r w:rsidRPr="00834D52">
        <w:rPr>
          <w:rFonts w:ascii="Sylfaen" w:hAnsi="Sylfaen"/>
          <w:sz w:val="24"/>
          <w:szCs w:val="24"/>
        </w:rPr>
        <w:t>աչափով։</w:t>
      </w:r>
    </w:p>
    <w:p w14:paraId="3DDBE510" w14:textId="77777777" w:rsidR="006F76EB" w:rsidRPr="00834D52" w:rsidRDefault="006F76EB" w:rsidP="008E1BE5">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 xml:space="preserve">Մոդուլ 1. Նշանակման վերաբերյալ տեղեկությունները </w:t>
      </w:r>
      <w:r w:rsidR="00C54D75">
        <w:rPr>
          <w:rFonts w:ascii="Sylfaen" w:hAnsi="Sylfaen"/>
          <w:sz w:val="24"/>
          <w:szCs w:val="24"/>
        </w:rPr>
        <w:t>և</w:t>
      </w:r>
      <w:r w:rsidRPr="00834D52">
        <w:rPr>
          <w:rFonts w:ascii="Sylfaen" w:hAnsi="Sylfaen"/>
          <w:sz w:val="24"/>
          <w:szCs w:val="24"/>
        </w:rPr>
        <w:t xml:space="preserve"> վարչական տեղեկատվությունը:</w:t>
      </w:r>
    </w:p>
    <w:p w14:paraId="37EF66C3" w14:textId="77777777" w:rsidR="006F76EB" w:rsidRPr="00834D52" w:rsidRDefault="006F76EB" w:rsidP="008E1BE5">
      <w:pPr>
        <w:spacing w:after="160" w:line="372" w:lineRule="auto"/>
        <w:ind w:right="-8" w:firstLine="567"/>
        <w:jc w:val="both"/>
        <w:rPr>
          <w:rFonts w:ascii="Sylfaen" w:eastAsia="Times New Roman" w:hAnsi="Sylfaen" w:cs="Times New Roman"/>
          <w:sz w:val="24"/>
          <w:szCs w:val="24"/>
        </w:rPr>
      </w:pPr>
      <w:r w:rsidRPr="00834D52">
        <w:rPr>
          <w:rFonts w:ascii="Sylfaen" w:hAnsi="Sylfaen"/>
          <w:sz w:val="24"/>
          <w:szCs w:val="24"/>
        </w:rPr>
        <w:t>Տվյալ մոդուլում պետք է ընդգրկվեն անդամ պետությունների համար յուրահատուկ փաստաթղթեր, օրինակ՝ հայտերի ձ</w:t>
      </w:r>
      <w:r w:rsidR="00C54D75">
        <w:rPr>
          <w:rFonts w:ascii="Sylfaen" w:hAnsi="Sylfaen"/>
          <w:sz w:val="24"/>
          <w:szCs w:val="24"/>
        </w:rPr>
        <w:t>և</w:t>
      </w:r>
      <w:r w:rsidRPr="00834D52">
        <w:rPr>
          <w:rFonts w:ascii="Sylfaen" w:hAnsi="Sylfaen"/>
          <w:sz w:val="24"/>
          <w:szCs w:val="24"/>
        </w:rPr>
        <w:t xml:space="preserve">եր կամ անդամ պետություններում կիրառության վերաբերյալ առաջարկվող տեղեկատվություն։ Այս մոդուլի բովանդակությունը </w:t>
      </w:r>
      <w:r w:rsidR="00C54D75">
        <w:rPr>
          <w:rFonts w:ascii="Sylfaen" w:hAnsi="Sylfaen"/>
          <w:sz w:val="24"/>
          <w:szCs w:val="24"/>
        </w:rPr>
        <w:t>և</w:t>
      </w:r>
      <w:r w:rsidRPr="00834D52">
        <w:rPr>
          <w:rFonts w:ascii="Sylfaen" w:hAnsi="Sylfaen"/>
          <w:sz w:val="24"/>
          <w:szCs w:val="24"/>
        </w:rPr>
        <w:t xml:space="preserve"> ձ</w:t>
      </w:r>
      <w:r w:rsidR="00C54D75">
        <w:rPr>
          <w:rFonts w:ascii="Sylfaen" w:hAnsi="Sylfaen"/>
          <w:sz w:val="24"/>
          <w:szCs w:val="24"/>
        </w:rPr>
        <w:t>և</w:t>
      </w:r>
      <w:r w:rsidRPr="00834D52">
        <w:rPr>
          <w:rFonts w:ascii="Sylfaen" w:hAnsi="Sylfaen"/>
          <w:sz w:val="24"/>
          <w:szCs w:val="24"/>
        </w:rPr>
        <w:t xml:space="preserve">աչափը նկարագրված են Բժշկական կիրառության դեղամիջոցների գրանցման </w:t>
      </w:r>
      <w:r w:rsidR="00C54D75">
        <w:rPr>
          <w:rFonts w:ascii="Sylfaen" w:hAnsi="Sylfaen"/>
          <w:sz w:val="24"/>
          <w:szCs w:val="24"/>
        </w:rPr>
        <w:t>և</w:t>
      </w:r>
      <w:r w:rsidRPr="00834D52">
        <w:rPr>
          <w:rFonts w:ascii="Sylfaen" w:hAnsi="Sylfaen"/>
          <w:sz w:val="24"/>
          <w:szCs w:val="24"/>
        </w:rPr>
        <w:t xml:space="preserve"> փորձաքննության կանոնների առաջին հավելվածում (այսուհետ՝ Կանոններ)։</w:t>
      </w:r>
    </w:p>
    <w:p w14:paraId="76461968" w14:textId="77777777" w:rsidR="006F76EB" w:rsidRPr="00834D52" w:rsidRDefault="006F76EB" w:rsidP="008E1BE5">
      <w:pPr>
        <w:tabs>
          <w:tab w:val="left" w:pos="1134"/>
        </w:tabs>
        <w:spacing w:after="160" w:line="372" w:lineRule="auto"/>
        <w:ind w:right="-8" w:firstLine="567"/>
        <w:rPr>
          <w:rFonts w:ascii="Sylfaen" w:eastAsia="Times New Roman" w:hAnsi="Sylfaen" w:cs="Times New Roman"/>
          <w:sz w:val="24"/>
          <w:szCs w:val="24"/>
        </w:rPr>
      </w:pPr>
      <w:r w:rsidRPr="00834D52">
        <w:rPr>
          <w:rFonts w:ascii="Sylfaen" w:hAnsi="Sylfaen"/>
          <w:sz w:val="24"/>
          <w:szCs w:val="24"/>
        </w:rPr>
        <w:lastRenderedPageBreak/>
        <w:t>Մոդուլ 2.</w:t>
      </w:r>
      <w:r w:rsidR="008E1BE5" w:rsidRPr="007F5A60">
        <w:rPr>
          <w:rFonts w:ascii="Sylfaen" w:hAnsi="Sylfaen"/>
          <w:sz w:val="24"/>
          <w:szCs w:val="24"/>
        </w:rPr>
        <w:tab/>
      </w:r>
      <w:r w:rsidRPr="00834D52">
        <w:rPr>
          <w:rFonts w:ascii="Sylfaen" w:hAnsi="Sylfaen"/>
          <w:sz w:val="24"/>
          <w:szCs w:val="24"/>
        </w:rPr>
        <w:t>ԸՏՓ-ի ռեզյումե:</w:t>
      </w:r>
    </w:p>
    <w:p w14:paraId="7A49B16D"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2-րդ մոդուլը պետք է սկսվի դեղապատրաստուկի ընդհանուր ներածությունից՝ ներառյալ դեղաբանական դասը, ազդեցության մեխանիզմը </w:t>
      </w:r>
      <w:r w:rsidR="00C54D75">
        <w:rPr>
          <w:rFonts w:ascii="Sylfaen" w:hAnsi="Sylfaen"/>
          <w:sz w:val="24"/>
          <w:szCs w:val="24"/>
        </w:rPr>
        <w:t>և</w:t>
      </w:r>
      <w:r w:rsidRPr="00834D52">
        <w:rPr>
          <w:rFonts w:ascii="Sylfaen" w:hAnsi="Sylfaen"/>
          <w:sz w:val="24"/>
          <w:szCs w:val="24"/>
        </w:rPr>
        <w:t xml:space="preserve"> ենթադրվող կլինիկական կիրառությունը։ Ներածությունն ընդհանուր առմամբ չպետք է գերազանցի մեկ էջը։</w:t>
      </w:r>
    </w:p>
    <w:p w14:paraId="78288C2B"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2-րդ մոդուլը պետք է պարունակի հետ</w:t>
      </w:r>
      <w:r w:rsidR="00C54D75">
        <w:rPr>
          <w:rFonts w:ascii="Sylfaen" w:hAnsi="Sylfaen"/>
          <w:sz w:val="24"/>
          <w:szCs w:val="24"/>
        </w:rPr>
        <w:t>և</w:t>
      </w:r>
      <w:r w:rsidRPr="00834D52">
        <w:rPr>
          <w:rFonts w:ascii="Sylfaen" w:hAnsi="Sylfaen"/>
          <w:sz w:val="24"/>
          <w:szCs w:val="24"/>
        </w:rPr>
        <w:t>յալ 7 բաժինները նշված կարգով՝</w:t>
      </w:r>
    </w:p>
    <w:p w14:paraId="46964B47"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ԸՏՓ-ի բովանդակությունը,</w:t>
      </w:r>
    </w:p>
    <w:p w14:paraId="0ED2ADCD"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ԸՏՓ-ի ներածությունը,</w:t>
      </w:r>
    </w:p>
    <w:p w14:paraId="43623E21"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Որակի վերաբերյալ ամփոփիչ ռեզյումեն,</w:t>
      </w:r>
    </w:p>
    <w:p w14:paraId="2AF65BB8"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Նախակլինիկական ամփոփում,</w:t>
      </w:r>
    </w:p>
    <w:p w14:paraId="4829729E"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Կլինիկական ամփոփում,</w:t>
      </w:r>
    </w:p>
    <w:p w14:paraId="791EE9E4"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 xml:space="preserve">Նախակլինիկական նկարագրական </w:t>
      </w:r>
      <w:r w:rsidR="00C54D75">
        <w:rPr>
          <w:rFonts w:ascii="Sylfaen" w:hAnsi="Sylfaen"/>
          <w:sz w:val="24"/>
          <w:szCs w:val="24"/>
        </w:rPr>
        <w:t>և</w:t>
      </w:r>
      <w:r w:rsidRPr="00834D52">
        <w:rPr>
          <w:rFonts w:ascii="Sylfaen" w:hAnsi="Sylfaen"/>
          <w:sz w:val="24"/>
          <w:szCs w:val="24"/>
        </w:rPr>
        <w:t xml:space="preserve"> աղյուսակային ռեզյումեներ,</w:t>
      </w:r>
    </w:p>
    <w:p w14:paraId="31FFCF82" w14:textId="77777777" w:rsidR="006F76EB" w:rsidRPr="00834D52" w:rsidRDefault="006F76EB" w:rsidP="008E1BE5">
      <w:pPr>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Կլինիկական ամփոփում։</w:t>
      </w:r>
    </w:p>
    <w:p w14:paraId="3DC8757C" w14:textId="77777777" w:rsidR="006F76EB" w:rsidRPr="007F5A60" w:rsidRDefault="006F76EB" w:rsidP="008E1BE5">
      <w:pPr>
        <w:spacing w:after="160" w:line="372" w:lineRule="auto"/>
        <w:ind w:right="-6" w:firstLine="567"/>
        <w:rPr>
          <w:rFonts w:ascii="Sylfaen" w:hAnsi="Sylfaen"/>
          <w:sz w:val="24"/>
          <w:szCs w:val="24"/>
        </w:rPr>
      </w:pPr>
      <w:r w:rsidRPr="00834D52">
        <w:rPr>
          <w:rFonts w:ascii="Sylfaen" w:hAnsi="Sylfaen"/>
          <w:sz w:val="24"/>
          <w:szCs w:val="24"/>
        </w:rPr>
        <w:t>Այդ ռեզյումեների նկարագրությունը բերված է Կանոնների թիվ 1 հավելվածում։</w:t>
      </w:r>
    </w:p>
    <w:p w14:paraId="4E4FE5EB" w14:textId="77777777" w:rsidR="006F76EB" w:rsidRPr="00834D52" w:rsidRDefault="006F76EB" w:rsidP="008E1BE5">
      <w:pPr>
        <w:tabs>
          <w:tab w:val="left" w:pos="1134"/>
        </w:tabs>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Մոդուլ 3.</w:t>
      </w:r>
      <w:r w:rsidR="008E1BE5" w:rsidRPr="007F5A60">
        <w:rPr>
          <w:rFonts w:ascii="Sylfaen" w:hAnsi="Sylfaen"/>
          <w:sz w:val="24"/>
          <w:szCs w:val="24"/>
        </w:rPr>
        <w:tab/>
      </w:r>
      <w:r w:rsidRPr="00834D52">
        <w:rPr>
          <w:rFonts w:ascii="Sylfaen" w:hAnsi="Sylfaen"/>
          <w:sz w:val="24"/>
          <w:szCs w:val="24"/>
        </w:rPr>
        <w:t>Որակ.</w:t>
      </w:r>
    </w:p>
    <w:p w14:paraId="6A345A56"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Որակի վերաբերյալ տեղեկություններն անհրաժեշտ է ներկայացնել կառուցվածքավորված ձ</w:t>
      </w:r>
      <w:r w:rsidR="00C54D75">
        <w:rPr>
          <w:rFonts w:ascii="Sylfaen" w:hAnsi="Sylfaen"/>
          <w:sz w:val="24"/>
          <w:szCs w:val="24"/>
        </w:rPr>
        <w:t>և</w:t>
      </w:r>
      <w:r w:rsidRPr="00834D52">
        <w:rPr>
          <w:rFonts w:ascii="Sylfaen" w:hAnsi="Sylfaen"/>
          <w:sz w:val="24"/>
          <w:szCs w:val="24"/>
        </w:rPr>
        <w:t>աչափով՝ Կանոնների թիվ 1 հավելվածին համապատասխան։</w:t>
      </w:r>
    </w:p>
    <w:p w14:paraId="757A79A5" w14:textId="77777777" w:rsidR="006F76EB" w:rsidRPr="00834D52" w:rsidRDefault="006F76EB" w:rsidP="008E1BE5">
      <w:pPr>
        <w:tabs>
          <w:tab w:val="left" w:pos="1134"/>
        </w:tabs>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t>Մոդուլ 4.</w:t>
      </w:r>
      <w:r w:rsidR="008E1BE5" w:rsidRPr="007F5A60">
        <w:rPr>
          <w:rFonts w:ascii="Sylfaen" w:hAnsi="Sylfaen"/>
          <w:sz w:val="24"/>
          <w:szCs w:val="24"/>
        </w:rPr>
        <w:tab/>
      </w:r>
      <w:r w:rsidRPr="00834D52">
        <w:rPr>
          <w:rFonts w:ascii="Sylfaen" w:hAnsi="Sylfaen"/>
          <w:sz w:val="24"/>
          <w:szCs w:val="24"/>
        </w:rPr>
        <w:t>Նախակլինիկական հետազոտությունների վերաբերյալ հաշվետվությունները:</w:t>
      </w:r>
    </w:p>
    <w:p w14:paraId="76999810"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Նախակլինիկական հետազոտությունների վերաբերյալ հաշվետվություններն անհրաժեշտ է ներկայացնել Կանոնների թիվ 1 հավելվածում նկարագրված կարգով։</w:t>
      </w:r>
    </w:p>
    <w:p w14:paraId="7D6B9804" w14:textId="77777777" w:rsidR="006F76EB" w:rsidRPr="00834D52" w:rsidRDefault="006F76EB" w:rsidP="008E1BE5">
      <w:pPr>
        <w:tabs>
          <w:tab w:val="left" w:pos="1134"/>
        </w:tabs>
        <w:spacing w:after="160" w:line="372" w:lineRule="auto"/>
        <w:ind w:right="-6" w:firstLine="567"/>
        <w:rPr>
          <w:rFonts w:ascii="Sylfaen" w:eastAsia="Times New Roman" w:hAnsi="Sylfaen" w:cs="Times New Roman"/>
          <w:sz w:val="24"/>
          <w:szCs w:val="24"/>
        </w:rPr>
      </w:pPr>
      <w:r w:rsidRPr="00834D52">
        <w:rPr>
          <w:rFonts w:ascii="Sylfaen" w:hAnsi="Sylfaen"/>
          <w:sz w:val="24"/>
          <w:szCs w:val="24"/>
        </w:rPr>
        <w:lastRenderedPageBreak/>
        <w:t>Մոդուլ 5.</w:t>
      </w:r>
      <w:r w:rsidR="008E1BE5" w:rsidRPr="007F5A60">
        <w:rPr>
          <w:rFonts w:ascii="Sylfaen" w:hAnsi="Sylfaen"/>
          <w:sz w:val="24"/>
          <w:szCs w:val="24"/>
        </w:rPr>
        <w:tab/>
      </w:r>
      <w:r w:rsidRPr="00834D52">
        <w:rPr>
          <w:rFonts w:ascii="Sylfaen" w:hAnsi="Sylfaen"/>
          <w:sz w:val="24"/>
          <w:szCs w:val="24"/>
        </w:rPr>
        <w:t>Կլինիկական հետազոտությունների վերաբերյալ հաշվետվությունները:</w:t>
      </w:r>
    </w:p>
    <w:p w14:paraId="23B3DB8C" w14:textId="77777777" w:rsidR="006F76EB" w:rsidRPr="00834D52" w:rsidRDefault="006F76EB" w:rsidP="008E1BE5">
      <w:pPr>
        <w:spacing w:after="160" w:line="372" w:lineRule="auto"/>
        <w:ind w:right="-6" w:firstLine="567"/>
        <w:jc w:val="both"/>
        <w:rPr>
          <w:rFonts w:ascii="Sylfaen" w:eastAsia="Times New Roman" w:hAnsi="Sylfaen" w:cs="Times New Roman"/>
          <w:sz w:val="24"/>
          <w:szCs w:val="24"/>
        </w:rPr>
      </w:pPr>
      <w:r w:rsidRPr="00834D52">
        <w:rPr>
          <w:rFonts w:ascii="Sylfaen" w:hAnsi="Sylfaen"/>
          <w:sz w:val="24"/>
          <w:szCs w:val="24"/>
        </w:rPr>
        <w:t xml:space="preserve">Մարդու հետազոտությունների վերաբերյալ հաշվետվությունները </w:t>
      </w:r>
      <w:r w:rsidR="00C54D75">
        <w:rPr>
          <w:rFonts w:ascii="Sylfaen" w:hAnsi="Sylfaen"/>
          <w:sz w:val="24"/>
          <w:szCs w:val="24"/>
        </w:rPr>
        <w:t>և</w:t>
      </w:r>
      <w:r w:rsidRPr="00834D52">
        <w:rPr>
          <w:rFonts w:ascii="Sylfaen" w:hAnsi="Sylfaen"/>
          <w:sz w:val="24"/>
          <w:szCs w:val="24"/>
        </w:rPr>
        <w:t xml:space="preserve"> դրանց հետ կապված տեղեկություններն անհրաժեշտ է ներկայացնել Կանոնների թիվ 1 հավելվածում նկարագրված կարգով։</w:t>
      </w:r>
    </w:p>
    <w:p w14:paraId="45FA5AB5" w14:textId="77777777" w:rsidR="006F76EB" w:rsidRPr="00C44940" w:rsidRDefault="006F76EB" w:rsidP="008E1BE5">
      <w:pPr>
        <w:spacing w:after="160" w:line="372" w:lineRule="auto"/>
        <w:ind w:right="-6" w:firstLine="567"/>
        <w:rPr>
          <w:rFonts w:ascii="Sylfaen" w:hAnsi="Sylfaen"/>
          <w:sz w:val="24"/>
          <w:szCs w:val="24"/>
        </w:rPr>
      </w:pPr>
      <w:r w:rsidRPr="00834D52">
        <w:rPr>
          <w:rFonts w:ascii="Sylfaen" w:hAnsi="Sylfaen"/>
          <w:sz w:val="24"/>
          <w:szCs w:val="24"/>
        </w:rPr>
        <w:t>Այնուհետ</w:t>
      </w:r>
      <w:r w:rsidR="00C54D75">
        <w:rPr>
          <w:rFonts w:ascii="Sylfaen" w:hAnsi="Sylfaen"/>
          <w:sz w:val="24"/>
          <w:szCs w:val="24"/>
        </w:rPr>
        <w:t>և</w:t>
      </w:r>
      <w:r w:rsidRPr="00834D52">
        <w:rPr>
          <w:rFonts w:ascii="Sylfaen" w:hAnsi="Sylfaen"/>
          <w:sz w:val="24"/>
          <w:szCs w:val="24"/>
        </w:rPr>
        <w:t xml:space="preserve"> ներկայացված է ԸՏՓ-ի ընդհանուր կառուցվածքը (էԸՏՓ)։</w:t>
      </w:r>
    </w:p>
    <w:p w14:paraId="3076AB38" w14:textId="77777777" w:rsidR="008E1BE5" w:rsidRDefault="008E1BE5">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14:paraId="53935889" w14:textId="77777777" w:rsidR="006F76EB" w:rsidRPr="006F76EB" w:rsidRDefault="006F76EB" w:rsidP="006F76EB">
      <w:pPr>
        <w:pStyle w:val="Picturecaption0"/>
        <w:shd w:val="clear" w:color="auto" w:fill="auto"/>
        <w:spacing w:after="120" w:line="240" w:lineRule="auto"/>
        <w:jc w:val="center"/>
        <w:rPr>
          <w:rFonts w:ascii="Sylfaen" w:hAnsi="Sylfaen"/>
          <w:sz w:val="24"/>
          <w:szCs w:val="24"/>
          <w:lang w:val="hy-AM"/>
        </w:rPr>
      </w:pPr>
      <w:r w:rsidRPr="006F76EB">
        <w:rPr>
          <w:rFonts w:ascii="Sylfaen" w:hAnsi="Sylfaen"/>
          <w:color w:val="000000"/>
          <w:sz w:val="24"/>
          <w:szCs w:val="24"/>
          <w:lang w:val="hy-AM"/>
        </w:rPr>
        <w:lastRenderedPageBreak/>
        <w:t>V. ԸՏՓ-Ի ԿԱՌՈՒՑՎԱԾՔԻ ՍԽԵՄԱՏԻԿ ՆԵՐԿԱՅԱՑՈՒՄԸ</w:t>
      </w:r>
    </w:p>
    <w:p w14:paraId="56B86DC3" w14:textId="77777777" w:rsidR="006F76EB" w:rsidRPr="00834D52" w:rsidRDefault="006F76EB" w:rsidP="006F76EB">
      <w:pPr>
        <w:spacing w:after="120" w:line="240" w:lineRule="auto"/>
        <w:jc w:val="center"/>
        <w:rPr>
          <w:rFonts w:ascii="Sylfaen" w:hAnsi="Sylfaen"/>
          <w:sz w:val="24"/>
          <w:szCs w:val="24"/>
        </w:rPr>
      </w:pPr>
    </w:p>
    <w:p w14:paraId="7C57C48D" w14:textId="77777777" w:rsidR="006F76EB" w:rsidRPr="00834D52" w:rsidRDefault="00157FD9" w:rsidP="006F76EB">
      <w:pPr>
        <w:rPr>
          <w:rFonts w:ascii="Sylfaen" w:hAnsi="Sylfaen"/>
        </w:rPr>
      </w:pPr>
      <w:r>
        <w:rPr>
          <w:rFonts w:ascii="Sylfaen" w:hAnsi="Sylfaen"/>
          <w:noProof/>
          <w:lang w:val="ru-RU" w:eastAsia="ru-RU"/>
        </w:rPr>
        <w:pict w14:anchorId="0D6CECA3">
          <v:shapetype id="_x0000_t202" coordsize="21600,21600" o:spt="202" path="m,l,21600r21600,l21600,xe">
            <v:stroke joinstyle="miter"/>
            <v:path gradientshapeok="t" o:connecttype="rect"/>
          </v:shapetype>
          <v:shape id="_x0000_s1297" type="#_x0000_t202" style="position:absolute;margin-left:105.95pt;margin-top:358.1pt;width:60.35pt;height:54.3pt;z-index:251794944;mso-width-relative:margin;mso-height-relative:margin">
            <v:textbox style="mso-next-textbox:#_x0000_s1297" inset="0,0,0,0">
              <w:txbxContent>
                <w:p w14:paraId="3700AE0A" w14:textId="77777777" w:rsidR="004A52D9" w:rsidRPr="00DE0CA4" w:rsidRDefault="004A52D9" w:rsidP="006F76EB">
                  <w:pPr>
                    <w:ind w:left="142"/>
                    <w:rPr>
                      <w:rFonts w:ascii="Sylfaen" w:hAnsi="Sylfaen"/>
                      <w:sz w:val="16"/>
                      <w:szCs w:val="16"/>
                    </w:rPr>
                  </w:pPr>
                  <w:r w:rsidRPr="00DE0CA4">
                    <w:rPr>
                      <w:rFonts w:ascii="Sylfaen" w:hAnsi="Sylfaen"/>
                      <w:sz w:val="16"/>
                      <w:szCs w:val="16"/>
                    </w:rPr>
                    <w:t>Մոդուլ 3</w:t>
                  </w:r>
                </w:p>
                <w:p w14:paraId="302182BC" w14:textId="77777777" w:rsidR="004A52D9" w:rsidRPr="00DE0CA4" w:rsidRDefault="004A52D9" w:rsidP="006F76EB">
                  <w:pPr>
                    <w:ind w:left="142"/>
                    <w:rPr>
                      <w:rFonts w:ascii="Sylfaen" w:hAnsi="Sylfaen"/>
                      <w:sz w:val="16"/>
                      <w:szCs w:val="16"/>
                    </w:rPr>
                  </w:pPr>
                  <w:r w:rsidRPr="00DE0CA4">
                    <w:rPr>
                      <w:rFonts w:ascii="Sylfaen" w:hAnsi="Sylfaen"/>
                      <w:sz w:val="16"/>
                      <w:szCs w:val="16"/>
                    </w:rPr>
                    <w:t>Որակ</w:t>
                  </w:r>
                </w:p>
                <w:p w14:paraId="10A13C9E" w14:textId="77777777" w:rsidR="004A52D9" w:rsidRPr="00DE0CA4" w:rsidRDefault="004A52D9" w:rsidP="006F76EB">
                  <w:pPr>
                    <w:ind w:left="142"/>
                    <w:rPr>
                      <w:rFonts w:ascii="Sylfaen" w:hAnsi="Sylfaen"/>
                      <w:sz w:val="16"/>
                      <w:szCs w:val="16"/>
                    </w:rPr>
                  </w:pPr>
                  <w:r w:rsidRPr="00DE0CA4">
                    <w:rPr>
                      <w:rFonts w:ascii="Sylfaen" w:hAnsi="Sylfaen"/>
                      <w:sz w:val="16"/>
                      <w:szCs w:val="16"/>
                    </w:rPr>
                    <w:t>3</w:t>
                  </w:r>
                </w:p>
              </w:txbxContent>
            </v:textbox>
          </v:shape>
        </w:pict>
      </w:r>
      <w:r>
        <w:rPr>
          <w:rFonts w:ascii="Sylfaen" w:hAnsi="Sylfaen"/>
          <w:noProof/>
          <w:lang w:val="ru-RU" w:eastAsia="ru-RU"/>
        </w:rPr>
        <w:pict w14:anchorId="26BEE16A">
          <v:shape id="_x0000_s1299" type="#_x0000_t202" style="position:absolute;margin-left:187.6pt;margin-top:426.4pt;width:72.95pt;height:13.75pt;z-index:251796992;mso-width-relative:margin;mso-height-relative:margin">
            <v:textbox style="mso-next-textbox:#_x0000_s1299" inset="0,0,0,0">
              <w:txbxContent>
                <w:p w14:paraId="3AF94E7E" w14:textId="77777777" w:rsidR="004A52D9" w:rsidRPr="00EB43A1" w:rsidRDefault="004A52D9" w:rsidP="006F76EB">
                  <w:pPr>
                    <w:rPr>
                      <w:rFonts w:ascii="Sylfaen" w:hAnsi="Sylfaen"/>
                      <w:sz w:val="10"/>
                      <w:szCs w:val="10"/>
                    </w:rPr>
                  </w:pPr>
                  <w:r w:rsidRPr="00EB43A1">
                    <w:rPr>
                      <w:rFonts w:ascii="Sylfaen" w:hAnsi="Sylfaen"/>
                      <w:sz w:val="10"/>
                      <w:szCs w:val="10"/>
                    </w:rPr>
                    <w:t>4.1 Բովանդակություն</w:t>
                  </w:r>
                </w:p>
              </w:txbxContent>
            </v:textbox>
          </v:shape>
        </w:pict>
      </w:r>
      <w:r>
        <w:rPr>
          <w:rFonts w:ascii="Sylfaen" w:hAnsi="Sylfaen"/>
          <w:noProof/>
          <w:lang w:val="ru-RU" w:eastAsia="ru-RU"/>
        </w:rPr>
        <w:pict w14:anchorId="03DA5BD4">
          <v:shape id="_x0000_s1293" type="#_x0000_t202" style="position:absolute;margin-left:181pt;margin-top:308.55pt;width:92.95pt;height:49.55pt;z-index:251790848;mso-width-relative:margin;mso-height-relative:margin">
            <v:textbox style="mso-next-textbox:#_x0000_s1293" inset="0,0,0,0">
              <w:txbxContent>
                <w:p w14:paraId="3B2035EE" w14:textId="77777777" w:rsidR="004A52D9" w:rsidRPr="00132FCC" w:rsidRDefault="004A52D9" w:rsidP="006F76EB">
                  <w:pPr>
                    <w:ind w:left="142"/>
                    <w:rPr>
                      <w:sz w:val="16"/>
                      <w:szCs w:val="16"/>
                    </w:rPr>
                  </w:pPr>
                  <w:r w:rsidRPr="00132FCC">
                    <w:rPr>
                      <w:rFonts w:ascii="Sylfaen" w:hAnsi="Sylfaen"/>
                      <w:sz w:val="16"/>
                      <w:szCs w:val="16"/>
                    </w:rPr>
                    <w:t>Նկարագրական եւ աղյուսակային նախակլինիկական ռեզյումեներ</w:t>
                  </w:r>
                  <w:r>
                    <w:rPr>
                      <w:rFonts w:ascii="Sylfaen" w:hAnsi="Sylfaen"/>
                      <w:sz w:val="16"/>
                      <w:szCs w:val="16"/>
                    </w:rPr>
                    <w:t xml:space="preserve"> 2.6</w:t>
                  </w:r>
                </w:p>
              </w:txbxContent>
            </v:textbox>
          </v:shape>
        </w:pict>
      </w:r>
      <w:r>
        <w:rPr>
          <w:rFonts w:ascii="Sylfaen" w:hAnsi="Sylfaen"/>
          <w:noProof/>
          <w:lang w:val="ru-RU" w:eastAsia="ru-RU"/>
        </w:rPr>
        <w:pict w14:anchorId="6B018FF5">
          <v:shape id="_x0000_s1291" type="#_x0000_t202" style="position:absolute;margin-left:112.95pt;margin-top:286.15pt;width:68.05pt;height:55.85pt;z-index:251788800;mso-width-relative:margin;mso-height-relative:margin">
            <v:textbox style="mso-next-textbox:#_x0000_s1291" inset="0,0,0,0">
              <w:txbxContent>
                <w:p w14:paraId="6D0E7467" w14:textId="77777777" w:rsidR="004A52D9" w:rsidRDefault="004A52D9" w:rsidP="006F76EB">
                  <w:pPr>
                    <w:ind w:left="142"/>
                  </w:pPr>
                  <w:r w:rsidRPr="00132FCC">
                    <w:rPr>
                      <w:rFonts w:ascii="Sylfaen" w:hAnsi="Sylfaen"/>
                      <w:sz w:val="16"/>
                      <w:szCs w:val="16"/>
                    </w:rPr>
                    <w:t>Որակի վերաբերյալ</w:t>
                  </w:r>
                  <w:r w:rsidRPr="00B33E97">
                    <w:rPr>
                      <w:rFonts w:ascii="Sylfaen" w:hAnsi="Sylfaen"/>
                      <w:sz w:val="24"/>
                      <w:szCs w:val="24"/>
                    </w:rPr>
                    <w:t xml:space="preserve"> </w:t>
                  </w:r>
                  <w:r w:rsidRPr="00132FCC">
                    <w:rPr>
                      <w:rFonts w:ascii="Sylfaen" w:hAnsi="Sylfaen"/>
                      <w:sz w:val="16"/>
                      <w:szCs w:val="16"/>
                    </w:rPr>
                    <w:t>ամփոփ</w:t>
                  </w:r>
                  <w:r w:rsidRPr="00B33E97">
                    <w:rPr>
                      <w:rFonts w:ascii="Sylfaen" w:hAnsi="Sylfaen"/>
                      <w:sz w:val="24"/>
                      <w:szCs w:val="24"/>
                    </w:rPr>
                    <w:t xml:space="preserve"> </w:t>
                  </w:r>
                  <w:r>
                    <w:rPr>
                      <w:rFonts w:ascii="Sylfaen" w:hAnsi="Sylfaen"/>
                      <w:sz w:val="16"/>
                      <w:szCs w:val="16"/>
                    </w:rPr>
                    <w:t>ռեզյ</w:t>
                  </w:r>
                  <w:r w:rsidRPr="00132FCC">
                    <w:rPr>
                      <w:rFonts w:ascii="Sylfaen" w:hAnsi="Sylfaen"/>
                      <w:sz w:val="16"/>
                      <w:szCs w:val="16"/>
                    </w:rPr>
                    <w:t>ումե</w:t>
                  </w:r>
                  <w:r>
                    <w:rPr>
                      <w:rFonts w:ascii="Sylfaen" w:hAnsi="Sylfaen"/>
                      <w:sz w:val="16"/>
                      <w:szCs w:val="16"/>
                    </w:rPr>
                    <w:t xml:space="preserve"> 2.3</w:t>
                  </w:r>
                </w:p>
              </w:txbxContent>
            </v:textbox>
          </v:shape>
        </w:pict>
      </w:r>
      <w:r>
        <w:rPr>
          <w:rFonts w:ascii="Sylfaen" w:hAnsi="Sylfaen"/>
          <w:noProof/>
          <w:lang w:val="ru-RU" w:eastAsia="ru-RU"/>
        </w:rPr>
        <w:pict w14:anchorId="35FC8FD5">
          <v:shape id="_x0000_s1298" type="#_x0000_t202" style="position:absolute;margin-left:99.1pt;margin-top:412.4pt;width:72.95pt;height:32.7pt;z-index:251795968;mso-width-relative:margin;mso-height-relative:margin">
            <v:textbox style="mso-next-textbox:#_x0000_s1298" inset="0,0,0,0">
              <w:txbxContent>
                <w:p w14:paraId="01AE7204" w14:textId="77777777" w:rsidR="004A52D9" w:rsidRPr="00EB43A1" w:rsidRDefault="004A52D9" w:rsidP="006F76EB">
                  <w:pPr>
                    <w:rPr>
                      <w:rFonts w:ascii="Sylfaen" w:hAnsi="Sylfaen"/>
                      <w:sz w:val="16"/>
                      <w:szCs w:val="16"/>
                    </w:rPr>
                  </w:pPr>
                  <w:r w:rsidRPr="00EB43A1">
                    <w:rPr>
                      <w:rFonts w:ascii="Sylfaen" w:hAnsi="Sylfaen"/>
                      <w:sz w:val="16"/>
                      <w:szCs w:val="16"/>
                    </w:rPr>
                    <w:t>3.1 Բովանդակություն</w:t>
                  </w:r>
                </w:p>
              </w:txbxContent>
            </v:textbox>
          </v:shape>
        </w:pict>
      </w:r>
      <w:r>
        <w:rPr>
          <w:rFonts w:ascii="Sylfaen" w:hAnsi="Sylfaen"/>
          <w:noProof/>
          <w:lang w:eastAsia="zh-TW"/>
        </w:rPr>
        <w:pict w14:anchorId="3526B286">
          <v:shape id="_x0000_s1284" type="#_x0000_t202" style="position:absolute;margin-left:179.6pt;margin-top:83.2pt;width:94.35pt;height:91.55pt;z-index:251781632;mso-width-relative:margin;mso-height-relative:margin">
            <v:textbox style="mso-next-textbox:#_x0000_s1284" inset="0,0,0,0">
              <w:txbxContent>
                <w:p w14:paraId="1448E4CD" w14:textId="77777777" w:rsidR="004A52D9" w:rsidRPr="00DE0CA4" w:rsidRDefault="004A52D9" w:rsidP="006F76EB">
                  <w:pPr>
                    <w:jc w:val="center"/>
                    <w:rPr>
                      <w:rFonts w:ascii="Sylfaen" w:hAnsi="Sylfaen"/>
                      <w:sz w:val="12"/>
                      <w:szCs w:val="12"/>
                    </w:rPr>
                  </w:pPr>
                  <w:r w:rsidRPr="00DE0CA4">
                    <w:rPr>
                      <w:rFonts w:ascii="Sylfaen" w:hAnsi="Sylfaen"/>
                      <w:sz w:val="12"/>
                      <w:szCs w:val="12"/>
                    </w:rPr>
                    <w:t>մոդուլ 1</w:t>
                  </w:r>
                </w:p>
                <w:p w14:paraId="4B7E3AB4" w14:textId="77777777" w:rsidR="004A52D9" w:rsidRPr="00DE0CA4" w:rsidRDefault="004A52D9" w:rsidP="006F76EB">
                  <w:pPr>
                    <w:jc w:val="center"/>
                    <w:rPr>
                      <w:rFonts w:ascii="Sylfaen" w:hAnsi="Sylfaen"/>
                      <w:sz w:val="12"/>
                      <w:szCs w:val="12"/>
                    </w:rPr>
                  </w:pPr>
                  <w:r w:rsidRPr="00DE0CA4">
                    <w:rPr>
                      <w:rFonts w:ascii="Sylfaen" w:hAnsi="Sylfaen"/>
                      <w:sz w:val="12"/>
                      <w:szCs w:val="12"/>
                    </w:rPr>
                    <w:t>տարածաշրջանային վարչական տեղեկատվություն</w:t>
                  </w:r>
                </w:p>
                <w:p w14:paraId="449EE801" w14:textId="77777777" w:rsidR="004A52D9" w:rsidRDefault="004A52D9" w:rsidP="006F76EB">
                  <w:pPr>
                    <w:jc w:val="center"/>
                    <w:rPr>
                      <w:rFonts w:ascii="Sylfaen" w:hAnsi="Sylfaen"/>
                      <w:sz w:val="16"/>
                      <w:szCs w:val="16"/>
                      <w:lang w:val="en-US"/>
                    </w:rPr>
                  </w:pPr>
                  <w:r>
                    <w:rPr>
                      <w:rFonts w:ascii="Sylfaen" w:hAnsi="Sylfaen"/>
                      <w:sz w:val="16"/>
                      <w:szCs w:val="16"/>
                    </w:rPr>
                    <w:t>1</w:t>
                  </w:r>
                </w:p>
                <w:p w14:paraId="1F373553" w14:textId="77777777" w:rsidR="004A52D9" w:rsidRPr="00423E3E" w:rsidRDefault="004A52D9" w:rsidP="006F76EB">
                  <w:pPr>
                    <w:jc w:val="center"/>
                    <w:rPr>
                      <w:rFonts w:ascii="Sylfaen" w:hAnsi="Sylfaen"/>
                      <w:sz w:val="16"/>
                      <w:szCs w:val="16"/>
                    </w:rPr>
                  </w:pPr>
                  <w:r>
                    <w:rPr>
                      <w:rFonts w:ascii="Sylfaen" w:hAnsi="Sylfaen"/>
                      <w:sz w:val="16"/>
                      <w:szCs w:val="16"/>
                    </w:rPr>
                    <w:t>1.1 C-ից T</w:t>
                  </w:r>
                  <w:r w:rsidRPr="008341C7">
                    <w:rPr>
                      <w:rFonts w:ascii="Sylfaen" w:hAnsi="Sylfaen"/>
                      <w:sz w:val="16"/>
                      <w:szCs w:val="16"/>
                    </w:rPr>
                    <w:t>-</w:t>
                  </w:r>
                  <w:r>
                    <w:rPr>
                      <w:rFonts w:ascii="Sylfaen" w:hAnsi="Sylfaen"/>
                      <w:sz w:val="16"/>
                      <w:szCs w:val="16"/>
                    </w:rPr>
                    <w:t>ի տրամադրում</w:t>
                  </w:r>
                </w:p>
              </w:txbxContent>
            </v:textbox>
          </v:shape>
        </w:pict>
      </w:r>
      <w:r>
        <w:rPr>
          <w:rFonts w:ascii="Sylfaen" w:hAnsi="Sylfaen"/>
          <w:noProof/>
          <w:lang w:val="ru-RU" w:eastAsia="ru-RU"/>
        </w:rPr>
        <w:pict w14:anchorId="289B97D9">
          <v:shape id="_x0000_s1300" type="#_x0000_t202" style="position:absolute;margin-left:272.55pt;margin-top:431.1pt;width:72.95pt;height:14pt;z-index:251798016;mso-width-relative:margin;mso-height-relative:margin">
            <v:textbox style="mso-next-textbox:#_x0000_s1300" inset="0,0,0,0">
              <w:txbxContent>
                <w:p w14:paraId="7E066540" w14:textId="77777777" w:rsidR="004A52D9" w:rsidRPr="00EB43A1" w:rsidRDefault="004A52D9" w:rsidP="006F76EB">
                  <w:pPr>
                    <w:rPr>
                      <w:rFonts w:ascii="Sylfaen" w:hAnsi="Sylfaen"/>
                      <w:sz w:val="10"/>
                      <w:szCs w:val="10"/>
                    </w:rPr>
                  </w:pPr>
                  <w:r w:rsidRPr="00EB43A1">
                    <w:rPr>
                      <w:rFonts w:ascii="Sylfaen" w:hAnsi="Sylfaen"/>
                      <w:sz w:val="10"/>
                      <w:szCs w:val="10"/>
                    </w:rPr>
                    <w:t>5.1 Բովանդակություն</w:t>
                  </w:r>
                </w:p>
              </w:txbxContent>
            </v:textbox>
          </v:shape>
        </w:pict>
      </w:r>
      <w:r>
        <w:rPr>
          <w:rFonts w:ascii="Sylfaen" w:hAnsi="Sylfaen"/>
          <w:noProof/>
          <w:lang w:val="ru-RU" w:eastAsia="ru-RU"/>
        </w:rPr>
        <w:pict w14:anchorId="741D1926">
          <v:shape id="_x0000_s1296" type="#_x0000_t202" style="position:absolute;margin-left:278.5pt;margin-top:365.45pt;width:92.95pt;height:60.95pt;z-index:251793920;mso-width-relative:margin;mso-height-relative:margin">
            <v:textbox style="mso-next-textbox:#_x0000_s1296" inset="0,0,0,0">
              <w:txbxContent>
                <w:p w14:paraId="54AF2C2A" w14:textId="77777777" w:rsidR="004A52D9" w:rsidRDefault="004A52D9" w:rsidP="006F76EB">
                  <w:pPr>
                    <w:rPr>
                      <w:rFonts w:ascii="Sylfaen" w:hAnsi="Sylfaen"/>
                    </w:rPr>
                  </w:pPr>
                  <w:r>
                    <w:rPr>
                      <w:rFonts w:ascii="Sylfaen" w:hAnsi="Sylfaen"/>
                    </w:rPr>
                    <w:t>Մոդուլ 5</w:t>
                  </w:r>
                </w:p>
                <w:p w14:paraId="5F3E20B8" w14:textId="77777777" w:rsidR="004A52D9" w:rsidRDefault="004A52D9" w:rsidP="006F76EB">
                  <w:pPr>
                    <w:ind w:left="142"/>
                    <w:rPr>
                      <w:rFonts w:ascii="Sylfaen" w:hAnsi="Sylfaen"/>
                      <w:sz w:val="10"/>
                      <w:szCs w:val="10"/>
                    </w:rPr>
                  </w:pPr>
                  <w:r>
                    <w:rPr>
                      <w:rFonts w:ascii="Sylfaen" w:hAnsi="Sylfaen"/>
                      <w:sz w:val="10"/>
                      <w:szCs w:val="10"/>
                    </w:rPr>
                    <w:t>Կ</w:t>
                  </w:r>
                  <w:r w:rsidRPr="00EB43A1">
                    <w:rPr>
                      <w:rFonts w:ascii="Sylfaen" w:hAnsi="Sylfaen"/>
                      <w:sz w:val="10"/>
                      <w:szCs w:val="10"/>
                    </w:rPr>
                    <w:t>լինիկական հետազոտությունների վերաբերյալ հաշվետվությունները</w:t>
                  </w:r>
                </w:p>
                <w:p w14:paraId="6D7A2E66" w14:textId="77777777" w:rsidR="004A52D9" w:rsidRPr="00EB43A1" w:rsidRDefault="004A52D9" w:rsidP="006F76EB">
                  <w:pPr>
                    <w:rPr>
                      <w:rFonts w:ascii="Sylfaen" w:hAnsi="Sylfaen"/>
                      <w:sz w:val="10"/>
                      <w:szCs w:val="10"/>
                    </w:rPr>
                  </w:pPr>
                  <w:r>
                    <w:rPr>
                      <w:rFonts w:ascii="Sylfaen" w:hAnsi="Sylfaen"/>
                      <w:sz w:val="10"/>
                      <w:szCs w:val="10"/>
                    </w:rPr>
                    <w:t>5</w:t>
                  </w:r>
                </w:p>
                <w:p w14:paraId="0352ED0E" w14:textId="77777777" w:rsidR="004A52D9" w:rsidRPr="00EB43A1" w:rsidRDefault="004A52D9" w:rsidP="006F76EB">
                  <w:pPr>
                    <w:rPr>
                      <w:rFonts w:ascii="Sylfaen" w:hAnsi="Sylfaen"/>
                    </w:rPr>
                  </w:pPr>
                </w:p>
              </w:txbxContent>
            </v:textbox>
          </v:shape>
        </w:pict>
      </w:r>
      <w:r>
        <w:rPr>
          <w:rFonts w:ascii="Sylfaen" w:hAnsi="Sylfaen"/>
          <w:noProof/>
          <w:lang w:val="ru-RU" w:eastAsia="ru-RU"/>
        </w:rPr>
        <w:pict w14:anchorId="1B5AC549">
          <v:shape id="_x0000_s1295" type="#_x0000_t202" style="position:absolute;margin-left:181pt;margin-top:365.45pt;width:92.95pt;height:60.95pt;z-index:251792896;mso-width-relative:margin;mso-height-relative:margin">
            <v:textbox style="mso-next-textbox:#_x0000_s1295" inset="0,0,0,0">
              <w:txbxContent>
                <w:p w14:paraId="47DA2E44" w14:textId="77777777" w:rsidR="004A52D9" w:rsidRPr="00EB43A1" w:rsidRDefault="004A52D9" w:rsidP="006F76EB">
                  <w:pPr>
                    <w:ind w:left="142"/>
                    <w:rPr>
                      <w:rFonts w:ascii="Sylfaen" w:hAnsi="Sylfaen"/>
                      <w:sz w:val="10"/>
                      <w:szCs w:val="10"/>
                    </w:rPr>
                  </w:pPr>
                  <w:r w:rsidRPr="00EB43A1">
                    <w:rPr>
                      <w:rFonts w:ascii="Sylfaen" w:hAnsi="Sylfaen"/>
                      <w:sz w:val="10"/>
                      <w:szCs w:val="10"/>
                    </w:rPr>
                    <w:t>Մոդուլ 4</w:t>
                  </w:r>
                </w:p>
                <w:p w14:paraId="182DBD9F" w14:textId="77777777" w:rsidR="004A52D9" w:rsidRDefault="004A52D9" w:rsidP="006F76EB">
                  <w:pPr>
                    <w:rPr>
                      <w:rFonts w:ascii="Sylfaen" w:hAnsi="Sylfaen"/>
                      <w:sz w:val="10"/>
                      <w:szCs w:val="10"/>
                    </w:rPr>
                  </w:pPr>
                  <w:r w:rsidRPr="00EB43A1">
                    <w:rPr>
                      <w:rFonts w:ascii="Sylfaen" w:hAnsi="Sylfaen"/>
                      <w:sz w:val="10"/>
                      <w:szCs w:val="10"/>
                    </w:rPr>
                    <w:t>Նախակլինիկական հետազոտությունների վերաբերյալ հաշվետվությունները</w:t>
                  </w:r>
                </w:p>
                <w:p w14:paraId="2DD04B37" w14:textId="77777777" w:rsidR="004A52D9" w:rsidRPr="00EB43A1" w:rsidRDefault="004A52D9" w:rsidP="006F76EB">
                  <w:pPr>
                    <w:rPr>
                      <w:rFonts w:ascii="Sylfaen" w:hAnsi="Sylfaen"/>
                      <w:sz w:val="10"/>
                      <w:szCs w:val="10"/>
                    </w:rPr>
                  </w:pPr>
                  <w:r>
                    <w:rPr>
                      <w:rFonts w:ascii="Sylfaen" w:hAnsi="Sylfaen"/>
                      <w:sz w:val="10"/>
                      <w:szCs w:val="10"/>
                    </w:rPr>
                    <w:t>4</w:t>
                  </w:r>
                </w:p>
              </w:txbxContent>
            </v:textbox>
          </v:shape>
        </w:pict>
      </w:r>
      <w:r>
        <w:rPr>
          <w:rFonts w:ascii="Sylfaen" w:hAnsi="Sylfaen"/>
          <w:noProof/>
          <w:lang w:val="ru-RU" w:eastAsia="ru-RU"/>
        </w:rPr>
        <w:pict w14:anchorId="044F4C60">
          <v:shape id="_x0000_s1294" type="#_x0000_t202" style="position:absolute;margin-left:278.5pt;margin-top:308.55pt;width:69.95pt;height:42.1pt;z-index:251791872;mso-width-relative:margin;mso-height-relative:margin">
            <v:textbox style="mso-next-textbox:#_x0000_s1294" inset="0,0,0,0">
              <w:txbxContent>
                <w:p w14:paraId="436F5E68" w14:textId="77777777" w:rsidR="004A52D9" w:rsidRPr="00EB43A1" w:rsidRDefault="004A52D9" w:rsidP="006F76EB">
                  <w:pPr>
                    <w:ind w:left="142"/>
                    <w:rPr>
                      <w:sz w:val="16"/>
                      <w:szCs w:val="16"/>
                    </w:rPr>
                  </w:pPr>
                  <w:r w:rsidRPr="00EB43A1">
                    <w:rPr>
                      <w:rFonts w:ascii="Sylfaen" w:hAnsi="Sylfaen"/>
                      <w:sz w:val="16"/>
                      <w:szCs w:val="16"/>
                    </w:rPr>
                    <w:t>Կլինիկական ռեզյումե 2.7</w:t>
                  </w:r>
                </w:p>
              </w:txbxContent>
            </v:textbox>
          </v:shape>
        </w:pict>
      </w:r>
      <w:r>
        <w:rPr>
          <w:rFonts w:ascii="Sylfaen" w:hAnsi="Sylfaen"/>
          <w:noProof/>
          <w:lang w:val="ru-RU" w:eastAsia="ru-RU"/>
        </w:rPr>
        <w:pict w14:anchorId="7131C3F5">
          <v:shape id="_x0000_s1292" type="#_x0000_t202" style="position:absolute;margin-left:266.5pt;margin-top:267.25pt;width:69.95pt;height:35.7pt;z-index:251789824;mso-width-relative:margin;mso-height-relative:margin">
            <v:textbox style="mso-next-textbox:#_x0000_s1292" inset="0,0,0,0">
              <w:txbxContent>
                <w:p w14:paraId="7B031855" w14:textId="77777777" w:rsidR="004A52D9" w:rsidRPr="00132FCC" w:rsidRDefault="004A52D9" w:rsidP="006F76EB">
                  <w:pPr>
                    <w:ind w:left="142"/>
                  </w:pPr>
                  <w:r>
                    <w:rPr>
                      <w:rFonts w:ascii="Sylfaen" w:hAnsi="Sylfaen"/>
                      <w:sz w:val="16"/>
                      <w:szCs w:val="16"/>
                      <w:lang w:val="ru-RU"/>
                    </w:rPr>
                    <w:t>Կ</w:t>
                  </w:r>
                  <w:r w:rsidRPr="00132FCC">
                    <w:rPr>
                      <w:rFonts w:ascii="Sylfaen" w:hAnsi="Sylfaen"/>
                      <w:sz w:val="16"/>
                      <w:szCs w:val="16"/>
                    </w:rPr>
                    <w:t>լինիկական ամփոփում</w:t>
                  </w:r>
                  <w:r>
                    <w:rPr>
                      <w:rFonts w:ascii="Sylfaen" w:hAnsi="Sylfaen"/>
                      <w:sz w:val="16"/>
                      <w:szCs w:val="16"/>
                    </w:rPr>
                    <w:t xml:space="preserve"> 2.5</w:t>
                  </w:r>
                </w:p>
              </w:txbxContent>
            </v:textbox>
          </v:shape>
        </w:pict>
      </w:r>
      <w:r>
        <w:rPr>
          <w:rFonts w:ascii="Sylfaen" w:hAnsi="Sylfaen"/>
          <w:noProof/>
          <w:lang w:val="ru-RU" w:eastAsia="ru-RU"/>
        </w:rPr>
        <w:pict w14:anchorId="1D3779FA">
          <v:shape id="_x0000_s1290" type="#_x0000_t202" style="position:absolute;margin-left:190.6pt;margin-top:267.25pt;width:69.95pt;height:35.7pt;z-index:251787776;mso-width-relative:margin;mso-height-relative:margin">
            <v:textbox style="mso-next-textbox:#_x0000_s1290" inset="0,0,0,0">
              <w:txbxContent>
                <w:p w14:paraId="0D3885F6" w14:textId="77777777" w:rsidR="004A52D9" w:rsidRPr="00132FCC" w:rsidRDefault="004A52D9" w:rsidP="006F76EB">
                  <w:pPr>
                    <w:ind w:left="142"/>
                  </w:pPr>
                  <w:r w:rsidRPr="00132FCC">
                    <w:rPr>
                      <w:rFonts w:ascii="Sylfaen" w:hAnsi="Sylfaen"/>
                      <w:sz w:val="16"/>
                      <w:szCs w:val="16"/>
                    </w:rPr>
                    <w:t>Նախակլինիկական ամփոփում</w:t>
                  </w:r>
                  <w:r>
                    <w:rPr>
                      <w:rFonts w:ascii="Sylfaen" w:hAnsi="Sylfaen"/>
                      <w:sz w:val="16"/>
                      <w:szCs w:val="16"/>
                    </w:rPr>
                    <w:t xml:space="preserve"> 2.1</w:t>
                  </w:r>
                </w:p>
              </w:txbxContent>
            </v:textbox>
          </v:shape>
        </w:pict>
      </w:r>
      <w:r>
        <w:rPr>
          <w:rFonts w:ascii="Sylfaen" w:hAnsi="Sylfaen"/>
          <w:noProof/>
          <w:lang w:val="ru-RU" w:eastAsia="ru-RU"/>
        </w:rPr>
        <w:pict w14:anchorId="744F3BEA">
          <v:shape id="_x0000_s1289" type="#_x0000_t202" style="position:absolute;margin-left:428.1pt;margin-top:298.15pt;width:53.45pt;height:18.9pt;z-index:251786752;mso-width-relative:margin;mso-height-relative:margin">
            <v:textbox style="mso-next-textbox:#_x0000_s1289" inset="0,0,0,0">
              <w:txbxContent>
                <w:p w14:paraId="2E118DCA" w14:textId="77777777" w:rsidR="004A52D9" w:rsidRDefault="004A52D9" w:rsidP="006F76EB">
                  <w:r>
                    <w:rPr>
                      <w:rFonts w:ascii="Sylfaen" w:hAnsi="Sylfaen"/>
                    </w:rPr>
                    <w:t>ԸՏՓ</w:t>
                  </w:r>
                </w:p>
              </w:txbxContent>
            </v:textbox>
          </v:shape>
        </w:pict>
      </w:r>
      <w:r>
        <w:rPr>
          <w:rFonts w:ascii="Sylfaen" w:hAnsi="Sylfaen"/>
          <w:noProof/>
          <w:lang w:val="ru-RU" w:eastAsia="ru-RU"/>
        </w:rPr>
        <w:pict w14:anchorId="1EBA86E2">
          <v:shape id="_x0000_s1288" type="#_x0000_t202" style="position:absolute;margin-left:0;margin-top:267.25pt;width:69.95pt;height:18.9pt;z-index:251785728;mso-width-relative:margin;mso-height-relative:margin">
            <v:textbox style="mso-next-textbox:#_x0000_s1288" inset="0,0,0,0">
              <w:txbxContent>
                <w:p w14:paraId="317FD3CE" w14:textId="77777777" w:rsidR="004A52D9" w:rsidRPr="00EB43A1" w:rsidRDefault="004A52D9" w:rsidP="006F76EB">
                  <w:pPr>
                    <w:ind w:left="142"/>
                    <w:rPr>
                      <w:rFonts w:ascii="Sylfaen" w:hAnsi="Sylfaen"/>
                    </w:rPr>
                  </w:pPr>
                  <w:r>
                    <w:rPr>
                      <w:rFonts w:ascii="Sylfaen" w:hAnsi="Sylfaen"/>
                    </w:rPr>
                    <w:t>մոդուլ 2</w:t>
                  </w:r>
                </w:p>
              </w:txbxContent>
            </v:textbox>
          </v:shape>
        </w:pict>
      </w:r>
      <w:r>
        <w:rPr>
          <w:rFonts w:ascii="Sylfaen" w:hAnsi="Sylfaen"/>
          <w:noProof/>
          <w:lang w:val="ru-RU" w:eastAsia="ru-RU"/>
        </w:rPr>
        <w:pict w14:anchorId="74D53DC7">
          <v:shape id="_x0000_s1287" type="#_x0000_t202" style="position:absolute;margin-left:181pt;margin-top:229.1pt;width:92.95pt;height:26.15pt;z-index:251784704;mso-width-relative:margin;mso-height-relative:margin">
            <v:textbox style="mso-next-textbox:#_x0000_s1287" inset="0,0,0,0">
              <w:txbxContent>
                <w:p w14:paraId="21063B50" w14:textId="77777777" w:rsidR="004A52D9" w:rsidRPr="00132FCC" w:rsidRDefault="004A52D9" w:rsidP="006F76EB">
                  <w:pPr>
                    <w:ind w:left="142"/>
                    <w:rPr>
                      <w:sz w:val="16"/>
                      <w:szCs w:val="16"/>
                    </w:rPr>
                  </w:pPr>
                  <w:r w:rsidRPr="00132FCC">
                    <w:rPr>
                      <w:rFonts w:ascii="Sylfaen" w:hAnsi="Sylfaen"/>
                      <w:sz w:val="16"/>
                      <w:szCs w:val="16"/>
                    </w:rPr>
                    <w:t>Տեղեկատվությունը ԸՏ</w:t>
                  </w:r>
                  <w:r>
                    <w:rPr>
                      <w:rFonts w:ascii="Sylfaen" w:hAnsi="Sylfaen"/>
                      <w:sz w:val="16"/>
                      <w:szCs w:val="16"/>
                    </w:rPr>
                    <w:t>Փ-ում 2.2</w:t>
                  </w:r>
                </w:p>
              </w:txbxContent>
            </v:textbox>
          </v:shape>
        </w:pict>
      </w:r>
      <w:r>
        <w:rPr>
          <w:rFonts w:ascii="Sylfaen" w:hAnsi="Sylfaen"/>
          <w:noProof/>
          <w:lang w:val="ru-RU" w:eastAsia="ru-RU"/>
        </w:rPr>
        <w:pict w14:anchorId="33AFE58B">
          <v:shape id="_x0000_s1286" type="#_x0000_t202" style="position:absolute;margin-left:181pt;margin-top:188.9pt;width:92.95pt;height:34.6pt;z-index:251783680;mso-width-relative:margin;mso-height-relative:margin">
            <v:textbox style="mso-next-textbox:#_x0000_s1286" inset="0,0,0,0">
              <w:txbxContent>
                <w:p w14:paraId="2E754BB7" w14:textId="77777777" w:rsidR="004A52D9" w:rsidRPr="00132FCC" w:rsidRDefault="004A52D9" w:rsidP="006F76EB">
                  <w:pPr>
                    <w:ind w:left="142"/>
                    <w:jc w:val="center"/>
                    <w:rPr>
                      <w:rFonts w:ascii="Sylfaen" w:hAnsi="Sylfaen"/>
                      <w:sz w:val="16"/>
                      <w:szCs w:val="16"/>
                    </w:rPr>
                  </w:pPr>
                  <w:r w:rsidRPr="00132FCC">
                    <w:rPr>
                      <w:rFonts w:ascii="Sylfaen" w:hAnsi="Sylfaen"/>
                      <w:sz w:val="16"/>
                      <w:szCs w:val="16"/>
                    </w:rPr>
                    <w:t>ԸՏՓ-ի բովանդակությունը</w:t>
                  </w:r>
                  <w:r>
                    <w:rPr>
                      <w:rFonts w:ascii="Sylfaen" w:hAnsi="Sylfaen"/>
                      <w:sz w:val="16"/>
                      <w:szCs w:val="16"/>
                      <w:lang w:val="en-US"/>
                    </w:rPr>
                    <w:t xml:space="preserve"> </w:t>
                  </w:r>
                  <w:r>
                    <w:rPr>
                      <w:rFonts w:ascii="Sylfaen" w:hAnsi="Sylfaen"/>
                      <w:sz w:val="16"/>
                      <w:szCs w:val="16"/>
                    </w:rPr>
                    <w:t>2.1</w:t>
                  </w:r>
                </w:p>
              </w:txbxContent>
            </v:textbox>
          </v:shape>
        </w:pict>
      </w:r>
      <w:r>
        <w:rPr>
          <w:rFonts w:ascii="Sylfaen" w:hAnsi="Sylfaen"/>
          <w:noProof/>
          <w:lang w:val="ru-RU" w:eastAsia="ru-RU"/>
        </w:rPr>
        <w:pict w14:anchorId="7E05CED9">
          <v:shape id="_x0000_s1285" type="#_x0000_t202" style="position:absolute;margin-left:353.85pt;margin-top:106.6pt;width:92.95pt;height:35.55pt;z-index:251782656;mso-width-relative:margin;mso-height-relative:margin">
            <v:textbox style="mso-next-textbox:#_x0000_s1285" inset="0,0,0,0">
              <w:txbxContent>
                <w:p w14:paraId="76231FAC" w14:textId="77777777" w:rsidR="004A52D9" w:rsidRPr="00132FCC" w:rsidRDefault="004A52D9" w:rsidP="006F76EB">
                  <w:pPr>
                    <w:ind w:left="142"/>
                    <w:rPr>
                      <w:rFonts w:ascii="Sylfaen" w:hAnsi="Sylfaen"/>
                    </w:rPr>
                  </w:pPr>
                  <w:r>
                    <w:rPr>
                      <w:rFonts w:ascii="Sylfaen" w:hAnsi="Sylfaen"/>
                    </w:rPr>
                    <w:t>ԸՏՓ-ի մաս չէ</w:t>
                  </w:r>
                </w:p>
              </w:txbxContent>
            </v:textbox>
          </v:shape>
        </w:pict>
      </w:r>
      <w:r w:rsidR="006F76EB" w:rsidRPr="00834D52">
        <w:rPr>
          <w:rFonts w:ascii="Sylfaen" w:hAnsi="Sylfaen"/>
          <w:noProof/>
          <w:lang w:val="en-US" w:eastAsia="en-US" w:bidi="ar-SA"/>
        </w:rPr>
        <w:drawing>
          <wp:inline distT="0" distB="0" distL="0" distR="0" wp14:anchorId="3FDD545E" wp14:editId="28FA659A">
            <wp:extent cx="5943600" cy="6409228"/>
            <wp:effectExtent l="19050" t="0" r="0" b="0"/>
            <wp:docPr id="6" name="Picture 1" descr="C:\Users\mikhail.LOCAL\Deskto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hail.LOCAL\Desktop\media\image1.png"/>
                    <pic:cNvPicPr>
                      <a:picLocks noChangeAspect="1" noChangeArrowheads="1"/>
                    </pic:cNvPicPr>
                  </pic:nvPicPr>
                  <pic:blipFill>
                    <a:blip r:embed="rId13" cstate="print"/>
                    <a:srcRect/>
                    <a:stretch>
                      <a:fillRect/>
                    </a:stretch>
                  </pic:blipFill>
                  <pic:spPr bwMode="auto">
                    <a:xfrm>
                      <a:off x="0" y="0"/>
                      <a:ext cx="5943600" cy="6409228"/>
                    </a:xfrm>
                    <a:prstGeom prst="rect">
                      <a:avLst/>
                    </a:prstGeom>
                    <a:noFill/>
                    <a:ln w="9525">
                      <a:noFill/>
                      <a:miter lim="800000"/>
                      <a:headEnd/>
                      <a:tailEnd/>
                    </a:ln>
                  </pic:spPr>
                </pic:pic>
              </a:graphicData>
            </a:graphic>
          </wp:inline>
        </w:drawing>
      </w:r>
    </w:p>
    <w:p w14:paraId="4E1C58F2" w14:textId="77777777" w:rsidR="006F76EB" w:rsidRPr="00834D52" w:rsidRDefault="006F76EB" w:rsidP="006F76EB">
      <w:pPr>
        <w:widowControl/>
        <w:rPr>
          <w:rFonts w:ascii="Sylfaen" w:hAnsi="Sylfaen"/>
          <w:sz w:val="24"/>
          <w:szCs w:val="24"/>
          <w:lang w:val="en-US"/>
        </w:rPr>
      </w:pPr>
      <w:r w:rsidRPr="00834D52">
        <w:rPr>
          <w:rFonts w:ascii="Sylfaen" w:hAnsi="Sylfaen"/>
          <w:sz w:val="24"/>
          <w:szCs w:val="24"/>
          <w:lang w:val="en-US"/>
        </w:rPr>
        <w:br w:type="page"/>
      </w:r>
    </w:p>
    <w:p w14:paraId="308D2258" w14:textId="77777777" w:rsidR="006F76EB" w:rsidRPr="00834D52" w:rsidRDefault="006F76EB" w:rsidP="002978B0">
      <w:pPr>
        <w:spacing w:after="120" w:line="312" w:lineRule="auto"/>
        <w:ind w:left="567" w:right="579"/>
        <w:jc w:val="center"/>
        <w:rPr>
          <w:rFonts w:ascii="Sylfaen" w:hAnsi="Sylfaen"/>
          <w:sz w:val="24"/>
          <w:szCs w:val="24"/>
          <w:lang w:val="en-US"/>
        </w:rPr>
      </w:pPr>
      <w:r w:rsidRPr="00834D52">
        <w:rPr>
          <w:rFonts w:ascii="Sylfaen" w:hAnsi="Sylfaen"/>
          <w:sz w:val="24"/>
          <w:szCs w:val="24"/>
        </w:rPr>
        <w:lastRenderedPageBreak/>
        <w:t>VI. ԲԺՇԿԱԿԱՆ ԿԻՐԱՌՈՒԹՅԱՆ ԴԵՂԱՊԱՏՐԱՍՏՈՒԿՆԵՐԻ ԳՐԱՆՑՄԱՆ ԸՏՓ-ի ԿԱՌՈՒՑՎԱԾՔԸ</w:t>
      </w:r>
    </w:p>
    <w:p w14:paraId="316B490F" w14:textId="77777777" w:rsidR="006F76EB" w:rsidRPr="00834D52" w:rsidRDefault="006F76EB" w:rsidP="002978B0">
      <w:pPr>
        <w:tabs>
          <w:tab w:val="left" w:pos="1134"/>
        </w:tabs>
        <w:spacing w:after="120" w:line="312" w:lineRule="auto"/>
        <w:ind w:right="-8" w:firstLine="567"/>
        <w:jc w:val="both"/>
        <w:rPr>
          <w:rFonts w:ascii="Sylfaen" w:eastAsia="Times New Roman" w:hAnsi="Sylfaen" w:cs="Times New Roman"/>
          <w:sz w:val="24"/>
          <w:szCs w:val="24"/>
        </w:rPr>
      </w:pPr>
      <w:r w:rsidRPr="00834D52">
        <w:rPr>
          <w:rFonts w:ascii="Sylfaen" w:hAnsi="Sylfaen"/>
          <w:sz w:val="24"/>
          <w:szCs w:val="24"/>
        </w:rPr>
        <w:t>Մոդուլ</w:t>
      </w:r>
      <w:r>
        <w:rPr>
          <w:rFonts w:ascii="Sylfaen" w:hAnsi="Sylfaen"/>
          <w:sz w:val="24"/>
          <w:szCs w:val="24"/>
        </w:rPr>
        <w:t xml:space="preserve"> 1.</w:t>
      </w:r>
      <w:r>
        <w:rPr>
          <w:rFonts w:ascii="Sylfaen" w:hAnsi="Sylfaen"/>
          <w:sz w:val="24"/>
          <w:szCs w:val="24"/>
          <w:lang w:val="en-US"/>
        </w:rPr>
        <w:tab/>
      </w:r>
      <w:r w:rsidRPr="00834D52">
        <w:rPr>
          <w:rFonts w:ascii="Sylfaen" w:hAnsi="Sylfaen"/>
          <w:sz w:val="24"/>
          <w:szCs w:val="24"/>
        </w:rPr>
        <w:t xml:space="preserve">Նշանակման վերաբերյալ տեղեկատվությունը </w:t>
      </w:r>
      <w:r w:rsidR="00C54D75">
        <w:rPr>
          <w:rFonts w:ascii="Sylfaen" w:hAnsi="Sylfaen"/>
          <w:sz w:val="24"/>
          <w:szCs w:val="24"/>
        </w:rPr>
        <w:t>և</w:t>
      </w:r>
      <w:r w:rsidRPr="00834D52">
        <w:rPr>
          <w:rFonts w:ascii="Sylfaen" w:hAnsi="Sylfaen"/>
          <w:sz w:val="24"/>
          <w:szCs w:val="24"/>
        </w:rPr>
        <w:t xml:space="preserve"> վարչական տեղեկությունները </w:t>
      </w:r>
    </w:p>
    <w:p w14:paraId="7BDE9C09"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sidRPr="00834D52">
        <w:rPr>
          <w:rFonts w:ascii="Sylfaen" w:hAnsi="Sylfaen"/>
          <w:sz w:val="24"/>
          <w:szCs w:val="24"/>
        </w:rPr>
        <w:t>1.1.</w:t>
      </w:r>
      <w:r w:rsidRPr="00834D52">
        <w:rPr>
          <w:rFonts w:ascii="Sylfaen" w:hAnsi="Sylfaen"/>
          <w:sz w:val="24"/>
          <w:szCs w:val="24"/>
        </w:rPr>
        <w:tab/>
        <w:t>Դոսյեի բովանդակությունը, ներառյալ՝ 1-ին մոդուլը</w:t>
      </w:r>
    </w:p>
    <w:p w14:paraId="26151270"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sidRPr="00834D52">
        <w:rPr>
          <w:rFonts w:ascii="Sylfaen" w:hAnsi="Sylfaen"/>
          <w:sz w:val="24"/>
          <w:szCs w:val="24"/>
        </w:rPr>
        <w:t>1.2.</w:t>
      </w:r>
      <w:r w:rsidRPr="00CC275D">
        <w:rPr>
          <w:rFonts w:ascii="Sylfaen" w:hAnsi="Sylfaen"/>
          <w:sz w:val="24"/>
          <w:szCs w:val="24"/>
        </w:rPr>
        <w:tab/>
      </w:r>
      <w:r w:rsidRPr="00834D52">
        <w:rPr>
          <w:rFonts w:ascii="Sylfaen" w:hAnsi="Sylfaen"/>
          <w:sz w:val="24"/>
          <w:szCs w:val="24"/>
        </w:rPr>
        <w:t>Յուրաքանչյուր տարածաշրջանի համար յուրահատուկ փաստաթղթերը (օրինակ՝ հայտերի ձ</w:t>
      </w:r>
      <w:r w:rsidR="00C54D75">
        <w:rPr>
          <w:rFonts w:ascii="Sylfaen" w:hAnsi="Sylfaen"/>
          <w:sz w:val="24"/>
          <w:szCs w:val="24"/>
        </w:rPr>
        <w:t>և</w:t>
      </w:r>
      <w:r w:rsidRPr="00834D52">
        <w:rPr>
          <w:rFonts w:ascii="Sylfaen" w:hAnsi="Sylfaen"/>
          <w:sz w:val="24"/>
          <w:szCs w:val="24"/>
        </w:rPr>
        <w:t>երը, պատրաստուկի նշանակման վերաբերյալ տեղեկատվությունը)</w:t>
      </w:r>
    </w:p>
    <w:p w14:paraId="11710E42" w14:textId="77777777" w:rsidR="006F76EB" w:rsidRPr="00834D52" w:rsidRDefault="006F76EB" w:rsidP="002978B0">
      <w:pPr>
        <w:tabs>
          <w:tab w:val="left" w:pos="1134"/>
        </w:tabs>
        <w:spacing w:after="120" w:line="312" w:lineRule="auto"/>
        <w:ind w:right="-8"/>
        <w:jc w:val="both"/>
        <w:rPr>
          <w:rFonts w:ascii="Sylfaen" w:eastAsia="Times New Roman" w:hAnsi="Sylfaen" w:cs="Times New Roman"/>
          <w:sz w:val="24"/>
          <w:szCs w:val="24"/>
        </w:rPr>
      </w:pPr>
      <w:r w:rsidRPr="00834D52">
        <w:rPr>
          <w:rFonts w:ascii="Sylfaen" w:hAnsi="Sylfaen"/>
          <w:sz w:val="24"/>
          <w:szCs w:val="24"/>
        </w:rPr>
        <w:t>Մոդուլ</w:t>
      </w:r>
      <w:r>
        <w:rPr>
          <w:rFonts w:ascii="Sylfaen" w:hAnsi="Sylfaen"/>
          <w:sz w:val="24"/>
          <w:szCs w:val="24"/>
        </w:rPr>
        <w:t xml:space="preserve"> 2.</w:t>
      </w:r>
      <w:r w:rsidRPr="00581D46">
        <w:rPr>
          <w:rFonts w:ascii="Sylfaen" w:hAnsi="Sylfaen"/>
          <w:sz w:val="24"/>
          <w:szCs w:val="24"/>
        </w:rPr>
        <w:tab/>
      </w:r>
      <w:r w:rsidRPr="00834D52">
        <w:rPr>
          <w:rFonts w:ascii="Sylfaen" w:hAnsi="Sylfaen"/>
          <w:sz w:val="24"/>
          <w:szCs w:val="24"/>
        </w:rPr>
        <w:t>ԸՏՓ-ի ռեզյումեն</w:t>
      </w:r>
    </w:p>
    <w:p w14:paraId="393CBCF7"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sidRPr="00834D52">
        <w:rPr>
          <w:rFonts w:ascii="Sylfaen" w:hAnsi="Sylfaen"/>
          <w:sz w:val="24"/>
          <w:szCs w:val="24"/>
        </w:rPr>
        <w:t>2.1.</w:t>
      </w:r>
      <w:r w:rsidRPr="00CC275D">
        <w:rPr>
          <w:rFonts w:ascii="Sylfaen" w:hAnsi="Sylfaen"/>
          <w:sz w:val="24"/>
          <w:szCs w:val="24"/>
        </w:rPr>
        <w:tab/>
      </w:r>
      <w:r w:rsidRPr="00834D52">
        <w:rPr>
          <w:rFonts w:ascii="Sylfaen" w:hAnsi="Sylfaen"/>
          <w:sz w:val="24"/>
          <w:szCs w:val="24"/>
        </w:rPr>
        <w:t>ԸՏՓ-ի ամփոփ բովանդակությունը (2-5-րդ մոդուլներ)</w:t>
      </w:r>
    </w:p>
    <w:p w14:paraId="6A2A120A"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2.2.</w:t>
      </w:r>
      <w:r w:rsidRPr="00CC275D">
        <w:rPr>
          <w:rFonts w:ascii="Sylfaen" w:hAnsi="Sylfaen"/>
          <w:sz w:val="24"/>
          <w:szCs w:val="24"/>
        </w:rPr>
        <w:tab/>
      </w:r>
      <w:r w:rsidRPr="00834D52">
        <w:rPr>
          <w:rFonts w:ascii="Sylfaen" w:hAnsi="Sylfaen"/>
          <w:sz w:val="24"/>
          <w:szCs w:val="24"/>
        </w:rPr>
        <w:t>Ներածություն</w:t>
      </w:r>
    </w:p>
    <w:p w14:paraId="6B030051"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2.3.</w:t>
      </w:r>
      <w:r w:rsidRPr="00CC275D">
        <w:rPr>
          <w:rFonts w:ascii="Sylfaen" w:hAnsi="Sylfaen"/>
          <w:sz w:val="24"/>
          <w:szCs w:val="24"/>
        </w:rPr>
        <w:tab/>
      </w:r>
      <w:r w:rsidRPr="00834D52">
        <w:rPr>
          <w:rFonts w:ascii="Sylfaen" w:hAnsi="Sylfaen"/>
          <w:sz w:val="24"/>
          <w:szCs w:val="24"/>
        </w:rPr>
        <w:t>Որակի վերաբերյալ ամփոփ ռեզյումե</w:t>
      </w:r>
    </w:p>
    <w:p w14:paraId="6D3018D6"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2.4.</w:t>
      </w:r>
      <w:r w:rsidRPr="00CC275D">
        <w:rPr>
          <w:rFonts w:ascii="Sylfaen" w:hAnsi="Sylfaen"/>
          <w:sz w:val="24"/>
          <w:szCs w:val="24"/>
        </w:rPr>
        <w:tab/>
      </w:r>
      <w:r w:rsidRPr="00834D52">
        <w:rPr>
          <w:rFonts w:ascii="Sylfaen" w:hAnsi="Sylfaen"/>
          <w:sz w:val="24"/>
          <w:szCs w:val="24"/>
        </w:rPr>
        <w:t>Նախակլինիկական ամփոփում</w:t>
      </w:r>
    </w:p>
    <w:p w14:paraId="6935BBDB"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2.5.</w:t>
      </w:r>
      <w:r w:rsidRPr="00CC275D">
        <w:rPr>
          <w:rFonts w:ascii="Sylfaen" w:hAnsi="Sylfaen"/>
          <w:sz w:val="24"/>
          <w:szCs w:val="24"/>
        </w:rPr>
        <w:tab/>
      </w:r>
      <w:r w:rsidRPr="00834D52">
        <w:rPr>
          <w:rFonts w:ascii="Sylfaen" w:hAnsi="Sylfaen"/>
          <w:sz w:val="24"/>
          <w:szCs w:val="24"/>
        </w:rPr>
        <w:t>Կլինիկական ամփոփում</w:t>
      </w:r>
    </w:p>
    <w:p w14:paraId="4D74B2F9"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2.6.</w:t>
      </w:r>
      <w:r w:rsidRPr="00581D46">
        <w:rPr>
          <w:rFonts w:ascii="Sylfaen" w:hAnsi="Sylfaen"/>
          <w:sz w:val="24"/>
          <w:szCs w:val="24"/>
        </w:rPr>
        <w:tab/>
      </w:r>
      <w:r w:rsidRPr="00834D52">
        <w:rPr>
          <w:rFonts w:ascii="Sylfaen" w:hAnsi="Sylfaen"/>
          <w:sz w:val="24"/>
          <w:szCs w:val="24"/>
        </w:rPr>
        <w:t xml:space="preserve">Նկարագրական </w:t>
      </w:r>
      <w:r w:rsidR="00C54D75">
        <w:rPr>
          <w:rFonts w:ascii="Sylfaen" w:hAnsi="Sylfaen"/>
          <w:sz w:val="24"/>
          <w:szCs w:val="24"/>
        </w:rPr>
        <w:t>և</w:t>
      </w:r>
      <w:r w:rsidRPr="00834D52">
        <w:rPr>
          <w:rFonts w:ascii="Sylfaen" w:hAnsi="Sylfaen"/>
          <w:sz w:val="24"/>
          <w:szCs w:val="24"/>
        </w:rPr>
        <w:t xml:space="preserve"> աղյուսակային նախակլինիկական ռեզյումեներ</w:t>
      </w:r>
    </w:p>
    <w:p w14:paraId="1102E250" w14:textId="77777777" w:rsidR="006F76EB" w:rsidRPr="00834D52" w:rsidRDefault="006F76EB" w:rsidP="002978B0">
      <w:pPr>
        <w:tabs>
          <w:tab w:val="left" w:pos="1134"/>
        </w:tabs>
        <w:spacing w:after="120" w:line="312" w:lineRule="auto"/>
        <w:ind w:left="1276" w:right="-8"/>
        <w:jc w:val="both"/>
        <w:rPr>
          <w:rFonts w:ascii="Sylfaen" w:eastAsia="Times New Roman" w:hAnsi="Sylfaen" w:cs="Times New Roman"/>
          <w:sz w:val="24"/>
          <w:szCs w:val="24"/>
        </w:rPr>
      </w:pPr>
      <w:r w:rsidRPr="00834D52">
        <w:rPr>
          <w:rFonts w:ascii="Sylfaen" w:hAnsi="Sylfaen"/>
          <w:sz w:val="24"/>
          <w:szCs w:val="24"/>
        </w:rPr>
        <w:t>դեղաբանություն</w:t>
      </w:r>
    </w:p>
    <w:p w14:paraId="36B0C119" w14:textId="77777777" w:rsidR="006F76EB" w:rsidRPr="00834D52" w:rsidRDefault="00355C33" w:rsidP="002978B0">
      <w:pPr>
        <w:tabs>
          <w:tab w:val="left" w:pos="1134"/>
        </w:tabs>
        <w:spacing w:after="120" w:line="312" w:lineRule="auto"/>
        <w:ind w:left="1276" w:right="-8"/>
        <w:jc w:val="both"/>
        <w:rPr>
          <w:rFonts w:ascii="Sylfaen" w:eastAsia="Times New Roman" w:hAnsi="Sylfaen" w:cs="Times New Roman"/>
          <w:sz w:val="24"/>
          <w:szCs w:val="24"/>
        </w:rPr>
      </w:pPr>
      <w:r>
        <w:rPr>
          <w:rFonts w:ascii="Sylfaen" w:hAnsi="Sylfaen"/>
          <w:sz w:val="24"/>
          <w:szCs w:val="24"/>
        </w:rPr>
        <w:t>դեղա</w:t>
      </w:r>
      <w:r w:rsidR="006F76EB" w:rsidRPr="00834D52">
        <w:rPr>
          <w:rFonts w:ascii="Sylfaen" w:hAnsi="Sylfaen"/>
          <w:sz w:val="24"/>
          <w:szCs w:val="24"/>
        </w:rPr>
        <w:t>կինետիկա</w:t>
      </w:r>
    </w:p>
    <w:p w14:paraId="35ECB21A" w14:textId="77777777" w:rsidR="006F76EB" w:rsidRPr="00834D52" w:rsidRDefault="006F76EB" w:rsidP="002978B0">
      <w:pPr>
        <w:tabs>
          <w:tab w:val="left" w:pos="1134"/>
        </w:tabs>
        <w:spacing w:after="120" w:line="312" w:lineRule="auto"/>
        <w:ind w:left="1276" w:right="-8"/>
        <w:jc w:val="both"/>
        <w:rPr>
          <w:rFonts w:ascii="Sylfaen" w:eastAsia="Times New Roman" w:hAnsi="Sylfaen" w:cs="Times New Roman"/>
          <w:sz w:val="24"/>
          <w:szCs w:val="24"/>
        </w:rPr>
      </w:pPr>
      <w:r w:rsidRPr="00834D52">
        <w:rPr>
          <w:rFonts w:ascii="Sylfaen" w:hAnsi="Sylfaen"/>
          <w:sz w:val="24"/>
          <w:szCs w:val="24"/>
        </w:rPr>
        <w:t xml:space="preserve">թունաբանություն </w:t>
      </w:r>
    </w:p>
    <w:p w14:paraId="54795700" w14:textId="77777777" w:rsidR="006F76EB" w:rsidRPr="00834D52" w:rsidRDefault="006F76EB" w:rsidP="002978B0">
      <w:pPr>
        <w:tabs>
          <w:tab w:val="left" w:pos="1134"/>
        </w:tabs>
        <w:spacing w:after="120" w:line="312" w:lineRule="auto"/>
        <w:ind w:left="567" w:right="-8"/>
        <w:jc w:val="both"/>
        <w:rPr>
          <w:rFonts w:ascii="Sylfaen" w:eastAsia="Times New Roman" w:hAnsi="Sylfaen" w:cs="Times New Roman"/>
          <w:sz w:val="24"/>
          <w:szCs w:val="24"/>
        </w:rPr>
      </w:pPr>
      <w:r>
        <w:rPr>
          <w:rFonts w:ascii="Sylfaen" w:hAnsi="Sylfaen"/>
          <w:sz w:val="24"/>
          <w:szCs w:val="24"/>
        </w:rPr>
        <w:t>2.7.</w:t>
      </w:r>
      <w:r w:rsidRPr="00B17274">
        <w:rPr>
          <w:rFonts w:ascii="Sylfaen" w:hAnsi="Sylfaen"/>
          <w:sz w:val="24"/>
          <w:szCs w:val="24"/>
        </w:rPr>
        <w:tab/>
      </w:r>
      <w:r w:rsidRPr="00834D52">
        <w:rPr>
          <w:rFonts w:ascii="Sylfaen" w:hAnsi="Sylfaen"/>
          <w:sz w:val="24"/>
          <w:szCs w:val="24"/>
        </w:rPr>
        <w:t>Կլինիկական ռեզյումե</w:t>
      </w:r>
    </w:p>
    <w:p w14:paraId="4E0B86BF" w14:textId="77777777" w:rsidR="006F76EB" w:rsidRPr="00834D52" w:rsidRDefault="006F76EB" w:rsidP="002978B0">
      <w:pPr>
        <w:tabs>
          <w:tab w:val="left" w:pos="1134"/>
        </w:tabs>
        <w:spacing w:after="120" w:line="312" w:lineRule="auto"/>
        <w:ind w:left="1701" w:right="-8"/>
        <w:jc w:val="both"/>
        <w:rPr>
          <w:rFonts w:ascii="Sylfaen" w:eastAsia="Times New Roman" w:hAnsi="Sylfaen" w:cs="Times New Roman"/>
          <w:sz w:val="24"/>
          <w:szCs w:val="24"/>
        </w:rPr>
      </w:pPr>
      <w:r w:rsidRPr="00834D52">
        <w:rPr>
          <w:rFonts w:ascii="Sylfaen" w:hAnsi="Sylfaen"/>
          <w:sz w:val="24"/>
          <w:szCs w:val="24"/>
        </w:rPr>
        <w:t xml:space="preserve">կենսադեղագործական հետազոտությունների </w:t>
      </w:r>
      <w:r w:rsidR="00C54D75">
        <w:rPr>
          <w:rFonts w:ascii="Sylfaen" w:hAnsi="Sylfaen"/>
          <w:sz w:val="24"/>
          <w:szCs w:val="24"/>
        </w:rPr>
        <w:t>և</w:t>
      </w:r>
      <w:r w:rsidRPr="00834D52">
        <w:rPr>
          <w:rFonts w:ascii="Sylfaen" w:hAnsi="Sylfaen"/>
          <w:sz w:val="24"/>
          <w:szCs w:val="24"/>
        </w:rPr>
        <w:t xml:space="preserve"> համապատասխան վերլուծական մեթոդների ռեզյումեներ</w:t>
      </w:r>
    </w:p>
    <w:p w14:paraId="2B3D2EDF" w14:textId="77777777" w:rsidR="006F76EB" w:rsidRPr="00834D52" w:rsidRDefault="006F76EB" w:rsidP="002978B0">
      <w:pPr>
        <w:tabs>
          <w:tab w:val="left" w:pos="1134"/>
        </w:tabs>
        <w:spacing w:after="120" w:line="312" w:lineRule="auto"/>
        <w:ind w:left="1701" w:right="-8"/>
        <w:jc w:val="both"/>
        <w:rPr>
          <w:rFonts w:ascii="Sylfaen" w:eastAsia="Times New Roman" w:hAnsi="Sylfaen" w:cs="Times New Roman"/>
          <w:sz w:val="24"/>
          <w:szCs w:val="24"/>
        </w:rPr>
      </w:pPr>
      <w:r w:rsidRPr="00834D52">
        <w:rPr>
          <w:rFonts w:ascii="Sylfaen" w:hAnsi="Sylfaen"/>
          <w:sz w:val="24"/>
          <w:szCs w:val="24"/>
        </w:rPr>
        <w:t>կլինիկական դեղաբանության հետազոտությունների ռեզյումե</w:t>
      </w:r>
    </w:p>
    <w:p w14:paraId="653BE08D" w14:textId="77777777" w:rsidR="006F76EB" w:rsidRPr="00834D52" w:rsidRDefault="006F76EB" w:rsidP="002978B0">
      <w:pPr>
        <w:tabs>
          <w:tab w:val="left" w:pos="1134"/>
        </w:tabs>
        <w:spacing w:after="120" w:line="312" w:lineRule="auto"/>
        <w:ind w:left="1701" w:right="-8"/>
        <w:jc w:val="both"/>
        <w:rPr>
          <w:rFonts w:ascii="Sylfaen" w:eastAsia="Times New Roman" w:hAnsi="Sylfaen" w:cs="Times New Roman"/>
          <w:sz w:val="24"/>
          <w:szCs w:val="24"/>
        </w:rPr>
      </w:pPr>
      <w:r w:rsidRPr="00834D52">
        <w:rPr>
          <w:rFonts w:ascii="Sylfaen" w:hAnsi="Sylfaen"/>
          <w:sz w:val="24"/>
          <w:szCs w:val="24"/>
        </w:rPr>
        <w:t>կլինիկական արդյունավետության ռեզյումե</w:t>
      </w:r>
    </w:p>
    <w:p w14:paraId="45225C43" w14:textId="77777777" w:rsidR="006F76EB" w:rsidRPr="00834D52" w:rsidRDefault="006F76EB" w:rsidP="002978B0">
      <w:pPr>
        <w:tabs>
          <w:tab w:val="left" w:pos="1134"/>
        </w:tabs>
        <w:spacing w:after="120" w:line="312" w:lineRule="auto"/>
        <w:ind w:left="1701" w:right="-8"/>
        <w:jc w:val="both"/>
        <w:rPr>
          <w:rFonts w:ascii="Sylfaen" w:eastAsia="Times New Roman" w:hAnsi="Sylfaen" w:cs="Times New Roman"/>
          <w:sz w:val="24"/>
          <w:szCs w:val="24"/>
        </w:rPr>
      </w:pPr>
      <w:r w:rsidRPr="00834D52">
        <w:rPr>
          <w:rFonts w:ascii="Sylfaen" w:hAnsi="Sylfaen"/>
          <w:sz w:val="24"/>
          <w:szCs w:val="24"/>
        </w:rPr>
        <w:t>կլինիկական անվտանգության ռեզյումե</w:t>
      </w:r>
    </w:p>
    <w:p w14:paraId="523A446A" w14:textId="77777777" w:rsidR="006F76EB" w:rsidRPr="007F5A60" w:rsidRDefault="006F76EB" w:rsidP="002978B0">
      <w:pPr>
        <w:tabs>
          <w:tab w:val="left" w:pos="1134"/>
        </w:tabs>
        <w:spacing w:after="120" w:line="312" w:lineRule="auto"/>
        <w:ind w:left="1701" w:right="-8"/>
        <w:jc w:val="both"/>
        <w:rPr>
          <w:rFonts w:ascii="Sylfaen" w:hAnsi="Sylfaen"/>
          <w:sz w:val="24"/>
          <w:szCs w:val="24"/>
        </w:rPr>
      </w:pPr>
      <w:r w:rsidRPr="00834D52">
        <w:rPr>
          <w:rFonts w:ascii="Sylfaen" w:hAnsi="Sylfaen"/>
          <w:sz w:val="24"/>
          <w:szCs w:val="24"/>
        </w:rPr>
        <w:t xml:space="preserve">առանձին հետազոտությունների </w:t>
      </w:r>
      <w:r w:rsidR="00333236">
        <w:rPr>
          <w:rFonts w:ascii="Sylfaen" w:hAnsi="Sylfaen"/>
          <w:sz w:val="24"/>
          <w:szCs w:val="24"/>
        </w:rPr>
        <w:t>ս</w:t>
      </w:r>
      <w:r w:rsidRPr="00834D52">
        <w:rPr>
          <w:rFonts w:ascii="Sylfaen" w:hAnsi="Sylfaen"/>
          <w:sz w:val="24"/>
          <w:szCs w:val="24"/>
        </w:rPr>
        <w:t>ինոփսիսներ</w:t>
      </w:r>
    </w:p>
    <w:p w14:paraId="205F7AB0"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sidRPr="00834D52">
        <w:rPr>
          <w:rFonts w:ascii="Sylfaen" w:hAnsi="Sylfaen"/>
          <w:sz w:val="24"/>
          <w:szCs w:val="24"/>
        </w:rPr>
        <w:t>Մոդուլ 3.</w:t>
      </w:r>
      <w:r w:rsidRPr="00581D46">
        <w:rPr>
          <w:rFonts w:ascii="Sylfaen" w:hAnsi="Sylfaen"/>
          <w:sz w:val="24"/>
          <w:szCs w:val="24"/>
        </w:rPr>
        <w:tab/>
      </w:r>
      <w:r w:rsidRPr="00834D52">
        <w:rPr>
          <w:rFonts w:ascii="Sylfaen" w:hAnsi="Sylfaen"/>
          <w:sz w:val="24"/>
          <w:szCs w:val="24"/>
        </w:rPr>
        <w:t>Որակ</w:t>
      </w:r>
    </w:p>
    <w:p w14:paraId="09F28629"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3.1.</w:t>
      </w:r>
      <w:r w:rsidRPr="00581D46">
        <w:rPr>
          <w:rFonts w:ascii="Sylfaen" w:hAnsi="Sylfaen"/>
          <w:sz w:val="24"/>
          <w:szCs w:val="24"/>
        </w:rPr>
        <w:tab/>
      </w:r>
      <w:r w:rsidRPr="00834D52">
        <w:rPr>
          <w:rFonts w:ascii="Sylfaen" w:hAnsi="Sylfaen"/>
          <w:sz w:val="24"/>
          <w:szCs w:val="24"/>
        </w:rPr>
        <w:t>3-րդ մոդուլի բովանդակությունը</w:t>
      </w:r>
    </w:p>
    <w:p w14:paraId="38118CAA"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lastRenderedPageBreak/>
        <w:t>3.2.</w:t>
      </w:r>
      <w:r w:rsidRPr="00581D46">
        <w:rPr>
          <w:rFonts w:ascii="Sylfaen" w:hAnsi="Sylfaen"/>
          <w:sz w:val="24"/>
          <w:szCs w:val="24"/>
        </w:rPr>
        <w:tab/>
      </w:r>
      <w:r w:rsidRPr="00834D52">
        <w:rPr>
          <w:rFonts w:ascii="Sylfaen" w:hAnsi="Sylfaen"/>
          <w:sz w:val="24"/>
          <w:szCs w:val="24"/>
        </w:rPr>
        <w:t>Հիմնական տվյալները</w:t>
      </w:r>
    </w:p>
    <w:p w14:paraId="144E3153" w14:textId="77777777" w:rsidR="006F76EB" w:rsidRPr="007F5A60"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3.3.</w:t>
      </w:r>
      <w:r w:rsidRPr="00581D46">
        <w:rPr>
          <w:rFonts w:ascii="Sylfaen" w:hAnsi="Sylfaen"/>
          <w:sz w:val="24"/>
          <w:szCs w:val="24"/>
        </w:rPr>
        <w:tab/>
      </w:r>
      <w:r w:rsidRPr="00834D52">
        <w:rPr>
          <w:rFonts w:ascii="Sylfaen" w:hAnsi="Sylfaen"/>
          <w:sz w:val="24"/>
          <w:szCs w:val="24"/>
        </w:rPr>
        <w:t>Հղումներ գրականությանը</w:t>
      </w:r>
    </w:p>
    <w:p w14:paraId="16C6EF48" w14:textId="77777777" w:rsidR="0047408B" w:rsidRPr="007F5A60" w:rsidRDefault="0047408B" w:rsidP="002978B0">
      <w:pPr>
        <w:tabs>
          <w:tab w:val="left" w:pos="1134"/>
        </w:tabs>
        <w:spacing w:after="120" w:line="312" w:lineRule="auto"/>
        <w:ind w:left="567" w:right="-8"/>
        <w:jc w:val="both"/>
        <w:rPr>
          <w:rFonts w:ascii="Sylfaen" w:hAnsi="Sylfaen"/>
          <w:sz w:val="24"/>
          <w:szCs w:val="24"/>
        </w:rPr>
      </w:pPr>
    </w:p>
    <w:p w14:paraId="68D6647C" w14:textId="77777777" w:rsidR="006F76EB" w:rsidRPr="0047408B" w:rsidRDefault="006F76EB" w:rsidP="002978B0">
      <w:pPr>
        <w:tabs>
          <w:tab w:val="left" w:pos="1134"/>
        </w:tabs>
        <w:spacing w:after="120" w:line="312" w:lineRule="auto"/>
        <w:ind w:right="-8" w:firstLine="567"/>
        <w:jc w:val="both"/>
        <w:rPr>
          <w:rFonts w:ascii="Sylfaen" w:hAnsi="Sylfaen"/>
          <w:sz w:val="24"/>
          <w:szCs w:val="24"/>
        </w:rPr>
      </w:pPr>
      <w:r w:rsidRPr="00834D52">
        <w:rPr>
          <w:rFonts w:ascii="Sylfaen" w:hAnsi="Sylfaen"/>
          <w:sz w:val="24"/>
          <w:szCs w:val="24"/>
        </w:rPr>
        <w:t>Մոդուլ</w:t>
      </w:r>
      <w:r>
        <w:rPr>
          <w:rFonts w:ascii="Sylfaen" w:hAnsi="Sylfaen"/>
          <w:sz w:val="24"/>
          <w:szCs w:val="24"/>
        </w:rPr>
        <w:t xml:space="preserve"> 4.</w:t>
      </w:r>
      <w:r w:rsidRPr="00581D46">
        <w:rPr>
          <w:rFonts w:ascii="Sylfaen" w:hAnsi="Sylfaen"/>
          <w:sz w:val="24"/>
          <w:szCs w:val="24"/>
        </w:rPr>
        <w:tab/>
      </w:r>
      <w:r w:rsidRPr="00834D52">
        <w:rPr>
          <w:rFonts w:ascii="Sylfaen" w:hAnsi="Sylfaen"/>
          <w:sz w:val="24"/>
          <w:szCs w:val="24"/>
        </w:rPr>
        <w:t>Նախակլինիկական հետազոտությունների վերաբերյալ հաշվետվությունները</w:t>
      </w:r>
    </w:p>
    <w:p w14:paraId="03D9E642"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4.1.</w:t>
      </w:r>
      <w:r w:rsidRPr="00581D46">
        <w:rPr>
          <w:rFonts w:ascii="Sylfaen" w:hAnsi="Sylfaen"/>
          <w:sz w:val="24"/>
          <w:szCs w:val="24"/>
        </w:rPr>
        <w:tab/>
      </w:r>
      <w:r w:rsidRPr="00834D52">
        <w:rPr>
          <w:rFonts w:ascii="Sylfaen" w:hAnsi="Sylfaen"/>
          <w:sz w:val="24"/>
          <w:szCs w:val="24"/>
        </w:rPr>
        <w:t>4-րդ մոդուլի բովանդակությունը</w:t>
      </w:r>
    </w:p>
    <w:p w14:paraId="59631318"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sidRPr="00834D52">
        <w:rPr>
          <w:rFonts w:ascii="Sylfaen" w:hAnsi="Sylfaen"/>
          <w:sz w:val="24"/>
          <w:szCs w:val="24"/>
        </w:rPr>
        <w:t>4.2</w:t>
      </w:r>
      <w:r>
        <w:rPr>
          <w:rFonts w:ascii="Sylfaen" w:hAnsi="Sylfaen"/>
          <w:sz w:val="24"/>
          <w:szCs w:val="24"/>
        </w:rPr>
        <w:t>.</w:t>
      </w:r>
      <w:r w:rsidRPr="00581D46">
        <w:rPr>
          <w:rFonts w:ascii="Sylfaen" w:hAnsi="Sylfaen"/>
          <w:sz w:val="24"/>
          <w:szCs w:val="24"/>
        </w:rPr>
        <w:tab/>
      </w:r>
      <w:r w:rsidRPr="00834D52">
        <w:rPr>
          <w:rFonts w:ascii="Sylfaen" w:hAnsi="Sylfaen"/>
          <w:sz w:val="24"/>
          <w:szCs w:val="24"/>
        </w:rPr>
        <w:t>Հետազոտությունների վերաբերյալ հաշվետվությունները</w:t>
      </w:r>
    </w:p>
    <w:p w14:paraId="48E0647F"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4.3.</w:t>
      </w:r>
      <w:r w:rsidRPr="00581D46">
        <w:rPr>
          <w:rFonts w:ascii="Sylfaen" w:hAnsi="Sylfaen"/>
          <w:sz w:val="24"/>
          <w:szCs w:val="24"/>
        </w:rPr>
        <w:tab/>
      </w:r>
      <w:r w:rsidRPr="00834D52">
        <w:rPr>
          <w:rFonts w:ascii="Sylfaen" w:hAnsi="Sylfaen"/>
          <w:sz w:val="24"/>
          <w:szCs w:val="24"/>
        </w:rPr>
        <w:t>Հղումներ գրականությանը</w:t>
      </w:r>
    </w:p>
    <w:p w14:paraId="637C41BD"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sidRPr="00834D52">
        <w:rPr>
          <w:rFonts w:ascii="Sylfaen" w:hAnsi="Sylfaen"/>
          <w:sz w:val="24"/>
          <w:szCs w:val="24"/>
        </w:rPr>
        <w:t>Մոդուլ</w:t>
      </w:r>
      <w:r>
        <w:rPr>
          <w:rFonts w:ascii="Sylfaen" w:hAnsi="Sylfaen"/>
          <w:sz w:val="24"/>
          <w:szCs w:val="24"/>
        </w:rPr>
        <w:t xml:space="preserve"> 5.</w:t>
      </w:r>
      <w:r w:rsidRPr="00581D46">
        <w:rPr>
          <w:rFonts w:ascii="Sylfaen" w:hAnsi="Sylfaen"/>
          <w:sz w:val="24"/>
          <w:szCs w:val="24"/>
        </w:rPr>
        <w:tab/>
      </w:r>
      <w:r w:rsidRPr="00834D52">
        <w:rPr>
          <w:rFonts w:ascii="Sylfaen" w:hAnsi="Sylfaen"/>
          <w:sz w:val="24"/>
          <w:szCs w:val="24"/>
        </w:rPr>
        <w:t>Կլինիկական հետազոտությունների վերաբերյալ հաշվետվությունները</w:t>
      </w:r>
    </w:p>
    <w:p w14:paraId="30F2D530"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sidRPr="00834D52">
        <w:rPr>
          <w:rFonts w:ascii="Sylfaen" w:hAnsi="Sylfaen"/>
          <w:sz w:val="24"/>
          <w:szCs w:val="24"/>
        </w:rPr>
        <w:t>5.1.</w:t>
      </w:r>
      <w:r w:rsidRPr="00581D46">
        <w:rPr>
          <w:rFonts w:ascii="Sylfaen" w:hAnsi="Sylfaen"/>
          <w:sz w:val="24"/>
          <w:szCs w:val="24"/>
        </w:rPr>
        <w:tab/>
      </w:r>
      <w:r w:rsidRPr="00834D52">
        <w:rPr>
          <w:rFonts w:ascii="Sylfaen" w:hAnsi="Sylfaen"/>
          <w:sz w:val="24"/>
          <w:szCs w:val="24"/>
        </w:rPr>
        <w:t>5-րդ մոդուլի բովանդակությունը</w:t>
      </w:r>
    </w:p>
    <w:p w14:paraId="6EE970FF"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sidRPr="00834D52">
        <w:rPr>
          <w:rFonts w:ascii="Sylfaen" w:hAnsi="Sylfaen"/>
          <w:sz w:val="24"/>
          <w:szCs w:val="24"/>
        </w:rPr>
        <w:t>5.2.</w:t>
      </w:r>
      <w:r w:rsidRPr="00581D46">
        <w:rPr>
          <w:rFonts w:ascii="Sylfaen" w:hAnsi="Sylfaen"/>
          <w:sz w:val="24"/>
          <w:szCs w:val="24"/>
        </w:rPr>
        <w:tab/>
      </w:r>
      <w:r w:rsidRPr="00834D52">
        <w:rPr>
          <w:rFonts w:ascii="Sylfaen" w:hAnsi="Sylfaen"/>
          <w:sz w:val="24"/>
          <w:szCs w:val="24"/>
        </w:rPr>
        <w:t>Բոլոր կլինիկական հետազոտությունների աղյուսակային ցանկը</w:t>
      </w:r>
    </w:p>
    <w:p w14:paraId="0CA0C952" w14:textId="77777777" w:rsidR="006F76EB" w:rsidRPr="0047408B"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5.3.</w:t>
      </w:r>
      <w:r w:rsidRPr="00581D46">
        <w:rPr>
          <w:rFonts w:ascii="Sylfaen" w:hAnsi="Sylfaen"/>
          <w:sz w:val="24"/>
          <w:szCs w:val="24"/>
        </w:rPr>
        <w:tab/>
      </w:r>
      <w:r w:rsidRPr="00834D52">
        <w:rPr>
          <w:rFonts w:ascii="Sylfaen" w:hAnsi="Sylfaen"/>
          <w:sz w:val="24"/>
          <w:szCs w:val="24"/>
        </w:rPr>
        <w:t>Կլինիկական հետազոտությունների վերաբերյալ հաշվետվությունները</w:t>
      </w:r>
    </w:p>
    <w:p w14:paraId="0F580ACF" w14:textId="77777777" w:rsidR="006F76EB" w:rsidRPr="00834D52" w:rsidRDefault="006F76EB" w:rsidP="002978B0">
      <w:pPr>
        <w:tabs>
          <w:tab w:val="left" w:pos="1134"/>
        </w:tabs>
        <w:spacing w:after="120" w:line="312" w:lineRule="auto"/>
        <w:ind w:left="567" w:right="-8"/>
        <w:jc w:val="both"/>
        <w:rPr>
          <w:rFonts w:ascii="Sylfaen" w:hAnsi="Sylfaen"/>
          <w:sz w:val="24"/>
          <w:szCs w:val="24"/>
        </w:rPr>
      </w:pPr>
      <w:r>
        <w:rPr>
          <w:rFonts w:ascii="Sylfaen" w:hAnsi="Sylfaen"/>
          <w:sz w:val="24"/>
          <w:szCs w:val="24"/>
        </w:rPr>
        <w:t>5.4.</w:t>
      </w:r>
      <w:r w:rsidRPr="00581D46">
        <w:rPr>
          <w:rFonts w:ascii="Sylfaen" w:hAnsi="Sylfaen"/>
          <w:sz w:val="24"/>
          <w:szCs w:val="24"/>
        </w:rPr>
        <w:tab/>
      </w:r>
      <w:r w:rsidRPr="00834D52">
        <w:rPr>
          <w:rFonts w:ascii="Sylfaen" w:hAnsi="Sylfaen"/>
          <w:sz w:val="24"/>
          <w:szCs w:val="24"/>
        </w:rPr>
        <w:t>Հղումներ գրականությանը</w:t>
      </w:r>
    </w:p>
    <w:p w14:paraId="3FA36DA2" w14:textId="77777777" w:rsidR="008C76E0" w:rsidRPr="00F06D43" w:rsidRDefault="008C76E0">
      <w:pPr>
        <w:widowControl/>
        <w:rPr>
          <w:rFonts w:ascii="Sylfaen" w:hAnsi="Sylfaen"/>
          <w:sz w:val="24"/>
          <w:szCs w:val="24"/>
        </w:rPr>
      </w:pPr>
    </w:p>
    <w:p w14:paraId="7BB1AFCC" w14:textId="77777777" w:rsidR="002978B0" w:rsidRDefault="002978B0">
      <w:pPr>
        <w:widowControl/>
        <w:rPr>
          <w:rFonts w:ascii="Sylfaen" w:hAnsi="Sylfaen"/>
          <w:sz w:val="24"/>
          <w:szCs w:val="24"/>
        </w:rPr>
      </w:pPr>
      <w:r>
        <w:rPr>
          <w:rFonts w:ascii="Sylfaen" w:hAnsi="Sylfaen"/>
          <w:sz w:val="24"/>
          <w:szCs w:val="24"/>
        </w:rPr>
        <w:br w:type="page"/>
      </w:r>
    </w:p>
    <w:p w14:paraId="6AB21E0B" w14:textId="77777777" w:rsidR="008C76E0" w:rsidRPr="00BD7577" w:rsidRDefault="008C76E0" w:rsidP="00297352">
      <w:pPr>
        <w:spacing w:after="160" w:line="360" w:lineRule="auto"/>
        <w:ind w:left="567" w:right="566"/>
        <w:jc w:val="center"/>
        <w:rPr>
          <w:rFonts w:ascii="Sylfaen" w:eastAsia="Times New Roman" w:hAnsi="Sylfaen" w:cs="Times New Roman"/>
          <w:sz w:val="24"/>
          <w:szCs w:val="24"/>
        </w:rPr>
      </w:pPr>
      <w:r w:rsidRPr="00BD7577">
        <w:rPr>
          <w:rFonts w:ascii="Sylfaen" w:hAnsi="Sylfaen"/>
          <w:sz w:val="24"/>
          <w:szCs w:val="24"/>
        </w:rPr>
        <w:lastRenderedPageBreak/>
        <w:t>VII. Պարզաբանում՝ գրանցման դոսյեի փաստաթղթերի տեղակայման</w:t>
      </w:r>
      <w:r w:rsidRPr="008C76E0">
        <w:rPr>
          <w:rFonts w:ascii="Sylfaen" w:hAnsi="Sylfaen"/>
          <w:sz w:val="24"/>
          <w:szCs w:val="24"/>
        </w:rPr>
        <w:t> </w:t>
      </w:r>
      <w:r w:rsidRPr="00BD7577">
        <w:rPr>
          <w:rFonts w:ascii="Sylfaen" w:hAnsi="Sylfaen"/>
          <w:sz w:val="24"/>
          <w:szCs w:val="24"/>
        </w:rPr>
        <w:t>վերաբերյալ</w:t>
      </w:r>
    </w:p>
    <w:p w14:paraId="4E376C6E" w14:textId="77777777" w:rsidR="008C76E0" w:rsidRPr="00BD7577" w:rsidRDefault="008C76E0" w:rsidP="00297352">
      <w:pPr>
        <w:spacing w:after="160" w:line="360" w:lineRule="auto"/>
        <w:rPr>
          <w:rFonts w:ascii="Sylfaen" w:hAnsi="Sylfaen"/>
          <w:sz w:val="24"/>
          <w:szCs w:val="24"/>
        </w:rPr>
      </w:pPr>
    </w:p>
    <w:p w14:paraId="3F478909" w14:textId="77777777" w:rsidR="008C76E0" w:rsidRPr="00BD7577" w:rsidRDefault="008C76E0" w:rsidP="00297352">
      <w:pPr>
        <w:spacing w:after="160" w:line="360" w:lineRule="auto"/>
        <w:ind w:left="567" w:right="566"/>
        <w:jc w:val="center"/>
        <w:rPr>
          <w:rFonts w:ascii="Sylfaen" w:eastAsia="Times New Roman" w:hAnsi="Sylfaen" w:cs="Times New Roman"/>
          <w:sz w:val="24"/>
          <w:szCs w:val="24"/>
        </w:rPr>
      </w:pPr>
      <w:r w:rsidRPr="00BD7577">
        <w:rPr>
          <w:rFonts w:ascii="Sylfaen" w:hAnsi="Sylfaen"/>
          <w:sz w:val="24"/>
          <w:szCs w:val="24"/>
        </w:rPr>
        <w:t>1. Փաստաթղթի սահմանումը</w:t>
      </w:r>
    </w:p>
    <w:p w14:paraId="3660E647" w14:textId="77777777" w:rsidR="008C76E0" w:rsidRPr="00BD7577" w:rsidRDefault="008C76E0" w:rsidP="00297352">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 xml:space="preserve">Փաստաթղթերը թղթային կրիչով ներկայացնելիս` փաստաթուղթ ասելով հասկանում ենք հաջորդականորեն համարակալված </w:t>
      </w:r>
      <w:r w:rsidR="00C54D75">
        <w:rPr>
          <w:rFonts w:ascii="Sylfaen" w:hAnsi="Sylfaen"/>
          <w:sz w:val="24"/>
          <w:szCs w:val="24"/>
        </w:rPr>
        <w:t>և</w:t>
      </w:r>
      <w:r w:rsidRPr="00BD7577">
        <w:rPr>
          <w:rFonts w:ascii="Sylfaen" w:hAnsi="Sylfaen"/>
          <w:sz w:val="24"/>
          <w:szCs w:val="24"/>
        </w:rPr>
        <w:t xml:space="preserve"> մյուս փաստաթղթերից </w:t>
      </w:r>
      <w:r w:rsidRPr="00BD7577">
        <w:rPr>
          <w:rFonts w:ascii="Sylfaen" w:hAnsi="Sylfaen"/>
          <w:spacing w:val="-6"/>
          <w:sz w:val="24"/>
          <w:szCs w:val="24"/>
        </w:rPr>
        <w:t>բաժանիչի միջոցով բաժանված բազմաթիվ էջեր (տե՛ս Կանոնների թիվ 4 հավելվածում «Փաստաթղթերի</w:t>
      </w:r>
      <w:r w:rsidRPr="00BD7577">
        <w:rPr>
          <w:rFonts w:ascii="Sylfaen" w:hAnsi="Sylfaen"/>
          <w:sz w:val="24"/>
          <w:szCs w:val="24"/>
        </w:rPr>
        <w:t xml:space="preserve"> համարակալում </w:t>
      </w:r>
      <w:r w:rsidR="00C54D75">
        <w:rPr>
          <w:rFonts w:ascii="Sylfaen" w:hAnsi="Sylfaen"/>
          <w:sz w:val="24"/>
          <w:szCs w:val="24"/>
        </w:rPr>
        <w:t>և</w:t>
      </w:r>
      <w:r w:rsidRPr="00BD7577">
        <w:rPr>
          <w:rFonts w:ascii="Sylfaen" w:hAnsi="Sylfaen"/>
          <w:sz w:val="24"/>
          <w:szCs w:val="24"/>
        </w:rPr>
        <w:t xml:space="preserve"> բաժանում» բաժինը): Էլեկտրոնային կրիչով ներկայացնելիս փաստաթուղթը կարող է հավասարեցվել ֆայլի: Փաստաթղթերը թղթային </w:t>
      </w:r>
      <w:r w:rsidR="00C54D75">
        <w:rPr>
          <w:rFonts w:ascii="Sylfaen" w:hAnsi="Sylfaen"/>
          <w:sz w:val="24"/>
          <w:szCs w:val="24"/>
        </w:rPr>
        <w:t>և</w:t>
      </w:r>
      <w:r w:rsidRPr="00BD7577">
        <w:rPr>
          <w:rFonts w:ascii="Sylfaen" w:hAnsi="Sylfaen"/>
          <w:sz w:val="24"/>
          <w:szCs w:val="24"/>
        </w:rPr>
        <w:t xml:space="preserve"> (կամ) էլեկտրոնային կրիչով ներկայացնելիս մանրամասնեցումը պետք է միանման լինի, սակայն թղթային դոսյեն էլեկտրոնայինից առաջ վերափոխելիս մանրամասնեցման մեջ կարող են որոշակի փոփոխություններ պահանջվել՝ կապված կենսական պարբերաշրջանի շարունակական կառավարման հետ: Փաստաթղթերն էլեկտրոնային կրիչով ներկայացնելիս նոր ֆայլը պետք է սկսվի այն նույն տեղից, որտեղից թղթային դոսյեում փաստաթղթերը բաժանված են բաժանիչներով: </w:t>
      </w:r>
    </w:p>
    <w:p w14:paraId="3E6EFAA0" w14:textId="77777777" w:rsidR="008C76E0" w:rsidRPr="00BD7577" w:rsidRDefault="008C76E0" w:rsidP="00297352">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Մեկ կամ մի քանի փաստաթղթերի կամ ֆայլերի տեղին լինելը որոշելիս անհրաժեշտ է հաշվի առնել, որ մոտեցումներից որ</w:t>
      </w:r>
      <w:r w:rsidR="00C54D75">
        <w:rPr>
          <w:rFonts w:ascii="Sylfaen" w:hAnsi="Sylfaen"/>
          <w:sz w:val="24"/>
          <w:szCs w:val="24"/>
        </w:rPr>
        <w:t>և</w:t>
      </w:r>
      <w:r w:rsidRPr="00BD7577">
        <w:rPr>
          <w:rFonts w:ascii="Sylfaen" w:hAnsi="Sylfaen"/>
          <w:sz w:val="24"/>
          <w:szCs w:val="24"/>
        </w:rPr>
        <w:t>է մեկն ընտրելու դեպքում անհրաժեշտ է դրան հետ</w:t>
      </w:r>
      <w:r w:rsidR="00C54D75">
        <w:rPr>
          <w:rFonts w:ascii="Sylfaen" w:hAnsi="Sylfaen"/>
          <w:sz w:val="24"/>
          <w:szCs w:val="24"/>
        </w:rPr>
        <w:t>և</w:t>
      </w:r>
      <w:r w:rsidRPr="00BD7577">
        <w:rPr>
          <w:rFonts w:ascii="Sylfaen" w:hAnsi="Sylfaen"/>
          <w:sz w:val="24"/>
          <w:szCs w:val="24"/>
        </w:rPr>
        <w:t>ել դոսյեի կենսական պարբերաշրջանի տ</w:t>
      </w:r>
      <w:r w:rsidR="00C54D75">
        <w:rPr>
          <w:rFonts w:ascii="Sylfaen" w:hAnsi="Sylfaen"/>
          <w:sz w:val="24"/>
          <w:szCs w:val="24"/>
        </w:rPr>
        <w:t>և</w:t>
      </w:r>
      <w:r w:rsidRPr="00BD7577">
        <w:rPr>
          <w:rFonts w:ascii="Sylfaen" w:hAnsi="Sylfaen"/>
          <w:sz w:val="24"/>
          <w:szCs w:val="24"/>
        </w:rPr>
        <w:t xml:space="preserve">ողության ամբողջ ընթացքում, քանի որ տեղեկությունների փոփոխության դեպքում փաստաթղթերը (ֆայլերը) անհրաժեշտ է ամբողջությամբ փոխարինել: </w:t>
      </w:r>
    </w:p>
    <w:p w14:paraId="429194E1" w14:textId="77777777" w:rsidR="008C76E0" w:rsidRPr="00BD7577" w:rsidRDefault="008C76E0" w:rsidP="00297352">
      <w:pPr>
        <w:spacing w:after="160" w:line="360" w:lineRule="auto"/>
        <w:ind w:right="-1" w:firstLine="567"/>
        <w:jc w:val="both"/>
        <w:rPr>
          <w:rFonts w:ascii="Sylfaen" w:eastAsia="Times New Roman" w:hAnsi="Sylfaen" w:cs="Times New Roman"/>
          <w:sz w:val="24"/>
          <w:szCs w:val="24"/>
        </w:rPr>
      </w:pPr>
      <w:r w:rsidRPr="00BD7577">
        <w:rPr>
          <w:rFonts w:ascii="Sylfaen" w:hAnsi="Sylfaen"/>
          <w:spacing w:val="-4"/>
          <w:sz w:val="24"/>
          <w:szCs w:val="24"/>
        </w:rPr>
        <w:t>Ստոր</w:t>
      </w:r>
      <w:r w:rsidR="00C54D75">
        <w:rPr>
          <w:rFonts w:ascii="Sylfaen" w:hAnsi="Sylfaen"/>
          <w:spacing w:val="-4"/>
          <w:sz w:val="24"/>
          <w:szCs w:val="24"/>
        </w:rPr>
        <w:t>և</w:t>
      </w:r>
      <w:r w:rsidRPr="00BD7577">
        <w:rPr>
          <w:rFonts w:ascii="Sylfaen" w:hAnsi="Sylfaen"/>
          <w:spacing w:val="-4"/>
          <w:sz w:val="24"/>
          <w:szCs w:val="24"/>
        </w:rPr>
        <w:t xml:space="preserve"> ներկայացված աղյուսակները նկարագրում են ԸՏՓ-ի </w:t>
      </w:r>
      <w:r w:rsidR="00C54D75">
        <w:rPr>
          <w:rFonts w:ascii="Sylfaen" w:hAnsi="Sylfaen"/>
          <w:spacing w:val="-4"/>
          <w:sz w:val="24"/>
          <w:szCs w:val="24"/>
        </w:rPr>
        <w:t>և</w:t>
      </w:r>
      <w:r w:rsidRPr="00BD7577">
        <w:rPr>
          <w:rFonts w:ascii="Sylfaen" w:hAnsi="Sylfaen"/>
          <w:spacing w:val="-4"/>
          <w:sz w:val="24"/>
          <w:szCs w:val="24"/>
        </w:rPr>
        <w:t xml:space="preserve"> (կամ) էԸՏՓ-ի ստորակարգության</w:t>
      </w:r>
      <w:r w:rsidRPr="00BD7577">
        <w:rPr>
          <w:rFonts w:ascii="Sylfaen" w:hAnsi="Sylfaen"/>
          <w:sz w:val="24"/>
          <w:szCs w:val="24"/>
        </w:rPr>
        <w:t xml:space="preserve"> այն մակարդակները, որոնց վրա հարկ է տեղադրել փաստաթղթերը (ֆայլերը), ինչպես նա</w:t>
      </w:r>
      <w:r w:rsidR="00C54D75">
        <w:rPr>
          <w:rFonts w:ascii="Sylfaen" w:hAnsi="Sylfaen"/>
          <w:sz w:val="24"/>
          <w:szCs w:val="24"/>
        </w:rPr>
        <w:t>և</w:t>
      </w:r>
      <w:r w:rsidRPr="00BD7577">
        <w:rPr>
          <w:rFonts w:ascii="Sylfaen" w:hAnsi="Sylfaen"/>
          <w:sz w:val="24"/>
          <w:szCs w:val="24"/>
        </w:rPr>
        <w:t xml:space="preserve"> յուրաքանչյուր տեղում մեկ կամ մի քանի փաստաթղթերի անհրաժեշտությունը: Նկարագրվել են ԸՏՓ-ի </w:t>
      </w:r>
      <w:r w:rsidR="00C54D75">
        <w:rPr>
          <w:rFonts w:ascii="Sylfaen" w:hAnsi="Sylfaen"/>
          <w:sz w:val="24"/>
          <w:szCs w:val="24"/>
        </w:rPr>
        <w:t>և</w:t>
      </w:r>
      <w:r w:rsidRPr="00BD7577">
        <w:rPr>
          <w:rFonts w:ascii="Sylfaen" w:hAnsi="Sylfaen"/>
          <w:sz w:val="24"/>
          <w:szCs w:val="24"/>
        </w:rPr>
        <w:t xml:space="preserve"> (կամ) էԸՏՓ-ի բոլոր բաժինները, սակայն ոչ բոլոր բաժինները կարող են կիրառվել առանձին դոսյեների համար:</w:t>
      </w:r>
    </w:p>
    <w:p w14:paraId="660963E3" w14:textId="77777777" w:rsidR="00827A4D" w:rsidRPr="00E15E7D" w:rsidRDefault="00827A4D">
      <w:pPr>
        <w:widowControl/>
        <w:rPr>
          <w:rFonts w:ascii="Sylfaen" w:eastAsia="Times New Roman" w:hAnsi="Sylfaen" w:cs="Times New Roman"/>
          <w:sz w:val="24"/>
          <w:szCs w:val="24"/>
        </w:rPr>
        <w:sectPr w:rsidR="00827A4D" w:rsidRPr="00E15E7D" w:rsidSect="00450D30">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39" w:code="9"/>
          <w:pgMar w:top="1418" w:right="1418" w:bottom="1418" w:left="1418" w:header="0" w:footer="693" w:gutter="0"/>
          <w:pgNumType w:start="1"/>
          <w:cols w:space="720"/>
          <w:noEndnote/>
          <w:titlePg/>
          <w:docGrid w:linePitch="360"/>
        </w:sectPr>
      </w:pPr>
    </w:p>
    <w:p w14:paraId="1149E7BD" w14:textId="77777777" w:rsidR="00827A4D" w:rsidRPr="00827A4D" w:rsidRDefault="008C76E0" w:rsidP="00827A4D">
      <w:pPr>
        <w:tabs>
          <w:tab w:val="left" w:pos="1134"/>
        </w:tabs>
        <w:ind w:right="39" w:firstLine="567"/>
        <w:jc w:val="both"/>
        <w:rPr>
          <w:rFonts w:ascii="Sylfaen" w:hAnsi="Sylfaen"/>
          <w:sz w:val="24"/>
          <w:szCs w:val="24"/>
          <w:lang w:val="en-US"/>
        </w:rPr>
      </w:pPr>
      <w:r>
        <w:rPr>
          <w:rFonts w:ascii="Sylfaen" w:eastAsia="Times New Roman" w:hAnsi="Sylfaen" w:cs="Times New Roman"/>
          <w:sz w:val="24"/>
          <w:szCs w:val="24"/>
          <w:lang w:val="en-US"/>
        </w:rPr>
        <w:lastRenderedPageBreak/>
        <w:t>2.</w:t>
      </w:r>
      <w:r>
        <w:rPr>
          <w:rFonts w:ascii="Sylfaen" w:eastAsia="Times New Roman" w:hAnsi="Sylfaen" w:cs="Times New Roman"/>
          <w:sz w:val="24"/>
          <w:szCs w:val="24"/>
          <w:lang w:val="en-US"/>
        </w:rPr>
        <w:tab/>
      </w:r>
      <w:r w:rsidRPr="00BD7577">
        <w:rPr>
          <w:rFonts w:ascii="Sylfaen" w:hAnsi="Sylfaen"/>
          <w:sz w:val="24"/>
          <w:szCs w:val="24"/>
        </w:rPr>
        <w:t>Մոդուլ 2</w:t>
      </w:r>
    </w:p>
    <w:tbl>
      <w:tblPr>
        <w:tblW w:w="9571" w:type="dxa"/>
        <w:jc w:val="center"/>
        <w:tblLayout w:type="fixed"/>
        <w:tblCellMar>
          <w:left w:w="0" w:type="dxa"/>
          <w:right w:w="0" w:type="dxa"/>
        </w:tblCellMar>
        <w:tblLook w:val="01E0" w:firstRow="1" w:lastRow="1" w:firstColumn="1" w:lastColumn="1" w:noHBand="0" w:noVBand="0"/>
      </w:tblPr>
      <w:tblGrid>
        <w:gridCol w:w="1351"/>
        <w:gridCol w:w="1752"/>
        <w:gridCol w:w="2453"/>
        <w:gridCol w:w="4015"/>
      </w:tblGrid>
      <w:tr w:rsidR="008C76E0" w:rsidRPr="00BD7577" w14:paraId="71BCCA26" w14:textId="77777777" w:rsidTr="00827A4D">
        <w:trPr>
          <w:jc w:val="center"/>
        </w:trPr>
        <w:tc>
          <w:tcPr>
            <w:tcW w:w="1351" w:type="dxa"/>
            <w:vMerge w:val="restart"/>
            <w:tcBorders>
              <w:top w:val="single" w:sz="4" w:space="0" w:color="000000"/>
              <w:left w:val="single" w:sz="4" w:space="0" w:color="000000"/>
              <w:right w:val="single" w:sz="4" w:space="0" w:color="000000"/>
            </w:tcBorders>
          </w:tcPr>
          <w:p w14:paraId="5B4C033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Մոդուլ 2</w:t>
            </w:r>
          </w:p>
        </w:tc>
        <w:tc>
          <w:tcPr>
            <w:tcW w:w="1752" w:type="dxa"/>
            <w:tcBorders>
              <w:top w:val="single" w:sz="4" w:space="0" w:color="000000"/>
              <w:left w:val="single" w:sz="4" w:space="0" w:color="000000"/>
              <w:bottom w:val="single" w:sz="4" w:space="0" w:color="000000"/>
              <w:right w:val="single" w:sz="4" w:space="0" w:color="000000"/>
            </w:tcBorders>
          </w:tcPr>
          <w:p w14:paraId="0E235E39"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2.1</w:t>
            </w:r>
          </w:p>
        </w:tc>
        <w:tc>
          <w:tcPr>
            <w:tcW w:w="6468" w:type="dxa"/>
            <w:gridSpan w:val="2"/>
            <w:tcBorders>
              <w:top w:val="single" w:sz="4" w:space="0" w:color="000000"/>
              <w:left w:val="single" w:sz="4" w:space="0" w:color="000000"/>
              <w:bottom w:val="single" w:sz="4" w:space="0" w:color="000000"/>
              <w:right w:val="single" w:sz="4" w:space="0" w:color="000000"/>
            </w:tcBorders>
          </w:tcPr>
          <w:p w14:paraId="7DE26800" w14:textId="77777777" w:rsidR="008C76E0" w:rsidRPr="00BD7577" w:rsidRDefault="008C76E0" w:rsidP="008C76E0">
            <w:pPr>
              <w:spacing w:after="120" w:line="240" w:lineRule="auto"/>
              <w:rPr>
                <w:rFonts w:ascii="Sylfaen" w:hAnsi="Sylfaen"/>
                <w:sz w:val="24"/>
                <w:szCs w:val="24"/>
              </w:rPr>
            </w:pPr>
          </w:p>
        </w:tc>
      </w:tr>
      <w:tr w:rsidR="008C76E0" w:rsidRPr="00BD7577" w14:paraId="6615DA2C" w14:textId="77777777" w:rsidTr="00827A4D">
        <w:trPr>
          <w:jc w:val="center"/>
        </w:trPr>
        <w:tc>
          <w:tcPr>
            <w:tcW w:w="1351" w:type="dxa"/>
            <w:vMerge/>
            <w:tcBorders>
              <w:left w:val="single" w:sz="4" w:space="0" w:color="000000"/>
              <w:right w:val="single" w:sz="4" w:space="0" w:color="000000"/>
            </w:tcBorders>
          </w:tcPr>
          <w:p w14:paraId="72A40146" w14:textId="77777777" w:rsidR="008C76E0" w:rsidRPr="00BD7577" w:rsidRDefault="008C76E0" w:rsidP="008C76E0">
            <w:pPr>
              <w:spacing w:after="120" w:line="240" w:lineRule="auto"/>
              <w:rPr>
                <w:rFonts w:ascii="Sylfaen" w:hAnsi="Sylfaen"/>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ECECEC"/>
          </w:tcPr>
          <w:p w14:paraId="18D1C2CF"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2.2</w:t>
            </w:r>
          </w:p>
        </w:tc>
        <w:tc>
          <w:tcPr>
            <w:tcW w:w="2453" w:type="dxa"/>
            <w:tcBorders>
              <w:top w:val="single" w:sz="4" w:space="0" w:color="000000"/>
              <w:left w:val="single" w:sz="4" w:space="0" w:color="000000"/>
              <w:bottom w:val="single" w:sz="4" w:space="0" w:color="000000"/>
              <w:right w:val="single" w:sz="4" w:space="0" w:color="000000"/>
            </w:tcBorders>
          </w:tcPr>
          <w:p w14:paraId="422B33B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Ներածություն</w:t>
            </w:r>
          </w:p>
        </w:tc>
        <w:tc>
          <w:tcPr>
            <w:tcW w:w="4015" w:type="dxa"/>
            <w:tcBorders>
              <w:top w:val="single" w:sz="4" w:space="0" w:color="000000"/>
              <w:left w:val="single" w:sz="4" w:space="0" w:color="000000"/>
              <w:bottom w:val="single" w:sz="4" w:space="0" w:color="000000"/>
              <w:right w:val="single" w:sz="4" w:space="0" w:color="000000"/>
            </w:tcBorders>
          </w:tcPr>
          <w:p w14:paraId="0E6C26B6" w14:textId="77777777" w:rsidR="008C76E0" w:rsidRPr="00BD7577" w:rsidRDefault="008C76E0" w:rsidP="008C76E0">
            <w:pPr>
              <w:spacing w:after="120" w:line="240" w:lineRule="auto"/>
              <w:rPr>
                <w:rFonts w:ascii="Sylfaen" w:hAnsi="Sylfaen"/>
                <w:sz w:val="24"/>
                <w:szCs w:val="24"/>
              </w:rPr>
            </w:pPr>
          </w:p>
        </w:tc>
      </w:tr>
      <w:tr w:rsidR="008C76E0" w:rsidRPr="00BD7577" w14:paraId="30C0976A" w14:textId="77777777" w:rsidTr="00827A4D">
        <w:trPr>
          <w:jc w:val="center"/>
        </w:trPr>
        <w:tc>
          <w:tcPr>
            <w:tcW w:w="1351" w:type="dxa"/>
            <w:vMerge/>
            <w:tcBorders>
              <w:left w:val="single" w:sz="4" w:space="0" w:color="000000"/>
              <w:right w:val="single" w:sz="4" w:space="0" w:color="000000"/>
            </w:tcBorders>
          </w:tcPr>
          <w:p w14:paraId="6F5FC3D1" w14:textId="77777777" w:rsidR="008C76E0" w:rsidRPr="00BD7577" w:rsidRDefault="008C76E0" w:rsidP="008C76E0">
            <w:pPr>
              <w:spacing w:after="120" w:line="240" w:lineRule="auto"/>
              <w:rPr>
                <w:rFonts w:ascii="Sylfaen" w:hAnsi="Sylfaen"/>
                <w:sz w:val="24"/>
                <w:szCs w:val="24"/>
              </w:rPr>
            </w:pPr>
          </w:p>
        </w:tc>
        <w:tc>
          <w:tcPr>
            <w:tcW w:w="1752" w:type="dxa"/>
            <w:vMerge w:val="restart"/>
            <w:tcBorders>
              <w:top w:val="single" w:sz="4" w:space="0" w:color="000000"/>
              <w:left w:val="single" w:sz="4" w:space="0" w:color="000000"/>
              <w:right w:val="single" w:sz="4" w:space="0" w:color="000000"/>
            </w:tcBorders>
            <w:shd w:val="clear" w:color="auto" w:fill="ECECEC"/>
          </w:tcPr>
          <w:p w14:paraId="47E8101A" w14:textId="77777777" w:rsidR="008C76E0" w:rsidRPr="00827A4D" w:rsidRDefault="008C76E0" w:rsidP="00827A4D">
            <w:pPr>
              <w:spacing w:after="120" w:line="240" w:lineRule="auto"/>
              <w:ind w:left="100" w:right="-20"/>
              <w:rPr>
                <w:rFonts w:ascii="Sylfaen" w:eastAsia="Times New Roman" w:hAnsi="Sylfaen" w:cs="Times New Roman"/>
                <w:sz w:val="24"/>
                <w:szCs w:val="24"/>
                <w:lang w:val="en-US"/>
              </w:rPr>
            </w:pPr>
            <w:r w:rsidRPr="004F6471">
              <w:rPr>
                <w:rFonts w:ascii="Sylfaen" w:hAnsi="Sylfaen"/>
                <w:sz w:val="24"/>
                <w:szCs w:val="24"/>
              </w:rPr>
              <w:t>2.3</w:t>
            </w:r>
            <w:r w:rsidR="00827A4D" w:rsidRPr="004F6471">
              <w:rPr>
                <w:rStyle w:val="FootnoteReference"/>
                <w:rFonts w:ascii="Sylfaen" w:hAnsi="Sylfaen"/>
                <w:sz w:val="24"/>
                <w:szCs w:val="24"/>
              </w:rPr>
              <w:footnoteReference w:id="28"/>
            </w:r>
          </w:p>
        </w:tc>
        <w:tc>
          <w:tcPr>
            <w:tcW w:w="2453" w:type="dxa"/>
            <w:vMerge w:val="restart"/>
            <w:tcBorders>
              <w:top w:val="single" w:sz="4" w:space="0" w:color="000000"/>
              <w:left w:val="single" w:sz="4" w:space="0" w:color="000000"/>
              <w:right w:val="single" w:sz="4" w:space="0" w:color="000000"/>
            </w:tcBorders>
          </w:tcPr>
          <w:p w14:paraId="2CBE93EE" w14:textId="77777777" w:rsidR="008C76E0" w:rsidRPr="00827A4D" w:rsidRDefault="008C76E0" w:rsidP="00827A4D">
            <w:pPr>
              <w:spacing w:after="120" w:line="240" w:lineRule="auto"/>
              <w:ind w:left="102" w:right="-20"/>
              <w:rPr>
                <w:rFonts w:ascii="Sylfaen" w:eastAsia="Times New Roman" w:hAnsi="Sylfaen" w:cs="Times New Roman"/>
                <w:sz w:val="24"/>
                <w:szCs w:val="24"/>
                <w:lang w:val="en-US"/>
              </w:rPr>
            </w:pPr>
            <w:r w:rsidRPr="004F6471">
              <w:rPr>
                <w:rFonts w:ascii="Sylfaen" w:hAnsi="Sylfaen"/>
                <w:sz w:val="24"/>
                <w:szCs w:val="24"/>
              </w:rPr>
              <w:t>2.3.S</w:t>
            </w:r>
            <w:r w:rsidR="00827A4D" w:rsidRPr="004F6471">
              <w:rPr>
                <w:rStyle w:val="FootnoteReference"/>
                <w:rFonts w:ascii="Sylfaen" w:hAnsi="Sylfaen"/>
                <w:sz w:val="24"/>
                <w:szCs w:val="24"/>
              </w:rPr>
              <w:footnoteReference w:id="29"/>
            </w: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263DED2D"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2.3.S.1</w:t>
            </w:r>
          </w:p>
        </w:tc>
      </w:tr>
      <w:tr w:rsidR="008C76E0" w:rsidRPr="00BD7577" w14:paraId="571556A0" w14:textId="77777777" w:rsidTr="00827A4D">
        <w:trPr>
          <w:jc w:val="center"/>
        </w:trPr>
        <w:tc>
          <w:tcPr>
            <w:tcW w:w="1351" w:type="dxa"/>
            <w:vMerge/>
            <w:tcBorders>
              <w:left w:val="single" w:sz="4" w:space="0" w:color="000000"/>
              <w:right w:val="single" w:sz="4" w:space="0" w:color="000000"/>
            </w:tcBorders>
          </w:tcPr>
          <w:p w14:paraId="677D7C98"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5421D12C"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30626BCA"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4ACDDFF3"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2.3.S.2</w:t>
            </w:r>
          </w:p>
        </w:tc>
      </w:tr>
      <w:tr w:rsidR="008C76E0" w:rsidRPr="00BD7577" w14:paraId="1B5CED6A" w14:textId="77777777" w:rsidTr="00827A4D">
        <w:trPr>
          <w:jc w:val="center"/>
        </w:trPr>
        <w:tc>
          <w:tcPr>
            <w:tcW w:w="1351" w:type="dxa"/>
            <w:vMerge/>
            <w:tcBorders>
              <w:left w:val="single" w:sz="4" w:space="0" w:color="000000"/>
              <w:right w:val="single" w:sz="4" w:space="0" w:color="000000"/>
            </w:tcBorders>
          </w:tcPr>
          <w:p w14:paraId="68A920CC"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3B5C28CC"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5995E928"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671E9592"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2.3.S.3</w:t>
            </w:r>
          </w:p>
        </w:tc>
      </w:tr>
      <w:tr w:rsidR="008C76E0" w:rsidRPr="00BD7577" w14:paraId="2533E86A" w14:textId="77777777" w:rsidTr="00827A4D">
        <w:trPr>
          <w:jc w:val="center"/>
        </w:trPr>
        <w:tc>
          <w:tcPr>
            <w:tcW w:w="1351" w:type="dxa"/>
            <w:vMerge/>
            <w:tcBorders>
              <w:left w:val="single" w:sz="4" w:space="0" w:color="000000"/>
              <w:right w:val="single" w:sz="4" w:space="0" w:color="000000"/>
            </w:tcBorders>
          </w:tcPr>
          <w:p w14:paraId="570CBA26"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1E4E17F4"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34F99E71"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674034B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2.3.S.4</w:t>
            </w:r>
          </w:p>
        </w:tc>
      </w:tr>
      <w:tr w:rsidR="008C76E0" w:rsidRPr="00BD7577" w14:paraId="73F7688E" w14:textId="77777777" w:rsidTr="00827A4D">
        <w:trPr>
          <w:jc w:val="center"/>
        </w:trPr>
        <w:tc>
          <w:tcPr>
            <w:tcW w:w="1351" w:type="dxa"/>
            <w:vMerge/>
            <w:tcBorders>
              <w:left w:val="single" w:sz="4" w:space="0" w:color="000000"/>
              <w:right w:val="single" w:sz="4" w:space="0" w:color="000000"/>
            </w:tcBorders>
          </w:tcPr>
          <w:p w14:paraId="5367F55C"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563CB5DE"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7219F19E"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685730C8"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2.3.S.5</w:t>
            </w:r>
          </w:p>
        </w:tc>
      </w:tr>
      <w:tr w:rsidR="008C76E0" w:rsidRPr="00BD7577" w14:paraId="5F379758" w14:textId="77777777" w:rsidTr="00827A4D">
        <w:trPr>
          <w:jc w:val="center"/>
        </w:trPr>
        <w:tc>
          <w:tcPr>
            <w:tcW w:w="1351" w:type="dxa"/>
            <w:vMerge/>
            <w:tcBorders>
              <w:left w:val="single" w:sz="4" w:space="0" w:color="000000"/>
              <w:right w:val="single" w:sz="4" w:space="0" w:color="000000"/>
            </w:tcBorders>
          </w:tcPr>
          <w:p w14:paraId="7573121C"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5A8AA632"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1416A6E8"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440DC47C"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2.3.S.6</w:t>
            </w:r>
          </w:p>
        </w:tc>
      </w:tr>
      <w:tr w:rsidR="008C76E0" w:rsidRPr="00BD7577" w14:paraId="19889F75" w14:textId="77777777" w:rsidTr="00827A4D">
        <w:trPr>
          <w:jc w:val="center"/>
        </w:trPr>
        <w:tc>
          <w:tcPr>
            <w:tcW w:w="1351" w:type="dxa"/>
            <w:vMerge/>
            <w:tcBorders>
              <w:left w:val="single" w:sz="4" w:space="0" w:color="000000"/>
              <w:right w:val="single" w:sz="4" w:space="0" w:color="000000"/>
            </w:tcBorders>
          </w:tcPr>
          <w:p w14:paraId="72B6040D"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4BC654F1"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bottom w:val="single" w:sz="4" w:space="0" w:color="000000"/>
              <w:right w:val="single" w:sz="4" w:space="0" w:color="000000"/>
            </w:tcBorders>
          </w:tcPr>
          <w:p w14:paraId="12B582E3"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586AF011"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2.3.S.7</w:t>
            </w:r>
          </w:p>
        </w:tc>
      </w:tr>
      <w:tr w:rsidR="008C76E0" w:rsidRPr="00BD7577" w14:paraId="6C06C088" w14:textId="77777777" w:rsidTr="00827A4D">
        <w:trPr>
          <w:jc w:val="center"/>
        </w:trPr>
        <w:tc>
          <w:tcPr>
            <w:tcW w:w="1351" w:type="dxa"/>
            <w:vMerge/>
            <w:tcBorders>
              <w:left w:val="single" w:sz="4" w:space="0" w:color="000000"/>
              <w:right w:val="single" w:sz="4" w:space="0" w:color="000000"/>
            </w:tcBorders>
          </w:tcPr>
          <w:p w14:paraId="295A18D5"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0077683E" w14:textId="77777777" w:rsidR="008C76E0" w:rsidRPr="00BD7577" w:rsidRDefault="008C76E0" w:rsidP="008C76E0">
            <w:pPr>
              <w:spacing w:after="120" w:line="240" w:lineRule="auto"/>
              <w:rPr>
                <w:rFonts w:ascii="Sylfaen" w:hAnsi="Sylfaen"/>
                <w:sz w:val="24"/>
                <w:szCs w:val="24"/>
              </w:rPr>
            </w:pPr>
          </w:p>
        </w:tc>
        <w:tc>
          <w:tcPr>
            <w:tcW w:w="2453" w:type="dxa"/>
            <w:vMerge w:val="restart"/>
            <w:tcBorders>
              <w:top w:val="single" w:sz="4" w:space="0" w:color="000000"/>
              <w:left w:val="single" w:sz="4" w:space="0" w:color="000000"/>
              <w:right w:val="single" w:sz="4" w:space="0" w:color="000000"/>
            </w:tcBorders>
          </w:tcPr>
          <w:p w14:paraId="7FE6C339" w14:textId="77777777" w:rsidR="008C76E0" w:rsidRPr="00827A4D" w:rsidRDefault="008C76E0" w:rsidP="00827A4D">
            <w:pPr>
              <w:spacing w:after="120" w:line="240" w:lineRule="auto"/>
              <w:ind w:left="102" w:right="-20"/>
              <w:rPr>
                <w:rFonts w:ascii="Sylfaen" w:eastAsia="Times New Roman" w:hAnsi="Sylfaen" w:cs="Times New Roman"/>
                <w:sz w:val="24"/>
                <w:szCs w:val="24"/>
                <w:lang w:val="en-US"/>
              </w:rPr>
            </w:pPr>
            <w:r w:rsidRPr="004F6471">
              <w:rPr>
                <w:rFonts w:ascii="Sylfaen" w:hAnsi="Sylfaen"/>
                <w:sz w:val="24"/>
                <w:szCs w:val="24"/>
              </w:rPr>
              <w:t>2.3.P</w:t>
            </w:r>
            <w:r w:rsidR="0081587C" w:rsidRPr="004F6471">
              <w:rPr>
                <w:rStyle w:val="FootnoteReference"/>
                <w:rFonts w:ascii="Sylfaen" w:hAnsi="Sylfaen"/>
                <w:sz w:val="24"/>
                <w:szCs w:val="24"/>
              </w:rPr>
              <w:footnoteReference w:id="30"/>
            </w: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52DC6475"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2.3.P.1</w:t>
            </w:r>
          </w:p>
        </w:tc>
      </w:tr>
      <w:tr w:rsidR="008C76E0" w:rsidRPr="00BD7577" w14:paraId="123D4FE6" w14:textId="77777777" w:rsidTr="00827A4D">
        <w:trPr>
          <w:jc w:val="center"/>
        </w:trPr>
        <w:tc>
          <w:tcPr>
            <w:tcW w:w="1351" w:type="dxa"/>
            <w:vMerge/>
            <w:tcBorders>
              <w:left w:val="single" w:sz="4" w:space="0" w:color="000000"/>
              <w:right w:val="single" w:sz="4" w:space="0" w:color="000000"/>
            </w:tcBorders>
          </w:tcPr>
          <w:p w14:paraId="5A150E0D"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74C8F13F"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5BDBE6A3"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1E2BD2A9"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2.3.P.2</w:t>
            </w:r>
          </w:p>
        </w:tc>
      </w:tr>
      <w:tr w:rsidR="008C76E0" w:rsidRPr="00BD7577" w14:paraId="30E431AC" w14:textId="77777777" w:rsidTr="00827A4D">
        <w:trPr>
          <w:jc w:val="center"/>
        </w:trPr>
        <w:tc>
          <w:tcPr>
            <w:tcW w:w="1351" w:type="dxa"/>
            <w:vMerge/>
            <w:tcBorders>
              <w:left w:val="single" w:sz="4" w:space="0" w:color="000000"/>
              <w:right w:val="single" w:sz="4" w:space="0" w:color="000000"/>
            </w:tcBorders>
          </w:tcPr>
          <w:p w14:paraId="552EEE5D"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047B4E64"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097AF553"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4D221DF6"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2.3.P.3</w:t>
            </w:r>
          </w:p>
        </w:tc>
      </w:tr>
      <w:tr w:rsidR="008C76E0" w:rsidRPr="00BD7577" w14:paraId="7B599E38" w14:textId="77777777" w:rsidTr="00827A4D">
        <w:trPr>
          <w:jc w:val="center"/>
        </w:trPr>
        <w:tc>
          <w:tcPr>
            <w:tcW w:w="1351" w:type="dxa"/>
            <w:vMerge/>
            <w:tcBorders>
              <w:left w:val="single" w:sz="4" w:space="0" w:color="000000"/>
              <w:right w:val="single" w:sz="4" w:space="0" w:color="000000"/>
            </w:tcBorders>
          </w:tcPr>
          <w:p w14:paraId="3D525C04"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1BA0D8B3"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04A61D4D"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73BED761"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2.3.P.4</w:t>
            </w:r>
          </w:p>
        </w:tc>
      </w:tr>
      <w:tr w:rsidR="008C76E0" w:rsidRPr="00BD7577" w14:paraId="640EE394" w14:textId="77777777" w:rsidTr="00827A4D">
        <w:trPr>
          <w:jc w:val="center"/>
        </w:trPr>
        <w:tc>
          <w:tcPr>
            <w:tcW w:w="1351" w:type="dxa"/>
            <w:vMerge/>
            <w:tcBorders>
              <w:left w:val="single" w:sz="4" w:space="0" w:color="000000"/>
              <w:right w:val="single" w:sz="4" w:space="0" w:color="000000"/>
            </w:tcBorders>
          </w:tcPr>
          <w:p w14:paraId="3817BF75"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0218C1C0"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0ACD98DA"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0C6D9C39"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2.3.P.5</w:t>
            </w:r>
          </w:p>
        </w:tc>
      </w:tr>
      <w:tr w:rsidR="008C76E0" w:rsidRPr="00BD7577" w14:paraId="524D0869" w14:textId="77777777" w:rsidTr="00827A4D">
        <w:trPr>
          <w:jc w:val="center"/>
        </w:trPr>
        <w:tc>
          <w:tcPr>
            <w:tcW w:w="1351" w:type="dxa"/>
            <w:vMerge/>
            <w:tcBorders>
              <w:left w:val="single" w:sz="4" w:space="0" w:color="000000"/>
              <w:right w:val="single" w:sz="4" w:space="0" w:color="000000"/>
            </w:tcBorders>
          </w:tcPr>
          <w:p w14:paraId="2A3D8E25"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1682EB2C"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3784C6A2"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7BC511E9"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2.3.P.6</w:t>
            </w:r>
          </w:p>
        </w:tc>
      </w:tr>
      <w:tr w:rsidR="008C76E0" w:rsidRPr="00BD7577" w14:paraId="3F13658B" w14:textId="77777777" w:rsidTr="00827A4D">
        <w:trPr>
          <w:jc w:val="center"/>
        </w:trPr>
        <w:tc>
          <w:tcPr>
            <w:tcW w:w="1351" w:type="dxa"/>
            <w:vMerge/>
            <w:tcBorders>
              <w:left w:val="single" w:sz="4" w:space="0" w:color="000000"/>
              <w:right w:val="single" w:sz="4" w:space="0" w:color="000000"/>
            </w:tcBorders>
          </w:tcPr>
          <w:p w14:paraId="70488C38"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2A3825A6"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47091AF6"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435C180C"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2.3.P.7</w:t>
            </w:r>
          </w:p>
        </w:tc>
      </w:tr>
      <w:tr w:rsidR="008C76E0" w:rsidRPr="00BD7577" w14:paraId="2C473B21" w14:textId="77777777" w:rsidTr="00827A4D">
        <w:trPr>
          <w:jc w:val="center"/>
        </w:trPr>
        <w:tc>
          <w:tcPr>
            <w:tcW w:w="1351" w:type="dxa"/>
            <w:vMerge/>
            <w:tcBorders>
              <w:left w:val="single" w:sz="4" w:space="0" w:color="000000"/>
              <w:right w:val="single" w:sz="4" w:space="0" w:color="000000"/>
            </w:tcBorders>
          </w:tcPr>
          <w:p w14:paraId="662B4F86"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2696B334"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bottom w:val="single" w:sz="4" w:space="0" w:color="000000"/>
              <w:right w:val="single" w:sz="4" w:space="0" w:color="000000"/>
            </w:tcBorders>
          </w:tcPr>
          <w:p w14:paraId="7E659E77"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1B7D2D80"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2.3.P.8</w:t>
            </w:r>
          </w:p>
        </w:tc>
      </w:tr>
      <w:tr w:rsidR="008C76E0" w:rsidRPr="00BD7577" w14:paraId="4B5B6C01" w14:textId="77777777" w:rsidTr="00827A4D">
        <w:trPr>
          <w:jc w:val="center"/>
        </w:trPr>
        <w:tc>
          <w:tcPr>
            <w:tcW w:w="1351" w:type="dxa"/>
            <w:vMerge/>
            <w:tcBorders>
              <w:left w:val="single" w:sz="4" w:space="0" w:color="000000"/>
              <w:right w:val="single" w:sz="4" w:space="0" w:color="000000"/>
            </w:tcBorders>
          </w:tcPr>
          <w:p w14:paraId="43B41A3C"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6F5F40F1" w14:textId="77777777" w:rsidR="008C76E0" w:rsidRPr="00BD7577" w:rsidRDefault="008C76E0" w:rsidP="008C76E0">
            <w:pPr>
              <w:spacing w:after="120" w:line="240" w:lineRule="auto"/>
              <w:rPr>
                <w:rFonts w:ascii="Sylfaen" w:hAnsi="Sylfaen"/>
                <w:sz w:val="24"/>
                <w:szCs w:val="24"/>
              </w:rPr>
            </w:pPr>
          </w:p>
        </w:tc>
        <w:tc>
          <w:tcPr>
            <w:tcW w:w="2453" w:type="dxa"/>
            <w:vMerge w:val="restart"/>
            <w:tcBorders>
              <w:top w:val="single" w:sz="4" w:space="0" w:color="000000"/>
              <w:left w:val="single" w:sz="4" w:space="0" w:color="000000"/>
              <w:right w:val="single" w:sz="4" w:space="0" w:color="000000"/>
            </w:tcBorders>
          </w:tcPr>
          <w:p w14:paraId="344B52E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2.3.А</w:t>
            </w: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48B7B9B0"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2.3.А.1</w:t>
            </w:r>
          </w:p>
        </w:tc>
      </w:tr>
      <w:tr w:rsidR="008C76E0" w:rsidRPr="00BD7577" w14:paraId="21D5FBB3" w14:textId="77777777" w:rsidTr="00827A4D">
        <w:trPr>
          <w:jc w:val="center"/>
        </w:trPr>
        <w:tc>
          <w:tcPr>
            <w:tcW w:w="1351" w:type="dxa"/>
            <w:vMerge/>
            <w:tcBorders>
              <w:left w:val="single" w:sz="4" w:space="0" w:color="000000"/>
              <w:right w:val="single" w:sz="4" w:space="0" w:color="000000"/>
            </w:tcBorders>
          </w:tcPr>
          <w:p w14:paraId="0D4B3EC1"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shd w:val="clear" w:color="auto" w:fill="ECECEC"/>
          </w:tcPr>
          <w:p w14:paraId="1AB3242B"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right w:val="single" w:sz="4" w:space="0" w:color="000000"/>
            </w:tcBorders>
          </w:tcPr>
          <w:p w14:paraId="657F45FC"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5EACAF82"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2.3.А.2</w:t>
            </w:r>
          </w:p>
        </w:tc>
      </w:tr>
      <w:tr w:rsidR="008C76E0" w:rsidRPr="00BD7577" w14:paraId="6C06C23A" w14:textId="77777777" w:rsidTr="00827A4D">
        <w:trPr>
          <w:jc w:val="center"/>
        </w:trPr>
        <w:tc>
          <w:tcPr>
            <w:tcW w:w="1351" w:type="dxa"/>
            <w:vMerge/>
            <w:tcBorders>
              <w:left w:val="single" w:sz="4" w:space="0" w:color="000000"/>
              <w:right w:val="single" w:sz="4" w:space="0" w:color="000000"/>
            </w:tcBorders>
          </w:tcPr>
          <w:p w14:paraId="2925C3F7"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bottom w:val="single" w:sz="4" w:space="0" w:color="000000"/>
              <w:right w:val="single" w:sz="4" w:space="0" w:color="000000"/>
            </w:tcBorders>
            <w:shd w:val="clear" w:color="auto" w:fill="ECECEC"/>
          </w:tcPr>
          <w:p w14:paraId="28DBAE94" w14:textId="77777777" w:rsidR="008C76E0" w:rsidRPr="00BD7577" w:rsidRDefault="008C76E0" w:rsidP="008C76E0">
            <w:pPr>
              <w:spacing w:after="120" w:line="240" w:lineRule="auto"/>
              <w:rPr>
                <w:rFonts w:ascii="Sylfaen" w:hAnsi="Sylfaen"/>
                <w:sz w:val="24"/>
                <w:szCs w:val="24"/>
              </w:rPr>
            </w:pPr>
          </w:p>
        </w:tc>
        <w:tc>
          <w:tcPr>
            <w:tcW w:w="2453" w:type="dxa"/>
            <w:vMerge/>
            <w:tcBorders>
              <w:left w:val="single" w:sz="4" w:space="0" w:color="000000"/>
              <w:bottom w:val="single" w:sz="4" w:space="0" w:color="000000"/>
              <w:right w:val="single" w:sz="4" w:space="0" w:color="000000"/>
            </w:tcBorders>
          </w:tcPr>
          <w:p w14:paraId="0EC5210F"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shd w:val="clear" w:color="auto" w:fill="ECECEC"/>
          </w:tcPr>
          <w:p w14:paraId="3B920641"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2.3.А.3</w:t>
            </w:r>
          </w:p>
        </w:tc>
      </w:tr>
      <w:tr w:rsidR="008C76E0" w:rsidRPr="00BD7577" w14:paraId="5B99049F" w14:textId="77777777" w:rsidTr="00827A4D">
        <w:trPr>
          <w:jc w:val="center"/>
        </w:trPr>
        <w:tc>
          <w:tcPr>
            <w:tcW w:w="1351" w:type="dxa"/>
            <w:vMerge/>
            <w:tcBorders>
              <w:left w:val="single" w:sz="4" w:space="0" w:color="000000"/>
              <w:right w:val="single" w:sz="4" w:space="0" w:color="000000"/>
            </w:tcBorders>
          </w:tcPr>
          <w:p w14:paraId="5A562A5F" w14:textId="77777777" w:rsidR="008C76E0" w:rsidRPr="00BD7577" w:rsidRDefault="008C76E0" w:rsidP="008C76E0">
            <w:pPr>
              <w:spacing w:after="120" w:line="240" w:lineRule="auto"/>
              <w:rPr>
                <w:rFonts w:ascii="Sylfaen" w:hAnsi="Sylfaen"/>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ECECEC"/>
          </w:tcPr>
          <w:p w14:paraId="36A46FBB"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tcPr>
          <w:p w14:paraId="5D5F1E0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2.3.R</w:t>
            </w:r>
          </w:p>
        </w:tc>
        <w:tc>
          <w:tcPr>
            <w:tcW w:w="4015" w:type="dxa"/>
            <w:tcBorders>
              <w:top w:val="single" w:sz="4" w:space="0" w:color="000000"/>
              <w:left w:val="single" w:sz="4" w:space="0" w:color="000000"/>
              <w:bottom w:val="single" w:sz="4" w:space="0" w:color="000000"/>
              <w:right w:val="single" w:sz="4" w:space="0" w:color="000000"/>
            </w:tcBorders>
          </w:tcPr>
          <w:p w14:paraId="250F6B6D" w14:textId="77777777" w:rsidR="008C76E0" w:rsidRPr="00BD7577" w:rsidRDefault="008C76E0" w:rsidP="008C76E0">
            <w:pPr>
              <w:spacing w:after="120" w:line="240" w:lineRule="auto"/>
              <w:rPr>
                <w:rFonts w:ascii="Sylfaen" w:hAnsi="Sylfaen"/>
                <w:sz w:val="24"/>
                <w:szCs w:val="24"/>
              </w:rPr>
            </w:pPr>
          </w:p>
        </w:tc>
      </w:tr>
      <w:tr w:rsidR="008C76E0" w:rsidRPr="00BD7577" w14:paraId="447455F3" w14:textId="77777777" w:rsidTr="00827A4D">
        <w:trPr>
          <w:jc w:val="center"/>
        </w:trPr>
        <w:tc>
          <w:tcPr>
            <w:tcW w:w="1351" w:type="dxa"/>
            <w:vMerge/>
            <w:tcBorders>
              <w:left w:val="single" w:sz="4" w:space="0" w:color="000000"/>
              <w:right w:val="single" w:sz="4" w:space="0" w:color="000000"/>
            </w:tcBorders>
          </w:tcPr>
          <w:p w14:paraId="1853214E" w14:textId="77777777" w:rsidR="008C76E0" w:rsidRPr="00BD7577" w:rsidRDefault="008C76E0" w:rsidP="008C76E0">
            <w:pPr>
              <w:spacing w:after="120" w:line="240" w:lineRule="auto"/>
              <w:rPr>
                <w:rFonts w:ascii="Sylfaen" w:hAnsi="Sylfaen"/>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ECECEC"/>
          </w:tcPr>
          <w:p w14:paraId="48316322"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2.4</w:t>
            </w:r>
          </w:p>
        </w:tc>
        <w:tc>
          <w:tcPr>
            <w:tcW w:w="2453" w:type="dxa"/>
            <w:tcBorders>
              <w:top w:val="single" w:sz="4" w:space="0" w:color="000000"/>
              <w:left w:val="single" w:sz="4" w:space="0" w:color="000000"/>
              <w:bottom w:val="single" w:sz="4" w:space="0" w:color="000000"/>
              <w:right w:val="single" w:sz="4" w:space="0" w:color="000000"/>
            </w:tcBorders>
          </w:tcPr>
          <w:p w14:paraId="29B4F93A"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tcPr>
          <w:p w14:paraId="1EC9F2CD" w14:textId="77777777" w:rsidR="008C76E0" w:rsidRPr="00BD7577" w:rsidRDefault="008C76E0" w:rsidP="008C76E0">
            <w:pPr>
              <w:spacing w:after="120" w:line="240" w:lineRule="auto"/>
              <w:rPr>
                <w:rFonts w:ascii="Sylfaen" w:hAnsi="Sylfaen"/>
                <w:sz w:val="24"/>
                <w:szCs w:val="24"/>
              </w:rPr>
            </w:pPr>
          </w:p>
        </w:tc>
      </w:tr>
      <w:tr w:rsidR="008C76E0" w:rsidRPr="00BD7577" w14:paraId="4A57FAF8" w14:textId="77777777" w:rsidTr="00827A4D">
        <w:trPr>
          <w:jc w:val="center"/>
        </w:trPr>
        <w:tc>
          <w:tcPr>
            <w:tcW w:w="1351" w:type="dxa"/>
            <w:vMerge/>
            <w:tcBorders>
              <w:left w:val="single" w:sz="4" w:space="0" w:color="000000"/>
              <w:right w:val="single" w:sz="4" w:space="0" w:color="000000"/>
            </w:tcBorders>
          </w:tcPr>
          <w:p w14:paraId="3E121CF3" w14:textId="77777777" w:rsidR="008C76E0" w:rsidRPr="00BD7577" w:rsidRDefault="008C76E0" w:rsidP="008C76E0">
            <w:pPr>
              <w:spacing w:after="120" w:line="240" w:lineRule="auto"/>
              <w:rPr>
                <w:rFonts w:ascii="Sylfaen" w:hAnsi="Sylfaen"/>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ECECEC"/>
          </w:tcPr>
          <w:p w14:paraId="57ED6FAA"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2.5</w:t>
            </w:r>
          </w:p>
        </w:tc>
        <w:tc>
          <w:tcPr>
            <w:tcW w:w="2453" w:type="dxa"/>
            <w:tcBorders>
              <w:top w:val="single" w:sz="4" w:space="0" w:color="000000"/>
              <w:left w:val="single" w:sz="4" w:space="0" w:color="000000"/>
              <w:bottom w:val="single" w:sz="4" w:space="0" w:color="000000"/>
              <w:right w:val="single" w:sz="4" w:space="0" w:color="000000"/>
            </w:tcBorders>
          </w:tcPr>
          <w:p w14:paraId="4AE1C159" w14:textId="77777777" w:rsidR="008C76E0" w:rsidRPr="00BD7577" w:rsidRDefault="008C76E0" w:rsidP="008C76E0">
            <w:pPr>
              <w:spacing w:after="120" w:line="240" w:lineRule="auto"/>
              <w:rPr>
                <w:rFonts w:ascii="Sylfaen" w:hAnsi="Sylfaen"/>
                <w:sz w:val="24"/>
                <w:szCs w:val="24"/>
              </w:rPr>
            </w:pPr>
          </w:p>
        </w:tc>
        <w:tc>
          <w:tcPr>
            <w:tcW w:w="4015" w:type="dxa"/>
            <w:tcBorders>
              <w:top w:val="single" w:sz="4" w:space="0" w:color="000000"/>
              <w:left w:val="single" w:sz="4" w:space="0" w:color="000000"/>
              <w:bottom w:val="single" w:sz="4" w:space="0" w:color="000000"/>
              <w:right w:val="single" w:sz="4" w:space="0" w:color="000000"/>
            </w:tcBorders>
          </w:tcPr>
          <w:p w14:paraId="51C33F15" w14:textId="77777777" w:rsidR="008C76E0" w:rsidRPr="00BD7577" w:rsidRDefault="008C76E0" w:rsidP="008C76E0">
            <w:pPr>
              <w:spacing w:after="120" w:line="240" w:lineRule="auto"/>
              <w:rPr>
                <w:rFonts w:ascii="Sylfaen" w:hAnsi="Sylfaen"/>
                <w:sz w:val="24"/>
                <w:szCs w:val="24"/>
              </w:rPr>
            </w:pPr>
          </w:p>
        </w:tc>
      </w:tr>
      <w:tr w:rsidR="008C76E0" w:rsidRPr="00BD7577" w14:paraId="1B3834A8" w14:textId="77777777" w:rsidTr="00827A4D">
        <w:trPr>
          <w:jc w:val="center"/>
        </w:trPr>
        <w:tc>
          <w:tcPr>
            <w:tcW w:w="1351" w:type="dxa"/>
            <w:vMerge/>
            <w:tcBorders>
              <w:left w:val="single" w:sz="4" w:space="0" w:color="000000"/>
              <w:right w:val="single" w:sz="4" w:space="0" w:color="000000"/>
            </w:tcBorders>
          </w:tcPr>
          <w:p w14:paraId="2C43DCFA" w14:textId="77777777" w:rsidR="008C76E0" w:rsidRPr="00BD7577" w:rsidRDefault="008C76E0" w:rsidP="008C76E0">
            <w:pPr>
              <w:spacing w:after="120" w:line="240" w:lineRule="auto"/>
              <w:rPr>
                <w:rFonts w:ascii="Sylfaen" w:hAnsi="Sylfaen"/>
                <w:sz w:val="24"/>
                <w:szCs w:val="24"/>
              </w:rPr>
            </w:pPr>
          </w:p>
        </w:tc>
        <w:tc>
          <w:tcPr>
            <w:tcW w:w="1752" w:type="dxa"/>
            <w:vMerge w:val="restart"/>
            <w:tcBorders>
              <w:top w:val="single" w:sz="4" w:space="0" w:color="000000"/>
              <w:left w:val="single" w:sz="4" w:space="0" w:color="000000"/>
              <w:right w:val="single" w:sz="4" w:space="0" w:color="000000"/>
            </w:tcBorders>
          </w:tcPr>
          <w:p w14:paraId="42813757"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2.6</w:t>
            </w: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7234DA3F"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2.6.1</w:t>
            </w:r>
          </w:p>
        </w:tc>
        <w:tc>
          <w:tcPr>
            <w:tcW w:w="4015" w:type="dxa"/>
            <w:tcBorders>
              <w:top w:val="single" w:sz="4" w:space="0" w:color="000000"/>
              <w:left w:val="single" w:sz="4" w:space="0" w:color="000000"/>
              <w:bottom w:val="single" w:sz="4" w:space="0" w:color="000000"/>
              <w:right w:val="single" w:sz="4" w:space="0" w:color="000000"/>
            </w:tcBorders>
          </w:tcPr>
          <w:p w14:paraId="70A59453" w14:textId="77777777" w:rsidR="008C76E0" w:rsidRPr="00BD7577" w:rsidRDefault="008C76E0" w:rsidP="008C76E0">
            <w:pPr>
              <w:spacing w:after="120" w:line="240" w:lineRule="auto"/>
              <w:rPr>
                <w:rFonts w:ascii="Sylfaen" w:hAnsi="Sylfaen"/>
                <w:sz w:val="24"/>
                <w:szCs w:val="24"/>
              </w:rPr>
            </w:pPr>
          </w:p>
        </w:tc>
      </w:tr>
      <w:tr w:rsidR="008C76E0" w:rsidRPr="00BD7577" w14:paraId="2FEB243F" w14:textId="77777777" w:rsidTr="00827A4D">
        <w:trPr>
          <w:jc w:val="center"/>
        </w:trPr>
        <w:tc>
          <w:tcPr>
            <w:tcW w:w="1351" w:type="dxa"/>
            <w:vMerge/>
            <w:tcBorders>
              <w:left w:val="single" w:sz="4" w:space="0" w:color="000000"/>
              <w:right w:val="single" w:sz="4" w:space="0" w:color="000000"/>
            </w:tcBorders>
          </w:tcPr>
          <w:p w14:paraId="5648D849"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439E5EC2"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2DA60415"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2.6.2</w:t>
            </w:r>
          </w:p>
        </w:tc>
        <w:tc>
          <w:tcPr>
            <w:tcW w:w="4015" w:type="dxa"/>
            <w:tcBorders>
              <w:top w:val="single" w:sz="4" w:space="0" w:color="000000"/>
              <w:left w:val="single" w:sz="4" w:space="0" w:color="000000"/>
              <w:bottom w:val="single" w:sz="4" w:space="0" w:color="000000"/>
              <w:right w:val="single" w:sz="4" w:space="0" w:color="000000"/>
            </w:tcBorders>
          </w:tcPr>
          <w:p w14:paraId="54F757AB" w14:textId="77777777" w:rsidR="008C76E0" w:rsidRPr="00BD7577" w:rsidRDefault="008C76E0" w:rsidP="008C76E0">
            <w:pPr>
              <w:spacing w:after="120" w:line="240" w:lineRule="auto"/>
              <w:rPr>
                <w:rFonts w:ascii="Sylfaen" w:hAnsi="Sylfaen"/>
                <w:sz w:val="24"/>
                <w:szCs w:val="24"/>
              </w:rPr>
            </w:pPr>
          </w:p>
        </w:tc>
      </w:tr>
      <w:tr w:rsidR="008C76E0" w:rsidRPr="00BD7577" w14:paraId="325ABF8D" w14:textId="77777777" w:rsidTr="00827A4D">
        <w:trPr>
          <w:jc w:val="center"/>
        </w:trPr>
        <w:tc>
          <w:tcPr>
            <w:tcW w:w="1351" w:type="dxa"/>
            <w:vMerge/>
            <w:tcBorders>
              <w:left w:val="single" w:sz="4" w:space="0" w:color="000000"/>
              <w:right w:val="single" w:sz="4" w:space="0" w:color="000000"/>
            </w:tcBorders>
          </w:tcPr>
          <w:p w14:paraId="6ADA58A7"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558801B7"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5DB6BDD8" w14:textId="77777777" w:rsidR="008C76E0" w:rsidRPr="00BD7577" w:rsidRDefault="008C76E0" w:rsidP="008C76E0">
            <w:pPr>
              <w:spacing w:after="120" w:line="240" w:lineRule="auto"/>
              <w:ind w:left="102" w:right="-23"/>
              <w:rPr>
                <w:rFonts w:ascii="Sylfaen" w:eastAsia="Times New Roman" w:hAnsi="Sylfaen" w:cs="Times New Roman"/>
                <w:sz w:val="24"/>
                <w:szCs w:val="24"/>
              </w:rPr>
            </w:pPr>
            <w:r w:rsidRPr="00BD7577">
              <w:rPr>
                <w:rFonts w:ascii="Sylfaen" w:hAnsi="Sylfaen"/>
                <w:sz w:val="24"/>
                <w:szCs w:val="24"/>
              </w:rPr>
              <w:t>2.6.3</w:t>
            </w:r>
          </w:p>
        </w:tc>
        <w:tc>
          <w:tcPr>
            <w:tcW w:w="4015" w:type="dxa"/>
            <w:tcBorders>
              <w:top w:val="single" w:sz="4" w:space="0" w:color="000000"/>
              <w:left w:val="single" w:sz="4" w:space="0" w:color="000000"/>
              <w:bottom w:val="single" w:sz="4" w:space="0" w:color="000000"/>
              <w:right w:val="single" w:sz="4" w:space="0" w:color="000000"/>
            </w:tcBorders>
          </w:tcPr>
          <w:p w14:paraId="469DE4AE" w14:textId="77777777" w:rsidR="008C76E0" w:rsidRPr="00BD7577" w:rsidRDefault="008C76E0" w:rsidP="008C76E0">
            <w:pPr>
              <w:spacing w:after="120" w:line="240" w:lineRule="auto"/>
              <w:rPr>
                <w:rFonts w:ascii="Sylfaen" w:hAnsi="Sylfaen"/>
                <w:sz w:val="24"/>
                <w:szCs w:val="24"/>
              </w:rPr>
            </w:pPr>
          </w:p>
        </w:tc>
      </w:tr>
      <w:tr w:rsidR="008C76E0" w:rsidRPr="00BD7577" w14:paraId="7CFEFFE8" w14:textId="77777777" w:rsidTr="00827A4D">
        <w:trPr>
          <w:jc w:val="center"/>
        </w:trPr>
        <w:tc>
          <w:tcPr>
            <w:tcW w:w="1351" w:type="dxa"/>
            <w:vMerge/>
            <w:tcBorders>
              <w:left w:val="single" w:sz="4" w:space="0" w:color="000000"/>
              <w:right w:val="single" w:sz="4" w:space="0" w:color="000000"/>
            </w:tcBorders>
          </w:tcPr>
          <w:p w14:paraId="5E7363FB"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0BCF7345"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3085E4CD"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2.6.4</w:t>
            </w:r>
          </w:p>
        </w:tc>
        <w:tc>
          <w:tcPr>
            <w:tcW w:w="4015" w:type="dxa"/>
            <w:tcBorders>
              <w:top w:val="single" w:sz="4" w:space="0" w:color="000000"/>
              <w:left w:val="single" w:sz="4" w:space="0" w:color="000000"/>
              <w:bottom w:val="single" w:sz="4" w:space="0" w:color="000000"/>
              <w:right w:val="single" w:sz="4" w:space="0" w:color="000000"/>
            </w:tcBorders>
          </w:tcPr>
          <w:p w14:paraId="1BA751EF" w14:textId="77777777" w:rsidR="008C76E0" w:rsidRPr="00BD7577" w:rsidRDefault="008C76E0" w:rsidP="008C76E0">
            <w:pPr>
              <w:spacing w:after="120" w:line="240" w:lineRule="auto"/>
              <w:rPr>
                <w:rFonts w:ascii="Sylfaen" w:hAnsi="Sylfaen"/>
                <w:sz w:val="24"/>
                <w:szCs w:val="24"/>
              </w:rPr>
            </w:pPr>
          </w:p>
        </w:tc>
      </w:tr>
      <w:tr w:rsidR="008C76E0" w:rsidRPr="00BD7577" w14:paraId="071D2C54" w14:textId="77777777" w:rsidTr="00827A4D">
        <w:trPr>
          <w:jc w:val="center"/>
        </w:trPr>
        <w:tc>
          <w:tcPr>
            <w:tcW w:w="1351" w:type="dxa"/>
            <w:vMerge/>
            <w:tcBorders>
              <w:left w:val="single" w:sz="4" w:space="0" w:color="000000"/>
              <w:right w:val="single" w:sz="4" w:space="0" w:color="000000"/>
            </w:tcBorders>
          </w:tcPr>
          <w:p w14:paraId="5DAC6F6D"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3B3B8416"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7547118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2.6.5</w:t>
            </w:r>
          </w:p>
        </w:tc>
        <w:tc>
          <w:tcPr>
            <w:tcW w:w="4015" w:type="dxa"/>
            <w:tcBorders>
              <w:top w:val="single" w:sz="4" w:space="0" w:color="000000"/>
              <w:left w:val="single" w:sz="4" w:space="0" w:color="000000"/>
              <w:bottom w:val="single" w:sz="4" w:space="0" w:color="000000"/>
              <w:right w:val="single" w:sz="4" w:space="0" w:color="000000"/>
            </w:tcBorders>
          </w:tcPr>
          <w:p w14:paraId="4277C068" w14:textId="77777777" w:rsidR="008C76E0" w:rsidRPr="00BD7577" w:rsidRDefault="008C76E0" w:rsidP="008C76E0">
            <w:pPr>
              <w:spacing w:after="120" w:line="240" w:lineRule="auto"/>
              <w:rPr>
                <w:rFonts w:ascii="Sylfaen" w:hAnsi="Sylfaen"/>
                <w:sz w:val="24"/>
                <w:szCs w:val="24"/>
              </w:rPr>
            </w:pPr>
          </w:p>
        </w:tc>
      </w:tr>
      <w:tr w:rsidR="008C76E0" w:rsidRPr="00BD7577" w14:paraId="2DD84F52" w14:textId="77777777" w:rsidTr="00827A4D">
        <w:trPr>
          <w:jc w:val="center"/>
        </w:trPr>
        <w:tc>
          <w:tcPr>
            <w:tcW w:w="1351" w:type="dxa"/>
            <w:vMerge/>
            <w:tcBorders>
              <w:left w:val="single" w:sz="4" w:space="0" w:color="000000"/>
              <w:right w:val="single" w:sz="4" w:space="0" w:color="000000"/>
            </w:tcBorders>
          </w:tcPr>
          <w:p w14:paraId="053A3E21"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266E2087"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69E298C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2.6.6</w:t>
            </w:r>
          </w:p>
        </w:tc>
        <w:tc>
          <w:tcPr>
            <w:tcW w:w="4015" w:type="dxa"/>
            <w:tcBorders>
              <w:top w:val="single" w:sz="4" w:space="0" w:color="000000"/>
              <w:left w:val="single" w:sz="4" w:space="0" w:color="000000"/>
              <w:bottom w:val="single" w:sz="4" w:space="0" w:color="000000"/>
              <w:right w:val="single" w:sz="4" w:space="0" w:color="000000"/>
            </w:tcBorders>
          </w:tcPr>
          <w:p w14:paraId="350C2446" w14:textId="77777777" w:rsidR="008C76E0" w:rsidRPr="00BD7577" w:rsidRDefault="008C76E0" w:rsidP="008C76E0">
            <w:pPr>
              <w:spacing w:after="120" w:line="240" w:lineRule="auto"/>
              <w:rPr>
                <w:rFonts w:ascii="Sylfaen" w:hAnsi="Sylfaen"/>
                <w:sz w:val="24"/>
                <w:szCs w:val="24"/>
              </w:rPr>
            </w:pPr>
          </w:p>
        </w:tc>
      </w:tr>
      <w:tr w:rsidR="008C76E0" w:rsidRPr="00BD7577" w14:paraId="2E6473C8" w14:textId="77777777" w:rsidTr="00827A4D">
        <w:trPr>
          <w:jc w:val="center"/>
        </w:trPr>
        <w:tc>
          <w:tcPr>
            <w:tcW w:w="1351" w:type="dxa"/>
            <w:vMerge/>
            <w:tcBorders>
              <w:left w:val="single" w:sz="4" w:space="0" w:color="000000"/>
              <w:right w:val="single" w:sz="4" w:space="0" w:color="000000"/>
            </w:tcBorders>
          </w:tcPr>
          <w:p w14:paraId="5E67D7FA"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bottom w:val="single" w:sz="4" w:space="0" w:color="000000"/>
              <w:right w:val="single" w:sz="4" w:space="0" w:color="000000"/>
            </w:tcBorders>
          </w:tcPr>
          <w:p w14:paraId="50D56DD5"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26E3605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2.6.7</w:t>
            </w:r>
          </w:p>
        </w:tc>
        <w:tc>
          <w:tcPr>
            <w:tcW w:w="4015" w:type="dxa"/>
            <w:tcBorders>
              <w:top w:val="single" w:sz="4" w:space="0" w:color="000000"/>
              <w:left w:val="single" w:sz="4" w:space="0" w:color="000000"/>
              <w:bottom w:val="single" w:sz="4" w:space="0" w:color="000000"/>
              <w:right w:val="single" w:sz="4" w:space="0" w:color="000000"/>
            </w:tcBorders>
          </w:tcPr>
          <w:p w14:paraId="7BF2D864" w14:textId="77777777" w:rsidR="008C76E0" w:rsidRPr="00BD7577" w:rsidRDefault="008C76E0" w:rsidP="008C76E0">
            <w:pPr>
              <w:spacing w:after="120" w:line="240" w:lineRule="auto"/>
              <w:rPr>
                <w:rFonts w:ascii="Sylfaen" w:hAnsi="Sylfaen"/>
                <w:sz w:val="24"/>
                <w:szCs w:val="24"/>
              </w:rPr>
            </w:pPr>
          </w:p>
        </w:tc>
      </w:tr>
      <w:tr w:rsidR="008C76E0" w:rsidRPr="00BD7577" w14:paraId="0501F15F" w14:textId="77777777" w:rsidTr="00827A4D">
        <w:trPr>
          <w:jc w:val="center"/>
        </w:trPr>
        <w:tc>
          <w:tcPr>
            <w:tcW w:w="1351" w:type="dxa"/>
            <w:vMerge/>
            <w:tcBorders>
              <w:left w:val="single" w:sz="4" w:space="0" w:color="000000"/>
              <w:right w:val="single" w:sz="4" w:space="0" w:color="000000"/>
            </w:tcBorders>
          </w:tcPr>
          <w:p w14:paraId="5EBA9872" w14:textId="77777777" w:rsidR="008C76E0" w:rsidRPr="00BD7577" w:rsidRDefault="008C76E0" w:rsidP="008C76E0">
            <w:pPr>
              <w:spacing w:after="120" w:line="240" w:lineRule="auto"/>
              <w:rPr>
                <w:rFonts w:ascii="Sylfaen" w:hAnsi="Sylfaen"/>
                <w:sz w:val="24"/>
                <w:szCs w:val="24"/>
              </w:rPr>
            </w:pPr>
          </w:p>
        </w:tc>
        <w:tc>
          <w:tcPr>
            <w:tcW w:w="1752" w:type="dxa"/>
            <w:vMerge w:val="restart"/>
            <w:tcBorders>
              <w:top w:val="single" w:sz="4" w:space="0" w:color="000000"/>
              <w:left w:val="single" w:sz="4" w:space="0" w:color="000000"/>
              <w:right w:val="single" w:sz="4" w:space="0" w:color="000000"/>
            </w:tcBorders>
          </w:tcPr>
          <w:p w14:paraId="3777309F"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2.7</w:t>
            </w: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72910A1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2.7.1</w:t>
            </w:r>
          </w:p>
        </w:tc>
        <w:tc>
          <w:tcPr>
            <w:tcW w:w="4015" w:type="dxa"/>
            <w:tcBorders>
              <w:top w:val="single" w:sz="4" w:space="0" w:color="000000"/>
              <w:left w:val="single" w:sz="4" w:space="0" w:color="000000"/>
              <w:bottom w:val="single" w:sz="4" w:space="0" w:color="000000"/>
              <w:right w:val="single" w:sz="4" w:space="0" w:color="000000"/>
            </w:tcBorders>
          </w:tcPr>
          <w:p w14:paraId="413E103E" w14:textId="77777777" w:rsidR="008C76E0" w:rsidRPr="00BD7577" w:rsidRDefault="008C76E0" w:rsidP="008C76E0">
            <w:pPr>
              <w:spacing w:after="120" w:line="240" w:lineRule="auto"/>
              <w:rPr>
                <w:rFonts w:ascii="Sylfaen" w:hAnsi="Sylfaen"/>
                <w:sz w:val="24"/>
                <w:szCs w:val="24"/>
              </w:rPr>
            </w:pPr>
          </w:p>
        </w:tc>
      </w:tr>
      <w:tr w:rsidR="008C76E0" w:rsidRPr="00BD7577" w14:paraId="53DB06D8" w14:textId="77777777" w:rsidTr="00827A4D">
        <w:trPr>
          <w:jc w:val="center"/>
        </w:trPr>
        <w:tc>
          <w:tcPr>
            <w:tcW w:w="1351" w:type="dxa"/>
            <w:vMerge/>
            <w:tcBorders>
              <w:left w:val="single" w:sz="4" w:space="0" w:color="000000"/>
              <w:right w:val="single" w:sz="4" w:space="0" w:color="000000"/>
            </w:tcBorders>
          </w:tcPr>
          <w:p w14:paraId="36956AA2"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1D288745"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36DA214F"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2.7.2</w:t>
            </w:r>
          </w:p>
        </w:tc>
        <w:tc>
          <w:tcPr>
            <w:tcW w:w="4015" w:type="dxa"/>
            <w:tcBorders>
              <w:top w:val="single" w:sz="4" w:space="0" w:color="000000"/>
              <w:left w:val="single" w:sz="4" w:space="0" w:color="000000"/>
              <w:bottom w:val="single" w:sz="4" w:space="0" w:color="000000"/>
              <w:right w:val="single" w:sz="4" w:space="0" w:color="000000"/>
            </w:tcBorders>
          </w:tcPr>
          <w:p w14:paraId="693C92DD" w14:textId="77777777" w:rsidR="008C76E0" w:rsidRPr="00BD7577" w:rsidRDefault="008C76E0" w:rsidP="008C76E0">
            <w:pPr>
              <w:spacing w:after="120" w:line="240" w:lineRule="auto"/>
              <w:rPr>
                <w:rFonts w:ascii="Sylfaen" w:hAnsi="Sylfaen"/>
                <w:sz w:val="24"/>
                <w:szCs w:val="24"/>
              </w:rPr>
            </w:pPr>
          </w:p>
        </w:tc>
      </w:tr>
      <w:tr w:rsidR="008C76E0" w:rsidRPr="00BD7577" w14:paraId="3796E3BC" w14:textId="77777777" w:rsidTr="00827A4D">
        <w:trPr>
          <w:jc w:val="center"/>
        </w:trPr>
        <w:tc>
          <w:tcPr>
            <w:tcW w:w="1351" w:type="dxa"/>
            <w:vMerge/>
            <w:tcBorders>
              <w:left w:val="single" w:sz="4" w:space="0" w:color="000000"/>
              <w:right w:val="single" w:sz="4" w:space="0" w:color="000000"/>
            </w:tcBorders>
          </w:tcPr>
          <w:p w14:paraId="14A26F27"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368EE71D"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23450300" w14:textId="77777777" w:rsidR="008C76E0" w:rsidRPr="00C72D24" w:rsidRDefault="008C76E0" w:rsidP="00C72D24">
            <w:pPr>
              <w:spacing w:after="120" w:line="240" w:lineRule="auto"/>
              <w:ind w:left="102" w:right="-20"/>
              <w:rPr>
                <w:rFonts w:ascii="Sylfaen" w:eastAsia="Times New Roman" w:hAnsi="Sylfaen" w:cs="Times New Roman"/>
                <w:sz w:val="24"/>
                <w:szCs w:val="24"/>
                <w:lang w:val="en-US"/>
              </w:rPr>
            </w:pPr>
            <w:r w:rsidRPr="004F6471">
              <w:rPr>
                <w:rFonts w:ascii="Sylfaen" w:hAnsi="Sylfaen"/>
                <w:sz w:val="24"/>
                <w:szCs w:val="24"/>
              </w:rPr>
              <w:t>2.7.3</w:t>
            </w:r>
            <w:r w:rsidR="0081587C" w:rsidRPr="004F6471">
              <w:rPr>
                <w:rStyle w:val="FootnoteReference"/>
                <w:rFonts w:ascii="Sylfaen" w:hAnsi="Sylfaen"/>
                <w:sz w:val="24"/>
                <w:szCs w:val="24"/>
              </w:rPr>
              <w:footnoteReference w:id="31"/>
            </w:r>
          </w:p>
        </w:tc>
        <w:tc>
          <w:tcPr>
            <w:tcW w:w="4015" w:type="dxa"/>
            <w:tcBorders>
              <w:top w:val="single" w:sz="4" w:space="0" w:color="000000"/>
              <w:left w:val="single" w:sz="4" w:space="0" w:color="000000"/>
              <w:bottom w:val="single" w:sz="4" w:space="0" w:color="000000"/>
              <w:right w:val="single" w:sz="4" w:space="0" w:color="000000"/>
            </w:tcBorders>
          </w:tcPr>
          <w:p w14:paraId="2990EB12" w14:textId="77777777" w:rsidR="008C76E0" w:rsidRPr="00BD7577" w:rsidRDefault="008C76E0" w:rsidP="008C76E0">
            <w:pPr>
              <w:spacing w:after="120" w:line="240" w:lineRule="auto"/>
              <w:rPr>
                <w:rFonts w:ascii="Sylfaen" w:hAnsi="Sylfaen"/>
                <w:sz w:val="24"/>
                <w:szCs w:val="24"/>
              </w:rPr>
            </w:pPr>
          </w:p>
        </w:tc>
      </w:tr>
      <w:tr w:rsidR="008C76E0" w:rsidRPr="00BD7577" w14:paraId="6D243116" w14:textId="77777777" w:rsidTr="00827A4D">
        <w:trPr>
          <w:jc w:val="center"/>
        </w:trPr>
        <w:tc>
          <w:tcPr>
            <w:tcW w:w="1351" w:type="dxa"/>
            <w:vMerge/>
            <w:tcBorders>
              <w:left w:val="single" w:sz="4" w:space="0" w:color="000000"/>
              <w:right w:val="single" w:sz="4" w:space="0" w:color="000000"/>
            </w:tcBorders>
          </w:tcPr>
          <w:p w14:paraId="32AB871A"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796AC82F"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108EA7D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2.7.4</w:t>
            </w:r>
          </w:p>
        </w:tc>
        <w:tc>
          <w:tcPr>
            <w:tcW w:w="4015" w:type="dxa"/>
            <w:tcBorders>
              <w:top w:val="single" w:sz="4" w:space="0" w:color="000000"/>
              <w:left w:val="single" w:sz="4" w:space="0" w:color="000000"/>
              <w:bottom w:val="single" w:sz="4" w:space="0" w:color="000000"/>
              <w:right w:val="single" w:sz="4" w:space="0" w:color="000000"/>
            </w:tcBorders>
          </w:tcPr>
          <w:p w14:paraId="4BC8B067" w14:textId="77777777" w:rsidR="008C76E0" w:rsidRPr="00BD7577" w:rsidRDefault="008C76E0" w:rsidP="008C76E0">
            <w:pPr>
              <w:spacing w:after="120" w:line="240" w:lineRule="auto"/>
              <w:rPr>
                <w:rFonts w:ascii="Sylfaen" w:hAnsi="Sylfaen"/>
                <w:sz w:val="24"/>
                <w:szCs w:val="24"/>
              </w:rPr>
            </w:pPr>
          </w:p>
        </w:tc>
      </w:tr>
      <w:tr w:rsidR="008C76E0" w:rsidRPr="00BD7577" w14:paraId="5E8F4281" w14:textId="77777777" w:rsidTr="00827A4D">
        <w:trPr>
          <w:jc w:val="center"/>
        </w:trPr>
        <w:tc>
          <w:tcPr>
            <w:tcW w:w="1351" w:type="dxa"/>
            <w:vMerge/>
            <w:tcBorders>
              <w:left w:val="single" w:sz="4" w:space="0" w:color="000000"/>
              <w:right w:val="single" w:sz="4" w:space="0" w:color="000000"/>
            </w:tcBorders>
          </w:tcPr>
          <w:p w14:paraId="207C18BF"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right w:val="single" w:sz="4" w:space="0" w:color="000000"/>
            </w:tcBorders>
          </w:tcPr>
          <w:p w14:paraId="53CE25B0"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2688A3A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2.7.5</w:t>
            </w:r>
          </w:p>
        </w:tc>
        <w:tc>
          <w:tcPr>
            <w:tcW w:w="4015" w:type="dxa"/>
            <w:tcBorders>
              <w:top w:val="single" w:sz="4" w:space="0" w:color="000000"/>
              <w:left w:val="single" w:sz="4" w:space="0" w:color="000000"/>
              <w:bottom w:val="single" w:sz="4" w:space="0" w:color="000000"/>
              <w:right w:val="single" w:sz="4" w:space="0" w:color="000000"/>
            </w:tcBorders>
          </w:tcPr>
          <w:p w14:paraId="62FB5240" w14:textId="77777777" w:rsidR="008C76E0" w:rsidRPr="00BD7577" w:rsidRDefault="008C76E0" w:rsidP="008C76E0">
            <w:pPr>
              <w:spacing w:after="120" w:line="240" w:lineRule="auto"/>
              <w:rPr>
                <w:rFonts w:ascii="Sylfaen" w:hAnsi="Sylfaen"/>
                <w:sz w:val="24"/>
                <w:szCs w:val="24"/>
              </w:rPr>
            </w:pPr>
          </w:p>
        </w:tc>
      </w:tr>
      <w:tr w:rsidR="008C76E0" w:rsidRPr="00BD7577" w14:paraId="1788788A" w14:textId="77777777" w:rsidTr="00827A4D">
        <w:trPr>
          <w:jc w:val="center"/>
        </w:trPr>
        <w:tc>
          <w:tcPr>
            <w:tcW w:w="1351" w:type="dxa"/>
            <w:vMerge/>
            <w:tcBorders>
              <w:left w:val="single" w:sz="4" w:space="0" w:color="000000"/>
              <w:bottom w:val="single" w:sz="4" w:space="0" w:color="000000"/>
              <w:right w:val="single" w:sz="4" w:space="0" w:color="000000"/>
            </w:tcBorders>
          </w:tcPr>
          <w:p w14:paraId="38F7463A" w14:textId="77777777" w:rsidR="008C76E0" w:rsidRPr="00BD7577" w:rsidRDefault="008C76E0" w:rsidP="008C76E0">
            <w:pPr>
              <w:spacing w:after="120" w:line="240" w:lineRule="auto"/>
              <w:rPr>
                <w:rFonts w:ascii="Sylfaen" w:hAnsi="Sylfaen"/>
                <w:sz w:val="24"/>
                <w:szCs w:val="24"/>
              </w:rPr>
            </w:pPr>
          </w:p>
        </w:tc>
        <w:tc>
          <w:tcPr>
            <w:tcW w:w="1752" w:type="dxa"/>
            <w:vMerge/>
            <w:tcBorders>
              <w:left w:val="single" w:sz="4" w:space="0" w:color="000000"/>
              <w:bottom w:val="single" w:sz="4" w:space="0" w:color="000000"/>
              <w:right w:val="single" w:sz="4" w:space="0" w:color="000000"/>
            </w:tcBorders>
          </w:tcPr>
          <w:p w14:paraId="014DE01D" w14:textId="77777777" w:rsidR="008C76E0" w:rsidRPr="00BD7577" w:rsidRDefault="008C76E0" w:rsidP="008C76E0">
            <w:pPr>
              <w:spacing w:after="120" w:line="240" w:lineRule="auto"/>
              <w:rPr>
                <w:rFonts w:ascii="Sylfaen" w:hAnsi="Sylfaen"/>
                <w:sz w:val="24"/>
                <w:szCs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ECECEC"/>
          </w:tcPr>
          <w:p w14:paraId="239B5F2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2.7.6</w:t>
            </w:r>
          </w:p>
        </w:tc>
        <w:tc>
          <w:tcPr>
            <w:tcW w:w="4015" w:type="dxa"/>
            <w:tcBorders>
              <w:top w:val="single" w:sz="4" w:space="0" w:color="000000"/>
              <w:left w:val="single" w:sz="4" w:space="0" w:color="000000"/>
              <w:bottom w:val="single" w:sz="4" w:space="0" w:color="000000"/>
              <w:right w:val="single" w:sz="4" w:space="0" w:color="000000"/>
            </w:tcBorders>
          </w:tcPr>
          <w:p w14:paraId="1A9D1702" w14:textId="77777777" w:rsidR="008C76E0" w:rsidRPr="00BD7577" w:rsidRDefault="008C76E0" w:rsidP="008C76E0">
            <w:pPr>
              <w:spacing w:after="120" w:line="240" w:lineRule="auto"/>
              <w:rPr>
                <w:rFonts w:ascii="Sylfaen" w:hAnsi="Sylfaen"/>
                <w:sz w:val="24"/>
                <w:szCs w:val="24"/>
              </w:rPr>
            </w:pPr>
          </w:p>
        </w:tc>
      </w:tr>
    </w:tbl>
    <w:p w14:paraId="698508EE" w14:textId="77777777" w:rsidR="00814E26" w:rsidRDefault="00814E26" w:rsidP="008C76E0">
      <w:pPr>
        <w:ind w:left="567" w:right="566"/>
        <w:jc w:val="center"/>
        <w:rPr>
          <w:rFonts w:ascii="Sylfaen" w:hAnsi="Sylfaen"/>
          <w:sz w:val="24"/>
          <w:szCs w:val="24"/>
          <w:lang w:val="en-US"/>
        </w:rPr>
      </w:pPr>
    </w:p>
    <w:p w14:paraId="2FB47CE6" w14:textId="77777777" w:rsidR="008C76E0" w:rsidRPr="00BD7577" w:rsidRDefault="008C76E0" w:rsidP="00297352">
      <w:pPr>
        <w:spacing w:after="160" w:line="360" w:lineRule="auto"/>
        <w:ind w:left="567" w:right="567"/>
        <w:jc w:val="center"/>
        <w:rPr>
          <w:rFonts w:ascii="Sylfaen" w:eastAsia="Times New Roman" w:hAnsi="Sylfaen" w:cs="Times New Roman"/>
          <w:sz w:val="24"/>
          <w:szCs w:val="24"/>
        </w:rPr>
      </w:pPr>
      <w:r w:rsidRPr="00BD7577">
        <w:rPr>
          <w:rFonts w:ascii="Sylfaen" w:hAnsi="Sylfaen"/>
          <w:sz w:val="24"/>
          <w:szCs w:val="24"/>
        </w:rPr>
        <w:t>Պայմանական նշագրերը</w:t>
      </w:r>
    </w:p>
    <w:tbl>
      <w:tblPr>
        <w:tblStyle w:val="TableGrid"/>
        <w:tblW w:w="9489" w:type="dxa"/>
        <w:jc w:val="center"/>
        <w:tblLook w:val="04A0" w:firstRow="1" w:lastRow="0" w:firstColumn="1" w:lastColumn="0" w:noHBand="0" w:noVBand="1"/>
      </w:tblPr>
      <w:tblGrid>
        <w:gridCol w:w="9489"/>
      </w:tblGrid>
      <w:tr w:rsidR="008C76E0" w:rsidRPr="00BD7577" w14:paraId="36D37D0D" w14:textId="77777777" w:rsidTr="008C76E0">
        <w:trPr>
          <w:jc w:val="center"/>
        </w:trPr>
        <w:tc>
          <w:tcPr>
            <w:tcW w:w="9489" w:type="dxa"/>
          </w:tcPr>
          <w:p w14:paraId="3A284B09" w14:textId="77777777" w:rsidR="008C76E0" w:rsidRPr="00BD7577" w:rsidRDefault="008C76E0" w:rsidP="008C76E0">
            <w:pPr>
              <w:spacing w:after="120"/>
              <w:ind w:right="39"/>
              <w:jc w:val="both"/>
              <w:rPr>
                <w:rFonts w:ascii="Sylfaen" w:eastAsia="Times New Roman" w:hAnsi="Sylfaen" w:cs="Times New Roman"/>
                <w:sz w:val="24"/>
                <w:szCs w:val="24"/>
              </w:rPr>
            </w:pPr>
            <w:r w:rsidRPr="00BD7577">
              <w:rPr>
                <w:rFonts w:ascii="Sylfaen" w:hAnsi="Sylfaen"/>
                <w:sz w:val="24"/>
                <w:szCs w:val="24"/>
              </w:rPr>
              <w:t xml:space="preserve">Այս մակարդակում փաստաթղթեր ներկայացնելը չի թույլատրվում: </w:t>
            </w:r>
          </w:p>
        </w:tc>
      </w:tr>
      <w:tr w:rsidR="008C76E0" w:rsidRPr="00BD7577" w14:paraId="102434E6" w14:textId="77777777" w:rsidTr="008C76E0">
        <w:trPr>
          <w:jc w:val="center"/>
        </w:trPr>
        <w:tc>
          <w:tcPr>
            <w:tcW w:w="9489" w:type="dxa"/>
          </w:tcPr>
          <w:p w14:paraId="6A711AF6" w14:textId="77777777" w:rsidR="008C76E0" w:rsidRPr="00BD7577" w:rsidRDefault="008C76E0" w:rsidP="008C76E0">
            <w:pPr>
              <w:spacing w:after="120"/>
              <w:ind w:right="40"/>
              <w:jc w:val="both"/>
              <w:rPr>
                <w:rFonts w:ascii="Sylfaen" w:eastAsia="Times New Roman" w:hAnsi="Sylfaen" w:cs="Times New Roman"/>
                <w:sz w:val="24"/>
                <w:szCs w:val="24"/>
              </w:rPr>
            </w:pPr>
            <w:r w:rsidRPr="00BD7577">
              <w:rPr>
                <w:rFonts w:ascii="Sylfaen" w:hAnsi="Sylfaen"/>
                <w:sz w:val="24"/>
                <w:szCs w:val="24"/>
              </w:rPr>
              <w:t>Բովանդակությունը պահանջվում է միայն ԸՏՓ-ի թղթային տարբերակի համար, ԷԸՏՓ-ում այն նախատեսված չէ: Այդ մակարդակում թույլատրվում է ներկայացնել մեկ փաստաթուղթ:</w:t>
            </w:r>
          </w:p>
        </w:tc>
      </w:tr>
    </w:tbl>
    <w:p w14:paraId="580E13C0" w14:textId="77777777" w:rsidR="00814E26" w:rsidRDefault="00814E26" w:rsidP="008C76E0">
      <w:pPr>
        <w:ind w:right="39"/>
        <w:jc w:val="center"/>
        <w:rPr>
          <w:rFonts w:ascii="Sylfaen" w:eastAsia="Times New Roman" w:hAnsi="Sylfaen" w:cs="Times New Roman"/>
          <w:sz w:val="24"/>
          <w:szCs w:val="24"/>
        </w:rPr>
        <w:sectPr w:rsidR="00814E26" w:rsidSect="00814E26">
          <w:footnotePr>
            <w:numRestart w:val="eachSect"/>
          </w:footnotePr>
          <w:pgSz w:w="11907" w:h="16839" w:code="9"/>
          <w:pgMar w:top="1418" w:right="1418" w:bottom="1418" w:left="1418" w:header="0" w:footer="361" w:gutter="0"/>
          <w:cols w:space="720"/>
          <w:noEndnote/>
          <w:docGrid w:linePitch="360"/>
        </w:sectPr>
      </w:pPr>
    </w:p>
    <w:p w14:paraId="2F188F6F" w14:textId="77777777" w:rsidR="008C76E0" w:rsidRPr="00BD7577" w:rsidRDefault="008C76E0" w:rsidP="008C76E0">
      <w:pPr>
        <w:tabs>
          <w:tab w:val="left" w:pos="1134"/>
        </w:tabs>
        <w:ind w:right="175" w:firstLine="567"/>
        <w:jc w:val="both"/>
        <w:rPr>
          <w:rFonts w:ascii="Sylfaen" w:eastAsia="Times New Roman" w:hAnsi="Sylfaen" w:cs="Times New Roman"/>
          <w:sz w:val="24"/>
          <w:szCs w:val="24"/>
          <w:lang w:val="ru-RU"/>
        </w:rPr>
      </w:pPr>
      <w:r w:rsidRPr="00BD7577">
        <w:rPr>
          <w:rFonts w:ascii="Sylfaen" w:eastAsia="Times New Roman" w:hAnsi="Sylfaen" w:cs="Times New Roman"/>
          <w:sz w:val="24"/>
          <w:szCs w:val="24"/>
        </w:rPr>
        <w:lastRenderedPageBreak/>
        <w:t>3</w:t>
      </w:r>
      <w:r>
        <w:rPr>
          <w:rFonts w:ascii="Sylfaen" w:eastAsia="Times New Roman" w:hAnsi="Sylfaen" w:cs="Times New Roman"/>
          <w:sz w:val="24"/>
          <w:szCs w:val="24"/>
          <w:lang w:val="ru-RU"/>
        </w:rPr>
        <w:t>.</w:t>
      </w:r>
      <w:r>
        <w:rPr>
          <w:rFonts w:ascii="Sylfaen" w:eastAsia="Times New Roman" w:hAnsi="Sylfaen" w:cs="Times New Roman"/>
          <w:sz w:val="24"/>
          <w:szCs w:val="24"/>
          <w:lang w:val="en-US"/>
        </w:rPr>
        <w:tab/>
      </w:r>
      <w:r w:rsidRPr="00BD7577">
        <w:rPr>
          <w:rFonts w:ascii="Sylfaen" w:hAnsi="Sylfaen"/>
          <w:sz w:val="24"/>
          <w:szCs w:val="24"/>
        </w:rPr>
        <w:t>Մոդուլ 3</w:t>
      </w:r>
    </w:p>
    <w:tbl>
      <w:tblPr>
        <w:tblW w:w="0" w:type="auto"/>
        <w:jc w:val="center"/>
        <w:tblLayout w:type="fixed"/>
        <w:tblCellMar>
          <w:left w:w="0" w:type="dxa"/>
          <w:right w:w="0" w:type="dxa"/>
        </w:tblCellMar>
        <w:tblLook w:val="01E0" w:firstRow="1" w:lastRow="1" w:firstColumn="1" w:lastColumn="1" w:noHBand="0" w:noVBand="0"/>
      </w:tblPr>
      <w:tblGrid>
        <w:gridCol w:w="1526"/>
        <w:gridCol w:w="1154"/>
        <w:gridCol w:w="2815"/>
        <w:gridCol w:w="1927"/>
        <w:gridCol w:w="2237"/>
      </w:tblGrid>
      <w:tr w:rsidR="008C76E0" w:rsidRPr="00BD7577" w14:paraId="46043684" w14:textId="77777777" w:rsidTr="008C76E0">
        <w:trPr>
          <w:jc w:val="center"/>
        </w:trPr>
        <w:tc>
          <w:tcPr>
            <w:tcW w:w="1526" w:type="dxa"/>
            <w:vMerge w:val="restart"/>
            <w:tcBorders>
              <w:top w:val="single" w:sz="4" w:space="0" w:color="000000"/>
              <w:left w:val="single" w:sz="4" w:space="0" w:color="000000"/>
              <w:right w:val="single" w:sz="4" w:space="0" w:color="000000"/>
            </w:tcBorders>
            <w:shd w:val="clear" w:color="auto" w:fill="E7E7E7"/>
          </w:tcPr>
          <w:p w14:paraId="5C435144" w14:textId="77777777" w:rsidR="008C76E0" w:rsidRPr="00814E26" w:rsidRDefault="008C76E0" w:rsidP="00814E26">
            <w:pPr>
              <w:spacing w:after="120" w:line="240" w:lineRule="auto"/>
              <w:ind w:left="102" w:right="-20"/>
              <w:rPr>
                <w:rFonts w:ascii="Sylfaen" w:eastAsia="Times New Roman" w:hAnsi="Sylfaen" w:cs="Times New Roman"/>
                <w:sz w:val="24"/>
                <w:szCs w:val="24"/>
                <w:lang w:val="en-US"/>
              </w:rPr>
            </w:pPr>
            <w:r w:rsidRPr="00814E26">
              <w:rPr>
                <w:rFonts w:ascii="Sylfaen" w:hAnsi="Sylfaen"/>
                <w:sz w:val="24"/>
                <w:szCs w:val="24"/>
              </w:rPr>
              <w:t>Մոդուլ 3</w:t>
            </w:r>
            <w:r w:rsidR="00814E26">
              <w:rPr>
                <w:rStyle w:val="FootnoteReference"/>
                <w:rFonts w:ascii="Sylfaen" w:hAnsi="Sylfaen"/>
                <w:sz w:val="24"/>
                <w:szCs w:val="24"/>
              </w:rPr>
              <w:footnoteReference w:id="32"/>
            </w:r>
          </w:p>
        </w:tc>
        <w:tc>
          <w:tcPr>
            <w:tcW w:w="1154" w:type="dxa"/>
            <w:tcBorders>
              <w:top w:val="single" w:sz="4" w:space="0" w:color="000000"/>
              <w:left w:val="single" w:sz="4" w:space="0" w:color="000000"/>
              <w:bottom w:val="single" w:sz="4" w:space="0" w:color="000000"/>
              <w:right w:val="single" w:sz="4" w:space="0" w:color="000000"/>
            </w:tcBorders>
          </w:tcPr>
          <w:p w14:paraId="1D91838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3.1</w:t>
            </w:r>
          </w:p>
        </w:tc>
        <w:tc>
          <w:tcPr>
            <w:tcW w:w="6979" w:type="dxa"/>
            <w:gridSpan w:val="3"/>
            <w:tcBorders>
              <w:top w:val="single" w:sz="4" w:space="0" w:color="000000"/>
              <w:left w:val="single" w:sz="4" w:space="0" w:color="000000"/>
              <w:bottom w:val="single" w:sz="4" w:space="0" w:color="000000"/>
              <w:right w:val="single" w:sz="4" w:space="0" w:color="000000"/>
            </w:tcBorders>
          </w:tcPr>
          <w:p w14:paraId="726FCC79" w14:textId="77777777" w:rsidR="008C76E0" w:rsidRPr="00BD7577" w:rsidRDefault="008C76E0" w:rsidP="008C76E0">
            <w:pPr>
              <w:spacing w:after="120" w:line="240" w:lineRule="auto"/>
              <w:rPr>
                <w:rFonts w:ascii="Sylfaen" w:hAnsi="Sylfaen"/>
                <w:sz w:val="24"/>
                <w:szCs w:val="24"/>
              </w:rPr>
            </w:pPr>
          </w:p>
        </w:tc>
      </w:tr>
      <w:tr w:rsidR="008C76E0" w:rsidRPr="00BD7577" w14:paraId="2A2D1D67" w14:textId="77777777" w:rsidTr="008C76E0">
        <w:trPr>
          <w:jc w:val="center"/>
        </w:trPr>
        <w:tc>
          <w:tcPr>
            <w:tcW w:w="1526" w:type="dxa"/>
            <w:vMerge/>
            <w:tcBorders>
              <w:left w:val="single" w:sz="4" w:space="0" w:color="000000"/>
              <w:right w:val="single" w:sz="4" w:space="0" w:color="000000"/>
            </w:tcBorders>
            <w:shd w:val="clear" w:color="auto" w:fill="E7E7E7"/>
          </w:tcPr>
          <w:p w14:paraId="2AAC49D6" w14:textId="77777777" w:rsidR="008C76E0" w:rsidRPr="00BD7577" w:rsidRDefault="008C76E0" w:rsidP="008C76E0">
            <w:pPr>
              <w:spacing w:after="120" w:line="240" w:lineRule="auto"/>
              <w:rPr>
                <w:rFonts w:ascii="Sylfaen" w:hAnsi="Sylfaen"/>
                <w:sz w:val="24"/>
                <w:szCs w:val="24"/>
              </w:rPr>
            </w:pPr>
          </w:p>
        </w:tc>
        <w:tc>
          <w:tcPr>
            <w:tcW w:w="1154" w:type="dxa"/>
            <w:vMerge w:val="restart"/>
            <w:tcBorders>
              <w:top w:val="single" w:sz="4" w:space="0" w:color="000000"/>
              <w:left w:val="single" w:sz="4" w:space="0" w:color="000000"/>
              <w:right w:val="single" w:sz="4" w:space="0" w:color="000000"/>
            </w:tcBorders>
            <w:shd w:val="clear" w:color="auto" w:fill="E7E7E7"/>
          </w:tcPr>
          <w:p w14:paraId="2E994F1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w:t>
            </w:r>
          </w:p>
        </w:tc>
        <w:tc>
          <w:tcPr>
            <w:tcW w:w="2815" w:type="dxa"/>
            <w:vMerge w:val="restart"/>
            <w:tcBorders>
              <w:top w:val="single" w:sz="4" w:space="0" w:color="000000"/>
              <w:left w:val="single" w:sz="4" w:space="0" w:color="000000"/>
              <w:right w:val="single" w:sz="4" w:space="0" w:color="000000"/>
            </w:tcBorders>
            <w:shd w:val="clear" w:color="auto" w:fill="E7E7E7"/>
          </w:tcPr>
          <w:p w14:paraId="4A7BEF9C" w14:textId="77777777" w:rsidR="008C76E0" w:rsidRPr="00814E26" w:rsidRDefault="008C76E0" w:rsidP="00814E26">
            <w:pPr>
              <w:spacing w:after="120" w:line="240" w:lineRule="auto"/>
              <w:ind w:left="102" w:right="-20"/>
              <w:rPr>
                <w:rFonts w:ascii="Sylfaen" w:eastAsia="Times New Roman" w:hAnsi="Sylfaen" w:cs="Times New Roman"/>
                <w:sz w:val="24"/>
                <w:szCs w:val="24"/>
                <w:lang w:val="en-US"/>
              </w:rPr>
            </w:pPr>
            <w:r w:rsidRPr="00814E26">
              <w:rPr>
                <w:rFonts w:ascii="Sylfaen" w:hAnsi="Sylfaen"/>
                <w:sz w:val="24"/>
                <w:szCs w:val="24"/>
              </w:rPr>
              <w:t>3.2.S</w:t>
            </w:r>
            <w:r w:rsidRPr="00BD7577">
              <w:rPr>
                <w:rFonts w:ascii="Sylfaen" w:hAnsi="Sylfaen"/>
                <w:sz w:val="24"/>
                <w:szCs w:val="24"/>
              </w:rPr>
              <w:t xml:space="preserve"> </w:t>
            </w:r>
            <w:r w:rsidR="00814E26">
              <w:rPr>
                <w:rStyle w:val="FootnoteReference"/>
                <w:rFonts w:ascii="Sylfaen" w:hAnsi="Sylfaen"/>
                <w:sz w:val="24"/>
                <w:szCs w:val="24"/>
              </w:rPr>
              <w:footnoteReference w:id="33"/>
            </w:r>
          </w:p>
        </w:tc>
        <w:tc>
          <w:tcPr>
            <w:tcW w:w="1927" w:type="dxa"/>
            <w:vMerge w:val="restart"/>
            <w:tcBorders>
              <w:top w:val="single" w:sz="4" w:space="0" w:color="000000"/>
              <w:left w:val="single" w:sz="4" w:space="0" w:color="000000"/>
              <w:right w:val="single" w:sz="4" w:space="0" w:color="000000"/>
            </w:tcBorders>
            <w:shd w:val="clear" w:color="auto" w:fill="E7E7E7"/>
          </w:tcPr>
          <w:p w14:paraId="0FA40DBD" w14:textId="77777777" w:rsidR="008C76E0" w:rsidRPr="00BD7577" w:rsidRDefault="008C76E0" w:rsidP="008C76E0">
            <w:pPr>
              <w:spacing w:after="120" w:line="240" w:lineRule="auto"/>
              <w:ind w:left="102" w:right="-23"/>
              <w:rPr>
                <w:rFonts w:ascii="Sylfaen" w:eastAsia="Times New Roman" w:hAnsi="Sylfaen" w:cs="Times New Roman"/>
                <w:sz w:val="24"/>
                <w:szCs w:val="24"/>
              </w:rPr>
            </w:pPr>
            <w:r w:rsidRPr="00BD7577">
              <w:rPr>
                <w:rFonts w:ascii="Sylfaen" w:hAnsi="Sylfaen"/>
                <w:sz w:val="24"/>
                <w:szCs w:val="24"/>
              </w:rPr>
              <w:t>3.2.S.1</w:t>
            </w:r>
          </w:p>
        </w:tc>
        <w:tc>
          <w:tcPr>
            <w:tcW w:w="2237" w:type="dxa"/>
            <w:tcBorders>
              <w:top w:val="single" w:sz="4" w:space="0" w:color="000000"/>
              <w:left w:val="single" w:sz="4" w:space="0" w:color="000000"/>
              <w:bottom w:val="single" w:sz="4" w:space="0" w:color="000000"/>
              <w:right w:val="single" w:sz="4" w:space="0" w:color="000000"/>
            </w:tcBorders>
          </w:tcPr>
          <w:p w14:paraId="23AFCBE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3.2.S.1.1</w:t>
            </w:r>
          </w:p>
        </w:tc>
      </w:tr>
      <w:tr w:rsidR="008C76E0" w:rsidRPr="00BD7577" w14:paraId="083F7D35" w14:textId="77777777" w:rsidTr="008C76E0">
        <w:trPr>
          <w:jc w:val="center"/>
        </w:trPr>
        <w:tc>
          <w:tcPr>
            <w:tcW w:w="1526" w:type="dxa"/>
            <w:vMerge/>
            <w:tcBorders>
              <w:left w:val="single" w:sz="4" w:space="0" w:color="000000"/>
              <w:right w:val="single" w:sz="4" w:space="0" w:color="000000"/>
            </w:tcBorders>
            <w:shd w:val="clear" w:color="auto" w:fill="E7E7E7"/>
          </w:tcPr>
          <w:p w14:paraId="1FCDC7C5"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347591C1"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D657401"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58200A80"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03FBCEB"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3.2.S.1.2</w:t>
            </w:r>
          </w:p>
        </w:tc>
      </w:tr>
      <w:tr w:rsidR="008C76E0" w:rsidRPr="00BD7577" w14:paraId="36698479" w14:textId="77777777" w:rsidTr="008C76E0">
        <w:trPr>
          <w:jc w:val="center"/>
        </w:trPr>
        <w:tc>
          <w:tcPr>
            <w:tcW w:w="1526" w:type="dxa"/>
            <w:vMerge/>
            <w:tcBorders>
              <w:left w:val="single" w:sz="4" w:space="0" w:color="000000"/>
              <w:right w:val="single" w:sz="4" w:space="0" w:color="000000"/>
            </w:tcBorders>
            <w:shd w:val="clear" w:color="auto" w:fill="E7E7E7"/>
          </w:tcPr>
          <w:p w14:paraId="06B31B12"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022399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C08043C"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3A975C58"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5BBE810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3.2.S.1.3</w:t>
            </w:r>
          </w:p>
        </w:tc>
      </w:tr>
      <w:tr w:rsidR="008C76E0" w:rsidRPr="00BD7577" w14:paraId="309A0ADA" w14:textId="77777777" w:rsidTr="008C76E0">
        <w:trPr>
          <w:jc w:val="center"/>
        </w:trPr>
        <w:tc>
          <w:tcPr>
            <w:tcW w:w="1526" w:type="dxa"/>
            <w:vMerge/>
            <w:tcBorders>
              <w:left w:val="single" w:sz="4" w:space="0" w:color="000000"/>
              <w:right w:val="single" w:sz="4" w:space="0" w:color="000000"/>
            </w:tcBorders>
            <w:shd w:val="clear" w:color="auto" w:fill="E7E7E7"/>
          </w:tcPr>
          <w:p w14:paraId="090BEB01"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9433F0F"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3D6F70C"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38D03D9C"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3.2.S.2</w:t>
            </w:r>
          </w:p>
        </w:tc>
        <w:tc>
          <w:tcPr>
            <w:tcW w:w="2237" w:type="dxa"/>
            <w:tcBorders>
              <w:top w:val="single" w:sz="4" w:space="0" w:color="000000"/>
              <w:left w:val="single" w:sz="4" w:space="0" w:color="000000"/>
              <w:bottom w:val="single" w:sz="4" w:space="0" w:color="000000"/>
              <w:right w:val="single" w:sz="4" w:space="0" w:color="000000"/>
            </w:tcBorders>
          </w:tcPr>
          <w:p w14:paraId="27D850A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3.2.S.2.1</w:t>
            </w:r>
          </w:p>
        </w:tc>
      </w:tr>
      <w:tr w:rsidR="008C76E0" w:rsidRPr="00BD7577" w14:paraId="3E778B88" w14:textId="77777777" w:rsidTr="008C76E0">
        <w:trPr>
          <w:jc w:val="center"/>
        </w:trPr>
        <w:tc>
          <w:tcPr>
            <w:tcW w:w="1526" w:type="dxa"/>
            <w:vMerge/>
            <w:tcBorders>
              <w:left w:val="single" w:sz="4" w:space="0" w:color="000000"/>
              <w:right w:val="single" w:sz="4" w:space="0" w:color="000000"/>
            </w:tcBorders>
            <w:shd w:val="clear" w:color="auto" w:fill="E7E7E7"/>
          </w:tcPr>
          <w:p w14:paraId="209F2949"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4FF9211"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B9340A9"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4B246CDC"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F71091D"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3.2.S.2.2</w:t>
            </w:r>
          </w:p>
        </w:tc>
      </w:tr>
      <w:tr w:rsidR="008C76E0" w:rsidRPr="00BD7577" w14:paraId="30299A2C" w14:textId="77777777" w:rsidTr="008C76E0">
        <w:trPr>
          <w:jc w:val="center"/>
        </w:trPr>
        <w:tc>
          <w:tcPr>
            <w:tcW w:w="1526" w:type="dxa"/>
            <w:vMerge/>
            <w:tcBorders>
              <w:left w:val="single" w:sz="4" w:space="0" w:color="000000"/>
              <w:right w:val="single" w:sz="4" w:space="0" w:color="000000"/>
            </w:tcBorders>
            <w:shd w:val="clear" w:color="auto" w:fill="E7E7E7"/>
          </w:tcPr>
          <w:p w14:paraId="0B30ACC3"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65606BD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F15D705"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43E6B25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045446B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3.2.S.2.3</w:t>
            </w:r>
          </w:p>
        </w:tc>
      </w:tr>
      <w:tr w:rsidR="008C76E0" w:rsidRPr="00BD7577" w14:paraId="7DB84E58" w14:textId="77777777" w:rsidTr="008C76E0">
        <w:trPr>
          <w:jc w:val="center"/>
        </w:trPr>
        <w:tc>
          <w:tcPr>
            <w:tcW w:w="1526" w:type="dxa"/>
            <w:vMerge/>
            <w:tcBorders>
              <w:left w:val="single" w:sz="4" w:space="0" w:color="000000"/>
              <w:right w:val="single" w:sz="4" w:space="0" w:color="000000"/>
            </w:tcBorders>
            <w:shd w:val="clear" w:color="auto" w:fill="E7E7E7"/>
          </w:tcPr>
          <w:p w14:paraId="470C4C98"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3DE34F6A"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46A7A6F"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13E7E7DE"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2B6E69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3.2.S.2.4</w:t>
            </w:r>
          </w:p>
        </w:tc>
      </w:tr>
      <w:tr w:rsidR="008C76E0" w:rsidRPr="00BD7577" w14:paraId="767998DC" w14:textId="77777777" w:rsidTr="008C76E0">
        <w:trPr>
          <w:jc w:val="center"/>
        </w:trPr>
        <w:tc>
          <w:tcPr>
            <w:tcW w:w="1526" w:type="dxa"/>
            <w:vMerge/>
            <w:tcBorders>
              <w:left w:val="single" w:sz="4" w:space="0" w:color="000000"/>
              <w:right w:val="single" w:sz="4" w:space="0" w:color="000000"/>
            </w:tcBorders>
            <w:shd w:val="clear" w:color="auto" w:fill="E7E7E7"/>
          </w:tcPr>
          <w:p w14:paraId="22A287F9"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504714A0"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1EF2EAB"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5FDE2937"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8E00DAD"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3.2.S.2.5</w:t>
            </w:r>
          </w:p>
        </w:tc>
      </w:tr>
      <w:tr w:rsidR="008C76E0" w:rsidRPr="00BD7577" w14:paraId="00EA36DB" w14:textId="77777777" w:rsidTr="008C76E0">
        <w:trPr>
          <w:jc w:val="center"/>
        </w:trPr>
        <w:tc>
          <w:tcPr>
            <w:tcW w:w="1526" w:type="dxa"/>
            <w:vMerge/>
            <w:tcBorders>
              <w:left w:val="single" w:sz="4" w:space="0" w:color="000000"/>
              <w:right w:val="single" w:sz="4" w:space="0" w:color="000000"/>
            </w:tcBorders>
            <w:shd w:val="clear" w:color="auto" w:fill="E7E7E7"/>
          </w:tcPr>
          <w:p w14:paraId="31EA2928"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F39B978"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48D3DE8"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198CDD4D"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C129BA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3.2.S.2.6</w:t>
            </w:r>
          </w:p>
        </w:tc>
      </w:tr>
      <w:tr w:rsidR="008C76E0" w:rsidRPr="00BD7577" w14:paraId="280A6224" w14:textId="77777777" w:rsidTr="008C76E0">
        <w:trPr>
          <w:jc w:val="center"/>
        </w:trPr>
        <w:tc>
          <w:tcPr>
            <w:tcW w:w="1526" w:type="dxa"/>
            <w:vMerge/>
            <w:tcBorders>
              <w:left w:val="single" w:sz="4" w:space="0" w:color="000000"/>
              <w:right w:val="single" w:sz="4" w:space="0" w:color="000000"/>
            </w:tcBorders>
            <w:shd w:val="clear" w:color="auto" w:fill="E7E7E7"/>
          </w:tcPr>
          <w:p w14:paraId="3447133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5B95D3B"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33A7883"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052E1425"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3.2.S.3</w:t>
            </w:r>
          </w:p>
        </w:tc>
        <w:tc>
          <w:tcPr>
            <w:tcW w:w="2237" w:type="dxa"/>
            <w:tcBorders>
              <w:top w:val="single" w:sz="4" w:space="0" w:color="000000"/>
              <w:left w:val="single" w:sz="4" w:space="0" w:color="000000"/>
              <w:bottom w:val="single" w:sz="4" w:space="0" w:color="000000"/>
              <w:right w:val="single" w:sz="4" w:space="0" w:color="000000"/>
            </w:tcBorders>
          </w:tcPr>
          <w:p w14:paraId="53C7837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3.2.S.3.1</w:t>
            </w:r>
          </w:p>
        </w:tc>
      </w:tr>
      <w:tr w:rsidR="008C76E0" w:rsidRPr="00BD7577" w14:paraId="70A22A24" w14:textId="77777777" w:rsidTr="008C76E0">
        <w:trPr>
          <w:jc w:val="center"/>
        </w:trPr>
        <w:tc>
          <w:tcPr>
            <w:tcW w:w="1526" w:type="dxa"/>
            <w:vMerge/>
            <w:tcBorders>
              <w:left w:val="single" w:sz="4" w:space="0" w:color="000000"/>
              <w:right w:val="single" w:sz="4" w:space="0" w:color="000000"/>
            </w:tcBorders>
            <w:shd w:val="clear" w:color="auto" w:fill="E7E7E7"/>
          </w:tcPr>
          <w:p w14:paraId="3163BB9F"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5A21939C"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528A123"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12BA90E9"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1A56024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3.2.S.3.2</w:t>
            </w:r>
          </w:p>
        </w:tc>
      </w:tr>
      <w:tr w:rsidR="008C76E0" w:rsidRPr="00BD7577" w14:paraId="7AB2AA00" w14:textId="77777777" w:rsidTr="008C76E0">
        <w:trPr>
          <w:jc w:val="center"/>
        </w:trPr>
        <w:tc>
          <w:tcPr>
            <w:tcW w:w="1526" w:type="dxa"/>
            <w:vMerge/>
            <w:tcBorders>
              <w:left w:val="single" w:sz="4" w:space="0" w:color="000000"/>
              <w:right w:val="single" w:sz="4" w:space="0" w:color="000000"/>
            </w:tcBorders>
            <w:shd w:val="clear" w:color="auto" w:fill="E7E7E7"/>
          </w:tcPr>
          <w:p w14:paraId="1837AAC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AA060E7"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5B23D01"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01DB4D52"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3.2.S.4</w:t>
            </w:r>
          </w:p>
        </w:tc>
        <w:tc>
          <w:tcPr>
            <w:tcW w:w="2237" w:type="dxa"/>
            <w:tcBorders>
              <w:top w:val="single" w:sz="4" w:space="0" w:color="000000"/>
              <w:left w:val="single" w:sz="4" w:space="0" w:color="000000"/>
              <w:bottom w:val="single" w:sz="4" w:space="0" w:color="000000"/>
              <w:right w:val="single" w:sz="4" w:space="0" w:color="000000"/>
            </w:tcBorders>
          </w:tcPr>
          <w:p w14:paraId="5532033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3.2.S.4.1</w:t>
            </w:r>
          </w:p>
        </w:tc>
      </w:tr>
      <w:tr w:rsidR="008C76E0" w:rsidRPr="00BD7577" w14:paraId="5AE34C53" w14:textId="77777777" w:rsidTr="008C76E0">
        <w:trPr>
          <w:jc w:val="center"/>
        </w:trPr>
        <w:tc>
          <w:tcPr>
            <w:tcW w:w="1526" w:type="dxa"/>
            <w:vMerge/>
            <w:tcBorders>
              <w:left w:val="single" w:sz="4" w:space="0" w:color="000000"/>
              <w:right w:val="single" w:sz="4" w:space="0" w:color="000000"/>
            </w:tcBorders>
            <w:shd w:val="clear" w:color="auto" w:fill="E7E7E7"/>
          </w:tcPr>
          <w:p w14:paraId="3330C25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09CD660"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4BD91F5B"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6394B0E9"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5A53C61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3.2.S.4.2</w:t>
            </w:r>
          </w:p>
        </w:tc>
      </w:tr>
      <w:tr w:rsidR="008C76E0" w:rsidRPr="00BD7577" w14:paraId="18E3FC82" w14:textId="77777777" w:rsidTr="008C76E0">
        <w:trPr>
          <w:jc w:val="center"/>
        </w:trPr>
        <w:tc>
          <w:tcPr>
            <w:tcW w:w="1526" w:type="dxa"/>
            <w:vMerge/>
            <w:tcBorders>
              <w:left w:val="single" w:sz="4" w:space="0" w:color="000000"/>
              <w:right w:val="single" w:sz="4" w:space="0" w:color="000000"/>
            </w:tcBorders>
            <w:shd w:val="clear" w:color="auto" w:fill="E7E7E7"/>
          </w:tcPr>
          <w:p w14:paraId="5CF4028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81241A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0F6E3FA6"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138C86D1"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111CCCA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3.2.S.4.3</w:t>
            </w:r>
          </w:p>
        </w:tc>
      </w:tr>
      <w:tr w:rsidR="008C76E0" w:rsidRPr="00BD7577" w14:paraId="2216A125" w14:textId="77777777" w:rsidTr="008C76E0">
        <w:trPr>
          <w:jc w:val="center"/>
        </w:trPr>
        <w:tc>
          <w:tcPr>
            <w:tcW w:w="1526" w:type="dxa"/>
            <w:vMerge/>
            <w:tcBorders>
              <w:left w:val="single" w:sz="4" w:space="0" w:color="000000"/>
              <w:right w:val="single" w:sz="4" w:space="0" w:color="000000"/>
            </w:tcBorders>
            <w:shd w:val="clear" w:color="auto" w:fill="E7E7E7"/>
          </w:tcPr>
          <w:p w14:paraId="7D5AD8E5"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13FC8F2"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70CBA37"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2E50A2B4"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67E9B3F"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3.2.S.4.4</w:t>
            </w:r>
          </w:p>
        </w:tc>
      </w:tr>
      <w:tr w:rsidR="008C76E0" w:rsidRPr="00BD7577" w14:paraId="0B977AB4" w14:textId="77777777" w:rsidTr="008C76E0">
        <w:trPr>
          <w:jc w:val="center"/>
        </w:trPr>
        <w:tc>
          <w:tcPr>
            <w:tcW w:w="1526" w:type="dxa"/>
            <w:vMerge/>
            <w:tcBorders>
              <w:left w:val="single" w:sz="4" w:space="0" w:color="000000"/>
              <w:right w:val="single" w:sz="4" w:space="0" w:color="000000"/>
            </w:tcBorders>
            <w:shd w:val="clear" w:color="auto" w:fill="E7E7E7"/>
          </w:tcPr>
          <w:p w14:paraId="5930D970"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42128517"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B88904E"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2114EF1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B24BDF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3.2.S.4.5</w:t>
            </w:r>
          </w:p>
        </w:tc>
      </w:tr>
      <w:tr w:rsidR="008C76E0" w:rsidRPr="00BD7577" w14:paraId="2E216452" w14:textId="77777777" w:rsidTr="008C76E0">
        <w:trPr>
          <w:jc w:val="center"/>
        </w:trPr>
        <w:tc>
          <w:tcPr>
            <w:tcW w:w="1526" w:type="dxa"/>
            <w:vMerge/>
            <w:tcBorders>
              <w:left w:val="single" w:sz="4" w:space="0" w:color="000000"/>
              <w:right w:val="single" w:sz="4" w:space="0" w:color="000000"/>
            </w:tcBorders>
            <w:shd w:val="clear" w:color="auto" w:fill="E7E7E7"/>
          </w:tcPr>
          <w:p w14:paraId="4D4B0F0D"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538D4063"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CEBE78F"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311F51BC"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3.2.S.5</w:t>
            </w:r>
          </w:p>
        </w:tc>
        <w:tc>
          <w:tcPr>
            <w:tcW w:w="2237" w:type="dxa"/>
            <w:tcBorders>
              <w:top w:val="single" w:sz="4" w:space="0" w:color="000000"/>
              <w:left w:val="single" w:sz="4" w:space="0" w:color="000000"/>
              <w:bottom w:val="single" w:sz="4" w:space="0" w:color="000000"/>
              <w:right w:val="single" w:sz="4" w:space="0" w:color="000000"/>
            </w:tcBorders>
          </w:tcPr>
          <w:p w14:paraId="198F6BA5" w14:textId="77777777" w:rsidR="008C76E0" w:rsidRPr="00BD7577" w:rsidRDefault="008C76E0" w:rsidP="008C76E0">
            <w:pPr>
              <w:spacing w:after="120" w:line="240" w:lineRule="auto"/>
              <w:rPr>
                <w:rFonts w:ascii="Sylfaen" w:hAnsi="Sylfaen"/>
                <w:sz w:val="24"/>
                <w:szCs w:val="24"/>
              </w:rPr>
            </w:pPr>
          </w:p>
        </w:tc>
      </w:tr>
      <w:tr w:rsidR="008C76E0" w:rsidRPr="00BD7577" w14:paraId="119CDFF8" w14:textId="77777777" w:rsidTr="008C76E0">
        <w:trPr>
          <w:jc w:val="center"/>
        </w:trPr>
        <w:tc>
          <w:tcPr>
            <w:tcW w:w="1526" w:type="dxa"/>
            <w:vMerge/>
            <w:tcBorders>
              <w:left w:val="single" w:sz="4" w:space="0" w:color="000000"/>
              <w:right w:val="single" w:sz="4" w:space="0" w:color="000000"/>
            </w:tcBorders>
            <w:shd w:val="clear" w:color="auto" w:fill="E7E7E7"/>
          </w:tcPr>
          <w:p w14:paraId="52126D4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7F77F02"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CD0425F"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3C8F1DC3"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3.2.S.6</w:t>
            </w:r>
          </w:p>
        </w:tc>
        <w:tc>
          <w:tcPr>
            <w:tcW w:w="2237" w:type="dxa"/>
            <w:tcBorders>
              <w:top w:val="single" w:sz="4" w:space="0" w:color="000000"/>
              <w:left w:val="single" w:sz="4" w:space="0" w:color="000000"/>
              <w:bottom w:val="single" w:sz="4" w:space="0" w:color="000000"/>
              <w:right w:val="single" w:sz="4" w:space="0" w:color="000000"/>
            </w:tcBorders>
          </w:tcPr>
          <w:p w14:paraId="5975A737" w14:textId="77777777" w:rsidR="008C76E0" w:rsidRPr="00BD7577" w:rsidRDefault="008C76E0" w:rsidP="008C76E0">
            <w:pPr>
              <w:spacing w:after="120" w:line="240" w:lineRule="auto"/>
              <w:rPr>
                <w:rFonts w:ascii="Sylfaen" w:hAnsi="Sylfaen"/>
                <w:sz w:val="24"/>
                <w:szCs w:val="24"/>
              </w:rPr>
            </w:pPr>
          </w:p>
        </w:tc>
      </w:tr>
      <w:tr w:rsidR="008C76E0" w:rsidRPr="00BD7577" w14:paraId="465514BA" w14:textId="77777777" w:rsidTr="008C76E0">
        <w:trPr>
          <w:jc w:val="center"/>
        </w:trPr>
        <w:tc>
          <w:tcPr>
            <w:tcW w:w="1526" w:type="dxa"/>
            <w:vMerge/>
            <w:tcBorders>
              <w:left w:val="single" w:sz="4" w:space="0" w:color="000000"/>
              <w:right w:val="single" w:sz="4" w:space="0" w:color="000000"/>
            </w:tcBorders>
            <w:shd w:val="clear" w:color="auto" w:fill="E7E7E7"/>
          </w:tcPr>
          <w:p w14:paraId="4A48F1A7"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6B6B7539"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47CF895"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19591CC3"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3.2.S.7</w:t>
            </w:r>
          </w:p>
        </w:tc>
        <w:tc>
          <w:tcPr>
            <w:tcW w:w="2237" w:type="dxa"/>
            <w:tcBorders>
              <w:top w:val="single" w:sz="4" w:space="0" w:color="000000"/>
              <w:left w:val="single" w:sz="4" w:space="0" w:color="000000"/>
              <w:bottom w:val="single" w:sz="4" w:space="0" w:color="000000"/>
              <w:right w:val="single" w:sz="4" w:space="0" w:color="000000"/>
            </w:tcBorders>
          </w:tcPr>
          <w:p w14:paraId="0AB113E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3.2.S.7.1</w:t>
            </w:r>
          </w:p>
        </w:tc>
      </w:tr>
      <w:tr w:rsidR="008C76E0" w:rsidRPr="00BD7577" w14:paraId="35DB5097" w14:textId="77777777" w:rsidTr="008C76E0">
        <w:trPr>
          <w:jc w:val="center"/>
        </w:trPr>
        <w:tc>
          <w:tcPr>
            <w:tcW w:w="1526" w:type="dxa"/>
            <w:vMerge/>
            <w:tcBorders>
              <w:left w:val="single" w:sz="4" w:space="0" w:color="000000"/>
              <w:right w:val="single" w:sz="4" w:space="0" w:color="000000"/>
            </w:tcBorders>
            <w:shd w:val="clear" w:color="auto" w:fill="E7E7E7"/>
          </w:tcPr>
          <w:p w14:paraId="490909EC"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ACE8137"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F401D0E"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39A78883"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B2CEF0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3.2.S.7.2</w:t>
            </w:r>
          </w:p>
        </w:tc>
      </w:tr>
      <w:tr w:rsidR="008C76E0" w:rsidRPr="00BD7577" w14:paraId="0EB1BD6C" w14:textId="77777777" w:rsidTr="008C76E0">
        <w:trPr>
          <w:jc w:val="center"/>
        </w:trPr>
        <w:tc>
          <w:tcPr>
            <w:tcW w:w="1526" w:type="dxa"/>
            <w:vMerge/>
            <w:tcBorders>
              <w:left w:val="single" w:sz="4" w:space="0" w:color="000000"/>
              <w:right w:val="single" w:sz="4" w:space="0" w:color="000000"/>
            </w:tcBorders>
            <w:shd w:val="clear" w:color="auto" w:fill="E7E7E7"/>
          </w:tcPr>
          <w:p w14:paraId="39AF715F"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A9D0C0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bottom w:val="single" w:sz="4" w:space="0" w:color="000000"/>
              <w:right w:val="single" w:sz="4" w:space="0" w:color="000000"/>
            </w:tcBorders>
            <w:shd w:val="clear" w:color="auto" w:fill="E7E7E7"/>
          </w:tcPr>
          <w:p w14:paraId="15E40D97"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68EA1C8A"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7855CD4B"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3.2.S.7.3</w:t>
            </w:r>
          </w:p>
        </w:tc>
      </w:tr>
      <w:tr w:rsidR="008C76E0" w:rsidRPr="00BD7577" w14:paraId="256EC3ED" w14:textId="77777777" w:rsidTr="008C76E0">
        <w:trPr>
          <w:jc w:val="center"/>
        </w:trPr>
        <w:tc>
          <w:tcPr>
            <w:tcW w:w="1526" w:type="dxa"/>
            <w:vMerge/>
            <w:tcBorders>
              <w:left w:val="single" w:sz="4" w:space="0" w:color="000000"/>
              <w:right w:val="single" w:sz="4" w:space="0" w:color="000000"/>
            </w:tcBorders>
            <w:shd w:val="clear" w:color="auto" w:fill="E7E7E7"/>
          </w:tcPr>
          <w:p w14:paraId="53BC7F6C"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01712C01" w14:textId="77777777" w:rsidR="008C76E0" w:rsidRPr="00BD7577" w:rsidRDefault="008C76E0" w:rsidP="008C76E0">
            <w:pPr>
              <w:spacing w:after="120" w:line="240" w:lineRule="auto"/>
              <w:rPr>
                <w:rFonts w:ascii="Sylfaen" w:hAnsi="Sylfaen"/>
                <w:sz w:val="24"/>
                <w:szCs w:val="24"/>
              </w:rPr>
            </w:pPr>
          </w:p>
        </w:tc>
        <w:tc>
          <w:tcPr>
            <w:tcW w:w="2815" w:type="dxa"/>
            <w:vMerge w:val="restart"/>
            <w:tcBorders>
              <w:top w:val="single" w:sz="4" w:space="0" w:color="000000"/>
              <w:left w:val="single" w:sz="4" w:space="0" w:color="000000"/>
              <w:right w:val="single" w:sz="4" w:space="0" w:color="000000"/>
            </w:tcBorders>
            <w:shd w:val="clear" w:color="auto" w:fill="E7E7E7"/>
          </w:tcPr>
          <w:p w14:paraId="6DB1C6B3" w14:textId="77777777" w:rsidR="008C76E0" w:rsidRPr="00814E26" w:rsidRDefault="008C76E0" w:rsidP="00814E26">
            <w:pPr>
              <w:spacing w:after="120" w:line="240" w:lineRule="auto"/>
              <w:ind w:left="102" w:right="-20"/>
              <w:rPr>
                <w:rFonts w:ascii="Sylfaen" w:eastAsia="Times New Roman" w:hAnsi="Sylfaen" w:cs="Times New Roman"/>
                <w:sz w:val="24"/>
                <w:szCs w:val="24"/>
                <w:lang w:val="en-US"/>
              </w:rPr>
            </w:pPr>
            <w:r w:rsidRPr="00814E26">
              <w:rPr>
                <w:rFonts w:ascii="Sylfaen" w:hAnsi="Sylfaen"/>
                <w:sz w:val="24"/>
                <w:szCs w:val="24"/>
              </w:rPr>
              <w:t>3.2.P</w:t>
            </w:r>
            <w:r w:rsidR="00814E26" w:rsidRPr="00814E26">
              <w:rPr>
                <w:rStyle w:val="FootnoteReference"/>
                <w:rFonts w:ascii="Sylfaen" w:hAnsi="Sylfaen"/>
                <w:sz w:val="24"/>
                <w:szCs w:val="24"/>
              </w:rPr>
              <w:footnoteReference w:id="34"/>
            </w:r>
          </w:p>
        </w:tc>
        <w:tc>
          <w:tcPr>
            <w:tcW w:w="1927" w:type="dxa"/>
            <w:tcBorders>
              <w:top w:val="single" w:sz="4" w:space="0" w:color="000000"/>
              <w:left w:val="single" w:sz="4" w:space="0" w:color="000000"/>
              <w:bottom w:val="single" w:sz="4" w:space="0" w:color="000000"/>
              <w:right w:val="single" w:sz="4" w:space="0" w:color="000000"/>
            </w:tcBorders>
          </w:tcPr>
          <w:p w14:paraId="5820C4E7"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3.2.P.1</w:t>
            </w:r>
          </w:p>
        </w:tc>
        <w:tc>
          <w:tcPr>
            <w:tcW w:w="2237" w:type="dxa"/>
            <w:tcBorders>
              <w:top w:val="single" w:sz="4" w:space="0" w:color="000000"/>
              <w:left w:val="single" w:sz="4" w:space="0" w:color="000000"/>
              <w:bottom w:val="single" w:sz="4" w:space="0" w:color="000000"/>
              <w:right w:val="single" w:sz="4" w:space="0" w:color="000000"/>
            </w:tcBorders>
          </w:tcPr>
          <w:p w14:paraId="7C2EAB4E" w14:textId="77777777" w:rsidR="008C76E0" w:rsidRPr="00BD7577" w:rsidRDefault="008C76E0" w:rsidP="008C76E0">
            <w:pPr>
              <w:spacing w:after="120" w:line="240" w:lineRule="auto"/>
              <w:rPr>
                <w:rFonts w:ascii="Sylfaen" w:hAnsi="Sylfaen"/>
                <w:sz w:val="24"/>
                <w:szCs w:val="24"/>
              </w:rPr>
            </w:pPr>
          </w:p>
        </w:tc>
      </w:tr>
      <w:tr w:rsidR="008C76E0" w:rsidRPr="00BD7577" w14:paraId="216714C9" w14:textId="77777777" w:rsidTr="008C76E0">
        <w:trPr>
          <w:jc w:val="center"/>
        </w:trPr>
        <w:tc>
          <w:tcPr>
            <w:tcW w:w="1526" w:type="dxa"/>
            <w:vMerge/>
            <w:tcBorders>
              <w:left w:val="single" w:sz="4" w:space="0" w:color="000000"/>
              <w:right w:val="single" w:sz="4" w:space="0" w:color="000000"/>
            </w:tcBorders>
            <w:shd w:val="clear" w:color="auto" w:fill="E7E7E7"/>
          </w:tcPr>
          <w:p w14:paraId="255F26D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4E62452C"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B0489DE"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tcPr>
          <w:p w14:paraId="6829DE2A"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3.2.P.2</w:t>
            </w:r>
          </w:p>
        </w:tc>
        <w:tc>
          <w:tcPr>
            <w:tcW w:w="2237" w:type="dxa"/>
            <w:tcBorders>
              <w:top w:val="single" w:sz="4" w:space="0" w:color="000000"/>
              <w:left w:val="single" w:sz="4" w:space="0" w:color="000000"/>
              <w:bottom w:val="single" w:sz="4" w:space="0" w:color="000000"/>
              <w:right w:val="single" w:sz="4" w:space="0" w:color="000000"/>
            </w:tcBorders>
          </w:tcPr>
          <w:p w14:paraId="293CED44" w14:textId="77777777" w:rsidR="008C76E0" w:rsidRPr="00814E26" w:rsidRDefault="008C76E0" w:rsidP="00814E26">
            <w:pPr>
              <w:spacing w:after="120" w:line="240" w:lineRule="auto"/>
              <w:ind w:left="102" w:right="-20"/>
              <w:rPr>
                <w:rFonts w:ascii="Sylfaen" w:eastAsia="Times New Roman" w:hAnsi="Sylfaen" w:cs="Times New Roman"/>
                <w:sz w:val="24"/>
                <w:szCs w:val="24"/>
                <w:lang w:val="en-US"/>
              </w:rPr>
            </w:pPr>
            <w:r w:rsidRPr="00814E26">
              <w:rPr>
                <w:rFonts w:ascii="Sylfaen" w:hAnsi="Sylfaen"/>
                <w:sz w:val="24"/>
                <w:szCs w:val="24"/>
              </w:rPr>
              <w:t>3.2.P.2.1</w:t>
            </w:r>
            <w:r w:rsidR="00814E26" w:rsidRPr="00814E26">
              <w:rPr>
                <w:rStyle w:val="FootnoteReference"/>
                <w:rFonts w:ascii="Sylfaen" w:hAnsi="Sylfaen"/>
                <w:sz w:val="24"/>
                <w:szCs w:val="24"/>
              </w:rPr>
              <w:footnoteReference w:id="35"/>
            </w:r>
          </w:p>
        </w:tc>
      </w:tr>
      <w:tr w:rsidR="008C76E0" w:rsidRPr="00BD7577" w14:paraId="40059264" w14:textId="77777777" w:rsidTr="008C76E0">
        <w:trPr>
          <w:jc w:val="center"/>
        </w:trPr>
        <w:tc>
          <w:tcPr>
            <w:tcW w:w="1526" w:type="dxa"/>
            <w:vMerge/>
            <w:tcBorders>
              <w:left w:val="single" w:sz="4" w:space="0" w:color="000000"/>
              <w:right w:val="single" w:sz="4" w:space="0" w:color="000000"/>
            </w:tcBorders>
            <w:shd w:val="clear" w:color="auto" w:fill="E7E7E7"/>
          </w:tcPr>
          <w:p w14:paraId="0A9516A6"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492978E"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6CCCD5E"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tcPr>
          <w:p w14:paraId="09EF847D"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4BA741F" w14:textId="77777777" w:rsidR="008C76E0" w:rsidRPr="002239BE" w:rsidRDefault="008C76E0" w:rsidP="002239BE">
            <w:pPr>
              <w:spacing w:after="120" w:line="240" w:lineRule="auto"/>
              <w:ind w:left="102" w:right="-20"/>
              <w:rPr>
                <w:rFonts w:ascii="Sylfaen" w:eastAsia="Times New Roman" w:hAnsi="Sylfaen" w:cs="Times New Roman"/>
                <w:sz w:val="24"/>
                <w:szCs w:val="24"/>
                <w:lang w:val="en-US"/>
              </w:rPr>
            </w:pPr>
            <w:r w:rsidRPr="00814E26">
              <w:rPr>
                <w:rFonts w:ascii="Sylfaen" w:hAnsi="Sylfaen"/>
                <w:sz w:val="24"/>
                <w:szCs w:val="24"/>
              </w:rPr>
              <w:t>3.2.P. 2.2</w:t>
            </w:r>
          </w:p>
        </w:tc>
      </w:tr>
      <w:tr w:rsidR="008C76E0" w:rsidRPr="00BD7577" w14:paraId="3E53B357" w14:textId="77777777" w:rsidTr="008C76E0">
        <w:trPr>
          <w:jc w:val="center"/>
        </w:trPr>
        <w:tc>
          <w:tcPr>
            <w:tcW w:w="1526" w:type="dxa"/>
            <w:vMerge/>
            <w:tcBorders>
              <w:left w:val="single" w:sz="4" w:space="0" w:color="000000"/>
              <w:right w:val="single" w:sz="4" w:space="0" w:color="000000"/>
            </w:tcBorders>
            <w:shd w:val="clear" w:color="auto" w:fill="E7E7E7"/>
          </w:tcPr>
          <w:p w14:paraId="30CDEAF5"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66BB90AB"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44A9DDE4"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tcPr>
          <w:p w14:paraId="43B251A3"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2AF2C3F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3.2.P.2.3</w:t>
            </w:r>
          </w:p>
        </w:tc>
      </w:tr>
      <w:tr w:rsidR="008C76E0" w:rsidRPr="00BD7577" w14:paraId="33647841" w14:textId="77777777" w:rsidTr="008C76E0">
        <w:trPr>
          <w:jc w:val="center"/>
        </w:trPr>
        <w:tc>
          <w:tcPr>
            <w:tcW w:w="1526" w:type="dxa"/>
            <w:vMerge/>
            <w:tcBorders>
              <w:left w:val="single" w:sz="4" w:space="0" w:color="000000"/>
              <w:right w:val="single" w:sz="4" w:space="0" w:color="000000"/>
            </w:tcBorders>
            <w:shd w:val="clear" w:color="auto" w:fill="E7E7E7"/>
          </w:tcPr>
          <w:p w14:paraId="2C13F2B0"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4521AD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CDD4A5B"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tcPr>
          <w:p w14:paraId="407A5622"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0471E5C" w14:textId="77777777" w:rsidR="008C76E0" w:rsidRPr="00BD7577" w:rsidRDefault="008C76E0" w:rsidP="008C76E0">
            <w:pPr>
              <w:spacing w:after="120" w:line="240" w:lineRule="auto"/>
              <w:ind w:left="102" w:right="-23"/>
              <w:rPr>
                <w:rFonts w:ascii="Sylfaen" w:eastAsia="Times New Roman" w:hAnsi="Sylfaen" w:cs="Times New Roman"/>
                <w:sz w:val="24"/>
                <w:szCs w:val="24"/>
              </w:rPr>
            </w:pPr>
            <w:r w:rsidRPr="00BD7577">
              <w:rPr>
                <w:rFonts w:ascii="Sylfaen" w:hAnsi="Sylfaen"/>
                <w:sz w:val="24"/>
                <w:szCs w:val="24"/>
              </w:rPr>
              <w:t>3.2.P.2.4</w:t>
            </w:r>
          </w:p>
        </w:tc>
      </w:tr>
      <w:tr w:rsidR="008C76E0" w:rsidRPr="00BD7577" w14:paraId="70937CB9" w14:textId="77777777" w:rsidTr="008C76E0">
        <w:trPr>
          <w:jc w:val="center"/>
        </w:trPr>
        <w:tc>
          <w:tcPr>
            <w:tcW w:w="1526" w:type="dxa"/>
            <w:vMerge/>
            <w:tcBorders>
              <w:left w:val="single" w:sz="4" w:space="0" w:color="000000"/>
              <w:right w:val="single" w:sz="4" w:space="0" w:color="000000"/>
            </w:tcBorders>
            <w:shd w:val="clear" w:color="auto" w:fill="E7E7E7"/>
          </w:tcPr>
          <w:p w14:paraId="30661E5F"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58A7E44C"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BEE23E2"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tcPr>
          <w:p w14:paraId="39E35AA3"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218E845"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3.2.P.2.5</w:t>
            </w:r>
          </w:p>
        </w:tc>
      </w:tr>
      <w:tr w:rsidR="008C76E0" w:rsidRPr="00BD7577" w14:paraId="38C45618" w14:textId="77777777" w:rsidTr="008C76E0">
        <w:trPr>
          <w:jc w:val="center"/>
        </w:trPr>
        <w:tc>
          <w:tcPr>
            <w:tcW w:w="1526" w:type="dxa"/>
            <w:vMerge/>
            <w:tcBorders>
              <w:left w:val="single" w:sz="4" w:space="0" w:color="000000"/>
              <w:right w:val="single" w:sz="4" w:space="0" w:color="000000"/>
            </w:tcBorders>
            <w:shd w:val="clear" w:color="auto" w:fill="E7E7E7"/>
          </w:tcPr>
          <w:p w14:paraId="6524C75B"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4F00DB87"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EF2B257"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tcPr>
          <w:p w14:paraId="6FB0ADD0"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808E84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3.2.P.2.6</w:t>
            </w:r>
          </w:p>
        </w:tc>
      </w:tr>
      <w:tr w:rsidR="008C76E0" w:rsidRPr="00BD7577" w14:paraId="00F61EDD" w14:textId="77777777" w:rsidTr="008C76E0">
        <w:trPr>
          <w:jc w:val="center"/>
        </w:trPr>
        <w:tc>
          <w:tcPr>
            <w:tcW w:w="1526" w:type="dxa"/>
            <w:vMerge/>
            <w:tcBorders>
              <w:left w:val="single" w:sz="4" w:space="0" w:color="000000"/>
              <w:right w:val="single" w:sz="4" w:space="0" w:color="000000"/>
            </w:tcBorders>
            <w:shd w:val="clear" w:color="auto" w:fill="E7E7E7"/>
          </w:tcPr>
          <w:p w14:paraId="5F27B02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09ED045"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7A8AEB3"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5D42D561"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3.2.P.3</w:t>
            </w:r>
          </w:p>
        </w:tc>
        <w:tc>
          <w:tcPr>
            <w:tcW w:w="2237" w:type="dxa"/>
            <w:tcBorders>
              <w:top w:val="single" w:sz="4" w:space="0" w:color="000000"/>
              <w:left w:val="single" w:sz="4" w:space="0" w:color="000000"/>
              <w:bottom w:val="single" w:sz="4" w:space="0" w:color="000000"/>
              <w:right w:val="single" w:sz="4" w:space="0" w:color="000000"/>
            </w:tcBorders>
          </w:tcPr>
          <w:p w14:paraId="6800C79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3.2.P.3.1</w:t>
            </w:r>
          </w:p>
        </w:tc>
      </w:tr>
      <w:tr w:rsidR="008C76E0" w:rsidRPr="00BD7577" w14:paraId="2397BDDD" w14:textId="77777777" w:rsidTr="008C76E0">
        <w:trPr>
          <w:jc w:val="center"/>
        </w:trPr>
        <w:tc>
          <w:tcPr>
            <w:tcW w:w="1526" w:type="dxa"/>
            <w:vMerge/>
            <w:tcBorders>
              <w:left w:val="single" w:sz="4" w:space="0" w:color="000000"/>
              <w:right w:val="single" w:sz="4" w:space="0" w:color="000000"/>
            </w:tcBorders>
            <w:shd w:val="clear" w:color="auto" w:fill="E7E7E7"/>
          </w:tcPr>
          <w:p w14:paraId="7D0AB56F"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EDF698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7BE004FB"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5C2C0013"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1F0BD28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3.2.P.3.2</w:t>
            </w:r>
          </w:p>
        </w:tc>
      </w:tr>
      <w:tr w:rsidR="008C76E0" w:rsidRPr="00BD7577" w14:paraId="2104E064" w14:textId="77777777" w:rsidTr="008C76E0">
        <w:trPr>
          <w:jc w:val="center"/>
        </w:trPr>
        <w:tc>
          <w:tcPr>
            <w:tcW w:w="1526" w:type="dxa"/>
            <w:vMerge/>
            <w:tcBorders>
              <w:left w:val="single" w:sz="4" w:space="0" w:color="000000"/>
              <w:right w:val="single" w:sz="4" w:space="0" w:color="000000"/>
            </w:tcBorders>
            <w:shd w:val="clear" w:color="auto" w:fill="E7E7E7"/>
          </w:tcPr>
          <w:p w14:paraId="0F5B8BB3"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460AFF49"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EF06245"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56F6C73C"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54461E4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3.2.P.3.3</w:t>
            </w:r>
          </w:p>
        </w:tc>
      </w:tr>
      <w:tr w:rsidR="008C76E0" w:rsidRPr="00BD7577" w14:paraId="5354243C" w14:textId="77777777" w:rsidTr="008C76E0">
        <w:trPr>
          <w:trHeight w:val="544"/>
          <w:jc w:val="center"/>
        </w:trPr>
        <w:tc>
          <w:tcPr>
            <w:tcW w:w="1526" w:type="dxa"/>
            <w:vMerge/>
            <w:tcBorders>
              <w:left w:val="single" w:sz="4" w:space="0" w:color="000000"/>
              <w:right w:val="single" w:sz="4" w:space="0" w:color="000000"/>
            </w:tcBorders>
            <w:shd w:val="clear" w:color="auto" w:fill="E7E7E7"/>
          </w:tcPr>
          <w:p w14:paraId="53211832"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37AA150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2F55F60"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6A58915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2CC513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3.2.P.3.4</w:t>
            </w:r>
          </w:p>
        </w:tc>
      </w:tr>
      <w:tr w:rsidR="008C76E0" w:rsidRPr="00BD7577" w14:paraId="189D19BC" w14:textId="77777777" w:rsidTr="008C76E0">
        <w:trPr>
          <w:jc w:val="center"/>
        </w:trPr>
        <w:tc>
          <w:tcPr>
            <w:tcW w:w="1526" w:type="dxa"/>
            <w:vMerge/>
            <w:tcBorders>
              <w:left w:val="single" w:sz="4" w:space="0" w:color="000000"/>
              <w:right w:val="single" w:sz="4" w:space="0" w:color="000000"/>
            </w:tcBorders>
            <w:shd w:val="clear" w:color="auto" w:fill="E7E7E7"/>
          </w:tcPr>
          <w:p w14:paraId="5DFF04A9"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B62B2B2"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46E0E56"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7D28D181"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21FA4105"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3.2.P.3.5</w:t>
            </w:r>
          </w:p>
        </w:tc>
      </w:tr>
      <w:tr w:rsidR="008C76E0" w:rsidRPr="00BD7577" w14:paraId="7F942307" w14:textId="77777777" w:rsidTr="008C76E0">
        <w:trPr>
          <w:jc w:val="center"/>
        </w:trPr>
        <w:tc>
          <w:tcPr>
            <w:tcW w:w="1526" w:type="dxa"/>
            <w:vMerge/>
            <w:tcBorders>
              <w:left w:val="single" w:sz="4" w:space="0" w:color="000000"/>
              <w:right w:val="single" w:sz="4" w:space="0" w:color="000000"/>
            </w:tcBorders>
            <w:shd w:val="clear" w:color="auto" w:fill="E7E7E7"/>
          </w:tcPr>
          <w:p w14:paraId="5DF10E9F"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03CAD4F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7599E9E"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6426C96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3.2.P.4</w:t>
            </w:r>
          </w:p>
        </w:tc>
        <w:tc>
          <w:tcPr>
            <w:tcW w:w="2237" w:type="dxa"/>
            <w:tcBorders>
              <w:top w:val="single" w:sz="4" w:space="0" w:color="000000"/>
              <w:left w:val="single" w:sz="4" w:space="0" w:color="000000"/>
              <w:bottom w:val="single" w:sz="4" w:space="0" w:color="000000"/>
              <w:right w:val="single" w:sz="4" w:space="0" w:color="000000"/>
            </w:tcBorders>
          </w:tcPr>
          <w:p w14:paraId="3F0A0CA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3.2.P.4.1</w:t>
            </w:r>
          </w:p>
        </w:tc>
      </w:tr>
      <w:tr w:rsidR="008C76E0" w:rsidRPr="00BD7577" w14:paraId="32FF5B71" w14:textId="77777777" w:rsidTr="008C76E0">
        <w:trPr>
          <w:jc w:val="center"/>
        </w:trPr>
        <w:tc>
          <w:tcPr>
            <w:tcW w:w="1526" w:type="dxa"/>
            <w:vMerge/>
            <w:tcBorders>
              <w:left w:val="single" w:sz="4" w:space="0" w:color="000000"/>
              <w:right w:val="single" w:sz="4" w:space="0" w:color="000000"/>
            </w:tcBorders>
            <w:shd w:val="clear" w:color="auto" w:fill="E7E7E7"/>
          </w:tcPr>
          <w:p w14:paraId="7110C4D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B5D6645"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9293504"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7CE3AD0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5719F7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3.2.P.4.2</w:t>
            </w:r>
          </w:p>
        </w:tc>
      </w:tr>
      <w:tr w:rsidR="008C76E0" w:rsidRPr="00BD7577" w14:paraId="1C531D5C" w14:textId="77777777" w:rsidTr="008C76E0">
        <w:trPr>
          <w:jc w:val="center"/>
        </w:trPr>
        <w:tc>
          <w:tcPr>
            <w:tcW w:w="1526" w:type="dxa"/>
            <w:vMerge/>
            <w:tcBorders>
              <w:left w:val="single" w:sz="4" w:space="0" w:color="000000"/>
              <w:right w:val="single" w:sz="4" w:space="0" w:color="000000"/>
            </w:tcBorders>
            <w:shd w:val="clear" w:color="auto" w:fill="E7E7E7"/>
          </w:tcPr>
          <w:p w14:paraId="0963D545"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55F97C0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F17E8B7"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33479BF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5D36D9E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3.2.P.4.3</w:t>
            </w:r>
          </w:p>
        </w:tc>
      </w:tr>
      <w:tr w:rsidR="008C76E0" w:rsidRPr="00BD7577" w14:paraId="48ADD533" w14:textId="77777777" w:rsidTr="008C76E0">
        <w:trPr>
          <w:jc w:val="center"/>
        </w:trPr>
        <w:tc>
          <w:tcPr>
            <w:tcW w:w="1526" w:type="dxa"/>
            <w:vMerge/>
            <w:tcBorders>
              <w:left w:val="single" w:sz="4" w:space="0" w:color="000000"/>
              <w:right w:val="single" w:sz="4" w:space="0" w:color="000000"/>
            </w:tcBorders>
            <w:shd w:val="clear" w:color="auto" w:fill="E7E7E7"/>
          </w:tcPr>
          <w:p w14:paraId="3B9A181B"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219B9AC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98E7FE4"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1ACD2A5E"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BDF182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3.2.P.4.4</w:t>
            </w:r>
          </w:p>
        </w:tc>
      </w:tr>
      <w:tr w:rsidR="008C76E0" w:rsidRPr="00BD7577" w14:paraId="4F0C4FB0" w14:textId="77777777" w:rsidTr="008C76E0">
        <w:trPr>
          <w:jc w:val="center"/>
        </w:trPr>
        <w:tc>
          <w:tcPr>
            <w:tcW w:w="1526" w:type="dxa"/>
            <w:vMerge/>
            <w:tcBorders>
              <w:left w:val="single" w:sz="4" w:space="0" w:color="000000"/>
              <w:right w:val="single" w:sz="4" w:space="0" w:color="000000"/>
            </w:tcBorders>
            <w:shd w:val="clear" w:color="auto" w:fill="E7E7E7"/>
          </w:tcPr>
          <w:p w14:paraId="4FD8E13D"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4E45C796"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6606AAF1"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28D8DD82"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22B684AB"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3.2.P.4.5</w:t>
            </w:r>
          </w:p>
        </w:tc>
      </w:tr>
      <w:tr w:rsidR="008C76E0" w:rsidRPr="00BD7577" w14:paraId="69706704" w14:textId="77777777" w:rsidTr="008C76E0">
        <w:trPr>
          <w:jc w:val="center"/>
        </w:trPr>
        <w:tc>
          <w:tcPr>
            <w:tcW w:w="1526" w:type="dxa"/>
            <w:vMerge/>
            <w:tcBorders>
              <w:left w:val="single" w:sz="4" w:space="0" w:color="000000"/>
              <w:right w:val="single" w:sz="4" w:space="0" w:color="000000"/>
            </w:tcBorders>
            <w:shd w:val="clear" w:color="auto" w:fill="E7E7E7"/>
          </w:tcPr>
          <w:p w14:paraId="2659FC4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65306531"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0CA6FF7E"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7DA42D75"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1E70D38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3.2.P.4.6</w:t>
            </w:r>
          </w:p>
        </w:tc>
      </w:tr>
      <w:tr w:rsidR="008C76E0" w:rsidRPr="00BD7577" w14:paraId="11F06219" w14:textId="77777777" w:rsidTr="008C76E0">
        <w:trPr>
          <w:trHeight w:val="508"/>
          <w:jc w:val="center"/>
        </w:trPr>
        <w:tc>
          <w:tcPr>
            <w:tcW w:w="1526" w:type="dxa"/>
            <w:vMerge/>
            <w:tcBorders>
              <w:left w:val="single" w:sz="4" w:space="0" w:color="000000"/>
              <w:right w:val="single" w:sz="4" w:space="0" w:color="000000"/>
            </w:tcBorders>
            <w:shd w:val="clear" w:color="auto" w:fill="E7E7E7"/>
          </w:tcPr>
          <w:p w14:paraId="182CF765"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01BA999"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10460623"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69661EFD"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3.2.P.5</w:t>
            </w:r>
          </w:p>
        </w:tc>
        <w:tc>
          <w:tcPr>
            <w:tcW w:w="2237" w:type="dxa"/>
            <w:tcBorders>
              <w:top w:val="single" w:sz="4" w:space="0" w:color="000000"/>
              <w:left w:val="single" w:sz="4" w:space="0" w:color="000000"/>
              <w:bottom w:val="single" w:sz="4" w:space="0" w:color="000000"/>
              <w:right w:val="single" w:sz="4" w:space="0" w:color="000000"/>
            </w:tcBorders>
          </w:tcPr>
          <w:p w14:paraId="0DBFCB8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3.2.P.5.1</w:t>
            </w:r>
          </w:p>
        </w:tc>
      </w:tr>
      <w:tr w:rsidR="008C76E0" w:rsidRPr="00BD7577" w14:paraId="7CA8FE79" w14:textId="77777777" w:rsidTr="008C76E0">
        <w:trPr>
          <w:jc w:val="center"/>
        </w:trPr>
        <w:tc>
          <w:tcPr>
            <w:tcW w:w="1526" w:type="dxa"/>
            <w:vMerge/>
            <w:tcBorders>
              <w:left w:val="single" w:sz="4" w:space="0" w:color="000000"/>
              <w:right w:val="single" w:sz="4" w:space="0" w:color="000000"/>
            </w:tcBorders>
            <w:shd w:val="clear" w:color="auto" w:fill="E7E7E7"/>
          </w:tcPr>
          <w:p w14:paraId="4DF02150"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03AD7C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3C758FDE"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051CFA90"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3C521A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3.2.P.5.2</w:t>
            </w:r>
          </w:p>
        </w:tc>
      </w:tr>
      <w:tr w:rsidR="008C76E0" w:rsidRPr="00BD7577" w14:paraId="550C8CD7" w14:textId="77777777" w:rsidTr="008C76E0">
        <w:trPr>
          <w:trHeight w:val="465"/>
          <w:jc w:val="center"/>
        </w:trPr>
        <w:tc>
          <w:tcPr>
            <w:tcW w:w="1526" w:type="dxa"/>
            <w:vMerge/>
            <w:tcBorders>
              <w:left w:val="single" w:sz="4" w:space="0" w:color="000000"/>
              <w:right w:val="single" w:sz="4" w:space="0" w:color="000000"/>
            </w:tcBorders>
            <w:shd w:val="clear" w:color="auto" w:fill="E7E7E7"/>
          </w:tcPr>
          <w:p w14:paraId="7A375CF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38F771FD"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07DCB82D"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399251D7"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D5A877D"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3.2.P.5.3</w:t>
            </w:r>
          </w:p>
        </w:tc>
      </w:tr>
      <w:tr w:rsidR="008C76E0" w:rsidRPr="00BD7577" w14:paraId="7784467D" w14:textId="77777777" w:rsidTr="008C76E0">
        <w:trPr>
          <w:trHeight w:val="531"/>
          <w:jc w:val="center"/>
        </w:trPr>
        <w:tc>
          <w:tcPr>
            <w:tcW w:w="1526" w:type="dxa"/>
            <w:vMerge/>
            <w:tcBorders>
              <w:left w:val="single" w:sz="4" w:space="0" w:color="000000"/>
              <w:bottom w:val="single" w:sz="4" w:space="0" w:color="000000"/>
              <w:right w:val="single" w:sz="4" w:space="0" w:color="000000"/>
            </w:tcBorders>
            <w:shd w:val="clear" w:color="auto" w:fill="E7E7E7"/>
          </w:tcPr>
          <w:p w14:paraId="5D840A6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bottom w:val="single" w:sz="4" w:space="0" w:color="000000"/>
              <w:right w:val="single" w:sz="4" w:space="0" w:color="000000"/>
            </w:tcBorders>
            <w:shd w:val="clear" w:color="auto" w:fill="E7E7E7"/>
          </w:tcPr>
          <w:p w14:paraId="2D907D72"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bottom w:val="single" w:sz="4" w:space="0" w:color="000000"/>
              <w:right w:val="single" w:sz="4" w:space="0" w:color="000000"/>
            </w:tcBorders>
            <w:shd w:val="clear" w:color="auto" w:fill="E7E7E7"/>
          </w:tcPr>
          <w:p w14:paraId="1B293856"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1762FE61"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4BC59F7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3.2.P.5.4</w:t>
            </w:r>
          </w:p>
        </w:tc>
      </w:tr>
      <w:tr w:rsidR="008C76E0" w:rsidRPr="00BD7577" w14:paraId="4D1E9942" w14:textId="77777777" w:rsidTr="008C76E0">
        <w:trPr>
          <w:jc w:val="center"/>
        </w:trPr>
        <w:tc>
          <w:tcPr>
            <w:tcW w:w="1526" w:type="dxa"/>
            <w:vMerge w:val="restart"/>
            <w:tcBorders>
              <w:top w:val="single" w:sz="4" w:space="0" w:color="000000"/>
              <w:left w:val="single" w:sz="4" w:space="0" w:color="000000"/>
              <w:right w:val="single" w:sz="4" w:space="0" w:color="000000"/>
            </w:tcBorders>
            <w:shd w:val="clear" w:color="auto" w:fill="E7E7E7"/>
          </w:tcPr>
          <w:p w14:paraId="28911F93" w14:textId="77777777" w:rsidR="008C76E0" w:rsidRPr="00BD7577" w:rsidRDefault="008C76E0" w:rsidP="008C76E0">
            <w:pPr>
              <w:spacing w:after="120" w:line="240" w:lineRule="auto"/>
              <w:rPr>
                <w:rFonts w:ascii="Sylfaen" w:hAnsi="Sylfaen"/>
                <w:sz w:val="24"/>
                <w:szCs w:val="24"/>
              </w:rPr>
            </w:pPr>
          </w:p>
        </w:tc>
        <w:tc>
          <w:tcPr>
            <w:tcW w:w="1154" w:type="dxa"/>
            <w:vMerge w:val="restart"/>
            <w:tcBorders>
              <w:top w:val="single" w:sz="4" w:space="0" w:color="000000"/>
              <w:left w:val="single" w:sz="4" w:space="0" w:color="000000"/>
              <w:right w:val="single" w:sz="4" w:space="0" w:color="000000"/>
            </w:tcBorders>
            <w:shd w:val="clear" w:color="auto" w:fill="E7E7E7"/>
          </w:tcPr>
          <w:p w14:paraId="62750F1C" w14:textId="77777777" w:rsidR="008C76E0" w:rsidRPr="00BD7577" w:rsidRDefault="008C76E0" w:rsidP="008C76E0">
            <w:pPr>
              <w:spacing w:after="120" w:line="240" w:lineRule="auto"/>
              <w:rPr>
                <w:rFonts w:ascii="Sylfaen" w:hAnsi="Sylfaen"/>
                <w:sz w:val="24"/>
                <w:szCs w:val="24"/>
              </w:rPr>
            </w:pPr>
          </w:p>
        </w:tc>
        <w:tc>
          <w:tcPr>
            <w:tcW w:w="2815" w:type="dxa"/>
            <w:vMerge w:val="restart"/>
            <w:tcBorders>
              <w:top w:val="single" w:sz="4" w:space="0" w:color="000000"/>
              <w:left w:val="single" w:sz="4" w:space="0" w:color="000000"/>
              <w:right w:val="single" w:sz="4" w:space="0" w:color="000000"/>
            </w:tcBorders>
            <w:shd w:val="clear" w:color="auto" w:fill="E7E7E7"/>
          </w:tcPr>
          <w:p w14:paraId="3FD194AA"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66412262"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BD107A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3.2.P.5.5</w:t>
            </w:r>
          </w:p>
        </w:tc>
      </w:tr>
      <w:tr w:rsidR="008C76E0" w:rsidRPr="00BD7577" w14:paraId="60BC3984" w14:textId="77777777" w:rsidTr="008C76E0">
        <w:trPr>
          <w:jc w:val="center"/>
        </w:trPr>
        <w:tc>
          <w:tcPr>
            <w:tcW w:w="1526" w:type="dxa"/>
            <w:vMerge/>
            <w:tcBorders>
              <w:left w:val="single" w:sz="4" w:space="0" w:color="000000"/>
              <w:right w:val="single" w:sz="4" w:space="0" w:color="000000"/>
            </w:tcBorders>
            <w:shd w:val="clear" w:color="auto" w:fill="E7E7E7"/>
          </w:tcPr>
          <w:p w14:paraId="29EA56DD"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1E13269E"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5FBD3611"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78D00CA1"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6081704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3.2.P.5.6</w:t>
            </w:r>
          </w:p>
        </w:tc>
      </w:tr>
      <w:tr w:rsidR="008C76E0" w:rsidRPr="00BD7577" w14:paraId="3A74A5D8" w14:textId="77777777" w:rsidTr="008C76E0">
        <w:trPr>
          <w:jc w:val="center"/>
        </w:trPr>
        <w:tc>
          <w:tcPr>
            <w:tcW w:w="1526" w:type="dxa"/>
            <w:vMerge/>
            <w:tcBorders>
              <w:left w:val="single" w:sz="4" w:space="0" w:color="000000"/>
              <w:right w:val="single" w:sz="4" w:space="0" w:color="000000"/>
            </w:tcBorders>
            <w:shd w:val="clear" w:color="auto" w:fill="E7E7E7"/>
          </w:tcPr>
          <w:p w14:paraId="2FF756D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3ECC5B4A"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40D6FB27"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126DD5C5"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3.2.P.6</w:t>
            </w:r>
          </w:p>
        </w:tc>
        <w:tc>
          <w:tcPr>
            <w:tcW w:w="2237" w:type="dxa"/>
            <w:tcBorders>
              <w:top w:val="single" w:sz="4" w:space="0" w:color="000000"/>
              <w:left w:val="single" w:sz="4" w:space="0" w:color="000000"/>
              <w:bottom w:val="single" w:sz="4" w:space="0" w:color="000000"/>
              <w:right w:val="single" w:sz="4" w:space="0" w:color="000000"/>
            </w:tcBorders>
          </w:tcPr>
          <w:p w14:paraId="1AAEAECD" w14:textId="77777777" w:rsidR="008C76E0" w:rsidRPr="00BD7577" w:rsidRDefault="008C76E0" w:rsidP="008C76E0">
            <w:pPr>
              <w:spacing w:after="120" w:line="240" w:lineRule="auto"/>
              <w:rPr>
                <w:rFonts w:ascii="Sylfaen" w:hAnsi="Sylfaen"/>
                <w:sz w:val="24"/>
                <w:szCs w:val="24"/>
              </w:rPr>
            </w:pPr>
          </w:p>
        </w:tc>
      </w:tr>
      <w:tr w:rsidR="008C76E0" w:rsidRPr="00BD7577" w14:paraId="6C425101" w14:textId="77777777" w:rsidTr="008C76E0">
        <w:trPr>
          <w:jc w:val="center"/>
        </w:trPr>
        <w:tc>
          <w:tcPr>
            <w:tcW w:w="1526" w:type="dxa"/>
            <w:vMerge/>
            <w:tcBorders>
              <w:left w:val="single" w:sz="4" w:space="0" w:color="000000"/>
              <w:bottom w:val="single" w:sz="4" w:space="0" w:color="000000"/>
              <w:right w:val="single" w:sz="4" w:space="0" w:color="000000"/>
            </w:tcBorders>
            <w:shd w:val="clear" w:color="auto" w:fill="E7E7E7"/>
          </w:tcPr>
          <w:p w14:paraId="280B323A"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bottom w:val="single" w:sz="4" w:space="0" w:color="000000"/>
              <w:right w:val="single" w:sz="4" w:space="0" w:color="000000"/>
            </w:tcBorders>
            <w:shd w:val="clear" w:color="auto" w:fill="E7E7E7"/>
          </w:tcPr>
          <w:p w14:paraId="50929DFB"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bottom w:val="single" w:sz="4" w:space="0" w:color="000000"/>
              <w:right w:val="single" w:sz="4" w:space="0" w:color="000000"/>
            </w:tcBorders>
            <w:shd w:val="clear" w:color="auto" w:fill="E7E7E7"/>
          </w:tcPr>
          <w:p w14:paraId="23C387E4"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1F410A46"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3.2.P.7</w:t>
            </w:r>
          </w:p>
        </w:tc>
        <w:tc>
          <w:tcPr>
            <w:tcW w:w="2237" w:type="dxa"/>
            <w:tcBorders>
              <w:top w:val="single" w:sz="4" w:space="0" w:color="000000"/>
              <w:left w:val="single" w:sz="4" w:space="0" w:color="000000"/>
              <w:bottom w:val="single" w:sz="4" w:space="0" w:color="000000"/>
              <w:right w:val="single" w:sz="4" w:space="0" w:color="000000"/>
            </w:tcBorders>
          </w:tcPr>
          <w:p w14:paraId="1D33EE1B" w14:textId="77777777" w:rsidR="008C76E0" w:rsidRPr="00BD7577" w:rsidRDefault="008C76E0" w:rsidP="008C76E0">
            <w:pPr>
              <w:spacing w:after="120" w:line="240" w:lineRule="auto"/>
              <w:rPr>
                <w:rFonts w:ascii="Sylfaen" w:hAnsi="Sylfaen"/>
                <w:sz w:val="24"/>
                <w:szCs w:val="24"/>
              </w:rPr>
            </w:pPr>
          </w:p>
        </w:tc>
      </w:tr>
      <w:tr w:rsidR="008C76E0" w:rsidRPr="00BD7577" w14:paraId="48804586" w14:textId="77777777" w:rsidTr="008C76E0">
        <w:trPr>
          <w:jc w:val="center"/>
        </w:trPr>
        <w:tc>
          <w:tcPr>
            <w:tcW w:w="1526" w:type="dxa"/>
            <w:vMerge w:val="restart"/>
            <w:tcBorders>
              <w:top w:val="single" w:sz="4" w:space="0" w:color="000000"/>
              <w:left w:val="single" w:sz="4" w:space="0" w:color="000000"/>
              <w:right w:val="single" w:sz="4" w:space="0" w:color="000000"/>
            </w:tcBorders>
            <w:shd w:val="clear" w:color="auto" w:fill="E7E7E7"/>
          </w:tcPr>
          <w:p w14:paraId="472A9357" w14:textId="77777777" w:rsidR="008C76E0" w:rsidRPr="00BD7577" w:rsidRDefault="008C76E0" w:rsidP="008C76E0">
            <w:pPr>
              <w:spacing w:after="120" w:line="240" w:lineRule="auto"/>
              <w:rPr>
                <w:rFonts w:ascii="Sylfaen" w:hAnsi="Sylfaen"/>
                <w:sz w:val="24"/>
                <w:szCs w:val="24"/>
              </w:rPr>
            </w:pPr>
          </w:p>
        </w:tc>
        <w:tc>
          <w:tcPr>
            <w:tcW w:w="1154" w:type="dxa"/>
            <w:vMerge w:val="restart"/>
            <w:tcBorders>
              <w:top w:val="single" w:sz="4" w:space="0" w:color="000000"/>
              <w:left w:val="single" w:sz="4" w:space="0" w:color="000000"/>
              <w:right w:val="single" w:sz="4" w:space="0" w:color="000000"/>
            </w:tcBorders>
            <w:shd w:val="clear" w:color="auto" w:fill="E7E7E7"/>
          </w:tcPr>
          <w:p w14:paraId="476353BC" w14:textId="77777777" w:rsidR="008C76E0" w:rsidRPr="00BD7577" w:rsidRDefault="008C76E0" w:rsidP="008C76E0">
            <w:pPr>
              <w:spacing w:after="120" w:line="240" w:lineRule="auto"/>
              <w:rPr>
                <w:rFonts w:ascii="Sylfaen" w:hAnsi="Sylfaen"/>
                <w:sz w:val="24"/>
                <w:szCs w:val="24"/>
              </w:rPr>
            </w:pPr>
          </w:p>
        </w:tc>
        <w:tc>
          <w:tcPr>
            <w:tcW w:w="2815" w:type="dxa"/>
            <w:vMerge w:val="restart"/>
            <w:tcBorders>
              <w:top w:val="single" w:sz="4" w:space="0" w:color="000000"/>
              <w:left w:val="single" w:sz="4" w:space="0" w:color="000000"/>
              <w:right w:val="single" w:sz="4" w:space="0" w:color="000000"/>
            </w:tcBorders>
            <w:shd w:val="clear" w:color="auto" w:fill="E7E7E7"/>
          </w:tcPr>
          <w:p w14:paraId="4890390D" w14:textId="77777777" w:rsidR="008C76E0" w:rsidRPr="00BD7577" w:rsidRDefault="008C76E0" w:rsidP="008C76E0">
            <w:pPr>
              <w:spacing w:after="120" w:line="240" w:lineRule="auto"/>
              <w:rPr>
                <w:rFonts w:ascii="Sylfaen" w:hAnsi="Sylfaen"/>
                <w:sz w:val="24"/>
                <w:szCs w:val="24"/>
              </w:rPr>
            </w:pPr>
          </w:p>
        </w:tc>
        <w:tc>
          <w:tcPr>
            <w:tcW w:w="1927" w:type="dxa"/>
            <w:vMerge w:val="restart"/>
            <w:tcBorders>
              <w:top w:val="single" w:sz="4" w:space="0" w:color="000000"/>
              <w:left w:val="single" w:sz="4" w:space="0" w:color="000000"/>
              <w:right w:val="single" w:sz="4" w:space="0" w:color="000000"/>
            </w:tcBorders>
            <w:shd w:val="clear" w:color="auto" w:fill="E7E7E7"/>
          </w:tcPr>
          <w:p w14:paraId="5FE974D2"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3.2.P.8</w:t>
            </w:r>
          </w:p>
        </w:tc>
        <w:tc>
          <w:tcPr>
            <w:tcW w:w="2237" w:type="dxa"/>
            <w:tcBorders>
              <w:top w:val="single" w:sz="4" w:space="0" w:color="000000"/>
              <w:left w:val="single" w:sz="4" w:space="0" w:color="000000"/>
              <w:bottom w:val="single" w:sz="4" w:space="0" w:color="000000"/>
              <w:right w:val="single" w:sz="4" w:space="0" w:color="000000"/>
            </w:tcBorders>
          </w:tcPr>
          <w:p w14:paraId="1A3398F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3.2.P.8.1</w:t>
            </w:r>
          </w:p>
        </w:tc>
      </w:tr>
      <w:tr w:rsidR="008C76E0" w:rsidRPr="00BD7577" w14:paraId="0428E074" w14:textId="77777777" w:rsidTr="008C76E0">
        <w:trPr>
          <w:trHeight w:val="608"/>
          <w:jc w:val="center"/>
        </w:trPr>
        <w:tc>
          <w:tcPr>
            <w:tcW w:w="1526" w:type="dxa"/>
            <w:vMerge/>
            <w:tcBorders>
              <w:left w:val="single" w:sz="4" w:space="0" w:color="000000"/>
              <w:right w:val="single" w:sz="4" w:space="0" w:color="000000"/>
            </w:tcBorders>
            <w:shd w:val="clear" w:color="auto" w:fill="E7E7E7"/>
          </w:tcPr>
          <w:p w14:paraId="7BF800F0"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4490087"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2FA6394C"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right w:val="single" w:sz="4" w:space="0" w:color="000000"/>
            </w:tcBorders>
            <w:shd w:val="clear" w:color="auto" w:fill="E7E7E7"/>
          </w:tcPr>
          <w:p w14:paraId="16F0F500"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4F3B30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3.2.P.8.2</w:t>
            </w:r>
          </w:p>
        </w:tc>
      </w:tr>
      <w:tr w:rsidR="008C76E0" w:rsidRPr="00BD7577" w14:paraId="1B75CBE1" w14:textId="77777777" w:rsidTr="008C76E0">
        <w:trPr>
          <w:jc w:val="center"/>
        </w:trPr>
        <w:tc>
          <w:tcPr>
            <w:tcW w:w="1526" w:type="dxa"/>
            <w:vMerge/>
            <w:tcBorders>
              <w:left w:val="single" w:sz="4" w:space="0" w:color="000000"/>
              <w:bottom w:val="nil"/>
              <w:right w:val="single" w:sz="4" w:space="0" w:color="000000"/>
            </w:tcBorders>
            <w:shd w:val="clear" w:color="auto" w:fill="E7E7E7"/>
          </w:tcPr>
          <w:p w14:paraId="2F3776BE"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bottom w:val="nil"/>
              <w:right w:val="single" w:sz="4" w:space="0" w:color="000000"/>
            </w:tcBorders>
            <w:shd w:val="clear" w:color="auto" w:fill="E7E7E7"/>
          </w:tcPr>
          <w:p w14:paraId="7DD31E20"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bottom w:val="single" w:sz="4" w:space="0" w:color="000000"/>
              <w:right w:val="single" w:sz="4" w:space="0" w:color="000000"/>
            </w:tcBorders>
            <w:shd w:val="clear" w:color="auto" w:fill="E7E7E7"/>
          </w:tcPr>
          <w:p w14:paraId="2737C04A" w14:textId="77777777" w:rsidR="008C76E0" w:rsidRPr="00BD7577" w:rsidRDefault="008C76E0" w:rsidP="008C76E0">
            <w:pPr>
              <w:spacing w:after="120" w:line="240" w:lineRule="auto"/>
              <w:rPr>
                <w:rFonts w:ascii="Sylfaen" w:hAnsi="Sylfaen"/>
                <w:sz w:val="24"/>
                <w:szCs w:val="24"/>
              </w:rPr>
            </w:pPr>
          </w:p>
        </w:tc>
        <w:tc>
          <w:tcPr>
            <w:tcW w:w="1927" w:type="dxa"/>
            <w:vMerge/>
            <w:tcBorders>
              <w:left w:val="single" w:sz="4" w:space="0" w:color="000000"/>
              <w:bottom w:val="single" w:sz="4" w:space="0" w:color="000000"/>
              <w:right w:val="single" w:sz="4" w:space="0" w:color="000000"/>
            </w:tcBorders>
            <w:shd w:val="clear" w:color="auto" w:fill="E7E7E7"/>
          </w:tcPr>
          <w:p w14:paraId="20D8AABB"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331A853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3.2.P.8.3</w:t>
            </w:r>
          </w:p>
        </w:tc>
      </w:tr>
      <w:tr w:rsidR="008C76E0" w:rsidRPr="00BD7577" w14:paraId="25B730F3" w14:textId="77777777" w:rsidTr="008C76E0">
        <w:trPr>
          <w:trHeight w:val="515"/>
          <w:jc w:val="center"/>
        </w:trPr>
        <w:tc>
          <w:tcPr>
            <w:tcW w:w="1526" w:type="dxa"/>
            <w:vMerge w:val="restart"/>
            <w:tcBorders>
              <w:top w:val="nil"/>
              <w:left w:val="single" w:sz="4" w:space="0" w:color="000000"/>
              <w:right w:val="single" w:sz="4" w:space="0" w:color="000000"/>
            </w:tcBorders>
            <w:shd w:val="clear" w:color="auto" w:fill="E7E7E7"/>
          </w:tcPr>
          <w:p w14:paraId="111B26FF" w14:textId="77777777" w:rsidR="008C76E0" w:rsidRPr="00BD7577" w:rsidRDefault="008C76E0" w:rsidP="008C76E0">
            <w:pPr>
              <w:spacing w:after="120" w:line="240" w:lineRule="auto"/>
              <w:rPr>
                <w:rFonts w:ascii="Sylfaen" w:hAnsi="Sylfaen"/>
                <w:sz w:val="24"/>
                <w:szCs w:val="24"/>
              </w:rPr>
            </w:pPr>
          </w:p>
        </w:tc>
        <w:tc>
          <w:tcPr>
            <w:tcW w:w="1154" w:type="dxa"/>
            <w:vMerge w:val="restart"/>
            <w:tcBorders>
              <w:top w:val="nil"/>
              <w:left w:val="single" w:sz="4" w:space="0" w:color="000000"/>
              <w:right w:val="single" w:sz="4" w:space="0" w:color="000000"/>
            </w:tcBorders>
            <w:shd w:val="clear" w:color="auto" w:fill="E7E7E7"/>
          </w:tcPr>
          <w:p w14:paraId="59B3B736" w14:textId="77777777" w:rsidR="008C76E0" w:rsidRPr="00BD7577" w:rsidRDefault="008C76E0" w:rsidP="008C76E0">
            <w:pPr>
              <w:spacing w:after="120" w:line="240" w:lineRule="auto"/>
              <w:rPr>
                <w:rFonts w:ascii="Sylfaen" w:hAnsi="Sylfaen"/>
                <w:sz w:val="24"/>
                <w:szCs w:val="24"/>
              </w:rPr>
            </w:pPr>
          </w:p>
        </w:tc>
        <w:tc>
          <w:tcPr>
            <w:tcW w:w="2815" w:type="dxa"/>
            <w:vMerge w:val="restart"/>
            <w:tcBorders>
              <w:top w:val="single" w:sz="4" w:space="0" w:color="000000"/>
              <w:left w:val="single" w:sz="4" w:space="0" w:color="000000"/>
              <w:right w:val="single" w:sz="4" w:space="0" w:color="000000"/>
            </w:tcBorders>
            <w:shd w:val="clear" w:color="auto" w:fill="E7E7E7"/>
          </w:tcPr>
          <w:p w14:paraId="5E8883C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3.2.A</w:t>
            </w:r>
          </w:p>
        </w:tc>
        <w:tc>
          <w:tcPr>
            <w:tcW w:w="1927" w:type="dxa"/>
            <w:tcBorders>
              <w:top w:val="single" w:sz="4" w:space="0" w:color="000000"/>
              <w:left w:val="single" w:sz="4" w:space="0" w:color="000000"/>
              <w:bottom w:val="single" w:sz="4" w:space="0" w:color="000000"/>
              <w:right w:val="single" w:sz="4" w:space="0" w:color="000000"/>
            </w:tcBorders>
          </w:tcPr>
          <w:p w14:paraId="36338DF5"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3.2.A.1</w:t>
            </w:r>
          </w:p>
        </w:tc>
        <w:tc>
          <w:tcPr>
            <w:tcW w:w="2237" w:type="dxa"/>
            <w:tcBorders>
              <w:top w:val="single" w:sz="4" w:space="0" w:color="000000"/>
              <w:left w:val="single" w:sz="4" w:space="0" w:color="000000"/>
              <w:bottom w:val="single" w:sz="4" w:space="0" w:color="000000"/>
              <w:right w:val="single" w:sz="4" w:space="0" w:color="000000"/>
            </w:tcBorders>
          </w:tcPr>
          <w:p w14:paraId="72D9B9BB" w14:textId="77777777" w:rsidR="008C76E0" w:rsidRPr="00BD7577" w:rsidRDefault="008C76E0" w:rsidP="008C76E0">
            <w:pPr>
              <w:spacing w:after="120" w:line="240" w:lineRule="auto"/>
              <w:rPr>
                <w:rFonts w:ascii="Sylfaen" w:hAnsi="Sylfaen"/>
                <w:sz w:val="24"/>
                <w:szCs w:val="24"/>
              </w:rPr>
            </w:pPr>
          </w:p>
        </w:tc>
      </w:tr>
      <w:tr w:rsidR="008C76E0" w:rsidRPr="00BD7577" w14:paraId="323276DC" w14:textId="77777777" w:rsidTr="008C76E0">
        <w:trPr>
          <w:jc w:val="center"/>
        </w:trPr>
        <w:tc>
          <w:tcPr>
            <w:tcW w:w="1526" w:type="dxa"/>
            <w:vMerge/>
            <w:tcBorders>
              <w:left w:val="single" w:sz="4" w:space="0" w:color="000000"/>
              <w:right w:val="single" w:sz="4" w:space="0" w:color="000000"/>
            </w:tcBorders>
            <w:shd w:val="clear" w:color="auto" w:fill="E7E7E7"/>
          </w:tcPr>
          <w:p w14:paraId="7FDD910C"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2127118"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right w:val="single" w:sz="4" w:space="0" w:color="000000"/>
            </w:tcBorders>
            <w:shd w:val="clear" w:color="auto" w:fill="E7E7E7"/>
          </w:tcPr>
          <w:p w14:paraId="488989BF"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5F76511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3.2.A.2</w:t>
            </w:r>
          </w:p>
        </w:tc>
        <w:tc>
          <w:tcPr>
            <w:tcW w:w="2237" w:type="dxa"/>
            <w:tcBorders>
              <w:top w:val="single" w:sz="4" w:space="0" w:color="000000"/>
              <w:left w:val="single" w:sz="4" w:space="0" w:color="000000"/>
              <w:bottom w:val="single" w:sz="4" w:space="0" w:color="000000"/>
              <w:right w:val="single" w:sz="4" w:space="0" w:color="000000"/>
            </w:tcBorders>
          </w:tcPr>
          <w:p w14:paraId="59126827" w14:textId="77777777" w:rsidR="008C76E0" w:rsidRPr="00BD7577" w:rsidRDefault="008C76E0" w:rsidP="008C76E0">
            <w:pPr>
              <w:spacing w:after="120" w:line="240" w:lineRule="auto"/>
              <w:rPr>
                <w:rFonts w:ascii="Sylfaen" w:hAnsi="Sylfaen"/>
                <w:sz w:val="24"/>
                <w:szCs w:val="24"/>
              </w:rPr>
            </w:pPr>
          </w:p>
        </w:tc>
      </w:tr>
      <w:tr w:rsidR="008C76E0" w:rsidRPr="00BD7577" w14:paraId="3C11DFBC" w14:textId="77777777" w:rsidTr="008C76E0">
        <w:trPr>
          <w:trHeight w:val="670"/>
          <w:jc w:val="center"/>
        </w:trPr>
        <w:tc>
          <w:tcPr>
            <w:tcW w:w="1526" w:type="dxa"/>
            <w:vMerge/>
            <w:tcBorders>
              <w:left w:val="single" w:sz="4" w:space="0" w:color="000000"/>
              <w:right w:val="single" w:sz="4" w:space="0" w:color="000000"/>
            </w:tcBorders>
            <w:shd w:val="clear" w:color="auto" w:fill="E7E7E7"/>
          </w:tcPr>
          <w:p w14:paraId="5506B5D4"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right w:val="single" w:sz="4" w:space="0" w:color="000000"/>
            </w:tcBorders>
            <w:shd w:val="clear" w:color="auto" w:fill="E7E7E7"/>
          </w:tcPr>
          <w:p w14:paraId="7D7A7308" w14:textId="77777777" w:rsidR="008C76E0" w:rsidRPr="00BD7577" w:rsidRDefault="008C76E0" w:rsidP="008C76E0">
            <w:pPr>
              <w:spacing w:after="120" w:line="240" w:lineRule="auto"/>
              <w:rPr>
                <w:rFonts w:ascii="Sylfaen" w:hAnsi="Sylfaen"/>
                <w:sz w:val="24"/>
                <w:szCs w:val="24"/>
              </w:rPr>
            </w:pPr>
          </w:p>
        </w:tc>
        <w:tc>
          <w:tcPr>
            <w:tcW w:w="2815" w:type="dxa"/>
            <w:vMerge/>
            <w:tcBorders>
              <w:left w:val="single" w:sz="4" w:space="0" w:color="000000"/>
              <w:bottom w:val="single" w:sz="4" w:space="0" w:color="000000"/>
              <w:right w:val="single" w:sz="4" w:space="0" w:color="000000"/>
            </w:tcBorders>
            <w:shd w:val="clear" w:color="auto" w:fill="E7E7E7"/>
          </w:tcPr>
          <w:p w14:paraId="5D9C051F" w14:textId="77777777" w:rsidR="008C76E0" w:rsidRPr="00BD7577" w:rsidRDefault="008C76E0" w:rsidP="008C76E0">
            <w:pPr>
              <w:spacing w:after="120" w:line="240" w:lineRule="auto"/>
              <w:rPr>
                <w:rFonts w:ascii="Sylfaen" w:hAnsi="Sylfaen"/>
                <w:sz w:val="24"/>
                <w:szCs w:val="24"/>
              </w:rPr>
            </w:pPr>
          </w:p>
        </w:tc>
        <w:tc>
          <w:tcPr>
            <w:tcW w:w="1927" w:type="dxa"/>
            <w:tcBorders>
              <w:top w:val="single" w:sz="4" w:space="0" w:color="000000"/>
              <w:left w:val="single" w:sz="4" w:space="0" w:color="000000"/>
              <w:bottom w:val="single" w:sz="4" w:space="0" w:color="000000"/>
              <w:right w:val="single" w:sz="4" w:space="0" w:color="000000"/>
            </w:tcBorders>
          </w:tcPr>
          <w:p w14:paraId="457D62FC"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3.2.A.3</w:t>
            </w:r>
          </w:p>
        </w:tc>
        <w:tc>
          <w:tcPr>
            <w:tcW w:w="2237" w:type="dxa"/>
            <w:tcBorders>
              <w:top w:val="single" w:sz="4" w:space="0" w:color="000000"/>
              <w:left w:val="single" w:sz="4" w:space="0" w:color="000000"/>
              <w:bottom w:val="single" w:sz="4" w:space="0" w:color="000000"/>
              <w:right w:val="single" w:sz="4" w:space="0" w:color="000000"/>
            </w:tcBorders>
          </w:tcPr>
          <w:p w14:paraId="764B2686" w14:textId="77777777" w:rsidR="008C76E0" w:rsidRPr="00BD7577" w:rsidRDefault="008C76E0" w:rsidP="008C76E0">
            <w:pPr>
              <w:spacing w:after="120" w:line="240" w:lineRule="auto"/>
              <w:rPr>
                <w:rFonts w:ascii="Sylfaen" w:hAnsi="Sylfaen"/>
                <w:sz w:val="24"/>
                <w:szCs w:val="24"/>
              </w:rPr>
            </w:pPr>
          </w:p>
        </w:tc>
      </w:tr>
      <w:tr w:rsidR="008C76E0" w:rsidRPr="00BD7577" w14:paraId="20584C7B" w14:textId="77777777" w:rsidTr="008C76E0">
        <w:trPr>
          <w:jc w:val="center"/>
        </w:trPr>
        <w:tc>
          <w:tcPr>
            <w:tcW w:w="1526" w:type="dxa"/>
            <w:vMerge/>
            <w:tcBorders>
              <w:left w:val="single" w:sz="4" w:space="0" w:color="000000"/>
              <w:bottom w:val="nil"/>
              <w:right w:val="single" w:sz="4" w:space="0" w:color="000000"/>
            </w:tcBorders>
            <w:shd w:val="clear" w:color="auto" w:fill="E7E7E7"/>
          </w:tcPr>
          <w:p w14:paraId="14C10F48" w14:textId="77777777" w:rsidR="008C76E0" w:rsidRPr="00BD7577" w:rsidRDefault="008C76E0" w:rsidP="008C76E0">
            <w:pPr>
              <w:spacing w:after="120" w:line="240" w:lineRule="auto"/>
              <w:rPr>
                <w:rFonts w:ascii="Sylfaen" w:hAnsi="Sylfaen"/>
                <w:sz w:val="24"/>
                <w:szCs w:val="24"/>
              </w:rPr>
            </w:pPr>
          </w:p>
        </w:tc>
        <w:tc>
          <w:tcPr>
            <w:tcW w:w="1154" w:type="dxa"/>
            <w:vMerge/>
            <w:tcBorders>
              <w:left w:val="single" w:sz="4" w:space="0" w:color="000000"/>
              <w:bottom w:val="single" w:sz="4" w:space="0" w:color="000000"/>
              <w:right w:val="single" w:sz="4" w:space="0" w:color="000000"/>
            </w:tcBorders>
            <w:shd w:val="clear" w:color="auto" w:fill="E7E7E7"/>
          </w:tcPr>
          <w:p w14:paraId="4D740AC8" w14:textId="77777777" w:rsidR="008C76E0" w:rsidRPr="00BD7577" w:rsidRDefault="008C76E0" w:rsidP="008C76E0">
            <w:pPr>
              <w:spacing w:after="120" w:line="240" w:lineRule="auto"/>
              <w:rPr>
                <w:rFonts w:ascii="Sylfaen" w:hAnsi="Sylfaen"/>
                <w:sz w:val="24"/>
                <w:szCs w:val="24"/>
              </w:rPr>
            </w:pPr>
          </w:p>
        </w:tc>
        <w:tc>
          <w:tcPr>
            <w:tcW w:w="2815" w:type="dxa"/>
            <w:tcBorders>
              <w:top w:val="single" w:sz="4" w:space="0" w:color="000000"/>
              <w:left w:val="single" w:sz="4" w:space="0" w:color="000000"/>
              <w:bottom w:val="single" w:sz="4" w:space="0" w:color="000000"/>
              <w:right w:val="single" w:sz="4" w:space="0" w:color="000000"/>
            </w:tcBorders>
            <w:shd w:val="clear" w:color="auto" w:fill="E7E7E7"/>
          </w:tcPr>
          <w:p w14:paraId="77CE7B6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3.2.R</w:t>
            </w:r>
          </w:p>
        </w:tc>
        <w:tc>
          <w:tcPr>
            <w:tcW w:w="1927" w:type="dxa"/>
            <w:tcBorders>
              <w:top w:val="single" w:sz="4" w:space="0" w:color="000000"/>
              <w:left w:val="single" w:sz="4" w:space="0" w:color="000000"/>
              <w:bottom w:val="single" w:sz="4" w:space="0" w:color="000000"/>
              <w:right w:val="single" w:sz="4" w:space="0" w:color="000000"/>
            </w:tcBorders>
          </w:tcPr>
          <w:p w14:paraId="476071E9"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59FED5AE" w14:textId="77777777" w:rsidR="008C76E0" w:rsidRPr="00BD7577" w:rsidRDefault="008C76E0" w:rsidP="008C76E0">
            <w:pPr>
              <w:spacing w:after="120" w:line="240" w:lineRule="auto"/>
              <w:rPr>
                <w:rFonts w:ascii="Sylfaen" w:hAnsi="Sylfaen"/>
                <w:sz w:val="24"/>
                <w:szCs w:val="24"/>
              </w:rPr>
            </w:pPr>
          </w:p>
        </w:tc>
      </w:tr>
      <w:tr w:rsidR="008C76E0" w:rsidRPr="00BD7577" w14:paraId="63EA7445" w14:textId="77777777" w:rsidTr="008C76E0">
        <w:trPr>
          <w:jc w:val="center"/>
        </w:trPr>
        <w:tc>
          <w:tcPr>
            <w:tcW w:w="1526" w:type="dxa"/>
            <w:tcBorders>
              <w:top w:val="nil"/>
              <w:left w:val="single" w:sz="4" w:space="0" w:color="000000"/>
              <w:bottom w:val="single" w:sz="4" w:space="0" w:color="000000"/>
              <w:right w:val="single" w:sz="4" w:space="0" w:color="000000"/>
            </w:tcBorders>
            <w:shd w:val="clear" w:color="auto" w:fill="E7E7E7"/>
          </w:tcPr>
          <w:p w14:paraId="767ABD1B" w14:textId="77777777" w:rsidR="008C76E0" w:rsidRPr="00BD7577" w:rsidRDefault="008C76E0" w:rsidP="008C76E0">
            <w:pPr>
              <w:spacing w:after="120" w:line="240" w:lineRule="auto"/>
              <w:rPr>
                <w:rFonts w:ascii="Sylfaen" w:hAnsi="Sylfaen"/>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E7E7E7"/>
          </w:tcPr>
          <w:p w14:paraId="5DB5BE6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3.3</w:t>
            </w:r>
          </w:p>
        </w:tc>
        <w:tc>
          <w:tcPr>
            <w:tcW w:w="2815" w:type="dxa"/>
            <w:tcBorders>
              <w:top w:val="single" w:sz="4" w:space="0" w:color="000000"/>
              <w:left w:val="single" w:sz="4" w:space="0" w:color="000000"/>
              <w:bottom w:val="single" w:sz="4" w:space="0" w:color="000000"/>
              <w:right w:val="single" w:sz="4" w:space="0" w:color="000000"/>
            </w:tcBorders>
          </w:tcPr>
          <w:p w14:paraId="20555599" w14:textId="77777777" w:rsidR="008C76E0" w:rsidRPr="00814E26" w:rsidRDefault="008C76E0" w:rsidP="00814E26">
            <w:pPr>
              <w:spacing w:after="120" w:line="240" w:lineRule="auto"/>
              <w:ind w:left="102" w:right="35"/>
              <w:rPr>
                <w:rFonts w:ascii="Sylfaen" w:eastAsia="Times New Roman" w:hAnsi="Sylfaen" w:cs="Times New Roman"/>
                <w:sz w:val="24"/>
                <w:szCs w:val="24"/>
              </w:rPr>
            </w:pPr>
            <w:r w:rsidRPr="00BD7577">
              <w:rPr>
                <w:rFonts w:ascii="Sylfaen" w:hAnsi="Sylfaen"/>
                <w:sz w:val="24"/>
                <w:szCs w:val="24"/>
              </w:rPr>
              <w:t xml:space="preserve">Մեկական ֆայլ՝ յուրաքանչյուր աղբյուրի </w:t>
            </w:r>
            <w:r w:rsidRPr="00C72D24">
              <w:rPr>
                <w:rFonts w:ascii="Sylfaen" w:hAnsi="Sylfaen"/>
                <w:sz w:val="24"/>
                <w:szCs w:val="24"/>
                <w:highlight w:val="yellow"/>
              </w:rPr>
              <w:t>համար</w:t>
            </w:r>
            <w:r w:rsidR="00814E26">
              <w:rPr>
                <w:rStyle w:val="FootnoteReference"/>
                <w:rFonts w:ascii="Sylfaen" w:hAnsi="Sylfaen"/>
                <w:sz w:val="24"/>
                <w:szCs w:val="24"/>
                <w:highlight w:val="yellow"/>
              </w:rPr>
              <w:footnoteReference w:id="36"/>
            </w:r>
          </w:p>
        </w:tc>
        <w:tc>
          <w:tcPr>
            <w:tcW w:w="1927" w:type="dxa"/>
            <w:tcBorders>
              <w:top w:val="single" w:sz="4" w:space="0" w:color="000000"/>
              <w:left w:val="single" w:sz="4" w:space="0" w:color="000000"/>
              <w:bottom w:val="single" w:sz="4" w:space="0" w:color="000000"/>
              <w:right w:val="single" w:sz="4" w:space="0" w:color="000000"/>
            </w:tcBorders>
          </w:tcPr>
          <w:p w14:paraId="04C19791" w14:textId="77777777" w:rsidR="008C76E0" w:rsidRPr="00BD7577" w:rsidRDefault="008C76E0" w:rsidP="008C76E0">
            <w:pPr>
              <w:spacing w:after="120" w:line="240" w:lineRule="auto"/>
              <w:rPr>
                <w:rFonts w:ascii="Sylfaen" w:hAnsi="Sylfaen"/>
                <w:sz w:val="24"/>
                <w:szCs w:val="24"/>
              </w:rPr>
            </w:pPr>
          </w:p>
        </w:tc>
        <w:tc>
          <w:tcPr>
            <w:tcW w:w="2237" w:type="dxa"/>
            <w:tcBorders>
              <w:top w:val="single" w:sz="4" w:space="0" w:color="000000"/>
              <w:left w:val="single" w:sz="4" w:space="0" w:color="000000"/>
              <w:bottom w:val="single" w:sz="4" w:space="0" w:color="000000"/>
              <w:right w:val="single" w:sz="4" w:space="0" w:color="000000"/>
            </w:tcBorders>
          </w:tcPr>
          <w:p w14:paraId="11E04602" w14:textId="77777777" w:rsidR="008C76E0" w:rsidRPr="00BD7577" w:rsidRDefault="008C76E0" w:rsidP="008C76E0">
            <w:pPr>
              <w:spacing w:after="120" w:line="240" w:lineRule="auto"/>
              <w:rPr>
                <w:rFonts w:ascii="Sylfaen" w:hAnsi="Sylfaen"/>
                <w:sz w:val="24"/>
                <w:szCs w:val="24"/>
              </w:rPr>
            </w:pPr>
          </w:p>
        </w:tc>
      </w:tr>
    </w:tbl>
    <w:p w14:paraId="347B6817" w14:textId="77777777" w:rsidR="008C76E0" w:rsidRPr="00BD7577" w:rsidRDefault="008C76E0" w:rsidP="008C76E0">
      <w:pPr>
        <w:rPr>
          <w:rFonts w:ascii="Sylfaen" w:hAnsi="Sylfaen"/>
          <w:sz w:val="24"/>
          <w:szCs w:val="24"/>
        </w:rPr>
      </w:pPr>
    </w:p>
    <w:p w14:paraId="7D54F8D8" w14:textId="77777777" w:rsidR="008C76E0" w:rsidRPr="00BD7577" w:rsidRDefault="008C76E0" w:rsidP="00297352">
      <w:pPr>
        <w:spacing w:after="160" w:line="360" w:lineRule="auto"/>
        <w:ind w:left="567" w:right="567"/>
        <w:jc w:val="center"/>
        <w:rPr>
          <w:rFonts w:ascii="Sylfaen" w:eastAsia="Times New Roman" w:hAnsi="Sylfaen" w:cs="Times New Roman"/>
          <w:sz w:val="24"/>
          <w:szCs w:val="24"/>
        </w:rPr>
      </w:pPr>
      <w:r w:rsidRPr="00BD7577">
        <w:rPr>
          <w:rFonts w:ascii="Sylfaen" w:hAnsi="Sylfaen"/>
          <w:sz w:val="24"/>
          <w:szCs w:val="24"/>
        </w:rPr>
        <w:t>Պայմանական նշագրերը</w:t>
      </w:r>
    </w:p>
    <w:tbl>
      <w:tblPr>
        <w:tblStyle w:val="TableGrid"/>
        <w:tblW w:w="9552" w:type="dxa"/>
        <w:jc w:val="center"/>
        <w:tblLook w:val="04A0" w:firstRow="1" w:lastRow="0" w:firstColumn="1" w:lastColumn="0" w:noHBand="0" w:noVBand="1"/>
      </w:tblPr>
      <w:tblGrid>
        <w:gridCol w:w="9552"/>
      </w:tblGrid>
      <w:tr w:rsidR="008C76E0" w:rsidRPr="00BD7577" w14:paraId="5E73581D" w14:textId="77777777" w:rsidTr="008C76E0">
        <w:trPr>
          <w:jc w:val="center"/>
        </w:trPr>
        <w:tc>
          <w:tcPr>
            <w:tcW w:w="9552" w:type="dxa"/>
          </w:tcPr>
          <w:p w14:paraId="3FDB630A" w14:textId="77777777" w:rsidR="008C76E0" w:rsidRPr="00BD7577" w:rsidRDefault="008C76E0" w:rsidP="008C76E0">
            <w:pPr>
              <w:spacing w:after="120"/>
              <w:ind w:right="40"/>
              <w:rPr>
                <w:rFonts w:ascii="Sylfaen" w:eastAsia="Times New Roman" w:hAnsi="Sylfaen" w:cs="Times New Roman"/>
                <w:sz w:val="24"/>
                <w:szCs w:val="24"/>
              </w:rPr>
            </w:pPr>
            <w:r w:rsidRPr="00BD7577">
              <w:rPr>
                <w:rFonts w:ascii="Sylfaen" w:hAnsi="Sylfaen"/>
                <w:sz w:val="24"/>
                <w:szCs w:val="24"/>
              </w:rPr>
              <w:t>Այս մակարդակում փաստաթղթեր ներկայացնելը չի թույլատրվում:</w:t>
            </w:r>
          </w:p>
        </w:tc>
      </w:tr>
      <w:tr w:rsidR="008C76E0" w:rsidRPr="00BD7577" w14:paraId="781D41B9" w14:textId="77777777" w:rsidTr="008C76E0">
        <w:trPr>
          <w:jc w:val="center"/>
        </w:trPr>
        <w:tc>
          <w:tcPr>
            <w:tcW w:w="9552" w:type="dxa"/>
          </w:tcPr>
          <w:p w14:paraId="0A083671" w14:textId="77777777" w:rsidR="008C76E0" w:rsidRPr="00BD7577" w:rsidRDefault="008C76E0" w:rsidP="008C76E0">
            <w:pPr>
              <w:spacing w:after="120"/>
              <w:ind w:right="40"/>
              <w:rPr>
                <w:rFonts w:ascii="Sylfaen" w:eastAsia="Times New Roman" w:hAnsi="Sylfaen" w:cs="Times New Roman"/>
                <w:sz w:val="24"/>
                <w:szCs w:val="24"/>
              </w:rPr>
            </w:pPr>
            <w:r w:rsidRPr="00BD7577">
              <w:rPr>
                <w:rFonts w:ascii="Sylfaen" w:hAnsi="Sylfaen"/>
                <w:sz w:val="24"/>
                <w:szCs w:val="24"/>
              </w:rPr>
              <w:t>Բովանդակությունը պահանջվում է միայն ԸՏՓ-ի թղթային տարբերակի համար, ԷԸՏՓ-ում այն նախատեսված չէ: Այդ մակարդակում թույլատրվում է ներկայացնել մեկ կամ մի քանի փաստաթղթեր:</w:t>
            </w:r>
          </w:p>
        </w:tc>
      </w:tr>
    </w:tbl>
    <w:p w14:paraId="156F4AA6" w14:textId="77777777" w:rsidR="00A8592B" w:rsidRDefault="00A8592B" w:rsidP="008C76E0">
      <w:pPr>
        <w:ind w:right="255"/>
        <w:jc w:val="both"/>
        <w:rPr>
          <w:rFonts w:ascii="Sylfaen" w:eastAsia="Times New Roman" w:hAnsi="Sylfaen" w:cs="Times New Roman"/>
          <w:sz w:val="24"/>
          <w:szCs w:val="24"/>
        </w:rPr>
        <w:sectPr w:rsidR="00A8592B" w:rsidSect="00814E26">
          <w:footnotePr>
            <w:numRestart w:val="eachSect"/>
          </w:footnotePr>
          <w:pgSz w:w="11907" w:h="16839" w:code="9"/>
          <w:pgMar w:top="1418" w:right="1418" w:bottom="1418" w:left="1418" w:header="0" w:footer="361" w:gutter="0"/>
          <w:cols w:space="720"/>
          <w:noEndnote/>
          <w:docGrid w:linePitch="360"/>
        </w:sectPr>
      </w:pPr>
    </w:p>
    <w:p w14:paraId="698F8045" w14:textId="77777777" w:rsidR="008C76E0" w:rsidRPr="00BD7577" w:rsidRDefault="008C76E0" w:rsidP="008C76E0">
      <w:pPr>
        <w:tabs>
          <w:tab w:val="left" w:pos="1134"/>
        </w:tabs>
        <w:ind w:right="-20" w:firstLine="567"/>
        <w:jc w:val="both"/>
        <w:rPr>
          <w:rFonts w:ascii="Sylfaen" w:eastAsia="Times New Roman" w:hAnsi="Sylfaen" w:cs="Times New Roman"/>
          <w:sz w:val="24"/>
          <w:szCs w:val="24"/>
        </w:rPr>
      </w:pPr>
      <w:r w:rsidRPr="00BD7577">
        <w:rPr>
          <w:rFonts w:ascii="Sylfaen" w:hAnsi="Sylfaen"/>
          <w:sz w:val="24"/>
          <w:szCs w:val="24"/>
        </w:rPr>
        <w:lastRenderedPageBreak/>
        <w:t>4</w:t>
      </w:r>
      <w:r>
        <w:rPr>
          <w:rFonts w:ascii="Sylfaen" w:hAnsi="Sylfaen"/>
          <w:sz w:val="24"/>
          <w:szCs w:val="24"/>
          <w:lang w:val="ru-RU"/>
        </w:rPr>
        <w:t>.</w:t>
      </w:r>
      <w:r>
        <w:rPr>
          <w:rFonts w:ascii="Sylfaen" w:hAnsi="Sylfaen"/>
          <w:sz w:val="24"/>
          <w:szCs w:val="24"/>
          <w:lang w:val="en-US"/>
        </w:rPr>
        <w:tab/>
      </w:r>
      <w:r w:rsidRPr="00BD7577">
        <w:rPr>
          <w:rFonts w:ascii="Sylfaen" w:hAnsi="Sylfaen"/>
          <w:sz w:val="24"/>
          <w:szCs w:val="24"/>
        </w:rPr>
        <w:t>Մոդուլ 4</w:t>
      </w:r>
    </w:p>
    <w:tbl>
      <w:tblPr>
        <w:tblOverlap w:val="never"/>
        <w:tblW w:w="9799" w:type="dxa"/>
        <w:jc w:val="center"/>
        <w:tblLayout w:type="fixed"/>
        <w:tblCellMar>
          <w:left w:w="10" w:type="dxa"/>
          <w:right w:w="10" w:type="dxa"/>
        </w:tblCellMar>
        <w:tblLook w:val="04A0" w:firstRow="1" w:lastRow="0" w:firstColumn="1" w:lastColumn="0" w:noHBand="0" w:noVBand="1"/>
      </w:tblPr>
      <w:tblGrid>
        <w:gridCol w:w="1215"/>
        <w:gridCol w:w="532"/>
        <w:gridCol w:w="2052"/>
        <w:gridCol w:w="902"/>
        <w:gridCol w:w="2520"/>
        <w:gridCol w:w="2578"/>
      </w:tblGrid>
      <w:tr w:rsidR="008C76E0" w:rsidRPr="00BD7577" w14:paraId="3B92A4E5" w14:textId="77777777" w:rsidTr="00A8592B">
        <w:trPr>
          <w:jc w:val="center"/>
        </w:trPr>
        <w:tc>
          <w:tcPr>
            <w:tcW w:w="1215" w:type="dxa"/>
            <w:vMerge w:val="restart"/>
            <w:tcBorders>
              <w:top w:val="single" w:sz="4" w:space="0" w:color="auto"/>
              <w:left w:val="single" w:sz="4" w:space="0" w:color="auto"/>
            </w:tcBorders>
            <w:shd w:val="clear" w:color="auto" w:fill="FFFFFF"/>
          </w:tcPr>
          <w:p w14:paraId="4138B939"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Մոդուլ 4</w:t>
            </w:r>
          </w:p>
        </w:tc>
        <w:tc>
          <w:tcPr>
            <w:tcW w:w="8584" w:type="dxa"/>
            <w:gridSpan w:val="5"/>
            <w:tcBorders>
              <w:top w:val="single" w:sz="4" w:space="0" w:color="auto"/>
              <w:left w:val="single" w:sz="4" w:space="0" w:color="auto"/>
              <w:right w:val="single" w:sz="4" w:space="0" w:color="auto"/>
            </w:tcBorders>
            <w:shd w:val="clear" w:color="auto" w:fill="FFFFFF"/>
            <w:vAlign w:val="bottom"/>
          </w:tcPr>
          <w:p w14:paraId="38269799"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4.1</w:t>
            </w:r>
          </w:p>
        </w:tc>
      </w:tr>
      <w:tr w:rsidR="008C76E0" w:rsidRPr="00BD7577" w14:paraId="70E569E3" w14:textId="77777777" w:rsidTr="00A8592B">
        <w:trPr>
          <w:jc w:val="center"/>
        </w:trPr>
        <w:tc>
          <w:tcPr>
            <w:tcW w:w="1215" w:type="dxa"/>
            <w:vMerge/>
            <w:tcBorders>
              <w:left w:val="single" w:sz="4" w:space="0" w:color="auto"/>
            </w:tcBorders>
            <w:shd w:val="clear" w:color="auto" w:fill="FFFFFF"/>
          </w:tcPr>
          <w:p w14:paraId="03CCB6A4" w14:textId="77777777" w:rsidR="008C76E0" w:rsidRPr="00BD7577" w:rsidRDefault="008C76E0" w:rsidP="008C76E0">
            <w:pPr>
              <w:spacing w:after="120" w:line="240" w:lineRule="auto"/>
              <w:rPr>
                <w:rFonts w:ascii="Sylfaen" w:hAnsi="Sylfaen"/>
                <w:sz w:val="24"/>
                <w:szCs w:val="24"/>
              </w:rPr>
            </w:pPr>
          </w:p>
        </w:tc>
        <w:tc>
          <w:tcPr>
            <w:tcW w:w="2584" w:type="dxa"/>
            <w:gridSpan w:val="2"/>
            <w:vMerge w:val="restart"/>
            <w:tcBorders>
              <w:top w:val="single" w:sz="4" w:space="0" w:color="auto"/>
              <w:left w:val="single" w:sz="4" w:space="0" w:color="auto"/>
            </w:tcBorders>
            <w:shd w:val="clear" w:color="auto" w:fill="FFFFFF"/>
          </w:tcPr>
          <w:p w14:paraId="5F877610"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Pr>
                <w:rStyle w:val="Bodytext411pt"/>
                <w:rFonts w:ascii="Sylfaen" w:hAnsi="Sylfaen"/>
                <w:sz w:val="24"/>
                <w:szCs w:val="24"/>
              </w:rPr>
              <w:t>4.2</w:t>
            </w:r>
            <w:r>
              <w:rPr>
                <w:rStyle w:val="Bodytext411pt"/>
                <w:rFonts w:ascii="Sylfaen" w:hAnsi="Sylfaen"/>
                <w:sz w:val="24"/>
                <w:szCs w:val="24"/>
                <w:lang w:val="en-US"/>
              </w:rPr>
              <w:tab/>
            </w:r>
            <w:r w:rsidRPr="00BD7577">
              <w:rPr>
                <w:rStyle w:val="Bodytext411pt"/>
                <w:rFonts w:ascii="Sylfaen" w:hAnsi="Sylfaen"/>
                <w:sz w:val="24"/>
                <w:szCs w:val="24"/>
              </w:rPr>
              <w:t>4.2.1</w:t>
            </w:r>
          </w:p>
        </w:tc>
        <w:tc>
          <w:tcPr>
            <w:tcW w:w="902" w:type="dxa"/>
            <w:tcBorders>
              <w:top w:val="single" w:sz="4" w:space="0" w:color="auto"/>
              <w:left w:val="single" w:sz="4" w:space="0" w:color="auto"/>
            </w:tcBorders>
            <w:shd w:val="clear" w:color="auto" w:fill="FFFFFF"/>
            <w:vAlign w:val="bottom"/>
          </w:tcPr>
          <w:p w14:paraId="6AC91E66"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4.2.1.1</w:t>
            </w:r>
          </w:p>
        </w:tc>
        <w:tc>
          <w:tcPr>
            <w:tcW w:w="2520" w:type="dxa"/>
            <w:tcBorders>
              <w:top w:val="single" w:sz="4" w:space="0" w:color="auto"/>
              <w:left w:val="single" w:sz="4" w:space="0" w:color="auto"/>
            </w:tcBorders>
            <w:shd w:val="clear" w:color="auto" w:fill="FFFFFF"/>
          </w:tcPr>
          <w:p w14:paraId="40A0200C" w14:textId="77777777" w:rsidR="008C76E0" w:rsidRPr="00BD7577" w:rsidRDefault="008C76E0" w:rsidP="00EC6304">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Style w:val="FootnoteReference"/>
                <w:rFonts w:ascii="Sylfaen" w:hAnsi="Sylfaen"/>
                <w:sz w:val="24"/>
                <w:szCs w:val="24"/>
              </w:rPr>
              <w:footnoteReference w:id="37"/>
            </w:r>
            <w:r w:rsidRPr="00BD7577">
              <w:rPr>
                <w:rFonts w:ascii="Sylfaen" w:hAnsi="Sylfaen"/>
                <w:sz w:val="24"/>
                <w:szCs w:val="24"/>
              </w:rPr>
              <w:t xml:space="preserve"> </w:t>
            </w:r>
          </w:p>
        </w:tc>
        <w:tc>
          <w:tcPr>
            <w:tcW w:w="2578" w:type="dxa"/>
            <w:tcBorders>
              <w:top w:val="single" w:sz="4" w:space="0" w:color="auto"/>
              <w:left w:val="single" w:sz="4" w:space="0" w:color="auto"/>
              <w:right w:val="single" w:sz="4" w:space="0" w:color="auto"/>
            </w:tcBorders>
            <w:shd w:val="clear" w:color="auto" w:fill="FFFFFF"/>
          </w:tcPr>
          <w:p w14:paraId="59FA42E6" w14:textId="77777777" w:rsidR="008C76E0" w:rsidRPr="00BD7577" w:rsidRDefault="008C76E0" w:rsidP="008C76E0">
            <w:pPr>
              <w:spacing w:after="120" w:line="240" w:lineRule="auto"/>
              <w:rPr>
                <w:rFonts w:ascii="Sylfaen" w:hAnsi="Sylfaen"/>
                <w:sz w:val="24"/>
                <w:szCs w:val="24"/>
              </w:rPr>
            </w:pPr>
          </w:p>
        </w:tc>
      </w:tr>
      <w:tr w:rsidR="008C76E0" w:rsidRPr="00BD7577" w14:paraId="5B90CB57" w14:textId="77777777" w:rsidTr="00A8592B">
        <w:trPr>
          <w:jc w:val="center"/>
        </w:trPr>
        <w:tc>
          <w:tcPr>
            <w:tcW w:w="1215" w:type="dxa"/>
            <w:vMerge/>
            <w:tcBorders>
              <w:left w:val="single" w:sz="4" w:space="0" w:color="auto"/>
            </w:tcBorders>
            <w:shd w:val="clear" w:color="auto" w:fill="FFFFFF"/>
          </w:tcPr>
          <w:p w14:paraId="2C1C1EBB"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DD3A9C0"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4C23FEF8"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4.2.1.2</w:t>
            </w:r>
          </w:p>
        </w:tc>
        <w:tc>
          <w:tcPr>
            <w:tcW w:w="2520" w:type="dxa"/>
            <w:tcBorders>
              <w:top w:val="single" w:sz="4" w:space="0" w:color="auto"/>
              <w:left w:val="single" w:sz="4" w:space="0" w:color="auto"/>
            </w:tcBorders>
            <w:shd w:val="clear" w:color="auto" w:fill="FFFFFF"/>
          </w:tcPr>
          <w:p w14:paraId="1BF9503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46879CA2" w14:textId="77777777" w:rsidR="008C76E0" w:rsidRPr="00BD7577" w:rsidRDefault="008C76E0" w:rsidP="008C76E0">
            <w:pPr>
              <w:spacing w:after="120" w:line="240" w:lineRule="auto"/>
              <w:rPr>
                <w:rFonts w:ascii="Sylfaen" w:hAnsi="Sylfaen"/>
                <w:sz w:val="24"/>
                <w:szCs w:val="24"/>
              </w:rPr>
            </w:pPr>
          </w:p>
        </w:tc>
      </w:tr>
      <w:tr w:rsidR="008C76E0" w:rsidRPr="00BD7577" w14:paraId="7FC652BF" w14:textId="77777777" w:rsidTr="00A8592B">
        <w:trPr>
          <w:jc w:val="center"/>
        </w:trPr>
        <w:tc>
          <w:tcPr>
            <w:tcW w:w="1215" w:type="dxa"/>
            <w:vMerge/>
            <w:tcBorders>
              <w:left w:val="single" w:sz="4" w:space="0" w:color="auto"/>
            </w:tcBorders>
            <w:shd w:val="clear" w:color="auto" w:fill="FFFFFF"/>
          </w:tcPr>
          <w:p w14:paraId="5CD5B64D"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0DBF7ED1"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0670DF69"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4.2.1.3</w:t>
            </w:r>
          </w:p>
        </w:tc>
        <w:tc>
          <w:tcPr>
            <w:tcW w:w="2520" w:type="dxa"/>
            <w:tcBorders>
              <w:top w:val="single" w:sz="4" w:space="0" w:color="auto"/>
              <w:left w:val="single" w:sz="4" w:space="0" w:color="auto"/>
            </w:tcBorders>
            <w:shd w:val="clear" w:color="auto" w:fill="FFFFFF"/>
          </w:tcPr>
          <w:p w14:paraId="33377D90"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72D8BC8D" w14:textId="77777777" w:rsidR="008C76E0" w:rsidRPr="00BD7577" w:rsidRDefault="008C76E0" w:rsidP="008C76E0">
            <w:pPr>
              <w:spacing w:after="120" w:line="240" w:lineRule="auto"/>
              <w:rPr>
                <w:rFonts w:ascii="Sylfaen" w:hAnsi="Sylfaen"/>
                <w:sz w:val="24"/>
                <w:szCs w:val="24"/>
              </w:rPr>
            </w:pPr>
          </w:p>
        </w:tc>
      </w:tr>
      <w:tr w:rsidR="008C76E0" w:rsidRPr="00BD7577" w14:paraId="0157FFF0" w14:textId="77777777" w:rsidTr="00A8592B">
        <w:trPr>
          <w:jc w:val="center"/>
        </w:trPr>
        <w:tc>
          <w:tcPr>
            <w:tcW w:w="1215" w:type="dxa"/>
            <w:vMerge/>
            <w:tcBorders>
              <w:left w:val="single" w:sz="4" w:space="0" w:color="auto"/>
            </w:tcBorders>
            <w:shd w:val="clear" w:color="auto" w:fill="FFFFFF"/>
          </w:tcPr>
          <w:p w14:paraId="76616E62" w14:textId="77777777" w:rsidR="008C76E0" w:rsidRPr="00BD7577" w:rsidRDefault="008C76E0" w:rsidP="008C76E0">
            <w:pPr>
              <w:spacing w:after="120" w:line="240" w:lineRule="auto"/>
              <w:rPr>
                <w:rFonts w:ascii="Sylfaen" w:hAnsi="Sylfaen"/>
                <w:sz w:val="24"/>
                <w:szCs w:val="24"/>
              </w:rPr>
            </w:pPr>
          </w:p>
        </w:tc>
        <w:tc>
          <w:tcPr>
            <w:tcW w:w="532" w:type="dxa"/>
            <w:vMerge w:val="restart"/>
            <w:tcBorders>
              <w:left w:val="single" w:sz="4" w:space="0" w:color="auto"/>
            </w:tcBorders>
            <w:shd w:val="clear" w:color="auto" w:fill="FFFFFF"/>
          </w:tcPr>
          <w:p w14:paraId="12D48F54" w14:textId="77777777" w:rsidR="008C76E0" w:rsidRPr="00BD7577" w:rsidRDefault="008C76E0" w:rsidP="008C76E0">
            <w:pPr>
              <w:spacing w:after="120" w:line="240" w:lineRule="auto"/>
              <w:rPr>
                <w:rFonts w:ascii="Sylfaen" w:hAnsi="Sylfaen"/>
                <w:sz w:val="24"/>
                <w:szCs w:val="24"/>
              </w:rPr>
            </w:pPr>
          </w:p>
        </w:tc>
        <w:tc>
          <w:tcPr>
            <w:tcW w:w="2052" w:type="dxa"/>
            <w:shd w:val="clear" w:color="auto" w:fill="FFFFFF"/>
          </w:tcPr>
          <w:p w14:paraId="7F8B4860"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1D649A4A"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4.2.1.4</w:t>
            </w:r>
          </w:p>
        </w:tc>
        <w:tc>
          <w:tcPr>
            <w:tcW w:w="2520" w:type="dxa"/>
            <w:tcBorders>
              <w:top w:val="single" w:sz="4" w:space="0" w:color="auto"/>
              <w:left w:val="single" w:sz="4" w:space="0" w:color="auto"/>
            </w:tcBorders>
            <w:shd w:val="clear" w:color="auto" w:fill="FFFFFF"/>
          </w:tcPr>
          <w:p w14:paraId="377FD5D6"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3E3B3B20" w14:textId="77777777" w:rsidR="008C76E0" w:rsidRPr="00BD7577" w:rsidRDefault="008C76E0" w:rsidP="008C76E0">
            <w:pPr>
              <w:spacing w:after="120" w:line="240" w:lineRule="auto"/>
              <w:rPr>
                <w:rFonts w:ascii="Sylfaen" w:hAnsi="Sylfaen"/>
                <w:sz w:val="24"/>
                <w:szCs w:val="24"/>
              </w:rPr>
            </w:pPr>
          </w:p>
        </w:tc>
      </w:tr>
      <w:tr w:rsidR="008C76E0" w:rsidRPr="00BD7577" w14:paraId="534ACA7B" w14:textId="77777777" w:rsidTr="00A8592B">
        <w:trPr>
          <w:jc w:val="center"/>
        </w:trPr>
        <w:tc>
          <w:tcPr>
            <w:tcW w:w="1215" w:type="dxa"/>
            <w:vMerge/>
            <w:tcBorders>
              <w:left w:val="single" w:sz="4" w:space="0" w:color="auto"/>
            </w:tcBorders>
            <w:shd w:val="clear" w:color="auto" w:fill="FFFFFF"/>
          </w:tcPr>
          <w:p w14:paraId="28024E57" w14:textId="77777777" w:rsidR="008C76E0" w:rsidRPr="00BD7577" w:rsidRDefault="008C76E0" w:rsidP="008C76E0">
            <w:pPr>
              <w:spacing w:after="120" w:line="240" w:lineRule="auto"/>
              <w:rPr>
                <w:rFonts w:ascii="Sylfaen" w:hAnsi="Sylfaen"/>
                <w:sz w:val="24"/>
                <w:szCs w:val="24"/>
              </w:rPr>
            </w:pPr>
          </w:p>
        </w:tc>
        <w:tc>
          <w:tcPr>
            <w:tcW w:w="532" w:type="dxa"/>
            <w:vMerge/>
            <w:tcBorders>
              <w:left w:val="single" w:sz="4" w:space="0" w:color="auto"/>
            </w:tcBorders>
            <w:shd w:val="clear" w:color="auto" w:fill="FFFFFF"/>
          </w:tcPr>
          <w:p w14:paraId="7B842343" w14:textId="77777777" w:rsidR="008C76E0" w:rsidRPr="00BD7577" w:rsidRDefault="008C76E0" w:rsidP="008C76E0">
            <w:pPr>
              <w:spacing w:after="120" w:line="240" w:lineRule="auto"/>
              <w:rPr>
                <w:rFonts w:ascii="Sylfaen" w:hAnsi="Sylfaen"/>
                <w:sz w:val="24"/>
                <w:szCs w:val="24"/>
              </w:rPr>
            </w:pPr>
          </w:p>
        </w:tc>
        <w:tc>
          <w:tcPr>
            <w:tcW w:w="2052" w:type="dxa"/>
            <w:tcBorders>
              <w:top w:val="single" w:sz="4" w:space="0" w:color="auto"/>
            </w:tcBorders>
            <w:shd w:val="clear" w:color="auto" w:fill="FFFFFF"/>
            <w:vAlign w:val="bottom"/>
          </w:tcPr>
          <w:p w14:paraId="1749CDD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w:t>
            </w:r>
          </w:p>
        </w:tc>
        <w:tc>
          <w:tcPr>
            <w:tcW w:w="902" w:type="dxa"/>
            <w:tcBorders>
              <w:top w:val="single" w:sz="4" w:space="0" w:color="auto"/>
              <w:left w:val="single" w:sz="4" w:space="0" w:color="auto"/>
            </w:tcBorders>
            <w:shd w:val="clear" w:color="auto" w:fill="FFFFFF"/>
            <w:vAlign w:val="bottom"/>
          </w:tcPr>
          <w:p w14:paraId="056B9DE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4.2.2.1</w:t>
            </w:r>
          </w:p>
        </w:tc>
        <w:tc>
          <w:tcPr>
            <w:tcW w:w="2520" w:type="dxa"/>
            <w:tcBorders>
              <w:top w:val="single" w:sz="4" w:space="0" w:color="auto"/>
              <w:left w:val="single" w:sz="4" w:space="0" w:color="auto"/>
            </w:tcBorders>
            <w:shd w:val="clear" w:color="auto" w:fill="FFFFFF"/>
          </w:tcPr>
          <w:p w14:paraId="0C969CF7"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0910599E" w14:textId="77777777" w:rsidR="008C76E0" w:rsidRPr="00BD7577" w:rsidRDefault="008C76E0" w:rsidP="008C76E0">
            <w:pPr>
              <w:spacing w:after="120" w:line="240" w:lineRule="auto"/>
              <w:rPr>
                <w:rFonts w:ascii="Sylfaen" w:hAnsi="Sylfaen"/>
                <w:sz w:val="24"/>
                <w:szCs w:val="24"/>
              </w:rPr>
            </w:pPr>
          </w:p>
        </w:tc>
      </w:tr>
      <w:tr w:rsidR="008C76E0" w:rsidRPr="00BD7577" w14:paraId="24D59FA4" w14:textId="77777777" w:rsidTr="00A8592B">
        <w:trPr>
          <w:jc w:val="center"/>
        </w:trPr>
        <w:tc>
          <w:tcPr>
            <w:tcW w:w="1215" w:type="dxa"/>
            <w:vMerge/>
            <w:tcBorders>
              <w:left w:val="single" w:sz="4" w:space="0" w:color="auto"/>
            </w:tcBorders>
            <w:shd w:val="clear" w:color="auto" w:fill="FFFFFF"/>
          </w:tcPr>
          <w:p w14:paraId="7746A07B" w14:textId="77777777" w:rsidR="008C76E0" w:rsidRPr="00BD7577" w:rsidRDefault="008C76E0" w:rsidP="008C76E0">
            <w:pPr>
              <w:spacing w:after="120" w:line="240" w:lineRule="auto"/>
              <w:rPr>
                <w:rFonts w:ascii="Sylfaen" w:hAnsi="Sylfaen"/>
                <w:sz w:val="24"/>
                <w:szCs w:val="24"/>
              </w:rPr>
            </w:pPr>
          </w:p>
        </w:tc>
        <w:tc>
          <w:tcPr>
            <w:tcW w:w="2584" w:type="dxa"/>
            <w:gridSpan w:val="2"/>
            <w:vMerge w:val="restart"/>
            <w:tcBorders>
              <w:left w:val="single" w:sz="4" w:space="0" w:color="auto"/>
            </w:tcBorders>
            <w:shd w:val="clear" w:color="auto" w:fill="FFFFFF"/>
          </w:tcPr>
          <w:p w14:paraId="6B8779AE"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4753F0BC"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4.2.2.2</w:t>
            </w:r>
          </w:p>
        </w:tc>
        <w:tc>
          <w:tcPr>
            <w:tcW w:w="2520" w:type="dxa"/>
            <w:tcBorders>
              <w:top w:val="single" w:sz="4" w:space="0" w:color="auto"/>
              <w:left w:val="single" w:sz="4" w:space="0" w:color="auto"/>
            </w:tcBorders>
            <w:shd w:val="clear" w:color="auto" w:fill="FFFFFF"/>
          </w:tcPr>
          <w:p w14:paraId="7A47451E"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1B339486" w14:textId="77777777" w:rsidR="008C76E0" w:rsidRPr="00BD7577" w:rsidRDefault="008C76E0" w:rsidP="008C76E0">
            <w:pPr>
              <w:spacing w:after="120" w:line="240" w:lineRule="auto"/>
              <w:rPr>
                <w:rFonts w:ascii="Sylfaen" w:hAnsi="Sylfaen"/>
                <w:sz w:val="24"/>
                <w:szCs w:val="24"/>
              </w:rPr>
            </w:pPr>
          </w:p>
        </w:tc>
      </w:tr>
      <w:tr w:rsidR="008C76E0" w:rsidRPr="00BD7577" w14:paraId="7869604F" w14:textId="77777777" w:rsidTr="00A8592B">
        <w:trPr>
          <w:jc w:val="center"/>
        </w:trPr>
        <w:tc>
          <w:tcPr>
            <w:tcW w:w="1215" w:type="dxa"/>
            <w:vMerge/>
            <w:tcBorders>
              <w:left w:val="single" w:sz="4" w:space="0" w:color="auto"/>
            </w:tcBorders>
            <w:shd w:val="clear" w:color="auto" w:fill="FFFFFF"/>
          </w:tcPr>
          <w:p w14:paraId="325A0A94"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354ABDA"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2251AD1A"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4.2.2.3</w:t>
            </w:r>
          </w:p>
        </w:tc>
        <w:tc>
          <w:tcPr>
            <w:tcW w:w="2520" w:type="dxa"/>
            <w:tcBorders>
              <w:top w:val="single" w:sz="4" w:space="0" w:color="auto"/>
              <w:left w:val="single" w:sz="4" w:space="0" w:color="auto"/>
            </w:tcBorders>
            <w:shd w:val="clear" w:color="auto" w:fill="FFFFFF"/>
          </w:tcPr>
          <w:p w14:paraId="326A8F4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3D0809B6" w14:textId="77777777" w:rsidR="008C76E0" w:rsidRPr="00BD7577" w:rsidRDefault="008C76E0" w:rsidP="008C76E0">
            <w:pPr>
              <w:spacing w:after="120" w:line="240" w:lineRule="auto"/>
              <w:rPr>
                <w:rFonts w:ascii="Sylfaen" w:hAnsi="Sylfaen"/>
                <w:sz w:val="24"/>
                <w:szCs w:val="24"/>
              </w:rPr>
            </w:pPr>
          </w:p>
        </w:tc>
      </w:tr>
      <w:tr w:rsidR="008C76E0" w:rsidRPr="00BD7577" w14:paraId="73B97A89" w14:textId="77777777" w:rsidTr="00A8592B">
        <w:trPr>
          <w:jc w:val="center"/>
        </w:trPr>
        <w:tc>
          <w:tcPr>
            <w:tcW w:w="1215" w:type="dxa"/>
            <w:vMerge/>
            <w:tcBorders>
              <w:left w:val="single" w:sz="4" w:space="0" w:color="auto"/>
            </w:tcBorders>
            <w:shd w:val="clear" w:color="auto" w:fill="FFFFFF"/>
          </w:tcPr>
          <w:p w14:paraId="7DA0A4B1"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16DB0D05"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6C8F2FE3"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4.2.2.4</w:t>
            </w:r>
          </w:p>
        </w:tc>
        <w:tc>
          <w:tcPr>
            <w:tcW w:w="2520" w:type="dxa"/>
            <w:tcBorders>
              <w:top w:val="single" w:sz="4" w:space="0" w:color="auto"/>
              <w:left w:val="single" w:sz="4" w:space="0" w:color="auto"/>
            </w:tcBorders>
            <w:shd w:val="clear" w:color="auto" w:fill="FFFFFF"/>
          </w:tcPr>
          <w:p w14:paraId="4C2D04B6"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761A8DA9" w14:textId="77777777" w:rsidR="008C76E0" w:rsidRPr="00BD7577" w:rsidRDefault="008C76E0" w:rsidP="008C76E0">
            <w:pPr>
              <w:spacing w:after="120" w:line="240" w:lineRule="auto"/>
              <w:rPr>
                <w:rFonts w:ascii="Sylfaen" w:hAnsi="Sylfaen"/>
                <w:sz w:val="24"/>
                <w:szCs w:val="24"/>
              </w:rPr>
            </w:pPr>
          </w:p>
        </w:tc>
      </w:tr>
      <w:tr w:rsidR="008C76E0" w:rsidRPr="00BD7577" w14:paraId="6B8F8B24" w14:textId="77777777" w:rsidTr="00A8592B">
        <w:trPr>
          <w:jc w:val="center"/>
        </w:trPr>
        <w:tc>
          <w:tcPr>
            <w:tcW w:w="1215" w:type="dxa"/>
            <w:vMerge/>
            <w:tcBorders>
              <w:left w:val="single" w:sz="4" w:space="0" w:color="auto"/>
            </w:tcBorders>
            <w:shd w:val="clear" w:color="auto" w:fill="FFFFFF"/>
          </w:tcPr>
          <w:p w14:paraId="2D9EDA93"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233F62B"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5E77B55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4.2.2.5</w:t>
            </w:r>
          </w:p>
        </w:tc>
        <w:tc>
          <w:tcPr>
            <w:tcW w:w="2520" w:type="dxa"/>
            <w:tcBorders>
              <w:top w:val="single" w:sz="4" w:space="0" w:color="auto"/>
              <w:left w:val="single" w:sz="4" w:space="0" w:color="auto"/>
            </w:tcBorders>
            <w:shd w:val="clear" w:color="auto" w:fill="FFFFFF"/>
          </w:tcPr>
          <w:p w14:paraId="3175F0FA"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14AA7D24" w14:textId="77777777" w:rsidR="008C76E0" w:rsidRPr="00BD7577" w:rsidRDefault="008C76E0" w:rsidP="008C76E0">
            <w:pPr>
              <w:spacing w:after="120" w:line="240" w:lineRule="auto"/>
              <w:rPr>
                <w:rFonts w:ascii="Sylfaen" w:hAnsi="Sylfaen"/>
                <w:sz w:val="24"/>
                <w:szCs w:val="24"/>
              </w:rPr>
            </w:pPr>
          </w:p>
        </w:tc>
      </w:tr>
      <w:tr w:rsidR="008C76E0" w:rsidRPr="00BD7577" w14:paraId="57CE21D3" w14:textId="77777777" w:rsidTr="00A8592B">
        <w:trPr>
          <w:jc w:val="center"/>
        </w:trPr>
        <w:tc>
          <w:tcPr>
            <w:tcW w:w="1215" w:type="dxa"/>
            <w:vMerge/>
            <w:tcBorders>
              <w:left w:val="single" w:sz="4" w:space="0" w:color="auto"/>
            </w:tcBorders>
            <w:shd w:val="clear" w:color="auto" w:fill="FFFFFF"/>
          </w:tcPr>
          <w:p w14:paraId="7CD9E5B3"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E4E0D85"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23698D25"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4.2.2.6</w:t>
            </w:r>
          </w:p>
        </w:tc>
        <w:tc>
          <w:tcPr>
            <w:tcW w:w="2520" w:type="dxa"/>
            <w:tcBorders>
              <w:top w:val="single" w:sz="4" w:space="0" w:color="auto"/>
              <w:left w:val="single" w:sz="4" w:space="0" w:color="auto"/>
            </w:tcBorders>
            <w:shd w:val="clear" w:color="auto" w:fill="FFFFFF"/>
          </w:tcPr>
          <w:p w14:paraId="23589883"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18DFABCA" w14:textId="77777777" w:rsidR="008C76E0" w:rsidRPr="00BD7577" w:rsidRDefault="008C76E0" w:rsidP="008C76E0">
            <w:pPr>
              <w:spacing w:after="120" w:line="240" w:lineRule="auto"/>
              <w:rPr>
                <w:rFonts w:ascii="Sylfaen" w:hAnsi="Sylfaen"/>
                <w:sz w:val="24"/>
                <w:szCs w:val="24"/>
              </w:rPr>
            </w:pPr>
          </w:p>
        </w:tc>
      </w:tr>
      <w:tr w:rsidR="008C76E0" w:rsidRPr="00BD7577" w14:paraId="5059DD3A" w14:textId="77777777" w:rsidTr="00A8592B">
        <w:trPr>
          <w:jc w:val="center"/>
        </w:trPr>
        <w:tc>
          <w:tcPr>
            <w:tcW w:w="1215" w:type="dxa"/>
            <w:vMerge/>
            <w:tcBorders>
              <w:left w:val="single" w:sz="4" w:space="0" w:color="auto"/>
            </w:tcBorders>
            <w:shd w:val="clear" w:color="auto" w:fill="FFFFFF"/>
          </w:tcPr>
          <w:p w14:paraId="19F47365" w14:textId="77777777" w:rsidR="008C76E0" w:rsidRPr="00BD7577" w:rsidRDefault="008C76E0" w:rsidP="008C76E0">
            <w:pPr>
              <w:spacing w:after="120" w:line="240" w:lineRule="auto"/>
              <w:rPr>
                <w:rFonts w:ascii="Sylfaen" w:hAnsi="Sylfaen"/>
                <w:sz w:val="24"/>
                <w:szCs w:val="24"/>
              </w:rPr>
            </w:pPr>
          </w:p>
        </w:tc>
        <w:tc>
          <w:tcPr>
            <w:tcW w:w="532" w:type="dxa"/>
            <w:vMerge w:val="restart"/>
            <w:tcBorders>
              <w:left w:val="single" w:sz="4" w:space="0" w:color="auto"/>
            </w:tcBorders>
            <w:shd w:val="clear" w:color="auto" w:fill="FFFFFF"/>
          </w:tcPr>
          <w:p w14:paraId="51FBB811" w14:textId="77777777" w:rsidR="008C76E0" w:rsidRPr="00BD7577" w:rsidRDefault="008C76E0" w:rsidP="008C76E0">
            <w:pPr>
              <w:spacing w:after="120" w:line="240" w:lineRule="auto"/>
              <w:rPr>
                <w:rFonts w:ascii="Sylfaen" w:hAnsi="Sylfaen"/>
                <w:sz w:val="24"/>
                <w:szCs w:val="24"/>
              </w:rPr>
            </w:pPr>
          </w:p>
        </w:tc>
        <w:tc>
          <w:tcPr>
            <w:tcW w:w="2052" w:type="dxa"/>
            <w:shd w:val="clear" w:color="auto" w:fill="FFFFFF"/>
          </w:tcPr>
          <w:p w14:paraId="40D13DDD"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363F3162"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4.2.2.7</w:t>
            </w:r>
          </w:p>
        </w:tc>
        <w:tc>
          <w:tcPr>
            <w:tcW w:w="2520" w:type="dxa"/>
            <w:tcBorders>
              <w:top w:val="single" w:sz="4" w:space="0" w:color="auto"/>
              <w:left w:val="single" w:sz="4" w:space="0" w:color="auto"/>
            </w:tcBorders>
            <w:shd w:val="clear" w:color="auto" w:fill="FFFFFF"/>
          </w:tcPr>
          <w:p w14:paraId="31565E3C"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5969F146" w14:textId="77777777" w:rsidR="008C76E0" w:rsidRPr="00BD7577" w:rsidRDefault="008C76E0" w:rsidP="008C76E0">
            <w:pPr>
              <w:spacing w:after="120" w:line="240" w:lineRule="auto"/>
              <w:rPr>
                <w:rFonts w:ascii="Sylfaen" w:hAnsi="Sylfaen"/>
                <w:sz w:val="24"/>
                <w:szCs w:val="24"/>
              </w:rPr>
            </w:pPr>
          </w:p>
        </w:tc>
      </w:tr>
      <w:tr w:rsidR="008C76E0" w:rsidRPr="00BD7577" w14:paraId="551853B3" w14:textId="77777777" w:rsidTr="00A8592B">
        <w:trPr>
          <w:jc w:val="center"/>
        </w:trPr>
        <w:tc>
          <w:tcPr>
            <w:tcW w:w="1215" w:type="dxa"/>
            <w:vMerge/>
            <w:tcBorders>
              <w:left w:val="single" w:sz="4" w:space="0" w:color="auto"/>
            </w:tcBorders>
            <w:shd w:val="clear" w:color="auto" w:fill="FFFFFF"/>
          </w:tcPr>
          <w:p w14:paraId="2288C8E6" w14:textId="77777777" w:rsidR="008C76E0" w:rsidRPr="00BD7577" w:rsidRDefault="008C76E0" w:rsidP="008C76E0">
            <w:pPr>
              <w:spacing w:after="120" w:line="240" w:lineRule="auto"/>
              <w:rPr>
                <w:rFonts w:ascii="Sylfaen" w:hAnsi="Sylfaen"/>
                <w:sz w:val="24"/>
                <w:szCs w:val="24"/>
              </w:rPr>
            </w:pPr>
          </w:p>
        </w:tc>
        <w:tc>
          <w:tcPr>
            <w:tcW w:w="532" w:type="dxa"/>
            <w:vMerge/>
            <w:tcBorders>
              <w:left w:val="single" w:sz="4" w:space="0" w:color="auto"/>
            </w:tcBorders>
            <w:shd w:val="clear" w:color="auto" w:fill="FFFFFF"/>
          </w:tcPr>
          <w:p w14:paraId="748FD653" w14:textId="77777777" w:rsidR="008C76E0" w:rsidRPr="00BD7577" w:rsidRDefault="008C76E0" w:rsidP="008C76E0">
            <w:pPr>
              <w:spacing w:after="120" w:line="240" w:lineRule="auto"/>
              <w:rPr>
                <w:rFonts w:ascii="Sylfaen" w:hAnsi="Sylfaen"/>
                <w:sz w:val="24"/>
                <w:szCs w:val="24"/>
              </w:rPr>
            </w:pPr>
          </w:p>
        </w:tc>
        <w:tc>
          <w:tcPr>
            <w:tcW w:w="2052" w:type="dxa"/>
            <w:tcBorders>
              <w:top w:val="single" w:sz="4" w:space="0" w:color="auto"/>
            </w:tcBorders>
            <w:shd w:val="clear" w:color="auto" w:fill="FFFFFF"/>
            <w:vAlign w:val="bottom"/>
          </w:tcPr>
          <w:p w14:paraId="4D1E25E3"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w:t>
            </w:r>
          </w:p>
        </w:tc>
        <w:tc>
          <w:tcPr>
            <w:tcW w:w="902" w:type="dxa"/>
            <w:tcBorders>
              <w:top w:val="single" w:sz="4" w:space="0" w:color="auto"/>
              <w:left w:val="single" w:sz="4" w:space="0" w:color="auto"/>
            </w:tcBorders>
            <w:shd w:val="clear" w:color="auto" w:fill="FFFFFF"/>
            <w:vAlign w:val="bottom"/>
          </w:tcPr>
          <w:p w14:paraId="18A0597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4.2.3.1</w:t>
            </w:r>
          </w:p>
        </w:tc>
        <w:tc>
          <w:tcPr>
            <w:tcW w:w="2520" w:type="dxa"/>
            <w:tcBorders>
              <w:top w:val="single" w:sz="4" w:space="0" w:color="auto"/>
              <w:left w:val="single" w:sz="4" w:space="0" w:color="auto"/>
            </w:tcBorders>
            <w:shd w:val="clear" w:color="auto" w:fill="FFFFFF"/>
          </w:tcPr>
          <w:p w14:paraId="5A96236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4CD9A83F" w14:textId="77777777" w:rsidR="008C76E0" w:rsidRPr="00BD7577" w:rsidRDefault="008C76E0" w:rsidP="008C76E0">
            <w:pPr>
              <w:spacing w:after="120" w:line="240" w:lineRule="auto"/>
              <w:rPr>
                <w:rFonts w:ascii="Sylfaen" w:hAnsi="Sylfaen"/>
                <w:sz w:val="24"/>
                <w:szCs w:val="24"/>
              </w:rPr>
            </w:pPr>
          </w:p>
        </w:tc>
      </w:tr>
      <w:tr w:rsidR="008C76E0" w:rsidRPr="00BD7577" w14:paraId="3119FE6B" w14:textId="77777777" w:rsidTr="00A8592B">
        <w:trPr>
          <w:jc w:val="center"/>
        </w:trPr>
        <w:tc>
          <w:tcPr>
            <w:tcW w:w="1215" w:type="dxa"/>
            <w:vMerge/>
            <w:tcBorders>
              <w:left w:val="single" w:sz="4" w:space="0" w:color="auto"/>
            </w:tcBorders>
            <w:shd w:val="clear" w:color="auto" w:fill="FFFFFF"/>
          </w:tcPr>
          <w:p w14:paraId="214FD990" w14:textId="77777777" w:rsidR="008C76E0" w:rsidRPr="00BD7577" w:rsidRDefault="008C76E0" w:rsidP="008C76E0">
            <w:pPr>
              <w:spacing w:after="120" w:line="240" w:lineRule="auto"/>
              <w:rPr>
                <w:rFonts w:ascii="Sylfaen" w:hAnsi="Sylfaen"/>
                <w:sz w:val="24"/>
                <w:szCs w:val="24"/>
              </w:rPr>
            </w:pPr>
          </w:p>
        </w:tc>
        <w:tc>
          <w:tcPr>
            <w:tcW w:w="2584" w:type="dxa"/>
            <w:gridSpan w:val="2"/>
            <w:vMerge w:val="restart"/>
            <w:tcBorders>
              <w:left w:val="single" w:sz="4" w:space="0" w:color="auto"/>
            </w:tcBorders>
            <w:shd w:val="clear" w:color="auto" w:fill="FFFFFF"/>
          </w:tcPr>
          <w:p w14:paraId="0F5A337F"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12763BD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4.2.3.2</w:t>
            </w:r>
          </w:p>
        </w:tc>
        <w:tc>
          <w:tcPr>
            <w:tcW w:w="2520" w:type="dxa"/>
            <w:tcBorders>
              <w:top w:val="single" w:sz="4" w:space="0" w:color="auto"/>
              <w:left w:val="single" w:sz="4" w:space="0" w:color="auto"/>
            </w:tcBorders>
            <w:shd w:val="clear" w:color="auto" w:fill="FFFFFF"/>
          </w:tcPr>
          <w:p w14:paraId="5CE39E58"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233E88FC" w14:textId="77777777" w:rsidR="008C76E0" w:rsidRPr="00BD7577" w:rsidRDefault="008C76E0" w:rsidP="008C76E0">
            <w:pPr>
              <w:spacing w:after="120" w:line="240" w:lineRule="auto"/>
              <w:rPr>
                <w:rFonts w:ascii="Sylfaen" w:hAnsi="Sylfaen"/>
                <w:sz w:val="24"/>
                <w:szCs w:val="24"/>
              </w:rPr>
            </w:pPr>
          </w:p>
        </w:tc>
      </w:tr>
      <w:tr w:rsidR="008C76E0" w:rsidRPr="00BD7577" w14:paraId="03E9B186" w14:textId="77777777" w:rsidTr="00A8592B">
        <w:trPr>
          <w:jc w:val="center"/>
        </w:trPr>
        <w:tc>
          <w:tcPr>
            <w:tcW w:w="1215" w:type="dxa"/>
            <w:vMerge/>
            <w:tcBorders>
              <w:left w:val="single" w:sz="4" w:space="0" w:color="auto"/>
            </w:tcBorders>
            <w:shd w:val="clear" w:color="auto" w:fill="FFFFFF"/>
          </w:tcPr>
          <w:p w14:paraId="4D4224AA"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D8566C5" w14:textId="77777777" w:rsidR="008C76E0" w:rsidRPr="00BD7577" w:rsidRDefault="008C76E0" w:rsidP="008C76E0">
            <w:pPr>
              <w:spacing w:after="120" w:line="240" w:lineRule="auto"/>
              <w:rPr>
                <w:rFonts w:ascii="Sylfaen" w:hAnsi="Sylfaen"/>
                <w:sz w:val="24"/>
                <w:szCs w:val="24"/>
              </w:rPr>
            </w:pPr>
          </w:p>
        </w:tc>
        <w:tc>
          <w:tcPr>
            <w:tcW w:w="902" w:type="dxa"/>
            <w:vMerge w:val="restart"/>
            <w:tcBorders>
              <w:top w:val="single" w:sz="4" w:space="0" w:color="auto"/>
              <w:left w:val="single" w:sz="4" w:space="0" w:color="auto"/>
            </w:tcBorders>
            <w:shd w:val="clear" w:color="auto" w:fill="FFFFFF"/>
          </w:tcPr>
          <w:p w14:paraId="01C48BAE"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4.2.3.3</w:t>
            </w:r>
          </w:p>
        </w:tc>
        <w:tc>
          <w:tcPr>
            <w:tcW w:w="2520" w:type="dxa"/>
            <w:tcBorders>
              <w:top w:val="single" w:sz="4" w:space="0" w:color="auto"/>
              <w:left w:val="single" w:sz="4" w:space="0" w:color="auto"/>
            </w:tcBorders>
            <w:shd w:val="clear" w:color="auto" w:fill="FFFFFF"/>
            <w:vAlign w:val="bottom"/>
          </w:tcPr>
          <w:p w14:paraId="6C2F4C47"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4.2.3.3.1</w:t>
            </w:r>
          </w:p>
        </w:tc>
        <w:tc>
          <w:tcPr>
            <w:tcW w:w="2578" w:type="dxa"/>
            <w:tcBorders>
              <w:top w:val="single" w:sz="4" w:space="0" w:color="auto"/>
              <w:left w:val="single" w:sz="4" w:space="0" w:color="auto"/>
              <w:right w:val="single" w:sz="4" w:space="0" w:color="auto"/>
            </w:tcBorders>
            <w:shd w:val="clear" w:color="auto" w:fill="FFFFFF"/>
          </w:tcPr>
          <w:p w14:paraId="6D8E373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054F2B2" w14:textId="77777777" w:rsidTr="00A8592B">
        <w:trPr>
          <w:jc w:val="center"/>
        </w:trPr>
        <w:tc>
          <w:tcPr>
            <w:tcW w:w="1215" w:type="dxa"/>
            <w:vMerge/>
            <w:tcBorders>
              <w:left w:val="single" w:sz="4" w:space="0" w:color="auto"/>
            </w:tcBorders>
            <w:shd w:val="clear" w:color="auto" w:fill="FFFFFF"/>
          </w:tcPr>
          <w:p w14:paraId="374C0220"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9FA520C"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132AA10E"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657151F4"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4.2.3.3.2</w:t>
            </w:r>
          </w:p>
        </w:tc>
        <w:tc>
          <w:tcPr>
            <w:tcW w:w="2578" w:type="dxa"/>
            <w:tcBorders>
              <w:top w:val="single" w:sz="4" w:space="0" w:color="auto"/>
              <w:left w:val="single" w:sz="4" w:space="0" w:color="auto"/>
              <w:right w:val="single" w:sz="4" w:space="0" w:color="auto"/>
            </w:tcBorders>
            <w:shd w:val="clear" w:color="auto" w:fill="FFFFFF"/>
          </w:tcPr>
          <w:p w14:paraId="4761DC80"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7C101157" w14:textId="77777777" w:rsidTr="00A8592B">
        <w:trPr>
          <w:jc w:val="center"/>
        </w:trPr>
        <w:tc>
          <w:tcPr>
            <w:tcW w:w="1215" w:type="dxa"/>
            <w:vMerge/>
            <w:tcBorders>
              <w:left w:val="single" w:sz="4" w:space="0" w:color="auto"/>
            </w:tcBorders>
            <w:shd w:val="clear" w:color="auto" w:fill="FFFFFF"/>
          </w:tcPr>
          <w:p w14:paraId="25EF4220"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66C88696" w14:textId="77777777" w:rsidR="008C76E0" w:rsidRPr="00BD7577" w:rsidRDefault="008C76E0" w:rsidP="008C76E0">
            <w:pPr>
              <w:spacing w:after="120" w:line="240" w:lineRule="auto"/>
              <w:rPr>
                <w:rFonts w:ascii="Sylfaen" w:hAnsi="Sylfaen"/>
                <w:sz w:val="24"/>
                <w:szCs w:val="24"/>
              </w:rPr>
            </w:pPr>
          </w:p>
        </w:tc>
        <w:tc>
          <w:tcPr>
            <w:tcW w:w="902" w:type="dxa"/>
            <w:vMerge w:val="restart"/>
            <w:tcBorders>
              <w:top w:val="single" w:sz="4" w:space="0" w:color="auto"/>
              <w:left w:val="single" w:sz="4" w:space="0" w:color="auto"/>
            </w:tcBorders>
            <w:shd w:val="clear" w:color="auto" w:fill="FFFFFF"/>
          </w:tcPr>
          <w:p w14:paraId="35E014D7"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4.2.3.4</w:t>
            </w:r>
          </w:p>
        </w:tc>
        <w:tc>
          <w:tcPr>
            <w:tcW w:w="2520" w:type="dxa"/>
            <w:tcBorders>
              <w:top w:val="single" w:sz="4" w:space="0" w:color="auto"/>
              <w:left w:val="single" w:sz="4" w:space="0" w:color="auto"/>
            </w:tcBorders>
            <w:shd w:val="clear" w:color="auto" w:fill="FFFFFF"/>
            <w:vAlign w:val="bottom"/>
          </w:tcPr>
          <w:p w14:paraId="708C489B"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4.2.3.4.1</w:t>
            </w:r>
          </w:p>
        </w:tc>
        <w:tc>
          <w:tcPr>
            <w:tcW w:w="2578" w:type="dxa"/>
            <w:tcBorders>
              <w:top w:val="single" w:sz="4" w:space="0" w:color="auto"/>
              <w:left w:val="single" w:sz="4" w:space="0" w:color="auto"/>
              <w:right w:val="single" w:sz="4" w:space="0" w:color="auto"/>
            </w:tcBorders>
            <w:shd w:val="clear" w:color="auto" w:fill="FFFFFF"/>
          </w:tcPr>
          <w:p w14:paraId="50CA4D9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6A9CE858" w14:textId="77777777" w:rsidTr="00A8592B">
        <w:trPr>
          <w:jc w:val="center"/>
        </w:trPr>
        <w:tc>
          <w:tcPr>
            <w:tcW w:w="1215" w:type="dxa"/>
            <w:vMerge/>
            <w:tcBorders>
              <w:left w:val="single" w:sz="4" w:space="0" w:color="auto"/>
            </w:tcBorders>
            <w:shd w:val="clear" w:color="auto" w:fill="FFFFFF"/>
          </w:tcPr>
          <w:p w14:paraId="0F76353D"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4E517BD"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23CC7871"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7635452A"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4.2.3.4.2</w:t>
            </w:r>
          </w:p>
        </w:tc>
        <w:tc>
          <w:tcPr>
            <w:tcW w:w="2578" w:type="dxa"/>
            <w:tcBorders>
              <w:top w:val="single" w:sz="4" w:space="0" w:color="auto"/>
              <w:left w:val="single" w:sz="4" w:space="0" w:color="auto"/>
              <w:right w:val="single" w:sz="4" w:space="0" w:color="auto"/>
            </w:tcBorders>
            <w:shd w:val="clear" w:color="auto" w:fill="FFFFFF"/>
          </w:tcPr>
          <w:p w14:paraId="74AB4C59"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B099F6B" w14:textId="77777777" w:rsidTr="00A8592B">
        <w:trPr>
          <w:jc w:val="center"/>
        </w:trPr>
        <w:tc>
          <w:tcPr>
            <w:tcW w:w="1215" w:type="dxa"/>
            <w:vMerge/>
            <w:tcBorders>
              <w:left w:val="single" w:sz="4" w:space="0" w:color="auto"/>
            </w:tcBorders>
            <w:shd w:val="clear" w:color="auto" w:fill="FFFFFF"/>
          </w:tcPr>
          <w:p w14:paraId="208A551B"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5EFBE2E"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095FCE98"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3B8555A4"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4.2.3.4.3</w:t>
            </w:r>
          </w:p>
        </w:tc>
        <w:tc>
          <w:tcPr>
            <w:tcW w:w="2578" w:type="dxa"/>
            <w:tcBorders>
              <w:top w:val="single" w:sz="4" w:space="0" w:color="auto"/>
              <w:left w:val="single" w:sz="4" w:space="0" w:color="auto"/>
              <w:right w:val="single" w:sz="4" w:space="0" w:color="auto"/>
            </w:tcBorders>
            <w:shd w:val="clear" w:color="auto" w:fill="FFFFFF"/>
          </w:tcPr>
          <w:p w14:paraId="053345CE"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3CCDF307" w14:textId="77777777" w:rsidTr="00A8592B">
        <w:trPr>
          <w:jc w:val="center"/>
        </w:trPr>
        <w:tc>
          <w:tcPr>
            <w:tcW w:w="1215" w:type="dxa"/>
            <w:vMerge/>
            <w:tcBorders>
              <w:left w:val="single" w:sz="4" w:space="0" w:color="auto"/>
            </w:tcBorders>
            <w:shd w:val="clear" w:color="auto" w:fill="FFFFFF"/>
          </w:tcPr>
          <w:p w14:paraId="5B358C75"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305A5460" w14:textId="77777777" w:rsidR="008C76E0" w:rsidRPr="00BD7577" w:rsidRDefault="008C76E0" w:rsidP="008C76E0">
            <w:pPr>
              <w:spacing w:after="120" w:line="240" w:lineRule="auto"/>
              <w:rPr>
                <w:rFonts w:ascii="Sylfaen" w:hAnsi="Sylfaen"/>
                <w:sz w:val="24"/>
                <w:szCs w:val="24"/>
              </w:rPr>
            </w:pPr>
          </w:p>
        </w:tc>
        <w:tc>
          <w:tcPr>
            <w:tcW w:w="902" w:type="dxa"/>
            <w:vMerge w:val="restart"/>
            <w:tcBorders>
              <w:top w:val="single" w:sz="4" w:space="0" w:color="auto"/>
              <w:left w:val="single" w:sz="4" w:space="0" w:color="auto"/>
            </w:tcBorders>
            <w:shd w:val="clear" w:color="auto" w:fill="FFFFFF"/>
          </w:tcPr>
          <w:p w14:paraId="1463A19F"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4.2.3.5</w:t>
            </w:r>
          </w:p>
        </w:tc>
        <w:tc>
          <w:tcPr>
            <w:tcW w:w="2520" w:type="dxa"/>
            <w:tcBorders>
              <w:top w:val="single" w:sz="4" w:space="0" w:color="auto"/>
              <w:left w:val="single" w:sz="4" w:space="0" w:color="auto"/>
            </w:tcBorders>
            <w:shd w:val="clear" w:color="auto" w:fill="FFFFFF"/>
            <w:vAlign w:val="bottom"/>
          </w:tcPr>
          <w:p w14:paraId="4D3C13D2"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4.2.3.5.1</w:t>
            </w:r>
          </w:p>
        </w:tc>
        <w:tc>
          <w:tcPr>
            <w:tcW w:w="2578" w:type="dxa"/>
            <w:tcBorders>
              <w:top w:val="single" w:sz="4" w:space="0" w:color="auto"/>
              <w:left w:val="single" w:sz="4" w:space="0" w:color="auto"/>
              <w:right w:val="single" w:sz="4" w:space="0" w:color="auto"/>
            </w:tcBorders>
            <w:shd w:val="clear" w:color="auto" w:fill="FFFFFF"/>
          </w:tcPr>
          <w:p w14:paraId="14D14EEF"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4C0C9CBC" w14:textId="77777777" w:rsidTr="00A8592B">
        <w:trPr>
          <w:jc w:val="center"/>
        </w:trPr>
        <w:tc>
          <w:tcPr>
            <w:tcW w:w="1215" w:type="dxa"/>
            <w:vMerge/>
            <w:tcBorders>
              <w:left w:val="single" w:sz="4" w:space="0" w:color="auto"/>
            </w:tcBorders>
            <w:shd w:val="clear" w:color="auto" w:fill="FFFFFF"/>
          </w:tcPr>
          <w:p w14:paraId="43F122F8"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14D74C41"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22950A05"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tcPr>
          <w:p w14:paraId="4AAE2254"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4.2.3.5.2</w:t>
            </w:r>
          </w:p>
        </w:tc>
        <w:tc>
          <w:tcPr>
            <w:tcW w:w="2578" w:type="dxa"/>
            <w:tcBorders>
              <w:top w:val="single" w:sz="4" w:space="0" w:color="auto"/>
              <w:left w:val="single" w:sz="4" w:space="0" w:color="auto"/>
              <w:right w:val="single" w:sz="4" w:space="0" w:color="auto"/>
            </w:tcBorders>
            <w:shd w:val="clear" w:color="auto" w:fill="FFFFFF"/>
          </w:tcPr>
          <w:p w14:paraId="1567D96B"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52B4A16A" w14:textId="77777777" w:rsidTr="00A8592B">
        <w:trPr>
          <w:jc w:val="center"/>
        </w:trPr>
        <w:tc>
          <w:tcPr>
            <w:tcW w:w="1215" w:type="dxa"/>
            <w:vMerge/>
            <w:tcBorders>
              <w:left w:val="single" w:sz="4" w:space="0" w:color="auto"/>
            </w:tcBorders>
            <w:shd w:val="clear" w:color="auto" w:fill="FFFFFF"/>
          </w:tcPr>
          <w:p w14:paraId="1AE5C159"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B374021"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11A43929"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6431A772"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4.2.3.5.3</w:t>
            </w:r>
          </w:p>
        </w:tc>
        <w:tc>
          <w:tcPr>
            <w:tcW w:w="2578" w:type="dxa"/>
            <w:tcBorders>
              <w:top w:val="single" w:sz="4" w:space="0" w:color="auto"/>
              <w:left w:val="single" w:sz="4" w:space="0" w:color="auto"/>
              <w:right w:val="single" w:sz="4" w:space="0" w:color="auto"/>
            </w:tcBorders>
            <w:shd w:val="clear" w:color="auto" w:fill="FFFFFF"/>
          </w:tcPr>
          <w:p w14:paraId="5FF19A2D"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09188705" w14:textId="77777777" w:rsidTr="00A8592B">
        <w:trPr>
          <w:jc w:val="center"/>
        </w:trPr>
        <w:tc>
          <w:tcPr>
            <w:tcW w:w="1215" w:type="dxa"/>
            <w:vMerge/>
            <w:tcBorders>
              <w:left w:val="single" w:sz="4" w:space="0" w:color="auto"/>
            </w:tcBorders>
            <w:shd w:val="clear" w:color="auto" w:fill="FFFFFF"/>
          </w:tcPr>
          <w:p w14:paraId="76A13D04"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22AEB6AB"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23A28D79"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2E1A1C25"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4.2.3.5.4</w:t>
            </w:r>
          </w:p>
        </w:tc>
        <w:tc>
          <w:tcPr>
            <w:tcW w:w="2578" w:type="dxa"/>
            <w:tcBorders>
              <w:top w:val="single" w:sz="4" w:space="0" w:color="auto"/>
              <w:left w:val="single" w:sz="4" w:space="0" w:color="auto"/>
              <w:right w:val="single" w:sz="4" w:space="0" w:color="auto"/>
            </w:tcBorders>
            <w:shd w:val="clear" w:color="auto" w:fill="FFFFFF"/>
          </w:tcPr>
          <w:p w14:paraId="3AB69254"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489AC53C" w14:textId="77777777" w:rsidTr="00A8592B">
        <w:trPr>
          <w:jc w:val="center"/>
        </w:trPr>
        <w:tc>
          <w:tcPr>
            <w:tcW w:w="1215" w:type="dxa"/>
            <w:vMerge/>
            <w:tcBorders>
              <w:left w:val="single" w:sz="4" w:space="0" w:color="auto"/>
            </w:tcBorders>
            <w:shd w:val="clear" w:color="auto" w:fill="FFFFFF"/>
          </w:tcPr>
          <w:p w14:paraId="0D0090E1"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69C2B4D8" w14:textId="77777777" w:rsidR="008C76E0" w:rsidRPr="00BD7577" w:rsidRDefault="008C76E0" w:rsidP="008C76E0">
            <w:pPr>
              <w:spacing w:after="120" w:line="240" w:lineRule="auto"/>
              <w:rPr>
                <w:rFonts w:ascii="Sylfaen" w:hAnsi="Sylfaen"/>
                <w:sz w:val="24"/>
                <w:szCs w:val="24"/>
              </w:rPr>
            </w:pPr>
          </w:p>
        </w:tc>
        <w:tc>
          <w:tcPr>
            <w:tcW w:w="902" w:type="dxa"/>
            <w:tcBorders>
              <w:top w:val="single" w:sz="4" w:space="0" w:color="auto"/>
              <w:left w:val="single" w:sz="4" w:space="0" w:color="auto"/>
            </w:tcBorders>
            <w:shd w:val="clear" w:color="auto" w:fill="FFFFFF"/>
            <w:vAlign w:val="bottom"/>
          </w:tcPr>
          <w:p w14:paraId="6DA0A9A4"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4.2.3.6</w:t>
            </w:r>
          </w:p>
        </w:tc>
        <w:tc>
          <w:tcPr>
            <w:tcW w:w="2520" w:type="dxa"/>
            <w:tcBorders>
              <w:top w:val="single" w:sz="4" w:space="0" w:color="auto"/>
              <w:left w:val="single" w:sz="4" w:space="0" w:color="auto"/>
            </w:tcBorders>
            <w:shd w:val="clear" w:color="auto" w:fill="FFFFFF"/>
          </w:tcPr>
          <w:p w14:paraId="4798FD5A"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578" w:type="dxa"/>
            <w:tcBorders>
              <w:top w:val="single" w:sz="4" w:space="0" w:color="auto"/>
              <w:left w:val="single" w:sz="4" w:space="0" w:color="auto"/>
              <w:right w:val="single" w:sz="4" w:space="0" w:color="auto"/>
            </w:tcBorders>
            <w:shd w:val="clear" w:color="auto" w:fill="FFFFFF"/>
          </w:tcPr>
          <w:p w14:paraId="533C3A70" w14:textId="77777777" w:rsidR="008C76E0" w:rsidRPr="00BD7577" w:rsidRDefault="008C76E0" w:rsidP="008C76E0">
            <w:pPr>
              <w:spacing w:after="120" w:line="240" w:lineRule="auto"/>
              <w:rPr>
                <w:rFonts w:ascii="Sylfaen" w:hAnsi="Sylfaen"/>
                <w:sz w:val="24"/>
                <w:szCs w:val="24"/>
              </w:rPr>
            </w:pPr>
          </w:p>
        </w:tc>
      </w:tr>
      <w:tr w:rsidR="008C76E0" w:rsidRPr="00BD7577" w14:paraId="791925C3" w14:textId="77777777" w:rsidTr="00A8592B">
        <w:trPr>
          <w:jc w:val="center"/>
        </w:trPr>
        <w:tc>
          <w:tcPr>
            <w:tcW w:w="1215" w:type="dxa"/>
            <w:vMerge/>
            <w:tcBorders>
              <w:left w:val="single" w:sz="4" w:space="0" w:color="auto"/>
            </w:tcBorders>
            <w:shd w:val="clear" w:color="auto" w:fill="FFFFFF"/>
          </w:tcPr>
          <w:p w14:paraId="748D73DF"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1A3337C" w14:textId="77777777" w:rsidR="008C76E0" w:rsidRPr="00BD7577" w:rsidRDefault="008C76E0" w:rsidP="008C76E0">
            <w:pPr>
              <w:spacing w:after="120" w:line="240" w:lineRule="auto"/>
              <w:rPr>
                <w:rFonts w:ascii="Sylfaen" w:hAnsi="Sylfaen"/>
                <w:sz w:val="24"/>
                <w:szCs w:val="24"/>
              </w:rPr>
            </w:pPr>
          </w:p>
        </w:tc>
        <w:tc>
          <w:tcPr>
            <w:tcW w:w="902" w:type="dxa"/>
            <w:vMerge w:val="restart"/>
            <w:tcBorders>
              <w:top w:val="single" w:sz="4" w:space="0" w:color="auto"/>
              <w:left w:val="single" w:sz="4" w:space="0" w:color="auto"/>
            </w:tcBorders>
            <w:shd w:val="clear" w:color="auto" w:fill="FFFFFF"/>
          </w:tcPr>
          <w:p w14:paraId="1CFB1775"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w:t>
            </w:r>
          </w:p>
        </w:tc>
        <w:tc>
          <w:tcPr>
            <w:tcW w:w="2520" w:type="dxa"/>
            <w:tcBorders>
              <w:top w:val="single" w:sz="4" w:space="0" w:color="auto"/>
              <w:left w:val="single" w:sz="4" w:space="0" w:color="auto"/>
            </w:tcBorders>
            <w:shd w:val="clear" w:color="auto" w:fill="FFFFFF"/>
            <w:vAlign w:val="bottom"/>
          </w:tcPr>
          <w:p w14:paraId="67BF9D46"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4.2.3.7.1</w:t>
            </w:r>
          </w:p>
        </w:tc>
        <w:tc>
          <w:tcPr>
            <w:tcW w:w="2578" w:type="dxa"/>
            <w:tcBorders>
              <w:top w:val="single" w:sz="4" w:space="0" w:color="auto"/>
              <w:left w:val="single" w:sz="4" w:space="0" w:color="auto"/>
              <w:right w:val="single" w:sz="4" w:space="0" w:color="auto"/>
            </w:tcBorders>
            <w:shd w:val="clear" w:color="auto" w:fill="FFFFFF"/>
          </w:tcPr>
          <w:p w14:paraId="3D0161FE"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237BB15" w14:textId="77777777" w:rsidTr="00A8592B">
        <w:trPr>
          <w:jc w:val="center"/>
        </w:trPr>
        <w:tc>
          <w:tcPr>
            <w:tcW w:w="1215" w:type="dxa"/>
            <w:vMerge/>
            <w:tcBorders>
              <w:left w:val="single" w:sz="4" w:space="0" w:color="auto"/>
            </w:tcBorders>
            <w:shd w:val="clear" w:color="auto" w:fill="FFFFFF"/>
          </w:tcPr>
          <w:p w14:paraId="54CA9789"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B24399C"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37C30385"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4F6AC3E2"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4.2.3.7.2</w:t>
            </w:r>
          </w:p>
        </w:tc>
        <w:tc>
          <w:tcPr>
            <w:tcW w:w="2578" w:type="dxa"/>
            <w:tcBorders>
              <w:top w:val="single" w:sz="4" w:space="0" w:color="auto"/>
              <w:left w:val="single" w:sz="4" w:space="0" w:color="auto"/>
              <w:right w:val="single" w:sz="4" w:space="0" w:color="auto"/>
            </w:tcBorders>
            <w:shd w:val="clear" w:color="auto" w:fill="FFFFFF"/>
          </w:tcPr>
          <w:p w14:paraId="4DE98247"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58A86E5F" w14:textId="77777777" w:rsidTr="00A8592B">
        <w:trPr>
          <w:jc w:val="center"/>
        </w:trPr>
        <w:tc>
          <w:tcPr>
            <w:tcW w:w="1215" w:type="dxa"/>
            <w:vMerge/>
            <w:tcBorders>
              <w:left w:val="single" w:sz="4" w:space="0" w:color="auto"/>
            </w:tcBorders>
            <w:shd w:val="clear" w:color="auto" w:fill="FFFFFF"/>
          </w:tcPr>
          <w:p w14:paraId="7F10CD92"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42AB5C0A"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42F6CB2B"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10DCFACE"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4.2.3.7.3</w:t>
            </w:r>
          </w:p>
        </w:tc>
        <w:tc>
          <w:tcPr>
            <w:tcW w:w="2578" w:type="dxa"/>
            <w:tcBorders>
              <w:top w:val="single" w:sz="4" w:space="0" w:color="auto"/>
              <w:left w:val="single" w:sz="4" w:space="0" w:color="auto"/>
              <w:right w:val="single" w:sz="4" w:space="0" w:color="auto"/>
            </w:tcBorders>
            <w:shd w:val="clear" w:color="auto" w:fill="FFFFFF"/>
          </w:tcPr>
          <w:p w14:paraId="088E5D92"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3104CE4" w14:textId="77777777" w:rsidTr="00A8592B">
        <w:trPr>
          <w:jc w:val="center"/>
        </w:trPr>
        <w:tc>
          <w:tcPr>
            <w:tcW w:w="1215" w:type="dxa"/>
            <w:vMerge/>
            <w:tcBorders>
              <w:left w:val="single" w:sz="4" w:space="0" w:color="auto"/>
            </w:tcBorders>
            <w:shd w:val="clear" w:color="auto" w:fill="FFFFFF"/>
          </w:tcPr>
          <w:p w14:paraId="509F2587"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046F7EEB"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4464ACCD"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65460D7C"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4.2.3.7.4</w:t>
            </w:r>
          </w:p>
        </w:tc>
        <w:tc>
          <w:tcPr>
            <w:tcW w:w="2578" w:type="dxa"/>
            <w:tcBorders>
              <w:top w:val="single" w:sz="4" w:space="0" w:color="auto"/>
              <w:left w:val="single" w:sz="4" w:space="0" w:color="auto"/>
              <w:right w:val="single" w:sz="4" w:space="0" w:color="auto"/>
            </w:tcBorders>
            <w:shd w:val="clear" w:color="auto" w:fill="FFFFFF"/>
          </w:tcPr>
          <w:p w14:paraId="4B804628"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590524B3" w14:textId="77777777" w:rsidTr="00A8592B">
        <w:trPr>
          <w:jc w:val="center"/>
        </w:trPr>
        <w:tc>
          <w:tcPr>
            <w:tcW w:w="1215" w:type="dxa"/>
            <w:vMerge/>
            <w:tcBorders>
              <w:left w:val="single" w:sz="4" w:space="0" w:color="auto"/>
            </w:tcBorders>
            <w:shd w:val="clear" w:color="auto" w:fill="FFFFFF"/>
          </w:tcPr>
          <w:p w14:paraId="736290EE"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275EECF4"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7FB51518"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60F72C5B"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4.2.3.7.5</w:t>
            </w:r>
          </w:p>
        </w:tc>
        <w:tc>
          <w:tcPr>
            <w:tcW w:w="2578" w:type="dxa"/>
            <w:tcBorders>
              <w:top w:val="single" w:sz="4" w:space="0" w:color="auto"/>
              <w:left w:val="single" w:sz="4" w:space="0" w:color="auto"/>
              <w:right w:val="single" w:sz="4" w:space="0" w:color="auto"/>
            </w:tcBorders>
            <w:shd w:val="clear" w:color="auto" w:fill="FFFFFF"/>
          </w:tcPr>
          <w:p w14:paraId="056D9BF8"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04289C2E" w14:textId="77777777" w:rsidTr="00A8592B">
        <w:trPr>
          <w:jc w:val="center"/>
        </w:trPr>
        <w:tc>
          <w:tcPr>
            <w:tcW w:w="1215" w:type="dxa"/>
            <w:vMerge/>
            <w:tcBorders>
              <w:left w:val="single" w:sz="4" w:space="0" w:color="auto"/>
            </w:tcBorders>
            <w:shd w:val="clear" w:color="auto" w:fill="FFFFFF"/>
          </w:tcPr>
          <w:p w14:paraId="355DDC4B"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6CD8E6FC"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58224529"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35C41A39"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4.2.3.7.6</w:t>
            </w:r>
          </w:p>
        </w:tc>
        <w:tc>
          <w:tcPr>
            <w:tcW w:w="2578" w:type="dxa"/>
            <w:tcBorders>
              <w:top w:val="single" w:sz="4" w:space="0" w:color="auto"/>
              <w:left w:val="single" w:sz="4" w:space="0" w:color="auto"/>
              <w:right w:val="single" w:sz="4" w:space="0" w:color="auto"/>
            </w:tcBorders>
            <w:shd w:val="clear" w:color="auto" w:fill="FFFFFF"/>
          </w:tcPr>
          <w:p w14:paraId="3F2EDEDD"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755C924" w14:textId="77777777" w:rsidTr="00A8592B">
        <w:trPr>
          <w:jc w:val="center"/>
        </w:trPr>
        <w:tc>
          <w:tcPr>
            <w:tcW w:w="1215" w:type="dxa"/>
            <w:vMerge/>
            <w:tcBorders>
              <w:left w:val="single" w:sz="4" w:space="0" w:color="auto"/>
            </w:tcBorders>
            <w:shd w:val="clear" w:color="auto" w:fill="FFFFFF"/>
          </w:tcPr>
          <w:p w14:paraId="24FC46A9" w14:textId="77777777" w:rsidR="008C76E0" w:rsidRPr="00BD7577" w:rsidRDefault="008C76E0" w:rsidP="008C76E0">
            <w:pPr>
              <w:spacing w:after="120" w:line="240" w:lineRule="auto"/>
              <w:rPr>
                <w:rFonts w:ascii="Sylfaen" w:hAnsi="Sylfaen"/>
                <w:sz w:val="24"/>
                <w:szCs w:val="24"/>
              </w:rPr>
            </w:pPr>
          </w:p>
        </w:tc>
        <w:tc>
          <w:tcPr>
            <w:tcW w:w="2584" w:type="dxa"/>
            <w:gridSpan w:val="2"/>
            <w:vMerge/>
            <w:tcBorders>
              <w:left w:val="single" w:sz="4" w:space="0" w:color="auto"/>
            </w:tcBorders>
            <w:shd w:val="clear" w:color="auto" w:fill="FFFFFF"/>
          </w:tcPr>
          <w:p w14:paraId="7D2F92D7" w14:textId="77777777" w:rsidR="008C76E0" w:rsidRPr="00BD7577" w:rsidRDefault="008C76E0" w:rsidP="008C76E0">
            <w:pPr>
              <w:spacing w:after="120" w:line="240" w:lineRule="auto"/>
              <w:rPr>
                <w:rFonts w:ascii="Sylfaen" w:hAnsi="Sylfaen"/>
                <w:sz w:val="24"/>
                <w:szCs w:val="24"/>
              </w:rPr>
            </w:pPr>
          </w:p>
        </w:tc>
        <w:tc>
          <w:tcPr>
            <w:tcW w:w="902" w:type="dxa"/>
            <w:vMerge/>
            <w:tcBorders>
              <w:left w:val="single" w:sz="4" w:space="0" w:color="auto"/>
            </w:tcBorders>
            <w:shd w:val="clear" w:color="auto" w:fill="FFFFFF"/>
          </w:tcPr>
          <w:p w14:paraId="25212CF5"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tcBorders>
            <w:shd w:val="clear" w:color="auto" w:fill="FFFFFF"/>
            <w:vAlign w:val="bottom"/>
          </w:tcPr>
          <w:p w14:paraId="04C66762"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4.2.3.7.7</w:t>
            </w:r>
          </w:p>
        </w:tc>
        <w:tc>
          <w:tcPr>
            <w:tcW w:w="2578" w:type="dxa"/>
            <w:tcBorders>
              <w:top w:val="single" w:sz="4" w:space="0" w:color="auto"/>
              <w:left w:val="single" w:sz="4" w:space="0" w:color="auto"/>
              <w:right w:val="single" w:sz="4" w:space="0" w:color="auto"/>
            </w:tcBorders>
            <w:shd w:val="clear" w:color="auto" w:fill="FFFFFF"/>
          </w:tcPr>
          <w:p w14:paraId="4A78CCCE" w14:textId="77777777" w:rsidR="008C76E0" w:rsidRPr="00BD7577" w:rsidRDefault="008C76E0" w:rsidP="008C76E0">
            <w:pPr>
              <w:spacing w:after="120" w:line="240" w:lineRule="auto"/>
              <w:rPr>
                <w:rFonts w:ascii="Sylfaen" w:hAnsi="Sylfae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4ADFC84" w14:textId="77777777" w:rsidTr="00A8592B">
        <w:trPr>
          <w:jc w:val="center"/>
        </w:trPr>
        <w:tc>
          <w:tcPr>
            <w:tcW w:w="1215" w:type="dxa"/>
            <w:vMerge/>
            <w:tcBorders>
              <w:left w:val="single" w:sz="4" w:space="0" w:color="auto"/>
              <w:bottom w:val="single" w:sz="4" w:space="0" w:color="auto"/>
            </w:tcBorders>
            <w:shd w:val="clear" w:color="auto" w:fill="FFFFFF"/>
          </w:tcPr>
          <w:p w14:paraId="5112166F" w14:textId="77777777" w:rsidR="008C76E0" w:rsidRPr="00BD7577" w:rsidRDefault="008C76E0" w:rsidP="008C76E0">
            <w:pPr>
              <w:spacing w:after="120" w:line="240" w:lineRule="auto"/>
              <w:rPr>
                <w:rFonts w:ascii="Sylfaen" w:hAnsi="Sylfaen"/>
                <w:sz w:val="24"/>
                <w:szCs w:val="24"/>
              </w:rPr>
            </w:pPr>
          </w:p>
        </w:tc>
        <w:tc>
          <w:tcPr>
            <w:tcW w:w="532" w:type="dxa"/>
            <w:tcBorders>
              <w:top w:val="single" w:sz="4" w:space="0" w:color="auto"/>
              <w:left w:val="single" w:sz="4" w:space="0" w:color="auto"/>
              <w:bottom w:val="single" w:sz="4" w:space="0" w:color="auto"/>
            </w:tcBorders>
            <w:shd w:val="clear" w:color="auto" w:fill="FFFFFF"/>
          </w:tcPr>
          <w:p w14:paraId="3DF38E8B" w14:textId="77777777" w:rsidR="008C76E0" w:rsidRPr="00BD7577" w:rsidRDefault="008C76E0" w:rsidP="008C76E0">
            <w:pPr>
              <w:pStyle w:val="Bodytext40"/>
              <w:shd w:val="clear" w:color="auto" w:fill="auto"/>
              <w:spacing w:before="0" w:after="120" w:line="240" w:lineRule="auto"/>
              <w:jc w:val="left"/>
              <w:rPr>
                <w:rFonts w:ascii="Sylfaen" w:hAnsi="Sylfaen"/>
                <w:sz w:val="24"/>
                <w:szCs w:val="24"/>
              </w:rPr>
            </w:pPr>
            <w:r w:rsidRPr="00BD7577">
              <w:rPr>
                <w:rStyle w:val="Bodytext411pt"/>
                <w:rFonts w:ascii="Sylfaen" w:hAnsi="Sylfaen"/>
                <w:sz w:val="24"/>
                <w:szCs w:val="24"/>
              </w:rPr>
              <w:t>4.3</w:t>
            </w:r>
          </w:p>
        </w:tc>
        <w:tc>
          <w:tcPr>
            <w:tcW w:w="2052" w:type="dxa"/>
            <w:tcBorders>
              <w:top w:val="single" w:sz="4" w:space="0" w:color="auto"/>
              <w:left w:val="single" w:sz="4" w:space="0" w:color="auto"/>
              <w:bottom w:val="single" w:sz="4" w:space="0" w:color="auto"/>
            </w:tcBorders>
            <w:shd w:val="clear" w:color="auto" w:fill="FFFFFF"/>
          </w:tcPr>
          <w:p w14:paraId="43B04BC1" w14:textId="77777777" w:rsidR="008C76E0" w:rsidRPr="00903D92" w:rsidRDefault="008C76E0" w:rsidP="008C76E0">
            <w:pPr>
              <w:spacing w:after="120" w:line="240" w:lineRule="auto"/>
              <w:ind w:left="132" w:right="123"/>
              <w:jc w:val="both"/>
              <w:rPr>
                <w:rFonts w:ascii="Sylfaen" w:hAnsi="Sylfaen"/>
                <w:sz w:val="24"/>
                <w:szCs w:val="24"/>
                <w:lang w:val="en-US"/>
              </w:rPr>
            </w:pPr>
            <w:r w:rsidRPr="00BD7577">
              <w:rPr>
                <w:rFonts w:ascii="Sylfaen" w:hAnsi="Sylfaen"/>
                <w:sz w:val="24"/>
                <w:szCs w:val="24"/>
              </w:rPr>
              <w:t>Մեկական ֆայլ՝ յուրաքանչյուր աղբյուրի համար</w:t>
            </w:r>
            <w:r w:rsidRPr="00BD7577">
              <w:rPr>
                <w:rStyle w:val="FootnoteReference"/>
                <w:rFonts w:ascii="Sylfaen" w:hAnsi="Sylfaen"/>
                <w:sz w:val="24"/>
                <w:szCs w:val="24"/>
              </w:rPr>
              <w:footnoteReference w:id="38"/>
            </w:r>
          </w:p>
        </w:tc>
        <w:tc>
          <w:tcPr>
            <w:tcW w:w="902" w:type="dxa"/>
            <w:tcBorders>
              <w:top w:val="single" w:sz="4" w:space="0" w:color="auto"/>
              <w:left w:val="single" w:sz="4" w:space="0" w:color="auto"/>
              <w:bottom w:val="single" w:sz="4" w:space="0" w:color="auto"/>
            </w:tcBorders>
            <w:shd w:val="clear" w:color="auto" w:fill="FFFFFF"/>
          </w:tcPr>
          <w:p w14:paraId="5D56FC1C"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auto"/>
              <w:left w:val="single" w:sz="4" w:space="0" w:color="auto"/>
              <w:bottom w:val="single" w:sz="4" w:space="0" w:color="auto"/>
            </w:tcBorders>
            <w:shd w:val="clear" w:color="auto" w:fill="FFFFFF"/>
          </w:tcPr>
          <w:p w14:paraId="6D12A592" w14:textId="77777777" w:rsidR="008C76E0" w:rsidRPr="00BD7577" w:rsidRDefault="008C76E0" w:rsidP="008C76E0">
            <w:pPr>
              <w:spacing w:after="120" w:line="240" w:lineRule="auto"/>
              <w:rPr>
                <w:rFonts w:ascii="Sylfaen" w:hAnsi="Sylfaen"/>
                <w:sz w:val="24"/>
                <w:szCs w:val="24"/>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7F66C55A" w14:textId="77777777" w:rsidR="008C76E0" w:rsidRPr="00BD7577" w:rsidRDefault="008C76E0" w:rsidP="008C76E0">
            <w:pPr>
              <w:spacing w:after="120" w:line="240" w:lineRule="auto"/>
              <w:rPr>
                <w:rFonts w:ascii="Sylfaen" w:hAnsi="Sylfaen"/>
                <w:sz w:val="24"/>
                <w:szCs w:val="24"/>
              </w:rPr>
            </w:pPr>
          </w:p>
        </w:tc>
      </w:tr>
    </w:tbl>
    <w:p w14:paraId="41BD204E" w14:textId="77777777" w:rsidR="008C76E0" w:rsidRPr="00BD7577" w:rsidRDefault="008C76E0" w:rsidP="008C76E0">
      <w:pPr>
        <w:rPr>
          <w:rFonts w:ascii="Sylfaen" w:hAnsi="Sylfaen"/>
          <w:sz w:val="24"/>
          <w:szCs w:val="24"/>
        </w:rPr>
      </w:pPr>
    </w:p>
    <w:p w14:paraId="0F8D2DB3" w14:textId="77777777" w:rsidR="008C76E0" w:rsidRPr="00BD7577" w:rsidRDefault="008C76E0" w:rsidP="008C76E0">
      <w:pPr>
        <w:ind w:left="567" w:right="566"/>
        <w:jc w:val="center"/>
        <w:rPr>
          <w:rFonts w:ascii="Sylfaen" w:eastAsia="Times New Roman" w:hAnsi="Sylfaen" w:cs="Times New Roman"/>
          <w:sz w:val="24"/>
          <w:szCs w:val="24"/>
        </w:rPr>
      </w:pPr>
      <w:r w:rsidRPr="00BD7577">
        <w:rPr>
          <w:rFonts w:ascii="Sylfaen" w:hAnsi="Sylfaen"/>
          <w:sz w:val="24"/>
          <w:szCs w:val="24"/>
        </w:rPr>
        <w:t>Պայմանական նշագրերը</w:t>
      </w:r>
    </w:p>
    <w:tbl>
      <w:tblPr>
        <w:tblStyle w:val="TableGrid"/>
        <w:tblW w:w="9552" w:type="dxa"/>
        <w:jc w:val="center"/>
        <w:tblLook w:val="04A0" w:firstRow="1" w:lastRow="0" w:firstColumn="1" w:lastColumn="0" w:noHBand="0" w:noVBand="1"/>
      </w:tblPr>
      <w:tblGrid>
        <w:gridCol w:w="9552"/>
      </w:tblGrid>
      <w:tr w:rsidR="008C76E0" w:rsidRPr="00BD7577" w14:paraId="5B4E5411" w14:textId="77777777" w:rsidTr="008C76E0">
        <w:trPr>
          <w:jc w:val="center"/>
        </w:trPr>
        <w:tc>
          <w:tcPr>
            <w:tcW w:w="9552" w:type="dxa"/>
          </w:tcPr>
          <w:p w14:paraId="361EEBF1" w14:textId="77777777" w:rsidR="008C76E0" w:rsidRPr="00BD7577" w:rsidRDefault="008C76E0" w:rsidP="008C76E0">
            <w:pPr>
              <w:spacing w:after="120"/>
              <w:ind w:left="-9" w:right="-20"/>
              <w:rPr>
                <w:rFonts w:ascii="Sylfaen" w:eastAsia="Times New Roman" w:hAnsi="Sylfaen" w:cs="Times New Roman"/>
                <w:sz w:val="24"/>
                <w:szCs w:val="24"/>
              </w:rPr>
            </w:pPr>
            <w:r w:rsidRPr="00BD7577">
              <w:rPr>
                <w:rFonts w:ascii="Sylfaen" w:hAnsi="Sylfaen"/>
                <w:sz w:val="24"/>
                <w:szCs w:val="24"/>
              </w:rPr>
              <w:t>Այս մակարդակում փաստաթղթեր ներկայացնելը չի թույլատրվում:</w:t>
            </w:r>
          </w:p>
        </w:tc>
      </w:tr>
      <w:tr w:rsidR="008C76E0" w:rsidRPr="00BD7577" w14:paraId="6A3362C7" w14:textId="77777777" w:rsidTr="008C76E0">
        <w:trPr>
          <w:jc w:val="center"/>
        </w:trPr>
        <w:tc>
          <w:tcPr>
            <w:tcW w:w="9552" w:type="dxa"/>
          </w:tcPr>
          <w:p w14:paraId="66FBF002" w14:textId="77777777" w:rsidR="008C76E0" w:rsidRPr="00BD7577" w:rsidRDefault="008C76E0" w:rsidP="008C76E0">
            <w:pPr>
              <w:spacing w:after="120"/>
              <w:ind w:left="-9" w:right="-11"/>
              <w:rPr>
                <w:rFonts w:ascii="Sylfaen" w:eastAsia="Times New Roman" w:hAnsi="Sylfaen" w:cs="Times New Roman"/>
                <w:sz w:val="24"/>
                <w:szCs w:val="24"/>
              </w:rPr>
            </w:pPr>
            <w:r w:rsidRPr="00BD7577">
              <w:rPr>
                <w:rFonts w:ascii="Sylfaen" w:hAnsi="Sylfaen"/>
                <w:sz w:val="24"/>
                <w:szCs w:val="24"/>
              </w:rPr>
              <w:t>Բովանդակությունը պահանջվում է միայն ԸՏՓ-ի թղթային տարբերակի համար, ԷԸՏՓ-ում այն նախատեսված չէ:</w:t>
            </w:r>
          </w:p>
        </w:tc>
      </w:tr>
      <w:tr w:rsidR="008C76E0" w:rsidRPr="00BD7577" w14:paraId="4110FDE6" w14:textId="77777777" w:rsidTr="008C76E0">
        <w:trPr>
          <w:jc w:val="center"/>
        </w:trPr>
        <w:tc>
          <w:tcPr>
            <w:tcW w:w="9552" w:type="dxa"/>
          </w:tcPr>
          <w:p w14:paraId="50615544" w14:textId="77777777" w:rsidR="008C76E0" w:rsidRPr="00BD7577" w:rsidRDefault="008C76E0" w:rsidP="008C76E0">
            <w:pPr>
              <w:spacing w:after="120"/>
              <w:ind w:left="-9" w:right="-11"/>
              <w:rPr>
                <w:rFonts w:ascii="Sylfaen" w:eastAsia="Times New Roman" w:hAnsi="Sylfaen" w:cs="Times New Roman"/>
                <w:sz w:val="24"/>
                <w:szCs w:val="24"/>
              </w:rPr>
            </w:pPr>
            <w:r w:rsidRPr="00BD7577">
              <w:rPr>
                <w:rFonts w:ascii="Sylfaen" w:hAnsi="Sylfaen"/>
                <w:sz w:val="24"/>
                <w:szCs w:val="24"/>
              </w:rPr>
              <w:t>Այդ մակարդակում թույլատրվում է ներկայացնել մեկ կամ մի քանի փաստաթղթեր:</w:t>
            </w:r>
          </w:p>
        </w:tc>
      </w:tr>
    </w:tbl>
    <w:p w14:paraId="43E9457C" w14:textId="77777777" w:rsidR="00903D92" w:rsidRDefault="00903D92" w:rsidP="008C76E0">
      <w:pPr>
        <w:ind w:left="102" w:right="-20"/>
        <w:rPr>
          <w:rFonts w:ascii="Sylfaen" w:eastAsia="Times New Roman" w:hAnsi="Sylfaen" w:cs="Times New Roman"/>
          <w:sz w:val="24"/>
          <w:szCs w:val="24"/>
        </w:rPr>
        <w:sectPr w:rsidR="00903D92" w:rsidSect="00A8592B">
          <w:footnotePr>
            <w:numRestart w:val="eachSect"/>
          </w:footnotePr>
          <w:pgSz w:w="11907" w:h="16839" w:code="9"/>
          <w:pgMar w:top="1418" w:right="1418" w:bottom="1418" w:left="1418" w:header="0" w:footer="361" w:gutter="0"/>
          <w:cols w:space="720"/>
          <w:noEndnote/>
          <w:docGrid w:linePitch="360"/>
        </w:sectPr>
      </w:pPr>
    </w:p>
    <w:p w14:paraId="671B7339" w14:textId="77777777" w:rsidR="008C76E0" w:rsidRPr="00BD7577" w:rsidRDefault="008C76E0" w:rsidP="008C76E0">
      <w:pPr>
        <w:tabs>
          <w:tab w:val="left" w:pos="1134"/>
        </w:tabs>
        <w:ind w:right="-20" w:firstLine="567"/>
        <w:jc w:val="both"/>
        <w:rPr>
          <w:rFonts w:ascii="Sylfaen" w:eastAsia="Times New Roman" w:hAnsi="Sylfaen" w:cs="Times New Roman"/>
          <w:sz w:val="24"/>
          <w:szCs w:val="24"/>
          <w:lang w:val="en-US"/>
        </w:rPr>
      </w:pPr>
      <w:r w:rsidRPr="00BD7577">
        <w:rPr>
          <w:rFonts w:ascii="Sylfaen" w:eastAsia="Times New Roman" w:hAnsi="Sylfaen" w:cs="Times New Roman"/>
          <w:sz w:val="24"/>
          <w:szCs w:val="24"/>
          <w:lang w:val="ru-RU"/>
        </w:rPr>
        <w:lastRenderedPageBreak/>
        <w:t>5</w:t>
      </w:r>
      <w:r>
        <w:rPr>
          <w:rFonts w:ascii="Sylfaen" w:eastAsia="Times New Roman" w:hAnsi="Sylfaen" w:cs="Times New Roman"/>
          <w:sz w:val="24"/>
          <w:szCs w:val="24"/>
          <w:lang w:val="en-US"/>
        </w:rPr>
        <w:t>.</w:t>
      </w:r>
      <w:r>
        <w:rPr>
          <w:rFonts w:ascii="Sylfaen" w:eastAsia="Times New Roman" w:hAnsi="Sylfaen" w:cs="Times New Roman"/>
          <w:sz w:val="24"/>
          <w:szCs w:val="24"/>
          <w:lang w:val="en-US"/>
        </w:rPr>
        <w:tab/>
      </w:r>
      <w:r w:rsidRPr="00BD7577">
        <w:rPr>
          <w:rFonts w:ascii="Sylfaen" w:hAnsi="Sylfaen"/>
          <w:sz w:val="24"/>
          <w:szCs w:val="24"/>
        </w:rPr>
        <w:t>Մոդուլ 5</w:t>
      </w:r>
    </w:p>
    <w:tbl>
      <w:tblPr>
        <w:tblW w:w="0" w:type="auto"/>
        <w:jc w:val="center"/>
        <w:tblLayout w:type="fixed"/>
        <w:tblCellMar>
          <w:left w:w="0" w:type="dxa"/>
          <w:right w:w="0" w:type="dxa"/>
        </w:tblCellMar>
        <w:tblLook w:val="01E0" w:firstRow="1" w:lastRow="1" w:firstColumn="1" w:lastColumn="1" w:noHBand="0" w:noVBand="0"/>
      </w:tblPr>
      <w:tblGrid>
        <w:gridCol w:w="1200"/>
        <w:gridCol w:w="720"/>
        <w:gridCol w:w="2441"/>
        <w:gridCol w:w="2520"/>
        <w:gridCol w:w="2700"/>
      </w:tblGrid>
      <w:tr w:rsidR="008C76E0" w:rsidRPr="00BD7577" w14:paraId="33EDDEAA" w14:textId="77777777" w:rsidTr="008C76E0">
        <w:trPr>
          <w:jc w:val="center"/>
        </w:trPr>
        <w:tc>
          <w:tcPr>
            <w:tcW w:w="1200" w:type="dxa"/>
            <w:vMerge w:val="restart"/>
            <w:tcBorders>
              <w:top w:val="single" w:sz="4" w:space="0" w:color="000000"/>
              <w:left w:val="single" w:sz="4" w:space="0" w:color="000000"/>
              <w:right w:val="single" w:sz="4" w:space="0" w:color="000000"/>
            </w:tcBorders>
            <w:shd w:val="clear" w:color="auto" w:fill="E7E7E7"/>
          </w:tcPr>
          <w:p w14:paraId="23202EFF"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Մոդուլ 5</w:t>
            </w:r>
          </w:p>
        </w:tc>
        <w:tc>
          <w:tcPr>
            <w:tcW w:w="720" w:type="dxa"/>
            <w:tcBorders>
              <w:top w:val="single" w:sz="4" w:space="0" w:color="000000"/>
              <w:left w:val="single" w:sz="4" w:space="0" w:color="000000"/>
              <w:bottom w:val="single" w:sz="4" w:space="0" w:color="000000"/>
              <w:right w:val="single" w:sz="4" w:space="0" w:color="000000"/>
            </w:tcBorders>
          </w:tcPr>
          <w:p w14:paraId="24B7A59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5.1</w:t>
            </w:r>
          </w:p>
        </w:tc>
        <w:tc>
          <w:tcPr>
            <w:tcW w:w="7661" w:type="dxa"/>
            <w:gridSpan w:val="3"/>
            <w:tcBorders>
              <w:top w:val="single" w:sz="4" w:space="0" w:color="000000"/>
              <w:left w:val="single" w:sz="4" w:space="0" w:color="000000"/>
              <w:bottom w:val="single" w:sz="4" w:space="0" w:color="000000"/>
              <w:right w:val="single" w:sz="4" w:space="0" w:color="000000"/>
            </w:tcBorders>
          </w:tcPr>
          <w:p w14:paraId="345820C4" w14:textId="77777777" w:rsidR="008C76E0" w:rsidRPr="00BD7577" w:rsidRDefault="008C76E0" w:rsidP="008C76E0">
            <w:pPr>
              <w:spacing w:after="120" w:line="240" w:lineRule="auto"/>
              <w:rPr>
                <w:rFonts w:ascii="Sylfaen" w:hAnsi="Sylfaen"/>
                <w:sz w:val="24"/>
                <w:szCs w:val="24"/>
              </w:rPr>
            </w:pPr>
          </w:p>
        </w:tc>
      </w:tr>
      <w:tr w:rsidR="008C76E0" w:rsidRPr="00BD7577" w14:paraId="143175E8" w14:textId="77777777" w:rsidTr="008C76E0">
        <w:trPr>
          <w:jc w:val="center"/>
        </w:trPr>
        <w:tc>
          <w:tcPr>
            <w:tcW w:w="1200" w:type="dxa"/>
            <w:vMerge/>
            <w:tcBorders>
              <w:left w:val="single" w:sz="4" w:space="0" w:color="000000"/>
              <w:right w:val="single" w:sz="4" w:space="0" w:color="000000"/>
            </w:tcBorders>
            <w:shd w:val="clear" w:color="auto" w:fill="E7E7E7"/>
          </w:tcPr>
          <w:p w14:paraId="4783E2F8" w14:textId="77777777" w:rsidR="008C76E0" w:rsidRPr="00BD7577" w:rsidRDefault="008C76E0" w:rsidP="008C76E0">
            <w:pPr>
              <w:spacing w:after="120" w:line="240" w:lineRule="auto"/>
              <w:rPr>
                <w:rFonts w:ascii="Sylfaen" w:hAnsi="Sylfaen"/>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29A71B5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5.2</w:t>
            </w:r>
          </w:p>
        </w:tc>
        <w:tc>
          <w:tcPr>
            <w:tcW w:w="2441" w:type="dxa"/>
            <w:tcBorders>
              <w:top w:val="single" w:sz="4" w:space="0" w:color="000000"/>
              <w:left w:val="single" w:sz="4" w:space="0" w:color="000000"/>
              <w:bottom w:val="single" w:sz="4" w:space="0" w:color="000000"/>
              <w:right w:val="single" w:sz="4" w:space="0" w:color="000000"/>
            </w:tcBorders>
          </w:tcPr>
          <w:p w14:paraId="0ACF9007"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7D5065A" w14:textId="77777777" w:rsidR="008C76E0" w:rsidRPr="00BD7577" w:rsidRDefault="008C76E0" w:rsidP="008C76E0">
            <w:pPr>
              <w:spacing w:after="120" w:line="240" w:lineRule="auto"/>
              <w:rPr>
                <w:rFonts w:ascii="Sylfaen" w:hAnsi="Sylfae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2261922C" w14:textId="77777777" w:rsidR="008C76E0" w:rsidRPr="00BD7577" w:rsidRDefault="008C76E0" w:rsidP="008C76E0">
            <w:pPr>
              <w:spacing w:after="120" w:line="240" w:lineRule="auto"/>
              <w:rPr>
                <w:rFonts w:ascii="Sylfaen" w:hAnsi="Sylfaen"/>
                <w:sz w:val="24"/>
                <w:szCs w:val="24"/>
              </w:rPr>
            </w:pPr>
          </w:p>
        </w:tc>
      </w:tr>
      <w:tr w:rsidR="008C76E0" w:rsidRPr="00BD7577" w14:paraId="567B43A6" w14:textId="77777777" w:rsidTr="008C76E0">
        <w:trPr>
          <w:jc w:val="center"/>
        </w:trPr>
        <w:tc>
          <w:tcPr>
            <w:tcW w:w="1200" w:type="dxa"/>
            <w:vMerge/>
            <w:tcBorders>
              <w:left w:val="single" w:sz="4" w:space="0" w:color="000000"/>
              <w:right w:val="single" w:sz="4" w:space="0" w:color="000000"/>
            </w:tcBorders>
            <w:shd w:val="clear" w:color="auto" w:fill="E7E7E7"/>
          </w:tcPr>
          <w:p w14:paraId="4885098A" w14:textId="77777777" w:rsidR="008C76E0" w:rsidRPr="00BD7577" w:rsidRDefault="008C76E0" w:rsidP="008C76E0">
            <w:pPr>
              <w:spacing w:after="120" w:line="240" w:lineRule="auto"/>
              <w:rPr>
                <w:rFonts w:ascii="Sylfaen" w:hAnsi="Sylfaen"/>
                <w:sz w:val="24"/>
                <w:szCs w:val="24"/>
              </w:rPr>
            </w:pPr>
          </w:p>
        </w:tc>
        <w:tc>
          <w:tcPr>
            <w:tcW w:w="720" w:type="dxa"/>
            <w:vMerge w:val="restart"/>
            <w:tcBorders>
              <w:top w:val="single" w:sz="4" w:space="0" w:color="000000"/>
              <w:left w:val="single" w:sz="4" w:space="0" w:color="000000"/>
              <w:right w:val="single" w:sz="4" w:space="0" w:color="000000"/>
            </w:tcBorders>
            <w:shd w:val="clear" w:color="auto" w:fill="E7E7E7"/>
          </w:tcPr>
          <w:p w14:paraId="32CBDF2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w:t>
            </w:r>
          </w:p>
        </w:tc>
        <w:tc>
          <w:tcPr>
            <w:tcW w:w="2441" w:type="dxa"/>
            <w:vMerge w:val="restart"/>
            <w:tcBorders>
              <w:top w:val="single" w:sz="4" w:space="0" w:color="000000"/>
              <w:left w:val="single" w:sz="4" w:space="0" w:color="000000"/>
              <w:right w:val="single" w:sz="4" w:space="0" w:color="000000"/>
            </w:tcBorders>
            <w:shd w:val="clear" w:color="auto" w:fill="E7E7E7"/>
          </w:tcPr>
          <w:p w14:paraId="523DBEB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5.3.1</w:t>
            </w: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25C9D4D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5.3.1.1</w:t>
            </w:r>
          </w:p>
        </w:tc>
        <w:tc>
          <w:tcPr>
            <w:tcW w:w="2700" w:type="dxa"/>
            <w:tcBorders>
              <w:top w:val="single" w:sz="4" w:space="0" w:color="000000"/>
              <w:left w:val="single" w:sz="4" w:space="0" w:color="000000"/>
              <w:bottom w:val="single" w:sz="4" w:space="0" w:color="000000"/>
              <w:right w:val="single" w:sz="4" w:space="0" w:color="000000"/>
            </w:tcBorders>
          </w:tcPr>
          <w:p w14:paraId="4AF5E5BC" w14:textId="77777777" w:rsidR="008C76E0" w:rsidRPr="00903D92" w:rsidRDefault="008C76E0" w:rsidP="008C76E0">
            <w:pPr>
              <w:spacing w:after="120" w:line="240" w:lineRule="auto"/>
              <w:ind w:left="102" w:right="-20"/>
              <w:rPr>
                <w:rFonts w:ascii="Sylfaen" w:eastAsia="Times New Roman" w:hAnsi="Sylfaen" w:cs="Times New Roman"/>
                <w:sz w:val="24"/>
                <w:szCs w:val="24"/>
                <w:lang w:val="en-US"/>
              </w:rPr>
            </w:pPr>
            <w:r w:rsidRPr="00BD7577">
              <w:rPr>
                <w:rFonts w:ascii="Sylfaen" w:hAnsi="Sylfaen"/>
                <w:sz w:val="24"/>
                <w:szCs w:val="24"/>
              </w:rPr>
              <w:t>Հետազոտություններ</w:t>
            </w:r>
            <w:r w:rsidRPr="00BD7577">
              <w:rPr>
                <w:rStyle w:val="FootnoteReference"/>
                <w:rFonts w:ascii="Sylfaen" w:hAnsi="Sylfaen"/>
                <w:sz w:val="24"/>
                <w:szCs w:val="24"/>
              </w:rPr>
              <w:footnoteReference w:id="39"/>
            </w:r>
            <w:r w:rsidRPr="00BD7577">
              <w:rPr>
                <w:rFonts w:ascii="Sylfaen" w:hAnsi="Sylfaen"/>
                <w:sz w:val="24"/>
                <w:szCs w:val="24"/>
                <w:lang w:val="en-US"/>
              </w:rPr>
              <w:t xml:space="preserve"> </w:t>
            </w:r>
          </w:p>
        </w:tc>
      </w:tr>
      <w:tr w:rsidR="008C76E0" w:rsidRPr="00BD7577" w14:paraId="7CA69E58" w14:textId="77777777" w:rsidTr="008C76E0">
        <w:trPr>
          <w:jc w:val="center"/>
        </w:trPr>
        <w:tc>
          <w:tcPr>
            <w:tcW w:w="1200" w:type="dxa"/>
            <w:vMerge/>
            <w:tcBorders>
              <w:left w:val="single" w:sz="4" w:space="0" w:color="000000"/>
              <w:right w:val="single" w:sz="4" w:space="0" w:color="000000"/>
            </w:tcBorders>
            <w:shd w:val="clear" w:color="auto" w:fill="E7E7E7"/>
          </w:tcPr>
          <w:p w14:paraId="51DF15CA"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7653C218"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0649F926"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5EE7E5F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5.3.1.2</w:t>
            </w:r>
          </w:p>
        </w:tc>
        <w:tc>
          <w:tcPr>
            <w:tcW w:w="2700" w:type="dxa"/>
            <w:tcBorders>
              <w:top w:val="single" w:sz="4" w:space="0" w:color="000000"/>
              <w:left w:val="single" w:sz="4" w:space="0" w:color="000000"/>
              <w:bottom w:val="single" w:sz="4" w:space="0" w:color="000000"/>
              <w:right w:val="single" w:sz="4" w:space="0" w:color="000000"/>
            </w:tcBorders>
          </w:tcPr>
          <w:p w14:paraId="016E39A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E6D6325" w14:textId="77777777" w:rsidTr="008C76E0">
        <w:trPr>
          <w:jc w:val="center"/>
        </w:trPr>
        <w:tc>
          <w:tcPr>
            <w:tcW w:w="1200" w:type="dxa"/>
            <w:vMerge/>
            <w:tcBorders>
              <w:left w:val="single" w:sz="4" w:space="0" w:color="000000"/>
              <w:right w:val="single" w:sz="4" w:space="0" w:color="000000"/>
            </w:tcBorders>
            <w:shd w:val="clear" w:color="auto" w:fill="E7E7E7"/>
          </w:tcPr>
          <w:p w14:paraId="1F159EA4"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1B73C495"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43495B26"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703AA48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5.3.1.3</w:t>
            </w:r>
          </w:p>
        </w:tc>
        <w:tc>
          <w:tcPr>
            <w:tcW w:w="2700" w:type="dxa"/>
            <w:tcBorders>
              <w:top w:val="single" w:sz="4" w:space="0" w:color="000000"/>
              <w:left w:val="single" w:sz="4" w:space="0" w:color="000000"/>
              <w:bottom w:val="single" w:sz="4" w:space="0" w:color="000000"/>
              <w:right w:val="single" w:sz="4" w:space="0" w:color="000000"/>
            </w:tcBorders>
          </w:tcPr>
          <w:p w14:paraId="14C6EC8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39CE3BD1" w14:textId="77777777" w:rsidTr="008C76E0">
        <w:trPr>
          <w:jc w:val="center"/>
        </w:trPr>
        <w:tc>
          <w:tcPr>
            <w:tcW w:w="1200" w:type="dxa"/>
            <w:vMerge/>
            <w:tcBorders>
              <w:left w:val="single" w:sz="4" w:space="0" w:color="000000"/>
              <w:right w:val="single" w:sz="4" w:space="0" w:color="000000"/>
            </w:tcBorders>
            <w:shd w:val="clear" w:color="auto" w:fill="E7E7E7"/>
          </w:tcPr>
          <w:p w14:paraId="35814355"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3B00D2E5"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bottom w:val="single" w:sz="4" w:space="0" w:color="000000"/>
              <w:right w:val="single" w:sz="4" w:space="0" w:color="000000"/>
            </w:tcBorders>
            <w:shd w:val="clear" w:color="auto" w:fill="E7E7E7"/>
          </w:tcPr>
          <w:p w14:paraId="29A76BD1"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16DFF57D"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5.3.1.4</w:t>
            </w:r>
          </w:p>
        </w:tc>
        <w:tc>
          <w:tcPr>
            <w:tcW w:w="2700" w:type="dxa"/>
            <w:tcBorders>
              <w:top w:val="single" w:sz="4" w:space="0" w:color="000000"/>
              <w:left w:val="single" w:sz="4" w:space="0" w:color="000000"/>
              <w:bottom w:val="single" w:sz="4" w:space="0" w:color="000000"/>
              <w:right w:val="single" w:sz="4" w:space="0" w:color="000000"/>
            </w:tcBorders>
          </w:tcPr>
          <w:p w14:paraId="28D9779B"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4D1BFB1B" w14:textId="77777777" w:rsidTr="008C76E0">
        <w:trPr>
          <w:jc w:val="center"/>
        </w:trPr>
        <w:tc>
          <w:tcPr>
            <w:tcW w:w="1200" w:type="dxa"/>
            <w:vMerge/>
            <w:tcBorders>
              <w:left w:val="single" w:sz="4" w:space="0" w:color="000000"/>
              <w:right w:val="single" w:sz="4" w:space="0" w:color="000000"/>
            </w:tcBorders>
            <w:shd w:val="clear" w:color="auto" w:fill="E7E7E7"/>
          </w:tcPr>
          <w:p w14:paraId="37D997D8"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31A307EB" w14:textId="77777777" w:rsidR="008C76E0" w:rsidRPr="00BD7577" w:rsidRDefault="008C76E0" w:rsidP="008C76E0">
            <w:pPr>
              <w:spacing w:after="120" w:line="240" w:lineRule="auto"/>
              <w:rPr>
                <w:rFonts w:ascii="Sylfaen" w:hAnsi="Sylfaen"/>
                <w:sz w:val="24"/>
                <w:szCs w:val="24"/>
              </w:rPr>
            </w:pPr>
          </w:p>
        </w:tc>
        <w:tc>
          <w:tcPr>
            <w:tcW w:w="2441" w:type="dxa"/>
            <w:vMerge w:val="restart"/>
            <w:tcBorders>
              <w:top w:val="single" w:sz="4" w:space="0" w:color="000000"/>
              <w:left w:val="single" w:sz="4" w:space="0" w:color="000000"/>
              <w:right w:val="single" w:sz="4" w:space="0" w:color="000000"/>
            </w:tcBorders>
            <w:shd w:val="clear" w:color="auto" w:fill="E7E7E7"/>
          </w:tcPr>
          <w:p w14:paraId="5673A30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5.3.2.</w:t>
            </w: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2D42298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5.3.2.1</w:t>
            </w:r>
          </w:p>
        </w:tc>
        <w:tc>
          <w:tcPr>
            <w:tcW w:w="2700" w:type="dxa"/>
            <w:tcBorders>
              <w:top w:val="single" w:sz="4" w:space="0" w:color="000000"/>
              <w:left w:val="single" w:sz="4" w:space="0" w:color="000000"/>
              <w:bottom w:val="single" w:sz="4" w:space="0" w:color="000000"/>
              <w:right w:val="single" w:sz="4" w:space="0" w:color="000000"/>
            </w:tcBorders>
          </w:tcPr>
          <w:p w14:paraId="5E3FB55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D483A2D" w14:textId="77777777" w:rsidTr="008C76E0">
        <w:trPr>
          <w:jc w:val="center"/>
        </w:trPr>
        <w:tc>
          <w:tcPr>
            <w:tcW w:w="1200" w:type="dxa"/>
            <w:vMerge/>
            <w:tcBorders>
              <w:left w:val="single" w:sz="4" w:space="0" w:color="000000"/>
              <w:right w:val="single" w:sz="4" w:space="0" w:color="000000"/>
            </w:tcBorders>
            <w:shd w:val="clear" w:color="auto" w:fill="E7E7E7"/>
          </w:tcPr>
          <w:p w14:paraId="457D1F5D"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6C29037B"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7C777792"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0E331FD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5.3.2.2</w:t>
            </w:r>
          </w:p>
        </w:tc>
        <w:tc>
          <w:tcPr>
            <w:tcW w:w="2700" w:type="dxa"/>
            <w:tcBorders>
              <w:top w:val="single" w:sz="4" w:space="0" w:color="000000"/>
              <w:left w:val="single" w:sz="4" w:space="0" w:color="000000"/>
              <w:bottom w:val="single" w:sz="4" w:space="0" w:color="000000"/>
              <w:right w:val="single" w:sz="4" w:space="0" w:color="000000"/>
            </w:tcBorders>
          </w:tcPr>
          <w:p w14:paraId="5A59421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DC5D6C9" w14:textId="77777777" w:rsidTr="008C76E0">
        <w:trPr>
          <w:jc w:val="center"/>
        </w:trPr>
        <w:tc>
          <w:tcPr>
            <w:tcW w:w="1200" w:type="dxa"/>
            <w:vMerge/>
            <w:tcBorders>
              <w:left w:val="single" w:sz="4" w:space="0" w:color="000000"/>
              <w:right w:val="single" w:sz="4" w:space="0" w:color="000000"/>
            </w:tcBorders>
            <w:shd w:val="clear" w:color="auto" w:fill="E7E7E7"/>
          </w:tcPr>
          <w:p w14:paraId="46ECAC6F"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00A0013C"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bottom w:val="single" w:sz="4" w:space="0" w:color="000000"/>
              <w:right w:val="single" w:sz="4" w:space="0" w:color="000000"/>
            </w:tcBorders>
            <w:shd w:val="clear" w:color="auto" w:fill="E7E7E7"/>
          </w:tcPr>
          <w:p w14:paraId="155C0549"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064374A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5.3.2.3</w:t>
            </w:r>
          </w:p>
        </w:tc>
        <w:tc>
          <w:tcPr>
            <w:tcW w:w="2700" w:type="dxa"/>
            <w:tcBorders>
              <w:top w:val="single" w:sz="4" w:space="0" w:color="000000"/>
              <w:left w:val="single" w:sz="4" w:space="0" w:color="000000"/>
              <w:bottom w:val="single" w:sz="4" w:space="0" w:color="000000"/>
              <w:right w:val="single" w:sz="4" w:space="0" w:color="000000"/>
            </w:tcBorders>
          </w:tcPr>
          <w:p w14:paraId="64DDD87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7E2A8A58" w14:textId="77777777" w:rsidTr="008C76E0">
        <w:trPr>
          <w:jc w:val="center"/>
        </w:trPr>
        <w:tc>
          <w:tcPr>
            <w:tcW w:w="1200" w:type="dxa"/>
            <w:vMerge/>
            <w:tcBorders>
              <w:left w:val="single" w:sz="4" w:space="0" w:color="000000"/>
              <w:right w:val="single" w:sz="4" w:space="0" w:color="000000"/>
            </w:tcBorders>
            <w:shd w:val="clear" w:color="auto" w:fill="E7E7E7"/>
          </w:tcPr>
          <w:p w14:paraId="19CDA9C0"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01F5DE3B" w14:textId="77777777" w:rsidR="008C76E0" w:rsidRPr="00BD7577" w:rsidRDefault="008C76E0" w:rsidP="008C76E0">
            <w:pPr>
              <w:spacing w:after="120" w:line="240" w:lineRule="auto"/>
              <w:rPr>
                <w:rFonts w:ascii="Sylfaen" w:hAnsi="Sylfaen"/>
                <w:sz w:val="24"/>
                <w:szCs w:val="24"/>
              </w:rPr>
            </w:pPr>
          </w:p>
        </w:tc>
        <w:tc>
          <w:tcPr>
            <w:tcW w:w="2441" w:type="dxa"/>
            <w:vMerge w:val="restart"/>
            <w:tcBorders>
              <w:top w:val="single" w:sz="4" w:space="0" w:color="000000"/>
              <w:left w:val="single" w:sz="4" w:space="0" w:color="000000"/>
              <w:right w:val="single" w:sz="4" w:space="0" w:color="000000"/>
            </w:tcBorders>
            <w:shd w:val="clear" w:color="auto" w:fill="E7E7E7"/>
          </w:tcPr>
          <w:p w14:paraId="505B28B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w:t>
            </w: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5436DA6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5.3.3.1</w:t>
            </w:r>
          </w:p>
        </w:tc>
        <w:tc>
          <w:tcPr>
            <w:tcW w:w="2700" w:type="dxa"/>
            <w:tcBorders>
              <w:top w:val="single" w:sz="4" w:space="0" w:color="000000"/>
              <w:left w:val="single" w:sz="4" w:space="0" w:color="000000"/>
              <w:bottom w:val="single" w:sz="4" w:space="0" w:color="000000"/>
              <w:right w:val="single" w:sz="4" w:space="0" w:color="000000"/>
            </w:tcBorders>
          </w:tcPr>
          <w:p w14:paraId="5765F9B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7F49B562" w14:textId="77777777" w:rsidTr="008C76E0">
        <w:trPr>
          <w:jc w:val="center"/>
        </w:trPr>
        <w:tc>
          <w:tcPr>
            <w:tcW w:w="1200" w:type="dxa"/>
            <w:vMerge/>
            <w:tcBorders>
              <w:left w:val="single" w:sz="4" w:space="0" w:color="000000"/>
              <w:right w:val="single" w:sz="4" w:space="0" w:color="000000"/>
            </w:tcBorders>
            <w:shd w:val="clear" w:color="auto" w:fill="E7E7E7"/>
          </w:tcPr>
          <w:p w14:paraId="410A4522"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420B0A3C"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3C947451"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263F1D1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5.3.3.2</w:t>
            </w:r>
          </w:p>
        </w:tc>
        <w:tc>
          <w:tcPr>
            <w:tcW w:w="2700" w:type="dxa"/>
            <w:tcBorders>
              <w:top w:val="single" w:sz="4" w:space="0" w:color="000000"/>
              <w:left w:val="single" w:sz="4" w:space="0" w:color="000000"/>
              <w:bottom w:val="single" w:sz="4" w:space="0" w:color="000000"/>
              <w:right w:val="single" w:sz="4" w:space="0" w:color="000000"/>
            </w:tcBorders>
          </w:tcPr>
          <w:p w14:paraId="5E4B069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4AE9F4C" w14:textId="77777777" w:rsidTr="008C76E0">
        <w:trPr>
          <w:jc w:val="center"/>
        </w:trPr>
        <w:tc>
          <w:tcPr>
            <w:tcW w:w="1200" w:type="dxa"/>
            <w:vMerge/>
            <w:tcBorders>
              <w:left w:val="single" w:sz="4" w:space="0" w:color="000000"/>
              <w:right w:val="single" w:sz="4" w:space="0" w:color="000000"/>
            </w:tcBorders>
            <w:shd w:val="clear" w:color="auto" w:fill="E7E7E7"/>
          </w:tcPr>
          <w:p w14:paraId="49C07693"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7791B68C"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2C150E33"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3ECE7F6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5.3.3.3</w:t>
            </w:r>
          </w:p>
        </w:tc>
        <w:tc>
          <w:tcPr>
            <w:tcW w:w="2700" w:type="dxa"/>
            <w:tcBorders>
              <w:top w:val="single" w:sz="4" w:space="0" w:color="000000"/>
              <w:left w:val="single" w:sz="4" w:space="0" w:color="000000"/>
              <w:bottom w:val="single" w:sz="4" w:space="0" w:color="000000"/>
              <w:right w:val="single" w:sz="4" w:space="0" w:color="000000"/>
            </w:tcBorders>
          </w:tcPr>
          <w:p w14:paraId="12F9D00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0C380C27" w14:textId="77777777" w:rsidTr="008C76E0">
        <w:trPr>
          <w:jc w:val="center"/>
        </w:trPr>
        <w:tc>
          <w:tcPr>
            <w:tcW w:w="1200" w:type="dxa"/>
            <w:vMerge/>
            <w:tcBorders>
              <w:left w:val="single" w:sz="4" w:space="0" w:color="000000"/>
              <w:right w:val="single" w:sz="4" w:space="0" w:color="000000"/>
            </w:tcBorders>
            <w:shd w:val="clear" w:color="auto" w:fill="E7E7E7"/>
          </w:tcPr>
          <w:p w14:paraId="0A21D8AA"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4F81B21F"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3D9B2A3A"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04AFBA2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5.3.3.4</w:t>
            </w:r>
          </w:p>
        </w:tc>
        <w:tc>
          <w:tcPr>
            <w:tcW w:w="2700" w:type="dxa"/>
            <w:tcBorders>
              <w:top w:val="single" w:sz="4" w:space="0" w:color="000000"/>
              <w:left w:val="single" w:sz="4" w:space="0" w:color="000000"/>
              <w:bottom w:val="single" w:sz="4" w:space="0" w:color="000000"/>
              <w:right w:val="single" w:sz="4" w:space="0" w:color="000000"/>
            </w:tcBorders>
          </w:tcPr>
          <w:p w14:paraId="648638A5"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5EC7D180" w14:textId="77777777" w:rsidTr="008C76E0">
        <w:trPr>
          <w:jc w:val="center"/>
        </w:trPr>
        <w:tc>
          <w:tcPr>
            <w:tcW w:w="1200" w:type="dxa"/>
            <w:vMerge/>
            <w:tcBorders>
              <w:left w:val="single" w:sz="4" w:space="0" w:color="000000"/>
              <w:right w:val="single" w:sz="4" w:space="0" w:color="000000"/>
            </w:tcBorders>
            <w:shd w:val="clear" w:color="auto" w:fill="E7E7E7"/>
          </w:tcPr>
          <w:p w14:paraId="5D36F175"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1FDA05AD"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bottom w:val="single" w:sz="4" w:space="0" w:color="000000"/>
              <w:right w:val="single" w:sz="4" w:space="0" w:color="000000"/>
            </w:tcBorders>
            <w:shd w:val="clear" w:color="auto" w:fill="E7E7E7"/>
          </w:tcPr>
          <w:p w14:paraId="0A186E1B"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6644B46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5.3.3.5</w:t>
            </w:r>
          </w:p>
        </w:tc>
        <w:tc>
          <w:tcPr>
            <w:tcW w:w="2700" w:type="dxa"/>
            <w:tcBorders>
              <w:top w:val="single" w:sz="4" w:space="0" w:color="000000"/>
              <w:left w:val="single" w:sz="4" w:space="0" w:color="000000"/>
              <w:bottom w:val="single" w:sz="4" w:space="0" w:color="000000"/>
              <w:right w:val="single" w:sz="4" w:space="0" w:color="000000"/>
            </w:tcBorders>
          </w:tcPr>
          <w:p w14:paraId="74C904BE"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 +</w:t>
            </w:r>
          </w:p>
        </w:tc>
      </w:tr>
      <w:tr w:rsidR="008C76E0" w:rsidRPr="00BD7577" w14:paraId="39A2DCAB" w14:textId="77777777" w:rsidTr="008C76E0">
        <w:trPr>
          <w:jc w:val="center"/>
        </w:trPr>
        <w:tc>
          <w:tcPr>
            <w:tcW w:w="1200" w:type="dxa"/>
            <w:vMerge/>
            <w:tcBorders>
              <w:left w:val="single" w:sz="4" w:space="0" w:color="000000"/>
              <w:right w:val="single" w:sz="4" w:space="0" w:color="000000"/>
            </w:tcBorders>
            <w:shd w:val="clear" w:color="auto" w:fill="E7E7E7"/>
          </w:tcPr>
          <w:p w14:paraId="32BD0BAB"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197575BE" w14:textId="77777777" w:rsidR="008C76E0" w:rsidRPr="00BD7577" w:rsidRDefault="008C76E0" w:rsidP="008C76E0">
            <w:pPr>
              <w:spacing w:after="120" w:line="240" w:lineRule="auto"/>
              <w:rPr>
                <w:rFonts w:ascii="Sylfaen" w:hAnsi="Sylfaen"/>
                <w:sz w:val="24"/>
                <w:szCs w:val="24"/>
              </w:rPr>
            </w:pPr>
          </w:p>
        </w:tc>
        <w:tc>
          <w:tcPr>
            <w:tcW w:w="2441" w:type="dxa"/>
            <w:vMerge w:val="restart"/>
            <w:tcBorders>
              <w:top w:val="single" w:sz="4" w:space="0" w:color="000000"/>
              <w:left w:val="single" w:sz="4" w:space="0" w:color="000000"/>
              <w:right w:val="single" w:sz="4" w:space="0" w:color="000000"/>
            </w:tcBorders>
            <w:shd w:val="clear" w:color="auto" w:fill="E7E7E7"/>
          </w:tcPr>
          <w:p w14:paraId="4A32AC9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5.3.4.</w:t>
            </w: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15145AB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5.3.4.1</w:t>
            </w:r>
          </w:p>
        </w:tc>
        <w:tc>
          <w:tcPr>
            <w:tcW w:w="2700" w:type="dxa"/>
            <w:tcBorders>
              <w:top w:val="single" w:sz="4" w:space="0" w:color="000000"/>
              <w:left w:val="single" w:sz="4" w:space="0" w:color="000000"/>
              <w:bottom w:val="single" w:sz="4" w:space="0" w:color="000000"/>
              <w:right w:val="single" w:sz="4" w:space="0" w:color="000000"/>
            </w:tcBorders>
          </w:tcPr>
          <w:p w14:paraId="48E94FB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66137678" w14:textId="77777777" w:rsidTr="008C76E0">
        <w:trPr>
          <w:jc w:val="center"/>
        </w:trPr>
        <w:tc>
          <w:tcPr>
            <w:tcW w:w="1200" w:type="dxa"/>
            <w:vMerge/>
            <w:tcBorders>
              <w:left w:val="single" w:sz="4" w:space="0" w:color="000000"/>
              <w:right w:val="single" w:sz="4" w:space="0" w:color="000000"/>
            </w:tcBorders>
            <w:shd w:val="clear" w:color="auto" w:fill="E7E7E7"/>
          </w:tcPr>
          <w:p w14:paraId="37F85BC5"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4DE571A0"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bottom w:val="single" w:sz="4" w:space="0" w:color="000000"/>
              <w:right w:val="single" w:sz="4" w:space="0" w:color="000000"/>
            </w:tcBorders>
            <w:shd w:val="clear" w:color="auto" w:fill="E7E7E7"/>
          </w:tcPr>
          <w:p w14:paraId="7644F7E4"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4EE6CDD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5.3.4.2</w:t>
            </w:r>
          </w:p>
        </w:tc>
        <w:tc>
          <w:tcPr>
            <w:tcW w:w="2700" w:type="dxa"/>
            <w:tcBorders>
              <w:top w:val="single" w:sz="4" w:space="0" w:color="000000"/>
              <w:left w:val="single" w:sz="4" w:space="0" w:color="000000"/>
              <w:bottom w:val="single" w:sz="4" w:space="0" w:color="000000"/>
              <w:right w:val="single" w:sz="4" w:space="0" w:color="000000"/>
            </w:tcBorders>
          </w:tcPr>
          <w:p w14:paraId="07731C5B"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12EA55C3" w14:textId="77777777" w:rsidTr="008C76E0">
        <w:trPr>
          <w:jc w:val="center"/>
        </w:trPr>
        <w:tc>
          <w:tcPr>
            <w:tcW w:w="1200" w:type="dxa"/>
            <w:vMerge/>
            <w:tcBorders>
              <w:left w:val="single" w:sz="4" w:space="0" w:color="000000"/>
              <w:right w:val="single" w:sz="4" w:space="0" w:color="000000"/>
            </w:tcBorders>
            <w:shd w:val="clear" w:color="auto" w:fill="E7E7E7"/>
          </w:tcPr>
          <w:p w14:paraId="13B4C844"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1973970C" w14:textId="77777777" w:rsidR="008C76E0" w:rsidRPr="00BD7577" w:rsidRDefault="008C76E0" w:rsidP="008C76E0">
            <w:pPr>
              <w:spacing w:after="120" w:line="240" w:lineRule="auto"/>
              <w:rPr>
                <w:rFonts w:ascii="Sylfaen" w:hAnsi="Sylfaen"/>
                <w:sz w:val="24"/>
                <w:szCs w:val="24"/>
              </w:rPr>
            </w:pPr>
          </w:p>
        </w:tc>
        <w:tc>
          <w:tcPr>
            <w:tcW w:w="2441" w:type="dxa"/>
            <w:vMerge w:val="restart"/>
            <w:tcBorders>
              <w:top w:val="single" w:sz="4" w:space="0" w:color="000000"/>
              <w:left w:val="single" w:sz="4" w:space="0" w:color="000000"/>
              <w:right w:val="single" w:sz="4" w:space="0" w:color="000000"/>
            </w:tcBorders>
            <w:shd w:val="clear" w:color="auto" w:fill="E7E7E7"/>
          </w:tcPr>
          <w:p w14:paraId="02765FA2" w14:textId="77777777" w:rsidR="008C76E0" w:rsidRPr="00BD7577" w:rsidRDefault="008C76E0" w:rsidP="008C76E0">
            <w:pPr>
              <w:spacing w:after="120" w:line="240" w:lineRule="auto"/>
              <w:ind w:left="102" w:right="-20"/>
              <w:rPr>
                <w:rFonts w:ascii="Sylfaen" w:eastAsia="Times New Roman" w:hAnsi="Sylfaen" w:cs="Times New Roman"/>
                <w:sz w:val="24"/>
                <w:szCs w:val="24"/>
                <w:lang w:val="en-US"/>
              </w:rPr>
            </w:pPr>
            <w:r w:rsidRPr="00BD7577">
              <w:rPr>
                <w:rFonts w:ascii="Sylfaen" w:hAnsi="Sylfaen"/>
                <w:sz w:val="24"/>
                <w:szCs w:val="24"/>
              </w:rPr>
              <w:t>5.3.5</w:t>
            </w:r>
            <w:r w:rsidRPr="00BD7577">
              <w:rPr>
                <w:rStyle w:val="FootnoteReference"/>
                <w:rFonts w:ascii="Sylfaen" w:hAnsi="Sylfaen"/>
                <w:sz w:val="24"/>
                <w:szCs w:val="24"/>
              </w:rPr>
              <w:footnoteReference w:id="40"/>
            </w:r>
            <w:r w:rsidRPr="00BD7577">
              <w:rPr>
                <w:rFonts w:ascii="Sylfaen" w:hAnsi="Sylfaen"/>
                <w:sz w:val="24"/>
                <w:szCs w:val="24"/>
                <w:lang w:val="en-US"/>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123F8D2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5.3.5.1</w:t>
            </w:r>
          </w:p>
        </w:tc>
        <w:tc>
          <w:tcPr>
            <w:tcW w:w="2700" w:type="dxa"/>
            <w:tcBorders>
              <w:top w:val="single" w:sz="4" w:space="0" w:color="000000"/>
              <w:left w:val="single" w:sz="4" w:space="0" w:color="000000"/>
              <w:bottom w:val="single" w:sz="4" w:space="0" w:color="000000"/>
              <w:right w:val="single" w:sz="4" w:space="0" w:color="000000"/>
            </w:tcBorders>
          </w:tcPr>
          <w:p w14:paraId="2B1655E7"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665F4D29" w14:textId="77777777" w:rsidTr="008C76E0">
        <w:trPr>
          <w:jc w:val="center"/>
        </w:trPr>
        <w:tc>
          <w:tcPr>
            <w:tcW w:w="1200" w:type="dxa"/>
            <w:vMerge/>
            <w:tcBorders>
              <w:left w:val="single" w:sz="4" w:space="0" w:color="000000"/>
              <w:right w:val="single" w:sz="4" w:space="0" w:color="000000"/>
            </w:tcBorders>
            <w:shd w:val="clear" w:color="auto" w:fill="E7E7E7"/>
          </w:tcPr>
          <w:p w14:paraId="42E8E152"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7B18EB90"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0611FF48"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7B7B2C51"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5.3.5.2</w:t>
            </w:r>
          </w:p>
        </w:tc>
        <w:tc>
          <w:tcPr>
            <w:tcW w:w="2700" w:type="dxa"/>
            <w:tcBorders>
              <w:top w:val="single" w:sz="4" w:space="0" w:color="000000"/>
              <w:left w:val="single" w:sz="4" w:space="0" w:color="000000"/>
              <w:bottom w:val="single" w:sz="4" w:space="0" w:color="000000"/>
              <w:right w:val="single" w:sz="4" w:space="0" w:color="000000"/>
            </w:tcBorders>
          </w:tcPr>
          <w:p w14:paraId="3F602459"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30AD3D2C" w14:textId="77777777" w:rsidTr="008C76E0">
        <w:trPr>
          <w:jc w:val="center"/>
        </w:trPr>
        <w:tc>
          <w:tcPr>
            <w:tcW w:w="1200" w:type="dxa"/>
            <w:vMerge/>
            <w:tcBorders>
              <w:left w:val="single" w:sz="4" w:space="0" w:color="000000"/>
              <w:right w:val="single" w:sz="4" w:space="0" w:color="000000"/>
            </w:tcBorders>
            <w:shd w:val="clear" w:color="auto" w:fill="E7E7E7"/>
          </w:tcPr>
          <w:p w14:paraId="71200E22"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75CB324C"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right w:val="single" w:sz="4" w:space="0" w:color="000000"/>
            </w:tcBorders>
            <w:shd w:val="clear" w:color="auto" w:fill="E7E7E7"/>
          </w:tcPr>
          <w:p w14:paraId="0F5588DF"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5F707ED8"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5.3.5.3</w:t>
            </w:r>
          </w:p>
        </w:tc>
        <w:tc>
          <w:tcPr>
            <w:tcW w:w="2700" w:type="dxa"/>
            <w:tcBorders>
              <w:top w:val="single" w:sz="4" w:space="0" w:color="000000"/>
              <w:left w:val="single" w:sz="4" w:space="0" w:color="000000"/>
              <w:bottom w:val="single" w:sz="4" w:space="0" w:color="000000"/>
              <w:right w:val="single" w:sz="4" w:space="0" w:color="000000"/>
            </w:tcBorders>
          </w:tcPr>
          <w:p w14:paraId="79BF0845"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1C2A19F" w14:textId="77777777" w:rsidTr="008C76E0">
        <w:trPr>
          <w:jc w:val="center"/>
        </w:trPr>
        <w:tc>
          <w:tcPr>
            <w:tcW w:w="1200" w:type="dxa"/>
            <w:vMerge/>
            <w:tcBorders>
              <w:left w:val="single" w:sz="4" w:space="0" w:color="000000"/>
              <w:right w:val="single" w:sz="4" w:space="0" w:color="000000"/>
            </w:tcBorders>
            <w:shd w:val="clear" w:color="auto" w:fill="E7E7E7"/>
          </w:tcPr>
          <w:p w14:paraId="01108F70"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735B75FB" w14:textId="77777777" w:rsidR="008C76E0" w:rsidRPr="00BD7577" w:rsidRDefault="008C76E0" w:rsidP="008C76E0">
            <w:pPr>
              <w:spacing w:after="120" w:line="240" w:lineRule="auto"/>
              <w:rPr>
                <w:rFonts w:ascii="Sylfaen" w:hAnsi="Sylfaen"/>
                <w:sz w:val="24"/>
                <w:szCs w:val="24"/>
              </w:rPr>
            </w:pPr>
          </w:p>
        </w:tc>
        <w:tc>
          <w:tcPr>
            <w:tcW w:w="2441" w:type="dxa"/>
            <w:vMerge/>
            <w:tcBorders>
              <w:left w:val="single" w:sz="4" w:space="0" w:color="000000"/>
              <w:bottom w:val="single" w:sz="4" w:space="0" w:color="000000"/>
              <w:right w:val="single" w:sz="4" w:space="0" w:color="000000"/>
            </w:tcBorders>
            <w:shd w:val="clear" w:color="auto" w:fill="E7E7E7"/>
          </w:tcPr>
          <w:p w14:paraId="16CA042A" w14:textId="77777777" w:rsidR="008C76E0" w:rsidRPr="00BD7577" w:rsidRDefault="008C76E0" w:rsidP="008C76E0">
            <w:pPr>
              <w:spacing w:after="120" w:line="240" w:lineRule="auto"/>
              <w:rPr>
                <w:rFonts w:ascii="Sylfaen" w:hAnsi="Sylfae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E7E7E7"/>
          </w:tcPr>
          <w:p w14:paraId="5F0E8683"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5.3.5.4</w:t>
            </w:r>
          </w:p>
        </w:tc>
        <w:tc>
          <w:tcPr>
            <w:tcW w:w="2700" w:type="dxa"/>
            <w:tcBorders>
              <w:top w:val="single" w:sz="4" w:space="0" w:color="000000"/>
              <w:left w:val="single" w:sz="4" w:space="0" w:color="000000"/>
              <w:bottom w:val="single" w:sz="4" w:space="0" w:color="000000"/>
              <w:right w:val="single" w:sz="4" w:space="0" w:color="000000"/>
            </w:tcBorders>
          </w:tcPr>
          <w:p w14:paraId="4B4B45D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r>
      <w:tr w:rsidR="008C76E0" w:rsidRPr="00BD7577" w14:paraId="2E188749" w14:textId="77777777" w:rsidTr="008C76E0">
        <w:trPr>
          <w:jc w:val="center"/>
        </w:trPr>
        <w:tc>
          <w:tcPr>
            <w:tcW w:w="1200" w:type="dxa"/>
            <w:vMerge/>
            <w:tcBorders>
              <w:left w:val="single" w:sz="4" w:space="0" w:color="000000"/>
              <w:right w:val="single" w:sz="4" w:space="0" w:color="000000"/>
            </w:tcBorders>
            <w:shd w:val="clear" w:color="auto" w:fill="E7E7E7"/>
          </w:tcPr>
          <w:p w14:paraId="42BF0ECD"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right w:val="single" w:sz="4" w:space="0" w:color="000000"/>
            </w:tcBorders>
            <w:shd w:val="clear" w:color="auto" w:fill="E7E7E7"/>
          </w:tcPr>
          <w:p w14:paraId="36A7B799" w14:textId="77777777" w:rsidR="008C76E0" w:rsidRPr="00BD7577" w:rsidRDefault="008C76E0" w:rsidP="008C76E0">
            <w:pPr>
              <w:spacing w:after="120" w:line="240" w:lineRule="auto"/>
              <w:rPr>
                <w:rFonts w:ascii="Sylfaen" w:hAnsi="Sylfaen"/>
                <w:sz w:val="24"/>
                <w:szCs w:val="24"/>
              </w:rPr>
            </w:pPr>
          </w:p>
        </w:tc>
        <w:tc>
          <w:tcPr>
            <w:tcW w:w="2441" w:type="dxa"/>
            <w:tcBorders>
              <w:top w:val="single" w:sz="4" w:space="0" w:color="000000"/>
              <w:left w:val="single" w:sz="4" w:space="0" w:color="000000"/>
              <w:bottom w:val="single" w:sz="4" w:space="0" w:color="000000"/>
              <w:right w:val="single" w:sz="4" w:space="0" w:color="000000"/>
            </w:tcBorders>
          </w:tcPr>
          <w:p w14:paraId="5B3B3C5A"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5.3.6</w:t>
            </w:r>
          </w:p>
        </w:tc>
        <w:tc>
          <w:tcPr>
            <w:tcW w:w="2520" w:type="dxa"/>
            <w:tcBorders>
              <w:top w:val="single" w:sz="4" w:space="0" w:color="000000"/>
              <w:left w:val="single" w:sz="4" w:space="0" w:color="000000"/>
              <w:bottom w:val="single" w:sz="4" w:space="0" w:color="000000"/>
              <w:right w:val="single" w:sz="4" w:space="0" w:color="000000"/>
            </w:tcBorders>
          </w:tcPr>
          <w:p w14:paraId="0A872563" w14:textId="77777777" w:rsidR="008C76E0" w:rsidRPr="00BD7577" w:rsidRDefault="008C76E0" w:rsidP="008C76E0">
            <w:pPr>
              <w:spacing w:after="120" w:line="240" w:lineRule="auto"/>
              <w:rPr>
                <w:rFonts w:ascii="Sylfaen" w:hAnsi="Sylfae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7DB1EE86" w14:textId="77777777" w:rsidR="008C76E0" w:rsidRPr="00BD7577" w:rsidRDefault="008C76E0" w:rsidP="008C76E0">
            <w:pPr>
              <w:spacing w:after="120" w:line="240" w:lineRule="auto"/>
              <w:rPr>
                <w:rFonts w:ascii="Sylfaen" w:hAnsi="Sylfaen"/>
                <w:sz w:val="24"/>
                <w:szCs w:val="24"/>
              </w:rPr>
            </w:pPr>
          </w:p>
        </w:tc>
      </w:tr>
      <w:tr w:rsidR="008C76E0" w:rsidRPr="00BD7577" w14:paraId="194CE06E" w14:textId="77777777" w:rsidTr="008C76E0">
        <w:trPr>
          <w:jc w:val="center"/>
        </w:trPr>
        <w:tc>
          <w:tcPr>
            <w:tcW w:w="1200" w:type="dxa"/>
            <w:vMerge/>
            <w:tcBorders>
              <w:left w:val="single" w:sz="4" w:space="0" w:color="000000"/>
              <w:right w:val="single" w:sz="4" w:space="0" w:color="000000"/>
            </w:tcBorders>
            <w:shd w:val="clear" w:color="auto" w:fill="E7E7E7"/>
          </w:tcPr>
          <w:p w14:paraId="7E0AD80D" w14:textId="77777777" w:rsidR="008C76E0" w:rsidRPr="00BD7577" w:rsidRDefault="008C76E0" w:rsidP="008C76E0">
            <w:pPr>
              <w:spacing w:after="120" w:line="240" w:lineRule="auto"/>
              <w:rPr>
                <w:rFonts w:ascii="Sylfaen" w:hAnsi="Sylfaen"/>
                <w:sz w:val="24"/>
                <w:szCs w:val="24"/>
              </w:rPr>
            </w:pPr>
          </w:p>
        </w:tc>
        <w:tc>
          <w:tcPr>
            <w:tcW w:w="720" w:type="dxa"/>
            <w:vMerge/>
            <w:tcBorders>
              <w:left w:val="single" w:sz="4" w:space="0" w:color="000000"/>
              <w:bottom w:val="single" w:sz="4" w:space="0" w:color="000000"/>
              <w:right w:val="single" w:sz="4" w:space="0" w:color="000000"/>
            </w:tcBorders>
            <w:shd w:val="clear" w:color="auto" w:fill="E7E7E7"/>
          </w:tcPr>
          <w:p w14:paraId="010F7771" w14:textId="77777777" w:rsidR="008C76E0" w:rsidRPr="00BD7577" w:rsidRDefault="008C76E0" w:rsidP="008C76E0">
            <w:pPr>
              <w:spacing w:after="120" w:line="240" w:lineRule="auto"/>
              <w:rPr>
                <w:rFonts w:ascii="Sylfaen" w:hAnsi="Sylfaen"/>
                <w:sz w:val="24"/>
                <w:szCs w:val="24"/>
              </w:rPr>
            </w:pPr>
          </w:p>
        </w:tc>
        <w:tc>
          <w:tcPr>
            <w:tcW w:w="2441" w:type="dxa"/>
            <w:tcBorders>
              <w:top w:val="single" w:sz="4" w:space="0" w:color="000000"/>
              <w:left w:val="single" w:sz="4" w:space="0" w:color="000000"/>
              <w:bottom w:val="single" w:sz="4" w:space="0" w:color="000000"/>
              <w:right w:val="single" w:sz="4" w:space="0" w:color="000000"/>
            </w:tcBorders>
            <w:shd w:val="clear" w:color="auto" w:fill="E7E7E7"/>
          </w:tcPr>
          <w:p w14:paraId="4965E252"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5.3.7</w:t>
            </w:r>
          </w:p>
        </w:tc>
        <w:tc>
          <w:tcPr>
            <w:tcW w:w="2520" w:type="dxa"/>
            <w:tcBorders>
              <w:top w:val="single" w:sz="4" w:space="0" w:color="000000"/>
              <w:left w:val="single" w:sz="4" w:space="0" w:color="000000"/>
              <w:bottom w:val="single" w:sz="4" w:space="0" w:color="000000"/>
              <w:right w:val="single" w:sz="4" w:space="0" w:color="000000"/>
            </w:tcBorders>
          </w:tcPr>
          <w:p w14:paraId="64A84D70"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Հետազոտություններ</w:t>
            </w:r>
            <w:r w:rsidRPr="00BD7577">
              <w:rPr>
                <w:rFonts w:ascii="Sylfaen" w:hAnsi="Sylfaen"/>
                <w:sz w:val="24"/>
                <w:szCs w:val="24"/>
                <w:vertAlign w:val="superscript"/>
              </w:rPr>
              <w:t>1</w:t>
            </w:r>
          </w:p>
        </w:tc>
        <w:tc>
          <w:tcPr>
            <w:tcW w:w="2700" w:type="dxa"/>
            <w:tcBorders>
              <w:top w:val="single" w:sz="4" w:space="0" w:color="000000"/>
              <w:left w:val="single" w:sz="4" w:space="0" w:color="000000"/>
              <w:bottom w:val="single" w:sz="4" w:space="0" w:color="000000"/>
              <w:right w:val="single" w:sz="4" w:space="0" w:color="000000"/>
            </w:tcBorders>
          </w:tcPr>
          <w:p w14:paraId="27AFAB57" w14:textId="77777777" w:rsidR="008C76E0" w:rsidRPr="00BD7577" w:rsidRDefault="008C76E0" w:rsidP="008C76E0">
            <w:pPr>
              <w:spacing w:after="120" w:line="240" w:lineRule="auto"/>
              <w:rPr>
                <w:rFonts w:ascii="Sylfaen" w:hAnsi="Sylfaen"/>
                <w:sz w:val="24"/>
                <w:szCs w:val="24"/>
              </w:rPr>
            </w:pPr>
          </w:p>
        </w:tc>
      </w:tr>
      <w:tr w:rsidR="008C76E0" w:rsidRPr="00BD7577" w14:paraId="0CC22AB9" w14:textId="77777777" w:rsidTr="008C76E0">
        <w:trPr>
          <w:jc w:val="center"/>
        </w:trPr>
        <w:tc>
          <w:tcPr>
            <w:tcW w:w="1200" w:type="dxa"/>
            <w:vMerge/>
            <w:tcBorders>
              <w:left w:val="single" w:sz="4" w:space="0" w:color="000000"/>
              <w:bottom w:val="single" w:sz="4" w:space="0" w:color="000000"/>
              <w:right w:val="single" w:sz="4" w:space="0" w:color="000000"/>
            </w:tcBorders>
            <w:shd w:val="clear" w:color="auto" w:fill="E7E7E7"/>
          </w:tcPr>
          <w:p w14:paraId="354A9BCD" w14:textId="77777777" w:rsidR="008C76E0" w:rsidRPr="00BD7577" w:rsidRDefault="008C76E0" w:rsidP="008C76E0">
            <w:pPr>
              <w:spacing w:after="120" w:line="240" w:lineRule="auto"/>
              <w:rPr>
                <w:rFonts w:ascii="Sylfaen" w:hAnsi="Sylfae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E7E7E7"/>
          </w:tcPr>
          <w:p w14:paraId="0A47D806"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5.4</w:t>
            </w:r>
          </w:p>
        </w:tc>
        <w:tc>
          <w:tcPr>
            <w:tcW w:w="2441" w:type="dxa"/>
            <w:tcBorders>
              <w:top w:val="single" w:sz="4" w:space="0" w:color="000000"/>
              <w:left w:val="single" w:sz="4" w:space="0" w:color="000000"/>
              <w:bottom w:val="single" w:sz="4" w:space="0" w:color="000000"/>
              <w:right w:val="single" w:sz="4" w:space="0" w:color="000000"/>
            </w:tcBorders>
          </w:tcPr>
          <w:p w14:paraId="01371BC6" w14:textId="77777777" w:rsidR="008C76E0" w:rsidRPr="00903D92" w:rsidRDefault="008C76E0" w:rsidP="008C76E0">
            <w:pPr>
              <w:spacing w:after="120" w:line="240" w:lineRule="auto"/>
              <w:ind w:left="102" w:right="37"/>
              <w:rPr>
                <w:rFonts w:ascii="Sylfaen" w:eastAsia="Times New Roman" w:hAnsi="Sylfaen" w:cs="Times New Roman"/>
                <w:sz w:val="24"/>
                <w:szCs w:val="24"/>
              </w:rPr>
            </w:pPr>
            <w:r w:rsidRPr="00BD7577">
              <w:rPr>
                <w:rFonts w:ascii="Sylfaen" w:hAnsi="Sylfaen"/>
                <w:sz w:val="24"/>
                <w:szCs w:val="24"/>
              </w:rPr>
              <w:t>Մեկական ֆայլ՝ յուրաքանչյուր աղբյուրի համար</w:t>
            </w:r>
            <w:r w:rsidRPr="00BD7577">
              <w:rPr>
                <w:rStyle w:val="FootnoteReference"/>
                <w:rFonts w:ascii="Sylfaen" w:hAnsi="Sylfaen"/>
                <w:sz w:val="24"/>
                <w:szCs w:val="24"/>
              </w:rPr>
              <w:footnoteReference w:id="41"/>
            </w:r>
            <w:r w:rsidRPr="00BD7577">
              <w:rPr>
                <w:rFonts w:ascii="Sylfaen" w:hAnsi="Sylfaen"/>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A313A3F" w14:textId="77777777" w:rsidR="008C76E0" w:rsidRPr="00BD7577" w:rsidRDefault="008C76E0" w:rsidP="008C76E0">
            <w:pPr>
              <w:spacing w:after="120" w:line="240" w:lineRule="auto"/>
              <w:rPr>
                <w:rFonts w:ascii="Sylfaen" w:hAnsi="Sylfaen"/>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0D944906" w14:textId="77777777" w:rsidR="008C76E0" w:rsidRPr="00BD7577" w:rsidRDefault="008C76E0" w:rsidP="008C76E0">
            <w:pPr>
              <w:spacing w:after="120" w:line="240" w:lineRule="auto"/>
              <w:rPr>
                <w:rFonts w:ascii="Sylfaen" w:hAnsi="Sylfaen"/>
                <w:sz w:val="24"/>
                <w:szCs w:val="24"/>
              </w:rPr>
            </w:pPr>
          </w:p>
        </w:tc>
      </w:tr>
    </w:tbl>
    <w:p w14:paraId="0FEDAFE3" w14:textId="77777777" w:rsidR="008C76E0" w:rsidRPr="00BD7577" w:rsidRDefault="008C76E0" w:rsidP="008C76E0">
      <w:pPr>
        <w:ind w:left="567" w:right="566"/>
        <w:jc w:val="center"/>
        <w:rPr>
          <w:rFonts w:ascii="Sylfaen" w:hAnsi="Sylfaen"/>
          <w:sz w:val="24"/>
          <w:szCs w:val="24"/>
        </w:rPr>
      </w:pPr>
      <w:r w:rsidRPr="00BD7577">
        <w:rPr>
          <w:rFonts w:ascii="Sylfaen" w:hAnsi="Sylfaen"/>
          <w:sz w:val="24"/>
          <w:szCs w:val="24"/>
        </w:rPr>
        <w:t>Պայմանական նշագրերը</w:t>
      </w:r>
    </w:p>
    <w:tbl>
      <w:tblPr>
        <w:tblStyle w:val="TableGrid"/>
        <w:tblW w:w="9640" w:type="dxa"/>
        <w:tblLook w:val="04A0" w:firstRow="1" w:lastRow="0" w:firstColumn="1" w:lastColumn="0" w:noHBand="0" w:noVBand="1"/>
      </w:tblPr>
      <w:tblGrid>
        <w:gridCol w:w="9640"/>
      </w:tblGrid>
      <w:tr w:rsidR="008C76E0" w:rsidRPr="00BD7577" w14:paraId="75618586" w14:textId="77777777" w:rsidTr="008C76E0">
        <w:tc>
          <w:tcPr>
            <w:tcW w:w="9640" w:type="dxa"/>
          </w:tcPr>
          <w:p w14:paraId="2C813F2E" w14:textId="77777777" w:rsidR="008C76E0" w:rsidRPr="00BD7577" w:rsidRDefault="008C76E0" w:rsidP="008C76E0">
            <w:pPr>
              <w:spacing w:after="120"/>
              <w:ind w:right="-20"/>
              <w:rPr>
                <w:rFonts w:ascii="Sylfaen" w:eastAsia="Times New Roman" w:hAnsi="Sylfaen" w:cs="Times New Roman"/>
                <w:sz w:val="24"/>
                <w:szCs w:val="24"/>
              </w:rPr>
            </w:pPr>
            <w:r w:rsidRPr="00BD7577">
              <w:rPr>
                <w:rFonts w:ascii="Sylfaen" w:hAnsi="Sylfaen"/>
                <w:sz w:val="24"/>
                <w:szCs w:val="24"/>
              </w:rPr>
              <w:t>Այս մակարդակում փաստաթղթեր ներկայացնելը չի թույլատրվում:</w:t>
            </w:r>
          </w:p>
        </w:tc>
      </w:tr>
      <w:tr w:rsidR="008C76E0" w:rsidRPr="00BD7577" w14:paraId="4215CA79" w14:textId="77777777" w:rsidTr="008C76E0">
        <w:tc>
          <w:tcPr>
            <w:tcW w:w="9640" w:type="dxa"/>
          </w:tcPr>
          <w:p w14:paraId="394C6043" w14:textId="77777777" w:rsidR="008C76E0" w:rsidRPr="00BD7577" w:rsidRDefault="008C76E0" w:rsidP="008C76E0">
            <w:pPr>
              <w:spacing w:after="120"/>
              <w:ind w:right="68"/>
              <w:rPr>
                <w:rFonts w:ascii="Sylfaen" w:eastAsia="Times New Roman" w:hAnsi="Sylfaen" w:cs="Times New Roman"/>
                <w:sz w:val="24"/>
                <w:szCs w:val="24"/>
              </w:rPr>
            </w:pPr>
            <w:r w:rsidRPr="00BD7577">
              <w:rPr>
                <w:rFonts w:ascii="Sylfaen" w:hAnsi="Sylfaen"/>
                <w:sz w:val="24"/>
                <w:szCs w:val="24"/>
              </w:rPr>
              <w:t xml:space="preserve">Վերնագիրը պահանջվում է միայն թղթային կրիչով ԸՏՓ-ի համար, էԸՏՓ-ի համար այդ տարրը պետք չէ: </w:t>
            </w:r>
          </w:p>
        </w:tc>
      </w:tr>
      <w:tr w:rsidR="008C76E0" w:rsidRPr="00BD7577" w14:paraId="3E2E49CF" w14:textId="77777777" w:rsidTr="008C76E0">
        <w:tc>
          <w:tcPr>
            <w:tcW w:w="9640" w:type="dxa"/>
          </w:tcPr>
          <w:p w14:paraId="59055F85" w14:textId="77777777" w:rsidR="008C76E0" w:rsidRPr="00BD7577" w:rsidRDefault="008C76E0" w:rsidP="008C76E0">
            <w:pPr>
              <w:spacing w:after="120"/>
              <w:ind w:right="-20"/>
              <w:rPr>
                <w:rFonts w:ascii="Sylfaen" w:eastAsia="Times New Roman" w:hAnsi="Sylfaen" w:cs="Times New Roman"/>
                <w:sz w:val="24"/>
                <w:szCs w:val="24"/>
              </w:rPr>
            </w:pPr>
            <w:r w:rsidRPr="00BD7577">
              <w:rPr>
                <w:rFonts w:ascii="Sylfaen" w:hAnsi="Sylfaen"/>
                <w:sz w:val="24"/>
                <w:szCs w:val="24"/>
              </w:rPr>
              <w:t>Այդ մակարդակում թույլատրվում է ներկայացնել մեկ փաստաթուղթ:</w:t>
            </w:r>
          </w:p>
        </w:tc>
      </w:tr>
      <w:tr w:rsidR="008C76E0" w:rsidRPr="00BD7577" w14:paraId="6F8EA53F" w14:textId="77777777" w:rsidTr="008C76E0">
        <w:tc>
          <w:tcPr>
            <w:tcW w:w="9640" w:type="dxa"/>
          </w:tcPr>
          <w:p w14:paraId="10D25189" w14:textId="77777777" w:rsidR="008C76E0" w:rsidRPr="00BD7577" w:rsidRDefault="008C76E0" w:rsidP="008C76E0">
            <w:pPr>
              <w:spacing w:after="120"/>
              <w:ind w:right="-20"/>
              <w:rPr>
                <w:rFonts w:ascii="Sylfaen" w:eastAsia="Times New Roman" w:hAnsi="Sylfaen" w:cs="Times New Roman"/>
                <w:sz w:val="24"/>
                <w:szCs w:val="24"/>
              </w:rPr>
            </w:pPr>
            <w:r w:rsidRPr="00BD7577">
              <w:rPr>
                <w:rFonts w:ascii="Sylfaen" w:hAnsi="Sylfaen"/>
                <w:sz w:val="24"/>
                <w:szCs w:val="24"/>
              </w:rPr>
              <w:t>Այդ մակարդակում թույլատրվում է ներկայացնել մեկ կամ մի քանի փաստաթղթեր:</w:t>
            </w:r>
          </w:p>
        </w:tc>
      </w:tr>
    </w:tbl>
    <w:p w14:paraId="4E664FBB" w14:textId="77777777" w:rsidR="008C76E0" w:rsidRPr="00BD7577" w:rsidRDefault="008C76E0" w:rsidP="008C76E0">
      <w:pPr>
        <w:rPr>
          <w:rFonts w:ascii="Sylfaen" w:eastAsia="Times New Roman" w:hAnsi="Sylfaen" w:cs="Times New Roman"/>
          <w:sz w:val="24"/>
          <w:szCs w:val="24"/>
        </w:rPr>
      </w:pPr>
    </w:p>
    <w:p w14:paraId="460D9DDD" w14:textId="77777777" w:rsidR="008C76E0" w:rsidRPr="00421BB4" w:rsidRDefault="008C76E0" w:rsidP="00591274">
      <w:pPr>
        <w:spacing w:after="160" w:line="360" w:lineRule="auto"/>
        <w:ind w:left="567" w:right="566"/>
        <w:jc w:val="center"/>
        <w:rPr>
          <w:rFonts w:ascii="Sylfaen" w:hAnsi="Sylfaen"/>
          <w:sz w:val="24"/>
          <w:szCs w:val="24"/>
        </w:rPr>
      </w:pPr>
      <w:r w:rsidRPr="00BD7577">
        <w:rPr>
          <w:rFonts w:ascii="Sylfaen" w:hAnsi="Sylfaen"/>
          <w:sz w:val="24"/>
          <w:szCs w:val="24"/>
        </w:rPr>
        <w:t>VIII. Փաստաթղթի համարակալումն ու բաժանումը</w:t>
      </w:r>
    </w:p>
    <w:p w14:paraId="136DF477" w14:textId="77777777" w:rsidR="008C76E0" w:rsidRPr="00421BB4" w:rsidRDefault="008C76E0" w:rsidP="00591274">
      <w:pPr>
        <w:spacing w:after="160" w:line="360" w:lineRule="auto"/>
        <w:ind w:left="567" w:right="566"/>
        <w:jc w:val="center"/>
        <w:rPr>
          <w:rFonts w:ascii="Sylfaen" w:eastAsia="Times New Roman" w:hAnsi="Sylfaen" w:cs="Times New Roman"/>
          <w:sz w:val="24"/>
          <w:szCs w:val="24"/>
        </w:rPr>
      </w:pPr>
    </w:p>
    <w:p w14:paraId="7C483026" w14:textId="77777777" w:rsidR="008C76E0" w:rsidRPr="00BD7577" w:rsidRDefault="008C76E0" w:rsidP="00591274">
      <w:pPr>
        <w:spacing w:after="160" w:line="360" w:lineRule="auto"/>
        <w:ind w:left="567" w:right="566"/>
        <w:jc w:val="center"/>
        <w:rPr>
          <w:rFonts w:ascii="Sylfaen" w:eastAsia="Times New Roman" w:hAnsi="Sylfaen" w:cs="Times New Roman"/>
          <w:sz w:val="24"/>
          <w:szCs w:val="24"/>
        </w:rPr>
      </w:pPr>
      <w:r w:rsidRPr="00BD7577">
        <w:rPr>
          <w:rFonts w:ascii="Sylfaen" w:hAnsi="Sylfaen"/>
          <w:sz w:val="24"/>
          <w:szCs w:val="24"/>
        </w:rPr>
        <w:t>1. Ընդհանուր պահանջներ</w:t>
      </w:r>
    </w:p>
    <w:p w14:paraId="786C2779" w14:textId="77777777" w:rsidR="008C76E0" w:rsidRPr="00BD7577" w:rsidRDefault="008C76E0" w:rsidP="00591274">
      <w:pPr>
        <w:spacing w:after="160" w:line="360" w:lineRule="auto"/>
        <w:ind w:right="-57" w:firstLine="567"/>
        <w:jc w:val="both"/>
        <w:rPr>
          <w:rFonts w:ascii="Sylfaen" w:eastAsia="Times New Roman" w:hAnsi="Sylfaen" w:cs="Times New Roman"/>
          <w:sz w:val="24"/>
          <w:szCs w:val="24"/>
        </w:rPr>
      </w:pPr>
      <w:r w:rsidRPr="00BD7577">
        <w:rPr>
          <w:rFonts w:ascii="Sylfaen" w:hAnsi="Sylfaen"/>
          <w:sz w:val="24"/>
          <w:szCs w:val="24"/>
        </w:rPr>
        <w:t xml:space="preserve">Յուրաքանչյուր փաստաթուղթ հարկ է համարակալել (սկսած առաջին էջից)՝ բացառությամբ գրական աղբյուրներին արված առանձին հղումների, որոնց համար բավարար է գրանցամատյանում էջերի փաստացի համարակալումը: </w:t>
      </w:r>
      <w:r w:rsidRPr="00E957FF">
        <w:rPr>
          <w:rFonts w:ascii="Sylfaen" w:hAnsi="Sylfaen"/>
          <w:spacing w:val="-4"/>
          <w:sz w:val="24"/>
          <w:szCs w:val="24"/>
        </w:rPr>
        <w:t>Հայտատուները պարտավոր չեն հետ</w:t>
      </w:r>
      <w:r w:rsidR="00C54D75">
        <w:rPr>
          <w:rFonts w:ascii="Sylfaen" w:hAnsi="Sylfaen"/>
          <w:spacing w:val="-4"/>
          <w:sz w:val="24"/>
          <w:szCs w:val="24"/>
        </w:rPr>
        <w:t>և</w:t>
      </w:r>
      <w:r w:rsidRPr="00E957FF">
        <w:rPr>
          <w:rFonts w:ascii="Sylfaen" w:hAnsi="Sylfaen"/>
          <w:spacing w:val="-4"/>
          <w:sz w:val="24"/>
          <w:szCs w:val="24"/>
        </w:rPr>
        <w:t>յալ տեսքով նշելու էջերի համարները՝ «n-ից 1», որտեղ</w:t>
      </w:r>
      <w:r w:rsidRPr="00BD7577">
        <w:rPr>
          <w:rFonts w:ascii="Sylfaen" w:hAnsi="Sylfaen"/>
          <w:sz w:val="24"/>
          <w:szCs w:val="24"/>
        </w:rPr>
        <w:t xml:space="preserve"> n-ը էջերի ընդհանուր քանակն է:</w:t>
      </w:r>
    </w:p>
    <w:p w14:paraId="68334EF5" w14:textId="77777777" w:rsidR="008C76E0" w:rsidRPr="00BD7577" w:rsidRDefault="008C76E0" w:rsidP="00591274">
      <w:pPr>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 xml:space="preserve">Բացի դրանից, փաստաթղթի բոլոր էջերը պետք է ներառեն եզակի վերին կամ ստորին էջախորագիրը, որում համառոտ արտացոլված է փաստաթղթի բովանդակությունը: Փաստաթուղթը թղթային կրիչով ներկայացնելիս բաժանիչի վրա հարկ է նշել այն նույն նույնականացուցիչը, որը նախորդում է փաստաթղթին՝ դոսյեում դրա գտնելը դյուրացնելու համար: Թույլատրվում է օգտագործել բաժնի ամբողջական համարի </w:t>
      </w:r>
      <w:r w:rsidR="00C54D75">
        <w:rPr>
          <w:rFonts w:ascii="Sylfaen" w:hAnsi="Sylfaen"/>
          <w:sz w:val="24"/>
          <w:szCs w:val="24"/>
        </w:rPr>
        <w:t>և</w:t>
      </w:r>
      <w:r w:rsidRPr="00BD7577">
        <w:rPr>
          <w:rFonts w:ascii="Sylfaen" w:hAnsi="Sylfaen"/>
          <w:sz w:val="24"/>
          <w:szCs w:val="24"/>
        </w:rPr>
        <w:t xml:space="preserve"> փաստաթղթի անվանման հապավումը:</w:t>
      </w:r>
    </w:p>
    <w:p w14:paraId="1368EC8A" w14:textId="77777777" w:rsidR="008C76E0" w:rsidRPr="00BD7577" w:rsidRDefault="008C76E0" w:rsidP="00591274">
      <w:pPr>
        <w:spacing w:after="160" w:line="336" w:lineRule="auto"/>
        <w:ind w:firstLine="567"/>
        <w:jc w:val="both"/>
        <w:rPr>
          <w:rFonts w:ascii="Sylfaen" w:eastAsia="Times New Roman" w:hAnsi="Sylfaen" w:cs="Times New Roman"/>
          <w:sz w:val="24"/>
          <w:szCs w:val="24"/>
        </w:rPr>
      </w:pPr>
      <w:r w:rsidRPr="00BD7577">
        <w:rPr>
          <w:rFonts w:ascii="Sylfaen" w:hAnsi="Sylfaen"/>
          <w:sz w:val="24"/>
          <w:szCs w:val="24"/>
        </w:rPr>
        <w:t>Եթե բաժինը պարունակում է մի քանի փաստաթուղթ, ապա այդ բաժնի համար թույլատրվում է նախատեսել առանձին բովանդակություն (դրանում պարունակվող փաստաթղթերի ժամանակագրությունն ու անվանումները նշելու նպատակով), օրինակ՝</w:t>
      </w:r>
    </w:p>
    <w:p w14:paraId="3B473450" w14:textId="77777777" w:rsidR="008C76E0" w:rsidRPr="00BD7577" w:rsidRDefault="008C76E0" w:rsidP="00591274">
      <w:pPr>
        <w:spacing w:after="160" w:line="360" w:lineRule="auto"/>
        <w:ind w:right="-1" w:firstLine="567"/>
        <w:jc w:val="both"/>
        <w:rPr>
          <w:rFonts w:ascii="Sylfaen" w:hAnsi="Sylfaen"/>
          <w:sz w:val="24"/>
          <w:szCs w:val="24"/>
        </w:rPr>
      </w:pPr>
      <w:r w:rsidRPr="00BD7577">
        <w:rPr>
          <w:rFonts w:ascii="Sylfaen" w:hAnsi="Sylfaen"/>
          <w:sz w:val="24"/>
          <w:szCs w:val="24"/>
        </w:rPr>
        <w:lastRenderedPageBreak/>
        <w:t>բաժանիչը «3.2.S.4.2. Անալիտիկ մեթոդիկաներ»-ով.</w:t>
      </w:r>
    </w:p>
    <w:p w14:paraId="35AEB429" w14:textId="77777777" w:rsidR="008C76E0" w:rsidRPr="00E957FF" w:rsidRDefault="008C76E0" w:rsidP="00591274">
      <w:pPr>
        <w:spacing w:after="160" w:line="360" w:lineRule="auto"/>
        <w:ind w:right="-1" w:firstLine="567"/>
        <w:jc w:val="both"/>
        <w:rPr>
          <w:rFonts w:ascii="Sylfaen" w:hAnsi="Sylfaen"/>
          <w:spacing w:val="-6"/>
          <w:sz w:val="24"/>
          <w:szCs w:val="24"/>
        </w:rPr>
      </w:pPr>
      <w:r w:rsidRPr="00E957FF">
        <w:rPr>
          <w:rFonts w:ascii="Sylfaen" w:hAnsi="Sylfaen"/>
          <w:spacing w:val="-6"/>
          <w:sz w:val="24"/>
          <w:szCs w:val="24"/>
        </w:rPr>
        <w:t>բովանդակությունը՝ A մեթոդիկայի, B մեթոդիկայի, C մեթոդիկայի անվանումը.</w:t>
      </w:r>
    </w:p>
    <w:p w14:paraId="0A424D3C" w14:textId="77777777" w:rsidR="008C76E0" w:rsidRPr="00BD7577" w:rsidRDefault="008C76E0" w:rsidP="00591274">
      <w:pPr>
        <w:spacing w:after="160" w:line="360" w:lineRule="auto"/>
        <w:ind w:right="-1" w:firstLine="567"/>
        <w:jc w:val="both"/>
        <w:rPr>
          <w:rFonts w:ascii="Sylfaen" w:hAnsi="Sylfaen"/>
          <w:sz w:val="24"/>
          <w:szCs w:val="24"/>
        </w:rPr>
      </w:pPr>
      <w:r w:rsidRPr="00BD7577">
        <w:rPr>
          <w:rFonts w:ascii="Sylfaen" w:hAnsi="Sylfaen"/>
          <w:sz w:val="24"/>
          <w:szCs w:val="24"/>
        </w:rPr>
        <w:t>բաժանիչը «3.2.S.4.2. «Մեթոդիկա A»-ով.</w:t>
      </w:r>
    </w:p>
    <w:p w14:paraId="2C999D16" w14:textId="77777777" w:rsidR="008C76E0" w:rsidRPr="00BD7577" w:rsidRDefault="008C76E0" w:rsidP="00591274">
      <w:pPr>
        <w:spacing w:after="160" w:line="360" w:lineRule="auto"/>
        <w:ind w:right="-1" w:firstLine="567"/>
        <w:jc w:val="both"/>
        <w:rPr>
          <w:rFonts w:ascii="Sylfaen" w:hAnsi="Sylfaen"/>
          <w:sz w:val="24"/>
          <w:szCs w:val="24"/>
        </w:rPr>
      </w:pPr>
      <w:r w:rsidRPr="00BD7577">
        <w:rPr>
          <w:rFonts w:ascii="Sylfaen" w:hAnsi="Sylfaen"/>
          <w:sz w:val="24"/>
          <w:szCs w:val="24"/>
        </w:rPr>
        <w:t xml:space="preserve">մեթոդիկա A (այսինքն՝ 1-n էջերի փաստաթուղթ). </w:t>
      </w:r>
    </w:p>
    <w:p w14:paraId="1C2C27DE" w14:textId="77777777" w:rsidR="008C76E0" w:rsidRPr="00BD7577" w:rsidRDefault="008C76E0" w:rsidP="00591274">
      <w:pPr>
        <w:spacing w:after="160" w:line="360" w:lineRule="auto"/>
        <w:ind w:right="-1" w:firstLine="567"/>
        <w:jc w:val="both"/>
        <w:rPr>
          <w:rFonts w:ascii="Sylfaen" w:hAnsi="Sylfaen"/>
          <w:sz w:val="24"/>
          <w:szCs w:val="24"/>
        </w:rPr>
      </w:pPr>
      <w:r w:rsidRPr="00BD7577">
        <w:rPr>
          <w:rFonts w:ascii="Sylfaen" w:hAnsi="Sylfaen"/>
          <w:sz w:val="24"/>
          <w:szCs w:val="24"/>
        </w:rPr>
        <w:t xml:space="preserve">բաժանիչը «3.2.S.4.2. «Մեթոդիկա B»-ով. </w:t>
      </w:r>
    </w:p>
    <w:p w14:paraId="65021F13" w14:textId="77777777" w:rsidR="008C76E0" w:rsidRPr="00BD7577" w:rsidRDefault="008C76E0" w:rsidP="00591274">
      <w:pPr>
        <w:spacing w:after="160" w:line="360" w:lineRule="auto"/>
        <w:ind w:firstLine="567"/>
        <w:jc w:val="both"/>
        <w:rPr>
          <w:rFonts w:ascii="Sylfaen" w:hAnsi="Sylfaen"/>
          <w:sz w:val="24"/>
          <w:szCs w:val="24"/>
        </w:rPr>
      </w:pPr>
      <w:r w:rsidRPr="00BD7577">
        <w:rPr>
          <w:rFonts w:ascii="Sylfaen" w:hAnsi="Sylfaen"/>
          <w:sz w:val="24"/>
          <w:szCs w:val="24"/>
        </w:rPr>
        <w:t xml:space="preserve">մեթոդիկա B (այսինքն՝ 1-n էջերի փաստաթուղթ). </w:t>
      </w:r>
    </w:p>
    <w:p w14:paraId="1D6F1B48" w14:textId="77777777" w:rsidR="008C76E0" w:rsidRPr="00BD7577" w:rsidRDefault="008C76E0" w:rsidP="00591274">
      <w:pPr>
        <w:spacing w:after="160" w:line="360" w:lineRule="auto"/>
        <w:ind w:firstLine="567"/>
        <w:jc w:val="both"/>
        <w:rPr>
          <w:rFonts w:ascii="Sylfaen" w:hAnsi="Sylfaen"/>
          <w:sz w:val="24"/>
          <w:szCs w:val="24"/>
        </w:rPr>
      </w:pPr>
      <w:r w:rsidRPr="00BD7577">
        <w:rPr>
          <w:rFonts w:ascii="Sylfaen" w:hAnsi="Sylfaen"/>
          <w:sz w:val="24"/>
          <w:szCs w:val="24"/>
        </w:rPr>
        <w:t xml:space="preserve">բաժանիչը «3.2.S.4.2. «Մեթոդիկա C»-ով. </w:t>
      </w:r>
    </w:p>
    <w:p w14:paraId="4A766AE7" w14:textId="77777777" w:rsidR="008C76E0" w:rsidRPr="00BD7577" w:rsidRDefault="008C76E0" w:rsidP="00591274">
      <w:pPr>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 xml:space="preserve">մեթոդիկա C (այսինքն՝ 1-n էջերի փաստաթուղթ): </w:t>
      </w:r>
    </w:p>
    <w:p w14:paraId="3BF00047" w14:textId="77777777" w:rsidR="008C76E0" w:rsidRPr="00421BB4" w:rsidRDefault="008C76E0" w:rsidP="00591274">
      <w:pPr>
        <w:spacing w:after="160" w:line="360" w:lineRule="auto"/>
        <w:ind w:firstLine="567"/>
        <w:jc w:val="both"/>
        <w:rPr>
          <w:rFonts w:ascii="Sylfaen" w:eastAsia="Times New Roman" w:hAnsi="Sylfaen" w:cs="Times New Roman"/>
          <w:spacing w:val="6"/>
          <w:sz w:val="24"/>
          <w:szCs w:val="24"/>
        </w:rPr>
      </w:pPr>
      <w:r w:rsidRPr="00421BB4">
        <w:rPr>
          <w:rFonts w:ascii="Sylfaen" w:hAnsi="Sylfaen"/>
          <w:spacing w:val="6"/>
          <w:sz w:val="24"/>
          <w:szCs w:val="24"/>
        </w:rPr>
        <w:t>Եթե բաժինը պարունակում է միայն մեկ փաստաթուղթ (օրինակ՝ «3.2.S.1.1. Անվանացանկ»), փաստաթղթին պետք է նախորդի միայն «3.2.S.1.1. Անվանացանկ» բաժանիչը:</w:t>
      </w:r>
    </w:p>
    <w:p w14:paraId="01476DE7" w14:textId="77777777" w:rsidR="008C76E0" w:rsidRPr="00BD7577" w:rsidRDefault="008C76E0" w:rsidP="00591274">
      <w:pPr>
        <w:spacing w:after="160" w:line="360" w:lineRule="auto"/>
        <w:rPr>
          <w:rFonts w:ascii="Sylfaen" w:eastAsia="Times New Roman" w:hAnsi="Sylfaen" w:cs="Times New Roman"/>
          <w:sz w:val="24"/>
          <w:szCs w:val="24"/>
        </w:rPr>
      </w:pPr>
    </w:p>
    <w:p w14:paraId="2C4FDCAF" w14:textId="77777777" w:rsidR="008C76E0" w:rsidRPr="00BD7577" w:rsidRDefault="008C76E0" w:rsidP="00591274">
      <w:pPr>
        <w:spacing w:after="160" w:line="360" w:lineRule="auto"/>
        <w:ind w:left="567" w:right="567"/>
        <w:jc w:val="center"/>
        <w:rPr>
          <w:rFonts w:ascii="Sylfaen" w:eastAsia="Times New Roman" w:hAnsi="Sylfaen" w:cs="Times New Roman"/>
          <w:sz w:val="24"/>
          <w:szCs w:val="24"/>
        </w:rPr>
      </w:pPr>
      <w:r w:rsidRPr="00BD7577">
        <w:rPr>
          <w:rFonts w:ascii="Sylfaen" w:hAnsi="Sylfaen"/>
          <w:sz w:val="24"/>
          <w:szCs w:val="24"/>
        </w:rPr>
        <w:t>2. Փաստաթղթում բաժինների համարակալումը</w:t>
      </w:r>
    </w:p>
    <w:p w14:paraId="0ED1EE09" w14:textId="77777777" w:rsidR="008C76E0" w:rsidRPr="00BD7577" w:rsidRDefault="008C76E0" w:rsidP="00591274">
      <w:pPr>
        <w:spacing w:after="160" w:line="360" w:lineRule="auto"/>
        <w:ind w:right="-59" w:firstLine="567"/>
        <w:jc w:val="both"/>
        <w:rPr>
          <w:rFonts w:ascii="Sylfaen" w:eastAsia="Times New Roman" w:hAnsi="Sylfaen" w:cs="Times New Roman"/>
          <w:sz w:val="24"/>
          <w:szCs w:val="24"/>
        </w:rPr>
      </w:pPr>
      <w:r w:rsidRPr="00BD7577">
        <w:rPr>
          <w:rFonts w:ascii="Sylfaen" w:hAnsi="Sylfaen"/>
          <w:sz w:val="24"/>
          <w:szCs w:val="24"/>
        </w:rPr>
        <w:t xml:space="preserve">Փաստաթղթում 5-րդ, 6-րդ </w:t>
      </w:r>
      <w:r w:rsidR="00C54D75">
        <w:rPr>
          <w:rFonts w:ascii="Sylfaen" w:hAnsi="Sylfaen"/>
          <w:sz w:val="24"/>
          <w:szCs w:val="24"/>
        </w:rPr>
        <w:t>և</w:t>
      </w:r>
      <w:r w:rsidRPr="00BD7577">
        <w:rPr>
          <w:rFonts w:ascii="Sylfaen" w:hAnsi="Sylfaen"/>
          <w:sz w:val="24"/>
          <w:szCs w:val="24"/>
        </w:rPr>
        <w:t xml:space="preserve"> այլ մակարդակների ենթավերնագրերից խուսափելու համար (օրինակ՝ 2.6.6.3.2.1)՝ հայտատուն կարող է օգտվել կրճատ համարից: Այդ դեպքում փաստաթղթի վերին կամ ստորին էջախորագրում </w:t>
      </w:r>
      <w:r w:rsidRPr="00415952">
        <w:rPr>
          <w:rFonts w:ascii="Sylfaen" w:hAnsi="Sylfaen"/>
          <w:sz w:val="24"/>
          <w:szCs w:val="24"/>
        </w:rPr>
        <w:t xml:space="preserve">անհրաժեշտ է նշել փաստաթղթի համարը </w:t>
      </w:r>
      <w:r w:rsidR="00C54D75">
        <w:rPr>
          <w:rFonts w:ascii="Sylfaen" w:hAnsi="Sylfaen"/>
          <w:sz w:val="24"/>
          <w:szCs w:val="24"/>
        </w:rPr>
        <w:t>և</w:t>
      </w:r>
      <w:r w:rsidRPr="00415952">
        <w:rPr>
          <w:rFonts w:ascii="Sylfaen" w:hAnsi="Sylfaen"/>
          <w:sz w:val="24"/>
          <w:szCs w:val="24"/>
        </w:rPr>
        <w:t xml:space="preserve"> անվանումը (օրինակ՝ 2.6.6. Նկարագրական ռեզյումե՝ թունաբանության</w:t>
      </w:r>
      <w:r w:rsidRPr="00BD7577">
        <w:rPr>
          <w:rFonts w:ascii="Sylfaen" w:hAnsi="Sylfaen"/>
          <w:sz w:val="24"/>
          <w:szCs w:val="24"/>
        </w:rPr>
        <w:t xml:space="preserve"> վերաբերյալ)՝ փաստաթղթի մեջ բաժնի համարի հետագա նշմամբ (օրինակ՝ 1, 1.1, 2, 3, 3.1, 3.2 </w:t>
      </w:r>
      <w:r w:rsidR="00C54D75">
        <w:rPr>
          <w:rFonts w:ascii="Sylfaen" w:hAnsi="Sylfaen"/>
          <w:sz w:val="24"/>
          <w:szCs w:val="24"/>
        </w:rPr>
        <w:t>և</w:t>
      </w:r>
      <w:r w:rsidRPr="00BD7577">
        <w:rPr>
          <w:rFonts w:ascii="Sylfaen" w:hAnsi="Sylfaen"/>
          <w:sz w:val="24"/>
          <w:szCs w:val="24"/>
        </w:rPr>
        <w:t xml:space="preserve"> այլն): Նա</w:t>
      </w:r>
      <w:r w:rsidR="00C54D75">
        <w:rPr>
          <w:rFonts w:ascii="Sylfaen" w:hAnsi="Sylfaen"/>
          <w:sz w:val="24"/>
          <w:szCs w:val="24"/>
        </w:rPr>
        <w:t>և</w:t>
      </w:r>
      <w:r w:rsidRPr="00BD7577">
        <w:rPr>
          <w:rFonts w:ascii="Sylfaen" w:hAnsi="Sylfaen"/>
          <w:sz w:val="24"/>
          <w:szCs w:val="24"/>
        </w:rPr>
        <w:t xml:space="preserve"> թույլատրելի է ամբողջական համարի օգտագործումը (օրինակ՝ 2.6.6.3.2.1):</w:t>
      </w:r>
    </w:p>
    <w:p w14:paraId="26A580B0" w14:textId="77777777" w:rsidR="00591274" w:rsidRDefault="00591274">
      <w:pPr>
        <w:widowControl/>
        <w:rPr>
          <w:rFonts w:ascii="Sylfaen" w:hAnsi="Sylfaen"/>
          <w:sz w:val="24"/>
          <w:szCs w:val="24"/>
        </w:rPr>
      </w:pPr>
      <w:r>
        <w:rPr>
          <w:rFonts w:ascii="Sylfaen" w:hAnsi="Sylfaen"/>
          <w:sz w:val="24"/>
          <w:szCs w:val="24"/>
        </w:rPr>
        <w:br w:type="page"/>
      </w:r>
    </w:p>
    <w:p w14:paraId="36469E9E" w14:textId="77777777" w:rsidR="008C76E0" w:rsidRPr="00BD7577" w:rsidRDefault="008C76E0" w:rsidP="00591274">
      <w:pPr>
        <w:spacing w:after="160" w:line="384" w:lineRule="auto"/>
        <w:ind w:left="567" w:right="566"/>
        <w:jc w:val="center"/>
        <w:rPr>
          <w:rFonts w:ascii="Sylfaen" w:eastAsia="Times New Roman" w:hAnsi="Sylfaen" w:cs="Times New Roman"/>
          <w:sz w:val="24"/>
          <w:szCs w:val="24"/>
        </w:rPr>
      </w:pPr>
      <w:r w:rsidRPr="00BD7577">
        <w:rPr>
          <w:rFonts w:ascii="Sylfaen" w:hAnsi="Sylfaen"/>
          <w:sz w:val="24"/>
          <w:szCs w:val="24"/>
        </w:rPr>
        <w:lastRenderedPageBreak/>
        <w:t>3. Բովանդակության ձ</w:t>
      </w:r>
      <w:r w:rsidR="00C54D75">
        <w:rPr>
          <w:rFonts w:ascii="Sylfaen" w:hAnsi="Sylfaen"/>
          <w:sz w:val="24"/>
          <w:szCs w:val="24"/>
        </w:rPr>
        <w:t>և</w:t>
      </w:r>
      <w:r w:rsidRPr="00BD7577">
        <w:rPr>
          <w:rFonts w:ascii="Sylfaen" w:hAnsi="Sylfaen"/>
          <w:sz w:val="24"/>
          <w:szCs w:val="24"/>
        </w:rPr>
        <w:t>աչափումը</w:t>
      </w:r>
    </w:p>
    <w:p w14:paraId="4E3FD7D8" w14:textId="77777777" w:rsidR="008C76E0" w:rsidRPr="00BD7577" w:rsidRDefault="008C76E0" w:rsidP="00591274">
      <w:pPr>
        <w:tabs>
          <w:tab w:val="left" w:pos="1134"/>
        </w:tabs>
        <w:spacing w:after="160" w:line="374" w:lineRule="auto"/>
        <w:ind w:right="-59" w:firstLine="567"/>
        <w:jc w:val="both"/>
        <w:rPr>
          <w:rFonts w:ascii="Sylfaen" w:hAnsi="Sylfaen"/>
          <w:sz w:val="24"/>
          <w:szCs w:val="24"/>
        </w:rPr>
      </w:pPr>
      <w:r w:rsidRPr="00BD7577">
        <w:rPr>
          <w:rFonts w:ascii="Sylfaen" w:hAnsi="Sylfaen"/>
          <w:sz w:val="24"/>
          <w:szCs w:val="24"/>
        </w:rPr>
        <w:t>3.1.</w:t>
      </w:r>
      <w:r w:rsidRPr="00BD7577">
        <w:rPr>
          <w:rFonts w:ascii="Sylfaen" w:hAnsi="Sylfaen"/>
          <w:sz w:val="24"/>
          <w:szCs w:val="24"/>
        </w:rPr>
        <w:tab/>
        <w:t>Մոդուլ 2.</w:t>
      </w:r>
    </w:p>
    <w:p w14:paraId="024863B9" w14:textId="77777777" w:rsidR="008C76E0" w:rsidRPr="00BD7577" w:rsidRDefault="008C76E0" w:rsidP="00591274">
      <w:pPr>
        <w:spacing w:after="160" w:line="374" w:lineRule="auto"/>
        <w:ind w:right="-59" w:firstLine="567"/>
        <w:jc w:val="both"/>
        <w:rPr>
          <w:rFonts w:ascii="Sylfaen" w:eastAsia="Times New Roman" w:hAnsi="Sylfaen" w:cs="Times New Roman"/>
          <w:sz w:val="24"/>
          <w:szCs w:val="24"/>
        </w:rPr>
      </w:pPr>
      <w:r w:rsidRPr="00BD7577">
        <w:rPr>
          <w:rFonts w:ascii="Sylfaen" w:hAnsi="Sylfaen"/>
          <w:sz w:val="24"/>
          <w:szCs w:val="24"/>
        </w:rPr>
        <w:t>ԸՏՓ-ի 2.1 բաժնի բովանդակությունն անհրաժեշտ է մանրամասնեցնել մինչ</w:t>
      </w:r>
      <w:r w:rsidR="00C54D75">
        <w:rPr>
          <w:rFonts w:ascii="Sylfaen" w:hAnsi="Sylfaen"/>
          <w:sz w:val="24"/>
          <w:szCs w:val="24"/>
        </w:rPr>
        <w:t>և</w:t>
      </w:r>
      <w:r w:rsidRPr="00BD7577">
        <w:rPr>
          <w:rFonts w:ascii="Sylfaen" w:hAnsi="Sylfaen"/>
          <w:sz w:val="24"/>
          <w:szCs w:val="24"/>
        </w:rPr>
        <w:t xml:space="preserve"> 3-րդ (օրինակ՝ 2.3.S) կամ 4-րդ (օրինակ՝ 2.3.S.1) մակարդակը՝ կախված այն հանգամանքից, թե որակի ամփոփիչ ռեզյումեի մեջ որ փաստաթուղթն է ներառված (տե՛ս 2-րդ մոդուլում փաստաթղթի սահմանումը): </w:t>
      </w:r>
    </w:p>
    <w:p w14:paraId="2E26530D" w14:textId="77777777" w:rsidR="008C76E0" w:rsidRPr="00BD7577" w:rsidRDefault="008C76E0" w:rsidP="00591274">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3.2.</w:t>
      </w:r>
      <w:r w:rsidRPr="00BD7577">
        <w:rPr>
          <w:rFonts w:ascii="Sylfaen" w:hAnsi="Sylfaen"/>
          <w:sz w:val="24"/>
          <w:szCs w:val="24"/>
        </w:rPr>
        <w:tab/>
        <w:t>Մոդուլ 3.</w:t>
      </w:r>
    </w:p>
    <w:p w14:paraId="0F4CDEF6" w14:textId="77777777" w:rsidR="008C76E0" w:rsidRPr="00BD7577" w:rsidRDefault="008C76E0" w:rsidP="00591274">
      <w:pPr>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 xml:space="preserve">ԸՏՓ-ի 3.1-րդ բաժնի բովանդակությունը պետք է ներառի վերին կարգի բաժինների համարները, բաժինների՝ դրանց համապատասխանող վերնագրերը </w:t>
      </w:r>
      <w:r w:rsidR="00C54D75">
        <w:rPr>
          <w:rFonts w:ascii="Sylfaen" w:hAnsi="Sylfaen"/>
          <w:sz w:val="24"/>
          <w:szCs w:val="24"/>
        </w:rPr>
        <w:t>և</w:t>
      </w:r>
      <w:r w:rsidRPr="00BD7577">
        <w:rPr>
          <w:rFonts w:ascii="Sylfaen" w:hAnsi="Sylfaen"/>
          <w:sz w:val="24"/>
          <w:szCs w:val="24"/>
        </w:rPr>
        <w:t xml:space="preserve"> հատորի համարը՝ դոսյեում դրանց հերթականության կարգով: Այդ բովանդակությունը կօգտագործվի 3-րդ մոդուլի բովանդակությունը նշելու համար՝ Կանոնների թիվ 1 հավելվածին համապատասխան: Այն պետք է մանրամասնեցնել մինչ</w:t>
      </w:r>
      <w:r w:rsidR="00C54D75">
        <w:rPr>
          <w:rFonts w:ascii="Sylfaen" w:hAnsi="Sylfaen"/>
          <w:sz w:val="24"/>
          <w:szCs w:val="24"/>
        </w:rPr>
        <w:t>և</w:t>
      </w:r>
      <w:r w:rsidRPr="00BD7577">
        <w:rPr>
          <w:rFonts w:ascii="Sylfaen" w:hAnsi="Sylfaen"/>
          <w:sz w:val="24"/>
          <w:szCs w:val="24"/>
        </w:rPr>
        <w:t xml:space="preserve"> 5-րդ մակարդակը (օրինակ՝ 3.2.P.2.1): Հարկ է նշել, որ սույն կանոնների թիվ</w:t>
      </w:r>
      <w:r w:rsidRPr="00415952">
        <w:rPr>
          <w:rFonts w:ascii="Sylfaen" w:hAnsi="Sylfaen"/>
          <w:sz w:val="24"/>
          <w:szCs w:val="24"/>
        </w:rPr>
        <w:t> </w:t>
      </w:r>
      <w:r w:rsidRPr="00BD7577">
        <w:rPr>
          <w:rFonts w:ascii="Sylfaen" w:hAnsi="Sylfaen"/>
          <w:sz w:val="24"/>
          <w:szCs w:val="24"/>
        </w:rPr>
        <w:t>1 հավելվածով նախատեսվում են այդ մակարդակից ավելի ցած գտնվող լրացուցիչ ենթաբաժիններ ու ենթավերնագրեր (օրինակ՝ 3.2.P.2), այդ պատճառով այս ձ</w:t>
      </w:r>
      <w:r w:rsidR="00C54D75">
        <w:rPr>
          <w:rFonts w:ascii="Sylfaen" w:hAnsi="Sylfaen"/>
          <w:sz w:val="24"/>
          <w:szCs w:val="24"/>
        </w:rPr>
        <w:t>և</w:t>
      </w:r>
      <w:r w:rsidRPr="00BD7577">
        <w:rPr>
          <w:rFonts w:ascii="Sylfaen" w:hAnsi="Sylfaen"/>
          <w:sz w:val="24"/>
          <w:szCs w:val="24"/>
        </w:rPr>
        <w:t>աչափը պետք է օգտագործել ամբողջ դոսյեում՝ նույնիսկ չնայած այն բանի, որ այն ներառված չէ 3.1-րդ բաժնում՝ «Բովանդակություն»։ «Փաստաթղթի համարակալում ու բաժանում» բաժնում նկարագրված ստորին մակարդակի բովանդակությունը պետք չէ ներառել 3.1 «Բովանդակություն» բաժնում:</w:t>
      </w:r>
    </w:p>
    <w:p w14:paraId="1312478E" w14:textId="77777777" w:rsidR="008C76E0" w:rsidRPr="00BD7577" w:rsidRDefault="008C76E0" w:rsidP="00591274">
      <w:pPr>
        <w:spacing w:after="160" w:line="336" w:lineRule="auto"/>
        <w:ind w:firstLine="567"/>
        <w:jc w:val="both"/>
        <w:rPr>
          <w:rFonts w:ascii="Sylfaen" w:eastAsia="Times New Roman" w:hAnsi="Sylfaen" w:cs="Times New Roman"/>
          <w:sz w:val="24"/>
          <w:szCs w:val="24"/>
        </w:rPr>
      </w:pPr>
      <w:r w:rsidRPr="00BD7577">
        <w:rPr>
          <w:rFonts w:ascii="Sylfaen" w:hAnsi="Sylfaen"/>
          <w:sz w:val="24"/>
          <w:szCs w:val="24"/>
        </w:rPr>
        <w:t xml:space="preserve">Հայտատուի հայեցողությամբ, ժամանակագրությունն ու համարակալումը նշելու նպատակով, Կանոնների թիվ 1 հավելվածում նշվածներից բացի, բազմաթիվ փաստաթղթեր պարունակող առանձին բաժնի համար կարելի է բովանդակություն կազմել: Այն հարկ է ներկայացնել միայն փաստաթղթի շրջանակներում </w:t>
      </w:r>
      <w:r w:rsidR="00C54D75">
        <w:rPr>
          <w:rFonts w:ascii="Sylfaen" w:hAnsi="Sylfaen"/>
          <w:sz w:val="24"/>
          <w:szCs w:val="24"/>
        </w:rPr>
        <w:t>և</w:t>
      </w:r>
      <w:r w:rsidRPr="00BD7577">
        <w:rPr>
          <w:rFonts w:ascii="Sylfaen" w:hAnsi="Sylfaen"/>
          <w:sz w:val="24"/>
          <w:szCs w:val="24"/>
        </w:rPr>
        <w:t xml:space="preserve"> ոչ</w:t>
      </w:r>
      <w:r w:rsidRPr="00421BB4">
        <w:rPr>
          <w:rFonts w:ascii="Sylfaen" w:hAnsi="Sylfaen"/>
          <w:sz w:val="24"/>
          <w:szCs w:val="24"/>
        </w:rPr>
        <w:t> </w:t>
      </w:r>
      <w:r w:rsidRPr="00BD7577">
        <w:rPr>
          <w:rFonts w:ascii="Sylfaen" w:hAnsi="Sylfaen"/>
          <w:sz w:val="24"/>
          <w:szCs w:val="24"/>
        </w:rPr>
        <w:t xml:space="preserve">որպես առանձին փաստաթուղթ կամ նոր ենթավերնագիր: Այդ դեպքում այդպիսի փաստաթղթի համար կարելի է նախատեսել առանձին բովանդակություն՝ դրանում պարունակվող ենթաբաժինների ժամանակագրությունն ու անվանումը նշելու համար: Այս փաստաթղթերը </w:t>
      </w:r>
      <w:r w:rsidR="00C54D75">
        <w:rPr>
          <w:rFonts w:ascii="Sylfaen" w:hAnsi="Sylfaen"/>
          <w:sz w:val="24"/>
          <w:szCs w:val="24"/>
        </w:rPr>
        <w:t>և</w:t>
      </w:r>
      <w:r w:rsidRPr="00BD7577">
        <w:rPr>
          <w:rFonts w:ascii="Sylfaen" w:hAnsi="Sylfaen"/>
          <w:sz w:val="24"/>
          <w:szCs w:val="24"/>
        </w:rPr>
        <w:t xml:space="preserve"> ենթաբաժինները պետք չէ ներառել 3.1</w:t>
      </w:r>
      <w:r w:rsidRPr="00415952">
        <w:rPr>
          <w:rFonts w:ascii="Sylfaen" w:hAnsi="Sylfaen"/>
          <w:sz w:val="24"/>
          <w:szCs w:val="24"/>
        </w:rPr>
        <w:t> </w:t>
      </w:r>
      <w:r w:rsidRPr="00BD7577">
        <w:rPr>
          <w:rFonts w:ascii="Sylfaen" w:hAnsi="Sylfaen"/>
          <w:sz w:val="24"/>
          <w:szCs w:val="24"/>
        </w:rPr>
        <w:t>«Բովանդակություն» բաժնում :</w:t>
      </w:r>
    </w:p>
    <w:p w14:paraId="3F4FD14D" w14:textId="77777777" w:rsidR="008C76E0" w:rsidRPr="00BD7577" w:rsidRDefault="008C76E0" w:rsidP="00591274">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lastRenderedPageBreak/>
        <w:t>Այս ձ</w:t>
      </w:r>
      <w:r w:rsidR="00C54D75">
        <w:rPr>
          <w:rFonts w:ascii="Sylfaen" w:hAnsi="Sylfaen"/>
          <w:sz w:val="24"/>
          <w:szCs w:val="24"/>
        </w:rPr>
        <w:t>և</w:t>
      </w:r>
      <w:r w:rsidRPr="00BD7577">
        <w:rPr>
          <w:rFonts w:ascii="Sylfaen" w:hAnsi="Sylfaen"/>
          <w:sz w:val="24"/>
          <w:szCs w:val="24"/>
        </w:rPr>
        <w:t>աչափի մեջ պետք չէ ներառել լրացուցիչ ներդիրներ կամ հավելվածներ, այնուամենայնիվ, դրանք առանձին փաստաթղթի տեսքով թույլատրելի են մի քանի փաստաթղթերի ներկայացնելը ենթադրող բաժնում: Այդ դեպքում պետք է հղում կատարել առդրվող կամ կցվող փաստաթղթի համապատասխան բաժնին: Միայն մեկ փաստաթղթից բաղկացած բաժնում լրացուցիչ տեղեկություններ առդնելու կամ կցելու ցանկության դեպքում այդ տեղեկությունները հարկ է ներառել այդ փաստաթղթում:</w:t>
      </w:r>
    </w:p>
    <w:p w14:paraId="741D5215"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 xml:space="preserve">Բովանդակության մուտքերի բոլոր անվանումները պետք է համապատասխանեն վերնագրերի անվանումներին </w:t>
      </w:r>
      <w:r w:rsidR="00C54D75">
        <w:rPr>
          <w:rFonts w:ascii="Sylfaen" w:hAnsi="Sylfaen"/>
          <w:sz w:val="24"/>
          <w:szCs w:val="24"/>
        </w:rPr>
        <w:t>և</w:t>
      </w:r>
      <w:r w:rsidRPr="00BD7577">
        <w:rPr>
          <w:rFonts w:ascii="Sylfaen" w:hAnsi="Sylfaen"/>
          <w:sz w:val="24"/>
          <w:szCs w:val="24"/>
        </w:rPr>
        <w:t xml:space="preserve"> բաժինների համարներին՝ </w:t>
      </w:r>
      <w:r w:rsidRPr="00415952">
        <w:rPr>
          <w:rFonts w:ascii="Sylfaen" w:hAnsi="Sylfaen"/>
          <w:spacing w:val="-4"/>
          <w:sz w:val="24"/>
          <w:szCs w:val="24"/>
        </w:rPr>
        <w:t>համաձայն Կանոնների թիվ 1 հավելվածի կամ բաժանիչների նույնականացուցիչների (միայն դոսյեն թղթային կրիչով ներկայացնելու դեպքում</w:t>
      </w:r>
      <w:r w:rsidRPr="00BD7577">
        <w:rPr>
          <w:rFonts w:ascii="Sylfaen" w:hAnsi="Sylfaen"/>
          <w:sz w:val="24"/>
          <w:szCs w:val="24"/>
        </w:rPr>
        <w:t>), գերադասելի է դրանց ամբողջական անվանումներով, որոնք պետք է թույլատրեն հեշտությամբ նույնականացնել ցանկացած կրճատ անվանում, որը կարող է օգտագործվել համապատասխան բաժանիչում: Բովանդակության մեջ պետք չէ նշել էջերի համարները:</w:t>
      </w:r>
    </w:p>
    <w:p w14:paraId="23E2EB0A"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Գրականության աղբյուրներին հղումները բովանդակության մեջ պետք է վերաբերեն միայն այս բաժնին:</w:t>
      </w:r>
    </w:p>
    <w:p w14:paraId="535F9867" w14:textId="77777777" w:rsidR="008C76E0" w:rsidRPr="00BD7577" w:rsidRDefault="008C76E0" w:rsidP="00591274">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3.3.</w:t>
      </w:r>
      <w:r w:rsidRPr="00BD7577">
        <w:rPr>
          <w:rFonts w:ascii="Sylfaen" w:hAnsi="Sylfaen"/>
          <w:sz w:val="24"/>
          <w:szCs w:val="24"/>
        </w:rPr>
        <w:tab/>
        <w:t>Մոդուլ 4</w:t>
      </w:r>
    </w:p>
    <w:p w14:paraId="156682FC" w14:textId="77777777" w:rsidR="008C76E0" w:rsidRPr="00BD7577" w:rsidRDefault="008C76E0" w:rsidP="00591274">
      <w:pPr>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Դոսյեի բոլոր կար</w:t>
      </w:r>
      <w:r w:rsidR="00C54D75">
        <w:rPr>
          <w:rFonts w:ascii="Sylfaen" w:hAnsi="Sylfaen"/>
          <w:sz w:val="24"/>
          <w:szCs w:val="24"/>
        </w:rPr>
        <w:t>և</w:t>
      </w:r>
      <w:r w:rsidRPr="00BD7577">
        <w:rPr>
          <w:rFonts w:ascii="Sylfaen" w:hAnsi="Sylfaen"/>
          <w:sz w:val="24"/>
          <w:szCs w:val="24"/>
        </w:rPr>
        <w:t>որ բաղադրիչները նույնականացնելու նպատակով (</w:t>
      </w:r>
      <w:r w:rsidRPr="00415952">
        <w:rPr>
          <w:rFonts w:ascii="Sylfaen" w:hAnsi="Sylfaen"/>
          <w:spacing w:val="-6"/>
          <w:sz w:val="24"/>
          <w:szCs w:val="24"/>
        </w:rPr>
        <w:t xml:space="preserve">օրինակ՝ 4.2.3.5.1. «Պտղաբերությունը </w:t>
      </w:r>
      <w:r w:rsidR="00C54D75">
        <w:rPr>
          <w:rFonts w:ascii="Sylfaen" w:hAnsi="Sylfaen"/>
          <w:spacing w:val="-6"/>
          <w:sz w:val="24"/>
          <w:szCs w:val="24"/>
        </w:rPr>
        <w:t>և</w:t>
      </w:r>
      <w:r w:rsidRPr="00415952">
        <w:rPr>
          <w:rFonts w:ascii="Sylfaen" w:hAnsi="Sylfaen"/>
          <w:spacing w:val="-6"/>
          <w:sz w:val="24"/>
          <w:szCs w:val="24"/>
        </w:rPr>
        <w:t xml:space="preserve"> վաղ սաղմնային զարգացումը»)՝ 4-րդ մոդուլի բովանդակությունը</w:t>
      </w:r>
      <w:r w:rsidRPr="00BD7577">
        <w:rPr>
          <w:rFonts w:ascii="Sylfaen" w:hAnsi="Sylfaen"/>
          <w:sz w:val="24"/>
          <w:szCs w:val="24"/>
        </w:rPr>
        <w:t xml:space="preserve"> պետք է ներառի Կանոնների թիվ 1 հավելվածում թվարկված բոլոր թվային տարրերը, այն անհրաժեշտ է մանրամասնեցնել առնվազն մինչ</w:t>
      </w:r>
      <w:r w:rsidR="00C54D75">
        <w:rPr>
          <w:rFonts w:ascii="Sylfaen" w:hAnsi="Sylfaen"/>
          <w:sz w:val="24"/>
          <w:szCs w:val="24"/>
        </w:rPr>
        <w:t>և</w:t>
      </w:r>
      <w:r w:rsidRPr="00BD7577">
        <w:rPr>
          <w:rFonts w:ascii="Sylfaen" w:hAnsi="Sylfaen"/>
          <w:sz w:val="24"/>
          <w:szCs w:val="24"/>
        </w:rPr>
        <w:t xml:space="preserve"> հետազոտության մասին հաշվետվության մակարդակը: Այդ կերպ բովանդակության մեջ անհրաժեշտ է արտացոլել հետազոտության մասին յուրաքանչյուր հաշվետվություն: Հետազոտության մասին հաշվետվության բաժինները թույլատրվում է նշել դոսյեի 4-րդ մոդուլի բովանդակության մեջ կամ միայն հետազոտության մասին առանձին հաշվետվության բովանդակության մեջ:</w:t>
      </w:r>
    </w:p>
    <w:p w14:paraId="18BBAFAD" w14:textId="77777777" w:rsidR="008C76E0" w:rsidRPr="00BD7577" w:rsidRDefault="008C76E0" w:rsidP="00591274">
      <w:pPr>
        <w:spacing w:after="160" w:line="360" w:lineRule="auto"/>
        <w:ind w:right="-59" w:firstLine="567"/>
        <w:jc w:val="both"/>
        <w:rPr>
          <w:rFonts w:ascii="Sylfaen" w:hAnsi="Sylfaen"/>
          <w:sz w:val="24"/>
          <w:szCs w:val="24"/>
        </w:rPr>
      </w:pPr>
      <w:r w:rsidRPr="00BD7577">
        <w:rPr>
          <w:rFonts w:ascii="Sylfaen" w:hAnsi="Sylfaen"/>
          <w:sz w:val="24"/>
          <w:szCs w:val="24"/>
        </w:rPr>
        <w:t>4-րդ մոդուլի բովանդակության իլյուստրացիան:</w:t>
      </w:r>
    </w:p>
    <w:p w14:paraId="734F472D" w14:textId="77777777" w:rsidR="008C76E0" w:rsidRPr="00BD7577" w:rsidRDefault="008C76E0" w:rsidP="00591274">
      <w:pPr>
        <w:tabs>
          <w:tab w:val="left" w:pos="1701"/>
        </w:tabs>
        <w:spacing w:after="160" w:line="360" w:lineRule="auto"/>
        <w:ind w:right="-59" w:firstLine="567"/>
        <w:jc w:val="both"/>
        <w:rPr>
          <w:rFonts w:ascii="Sylfaen" w:hAnsi="Sylfaen"/>
          <w:sz w:val="24"/>
          <w:szCs w:val="24"/>
        </w:rPr>
      </w:pPr>
      <w:r w:rsidRPr="00BD7577">
        <w:rPr>
          <w:rFonts w:ascii="Sylfaen" w:hAnsi="Sylfaen"/>
          <w:sz w:val="24"/>
          <w:szCs w:val="24"/>
        </w:rPr>
        <w:lastRenderedPageBreak/>
        <w:t>4.2.3.2.</w:t>
      </w:r>
      <w:r w:rsidRPr="00BD7577">
        <w:rPr>
          <w:rFonts w:ascii="Sylfaen" w:hAnsi="Sylfaen"/>
          <w:sz w:val="24"/>
          <w:szCs w:val="24"/>
        </w:rPr>
        <w:tab/>
        <w:t>Թունավորությունը բազմակի ներարկման դեպքում:</w:t>
      </w:r>
    </w:p>
    <w:p w14:paraId="436A868E"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Հետազոտություն aa-aaa՝ թունավորության 30-օրյա հետազոտություն՝ առնետներին C պատրաստուկի բազմակի ներարկման դեպքում:</w:t>
      </w:r>
    </w:p>
    <w:p w14:paraId="68B8BD24"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Հետազոտություն bb-bbb՝ թունավորության 6-ամսյա հետազոտություն՝ առնետներին C պատրաստուկի բազմակի ներարկման դեպքում:</w:t>
      </w:r>
    </w:p>
    <w:p w14:paraId="123CF9D4"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Հետազոտություն cc-ccc՝ թունավորության 30-օրյա հետազոտություն՝ շներին C պատրաստուկի բազմակի ներարկման դեպքում:</w:t>
      </w:r>
    </w:p>
    <w:p w14:paraId="4848F522" w14:textId="77777777" w:rsidR="008C76E0" w:rsidRPr="00BD7577" w:rsidRDefault="008C76E0" w:rsidP="00591274">
      <w:pPr>
        <w:tabs>
          <w:tab w:val="left" w:pos="1701"/>
        </w:tabs>
        <w:spacing w:after="160" w:line="336" w:lineRule="auto"/>
        <w:ind w:right="-1" w:firstLine="567"/>
        <w:jc w:val="both"/>
        <w:rPr>
          <w:rFonts w:ascii="Sylfaen" w:eastAsia="Times New Roman" w:hAnsi="Sylfaen" w:cs="Times New Roman"/>
          <w:sz w:val="24"/>
          <w:szCs w:val="24"/>
        </w:rPr>
      </w:pPr>
      <w:r w:rsidRPr="00BD7577">
        <w:rPr>
          <w:rFonts w:ascii="Sylfaen" w:hAnsi="Sylfaen"/>
          <w:sz w:val="24"/>
          <w:szCs w:val="24"/>
        </w:rPr>
        <w:t>Հետազոտություն dd-ddd՝ թունավորության 6-ամսյա հետազոտություն՝ շներին C պատրաստուկի բազմակի ներարկման դեպքում:</w:t>
      </w:r>
    </w:p>
    <w:p w14:paraId="31F0FF41" w14:textId="77777777" w:rsidR="008C76E0" w:rsidRPr="00BD7577" w:rsidRDefault="008C76E0" w:rsidP="00591274">
      <w:pPr>
        <w:tabs>
          <w:tab w:val="left" w:pos="1701"/>
        </w:tabs>
        <w:spacing w:after="160" w:line="336" w:lineRule="auto"/>
        <w:ind w:right="-1" w:firstLine="567"/>
        <w:jc w:val="both"/>
        <w:rPr>
          <w:rFonts w:ascii="Sylfaen" w:eastAsia="Times New Roman" w:hAnsi="Sylfaen" w:cs="Times New Roman"/>
          <w:sz w:val="24"/>
          <w:szCs w:val="24"/>
        </w:rPr>
      </w:pPr>
      <w:r w:rsidRPr="00BD7577">
        <w:rPr>
          <w:rFonts w:ascii="Sylfaen" w:hAnsi="Sylfaen"/>
          <w:sz w:val="24"/>
          <w:szCs w:val="24"/>
        </w:rPr>
        <w:t>4.2.3.3.</w:t>
      </w:r>
      <w:r w:rsidRPr="00BD7577">
        <w:rPr>
          <w:rFonts w:ascii="Sylfaen" w:hAnsi="Sylfaen"/>
          <w:sz w:val="24"/>
          <w:szCs w:val="24"/>
        </w:rPr>
        <w:tab/>
        <w:t>Գենոտոքսիկությունը։</w:t>
      </w:r>
    </w:p>
    <w:p w14:paraId="057D3BA8" w14:textId="77777777" w:rsidR="008C76E0" w:rsidRPr="00BD7577" w:rsidRDefault="008C76E0" w:rsidP="00591274">
      <w:pPr>
        <w:tabs>
          <w:tab w:val="left" w:pos="1701"/>
        </w:tabs>
        <w:spacing w:after="160" w:line="336" w:lineRule="auto"/>
        <w:ind w:right="-1" w:firstLine="567"/>
        <w:jc w:val="both"/>
        <w:rPr>
          <w:rFonts w:ascii="Sylfaen" w:hAnsi="Sylfaen"/>
          <w:sz w:val="24"/>
          <w:szCs w:val="24"/>
        </w:rPr>
      </w:pPr>
      <w:r w:rsidRPr="00BD7577">
        <w:rPr>
          <w:rFonts w:ascii="Sylfaen" w:hAnsi="Sylfaen"/>
          <w:sz w:val="24"/>
          <w:szCs w:val="24"/>
        </w:rPr>
        <w:t>4.2.3.3.1.</w:t>
      </w:r>
      <w:r w:rsidRPr="00BD7577">
        <w:rPr>
          <w:rFonts w:ascii="Sylfaen" w:hAnsi="Sylfaen"/>
          <w:sz w:val="24"/>
          <w:szCs w:val="24"/>
        </w:rPr>
        <w:tab/>
        <w:t>In vitro:</w:t>
      </w:r>
    </w:p>
    <w:p w14:paraId="306643BF" w14:textId="77777777" w:rsidR="008C76E0" w:rsidRPr="00BD7577" w:rsidRDefault="008C76E0" w:rsidP="00591274">
      <w:pPr>
        <w:tabs>
          <w:tab w:val="left" w:pos="1701"/>
        </w:tabs>
        <w:spacing w:after="160" w:line="336" w:lineRule="auto"/>
        <w:ind w:right="-1" w:firstLine="567"/>
        <w:jc w:val="both"/>
        <w:rPr>
          <w:rFonts w:ascii="Sylfaen" w:eastAsia="Times New Roman" w:hAnsi="Sylfaen" w:cs="Times New Roman"/>
          <w:sz w:val="24"/>
          <w:szCs w:val="24"/>
        </w:rPr>
      </w:pPr>
      <w:r w:rsidRPr="00BD7577">
        <w:rPr>
          <w:rFonts w:ascii="Sylfaen" w:hAnsi="Sylfaen"/>
          <w:sz w:val="24"/>
          <w:szCs w:val="24"/>
        </w:rPr>
        <w:t xml:space="preserve">Հետազոտություն ee-eee՝ Էյմսի թեստը C պատրաստուկով </w:t>
      </w:r>
      <w:r w:rsidR="00C54D75">
        <w:rPr>
          <w:rFonts w:ascii="Sylfaen" w:hAnsi="Sylfaen"/>
          <w:sz w:val="24"/>
          <w:szCs w:val="24"/>
        </w:rPr>
        <w:t>և</w:t>
      </w:r>
      <w:r w:rsidRPr="00BD7577">
        <w:rPr>
          <w:rFonts w:ascii="Sylfaen" w:hAnsi="Sylfaen"/>
          <w:sz w:val="24"/>
          <w:szCs w:val="24"/>
        </w:rPr>
        <w:t xml:space="preserve"> այլն:</w:t>
      </w:r>
    </w:p>
    <w:p w14:paraId="5E41B433" w14:textId="77777777" w:rsidR="008C76E0" w:rsidRPr="00BD7577" w:rsidRDefault="008C76E0" w:rsidP="00591274">
      <w:pPr>
        <w:tabs>
          <w:tab w:val="left" w:pos="1134"/>
        </w:tabs>
        <w:spacing w:after="160" w:line="336" w:lineRule="auto"/>
        <w:ind w:right="-59" w:firstLine="567"/>
        <w:jc w:val="both"/>
        <w:rPr>
          <w:rFonts w:ascii="Sylfaen" w:hAnsi="Sylfaen"/>
          <w:sz w:val="24"/>
          <w:szCs w:val="24"/>
        </w:rPr>
      </w:pPr>
      <w:r w:rsidRPr="00BD7577">
        <w:rPr>
          <w:rFonts w:ascii="Sylfaen" w:hAnsi="Sylfaen"/>
          <w:sz w:val="24"/>
          <w:szCs w:val="24"/>
        </w:rPr>
        <w:t>3.4.</w:t>
      </w:r>
      <w:r w:rsidRPr="00BD7577">
        <w:rPr>
          <w:rFonts w:ascii="Sylfaen" w:hAnsi="Sylfaen"/>
          <w:sz w:val="24"/>
          <w:szCs w:val="24"/>
        </w:rPr>
        <w:tab/>
        <w:t>Մոդուլ 5.</w:t>
      </w:r>
    </w:p>
    <w:p w14:paraId="19AB031D" w14:textId="77777777" w:rsidR="008C76E0" w:rsidRPr="00BD7577" w:rsidRDefault="008C76E0" w:rsidP="00591274">
      <w:pPr>
        <w:spacing w:after="160" w:line="336" w:lineRule="auto"/>
        <w:ind w:firstLine="567"/>
        <w:jc w:val="both"/>
        <w:rPr>
          <w:rFonts w:ascii="Sylfaen" w:eastAsia="Times New Roman" w:hAnsi="Sylfaen" w:cs="Times New Roman"/>
          <w:sz w:val="24"/>
          <w:szCs w:val="24"/>
        </w:rPr>
      </w:pPr>
      <w:r w:rsidRPr="00BD7577">
        <w:rPr>
          <w:rFonts w:ascii="Sylfaen" w:hAnsi="Sylfaen"/>
          <w:sz w:val="24"/>
          <w:szCs w:val="24"/>
        </w:rPr>
        <w:t>Դոսյեի կար</w:t>
      </w:r>
      <w:r w:rsidR="00C54D75">
        <w:rPr>
          <w:rFonts w:ascii="Sylfaen" w:hAnsi="Sylfaen"/>
          <w:sz w:val="24"/>
          <w:szCs w:val="24"/>
        </w:rPr>
        <w:t>և</w:t>
      </w:r>
      <w:r w:rsidRPr="00BD7577">
        <w:rPr>
          <w:rFonts w:ascii="Sylfaen" w:hAnsi="Sylfaen"/>
          <w:sz w:val="24"/>
          <w:szCs w:val="24"/>
        </w:rPr>
        <w:t>որ բաղադրիչները նույնականացնելու նպատակով (օրինակ՝</w:t>
      </w:r>
      <w:r w:rsidRPr="00E41A3B">
        <w:rPr>
          <w:rFonts w:ascii="Sylfaen" w:hAnsi="Sylfaen"/>
          <w:sz w:val="24"/>
          <w:szCs w:val="24"/>
        </w:rPr>
        <w:t> </w:t>
      </w:r>
      <w:r w:rsidRPr="00BD7577">
        <w:rPr>
          <w:rFonts w:ascii="Sylfaen" w:hAnsi="Sylfaen"/>
          <w:sz w:val="24"/>
          <w:szCs w:val="24"/>
        </w:rPr>
        <w:t>5.3.5.1.1. «Պլացեբո-վերահսկվող հետազոտություն») 5-րդ մոդուլի բովանդակությունը պետք է ներառի Կանոնների թիվ 1 հավելվածում թվարկված բոլոր թվային տարրերը, այն անհրաժեշտ է մանրամասնեցնել առնվազն մինչ</w:t>
      </w:r>
      <w:r w:rsidR="00C54D75">
        <w:rPr>
          <w:rFonts w:ascii="Sylfaen" w:hAnsi="Sylfaen"/>
          <w:sz w:val="24"/>
          <w:szCs w:val="24"/>
        </w:rPr>
        <w:t>և</w:t>
      </w:r>
      <w:r w:rsidRPr="00BD7577">
        <w:rPr>
          <w:rFonts w:ascii="Sylfaen" w:hAnsi="Sylfaen"/>
          <w:sz w:val="24"/>
          <w:szCs w:val="24"/>
        </w:rPr>
        <w:t xml:space="preserve"> կլինիկական հետազոտության մասին հաշվետվության մակարդակը: Այդ կերպ, բովանդակության մեջ անհրաժեշտ է արտացոլել կլինիկական հետազոտության </w:t>
      </w:r>
      <w:r w:rsidRPr="003676C2">
        <w:rPr>
          <w:rFonts w:ascii="Sylfaen" w:hAnsi="Sylfaen"/>
          <w:sz w:val="24"/>
          <w:szCs w:val="24"/>
        </w:rPr>
        <w:t xml:space="preserve">մասին յուրաքանչյուր հաշվետվություն: Կլինիկական հետազոտության մասին հաշվետվության բաժինները թույլատրվում է ներառել (տե՛ս Եվրասիական </w:t>
      </w:r>
      <w:r w:rsidRPr="003676C2">
        <w:rPr>
          <w:rFonts w:ascii="Sylfaen" w:hAnsi="Sylfaen"/>
          <w:spacing w:val="6"/>
          <w:sz w:val="24"/>
          <w:szCs w:val="24"/>
        </w:rPr>
        <w:t>տնտեսական միության պատշաճ կլինիկական գործելակերպի Կանոնների թիվ 1 հավելվածը) 5-րդ մոդուլի</w:t>
      </w:r>
      <w:r w:rsidRPr="00BD7577">
        <w:rPr>
          <w:rFonts w:ascii="Sylfaen" w:hAnsi="Sylfaen"/>
          <w:sz w:val="24"/>
          <w:szCs w:val="24"/>
        </w:rPr>
        <w:t xml:space="preserve"> բովանդակության մեջ կամ միայն կլինիկական հետազոտության մասին առանձին հաշվետվության բովանդակության մեջ:</w:t>
      </w:r>
    </w:p>
    <w:p w14:paraId="50A3294E" w14:textId="77777777" w:rsidR="008C76E0" w:rsidRPr="00BD7577" w:rsidRDefault="008C76E0" w:rsidP="00591274">
      <w:pPr>
        <w:spacing w:after="160" w:line="336" w:lineRule="auto"/>
        <w:ind w:firstLine="567"/>
        <w:jc w:val="both"/>
        <w:rPr>
          <w:rFonts w:ascii="Sylfaen" w:hAnsi="Sylfaen"/>
          <w:sz w:val="24"/>
          <w:szCs w:val="24"/>
        </w:rPr>
      </w:pPr>
      <w:r w:rsidRPr="00BD7577">
        <w:rPr>
          <w:rFonts w:ascii="Sylfaen" w:hAnsi="Sylfaen"/>
          <w:sz w:val="24"/>
          <w:szCs w:val="24"/>
        </w:rPr>
        <w:t>5-րդ մոդուլի բովանդակության մասի իլյուստրացիան:</w:t>
      </w:r>
    </w:p>
    <w:p w14:paraId="1E7470E7" w14:textId="77777777" w:rsidR="008C76E0" w:rsidRPr="00BD7577" w:rsidRDefault="008C76E0" w:rsidP="00591274">
      <w:pPr>
        <w:tabs>
          <w:tab w:val="left" w:pos="1701"/>
        </w:tabs>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5.3.5</w:t>
      </w:r>
      <w:r w:rsidRPr="00BD7577">
        <w:rPr>
          <w:rFonts w:ascii="Sylfaen" w:hAnsi="Sylfaen"/>
          <w:sz w:val="24"/>
          <w:szCs w:val="24"/>
        </w:rPr>
        <w:tab/>
        <w:t xml:space="preserve">Z ցուցում՝ հաշվետվություններ՝ հետազոտության արդյունավետության </w:t>
      </w:r>
      <w:r w:rsidR="00C54D75">
        <w:rPr>
          <w:rFonts w:ascii="Sylfaen" w:hAnsi="Sylfaen"/>
          <w:sz w:val="24"/>
          <w:szCs w:val="24"/>
        </w:rPr>
        <w:t>և</w:t>
      </w:r>
      <w:r w:rsidRPr="00BD7577">
        <w:rPr>
          <w:rFonts w:ascii="Sylfaen" w:hAnsi="Sylfaen"/>
          <w:sz w:val="24"/>
          <w:szCs w:val="24"/>
        </w:rPr>
        <w:t xml:space="preserve"> անվտանգության մասին:</w:t>
      </w:r>
    </w:p>
    <w:p w14:paraId="741C000B" w14:textId="77777777" w:rsidR="008C76E0" w:rsidRPr="00BD7577" w:rsidRDefault="008C76E0" w:rsidP="00591274">
      <w:pPr>
        <w:tabs>
          <w:tab w:val="left" w:pos="1701"/>
        </w:tabs>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lastRenderedPageBreak/>
        <w:t>5.3.5.1</w:t>
      </w:r>
      <w:r w:rsidRPr="00BD7577">
        <w:rPr>
          <w:rFonts w:ascii="Sylfaen" w:hAnsi="Sylfaen"/>
          <w:sz w:val="24"/>
          <w:szCs w:val="24"/>
        </w:rPr>
        <w:tab/>
        <w:t>Z ցուցում՝ վերահսկվող կլինիկական հետազոտությունների մասին հաշվետվություններ, որոնք վերաբերում են հայտագրված կիրառման ցուցմանը։</w:t>
      </w:r>
    </w:p>
    <w:p w14:paraId="713A93B0"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5.3.5.1.1</w:t>
      </w:r>
      <w:r w:rsidRPr="00BD7577">
        <w:rPr>
          <w:rFonts w:ascii="Sylfaen" w:hAnsi="Sylfaen"/>
          <w:sz w:val="24"/>
          <w:szCs w:val="24"/>
        </w:rPr>
        <w:tab/>
        <w:t xml:space="preserve">Z ցուցում — պլացեբո-վերահսկվող հետազոտություններ: Հետազոտություն xx-xxx՝ A պատրաստուկի կրկնակի կույր, պլացեբո-վերահսկվող հետազոտություն՝ Z ցուցման դեպքում: </w:t>
      </w:r>
    </w:p>
    <w:p w14:paraId="6F40C424"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Հետազոտություն yy-yyy՝ կրկնակի կույր:</w:t>
      </w:r>
    </w:p>
    <w:p w14:paraId="22B18700" w14:textId="77777777" w:rsidR="008C76E0" w:rsidRPr="00BD7577" w:rsidRDefault="008C76E0" w:rsidP="0059127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5.3.5.1.2</w:t>
      </w:r>
      <w:r w:rsidRPr="00BD7577">
        <w:rPr>
          <w:rFonts w:ascii="Sylfaen" w:hAnsi="Sylfaen"/>
          <w:sz w:val="24"/>
          <w:szCs w:val="24"/>
        </w:rPr>
        <w:tab/>
        <w:t xml:space="preserve">Z ցուցում՝ հետազոտություններ՝ ակտիվ հսկողությամբ: Հետազոտություն zz-zzz՝ A պատրաստուկի կրկնակի կույր, ակտիվ-վերահսկվող հետազոտություն՝ C պատրաստուկի համեմատությամբ՝ Z ցուցման դեպքում: </w:t>
      </w:r>
    </w:p>
    <w:p w14:paraId="0F94D076" w14:textId="77777777" w:rsidR="008C76E0" w:rsidRPr="00BD7577" w:rsidRDefault="008C76E0" w:rsidP="00591274">
      <w:pPr>
        <w:tabs>
          <w:tab w:val="left" w:pos="1701"/>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5.3.5</w:t>
      </w:r>
      <w:r w:rsidRPr="00BD7577">
        <w:rPr>
          <w:rFonts w:ascii="Sylfaen" w:hAnsi="Sylfaen"/>
          <w:sz w:val="24"/>
          <w:szCs w:val="24"/>
        </w:rPr>
        <w:tab/>
        <w:t xml:space="preserve">Q ցուցում՝ հաշվետվություններ՝ հետազոտության արդյունավետության </w:t>
      </w:r>
      <w:r w:rsidR="00C54D75">
        <w:rPr>
          <w:rFonts w:ascii="Sylfaen" w:hAnsi="Sylfaen"/>
          <w:sz w:val="24"/>
          <w:szCs w:val="24"/>
        </w:rPr>
        <w:t>և</w:t>
      </w:r>
      <w:r w:rsidRPr="00BD7577">
        <w:rPr>
          <w:rFonts w:ascii="Sylfaen" w:hAnsi="Sylfaen"/>
          <w:sz w:val="24"/>
          <w:szCs w:val="24"/>
        </w:rPr>
        <w:t xml:space="preserve"> անվտանգության մասին:</w:t>
      </w:r>
    </w:p>
    <w:p w14:paraId="5B0E00F4" w14:textId="77777777" w:rsidR="008C76E0" w:rsidRPr="003676C2" w:rsidRDefault="008C76E0" w:rsidP="00591274">
      <w:pPr>
        <w:tabs>
          <w:tab w:val="left" w:pos="1701"/>
        </w:tabs>
        <w:spacing w:after="160" w:line="360" w:lineRule="auto"/>
        <w:ind w:right="-1" w:firstLine="567"/>
        <w:jc w:val="both"/>
        <w:rPr>
          <w:rFonts w:ascii="Sylfaen" w:hAnsi="Sylfaen"/>
          <w:spacing w:val="6"/>
          <w:sz w:val="24"/>
          <w:szCs w:val="24"/>
        </w:rPr>
      </w:pPr>
      <w:r w:rsidRPr="003676C2">
        <w:rPr>
          <w:rFonts w:ascii="Sylfaen" w:hAnsi="Sylfaen"/>
          <w:spacing w:val="6"/>
          <w:sz w:val="24"/>
          <w:szCs w:val="24"/>
        </w:rPr>
        <w:t>5.3.5.1</w:t>
      </w:r>
      <w:r w:rsidRPr="003676C2">
        <w:rPr>
          <w:rFonts w:ascii="Sylfaen" w:hAnsi="Sylfaen"/>
          <w:spacing w:val="6"/>
          <w:sz w:val="24"/>
          <w:szCs w:val="24"/>
        </w:rPr>
        <w:tab/>
        <w:t xml:space="preserve">Q ցուցում՝ վերահսկվող կլինիկական հետազոտությունների մասին հաշվետվություններ, որոնք վերաբերում են հայտագրված կիրառման ցուցմանը </w:t>
      </w:r>
      <w:r w:rsidR="00C54D75">
        <w:rPr>
          <w:rFonts w:ascii="Sylfaen" w:hAnsi="Sylfaen"/>
          <w:spacing w:val="6"/>
          <w:sz w:val="24"/>
          <w:szCs w:val="24"/>
        </w:rPr>
        <w:t>և</w:t>
      </w:r>
      <w:r w:rsidRPr="003676C2">
        <w:rPr>
          <w:rFonts w:ascii="Sylfaen" w:hAnsi="Sylfaen"/>
          <w:spacing w:val="6"/>
          <w:sz w:val="24"/>
          <w:szCs w:val="24"/>
        </w:rPr>
        <w:t xml:space="preserve"> այլն:</w:t>
      </w:r>
    </w:p>
    <w:p w14:paraId="4347726C" w14:textId="77777777" w:rsidR="008C76E0" w:rsidRPr="00E06907" w:rsidRDefault="008C76E0" w:rsidP="008C76E0">
      <w:pPr>
        <w:tabs>
          <w:tab w:val="left" w:pos="1701"/>
        </w:tabs>
        <w:ind w:right="-1" w:firstLine="567"/>
        <w:jc w:val="center"/>
        <w:rPr>
          <w:rFonts w:ascii="Sylfaen" w:eastAsia="Times New Roman" w:hAnsi="Sylfaen" w:cs="Times New Roman"/>
          <w:sz w:val="24"/>
          <w:szCs w:val="24"/>
        </w:rPr>
      </w:pPr>
      <w:r w:rsidRPr="00E06907">
        <w:rPr>
          <w:rFonts w:ascii="Sylfaen" w:eastAsia="Times New Roman" w:hAnsi="Sylfaen" w:cs="Times New Roman"/>
          <w:sz w:val="24"/>
          <w:szCs w:val="24"/>
        </w:rPr>
        <w:t>_______________</w:t>
      </w:r>
    </w:p>
    <w:p w14:paraId="26FD74A6" w14:textId="77777777" w:rsidR="008C76E0" w:rsidRPr="00E06907" w:rsidRDefault="008C76E0" w:rsidP="008C76E0">
      <w:pPr>
        <w:tabs>
          <w:tab w:val="left" w:pos="1701"/>
        </w:tabs>
        <w:ind w:right="-1" w:firstLine="567"/>
        <w:jc w:val="both"/>
        <w:rPr>
          <w:rFonts w:ascii="Sylfaen" w:eastAsia="Times New Roman" w:hAnsi="Sylfaen" w:cs="Times New Roman"/>
          <w:sz w:val="24"/>
          <w:szCs w:val="24"/>
        </w:rPr>
      </w:pPr>
    </w:p>
    <w:p w14:paraId="6470CEDB" w14:textId="77777777" w:rsidR="008C76E0" w:rsidRPr="00E06907" w:rsidRDefault="008C76E0" w:rsidP="008C76E0">
      <w:pPr>
        <w:tabs>
          <w:tab w:val="left" w:pos="1701"/>
        </w:tabs>
        <w:ind w:right="-1" w:firstLine="567"/>
        <w:jc w:val="both"/>
        <w:rPr>
          <w:rFonts w:ascii="Sylfaen" w:eastAsia="Times New Roman" w:hAnsi="Sylfaen" w:cs="Times New Roman"/>
          <w:sz w:val="24"/>
          <w:szCs w:val="24"/>
        </w:rPr>
        <w:sectPr w:rsidR="008C76E0" w:rsidRPr="00E06907" w:rsidSect="00903D92">
          <w:footnotePr>
            <w:numRestart w:val="eachSect"/>
          </w:footnotePr>
          <w:pgSz w:w="11907" w:h="16839" w:code="9"/>
          <w:pgMar w:top="1418" w:right="1418" w:bottom="1418" w:left="1418" w:header="0" w:footer="361" w:gutter="0"/>
          <w:cols w:space="720"/>
          <w:noEndnote/>
          <w:docGrid w:linePitch="360"/>
        </w:sectPr>
      </w:pPr>
    </w:p>
    <w:p w14:paraId="56BC9D7F" w14:textId="77777777" w:rsidR="008C76E0" w:rsidRPr="00421BB4" w:rsidRDefault="008C76E0" w:rsidP="00486B34">
      <w:pPr>
        <w:spacing w:after="160" w:line="360" w:lineRule="auto"/>
        <w:ind w:left="4536" w:right="-7"/>
        <w:jc w:val="center"/>
        <w:rPr>
          <w:rFonts w:ascii="Sylfaen" w:hAnsi="Sylfaen"/>
          <w:sz w:val="24"/>
          <w:szCs w:val="24"/>
        </w:rPr>
      </w:pPr>
      <w:r w:rsidRPr="00BD7577">
        <w:rPr>
          <w:rFonts w:ascii="Sylfaen" w:hAnsi="Sylfaen"/>
          <w:sz w:val="24"/>
          <w:szCs w:val="24"/>
        </w:rPr>
        <w:lastRenderedPageBreak/>
        <w:t>ՀԱՎԵԼՎԱԾ ԹԻՎ 6</w:t>
      </w:r>
      <w:r w:rsidRPr="00E06907">
        <w:rPr>
          <w:rFonts w:ascii="Sylfaen" w:hAnsi="Sylfaen"/>
          <w:sz w:val="24"/>
          <w:szCs w:val="24"/>
        </w:rPr>
        <w:t xml:space="preserve"> </w:t>
      </w:r>
    </w:p>
    <w:p w14:paraId="1CF2E73B" w14:textId="77777777" w:rsidR="008C76E0" w:rsidRPr="00BD7577" w:rsidRDefault="008C76E0" w:rsidP="00486B34">
      <w:pPr>
        <w:spacing w:after="160" w:line="360" w:lineRule="auto"/>
        <w:ind w:left="4536" w:right="-7"/>
        <w:jc w:val="center"/>
        <w:rPr>
          <w:rFonts w:ascii="Sylfaen" w:eastAsia="Times New Roman" w:hAnsi="Sylfaen" w:cs="Times New Roman"/>
          <w:sz w:val="24"/>
          <w:szCs w:val="24"/>
        </w:rPr>
      </w:pPr>
      <w:r w:rsidRPr="00BD7577">
        <w:rPr>
          <w:rFonts w:ascii="Sylfaen" w:hAnsi="Sylfaen"/>
          <w:sz w:val="24"/>
          <w:szCs w:val="24"/>
        </w:rPr>
        <w:t xml:space="preserve">Բժշկական կիրառության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2D9D90F6" w14:textId="77777777" w:rsidR="008C76E0" w:rsidRPr="00BD7577" w:rsidRDefault="008C76E0" w:rsidP="00486B34">
      <w:pPr>
        <w:spacing w:after="160" w:line="360" w:lineRule="auto"/>
        <w:ind w:left="4536" w:right="-7"/>
        <w:rPr>
          <w:rFonts w:ascii="Sylfaen" w:hAnsi="Sylfaen"/>
          <w:sz w:val="24"/>
          <w:szCs w:val="24"/>
        </w:rPr>
      </w:pPr>
    </w:p>
    <w:p w14:paraId="10CEEEA2" w14:textId="77777777" w:rsidR="008C76E0" w:rsidRPr="00E06907" w:rsidRDefault="008C76E0" w:rsidP="00486B34">
      <w:pPr>
        <w:spacing w:after="160" w:line="360" w:lineRule="auto"/>
        <w:ind w:left="567" w:right="566"/>
        <w:jc w:val="center"/>
        <w:rPr>
          <w:rFonts w:ascii="Sylfaen" w:hAnsi="Sylfaen"/>
          <w:b/>
          <w:sz w:val="24"/>
          <w:szCs w:val="24"/>
        </w:rPr>
      </w:pPr>
      <w:r w:rsidRPr="00E06907">
        <w:rPr>
          <w:rFonts w:ascii="Sylfaen" w:hAnsi="Sylfaen"/>
          <w:b/>
          <w:sz w:val="24"/>
          <w:szCs w:val="24"/>
        </w:rPr>
        <w:t>ՁԵՎ</w:t>
      </w:r>
    </w:p>
    <w:p w14:paraId="6DA57858" w14:textId="77777777" w:rsidR="008C76E0" w:rsidRPr="00BD7577" w:rsidRDefault="008C76E0" w:rsidP="00486B34">
      <w:pPr>
        <w:spacing w:after="160" w:line="360" w:lineRule="auto"/>
        <w:ind w:left="567" w:right="566"/>
        <w:jc w:val="center"/>
        <w:rPr>
          <w:rFonts w:ascii="Sylfaen" w:hAnsi="Sylfaen"/>
          <w:b/>
          <w:sz w:val="24"/>
          <w:szCs w:val="24"/>
        </w:rPr>
      </w:pPr>
      <w:r w:rsidRPr="00BD7577">
        <w:rPr>
          <w:rFonts w:ascii="Sylfaen" w:hAnsi="Sylfaen"/>
          <w:b/>
          <w:sz w:val="24"/>
          <w:szCs w:val="24"/>
        </w:rPr>
        <w:t>նախակլինիկական (ոչ կլինիկական) հետազոտությունների արդյունքների գնահատման վերաբերյալ փորձագիտական</w:t>
      </w:r>
      <w:r w:rsidRPr="00E06907">
        <w:rPr>
          <w:rFonts w:ascii="Sylfaen" w:hAnsi="Sylfaen"/>
          <w:b/>
          <w:sz w:val="24"/>
          <w:szCs w:val="24"/>
        </w:rPr>
        <w:t> </w:t>
      </w:r>
      <w:r w:rsidRPr="00BD7577">
        <w:rPr>
          <w:rFonts w:ascii="Sylfaen" w:hAnsi="Sylfaen"/>
          <w:b/>
          <w:sz w:val="24"/>
          <w:szCs w:val="24"/>
        </w:rPr>
        <w:t>հաշվետվության</w:t>
      </w:r>
    </w:p>
    <w:p w14:paraId="0006AA5B" w14:textId="77777777" w:rsidR="008C76E0" w:rsidRPr="00BD7577" w:rsidRDefault="008C76E0" w:rsidP="00486B34">
      <w:pPr>
        <w:spacing w:after="160" w:line="360" w:lineRule="auto"/>
        <w:ind w:left="567" w:right="566"/>
        <w:jc w:val="center"/>
        <w:rPr>
          <w:rFonts w:ascii="Sylfaen" w:eastAsia="Times New Roman" w:hAnsi="Sylfaen" w:cs="Times New Roman"/>
          <w:bCs/>
          <w:sz w:val="24"/>
          <w:szCs w:val="24"/>
        </w:rPr>
      </w:pPr>
    </w:p>
    <w:p w14:paraId="1AC20535" w14:textId="77777777" w:rsidR="008C76E0" w:rsidRPr="00BD7577" w:rsidRDefault="008C76E0" w:rsidP="00486B34">
      <w:pPr>
        <w:spacing w:after="160" w:line="360" w:lineRule="auto"/>
        <w:ind w:right="566"/>
        <w:jc w:val="right"/>
        <w:rPr>
          <w:rFonts w:ascii="Sylfaen" w:eastAsia="Times New Roman" w:hAnsi="Sylfaen" w:cs="Times New Roma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ը)</w:t>
      </w:r>
    </w:p>
    <w:p w14:paraId="204E72D0" w14:textId="77777777" w:rsidR="008C76E0" w:rsidRPr="00BD7577" w:rsidRDefault="008C76E0" w:rsidP="00486B34">
      <w:pPr>
        <w:spacing w:after="160" w:line="360" w:lineRule="auto"/>
        <w:ind w:left="3361" w:right="36" w:firstLine="5198"/>
        <w:rPr>
          <w:rFonts w:ascii="Sylfaen" w:eastAsia="Times New Roman" w:hAnsi="Sylfaen" w:cs="Times New Roman"/>
          <w:sz w:val="24"/>
          <w:szCs w:val="24"/>
        </w:rPr>
      </w:pPr>
    </w:p>
    <w:p w14:paraId="7C974B48" w14:textId="77777777" w:rsidR="008C76E0" w:rsidRPr="00BD7577" w:rsidRDefault="008C76E0" w:rsidP="00486B34">
      <w:pPr>
        <w:spacing w:after="160" w:line="360" w:lineRule="auto"/>
        <w:ind w:left="567" w:right="566"/>
        <w:jc w:val="center"/>
        <w:rPr>
          <w:rFonts w:ascii="Sylfaen" w:eastAsia="Times New Roman" w:hAnsi="Sylfaen" w:cs="Times New Roman"/>
          <w:sz w:val="24"/>
          <w:szCs w:val="24"/>
        </w:rPr>
      </w:pPr>
      <w:r w:rsidRPr="00BD7577">
        <w:rPr>
          <w:rFonts w:ascii="Sylfaen" w:hAnsi="Sylfaen"/>
          <w:sz w:val="24"/>
          <w:szCs w:val="24"/>
        </w:rPr>
        <w:t>ՓՈՐՁԱԳԻՏԱԿԱՆ ՀԱՇՎԵՏՎՈՒԹՅՈՒՆ</w:t>
      </w:r>
    </w:p>
    <w:p w14:paraId="5330126D" w14:textId="77777777" w:rsidR="008C76E0" w:rsidRPr="00BD7577" w:rsidRDefault="008C76E0" w:rsidP="00486B34">
      <w:pPr>
        <w:spacing w:after="160" w:line="360" w:lineRule="auto"/>
        <w:ind w:left="567" w:right="566"/>
        <w:jc w:val="center"/>
        <w:rPr>
          <w:rFonts w:ascii="Sylfaen" w:hAnsi="Sylfaen"/>
          <w:sz w:val="24"/>
          <w:szCs w:val="24"/>
        </w:rPr>
      </w:pPr>
      <w:r w:rsidRPr="00BD7577">
        <w:rPr>
          <w:rFonts w:ascii="Sylfaen" w:hAnsi="Sylfaen"/>
          <w:sz w:val="24"/>
          <w:szCs w:val="24"/>
        </w:rPr>
        <w:t xml:space="preserve">նախակլինիկական (ոչ կլինիկական) հետազոտությունների արդյունքների գնահատման վերաբերյալ </w:t>
      </w:r>
    </w:p>
    <w:p w14:paraId="763FB071" w14:textId="77777777" w:rsidR="008C76E0" w:rsidRPr="00BD7577" w:rsidRDefault="008C76E0" w:rsidP="00486B34">
      <w:pPr>
        <w:spacing w:after="160" w:line="360" w:lineRule="auto"/>
        <w:ind w:left="374" w:right="244"/>
        <w:jc w:val="center"/>
        <w:rPr>
          <w:rFonts w:ascii="Sylfaen" w:hAnsi="Sylfaen"/>
          <w:sz w:val="24"/>
          <w:szCs w:val="24"/>
          <w:lang w:val="en-US"/>
        </w:rPr>
      </w:pPr>
      <w:r w:rsidRPr="00BD7577">
        <w:rPr>
          <w:rFonts w:ascii="Sylfaen" w:hAnsi="Sylfaen"/>
          <w:sz w:val="24"/>
          <w:szCs w:val="24"/>
          <w:lang w:val="en-US"/>
        </w:rPr>
        <w:t>__________________________________________________________________</w:t>
      </w:r>
    </w:p>
    <w:p w14:paraId="0460DEE2" w14:textId="77777777" w:rsidR="008C76E0" w:rsidRDefault="008C76E0" w:rsidP="008C76E0">
      <w:pPr>
        <w:spacing w:after="0" w:line="240" w:lineRule="auto"/>
        <w:ind w:right="-23"/>
        <w:jc w:val="center"/>
        <w:rPr>
          <w:rFonts w:ascii="Sylfaen" w:hAnsi="Sylfaen"/>
          <w:sz w:val="24"/>
          <w:szCs w:val="24"/>
          <w:lang w:val="en-US"/>
        </w:rPr>
      </w:pPr>
      <w:r w:rsidRPr="00BD7577">
        <w:rPr>
          <w:rFonts w:ascii="Sylfaen" w:hAnsi="Sylfaen"/>
          <w:sz w:val="24"/>
          <w:szCs w:val="24"/>
        </w:rPr>
        <w:t>(</w:t>
      </w:r>
      <w:r w:rsidRPr="00E06907">
        <w:rPr>
          <w:rFonts w:ascii="Sylfaen" w:hAnsi="Sylfaen"/>
          <w:sz w:val="20"/>
          <w:szCs w:val="20"/>
        </w:rPr>
        <w:t>դեղապատրաստուկի անվանումը, դեղաձ</w:t>
      </w:r>
      <w:r w:rsidR="00C54D75">
        <w:rPr>
          <w:rFonts w:ascii="Sylfaen" w:hAnsi="Sylfaen"/>
          <w:sz w:val="20"/>
          <w:szCs w:val="20"/>
        </w:rPr>
        <w:t>և</w:t>
      </w:r>
      <w:r w:rsidRPr="00E06907">
        <w:rPr>
          <w:rFonts w:ascii="Sylfaen" w:hAnsi="Sylfaen"/>
          <w:sz w:val="20"/>
          <w:szCs w:val="20"/>
        </w:rPr>
        <w:t>ը, դոզաները</w:t>
      </w:r>
      <w:r w:rsidRPr="00BD7577">
        <w:rPr>
          <w:rFonts w:ascii="Sylfaen" w:hAnsi="Sylfaen"/>
          <w:sz w:val="24"/>
          <w:szCs w:val="24"/>
        </w:rPr>
        <w:t>)</w:t>
      </w:r>
    </w:p>
    <w:p w14:paraId="13533316" w14:textId="77777777" w:rsidR="008C76E0" w:rsidRPr="00E06907" w:rsidRDefault="008C76E0" w:rsidP="008C76E0">
      <w:pPr>
        <w:spacing w:after="0" w:line="240" w:lineRule="auto"/>
        <w:ind w:right="-23"/>
        <w:jc w:val="center"/>
        <w:rPr>
          <w:rFonts w:ascii="Sylfaen" w:hAnsi="Sylfaen"/>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4786"/>
        <w:gridCol w:w="4678"/>
      </w:tblGrid>
      <w:tr w:rsidR="008C76E0" w:rsidRPr="00BD7577" w14:paraId="33522567" w14:textId="77777777" w:rsidTr="008C76E0">
        <w:trPr>
          <w:jc w:val="center"/>
        </w:trPr>
        <w:tc>
          <w:tcPr>
            <w:tcW w:w="4786" w:type="dxa"/>
            <w:tcBorders>
              <w:top w:val="single" w:sz="4" w:space="0" w:color="000000"/>
              <w:left w:val="single" w:sz="4" w:space="0" w:color="000000"/>
              <w:bottom w:val="single" w:sz="4" w:space="0" w:color="000000"/>
              <w:right w:val="single" w:sz="4" w:space="0" w:color="000000"/>
            </w:tcBorders>
          </w:tcPr>
          <w:p w14:paraId="79DB8232" w14:textId="77777777" w:rsidR="008C76E0" w:rsidRPr="00BD7577" w:rsidRDefault="008C76E0" w:rsidP="008C76E0">
            <w:pPr>
              <w:spacing w:after="120" w:line="240" w:lineRule="auto"/>
              <w:ind w:left="102" w:right="-23"/>
              <w:rPr>
                <w:rFonts w:ascii="Sylfaen" w:eastAsia="Times New Roman" w:hAnsi="Sylfaen" w:cs="Times New Roman"/>
                <w:sz w:val="24"/>
                <w:szCs w:val="24"/>
              </w:rPr>
            </w:pPr>
            <w:r w:rsidRPr="00BD7577">
              <w:rPr>
                <w:rFonts w:ascii="Sylfaen" w:hAnsi="Sylfaen"/>
                <w:sz w:val="24"/>
                <w:szCs w:val="24"/>
              </w:rPr>
              <w:t>Փորձագետ՝</w:t>
            </w:r>
          </w:p>
        </w:tc>
        <w:tc>
          <w:tcPr>
            <w:tcW w:w="4678" w:type="dxa"/>
            <w:tcBorders>
              <w:top w:val="single" w:sz="4" w:space="0" w:color="000000"/>
              <w:left w:val="single" w:sz="4" w:space="0" w:color="000000"/>
              <w:bottom w:val="single" w:sz="4" w:space="0" w:color="000000"/>
              <w:right w:val="single" w:sz="4" w:space="0" w:color="000000"/>
            </w:tcBorders>
          </w:tcPr>
          <w:p w14:paraId="751EA2A2" w14:textId="77777777" w:rsidR="008C76E0" w:rsidRPr="00BD7577" w:rsidRDefault="008C76E0" w:rsidP="008C76E0">
            <w:pPr>
              <w:spacing w:after="120" w:line="240" w:lineRule="auto"/>
              <w:rPr>
                <w:rFonts w:ascii="Sylfaen" w:hAnsi="Sylfaen"/>
                <w:sz w:val="24"/>
                <w:szCs w:val="24"/>
              </w:rPr>
            </w:pPr>
          </w:p>
        </w:tc>
      </w:tr>
      <w:tr w:rsidR="008C76E0" w:rsidRPr="00BD7577" w14:paraId="14B56687" w14:textId="77777777" w:rsidTr="008C76E0">
        <w:trPr>
          <w:jc w:val="center"/>
        </w:trPr>
        <w:tc>
          <w:tcPr>
            <w:tcW w:w="4786" w:type="dxa"/>
            <w:tcBorders>
              <w:top w:val="single" w:sz="4" w:space="0" w:color="000000"/>
              <w:left w:val="single" w:sz="4" w:space="0" w:color="000000"/>
              <w:bottom w:val="single" w:sz="4" w:space="0" w:color="000000"/>
              <w:right w:val="single" w:sz="4" w:space="0" w:color="000000"/>
            </w:tcBorders>
          </w:tcPr>
          <w:p w14:paraId="7171A054"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Ընթացակարգի սկիզբը՝</w:t>
            </w:r>
          </w:p>
        </w:tc>
        <w:tc>
          <w:tcPr>
            <w:tcW w:w="4678" w:type="dxa"/>
            <w:tcBorders>
              <w:top w:val="single" w:sz="4" w:space="0" w:color="000000"/>
              <w:left w:val="single" w:sz="4" w:space="0" w:color="000000"/>
              <w:bottom w:val="single" w:sz="4" w:space="0" w:color="000000"/>
              <w:right w:val="single" w:sz="4" w:space="0" w:color="000000"/>
            </w:tcBorders>
          </w:tcPr>
          <w:p w14:paraId="2F20B466" w14:textId="77777777" w:rsidR="008C76E0" w:rsidRPr="00BD7577" w:rsidRDefault="008C76E0" w:rsidP="008C76E0">
            <w:pPr>
              <w:spacing w:after="120" w:line="240" w:lineRule="auto"/>
              <w:rPr>
                <w:rFonts w:ascii="Sylfaen" w:hAnsi="Sylfaen"/>
                <w:sz w:val="24"/>
                <w:szCs w:val="24"/>
              </w:rPr>
            </w:pPr>
          </w:p>
        </w:tc>
      </w:tr>
      <w:tr w:rsidR="008C76E0" w:rsidRPr="00BD7577" w14:paraId="69136E7A" w14:textId="77777777" w:rsidTr="008C76E0">
        <w:trPr>
          <w:jc w:val="center"/>
        </w:trPr>
        <w:tc>
          <w:tcPr>
            <w:tcW w:w="4786" w:type="dxa"/>
            <w:tcBorders>
              <w:top w:val="single" w:sz="4" w:space="0" w:color="000000"/>
              <w:left w:val="single" w:sz="4" w:space="0" w:color="000000"/>
              <w:bottom w:val="single" w:sz="4" w:space="0" w:color="000000"/>
              <w:right w:val="single" w:sz="4" w:space="0" w:color="000000"/>
            </w:tcBorders>
          </w:tcPr>
          <w:p w14:paraId="0E2B08BC" w14:textId="77777777" w:rsidR="008C76E0" w:rsidRPr="00BD7577" w:rsidRDefault="008C76E0" w:rsidP="008C76E0">
            <w:pPr>
              <w:spacing w:after="120" w:line="240" w:lineRule="auto"/>
              <w:ind w:left="102" w:right="-20"/>
              <w:rPr>
                <w:rFonts w:ascii="Sylfaen" w:eastAsia="Times New Roman" w:hAnsi="Sylfaen" w:cs="Times New Roman"/>
                <w:sz w:val="24"/>
                <w:szCs w:val="24"/>
              </w:rPr>
            </w:pPr>
            <w:r w:rsidRPr="00BD7577">
              <w:rPr>
                <w:rFonts w:ascii="Sylfaen" w:hAnsi="Sylfaen"/>
                <w:sz w:val="24"/>
                <w:szCs w:val="24"/>
              </w:rPr>
              <w:t>Սույն հաշվետվության ամսաթիվը՝</w:t>
            </w:r>
          </w:p>
        </w:tc>
        <w:tc>
          <w:tcPr>
            <w:tcW w:w="4678" w:type="dxa"/>
            <w:tcBorders>
              <w:top w:val="single" w:sz="4" w:space="0" w:color="000000"/>
              <w:left w:val="single" w:sz="4" w:space="0" w:color="000000"/>
              <w:bottom w:val="single" w:sz="4" w:space="0" w:color="000000"/>
              <w:right w:val="single" w:sz="4" w:space="0" w:color="000000"/>
            </w:tcBorders>
          </w:tcPr>
          <w:p w14:paraId="23FAD6E9" w14:textId="77777777" w:rsidR="008C76E0" w:rsidRPr="00BD7577" w:rsidRDefault="008C76E0" w:rsidP="008C76E0">
            <w:pPr>
              <w:spacing w:after="120" w:line="240" w:lineRule="auto"/>
              <w:rPr>
                <w:rFonts w:ascii="Sylfaen" w:hAnsi="Sylfaen"/>
                <w:sz w:val="24"/>
                <w:szCs w:val="24"/>
              </w:rPr>
            </w:pPr>
          </w:p>
        </w:tc>
      </w:tr>
      <w:tr w:rsidR="008C76E0" w:rsidRPr="00BD7577" w14:paraId="0D1C01E3" w14:textId="77777777" w:rsidTr="008C76E0">
        <w:trPr>
          <w:jc w:val="center"/>
        </w:trPr>
        <w:tc>
          <w:tcPr>
            <w:tcW w:w="4786" w:type="dxa"/>
            <w:tcBorders>
              <w:top w:val="single" w:sz="4" w:space="0" w:color="000000"/>
              <w:left w:val="single" w:sz="4" w:space="0" w:color="000000"/>
              <w:bottom w:val="single" w:sz="4" w:space="0" w:color="000000"/>
              <w:right w:val="single" w:sz="4" w:space="0" w:color="000000"/>
            </w:tcBorders>
          </w:tcPr>
          <w:p w14:paraId="29822340" w14:textId="77777777" w:rsidR="008C76E0" w:rsidRPr="00BD7577" w:rsidRDefault="008C76E0" w:rsidP="008C76E0">
            <w:pPr>
              <w:spacing w:after="120" w:line="240" w:lineRule="auto"/>
              <w:ind w:left="102" w:right="53"/>
              <w:rPr>
                <w:rFonts w:ascii="Sylfaen" w:eastAsia="Times New Roman" w:hAnsi="Sylfaen" w:cs="Times New Roman"/>
                <w:sz w:val="24"/>
                <w:szCs w:val="24"/>
              </w:rPr>
            </w:pPr>
            <w:r w:rsidRPr="00BD7577">
              <w:rPr>
                <w:rFonts w:ascii="Sylfaen" w:hAnsi="Sylfaen"/>
                <w:sz w:val="24"/>
                <w:szCs w:val="24"/>
              </w:rPr>
              <w:t>Մեկնաբանությունների համար վերջնաժամկետը՝</w:t>
            </w:r>
          </w:p>
        </w:tc>
        <w:tc>
          <w:tcPr>
            <w:tcW w:w="4678" w:type="dxa"/>
            <w:tcBorders>
              <w:top w:val="single" w:sz="4" w:space="0" w:color="000000"/>
              <w:left w:val="single" w:sz="4" w:space="0" w:color="000000"/>
              <w:bottom w:val="single" w:sz="4" w:space="0" w:color="000000"/>
              <w:right w:val="single" w:sz="4" w:space="0" w:color="000000"/>
            </w:tcBorders>
          </w:tcPr>
          <w:p w14:paraId="008F1B6E" w14:textId="77777777" w:rsidR="008C76E0" w:rsidRPr="00BD7577" w:rsidRDefault="008C76E0" w:rsidP="008C76E0">
            <w:pPr>
              <w:spacing w:after="120" w:line="240" w:lineRule="auto"/>
              <w:rPr>
                <w:rFonts w:ascii="Sylfaen" w:hAnsi="Sylfaen"/>
                <w:sz w:val="24"/>
                <w:szCs w:val="24"/>
              </w:rPr>
            </w:pPr>
          </w:p>
        </w:tc>
      </w:tr>
    </w:tbl>
    <w:p w14:paraId="06811A6A" w14:textId="77777777" w:rsidR="008C76E0" w:rsidRPr="00BD7577" w:rsidRDefault="008C76E0" w:rsidP="008C76E0">
      <w:pPr>
        <w:rPr>
          <w:rFonts w:ascii="Sylfaen" w:hAnsi="Sylfaen"/>
          <w:sz w:val="24"/>
          <w:szCs w:val="24"/>
        </w:rPr>
      </w:pPr>
      <w:r w:rsidRPr="00BD7577">
        <w:rPr>
          <w:rFonts w:ascii="Sylfaen" w:hAnsi="Sylfaen"/>
          <w:sz w:val="24"/>
          <w:szCs w:val="24"/>
        </w:rPr>
        <w:br w:type="page"/>
      </w:r>
    </w:p>
    <w:p w14:paraId="21DF1549" w14:textId="77777777" w:rsidR="008C76E0" w:rsidRPr="00BD7577" w:rsidRDefault="008C76E0" w:rsidP="00486B34">
      <w:pPr>
        <w:spacing w:after="160" w:line="360" w:lineRule="auto"/>
        <w:jc w:val="both"/>
        <w:rPr>
          <w:rFonts w:ascii="Sylfaen" w:hAnsi="Sylfaen"/>
          <w:sz w:val="24"/>
          <w:szCs w:val="24"/>
        </w:rPr>
      </w:pPr>
      <w:r w:rsidRPr="00BD7577">
        <w:rPr>
          <w:rFonts w:ascii="Sylfaen" w:hAnsi="Sylfaen"/>
          <w:sz w:val="24"/>
          <w:szCs w:val="24"/>
        </w:rPr>
        <w:lastRenderedPageBreak/>
        <w:t>ՎԱՐՉԱԿԱՆ ՏԵՂԵԿԱՏՎՈՒԹՅՈՒՆ</w:t>
      </w:r>
    </w:p>
    <w:tbl>
      <w:tblPr>
        <w:tblW w:w="9746" w:type="dxa"/>
        <w:jc w:val="center"/>
        <w:tblLayout w:type="fixed"/>
        <w:tblCellMar>
          <w:left w:w="0" w:type="dxa"/>
          <w:right w:w="0" w:type="dxa"/>
        </w:tblCellMar>
        <w:tblLook w:val="01E0" w:firstRow="1" w:lastRow="1" w:firstColumn="1" w:lastColumn="1" w:noHBand="0" w:noVBand="0"/>
      </w:tblPr>
      <w:tblGrid>
        <w:gridCol w:w="5434"/>
        <w:gridCol w:w="4312"/>
      </w:tblGrid>
      <w:tr w:rsidR="008C76E0" w:rsidRPr="00BD7577" w14:paraId="2BE2DF84" w14:textId="77777777" w:rsidTr="008C76E0">
        <w:trPr>
          <w:jc w:val="center"/>
        </w:trPr>
        <w:tc>
          <w:tcPr>
            <w:tcW w:w="5434" w:type="dxa"/>
            <w:tcBorders>
              <w:top w:val="single" w:sz="4" w:space="0" w:color="000000"/>
              <w:left w:val="single" w:sz="4" w:space="0" w:color="000000"/>
              <w:bottom w:val="single" w:sz="6" w:space="0" w:color="000000"/>
              <w:right w:val="single" w:sz="6" w:space="0" w:color="000000"/>
            </w:tcBorders>
          </w:tcPr>
          <w:p w14:paraId="06405944" w14:textId="77777777" w:rsidR="008C76E0" w:rsidRPr="00BD7577" w:rsidRDefault="008C76E0" w:rsidP="008C76E0">
            <w:pPr>
              <w:spacing w:after="120" w:line="240" w:lineRule="auto"/>
              <w:ind w:left="102" w:right="28"/>
              <w:jc w:val="both"/>
              <w:rPr>
                <w:rFonts w:ascii="Sylfaen" w:eastAsia="Times New Roman" w:hAnsi="Sylfaen" w:cs="Times New Roman"/>
                <w:sz w:val="24"/>
                <w:szCs w:val="24"/>
              </w:rPr>
            </w:pPr>
            <w:r w:rsidRPr="00BD7577">
              <w:rPr>
                <w:rFonts w:ascii="Sylfaen" w:hAnsi="Sylfaen"/>
                <w:sz w:val="24"/>
                <w:szCs w:val="24"/>
              </w:rPr>
              <w:t>Գրանցման համար հայտի նույնականացման համարը՝</w:t>
            </w:r>
          </w:p>
        </w:tc>
        <w:tc>
          <w:tcPr>
            <w:tcW w:w="4312" w:type="dxa"/>
            <w:tcBorders>
              <w:top w:val="single" w:sz="4" w:space="0" w:color="000000"/>
              <w:left w:val="single" w:sz="6" w:space="0" w:color="000000"/>
              <w:bottom w:val="single" w:sz="6" w:space="0" w:color="000000"/>
              <w:right w:val="single" w:sz="4" w:space="0" w:color="000000"/>
            </w:tcBorders>
          </w:tcPr>
          <w:p w14:paraId="6DAD4953" w14:textId="77777777" w:rsidR="008C76E0" w:rsidRPr="00BD7577" w:rsidRDefault="008C76E0" w:rsidP="008C76E0">
            <w:pPr>
              <w:spacing w:after="120" w:line="240" w:lineRule="auto"/>
              <w:rPr>
                <w:rFonts w:ascii="Sylfaen" w:hAnsi="Sylfaen"/>
                <w:sz w:val="24"/>
                <w:szCs w:val="24"/>
              </w:rPr>
            </w:pPr>
          </w:p>
        </w:tc>
      </w:tr>
      <w:tr w:rsidR="008C76E0" w:rsidRPr="00BD7577" w14:paraId="350A0038"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39A58B78" w14:textId="77777777" w:rsidR="008C76E0" w:rsidRPr="00BD7577" w:rsidRDefault="008C76E0" w:rsidP="008C76E0">
            <w:pPr>
              <w:spacing w:after="120" w:line="240" w:lineRule="auto"/>
              <w:ind w:left="102" w:right="27"/>
              <w:jc w:val="both"/>
              <w:rPr>
                <w:rFonts w:ascii="Sylfaen" w:eastAsia="Times New Roman" w:hAnsi="Sylfaen" w:cs="Times New Roman"/>
                <w:sz w:val="24"/>
                <w:szCs w:val="24"/>
              </w:rPr>
            </w:pPr>
            <w:r w:rsidRPr="00BD7577">
              <w:rPr>
                <w:rFonts w:ascii="Sylfaen" w:hAnsi="Sylfaen"/>
                <w:sz w:val="24"/>
                <w:szCs w:val="24"/>
              </w:rPr>
              <w:t>Դեղամիջոցի առ</w:t>
            </w:r>
            <w:r w:rsidR="00C54D75">
              <w:rPr>
                <w:rFonts w:ascii="Sylfaen" w:hAnsi="Sylfaen"/>
                <w:sz w:val="24"/>
                <w:szCs w:val="24"/>
              </w:rPr>
              <w:t>և</w:t>
            </w:r>
            <w:r w:rsidRPr="00BD7577">
              <w:rPr>
                <w:rFonts w:ascii="Sylfaen" w:hAnsi="Sylfaen"/>
                <w:sz w:val="24"/>
                <w:szCs w:val="24"/>
              </w:rPr>
              <w:t>տրային անվանումը՝</w:t>
            </w:r>
          </w:p>
        </w:tc>
        <w:tc>
          <w:tcPr>
            <w:tcW w:w="4312" w:type="dxa"/>
            <w:tcBorders>
              <w:top w:val="single" w:sz="6" w:space="0" w:color="000000"/>
              <w:left w:val="single" w:sz="6" w:space="0" w:color="000000"/>
              <w:bottom w:val="single" w:sz="6" w:space="0" w:color="000000"/>
              <w:right w:val="single" w:sz="4" w:space="0" w:color="000000"/>
            </w:tcBorders>
          </w:tcPr>
          <w:p w14:paraId="1EE43D22" w14:textId="77777777" w:rsidR="008C76E0" w:rsidRPr="00BD7577" w:rsidRDefault="008C76E0" w:rsidP="008C76E0">
            <w:pPr>
              <w:spacing w:after="120" w:line="240" w:lineRule="auto"/>
              <w:rPr>
                <w:rFonts w:ascii="Sylfaen" w:hAnsi="Sylfaen"/>
                <w:sz w:val="24"/>
                <w:szCs w:val="24"/>
              </w:rPr>
            </w:pPr>
          </w:p>
        </w:tc>
      </w:tr>
      <w:tr w:rsidR="008C76E0" w:rsidRPr="00BD7577" w14:paraId="56B0428F"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5BB72707" w14:textId="77777777" w:rsidR="008C76E0" w:rsidRPr="00BD7577" w:rsidRDefault="008C76E0" w:rsidP="008C76E0">
            <w:pPr>
              <w:spacing w:after="120" w:line="240" w:lineRule="auto"/>
              <w:ind w:left="102" w:right="24"/>
              <w:jc w:val="both"/>
              <w:rPr>
                <w:rFonts w:ascii="Sylfaen" w:eastAsia="Times New Roman" w:hAnsi="Sylfaen" w:cs="Times New Roman"/>
                <w:sz w:val="24"/>
                <w:szCs w:val="24"/>
              </w:rPr>
            </w:pPr>
            <w:r w:rsidRPr="00BD7577">
              <w:rPr>
                <w:rFonts w:ascii="Sylfaen" w:hAnsi="Sylfaen"/>
                <w:sz w:val="24"/>
                <w:szCs w:val="24"/>
              </w:rPr>
              <w:t>Միջազգային չարտոնագրված անվանումը (ՄՉԱ) կամ ազդող նյութի (նյութերի) համընդհանուր անվանումը՝</w:t>
            </w:r>
          </w:p>
        </w:tc>
        <w:tc>
          <w:tcPr>
            <w:tcW w:w="4312" w:type="dxa"/>
            <w:tcBorders>
              <w:top w:val="single" w:sz="6" w:space="0" w:color="000000"/>
              <w:left w:val="single" w:sz="6" w:space="0" w:color="000000"/>
              <w:bottom w:val="single" w:sz="6" w:space="0" w:color="000000"/>
              <w:right w:val="single" w:sz="4" w:space="0" w:color="000000"/>
            </w:tcBorders>
          </w:tcPr>
          <w:p w14:paraId="1C612AB6" w14:textId="77777777" w:rsidR="008C76E0" w:rsidRPr="00BD7577" w:rsidRDefault="008C76E0" w:rsidP="008C76E0">
            <w:pPr>
              <w:spacing w:after="120" w:line="240" w:lineRule="auto"/>
              <w:rPr>
                <w:rFonts w:ascii="Sylfaen" w:hAnsi="Sylfaen"/>
                <w:sz w:val="24"/>
                <w:szCs w:val="24"/>
              </w:rPr>
            </w:pPr>
          </w:p>
        </w:tc>
      </w:tr>
      <w:tr w:rsidR="008C76E0" w:rsidRPr="00BD7577" w14:paraId="272E486E"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42F65BDD" w14:textId="77777777" w:rsidR="008C76E0" w:rsidRPr="00BD7577" w:rsidRDefault="008C76E0" w:rsidP="008C76E0">
            <w:pPr>
              <w:spacing w:after="120" w:line="240" w:lineRule="auto"/>
              <w:ind w:left="102" w:right="-20"/>
              <w:jc w:val="both"/>
              <w:rPr>
                <w:rFonts w:ascii="Sylfaen" w:eastAsia="Times New Roman" w:hAnsi="Sylfaen" w:cs="Times New Roman"/>
                <w:sz w:val="24"/>
                <w:szCs w:val="24"/>
              </w:rPr>
            </w:pPr>
            <w:r w:rsidRPr="00BD7577">
              <w:rPr>
                <w:rFonts w:ascii="Sylfaen" w:hAnsi="Sylfaen"/>
                <w:sz w:val="24"/>
                <w:szCs w:val="24"/>
              </w:rPr>
              <w:t>Հայտատուն՝</w:t>
            </w:r>
          </w:p>
        </w:tc>
        <w:tc>
          <w:tcPr>
            <w:tcW w:w="4312" w:type="dxa"/>
            <w:tcBorders>
              <w:top w:val="single" w:sz="6" w:space="0" w:color="000000"/>
              <w:left w:val="single" w:sz="6" w:space="0" w:color="000000"/>
              <w:bottom w:val="single" w:sz="6" w:space="0" w:color="000000"/>
              <w:right w:val="single" w:sz="4" w:space="0" w:color="000000"/>
            </w:tcBorders>
          </w:tcPr>
          <w:p w14:paraId="002F070E" w14:textId="77777777" w:rsidR="008C76E0" w:rsidRPr="00BD7577" w:rsidRDefault="008C76E0" w:rsidP="008C76E0">
            <w:pPr>
              <w:spacing w:after="120" w:line="240" w:lineRule="auto"/>
              <w:rPr>
                <w:rFonts w:ascii="Sylfaen" w:hAnsi="Sylfaen"/>
                <w:sz w:val="24"/>
                <w:szCs w:val="24"/>
              </w:rPr>
            </w:pPr>
          </w:p>
        </w:tc>
      </w:tr>
      <w:tr w:rsidR="008C76E0" w:rsidRPr="00BD7577" w14:paraId="221E0FA0"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359D5B1C" w14:textId="77777777" w:rsidR="008C76E0" w:rsidRPr="00BD7577" w:rsidRDefault="008C76E0" w:rsidP="008C76E0">
            <w:pPr>
              <w:spacing w:after="120" w:line="240" w:lineRule="auto"/>
              <w:ind w:left="102" w:right="-20"/>
              <w:jc w:val="both"/>
              <w:rPr>
                <w:rFonts w:ascii="Sylfaen" w:eastAsia="Times New Roman" w:hAnsi="Sylfaen" w:cs="Times New Roman"/>
                <w:sz w:val="24"/>
                <w:szCs w:val="24"/>
              </w:rPr>
            </w:pPr>
            <w:r w:rsidRPr="00BD7577">
              <w:rPr>
                <w:rFonts w:ascii="Sylfaen" w:hAnsi="Sylfaen"/>
                <w:sz w:val="24"/>
                <w:szCs w:val="24"/>
              </w:rPr>
              <w:t>Կիրառման հայտագրված ցուցումները՝</w:t>
            </w:r>
          </w:p>
        </w:tc>
        <w:tc>
          <w:tcPr>
            <w:tcW w:w="4312" w:type="dxa"/>
            <w:tcBorders>
              <w:top w:val="single" w:sz="6" w:space="0" w:color="000000"/>
              <w:left w:val="single" w:sz="6" w:space="0" w:color="000000"/>
              <w:bottom w:val="single" w:sz="6" w:space="0" w:color="000000"/>
              <w:right w:val="single" w:sz="4" w:space="0" w:color="000000"/>
            </w:tcBorders>
          </w:tcPr>
          <w:p w14:paraId="70BD1D68" w14:textId="77777777" w:rsidR="008C76E0" w:rsidRPr="00BD7577" w:rsidRDefault="008C76E0" w:rsidP="008C76E0">
            <w:pPr>
              <w:spacing w:after="120" w:line="240" w:lineRule="auto"/>
              <w:rPr>
                <w:rFonts w:ascii="Sylfaen" w:hAnsi="Sylfaen"/>
                <w:sz w:val="24"/>
                <w:szCs w:val="24"/>
              </w:rPr>
            </w:pPr>
          </w:p>
        </w:tc>
      </w:tr>
      <w:tr w:rsidR="008C76E0" w:rsidRPr="00BD7577" w14:paraId="1B1D50E3"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764A35E1" w14:textId="77777777" w:rsidR="008C76E0" w:rsidRPr="00BD7577" w:rsidRDefault="008C76E0" w:rsidP="008C76E0">
            <w:pPr>
              <w:spacing w:after="120" w:line="240" w:lineRule="auto"/>
              <w:ind w:left="102" w:right="-20"/>
              <w:jc w:val="both"/>
              <w:rPr>
                <w:rFonts w:ascii="Sylfaen" w:eastAsia="Times New Roman" w:hAnsi="Sylfaen" w:cs="Times New Roman"/>
                <w:sz w:val="24"/>
                <w:szCs w:val="24"/>
              </w:rPr>
            </w:pPr>
            <w:r w:rsidRPr="00BD7577">
              <w:rPr>
                <w:rFonts w:ascii="Sylfaen" w:hAnsi="Sylfaen"/>
                <w:sz w:val="24"/>
                <w:szCs w:val="24"/>
              </w:rPr>
              <w:t>Դեղաթերապ</w:t>
            </w:r>
            <w:r w:rsidR="00C54D75">
              <w:rPr>
                <w:rFonts w:ascii="Sylfaen" w:hAnsi="Sylfaen"/>
                <w:sz w:val="24"/>
                <w:szCs w:val="24"/>
              </w:rPr>
              <w:t>և</w:t>
            </w:r>
            <w:r w:rsidRPr="00BD7577">
              <w:rPr>
                <w:rFonts w:ascii="Sylfaen" w:hAnsi="Sylfaen"/>
                <w:sz w:val="24"/>
                <w:szCs w:val="24"/>
              </w:rPr>
              <w:t>տիկ խումբը (ԱԲՔ ծածկագիր)՝</w:t>
            </w:r>
          </w:p>
        </w:tc>
        <w:tc>
          <w:tcPr>
            <w:tcW w:w="4312" w:type="dxa"/>
            <w:tcBorders>
              <w:top w:val="single" w:sz="6" w:space="0" w:color="000000"/>
              <w:left w:val="single" w:sz="6" w:space="0" w:color="000000"/>
              <w:bottom w:val="single" w:sz="6" w:space="0" w:color="000000"/>
              <w:right w:val="single" w:sz="4" w:space="0" w:color="000000"/>
            </w:tcBorders>
          </w:tcPr>
          <w:p w14:paraId="1801E0E4" w14:textId="77777777" w:rsidR="008C76E0" w:rsidRPr="00BD7577" w:rsidRDefault="008C76E0" w:rsidP="008C76E0">
            <w:pPr>
              <w:spacing w:after="120" w:line="240" w:lineRule="auto"/>
              <w:rPr>
                <w:rFonts w:ascii="Sylfaen" w:hAnsi="Sylfaen"/>
                <w:sz w:val="24"/>
                <w:szCs w:val="24"/>
              </w:rPr>
            </w:pPr>
          </w:p>
        </w:tc>
      </w:tr>
      <w:tr w:rsidR="008C76E0" w:rsidRPr="00BD7577" w14:paraId="6AA41568" w14:textId="77777777" w:rsidTr="008C76E0">
        <w:trPr>
          <w:jc w:val="center"/>
        </w:trPr>
        <w:tc>
          <w:tcPr>
            <w:tcW w:w="5434" w:type="dxa"/>
            <w:tcBorders>
              <w:top w:val="single" w:sz="6" w:space="0" w:color="000000"/>
              <w:left w:val="single" w:sz="4" w:space="0" w:color="000000"/>
              <w:bottom w:val="single" w:sz="6" w:space="0" w:color="000000"/>
              <w:right w:val="single" w:sz="6" w:space="0" w:color="000000"/>
            </w:tcBorders>
          </w:tcPr>
          <w:p w14:paraId="4EB4E7EF" w14:textId="77777777" w:rsidR="008C76E0" w:rsidRPr="00BD7577" w:rsidRDefault="008C76E0" w:rsidP="008C76E0">
            <w:pPr>
              <w:spacing w:after="120" w:line="240" w:lineRule="auto"/>
              <w:ind w:left="102" w:right="-20"/>
              <w:jc w:val="both"/>
              <w:rPr>
                <w:rFonts w:ascii="Sylfaen" w:eastAsia="Times New Roman" w:hAnsi="Sylfaen" w:cs="Times New Roman"/>
                <w:sz w:val="24"/>
                <w:szCs w:val="24"/>
              </w:rPr>
            </w:pPr>
            <w:r w:rsidRPr="00BD7577">
              <w:rPr>
                <w:rFonts w:ascii="Sylfaen" w:hAnsi="Sylfaen"/>
                <w:sz w:val="24"/>
                <w:szCs w:val="24"/>
              </w:rPr>
              <w:t>Դեղաձ</w:t>
            </w:r>
            <w:r w:rsidR="00C54D75">
              <w:rPr>
                <w:rFonts w:ascii="Sylfaen" w:hAnsi="Sylfaen"/>
                <w:sz w:val="24"/>
                <w:szCs w:val="24"/>
              </w:rPr>
              <w:t>և</w:t>
            </w:r>
            <w:r w:rsidRPr="00BD7577">
              <w:rPr>
                <w:rFonts w:ascii="Sylfaen" w:hAnsi="Sylfaen"/>
                <w:sz w:val="24"/>
                <w:szCs w:val="24"/>
              </w:rPr>
              <w:t xml:space="preserve">ը </w:t>
            </w:r>
            <w:r w:rsidR="00C54D75">
              <w:rPr>
                <w:rFonts w:ascii="Sylfaen" w:hAnsi="Sylfaen"/>
                <w:sz w:val="24"/>
                <w:szCs w:val="24"/>
              </w:rPr>
              <w:t>և</w:t>
            </w:r>
            <w:r w:rsidRPr="00BD7577">
              <w:rPr>
                <w:rFonts w:ascii="Sylfaen" w:hAnsi="Sylfaen"/>
                <w:sz w:val="24"/>
                <w:szCs w:val="24"/>
              </w:rPr>
              <w:t xml:space="preserve"> դոզան (դոզաները)՝</w:t>
            </w:r>
          </w:p>
        </w:tc>
        <w:tc>
          <w:tcPr>
            <w:tcW w:w="4312" w:type="dxa"/>
            <w:tcBorders>
              <w:top w:val="single" w:sz="6" w:space="0" w:color="000000"/>
              <w:left w:val="single" w:sz="6" w:space="0" w:color="000000"/>
              <w:bottom w:val="single" w:sz="6" w:space="0" w:color="000000"/>
              <w:right w:val="single" w:sz="4" w:space="0" w:color="000000"/>
            </w:tcBorders>
          </w:tcPr>
          <w:p w14:paraId="0D32A301" w14:textId="77777777" w:rsidR="008C76E0" w:rsidRPr="00BD7577" w:rsidRDefault="008C76E0" w:rsidP="008C76E0">
            <w:pPr>
              <w:spacing w:after="120" w:line="240" w:lineRule="auto"/>
              <w:rPr>
                <w:rFonts w:ascii="Sylfaen" w:hAnsi="Sylfaen"/>
                <w:sz w:val="24"/>
                <w:szCs w:val="24"/>
              </w:rPr>
            </w:pPr>
          </w:p>
        </w:tc>
      </w:tr>
      <w:tr w:rsidR="008C76E0" w:rsidRPr="00BD7577" w14:paraId="4CAF061E" w14:textId="77777777" w:rsidTr="008C76E0">
        <w:trPr>
          <w:jc w:val="center"/>
        </w:trPr>
        <w:tc>
          <w:tcPr>
            <w:tcW w:w="5434" w:type="dxa"/>
            <w:tcBorders>
              <w:top w:val="single" w:sz="6" w:space="0" w:color="000000"/>
              <w:left w:val="single" w:sz="4" w:space="0" w:color="000000"/>
              <w:bottom w:val="single" w:sz="4" w:space="0" w:color="000000"/>
              <w:right w:val="single" w:sz="6" w:space="0" w:color="000000"/>
            </w:tcBorders>
          </w:tcPr>
          <w:p w14:paraId="33D631E4" w14:textId="77777777" w:rsidR="008C76E0" w:rsidRPr="00BD7577" w:rsidRDefault="008C76E0" w:rsidP="008C76E0">
            <w:pPr>
              <w:spacing w:after="120" w:line="240" w:lineRule="auto"/>
              <w:ind w:left="102" w:right="28"/>
              <w:jc w:val="both"/>
              <w:rPr>
                <w:rFonts w:ascii="Sylfaen" w:eastAsia="Times New Roman" w:hAnsi="Sylfaen" w:cs="Times New Roman"/>
                <w:sz w:val="24"/>
                <w:szCs w:val="24"/>
              </w:rPr>
            </w:pPr>
            <w:r w:rsidRPr="00BD7577">
              <w:rPr>
                <w:rFonts w:ascii="Sylfaen" w:hAnsi="Sylfaen"/>
                <w:sz w:val="24"/>
                <w:szCs w:val="24"/>
              </w:rPr>
              <w:t xml:space="preserve">Զեկուցողի փորձագետների անունները (ներքին փորձագետ </w:t>
            </w:r>
            <w:r w:rsidR="00C54D75">
              <w:rPr>
                <w:rFonts w:ascii="Sylfaen" w:hAnsi="Sylfaen"/>
                <w:sz w:val="24"/>
                <w:szCs w:val="24"/>
              </w:rPr>
              <w:t>և</w:t>
            </w:r>
            <w:r w:rsidRPr="00BD7577">
              <w:rPr>
                <w:rFonts w:ascii="Sylfaen" w:hAnsi="Sylfaen"/>
                <w:sz w:val="24"/>
                <w:szCs w:val="24"/>
              </w:rPr>
              <w:t xml:space="preserve"> անկախ փորձագետ)՝</w:t>
            </w:r>
          </w:p>
        </w:tc>
        <w:tc>
          <w:tcPr>
            <w:tcW w:w="4312" w:type="dxa"/>
            <w:tcBorders>
              <w:top w:val="single" w:sz="6" w:space="0" w:color="000000"/>
              <w:left w:val="single" w:sz="6" w:space="0" w:color="000000"/>
              <w:bottom w:val="single" w:sz="4" w:space="0" w:color="000000"/>
              <w:right w:val="single" w:sz="4" w:space="0" w:color="000000"/>
            </w:tcBorders>
          </w:tcPr>
          <w:p w14:paraId="3B44BC03"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Որակ՝</w:t>
            </w:r>
          </w:p>
          <w:p w14:paraId="56EDA42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Ա.Ա.Հ.՝</w:t>
            </w:r>
          </w:p>
          <w:p w14:paraId="75BFE0B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Հեռախոս (ֆաքս)՝</w:t>
            </w:r>
          </w:p>
          <w:p w14:paraId="5D1D6157" w14:textId="77777777" w:rsidR="008C76E0" w:rsidRPr="00BD7577" w:rsidRDefault="008C76E0" w:rsidP="008C76E0">
            <w:pPr>
              <w:spacing w:after="120" w:line="240" w:lineRule="auto"/>
              <w:ind w:left="100" w:right="-20"/>
              <w:rPr>
                <w:rFonts w:ascii="Sylfaen" w:hAnsi="Sylfaen"/>
                <w:sz w:val="24"/>
                <w:szCs w:val="24"/>
              </w:rPr>
            </w:pPr>
            <w:r w:rsidRPr="00BD7577">
              <w:rPr>
                <w:rFonts w:ascii="Sylfaen" w:hAnsi="Sylfaen"/>
                <w:sz w:val="24"/>
                <w:szCs w:val="24"/>
              </w:rPr>
              <w:t>Էլեկտրոնային փոստի հասցե՝</w:t>
            </w:r>
          </w:p>
          <w:p w14:paraId="4B2C26BD" w14:textId="77777777" w:rsidR="008C76E0" w:rsidRPr="00BD7577" w:rsidRDefault="008C76E0" w:rsidP="008C76E0">
            <w:pPr>
              <w:spacing w:after="120" w:line="240" w:lineRule="auto"/>
              <w:rPr>
                <w:rFonts w:ascii="Sylfaen" w:hAnsi="Sylfaen"/>
                <w:sz w:val="24"/>
                <w:szCs w:val="24"/>
              </w:rPr>
            </w:pPr>
          </w:p>
          <w:p w14:paraId="77D6FC38" w14:textId="77777777" w:rsidR="008C76E0" w:rsidRPr="00BD7577" w:rsidRDefault="008C76E0" w:rsidP="008C76E0">
            <w:pPr>
              <w:spacing w:after="120" w:line="240" w:lineRule="auto"/>
              <w:ind w:left="100" w:right="1611"/>
              <w:rPr>
                <w:rFonts w:ascii="Sylfaen" w:eastAsia="Times New Roman" w:hAnsi="Sylfaen" w:cs="Times New Roman"/>
                <w:sz w:val="24"/>
                <w:szCs w:val="24"/>
              </w:rPr>
            </w:pPr>
            <w:r w:rsidRPr="00BD7577">
              <w:rPr>
                <w:rFonts w:ascii="Sylfaen" w:hAnsi="Sylfaen"/>
                <w:sz w:val="24"/>
                <w:szCs w:val="24"/>
              </w:rPr>
              <w:t>Նախակլինիկական՝ Ա.Ա.Հ.՝</w:t>
            </w:r>
          </w:p>
          <w:p w14:paraId="0D96EF33"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Հեռախոս (ֆաքս)՝</w:t>
            </w:r>
          </w:p>
          <w:p w14:paraId="72633EEE" w14:textId="77777777" w:rsidR="008C76E0" w:rsidRPr="00BD7577" w:rsidRDefault="008C76E0" w:rsidP="008C76E0">
            <w:pPr>
              <w:spacing w:after="120" w:line="240" w:lineRule="auto"/>
              <w:ind w:left="100" w:right="-20"/>
              <w:rPr>
                <w:rFonts w:ascii="Sylfaen" w:hAnsi="Sylfaen"/>
                <w:sz w:val="24"/>
                <w:szCs w:val="24"/>
              </w:rPr>
            </w:pPr>
            <w:r w:rsidRPr="00BD7577">
              <w:rPr>
                <w:rFonts w:ascii="Sylfaen" w:hAnsi="Sylfaen"/>
                <w:sz w:val="24"/>
                <w:szCs w:val="24"/>
              </w:rPr>
              <w:t>Էլեկտրոնային փոստի հասցե՝</w:t>
            </w:r>
          </w:p>
          <w:p w14:paraId="647234A2" w14:textId="77777777" w:rsidR="008C76E0" w:rsidRPr="00BD7577" w:rsidRDefault="008C76E0" w:rsidP="008C76E0">
            <w:pPr>
              <w:spacing w:after="120" w:line="240" w:lineRule="auto"/>
              <w:rPr>
                <w:rFonts w:ascii="Sylfaen" w:hAnsi="Sylfaen"/>
                <w:sz w:val="24"/>
                <w:szCs w:val="24"/>
              </w:rPr>
            </w:pPr>
          </w:p>
          <w:p w14:paraId="0C5A1494" w14:textId="77777777" w:rsidR="008C76E0" w:rsidRPr="00BD7577" w:rsidRDefault="008C76E0" w:rsidP="008C76E0">
            <w:pPr>
              <w:spacing w:after="120" w:line="240" w:lineRule="auto"/>
              <w:ind w:left="100" w:right="2412"/>
              <w:rPr>
                <w:rFonts w:ascii="Sylfaen" w:eastAsia="Times New Roman" w:hAnsi="Sylfaen" w:cs="Times New Roman"/>
                <w:sz w:val="24"/>
                <w:szCs w:val="24"/>
              </w:rPr>
            </w:pPr>
            <w:r w:rsidRPr="00BD7577">
              <w:rPr>
                <w:rFonts w:ascii="Sylfaen" w:hAnsi="Sylfaen"/>
                <w:sz w:val="24"/>
                <w:szCs w:val="24"/>
              </w:rPr>
              <w:t>Կլինիկական՝ Ա.Ա.Հ.՝</w:t>
            </w:r>
          </w:p>
          <w:p w14:paraId="76D4308D"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Հեռախոս (ֆաքս)՝</w:t>
            </w:r>
          </w:p>
          <w:p w14:paraId="455799AB" w14:textId="77777777" w:rsidR="008C76E0" w:rsidRPr="00BD7577" w:rsidRDefault="008C76E0" w:rsidP="008C76E0">
            <w:pPr>
              <w:spacing w:after="120" w:line="240" w:lineRule="auto"/>
              <w:ind w:left="100" w:right="-20"/>
              <w:rPr>
                <w:rFonts w:ascii="Sylfaen" w:eastAsia="Times New Roman" w:hAnsi="Sylfaen" w:cs="Times New Roman"/>
                <w:sz w:val="24"/>
                <w:szCs w:val="24"/>
              </w:rPr>
            </w:pPr>
            <w:r w:rsidRPr="00BD7577">
              <w:rPr>
                <w:rFonts w:ascii="Sylfaen" w:hAnsi="Sylfaen"/>
                <w:sz w:val="24"/>
                <w:szCs w:val="24"/>
              </w:rPr>
              <w:t>Էլեկտրոնային փոստի հասցե՝</w:t>
            </w:r>
          </w:p>
        </w:tc>
      </w:tr>
    </w:tbl>
    <w:p w14:paraId="718A944C" w14:textId="77777777" w:rsidR="008C76E0" w:rsidRDefault="008C76E0" w:rsidP="008C76E0">
      <w:pPr>
        <w:ind w:right="-20"/>
        <w:jc w:val="both"/>
        <w:rPr>
          <w:rFonts w:ascii="Sylfaen" w:hAnsi="Sylfaen"/>
          <w:sz w:val="24"/>
          <w:szCs w:val="24"/>
          <w:lang w:val="en-US"/>
        </w:rPr>
      </w:pPr>
    </w:p>
    <w:p w14:paraId="6C681AEC" w14:textId="77777777" w:rsidR="008C76E0" w:rsidRPr="00BD7577" w:rsidRDefault="008C76E0" w:rsidP="00486B34">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t>Հապավումների ցանկ։</w:t>
      </w:r>
    </w:p>
    <w:p w14:paraId="70DDBE8D" w14:textId="77777777" w:rsidR="008C76E0" w:rsidRPr="00BD7577" w:rsidRDefault="008C76E0" w:rsidP="008C76E0">
      <w:pPr>
        <w:rPr>
          <w:rFonts w:ascii="Sylfaen" w:eastAsia="Times New Roman" w:hAnsi="Sylfaen" w:cs="Times New Roman"/>
          <w:sz w:val="24"/>
          <w:szCs w:val="24"/>
        </w:rPr>
      </w:pPr>
      <w:r w:rsidRPr="00BD7577">
        <w:rPr>
          <w:rFonts w:ascii="Sylfaen" w:hAnsi="Sylfaen"/>
          <w:sz w:val="24"/>
          <w:szCs w:val="24"/>
        </w:rPr>
        <w:br w:type="page"/>
      </w:r>
    </w:p>
    <w:p w14:paraId="05E419F1" w14:textId="77777777" w:rsidR="008C76E0" w:rsidRPr="00BD7577" w:rsidRDefault="008C76E0" w:rsidP="001C3278">
      <w:pPr>
        <w:spacing w:after="160" w:line="360" w:lineRule="auto"/>
        <w:ind w:left="567" w:right="566"/>
        <w:jc w:val="center"/>
        <w:rPr>
          <w:rFonts w:ascii="Sylfaen" w:eastAsia="Times New Roman" w:hAnsi="Sylfaen" w:cs="Times New Roman"/>
          <w:sz w:val="24"/>
          <w:szCs w:val="24"/>
        </w:rPr>
      </w:pPr>
      <w:r w:rsidRPr="00BD7577">
        <w:rPr>
          <w:rFonts w:ascii="Sylfaen" w:hAnsi="Sylfaen"/>
          <w:sz w:val="24"/>
          <w:szCs w:val="24"/>
        </w:rPr>
        <w:lastRenderedPageBreak/>
        <w:t>ՆԱԽԱԿԼԻՆԻԿԱԿԱՆ (ՈՉ ԿԼԻՆԻԿԱԿԱՆ) ԱՍՊԵԿՏՆԵՐԻ ՓՈՐՁԱՔՆՆՈՒԹՅՈՒՆԸ</w:t>
      </w:r>
    </w:p>
    <w:p w14:paraId="1AC3E9A0" w14:textId="77777777" w:rsidR="008C76E0" w:rsidRPr="00BD7577" w:rsidRDefault="008C76E0" w:rsidP="001C3278">
      <w:pPr>
        <w:tabs>
          <w:tab w:val="left" w:pos="1134"/>
        </w:tabs>
        <w:spacing w:after="160" w:line="360" w:lineRule="auto"/>
        <w:ind w:right="-20" w:firstLine="567"/>
        <w:jc w:val="both"/>
        <w:rPr>
          <w:rFonts w:ascii="Sylfaen" w:hAnsi="Sylfaen"/>
          <w:sz w:val="24"/>
          <w:szCs w:val="24"/>
        </w:rPr>
      </w:pPr>
      <w:r w:rsidRPr="00BD7577">
        <w:rPr>
          <w:rFonts w:ascii="Sylfaen" w:hAnsi="Sylfaen"/>
          <w:sz w:val="24"/>
          <w:szCs w:val="24"/>
        </w:rPr>
        <w:t>1.</w:t>
      </w:r>
      <w:r w:rsidRPr="00BD7577">
        <w:rPr>
          <w:rFonts w:ascii="Sylfaen" w:hAnsi="Sylfaen"/>
          <w:sz w:val="24"/>
          <w:szCs w:val="24"/>
        </w:rPr>
        <w:tab/>
        <w:t>Ներածություն:</w:t>
      </w:r>
    </w:p>
    <w:p w14:paraId="68E66601" w14:textId="77777777" w:rsidR="008C76E0" w:rsidRPr="00BD7577" w:rsidRDefault="008C76E0" w:rsidP="001C3278">
      <w:pPr>
        <w:tabs>
          <w:tab w:val="left" w:pos="1134"/>
        </w:tabs>
        <w:spacing w:after="160" w:line="360" w:lineRule="auto"/>
        <w:ind w:right="-20" w:firstLine="567"/>
        <w:jc w:val="both"/>
        <w:rPr>
          <w:rFonts w:ascii="Sylfaen" w:hAnsi="Sylfaen"/>
          <w:sz w:val="24"/>
          <w:szCs w:val="24"/>
        </w:rPr>
      </w:pPr>
      <w:r w:rsidRPr="00BD7577">
        <w:rPr>
          <w:rFonts w:ascii="Sylfaen" w:hAnsi="Sylfaen"/>
          <w:sz w:val="24"/>
          <w:szCs w:val="24"/>
        </w:rPr>
        <w:t>1.1.</w:t>
      </w:r>
      <w:r w:rsidRPr="00BD7577">
        <w:rPr>
          <w:rFonts w:ascii="Sylfaen" w:hAnsi="Sylfaen"/>
          <w:sz w:val="24"/>
          <w:szCs w:val="24"/>
        </w:rPr>
        <w:tab/>
        <w:t xml:space="preserve">Հայտի տեսակը </w:t>
      </w:r>
      <w:r w:rsidR="00C54D75">
        <w:rPr>
          <w:rFonts w:ascii="Sylfaen" w:hAnsi="Sylfaen"/>
          <w:sz w:val="24"/>
          <w:szCs w:val="24"/>
        </w:rPr>
        <w:t>և</w:t>
      </w:r>
      <w:r w:rsidRPr="00BD7577">
        <w:rPr>
          <w:rFonts w:ascii="Sylfaen" w:hAnsi="Sylfaen"/>
          <w:sz w:val="24"/>
          <w:szCs w:val="24"/>
        </w:rPr>
        <w:t xml:space="preserve"> մշակման ասպեկտները:</w:t>
      </w:r>
    </w:p>
    <w:p w14:paraId="69E42E1F" w14:textId="77777777" w:rsidR="008C76E0" w:rsidRPr="00BD7577" w:rsidRDefault="008C76E0" w:rsidP="001C3278">
      <w:pPr>
        <w:tabs>
          <w:tab w:val="left" w:pos="1134"/>
        </w:tabs>
        <w:spacing w:after="160" w:line="360" w:lineRule="auto"/>
        <w:ind w:right="-20" w:firstLine="567"/>
        <w:jc w:val="both"/>
        <w:rPr>
          <w:rFonts w:ascii="Sylfaen" w:hAnsi="Sylfaen"/>
          <w:sz w:val="24"/>
          <w:szCs w:val="24"/>
        </w:rPr>
      </w:pPr>
      <w:r w:rsidRPr="00BD7577">
        <w:rPr>
          <w:rFonts w:ascii="Sylfaen" w:hAnsi="Sylfaen"/>
          <w:sz w:val="24"/>
          <w:szCs w:val="24"/>
        </w:rPr>
        <w:t>1.2.</w:t>
      </w:r>
      <w:r w:rsidRPr="00BD7577">
        <w:rPr>
          <w:rFonts w:ascii="Sylfaen" w:hAnsi="Sylfaen"/>
          <w:sz w:val="24"/>
          <w:szCs w:val="24"/>
        </w:rPr>
        <w:tab/>
        <w:t>Պատշաճ լաբորատոր գործելակերպի ասպեկտները:</w:t>
      </w:r>
    </w:p>
    <w:p w14:paraId="71CA3B78" w14:textId="77777777" w:rsidR="008C76E0" w:rsidRPr="00BD7577" w:rsidRDefault="008C76E0" w:rsidP="001C3278">
      <w:pPr>
        <w:tabs>
          <w:tab w:val="left" w:pos="1134"/>
        </w:tabs>
        <w:spacing w:after="160" w:line="360" w:lineRule="auto"/>
        <w:ind w:right="-20" w:firstLine="567"/>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 xml:space="preserve">Դեղաբանություն (2.6.2 </w:t>
      </w:r>
      <w:r w:rsidR="00C54D75">
        <w:rPr>
          <w:rFonts w:ascii="Sylfaen" w:hAnsi="Sylfaen"/>
          <w:sz w:val="24"/>
          <w:szCs w:val="24"/>
        </w:rPr>
        <w:t>և</w:t>
      </w:r>
      <w:r w:rsidRPr="00BD7577">
        <w:rPr>
          <w:rFonts w:ascii="Sylfaen" w:hAnsi="Sylfaen"/>
          <w:sz w:val="24"/>
          <w:szCs w:val="24"/>
        </w:rPr>
        <w:t xml:space="preserve"> 4.2.1 մոդուլներ): </w:t>
      </w:r>
    </w:p>
    <w:p w14:paraId="76584D1F"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Համառոտ նկարագրություն:</w:t>
      </w:r>
    </w:p>
    <w:tbl>
      <w:tblPr>
        <w:tblStyle w:val="TableGrid"/>
        <w:tblW w:w="9292" w:type="dxa"/>
        <w:jc w:val="center"/>
        <w:tblLook w:val="04A0" w:firstRow="1" w:lastRow="0" w:firstColumn="1" w:lastColumn="0" w:noHBand="0" w:noVBand="1"/>
      </w:tblPr>
      <w:tblGrid>
        <w:gridCol w:w="9292"/>
      </w:tblGrid>
      <w:tr w:rsidR="008C76E0" w:rsidRPr="00BD7577" w14:paraId="1D64164B" w14:textId="77777777" w:rsidTr="008C76E0">
        <w:trPr>
          <w:jc w:val="center"/>
        </w:trPr>
        <w:tc>
          <w:tcPr>
            <w:tcW w:w="9292" w:type="dxa"/>
          </w:tcPr>
          <w:p w14:paraId="34939912" w14:textId="77777777" w:rsidR="008C76E0" w:rsidRPr="00BD7577" w:rsidRDefault="008C76E0" w:rsidP="008C76E0">
            <w:pPr>
              <w:spacing w:after="160" w:line="360" w:lineRule="auto"/>
              <w:ind w:right="-23" w:firstLine="6"/>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tc>
      </w:tr>
    </w:tbl>
    <w:p w14:paraId="23B7EB0D" w14:textId="77777777" w:rsidR="008C76E0" w:rsidRPr="00BD7577" w:rsidRDefault="008C76E0" w:rsidP="001C3278">
      <w:pPr>
        <w:spacing w:after="160" w:line="360" w:lineRule="auto"/>
        <w:ind w:firstLine="567"/>
        <w:jc w:val="both"/>
        <w:rPr>
          <w:rFonts w:ascii="Sylfaen" w:hAnsi="Sylfaen"/>
          <w:sz w:val="24"/>
          <w:szCs w:val="24"/>
          <w:lang w:val="en-US"/>
        </w:rPr>
      </w:pPr>
      <w:r w:rsidRPr="00BD7577">
        <w:rPr>
          <w:rFonts w:ascii="Sylfaen" w:hAnsi="Sylfaen"/>
          <w:sz w:val="24"/>
          <w:szCs w:val="24"/>
        </w:rPr>
        <w:t>Ֆիզիկաքիմիական հատկությունները։</w:t>
      </w:r>
    </w:p>
    <w:p w14:paraId="61C12737" w14:textId="77777777" w:rsidR="008C76E0" w:rsidRPr="00BD7577" w:rsidRDefault="008C76E0" w:rsidP="001C3278">
      <w:pPr>
        <w:spacing w:after="160" w:line="360" w:lineRule="auto"/>
        <w:ind w:right="-1" w:firstLine="567"/>
        <w:jc w:val="both"/>
        <w:rPr>
          <w:rFonts w:ascii="Sylfaen" w:hAnsi="Sylfaen"/>
          <w:sz w:val="24"/>
          <w:szCs w:val="24"/>
          <w:lang w:val="en-US"/>
        </w:rPr>
      </w:pPr>
      <w:r w:rsidRPr="00BD7577">
        <w:rPr>
          <w:rFonts w:ascii="Sylfaen" w:hAnsi="Sylfaen"/>
          <w:sz w:val="24"/>
          <w:szCs w:val="24"/>
        </w:rPr>
        <w:t>Ազդող նյութի կառուցվածքը</w:t>
      </w:r>
    </w:p>
    <w:p w14:paraId="4A0A4C7C"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(տեղադրել կառուցվածքը)</w:t>
      </w:r>
    </w:p>
    <w:p w14:paraId="08251348"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Ռադիոակտիվ նշման դիրքը</w:t>
      </w:r>
    </w:p>
    <w:p w14:paraId="116169A8"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(տե՛ս կառուցվածքը)</w:t>
      </w:r>
    </w:p>
    <w:p w14:paraId="611F03DB"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Իզոմերիա</w:t>
      </w:r>
    </w:p>
    <w:p w14:paraId="7DE3E0BD"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Հարաբերական մոլեկուլյար զանգվածը</w:t>
      </w:r>
    </w:p>
    <w:p w14:paraId="2A31C05A"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Լուծելիությունը ջրում</w:t>
      </w:r>
    </w:p>
    <w:p w14:paraId="51AD02C1"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Իոնիզացման հաստատունի ցուցանիշը (ցՀ)</w:t>
      </w:r>
    </w:p>
    <w:p w14:paraId="754F7995"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Տեղաբաշխման գործակիցը</w:t>
      </w:r>
    </w:p>
    <w:p w14:paraId="04F8304F"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Լուծելիությունն օրգանական լուծիչներում</w:t>
      </w:r>
    </w:p>
    <w:p w14:paraId="4061FED2"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Կայունությունը</w:t>
      </w:r>
    </w:p>
    <w:p w14:paraId="0A799A01" w14:textId="77777777" w:rsidR="008C76E0" w:rsidRPr="00BD7577" w:rsidRDefault="008C76E0" w:rsidP="001C3278">
      <w:pPr>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 xml:space="preserve">Ենթադրյալ քիրալությունը </w:t>
      </w:r>
      <w:r w:rsidR="00C54D75">
        <w:rPr>
          <w:rFonts w:ascii="Sylfaen" w:hAnsi="Sylfaen"/>
          <w:sz w:val="24"/>
          <w:szCs w:val="24"/>
        </w:rPr>
        <w:t>և</w:t>
      </w:r>
      <w:r w:rsidRPr="00BD7577">
        <w:rPr>
          <w:rFonts w:ascii="Sylfaen" w:hAnsi="Sylfaen"/>
          <w:sz w:val="24"/>
          <w:szCs w:val="24"/>
        </w:rPr>
        <w:t xml:space="preserve"> դրա էֆեկտները </w:t>
      </w:r>
    </w:p>
    <w:p w14:paraId="7615D86D" w14:textId="77777777" w:rsidR="008C76E0" w:rsidRPr="00BD7577" w:rsidRDefault="008C76E0" w:rsidP="001C3278">
      <w:pPr>
        <w:spacing w:after="160" w:line="360" w:lineRule="auto"/>
        <w:rPr>
          <w:rFonts w:ascii="Sylfaen" w:hAnsi="Sylfaen"/>
          <w:sz w:val="24"/>
          <w:szCs w:val="24"/>
        </w:rPr>
      </w:pPr>
    </w:p>
    <w:tbl>
      <w:tblPr>
        <w:tblStyle w:val="TableGrid"/>
        <w:tblW w:w="0" w:type="auto"/>
        <w:jc w:val="center"/>
        <w:tblLook w:val="04A0" w:firstRow="1" w:lastRow="0" w:firstColumn="1" w:lastColumn="0" w:noHBand="0" w:noVBand="1"/>
      </w:tblPr>
      <w:tblGrid>
        <w:gridCol w:w="9287"/>
      </w:tblGrid>
      <w:tr w:rsidR="008C76E0" w:rsidRPr="00BD7577" w14:paraId="4B0DD177" w14:textId="77777777" w:rsidTr="008C76E0">
        <w:trPr>
          <w:jc w:val="center"/>
        </w:trPr>
        <w:tc>
          <w:tcPr>
            <w:tcW w:w="9674" w:type="dxa"/>
          </w:tcPr>
          <w:p w14:paraId="3F1CB30D" w14:textId="77777777" w:rsidR="008C76E0" w:rsidRPr="00BD7577" w:rsidRDefault="008C76E0" w:rsidP="001C3278">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lastRenderedPageBreak/>
              <w:t>Փորձագետի մեկնաբանությունը</w:t>
            </w:r>
          </w:p>
        </w:tc>
      </w:tr>
    </w:tbl>
    <w:p w14:paraId="6C29909A" w14:textId="77777777" w:rsidR="008C76E0" w:rsidRPr="00BD7577" w:rsidRDefault="008C76E0" w:rsidP="001C3278">
      <w:pPr>
        <w:tabs>
          <w:tab w:val="left" w:pos="1134"/>
        </w:tabs>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2.1.</w:t>
      </w:r>
      <w:r w:rsidRPr="00BD7577">
        <w:rPr>
          <w:rFonts w:ascii="Sylfaen" w:hAnsi="Sylfaen"/>
          <w:sz w:val="24"/>
          <w:szCs w:val="24"/>
        </w:rPr>
        <w:tab/>
        <w:t>Առաջնային դեղադինամիկան:</w:t>
      </w:r>
    </w:p>
    <w:p w14:paraId="119D6400" w14:textId="77777777" w:rsidR="008C76E0" w:rsidRPr="00BD7577" w:rsidRDefault="008C76E0" w:rsidP="001C3278">
      <w:pPr>
        <w:spacing w:after="160" w:line="360" w:lineRule="auto"/>
        <w:ind w:left="102" w:right="-20"/>
        <w:rPr>
          <w:rFonts w:ascii="Sylfaen" w:eastAsia="Times New Roman" w:hAnsi="Sylfaen" w:cs="Times New Roman"/>
          <w:sz w:val="24"/>
          <w:szCs w:val="24"/>
        </w:rPr>
      </w:pPr>
    </w:p>
    <w:tbl>
      <w:tblPr>
        <w:tblStyle w:val="TableGrid"/>
        <w:tblW w:w="0" w:type="auto"/>
        <w:jc w:val="center"/>
        <w:tblLook w:val="04A0" w:firstRow="1" w:lastRow="0" w:firstColumn="1" w:lastColumn="0" w:noHBand="0" w:noVBand="1"/>
      </w:tblPr>
      <w:tblGrid>
        <w:gridCol w:w="9287"/>
      </w:tblGrid>
      <w:tr w:rsidR="008C76E0" w:rsidRPr="00BD7577" w14:paraId="772848CC" w14:textId="77777777" w:rsidTr="008C76E0">
        <w:trPr>
          <w:jc w:val="center"/>
        </w:trPr>
        <w:tc>
          <w:tcPr>
            <w:tcW w:w="9674" w:type="dxa"/>
          </w:tcPr>
          <w:p w14:paraId="5E1217CF" w14:textId="77777777" w:rsidR="008C76E0" w:rsidRPr="00BD7577" w:rsidRDefault="008C76E0" w:rsidP="001C3278">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tc>
      </w:tr>
    </w:tbl>
    <w:p w14:paraId="5F7DA9D3" w14:textId="77777777" w:rsidR="008C76E0" w:rsidRPr="00BD7577" w:rsidRDefault="008C76E0" w:rsidP="001C3278">
      <w:pPr>
        <w:tabs>
          <w:tab w:val="left" w:pos="567"/>
        </w:tabs>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2.2.</w:t>
      </w:r>
      <w:r w:rsidRPr="00BD7577">
        <w:rPr>
          <w:rFonts w:ascii="Sylfaen" w:hAnsi="Sylfaen"/>
          <w:sz w:val="24"/>
          <w:szCs w:val="24"/>
        </w:rPr>
        <w:tab/>
        <w:t xml:space="preserve">Երկրորդային դեղադինամիկան: </w:t>
      </w:r>
    </w:p>
    <w:p w14:paraId="72E8FD42" w14:textId="77777777" w:rsidR="008C76E0" w:rsidRPr="00BD7577" w:rsidRDefault="008C76E0" w:rsidP="001C3278">
      <w:pPr>
        <w:spacing w:after="160" w:line="360" w:lineRule="auto"/>
        <w:ind w:right="-7" w:firstLine="567"/>
        <w:rPr>
          <w:rFonts w:ascii="Sylfaen" w:eastAsia="Times New Roman" w:hAnsi="Sylfaen" w:cs="Times New Roman"/>
          <w:sz w:val="24"/>
          <w:szCs w:val="24"/>
        </w:rPr>
      </w:pPr>
    </w:p>
    <w:tbl>
      <w:tblPr>
        <w:tblStyle w:val="TableGrid"/>
        <w:tblW w:w="0" w:type="auto"/>
        <w:jc w:val="center"/>
        <w:tblLook w:val="04A0" w:firstRow="1" w:lastRow="0" w:firstColumn="1" w:lastColumn="0" w:noHBand="0" w:noVBand="1"/>
      </w:tblPr>
      <w:tblGrid>
        <w:gridCol w:w="9287"/>
      </w:tblGrid>
      <w:tr w:rsidR="008C76E0" w:rsidRPr="00BD7577" w14:paraId="55D1DC98" w14:textId="77777777" w:rsidTr="008C76E0">
        <w:trPr>
          <w:jc w:val="center"/>
        </w:trPr>
        <w:tc>
          <w:tcPr>
            <w:tcW w:w="9674" w:type="dxa"/>
          </w:tcPr>
          <w:p w14:paraId="6F48C59C" w14:textId="77777777" w:rsidR="008C76E0" w:rsidRPr="00BD7577" w:rsidRDefault="008C76E0" w:rsidP="001C3278">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tc>
      </w:tr>
    </w:tbl>
    <w:p w14:paraId="6F0894D9" w14:textId="77777777" w:rsidR="008C76E0" w:rsidRPr="00BD7577" w:rsidRDefault="008C76E0" w:rsidP="001C3278">
      <w:pPr>
        <w:tabs>
          <w:tab w:val="left" w:pos="567"/>
        </w:tabs>
        <w:spacing w:after="160" w:line="360" w:lineRule="auto"/>
        <w:ind w:right="-1" w:firstLine="567"/>
        <w:jc w:val="both"/>
        <w:rPr>
          <w:rFonts w:ascii="Sylfaen" w:eastAsia="Times New Roman" w:hAnsi="Sylfaen" w:cs="Times New Roman"/>
          <w:sz w:val="24"/>
          <w:szCs w:val="24"/>
        </w:rPr>
      </w:pPr>
      <w:r w:rsidRPr="00BD7577">
        <w:rPr>
          <w:rFonts w:ascii="Sylfaen" w:hAnsi="Sylfaen"/>
          <w:sz w:val="24"/>
          <w:szCs w:val="24"/>
        </w:rPr>
        <w:t>2.3.</w:t>
      </w:r>
      <w:r w:rsidRPr="00BD7577">
        <w:rPr>
          <w:rFonts w:ascii="Sylfaen" w:hAnsi="Sylfaen"/>
          <w:sz w:val="24"/>
          <w:szCs w:val="24"/>
        </w:rPr>
        <w:tab/>
        <w:t>Դեղաբանական անվտանգությունը:</w:t>
      </w:r>
    </w:p>
    <w:p w14:paraId="37433CAC" w14:textId="77777777" w:rsidR="008C76E0" w:rsidRPr="00BD7577" w:rsidRDefault="008C76E0" w:rsidP="001C3278">
      <w:pPr>
        <w:spacing w:after="160" w:line="360" w:lineRule="auto"/>
        <w:ind w:firstLine="567"/>
        <w:rPr>
          <w:rFonts w:ascii="Sylfaen" w:hAnsi="Sylfaen"/>
          <w:sz w:val="24"/>
          <w:szCs w:val="24"/>
        </w:rPr>
      </w:pPr>
    </w:p>
    <w:tbl>
      <w:tblPr>
        <w:tblStyle w:val="TableGrid"/>
        <w:tblW w:w="0" w:type="auto"/>
        <w:tblLook w:val="04A0" w:firstRow="1" w:lastRow="0" w:firstColumn="1" w:lastColumn="0" w:noHBand="0" w:noVBand="1"/>
      </w:tblPr>
      <w:tblGrid>
        <w:gridCol w:w="9287"/>
      </w:tblGrid>
      <w:tr w:rsidR="008C76E0" w:rsidRPr="00BD7577" w14:paraId="7DEF09B8" w14:textId="77777777" w:rsidTr="008C76E0">
        <w:tc>
          <w:tcPr>
            <w:tcW w:w="9674" w:type="dxa"/>
          </w:tcPr>
          <w:p w14:paraId="297B656F" w14:textId="77777777" w:rsidR="008C76E0" w:rsidRPr="00BD7577" w:rsidRDefault="008C76E0" w:rsidP="001C3278">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tc>
      </w:tr>
    </w:tbl>
    <w:p w14:paraId="5654D31A" w14:textId="77777777" w:rsidR="008C76E0" w:rsidRPr="00BD7577" w:rsidRDefault="008C76E0" w:rsidP="001C3278">
      <w:pPr>
        <w:tabs>
          <w:tab w:val="left" w:pos="567"/>
        </w:tabs>
        <w:spacing w:after="160" w:line="360" w:lineRule="auto"/>
        <w:ind w:right="-1" w:firstLine="567"/>
        <w:jc w:val="both"/>
        <w:rPr>
          <w:rFonts w:ascii="Sylfaen" w:eastAsia="Times New Roman" w:hAnsi="Sylfaen" w:cs="Times New Roman"/>
          <w:sz w:val="24"/>
          <w:szCs w:val="24"/>
        </w:rPr>
      </w:pPr>
      <w:r>
        <w:rPr>
          <w:rFonts w:ascii="Sylfaen" w:hAnsi="Sylfaen"/>
          <w:sz w:val="24"/>
          <w:szCs w:val="24"/>
        </w:rPr>
        <w:t>2.4.</w:t>
      </w:r>
      <w:r>
        <w:rPr>
          <w:rFonts w:ascii="Sylfaen" w:hAnsi="Sylfaen"/>
          <w:sz w:val="24"/>
          <w:szCs w:val="24"/>
        </w:rPr>
        <w:tab/>
      </w:r>
      <w:r w:rsidRPr="00BD7577">
        <w:rPr>
          <w:rFonts w:ascii="Sylfaen" w:hAnsi="Sylfaen"/>
          <w:sz w:val="24"/>
          <w:szCs w:val="24"/>
        </w:rPr>
        <w:t>Դեղադինամիկ դեղային փոխազդեցությունները:</w:t>
      </w:r>
    </w:p>
    <w:p w14:paraId="0F335EA5" w14:textId="77777777" w:rsidR="008C76E0" w:rsidRPr="00BD7577" w:rsidRDefault="008C76E0" w:rsidP="001C3278">
      <w:pPr>
        <w:spacing w:after="160" w:line="360" w:lineRule="auto"/>
        <w:ind w:firstLine="567"/>
        <w:rPr>
          <w:rFonts w:ascii="Sylfaen" w:hAnsi="Sylfaen"/>
          <w:sz w:val="24"/>
          <w:szCs w:val="24"/>
        </w:rPr>
      </w:pPr>
    </w:p>
    <w:tbl>
      <w:tblPr>
        <w:tblStyle w:val="TableGrid"/>
        <w:tblW w:w="0" w:type="auto"/>
        <w:tblLook w:val="04A0" w:firstRow="1" w:lastRow="0" w:firstColumn="1" w:lastColumn="0" w:noHBand="0" w:noVBand="1"/>
      </w:tblPr>
      <w:tblGrid>
        <w:gridCol w:w="9287"/>
      </w:tblGrid>
      <w:tr w:rsidR="008C76E0" w:rsidRPr="00BD7577" w14:paraId="051C9059" w14:textId="77777777" w:rsidTr="008C76E0">
        <w:tc>
          <w:tcPr>
            <w:tcW w:w="9674" w:type="dxa"/>
          </w:tcPr>
          <w:p w14:paraId="40C29D62" w14:textId="77777777" w:rsidR="008C76E0" w:rsidRPr="00BD7577" w:rsidRDefault="008C76E0" w:rsidP="001C3278">
            <w:pPr>
              <w:spacing w:after="160" w:line="360" w:lineRule="auto"/>
              <w:ind w:right="-23"/>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tc>
      </w:tr>
    </w:tbl>
    <w:p w14:paraId="33DA4E58" w14:textId="77777777" w:rsidR="008C76E0" w:rsidRPr="00BD7577" w:rsidRDefault="008C76E0" w:rsidP="001C3278">
      <w:pPr>
        <w:tabs>
          <w:tab w:val="left" w:pos="567"/>
        </w:tabs>
        <w:spacing w:after="160" w:line="360" w:lineRule="auto"/>
        <w:ind w:right="-1" w:firstLine="567"/>
        <w:jc w:val="both"/>
        <w:rPr>
          <w:rFonts w:ascii="Sylfaen" w:hAnsi="Sylfaen"/>
          <w:sz w:val="24"/>
          <w:szCs w:val="24"/>
        </w:rPr>
      </w:pPr>
      <w:r>
        <w:rPr>
          <w:rFonts w:ascii="Sylfaen" w:hAnsi="Sylfaen"/>
          <w:sz w:val="24"/>
          <w:szCs w:val="24"/>
        </w:rPr>
        <w:t>2.5.</w:t>
      </w:r>
      <w:r w:rsidRPr="00BD7577">
        <w:rPr>
          <w:rFonts w:ascii="Sylfaen" w:hAnsi="Sylfaen"/>
          <w:sz w:val="24"/>
          <w:szCs w:val="24"/>
        </w:rPr>
        <w:tab/>
        <w:t>Դեղաբանության գծով փորձագետի ընդհանուր եզրակացությունը:</w:t>
      </w:r>
    </w:p>
    <w:p w14:paraId="58FC5FA8" w14:textId="77777777" w:rsidR="008C76E0" w:rsidRPr="00BD7577" w:rsidRDefault="008C76E0" w:rsidP="001C3278">
      <w:pPr>
        <w:tabs>
          <w:tab w:val="left" w:pos="1134"/>
        </w:tabs>
        <w:spacing w:after="160" w:line="360" w:lineRule="auto"/>
        <w:ind w:right="-1" w:firstLine="567"/>
        <w:rPr>
          <w:rFonts w:ascii="Sylfaen" w:hAnsi="Sylfaen"/>
          <w:sz w:val="24"/>
          <w:szCs w:val="24"/>
        </w:rPr>
      </w:pPr>
    </w:p>
    <w:p w14:paraId="64EE9A21" w14:textId="77777777" w:rsidR="008C76E0" w:rsidRPr="00BD7577" w:rsidRDefault="008C76E0" w:rsidP="001C3278">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jc w:val="both"/>
        <w:rPr>
          <w:rFonts w:ascii="Sylfaen" w:eastAsia="Times New Roman" w:hAnsi="Sylfaen" w:cs="Times New Roman"/>
          <w:sz w:val="24"/>
          <w:szCs w:val="24"/>
        </w:rPr>
      </w:pPr>
      <w:r w:rsidRPr="00BD7577">
        <w:rPr>
          <w:rFonts w:ascii="Sylfaen" w:hAnsi="Sylfaen"/>
          <w:sz w:val="24"/>
          <w:szCs w:val="24"/>
        </w:rPr>
        <w:t>Փորձագետի մեկնաբանությունը</w:t>
      </w:r>
    </w:p>
    <w:p w14:paraId="309BC59F" w14:textId="77777777" w:rsidR="008C76E0" w:rsidRPr="00BD7577" w:rsidRDefault="008C76E0" w:rsidP="001C3278">
      <w:pPr>
        <w:spacing w:after="160" w:line="360" w:lineRule="auto"/>
        <w:rPr>
          <w:rFonts w:ascii="Sylfaen" w:eastAsia="Times New Roman" w:hAnsi="Sylfaen" w:cs="Times New Roman"/>
          <w:sz w:val="24"/>
          <w:szCs w:val="24"/>
        </w:rPr>
      </w:pPr>
    </w:p>
    <w:p w14:paraId="62F9323C" w14:textId="77777777" w:rsidR="008C76E0" w:rsidRPr="00BD7577" w:rsidRDefault="008C76E0" w:rsidP="001C3278">
      <w:pPr>
        <w:spacing w:after="160" w:line="360" w:lineRule="auto"/>
        <w:rPr>
          <w:rFonts w:ascii="Sylfaen" w:hAnsi="Sylfaen"/>
          <w:sz w:val="24"/>
          <w:szCs w:val="24"/>
        </w:rPr>
        <w:sectPr w:rsidR="008C76E0" w:rsidRPr="00BD7577" w:rsidSect="00591274">
          <w:pgSz w:w="11907" w:h="16839" w:code="9"/>
          <w:pgMar w:top="1418" w:right="1418" w:bottom="1418" w:left="1418" w:header="0" w:footer="6" w:gutter="0"/>
          <w:cols w:space="720"/>
          <w:noEndnote/>
          <w:docGrid w:linePitch="360"/>
        </w:sectPr>
      </w:pPr>
    </w:p>
    <w:p w14:paraId="0D0920F6" w14:textId="77777777" w:rsidR="008C76E0" w:rsidRPr="00BD7577" w:rsidRDefault="008C76E0" w:rsidP="001C3278">
      <w:pPr>
        <w:pStyle w:val="Bodytext180"/>
        <w:shd w:val="clear" w:color="auto" w:fill="auto"/>
        <w:tabs>
          <w:tab w:val="left" w:pos="1134"/>
        </w:tabs>
        <w:spacing w:before="0" w:after="160" w:line="360" w:lineRule="auto"/>
        <w:ind w:firstLine="567"/>
        <w:jc w:val="both"/>
        <w:rPr>
          <w:rStyle w:val="Bodytext295pt"/>
          <w:rFonts w:ascii="Sylfaen" w:hAnsi="Sylfaen"/>
          <w:i/>
          <w:spacing w:val="0"/>
          <w:sz w:val="24"/>
          <w:szCs w:val="24"/>
        </w:rPr>
      </w:pPr>
      <w:r>
        <w:rPr>
          <w:rStyle w:val="Bodytext295pt"/>
          <w:rFonts w:ascii="Sylfaen" w:hAnsi="Sylfaen"/>
          <w:spacing w:val="0"/>
          <w:sz w:val="24"/>
          <w:szCs w:val="24"/>
        </w:rPr>
        <w:lastRenderedPageBreak/>
        <w:t>3.</w:t>
      </w:r>
      <w:r w:rsidRPr="00BD7577">
        <w:rPr>
          <w:rStyle w:val="Bodytext295pt"/>
          <w:rFonts w:ascii="Sylfaen" w:hAnsi="Sylfaen"/>
          <w:spacing w:val="0"/>
          <w:sz w:val="24"/>
          <w:szCs w:val="24"/>
        </w:rPr>
        <w:tab/>
        <w:t xml:space="preserve">Դեղակինետիկա (2.6.4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4.2.2 մոդուլներ):</w:t>
      </w:r>
    </w:p>
    <w:p w14:paraId="324225D4" w14:textId="77777777" w:rsidR="008C76E0" w:rsidRPr="00BD7577" w:rsidRDefault="008C76E0" w:rsidP="001C3278">
      <w:pPr>
        <w:pStyle w:val="Bodytext180"/>
        <w:shd w:val="clear" w:color="auto" w:fill="auto"/>
        <w:spacing w:before="0" w:after="160" w:line="360" w:lineRule="auto"/>
        <w:ind w:firstLine="567"/>
        <w:jc w:val="both"/>
        <w:rPr>
          <w:rFonts w:ascii="Sylfaen" w:hAnsi="Sylfaen"/>
          <w:b w:val="0"/>
          <w:sz w:val="24"/>
          <w:szCs w:val="24"/>
        </w:rPr>
      </w:pPr>
      <w:r w:rsidRPr="00BD7577">
        <w:rPr>
          <w:rStyle w:val="Bodytext295pt"/>
          <w:rFonts w:ascii="Sylfaen" w:hAnsi="Sylfaen"/>
          <w:spacing w:val="0"/>
          <w:sz w:val="24"/>
          <w:szCs w:val="24"/>
        </w:rPr>
        <w:t>Դեղակինետիկ հետազոտությունները:</w:t>
      </w:r>
    </w:p>
    <w:tbl>
      <w:tblPr>
        <w:tblOverlap w:val="never"/>
        <w:tblW w:w="14817" w:type="dxa"/>
        <w:tblLayout w:type="fixed"/>
        <w:tblCellMar>
          <w:left w:w="10" w:type="dxa"/>
          <w:right w:w="10" w:type="dxa"/>
        </w:tblCellMar>
        <w:tblLook w:val="04A0" w:firstRow="1" w:lastRow="0" w:firstColumn="1" w:lastColumn="0" w:noHBand="0" w:noVBand="1"/>
      </w:tblPr>
      <w:tblGrid>
        <w:gridCol w:w="14817"/>
      </w:tblGrid>
      <w:tr w:rsidR="008C76E0" w:rsidRPr="00BD7577" w14:paraId="0095908B" w14:textId="77777777" w:rsidTr="008C76E0">
        <w:tc>
          <w:tcPr>
            <w:tcW w:w="14817" w:type="dxa"/>
            <w:tcBorders>
              <w:top w:val="single" w:sz="4" w:space="0" w:color="auto"/>
              <w:left w:val="single" w:sz="4" w:space="0" w:color="auto"/>
              <w:right w:val="single" w:sz="4" w:space="0" w:color="auto"/>
            </w:tcBorders>
            <w:shd w:val="clear" w:color="auto" w:fill="FFFFFF"/>
          </w:tcPr>
          <w:p w14:paraId="2EB21327" w14:textId="77777777" w:rsidR="008C76E0" w:rsidRPr="00BD7577" w:rsidRDefault="008C76E0" w:rsidP="001C3278">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մեկնաբանությունները</w:t>
            </w:r>
          </w:p>
        </w:tc>
      </w:tr>
      <w:tr w:rsidR="008C76E0" w:rsidRPr="00BD7577" w14:paraId="42A96BCD" w14:textId="77777777" w:rsidTr="008C76E0">
        <w:tc>
          <w:tcPr>
            <w:tcW w:w="14817" w:type="dxa"/>
            <w:tcBorders>
              <w:top w:val="single" w:sz="4" w:space="0" w:color="auto"/>
            </w:tcBorders>
            <w:shd w:val="clear" w:color="auto" w:fill="FFFFFF"/>
          </w:tcPr>
          <w:p w14:paraId="04D6E204" w14:textId="77777777" w:rsidR="008C76E0" w:rsidRPr="00BD7577" w:rsidRDefault="008C76E0" w:rsidP="001C3278">
            <w:pPr>
              <w:pStyle w:val="Bodytext180"/>
              <w:shd w:val="clear" w:color="auto" w:fill="auto"/>
              <w:tabs>
                <w:tab w:val="left" w:pos="1134"/>
              </w:tabs>
              <w:spacing w:before="0" w:after="160" w:line="360" w:lineRule="auto"/>
              <w:ind w:firstLine="567"/>
              <w:jc w:val="both"/>
              <w:rPr>
                <w:rFonts w:ascii="Sylfaen" w:hAnsi="Sylfaen"/>
                <w:b w:val="0"/>
                <w:sz w:val="24"/>
                <w:szCs w:val="24"/>
              </w:rPr>
            </w:pPr>
            <w:r>
              <w:rPr>
                <w:rStyle w:val="Bodytext295pt"/>
                <w:rFonts w:ascii="Sylfaen" w:hAnsi="Sylfaen"/>
                <w:spacing w:val="0"/>
                <w:sz w:val="24"/>
                <w:szCs w:val="24"/>
              </w:rPr>
              <w:t>3.1.</w:t>
            </w:r>
            <w:r w:rsidRPr="00BD7577">
              <w:rPr>
                <w:rStyle w:val="Bodytext295pt"/>
                <w:rFonts w:ascii="Sylfaen" w:hAnsi="Sylfaen"/>
                <w:spacing w:val="0"/>
                <w:sz w:val="24"/>
                <w:szCs w:val="24"/>
              </w:rPr>
              <w:tab/>
              <w:t>Հետազոտության մեթոդները:</w:t>
            </w:r>
          </w:p>
        </w:tc>
      </w:tr>
    </w:tbl>
    <w:p w14:paraId="78996D38" w14:textId="77777777" w:rsidR="008C76E0" w:rsidRPr="00BD7577" w:rsidRDefault="008C76E0" w:rsidP="001C3278">
      <w:pPr>
        <w:spacing w:after="160" w:line="360" w:lineRule="auto"/>
        <w:rPr>
          <w:rFonts w:ascii="Sylfaen" w:hAnsi="Sylfaen"/>
          <w:sz w:val="24"/>
          <w:szCs w:val="24"/>
        </w:rPr>
      </w:pPr>
    </w:p>
    <w:tbl>
      <w:tblPr>
        <w:tblOverlap w:val="never"/>
        <w:tblW w:w="14817" w:type="dxa"/>
        <w:tblLayout w:type="fixed"/>
        <w:tblCellMar>
          <w:left w:w="10" w:type="dxa"/>
          <w:right w:w="10" w:type="dxa"/>
        </w:tblCellMar>
        <w:tblLook w:val="04A0" w:firstRow="1" w:lastRow="0" w:firstColumn="1" w:lastColumn="0" w:noHBand="0" w:noVBand="1"/>
      </w:tblPr>
      <w:tblGrid>
        <w:gridCol w:w="14817"/>
      </w:tblGrid>
      <w:tr w:rsidR="008C76E0" w:rsidRPr="00BD7577" w14:paraId="68C588FC" w14:textId="77777777" w:rsidTr="008C76E0">
        <w:tc>
          <w:tcPr>
            <w:tcW w:w="14817" w:type="dxa"/>
            <w:tcBorders>
              <w:top w:val="single" w:sz="4" w:space="0" w:color="auto"/>
              <w:left w:val="single" w:sz="4" w:space="0" w:color="auto"/>
              <w:right w:val="single" w:sz="4" w:space="0" w:color="auto"/>
            </w:tcBorders>
            <w:shd w:val="clear" w:color="auto" w:fill="FFFFFF"/>
          </w:tcPr>
          <w:p w14:paraId="310004D1" w14:textId="77777777" w:rsidR="008C76E0" w:rsidRPr="00BD7577" w:rsidRDefault="008C76E0" w:rsidP="001C3278">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390F302" w14:textId="77777777" w:rsidTr="008C76E0">
        <w:tc>
          <w:tcPr>
            <w:tcW w:w="14817" w:type="dxa"/>
            <w:tcBorders>
              <w:top w:val="single" w:sz="4" w:space="0" w:color="auto"/>
            </w:tcBorders>
            <w:shd w:val="clear" w:color="auto" w:fill="FFFFFF"/>
            <w:vAlign w:val="bottom"/>
          </w:tcPr>
          <w:p w14:paraId="7D251B30" w14:textId="77777777" w:rsidR="008C76E0" w:rsidRPr="00BD7577" w:rsidRDefault="008C76E0" w:rsidP="001C3278">
            <w:pPr>
              <w:pStyle w:val="Bodytext180"/>
              <w:shd w:val="clear" w:color="auto" w:fill="auto"/>
              <w:tabs>
                <w:tab w:val="left" w:pos="1134"/>
              </w:tabs>
              <w:spacing w:before="0" w:after="160" w:line="360" w:lineRule="auto"/>
              <w:ind w:firstLine="567"/>
              <w:jc w:val="both"/>
              <w:rPr>
                <w:rFonts w:ascii="Sylfaen" w:hAnsi="Sylfaen"/>
                <w:b w:val="0"/>
                <w:sz w:val="24"/>
                <w:szCs w:val="24"/>
              </w:rPr>
            </w:pPr>
            <w:r w:rsidRPr="00BD7577">
              <w:rPr>
                <w:rStyle w:val="Bodytext295pt"/>
                <w:rFonts w:ascii="Sylfaen" w:hAnsi="Sylfaen"/>
                <w:spacing w:val="0"/>
                <w:sz w:val="24"/>
                <w:szCs w:val="24"/>
              </w:rPr>
              <w:t>3.2.</w:t>
            </w:r>
            <w:r w:rsidRPr="00BD7577">
              <w:rPr>
                <w:rStyle w:val="Bodytext295pt"/>
                <w:rFonts w:ascii="Sylfaen" w:hAnsi="Sylfaen"/>
                <w:spacing w:val="0"/>
                <w:sz w:val="24"/>
                <w:szCs w:val="24"/>
              </w:rPr>
              <w:tab/>
              <w:t>Կլանումը:</w:t>
            </w:r>
          </w:p>
        </w:tc>
      </w:tr>
    </w:tbl>
    <w:p w14:paraId="3AC73CDD" w14:textId="77777777" w:rsidR="008C76E0" w:rsidRPr="00BD7577" w:rsidRDefault="008C76E0" w:rsidP="008C76E0">
      <w:pPr>
        <w:rPr>
          <w:rStyle w:val="Bodytext295pt"/>
          <w:rFonts w:ascii="Sylfaen" w:eastAsia="MS Mincho" w:hAnsi="Sylfaen"/>
          <w:b w:val="0"/>
          <w:i/>
          <w:spacing w:val="0"/>
          <w:sz w:val="24"/>
          <w:szCs w:val="24"/>
          <w:lang w:val="en-US"/>
        </w:rPr>
      </w:pPr>
    </w:p>
    <w:p w14:paraId="0876B96A" w14:textId="77777777" w:rsidR="008C76E0" w:rsidRPr="001D10C9" w:rsidRDefault="008C76E0" w:rsidP="008C76E0">
      <w:pPr>
        <w:jc w:val="center"/>
        <w:rPr>
          <w:rFonts w:ascii="Sylfaen" w:hAnsi="Sylfaen"/>
          <w:sz w:val="24"/>
          <w:szCs w:val="24"/>
        </w:rPr>
      </w:pPr>
      <w:r w:rsidRPr="001D10C9">
        <w:rPr>
          <w:rStyle w:val="Bodytext295pt"/>
          <w:rFonts w:ascii="Sylfaen" w:eastAsia="MS Mincho" w:hAnsi="Sylfaen"/>
          <w:b w:val="0"/>
          <w:spacing w:val="0"/>
          <w:sz w:val="24"/>
          <w:szCs w:val="24"/>
        </w:rPr>
        <w:t>Աղյուսակների օրինակելի նմուշներ՝ կլանման վերաբերյալ տվյալները մուտքագրելու համար</w:t>
      </w:r>
      <w:r w:rsidRPr="001D10C9">
        <w:rPr>
          <w:rStyle w:val="Bodytext295pt"/>
          <w:rFonts w:ascii="Sylfaen" w:eastAsia="MS Mincho" w:hAnsi="Sylfaen"/>
          <w:spacing w:val="0"/>
          <w:sz w:val="24"/>
          <w:szCs w:val="24"/>
        </w:rPr>
        <w:t>՝</w:t>
      </w:r>
    </w:p>
    <w:tbl>
      <w:tblPr>
        <w:tblOverlap w:val="never"/>
        <w:tblW w:w="14675" w:type="dxa"/>
        <w:tblLayout w:type="fixed"/>
        <w:tblCellMar>
          <w:left w:w="10" w:type="dxa"/>
          <w:right w:w="10" w:type="dxa"/>
        </w:tblCellMar>
        <w:tblLook w:val="04A0" w:firstRow="1" w:lastRow="0" w:firstColumn="1" w:lastColumn="0" w:noHBand="0" w:noVBand="1"/>
      </w:tblPr>
      <w:tblGrid>
        <w:gridCol w:w="2419"/>
        <w:gridCol w:w="1560"/>
        <w:gridCol w:w="749"/>
        <w:gridCol w:w="1134"/>
        <w:gridCol w:w="1701"/>
        <w:gridCol w:w="1985"/>
        <w:gridCol w:w="1235"/>
        <w:gridCol w:w="1134"/>
        <w:gridCol w:w="1558"/>
        <w:gridCol w:w="1200"/>
      </w:tblGrid>
      <w:tr w:rsidR="008C76E0" w:rsidRPr="00BD7577" w14:paraId="5B6D5FC1" w14:textId="77777777" w:rsidTr="008C76E0">
        <w:tc>
          <w:tcPr>
            <w:tcW w:w="2419" w:type="dxa"/>
            <w:tcBorders>
              <w:top w:val="single" w:sz="4" w:space="0" w:color="auto"/>
              <w:left w:val="single" w:sz="4" w:space="0" w:color="auto"/>
            </w:tcBorders>
            <w:shd w:val="clear" w:color="auto" w:fill="FFFFFF"/>
          </w:tcPr>
          <w:p w14:paraId="4DB3C3CA"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Հետազոտության նույնականացման համարը</w:t>
            </w:r>
          </w:p>
        </w:tc>
        <w:tc>
          <w:tcPr>
            <w:tcW w:w="1560" w:type="dxa"/>
            <w:tcBorders>
              <w:top w:val="single" w:sz="4" w:space="0" w:color="auto"/>
              <w:left w:val="single" w:sz="4" w:space="0" w:color="auto"/>
            </w:tcBorders>
            <w:shd w:val="clear" w:color="auto" w:fill="FFFFFF"/>
          </w:tcPr>
          <w:p w14:paraId="046B03A3"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Տեսակները</w:t>
            </w:r>
          </w:p>
        </w:tc>
        <w:tc>
          <w:tcPr>
            <w:tcW w:w="749" w:type="dxa"/>
            <w:tcBorders>
              <w:top w:val="single" w:sz="4" w:space="0" w:color="auto"/>
              <w:left w:val="single" w:sz="4" w:space="0" w:color="auto"/>
            </w:tcBorders>
            <w:shd w:val="clear" w:color="auto" w:fill="FFFFFF"/>
          </w:tcPr>
          <w:p w14:paraId="1877433B"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N</w:t>
            </w:r>
          </w:p>
        </w:tc>
        <w:tc>
          <w:tcPr>
            <w:tcW w:w="1134" w:type="dxa"/>
            <w:tcBorders>
              <w:top w:val="single" w:sz="4" w:space="0" w:color="auto"/>
              <w:left w:val="single" w:sz="4" w:space="0" w:color="auto"/>
            </w:tcBorders>
            <w:shd w:val="clear" w:color="auto" w:fill="FFFFFF"/>
          </w:tcPr>
          <w:p w14:paraId="325AFF0F"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Դոզա (մգ/կգ)</w:t>
            </w:r>
          </w:p>
        </w:tc>
        <w:tc>
          <w:tcPr>
            <w:tcW w:w="1701" w:type="dxa"/>
            <w:tcBorders>
              <w:top w:val="single" w:sz="4" w:space="0" w:color="auto"/>
              <w:left w:val="single" w:sz="4" w:space="0" w:color="auto"/>
            </w:tcBorders>
            <w:shd w:val="clear" w:color="auto" w:fill="FFFFFF"/>
          </w:tcPr>
          <w:p w14:paraId="67F7A702"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Ներմուծման ուղին</w:t>
            </w:r>
          </w:p>
        </w:tc>
        <w:tc>
          <w:tcPr>
            <w:tcW w:w="1985" w:type="dxa"/>
            <w:tcBorders>
              <w:top w:val="single" w:sz="4" w:space="0" w:color="auto"/>
              <w:left w:val="single" w:sz="4" w:space="0" w:color="auto"/>
            </w:tcBorders>
            <w:shd w:val="clear" w:color="auto" w:fill="FFFFFF"/>
          </w:tcPr>
          <w:p w14:paraId="22CED949"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Վերլուծության եղանակը</w:t>
            </w:r>
          </w:p>
        </w:tc>
        <w:tc>
          <w:tcPr>
            <w:tcW w:w="1235" w:type="dxa"/>
            <w:tcBorders>
              <w:top w:val="single" w:sz="4" w:space="0" w:color="auto"/>
              <w:left w:val="single" w:sz="4" w:space="0" w:color="auto"/>
            </w:tcBorders>
            <w:shd w:val="clear" w:color="auto" w:fill="FFFFFF"/>
          </w:tcPr>
          <w:p w14:paraId="74728C06"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C</w:t>
            </w:r>
            <w:r w:rsidRPr="00BD7577">
              <w:rPr>
                <w:rStyle w:val="Bodytext1811pt"/>
                <w:rFonts w:ascii="Sylfaen" w:hAnsi="Sylfaen"/>
                <w:sz w:val="24"/>
                <w:szCs w:val="24"/>
                <w:vertAlign w:val="subscript"/>
              </w:rPr>
              <w:t>max</w:t>
            </w:r>
          </w:p>
        </w:tc>
        <w:tc>
          <w:tcPr>
            <w:tcW w:w="1134" w:type="dxa"/>
            <w:tcBorders>
              <w:top w:val="single" w:sz="4" w:space="0" w:color="auto"/>
            </w:tcBorders>
            <w:shd w:val="clear" w:color="auto" w:fill="FFFFFF"/>
          </w:tcPr>
          <w:p w14:paraId="6972BF75"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t</w:t>
            </w:r>
            <w:r w:rsidRPr="00BD7577">
              <w:rPr>
                <w:rStyle w:val="Bodytext1811pt"/>
                <w:rFonts w:ascii="Sylfaen" w:hAnsi="Sylfaen"/>
                <w:sz w:val="24"/>
                <w:szCs w:val="24"/>
                <w:vertAlign w:val="subscript"/>
              </w:rPr>
              <w:t>max</w:t>
            </w:r>
          </w:p>
        </w:tc>
        <w:tc>
          <w:tcPr>
            <w:tcW w:w="1558" w:type="dxa"/>
            <w:tcBorders>
              <w:top w:val="single" w:sz="4" w:space="0" w:color="auto"/>
            </w:tcBorders>
            <w:shd w:val="clear" w:color="auto" w:fill="FFFFFF"/>
          </w:tcPr>
          <w:p w14:paraId="7227E050"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AUC</w:t>
            </w:r>
          </w:p>
        </w:tc>
        <w:tc>
          <w:tcPr>
            <w:tcW w:w="1200" w:type="dxa"/>
            <w:tcBorders>
              <w:top w:val="single" w:sz="4" w:space="0" w:color="auto"/>
              <w:right w:val="single" w:sz="4" w:space="0" w:color="auto"/>
            </w:tcBorders>
            <w:shd w:val="clear" w:color="auto" w:fill="FFFFFF"/>
          </w:tcPr>
          <w:p w14:paraId="7ED56414" w14:textId="77777777" w:rsidR="008C76E0" w:rsidRPr="00BD7577" w:rsidRDefault="008C76E0" w:rsidP="008C76E0">
            <w:pPr>
              <w:spacing w:after="120" w:line="240" w:lineRule="auto"/>
              <w:ind w:left="142"/>
              <w:rPr>
                <w:rFonts w:ascii="Sylfaen" w:hAnsi="Sylfaen"/>
                <w:sz w:val="24"/>
                <w:szCs w:val="24"/>
              </w:rPr>
            </w:pPr>
          </w:p>
        </w:tc>
      </w:tr>
      <w:tr w:rsidR="008C76E0" w:rsidRPr="00BD7577" w14:paraId="7F976816" w14:textId="77777777" w:rsidTr="008C76E0">
        <w:tc>
          <w:tcPr>
            <w:tcW w:w="14675" w:type="dxa"/>
            <w:gridSpan w:val="10"/>
            <w:tcBorders>
              <w:top w:val="single" w:sz="4" w:space="0" w:color="auto"/>
            </w:tcBorders>
            <w:shd w:val="clear" w:color="auto" w:fill="FFFFFF"/>
            <w:vAlign w:val="bottom"/>
          </w:tcPr>
          <w:p w14:paraId="0DFF5F22"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A</w:t>
            </w:r>
          </w:p>
          <w:p w14:paraId="18F16409"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B</w:t>
            </w:r>
          </w:p>
        </w:tc>
      </w:tr>
      <w:tr w:rsidR="008C76E0" w:rsidRPr="00BD7577" w14:paraId="66920F1F" w14:textId="77777777" w:rsidTr="008C76E0">
        <w:tc>
          <w:tcPr>
            <w:tcW w:w="14675" w:type="dxa"/>
            <w:gridSpan w:val="10"/>
            <w:tcBorders>
              <w:top w:val="single" w:sz="4" w:space="0" w:color="auto"/>
            </w:tcBorders>
            <w:shd w:val="clear" w:color="auto" w:fill="FFFFFF"/>
          </w:tcPr>
          <w:p w14:paraId="6E810462" w14:textId="77777777" w:rsidR="008C76E0" w:rsidRPr="00BD7577" w:rsidRDefault="008C76E0" w:rsidP="008C76E0">
            <w:pPr>
              <w:spacing w:after="120" w:line="240" w:lineRule="auto"/>
              <w:ind w:left="142"/>
              <w:rPr>
                <w:rFonts w:ascii="Sylfaen" w:hAnsi="Sylfaen"/>
                <w:sz w:val="24"/>
                <w:szCs w:val="24"/>
              </w:rPr>
            </w:pPr>
          </w:p>
        </w:tc>
      </w:tr>
      <w:tr w:rsidR="008C76E0" w:rsidRPr="00BD7577" w14:paraId="0A941791" w14:textId="77777777" w:rsidTr="008C76E0">
        <w:tc>
          <w:tcPr>
            <w:tcW w:w="2419" w:type="dxa"/>
            <w:tcBorders>
              <w:top w:val="single" w:sz="4" w:space="0" w:color="auto"/>
              <w:left w:val="single" w:sz="4" w:space="0" w:color="auto"/>
            </w:tcBorders>
            <w:shd w:val="clear" w:color="auto" w:fill="FFFFFF"/>
          </w:tcPr>
          <w:p w14:paraId="0C5B0B48"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 xml:space="preserve">Հետազոտության նույնականացման </w:t>
            </w:r>
            <w:r w:rsidRPr="00BD7577">
              <w:rPr>
                <w:rStyle w:val="Bodytext1811pt"/>
                <w:rFonts w:ascii="Sylfaen" w:hAnsi="Sylfaen"/>
                <w:sz w:val="24"/>
                <w:szCs w:val="24"/>
              </w:rPr>
              <w:lastRenderedPageBreak/>
              <w:t>համարը</w:t>
            </w:r>
          </w:p>
        </w:tc>
        <w:tc>
          <w:tcPr>
            <w:tcW w:w="1560" w:type="dxa"/>
            <w:tcBorders>
              <w:top w:val="single" w:sz="4" w:space="0" w:color="auto"/>
              <w:left w:val="single" w:sz="4" w:space="0" w:color="auto"/>
            </w:tcBorders>
            <w:shd w:val="clear" w:color="auto" w:fill="FFFFFF"/>
          </w:tcPr>
          <w:p w14:paraId="1BCC75AB"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lastRenderedPageBreak/>
              <w:t>Տեսակները</w:t>
            </w:r>
          </w:p>
        </w:tc>
        <w:tc>
          <w:tcPr>
            <w:tcW w:w="749" w:type="dxa"/>
            <w:tcBorders>
              <w:top w:val="single" w:sz="4" w:space="0" w:color="auto"/>
              <w:left w:val="single" w:sz="4" w:space="0" w:color="auto"/>
            </w:tcBorders>
            <w:shd w:val="clear" w:color="auto" w:fill="FFFFFF"/>
          </w:tcPr>
          <w:p w14:paraId="0DCAD08E"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N</w:t>
            </w:r>
          </w:p>
        </w:tc>
        <w:tc>
          <w:tcPr>
            <w:tcW w:w="1134" w:type="dxa"/>
            <w:tcBorders>
              <w:top w:val="single" w:sz="4" w:space="0" w:color="auto"/>
              <w:left w:val="single" w:sz="4" w:space="0" w:color="auto"/>
            </w:tcBorders>
            <w:shd w:val="clear" w:color="auto" w:fill="FFFFFF"/>
          </w:tcPr>
          <w:p w14:paraId="38AF8A3D"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Դոզա (մգ/կգ)</w:t>
            </w:r>
          </w:p>
        </w:tc>
        <w:tc>
          <w:tcPr>
            <w:tcW w:w="1701" w:type="dxa"/>
            <w:tcBorders>
              <w:top w:val="single" w:sz="4" w:space="0" w:color="auto"/>
              <w:left w:val="single" w:sz="4" w:space="0" w:color="auto"/>
            </w:tcBorders>
            <w:shd w:val="clear" w:color="auto" w:fill="FFFFFF"/>
          </w:tcPr>
          <w:p w14:paraId="415717E8"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Ներմուծման ուղին</w:t>
            </w:r>
          </w:p>
        </w:tc>
        <w:tc>
          <w:tcPr>
            <w:tcW w:w="1985" w:type="dxa"/>
            <w:tcBorders>
              <w:top w:val="single" w:sz="4" w:space="0" w:color="auto"/>
              <w:left w:val="single" w:sz="4" w:space="0" w:color="auto"/>
            </w:tcBorders>
            <w:shd w:val="clear" w:color="auto" w:fill="FFFFFF"/>
          </w:tcPr>
          <w:p w14:paraId="453CFFA4"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Վերլուծության եղանակը</w:t>
            </w:r>
          </w:p>
        </w:tc>
        <w:tc>
          <w:tcPr>
            <w:tcW w:w="1235" w:type="dxa"/>
            <w:tcBorders>
              <w:top w:val="single" w:sz="4" w:space="0" w:color="auto"/>
              <w:left w:val="single" w:sz="4" w:space="0" w:color="auto"/>
            </w:tcBorders>
            <w:shd w:val="clear" w:color="auto" w:fill="FFFFFF"/>
          </w:tcPr>
          <w:p w14:paraId="502800AE"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lang w:val="en-US"/>
              </w:rPr>
              <w:t>t</w:t>
            </w:r>
            <w:r w:rsidRPr="00BD7577">
              <w:rPr>
                <w:rStyle w:val="Bodytext1811pt"/>
                <w:rFonts w:ascii="Sylfaen" w:hAnsi="Sylfaen"/>
                <w:sz w:val="24"/>
                <w:szCs w:val="24"/>
              </w:rPr>
              <w:t>½, el</w:t>
            </w:r>
          </w:p>
        </w:tc>
        <w:tc>
          <w:tcPr>
            <w:tcW w:w="1134" w:type="dxa"/>
            <w:tcBorders>
              <w:top w:val="single" w:sz="4" w:space="0" w:color="auto"/>
              <w:left w:val="single" w:sz="4" w:space="0" w:color="auto"/>
            </w:tcBorders>
            <w:shd w:val="clear" w:color="auto" w:fill="FFFFFF"/>
          </w:tcPr>
          <w:p w14:paraId="29AF05B4"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V</w:t>
            </w:r>
            <w:r w:rsidRPr="00BD7577">
              <w:rPr>
                <w:rStyle w:val="Bodytext1811pt"/>
                <w:rFonts w:ascii="Sylfaen" w:hAnsi="Sylfaen"/>
                <w:sz w:val="24"/>
                <w:szCs w:val="24"/>
                <w:vertAlign w:val="subscript"/>
              </w:rPr>
              <w:t>d</w:t>
            </w:r>
          </w:p>
        </w:tc>
        <w:tc>
          <w:tcPr>
            <w:tcW w:w="1558" w:type="dxa"/>
            <w:tcBorders>
              <w:top w:val="single" w:sz="4" w:space="0" w:color="auto"/>
              <w:left w:val="single" w:sz="4" w:space="0" w:color="auto"/>
            </w:tcBorders>
            <w:shd w:val="clear" w:color="auto" w:fill="FFFFFF"/>
          </w:tcPr>
          <w:p w14:paraId="3A7A92D9"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Cl</w:t>
            </w:r>
            <w:r w:rsidRPr="00BD7577">
              <w:rPr>
                <w:rStyle w:val="Bodytext1811pt"/>
                <w:rFonts w:ascii="Sylfaen" w:hAnsi="Sylfaen"/>
                <w:sz w:val="24"/>
                <w:szCs w:val="24"/>
                <w:vertAlign w:val="subscript"/>
              </w:rPr>
              <w:t>t</w:t>
            </w:r>
          </w:p>
        </w:tc>
        <w:tc>
          <w:tcPr>
            <w:tcW w:w="1200" w:type="dxa"/>
            <w:tcBorders>
              <w:top w:val="single" w:sz="4" w:space="0" w:color="auto"/>
              <w:left w:val="single" w:sz="4" w:space="0" w:color="auto"/>
              <w:right w:val="single" w:sz="4" w:space="0" w:color="auto"/>
            </w:tcBorders>
            <w:shd w:val="clear" w:color="auto" w:fill="FFFFFF"/>
          </w:tcPr>
          <w:p w14:paraId="0B605B1D"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F (%)</w:t>
            </w:r>
          </w:p>
        </w:tc>
      </w:tr>
      <w:tr w:rsidR="008C76E0" w:rsidRPr="00BD7577" w14:paraId="5C5CE4A3" w14:textId="77777777" w:rsidTr="008C76E0">
        <w:tc>
          <w:tcPr>
            <w:tcW w:w="10783" w:type="dxa"/>
            <w:gridSpan w:val="7"/>
            <w:tcBorders>
              <w:top w:val="single" w:sz="4" w:space="0" w:color="auto"/>
            </w:tcBorders>
            <w:shd w:val="clear" w:color="auto" w:fill="FFFFFF"/>
          </w:tcPr>
          <w:p w14:paraId="6E58D9B5"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A</w:t>
            </w:r>
          </w:p>
          <w:p w14:paraId="61A4F242"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1811pt"/>
                <w:rFonts w:ascii="Sylfaen" w:hAnsi="Sylfaen"/>
                <w:sz w:val="24"/>
                <w:szCs w:val="24"/>
              </w:rPr>
              <w:t>B</w:t>
            </w:r>
          </w:p>
        </w:tc>
        <w:tc>
          <w:tcPr>
            <w:tcW w:w="1134" w:type="dxa"/>
            <w:tcBorders>
              <w:top w:val="single" w:sz="4" w:space="0" w:color="auto"/>
            </w:tcBorders>
            <w:shd w:val="clear" w:color="auto" w:fill="FFFFFF"/>
          </w:tcPr>
          <w:p w14:paraId="0FEEB169" w14:textId="77777777" w:rsidR="008C76E0" w:rsidRPr="00BD7577" w:rsidRDefault="008C76E0" w:rsidP="008C76E0">
            <w:pPr>
              <w:spacing w:after="120" w:line="240" w:lineRule="auto"/>
              <w:ind w:left="142"/>
              <w:rPr>
                <w:rFonts w:ascii="Sylfaen" w:hAnsi="Sylfaen"/>
                <w:sz w:val="24"/>
                <w:szCs w:val="24"/>
              </w:rPr>
            </w:pPr>
          </w:p>
        </w:tc>
        <w:tc>
          <w:tcPr>
            <w:tcW w:w="1558" w:type="dxa"/>
            <w:tcBorders>
              <w:top w:val="single" w:sz="4" w:space="0" w:color="auto"/>
            </w:tcBorders>
            <w:shd w:val="clear" w:color="auto" w:fill="FFFFFF"/>
          </w:tcPr>
          <w:p w14:paraId="5318BE0B" w14:textId="77777777" w:rsidR="008C76E0" w:rsidRPr="00BD7577" w:rsidRDefault="008C76E0" w:rsidP="008C76E0">
            <w:pPr>
              <w:spacing w:after="120" w:line="240" w:lineRule="auto"/>
              <w:ind w:left="142"/>
              <w:rPr>
                <w:rFonts w:ascii="Sylfaen" w:hAnsi="Sylfaen"/>
                <w:sz w:val="24"/>
                <w:szCs w:val="24"/>
              </w:rPr>
            </w:pPr>
          </w:p>
        </w:tc>
        <w:tc>
          <w:tcPr>
            <w:tcW w:w="1200" w:type="dxa"/>
            <w:tcBorders>
              <w:top w:val="single" w:sz="4" w:space="0" w:color="auto"/>
            </w:tcBorders>
            <w:shd w:val="clear" w:color="auto" w:fill="FFFFFF"/>
          </w:tcPr>
          <w:p w14:paraId="773F8EF9" w14:textId="77777777" w:rsidR="008C76E0" w:rsidRPr="00BD7577" w:rsidRDefault="008C76E0" w:rsidP="008C76E0">
            <w:pPr>
              <w:spacing w:after="120" w:line="240" w:lineRule="auto"/>
              <w:ind w:left="142"/>
              <w:rPr>
                <w:rFonts w:ascii="Sylfaen" w:hAnsi="Sylfaen"/>
                <w:sz w:val="24"/>
                <w:szCs w:val="24"/>
              </w:rPr>
            </w:pPr>
          </w:p>
        </w:tc>
      </w:tr>
      <w:tr w:rsidR="008C76E0" w:rsidRPr="00BD7577" w14:paraId="39843AFC" w14:textId="77777777" w:rsidTr="008C76E0">
        <w:tc>
          <w:tcPr>
            <w:tcW w:w="10783" w:type="dxa"/>
            <w:gridSpan w:val="7"/>
            <w:tcBorders>
              <w:top w:val="single" w:sz="4" w:space="0" w:color="auto"/>
              <w:bottom w:val="single" w:sz="4" w:space="0" w:color="auto"/>
            </w:tcBorders>
            <w:shd w:val="clear" w:color="auto" w:fill="FFFFFF"/>
            <w:vAlign w:val="bottom"/>
          </w:tcPr>
          <w:p w14:paraId="72BC168E" w14:textId="77777777" w:rsidR="008C76E0" w:rsidRPr="00BD7577" w:rsidRDefault="008C76E0" w:rsidP="008C76E0">
            <w:pPr>
              <w:pStyle w:val="Bodytext180"/>
              <w:shd w:val="clear" w:color="auto" w:fill="auto"/>
              <w:tabs>
                <w:tab w:val="left" w:pos="2977"/>
              </w:tabs>
              <w:spacing w:before="0" w:after="120" w:line="240" w:lineRule="auto"/>
              <w:ind w:left="142" w:right="8070" w:firstLine="0"/>
              <w:jc w:val="right"/>
              <w:rPr>
                <w:rFonts w:ascii="Sylfaen" w:hAnsi="Sylfaen"/>
                <w:b w:val="0"/>
                <w:sz w:val="24"/>
                <w:szCs w:val="24"/>
              </w:rPr>
            </w:pPr>
            <w:r w:rsidRPr="00BD7577">
              <w:rPr>
                <w:rStyle w:val="Bodytext1811pt"/>
                <w:rFonts w:ascii="Sylfaen" w:hAnsi="Sylfaen"/>
                <w:sz w:val="24"/>
                <w:szCs w:val="24"/>
              </w:rPr>
              <w:t xml:space="preserve">Ծանոթագրություններ ա) </w:t>
            </w:r>
          </w:p>
          <w:p w14:paraId="34BA4185" w14:textId="77777777" w:rsidR="008C76E0" w:rsidRPr="00BD7577" w:rsidRDefault="008C76E0" w:rsidP="008C76E0">
            <w:pPr>
              <w:pStyle w:val="Bodytext180"/>
              <w:shd w:val="clear" w:color="auto" w:fill="auto"/>
              <w:spacing w:before="0" w:after="120" w:line="240" w:lineRule="auto"/>
              <w:ind w:left="142" w:right="8070" w:firstLine="0"/>
              <w:jc w:val="right"/>
              <w:rPr>
                <w:rFonts w:ascii="Sylfaen" w:hAnsi="Sylfaen"/>
                <w:b w:val="0"/>
                <w:sz w:val="24"/>
                <w:szCs w:val="24"/>
              </w:rPr>
            </w:pPr>
            <w:r w:rsidRPr="00BD7577">
              <w:rPr>
                <w:rStyle w:val="Bodytext1811pt"/>
                <w:rFonts w:ascii="Sylfaen" w:hAnsi="Sylfaen"/>
                <w:sz w:val="24"/>
                <w:szCs w:val="24"/>
              </w:rPr>
              <w:t>բ)</w:t>
            </w:r>
          </w:p>
        </w:tc>
        <w:tc>
          <w:tcPr>
            <w:tcW w:w="1134" w:type="dxa"/>
            <w:tcBorders>
              <w:top w:val="single" w:sz="4" w:space="0" w:color="auto"/>
              <w:bottom w:val="single" w:sz="4" w:space="0" w:color="auto"/>
            </w:tcBorders>
            <w:shd w:val="clear" w:color="auto" w:fill="FFFFFF"/>
          </w:tcPr>
          <w:p w14:paraId="68704F93" w14:textId="77777777" w:rsidR="008C76E0" w:rsidRPr="00BD7577" w:rsidRDefault="008C76E0" w:rsidP="008C76E0">
            <w:pPr>
              <w:spacing w:after="120" w:line="240" w:lineRule="auto"/>
              <w:ind w:left="142"/>
              <w:rPr>
                <w:rFonts w:ascii="Sylfaen" w:hAnsi="Sylfaen"/>
                <w:sz w:val="24"/>
                <w:szCs w:val="24"/>
              </w:rPr>
            </w:pPr>
          </w:p>
        </w:tc>
        <w:tc>
          <w:tcPr>
            <w:tcW w:w="1558" w:type="dxa"/>
            <w:tcBorders>
              <w:top w:val="single" w:sz="4" w:space="0" w:color="auto"/>
              <w:bottom w:val="single" w:sz="4" w:space="0" w:color="auto"/>
            </w:tcBorders>
            <w:shd w:val="clear" w:color="auto" w:fill="FFFFFF"/>
          </w:tcPr>
          <w:p w14:paraId="37A9A673" w14:textId="77777777" w:rsidR="008C76E0" w:rsidRPr="00BD7577" w:rsidRDefault="008C76E0" w:rsidP="008C76E0">
            <w:pPr>
              <w:spacing w:after="120" w:line="240" w:lineRule="auto"/>
              <w:ind w:left="142"/>
              <w:rPr>
                <w:rFonts w:ascii="Sylfaen" w:hAnsi="Sylfaen"/>
                <w:sz w:val="24"/>
                <w:szCs w:val="24"/>
              </w:rPr>
            </w:pPr>
          </w:p>
        </w:tc>
        <w:tc>
          <w:tcPr>
            <w:tcW w:w="1200" w:type="dxa"/>
            <w:tcBorders>
              <w:top w:val="single" w:sz="4" w:space="0" w:color="auto"/>
              <w:bottom w:val="single" w:sz="4" w:space="0" w:color="auto"/>
            </w:tcBorders>
            <w:shd w:val="clear" w:color="auto" w:fill="FFFFFF"/>
          </w:tcPr>
          <w:p w14:paraId="026360C6" w14:textId="77777777" w:rsidR="008C76E0" w:rsidRPr="00BD7577" w:rsidRDefault="008C76E0" w:rsidP="008C76E0">
            <w:pPr>
              <w:spacing w:after="120" w:line="240" w:lineRule="auto"/>
              <w:ind w:left="142"/>
              <w:rPr>
                <w:rFonts w:ascii="Sylfaen" w:hAnsi="Sylfaen"/>
                <w:sz w:val="24"/>
                <w:szCs w:val="24"/>
              </w:rPr>
            </w:pPr>
          </w:p>
        </w:tc>
      </w:tr>
    </w:tbl>
    <w:p w14:paraId="20D7B216" w14:textId="77777777" w:rsidR="008C76E0" w:rsidRPr="00BD7577" w:rsidRDefault="008C76E0" w:rsidP="008C76E0">
      <w:pPr>
        <w:rPr>
          <w:rFonts w:ascii="Sylfaen" w:hAnsi="Sylfaen"/>
          <w:sz w:val="24"/>
          <w:szCs w:val="24"/>
        </w:rPr>
      </w:pPr>
    </w:p>
    <w:tbl>
      <w:tblPr>
        <w:tblOverlap w:val="never"/>
        <w:tblW w:w="14691" w:type="dxa"/>
        <w:tblLayout w:type="fixed"/>
        <w:tblCellMar>
          <w:left w:w="10" w:type="dxa"/>
          <w:right w:w="10" w:type="dxa"/>
        </w:tblCellMar>
        <w:tblLook w:val="04A0" w:firstRow="1" w:lastRow="0" w:firstColumn="1" w:lastColumn="0" w:noHBand="0" w:noVBand="1"/>
      </w:tblPr>
      <w:tblGrid>
        <w:gridCol w:w="14691"/>
      </w:tblGrid>
      <w:tr w:rsidR="008C76E0" w:rsidRPr="00BD7577" w14:paraId="2ADFB4F7" w14:textId="77777777" w:rsidTr="008C76E0">
        <w:trPr>
          <w:cantSplit/>
        </w:trPr>
        <w:tc>
          <w:tcPr>
            <w:tcW w:w="14691" w:type="dxa"/>
            <w:tcBorders>
              <w:top w:val="single" w:sz="4" w:space="0" w:color="auto"/>
              <w:left w:val="single" w:sz="4" w:space="0" w:color="auto"/>
              <w:right w:val="single" w:sz="4" w:space="0" w:color="auto"/>
            </w:tcBorders>
            <w:shd w:val="clear" w:color="auto" w:fill="FFFFFF"/>
          </w:tcPr>
          <w:p w14:paraId="0DD7CCFD" w14:textId="77777777" w:rsidR="008C76E0" w:rsidRPr="00BD7577" w:rsidRDefault="008C76E0" w:rsidP="008C76E0">
            <w:pPr>
              <w:pStyle w:val="Bodytext180"/>
              <w:shd w:val="clear" w:color="auto" w:fill="auto"/>
              <w:tabs>
                <w:tab w:val="left" w:pos="1134"/>
              </w:tabs>
              <w:spacing w:before="0" w:after="160" w:line="360" w:lineRule="auto"/>
              <w:ind w:firstLine="0"/>
              <w:rPr>
                <w:rFonts w:ascii="Sylfaen" w:hAnsi="Sylfaen"/>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0FDCB0F" w14:textId="77777777" w:rsidTr="008C76E0">
        <w:trPr>
          <w:cantSplit/>
        </w:trPr>
        <w:tc>
          <w:tcPr>
            <w:tcW w:w="14691" w:type="dxa"/>
            <w:tcBorders>
              <w:top w:val="single" w:sz="4" w:space="0" w:color="auto"/>
            </w:tcBorders>
            <w:shd w:val="clear" w:color="auto" w:fill="FFFFFF"/>
          </w:tcPr>
          <w:p w14:paraId="632E4444" w14:textId="77777777" w:rsidR="008C76E0" w:rsidRPr="00BD7577" w:rsidRDefault="008C76E0" w:rsidP="008C76E0">
            <w:pPr>
              <w:pStyle w:val="Bodytext180"/>
              <w:shd w:val="clear" w:color="auto" w:fill="auto"/>
              <w:tabs>
                <w:tab w:val="left" w:pos="1134"/>
                <w:tab w:val="left" w:pos="1611"/>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3.3.</w:t>
            </w:r>
            <w:r w:rsidRPr="00BD7577">
              <w:rPr>
                <w:rStyle w:val="Bodytext295pt"/>
                <w:rFonts w:ascii="Sylfaen" w:hAnsi="Sylfaen"/>
                <w:spacing w:val="0"/>
                <w:sz w:val="24"/>
                <w:szCs w:val="24"/>
              </w:rPr>
              <w:tab/>
              <w:t>Բաշխումը:</w:t>
            </w:r>
          </w:p>
        </w:tc>
      </w:tr>
    </w:tbl>
    <w:p w14:paraId="2363B693" w14:textId="77777777" w:rsidR="008C76E0" w:rsidRPr="00BD7577" w:rsidRDefault="008C76E0" w:rsidP="008C76E0">
      <w:pPr>
        <w:tabs>
          <w:tab w:val="left" w:pos="1134"/>
        </w:tabs>
        <w:ind w:firstLine="567"/>
        <w:rPr>
          <w:rFonts w:ascii="Sylfaen" w:hAnsi="Sylfaen"/>
          <w:sz w:val="24"/>
          <w:szCs w:val="24"/>
        </w:rPr>
      </w:pPr>
    </w:p>
    <w:tbl>
      <w:tblPr>
        <w:tblOverlap w:val="never"/>
        <w:tblW w:w="14691" w:type="dxa"/>
        <w:tblLayout w:type="fixed"/>
        <w:tblCellMar>
          <w:left w:w="10" w:type="dxa"/>
          <w:right w:w="10" w:type="dxa"/>
        </w:tblCellMar>
        <w:tblLook w:val="04A0" w:firstRow="1" w:lastRow="0" w:firstColumn="1" w:lastColumn="0" w:noHBand="0" w:noVBand="1"/>
      </w:tblPr>
      <w:tblGrid>
        <w:gridCol w:w="14691"/>
      </w:tblGrid>
      <w:tr w:rsidR="008C76E0" w:rsidRPr="00BD7577" w14:paraId="4F57E9AE" w14:textId="77777777" w:rsidTr="008C76E0">
        <w:trPr>
          <w:cantSplit/>
        </w:trPr>
        <w:tc>
          <w:tcPr>
            <w:tcW w:w="14691" w:type="dxa"/>
            <w:tcBorders>
              <w:top w:val="single" w:sz="4" w:space="0" w:color="auto"/>
              <w:left w:val="single" w:sz="4" w:space="0" w:color="auto"/>
              <w:right w:val="single" w:sz="4" w:space="0" w:color="auto"/>
            </w:tcBorders>
            <w:shd w:val="clear" w:color="auto" w:fill="FFFFFF"/>
          </w:tcPr>
          <w:p w14:paraId="435FDAC1" w14:textId="77777777" w:rsidR="008C76E0" w:rsidRPr="00BD7577" w:rsidRDefault="008C76E0" w:rsidP="008C76E0">
            <w:pPr>
              <w:pStyle w:val="Bodytext180"/>
              <w:shd w:val="clear" w:color="auto" w:fill="auto"/>
              <w:tabs>
                <w:tab w:val="left" w:pos="1134"/>
              </w:tabs>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79D0337" w14:textId="77777777" w:rsidTr="008C76E0">
        <w:trPr>
          <w:cantSplit/>
        </w:trPr>
        <w:tc>
          <w:tcPr>
            <w:tcW w:w="14691" w:type="dxa"/>
            <w:tcBorders>
              <w:top w:val="single" w:sz="4" w:space="0" w:color="auto"/>
            </w:tcBorders>
            <w:shd w:val="clear" w:color="auto" w:fill="FFFFFF"/>
          </w:tcPr>
          <w:p w14:paraId="7AAC85FC" w14:textId="77777777" w:rsidR="008C76E0" w:rsidRPr="00BD7577" w:rsidRDefault="008C76E0" w:rsidP="008C76E0">
            <w:pPr>
              <w:pStyle w:val="Bodytext180"/>
              <w:shd w:val="clear" w:color="auto" w:fill="auto"/>
              <w:tabs>
                <w:tab w:val="left" w:pos="1134"/>
                <w:tab w:val="left" w:pos="1611"/>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3.4.</w:t>
            </w:r>
            <w:r w:rsidRPr="00BD7577">
              <w:rPr>
                <w:rStyle w:val="Bodytext295pt"/>
                <w:rFonts w:ascii="Sylfaen" w:hAnsi="Sylfaen"/>
                <w:spacing w:val="0"/>
                <w:sz w:val="24"/>
                <w:szCs w:val="24"/>
              </w:rPr>
              <w:tab/>
              <w:t>Նյութափոխանակություն:</w:t>
            </w:r>
          </w:p>
        </w:tc>
      </w:tr>
    </w:tbl>
    <w:p w14:paraId="6D9139C2" w14:textId="77777777" w:rsidR="008C76E0" w:rsidRPr="00BD7577" w:rsidRDefault="008C76E0" w:rsidP="008C76E0">
      <w:pPr>
        <w:tabs>
          <w:tab w:val="left" w:pos="1134"/>
        </w:tabs>
        <w:ind w:firstLine="567"/>
        <w:rPr>
          <w:rFonts w:ascii="Sylfaen" w:hAnsi="Sylfaen"/>
          <w:sz w:val="24"/>
          <w:szCs w:val="24"/>
        </w:rPr>
      </w:pPr>
    </w:p>
    <w:tbl>
      <w:tblPr>
        <w:tblOverlap w:val="never"/>
        <w:tblW w:w="14691" w:type="dxa"/>
        <w:tblLayout w:type="fixed"/>
        <w:tblCellMar>
          <w:left w:w="10" w:type="dxa"/>
          <w:right w:w="10" w:type="dxa"/>
        </w:tblCellMar>
        <w:tblLook w:val="04A0" w:firstRow="1" w:lastRow="0" w:firstColumn="1" w:lastColumn="0" w:noHBand="0" w:noVBand="1"/>
      </w:tblPr>
      <w:tblGrid>
        <w:gridCol w:w="14691"/>
      </w:tblGrid>
      <w:tr w:rsidR="008C76E0" w:rsidRPr="00BD7577" w14:paraId="7939BDCA" w14:textId="77777777" w:rsidTr="008C76E0">
        <w:trPr>
          <w:cantSplit/>
        </w:trPr>
        <w:tc>
          <w:tcPr>
            <w:tcW w:w="14691" w:type="dxa"/>
            <w:tcBorders>
              <w:top w:val="single" w:sz="4" w:space="0" w:color="auto"/>
              <w:left w:val="single" w:sz="4" w:space="0" w:color="auto"/>
              <w:right w:val="single" w:sz="4" w:space="0" w:color="auto"/>
            </w:tcBorders>
            <w:shd w:val="clear" w:color="auto" w:fill="FFFFFF"/>
          </w:tcPr>
          <w:p w14:paraId="7761AD14" w14:textId="77777777" w:rsidR="008C76E0" w:rsidRPr="00BD7577" w:rsidRDefault="008C76E0" w:rsidP="008C76E0">
            <w:pPr>
              <w:pStyle w:val="Bodytext180"/>
              <w:shd w:val="clear" w:color="auto" w:fill="auto"/>
              <w:tabs>
                <w:tab w:val="left" w:pos="1134"/>
              </w:tabs>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8AFB9F6" w14:textId="77777777" w:rsidTr="008C76E0">
        <w:trPr>
          <w:cantSplit/>
        </w:trPr>
        <w:tc>
          <w:tcPr>
            <w:tcW w:w="14691" w:type="dxa"/>
            <w:tcBorders>
              <w:top w:val="single" w:sz="4" w:space="0" w:color="auto"/>
            </w:tcBorders>
            <w:shd w:val="clear" w:color="auto" w:fill="FFFFFF"/>
            <w:vAlign w:val="center"/>
          </w:tcPr>
          <w:p w14:paraId="3732F362" w14:textId="77777777" w:rsidR="008C76E0" w:rsidRPr="00BD7577" w:rsidRDefault="008C76E0" w:rsidP="008C76E0">
            <w:pPr>
              <w:pStyle w:val="Bodytext180"/>
              <w:shd w:val="clear" w:color="auto" w:fill="auto"/>
              <w:tabs>
                <w:tab w:val="left" w:pos="1134"/>
                <w:tab w:val="left" w:pos="1611"/>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3.5.</w:t>
            </w:r>
            <w:r w:rsidRPr="00BD7577">
              <w:rPr>
                <w:rStyle w:val="Bodytext295pt"/>
                <w:rFonts w:ascii="Sylfaen" w:hAnsi="Sylfaen"/>
                <w:spacing w:val="0"/>
                <w:sz w:val="24"/>
                <w:szCs w:val="24"/>
              </w:rPr>
              <w:tab/>
              <w:t>Դուրսբերում:</w:t>
            </w:r>
          </w:p>
        </w:tc>
      </w:tr>
    </w:tbl>
    <w:p w14:paraId="487DF785" w14:textId="77777777" w:rsidR="008C76E0" w:rsidRPr="00BD7577" w:rsidRDefault="008C76E0" w:rsidP="008C76E0">
      <w:pPr>
        <w:rPr>
          <w:rFonts w:ascii="Sylfaen" w:hAnsi="Sylfaen"/>
          <w:sz w:val="24"/>
          <w:szCs w:val="24"/>
        </w:rPr>
      </w:pPr>
    </w:p>
    <w:tbl>
      <w:tblPr>
        <w:tblOverlap w:val="never"/>
        <w:tblW w:w="15092" w:type="dxa"/>
        <w:tblLayout w:type="fixed"/>
        <w:tblCellMar>
          <w:left w:w="10" w:type="dxa"/>
          <w:right w:w="10" w:type="dxa"/>
        </w:tblCellMar>
        <w:tblLook w:val="04A0" w:firstRow="1" w:lastRow="0" w:firstColumn="1" w:lastColumn="0" w:noHBand="0" w:noVBand="1"/>
      </w:tblPr>
      <w:tblGrid>
        <w:gridCol w:w="1901"/>
        <w:gridCol w:w="1262"/>
        <w:gridCol w:w="1382"/>
        <w:gridCol w:w="1258"/>
        <w:gridCol w:w="1944"/>
        <w:gridCol w:w="1262"/>
        <w:gridCol w:w="1238"/>
        <w:gridCol w:w="1262"/>
        <w:gridCol w:w="1742"/>
        <w:gridCol w:w="1360"/>
        <w:gridCol w:w="481"/>
      </w:tblGrid>
      <w:tr w:rsidR="008C76E0" w:rsidRPr="00BD7577" w14:paraId="4F91712F" w14:textId="77777777" w:rsidTr="008C76E0">
        <w:trPr>
          <w:cantSplit/>
        </w:trPr>
        <w:tc>
          <w:tcPr>
            <w:tcW w:w="1901" w:type="dxa"/>
            <w:tcBorders>
              <w:top w:val="single" w:sz="4" w:space="0" w:color="auto"/>
              <w:left w:val="single" w:sz="4" w:space="0" w:color="auto"/>
            </w:tcBorders>
            <w:shd w:val="clear" w:color="auto" w:fill="FFFFFF"/>
          </w:tcPr>
          <w:p w14:paraId="238D8B66"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lastRenderedPageBreak/>
              <w:t>Տեսակները</w:t>
            </w:r>
          </w:p>
        </w:tc>
        <w:tc>
          <w:tcPr>
            <w:tcW w:w="1262" w:type="dxa"/>
            <w:tcBorders>
              <w:top w:val="single" w:sz="4" w:space="0" w:color="auto"/>
              <w:left w:val="single" w:sz="4" w:space="0" w:color="auto"/>
            </w:tcBorders>
            <w:shd w:val="clear" w:color="auto" w:fill="FFFFFF"/>
          </w:tcPr>
          <w:p w14:paraId="082998FB"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N</w:t>
            </w:r>
          </w:p>
        </w:tc>
        <w:tc>
          <w:tcPr>
            <w:tcW w:w="1382" w:type="dxa"/>
            <w:tcBorders>
              <w:top w:val="single" w:sz="4" w:space="0" w:color="auto"/>
              <w:left w:val="single" w:sz="4" w:space="0" w:color="auto"/>
            </w:tcBorders>
            <w:shd w:val="clear" w:color="auto" w:fill="FFFFFF"/>
          </w:tcPr>
          <w:p w14:paraId="3EDE8F41"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Դոզա (մգ/կգ)</w:t>
            </w:r>
          </w:p>
        </w:tc>
        <w:tc>
          <w:tcPr>
            <w:tcW w:w="1258" w:type="dxa"/>
            <w:tcBorders>
              <w:top w:val="single" w:sz="4" w:space="0" w:color="auto"/>
              <w:left w:val="single" w:sz="4" w:space="0" w:color="auto"/>
            </w:tcBorders>
            <w:shd w:val="clear" w:color="auto" w:fill="FFFFFF"/>
          </w:tcPr>
          <w:p w14:paraId="7B2A81AF"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Ուղին</w:t>
            </w:r>
          </w:p>
        </w:tc>
        <w:tc>
          <w:tcPr>
            <w:tcW w:w="1944" w:type="dxa"/>
            <w:tcBorders>
              <w:top w:val="single" w:sz="4" w:space="0" w:color="auto"/>
              <w:left w:val="single" w:sz="4" w:space="0" w:color="auto"/>
            </w:tcBorders>
            <w:shd w:val="clear" w:color="auto" w:fill="FFFFFF"/>
          </w:tcPr>
          <w:p w14:paraId="28BE04F2"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Վերլուծության եղանակը</w:t>
            </w:r>
          </w:p>
        </w:tc>
        <w:tc>
          <w:tcPr>
            <w:tcW w:w="1262" w:type="dxa"/>
            <w:tcBorders>
              <w:top w:val="single" w:sz="4" w:space="0" w:color="auto"/>
              <w:left w:val="single" w:sz="4" w:space="0" w:color="auto"/>
            </w:tcBorders>
            <w:shd w:val="clear" w:color="auto" w:fill="FFFFFF"/>
          </w:tcPr>
          <w:p w14:paraId="1CD080D2"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 xml:space="preserve">Մեզ </w:t>
            </w:r>
            <w:r>
              <w:rPr>
                <w:rStyle w:val="Bodytext1811pt"/>
                <w:rFonts w:ascii="Sylfaen" w:hAnsi="Sylfaen"/>
                <w:sz w:val="24"/>
                <w:szCs w:val="24"/>
                <w:lang w:val="en-US"/>
              </w:rPr>
              <w:br/>
            </w:r>
            <w:r w:rsidRPr="00BD7577">
              <w:rPr>
                <w:rStyle w:val="Bodytext1811pt"/>
                <w:rFonts w:ascii="Sylfaen" w:hAnsi="Sylfaen"/>
                <w:sz w:val="24"/>
                <w:szCs w:val="24"/>
              </w:rPr>
              <w:t>(% դոզա)</w:t>
            </w:r>
          </w:p>
        </w:tc>
        <w:tc>
          <w:tcPr>
            <w:tcW w:w="1238" w:type="dxa"/>
            <w:tcBorders>
              <w:top w:val="single" w:sz="4" w:space="0" w:color="auto"/>
              <w:left w:val="single" w:sz="4" w:space="0" w:color="auto"/>
            </w:tcBorders>
            <w:shd w:val="clear" w:color="auto" w:fill="FFFFFF"/>
          </w:tcPr>
          <w:p w14:paraId="05EAC804"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 xml:space="preserve">Կեղտ </w:t>
            </w:r>
            <w:r>
              <w:rPr>
                <w:rStyle w:val="Bodytext1811pt"/>
                <w:rFonts w:ascii="Sylfaen" w:hAnsi="Sylfaen"/>
                <w:sz w:val="24"/>
                <w:szCs w:val="24"/>
                <w:lang w:val="en-US"/>
              </w:rPr>
              <w:br/>
            </w:r>
            <w:r w:rsidRPr="00BD7577">
              <w:rPr>
                <w:rStyle w:val="Bodytext1811pt"/>
                <w:rFonts w:ascii="Sylfaen" w:hAnsi="Sylfaen"/>
                <w:sz w:val="24"/>
                <w:szCs w:val="24"/>
              </w:rPr>
              <w:t>(% դոզա)</w:t>
            </w:r>
          </w:p>
        </w:tc>
        <w:tc>
          <w:tcPr>
            <w:tcW w:w="1262" w:type="dxa"/>
            <w:tcBorders>
              <w:top w:val="single" w:sz="4" w:space="0" w:color="auto"/>
              <w:left w:val="single" w:sz="4" w:space="0" w:color="auto"/>
            </w:tcBorders>
            <w:shd w:val="clear" w:color="auto" w:fill="FFFFFF"/>
          </w:tcPr>
          <w:p w14:paraId="1B07FF1F"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 xml:space="preserve">Լեղի </w:t>
            </w:r>
            <w:r>
              <w:rPr>
                <w:rStyle w:val="Bodytext1811pt"/>
                <w:rFonts w:ascii="Sylfaen" w:hAnsi="Sylfaen"/>
                <w:sz w:val="24"/>
                <w:szCs w:val="24"/>
                <w:lang w:val="en-US"/>
              </w:rPr>
              <w:br/>
            </w:r>
            <w:r w:rsidRPr="00BD7577">
              <w:rPr>
                <w:rStyle w:val="Bodytext1811pt"/>
                <w:rFonts w:ascii="Sylfaen" w:hAnsi="Sylfaen"/>
                <w:sz w:val="24"/>
                <w:szCs w:val="24"/>
              </w:rPr>
              <w:t>(% դոզա)</w:t>
            </w:r>
          </w:p>
        </w:tc>
        <w:tc>
          <w:tcPr>
            <w:tcW w:w="1742" w:type="dxa"/>
            <w:tcBorders>
              <w:top w:val="single" w:sz="4" w:space="0" w:color="auto"/>
              <w:left w:val="single" w:sz="4" w:space="0" w:color="auto"/>
            </w:tcBorders>
            <w:shd w:val="clear" w:color="auto" w:fill="FFFFFF"/>
          </w:tcPr>
          <w:p w14:paraId="1CD30E8C"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Անփոփոխ ԴՄ (% դոզա)</w:t>
            </w:r>
          </w:p>
        </w:tc>
        <w:tc>
          <w:tcPr>
            <w:tcW w:w="1360" w:type="dxa"/>
            <w:tcBorders>
              <w:top w:val="single" w:sz="4" w:space="0" w:color="auto"/>
              <w:left w:val="single" w:sz="4" w:space="0" w:color="auto"/>
            </w:tcBorders>
            <w:shd w:val="clear" w:color="auto" w:fill="FFFFFF"/>
          </w:tcPr>
          <w:p w14:paraId="67E1D2DE" w14:textId="77777777" w:rsidR="008C76E0" w:rsidRPr="00BD7577" w:rsidRDefault="008C76E0" w:rsidP="008C76E0">
            <w:pPr>
              <w:pStyle w:val="Bodytext180"/>
              <w:shd w:val="clear" w:color="auto" w:fill="auto"/>
              <w:spacing w:before="0" w:after="160" w:line="360" w:lineRule="auto"/>
              <w:ind w:left="142" w:firstLine="0"/>
              <w:rPr>
                <w:rFonts w:ascii="Sylfaen" w:hAnsi="Sylfaen"/>
                <w:b w:val="0"/>
                <w:sz w:val="24"/>
                <w:szCs w:val="24"/>
              </w:rPr>
            </w:pPr>
            <w:r w:rsidRPr="00BD7577">
              <w:rPr>
                <w:rStyle w:val="Bodytext1811pt"/>
                <w:rFonts w:ascii="Sylfaen" w:hAnsi="Sylfaen"/>
                <w:sz w:val="24"/>
                <w:szCs w:val="24"/>
              </w:rPr>
              <w:t>Ժամանակ (ժամ)</w:t>
            </w:r>
          </w:p>
        </w:tc>
        <w:tc>
          <w:tcPr>
            <w:tcW w:w="481" w:type="dxa"/>
            <w:tcBorders>
              <w:left w:val="single" w:sz="4" w:space="0" w:color="auto"/>
            </w:tcBorders>
            <w:shd w:val="clear" w:color="auto" w:fill="FFFFFF"/>
          </w:tcPr>
          <w:p w14:paraId="5D638FD3" w14:textId="77777777" w:rsidR="008C76E0" w:rsidRPr="00BD7577" w:rsidRDefault="008C76E0" w:rsidP="008C76E0">
            <w:pPr>
              <w:rPr>
                <w:rFonts w:ascii="Sylfaen" w:hAnsi="Sylfaen"/>
                <w:sz w:val="24"/>
                <w:szCs w:val="24"/>
              </w:rPr>
            </w:pPr>
          </w:p>
        </w:tc>
      </w:tr>
      <w:tr w:rsidR="008C76E0" w:rsidRPr="00BD7577" w14:paraId="7D2473DB" w14:textId="77777777" w:rsidTr="008C76E0">
        <w:trPr>
          <w:cantSplit/>
        </w:trPr>
        <w:tc>
          <w:tcPr>
            <w:tcW w:w="3163" w:type="dxa"/>
            <w:gridSpan w:val="2"/>
            <w:tcBorders>
              <w:top w:val="single" w:sz="4" w:space="0" w:color="auto"/>
            </w:tcBorders>
            <w:shd w:val="clear" w:color="auto" w:fill="FFFFFF"/>
          </w:tcPr>
          <w:p w14:paraId="19B0089F" w14:textId="77777777" w:rsidR="008C76E0" w:rsidRPr="00BD7577" w:rsidRDefault="008C76E0" w:rsidP="008C76E0">
            <w:pPr>
              <w:rPr>
                <w:rFonts w:ascii="Sylfaen" w:hAnsi="Sylfaen"/>
                <w:sz w:val="24"/>
                <w:szCs w:val="24"/>
              </w:rPr>
            </w:pPr>
          </w:p>
        </w:tc>
        <w:tc>
          <w:tcPr>
            <w:tcW w:w="1382" w:type="dxa"/>
            <w:tcBorders>
              <w:top w:val="single" w:sz="4" w:space="0" w:color="auto"/>
            </w:tcBorders>
            <w:shd w:val="clear" w:color="auto" w:fill="FFFFFF"/>
          </w:tcPr>
          <w:p w14:paraId="1147687F" w14:textId="77777777" w:rsidR="008C76E0" w:rsidRPr="00BD7577" w:rsidRDefault="008C76E0" w:rsidP="008C76E0">
            <w:pPr>
              <w:rPr>
                <w:rFonts w:ascii="Sylfaen" w:hAnsi="Sylfaen"/>
                <w:sz w:val="24"/>
                <w:szCs w:val="24"/>
              </w:rPr>
            </w:pPr>
          </w:p>
        </w:tc>
        <w:tc>
          <w:tcPr>
            <w:tcW w:w="1258" w:type="dxa"/>
            <w:tcBorders>
              <w:top w:val="single" w:sz="4" w:space="0" w:color="auto"/>
            </w:tcBorders>
            <w:shd w:val="clear" w:color="auto" w:fill="FFFFFF"/>
          </w:tcPr>
          <w:p w14:paraId="7B809478" w14:textId="77777777" w:rsidR="008C76E0" w:rsidRPr="00BD7577" w:rsidRDefault="008C76E0" w:rsidP="008C76E0">
            <w:pPr>
              <w:rPr>
                <w:rFonts w:ascii="Sylfaen" w:hAnsi="Sylfaen"/>
                <w:sz w:val="24"/>
                <w:szCs w:val="24"/>
              </w:rPr>
            </w:pPr>
          </w:p>
        </w:tc>
        <w:tc>
          <w:tcPr>
            <w:tcW w:w="1944" w:type="dxa"/>
            <w:tcBorders>
              <w:top w:val="single" w:sz="4" w:space="0" w:color="auto"/>
            </w:tcBorders>
            <w:shd w:val="clear" w:color="auto" w:fill="FFFFFF"/>
          </w:tcPr>
          <w:p w14:paraId="0ECCB29D" w14:textId="77777777" w:rsidR="008C76E0" w:rsidRPr="00BD7577" w:rsidRDefault="008C76E0" w:rsidP="008C76E0">
            <w:pPr>
              <w:rPr>
                <w:rFonts w:ascii="Sylfaen" w:hAnsi="Sylfaen"/>
                <w:sz w:val="24"/>
                <w:szCs w:val="24"/>
              </w:rPr>
            </w:pPr>
          </w:p>
        </w:tc>
        <w:tc>
          <w:tcPr>
            <w:tcW w:w="1262" w:type="dxa"/>
            <w:tcBorders>
              <w:top w:val="single" w:sz="4" w:space="0" w:color="auto"/>
            </w:tcBorders>
            <w:shd w:val="clear" w:color="auto" w:fill="FFFFFF"/>
          </w:tcPr>
          <w:p w14:paraId="5DECDD9E" w14:textId="77777777" w:rsidR="008C76E0" w:rsidRPr="00BD7577" w:rsidRDefault="008C76E0" w:rsidP="008C76E0">
            <w:pPr>
              <w:pStyle w:val="Bodytext180"/>
              <w:shd w:val="clear" w:color="auto" w:fill="auto"/>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w:t>
            </w:r>
          </w:p>
          <w:p w14:paraId="62FED32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w:t>
            </w:r>
          </w:p>
        </w:tc>
        <w:tc>
          <w:tcPr>
            <w:tcW w:w="1238" w:type="dxa"/>
            <w:tcBorders>
              <w:top w:val="single" w:sz="4" w:space="0" w:color="auto"/>
            </w:tcBorders>
            <w:shd w:val="clear" w:color="auto" w:fill="FFFFFF"/>
          </w:tcPr>
          <w:p w14:paraId="64F7A0C9" w14:textId="77777777" w:rsidR="008C76E0" w:rsidRPr="00BD7577" w:rsidRDefault="008C76E0" w:rsidP="008C76E0">
            <w:pPr>
              <w:pStyle w:val="Bodytext180"/>
              <w:shd w:val="clear" w:color="auto" w:fill="auto"/>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w:t>
            </w:r>
          </w:p>
          <w:p w14:paraId="0AE03782"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w:t>
            </w:r>
          </w:p>
        </w:tc>
        <w:tc>
          <w:tcPr>
            <w:tcW w:w="1262" w:type="dxa"/>
            <w:tcBorders>
              <w:top w:val="single" w:sz="4" w:space="0" w:color="auto"/>
            </w:tcBorders>
            <w:shd w:val="clear" w:color="auto" w:fill="FFFFFF"/>
          </w:tcPr>
          <w:p w14:paraId="56BE2CB3" w14:textId="77777777" w:rsidR="008C76E0" w:rsidRPr="00BD7577" w:rsidRDefault="008C76E0" w:rsidP="008C76E0">
            <w:pPr>
              <w:pStyle w:val="Bodytext180"/>
              <w:shd w:val="clear" w:color="auto" w:fill="auto"/>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w:t>
            </w:r>
          </w:p>
          <w:p w14:paraId="58C5AAE3"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w:t>
            </w:r>
          </w:p>
        </w:tc>
        <w:tc>
          <w:tcPr>
            <w:tcW w:w="1742" w:type="dxa"/>
            <w:tcBorders>
              <w:top w:val="single" w:sz="4" w:space="0" w:color="auto"/>
            </w:tcBorders>
            <w:shd w:val="clear" w:color="auto" w:fill="FFFFFF"/>
          </w:tcPr>
          <w:p w14:paraId="3239BAD4" w14:textId="77777777" w:rsidR="008C76E0" w:rsidRPr="00BD7577" w:rsidRDefault="008C76E0" w:rsidP="008C76E0">
            <w:pPr>
              <w:pStyle w:val="Bodytext180"/>
              <w:shd w:val="clear" w:color="auto" w:fill="auto"/>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w:t>
            </w:r>
          </w:p>
          <w:p w14:paraId="6BC13439"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w:t>
            </w:r>
          </w:p>
        </w:tc>
        <w:tc>
          <w:tcPr>
            <w:tcW w:w="1360" w:type="dxa"/>
            <w:tcBorders>
              <w:top w:val="single" w:sz="4" w:space="0" w:color="auto"/>
            </w:tcBorders>
            <w:shd w:val="clear" w:color="auto" w:fill="FFFFFF"/>
          </w:tcPr>
          <w:p w14:paraId="6DFD6D69" w14:textId="77777777" w:rsidR="008C76E0" w:rsidRPr="00BD7577" w:rsidRDefault="008C76E0" w:rsidP="008C76E0">
            <w:pPr>
              <w:pStyle w:val="Bodytext180"/>
              <w:shd w:val="clear" w:color="auto" w:fill="auto"/>
              <w:spacing w:before="0" w:after="160" w:line="360"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w:t>
            </w:r>
          </w:p>
          <w:p w14:paraId="2E5B34FB"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w:t>
            </w:r>
          </w:p>
        </w:tc>
        <w:tc>
          <w:tcPr>
            <w:tcW w:w="481" w:type="dxa"/>
            <w:shd w:val="clear" w:color="auto" w:fill="FFFFFF"/>
          </w:tcPr>
          <w:p w14:paraId="7C0C40F2" w14:textId="77777777" w:rsidR="008C76E0" w:rsidRPr="00BD7577" w:rsidRDefault="008C76E0" w:rsidP="008C76E0">
            <w:pPr>
              <w:rPr>
                <w:rFonts w:ascii="Sylfaen" w:hAnsi="Sylfaen"/>
                <w:sz w:val="24"/>
                <w:szCs w:val="24"/>
              </w:rPr>
            </w:pPr>
          </w:p>
        </w:tc>
      </w:tr>
      <w:tr w:rsidR="008C76E0" w:rsidRPr="00BD7577" w14:paraId="26F97C20" w14:textId="77777777" w:rsidTr="008C76E0">
        <w:trPr>
          <w:cantSplit/>
        </w:trPr>
        <w:tc>
          <w:tcPr>
            <w:tcW w:w="3163" w:type="dxa"/>
            <w:gridSpan w:val="2"/>
            <w:tcBorders>
              <w:top w:val="single" w:sz="4" w:space="0" w:color="auto"/>
            </w:tcBorders>
            <w:shd w:val="clear" w:color="auto" w:fill="FFFFFF"/>
          </w:tcPr>
          <w:p w14:paraId="7A7D80C8" w14:textId="77777777" w:rsidR="008C76E0" w:rsidRPr="00BD7577" w:rsidRDefault="008C76E0" w:rsidP="008C76E0">
            <w:pPr>
              <w:rPr>
                <w:rFonts w:ascii="Sylfaen" w:hAnsi="Sylfaen"/>
                <w:sz w:val="24"/>
                <w:szCs w:val="24"/>
              </w:rPr>
            </w:pPr>
          </w:p>
        </w:tc>
        <w:tc>
          <w:tcPr>
            <w:tcW w:w="1382" w:type="dxa"/>
            <w:tcBorders>
              <w:top w:val="single" w:sz="4" w:space="0" w:color="auto"/>
            </w:tcBorders>
            <w:shd w:val="clear" w:color="auto" w:fill="FFFFFF"/>
          </w:tcPr>
          <w:p w14:paraId="3BC26BF9" w14:textId="77777777" w:rsidR="008C76E0" w:rsidRPr="00BD7577" w:rsidRDefault="008C76E0" w:rsidP="008C76E0">
            <w:pPr>
              <w:rPr>
                <w:rFonts w:ascii="Sylfaen" w:hAnsi="Sylfaen"/>
                <w:sz w:val="24"/>
                <w:szCs w:val="24"/>
              </w:rPr>
            </w:pPr>
          </w:p>
        </w:tc>
        <w:tc>
          <w:tcPr>
            <w:tcW w:w="1258" w:type="dxa"/>
            <w:tcBorders>
              <w:top w:val="single" w:sz="4" w:space="0" w:color="auto"/>
            </w:tcBorders>
            <w:shd w:val="clear" w:color="auto" w:fill="FFFFFF"/>
          </w:tcPr>
          <w:p w14:paraId="2CB4F7EA" w14:textId="77777777" w:rsidR="008C76E0" w:rsidRPr="00BD7577" w:rsidRDefault="008C76E0" w:rsidP="008C76E0">
            <w:pPr>
              <w:rPr>
                <w:rFonts w:ascii="Sylfaen" w:hAnsi="Sylfaen"/>
                <w:sz w:val="24"/>
                <w:szCs w:val="24"/>
              </w:rPr>
            </w:pPr>
          </w:p>
        </w:tc>
        <w:tc>
          <w:tcPr>
            <w:tcW w:w="1944" w:type="dxa"/>
            <w:tcBorders>
              <w:top w:val="single" w:sz="4" w:space="0" w:color="auto"/>
            </w:tcBorders>
            <w:shd w:val="clear" w:color="auto" w:fill="FFFFFF"/>
          </w:tcPr>
          <w:p w14:paraId="35979849" w14:textId="77777777" w:rsidR="008C76E0" w:rsidRPr="00BD7577" w:rsidRDefault="008C76E0" w:rsidP="008C76E0">
            <w:pPr>
              <w:rPr>
                <w:rFonts w:ascii="Sylfaen" w:hAnsi="Sylfaen"/>
                <w:sz w:val="24"/>
                <w:szCs w:val="24"/>
              </w:rPr>
            </w:pPr>
          </w:p>
        </w:tc>
        <w:tc>
          <w:tcPr>
            <w:tcW w:w="1262" w:type="dxa"/>
            <w:tcBorders>
              <w:top w:val="single" w:sz="4" w:space="0" w:color="auto"/>
            </w:tcBorders>
            <w:shd w:val="clear" w:color="auto" w:fill="FFFFFF"/>
          </w:tcPr>
          <w:p w14:paraId="13B9FEEA" w14:textId="77777777" w:rsidR="008C76E0" w:rsidRPr="00BD7577" w:rsidRDefault="008C76E0" w:rsidP="008C76E0">
            <w:pPr>
              <w:rPr>
                <w:rFonts w:ascii="Sylfaen" w:hAnsi="Sylfaen"/>
                <w:sz w:val="24"/>
                <w:szCs w:val="24"/>
              </w:rPr>
            </w:pPr>
          </w:p>
        </w:tc>
        <w:tc>
          <w:tcPr>
            <w:tcW w:w="1238" w:type="dxa"/>
            <w:tcBorders>
              <w:top w:val="single" w:sz="4" w:space="0" w:color="auto"/>
            </w:tcBorders>
            <w:shd w:val="clear" w:color="auto" w:fill="FFFFFF"/>
          </w:tcPr>
          <w:p w14:paraId="61751B0A" w14:textId="77777777" w:rsidR="008C76E0" w:rsidRPr="00BD7577" w:rsidRDefault="008C76E0" w:rsidP="008C76E0">
            <w:pPr>
              <w:rPr>
                <w:rFonts w:ascii="Sylfaen" w:hAnsi="Sylfaen"/>
                <w:sz w:val="24"/>
                <w:szCs w:val="24"/>
              </w:rPr>
            </w:pPr>
          </w:p>
        </w:tc>
        <w:tc>
          <w:tcPr>
            <w:tcW w:w="1262" w:type="dxa"/>
            <w:tcBorders>
              <w:top w:val="single" w:sz="4" w:space="0" w:color="auto"/>
            </w:tcBorders>
            <w:shd w:val="clear" w:color="auto" w:fill="FFFFFF"/>
          </w:tcPr>
          <w:p w14:paraId="649B4C23" w14:textId="77777777" w:rsidR="008C76E0" w:rsidRPr="00BD7577" w:rsidRDefault="008C76E0" w:rsidP="008C76E0">
            <w:pPr>
              <w:rPr>
                <w:rFonts w:ascii="Sylfaen" w:hAnsi="Sylfaen"/>
                <w:sz w:val="24"/>
                <w:szCs w:val="24"/>
              </w:rPr>
            </w:pPr>
          </w:p>
        </w:tc>
        <w:tc>
          <w:tcPr>
            <w:tcW w:w="1742" w:type="dxa"/>
            <w:tcBorders>
              <w:top w:val="single" w:sz="4" w:space="0" w:color="auto"/>
            </w:tcBorders>
            <w:shd w:val="clear" w:color="auto" w:fill="FFFFFF"/>
          </w:tcPr>
          <w:p w14:paraId="34C4BE12" w14:textId="77777777" w:rsidR="008C76E0" w:rsidRPr="00BD7577" w:rsidRDefault="008C76E0" w:rsidP="008C76E0">
            <w:pPr>
              <w:rPr>
                <w:rFonts w:ascii="Sylfaen" w:hAnsi="Sylfaen"/>
                <w:sz w:val="24"/>
                <w:szCs w:val="24"/>
              </w:rPr>
            </w:pPr>
          </w:p>
        </w:tc>
        <w:tc>
          <w:tcPr>
            <w:tcW w:w="1360" w:type="dxa"/>
            <w:tcBorders>
              <w:top w:val="single" w:sz="4" w:space="0" w:color="auto"/>
            </w:tcBorders>
            <w:shd w:val="clear" w:color="auto" w:fill="FFFFFF"/>
          </w:tcPr>
          <w:p w14:paraId="7ABC8CD5" w14:textId="77777777" w:rsidR="008C76E0" w:rsidRPr="00BD7577" w:rsidRDefault="008C76E0" w:rsidP="008C76E0">
            <w:pPr>
              <w:rPr>
                <w:rFonts w:ascii="Sylfaen" w:hAnsi="Sylfaen"/>
                <w:sz w:val="24"/>
                <w:szCs w:val="24"/>
              </w:rPr>
            </w:pPr>
          </w:p>
        </w:tc>
        <w:tc>
          <w:tcPr>
            <w:tcW w:w="481" w:type="dxa"/>
            <w:shd w:val="clear" w:color="auto" w:fill="FFFFFF"/>
          </w:tcPr>
          <w:p w14:paraId="2E73AE7B" w14:textId="77777777" w:rsidR="008C76E0" w:rsidRPr="00BD7577" w:rsidRDefault="008C76E0" w:rsidP="008C76E0">
            <w:pPr>
              <w:rPr>
                <w:rFonts w:ascii="Sylfaen" w:hAnsi="Sylfaen"/>
                <w:sz w:val="24"/>
                <w:szCs w:val="24"/>
              </w:rPr>
            </w:pPr>
          </w:p>
        </w:tc>
      </w:tr>
    </w:tbl>
    <w:p w14:paraId="4C1BB07D" w14:textId="77777777" w:rsidR="008C76E0" w:rsidRPr="00BD7577" w:rsidRDefault="008C76E0" w:rsidP="008C76E0">
      <w:pPr>
        <w:spacing w:line="336" w:lineRule="auto"/>
        <w:rPr>
          <w:rFonts w:ascii="Sylfaen" w:hAnsi="Sylfaen"/>
          <w:sz w:val="24"/>
          <w:szCs w:val="24"/>
          <w:lang w:val="en-US"/>
        </w:rPr>
      </w:pPr>
    </w:p>
    <w:tbl>
      <w:tblPr>
        <w:tblOverlap w:val="never"/>
        <w:tblW w:w="14693" w:type="dxa"/>
        <w:tblLayout w:type="fixed"/>
        <w:tblCellMar>
          <w:left w:w="10" w:type="dxa"/>
          <w:right w:w="10" w:type="dxa"/>
        </w:tblCellMar>
        <w:tblLook w:val="04A0" w:firstRow="1" w:lastRow="0" w:firstColumn="1" w:lastColumn="0" w:noHBand="0" w:noVBand="1"/>
      </w:tblPr>
      <w:tblGrid>
        <w:gridCol w:w="14693"/>
      </w:tblGrid>
      <w:tr w:rsidR="008C76E0" w:rsidRPr="00BD7577" w14:paraId="2ACD5DBB" w14:textId="77777777" w:rsidTr="008C76E0">
        <w:tc>
          <w:tcPr>
            <w:tcW w:w="14693" w:type="dxa"/>
            <w:tcBorders>
              <w:top w:val="single" w:sz="4" w:space="0" w:color="auto"/>
              <w:left w:val="single" w:sz="4" w:space="0" w:color="auto"/>
              <w:bottom w:val="single" w:sz="4" w:space="0" w:color="auto"/>
              <w:right w:val="single" w:sz="4" w:space="0" w:color="auto"/>
            </w:tcBorders>
            <w:shd w:val="clear" w:color="auto" w:fill="FFFFFF"/>
          </w:tcPr>
          <w:p w14:paraId="5D4E9595" w14:textId="77777777" w:rsidR="008C76E0" w:rsidRPr="00BD7577" w:rsidRDefault="008C76E0" w:rsidP="008C76E0">
            <w:pPr>
              <w:pStyle w:val="Bodytext180"/>
              <w:shd w:val="clear" w:color="auto" w:fill="auto"/>
              <w:spacing w:before="0" w:after="160" w:line="336" w:lineRule="auto"/>
              <w:ind w:firstLine="0"/>
              <w:rPr>
                <w:rStyle w:val="Bodytext295pt"/>
                <w:rFonts w:ascii="Sylfaen" w:hAnsi="Sylfaen"/>
                <w:i/>
                <w:spacing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38C220E" w14:textId="77777777" w:rsidTr="008C76E0">
        <w:tc>
          <w:tcPr>
            <w:tcW w:w="14693" w:type="dxa"/>
            <w:shd w:val="clear" w:color="auto" w:fill="FFFFFF"/>
          </w:tcPr>
          <w:p w14:paraId="2391984A" w14:textId="77777777" w:rsidR="008C76E0" w:rsidRPr="00BD7577" w:rsidRDefault="008C76E0" w:rsidP="008C76E0">
            <w:pPr>
              <w:pStyle w:val="Bodytext180"/>
              <w:shd w:val="clear" w:color="auto" w:fill="auto"/>
              <w:tabs>
                <w:tab w:val="left" w:pos="1134"/>
              </w:tabs>
              <w:spacing w:before="0" w:after="160" w:line="336" w:lineRule="auto"/>
              <w:ind w:firstLine="567"/>
              <w:rPr>
                <w:rFonts w:ascii="Sylfaen" w:hAnsi="Sylfaen"/>
                <w:b w:val="0"/>
                <w:sz w:val="24"/>
                <w:szCs w:val="24"/>
              </w:rPr>
            </w:pPr>
            <w:r>
              <w:rPr>
                <w:rStyle w:val="Bodytext295pt"/>
                <w:rFonts w:ascii="Sylfaen" w:hAnsi="Sylfaen"/>
                <w:spacing w:val="0"/>
                <w:sz w:val="24"/>
                <w:szCs w:val="24"/>
              </w:rPr>
              <w:t>3.6.</w:t>
            </w:r>
            <w:r w:rsidRPr="00BD7577">
              <w:rPr>
                <w:rStyle w:val="Bodytext295pt"/>
                <w:rFonts w:ascii="Sylfaen" w:hAnsi="Sylfaen"/>
                <w:spacing w:val="0"/>
                <w:sz w:val="24"/>
                <w:szCs w:val="24"/>
              </w:rPr>
              <w:tab/>
              <w:t>Դեղակինետիկ դեղային փոխազդեցությունները:</w:t>
            </w:r>
          </w:p>
        </w:tc>
      </w:tr>
    </w:tbl>
    <w:p w14:paraId="52033E63" w14:textId="77777777" w:rsidR="008C76E0" w:rsidRPr="00BD7577" w:rsidRDefault="008C76E0" w:rsidP="008C76E0">
      <w:pPr>
        <w:spacing w:line="336" w:lineRule="auto"/>
        <w:rPr>
          <w:rFonts w:ascii="Sylfaen" w:hAnsi="Sylfaen"/>
          <w:sz w:val="24"/>
          <w:szCs w:val="24"/>
          <w:lang w:val="en-US"/>
        </w:rPr>
      </w:pPr>
    </w:p>
    <w:tbl>
      <w:tblPr>
        <w:tblOverlap w:val="never"/>
        <w:tblW w:w="14693" w:type="dxa"/>
        <w:tblLayout w:type="fixed"/>
        <w:tblCellMar>
          <w:left w:w="10" w:type="dxa"/>
          <w:right w:w="10" w:type="dxa"/>
        </w:tblCellMar>
        <w:tblLook w:val="04A0" w:firstRow="1" w:lastRow="0" w:firstColumn="1" w:lastColumn="0" w:noHBand="0" w:noVBand="1"/>
      </w:tblPr>
      <w:tblGrid>
        <w:gridCol w:w="14693"/>
      </w:tblGrid>
      <w:tr w:rsidR="008C76E0" w:rsidRPr="00BD7577" w14:paraId="1EADAD2B" w14:textId="77777777" w:rsidTr="008C76E0">
        <w:tc>
          <w:tcPr>
            <w:tcW w:w="14693" w:type="dxa"/>
            <w:tcBorders>
              <w:top w:val="single" w:sz="4" w:space="0" w:color="auto"/>
              <w:left w:val="single" w:sz="4" w:space="0" w:color="auto"/>
              <w:right w:val="single" w:sz="4" w:space="0" w:color="auto"/>
            </w:tcBorders>
            <w:shd w:val="clear" w:color="auto" w:fill="FFFFFF"/>
          </w:tcPr>
          <w:p w14:paraId="617D4ADB"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F36419A" w14:textId="77777777" w:rsidTr="008C76E0">
        <w:tc>
          <w:tcPr>
            <w:tcW w:w="14693" w:type="dxa"/>
            <w:tcBorders>
              <w:top w:val="single" w:sz="4" w:space="0" w:color="auto"/>
            </w:tcBorders>
            <w:shd w:val="clear" w:color="auto" w:fill="FFFFFF"/>
          </w:tcPr>
          <w:p w14:paraId="07D91CE5" w14:textId="77777777" w:rsidR="008C76E0" w:rsidRPr="00BD7577" w:rsidRDefault="008C76E0" w:rsidP="008C76E0">
            <w:pPr>
              <w:pStyle w:val="Bodytext180"/>
              <w:shd w:val="clear" w:color="auto" w:fill="auto"/>
              <w:tabs>
                <w:tab w:val="left" w:pos="1155"/>
              </w:tabs>
              <w:spacing w:before="0" w:after="160" w:line="336" w:lineRule="auto"/>
              <w:ind w:firstLine="567"/>
              <w:rPr>
                <w:rFonts w:ascii="Sylfaen" w:hAnsi="Sylfaen"/>
                <w:b w:val="0"/>
                <w:sz w:val="24"/>
                <w:szCs w:val="24"/>
              </w:rPr>
            </w:pPr>
            <w:r w:rsidRPr="00BD7577">
              <w:rPr>
                <w:rStyle w:val="Bodytext295pt"/>
                <w:rFonts w:ascii="Sylfaen" w:hAnsi="Sylfaen"/>
                <w:spacing w:val="0"/>
                <w:sz w:val="24"/>
                <w:szCs w:val="24"/>
              </w:rPr>
              <w:t>3.7.</w:t>
            </w:r>
            <w:r w:rsidRPr="00BD7577">
              <w:rPr>
                <w:rStyle w:val="Bodytext295pt"/>
                <w:rFonts w:ascii="Sylfaen" w:hAnsi="Sylfaen"/>
                <w:spacing w:val="0"/>
                <w:sz w:val="24"/>
                <w:szCs w:val="24"/>
              </w:rPr>
              <w:tab/>
              <w:t>Այլ դեղակինետիկ հետազոտություններ:</w:t>
            </w:r>
          </w:p>
        </w:tc>
      </w:tr>
    </w:tbl>
    <w:p w14:paraId="4F7F8491" w14:textId="77777777" w:rsidR="008C76E0" w:rsidRPr="00BD7577" w:rsidRDefault="008C76E0" w:rsidP="008C76E0">
      <w:pPr>
        <w:spacing w:line="336" w:lineRule="auto"/>
        <w:rPr>
          <w:rFonts w:ascii="Sylfaen" w:hAnsi="Sylfaen"/>
          <w:sz w:val="24"/>
          <w:szCs w:val="24"/>
        </w:rPr>
      </w:pPr>
    </w:p>
    <w:tbl>
      <w:tblPr>
        <w:tblOverlap w:val="never"/>
        <w:tblW w:w="14693" w:type="dxa"/>
        <w:tblLayout w:type="fixed"/>
        <w:tblCellMar>
          <w:left w:w="10" w:type="dxa"/>
          <w:right w:w="10" w:type="dxa"/>
        </w:tblCellMar>
        <w:tblLook w:val="04A0" w:firstRow="1" w:lastRow="0" w:firstColumn="1" w:lastColumn="0" w:noHBand="0" w:noVBand="1"/>
      </w:tblPr>
      <w:tblGrid>
        <w:gridCol w:w="14693"/>
      </w:tblGrid>
      <w:tr w:rsidR="008C76E0" w:rsidRPr="00BD7577" w14:paraId="229194C4" w14:textId="77777777" w:rsidTr="008C76E0">
        <w:tc>
          <w:tcPr>
            <w:tcW w:w="14693" w:type="dxa"/>
            <w:tcBorders>
              <w:top w:val="single" w:sz="4" w:space="0" w:color="auto"/>
              <w:left w:val="single" w:sz="4" w:space="0" w:color="auto"/>
              <w:right w:val="single" w:sz="4" w:space="0" w:color="auto"/>
            </w:tcBorders>
            <w:shd w:val="clear" w:color="auto" w:fill="FFFFFF"/>
          </w:tcPr>
          <w:p w14:paraId="6A0D7D6C"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7C5A82B" w14:textId="77777777" w:rsidTr="008C76E0">
        <w:tc>
          <w:tcPr>
            <w:tcW w:w="14693" w:type="dxa"/>
            <w:tcBorders>
              <w:top w:val="single" w:sz="4" w:space="0" w:color="auto"/>
            </w:tcBorders>
            <w:shd w:val="clear" w:color="auto" w:fill="FFFFFF"/>
            <w:vAlign w:val="bottom"/>
          </w:tcPr>
          <w:p w14:paraId="4604F8B2" w14:textId="77777777" w:rsidR="008C76E0" w:rsidRPr="008C76E0" w:rsidRDefault="008C76E0" w:rsidP="008C76E0">
            <w:pPr>
              <w:pStyle w:val="Bodytext180"/>
              <w:shd w:val="clear" w:color="auto" w:fill="auto"/>
              <w:tabs>
                <w:tab w:val="left" w:pos="1611"/>
              </w:tabs>
              <w:spacing w:before="0" w:after="160" w:line="336" w:lineRule="auto"/>
              <w:ind w:firstLine="567"/>
              <w:rPr>
                <w:rFonts w:ascii="Sylfaen" w:hAnsi="Sylfaen"/>
                <w:b w:val="0"/>
                <w:sz w:val="24"/>
                <w:szCs w:val="24"/>
                <w:lang w:val="hy-AM"/>
              </w:rPr>
            </w:pPr>
            <w:r w:rsidRPr="00BD7577">
              <w:rPr>
                <w:rStyle w:val="Bodytext295pt"/>
                <w:rFonts w:ascii="Sylfaen" w:hAnsi="Sylfaen"/>
                <w:spacing w:val="0"/>
                <w:sz w:val="24"/>
                <w:szCs w:val="24"/>
              </w:rPr>
              <w:t xml:space="preserve">3.8. </w:t>
            </w:r>
            <w:r w:rsidRPr="00BD7577">
              <w:rPr>
                <w:rStyle w:val="Bodytext295pt"/>
                <w:rFonts w:ascii="Sylfaen" w:hAnsi="Sylfaen"/>
                <w:spacing w:val="0"/>
                <w:sz w:val="24"/>
                <w:szCs w:val="24"/>
              </w:rPr>
              <w:tab/>
              <w:t>Դեղակինետիկայի գծով փորձագետի ընդհանուր եզրակացությունը:</w:t>
            </w:r>
          </w:p>
        </w:tc>
      </w:tr>
    </w:tbl>
    <w:p w14:paraId="04D15BDB" w14:textId="77777777" w:rsidR="008C76E0" w:rsidRPr="00BD7577" w:rsidRDefault="008C76E0" w:rsidP="008C76E0">
      <w:pPr>
        <w:rPr>
          <w:rFonts w:ascii="Sylfaen" w:hAnsi="Sylfaen"/>
          <w:sz w:val="24"/>
          <w:szCs w:val="24"/>
        </w:rPr>
      </w:pPr>
    </w:p>
    <w:p w14:paraId="6EBD990D" w14:textId="77777777" w:rsidR="008C76E0" w:rsidRPr="00BD7577" w:rsidRDefault="008C76E0" w:rsidP="008C76E0">
      <w:pPr>
        <w:rPr>
          <w:rFonts w:ascii="Sylfaen" w:hAnsi="Sylfaen"/>
          <w:sz w:val="24"/>
          <w:szCs w:val="24"/>
        </w:rPr>
        <w:sectPr w:rsidR="008C76E0" w:rsidRPr="00BD7577" w:rsidSect="001C3278">
          <w:headerReference w:type="even" r:id="rId20"/>
          <w:headerReference w:type="default" r:id="rId21"/>
          <w:pgSz w:w="16839" w:h="11907" w:orient="landscape" w:code="9"/>
          <w:pgMar w:top="1418" w:right="1418" w:bottom="1418" w:left="1418" w:header="0" w:footer="564" w:gutter="0"/>
          <w:cols w:space="720"/>
          <w:noEndnote/>
          <w:docGrid w:linePitch="360"/>
        </w:sectPr>
      </w:pPr>
    </w:p>
    <w:tbl>
      <w:tblPr>
        <w:tblOverlap w:val="never"/>
        <w:tblW w:w="10626" w:type="dxa"/>
        <w:jc w:val="center"/>
        <w:tblLayout w:type="fixed"/>
        <w:tblCellMar>
          <w:left w:w="10" w:type="dxa"/>
          <w:right w:w="10" w:type="dxa"/>
        </w:tblCellMar>
        <w:tblLook w:val="04A0" w:firstRow="1" w:lastRow="0" w:firstColumn="1" w:lastColumn="0" w:noHBand="0" w:noVBand="1"/>
      </w:tblPr>
      <w:tblGrid>
        <w:gridCol w:w="2222"/>
        <w:gridCol w:w="1631"/>
        <w:gridCol w:w="7"/>
        <w:gridCol w:w="397"/>
        <w:gridCol w:w="1126"/>
        <w:gridCol w:w="392"/>
        <w:gridCol w:w="1476"/>
        <w:gridCol w:w="245"/>
        <w:gridCol w:w="1335"/>
        <w:gridCol w:w="241"/>
        <w:gridCol w:w="1554"/>
      </w:tblGrid>
      <w:tr w:rsidR="008C76E0" w:rsidRPr="00BD7577" w14:paraId="57AB7087" w14:textId="77777777" w:rsidTr="008C76E0">
        <w:trPr>
          <w:jc w:val="center"/>
        </w:trPr>
        <w:tc>
          <w:tcPr>
            <w:tcW w:w="10626" w:type="dxa"/>
            <w:gridSpan w:val="11"/>
            <w:shd w:val="clear" w:color="auto" w:fill="FFFFFF"/>
          </w:tcPr>
          <w:p w14:paraId="7AA58646" w14:textId="77777777" w:rsidR="008C76E0" w:rsidRPr="00BD7577" w:rsidRDefault="008C76E0" w:rsidP="001C3278">
            <w:pPr>
              <w:pStyle w:val="Bodytext180"/>
              <w:shd w:val="clear" w:color="auto" w:fill="auto"/>
              <w:tabs>
                <w:tab w:val="left" w:pos="1073"/>
              </w:tabs>
              <w:spacing w:before="0" w:after="160" w:line="360" w:lineRule="auto"/>
              <w:ind w:firstLine="567"/>
              <w:rPr>
                <w:rStyle w:val="Bodytext295pt"/>
                <w:rFonts w:ascii="Sylfaen" w:hAnsi="Sylfaen"/>
                <w:b/>
                <w:spacing w:val="0"/>
                <w:sz w:val="24"/>
                <w:szCs w:val="24"/>
              </w:rPr>
            </w:pPr>
            <w:r>
              <w:rPr>
                <w:rStyle w:val="Bodytext295pt"/>
                <w:rFonts w:ascii="Sylfaen" w:hAnsi="Sylfaen"/>
                <w:spacing w:val="0"/>
                <w:sz w:val="24"/>
                <w:szCs w:val="24"/>
              </w:rPr>
              <w:lastRenderedPageBreak/>
              <w:t>4.</w:t>
            </w:r>
            <w:r w:rsidRPr="00BD7577">
              <w:rPr>
                <w:rStyle w:val="Bodytext295pt"/>
                <w:rFonts w:ascii="Sylfaen" w:hAnsi="Sylfaen"/>
                <w:spacing w:val="0"/>
                <w:sz w:val="24"/>
                <w:szCs w:val="24"/>
              </w:rPr>
              <w:tab/>
              <w:t xml:space="preserve">Թունաբանություն (2.6.6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4.3.3 մոդուլներ):</w:t>
            </w:r>
          </w:p>
          <w:p w14:paraId="3B1D23B1" w14:textId="77777777" w:rsidR="008C76E0" w:rsidRPr="008C76E0" w:rsidRDefault="008C76E0" w:rsidP="001C3278">
            <w:pPr>
              <w:pStyle w:val="Bodytext180"/>
              <w:shd w:val="clear" w:color="auto" w:fill="auto"/>
              <w:tabs>
                <w:tab w:val="left" w:pos="1073"/>
              </w:tabs>
              <w:spacing w:before="0" w:after="160" w:line="360" w:lineRule="auto"/>
              <w:ind w:firstLine="567"/>
              <w:rPr>
                <w:rFonts w:ascii="Sylfaen" w:hAnsi="Sylfaen"/>
                <w:sz w:val="24"/>
                <w:szCs w:val="24"/>
                <w:lang w:val="hy-AM"/>
              </w:rPr>
            </w:pPr>
            <w:r>
              <w:rPr>
                <w:rStyle w:val="Bodytext295pt"/>
                <w:rFonts w:ascii="Sylfaen" w:hAnsi="Sylfaen"/>
                <w:spacing w:val="0"/>
                <w:sz w:val="24"/>
                <w:szCs w:val="24"/>
              </w:rPr>
              <w:t>4.1.</w:t>
            </w:r>
            <w:r w:rsidRPr="00BD7577">
              <w:rPr>
                <w:rStyle w:val="Bodytext295pt"/>
                <w:rFonts w:ascii="Sylfaen" w:hAnsi="Sylfaen"/>
                <w:spacing w:val="0"/>
                <w:sz w:val="24"/>
                <w:szCs w:val="24"/>
              </w:rPr>
              <w:tab/>
              <w:t>Թո</w:t>
            </w:r>
            <w:r w:rsidRPr="00BD7577">
              <w:rPr>
                <w:rStyle w:val="Bodytext295pt"/>
                <w:rFonts w:ascii="Sylfaen" w:eastAsia="MS Mincho" w:hAnsi="Sylfaen"/>
                <w:spacing w:val="0"/>
                <w:sz w:val="24"/>
                <w:szCs w:val="24"/>
              </w:rPr>
              <w:t>ւնավորությունը՝ մեկանգամյա ներարկման դեպքում:</w:t>
            </w:r>
          </w:p>
          <w:p w14:paraId="67EF054E" w14:textId="77777777" w:rsidR="008C76E0" w:rsidRPr="008C76E0" w:rsidRDefault="008C76E0" w:rsidP="001C3278">
            <w:pPr>
              <w:pStyle w:val="Bodytext180"/>
              <w:shd w:val="clear" w:color="auto" w:fill="auto"/>
              <w:spacing w:before="0" w:after="160" w:line="360" w:lineRule="auto"/>
              <w:ind w:left="3341" w:right="260" w:firstLine="0"/>
              <w:jc w:val="right"/>
              <w:rPr>
                <w:rFonts w:ascii="Sylfaen" w:hAnsi="Sylfaen"/>
                <w:b w:val="0"/>
                <w:sz w:val="24"/>
                <w:szCs w:val="24"/>
                <w:lang w:val="hy-AM"/>
              </w:rPr>
            </w:pPr>
            <w:r w:rsidRPr="00BD7577">
              <w:rPr>
                <w:rStyle w:val="Bodytext295pt"/>
                <w:rFonts w:ascii="Sylfaen" w:hAnsi="Sylfaen"/>
                <w:spacing w:val="0"/>
                <w:sz w:val="24"/>
                <w:szCs w:val="24"/>
              </w:rPr>
              <w:t>Մեկանգամյա ներարկման դեպքում թունավորության հետազոտության համար աղյուսակի օրինակ՝</w:t>
            </w:r>
          </w:p>
        </w:tc>
      </w:tr>
      <w:tr w:rsidR="008C76E0" w:rsidRPr="00BD7577" w14:paraId="361E6BA9" w14:textId="77777777" w:rsidTr="008C76E0">
        <w:trPr>
          <w:jc w:val="center"/>
        </w:trPr>
        <w:tc>
          <w:tcPr>
            <w:tcW w:w="2222" w:type="dxa"/>
            <w:tcBorders>
              <w:top w:val="single" w:sz="4" w:space="0" w:color="auto"/>
              <w:left w:val="single" w:sz="4" w:space="0" w:color="auto"/>
            </w:tcBorders>
            <w:shd w:val="clear" w:color="auto" w:fill="FFFFFF"/>
          </w:tcPr>
          <w:p w14:paraId="6708DA29" w14:textId="77777777" w:rsidR="008C76E0" w:rsidRPr="00BD7577" w:rsidRDefault="008C76E0" w:rsidP="001C3278">
            <w:pPr>
              <w:pStyle w:val="Bodytext180"/>
              <w:shd w:val="clear" w:color="auto" w:fill="auto"/>
              <w:spacing w:before="0" w:after="160" w:line="360" w:lineRule="auto"/>
              <w:ind w:left="85" w:right="37" w:firstLine="0"/>
              <w:jc w:val="both"/>
              <w:rPr>
                <w:rFonts w:ascii="Sylfaen" w:hAnsi="Sylfaen"/>
                <w:b w:val="0"/>
                <w:sz w:val="24"/>
                <w:szCs w:val="24"/>
              </w:rPr>
            </w:pPr>
            <w:r w:rsidRPr="00BD7577">
              <w:rPr>
                <w:rStyle w:val="Bodytext1811pt"/>
                <w:rFonts w:ascii="Sylfaen" w:hAnsi="Sylfaen"/>
                <w:sz w:val="24"/>
                <w:szCs w:val="24"/>
              </w:rPr>
              <w:t>Հետազոտության նույնականացման համարը</w:t>
            </w:r>
          </w:p>
        </w:tc>
        <w:tc>
          <w:tcPr>
            <w:tcW w:w="2035" w:type="dxa"/>
            <w:gridSpan w:val="3"/>
            <w:tcBorders>
              <w:top w:val="single" w:sz="4" w:space="0" w:color="auto"/>
              <w:left w:val="single" w:sz="4" w:space="0" w:color="auto"/>
            </w:tcBorders>
            <w:shd w:val="clear" w:color="auto" w:fill="FFFFFF"/>
          </w:tcPr>
          <w:p w14:paraId="59A63F0B" w14:textId="77777777" w:rsidR="008C76E0" w:rsidRPr="00BD7577" w:rsidRDefault="008C76E0" w:rsidP="001C3278">
            <w:pPr>
              <w:pStyle w:val="Bodytext180"/>
              <w:shd w:val="clear" w:color="auto" w:fill="auto"/>
              <w:spacing w:before="0" w:after="160" w:line="360" w:lineRule="auto"/>
              <w:ind w:left="85" w:right="37" w:firstLine="0"/>
              <w:jc w:val="both"/>
              <w:rPr>
                <w:rFonts w:ascii="Sylfaen" w:hAnsi="Sylfaen"/>
                <w:b w:val="0"/>
                <w:sz w:val="24"/>
                <w:szCs w:val="24"/>
              </w:rPr>
            </w:pPr>
            <w:r w:rsidRPr="00BD7577">
              <w:rPr>
                <w:rStyle w:val="Bodytext1811pt"/>
                <w:rFonts w:ascii="Sylfaen" w:hAnsi="Sylfaen"/>
                <w:sz w:val="24"/>
                <w:szCs w:val="24"/>
              </w:rPr>
              <w:t>Տեսակները/սեռը/քանակը/խումբը</w:t>
            </w:r>
          </w:p>
        </w:tc>
        <w:tc>
          <w:tcPr>
            <w:tcW w:w="1518" w:type="dxa"/>
            <w:gridSpan w:val="2"/>
            <w:tcBorders>
              <w:top w:val="single" w:sz="4" w:space="0" w:color="auto"/>
              <w:left w:val="single" w:sz="4" w:space="0" w:color="auto"/>
            </w:tcBorders>
            <w:shd w:val="clear" w:color="auto" w:fill="FFFFFF"/>
          </w:tcPr>
          <w:p w14:paraId="59CD7544" w14:textId="77777777" w:rsidR="008C76E0" w:rsidRPr="00BD7577" w:rsidRDefault="008C76E0" w:rsidP="001C3278">
            <w:pPr>
              <w:pStyle w:val="Bodytext180"/>
              <w:shd w:val="clear" w:color="auto" w:fill="auto"/>
              <w:spacing w:before="0" w:after="160" w:line="360" w:lineRule="auto"/>
              <w:ind w:left="85" w:right="37" w:firstLine="0"/>
              <w:jc w:val="both"/>
              <w:rPr>
                <w:rFonts w:ascii="Sylfaen" w:hAnsi="Sylfaen"/>
                <w:b w:val="0"/>
                <w:sz w:val="24"/>
                <w:szCs w:val="24"/>
              </w:rPr>
            </w:pPr>
            <w:r w:rsidRPr="00BD7577">
              <w:rPr>
                <w:rStyle w:val="Bodytext1811pt"/>
                <w:rFonts w:ascii="Sylfaen" w:hAnsi="Sylfaen"/>
                <w:sz w:val="24"/>
                <w:szCs w:val="24"/>
              </w:rPr>
              <w:t>Դոզան/</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ներարկման ուղին</w:t>
            </w:r>
          </w:p>
        </w:tc>
        <w:tc>
          <w:tcPr>
            <w:tcW w:w="3056" w:type="dxa"/>
            <w:gridSpan w:val="3"/>
            <w:tcBorders>
              <w:top w:val="single" w:sz="4" w:space="0" w:color="auto"/>
              <w:left w:val="single" w:sz="4" w:space="0" w:color="auto"/>
            </w:tcBorders>
            <w:shd w:val="clear" w:color="auto" w:fill="FFFFFF"/>
          </w:tcPr>
          <w:p w14:paraId="3A189D9A" w14:textId="77777777" w:rsidR="008C76E0" w:rsidRPr="00BD7577" w:rsidRDefault="008C76E0" w:rsidP="001C3278">
            <w:pPr>
              <w:pStyle w:val="Bodytext180"/>
              <w:shd w:val="clear" w:color="auto" w:fill="auto"/>
              <w:spacing w:before="0" w:after="160" w:line="360" w:lineRule="auto"/>
              <w:ind w:left="85" w:right="37" w:firstLine="0"/>
              <w:rPr>
                <w:rFonts w:ascii="Sylfaen" w:hAnsi="Sylfaen"/>
                <w:b w:val="0"/>
                <w:sz w:val="24"/>
                <w:szCs w:val="24"/>
              </w:rPr>
            </w:pPr>
            <w:r w:rsidRPr="00BD7577">
              <w:rPr>
                <w:rStyle w:val="Bodytext1811pt"/>
                <w:rFonts w:ascii="Sylfaen" w:hAnsi="Sylfaen"/>
                <w:sz w:val="24"/>
                <w:szCs w:val="24"/>
              </w:rPr>
              <w:t>Հաշվարկված մահացու դոզան (դիտարկվող առավելագույն ոչ մահացու դոզան)</w:t>
            </w:r>
          </w:p>
        </w:tc>
        <w:tc>
          <w:tcPr>
            <w:tcW w:w="1795" w:type="dxa"/>
            <w:gridSpan w:val="2"/>
            <w:tcBorders>
              <w:top w:val="single" w:sz="4" w:space="0" w:color="auto"/>
              <w:left w:val="single" w:sz="4" w:space="0" w:color="auto"/>
            </w:tcBorders>
            <w:shd w:val="clear" w:color="auto" w:fill="FFFFFF"/>
          </w:tcPr>
          <w:p w14:paraId="5D62E600" w14:textId="77777777" w:rsidR="008C76E0" w:rsidRPr="00BD7577" w:rsidRDefault="008C76E0" w:rsidP="001C3278">
            <w:pPr>
              <w:pStyle w:val="Bodytext180"/>
              <w:shd w:val="clear" w:color="auto" w:fill="auto"/>
              <w:spacing w:before="0" w:after="160" w:line="360" w:lineRule="auto"/>
              <w:ind w:left="85" w:right="37" w:firstLine="0"/>
              <w:jc w:val="both"/>
              <w:rPr>
                <w:rFonts w:ascii="Sylfaen" w:hAnsi="Sylfaen"/>
                <w:b w:val="0"/>
                <w:sz w:val="24"/>
                <w:szCs w:val="24"/>
              </w:rPr>
            </w:pPr>
            <w:r w:rsidRPr="00BD7577">
              <w:rPr>
                <w:rStyle w:val="Bodytext1811pt"/>
                <w:rFonts w:ascii="Sylfaen" w:hAnsi="Sylfaen"/>
                <w:sz w:val="24"/>
                <w:szCs w:val="24"/>
              </w:rPr>
              <w:t>Հիմնական արդյունքները</w:t>
            </w:r>
          </w:p>
        </w:tc>
      </w:tr>
      <w:tr w:rsidR="008C76E0" w:rsidRPr="00BD7577" w14:paraId="6ACDE81B" w14:textId="77777777" w:rsidTr="008C76E0">
        <w:trPr>
          <w:jc w:val="center"/>
        </w:trPr>
        <w:tc>
          <w:tcPr>
            <w:tcW w:w="10626" w:type="dxa"/>
            <w:gridSpan w:val="11"/>
            <w:tcBorders>
              <w:top w:val="single" w:sz="4" w:space="0" w:color="auto"/>
            </w:tcBorders>
            <w:shd w:val="clear" w:color="auto" w:fill="FFFFFF"/>
          </w:tcPr>
          <w:p w14:paraId="48150E2E" w14:textId="77777777" w:rsidR="008C76E0" w:rsidRPr="00BD7577" w:rsidRDefault="008C76E0" w:rsidP="001C3278">
            <w:pPr>
              <w:spacing w:after="160" w:line="360" w:lineRule="auto"/>
              <w:rPr>
                <w:rFonts w:ascii="Sylfaen" w:hAnsi="Sylfaen"/>
                <w:sz w:val="24"/>
                <w:szCs w:val="24"/>
              </w:rPr>
            </w:pPr>
          </w:p>
        </w:tc>
      </w:tr>
      <w:tr w:rsidR="008C76E0" w:rsidRPr="00BD7577" w14:paraId="6B597E1E" w14:textId="77777777" w:rsidTr="008C76E0">
        <w:trPr>
          <w:jc w:val="center"/>
        </w:trPr>
        <w:tc>
          <w:tcPr>
            <w:tcW w:w="10626" w:type="dxa"/>
            <w:gridSpan w:val="11"/>
            <w:tcBorders>
              <w:top w:val="single" w:sz="4" w:space="0" w:color="auto"/>
            </w:tcBorders>
            <w:shd w:val="clear" w:color="auto" w:fill="FFFFFF"/>
          </w:tcPr>
          <w:p w14:paraId="784E3523" w14:textId="77777777" w:rsidR="008C76E0" w:rsidRPr="00BD7577" w:rsidRDefault="008C76E0" w:rsidP="001C3278">
            <w:pPr>
              <w:spacing w:after="160" w:line="360" w:lineRule="auto"/>
              <w:rPr>
                <w:rFonts w:ascii="Sylfaen" w:hAnsi="Sylfaen"/>
                <w:sz w:val="24"/>
                <w:szCs w:val="24"/>
              </w:rPr>
            </w:pPr>
          </w:p>
        </w:tc>
      </w:tr>
      <w:tr w:rsidR="008C76E0" w:rsidRPr="00BD7577" w14:paraId="63486DF4" w14:textId="77777777" w:rsidTr="008C76E0">
        <w:trPr>
          <w:jc w:val="center"/>
        </w:trPr>
        <w:tc>
          <w:tcPr>
            <w:tcW w:w="10626" w:type="dxa"/>
            <w:gridSpan w:val="11"/>
            <w:tcBorders>
              <w:top w:val="single" w:sz="4" w:space="0" w:color="auto"/>
              <w:left w:val="single" w:sz="4" w:space="0" w:color="auto"/>
            </w:tcBorders>
            <w:shd w:val="clear" w:color="auto" w:fill="FFFFFF"/>
          </w:tcPr>
          <w:p w14:paraId="63482F38" w14:textId="77777777" w:rsidR="008C76E0" w:rsidRPr="00BD7577" w:rsidRDefault="008C76E0" w:rsidP="001C3278">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638D774" w14:textId="77777777" w:rsidTr="008C76E0">
        <w:trPr>
          <w:jc w:val="center"/>
        </w:trPr>
        <w:tc>
          <w:tcPr>
            <w:tcW w:w="10626" w:type="dxa"/>
            <w:gridSpan w:val="11"/>
            <w:tcBorders>
              <w:top w:val="single" w:sz="4" w:space="0" w:color="auto"/>
            </w:tcBorders>
            <w:shd w:val="clear" w:color="auto" w:fill="FFFFFF"/>
            <w:vAlign w:val="bottom"/>
          </w:tcPr>
          <w:p w14:paraId="6CAF1815" w14:textId="77777777" w:rsidR="008C76E0" w:rsidRPr="008C76E0" w:rsidRDefault="008C76E0" w:rsidP="001C3278">
            <w:pPr>
              <w:pStyle w:val="Bodytext180"/>
              <w:shd w:val="clear" w:color="auto" w:fill="auto"/>
              <w:tabs>
                <w:tab w:val="left" w:pos="1194"/>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4.2.</w:t>
            </w:r>
            <w:r w:rsidRPr="00BD7577">
              <w:rPr>
                <w:rStyle w:val="Bodytext295pt"/>
                <w:rFonts w:ascii="Sylfaen" w:hAnsi="Sylfaen"/>
                <w:spacing w:val="0"/>
                <w:sz w:val="24"/>
                <w:szCs w:val="24"/>
              </w:rPr>
              <w:tab/>
              <w:t>Թունավորությունը բազմակի ներարկման դեպքում:</w:t>
            </w:r>
          </w:p>
          <w:p w14:paraId="143BD3CB" w14:textId="77777777" w:rsidR="008C76E0" w:rsidRPr="008C76E0" w:rsidRDefault="008C76E0" w:rsidP="001C3278">
            <w:pPr>
              <w:pStyle w:val="Bodytext180"/>
              <w:shd w:val="clear" w:color="auto" w:fill="auto"/>
              <w:spacing w:before="0" w:after="160" w:line="360" w:lineRule="auto"/>
              <w:ind w:left="3341" w:right="260" w:firstLine="0"/>
              <w:jc w:val="right"/>
              <w:rPr>
                <w:rFonts w:ascii="Sylfaen" w:hAnsi="Sylfaen"/>
                <w:b w:val="0"/>
                <w:sz w:val="24"/>
                <w:szCs w:val="24"/>
                <w:lang w:val="hy-AM"/>
              </w:rPr>
            </w:pPr>
            <w:r w:rsidRPr="00BD7577">
              <w:rPr>
                <w:rStyle w:val="Bodytext295pt"/>
                <w:rFonts w:ascii="Sylfaen" w:hAnsi="Sylfaen"/>
                <w:spacing w:val="0"/>
                <w:sz w:val="24"/>
                <w:szCs w:val="24"/>
              </w:rPr>
              <w:t>Բազմակի ներարկման դեպքում թունավորության հետազոտության համար աղյուսակի օրինակ՝</w:t>
            </w:r>
          </w:p>
        </w:tc>
      </w:tr>
      <w:tr w:rsidR="008C76E0" w:rsidRPr="00BD7577" w14:paraId="1F596366" w14:textId="77777777" w:rsidTr="008C76E0">
        <w:trPr>
          <w:jc w:val="center"/>
        </w:trPr>
        <w:tc>
          <w:tcPr>
            <w:tcW w:w="2222" w:type="dxa"/>
            <w:tcBorders>
              <w:top w:val="single" w:sz="4" w:space="0" w:color="auto"/>
              <w:left w:val="single" w:sz="4" w:space="0" w:color="auto"/>
            </w:tcBorders>
            <w:shd w:val="clear" w:color="auto" w:fill="FFFFFF"/>
          </w:tcPr>
          <w:p w14:paraId="5DAE6CA2"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Հետազոտության նույնականացման համարը</w:t>
            </w:r>
          </w:p>
        </w:tc>
        <w:tc>
          <w:tcPr>
            <w:tcW w:w="2035" w:type="dxa"/>
            <w:gridSpan w:val="3"/>
            <w:tcBorders>
              <w:top w:val="single" w:sz="4" w:space="0" w:color="auto"/>
              <w:left w:val="single" w:sz="4" w:space="0" w:color="auto"/>
            </w:tcBorders>
            <w:shd w:val="clear" w:color="auto" w:fill="FFFFFF"/>
          </w:tcPr>
          <w:p w14:paraId="078A677C" w14:textId="77777777" w:rsidR="008C76E0" w:rsidRPr="00BD7577" w:rsidRDefault="008C76E0" w:rsidP="001C3278">
            <w:pPr>
              <w:pStyle w:val="Bodytext180"/>
              <w:shd w:val="clear" w:color="auto" w:fill="auto"/>
              <w:spacing w:before="0" w:after="160" w:line="360" w:lineRule="auto"/>
              <w:ind w:left="85" w:right="-10" w:firstLine="0"/>
              <w:rPr>
                <w:rFonts w:ascii="Sylfaen" w:hAnsi="Sylfaen"/>
                <w:b w:val="0"/>
                <w:sz w:val="24"/>
                <w:szCs w:val="24"/>
              </w:rPr>
            </w:pPr>
            <w:r w:rsidRPr="00BD7577">
              <w:rPr>
                <w:rStyle w:val="Bodytext1811pt"/>
                <w:rFonts w:ascii="Sylfaen" w:hAnsi="Sylfaen"/>
                <w:sz w:val="24"/>
                <w:szCs w:val="24"/>
              </w:rPr>
              <w:t>Տեսակները/սեռը/քանակը/խումբը</w:t>
            </w:r>
          </w:p>
        </w:tc>
        <w:tc>
          <w:tcPr>
            <w:tcW w:w="1518" w:type="dxa"/>
            <w:gridSpan w:val="2"/>
            <w:tcBorders>
              <w:top w:val="single" w:sz="4" w:space="0" w:color="auto"/>
              <w:left w:val="single" w:sz="4" w:space="0" w:color="auto"/>
            </w:tcBorders>
            <w:shd w:val="clear" w:color="auto" w:fill="FFFFFF"/>
          </w:tcPr>
          <w:p w14:paraId="63B0B159"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Դոզան/</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ներարկման ուղին</w:t>
            </w:r>
          </w:p>
        </w:tc>
        <w:tc>
          <w:tcPr>
            <w:tcW w:w="1721" w:type="dxa"/>
            <w:gridSpan w:val="2"/>
            <w:tcBorders>
              <w:top w:val="single" w:sz="4" w:space="0" w:color="auto"/>
            </w:tcBorders>
            <w:shd w:val="clear" w:color="auto" w:fill="FFFFFF"/>
          </w:tcPr>
          <w:p w14:paraId="0C90911B" w14:textId="77777777" w:rsidR="008C76E0" w:rsidRPr="00BD7577" w:rsidRDefault="008C76E0" w:rsidP="001C3278">
            <w:pPr>
              <w:pStyle w:val="Bodytext180"/>
              <w:shd w:val="clear" w:color="auto" w:fill="auto"/>
              <w:spacing w:before="0" w:after="160" w:line="360" w:lineRule="auto"/>
              <w:ind w:left="85" w:right="-10" w:firstLine="0"/>
              <w:rPr>
                <w:rFonts w:ascii="Sylfaen" w:hAnsi="Sylfaen"/>
                <w:b w:val="0"/>
                <w:sz w:val="24"/>
                <w:szCs w:val="24"/>
              </w:rPr>
            </w:pPr>
            <w:r w:rsidRPr="00BD7577">
              <w:rPr>
                <w:rStyle w:val="Bodytext1811pt"/>
                <w:rFonts w:ascii="Sylfaen" w:hAnsi="Sylfaen"/>
                <w:sz w:val="24"/>
                <w:szCs w:val="24"/>
              </w:rPr>
              <w:t>Տ</w:t>
            </w:r>
            <w:r w:rsidR="00C54D75">
              <w:rPr>
                <w:rStyle w:val="Bodytext1811pt"/>
                <w:rFonts w:ascii="Sylfaen" w:hAnsi="Sylfaen"/>
                <w:sz w:val="24"/>
                <w:szCs w:val="24"/>
              </w:rPr>
              <w:t>և</w:t>
            </w:r>
            <w:r w:rsidRPr="00BD7577">
              <w:rPr>
                <w:rStyle w:val="Bodytext1811pt"/>
                <w:rFonts w:ascii="Sylfaen" w:hAnsi="Sylfaen"/>
                <w:sz w:val="24"/>
                <w:szCs w:val="24"/>
              </w:rPr>
              <w:t>ողությունը</w:t>
            </w:r>
          </w:p>
        </w:tc>
        <w:tc>
          <w:tcPr>
            <w:tcW w:w="1335" w:type="dxa"/>
            <w:tcBorders>
              <w:top w:val="single" w:sz="4" w:space="0" w:color="auto"/>
              <w:left w:val="single" w:sz="4" w:space="0" w:color="auto"/>
            </w:tcBorders>
            <w:shd w:val="clear" w:color="auto" w:fill="FFFFFF"/>
          </w:tcPr>
          <w:p w14:paraId="211B7042" w14:textId="77777777" w:rsidR="008C76E0" w:rsidRPr="00BD7577" w:rsidRDefault="008C76E0" w:rsidP="001C3278">
            <w:pPr>
              <w:pStyle w:val="Bodytext180"/>
              <w:shd w:val="clear" w:color="auto" w:fill="auto"/>
              <w:spacing w:before="0" w:after="160" w:line="360" w:lineRule="auto"/>
              <w:ind w:left="85" w:right="-10" w:firstLine="0"/>
              <w:rPr>
                <w:rFonts w:ascii="Sylfaen" w:hAnsi="Sylfaen"/>
                <w:b w:val="0"/>
                <w:sz w:val="24"/>
                <w:szCs w:val="24"/>
              </w:rPr>
            </w:pPr>
            <w:r w:rsidRPr="00BD7577">
              <w:rPr>
                <w:rStyle w:val="Bodytext1811pt"/>
                <w:rFonts w:ascii="Sylfaen" w:hAnsi="Sylfaen"/>
                <w:sz w:val="24"/>
                <w:szCs w:val="24"/>
              </w:rPr>
              <w:t>NOEL/ NOAEL (մգ/կգ/օր)</w:t>
            </w:r>
          </w:p>
        </w:tc>
        <w:tc>
          <w:tcPr>
            <w:tcW w:w="1795" w:type="dxa"/>
            <w:gridSpan w:val="2"/>
            <w:tcBorders>
              <w:top w:val="single" w:sz="4" w:space="0" w:color="auto"/>
              <w:right w:val="single" w:sz="4" w:space="0" w:color="auto"/>
            </w:tcBorders>
            <w:shd w:val="clear" w:color="auto" w:fill="FFFFFF"/>
          </w:tcPr>
          <w:p w14:paraId="34AE5757" w14:textId="77777777" w:rsidR="008C76E0" w:rsidRPr="00BD7577" w:rsidRDefault="008C76E0" w:rsidP="001C3278">
            <w:pPr>
              <w:pStyle w:val="Bodytext180"/>
              <w:shd w:val="clear" w:color="auto" w:fill="auto"/>
              <w:spacing w:before="0" w:after="160" w:line="360" w:lineRule="auto"/>
              <w:ind w:left="85" w:right="-63" w:firstLine="0"/>
              <w:rPr>
                <w:rFonts w:ascii="Sylfaen" w:hAnsi="Sylfaen"/>
                <w:b w:val="0"/>
                <w:sz w:val="24"/>
                <w:szCs w:val="24"/>
              </w:rPr>
            </w:pPr>
            <w:r w:rsidRPr="00BD7577">
              <w:rPr>
                <w:rStyle w:val="Bodytext1811pt"/>
                <w:rFonts w:ascii="Sylfaen" w:hAnsi="Sylfaen"/>
                <w:sz w:val="24"/>
                <w:szCs w:val="24"/>
              </w:rPr>
              <w:t>Հիմնական արդյունքները</w:t>
            </w:r>
          </w:p>
        </w:tc>
      </w:tr>
      <w:tr w:rsidR="008C76E0" w:rsidRPr="00BD7577" w14:paraId="1535ABDB" w14:textId="77777777" w:rsidTr="008C76E0">
        <w:trPr>
          <w:jc w:val="center"/>
        </w:trPr>
        <w:tc>
          <w:tcPr>
            <w:tcW w:w="10626" w:type="dxa"/>
            <w:gridSpan w:val="11"/>
            <w:tcBorders>
              <w:top w:val="single" w:sz="4" w:space="0" w:color="auto"/>
            </w:tcBorders>
            <w:shd w:val="clear" w:color="auto" w:fill="FFFFFF"/>
          </w:tcPr>
          <w:p w14:paraId="4346FBC6" w14:textId="77777777" w:rsidR="008C76E0" w:rsidRPr="00BD7577" w:rsidRDefault="008C76E0" w:rsidP="001C3278">
            <w:pPr>
              <w:spacing w:after="160" w:line="360" w:lineRule="auto"/>
              <w:rPr>
                <w:rFonts w:ascii="Sylfaen" w:hAnsi="Sylfaen"/>
                <w:sz w:val="24"/>
                <w:szCs w:val="24"/>
              </w:rPr>
            </w:pPr>
          </w:p>
        </w:tc>
      </w:tr>
      <w:tr w:rsidR="008C76E0" w:rsidRPr="00BD7577" w14:paraId="18B4B390" w14:textId="77777777" w:rsidTr="008C76E0">
        <w:trPr>
          <w:jc w:val="center"/>
        </w:trPr>
        <w:tc>
          <w:tcPr>
            <w:tcW w:w="10626" w:type="dxa"/>
            <w:gridSpan w:val="11"/>
            <w:tcBorders>
              <w:top w:val="single" w:sz="4" w:space="0" w:color="auto"/>
            </w:tcBorders>
            <w:shd w:val="clear" w:color="auto" w:fill="FFFFFF"/>
          </w:tcPr>
          <w:p w14:paraId="470EAAA1" w14:textId="77777777" w:rsidR="008C76E0" w:rsidRPr="00BD7577" w:rsidRDefault="008C76E0" w:rsidP="001C3278">
            <w:pPr>
              <w:spacing w:after="160" w:line="360" w:lineRule="auto"/>
              <w:rPr>
                <w:rFonts w:ascii="Sylfaen" w:hAnsi="Sylfaen"/>
                <w:sz w:val="24"/>
                <w:szCs w:val="24"/>
              </w:rPr>
            </w:pPr>
          </w:p>
        </w:tc>
      </w:tr>
      <w:tr w:rsidR="008C76E0" w:rsidRPr="00BD7577" w14:paraId="6B44099E" w14:textId="77777777" w:rsidTr="008C76E0">
        <w:trPr>
          <w:jc w:val="center"/>
        </w:trPr>
        <w:tc>
          <w:tcPr>
            <w:tcW w:w="10626" w:type="dxa"/>
            <w:gridSpan w:val="11"/>
            <w:tcBorders>
              <w:top w:val="single" w:sz="4" w:space="0" w:color="auto"/>
              <w:left w:val="single" w:sz="4" w:space="0" w:color="auto"/>
            </w:tcBorders>
            <w:shd w:val="clear" w:color="auto" w:fill="FFFFFF"/>
          </w:tcPr>
          <w:p w14:paraId="67596351" w14:textId="77777777" w:rsidR="008C76E0" w:rsidRPr="00BD7577" w:rsidRDefault="008C76E0" w:rsidP="001C3278">
            <w:pPr>
              <w:pStyle w:val="Bodytext180"/>
              <w:shd w:val="clear" w:color="auto" w:fill="auto"/>
              <w:spacing w:before="0" w:after="160" w:line="360" w:lineRule="auto"/>
              <w:ind w:right="5749"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3EC4444" w14:textId="77777777" w:rsidTr="008C76E0">
        <w:trPr>
          <w:jc w:val="center"/>
        </w:trPr>
        <w:tc>
          <w:tcPr>
            <w:tcW w:w="10626" w:type="dxa"/>
            <w:gridSpan w:val="11"/>
            <w:tcBorders>
              <w:top w:val="single" w:sz="4" w:space="0" w:color="auto"/>
            </w:tcBorders>
            <w:shd w:val="clear" w:color="auto" w:fill="FFFFFF"/>
            <w:vAlign w:val="center"/>
          </w:tcPr>
          <w:p w14:paraId="2C31E185" w14:textId="77777777" w:rsidR="008C76E0" w:rsidRPr="008C76E0" w:rsidRDefault="008C76E0" w:rsidP="001C3278">
            <w:pPr>
              <w:pStyle w:val="Bodytext180"/>
              <w:shd w:val="clear" w:color="auto" w:fill="auto"/>
              <w:spacing w:before="0" w:after="160" w:line="360" w:lineRule="auto"/>
              <w:ind w:firstLine="0"/>
              <w:rPr>
                <w:rFonts w:ascii="Sylfaen" w:hAnsi="Sylfaen"/>
                <w:b w:val="0"/>
                <w:sz w:val="24"/>
                <w:szCs w:val="24"/>
                <w:lang w:val="hy-AM"/>
              </w:rPr>
            </w:pPr>
            <w:r w:rsidRPr="00BD7577">
              <w:rPr>
                <w:rStyle w:val="Bodytext295pt"/>
                <w:rFonts w:ascii="Sylfaen" w:hAnsi="Sylfaen"/>
                <w:spacing w:val="0"/>
                <w:sz w:val="24"/>
                <w:szCs w:val="24"/>
              </w:rPr>
              <w:t>Տոքսիկոկինետիկա:</w:t>
            </w:r>
          </w:p>
          <w:p w14:paraId="10A56D2E" w14:textId="77777777" w:rsidR="008C76E0" w:rsidRPr="00DD61E4" w:rsidRDefault="008C76E0" w:rsidP="001C3278">
            <w:pPr>
              <w:pStyle w:val="Bodytext180"/>
              <w:shd w:val="clear" w:color="auto" w:fill="auto"/>
              <w:spacing w:before="0" w:after="160" w:line="360" w:lineRule="auto"/>
              <w:ind w:left="4615" w:right="261" w:firstLine="0"/>
              <w:jc w:val="right"/>
              <w:rPr>
                <w:rStyle w:val="Bodytext295pt"/>
                <w:rFonts w:ascii="Sylfaen" w:hAnsi="Sylfaen"/>
                <w:spacing w:val="0"/>
                <w:sz w:val="24"/>
                <w:szCs w:val="24"/>
              </w:rPr>
            </w:pPr>
            <w:r w:rsidRPr="00BD7577">
              <w:rPr>
                <w:rStyle w:val="Bodytext295pt"/>
                <w:rFonts w:ascii="Sylfaen" w:hAnsi="Sylfaen"/>
                <w:spacing w:val="0"/>
                <w:sz w:val="24"/>
                <w:szCs w:val="24"/>
              </w:rPr>
              <w:t>Տոքսիկոկինետիկ հետազոտությունների տվյալներով աղյուսակի օրինակ:</w:t>
            </w:r>
          </w:p>
          <w:p w14:paraId="355A4A97" w14:textId="77777777" w:rsidR="008C76E0" w:rsidRPr="008C76E0" w:rsidRDefault="008C76E0" w:rsidP="001C3278">
            <w:pPr>
              <w:pStyle w:val="Bodytext180"/>
              <w:shd w:val="clear" w:color="auto" w:fill="auto"/>
              <w:spacing w:before="0" w:after="160" w:line="360" w:lineRule="auto"/>
              <w:ind w:left="4617" w:right="260" w:firstLine="0"/>
              <w:jc w:val="right"/>
              <w:rPr>
                <w:rFonts w:ascii="Sylfaen" w:hAnsi="Sylfaen"/>
                <w:b w:val="0"/>
                <w:sz w:val="24"/>
                <w:szCs w:val="24"/>
                <w:lang w:val="hy-AM"/>
              </w:rPr>
            </w:pPr>
          </w:p>
        </w:tc>
      </w:tr>
      <w:tr w:rsidR="008C76E0" w:rsidRPr="00BD7577" w14:paraId="3A2EF269" w14:textId="77777777" w:rsidTr="008C76E0">
        <w:trPr>
          <w:jc w:val="center"/>
        </w:trPr>
        <w:tc>
          <w:tcPr>
            <w:tcW w:w="2222" w:type="dxa"/>
            <w:tcBorders>
              <w:top w:val="single" w:sz="4" w:space="0" w:color="auto"/>
              <w:left w:val="single" w:sz="4" w:space="0" w:color="auto"/>
              <w:bottom w:val="single" w:sz="4" w:space="0" w:color="auto"/>
            </w:tcBorders>
            <w:shd w:val="clear" w:color="auto" w:fill="FFFFFF"/>
          </w:tcPr>
          <w:p w14:paraId="7A03D47E"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lastRenderedPageBreak/>
              <w:t>Հետազոտության նույնականացման համարը</w:t>
            </w:r>
          </w:p>
        </w:tc>
        <w:tc>
          <w:tcPr>
            <w:tcW w:w="1638" w:type="dxa"/>
            <w:gridSpan w:val="2"/>
            <w:tcBorders>
              <w:top w:val="single" w:sz="4" w:space="0" w:color="auto"/>
              <w:left w:val="single" w:sz="4" w:space="0" w:color="auto"/>
              <w:bottom w:val="single" w:sz="4" w:space="0" w:color="auto"/>
            </w:tcBorders>
            <w:shd w:val="clear" w:color="auto" w:fill="FFFFFF"/>
          </w:tcPr>
          <w:p w14:paraId="7FFBE646"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Օրական դոզա (хх/хх)</w:t>
            </w:r>
          </w:p>
        </w:tc>
        <w:tc>
          <w:tcPr>
            <w:tcW w:w="3391" w:type="dxa"/>
            <w:gridSpan w:val="4"/>
            <w:tcBorders>
              <w:top w:val="single" w:sz="4" w:space="0" w:color="auto"/>
              <w:left w:val="single" w:sz="4" w:space="0" w:color="auto"/>
              <w:bottom w:val="single" w:sz="4" w:space="0" w:color="auto"/>
            </w:tcBorders>
            <w:shd w:val="clear" w:color="auto" w:fill="FFFFFF"/>
          </w:tcPr>
          <w:p w14:paraId="7DBDF90C"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AUC-ը կենդանիների մոտ (նգ×մլ/ժ)</w:t>
            </w:r>
          </w:p>
        </w:tc>
        <w:tc>
          <w:tcPr>
            <w:tcW w:w="3375" w:type="dxa"/>
            <w:gridSpan w:val="4"/>
            <w:tcBorders>
              <w:top w:val="single" w:sz="4" w:space="0" w:color="auto"/>
              <w:left w:val="single" w:sz="4" w:space="0" w:color="auto"/>
              <w:bottom w:val="single" w:sz="4" w:space="0" w:color="auto"/>
            </w:tcBorders>
            <w:shd w:val="clear" w:color="auto" w:fill="FFFFFF"/>
          </w:tcPr>
          <w:p w14:paraId="7C0837AB" w14:textId="77777777" w:rsidR="008C76E0" w:rsidRPr="00BD7577" w:rsidRDefault="008C76E0" w:rsidP="001C3278">
            <w:pPr>
              <w:pStyle w:val="Bodytext180"/>
              <w:shd w:val="clear" w:color="auto" w:fill="auto"/>
              <w:spacing w:before="0" w:after="160" w:line="360" w:lineRule="auto"/>
              <w:ind w:left="85" w:right="75" w:firstLine="0"/>
              <w:rPr>
                <w:rStyle w:val="Bodytext1811pt"/>
                <w:rFonts w:ascii="Sylfaen" w:hAnsi="Sylfaen"/>
                <w:sz w:val="24"/>
                <w:szCs w:val="24"/>
              </w:rPr>
            </w:pPr>
            <w:r w:rsidRPr="00BD7577">
              <w:rPr>
                <w:rStyle w:val="Bodytext1811pt"/>
                <w:rFonts w:ascii="Sylfaen" w:hAnsi="Sylfaen"/>
                <w:sz w:val="24"/>
                <w:szCs w:val="24"/>
              </w:rPr>
              <w:t xml:space="preserve">Կենդանիներ՝ Մարդ </w:t>
            </w:r>
          </w:p>
          <w:p w14:paraId="624C9421"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XXX</w:t>
            </w:r>
          </w:p>
          <w:p w14:paraId="2EDB9D51" w14:textId="77777777" w:rsidR="008C76E0" w:rsidRPr="00BD7577" w:rsidRDefault="008C76E0" w:rsidP="001C3278">
            <w:pPr>
              <w:pStyle w:val="Bodytext180"/>
              <w:shd w:val="clear" w:color="auto" w:fill="auto"/>
              <w:spacing w:before="0" w:after="160" w:line="360" w:lineRule="auto"/>
              <w:ind w:left="85" w:right="75" w:firstLine="0"/>
              <w:rPr>
                <w:rFonts w:ascii="Sylfaen" w:hAnsi="Sylfaen"/>
                <w:b w:val="0"/>
                <w:sz w:val="24"/>
                <w:szCs w:val="24"/>
              </w:rPr>
            </w:pPr>
            <w:r w:rsidRPr="00BD7577">
              <w:rPr>
                <w:rStyle w:val="Bodytext1811pt"/>
                <w:rFonts w:ascii="Sylfaen" w:hAnsi="Sylfaen"/>
                <w:sz w:val="24"/>
                <w:szCs w:val="24"/>
              </w:rPr>
              <w:t>Կրկնակի էկսպոզիցիա</w:t>
            </w:r>
          </w:p>
        </w:tc>
      </w:tr>
      <w:tr w:rsidR="008C76E0" w:rsidRPr="00BD7577" w14:paraId="185AFC08" w14:textId="77777777" w:rsidTr="008C76E0">
        <w:trPr>
          <w:jc w:val="center"/>
        </w:trPr>
        <w:tc>
          <w:tcPr>
            <w:tcW w:w="3853" w:type="dxa"/>
            <w:gridSpan w:val="2"/>
            <w:tcBorders>
              <w:top w:val="single" w:sz="4" w:space="0" w:color="auto"/>
              <w:bottom w:val="single" w:sz="4" w:space="0" w:color="auto"/>
            </w:tcBorders>
            <w:shd w:val="clear" w:color="auto" w:fill="FFFFFF"/>
          </w:tcPr>
          <w:p w14:paraId="361672A6" w14:textId="77777777" w:rsidR="008C76E0" w:rsidRPr="00BD7577" w:rsidRDefault="008C76E0" w:rsidP="001C3278">
            <w:pPr>
              <w:spacing w:after="160" w:line="360" w:lineRule="auto"/>
              <w:rPr>
                <w:rFonts w:ascii="Sylfaen" w:hAnsi="Sylfaen"/>
                <w:sz w:val="24"/>
                <w:szCs w:val="24"/>
              </w:rPr>
            </w:pPr>
          </w:p>
        </w:tc>
        <w:tc>
          <w:tcPr>
            <w:tcW w:w="1530" w:type="dxa"/>
            <w:gridSpan w:val="3"/>
            <w:tcBorders>
              <w:top w:val="single" w:sz="4" w:space="0" w:color="auto"/>
              <w:bottom w:val="single" w:sz="4" w:space="0" w:color="auto"/>
            </w:tcBorders>
            <w:shd w:val="clear" w:color="auto" w:fill="FFFFFF"/>
          </w:tcPr>
          <w:p w14:paraId="16390F3E" w14:textId="77777777" w:rsidR="008C76E0" w:rsidRPr="00BD7577" w:rsidRDefault="008C76E0" w:rsidP="001C3278">
            <w:pPr>
              <w:spacing w:after="160" w:line="360" w:lineRule="auto"/>
              <w:rPr>
                <w:rFonts w:ascii="Sylfaen" w:hAnsi="Sylfaen" w:cs="Times New Roman"/>
                <w:sz w:val="24"/>
                <w:szCs w:val="24"/>
              </w:rPr>
            </w:pPr>
            <w:r w:rsidRPr="00BD7577">
              <w:rPr>
                <w:rFonts w:ascii="Times New Roman" w:eastAsia="TimesNewRomanPSMT" w:hAnsi="Times New Roman" w:cs="Times New Roman"/>
                <w:sz w:val="24"/>
                <w:szCs w:val="24"/>
                <w:lang w:val="en-US" w:bidi="ar-SA"/>
              </w:rPr>
              <w:t>♂</w:t>
            </w:r>
          </w:p>
        </w:tc>
        <w:tc>
          <w:tcPr>
            <w:tcW w:w="1868" w:type="dxa"/>
            <w:gridSpan w:val="2"/>
            <w:tcBorders>
              <w:top w:val="single" w:sz="4" w:space="0" w:color="auto"/>
              <w:bottom w:val="single" w:sz="4" w:space="0" w:color="auto"/>
            </w:tcBorders>
            <w:shd w:val="clear" w:color="auto" w:fill="FFFFFF"/>
          </w:tcPr>
          <w:p w14:paraId="260A7532" w14:textId="77777777" w:rsidR="008C76E0" w:rsidRPr="00BD7577" w:rsidRDefault="008C76E0" w:rsidP="001C3278">
            <w:pPr>
              <w:spacing w:after="160" w:line="360" w:lineRule="auto"/>
              <w:rPr>
                <w:rFonts w:ascii="Sylfaen" w:hAnsi="Sylfaen" w:cs="Times New Roman"/>
                <w:sz w:val="24"/>
                <w:szCs w:val="24"/>
              </w:rPr>
            </w:pPr>
            <w:r w:rsidRPr="00BD7577">
              <w:rPr>
                <w:rFonts w:ascii="Times New Roman" w:hAnsi="Times New Roman" w:cs="Times New Roman"/>
                <w:sz w:val="24"/>
                <w:szCs w:val="24"/>
              </w:rPr>
              <w:t>♀</w:t>
            </w:r>
          </w:p>
        </w:tc>
        <w:tc>
          <w:tcPr>
            <w:tcW w:w="1821" w:type="dxa"/>
            <w:gridSpan w:val="3"/>
            <w:tcBorders>
              <w:top w:val="single" w:sz="4" w:space="0" w:color="auto"/>
              <w:bottom w:val="single" w:sz="4" w:space="0" w:color="auto"/>
            </w:tcBorders>
            <w:shd w:val="clear" w:color="auto" w:fill="FFFFFF"/>
          </w:tcPr>
          <w:p w14:paraId="7A3ED76D" w14:textId="77777777" w:rsidR="008C76E0" w:rsidRPr="00BD7577" w:rsidRDefault="008C76E0" w:rsidP="001C3278">
            <w:pPr>
              <w:spacing w:after="160" w:line="360" w:lineRule="auto"/>
              <w:rPr>
                <w:rFonts w:ascii="Sylfaen" w:hAnsi="Sylfaen" w:cs="Times New Roman"/>
                <w:sz w:val="24"/>
                <w:szCs w:val="24"/>
              </w:rPr>
            </w:pPr>
            <w:r w:rsidRPr="00BD7577">
              <w:rPr>
                <w:rFonts w:ascii="Times New Roman" w:eastAsia="TimesNewRomanPSMT" w:hAnsi="Times New Roman" w:cs="Times New Roman"/>
                <w:sz w:val="24"/>
                <w:szCs w:val="24"/>
                <w:lang w:val="en-US" w:bidi="ar-SA"/>
              </w:rPr>
              <w:t>♂</w:t>
            </w:r>
          </w:p>
        </w:tc>
        <w:tc>
          <w:tcPr>
            <w:tcW w:w="1554" w:type="dxa"/>
            <w:tcBorders>
              <w:top w:val="single" w:sz="4" w:space="0" w:color="auto"/>
              <w:bottom w:val="single" w:sz="4" w:space="0" w:color="auto"/>
            </w:tcBorders>
            <w:shd w:val="clear" w:color="auto" w:fill="FFFFFF"/>
          </w:tcPr>
          <w:p w14:paraId="57DB6FC0" w14:textId="77777777" w:rsidR="008C76E0" w:rsidRPr="00BD7577" w:rsidRDefault="008C76E0" w:rsidP="001C3278">
            <w:pPr>
              <w:spacing w:after="160" w:line="360" w:lineRule="auto"/>
              <w:rPr>
                <w:rFonts w:ascii="Sylfaen" w:hAnsi="Sylfaen" w:cs="Times New Roman"/>
                <w:sz w:val="24"/>
                <w:szCs w:val="24"/>
              </w:rPr>
            </w:pPr>
            <w:r w:rsidRPr="00BD7577">
              <w:rPr>
                <w:rFonts w:ascii="Times New Roman" w:hAnsi="Times New Roman" w:cs="Times New Roman"/>
                <w:sz w:val="24"/>
                <w:szCs w:val="24"/>
              </w:rPr>
              <w:t>♀</w:t>
            </w:r>
          </w:p>
        </w:tc>
      </w:tr>
    </w:tbl>
    <w:p w14:paraId="75838C3B" w14:textId="77777777" w:rsidR="008C76E0" w:rsidRPr="00BD7577" w:rsidRDefault="008C76E0" w:rsidP="008C76E0">
      <w:pPr>
        <w:rPr>
          <w:rFonts w:ascii="Sylfaen" w:hAnsi="Sylfaen"/>
          <w:sz w:val="24"/>
          <w:szCs w:val="24"/>
        </w:rPr>
      </w:pPr>
    </w:p>
    <w:tbl>
      <w:tblPr>
        <w:tblOverlap w:val="never"/>
        <w:tblW w:w="9810" w:type="dxa"/>
        <w:jc w:val="center"/>
        <w:tblLayout w:type="fixed"/>
        <w:tblCellMar>
          <w:left w:w="10" w:type="dxa"/>
          <w:right w:w="10" w:type="dxa"/>
        </w:tblCellMar>
        <w:tblLook w:val="04A0" w:firstRow="1" w:lastRow="0" w:firstColumn="1" w:lastColumn="0" w:noHBand="0" w:noVBand="1"/>
      </w:tblPr>
      <w:tblGrid>
        <w:gridCol w:w="9810"/>
      </w:tblGrid>
      <w:tr w:rsidR="008C76E0" w:rsidRPr="00BD7577" w14:paraId="037E6A2D" w14:textId="77777777" w:rsidTr="008C76E0">
        <w:trPr>
          <w:jc w:val="center"/>
        </w:trPr>
        <w:tc>
          <w:tcPr>
            <w:tcW w:w="9810" w:type="dxa"/>
            <w:tcBorders>
              <w:top w:val="single" w:sz="4" w:space="0" w:color="auto"/>
            </w:tcBorders>
            <w:shd w:val="clear" w:color="auto" w:fill="FFFFFF"/>
          </w:tcPr>
          <w:p w14:paraId="52A79EA8" w14:textId="77777777" w:rsidR="008C76E0" w:rsidRPr="008C76E0" w:rsidRDefault="008C76E0" w:rsidP="008C76E0">
            <w:pPr>
              <w:pStyle w:val="Bodytext180"/>
              <w:shd w:val="clear" w:color="auto" w:fill="auto"/>
              <w:spacing w:before="0" w:after="160" w:line="360" w:lineRule="auto"/>
              <w:ind w:firstLine="0"/>
              <w:jc w:val="both"/>
              <w:rPr>
                <w:rFonts w:ascii="Sylfaen" w:hAnsi="Sylfaen"/>
                <w:b w:val="0"/>
                <w:sz w:val="24"/>
                <w:szCs w:val="24"/>
                <w:lang w:val="hy-AM"/>
              </w:rPr>
            </w:pPr>
            <w:r w:rsidRPr="00BD7577">
              <w:rPr>
                <w:rStyle w:val="Bodytext1811pt"/>
                <w:rFonts w:ascii="Sylfaen" w:hAnsi="Sylfaen"/>
                <w:sz w:val="24"/>
                <w:szCs w:val="24"/>
              </w:rPr>
              <w:t>Ծանոթագրություն՝* Համեմատության համար ցանկալի է օգտագործել պատրաստուկի չկապակցված մասի համար AUC արժեքները:</w:t>
            </w:r>
          </w:p>
        </w:tc>
      </w:tr>
    </w:tbl>
    <w:p w14:paraId="23BBFD57" w14:textId="77777777" w:rsidR="008C76E0" w:rsidRPr="00E15E7D" w:rsidRDefault="008C76E0" w:rsidP="008C76E0">
      <w:pPr>
        <w:rPr>
          <w:rFonts w:ascii="Sylfaen" w:hAnsi="Sylfaen"/>
          <w:sz w:val="24"/>
          <w:szCs w:val="24"/>
        </w:rPr>
      </w:pPr>
    </w:p>
    <w:tbl>
      <w:tblPr>
        <w:tblOverlap w:val="never"/>
        <w:tblW w:w="9609" w:type="dxa"/>
        <w:jc w:val="center"/>
        <w:tblLayout w:type="fixed"/>
        <w:tblCellMar>
          <w:left w:w="10" w:type="dxa"/>
          <w:right w:w="10" w:type="dxa"/>
        </w:tblCellMar>
        <w:tblLook w:val="04A0" w:firstRow="1" w:lastRow="0" w:firstColumn="1" w:lastColumn="0" w:noHBand="0" w:noVBand="1"/>
      </w:tblPr>
      <w:tblGrid>
        <w:gridCol w:w="4219"/>
        <w:gridCol w:w="1142"/>
        <w:gridCol w:w="1128"/>
        <w:gridCol w:w="868"/>
        <w:gridCol w:w="764"/>
        <w:gridCol w:w="1488"/>
      </w:tblGrid>
      <w:tr w:rsidR="008C76E0" w:rsidRPr="00BD7577" w14:paraId="65C54CA7" w14:textId="77777777" w:rsidTr="008C76E0">
        <w:trPr>
          <w:jc w:val="center"/>
        </w:trPr>
        <w:tc>
          <w:tcPr>
            <w:tcW w:w="9609" w:type="dxa"/>
            <w:gridSpan w:val="6"/>
            <w:tcBorders>
              <w:top w:val="single" w:sz="4" w:space="0" w:color="auto"/>
              <w:left w:val="single" w:sz="4" w:space="0" w:color="auto"/>
              <w:right w:val="single" w:sz="4" w:space="0" w:color="auto"/>
            </w:tcBorders>
            <w:shd w:val="clear" w:color="auto" w:fill="FFFFFF"/>
          </w:tcPr>
          <w:p w14:paraId="7DF2C6E5"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7051B14" w14:textId="77777777" w:rsidTr="008C76E0">
        <w:trPr>
          <w:jc w:val="center"/>
        </w:trPr>
        <w:tc>
          <w:tcPr>
            <w:tcW w:w="4219" w:type="dxa"/>
            <w:tcBorders>
              <w:top w:val="single" w:sz="4" w:space="0" w:color="auto"/>
            </w:tcBorders>
            <w:shd w:val="clear" w:color="auto" w:fill="FFFFFF"/>
            <w:vAlign w:val="center"/>
          </w:tcPr>
          <w:p w14:paraId="5D1AA079"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Միջտեսակային համեմատություն:</w:t>
            </w:r>
          </w:p>
        </w:tc>
        <w:tc>
          <w:tcPr>
            <w:tcW w:w="1142" w:type="dxa"/>
            <w:tcBorders>
              <w:top w:val="single" w:sz="4" w:space="0" w:color="auto"/>
            </w:tcBorders>
            <w:shd w:val="clear" w:color="auto" w:fill="FFFFFF"/>
          </w:tcPr>
          <w:p w14:paraId="618B1AD2" w14:textId="77777777" w:rsidR="008C76E0" w:rsidRPr="00BD7577" w:rsidRDefault="008C76E0" w:rsidP="008C76E0">
            <w:pPr>
              <w:rPr>
                <w:rFonts w:ascii="Sylfaen" w:hAnsi="Sylfaen"/>
                <w:sz w:val="24"/>
                <w:szCs w:val="24"/>
              </w:rPr>
            </w:pPr>
          </w:p>
        </w:tc>
        <w:tc>
          <w:tcPr>
            <w:tcW w:w="1128" w:type="dxa"/>
            <w:tcBorders>
              <w:top w:val="single" w:sz="4" w:space="0" w:color="auto"/>
            </w:tcBorders>
            <w:shd w:val="clear" w:color="auto" w:fill="FFFFFF"/>
          </w:tcPr>
          <w:p w14:paraId="3090D477" w14:textId="77777777" w:rsidR="008C76E0" w:rsidRPr="00BD7577" w:rsidRDefault="008C76E0" w:rsidP="008C76E0">
            <w:pPr>
              <w:rPr>
                <w:rFonts w:ascii="Sylfaen" w:hAnsi="Sylfaen"/>
                <w:sz w:val="24"/>
                <w:szCs w:val="24"/>
              </w:rPr>
            </w:pPr>
          </w:p>
        </w:tc>
        <w:tc>
          <w:tcPr>
            <w:tcW w:w="868" w:type="dxa"/>
            <w:tcBorders>
              <w:top w:val="single" w:sz="4" w:space="0" w:color="auto"/>
            </w:tcBorders>
            <w:shd w:val="clear" w:color="auto" w:fill="FFFFFF"/>
          </w:tcPr>
          <w:p w14:paraId="3F339B78" w14:textId="77777777" w:rsidR="008C76E0" w:rsidRPr="00BD7577" w:rsidRDefault="008C76E0" w:rsidP="008C76E0">
            <w:pPr>
              <w:rPr>
                <w:rFonts w:ascii="Sylfaen" w:hAnsi="Sylfaen"/>
                <w:sz w:val="24"/>
                <w:szCs w:val="24"/>
              </w:rPr>
            </w:pPr>
          </w:p>
        </w:tc>
        <w:tc>
          <w:tcPr>
            <w:tcW w:w="764" w:type="dxa"/>
            <w:tcBorders>
              <w:top w:val="single" w:sz="4" w:space="0" w:color="auto"/>
            </w:tcBorders>
            <w:shd w:val="clear" w:color="auto" w:fill="FFFFFF"/>
          </w:tcPr>
          <w:p w14:paraId="39E013F3" w14:textId="77777777" w:rsidR="008C76E0" w:rsidRPr="00BD7577" w:rsidRDefault="008C76E0" w:rsidP="008C76E0">
            <w:pPr>
              <w:rPr>
                <w:rFonts w:ascii="Sylfaen" w:hAnsi="Sylfaen"/>
                <w:sz w:val="24"/>
                <w:szCs w:val="24"/>
              </w:rPr>
            </w:pPr>
          </w:p>
        </w:tc>
        <w:tc>
          <w:tcPr>
            <w:tcW w:w="1488" w:type="dxa"/>
            <w:tcBorders>
              <w:top w:val="single" w:sz="4" w:space="0" w:color="auto"/>
            </w:tcBorders>
            <w:shd w:val="clear" w:color="auto" w:fill="FFFFFF"/>
          </w:tcPr>
          <w:p w14:paraId="646A2472" w14:textId="77777777" w:rsidR="008C76E0" w:rsidRPr="00BD7577" w:rsidRDefault="008C76E0" w:rsidP="008C76E0">
            <w:pPr>
              <w:rPr>
                <w:rFonts w:ascii="Sylfaen" w:hAnsi="Sylfaen"/>
                <w:sz w:val="24"/>
                <w:szCs w:val="24"/>
              </w:rPr>
            </w:pPr>
          </w:p>
        </w:tc>
      </w:tr>
    </w:tbl>
    <w:p w14:paraId="79ECBD28" w14:textId="77777777" w:rsidR="008C76E0" w:rsidRPr="00BD7577" w:rsidRDefault="008C76E0" w:rsidP="008C76E0">
      <w:pPr>
        <w:rPr>
          <w:rFonts w:ascii="Sylfaen" w:hAnsi="Sylfaen"/>
          <w:sz w:val="24"/>
          <w:szCs w:val="24"/>
        </w:rPr>
      </w:pPr>
    </w:p>
    <w:tbl>
      <w:tblPr>
        <w:tblOverlap w:val="never"/>
        <w:tblW w:w="9765" w:type="dxa"/>
        <w:jc w:val="center"/>
        <w:tblLayout w:type="fixed"/>
        <w:tblCellMar>
          <w:left w:w="10" w:type="dxa"/>
          <w:right w:w="10" w:type="dxa"/>
        </w:tblCellMar>
        <w:tblLook w:val="04A0" w:firstRow="1" w:lastRow="0" w:firstColumn="1" w:lastColumn="0" w:noHBand="0" w:noVBand="1"/>
      </w:tblPr>
      <w:tblGrid>
        <w:gridCol w:w="2254"/>
        <w:gridCol w:w="2121"/>
        <w:gridCol w:w="1142"/>
        <w:gridCol w:w="1128"/>
        <w:gridCol w:w="868"/>
        <w:gridCol w:w="764"/>
        <w:gridCol w:w="780"/>
        <w:gridCol w:w="708"/>
      </w:tblGrid>
      <w:tr w:rsidR="008C76E0" w:rsidRPr="00BD7577" w14:paraId="472FB46D" w14:textId="77777777" w:rsidTr="008C76E0">
        <w:trPr>
          <w:jc w:val="center"/>
        </w:trPr>
        <w:tc>
          <w:tcPr>
            <w:tcW w:w="9765" w:type="dxa"/>
            <w:gridSpan w:val="8"/>
            <w:shd w:val="clear" w:color="auto" w:fill="FFFFFF"/>
            <w:vAlign w:val="center"/>
          </w:tcPr>
          <w:p w14:paraId="0A21A125" w14:textId="77777777" w:rsidR="008C76E0" w:rsidRPr="008C76E0" w:rsidRDefault="008C76E0" w:rsidP="008C76E0">
            <w:pPr>
              <w:pStyle w:val="Bodytext180"/>
              <w:shd w:val="clear" w:color="auto" w:fill="auto"/>
              <w:spacing w:before="0" w:after="120" w:line="240" w:lineRule="auto"/>
              <w:ind w:left="2244" w:right="160" w:firstLine="0"/>
              <w:jc w:val="right"/>
              <w:rPr>
                <w:rFonts w:ascii="Sylfaen" w:hAnsi="Sylfaen"/>
                <w:b w:val="0"/>
                <w:sz w:val="24"/>
                <w:szCs w:val="24"/>
                <w:lang w:val="hy-AM"/>
              </w:rPr>
            </w:pPr>
            <w:r w:rsidRPr="00BD7577">
              <w:rPr>
                <w:rStyle w:val="Bodytext295pt"/>
                <w:rFonts w:ascii="Sylfaen" w:hAnsi="Sylfaen"/>
                <w:spacing w:val="0"/>
                <w:sz w:val="24"/>
                <w:szCs w:val="24"/>
              </w:rPr>
              <w:t>Կենդանիների վրա հետազոտություններում էքսպոզիցիան կլինիկական հետազոտություններում էքսպոզիցիայի հետ համեմատելու համար աղյուսակի օրինակ՝</w:t>
            </w:r>
          </w:p>
        </w:tc>
      </w:tr>
      <w:tr w:rsidR="008C76E0" w:rsidRPr="00BD7577" w14:paraId="392742C0" w14:textId="77777777" w:rsidTr="008C76E0">
        <w:trPr>
          <w:jc w:val="center"/>
        </w:trPr>
        <w:tc>
          <w:tcPr>
            <w:tcW w:w="2254" w:type="dxa"/>
            <w:tcBorders>
              <w:top w:val="single" w:sz="4" w:space="0" w:color="auto"/>
              <w:left w:val="single" w:sz="4" w:space="0" w:color="auto"/>
            </w:tcBorders>
            <w:shd w:val="clear" w:color="auto" w:fill="FFFFFF"/>
            <w:vAlign w:val="bottom"/>
          </w:tcPr>
          <w:p w14:paraId="0C2984FB"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t>Հետազոտության նույնականացման համարը</w:t>
            </w:r>
          </w:p>
        </w:tc>
        <w:tc>
          <w:tcPr>
            <w:tcW w:w="2121" w:type="dxa"/>
            <w:tcBorders>
              <w:top w:val="single" w:sz="4" w:space="0" w:color="auto"/>
              <w:left w:val="single" w:sz="4" w:space="0" w:color="auto"/>
            </w:tcBorders>
            <w:shd w:val="clear" w:color="auto" w:fill="FFFFFF"/>
          </w:tcPr>
          <w:p w14:paraId="2FDF3A52"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t>Օրական դոզա (хх/хх)</w:t>
            </w:r>
          </w:p>
        </w:tc>
        <w:tc>
          <w:tcPr>
            <w:tcW w:w="2270" w:type="dxa"/>
            <w:gridSpan w:val="2"/>
            <w:tcBorders>
              <w:top w:val="single" w:sz="4" w:space="0" w:color="auto"/>
              <w:left w:val="single" w:sz="4" w:space="0" w:color="auto"/>
            </w:tcBorders>
            <w:shd w:val="clear" w:color="auto" w:fill="FFFFFF"/>
          </w:tcPr>
          <w:p w14:paraId="21CD2AEA"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t>AUC-ը կենդանիների մոտ (նգ×մլ/ժ)</w:t>
            </w:r>
          </w:p>
        </w:tc>
        <w:tc>
          <w:tcPr>
            <w:tcW w:w="1632" w:type="dxa"/>
            <w:gridSpan w:val="2"/>
            <w:tcBorders>
              <w:top w:val="single" w:sz="4" w:space="0" w:color="auto"/>
              <w:left w:val="single" w:sz="4" w:space="0" w:color="auto"/>
            </w:tcBorders>
            <w:shd w:val="clear" w:color="auto" w:fill="FFFFFF"/>
          </w:tcPr>
          <w:p w14:paraId="56F425A7"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t>C</w:t>
            </w:r>
            <w:r w:rsidRPr="00BD7577">
              <w:rPr>
                <w:rStyle w:val="Bodytext1811pt"/>
                <w:rFonts w:ascii="Sylfaen" w:hAnsi="Sylfaen"/>
                <w:sz w:val="24"/>
                <w:szCs w:val="24"/>
                <w:vertAlign w:val="subscript"/>
              </w:rPr>
              <w:t>max</w:t>
            </w:r>
          </w:p>
        </w:tc>
        <w:tc>
          <w:tcPr>
            <w:tcW w:w="1488" w:type="dxa"/>
            <w:gridSpan w:val="2"/>
            <w:tcBorders>
              <w:top w:val="single" w:sz="4" w:space="0" w:color="auto"/>
              <w:left w:val="single" w:sz="4" w:space="0" w:color="auto"/>
            </w:tcBorders>
            <w:shd w:val="clear" w:color="auto" w:fill="FFFFFF"/>
          </w:tcPr>
          <w:p w14:paraId="6F555EEB" w14:textId="77777777" w:rsidR="008C76E0" w:rsidRPr="00BD7577" w:rsidRDefault="008C76E0" w:rsidP="008C76E0">
            <w:pPr>
              <w:spacing w:after="120" w:line="240" w:lineRule="auto"/>
              <w:ind w:left="117"/>
              <w:rPr>
                <w:rFonts w:ascii="Sylfaen" w:hAnsi="Sylfaen" w:cs="Times New Roman"/>
                <w:sz w:val="24"/>
                <w:szCs w:val="24"/>
              </w:rPr>
            </w:pPr>
            <w:r w:rsidRPr="00BD7577">
              <w:rPr>
                <w:rFonts w:ascii="Sylfaen" w:hAnsi="Sylfaen"/>
                <w:sz w:val="24"/>
                <w:szCs w:val="24"/>
              </w:rPr>
              <w:t>t</w:t>
            </w:r>
            <w:r w:rsidRPr="00BD7577">
              <w:rPr>
                <w:rFonts w:ascii="Sylfaen" w:hAnsi="Sylfaen"/>
                <w:sz w:val="24"/>
                <w:szCs w:val="24"/>
                <w:vertAlign w:val="subscript"/>
              </w:rPr>
              <w:t>½</w:t>
            </w:r>
          </w:p>
        </w:tc>
      </w:tr>
      <w:tr w:rsidR="008C76E0" w:rsidRPr="00BD7577" w14:paraId="5774410E" w14:textId="77777777" w:rsidTr="008C76E0">
        <w:trPr>
          <w:jc w:val="center"/>
        </w:trPr>
        <w:tc>
          <w:tcPr>
            <w:tcW w:w="2254" w:type="dxa"/>
            <w:tcBorders>
              <w:top w:val="single" w:sz="4" w:space="0" w:color="auto"/>
            </w:tcBorders>
            <w:shd w:val="clear" w:color="auto" w:fill="FFFFFF"/>
          </w:tcPr>
          <w:p w14:paraId="32389073" w14:textId="77777777" w:rsidR="008C76E0" w:rsidRPr="00BD7577" w:rsidRDefault="008C76E0" w:rsidP="008C76E0">
            <w:pPr>
              <w:spacing w:after="120" w:line="240" w:lineRule="auto"/>
              <w:rPr>
                <w:rFonts w:ascii="Sylfaen" w:hAnsi="Sylfaen"/>
                <w:sz w:val="24"/>
                <w:szCs w:val="24"/>
              </w:rPr>
            </w:pPr>
          </w:p>
        </w:tc>
        <w:tc>
          <w:tcPr>
            <w:tcW w:w="2121" w:type="dxa"/>
            <w:tcBorders>
              <w:top w:val="single" w:sz="4" w:space="0" w:color="auto"/>
            </w:tcBorders>
            <w:shd w:val="clear" w:color="auto" w:fill="FFFFFF"/>
          </w:tcPr>
          <w:p w14:paraId="3F0A574E" w14:textId="77777777" w:rsidR="008C76E0" w:rsidRPr="00BD7577" w:rsidRDefault="008C76E0" w:rsidP="008C76E0">
            <w:pPr>
              <w:spacing w:after="120" w:line="240" w:lineRule="auto"/>
              <w:rPr>
                <w:rFonts w:ascii="Sylfaen" w:hAnsi="Sylfaen"/>
                <w:sz w:val="24"/>
                <w:szCs w:val="24"/>
              </w:rPr>
            </w:pPr>
          </w:p>
        </w:tc>
        <w:tc>
          <w:tcPr>
            <w:tcW w:w="1142" w:type="dxa"/>
            <w:tcBorders>
              <w:top w:val="single" w:sz="4" w:space="0" w:color="auto"/>
            </w:tcBorders>
            <w:shd w:val="clear" w:color="auto" w:fill="FFFFFF"/>
          </w:tcPr>
          <w:p w14:paraId="0AC428C6"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eastAsia="TimesNewRomanPSMT" w:hAnsi="Times New Roman" w:cs="Times New Roman"/>
                <w:sz w:val="24"/>
                <w:szCs w:val="24"/>
                <w:lang w:val="en-US" w:bidi="ar-SA"/>
              </w:rPr>
              <w:t>♂</w:t>
            </w:r>
          </w:p>
        </w:tc>
        <w:tc>
          <w:tcPr>
            <w:tcW w:w="1128" w:type="dxa"/>
            <w:tcBorders>
              <w:top w:val="single" w:sz="4" w:space="0" w:color="auto"/>
            </w:tcBorders>
            <w:shd w:val="clear" w:color="auto" w:fill="FFFFFF"/>
          </w:tcPr>
          <w:p w14:paraId="225CFAD0"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hAnsi="Times New Roman" w:cs="Times New Roman"/>
                <w:sz w:val="24"/>
                <w:szCs w:val="24"/>
              </w:rPr>
              <w:t>♀</w:t>
            </w:r>
          </w:p>
        </w:tc>
        <w:tc>
          <w:tcPr>
            <w:tcW w:w="868" w:type="dxa"/>
            <w:tcBorders>
              <w:top w:val="single" w:sz="4" w:space="0" w:color="auto"/>
            </w:tcBorders>
            <w:shd w:val="clear" w:color="auto" w:fill="FFFFFF"/>
          </w:tcPr>
          <w:p w14:paraId="640ED0F5"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eastAsia="TimesNewRomanPSMT" w:hAnsi="Times New Roman" w:cs="Times New Roman"/>
                <w:sz w:val="24"/>
                <w:szCs w:val="24"/>
                <w:lang w:val="en-US" w:bidi="ar-SA"/>
              </w:rPr>
              <w:t>♂</w:t>
            </w:r>
          </w:p>
        </w:tc>
        <w:tc>
          <w:tcPr>
            <w:tcW w:w="764" w:type="dxa"/>
            <w:tcBorders>
              <w:top w:val="single" w:sz="4" w:space="0" w:color="auto"/>
            </w:tcBorders>
            <w:shd w:val="clear" w:color="auto" w:fill="FFFFFF"/>
          </w:tcPr>
          <w:p w14:paraId="27732737"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hAnsi="Times New Roman" w:cs="Times New Roman"/>
                <w:sz w:val="24"/>
                <w:szCs w:val="24"/>
              </w:rPr>
              <w:t>♀</w:t>
            </w:r>
          </w:p>
        </w:tc>
        <w:tc>
          <w:tcPr>
            <w:tcW w:w="780" w:type="dxa"/>
            <w:tcBorders>
              <w:top w:val="single" w:sz="4" w:space="0" w:color="auto"/>
            </w:tcBorders>
            <w:shd w:val="clear" w:color="auto" w:fill="FFFFFF"/>
          </w:tcPr>
          <w:p w14:paraId="07B42527"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eastAsia="TimesNewRomanPSMT" w:hAnsi="Times New Roman" w:cs="Times New Roman"/>
                <w:sz w:val="24"/>
                <w:szCs w:val="24"/>
                <w:lang w:val="en-US" w:bidi="ar-SA"/>
              </w:rPr>
              <w:t>♂</w:t>
            </w:r>
          </w:p>
        </w:tc>
        <w:tc>
          <w:tcPr>
            <w:tcW w:w="708" w:type="dxa"/>
            <w:tcBorders>
              <w:top w:val="single" w:sz="4" w:space="0" w:color="auto"/>
              <w:left w:val="nil"/>
            </w:tcBorders>
            <w:shd w:val="clear" w:color="auto" w:fill="FFFFFF"/>
          </w:tcPr>
          <w:p w14:paraId="2501F72D" w14:textId="77777777" w:rsidR="008C76E0" w:rsidRPr="00BD7577" w:rsidRDefault="008C76E0" w:rsidP="008C76E0">
            <w:pPr>
              <w:spacing w:after="120" w:line="240" w:lineRule="auto"/>
              <w:rPr>
                <w:rFonts w:ascii="Sylfaen" w:hAnsi="Sylfaen" w:cs="Times New Roman"/>
                <w:sz w:val="24"/>
                <w:szCs w:val="24"/>
              </w:rPr>
            </w:pPr>
            <w:r w:rsidRPr="00BD7577">
              <w:rPr>
                <w:rFonts w:ascii="Times New Roman" w:hAnsi="Times New Roman" w:cs="Times New Roman"/>
                <w:sz w:val="24"/>
                <w:szCs w:val="24"/>
              </w:rPr>
              <w:t>♀</w:t>
            </w:r>
          </w:p>
        </w:tc>
      </w:tr>
      <w:tr w:rsidR="008C76E0" w:rsidRPr="00BD7577" w14:paraId="23D43406" w14:textId="77777777" w:rsidTr="008C76E0">
        <w:trPr>
          <w:jc w:val="center"/>
        </w:trPr>
        <w:tc>
          <w:tcPr>
            <w:tcW w:w="9765" w:type="dxa"/>
            <w:gridSpan w:val="8"/>
            <w:tcBorders>
              <w:top w:val="single" w:sz="4" w:space="0" w:color="auto"/>
            </w:tcBorders>
            <w:shd w:val="clear" w:color="auto" w:fill="FFFFFF"/>
          </w:tcPr>
          <w:p w14:paraId="21F08969" w14:textId="77777777" w:rsidR="008C76E0" w:rsidRPr="00BD7577" w:rsidRDefault="008C76E0" w:rsidP="008C76E0">
            <w:pPr>
              <w:spacing w:after="120" w:line="240" w:lineRule="auto"/>
              <w:rPr>
                <w:rFonts w:ascii="Sylfaen" w:hAnsi="Sylfaen"/>
                <w:sz w:val="24"/>
                <w:szCs w:val="24"/>
              </w:rPr>
            </w:pPr>
          </w:p>
        </w:tc>
      </w:tr>
      <w:tr w:rsidR="008C76E0" w:rsidRPr="00BD7577" w14:paraId="0DB8F197" w14:textId="77777777" w:rsidTr="008C76E0">
        <w:trPr>
          <w:jc w:val="center"/>
        </w:trPr>
        <w:tc>
          <w:tcPr>
            <w:tcW w:w="9765" w:type="dxa"/>
            <w:gridSpan w:val="8"/>
            <w:tcBorders>
              <w:top w:val="single" w:sz="4" w:space="0" w:color="auto"/>
              <w:left w:val="single" w:sz="4" w:space="0" w:color="auto"/>
              <w:right w:val="single" w:sz="4" w:space="0" w:color="auto"/>
            </w:tcBorders>
            <w:shd w:val="clear" w:color="auto" w:fill="FFFFFF"/>
          </w:tcPr>
          <w:p w14:paraId="1EDC8A78"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818828E" w14:textId="77777777" w:rsidTr="008C76E0">
        <w:trPr>
          <w:jc w:val="center"/>
        </w:trPr>
        <w:tc>
          <w:tcPr>
            <w:tcW w:w="9765" w:type="dxa"/>
            <w:gridSpan w:val="8"/>
            <w:tcBorders>
              <w:top w:val="single" w:sz="4" w:space="0" w:color="auto"/>
            </w:tcBorders>
            <w:shd w:val="clear" w:color="auto" w:fill="FFFFFF"/>
            <w:vAlign w:val="center"/>
          </w:tcPr>
          <w:p w14:paraId="0B18F916" w14:textId="77777777" w:rsidR="008C76E0" w:rsidRPr="00BD7577" w:rsidRDefault="008C76E0" w:rsidP="008C76E0">
            <w:pPr>
              <w:pStyle w:val="Bodytext180"/>
              <w:shd w:val="clear" w:color="auto" w:fill="auto"/>
              <w:tabs>
                <w:tab w:val="left" w:pos="1188"/>
              </w:tabs>
              <w:spacing w:before="0" w:after="120" w:line="240" w:lineRule="auto"/>
              <w:ind w:firstLine="567"/>
              <w:rPr>
                <w:rStyle w:val="Bodytext295pt"/>
                <w:rFonts w:ascii="Sylfaen" w:hAnsi="Sylfaen"/>
                <w:b/>
                <w:spacing w:val="0"/>
                <w:sz w:val="24"/>
                <w:szCs w:val="24"/>
              </w:rPr>
            </w:pPr>
            <w:r>
              <w:rPr>
                <w:rStyle w:val="Bodytext295pt"/>
                <w:rFonts w:ascii="Sylfaen" w:hAnsi="Sylfaen"/>
                <w:spacing w:val="0"/>
                <w:sz w:val="24"/>
                <w:szCs w:val="24"/>
              </w:rPr>
              <w:t>4.3.</w:t>
            </w:r>
            <w:r w:rsidRPr="00BD7577">
              <w:rPr>
                <w:rStyle w:val="Bodytext295pt"/>
                <w:rFonts w:ascii="Sylfaen" w:hAnsi="Sylfaen"/>
                <w:spacing w:val="0"/>
                <w:sz w:val="24"/>
                <w:szCs w:val="24"/>
              </w:rPr>
              <w:tab/>
              <w:t>Գենոտոքսիկ ազդեցությունը։</w:t>
            </w:r>
          </w:p>
        </w:tc>
      </w:tr>
    </w:tbl>
    <w:p w14:paraId="3F5558F4" w14:textId="77777777" w:rsidR="008C76E0" w:rsidRPr="00BD7577" w:rsidRDefault="008C76E0" w:rsidP="008C76E0">
      <w:pPr>
        <w:rPr>
          <w:rFonts w:ascii="Sylfaen" w:hAnsi="Sylfaen"/>
          <w:sz w:val="24"/>
          <w:szCs w:val="24"/>
        </w:rPr>
      </w:pPr>
    </w:p>
    <w:tbl>
      <w:tblPr>
        <w:tblOverlap w:val="never"/>
        <w:tblW w:w="10712" w:type="dxa"/>
        <w:jc w:val="center"/>
        <w:tblLayout w:type="fixed"/>
        <w:tblCellMar>
          <w:left w:w="10" w:type="dxa"/>
          <w:right w:w="10" w:type="dxa"/>
        </w:tblCellMar>
        <w:tblLook w:val="04A0" w:firstRow="1" w:lastRow="0" w:firstColumn="1" w:lastColumn="0" w:noHBand="0" w:noVBand="1"/>
      </w:tblPr>
      <w:tblGrid>
        <w:gridCol w:w="2098"/>
        <w:gridCol w:w="654"/>
        <w:gridCol w:w="3232"/>
        <w:gridCol w:w="1128"/>
        <w:gridCol w:w="1569"/>
        <w:gridCol w:w="764"/>
        <w:gridCol w:w="1267"/>
      </w:tblGrid>
      <w:tr w:rsidR="008C76E0" w:rsidRPr="00BD7577" w14:paraId="4C45D60A" w14:textId="77777777" w:rsidTr="008C76E0">
        <w:trPr>
          <w:jc w:val="center"/>
        </w:trPr>
        <w:tc>
          <w:tcPr>
            <w:tcW w:w="2098" w:type="dxa"/>
            <w:shd w:val="clear" w:color="auto" w:fill="FFFFFF"/>
          </w:tcPr>
          <w:p w14:paraId="48425A89" w14:textId="77777777" w:rsidR="008C76E0" w:rsidRPr="00BD7577" w:rsidRDefault="008C76E0" w:rsidP="008C76E0">
            <w:pPr>
              <w:spacing w:after="120" w:line="240" w:lineRule="auto"/>
              <w:rPr>
                <w:rFonts w:ascii="Sylfaen" w:hAnsi="Sylfaen"/>
                <w:sz w:val="24"/>
                <w:szCs w:val="24"/>
              </w:rPr>
            </w:pPr>
          </w:p>
        </w:tc>
        <w:tc>
          <w:tcPr>
            <w:tcW w:w="8614" w:type="dxa"/>
            <w:gridSpan w:val="6"/>
            <w:shd w:val="clear" w:color="auto" w:fill="FFFFFF"/>
            <w:vAlign w:val="bottom"/>
          </w:tcPr>
          <w:p w14:paraId="34982811"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295pt"/>
                <w:rFonts w:ascii="Sylfaen" w:hAnsi="Sylfaen"/>
                <w:spacing w:val="0"/>
                <w:sz w:val="24"/>
                <w:szCs w:val="24"/>
              </w:rPr>
              <w:t>Գենոտոքսիկ հետազոտությունների ակնարկի աղյուսակի օրինակ՝</w:t>
            </w:r>
          </w:p>
        </w:tc>
      </w:tr>
      <w:tr w:rsidR="008C76E0" w:rsidRPr="00BD7577" w14:paraId="1FC89CA6" w14:textId="77777777" w:rsidTr="008C76E0">
        <w:trPr>
          <w:jc w:val="center"/>
        </w:trPr>
        <w:tc>
          <w:tcPr>
            <w:tcW w:w="2752" w:type="dxa"/>
            <w:gridSpan w:val="2"/>
            <w:tcBorders>
              <w:top w:val="single" w:sz="4" w:space="0" w:color="auto"/>
              <w:left w:val="single" w:sz="4" w:space="0" w:color="auto"/>
            </w:tcBorders>
            <w:shd w:val="clear" w:color="auto" w:fill="FFFFFF"/>
          </w:tcPr>
          <w:p w14:paraId="2E310A83" w14:textId="77777777" w:rsidR="008C76E0" w:rsidRPr="008C76E0" w:rsidRDefault="008C76E0" w:rsidP="008C76E0">
            <w:pPr>
              <w:pStyle w:val="Bodytext180"/>
              <w:shd w:val="clear" w:color="auto" w:fill="auto"/>
              <w:spacing w:before="0" w:after="120" w:line="240" w:lineRule="auto"/>
              <w:ind w:left="117" w:firstLine="0"/>
              <w:rPr>
                <w:rFonts w:ascii="Sylfaen" w:hAnsi="Sylfaen"/>
                <w:b w:val="0"/>
                <w:sz w:val="24"/>
                <w:szCs w:val="24"/>
                <w:lang w:val="hy-AM"/>
              </w:rPr>
            </w:pPr>
            <w:r w:rsidRPr="00BD7577">
              <w:rPr>
                <w:rStyle w:val="Bodytext1811pt"/>
                <w:rFonts w:ascii="Sylfaen" w:hAnsi="Sylfaen"/>
                <w:sz w:val="24"/>
                <w:szCs w:val="24"/>
              </w:rPr>
              <w:t xml:space="preserve">Հետազոտության տեսակը/ նույնականացման համարը/պատշաճ լաբորատոր </w:t>
            </w:r>
            <w:r w:rsidRPr="00BD7577">
              <w:rPr>
                <w:rStyle w:val="Bodytext1811pt"/>
                <w:rFonts w:ascii="Sylfaen" w:hAnsi="Sylfaen"/>
                <w:sz w:val="24"/>
                <w:szCs w:val="24"/>
              </w:rPr>
              <w:lastRenderedPageBreak/>
              <w:t xml:space="preserve">գործելակերպին համապատասխա-նությունը </w:t>
            </w:r>
          </w:p>
        </w:tc>
        <w:tc>
          <w:tcPr>
            <w:tcW w:w="3232" w:type="dxa"/>
            <w:tcBorders>
              <w:top w:val="single" w:sz="4" w:space="0" w:color="auto"/>
              <w:left w:val="single" w:sz="4" w:space="0" w:color="auto"/>
            </w:tcBorders>
            <w:shd w:val="clear" w:color="auto" w:fill="FFFFFF"/>
          </w:tcPr>
          <w:p w14:paraId="2A6D0501"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lastRenderedPageBreak/>
              <w:t>Վերլուծության համակարգ</w:t>
            </w:r>
          </w:p>
        </w:tc>
        <w:tc>
          <w:tcPr>
            <w:tcW w:w="2697" w:type="dxa"/>
            <w:gridSpan w:val="2"/>
            <w:tcBorders>
              <w:top w:val="single" w:sz="4" w:space="0" w:color="auto"/>
              <w:left w:val="single" w:sz="4" w:space="0" w:color="auto"/>
            </w:tcBorders>
            <w:shd w:val="clear" w:color="auto" w:fill="FFFFFF"/>
          </w:tcPr>
          <w:p w14:paraId="3365C0CB"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Pr>
                <w:rStyle w:val="Bodytext1811pt"/>
                <w:rFonts w:ascii="Sylfaen" w:hAnsi="Sylfaen"/>
                <w:sz w:val="24"/>
                <w:szCs w:val="24"/>
              </w:rPr>
              <w:t>Կոնցենտրացիաները/ կոնցենտրացիա</w:t>
            </w:r>
            <w:r w:rsidRPr="00BD7577">
              <w:rPr>
                <w:rStyle w:val="Bodytext1811pt"/>
                <w:rFonts w:ascii="Sylfaen" w:hAnsi="Sylfaen"/>
                <w:sz w:val="24"/>
                <w:szCs w:val="24"/>
              </w:rPr>
              <w:t xml:space="preserve">ների ընդգրկույթը/ նյութափոխանա-կության համակարգը </w:t>
            </w:r>
          </w:p>
        </w:tc>
        <w:tc>
          <w:tcPr>
            <w:tcW w:w="2031" w:type="dxa"/>
            <w:gridSpan w:val="2"/>
            <w:tcBorders>
              <w:top w:val="single" w:sz="4" w:space="0" w:color="auto"/>
              <w:left w:val="single" w:sz="4" w:space="0" w:color="auto"/>
              <w:right w:val="single" w:sz="4" w:space="0" w:color="auto"/>
            </w:tcBorders>
            <w:shd w:val="clear" w:color="auto" w:fill="FFFFFF"/>
          </w:tcPr>
          <w:p w14:paraId="61A205E2" w14:textId="77777777" w:rsidR="008C76E0" w:rsidRPr="00BD7577" w:rsidRDefault="008C76E0" w:rsidP="008C76E0">
            <w:pPr>
              <w:pStyle w:val="Bodytext180"/>
              <w:shd w:val="clear" w:color="auto" w:fill="auto"/>
              <w:spacing w:before="0" w:after="120" w:line="240" w:lineRule="auto"/>
              <w:ind w:left="117" w:firstLine="0"/>
              <w:rPr>
                <w:rFonts w:ascii="Sylfaen" w:hAnsi="Sylfaen"/>
                <w:b w:val="0"/>
                <w:sz w:val="24"/>
                <w:szCs w:val="24"/>
              </w:rPr>
            </w:pPr>
            <w:r w:rsidRPr="00BD7577">
              <w:rPr>
                <w:rStyle w:val="Bodytext1811pt"/>
                <w:rFonts w:ascii="Sylfaen" w:hAnsi="Sylfaen"/>
                <w:sz w:val="24"/>
                <w:szCs w:val="24"/>
              </w:rPr>
              <w:t>Արդյունքներ՝ դրական/ բացասական/ ոչ միանշանակ</w:t>
            </w:r>
          </w:p>
        </w:tc>
      </w:tr>
      <w:tr w:rsidR="008C76E0" w:rsidRPr="00BD7577" w14:paraId="65717F11" w14:textId="77777777" w:rsidTr="008C76E0">
        <w:trPr>
          <w:jc w:val="center"/>
        </w:trPr>
        <w:tc>
          <w:tcPr>
            <w:tcW w:w="2098" w:type="dxa"/>
            <w:tcBorders>
              <w:top w:val="single" w:sz="4" w:space="0" w:color="auto"/>
            </w:tcBorders>
            <w:shd w:val="clear" w:color="auto" w:fill="FFFFFF"/>
          </w:tcPr>
          <w:p w14:paraId="6E2E5535" w14:textId="77777777" w:rsidR="008C76E0" w:rsidRPr="00BD7577" w:rsidRDefault="008C76E0" w:rsidP="008C76E0">
            <w:pPr>
              <w:pStyle w:val="Bodytext180"/>
              <w:shd w:val="clear" w:color="auto" w:fill="auto"/>
              <w:spacing w:before="0" w:after="120" w:line="240" w:lineRule="auto"/>
              <w:ind w:left="162" w:firstLine="0"/>
              <w:rPr>
                <w:rFonts w:ascii="Sylfaen" w:hAnsi="Sylfaen"/>
                <w:b w:val="0"/>
                <w:sz w:val="24"/>
                <w:szCs w:val="24"/>
              </w:rPr>
            </w:pPr>
            <w:r w:rsidRPr="00BD7577">
              <w:rPr>
                <w:rStyle w:val="Bodytext1811pt"/>
                <w:rFonts w:ascii="Sylfaen" w:hAnsi="Sylfaen"/>
                <w:sz w:val="24"/>
                <w:szCs w:val="24"/>
              </w:rPr>
              <w:t>Գենային մուտացիաները մանրէներում</w:t>
            </w:r>
          </w:p>
        </w:tc>
        <w:tc>
          <w:tcPr>
            <w:tcW w:w="654" w:type="dxa"/>
            <w:tcBorders>
              <w:top w:val="single" w:sz="4" w:space="0" w:color="auto"/>
            </w:tcBorders>
            <w:shd w:val="clear" w:color="auto" w:fill="FFFFFF"/>
          </w:tcPr>
          <w:p w14:paraId="0287C858" w14:textId="77777777" w:rsidR="008C76E0" w:rsidRPr="00BD7577" w:rsidRDefault="008C76E0" w:rsidP="008C76E0">
            <w:pPr>
              <w:spacing w:after="120" w:line="240" w:lineRule="auto"/>
              <w:ind w:left="162"/>
              <w:rPr>
                <w:rFonts w:ascii="Sylfaen" w:hAnsi="Sylfaen"/>
                <w:sz w:val="24"/>
                <w:szCs w:val="24"/>
              </w:rPr>
            </w:pPr>
          </w:p>
        </w:tc>
        <w:tc>
          <w:tcPr>
            <w:tcW w:w="3232" w:type="dxa"/>
            <w:tcBorders>
              <w:top w:val="single" w:sz="4" w:space="0" w:color="auto"/>
            </w:tcBorders>
            <w:shd w:val="clear" w:color="auto" w:fill="FFFFFF"/>
          </w:tcPr>
          <w:p w14:paraId="2E1D95A3" w14:textId="77777777" w:rsidR="008C76E0" w:rsidRPr="00BD7577" w:rsidRDefault="008C76E0" w:rsidP="008C76E0">
            <w:pPr>
              <w:pStyle w:val="Bodytext180"/>
              <w:shd w:val="clear" w:color="auto" w:fill="auto"/>
              <w:spacing w:before="0" w:after="120" w:line="240" w:lineRule="auto"/>
              <w:ind w:left="162" w:firstLine="0"/>
              <w:rPr>
                <w:rFonts w:ascii="Sylfaen" w:hAnsi="Sylfaen"/>
                <w:b w:val="0"/>
                <w:sz w:val="24"/>
                <w:szCs w:val="24"/>
              </w:rPr>
            </w:pPr>
            <w:r w:rsidRPr="00BD7577">
              <w:rPr>
                <w:rStyle w:val="Bodytext1811pt"/>
                <w:rFonts w:ascii="Sylfaen" w:hAnsi="Sylfaen"/>
                <w:sz w:val="24"/>
                <w:szCs w:val="24"/>
              </w:rPr>
              <w:t>սալմոնելայի շտամները</w:t>
            </w:r>
          </w:p>
        </w:tc>
        <w:tc>
          <w:tcPr>
            <w:tcW w:w="1128" w:type="dxa"/>
            <w:tcBorders>
              <w:top w:val="single" w:sz="4" w:space="0" w:color="auto"/>
            </w:tcBorders>
            <w:shd w:val="clear" w:color="auto" w:fill="FFFFFF"/>
            <w:vAlign w:val="center"/>
          </w:tcPr>
          <w:p w14:paraId="40025480" w14:textId="77777777" w:rsidR="008C76E0" w:rsidRPr="00BD7577" w:rsidRDefault="008C76E0" w:rsidP="008C76E0">
            <w:pPr>
              <w:pStyle w:val="Bodytext180"/>
              <w:shd w:val="clear" w:color="auto" w:fill="auto"/>
              <w:spacing w:before="0" w:after="120" w:line="240" w:lineRule="auto"/>
              <w:ind w:left="162" w:firstLine="0"/>
              <w:rPr>
                <w:rFonts w:ascii="Sylfaen" w:hAnsi="Sylfaen"/>
                <w:b w:val="0"/>
                <w:sz w:val="24"/>
                <w:szCs w:val="24"/>
              </w:rPr>
            </w:pPr>
            <w:r w:rsidRPr="00BD7577">
              <w:rPr>
                <w:rStyle w:val="Bodytext1811pt"/>
                <w:rFonts w:ascii="Sylfaen" w:hAnsi="Sylfaen"/>
                <w:sz w:val="24"/>
                <w:szCs w:val="24"/>
              </w:rPr>
              <w:t>+/- S9</w:t>
            </w:r>
          </w:p>
        </w:tc>
        <w:tc>
          <w:tcPr>
            <w:tcW w:w="1569" w:type="dxa"/>
            <w:tcBorders>
              <w:top w:val="single" w:sz="4" w:space="0" w:color="auto"/>
            </w:tcBorders>
            <w:shd w:val="clear" w:color="auto" w:fill="FFFFFF"/>
          </w:tcPr>
          <w:p w14:paraId="34708B84" w14:textId="77777777" w:rsidR="008C76E0" w:rsidRPr="00BD7577" w:rsidRDefault="008C76E0" w:rsidP="008C76E0">
            <w:pPr>
              <w:spacing w:after="120" w:line="240" w:lineRule="auto"/>
              <w:ind w:left="162"/>
              <w:rPr>
                <w:rFonts w:ascii="Sylfaen" w:hAnsi="Sylfaen"/>
                <w:sz w:val="24"/>
                <w:szCs w:val="24"/>
              </w:rPr>
            </w:pPr>
          </w:p>
        </w:tc>
        <w:tc>
          <w:tcPr>
            <w:tcW w:w="764" w:type="dxa"/>
            <w:tcBorders>
              <w:top w:val="single" w:sz="4" w:space="0" w:color="auto"/>
            </w:tcBorders>
            <w:shd w:val="clear" w:color="auto" w:fill="FFFFFF"/>
          </w:tcPr>
          <w:p w14:paraId="5CA518B3" w14:textId="77777777" w:rsidR="008C76E0" w:rsidRPr="00BD7577" w:rsidRDefault="008C76E0" w:rsidP="008C76E0">
            <w:pPr>
              <w:spacing w:after="120" w:line="240" w:lineRule="auto"/>
              <w:ind w:left="162"/>
              <w:rPr>
                <w:rFonts w:ascii="Sylfaen" w:hAnsi="Sylfaen"/>
                <w:sz w:val="24"/>
                <w:szCs w:val="24"/>
              </w:rPr>
            </w:pPr>
          </w:p>
        </w:tc>
        <w:tc>
          <w:tcPr>
            <w:tcW w:w="1267" w:type="dxa"/>
            <w:tcBorders>
              <w:top w:val="single" w:sz="4" w:space="0" w:color="auto"/>
            </w:tcBorders>
            <w:shd w:val="clear" w:color="auto" w:fill="FFFFFF"/>
          </w:tcPr>
          <w:p w14:paraId="44B16B63" w14:textId="77777777" w:rsidR="008C76E0" w:rsidRPr="00BD7577" w:rsidRDefault="008C76E0" w:rsidP="008C76E0">
            <w:pPr>
              <w:spacing w:after="120" w:line="240" w:lineRule="auto"/>
              <w:ind w:left="162"/>
              <w:rPr>
                <w:rFonts w:ascii="Sylfaen" w:hAnsi="Sylfaen"/>
                <w:sz w:val="24"/>
                <w:szCs w:val="24"/>
              </w:rPr>
            </w:pPr>
          </w:p>
        </w:tc>
      </w:tr>
      <w:tr w:rsidR="008C76E0" w:rsidRPr="00BD7577" w14:paraId="339E912D" w14:textId="77777777" w:rsidTr="008C76E0">
        <w:trPr>
          <w:trHeight w:val="1140"/>
          <w:jc w:val="center"/>
        </w:trPr>
        <w:tc>
          <w:tcPr>
            <w:tcW w:w="2098" w:type="dxa"/>
            <w:shd w:val="clear" w:color="auto" w:fill="FFFFFF"/>
          </w:tcPr>
          <w:p w14:paraId="4E24A1AA" w14:textId="77777777" w:rsidR="008C76E0" w:rsidRPr="00BD7577" w:rsidRDefault="008C76E0" w:rsidP="008C76E0">
            <w:pPr>
              <w:pStyle w:val="Bodytext180"/>
              <w:spacing w:before="0" w:after="120" w:line="240" w:lineRule="auto"/>
              <w:ind w:left="162" w:firstLine="0"/>
              <w:rPr>
                <w:rFonts w:ascii="Sylfaen" w:hAnsi="Sylfaen"/>
                <w:b w:val="0"/>
                <w:sz w:val="24"/>
                <w:szCs w:val="24"/>
              </w:rPr>
            </w:pPr>
            <w:r w:rsidRPr="00BD7577">
              <w:rPr>
                <w:rStyle w:val="Bodytext1811pt"/>
                <w:rFonts w:ascii="Sylfaen" w:hAnsi="Sylfaen"/>
                <w:sz w:val="24"/>
                <w:szCs w:val="24"/>
              </w:rPr>
              <w:t>Գենային մուտացիաները կաթնասունների բջիջներում</w:t>
            </w:r>
          </w:p>
        </w:tc>
        <w:tc>
          <w:tcPr>
            <w:tcW w:w="654" w:type="dxa"/>
            <w:shd w:val="clear" w:color="auto" w:fill="FFFFFF"/>
          </w:tcPr>
          <w:p w14:paraId="6E5AE593" w14:textId="77777777" w:rsidR="008C76E0" w:rsidRPr="00BD7577" w:rsidRDefault="008C76E0" w:rsidP="008C76E0">
            <w:pPr>
              <w:spacing w:after="120" w:line="240" w:lineRule="auto"/>
              <w:ind w:left="162"/>
              <w:rPr>
                <w:rFonts w:ascii="Sylfaen" w:hAnsi="Sylfaen"/>
                <w:sz w:val="24"/>
                <w:szCs w:val="24"/>
              </w:rPr>
            </w:pPr>
          </w:p>
        </w:tc>
        <w:tc>
          <w:tcPr>
            <w:tcW w:w="3232" w:type="dxa"/>
            <w:shd w:val="clear" w:color="auto" w:fill="FFFFFF"/>
          </w:tcPr>
          <w:p w14:paraId="30262B0B" w14:textId="77777777" w:rsidR="008C76E0" w:rsidRPr="008C76E0" w:rsidRDefault="008C76E0" w:rsidP="008C76E0">
            <w:pPr>
              <w:pStyle w:val="Bodytext180"/>
              <w:shd w:val="clear" w:color="auto" w:fill="auto"/>
              <w:spacing w:before="0" w:after="120" w:line="240" w:lineRule="auto"/>
              <w:ind w:left="162" w:firstLine="0"/>
              <w:rPr>
                <w:rFonts w:ascii="Sylfaen" w:hAnsi="Sylfaen"/>
                <w:b w:val="0"/>
                <w:sz w:val="24"/>
                <w:szCs w:val="24"/>
                <w:lang w:val="hy-AM"/>
              </w:rPr>
            </w:pPr>
            <w:r w:rsidRPr="00BD7577">
              <w:rPr>
                <w:rStyle w:val="Bodytext1811pt"/>
                <w:rFonts w:ascii="Sylfaen" w:hAnsi="Sylfaen"/>
                <w:sz w:val="24"/>
                <w:szCs w:val="24"/>
              </w:rPr>
              <w:t xml:space="preserve">չինական գերմանամկան ձվաբջիջներ (CHO-բջիջներ), HGPRT-լոկուս, մարդու լիմֆոցիտներ </w:t>
            </w:r>
          </w:p>
        </w:tc>
        <w:tc>
          <w:tcPr>
            <w:tcW w:w="1128" w:type="dxa"/>
            <w:shd w:val="clear" w:color="auto" w:fill="FFFFFF"/>
            <w:vAlign w:val="center"/>
          </w:tcPr>
          <w:p w14:paraId="434E1B8A" w14:textId="77777777" w:rsidR="008C76E0" w:rsidRPr="00BD7577" w:rsidRDefault="008C76E0" w:rsidP="008C76E0">
            <w:pPr>
              <w:pStyle w:val="Bodytext180"/>
              <w:shd w:val="clear" w:color="auto" w:fill="auto"/>
              <w:spacing w:before="0" w:after="120" w:line="240" w:lineRule="auto"/>
              <w:ind w:left="162" w:firstLine="0"/>
              <w:rPr>
                <w:rFonts w:ascii="Sylfaen" w:hAnsi="Sylfaen"/>
                <w:b w:val="0"/>
                <w:sz w:val="24"/>
                <w:szCs w:val="24"/>
              </w:rPr>
            </w:pPr>
            <w:r w:rsidRPr="00BD7577">
              <w:rPr>
                <w:rStyle w:val="Bodytext1811pt"/>
                <w:rFonts w:ascii="Sylfaen" w:hAnsi="Sylfaen"/>
                <w:sz w:val="24"/>
                <w:szCs w:val="24"/>
              </w:rPr>
              <w:t xml:space="preserve">+/- S9 </w:t>
            </w:r>
          </w:p>
        </w:tc>
        <w:tc>
          <w:tcPr>
            <w:tcW w:w="1569" w:type="dxa"/>
            <w:shd w:val="clear" w:color="auto" w:fill="FFFFFF"/>
          </w:tcPr>
          <w:p w14:paraId="26834F1B" w14:textId="77777777" w:rsidR="008C76E0" w:rsidRPr="00BD7577" w:rsidRDefault="008C76E0" w:rsidP="008C76E0">
            <w:pPr>
              <w:spacing w:after="120" w:line="240" w:lineRule="auto"/>
              <w:ind w:left="162"/>
              <w:rPr>
                <w:rFonts w:ascii="Sylfaen" w:hAnsi="Sylfaen"/>
                <w:sz w:val="24"/>
                <w:szCs w:val="24"/>
              </w:rPr>
            </w:pPr>
          </w:p>
        </w:tc>
        <w:tc>
          <w:tcPr>
            <w:tcW w:w="764" w:type="dxa"/>
            <w:shd w:val="clear" w:color="auto" w:fill="FFFFFF"/>
          </w:tcPr>
          <w:p w14:paraId="167E8DB6" w14:textId="77777777" w:rsidR="008C76E0" w:rsidRPr="00BD7577" w:rsidRDefault="008C76E0" w:rsidP="008C76E0">
            <w:pPr>
              <w:spacing w:after="120" w:line="240" w:lineRule="auto"/>
              <w:ind w:left="162"/>
              <w:rPr>
                <w:rFonts w:ascii="Sylfaen" w:hAnsi="Sylfaen"/>
                <w:sz w:val="24"/>
                <w:szCs w:val="24"/>
              </w:rPr>
            </w:pPr>
          </w:p>
        </w:tc>
        <w:tc>
          <w:tcPr>
            <w:tcW w:w="1267" w:type="dxa"/>
            <w:shd w:val="clear" w:color="auto" w:fill="FFFFFF"/>
          </w:tcPr>
          <w:p w14:paraId="100F3CDD" w14:textId="77777777" w:rsidR="008C76E0" w:rsidRPr="00BD7577" w:rsidRDefault="008C76E0" w:rsidP="008C76E0">
            <w:pPr>
              <w:spacing w:after="120" w:line="240" w:lineRule="auto"/>
              <w:ind w:left="162"/>
              <w:rPr>
                <w:rFonts w:ascii="Sylfaen" w:hAnsi="Sylfaen"/>
                <w:sz w:val="24"/>
                <w:szCs w:val="24"/>
              </w:rPr>
            </w:pPr>
          </w:p>
        </w:tc>
      </w:tr>
      <w:tr w:rsidR="008C76E0" w:rsidRPr="00BD7577" w14:paraId="32BCB607" w14:textId="77777777" w:rsidTr="008C76E0">
        <w:trPr>
          <w:trHeight w:val="1320"/>
          <w:jc w:val="center"/>
        </w:trPr>
        <w:tc>
          <w:tcPr>
            <w:tcW w:w="2098" w:type="dxa"/>
            <w:shd w:val="clear" w:color="auto" w:fill="FFFFFF"/>
          </w:tcPr>
          <w:p w14:paraId="6534293D" w14:textId="77777777" w:rsidR="008C76E0" w:rsidRPr="00BD7577" w:rsidRDefault="008C76E0" w:rsidP="008C76E0">
            <w:pPr>
              <w:pStyle w:val="Bodytext180"/>
              <w:spacing w:before="0" w:after="120" w:line="240" w:lineRule="auto"/>
              <w:ind w:left="162" w:firstLine="0"/>
              <w:rPr>
                <w:rStyle w:val="Bodytext1811pt"/>
                <w:rFonts w:ascii="Sylfaen" w:hAnsi="Sylfaen"/>
                <w:sz w:val="24"/>
                <w:szCs w:val="24"/>
              </w:rPr>
            </w:pPr>
            <w:r w:rsidRPr="00BD7577">
              <w:rPr>
                <w:rStyle w:val="Bodytext1811pt"/>
                <w:rFonts w:ascii="Sylfaen" w:hAnsi="Sylfaen"/>
                <w:sz w:val="24"/>
                <w:szCs w:val="24"/>
              </w:rPr>
              <w:t xml:space="preserve">in vivo քրոմոսոմային աբերացիաներ </w:t>
            </w:r>
          </w:p>
        </w:tc>
        <w:tc>
          <w:tcPr>
            <w:tcW w:w="654" w:type="dxa"/>
            <w:shd w:val="clear" w:color="auto" w:fill="FFFFFF"/>
          </w:tcPr>
          <w:p w14:paraId="1D1EE45A" w14:textId="77777777" w:rsidR="008C76E0" w:rsidRPr="00BD7577" w:rsidRDefault="008C76E0" w:rsidP="008C76E0">
            <w:pPr>
              <w:spacing w:after="120" w:line="240" w:lineRule="auto"/>
              <w:ind w:left="162"/>
              <w:rPr>
                <w:rFonts w:ascii="Sylfaen" w:hAnsi="Sylfaen"/>
                <w:sz w:val="24"/>
                <w:szCs w:val="24"/>
              </w:rPr>
            </w:pPr>
          </w:p>
        </w:tc>
        <w:tc>
          <w:tcPr>
            <w:tcW w:w="3232" w:type="dxa"/>
            <w:shd w:val="clear" w:color="auto" w:fill="FFFFFF"/>
          </w:tcPr>
          <w:p w14:paraId="452B0658" w14:textId="77777777" w:rsidR="008C76E0" w:rsidRPr="00BD7577" w:rsidRDefault="008C76E0" w:rsidP="008C76E0">
            <w:pPr>
              <w:pStyle w:val="Bodytext180"/>
              <w:spacing w:before="0" w:after="120" w:line="240" w:lineRule="auto"/>
              <w:ind w:left="162" w:firstLine="0"/>
              <w:rPr>
                <w:rStyle w:val="Bodytext1811pt"/>
                <w:rFonts w:ascii="Sylfaen" w:hAnsi="Sylfaen"/>
                <w:sz w:val="24"/>
                <w:szCs w:val="24"/>
              </w:rPr>
            </w:pPr>
            <w:r w:rsidRPr="00BD7577">
              <w:rPr>
                <w:rStyle w:val="Bodytext1811pt"/>
                <w:rFonts w:ascii="Sylfaen" w:hAnsi="Sylfaen"/>
                <w:sz w:val="24"/>
                <w:szCs w:val="24"/>
              </w:rPr>
              <w:t>մկներ, միկրոմիջուկային</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ստուգանիշ ոսկրածուծում</w:t>
            </w:r>
          </w:p>
        </w:tc>
        <w:tc>
          <w:tcPr>
            <w:tcW w:w="1128" w:type="dxa"/>
            <w:shd w:val="clear" w:color="auto" w:fill="FFFFFF"/>
            <w:vAlign w:val="center"/>
          </w:tcPr>
          <w:p w14:paraId="1E9F39E8" w14:textId="77777777" w:rsidR="008C76E0" w:rsidRPr="00BD7577" w:rsidRDefault="008C76E0" w:rsidP="008C76E0">
            <w:pPr>
              <w:pStyle w:val="Bodytext180"/>
              <w:spacing w:before="0" w:after="120" w:line="240" w:lineRule="auto"/>
              <w:ind w:left="162" w:firstLine="0"/>
              <w:rPr>
                <w:rStyle w:val="Bodytext1811pt"/>
                <w:rFonts w:ascii="Sylfaen" w:hAnsi="Sylfaen"/>
                <w:sz w:val="24"/>
                <w:szCs w:val="24"/>
              </w:rPr>
            </w:pPr>
            <w:r w:rsidRPr="00BD7577">
              <w:rPr>
                <w:rStyle w:val="Bodytext1811pt"/>
                <w:rFonts w:ascii="Sylfaen" w:hAnsi="Sylfaen"/>
                <w:sz w:val="24"/>
                <w:szCs w:val="24"/>
              </w:rPr>
              <w:t>+/- S9</w:t>
            </w:r>
          </w:p>
        </w:tc>
        <w:tc>
          <w:tcPr>
            <w:tcW w:w="1569" w:type="dxa"/>
            <w:shd w:val="clear" w:color="auto" w:fill="FFFFFF"/>
          </w:tcPr>
          <w:p w14:paraId="5D7D4E40" w14:textId="77777777" w:rsidR="008C76E0" w:rsidRPr="00BD7577" w:rsidRDefault="008C76E0" w:rsidP="008C76E0">
            <w:pPr>
              <w:spacing w:after="120" w:line="240" w:lineRule="auto"/>
              <w:ind w:left="162"/>
              <w:rPr>
                <w:rFonts w:ascii="Sylfaen" w:hAnsi="Sylfaen"/>
                <w:sz w:val="24"/>
                <w:szCs w:val="24"/>
              </w:rPr>
            </w:pPr>
          </w:p>
        </w:tc>
        <w:tc>
          <w:tcPr>
            <w:tcW w:w="764" w:type="dxa"/>
            <w:shd w:val="clear" w:color="auto" w:fill="FFFFFF"/>
          </w:tcPr>
          <w:p w14:paraId="2B2FC657" w14:textId="77777777" w:rsidR="008C76E0" w:rsidRPr="00BD7577" w:rsidRDefault="008C76E0" w:rsidP="008C76E0">
            <w:pPr>
              <w:spacing w:after="120" w:line="240" w:lineRule="auto"/>
              <w:ind w:left="162"/>
              <w:rPr>
                <w:rFonts w:ascii="Sylfaen" w:hAnsi="Sylfaen"/>
                <w:sz w:val="24"/>
                <w:szCs w:val="24"/>
              </w:rPr>
            </w:pPr>
          </w:p>
        </w:tc>
        <w:tc>
          <w:tcPr>
            <w:tcW w:w="1267" w:type="dxa"/>
            <w:shd w:val="clear" w:color="auto" w:fill="FFFFFF"/>
          </w:tcPr>
          <w:p w14:paraId="62D8D052" w14:textId="77777777" w:rsidR="008C76E0" w:rsidRPr="00BD7577" w:rsidRDefault="008C76E0" w:rsidP="008C76E0">
            <w:pPr>
              <w:spacing w:after="120" w:line="240" w:lineRule="auto"/>
              <w:ind w:left="162"/>
              <w:rPr>
                <w:rFonts w:ascii="Sylfaen" w:hAnsi="Sylfaen"/>
                <w:sz w:val="24"/>
                <w:szCs w:val="24"/>
              </w:rPr>
            </w:pPr>
          </w:p>
        </w:tc>
      </w:tr>
      <w:tr w:rsidR="008C76E0" w:rsidRPr="00BD7577" w14:paraId="6F87AFC8" w14:textId="77777777" w:rsidTr="008C76E0">
        <w:trPr>
          <w:jc w:val="center"/>
        </w:trPr>
        <w:tc>
          <w:tcPr>
            <w:tcW w:w="10712" w:type="dxa"/>
            <w:gridSpan w:val="7"/>
            <w:tcBorders>
              <w:top w:val="single" w:sz="4" w:space="0" w:color="auto"/>
            </w:tcBorders>
            <w:shd w:val="clear" w:color="auto" w:fill="FFFFFF"/>
          </w:tcPr>
          <w:p w14:paraId="0C9FF506" w14:textId="77777777" w:rsidR="008C76E0" w:rsidRPr="00BD7577" w:rsidRDefault="008C76E0" w:rsidP="008C76E0">
            <w:pPr>
              <w:spacing w:after="120" w:line="240" w:lineRule="auto"/>
              <w:ind w:left="162"/>
              <w:rPr>
                <w:rFonts w:ascii="Sylfaen" w:hAnsi="Sylfaen"/>
                <w:sz w:val="24"/>
                <w:szCs w:val="24"/>
              </w:rPr>
            </w:pPr>
          </w:p>
        </w:tc>
      </w:tr>
      <w:tr w:rsidR="008C76E0" w:rsidRPr="00BD7577" w14:paraId="2963A7F3" w14:textId="77777777" w:rsidTr="008C76E0">
        <w:trPr>
          <w:jc w:val="center"/>
        </w:trPr>
        <w:tc>
          <w:tcPr>
            <w:tcW w:w="10712" w:type="dxa"/>
            <w:gridSpan w:val="7"/>
            <w:tcBorders>
              <w:top w:val="single" w:sz="4" w:space="0" w:color="auto"/>
              <w:left w:val="single" w:sz="4" w:space="0" w:color="auto"/>
              <w:bottom w:val="single" w:sz="4" w:space="0" w:color="auto"/>
              <w:right w:val="single" w:sz="4" w:space="0" w:color="auto"/>
            </w:tcBorders>
            <w:shd w:val="clear" w:color="auto" w:fill="FFFFFF"/>
          </w:tcPr>
          <w:p w14:paraId="436F8C3C" w14:textId="77777777" w:rsidR="008C76E0" w:rsidRPr="00BD7577" w:rsidRDefault="008C76E0" w:rsidP="008C76E0">
            <w:pPr>
              <w:pStyle w:val="Bodytext180"/>
              <w:shd w:val="clear" w:color="auto" w:fill="auto"/>
              <w:spacing w:before="0" w:after="160" w:line="360" w:lineRule="auto"/>
              <w:ind w:left="164"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bl>
    <w:p w14:paraId="6F2EDA0F" w14:textId="77777777" w:rsidR="008C76E0" w:rsidRPr="00BD7577" w:rsidRDefault="008C76E0" w:rsidP="008C76E0">
      <w:pPr>
        <w:rPr>
          <w:rFonts w:ascii="Sylfaen" w:hAnsi="Sylfaen"/>
          <w:sz w:val="24"/>
          <w:szCs w:val="24"/>
        </w:rPr>
      </w:pPr>
    </w:p>
    <w:tbl>
      <w:tblPr>
        <w:tblOverlap w:val="never"/>
        <w:tblW w:w="11048" w:type="dxa"/>
        <w:jc w:val="center"/>
        <w:tblLayout w:type="fixed"/>
        <w:tblCellMar>
          <w:left w:w="10" w:type="dxa"/>
          <w:right w:w="10" w:type="dxa"/>
        </w:tblCellMar>
        <w:tblLook w:val="04A0" w:firstRow="1" w:lastRow="0" w:firstColumn="1" w:lastColumn="0" w:noHBand="0" w:noVBand="1"/>
      </w:tblPr>
      <w:tblGrid>
        <w:gridCol w:w="3231"/>
        <w:gridCol w:w="1860"/>
        <w:gridCol w:w="2127"/>
        <w:gridCol w:w="1848"/>
        <w:gridCol w:w="1982"/>
      </w:tblGrid>
      <w:tr w:rsidR="008C76E0" w:rsidRPr="00BD7577" w14:paraId="32577B44" w14:textId="77777777" w:rsidTr="008C76E0">
        <w:trPr>
          <w:jc w:val="center"/>
        </w:trPr>
        <w:tc>
          <w:tcPr>
            <w:tcW w:w="11048" w:type="dxa"/>
            <w:gridSpan w:val="5"/>
            <w:shd w:val="clear" w:color="auto" w:fill="FFFFFF"/>
          </w:tcPr>
          <w:p w14:paraId="737067E8" w14:textId="77777777" w:rsidR="008C76E0" w:rsidRPr="00BD7577" w:rsidRDefault="008C76E0" w:rsidP="008C76E0">
            <w:pPr>
              <w:pStyle w:val="Bodytext180"/>
              <w:shd w:val="clear" w:color="auto" w:fill="auto"/>
              <w:tabs>
                <w:tab w:val="left" w:pos="1121"/>
              </w:tabs>
              <w:spacing w:before="0" w:after="160" w:line="360" w:lineRule="auto"/>
              <w:ind w:firstLine="567"/>
              <w:rPr>
                <w:rStyle w:val="Bodytext295pt"/>
                <w:rFonts w:ascii="Sylfaen" w:hAnsi="Sylfaen"/>
                <w:b/>
                <w:spacing w:val="0"/>
                <w:sz w:val="24"/>
                <w:szCs w:val="24"/>
              </w:rPr>
            </w:pPr>
            <w:r>
              <w:rPr>
                <w:rStyle w:val="Bodytext295pt"/>
                <w:rFonts w:ascii="Sylfaen" w:hAnsi="Sylfaen"/>
                <w:spacing w:val="0"/>
                <w:sz w:val="24"/>
                <w:szCs w:val="24"/>
              </w:rPr>
              <w:t>4.4.</w:t>
            </w:r>
            <w:r w:rsidRPr="00BD7577">
              <w:rPr>
                <w:rStyle w:val="Bodytext295pt"/>
                <w:rFonts w:ascii="Sylfaen" w:hAnsi="Sylfaen"/>
                <w:spacing w:val="0"/>
                <w:sz w:val="24"/>
                <w:szCs w:val="24"/>
              </w:rPr>
              <w:tab/>
              <w:t>Քաղցկեղածնությունը։</w:t>
            </w:r>
          </w:p>
          <w:p w14:paraId="3A4F363A" w14:textId="77777777" w:rsidR="008C76E0" w:rsidRPr="008C76E0" w:rsidRDefault="008C76E0" w:rsidP="008C76E0">
            <w:pPr>
              <w:pStyle w:val="Bodytext180"/>
              <w:shd w:val="clear" w:color="auto" w:fill="auto"/>
              <w:tabs>
                <w:tab w:val="left" w:pos="1697"/>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4.4.1.</w:t>
            </w:r>
            <w:r w:rsidRPr="00BD7577">
              <w:rPr>
                <w:rStyle w:val="Bodytext295pt"/>
                <w:rFonts w:ascii="Sylfaen" w:hAnsi="Sylfaen"/>
                <w:spacing w:val="0"/>
                <w:sz w:val="24"/>
                <w:szCs w:val="24"/>
              </w:rPr>
              <w:tab/>
              <w:t>Երկարաժամկետ հետազոտություններ:</w:t>
            </w:r>
          </w:p>
          <w:p w14:paraId="0BE02E28" w14:textId="77777777" w:rsidR="008C76E0" w:rsidRPr="008C76E0" w:rsidRDefault="008C76E0" w:rsidP="008C76E0">
            <w:pPr>
              <w:pStyle w:val="Bodytext180"/>
              <w:shd w:val="clear" w:color="auto" w:fill="auto"/>
              <w:spacing w:before="0" w:after="160" w:line="360" w:lineRule="auto"/>
              <w:ind w:left="3114" w:right="160" w:firstLine="0"/>
              <w:jc w:val="right"/>
              <w:rPr>
                <w:rFonts w:ascii="Sylfaen" w:hAnsi="Sylfaen"/>
                <w:b w:val="0"/>
                <w:sz w:val="24"/>
                <w:szCs w:val="24"/>
                <w:lang w:val="hy-AM"/>
              </w:rPr>
            </w:pPr>
            <w:r w:rsidRPr="00BD7577">
              <w:rPr>
                <w:rStyle w:val="Bodytext295pt"/>
                <w:rFonts w:ascii="Sylfaen" w:hAnsi="Sylfaen"/>
                <w:spacing w:val="0"/>
                <w:sz w:val="24"/>
                <w:szCs w:val="24"/>
              </w:rPr>
              <w:t xml:space="preserve">Քաղցկեղածին ազդեցության մասով անցկացված հետազոտության նկարագրությամբ աղյուսակի օրինակ՝ </w:t>
            </w:r>
          </w:p>
        </w:tc>
      </w:tr>
      <w:tr w:rsidR="008C76E0" w:rsidRPr="00BD7577" w14:paraId="4BBCB823" w14:textId="77777777" w:rsidTr="008C76E0">
        <w:trPr>
          <w:jc w:val="center"/>
        </w:trPr>
        <w:tc>
          <w:tcPr>
            <w:tcW w:w="3231" w:type="dxa"/>
            <w:tcBorders>
              <w:top w:val="single" w:sz="4" w:space="0" w:color="auto"/>
            </w:tcBorders>
            <w:shd w:val="clear" w:color="auto" w:fill="FFFFFF"/>
          </w:tcPr>
          <w:p w14:paraId="6120A529" w14:textId="77777777" w:rsidR="008C76E0" w:rsidRPr="008C76E0" w:rsidRDefault="008C76E0" w:rsidP="008C76E0">
            <w:pPr>
              <w:pStyle w:val="Bodytext180"/>
              <w:shd w:val="clear" w:color="auto" w:fill="auto"/>
              <w:spacing w:before="0" w:after="160" w:line="360" w:lineRule="auto"/>
              <w:ind w:left="119" w:firstLine="0"/>
              <w:rPr>
                <w:rFonts w:ascii="Sylfaen" w:hAnsi="Sylfaen"/>
                <w:b w:val="0"/>
                <w:sz w:val="24"/>
                <w:szCs w:val="24"/>
                <w:lang w:val="hy-AM"/>
              </w:rPr>
            </w:pPr>
            <w:r w:rsidRPr="00BD7577">
              <w:rPr>
                <w:rStyle w:val="Bodytext1811pt"/>
                <w:rFonts w:ascii="Sylfaen" w:hAnsi="Sylfaen"/>
                <w:sz w:val="24"/>
                <w:szCs w:val="24"/>
              </w:rPr>
              <w:t>Ն</w:t>
            </w:r>
            <w:r>
              <w:rPr>
                <w:rStyle w:val="Bodytext1811pt"/>
                <w:rFonts w:ascii="Sylfaen" w:hAnsi="Sylfaen"/>
                <w:sz w:val="24"/>
                <w:szCs w:val="24"/>
              </w:rPr>
              <w:t>ույնականացման համարը/ համապատաս</w:t>
            </w:r>
            <w:r w:rsidRPr="00BD7577">
              <w:rPr>
                <w:rStyle w:val="Bodytext1811pt"/>
                <w:rFonts w:ascii="Sylfaen" w:hAnsi="Sylfaen"/>
                <w:sz w:val="24"/>
                <w:szCs w:val="24"/>
              </w:rPr>
              <w:t xml:space="preserve">խանությունը պատշաճ լաբորատոր գործելակերպին </w:t>
            </w:r>
          </w:p>
        </w:tc>
        <w:tc>
          <w:tcPr>
            <w:tcW w:w="1860" w:type="dxa"/>
            <w:tcBorders>
              <w:top w:val="single" w:sz="4" w:space="0" w:color="auto"/>
              <w:left w:val="single" w:sz="4" w:space="0" w:color="auto"/>
            </w:tcBorders>
            <w:shd w:val="clear" w:color="auto" w:fill="FFFFFF"/>
          </w:tcPr>
          <w:p w14:paraId="3C6CFE58" w14:textId="77777777" w:rsidR="008C76E0" w:rsidRPr="00BD7577" w:rsidRDefault="008C76E0" w:rsidP="008C76E0">
            <w:pPr>
              <w:pStyle w:val="Bodytext180"/>
              <w:shd w:val="clear" w:color="auto" w:fill="auto"/>
              <w:spacing w:before="0" w:after="160" w:line="360" w:lineRule="auto"/>
              <w:ind w:left="119" w:firstLine="0"/>
              <w:rPr>
                <w:rFonts w:ascii="Sylfaen" w:hAnsi="Sylfaen"/>
                <w:b w:val="0"/>
                <w:sz w:val="24"/>
                <w:szCs w:val="24"/>
              </w:rPr>
            </w:pPr>
            <w:r w:rsidRPr="00BD7577">
              <w:rPr>
                <w:rStyle w:val="Bodytext1811pt"/>
                <w:rFonts w:ascii="Sylfaen" w:hAnsi="Sylfaen"/>
                <w:sz w:val="24"/>
                <w:szCs w:val="24"/>
              </w:rPr>
              <w:t>Դոզան/</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ներարկման ուղին</w:t>
            </w:r>
          </w:p>
        </w:tc>
        <w:tc>
          <w:tcPr>
            <w:tcW w:w="2127" w:type="dxa"/>
            <w:tcBorders>
              <w:top w:val="single" w:sz="4" w:space="0" w:color="auto"/>
              <w:left w:val="single" w:sz="4" w:space="0" w:color="auto"/>
            </w:tcBorders>
            <w:shd w:val="clear" w:color="auto" w:fill="FFFFFF"/>
          </w:tcPr>
          <w:p w14:paraId="3C6657C0" w14:textId="77777777" w:rsidR="008C76E0" w:rsidRPr="00BD7577" w:rsidRDefault="008C76E0" w:rsidP="008C76E0">
            <w:pPr>
              <w:pStyle w:val="Bodytext180"/>
              <w:shd w:val="clear" w:color="auto" w:fill="auto"/>
              <w:spacing w:before="0" w:after="160" w:line="360" w:lineRule="auto"/>
              <w:ind w:left="119" w:firstLine="0"/>
              <w:rPr>
                <w:rFonts w:ascii="Sylfaen" w:hAnsi="Sylfaen"/>
                <w:b w:val="0"/>
                <w:sz w:val="24"/>
                <w:szCs w:val="24"/>
              </w:rPr>
            </w:pPr>
            <w:r w:rsidRPr="00BD7577">
              <w:rPr>
                <w:rStyle w:val="Bodytext1811pt"/>
                <w:rFonts w:ascii="Sylfaen" w:hAnsi="Sylfaen"/>
                <w:sz w:val="24"/>
                <w:szCs w:val="24"/>
              </w:rPr>
              <w:t>Ներգործությունը (AUC)</w:t>
            </w:r>
          </w:p>
        </w:tc>
        <w:tc>
          <w:tcPr>
            <w:tcW w:w="1848" w:type="dxa"/>
            <w:tcBorders>
              <w:top w:val="single" w:sz="4" w:space="0" w:color="auto"/>
              <w:left w:val="single" w:sz="4" w:space="0" w:color="auto"/>
            </w:tcBorders>
            <w:shd w:val="clear" w:color="auto" w:fill="FFFFFF"/>
          </w:tcPr>
          <w:p w14:paraId="3D413C2A" w14:textId="77777777" w:rsidR="008C76E0" w:rsidRPr="00BD7577" w:rsidRDefault="008C76E0" w:rsidP="008C76E0">
            <w:pPr>
              <w:pStyle w:val="Bodytext180"/>
              <w:shd w:val="clear" w:color="auto" w:fill="auto"/>
              <w:spacing w:before="0" w:after="160" w:line="360" w:lineRule="auto"/>
              <w:ind w:left="119" w:firstLine="0"/>
              <w:rPr>
                <w:rFonts w:ascii="Sylfaen" w:hAnsi="Sylfaen"/>
                <w:b w:val="0"/>
                <w:sz w:val="24"/>
                <w:szCs w:val="24"/>
              </w:rPr>
            </w:pPr>
            <w:r w:rsidRPr="00BD7577">
              <w:rPr>
                <w:rStyle w:val="Bodytext1811pt"/>
                <w:rFonts w:ascii="Sylfaen" w:hAnsi="Sylfaen"/>
                <w:sz w:val="24"/>
                <w:szCs w:val="24"/>
              </w:rPr>
              <w:t>Տեսակները/</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կենդանիների թիվը</w:t>
            </w:r>
          </w:p>
        </w:tc>
        <w:tc>
          <w:tcPr>
            <w:tcW w:w="1982" w:type="dxa"/>
            <w:tcBorders>
              <w:top w:val="single" w:sz="4" w:space="0" w:color="auto"/>
              <w:left w:val="single" w:sz="4" w:space="0" w:color="auto"/>
              <w:right w:val="single" w:sz="4" w:space="0" w:color="auto"/>
            </w:tcBorders>
            <w:shd w:val="clear" w:color="auto" w:fill="FFFFFF"/>
          </w:tcPr>
          <w:p w14:paraId="0AADE1D1" w14:textId="77777777" w:rsidR="008C76E0" w:rsidRPr="00BD7577" w:rsidRDefault="008C76E0" w:rsidP="008C76E0">
            <w:pPr>
              <w:pStyle w:val="Bodytext180"/>
              <w:shd w:val="clear" w:color="auto" w:fill="auto"/>
              <w:spacing w:before="0" w:after="160" w:line="360" w:lineRule="auto"/>
              <w:ind w:left="119" w:firstLine="0"/>
              <w:rPr>
                <w:rFonts w:ascii="Sylfaen" w:hAnsi="Sylfaen"/>
                <w:b w:val="0"/>
                <w:sz w:val="24"/>
                <w:szCs w:val="24"/>
              </w:rPr>
            </w:pPr>
            <w:r w:rsidRPr="00BD7577">
              <w:rPr>
                <w:rStyle w:val="Bodytext1811pt"/>
                <w:rFonts w:ascii="Sylfaen" w:hAnsi="Sylfaen"/>
                <w:sz w:val="24"/>
                <w:szCs w:val="24"/>
              </w:rPr>
              <w:t>Հիմնական արդյունքները</w:t>
            </w:r>
          </w:p>
        </w:tc>
      </w:tr>
      <w:tr w:rsidR="008C76E0" w:rsidRPr="00BD7577" w14:paraId="32B98FBA" w14:textId="77777777" w:rsidTr="008C76E0">
        <w:trPr>
          <w:jc w:val="center"/>
        </w:trPr>
        <w:tc>
          <w:tcPr>
            <w:tcW w:w="11048" w:type="dxa"/>
            <w:gridSpan w:val="5"/>
            <w:tcBorders>
              <w:top w:val="single" w:sz="4" w:space="0" w:color="auto"/>
            </w:tcBorders>
            <w:shd w:val="clear" w:color="auto" w:fill="FFFFFF"/>
          </w:tcPr>
          <w:p w14:paraId="21F0ECCF" w14:textId="77777777" w:rsidR="008C76E0" w:rsidRPr="00BD7577" w:rsidRDefault="008C76E0" w:rsidP="008C76E0">
            <w:pPr>
              <w:rPr>
                <w:rFonts w:ascii="Sylfaen" w:hAnsi="Sylfaen"/>
                <w:sz w:val="24"/>
                <w:szCs w:val="24"/>
              </w:rPr>
            </w:pPr>
          </w:p>
        </w:tc>
      </w:tr>
      <w:tr w:rsidR="008C76E0" w:rsidRPr="00BD7577" w14:paraId="249DDF25" w14:textId="77777777" w:rsidTr="008C76E0">
        <w:trPr>
          <w:jc w:val="center"/>
        </w:trPr>
        <w:tc>
          <w:tcPr>
            <w:tcW w:w="3231" w:type="dxa"/>
            <w:tcBorders>
              <w:top w:val="single" w:sz="4" w:space="0" w:color="auto"/>
            </w:tcBorders>
            <w:shd w:val="clear" w:color="auto" w:fill="FFFFFF"/>
          </w:tcPr>
          <w:p w14:paraId="13CB93D6" w14:textId="77777777" w:rsidR="008C76E0" w:rsidRPr="00BD7577" w:rsidRDefault="008C76E0" w:rsidP="008C76E0">
            <w:pPr>
              <w:rPr>
                <w:rFonts w:ascii="Sylfaen" w:hAnsi="Sylfaen"/>
                <w:sz w:val="24"/>
                <w:szCs w:val="24"/>
              </w:rPr>
            </w:pPr>
          </w:p>
        </w:tc>
        <w:tc>
          <w:tcPr>
            <w:tcW w:w="1860" w:type="dxa"/>
            <w:tcBorders>
              <w:top w:val="single" w:sz="4" w:space="0" w:color="auto"/>
            </w:tcBorders>
            <w:shd w:val="clear" w:color="auto" w:fill="FFFFFF"/>
          </w:tcPr>
          <w:p w14:paraId="03F3343D" w14:textId="77777777" w:rsidR="008C76E0" w:rsidRPr="00BD7577" w:rsidRDefault="008C76E0" w:rsidP="008C76E0">
            <w:pPr>
              <w:rPr>
                <w:rFonts w:ascii="Sylfaen" w:hAnsi="Sylfaen"/>
                <w:sz w:val="24"/>
                <w:szCs w:val="24"/>
              </w:rPr>
            </w:pPr>
          </w:p>
        </w:tc>
        <w:tc>
          <w:tcPr>
            <w:tcW w:w="5957" w:type="dxa"/>
            <w:gridSpan w:val="3"/>
            <w:tcBorders>
              <w:top w:val="single" w:sz="4" w:space="0" w:color="auto"/>
            </w:tcBorders>
            <w:shd w:val="clear" w:color="auto" w:fill="FFFFFF"/>
            <w:vAlign w:val="bottom"/>
          </w:tcPr>
          <w:p w14:paraId="2427C42E" w14:textId="77777777" w:rsidR="008C76E0" w:rsidRPr="008C76E0" w:rsidRDefault="008C76E0" w:rsidP="008C76E0">
            <w:pPr>
              <w:pStyle w:val="Bodytext180"/>
              <w:shd w:val="clear" w:color="auto" w:fill="auto"/>
              <w:spacing w:before="0" w:after="160" w:line="360" w:lineRule="auto"/>
              <w:ind w:firstLine="0"/>
              <w:rPr>
                <w:rFonts w:ascii="Sylfaen" w:hAnsi="Sylfaen"/>
                <w:b w:val="0"/>
                <w:sz w:val="24"/>
                <w:szCs w:val="24"/>
                <w:lang w:val="hy-AM"/>
              </w:rPr>
            </w:pPr>
            <w:r w:rsidRPr="00BD7577">
              <w:rPr>
                <w:rStyle w:val="Bodytext295pt"/>
                <w:rFonts w:ascii="Sylfaen" w:hAnsi="Sylfaen"/>
                <w:spacing w:val="0"/>
                <w:sz w:val="24"/>
                <w:szCs w:val="24"/>
              </w:rPr>
              <w:t>«ХХ հետազոտության» ընթացքում ուռուցքների զարգացման մասին տվյալներով աղյուսակի օրինակ՝</w:t>
            </w:r>
          </w:p>
        </w:tc>
      </w:tr>
      <w:tr w:rsidR="008C76E0" w:rsidRPr="00BD7577" w14:paraId="2B155CC6" w14:textId="77777777" w:rsidTr="008C76E0">
        <w:trPr>
          <w:jc w:val="center"/>
        </w:trPr>
        <w:tc>
          <w:tcPr>
            <w:tcW w:w="3231" w:type="dxa"/>
            <w:shd w:val="clear" w:color="auto" w:fill="FFFFFF"/>
          </w:tcPr>
          <w:p w14:paraId="57865E64" w14:textId="77777777" w:rsidR="008C76E0" w:rsidRPr="00BD7577" w:rsidRDefault="008C76E0" w:rsidP="008C76E0">
            <w:pPr>
              <w:rPr>
                <w:rFonts w:ascii="Sylfaen" w:hAnsi="Sylfaen"/>
                <w:sz w:val="24"/>
                <w:szCs w:val="24"/>
              </w:rPr>
            </w:pPr>
          </w:p>
        </w:tc>
        <w:tc>
          <w:tcPr>
            <w:tcW w:w="1860" w:type="dxa"/>
            <w:shd w:val="clear" w:color="auto" w:fill="FFFFFF"/>
          </w:tcPr>
          <w:p w14:paraId="58DFF4E6" w14:textId="77777777" w:rsidR="008C76E0" w:rsidRPr="00BD7577" w:rsidRDefault="008C76E0" w:rsidP="008C76E0">
            <w:pPr>
              <w:rPr>
                <w:rFonts w:ascii="Sylfaen" w:hAnsi="Sylfaen"/>
                <w:sz w:val="24"/>
                <w:szCs w:val="24"/>
              </w:rPr>
            </w:pPr>
          </w:p>
        </w:tc>
        <w:tc>
          <w:tcPr>
            <w:tcW w:w="2127" w:type="dxa"/>
            <w:shd w:val="clear" w:color="auto" w:fill="FFFFFF"/>
          </w:tcPr>
          <w:p w14:paraId="22C2FBD7" w14:textId="77777777" w:rsidR="008C76E0" w:rsidRPr="00BD7577" w:rsidRDefault="008C76E0" w:rsidP="008C76E0">
            <w:pPr>
              <w:rPr>
                <w:rFonts w:ascii="Sylfaen" w:hAnsi="Sylfaen"/>
                <w:sz w:val="24"/>
                <w:szCs w:val="24"/>
              </w:rPr>
            </w:pPr>
          </w:p>
        </w:tc>
        <w:tc>
          <w:tcPr>
            <w:tcW w:w="3830" w:type="dxa"/>
            <w:gridSpan w:val="2"/>
            <w:shd w:val="clear" w:color="auto" w:fill="FFFFFF"/>
          </w:tcPr>
          <w:p w14:paraId="2D442A3E" w14:textId="77777777" w:rsidR="008C76E0" w:rsidRPr="008C76E0" w:rsidRDefault="008C76E0" w:rsidP="008C76E0">
            <w:pPr>
              <w:pStyle w:val="Bodytext180"/>
              <w:shd w:val="clear" w:color="auto" w:fill="auto"/>
              <w:spacing w:before="0" w:after="160" w:line="360" w:lineRule="auto"/>
              <w:ind w:right="140" w:firstLine="0"/>
              <w:jc w:val="right"/>
              <w:rPr>
                <w:rFonts w:ascii="Sylfaen" w:hAnsi="Sylfaen"/>
                <w:b w:val="0"/>
                <w:sz w:val="24"/>
                <w:szCs w:val="24"/>
                <w:lang w:val="hy-AM"/>
              </w:rPr>
            </w:pPr>
          </w:p>
        </w:tc>
      </w:tr>
      <w:tr w:rsidR="008C76E0" w:rsidRPr="00BD7577" w14:paraId="0752D3C3" w14:textId="77777777" w:rsidTr="008C76E0">
        <w:trPr>
          <w:jc w:val="center"/>
        </w:trPr>
        <w:tc>
          <w:tcPr>
            <w:tcW w:w="3231" w:type="dxa"/>
            <w:tcBorders>
              <w:top w:val="single" w:sz="4" w:space="0" w:color="auto"/>
              <w:left w:val="single" w:sz="4" w:space="0" w:color="auto"/>
            </w:tcBorders>
            <w:shd w:val="clear" w:color="auto" w:fill="FFFFFF"/>
          </w:tcPr>
          <w:p w14:paraId="6D94E002" w14:textId="77777777" w:rsidR="008C76E0" w:rsidRPr="00BD7577" w:rsidRDefault="008C76E0" w:rsidP="008C76E0">
            <w:pPr>
              <w:pStyle w:val="Bodytext180"/>
              <w:shd w:val="clear" w:color="auto" w:fill="auto"/>
              <w:spacing w:before="0" w:after="160" w:line="360" w:lineRule="auto"/>
              <w:ind w:left="119" w:right="69" w:firstLine="0"/>
              <w:jc w:val="center"/>
              <w:rPr>
                <w:rFonts w:ascii="Sylfaen" w:hAnsi="Sylfaen"/>
                <w:b w:val="0"/>
                <w:sz w:val="24"/>
                <w:szCs w:val="24"/>
              </w:rPr>
            </w:pPr>
            <w:r w:rsidRPr="00BD7577">
              <w:rPr>
                <w:rStyle w:val="Bodytext1811pt"/>
                <w:rFonts w:ascii="Sylfaen" w:hAnsi="Sylfaen"/>
                <w:sz w:val="24"/>
                <w:szCs w:val="24"/>
              </w:rPr>
              <w:lastRenderedPageBreak/>
              <w:t>Ուռուցքների մասին տվյալներ</w:t>
            </w:r>
          </w:p>
        </w:tc>
        <w:tc>
          <w:tcPr>
            <w:tcW w:w="1860" w:type="dxa"/>
            <w:tcBorders>
              <w:top w:val="single" w:sz="4" w:space="0" w:color="auto"/>
              <w:left w:val="single" w:sz="4" w:space="0" w:color="auto"/>
            </w:tcBorders>
            <w:shd w:val="clear" w:color="auto" w:fill="FFFFFF"/>
          </w:tcPr>
          <w:p w14:paraId="0362A2E4" w14:textId="77777777" w:rsidR="008C76E0" w:rsidRPr="00BD7577" w:rsidRDefault="008C76E0" w:rsidP="008C76E0">
            <w:pPr>
              <w:pStyle w:val="Bodytext180"/>
              <w:shd w:val="clear" w:color="auto" w:fill="auto"/>
              <w:spacing w:before="0" w:after="160" w:line="360" w:lineRule="auto"/>
              <w:ind w:left="119" w:right="-10" w:firstLine="0"/>
              <w:jc w:val="center"/>
              <w:rPr>
                <w:rFonts w:ascii="Sylfaen" w:hAnsi="Sylfaen"/>
                <w:b w:val="0"/>
                <w:sz w:val="24"/>
                <w:szCs w:val="24"/>
              </w:rPr>
            </w:pPr>
            <w:r w:rsidRPr="00BD7577">
              <w:rPr>
                <w:rStyle w:val="Bodytext1811pt"/>
                <w:rFonts w:ascii="Sylfaen" w:hAnsi="Sylfaen"/>
                <w:sz w:val="24"/>
                <w:szCs w:val="24"/>
              </w:rPr>
              <w:t>Հսկողություն</w:t>
            </w:r>
          </w:p>
        </w:tc>
        <w:tc>
          <w:tcPr>
            <w:tcW w:w="2127" w:type="dxa"/>
            <w:tcBorders>
              <w:top w:val="single" w:sz="4" w:space="0" w:color="auto"/>
              <w:left w:val="single" w:sz="4" w:space="0" w:color="auto"/>
            </w:tcBorders>
            <w:shd w:val="clear" w:color="auto" w:fill="FFFFFF"/>
          </w:tcPr>
          <w:p w14:paraId="7A0FC989" w14:textId="77777777" w:rsidR="008C76E0" w:rsidRPr="00BD7577" w:rsidRDefault="008C76E0" w:rsidP="008C76E0">
            <w:pPr>
              <w:pStyle w:val="Bodytext180"/>
              <w:shd w:val="clear" w:color="auto" w:fill="auto"/>
              <w:spacing w:before="0" w:after="160" w:line="360" w:lineRule="auto"/>
              <w:ind w:left="119" w:right="69" w:firstLine="0"/>
              <w:jc w:val="center"/>
              <w:rPr>
                <w:rFonts w:ascii="Sylfaen" w:hAnsi="Sylfaen"/>
                <w:b w:val="0"/>
                <w:sz w:val="24"/>
                <w:szCs w:val="24"/>
              </w:rPr>
            </w:pPr>
            <w:r w:rsidRPr="00BD7577">
              <w:rPr>
                <w:rStyle w:val="Bodytext1811pt"/>
                <w:rFonts w:ascii="Sylfaen" w:hAnsi="Sylfaen"/>
                <w:sz w:val="24"/>
                <w:szCs w:val="24"/>
              </w:rPr>
              <w:t>Ցածր դոզա</w:t>
            </w:r>
          </w:p>
        </w:tc>
        <w:tc>
          <w:tcPr>
            <w:tcW w:w="1848" w:type="dxa"/>
            <w:tcBorders>
              <w:top w:val="single" w:sz="4" w:space="0" w:color="auto"/>
              <w:left w:val="single" w:sz="4" w:space="0" w:color="auto"/>
            </w:tcBorders>
            <w:shd w:val="clear" w:color="auto" w:fill="FFFFFF"/>
          </w:tcPr>
          <w:p w14:paraId="4AB37C43" w14:textId="77777777" w:rsidR="008C76E0" w:rsidRPr="00BD7577" w:rsidRDefault="008C76E0" w:rsidP="008C76E0">
            <w:pPr>
              <w:pStyle w:val="Bodytext180"/>
              <w:shd w:val="clear" w:color="auto" w:fill="auto"/>
              <w:spacing w:before="0" w:after="160" w:line="360" w:lineRule="auto"/>
              <w:ind w:left="119" w:right="69" w:firstLine="0"/>
              <w:jc w:val="center"/>
              <w:rPr>
                <w:rFonts w:ascii="Sylfaen" w:hAnsi="Sylfaen"/>
                <w:b w:val="0"/>
                <w:sz w:val="24"/>
                <w:szCs w:val="24"/>
              </w:rPr>
            </w:pPr>
            <w:r w:rsidRPr="00BD7577">
              <w:rPr>
                <w:rStyle w:val="Bodytext1811pt"/>
                <w:rFonts w:ascii="Sylfaen" w:hAnsi="Sylfaen"/>
                <w:sz w:val="24"/>
                <w:szCs w:val="24"/>
              </w:rPr>
              <w:t>Միջին դոզա</w:t>
            </w:r>
          </w:p>
        </w:tc>
        <w:tc>
          <w:tcPr>
            <w:tcW w:w="1982" w:type="dxa"/>
            <w:tcBorders>
              <w:top w:val="single" w:sz="4" w:space="0" w:color="auto"/>
              <w:left w:val="single" w:sz="4" w:space="0" w:color="auto"/>
              <w:right w:val="single" w:sz="4" w:space="0" w:color="auto"/>
            </w:tcBorders>
            <w:shd w:val="clear" w:color="auto" w:fill="FFFFFF"/>
          </w:tcPr>
          <w:p w14:paraId="62B2FAF7" w14:textId="77777777" w:rsidR="008C76E0" w:rsidRPr="00BD7577" w:rsidRDefault="008C76E0" w:rsidP="008C76E0">
            <w:pPr>
              <w:pStyle w:val="Bodytext180"/>
              <w:shd w:val="clear" w:color="auto" w:fill="auto"/>
              <w:spacing w:before="0" w:after="160" w:line="360" w:lineRule="auto"/>
              <w:ind w:left="119" w:right="69" w:firstLine="0"/>
              <w:jc w:val="center"/>
              <w:rPr>
                <w:rFonts w:ascii="Sylfaen" w:hAnsi="Sylfaen"/>
                <w:b w:val="0"/>
                <w:sz w:val="24"/>
                <w:szCs w:val="24"/>
              </w:rPr>
            </w:pPr>
            <w:r w:rsidRPr="00BD7577">
              <w:rPr>
                <w:rStyle w:val="Bodytext1811pt"/>
                <w:rFonts w:ascii="Sylfaen" w:hAnsi="Sylfaen"/>
                <w:sz w:val="24"/>
                <w:szCs w:val="24"/>
              </w:rPr>
              <w:t>Բարձր դոզա</w:t>
            </w:r>
          </w:p>
        </w:tc>
      </w:tr>
      <w:tr w:rsidR="008C76E0" w:rsidRPr="00BD7577" w14:paraId="588D581B" w14:textId="77777777" w:rsidTr="008C76E0">
        <w:trPr>
          <w:jc w:val="center"/>
        </w:trPr>
        <w:tc>
          <w:tcPr>
            <w:tcW w:w="3231" w:type="dxa"/>
            <w:tcBorders>
              <w:top w:val="single" w:sz="4" w:space="0" w:color="auto"/>
            </w:tcBorders>
            <w:shd w:val="clear" w:color="auto" w:fill="FFFFFF"/>
          </w:tcPr>
          <w:p w14:paraId="0F92A740" w14:textId="77777777" w:rsidR="008C76E0" w:rsidRPr="00BD7577" w:rsidRDefault="008C76E0" w:rsidP="008C76E0">
            <w:pPr>
              <w:rPr>
                <w:rFonts w:ascii="Sylfaen" w:hAnsi="Sylfaen"/>
                <w:sz w:val="24"/>
                <w:szCs w:val="24"/>
              </w:rPr>
            </w:pPr>
          </w:p>
        </w:tc>
        <w:tc>
          <w:tcPr>
            <w:tcW w:w="1860" w:type="dxa"/>
            <w:tcBorders>
              <w:top w:val="single" w:sz="4" w:space="0" w:color="auto"/>
            </w:tcBorders>
            <w:shd w:val="clear" w:color="auto" w:fill="FFFFFF"/>
          </w:tcPr>
          <w:p w14:paraId="0826F9B3"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Արուներ</w:t>
            </w:r>
          </w:p>
        </w:tc>
        <w:tc>
          <w:tcPr>
            <w:tcW w:w="2127" w:type="dxa"/>
            <w:tcBorders>
              <w:top w:val="single" w:sz="4" w:space="0" w:color="auto"/>
            </w:tcBorders>
            <w:shd w:val="clear" w:color="auto" w:fill="FFFFFF"/>
          </w:tcPr>
          <w:p w14:paraId="5A460B63" w14:textId="77777777" w:rsidR="008C76E0" w:rsidRPr="00BD7577" w:rsidRDefault="008C76E0" w:rsidP="008C76E0">
            <w:pPr>
              <w:pStyle w:val="Bodytext180"/>
              <w:shd w:val="clear" w:color="auto" w:fill="auto"/>
              <w:spacing w:before="0" w:after="160" w:line="360" w:lineRule="auto"/>
              <w:ind w:left="940" w:firstLine="0"/>
              <w:rPr>
                <w:rFonts w:ascii="Sylfaen" w:hAnsi="Sylfaen"/>
                <w:b w:val="0"/>
                <w:sz w:val="24"/>
                <w:szCs w:val="24"/>
              </w:rPr>
            </w:pPr>
          </w:p>
        </w:tc>
        <w:tc>
          <w:tcPr>
            <w:tcW w:w="1848" w:type="dxa"/>
            <w:tcBorders>
              <w:top w:val="single" w:sz="4" w:space="0" w:color="auto"/>
            </w:tcBorders>
            <w:shd w:val="clear" w:color="auto" w:fill="FFFFFF"/>
          </w:tcPr>
          <w:p w14:paraId="4C2FBA1E" w14:textId="77777777" w:rsidR="008C76E0" w:rsidRPr="00B15797" w:rsidRDefault="008C76E0" w:rsidP="008C76E0">
            <w:pPr>
              <w:pStyle w:val="Bodytext180"/>
              <w:spacing w:before="0" w:after="160" w:line="360" w:lineRule="auto"/>
              <w:ind w:firstLine="0"/>
              <w:jc w:val="center"/>
              <w:rPr>
                <w:rFonts w:ascii="Sylfaen" w:hAnsi="Sylfaen"/>
                <w:b w:val="0"/>
                <w:sz w:val="24"/>
                <w:szCs w:val="24"/>
              </w:rPr>
            </w:pPr>
          </w:p>
        </w:tc>
        <w:tc>
          <w:tcPr>
            <w:tcW w:w="1982" w:type="dxa"/>
            <w:tcBorders>
              <w:top w:val="single" w:sz="4" w:space="0" w:color="auto"/>
            </w:tcBorders>
            <w:shd w:val="clear" w:color="auto" w:fill="FFFFFF"/>
          </w:tcPr>
          <w:p w14:paraId="5E03F2FA" w14:textId="77777777" w:rsidR="008C76E0" w:rsidRPr="00BD7577" w:rsidRDefault="008C76E0" w:rsidP="008C76E0">
            <w:pPr>
              <w:rPr>
                <w:rFonts w:ascii="Sylfaen" w:hAnsi="Sylfaen"/>
                <w:sz w:val="24"/>
                <w:szCs w:val="24"/>
              </w:rPr>
            </w:pPr>
          </w:p>
        </w:tc>
      </w:tr>
      <w:tr w:rsidR="008C76E0" w:rsidRPr="00BD7577" w14:paraId="18357958" w14:textId="77777777" w:rsidTr="008C76E0">
        <w:trPr>
          <w:jc w:val="center"/>
        </w:trPr>
        <w:tc>
          <w:tcPr>
            <w:tcW w:w="3231" w:type="dxa"/>
            <w:shd w:val="clear" w:color="auto" w:fill="FFFFFF"/>
          </w:tcPr>
          <w:p w14:paraId="4179E43E" w14:textId="77777777" w:rsidR="008C76E0" w:rsidRPr="00BD7577" w:rsidRDefault="008C76E0" w:rsidP="008C76E0">
            <w:pPr>
              <w:rPr>
                <w:rFonts w:ascii="Sylfaen" w:hAnsi="Sylfaen"/>
                <w:sz w:val="24"/>
                <w:szCs w:val="24"/>
              </w:rPr>
            </w:pPr>
          </w:p>
        </w:tc>
        <w:tc>
          <w:tcPr>
            <w:tcW w:w="1860" w:type="dxa"/>
            <w:shd w:val="clear" w:color="auto" w:fill="FFFFFF"/>
          </w:tcPr>
          <w:p w14:paraId="7C35EF9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Էգեր</w:t>
            </w:r>
          </w:p>
        </w:tc>
        <w:tc>
          <w:tcPr>
            <w:tcW w:w="2127" w:type="dxa"/>
            <w:shd w:val="clear" w:color="auto" w:fill="FFFFFF"/>
          </w:tcPr>
          <w:p w14:paraId="3C358897" w14:textId="77777777" w:rsidR="008C76E0" w:rsidRPr="00BD7577" w:rsidRDefault="008C76E0" w:rsidP="008C76E0">
            <w:pPr>
              <w:pStyle w:val="Bodytext180"/>
              <w:shd w:val="clear" w:color="auto" w:fill="auto"/>
              <w:spacing w:before="0" w:after="160" w:line="360" w:lineRule="auto"/>
              <w:ind w:left="940" w:firstLine="0"/>
              <w:rPr>
                <w:rFonts w:ascii="Sylfaen" w:hAnsi="Sylfaen"/>
                <w:b w:val="0"/>
                <w:sz w:val="24"/>
                <w:szCs w:val="24"/>
              </w:rPr>
            </w:pPr>
          </w:p>
        </w:tc>
        <w:tc>
          <w:tcPr>
            <w:tcW w:w="1848" w:type="dxa"/>
            <w:shd w:val="clear" w:color="auto" w:fill="FFFFFF"/>
          </w:tcPr>
          <w:p w14:paraId="6CC5D1C2" w14:textId="77777777" w:rsidR="008C76E0" w:rsidRPr="00B15797" w:rsidRDefault="008C76E0" w:rsidP="008C76E0">
            <w:pPr>
              <w:pStyle w:val="Bodytext180"/>
              <w:spacing w:before="0" w:after="160" w:line="360" w:lineRule="auto"/>
              <w:ind w:firstLine="0"/>
              <w:jc w:val="center"/>
              <w:rPr>
                <w:rFonts w:ascii="Sylfaen" w:hAnsi="Sylfaen"/>
                <w:b w:val="0"/>
                <w:sz w:val="24"/>
                <w:szCs w:val="24"/>
              </w:rPr>
            </w:pPr>
          </w:p>
        </w:tc>
        <w:tc>
          <w:tcPr>
            <w:tcW w:w="1982" w:type="dxa"/>
            <w:shd w:val="clear" w:color="auto" w:fill="FFFFFF"/>
          </w:tcPr>
          <w:p w14:paraId="7C0CF58F" w14:textId="77777777" w:rsidR="008C76E0" w:rsidRPr="00BD7577" w:rsidRDefault="008C76E0" w:rsidP="008C76E0">
            <w:pPr>
              <w:rPr>
                <w:rFonts w:ascii="Sylfaen" w:hAnsi="Sylfaen"/>
                <w:sz w:val="24"/>
                <w:szCs w:val="24"/>
              </w:rPr>
            </w:pPr>
          </w:p>
        </w:tc>
      </w:tr>
      <w:tr w:rsidR="008C76E0" w:rsidRPr="00BD7577" w14:paraId="115CBE80" w14:textId="77777777" w:rsidTr="008C76E0">
        <w:trPr>
          <w:jc w:val="center"/>
        </w:trPr>
        <w:tc>
          <w:tcPr>
            <w:tcW w:w="11048" w:type="dxa"/>
            <w:gridSpan w:val="5"/>
            <w:tcBorders>
              <w:top w:val="single" w:sz="4" w:space="0" w:color="auto"/>
            </w:tcBorders>
            <w:shd w:val="clear" w:color="auto" w:fill="FFFFFF"/>
          </w:tcPr>
          <w:p w14:paraId="567CEB53" w14:textId="77777777" w:rsidR="008C76E0" w:rsidRPr="00BD7577" w:rsidRDefault="008C76E0" w:rsidP="008C76E0">
            <w:pPr>
              <w:rPr>
                <w:rFonts w:ascii="Sylfaen" w:hAnsi="Sylfaen"/>
                <w:sz w:val="24"/>
                <w:szCs w:val="24"/>
              </w:rPr>
            </w:pPr>
          </w:p>
        </w:tc>
      </w:tr>
    </w:tbl>
    <w:p w14:paraId="2E04E4D5" w14:textId="77777777" w:rsidR="008C76E0" w:rsidRPr="00BD7577" w:rsidRDefault="008C76E0" w:rsidP="008C76E0">
      <w:pPr>
        <w:rPr>
          <w:rFonts w:ascii="Sylfaen" w:hAnsi="Sylfaen"/>
          <w:sz w:val="24"/>
          <w:szCs w:val="24"/>
        </w:rPr>
      </w:pPr>
    </w:p>
    <w:tbl>
      <w:tblPr>
        <w:tblOverlap w:val="never"/>
        <w:tblW w:w="9648" w:type="dxa"/>
        <w:jc w:val="center"/>
        <w:tblLayout w:type="fixed"/>
        <w:tblCellMar>
          <w:left w:w="10" w:type="dxa"/>
          <w:right w:w="10" w:type="dxa"/>
        </w:tblCellMar>
        <w:tblLook w:val="04A0" w:firstRow="1" w:lastRow="0" w:firstColumn="1" w:lastColumn="0" w:noHBand="0" w:noVBand="1"/>
      </w:tblPr>
      <w:tblGrid>
        <w:gridCol w:w="9648"/>
      </w:tblGrid>
      <w:tr w:rsidR="008C76E0" w:rsidRPr="00BD7577" w14:paraId="74EAE2C1" w14:textId="77777777" w:rsidTr="008C76E0">
        <w:trPr>
          <w:jc w:val="center"/>
        </w:trPr>
        <w:tc>
          <w:tcPr>
            <w:tcW w:w="9648" w:type="dxa"/>
            <w:tcBorders>
              <w:top w:val="single" w:sz="4" w:space="0" w:color="auto"/>
              <w:left w:val="single" w:sz="4" w:space="0" w:color="auto"/>
              <w:right w:val="single" w:sz="4" w:space="0" w:color="auto"/>
            </w:tcBorders>
            <w:shd w:val="clear" w:color="auto" w:fill="FFFFFF"/>
          </w:tcPr>
          <w:p w14:paraId="0CCB78ED" w14:textId="77777777" w:rsidR="008C76E0" w:rsidRPr="00BD7577" w:rsidRDefault="008C76E0" w:rsidP="008C76E0">
            <w:pPr>
              <w:pStyle w:val="Bodytext180"/>
              <w:shd w:val="clear" w:color="auto" w:fill="auto"/>
              <w:spacing w:before="0" w:after="160" w:line="360" w:lineRule="auto"/>
              <w:ind w:left="-5"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187F275" w14:textId="77777777" w:rsidTr="008C76E0">
        <w:trPr>
          <w:jc w:val="center"/>
        </w:trPr>
        <w:tc>
          <w:tcPr>
            <w:tcW w:w="9648" w:type="dxa"/>
            <w:tcBorders>
              <w:top w:val="single" w:sz="4" w:space="0" w:color="auto"/>
            </w:tcBorders>
            <w:shd w:val="clear" w:color="auto" w:fill="FFFFFF"/>
          </w:tcPr>
          <w:p w14:paraId="7209EAF7" w14:textId="77777777" w:rsidR="008C76E0" w:rsidRPr="00BD7577" w:rsidRDefault="008C76E0" w:rsidP="008C76E0">
            <w:pPr>
              <w:pStyle w:val="Bodytext180"/>
              <w:shd w:val="clear" w:color="auto" w:fill="auto"/>
              <w:tabs>
                <w:tab w:val="left" w:pos="1697"/>
              </w:tabs>
              <w:spacing w:before="0" w:after="160" w:line="360" w:lineRule="auto"/>
              <w:ind w:firstLine="567"/>
              <w:rPr>
                <w:rFonts w:ascii="Sylfaen" w:hAnsi="Sylfaen"/>
                <w:b w:val="0"/>
                <w:sz w:val="24"/>
                <w:szCs w:val="24"/>
              </w:rPr>
            </w:pPr>
            <w:r>
              <w:rPr>
                <w:rStyle w:val="Bodytext295pt"/>
                <w:rFonts w:ascii="Sylfaen" w:hAnsi="Sylfaen"/>
                <w:spacing w:val="0"/>
                <w:sz w:val="24"/>
                <w:szCs w:val="24"/>
              </w:rPr>
              <w:t>4.4.2.</w:t>
            </w:r>
            <w:r w:rsidRPr="00BD7577">
              <w:rPr>
                <w:rStyle w:val="Bodytext295pt"/>
                <w:rFonts w:ascii="Sylfaen" w:hAnsi="Sylfaen"/>
                <w:spacing w:val="0"/>
                <w:sz w:val="24"/>
                <w:szCs w:val="24"/>
              </w:rPr>
              <w:tab/>
              <w:t xml:space="preserve">Կարճաժամկետ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միջնաժամկետ հետազոտություններ:</w:t>
            </w:r>
          </w:p>
        </w:tc>
      </w:tr>
    </w:tbl>
    <w:p w14:paraId="576D1532" w14:textId="77777777" w:rsidR="008C76E0" w:rsidRPr="00BD7577" w:rsidRDefault="008C76E0" w:rsidP="008C76E0">
      <w:pPr>
        <w:rPr>
          <w:rFonts w:ascii="Sylfaen" w:hAnsi="Sylfaen"/>
          <w:sz w:val="24"/>
          <w:szCs w:val="24"/>
        </w:rPr>
      </w:pPr>
    </w:p>
    <w:tbl>
      <w:tblPr>
        <w:tblOverlap w:val="never"/>
        <w:tblW w:w="9648" w:type="dxa"/>
        <w:jc w:val="center"/>
        <w:tblLayout w:type="fixed"/>
        <w:tblCellMar>
          <w:left w:w="10" w:type="dxa"/>
          <w:right w:w="10" w:type="dxa"/>
        </w:tblCellMar>
        <w:tblLook w:val="04A0" w:firstRow="1" w:lastRow="0" w:firstColumn="1" w:lastColumn="0" w:noHBand="0" w:noVBand="1"/>
      </w:tblPr>
      <w:tblGrid>
        <w:gridCol w:w="9648"/>
      </w:tblGrid>
      <w:tr w:rsidR="008C76E0" w:rsidRPr="00BD7577" w14:paraId="4F3A11E7" w14:textId="77777777" w:rsidTr="008C76E0">
        <w:trPr>
          <w:jc w:val="center"/>
        </w:trPr>
        <w:tc>
          <w:tcPr>
            <w:tcW w:w="9648" w:type="dxa"/>
            <w:tcBorders>
              <w:top w:val="single" w:sz="4" w:space="0" w:color="auto"/>
              <w:left w:val="single" w:sz="4" w:space="0" w:color="auto"/>
              <w:right w:val="single" w:sz="4" w:space="0" w:color="auto"/>
            </w:tcBorders>
            <w:shd w:val="clear" w:color="auto" w:fill="FFFFFF"/>
          </w:tcPr>
          <w:p w14:paraId="0ED2FCD4" w14:textId="77777777" w:rsidR="008C76E0" w:rsidRPr="00BD7577" w:rsidRDefault="008C76E0" w:rsidP="008C76E0">
            <w:pPr>
              <w:pStyle w:val="Bodytext180"/>
              <w:shd w:val="clear" w:color="auto" w:fill="auto"/>
              <w:spacing w:before="0" w:after="160" w:line="360" w:lineRule="auto"/>
              <w:ind w:left="160"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AF1243B" w14:textId="77777777" w:rsidTr="008C76E0">
        <w:trPr>
          <w:jc w:val="center"/>
        </w:trPr>
        <w:tc>
          <w:tcPr>
            <w:tcW w:w="9648" w:type="dxa"/>
            <w:tcBorders>
              <w:top w:val="single" w:sz="4" w:space="0" w:color="auto"/>
            </w:tcBorders>
            <w:shd w:val="clear" w:color="auto" w:fill="FFFFFF"/>
          </w:tcPr>
          <w:p w14:paraId="01CDB04D" w14:textId="77777777" w:rsidR="008C76E0" w:rsidRPr="00BD7577" w:rsidRDefault="008C76E0" w:rsidP="008C76E0">
            <w:pPr>
              <w:pStyle w:val="Bodytext180"/>
              <w:shd w:val="clear" w:color="auto" w:fill="auto"/>
              <w:tabs>
                <w:tab w:val="left" w:pos="1697"/>
              </w:tabs>
              <w:spacing w:before="0" w:after="160" w:line="360" w:lineRule="auto"/>
              <w:ind w:firstLine="567"/>
              <w:rPr>
                <w:rFonts w:ascii="Sylfaen" w:hAnsi="Sylfaen"/>
                <w:b w:val="0"/>
                <w:sz w:val="24"/>
                <w:szCs w:val="24"/>
              </w:rPr>
            </w:pPr>
            <w:r>
              <w:rPr>
                <w:rStyle w:val="Bodytext295pt"/>
                <w:rFonts w:ascii="Sylfaen" w:hAnsi="Sylfaen"/>
                <w:spacing w:val="0"/>
                <w:sz w:val="24"/>
                <w:szCs w:val="24"/>
              </w:rPr>
              <w:t>4.4.3.</w:t>
            </w:r>
            <w:r w:rsidRPr="00BD7577">
              <w:rPr>
                <w:rStyle w:val="Bodytext295pt"/>
                <w:rFonts w:ascii="Sylfaen" w:hAnsi="Sylfaen"/>
                <w:spacing w:val="0"/>
                <w:sz w:val="24"/>
                <w:szCs w:val="24"/>
              </w:rPr>
              <w:tab/>
              <w:t>Այլ հետազոտություններ:</w:t>
            </w:r>
          </w:p>
        </w:tc>
      </w:tr>
    </w:tbl>
    <w:p w14:paraId="2007D65C" w14:textId="77777777" w:rsidR="008C76E0" w:rsidRPr="00BD7577" w:rsidRDefault="008C76E0" w:rsidP="008C76E0">
      <w:pPr>
        <w:rPr>
          <w:rFonts w:ascii="Sylfaen" w:hAnsi="Sylfaen"/>
          <w:sz w:val="24"/>
          <w:szCs w:val="24"/>
        </w:rPr>
      </w:pPr>
    </w:p>
    <w:tbl>
      <w:tblPr>
        <w:tblOverlap w:val="never"/>
        <w:tblW w:w="9648" w:type="dxa"/>
        <w:jc w:val="center"/>
        <w:tblLayout w:type="fixed"/>
        <w:tblCellMar>
          <w:left w:w="10" w:type="dxa"/>
          <w:right w:w="10" w:type="dxa"/>
        </w:tblCellMar>
        <w:tblLook w:val="04A0" w:firstRow="1" w:lastRow="0" w:firstColumn="1" w:lastColumn="0" w:noHBand="0" w:noVBand="1"/>
      </w:tblPr>
      <w:tblGrid>
        <w:gridCol w:w="9648"/>
      </w:tblGrid>
      <w:tr w:rsidR="008C76E0" w:rsidRPr="00BD7577" w14:paraId="7FF5E633" w14:textId="77777777" w:rsidTr="008C76E0">
        <w:trPr>
          <w:jc w:val="center"/>
        </w:trPr>
        <w:tc>
          <w:tcPr>
            <w:tcW w:w="9648" w:type="dxa"/>
            <w:tcBorders>
              <w:top w:val="single" w:sz="4" w:space="0" w:color="auto"/>
              <w:left w:val="single" w:sz="4" w:space="0" w:color="auto"/>
              <w:bottom w:val="single" w:sz="4" w:space="0" w:color="auto"/>
              <w:right w:val="single" w:sz="4" w:space="0" w:color="auto"/>
            </w:tcBorders>
            <w:shd w:val="clear" w:color="auto" w:fill="FFFFFF"/>
          </w:tcPr>
          <w:p w14:paraId="67B7599E" w14:textId="77777777" w:rsidR="008C76E0" w:rsidRPr="00BD7577" w:rsidRDefault="008C76E0" w:rsidP="008C76E0">
            <w:pPr>
              <w:pStyle w:val="Bodytext180"/>
              <w:shd w:val="clear" w:color="auto" w:fill="auto"/>
              <w:spacing w:before="0" w:after="160" w:line="360" w:lineRule="auto"/>
              <w:ind w:left="160"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bl>
    <w:p w14:paraId="178D30A2" w14:textId="77777777" w:rsidR="008C76E0" w:rsidRPr="00BD7577" w:rsidRDefault="008C76E0" w:rsidP="008C76E0">
      <w:pPr>
        <w:rPr>
          <w:rFonts w:ascii="Sylfaen" w:hAnsi="Sylfaen"/>
          <w:sz w:val="24"/>
          <w:szCs w:val="24"/>
        </w:rPr>
      </w:pPr>
    </w:p>
    <w:tbl>
      <w:tblPr>
        <w:tblOverlap w:val="never"/>
        <w:tblW w:w="9580" w:type="dxa"/>
        <w:jc w:val="center"/>
        <w:tblLayout w:type="fixed"/>
        <w:tblCellMar>
          <w:left w:w="10" w:type="dxa"/>
          <w:right w:w="10" w:type="dxa"/>
        </w:tblCellMar>
        <w:tblLook w:val="04A0" w:firstRow="1" w:lastRow="0" w:firstColumn="1" w:lastColumn="0" w:noHBand="0" w:noVBand="1"/>
      </w:tblPr>
      <w:tblGrid>
        <w:gridCol w:w="2115"/>
        <w:gridCol w:w="1418"/>
        <w:gridCol w:w="1536"/>
        <w:gridCol w:w="1440"/>
        <w:gridCol w:w="1701"/>
        <w:gridCol w:w="1370"/>
      </w:tblGrid>
      <w:tr w:rsidR="008C76E0" w:rsidRPr="00BD7577" w14:paraId="419FF577" w14:textId="77777777" w:rsidTr="008C76E0">
        <w:trPr>
          <w:jc w:val="center"/>
        </w:trPr>
        <w:tc>
          <w:tcPr>
            <w:tcW w:w="9580" w:type="dxa"/>
            <w:gridSpan w:val="6"/>
            <w:shd w:val="clear" w:color="auto" w:fill="FFFFFF"/>
          </w:tcPr>
          <w:p w14:paraId="1E8F854E" w14:textId="77777777" w:rsidR="008C76E0" w:rsidRPr="008C76E0" w:rsidRDefault="008C76E0" w:rsidP="008C76E0">
            <w:pPr>
              <w:pStyle w:val="Bodytext180"/>
              <w:shd w:val="clear" w:color="auto" w:fill="auto"/>
              <w:tabs>
                <w:tab w:val="left" w:pos="1160"/>
              </w:tabs>
              <w:spacing w:before="0" w:after="160" w:line="360" w:lineRule="auto"/>
              <w:ind w:firstLine="529"/>
              <w:rPr>
                <w:rFonts w:ascii="Sylfaen" w:hAnsi="Sylfaen"/>
                <w:b w:val="0"/>
                <w:sz w:val="24"/>
                <w:szCs w:val="24"/>
                <w:lang w:val="hy-AM"/>
              </w:rPr>
            </w:pPr>
            <w:r>
              <w:rPr>
                <w:rStyle w:val="Bodytext295pt"/>
                <w:rFonts w:ascii="Sylfaen" w:hAnsi="Sylfaen"/>
                <w:spacing w:val="0"/>
                <w:sz w:val="24"/>
                <w:szCs w:val="24"/>
              </w:rPr>
              <w:t>4.5.</w:t>
            </w:r>
            <w:r w:rsidRPr="00BD7577">
              <w:rPr>
                <w:rStyle w:val="Bodytext295pt"/>
                <w:rFonts w:ascii="Sylfaen" w:hAnsi="Sylfaen"/>
                <w:spacing w:val="0"/>
                <w:sz w:val="24"/>
                <w:szCs w:val="24"/>
              </w:rPr>
              <w:tab/>
              <w:t xml:space="preserve">Վերարտադրողական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օնտոգենետիկ թունավորությունը:</w:t>
            </w:r>
          </w:p>
          <w:p w14:paraId="02F9BBA2" w14:textId="77777777" w:rsidR="008C76E0" w:rsidRPr="008C76E0" w:rsidRDefault="008C76E0" w:rsidP="008C76E0">
            <w:pPr>
              <w:pStyle w:val="Bodytext180"/>
              <w:shd w:val="clear" w:color="auto" w:fill="auto"/>
              <w:spacing w:before="0" w:after="160" w:line="360" w:lineRule="auto"/>
              <w:ind w:right="140" w:firstLine="0"/>
              <w:jc w:val="right"/>
              <w:rPr>
                <w:rFonts w:ascii="Sylfaen" w:hAnsi="Sylfaen"/>
                <w:b w:val="0"/>
                <w:sz w:val="24"/>
                <w:szCs w:val="24"/>
                <w:lang w:val="hy-AM"/>
              </w:rPr>
            </w:pPr>
            <w:r w:rsidRPr="00BD7577">
              <w:rPr>
                <w:rStyle w:val="Bodytext295pt"/>
                <w:rFonts w:ascii="Sylfaen" w:hAnsi="Sylfaen"/>
                <w:spacing w:val="0"/>
                <w:sz w:val="24"/>
                <w:szCs w:val="24"/>
              </w:rPr>
              <w:t>Անցկացված հետազոտությունների մասին տվյալներով աղյուսակի օրինակ՝</w:t>
            </w:r>
          </w:p>
        </w:tc>
      </w:tr>
      <w:tr w:rsidR="008C76E0" w:rsidRPr="00BD7577" w14:paraId="08E93753" w14:textId="77777777" w:rsidTr="008C76E0">
        <w:trPr>
          <w:jc w:val="center"/>
        </w:trPr>
        <w:tc>
          <w:tcPr>
            <w:tcW w:w="2115" w:type="dxa"/>
            <w:tcBorders>
              <w:top w:val="single" w:sz="4" w:space="0" w:color="auto"/>
              <w:left w:val="single" w:sz="4" w:space="0" w:color="auto"/>
            </w:tcBorders>
            <w:shd w:val="clear" w:color="auto" w:fill="FFFFFF"/>
          </w:tcPr>
          <w:p w14:paraId="3098B83E" w14:textId="77777777" w:rsidR="008C76E0" w:rsidRPr="008C76E0" w:rsidRDefault="008C76E0" w:rsidP="008C76E0">
            <w:pPr>
              <w:pStyle w:val="Bodytext180"/>
              <w:shd w:val="clear" w:color="auto" w:fill="auto"/>
              <w:spacing w:before="0" w:after="160" w:line="360" w:lineRule="auto"/>
              <w:ind w:firstLine="0"/>
              <w:rPr>
                <w:rFonts w:ascii="Sylfaen" w:hAnsi="Sylfaen"/>
                <w:b w:val="0"/>
                <w:sz w:val="24"/>
                <w:szCs w:val="24"/>
                <w:lang w:val="hy-AM"/>
              </w:rPr>
            </w:pPr>
            <w:r w:rsidRPr="00BD7577">
              <w:rPr>
                <w:rStyle w:val="Bodytext1811pt"/>
                <w:rFonts w:ascii="Sylfaen" w:hAnsi="Sylfaen"/>
                <w:sz w:val="24"/>
                <w:szCs w:val="24"/>
              </w:rPr>
              <w:t>Հետազոտության տեսակը/ Նույնականացման համարը/Պատշաճ լաբորատոր գործելակերպին համապատասխա-նությունը</w:t>
            </w:r>
          </w:p>
        </w:tc>
        <w:tc>
          <w:tcPr>
            <w:tcW w:w="1418" w:type="dxa"/>
            <w:tcBorders>
              <w:top w:val="single" w:sz="4" w:space="0" w:color="auto"/>
              <w:left w:val="single" w:sz="4" w:space="0" w:color="auto"/>
            </w:tcBorders>
            <w:shd w:val="clear" w:color="auto" w:fill="FFFFFF"/>
          </w:tcPr>
          <w:p w14:paraId="6DE0DD1D"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Տեսակները. էգերի քանակը/</w:t>
            </w:r>
            <w:r w:rsidRPr="00BD7577">
              <w:rPr>
                <w:rStyle w:val="Bodytext1811pt"/>
                <w:rFonts w:ascii="Sylfaen" w:hAnsi="Sylfaen"/>
                <w:sz w:val="24"/>
                <w:szCs w:val="24"/>
                <w:lang w:val="en-US"/>
              </w:rPr>
              <w:t xml:space="preserve"> </w:t>
            </w:r>
            <w:r w:rsidRPr="00BD7577">
              <w:rPr>
                <w:rStyle w:val="Bodytext1811pt"/>
                <w:rFonts w:ascii="Sylfaen" w:hAnsi="Sylfaen"/>
                <w:sz w:val="24"/>
                <w:szCs w:val="24"/>
              </w:rPr>
              <w:t>խումբը</w:t>
            </w:r>
          </w:p>
        </w:tc>
        <w:tc>
          <w:tcPr>
            <w:tcW w:w="1536" w:type="dxa"/>
            <w:tcBorders>
              <w:top w:val="single" w:sz="4" w:space="0" w:color="auto"/>
              <w:left w:val="single" w:sz="4" w:space="0" w:color="auto"/>
            </w:tcBorders>
            <w:shd w:val="clear" w:color="auto" w:fill="FFFFFF"/>
          </w:tcPr>
          <w:p w14:paraId="668FA362"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 xml:space="preserve">Ներմուծման ուղին </w:t>
            </w:r>
            <w:r w:rsidR="00C54D75">
              <w:rPr>
                <w:rStyle w:val="Bodytext1811pt"/>
                <w:rFonts w:ascii="Sylfaen" w:hAnsi="Sylfaen"/>
                <w:sz w:val="24"/>
                <w:szCs w:val="24"/>
              </w:rPr>
              <w:t>և</w:t>
            </w:r>
            <w:r w:rsidRPr="00BD7577">
              <w:rPr>
                <w:rStyle w:val="Bodytext1811pt"/>
                <w:rFonts w:ascii="Sylfaen" w:hAnsi="Sylfaen"/>
                <w:sz w:val="24"/>
                <w:szCs w:val="24"/>
              </w:rPr>
              <w:t xml:space="preserve"> դոզան</w:t>
            </w:r>
          </w:p>
        </w:tc>
        <w:tc>
          <w:tcPr>
            <w:tcW w:w="1440" w:type="dxa"/>
            <w:tcBorders>
              <w:top w:val="single" w:sz="4" w:space="0" w:color="auto"/>
              <w:left w:val="single" w:sz="4" w:space="0" w:color="auto"/>
            </w:tcBorders>
            <w:shd w:val="clear" w:color="auto" w:fill="FFFFFF"/>
          </w:tcPr>
          <w:p w14:paraId="2F7BDE90"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Դոզաների ներմուծման</w:t>
            </w:r>
            <w:r w:rsidRPr="00BD7577">
              <w:rPr>
                <w:rStyle w:val="Bodytext295pt"/>
                <w:rFonts w:ascii="Sylfaen" w:hAnsi="Sylfaen"/>
                <w:spacing w:val="0"/>
                <w:sz w:val="24"/>
                <w:szCs w:val="24"/>
              </w:rPr>
              <w:t xml:space="preserve"> ժամանակահատվածը</w:t>
            </w:r>
          </w:p>
        </w:tc>
        <w:tc>
          <w:tcPr>
            <w:tcW w:w="1701" w:type="dxa"/>
            <w:tcBorders>
              <w:top w:val="single" w:sz="4" w:space="0" w:color="auto"/>
              <w:left w:val="single" w:sz="4" w:space="0" w:color="auto"/>
            </w:tcBorders>
            <w:shd w:val="clear" w:color="auto" w:fill="FFFFFF"/>
          </w:tcPr>
          <w:p w14:paraId="3E160CBC"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Հիմնական արդյունքները</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6EF35AA4"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 xml:space="preserve">NOAEL (մգ/կգ) </w:t>
            </w:r>
            <w:r w:rsidR="00C54D75">
              <w:rPr>
                <w:rStyle w:val="Bodytext1811pt"/>
                <w:rFonts w:ascii="Sylfaen" w:hAnsi="Sylfaen"/>
                <w:sz w:val="24"/>
                <w:szCs w:val="24"/>
              </w:rPr>
              <w:t>և</w:t>
            </w:r>
            <w:r w:rsidRPr="00BD7577">
              <w:rPr>
                <w:rStyle w:val="Bodytext1811pt"/>
                <w:rFonts w:ascii="Sylfaen" w:hAnsi="Sylfaen"/>
                <w:sz w:val="24"/>
                <w:szCs w:val="24"/>
              </w:rPr>
              <w:t xml:space="preserve"> AUC</w:t>
            </w:r>
          </w:p>
        </w:tc>
      </w:tr>
      <w:tr w:rsidR="008C76E0" w:rsidRPr="00BD7577" w14:paraId="00F5A130" w14:textId="77777777" w:rsidTr="008C76E0">
        <w:trPr>
          <w:trHeight w:val="919"/>
          <w:jc w:val="center"/>
        </w:trPr>
        <w:tc>
          <w:tcPr>
            <w:tcW w:w="8210" w:type="dxa"/>
            <w:gridSpan w:val="5"/>
            <w:vMerge w:val="restart"/>
            <w:tcBorders>
              <w:top w:val="single" w:sz="4" w:space="0" w:color="auto"/>
            </w:tcBorders>
            <w:shd w:val="clear" w:color="auto" w:fill="FFFFFF"/>
            <w:vAlign w:val="bottom"/>
          </w:tcPr>
          <w:p w14:paraId="75FC146F" w14:textId="77777777" w:rsidR="008C76E0" w:rsidRPr="008C76E0" w:rsidRDefault="008C76E0" w:rsidP="008C76E0">
            <w:pPr>
              <w:pStyle w:val="Bodytext180"/>
              <w:shd w:val="clear" w:color="auto" w:fill="auto"/>
              <w:spacing w:before="0" w:after="160" w:line="360" w:lineRule="auto"/>
              <w:ind w:firstLine="0"/>
              <w:rPr>
                <w:rFonts w:ascii="Sylfaen" w:hAnsi="Sylfaen"/>
                <w:b w:val="0"/>
                <w:sz w:val="24"/>
                <w:szCs w:val="24"/>
                <w:lang w:val="hy-AM"/>
              </w:rPr>
            </w:pPr>
            <w:r w:rsidRPr="00BD7577">
              <w:rPr>
                <w:rStyle w:val="Bodytext1811pt"/>
                <w:rFonts w:ascii="Sylfaen" w:hAnsi="Sylfaen"/>
                <w:sz w:val="24"/>
                <w:szCs w:val="24"/>
              </w:rPr>
              <w:lastRenderedPageBreak/>
              <w:t>Արուների պտղաբերությունը Էգերի պտղաբերությունը</w:t>
            </w:r>
          </w:p>
          <w:p w14:paraId="62A8E9BF" w14:textId="77777777" w:rsidR="008C76E0" w:rsidRPr="008C76E0" w:rsidRDefault="008C76E0" w:rsidP="008C76E0">
            <w:pPr>
              <w:pStyle w:val="Bodytext180"/>
              <w:shd w:val="clear" w:color="auto" w:fill="auto"/>
              <w:spacing w:before="0" w:after="160" w:line="360" w:lineRule="auto"/>
              <w:ind w:firstLine="0"/>
              <w:rPr>
                <w:rFonts w:ascii="Sylfaen" w:hAnsi="Sylfaen"/>
                <w:b w:val="0"/>
                <w:sz w:val="24"/>
                <w:szCs w:val="24"/>
                <w:lang w:val="hy-AM"/>
              </w:rPr>
            </w:pPr>
            <w:r w:rsidRPr="00BD7577">
              <w:rPr>
                <w:rStyle w:val="Bodytext1811pt"/>
                <w:rFonts w:ascii="Sylfaen" w:hAnsi="Sylfaen"/>
                <w:sz w:val="24"/>
                <w:szCs w:val="24"/>
              </w:rPr>
              <w:t xml:space="preserve">Էմբրիոֆետալային զարգացում </w:t>
            </w:r>
          </w:p>
          <w:p w14:paraId="051C354F"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1811pt"/>
                <w:rFonts w:ascii="Sylfaen" w:hAnsi="Sylfaen"/>
                <w:sz w:val="24"/>
                <w:szCs w:val="24"/>
              </w:rPr>
              <w:t xml:space="preserve">Նախածննդյան </w:t>
            </w:r>
            <w:r w:rsidR="00C54D75">
              <w:rPr>
                <w:rStyle w:val="Bodytext1811pt"/>
                <w:rFonts w:ascii="Sylfaen" w:hAnsi="Sylfaen"/>
                <w:sz w:val="24"/>
                <w:szCs w:val="24"/>
              </w:rPr>
              <w:t>և</w:t>
            </w:r>
            <w:r w:rsidRPr="00BD7577">
              <w:rPr>
                <w:rStyle w:val="Bodytext1811pt"/>
                <w:rFonts w:ascii="Sylfaen" w:hAnsi="Sylfaen"/>
                <w:sz w:val="24"/>
                <w:szCs w:val="24"/>
              </w:rPr>
              <w:t xml:space="preserve"> հետծննդյան </w:t>
            </w:r>
          </w:p>
        </w:tc>
        <w:tc>
          <w:tcPr>
            <w:tcW w:w="1370" w:type="dxa"/>
            <w:tcBorders>
              <w:top w:val="single" w:sz="4" w:space="0" w:color="auto"/>
            </w:tcBorders>
            <w:shd w:val="clear" w:color="auto" w:fill="FFFFFF"/>
            <w:vAlign w:val="bottom"/>
          </w:tcPr>
          <w:p w14:paraId="2635C0E9" w14:textId="77777777" w:rsidR="008C76E0" w:rsidRPr="00BD7577" w:rsidRDefault="008C76E0" w:rsidP="008C76E0">
            <w:pPr>
              <w:rPr>
                <w:rStyle w:val="Bodytext1811pt"/>
                <w:rFonts w:ascii="Sylfaen" w:eastAsia="MS Mincho" w:hAnsi="Sylfaen"/>
                <w:b w:val="0"/>
                <w:bCs w:val="0"/>
                <w:sz w:val="24"/>
                <w:szCs w:val="24"/>
                <w:vertAlign w:val="subscript"/>
              </w:rPr>
            </w:pPr>
            <w:r w:rsidRPr="00BD7577">
              <w:rPr>
                <w:rStyle w:val="Bodytext1811pt"/>
                <w:rFonts w:ascii="Sylfaen" w:eastAsia="MS Mincho" w:hAnsi="Sylfaen"/>
                <w:sz w:val="24"/>
                <w:szCs w:val="24"/>
              </w:rPr>
              <w:t>F</w:t>
            </w:r>
            <w:r w:rsidRPr="00BD7577">
              <w:rPr>
                <w:rStyle w:val="Bodytext1811pt"/>
                <w:rFonts w:ascii="Sylfaen" w:eastAsia="MS Mincho" w:hAnsi="Sylfaen"/>
                <w:sz w:val="24"/>
                <w:szCs w:val="24"/>
                <w:vertAlign w:val="subscript"/>
              </w:rPr>
              <w:t>0</w:t>
            </w:r>
          </w:p>
          <w:p w14:paraId="773680BC" w14:textId="77777777" w:rsidR="008C76E0" w:rsidRPr="00BD7577" w:rsidRDefault="008C76E0" w:rsidP="008C76E0">
            <w:pPr>
              <w:rPr>
                <w:rFonts w:ascii="Sylfaen" w:hAnsi="Sylfaen"/>
                <w:sz w:val="24"/>
                <w:szCs w:val="24"/>
              </w:rPr>
            </w:pPr>
            <w:r w:rsidRPr="00BD7577">
              <w:rPr>
                <w:rStyle w:val="Bodytext1811pt"/>
                <w:rFonts w:ascii="Sylfaen" w:eastAsia="MS Mincho" w:hAnsi="Sylfaen"/>
                <w:sz w:val="24"/>
                <w:szCs w:val="24"/>
              </w:rPr>
              <w:t>F</w:t>
            </w:r>
            <w:r w:rsidRPr="00BD7577">
              <w:rPr>
                <w:rStyle w:val="Bodytext1811pt"/>
                <w:rFonts w:ascii="Sylfaen" w:eastAsia="MS Mincho" w:hAnsi="Sylfaen"/>
                <w:sz w:val="24"/>
                <w:szCs w:val="24"/>
                <w:vertAlign w:val="subscript"/>
              </w:rPr>
              <w:t>1</w:t>
            </w:r>
          </w:p>
        </w:tc>
      </w:tr>
      <w:tr w:rsidR="008C76E0" w:rsidRPr="00BD7577" w14:paraId="053A56F3" w14:textId="77777777" w:rsidTr="008C76E0">
        <w:trPr>
          <w:trHeight w:val="450"/>
          <w:jc w:val="center"/>
        </w:trPr>
        <w:tc>
          <w:tcPr>
            <w:tcW w:w="8210" w:type="dxa"/>
            <w:gridSpan w:val="5"/>
            <w:vMerge/>
            <w:shd w:val="clear" w:color="auto" w:fill="FFFFFF"/>
            <w:vAlign w:val="bottom"/>
          </w:tcPr>
          <w:p w14:paraId="6A356FB3" w14:textId="77777777" w:rsidR="008C76E0" w:rsidRPr="00BD7577" w:rsidRDefault="008C76E0" w:rsidP="008C76E0">
            <w:pPr>
              <w:pStyle w:val="Bodytext180"/>
              <w:shd w:val="clear" w:color="auto" w:fill="auto"/>
              <w:spacing w:before="0" w:after="160" w:line="360" w:lineRule="auto"/>
              <w:ind w:firstLine="0"/>
              <w:rPr>
                <w:rStyle w:val="Bodytext1811pt"/>
                <w:rFonts w:ascii="Sylfaen" w:hAnsi="Sylfaen"/>
                <w:sz w:val="24"/>
                <w:szCs w:val="24"/>
              </w:rPr>
            </w:pPr>
          </w:p>
        </w:tc>
        <w:tc>
          <w:tcPr>
            <w:tcW w:w="1370" w:type="dxa"/>
            <w:shd w:val="clear" w:color="auto" w:fill="FFFFFF"/>
            <w:vAlign w:val="bottom"/>
          </w:tcPr>
          <w:p w14:paraId="1F0B07E3" w14:textId="77777777" w:rsidR="008C76E0" w:rsidRPr="00BD7577" w:rsidRDefault="008C76E0" w:rsidP="008C76E0">
            <w:pPr>
              <w:rPr>
                <w:rStyle w:val="Bodytext1811pt"/>
                <w:rFonts w:ascii="Sylfaen" w:eastAsia="MS Mincho" w:hAnsi="Sylfaen"/>
                <w:b w:val="0"/>
                <w:bCs w:val="0"/>
                <w:sz w:val="24"/>
                <w:szCs w:val="24"/>
              </w:rPr>
            </w:pPr>
          </w:p>
        </w:tc>
      </w:tr>
      <w:tr w:rsidR="008C76E0" w:rsidRPr="00BD7577" w14:paraId="1E3E79E8" w14:textId="77777777" w:rsidTr="008C76E0">
        <w:trPr>
          <w:jc w:val="center"/>
        </w:trPr>
        <w:tc>
          <w:tcPr>
            <w:tcW w:w="9580" w:type="dxa"/>
            <w:gridSpan w:val="6"/>
            <w:tcBorders>
              <w:top w:val="single" w:sz="4" w:space="0" w:color="auto"/>
            </w:tcBorders>
            <w:shd w:val="clear" w:color="auto" w:fill="FFFFFF"/>
          </w:tcPr>
          <w:p w14:paraId="2A2666B2" w14:textId="77777777" w:rsidR="008C76E0" w:rsidRPr="00BD7577" w:rsidRDefault="008C76E0" w:rsidP="008C76E0">
            <w:pPr>
              <w:rPr>
                <w:rFonts w:ascii="Sylfaen" w:hAnsi="Sylfaen"/>
                <w:sz w:val="24"/>
                <w:szCs w:val="24"/>
              </w:rPr>
            </w:pPr>
          </w:p>
        </w:tc>
      </w:tr>
      <w:tr w:rsidR="008C76E0" w:rsidRPr="00BD7577" w14:paraId="2E348BFA" w14:textId="77777777" w:rsidTr="008C76E0">
        <w:trPr>
          <w:jc w:val="center"/>
        </w:trPr>
        <w:tc>
          <w:tcPr>
            <w:tcW w:w="9580" w:type="dxa"/>
            <w:gridSpan w:val="6"/>
            <w:tcBorders>
              <w:top w:val="single" w:sz="4" w:space="0" w:color="auto"/>
              <w:left w:val="single" w:sz="4" w:space="0" w:color="auto"/>
              <w:right w:val="single" w:sz="4" w:space="0" w:color="auto"/>
            </w:tcBorders>
            <w:shd w:val="clear" w:color="auto" w:fill="FFFFFF"/>
          </w:tcPr>
          <w:p w14:paraId="5DD77872"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6C0CB06" w14:textId="77777777" w:rsidTr="008C76E0">
        <w:trPr>
          <w:jc w:val="center"/>
        </w:trPr>
        <w:tc>
          <w:tcPr>
            <w:tcW w:w="9580" w:type="dxa"/>
            <w:gridSpan w:val="6"/>
            <w:tcBorders>
              <w:top w:val="single" w:sz="4" w:space="0" w:color="auto"/>
              <w:bottom w:val="single" w:sz="4" w:space="0" w:color="auto"/>
            </w:tcBorders>
            <w:shd w:val="clear" w:color="auto" w:fill="FFFFFF"/>
          </w:tcPr>
          <w:p w14:paraId="30EAB224" w14:textId="77777777" w:rsidR="008C76E0" w:rsidRPr="008C76E0" w:rsidRDefault="008C76E0" w:rsidP="008C76E0">
            <w:pPr>
              <w:pStyle w:val="Bodytext180"/>
              <w:shd w:val="clear" w:color="auto" w:fill="auto"/>
              <w:tabs>
                <w:tab w:val="left" w:pos="1663"/>
              </w:tabs>
              <w:spacing w:before="0" w:after="160" w:line="360" w:lineRule="auto"/>
              <w:ind w:firstLine="567"/>
              <w:jc w:val="both"/>
              <w:rPr>
                <w:rFonts w:ascii="Sylfaen" w:hAnsi="Sylfaen"/>
                <w:b w:val="0"/>
                <w:sz w:val="24"/>
                <w:szCs w:val="24"/>
                <w:lang w:val="hy-AM"/>
              </w:rPr>
            </w:pPr>
            <w:r>
              <w:rPr>
                <w:rStyle w:val="Bodytext295pt"/>
                <w:rFonts w:ascii="Sylfaen" w:hAnsi="Sylfaen"/>
                <w:spacing w:val="0"/>
                <w:sz w:val="24"/>
                <w:szCs w:val="24"/>
              </w:rPr>
              <w:t>4.5.1.</w:t>
            </w:r>
            <w:r w:rsidRPr="00DD61E4">
              <w:rPr>
                <w:rStyle w:val="Bodytext295pt"/>
                <w:rFonts w:ascii="Sylfaen" w:hAnsi="Sylfaen"/>
                <w:spacing w:val="0"/>
                <w:sz w:val="24"/>
                <w:szCs w:val="24"/>
              </w:rPr>
              <w:tab/>
            </w:r>
            <w:r w:rsidRPr="00BD7577">
              <w:rPr>
                <w:rStyle w:val="Bodytext295pt"/>
                <w:rFonts w:ascii="Sylfaen" w:hAnsi="Sylfaen"/>
                <w:spacing w:val="0"/>
                <w:sz w:val="24"/>
                <w:szCs w:val="24"/>
              </w:rPr>
              <w:t xml:space="preserve">Պտղաբերությունը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վաղ սաղմնային զարգացումը:</w:t>
            </w:r>
          </w:p>
        </w:tc>
      </w:tr>
      <w:tr w:rsidR="008C76E0" w:rsidRPr="00BD7577" w14:paraId="3DD6E203" w14:textId="77777777" w:rsidTr="008C76E0">
        <w:trPr>
          <w:jc w:val="center"/>
        </w:trPr>
        <w:tc>
          <w:tcPr>
            <w:tcW w:w="9580" w:type="dxa"/>
            <w:gridSpan w:val="6"/>
            <w:tcBorders>
              <w:top w:val="single" w:sz="4" w:space="0" w:color="auto"/>
            </w:tcBorders>
            <w:shd w:val="clear" w:color="auto" w:fill="FFFFFF"/>
          </w:tcPr>
          <w:p w14:paraId="1D3964A5" w14:textId="77777777" w:rsidR="008C76E0" w:rsidRDefault="008C76E0" w:rsidP="008C76E0">
            <w:pPr>
              <w:pStyle w:val="Bodytext180"/>
              <w:shd w:val="clear" w:color="auto" w:fill="auto"/>
              <w:tabs>
                <w:tab w:val="left" w:pos="1663"/>
              </w:tabs>
              <w:spacing w:before="0" w:after="160" w:line="360" w:lineRule="auto"/>
              <w:ind w:firstLine="567"/>
              <w:rPr>
                <w:rStyle w:val="Bodytext295pt"/>
                <w:rFonts w:ascii="Sylfaen" w:hAnsi="Sylfaen"/>
                <w:spacing w:val="0"/>
                <w:sz w:val="24"/>
                <w:szCs w:val="24"/>
              </w:rPr>
            </w:pPr>
          </w:p>
        </w:tc>
      </w:tr>
    </w:tbl>
    <w:p w14:paraId="77A95F48" w14:textId="77777777" w:rsidR="008C76E0" w:rsidRPr="00BD7577" w:rsidRDefault="008C76E0" w:rsidP="008C76E0">
      <w:pPr>
        <w:rPr>
          <w:rFonts w:ascii="Sylfaen" w:hAnsi="Sylfaen"/>
          <w:sz w:val="24"/>
          <w:szCs w:val="24"/>
        </w:rPr>
      </w:pPr>
    </w:p>
    <w:tbl>
      <w:tblPr>
        <w:tblOverlap w:val="never"/>
        <w:tblW w:w="9580" w:type="dxa"/>
        <w:jc w:val="center"/>
        <w:tblLayout w:type="fixed"/>
        <w:tblCellMar>
          <w:left w:w="10" w:type="dxa"/>
          <w:right w:w="10" w:type="dxa"/>
        </w:tblCellMar>
        <w:tblLook w:val="04A0" w:firstRow="1" w:lastRow="0" w:firstColumn="1" w:lastColumn="0" w:noHBand="0" w:noVBand="1"/>
      </w:tblPr>
      <w:tblGrid>
        <w:gridCol w:w="9580"/>
      </w:tblGrid>
      <w:tr w:rsidR="008C76E0" w:rsidRPr="00BD7577" w14:paraId="5C57E2E4" w14:textId="77777777" w:rsidTr="008C76E0">
        <w:trPr>
          <w:jc w:val="center"/>
        </w:trPr>
        <w:tc>
          <w:tcPr>
            <w:tcW w:w="9580" w:type="dxa"/>
            <w:tcBorders>
              <w:top w:val="single" w:sz="4" w:space="0" w:color="auto"/>
              <w:left w:val="single" w:sz="4" w:space="0" w:color="auto"/>
              <w:right w:val="single" w:sz="4" w:space="0" w:color="auto"/>
            </w:tcBorders>
            <w:shd w:val="clear" w:color="auto" w:fill="FFFFFF"/>
          </w:tcPr>
          <w:p w14:paraId="37B95753"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AB5495D" w14:textId="77777777" w:rsidTr="008C76E0">
        <w:trPr>
          <w:jc w:val="center"/>
        </w:trPr>
        <w:tc>
          <w:tcPr>
            <w:tcW w:w="9580" w:type="dxa"/>
            <w:tcBorders>
              <w:top w:val="single" w:sz="4" w:space="0" w:color="auto"/>
            </w:tcBorders>
            <w:shd w:val="clear" w:color="auto" w:fill="FFFFFF"/>
          </w:tcPr>
          <w:p w14:paraId="32A83991" w14:textId="77777777" w:rsidR="008C76E0" w:rsidRPr="00BD7577" w:rsidRDefault="008C76E0" w:rsidP="008C76E0">
            <w:pPr>
              <w:pStyle w:val="Bodytext180"/>
              <w:shd w:val="clear" w:color="auto" w:fill="auto"/>
              <w:tabs>
                <w:tab w:val="left" w:pos="1663"/>
              </w:tabs>
              <w:spacing w:before="0" w:after="160" w:line="360" w:lineRule="auto"/>
              <w:ind w:firstLine="567"/>
              <w:rPr>
                <w:rFonts w:ascii="Sylfaen" w:hAnsi="Sylfaen"/>
                <w:b w:val="0"/>
                <w:sz w:val="24"/>
                <w:szCs w:val="24"/>
              </w:rPr>
            </w:pPr>
            <w:r>
              <w:rPr>
                <w:rStyle w:val="Bodytext295pt"/>
                <w:rFonts w:ascii="Sylfaen" w:hAnsi="Sylfaen"/>
                <w:spacing w:val="0"/>
                <w:sz w:val="24"/>
                <w:szCs w:val="24"/>
              </w:rPr>
              <w:t>4.5.2.</w:t>
            </w:r>
            <w:r w:rsidRPr="00BD7577">
              <w:rPr>
                <w:rStyle w:val="Bodytext295pt"/>
                <w:rFonts w:ascii="Sylfaen" w:hAnsi="Sylfaen"/>
                <w:spacing w:val="0"/>
                <w:sz w:val="24"/>
                <w:szCs w:val="24"/>
              </w:rPr>
              <w:tab/>
              <w:t>Էմբրիոֆետալային զարգացումը:</w:t>
            </w:r>
          </w:p>
        </w:tc>
      </w:tr>
    </w:tbl>
    <w:p w14:paraId="17CC5EE3" w14:textId="77777777" w:rsidR="008C76E0" w:rsidRPr="00BD7577" w:rsidRDefault="008C76E0" w:rsidP="008C76E0">
      <w:pPr>
        <w:rPr>
          <w:rFonts w:ascii="Sylfaen" w:hAnsi="Sylfaen"/>
          <w:sz w:val="24"/>
          <w:szCs w:val="24"/>
        </w:rPr>
      </w:pPr>
    </w:p>
    <w:tbl>
      <w:tblPr>
        <w:tblOverlap w:val="never"/>
        <w:tblW w:w="9580" w:type="dxa"/>
        <w:jc w:val="center"/>
        <w:tblLayout w:type="fixed"/>
        <w:tblCellMar>
          <w:left w:w="10" w:type="dxa"/>
          <w:right w:w="10" w:type="dxa"/>
        </w:tblCellMar>
        <w:tblLook w:val="04A0" w:firstRow="1" w:lastRow="0" w:firstColumn="1" w:lastColumn="0" w:noHBand="0" w:noVBand="1"/>
      </w:tblPr>
      <w:tblGrid>
        <w:gridCol w:w="9580"/>
      </w:tblGrid>
      <w:tr w:rsidR="008C76E0" w:rsidRPr="00BD7577" w14:paraId="1E5A2AC6" w14:textId="77777777" w:rsidTr="008C76E0">
        <w:trPr>
          <w:jc w:val="center"/>
        </w:trPr>
        <w:tc>
          <w:tcPr>
            <w:tcW w:w="9580" w:type="dxa"/>
            <w:tcBorders>
              <w:top w:val="single" w:sz="4" w:space="0" w:color="auto"/>
              <w:left w:val="single" w:sz="4" w:space="0" w:color="auto"/>
              <w:right w:val="single" w:sz="4" w:space="0" w:color="auto"/>
            </w:tcBorders>
            <w:shd w:val="clear" w:color="auto" w:fill="FFFFFF"/>
          </w:tcPr>
          <w:p w14:paraId="1660E5BC"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4196E66" w14:textId="77777777" w:rsidTr="008C76E0">
        <w:trPr>
          <w:jc w:val="center"/>
        </w:trPr>
        <w:tc>
          <w:tcPr>
            <w:tcW w:w="9580" w:type="dxa"/>
            <w:tcBorders>
              <w:top w:val="single" w:sz="4" w:space="0" w:color="auto"/>
            </w:tcBorders>
            <w:shd w:val="clear" w:color="auto" w:fill="FFFFFF"/>
          </w:tcPr>
          <w:p w14:paraId="0427C0BB" w14:textId="77777777" w:rsidR="008C76E0" w:rsidRPr="008C76E0" w:rsidRDefault="008C76E0" w:rsidP="008C76E0">
            <w:pPr>
              <w:pStyle w:val="Bodytext180"/>
              <w:shd w:val="clear" w:color="auto" w:fill="auto"/>
              <w:tabs>
                <w:tab w:val="left" w:pos="1611"/>
              </w:tabs>
              <w:spacing w:before="0" w:after="160" w:line="360" w:lineRule="auto"/>
              <w:ind w:right="101" w:firstLine="567"/>
              <w:jc w:val="both"/>
              <w:rPr>
                <w:rFonts w:ascii="Sylfaen" w:hAnsi="Sylfaen"/>
                <w:b w:val="0"/>
                <w:sz w:val="24"/>
                <w:szCs w:val="24"/>
                <w:lang w:val="hy-AM"/>
              </w:rPr>
            </w:pPr>
            <w:r>
              <w:rPr>
                <w:rStyle w:val="Bodytext295pt"/>
                <w:rFonts w:ascii="Sylfaen" w:hAnsi="Sylfaen"/>
                <w:spacing w:val="0"/>
                <w:sz w:val="24"/>
                <w:szCs w:val="24"/>
              </w:rPr>
              <w:t>4.5.3.</w:t>
            </w:r>
            <w:r w:rsidRPr="00BD7577">
              <w:rPr>
                <w:rStyle w:val="Bodytext295pt"/>
                <w:rFonts w:ascii="Sylfaen" w:hAnsi="Sylfaen"/>
                <w:spacing w:val="0"/>
                <w:sz w:val="24"/>
                <w:szCs w:val="24"/>
              </w:rPr>
              <w:tab/>
              <w:t xml:space="preserve">Նախածննդյան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հետծննդյան զարգացումը՝ ներառյալ մայրական ֆունկցիան:</w:t>
            </w:r>
          </w:p>
        </w:tc>
      </w:tr>
    </w:tbl>
    <w:p w14:paraId="5EACF5D3" w14:textId="77777777" w:rsidR="008C76E0" w:rsidRPr="00BD7577" w:rsidRDefault="008C76E0" w:rsidP="008C76E0">
      <w:pPr>
        <w:rPr>
          <w:rFonts w:ascii="Sylfaen" w:hAnsi="Sylfaen"/>
          <w:sz w:val="24"/>
          <w:szCs w:val="24"/>
        </w:rPr>
      </w:pPr>
    </w:p>
    <w:tbl>
      <w:tblPr>
        <w:tblOverlap w:val="never"/>
        <w:tblW w:w="9580" w:type="dxa"/>
        <w:jc w:val="center"/>
        <w:tblLayout w:type="fixed"/>
        <w:tblCellMar>
          <w:left w:w="10" w:type="dxa"/>
          <w:right w:w="10" w:type="dxa"/>
        </w:tblCellMar>
        <w:tblLook w:val="04A0" w:firstRow="1" w:lastRow="0" w:firstColumn="1" w:lastColumn="0" w:noHBand="0" w:noVBand="1"/>
      </w:tblPr>
      <w:tblGrid>
        <w:gridCol w:w="9580"/>
      </w:tblGrid>
      <w:tr w:rsidR="008C76E0" w:rsidRPr="00BD7577" w14:paraId="6A3F94D8" w14:textId="77777777" w:rsidTr="008C76E0">
        <w:trPr>
          <w:jc w:val="center"/>
        </w:trPr>
        <w:tc>
          <w:tcPr>
            <w:tcW w:w="9580" w:type="dxa"/>
            <w:tcBorders>
              <w:top w:val="single" w:sz="4" w:space="0" w:color="auto"/>
              <w:left w:val="single" w:sz="4" w:space="0" w:color="auto"/>
              <w:right w:val="single" w:sz="4" w:space="0" w:color="auto"/>
            </w:tcBorders>
            <w:shd w:val="clear" w:color="auto" w:fill="FFFFFF"/>
          </w:tcPr>
          <w:p w14:paraId="2C5F9764"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9C00BF6" w14:textId="77777777" w:rsidTr="008C76E0">
        <w:trPr>
          <w:jc w:val="center"/>
        </w:trPr>
        <w:tc>
          <w:tcPr>
            <w:tcW w:w="9580" w:type="dxa"/>
            <w:tcBorders>
              <w:top w:val="single" w:sz="4" w:space="0" w:color="auto"/>
            </w:tcBorders>
            <w:shd w:val="clear" w:color="auto" w:fill="FFFFFF"/>
          </w:tcPr>
          <w:p w14:paraId="243E012E" w14:textId="77777777" w:rsidR="008C76E0" w:rsidRPr="008C76E0" w:rsidRDefault="008C76E0" w:rsidP="008C76E0">
            <w:pPr>
              <w:pStyle w:val="Bodytext180"/>
              <w:shd w:val="clear" w:color="auto" w:fill="auto"/>
              <w:tabs>
                <w:tab w:val="left" w:pos="1663"/>
              </w:tabs>
              <w:spacing w:before="0" w:after="160" w:line="360" w:lineRule="auto"/>
              <w:ind w:right="101" w:firstLine="567"/>
              <w:jc w:val="both"/>
              <w:rPr>
                <w:rFonts w:ascii="Sylfaen" w:hAnsi="Sylfaen"/>
                <w:b w:val="0"/>
                <w:sz w:val="24"/>
                <w:szCs w:val="24"/>
                <w:lang w:val="hy-AM"/>
              </w:rPr>
            </w:pPr>
            <w:r>
              <w:rPr>
                <w:rStyle w:val="Bodytext295pt"/>
                <w:rFonts w:ascii="Sylfaen" w:hAnsi="Sylfaen"/>
                <w:spacing w:val="0"/>
                <w:sz w:val="24"/>
                <w:szCs w:val="24"/>
              </w:rPr>
              <w:t>4.5.4.</w:t>
            </w:r>
            <w:r w:rsidRPr="00BD7577">
              <w:rPr>
                <w:rStyle w:val="Bodytext295pt"/>
                <w:rFonts w:ascii="Sylfaen" w:hAnsi="Sylfaen"/>
                <w:spacing w:val="0"/>
                <w:sz w:val="24"/>
                <w:szCs w:val="24"/>
              </w:rPr>
              <w:tab/>
              <w:t xml:space="preserve">Հետազոտություններ, որոնցում պատրաստուկը ներարկվում է ոչ սեռահասուն առանձնյակներին,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(կամ) անցկացվում է դրա զարգացման հետագա գնահատում: </w:t>
            </w:r>
          </w:p>
        </w:tc>
      </w:tr>
    </w:tbl>
    <w:p w14:paraId="5797DCCB" w14:textId="77777777" w:rsidR="008C76E0" w:rsidRPr="00BD7577" w:rsidRDefault="008C76E0" w:rsidP="008C76E0">
      <w:pPr>
        <w:rPr>
          <w:rFonts w:ascii="Sylfaen" w:hAnsi="Sylfaen"/>
          <w:sz w:val="24"/>
          <w:szCs w:val="24"/>
        </w:rPr>
      </w:pPr>
    </w:p>
    <w:tbl>
      <w:tblPr>
        <w:tblOverlap w:val="never"/>
        <w:tblW w:w="9580" w:type="dxa"/>
        <w:jc w:val="center"/>
        <w:tblLayout w:type="fixed"/>
        <w:tblCellMar>
          <w:left w:w="10" w:type="dxa"/>
          <w:right w:w="10" w:type="dxa"/>
        </w:tblCellMar>
        <w:tblLook w:val="04A0" w:firstRow="1" w:lastRow="0" w:firstColumn="1" w:lastColumn="0" w:noHBand="0" w:noVBand="1"/>
      </w:tblPr>
      <w:tblGrid>
        <w:gridCol w:w="9566"/>
        <w:gridCol w:w="14"/>
      </w:tblGrid>
      <w:tr w:rsidR="008C76E0" w:rsidRPr="00BD7577" w14:paraId="3B3E5EFE" w14:textId="77777777" w:rsidTr="008C76E0">
        <w:trPr>
          <w:jc w:val="center"/>
        </w:trPr>
        <w:tc>
          <w:tcPr>
            <w:tcW w:w="95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7FE3E78" w14:textId="77777777" w:rsidR="008C76E0" w:rsidRPr="008C76E0" w:rsidRDefault="008C76E0" w:rsidP="008C76E0">
            <w:pPr>
              <w:pStyle w:val="Bodytext180"/>
              <w:shd w:val="clear" w:color="auto" w:fill="auto"/>
              <w:spacing w:before="0" w:after="160" w:line="360" w:lineRule="auto"/>
              <w:ind w:firstLine="0"/>
              <w:jc w:val="both"/>
              <w:rPr>
                <w:rFonts w:ascii="Sylfaen" w:hAnsi="Sylfaen"/>
                <w:b w:val="0"/>
                <w:sz w:val="24"/>
                <w:szCs w:val="24"/>
                <w:lang w:val="hy-AM"/>
              </w:rPr>
            </w:pPr>
            <w:r w:rsidRPr="00BD7577">
              <w:rPr>
                <w:rStyle w:val="Bodytext295pt"/>
                <w:rFonts w:ascii="Sylfaen" w:hAnsi="Sylfaen"/>
                <w:spacing w:val="0"/>
                <w:sz w:val="24"/>
                <w:szCs w:val="24"/>
              </w:rPr>
              <w:t>Փորձագետի մեկնաբանությունը</w:t>
            </w:r>
          </w:p>
          <w:p w14:paraId="6FAF82EB" w14:textId="77777777" w:rsidR="008C76E0" w:rsidRPr="008C76E0" w:rsidRDefault="008C76E0" w:rsidP="008C76E0">
            <w:pPr>
              <w:pStyle w:val="Bodytext180"/>
              <w:shd w:val="clear" w:color="auto" w:fill="auto"/>
              <w:spacing w:before="0" w:after="160" w:line="360" w:lineRule="auto"/>
              <w:ind w:firstLine="0"/>
              <w:jc w:val="both"/>
              <w:rPr>
                <w:rFonts w:ascii="Sylfaen" w:hAnsi="Sylfaen"/>
                <w:b w:val="0"/>
                <w:sz w:val="24"/>
                <w:szCs w:val="24"/>
                <w:lang w:val="hy-AM"/>
              </w:rPr>
            </w:pPr>
            <w:r w:rsidRPr="00BD7577">
              <w:rPr>
                <w:rStyle w:val="Bodytext295pt"/>
                <w:rFonts w:ascii="Sylfaen" w:hAnsi="Sylfaen"/>
                <w:spacing w:val="0"/>
                <w:sz w:val="24"/>
                <w:szCs w:val="24"/>
              </w:rPr>
              <w:t>Վերարտադրողական թունավորության վերաբերյալ եզրակացությունները:</w:t>
            </w:r>
          </w:p>
        </w:tc>
      </w:tr>
      <w:tr w:rsidR="008C76E0" w:rsidRPr="00BD7577" w14:paraId="3B2E8B47" w14:textId="77777777" w:rsidTr="008C76E0">
        <w:trPr>
          <w:gridAfter w:val="1"/>
          <w:wAfter w:w="14" w:type="dxa"/>
          <w:jc w:val="center"/>
        </w:trPr>
        <w:tc>
          <w:tcPr>
            <w:tcW w:w="9566" w:type="dxa"/>
            <w:shd w:val="clear" w:color="auto" w:fill="FFFFFF"/>
          </w:tcPr>
          <w:p w14:paraId="62CF0638" w14:textId="77777777" w:rsidR="008C76E0" w:rsidRPr="00BD7577" w:rsidRDefault="008C76E0" w:rsidP="008C76E0">
            <w:pPr>
              <w:pStyle w:val="Bodytext180"/>
              <w:shd w:val="clear" w:color="auto" w:fill="auto"/>
              <w:tabs>
                <w:tab w:val="left" w:pos="1130"/>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4.6.</w:t>
            </w:r>
            <w:r w:rsidRPr="00BD7577">
              <w:rPr>
                <w:rStyle w:val="Bodytext295pt"/>
                <w:rFonts w:ascii="Sylfaen" w:hAnsi="Sylfaen"/>
                <w:spacing w:val="0"/>
                <w:sz w:val="24"/>
                <w:szCs w:val="24"/>
              </w:rPr>
              <w:tab/>
              <w:t>Տեղային տանելիությունը։</w:t>
            </w:r>
          </w:p>
        </w:tc>
      </w:tr>
    </w:tbl>
    <w:p w14:paraId="03A20314" w14:textId="77777777" w:rsidR="008C76E0" w:rsidRPr="00BD7577" w:rsidRDefault="008C76E0" w:rsidP="008C76E0">
      <w:pPr>
        <w:rPr>
          <w:rFonts w:ascii="Sylfaen" w:hAnsi="Sylfaen"/>
          <w:sz w:val="24"/>
          <w:szCs w:val="24"/>
        </w:rPr>
      </w:pPr>
    </w:p>
    <w:tbl>
      <w:tblPr>
        <w:tblOverlap w:val="never"/>
        <w:tblW w:w="9566" w:type="dxa"/>
        <w:jc w:val="center"/>
        <w:tblLayout w:type="fixed"/>
        <w:tblCellMar>
          <w:left w:w="10" w:type="dxa"/>
          <w:right w:w="10" w:type="dxa"/>
        </w:tblCellMar>
        <w:tblLook w:val="04A0" w:firstRow="1" w:lastRow="0" w:firstColumn="1" w:lastColumn="0" w:noHBand="0" w:noVBand="1"/>
      </w:tblPr>
      <w:tblGrid>
        <w:gridCol w:w="9566"/>
      </w:tblGrid>
      <w:tr w:rsidR="008C76E0" w:rsidRPr="00BD7577" w14:paraId="7A0D14AA"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795CD966"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383F6A3" w14:textId="77777777" w:rsidTr="008C76E0">
        <w:trPr>
          <w:jc w:val="center"/>
        </w:trPr>
        <w:tc>
          <w:tcPr>
            <w:tcW w:w="9566" w:type="dxa"/>
            <w:tcBorders>
              <w:top w:val="single" w:sz="4" w:space="0" w:color="auto"/>
            </w:tcBorders>
            <w:shd w:val="clear" w:color="auto" w:fill="FFFFFF"/>
          </w:tcPr>
          <w:p w14:paraId="62DEAC46" w14:textId="77777777" w:rsidR="008C76E0" w:rsidRPr="00BD7577" w:rsidRDefault="008C76E0" w:rsidP="008C76E0">
            <w:pPr>
              <w:pStyle w:val="Bodytext180"/>
              <w:shd w:val="clear" w:color="auto" w:fill="auto"/>
              <w:tabs>
                <w:tab w:val="left" w:pos="1089"/>
              </w:tabs>
              <w:spacing w:before="0" w:after="160" w:line="360" w:lineRule="auto"/>
              <w:ind w:firstLine="567"/>
              <w:rPr>
                <w:rFonts w:ascii="Sylfaen" w:hAnsi="Sylfaen"/>
                <w:b w:val="0"/>
                <w:sz w:val="24"/>
                <w:szCs w:val="24"/>
              </w:rPr>
            </w:pPr>
            <w:r>
              <w:rPr>
                <w:rStyle w:val="Bodytext295pt"/>
                <w:rFonts w:ascii="Sylfaen" w:hAnsi="Sylfaen"/>
                <w:spacing w:val="0"/>
                <w:sz w:val="24"/>
                <w:szCs w:val="24"/>
              </w:rPr>
              <w:t>4.7.</w:t>
            </w:r>
            <w:r w:rsidRPr="00BD7577">
              <w:rPr>
                <w:rStyle w:val="Bodytext295pt"/>
                <w:rFonts w:ascii="Sylfaen" w:hAnsi="Sylfaen"/>
                <w:spacing w:val="0"/>
                <w:sz w:val="24"/>
                <w:szCs w:val="24"/>
              </w:rPr>
              <w:tab/>
              <w:t>Թունավորության այլ հետազոտություններ:</w:t>
            </w:r>
          </w:p>
        </w:tc>
      </w:tr>
    </w:tbl>
    <w:p w14:paraId="489992B2" w14:textId="77777777" w:rsidR="008C76E0" w:rsidRPr="00BD7577" w:rsidRDefault="008C76E0" w:rsidP="008C76E0">
      <w:pPr>
        <w:rPr>
          <w:rFonts w:ascii="Sylfaen" w:hAnsi="Sylfaen"/>
          <w:sz w:val="24"/>
          <w:szCs w:val="24"/>
        </w:rPr>
      </w:pPr>
    </w:p>
    <w:tbl>
      <w:tblPr>
        <w:tblOverlap w:val="never"/>
        <w:tblW w:w="9566" w:type="dxa"/>
        <w:jc w:val="center"/>
        <w:tblLayout w:type="fixed"/>
        <w:tblCellMar>
          <w:left w:w="10" w:type="dxa"/>
          <w:right w:w="10" w:type="dxa"/>
        </w:tblCellMar>
        <w:tblLook w:val="04A0" w:firstRow="1" w:lastRow="0" w:firstColumn="1" w:lastColumn="0" w:noHBand="0" w:noVBand="1"/>
      </w:tblPr>
      <w:tblGrid>
        <w:gridCol w:w="9566"/>
      </w:tblGrid>
      <w:tr w:rsidR="008C76E0" w:rsidRPr="00BD7577" w14:paraId="276123A8"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469D9B71"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7FE93B9" w14:textId="77777777" w:rsidTr="008C76E0">
        <w:trPr>
          <w:jc w:val="center"/>
        </w:trPr>
        <w:tc>
          <w:tcPr>
            <w:tcW w:w="9566" w:type="dxa"/>
            <w:tcBorders>
              <w:top w:val="single" w:sz="4" w:space="0" w:color="auto"/>
            </w:tcBorders>
            <w:shd w:val="clear" w:color="auto" w:fill="FFFFFF"/>
          </w:tcPr>
          <w:p w14:paraId="54A1A332" w14:textId="77777777" w:rsidR="008C76E0" w:rsidRPr="00BD7577" w:rsidRDefault="008C76E0" w:rsidP="008C76E0">
            <w:pPr>
              <w:pStyle w:val="Bodytext180"/>
              <w:shd w:val="clear" w:color="auto" w:fill="auto"/>
              <w:tabs>
                <w:tab w:val="left" w:pos="1656"/>
              </w:tabs>
              <w:spacing w:before="0" w:after="160" w:line="360" w:lineRule="auto"/>
              <w:ind w:firstLine="567"/>
              <w:rPr>
                <w:rFonts w:ascii="Sylfaen" w:hAnsi="Sylfaen"/>
                <w:b w:val="0"/>
                <w:sz w:val="24"/>
                <w:szCs w:val="24"/>
              </w:rPr>
            </w:pPr>
            <w:r>
              <w:rPr>
                <w:rStyle w:val="Bodytext295pt"/>
                <w:rFonts w:ascii="Sylfaen" w:hAnsi="Sylfaen"/>
                <w:spacing w:val="0"/>
                <w:sz w:val="24"/>
                <w:szCs w:val="24"/>
              </w:rPr>
              <w:t>4.7.1.</w:t>
            </w:r>
            <w:r w:rsidRPr="00BD7577">
              <w:rPr>
                <w:rStyle w:val="Bodytext295pt"/>
                <w:rFonts w:ascii="Sylfaen" w:hAnsi="Sylfaen"/>
                <w:spacing w:val="0"/>
                <w:sz w:val="24"/>
                <w:szCs w:val="24"/>
              </w:rPr>
              <w:tab/>
              <w:t>Հակածնությունը:</w:t>
            </w:r>
          </w:p>
        </w:tc>
      </w:tr>
    </w:tbl>
    <w:p w14:paraId="5C7602E3" w14:textId="77777777" w:rsidR="008C76E0" w:rsidRPr="00BD7577" w:rsidRDefault="008C76E0" w:rsidP="008C76E0">
      <w:pPr>
        <w:rPr>
          <w:rFonts w:ascii="Sylfaen" w:hAnsi="Sylfaen"/>
          <w:sz w:val="24"/>
          <w:szCs w:val="24"/>
        </w:rPr>
      </w:pPr>
    </w:p>
    <w:tbl>
      <w:tblPr>
        <w:tblOverlap w:val="never"/>
        <w:tblW w:w="9566" w:type="dxa"/>
        <w:jc w:val="center"/>
        <w:tblLayout w:type="fixed"/>
        <w:tblCellMar>
          <w:left w:w="10" w:type="dxa"/>
          <w:right w:w="10" w:type="dxa"/>
        </w:tblCellMar>
        <w:tblLook w:val="04A0" w:firstRow="1" w:lastRow="0" w:firstColumn="1" w:lastColumn="0" w:noHBand="0" w:noVBand="1"/>
      </w:tblPr>
      <w:tblGrid>
        <w:gridCol w:w="9566"/>
      </w:tblGrid>
      <w:tr w:rsidR="008C76E0" w:rsidRPr="00BD7577" w14:paraId="27798B65"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3659A0C6"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9E38C0A" w14:textId="77777777" w:rsidTr="008C76E0">
        <w:trPr>
          <w:jc w:val="center"/>
        </w:trPr>
        <w:tc>
          <w:tcPr>
            <w:tcW w:w="9566" w:type="dxa"/>
            <w:tcBorders>
              <w:top w:val="single" w:sz="4" w:space="0" w:color="auto"/>
            </w:tcBorders>
            <w:shd w:val="clear" w:color="auto" w:fill="FFFFFF"/>
          </w:tcPr>
          <w:p w14:paraId="7CE575C2" w14:textId="77777777" w:rsidR="008C76E0" w:rsidRPr="00BD7577" w:rsidRDefault="008C76E0" w:rsidP="008C76E0">
            <w:pPr>
              <w:pStyle w:val="Bodytext180"/>
              <w:shd w:val="clear" w:color="auto" w:fill="auto"/>
              <w:tabs>
                <w:tab w:val="left" w:pos="1656"/>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4.7.2.</w:t>
            </w:r>
            <w:r>
              <w:rPr>
                <w:rStyle w:val="Bodytext295pt"/>
                <w:rFonts w:ascii="Sylfaen" w:hAnsi="Sylfaen"/>
                <w:spacing w:val="0"/>
                <w:sz w:val="24"/>
                <w:szCs w:val="24"/>
                <w:lang w:val="en-US"/>
              </w:rPr>
              <w:tab/>
            </w:r>
            <w:r w:rsidRPr="00BD7577">
              <w:rPr>
                <w:rStyle w:val="Bodytext295pt"/>
                <w:rFonts w:ascii="Sylfaen" w:hAnsi="Sylfaen"/>
                <w:spacing w:val="0"/>
                <w:sz w:val="24"/>
                <w:szCs w:val="24"/>
              </w:rPr>
              <w:t>Իմունոտոքսիկություն:</w:t>
            </w:r>
          </w:p>
        </w:tc>
      </w:tr>
      <w:tr w:rsidR="008C76E0" w:rsidRPr="00BD7577" w14:paraId="4251A584"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79801925"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F816251" w14:textId="77777777" w:rsidTr="008C76E0">
        <w:trPr>
          <w:jc w:val="center"/>
        </w:trPr>
        <w:tc>
          <w:tcPr>
            <w:tcW w:w="9566" w:type="dxa"/>
            <w:tcBorders>
              <w:top w:val="single" w:sz="4" w:space="0" w:color="auto"/>
            </w:tcBorders>
            <w:shd w:val="clear" w:color="auto" w:fill="FFFFFF"/>
          </w:tcPr>
          <w:p w14:paraId="51478335" w14:textId="77777777" w:rsidR="008C76E0" w:rsidRPr="00BD7577" w:rsidRDefault="008C76E0" w:rsidP="008C76E0">
            <w:pPr>
              <w:pStyle w:val="Bodytext180"/>
              <w:shd w:val="clear" w:color="auto" w:fill="auto"/>
              <w:tabs>
                <w:tab w:val="left" w:pos="1656"/>
              </w:tabs>
              <w:spacing w:before="0" w:after="160" w:line="360" w:lineRule="auto"/>
              <w:ind w:firstLine="567"/>
              <w:rPr>
                <w:rFonts w:ascii="Sylfaen" w:hAnsi="Sylfaen"/>
                <w:b w:val="0"/>
                <w:sz w:val="24"/>
                <w:szCs w:val="24"/>
              </w:rPr>
            </w:pPr>
            <w:r>
              <w:rPr>
                <w:rStyle w:val="Bodytext295pt"/>
                <w:rFonts w:ascii="Sylfaen" w:hAnsi="Sylfaen"/>
                <w:spacing w:val="0"/>
                <w:sz w:val="24"/>
                <w:szCs w:val="24"/>
              </w:rPr>
              <w:t>4.7.3.</w:t>
            </w:r>
            <w:r w:rsidRPr="00BD7577">
              <w:rPr>
                <w:rStyle w:val="Bodytext295pt"/>
                <w:rFonts w:ascii="Sylfaen" w:hAnsi="Sylfaen"/>
                <w:spacing w:val="0"/>
                <w:sz w:val="24"/>
                <w:szCs w:val="24"/>
              </w:rPr>
              <w:tab/>
              <w:t>Կախվածություն:</w:t>
            </w:r>
          </w:p>
        </w:tc>
      </w:tr>
    </w:tbl>
    <w:p w14:paraId="61A5A400" w14:textId="77777777" w:rsidR="008C76E0" w:rsidRDefault="008C76E0" w:rsidP="008C76E0">
      <w:pPr>
        <w:rPr>
          <w:rFonts w:ascii="Sylfaen" w:hAnsi="Sylfaen"/>
          <w:sz w:val="24"/>
          <w:szCs w:val="24"/>
          <w:lang w:val="en-US"/>
        </w:rPr>
      </w:pPr>
    </w:p>
    <w:tbl>
      <w:tblPr>
        <w:tblOverlap w:val="never"/>
        <w:tblW w:w="9566" w:type="dxa"/>
        <w:jc w:val="center"/>
        <w:tblLayout w:type="fixed"/>
        <w:tblCellMar>
          <w:left w:w="10" w:type="dxa"/>
          <w:right w:w="10" w:type="dxa"/>
        </w:tblCellMar>
        <w:tblLook w:val="04A0" w:firstRow="1" w:lastRow="0" w:firstColumn="1" w:lastColumn="0" w:noHBand="0" w:noVBand="1"/>
      </w:tblPr>
      <w:tblGrid>
        <w:gridCol w:w="9566"/>
      </w:tblGrid>
      <w:tr w:rsidR="008C76E0" w:rsidRPr="00BD7577" w14:paraId="2C03D6AE"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2A918764"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9B02DF1" w14:textId="77777777" w:rsidTr="008C76E0">
        <w:trPr>
          <w:jc w:val="center"/>
        </w:trPr>
        <w:tc>
          <w:tcPr>
            <w:tcW w:w="9566" w:type="dxa"/>
            <w:tcBorders>
              <w:top w:val="single" w:sz="4" w:space="0" w:color="auto"/>
            </w:tcBorders>
            <w:shd w:val="clear" w:color="auto" w:fill="FFFFFF"/>
          </w:tcPr>
          <w:p w14:paraId="2A4F9266" w14:textId="77777777" w:rsidR="008C76E0" w:rsidRPr="00BD7577" w:rsidRDefault="008C76E0" w:rsidP="008C76E0">
            <w:pPr>
              <w:pStyle w:val="Bodytext180"/>
              <w:shd w:val="clear" w:color="auto" w:fill="auto"/>
              <w:tabs>
                <w:tab w:val="left" w:pos="1656"/>
              </w:tabs>
              <w:spacing w:before="0" w:after="160" w:line="360" w:lineRule="auto"/>
              <w:ind w:firstLine="567"/>
              <w:rPr>
                <w:rFonts w:ascii="Sylfaen" w:hAnsi="Sylfaen"/>
                <w:b w:val="0"/>
                <w:sz w:val="24"/>
                <w:szCs w:val="24"/>
              </w:rPr>
            </w:pPr>
            <w:r>
              <w:rPr>
                <w:rStyle w:val="Bodytext295pt"/>
                <w:rFonts w:ascii="Sylfaen" w:hAnsi="Sylfaen"/>
                <w:spacing w:val="0"/>
                <w:sz w:val="24"/>
                <w:szCs w:val="24"/>
              </w:rPr>
              <w:t>4.7.4.</w:t>
            </w:r>
            <w:r w:rsidRPr="00BD7577">
              <w:rPr>
                <w:rStyle w:val="Bodytext295pt"/>
                <w:rFonts w:ascii="Sylfaen" w:hAnsi="Sylfaen"/>
                <w:spacing w:val="0"/>
                <w:sz w:val="24"/>
                <w:szCs w:val="24"/>
              </w:rPr>
              <w:tab/>
              <w:t>Մետաբոլիտներ:</w:t>
            </w:r>
          </w:p>
        </w:tc>
      </w:tr>
    </w:tbl>
    <w:p w14:paraId="06DF5D0E" w14:textId="77777777" w:rsidR="008C76E0" w:rsidRPr="00BD7577" w:rsidRDefault="008C76E0" w:rsidP="008C76E0">
      <w:pPr>
        <w:rPr>
          <w:rFonts w:ascii="Sylfaen" w:hAnsi="Sylfaen"/>
          <w:sz w:val="24"/>
          <w:szCs w:val="24"/>
        </w:rPr>
      </w:pPr>
    </w:p>
    <w:tbl>
      <w:tblPr>
        <w:tblOverlap w:val="never"/>
        <w:tblW w:w="9566" w:type="dxa"/>
        <w:jc w:val="center"/>
        <w:tblLayout w:type="fixed"/>
        <w:tblCellMar>
          <w:left w:w="10" w:type="dxa"/>
          <w:right w:w="10" w:type="dxa"/>
        </w:tblCellMar>
        <w:tblLook w:val="04A0" w:firstRow="1" w:lastRow="0" w:firstColumn="1" w:lastColumn="0" w:noHBand="0" w:noVBand="1"/>
      </w:tblPr>
      <w:tblGrid>
        <w:gridCol w:w="9566"/>
      </w:tblGrid>
      <w:tr w:rsidR="008C76E0" w:rsidRPr="00BD7577" w14:paraId="549C66E9" w14:textId="77777777" w:rsidTr="008C76E0">
        <w:trPr>
          <w:jc w:val="center"/>
        </w:trPr>
        <w:tc>
          <w:tcPr>
            <w:tcW w:w="9566" w:type="dxa"/>
            <w:tcBorders>
              <w:top w:val="single" w:sz="4" w:space="0" w:color="auto"/>
              <w:left w:val="single" w:sz="4" w:space="0" w:color="auto"/>
              <w:right w:val="single" w:sz="4" w:space="0" w:color="auto"/>
            </w:tcBorders>
            <w:shd w:val="clear" w:color="auto" w:fill="FFFFFF"/>
          </w:tcPr>
          <w:p w14:paraId="4201A825"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4AB59B4" w14:textId="77777777" w:rsidTr="008C76E0">
        <w:trPr>
          <w:jc w:val="center"/>
        </w:trPr>
        <w:tc>
          <w:tcPr>
            <w:tcW w:w="9566" w:type="dxa"/>
            <w:tcBorders>
              <w:top w:val="single" w:sz="4" w:space="0" w:color="auto"/>
            </w:tcBorders>
            <w:shd w:val="clear" w:color="auto" w:fill="FFFFFF"/>
          </w:tcPr>
          <w:p w14:paraId="0F24DFD3" w14:textId="77777777" w:rsidR="008C76E0" w:rsidRPr="00BD7577" w:rsidRDefault="008C76E0" w:rsidP="008C76E0">
            <w:pPr>
              <w:pStyle w:val="Bodytext180"/>
              <w:shd w:val="clear" w:color="auto" w:fill="auto"/>
              <w:tabs>
                <w:tab w:val="left" w:pos="1656"/>
              </w:tabs>
              <w:spacing w:before="0" w:after="160" w:line="360" w:lineRule="auto"/>
              <w:ind w:firstLine="567"/>
              <w:rPr>
                <w:rFonts w:ascii="Sylfaen" w:hAnsi="Sylfaen"/>
                <w:b w:val="0"/>
                <w:sz w:val="24"/>
                <w:szCs w:val="24"/>
              </w:rPr>
            </w:pPr>
            <w:r>
              <w:rPr>
                <w:rStyle w:val="Bodytext295pt"/>
                <w:rFonts w:ascii="Sylfaen" w:hAnsi="Sylfaen"/>
                <w:spacing w:val="0"/>
                <w:sz w:val="24"/>
                <w:szCs w:val="24"/>
              </w:rPr>
              <w:t>4.7.5.</w:t>
            </w:r>
            <w:r w:rsidRPr="00BD7577">
              <w:rPr>
                <w:rStyle w:val="Bodytext295pt"/>
                <w:rFonts w:ascii="Sylfaen" w:hAnsi="Sylfaen"/>
                <w:spacing w:val="0"/>
                <w:sz w:val="24"/>
                <w:szCs w:val="24"/>
              </w:rPr>
              <w:tab/>
              <w:t>Խառնուկների հետազոտություններ:</w:t>
            </w:r>
          </w:p>
        </w:tc>
      </w:tr>
    </w:tbl>
    <w:p w14:paraId="0C9CFCC6" w14:textId="77777777" w:rsidR="008C76E0" w:rsidRPr="00BD7577" w:rsidRDefault="008C76E0" w:rsidP="008C76E0">
      <w:pPr>
        <w:rPr>
          <w:rFonts w:ascii="Sylfaen" w:hAnsi="Sylfaen"/>
          <w:sz w:val="24"/>
          <w:szCs w:val="24"/>
        </w:rPr>
      </w:pPr>
    </w:p>
    <w:tbl>
      <w:tblPr>
        <w:tblOverlap w:val="never"/>
        <w:tblW w:w="9615" w:type="dxa"/>
        <w:jc w:val="center"/>
        <w:tblLayout w:type="fixed"/>
        <w:tblCellMar>
          <w:left w:w="10" w:type="dxa"/>
          <w:right w:w="10" w:type="dxa"/>
        </w:tblCellMar>
        <w:tblLook w:val="04A0" w:firstRow="1" w:lastRow="0" w:firstColumn="1" w:lastColumn="0" w:noHBand="0" w:noVBand="1"/>
      </w:tblPr>
      <w:tblGrid>
        <w:gridCol w:w="9566"/>
        <w:gridCol w:w="49"/>
      </w:tblGrid>
      <w:tr w:rsidR="008C76E0" w:rsidRPr="00BD7577" w14:paraId="1769C99E" w14:textId="77777777" w:rsidTr="008C76E0">
        <w:trPr>
          <w:gridAfter w:val="1"/>
          <w:wAfter w:w="49" w:type="dxa"/>
          <w:jc w:val="center"/>
        </w:trPr>
        <w:tc>
          <w:tcPr>
            <w:tcW w:w="9566" w:type="dxa"/>
            <w:tcBorders>
              <w:top w:val="single" w:sz="4" w:space="0" w:color="auto"/>
              <w:left w:val="single" w:sz="4" w:space="0" w:color="auto"/>
              <w:bottom w:val="single" w:sz="4" w:space="0" w:color="auto"/>
              <w:right w:val="single" w:sz="4" w:space="0" w:color="auto"/>
            </w:tcBorders>
            <w:shd w:val="clear" w:color="auto" w:fill="FFFFFF"/>
          </w:tcPr>
          <w:p w14:paraId="7D99FC1C"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04CD1B8" w14:textId="77777777" w:rsidTr="008C76E0">
        <w:trPr>
          <w:trHeight w:val="616"/>
          <w:jc w:val="center"/>
        </w:trPr>
        <w:tc>
          <w:tcPr>
            <w:tcW w:w="9615" w:type="dxa"/>
            <w:gridSpan w:val="2"/>
            <w:shd w:val="clear" w:color="auto" w:fill="FFFFFF"/>
          </w:tcPr>
          <w:p w14:paraId="50686739" w14:textId="77777777" w:rsidR="008C76E0" w:rsidRPr="00BD7577" w:rsidRDefault="008C76E0" w:rsidP="008C76E0">
            <w:pPr>
              <w:pStyle w:val="Bodytext180"/>
              <w:shd w:val="clear" w:color="auto" w:fill="auto"/>
              <w:tabs>
                <w:tab w:val="left" w:pos="1680"/>
              </w:tabs>
              <w:spacing w:before="0" w:after="160" w:line="360" w:lineRule="auto"/>
              <w:ind w:firstLine="567"/>
              <w:rPr>
                <w:rFonts w:ascii="Sylfaen" w:hAnsi="Sylfaen"/>
                <w:b w:val="0"/>
                <w:sz w:val="24"/>
                <w:szCs w:val="24"/>
              </w:rPr>
            </w:pPr>
            <w:r>
              <w:rPr>
                <w:rStyle w:val="Bodytext295pt"/>
                <w:rFonts w:ascii="Sylfaen" w:hAnsi="Sylfaen"/>
                <w:spacing w:val="0"/>
                <w:sz w:val="24"/>
                <w:szCs w:val="24"/>
              </w:rPr>
              <w:t>4.7.6.</w:t>
            </w:r>
            <w:r w:rsidRPr="00BD7577">
              <w:rPr>
                <w:rStyle w:val="Bodytext295pt"/>
                <w:rFonts w:ascii="Sylfaen" w:hAnsi="Sylfaen"/>
                <w:spacing w:val="0"/>
                <w:sz w:val="24"/>
                <w:szCs w:val="24"/>
              </w:rPr>
              <w:tab/>
              <w:t>Այլ հետազոտություններ:</w:t>
            </w:r>
          </w:p>
        </w:tc>
      </w:tr>
    </w:tbl>
    <w:p w14:paraId="2E165BC8" w14:textId="77777777" w:rsidR="008C76E0" w:rsidRPr="00BD7577" w:rsidRDefault="008C76E0" w:rsidP="008C76E0">
      <w:pPr>
        <w:rPr>
          <w:rFonts w:ascii="Sylfaen" w:hAnsi="Sylfaen"/>
          <w:sz w:val="24"/>
          <w:szCs w:val="24"/>
        </w:rPr>
      </w:pPr>
    </w:p>
    <w:tbl>
      <w:tblPr>
        <w:tblOverlap w:val="never"/>
        <w:tblW w:w="9615" w:type="dxa"/>
        <w:jc w:val="center"/>
        <w:tblLayout w:type="fixed"/>
        <w:tblCellMar>
          <w:left w:w="10" w:type="dxa"/>
          <w:right w:w="10" w:type="dxa"/>
        </w:tblCellMar>
        <w:tblLook w:val="04A0" w:firstRow="1" w:lastRow="0" w:firstColumn="1" w:lastColumn="0" w:noHBand="0" w:noVBand="1"/>
      </w:tblPr>
      <w:tblGrid>
        <w:gridCol w:w="8242"/>
        <w:gridCol w:w="1373"/>
      </w:tblGrid>
      <w:tr w:rsidR="008C76E0" w:rsidRPr="00BD7577" w14:paraId="69DBBF36" w14:textId="77777777" w:rsidTr="008C76E0">
        <w:trPr>
          <w:jc w:val="center"/>
        </w:trPr>
        <w:tc>
          <w:tcPr>
            <w:tcW w:w="9615" w:type="dxa"/>
            <w:gridSpan w:val="2"/>
            <w:tcBorders>
              <w:top w:val="single" w:sz="4" w:space="0" w:color="auto"/>
              <w:left w:val="single" w:sz="4" w:space="0" w:color="auto"/>
              <w:right w:val="single" w:sz="4" w:space="0" w:color="auto"/>
            </w:tcBorders>
            <w:shd w:val="clear" w:color="auto" w:fill="FFFFFF"/>
          </w:tcPr>
          <w:p w14:paraId="2ACBDCA0"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DA07DE6" w14:textId="77777777" w:rsidTr="008C76E0">
        <w:trPr>
          <w:jc w:val="center"/>
        </w:trPr>
        <w:tc>
          <w:tcPr>
            <w:tcW w:w="9615" w:type="dxa"/>
            <w:gridSpan w:val="2"/>
            <w:tcBorders>
              <w:top w:val="single" w:sz="4" w:space="0" w:color="auto"/>
            </w:tcBorders>
            <w:shd w:val="clear" w:color="auto" w:fill="FFFFFF"/>
            <w:vAlign w:val="center"/>
          </w:tcPr>
          <w:p w14:paraId="2E4379B2" w14:textId="77777777" w:rsidR="008C76E0" w:rsidRPr="00BD7577" w:rsidRDefault="008C76E0" w:rsidP="008C76E0">
            <w:pPr>
              <w:pStyle w:val="Bodytext180"/>
              <w:shd w:val="clear" w:color="auto" w:fill="auto"/>
              <w:tabs>
                <w:tab w:val="left" w:pos="1113"/>
              </w:tabs>
              <w:spacing w:before="0" w:after="160" w:line="360" w:lineRule="auto"/>
              <w:ind w:right="119" w:firstLine="567"/>
              <w:jc w:val="both"/>
              <w:rPr>
                <w:rStyle w:val="Bodytext295pt"/>
                <w:rFonts w:ascii="Sylfaen" w:hAnsi="Sylfaen"/>
                <w:b/>
                <w:spacing w:val="0"/>
                <w:sz w:val="24"/>
                <w:szCs w:val="24"/>
              </w:rPr>
            </w:pPr>
            <w:r>
              <w:rPr>
                <w:rStyle w:val="Bodytext295pt"/>
                <w:rFonts w:ascii="Sylfaen" w:hAnsi="Sylfaen"/>
                <w:spacing w:val="0"/>
                <w:sz w:val="24"/>
                <w:szCs w:val="24"/>
              </w:rPr>
              <w:lastRenderedPageBreak/>
              <w:t>4.8.</w:t>
            </w:r>
            <w:r w:rsidRPr="00BD7577">
              <w:rPr>
                <w:rStyle w:val="Bodytext295pt"/>
                <w:rFonts w:ascii="Sylfaen" w:hAnsi="Sylfaen"/>
                <w:spacing w:val="0"/>
                <w:sz w:val="24"/>
                <w:szCs w:val="24"/>
              </w:rPr>
              <w:tab/>
              <w:t>Գնահատման գծով փորձագետի՝թունաբանության վերաբերյալ ընդհանուր եզրակացությունը:</w:t>
            </w:r>
          </w:p>
        </w:tc>
      </w:tr>
      <w:tr w:rsidR="008C76E0" w:rsidRPr="00BD7577" w14:paraId="570FFECF" w14:textId="77777777" w:rsidTr="008C76E0">
        <w:trPr>
          <w:jc w:val="center"/>
        </w:trPr>
        <w:tc>
          <w:tcPr>
            <w:tcW w:w="9615" w:type="dxa"/>
            <w:gridSpan w:val="2"/>
            <w:shd w:val="clear" w:color="auto" w:fill="FFFFFF"/>
            <w:vAlign w:val="center"/>
          </w:tcPr>
          <w:p w14:paraId="410AD166" w14:textId="77777777" w:rsidR="008C76E0" w:rsidRPr="00BD7577" w:rsidRDefault="008C76E0" w:rsidP="008C76E0">
            <w:pPr>
              <w:pStyle w:val="Bodytext180"/>
              <w:shd w:val="clear" w:color="auto" w:fill="auto"/>
              <w:tabs>
                <w:tab w:val="left" w:pos="1113"/>
              </w:tabs>
              <w:spacing w:before="0" w:after="160" w:line="360" w:lineRule="auto"/>
              <w:ind w:firstLine="567"/>
              <w:rPr>
                <w:rStyle w:val="Bodytext295pt"/>
                <w:rFonts w:ascii="Sylfaen" w:hAnsi="Sylfaen"/>
                <w:b/>
                <w:spacing w:val="0"/>
                <w:sz w:val="24"/>
                <w:szCs w:val="24"/>
              </w:rPr>
            </w:pPr>
            <w:r>
              <w:rPr>
                <w:rStyle w:val="Bodytext295pt"/>
                <w:rFonts w:ascii="Sylfaen" w:hAnsi="Sylfaen"/>
                <w:spacing w:val="0"/>
                <w:sz w:val="24"/>
                <w:szCs w:val="24"/>
              </w:rPr>
              <w:t>5.</w:t>
            </w:r>
            <w:r w:rsidRPr="00BD7577">
              <w:rPr>
                <w:rStyle w:val="Bodytext295pt"/>
                <w:rFonts w:ascii="Sylfaen" w:hAnsi="Sylfaen"/>
                <w:spacing w:val="0"/>
                <w:sz w:val="24"/>
                <w:szCs w:val="24"/>
              </w:rPr>
              <w:tab/>
              <w:t>Գրականության ցանկը:</w:t>
            </w:r>
          </w:p>
        </w:tc>
      </w:tr>
      <w:tr w:rsidR="008C76E0" w:rsidRPr="00BD7577" w14:paraId="7BB004D7" w14:textId="77777777" w:rsidTr="008C76E0">
        <w:trPr>
          <w:jc w:val="center"/>
        </w:trPr>
        <w:tc>
          <w:tcPr>
            <w:tcW w:w="9615" w:type="dxa"/>
            <w:gridSpan w:val="2"/>
            <w:shd w:val="clear" w:color="auto" w:fill="FFFFFF"/>
            <w:vAlign w:val="center"/>
          </w:tcPr>
          <w:p w14:paraId="1BAF335A" w14:textId="77777777" w:rsidR="008C76E0" w:rsidRPr="00B96454" w:rsidRDefault="008C76E0" w:rsidP="008C76E0">
            <w:pPr>
              <w:pStyle w:val="Bodytext180"/>
              <w:shd w:val="clear" w:color="auto" w:fill="auto"/>
              <w:tabs>
                <w:tab w:val="left" w:pos="1113"/>
              </w:tabs>
              <w:spacing w:before="0" w:after="160" w:line="360" w:lineRule="auto"/>
              <w:ind w:right="119" w:firstLine="567"/>
              <w:jc w:val="both"/>
              <w:rPr>
                <w:rStyle w:val="Bodytext295pt"/>
                <w:rFonts w:ascii="Sylfaen" w:hAnsi="Sylfaen"/>
                <w:spacing w:val="0"/>
                <w:sz w:val="24"/>
                <w:szCs w:val="24"/>
              </w:rPr>
            </w:pPr>
            <w:r w:rsidRPr="00BD7577">
              <w:rPr>
                <w:rStyle w:val="Bodytext295pt"/>
                <w:rFonts w:ascii="Sylfaen" w:hAnsi="Sylfaen"/>
                <w:spacing w:val="0"/>
                <w:sz w:val="24"/>
                <w:szCs w:val="24"/>
              </w:rPr>
              <w:t>6.</w:t>
            </w:r>
            <w:r w:rsidRPr="00BD7577">
              <w:rPr>
                <w:rStyle w:val="Bodytext295pt"/>
                <w:rFonts w:ascii="Sylfaen" w:hAnsi="Sylfaen"/>
                <w:spacing w:val="0"/>
                <w:sz w:val="24"/>
                <w:szCs w:val="24"/>
              </w:rPr>
              <w:tab/>
              <w:t>Փորձագետի կողմից անցկացված փորձագիտության շրջանակներում բերված դիտողությունների ցանկը:</w:t>
            </w:r>
          </w:p>
          <w:p w14:paraId="2B51C99B" w14:textId="77777777" w:rsidR="008C76E0" w:rsidRPr="00B96454" w:rsidRDefault="008C76E0" w:rsidP="008C76E0">
            <w:pPr>
              <w:pStyle w:val="Bodytext180"/>
              <w:shd w:val="clear" w:color="auto" w:fill="auto"/>
              <w:tabs>
                <w:tab w:val="left" w:pos="1113"/>
              </w:tabs>
              <w:spacing w:before="0" w:after="160" w:line="360" w:lineRule="auto"/>
              <w:ind w:right="119" w:firstLine="567"/>
              <w:jc w:val="both"/>
              <w:rPr>
                <w:rStyle w:val="Bodytext295pt"/>
                <w:rFonts w:ascii="Sylfaen" w:hAnsi="Sylfaen"/>
                <w:b/>
                <w:spacing w:val="0"/>
                <w:sz w:val="24"/>
                <w:szCs w:val="24"/>
              </w:rPr>
            </w:pPr>
          </w:p>
        </w:tc>
      </w:tr>
      <w:tr w:rsidR="008C76E0" w:rsidRPr="00BD7577" w14:paraId="3A79416A" w14:textId="77777777" w:rsidTr="008C76E0">
        <w:trPr>
          <w:jc w:val="center"/>
        </w:trPr>
        <w:tc>
          <w:tcPr>
            <w:tcW w:w="9615" w:type="dxa"/>
            <w:gridSpan w:val="2"/>
            <w:tcBorders>
              <w:top w:val="single" w:sz="4" w:space="0" w:color="auto"/>
              <w:right w:val="single" w:sz="4" w:space="0" w:color="auto"/>
            </w:tcBorders>
            <w:shd w:val="clear" w:color="auto" w:fill="FFFFFF"/>
            <w:vAlign w:val="center"/>
          </w:tcPr>
          <w:p w14:paraId="2AB69B87" w14:textId="77777777" w:rsidR="008C76E0" w:rsidRPr="00BD7577" w:rsidRDefault="008C76E0" w:rsidP="008C76E0">
            <w:pPr>
              <w:pStyle w:val="Bodytext180"/>
              <w:shd w:val="clear" w:color="auto" w:fill="auto"/>
              <w:spacing w:before="0" w:after="160" w:line="360" w:lineRule="auto"/>
              <w:ind w:left="220" w:firstLine="0"/>
              <w:rPr>
                <w:rFonts w:ascii="Sylfaen" w:hAnsi="Sylfaen"/>
                <w:b w:val="0"/>
                <w:sz w:val="24"/>
                <w:szCs w:val="24"/>
              </w:rPr>
            </w:pPr>
            <w:r w:rsidRPr="00BD7577">
              <w:rPr>
                <w:rStyle w:val="Bodytext295pt"/>
                <w:rFonts w:ascii="Sylfaen" w:hAnsi="Sylfaen"/>
                <w:spacing w:val="0"/>
                <w:sz w:val="24"/>
                <w:szCs w:val="24"/>
              </w:rPr>
              <w:t>ԿՐԻՏԻԿԱԿԱՆ ԴԻՏՈՂՈՒԹՅՈՒՆՆԵՐ</w:t>
            </w:r>
          </w:p>
        </w:tc>
      </w:tr>
      <w:tr w:rsidR="008C76E0" w:rsidRPr="00BD7577" w14:paraId="4EBAA1BE" w14:textId="77777777" w:rsidTr="008C76E0">
        <w:trPr>
          <w:jc w:val="center"/>
        </w:trPr>
        <w:tc>
          <w:tcPr>
            <w:tcW w:w="8242" w:type="dxa"/>
            <w:tcBorders>
              <w:top w:val="single" w:sz="4" w:space="0" w:color="auto"/>
            </w:tcBorders>
            <w:shd w:val="clear" w:color="auto" w:fill="FFFFFF"/>
            <w:vAlign w:val="center"/>
          </w:tcPr>
          <w:p w14:paraId="58CF6243"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Դեղաբանություն:</w:t>
            </w:r>
          </w:p>
        </w:tc>
        <w:tc>
          <w:tcPr>
            <w:tcW w:w="1373" w:type="dxa"/>
            <w:tcBorders>
              <w:top w:val="single" w:sz="4" w:space="0" w:color="auto"/>
            </w:tcBorders>
            <w:shd w:val="clear" w:color="auto" w:fill="FFFFFF"/>
          </w:tcPr>
          <w:p w14:paraId="26F98D9E" w14:textId="77777777" w:rsidR="008C76E0" w:rsidRPr="00BD7577" w:rsidRDefault="008C76E0" w:rsidP="008C76E0">
            <w:pPr>
              <w:rPr>
                <w:rFonts w:ascii="Sylfaen" w:hAnsi="Sylfaen"/>
                <w:sz w:val="24"/>
                <w:szCs w:val="24"/>
              </w:rPr>
            </w:pPr>
          </w:p>
        </w:tc>
      </w:tr>
      <w:tr w:rsidR="008C76E0" w:rsidRPr="00BD7577" w14:paraId="55F62244" w14:textId="77777777" w:rsidTr="008C76E0">
        <w:trPr>
          <w:jc w:val="center"/>
        </w:trPr>
        <w:tc>
          <w:tcPr>
            <w:tcW w:w="8242" w:type="dxa"/>
            <w:shd w:val="clear" w:color="auto" w:fill="FFFFFF"/>
            <w:vAlign w:val="center"/>
          </w:tcPr>
          <w:p w14:paraId="68DBCA77"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Դեղակինետիկա։</w:t>
            </w:r>
          </w:p>
        </w:tc>
        <w:tc>
          <w:tcPr>
            <w:tcW w:w="1373" w:type="dxa"/>
            <w:shd w:val="clear" w:color="auto" w:fill="FFFFFF"/>
          </w:tcPr>
          <w:p w14:paraId="52F32C45" w14:textId="77777777" w:rsidR="008C76E0" w:rsidRPr="00BD7577" w:rsidRDefault="008C76E0" w:rsidP="008C76E0">
            <w:pPr>
              <w:rPr>
                <w:rFonts w:ascii="Sylfaen" w:hAnsi="Sylfaen"/>
                <w:sz w:val="24"/>
                <w:szCs w:val="24"/>
              </w:rPr>
            </w:pPr>
          </w:p>
        </w:tc>
      </w:tr>
      <w:tr w:rsidR="008C76E0" w:rsidRPr="00BD7577" w14:paraId="65F4DF56" w14:textId="77777777" w:rsidTr="008C76E0">
        <w:trPr>
          <w:jc w:val="center"/>
        </w:trPr>
        <w:tc>
          <w:tcPr>
            <w:tcW w:w="8242" w:type="dxa"/>
            <w:shd w:val="clear" w:color="auto" w:fill="FFFFFF"/>
            <w:vAlign w:val="center"/>
          </w:tcPr>
          <w:p w14:paraId="5E8D6451"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Թունաբանություն:</w:t>
            </w:r>
          </w:p>
        </w:tc>
        <w:tc>
          <w:tcPr>
            <w:tcW w:w="1373" w:type="dxa"/>
            <w:shd w:val="clear" w:color="auto" w:fill="FFFFFF"/>
          </w:tcPr>
          <w:p w14:paraId="714E5A8E" w14:textId="77777777" w:rsidR="008C76E0" w:rsidRPr="00BD7577" w:rsidRDefault="008C76E0" w:rsidP="008C76E0">
            <w:pPr>
              <w:rPr>
                <w:rFonts w:ascii="Sylfaen" w:hAnsi="Sylfaen"/>
                <w:sz w:val="24"/>
                <w:szCs w:val="24"/>
              </w:rPr>
            </w:pPr>
          </w:p>
        </w:tc>
      </w:tr>
      <w:tr w:rsidR="008C76E0" w:rsidRPr="00BD7577" w14:paraId="003A8AD1" w14:textId="77777777" w:rsidTr="008C76E0">
        <w:trPr>
          <w:jc w:val="center"/>
        </w:trPr>
        <w:tc>
          <w:tcPr>
            <w:tcW w:w="9615" w:type="dxa"/>
            <w:gridSpan w:val="2"/>
            <w:tcBorders>
              <w:top w:val="single" w:sz="4" w:space="0" w:color="auto"/>
              <w:right w:val="single" w:sz="4" w:space="0" w:color="auto"/>
            </w:tcBorders>
            <w:shd w:val="clear" w:color="auto" w:fill="FFFFFF"/>
            <w:vAlign w:val="center"/>
          </w:tcPr>
          <w:p w14:paraId="7E28D9DA"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ԱՅԼ ԴԻՏՈՂՈՒԹՅՈՒՆՆԵՐ</w:t>
            </w:r>
          </w:p>
        </w:tc>
      </w:tr>
      <w:tr w:rsidR="008C76E0" w:rsidRPr="00BD7577" w14:paraId="4EAFDBF2" w14:textId="77777777" w:rsidTr="008C76E0">
        <w:trPr>
          <w:jc w:val="center"/>
        </w:trPr>
        <w:tc>
          <w:tcPr>
            <w:tcW w:w="8242" w:type="dxa"/>
            <w:tcBorders>
              <w:top w:val="single" w:sz="4" w:space="0" w:color="auto"/>
            </w:tcBorders>
            <w:shd w:val="clear" w:color="auto" w:fill="FFFFFF"/>
            <w:vAlign w:val="center"/>
          </w:tcPr>
          <w:p w14:paraId="60EC28E6"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Դեղաբանություն:</w:t>
            </w:r>
          </w:p>
        </w:tc>
        <w:tc>
          <w:tcPr>
            <w:tcW w:w="1373" w:type="dxa"/>
            <w:tcBorders>
              <w:top w:val="single" w:sz="4" w:space="0" w:color="auto"/>
            </w:tcBorders>
            <w:shd w:val="clear" w:color="auto" w:fill="FFFFFF"/>
          </w:tcPr>
          <w:p w14:paraId="5EE9E981" w14:textId="77777777" w:rsidR="008C76E0" w:rsidRPr="00BD7577" w:rsidRDefault="008C76E0" w:rsidP="008C76E0">
            <w:pPr>
              <w:rPr>
                <w:rFonts w:ascii="Sylfaen" w:hAnsi="Sylfaen"/>
                <w:sz w:val="24"/>
                <w:szCs w:val="24"/>
              </w:rPr>
            </w:pPr>
          </w:p>
        </w:tc>
      </w:tr>
      <w:tr w:rsidR="008C76E0" w:rsidRPr="00BD7577" w14:paraId="1527746C" w14:textId="77777777" w:rsidTr="008C76E0">
        <w:trPr>
          <w:jc w:val="center"/>
        </w:trPr>
        <w:tc>
          <w:tcPr>
            <w:tcW w:w="8242" w:type="dxa"/>
            <w:shd w:val="clear" w:color="auto" w:fill="FFFFFF"/>
            <w:vAlign w:val="center"/>
          </w:tcPr>
          <w:p w14:paraId="4B95A3D6"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Դեղակինետիկա։</w:t>
            </w:r>
          </w:p>
        </w:tc>
        <w:tc>
          <w:tcPr>
            <w:tcW w:w="1373" w:type="dxa"/>
            <w:shd w:val="clear" w:color="auto" w:fill="FFFFFF"/>
          </w:tcPr>
          <w:p w14:paraId="46BB292D" w14:textId="77777777" w:rsidR="008C76E0" w:rsidRPr="00BD7577" w:rsidRDefault="008C76E0" w:rsidP="008C76E0">
            <w:pPr>
              <w:rPr>
                <w:rFonts w:ascii="Sylfaen" w:hAnsi="Sylfaen"/>
                <w:sz w:val="24"/>
                <w:szCs w:val="24"/>
              </w:rPr>
            </w:pPr>
          </w:p>
        </w:tc>
      </w:tr>
      <w:tr w:rsidR="008C76E0" w:rsidRPr="00BD7577" w14:paraId="066F85D1" w14:textId="77777777" w:rsidTr="008C76E0">
        <w:trPr>
          <w:jc w:val="center"/>
        </w:trPr>
        <w:tc>
          <w:tcPr>
            <w:tcW w:w="8242" w:type="dxa"/>
            <w:shd w:val="clear" w:color="auto" w:fill="FFFFFF"/>
            <w:vAlign w:val="center"/>
          </w:tcPr>
          <w:p w14:paraId="25AA1B3E" w14:textId="77777777" w:rsidR="008C76E0" w:rsidRPr="00BD7577" w:rsidRDefault="008C76E0" w:rsidP="008C76E0">
            <w:pPr>
              <w:pStyle w:val="Bodytext180"/>
              <w:shd w:val="clear" w:color="auto" w:fill="auto"/>
              <w:spacing w:before="0" w:after="160" w:line="360" w:lineRule="auto"/>
              <w:ind w:left="120" w:firstLine="0"/>
              <w:rPr>
                <w:rFonts w:ascii="Sylfaen" w:hAnsi="Sylfaen"/>
                <w:b w:val="0"/>
                <w:sz w:val="24"/>
                <w:szCs w:val="24"/>
              </w:rPr>
            </w:pPr>
            <w:r w:rsidRPr="00BD7577">
              <w:rPr>
                <w:rStyle w:val="Bodytext295pt"/>
                <w:rFonts w:ascii="Sylfaen" w:hAnsi="Sylfaen"/>
                <w:spacing w:val="0"/>
                <w:sz w:val="24"/>
                <w:szCs w:val="24"/>
              </w:rPr>
              <w:t>Թունաբանություն:</w:t>
            </w:r>
          </w:p>
        </w:tc>
        <w:tc>
          <w:tcPr>
            <w:tcW w:w="1373" w:type="dxa"/>
            <w:shd w:val="clear" w:color="auto" w:fill="FFFFFF"/>
          </w:tcPr>
          <w:p w14:paraId="09E3E25B" w14:textId="77777777" w:rsidR="008C76E0" w:rsidRPr="00BD7577" w:rsidRDefault="008C76E0" w:rsidP="008C76E0">
            <w:pPr>
              <w:rPr>
                <w:rFonts w:ascii="Sylfaen" w:hAnsi="Sylfaen"/>
                <w:sz w:val="24"/>
                <w:szCs w:val="24"/>
              </w:rPr>
            </w:pPr>
          </w:p>
        </w:tc>
      </w:tr>
      <w:tr w:rsidR="008C76E0" w:rsidRPr="00BD7577" w14:paraId="22BD8664" w14:textId="77777777" w:rsidTr="008C76E0">
        <w:trPr>
          <w:jc w:val="center"/>
        </w:trPr>
        <w:tc>
          <w:tcPr>
            <w:tcW w:w="9615" w:type="dxa"/>
            <w:gridSpan w:val="2"/>
            <w:tcBorders>
              <w:top w:val="single" w:sz="4" w:space="0" w:color="auto"/>
              <w:right w:val="single" w:sz="4" w:space="0" w:color="auto"/>
            </w:tcBorders>
            <w:shd w:val="clear" w:color="auto" w:fill="FFFFFF"/>
            <w:vAlign w:val="center"/>
          </w:tcPr>
          <w:p w14:paraId="7F6D64B6" w14:textId="77777777" w:rsidR="008C76E0" w:rsidRPr="00BD7577" w:rsidRDefault="008C76E0" w:rsidP="008C76E0">
            <w:pPr>
              <w:pStyle w:val="Bodytext180"/>
              <w:shd w:val="clear" w:color="auto" w:fill="auto"/>
              <w:spacing w:before="0" w:after="160" w:line="360" w:lineRule="auto"/>
              <w:ind w:left="240" w:firstLine="0"/>
              <w:rPr>
                <w:rFonts w:ascii="Sylfaen" w:hAnsi="Sylfaen"/>
                <w:b w:val="0"/>
                <w:sz w:val="24"/>
                <w:szCs w:val="24"/>
              </w:rPr>
            </w:pPr>
            <w:r w:rsidRPr="00BD7577">
              <w:rPr>
                <w:rFonts w:ascii="Sylfaen" w:hAnsi="Sylfaen"/>
                <w:b w:val="0"/>
                <w:sz w:val="24"/>
                <w:szCs w:val="24"/>
              </w:rPr>
              <w:t>ՀԱՆՁՆԱՐԱՐԱԿԱՆՆԵՐ</w:t>
            </w:r>
          </w:p>
        </w:tc>
      </w:tr>
      <w:tr w:rsidR="008C76E0" w:rsidRPr="00BD7577" w14:paraId="3FA81A36" w14:textId="77777777" w:rsidTr="008C76E0">
        <w:trPr>
          <w:jc w:val="center"/>
        </w:trPr>
        <w:tc>
          <w:tcPr>
            <w:tcW w:w="9615" w:type="dxa"/>
            <w:gridSpan w:val="2"/>
            <w:tcBorders>
              <w:top w:val="single" w:sz="4" w:space="0" w:color="auto"/>
            </w:tcBorders>
            <w:shd w:val="clear" w:color="auto" w:fill="FFFFFF"/>
            <w:vAlign w:val="bottom"/>
          </w:tcPr>
          <w:p w14:paraId="5BD96FEF" w14:textId="77777777" w:rsidR="008C76E0" w:rsidRPr="008C76E0" w:rsidRDefault="008C76E0" w:rsidP="008C76E0">
            <w:pPr>
              <w:pStyle w:val="Bodytext180"/>
              <w:shd w:val="clear" w:color="auto" w:fill="auto"/>
              <w:tabs>
                <w:tab w:val="left" w:pos="1117"/>
              </w:tabs>
              <w:spacing w:before="0" w:after="160" w:line="360" w:lineRule="auto"/>
              <w:ind w:firstLine="546"/>
              <w:jc w:val="both"/>
              <w:rPr>
                <w:rFonts w:ascii="Sylfaen" w:hAnsi="Sylfaen"/>
                <w:b w:val="0"/>
                <w:sz w:val="24"/>
                <w:szCs w:val="24"/>
                <w:lang w:val="hy-AM"/>
              </w:rPr>
            </w:pPr>
            <w:r>
              <w:rPr>
                <w:rStyle w:val="Bodytext295pt"/>
                <w:rFonts w:ascii="Sylfaen" w:hAnsi="Sylfaen"/>
                <w:spacing w:val="0"/>
                <w:sz w:val="24"/>
                <w:szCs w:val="24"/>
              </w:rPr>
              <w:t>7.</w:t>
            </w:r>
            <w:r w:rsidRPr="00BD7577">
              <w:rPr>
                <w:rStyle w:val="Bodytext295pt"/>
                <w:rFonts w:ascii="Sylfaen" w:hAnsi="Sylfaen"/>
                <w:spacing w:val="0"/>
                <w:sz w:val="24"/>
                <w:szCs w:val="24"/>
              </w:rPr>
              <w:tab/>
              <w:t xml:space="preserve">Փորձագետի կողմից առաջարկվող պայմանները, որոնց կատարումն անհրաժեշտ է հայտատուի կողմից գրանցման հավաստագիրը ստանալուց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դեղապատրաստուկի ընդհանուր բնութագիրը, բժշկական կիրառման ցուցումները (ներդիր թերթիկը)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դեղապատրաստուկի փաթեթվածքի դիզայնը հաստատելուց հետո: </w:t>
            </w:r>
          </w:p>
        </w:tc>
      </w:tr>
    </w:tbl>
    <w:p w14:paraId="2F026328" w14:textId="77777777" w:rsidR="008C76E0" w:rsidRDefault="008C76E0" w:rsidP="008C76E0">
      <w:pPr>
        <w:ind w:left="4395" w:right="-1"/>
        <w:jc w:val="center"/>
        <w:rPr>
          <w:rFonts w:ascii="Sylfaen" w:hAnsi="Sylfaen"/>
          <w:sz w:val="24"/>
          <w:szCs w:val="24"/>
        </w:rPr>
        <w:sectPr w:rsidR="008C76E0" w:rsidSect="00903D92">
          <w:type w:val="continuous"/>
          <w:pgSz w:w="11907" w:h="16839" w:code="9"/>
          <w:pgMar w:top="1418" w:right="1418" w:bottom="1418" w:left="1418" w:header="0" w:footer="6" w:gutter="0"/>
          <w:cols w:space="720"/>
          <w:noEndnote/>
          <w:docGrid w:linePitch="360"/>
        </w:sectPr>
      </w:pPr>
    </w:p>
    <w:p w14:paraId="09A2D1B2" w14:textId="77777777" w:rsidR="00591274" w:rsidRDefault="00591274" w:rsidP="008C76E0">
      <w:pPr>
        <w:ind w:left="4395" w:right="-1"/>
        <w:jc w:val="center"/>
        <w:rPr>
          <w:rFonts w:ascii="Sylfaen" w:hAnsi="Sylfaen"/>
          <w:sz w:val="24"/>
          <w:szCs w:val="24"/>
        </w:rPr>
        <w:sectPr w:rsidR="00591274" w:rsidSect="00903D92">
          <w:type w:val="continuous"/>
          <w:pgSz w:w="11907" w:h="16839" w:code="9"/>
          <w:pgMar w:top="1418" w:right="1418" w:bottom="1418" w:left="1418" w:header="0" w:footer="6" w:gutter="0"/>
          <w:cols w:space="720"/>
          <w:noEndnote/>
          <w:docGrid w:linePitch="360"/>
        </w:sectPr>
      </w:pPr>
    </w:p>
    <w:p w14:paraId="46535D2D" w14:textId="77777777" w:rsidR="008C76E0" w:rsidRPr="00BD7577" w:rsidRDefault="008C76E0" w:rsidP="001C3278">
      <w:pPr>
        <w:spacing w:after="160" w:line="360" w:lineRule="auto"/>
        <w:ind w:left="4395" w:right="-1"/>
        <w:jc w:val="center"/>
        <w:rPr>
          <w:rFonts w:ascii="Sylfaen" w:hAnsi="Sylfaen"/>
          <w:sz w:val="24"/>
          <w:szCs w:val="24"/>
        </w:rPr>
      </w:pPr>
      <w:r w:rsidRPr="00BD7577">
        <w:rPr>
          <w:rFonts w:ascii="Sylfaen" w:hAnsi="Sylfaen"/>
          <w:sz w:val="24"/>
          <w:szCs w:val="24"/>
        </w:rPr>
        <w:lastRenderedPageBreak/>
        <w:t>ՀԱՎԵԼՎԱԾ ԹԻՎ 7</w:t>
      </w:r>
      <w:r w:rsidRPr="00BD7577">
        <w:rPr>
          <w:rFonts w:ascii="Sylfaen" w:hAnsi="Sylfaen"/>
          <w:sz w:val="24"/>
          <w:szCs w:val="24"/>
        </w:rPr>
        <w:br/>
        <w:t xml:space="preserve">Բժշկական կիրառության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072A5414" w14:textId="77777777" w:rsidR="008C76E0" w:rsidRPr="00BD7577" w:rsidRDefault="008C76E0" w:rsidP="001C3278">
      <w:pPr>
        <w:spacing w:after="160" w:line="360" w:lineRule="auto"/>
        <w:ind w:left="5103" w:right="260"/>
        <w:rPr>
          <w:rFonts w:ascii="Sylfaen" w:hAnsi="Sylfaen"/>
          <w:sz w:val="24"/>
          <w:szCs w:val="24"/>
        </w:rPr>
      </w:pPr>
    </w:p>
    <w:p w14:paraId="7DE836BD" w14:textId="77777777" w:rsidR="008C76E0" w:rsidRPr="008C76E0" w:rsidRDefault="008C76E0" w:rsidP="001C3278">
      <w:pPr>
        <w:pStyle w:val="Heading120"/>
        <w:shd w:val="clear" w:color="auto" w:fill="auto"/>
        <w:spacing w:before="0" w:after="160" w:line="360" w:lineRule="auto"/>
        <w:ind w:left="40"/>
        <w:outlineLvl w:val="9"/>
        <w:rPr>
          <w:rFonts w:ascii="Sylfaen" w:hAnsi="Sylfaen"/>
          <w:b w:val="0"/>
          <w:sz w:val="24"/>
          <w:szCs w:val="24"/>
          <w:lang w:val="hy-AM"/>
        </w:rPr>
      </w:pPr>
      <w:r w:rsidRPr="001F38CC">
        <w:rPr>
          <w:rStyle w:val="Heading12Spacing1pt"/>
          <w:rFonts w:ascii="Sylfaen" w:hAnsi="Sylfaen"/>
          <w:b/>
          <w:spacing w:val="0"/>
          <w:sz w:val="24"/>
          <w:szCs w:val="24"/>
        </w:rPr>
        <w:t>ՁԵՎ</w:t>
      </w:r>
    </w:p>
    <w:p w14:paraId="5088E8B2" w14:textId="77777777" w:rsidR="008C76E0" w:rsidRPr="008C76E0" w:rsidRDefault="008C76E0" w:rsidP="001C3278">
      <w:pPr>
        <w:pStyle w:val="Bodytext130"/>
        <w:shd w:val="clear" w:color="auto" w:fill="auto"/>
        <w:spacing w:after="160" w:line="360" w:lineRule="auto"/>
        <w:ind w:left="40"/>
        <w:rPr>
          <w:rFonts w:ascii="Sylfaen" w:hAnsi="Sylfaen"/>
          <w:sz w:val="24"/>
          <w:szCs w:val="24"/>
          <w:lang w:val="hy-AM"/>
        </w:rPr>
      </w:pPr>
      <w:r w:rsidRPr="008C76E0">
        <w:rPr>
          <w:rFonts w:ascii="Sylfaen" w:hAnsi="Sylfaen"/>
          <w:sz w:val="24"/>
          <w:szCs w:val="24"/>
          <w:lang w:val="hy-AM"/>
        </w:rPr>
        <w:t>կլինիկական հետազոտությունների գնահատման գծով փորձագետի հաշվետվության</w:t>
      </w:r>
    </w:p>
    <w:p w14:paraId="2F53CE34" w14:textId="77777777" w:rsidR="008C76E0" w:rsidRPr="00BD7577" w:rsidRDefault="008C76E0" w:rsidP="001C3278">
      <w:pPr>
        <w:spacing w:after="160" w:line="360" w:lineRule="auto"/>
        <w:ind w:right="160"/>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ը)</w:t>
      </w:r>
    </w:p>
    <w:p w14:paraId="3D1A7D0E" w14:textId="77777777" w:rsidR="008C76E0" w:rsidRPr="00BD7577" w:rsidRDefault="008C76E0" w:rsidP="001C3278">
      <w:pPr>
        <w:spacing w:after="160" w:line="360" w:lineRule="auto"/>
        <w:ind w:left="40"/>
        <w:jc w:val="center"/>
        <w:rPr>
          <w:rFonts w:ascii="Sylfaen" w:hAnsi="Sylfaen"/>
          <w:sz w:val="24"/>
          <w:szCs w:val="24"/>
        </w:rPr>
      </w:pPr>
      <w:r w:rsidRPr="00BD7577">
        <w:rPr>
          <w:rFonts w:ascii="Sylfaen" w:hAnsi="Sylfaen"/>
          <w:sz w:val="24"/>
          <w:szCs w:val="24"/>
        </w:rPr>
        <w:t>ՀԱՇՎԵՏՎՈՒԹՅՈՒՆ</w:t>
      </w:r>
    </w:p>
    <w:p w14:paraId="3C3C4599" w14:textId="77777777" w:rsidR="008C76E0" w:rsidRPr="00DD61E4" w:rsidRDefault="008C76E0" w:rsidP="001C3278">
      <w:pPr>
        <w:spacing w:after="160" w:line="360" w:lineRule="auto"/>
        <w:ind w:left="40"/>
        <w:jc w:val="center"/>
        <w:rPr>
          <w:rFonts w:ascii="Sylfaen" w:hAnsi="Sylfaen"/>
          <w:sz w:val="24"/>
          <w:szCs w:val="24"/>
        </w:rPr>
      </w:pPr>
      <w:r w:rsidRPr="00BD7577">
        <w:rPr>
          <w:rFonts w:ascii="Sylfaen" w:hAnsi="Sylfaen"/>
          <w:sz w:val="24"/>
          <w:szCs w:val="24"/>
        </w:rPr>
        <w:t>կլինիկական հետազոտությունների գնահատման գծով փորձագետի</w:t>
      </w:r>
    </w:p>
    <w:p w14:paraId="6F46CB4E" w14:textId="77777777" w:rsidR="008C76E0" w:rsidRPr="00DD61E4" w:rsidRDefault="008C76E0" w:rsidP="001C3278">
      <w:pPr>
        <w:spacing w:after="160" w:line="360" w:lineRule="auto"/>
        <w:ind w:left="40"/>
        <w:jc w:val="center"/>
        <w:rPr>
          <w:rFonts w:ascii="Sylfaen" w:hAnsi="Sylfaen"/>
          <w:sz w:val="24"/>
          <w:szCs w:val="24"/>
        </w:rPr>
      </w:pPr>
    </w:p>
    <w:p w14:paraId="09F26F8B" w14:textId="77777777" w:rsidR="008C76E0" w:rsidRPr="00BD7577" w:rsidRDefault="008C76E0" w:rsidP="001C3278">
      <w:pPr>
        <w:spacing w:after="160" w:line="360" w:lineRule="auto"/>
        <w:ind w:left="40"/>
        <w:rPr>
          <w:rFonts w:ascii="Sylfaen" w:hAnsi="Sylfaen"/>
          <w:sz w:val="24"/>
          <w:szCs w:val="24"/>
        </w:rPr>
      </w:pPr>
      <w:r w:rsidRPr="00BD7577">
        <w:rPr>
          <w:rFonts w:ascii="Sylfaen" w:hAnsi="Sylfaen"/>
          <w:sz w:val="24"/>
          <w:szCs w:val="24"/>
        </w:rPr>
        <w:t>Վարչական տեղեկատվություն</w:t>
      </w:r>
    </w:p>
    <w:tbl>
      <w:tblPr>
        <w:tblOverlap w:val="never"/>
        <w:tblW w:w="10186" w:type="dxa"/>
        <w:jc w:val="center"/>
        <w:tblLayout w:type="fixed"/>
        <w:tblCellMar>
          <w:left w:w="10" w:type="dxa"/>
          <w:right w:w="10" w:type="dxa"/>
        </w:tblCellMar>
        <w:tblLook w:val="04A0" w:firstRow="1" w:lastRow="0" w:firstColumn="1" w:lastColumn="0" w:noHBand="0" w:noVBand="1"/>
      </w:tblPr>
      <w:tblGrid>
        <w:gridCol w:w="5357"/>
        <w:gridCol w:w="4829"/>
      </w:tblGrid>
      <w:tr w:rsidR="008C76E0" w:rsidRPr="00BD7577" w14:paraId="4411A330" w14:textId="77777777" w:rsidTr="008C76E0">
        <w:trPr>
          <w:jc w:val="center"/>
        </w:trPr>
        <w:tc>
          <w:tcPr>
            <w:tcW w:w="5357" w:type="dxa"/>
            <w:tcBorders>
              <w:top w:val="single" w:sz="4" w:space="0" w:color="auto"/>
              <w:left w:val="single" w:sz="4" w:space="0" w:color="auto"/>
            </w:tcBorders>
            <w:shd w:val="clear" w:color="auto" w:fill="FFFFFF"/>
          </w:tcPr>
          <w:p w14:paraId="34ADD2E1" w14:textId="77777777" w:rsidR="008C76E0" w:rsidRPr="00BD7577" w:rsidRDefault="008C76E0" w:rsidP="008C76E0">
            <w:pPr>
              <w:pStyle w:val="Bodytext180"/>
              <w:shd w:val="clear" w:color="auto" w:fill="auto"/>
              <w:spacing w:before="0" w:after="120" w:line="240" w:lineRule="auto"/>
              <w:ind w:left="122" w:firstLine="0"/>
              <w:rPr>
                <w:rFonts w:ascii="Sylfaen" w:hAnsi="Sylfaen"/>
                <w:b w:val="0"/>
                <w:sz w:val="24"/>
                <w:szCs w:val="24"/>
              </w:rPr>
            </w:pPr>
            <w:r w:rsidRPr="00BD7577">
              <w:rPr>
                <w:rStyle w:val="Bodytext1811pt"/>
                <w:rFonts w:ascii="Sylfaen" w:hAnsi="Sylfaen"/>
                <w:sz w:val="24"/>
                <w:szCs w:val="24"/>
              </w:rPr>
              <w:t>Դեղամիջոցի առ</w:t>
            </w:r>
            <w:r w:rsidR="00C54D75">
              <w:rPr>
                <w:rStyle w:val="Bodytext1811pt"/>
                <w:rFonts w:ascii="Sylfaen" w:hAnsi="Sylfaen"/>
                <w:sz w:val="24"/>
                <w:szCs w:val="24"/>
              </w:rPr>
              <w:t>և</w:t>
            </w:r>
            <w:r w:rsidRPr="00BD7577">
              <w:rPr>
                <w:rStyle w:val="Bodytext1811pt"/>
                <w:rFonts w:ascii="Sylfaen" w:hAnsi="Sylfaen"/>
                <w:sz w:val="24"/>
                <w:szCs w:val="24"/>
              </w:rPr>
              <w:t>տրային անվանումը՝</w:t>
            </w:r>
          </w:p>
        </w:tc>
        <w:tc>
          <w:tcPr>
            <w:tcW w:w="4829" w:type="dxa"/>
            <w:tcBorders>
              <w:top w:val="single" w:sz="4" w:space="0" w:color="auto"/>
              <w:left w:val="single" w:sz="4" w:space="0" w:color="auto"/>
              <w:right w:val="single" w:sz="4" w:space="0" w:color="auto"/>
            </w:tcBorders>
            <w:shd w:val="clear" w:color="auto" w:fill="FFFFFF"/>
          </w:tcPr>
          <w:p w14:paraId="0B7FE219" w14:textId="77777777" w:rsidR="008C76E0" w:rsidRPr="00BD7577" w:rsidRDefault="008C76E0" w:rsidP="008C76E0">
            <w:pPr>
              <w:spacing w:after="120" w:line="240" w:lineRule="auto"/>
              <w:rPr>
                <w:rFonts w:ascii="Sylfaen" w:hAnsi="Sylfaen"/>
                <w:sz w:val="24"/>
                <w:szCs w:val="24"/>
              </w:rPr>
            </w:pPr>
          </w:p>
        </w:tc>
      </w:tr>
      <w:tr w:rsidR="008C76E0" w:rsidRPr="00BD7577" w14:paraId="52384FB4" w14:textId="77777777" w:rsidTr="008C76E0">
        <w:trPr>
          <w:jc w:val="center"/>
        </w:trPr>
        <w:tc>
          <w:tcPr>
            <w:tcW w:w="5357" w:type="dxa"/>
            <w:tcBorders>
              <w:top w:val="single" w:sz="4" w:space="0" w:color="auto"/>
              <w:left w:val="single" w:sz="4" w:space="0" w:color="auto"/>
            </w:tcBorders>
            <w:shd w:val="clear" w:color="auto" w:fill="FFFFFF"/>
          </w:tcPr>
          <w:p w14:paraId="73AE3490" w14:textId="77777777" w:rsidR="008C76E0" w:rsidRPr="008C76E0" w:rsidRDefault="008C76E0" w:rsidP="008C76E0">
            <w:pPr>
              <w:pStyle w:val="Bodytext180"/>
              <w:shd w:val="clear" w:color="auto" w:fill="auto"/>
              <w:spacing w:before="0" w:after="120" w:line="240" w:lineRule="auto"/>
              <w:ind w:left="122" w:right="111" w:firstLine="0"/>
              <w:rPr>
                <w:rFonts w:ascii="Sylfaen" w:hAnsi="Sylfaen"/>
                <w:b w:val="0"/>
                <w:sz w:val="24"/>
                <w:szCs w:val="24"/>
                <w:lang w:val="hy-AM"/>
              </w:rPr>
            </w:pPr>
            <w:r w:rsidRPr="00BD7577">
              <w:rPr>
                <w:rStyle w:val="Bodytext1811pt"/>
                <w:rFonts w:ascii="Sylfaen" w:hAnsi="Sylfaen"/>
                <w:sz w:val="24"/>
                <w:szCs w:val="24"/>
              </w:rPr>
              <w:t>Միջազգային չարտոնագրված անվանումը (ՄՉԱ) կամ ազդող նյութի (նյութերի) ընդհանուր անվանումը՝</w:t>
            </w:r>
          </w:p>
        </w:tc>
        <w:tc>
          <w:tcPr>
            <w:tcW w:w="4829" w:type="dxa"/>
            <w:tcBorders>
              <w:top w:val="single" w:sz="4" w:space="0" w:color="auto"/>
              <w:left w:val="single" w:sz="4" w:space="0" w:color="auto"/>
              <w:right w:val="single" w:sz="4" w:space="0" w:color="auto"/>
            </w:tcBorders>
            <w:shd w:val="clear" w:color="auto" w:fill="FFFFFF"/>
          </w:tcPr>
          <w:p w14:paraId="7D236721" w14:textId="77777777" w:rsidR="008C76E0" w:rsidRPr="00BD7577" w:rsidRDefault="008C76E0" w:rsidP="008C76E0">
            <w:pPr>
              <w:spacing w:after="120" w:line="240" w:lineRule="auto"/>
              <w:rPr>
                <w:rFonts w:ascii="Sylfaen" w:hAnsi="Sylfaen"/>
                <w:sz w:val="24"/>
                <w:szCs w:val="24"/>
              </w:rPr>
            </w:pPr>
          </w:p>
        </w:tc>
      </w:tr>
      <w:tr w:rsidR="008C76E0" w:rsidRPr="00BD7577" w14:paraId="32165AF3" w14:textId="77777777" w:rsidTr="008C76E0">
        <w:trPr>
          <w:jc w:val="center"/>
        </w:trPr>
        <w:tc>
          <w:tcPr>
            <w:tcW w:w="5357" w:type="dxa"/>
            <w:tcBorders>
              <w:top w:val="single" w:sz="4" w:space="0" w:color="auto"/>
              <w:left w:val="single" w:sz="4" w:space="0" w:color="auto"/>
            </w:tcBorders>
            <w:shd w:val="clear" w:color="auto" w:fill="FFFFFF"/>
          </w:tcPr>
          <w:p w14:paraId="555689D3" w14:textId="77777777" w:rsidR="008C76E0" w:rsidRPr="00BD7577" w:rsidRDefault="008C76E0" w:rsidP="008C76E0">
            <w:pPr>
              <w:pStyle w:val="Bodytext180"/>
              <w:shd w:val="clear" w:color="auto" w:fill="auto"/>
              <w:spacing w:before="0" w:after="120" w:line="240" w:lineRule="auto"/>
              <w:ind w:left="122" w:firstLine="0"/>
              <w:rPr>
                <w:rFonts w:ascii="Sylfaen" w:hAnsi="Sylfaen"/>
                <w:b w:val="0"/>
                <w:sz w:val="24"/>
                <w:szCs w:val="24"/>
              </w:rPr>
            </w:pPr>
            <w:r w:rsidRPr="00BD7577">
              <w:rPr>
                <w:rStyle w:val="Bodytext1811pt"/>
                <w:rFonts w:ascii="Sylfaen" w:hAnsi="Sylfaen"/>
                <w:sz w:val="24"/>
                <w:szCs w:val="24"/>
              </w:rPr>
              <w:t>Հայտատուն՝</w:t>
            </w:r>
          </w:p>
        </w:tc>
        <w:tc>
          <w:tcPr>
            <w:tcW w:w="4829" w:type="dxa"/>
            <w:tcBorders>
              <w:top w:val="single" w:sz="4" w:space="0" w:color="auto"/>
              <w:left w:val="single" w:sz="4" w:space="0" w:color="auto"/>
              <w:right w:val="single" w:sz="4" w:space="0" w:color="auto"/>
            </w:tcBorders>
            <w:shd w:val="clear" w:color="auto" w:fill="FFFFFF"/>
          </w:tcPr>
          <w:p w14:paraId="73F250E5" w14:textId="77777777" w:rsidR="008C76E0" w:rsidRPr="00BD7577" w:rsidRDefault="008C76E0" w:rsidP="008C76E0">
            <w:pPr>
              <w:spacing w:after="120" w:line="240" w:lineRule="auto"/>
              <w:rPr>
                <w:rFonts w:ascii="Sylfaen" w:hAnsi="Sylfaen"/>
                <w:sz w:val="24"/>
                <w:szCs w:val="24"/>
              </w:rPr>
            </w:pPr>
          </w:p>
        </w:tc>
      </w:tr>
      <w:tr w:rsidR="008C76E0" w:rsidRPr="00BD7577" w14:paraId="21968307" w14:textId="77777777" w:rsidTr="008C76E0">
        <w:trPr>
          <w:jc w:val="center"/>
        </w:trPr>
        <w:tc>
          <w:tcPr>
            <w:tcW w:w="5357" w:type="dxa"/>
            <w:tcBorders>
              <w:top w:val="single" w:sz="4" w:space="0" w:color="auto"/>
              <w:left w:val="single" w:sz="4" w:space="0" w:color="auto"/>
            </w:tcBorders>
            <w:shd w:val="clear" w:color="auto" w:fill="FFFFFF"/>
          </w:tcPr>
          <w:p w14:paraId="1EABFC90" w14:textId="77777777" w:rsidR="008C76E0" w:rsidRPr="00BD7577" w:rsidRDefault="008C76E0" w:rsidP="008C76E0">
            <w:pPr>
              <w:pStyle w:val="Bodytext180"/>
              <w:shd w:val="clear" w:color="auto" w:fill="auto"/>
              <w:spacing w:before="0" w:after="120" w:line="240" w:lineRule="auto"/>
              <w:ind w:left="122" w:firstLine="0"/>
              <w:rPr>
                <w:rFonts w:ascii="Sylfaen" w:hAnsi="Sylfaen"/>
                <w:b w:val="0"/>
                <w:sz w:val="24"/>
                <w:szCs w:val="24"/>
              </w:rPr>
            </w:pPr>
            <w:r w:rsidRPr="00BD7577">
              <w:rPr>
                <w:rStyle w:val="Bodytext1811pt"/>
                <w:rFonts w:ascii="Sylfaen" w:hAnsi="Sylfaen"/>
                <w:sz w:val="24"/>
                <w:szCs w:val="24"/>
              </w:rPr>
              <w:t>Կիրառման հայտագրված ցուցումները՝</w:t>
            </w:r>
          </w:p>
        </w:tc>
        <w:tc>
          <w:tcPr>
            <w:tcW w:w="4829" w:type="dxa"/>
            <w:tcBorders>
              <w:top w:val="single" w:sz="4" w:space="0" w:color="auto"/>
              <w:left w:val="single" w:sz="4" w:space="0" w:color="auto"/>
              <w:right w:val="single" w:sz="4" w:space="0" w:color="auto"/>
            </w:tcBorders>
            <w:shd w:val="clear" w:color="auto" w:fill="FFFFFF"/>
          </w:tcPr>
          <w:p w14:paraId="4704E373" w14:textId="77777777" w:rsidR="008C76E0" w:rsidRPr="00BD7577" w:rsidRDefault="008C76E0" w:rsidP="008C76E0">
            <w:pPr>
              <w:spacing w:after="120" w:line="240" w:lineRule="auto"/>
              <w:rPr>
                <w:rFonts w:ascii="Sylfaen" w:hAnsi="Sylfaen"/>
                <w:sz w:val="24"/>
                <w:szCs w:val="24"/>
              </w:rPr>
            </w:pPr>
          </w:p>
        </w:tc>
      </w:tr>
      <w:tr w:rsidR="008C76E0" w:rsidRPr="00BD7577" w14:paraId="440B50BB" w14:textId="77777777" w:rsidTr="008C76E0">
        <w:trPr>
          <w:jc w:val="center"/>
        </w:trPr>
        <w:tc>
          <w:tcPr>
            <w:tcW w:w="5357" w:type="dxa"/>
            <w:tcBorders>
              <w:top w:val="single" w:sz="4" w:space="0" w:color="auto"/>
              <w:left w:val="single" w:sz="4" w:space="0" w:color="auto"/>
            </w:tcBorders>
            <w:shd w:val="clear" w:color="auto" w:fill="FFFFFF"/>
          </w:tcPr>
          <w:p w14:paraId="262D6BA0" w14:textId="77777777" w:rsidR="008C76E0" w:rsidRPr="00BD7577" w:rsidRDefault="008C76E0" w:rsidP="008C76E0">
            <w:pPr>
              <w:pStyle w:val="Bodytext180"/>
              <w:shd w:val="clear" w:color="auto" w:fill="auto"/>
              <w:spacing w:before="0" w:after="120" w:line="240" w:lineRule="auto"/>
              <w:ind w:left="122" w:firstLine="0"/>
              <w:rPr>
                <w:rFonts w:ascii="Sylfaen" w:hAnsi="Sylfaen"/>
                <w:b w:val="0"/>
                <w:sz w:val="24"/>
                <w:szCs w:val="24"/>
              </w:rPr>
            </w:pPr>
            <w:r w:rsidRPr="00BD7577">
              <w:rPr>
                <w:rStyle w:val="Bodytext1811pt"/>
                <w:rFonts w:ascii="Sylfaen" w:hAnsi="Sylfaen"/>
                <w:sz w:val="24"/>
                <w:szCs w:val="24"/>
              </w:rPr>
              <w:t>Դեղաթերապ</w:t>
            </w:r>
            <w:r w:rsidR="00C54D75">
              <w:rPr>
                <w:rStyle w:val="Bodytext1811pt"/>
                <w:rFonts w:ascii="Sylfaen" w:hAnsi="Sylfaen"/>
                <w:sz w:val="24"/>
                <w:szCs w:val="24"/>
              </w:rPr>
              <w:t>և</w:t>
            </w:r>
            <w:r w:rsidRPr="00BD7577">
              <w:rPr>
                <w:rStyle w:val="Bodytext1811pt"/>
                <w:rFonts w:ascii="Sylfaen" w:hAnsi="Sylfaen"/>
                <w:sz w:val="24"/>
                <w:szCs w:val="24"/>
              </w:rPr>
              <w:t>տիկ խումբը (ԱԲՔ ծածկագիրը)՝</w:t>
            </w:r>
          </w:p>
        </w:tc>
        <w:tc>
          <w:tcPr>
            <w:tcW w:w="4829" w:type="dxa"/>
            <w:tcBorders>
              <w:top w:val="single" w:sz="4" w:space="0" w:color="auto"/>
              <w:left w:val="single" w:sz="4" w:space="0" w:color="auto"/>
              <w:right w:val="single" w:sz="4" w:space="0" w:color="auto"/>
            </w:tcBorders>
            <w:shd w:val="clear" w:color="auto" w:fill="FFFFFF"/>
          </w:tcPr>
          <w:p w14:paraId="3786A8ED" w14:textId="77777777" w:rsidR="008C76E0" w:rsidRPr="00BD7577" w:rsidRDefault="008C76E0" w:rsidP="008C76E0">
            <w:pPr>
              <w:spacing w:after="120" w:line="240" w:lineRule="auto"/>
              <w:rPr>
                <w:rFonts w:ascii="Sylfaen" w:hAnsi="Sylfaen"/>
                <w:sz w:val="24"/>
                <w:szCs w:val="24"/>
              </w:rPr>
            </w:pPr>
          </w:p>
        </w:tc>
      </w:tr>
      <w:tr w:rsidR="008C76E0" w:rsidRPr="00BD7577" w14:paraId="317D0FE8" w14:textId="77777777" w:rsidTr="008C76E0">
        <w:trPr>
          <w:jc w:val="center"/>
        </w:trPr>
        <w:tc>
          <w:tcPr>
            <w:tcW w:w="5357" w:type="dxa"/>
            <w:tcBorders>
              <w:top w:val="single" w:sz="4" w:space="0" w:color="auto"/>
              <w:left w:val="single" w:sz="4" w:space="0" w:color="auto"/>
            </w:tcBorders>
            <w:shd w:val="clear" w:color="auto" w:fill="FFFFFF"/>
          </w:tcPr>
          <w:p w14:paraId="0124FE76" w14:textId="77777777" w:rsidR="008C76E0" w:rsidRPr="008C76E0" w:rsidRDefault="008C76E0" w:rsidP="008C76E0">
            <w:pPr>
              <w:pStyle w:val="Bodytext180"/>
              <w:shd w:val="clear" w:color="auto" w:fill="auto"/>
              <w:spacing w:before="0" w:after="120" w:line="240" w:lineRule="auto"/>
              <w:ind w:left="122" w:firstLine="0"/>
              <w:rPr>
                <w:rFonts w:ascii="Sylfaen" w:hAnsi="Sylfaen"/>
                <w:b w:val="0"/>
                <w:sz w:val="24"/>
                <w:szCs w:val="24"/>
                <w:lang w:val="hy-AM"/>
              </w:rPr>
            </w:pPr>
            <w:r w:rsidRPr="00BD7577">
              <w:rPr>
                <w:rStyle w:val="Bodytext1811pt"/>
                <w:rFonts w:ascii="Sylfaen" w:hAnsi="Sylfaen"/>
                <w:sz w:val="24"/>
                <w:szCs w:val="24"/>
              </w:rPr>
              <w:t>Դեղաձ</w:t>
            </w:r>
            <w:r w:rsidR="00C54D75">
              <w:rPr>
                <w:rStyle w:val="Bodytext1811pt"/>
                <w:rFonts w:ascii="Sylfaen" w:hAnsi="Sylfaen"/>
                <w:sz w:val="24"/>
                <w:szCs w:val="24"/>
              </w:rPr>
              <w:t>և</w:t>
            </w:r>
            <w:r w:rsidRPr="00BD7577">
              <w:rPr>
                <w:rStyle w:val="Bodytext1811pt"/>
                <w:rFonts w:ascii="Sylfaen" w:hAnsi="Sylfaen"/>
                <w:sz w:val="24"/>
                <w:szCs w:val="24"/>
              </w:rPr>
              <w:t>ը (դեղաձ</w:t>
            </w:r>
            <w:r w:rsidR="00C54D75">
              <w:rPr>
                <w:rStyle w:val="Bodytext1811pt"/>
                <w:rFonts w:ascii="Sylfaen" w:hAnsi="Sylfaen"/>
                <w:sz w:val="24"/>
                <w:szCs w:val="24"/>
              </w:rPr>
              <w:t>և</w:t>
            </w:r>
            <w:r w:rsidRPr="00BD7577">
              <w:rPr>
                <w:rStyle w:val="Bodytext1811pt"/>
                <w:rFonts w:ascii="Sylfaen" w:hAnsi="Sylfaen"/>
                <w:sz w:val="24"/>
                <w:szCs w:val="24"/>
              </w:rPr>
              <w:t xml:space="preserve">երը) </w:t>
            </w:r>
            <w:r w:rsidR="00C54D75">
              <w:rPr>
                <w:rStyle w:val="Bodytext1811pt"/>
                <w:rFonts w:ascii="Sylfaen" w:hAnsi="Sylfaen"/>
                <w:sz w:val="24"/>
                <w:szCs w:val="24"/>
              </w:rPr>
              <w:t>և</w:t>
            </w:r>
            <w:r w:rsidRPr="00BD7577">
              <w:rPr>
                <w:rStyle w:val="Bodytext1811pt"/>
                <w:rFonts w:ascii="Sylfaen" w:hAnsi="Sylfaen"/>
                <w:sz w:val="24"/>
                <w:szCs w:val="24"/>
              </w:rPr>
              <w:t xml:space="preserve"> դոզավորումը (դոզավորումները)՝</w:t>
            </w:r>
          </w:p>
        </w:tc>
        <w:tc>
          <w:tcPr>
            <w:tcW w:w="4829" w:type="dxa"/>
            <w:tcBorders>
              <w:top w:val="single" w:sz="4" w:space="0" w:color="auto"/>
              <w:left w:val="single" w:sz="4" w:space="0" w:color="auto"/>
              <w:right w:val="single" w:sz="4" w:space="0" w:color="auto"/>
            </w:tcBorders>
            <w:shd w:val="clear" w:color="auto" w:fill="FFFFFF"/>
          </w:tcPr>
          <w:p w14:paraId="0342B742" w14:textId="77777777" w:rsidR="008C76E0" w:rsidRPr="00BD7577" w:rsidRDefault="008C76E0" w:rsidP="008C76E0">
            <w:pPr>
              <w:spacing w:after="120" w:line="240" w:lineRule="auto"/>
              <w:rPr>
                <w:rFonts w:ascii="Sylfaen" w:hAnsi="Sylfaen"/>
                <w:sz w:val="24"/>
                <w:szCs w:val="24"/>
              </w:rPr>
            </w:pPr>
          </w:p>
        </w:tc>
      </w:tr>
      <w:tr w:rsidR="008C76E0" w:rsidRPr="00BD7577" w14:paraId="6DE79C45" w14:textId="77777777" w:rsidTr="008C76E0">
        <w:trPr>
          <w:jc w:val="center"/>
        </w:trPr>
        <w:tc>
          <w:tcPr>
            <w:tcW w:w="5357" w:type="dxa"/>
            <w:tcBorders>
              <w:top w:val="single" w:sz="4" w:space="0" w:color="auto"/>
              <w:left w:val="single" w:sz="4" w:space="0" w:color="auto"/>
            </w:tcBorders>
            <w:shd w:val="clear" w:color="auto" w:fill="FFFFFF"/>
          </w:tcPr>
          <w:p w14:paraId="25D80DB6" w14:textId="77777777" w:rsidR="008C76E0" w:rsidRPr="00BD7577" w:rsidRDefault="008C76E0" w:rsidP="008C76E0">
            <w:pPr>
              <w:pStyle w:val="Bodytext180"/>
              <w:shd w:val="clear" w:color="auto" w:fill="auto"/>
              <w:spacing w:before="0" w:after="120" w:line="240" w:lineRule="auto"/>
              <w:ind w:left="122" w:firstLine="0"/>
              <w:rPr>
                <w:rFonts w:ascii="Sylfaen" w:hAnsi="Sylfaen"/>
                <w:b w:val="0"/>
                <w:sz w:val="24"/>
                <w:szCs w:val="24"/>
              </w:rPr>
            </w:pPr>
            <w:r w:rsidRPr="00BD7577">
              <w:rPr>
                <w:rStyle w:val="Bodytext1811pt"/>
                <w:rFonts w:ascii="Sylfaen" w:hAnsi="Sylfaen"/>
                <w:sz w:val="24"/>
                <w:szCs w:val="24"/>
              </w:rPr>
              <w:t>Փորձագետների կոնտակտային անձի տվյալները՝</w:t>
            </w:r>
          </w:p>
        </w:tc>
        <w:tc>
          <w:tcPr>
            <w:tcW w:w="4829" w:type="dxa"/>
            <w:tcBorders>
              <w:top w:val="single" w:sz="4" w:space="0" w:color="auto"/>
              <w:left w:val="single" w:sz="4" w:space="0" w:color="auto"/>
              <w:right w:val="single" w:sz="4" w:space="0" w:color="auto"/>
            </w:tcBorders>
            <w:shd w:val="clear" w:color="auto" w:fill="FFFFFF"/>
          </w:tcPr>
          <w:p w14:paraId="6C92C2D0" w14:textId="77777777" w:rsidR="008C76E0" w:rsidRPr="00BD7577" w:rsidRDefault="008C76E0" w:rsidP="008C76E0">
            <w:pPr>
              <w:pStyle w:val="Bodytext180"/>
              <w:shd w:val="clear" w:color="auto" w:fill="auto"/>
              <w:spacing w:before="0" w:after="120" w:line="240" w:lineRule="auto"/>
              <w:ind w:left="153" w:firstLine="0"/>
              <w:rPr>
                <w:rFonts w:ascii="Sylfaen" w:hAnsi="Sylfaen"/>
                <w:b w:val="0"/>
                <w:sz w:val="24"/>
                <w:szCs w:val="24"/>
              </w:rPr>
            </w:pPr>
            <w:r w:rsidRPr="00BD7577">
              <w:rPr>
                <w:rStyle w:val="Bodytext1811pt"/>
                <w:rFonts w:ascii="Sylfaen" w:hAnsi="Sylfaen"/>
                <w:sz w:val="24"/>
                <w:szCs w:val="24"/>
              </w:rPr>
              <w:t>Ա.Ա.Հ.՝</w:t>
            </w:r>
          </w:p>
          <w:p w14:paraId="554896E4"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5CD18BA8" w14:textId="77777777" w:rsidR="008C76E0" w:rsidRPr="00BD7577" w:rsidRDefault="008C76E0" w:rsidP="008C76E0">
            <w:pPr>
              <w:pStyle w:val="Bodytext180"/>
              <w:shd w:val="clear" w:color="auto" w:fill="auto"/>
              <w:spacing w:before="0" w:after="120" w:line="240" w:lineRule="auto"/>
              <w:ind w:left="153" w:firstLine="0"/>
              <w:rPr>
                <w:rFonts w:ascii="Sylfaen" w:hAnsi="Sylfaen"/>
                <w:b w:val="0"/>
                <w:sz w:val="24"/>
                <w:szCs w:val="24"/>
              </w:rPr>
            </w:pPr>
            <w:r w:rsidRPr="00BD7577">
              <w:rPr>
                <w:rStyle w:val="Bodytext1811pt"/>
                <w:rFonts w:ascii="Sylfaen" w:hAnsi="Sylfaen"/>
                <w:sz w:val="24"/>
                <w:szCs w:val="24"/>
              </w:rPr>
              <w:t>էլ. փոստ՝</w:t>
            </w:r>
          </w:p>
        </w:tc>
      </w:tr>
      <w:tr w:rsidR="008C76E0" w:rsidRPr="00BD7577" w14:paraId="5E227FFE" w14:textId="77777777" w:rsidTr="008C76E0">
        <w:trPr>
          <w:jc w:val="center"/>
        </w:trPr>
        <w:tc>
          <w:tcPr>
            <w:tcW w:w="5357" w:type="dxa"/>
            <w:tcBorders>
              <w:top w:val="single" w:sz="4" w:space="0" w:color="auto"/>
              <w:left w:val="single" w:sz="4" w:space="0" w:color="auto"/>
            </w:tcBorders>
            <w:shd w:val="clear" w:color="auto" w:fill="FFFFFF"/>
          </w:tcPr>
          <w:p w14:paraId="69630703" w14:textId="77777777" w:rsidR="008C76E0" w:rsidRPr="008C76E0" w:rsidRDefault="008C76E0" w:rsidP="008C76E0">
            <w:pPr>
              <w:pStyle w:val="Bodytext180"/>
              <w:shd w:val="clear" w:color="auto" w:fill="auto"/>
              <w:spacing w:before="0" w:after="120" w:line="240" w:lineRule="auto"/>
              <w:ind w:left="122" w:firstLine="0"/>
              <w:rPr>
                <w:rFonts w:ascii="Sylfaen" w:hAnsi="Sylfaen"/>
                <w:b w:val="0"/>
                <w:sz w:val="24"/>
                <w:szCs w:val="24"/>
                <w:lang w:val="hy-AM"/>
              </w:rPr>
            </w:pPr>
            <w:r w:rsidRPr="00BD7577">
              <w:rPr>
                <w:rStyle w:val="Bodytext1811pt"/>
                <w:rFonts w:ascii="Sylfaen" w:hAnsi="Sylfaen"/>
                <w:sz w:val="24"/>
                <w:szCs w:val="24"/>
              </w:rPr>
              <w:t xml:space="preserve">Փորձագետների տվյալները (ներքին </w:t>
            </w:r>
            <w:r w:rsidR="00C54D75">
              <w:rPr>
                <w:rStyle w:val="Bodytext1811pt"/>
                <w:rFonts w:ascii="Sylfaen" w:hAnsi="Sylfaen"/>
                <w:sz w:val="24"/>
                <w:szCs w:val="24"/>
              </w:rPr>
              <w:t>և</w:t>
            </w:r>
            <w:r w:rsidRPr="00BD7577">
              <w:rPr>
                <w:rStyle w:val="Bodytext1811pt"/>
                <w:rFonts w:ascii="Sylfaen" w:hAnsi="Sylfaen"/>
                <w:sz w:val="24"/>
                <w:szCs w:val="24"/>
              </w:rPr>
              <w:t xml:space="preserve"> անկախ)՝</w:t>
            </w:r>
          </w:p>
        </w:tc>
        <w:tc>
          <w:tcPr>
            <w:tcW w:w="4829" w:type="dxa"/>
            <w:tcBorders>
              <w:top w:val="single" w:sz="4" w:space="0" w:color="auto"/>
              <w:left w:val="single" w:sz="4" w:space="0" w:color="auto"/>
              <w:right w:val="single" w:sz="4" w:space="0" w:color="auto"/>
            </w:tcBorders>
            <w:shd w:val="clear" w:color="auto" w:fill="FFFFFF"/>
            <w:vAlign w:val="bottom"/>
          </w:tcPr>
          <w:p w14:paraId="1710F95A"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Որակ՝</w:t>
            </w:r>
          </w:p>
          <w:p w14:paraId="013A9D75"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40B747FA"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52511DAF"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lastRenderedPageBreak/>
              <w:t>էլ. փոստ՝</w:t>
            </w:r>
          </w:p>
          <w:p w14:paraId="0CEC9C0B"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Նախակլինիկական՝ </w:t>
            </w:r>
          </w:p>
          <w:p w14:paraId="6C2B00D3"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48CB8CA6"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43DF88A8"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էլ. փոստ՝</w:t>
            </w:r>
          </w:p>
          <w:p w14:paraId="718A7264"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Կլինիկական՝</w:t>
            </w:r>
          </w:p>
          <w:p w14:paraId="67534C9A"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01AEADE7"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2552375C" w14:textId="77777777" w:rsidR="008C76E0" w:rsidRPr="00BD7577" w:rsidRDefault="008C76E0" w:rsidP="008C76E0">
            <w:pPr>
              <w:pStyle w:val="Bodytext180"/>
              <w:shd w:val="clear" w:color="auto" w:fill="auto"/>
              <w:spacing w:before="0" w:after="120" w:line="240" w:lineRule="auto"/>
              <w:ind w:left="153" w:firstLine="0"/>
              <w:rPr>
                <w:rFonts w:ascii="Sylfaen" w:hAnsi="Sylfaen"/>
                <w:b w:val="0"/>
                <w:sz w:val="24"/>
                <w:szCs w:val="24"/>
              </w:rPr>
            </w:pPr>
            <w:r w:rsidRPr="00BD7577">
              <w:rPr>
                <w:rStyle w:val="Bodytext1811pt"/>
                <w:rFonts w:ascii="Sylfaen" w:hAnsi="Sylfaen"/>
                <w:sz w:val="24"/>
                <w:szCs w:val="24"/>
              </w:rPr>
              <w:t>էլ. փոստ՝</w:t>
            </w:r>
          </w:p>
        </w:tc>
      </w:tr>
      <w:tr w:rsidR="008C76E0" w:rsidRPr="00BD7577" w14:paraId="307CEAAB" w14:textId="77777777" w:rsidTr="008C76E0">
        <w:trPr>
          <w:jc w:val="center"/>
        </w:trPr>
        <w:tc>
          <w:tcPr>
            <w:tcW w:w="5357" w:type="dxa"/>
            <w:tcBorders>
              <w:top w:val="single" w:sz="4" w:space="0" w:color="auto"/>
              <w:left w:val="single" w:sz="4" w:space="0" w:color="auto"/>
              <w:bottom w:val="single" w:sz="4" w:space="0" w:color="auto"/>
            </w:tcBorders>
            <w:shd w:val="clear" w:color="auto" w:fill="FFFFFF"/>
          </w:tcPr>
          <w:p w14:paraId="6C950D43" w14:textId="77777777" w:rsidR="008C76E0" w:rsidRPr="008C76E0" w:rsidRDefault="008C76E0" w:rsidP="008C76E0">
            <w:pPr>
              <w:pStyle w:val="Bodytext180"/>
              <w:shd w:val="clear" w:color="auto" w:fill="auto"/>
              <w:spacing w:before="0" w:after="120" w:line="240" w:lineRule="auto"/>
              <w:ind w:left="122" w:firstLine="0"/>
              <w:rPr>
                <w:rFonts w:ascii="Sylfaen" w:hAnsi="Sylfaen"/>
                <w:b w:val="0"/>
                <w:sz w:val="24"/>
                <w:szCs w:val="24"/>
                <w:lang w:val="hy-AM"/>
              </w:rPr>
            </w:pPr>
            <w:r w:rsidRPr="00BD7577">
              <w:rPr>
                <w:rStyle w:val="Bodytext1811pt"/>
                <w:rFonts w:ascii="Sylfaen" w:hAnsi="Sylfaen"/>
                <w:sz w:val="24"/>
                <w:szCs w:val="24"/>
              </w:rPr>
              <w:lastRenderedPageBreak/>
              <w:t xml:space="preserve">Փորձագետների տվյալները (ներքին </w:t>
            </w:r>
            <w:r w:rsidR="00C54D75">
              <w:rPr>
                <w:rStyle w:val="Bodytext1811pt"/>
                <w:rFonts w:ascii="Sylfaen" w:hAnsi="Sylfaen"/>
                <w:sz w:val="24"/>
                <w:szCs w:val="24"/>
              </w:rPr>
              <w:t>և</w:t>
            </w:r>
            <w:r w:rsidRPr="00BD7577">
              <w:rPr>
                <w:rStyle w:val="Bodytext1811pt"/>
                <w:rFonts w:ascii="Sylfaen" w:hAnsi="Sylfaen"/>
                <w:sz w:val="24"/>
                <w:szCs w:val="24"/>
              </w:rPr>
              <w:t xml:space="preserve"> անկախ)՝</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2D2AA2F3"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Որակ՝</w:t>
            </w:r>
          </w:p>
          <w:p w14:paraId="57BA156C"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18D4C593"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35AC5D1D" w14:textId="77777777" w:rsidR="008C76E0" w:rsidRPr="00BD7577" w:rsidRDefault="008C76E0" w:rsidP="008C76E0">
            <w:pPr>
              <w:pStyle w:val="Bodytext180"/>
              <w:shd w:val="clear" w:color="auto" w:fill="auto"/>
              <w:spacing w:before="0" w:after="120" w:line="240" w:lineRule="auto"/>
              <w:ind w:left="153" w:firstLine="0"/>
              <w:rPr>
                <w:rFonts w:ascii="Sylfaen" w:hAnsi="Sylfaen"/>
                <w:b w:val="0"/>
                <w:sz w:val="24"/>
                <w:szCs w:val="24"/>
              </w:rPr>
            </w:pPr>
            <w:r w:rsidRPr="00BD7577">
              <w:rPr>
                <w:rStyle w:val="Bodytext1811pt"/>
                <w:rFonts w:ascii="Sylfaen" w:hAnsi="Sylfaen"/>
                <w:sz w:val="24"/>
                <w:szCs w:val="24"/>
              </w:rPr>
              <w:t>էլ. փոստ՝</w:t>
            </w:r>
          </w:p>
        </w:tc>
      </w:tr>
      <w:tr w:rsidR="008C76E0" w:rsidRPr="00BD7577" w14:paraId="1DC7FCD8" w14:textId="77777777" w:rsidTr="008C76E0">
        <w:trPr>
          <w:jc w:val="center"/>
        </w:trPr>
        <w:tc>
          <w:tcPr>
            <w:tcW w:w="5357" w:type="dxa"/>
            <w:tcBorders>
              <w:top w:val="single" w:sz="4" w:space="0" w:color="auto"/>
              <w:left w:val="single" w:sz="4" w:space="0" w:color="auto"/>
            </w:tcBorders>
            <w:shd w:val="clear" w:color="auto" w:fill="FFFFFF"/>
          </w:tcPr>
          <w:p w14:paraId="43436063" w14:textId="77777777" w:rsidR="008C76E0" w:rsidRPr="00BD7577" w:rsidRDefault="008C76E0" w:rsidP="008C76E0">
            <w:pPr>
              <w:spacing w:after="120" w:line="240" w:lineRule="auto"/>
              <w:ind w:left="122"/>
              <w:rPr>
                <w:rFonts w:ascii="Sylfaen" w:hAnsi="Sylfaen"/>
                <w:sz w:val="24"/>
                <w:szCs w:val="24"/>
              </w:rPr>
            </w:pPr>
          </w:p>
        </w:tc>
        <w:tc>
          <w:tcPr>
            <w:tcW w:w="4829" w:type="dxa"/>
            <w:tcBorders>
              <w:top w:val="single" w:sz="4" w:space="0" w:color="auto"/>
              <w:left w:val="single" w:sz="4" w:space="0" w:color="auto"/>
              <w:right w:val="single" w:sz="4" w:space="0" w:color="auto"/>
            </w:tcBorders>
            <w:shd w:val="clear" w:color="auto" w:fill="FFFFFF"/>
            <w:vAlign w:val="bottom"/>
          </w:tcPr>
          <w:p w14:paraId="0AD58DA2"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Նախակլինիկական՝ </w:t>
            </w:r>
          </w:p>
          <w:p w14:paraId="3DA74742"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55658CC9"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33D6E4BF"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էլ. փոստ՝</w:t>
            </w:r>
          </w:p>
          <w:p w14:paraId="5612322D"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Կլինիկական՝</w:t>
            </w:r>
          </w:p>
          <w:p w14:paraId="131BCA6F" w14:textId="77777777" w:rsidR="008C76E0" w:rsidRPr="008C76E0" w:rsidRDefault="008C76E0" w:rsidP="008C76E0">
            <w:pPr>
              <w:pStyle w:val="Bodytext180"/>
              <w:shd w:val="clear" w:color="auto" w:fill="auto"/>
              <w:spacing w:before="0" w:after="120" w:line="240" w:lineRule="auto"/>
              <w:ind w:left="153" w:firstLine="0"/>
              <w:rPr>
                <w:rFonts w:ascii="Sylfaen" w:hAnsi="Sylfaen"/>
                <w:b w:val="0"/>
                <w:sz w:val="24"/>
                <w:szCs w:val="24"/>
                <w:lang w:val="hy-AM"/>
              </w:rPr>
            </w:pPr>
            <w:r w:rsidRPr="00BD7577">
              <w:rPr>
                <w:rStyle w:val="Bodytext1811pt"/>
                <w:rFonts w:ascii="Sylfaen" w:hAnsi="Sylfaen"/>
                <w:sz w:val="24"/>
                <w:szCs w:val="24"/>
              </w:rPr>
              <w:t>Ա.Ա.Հ.՝</w:t>
            </w:r>
          </w:p>
          <w:p w14:paraId="2C31AEE3" w14:textId="77777777" w:rsidR="008C76E0" w:rsidRPr="00BD7577" w:rsidRDefault="008C76E0" w:rsidP="008C76E0">
            <w:pPr>
              <w:pStyle w:val="Bodytext180"/>
              <w:shd w:val="clear" w:color="auto" w:fill="auto"/>
              <w:spacing w:before="0" w:after="120" w:line="240" w:lineRule="auto"/>
              <w:ind w:left="153" w:firstLine="0"/>
              <w:rPr>
                <w:rStyle w:val="Bodytext1811pt"/>
                <w:rFonts w:ascii="Sylfaen" w:hAnsi="Sylfaen"/>
                <w:sz w:val="24"/>
                <w:szCs w:val="24"/>
              </w:rPr>
            </w:pPr>
            <w:r w:rsidRPr="00BD7577">
              <w:rPr>
                <w:rStyle w:val="Bodytext1811pt"/>
                <w:rFonts w:ascii="Sylfaen" w:hAnsi="Sylfaen"/>
                <w:sz w:val="24"/>
                <w:szCs w:val="24"/>
              </w:rPr>
              <w:t xml:space="preserve">Հեռախոս (ֆաքս)՝ </w:t>
            </w:r>
          </w:p>
          <w:p w14:paraId="090EF48A" w14:textId="77777777" w:rsidR="008C76E0" w:rsidRPr="00BD7577" w:rsidRDefault="008C76E0" w:rsidP="008C76E0">
            <w:pPr>
              <w:pStyle w:val="Bodytext180"/>
              <w:shd w:val="clear" w:color="auto" w:fill="auto"/>
              <w:spacing w:before="0" w:after="120" w:line="240" w:lineRule="auto"/>
              <w:ind w:left="153" w:firstLine="0"/>
              <w:rPr>
                <w:rFonts w:ascii="Sylfaen" w:hAnsi="Sylfaen"/>
                <w:b w:val="0"/>
                <w:sz w:val="24"/>
                <w:szCs w:val="24"/>
              </w:rPr>
            </w:pPr>
            <w:r w:rsidRPr="00BD7577">
              <w:rPr>
                <w:rStyle w:val="Bodytext1811pt"/>
                <w:rFonts w:ascii="Sylfaen" w:hAnsi="Sylfaen"/>
                <w:sz w:val="24"/>
                <w:szCs w:val="24"/>
              </w:rPr>
              <w:t>էլ. փոստ՝</w:t>
            </w:r>
          </w:p>
        </w:tc>
      </w:tr>
      <w:tr w:rsidR="008C76E0" w:rsidRPr="00BD7577" w14:paraId="393ABB27" w14:textId="77777777" w:rsidTr="008C76E0">
        <w:trPr>
          <w:jc w:val="center"/>
        </w:trPr>
        <w:tc>
          <w:tcPr>
            <w:tcW w:w="10186" w:type="dxa"/>
            <w:gridSpan w:val="2"/>
            <w:tcBorders>
              <w:top w:val="single" w:sz="4" w:space="0" w:color="auto"/>
            </w:tcBorders>
            <w:shd w:val="clear" w:color="auto" w:fill="FFFFFF"/>
            <w:vAlign w:val="center"/>
          </w:tcPr>
          <w:p w14:paraId="1C3BB27A" w14:textId="77777777" w:rsidR="008C76E0" w:rsidRPr="001F38CC" w:rsidRDefault="008C76E0" w:rsidP="008C76E0">
            <w:pPr>
              <w:spacing w:after="120" w:line="240" w:lineRule="auto"/>
              <w:rPr>
                <w:rFonts w:ascii="Sylfaen" w:hAnsi="Sylfaen"/>
                <w:b/>
                <w:sz w:val="24"/>
                <w:szCs w:val="24"/>
              </w:rPr>
            </w:pPr>
            <w:r w:rsidRPr="001F38CC">
              <w:rPr>
                <w:rStyle w:val="Bodytext295pt"/>
                <w:rFonts w:ascii="Sylfaen" w:eastAsia="MS Mincho" w:hAnsi="Sylfaen"/>
                <w:b w:val="0"/>
                <w:spacing w:val="0"/>
                <w:sz w:val="24"/>
                <w:szCs w:val="24"/>
              </w:rPr>
              <w:t>Հապավումների ցանկ՝</w:t>
            </w:r>
          </w:p>
        </w:tc>
      </w:tr>
      <w:tr w:rsidR="008C76E0" w:rsidRPr="00BD7577" w14:paraId="04E038E3" w14:textId="77777777" w:rsidTr="008C76E0">
        <w:trPr>
          <w:jc w:val="center"/>
        </w:trPr>
        <w:tc>
          <w:tcPr>
            <w:tcW w:w="10186" w:type="dxa"/>
            <w:gridSpan w:val="2"/>
            <w:tcBorders>
              <w:top w:val="single" w:sz="4" w:space="0" w:color="auto"/>
            </w:tcBorders>
            <w:shd w:val="clear" w:color="auto" w:fill="FFFFFF"/>
          </w:tcPr>
          <w:p w14:paraId="1D2A8FED" w14:textId="77777777" w:rsidR="008C76E0" w:rsidRPr="00BD7577" w:rsidRDefault="008C76E0" w:rsidP="008C76E0">
            <w:pPr>
              <w:spacing w:after="120" w:line="240" w:lineRule="auto"/>
              <w:rPr>
                <w:rFonts w:ascii="Sylfaen" w:hAnsi="Sylfaen"/>
                <w:sz w:val="24"/>
                <w:szCs w:val="24"/>
              </w:rPr>
            </w:pPr>
          </w:p>
        </w:tc>
      </w:tr>
      <w:tr w:rsidR="008C76E0" w:rsidRPr="00BD7577" w14:paraId="127A8269" w14:textId="77777777" w:rsidTr="008C76E0">
        <w:trPr>
          <w:jc w:val="center"/>
        </w:trPr>
        <w:tc>
          <w:tcPr>
            <w:tcW w:w="10186" w:type="dxa"/>
            <w:gridSpan w:val="2"/>
            <w:tcBorders>
              <w:top w:val="single" w:sz="4" w:space="0" w:color="auto"/>
              <w:bottom w:val="single" w:sz="4" w:space="0" w:color="auto"/>
            </w:tcBorders>
            <w:shd w:val="clear" w:color="auto" w:fill="FFFFFF"/>
          </w:tcPr>
          <w:p w14:paraId="28F32260" w14:textId="77777777" w:rsidR="008C76E0" w:rsidRPr="00BD7577" w:rsidRDefault="008C76E0" w:rsidP="008C76E0">
            <w:pPr>
              <w:spacing w:after="120" w:line="240" w:lineRule="auto"/>
              <w:rPr>
                <w:rFonts w:ascii="Sylfaen" w:hAnsi="Sylfaen"/>
                <w:sz w:val="24"/>
                <w:szCs w:val="24"/>
              </w:rPr>
            </w:pPr>
          </w:p>
        </w:tc>
      </w:tr>
    </w:tbl>
    <w:p w14:paraId="00E9BF34" w14:textId="77777777" w:rsidR="008C76E0" w:rsidRPr="00BD7577" w:rsidRDefault="008C76E0" w:rsidP="008C76E0">
      <w:pPr>
        <w:rPr>
          <w:rFonts w:ascii="Sylfaen" w:hAnsi="Sylfaen"/>
          <w:sz w:val="24"/>
          <w:szCs w:val="24"/>
        </w:rPr>
      </w:pPr>
    </w:p>
    <w:p w14:paraId="2258E531" w14:textId="77777777" w:rsidR="008C76E0" w:rsidRPr="00BD7577" w:rsidRDefault="008C76E0" w:rsidP="008C76E0">
      <w:pPr>
        <w:rPr>
          <w:rFonts w:ascii="Sylfaen" w:hAnsi="Sylfaen"/>
          <w:sz w:val="24"/>
          <w:szCs w:val="24"/>
          <w:lang w:val="en-US"/>
        </w:rPr>
      </w:pPr>
      <w:r w:rsidRPr="00BD7577">
        <w:rPr>
          <w:rFonts w:ascii="Sylfaen" w:hAnsi="Sylfaen"/>
          <w:sz w:val="24"/>
          <w:szCs w:val="24"/>
        </w:rPr>
        <w:t>Կլինիկական գնահատում 1։</w:t>
      </w:r>
    </w:p>
    <w:p w14:paraId="475D3E3A" w14:textId="77777777" w:rsidR="008C76E0" w:rsidRDefault="008C76E0" w:rsidP="008C76E0">
      <w:pPr>
        <w:widowControl/>
        <w:rPr>
          <w:rFonts w:ascii="Sylfaen" w:hAnsi="Sylfaen"/>
          <w:sz w:val="24"/>
          <w:szCs w:val="24"/>
          <w:lang w:val="en-US"/>
        </w:rPr>
      </w:pPr>
      <w:r>
        <w:rPr>
          <w:rFonts w:ascii="Sylfaen" w:hAnsi="Sylfaen"/>
          <w:sz w:val="24"/>
          <w:szCs w:val="24"/>
          <w:lang w:val="en-US"/>
        </w:rPr>
        <w:br w:type="page"/>
      </w:r>
    </w:p>
    <w:p w14:paraId="5F29099A" w14:textId="77777777" w:rsidR="008C76E0" w:rsidRPr="00BD7577" w:rsidRDefault="008C76E0" w:rsidP="001C3278">
      <w:pPr>
        <w:spacing w:after="160" w:line="360" w:lineRule="auto"/>
        <w:jc w:val="center"/>
        <w:rPr>
          <w:rFonts w:ascii="Sylfaen" w:hAnsi="Sylfaen"/>
          <w:sz w:val="24"/>
          <w:szCs w:val="24"/>
        </w:rPr>
      </w:pPr>
      <w:r w:rsidRPr="00BD7577">
        <w:rPr>
          <w:rFonts w:ascii="Sylfaen" w:hAnsi="Sylfaen"/>
          <w:sz w:val="24"/>
          <w:szCs w:val="24"/>
        </w:rPr>
        <w:lastRenderedPageBreak/>
        <w:t>Ներածություն</w:t>
      </w:r>
    </w:p>
    <w:p w14:paraId="446248E3"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1.1.</w:t>
      </w:r>
      <w:r w:rsidRPr="00BD7577">
        <w:rPr>
          <w:rFonts w:ascii="Sylfaen" w:hAnsi="Sylfaen"/>
          <w:sz w:val="24"/>
          <w:szCs w:val="24"/>
        </w:rPr>
        <w:tab/>
        <w:t xml:space="preserve">Հայտի տեսակը </w:t>
      </w:r>
      <w:r w:rsidR="00C54D75">
        <w:rPr>
          <w:rFonts w:ascii="Sylfaen" w:hAnsi="Sylfaen"/>
          <w:sz w:val="24"/>
          <w:szCs w:val="24"/>
        </w:rPr>
        <w:t>և</w:t>
      </w:r>
      <w:r w:rsidRPr="00BD7577">
        <w:rPr>
          <w:rFonts w:ascii="Sylfaen" w:hAnsi="Sylfaen"/>
          <w:sz w:val="24"/>
          <w:szCs w:val="24"/>
        </w:rPr>
        <w:t xml:space="preserve"> մշակման ասպեկտները՝</w:t>
      </w:r>
    </w:p>
    <w:p w14:paraId="0993148B"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գրանցման նորմատիվ-իրավական ընթացակարգի տեսակը.</w:t>
      </w:r>
    </w:p>
    <w:p w14:paraId="6A87D76F"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գրանցման ընթացակարգի համար հատուկ հիմնավորումների կիրառման հնարավորությունը.</w:t>
      </w:r>
    </w:p>
    <w:p w14:paraId="7860AD57"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կենսահամանմանակ հայեցակարգի կիրառումը.</w:t>
      </w:r>
    </w:p>
    <w:p w14:paraId="2FE6D1A7" w14:textId="77777777" w:rsidR="008C76E0" w:rsidRPr="00324D94"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համապատասխանությունը դեղապատրաստուկների մշակման ձեռնարկներին (գիտական խորհրդատվության առկայությունը</w:t>
      </w:r>
      <w:r>
        <w:rPr>
          <w:rFonts w:ascii="Sylfaen" w:hAnsi="Sylfaen"/>
          <w:sz w:val="24"/>
          <w:szCs w:val="24"/>
        </w:rPr>
        <w:t>).</w:t>
      </w:r>
    </w:p>
    <w:p w14:paraId="4505AEA3" w14:textId="77777777" w:rsidR="008C76E0" w:rsidRPr="00DD61E4"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մանկաբուժական հետազոտությունների նշանակալիությունը</w:t>
      </w:r>
      <w:r>
        <w:rPr>
          <w:rFonts w:ascii="Sylfaen" w:hAnsi="Sylfaen"/>
          <w:sz w:val="24"/>
          <w:szCs w:val="24"/>
        </w:rPr>
        <w:t>:</w:t>
      </w:r>
    </w:p>
    <w:p w14:paraId="06097B2F"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1.2.</w:t>
      </w:r>
      <w:r w:rsidRPr="00BD7577">
        <w:rPr>
          <w:rFonts w:ascii="Sylfaen" w:hAnsi="Sylfaen"/>
          <w:sz w:val="24"/>
          <w:szCs w:val="24"/>
        </w:rPr>
        <w:tab/>
        <w:t>Պատշաճ կլինիկական գործելակերպի (GCP) սկզբունքների պահպանումը:</w:t>
      </w:r>
    </w:p>
    <w:p w14:paraId="34C776FE"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1.3.</w:t>
      </w:r>
      <w:r w:rsidRPr="00BD7577">
        <w:rPr>
          <w:rFonts w:ascii="Sylfaen" w:hAnsi="Sylfaen"/>
          <w:sz w:val="24"/>
          <w:szCs w:val="24"/>
        </w:rPr>
        <w:tab/>
        <w:t>Օրֆանային դեղապատրաստուկների դասին պատկանելիության վերաբերյալ տվյալներ:</w:t>
      </w:r>
    </w:p>
    <w:p w14:paraId="632CBB99" w14:textId="77777777" w:rsidR="008C76E0" w:rsidRPr="00BD7577" w:rsidRDefault="008C76E0" w:rsidP="001C3278">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 xml:space="preserve">Առողջապահության ոլորտում լիազորված մարմինների եզրակացությանը համապատասխան (00/00/00-ի եզրակացությունը)՝ հիվանդության դեպքերի հաճախությունը (նշել հիվանդաբանության անվանումը) Եվրասիական տնտեսական միության անդամ պետությունների տարածքներում 10000 մարդու հաշվարկով կազմում է (XX) (տվյալները բացակայում են): </w:t>
      </w:r>
    </w:p>
    <w:p w14:paraId="4625C7CE" w14:textId="77777777" w:rsidR="008C76E0" w:rsidRPr="00BD7577" w:rsidRDefault="008C76E0" w:rsidP="001C3278">
      <w:pPr>
        <w:pStyle w:val="Bodytext180"/>
        <w:spacing w:before="0" w:after="160" w:line="360" w:lineRule="auto"/>
        <w:ind w:left="-35" w:firstLine="0"/>
        <w:jc w:val="center"/>
        <w:rPr>
          <w:rStyle w:val="Bodytext295pt"/>
          <w:rFonts w:ascii="Sylfaen" w:hAnsi="Sylfaen"/>
          <w:spacing w:val="0"/>
          <w:sz w:val="24"/>
          <w:szCs w:val="24"/>
        </w:rPr>
      </w:pPr>
    </w:p>
    <w:p w14:paraId="326F00E7" w14:textId="77777777" w:rsidR="008C76E0" w:rsidRPr="00BD7577" w:rsidRDefault="008C76E0" w:rsidP="001C3278">
      <w:pPr>
        <w:pStyle w:val="Bodytext180"/>
        <w:spacing w:before="0" w:after="160" w:line="360" w:lineRule="auto"/>
        <w:ind w:left="-35" w:firstLine="0"/>
        <w:jc w:val="center"/>
        <w:rPr>
          <w:rStyle w:val="Bodytext295pt"/>
          <w:rFonts w:ascii="Sylfaen" w:hAnsi="Sylfaen"/>
          <w:i/>
          <w:spacing w:val="0"/>
          <w:sz w:val="24"/>
          <w:szCs w:val="24"/>
        </w:rPr>
      </w:pPr>
      <w:r w:rsidRPr="00BD7577">
        <w:rPr>
          <w:rStyle w:val="Bodytext295pt"/>
          <w:rFonts w:ascii="Sylfaen" w:hAnsi="Sylfaen"/>
          <w:spacing w:val="0"/>
          <w:sz w:val="24"/>
          <w:szCs w:val="24"/>
        </w:rPr>
        <w:t>2. Կլինիկական դեղաբանություն</w:t>
      </w:r>
    </w:p>
    <w:p w14:paraId="67827A4D" w14:textId="77777777" w:rsidR="008C76E0" w:rsidRPr="008C76E0" w:rsidRDefault="008C76E0" w:rsidP="001C3278">
      <w:pPr>
        <w:pStyle w:val="Bodytext180"/>
        <w:shd w:val="clear" w:color="auto" w:fill="auto"/>
        <w:tabs>
          <w:tab w:val="left" w:pos="1134"/>
        </w:tabs>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2.1.</w:t>
      </w:r>
      <w:r w:rsidRPr="00BD7577">
        <w:rPr>
          <w:rStyle w:val="Bodytext295pt"/>
          <w:rFonts w:ascii="Sylfaen" w:hAnsi="Sylfaen"/>
          <w:spacing w:val="0"/>
          <w:sz w:val="24"/>
          <w:szCs w:val="24"/>
        </w:rPr>
        <w:tab/>
        <w:t>Դեղակինետիկա։</w:t>
      </w:r>
    </w:p>
    <w:p w14:paraId="139ADAC1" w14:textId="77777777" w:rsidR="008C76E0" w:rsidRPr="008C76E0" w:rsidRDefault="008C76E0" w:rsidP="001C3278">
      <w:pPr>
        <w:pStyle w:val="Bodytext180"/>
        <w:shd w:val="clear" w:color="auto" w:fill="auto"/>
        <w:tabs>
          <w:tab w:val="left" w:pos="1701"/>
        </w:tabs>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2.1.1.</w:t>
      </w:r>
      <w:r w:rsidRPr="00BD7577">
        <w:rPr>
          <w:rStyle w:val="Bodytext295pt"/>
          <w:rFonts w:ascii="Sylfaen" w:hAnsi="Sylfaen"/>
          <w:spacing w:val="0"/>
          <w:sz w:val="24"/>
          <w:szCs w:val="24"/>
        </w:rPr>
        <w:tab/>
        <w:t>Ներածություն:</w:t>
      </w:r>
    </w:p>
    <w:p w14:paraId="36C6DE7A" w14:textId="77777777" w:rsidR="008C76E0" w:rsidRPr="008C76E0" w:rsidRDefault="008C76E0" w:rsidP="001C3278">
      <w:pPr>
        <w:pStyle w:val="Bodytext180"/>
        <w:shd w:val="clear" w:color="auto" w:fill="auto"/>
        <w:tabs>
          <w:tab w:val="left" w:pos="1701"/>
        </w:tabs>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2.1.2.</w:t>
      </w:r>
      <w:r w:rsidRPr="00BD7577">
        <w:rPr>
          <w:rStyle w:val="Bodytext295pt"/>
          <w:rFonts w:ascii="Sylfaen" w:hAnsi="Sylfaen"/>
          <w:spacing w:val="0"/>
          <w:sz w:val="24"/>
          <w:szCs w:val="24"/>
        </w:rPr>
        <w:tab/>
        <w:t>Մեթոդները:</w:t>
      </w:r>
    </w:p>
    <w:p w14:paraId="0651C949" w14:textId="77777777" w:rsidR="008C76E0" w:rsidRPr="00BD7577" w:rsidRDefault="008C76E0" w:rsidP="001C3278">
      <w:pPr>
        <w:pStyle w:val="Bodytext180"/>
        <w:shd w:val="clear" w:color="auto" w:fill="auto"/>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Անալիտիկ մեթոդներն ու մեթոդիկաները</w:t>
      </w:r>
    </w:p>
    <w:tbl>
      <w:tblPr>
        <w:tblOverlap w:val="never"/>
        <w:tblW w:w="10285" w:type="dxa"/>
        <w:jc w:val="center"/>
        <w:tblLayout w:type="fixed"/>
        <w:tblCellMar>
          <w:left w:w="10" w:type="dxa"/>
          <w:right w:w="10" w:type="dxa"/>
        </w:tblCellMar>
        <w:tblLook w:val="04A0" w:firstRow="1" w:lastRow="0" w:firstColumn="1" w:lastColumn="0" w:noHBand="0" w:noVBand="1"/>
      </w:tblPr>
      <w:tblGrid>
        <w:gridCol w:w="2531"/>
        <w:gridCol w:w="1573"/>
        <w:gridCol w:w="970"/>
        <w:gridCol w:w="1050"/>
        <w:gridCol w:w="1492"/>
        <w:gridCol w:w="528"/>
        <w:gridCol w:w="2141"/>
      </w:tblGrid>
      <w:tr w:rsidR="008C76E0" w:rsidRPr="00BD7577" w14:paraId="46882E6D"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0AA3BCA1"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lastRenderedPageBreak/>
              <w:t>Փորձագետի մեկնաբանությունը</w:t>
            </w:r>
          </w:p>
        </w:tc>
      </w:tr>
      <w:tr w:rsidR="008C76E0" w:rsidRPr="00BD7577" w14:paraId="05ADD5B6" w14:textId="77777777" w:rsidTr="008C76E0">
        <w:trPr>
          <w:jc w:val="center"/>
        </w:trPr>
        <w:tc>
          <w:tcPr>
            <w:tcW w:w="10285" w:type="dxa"/>
            <w:gridSpan w:val="7"/>
            <w:tcBorders>
              <w:top w:val="single" w:sz="4" w:space="0" w:color="auto"/>
            </w:tcBorders>
            <w:shd w:val="clear" w:color="auto" w:fill="FFFFFF"/>
            <w:vAlign w:val="bottom"/>
          </w:tcPr>
          <w:p w14:paraId="7169DF71" w14:textId="77777777" w:rsidR="008C76E0" w:rsidRPr="00BD7577" w:rsidRDefault="008C76E0" w:rsidP="008C76E0">
            <w:pPr>
              <w:pStyle w:val="Bodytext180"/>
              <w:shd w:val="clear" w:color="auto" w:fill="auto"/>
              <w:spacing w:before="0" w:after="160" w:line="360" w:lineRule="auto"/>
              <w:ind w:left="536" w:firstLine="0"/>
              <w:rPr>
                <w:rFonts w:ascii="Sylfaen" w:hAnsi="Sylfaen"/>
                <w:b w:val="0"/>
                <w:sz w:val="24"/>
                <w:szCs w:val="24"/>
              </w:rPr>
            </w:pPr>
            <w:r w:rsidRPr="00BD7577">
              <w:rPr>
                <w:rStyle w:val="Bodytext295pt"/>
                <w:rFonts w:ascii="Sylfaen" w:hAnsi="Sylfaen"/>
                <w:spacing w:val="0"/>
                <w:sz w:val="24"/>
                <w:szCs w:val="24"/>
              </w:rPr>
              <w:t>Դեղակինետիկ տվյալների վերլուծությունը</w:t>
            </w:r>
          </w:p>
        </w:tc>
      </w:tr>
      <w:tr w:rsidR="008C76E0" w:rsidRPr="00BD7577" w14:paraId="1BFAE64F"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8EC4AB4"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9AD1552" w14:textId="77777777" w:rsidTr="008C76E0">
        <w:trPr>
          <w:jc w:val="center"/>
        </w:trPr>
        <w:tc>
          <w:tcPr>
            <w:tcW w:w="10285" w:type="dxa"/>
            <w:gridSpan w:val="7"/>
            <w:tcBorders>
              <w:top w:val="single" w:sz="4" w:space="0" w:color="auto"/>
            </w:tcBorders>
            <w:shd w:val="clear" w:color="auto" w:fill="FFFFFF"/>
            <w:vAlign w:val="center"/>
          </w:tcPr>
          <w:p w14:paraId="0362358D" w14:textId="77777777" w:rsidR="008C76E0" w:rsidRPr="00BD7577" w:rsidRDefault="008C76E0" w:rsidP="008C76E0">
            <w:pPr>
              <w:pStyle w:val="Bodytext180"/>
              <w:shd w:val="clear" w:color="auto" w:fill="auto"/>
              <w:spacing w:before="0" w:after="160" w:line="360" w:lineRule="auto"/>
              <w:ind w:left="536" w:firstLine="0"/>
              <w:rPr>
                <w:rFonts w:ascii="Sylfaen" w:hAnsi="Sylfaen"/>
                <w:b w:val="0"/>
                <w:sz w:val="24"/>
                <w:szCs w:val="24"/>
              </w:rPr>
            </w:pPr>
            <w:r w:rsidRPr="00BD7577">
              <w:rPr>
                <w:rStyle w:val="Bodytext295pt"/>
                <w:rFonts w:ascii="Sylfaen" w:hAnsi="Sylfaen"/>
                <w:spacing w:val="0"/>
                <w:sz w:val="24"/>
                <w:szCs w:val="24"/>
              </w:rPr>
              <w:t>Վիճակագրական վերլուծությունը</w:t>
            </w:r>
          </w:p>
        </w:tc>
      </w:tr>
      <w:tr w:rsidR="008C76E0" w:rsidRPr="00BD7577" w14:paraId="1FECABF7"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3017E659"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119D5FD" w14:textId="77777777" w:rsidTr="008C76E0">
        <w:trPr>
          <w:jc w:val="center"/>
        </w:trPr>
        <w:tc>
          <w:tcPr>
            <w:tcW w:w="10285" w:type="dxa"/>
            <w:gridSpan w:val="7"/>
            <w:tcBorders>
              <w:top w:val="single" w:sz="4" w:space="0" w:color="auto"/>
            </w:tcBorders>
            <w:shd w:val="clear" w:color="auto" w:fill="FFFFFF"/>
            <w:vAlign w:val="center"/>
          </w:tcPr>
          <w:p w14:paraId="558DEF15" w14:textId="77777777" w:rsidR="008C76E0" w:rsidRPr="00BD7577" w:rsidRDefault="008C76E0" w:rsidP="008C76E0">
            <w:pPr>
              <w:pStyle w:val="Bodytext180"/>
              <w:shd w:val="clear" w:color="auto" w:fill="auto"/>
              <w:tabs>
                <w:tab w:val="left" w:pos="1677"/>
              </w:tabs>
              <w:spacing w:before="0" w:after="160" w:line="360" w:lineRule="auto"/>
              <w:ind w:firstLine="567"/>
              <w:rPr>
                <w:rFonts w:ascii="Sylfaen" w:hAnsi="Sylfaen"/>
                <w:b w:val="0"/>
                <w:sz w:val="24"/>
                <w:szCs w:val="24"/>
              </w:rPr>
            </w:pPr>
            <w:r>
              <w:rPr>
                <w:rStyle w:val="Bodytext295pt"/>
                <w:rFonts w:ascii="Sylfaen" w:hAnsi="Sylfaen"/>
                <w:spacing w:val="0"/>
                <w:sz w:val="24"/>
                <w:szCs w:val="24"/>
              </w:rPr>
              <w:t>2.1.3.</w:t>
            </w:r>
            <w:r w:rsidRPr="00BD7577">
              <w:rPr>
                <w:rStyle w:val="Bodytext295pt"/>
                <w:rFonts w:ascii="Sylfaen" w:hAnsi="Sylfaen"/>
                <w:spacing w:val="0"/>
                <w:sz w:val="24"/>
                <w:szCs w:val="24"/>
              </w:rPr>
              <w:tab/>
              <w:t>Կլանումը: Կենսամատչելիությունը</w:t>
            </w:r>
          </w:p>
        </w:tc>
      </w:tr>
      <w:tr w:rsidR="008C76E0" w:rsidRPr="00BD7577" w14:paraId="21F2D5F5"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7333131"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C9EF503" w14:textId="77777777" w:rsidTr="008C76E0">
        <w:trPr>
          <w:jc w:val="center"/>
        </w:trPr>
        <w:tc>
          <w:tcPr>
            <w:tcW w:w="10285" w:type="dxa"/>
            <w:gridSpan w:val="7"/>
            <w:tcBorders>
              <w:top w:val="single" w:sz="4" w:space="0" w:color="auto"/>
            </w:tcBorders>
            <w:shd w:val="clear" w:color="auto" w:fill="FFFFFF"/>
            <w:vAlign w:val="center"/>
          </w:tcPr>
          <w:p w14:paraId="7C06D178"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Կենսահամարժեքությունը</w:t>
            </w:r>
          </w:p>
        </w:tc>
      </w:tr>
      <w:tr w:rsidR="008C76E0" w:rsidRPr="00BD7577" w14:paraId="13871CF8"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692A36D9"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C3C32CC" w14:textId="77777777" w:rsidTr="008C76E0">
        <w:trPr>
          <w:jc w:val="center"/>
        </w:trPr>
        <w:tc>
          <w:tcPr>
            <w:tcW w:w="10285" w:type="dxa"/>
            <w:gridSpan w:val="7"/>
            <w:tcBorders>
              <w:top w:val="single" w:sz="4" w:space="0" w:color="auto"/>
            </w:tcBorders>
            <w:shd w:val="clear" w:color="auto" w:fill="FFFFFF"/>
            <w:vAlign w:val="center"/>
          </w:tcPr>
          <w:p w14:paraId="416F0C6B"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Սննդի ազդեցությունը</w:t>
            </w:r>
          </w:p>
        </w:tc>
      </w:tr>
      <w:tr w:rsidR="008C76E0" w:rsidRPr="00BD7577" w14:paraId="157C6329"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0C75925B"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E98F79D" w14:textId="77777777" w:rsidTr="008C76E0">
        <w:trPr>
          <w:jc w:val="center"/>
        </w:trPr>
        <w:tc>
          <w:tcPr>
            <w:tcW w:w="10285" w:type="dxa"/>
            <w:gridSpan w:val="7"/>
            <w:tcBorders>
              <w:top w:val="single" w:sz="4" w:space="0" w:color="auto"/>
            </w:tcBorders>
            <w:shd w:val="clear" w:color="auto" w:fill="FFFFFF"/>
            <w:vAlign w:val="bottom"/>
          </w:tcPr>
          <w:p w14:paraId="5FF4D4EA" w14:textId="77777777" w:rsidR="008C76E0" w:rsidRPr="00BD7577" w:rsidRDefault="008C76E0" w:rsidP="008C76E0">
            <w:pPr>
              <w:pStyle w:val="Bodytext180"/>
              <w:shd w:val="clear" w:color="auto" w:fill="auto"/>
              <w:tabs>
                <w:tab w:val="left" w:pos="1707"/>
              </w:tabs>
              <w:spacing w:before="0" w:after="160" w:line="360" w:lineRule="auto"/>
              <w:ind w:firstLine="567"/>
              <w:rPr>
                <w:rFonts w:ascii="Sylfaen" w:hAnsi="Sylfaen"/>
                <w:b w:val="0"/>
                <w:sz w:val="24"/>
                <w:szCs w:val="24"/>
              </w:rPr>
            </w:pPr>
            <w:r>
              <w:rPr>
                <w:rStyle w:val="Bodytext295pt"/>
                <w:rFonts w:ascii="Sylfaen" w:hAnsi="Sylfaen"/>
                <w:spacing w:val="0"/>
                <w:sz w:val="24"/>
                <w:szCs w:val="24"/>
              </w:rPr>
              <w:t>2.1.4.</w:t>
            </w:r>
            <w:r>
              <w:rPr>
                <w:rStyle w:val="Bodytext295pt"/>
                <w:rFonts w:ascii="Sylfaen" w:hAnsi="Sylfaen"/>
                <w:spacing w:val="0"/>
                <w:sz w:val="24"/>
                <w:szCs w:val="24"/>
              </w:rPr>
              <w:tab/>
            </w:r>
            <w:r w:rsidRPr="00BD7577">
              <w:rPr>
                <w:rStyle w:val="Bodytext295pt"/>
                <w:rFonts w:ascii="Sylfaen" w:hAnsi="Sylfaen"/>
                <w:spacing w:val="0"/>
                <w:sz w:val="24"/>
                <w:szCs w:val="24"/>
              </w:rPr>
              <w:t>Բաշխումը:</w:t>
            </w:r>
          </w:p>
        </w:tc>
      </w:tr>
      <w:tr w:rsidR="008C76E0" w:rsidRPr="00BD7577" w14:paraId="4B53AF76"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5D601D5F" w14:textId="77777777" w:rsidR="008C76E0" w:rsidRPr="00BD7577" w:rsidRDefault="008C76E0" w:rsidP="008C76E0">
            <w:pPr>
              <w:pStyle w:val="Bodytext180"/>
              <w:shd w:val="clear" w:color="auto" w:fill="auto"/>
              <w:spacing w:before="0" w:after="160" w:line="360" w:lineRule="auto"/>
              <w:ind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79303F3" w14:textId="77777777" w:rsidTr="008C76E0">
        <w:trPr>
          <w:jc w:val="center"/>
        </w:trPr>
        <w:tc>
          <w:tcPr>
            <w:tcW w:w="10285" w:type="dxa"/>
            <w:gridSpan w:val="7"/>
            <w:tcBorders>
              <w:top w:val="single" w:sz="4" w:space="0" w:color="auto"/>
            </w:tcBorders>
            <w:shd w:val="clear" w:color="auto" w:fill="FFFFFF"/>
            <w:vAlign w:val="bottom"/>
          </w:tcPr>
          <w:p w14:paraId="647F158F" w14:textId="77777777" w:rsidR="008C76E0" w:rsidRPr="00BD7577" w:rsidRDefault="008C76E0" w:rsidP="008C76E0">
            <w:pPr>
              <w:pStyle w:val="Bodytext180"/>
              <w:shd w:val="clear" w:color="auto" w:fill="auto"/>
              <w:tabs>
                <w:tab w:val="left" w:pos="1707"/>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2.1.5.</w:t>
            </w:r>
            <w:r w:rsidRPr="00BD7577">
              <w:rPr>
                <w:rStyle w:val="Bodytext295pt"/>
                <w:rFonts w:ascii="Sylfaen" w:hAnsi="Sylfaen"/>
                <w:spacing w:val="0"/>
                <w:sz w:val="24"/>
                <w:szCs w:val="24"/>
              </w:rPr>
              <w:tab/>
              <w:t>Վերացումը:</w:t>
            </w:r>
          </w:p>
          <w:p w14:paraId="7A6B0B07" w14:textId="77777777" w:rsidR="008C76E0" w:rsidRPr="00BD7577" w:rsidRDefault="008C76E0" w:rsidP="008C76E0">
            <w:pPr>
              <w:pStyle w:val="Bodytext180"/>
              <w:shd w:val="clear" w:color="auto" w:fill="auto"/>
              <w:tabs>
                <w:tab w:val="left" w:pos="1611"/>
              </w:tabs>
              <w:spacing w:before="0" w:after="160" w:line="360" w:lineRule="auto"/>
              <w:ind w:firstLine="536"/>
              <w:rPr>
                <w:rFonts w:ascii="Sylfaen" w:hAnsi="Sylfaen"/>
                <w:b w:val="0"/>
                <w:sz w:val="24"/>
                <w:szCs w:val="24"/>
              </w:rPr>
            </w:pPr>
            <w:r w:rsidRPr="00BD7577">
              <w:rPr>
                <w:rStyle w:val="Bodytext295pt"/>
                <w:rFonts w:ascii="Sylfaen" w:hAnsi="Sylfaen"/>
                <w:spacing w:val="0"/>
                <w:sz w:val="24"/>
                <w:szCs w:val="24"/>
              </w:rPr>
              <w:t>Դուրսբերումը:</w:t>
            </w:r>
          </w:p>
        </w:tc>
      </w:tr>
      <w:tr w:rsidR="008C76E0" w:rsidRPr="00BD7577" w14:paraId="79DDA427"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5E0B7D95"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8B5FA7F" w14:textId="77777777" w:rsidTr="008C76E0">
        <w:trPr>
          <w:jc w:val="center"/>
        </w:trPr>
        <w:tc>
          <w:tcPr>
            <w:tcW w:w="10285" w:type="dxa"/>
            <w:gridSpan w:val="7"/>
            <w:tcBorders>
              <w:top w:val="single" w:sz="4" w:space="0" w:color="auto"/>
            </w:tcBorders>
            <w:shd w:val="clear" w:color="auto" w:fill="FFFFFF"/>
            <w:vAlign w:val="center"/>
          </w:tcPr>
          <w:p w14:paraId="46EF6301"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Նյութափոխանակությունը</w:t>
            </w:r>
          </w:p>
        </w:tc>
      </w:tr>
      <w:tr w:rsidR="008C76E0" w:rsidRPr="00BD7577" w14:paraId="4C1B3BE4"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2857D1E0"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77E1063" w14:textId="77777777" w:rsidTr="008C76E0">
        <w:trPr>
          <w:jc w:val="center"/>
        </w:trPr>
        <w:tc>
          <w:tcPr>
            <w:tcW w:w="10285" w:type="dxa"/>
            <w:gridSpan w:val="7"/>
            <w:tcBorders>
              <w:top w:val="single" w:sz="4" w:space="0" w:color="auto"/>
            </w:tcBorders>
            <w:shd w:val="clear" w:color="auto" w:fill="FFFFFF"/>
            <w:vAlign w:val="bottom"/>
          </w:tcPr>
          <w:p w14:paraId="4BD57889"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Փոխադարձ փոխարկում</w:t>
            </w:r>
          </w:p>
        </w:tc>
      </w:tr>
      <w:tr w:rsidR="008C76E0" w:rsidRPr="00BD7577" w14:paraId="4407731F"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A47800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E1A9B3B" w14:textId="77777777" w:rsidTr="008C76E0">
        <w:trPr>
          <w:jc w:val="center"/>
        </w:trPr>
        <w:tc>
          <w:tcPr>
            <w:tcW w:w="10285" w:type="dxa"/>
            <w:gridSpan w:val="7"/>
            <w:tcBorders>
              <w:top w:val="single" w:sz="4" w:space="0" w:color="auto"/>
            </w:tcBorders>
            <w:shd w:val="clear" w:color="auto" w:fill="FFFFFF"/>
            <w:vAlign w:val="bottom"/>
          </w:tcPr>
          <w:p w14:paraId="6CD83949"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Մետաբոլիտների դեղակինետիկան</w:t>
            </w:r>
          </w:p>
        </w:tc>
      </w:tr>
      <w:tr w:rsidR="008C76E0" w:rsidRPr="00BD7577" w14:paraId="38A2374E"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DC20E10"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lastRenderedPageBreak/>
              <w:t>Փորձագետի մեկնաբանությունը</w:t>
            </w:r>
          </w:p>
        </w:tc>
      </w:tr>
      <w:tr w:rsidR="008C76E0" w:rsidRPr="00BD7577" w14:paraId="5BB99246" w14:textId="77777777" w:rsidTr="008C76E0">
        <w:trPr>
          <w:jc w:val="center"/>
        </w:trPr>
        <w:tc>
          <w:tcPr>
            <w:tcW w:w="10285" w:type="dxa"/>
            <w:gridSpan w:val="7"/>
            <w:tcBorders>
              <w:top w:val="single" w:sz="4" w:space="0" w:color="auto"/>
            </w:tcBorders>
            <w:shd w:val="clear" w:color="auto" w:fill="FFFFFF"/>
            <w:vAlign w:val="bottom"/>
          </w:tcPr>
          <w:p w14:paraId="42308DB8"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Հնարավոր գենետիկական պոլիմորֆիզմի հետ</w:t>
            </w:r>
            <w:r w:rsidR="00C54D75">
              <w:rPr>
                <w:rStyle w:val="Bodytext295pt"/>
                <w:rFonts w:ascii="Sylfaen" w:hAnsi="Sylfaen"/>
                <w:spacing w:val="0"/>
                <w:sz w:val="24"/>
                <w:szCs w:val="24"/>
              </w:rPr>
              <w:t>և</w:t>
            </w:r>
            <w:r w:rsidRPr="00BD7577">
              <w:rPr>
                <w:rStyle w:val="Bodytext295pt"/>
                <w:rFonts w:ascii="Sylfaen" w:hAnsi="Sylfaen"/>
                <w:spacing w:val="0"/>
                <w:sz w:val="24"/>
                <w:szCs w:val="24"/>
              </w:rPr>
              <w:t>անքները</w:t>
            </w:r>
          </w:p>
        </w:tc>
      </w:tr>
      <w:tr w:rsidR="008C76E0" w:rsidRPr="00BD7577" w14:paraId="613DB498"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92D7DBD"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539D6BD" w14:textId="77777777" w:rsidTr="008C76E0">
        <w:trPr>
          <w:jc w:val="center"/>
        </w:trPr>
        <w:tc>
          <w:tcPr>
            <w:tcW w:w="10285" w:type="dxa"/>
            <w:gridSpan w:val="7"/>
            <w:tcBorders>
              <w:top w:val="single" w:sz="4" w:space="0" w:color="auto"/>
            </w:tcBorders>
            <w:shd w:val="clear" w:color="auto" w:fill="FFFFFF"/>
            <w:vAlign w:val="bottom"/>
          </w:tcPr>
          <w:p w14:paraId="17460BA7" w14:textId="77777777" w:rsidR="008C76E0" w:rsidRPr="008C76E0" w:rsidRDefault="008C76E0" w:rsidP="008C76E0">
            <w:pPr>
              <w:pStyle w:val="Bodytext180"/>
              <w:shd w:val="clear" w:color="auto" w:fill="auto"/>
              <w:tabs>
                <w:tab w:val="left" w:pos="1722"/>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2.1.6.</w:t>
            </w:r>
            <w:r w:rsidRPr="00BD7577">
              <w:rPr>
                <w:rStyle w:val="Bodytext295pt"/>
                <w:rFonts w:ascii="Sylfaen" w:hAnsi="Sylfaen"/>
                <w:spacing w:val="0"/>
                <w:sz w:val="24"/>
                <w:szCs w:val="24"/>
              </w:rPr>
              <w:tab/>
              <w:t xml:space="preserve">Դոզաների համամասնությունը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ժամանակավոր կախվածությունը: Դոզաների համամասնությունը</w:t>
            </w:r>
          </w:p>
        </w:tc>
      </w:tr>
      <w:tr w:rsidR="008C76E0" w:rsidRPr="00BD7577" w14:paraId="00179ED1"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46EFFF0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585118C" w14:textId="77777777" w:rsidTr="008C76E0">
        <w:trPr>
          <w:jc w:val="center"/>
        </w:trPr>
        <w:tc>
          <w:tcPr>
            <w:tcW w:w="10285" w:type="dxa"/>
            <w:gridSpan w:val="7"/>
            <w:tcBorders>
              <w:top w:val="single" w:sz="4" w:space="0" w:color="auto"/>
            </w:tcBorders>
            <w:shd w:val="clear" w:color="auto" w:fill="FFFFFF"/>
            <w:vAlign w:val="bottom"/>
          </w:tcPr>
          <w:p w14:paraId="2534614A"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Ժամանակավոր կախվածությունը</w:t>
            </w:r>
          </w:p>
        </w:tc>
      </w:tr>
      <w:tr w:rsidR="008C76E0" w:rsidRPr="00BD7577" w14:paraId="22CDA9B4"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3CFF2225"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F18C3E5" w14:textId="77777777" w:rsidTr="008C76E0">
        <w:trPr>
          <w:jc w:val="center"/>
        </w:trPr>
        <w:tc>
          <w:tcPr>
            <w:tcW w:w="10285" w:type="dxa"/>
            <w:gridSpan w:val="7"/>
            <w:tcBorders>
              <w:top w:val="single" w:sz="4" w:space="0" w:color="auto"/>
            </w:tcBorders>
            <w:shd w:val="clear" w:color="auto" w:fill="FFFFFF"/>
            <w:vAlign w:val="bottom"/>
          </w:tcPr>
          <w:p w14:paraId="46F42413" w14:textId="77777777" w:rsidR="008C76E0" w:rsidRPr="00BD7577" w:rsidRDefault="008C76E0" w:rsidP="008C76E0">
            <w:pPr>
              <w:pStyle w:val="Bodytext180"/>
              <w:shd w:val="clear" w:color="auto" w:fill="auto"/>
              <w:tabs>
                <w:tab w:val="left" w:pos="1670"/>
              </w:tabs>
              <w:spacing w:before="0" w:after="160" w:line="360" w:lineRule="auto"/>
              <w:ind w:firstLine="567"/>
              <w:rPr>
                <w:rFonts w:ascii="Sylfaen" w:hAnsi="Sylfaen"/>
                <w:b w:val="0"/>
                <w:sz w:val="24"/>
                <w:szCs w:val="24"/>
              </w:rPr>
            </w:pPr>
            <w:r>
              <w:rPr>
                <w:rStyle w:val="Bodytext295pt"/>
                <w:rFonts w:ascii="Sylfaen" w:hAnsi="Sylfaen"/>
                <w:spacing w:val="0"/>
                <w:sz w:val="24"/>
                <w:szCs w:val="24"/>
              </w:rPr>
              <w:t>2.1.7.</w:t>
            </w:r>
            <w:r w:rsidRPr="00BD7577">
              <w:rPr>
                <w:rStyle w:val="Bodytext295pt"/>
                <w:rFonts w:ascii="Sylfaen" w:hAnsi="Sylfaen"/>
                <w:spacing w:val="0"/>
                <w:sz w:val="24"/>
                <w:szCs w:val="24"/>
              </w:rPr>
              <w:tab/>
              <w:t xml:space="preserve">Ներանհատական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միջանհատական փոփոխականությունը: </w:t>
            </w:r>
          </w:p>
        </w:tc>
      </w:tr>
      <w:tr w:rsidR="008C76E0" w:rsidRPr="00BD7577" w14:paraId="2A512636"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41FFD9D" w14:textId="77777777" w:rsidR="008C76E0" w:rsidRPr="00BD7577" w:rsidRDefault="008C76E0" w:rsidP="008C76E0">
            <w:pPr>
              <w:pStyle w:val="Bodytext180"/>
              <w:shd w:val="clear" w:color="auto" w:fill="auto"/>
              <w:tabs>
                <w:tab w:val="left" w:pos="1670"/>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66509CC" w14:textId="77777777" w:rsidTr="008C76E0">
        <w:trPr>
          <w:jc w:val="center"/>
        </w:trPr>
        <w:tc>
          <w:tcPr>
            <w:tcW w:w="10285" w:type="dxa"/>
            <w:gridSpan w:val="7"/>
            <w:tcBorders>
              <w:top w:val="single" w:sz="4" w:space="0" w:color="auto"/>
            </w:tcBorders>
            <w:shd w:val="clear" w:color="auto" w:fill="FFFFFF"/>
            <w:vAlign w:val="bottom"/>
          </w:tcPr>
          <w:p w14:paraId="0633A59C" w14:textId="77777777" w:rsidR="008C76E0" w:rsidRPr="00BD7577" w:rsidRDefault="008C76E0" w:rsidP="008C76E0">
            <w:pPr>
              <w:pStyle w:val="Bodytext180"/>
              <w:shd w:val="clear" w:color="auto" w:fill="auto"/>
              <w:tabs>
                <w:tab w:val="left" w:pos="1670"/>
              </w:tabs>
              <w:spacing w:before="0" w:after="160" w:line="360" w:lineRule="auto"/>
              <w:ind w:firstLine="567"/>
              <w:rPr>
                <w:rFonts w:ascii="Sylfaen" w:hAnsi="Sylfaen"/>
                <w:b w:val="0"/>
                <w:sz w:val="24"/>
                <w:szCs w:val="24"/>
              </w:rPr>
            </w:pPr>
            <w:r>
              <w:rPr>
                <w:rStyle w:val="Bodytext295pt"/>
                <w:rFonts w:ascii="Sylfaen" w:hAnsi="Sylfaen"/>
                <w:spacing w:val="0"/>
                <w:sz w:val="24"/>
                <w:szCs w:val="24"/>
              </w:rPr>
              <w:t>2.1.8.</w:t>
            </w:r>
            <w:r w:rsidRPr="00BD7577">
              <w:rPr>
                <w:rStyle w:val="Bodytext295pt"/>
                <w:rFonts w:ascii="Sylfaen" w:hAnsi="Sylfaen"/>
                <w:spacing w:val="0"/>
                <w:sz w:val="24"/>
                <w:szCs w:val="24"/>
              </w:rPr>
              <w:tab/>
              <w:t>Նպատակային պոպուլյացիայի մոտ դեղակինետիկան:</w:t>
            </w:r>
          </w:p>
        </w:tc>
      </w:tr>
      <w:tr w:rsidR="008C76E0" w:rsidRPr="00BD7577" w14:paraId="3A5A4AEE"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6D358C75" w14:textId="77777777" w:rsidR="008C76E0" w:rsidRPr="00BD7577" w:rsidRDefault="008C76E0" w:rsidP="008C76E0">
            <w:pPr>
              <w:pStyle w:val="Bodytext180"/>
              <w:shd w:val="clear" w:color="auto" w:fill="auto"/>
              <w:tabs>
                <w:tab w:val="left" w:pos="1670"/>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096D578" w14:textId="77777777" w:rsidTr="008C76E0">
        <w:trPr>
          <w:jc w:val="center"/>
        </w:trPr>
        <w:tc>
          <w:tcPr>
            <w:tcW w:w="10285" w:type="dxa"/>
            <w:gridSpan w:val="7"/>
            <w:tcBorders>
              <w:top w:val="single" w:sz="4" w:space="0" w:color="auto"/>
            </w:tcBorders>
            <w:shd w:val="clear" w:color="auto" w:fill="FFFFFF"/>
            <w:vAlign w:val="bottom"/>
          </w:tcPr>
          <w:p w14:paraId="34F971FD" w14:textId="77777777" w:rsidR="008C76E0" w:rsidRPr="008C76E0" w:rsidRDefault="008C76E0" w:rsidP="008C76E0">
            <w:pPr>
              <w:pStyle w:val="Bodytext180"/>
              <w:shd w:val="clear" w:color="auto" w:fill="auto"/>
              <w:tabs>
                <w:tab w:val="left" w:pos="1670"/>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2.1.9.</w:t>
            </w:r>
            <w:r w:rsidRPr="00BD7577">
              <w:rPr>
                <w:rStyle w:val="Bodytext295pt"/>
                <w:rFonts w:ascii="Sylfaen" w:hAnsi="Sylfaen"/>
                <w:spacing w:val="0"/>
                <w:sz w:val="24"/>
                <w:szCs w:val="24"/>
              </w:rPr>
              <w:tab/>
              <w:t>Բնակչության հատուկ խմբերը: Երիկամների ֆունկցիայի խանգարումը</w:t>
            </w:r>
          </w:p>
        </w:tc>
      </w:tr>
      <w:tr w:rsidR="008C76E0" w:rsidRPr="00BD7577" w14:paraId="26F042BD" w14:textId="77777777" w:rsidTr="008C76E0">
        <w:trPr>
          <w:jc w:val="center"/>
        </w:trPr>
        <w:tc>
          <w:tcPr>
            <w:tcW w:w="10285" w:type="dxa"/>
            <w:gridSpan w:val="7"/>
            <w:tcBorders>
              <w:top w:val="single" w:sz="4" w:space="0" w:color="auto"/>
              <w:left w:val="single" w:sz="4" w:space="0" w:color="auto"/>
              <w:bottom w:val="single" w:sz="4" w:space="0" w:color="auto"/>
              <w:right w:val="single" w:sz="4" w:space="0" w:color="auto"/>
            </w:tcBorders>
            <w:shd w:val="clear" w:color="auto" w:fill="FFFFFF"/>
          </w:tcPr>
          <w:p w14:paraId="15883F47"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306FBB2" w14:textId="77777777" w:rsidTr="008C76E0">
        <w:trPr>
          <w:jc w:val="center"/>
        </w:trPr>
        <w:tc>
          <w:tcPr>
            <w:tcW w:w="10285" w:type="dxa"/>
            <w:gridSpan w:val="7"/>
            <w:shd w:val="clear" w:color="auto" w:fill="FFFFFF"/>
          </w:tcPr>
          <w:p w14:paraId="6A3D0C1F"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Լյարդի ֆունկցիայի խանգարումը</w:t>
            </w:r>
          </w:p>
        </w:tc>
      </w:tr>
      <w:tr w:rsidR="008C76E0" w:rsidRPr="00BD7577" w14:paraId="6204B4B9"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vAlign w:val="bottom"/>
          </w:tcPr>
          <w:p w14:paraId="7DF2ADDB"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EA29A70" w14:textId="77777777" w:rsidTr="008C76E0">
        <w:trPr>
          <w:jc w:val="center"/>
        </w:trPr>
        <w:tc>
          <w:tcPr>
            <w:tcW w:w="10285" w:type="dxa"/>
            <w:gridSpan w:val="7"/>
            <w:tcBorders>
              <w:top w:val="single" w:sz="4" w:space="0" w:color="auto"/>
            </w:tcBorders>
            <w:shd w:val="clear" w:color="auto" w:fill="FFFFFF"/>
            <w:vAlign w:val="center"/>
          </w:tcPr>
          <w:p w14:paraId="69961B4F"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Սեռը</w:t>
            </w:r>
          </w:p>
        </w:tc>
      </w:tr>
      <w:tr w:rsidR="008C76E0" w:rsidRPr="00BD7577" w14:paraId="7A4810F8"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F0B9460"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61CF9E9" w14:textId="77777777" w:rsidTr="008C76E0">
        <w:trPr>
          <w:jc w:val="center"/>
        </w:trPr>
        <w:tc>
          <w:tcPr>
            <w:tcW w:w="10285" w:type="dxa"/>
            <w:gridSpan w:val="7"/>
            <w:tcBorders>
              <w:top w:val="single" w:sz="4" w:space="0" w:color="auto"/>
            </w:tcBorders>
            <w:shd w:val="clear" w:color="auto" w:fill="FFFFFF"/>
            <w:vAlign w:val="center"/>
          </w:tcPr>
          <w:p w14:paraId="39C00217"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Ռասան</w:t>
            </w:r>
          </w:p>
        </w:tc>
      </w:tr>
      <w:tr w:rsidR="008C76E0" w:rsidRPr="00BD7577" w14:paraId="14637E11"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0AC130B"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BBD62E0" w14:textId="77777777" w:rsidTr="008C76E0">
        <w:trPr>
          <w:jc w:val="center"/>
        </w:trPr>
        <w:tc>
          <w:tcPr>
            <w:tcW w:w="10285" w:type="dxa"/>
            <w:gridSpan w:val="7"/>
            <w:tcBorders>
              <w:top w:val="single" w:sz="4" w:space="0" w:color="auto"/>
            </w:tcBorders>
            <w:shd w:val="clear" w:color="auto" w:fill="FFFFFF"/>
            <w:vAlign w:val="center"/>
          </w:tcPr>
          <w:p w14:paraId="47E80966"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Քաշը</w:t>
            </w:r>
          </w:p>
        </w:tc>
      </w:tr>
      <w:tr w:rsidR="008C76E0" w:rsidRPr="00BD7577" w14:paraId="23AC7A01"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B86F68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5CAE5EF" w14:textId="77777777" w:rsidTr="008C76E0">
        <w:trPr>
          <w:jc w:val="center"/>
        </w:trPr>
        <w:tc>
          <w:tcPr>
            <w:tcW w:w="10285" w:type="dxa"/>
            <w:gridSpan w:val="7"/>
            <w:tcBorders>
              <w:top w:val="single" w:sz="4" w:space="0" w:color="auto"/>
            </w:tcBorders>
            <w:shd w:val="clear" w:color="auto" w:fill="FFFFFF"/>
            <w:vAlign w:val="center"/>
          </w:tcPr>
          <w:p w14:paraId="2AD12D7D"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lastRenderedPageBreak/>
              <w:t>Տարեցները</w:t>
            </w:r>
          </w:p>
        </w:tc>
      </w:tr>
      <w:tr w:rsidR="008C76E0" w:rsidRPr="00BD7577" w14:paraId="7C5A83A3" w14:textId="77777777" w:rsidTr="008C76E0">
        <w:trPr>
          <w:jc w:val="center"/>
        </w:trPr>
        <w:tc>
          <w:tcPr>
            <w:tcW w:w="4104" w:type="dxa"/>
            <w:gridSpan w:val="2"/>
            <w:tcBorders>
              <w:top w:val="single" w:sz="4" w:space="0" w:color="auto"/>
              <w:left w:val="single" w:sz="4" w:space="0" w:color="auto"/>
            </w:tcBorders>
            <w:shd w:val="clear" w:color="auto" w:fill="FFFFFF"/>
          </w:tcPr>
          <w:p w14:paraId="43E3CD47"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1546F343"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5DEF1C57" w14:textId="77777777" w:rsidR="008C76E0" w:rsidRPr="00BD7577" w:rsidRDefault="008C76E0" w:rsidP="008C76E0">
            <w:pPr>
              <w:rPr>
                <w:rFonts w:ascii="Sylfaen" w:hAnsi="Sylfaen"/>
                <w:sz w:val="24"/>
                <w:szCs w:val="24"/>
              </w:rPr>
            </w:pPr>
          </w:p>
        </w:tc>
        <w:tc>
          <w:tcPr>
            <w:tcW w:w="2141" w:type="dxa"/>
            <w:tcBorders>
              <w:top w:val="single" w:sz="4" w:space="0" w:color="auto"/>
              <w:left w:val="single" w:sz="4" w:space="0" w:color="auto"/>
            </w:tcBorders>
            <w:shd w:val="clear" w:color="auto" w:fill="FFFFFF"/>
          </w:tcPr>
          <w:p w14:paraId="391F2EFD" w14:textId="77777777" w:rsidR="008C76E0" w:rsidRPr="00BD7577" w:rsidRDefault="008C76E0" w:rsidP="008C76E0">
            <w:pPr>
              <w:rPr>
                <w:rFonts w:ascii="Sylfaen" w:hAnsi="Sylfaen"/>
                <w:sz w:val="24"/>
                <w:szCs w:val="24"/>
              </w:rPr>
            </w:pPr>
          </w:p>
        </w:tc>
      </w:tr>
      <w:tr w:rsidR="008C76E0" w:rsidRPr="00BD7577" w14:paraId="4A5ACBE3" w14:textId="77777777" w:rsidTr="008C76E0">
        <w:trPr>
          <w:jc w:val="center"/>
        </w:trPr>
        <w:tc>
          <w:tcPr>
            <w:tcW w:w="4104" w:type="dxa"/>
            <w:gridSpan w:val="2"/>
            <w:tcBorders>
              <w:top w:val="single" w:sz="4" w:space="0" w:color="auto"/>
              <w:left w:val="single" w:sz="4" w:space="0" w:color="auto"/>
            </w:tcBorders>
            <w:shd w:val="clear" w:color="auto" w:fill="FFFFFF"/>
          </w:tcPr>
          <w:p w14:paraId="3778FB5A"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374F7E58"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7FAEB6DA" w14:textId="77777777" w:rsidR="008C76E0" w:rsidRPr="00BD7577" w:rsidRDefault="008C76E0" w:rsidP="008C76E0">
            <w:pPr>
              <w:rPr>
                <w:rFonts w:ascii="Sylfaen" w:hAnsi="Sylfaen"/>
                <w:sz w:val="24"/>
                <w:szCs w:val="24"/>
              </w:rPr>
            </w:pPr>
          </w:p>
        </w:tc>
        <w:tc>
          <w:tcPr>
            <w:tcW w:w="2141" w:type="dxa"/>
            <w:tcBorders>
              <w:top w:val="single" w:sz="4" w:space="0" w:color="auto"/>
              <w:left w:val="single" w:sz="4" w:space="0" w:color="auto"/>
            </w:tcBorders>
            <w:shd w:val="clear" w:color="auto" w:fill="FFFFFF"/>
          </w:tcPr>
          <w:p w14:paraId="6CA9D4EF" w14:textId="77777777" w:rsidR="008C76E0" w:rsidRPr="00BD7577" w:rsidRDefault="008C76E0" w:rsidP="008C76E0">
            <w:pPr>
              <w:rPr>
                <w:rFonts w:ascii="Sylfaen" w:hAnsi="Sylfaen"/>
                <w:sz w:val="24"/>
                <w:szCs w:val="24"/>
              </w:rPr>
            </w:pPr>
          </w:p>
        </w:tc>
      </w:tr>
      <w:tr w:rsidR="008C76E0" w:rsidRPr="00BD7577" w14:paraId="7F8B4544" w14:textId="77777777" w:rsidTr="008C76E0">
        <w:trPr>
          <w:jc w:val="center"/>
        </w:trPr>
        <w:tc>
          <w:tcPr>
            <w:tcW w:w="4104" w:type="dxa"/>
            <w:gridSpan w:val="2"/>
            <w:tcBorders>
              <w:top w:val="single" w:sz="4" w:space="0" w:color="auto"/>
              <w:left w:val="single" w:sz="4" w:space="0" w:color="auto"/>
            </w:tcBorders>
            <w:shd w:val="clear" w:color="auto" w:fill="FFFFFF"/>
          </w:tcPr>
          <w:p w14:paraId="184C8F12"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4C196394" w14:textId="77777777" w:rsidR="008C76E0" w:rsidRPr="00BD7577" w:rsidRDefault="008C76E0" w:rsidP="008C76E0">
            <w:pPr>
              <w:rPr>
                <w:rFonts w:ascii="Sylfaen" w:hAnsi="Sylfaen"/>
                <w:sz w:val="24"/>
                <w:szCs w:val="24"/>
              </w:rPr>
            </w:pPr>
          </w:p>
        </w:tc>
        <w:tc>
          <w:tcPr>
            <w:tcW w:w="2020" w:type="dxa"/>
            <w:gridSpan w:val="2"/>
            <w:tcBorders>
              <w:top w:val="single" w:sz="4" w:space="0" w:color="auto"/>
              <w:left w:val="single" w:sz="4" w:space="0" w:color="auto"/>
            </w:tcBorders>
            <w:shd w:val="clear" w:color="auto" w:fill="FFFFFF"/>
          </w:tcPr>
          <w:p w14:paraId="050E0DE5" w14:textId="77777777" w:rsidR="008C76E0" w:rsidRPr="00BD7577" w:rsidRDefault="008C76E0" w:rsidP="008C76E0">
            <w:pPr>
              <w:rPr>
                <w:rFonts w:ascii="Sylfaen" w:hAnsi="Sylfaen"/>
                <w:sz w:val="24"/>
                <w:szCs w:val="24"/>
              </w:rPr>
            </w:pPr>
          </w:p>
        </w:tc>
        <w:tc>
          <w:tcPr>
            <w:tcW w:w="2141" w:type="dxa"/>
            <w:tcBorders>
              <w:top w:val="single" w:sz="4" w:space="0" w:color="auto"/>
              <w:left w:val="single" w:sz="4" w:space="0" w:color="auto"/>
            </w:tcBorders>
            <w:shd w:val="clear" w:color="auto" w:fill="FFFFFF"/>
          </w:tcPr>
          <w:p w14:paraId="0737B79A" w14:textId="77777777" w:rsidR="008C76E0" w:rsidRPr="00BD7577" w:rsidRDefault="008C76E0" w:rsidP="008C76E0">
            <w:pPr>
              <w:rPr>
                <w:rFonts w:ascii="Sylfaen" w:hAnsi="Sylfaen"/>
                <w:sz w:val="24"/>
                <w:szCs w:val="24"/>
              </w:rPr>
            </w:pPr>
          </w:p>
        </w:tc>
      </w:tr>
      <w:tr w:rsidR="008C76E0" w:rsidRPr="00BD7577" w14:paraId="533D2784" w14:textId="77777777" w:rsidTr="008C76E0">
        <w:trPr>
          <w:jc w:val="center"/>
        </w:trPr>
        <w:tc>
          <w:tcPr>
            <w:tcW w:w="10285" w:type="dxa"/>
            <w:gridSpan w:val="7"/>
            <w:tcBorders>
              <w:top w:val="single" w:sz="4" w:space="0" w:color="auto"/>
            </w:tcBorders>
            <w:shd w:val="clear" w:color="auto" w:fill="FFFFFF"/>
          </w:tcPr>
          <w:p w14:paraId="1CED35FF" w14:textId="77777777" w:rsidR="008C76E0" w:rsidRPr="00BD7577" w:rsidRDefault="008C76E0" w:rsidP="008C76E0">
            <w:pPr>
              <w:rPr>
                <w:rFonts w:ascii="Sylfaen" w:hAnsi="Sylfaen"/>
                <w:sz w:val="24"/>
                <w:szCs w:val="24"/>
              </w:rPr>
            </w:pPr>
          </w:p>
        </w:tc>
      </w:tr>
      <w:tr w:rsidR="008C76E0" w:rsidRPr="00BD7577" w14:paraId="5E76093B" w14:textId="77777777" w:rsidTr="008C76E0">
        <w:trPr>
          <w:jc w:val="center"/>
        </w:trPr>
        <w:tc>
          <w:tcPr>
            <w:tcW w:w="2531" w:type="dxa"/>
            <w:tcBorders>
              <w:top w:val="single" w:sz="4" w:space="0" w:color="auto"/>
              <w:left w:val="single" w:sz="4" w:space="0" w:color="auto"/>
            </w:tcBorders>
            <w:shd w:val="clear" w:color="auto" w:fill="FFFFFF"/>
            <w:vAlign w:val="center"/>
          </w:tcPr>
          <w:p w14:paraId="6C21CF6A" w14:textId="77777777" w:rsidR="008C76E0" w:rsidRPr="00BD7577" w:rsidRDefault="008C76E0" w:rsidP="008C76E0">
            <w:pPr>
              <w:rPr>
                <w:rFonts w:ascii="Sylfaen" w:hAnsi="Sylfaen"/>
                <w:sz w:val="24"/>
                <w:szCs w:val="24"/>
              </w:rPr>
            </w:pPr>
          </w:p>
        </w:tc>
        <w:tc>
          <w:tcPr>
            <w:tcW w:w="2543" w:type="dxa"/>
            <w:gridSpan w:val="2"/>
            <w:tcBorders>
              <w:top w:val="single" w:sz="4" w:space="0" w:color="auto"/>
              <w:left w:val="single" w:sz="4" w:space="0" w:color="auto"/>
            </w:tcBorders>
            <w:shd w:val="clear" w:color="auto" w:fill="FFFFFF"/>
            <w:vAlign w:val="center"/>
          </w:tcPr>
          <w:p w14:paraId="681EF4E4" w14:textId="77777777" w:rsidR="008C76E0" w:rsidRPr="008C76E0" w:rsidRDefault="008C76E0" w:rsidP="008C76E0">
            <w:pPr>
              <w:pStyle w:val="Bodytext180"/>
              <w:shd w:val="clear" w:color="auto" w:fill="auto"/>
              <w:spacing w:before="0" w:after="160" w:line="360" w:lineRule="auto"/>
              <w:ind w:left="112" w:firstLine="0"/>
              <w:rPr>
                <w:rFonts w:ascii="Sylfaen" w:hAnsi="Sylfaen"/>
                <w:b w:val="0"/>
                <w:sz w:val="24"/>
                <w:szCs w:val="24"/>
                <w:lang w:val="hy-AM"/>
              </w:rPr>
            </w:pPr>
            <w:r w:rsidRPr="00BD7577">
              <w:rPr>
                <w:rStyle w:val="Bodytext295pt"/>
                <w:rFonts w:ascii="Sylfaen" w:hAnsi="Sylfaen"/>
                <w:spacing w:val="0"/>
                <w:sz w:val="24"/>
                <w:szCs w:val="24"/>
              </w:rPr>
              <w:t>65-74 տարիքային խումբ (տարեց պացիենտների քանակը (ընդհանուր քանակը))</w:t>
            </w:r>
          </w:p>
        </w:tc>
        <w:tc>
          <w:tcPr>
            <w:tcW w:w="2542" w:type="dxa"/>
            <w:gridSpan w:val="2"/>
            <w:tcBorders>
              <w:top w:val="single" w:sz="4" w:space="0" w:color="auto"/>
              <w:left w:val="single" w:sz="4" w:space="0" w:color="auto"/>
            </w:tcBorders>
            <w:shd w:val="clear" w:color="auto" w:fill="FFFFFF"/>
            <w:vAlign w:val="center"/>
          </w:tcPr>
          <w:p w14:paraId="06A5B183" w14:textId="77777777" w:rsidR="008C76E0" w:rsidRPr="008C76E0" w:rsidRDefault="008C76E0" w:rsidP="008C76E0">
            <w:pPr>
              <w:pStyle w:val="Bodytext180"/>
              <w:shd w:val="clear" w:color="auto" w:fill="auto"/>
              <w:spacing w:before="0" w:after="160" w:line="360" w:lineRule="auto"/>
              <w:ind w:left="112" w:firstLine="0"/>
              <w:rPr>
                <w:rFonts w:ascii="Sylfaen" w:hAnsi="Sylfaen"/>
                <w:b w:val="0"/>
                <w:sz w:val="24"/>
                <w:szCs w:val="24"/>
                <w:lang w:val="hy-AM"/>
              </w:rPr>
            </w:pPr>
            <w:r w:rsidRPr="00BD7577">
              <w:rPr>
                <w:rStyle w:val="Bodytext295pt"/>
                <w:rFonts w:ascii="Sylfaen" w:hAnsi="Sylfaen"/>
                <w:spacing w:val="0"/>
                <w:sz w:val="24"/>
                <w:szCs w:val="24"/>
              </w:rPr>
              <w:t>75-84 տարիքային խումբ (տարեց պացիենտների քանակը (ընդհանուր քանակը))</w:t>
            </w:r>
          </w:p>
        </w:tc>
        <w:tc>
          <w:tcPr>
            <w:tcW w:w="2669" w:type="dxa"/>
            <w:gridSpan w:val="2"/>
            <w:tcBorders>
              <w:top w:val="single" w:sz="4" w:space="0" w:color="auto"/>
              <w:left w:val="single" w:sz="4" w:space="0" w:color="auto"/>
            </w:tcBorders>
            <w:shd w:val="clear" w:color="auto" w:fill="FFFFFF"/>
          </w:tcPr>
          <w:p w14:paraId="1D97AA89" w14:textId="77777777" w:rsidR="008C76E0" w:rsidRPr="008C76E0" w:rsidRDefault="008C76E0" w:rsidP="008C76E0">
            <w:pPr>
              <w:pStyle w:val="Bodytext180"/>
              <w:shd w:val="clear" w:color="auto" w:fill="auto"/>
              <w:spacing w:before="0" w:after="160" w:line="360" w:lineRule="auto"/>
              <w:ind w:left="112" w:firstLine="0"/>
              <w:rPr>
                <w:rFonts w:ascii="Sylfaen" w:hAnsi="Sylfaen"/>
                <w:b w:val="0"/>
                <w:sz w:val="24"/>
                <w:szCs w:val="24"/>
                <w:lang w:val="hy-AM"/>
              </w:rPr>
            </w:pPr>
            <w:r w:rsidRPr="00BD7577">
              <w:rPr>
                <w:rStyle w:val="Bodytext295pt"/>
                <w:rFonts w:ascii="Sylfaen" w:hAnsi="Sylfaen"/>
                <w:spacing w:val="0"/>
                <w:sz w:val="24"/>
                <w:szCs w:val="24"/>
              </w:rPr>
              <w:t>85+ տարիքային խումբ (տարեց պացիենտների քանակը (ընդհանուր քանակը))</w:t>
            </w:r>
          </w:p>
        </w:tc>
      </w:tr>
      <w:tr w:rsidR="008C76E0" w:rsidRPr="00BD7577" w14:paraId="4493E740" w14:textId="77777777" w:rsidTr="008C76E0">
        <w:trPr>
          <w:jc w:val="center"/>
        </w:trPr>
        <w:tc>
          <w:tcPr>
            <w:tcW w:w="2531" w:type="dxa"/>
            <w:tcBorders>
              <w:top w:val="single" w:sz="4" w:space="0" w:color="auto"/>
              <w:left w:val="single" w:sz="4" w:space="0" w:color="auto"/>
            </w:tcBorders>
            <w:shd w:val="clear" w:color="auto" w:fill="FFFFFF"/>
            <w:vAlign w:val="bottom"/>
          </w:tcPr>
          <w:p w14:paraId="714D16DD" w14:textId="77777777" w:rsidR="008C76E0" w:rsidRPr="00BD7577" w:rsidRDefault="008C76E0" w:rsidP="008C76E0">
            <w:pPr>
              <w:pStyle w:val="Bodytext180"/>
              <w:shd w:val="clear" w:color="auto" w:fill="auto"/>
              <w:spacing w:before="0" w:after="160" w:line="360" w:lineRule="auto"/>
              <w:ind w:left="110" w:firstLine="0"/>
              <w:rPr>
                <w:rFonts w:ascii="Sylfaen" w:hAnsi="Sylfaen"/>
                <w:b w:val="0"/>
                <w:sz w:val="24"/>
                <w:szCs w:val="24"/>
              </w:rPr>
            </w:pPr>
            <w:r w:rsidRPr="00BD7577">
              <w:rPr>
                <w:rStyle w:val="Bodytext295pt"/>
                <w:rFonts w:ascii="Sylfaen" w:hAnsi="Sylfaen"/>
                <w:spacing w:val="0"/>
                <w:sz w:val="24"/>
                <w:szCs w:val="24"/>
              </w:rPr>
              <w:t>Դեղակինետիկ հետազոտություններ</w:t>
            </w:r>
          </w:p>
        </w:tc>
        <w:tc>
          <w:tcPr>
            <w:tcW w:w="2543" w:type="dxa"/>
            <w:gridSpan w:val="2"/>
            <w:tcBorders>
              <w:top w:val="single" w:sz="4" w:space="0" w:color="auto"/>
              <w:left w:val="single" w:sz="4" w:space="0" w:color="auto"/>
            </w:tcBorders>
            <w:shd w:val="clear" w:color="auto" w:fill="FFFFFF"/>
          </w:tcPr>
          <w:p w14:paraId="357314D9" w14:textId="77777777" w:rsidR="008C76E0" w:rsidRPr="00BD7577" w:rsidRDefault="008C76E0" w:rsidP="008C76E0">
            <w:pPr>
              <w:ind w:left="110"/>
              <w:rPr>
                <w:rFonts w:ascii="Sylfaen" w:hAnsi="Sylfaen"/>
                <w:sz w:val="24"/>
                <w:szCs w:val="24"/>
              </w:rPr>
            </w:pPr>
          </w:p>
        </w:tc>
        <w:tc>
          <w:tcPr>
            <w:tcW w:w="2542" w:type="dxa"/>
            <w:gridSpan w:val="2"/>
            <w:tcBorders>
              <w:top w:val="single" w:sz="4" w:space="0" w:color="auto"/>
              <w:left w:val="single" w:sz="4" w:space="0" w:color="auto"/>
            </w:tcBorders>
            <w:shd w:val="clear" w:color="auto" w:fill="FFFFFF"/>
          </w:tcPr>
          <w:p w14:paraId="1AF3865A" w14:textId="77777777" w:rsidR="008C76E0" w:rsidRPr="00BD7577" w:rsidRDefault="008C76E0" w:rsidP="008C76E0">
            <w:pPr>
              <w:ind w:left="110"/>
              <w:rPr>
                <w:rFonts w:ascii="Sylfaen" w:hAnsi="Sylfaen"/>
                <w:sz w:val="24"/>
                <w:szCs w:val="24"/>
              </w:rPr>
            </w:pPr>
          </w:p>
        </w:tc>
        <w:tc>
          <w:tcPr>
            <w:tcW w:w="2669" w:type="dxa"/>
            <w:gridSpan w:val="2"/>
            <w:tcBorders>
              <w:top w:val="single" w:sz="4" w:space="0" w:color="auto"/>
              <w:left w:val="single" w:sz="4" w:space="0" w:color="auto"/>
            </w:tcBorders>
            <w:shd w:val="clear" w:color="auto" w:fill="FFFFFF"/>
          </w:tcPr>
          <w:p w14:paraId="0B75E30C" w14:textId="77777777" w:rsidR="008C76E0" w:rsidRPr="00BD7577" w:rsidRDefault="008C76E0" w:rsidP="008C76E0">
            <w:pPr>
              <w:ind w:left="110"/>
              <w:rPr>
                <w:rFonts w:ascii="Sylfaen" w:hAnsi="Sylfaen"/>
                <w:sz w:val="24"/>
                <w:szCs w:val="24"/>
              </w:rPr>
            </w:pPr>
          </w:p>
        </w:tc>
      </w:tr>
      <w:tr w:rsidR="008C76E0" w:rsidRPr="00BD7577" w14:paraId="29B14FA4"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91B5C50" w14:textId="77777777" w:rsidR="008C76E0" w:rsidRPr="00BD7577" w:rsidRDefault="008C76E0" w:rsidP="008C76E0">
            <w:pPr>
              <w:pStyle w:val="Bodytext180"/>
              <w:shd w:val="clear" w:color="auto" w:fill="auto"/>
              <w:spacing w:before="0" w:after="160" w:line="360" w:lineRule="auto"/>
              <w:ind w:left="110"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884D088" w14:textId="77777777" w:rsidTr="008C76E0">
        <w:trPr>
          <w:jc w:val="center"/>
        </w:trPr>
        <w:tc>
          <w:tcPr>
            <w:tcW w:w="10285" w:type="dxa"/>
            <w:gridSpan w:val="7"/>
            <w:tcBorders>
              <w:top w:val="single" w:sz="4" w:space="0" w:color="auto"/>
            </w:tcBorders>
            <w:shd w:val="clear" w:color="auto" w:fill="FFFFFF"/>
            <w:vAlign w:val="bottom"/>
          </w:tcPr>
          <w:p w14:paraId="124913AF" w14:textId="77777777" w:rsidR="008C76E0" w:rsidRPr="00BD7577" w:rsidRDefault="008C76E0" w:rsidP="008C76E0">
            <w:pPr>
              <w:pStyle w:val="Bodytext180"/>
              <w:shd w:val="clear" w:color="auto" w:fill="auto"/>
              <w:spacing w:before="0" w:after="160" w:line="360" w:lineRule="auto"/>
              <w:ind w:left="110" w:firstLine="0"/>
              <w:rPr>
                <w:rFonts w:ascii="Sylfaen" w:hAnsi="Sylfaen"/>
                <w:b w:val="0"/>
                <w:sz w:val="24"/>
                <w:szCs w:val="24"/>
              </w:rPr>
            </w:pPr>
            <w:r w:rsidRPr="00BD7577">
              <w:rPr>
                <w:rStyle w:val="Bodytext295pt"/>
                <w:rFonts w:ascii="Sylfaen" w:hAnsi="Sylfaen"/>
                <w:spacing w:val="0"/>
                <w:sz w:val="24"/>
                <w:szCs w:val="24"/>
              </w:rPr>
              <w:t>Երեխաներ</w:t>
            </w:r>
          </w:p>
        </w:tc>
      </w:tr>
      <w:tr w:rsidR="008C76E0" w:rsidRPr="00BD7577" w14:paraId="5E723338"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3A40AE79" w14:textId="77777777" w:rsidR="008C76E0" w:rsidRPr="00BD7577" w:rsidRDefault="008C76E0" w:rsidP="008C76E0">
            <w:pPr>
              <w:pStyle w:val="Bodytext180"/>
              <w:shd w:val="clear" w:color="auto" w:fill="auto"/>
              <w:spacing w:before="0" w:after="160" w:line="360" w:lineRule="auto"/>
              <w:ind w:left="110"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B080641" w14:textId="77777777" w:rsidTr="008C76E0">
        <w:trPr>
          <w:jc w:val="center"/>
        </w:trPr>
        <w:tc>
          <w:tcPr>
            <w:tcW w:w="10285" w:type="dxa"/>
            <w:gridSpan w:val="7"/>
            <w:tcBorders>
              <w:top w:val="single" w:sz="4" w:space="0" w:color="auto"/>
            </w:tcBorders>
            <w:shd w:val="clear" w:color="auto" w:fill="FFFFFF"/>
          </w:tcPr>
          <w:p w14:paraId="5E23CE53"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 xml:space="preserve">Բնակչության հատուկ խմբերի մոտ դեղակինետիկայի գծով փորձագետի ընդհանուր դիտողությունները </w:t>
            </w:r>
          </w:p>
          <w:p w14:paraId="1EAF1DF8" w14:textId="77777777" w:rsidR="008C76E0" w:rsidRPr="00BD7577" w:rsidRDefault="008C76E0" w:rsidP="008C76E0">
            <w:pPr>
              <w:pStyle w:val="Bodytext180"/>
              <w:shd w:val="clear" w:color="auto" w:fill="auto"/>
              <w:tabs>
                <w:tab w:val="left" w:pos="1662"/>
              </w:tabs>
              <w:spacing w:before="0" w:after="160" w:line="360" w:lineRule="auto"/>
              <w:ind w:firstLine="567"/>
              <w:rPr>
                <w:rStyle w:val="Bodytext295pt"/>
                <w:rFonts w:ascii="Sylfaen" w:hAnsi="Sylfaen"/>
                <w:b/>
                <w:spacing w:val="0"/>
                <w:sz w:val="24"/>
                <w:szCs w:val="24"/>
              </w:rPr>
            </w:pPr>
            <w:r>
              <w:rPr>
                <w:rStyle w:val="Bodytext295pt"/>
                <w:rFonts w:ascii="Sylfaen" w:hAnsi="Sylfaen"/>
                <w:spacing w:val="0"/>
                <w:sz w:val="24"/>
                <w:szCs w:val="24"/>
              </w:rPr>
              <w:t>2.1.10.</w:t>
            </w:r>
            <w:r w:rsidRPr="00BD7577">
              <w:rPr>
                <w:rStyle w:val="Bodytext295pt"/>
                <w:rFonts w:ascii="Sylfaen" w:hAnsi="Sylfaen"/>
                <w:spacing w:val="0"/>
                <w:sz w:val="24"/>
                <w:szCs w:val="24"/>
              </w:rPr>
              <w:tab/>
              <w:t>Փոխազդեցությունը:</w:t>
            </w:r>
          </w:p>
          <w:p w14:paraId="3F1D8870" w14:textId="77777777" w:rsidR="008C76E0" w:rsidRPr="00BD7577" w:rsidRDefault="008C76E0" w:rsidP="008C76E0">
            <w:pPr>
              <w:pStyle w:val="Bodytext180"/>
              <w:shd w:val="clear" w:color="auto" w:fill="auto"/>
              <w:tabs>
                <w:tab w:val="left" w:pos="1611"/>
              </w:tabs>
              <w:spacing w:before="0" w:after="160" w:line="360" w:lineRule="auto"/>
              <w:ind w:left="962" w:firstLine="708"/>
              <w:rPr>
                <w:rFonts w:ascii="Sylfaen" w:hAnsi="Sylfaen"/>
                <w:b w:val="0"/>
                <w:sz w:val="24"/>
                <w:szCs w:val="24"/>
              </w:rPr>
            </w:pPr>
            <w:r w:rsidRPr="00BD7577">
              <w:rPr>
                <w:rStyle w:val="Bodytext295pt"/>
                <w:rFonts w:ascii="Sylfaen" w:hAnsi="Sylfaen"/>
                <w:spacing w:val="0"/>
                <w:sz w:val="24"/>
                <w:szCs w:val="24"/>
              </w:rPr>
              <w:t>In vitro</w:t>
            </w:r>
          </w:p>
        </w:tc>
      </w:tr>
      <w:tr w:rsidR="008C76E0" w:rsidRPr="00BD7577" w14:paraId="3EF5E82D"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2DE4D616"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EF7ADC5" w14:textId="77777777" w:rsidTr="008C76E0">
        <w:trPr>
          <w:jc w:val="center"/>
        </w:trPr>
        <w:tc>
          <w:tcPr>
            <w:tcW w:w="10285" w:type="dxa"/>
            <w:gridSpan w:val="7"/>
            <w:tcBorders>
              <w:top w:val="single" w:sz="4" w:space="0" w:color="auto"/>
            </w:tcBorders>
            <w:shd w:val="clear" w:color="auto" w:fill="FFFFFF"/>
            <w:vAlign w:val="center"/>
          </w:tcPr>
          <w:p w14:paraId="7AD8EC8C" w14:textId="77777777" w:rsidR="008C76E0" w:rsidRPr="00BD7577"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rPr>
            </w:pPr>
            <w:r w:rsidRPr="00BD7577">
              <w:rPr>
                <w:rStyle w:val="Bodytext295pt"/>
                <w:rFonts w:ascii="Sylfaen" w:hAnsi="Sylfaen"/>
                <w:spacing w:val="0"/>
                <w:sz w:val="24"/>
                <w:szCs w:val="24"/>
              </w:rPr>
              <w:t>In vivo</w:t>
            </w:r>
          </w:p>
        </w:tc>
      </w:tr>
      <w:tr w:rsidR="008C76E0" w:rsidRPr="00BD7577" w14:paraId="5351ADF0" w14:textId="77777777" w:rsidTr="008C76E0">
        <w:trPr>
          <w:jc w:val="center"/>
        </w:trPr>
        <w:tc>
          <w:tcPr>
            <w:tcW w:w="10285"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2ED24299"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8E29B1A"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F8ABF87" w14:textId="77777777" w:rsidR="008C76E0" w:rsidRPr="00BD7577" w:rsidRDefault="008C76E0" w:rsidP="008C76E0">
            <w:pPr>
              <w:rPr>
                <w:rFonts w:ascii="Sylfaen" w:hAnsi="Sylfaen"/>
                <w:sz w:val="24"/>
                <w:szCs w:val="24"/>
              </w:rPr>
            </w:pPr>
          </w:p>
        </w:tc>
      </w:tr>
      <w:tr w:rsidR="008C76E0" w:rsidRPr="00BD7577" w14:paraId="53E9CC34" w14:textId="77777777" w:rsidTr="008C76E0">
        <w:trPr>
          <w:jc w:val="center"/>
        </w:trPr>
        <w:tc>
          <w:tcPr>
            <w:tcW w:w="10285" w:type="dxa"/>
            <w:gridSpan w:val="7"/>
            <w:tcBorders>
              <w:top w:val="single" w:sz="4" w:space="0" w:color="auto"/>
            </w:tcBorders>
            <w:shd w:val="clear" w:color="auto" w:fill="FFFFFF"/>
            <w:vAlign w:val="center"/>
          </w:tcPr>
          <w:p w14:paraId="7864EE10" w14:textId="77777777" w:rsidR="008C76E0" w:rsidRPr="00BD7577" w:rsidRDefault="008C76E0" w:rsidP="008C76E0">
            <w:pPr>
              <w:pStyle w:val="Bodytext180"/>
              <w:shd w:val="clear" w:color="auto" w:fill="auto"/>
              <w:tabs>
                <w:tab w:val="left" w:pos="1611"/>
              </w:tabs>
              <w:spacing w:before="0" w:after="160" w:line="360" w:lineRule="auto"/>
              <w:ind w:firstLine="1670"/>
              <w:rPr>
                <w:rStyle w:val="Bodytext295pt"/>
                <w:rFonts w:ascii="Sylfaen" w:hAnsi="Sylfaen"/>
                <w:i/>
                <w:spacing w:val="0"/>
                <w:sz w:val="24"/>
                <w:szCs w:val="24"/>
              </w:rPr>
            </w:pPr>
            <w:r w:rsidRPr="00BD7577">
              <w:rPr>
                <w:rStyle w:val="Bodytext295pt"/>
                <w:rFonts w:ascii="Sylfaen" w:hAnsi="Sylfaen"/>
                <w:spacing w:val="0"/>
                <w:sz w:val="24"/>
                <w:szCs w:val="24"/>
              </w:rPr>
              <w:lastRenderedPageBreak/>
              <w:t xml:space="preserve">Փոխազդեցությունների մասով փորձագետի ընդհանուր դիտողությունները </w:t>
            </w:r>
          </w:p>
          <w:p w14:paraId="530DCFCD" w14:textId="77777777" w:rsidR="008C76E0" w:rsidRPr="008C76E0" w:rsidRDefault="008C76E0" w:rsidP="008C76E0">
            <w:pPr>
              <w:pStyle w:val="Bodytext180"/>
              <w:shd w:val="clear" w:color="auto" w:fill="auto"/>
              <w:tabs>
                <w:tab w:val="left" w:pos="1611"/>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2.1.11.</w:t>
            </w:r>
            <w:r w:rsidRPr="00BD7577">
              <w:rPr>
                <w:rStyle w:val="Bodytext295pt"/>
                <w:rFonts w:ascii="Sylfaen" w:hAnsi="Sylfaen"/>
                <w:spacing w:val="0"/>
                <w:sz w:val="24"/>
                <w:szCs w:val="24"/>
              </w:rPr>
              <w:tab/>
              <w:t>Անվտանգության գնահատման համար նշանակալի ներգործությունը:</w:t>
            </w:r>
          </w:p>
        </w:tc>
      </w:tr>
      <w:tr w:rsidR="008C76E0" w:rsidRPr="00BD7577" w14:paraId="370A96A1"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4B4BD3D6"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1A331E5" w14:textId="77777777" w:rsidTr="008C76E0">
        <w:trPr>
          <w:jc w:val="center"/>
        </w:trPr>
        <w:tc>
          <w:tcPr>
            <w:tcW w:w="10285" w:type="dxa"/>
            <w:gridSpan w:val="7"/>
            <w:tcBorders>
              <w:top w:val="single" w:sz="4" w:space="0" w:color="auto"/>
            </w:tcBorders>
            <w:shd w:val="clear" w:color="auto" w:fill="FFFFFF"/>
            <w:vAlign w:val="center"/>
          </w:tcPr>
          <w:p w14:paraId="2C4168D2" w14:textId="77777777" w:rsidR="008C76E0" w:rsidRPr="008C2532" w:rsidRDefault="008C76E0" w:rsidP="008C76E0">
            <w:pPr>
              <w:pStyle w:val="Bodytext180"/>
              <w:shd w:val="clear" w:color="auto" w:fill="auto"/>
              <w:tabs>
                <w:tab w:val="left" w:pos="1731"/>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2.1.12.</w:t>
            </w:r>
            <w:r w:rsidRPr="00BD7577">
              <w:rPr>
                <w:rStyle w:val="Bodytext295pt"/>
                <w:rFonts w:ascii="Sylfaen" w:hAnsi="Sylfaen"/>
                <w:spacing w:val="0"/>
                <w:sz w:val="24"/>
                <w:szCs w:val="24"/>
              </w:rPr>
              <w:tab/>
              <w:t>Դեղակինետիկայի գծով փորձագետի ընդհանուր եզրակացությունը:</w:t>
            </w:r>
          </w:p>
          <w:p w14:paraId="645EFAF5" w14:textId="77777777" w:rsidR="008C76E0" w:rsidRPr="00BD7577" w:rsidRDefault="008C76E0" w:rsidP="008C76E0">
            <w:pPr>
              <w:pStyle w:val="Bodytext180"/>
              <w:shd w:val="clear" w:color="auto" w:fill="auto"/>
              <w:tabs>
                <w:tab w:val="left" w:pos="1164"/>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2.2.</w:t>
            </w:r>
            <w:r w:rsidRPr="00BD7577">
              <w:rPr>
                <w:rStyle w:val="Bodytext295pt"/>
                <w:rFonts w:ascii="Sylfaen" w:hAnsi="Sylfaen"/>
                <w:spacing w:val="0"/>
                <w:sz w:val="24"/>
                <w:szCs w:val="24"/>
              </w:rPr>
              <w:tab/>
              <w:t>Դեղադինամիկա:</w:t>
            </w:r>
          </w:p>
          <w:p w14:paraId="2ACE6B76" w14:textId="77777777" w:rsidR="008C76E0" w:rsidRPr="00BD7577" w:rsidRDefault="008C76E0" w:rsidP="008C76E0">
            <w:pPr>
              <w:pStyle w:val="Bodytext180"/>
              <w:shd w:val="clear" w:color="auto" w:fill="auto"/>
              <w:tabs>
                <w:tab w:val="left" w:pos="1731"/>
              </w:tabs>
              <w:spacing w:before="0" w:after="160" w:line="360" w:lineRule="auto"/>
              <w:ind w:firstLine="567"/>
              <w:rPr>
                <w:rStyle w:val="Bodytext295pt"/>
                <w:rFonts w:ascii="Sylfaen" w:hAnsi="Sylfaen"/>
                <w:i/>
                <w:spacing w:val="0"/>
                <w:sz w:val="24"/>
                <w:szCs w:val="24"/>
              </w:rPr>
            </w:pPr>
            <w:r>
              <w:rPr>
                <w:rStyle w:val="Bodytext295pt"/>
                <w:rFonts w:ascii="Sylfaen" w:hAnsi="Sylfaen"/>
                <w:spacing w:val="0"/>
                <w:sz w:val="24"/>
                <w:szCs w:val="24"/>
              </w:rPr>
              <w:t>2.2.1.</w:t>
            </w:r>
            <w:r w:rsidRPr="00BD7577">
              <w:rPr>
                <w:rStyle w:val="Bodytext295pt"/>
                <w:rFonts w:ascii="Sylfaen" w:hAnsi="Sylfaen"/>
                <w:spacing w:val="0"/>
                <w:sz w:val="24"/>
                <w:szCs w:val="24"/>
              </w:rPr>
              <w:tab/>
              <w:t>Ներածություն:</w:t>
            </w:r>
          </w:p>
          <w:p w14:paraId="4BFD5B45" w14:textId="77777777" w:rsidR="008C76E0" w:rsidRPr="00BD7577" w:rsidRDefault="008C76E0" w:rsidP="008C76E0">
            <w:pPr>
              <w:pStyle w:val="Bodytext180"/>
              <w:shd w:val="clear" w:color="auto" w:fill="auto"/>
              <w:tabs>
                <w:tab w:val="left" w:pos="1731"/>
              </w:tabs>
              <w:spacing w:before="0" w:after="160" w:line="360" w:lineRule="auto"/>
              <w:ind w:firstLine="567"/>
              <w:rPr>
                <w:rFonts w:ascii="Sylfaen" w:hAnsi="Sylfaen"/>
                <w:b w:val="0"/>
                <w:sz w:val="24"/>
                <w:szCs w:val="24"/>
              </w:rPr>
            </w:pPr>
            <w:r>
              <w:rPr>
                <w:rStyle w:val="Bodytext295pt"/>
                <w:rFonts w:ascii="Sylfaen" w:hAnsi="Sylfaen"/>
                <w:spacing w:val="0"/>
                <w:sz w:val="24"/>
                <w:szCs w:val="24"/>
              </w:rPr>
              <w:t>2.2.2.</w:t>
            </w:r>
            <w:r w:rsidRPr="00BD7577">
              <w:rPr>
                <w:rStyle w:val="Bodytext295pt"/>
                <w:rFonts w:ascii="Sylfaen" w:hAnsi="Sylfaen"/>
                <w:spacing w:val="0"/>
                <w:sz w:val="24"/>
                <w:szCs w:val="24"/>
              </w:rPr>
              <w:tab/>
              <w:t>Ազդեցության մեխանիզմը:</w:t>
            </w:r>
          </w:p>
        </w:tc>
      </w:tr>
      <w:tr w:rsidR="008C76E0" w:rsidRPr="00BD7577" w14:paraId="1DD8A87A"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CBDF122"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EDA40D8" w14:textId="77777777" w:rsidTr="008C76E0">
        <w:trPr>
          <w:jc w:val="center"/>
        </w:trPr>
        <w:tc>
          <w:tcPr>
            <w:tcW w:w="10285" w:type="dxa"/>
            <w:gridSpan w:val="7"/>
            <w:tcBorders>
              <w:top w:val="single" w:sz="4" w:space="0" w:color="auto"/>
            </w:tcBorders>
            <w:shd w:val="clear" w:color="auto" w:fill="FFFFFF"/>
            <w:vAlign w:val="bottom"/>
          </w:tcPr>
          <w:p w14:paraId="1BC4255E" w14:textId="77777777" w:rsidR="008C76E0" w:rsidRPr="00BD7577" w:rsidRDefault="008C76E0" w:rsidP="008C76E0">
            <w:pPr>
              <w:pStyle w:val="Bodytext180"/>
              <w:shd w:val="clear" w:color="auto" w:fill="auto"/>
              <w:tabs>
                <w:tab w:val="left" w:pos="1692"/>
              </w:tabs>
              <w:spacing w:before="0" w:after="160" w:line="360" w:lineRule="auto"/>
              <w:ind w:firstLine="567"/>
              <w:rPr>
                <w:rFonts w:ascii="Sylfaen" w:hAnsi="Sylfaen"/>
                <w:b w:val="0"/>
                <w:sz w:val="24"/>
                <w:szCs w:val="24"/>
              </w:rPr>
            </w:pPr>
            <w:r>
              <w:rPr>
                <w:rStyle w:val="Bodytext295pt"/>
                <w:rFonts w:ascii="Sylfaen" w:hAnsi="Sylfaen"/>
                <w:spacing w:val="0"/>
                <w:sz w:val="24"/>
                <w:szCs w:val="24"/>
              </w:rPr>
              <w:t>2.2.3.</w:t>
            </w:r>
            <w:r w:rsidRPr="00BD7577">
              <w:rPr>
                <w:rStyle w:val="Bodytext295pt"/>
                <w:rFonts w:ascii="Sylfaen" w:hAnsi="Sylfaen"/>
                <w:spacing w:val="0"/>
                <w:sz w:val="24"/>
                <w:szCs w:val="24"/>
              </w:rPr>
              <w:tab/>
              <w:t>Առաջնային դեղաբանություն:</w:t>
            </w:r>
          </w:p>
        </w:tc>
      </w:tr>
      <w:tr w:rsidR="008C76E0" w:rsidRPr="00BD7577" w14:paraId="7AA9096C"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25F67311"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83A5F07" w14:textId="77777777" w:rsidTr="008C76E0">
        <w:trPr>
          <w:jc w:val="center"/>
        </w:trPr>
        <w:tc>
          <w:tcPr>
            <w:tcW w:w="10285" w:type="dxa"/>
            <w:gridSpan w:val="7"/>
            <w:tcBorders>
              <w:top w:val="single" w:sz="4" w:space="0" w:color="auto"/>
            </w:tcBorders>
            <w:shd w:val="clear" w:color="auto" w:fill="FFFFFF"/>
            <w:vAlign w:val="bottom"/>
          </w:tcPr>
          <w:p w14:paraId="41DB618E" w14:textId="77777777" w:rsidR="008C76E0" w:rsidRPr="00BD7577" w:rsidRDefault="008C76E0" w:rsidP="008C76E0">
            <w:pPr>
              <w:pStyle w:val="Bodytext180"/>
              <w:shd w:val="clear" w:color="auto" w:fill="auto"/>
              <w:tabs>
                <w:tab w:val="left" w:pos="1731"/>
              </w:tabs>
              <w:spacing w:before="0" w:after="160" w:line="360" w:lineRule="auto"/>
              <w:ind w:firstLine="567"/>
              <w:rPr>
                <w:rFonts w:ascii="Sylfaen" w:hAnsi="Sylfaen"/>
                <w:b w:val="0"/>
                <w:sz w:val="24"/>
                <w:szCs w:val="24"/>
              </w:rPr>
            </w:pPr>
            <w:r>
              <w:rPr>
                <w:rStyle w:val="Bodytext295pt"/>
                <w:rFonts w:ascii="Sylfaen" w:hAnsi="Sylfaen"/>
                <w:spacing w:val="0"/>
                <w:sz w:val="24"/>
                <w:szCs w:val="24"/>
              </w:rPr>
              <w:t>2.2.4.</w:t>
            </w:r>
            <w:r w:rsidRPr="00BD7577">
              <w:rPr>
                <w:rStyle w:val="Bodytext295pt"/>
                <w:rFonts w:ascii="Sylfaen" w:hAnsi="Sylfaen"/>
                <w:spacing w:val="0"/>
                <w:sz w:val="24"/>
                <w:szCs w:val="24"/>
              </w:rPr>
              <w:tab/>
              <w:t>Երկրորդային դեղաբանություն:</w:t>
            </w:r>
          </w:p>
        </w:tc>
      </w:tr>
      <w:tr w:rsidR="008C76E0" w:rsidRPr="00BD7577" w14:paraId="79E57894"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125C4C3D"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51FFBA3" w14:textId="77777777" w:rsidTr="008C76E0">
        <w:trPr>
          <w:jc w:val="center"/>
        </w:trPr>
        <w:tc>
          <w:tcPr>
            <w:tcW w:w="10285" w:type="dxa"/>
            <w:gridSpan w:val="7"/>
            <w:tcBorders>
              <w:top w:val="single" w:sz="4" w:space="0" w:color="auto"/>
            </w:tcBorders>
            <w:shd w:val="clear" w:color="auto" w:fill="FFFFFF"/>
            <w:vAlign w:val="bottom"/>
          </w:tcPr>
          <w:p w14:paraId="734FBD59" w14:textId="77777777" w:rsidR="008C76E0" w:rsidRPr="008C76E0" w:rsidRDefault="008C76E0" w:rsidP="008C76E0">
            <w:pPr>
              <w:pStyle w:val="Bodytext180"/>
              <w:shd w:val="clear" w:color="auto" w:fill="auto"/>
              <w:tabs>
                <w:tab w:val="left" w:pos="1707"/>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2.2.5.</w:t>
            </w:r>
            <w:r w:rsidRPr="00BD7577">
              <w:rPr>
                <w:rStyle w:val="Bodytext295pt"/>
                <w:rFonts w:ascii="Sylfaen" w:hAnsi="Sylfaen"/>
                <w:spacing w:val="0"/>
                <w:sz w:val="24"/>
                <w:szCs w:val="24"/>
              </w:rPr>
              <w:tab/>
              <w:t xml:space="preserve">Պլազմայում կոնցենտրացիայի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էֆեկտի միջ</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փոխկապակցվածությունը:</w:t>
            </w:r>
          </w:p>
        </w:tc>
      </w:tr>
      <w:tr w:rsidR="008C76E0" w:rsidRPr="00BD7577" w14:paraId="3988B1FF"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4705833E"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7849D90" w14:textId="77777777" w:rsidTr="008C76E0">
        <w:trPr>
          <w:jc w:val="center"/>
        </w:trPr>
        <w:tc>
          <w:tcPr>
            <w:tcW w:w="10285" w:type="dxa"/>
            <w:gridSpan w:val="7"/>
            <w:tcBorders>
              <w:top w:val="single" w:sz="4" w:space="0" w:color="auto"/>
            </w:tcBorders>
            <w:shd w:val="clear" w:color="auto" w:fill="FFFFFF"/>
            <w:vAlign w:val="bottom"/>
          </w:tcPr>
          <w:p w14:paraId="4C21609F" w14:textId="77777777" w:rsidR="008C76E0" w:rsidRPr="008C76E0" w:rsidRDefault="008C76E0" w:rsidP="008C76E0">
            <w:pPr>
              <w:pStyle w:val="Bodytext180"/>
              <w:shd w:val="clear" w:color="auto" w:fill="auto"/>
              <w:tabs>
                <w:tab w:val="left" w:pos="1677"/>
              </w:tabs>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2.2.6.</w:t>
            </w:r>
            <w:r w:rsidRPr="00BD7577">
              <w:rPr>
                <w:rStyle w:val="Bodytext295pt"/>
                <w:rFonts w:ascii="Sylfaen" w:hAnsi="Sylfaen"/>
                <w:spacing w:val="0"/>
                <w:sz w:val="24"/>
                <w:szCs w:val="24"/>
              </w:rPr>
              <w:tab/>
              <w:t>Դեղադինամիկ փոխազդեցությունն այլ դեղամիջոցների կամ բաղադրամասերի հետ:</w:t>
            </w:r>
          </w:p>
        </w:tc>
      </w:tr>
      <w:tr w:rsidR="008C76E0" w:rsidRPr="00BD7577" w14:paraId="31EE8780"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759D6311" w14:textId="77777777" w:rsidR="008C76E0" w:rsidRPr="00BD7577" w:rsidRDefault="008C76E0" w:rsidP="008C76E0">
            <w:pPr>
              <w:pStyle w:val="Bodytext180"/>
              <w:shd w:val="clear" w:color="auto" w:fill="auto"/>
              <w:tabs>
                <w:tab w:val="left" w:pos="1677"/>
              </w:tabs>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C9DD0C3" w14:textId="77777777" w:rsidTr="008C76E0">
        <w:trPr>
          <w:jc w:val="center"/>
        </w:trPr>
        <w:tc>
          <w:tcPr>
            <w:tcW w:w="10285" w:type="dxa"/>
            <w:gridSpan w:val="7"/>
            <w:tcBorders>
              <w:top w:val="single" w:sz="4" w:space="0" w:color="auto"/>
            </w:tcBorders>
            <w:shd w:val="clear" w:color="auto" w:fill="FFFFFF"/>
            <w:vAlign w:val="bottom"/>
          </w:tcPr>
          <w:p w14:paraId="26D10AF3" w14:textId="77777777" w:rsidR="008C76E0" w:rsidRPr="00BD7577" w:rsidRDefault="008C76E0" w:rsidP="008C76E0">
            <w:pPr>
              <w:pStyle w:val="Bodytext180"/>
              <w:shd w:val="clear" w:color="auto" w:fill="auto"/>
              <w:tabs>
                <w:tab w:val="left" w:pos="1677"/>
              </w:tabs>
              <w:spacing w:before="0" w:after="160" w:line="360" w:lineRule="auto"/>
              <w:ind w:firstLine="567"/>
              <w:rPr>
                <w:rFonts w:ascii="Sylfaen" w:hAnsi="Sylfaen"/>
                <w:b w:val="0"/>
                <w:sz w:val="24"/>
                <w:szCs w:val="24"/>
              </w:rPr>
            </w:pPr>
            <w:r>
              <w:rPr>
                <w:rStyle w:val="Bodytext295pt"/>
                <w:rFonts w:ascii="Sylfaen" w:hAnsi="Sylfaen"/>
                <w:spacing w:val="0"/>
                <w:sz w:val="24"/>
                <w:szCs w:val="24"/>
              </w:rPr>
              <w:t>2.2.7.</w:t>
            </w:r>
            <w:r w:rsidRPr="00BD7577">
              <w:rPr>
                <w:rStyle w:val="Bodytext295pt"/>
                <w:rFonts w:ascii="Sylfaen" w:hAnsi="Sylfaen"/>
                <w:spacing w:val="0"/>
                <w:sz w:val="24"/>
                <w:szCs w:val="24"/>
              </w:rPr>
              <w:tab/>
              <w:t>Գենետիկ տարբերությունները դեղադինամիկ պատասխանում:</w:t>
            </w:r>
          </w:p>
        </w:tc>
      </w:tr>
      <w:tr w:rsidR="008C76E0" w:rsidRPr="00BD7577" w14:paraId="02B07D98" w14:textId="77777777" w:rsidTr="008C76E0">
        <w:trPr>
          <w:jc w:val="center"/>
        </w:trPr>
        <w:tc>
          <w:tcPr>
            <w:tcW w:w="10285" w:type="dxa"/>
            <w:gridSpan w:val="7"/>
            <w:tcBorders>
              <w:top w:val="single" w:sz="4" w:space="0" w:color="auto"/>
              <w:left w:val="single" w:sz="4" w:space="0" w:color="auto"/>
              <w:right w:val="single" w:sz="4" w:space="0" w:color="auto"/>
            </w:tcBorders>
            <w:shd w:val="clear" w:color="auto" w:fill="FFFFFF"/>
          </w:tcPr>
          <w:p w14:paraId="0D5EA36E" w14:textId="77777777" w:rsidR="008C76E0" w:rsidRPr="00BD7577" w:rsidRDefault="008C76E0" w:rsidP="008C76E0">
            <w:pPr>
              <w:pStyle w:val="Bodytext180"/>
              <w:shd w:val="clear" w:color="auto" w:fill="auto"/>
              <w:tabs>
                <w:tab w:val="left" w:pos="1677"/>
              </w:tabs>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6837B07" w14:textId="77777777" w:rsidTr="008C76E0">
        <w:trPr>
          <w:jc w:val="center"/>
        </w:trPr>
        <w:tc>
          <w:tcPr>
            <w:tcW w:w="10285" w:type="dxa"/>
            <w:gridSpan w:val="7"/>
            <w:tcBorders>
              <w:top w:val="single" w:sz="4" w:space="0" w:color="auto"/>
              <w:bottom w:val="single" w:sz="4" w:space="0" w:color="auto"/>
            </w:tcBorders>
            <w:shd w:val="clear" w:color="auto" w:fill="FFFFFF"/>
          </w:tcPr>
          <w:p w14:paraId="47CEE066" w14:textId="77777777" w:rsidR="008C76E0" w:rsidRPr="008C76E0" w:rsidRDefault="008C76E0" w:rsidP="008C76E0">
            <w:pPr>
              <w:pStyle w:val="Bodytext180"/>
              <w:shd w:val="clear" w:color="auto" w:fill="auto"/>
              <w:tabs>
                <w:tab w:val="left" w:pos="1677"/>
              </w:tabs>
              <w:spacing w:before="0" w:after="160" w:line="360" w:lineRule="auto"/>
              <w:ind w:firstLine="567"/>
              <w:rPr>
                <w:rFonts w:ascii="Sylfaen" w:hAnsi="Sylfaen"/>
                <w:b w:val="0"/>
                <w:sz w:val="24"/>
                <w:szCs w:val="24"/>
                <w:lang w:val="hy-AM"/>
              </w:rPr>
            </w:pPr>
            <w:r>
              <w:rPr>
                <w:rStyle w:val="Bodytext295pt"/>
                <w:rFonts w:ascii="Sylfaen" w:hAnsi="Sylfaen"/>
                <w:spacing w:val="0"/>
                <w:sz w:val="24"/>
                <w:szCs w:val="24"/>
              </w:rPr>
              <w:t>2.2.8.</w:t>
            </w:r>
            <w:r w:rsidRPr="00BD7577">
              <w:rPr>
                <w:rStyle w:val="Bodytext295pt"/>
                <w:rFonts w:ascii="Sylfaen" w:hAnsi="Sylfaen"/>
                <w:spacing w:val="0"/>
                <w:sz w:val="24"/>
                <w:szCs w:val="24"/>
              </w:rPr>
              <w:tab/>
              <w:t>Դեղադինամիկայի գծով փորձագետի ընդհանուր եզրակացությունը:</w:t>
            </w:r>
          </w:p>
        </w:tc>
      </w:tr>
    </w:tbl>
    <w:p w14:paraId="5D13A172" w14:textId="77777777" w:rsidR="008C76E0" w:rsidRDefault="008C76E0" w:rsidP="008C76E0">
      <w:pPr>
        <w:jc w:val="center"/>
        <w:rPr>
          <w:rFonts w:ascii="Sylfaen" w:hAnsi="Sylfaen"/>
          <w:sz w:val="24"/>
          <w:szCs w:val="24"/>
        </w:rPr>
        <w:sectPr w:rsidR="008C76E0" w:rsidSect="00591274">
          <w:pgSz w:w="11907" w:h="16839" w:code="9"/>
          <w:pgMar w:top="1418" w:right="1418" w:bottom="1418" w:left="1418" w:header="0" w:footer="6" w:gutter="0"/>
          <w:cols w:space="720"/>
          <w:noEndnote/>
          <w:docGrid w:linePitch="360"/>
        </w:sectPr>
      </w:pPr>
    </w:p>
    <w:p w14:paraId="55256D73" w14:textId="77777777" w:rsidR="008C76E0" w:rsidRPr="00DD61E4" w:rsidRDefault="008C76E0" w:rsidP="001C3278">
      <w:pPr>
        <w:spacing w:after="160" w:line="360" w:lineRule="auto"/>
        <w:jc w:val="center"/>
        <w:rPr>
          <w:rFonts w:ascii="Sylfaen" w:hAnsi="Sylfaen"/>
          <w:sz w:val="24"/>
          <w:szCs w:val="24"/>
        </w:rPr>
      </w:pPr>
      <w:r w:rsidRPr="00BD7577">
        <w:rPr>
          <w:rFonts w:ascii="Sylfaen" w:hAnsi="Sylfaen"/>
          <w:sz w:val="24"/>
          <w:szCs w:val="24"/>
        </w:rPr>
        <w:lastRenderedPageBreak/>
        <w:t>3. Կլինիկական արդյունավետությունը</w:t>
      </w:r>
    </w:p>
    <w:p w14:paraId="17E4C938" w14:textId="77777777" w:rsidR="008C76E0" w:rsidRPr="008C76E0" w:rsidRDefault="008C76E0" w:rsidP="001C3278">
      <w:pPr>
        <w:pStyle w:val="Bodytext180"/>
        <w:shd w:val="clear" w:color="auto" w:fill="auto"/>
        <w:tabs>
          <w:tab w:val="left" w:pos="1134"/>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3.1.</w:t>
      </w:r>
      <w:r w:rsidRPr="008C76E0">
        <w:rPr>
          <w:rFonts w:ascii="Sylfaen" w:hAnsi="Sylfaen"/>
          <w:b w:val="0"/>
          <w:sz w:val="24"/>
          <w:szCs w:val="24"/>
          <w:lang w:val="hy-AM"/>
        </w:rPr>
        <w:tab/>
        <w:t>Ներածություն:</w:t>
      </w:r>
    </w:p>
    <w:p w14:paraId="3F082729" w14:textId="77777777" w:rsidR="008C76E0" w:rsidRPr="00BD7577" w:rsidRDefault="008C76E0" w:rsidP="001C3278">
      <w:pPr>
        <w:spacing w:after="160" w:line="360" w:lineRule="auto"/>
        <w:ind w:firstLine="567"/>
        <w:rPr>
          <w:rFonts w:ascii="Sylfaen" w:hAnsi="Sylfaen"/>
          <w:sz w:val="24"/>
          <w:szCs w:val="24"/>
        </w:rPr>
      </w:pPr>
      <w:r w:rsidRPr="00BD7577">
        <w:rPr>
          <w:rFonts w:ascii="Sylfaen" w:hAnsi="Sylfaen"/>
          <w:sz w:val="24"/>
          <w:szCs w:val="24"/>
        </w:rPr>
        <w:t>Հետազոտության մանրամասների մասին տեղեկատվության ներկայացման համար աղյուսակի օրինակ</w:t>
      </w:r>
    </w:p>
    <w:tbl>
      <w:tblPr>
        <w:tblOverlap w:val="never"/>
        <w:tblW w:w="16148" w:type="dxa"/>
        <w:jc w:val="center"/>
        <w:tblLayout w:type="fixed"/>
        <w:tblCellMar>
          <w:left w:w="10" w:type="dxa"/>
          <w:right w:w="10" w:type="dxa"/>
        </w:tblCellMar>
        <w:tblLook w:val="04A0" w:firstRow="1" w:lastRow="0" w:firstColumn="1" w:lastColumn="0" w:noHBand="0" w:noVBand="1"/>
      </w:tblPr>
      <w:tblGrid>
        <w:gridCol w:w="1976"/>
        <w:gridCol w:w="1650"/>
        <w:gridCol w:w="1118"/>
        <w:gridCol w:w="1618"/>
        <w:gridCol w:w="1888"/>
        <w:gridCol w:w="1997"/>
        <w:gridCol w:w="1581"/>
        <w:gridCol w:w="1263"/>
        <w:gridCol w:w="1639"/>
        <w:gridCol w:w="1418"/>
      </w:tblGrid>
      <w:tr w:rsidR="008C76E0" w:rsidRPr="008C2532" w14:paraId="7971C97B" w14:textId="77777777" w:rsidTr="008C76E0">
        <w:trPr>
          <w:jc w:val="center"/>
        </w:trPr>
        <w:tc>
          <w:tcPr>
            <w:tcW w:w="1976" w:type="dxa"/>
            <w:tcBorders>
              <w:top w:val="single" w:sz="4" w:space="0" w:color="auto"/>
              <w:left w:val="single" w:sz="4" w:space="0" w:color="auto"/>
            </w:tcBorders>
            <w:shd w:val="clear" w:color="auto" w:fill="FFFFFF"/>
          </w:tcPr>
          <w:p w14:paraId="36D3241D"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Հետազոտության</w:t>
            </w:r>
            <w:r w:rsidRPr="008C2532">
              <w:rPr>
                <w:rFonts w:ascii="Sylfaen" w:hAnsi="Sylfaen"/>
                <w:b w:val="0"/>
                <w:sz w:val="22"/>
                <w:szCs w:val="22"/>
              </w:rPr>
              <w:t xml:space="preserve"> </w:t>
            </w:r>
            <w:r w:rsidRPr="008C2532">
              <w:rPr>
                <w:rStyle w:val="Bodytext1811pt"/>
                <w:rFonts w:ascii="Sylfaen" w:hAnsi="Sylfaen"/>
              </w:rPr>
              <w:t>նույնականացման</w:t>
            </w:r>
            <w:r w:rsidRPr="008C2532">
              <w:rPr>
                <w:rFonts w:ascii="Sylfaen" w:hAnsi="Sylfaen"/>
                <w:b w:val="0"/>
                <w:sz w:val="22"/>
                <w:szCs w:val="22"/>
              </w:rPr>
              <w:t xml:space="preserve"> </w:t>
            </w:r>
            <w:r w:rsidRPr="008C2532">
              <w:rPr>
                <w:rStyle w:val="Bodytext1811pt"/>
                <w:rFonts w:ascii="Sylfaen" w:hAnsi="Sylfaen"/>
              </w:rPr>
              <w:t>համարը</w:t>
            </w:r>
          </w:p>
        </w:tc>
        <w:tc>
          <w:tcPr>
            <w:tcW w:w="1650" w:type="dxa"/>
            <w:tcBorders>
              <w:top w:val="single" w:sz="4" w:space="0" w:color="auto"/>
              <w:left w:val="single" w:sz="4" w:space="0" w:color="auto"/>
            </w:tcBorders>
            <w:shd w:val="clear" w:color="auto" w:fill="FFFFFF"/>
          </w:tcPr>
          <w:p w14:paraId="5D1D4CAB"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Հետազոտական կենտրոնների համարները (դրանց տեղակայման</w:t>
            </w:r>
            <w:r w:rsidRPr="008C2532">
              <w:rPr>
                <w:rFonts w:ascii="Sylfaen" w:hAnsi="Sylfaen"/>
                <w:b w:val="0"/>
                <w:sz w:val="22"/>
                <w:szCs w:val="22"/>
              </w:rPr>
              <w:t xml:space="preserve"> </w:t>
            </w:r>
            <w:r w:rsidRPr="008C2532">
              <w:rPr>
                <w:rStyle w:val="Bodytext1811pt"/>
                <w:rFonts w:ascii="Sylfaen" w:hAnsi="Sylfaen"/>
              </w:rPr>
              <w:t>վայրերը)</w:t>
            </w:r>
          </w:p>
        </w:tc>
        <w:tc>
          <w:tcPr>
            <w:tcW w:w="1118" w:type="dxa"/>
            <w:tcBorders>
              <w:top w:val="single" w:sz="4" w:space="0" w:color="auto"/>
              <w:left w:val="single" w:sz="4" w:space="0" w:color="auto"/>
            </w:tcBorders>
            <w:shd w:val="clear" w:color="auto" w:fill="FFFFFF"/>
          </w:tcPr>
          <w:p w14:paraId="481317AF"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Դիզայնը</w:t>
            </w:r>
          </w:p>
        </w:tc>
        <w:tc>
          <w:tcPr>
            <w:tcW w:w="1618" w:type="dxa"/>
            <w:tcBorders>
              <w:top w:val="single" w:sz="4" w:space="0" w:color="auto"/>
              <w:left w:val="single" w:sz="4" w:space="0" w:color="auto"/>
            </w:tcBorders>
            <w:shd w:val="clear" w:color="auto" w:fill="FFFFFF"/>
          </w:tcPr>
          <w:p w14:paraId="1F806D11"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Հետազոտվող</w:t>
            </w:r>
            <w:r w:rsidRPr="008C2532">
              <w:rPr>
                <w:rFonts w:ascii="Sylfaen" w:hAnsi="Sylfaen"/>
                <w:b w:val="0"/>
                <w:sz w:val="22"/>
                <w:szCs w:val="22"/>
              </w:rPr>
              <w:t xml:space="preserve"> </w:t>
            </w:r>
            <w:r w:rsidRPr="008C2532">
              <w:rPr>
                <w:rStyle w:val="Bodytext1811pt"/>
                <w:rFonts w:ascii="Sylfaen" w:hAnsi="Sylfaen"/>
              </w:rPr>
              <w:t>դոզան</w:t>
            </w:r>
          </w:p>
        </w:tc>
        <w:tc>
          <w:tcPr>
            <w:tcW w:w="1888" w:type="dxa"/>
            <w:tcBorders>
              <w:top w:val="single" w:sz="4" w:space="0" w:color="auto"/>
              <w:left w:val="single" w:sz="4" w:space="0" w:color="auto"/>
            </w:tcBorders>
            <w:shd w:val="clear" w:color="auto" w:fill="FFFFFF"/>
          </w:tcPr>
          <w:p w14:paraId="1CE4EC83"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Հետազոտության</w:t>
            </w:r>
            <w:r w:rsidRPr="008C2532">
              <w:rPr>
                <w:rFonts w:ascii="Sylfaen" w:hAnsi="Sylfaen"/>
                <w:b w:val="0"/>
                <w:sz w:val="22"/>
                <w:szCs w:val="22"/>
              </w:rPr>
              <w:t xml:space="preserve"> </w:t>
            </w:r>
            <w:r w:rsidRPr="008C2532">
              <w:rPr>
                <w:rStyle w:val="Bodytext1811pt"/>
                <w:rFonts w:ascii="Sylfaen" w:hAnsi="Sylfaen"/>
              </w:rPr>
              <w:t>նպատակը</w:t>
            </w:r>
          </w:p>
        </w:tc>
        <w:tc>
          <w:tcPr>
            <w:tcW w:w="1997" w:type="dxa"/>
            <w:tcBorders>
              <w:top w:val="single" w:sz="4" w:space="0" w:color="auto"/>
              <w:left w:val="single" w:sz="4" w:space="0" w:color="auto"/>
            </w:tcBorders>
            <w:shd w:val="clear" w:color="auto" w:fill="FFFFFF"/>
          </w:tcPr>
          <w:p w14:paraId="15520E12"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 xml:space="preserve">Պացիենտներն </w:t>
            </w:r>
            <w:r>
              <w:rPr>
                <w:rStyle w:val="Bodytext1811pt"/>
                <w:rFonts w:ascii="Sylfaen" w:hAnsi="Sylfaen"/>
              </w:rPr>
              <w:t>ըստ խմբերի (ներառված (հետազոտու</w:t>
            </w:r>
            <w:r w:rsidRPr="008C2532">
              <w:rPr>
                <w:rStyle w:val="Bodytext1811pt"/>
                <w:rFonts w:ascii="Sylfaen" w:hAnsi="Sylfaen"/>
              </w:rPr>
              <w:t>թյունն ավարտած))</w:t>
            </w:r>
          </w:p>
        </w:tc>
        <w:tc>
          <w:tcPr>
            <w:tcW w:w="1581" w:type="dxa"/>
            <w:tcBorders>
              <w:top w:val="single" w:sz="4" w:space="0" w:color="auto"/>
              <w:left w:val="single" w:sz="4" w:space="0" w:color="auto"/>
            </w:tcBorders>
            <w:shd w:val="clear" w:color="auto" w:fill="FFFFFF"/>
          </w:tcPr>
          <w:p w14:paraId="07F29006"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Տ</w:t>
            </w:r>
            <w:r w:rsidR="00C54D75">
              <w:rPr>
                <w:rStyle w:val="Bodytext1811pt"/>
                <w:rFonts w:ascii="Sylfaen" w:hAnsi="Sylfaen"/>
              </w:rPr>
              <w:t>և</w:t>
            </w:r>
            <w:r w:rsidRPr="008C2532">
              <w:rPr>
                <w:rStyle w:val="Bodytext1811pt"/>
                <w:rFonts w:ascii="Sylfaen" w:hAnsi="Sylfaen"/>
              </w:rPr>
              <w:t>ողությունը</w:t>
            </w:r>
          </w:p>
        </w:tc>
        <w:tc>
          <w:tcPr>
            <w:tcW w:w="1263" w:type="dxa"/>
            <w:tcBorders>
              <w:top w:val="single" w:sz="4" w:space="0" w:color="auto"/>
              <w:left w:val="single" w:sz="4" w:space="0" w:color="auto"/>
            </w:tcBorders>
            <w:shd w:val="clear" w:color="auto" w:fill="FFFFFF"/>
          </w:tcPr>
          <w:p w14:paraId="7F8BF497"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Սեռը</w:t>
            </w:r>
            <w:r w:rsidRPr="008C2532">
              <w:rPr>
                <w:rFonts w:ascii="Sylfaen" w:hAnsi="Sylfaen"/>
                <w:b w:val="0"/>
                <w:sz w:val="22"/>
                <w:szCs w:val="22"/>
              </w:rPr>
              <w:t xml:space="preserve"> </w:t>
            </w:r>
            <w:r w:rsidRPr="008C2532">
              <w:rPr>
                <w:rStyle w:val="Bodytext1811pt"/>
                <w:rFonts w:ascii="Sylfaen" w:hAnsi="Sylfaen"/>
              </w:rPr>
              <w:t>(արական կամ իգական),</w:t>
            </w:r>
            <w:r w:rsidRPr="008C2532">
              <w:rPr>
                <w:rFonts w:ascii="Sylfaen" w:hAnsi="Sylfaen"/>
                <w:b w:val="0"/>
                <w:sz w:val="22"/>
                <w:szCs w:val="22"/>
              </w:rPr>
              <w:t xml:space="preserve"> </w:t>
            </w:r>
            <w:r w:rsidRPr="008C2532">
              <w:rPr>
                <w:rStyle w:val="Bodytext1811pt"/>
                <w:rFonts w:ascii="Sylfaen" w:hAnsi="Sylfaen"/>
              </w:rPr>
              <w:t>տարիքի</w:t>
            </w:r>
            <w:r w:rsidRPr="008C2532">
              <w:rPr>
                <w:rFonts w:ascii="Sylfaen" w:hAnsi="Sylfaen"/>
                <w:b w:val="0"/>
                <w:sz w:val="22"/>
                <w:szCs w:val="22"/>
              </w:rPr>
              <w:t xml:space="preserve"> </w:t>
            </w:r>
            <w:r w:rsidRPr="008C2532">
              <w:rPr>
                <w:rStyle w:val="Bodytext1811pt"/>
                <w:rFonts w:ascii="Sylfaen" w:hAnsi="Sylfaen"/>
              </w:rPr>
              <w:t>մեդիանան (միջին թիվը)</w:t>
            </w:r>
          </w:p>
        </w:tc>
        <w:tc>
          <w:tcPr>
            <w:tcW w:w="1639" w:type="dxa"/>
            <w:tcBorders>
              <w:top w:val="single" w:sz="4" w:space="0" w:color="auto"/>
              <w:left w:val="single" w:sz="4" w:space="0" w:color="auto"/>
            </w:tcBorders>
            <w:shd w:val="clear" w:color="auto" w:fill="FFFFFF"/>
          </w:tcPr>
          <w:p w14:paraId="373350D3"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Pr>
                <w:rStyle w:val="Bodytext1811pt"/>
                <w:rFonts w:ascii="Sylfaen" w:hAnsi="Sylfaen"/>
              </w:rPr>
              <w:t>Ախտորո</w:t>
            </w:r>
            <w:r w:rsidRPr="008C2532">
              <w:rPr>
                <w:rStyle w:val="Bodytext1811pt"/>
                <w:rFonts w:ascii="Sylfaen" w:hAnsi="Sylfaen"/>
              </w:rPr>
              <w:t>շումը,</w:t>
            </w:r>
            <w:r w:rsidRPr="008C2532">
              <w:rPr>
                <w:rFonts w:ascii="Sylfaen" w:hAnsi="Sylfaen"/>
                <w:b w:val="0"/>
                <w:sz w:val="22"/>
                <w:szCs w:val="22"/>
              </w:rPr>
              <w:t xml:space="preserve"> </w:t>
            </w:r>
            <w:r w:rsidRPr="008C2532">
              <w:rPr>
                <w:rStyle w:val="Bodytext1811pt"/>
                <w:rFonts w:ascii="Sylfaen" w:hAnsi="Sylfaen"/>
              </w:rPr>
              <w:t>ներառման</w:t>
            </w:r>
            <w:r w:rsidRPr="008C2532">
              <w:rPr>
                <w:rFonts w:ascii="Sylfaen" w:hAnsi="Sylfaen"/>
                <w:b w:val="0"/>
                <w:sz w:val="22"/>
                <w:szCs w:val="22"/>
              </w:rPr>
              <w:t xml:space="preserve"> </w:t>
            </w:r>
            <w:r>
              <w:rPr>
                <w:rStyle w:val="Bodytext1811pt"/>
                <w:rFonts w:ascii="Sylfaen" w:hAnsi="Sylfaen"/>
              </w:rPr>
              <w:t>չափորոշիչ</w:t>
            </w:r>
            <w:r w:rsidRPr="008C2532">
              <w:rPr>
                <w:rStyle w:val="Bodytext1811pt"/>
                <w:rFonts w:ascii="Sylfaen" w:hAnsi="Sylfaen"/>
              </w:rPr>
              <w:t>ները</w:t>
            </w:r>
          </w:p>
        </w:tc>
        <w:tc>
          <w:tcPr>
            <w:tcW w:w="1418" w:type="dxa"/>
            <w:tcBorders>
              <w:top w:val="single" w:sz="4" w:space="0" w:color="auto"/>
              <w:left w:val="single" w:sz="4" w:space="0" w:color="auto"/>
              <w:right w:val="single" w:sz="4" w:space="0" w:color="auto"/>
            </w:tcBorders>
            <w:shd w:val="clear" w:color="auto" w:fill="FFFFFF"/>
          </w:tcPr>
          <w:p w14:paraId="46B06DD1" w14:textId="77777777" w:rsidR="008C76E0" w:rsidRPr="008C2532" w:rsidRDefault="008C76E0" w:rsidP="008C76E0">
            <w:pPr>
              <w:pStyle w:val="Bodytext180"/>
              <w:shd w:val="clear" w:color="auto" w:fill="auto"/>
              <w:spacing w:before="0" w:after="160" w:line="360" w:lineRule="auto"/>
              <w:ind w:left="-14" w:firstLine="0"/>
              <w:jc w:val="center"/>
              <w:rPr>
                <w:rFonts w:ascii="Sylfaen" w:hAnsi="Sylfaen"/>
                <w:b w:val="0"/>
                <w:sz w:val="22"/>
                <w:szCs w:val="22"/>
              </w:rPr>
            </w:pPr>
            <w:r w:rsidRPr="008C2532">
              <w:rPr>
                <w:rStyle w:val="Bodytext1811pt"/>
                <w:rFonts w:ascii="Sylfaen" w:hAnsi="Sylfaen"/>
              </w:rPr>
              <w:t>Առաջնային,</w:t>
            </w:r>
            <w:r w:rsidRPr="008C2532">
              <w:rPr>
                <w:rFonts w:ascii="Sylfaen" w:hAnsi="Sylfaen"/>
                <w:b w:val="0"/>
                <w:sz w:val="22"/>
                <w:szCs w:val="22"/>
              </w:rPr>
              <w:t xml:space="preserve"> </w:t>
            </w:r>
            <w:r w:rsidRPr="008C2532">
              <w:rPr>
                <w:rStyle w:val="Bodytext1811pt"/>
                <w:rFonts w:ascii="Sylfaen" w:hAnsi="Sylfaen"/>
              </w:rPr>
              <w:t>վերջնական</w:t>
            </w:r>
            <w:r w:rsidRPr="008C2532">
              <w:rPr>
                <w:rFonts w:ascii="Sylfaen" w:hAnsi="Sylfaen"/>
                <w:b w:val="0"/>
                <w:sz w:val="22"/>
                <w:szCs w:val="22"/>
              </w:rPr>
              <w:t xml:space="preserve"> </w:t>
            </w:r>
            <w:r w:rsidRPr="008C2532">
              <w:rPr>
                <w:rStyle w:val="Bodytext1811pt"/>
                <w:rFonts w:ascii="Sylfaen" w:hAnsi="Sylfaen"/>
              </w:rPr>
              <w:t>կետերը</w:t>
            </w:r>
          </w:p>
        </w:tc>
      </w:tr>
      <w:tr w:rsidR="008C76E0" w:rsidRPr="008C2532" w14:paraId="47F80ED8" w14:textId="77777777" w:rsidTr="008C76E0">
        <w:trPr>
          <w:jc w:val="center"/>
        </w:trPr>
        <w:tc>
          <w:tcPr>
            <w:tcW w:w="1976" w:type="dxa"/>
            <w:tcBorders>
              <w:top w:val="single" w:sz="4" w:space="0" w:color="auto"/>
              <w:left w:val="single" w:sz="4" w:space="0" w:color="auto"/>
            </w:tcBorders>
            <w:shd w:val="clear" w:color="auto" w:fill="FFFFFF"/>
          </w:tcPr>
          <w:p w14:paraId="1D4B7CBB" w14:textId="77777777" w:rsidR="008C76E0" w:rsidRPr="008C2532" w:rsidRDefault="008C76E0" w:rsidP="008C76E0">
            <w:pPr>
              <w:rPr>
                <w:rFonts w:ascii="Sylfaen" w:hAnsi="Sylfaen"/>
              </w:rPr>
            </w:pPr>
          </w:p>
        </w:tc>
        <w:tc>
          <w:tcPr>
            <w:tcW w:w="1650" w:type="dxa"/>
            <w:tcBorders>
              <w:top w:val="single" w:sz="4" w:space="0" w:color="auto"/>
              <w:left w:val="single" w:sz="4" w:space="0" w:color="auto"/>
            </w:tcBorders>
            <w:shd w:val="clear" w:color="auto" w:fill="FFFFFF"/>
          </w:tcPr>
          <w:p w14:paraId="73FCCDF3" w14:textId="77777777" w:rsidR="008C76E0" w:rsidRPr="008C2532" w:rsidRDefault="008C76E0" w:rsidP="008C76E0">
            <w:pPr>
              <w:rPr>
                <w:rFonts w:ascii="Sylfaen" w:hAnsi="Sylfaen"/>
              </w:rPr>
            </w:pPr>
          </w:p>
        </w:tc>
        <w:tc>
          <w:tcPr>
            <w:tcW w:w="1118" w:type="dxa"/>
            <w:tcBorders>
              <w:top w:val="single" w:sz="4" w:space="0" w:color="auto"/>
              <w:left w:val="single" w:sz="4" w:space="0" w:color="auto"/>
            </w:tcBorders>
            <w:shd w:val="clear" w:color="auto" w:fill="FFFFFF"/>
          </w:tcPr>
          <w:p w14:paraId="4475D013" w14:textId="77777777" w:rsidR="008C76E0" w:rsidRPr="008C2532" w:rsidRDefault="008C76E0" w:rsidP="008C76E0">
            <w:pPr>
              <w:rPr>
                <w:rFonts w:ascii="Sylfaen" w:hAnsi="Sylfaen"/>
              </w:rPr>
            </w:pPr>
          </w:p>
        </w:tc>
        <w:tc>
          <w:tcPr>
            <w:tcW w:w="1618" w:type="dxa"/>
            <w:tcBorders>
              <w:top w:val="single" w:sz="4" w:space="0" w:color="auto"/>
              <w:left w:val="single" w:sz="4" w:space="0" w:color="auto"/>
            </w:tcBorders>
            <w:shd w:val="clear" w:color="auto" w:fill="FFFFFF"/>
          </w:tcPr>
          <w:p w14:paraId="76BC38D9" w14:textId="77777777" w:rsidR="008C76E0" w:rsidRPr="008C2532" w:rsidRDefault="008C76E0" w:rsidP="008C76E0">
            <w:pPr>
              <w:rPr>
                <w:rFonts w:ascii="Sylfaen" w:hAnsi="Sylfaen"/>
              </w:rPr>
            </w:pPr>
          </w:p>
        </w:tc>
        <w:tc>
          <w:tcPr>
            <w:tcW w:w="1888" w:type="dxa"/>
            <w:tcBorders>
              <w:top w:val="single" w:sz="4" w:space="0" w:color="auto"/>
              <w:left w:val="single" w:sz="4" w:space="0" w:color="auto"/>
            </w:tcBorders>
            <w:shd w:val="clear" w:color="auto" w:fill="FFFFFF"/>
          </w:tcPr>
          <w:p w14:paraId="2DDDD5C5" w14:textId="77777777" w:rsidR="008C76E0" w:rsidRPr="008C2532" w:rsidRDefault="008C76E0" w:rsidP="008C76E0">
            <w:pPr>
              <w:rPr>
                <w:rFonts w:ascii="Sylfaen" w:hAnsi="Sylfaen"/>
              </w:rPr>
            </w:pPr>
          </w:p>
        </w:tc>
        <w:tc>
          <w:tcPr>
            <w:tcW w:w="1997" w:type="dxa"/>
            <w:tcBorders>
              <w:top w:val="single" w:sz="4" w:space="0" w:color="auto"/>
              <w:left w:val="single" w:sz="4" w:space="0" w:color="auto"/>
            </w:tcBorders>
            <w:shd w:val="clear" w:color="auto" w:fill="FFFFFF"/>
          </w:tcPr>
          <w:p w14:paraId="325EA0A3" w14:textId="77777777" w:rsidR="008C76E0" w:rsidRPr="008C2532" w:rsidRDefault="008C76E0" w:rsidP="008C76E0">
            <w:pPr>
              <w:rPr>
                <w:rFonts w:ascii="Sylfaen" w:hAnsi="Sylfaen"/>
              </w:rPr>
            </w:pPr>
          </w:p>
        </w:tc>
        <w:tc>
          <w:tcPr>
            <w:tcW w:w="1581" w:type="dxa"/>
            <w:tcBorders>
              <w:top w:val="single" w:sz="4" w:space="0" w:color="auto"/>
              <w:left w:val="single" w:sz="4" w:space="0" w:color="auto"/>
            </w:tcBorders>
            <w:shd w:val="clear" w:color="auto" w:fill="FFFFFF"/>
          </w:tcPr>
          <w:p w14:paraId="73455E49" w14:textId="77777777" w:rsidR="008C76E0" w:rsidRPr="008C2532" w:rsidRDefault="008C76E0" w:rsidP="008C76E0">
            <w:pPr>
              <w:rPr>
                <w:rFonts w:ascii="Sylfaen" w:hAnsi="Sylfaen"/>
              </w:rPr>
            </w:pPr>
          </w:p>
        </w:tc>
        <w:tc>
          <w:tcPr>
            <w:tcW w:w="1263" w:type="dxa"/>
            <w:tcBorders>
              <w:top w:val="single" w:sz="4" w:space="0" w:color="auto"/>
              <w:left w:val="single" w:sz="4" w:space="0" w:color="auto"/>
            </w:tcBorders>
            <w:shd w:val="clear" w:color="auto" w:fill="FFFFFF"/>
          </w:tcPr>
          <w:p w14:paraId="473F04E4" w14:textId="77777777" w:rsidR="008C76E0" w:rsidRPr="008C2532" w:rsidRDefault="008C76E0" w:rsidP="008C76E0">
            <w:pPr>
              <w:rPr>
                <w:rFonts w:ascii="Sylfaen" w:hAnsi="Sylfaen"/>
              </w:rPr>
            </w:pPr>
          </w:p>
        </w:tc>
        <w:tc>
          <w:tcPr>
            <w:tcW w:w="1639" w:type="dxa"/>
            <w:tcBorders>
              <w:top w:val="single" w:sz="4" w:space="0" w:color="auto"/>
              <w:left w:val="single" w:sz="4" w:space="0" w:color="auto"/>
            </w:tcBorders>
            <w:shd w:val="clear" w:color="auto" w:fill="FFFFFF"/>
          </w:tcPr>
          <w:p w14:paraId="57AB67BB" w14:textId="77777777" w:rsidR="008C76E0" w:rsidRPr="008C2532" w:rsidRDefault="008C76E0" w:rsidP="008C76E0">
            <w:pPr>
              <w:rPr>
                <w:rFonts w:ascii="Sylfaen" w:hAnsi="Sylfaen"/>
              </w:rPr>
            </w:pPr>
          </w:p>
        </w:tc>
        <w:tc>
          <w:tcPr>
            <w:tcW w:w="1418" w:type="dxa"/>
            <w:tcBorders>
              <w:top w:val="single" w:sz="4" w:space="0" w:color="auto"/>
              <w:left w:val="single" w:sz="4" w:space="0" w:color="auto"/>
              <w:right w:val="single" w:sz="4" w:space="0" w:color="auto"/>
            </w:tcBorders>
            <w:shd w:val="clear" w:color="auto" w:fill="FFFFFF"/>
          </w:tcPr>
          <w:p w14:paraId="65B76705" w14:textId="77777777" w:rsidR="008C76E0" w:rsidRPr="008C2532" w:rsidRDefault="008C76E0" w:rsidP="008C76E0">
            <w:pPr>
              <w:rPr>
                <w:rFonts w:ascii="Sylfaen" w:hAnsi="Sylfaen"/>
              </w:rPr>
            </w:pPr>
          </w:p>
        </w:tc>
      </w:tr>
      <w:tr w:rsidR="008C76E0" w:rsidRPr="008C2532" w14:paraId="4BFB6AEF" w14:textId="77777777" w:rsidTr="008C76E0">
        <w:trPr>
          <w:jc w:val="center"/>
        </w:trPr>
        <w:tc>
          <w:tcPr>
            <w:tcW w:w="1976" w:type="dxa"/>
            <w:tcBorders>
              <w:top w:val="single" w:sz="4" w:space="0" w:color="auto"/>
              <w:left w:val="single" w:sz="4" w:space="0" w:color="auto"/>
              <w:bottom w:val="single" w:sz="4" w:space="0" w:color="auto"/>
            </w:tcBorders>
            <w:shd w:val="clear" w:color="auto" w:fill="FFFFFF"/>
          </w:tcPr>
          <w:p w14:paraId="125E611E" w14:textId="77777777" w:rsidR="008C76E0" w:rsidRPr="008C2532" w:rsidRDefault="008C76E0" w:rsidP="008C76E0">
            <w:pPr>
              <w:rPr>
                <w:rFonts w:ascii="Sylfaen" w:hAnsi="Sylfaen"/>
              </w:rPr>
            </w:pPr>
          </w:p>
        </w:tc>
        <w:tc>
          <w:tcPr>
            <w:tcW w:w="1650" w:type="dxa"/>
            <w:tcBorders>
              <w:top w:val="single" w:sz="4" w:space="0" w:color="auto"/>
              <w:left w:val="single" w:sz="4" w:space="0" w:color="auto"/>
              <w:bottom w:val="single" w:sz="4" w:space="0" w:color="auto"/>
            </w:tcBorders>
            <w:shd w:val="clear" w:color="auto" w:fill="FFFFFF"/>
          </w:tcPr>
          <w:p w14:paraId="49C07DE9" w14:textId="77777777" w:rsidR="008C76E0" w:rsidRPr="008C2532" w:rsidRDefault="008C76E0" w:rsidP="008C76E0">
            <w:pPr>
              <w:rPr>
                <w:rFonts w:ascii="Sylfaen" w:hAnsi="Sylfaen"/>
              </w:rPr>
            </w:pPr>
          </w:p>
        </w:tc>
        <w:tc>
          <w:tcPr>
            <w:tcW w:w="1118" w:type="dxa"/>
            <w:tcBorders>
              <w:top w:val="single" w:sz="4" w:space="0" w:color="auto"/>
              <w:left w:val="single" w:sz="4" w:space="0" w:color="auto"/>
              <w:bottom w:val="single" w:sz="4" w:space="0" w:color="auto"/>
            </w:tcBorders>
            <w:shd w:val="clear" w:color="auto" w:fill="FFFFFF"/>
          </w:tcPr>
          <w:p w14:paraId="78AB2E74" w14:textId="77777777" w:rsidR="008C76E0" w:rsidRPr="008C2532" w:rsidRDefault="008C76E0" w:rsidP="008C76E0">
            <w:pPr>
              <w:rPr>
                <w:rFonts w:ascii="Sylfaen" w:hAnsi="Sylfaen"/>
              </w:rPr>
            </w:pPr>
          </w:p>
        </w:tc>
        <w:tc>
          <w:tcPr>
            <w:tcW w:w="1618" w:type="dxa"/>
            <w:tcBorders>
              <w:top w:val="single" w:sz="4" w:space="0" w:color="auto"/>
              <w:left w:val="single" w:sz="4" w:space="0" w:color="auto"/>
              <w:bottom w:val="single" w:sz="4" w:space="0" w:color="auto"/>
            </w:tcBorders>
            <w:shd w:val="clear" w:color="auto" w:fill="FFFFFF"/>
          </w:tcPr>
          <w:p w14:paraId="5A221E09" w14:textId="77777777" w:rsidR="008C76E0" w:rsidRPr="008C2532" w:rsidRDefault="008C76E0" w:rsidP="008C76E0">
            <w:pPr>
              <w:rPr>
                <w:rFonts w:ascii="Sylfaen" w:hAnsi="Sylfaen"/>
              </w:rPr>
            </w:pPr>
          </w:p>
        </w:tc>
        <w:tc>
          <w:tcPr>
            <w:tcW w:w="1888" w:type="dxa"/>
            <w:tcBorders>
              <w:top w:val="single" w:sz="4" w:space="0" w:color="auto"/>
              <w:left w:val="single" w:sz="4" w:space="0" w:color="auto"/>
              <w:bottom w:val="single" w:sz="4" w:space="0" w:color="auto"/>
            </w:tcBorders>
            <w:shd w:val="clear" w:color="auto" w:fill="FFFFFF"/>
          </w:tcPr>
          <w:p w14:paraId="69E72FE2" w14:textId="77777777" w:rsidR="008C76E0" w:rsidRPr="008C2532" w:rsidRDefault="008C76E0" w:rsidP="008C76E0">
            <w:pPr>
              <w:rPr>
                <w:rFonts w:ascii="Sylfaen" w:hAnsi="Sylfaen"/>
              </w:rPr>
            </w:pPr>
          </w:p>
        </w:tc>
        <w:tc>
          <w:tcPr>
            <w:tcW w:w="1997" w:type="dxa"/>
            <w:tcBorders>
              <w:top w:val="single" w:sz="4" w:space="0" w:color="auto"/>
              <w:left w:val="single" w:sz="4" w:space="0" w:color="auto"/>
              <w:bottom w:val="single" w:sz="4" w:space="0" w:color="auto"/>
            </w:tcBorders>
            <w:shd w:val="clear" w:color="auto" w:fill="FFFFFF"/>
          </w:tcPr>
          <w:p w14:paraId="6524F187" w14:textId="77777777" w:rsidR="008C76E0" w:rsidRPr="008C2532" w:rsidRDefault="008C76E0" w:rsidP="008C76E0">
            <w:pPr>
              <w:rPr>
                <w:rFonts w:ascii="Sylfaen" w:hAnsi="Sylfaen"/>
              </w:rPr>
            </w:pPr>
          </w:p>
        </w:tc>
        <w:tc>
          <w:tcPr>
            <w:tcW w:w="1581" w:type="dxa"/>
            <w:tcBorders>
              <w:top w:val="single" w:sz="4" w:space="0" w:color="auto"/>
              <w:left w:val="single" w:sz="4" w:space="0" w:color="auto"/>
              <w:bottom w:val="single" w:sz="4" w:space="0" w:color="auto"/>
            </w:tcBorders>
            <w:shd w:val="clear" w:color="auto" w:fill="FFFFFF"/>
          </w:tcPr>
          <w:p w14:paraId="5552AE9E" w14:textId="77777777" w:rsidR="008C76E0" w:rsidRPr="008C2532" w:rsidRDefault="008C76E0" w:rsidP="008C76E0">
            <w:pPr>
              <w:rPr>
                <w:rFonts w:ascii="Sylfaen" w:hAnsi="Sylfaen"/>
              </w:rPr>
            </w:pPr>
          </w:p>
        </w:tc>
        <w:tc>
          <w:tcPr>
            <w:tcW w:w="1263" w:type="dxa"/>
            <w:tcBorders>
              <w:top w:val="single" w:sz="4" w:space="0" w:color="auto"/>
              <w:left w:val="single" w:sz="4" w:space="0" w:color="auto"/>
              <w:bottom w:val="single" w:sz="4" w:space="0" w:color="auto"/>
            </w:tcBorders>
            <w:shd w:val="clear" w:color="auto" w:fill="FFFFFF"/>
          </w:tcPr>
          <w:p w14:paraId="6001D6C9" w14:textId="77777777" w:rsidR="008C76E0" w:rsidRPr="008C2532" w:rsidRDefault="008C76E0" w:rsidP="008C76E0">
            <w:pPr>
              <w:rPr>
                <w:rFonts w:ascii="Sylfaen" w:hAnsi="Sylfaen"/>
              </w:rPr>
            </w:pPr>
          </w:p>
        </w:tc>
        <w:tc>
          <w:tcPr>
            <w:tcW w:w="1639" w:type="dxa"/>
            <w:tcBorders>
              <w:top w:val="single" w:sz="4" w:space="0" w:color="auto"/>
              <w:left w:val="single" w:sz="4" w:space="0" w:color="auto"/>
              <w:bottom w:val="single" w:sz="4" w:space="0" w:color="auto"/>
            </w:tcBorders>
            <w:shd w:val="clear" w:color="auto" w:fill="FFFFFF"/>
          </w:tcPr>
          <w:p w14:paraId="4199D2BB" w14:textId="77777777" w:rsidR="008C76E0" w:rsidRPr="008C2532" w:rsidRDefault="008C76E0" w:rsidP="008C76E0">
            <w:pPr>
              <w:rPr>
                <w:rFonts w:ascii="Sylfaen" w:hAnsi="Sylfae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36377C" w14:textId="77777777" w:rsidR="008C76E0" w:rsidRPr="008C2532" w:rsidRDefault="008C76E0" w:rsidP="008C76E0">
            <w:pPr>
              <w:rPr>
                <w:rFonts w:ascii="Sylfaen" w:hAnsi="Sylfaen"/>
              </w:rPr>
            </w:pPr>
          </w:p>
        </w:tc>
      </w:tr>
    </w:tbl>
    <w:p w14:paraId="07423954" w14:textId="77777777" w:rsidR="008C76E0" w:rsidRDefault="008C76E0" w:rsidP="008C76E0">
      <w:pPr>
        <w:rPr>
          <w:rFonts w:ascii="Sylfaen" w:hAnsi="Sylfaen"/>
          <w:sz w:val="24"/>
          <w:szCs w:val="24"/>
          <w:lang w:val="en-US"/>
        </w:rPr>
      </w:pPr>
    </w:p>
    <w:p w14:paraId="129E1194" w14:textId="77777777" w:rsidR="008C76E0" w:rsidRDefault="008C76E0" w:rsidP="008C76E0">
      <w:pPr>
        <w:rPr>
          <w:rFonts w:ascii="Sylfaen" w:hAnsi="Sylfaen"/>
          <w:sz w:val="24"/>
          <w:szCs w:val="24"/>
          <w:lang w:val="en-US"/>
        </w:rPr>
        <w:sectPr w:rsidR="008C76E0" w:rsidSect="00903D92">
          <w:type w:val="continuous"/>
          <w:pgSz w:w="16839" w:h="11907" w:orient="landscape" w:code="9"/>
          <w:pgMar w:top="1418" w:right="1418" w:bottom="1418" w:left="1418" w:header="709" w:footer="709" w:gutter="0"/>
          <w:pgNumType w:start="1"/>
          <w:cols w:space="708"/>
          <w:titlePg/>
          <w:docGrid w:linePitch="360"/>
        </w:sectPr>
      </w:pPr>
    </w:p>
    <w:tbl>
      <w:tblPr>
        <w:tblOverlap w:val="never"/>
        <w:tblW w:w="9547" w:type="dxa"/>
        <w:jc w:val="center"/>
        <w:tblLayout w:type="fixed"/>
        <w:tblCellMar>
          <w:left w:w="10" w:type="dxa"/>
          <w:right w:w="10" w:type="dxa"/>
        </w:tblCellMar>
        <w:tblLook w:val="04A0" w:firstRow="1" w:lastRow="0" w:firstColumn="1" w:lastColumn="0" w:noHBand="0" w:noVBand="1"/>
      </w:tblPr>
      <w:tblGrid>
        <w:gridCol w:w="9547"/>
      </w:tblGrid>
      <w:tr w:rsidR="008C76E0" w:rsidRPr="00BD7577" w14:paraId="22DBDD31" w14:textId="77777777" w:rsidTr="008C76E0">
        <w:trPr>
          <w:jc w:val="center"/>
        </w:trPr>
        <w:tc>
          <w:tcPr>
            <w:tcW w:w="9547" w:type="dxa"/>
            <w:shd w:val="clear" w:color="auto" w:fill="FFFFFF"/>
          </w:tcPr>
          <w:p w14:paraId="551507DF" w14:textId="77777777" w:rsidR="008C76E0" w:rsidRPr="00BD7577" w:rsidRDefault="008C76E0" w:rsidP="008C76E0">
            <w:pPr>
              <w:pStyle w:val="Bodytext180"/>
              <w:shd w:val="clear" w:color="auto" w:fill="auto"/>
              <w:tabs>
                <w:tab w:val="left" w:pos="1079"/>
              </w:tabs>
              <w:spacing w:before="0" w:after="160" w:line="336" w:lineRule="auto"/>
              <w:ind w:firstLine="567"/>
              <w:rPr>
                <w:rStyle w:val="Bodytext295pt"/>
                <w:rFonts w:ascii="Sylfaen" w:hAnsi="Sylfaen"/>
                <w:i/>
                <w:spacing w:val="0"/>
                <w:sz w:val="24"/>
                <w:szCs w:val="24"/>
              </w:rPr>
            </w:pPr>
            <w:r>
              <w:rPr>
                <w:rStyle w:val="Bodytext295pt"/>
                <w:rFonts w:ascii="Sylfaen" w:hAnsi="Sylfaen"/>
                <w:spacing w:val="0"/>
                <w:sz w:val="24"/>
                <w:szCs w:val="24"/>
              </w:rPr>
              <w:lastRenderedPageBreak/>
              <w:t>3.2.</w:t>
            </w:r>
            <w:r w:rsidRPr="00BD7577">
              <w:rPr>
                <w:rStyle w:val="Bodytext295pt"/>
                <w:rFonts w:ascii="Sylfaen" w:hAnsi="Sylfaen"/>
                <w:spacing w:val="0"/>
                <w:sz w:val="24"/>
                <w:szCs w:val="24"/>
              </w:rPr>
              <w:tab/>
              <w:t xml:space="preserve">Դոզա-արդյունք կախվածության հետազոտությունները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հիմնական կլինիկական հետազոտությունները: </w:t>
            </w:r>
          </w:p>
        </w:tc>
      </w:tr>
      <w:tr w:rsidR="008C76E0" w:rsidRPr="00BD7577" w14:paraId="7F7A5193"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67C158D8"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A7F7581" w14:textId="77777777" w:rsidTr="008C76E0">
        <w:trPr>
          <w:jc w:val="center"/>
        </w:trPr>
        <w:tc>
          <w:tcPr>
            <w:tcW w:w="9547" w:type="dxa"/>
            <w:tcBorders>
              <w:top w:val="single" w:sz="4" w:space="0" w:color="auto"/>
            </w:tcBorders>
            <w:shd w:val="clear" w:color="auto" w:fill="FFFFFF"/>
            <w:vAlign w:val="bottom"/>
          </w:tcPr>
          <w:p w14:paraId="12985EF4" w14:textId="77777777" w:rsidR="008C76E0" w:rsidRPr="00BD7577" w:rsidRDefault="008C76E0" w:rsidP="008C76E0">
            <w:pPr>
              <w:pStyle w:val="Bodytext180"/>
              <w:shd w:val="clear" w:color="auto" w:fill="auto"/>
              <w:tabs>
                <w:tab w:val="left" w:pos="1079"/>
              </w:tabs>
              <w:spacing w:before="0" w:after="160" w:line="336" w:lineRule="auto"/>
              <w:ind w:firstLine="567"/>
              <w:rPr>
                <w:rStyle w:val="Bodytext295pt"/>
                <w:rFonts w:ascii="Sylfaen" w:hAnsi="Sylfaen"/>
                <w:i/>
                <w:spacing w:val="0"/>
                <w:sz w:val="24"/>
                <w:szCs w:val="24"/>
              </w:rPr>
            </w:pPr>
            <w:r>
              <w:rPr>
                <w:rStyle w:val="Bodytext295pt"/>
                <w:rFonts w:ascii="Sylfaen" w:hAnsi="Sylfaen"/>
                <w:spacing w:val="0"/>
                <w:sz w:val="24"/>
                <w:szCs w:val="24"/>
              </w:rPr>
              <w:t>3.3.</w:t>
            </w:r>
            <w:r w:rsidRPr="00BD7577">
              <w:rPr>
                <w:rStyle w:val="Bodytext295pt"/>
                <w:rFonts w:ascii="Sylfaen" w:hAnsi="Sylfaen"/>
                <w:spacing w:val="0"/>
                <w:sz w:val="24"/>
                <w:szCs w:val="24"/>
              </w:rPr>
              <w:tab/>
              <w:t xml:space="preserve">Դոզա-արդյունք կախվածության հետազոտությունը (հետազոտությունները): </w:t>
            </w:r>
          </w:p>
        </w:tc>
      </w:tr>
      <w:tr w:rsidR="008C76E0" w:rsidRPr="00BD7577" w14:paraId="5167E3F5"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06CBBEEB"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4D8B70F" w14:textId="77777777" w:rsidTr="008C76E0">
        <w:trPr>
          <w:jc w:val="center"/>
        </w:trPr>
        <w:tc>
          <w:tcPr>
            <w:tcW w:w="9547" w:type="dxa"/>
            <w:tcBorders>
              <w:top w:val="single" w:sz="4" w:space="0" w:color="auto"/>
            </w:tcBorders>
            <w:shd w:val="clear" w:color="auto" w:fill="FFFFFF"/>
            <w:vAlign w:val="bottom"/>
          </w:tcPr>
          <w:p w14:paraId="19A11CC0" w14:textId="77777777" w:rsidR="008C76E0" w:rsidRPr="00BD7577" w:rsidRDefault="008C76E0" w:rsidP="008C76E0">
            <w:pPr>
              <w:pStyle w:val="Bodytext180"/>
              <w:shd w:val="clear" w:color="auto" w:fill="auto"/>
              <w:tabs>
                <w:tab w:val="left" w:pos="1079"/>
              </w:tabs>
              <w:spacing w:before="0" w:after="160" w:line="336" w:lineRule="auto"/>
              <w:ind w:firstLine="567"/>
              <w:rPr>
                <w:rStyle w:val="Bodytext295pt"/>
                <w:rFonts w:ascii="Sylfaen" w:hAnsi="Sylfaen"/>
                <w:i/>
                <w:spacing w:val="0"/>
                <w:sz w:val="24"/>
                <w:szCs w:val="24"/>
              </w:rPr>
            </w:pPr>
            <w:r>
              <w:rPr>
                <w:rStyle w:val="Bodytext295pt"/>
                <w:rFonts w:ascii="Sylfaen" w:hAnsi="Sylfaen"/>
                <w:spacing w:val="0"/>
                <w:sz w:val="24"/>
                <w:szCs w:val="24"/>
              </w:rPr>
              <w:t>3.4.</w:t>
            </w:r>
            <w:r w:rsidRPr="00BD7577">
              <w:rPr>
                <w:rStyle w:val="Bodytext295pt"/>
                <w:rFonts w:ascii="Sylfaen" w:hAnsi="Sylfaen"/>
                <w:spacing w:val="0"/>
                <w:sz w:val="24"/>
                <w:szCs w:val="24"/>
              </w:rPr>
              <w:tab/>
              <w:t>Հիմնական հետազոտությունը (հիմնական հետազոտությունները):</w:t>
            </w:r>
          </w:p>
        </w:tc>
      </w:tr>
      <w:tr w:rsidR="008C76E0" w:rsidRPr="00BD7577" w14:paraId="53A68B64"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18F394F7"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9C1B76E" w14:textId="77777777" w:rsidTr="008C76E0">
        <w:trPr>
          <w:jc w:val="center"/>
        </w:trPr>
        <w:tc>
          <w:tcPr>
            <w:tcW w:w="9547" w:type="dxa"/>
            <w:tcBorders>
              <w:top w:val="single" w:sz="4" w:space="0" w:color="auto"/>
            </w:tcBorders>
            <w:shd w:val="clear" w:color="auto" w:fill="FFFFFF"/>
            <w:vAlign w:val="center"/>
          </w:tcPr>
          <w:p w14:paraId="373E55FE"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Մեթոդները</w:t>
            </w:r>
          </w:p>
          <w:p w14:paraId="6D75C2DE"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Հետազոտության մասնակիցները</w:t>
            </w:r>
          </w:p>
        </w:tc>
      </w:tr>
      <w:tr w:rsidR="008C76E0" w:rsidRPr="00BD7577" w14:paraId="5A4564DC"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77A6EFAB"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35D4AE4" w14:textId="77777777" w:rsidTr="008C76E0">
        <w:trPr>
          <w:jc w:val="center"/>
        </w:trPr>
        <w:tc>
          <w:tcPr>
            <w:tcW w:w="9547" w:type="dxa"/>
            <w:tcBorders>
              <w:top w:val="single" w:sz="4" w:space="0" w:color="auto"/>
            </w:tcBorders>
            <w:shd w:val="clear" w:color="auto" w:fill="FFFFFF"/>
            <w:vAlign w:val="center"/>
          </w:tcPr>
          <w:p w14:paraId="333B41EF"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Բուժման տեսակները</w:t>
            </w:r>
          </w:p>
        </w:tc>
      </w:tr>
      <w:tr w:rsidR="008C76E0" w:rsidRPr="00BD7577" w14:paraId="27A41CA7"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2D0EB0DF"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E95635B" w14:textId="77777777" w:rsidTr="008C76E0">
        <w:trPr>
          <w:jc w:val="center"/>
        </w:trPr>
        <w:tc>
          <w:tcPr>
            <w:tcW w:w="9547" w:type="dxa"/>
            <w:tcBorders>
              <w:top w:val="single" w:sz="4" w:space="0" w:color="auto"/>
            </w:tcBorders>
            <w:shd w:val="clear" w:color="auto" w:fill="FFFFFF"/>
            <w:vAlign w:val="bottom"/>
          </w:tcPr>
          <w:p w14:paraId="5DEBEAA3"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Նպատակները</w:t>
            </w:r>
          </w:p>
        </w:tc>
      </w:tr>
      <w:tr w:rsidR="008C76E0" w:rsidRPr="00BD7577" w14:paraId="29F76E7E"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0411625E"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7E0DFA5" w14:textId="77777777" w:rsidTr="008C76E0">
        <w:trPr>
          <w:jc w:val="center"/>
        </w:trPr>
        <w:tc>
          <w:tcPr>
            <w:tcW w:w="9547" w:type="dxa"/>
            <w:tcBorders>
              <w:top w:val="single" w:sz="4" w:space="0" w:color="auto"/>
            </w:tcBorders>
            <w:shd w:val="clear" w:color="auto" w:fill="FFFFFF"/>
            <w:vAlign w:val="bottom"/>
          </w:tcPr>
          <w:p w14:paraId="1456900C"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Ելքեր (վերջնակետեր)</w:t>
            </w:r>
          </w:p>
        </w:tc>
      </w:tr>
      <w:tr w:rsidR="008C76E0" w:rsidRPr="00BD7577" w14:paraId="717C00D3"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68F09B20"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ECE9958" w14:textId="77777777" w:rsidTr="008C76E0">
        <w:trPr>
          <w:jc w:val="center"/>
        </w:trPr>
        <w:tc>
          <w:tcPr>
            <w:tcW w:w="9547" w:type="dxa"/>
            <w:tcBorders>
              <w:top w:val="single" w:sz="4" w:space="0" w:color="auto"/>
            </w:tcBorders>
            <w:shd w:val="clear" w:color="auto" w:fill="FFFFFF"/>
            <w:vAlign w:val="bottom"/>
          </w:tcPr>
          <w:p w14:paraId="3D389590"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Ընտրանքի ծավալը</w:t>
            </w:r>
          </w:p>
        </w:tc>
      </w:tr>
      <w:tr w:rsidR="008C76E0" w:rsidRPr="00BD7577" w14:paraId="4C33FEA0"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16DD8B41"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86248B9" w14:textId="77777777" w:rsidTr="008C76E0">
        <w:trPr>
          <w:jc w:val="center"/>
        </w:trPr>
        <w:tc>
          <w:tcPr>
            <w:tcW w:w="9547" w:type="dxa"/>
            <w:tcBorders>
              <w:top w:val="single" w:sz="4" w:space="0" w:color="auto"/>
            </w:tcBorders>
            <w:shd w:val="clear" w:color="auto" w:fill="FFFFFF"/>
            <w:vAlign w:val="center"/>
          </w:tcPr>
          <w:p w14:paraId="01BC1AF1"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Ռանդոմիզացում (պատահականության սկզբունքով բաշխում)</w:t>
            </w:r>
          </w:p>
        </w:tc>
      </w:tr>
      <w:tr w:rsidR="008C76E0" w:rsidRPr="00BD7577" w14:paraId="7897DF0F"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5D8CAB63"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415C4F7" w14:textId="77777777" w:rsidTr="008C76E0">
        <w:trPr>
          <w:jc w:val="center"/>
        </w:trPr>
        <w:tc>
          <w:tcPr>
            <w:tcW w:w="9547" w:type="dxa"/>
            <w:tcBorders>
              <w:top w:val="single" w:sz="4" w:space="0" w:color="auto"/>
            </w:tcBorders>
            <w:shd w:val="clear" w:color="auto" w:fill="FFFFFF"/>
            <w:vAlign w:val="center"/>
          </w:tcPr>
          <w:p w14:paraId="75554A71"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Կույր մեթոդ (քողարկում)</w:t>
            </w:r>
          </w:p>
        </w:tc>
      </w:tr>
      <w:tr w:rsidR="008C76E0" w:rsidRPr="00BD7577" w14:paraId="45D8DFB6" w14:textId="77777777" w:rsidTr="008C76E0">
        <w:trPr>
          <w:jc w:val="center"/>
        </w:trPr>
        <w:tc>
          <w:tcPr>
            <w:tcW w:w="9547" w:type="dxa"/>
            <w:tcBorders>
              <w:top w:val="single" w:sz="4" w:space="0" w:color="auto"/>
              <w:left w:val="single" w:sz="4" w:space="0" w:color="auto"/>
              <w:right w:val="single" w:sz="4" w:space="0" w:color="auto"/>
            </w:tcBorders>
            <w:shd w:val="clear" w:color="auto" w:fill="FFFFFF"/>
          </w:tcPr>
          <w:p w14:paraId="32321192" w14:textId="77777777" w:rsidR="008C76E0" w:rsidRPr="00BD7577" w:rsidRDefault="008C76E0" w:rsidP="008C76E0">
            <w:pPr>
              <w:pStyle w:val="Bodytext180"/>
              <w:shd w:val="clear" w:color="auto" w:fill="auto"/>
              <w:spacing w:before="0" w:after="160" w:line="336"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237A374" w14:textId="77777777" w:rsidTr="008C76E0">
        <w:trPr>
          <w:jc w:val="center"/>
        </w:trPr>
        <w:tc>
          <w:tcPr>
            <w:tcW w:w="9547" w:type="dxa"/>
            <w:tcBorders>
              <w:top w:val="single" w:sz="4" w:space="0" w:color="auto"/>
            </w:tcBorders>
            <w:shd w:val="clear" w:color="auto" w:fill="FFFFFF"/>
            <w:vAlign w:val="bottom"/>
          </w:tcPr>
          <w:p w14:paraId="2C0B2282" w14:textId="77777777" w:rsidR="008C76E0" w:rsidRPr="00BD7577" w:rsidRDefault="008C76E0" w:rsidP="008C76E0">
            <w:pPr>
              <w:pStyle w:val="Bodytext180"/>
              <w:shd w:val="clear" w:color="auto" w:fill="auto"/>
              <w:tabs>
                <w:tab w:val="left" w:pos="1611"/>
              </w:tabs>
              <w:spacing w:before="0" w:after="160" w:line="336"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Վիճակագրական մեթոդներ</w:t>
            </w:r>
          </w:p>
        </w:tc>
      </w:tr>
    </w:tbl>
    <w:p w14:paraId="6B8664E4" w14:textId="77777777" w:rsidR="008C76E0" w:rsidRPr="00BD7577" w:rsidRDefault="008C76E0" w:rsidP="008C76E0">
      <w:pPr>
        <w:ind w:firstLine="567"/>
        <w:jc w:val="both"/>
        <w:rPr>
          <w:rFonts w:ascii="Sylfaen" w:hAnsi="Sylfaen"/>
          <w:sz w:val="24"/>
          <w:szCs w:val="24"/>
        </w:rPr>
      </w:pPr>
      <w:r w:rsidRPr="00BD7577">
        <w:rPr>
          <w:rFonts w:ascii="Sylfaen" w:hAnsi="Sylfaen"/>
          <w:sz w:val="24"/>
          <w:szCs w:val="24"/>
        </w:rPr>
        <w:lastRenderedPageBreak/>
        <w:t>Արդյունքները</w:t>
      </w:r>
    </w:p>
    <w:p w14:paraId="1DD9712C" w14:textId="77777777" w:rsidR="008C76E0" w:rsidRPr="00BD7577" w:rsidRDefault="008C76E0" w:rsidP="008C76E0">
      <w:pPr>
        <w:ind w:firstLine="567"/>
        <w:jc w:val="both"/>
        <w:rPr>
          <w:rFonts w:ascii="Sylfaen" w:hAnsi="Sylfaen"/>
          <w:sz w:val="24"/>
          <w:szCs w:val="24"/>
        </w:rPr>
      </w:pPr>
      <w:r w:rsidRPr="00BD7577">
        <w:rPr>
          <w:rFonts w:ascii="Sylfaen" w:hAnsi="Sylfaen"/>
          <w:sz w:val="24"/>
          <w:szCs w:val="24"/>
        </w:rPr>
        <w:t>Մասնակիցների բաշխման սխեման (պետք է օգտագործել տվյալ ձ</w:t>
      </w:r>
      <w:r w:rsidR="00C54D75">
        <w:rPr>
          <w:rFonts w:ascii="Sylfaen" w:hAnsi="Sylfaen"/>
          <w:sz w:val="24"/>
          <w:szCs w:val="24"/>
        </w:rPr>
        <w:t>և</w:t>
      </w:r>
      <w:r w:rsidRPr="00BD7577">
        <w:rPr>
          <w:rFonts w:ascii="Sylfaen" w:hAnsi="Sylfaen"/>
          <w:sz w:val="24"/>
          <w:szCs w:val="24"/>
        </w:rPr>
        <w:t>աչափը, թույլատրվում է, ըստ անհրաժեշտության, դրանում փոփոխությունների կատարումը)</w:t>
      </w:r>
    </w:p>
    <w:p w14:paraId="39D75FA7" w14:textId="77777777" w:rsidR="008C76E0" w:rsidRPr="00BD7577" w:rsidRDefault="00157FD9" w:rsidP="008C76E0">
      <w:pPr>
        <w:ind w:left="-426"/>
        <w:jc w:val="center"/>
        <w:rPr>
          <w:rFonts w:ascii="Sylfaen" w:hAnsi="Sylfaen"/>
          <w:sz w:val="24"/>
          <w:szCs w:val="24"/>
          <w:lang w:val="en-US"/>
        </w:rPr>
      </w:pPr>
      <w:r>
        <w:rPr>
          <w:rFonts w:ascii="Sylfaen" w:hAnsi="Sylfaen"/>
          <w:sz w:val="24"/>
          <w:szCs w:val="24"/>
        </w:rPr>
      </w:r>
      <w:r>
        <w:rPr>
          <w:rFonts w:ascii="Sylfaen" w:hAnsi="Sylfaen"/>
          <w:sz w:val="24"/>
          <w:szCs w:val="24"/>
        </w:rPr>
        <w:pict w14:anchorId="300EFC83">
          <v:group id="_x0000_s1302" style="width:509.5pt;height:569.2pt;mso-position-horizontal-relative:char;mso-position-vertical-relative:line" coordorigin="643,1573" coordsize="10190,11384">
            <v:roundrect id="_x0000_s1303" style="position:absolute;left:4564;top:1684;width:2725;height:1063" arcsize="10923f">
              <v:textbox style="mso-next-textbox:#_x0000_s1303" inset=".1mm,.1mm,.1mm,.1mm">
                <w:txbxContent>
                  <w:p w14:paraId="075FD5FC" w14:textId="77777777" w:rsidR="004A52D9" w:rsidRPr="0076243B" w:rsidRDefault="004A52D9" w:rsidP="008C76E0">
                    <w:pPr>
                      <w:spacing w:after="120" w:line="240" w:lineRule="auto"/>
                      <w:rPr>
                        <w:rFonts w:ascii="Sylfaen" w:hAnsi="Sylfaen"/>
                        <w:sz w:val="18"/>
                        <w:szCs w:val="18"/>
                      </w:rPr>
                    </w:pPr>
                    <w:r w:rsidRPr="0076243B">
                      <w:rPr>
                        <w:rFonts w:ascii="Sylfaen" w:hAnsi="Sylfaen"/>
                        <w:sz w:val="18"/>
                        <w:szCs w:val="18"/>
                      </w:rPr>
                      <w:t>Պահանջներին համապատասխանության մասով սքրինինգ են անցել (n=….)</w:t>
                    </w:r>
                  </w:p>
                  <w:p w14:paraId="02A0DE65" w14:textId="77777777" w:rsidR="004A52D9" w:rsidRPr="00AE11C0" w:rsidRDefault="004A52D9" w:rsidP="008C76E0">
                    <w:pPr>
                      <w:rPr>
                        <w:rFonts w:ascii="Sylfaen" w:hAnsi="Sylfaen"/>
                      </w:rPr>
                    </w:pPr>
                  </w:p>
                </w:txbxContent>
              </v:textbox>
            </v:roundrect>
            <v:roundrect id="_x0000_s1304" style="position:absolute;left:8086;top:1573;width:2747;height:1373" arcsize="10923f">
              <v:textbox style="mso-next-textbox:#_x0000_s1304" inset=".1mm,.1mm,.1mm,.1mm">
                <w:txbxContent>
                  <w:p w14:paraId="0D75C04C" w14:textId="77777777" w:rsidR="004A52D9" w:rsidRPr="0076243B" w:rsidRDefault="004A52D9" w:rsidP="008C76E0">
                    <w:pPr>
                      <w:spacing w:after="0" w:line="240" w:lineRule="auto"/>
                      <w:rPr>
                        <w:rFonts w:ascii="Sylfaen" w:hAnsi="Sylfaen"/>
                        <w:sz w:val="16"/>
                        <w:szCs w:val="16"/>
                      </w:rPr>
                    </w:pPr>
                    <w:r w:rsidRPr="0076243B">
                      <w:rPr>
                        <w:rFonts w:ascii="Sylfaen" w:hAnsi="Sylfaen"/>
                        <w:sz w:val="16"/>
                        <w:szCs w:val="16"/>
                      </w:rPr>
                      <w:t>Բացառվել են որպես պահանջներին չհամապատասխանող (n=….)</w:t>
                    </w:r>
                  </w:p>
                  <w:p w14:paraId="795EDC07" w14:textId="77777777" w:rsidR="004A52D9" w:rsidRPr="00DD61E4" w:rsidRDefault="004A52D9" w:rsidP="008C76E0">
                    <w:pPr>
                      <w:spacing w:after="0" w:line="240" w:lineRule="auto"/>
                      <w:rPr>
                        <w:rFonts w:ascii="Sylfaen" w:hAnsi="Sylfaen"/>
                        <w:sz w:val="16"/>
                        <w:szCs w:val="16"/>
                      </w:rPr>
                    </w:pPr>
                    <w:r w:rsidRPr="0076243B">
                      <w:rPr>
                        <w:rFonts w:ascii="Sylfaen" w:hAnsi="Sylfaen"/>
                        <w:sz w:val="16"/>
                        <w:szCs w:val="16"/>
                      </w:rPr>
                      <w:t>Հրաժարվել են մասնակցությունից (n=….)</w:t>
                    </w:r>
                  </w:p>
                  <w:p w14:paraId="472BF021" w14:textId="77777777" w:rsidR="004A52D9" w:rsidRPr="0076243B" w:rsidRDefault="004A52D9" w:rsidP="008C76E0">
                    <w:pPr>
                      <w:spacing w:after="120" w:line="240" w:lineRule="auto"/>
                      <w:rPr>
                        <w:sz w:val="16"/>
                        <w:szCs w:val="16"/>
                      </w:rPr>
                    </w:pPr>
                    <w:r w:rsidRPr="0076243B">
                      <w:rPr>
                        <w:rFonts w:ascii="Sylfaen" w:hAnsi="Sylfaen"/>
                        <w:sz w:val="16"/>
                        <w:szCs w:val="16"/>
                      </w:rPr>
                      <w:t>Այլ պատճառներ</w:t>
                    </w:r>
                    <w:r>
                      <w:rPr>
                        <w:rFonts w:ascii="Sylfaen" w:hAnsi="Sylfaen"/>
                        <w:sz w:val="16"/>
                        <w:szCs w:val="16"/>
                      </w:rPr>
                      <w:t xml:space="preserve"> </w:t>
                    </w:r>
                    <w:r w:rsidRPr="0076243B">
                      <w:rPr>
                        <w:rFonts w:ascii="Sylfaen" w:hAnsi="Sylfaen"/>
                        <w:sz w:val="16"/>
                        <w:szCs w:val="16"/>
                      </w:rPr>
                      <w:t>(n=….)</w:t>
                    </w:r>
                  </w:p>
                </w:txbxContent>
              </v:textbox>
            </v:roundrect>
            <v:roundrect id="_x0000_s1305" style="position:absolute;left:4564;top:3522;width:2725;height:465" arcsize="10923f">
              <v:textbox style="mso-next-textbox:#_x0000_s1305" inset=".1mm,.1mm,.1mm,.1mm">
                <w:txbxContent>
                  <w:p w14:paraId="75DF4C69"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Պատահական բաշխման են ենթարկվել</w:t>
                    </w:r>
                    <w:r>
                      <w:rPr>
                        <w:rFonts w:ascii="Sylfaen" w:hAnsi="Sylfaen"/>
                        <w:sz w:val="16"/>
                        <w:szCs w:val="16"/>
                      </w:rPr>
                      <w:t xml:space="preserve"> </w:t>
                    </w:r>
                    <w:r w:rsidRPr="0076243B">
                      <w:rPr>
                        <w:rFonts w:ascii="Sylfaen" w:hAnsi="Sylfaen"/>
                        <w:sz w:val="16"/>
                        <w:szCs w:val="16"/>
                      </w:rPr>
                      <w:t>(n=….)</w:t>
                    </w:r>
                  </w:p>
                  <w:p w14:paraId="1283482A" w14:textId="77777777" w:rsidR="004A52D9" w:rsidRPr="00117D49" w:rsidRDefault="004A52D9" w:rsidP="008C76E0"/>
                </w:txbxContent>
              </v:textbox>
            </v:roundrect>
            <v:roundrect id="_x0000_s1306" style="position:absolute;left:2703;top:7665;width:3102;height:1218" arcsize="10923f">
              <v:textbox style="mso-next-textbox:#_x0000_s1306" inset=".1mm,.1mm,.1mm,.1mm">
                <w:txbxContent>
                  <w:p w14:paraId="732F273D"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Չեն անցել հետագա հսկողության փուլ</w:t>
                    </w:r>
                    <w:r>
                      <w:rPr>
                        <w:rFonts w:ascii="Sylfaen" w:hAnsi="Sylfaen"/>
                        <w:sz w:val="16"/>
                        <w:szCs w:val="16"/>
                      </w:rPr>
                      <w:t xml:space="preserve"> </w:t>
                    </w:r>
                    <w:r w:rsidRPr="0076243B">
                      <w:rPr>
                        <w:rFonts w:ascii="Sylfaen" w:hAnsi="Sylfaen"/>
                        <w:sz w:val="16"/>
                        <w:szCs w:val="16"/>
                      </w:rPr>
                      <w:t>(n=….) [նշել պատճառը]</w:t>
                    </w:r>
                  </w:p>
                  <w:p w14:paraId="73013B6E"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 xml:space="preserve">Բուժումը դադարեցված է </w:t>
                    </w:r>
                  </w:p>
                  <w:p w14:paraId="1151D6F0"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(նշել պատճառները)</w:t>
                    </w:r>
                  </w:p>
                  <w:p w14:paraId="0BAF5EED" w14:textId="77777777" w:rsidR="004A52D9" w:rsidRPr="000B2695" w:rsidRDefault="004A52D9" w:rsidP="008C76E0"/>
                </w:txbxContent>
              </v:textbox>
            </v:roundrect>
            <v:shapetype id="_x0000_t32" coordsize="21600,21600" o:spt="32" o:oned="t" path="m,l21600,21600e" filled="f">
              <v:path arrowok="t" fillok="f" o:connecttype="none"/>
              <o:lock v:ext="edit" shapetype="t"/>
            </v:shapetype>
            <v:shape id="_x0000_s1307" type="#_x0000_t32" style="position:absolute;left:7289;top:2282;width:797;height:0" o:connectortype="straight">
              <v:stroke endarrow="block"/>
            </v:shape>
            <v:shape id="_x0000_s1308" type="#_x0000_t32" style="position:absolute;left:4209;top:6890;width:0;height:775" o:connectortype="straight">
              <v:stroke endarrow="block"/>
            </v:shape>
            <v:shape id="_x0000_s1309" type="#_x0000_t32" style="position:absolute;left:4209;top:8883;width:0;height:775" o:connectortype="straight">
              <v:stroke endarrow="block"/>
            </v:shape>
            <v:shape id="_x0000_s1310" type="#_x0000_t32" style="position:absolute;left:7577;top:6890;width:0;height:775" o:connectortype="straight">
              <v:stroke endarrow="block"/>
            </v:shape>
            <v:shape id="_x0000_s1311" type="#_x0000_t32" style="position:absolute;left:5982;top:2747;width:0;height:775" o:connectortype="straight">
              <v:stroke endarrow="block"/>
            </v:shape>
            <v:roundrect id="_x0000_s1312" style="position:absolute;left:5982;top:5672;width:3102;height:1218" arcsize="10923f">
              <v:textbox style="mso-next-textbox:#_x0000_s1312" inset=".1mm,.1mm,.1mm,.1mm">
                <w:txbxContent>
                  <w:p w14:paraId="6BE77690"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Ներառվել են բուժման խմբում</w:t>
                    </w:r>
                    <w:r>
                      <w:rPr>
                        <w:rFonts w:ascii="Sylfaen" w:hAnsi="Sylfaen"/>
                        <w:sz w:val="16"/>
                        <w:szCs w:val="16"/>
                      </w:rPr>
                      <w:t xml:space="preserve"> </w:t>
                    </w:r>
                    <w:r w:rsidRPr="0076243B">
                      <w:rPr>
                        <w:rFonts w:ascii="Sylfaen" w:hAnsi="Sylfaen"/>
                        <w:sz w:val="16"/>
                        <w:szCs w:val="16"/>
                      </w:rPr>
                      <w:t>(n=….) Բուժում են ստացել ըստ արձանագրության</w:t>
                    </w:r>
                    <w:r>
                      <w:rPr>
                        <w:rFonts w:ascii="Sylfaen" w:hAnsi="Sylfaen"/>
                        <w:sz w:val="16"/>
                        <w:szCs w:val="16"/>
                      </w:rPr>
                      <w:t xml:space="preserve"> </w:t>
                    </w:r>
                    <w:r w:rsidRPr="0076243B">
                      <w:rPr>
                        <w:rFonts w:ascii="Sylfaen" w:hAnsi="Sylfaen"/>
                        <w:sz w:val="16"/>
                        <w:szCs w:val="16"/>
                      </w:rPr>
                      <w:t>(n=….)</w:t>
                    </w:r>
                  </w:p>
                  <w:p w14:paraId="29BC5C90" w14:textId="77777777" w:rsidR="004A52D9" w:rsidRPr="0076243B" w:rsidRDefault="004A52D9" w:rsidP="008C76E0">
                    <w:pPr>
                      <w:rPr>
                        <w:rFonts w:ascii="Sylfaen" w:hAnsi="Sylfaen"/>
                        <w:sz w:val="16"/>
                        <w:szCs w:val="16"/>
                      </w:rPr>
                    </w:pPr>
                    <w:r w:rsidRPr="0076243B">
                      <w:rPr>
                        <w:rFonts w:ascii="Sylfaen" w:hAnsi="Sylfaen"/>
                        <w:sz w:val="16"/>
                        <w:szCs w:val="16"/>
                      </w:rPr>
                      <w:t>Բուժում չեն ստացել</w:t>
                    </w:r>
                    <w:r>
                      <w:rPr>
                        <w:rFonts w:ascii="Sylfaen" w:hAnsi="Sylfaen"/>
                        <w:sz w:val="16"/>
                        <w:szCs w:val="16"/>
                      </w:rPr>
                      <w:t xml:space="preserve"> </w:t>
                    </w:r>
                    <w:r w:rsidRPr="0076243B">
                      <w:rPr>
                        <w:rFonts w:ascii="Sylfaen" w:hAnsi="Sylfaen"/>
                        <w:sz w:val="16"/>
                        <w:szCs w:val="16"/>
                      </w:rPr>
                      <w:t>(n=….)</w:t>
                    </w:r>
                  </w:p>
                  <w:p w14:paraId="3A37C9AB" w14:textId="77777777" w:rsidR="004A52D9" w:rsidRDefault="004A52D9" w:rsidP="008C76E0">
                    <w:pPr>
                      <w:rPr>
                        <w:rFonts w:ascii="Sylfaen" w:hAnsi="Sylfaen"/>
                      </w:rPr>
                    </w:pPr>
                    <w:r w:rsidRPr="00152FB4">
                      <w:rPr>
                        <w:rFonts w:ascii="Sylfaen" w:hAnsi="Sylfaen"/>
                      </w:rPr>
                      <w:t>(</w:t>
                    </w:r>
                    <w:r>
                      <w:rPr>
                        <w:rFonts w:ascii="Sylfaen" w:hAnsi="Sylfaen"/>
                      </w:rPr>
                      <w:t>նշել պատճառը</w:t>
                    </w:r>
                    <w:r w:rsidRPr="00152FB4">
                      <w:rPr>
                        <w:rFonts w:ascii="Sylfaen" w:hAnsi="Sylfaen"/>
                      </w:rPr>
                      <w:t>)</w:t>
                    </w:r>
                  </w:p>
                  <w:p w14:paraId="0940784C" w14:textId="77777777" w:rsidR="004A52D9" w:rsidRPr="000B2695" w:rsidRDefault="004A52D9" w:rsidP="008C76E0"/>
                </w:txbxContent>
              </v:textbox>
            </v:roundrect>
            <v:roundrect id="_x0000_s1313" style="position:absolute;left:2703;top:5672;width:3102;height:1218" arcsize="10923f">
              <v:textbox style="mso-next-textbox:#_x0000_s1313" inset=".1mm,.1mm,.1mm,.1mm">
                <w:txbxContent>
                  <w:p w14:paraId="684309C0"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Ներառվել են բուժման խմբում</w:t>
                    </w:r>
                    <w:r>
                      <w:rPr>
                        <w:rFonts w:ascii="Sylfaen" w:hAnsi="Sylfaen"/>
                        <w:sz w:val="16"/>
                        <w:szCs w:val="16"/>
                      </w:rPr>
                      <w:t xml:space="preserve"> </w:t>
                    </w:r>
                    <w:r w:rsidRPr="0076243B">
                      <w:rPr>
                        <w:rFonts w:ascii="Sylfaen" w:hAnsi="Sylfaen"/>
                        <w:sz w:val="16"/>
                        <w:szCs w:val="16"/>
                      </w:rPr>
                      <w:t>(n=….) Բուժում են ստացել ըստ</w:t>
                    </w:r>
                    <w:r>
                      <w:rPr>
                        <w:rFonts w:ascii="Sylfaen" w:hAnsi="Sylfaen"/>
                      </w:rPr>
                      <w:t xml:space="preserve"> </w:t>
                    </w:r>
                    <w:r w:rsidRPr="0076243B">
                      <w:rPr>
                        <w:rFonts w:ascii="Sylfaen" w:hAnsi="Sylfaen"/>
                        <w:sz w:val="16"/>
                        <w:szCs w:val="16"/>
                      </w:rPr>
                      <w:t>արձանագրության</w:t>
                    </w:r>
                    <w:r>
                      <w:rPr>
                        <w:rFonts w:ascii="Sylfaen" w:hAnsi="Sylfaen"/>
                        <w:sz w:val="16"/>
                        <w:szCs w:val="16"/>
                      </w:rPr>
                      <w:t xml:space="preserve"> </w:t>
                    </w:r>
                    <w:r w:rsidRPr="0076243B">
                      <w:rPr>
                        <w:rFonts w:ascii="Sylfaen" w:hAnsi="Sylfaen"/>
                        <w:sz w:val="16"/>
                        <w:szCs w:val="16"/>
                      </w:rPr>
                      <w:t>(n=….)</w:t>
                    </w:r>
                  </w:p>
                  <w:p w14:paraId="6EDA045B" w14:textId="77777777" w:rsidR="004A52D9" w:rsidRPr="0076243B" w:rsidRDefault="004A52D9" w:rsidP="008C76E0">
                    <w:pPr>
                      <w:rPr>
                        <w:rFonts w:ascii="Sylfaen" w:hAnsi="Sylfaen"/>
                        <w:sz w:val="16"/>
                        <w:szCs w:val="16"/>
                      </w:rPr>
                    </w:pPr>
                    <w:r w:rsidRPr="0076243B">
                      <w:rPr>
                        <w:rFonts w:ascii="Sylfaen" w:hAnsi="Sylfaen"/>
                        <w:sz w:val="16"/>
                        <w:szCs w:val="16"/>
                      </w:rPr>
                      <w:t>Բուժում չեն ստացել</w:t>
                    </w:r>
                    <w:r>
                      <w:rPr>
                        <w:rFonts w:ascii="Sylfaen" w:hAnsi="Sylfaen"/>
                        <w:sz w:val="16"/>
                        <w:szCs w:val="16"/>
                      </w:rPr>
                      <w:t xml:space="preserve"> </w:t>
                    </w:r>
                    <w:r w:rsidRPr="0076243B">
                      <w:rPr>
                        <w:rFonts w:ascii="Sylfaen" w:hAnsi="Sylfaen"/>
                        <w:sz w:val="16"/>
                        <w:szCs w:val="16"/>
                      </w:rPr>
                      <w:t>(n=….)</w:t>
                    </w:r>
                  </w:p>
                  <w:p w14:paraId="3CE60FB2" w14:textId="77777777" w:rsidR="004A52D9" w:rsidRDefault="004A52D9" w:rsidP="008C76E0">
                    <w:pPr>
                      <w:rPr>
                        <w:rFonts w:ascii="Sylfaen" w:hAnsi="Sylfaen"/>
                      </w:rPr>
                    </w:pPr>
                    <w:r w:rsidRPr="00152FB4">
                      <w:rPr>
                        <w:rFonts w:ascii="Sylfaen" w:hAnsi="Sylfaen"/>
                      </w:rPr>
                      <w:t>(</w:t>
                    </w:r>
                    <w:r>
                      <w:rPr>
                        <w:rFonts w:ascii="Sylfaen" w:hAnsi="Sylfaen"/>
                      </w:rPr>
                      <w:t>նշել պատճառը</w:t>
                    </w:r>
                    <w:r w:rsidRPr="00152FB4">
                      <w:rPr>
                        <w:rFonts w:ascii="Sylfaen" w:hAnsi="Sylfaen"/>
                      </w:rPr>
                      <w:t>)</w:t>
                    </w:r>
                  </w:p>
                  <w:p w14:paraId="60F4E439" w14:textId="77777777" w:rsidR="004A52D9" w:rsidRDefault="004A52D9" w:rsidP="008C76E0">
                    <w:pPr>
                      <w:rPr>
                        <w:rFonts w:ascii="Sylfaen" w:hAnsi="Sylfaen"/>
                      </w:rPr>
                    </w:pPr>
                  </w:p>
                  <w:p w14:paraId="2DE44044" w14:textId="77777777" w:rsidR="004A52D9" w:rsidRPr="00F45251" w:rsidRDefault="004A52D9" w:rsidP="008C76E0"/>
                </w:txbxContent>
              </v:textbox>
            </v:roundrect>
            <v:roundrect id="_x0000_s1314" style="position:absolute;left:5982;top:7665;width:3102;height:1218" arcsize="10923f">
              <v:textbox style="mso-next-textbox:#_x0000_s1314" inset=".1mm,.1mm,.1mm,.1mm">
                <w:txbxContent>
                  <w:p w14:paraId="268CE989" w14:textId="77777777" w:rsidR="004A52D9" w:rsidRPr="003415E8" w:rsidRDefault="004A52D9" w:rsidP="00591274">
                    <w:pPr>
                      <w:spacing w:after="0" w:line="240" w:lineRule="auto"/>
                      <w:rPr>
                        <w:rFonts w:ascii="Sylfaen" w:hAnsi="Sylfaen"/>
                        <w:sz w:val="16"/>
                        <w:szCs w:val="16"/>
                      </w:rPr>
                    </w:pPr>
                    <w:r w:rsidRPr="003415E8">
                      <w:rPr>
                        <w:rFonts w:ascii="Sylfaen" w:hAnsi="Sylfaen"/>
                        <w:sz w:val="16"/>
                        <w:szCs w:val="16"/>
                      </w:rPr>
                      <w:t>Չեն անցել հետագա հսկողության փուլ (n=….) [նշել պատճառը]</w:t>
                    </w:r>
                  </w:p>
                  <w:p w14:paraId="06E7FB39" w14:textId="77777777" w:rsidR="004A52D9" w:rsidRPr="003415E8" w:rsidRDefault="004A52D9" w:rsidP="00591274">
                    <w:pPr>
                      <w:spacing w:after="0" w:line="240" w:lineRule="auto"/>
                      <w:rPr>
                        <w:rFonts w:ascii="Sylfaen" w:hAnsi="Sylfaen"/>
                        <w:sz w:val="16"/>
                        <w:szCs w:val="16"/>
                      </w:rPr>
                    </w:pPr>
                    <w:r w:rsidRPr="003415E8">
                      <w:rPr>
                        <w:rFonts w:ascii="Sylfaen" w:hAnsi="Sylfaen"/>
                        <w:sz w:val="16"/>
                        <w:szCs w:val="16"/>
                      </w:rPr>
                      <w:t xml:space="preserve">Բուժումը դադարեցված է </w:t>
                    </w:r>
                  </w:p>
                  <w:p w14:paraId="0C9D7401" w14:textId="77777777" w:rsidR="004A52D9" w:rsidRPr="003415E8" w:rsidRDefault="004A52D9" w:rsidP="00591274">
                    <w:pPr>
                      <w:spacing w:after="0" w:line="240" w:lineRule="auto"/>
                      <w:rPr>
                        <w:rFonts w:ascii="Sylfaen" w:hAnsi="Sylfaen"/>
                        <w:sz w:val="16"/>
                        <w:szCs w:val="16"/>
                      </w:rPr>
                    </w:pPr>
                    <w:r w:rsidRPr="003415E8">
                      <w:rPr>
                        <w:rFonts w:ascii="Sylfaen" w:hAnsi="Sylfaen"/>
                        <w:sz w:val="16"/>
                        <w:szCs w:val="16"/>
                      </w:rPr>
                      <w:t>(նշել պատճառները)</w:t>
                    </w:r>
                  </w:p>
                  <w:p w14:paraId="0F7809FB" w14:textId="77777777" w:rsidR="004A52D9" w:rsidRPr="000B2695" w:rsidRDefault="004A52D9" w:rsidP="008C76E0"/>
                </w:txbxContent>
              </v:textbox>
            </v:roundrect>
            <v:shape id="_x0000_s1315" type="#_x0000_t32" style="position:absolute;left:7577;top:8883;width:0;height:775" o:connectortype="straight">
              <v:stroke endarrow="block"/>
            </v:shape>
            <v:roundrect id="_x0000_s1316" style="position:absolute;left:2703;top:9658;width:3102;height:1218" arcsize="10923f">
              <v:textbox style="mso-next-textbox:#_x0000_s1316" inset=".1mm,.1mm,.1mm,.1mm">
                <w:txbxContent>
                  <w:p w14:paraId="706A97F8"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Վերլուծության են ենթարկվել</w:t>
                    </w:r>
                    <w:r>
                      <w:rPr>
                        <w:rFonts w:ascii="Sylfaen" w:hAnsi="Sylfaen"/>
                        <w:sz w:val="16"/>
                        <w:szCs w:val="16"/>
                      </w:rPr>
                      <w:t xml:space="preserve"> </w:t>
                    </w:r>
                    <w:r w:rsidRPr="0076243B">
                      <w:rPr>
                        <w:rFonts w:ascii="Sylfaen" w:hAnsi="Sylfaen"/>
                        <w:sz w:val="16"/>
                        <w:szCs w:val="16"/>
                      </w:rPr>
                      <w:t>(n=….) Վերլուծությունից բացառվել են</w:t>
                    </w:r>
                    <w:r>
                      <w:rPr>
                        <w:rFonts w:ascii="Sylfaen" w:hAnsi="Sylfaen"/>
                        <w:sz w:val="16"/>
                        <w:szCs w:val="16"/>
                      </w:rPr>
                      <w:t xml:space="preserve"> </w:t>
                    </w:r>
                    <w:r w:rsidRPr="0076243B">
                      <w:rPr>
                        <w:rFonts w:ascii="Sylfaen" w:hAnsi="Sylfaen"/>
                        <w:sz w:val="16"/>
                        <w:szCs w:val="16"/>
                      </w:rPr>
                      <w:t>(n=….)</w:t>
                    </w:r>
                  </w:p>
                  <w:p w14:paraId="4454E9A6"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(նշել պատճառները)</w:t>
                    </w:r>
                  </w:p>
                  <w:p w14:paraId="08945628" w14:textId="77777777" w:rsidR="004A52D9" w:rsidRDefault="004A52D9" w:rsidP="008C76E0"/>
                </w:txbxContent>
              </v:textbox>
            </v:roundrect>
            <v:roundrect id="_x0000_s1317" style="position:absolute;left:5982;top:9658;width:3102;height:1218" arcsize="10923f">
              <v:textbox style="mso-next-textbox:#_x0000_s1317" inset=".1mm,.1mm,.1mm,.1mm">
                <w:txbxContent>
                  <w:p w14:paraId="212AEF0C" w14:textId="77777777" w:rsidR="004A52D9" w:rsidRPr="0076243B" w:rsidRDefault="004A52D9" w:rsidP="008C76E0">
                    <w:pPr>
                      <w:spacing w:after="0" w:line="240" w:lineRule="auto"/>
                      <w:rPr>
                        <w:rFonts w:ascii="Sylfaen" w:hAnsi="Sylfaen"/>
                        <w:sz w:val="16"/>
                        <w:szCs w:val="16"/>
                      </w:rPr>
                    </w:pPr>
                    <w:r w:rsidRPr="0076243B">
                      <w:rPr>
                        <w:rFonts w:ascii="Sylfaen" w:hAnsi="Sylfaen"/>
                        <w:sz w:val="16"/>
                        <w:szCs w:val="16"/>
                      </w:rPr>
                      <w:t>Վերլուծության են ենթարկվել</w:t>
                    </w:r>
                    <w:r>
                      <w:rPr>
                        <w:rFonts w:ascii="Sylfaen" w:hAnsi="Sylfaen"/>
                        <w:sz w:val="16"/>
                        <w:szCs w:val="16"/>
                      </w:rPr>
                      <w:t xml:space="preserve"> </w:t>
                    </w:r>
                    <w:r w:rsidRPr="0076243B">
                      <w:rPr>
                        <w:rFonts w:ascii="Sylfaen" w:hAnsi="Sylfaen"/>
                        <w:sz w:val="16"/>
                        <w:szCs w:val="16"/>
                      </w:rPr>
                      <w:t>(n=….) Վերլուծությունից բացառվել</w:t>
                    </w:r>
                    <w:r>
                      <w:rPr>
                        <w:rFonts w:ascii="Sylfaen" w:hAnsi="Sylfaen"/>
                      </w:rPr>
                      <w:t xml:space="preserve"> են </w:t>
                    </w:r>
                    <w:r w:rsidRPr="0076243B">
                      <w:rPr>
                        <w:rFonts w:ascii="Sylfaen" w:hAnsi="Sylfaen"/>
                        <w:sz w:val="16"/>
                        <w:szCs w:val="16"/>
                      </w:rPr>
                      <w:t>(n=….)</w:t>
                    </w:r>
                  </w:p>
                  <w:p w14:paraId="072166FF" w14:textId="77777777" w:rsidR="004A52D9" w:rsidRPr="0076243B" w:rsidRDefault="004A52D9" w:rsidP="008C76E0">
                    <w:pPr>
                      <w:spacing w:after="0" w:line="240" w:lineRule="auto"/>
                      <w:rPr>
                        <w:rFonts w:ascii="Sylfaen" w:hAnsi="Sylfaen"/>
                        <w:sz w:val="16"/>
                        <w:szCs w:val="16"/>
                      </w:rPr>
                    </w:pPr>
                    <w:r w:rsidRPr="0076243B">
                      <w:rPr>
                        <w:rFonts w:ascii="Sylfaen" w:hAnsi="Sylfaen"/>
                        <w:sz w:val="16"/>
                        <w:szCs w:val="16"/>
                      </w:rPr>
                      <w:t>(նշել պատճառները)</w:t>
                    </w:r>
                  </w:p>
                  <w:p w14:paraId="2778EAA1" w14:textId="77777777" w:rsidR="004A52D9" w:rsidRDefault="004A52D9" w:rsidP="008C76E0"/>
                </w:txbxContent>
              </v:textbox>
            </v:round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18" type="#_x0000_t19" style="position:absolute;left:4453;top:3324;width:3279;height:3279;rotation:-45"/>
            <v:shape id="_x0000_s1319" type="#_x0000_t32" style="position:absolute;left:3810;top:4962;width:0;height:710" o:connectortype="straight">
              <v:stroke endarrow="block"/>
            </v:shape>
            <v:shape id="_x0000_s1320" type="#_x0000_t32" style="position:absolute;left:8396;top:4962;width:0;height:710" o:connectortype="straight">
              <v:stroke endarrow="block"/>
            </v:shape>
            <v:rect id="_x0000_s1321" style="position:absolute;left:277;top:1939;width:1373;height:642;rotation:-90">
              <v:textbox style="layout-flow:vertical;mso-layout-flow-alt:bottom-to-top;mso-next-textbox:#_x0000_s1321" inset=".1mm,.1mm,.1mm,.1mm">
                <w:txbxContent>
                  <w:p w14:paraId="481D5053" w14:textId="77777777" w:rsidR="004A52D9" w:rsidRPr="0076243B" w:rsidRDefault="004A52D9" w:rsidP="008C76E0">
                    <w:pPr>
                      <w:spacing w:after="120" w:line="240" w:lineRule="auto"/>
                      <w:rPr>
                        <w:rFonts w:ascii="Sylfaen" w:hAnsi="Sylfaen"/>
                        <w:sz w:val="16"/>
                        <w:szCs w:val="16"/>
                      </w:rPr>
                    </w:pPr>
                    <w:r w:rsidRPr="0076243B">
                      <w:rPr>
                        <w:rFonts w:ascii="Sylfaen" w:hAnsi="Sylfaen"/>
                        <w:sz w:val="16"/>
                        <w:szCs w:val="16"/>
                      </w:rPr>
                      <w:t>Հավաքում</w:t>
                    </w:r>
                  </w:p>
                  <w:p w14:paraId="279F57AC" w14:textId="77777777" w:rsidR="004A52D9" w:rsidRDefault="004A52D9" w:rsidP="008C76E0"/>
                </w:txbxContent>
              </v:textbox>
            </v:rect>
            <v:rect id="_x0000_s1322" style="position:absolute;left:-199;top:5428;width:2503;height:819;rotation:-90">
              <v:textbox style="layout-flow:vertical;mso-layout-flow-alt:bottom-to-top;mso-next-textbox:#_x0000_s1322" inset=".1mm,.1mm,.1mm,.1mm">
                <w:txbxContent>
                  <w:p w14:paraId="575DE8B1" w14:textId="77777777" w:rsidR="004A52D9" w:rsidRPr="0076243B" w:rsidRDefault="004A52D9" w:rsidP="008C76E0">
                    <w:pPr>
                      <w:rPr>
                        <w:rFonts w:ascii="Sylfaen" w:hAnsi="Sylfaen"/>
                        <w:sz w:val="16"/>
                        <w:szCs w:val="16"/>
                      </w:rPr>
                    </w:pPr>
                    <w:r w:rsidRPr="0076243B">
                      <w:rPr>
                        <w:rFonts w:ascii="Sylfaen" w:hAnsi="Sylfaen"/>
                        <w:sz w:val="16"/>
                        <w:szCs w:val="16"/>
                      </w:rPr>
                      <w:t>Բաշխում</w:t>
                    </w:r>
                  </w:p>
                  <w:p w14:paraId="48B4B746" w14:textId="77777777" w:rsidR="004A52D9" w:rsidRDefault="004A52D9" w:rsidP="008C76E0"/>
                </w:txbxContent>
              </v:textbox>
            </v:rect>
            <v:rect id="_x0000_s1323" style="position:absolute;left:-288;top:8397;width:2503;height:642;rotation:-90">
              <v:textbox style="layout-flow:vertical;mso-layout-flow-alt:bottom-to-top;mso-next-textbox:#_x0000_s1323" inset=".1mm,.1mm,.1mm,.1mm">
                <w:txbxContent>
                  <w:p w14:paraId="763AB30D" w14:textId="77777777" w:rsidR="004A52D9" w:rsidRPr="0076243B" w:rsidRDefault="004A52D9" w:rsidP="008C76E0">
                    <w:pPr>
                      <w:rPr>
                        <w:rFonts w:ascii="Sylfaen" w:hAnsi="Sylfaen"/>
                        <w:sz w:val="16"/>
                        <w:szCs w:val="16"/>
                      </w:rPr>
                    </w:pPr>
                    <w:r w:rsidRPr="0076243B">
                      <w:rPr>
                        <w:rFonts w:ascii="Sylfaen" w:hAnsi="Sylfaen"/>
                        <w:sz w:val="16"/>
                        <w:szCs w:val="16"/>
                      </w:rPr>
                      <w:t>Հետագա հսկողություն</w:t>
                    </w:r>
                  </w:p>
                  <w:p w14:paraId="44F3ED43" w14:textId="77777777" w:rsidR="004A52D9" w:rsidRDefault="004A52D9" w:rsidP="008C76E0"/>
                </w:txbxContent>
              </v:textbox>
            </v:rect>
            <v:rect id="_x0000_s1324" style="position:absolute;left:-288;top:11385;width:2503;height:642;rotation:-90">
              <v:textbox style="layout-flow:vertical;mso-layout-flow-alt:bottom-to-top;mso-next-textbox:#_x0000_s1324" inset=".1mm,.1mm,.1mm,.1mm">
                <w:txbxContent>
                  <w:p w14:paraId="6544992C" w14:textId="77777777" w:rsidR="004A52D9" w:rsidRPr="0076243B" w:rsidRDefault="004A52D9" w:rsidP="008C76E0">
                    <w:pPr>
                      <w:rPr>
                        <w:rFonts w:ascii="Sylfaen" w:hAnsi="Sylfaen"/>
                        <w:sz w:val="16"/>
                        <w:szCs w:val="16"/>
                      </w:rPr>
                    </w:pPr>
                    <w:r w:rsidRPr="0076243B">
                      <w:rPr>
                        <w:rFonts w:ascii="Sylfaen" w:hAnsi="Sylfaen"/>
                        <w:sz w:val="16"/>
                        <w:szCs w:val="16"/>
                      </w:rPr>
                      <w:t>Վերլուծություն</w:t>
                    </w:r>
                  </w:p>
                  <w:p w14:paraId="13B526BF" w14:textId="77777777" w:rsidR="004A52D9" w:rsidRDefault="004A52D9" w:rsidP="008C76E0"/>
                </w:txbxContent>
              </v:textbox>
            </v:rect>
            <w10:anchorlock/>
          </v:group>
        </w:pict>
      </w:r>
      <w:r w:rsidR="008C76E0" w:rsidRPr="00BD7577">
        <w:rPr>
          <w:rFonts w:ascii="Sylfaen" w:hAnsi="Sylfaen"/>
          <w:sz w:val="24"/>
          <w:szCs w:val="24"/>
          <w:lang w:val="en-US"/>
        </w:rPr>
        <w:br w:type="page"/>
      </w:r>
    </w:p>
    <w:tbl>
      <w:tblPr>
        <w:tblOverlap w:val="never"/>
        <w:tblW w:w="9528" w:type="dxa"/>
        <w:jc w:val="center"/>
        <w:tblLayout w:type="fixed"/>
        <w:tblCellMar>
          <w:left w:w="10" w:type="dxa"/>
          <w:right w:w="10" w:type="dxa"/>
        </w:tblCellMar>
        <w:tblLook w:val="04A0" w:firstRow="1" w:lastRow="0" w:firstColumn="1" w:lastColumn="0" w:noHBand="0" w:noVBand="1"/>
      </w:tblPr>
      <w:tblGrid>
        <w:gridCol w:w="9528"/>
      </w:tblGrid>
      <w:tr w:rsidR="008C76E0" w:rsidRPr="00BD7577" w14:paraId="64A9D506" w14:textId="77777777" w:rsidTr="008C76E0">
        <w:trPr>
          <w:jc w:val="center"/>
        </w:trPr>
        <w:tc>
          <w:tcPr>
            <w:tcW w:w="9528" w:type="dxa"/>
            <w:shd w:val="clear" w:color="auto" w:fill="FFFFFF"/>
          </w:tcPr>
          <w:p w14:paraId="167D6C20"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lastRenderedPageBreak/>
              <w:t>Հետազոտության մեջ մասնակցության համար հավաքագրումը</w:t>
            </w:r>
          </w:p>
        </w:tc>
      </w:tr>
      <w:tr w:rsidR="008C76E0" w:rsidRPr="00BD7577" w14:paraId="53CBC475" w14:textId="77777777" w:rsidTr="008C76E0">
        <w:trPr>
          <w:jc w:val="center"/>
        </w:trPr>
        <w:tc>
          <w:tcPr>
            <w:tcW w:w="9528" w:type="dxa"/>
            <w:tcBorders>
              <w:top w:val="single" w:sz="4" w:space="0" w:color="auto"/>
              <w:left w:val="single" w:sz="4" w:space="0" w:color="auto"/>
              <w:right w:val="single" w:sz="4" w:space="0" w:color="auto"/>
            </w:tcBorders>
            <w:shd w:val="clear" w:color="auto" w:fill="FFFFFF"/>
          </w:tcPr>
          <w:p w14:paraId="625E395E"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ED09A98" w14:textId="77777777" w:rsidTr="008C76E0">
        <w:trPr>
          <w:jc w:val="center"/>
        </w:trPr>
        <w:tc>
          <w:tcPr>
            <w:tcW w:w="9528" w:type="dxa"/>
            <w:tcBorders>
              <w:top w:val="single" w:sz="4" w:space="0" w:color="auto"/>
            </w:tcBorders>
            <w:shd w:val="clear" w:color="auto" w:fill="FFFFFF"/>
            <w:vAlign w:val="bottom"/>
          </w:tcPr>
          <w:p w14:paraId="4B3C9944"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Հետազոտության անցկացումը</w:t>
            </w:r>
          </w:p>
        </w:tc>
      </w:tr>
      <w:tr w:rsidR="008C76E0" w:rsidRPr="00BD7577" w14:paraId="2EF9233A" w14:textId="77777777" w:rsidTr="008C76E0">
        <w:trPr>
          <w:jc w:val="center"/>
        </w:trPr>
        <w:tc>
          <w:tcPr>
            <w:tcW w:w="9528" w:type="dxa"/>
            <w:tcBorders>
              <w:top w:val="single" w:sz="4" w:space="0" w:color="auto"/>
              <w:left w:val="single" w:sz="4" w:space="0" w:color="auto"/>
              <w:right w:val="single" w:sz="4" w:space="0" w:color="auto"/>
            </w:tcBorders>
            <w:shd w:val="clear" w:color="auto" w:fill="FFFFFF"/>
          </w:tcPr>
          <w:p w14:paraId="53C7B1B4"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23FF5D4" w14:textId="77777777" w:rsidTr="008C76E0">
        <w:trPr>
          <w:jc w:val="center"/>
        </w:trPr>
        <w:tc>
          <w:tcPr>
            <w:tcW w:w="9528" w:type="dxa"/>
            <w:tcBorders>
              <w:top w:val="single" w:sz="4" w:space="0" w:color="auto"/>
            </w:tcBorders>
            <w:shd w:val="clear" w:color="auto" w:fill="FFFFFF"/>
            <w:vAlign w:val="center"/>
          </w:tcPr>
          <w:p w14:paraId="26C943EF"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Ելակետային տվյալներ</w:t>
            </w:r>
          </w:p>
        </w:tc>
      </w:tr>
      <w:tr w:rsidR="008C76E0" w:rsidRPr="00BD7577" w14:paraId="6BB102A0" w14:textId="77777777" w:rsidTr="008C76E0">
        <w:trPr>
          <w:jc w:val="center"/>
        </w:trPr>
        <w:tc>
          <w:tcPr>
            <w:tcW w:w="9528" w:type="dxa"/>
            <w:tcBorders>
              <w:top w:val="single" w:sz="4" w:space="0" w:color="auto"/>
              <w:left w:val="single" w:sz="4" w:space="0" w:color="auto"/>
              <w:right w:val="single" w:sz="4" w:space="0" w:color="auto"/>
            </w:tcBorders>
            <w:shd w:val="clear" w:color="auto" w:fill="FFFFFF"/>
          </w:tcPr>
          <w:p w14:paraId="3AC67CDD"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A3C2456" w14:textId="77777777" w:rsidTr="008C76E0">
        <w:trPr>
          <w:jc w:val="center"/>
        </w:trPr>
        <w:tc>
          <w:tcPr>
            <w:tcW w:w="9528" w:type="dxa"/>
            <w:tcBorders>
              <w:top w:val="single" w:sz="4" w:space="0" w:color="auto"/>
            </w:tcBorders>
            <w:shd w:val="clear" w:color="auto" w:fill="FFFFFF"/>
            <w:vAlign w:val="bottom"/>
          </w:tcPr>
          <w:p w14:paraId="00BE93E3"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Վերլուծված ընտրանք</w:t>
            </w:r>
          </w:p>
        </w:tc>
      </w:tr>
      <w:tr w:rsidR="008C76E0" w:rsidRPr="00BD7577" w14:paraId="307D98BA" w14:textId="77777777" w:rsidTr="008C76E0">
        <w:trPr>
          <w:jc w:val="center"/>
        </w:trPr>
        <w:tc>
          <w:tcPr>
            <w:tcW w:w="9528" w:type="dxa"/>
            <w:tcBorders>
              <w:top w:val="single" w:sz="4" w:space="0" w:color="auto"/>
              <w:left w:val="single" w:sz="4" w:space="0" w:color="auto"/>
              <w:right w:val="single" w:sz="4" w:space="0" w:color="auto"/>
            </w:tcBorders>
            <w:shd w:val="clear" w:color="auto" w:fill="FFFFFF"/>
          </w:tcPr>
          <w:p w14:paraId="604ACBE9"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6F3092C" w14:textId="77777777" w:rsidTr="008C76E0">
        <w:trPr>
          <w:jc w:val="center"/>
        </w:trPr>
        <w:tc>
          <w:tcPr>
            <w:tcW w:w="9528" w:type="dxa"/>
            <w:tcBorders>
              <w:top w:val="single" w:sz="4" w:space="0" w:color="auto"/>
            </w:tcBorders>
            <w:shd w:val="clear" w:color="auto" w:fill="FFFFFF"/>
          </w:tcPr>
          <w:p w14:paraId="5D58E917"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Ելքերն ու դրանց գնահատումը</w:t>
            </w:r>
          </w:p>
        </w:tc>
      </w:tr>
      <w:tr w:rsidR="008C76E0" w:rsidRPr="00BD7577" w14:paraId="1CF83425" w14:textId="77777777" w:rsidTr="008C76E0">
        <w:trPr>
          <w:jc w:val="center"/>
        </w:trPr>
        <w:tc>
          <w:tcPr>
            <w:tcW w:w="9528" w:type="dxa"/>
            <w:tcBorders>
              <w:top w:val="single" w:sz="4" w:space="0" w:color="auto"/>
              <w:left w:val="single" w:sz="4" w:space="0" w:color="auto"/>
              <w:right w:val="single" w:sz="4" w:space="0" w:color="auto"/>
            </w:tcBorders>
            <w:shd w:val="clear" w:color="auto" w:fill="FFFFFF"/>
          </w:tcPr>
          <w:p w14:paraId="24B3B374"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4038C98" w14:textId="77777777" w:rsidTr="008C76E0">
        <w:trPr>
          <w:jc w:val="center"/>
        </w:trPr>
        <w:tc>
          <w:tcPr>
            <w:tcW w:w="9528" w:type="dxa"/>
            <w:tcBorders>
              <w:top w:val="single" w:sz="4" w:space="0" w:color="auto"/>
              <w:bottom w:val="single" w:sz="4" w:space="0" w:color="auto"/>
            </w:tcBorders>
            <w:shd w:val="clear" w:color="auto" w:fill="FFFFFF"/>
            <w:vAlign w:val="bottom"/>
          </w:tcPr>
          <w:p w14:paraId="78F54275" w14:textId="77777777" w:rsidR="008C76E0" w:rsidRPr="00BD7577" w:rsidRDefault="008C76E0" w:rsidP="008C76E0">
            <w:pPr>
              <w:pStyle w:val="Bodytext180"/>
              <w:shd w:val="clear" w:color="auto" w:fill="auto"/>
              <w:tabs>
                <w:tab w:val="left" w:pos="1611"/>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Լրացուցիչ վերլուծություններ</w:t>
            </w:r>
          </w:p>
        </w:tc>
      </w:tr>
      <w:tr w:rsidR="008C76E0" w:rsidRPr="00BD7577" w14:paraId="6E72477F" w14:textId="77777777" w:rsidTr="008C76E0">
        <w:trPr>
          <w:trHeight w:val="479"/>
          <w:jc w:val="center"/>
        </w:trPr>
        <w:tc>
          <w:tcPr>
            <w:tcW w:w="9528" w:type="dxa"/>
            <w:tcBorders>
              <w:top w:val="single" w:sz="4" w:space="0" w:color="auto"/>
              <w:left w:val="single" w:sz="4" w:space="0" w:color="auto"/>
              <w:bottom w:val="single" w:sz="4" w:space="0" w:color="auto"/>
              <w:right w:val="single" w:sz="4" w:space="0" w:color="auto"/>
            </w:tcBorders>
            <w:shd w:val="clear" w:color="auto" w:fill="FFFFFF"/>
          </w:tcPr>
          <w:p w14:paraId="47359A6E"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bl>
    <w:p w14:paraId="312DD5AA" w14:textId="77777777" w:rsidR="008C76E0" w:rsidRPr="00BD7577" w:rsidRDefault="008C76E0" w:rsidP="008C76E0">
      <w:pPr>
        <w:ind w:left="567"/>
        <w:rPr>
          <w:rStyle w:val="Bodytext295pt"/>
          <w:rFonts w:ascii="Sylfaen" w:eastAsia="MS Mincho" w:hAnsi="Sylfaen"/>
          <w:spacing w:val="0"/>
          <w:sz w:val="24"/>
          <w:szCs w:val="24"/>
          <w:lang w:val="en-US"/>
        </w:rPr>
      </w:pPr>
    </w:p>
    <w:p w14:paraId="466A9E6B" w14:textId="77777777" w:rsidR="008C76E0" w:rsidRPr="003129E6" w:rsidRDefault="008C76E0" w:rsidP="00305C5C">
      <w:pPr>
        <w:spacing w:after="160" w:line="360" w:lineRule="auto"/>
        <w:ind w:left="567"/>
        <w:rPr>
          <w:rFonts w:ascii="Sylfaen" w:hAnsi="Sylfaen"/>
          <w:b/>
          <w:sz w:val="24"/>
          <w:szCs w:val="24"/>
        </w:rPr>
      </w:pPr>
      <w:r w:rsidRPr="003129E6">
        <w:rPr>
          <w:rStyle w:val="Bodytext295pt"/>
          <w:rFonts w:ascii="Sylfaen" w:eastAsia="MS Mincho" w:hAnsi="Sylfaen"/>
          <w:b w:val="0"/>
          <w:spacing w:val="0"/>
          <w:sz w:val="24"/>
          <w:szCs w:val="24"/>
        </w:rPr>
        <w:t>Արդյունավետության հիմնական արդյունքների համառոտ ակնարկը</w:t>
      </w:r>
    </w:p>
    <w:p w14:paraId="034C498A" w14:textId="77777777" w:rsidR="008C76E0" w:rsidRPr="00BD7577"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Հետ</w:t>
      </w:r>
      <w:r w:rsidR="00C54D75">
        <w:rPr>
          <w:rFonts w:ascii="Sylfaen" w:hAnsi="Sylfaen"/>
          <w:sz w:val="24"/>
          <w:szCs w:val="24"/>
        </w:rPr>
        <w:t>և</w:t>
      </w:r>
      <w:r w:rsidRPr="00BD7577">
        <w:rPr>
          <w:rFonts w:ascii="Sylfaen" w:hAnsi="Sylfaen"/>
          <w:sz w:val="24"/>
          <w:szCs w:val="24"/>
        </w:rPr>
        <w:t>յալ աղյուսակներում հավաքված են արդյունավետության հիմնական հետազոտությունների արդյունքները, որոնցով հաստատվում է սույն հայտի համապատասխանությունը: Սույն ամփոփ տեղեկատվությունը հարկ է դիտարկել կլինիկական արդյունավետությանն առնչվող մեկնաբանությունների, ինչպես նա</w:t>
      </w:r>
      <w:r w:rsidR="00C54D75">
        <w:rPr>
          <w:rFonts w:ascii="Sylfaen" w:hAnsi="Sylfaen"/>
          <w:sz w:val="24"/>
          <w:szCs w:val="24"/>
        </w:rPr>
        <w:t>և</w:t>
      </w:r>
      <w:r w:rsidRPr="00BD7577">
        <w:rPr>
          <w:rFonts w:ascii="Sylfaen" w:hAnsi="Sylfaen"/>
          <w:sz w:val="24"/>
          <w:szCs w:val="24"/>
        </w:rPr>
        <w:t xml:space="preserve"> «ռիսկ-օգուտ» հարաբերակցության ակնարկի հետ համադրության մեջ (տե՛ս</w:t>
      </w:r>
      <w:r w:rsidRPr="003129E6">
        <w:rPr>
          <w:rFonts w:ascii="Sylfaen" w:hAnsi="Sylfaen"/>
          <w:sz w:val="24"/>
          <w:szCs w:val="24"/>
        </w:rPr>
        <w:t> </w:t>
      </w:r>
      <w:r w:rsidRPr="00BD7577">
        <w:rPr>
          <w:rFonts w:ascii="Sylfaen" w:hAnsi="Sylfaen"/>
          <w:sz w:val="24"/>
          <w:szCs w:val="24"/>
        </w:rPr>
        <w:t>հետ</w:t>
      </w:r>
      <w:r w:rsidR="00C54D75">
        <w:rPr>
          <w:rFonts w:ascii="Sylfaen" w:hAnsi="Sylfaen"/>
          <w:sz w:val="24"/>
          <w:szCs w:val="24"/>
        </w:rPr>
        <w:t>և</w:t>
      </w:r>
      <w:r w:rsidRPr="00BD7577">
        <w:rPr>
          <w:rFonts w:ascii="Sylfaen" w:hAnsi="Sylfaen"/>
          <w:sz w:val="24"/>
          <w:szCs w:val="24"/>
        </w:rPr>
        <w:t xml:space="preserve">յալ բաժինները): </w:t>
      </w:r>
    </w:p>
    <w:p w14:paraId="20ADDE5E" w14:textId="77777777" w:rsidR="008C76E0" w:rsidRDefault="008C76E0" w:rsidP="00305C5C">
      <w:pPr>
        <w:widowControl/>
        <w:spacing w:after="160" w:line="360" w:lineRule="auto"/>
        <w:rPr>
          <w:rFonts w:ascii="Sylfaen" w:hAnsi="Sylfaen"/>
          <w:sz w:val="24"/>
          <w:szCs w:val="24"/>
        </w:rPr>
      </w:pPr>
      <w:r>
        <w:rPr>
          <w:rFonts w:ascii="Sylfaen" w:hAnsi="Sylfaen"/>
          <w:sz w:val="24"/>
          <w:szCs w:val="24"/>
        </w:rPr>
        <w:br w:type="page"/>
      </w:r>
    </w:p>
    <w:p w14:paraId="49388E92" w14:textId="77777777" w:rsidR="008C76E0" w:rsidRPr="003129E6" w:rsidRDefault="008C76E0" w:rsidP="00305C5C">
      <w:pPr>
        <w:spacing w:after="160" w:line="360" w:lineRule="auto"/>
        <w:jc w:val="center"/>
        <w:rPr>
          <w:rFonts w:ascii="Sylfaen" w:hAnsi="Sylfaen"/>
          <w:b/>
          <w:sz w:val="24"/>
          <w:szCs w:val="24"/>
        </w:rPr>
      </w:pPr>
      <w:r w:rsidRPr="003129E6">
        <w:rPr>
          <w:rFonts w:ascii="Sylfaen" w:hAnsi="Sylfaen"/>
          <w:b/>
          <w:sz w:val="24"/>
          <w:szCs w:val="24"/>
        </w:rPr>
        <w:lastRenderedPageBreak/>
        <w:t>Հետազոտության հիմնական արդյունքների մասին համառոտ տեղեկատվություն (արդյունավետության հետազոտություն)</w:t>
      </w:r>
    </w:p>
    <w:tbl>
      <w:tblPr>
        <w:tblOverlap w:val="never"/>
        <w:tblW w:w="11345" w:type="dxa"/>
        <w:jc w:val="center"/>
        <w:tblLayout w:type="fixed"/>
        <w:tblCellMar>
          <w:left w:w="10" w:type="dxa"/>
          <w:right w:w="10" w:type="dxa"/>
        </w:tblCellMar>
        <w:tblLook w:val="04A0" w:firstRow="1" w:lastRow="0" w:firstColumn="1" w:lastColumn="0" w:noHBand="0" w:noVBand="1"/>
      </w:tblPr>
      <w:tblGrid>
        <w:gridCol w:w="3263"/>
        <w:gridCol w:w="124"/>
        <w:gridCol w:w="1952"/>
        <w:gridCol w:w="427"/>
        <w:gridCol w:w="388"/>
        <w:gridCol w:w="1287"/>
        <w:gridCol w:w="422"/>
        <w:gridCol w:w="621"/>
        <w:gridCol w:w="310"/>
        <w:gridCol w:w="912"/>
        <w:gridCol w:w="1639"/>
      </w:tblGrid>
      <w:tr w:rsidR="008C76E0" w:rsidRPr="00F72577" w14:paraId="50F89EA4" w14:textId="77777777" w:rsidTr="008C76E0">
        <w:trPr>
          <w:jc w:val="center"/>
        </w:trPr>
        <w:tc>
          <w:tcPr>
            <w:tcW w:w="11345" w:type="dxa"/>
            <w:gridSpan w:val="11"/>
            <w:tcBorders>
              <w:top w:val="single" w:sz="4" w:space="0" w:color="auto"/>
              <w:left w:val="single" w:sz="4" w:space="0" w:color="auto"/>
              <w:right w:val="single" w:sz="4" w:space="0" w:color="auto"/>
            </w:tcBorders>
            <w:shd w:val="clear" w:color="auto" w:fill="FFFFFF"/>
            <w:vAlign w:val="bottom"/>
          </w:tcPr>
          <w:p w14:paraId="19C26064"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Անվանումը (ինչպես նշված է հետազոտության անցկացման մասին հաշվետվության մեջ)</w:t>
            </w:r>
          </w:p>
        </w:tc>
      </w:tr>
      <w:tr w:rsidR="008C76E0" w:rsidRPr="00F72577" w14:paraId="0E470AD0" w14:textId="77777777" w:rsidTr="008C76E0">
        <w:trPr>
          <w:jc w:val="center"/>
        </w:trPr>
        <w:tc>
          <w:tcPr>
            <w:tcW w:w="3263" w:type="dxa"/>
            <w:tcBorders>
              <w:top w:val="single" w:sz="4" w:space="0" w:color="auto"/>
              <w:left w:val="single" w:sz="4" w:space="0" w:color="auto"/>
            </w:tcBorders>
            <w:shd w:val="clear" w:color="auto" w:fill="FFFFFF"/>
          </w:tcPr>
          <w:p w14:paraId="6CEAC9E6"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Հետազոտության նույնականացման համարը</w:t>
            </w:r>
          </w:p>
        </w:tc>
        <w:tc>
          <w:tcPr>
            <w:tcW w:w="8082" w:type="dxa"/>
            <w:gridSpan w:val="10"/>
            <w:tcBorders>
              <w:top w:val="single" w:sz="4" w:space="0" w:color="auto"/>
              <w:left w:val="single" w:sz="4" w:space="0" w:color="auto"/>
              <w:right w:val="single" w:sz="4" w:space="0" w:color="auto"/>
            </w:tcBorders>
            <w:shd w:val="clear" w:color="auto" w:fill="FFFFFF"/>
            <w:vAlign w:val="bottom"/>
          </w:tcPr>
          <w:p w14:paraId="065071F9"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Ծածկագիրը</w:t>
            </w:r>
          </w:p>
          <w:p w14:paraId="573102D8"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բոլոր ծածկագրերի ցանկը, որոնք սկսվում են արձանագրության համարից, որին հետ</w:t>
            </w:r>
            <w:r w:rsidR="00C54D75">
              <w:rPr>
                <w:rStyle w:val="Bodytext1811pt"/>
                <w:rFonts w:ascii="Sylfaen" w:hAnsi="Sylfaen"/>
                <w:sz w:val="24"/>
                <w:szCs w:val="24"/>
              </w:rPr>
              <w:t>և</w:t>
            </w:r>
            <w:r w:rsidRPr="00F72577">
              <w:rPr>
                <w:rStyle w:val="Bodytext1811pt"/>
                <w:rFonts w:ascii="Sylfaen" w:hAnsi="Sylfaen"/>
                <w:sz w:val="24"/>
                <w:szCs w:val="24"/>
              </w:rPr>
              <w:t xml:space="preserve">ում է (առկայության դեպքում) կլինիկական հետազոտությունների Եվրոպական տվյալների բազայի համարը, ռանդոմիզացված կլինիկական հետազոտության միջազգային ստանդարտ համարը, </w:t>
            </w:r>
            <w:r w:rsidR="00C54D75">
              <w:rPr>
                <w:rStyle w:val="Bodytext1811pt"/>
                <w:rFonts w:ascii="Sylfaen" w:hAnsi="Sylfaen"/>
                <w:sz w:val="24"/>
                <w:szCs w:val="24"/>
              </w:rPr>
              <w:t>և</w:t>
            </w:r>
            <w:r w:rsidRPr="00F72577">
              <w:rPr>
                <w:rStyle w:val="Bodytext1811pt"/>
                <w:rFonts w:ascii="Sylfaen" w:hAnsi="Sylfaen"/>
                <w:sz w:val="24"/>
                <w:szCs w:val="24"/>
              </w:rPr>
              <w:t xml:space="preserve"> այլ ծածկագրեր՝ հրապարակումների խաչաձ</w:t>
            </w:r>
            <w:r w:rsidR="00C54D75">
              <w:rPr>
                <w:rStyle w:val="Bodytext1811pt"/>
                <w:rFonts w:ascii="Sylfaen" w:hAnsi="Sylfaen"/>
                <w:sz w:val="24"/>
                <w:szCs w:val="24"/>
              </w:rPr>
              <w:t>և</w:t>
            </w:r>
            <w:r w:rsidRPr="00F72577">
              <w:rPr>
                <w:rStyle w:val="Bodytext1811pt"/>
                <w:rFonts w:ascii="Sylfaen" w:hAnsi="Sylfaen"/>
                <w:sz w:val="24"/>
                <w:szCs w:val="24"/>
              </w:rPr>
              <w:t xml:space="preserve"> հղում կատարելու համար </w:t>
            </w:r>
          </w:p>
        </w:tc>
      </w:tr>
      <w:tr w:rsidR="008C76E0" w:rsidRPr="00F72577" w14:paraId="249103DC" w14:textId="77777777" w:rsidTr="008C76E0">
        <w:trPr>
          <w:jc w:val="center"/>
        </w:trPr>
        <w:tc>
          <w:tcPr>
            <w:tcW w:w="3263" w:type="dxa"/>
            <w:vMerge w:val="restart"/>
            <w:tcBorders>
              <w:top w:val="single" w:sz="4" w:space="0" w:color="auto"/>
              <w:left w:val="single" w:sz="4" w:space="0" w:color="auto"/>
            </w:tcBorders>
            <w:shd w:val="clear" w:color="auto" w:fill="FFFFFF"/>
          </w:tcPr>
          <w:p w14:paraId="56768815"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Հետազոտության դիզայնը</w:t>
            </w:r>
          </w:p>
        </w:tc>
        <w:tc>
          <w:tcPr>
            <w:tcW w:w="8082" w:type="dxa"/>
            <w:gridSpan w:val="10"/>
            <w:tcBorders>
              <w:top w:val="single" w:sz="4" w:space="0" w:color="auto"/>
              <w:left w:val="single" w:sz="4" w:space="0" w:color="auto"/>
              <w:right w:val="single" w:sz="4" w:space="0" w:color="auto"/>
            </w:tcBorders>
            <w:shd w:val="clear" w:color="auto" w:fill="FFFFFF"/>
            <w:vAlign w:val="bottom"/>
          </w:tcPr>
          <w:p w14:paraId="1C4F6227"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կամայական տեքստը</w:t>
            </w:r>
          </w:p>
          <w:p w14:paraId="2C752173"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նկարագրեք հետազոտության դիզայնի առանցքային տարրերը (խաչաձ</w:t>
            </w:r>
            <w:r w:rsidR="00C54D75">
              <w:rPr>
                <w:rStyle w:val="Bodytext1811pt"/>
                <w:rFonts w:ascii="Sylfaen" w:hAnsi="Sylfaen"/>
                <w:sz w:val="24"/>
                <w:szCs w:val="24"/>
              </w:rPr>
              <w:t>և</w:t>
            </w:r>
            <w:r w:rsidRPr="00F72577">
              <w:rPr>
                <w:rStyle w:val="Bodytext1811pt"/>
                <w:rFonts w:ascii="Sylfaen" w:hAnsi="Sylfaen"/>
                <w:sz w:val="24"/>
                <w:szCs w:val="24"/>
              </w:rPr>
              <w:t xml:space="preserve">, զուգահեռ, գործոնային, դոզայի ավելացում նախատեսող, ֆիքսված դոզայի էֆեկտի վերլուծությամբ), ներառյալ՝ ռանդոմիզացմամբ, «կուրացմամբ», բաշխման քողարկմամբ, միակենտրոն </w:t>
            </w:r>
            <w:r w:rsidR="00C54D75">
              <w:rPr>
                <w:rStyle w:val="Bodytext1811pt"/>
                <w:rFonts w:ascii="Sylfaen" w:hAnsi="Sylfaen"/>
                <w:sz w:val="24"/>
                <w:szCs w:val="24"/>
              </w:rPr>
              <w:t>և</w:t>
            </w:r>
            <w:r w:rsidRPr="00F72577">
              <w:rPr>
                <w:rStyle w:val="Bodytext1811pt"/>
                <w:rFonts w:ascii="Sylfaen" w:hAnsi="Sylfaen"/>
                <w:sz w:val="24"/>
                <w:szCs w:val="24"/>
              </w:rPr>
              <w:t xml:space="preserve"> բազմակենտրոն հետազոտությունները </w:t>
            </w:r>
            <w:r w:rsidR="00C54D75">
              <w:rPr>
                <w:rStyle w:val="Bodytext1811pt"/>
                <w:rFonts w:ascii="Sylfaen" w:hAnsi="Sylfaen"/>
                <w:sz w:val="24"/>
                <w:szCs w:val="24"/>
              </w:rPr>
              <w:t>և</w:t>
            </w:r>
            <w:r w:rsidRPr="00F72577">
              <w:rPr>
                <w:rStyle w:val="Bodytext1811pt"/>
                <w:rFonts w:ascii="Sylfaen" w:hAnsi="Sylfaen"/>
                <w:sz w:val="24"/>
                <w:szCs w:val="24"/>
              </w:rPr>
              <w:t xml:space="preserve"> այլն. </w:t>
            </w:r>
          </w:p>
        </w:tc>
      </w:tr>
      <w:tr w:rsidR="008C76E0" w:rsidRPr="00F72577" w14:paraId="78856483" w14:textId="77777777" w:rsidTr="008C76E0">
        <w:trPr>
          <w:jc w:val="center"/>
        </w:trPr>
        <w:tc>
          <w:tcPr>
            <w:tcW w:w="3263" w:type="dxa"/>
            <w:vMerge/>
            <w:tcBorders>
              <w:left w:val="single" w:sz="4" w:space="0" w:color="auto"/>
            </w:tcBorders>
            <w:shd w:val="clear" w:color="auto" w:fill="FFFFFF"/>
          </w:tcPr>
          <w:p w14:paraId="6A4DC28C" w14:textId="77777777" w:rsidR="008C76E0" w:rsidRPr="00F72577" w:rsidRDefault="008C76E0" w:rsidP="008C76E0">
            <w:pPr>
              <w:spacing w:after="120" w:line="240" w:lineRule="auto"/>
              <w:rPr>
                <w:rFonts w:ascii="Sylfaen" w:hAnsi="Sylfaen"/>
                <w:sz w:val="24"/>
                <w:szCs w:val="24"/>
              </w:rPr>
            </w:pPr>
          </w:p>
        </w:tc>
        <w:tc>
          <w:tcPr>
            <w:tcW w:w="4178" w:type="dxa"/>
            <w:gridSpan w:val="5"/>
            <w:tcBorders>
              <w:top w:val="single" w:sz="4" w:space="0" w:color="auto"/>
              <w:left w:val="single" w:sz="4" w:space="0" w:color="auto"/>
            </w:tcBorders>
            <w:shd w:val="clear" w:color="auto" w:fill="FFFFFF"/>
            <w:vAlign w:val="center"/>
          </w:tcPr>
          <w:p w14:paraId="442D5478" w14:textId="77777777" w:rsidR="008C76E0" w:rsidRPr="008C76E0" w:rsidRDefault="008C76E0" w:rsidP="008C76E0">
            <w:pPr>
              <w:pStyle w:val="Bodytext180"/>
              <w:shd w:val="clear" w:color="auto" w:fill="auto"/>
              <w:spacing w:before="0" w:after="120" w:line="240" w:lineRule="auto"/>
              <w:ind w:left="140" w:right="195" w:firstLine="0"/>
              <w:rPr>
                <w:rFonts w:ascii="Sylfaen" w:hAnsi="Sylfaen"/>
                <w:b w:val="0"/>
                <w:sz w:val="24"/>
                <w:szCs w:val="24"/>
                <w:lang w:val="hy-AM"/>
              </w:rPr>
            </w:pPr>
            <w:r w:rsidRPr="00F72577">
              <w:rPr>
                <w:rStyle w:val="Bodytext1811pt"/>
                <w:rFonts w:ascii="Sylfaen" w:hAnsi="Sylfaen"/>
                <w:sz w:val="24"/>
                <w:szCs w:val="24"/>
              </w:rPr>
              <w:t>հիմնական էտապի 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p w14:paraId="1A0E50BE" w14:textId="77777777" w:rsidR="008C76E0" w:rsidRPr="008C76E0" w:rsidRDefault="008C76E0" w:rsidP="008C76E0">
            <w:pPr>
              <w:pStyle w:val="Bodytext180"/>
              <w:shd w:val="clear" w:color="auto" w:fill="auto"/>
              <w:spacing w:before="0" w:after="120" w:line="240" w:lineRule="auto"/>
              <w:ind w:left="140" w:right="195" w:firstLine="0"/>
              <w:rPr>
                <w:rFonts w:ascii="Sylfaen" w:hAnsi="Sylfaen"/>
                <w:b w:val="0"/>
                <w:sz w:val="24"/>
                <w:szCs w:val="24"/>
                <w:lang w:val="hy-AM"/>
              </w:rPr>
            </w:pPr>
            <w:r w:rsidRPr="00F72577">
              <w:rPr>
                <w:rStyle w:val="Bodytext1811pt"/>
                <w:rFonts w:ascii="Sylfaen" w:hAnsi="Sylfaen"/>
                <w:sz w:val="24"/>
                <w:szCs w:val="24"/>
              </w:rPr>
              <w:t>նախապատրաստական փուլի 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p w14:paraId="323C5800" w14:textId="77777777" w:rsidR="008C76E0" w:rsidRPr="00F72577" w:rsidRDefault="008C76E0" w:rsidP="008C76E0">
            <w:pPr>
              <w:pStyle w:val="Bodytext180"/>
              <w:shd w:val="clear" w:color="auto" w:fill="auto"/>
              <w:spacing w:before="0" w:after="120" w:line="240" w:lineRule="auto"/>
              <w:ind w:left="140" w:right="195" w:firstLine="0"/>
              <w:rPr>
                <w:rFonts w:ascii="Sylfaen" w:hAnsi="Sylfaen"/>
                <w:b w:val="0"/>
                <w:sz w:val="24"/>
                <w:szCs w:val="24"/>
              </w:rPr>
            </w:pPr>
            <w:r w:rsidRPr="00F72577">
              <w:rPr>
                <w:rStyle w:val="Bodytext1811pt"/>
                <w:rFonts w:ascii="Sylfaen" w:hAnsi="Sylfaen"/>
                <w:sz w:val="24"/>
                <w:szCs w:val="24"/>
              </w:rPr>
              <w:t>լրացուցիչ բուժման փուլի 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tc>
        <w:tc>
          <w:tcPr>
            <w:tcW w:w="3904" w:type="dxa"/>
            <w:gridSpan w:val="5"/>
            <w:tcBorders>
              <w:top w:val="single" w:sz="4" w:space="0" w:color="auto"/>
              <w:right w:val="single" w:sz="4" w:space="0" w:color="auto"/>
            </w:tcBorders>
            <w:shd w:val="clear" w:color="auto" w:fill="FFFFFF"/>
          </w:tcPr>
          <w:p w14:paraId="5008BCB5" w14:textId="77777777" w:rsidR="008C76E0" w:rsidRPr="00F72577" w:rsidRDefault="008C76E0" w:rsidP="008C76E0">
            <w:pPr>
              <w:pStyle w:val="Bodytext180"/>
              <w:shd w:val="clear" w:color="auto" w:fill="auto"/>
              <w:spacing w:before="0" w:after="120" w:line="240" w:lineRule="auto"/>
              <w:ind w:left="68" w:right="86" w:firstLine="0"/>
              <w:rPr>
                <w:rFonts w:ascii="Sylfaen" w:hAnsi="Sylfaen"/>
                <w:b w:val="0"/>
                <w:sz w:val="24"/>
                <w:szCs w:val="24"/>
              </w:rPr>
            </w:pPr>
            <w:r w:rsidRPr="00F72577">
              <w:rPr>
                <w:rStyle w:val="Bodytext1811pt"/>
                <w:rFonts w:ascii="Sylfaen" w:hAnsi="Sylfaen"/>
                <w:sz w:val="24"/>
                <w:szCs w:val="24"/>
              </w:rPr>
              <w:t>ժամանակը</w:t>
            </w:r>
          </w:p>
          <w:p w14:paraId="7A3C5B3E" w14:textId="77777777" w:rsidR="008C76E0" w:rsidRPr="00F72577" w:rsidRDefault="008C76E0" w:rsidP="008C76E0">
            <w:pPr>
              <w:pStyle w:val="Bodytext180"/>
              <w:shd w:val="clear" w:color="auto" w:fill="auto"/>
              <w:spacing w:before="0" w:after="120" w:line="240" w:lineRule="auto"/>
              <w:ind w:left="68" w:right="86" w:firstLine="0"/>
              <w:rPr>
                <w:rFonts w:ascii="Sylfaen" w:hAnsi="Sylfaen"/>
                <w:b w:val="0"/>
                <w:sz w:val="24"/>
                <w:szCs w:val="24"/>
              </w:rPr>
            </w:pPr>
            <w:r w:rsidRPr="00F72577">
              <w:rPr>
                <w:rStyle w:val="Bodytext1811pt"/>
                <w:rFonts w:ascii="Sylfaen" w:hAnsi="Sylfaen"/>
                <w:sz w:val="24"/>
                <w:szCs w:val="24"/>
              </w:rPr>
              <w:t>ժամանակը կիրառելի չէ ժամանակը կիրառելի չէ</w:t>
            </w:r>
          </w:p>
        </w:tc>
      </w:tr>
      <w:tr w:rsidR="008C76E0" w:rsidRPr="00F72577" w14:paraId="2A151BEE" w14:textId="77777777" w:rsidTr="008C76E0">
        <w:trPr>
          <w:jc w:val="center"/>
        </w:trPr>
        <w:tc>
          <w:tcPr>
            <w:tcW w:w="3263" w:type="dxa"/>
            <w:tcBorders>
              <w:top w:val="single" w:sz="4" w:space="0" w:color="auto"/>
              <w:left w:val="single" w:sz="4" w:space="0" w:color="auto"/>
            </w:tcBorders>
            <w:shd w:val="clear" w:color="auto" w:fill="FFFFFF"/>
          </w:tcPr>
          <w:p w14:paraId="306DF3B2"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Վարկած</w:t>
            </w:r>
          </w:p>
        </w:tc>
        <w:tc>
          <w:tcPr>
            <w:tcW w:w="8082" w:type="dxa"/>
            <w:gridSpan w:val="10"/>
            <w:tcBorders>
              <w:top w:val="single" w:sz="4" w:space="0" w:color="auto"/>
              <w:left w:val="single" w:sz="4" w:space="0" w:color="auto"/>
              <w:right w:val="single" w:sz="4" w:space="0" w:color="auto"/>
            </w:tcBorders>
            <w:shd w:val="clear" w:color="auto" w:fill="FFFFFF"/>
          </w:tcPr>
          <w:p w14:paraId="052AC21E" w14:textId="77777777" w:rsidR="008C76E0" w:rsidRPr="00F72577" w:rsidRDefault="008C76E0" w:rsidP="008C76E0">
            <w:pPr>
              <w:pStyle w:val="Bodytext180"/>
              <w:shd w:val="clear" w:color="auto" w:fill="auto"/>
              <w:spacing w:before="0" w:after="120" w:line="240" w:lineRule="auto"/>
              <w:ind w:left="140" w:firstLine="0"/>
              <w:rPr>
                <w:rStyle w:val="Bodytext1811pt"/>
                <w:rFonts w:ascii="Sylfaen" w:hAnsi="Sylfaen"/>
                <w:sz w:val="24"/>
                <w:szCs w:val="24"/>
              </w:rPr>
            </w:pPr>
            <w:r w:rsidRPr="00F72577">
              <w:rPr>
                <w:rStyle w:val="Bodytext1811pt"/>
                <w:rFonts w:ascii="Sylfaen" w:hAnsi="Sylfaen"/>
                <w:sz w:val="24"/>
                <w:szCs w:val="24"/>
              </w:rPr>
              <w:t xml:space="preserve">առավելությունների առկայությունը </w:t>
            </w:r>
          </w:p>
          <w:p w14:paraId="5465B331" w14:textId="77777777" w:rsidR="008C76E0" w:rsidRPr="00F72577" w:rsidRDefault="008C76E0" w:rsidP="008C76E0">
            <w:pPr>
              <w:pStyle w:val="Bodytext180"/>
              <w:shd w:val="clear" w:color="auto" w:fill="auto"/>
              <w:spacing w:before="0" w:after="120" w:line="240" w:lineRule="auto"/>
              <w:ind w:left="140" w:firstLine="0"/>
              <w:rPr>
                <w:rStyle w:val="Bodytext1811pt"/>
                <w:rFonts w:ascii="Sylfaen" w:hAnsi="Sylfaen"/>
                <w:sz w:val="24"/>
                <w:szCs w:val="24"/>
              </w:rPr>
            </w:pPr>
            <w:r w:rsidRPr="00F72577">
              <w:rPr>
                <w:rStyle w:val="Bodytext1811pt"/>
                <w:rFonts w:ascii="Sylfaen" w:hAnsi="Sylfaen"/>
                <w:sz w:val="24"/>
                <w:szCs w:val="24"/>
              </w:rPr>
              <w:t xml:space="preserve">համանմանությունը </w:t>
            </w:r>
          </w:p>
          <w:p w14:paraId="5C9844C7" w14:textId="77777777" w:rsidR="008C76E0" w:rsidRPr="00F72577" w:rsidRDefault="008C76E0" w:rsidP="008C76E0">
            <w:pPr>
              <w:pStyle w:val="Bodytext180"/>
              <w:shd w:val="clear" w:color="auto" w:fill="auto"/>
              <w:spacing w:before="0" w:after="120" w:line="240" w:lineRule="auto"/>
              <w:ind w:left="140" w:firstLine="0"/>
              <w:rPr>
                <w:rStyle w:val="Bodytext1811pt"/>
                <w:rFonts w:ascii="Sylfaen" w:hAnsi="Sylfaen"/>
                <w:sz w:val="24"/>
                <w:szCs w:val="24"/>
              </w:rPr>
            </w:pPr>
            <w:r w:rsidRPr="00F72577">
              <w:rPr>
                <w:rStyle w:val="Bodytext1811pt"/>
                <w:rFonts w:ascii="Sylfaen" w:hAnsi="Sylfaen"/>
                <w:sz w:val="24"/>
                <w:szCs w:val="24"/>
              </w:rPr>
              <w:t>ոչ պակաս արդյունավետությունը</w:t>
            </w:r>
          </w:p>
          <w:p w14:paraId="5893684C"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ամփոփիչ՝ նշել</w:t>
            </w:r>
          </w:p>
        </w:tc>
      </w:tr>
      <w:tr w:rsidR="008C76E0" w:rsidRPr="00F72577" w14:paraId="115E2ED1" w14:textId="77777777" w:rsidTr="008C76E0">
        <w:trPr>
          <w:jc w:val="center"/>
        </w:trPr>
        <w:tc>
          <w:tcPr>
            <w:tcW w:w="3263" w:type="dxa"/>
            <w:vMerge w:val="restart"/>
            <w:tcBorders>
              <w:top w:val="single" w:sz="4" w:space="0" w:color="auto"/>
              <w:left w:val="single" w:sz="4" w:space="0" w:color="auto"/>
            </w:tcBorders>
            <w:shd w:val="clear" w:color="auto" w:fill="FFFFFF"/>
          </w:tcPr>
          <w:p w14:paraId="06DD37A8"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Բուժման խմբերը (ավելացրե՛ք բուժման խմբերի նկարագրության համար անհրաժեշտ քանակությամբ տողեր)</w:t>
            </w:r>
          </w:p>
        </w:tc>
        <w:tc>
          <w:tcPr>
            <w:tcW w:w="4178" w:type="dxa"/>
            <w:gridSpan w:val="5"/>
            <w:tcBorders>
              <w:top w:val="single" w:sz="4" w:space="0" w:color="auto"/>
              <w:left w:val="single" w:sz="4" w:space="0" w:color="auto"/>
            </w:tcBorders>
            <w:shd w:val="clear" w:color="auto" w:fill="FFFFFF"/>
          </w:tcPr>
          <w:p w14:paraId="6FACD25D"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 xml:space="preserve">խմբի ծածկագրված նշագիրը (արդյունքների նկարագրությամբ նշե՛ք հապավումը՝ բաժնի աղյուսակում հետագա օգտագործման համար) </w:t>
            </w:r>
          </w:p>
        </w:tc>
        <w:tc>
          <w:tcPr>
            <w:tcW w:w="3904" w:type="dxa"/>
            <w:gridSpan w:val="5"/>
            <w:tcBorders>
              <w:top w:val="single" w:sz="4" w:space="0" w:color="auto"/>
              <w:left w:val="single" w:sz="4" w:space="0" w:color="auto"/>
              <w:right w:val="single" w:sz="4" w:space="0" w:color="auto"/>
            </w:tcBorders>
            <w:shd w:val="clear" w:color="auto" w:fill="FFFFFF"/>
          </w:tcPr>
          <w:p w14:paraId="540F2BAD" w14:textId="77777777" w:rsidR="008C76E0" w:rsidRPr="008C76E0" w:rsidRDefault="008C76E0" w:rsidP="008C76E0">
            <w:pPr>
              <w:pStyle w:val="Bodytext180"/>
              <w:shd w:val="clear" w:color="auto" w:fill="auto"/>
              <w:spacing w:before="0" w:after="120" w:line="240" w:lineRule="auto"/>
              <w:ind w:left="96" w:right="66" w:firstLine="0"/>
              <w:rPr>
                <w:rFonts w:ascii="Sylfaen" w:hAnsi="Sylfaen"/>
                <w:b w:val="0"/>
                <w:sz w:val="24"/>
                <w:szCs w:val="24"/>
                <w:lang w:val="hy-AM"/>
              </w:rPr>
            </w:pPr>
            <w:r w:rsidRPr="00F72577">
              <w:rPr>
                <w:rStyle w:val="Bodytext1811pt"/>
                <w:rFonts w:ascii="Sylfaen" w:hAnsi="Sylfaen"/>
                <w:sz w:val="24"/>
                <w:szCs w:val="24"/>
              </w:rPr>
              <w:t>բուժումը</w:t>
            </w:r>
          </w:p>
          <w:p w14:paraId="650B6948" w14:textId="77777777" w:rsidR="008C76E0" w:rsidRPr="008C76E0" w:rsidRDefault="008C76E0" w:rsidP="008C76E0">
            <w:pPr>
              <w:pStyle w:val="Bodytext180"/>
              <w:shd w:val="clear" w:color="auto" w:fill="auto"/>
              <w:spacing w:before="0" w:after="120" w:line="240" w:lineRule="auto"/>
              <w:ind w:left="96" w:right="66" w:firstLine="0"/>
              <w:rPr>
                <w:rFonts w:ascii="Sylfaen" w:hAnsi="Sylfaen"/>
                <w:b w:val="0"/>
                <w:sz w:val="24"/>
                <w:szCs w:val="24"/>
                <w:lang w:val="hy-AM"/>
              </w:rPr>
            </w:pPr>
            <w:r w:rsidRPr="00F72577">
              <w:rPr>
                <w:rStyle w:val="Bodytext1811pt"/>
                <w:rFonts w:ascii="Sylfaen" w:hAnsi="Sylfaen"/>
                <w:sz w:val="24"/>
                <w:szCs w:val="24"/>
              </w:rPr>
              <w:t>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p w14:paraId="01D2DC68" w14:textId="77777777" w:rsidR="008C76E0" w:rsidRPr="008C76E0" w:rsidRDefault="008C76E0" w:rsidP="008C76E0">
            <w:pPr>
              <w:pStyle w:val="Bodytext180"/>
              <w:shd w:val="clear" w:color="auto" w:fill="auto"/>
              <w:spacing w:before="0" w:after="120" w:line="240" w:lineRule="auto"/>
              <w:ind w:left="96" w:right="66" w:firstLine="0"/>
              <w:rPr>
                <w:rFonts w:ascii="Sylfaen" w:hAnsi="Sylfaen"/>
                <w:b w:val="0"/>
                <w:sz w:val="24"/>
                <w:szCs w:val="24"/>
                <w:lang w:val="hy-AM"/>
              </w:rPr>
            </w:pPr>
            <w:r w:rsidRPr="00F72577">
              <w:rPr>
                <w:rStyle w:val="Bodytext1811pt"/>
                <w:rFonts w:ascii="Sylfaen" w:hAnsi="Sylfaen"/>
                <w:sz w:val="24"/>
                <w:szCs w:val="24"/>
              </w:rPr>
              <w:t>ռանդոմիզացված սուբյեկտների քանակը</w:t>
            </w:r>
          </w:p>
        </w:tc>
      </w:tr>
      <w:tr w:rsidR="008C76E0" w:rsidRPr="00F72577" w14:paraId="46B08CE4" w14:textId="77777777" w:rsidTr="008C76E0">
        <w:trPr>
          <w:jc w:val="center"/>
        </w:trPr>
        <w:tc>
          <w:tcPr>
            <w:tcW w:w="3263" w:type="dxa"/>
            <w:vMerge/>
            <w:tcBorders>
              <w:left w:val="single" w:sz="4" w:space="0" w:color="auto"/>
            </w:tcBorders>
            <w:shd w:val="clear" w:color="auto" w:fill="FFFFFF"/>
          </w:tcPr>
          <w:p w14:paraId="6536C1C5" w14:textId="77777777" w:rsidR="008C76E0" w:rsidRPr="00F72577" w:rsidRDefault="008C76E0" w:rsidP="008C76E0">
            <w:pPr>
              <w:spacing w:after="120" w:line="240" w:lineRule="auto"/>
              <w:rPr>
                <w:rFonts w:ascii="Sylfaen" w:hAnsi="Sylfaen"/>
                <w:sz w:val="24"/>
                <w:szCs w:val="24"/>
              </w:rPr>
            </w:pPr>
          </w:p>
        </w:tc>
        <w:tc>
          <w:tcPr>
            <w:tcW w:w="4178" w:type="dxa"/>
            <w:gridSpan w:val="5"/>
            <w:tcBorders>
              <w:top w:val="single" w:sz="4" w:space="0" w:color="auto"/>
              <w:left w:val="single" w:sz="4" w:space="0" w:color="auto"/>
            </w:tcBorders>
            <w:shd w:val="clear" w:color="auto" w:fill="FFFFFF"/>
          </w:tcPr>
          <w:p w14:paraId="00B49C1B"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խմբի ծածկագրված նշագիրը</w:t>
            </w:r>
          </w:p>
        </w:tc>
        <w:tc>
          <w:tcPr>
            <w:tcW w:w="3904" w:type="dxa"/>
            <w:gridSpan w:val="5"/>
            <w:tcBorders>
              <w:top w:val="single" w:sz="4" w:space="0" w:color="auto"/>
              <w:left w:val="single" w:sz="4" w:space="0" w:color="auto"/>
              <w:right w:val="single" w:sz="4" w:space="0" w:color="auto"/>
            </w:tcBorders>
            <w:shd w:val="clear" w:color="auto" w:fill="FFFFFF"/>
          </w:tcPr>
          <w:p w14:paraId="2BD55CC0"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բուժումը</w:t>
            </w:r>
          </w:p>
          <w:p w14:paraId="3353FA48"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p w14:paraId="37B57AE7" w14:textId="77777777" w:rsidR="008C76E0" w:rsidRDefault="008C76E0" w:rsidP="008C76E0">
            <w:pPr>
              <w:pStyle w:val="Bodytext180"/>
              <w:shd w:val="clear" w:color="auto" w:fill="auto"/>
              <w:spacing w:before="0" w:after="120" w:line="240" w:lineRule="auto"/>
              <w:ind w:left="96" w:right="66" w:firstLine="0"/>
              <w:rPr>
                <w:rStyle w:val="Bodytext1811pt"/>
                <w:rFonts w:ascii="Sylfaen" w:hAnsi="Sylfaen"/>
                <w:sz w:val="24"/>
                <w:szCs w:val="24"/>
                <w:lang w:val="en-US"/>
              </w:rPr>
            </w:pPr>
            <w:r w:rsidRPr="00F72577">
              <w:rPr>
                <w:rStyle w:val="Bodytext1811pt"/>
                <w:rFonts w:ascii="Sylfaen" w:hAnsi="Sylfaen"/>
                <w:sz w:val="24"/>
                <w:szCs w:val="24"/>
              </w:rPr>
              <w:t>ռանդոմիզացված սուբյեկտների քանակը</w:t>
            </w:r>
          </w:p>
          <w:p w14:paraId="4838D0D6" w14:textId="77777777" w:rsidR="008C76E0" w:rsidRPr="00C73AC5" w:rsidRDefault="008C76E0" w:rsidP="008C76E0">
            <w:pPr>
              <w:pStyle w:val="Bodytext180"/>
              <w:shd w:val="clear" w:color="auto" w:fill="auto"/>
              <w:spacing w:before="0" w:after="120" w:line="240" w:lineRule="auto"/>
              <w:ind w:left="96" w:right="66" w:firstLine="0"/>
              <w:rPr>
                <w:rFonts w:ascii="Sylfaen" w:hAnsi="Sylfaen"/>
                <w:b w:val="0"/>
                <w:sz w:val="24"/>
                <w:szCs w:val="24"/>
              </w:rPr>
            </w:pPr>
          </w:p>
        </w:tc>
      </w:tr>
      <w:tr w:rsidR="008C76E0" w:rsidRPr="00F72577" w14:paraId="7F3254DD" w14:textId="77777777" w:rsidTr="008C76E0">
        <w:trPr>
          <w:jc w:val="center"/>
        </w:trPr>
        <w:tc>
          <w:tcPr>
            <w:tcW w:w="3263" w:type="dxa"/>
            <w:vMerge/>
            <w:tcBorders>
              <w:left w:val="single" w:sz="4" w:space="0" w:color="auto"/>
            </w:tcBorders>
            <w:shd w:val="clear" w:color="auto" w:fill="FFFFFF"/>
          </w:tcPr>
          <w:p w14:paraId="7E19D6EC" w14:textId="77777777" w:rsidR="008C76E0" w:rsidRPr="00F72577" w:rsidRDefault="008C76E0" w:rsidP="008C76E0">
            <w:pPr>
              <w:spacing w:after="120" w:line="240" w:lineRule="auto"/>
              <w:rPr>
                <w:rFonts w:ascii="Sylfaen" w:hAnsi="Sylfaen"/>
                <w:sz w:val="24"/>
                <w:szCs w:val="24"/>
              </w:rPr>
            </w:pPr>
          </w:p>
        </w:tc>
        <w:tc>
          <w:tcPr>
            <w:tcW w:w="4178" w:type="dxa"/>
            <w:gridSpan w:val="5"/>
            <w:tcBorders>
              <w:top w:val="single" w:sz="4" w:space="0" w:color="auto"/>
              <w:left w:val="single" w:sz="4" w:space="0" w:color="auto"/>
            </w:tcBorders>
            <w:shd w:val="clear" w:color="auto" w:fill="FFFFFF"/>
          </w:tcPr>
          <w:p w14:paraId="4057229B"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խմբի ծածկագրված նշագիրը</w:t>
            </w:r>
          </w:p>
        </w:tc>
        <w:tc>
          <w:tcPr>
            <w:tcW w:w="3904" w:type="dxa"/>
            <w:gridSpan w:val="5"/>
            <w:tcBorders>
              <w:top w:val="single" w:sz="4" w:space="0" w:color="auto"/>
              <w:left w:val="single" w:sz="4" w:space="0" w:color="auto"/>
              <w:right w:val="single" w:sz="4" w:space="0" w:color="auto"/>
            </w:tcBorders>
            <w:shd w:val="clear" w:color="auto" w:fill="FFFFFF"/>
          </w:tcPr>
          <w:p w14:paraId="69D76C59"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բուժումը</w:t>
            </w:r>
          </w:p>
          <w:p w14:paraId="08647C96"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տ</w:t>
            </w:r>
            <w:r w:rsidR="00C54D75">
              <w:rPr>
                <w:rStyle w:val="Bodytext1811pt"/>
                <w:rFonts w:ascii="Sylfaen" w:hAnsi="Sylfaen"/>
                <w:sz w:val="24"/>
                <w:szCs w:val="24"/>
              </w:rPr>
              <w:t>և</w:t>
            </w:r>
            <w:r w:rsidRPr="00F72577">
              <w:rPr>
                <w:rStyle w:val="Bodytext1811pt"/>
                <w:rFonts w:ascii="Sylfaen" w:hAnsi="Sylfaen"/>
                <w:sz w:val="24"/>
                <w:szCs w:val="24"/>
              </w:rPr>
              <w:t>ողությունը</w:t>
            </w:r>
          </w:p>
          <w:p w14:paraId="120C2956" w14:textId="77777777" w:rsidR="008C76E0" w:rsidRPr="00F72577" w:rsidRDefault="008C76E0" w:rsidP="008C76E0">
            <w:pPr>
              <w:pStyle w:val="Bodytext180"/>
              <w:shd w:val="clear" w:color="auto" w:fill="auto"/>
              <w:spacing w:before="0" w:after="120" w:line="240" w:lineRule="auto"/>
              <w:ind w:left="96" w:right="66" w:firstLine="0"/>
              <w:rPr>
                <w:rStyle w:val="Bodytext1811pt"/>
                <w:rFonts w:ascii="Sylfaen" w:hAnsi="Sylfaen"/>
                <w:sz w:val="24"/>
                <w:szCs w:val="24"/>
              </w:rPr>
            </w:pPr>
            <w:r w:rsidRPr="00F72577">
              <w:rPr>
                <w:rStyle w:val="Bodytext1811pt"/>
                <w:rFonts w:ascii="Sylfaen" w:hAnsi="Sylfaen"/>
                <w:sz w:val="24"/>
                <w:szCs w:val="24"/>
              </w:rPr>
              <w:t>ռանդոմիզացված սուբյեկտների քանակը՝</w:t>
            </w:r>
          </w:p>
          <w:p w14:paraId="779A8D79"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p>
        </w:tc>
      </w:tr>
      <w:tr w:rsidR="008C76E0" w:rsidRPr="00F72577" w14:paraId="4129C065" w14:textId="77777777" w:rsidTr="008C76E0">
        <w:trPr>
          <w:jc w:val="center"/>
        </w:trPr>
        <w:tc>
          <w:tcPr>
            <w:tcW w:w="3263" w:type="dxa"/>
            <w:tcBorders>
              <w:top w:val="single" w:sz="4" w:space="0" w:color="auto"/>
              <w:left w:val="single" w:sz="4" w:space="0" w:color="auto"/>
              <w:bottom w:val="single" w:sz="4" w:space="0" w:color="auto"/>
            </w:tcBorders>
            <w:shd w:val="clear" w:color="auto" w:fill="FFFFFF"/>
          </w:tcPr>
          <w:p w14:paraId="48EE9081"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 xml:space="preserve">Կլինիկական հետազոտության կետերը (ավելացրե՛ք կետերի նկարագրության համար անհրաժեշտ քանակով տողեր </w:t>
            </w:r>
          </w:p>
        </w:tc>
        <w:tc>
          <w:tcPr>
            <w:tcW w:w="2076" w:type="dxa"/>
            <w:gridSpan w:val="2"/>
            <w:tcBorders>
              <w:top w:val="single" w:sz="4" w:space="0" w:color="auto"/>
              <w:left w:val="single" w:sz="4" w:space="0" w:color="auto"/>
            </w:tcBorders>
            <w:shd w:val="clear" w:color="auto" w:fill="FFFFFF"/>
          </w:tcPr>
          <w:p w14:paraId="032A8633"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համակցված</w:t>
            </w:r>
          </w:p>
        </w:tc>
        <w:tc>
          <w:tcPr>
            <w:tcW w:w="2102" w:type="dxa"/>
            <w:gridSpan w:val="3"/>
            <w:tcBorders>
              <w:top w:val="single" w:sz="4" w:space="0" w:color="auto"/>
              <w:left w:val="single" w:sz="4" w:space="0" w:color="auto"/>
            </w:tcBorders>
            <w:shd w:val="clear" w:color="auto" w:fill="FFFFFF"/>
          </w:tcPr>
          <w:p w14:paraId="116B0422" w14:textId="77777777" w:rsidR="008C76E0" w:rsidRPr="00F72577" w:rsidRDefault="008C76E0" w:rsidP="008C76E0">
            <w:pPr>
              <w:pStyle w:val="Bodytext180"/>
              <w:shd w:val="clear" w:color="auto" w:fill="auto"/>
              <w:spacing w:before="0" w:after="120" w:line="240" w:lineRule="auto"/>
              <w:ind w:left="93" w:firstLine="0"/>
              <w:rPr>
                <w:rFonts w:ascii="Sylfaen" w:hAnsi="Sylfaen"/>
                <w:b w:val="0"/>
                <w:sz w:val="24"/>
                <w:szCs w:val="24"/>
              </w:rPr>
            </w:pPr>
            <w:r w:rsidRPr="00F72577">
              <w:rPr>
                <w:rStyle w:val="Bodytext1811pt"/>
                <w:rFonts w:ascii="Sylfaen" w:hAnsi="Sylfaen"/>
                <w:sz w:val="24"/>
                <w:szCs w:val="24"/>
              </w:rPr>
              <w:t>պայմանական</w:t>
            </w:r>
            <w:r w:rsidRPr="00F72577">
              <w:rPr>
                <w:rFonts w:ascii="Sylfaen" w:hAnsi="Sylfaen"/>
                <w:b w:val="0"/>
                <w:sz w:val="24"/>
                <w:szCs w:val="24"/>
              </w:rPr>
              <w:t xml:space="preserve"> </w:t>
            </w:r>
            <w:r w:rsidRPr="00F72577">
              <w:rPr>
                <w:rStyle w:val="Bodytext1811pt"/>
                <w:rFonts w:ascii="Sylfaen" w:hAnsi="Sylfaen"/>
                <w:sz w:val="24"/>
                <w:szCs w:val="24"/>
              </w:rPr>
              <w:t>նշագիր</w:t>
            </w:r>
            <w:r w:rsidRPr="00F72577">
              <w:rPr>
                <w:rFonts w:ascii="Sylfaen" w:hAnsi="Sylfaen"/>
                <w:b w:val="0"/>
                <w:sz w:val="24"/>
                <w:szCs w:val="24"/>
              </w:rPr>
              <w:t xml:space="preserve"> </w:t>
            </w:r>
            <w:r w:rsidRPr="00F72577">
              <w:rPr>
                <w:rStyle w:val="Bodytext1811pt"/>
                <w:rFonts w:ascii="Sylfaen" w:hAnsi="Sylfaen"/>
                <w:sz w:val="24"/>
                <w:szCs w:val="24"/>
              </w:rPr>
              <w:t>(նշե՛ք</w:t>
            </w:r>
            <w:r w:rsidRPr="00F72577">
              <w:rPr>
                <w:rFonts w:ascii="Sylfaen" w:hAnsi="Sylfaen"/>
                <w:b w:val="0"/>
                <w:sz w:val="24"/>
                <w:szCs w:val="24"/>
              </w:rPr>
              <w:t xml:space="preserve"> </w:t>
            </w:r>
            <w:r w:rsidRPr="00F72577">
              <w:rPr>
                <w:rStyle w:val="Bodytext1811pt"/>
                <w:rFonts w:ascii="Sylfaen" w:hAnsi="Sylfaen"/>
                <w:sz w:val="24"/>
                <w:szCs w:val="24"/>
              </w:rPr>
              <w:t>հապավումը՝</w:t>
            </w:r>
            <w:r w:rsidRPr="00F72577">
              <w:rPr>
                <w:rFonts w:ascii="Sylfaen" w:hAnsi="Sylfaen"/>
                <w:b w:val="0"/>
                <w:sz w:val="24"/>
                <w:szCs w:val="24"/>
              </w:rPr>
              <w:t xml:space="preserve"> </w:t>
            </w:r>
            <w:r w:rsidRPr="00F72577">
              <w:rPr>
                <w:rStyle w:val="Bodytext1811pt"/>
                <w:rFonts w:ascii="Sylfaen" w:hAnsi="Sylfaen"/>
                <w:sz w:val="24"/>
                <w:szCs w:val="24"/>
              </w:rPr>
              <w:t>հետագա օգտագործման</w:t>
            </w:r>
            <w:r w:rsidRPr="00F72577">
              <w:rPr>
                <w:rFonts w:ascii="Sylfaen" w:hAnsi="Sylfaen"/>
                <w:b w:val="0"/>
                <w:sz w:val="24"/>
                <w:szCs w:val="24"/>
              </w:rPr>
              <w:t xml:space="preserve"> </w:t>
            </w:r>
            <w:r w:rsidRPr="00F72577">
              <w:rPr>
                <w:rStyle w:val="Bodytext1811pt"/>
                <w:rFonts w:ascii="Sylfaen" w:hAnsi="Sylfaen"/>
                <w:sz w:val="24"/>
                <w:szCs w:val="24"/>
              </w:rPr>
              <w:t>համար</w:t>
            </w:r>
          </w:p>
        </w:tc>
        <w:tc>
          <w:tcPr>
            <w:tcW w:w="3904" w:type="dxa"/>
            <w:gridSpan w:val="5"/>
            <w:tcBorders>
              <w:top w:val="single" w:sz="4" w:space="0" w:color="auto"/>
              <w:left w:val="single" w:sz="4" w:space="0" w:color="auto"/>
              <w:right w:val="single" w:sz="4" w:space="0" w:color="auto"/>
            </w:tcBorders>
            <w:shd w:val="clear" w:color="auto" w:fill="FFFFFF"/>
          </w:tcPr>
          <w:p w14:paraId="518A4945"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կլինիկական հետազոտության կամայական տեքստը (բերե՛ք համառոտ նկարագրությունը).</w:t>
            </w:r>
          </w:p>
        </w:tc>
      </w:tr>
      <w:tr w:rsidR="008C76E0" w:rsidRPr="00F72577" w14:paraId="6472BD94" w14:textId="77777777" w:rsidTr="008C76E0">
        <w:trPr>
          <w:jc w:val="center"/>
        </w:trPr>
        <w:tc>
          <w:tcPr>
            <w:tcW w:w="3263" w:type="dxa"/>
            <w:vMerge w:val="restart"/>
            <w:tcBorders>
              <w:top w:val="single" w:sz="4" w:space="0" w:color="auto"/>
              <w:left w:val="single" w:sz="4" w:space="0" w:color="auto"/>
            </w:tcBorders>
            <w:shd w:val="clear" w:color="auto" w:fill="FFFFFF"/>
            <w:vAlign w:val="center"/>
          </w:tcPr>
          <w:p w14:paraId="79C6C4D8"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 xml:space="preserve">որպես երկրորդական կլինիկական կետեր նշե՛ք արդյունքների նկարագրությամբ բաժնում նշված առավել ակտուալ կետերը) </w:t>
            </w:r>
          </w:p>
        </w:tc>
        <w:tc>
          <w:tcPr>
            <w:tcW w:w="2076" w:type="dxa"/>
            <w:gridSpan w:val="2"/>
            <w:tcBorders>
              <w:top w:val="single" w:sz="4" w:space="0" w:color="auto"/>
              <w:left w:val="single" w:sz="4" w:space="0" w:color="auto"/>
            </w:tcBorders>
            <w:shd w:val="clear" w:color="auto" w:fill="FFFFFF"/>
            <w:vAlign w:val="bottom"/>
          </w:tcPr>
          <w:p w14:paraId="597A90B9" w14:textId="77777777" w:rsidR="008C76E0" w:rsidRPr="00F72577" w:rsidRDefault="008C76E0" w:rsidP="008C76E0">
            <w:pPr>
              <w:pStyle w:val="Bodytext180"/>
              <w:shd w:val="clear" w:color="auto" w:fill="auto"/>
              <w:spacing w:before="0" w:after="120" w:line="240" w:lineRule="auto"/>
              <w:ind w:left="81" w:firstLine="0"/>
              <w:rPr>
                <w:rFonts w:ascii="Sylfaen" w:hAnsi="Sylfaen"/>
                <w:b w:val="0"/>
                <w:sz w:val="24"/>
                <w:szCs w:val="24"/>
              </w:rPr>
            </w:pPr>
            <w:r w:rsidRPr="00F72577">
              <w:rPr>
                <w:rStyle w:val="Bodytext1811pt"/>
                <w:rFonts w:ascii="Sylfaen" w:hAnsi="Sylfaen"/>
                <w:sz w:val="24"/>
                <w:szCs w:val="24"/>
              </w:rPr>
              <w:t xml:space="preserve">կլինիկական </w:t>
            </w:r>
            <w:r w:rsidRPr="00F72577">
              <w:rPr>
                <w:rFonts w:ascii="Sylfaen" w:hAnsi="Sylfaen" w:cs="Sylfaen"/>
                <w:b w:val="0"/>
                <w:sz w:val="24"/>
                <w:szCs w:val="24"/>
              </w:rPr>
              <w:t xml:space="preserve">հետազոտության </w:t>
            </w:r>
            <w:r w:rsidRPr="00F72577">
              <w:rPr>
                <w:rStyle w:val="Bodytext1811pt"/>
                <w:rFonts w:ascii="Sylfaen" w:hAnsi="Sylfaen"/>
                <w:sz w:val="24"/>
                <w:szCs w:val="24"/>
              </w:rPr>
              <w:t>առաջնային կետը</w:t>
            </w:r>
          </w:p>
        </w:tc>
        <w:tc>
          <w:tcPr>
            <w:tcW w:w="2102" w:type="dxa"/>
            <w:gridSpan w:val="3"/>
            <w:tcBorders>
              <w:top w:val="single" w:sz="4" w:space="0" w:color="auto"/>
              <w:left w:val="single" w:sz="4" w:space="0" w:color="auto"/>
            </w:tcBorders>
            <w:shd w:val="clear" w:color="auto" w:fill="FFFFFF"/>
            <w:vAlign w:val="bottom"/>
          </w:tcPr>
          <w:p w14:paraId="4E0EE598" w14:textId="77777777" w:rsidR="008C76E0" w:rsidRPr="00F72577" w:rsidRDefault="008C76E0" w:rsidP="008C76E0">
            <w:pPr>
              <w:pStyle w:val="Bodytext180"/>
              <w:shd w:val="clear" w:color="auto" w:fill="auto"/>
              <w:spacing w:before="0" w:after="120" w:line="240" w:lineRule="auto"/>
              <w:ind w:left="93" w:firstLine="0"/>
              <w:rPr>
                <w:rFonts w:ascii="Sylfaen" w:hAnsi="Sylfaen"/>
                <w:b w:val="0"/>
                <w:sz w:val="24"/>
                <w:szCs w:val="24"/>
              </w:rPr>
            </w:pPr>
            <w:r w:rsidRPr="00F72577">
              <w:rPr>
                <w:rStyle w:val="Bodytext1811pt"/>
                <w:rFonts w:ascii="Sylfaen" w:hAnsi="Sylfaen"/>
                <w:sz w:val="24"/>
                <w:szCs w:val="24"/>
              </w:rPr>
              <w:t>արդյունքների նկարագրությամբ բաժնի աղյուսակում)</w:t>
            </w:r>
          </w:p>
        </w:tc>
        <w:tc>
          <w:tcPr>
            <w:tcW w:w="3904" w:type="dxa"/>
            <w:gridSpan w:val="5"/>
            <w:tcBorders>
              <w:top w:val="single" w:sz="4" w:space="0" w:color="auto"/>
              <w:left w:val="single" w:sz="4" w:space="0" w:color="auto"/>
              <w:right w:val="single" w:sz="4" w:space="0" w:color="auto"/>
            </w:tcBorders>
            <w:shd w:val="clear" w:color="auto" w:fill="FFFFFF"/>
          </w:tcPr>
          <w:p w14:paraId="2C8AD0A3" w14:textId="77777777" w:rsidR="008C76E0" w:rsidRPr="00F72577" w:rsidRDefault="008C76E0" w:rsidP="008C76E0">
            <w:pPr>
              <w:spacing w:after="120" w:line="240" w:lineRule="auto"/>
              <w:ind w:left="96" w:right="66"/>
              <w:rPr>
                <w:rFonts w:ascii="Sylfaen" w:hAnsi="Sylfaen"/>
                <w:sz w:val="24"/>
                <w:szCs w:val="24"/>
              </w:rPr>
            </w:pPr>
          </w:p>
        </w:tc>
      </w:tr>
      <w:tr w:rsidR="008C76E0" w:rsidRPr="00F72577" w14:paraId="434E78C7" w14:textId="77777777" w:rsidTr="008C76E0">
        <w:trPr>
          <w:jc w:val="center"/>
        </w:trPr>
        <w:tc>
          <w:tcPr>
            <w:tcW w:w="3263" w:type="dxa"/>
            <w:vMerge/>
            <w:tcBorders>
              <w:left w:val="single" w:sz="4" w:space="0" w:color="auto"/>
            </w:tcBorders>
            <w:shd w:val="clear" w:color="auto" w:fill="FFFFFF"/>
            <w:vAlign w:val="center"/>
          </w:tcPr>
          <w:p w14:paraId="20DFB1BB" w14:textId="77777777" w:rsidR="008C76E0" w:rsidRPr="00F72577" w:rsidRDefault="008C76E0" w:rsidP="008C76E0">
            <w:pPr>
              <w:spacing w:after="120" w:line="240" w:lineRule="auto"/>
              <w:rPr>
                <w:rFonts w:ascii="Sylfaen" w:hAnsi="Sylfaen"/>
                <w:sz w:val="24"/>
                <w:szCs w:val="24"/>
              </w:rPr>
            </w:pPr>
          </w:p>
        </w:tc>
        <w:tc>
          <w:tcPr>
            <w:tcW w:w="2076" w:type="dxa"/>
            <w:gridSpan w:val="2"/>
            <w:tcBorders>
              <w:top w:val="single" w:sz="4" w:space="0" w:color="auto"/>
              <w:left w:val="single" w:sz="4" w:space="0" w:color="auto"/>
            </w:tcBorders>
            <w:shd w:val="clear" w:color="auto" w:fill="FFFFFF"/>
            <w:vAlign w:val="bottom"/>
          </w:tcPr>
          <w:p w14:paraId="40B21A0A" w14:textId="77777777" w:rsidR="008C76E0" w:rsidRPr="008C76E0" w:rsidRDefault="008C76E0" w:rsidP="008C76E0">
            <w:pPr>
              <w:pStyle w:val="Bodytext180"/>
              <w:shd w:val="clear" w:color="auto" w:fill="auto"/>
              <w:spacing w:before="0" w:after="120" w:line="240" w:lineRule="auto"/>
              <w:ind w:left="81" w:firstLine="0"/>
              <w:rPr>
                <w:rFonts w:ascii="Sylfaen" w:hAnsi="Sylfaen"/>
                <w:b w:val="0"/>
                <w:sz w:val="24"/>
                <w:szCs w:val="24"/>
                <w:lang w:val="hy-AM"/>
              </w:rPr>
            </w:pPr>
            <w:r w:rsidRPr="00F72577">
              <w:rPr>
                <w:rStyle w:val="Bodytext1811pt"/>
                <w:rFonts w:ascii="Sylfaen" w:hAnsi="Sylfaen"/>
                <w:sz w:val="24"/>
                <w:szCs w:val="24"/>
              </w:rPr>
              <w:t>երկրորդային</w:t>
            </w:r>
            <w:r w:rsidRPr="008C76E0">
              <w:rPr>
                <w:rFonts w:ascii="Sylfaen" w:hAnsi="Sylfaen"/>
                <w:b w:val="0"/>
                <w:sz w:val="24"/>
                <w:szCs w:val="24"/>
                <w:lang w:val="hy-AM"/>
              </w:rPr>
              <w:t xml:space="preserve"> </w:t>
            </w:r>
            <w:r w:rsidRPr="00F72577">
              <w:rPr>
                <w:rStyle w:val="Bodytext1811pt"/>
                <w:rFonts w:ascii="Sylfaen" w:hAnsi="Sylfaen"/>
                <w:sz w:val="24"/>
                <w:szCs w:val="24"/>
              </w:rPr>
              <w:t>այլ՝</w:t>
            </w:r>
            <w:r w:rsidRPr="008C76E0">
              <w:rPr>
                <w:rFonts w:ascii="Sylfaen" w:hAnsi="Sylfaen"/>
                <w:b w:val="0"/>
                <w:sz w:val="24"/>
                <w:szCs w:val="24"/>
                <w:lang w:val="hy-AM"/>
              </w:rPr>
              <w:t xml:space="preserve"> </w:t>
            </w:r>
            <w:r w:rsidRPr="00F72577">
              <w:rPr>
                <w:rStyle w:val="Bodytext1811pt"/>
                <w:rFonts w:ascii="Sylfaen" w:hAnsi="Sylfaen"/>
                <w:sz w:val="24"/>
                <w:szCs w:val="24"/>
              </w:rPr>
              <w:t xml:space="preserve">նշե՛ք </w:t>
            </w:r>
            <w:r w:rsidRPr="008C76E0">
              <w:rPr>
                <w:rFonts w:ascii="Sylfaen" w:hAnsi="Sylfaen"/>
                <w:b w:val="0"/>
                <w:sz w:val="24"/>
                <w:szCs w:val="24"/>
                <w:lang w:val="hy-AM"/>
              </w:rPr>
              <w:t>կլինիկական</w:t>
            </w:r>
            <w:r w:rsidRPr="00F72577">
              <w:rPr>
                <w:rStyle w:val="Bodytext1811pt"/>
                <w:rFonts w:ascii="Sylfaen" w:hAnsi="Sylfaen"/>
                <w:sz w:val="24"/>
                <w:szCs w:val="24"/>
              </w:rPr>
              <w:t xml:space="preserve"> հետազոտության կետը</w:t>
            </w:r>
          </w:p>
        </w:tc>
        <w:tc>
          <w:tcPr>
            <w:tcW w:w="2102" w:type="dxa"/>
            <w:gridSpan w:val="3"/>
            <w:tcBorders>
              <w:top w:val="single" w:sz="4" w:space="0" w:color="auto"/>
              <w:left w:val="single" w:sz="4" w:space="0" w:color="auto"/>
            </w:tcBorders>
            <w:shd w:val="clear" w:color="auto" w:fill="FFFFFF"/>
          </w:tcPr>
          <w:p w14:paraId="0B9DD9F0" w14:textId="77777777" w:rsidR="008C76E0" w:rsidRPr="00F72577" w:rsidRDefault="008C76E0" w:rsidP="008C76E0">
            <w:pPr>
              <w:pStyle w:val="Bodytext180"/>
              <w:shd w:val="clear" w:color="auto" w:fill="auto"/>
              <w:spacing w:before="0" w:after="120" w:line="240" w:lineRule="auto"/>
              <w:ind w:left="93" w:firstLine="0"/>
              <w:rPr>
                <w:rFonts w:ascii="Sylfaen" w:hAnsi="Sylfaen"/>
                <w:b w:val="0"/>
                <w:sz w:val="24"/>
                <w:szCs w:val="24"/>
              </w:rPr>
            </w:pPr>
            <w:r w:rsidRPr="00F72577">
              <w:rPr>
                <w:rStyle w:val="Bodytext1811pt"/>
                <w:rFonts w:ascii="Sylfaen" w:hAnsi="Sylfaen"/>
                <w:sz w:val="24"/>
                <w:szCs w:val="24"/>
              </w:rPr>
              <w:t>պայմանական</w:t>
            </w:r>
            <w:r w:rsidRPr="00F72577">
              <w:rPr>
                <w:rFonts w:ascii="Sylfaen" w:hAnsi="Sylfaen"/>
                <w:b w:val="0"/>
                <w:sz w:val="24"/>
                <w:szCs w:val="24"/>
              </w:rPr>
              <w:t xml:space="preserve"> </w:t>
            </w:r>
            <w:r w:rsidRPr="00F72577">
              <w:rPr>
                <w:rStyle w:val="Bodytext1811pt"/>
                <w:rFonts w:ascii="Sylfaen" w:hAnsi="Sylfaen"/>
                <w:sz w:val="24"/>
                <w:szCs w:val="24"/>
              </w:rPr>
              <w:t>նշագիրը</w:t>
            </w:r>
          </w:p>
        </w:tc>
        <w:tc>
          <w:tcPr>
            <w:tcW w:w="3904" w:type="dxa"/>
            <w:gridSpan w:val="5"/>
            <w:tcBorders>
              <w:top w:val="single" w:sz="4" w:space="0" w:color="auto"/>
              <w:left w:val="single" w:sz="4" w:space="0" w:color="auto"/>
              <w:right w:val="single" w:sz="4" w:space="0" w:color="auto"/>
            </w:tcBorders>
            <w:shd w:val="clear" w:color="auto" w:fill="FFFFFF"/>
          </w:tcPr>
          <w:p w14:paraId="41BE79AB"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կամայական տեքստը (բերեք համառոտ նկարագրությունը)</w:t>
            </w:r>
          </w:p>
        </w:tc>
      </w:tr>
      <w:tr w:rsidR="008C76E0" w:rsidRPr="00F72577" w14:paraId="33FD937E" w14:textId="77777777" w:rsidTr="008C76E0">
        <w:trPr>
          <w:jc w:val="center"/>
        </w:trPr>
        <w:tc>
          <w:tcPr>
            <w:tcW w:w="3263" w:type="dxa"/>
            <w:tcBorders>
              <w:top w:val="single" w:sz="4" w:space="0" w:color="auto"/>
              <w:left w:val="single" w:sz="4" w:space="0" w:color="auto"/>
            </w:tcBorders>
            <w:shd w:val="clear" w:color="auto" w:fill="FFFFFF"/>
          </w:tcPr>
          <w:p w14:paraId="347C3419" w14:textId="77777777" w:rsidR="008C76E0" w:rsidRPr="00F72577" w:rsidRDefault="008C76E0" w:rsidP="008C76E0">
            <w:pPr>
              <w:spacing w:after="120" w:line="240" w:lineRule="auto"/>
              <w:rPr>
                <w:rFonts w:ascii="Sylfaen" w:hAnsi="Sylfaen"/>
                <w:sz w:val="24"/>
                <w:szCs w:val="24"/>
              </w:rPr>
            </w:pPr>
          </w:p>
        </w:tc>
        <w:tc>
          <w:tcPr>
            <w:tcW w:w="2076" w:type="dxa"/>
            <w:gridSpan w:val="2"/>
            <w:tcBorders>
              <w:top w:val="single" w:sz="4" w:space="0" w:color="auto"/>
              <w:left w:val="single" w:sz="4" w:space="0" w:color="auto"/>
            </w:tcBorders>
            <w:shd w:val="clear" w:color="auto" w:fill="FFFFFF"/>
            <w:vAlign w:val="bottom"/>
          </w:tcPr>
          <w:p w14:paraId="1BE779B4" w14:textId="77777777" w:rsidR="008C76E0" w:rsidRPr="008C76E0" w:rsidRDefault="008C76E0" w:rsidP="008C76E0">
            <w:pPr>
              <w:pStyle w:val="Bodytext180"/>
              <w:shd w:val="clear" w:color="auto" w:fill="auto"/>
              <w:spacing w:before="0" w:after="120" w:line="240" w:lineRule="auto"/>
              <w:ind w:left="81" w:firstLine="0"/>
              <w:rPr>
                <w:rFonts w:ascii="Sylfaen" w:hAnsi="Sylfaen"/>
                <w:b w:val="0"/>
                <w:sz w:val="24"/>
                <w:szCs w:val="24"/>
                <w:lang w:val="hy-AM"/>
              </w:rPr>
            </w:pPr>
            <w:r w:rsidRPr="00F72577">
              <w:rPr>
                <w:rStyle w:val="Bodytext1811pt"/>
                <w:rFonts w:ascii="Sylfaen" w:hAnsi="Sylfaen"/>
                <w:sz w:val="24"/>
                <w:szCs w:val="24"/>
              </w:rPr>
              <w:t>Երկրորդային</w:t>
            </w:r>
            <w:r w:rsidRPr="008C76E0">
              <w:rPr>
                <w:rFonts w:ascii="Sylfaen" w:hAnsi="Sylfaen"/>
                <w:b w:val="0"/>
                <w:sz w:val="24"/>
                <w:szCs w:val="24"/>
                <w:lang w:val="hy-AM"/>
              </w:rPr>
              <w:t xml:space="preserve"> </w:t>
            </w:r>
            <w:r w:rsidRPr="00F72577">
              <w:rPr>
                <w:rStyle w:val="Bodytext1811pt"/>
                <w:rFonts w:ascii="Sylfaen" w:hAnsi="Sylfaen"/>
                <w:sz w:val="24"/>
                <w:szCs w:val="24"/>
              </w:rPr>
              <w:t>այլ՝</w:t>
            </w:r>
            <w:r w:rsidRPr="008C76E0">
              <w:rPr>
                <w:rFonts w:ascii="Sylfaen" w:hAnsi="Sylfaen"/>
                <w:b w:val="0"/>
                <w:sz w:val="24"/>
                <w:szCs w:val="24"/>
                <w:lang w:val="hy-AM"/>
              </w:rPr>
              <w:t xml:space="preserve"> </w:t>
            </w:r>
            <w:r w:rsidRPr="00F72577">
              <w:rPr>
                <w:rStyle w:val="Bodytext1811pt"/>
                <w:rFonts w:ascii="Sylfaen" w:hAnsi="Sylfaen"/>
                <w:sz w:val="24"/>
                <w:szCs w:val="24"/>
              </w:rPr>
              <w:t xml:space="preserve">նշե՛ք </w:t>
            </w:r>
            <w:r w:rsidRPr="008C76E0">
              <w:rPr>
                <w:rFonts w:ascii="Sylfaen" w:hAnsi="Sylfaen"/>
                <w:b w:val="0"/>
                <w:sz w:val="24"/>
                <w:szCs w:val="24"/>
                <w:lang w:val="hy-AM"/>
              </w:rPr>
              <w:t xml:space="preserve">կլինիկական </w:t>
            </w:r>
            <w:r w:rsidRPr="00F72577">
              <w:rPr>
                <w:rStyle w:val="Bodytext1811pt"/>
                <w:rFonts w:ascii="Sylfaen" w:hAnsi="Sylfaen"/>
                <w:sz w:val="24"/>
                <w:szCs w:val="24"/>
              </w:rPr>
              <w:t>հետազոտության կետը</w:t>
            </w:r>
          </w:p>
        </w:tc>
        <w:tc>
          <w:tcPr>
            <w:tcW w:w="2102" w:type="dxa"/>
            <w:gridSpan w:val="3"/>
            <w:tcBorders>
              <w:top w:val="single" w:sz="4" w:space="0" w:color="auto"/>
              <w:left w:val="single" w:sz="4" w:space="0" w:color="auto"/>
            </w:tcBorders>
            <w:shd w:val="clear" w:color="auto" w:fill="FFFFFF"/>
          </w:tcPr>
          <w:p w14:paraId="1A34A0F8" w14:textId="77777777" w:rsidR="008C76E0" w:rsidRPr="00F72577" w:rsidRDefault="008C76E0" w:rsidP="008C76E0">
            <w:pPr>
              <w:pStyle w:val="Bodytext180"/>
              <w:shd w:val="clear" w:color="auto" w:fill="auto"/>
              <w:spacing w:before="0" w:after="120" w:line="240" w:lineRule="auto"/>
              <w:ind w:left="93" w:firstLine="0"/>
              <w:rPr>
                <w:rFonts w:ascii="Sylfaen" w:hAnsi="Sylfaen"/>
                <w:b w:val="0"/>
                <w:sz w:val="24"/>
                <w:szCs w:val="24"/>
              </w:rPr>
            </w:pPr>
            <w:r w:rsidRPr="00F72577">
              <w:rPr>
                <w:rStyle w:val="Bodytext1811pt"/>
                <w:rFonts w:ascii="Sylfaen" w:hAnsi="Sylfaen"/>
                <w:sz w:val="24"/>
                <w:szCs w:val="24"/>
              </w:rPr>
              <w:t>պայմանական</w:t>
            </w:r>
            <w:r w:rsidRPr="00F72577">
              <w:rPr>
                <w:rFonts w:ascii="Sylfaen" w:hAnsi="Sylfaen"/>
                <w:b w:val="0"/>
                <w:sz w:val="24"/>
                <w:szCs w:val="24"/>
              </w:rPr>
              <w:t xml:space="preserve"> </w:t>
            </w:r>
            <w:r w:rsidRPr="00F72577">
              <w:rPr>
                <w:rStyle w:val="Bodytext1811pt"/>
                <w:rFonts w:ascii="Sylfaen" w:hAnsi="Sylfaen"/>
                <w:sz w:val="24"/>
                <w:szCs w:val="24"/>
              </w:rPr>
              <w:t>նշագիրը</w:t>
            </w:r>
          </w:p>
        </w:tc>
        <w:tc>
          <w:tcPr>
            <w:tcW w:w="3904" w:type="dxa"/>
            <w:gridSpan w:val="5"/>
            <w:tcBorders>
              <w:top w:val="single" w:sz="4" w:space="0" w:color="auto"/>
              <w:left w:val="single" w:sz="4" w:space="0" w:color="auto"/>
              <w:right w:val="single" w:sz="4" w:space="0" w:color="auto"/>
            </w:tcBorders>
            <w:shd w:val="clear" w:color="auto" w:fill="FFFFFF"/>
          </w:tcPr>
          <w:p w14:paraId="701014DF" w14:textId="77777777" w:rsidR="008C76E0" w:rsidRPr="00F72577" w:rsidRDefault="008C76E0" w:rsidP="008C76E0">
            <w:pPr>
              <w:pStyle w:val="Bodytext180"/>
              <w:shd w:val="clear" w:color="auto" w:fill="auto"/>
              <w:spacing w:before="0" w:after="120" w:line="240" w:lineRule="auto"/>
              <w:ind w:left="96" w:right="66" w:firstLine="0"/>
              <w:rPr>
                <w:rFonts w:ascii="Sylfaen" w:hAnsi="Sylfaen"/>
                <w:b w:val="0"/>
                <w:sz w:val="24"/>
                <w:szCs w:val="24"/>
              </w:rPr>
            </w:pPr>
            <w:r w:rsidRPr="00F72577">
              <w:rPr>
                <w:rStyle w:val="Bodytext1811pt"/>
                <w:rFonts w:ascii="Sylfaen" w:hAnsi="Sylfaen"/>
                <w:sz w:val="24"/>
                <w:szCs w:val="24"/>
              </w:rPr>
              <w:t>կամայական տեքստը (բերե՛ք համառոտ նկարագրությունը)</w:t>
            </w:r>
          </w:p>
        </w:tc>
      </w:tr>
      <w:tr w:rsidR="008C76E0" w:rsidRPr="00F72577" w14:paraId="33541E8B" w14:textId="77777777" w:rsidTr="008C76E0">
        <w:trPr>
          <w:jc w:val="center"/>
        </w:trPr>
        <w:tc>
          <w:tcPr>
            <w:tcW w:w="3263" w:type="dxa"/>
            <w:tcBorders>
              <w:top w:val="single" w:sz="4" w:space="0" w:color="auto"/>
              <w:left w:val="single" w:sz="4" w:space="0" w:color="auto"/>
            </w:tcBorders>
            <w:shd w:val="clear" w:color="auto" w:fill="FFFFFF"/>
            <w:vAlign w:val="bottom"/>
          </w:tcPr>
          <w:p w14:paraId="22101294"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Տվյալների բազայի փակումը</w:t>
            </w:r>
          </w:p>
        </w:tc>
        <w:tc>
          <w:tcPr>
            <w:tcW w:w="8082" w:type="dxa"/>
            <w:gridSpan w:val="10"/>
            <w:tcBorders>
              <w:top w:val="single" w:sz="4" w:space="0" w:color="auto"/>
              <w:left w:val="single" w:sz="4" w:space="0" w:color="auto"/>
              <w:right w:val="single" w:sz="4" w:space="0" w:color="auto"/>
            </w:tcBorders>
            <w:shd w:val="clear" w:color="auto" w:fill="FFFFFF"/>
          </w:tcPr>
          <w:p w14:paraId="5DA58E62" w14:textId="77777777" w:rsidR="008C76E0" w:rsidRPr="00F72577" w:rsidRDefault="008C76E0" w:rsidP="008C76E0">
            <w:pPr>
              <w:pStyle w:val="Bodytext180"/>
              <w:shd w:val="clear" w:color="auto" w:fill="auto"/>
              <w:spacing w:before="0" w:after="120" w:line="240" w:lineRule="auto"/>
              <w:ind w:left="116" w:firstLine="0"/>
              <w:rPr>
                <w:rFonts w:ascii="Sylfaen" w:hAnsi="Sylfaen"/>
                <w:b w:val="0"/>
                <w:sz w:val="24"/>
                <w:szCs w:val="24"/>
              </w:rPr>
            </w:pPr>
            <w:r w:rsidRPr="00F72577">
              <w:rPr>
                <w:rStyle w:val="Bodytext1811pt"/>
                <w:rFonts w:ascii="Sylfaen" w:hAnsi="Sylfaen"/>
                <w:sz w:val="24"/>
                <w:szCs w:val="24"/>
              </w:rPr>
              <w:t>ամսաթիվը</w:t>
            </w:r>
          </w:p>
        </w:tc>
      </w:tr>
      <w:tr w:rsidR="008C76E0" w:rsidRPr="00F72577" w14:paraId="3D19B2E9" w14:textId="77777777" w:rsidTr="008C76E0">
        <w:trPr>
          <w:jc w:val="center"/>
        </w:trPr>
        <w:tc>
          <w:tcPr>
            <w:tcW w:w="11345" w:type="dxa"/>
            <w:gridSpan w:val="11"/>
            <w:tcBorders>
              <w:top w:val="single" w:sz="4" w:space="0" w:color="auto"/>
              <w:left w:val="single" w:sz="4" w:space="0" w:color="auto"/>
              <w:right w:val="single" w:sz="4" w:space="0" w:color="auto"/>
            </w:tcBorders>
            <w:shd w:val="clear" w:color="auto" w:fill="FFFFFF"/>
            <w:vAlign w:val="bottom"/>
          </w:tcPr>
          <w:p w14:paraId="3D248546"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 xml:space="preserve">Վերլուծությունները </w:t>
            </w:r>
            <w:r w:rsidR="00C54D75">
              <w:rPr>
                <w:rStyle w:val="Bodytext1811pt"/>
                <w:rFonts w:ascii="Sylfaen" w:hAnsi="Sylfaen"/>
                <w:sz w:val="24"/>
                <w:szCs w:val="24"/>
              </w:rPr>
              <w:t>և</w:t>
            </w:r>
            <w:r w:rsidRPr="00F72577">
              <w:rPr>
                <w:rStyle w:val="Bodytext1811pt"/>
                <w:rFonts w:ascii="Sylfaen" w:hAnsi="Sylfaen"/>
                <w:sz w:val="24"/>
                <w:szCs w:val="24"/>
              </w:rPr>
              <w:t xml:space="preserve"> արդյունքները (յուրաքանչյուր վերլուծության մասով ներկայացրե՛ք առանձին արդյունքը, որը հետազոտության մասին հաշվետվության մեջ ներառման համար ակտուալ է համարվել, ցանկացած դեպքում անհրաժեշտ է տվյալներ ներկայացնել նախօրոք որոշված առաջնային վերլուծության վերաբերյալ)</w:t>
            </w:r>
          </w:p>
        </w:tc>
      </w:tr>
      <w:tr w:rsidR="008C76E0" w:rsidRPr="00F72577" w14:paraId="5456E9BD" w14:textId="77777777" w:rsidTr="008C76E0">
        <w:trPr>
          <w:jc w:val="center"/>
        </w:trPr>
        <w:tc>
          <w:tcPr>
            <w:tcW w:w="3263" w:type="dxa"/>
            <w:tcBorders>
              <w:top w:val="single" w:sz="4" w:space="0" w:color="auto"/>
              <w:left w:val="single" w:sz="4" w:space="0" w:color="auto"/>
            </w:tcBorders>
            <w:shd w:val="clear" w:color="auto" w:fill="FFFFFF"/>
            <w:vAlign w:val="bottom"/>
          </w:tcPr>
          <w:p w14:paraId="1DF15E60"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Վերլուծության նկարագրությունը</w:t>
            </w:r>
          </w:p>
        </w:tc>
        <w:tc>
          <w:tcPr>
            <w:tcW w:w="8082" w:type="dxa"/>
            <w:gridSpan w:val="10"/>
            <w:tcBorders>
              <w:top w:val="single" w:sz="4" w:space="0" w:color="auto"/>
              <w:left w:val="single" w:sz="4" w:space="0" w:color="auto"/>
              <w:right w:val="single" w:sz="4" w:space="0" w:color="auto"/>
            </w:tcBorders>
            <w:shd w:val="clear" w:color="auto" w:fill="FFFFFF"/>
          </w:tcPr>
          <w:p w14:paraId="4FBE5886" w14:textId="77777777" w:rsidR="008C76E0" w:rsidRPr="00F72577" w:rsidRDefault="008C76E0" w:rsidP="008C76E0">
            <w:pPr>
              <w:pStyle w:val="Bodytext180"/>
              <w:shd w:val="clear" w:color="auto" w:fill="auto"/>
              <w:spacing w:before="0" w:after="120" w:line="240" w:lineRule="auto"/>
              <w:ind w:left="127" w:firstLine="0"/>
              <w:rPr>
                <w:rFonts w:ascii="Sylfaen" w:hAnsi="Sylfaen"/>
                <w:b w:val="0"/>
                <w:sz w:val="24"/>
                <w:szCs w:val="24"/>
              </w:rPr>
            </w:pPr>
            <w:r w:rsidRPr="00F72577">
              <w:rPr>
                <w:rStyle w:val="Bodytext1811pt"/>
                <w:rFonts w:ascii="Sylfaen" w:hAnsi="Sylfaen"/>
                <w:sz w:val="24"/>
                <w:szCs w:val="24"/>
              </w:rPr>
              <w:t>առաջնային վերլուծությունը</w:t>
            </w:r>
          </w:p>
        </w:tc>
      </w:tr>
      <w:tr w:rsidR="008C76E0" w:rsidRPr="00F72577" w14:paraId="1A2A3126" w14:textId="77777777" w:rsidTr="008C76E0">
        <w:trPr>
          <w:jc w:val="center"/>
        </w:trPr>
        <w:tc>
          <w:tcPr>
            <w:tcW w:w="3263" w:type="dxa"/>
            <w:tcBorders>
              <w:top w:val="single" w:sz="4" w:space="0" w:color="auto"/>
              <w:left w:val="single" w:sz="4" w:space="0" w:color="auto"/>
            </w:tcBorders>
            <w:shd w:val="clear" w:color="auto" w:fill="FFFFFF"/>
          </w:tcPr>
          <w:p w14:paraId="2551E86E" w14:textId="77777777" w:rsidR="008C76E0" w:rsidRPr="00F72577" w:rsidRDefault="008C76E0" w:rsidP="008C76E0">
            <w:pPr>
              <w:pStyle w:val="Bodytext180"/>
              <w:shd w:val="clear" w:color="auto" w:fill="auto"/>
              <w:spacing w:before="0" w:after="120" w:line="240" w:lineRule="auto"/>
              <w:ind w:left="87" w:right="53" w:firstLine="0"/>
              <w:rPr>
                <w:rStyle w:val="Bodytext1811pt"/>
                <w:rFonts w:ascii="Sylfaen" w:hAnsi="Sylfaen"/>
                <w:sz w:val="24"/>
                <w:szCs w:val="24"/>
              </w:rPr>
            </w:pPr>
            <w:r w:rsidRPr="00F72577">
              <w:rPr>
                <w:rStyle w:val="Bodytext1811pt"/>
                <w:rFonts w:ascii="Sylfaen" w:hAnsi="Sylfaen"/>
                <w:sz w:val="24"/>
                <w:szCs w:val="24"/>
              </w:rPr>
              <w:t>վերլուծման ենթարկվող</w:t>
            </w:r>
            <w:r w:rsidRPr="00F72577">
              <w:rPr>
                <w:rStyle w:val="Bodytext295pt"/>
                <w:rFonts w:ascii="Sylfaen" w:hAnsi="Sylfaen"/>
                <w:spacing w:val="0"/>
                <w:sz w:val="24"/>
                <w:szCs w:val="24"/>
              </w:rPr>
              <w:t xml:space="preserve">սուբյեկտների խումբը </w:t>
            </w:r>
            <w:r w:rsidR="00C54D75">
              <w:rPr>
                <w:rStyle w:val="Bodytext295pt"/>
                <w:rFonts w:ascii="Sylfaen" w:hAnsi="Sylfaen"/>
                <w:spacing w:val="0"/>
                <w:sz w:val="24"/>
                <w:szCs w:val="24"/>
              </w:rPr>
              <w:t>և</w:t>
            </w:r>
            <w:r w:rsidRPr="00F72577">
              <w:rPr>
                <w:rStyle w:val="Bodytext295pt"/>
                <w:rFonts w:ascii="Sylfaen" w:hAnsi="Sylfaen"/>
                <w:spacing w:val="0"/>
                <w:sz w:val="24"/>
                <w:szCs w:val="24"/>
              </w:rPr>
              <w:t xml:space="preserve"> ժամանակային կետերի </w:t>
            </w:r>
            <w:r w:rsidRPr="00F72577">
              <w:rPr>
                <w:rStyle w:val="Bodytext1811pt"/>
                <w:rFonts w:ascii="Sylfaen" w:hAnsi="Sylfaen"/>
                <w:sz w:val="24"/>
                <w:szCs w:val="24"/>
              </w:rPr>
              <w:t>նկարագրությունը</w:t>
            </w:r>
          </w:p>
          <w:p w14:paraId="524E8599" w14:textId="77777777" w:rsidR="008C76E0" w:rsidRPr="008C76E0" w:rsidRDefault="008C76E0" w:rsidP="008C76E0">
            <w:pPr>
              <w:pStyle w:val="Bodytext180"/>
              <w:shd w:val="clear" w:color="auto" w:fill="auto"/>
              <w:spacing w:before="0" w:after="120" w:line="240" w:lineRule="auto"/>
              <w:ind w:left="87" w:right="53" w:firstLine="0"/>
              <w:rPr>
                <w:rFonts w:ascii="Sylfaen" w:hAnsi="Sylfaen"/>
                <w:b w:val="0"/>
                <w:sz w:val="24"/>
                <w:szCs w:val="24"/>
                <w:lang w:val="hy-AM"/>
              </w:rPr>
            </w:pPr>
          </w:p>
        </w:tc>
        <w:tc>
          <w:tcPr>
            <w:tcW w:w="8082" w:type="dxa"/>
            <w:gridSpan w:val="10"/>
            <w:tcBorders>
              <w:top w:val="single" w:sz="4" w:space="0" w:color="auto"/>
              <w:left w:val="single" w:sz="4" w:space="0" w:color="auto"/>
              <w:right w:val="single" w:sz="4" w:space="0" w:color="auto"/>
            </w:tcBorders>
            <w:shd w:val="clear" w:color="auto" w:fill="FFFFFF"/>
          </w:tcPr>
          <w:p w14:paraId="29681CEB" w14:textId="77777777" w:rsidR="008C76E0" w:rsidRPr="008C76E0" w:rsidRDefault="008C76E0" w:rsidP="008C76E0">
            <w:pPr>
              <w:pStyle w:val="Bodytext180"/>
              <w:shd w:val="clear" w:color="auto" w:fill="auto"/>
              <w:spacing w:before="0" w:after="120" w:line="240" w:lineRule="auto"/>
              <w:ind w:left="87" w:right="53" w:firstLine="0"/>
              <w:rPr>
                <w:rFonts w:ascii="Sylfaen" w:hAnsi="Sylfaen"/>
                <w:b w:val="0"/>
                <w:sz w:val="24"/>
                <w:szCs w:val="24"/>
                <w:lang w:val="hy-AM"/>
              </w:rPr>
            </w:pPr>
            <w:r w:rsidRPr="00F72577">
              <w:rPr>
                <w:rStyle w:val="Bodytext1811pt"/>
                <w:rFonts w:ascii="Sylfaen" w:hAnsi="Sylfaen"/>
                <w:sz w:val="24"/>
                <w:szCs w:val="24"/>
              </w:rPr>
              <w:t xml:space="preserve">ընտրանքային համակցություն բուժումը սկսած պացիենտները, հետազոտության մեջ արձանագրությանը համապատասխան մասնակցությունն ավարտած պացիենտները </w:t>
            </w:r>
            <w:r w:rsidR="00C54D75">
              <w:rPr>
                <w:rStyle w:val="Bodytext1811pt"/>
                <w:rFonts w:ascii="Sylfaen" w:hAnsi="Sylfaen"/>
                <w:sz w:val="24"/>
                <w:szCs w:val="24"/>
              </w:rPr>
              <w:t>և</w:t>
            </w:r>
            <w:r w:rsidRPr="00F72577">
              <w:rPr>
                <w:rStyle w:val="Bodytext1811pt"/>
                <w:rFonts w:ascii="Sylfaen" w:hAnsi="Sylfaen"/>
                <w:sz w:val="24"/>
                <w:szCs w:val="24"/>
              </w:rPr>
              <w:t xml:space="preserve"> այլն՝ նշե՛լ</w:t>
            </w:r>
            <w:r w:rsidRPr="008C76E0">
              <w:rPr>
                <w:rFonts w:ascii="Sylfaen" w:hAnsi="Sylfaen"/>
                <w:b w:val="0"/>
                <w:sz w:val="24"/>
                <w:szCs w:val="24"/>
                <w:lang w:val="hy-AM"/>
              </w:rPr>
              <w:t xml:space="preserve"> </w:t>
            </w:r>
            <w:r w:rsidRPr="00F72577">
              <w:rPr>
                <w:rStyle w:val="Bodytext1811pt"/>
                <w:rFonts w:ascii="Sylfaen" w:hAnsi="Sylfaen"/>
                <w:sz w:val="24"/>
                <w:szCs w:val="24"/>
              </w:rPr>
              <w:t>(կարո է պահանջվել բնակչության խմբի համառոտ նկարագրության ներառումը) ժամանակային կետը</w:t>
            </w:r>
          </w:p>
        </w:tc>
      </w:tr>
      <w:tr w:rsidR="008C76E0" w:rsidRPr="00F72577" w14:paraId="66F6738A" w14:textId="77777777" w:rsidTr="008C76E0">
        <w:trPr>
          <w:jc w:val="center"/>
        </w:trPr>
        <w:tc>
          <w:tcPr>
            <w:tcW w:w="3263" w:type="dxa"/>
            <w:vMerge w:val="restart"/>
            <w:tcBorders>
              <w:top w:val="single" w:sz="4" w:space="0" w:color="auto"/>
              <w:left w:val="single" w:sz="4" w:space="0" w:color="auto"/>
            </w:tcBorders>
            <w:shd w:val="clear" w:color="auto" w:fill="FFFFFF"/>
          </w:tcPr>
          <w:p w14:paraId="5FAC471C" w14:textId="77777777" w:rsidR="008C76E0" w:rsidRPr="008C76E0" w:rsidRDefault="008C76E0" w:rsidP="008C76E0">
            <w:pPr>
              <w:pStyle w:val="Bodytext180"/>
              <w:shd w:val="clear" w:color="auto" w:fill="auto"/>
              <w:spacing w:before="0" w:after="120" w:line="240" w:lineRule="auto"/>
              <w:ind w:left="87" w:firstLine="0"/>
              <w:rPr>
                <w:rFonts w:ascii="Sylfaen" w:hAnsi="Sylfaen"/>
                <w:b w:val="0"/>
                <w:sz w:val="24"/>
                <w:szCs w:val="24"/>
                <w:lang w:val="hy-AM"/>
              </w:rPr>
            </w:pPr>
            <w:r w:rsidRPr="00F72577">
              <w:rPr>
                <w:rStyle w:val="Bodytext1811pt"/>
                <w:rFonts w:ascii="Sylfaen" w:hAnsi="Sylfaen"/>
                <w:sz w:val="24"/>
                <w:szCs w:val="24"/>
              </w:rPr>
              <w:lastRenderedPageBreak/>
              <w:t xml:space="preserve">Նկարագրական վիճակագրություն </w:t>
            </w:r>
            <w:r w:rsidR="00C54D75">
              <w:rPr>
                <w:rStyle w:val="Bodytext1811pt"/>
                <w:rFonts w:ascii="Sylfaen" w:hAnsi="Sylfaen"/>
                <w:sz w:val="24"/>
                <w:szCs w:val="24"/>
              </w:rPr>
              <w:t>և</w:t>
            </w:r>
            <w:r w:rsidRPr="00F72577">
              <w:rPr>
                <w:rStyle w:val="Bodytext1811pt"/>
                <w:rFonts w:ascii="Sylfaen" w:hAnsi="Sylfaen"/>
                <w:sz w:val="24"/>
                <w:szCs w:val="24"/>
              </w:rPr>
              <w:t xml:space="preserve"> գնահատման վարիատիվու-թյունը</w:t>
            </w:r>
          </w:p>
        </w:tc>
        <w:tc>
          <w:tcPr>
            <w:tcW w:w="2503" w:type="dxa"/>
            <w:gridSpan w:val="3"/>
            <w:tcBorders>
              <w:top w:val="single" w:sz="4" w:space="0" w:color="auto"/>
              <w:left w:val="single" w:sz="4" w:space="0" w:color="auto"/>
            </w:tcBorders>
            <w:shd w:val="clear" w:color="auto" w:fill="FFFFFF"/>
          </w:tcPr>
          <w:p w14:paraId="6F30E1DF"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բուժման խումբը</w:t>
            </w:r>
          </w:p>
        </w:tc>
        <w:tc>
          <w:tcPr>
            <w:tcW w:w="2097" w:type="dxa"/>
            <w:gridSpan w:val="3"/>
            <w:tcBorders>
              <w:top w:val="single" w:sz="4" w:space="0" w:color="auto"/>
              <w:left w:val="single" w:sz="4" w:space="0" w:color="auto"/>
            </w:tcBorders>
            <w:shd w:val="clear" w:color="auto" w:fill="FFFFFF"/>
            <w:vAlign w:val="bottom"/>
          </w:tcPr>
          <w:p w14:paraId="41562D02" w14:textId="77777777" w:rsidR="008C76E0" w:rsidRPr="00F72577" w:rsidRDefault="008C76E0" w:rsidP="008C76E0">
            <w:pPr>
              <w:pStyle w:val="Bodytext180"/>
              <w:shd w:val="clear" w:color="auto" w:fill="auto"/>
              <w:spacing w:before="0" w:after="120" w:line="240" w:lineRule="auto"/>
              <w:ind w:left="71" w:right="90" w:firstLine="0"/>
              <w:rPr>
                <w:rFonts w:ascii="Sylfaen" w:hAnsi="Sylfaen"/>
                <w:b w:val="0"/>
                <w:sz w:val="24"/>
                <w:szCs w:val="24"/>
              </w:rPr>
            </w:pPr>
            <w:r w:rsidRPr="00F72577">
              <w:rPr>
                <w:rStyle w:val="Bodytext1811pt"/>
                <w:rFonts w:ascii="Sylfaen" w:hAnsi="Sylfaen"/>
                <w:sz w:val="24"/>
                <w:szCs w:val="24"/>
              </w:rPr>
              <w:t>խմբի</w:t>
            </w:r>
            <w:r w:rsidRPr="00F72577">
              <w:rPr>
                <w:rFonts w:ascii="Sylfaen" w:hAnsi="Sylfaen"/>
                <w:b w:val="0"/>
                <w:sz w:val="24"/>
                <w:szCs w:val="24"/>
              </w:rPr>
              <w:t xml:space="preserve"> </w:t>
            </w:r>
            <w:r w:rsidRPr="00F72577">
              <w:rPr>
                <w:rStyle w:val="Bodytext1811pt"/>
                <w:rFonts w:ascii="Sylfaen" w:hAnsi="Sylfaen"/>
                <w:sz w:val="24"/>
                <w:szCs w:val="24"/>
              </w:rPr>
              <w:t>ծածկագրված</w:t>
            </w:r>
            <w:r w:rsidRPr="00F72577">
              <w:rPr>
                <w:rFonts w:ascii="Sylfaen" w:hAnsi="Sylfaen"/>
                <w:b w:val="0"/>
                <w:sz w:val="24"/>
                <w:szCs w:val="24"/>
              </w:rPr>
              <w:t xml:space="preserve"> </w:t>
            </w:r>
            <w:r w:rsidRPr="00F72577">
              <w:rPr>
                <w:rStyle w:val="Bodytext1811pt"/>
                <w:rFonts w:ascii="Sylfaen" w:hAnsi="Sylfaen"/>
                <w:sz w:val="24"/>
                <w:szCs w:val="24"/>
              </w:rPr>
              <w:t>նշագիր</w:t>
            </w:r>
            <w:r w:rsidRPr="00F72577">
              <w:rPr>
                <w:rFonts w:ascii="Sylfaen" w:hAnsi="Sylfaen"/>
                <w:b w:val="0"/>
                <w:sz w:val="24"/>
                <w:szCs w:val="24"/>
              </w:rPr>
              <w:t xml:space="preserve">ը </w:t>
            </w:r>
            <w:r w:rsidRPr="00F72577">
              <w:rPr>
                <w:rStyle w:val="Bodytext1811pt"/>
                <w:rFonts w:ascii="Sylfaen" w:hAnsi="Sylfaen"/>
                <w:sz w:val="24"/>
                <w:szCs w:val="24"/>
              </w:rPr>
              <w:t>(համաձայն</w:t>
            </w:r>
            <w:r w:rsidRPr="00F72577">
              <w:rPr>
                <w:rFonts w:ascii="Sylfaen" w:hAnsi="Sylfaen"/>
                <w:b w:val="0"/>
                <w:sz w:val="24"/>
                <w:szCs w:val="24"/>
              </w:rPr>
              <w:t xml:space="preserve"> </w:t>
            </w:r>
            <w:r w:rsidRPr="00F72577">
              <w:rPr>
                <w:rStyle w:val="Bodytext1811pt"/>
                <w:rFonts w:ascii="Sylfaen" w:hAnsi="Sylfaen"/>
                <w:sz w:val="24"/>
                <w:szCs w:val="24"/>
              </w:rPr>
              <w:t>վերը</w:t>
            </w:r>
            <w:r w:rsidRPr="00F72577">
              <w:rPr>
                <w:rFonts w:ascii="Sylfaen" w:hAnsi="Sylfaen"/>
                <w:b w:val="0"/>
                <w:sz w:val="24"/>
                <w:szCs w:val="24"/>
              </w:rPr>
              <w:t xml:space="preserve"> </w:t>
            </w:r>
            <w:r w:rsidRPr="00F72577">
              <w:rPr>
                <w:rStyle w:val="Bodytext1811pt"/>
                <w:rFonts w:ascii="Sylfaen" w:hAnsi="Sylfaen"/>
                <w:sz w:val="24"/>
                <w:szCs w:val="24"/>
              </w:rPr>
              <w:t>բերվ</w:t>
            </w:r>
            <w:r w:rsidRPr="00F72577">
              <w:rPr>
                <w:rFonts w:ascii="Sylfaen" w:hAnsi="Sylfaen"/>
                <w:b w:val="0"/>
                <w:sz w:val="24"/>
                <w:szCs w:val="24"/>
              </w:rPr>
              <w:t>ա</w:t>
            </w:r>
            <w:r w:rsidRPr="00F72577">
              <w:rPr>
                <w:rStyle w:val="Bodytext1811pt"/>
                <w:rFonts w:ascii="Sylfaen" w:hAnsi="Sylfaen"/>
                <w:sz w:val="24"/>
                <w:szCs w:val="24"/>
              </w:rPr>
              <w:t>ծ տերմինաբա-նության)</w:t>
            </w:r>
          </w:p>
        </w:tc>
        <w:tc>
          <w:tcPr>
            <w:tcW w:w="1843" w:type="dxa"/>
            <w:gridSpan w:val="3"/>
            <w:tcBorders>
              <w:top w:val="single" w:sz="4" w:space="0" w:color="auto"/>
              <w:left w:val="single" w:sz="4" w:space="0" w:color="auto"/>
            </w:tcBorders>
            <w:shd w:val="clear" w:color="auto" w:fill="FFFFFF"/>
            <w:vAlign w:val="bottom"/>
          </w:tcPr>
          <w:p w14:paraId="22098F74" w14:textId="77777777" w:rsidR="008C76E0" w:rsidRPr="00F72577" w:rsidRDefault="008C76E0" w:rsidP="008C76E0">
            <w:pPr>
              <w:pStyle w:val="Bodytext180"/>
              <w:shd w:val="clear" w:color="auto" w:fill="auto"/>
              <w:spacing w:before="0" w:after="120" w:line="240" w:lineRule="auto"/>
              <w:ind w:left="71" w:right="90" w:firstLine="0"/>
              <w:rPr>
                <w:rFonts w:ascii="Sylfaen" w:hAnsi="Sylfaen"/>
                <w:b w:val="0"/>
                <w:sz w:val="24"/>
                <w:szCs w:val="24"/>
              </w:rPr>
            </w:pPr>
            <w:r w:rsidRPr="00F72577">
              <w:rPr>
                <w:rStyle w:val="Bodytext1811pt"/>
                <w:rFonts w:ascii="Sylfaen" w:hAnsi="Sylfaen"/>
                <w:sz w:val="24"/>
                <w:szCs w:val="24"/>
              </w:rPr>
              <w:t>խմբի</w:t>
            </w:r>
            <w:r w:rsidRPr="00F72577">
              <w:rPr>
                <w:rFonts w:ascii="Sylfaen" w:hAnsi="Sylfaen"/>
                <w:b w:val="0"/>
                <w:sz w:val="24"/>
                <w:szCs w:val="24"/>
              </w:rPr>
              <w:t xml:space="preserve"> </w:t>
            </w:r>
            <w:r w:rsidRPr="00F72577">
              <w:rPr>
                <w:rStyle w:val="Bodytext1811pt"/>
                <w:rFonts w:ascii="Sylfaen" w:hAnsi="Sylfaen"/>
                <w:sz w:val="24"/>
                <w:szCs w:val="24"/>
              </w:rPr>
              <w:t>ծածկագրված</w:t>
            </w:r>
            <w:r w:rsidRPr="00F72577">
              <w:rPr>
                <w:rFonts w:ascii="Sylfaen" w:hAnsi="Sylfaen"/>
                <w:b w:val="0"/>
                <w:sz w:val="24"/>
                <w:szCs w:val="24"/>
              </w:rPr>
              <w:t xml:space="preserve"> </w:t>
            </w:r>
            <w:r w:rsidRPr="00F72577">
              <w:rPr>
                <w:rStyle w:val="Bodytext1811pt"/>
                <w:rFonts w:ascii="Sylfaen" w:hAnsi="Sylfaen"/>
                <w:sz w:val="24"/>
                <w:szCs w:val="24"/>
              </w:rPr>
              <w:t>նշագիր</w:t>
            </w:r>
            <w:r w:rsidRPr="00F72577">
              <w:rPr>
                <w:rFonts w:ascii="Sylfaen" w:hAnsi="Sylfaen"/>
                <w:b w:val="0"/>
                <w:sz w:val="24"/>
                <w:szCs w:val="24"/>
              </w:rPr>
              <w:t xml:space="preserve">ը </w:t>
            </w:r>
            <w:r w:rsidRPr="00F72577">
              <w:rPr>
                <w:rStyle w:val="Bodytext1811pt"/>
                <w:rFonts w:ascii="Sylfaen" w:hAnsi="Sylfaen"/>
                <w:sz w:val="24"/>
                <w:szCs w:val="24"/>
              </w:rPr>
              <w:t>(համաձայն</w:t>
            </w:r>
            <w:r w:rsidRPr="00F72577">
              <w:rPr>
                <w:rFonts w:ascii="Sylfaen" w:hAnsi="Sylfaen"/>
                <w:b w:val="0"/>
                <w:sz w:val="24"/>
                <w:szCs w:val="24"/>
              </w:rPr>
              <w:t xml:space="preserve"> </w:t>
            </w:r>
            <w:r w:rsidRPr="00F72577">
              <w:rPr>
                <w:rStyle w:val="Bodytext1811pt"/>
                <w:rFonts w:ascii="Sylfaen" w:hAnsi="Sylfaen"/>
                <w:sz w:val="24"/>
                <w:szCs w:val="24"/>
              </w:rPr>
              <w:t>վերը</w:t>
            </w:r>
            <w:r w:rsidRPr="00F72577">
              <w:rPr>
                <w:rFonts w:ascii="Sylfaen" w:hAnsi="Sylfaen"/>
                <w:b w:val="0"/>
                <w:sz w:val="24"/>
                <w:szCs w:val="24"/>
              </w:rPr>
              <w:t xml:space="preserve"> </w:t>
            </w:r>
            <w:r w:rsidRPr="00F72577">
              <w:rPr>
                <w:rStyle w:val="Bodytext1811pt"/>
                <w:rFonts w:ascii="Sylfaen" w:hAnsi="Sylfaen"/>
                <w:sz w:val="24"/>
                <w:szCs w:val="24"/>
              </w:rPr>
              <w:t>բերվ</w:t>
            </w:r>
            <w:r w:rsidRPr="00F72577">
              <w:rPr>
                <w:rFonts w:ascii="Sylfaen" w:hAnsi="Sylfaen"/>
                <w:b w:val="0"/>
                <w:sz w:val="24"/>
                <w:szCs w:val="24"/>
              </w:rPr>
              <w:t>ա</w:t>
            </w:r>
            <w:r w:rsidRPr="00F72577">
              <w:rPr>
                <w:rStyle w:val="Bodytext1811pt"/>
                <w:rFonts w:ascii="Sylfaen" w:hAnsi="Sylfaen"/>
                <w:sz w:val="24"/>
                <w:szCs w:val="24"/>
              </w:rPr>
              <w:t>ծ տերմինաբա-նության)</w:t>
            </w:r>
          </w:p>
        </w:tc>
        <w:tc>
          <w:tcPr>
            <w:tcW w:w="1639" w:type="dxa"/>
            <w:tcBorders>
              <w:top w:val="single" w:sz="4" w:space="0" w:color="auto"/>
              <w:left w:val="single" w:sz="4" w:space="0" w:color="auto"/>
              <w:right w:val="single" w:sz="4" w:space="0" w:color="auto"/>
            </w:tcBorders>
            <w:shd w:val="clear" w:color="auto" w:fill="FFFFFF"/>
            <w:vAlign w:val="bottom"/>
          </w:tcPr>
          <w:p w14:paraId="63D113EE" w14:textId="77777777" w:rsidR="008C76E0" w:rsidRPr="00F72577" w:rsidRDefault="008C76E0" w:rsidP="008C76E0">
            <w:pPr>
              <w:pStyle w:val="Bodytext180"/>
              <w:shd w:val="clear" w:color="auto" w:fill="auto"/>
              <w:spacing w:before="0" w:after="120" w:line="240" w:lineRule="auto"/>
              <w:ind w:left="71" w:firstLine="0"/>
              <w:rPr>
                <w:rFonts w:ascii="Sylfaen" w:hAnsi="Sylfaen"/>
                <w:b w:val="0"/>
                <w:sz w:val="24"/>
                <w:szCs w:val="24"/>
              </w:rPr>
            </w:pPr>
            <w:r w:rsidRPr="00F72577">
              <w:rPr>
                <w:rStyle w:val="Bodytext1811pt"/>
                <w:rFonts w:ascii="Sylfaen" w:hAnsi="Sylfaen"/>
                <w:sz w:val="24"/>
                <w:szCs w:val="24"/>
              </w:rPr>
              <w:t>խմբի</w:t>
            </w:r>
            <w:r w:rsidRPr="00F72577">
              <w:rPr>
                <w:rFonts w:ascii="Sylfaen" w:hAnsi="Sylfaen"/>
                <w:b w:val="0"/>
                <w:sz w:val="24"/>
                <w:szCs w:val="24"/>
              </w:rPr>
              <w:t xml:space="preserve"> </w:t>
            </w:r>
            <w:r w:rsidRPr="00F72577">
              <w:rPr>
                <w:rStyle w:val="Bodytext1811pt"/>
                <w:rFonts w:ascii="Sylfaen" w:hAnsi="Sylfaen"/>
                <w:sz w:val="24"/>
                <w:szCs w:val="24"/>
              </w:rPr>
              <w:t>ծածկագրված</w:t>
            </w:r>
            <w:r w:rsidRPr="00F72577">
              <w:rPr>
                <w:rFonts w:ascii="Sylfaen" w:hAnsi="Sylfaen"/>
                <w:b w:val="0"/>
                <w:sz w:val="24"/>
                <w:szCs w:val="24"/>
              </w:rPr>
              <w:t xml:space="preserve"> </w:t>
            </w:r>
            <w:r w:rsidRPr="00F72577">
              <w:rPr>
                <w:rStyle w:val="Bodytext1811pt"/>
                <w:rFonts w:ascii="Sylfaen" w:hAnsi="Sylfaen"/>
                <w:sz w:val="24"/>
                <w:szCs w:val="24"/>
              </w:rPr>
              <w:t>նշագիր</w:t>
            </w:r>
            <w:r w:rsidRPr="00F72577">
              <w:rPr>
                <w:rFonts w:ascii="Sylfaen" w:hAnsi="Sylfaen"/>
                <w:b w:val="0"/>
                <w:sz w:val="24"/>
                <w:szCs w:val="24"/>
              </w:rPr>
              <w:t xml:space="preserve">ը </w:t>
            </w:r>
            <w:r w:rsidRPr="00F72577">
              <w:rPr>
                <w:rStyle w:val="Bodytext1811pt"/>
                <w:rFonts w:ascii="Sylfaen" w:hAnsi="Sylfaen"/>
                <w:sz w:val="24"/>
                <w:szCs w:val="24"/>
              </w:rPr>
              <w:t>(համաձայն</w:t>
            </w:r>
            <w:r w:rsidRPr="00F72577">
              <w:rPr>
                <w:rFonts w:ascii="Sylfaen" w:hAnsi="Sylfaen"/>
                <w:b w:val="0"/>
                <w:sz w:val="24"/>
                <w:szCs w:val="24"/>
              </w:rPr>
              <w:t xml:space="preserve"> </w:t>
            </w:r>
            <w:r w:rsidRPr="00F72577">
              <w:rPr>
                <w:rStyle w:val="Bodytext1811pt"/>
                <w:rFonts w:ascii="Sylfaen" w:hAnsi="Sylfaen"/>
                <w:sz w:val="24"/>
                <w:szCs w:val="24"/>
              </w:rPr>
              <w:t>վերը</w:t>
            </w:r>
            <w:r w:rsidRPr="00F72577">
              <w:rPr>
                <w:rFonts w:ascii="Sylfaen" w:hAnsi="Sylfaen"/>
                <w:b w:val="0"/>
                <w:sz w:val="24"/>
                <w:szCs w:val="24"/>
              </w:rPr>
              <w:t xml:space="preserve"> </w:t>
            </w:r>
            <w:r w:rsidRPr="00F72577">
              <w:rPr>
                <w:rStyle w:val="Bodytext1811pt"/>
                <w:rFonts w:ascii="Sylfaen" w:hAnsi="Sylfaen"/>
                <w:sz w:val="24"/>
                <w:szCs w:val="24"/>
              </w:rPr>
              <w:t>բերվ</w:t>
            </w:r>
            <w:r w:rsidRPr="00F72577">
              <w:rPr>
                <w:rFonts w:ascii="Sylfaen" w:hAnsi="Sylfaen"/>
                <w:b w:val="0"/>
                <w:sz w:val="24"/>
                <w:szCs w:val="24"/>
              </w:rPr>
              <w:t>ա</w:t>
            </w:r>
            <w:r w:rsidRPr="00F72577">
              <w:rPr>
                <w:rStyle w:val="Bodytext1811pt"/>
                <w:rFonts w:ascii="Sylfaen" w:hAnsi="Sylfaen"/>
                <w:sz w:val="24"/>
                <w:szCs w:val="24"/>
              </w:rPr>
              <w:t>ծ տերմինաբա-նության)</w:t>
            </w:r>
          </w:p>
        </w:tc>
      </w:tr>
      <w:tr w:rsidR="008C76E0" w:rsidRPr="00F72577" w14:paraId="6EFDA3C1" w14:textId="77777777" w:rsidTr="008C76E0">
        <w:trPr>
          <w:jc w:val="center"/>
        </w:trPr>
        <w:tc>
          <w:tcPr>
            <w:tcW w:w="3263" w:type="dxa"/>
            <w:vMerge/>
            <w:tcBorders>
              <w:left w:val="single" w:sz="4" w:space="0" w:color="auto"/>
            </w:tcBorders>
            <w:shd w:val="clear" w:color="auto" w:fill="FFFFFF"/>
          </w:tcPr>
          <w:p w14:paraId="17BB6C6C"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0C3B254F" w14:textId="77777777" w:rsidR="008C76E0" w:rsidRPr="00F72577" w:rsidRDefault="008C76E0" w:rsidP="008C76E0">
            <w:pPr>
              <w:pStyle w:val="Bodytext180"/>
              <w:shd w:val="clear" w:color="auto" w:fill="auto"/>
              <w:spacing w:before="0" w:after="120" w:line="240" w:lineRule="auto"/>
              <w:ind w:left="69" w:right="50" w:firstLine="0"/>
              <w:rPr>
                <w:rFonts w:ascii="Sylfaen" w:hAnsi="Sylfaen"/>
                <w:b w:val="0"/>
                <w:sz w:val="24"/>
                <w:szCs w:val="24"/>
              </w:rPr>
            </w:pPr>
            <w:r w:rsidRPr="00F72577">
              <w:rPr>
                <w:rStyle w:val="Bodytext1811pt"/>
                <w:rFonts w:ascii="Sylfaen" w:hAnsi="Sylfaen"/>
                <w:sz w:val="24"/>
                <w:szCs w:val="24"/>
              </w:rPr>
              <w:t>սուբյեկտների քանակը</w:t>
            </w:r>
          </w:p>
        </w:tc>
        <w:tc>
          <w:tcPr>
            <w:tcW w:w="2097" w:type="dxa"/>
            <w:gridSpan w:val="3"/>
            <w:tcBorders>
              <w:top w:val="single" w:sz="4" w:space="0" w:color="auto"/>
              <w:left w:val="single" w:sz="4" w:space="0" w:color="auto"/>
            </w:tcBorders>
            <w:shd w:val="clear" w:color="auto" w:fill="FFFFFF"/>
            <w:vAlign w:val="bottom"/>
          </w:tcPr>
          <w:p w14:paraId="5412F268" w14:textId="77777777" w:rsidR="008C76E0" w:rsidRPr="00F72577" w:rsidRDefault="008C76E0" w:rsidP="008C76E0">
            <w:pPr>
              <w:pStyle w:val="Bodytext180"/>
              <w:shd w:val="clear" w:color="auto" w:fill="auto"/>
              <w:spacing w:before="0" w:after="120" w:line="240" w:lineRule="auto"/>
              <w:ind w:left="71" w:firstLine="0"/>
              <w:rPr>
                <w:rFonts w:ascii="Sylfaen" w:hAnsi="Sylfaen"/>
                <w:b w:val="0"/>
                <w:sz w:val="24"/>
                <w:szCs w:val="24"/>
              </w:rPr>
            </w:pPr>
            <w:r w:rsidRPr="00F72577">
              <w:rPr>
                <w:rStyle w:val="Bodytext1811pt"/>
                <w:rFonts w:ascii="Sylfaen" w:hAnsi="Sylfaen"/>
                <w:sz w:val="24"/>
                <w:szCs w:val="24"/>
              </w:rPr>
              <w:t>n</w:t>
            </w:r>
          </w:p>
        </w:tc>
        <w:tc>
          <w:tcPr>
            <w:tcW w:w="1843" w:type="dxa"/>
            <w:gridSpan w:val="3"/>
            <w:tcBorders>
              <w:top w:val="single" w:sz="4" w:space="0" w:color="auto"/>
              <w:left w:val="single" w:sz="4" w:space="0" w:color="auto"/>
            </w:tcBorders>
            <w:shd w:val="clear" w:color="auto" w:fill="FFFFFF"/>
            <w:vAlign w:val="bottom"/>
          </w:tcPr>
          <w:p w14:paraId="75EA6E26" w14:textId="77777777" w:rsidR="008C76E0" w:rsidRPr="00F72577" w:rsidRDefault="008C76E0" w:rsidP="008C76E0">
            <w:pPr>
              <w:pStyle w:val="Bodytext180"/>
              <w:shd w:val="clear" w:color="auto" w:fill="auto"/>
              <w:spacing w:before="0" w:after="120" w:line="240" w:lineRule="auto"/>
              <w:ind w:left="71" w:firstLine="0"/>
              <w:rPr>
                <w:rFonts w:ascii="Sylfaen" w:hAnsi="Sylfaen"/>
                <w:b w:val="0"/>
                <w:sz w:val="24"/>
                <w:szCs w:val="24"/>
              </w:rPr>
            </w:pPr>
            <w:r w:rsidRPr="00F72577">
              <w:rPr>
                <w:rStyle w:val="Bodytext1811pt"/>
                <w:rFonts w:ascii="Sylfaen" w:hAnsi="Sylfaen"/>
                <w:sz w:val="24"/>
                <w:szCs w:val="24"/>
              </w:rPr>
              <w:t>n</w:t>
            </w:r>
          </w:p>
        </w:tc>
        <w:tc>
          <w:tcPr>
            <w:tcW w:w="1639" w:type="dxa"/>
            <w:tcBorders>
              <w:top w:val="single" w:sz="4" w:space="0" w:color="auto"/>
              <w:left w:val="single" w:sz="4" w:space="0" w:color="auto"/>
              <w:right w:val="single" w:sz="4" w:space="0" w:color="auto"/>
            </w:tcBorders>
            <w:shd w:val="clear" w:color="auto" w:fill="FFFFFF"/>
            <w:vAlign w:val="bottom"/>
          </w:tcPr>
          <w:p w14:paraId="3D909700" w14:textId="77777777" w:rsidR="008C76E0" w:rsidRPr="00F72577" w:rsidRDefault="008C76E0" w:rsidP="008C76E0">
            <w:pPr>
              <w:pStyle w:val="Bodytext180"/>
              <w:shd w:val="clear" w:color="auto" w:fill="auto"/>
              <w:spacing w:before="0" w:after="120" w:line="240" w:lineRule="auto"/>
              <w:ind w:left="71" w:firstLine="0"/>
              <w:rPr>
                <w:rFonts w:ascii="Sylfaen" w:hAnsi="Sylfaen"/>
                <w:b w:val="0"/>
                <w:sz w:val="24"/>
                <w:szCs w:val="24"/>
              </w:rPr>
            </w:pPr>
            <w:r w:rsidRPr="00F72577">
              <w:rPr>
                <w:rStyle w:val="Bodytext1811pt"/>
                <w:rFonts w:ascii="Sylfaen" w:hAnsi="Sylfaen"/>
                <w:sz w:val="24"/>
                <w:szCs w:val="24"/>
              </w:rPr>
              <w:t>n</w:t>
            </w:r>
          </w:p>
        </w:tc>
      </w:tr>
      <w:tr w:rsidR="008C76E0" w:rsidRPr="00F72577" w14:paraId="5C01ECC3" w14:textId="77777777" w:rsidTr="008C76E0">
        <w:trPr>
          <w:jc w:val="center"/>
        </w:trPr>
        <w:tc>
          <w:tcPr>
            <w:tcW w:w="3263" w:type="dxa"/>
            <w:vMerge/>
            <w:tcBorders>
              <w:left w:val="single" w:sz="4" w:space="0" w:color="auto"/>
            </w:tcBorders>
            <w:shd w:val="clear" w:color="auto" w:fill="FFFFFF"/>
          </w:tcPr>
          <w:p w14:paraId="13800B44"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323CF5C3"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Կլինիկական հետազոտության կետը (պայմանական նշագիրը, ինչպես նշված է վեր</w:t>
            </w:r>
            <w:r w:rsidR="00C54D75">
              <w:rPr>
                <w:rStyle w:val="Bodytext1811pt"/>
                <w:rFonts w:ascii="Sylfaen" w:hAnsi="Sylfaen"/>
                <w:sz w:val="24"/>
                <w:szCs w:val="24"/>
              </w:rPr>
              <w:t>և</w:t>
            </w:r>
            <w:r w:rsidRPr="00F72577">
              <w:rPr>
                <w:rStyle w:val="Bodytext1811pt"/>
                <w:rFonts w:ascii="Sylfaen" w:hAnsi="Sylfaen"/>
                <w:sz w:val="24"/>
                <w:szCs w:val="24"/>
              </w:rPr>
              <w:t xml:space="preserve">ում) վիճակագրությունը (օրինակ՝ ընտրանքի միջին, մեդիանային արժեքները </w:t>
            </w:r>
            <w:r w:rsidR="00C54D75">
              <w:rPr>
                <w:rStyle w:val="Bodytext1811pt"/>
                <w:rFonts w:ascii="Sylfaen" w:hAnsi="Sylfaen"/>
                <w:sz w:val="24"/>
                <w:szCs w:val="24"/>
              </w:rPr>
              <w:t>և</w:t>
            </w:r>
            <w:r w:rsidRPr="00F72577">
              <w:rPr>
                <w:rStyle w:val="Bodytext1811pt"/>
                <w:rFonts w:ascii="Sylfaen" w:hAnsi="Sylfaen"/>
                <w:sz w:val="24"/>
                <w:szCs w:val="24"/>
              </w:rPr>
              <w:t xml:space="preserve"> այլն)</w:t>
            </w:r>
          </w:p>
        </w:tc>
        <w:tc>
          <w:tcPr>
            <w:tcW w:w="2097" w:type="dxa"/>
            <w:gridSpan w:val="3"/>
            <w:tcBorders>
              <w:top w:val="single" w:sz="4" w:space="0" w:color="auto"/>
              <w:left w:val="single" w:sz="4" w:space="0" w:color="auto"/>
            </w:tcBorders>
            <w:shd w:val="clear" w:color="auto" w:fill="FFFFFF"/>
          </w:tcPr>
          <w:p w14:paraId="67AD0D4F"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843" w:type="dxa"/>
            <w:gridSpan w:val="3"/>
            <w:tcBorders>
              <w:top w:val="single" w:sz="4" w:space="0" w:color="auto"/>
              <w:left w:val="single" w:sz="4" w:space="0" w:color="auto"/>
            </w:tcBorders>
            <w:shd w:val="clear" w:color="auto" w:fill="FFFFFF"/>
          </w:tcPr>
          <w:p w14:paraId="74E476DF"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639" w:type="dxa"/>
            <w:tcBorders>
              <w:top w:val="single" w:sz="4" w:space="0" w:color="auto"/>
              <w:left w:val="single" w:sz="4" w:space="0" w:color="auto"/>
              <w:right w:val="single" w:sz="4" w:space="0" w:color="auto"/>
            </w:tcBorders>
            <w:shd w:val="clear" w:color="auto" w:fill="FFFFFF"/>
          </w:tcPr>
          <w:p w14:paraId="7BB14DC8"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r>
      <w:tr w:rsidR="008C76E0" w:rsidRPr="00F72577" w14:paraId="38FC0906" w14:textId="77777777" w:rsidTr="008C76E0">
        <w:trPr>
          <w:jc w:val="center"/>
        </w:trPr>
        <w:tc>
          <w:tcPr>
            <w:tcW w:w="3263" w:type="dxa"/>
            <w:vMerge/>
            <w:tcBorders>
              <w:left w:val="single" w:sz="4" w:space="0" w:color="auto"/>
            </w:tcBorders>
            <w:shd w:val="clear" w:color="auto" w:fill="FFFFFF"/>
          </w:tcPr>
          <w:p w14:paraId="50E4DF76"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775D9DE9"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վարիացիաների վիճակագրությունը (օրինակ՝ստանդարտ շեղում,</w:t>
            </w:r>
          </w:p>
        </w:tc>
        <w:tc>
          <w:tcPr>
            <w:tcW w:w="2097" w:type="dxa"/>
            <w:gridSpan w:val="3"/>
            <w:tcBorders>
              <w:top w:val="single" w:sz="4" w:space="0" w:color="auto"/>
              <w:left w:val="single" w:sz="4" w:space="0" w:color="auto"/>
            </w:tcBorders>
            <w:shd w:val="clear" w:color="auto" w:fill="FFFFFF"/>
          </w:tcPr>
          <w:p w14:paraId="5D7FF100"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843" w:type="dxa"/>
            <w:gridSpan w:val="3"/>
            <w:tcBorders>
              <w:top w:val="single" w:sz="4" w:space="0" w:color="auto"/>
              <w:left w:val="single" w:sz="4" w:space="0" w:color="auto"/>
            </w:tcBorders>
            <w:shd w:val="clear" w:color="auto" w:fill="FFFFFF"/>
          </w:tcPr>
          <w:p w14:paraId="104D627F"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639" w:type="dxa"/>
            <w:tcBorders>
              <w:top w:val="single" w:sz="4" w:space="0" w:color="auto"/>
              <w:left w:val="single" w:sz="4" w:space="0" w:color="auto"/>
              <w:right w:val="single" w:sz="4" w:space="0" w:color="auto"/>
            </w:tcBorders>
            <w:shd w:val="clear" w:color="auto" w:fill="FFFFFF"/>
          </w:tcPr>
          <w:p w14:paraId="03C85F48" w14:textId="77777777" w:rsidR="008C76E0" w:rsidRPr="00F72577" w:rsidRDefault="008C76E0" w:rsidP="008C76E0">
            <w:pPr>
              <w:pStyle w:val="Bodytext180"/>
              <w:shd w:val="clear" w:color="auto" w:fill="auto"/>
              <w:spacing w:before="0" w:after="120" w:line="240" w:lineRule="auto"/>
              <w:ind w:left="-36" w:right="-46"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r>
      <w:tr w:rsidR="008C76E0" w:rsidRPr="00F72577" w14:paraId="45A341A9" w14:textId="77777777" w:rsidTr="008C76E0">
        <w:trPr>
          <w:jc w:val="center"/>
        </w:trPr>
        <w:tc>
          <w:tcPr>
            <w:tcW w:w="3263" w:type="dxa"/>
            <w:vMerge w:val="restart"/>
            <w:tcBorders>
              <w:left w:val="single" w:sz="4" w:space="0" w:color="auto"/>
            </w:tcBorders>
            <w:shd w:val="clear" w:color="auto" w:fill="FFFFFF"/>
          </w:tcPr>
          <w:p w14:paraId="37F30A0A"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01D4F9D4"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 xml:space="preserve">վստահելի միջակայք </w:t>
            </w:r>
            <w:r w:rsidR="00C54D75">
              <w:rPr>
                <w:rStyle w:val="Bodytext1811pt"/>
                <w:rFonts w:ascii="Sylfaen" w:hAnsi="Sylfaen"/>
                <w:sz w:val="24"/>
                <w:szCs w:val="24"/>
              </w:rPr>
              <w:t>և</w:t>
            </w:r>
            <w:r w:rsidRPr="00F72577">
              <w:rPr>
                <w:rStyle w:val="Bodytext1811pt"/>
                <w:rFonts w:ascii="Sylfaen" w:hAnsi="Sylfaen"/>
                <w:sz w:val="24"/>
                <w:szCs w:val="24"/>
              </w:rPr>
              <w:t xml:space="preserve"> այլն)</w:t>
            </w:r>
          </w:p>
        </w:tc>
        <w:tc>
          <w:tcPr>
            <w:tcW w:w="2097" w:type="dxa"/>
            <w:gridSpan w:val="3"/>
            <w:tcBorders>
              <w:top w:val="single" w:sz="4" w:space="0" w:color="auto"/>
              <w:left w:val="single" w:sz="4" w:space="0" w:color="auto"/>
            </w:tcBorders>
            <w:shd w:val="clear" w:color="auto" w:fill="FFFFFF"/>
          </w:tcPr>
          <w:p w14:paraId="6280E579" w14:textId="77777777" w:rsidR="008C76E0" w:rsidRPr="00F72577" w:rsidRDefault="008C76E0" w:rsidP="008C76E0">
            <w:pPr>
              <w:spacing w:after="120" w:line="240" w:lineRule="auto"/>
              <w:ind w:left="41" w:right="41"/>
              <w:rPr>
                <w:rFonts w:ascii="Sylfaen" w:hAnsi="Sylfaen"/>
                <w:sz w:val="24"/>
                <w:szCs w:val="24"/>
              </w:rPr>
            </w:pPr>
          </w:p>
        </w:tc>
        <w:tc>
          <w:tcPr>
            <w:tcW w:w="1843" w:type="dxa"/>
            <w:gridSpan w:val="3"/>
            <w:tcBorders>
              <w:top w:val="single" w:sz="4" w:space="0" w:color="auto"/>
              <w:left w:val="single" w:sz="4" w:space="0" w:color="auto"/>
            </w:tcBorders>
            <w:shd w:val="clear" w:color="auto" w:fill="FFFFFF"/>
          </w:tcPr>
          <w:p w14:paraId="05F03A4A" w14:textId="77777777" w:rsidR="008C76E0" w:rsidRPr="00F72577" w:rsidRDefault="008C76E0" w:rsidP="008C76E0">
            <w:pPr>
              <w:spacing w:after="120" w:line="240" w:lineRule="auto"/>
              <w:ind w:left="41" w:right="41"/>
              <w:rPr>
                <w:rFonts w:ascii="Sylfaen" w:hAnsi="Sylfaen"/>
                <w:sz w:val="24"/>
                <w:szCs w:val="24"/>
              </w:rPr>
            </w:pPr>
          </w:p>
        </w:tc>
        <w:tc>
          <w:tcPr>
            <w:tcW w:w="1639" w:type="dxa"/>
            <w:tcBorders>
              <w:top w:val="single" w:sz="4" w:space="0" w:color="auto"/>
              <w:left w:val="single" w:sz="4" w:space="0" w:color="auto"/>
              <w:right w:val="single" w:sz="4" w:space="0" w:color="auto"/>
            </w:tcBorders>
            <w:shd w:val="clear" w:color="auto" w:fill="FFFFFF"/>
          </w:tcPr>
          <w:p w14:paraId="6BF8DF81" w14:textId="77777777" w:rsidR="008C76E0" w:rsidRPr="00F72577" w:rsidRDefault="008C76E0" w:rsidP="008C76E0">
            <w:pPr>
              <w:spacing w:after="120" w:line="240" w:lineRule="auto"/>
              <w:ind w:left="41" w:right="41"/>
              <w:rPr>
                <w:rFonts w:ascii="Sylfaen" w:hAnsi="Sylfaen"/>
                <w:sz w:val="24"/>
                <w:szCs w:val="24"/>
              </w:rPr>
            </w:pPr>
          </w:p>
        </w:tc>
      </w:tr>
      <w:tr w:rsidR="008C76E0" w:rsidRPr="00F72577" w14:paraId="3BED03B9" w14:textId="77777777" w:rsidTr="008C76E0">
        <w:trPr>
          <w:jc w:val="center"/>
        </w:trPr>
        <w:tc>
          <w:tcPr>
            <w:tcW w:w="3263" w:type="dxa"/>
            <w:vMerge/>
            <w:tcBorders>
              <w:left w:val="single" w:sz="4" w:space="0" w:color="auto"/>
            </w:tcBorders>
            <w:shd w:val="clear" w:color="auto" w:fill="FFFFFF"/>
          </w:tcPr>
          <w:p w14:paraId="231ADC85"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588A91E9"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կլինիկական հետազոտության կետը</w:t>
            </w:r>
            <w:r w:rsidRPr="00F72577">
              <w:rPr>
                <w:rFonts w:ascii="Sylfaen" w:hAnsi="Sylfaen"/>
                <w:b w:val="0"/>
                <w:sz w:val="24"/>
                <w:szCs w:val="24"/>
              </w:rPr>
              <w:t xml:space="preserve"> </w:t>
            </w:r>
            <w:r w:rsidRPr="00F72577">
              <w:rPr>
                <w:rStyle w:val="Bodytext1811pt"/>
                <w:rFonts w:ascii="Sylfaen" w:hAnsi="Sylfaen"/>
                <w:sz w:val="24"/>
                <w:szCs w:val="24"/>
              </w:rPr>
              <w:t>(վիճակագրություն)</w:t>
            </w:r>
          </w:p>
        </w:tc>
        <w:tc>
          <w:tcPr>
            <w:tcW w:w="2097" w:type="dxa"/>
            <w:gridSpan w:val="3"/>
            <w:tcBorders>
              <w:top w:val="single" w:sz="4" w:space="0" w:color="auto"/>
              <w:left w:val="single" w:sz="4" w:space="0" w:color="auto"/>
            </w:tcBorders>
            <w:shd w:val="clear" w:color="auto" w:fill="FFFFFF"/>
          </w:tcPr>
          <w:p w14:paraId="570C8F4E"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843" w:type="dxa"/>
            <w:gridSpan w:val="3"/>
            <w:tcBorders>
              <w:top w:val="single" w:sz="4" w:space="0" w:color="auto"/>
              <w:left w:val="single" w:sz="4" w:space="0" w:color="auto"/>
            </w:tcBorders>
            <w:shd w:val="clear" w:color="auto" w:fill="FFFFFF"/>
          </w:tcPr>
          <w:p w14:paraId="17E28040"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639" w:type="dxa"/>
            <w:tcBorders>
              <w:top w:val="single" w:sz="4" w:space="0" w:color="auto"/>
              <w:left w:val="single" w:sz="4" w:space="0" w:color="auto"/>
              <w:right w:val="single" w:sz="4" w:space="0" w:color="auto"/>
            </w:tcBorders>
            <w:shd w:val="clear" w:color="auto" w:fill="FFFFFF"/>
          </w:tcPr>
          <w:p w14:paraId="675ED3B7"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r>
      <w:tr w:rsidR="008C76E0" w:rsidRPr="00F72577" w14:paraId="6B9F436F" w14:textId="77777777" w:rsidTr="008C76E0">
        <w:trPr>
          <w:jc w:val="center"/>
        </w:trPr>
        <w:tc>
          <w:tcPr>
            <w:tcW w:w="3263" w:type="dxa"/>
            <w:vMerge/>
            <w:tcBorders>
              <w:left w:val="single" w:sz="4" w:space="0" w:color="auto"/>
            </w:tcBorders>
            <w:shd w:val="clear" w:color="auto" w:fill="FFFFFF"/>
          </w:tcPr>
          <w:p w14:paraId="0EB4ADCC"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tcPr>
          <w:p w14:paraId="447C1991"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վարիացիաների վիճակագրություն</w:t>
            </w:r>
          </w:p>
        </w:tc>
        <w:tc>
          <w:tcPr>
            <w:tcW w:w="2097" w:type="dxa"/>
            <w:gridSpan w:val="3"/>
            <w:tcBorders>
              <w:top w:val="single" w:sz="4" w:space="0" w:color="auto"/>
              <w:left w:val="single" w:sz="4" w:space="0" w:color="auto"/>
            </w:tcBorders>
            <w:shd w:val="clear" w:color="auto" w:fill="FFFFFF"/>
          </w:tcPr>
          <w:p w14:paraId="67ED9AD4"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843" w:type="dxa"/>
            <w:gridSpan w:val="3"/>
            <w:tcBorders>
              <w:top w:val="single" w:sz="4" w:space="0" w:color="auto"/>
              <w:left w:val="single" w:sz="4" w:space="0" w:color="auto"/>
            </w:tcBorders>
            <w:shd w:val="clear" w:color="auto" w:fill="FFFFFF"/>
          </w:tcPr>
          <w:p w14:paraId="215997FA"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639" w:type="dxa"/>
            <w:tcBorders>
              <w:top w:val="single" w:sz="4" w:space="0" w:color="auto"/>
              <w:left w:val="single" w:sz="4" w:space="0" w:color="auto"/>
              <w:right w:val="single" w:sz="4" w:space="0" w:color="auto"/>
            </w:tcBorders>
            <w:shd w:val="clear" w:color="auto" w:fill="FFFFFF"/>
          </w:tcPr>
          <w:p w14:paraId="052806F3" w14:textId="77777777" w:rsidR="008C76E0" w:rsidRPr="00F72577" w:rsidRDefault="008C76E0" w:rsidP="008C76E0">
            <w:pPr>
              <w:pStyle w:val="Bodytext180"/>
              <w:shd w:val="clear" w:color="auto" w:fill="auto"/>
              <w:spacing w:before="0" w:after="120" w:line="240" w:lineRule="auto"/>
              <w:ind w:left="-36" w:right="-46"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r>
      <w:tr w:rsidR="008C76E0" w:rsidRPr="00F72577" w14:paraId="6BD7A430" w14:textId="77777777" w:rsidTr="008C76E0">
        <w:trPr>
          <w:jc w:val="center"/>
        </w:trPr>
        <w:tc>
          <w:tcPr>
            <w:tcW w:w="3263" w:type="dxa"/>
            <w:vMerge/>
            <w:tcBorders>
              <w:left w:val="single" w:sz="4" w:space="0" w:color="auto"/>
            </w:tcBorders>
            <w:shd w:val="clear" w:color="auto" w:fill="FFFFFF"/>
          </w:tcPr>
          <w:p w14:paraId="57EAEB24"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6A4B9A9E"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նշեք կլինիկական հետազոտության կետը</w:t>
            </w:r>
          </w:p>
        </w:tc>
        <w:tc>
          <w:tcPr>
            <w:tcW w:w="2097" w:type="dxa"/>
            <w:gridSpan w:val="3"/>
            <w:tcBorders>
              <w:top w:val="single" w:sz="4" w:space="0" w:color="auto"/>
              <w:left w:val="single" w:sz="4" w:space="0" w:color="auto"/>
            </w:tcBorders>
            <w:shd w:val="clear" w:color="auto" w:fill="FFFFFF"/>
            <w:vAlign w:val="bottom"/>
          </w:tcPr>
          <w:p w14:paraId="717797BB"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843" w:type="dxa"/>
            <w:gridSpan w:val="3"/>
            <w:tcBorders>
              <w:top w:val="single" w:sz="4" w:space="0" w:color="auto"/>
              <w:left w:val="single" w:sz="4" w:space="0" w:color="auto"/>
            </w:tcBorders>
            <w:shd w:val="clear" w:color="auto" w:fill="FFFFFF"/>
            <w:vAlign w:val="bottom"/>
          </w:tcPr>
          <w:p w14:paraId="1404D633"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c>
          <w:tcPr>
            <w:tcW w:w="1639" w:type="dxa"/>
            <w:tcBorders>
              <w:top w:val="single" w:sz="4" w:space="0" w:color="auto"/>
              <w:left w:val="single" w:sz="4" w:space="0" w:color="auto"/>
              <w:right w:val="single" w:sz="4" w:space="0" w:color="auto"/>
            </w:tcBorders>
            <w:shd w:val="clear" w:color="auto" w:fill="FFFFFF"/>
            <w:vAlign w:val="bottom"/>
          </w:tcPr>
          <w:p w14:paraId="189A2059"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կետային</w:t>
            </w:r>
            <w:r w:rsidRPr="00F72577">
              <w:rPr>
                <w:rFonts w:ascii="Sylfaen" w:hAnsi="Sylfaen"/>
                <w:b w:val="0"/>
                <w:sz w:val="24"/>
                <w:szCs w:val="24"/>
              </w:rPr>
              <w:t xml:space="preserve"> </w:t>
            </w:r>
            <w:r w:rsidRPr="00F72577">
              <w:rPr>
                <w:rStyle w:val="Bodytext1811pt"/>
                <w:rFonts w:ascii="Sylfaen" w:hAnsi="Sylfaen"/>
                <w:sz w:val="24"/>
                <w:szCs w:val="24"/>
              </w:rPr>
              <w:t>գնահատում</w:t>
            </w:r>
          </w:p>
        </w:tc>
      </w:tr>
      <w:tr w:rsidR="008C76E0" w:rsidRPr="00F72577" w14:paraId="11F25940" w14:textId="77777777" w:rsidTr="008C76E0">
        <w:trPr>
          <w:jc w:val="center"/>
        </w:trPr>
        <w:tc>
          <w:tcPr>
            <w:tcW w:w="3263" w:type="dxa"/>
            <w:vMerge/>
            <w:tcBorders>
              <w:left w:val="single" w:sz="4" w:space="0" w:color="auto"/>
            </w:tcBorders>
            <w:shd w:val="clear" w:color="auto" w:fill="FFFFFF"/>
          </w:tcPr>
          <w:p w14:paraId="4AC2A592"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vAlign w:val="bottom"/>
          </w:tcPr>
          <w:p w14:paraId="2856ADAE"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վիճակագրություն վարիացիաների վիճակագրություն</w:t>
            </w:r>
          </w:p>
        </w:tc>
        <w:tc>
          <w:tcPr>
            <w:tcW w:w="2097" w:type="dxa"/>
            <w:gridSpan w:val="3"/>
            <w:tcBorders>
              <w:top w:val="single" w:sz="4" w:space="0" w:color="auto"/>
              <w:left w:val="single" w:sz="4" w:space="0" w:color="auto"/>
            </w:tcBorders>
            <w:shd w:val="clear" w:color="auto" w:fill="FFFFFF"/>
          </w:tcPr>
          <w:p w14:paraId="2051A54F"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843" w:type="dxa"/>
            <w:gridSpan w:val="3"/>
            <w:tcBorders>
              <w:top w:val="single" w:sz="4" w:space="0" w:color="auto"/>
              <w:left w:val="single" w:sz="4" w:space="0" w:color="auto"/>
            </w:tcBorders>
            <w:shd w:val="clear" w:color="auto" w:fill="FFFFFF"/>
          </w:tcPr>
          <w:p w14:paraId="773F8AE8" w14:textId="77777777" w:rsidR="008C76E0" w:rsidRPr="00F72577" w:rsidRDefault="008C76E0" w:rsidP="008C76E0">
            <w:pPr>
              <w:pStyle w:val="Bodytext180"/>
              <w:shd w:val="clear" w:color="auto" w:fill="auto"/>
              <w:spacing w:before="0" w:after="120" w:line="240" w:lineRule="auto"/>
              <w:ind w:left="41" w:right="41"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c>
          <w:tcPr>
            <w:tcW w:w="1639" w:type="dxa"/>
            <w:tcBorders>
              <w:top w:val="single" w:sz="4" w:space="0" w:color="auto"/>
              <w:left w:val="single" w:sz="4" w:space="0" w:color="auto"/>
              <w:right w:val="single" w:sz="4" w:space="0" w:color="auto"/>
            </w:tcBorders>
            <w:shd w:val="clear" w:color="auto" w:fill="FFFFFF"/>
          </w:tcPr>
          <w:p w14:paraId="5BC0E3DC" w14:textId="77777777" w:rsidR="008C76E0" w:rsidRPr="00F72577" w:rsidRDefault="008C76E0" w:rsidP="008C76E0">
            <w:pPr>
              <w:pStyle w:val="Bodytext180"/>
              <w:shd w:val="clear" w:color="auto" w:fill="auto"/>
              <w:spacing w:before="0" w:after="120" w:line="240" w:lineRule="auto"/>
              <w:ind w:left="-36" w:right="-46" w:firstLine="0"/>
              <w:rPr>
                <w:rFonts w:ascii="Sylfaen" w:hAnsi="Sylfaen"/>
                <w:b w:val="0"/>
                <w:sz w:val="24"/>
                <w:szCs w:val="24"/>
              </w:rPr>
            </w:pPr>
            <w:r w:rsidRPr="00F72577">
              <w:rPr>
                <w:rStyle w:val="Bodytext1811pt"/>
                <w:rFonts w:ascii="Sylfaen" w:hAnsi="Sylfaen"/>
                <w:sz w:val="24"/>
                <w:szCs w:val="24"/>
              </w:rPr>
              <w:t>Վարիատիվու</w:t>
            </w:r>
            <w:r w:rsidRPr="00F72577">
              <w:rPr>
                <w:rStyle w:val="Bodytext1811pt"/>
                <w:rFonts w:ascii="Sylfaen" w:hAnsi="Sylfaen"/>
                <w:sz w:val="24"/>
                <w:szCs w:val="24"/>
                <w:lang w:val="en-US"/>
              </w:rPr>
              <w:t>-</w:t>
            </w:r>
            <w:r w:rsidRPr="00F72577">
              <w:rPr>
                <w:rStyle w:val="Bodytext1811pt"/>
                <w:rFonts w:ascii="Sylfaen" w:hAnsi="Sylfaen"/>
                <w:sz w:val="24"/>
                <w:szCs w:val="24"/>
              </w:rPr>
              <w:t>թյուն</w:t>
            </w:r>
          </w:p>
        </w:tc>
      </w:tr>
      <w:tr w:rsidR="008C76E0" w:rsidRPr="00F72577" w14:paraId="17840507" w14:textId="77777777" w:rsidTr="008C76E0">
        <w:trPr>
          <w:jc w:val="center"/>
        </w:trPr>
        <w:tc>
          <w:tcPr>
            <w:tcW w:w="3263" w:type="dxa"/>
            <w:vMerge w:val="restart"/>
            <w:tcBorders>
              <w:top w:val="single" w:sz="4" w:space="0" w:color="auto"/>
              <w:left w:val="single" w:sz="4" w:space="0" w:color="auto"/>
            </w:tcBorders>
            <w:shd w:val="clear" w:color="auto" w:fill="FFFFFF"/>
          </w:tcPr>
          <w:p w14:paraId="19569610" w14:textId="77777777" w:rsidR="008C76E0" w:rsidRPr="008C76E0" w:rsidRDefault="008C76E0" w:rsidP="008C76E0">
            <w:pPr>
              <w:pStyle w:val="Bodytext180"/>
              <w:shd w:val="clear" w:color="auto" w:fill="auto"/>
              <w:spacing w:before="0" w:after="120" w:line="240" w:lineRule="auto"/>
              <w:ind w:left="140" w:firstLine="0"/>
              <w:rPr>
                <w:rFonts w:ascii="Sylfaen" w:hAnsi="Sylfaen"/>
                <w:b w:val="0"/>
                <w:sz w:val="24"/>
                <w:szCs w:val="24"/>
                <w:lang w:val="hy-AM"/>
              </w:rPr>
            </w:pPr>
            <w:r w:rsidRPr="00F72577">
              <w:rPr>
                <w:rStyle w:val="Bodytext1811pt"/>
                <w:rFonts w:ascii="Sylfaen" w:hAnsi="Sylfaen"/>
                <w:sz w:val="24"/>
                <w:szCs w:val="24"/>
              </w:rPr>
              <w:t xml:space="preserve">Էֆեկտի գնահատումը համեմատության ժամանակ (ավելացրե՛ք փաստացի կատարված </w:t>
            </w:r>
            <w:r w:rsidRPr="00F72577">
              <w:rPr>
                <w:rStyle w:val="Bodytext1811pt"/>
                <w:rFonts w:ascii="Sylfaen" w:hAnsi="Sylfaen"/>
                <w:sz w:val="24"/>
                <w:szCs w:val="24"/>
              </w:rPr>
              <w:lastRenderedPageBreak/>
              <w:t xml:space="preserve">վիճակագրական վերլուծության նկարագրության համար անհրաժեշտ քանակով տողեր) </w:t>
            </w:r>
          </w:p>
        </w:tc>
        <w:tc>
          <w:tcPr>
            <w:tcW w:w="2503" w:type="dxa"/>
            <w:gridSpan w:val="3"/>
            <w:vMerge w:val="restart"/>
            <w:tcBorders>
              <w:top w:val="single" w:sz="4" w:space="0" w:color="auto"/>
              <w:left w:val="single" w:sz="4" w:space="0" w:color="auto"/>
            </w:tcBorders>
            <w:shd w:val="clear" w:color="auto" w:fill="FFFFFF"/>
          </w:tcPr>
          <w:p w14:paraId="29C7A4ED"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lastRenderedPageBreak/>
              <w:t>կլինիկական հետազոտության համակցված</w:t>
            </w:r>
            <w:r w:rsidRPr="008C76E0">
              <w:rPr>
                <w:rFonts w:ascii="Sylfaen" w:hAnsi="Sylfaen"/>
                <w:b w:val="0"/>
                <w:sz w:val="24"/>
                <w:szCs w:val="24"/>
                <w:lang w:val="hy-AM"/>
              </w:rPr>
              <w:t xml:space="preserve"> </w:t>
            </w:r>
            <w:r w:rsidRPr="00F72577">
              <w:rPr>
                <w:rStyle w:val="Bodytext1811pt"/>
                <w:rFonts w:ascii="Sylfaen" w:hAnsi="Sylfaen"/>
                <w:sz w:val="24"/>
                <w:szCs w:val="24"/>
              </w:rPr>
              <w:t>առաջնային</w:t>
            </w:r>
            <w:r w:rsidRPr="008C76E0">
              <w:rPr>
                <w:rFonts w:ascii="Sylfaen" w:hAnsi="Sylfaen"/>
                <w:b w:val="0"/>
                <w:sz w:val="24"/>
                <w:szCs w:val="24"/>
                <w:lang w:val="hy-AM"/>
              </w:rPr>
              <w:t xml:space="preserve"> </w:t>
            </w:r>
            <w:r w:rsidRPr="00F72577">
              <w:rPr>
                <w:rStyle w:val="Bodytext1811pt"/>
                <w:rFonts w:ascii="Sylfaen" w:hAnsi="Sylfaen"/>
                <w:sz w:val="24"/>
                <w:szCs w:val="24"/>
              </w:rPr>
              <w:t>կետը</w:t>
            </w:r>
          </w:p>
        </w:tc>
        <w:tc>
          <w:tcPr>
            <w:tcW w:w="2718" w:type="dxa"/>
            <w:gridSpan w:val="4"/>
            <w:tcBorders>
              <w:top w:val="single" w:sz="4" w:space="0" w:color="auto"/>
              <w:left w:val="single" w:sz="4" w:space="0" w:color="auto"/>
            </w:tcBorders>
            <w:shd w:val="clear" w:color="auto" w:fill="FFFFFF"/>
          </w:tcPr>
          <w:p w14:paraId="6B0EEC04"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համեմատության խմբերը</w:t>
            </w:r>
          </w:p>
        </w:tc>
        <w:tc>
          <w:tcPr>
            <w:tcW w:w="2861" w:type="dxa"/>
            <w:gridSpan w:val="3"/>
            <w:tcBorders>
              <w:top w:val="single" w:sz="4" w:space="0" w:color="auto"/>
              <w:left w:val="single" w:sz="4" w:space="0" w:color="auto"/>
              <w:right w:val="single" w:sz="4" w:space="0" w:color="auto"/>
            </w:tcBorders>
            <w:shd w:val="clear" w:color="auto" w:fill="FFFFFF"/>
            <w:vAlign w:val="bottom"/>
          </w:tcPr>
          <w:p w14:paraId="36814014"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խմբի ծածկագրված նշագիրը (համաձայն վերը բերված տերմինաբանության)</w:t>
            </w:r>
          </w:p>
        </w:tc>
      </w:tr>
      <w:tr w:rsidR="008C76E0" w:rsidRPr="00F72577" w14:paraId="4562FC13" w14:textId="77777777" w:rsidTr="008C76E0">
        <w:trPr>
          <w:jc w:val="center"/>
        </w:trPr>
        <w:tc>
          <w:tcPr>
            <w:tcW w:w="3263" w:type="dxa"/>
            <w:vMerge/>
            <w:tcBorders>
              <w:left w:val="single" w:sz="4" w:space="0" w:color="auto"/>
            </w:tcBorders>
            <w:shd w:val="clear" w:color="auto" w:fill="FFFFFF"/>
          </w:tcPr>
          <w:p w14:paraId="3EC19524"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23835761"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vAlign w:val="bottom"/>
          </w:tcPr>
          <w:p w14:paraId="00BBDACA"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նշանակալիության չափանիշը (օրինակ՝ խմբերի միջ</w:t>
            </w:r>
            <w:r w:rsidR="00C54D75">
              <w:rPr>
                <w:rStyle w:val="Bodytext1811pt"/>
                <w:rFonts w:ascii="Sylfaen" w:hAnsi="Sylfaen"/>
                <w:sz w:val="24"/>
                <w:szCs w:val="24"/>
              </w:rPr>
              <w:t>և</w:t>
            </w:r>
            <w:r w:rsidRPr="00F72577">
              <w:rPr>
                <w:rStyle w:val="Bodytext1811pt"/>
                <w:rFonts w:ascii="Sylfaen" w:hAnsi="Sylfaen"/>
                <w:sz w:val="24"/>
                <w:szCs w:val="24"/>
              </w:rPr>
              <w:t xml:space="preserve"> տարբերությունը) </w:t>
            </w:r>
          </w:p>
        </w:tc>
        <w:tc>
          <w:tcPr>
            <w:tcW w:w="2861" w:type="dxa"/>
            <w:gridSpan w:val="3"/>
            <w:tcBorders>
              <w:top w:val="single" w:sz="4" w:space="0" w:color="auto"/>
              <w:left w:val="single" w:sz="4" w:space="0" w:color="auto"/>
              <w:right w:val="single" w:sz="4" w:space="0" w:color="auto"/>
            </w:tcBorders>
            <w:shd w:val="clear" w:color="auto" w:fill="FFFFFF"/>
          </w:tcPr>
          <w:p w14:paraId="41C533DA"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կետային գնահատումը</w:t>
            </w:r>
          </w:p>
        </w:tc>
      </w:tr>
      <w:tr w:rsidR="008C76E0" w:rsidRPr="00F72577" w14:paraId="08C58DF0" w14:textId="77777777" w:rsidTr="008C76E0">
        <w:trPr>
          <w:jc w:val="center"/>
        </w:trPr>
        <w:tc>
          <w:tcPr>
            <w:tcW w:w="3263" w:type="dxa"/>
            <w:vMerge/>
            <w:tcBorders>
              <w:left w:val="single" w:sz="4" w:space="0" w:color="auto"/>
            </w:tcBorders>
            <w:shd w:val="clear" w:color="auto" w:fill="FFFFFF"/>
          </w:tcPr>
          <w:p w14:paraId="016D4DF5"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59545671"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vAlign w:val="bottom"/>
          </w:tcPr>
          <w:p w14:paraId="13850DDD"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 xml:space="preserve">վարիացիաների վիճակագրությունը (օրինակ՝ վստահելի միջակայքը </w:t>
            </w:r>
            <w:r w:rsidR="00C54D75">
              <w:rPr>
                <w:rStyle w:val="Bodytext1811pt"/>
                <w:rFonts w:ascii="Sylfaen" w:hAnsi="Sylfaen"/>
                <w:sz w:val="24"/>
                <w:szCs w:val="24"/>
              </w:rPr>
              <w:t>և</w:t>
            </w:r>
            <w:r w:rsidRPr="00F72577">
              <w:rPr>
                <w:rStyle w:val="Bodytext1811pt"/>
                <w:rFonts w:ascii="Sylfaen" w:hAnsi="Sylfaen"/>
                <w:sz w:val="24"/>
                <w:szCs w:val="24"/>
              </w:rPr>
              <w:t xml:space="preserve"> այլն)</w:t>
            </w:r>
          </w:p>
        </w:tc>
        <w:tc>
          <w:tcPr>
            <w:tcW w:w="2861" w:type="dxa"/>
            <w:gridSpan w:val="3"/>
            <w:tcBorders>
              <w:top w:val="single" w:sz="4" w:space="0" w:color="auto"/>
              <w:left w:val="single" w:sz="4" w:space="0" w:color="auto"/>
              <w:right w:val="single" w:sz="4" w:space="0" w:color="auto"/>
            </w:tcBorders>
            <w:shd w:val="clear" w:color="auto" w:fill="FFFFFF"/>
          </w:tcPr>
          <w:p w14:paraId="727189EF"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վարիատիվությունը</w:t>
            </w:r>
          </w:p>
        </w:tc>
      </w:tr>
      <w:tr w:rsidR="008C76E0" w:rsidRPr="00F72577" w14:paraId="51B39AF5" w14:textId="77777777" w:rsidTr="008C76E0">
        <w:trPr>
          <w:jc w:val="center"/>
        </w:trPr>
        <w:tc>
          <w:tcPr>
            <w:tcW w:w="3263" w:type="dxa"/>
            <w:vMerge/>
            <w:tcBorders>
              <w:left w:val="single" w:sz="4" w:space="0" w:color="auto"/>
            </w:tcBorders>
            <w:shd w:val="clear" w:color="auto" w:fill="FFFFFF"/>
          </w:tcPr>
          <w:p w14:paraId="1DE2EA42"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2541B70D"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vAlign w:val="bottom"/>
          </w:tcPr>
          <w:p w14:paraId="651835BA"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 xml:space="preserve">P արժեքը (նշե՛ք օգտագործված վիճակագրական մեթոդը, օրինակ՝ ANOVA) </w:t>
            </w:r>
          </w:p>
        </w:tc>
        <w:tc>
          <w:tcPr>
            <w:tcW w:w="2861" w:type="dxa"/>
            <w:gridSpan w:val="3"/>
            <w:tcBorders>
              <w:top w:val="single" w:sz="4" w:space="0" w:color="auto"/>
              <w:left w:val="single" w:sz="4" w:space="0" w:color="auto"/>
              <w:right w:val="single" w:sz="4" w:space="0" w:color="auto"/>
            </w:tcBorders>
            <w:shd w:val="clear" w:color="auto" w:fill="FFFFFF"/>
          </w:tcPr>
          <w:p w14:paraId="6CD20FC3"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P արժեքը</w:t>
            </w:r>
          </w:p>
        </w:tc>
      </w:tr>
      <w:tr w:rsidR="008C76E0" w:rsidRPr="00F72577" w14:paraId="15A1438B" w14:textId="77777777" w:rsidTr="008C76E0">
        <w:trPr>
          <w:jc w:val="center"/>
        </w:trPr>
        <w:tc>
          <w:tcPr>
            <w:tcW w:w="3263" w:type="dxa"/>
            <w:vMerge/>
            <w:tcBorders>
              <w:left w:val="single" w:sz="4" w:space="0" w:color="auto"/>
            </w:tcBorders>
            <w:shd w:val="clear" w:color="auto" w:fill="FFFFFF"/>
          </w:tcPr>
          <w:p w14:paraId="724C913A" w14:textId="77777777" w:rsidR="008C76E0" w:rsidRPr="00F72577" w:rsidRDefault="008C76E0" w:rsidP="008C76E0">
            <w:pPr>
              <w:spacing w:after="120" w:line="240" w:lineRule="auto"/>
              <w:rPr>
                <w:rFonts w:ascii="Sylfaen" w:hAnsi="Sylfaen"/>
                <w:sz w:val="24"/>
                <w:szCs w:val="24"/>
              </w:rPr>
            </w:pPr>
          </w:p>
        </w:tc>
        <w:tc>
          <w:tcPr>
            <w:tcW w:w="2503" w:type="dxa"/>
            <w:gridSpan w:val="3"/>
            <w:vMerge w:val="restart"/>
            <w:tcBorders>
              <w:top w:val="single" w:sz="4" w:space="0" w:color="auto"/>
              <w:left w:val="single" w:sz="4" w:space="0" w:color="auto"/>
            </w:tcBorders>
            <w:shd w:val="clear" w:color="auto" w:fill="FFFFFF"/>
          </w:tcPr>
          <w:p w14:paraId="7E6C514E"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համակցված</w:t>
            </w:r>
            <w:r w:rsidRPr="008C76E0">
              <w:rPr>
                <w:rFonts w:ascii="Sylfaen" w:hAnsi="Sylfaen"/>
                <w:b w:val="0"/>
                <w:sz w:val="24"/>
                <w:szCs w:val="24"/>
                <w:lang w:val="hy-AM"/>
              </w:rPr>
              <w:t xml:space="preserve"> </w:t>
            </w:r>
            <w:r w:rsidRPr="00F72577">
              <w:rPr>
                <w:rStyle w:val="Bodytext1811pt"/>
                <w:rFonts w:ascii="Sylfaen" w:hAnsi="Sylfaen"/>
                <w:sz w:val="24"/>
                <w:szCs w:val="24"/>
              </w:rPr>
              <w:t>առաջնային</w:t>
            </w:r>
            <w:r w:rsidRPr="008C76E0">
              <w:rPr>
                <w:rFonts w:ascii="Sylfaen" w:hAnsi="Sylfaen"/>
                <w:b w:val="0"/>
                <w:sz w:val="24"/>
                <w:szCs w:val="24"/>
                <w:lang w:val="hy-AM"/>
              </w:rPr>
              <w:t xml:space="preserve"> </w:t>
            </w:r>
            <w:r w:rsidRPr="00F72577">
              <w:rPr>
                <w:rStyle w:val="Bodytext1811pt"/>
                <w:rFonts w:ascii="Sylfaen" w:hAnsi="Sylfaen"/>
                <w:sz w:val="24"/>
                <w:szCs w:val="24"/>
              </w:rPr>
              <w:t>երկրորդային</w:t>
            </w:r>
            <w:r w:rsidRPr="008C76E0">
              <w:rPr>
                <w:rFonts w:ascii="Sylfaen" w:hAnsi="Sylfaen"/>
                <w:b w:val="0"/>
                <w:sz w:val="24"/>
                <w:szCs w:val="24"/>
                <w:lang w:val="hy-AM"/>
              </w:rPr>
              <w:t xml:space="preserve"> </w:t>
            </w:r>
            <w:r w:rsidRPr="00F72577">
              <w:rPr>
                <w:rStyle w:val="Bodytext1811pt"/>
                <w:rFonts w:ascii="Sylfaen" w:hAnsi="Sylfaen"/>
                <w:sz w:val="24"/>
                <w:szCs w:val="24"/>
              </w:rPr>
              <w:t>այլ՝</w:t>
            </w:r>
            <w:r w:rsidRPr="008C76E0">
              <w:rPr>
                <w:rFonts w:ascii="Sylfaen" w:hAnsi="Sylfaen"/>
                <w:b w:val="0"/>
                <w:sz w:val="24"/>
                <w:szCs w:val="24"/>
                <w:lang w:val="hy-AM"/>
              </w:rPr>
              <w:t xml:space="preserve"> </w:t>
            </w:r>
            <w:r w:rsidRPr="00F72577">
              <w:rPr>
                <w:rStyle w:val="Bodytext1811pt"/>
                <w:rFonts w:ascii="Sylfaen" w:hAnsi="Sylfaen"/>
                <w:sz w:val="24"/>
                <w:szCs w:val="24"/>
              </w:rPr>
              <w:t>նշեք կլինի</w:t>
            </w:r>
            <w:r w:rsidRPr="008C76E0">
              <w:rPr>
                <w:rFonts w:ascii="Sylfaen" w:hAnsi="Sylfaen"/>
                <w:b w:val="0"/>
                <w:sz w:val="24"/>
                <w:szCs w:val="24"/>
                <w:lang w:val="hy-AM"/>
              </w:rPr>
              <w:t>կ</w:t>
            </w:r>
            <w:r w:rsidRPr="00F72577">
              <w:rPr>
                <w:rStyle w:val="Bodytext1811pt"/>
                <w:rFonts w:ascii="Sylfaen" w:hAnsi="Sylfaen"/>
                <w:sz w:val="24"/>
                <w:szCs w:val="24"/>
              </w:rPr>
              <w:t>ական</w:t>
            </w:r>
            <w:r w:rsidRPr="008C76E0">
              <w:rPr>
                <w:rFonts w:ascii="Sylfaen" w:hAnsi="Sylfaen"/>
                <w:b w:val="0"/>
                <w:sz w:val="24"/>
                <w:szCs w:val="24"/>
                <w:lang w:val="hy-AM"/>
              </w:rPr>
              <w:t xml:space="preserve"> </w:t>
            </w:r>
            <w:r w:rsidRPr="00F72577">
              <w:rPr>
                <w:rStyle w:val="Bodytext1811pt"/>
                <w:rFonts w:ascii="Sylfaen" w:hAnsi="Sylfaen"/>
                <w:sz w:val="24"/>
                <w:szCs w:val="24"/>
              </w:rPr>
              <w:t xml:space="preserve">հետազոտության </w:t>
            </w:r>
            <w:r w:rsidRPr="008C76E0">
              <w:rPr>
                <w:rFonts w:ascii="Sylfaen" w:hAnsi="Sylfaen"/>
                <w:b w:val="0"/>
                <w:sz w:val="24"/>
                <w:szCs w:val="24"/>
                <w:lang w:val="hy-AM"/>
              </w:rPr>
              <w:t>կետը</w:t>
            </w:r>
          </w:p>
        </w:tc>
        <w:tc>
          <w:tcPr>
            <w:tcW w:w="2718" w:type="dxa"/>
            <w:gridSpan w:val="4"/>
            <w:tcBorders>
              <w:top w:val="single" w:sz="4" w:space="0" w:color="auto"/>
              <w:left w:val="single" w:sz="4" w:space="0" w:color="auto"/>
            </w:tcBorders>
            <w:shd w:val="clear" w:color="auto" w:fill="FFFFFF"/>
            <w:vAlign w:val="center"/>
          </w:tcPr>
          <w:p w14:paraId="1C782BA1"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համեմատության խմբերը</w:t>
            </w:r>
          </w:p>
        </w:tc>
        <w:tc>
          <w:tcPr>
            <w:tcW w:w="2861" w:type="dxa"/>
            <w:gridSpan w:val="3"/>
            <w:tcBorders>
              <w:top w:val="single" w:sz="4" w:space="0" w:color="auto"/>
              <w:left w:val="single" w:sz="4" w:space="0" w:color="auto"/>
              <w:right w:val="single" w:sz="4" w:space="0" w:color="auto"/>
            </w:tcBorders>
            <w:shd w:val="clear" w:color="auto" w:fill="FFFFFF"/>
            <w:vAlign w:val="bottom"/>
          </w:tcPr>
          <w:p w14:paraId="492E7091"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խմբի ծածկագրված նշագիրը</w:t>
            </w:r>
          </w:p>
        </w:tc>
      </w:tr>
      <w:tr w:rsidR="008C76E0" w:rsidRPr="00F72577" w14:paraId="3A82CD4C" w14:textId="77777777" w:rsidTr="008C76E0">
        <w:trPr>
          <w:jc w:val="center"/>
        </w:trPr>
        <w:tc>
          <w:tcPr>
            <w:tcW w:w="3263" w:type="dxa"/>
            <w:vMerge/>
            <w:tcBorders>
              <w:left w:val="single" w:sz="4" w:space="0" w:color="auto"/>
            </w:tcBorders>
            <w:shd w:val="clear" w:color="auto" w:fill="FFFFFF"/>
          </w:tcPr>
          <w:p w14:paraId="66A8EF4E"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79F16BEF"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vAlign w:val="bottom"/>
          </w:tcPr>
          <w:p w14:paraId="3DC69F8B"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նշանակալիության չափանիշը</w:t>
            </w:r>
          </w:p>
        </w:tc>
        <w:tc>
          <w:tcPr>
            <w:tcW w:w="2861" w:type="dxa"/>
            <w:gridSpan w:val="3"/>
            <w:tcBorders>
              <w:top w:val="single" w:sz="4" w:space="0" w:color="auto"/>
              <w:left w:val="single" w:sz="4" w:space="0" w:color="auto"/>
              <w:right w:val="single" w:sz="4" w:space="0" w:color="auto"/>
            </w:tcBorders>
            <w:shd w:val="clear" w:color="auto" w:fill="FFFFFF"/>
            <w:vAlign w:val="bottom"/>
          </w:tcPr>
          <w:p w14:paraId="07E36ABF"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կետային գնահատումը</w:t>
            </w:r>
          </w:p>
        </w:tc>
      </w:tr>
      <w:tr w:rsidR="008C76E0" w:rsidRPr="00F72577" w14:paraId="57ADCBEC" w14:textId="77777777" w:rsidTr="008C76E0">
        <w:trPr>
          <w:jc w:val="center"/>
        </w:trPr>
        <w:tc>
          <w:tcPr>
            <w:tcW w:w="3263" w:type="dxa"/>
            <w:vMerge/>
            <w:tcBorders>
              <w:left w:val="single" w:sz="4" w:space="0" w:color="auto"/>
            </w:tcBorders>
            <w:shd w:val="clear" w:color="auto" w:fill="FFFFFF"/>
          </w:tcPr>
          <w:p w14:paraId="470AA105"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7DD0106F"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tcPr>
          <w:p w14:paraId="32136770"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վարիացիաների վիճակագրություն</w:t>
            </w:r>
          </w:p>
        </w:tc>
        <w:tc>
          <w:tcPr>
            <w:tcW w:w="2861" w:type="dxa"/>
            <w:gridSpan w:val="3"/>
            <w:tcBorders>
              <w:top w:val="single" w:sz="4" w:space="0" w:color="auto"/>
              <w:left w:val="single" w:sz="4" w:space="0" w:color="auto"/>
              <w:right w:val="single" w:sz="4" w:space="0" w:color="auto"/>
            </w:tcBorders>
            <w:shd w:val="clear" w:color="auto" w:fill="FFFFFF"/>
          </w:tcPr>
          <w:p w14:paraId="2D7409EE"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վարիատիվություն</w:t>
            </w:r>
          </w:p>
        </w:tc>
      </w:tr>
      <w:tr w:rsidR="008C76E0" w:rsidRPr="00F72577" w14:paraId="6E650303" w14:textId="77777777" w:rsidTr="008C76E0">
        <w:trPr>
          <w:jc w:val="center"/>
        </w:trPr>
        <w:tc>
          <w:tcPr>
            <w:tcW w:w="3263" w:type="dxa"/>
            <w:vMerge w:val="restart"/>
            <w:tcBorders>
              <w:top w:val="single" w:sz="4" w:space="0" w:color="auto"/>
              <w:left w:val="single" w:sz="4" w:space="0" w:color="auto"/>
            </w:tcBorders>
            <w:shd w:val="clear" w:color="auto" w:fill="FFFFFF"/>
          </w:tcPr>
          <w:p w14:paraId="4174FC1E" w14:textId="77777777" w:rsidR="008C76E0" w:rsidRPr="00F72577" w:rsidRDefault="008C76E0" w:rsidP="008C76E0">
            <w:pPr>
              <w:spacing w:after="120" w:line="240" w:lineRule="auto"/>
              <w:rPr>
                <w:rFonts w:ascii="Sylfaen" w:hAnsi="Sylfaen"/>
                <w:sz w:val="24"/>
                <w:szCs w:val="24"/>
              </w:rPr>
            </w:pPr>
          </w:p>
        </w:tc>
        <w:tc>
          <w:tcPr>
            <w:tcW w:w="2503" w:type="dxa"/>
            <w:gridSpan w:val="3"/>
            <w:tcBorders>
              <w:top w:val="single" w:sz="4" w:space="0" w:color="auto"/>
              <w:left w:val="single" w:sz="4" w:space="0" w:color="auto"/>
            </w:tcBorders>
            <w:shd w:val="clear" w:color="auto" w:fill="FFFFFF"/>
          </w:tcPr>
          <w:p w14:paraId="3FF8ED81"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նշե՛ք կլինիկական հետազոտության կետը՝ օգտվելով վեր</w:t>
            </w:r>
            <w:r w:rsidR="00C54D75">
              <w:rPr>
                <w:rStyle w:val="Bodytext1811pt"/>
                <w:rFonts w:ascii="Sylfaen" w:hAnsi="Sylfaen"/>
                <w:sz w:val="24"/>
                <w:szCs w:val="24"/>
              </w:rPr>
              <w:t>և</w:t>
            </w:r>
            <w:r w:rsidRPr="00F72577">
              <w:rPr>
                <w:rStyle w:val="Bodytext1811pt"/>
                <w:rFonts w:ascii="Sylfaen" w:hAnsi="Sylfaen"/>
                <w:sz w:val="24"/>
                <w:szCs w:val="24"/>
              </w:rPr>
              <w:t xml:space="preserve">ում՝ «Կլինիկական հետազոտության </w:t>
            </w:r>
            <w:r w:rsidR="00C54D75">
              <w:rPr>
                <w:rStyle w:val="Bodytext1811pt"/>
                <w:rFonts w:ascii="Sylfaen" w:hAnsi="Sylfaen"/>
                <w:sz w:val="24"/>
                <w:szCs w:val="24"/>
              </w:rPr>
              <w:t>և</w:t>
            </w:r>
            <w:r w:rsidRPr="00F72577">
              <w:rPr>
                <w:rStyle w:val="Bodytext1811pt"/>
                <w:rFonts w:ascii="Sylfaen" w:hAnsi="Sylfaen"/>
                <w:sz w:val="24"/>
                <w:szCs w:val="24"/>
              </w:rPr>
              <w:t xml:space="preserve"> սահմանման կետերը» բաժնում նշված տերմինաբանութ-յունից</w:t>
            </w:r>
          </w:p>
        </w:tc>
        <w:tc>
          <w:tcPr>
            <w:tcW w:w="2718" w:type="dxa"/>
            <w:gridSpan w:val="4"/>
            <w:tcBorders>
              <w:top w:val="single" w:sz="4" w:space="0" w:color="auto"/>
              <w:left w:val="single" w:sz="4" w:space="0" w:color="auto"/>
            </w:tcBorders>
            <w:shd w:val="clear" w:color="auto" w:fill="FFFFFF"/>
          </w:tcPr>
          <w:p w14:paraId="4BBC4933"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P արժեքը</w:t>
            </w:r>
          </w:p>
        </w:tc>
        <w:tc>
          <w:tcPr>
            <w:tcW w:w="2861" w:type="dxa"/>
            <w:gridSpan w:val="3"/>
            <w:tcBorders>
              <w:top w:val="single" w:sz="4" w:space="0" w:color="auto"/>
              <w:left w:val="single" w:sz="4" w:space="0" w:color="auto"/>
              <w:right w:val="single" w:sz="4" w:space="0" w:color="auto"/>
            </w:tcBorders>
            <w:shd w:val="clear" w:color="auto" w:fill="FFFFFF"/>
          </w:tcPr>
          <w:p w14:paraId="1151137B"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P արժեքը</w:t>
            </w:r>
          </w:p>
        </w:tc>
      </w:tr>
      <w:tr w:rsidR="008C76E0" w:rsidRPr="00F72577" w14:paraId="35C1DD60" w14:textId="77777777" w:rsidTr="008C76E0">
        <w:trPr>
          <w:jc w:val="center"/>
        </w:trPr>
        <w:tc>
          <w:tcPr>
            <w:tcW w:w="3263" w:type="dxa"/>
            <w:vMerge/>
            <w:tcBorders>
              <w:left w:val="single" w:sz="4" w:space="0" w:color="auto"/>
            </w:tcBorders>
            <w:shd w:val="clear" w:color="auto" w:fill="FFFFFF"/>
          </w:tcPr>
          <w:p w14:paraId="3431862C" w14:textId="77777777" w:rsidR="008C76E0" w:rsidRPr="00F72577" w:rsidRDefault="008C76E0" w:rsidP="008C76E0">
            <w:pPr>
              <w:spacing w:after="120" w:line="240" w:lineRule="auto"/>
              <w:rPr>
                <w:rFonts w:ascii="Sylfaen" w:hAnsi="Sylfaen"/>
                <w:sz w:val="24"/>
                <w:szCs w:val="24"/>
              </w:rPr>
            </w:pPr>
          </w:p>
        </w:tc>
        <w:tc>
          <w:tcPr>
            <w:tcW w:w="2503" w:type="dxa"/>
            <w:gridSpan w:val="3"/>
            <w:vMerge w:val="restart"/>
            <w:tcBorders>
              <w:top w:val="single" w:sz="4" w:space="0" w:color="auto"/>
              <w:left w:val="single" w:sz="4" w:space="0" w:color="auto"/>
            </w:tcBorders>
            <w:shd w:val="clear" w:color="auto" w:fill="FFFFFF"/>
          </w:tcPr>
          <w:p w14:paraId="6AF51807"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համակցված</w:t>
            </w:r>
            <w:r w:rsidRPr="008C76E0">
              <w:rPr>
                <w:rFonts w:ascii="Sylfaen" w:hAnsi="Sylfaen"/>
                <w:b w:val="0"/>
                <w:sz w:val="24"/>
                <w:szCs w:val="24"/>
                <w:lang w:val="hy-AM"/>
              </w:rPr>
              <w:t xml:space="preserve"> </w:t>
            </w:r>
            <w:r w:rsidRPr="00F72577">
              <w:rPr>
                <w:rStyle w:val="Bodytext1811pt"/>
                <w:rFonts w:ascii="Sylfaen" w:hAnsi="Sylfaen"/>
                <w:sz w:val="24"/>
                <w:szCs w:val="24"/>
              </w:rPr>
              <w:t>առաջնային</w:t>
            </w:r>
            <w:r w:rsidRPr="008C76E0">
              <w:rPr>
                <w:rFonts w:ascii="Sylfaen" w:hAnsi="Sylfaen"/>
                <w:b w:val="0"/>
                <w:sz w:val="24"/>
                <w:szCs w:val="24"/>
                <w:lang w:val="hy-AM"/>
              </w:rPr>
              <w:t xml:space="preserve"> </w:t>
            </w:r>
            <w:r w:rsidRPr="00F72577">
              <w:rPr>
                <w:rStyle w:val="Bodytext1811pt"/>
                <w:rFonts w:ascii="Sylfaen" w:hAnsi="Sylfaen"/>
                <w:sz w:val="24"/>
                <w:szCs w:val="24"/>
              </w:rPr>
              <w:t>երկրորդային</w:t>
            </w:r>
            <w:r w:rsidRPr="008C76E0">
              <w:rPr>
                <w:rFonts w:ascii="Sylfaen" w:hAnsi="Sylfaen"/>
                <w:b w:val="0"/>
                <w:sz w:val="24"/>
                <w:szCs w:val="24"/>
                <w:lang w:val="hy-AM"/>
              </w:rPr>
              <w:t xml:space="preserve"> </w:t>
            </w:r>
            <w:r w:rsidRPr="00F72577">
              <w:rPr>
                <w:rStyle w:val="Bodytext1811pt"/>
                <w:rFonts w:ascii="Sylfaen" w:hAnsi="Sylfaen"/>
                <w:sz w:val="24"/>
                <w:szCs w:val="24"/>
              </w:rPr>
              <w:t>այլ՝</w:t>
            </w:r>
            <w:r w:rsidRPr="008C76E0">
              <w:rPr>
                <w:rFonts w:ascii="Sylfaen" w:hAnsi="Sylfaen"/>
                <w:b w:val="0"/>
                <w:sz w:val="24"/>
                <w:szCs w:val="24"/>
                <w:lang w:val="hy-AM"/>
              </w:rPr>
              <w:t xml:space="preserve"> </w:t>
            </w:r>
            <w:r w:rsidRPr="00F72577">
              <w:rPr>
                <w:rStyle w:val="Bodytext1811pt"/>
                <w:rFonts w:ascii="Sylfaen" w:hAnsi="Sylfaen"/>
                <w:sz w:val="24"/>
                <w:szCs w:val="24"/>
              </w:rPr>
              <w:t>նշեք</w:t>
            </w:r>
          </w:p>
        </w:tc>
        <w:tc>
          <w:tcPr>
            <w:tcW w:w="2718" w:type="dxa"/>
            <w:gridSpan w:val="4"/>
            <w:tcBorders>
              <w:top w:val="single" w:sz="4" w:space="0" w:color="auto"/>
              <w:left w:val="single" w:sz="4" w:space="0" w:color="auto"/>
            </w:tcBorders>
            <w:shd w:val="clear" w:color="auto" w:fill="FFFFFF"/>
            <w:vAlign w:val="center"/>
          </w:tcPr>
          <w:p w14:paraId="57A7C0C6"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համեմատության խմբերը</w:t>
            </w:r>
          </w:p>
        </w:tc>
        <w:tc>
          <w:tcPr>
            <w:tcW w:w="2861" w:type="dxa"/>
            <w:gridSpan w:val="3"/>
            <w:tcBorders>
              <w:top w:val="single" w:sz="4" w:space="0" w:color="auto"/>
              <w:left w:val="single" w:sz="4" w:space="0" w:color="auto"/>
              <w:right w:val="single" w:sz="4" w:space="0" w:color="auto"/>
            </w:tcBorders>
            <w:shd w:val="clear" w:color="auto" w:fill="FFFFFF"/>
            <w:vAlign w:val="bottom"/>
          </w:tcPr>
          <w:p w14:paraId="599B4C10"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խմբի ծածկագրված նշագիրը</w:t>
            </w:r>
          </w:p>
        </w:tc>
      </w:tr>
      <w:tr w:rsidR="008C76E0" w:rsidRPr="00F72577" w14:paraId="32D4F576" w14:textId="77777777" w:rsidTr="008C76E0">
        <w:trPr>
          <w:jc w:val="center"/>
        </w:trPr>
        <w:tc>
          <w:tcPr>
            <w:tcW w:w="3263" w:type="dxa"/>
            <w:vMerge/>
            <w:tcBorders>
              <w:left w:val="single" w:sz="4" w:space="0" w:color="auto"/>
            </w:tcBorders>
            <w:shd w:val="clear" w:color="auto" w:fill="FFFFFF"/>
          </w:tcPr>
          <w:p w14:paraId="6956845D"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3720D17B"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vAlign w:val="bottom"/>
          </w:tcPr>
          <w:p w14:paraId="01113288"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նշանակելիության չափանիշը</w:t>
            </w:r>
          </w:p>
        </w:tc>
        <w:tc>
          <w:tcPr>
            <w:tcW w:w="2861" w:type="dxa"/>
            <w:gridSpan w:val="3"/>
            <w:tcBorders>
              <w:top w:val="single" w:sz="4" w:space="0" w:color="auto"/>
              <w:left w:val="single" w:sz="4" w:space="0" w:color="auto"/>
              <w:right w:val="single" w:sz="4" w:space="0" w:color="auto"/>
            </w:tcBorders>
            <w:shd w:val="clear" w:color="auto" w:fill="FFFFFF"/>
            <w:vAlign w:val="bottom"/>
          </w:tcPr>
          <w:p w14:paraId="0BCC2C87"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նշանակելիության չափանիշը</w:t>
            </w:r>
          </w:p>
        </w:tc>
      </w:tr>
      <w:tr w:rsidR="008C76E0" w:rsidRPr="00F72577" w14:paraId="37DA99AE" w14:textId="77777777" w:rsidTr="008C76E0">
        <w:trPr>
          <w:jc w:val="center"/>
        </w:trPr>
        <w:tc>
          <w:tcPr>
            <w:tcW w:w="3263" w:type="dxa"/>
            <w:vMerge/>
            <w:tcBorders>
              <w:left w:val="single" w:sz="4" w:space="0" w:color="auto"/>
            </w:tcBorders>
            <w:shd w:val="clear" w:color="auto" w:fill="FFFFFF"/>
          </w:tcPr>
          <w:p w14:paraId="2ED97A9C"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6841807C"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tcPr>
          <w:p w14:paraId="33EAF405"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վարիացիաների վիճակագրությունը</w:t>
            </w:r>
          </w:p>
        </w:tc>
        <w:tc>
          <w:tcPr>
            <w:tcW w:w="2861" w:type="dxa"/>
            <w:gridSpan w:val="3"/>
            <w:tcBorders>
              <w:top w:val="single" w:sz="4" w:space="0" w:color="auto"/>
              <w:left w:val="single" w:sz="4" w:space="0" w:color="auto"/>
              <w:right w:val="single" w:sz="4" w:space="0" w:color="auto"/>
            </w:tcBorders>
            <w:shd w:val="clear" w:color="auto" w:fill="FFFFFF"/>
          </w:tcPr>
          <w:p w14:paraId="57A0333D"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վարիացիաների վիճակագրությունը</w:t>
            </w:r>
          </w:p>
        </w:tc>
      </w:tr>
      <w:tr w:rsidR="008C76E0" w:rsidRPr="00F72577" w14:paraId="00953830" w14:textId="77777777" w:rsidTr="008C76E0">
        <w:trPr>
          <w:jc w:val="center"/>
        </w:trPr>
        <w:tc>
          <w:tcPr>
            <w:tcW w:w="3263" w:type="dxa"/>
            <w:vMerge/>
            <w:tcBorders>
              <w:left w:val="single" w:sz="4" w:space="0" w:color="auto"/>
            </w:tcBorders>
            <w:shd w:val="clear" w:color="auto" w:fill="FFFFFF"/>
          </w:tcPr>
          <w:p w14:paraId="58467EFA" w14:textId="77777777" w:rsidR="008C76E0" w:rsidRPr="00F72577" w:rsidRDefault="008C76E0" w:rsidP="008C76E0">
            <w:pPr>
              <w:spacing w:after="120" w:line="240" w:lineRule="auto"/>
              <w:rPr>
                <w:rFonts w:ascii="Sylfaen" w:hAnsi="Sylfaen"/>
                <w:sz w:val="24"/>
                <w:szCs w:val="24"/>
              </w:rPr>
            </w:pPr>
          </w:p>
        </w:tc>
        <w:tc>
          <w:tcPr>
            <w:tcW w:w="2503" w:type="dxa"/>
            <w:gridSpan w:val="3"/>
            <w:vMerge/>
            <w:tcBorders>
              <w:left w:val="single" w:sz="4" w:space="0" w:color="auto"/>
            </w:tcBorders>
            <w:shd w:val="clear" w:color="auto" w:fill="FFFFFF"/>
          </w:tcPr>
          <w:p w14:paraId="238223B3" w14:textId="77777777" w:rsidR="008C76E0" w:rsidRPr="00F72577" w:rsidRDefault="008C76E0" w:rsidP="008C76E0">
            <w:pPr>
              <w:spacing w:after="120" w:line="240" w:lineRule="auto"/>
              <w:rPr>
                <w:rFonts w:ascii="Sylfaen" w:hAnsi="Sylfaen"/>
                <w:sz w:val="24"/>
                <w:szCs w:val="24"/>
              </w:rPr>
            </w:pPr>
          </w:p>
        </w:tc>
        <w:tc>
          <w:tcPr>
            <w:tcW w:w="2718" w:type="dxa"/>
            <w:gridSpan w:val="4"/>
            <w:tcBorders>
              <w:top w:val="single" w:sz="4" w:space="0" w:color="auto"/>
              <w:left w:val="single" w:sz="4" w:space="0" w:color="auto"/>
            </w:tcBorders>
            <w:shd w:val="clear" w:color="auto" w:fill="FFFFFF"/>
          </w:tcPr>
          <w:p w14:paraId="52A04C90"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P արժեքը</w:t>
            </w:r>
          </w:p>
        </w:tc>
        <w:tc>
          <w:tcPr>
            <w:tcW w:w="2861" w:type="dxa"/>
            <w:gridSpan w:val="3"/>
            <w:tcBorders>
              <w:top w:val="single" w:sz="4" w:space="0" w:color="auto"/>
              <w:left w:val="single" w:sz="4" w:space="0" w:color="auto"/>
              <w:right w:val="single" w:sz="4" w:space="0" w:color="auto"/>
            </w:tcBorders>
            <w:shd w:val="clear" w:color="auto" w:fill="FFFFFF"/>
          </w:tcPr>
          <w:p w14:paraId="6AA6158A" w14:textId="77777777" w:rsidR="008C76E0" w:rsidRPr="00C73AC5"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P արժեքը</w:t>
            </w:r>
          </w:p>
        </w:tc>
      </w:tr>
      <w:tr w:rsidR="008C76E0" w:rsidRPr="00F72577" w14:paraId="547C64F9" w14:textId="77777777" w:rsidTr="008C76E0">
        <w:trPr>
          <w:jc w:val="center"/>
        </w:trPr>
        <w:tc>
          <w:tcPr>
            <w:tcW w:w="3263" w:type="dxa"/>
            <w:tcBorders>
              <w:top w:val="single" w:sz="4" w:space="0" w:color="auto"/>
            </w:tcBorders>
            <w:shd w:val="clear" w:color="auto" w:fill="FFFFFF"/>
          </w:tcPr>
          <w:p w14:paraId="77992FDF" w14:textId="77777777" w:rsidR="008C76E0" w:rsidRPr="00F72577" w:rsidRDefault="008C76E0" w:rsidP="008C76E0">
            <w:pPr>
              <w:spacing w:after="120" w:line="240" w:lineRule="auto"/>
              <w:rPr>
                <w:rFonts w:ascii="Sylfaen" w:hAnsi="Sylfaen"/>
                <w:sz w:val="24"/>
                <w:szCs w:val="24"/>
              </w:rPr>
            </w:pPr>
          </w:p>
        </w:tc>
        <w:tc>
          <w:tcPr>
            <w:tcW w:w="8082" w:type="dxa"/>
            <w:gridSpan w:val="10"/>
            <w:tcBorders>
              <w:top w:val="single" w:sz="4" w:space="0" w:color="auto"/>
              <w:left w:val="single" w:sz="4" w:space="0" w:color="auto"/>
              <w:right w:val="single" w:sz="4" w:space="0" w:color="auto"/>
            </w:tcBorders>
            <w:shd w:val="clear" w:color="auto" w:fill="FFFFFF"/>
            <w:vAlign w:val="center"/>
          </w:tcPr>
          <w:p w14:paraId="4ACE852F" w14:textId="77777777" w:rsidR="008C76E0" w:rsidRDefault="008C76E0" w:rsidP="008C76E0">
            <w:pPr>
              <w:pStyle w:val="Bodytext180"/>
              <w:shd w:val="clear" w:color="auto" w:fill="auto"/>
              <w:spacing w:before="0" w:after="120" w:line="240" w:lineRule="auto"/>
              <w:ind w:left="140" w:firstLine="0"/>
              <w:rPr>
                <w:rStyle w:val="Bodytext1811pt"/>
                <w:rFonts w:ascii="Sylfaen" w:hAnsi="Sylfaen"/>
                <w:sz w:val="24"/>
                <w:szCs w:val="24"/>
                <w:lang w:val="en-US"/>
              </w:rPr>
            </w:pPr>
            <w:r w:rsidRPr="00F72577">
              <w:rPr>
                <w:rStyle w:val="Bodytext1811pt"/>
                <w:rFonts w:ascii="Sylfaen" w:hAnsi="Sylfaen"/>
                <w:sz w:val="24"/>
                <w:szCs w:val="24"/>
              </w:rPr>
              <w:t>կլինիկական հետազոտության կետը</w:t>
            </w:r>
          </w:p>
          <w:p w14:paraId="6FD83529" w14:textId="77777777" w:rsidR="008C76E0" w:rsidRPr="0020662E" w:rsidRDefault="008C76E0" w:rsidP="008C76E0">
            <w:pPr>
              <w:pStyle w:val="Bodytext180"/>
              <w:shd w:val="clear" w:color="auto" w:fill="auto"/>
              <w:spacing w:before="0" w:after="120" w:line="240" w:lineRule="auto"/>
              <w:ind w:left="140" w:firstLine="0"/>
              <w:rPr>
                <w:rFonts w:ascii="Sylfaen" w:hAnsi="Sylfaen"/>
                <w:b w:val="0"/>
                <w:sz w:val="24"/>
                <w:szCs w:val="24"/>
              </w:rPr>
            </w:pPr>
          </w:p>
        </w:tc>
      </w:tr>
      <w:tr w:rsidR="008C76E0" w:rsidRPr="00F72577" w14:paraId="6B2B1992" w14:textId="77777777" w:rsidTr="008C76E0">
        <w:trPr>
          <w:jc w:val="center"/>
        </w:trPr>
        <w:tc>
          <w:tcPr>
            <w:tcW w:w="3263" w:type="dxa"/>
            <w:tcBorders>
              <w:top w:val="single" w:sz="4" w:space="0" w:color="auto"/>
            </w:tcBorders>
            <w:shd w:val="clear" w:color="auto" w:fill="FFFFFF"/>
          </w:tcPr>
          <w:p w14:paraId="433A80B2"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lastRenderedPageBreak/>
              <w:t>Ծանոթագրություններ</w:t>
            </w:r>
          </w:p>
        </w:tc>
        <w:tc>
          <w:tcPr>
            <w:tcW w:w="8082" w:type="dxa"/>
            <w:gridSpan w:val="10"/>
            <w:tcBorders>
              <w:top w:val="single" w:sz="4" w:space="0" w:color="auto"/>
              <w:left w:val="single" w:sz="4" w:space="0" w:color="auto"/>
              <w:right w:val="single" w:sz="4" w:space="0" w:color="auto"/>
            </w:tcBorders>
            <w:shd w:val="clear" w:color="auto" w:fill="FFFFFF"/>
            <w:vAlign w:val="bottom"/>
          </w:tcPr>
          <w:p w14:paraId="3667F725"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կամայական տեքստը</w:t>
            </w:r>
          </w:p>
          <w:p w14:paraId="4D810F0C"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(ի թիվս այլոց դիտարկե՛ք հետ</w:t>
            </w:r>
            <w:r w:rsidR="00C54D75">
              <w:rPr>
                <w:rStyle w:val="Bodytext1811pt"/>
                <w:rFonts w:ascii="Sylfaen" w:hAnsi="Sylfaen"/>
                <w:sz w:val="24"/>
                <w:szCs w:val="24"/>
              </w:rPr>
              <w:t>և</w:t>
            </w:r>
            <w:r w:rsidRPr="00F72577">
              <w:rPr>
                <w:rStyle w:val="Bodytext1811pt"/>
                <w:rFonts w:ascii="Sylfaen" w:hAnsi="Sylfaen"/>
                <w:sz w:val="24"/>
                <w:szCs w:val="24"/>
              </w:rPr>
              <w:t>յալ տեղեկատվությունը՝ հետազոտությունից դուրս գալու պատճառները վերլուծության խիստ կար</w:t>
            </w:r>
            <w:r w:rsidR="00C54D75">
              <w:rPr>
                <w:rStyle w:val="Bodytext1811pt"/>
                <w:rFonts w:ascii="Sylfaen" w:hAnsi="Sylfaen"/>
                <w:sz w:val="24"/>
                <w:szCs w:val="24"/>
              </w:rPr>
              <w:t>և</w:t>
            </w:r>
            <w:r w:rsidRPr="00F72577">
              <w:rPr>
                <w:rStyle w:val="Bodytext1811pt"/>
                <w:rFonts w:ascii="Sylfaen" w:hAnsi="Sylfaen"/>
                <w:sz w:val="24"/>
                <w:szCs w:val="24"/>
              </w:rPr>
              <w:t>որ արդյունքները)</w:t>
            </w:r>
          </w:p>
        </w:tc>
      </w:tr>
      <w:tr w:rsidR="008C76E0" w:rsidRPr="00F72577" w14:paraId="533E028E" w14:textId="77777777" w:rsidTr="008C76E0">
        <w:trPr>
          <w:jc w:val="center"/>
        </w:trPr>
        <w:tc>
          <w:tcPr>
            <w:tcW w:w="3263" w:type="dxa"/>
            <w:tcBorders>
              <w:top w:val="single" w:sz="4" w:space="0" w:color="auto"/>
            </w:tcBorders>
            <w:shd w:val="clear" w:color="auto" w:fill="FFFFFF"/>
          </w:tcPr>
          <w:p w14:paraId="6F80EA8D" w14:textId="77777777" w:rsidR="008C76E0" w:rsidRPr="00F72577" w:rsidRDefault="008C76E0" w:rsidP="008C76E0">
            <w:pPr>
              <w:pStyle w:val="Bodytext180"/>
              <w:shd w:val="clear" w:color="auto" w:fill="auto"/>
              <w:spacing w:before="0" w:after="120" w:line="240" w:lineRule="auto"/>
              <w:ind w:left="99" w:firstLine="0"/>
              <w:rPr>
                <w:rFonts w:ascii="Sylfaen" w:hAnsi="Sylfaen"/>
                <w:b w:val="0"/>
                <w:sz w:val="24"/>
                <w:szCs w:val="24"/>
              </w:rPr>
            </w:pPr>
            <w:r w:rsidRPr="00F72577">
              <w:rPr>
                <w:rStyle w:val="Bodytext1811pt"/>
                <w:rFonts w:ascii="Sylfaen" w:hAnsi="Sylfaen"/>
                <w:sz w:val="24"/>
                <w:szCs w:val="24"/>
              </w:rPr>
              <w:t>Վերլուծության նկարագրությունը</w:t>
            </w:r>
          </w:p>
        </w:tc>
        <w:tc>
          <w:tcPr>
            <w:tcW w:w="8082" w:type="dxa"/>
            <w:gridSpan w:val="10"/>
            <w:tcBorders>
              <w:top w:val="single" w:sz="4" w:space="0" w:color="auto"/>
              <w:left w:val="single" w:sz="4" w:space="0" w:color="auto"/>
              <w:right w:val="single" w:sz="4" w:space="0" w:color="auto"/>
            </w:tcBorders>
            <w:shd w:val="clear" w:color="auto" w:fill="FFFFFF"/>
          </w:tcPr>
          <w:p w14:paraId="3FB30E72" w14:textId="77777777" w:rsidR="008C76E0" w:rsidRPr="00F72577" w:rsidRDefault="008C76E0" w:rsidP="008C76E0">
            <w:pPr>
              <w:pStyle w:val="Bodytext180"/>
              <w:shd w:val="clear" w:color="auto" w:fill="auto"/>
              <w:spacing w:before="0" w:after="120" w:line="240" w:lineRule="auto"/>
              <w:ind w:left="140" w:firstLine="0"/>
              <w:rPr>
                <w:rFonts w:ascii="Sylfaen" w:hAnsi="Sylfaen"/>
                <w:b w:val="0"/>
                <w:sz w:val="24"/>
                <w:szCs w:val="24"/>
              </w:rPr>
            </w:pPr>
            <w:r w:rsidRPr="00F72577">
              <w:rPr>
                <w:rStyle w:val="Bodytext1811pt"/>
                <w:rFonts w:ascii="Sylfaen" w:hAnsi="Sylfaen"/>
                <w:sz w:val="24"/>
                <w:szCs w:val="24"/>
              </w:rPr>
              <w:t>լրացուցիչ վերլուծությունը համակցված առաջնային վերլուծություն այլը նշե՛լ (նա</w:t>
            </w:r>
            <w:r w:rsidR="00C54D75">
              <w:rPr>
                <w:rStyle w:val="Bodytext1811pt"/>
                <w:rFonts w:ascii="Sylfaen" w:hAnsi="Sylfaen"/>
                <w:sz w:val="24"/>
                <w:szCs w:val="24"/>
              </w:rPr>
              <w:t>և</w:t>
            </w:r>
            <w:r w:rsidRPr="00F72577">
              <w:rPr>
                <w:rStyle w:val="Bodytext1811pt"/>
                <w:rFonts w:ascii="Sylfaen" w:hAnsi="Sylfaen"/>
                <w:sz w:val="24"/>
                <w:szCs w:val="24"/>
              </w:rPr>
              <w:t xml:space="preserve"> նշե՛լ, եթե վերլուծության անցկացումը ծրագրված է եղել)</w:t>
            </w:r>
          </w:p>
        </w:tc>
      </w:tr>
      <w:tr w:rsidR="008C76E0" w:rsidRPr="00F72577" w14:paraId="5455D692" w14:textId="77777777" w:rsidTr="008C76E0">
        <w:trPr>
          <w:jc w:val="center"/>
        </w:trPr>
        <w:tc>
          <w:tcPr>
            <w:tcW w:w="3263" w:type="dxa"/>
            <w:tcBorders>
              <w:top w:val="single" w:sz="4" w:space="0" w:color="auto"/>
            </w:tcBorders>
            <w:shd w:val="clear" w:color="auto" w:fill="FFFFFF"/>
            <w:vAlign w:val="bottom"/>
          </w:tcPr>
          <w:p w14:paraId="0CF4E4F2" w14:textId="77777777" w:rsidR="008C76E0" w:rsidRPr="008C76E0" w:rsidRDefault="008C76E0" w:rsidP="008C76E0">
            <w:pPr>
              <w:pStyle w:val="Bodytext180"/>
              <w:shd w:val="clear" w:color="auto" w:fill="auto"/>
              <w:spacing w:before="0" w:after="120" w:line="240" w:lineRule="auto"/>
              <w:ind w:left="99" w:firstLine="0"/>
              <w:rPr>
                <w:rFonts w:ascii="Sylfaen" w:hAnsi="Sylfaen"/>
                <w:b w:val="0"/>
                <w:sz w:val="24"/>
                <w:szCs w:val="24"/>
                <w:lang w:val="hy-AM"/>
              </w:rPr>
            </w:pPr>
            <w:r w:rsidRPr="00F72577">
              <w:rPr>
                <w:rStyle w:val="Bodytext1811pt"/>
                <w:rFonts w:ascii="Sylfaen" w:hAnsi="Sylfaen"/>
                <w:sz w:val="24"/>
                <w:szCs w:val="24"/>
              </w:rPr>
              <w:t>նշված բաժինները կրկնե՛ք յուրաքանչյուր ակտուալ վերլուծության առնչությամբ</w:t>
            </w:r>
          </w:p>
        </w:tc>
        <w:tc>
          <w:tcPr>
            <w:tcW w:w="8082" w:type="dxa"/>
            <w:gridSpan w:val="10"/>
            <w:tcBorders>
              <w:top w:val="single" w:sz="4" w:space="0" w:color="auto"/>
              <w:left w:val="single" w:sz="4" w:space="0" w:color="auto"/>
              <w:right w:val="single" w:sz="4" w:space="0" w:color="auto"/>
            </w:tcBorders>
            <w:shd w:val="clear" w:color="auto" w:fill="FFFFFF"/>
          </w:tcPr>
          <w:p w14:paraId="29FFC5D9" w14:textId="77777777" w:rsidR="008C76E0" w:rsidRPr="00F72577" w:rsidRDefault="008C76E0" w:rsidP="008C76E0">
            <w:pPr>
              <w:spacing w:after="120" w:line="240" w:lineRule="auto"/>
              <w:rPr>
                <w:rFonts w:ascii="Sylfaen" w:hAnsi="Sylfaen"/>
                <w:sz w:val="24"/>
                <w:szCs w:val="24"/>
              </w:rPr>
            </w:pPr>
          </w:p>
        </w:tc>
      </w:tr>
      <w:tr w:rsidR="008C76E0" w:rsidRPr="00F72577" w14:paraId="5E6F258C" w14:textId="77777777" w:rsidTr="008C76E0">
        <w:trPr>
          <w:jc w:val="center"/>
        </w:trPr>
        <w:tc>
          <w:tcPr>
            <w:tcW w:w="11345" w:type="dxa"/>
            <w:gridSpan w:val="11"/>
            <w:tcBorders>
              <w:top w:val="single" w:sz="4" w:space="0" w:color="auto"/>
            </w:tcBorders>
            <w:shd w:val="clear" w:color="auto" w:fill="FFFFFF"/>
            <w:vAlign w:val="bottom"/>
          </w:tcPr>
          <w:p w14:paraId="7C15767A"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F72577">
              <w:rPr>
                <w:rStyle w:val="Bodytext295pt"/>
                <w:rFonts w:ascii="Sylfaen" w:hAnsi="Sylfaen"/>
                <w:spacing w:val="0"/>
                <w:sz w:val="24"/>
                <w:szCs w:val="24"/>
              </w:rPr>
              <w:t>3.5. Կլինիկական հետազոտությունները բնակչության հատուկ խմբերի մոտ։</w:t>
            </w:r>
          </w:p>
        </w:tc>
      </w:tr>
      <w:tr w:rsidR="008C76E0" w:rsidRPr="00F72577" w14:paraId="7FB15003" w14:textId="77777777" w:rsidTr="008C76E0">
        <w:trPr>
          <w:jc w:val="center"/>
        </w:trPr>
        <w:tc>
          <w:tcPr>
            <w:tcW w:w="3387" w:type="dxa"/>
            <w:gridSpan w:val="2"/>
            <w:tcBorders>
              <w:top w:val="single" w:sz="4" w:space="0" w:color="auto"/>
              <w:left w:val="single" w:sz="4" w:space="0" w:color="auto"/>
            </w:tcBorders>
            <w:shd w:val="clear" w:color="auto" w:fill="FFFFFF"/>
          </w:tcPr>
          <w:p w14:paraId="6900562E" w14:textId="77777777" w:rsidR="008C76E0" w:rsidRPr="00F72577" w:rsidRDefault="008C76E0" w:rsidP="008C76E0">
            <w:pPr>
              <w:spacing w:after="120" w:line="240" w:lineRule="auto"/>
              <w:rPr>
                <w:rFonts w:ascii="Sylfaen" w:hAnsi="Sylfaen"/>
                <w:sz w:val="24"/>
                <w:szCs w:val="24"/>
              </w:rPr>
            </w:pPr>
          </w:p>
        </w:tc>
        <w:tc>
          <w:tcPr>
            <w:tcW w:w="2767" w:type="dxa"/>
            <w:gridSpan w:val="3"/>
            <w:tcBorders>
              <w:top w:val="single" w:sz="4" w:space="0" w:color="auto"/>
              <w:left w:val="single" w:sz="4" w:space="0" w:color="auto"/>
            </w:tcBorders>
            <w:shd w:val="clear" w:color="auto" w:fill="FFFFFF"/>
            <w:vAlign w:val="bottom"/>
          </w:tcPr>
          <w:p w14:paraId="4CF7193F"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65-74 տարիքային խումբ (տարեց պացիենտների քանակը (ընդհանուր քանակը))</w:t>
            </w:r>
          </w:p>
        </w:tc>
        <w:tc>
          <w:tcPr>
            <w:tcW w:w="2640" w:type="dxa"/>
            <w:gridSpan w:val="4"/>
            <w:tcBorders>
              <w:top w:val="single" w:sz="4" w:space="0" w:color="auto"/>
              <w:left w:val="single" w:sz="4" w:space="0" w:color="auto"/>
            </w:tcBorders>
            <w:shd w:val="clear" w:color="auto" w:fill="FFFFFF"/>
            <w:vAlign w:val="bottom"/>
          </w:tcPr>
          <w:p w14:paraId="3E906D5D"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75-84 տարիքային խումբ (տարեց պացիենտների քանակը (ընդհանուր քանակը))</w:t>
            </w:r>
          </w:p>
        </w:tc>
        <w:tc>
          <w:tcPr>
            <w:tcW w:w="2551" w:type="dxa"/>
            <w:gridSpan w:val="2"/>
            <w:tcBorders>
              <w:top w:val="single" w:sz="4" w:space="0" w:color="auto"/>
              <w:left w:val="single" w:sz="4" w:space="0" w:color="auto"/>
              <w:right w:val="single" w:sz="4" w:space="0" w:color="auto"/>
            </w:tcBorders>
            <w:shd w:val="clear" w:color="auto" w:fill="FFFFFF"/>
          </w:tcPr>
          <w:p w14:paraId="45C05CB4"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F72577">
              <w:rPr>
                <w:rStyle w:val="Bodytext1811pt"/>
                <w:rFonts w:ascii="Sylfaen" w:hAnsi="Sylfaen"/>
                <w:sz w:val="24"/>
                <w:szCs w:val="24"/>
              </w:rPr>
              <w:t>85+ տարիքային խումբ (տարեց պացիենտների քանակը (ընդհանուր քանակը))</w:t>
            </w:r>
          </w:p>
        </w:tc>
      </w:tr>
      <w:tr w:rsidR="008C76E0" w:rsidRPr="00F72577" w14:paraId="140FFE14" w14:textId="77777777" w:rsidTr="008C76E0">
        <w:trPr>
          <w:jc w:val="center"/>
        </w:trPr>
        <w:tc>
          <w:tcPr>
            <w:tcW w:w="3387" w:type="dxa"/>
            <w:gridSpan w:val="2"/>
            <w:tcBorders>
              <w:top w:val="single" w:sz="4" w:space="0" w:color="auto"/>
              <w:left w:val="single" w:sz="4" w:space="0" w:color="auto"/>
            </w:tcBorders>
            <w:shd w:val="clear" w:color="auto" w:fill="FFFFFF"/>
            <w:vAlign w:val="bottom"/>
          </w:tcPr>
          <w:p w14:paraId="50576F23"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Վերահսկվող հետազոտություններ</w:t>
            </w:r>
          </w:p>
        </w:tc>
        <w:tc>
          <w:tcPr>
            <w:tcW w:w="2767" w:type="dxa"/>
            <w:gridSpan w:val="3"/>
            <w:tcBorders>
              <w:top w:val="single" w:sz="4" w:space="0" w:color="auto"/>
              <w:left w:val="single" w:sz="4" w:space="0" w:color="auto"/>
            </w:tcBorders>
            <w:shd w:val="clear" w:color="auto" w:fill="FFFFFF"/>
          </w:tcPr>
          <w:p w14:paraId="454F68DB" w14:textId="77777777" w:rsidR="008C76E0" w:rsidRPr="00F72577" w:rsidRDefault="008C76E0" w:rsidP="008C76E0">
            <w:pPr>
              <w:spacing w:after="120" w:line="240" w:lineRule="auto"/>
              <w:rPr>
                <w:rFonts w:ascii="Sylfaen" w:hAnsi="Sylfaen"/>
                <w:sz w:val="24"/>
                <w:szCs w:val="24"/>
              </w:rPr>
            </w:pPr>
          </w:p>
        </w:tc>
        <w:tc>
          <w:tcPr>
            <w:tcW w:w="2640" w:type="dxa"/>
            <w:gridSpan w:val="4"/>
            <w:tcBorders>
              <w:top w:val="single" w:sz="4" w:space="0" w:color="auto"/>
              <w:left w:val="single" w:sz="4" w:space="0" w:color="auto"/>
            </w:tcBorders>
            <w:shd w:val="clear" w:color="auto" w:fill="FFFFFF"/>
          </w:tcPr>
          <w:p w14:paraId="12767CEB" w14:textId="77777777" w:rsidR="008C76E0" w:rsidRPr="00F72577" w:rsidRDefault="008C76E0" w:rsidP="008C76E0">
            <w:pPr>
              <w:spacing w:after="120" w:line="240" w:lineRule="auto"/>
              <w:rPr>
                <w:rFonts w:ascii="Sylfaen" w:hAnsi="Sylfaen"/>
                <w:sz w:val="24"/>
                <w:szCs w:val="24"/>
              </w:rPr>
            </w:pPr>
          </w:p>
        </w:tc>
        <w:tc>
          <w:tcPr>
            <w:tcW w:w="2551" w:type="dxa"/>
            <w:gridSpan w:val="2"/>
            <w:tcBorders>
              <w:top w:val="single" w:sz="4" w:space="0" w:color="auto"/>
              <w:left w:val="single" w:sz="4" w:space="0" w:color="auto"/>
              <w:right w:val="single" w:sz="4" w:space="0" w:color="auto"/>
            </w:tcBorders>
            <w:shd w:val="clear" w:color="auto" w:fill="FFFFFF"/>
          </w:tcPr>
          <w:p w14:paraId="66A2F14D" w14:textId="77777777" w:rsidR="008C76E0" w:rsidRPr="00F72577" w:rsidRDefault="008C76E0" w:rsidP="008C76E0">
            <w:pPr>
              <w:spacing w:after="120" w:line="240" w:lineRule="auto"/>
              <w:rPr>
                <w:rFonts w:ascii="Sylfaen" w:hAnsi="Sylfaen"/>
                <w:sz w:val="24"/>
                <w:szCs w:val="24"/>
              </w:rPr>
            </w:pPr>
          </w:p>
        </w:tc>
      </w:tr>
      <w:tr w:rsidR="008C76E0" w:rsidRPr="00F72577" w14:paraId="310AE802" w14:textId="77777777" w:rsidTr="008C76E0">
        <w:trPr>
          <w:jc w:val="center"/>
        </w:trPr>
        <w:tc>
          <w:tcPr>
            <w:tcW w:w="3387" w:type="dxa"/>
            <w:gridSpan w:val="2"/>
            <w:tcBorders>
              <w:top w:val="single" w:sz="4" w:space="0" w:color="auto"/>
              <w:left w:val="single" w:sz="4" w:space="0" w:color="auto"/>
            </w:tcBorders>
            <w:shd w:val="clear" w:color="auto" w:fill="FFFFFF"/>
            <w:vAlign w:val="bottom"/>
          </w:tcPr>
          <w:p w14:paraId="4492F658" w14:textId="77777777" w:rsidR="008C76E0" w:rsidRPr="00F72577" w:rsidRDefault="008C76E0" w:rsidP="008C76E0">
            <w:pPr>
              <w:pStyle w:val="Bodytext180"/>
              <w:shd w:val="clear" w:color="auto" w:fill="auto"/>
              <w:spacing w:before="0" w:after="120" w:line="240" w:lineRule="auto"/>
              <w:ind w:firstLine="0"/>
              <w:rPr>
                <w:rFonts w:ascii="Sylfaen" w:hAnsi="Sylfaen"/>
                <w:b w:val="0"/>
                <w:sz w:val="24"/>
                <w:szCs w:val="24"/>
              </w:rPr>
            </w:pPr>
            <w:r w:rsidRPr="00F72577">
              <w:rPr>
                <w:rStyle w:val="Bodytext1811pt"/>
                <w:rFonts w:ascii="Sylfaen" w:hAnsi="Sylfaen"/>
                <w:sz w:val="24"/>
                <w:szCs w:val="24"/>
              </w:rPr>
              <w:t>Չվերահսկվող հետազոտություններ</w:t>
            </w:r>
          </w:p>
        </w:tc>
        <w:tc>
          <w:tcPr>
            <w:tcW w:w="2767" w:type="dxa"/>
            <w:gridSpan w:val="3"/>
            <w:tcBorders>
              <w:top w:val="single" w:sz="4" w:space="0" w:color="auto"/>
              <w:left w:val="single" w:sz="4" w:space="0" w:color="auto"/>
            </w:tcBorders>
            <w:shd w:val="clear" w:color="auto" w:fill="FFFFFF"/>
          </w:tcPr>
          <w:p w14:paraId="550166D5" w14:textId="77777777" w:rsidR="008C76E0" w:rsidRPr="00F72577" w:rsidRDefault="008C76E0" w:rsidP="008C76E0">
            <w:pPr>
              <w:spacing w:after="120" w:line="240" w:lineRule="auto"/>
              <w:rPr>
                <w:rFonts w:ascii="Sylfaen" w:hAnsi="Sylfaen"/>
                <w:sz w:val="24"/>
                <w:szCs w:val="24"/>
              </w:rPr>
            </w:pPr>
          </w:p>
        </w:tc>
        <w:tc>
          <w:tcPr>
            <w:tcW w:w="2640" w:type="dxa"/>
            <w:gridSpan w:val="4"/>
            <w:tcBorders>
              <w:top w:val="single" w:sz="4" w:space="0" w:color="auto"/>
              <w:left w:val="single" w:sz="4" w:space="0" w:color="auto"/>
            </w:tcBorders>
            <w:shd w:val="clear" w:color="auto" w:fill="FFFFFF"/>
          </w:tcPr>
          <w:p w14:paraId="31D2E38E" w14:textId="77777777" w:rsidR="008C76E0" w:rsidRPr="00F72577" w:rsidRDefault="008C76E0" w:rsidP="008C76E0">
            <w:pPr>
              <w:spacing w:after="120" w:line="240" w:lineRule="auto"/>
              <w:rPr>
                <w:rFonts w:ascii="Sylfaen" w:hAnsi="Sylfaen"/>
                <w:sz w:val="24"/>
                <w:szCs w:val="24"/>
              </w:rPr>
            </w:pPr>
          </w:p>
        </w:tc>
        <w:tc>
          <w:tcPr>
            <w:tcW w:w="2551" w:type="dxa"/>
            <w:gridSpan w:val="2"/>
            <w:tcBorders>
              <w:top w:val="single" w:sz="4" w:space="0" w:color="auto"/>
              <w:left w:val="single" w:sz="4" w:space="0" w:color="auto"/>
              <w:right w:val="single" w:sz="4" w:space="0" w:color="auto"/>
            </w:tcBorders>
            <w:shd w:val="clear" w:color="auto" w:fill="FFFFFF"/>
          </w:tcPr>
          <w:p w14:paraId="027080D4" w14:textId="77777777" w:rsidR="008C76E0" w:rsidRPr="00F72577" w:rsidRDefault="008C76E0" w:rsidP="008C76E0">
            <w:pPr>
              <w:spacing w:after="120" w:line="240" w:lineRule="auto"/>
              <w:rPr>
                <w:rFonts w:ascii="Sylfaen" w:hAnsi="Sylfaen"/>
                <w:sz w:val="24"/>
                <w:szCs w:val="24"/>
              </w:rPr>
            </w:pPr>
          </w:p>
        </w:tc>
      </w:tr>
      <w:tr w:rsidR="008C76E0" w:rsidRPr="00F72577" w14:paraId="0865C4DD" w14:textId="77777777" w:rsidTr="008C76E0">
        <w:trPr>
          <w:jc w:val="center"/>
        </w:trPr>
        <w:tc>
          <w:tcPr>
            <w:tcW w:w="11345" w:type="dxa"/>
            <w:gridSpan w:val="11"/>
            <w:tcBorders>
              <w:top w:val="single" w:sz="4" w:space="0" w:color="auto"/>
            </w:tcBorders>
            <w:shd w:val="clear" w:color="auto" w:fill="FFFFFF"/>
          </w:tcPr>
          <w:p w14:paraId="0A7367E7" w14:textId="77777777" w:rsidR="008C76E0" w:rsidRPr="00F72577" w:rsidRDefault="008C76E0" w:rsidP="008C76E0">
            <w:pPr>
              <w:spacing w:after="120" w:line="240" w:lineRule="auto"/>
              <w:rPr>
                <w:rFonts w:ascii="Sylfaen" w:hAnsi="Sylfaen"/>
                <w:sz w:val="24"/>
                <w:szCs w:val="24"/>
              </w:rPr>
            </w:pPr>
          </w:p>
        </w:tc>
      </w:tr>
      <w:tr w:rsidR="008C76E0" w:rsidRPr="00F72577" w14:paraId="3F3BC6D2" w14:textId="77777777" w:rsidTr="008C76E0">
        <w:trPr>
          <w:jc w:val="center"/>
        </w:trPr>
        <w:tc>
          <w:tcPr>
            <w:tcW w:w="11345" w:type="dxa"/>
            <w:gridSpan w:val="11"/>
            <w:tcBorders>
              <w:top w:val="single" w:sz="4" w:space="0" w:color="auto"/>
              <w:left w:val="single" w:sz="4" w:space="0" w:color="auto"/>
              <w:right w:val="single" w:sz="4" w:space="0" w:color="auto"/>
            </w:tcBorders>
            <w:shd w:val="clear" w:color="auto" w:fill="FFFFFF"/>
          </w:tcPr>
          <w:p w14:paraId="433E11C0" w14:textId="77777777" w:rsidR="008C76E0" w:rsidRPr="00F72577" w:rsidRDefault="008C76E0" w:rsidP="008C76E0">
            <w:pPr>
              <w:pStyle w:val="Bodytext180"/>
              <w:shd w:val="clear" w:color="auto" w:fill="auto"/>
              <w:spacing w:before="0" w:after="160" w:line="360" w:lineRule="auto"/>
              <w:ind w:firstLine="0"/>
              <w:rPr>
                <w:rFonts w:ascii="Sylfaen" w:hAnsi="Sylfaen"/>
                <w:b w:val="0"/>
                <w:sz w:val="24"/>
                <w:szCs w:val="24"/>
              </w:rPr>
            </w:pPr>
            <w:r w:rsidRPr="00F72577">
              <w:rPr>
                <w:rStyle w:val="Bodytext295pt"/>
                <w:rFonts w:ascii="Sylfaen" w:hAnsi="Sylfaen"/>
                <w:spacing w:val="0"/>
                <w:sz w:val="24"/>
                <w:szCs w:val="24"/>
              </w:rPr>
              <w:t>Փորձագետի մեկնաբանությունը</w:t>
            </w:r>
          </w:p>
        </w:tc>
      </w:tr>
      <w:tr w:rsidR="008C76E0" w:rsidRPr="00F72577" w14:paraId="0E4ED0DB" w14:textId="77777777" w:rsidTr="008C76E0">
        <w:trPr>
          <w:jc w:val="center"/>
        </w:trPr>
        <w:tc>
          <w:tcPr>
            <w:tcW w:w="11345" w:type="dxa"/>
            <w:gridSpan w:val="11"/>
            <w:tcBorders>
              <w:top w:val="single" w:sz="4" w:space="0" w:color="auto"/>
            </w:tcBorders>
            <w:shd w:val="clear" w:color="auto" w:fill="FFFFFF"/>
            <w:vAlign w:val="center"/>
          </w:tcPr>
          <w:p w14:paraId="7347387C" w14:textId="77777777" w:rsidR="008C76E0" w:rsidRPr="00F72577" w:rsidRDefault="008C76E0" w:rsidP="008C76E0">
            <w:pPr>
              <w:pStyle w:val="Bodytext180"/>
              <w:shd w:val="clear" w:color="auto" w:fill="auto"/>
              <w:tabs>
                <w:tab w:val="left" w:pos="1091"/>
              </w:tabs>
              <w:spacing w:before="0" w:after="160" w:line="360" w:lineRule="auto"/>
              <w:ind w:firstLine="523"/>
              <w:rPr>
                <w:rStyle w:val="Bodytext295pt"/>
                <w:rFonts w:ascii="Sylfaen" w:hAnsi="Sylfaen"/>
                <w:b/>
                <w:spacing w:val="0"/>
                <w:sz w:val="24"/>
                <w:szCs w:val="24"/>
              </w:rPr>
            </w:pPr>
            <w:r>
              <w:rPr>
                <w:rStyle w:val="Bodytext295pt"/>
                <w:rFonts w:ascii="Sylfaen" w:hAnsi="Sylfaen"/>
                <w:spacing w:val="0"/>
                <w:sz w:val="24"/>
                <w:szCs w:val="24"/>
              </w:rPr>
              <w:t>3.6.</w:t>
            </w:r>
            <w:r w:rsidRPr="00F72577">
              <w:rPr>
                <w:rStyle w:val="Bodytext295pt"/>
                <w:rFonts w:ascii="Sylfaen" w:hAnsi="Sylfaen"/>
                <w:spacing w:val="0"/>
                <w:sz w:val="24"/>
                <w:szCs w:val="24"/>
              </w:rPr>
              <w:tab/>
              <w:t xml:space="preserve">Փորձարկումների անցկացման շրջանակներում կատարվող վերլուծություն (ամփոփ վերլուծություն </w:t>
            </w:r>
            <w:r w:rsidR="00C54D75">
              <w:rPr>
                <w:rStyle w:val="Bodytext295pt"/>
                <w:rFonts w:ascii="Sylfaen" w:hAnsi="Sylfaen"/>
                <w:spacing w:val="0"/>
                <w:sz w:val="24"/>
                <w:szCs w:val="24"/>
              </w:rPr>
              <w:t>և</w:t>
            </w:r>
            <w:r w:rsidRPr="00F72577">
              <w:rPr>
                <w:rStyle w:val="Bodytext295pt"/>
                <w:rFonts w:ascii="Sylfaen" w:hAnsi="Sylfaen"/>
                <w:spacing w:val="0"/>
                <w:sz w:val="24"/>
                <w:szCs w:val="24"/>
              </w:rPr>
              <w:t xml:space="preserve"> մետա-վերլուծություն)։</w:t>
            </w:r>
          </w:p>
        </w:tc>
      </w:tr>
      <w:tr w:rsidR="008C76E0" w:rsidRPr="00F72577" w14:paraId="57764F90" w14:textId="77777777" w:rsidTr="008C76E0">
        <w:trPr>
          <w:jc w:val="center"/>
        </w:trPr>
        <w:tc>
          <w:tcPr>
            <w:tcW w:w="11345" w:type="dxa"/>
            <w:gridSpan w:val="11"/>
            <w:tcBorders>
              <w:top w:val="single" w:sz="4" w:space="0" w:color="auto"/>
              <w:left w:val="single" w:sz="4" w:space="0" w:color="auto"/>
              <w:right w:val="single" w:sz="4" w:space="0" w:color="auto"/>
            </w:tcBorders>
            <w:shd w:val="clear" w:color="auto" w:fill="FFFFFF"/>
          </w:tcPr>
          <w:p w14:paraId="00AF12F1" w14:textId="77777777" w:rsidR="008C76E0" w:rsidRPr="00F72577" w:rsidRDefault="008C76E0" w:rsidP="008C76E0">
            <w:pPr>
              <w:pStyle w:val="Bodytext180"/>
              <w:shd w:val="clear" w:color="auto" w:fill="auto"/>
              <w:tabs>
                <w:tab w:val="left" w:pos="1091"/>
              </w:tabs>
              <w:spacing w:before="0" w:after="160" w:line="360" w:lineRule="auto"/>
              <w:ind w:firstLine="0"/>
              <w:rPr>
                <w:rFonts w:ascii="Sylfaen" w:hAnsi="Sylfaen"/>
                <w:b w:val="0"/>
                <w:sz w:val="24"/>
                <w:szCs w:val="24"/>
              </w:rPr>
            </w:pPr>
            <w:r w:rsidRPr="00F72577">
              <w:rPr>
                <w:rStyle w:val="Bodytext295pt"/>
                <w:rFonts w:ascii="Sylfaen" w:hAnsi="Sylfaen"/>
                <w:spacing w:val="0"/>
                <w:sz w:val="24"/>
                <w:szCs w:val="24"/>
              </w:rPr>
              <w:t>Փորձագետի մեկնաբանությունը</w:t>
            </w:r>
          </w:p>
        </w:tc>
      </w:tr>
      <w:tr w:rsidR="008C76E0" w:rsidRPr="00F72577" w14:paraId="0819F291" w14:textId="77777777" w:rsidTr="008C76E0">
        <w:trPr>
          <w:jc w:val="center"/>
        </w:trPr>
        <w:tc>
          <w:tcPr>
            <w:tcW w:w="11345" w:type="dxa"/>
            <w:gridSpan w:val="11"/>
            <w:tcBorders>
              <w:top w:val="single" w:sz="4" w:space="0" w:color="auto"/>
            </w:tcBorders>
            <w:shd w:val="clear" w:color="auto" w:fill="FFFFFF"/>
            <w:vAlign w:val="bottom"/>
          </w:tcPr>
          <w:p w14:paraId="70D72100" w14:textId="77777777" w:rsidR="008C76E0" w:rsidRPr="00F72577" w:rsidRDefault="008C76E0" w:rsidP="008C76E0">
            <w:pPr>
              <w:pStyle w:val="Bodytext180"/>
              <w:shd w:val="clear" w:color="auto" w:fill="auto"/>
              <w:tabs>
                <w:tab w:val="left" w:pos="1091"/>
              </w:tabs>
              <w:spacing w:before="0" w:after="160" w:line="360" w:lineRule="auto"/>
              <w:ind w:firstLine="523"/>
              <w:rPr>
                <w:rStyle w:val="Bodytext295pt"/>
                <w:rFonts w:ascii="Sylfaen" w:hAnsi="Sylfaen"/>
                <w:b/>
                <w:spacing w:val="0"/>
                <w:sz w:val="24"/>
                <w:szCs w:val="24"/>
              </w:rPr>
            </w:pPr>
            <w:r>
              <w:rPr>
                <w:rStyle w:val="Bodytext295pt"/>
                <w:rFonts w:ascii="Sylfaen" w:hAnsi="Sylfaen"/>
                <w:spacing w:val="0"/>
                <w:sz w:val="24"/>
                <w:szCs w:val="24"/>
              </w:rPr>
              <w:t>3.7.</w:t>
            </w:r>
            <w:r w:rsidRPr="00F72577">
              <w:rPr>
                <w:rStyle w:val="Bodytext295pt"/>
                <w:rFonts w:ascii="Sylfaen" w:hAnsi="Sylfaen"/>
                <w:spacing w:val="0"/>
                <w:sz w:val="24"/>
                <w:szCs w:val="24"/>
              </w:rPr>
              <w:tab/>
              <w:t xml:space="preserve">Լրացուցիչ հետազոտություններ: </w:t>
            </w:r>
          </w:p>
        </w:tc>
      </w:tr>
      <w:tr w:rsidR="008C76E0" w:rsidRPr="00F72577" w14:paraId="24EBE21A" w14:textId="77777777" w:rsidTr="008C76E0">
        <w:trPr>
          <w:jc w:val="center"/>
        </w:trPr>
        <w:tc>
          <w:tcPr>
            <w:tcW w:w="11345" w:type="dxa"/>
            <w:gridSpan w:val="11"/>
            <w:tcBorders>
              <w:top w:val="single" w:sz="4" w:space="0" w:color="auto"/>
              <w:left w:val="single" w:sz="4" w:space="0" w:color="auto"/>
              <w:right w:val="single" w:sz="4" w:space="0" w:color="auto"/>
            </w:tcBorders>
            <w:shd w:val="clear" w:color="auto" w:fill="FFFFFF"/>
          </w:tcPr>
          <w:p w14:paraId="667B5800" w14:textId="77777777" w:rsidR="008C76E0" w:rsidRPr="00F72577" w:rsidRDefault="008C76E0" w:rsidP="008C76E0">
            <w:pPr>
              <w:pStyle w:val="Bodytext180"/>
              <w:shd w:val="clear" w:color="auto" w:fill="auto"/>
              <w:tabs>
                <w:tab w:val="left" w:pos="1091"/>
              </w:tabs>
              <w:spacing w:before="0" w:after="160" w:line="360" w:lineRule="auto"/>
              <w:ind w:firstLine="0"/>
              <w:rPr>
                <w:rFonts w:ascii="Sylfaen" w:hAnsi="Sylfaen"/>
                <w:b w:val="0"/>
                <w:sz w:val="24"/>
                <w:szCs w:val="24"/>
              </w:rPr>
            </w:pPr>
            <w:r w:rsidRPr="00F72577">
              <w:rPr>
                <w:rStyle w:val="Bodytext295pt"/>
                <w:rFonts w:ascii="Sylfaen" w:hAnsi="Sylfaen"/>
                <w:spacing w:val="0"/>
                <w:sz w:val="24"/>
                <w:szCs w:val="24"/>
              </w:rPr>
              <w:t>Փորձագետի մեկնաբանությունը</w:t>
            </w:r>
          </w:p>
        </w:tc>
      </w:tr>
      <w:tr w:rsidR="008C76E0" w:rsidRPr="00F72577" w14:paraId="1E9D48CD" w14:textId="77777777" w:rsidTr="008C76E0">
        <w:trPr>
          <w:jc w:val="center"/>
        </w:trPr>
        <w:tc>
          <w:tcPr>
            <w:tcW w:w="11345" w:type="dxa"/>
            <w:gridSpan w:val="11"/>
            <w:tcBorders>
              <w:top w:val="single" w:sz="4" w:space="0" w:color="auto"/>
            </w:tcBorders>
            <w:shd w:val="clear" w:color="auto" w:fill="FFFFFF"/>
            <w:vAlign w:val="bottom"/>
          </w:tcPr>
          <w:p w14:paraId="084DBAB8" w14:textId="77777777" w:rsidR="008C76E0" w:rsidRPr="00F72577" w:rsidRDefault="008C76E0" w:rsidP="008C76E0">
            <w:pPr>
              <w:pStyle w:val="Bodytext180"/>
              <w:shd w:val="clear" w:color="auto" w:fill="auto"/>
              <w:tabs>
                <w:tab w:val="left" w:pos="1091"/>
              </w:tabs>
              <w:spacing w:before="0" w:after="160" w:line="360" w:lineRule="auto"/>
              <w:ind w:firstLine="523"/>
              <w:rPr>
                <w:rStyle w:val="Bodytext295pt"/>
                <w:rFonts w:ascii="Sylfaen" w:hAnsi="Sylfaen"/>
                <w:b/>
                <w:spacing w:val="0"/>
                <w:sz w:val="24"/>
                <w:szCs w:val="24"/>
              </w:rPr>
            </w:pPr>
            <w:r>
              <w:rPr>
                <w:rStyle w:val="Bodytext295pt"/>
                <w:rFonts w:ascii="Sylfaen" w:hAnsi="Sylfaen"/>
                <w:spacing w:val="0"/>
                <w:sz w:val="24"/>
                <w:szCs w:val="24"/>
              </w:rPr>
              <w:t>3.8.</w:t>
            </w:r>
            <w:r w:rsidRPr="00F72577">
              <w:rPr>
                <w:rStyle w:val="Bodytext295pt"/>
                <w:rFonts w:ascii="Sylfaen" w:hAnsi="Sylfaen"/>
                <w:spacing w:val="0"/>
                <w:sz w:val="24"/>
                <w:szCs w:val="24"/>
              </w:rPr>
              <w:tab/>
              <w:t>Կլինիկական արդյունավետության գնահատման գծով փորձագետի ընդհանուր եզրակացությունը:</w:t>
            </w:r>
          </w:p>
          <w:p w14:paraId="2900CBF5" w14:textId="77777777" w:rsidR="008C76E0" w:rsidRPr="00F72577" w:rsidRDefault="008C76E0" w:rsidP="008C76E0">
            <w:pPr>
              <w:pStyle w:val="Bodytext180"/>
              <w:shd w:val="clear" w:color="auto" w:fill="auto"/>
              <w:tabs>
                <w:tab w:val="left" w:pos="1091"/>
              </w:tabs>
              <w:spacing w:before="0" w:after="160" w:line="360" w:lineRule="auto"/>
              <w:ind w:firstLine="523"/>
              <w:rPr>
                <w:rStyle w:val="Bodytext295pt"/>
                <w:rFonts w:ascii="Sylfaen" w:hAnsi="Sylfaen"/>
                <w:b/>
                <w:spacing w:val="0"/>
                <w:sz w:val="24"/>
                <w:szCs w:val="24"/>
              </w:rPr>
            </w:pPr>
            <w:r w:rsidRPr="00F72577">
              <w:rPr>
                <w:rStyle w:val="Bodytext295pt"/>
                <w:rFonts w:ascii="Sylfaen" w:hAnsi="Sylfaen"/>
                <w:spacing w:val="0"/>
                <w:sz w:val="24"/>
                <w:szCs w:val="24"/>
              </w:rPr>
              <w:t xml:space="preserve">Կլինիկական արդյունավետության վերաբերյալ եզրակացությունները </w:t>
            </w:r>
          </w:p>
        </w:tc>
      </w:tr>
    </w:tbl>
    <w:p w14:paraId="12FEAF4D" w14:textId="77777777" w:rsidR="008C76E0" w:rsidRDefault="008C76E0" w:rsidP="008C76E0">
      <w:pPr>
        <w:rPr>
          <w:rFonts w:ascii="Sylfaen" w:hAnsi="Sylfaen"/>
          <w:sz w:val="24"/>
          <w:szCs w:val="24"/>
        </w:rPr>
      </w:pPr>
    </w:p>
    <w:p w14:paraId="4F97D3BF" w14:textId="77777777" w:rsidR="008C76E0" w:rsidRDefault="008C76E0" w:rsidP="008C76E0">
      <w:pPr>
        <w:widowControl/>
        <w:rPr>
          <w:rFonts w:ascii="Sylfaen" w:hAnsi="Sylfaen"/>
          <w:sz w:val="24"/>
          <w:szCs w:val="24"/>
        </w:rPr>
      </w:pPr>
      <w:r>
        <w:rPr>
          <w:rFonts w:ascii="Sylfaen" w:hAnsi="Sylfaen"/>
          <w:sz w:val="24"/>
          <w:szCs w:val="24"/>
        </w:rPr>
        <w:br w:type="page"/>
      </w:r>
    </w:p>
    <w:p w14:paraId="0EA317C3"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lastRenderedPageBreak/>
        <w:t xml:space="preserve">Բովանդակային պլանն ու կլինիկական հետազոտությունների անցկացումը </w:t>
      </w:r>
    </w:p>
    <w:p w14:paraId="21D3515C"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Արդյունավետության տվյալներն ու լրացուցիչ վերլուծությունները </w:t>
      </w:r>
    </w:p>
    <w:p w14:paraId="42E4EEC5"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Կլինիկական արդյունավետության վերաբերյալ եզրակացությունները</w:t>
      </w:r>
    </w:p>
    <w:p w14:paraId="63A8C5D2" w14:textId="77777777" w:rsidR="008C76E0" w:rsidRPr="00BD7577" w:rsidRDefault="008C76E0" w:rsidP="008C76E0">
      <w:pPr>
        <w:ind w:left="567" w:right="566"/>
        <w:rPr>
          <w:rFonts w:ascii="Sylfaen" w:hAnsi="Sylfaen"/>
          <w:sz w:val="24"/>
          <w:szCs w:val="24"/>
        </w:rPr>
      </w:pPr>
    </w:p>
    <w:p w14:paraId="5CB9E35A" w14:textId="77777777" w:rsidR="008C76E0" w:rsidRPr="00BD7577" w:rsidRDefault="008C76E0" w:rsidP="008C76E0">
      <w:pPr>
        <w:ind w:left="567" w:right="566"/>
        <w:jc w:val="center"/>
        <w:rPr>
          <w:rFonts w:ascii="Sylfaen" w:hAnsi="Sylfaen"/>
          <w:sz w:val="24"/>
          <w:szCs w:val="24"/>
        </w:rPr>
      </w:pPr>
      <w:r w:rsidRPr="00BD7577">
        <w:rPr>
          <w:rFonts w:ascii="Sylfaen" w:hAnsi="Sylfaen"/>
          <w:sz w:val="24"/>
          <w:szCs w:val="24"/>
        </w:rPr>
        <w:t>4. Կլինիկական անվտանգությունը</w:t>
      </w:r>
    </w:p>
    <w:p w14:paraId="6253DA45" w14:textId="77777777" w:rsidR="008C76E0" w:rsidRPr="00BD7577" w:rsidRDefault="008C76E0" w:rsidP="008C76E0">
      <w:pPr>
        <w:pStyle w:val="Bodytext180"/>
        <w:shd w:val="clear" w:color="auto" w:fill="auto"/>
        <w:tabs>
          <w:tab w:val="left" w:pos="1134"/>
        </w:tabs>
        <w:spacing w:before="0" w:after="160" w:line="360" w:lineRule="auto"/>
        <w:ind w:firstLine="567"/>
        <w:rPr>
          <w:rFonts w:ascii="Sylfaen" w:hAnsi="Sylfaen"/>
          <w:b w:val="0"/>
          <w:sz w:val="24"/>
          <w:szCs w:val="24"/>
        </w:rPr>
      </w:pPr>
      <w:r w:rsidRPr="00BD7577">
        <w:rPr>
          <w:rFonts w:ascii="Sylfaen" w:hAnsi="Sylfaen"/>
          <w:b w:val="0"/>
          <w:sz w:val="24"/>
          <w:szCs w:val="24"/>
        </w:rPr>
        <w:t>4.1.</w:t>
      </w:r>
      <w:r w:rsidRPr="00BD7577">
        <w:rPr>
          <w:rFonts w:ascii="Sylfaen" w:hAnsi="Sylfaen"/>
          <w:sz w:val="24"/>
          <w:szCs w:val="24"/>
        </w:rPr>
        <w:tab/>
      </w:r>
      <w:r w:rsidRPr="00BD7577">
        <w:rPr>
          <w:rStyle w:val="Bodytext295pt"/>
          <w:rFonts w:ascii="Sylfaen" w:hAnsi="Sylfaen"/>
          <w:spacing w:val="0"/>
          <w:sz w:val="24"/>
          <w:szCs w:val="24"/>
        </w:rPr>
        <w:t>Ներածություն</w:t>
      </w:r>
      <w:r w:rsidRPr="00BD7577">
        <w:rPr>
          <w:rFonts w:ascii="Sylfaen" w:hAnsi="Sylfaen"/>
          <w:b w:val="0"/>
          <w:sz w:val="24"/>
          <w:szCs w:val="24"/>
        </w:rPr>
        <w:t>:</w:t>
      </w:r>
    </w:p>
    <w:tbl>
      <w:tblPr>
        <w:tblOverlap w:val="never"/>
        <w:tblW w:w="10279" w:type="dxa"/>
        <w:tblLayout w:type="fixed"/>
        <w:tblCellMar>
          <w:left w:w="10" w:type="dxa"/>
          <w:right w:w="10" w:type="dxa"/>
        </w:tblCellMar>
        <w:tblLook w:val="04A0" w:firstRow="1" w:lastRow="0" w:firstColumn="1" w:lastColumn="0" w:noHBand="0" w:noVBand="1"/>
      </w:tblPr>
      <w:tblGrid>
        <w:gridCol w:w="2704"/>
        <w:gridCol w:w="1559"/>
        <w:gridCol w:w="283"/>
        <w:gridCol w:w="1074"/>
        <w:gridCol w:w="14"/>
        <w:gridCol w:w="628"/>
        <w:gridCol w:w="852"/>
        <w:gridCol w:w="1224"/>
        <w:gridCol w:w="274"/>
        <w:gridCol w:w="1667"/>
      </w:tblGrid>
      <w:tr w:rsidR="008C76E0" w:rsidRPr="00BD7577" w14:paraId="295863DB" w14:textId="77777777" w:rsidTr="008C76E0">
        <w:tc>
          <w:tcPr>
            <w:tcW w:w="10279" w:type="dxa"/>
            <w:gridSpan w:val="10"/>
            <w:tcBorders>
              <w:top w:val="single" w:sz="4" w:space="0" w:color="auto"/>
            </w:tcBorders>
            <w:shd w:val="clear" w:color="auto" w:fill="FFFFFF"/>
          </w:tcPr>
          <w:p w14:paraId="45E97C75"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52E03F46" w14:textId="77777777" w:rsidTr="008C76E0">
        <w:tc>
          <w:tcPr>
            <w:tcW w:w="10279" w:type="dxa"/>
            <w:gridSpan w:val="10"/>
            <w:tcBorders>
              <w:top w:val="single" w:sz="4" w:space="0" w:color="auto"/>
            </w:tcBorders>
            <w:shd w:val="clear" w:color="auto" w:fill="FFFFFF"/>
            <w:vAlign w:val="bottom"/>
          </w:tcPr>
          <w:p w14:paraId="3EFB89BF" w14:textId="77777777" w:rsidR="008C76E0" w:rsidRPr="00BD7577" w:rsidRDefault="008C76E0" w:rsidP="008C76E0">
            <w:pPr>
              <w:pStyle w:val="Bodytext180"/>
              <w:shd w:val="clear" w:color="auto" w:fill="auto"/>
              <w:tabs>
                <w:tab w:val="left" w:pos="1134"/>
              </w:tabs>
              <w:spacing w:before="0" w:after="120" w:line="240" w:lineRule="auto"/>
              <w:ind w:firstLine="567"/>
              <w:rPr>
                <w:rStyle w:val="Bodytext295pt"/>
                <w:rFonts w:ascii="Sylfaen" w:hAnsi="Sylfaen"/>
                <w:b/>
                <w:spacing w:val="0"/>
                <w:sz w:val="24"/>
                <w:szCs w:val="24"/>
              </w:rPr>
            </w:pPr>
            <w:r>
              <w:rPr>
                <w:rStyle w:val="Bodytext295pt"/>
                <w:rFonts w:ascii="Sylfaen" w:hAnsi="Sylfaen"/>
                <w:spacing w:val="0"/>
                <w:sz w:val="24"/>
                <w:szCs w:val="24"/>
              </w:rPr>
              <w:t>4.2.</w:t>
            </w:r>
            <w:r w:rsidRPr="00BD7577">
              <w:rPr>
                <w:rStyle w:val="Bodytext295pt"/>
                <w:rFonts w:ascii="Sylfaen" w:hAnsi="Sylfaen"/>
                <w:spacing w:val="0"/>
                <w:sz w:val="24"/>
                <w:szCs w:val="24"/>
              </w:rPr>
              <w:tab/>
              <w:t>Պացիենտի վրա դեղանյութի ազդեցությունը:</w:t>
            </w:r>
          </w:p>
        </w:tc>
      </w:tr>
      <w:tr w:rsidR="008C76E0" w:rsidRPr="00BD7577" w14:paraId="552625A5" w14:textId="77777777" w:rsidTr="008C76E0">
        <w:trPr>
          <w:trHeight w:val="1268"/>
        </w:trPr>
        <w:tc>
          <w:tcPr>
            <w:tcW w:w="10279" w:type="dxa"/>
            <w:gridSpan w:val="10"/>
            <w:shd w:val="clear" w:color="auto" w:fill="FFFFFF"/>
          </w:tcPr>
          <w:p w14:paraId="7FE846EE" w14:textId="77777777" w:rsidR="008C76E0" w:rsidRPr="008C76E0" w:rsidRDefault="008C76E0" w:rsidP="008C76E0">
            <w:pPr>
              <w:pStyle w:val="Bodytext180"/>
              <w:shd w:val="clear" w:color="auto" w:fill="auto"/>
              <w:spacing w:before="0" w:after="120" w:line="240" w:lineRule="auto"/>
              <w:ind w:firstLine="567"/>
              <w:rPr>
                <w:rFonts w:ascii="Sylfaen" w:hAnsi="Sylfaen"/>
                <w:b w:val="0"/>
                <w:sz w:val="24"/>
                <w:szCs w:val="24"/>
                <w:lang w:val="hy-AM"/>
              </w:rPr>
            </w:pPr>
            <w:r w:rsidRPr="00BD7577">
              <w:rPr>
                <w:rStyle w:val="Bodytext295pt"/>
                <w:rFonts w:ascii="Sylfaen" w:hAnsi="Sylfaen"/>
                <w:spacing w:val="0"/>
                <w:sz w:val="24"/>
                <w:szCs w:val="24"/>
              </w:rPr>
              <w:t>Աղյուսակի նմուշ՝ պացիենտի վրա դեղանյութի ազդեցությունը</w:t>
            </w:r>
          </w:p>
          <w:p w14:paraId="0CF604E3" w14:textId="77777777" w:rsidR="008C76E0" w:rsidRPr="00BD7577" w:rsidRDefault="008C76E0" w:rsidP="008C76E0">
            <w:pPr>
              <w:pStyle w:val="Bodytext180"/>
              <w:spacing w:before="0" w:after="120" w:line="240" w:lineRule="auto"/>
              <w:ind w:firstLine="567"/>
              <w:rPr>
                <w:rFonts w:ascii="Sylfaen" w:hAnsi="Sylfaen"/>
                <w:b w:val="0"/>
                <w:sz w:val="24"/>
                <w:szCs w:val="24"/>
              </w:rPr>
            </w:pPr>
            <w:r w:rsidRPr="00BD7577">
              <w:rPr>
                <w:rStyle w:val="Bodytext295pt"/>
                <w:rFonts w:ascii="Sylfaen" w:hAnsi="Sylfaen"/>
                <w:spacing w:val="0"/>
                <w:sz w:val="24"/>
                <w:szCs w:val="24"/>
              </w:rPr>
              <w:t>(թույլատրելի մակարդակը)</w:t>
            </w:r>
          </w:p>
        </w:tc>
      </w:tr>
      <w:tr w:rsidR="008C76E0" w:rsidRPr="00BD7577" w14:paraId="7DA715CE" w14:textId="77777777" w:rsidTr="008C76E0">
        <w:tc>
          <w:tcPr>
            <w:tcW w:w="2704" w:type="dxa"/>
            <w:shd w:val="clear" w:color="auto" w:fill="FFFFFF"/>
          </w:tcPr>
          <w:p w14:paraId="337F1916" w14:textId="77777777" w:rsidR="008C76E0" w:rsidRPr="00BD7577" w:rsidRDefault="008C76E0" w:rsidP="008C76E0">
            <w:pPr>
              <w:pStyle w:val="Bodytext180"/>
              <w:shd w:val="clear" w:color="auto" w:fill="auto"/>
              <w:spacing w:before="0" w:after="120" w:line="240" w:lineRule="auto"/>
              <w:ind w:left="50" w:firstLine="0"/>
              <w:rPr>
                <w:rFonts w:ascii="Sylfaen" w:hAnsi="Sylfaen"/>
                <w:b w:val="0"/>
                <w:sz w:val="24"/>
                <w:szCs w:val="24"/>
              </w:rPr>
            </w:pPr>
          </w:p>
        </w:tc>
        <w:tc>
          <w:tcPr>
            <w:tcW w:w="1842" w:type="dxa"/>
            <w:gridSpan w:val="2"/>
            <w:shd w:val="clear" w:color="auto" w:fill="FFFFFF"/>
          </w:tcPr>
          <w:p w14:paraId="2DF23B48" w14:textId="77777777" w:rsidR="008C76E0" w:rsidRPr="00BD7577" w:rsidRDefault="008C76E0" w:rsidP="008C76E0">
            <w:pPr>
              <w:pStyle w:val="Bodytext180"/>
              <w:shd w:val="clear" w:color="auto" w:fill="auto"/>
              <w:spacing w:before="0" w:after="120" w:line="240" w:lineRule="auto"/>
              <w:ind w:left="50" w:firstLine="0"/>
              <w:rPr>
                <w:rFonts w:ascii="Sylfaen" w:hAnsi="Sylfaen"/>
                <w:b w:val="0"/>
                <w:sz w:val="24"/>
                <w:szCs w:val="24"/>
              </w:rPr>
            </w:pPr>
            <w:r w:rsidRPr="00BD7577">
              <w:rPr>
                <w:rStyle w:val="Bodytext1811pt"/>
                <w:rFonts w:ascii="Sylfaen" w:hAnsi="Sylfaen"/>
                <w:sz w:val="24"/>
                <w:szCs w:val="24"/>
              </w:rPr>
              <w:t>Ներառված պացիենտները</w:t>
            </w:r>
          </w:p>
        </w:tc>
        <w:tc>
          <w:tcPr>
            <w:tcW w:w="1716" w:type="dxa"/>
            <w:gridSpan w:val="3"/>
            <w:shd w:val="clear" w:color="auto" w:fill="FFFFFF"/>
          </w:tcPr>
          <w:p w14:paraId="40D90E46"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Բուժում ստացած պացիենտները</w:t>
            </w:r>
          </w:p>
        </w:tc>
        <w:tc>
          <w:tcPr>
            <w:tcW w:w="2076" w:type="dxa"/>
            <w:gridSpan w:val="2"/>
            <w:shd w:val="clear" w:color="auto" w:fill="FFFFFF"/>
            <w:vAlign w:val="bottom"/>
          </w:tcPr>
          <w:p w14:paraId="62057A74" w14:textId="77777777" w:rsidR="008C76E0" w:rsidRPr="00BD7577" w:rsidRDefault="008C76E0" w:rsidP="008C76E0">
            <w:pPr>
              <w:pStyle w:val="Bodytext180"/>
              <w:shd w:val="clear" w:color="auto" w:fill="auto"/>
              <w:spacing w:before="0" w:after="120" w:line="240" w:lineRule="auto"/>
              <w:ind w:left="180" w:firstLine="0"/>
              <w:rPr>
                <w:rFonts w:ascii="Sylfaen" w:hAnsi="Sylfaen"/>
                <w:b w:val="0"/>
                <w:sz w:val="24"/>
                <w:szCs w:val="24"/>
              </w:rPr>
            </w:pPr>
            <w:r w:rsidRPr="00BD7577">
              <w:rPr>
                <w:rStyle w:val="Bodytext1811pt"/>
                <w:rFonts w:ascii="Sylfaen" w:hAnsi="Sylfaen"/>
                <w:sz w:val="24"/>
                <w:szCs w:val="24"/>
              </w:rPr>
              <w:t>Պացիենտները՝ դոզաների առաջարկվող ընդգրկույթի ներգործությամբ</w:t>
            </w:r>
          </w:p>
        </w:tc>
        <w:tc>
          <w:tcPr>
            <w:tcW w:w="1941" w:type="dxa"/>
            <w:gridSpan w:val="2"/>
            <w:shd w:val="clear" w:color="auto" w:fill="FFFFFF"/>
            <w:vAlign w:val="bottom"/>
          </w:tcPr>
          <w:p w14:paraId="0737AAFB"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Պացիենտները՝ անվտանգության մասին երկարաժամկետ* տվյալներով</w:t>
            </w:r>
          </w:p>
        </w:tc>
      </w:tr>
      <w:tr w:rsidR="008C76E0" w:rsidRPr="00BD7577" w14:paraId="3F81B13D" w14:textId="77777777" w:rsidTr="008C76E0">
        <w:tc>
          <w:tcPr>
            <w:tcW w:w="2704" w:type="dxa"/>
            <w:tcBorders>
              <w:top w:val="single" w:sz="4" w:space="0" w:color="auto"/>
            </w:tcBorders>
            <w:shd w:val="clear" w:color="auto" w:fill="FFFFFF"/>
          </w:tcPr>
          <w:p w14:paraId="0DFC69A3"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Պլացեբո-վերահսկվող հետազոտությունները</w:t>
            </w:r>
          </w:p>
        </w:tc>
        <w:tc>
          <w:tcPr>
            <w:tcW w:w="1842" w:type="dxa"/>
            <w:gridSpan w:val="2"/>
            <w:tcBorders>
              <w:top w:val="single" w:sz="4" w:space="0" w:color="auto"/>
            </w:tcBorders>
            <w:shd w:val="clear" w:color="auto" w:fill="FFFFFF"/>
          </w:tcPr>
          <w:p w14:paraId="276D57FA" w14:textId="77777777" w:rsidR="008C76E0" w:rsidRPr="00BD7577" w:rsidRDefault="008C76E0" w:rsidP="008C76E0">
            <w:pPr>
              <w:spacing w:after="120" w:line="240" w:lineRule="auto"/>
              <w:rPr>
                <w:rFonts w:ascii="Sylfaen" w:hAnsi="Sylfaen"/>
                <w:sz w:val="24"/>
                <w:szCs w:val="24"/>
              </w:rPr>
            </w:pPr>
          </w:p>
        </w:tc>
        <w:tc>
          <w:tcPr>
            <w:tcW w:w="1716" w:type="dxa"/>
            <w:gridSpan w:val="3"/>
            <w:tcBorders>
              <w:top w:val="single" w:sz="4" w:space="0" w:color="auto"/>
            </w:tcBorders>
            <w:shd w:val="clear" w:color="auto" w:fill="FFFFFF"/>
          </w:tcPr>
          <w:p w14:paraId="28D4C96B" w14:textId="77777777" w:rsidR="008C76E0" w:rsidRPr="00BD7577" w:rsidRDefault="008C76E0" w:rsidP="008C76E0">
            <w:pPr>
              <w:spacing w:after="120" w:line="240" w:lineRule="auto"/>
              <w:rPr>
                <w:rFonts w:ascii="Sylfaen" w:hAnsi="Sylfaen"/>
                <w:sz w:val="24"/>
                <w:szCs w:val="24"/>
              </w:rPr>
            </w:pPr>
          </w:p>
        </w:tc>
        <w:tc>
          <w:tcPr>
            <w:tcW w:w="2076" w:type="dxa"/>
            <w:gridSpan w:val="2"/>
            <w:tcBorders>
              <w:top w:val="single" w:sz="4" w:space="0" w:color="auto"/>
            </w:tcBorders>
            <w:shd w:val="clear" w:color="auto" w:fill="FFFFFF"/>
          </w:tcPr>
          <w:p w14:paraId="063FDF2C" w14:textId="77777777" w:rsidR="008C76E0" w:rsidRPr="00BD7577" w:rsidRDefault="008C76E0" w:rsidP="008C76E0">
            <w:pPr>
              <w:spacing w:after="120" w:line="240" w:lineRule="auto"/>
              <w:rPr>
                <w:rFonts w:ascii="Sylfaen" w:hAnsi="Sylfaen"/>
                <w:sz w:val="24"/>
                <w:szCs w:val="24"/>
              </w:rPr>
            </w:pPr>
          </w:p>
        </w:tc>
        <w:tc>
          <w:tcPr>
            <w:tcW w:w="1941" w:type="dxa"/>
            <w:gridSpan w:val="2"/>
            <w:tcBorders>
              <w:top w:val="single" w:sz="4" w:space="0" w:color="auto"/>
            </w:tcBorders>
            <w:shd w:val="clear" w:color="auto" w:fill="FFFFFF"/>
          </w:tcPr>
          <w:p w14:paraId="5B615188" w14:textId="77777777" w:rsidR="008C76E0" w:rsidRPr="00BD7577" w:rsidRDefault="008C76E0" w:rsidP="008C76E0">
            <w:pPr>
              <w:spacing w:after="120" w:line="240" w:lineRule="auto"/>
              <w:rPr>
                <w:rFonts w:ascii="Sylfaen" w:hAnsi="Sylfaen"/>
                <w:sz w:val="24"/>
                <w:szCs w:val="24"/>
              </w:rPr>
            </w:pPr>
          </w:p>
        </w:tc>
      </w:tr>
      <w:tr w:rsidR="008C76E0" w:rsidRPr="00BD7577" w14:paraId="09F10924" w14:textId="77777777" w:rsidTr="008C76E0">
        <w:tc>
          <w:tcPr>
            <w:tcW w:w="2704" w:type="dxa"/>
            <w:shd w:val="clear" w:color="auto" w:fill="FFFFFF"/>
            <w:vAlign w:val="center"/>
          </w:tcPr>
          <w:p w14:paraId="6D793B09"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Ակտիվ հսկողությամբ հետազոտությունները</w:t>
            </w:r>
          </w:p>
        </w:tc>
        <w:tc>
          <w:tcPr>
            <w:tcW w:w="1842" w:type="dxa"/>
            <w:gridSpan w:val="2"/>
            <w:shd w:val="clear" w:color="auto" w:fill="FFFFFF"/>
          </w:tcPr>
          <w:p w14:paraId="5EDACC37" w14:textId="77777777" w:rsidR="008C76E0" w:rsidRPr="00BD7577" w:rsidRDefault="008C76E0" w:rsidP="008C76E0">
            <w:pPr>
              <w:spacing w:after="120" w:line="240" w:lineRule="auto"/>
              <w:rPr>
                <w:rFonts w:ascii="Sylfaen" w:hAnsi="Sylfaen"/>
                <w:sz w:val="24"/>
                <w:szCs w:val="24"/>
              </w:rPr>
            </w:pPr>
          </w:p>
        </w:tc>
        <w:tc>
          <w:tcPr>
            <w:tcW w:w="1716" w:type="dxa"/>
            <w:gridSpan w:val="3"/>
            <w:shd w:val="clear" w:color="auto" w:fill="FFFFFF"/>
          </w:tcPr>
          <w:p w14:paraId="0AD9553E" w14:textId="77777777" w:rsidR="008C76E0" w:rsidRPr="00BD7577" w:rsidRDefault="008C76E0" w:rsidP="008C76E0">
            <w:pPr>
              <w:spacing w:after="120" w:line="240" w:lineRule="auto"/>
              <w:rPr>
                <w:rFonts w:ascii="Sylfaen" w:hAnsi="Sylfaen"/>
                <w:sz w:val="24"/>
                <w:szCs w:val="24"/>
              </w:rPr>
            </w:pPr>
          </w:p>
        </w:tc>
        <w:tc>
          <w:tcPr>
            <w:tcW w:w="2076" w:type="dxa"/>
            <w:gridSpan w:val="2"/>
            <w:shd w:val="clear" w:color="auto" w:fill="FFFFFF"/>
          </w:tcPr>
          <w:p w14:paraId="4EA7D748" w14:textId="77777777" w:rsidR="008C76E0" w:rsidRPr="00BD7577" w:rsidRDefault="008C76E0" w:rsidP="008C76E0">
            <w:pPr>
              <w:spacing w:after="120" w:line="240" w:lineRule="auto"/>
              <w:rPr>
                <w:rFonts w:ascii="Sylfaen" w:hAnsi="Sylfaen"/>
                <w:sz w:val="24"/>
                <w:szCs w:val="24"/>
              </w:rPr>
            </w:pPr>
          </w:p>
        </w:tc>
        <w:tc>
          <w:tcPr>
            <w:tcW w:w="1941" w:type="dxa"/>
            <w:gridSpan w:val="2"/>
            <w:shd w:val="clear" w:color="auto" w:fill="FFFFFF"/>
          </w:tcPr>
          <w:p w14:paraId="17FAC1FF" w14:textId="77777777" w:rsidR="008C76E0" w:rsidRPr="00BD7577" w:rsidRDefault="008C76E0" w:rsidP="008C76E0">
            <w:pPr>
              <w:spacing w:after="120" w:line="240" w:lineRule="auto"/>
              <w:rPr>
                <w:rFonts w:ascii="Sylfaen" w:hAnsi="Sylfaen"/>
                <w:sz w:val="24"/>
                <w:szCs w:val="24"/>
              </w:rPr>
            </w:pPr>
          </w:p>
        </w:tc>
      </w:tr>
      <w:tr w:rsidR="008C76E0" w:rsidRPr="00BD7577" w14:paraId="43658E40" w14:textId="77777777" w:rsidTr="008C76E0">
        <w:tc>
          <w:tcPr>
            <w:tcW w:w="2704" w:type="dxa"/>
            <w:shd w:val="clear" w:color="auto" w:fill="FFFFFF"/>
            <w:vAlign w:val="center"/>
          </w:tcPr>
          <w:p w14:paraId="7EF851B6"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Բաց հետազոտությունները</w:t>
            </w:r>
          </w:p>
        </w:tc>
        <w:tc>
          <w:tcPr>
            <w:tcW w:w="1842" w:type="dxa"/>
            <w:gridSpan w:val="2"/>
            <w:shd w:val="clear" w:color="auto" w:fill="FFFFFF"/>
          </w:tcPr>
          <w:p w14:paraId="1763B6B2" w14:textId="77777777" w:rsidR="008C76E0" w:rsidRPr="00BD7577" w:rsidRDefault="008C76E0" w:rsidP="008C76E0">
            <w:pPr>
              <w:spacing w:after="120" w:line="240" w:lineRule="auto"/>
              <w:rPr>
                <w:rFonts w:ascii="Sylfaen" w:hAnsi="Sylfaen"/>
                <w:sz w:val="24"/>
                <w:szCs w:val="24"/>
              </w:rPr>
            </w:pPr>
          </w:p>
        </w:tc>
        <w:tc>
          <w:tcPr>
            <w:tcW w:w="1716" w:type="dxa"/>
            <w:gridSpan w:val="3"/>
            <w:shd w:val="clear" w:color="auto" w:fill="FFFFFF"/>
          </w:tcPr>
          <w:p w14:paraId="67647CA4" w14:textId="77777777" w:rsidR="008C76E0" w:rsidRPr="00BD7577" w:rsidRDefault="008C76E0" w:rsidP="008C76E0">
            <w:pPr>
              <w:spacing w:after="120" w:line="240" w:lineRule="auto"/>
              <w:rPr>
                <w:rFonts w:ascii="Sylfaen" w:hAnsi="Sylfaen"/>
                <w:sz w:val="24"/>
                <w:szCs w:val="24"/>
              </w:rPr>
            </w:pPr>
          </w:p>
        </w:tc>
        <w:tc>
          <w:tcPr>
            <w:tcW w:w="2076" w:type="dxa"/>
            <w:gridSpan w:val="2"/>
            <w:shd w:val="clear" w:color="auto" w:fill="FFFFFF"/>
          </w:tcPr>
          <w:p w14:paraId="150E7F57" w14:textId="77777777" w:rsidR="008C76E0" w:rsidRPr="00BD7577" w:rsidRDefault="008C76E0" w:rsidP="008C76E0">
            <w:pPr>
              <w:spacing w:after="120" w:line="240" w:lineRule="auto"/>
              <w:rPr>
                <w:rFonts w:ascii="Sylfaen" w:hAnsi="Sylfaen"/>
                <w:sz w:val="24"/>
                <w:szCs w:val="24"/>
              </w:rPr>
            </w:pPr>
          </w:p>
        </w:tc>
        <w:tc>
          <w:tcPr>
            <w:tcW w:w="1941" w:type="dxa"/>
            <w:gridSpan w:val="2"/>
            <w:shd w:val="clear" w:color="auto" w:fill="FFFFFF"/>
          </w:tcPr>
          <w:p w14:paraId="6837E553" w14:textId="77777777" w:rsidR="008C76E0" w:rsidRPr="00BD7577" w:rsidRDefault="008C76E0" w:rsidP="008C76E0">
            <w:pPr>
              <w:spacing w:after="120" w:line="240" w:lineRule="auto"/>
              <w:rPr>
                <w:rFonts w:ascii="Sylfaen" w:hAnsi="Sylfaen"/>
                <w:sz w:val="24"/>
                <w:szCs w:val="24"/>
              </w:rPr>
            </w:pPr>
          </w:p>
        </w:tc>
      </w:tr>
      <w:tr w:rsidR="008C76E0" w:rsidRPr="00BD7577" w14:paraId="127552C0" w14:textId="77777777" w:rsidTr="008C76E0">
        <w:tc>
          <w:tcPr>
            <w:tcW w:w="2704" w:type="dxa"/>
            <w:shd w:val="clear" w:color="auto" w:fill="FFFFFF"/>
            <w:vAlign w:val="center"/>
          </w:tcPr>
          <w:p w14:paraId="2A0EF2B6"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 xml:space="preserve">Հետմարքեթինգային հետազոտությունները </w:t>
            </w:r>
          </w:p>
        </w:tc>
        <w:tc>
          <w:tcPr>
            <w:tcW w:w="1842" w:type="dxa"/>
            <w:gridSpan w:val="2"/>
            <w:shd w:val="clear" w:color="auto" w:fill="FFFFFF"/>
          </w:tcPr>
          <w:p w14:paraId="1A81F235" w14:textId="77777777" w:rsidR="008C76E0" w:rsidRPr="00BD7577" w:rsidRDefault="008C76E0" w:rsidP="008C76E0">
            <w:pPr>
              <w:spacing w:after="120" w:line="240" w:lineRule="auto"/>
              <w:rPr>
                <w:rFonts w:ascii="Sylfaen" w:hAnsi="Sylfaen"/>
                <w:sz w:val="24"/>
                <w:szCs w:val="24"/>
                <w:lang w:val="en-US"/>
              </w:rPr>
            </w:pPr>
          </w:p>
        </w:tc>
        <w:tc>
          <w:tcPr>
            <w:tcW w:w="1716" w:type="dxa"/>
            <w:gridSpan w:val="3"/>
            <w:shd w:val="clear" w:color="auto" w:fill="FFFFFF"/>
          </w:tcPr>
          <w:p w14:paraId="063596AD" w14:textId="77777777" w:rsidR="008C76E0" w:rsidRPr="00BD7577" w:rsidRDefault="008C76E0" w:rsidP="008C76E0">
            <w:pPr>
              <w:spacing w:after="120" w:line="240" w:lineRule="auto"/>
              <w:rPr>
                <w:rFonts w:ascii="Sylfaen" w:hAnsi="Sylfaen"/>
                <w:sz w:val="24"/>
                <w:szCs w:val="24"/>
                <w:lang w:val="en-US"/>
              </w:rPr>
            </w:pPr>
          </w:p>
        </w:tc>
        <w:tc>
          <w:tcPr>
            <w:tcW w:w="2076" w:type="dxa"/>
            <w:gridSpan w:val="2"/>
            <w:shd w:val="clear" w:color="auto" w:fill="FFFFFF"/>
          </w:tcPr>
          <w:p w14:paraId="50E21FE5" w14:textId="77777777" w:rsidR="008C76E0" w:rsidRPr="00BD7577" w:rsidRDefault="008C76E0" w:rsidP="008C76E0">
            <w:pPr>
              <w:spacing w:after="120" w:line="240" w:lineRule="auto"/>
              <w:rPr>
                <w:rFonts w:ascii="Sylfaen" w:hAnsi="Sylfaen"/>
                <w:sz w:val="24"/>
                <w:szCs w:val="24"/>
              </w:rPr>
            </w:pPr>
          </w:p>
        </w:tc>
        <w:tc>
          <w:tcPr>
            <w:tcW w:w="1941" w:type="dxa"/>
            <w:gridSpan w:val="2"/>
            <w:shd w:val="clear" w:color="auto" w:fill="FFFFFF"/>
          </w:tcPr>
          <w:p w14:paraId="0DEE851D" w14:textId="77777777" w:rsidR="008C76E0" w:rsidRPr="00BD7577" w:rsidRDefault="008C76E0" w:rsidP="008C76E0">
            <w:pPr>
              <w:spacing w:after="120" w:line="240" w:lineRule="auto"/>
              <w:rPr>
                <w:rFonts w:ascii="Sylfaen" w:hAnsi="Sylfaen"/>
                <w:sz w:val="24"/>
                <w:szCs w:val="24"/>
              </w:rPr>
            </w:pPr>
          </w:p>
        </w:tc>
      </w:tr>
      <w:tr w:rsidR="008C76E0" w:rsidRPr="00BD7577" w14:paraId="2D55781F" w14:textId="77777777" w:rsidTr="008C76E0">
        <w:tc>
          <w:tcPr>
            <w:tcW w:w="2704" w:type="dxa"/>
            <w:shd w:val="clear" w:color="auto" w:fill="FFFFFF"/>
            <w:vAlign w:val="center"/>
          </w:tcPr>
          <w:p w14:paraId="39F43F7B"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Կարեկցանքի նկատառումներից բխող կիրառում</w:t>
            </w:r>
          </w:p>
        </w:tc>
        <w:tc>
          <w:tcPr>
            <w:tcW w:w="1842" w:type="dxa"/>
            <w:gridSpan w:val="2"/>
            <w:shd w:val="clear" w:color="auto" w:fill="FFFFFF"/>
          </w:tcPr>
          <w:p w14:paraId="6A342035" w14:textId="77777777" w:rsidR="008C76E0" w:rsidRPr="00BD7577" w:rsidRDefault="008C76E0" w:rsidP="008C76E0">
            <w:pPr>
              <w:spacing w:after="120" w:line="240" w:lineRule="auto"/>
              <w:rPr>
                <w:rFonts w:ascii="Sylfaen" w:hAnsi="Sylfaen"/>
                <w:sz w:val="24"/>
                <w:szCs w:val="24"/>
              </w:rPr>
            </w:pPr>
          </w:p>
        </w:tc>
        <w:tc>
          <w:tcPr>
            <w:tcW w:w="1716" w:type="dxa"/>
            <w:gridSpan w:val="3"/>
            <w:shd w:val="clear" w:color="auto" w:fill="FFFFFF"/>
          </w:tcPr>
          <w:p w14:paraId="6CC478E1" w14:textId="77777777" w:rsidR="008C76E0" w:rsidRPr="00BD7577" w:rsidRDefault="008C76E0" w:rsidP="008C76E0">
            <w:pPr>
              <w:spacing w:after="120" w:line="240" w:lineRule="auto"/>
              <w:rPr>
                <w:rFonts w:ascii="Sylfaen" w:hAnsi="Sylfaen"/>
                <w:sz w:val="24"/>
                <w:szCs w:val="24"/>
              </w:rPr>
            </w:pPr>
          </w:p>
        </w:tc>
        <w:tc>
          <w:tcPr>
            <w:tcW w:w="2076" w:type="dxa"/>
            <w:gridSpan w:val="2"/>
            <w:shd w:val="clear" w:color="auto" w:fill="FFFFFF"/>
          </w:tcPr>
          <w:p w14:paraId="485E3198" w14:textId="77777777" w:rsidR="008C76E0" w:rsidRPr="00BD7577" w:rsidRDefault="008C76E0" w:rsidP="008C76E0">
            <w:pPr>
              <w:spacing w:after="120" w:line="240" w:lineRule="auto"/>
              <w:rPr>
                <w:rFonts w:ascii="Sylfaen" w:hAnsi="Sylfaen"/>
                <w:sz w:val="24"/>
                <w:szCs w:val="24"/>
              </w:rPr>
            </w:pPr>
          </w:p>
        </w:tc>
        <w:tc>
          <w:tcPr>
            <w:tcW w:w="1941" w:type="dxa"/>
            <w:gridSpan w:val="2"/>
            <w:shd w:val="clear" w:color="auto" w:fill="FFFFFF"/>
          </w:tcPr>
          <w:p w14:paraId="60A176BF" w14:textId="77777777" w:rsidR="008C76E0" w:rsidRPr="00BD7577" w:rsidRDefault="008C76E0" w:rsidP="008C76E0">
            <w:pPr>
              <w:spacing w:after="120" w:line="240" w:lineRule="auto"/>
              <w:rPr>
                <w:rFonts w:ascii="Sylfaen" w:hAnsi="Sylfaen"/>
                <w:sz w:val="24"/>
                <w:szCs w:val="24"/>
              </w:rPr>
            </w:pPr>
          </w:p>
        </w:tc>
      </w:tr>
      <w:tr w:rsidR="008C76E0" w:rsidRPr="00BD7577" w14:paraId="4041716A" w14:textId="77777777" w:rsidTr="008C76E0">
        <w:tc>
          <w:tcPr>
            <w:tcW w:w="10279" w:type="dxa"/>
            <w:gridSpan w:val="10"/>
            <w:tcBorders>
              <w:top w:val="single" w:sz="4" w:space="0" w:color="auto"/>
              <w:bottom w:val="single" w:sz="4" w:space="0" w:color="auto"/>
            </w:tcBorders>
            <w:shd w:val="clear" w:color="auto" w:fill="FFFFFF"/>
          </w:tcPr>
          <w:p w14:paraId="42EE04F8"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 Նշումը վերաբերում է 6 կամ 12 ամիս ժամանակահատվածի ընթացքում անընդհատ կամ ընդհատվող ներգործության տվյալներին:</w:t>
            </w:r>
          </w:p>
        </w:tc>
      </w:tr>
      <w:tr w:rsidR="008C76E0" w:rsidRPr="00BD7577" w14:paraId="4B2A2E0A" w14:textId="77777777" w:rsidTr="008C76E0">
        <w:tc>
          <w:tcPr>
            <w:tcW w:w="10279" w:type="dxa"/>
            <w:gridSpan w:val="10"/>
            <w:tcBorders>
              <w:top w:val="single" w:sz="4" w:space="0" w:color="auto"/>
              <w:left w:val="single" w:sz="4" w:space="0" w:color="auto"/>
              <w:bottom w:val="single" w:sz="4" w:space="0" w:color="auto"/>
              <w:right w:val="single" w:sz="4" w:space="0" w:color="auto"/>
            </w:tcBorders>
            <w:shd w:val="clear" w:color="auto" w:fill="FFFFFF"/>
          </w:tcPr>
          <w:p w14:paraId="29A8C8C0"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09BF30B8" w14:textId="77777777" w:rsidTr="008C76E0">
        <w:tc>
          <w:tcPr>
            <w:tcW w:w="10279" w:type="dxa"/>
            <w:gridSpan w:val="10"/>
            <w:tcBorders>
              <w:top w:val="single" w:sz="4" w:space="0" w:color="auto"/>
            </w:tcBorders>
            <w:shd w:val="clear" w:color="auto" w:fill="FFFFFF"/>
            <w:vAlign w:val="center"/>
          </w:tcPr>
          <w:p w14:paraId="2C3509A1" w14:textId="77777777" w:rsidR="008C76E0" w:rsidRPr="00BD7577" w:rsidRDefault="008C76E0" w:rsidP="008C76E0">
            <w:pPr>
              <w:pStyle w:val="Bodytext180"/>
              <w:shd w:val="clear" w:color="auto" w:fill="auto"/>
              <w:tabs>
                <w:tab w:val="left" w:pos="1134"/>
              </w:tabs>
              <w:spacing w:before="0" w:after="120" w:line="24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4.3.</w:t>
            </w:r>
            <w:r w:rsidRPr="00BD7577">
              <w:rPr>
                <w:rStyle w:val="Bodytext295pt"/>
                <w:rFonts w:ascii="Sylfaen" w:hAnsi="Sylfaen"/>
                <w:spacing w:val="0"/>
                <w:sz w:val="24"/>
                <w:szCs w:val="24"/>
              </w:rPr>
              <w:tab/>
              <w:t>Անցանկալի եր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ույթները:</w:t>
            </w:r>
          </w:p>
        </w:tc>
      </w:tr>
      <w:tr w:rsidR="008C76E0" w:rsidRPr="00BD7577" w14:paraId="12C7A127" w14:textId="77777777" w:rsidTr="008C76E0">
        <w:tc>
          <w:tcPr>
            <w:tcW w:w="10279" w:type="dxa"/>
            <w:gridSpan w:val="10"/>
            <w:tcBorders>
              <w:top w:val="single" w:sz="4" w:space="0" w:color="auto"/>
              <w:bottom w:val="single" w:sz="4" w:space="0" w:color="auto"/>
            </w:tcBorders>
            <w:shd w:val="clear" w:color="auto" w:fill="FFFFFF"/>
          </w:tcPr>
          <w:p w14:paraId="06BCC469" w14:textId="77777777" w:rsidR="008C76E0" w:rsidRPr="00BD7577" w:rsidRDefault="008C76E0" w:rsidP="008C76E0">
            <w:pPr>
              <w:pStyle w:val="Bodytext180"/>
              <w:shd w:val="clear" w:color="auto" w:fill="auto"/>
              <w:spacing w:before="0" w:after="120" w:line="240" w:lineRule="auto"/>
              <w:ind w:firstLine="53"/>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FEDC152" w14:textId="77777777" w:rsidTr="008C76E0">
        <w:tc>
          <w:tcPr>
            <w:tcW w:w="10279" w:type="dxa"/>
            <w:gridSpan w:val="10"/>
            <w:shd w:val="clear" w:color="auto" w:fill="FFFFFF"/>
          </w:tcPr>
          <w:p w14:paraId="0F7E00B4" w14:textId="77777777" w:rsidR="008C76E0" w:rsidRPr="00BD7577" w:rsidRDefault="008C76E0" w:rsidP="008C76E0">
            <w:pPr>
              <w:pStyle w:val="Bodytext180"/>
              <w:shd w:val="clear" w:color="auto" w:fill="auto"/>
              <w:tabs>
                <w:tab w:val="left" w:pos="1102"/>
              </w:tabs>
              <w:spacing w:before="0" w:after="120" w:line="24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4.4.</w:t>
            </w:r>
            <w:r w:rsidRPr="00BD7577">
              <w:rPr>
                <w:rStyle w:val="Bodytext295pt"/>
                <w:rFonts w:ascii="Sylfaen" w:hAnsi="Sylfaen"/>
                <w:spacing w:val="0"/>
                <w:sz w:val="24"/>
                <w:szCs w:val="24"/>
              </w:rPr>
              <w:tab/>
              <w:t>Լուրջ անցանկալի եր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ույթներն ու մահացու ելքը:</w:t>
            </w:r>
          </w:p>
        </w:tc>
      </w:tr>
      <w:tr w:rsidR="008C76E0" w:rsidRPr="00BD7577" w14:paraId="18CA1968"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0F1E4F05" w14:textId="77777777" w:rsidR="008C76E0" w:rsidRPr="00BD7577" w:rsidRDefault="008C76E0" w:rsidP="008C76E0">
            <w:pPr>
              <w:pStyle w:val="Bodytext180"/>
              <w:shd w:val="clear" w:color="auto" w:fill="auto"/>
              <w:spacing w:before="0" w:after="120" w:line="240" w:lineRule="auto"/>
              <w:ind w:firstLine="53"/>
              <w:rPr>
                <w:rFonts w:ascii="Sylfaen" w:hAnsi="Sylfaen"/>
                <w:b w:val="0"/>
                <w:sz w:val="24"/>
                <w:szCs w:val="24"/>
              </w:rPr>
            </w:pPr>
            <w:r w:rsidRPr="00BD7577">
              <w:rPr>
                <w:rStyle w:val="Bodytext295pt"/>
                <w:rFonts w:ascii="Sylfaen" w:hAnsi="Sylfaen"/>
                <w:spacing w:val="0"/>
                <w:sz w:val="24"/>
                <w:szCs w:val="24"/>
              </w:rPr>
              <w:lastRenderedPageBreak/>
              <w:t>Փորձագետի մեկնաբանությունը</w:t>
            </w:r>
          </w:p>
        </w:tc>
      </w:tr>
      <w:tr w:rsidR="008C76E0" w:rsidRPr="00BD7577" w14:paraId="7C77D790" w14:textId="77777777" w:rsidTr="008C76E0">
        <w:tc>
          <w:tcPr>
            <w:tcW w:w="10279" w:type="dxa"/>
            <w:gridSpan w:val="10"/>
            <w:tcBorders>
              <w:top w:val="single" w:sz="4" w:space="0" w:color="auto"/>
            </w:tcBorders>
            <w:shd w:val="clear" w:color="auto" w:fill="FFFFFF"/>
            <w:vAlign w:val="bottom"/>
          </w:tcPr>
          <w:p w14:paraId="1C3D732A" w14:textId="77777777" w:rsidR="008C76E0" w:rsidRPr="00BD7577" w:rsidRDefault="008C76E0" w:rsidP="008C76E0">
            <w:pPr>
              <w:pStyle w:val="Bodytext180"/>
              <w:shd w:val="clear" w:color="auto" w:fill="auto"/>
              <w:tabs>
                <w:tab w:val="left" w:pos="1134"/>
              </w:tabs>
              <w:spacing w:before="0" w:after="120" w:line="24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4.5.</w:t>
            </w:r>
            <w:r w:rsidRPr="00BD7577">
              <w:rPr>
                <w:rStyle w:val="Bodytext295pt"/>
                <w:rFonts w:ascii="Sylfaen" w:hAnsi="Sylfaen"/>
                <w:spacing w:val="0"/>
                <w:sz w:val="24"/>
                <w:szCs w:val="24"/>
              </w:rPr>
              <w:tab/>
              <w:t>Լաբորատոր հետազոտությունների տվյալները:</w:t>
            </w:r>
          </w:p>
        </w:tc>
      </w:tr>
      <w:tr w:rsidR="008C76E0" w:rsidRPr="00BD7577" w14:paraId="35950B76"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1C95B031"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4DB39B01" w14:textId="77777777" w:rsidTr="008C76E0">
        <w:tc>
          <w:tcPr>
            <w:tcW w:w="10279" w:type="dxa"/>
            <w:gridSpan w:val="10"/>
            <w:tcBorders>
              <w:top w:val="single" w:sz="4" w:space="0" w:color="auto"/>
            </w:tcBorders>
            <w:shd w:val="clear" w:color="auto" w:fill="FFFFFF"/>
            <w:vAlign w:val="center"/>
          </w:tcPr>
          <w:p w14:paraId="31E58888" w14:textId="77777777" w:rsidR="008C76E0" w:rsidRPr="00BD7577" w:rsidRDefault="008C76E0" w:rsidP="008C76E0">
            <w:pPr>
              <w:pStyle w:val="Bodytext180"/>
              <w:shd w:val="clear" w:color="auto" w:fill="auto"/>
              <w:tabs>
                <w:tab w:val="left" w:pos="1087"/>
              </w:tabs>
              <w:spacing w:before="0" w:after="120" w:line="24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4.6.</w:t>
            </w:r>
            <w:r w:rsidRPr="00BD7577">
              <w:rPr>
                <w:rStyle w:val="Bodytext295pt"/>
                <w:rFonts w:ascii="Sylfaen" w:hAnsi="Sylfaen"/>
                <w:spacing w:val="0"/>
                <w:sz w:val="24"/>
                <w:szCs w:val="24"/>
              </w:rPr>
              <w:tab/>
              <w:t>Բնակչության հատուկ խմբերի մոտ պատրաստուկի կիրառման անվտանգությունը:</w:t>
            </w:r>
          </w:p>
        </w:tc>
      </w:tr>
      <w:tr w:rsidR="008C76E0" w:rsidRPr="00BD7577" w14:paraId="5B1DE8AF" w14:textId="77777777" w:rsidTr="008C76E0">
        <w:tc>
          <w:tcPr>
            <w:tcW w:w="4263" w:type="dxa"/>
            <w:gridSpan w:val="2"/>
            <w:tcBorders>
              <w:top w:val="single" w:sz="4" w:space="0" w:color="auto"/>
              <w:left w:val="single" w:sz="4" w:space="0" w:color="auto"/>
            </w:tcBorders>
            <w:shd w:val="clear" w:color="auto" w:fill="FFFFFF"/>
          </w:tcPr>
          <w:p w14:paraId="7E4E47C8"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MedDRA բառարանի տերմինները</w:t>
            </w:r>
          </w:p>
        </w:tc>
        <w:tc>
          <w:tcPr>
            <w:tcW w:w="1371" w:type="dxa"/>
            <w:gridSpan w:val="3"/>
            <w:tcBorders>
              <w:top w:val="single" w:sz="4" w:space="0" w:color="auto"/>
              <w:left w:val="single" w:sz="4" w:space="0" w:color="auto"/>
            </w:tcBorders>
            <w:shd w:val="clear" w:color="auto" w:fill="FFFFFF"/>
            <w:vAlign w:val="bottom"/>
          </w:tcPr>
          <w:p w14:paraId="1C24BC5E"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մինչ</w:t>
            </w:r>
            <w:r w:rsidR="00C54D75">
              <w:rPr>
                <w:rStyle w:val="Bodytext1811pt"/>
                <w:rFonts w:ascii="Sylfaen" w:hAnsi="Sylfaen"/>
                <w:sz w:val="24"/>
                <w:szCs w:val="24"/>
              </w:rPr>
              <w:t>և</w:t>
            </w:r>
            <w:r w:rsidRPr="00BD7577">
              <w:rPr>
                <w:rStyle w:val="Bodytext1811pt"/>
                <w:rFonts w:ascii="Sylfaen" w:hAnsi="Sylfaen"/>
                <w:sz w:val="24"/>
                <w:szCs w:val="24"/>
              </w:rPr>
              <w:t xml:space="preserve"> 65 տարիքային խումբ, քանակ (տոկոս) </w:t>
            </w:r>
          </w:p>
        </w:tc>
        <w:tc>
          <w:tcPr>
            <w:tcW w:w="1480" w:type="dxa"/>
            <w:gridSpan w:val="2"/>
            <w:tcBorders>
              <w:top w:val="single" w:sz="4" w:space="0" w:color="auto"/>
              <w:left w:val="single" w:sz="4" w:space="0" w:color="auto"/>
            </w:tcBorders>
            <w:shd w:val="clear" w:color="auto" w:fill="FFFFFF"/>
            <w:vAlign w:val="bottom"/>
          </w:tcPr>
          <w:p w14:paraId="485B2D9A"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65-74 տարիքային խումբ, քանակ (տոկոս)</w:t>
            </w:r>
          </w:p>
        </w:tc>
        <w:tc>
          <w:tcPr>
            <w:tcW w:w="1498" w:type="dxa"/>
            <w:gridSpan w:val="2"/>
            <w:tcBorders>
              <w:top w:val="single" w:sz="4" w:space="0" w:color="auto"/>
              <w:left w:val="single" w:sz="4" w:space="0" w:color="auto"/>
            </w:tcBorders>
            <w:shd w:val="clear" w:color="auto" w:fill="FFFFFF"/>
            <w:vAlign w:val="bottom"/>
          </w:tcPr>
          <w:p w14:paraId="6CF14369"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75-84 տարիքային խումբ, քանակ (տոկոս)</w:t>
            </w:r>
          </w:p>
        </w:tc>
        <w:tc>
          <w:tcPr>
            <w:tcW w:w="1667" w:type="dxa"/>
            <w:tcBorders>
              <w:top w:val="single" w:sz="4" w:space="0" w:color="auto"/>
              <w:left w:val="single" w:sz="4" w:space="0" w:color="auto"/>
              <w:right w:val="single" w:sz="4" w:space="0" w:color="auto"/>
            </w:tcBorders>
            <w:shd w:val="clear" w:color="auto" w:fill="FFFFFF"/>
          </w:tcPr>
          <w:p w14:paraId="7EB40482"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85+ տարիքային խումբ, քանակ (տոկոս)</w:t>
            </w:r>
          </w:p>
        </w:tc>
      </w:tr>
      <w:tr w:rsidR="008C76E0" w:rsidRPr="00BD7577" w14:paraId="61CFE8E2" w14:textId="77777777" w:rsidTr="008C76E0">
        <w:tc>
          <w:tcPr>
            <w:tcW w:w="4263" w:type="dxa"/>
            <w:gridSpan w:val="2"/>
            <w:tcBorders>
              <w:top w:val="single" w:sz="4" w:space="0" w:color="auto"/>
              <w:left w:val="single" w:sz="4" w:space="0" w:color="auto"/>
            </w:tcBorders>
            <w:shd w:val="clear" w:color="auto" w:fill="FFFFFF"/>
          </w:tcPr>
          <w:p w14:paraId="25746C59"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Անցանկալի եր</w:t>
            </w:r>
            <w:r w:rsidR="00C54D75">
              <w:rPr>
                <w:rStyle w:val="Bodytext1811pt"/>
                <w:rFonts w:ascii="Sylfaen" w:hAnsi="Sylfaen"/>
                <w:sz w:val="24"/>
                <w:szCs w:val="24"/>
              </w:rPr>
              <w:t>և</w:t>
            </w:r>
            <w:r w:rsidRPr="00BD7577">
              <w:rPr>
                <w:rStyle w:val="Bodytext1811pt"/>
                <w:rFonts w:ascii="Sylfaen" w:hAnsi="Sylfaen"/>
                <w:sz w:val="24"/>
                <w:szCs w:val="24"/>
              </w:rPr>
              <w:t>ույթների ընդհանուր քանակը</w:t>
            </w:r>
          </w:p>
        </w:tc>
        <w:tc>
          <w:tcPr>
            <w:tcW w:w="1371" w:type="dxa"/>
            <w:gridSpan w:val="3"/>
            <w:tcBorders>
              <w:top w:val="single" w:sz="4" w:space="0" w:color="auto"/>
              <w:left w:val="single" w:sz="4" w:space="0" w:color="auto"/>
            </w:tcBorders>
            <w:shd w:val="clear" w:color="auto" w:fill="FFFFFF"/>
          </w:tcPr>
          <w:p w14:paraId="7E6D65F3"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45ED1064"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329AA292"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715B977F" w14:textId="77777777" w:rsidR="008C76E0" w:rsidRPr="00BD7577" w:rsidRDefault="008C76E0" w:rsidP="008C76E0">
            <w:pPr>
              <w:spacing w:after="120" w:line="240" w:lineRule="auto"/>
              <w:rPr>
                <w:rFonts w:ascii="Sylfaen" w:hAnsi="Sylfaen"/>
                <w:sz w:val="24"/>
                <w:szCs w:val="24"/>
              </w:rPr>
            </w:pPr>
          </w:p>
        </w:tc>
      </w:tr>
      <w:tr w:rsidR="008C76E0" w:rsidRPr="00BD7577" w14:paraId="2344E4D4" w14:textId="77777777" w:rsidTr="008C76E0">
        <w:tc>
          <w:tcPr>
            <w:tcW w:w="4263" w:type="dxa"/>
            <w:gridSpan w:val="2"/>
            <w:tcBorders>
              <w:top w:val="single" w:sz="4" w:space="0" w:color="auto"/>
              <w:left w:val="single" w:sz="4" w:space="0" w:color="auto"/>
            </w:tcBorders>
            <w:shd w:val="clear" w:color="auto" w:fill="FFFFFF"/>
            <w:vAlign w:val="bottom"/>
          </w:tcPr>
          <w:p w14:paraId="002608C9"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Լուրջ անցանկալի եր</w:t>
            </w:r>
            <w:r w:rsidR="00C54D75">
              <w:rPr>
                <w:rStyle w:val="Bodytext1811pt"/>
                <w:rFonts w:ascii="Sylfaen" w:hAnsi="Sylfaen"/>
                <w:sz w:val="24"/>
                <w:szCs w:val="24"/>
              </w:rPr>
              <w:t>և</w:t>
            </w:r>
            <w:r w:rsidRPr="00BD7577">
              <w:rPr>
                <w:rStyle w:val="Bodytext1811pt"/>
                <w:rFonts w:ascii="Sylfaen" w:hAnsi="Sylfaen"/>
                <w:sz w:val="24"/>
                <w:szCs w:val="24"/>
              </w:rPr>
              <w:t>ույթները (ընդհանուր քանակը)</w:t>
            </w:r>
          </w:p>
        </w:tc>
        <w:tc>
          <w:tcPr>
            <w:tcW w:w="1371" w:type="dxa"/>
            <w:gridSpan w:val="3"/>
            <w:tcBorders>
              <w:top w:val="single" w:sz="4" w:space="0" w:color="auto"/>
              <w:left w:val="single" w:sz="4" w:space="0" w:color="auto"/>
            </w:tcBorders>
            <w:shd w:val="clear" w:color="auto" w:fill="FFFFFF"/>
          </w:tcPr>
          <w:p w14:paraId="4E2BC2F6"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7FE33D31"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4BAF899F"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283F6650" w14:textId="77777777" w:rsidR="008C76E0" w:rsidRPr="00BD7577" w:rsidRDefault="008C76E0" w:rsidP="008C76E0">
            <w:pPr>
              <w:spacing w:after="120" w:line="240" w:lineRule="auto"/>
              <w:rPr>
                <w:rFonts w:ascii="Sylfaen" w:hAnsi="Sylfaen"/>
                <w:sz w:val="24"/>
                <w:szCs w:val="24"/>
              </w:rPr>
            </w:pPr>
          </w:p>
        </w:tc>
      </w:tr>
      <w:tr w:rsidR="008C76E0" w:rsidRPr="00BD7577" w14:paraId="1C7752A7" w14:textId="77777777" w:rsidTr="008C76E0">
        <w:tc>
          <w:tcPr>
            <w:tcW w:w="4263" w:type="dxa"/>
            <w:gridSpan w:val="2"/>
            <w:tcBorders>
              <w:top w:val="single" w:sz="4" w:space="0" w:color="auto"/>
              <w:left w:val="single" w:sz="4" w:space="0" w:color="auto"/>
            </w:tcBorders>
            <w:shd w:val="clear" w:color="auto" w:fill="FFFFFF"/>
            <w:vAlign w:val="bottom"/>
          </w:tcPr>
          <w:p w14:paraId="250B63B9"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մահացու</w:t>
            </w:r>
          </w:p>
        </w:tc>
        <w:tc>
          <w:tcPr>
            <w:tcW w:w="1371" w:type="dxa"/>
            <w:gridSpan w:val="3"/>
            <w:tcBorders>
              <w:top w:val="single" w:sz="4" w:space="0" w:color="auto"/>
              <w:left w:val="single" w:sz="4" w:space="0" w:color="auto"/>
            </w:tcBorders>
            <w:shd w:val="clear" w:color="auto" w:fill="FFFFFF"/>
          </w:tcPr>
          <w:p w14:paraId="40FD675B"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5472DBE8"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556B48EB"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FD93FF5" w14:textId="77777777" w:rsidR="008C76E0" w:rsidRPr="00BD7577" w:rsidRDefault="008C76E0" w:rsidP="008C76E0">
            <w:pPr>
              <w:spacing w:after="120" w:line="240" w:lineRule="auto"/>
              <w:rPr>
                <w:rFonts w:ascii="Sylfaen" w:hAnsi="Sylfaen"/>
                <w:sz w:val="24"/>
                <w:szCs w:val="24"/>
              </w:rPr>
            </w:pPr>
          </w:p>
        </w:tc>
      </w:tr>
      <w:tr w:rsidR="008C76E0" w:rsidRPr="00BD7577" w14:paraId="53EC53EA" w14:textId="77777777" w:rsidTr="008C76E0">
        <w:tc>
          <w:tcPr>
            <w:tcW w:w="4263" w:type="dxa"/>
            <w:gridSpan w:val="2"/>
            <w:tcBorders>
              <w:top w:val="single" w:sz="4" w:space="0" w:color="auto"/>
              <w:left w:val="single" w:sz="4" w:space="0" w:color="auto"/>
            </w:tcBorders>
            <w:shd w:val="clear" w:color="auto" w:fill="FFFFFF"/>
            <w:vAlign w:val="bottom"/>
          </w:tcPr>
          <w:p w14:paraId="28AA906F"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հոսպիտալացում (հոսպիտալացման ժամկետի երկարաձգում)</w:t>
            </w:r>
          </w:p>
        </w:tc>
        <w:tc>
          <w:tcPr>
            <w:tcW w:w="1371" w:type="dxa"/>
            <w:gridSpan w:val="3"/>
            <w:tcBorders>
              <w:top w:val="single" w:sz="4" w:space="0" w:color="auto"/>
              <w:left w:val="single" w:sz="4" w:space="0" w:color="auto"/>
            </w:tcBorders>
            <w:shd w:val="clear" w:color="auto" w:fill="FFFFFF"/>
          </w:tcPr>
          <w:p w14:paraId="3273BBE8"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1CFC74FF"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1C211994"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3CDF0C6C" w14:textId="77777777" w:rsidR="008C76E0" w:rsidRPr="00BD7577" w:rsidRDefault="008C76E0" w:rsidP="008C76E0">
            <w:pPr>
              <w:spacing w:after="120" w:line="240" w:lineRule="auto"/>
              <w:rPr>
                <w:rFonts w:ascii="Sylfaen" w:hAnsi="Sylfaen"/>
                <w:sz w:val="24"/>
                <w:szCs w:val="24"/>
              </w:rPr>
            </w:pPr>
          </w:p>
        </w:tc>
      </w:tr>
      <w:tr w:rsidR="008C76E0" w:rsidRPr="00BD7577" w14:paraId="7D5773BA" w14:textId="77777777" w:rsidTr="008C76E0">
        <w:tc>
          <w:tcPr>
            <w:tcW w:w="4263" w:type="dxa"/>
            <w:gridSpan w:val="2"/>
            <w:tcBorders>
              <w:top w:val="single" w:sz="4" w:space="0" w:color="auto"/>
              <w:left w:val="single" w:sz="4" w:space="0" w:color="auto"/>
            </w:tcBorders>
            <w:shd w:val="clear" w:color="auto" w:fill="FFFFFF"/>
            <w:vAlign w:val="bottom"/>
          </w:tcPr>
          <w:p w14:paraId="2C5C1931"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կյանքի համար վտանգ</w:t>
            </w:r>
          </w:p>
        </w:tc>
        <w:tc>
          <w:tcPr>
            <w:tcW w:w="1371" w:type="dxa"/>
            <w:gridSpan w:val="3"/>
            <w:tcBorders>
              <w:top w:val="single" w:sz="4" w:space="0" w:color="auto"/>
              <w:left w:val="single" w:sz="4" w:space="0" w:color="auto"/>
            </w:tcBorders>
            <w:shd w:val="clear" w:color="auto" w:fill="FFFFFF"/>
          </w:tcPr>
          <w:p w14:paraId="643F36D4"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68274E89"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46FCD0B6"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6BDFA204" w14:textId="77777777" w:rsidR="008C76E0" w:rsidRPr="00BD7577" w:rsidRDefault="008C76E0" w:rsidP="008C76E0">
            <w:pPr>
              <w:spacing w:after="120" w:line="240" w:lineRule="auto"/>
              <w:rPr>
                <w:rFonts w:ascii="Sylfaen" w:hAnsi="Sylfaen"/>
                <w:sz w:val="24"/>
                <w:szCs w:val="24"/>
              </w:rPr>
            </w:pPr>
          </w:p>
        </w:tc>
      </w:tr>
      <w:tr w:rsidR="008C76E0" w:rsidRPr="00BD7577" w14:paraId="6F536B2C" w14:textId="77777777" w:rsidTr="008C76E0">
        <w:tc>
          <w:tcPr>
            <w:tcW w:w="4263" w:type="dxa"/>
            <w:gridSpan w:val="2"/>
            <w:tcBorders>
              <w:top w:val="single" w:sz="4" w:space="0" w:color="auto"/>
              <w:left w:val="single" w:sz="4" w:space="0" w:color="auto"/>
            </w:tcBorders>
            <w:shd w:val="clear" w:color="auto" w:fill="FFFFFF"/>
            <w:vAlign w:val="bottom"/>
          </w:tcPr>
          <w:p w14:paraId="1EFFA593"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հաշմանդամություն (անաշխատունակություն)</w:t>
            </w:r>
          </w:p>
        </w:tc>
        <w:tc>
          <w:tcPr>
            <w:tcW w:w="1371" w:type="dxa"/>
            <w:gridSpan w:val="3"/>
            <w:tcBorders>
              <w:top w:val="single" w:sz="4" w:space="0" w:color="auto"/>
              <w:left w:val="single" w:sz="4" w:space="0" w:color="auto"/>
            </w:tcBorders>
            <w:shd w:val="clear" w:color="auto" w:fill="FFFFFF"/>
          </w:tcPr>
          <w:p w14:paraId="507FCDBF"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5204EDF4"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2229941E"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3023FAA5" w14:textId="77777777" w:rsidR="008C76E0" w:rsidRPr="00BD7577" w:rsidRDefault="008C76E0" w:rsidP="008C76E0">
            <w:pPr>
              <w:spacing w:after="120" w:line="240" w:lineRule="auto"/>
              <w:rPr>
                <w:rFonts w:ascii="Sylfaen" w:hAnsi="Sylfaen"/>
                <w:sz w:val="24"/>
                <w:szCs w:val="24"/>
              </w:rPr>
            </w:pPr>
          </w:p>
        </w:tc>
      </w:tr>
      <w:tr w:rsidR="008C76E0" w:rsidRPr="00BD7577" w14:paraId="3CF682D7" w14:textId="77777777" w:rsidTr="008C76E0">
        <w:tc>
          <w:tcPr>
            <w:tcW w:w="4263" w:type="dxa"/>
            <w:gridSpan w:val="2"/>
            <w:tcBorders>
              <w:top w:val="single" w:sz="4" w:space="0" w:color="auto"/>
              <w:left w:val="single" w:sz="4" w:space="0" w:color="auto"/>
            </w:tcBorders>
            <w:shd w:val="clear" w:color="auto" w:fill="FFFFFF"/>
            <w:vAlign w:val="bottom"/>
          </w:tcPr>
          <w:p w14:paraId="6E437204"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այլ (բժշկական տեսանկյունից կար</w:t>
            </w:r>
            <w:r w:rsidR="00C54D75">
              <w:rPr>
                <w:rStyle w:val="Bodytext1811pt"/>
                <w:rFonts w:ascii="Sylfaen" w:hAnsi="Sylfaen"/>
                <w:sz w:val="24"/>
                <w:szCs w:val="24"/>
              </w:rPr>
              <w:t>և</w:t>
            </w:r>
            <w:r w:rsidRPr="00BD7577">
              <w:rPr>
                <w:rStyle w:val="Bodytext1811pt"/>
                <w:rFonts w:ascii="Sylfaen" w:hAnsi="Sylfaen"/>
                <w:sz w:val="24"/>
                <w:szCs w:val="24"/>
              </w:rPr>
              <w:t>որ)</w:t>
            </w:r>
          </w:p>
        </w:tc>
        <w:tc>
          <w:tcPr>
            <w:tcW w:w="1371" w:type="dxa"/>
            <w:gridSpan w:val="3"/>
            <w:tcBorders>
              <w:top w:val="single" w:sz="4" w:space="0" w:color="auto"/>
              <w:left w:val="single" w:sz="4" w:space="0" w:color="auto"/>
            </w:tcBorders>
            <w:shd w:val="clear" w:color="auto" w:fill="FFFFFF"/>
          </w:tcPr>
          <w:p w14:paraId="2C79E72F"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5BA6C6EC"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282A2533"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73E1EAB8" w14:textId="77777777" w:rsidR="008C76E0" w:rsidRPr="00BD7577" w:rsidRDefault="008C76E0" w:rsidP="008C76E0">
            <w:pPr>
              <w:spacing w:after="120" w:line="240" w:lineRule="auto"/>
              <w:rPr>
                <w:rFonts w:ascii="Sylfaen" w:hAnsi="Sylfaen"/>
                <w:sz w:val="24"/>
                <w:szCs w:val="24"/>
              </w:rPr>
            </w:pPr>
          </w:p>
        </w:tc>
      </w:tr>
      <w:tr w:rsidR="008C76E0" w:rsidRPr="00BD7577" w14:paraId="2700490E" w14:textId="77777777" w:rsidTr="008C76E0">
        <w:tc>
          <w:tcPr>
            <w:tcW w:w="4263" w:type="dxa"/>
            <w:gridSpan w:val="2"/>
            <w:tcBorders>
              <w:top w:val="single" w:sz="4" w:space="0" w:color="auto"/>
              <w:left w:val="single" w:sz="4" w:space="0" w:color="auto"/>
            </w:tcBorders>
            <w:shd w:val="clear" w:color="auto" w:fill="FFFFFF"/>
            <w:vAlign w:val="bottom"/>
          </w:tcPr>
          <w:p w14:paraId="58063E75"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Անցանկալի եր</w:t>
            </w:r>
            <w:r w:rsidR="00C54D75">
              <w:rPr>
                <w:rStyle w:val="Bodytext1811pt"/>
                <w:rFonts w:ascii="Sylfaen" w:hAnsi="Sylfaen"/>
                <w:sz w:val="24"/>
                <w:szCs w:val="24"/>
              </w:rPr>
              <w:t>և</w:t>
            </w:r>
            <w:r w:rsidRPr="00BD7577">
              <w:rPr>
                <w:rStyle w:val="Bodytext1811pt"/>
                <w:rFonts w:ascii="Sylfaen" w:hAnsi="Sylfaen"/>
                <w:sz w:val="24"/>
                <w:szCs w:val="24"/>
              </w:rPr>
              <w:t>ույթ, որը հանգեցրել է հետազոտությունից դուրս գալուն</w:t>
            </w:r>
          </w:p>
        </w:tc>
        <w:tc>
          <w:tcPr>
            <w:tcW w:w="1371" w:type="dxa"/>
            <w:gridSpan w:val="3"/>
            <w:tcBorders>
              <w:top w:val="single" w:sz="4" w:space="0" w:color="auto"/>
              <w:left w:val="single" w:sz="4" w:space="0" w:color="auto"/>
            </w:tcBorders>
            <w:shd w:val="clear" w:color="auto" w:fill="FFFFFF"/>
          </w:tcPr>
          <w:p w14:paraId="0296EBDE"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72E3638F"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186F62D5"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42F55EE" w14:textId="77777777" w:rsidR="008C76E0" w:rsidRPr="00BD7577" w:rsidRDefault="008C76E0" w:rsidP="008C76E0">
            <w:pPr>
              <w:spacing w:after="120" w:line="240" w:lineRule="auto"/>
              <w:rPr>
                <w:rFonts w:ascii="Sylfaen" w:hAnsi="Sylfaen"/>
                <w:sz w:val="24"/>
                <w:szCs w:val="24"/>
              </w:rPr>
            </w:pPr>
          </w:p>
        </w:tc>
      </w:tr>
      <w:tr w:rsidR="008C76E0" w:rsidRPr="00BD7577" w14:paraId="76E3EC6C" w14:textId="77777777" w:rsidTr="008C76E0">
        <w:tc>
          <w:tcPr>
            <w:tcW w:w="4263" w:type="dxa"/>
            <w:gridSpan w:val="2"/>
            <w:tcBorders>
              <w:top w:val="single" w:sz="4" w:space="0" w:color="auto"/>
              <w:left w:val="single" w:sz="4" w:space="0" w:color="auto"/>
            </w:tcBorders>
            <w:shd w:val="clear" w:color="auto" w:fill="FFFFFF"/>
            <w:vAlign w:val="bottom"/>
          </w:tcPr>
          <w:p w14:paraId="50FF5D66"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Հոգեկան խանգարումներ</w:t>
            </w:r>
          </w:p>
        </w:tc>
        <w:tc>
          <w:tcPr>
            <w:tcW w:w="1371" w:type="dxa"/>
            <w:gridSpan w:val="3"/>
            <w:tcBorders>
              <w:top w:val="single" w:sz="4" w:space="0" w:color="auto"/>
              <w:left w:val="single" w:sz="4" w:space="0" w:color="auto"/>
            </w:tcBorders>
            <w:shd w:val="clear" w:color="auto" w:fill="FFFFFF"/>
          </w:tcPr>
          <w:p w14:paraId="6FAEFE8C"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276841AA"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65ABD386"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BDEA170" w14:textId="77777777" w:rsidR="008C76E0" w:rsidRPr="00BD7577" w:rsidRDefault="008C76E0" w:rsidP="008C76E0">
            <w:pPr>
              <w:spacing w:after="120" w:line="240" w:lineRule="auto"/>
              <w:rPr>
                <w:rFonts w:ascii="Sylfaen" w:hAnsi="Sylfaen"/>
                <w:sz w:val="24"/>
                <w:szCs w:val="24"/>
              </w:rPr>
            </w:pPr>
          </w:p>
        </w:tc>
      </w:tr>
      <w:tr w:rsidR="008C76E0" w:rsidRPr="00BD7577" w14:paraId="0E1FB6E0" w14:textId="77777777" w:rsidTr="008C76E0">
        <w:tc>
          <w:tcPr>
            <w:tcW w:w="4263" w:type="dxa"/>
            <w:gridSpan w:val="2"/>
            <w:tcBorders>
              <w:top w:val="single" w:sz="4" w:space="0" w:color="auto"/>
              <w:left w:val="single" w:sz="4" w:space="0" w:color="auto"/>
            </w:tcBorders>
            <w:shd w:val="clear" w:color="auto" w:fill="FFFFFF"/>
          </w:tcPr>
          <w:p w14:paraId="20F1E7EB"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Նյարդային համակարգի խանգարումներ</w:t>
            </w:r>
          </w:p>
        </w:tc>
        <w:tc>
          <w:tcPr>
            <w:tcW w:w="1371" w:type="dxa"/>
            <w:gridSpan w:val="3"/>
            <w:tcBorders>
              <w:top w:val="single" w:sz="4" w:space="0" w:color="auto"/>
              <w:left w:val="single" w:sz="4" w:space="0" w:color="auto"/>
            </w:tcBorders>
            <w:shd w:val="clear" w:color="auto" w:fill="FFFFFF"/>
          </w:tcPr>
          <w:p w14:paraId="7B5ADF6F"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683AA6F3"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2D239B69"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4A0DCA89" w14:textId="77777777" w:rsidR="008C76E0" w:rsidRPr="00BD7577" w:rsidRDefault="008C76E0" w:rsidP="008C76E0">
            <w:pPr>
              <w:spacing w:after="120" w:line="240" w:lineRule="auto"/>
              <w:rPr>
                <w:rFonts w:ascii="Sylfaen" w:hAnsi="Sylfaen"/>
                <w:sz w:val="24"/>
                <w:szCs w:val="24"/>
              </w:rPr>
            </w:pPr>
          </w:p>
        </w:tc>
      </w:tr>
      <w:tr w:rsidR="008C76E0" w:rsidRPr="00BD7577" w14:paraId="136C986E" w14:textId="77777777" w:rsidTr="008C76E0">
        <w:tc>
          <w:tcPr>
            <w:tcW w:w="4263" w:type="dxa"/>
            <w:gridSpan w:val="2"/>
            <w:tcBorders>
              <w:top w:val="single" w:sz="4" w:space="0" w:color="auto"/>
              <w:left w:val="single" w:sz="4" w:space="0" w:color="auto"/>
            </w:tcBorders>
            <w:shd w:val="clear" w:color="auto" w:fill="FFFFFF"/>
            <w:vAlign w:val="bottom"/>
          </w:tcPr>
          <w:p w14:paraId="71B75F54"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 xml:space="preserve">Դժբախտ պատահարներ </w:t>
            </w:r>
            <w:r w:rsidR="00C54D75">
              <w:rPr>
                <w:rStyle w:val="Bodytext1811pt"/>
                <w:rFonts w:ascii="Sylfaen" w:hAnsi="Sylfaen"/>
                <w:sz w:val="24"/>
                <w:szCs w:val="24"/>
              </w:rPr>
              <w:t>և</w:t>
            </w:r>
            <w:r w:rsidRPr="00BD7577">
              <w:rPr>
                <w:rStyle w:val="Bodytext1811pt"/>
                <w:rFonts w:ascii="Sylfaen" w:hAnsi="Sylfaen"/>
                <w:sz w:val="24"/>
                <w:szCs w:val="24"/>
              </w:rPr>
              <w:t xml:space="preserve"> վնասվածքներ </w:t>
            </w:r>
          </w:p>
        </w:tc>
        <w:tc>
          <w:tcPr>
            <w:tcW w:w="1371" w:type="dxa"/>
            <w:gridSpan w:val="3"/>
            <w:tcBorders>
              <w:top w:val="single" w:sz="4" w:space="0" w:color="auto"/>
              <w:left w:val="single" w:sz="4" w:space="0" w:color="auto"/>
            </w:tcBorders>
            <w:shd w:val="clear" w:color="auto" w:fill="FFFFFF"/>
          </w:tcPr>
          <w:p w14:paraId="22D0FCF3"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4684AB40"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6AAAA032"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2ED09839" w14:textId="77777777" w:rsidR="008C76E0" w:rsidRPr="00BD7577" w:rsidRDefault="008C76E0" w:rsidP="008C76E0">
            <w:pPr>
              <w:spacing w:after="120" w:line="240" w:lineRule="auto"/>
              <w:rPr>
                <w:rFonts w:ascii="Sylfaen" w:hAnsi="Sylfaen"/>
                <w:sz w:val="24"/>
                <w:szCs w:val="24"/>
              </w:rPr>
            </w:pPr>
          </w:p>
        </w:tc>
      </w:tr>
      <w:tr w:rsidR="008C76E0" w:rsidRPr="00BD7577" w14:paraId="43E6C96C" w14:textId="77777777" w:rsidTr="008C76E0">
        <w:tc>
          <w:tcPr>
            <w:tcW w:w="4263" w:type="dxa"/>
            <w:gridSpan w:val="2"/>
            <w:tcBorders>
              <w:top w:val="single" w:sz="4" w:space="0" w:color="auto"/>
              <w:left w:val="single" w:sz="4" w:space="0" w:color="auto"/>
            </w:tcBorders>
            <w:shd w:val="clear" w:color="auto" w:fill="FFFFFF"/>
            <w:vAlign w:val="bottom"/>
          </w:tcPr>
          <w:p w14:paraId="48205FA5"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Սրտի խանգարումներ</w:t>
            </w:r>
          </w:p>
        </w:tc>
        <w:tc>
          <w:tcPr>
            <w:tcW w:w="1371" w:type="dxa"/>
            <w:gridSpan w:val="3"/>
            <w:tcBorders>
              <w:top w:val="single" w:sz="4" w:space="0" w:color="auto"/>
              <w:left w:val="single" w:sz="4" w:space="0" w:color="auto"/>
            </w:tcBorders>
            <w:shd w:val="clear" w:color="auto" w:fill="FFFFFF"/>
          </w:tcPr>
          <w:p w14:paraId="1D0212D0"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73986F2E"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39EE2BB3"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10F52C4" w14:textId="77777777" w:rsidR="008C76E0" w:rsidRPr="00BD7577" w:rsidRDefault="008C76E0" w:rsidP="008C76E0">
            <w:pPr>
              <w:spacing w:after="120" w:line="240" w:lineRule="auto"/>
              <w:rPr>
                <w:rFonts w:ascii="Sylfaen" w:hAnsi="Sylfaen"/>
                <w:sz w:val="24"/>
                <w:szCs w:val="24"/>
              </w:rPr>
            </w:pPr>
          </w:p>
        </w:tc>
      </w:tr>
      <w:tr w:rsidR="008C76E0" w:rsidRPr="00BD7577" w14:paraId="155DC527" w14:textId="77777777" w:rsidTr="008C76E0">
        <w:tc>
          <w:tcPr>
            <w:tcW w:w="4263" w:type="dxa"/>
            <w:gridSpan w:val="2"/>
            <w:tcBorders>
              <w:top w:val="single" w:sz="4" w:space="0" w:color="auto"/>
              <w:left w:val="single" w:sz="4" w:space="0" w:color="auto"/>
            </w:tcBorders>
            <w:shd w:val="clear" w:color="auto" w:fill="FFFFFF"/>
            <w:vAlign w:val="bottom"/>
          </w:tcPr>
          <w:p w14:paraId="07CA1220"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Անոթային խանգարումներ</w:t>
            </w:r>
          </w:p>
        </w:tc>
        <w:tc>
          <w:tcPr>
            <w:tcW w:w="1371" w:type="dxa"/>
            <w:gridSpan w:val="3"/>
            <w:tcBorders>
              <w:top w:val="single" w:sz="4" w:space="0" w:color="auto"/>
              <w:left w:val="single" w:sz="4" w:space="0" w:color="auto"/>
            </w:tcBorders>
            <w:shd w:val="clear" w:color="auto" w:fill="FFFFFF"/>
          </w:tcPr>
          <w:p w14:paraId="6E26050D"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439CC31A"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6FF58E31"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3A5CCE29" w14:textId="77777777" w:rsidR="008C76E0" w:rsidRPr="00BD7577" w:rsidRDefault="008C76E0" w:rsidP="008C76E0">
            <w:pPr>
              <w:spacing w:after="120" w:line="240" w:lineRule="auto"/>
              <w:rPr>
                <w:rFonts w:ascii="Sylfaen" w:hAnsi="Sylfaen"/>
                <w:sz w:val="24"/>
                <w:szCs w:val="24"/>
              </w:rPr>
            </w:pPr>
          </w:p>
        </w:tc>
      </w:tr>
      <w:tr w:rsidR="008C76E0" w:rsidRPr="00BD7577" w14:paraId="53A56E7A" w14:textId="77777777" w:rsidTr="008C76E0">
        <w:tc>
          <w:tcPr>
            <w:tcW w:w="4263" w:type="dxa"/>
            <w:gridSpan w:val="2"/>
            <w:tcBorders>
              <w:top w:val="single" w:sz="4" w:space="0" w:color="auto"/>
              <w:left w:val="single" w:sz="4" w:space="0" w:color="auto"/>
            </w:tcBorders>
            <w:shd w:val="clear" w:color="auto" w:fill="FFFFFF"/>
            <w:vAlign w:val="bottom"/>
          </w:tcPr>
          <w:p w14:paraId="49611CDE"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Ուղեղի արյան շրջանառության խանգարումներ</w:t>
            </w:r>
          </w:p>
        </w:tc>
        <w:tc>
          <w:tcPr>
            <w:tcW w:w="1371" w:type="dxa"/>
            <w:gridSpan w:val="3"/>
            <w:tcBorders>
              <w:top w:val="single" w:sz="4" w:space="0" w:color="auto"/>
              <w:left w:val="single" w:sz="4" w:space="0" w:color="auto"/>
            </w:tcBorders>
            <w:shd w:val="clear" w:color="auto" w:fill="FFFFFF"/>
          </w:tcPr>
          <w:p w14:paraId="2D9D573A"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0828191A"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0557A36F"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E259A84" w14:textId="77777777" w:rsidR="008C76E0" w:rsidRPr="00BD7577" w:rsidRDefault="008C76E0" w:rsidP="008C76E0">
            <w:pPr>
              <w:spacing w:after="120" w:line="240" w:lineRule="auto"/>
              <w:rPr>
                <w:rFonts w:ascii="Sylfaen" w:hAnsi="Sylfaen"/>
                <w:sz w:val="24"/>
                <w:szCs w:val="24"/>
              </w:rPr>
            </w:pPr>
          </w:p>
        </w:tc>
      </w:tr>
      <w:tr w:rsidR="008C76E0" w:rsidRPr="00BD7577" w14:paraId="59B96DEE" w14:textId="77777777" w:rsidTr="008C76E0">
        <w:tc>
          <w:tcPr>
            <w:tcW w:w="4263" w:type="dxa"/>
            <w:gridSpan w:val="2"/>
            <w:tcBorders>
              <w:top w:val="single" w:sz="4" w:space="0" w:color="auto"/>
              <w:left w:val="single" w:sz="4" w:space="0" w:color="auto"/>
            </w:tcBorders>
            <w:shd w:val="clear" w:color="auto" w:fill="FFFFFF"/>
          </w:tcPr>
          <w:p w14:paraId="0C8C24D3"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 xml:space="preserve">Վարակիչ </w:t>
            </w:r>
            <w:r w:rsidR="00C54D75">
              <w:rPr>
                <w:rStyle w:val="Bodytext1811pt"/>
                <w:rFonts w:ascii="Sylfaen" w:hAnsi="Sylfaen"/>
                <w:sz w:val="24"/>
                <w:szCs w:val="24"/>
              </w:rPr>
              <w:t>և</w:t>
            </w:r>
            <w:r w:rsidRPr="00BD7577">
              <w:rPr>
                <w:rStyle w:val="Bodytext1811pt"/>
                <w:rFonts w:ascii="Sylfaen" w:hAnsi="Sylfaen"/>
                <w:sz w:val="24"/>
                <w:szCs w:val="24"/>
              </w:rPr>
              <w:t xml:space="preserve"> մակաբուծային հիվանդություններ</w:t>
            </w:r>
          </w:p>
        </w:tc>
        <w:tc>
          <w:tcPr>
            <w:tcW w:w="1371" w:type="dxa"/>
            <w:gridSpan w:val="3"/>
            <w:tcBorders>
              <w:top w:val="single" w:sz="4" w:space="0" w:color="auto"/>
              <w:left w:val="single" w:sz="4" w:space="0" w:color="auto"/>
            </w:tcBorders>
            <w:shd w:val="clear" w:color="auto" w:fill="FFFFFF"/>
          </w:tcPr>
          <w:p w14:paraId="776D78B5"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3DBCB196"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0AF5AED2"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0E407447" w14:textId="77777777" w:rsidR="008C76E0" w:rsidRPr="00BD7577" w:rsidRDefault="008C76E0" w:rsidP="008C76E0">
            <w:pPr>
              <w:spacing w:after="120" w:line="240" w:lineRule="auto"/>
              <w:rPr>
                <w:rFonts w:ascii="Sylfaen" w:hAnsi="Sylfaen"/>
                <w:sz w:val="24"/>
                <w:szCs w:val="24"/>
              </w:rPr>
            </w:pPr>
          </w:p>
        </w:tc>
      </w:tr>
      <w:tr w:rsidR="008C76E0" w:rsidRPr="00BD7577" w14:paraId="1583867E" w14:textId="77777777" w:rsidTr="008C76E0">
        <w:tc>
          <w:tcPr>
            <w:tcW w:w="4263" w:type="dxa"/>
            <w:gridSpan w:val="2"/>
            <w:tcBorders>
              <w:top w:val="single" w:sz="4" w:space="0" w:color="auto"/>
              <w:left w:val="single" w:sz="4" w:space="0" w:color="auto"/>
            </w:tcBorders>
            <w:shd w:val="clear" w:color="auto" w:fill="FFFFFF"/>
            <w:vAlign w:val="bottom"/>
          </w:tcPr>
          <w:p w14:paraId="39BB2EC2"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Հակախոլիներգիկ ախտանիշ</w:t>
            </w:r>
          </w:p>
        </w:tc>
        <w:tc>
          <w:tcPr>
            <w:tcW w:w="1371" w:type="dxa"/>
            <w:gridSpan w:val="3"/>
            <w:tcBorders>
              <w:top w:val="single" w:sz="4" w:space="0" w:color="auto"/>
              <w:left w:val="single" w:sz="4" w:space="0" w:color="auto"/>
            </w:tcBorders>
            <w:shd w:val="clear" w:color="auto" w:fill="FFFFFF"/>
          </w:tcPr>
          <w:p w14:paraId="5CFDA683"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09E9C7DC"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68A4F559"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1B653A8A" w14:textId="77777777" w:rsidR="008C76E0" w:rsidRPr="00BD7577" w:rsidRDefault="008C76E0" w:rsidP="008C76E0">
            <w:pPr>
              <w:spacing w:after="120" w:line="240" w:lineRule="auto"/>
              <w:rPr>
                <w:rFonts w:ascii="Sylfaen" w:hAnsi="Sylfaen"/>
                <w:sz w:val="24"/>
                <w:szCs w:val="24"/>
              </w:rPr>
            </w:pPr>
          </w:p>
        </w:tc>
      </w:tr>
      <w:tr w:rsidR="008C76E0" w:rsidRPr="00BD7577" w14:paraId="1F5D89AF" w14:textId="77777777" w:rsidTr="008C76E0">
        <w:tc>
          <w:tcPr>
            <w:tcW w:w="4263" w:type="dxa"/>
            <w:gridSpan w:val="2"/>
            <w:tcBorders>
              <w:top w:val="single" w:sz="4" w:space="0" w:color="auto"/>
              <w:left w:val="single" w:sz="4" w:space="0" w:color="auto"/>
            </w:tcBorders>
            <w:shd w:val="clear" w:color="auto" w:fill="FFFFFF"/>
          </w:tcPr>
          <w:p w14:paraId="71CB58C0"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lastRenderedPageBreak/>
              <w:t xml:space="preserve">Կյանքի որակի անկում </w:t>
            </w:r>
          </w:p>
        </w:tc>
        <w:tc>
          <w:tcPr>
            <w:tcW w:w="1371" w:type="dxa"/>
            <w:gridSpan w:val="3"/>
            <w:tcBorders>
              <w:top w:val="single" w:sz="4" w:space="0" w:color="auto"/>
              <w:left w:val="single" w:sz="4" w:space="0" w:color="auto"/>
            </w:tcBorders>
            <w:shd w:val="clear" w:color="auto" w:fill="FFFFFF"/>
          </w:tcPr>
          <w:p w14:paraId="2118BACF"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tcBorders>
            <w:shd w:val="clear" w:color="auto" w:fill="FFFFFF"/>
          </w:tcPr>
          <w:p w14:paraId="4CC350D2"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7C0055E9"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33ECD2BE" w14:textId="77777777" w:rsidR="008C76E0" w:rsidRPr="00BD7577" w:rsidRDefault="008C76E0" w:rsidP="008C76E0">
            <w:pPr>
              <w:spacing w:after="120" w:line="240" w:lineRule="auto"/>
              <w:rPr>
                <w:rFonts w:ascii="Sylfaen" w:hAnsi="Sylfaen"/>
                <w:sz w:val="24"/>
                <w:szCs w:val="24"/>
              </w:rPr>
            </w:pPr>
          </w:p>
        </w:tc>
      </w:tr>
      <w:tr w:rsidR="008C76E0" w:rsidRPr="00BD7577" w14:paraId="517EA228" w14:textId="77777777" w:rsidTr="008C76E0">
        <w:tc>
          <w:tcPr>
            <w:tcW w:w="4263" w:type="dxa"/>
            <w:gridSpan w:val="2"/>
            <w:tcBorders>
              <w:top w:val="single" w:sz="4" w:space="0" w:color="auto"/>
              <w:left w:val="single" w:sz="4" w:space="0" w:color="auto"/>
              <w:bottom w:val="single" w:sz="4" w:space="0" w:color="auto"/>
            </w:tcBorders>
            <w:shd w:val="clear" w:color="auto" w:fill="FFFFFF"/>
            <w:vAlign w:val="bottom"/>
          </w:tcPr>
          <w:p w14:paraId="6277BD10"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 xml:space="preserve">Գումարային՝ օրտոստատիկ հիպոտենզիա, անկում, աչքերի մթագնում, ուշագնացություններ, գլխապտույտ, ատակսիա, կոտրվածքներ </w:t>
            </w:r>
          </w:p>
        </w:tc>
        <w:tc>
          <w:tcPr>
            <w:tcW w:w="1371" w:type="dxa"/>
            <w:gridSpan w:val="3"/>
            <w:tcBorders>
              <w:top w:val="single" w:sz="4" w:space="0" w:color="auto"/>
              <w:left w:val="single" w:sz="4" w:space="0" w:color="auto"/>
              <w:bottom w:val="single" w:sz="4" w:space="0" w:color="auto"/>
            </w:tcBorders>
            <w:shd w:val="clear" w:color="auto" w:fill="FFFFFF"/>
          </w:tcPr>
          <w:p w14:paraId="269CFB63" w14:textId="77777777" w:rsidR="008C76E0" w:rsidRPr="00BD7577" w:rsidRDefault="008C76E0" w:rsidP="008C76E0">
            <w:pPr>
              <w:spacing w:after="120" w:line="240" w:lineRule="auto"/>
              <w:rPr>
                <w:rFonts w:ascii="Sylfaen" w:hAnsi="Sylfaen"/>
                <w:sz w:val="24"/>
                <w:szCs w:val="24"/>
              </w:rPr>
            </w:pPr>
          </w:p>
        </w:tc>
        <w:tc>
          <w:tcPr>
            <w:tcW w:w="1480" w:type="dxa"/>
            <w:gridSpan w:val="2"/>
            <w:tcBorders>
              <w:top w:val="single" w:sz="4" w:space="0" w:color="auto"/>
              <w:left w:val="single" w:sz="4" w:space="0" w:color="auto"/>
              <w:bottom w:val="single" w:sz="4" w:space="0" w:color="auto"/>
            </w:tcBorders>
            <w:shd w:val="clear" w:color="auto" w:fill="FFFFFF"/>
          </w:tcPr>
          <w:p w14:paraId="6F64C001"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bottom w:val="single" w:sz="4" w:space="0" w:color="auto"/>
            </w:tcBorders>
            <w:shd w:val="clear" w:color="auto" w:fill="FFFFFF"/>
          </w:tcPr>
          <w:p w14:paraId="0726EBAA"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bottom w:val="single" w:sz="4" w:space="0" w:color="auto"/>
              <w:right w:val="single" w:sz="4" w:space="0" w:color="auto"/>
            </w:tcBorders>
            <w:shd w:val="clear" w:color="auto" w:fill="FFFFFF"/>
          </w:tcPr>
          <w:p w14:paraId="7B2B91A0" w14:textId="77777777" w:rsidR="008C76E0" w:rsidRPr="00BD7577" w:rsidRDefault="008C76E0" w:rsidP="008C76E0">
            <w:pPr>
              <w:spacing w:after="120" w:line="240" w:lineRule="auto"/>
              <w:rPr>
                <w:rFonts w:ascii="Sylfaen" w:hAnsi="Sylfaen"/>
                <w:sz w:val="24"/>
                <w:szCs w:val="24"/>
              </w:rPr>
            </w:pPr>
          </w:p>
        </w:tc>
      </w:tr>
      <w:tr w:rsidR="008C76E0" w:rsidRPr="00BD7577" w14:paraId="0A6F570B" w14:textId="77777777" w:rsidTr="008C76E0">
        <w:tc>
          <w:tcPr>
            <w:tcW w:w="4263" w:type="dxa"/>
            <w:gridSpan w:val="2"/>
            <w:tcBorders>
              <w:top w:val="single" w:sz="4" w:space="0" w:color="auto"/>
              <w:left w:val="single" w:sz="4" w:space="0" w:color="auto"/>
            </w:tcBorders>
            <w:shd w:val="clear" w:color="auto" w:fill="FFFFFF"/>
            <w:vAlign w:val="bottom"/>
          </w:tcPr>
          <w:p w14:paraId="021FBC44"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Ավելի հաճախ տարեց պացիենտների մոտ առաջացող այլ անցանկալի եր</w:t>
            </w:r>
            <w:r w:rsidR="00C54D75">
              <w:rPr>
                <w:rStyle w:val="Bodytext1811pt"/>
                <w:rFonts w:ascii="Sylfaen" w:hAnsi="Sylfaen"/>
                <w:sz w:val="24"/>
                <w:szCs w:val="24"/>
              </w:rPr>
              <w:t>և</w:t>
            </w:r>
            <w:r w:rsidRPr="00BD7577">
              <w:rPr>
                <w:rStyle w:val="Bodytext1811pt"/>
                <w:rFonts w:ascii="Sylfaen" w:hAnsi="Sylfaen"/>
                <w:sz w:val="24"/>
                <w:szCs w:val="24"/>
              </w:rPr>
              <w:t xml:space="preserve">ույթներ </w:t>
            </w:r>
          </w:p>
        </w:tc>
        <w:tc>
          <w:tcPr>
            <w:tcW w:w="1357" w:type="dxa"/>
            <w:gridSpan w:val="2"/>
            <w:tcBorders>
              <w:top w:val="single" w:sz="4" w:space="0" w:color="auto"/>
              <w:left w:val="single" w:sz="4" w:space="0" w:color="auto"/>
            </w:tcBorders>
            <w:shd w:val="clear" w:color="auto" w:fill="FFFFFF"/>
          </w:tcPr>
          <w:p w14:paraId="1686271E" w14:textId="77777777" w:rsidR="008C76E0" w:rsidRPr="00BD7577" w:rsidRDefault="008C76E0" w:rsidP="008C76E0">
            <w:pPr>
              <w:spacing w:after="120" w:line="240" w:lineRule="auto"/>
              <w:rPr>
                <w:rFonts w:ascii="Sylfaen" w:hAnsi="Sylfaen"/>
                <w:sz w:val="24"/>
                <w:szCs w:val="24"/>
              </w:rPr>
            </w:pPr>
          </w:p>
        </w:tc>
        <w:tc>
          <w:tcPr>
            <w:tcW w:w="1494" w:type="dxa"/>
            <w:gridSpan w:val="3"/>
            <w:tcBorders>
              <w:top w:val="single" w:sz="4" w:space="0" w:color="auto"/>
              <w:left w:val="single" w:sz="4" w:space="0" w:color="auto"/>
            </w:tcBorders>
            <w:shd w:val="clear" w:color="auto" w:fill="FFFFFF"/>
          </w:tcPr>
          <w:p w14:paraId="33975609" w14:textId="77777777" w:rsidR="008C76E0" w:rsidRPr="00BD7577" w:rsidRDefault="008C76E0" w:rsidP="008C76E0">
            <w:pPr>
              <w:spacing w:after="120" w:line="240" w:lineRule="auto"/>
              <w:rPr>
                <w:rFonts w:ascii="Sylfaen" w:hAnsi="Sylfaen"/>
                <w:sz w:val="24"/>
                <w:szCs w:val="24"/>
              </w:rPr>
            </w:pPr>
          </w:p>
        </w:tc>
        <w:tc>
          <w:tcPr>
            <w:tcW w:w="1498" w:type="dxa"/>
            <w:gridSpan w:val="2"/>
            <w:tcBorders>
              <w:top w:val="single" w:sz="4" w:space="0" w:color="auto"/>
              <w:left w:val="single" w:sz="4" w:space="0" w:color="auto"/>
            </w:tcBorders>
            <w:shd w:val="clear" w:color="auto" w:fill="FFFFFF"/>
          </w:tcPr>
          <w:p w14:paraId="4FCC6139" w14:textId="77777777" w:rsidR="008C76E0" w:rsidRPr="00BD7577" w:rsidRDefault="008C76E0" w:rsidP="008C76E0">
            <w:pPr>
              <w:spacing w:after="120" w:line="240" w:lineRule="auto"/>
              <w:rPr>
                <w:rFonts w:ascii="Sylfaen" w:hAnsi="Sylfaen"/>
                <w:sz w:val="24"/>
                <w:szCs w:val="24"/>
              </w:rPr>
            </w:pPr>
          </w:p>
        </w:tc>
        <w:tc>
          <w:tcPr>
            <w:tcW w:w="1667" w:type="dxa"/>
            <w:tcBorders>
              <w:top w:val="single" w:sz="4" w:space="0" w:color="auto"/>
              <w:left w:val="single" w:sz="4" w:space="0" w:color="auto"/>
              <w:right w:val="single" w:sz="4" w:space="0" w:color="auto"/>
            </w:tcBorders>
            <w:shd w:val="clear" w:color="auto" w:fill="FFFFFF"/>
          </w:tcPr>
          <w:p w14:paraId="6EBAAC42" w14:textId="77777777" w:rsidR="008C76E0" w:rsidRPr="00BD7577" w:rsidRDefault="008C76E0" w:rsidP="008C76E0">
            <w:pPr>
              <w:spacing w:after="120" w:line="240" w:lineRule="auto"/>
              <w:rPr>
                <w:rFonts w:ascii="Sylfaen" w:hAnsi="Sylfaen"/>
                <w:sz w:val="24"/>
                <w:szCs w:val="24"/>
              </w:rPr>
            </w:pPr>
          </w:p>
        </w:tc>
      </w:tr>
      <w:tr w:rsidR="008C76E0" w:rsidRPr="00BD7577" w14:paraId="5C0F7033" w14:textId="77777777" w:rsidTr="008C76E0">
        <w:tc>
          <w:tcPr>
            <w:tcW w:w="10279" w:type="dxa"/>
            <w:gridSpan w:val="10"/>
            <w:tcBorders>
              <w:top w:val="single" w:sz="4" w:space="0" w:color="auto"/>
            </w:tcBorders>
            <w:shd w:val="clear" w:color="auto" w:fill="FFFFFF"/>
          </w:tcPr>
          <w:p w14:paraId="6C6AE63C" w14:textId="77777777" w:rsidR="008C76E0" w:rsidRPr="00BD7577" w:rsidRDefault="008C76E0" w:rsidP="008C76E0">
            <w:pPr>
              <w:spacing w:after="120" w:line="240" w:lineRule="auto"/>
              <w:rPr>
                <w:rFonts w:ascii="Sylfaen" w:hAnsi="Sylfaen"/>
                <w:sz w:val="24"/>
                <w:szCs w:val="24"/>
              </w:rPr>
            </w:pPr>
          </w:p>
        </w:tc>
      </w:tr>
      <w:tr w:rsidR="008C76E0" w:rsidRPr="00BD7577" w14:paraId="3C5A0370"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57503DA7"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6F417CCC" w14:textId="77777777" w:rsidTr="008C76E0">
        <w:tc>
          <w:tcPr>
            <w:tcW w:w="10279" w:type="dxa"/>
            <w:gridSpan w:val="10"/>
            <w:tcBorders>
              <w:top w:val="single" w:sz="4" w:space="0" w:color="auto"/>
            </w:tcBorders>
            <w:shd w:val="clear" w:color="auto" w:fill="FFFFFF"/>
            <w:vAlign w:val="bottom"/>
          </w:tcPr>
          <w:p w14:paraId="6442BC5F" w14:textId="77777777" w:rsidR="008C76E0" w:rsidRPr="00BD7577" w:rsidRDefault="008C76E0" w:rsidP="008C76E0">
            <w:pPr>
              <w:pStyle w:val="Bodytext180"/>
              <w:shd w:val="clear" w:color="auto" w:fill="auto"/>
              <w:tabs>
                <w:tab w:val="left" w:pos="1117"/>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4.7.</w:t>
            </w:r>
            <w:r w:rsidRPr="00BD7577">
              <w:rPr>
                <w:rStyle w:val="Bodytext295pt"/>
                <w:rFonts w:ascii="Sylfaen" w:hAnsi="Sylfaen"/>
                <w:spacing w:val="0"/>
                <w:sz w:val="24"/>
                <w:szCs w:val="24"/>
              </w:rPr>
              <w:tab/>
              <w:t>Իմունաբանական եր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ույթներ:</w:t>
            </w:r>
          </w:p>
        </w:tc>
      </w:tr>
      <w:tr w:rsidR="008C76E0" w:rsidRPr="00BD7577" w14:paraId="28053B05"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3E5D9AB7"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D973352" w14:textId="77777777" w:rsidTr="008C76E0">
        <w:tc>
          <w:tcPr>
            <w:tcW w:w="10279" w:type="dxa"/>
            <w:gridSpan w:val="10"/>
            <w:tcBorders>
              <w:top w:val="single" w:sz="4" w:space="0" w:color="auto"/>
            </w:tcBorders>
            <w:shd w:val="clear" w:color="auto" w:fill="FFFFFF"/>
            <w:vAlign w:val="bottom"/>
          </w:tcPr>
          <w:p w14:paraId="6BB5EECE" w14:textId="77777777" w:rsidR="008C76E0" w:rsidRPr="00BD7577" w:rsidRDefault="008C76E0" w:rsidP="008C76E0">
            <w:pPr>
              <w:pStyle w:val="Bodytext180"/>
              <w:shd w:val="clear" w:color="auto" w:fill="auto"/>
              <w:tabs>
                <w:tab w:val="left" w:pos="1132"/>
              </w:tabs>
              <w:spacing w:before="0" w:after="160" w:line="360" w:lineRule="auto"/>
              <w:ind w:left="-89" w:firstLine="710"/>
              <w:rPr>
                <w:rStyle w:val="Bodytext295pt"/>
                <w:rFonts w:ascii="Sylfaen" w:hAnsi="Sylfaen"/>
                <w:i/>
                <w:spacing w:val="0"/>
                <w:sz w:val="24"/>
                <w:szCs w:val="24"/>
              </w:rPr>
            </w:pPr>
            <w:r w:rsidRPr="00BD7577">
              <w:rPr>
                <w:rStyle w:val="Bodytext295pt"/>
                <w:rFonts w:ascii="Sylfaen" w:hAnsi="Sylfaen"/>
                <w:spacing w:val="0"/>
                <w:sz w:val="24"/>
                <w:szCs w:val="24"/>
              </w:rPr>
              <w:t>4.8.</w:t>
            </w:r>
            <w:r w:rsidRPr="00BD7577">
              <w:rPr>
                <w:rStyle w:val="Bodytext295pt"/>
                <w:rFonts w:ascii="Sylfaen" w:hAnsi="Sylfaen"/>
                <w:spacing w:val="0"/>
                <w:sz w:val="24"/>
                <w:szCs w:val="24"/>
              </w:rPr>
              <w:tab/>
              <w:t xml:space="preserve">Անվտանգությունը դեղային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այլ փոխազդեցությունների ժամանակ:</w:t>
            </w:r>
          </w:p>
        </w:tc>
      </w:tr>
      <w:tr w:rsidR="008C76E0" w:rsidRPr="00BD7577" w14:paraId="382170CC"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6C98AC93"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3EE97E04" w14:textId="77777777" w:rsidTr="008C76E0">
        <w:tc>
          <w:tcPr>
            <w:tcW w:w="10279" w:type="dxa"/>
            <w:gridSpan w:val="10"/>
            <w:tcBorders>
              <w:top w:val="single" w:sz="4" w:space="0" w:color="auto"/>
            </w:tcBorders>
            <w:shd w:val="clear" w:color="auto" w:fill="FFFFFF"/>
            <w:vAlign w:val="center"/>
          </w:tcPr>
          <w:p w14:paraId="75F12370" w14:textId="77777777" w:rsidR="008C76E0" w:rsidRPr="00BD7577" w:rsidRDefault="008C76E0" w:rsidP="008C76E0">
            <w:pPr>
              <w:pStyle w:val="Bodytext180"/>
              <w:shd w:val="clear" w:color="auto" w:fill="auto"/>
              <w:tabs>
                <w:tab w:val="left" w:pos="1147"/>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4.9.</w:t>
            </w:r>
            <w:r w:rsidRPr="00BD7577">
              <w:rPr>
                <w:rStyle w:val="Bodytext295pt"/>
                <w:rFonts w:ascii="Sylfaen" w:hAnsi="Sylfaen"/>
                <w:spacing w:val="0"/>
                <w:sz w:val="24"/>
                <w:szCs w:val="24"/>
              </w:rPr>
              <w:tab/>
              <w:t>Անցանկալի եր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ույթների պատճառով հետազոտությունից դուրս գալը:</w:t>
            </w:r>
          </w:p>
        </w:tc>
      </w:tr>
      <w:tr w:rsidR="008C76E0" w:rsidRPr="00BD7577" w14:paraId="38D6B35D"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1E9442E3"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1ECE0C05" w14:textId="77777777" w:rsidTr="008C76E0">
        <w:tc>
          <w:tcPr>
            <w:tcW w:w="10279" w:type="dxa"/>
            <w:gridSpan w:val="10"/>
            <w:tcBorders>
              <w:top w:val="single" w:sz="4" w:space="0" w:color="auto"/>
            </w:tcBorders>
            <w:shd w:val="clear" w:color="auto" w:fill="FFFFFF"/>
            <w:vAlign w:val="bottom"/>
          </w:tcPr>
          <w:p w14:paraId="1FABD9C5" w14:textId="77777777" w:rsidR="008C76E0" w:rsidRPr="00BD7577" w:rsidRDefault="008C76E0" w:rsidP="008C76E0">
            <w:pPr>
              <w:pStyle w:val="Bodytext180"/>
              <w:shd w:val="clear" w:color="auto" w:fill="auto"/>
              <w:tabs>
                <w:tab w:val="left" w:pos="1701"/>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4.10.</w:t>
            </w:r>
            <w:r w:rsidRPr="00BD7577">
              <w:rPr>
                <w:rStyle w:val="Bodytext295pt"/>
                <w:rFonts w:ascii="Sylfaen" w:hAnsi="Sylfaen"/>
                <w:spacing w:val="0"/>
                <w:sz w:val="24"/>
                <w:szCs w:val="24"/>
              </w:rPr>
              <w:tab/>
              <w:t>Հետազոտություններ՝ պատրաստուկը շուկա դուրս բերելուց հետո:</w:t>
            </w:r>
          </w:p>
        </w:tc>
      </w:tr>
      <w:tr w:rsidR="008C76E0" w:rsidRPr="00BD7577" w14:paraId="35C38777" w14:textId="77777777" w:rsidTr="008C76E0">
        <w:tc>
          <w:tcPr>
            <w:tcW w:w="10279" w:type="dxa"/>
            <w:gridSpan w:val="10"/>
            <w:tcBorders>
              <w:top w:val="single" w:sz="4" w:space="0" w:color="auto"/>
              <w:left w:val="single" w:sz="4" w:space="0" w:color="auto"/>
              <w:right w:val="single" w:sz="4" w:space="0" w:color="auto"/>
            </w:tcBorders>
            <w:shd w:val="clear" w:color="auto" w:fill="FFFFFF"/>
          </w:tcPr>
          <w:p w14:paraId="61AFF128" w14:textId="77777777" w:rsidR="008C76E0" w:rsidRPr="00BD7577" w:rsidRDefault="008C76E0" w:rsidP="008C76E0">
            <w:pPr>
              <w:pStyle w:val="Bodytext180"/>
              <w:shd w:val="clear" w:color="auto" w:fill="auto"/>
              <w:spacing w:before="0" w:after="160" w:line="360" w:lineRule="auto"/>
              <w:ind w:firstLine="0"/>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2DE21327" w14:textId="77777777" w:rsidTr="008C76E0">
        <w:tc>
          <w:tcPr>
            <w:tcW w:w="10279" w:type="dxa"/>
            <w:gridSpan w:val="10"/>
            <w:tcBorders>
              <w:top w:val="single" w:sz="4" w:space="0" w:color="auto"/>
            </w:tcBorders>
            <w:shd w:val="clear" w:color="auto" w:fill="FFFFFF"/>
            <w:vAlign w:val="bottom"/>
          </w:tcPr>
          <w:p w14:paraId="2930A458" w14:textId="77777777" w:rsidR="008C76E0" w:rsidRPr="00BD7577" w:rsidRDefault="008C76E0" w:rsidP="008C76E0">
            <w:pPr>
              <w:pStyle w:val="Bodytext180"/>
              <w:shd w:val="clear" w:color="auto" w:fill="auto"/>
              <w:tabs>
                <w:tab w:val="left" w:pos="1701"/>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4.11.</w:t>
            </w:r>
            <w:r w:rsidRPr="00BD7577">
              <w:rPr>
                <w:rStyle w:val="Bodytext295pt"/>
                <w:rFonts w:ascii="Sylfaen" w:hAnsi="Sylfaen"/>
                <w:spacing w:val="0"/>
                <w:sz w:val="24"/>
                <w:szCs w:val="24"/>
              </w:rPr>
              <w:tab/>
              <w:t>Կլինիկական անվտանգության գնահատման գծով փորձագետի ընդհանուր եզրակացությունը։</w:t>
            </w:r>
          </w:p>
          <w:p w14:paraId="4A1D7BB7" w14:textId="77777777" w:rsidR="008C76E0" w:rsidRPr="00BD7577" w:rsidRDefault="008C76E0" w:rsidP="008C76E0">
            <w:pPr>
              <w:pStyle w:val="Bodytext180"/>
              <w:shd w:val="clear" w:color="auto" w:fill="auto"/>
              <w:tabs>
                <w:tab w:val="left" w:pos="1897"/>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 xml:space="preserve">կլինիկական արդյունավետության վերաբերյալ եզրակացությունները </w:t>
            </w:r>
          </w:p>
          <w:p w14:paraId="681FFAB6" w14:textId="77777777" w:rsidR="008C76E0" w:rsidRPr="00BD7577" w:rsidRDefault="008C76E0" w:rsidP="008C76E0">
            <w:pPr>
              <w:pStyle w:val="Bodytext180"/>
              <w:shd w:val="clear" w:color="auto" w:fill="auto"/>
              <w:tabs>
                <w:tab w:val="left" w:pos="1897"/>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կլինիկական անվտանգության վերաբերյալ եզրակացությունները</w:t>
            </w:r>
          </w:p>
        </w:tc>
      </w:tr>
    </w:tbl>
    <w:p w14:paraId="55057C62" w14:textId="77777777" w:rsidR="008C76E0" w:rsidRDefault="008C76E0" w:rsidP="008C76E0">
      <w:pPr>
        <w:ind w:right="-1"/>
        <w:rPr>
          <w:rFonts w:ascii="Sylfaen" w:hAnsi="Sylfaen"/>
          <w:sz w:val="24"/>
          <w:szCs w:val="24"/>
        </w:rPr>
      </w:pPr>
    </w:p>
    <w:p w14:paraId="4E81A4CD" w14:textId="77777777" w:rsidR="008C76E0" w:rsidRDefault="008C76E0" w:rsidP="008C76E0">
      <w:pPr>
        <w:widowControl/>
        <w:rPr>
          <w:rFonts w:ascii="Sylfaen" w:hAnsi="Sylfaen"/>
          <w:sz w:val="24"/>
          <w:szCs w:val="24"/>
        </w:rPr>
      </w:pPr>
      <w:r>
        <w:rPr>
          <w:rFonts w:ascii="Sylfaen" w:hAnsi="Sylfaen"/>
          <w:sz w:val="24"/>
          <w:szCs w:val="24"/>
        </w:rPr>
        <w:br w:type="page"/>
      </w:r>
    </w:p>
    <w:p w14:paraId="5E9C2736" w14:textId="77777777" w:rsidR="008C76E0" w:rsidRPr="00BD7577" w:rsidRDefault="008C76E0" w:rsidP="00305C5C">
      <w:pPr>
        <w:spacing w:after="160" w:line="360" w:lineRule="auto"/>
        <w:ind w:left="567" w:right="-1"/>
        <w:jc w:val="center"/>
        <w:rPr>
          <w:rFonts w:ascii="Sylfaen" w:hAnsi="Sylfaen"/>
          <w:sz w:val="24"/>
          <w:szCs w:val="24"/>
        </w:rPr>
      </w:pPr>
      <w:r w:rsidRPr="00BD7577">
        <w:rPr>
          <w:rFonts w:ascii="Sylfaen" w:hAnsi="Sylfaen"/>
          <w:sz w:val="24"/>
          <w:szCs w:val="24"/>
        </w:rPr>
        <w:lastRenderedPageBreak/>
        <w:t>5. Դեղազգոնությունը</w:t>
      </w:r>
    </w:p>
    <w:p w14:paraId="27991B2F" w14:textId="77777777" w:rsidR="008C76E0" w:rsidRPr="00BD7577" w:rsidRDefault="008C76E0" w:rsidP="00305C5C">
      <w:pPr>
        <w:tabs>
          <w:tab w:val="left" w:pos="1134"/>
        </w:tabs>
        <w:spacing w:after="160" w:line="360" w:lineRule="auto"/>
        <w:ind w:right="-1" w:firstLine="567"/>
        <w:rPr>
          <w:rFonts w:ascii="Sylfaen" w:hAnsi="Sylfaen"/>
          <w:sz w:val="24"/>
          <w:szCs w:val="24"/>
        </w:rPr>
      </w:pPr>
      <w:r w:rsidRPr="00BD7577">
        <w:rPr>
          <w:rFonts w:ascii="Sylfaen" w:hAnsi="Sylfaen"/>
          <w:sz w:val="24"/>
          <w:szCs w:val="24"/>
        </w:rPr>
        <w:t>5.1.</w:t>
      </w:r>
      <w:r w:rsidRPr="00DD61E4">
        <w:rPr>
          <w:rFonts w:ascii="Sylfaen" w:hAnsi="Sylfaen"/>
          <w:sz w:val="24"/>
          <w:szCs w:val="24"/>
        </w:rPr>
        <w:tab/>
      </w:r>
      <w:r w:rsidRPr="00BD7577">
        <w:rPr>
          <w:rFonts w:ascii="Sylfaen" w:hAnsi="Sylfaen"/>
          <w:sz w:val="24"/>
          <w:szCs w:val="24"/>
        </w:rPr>
        <w:t>Դեղազգոնության համակարգը:</w:t>
      </w:r>
    </w:p>
    <w:p w14:paraId="37B4A860" w14:textId="77777777" w:rsidR="008C76E0" w:rsidRPr="00BD7577"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 xml:space="preserve">Հայտատուն </w:t>
      </w:r>
      <w:r w:rsidRPr="009B12B2">
        <w:rPr>
          <w:rFonts w:ascii="Sylfaen" w:hAnsi="Sylfaen"/>
          <w:spacing w:val="-4"/>
          <w:sz w:val="24"/>
          <w:szCs w:val="24"/>
        </w:rPr>
        <w:t xml:space="preserve">ներկայացրեց փաստաթղթեր, որոնցում շարադրված է դեղազգոնության համակարգի մանրամասն նկարագրությունը: Դեղազգոնության համար հայտը ստորագրված է հայտատուի </w:t>
      </w:r>
      <w:r w:rsidR="00C54D75">
        <w:rPr>
          <w:rFonts w:ascii="Sylfaen" w:hAnsi="Sylfaen"/>
          <w:spacing w:val="-4"/>
          <w:sz w:val="24"/>
          <w:szCs w:val="24"/>
        </w:rPr>
        <w:t>և</w:t>
      </w:r>
      <w:r w:rsidRPr="009B12B2">
        <w:rPr>
          <w:rFonts w:ascii="Sylfaen" w:hAnsi="Sylfaen"/>
          <w:spacing w:val="-4"/>
          <w:sz w:val="24"/>
          <w:szCs w:val="24"/>
        </w:rPr>
        <w:t xml:space="preserve"> լիազորված անձի կողմից, ընդ որում, դրանում նշված է, որ հայտատուին տրամադրվում են դեղազգոնության համար պատասխանատու լիազորված անձի ծառայությունները, </w:t>
      </w:r>
      <w:r w:rsidR="00C54D75">
        <w:rPr>
          <w:rFonts w:ascii="Sylfaen" w:hAnsi="Sylfaen"/>
          <w:spacing w:val="-4"/>
          <w:sz w:val="24"/>
          <w:szCs w:val="24"/>
        </w:rPr>
        <w:t>և</w:t>
      </w:r>
      <w:r w:rsidRPr="009B12B2">
        <w:rPr>
          <w:rFonts w:ascii="Sylfaen" w:hAnsi="Sylfaen"/>
          <w:spacing w:val="-4"/>
          <w:sz w:val="24"/>
          <w:szCs w:val="24"/>
        </w:rPr>
        <w:t xml:space="preserve"> տրամադրվել են անհրաժեշտ միջոցներ՝ Եվրասիական տնտեսական</w:t>
      </w:r>
      <w:r w:rsidRPr="00BD7577">
        <w:rPr>
          <w:rFonts w:ascii="Sylfaen" w:hAnsi="Sylfaen"/>
          <w:sz w:val="24"/>
          <w:szCs w:val="24"/>
        </w:rPr>
        <w:t xml:space="preserve"> միությունում կամ երրորդ երկրում առաջացող ցանկացած անցանկալի ռեակցիայի մասին ծանուցելու համար: </w:t>
      </w:r>
    </w:p>
    <w:p w14:paraId="28AC3D99" w14:textId="77777777" w:rsidR="008C76E0" w:rsidRPr="00BD7577"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 xml:space="preserve">Փորձագետը համարում է, որ դեղազգոնության համակարգը, որը նկարագրված է հայտատուի կողմից, բավարարում է պահանջները </w:t>
      </w:r>
      <w:r w:rsidR="00C54D75">
        <w:rPr>
          <w:rFonts w:ascii="Sylfaen" w:hAnsi="Sylfaen"/>
          <w:sz w:val="24"/>
          <w:szCs w:val="24"/>
        </w:rPr>
        <w:t>և</w:t>
      </w:r>
      <w:r w:rsidRPr="00BD7577">
        <w:rPr>
          <w:rFonts w:ascii="Sylfaen" w:hAnsi="Sylfaen"/>
          <w:sz w:val="24"/>
          <w:szCs w:val="24"/>
        </w:rPr>
        <w:t xml:space="preserve"> համապատասխան ապացույց է ներկայացնում առ այն, որ հայտատուին տրամադրվում են դեղազգոնության համար պատասխանատու լիազորված անձի ծառայություններ, </w:t>
      </w:r>
      <w:r w:rsidR="00C54D75">
        <w:rPr>
          <w:rFonts w:ascii="Sylfaen" w:hAnsi="Sylfaen"/>
          <w:sz w:val="24"/>
          <w:szCs w:val="24"/>
        </w:rPr>
        <w:t>և</w:t>
      </w:r>
      <w:r w:rsidRPr="00BD7577">
        <w:rPr>
          <w:rFonts w:ascii="Sylfaen" w:hAnsi="Sylfaen"/>
          <w:sz w:val="24"/>
          <w:szCs w:val="24"/>
        </w:rPr>
        <w:t xml:space="preserve"> առկա են Եվրասիական տնտեսական միությունում կամ երրորդ երկրում առաջացող ցանկացած ենթադրյալ անցանկալի ռեակցիայի մասին ծանուցման համար անհրաժեշտ միջոցներ:</w:t>
      </w:r>
    </w:p>
    <w:p w14:paraId="72C3DE6F" w14:textId="77777777" w:rsidR="008C76E0" w:rsidRPr="00BD7577"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Փորձագետը համարում է, որ դեղազգոնության համակարգը, որը նկարագրված է հայտատուի կողմից, ունի հետ</w:t>
      </w:r>
      <w:r w:rsidR="00C54D75">
        <w:rPr>
          <w:rFonts w:ascii="Sylfaen" w:hAnsi="Sylfaen"/>
          <w:sz w:val="24"/>
          <w:szCs w:val="24"/>
        </w:rPr>
        <w:t>և</w:t>
      </w:r>
      <w:r w:rsidRPr="00BD7577">
        <w:rPr>
          <w:rFonts w:ascii="Sylfaen" w:hAnsi="Sylfaen"/>
          <w:sz w:val="24"/>
          <w:szCs w:val="24"/>
        </w:rPr>
        <w:t>յալ թերությունները՝ «թերությունների ցանկը»:</w:t>
      </w:r>
    </w:p>
    <w:p w14:paraId="5F394FF1" w14:textId="77777777" w:rsidR="008C76E0" w:rsidRPr="007106A3"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 xml:space="preserve">Հաշվի առնելով, որ թերությունները վերացվում են նախքան հայտատուի կողմից դեղապատրաստուկը շուկա դուրս բերելը, լիազորված փորձագիտական կազմակերպությունը կարող է համարել, որ դեղազգոնության համակարգը կհամապատասխանի պահանջներին: Նախքան պատրաստուկի շուկա մուտք գործելը հայտատուն պետք է ներկայացնի համոզիչ տվյալներ առ այն, որ դեղազգոնության համակարգն ընդունվել </w:t>
      </w:r>
      <w:r w:rsidR="00C54D75">
        <w:rPr>
          <w:rFonts w:ascii="Sylfaen" w:hAnsi="Sylfaen"/>
          <w:sz w:val="24"/>
          <w:szCs w:val="24"/>
        </w:rPr>
        <w:t>և</w:t>
      </w:r>
      <w:r w:rsidRPr="00BD7577">
        <w:rPr>
          <w:rFonts w:ascii="Sylfaen" w:hAnsi="Sylfaen"/>
          <w:sz w:val="24"/>
          <w:szCs w:val="24"/>
        </w:rPr>
        <w:t xml:space="preserve"> գործում է:</w:t>
      </w:r>
    </w:p>
    <w:p w14:paraId="34BCC810" w14:textId="77777777" w:rsidR="008C76E0" w:rsidRPr="007106A3" w:rsidRDefault="008C76E0" w:rsidP="00305C5C">
      <w:pPr>
        <w:spacing w:after="160" w:line="360" w:lineRule="auto"/>
        <w:ind w:firstLine="567"/>
        <w:jc w:val="both"/>
        <w:rPr>
          <w:rFonts w:ascii="Sylfaen" w:hAnsi="Sylfaen"/>
          <w:sz w:val="24"/>
          <w:szCs w:val="24"/>
        </w:rPr>
      </w:pPr>
    </w:p>
    <w:tbl>
      <w:tblPr>
        <w:tblOverlap w:val="never"/>
        <w:tblW w:w="9566" w:type="dxa"/>
        <w:tblLayout w:type="fixed"/>
        <w:tblCellMar>
          <w:left w:w="10" w:type="dxa"/>
          <w:right w:w="10" w:type="dxa"/>
        </w:tblCellMar>
        <w:tblLook w:val="04A0" w:firstRow="1" w:lastRow="0" w:firstColumn="1" w:lastColumn="0" w:noHBand="0" w:noVBand="1"/>
      </w:tblPr>
      <w:tblGrid>
        <w:gridCol w:w="9566"/>
      </w:tblGrid>
      <w:tr w:rsidR="008C76E0" w:rsidRPr="00BD7577" w14:paraId="3149F618" w14:textId="77777777" w:rsidTr="008C76E0">
        <w:tc>
          <w:tcPr>
            <w:tcW w:w="9566" w:type="dxa"/>
            <w:tcBorders>
              <w:top w:val="single" w:sz="4" w:space="0" w:color="auto"/>
              <w:left w:val="single" w:sz="4" w:space="0" w:color="auto"/>
              <w:right w:val="single" w:sz="4" w:space="0" w:color="auto"/>
            </w:tcBorders>
            <w:shd w:val="clear" w:color="auto" w:fill="FFFFFF"/>
          </w:tcPr>
          <w:p w14:paraId="4953DCC9" w14:textId="77777777" w:rsidR="008C76E0" w:rsidRPr="00BD7577" w:rsidRDefault="008C76E0" w:rsidP="00305C5C">
            <w:pPr>
              <w:pStyle w:val="Bodytext180"/>
              <w:shd w:val="clear" w:color="auto" w:fill="auto"/>
              <w:spacing w:before="0" w:after="160" w:line="360" w:lineRule="auto"/>
              <w:ind w:left="96" w:firstLine="0"/>
              <w:rPr>
                <w:rFonts w:ascii="Sylfaen" w:hAnsi="Sylfaen"/>
                <w:b w:val="0"/>
                <w:sz w:val="24"/>
                <w:szCs w:val="24"/>
              </w:rPr>
            </w:pPr>
            <w:r w:rsidRPr="00BD7577">
              <w:rPr>
                <w:rStyle w:val="Bodytext295pt"/>
                <w:rFonts w:ascii="Sylfaen" w:hAnsi="Sylfaen"/>
                <w:spacing w:val="0"/>
                <w:sz w:val="24"/>
                <w:szCs w:val="24"/>
              </w:rPr>
              <w:lastRenderedPageBreak/>
              <w:t>Փորձագետի մեկնաբանությունը</w:t>
            </w:r>
          </w:p>
        </w:tc>
      </w:tr>
      <w:tr w:rsidR="008C76E0" w:rsidRPr="00BD7577" w14:paraId="36C1090C" w14:textId="77777777" w:rsidTr="008C76E0">
        <w:tc>
          <w:tcPr>
            <w:tcW w:w="9566" w:type="dxa"/>
            <w:tcBorders>
              <w:top w:val="single" w:sz="4" w:space="0" w:color="auto"/>
              <w:bottom w:val="single" w:sz="4" w:space="0" w:color="auto"/>
            </w:tcBorders>
            <w:shd w:val="clear" w:color="auto" w:fill="FFFFFF"/>
          </w:tcPr>
          <w:p w14:paraId="7D72BFD8" w14:textId="77777777" w:rsidR="008C76E0" w:rsidRPr="00BD7577" w:rsidRDefault="008C76E0" w:rsidP="00305C5C">
            <w:pPr>
              <w:pStyle w:val="Bodytext180"/>
              <w:shd w:val="clear" w:color="auto" w:fill="auto"/>
              <w:tabs>
                <w:tab w:val="left" w:pos="1089"/>
              </w:tabs>
              <w:spacing w:before="0" w:after="160" w:line="360" w:lineRule="auto"/>
              <w:ind w:firstLine="567"/>
              <w:rPr>
                <w:rStyle w:val="Bodytext295pt"/>
                <w:rFonts w:ascii="Sylfaen" w:hAnsi="Sylfaen"/>
                <w:b/>
                <w:spacing w:val="0"/>
                <w:sz w:val="24"/>
                <w:szCs w:val="24"/>
              </w:rPr>
            </w:pPr>
            <w:r w:rsidRPr="00BD7577">
              <w:rPr>
                <w:rStyle w:val="Bodytext295pt"/>
                <w:rFonts w:ascii="Sylfaen" w:hAnsi="Sylfaen"/>
                <w:spacing w:val="0"/>
                <w:sz w:val="24"/>
                <w:szCs w:val="24"/>
              </w:rPr>
              <w:t>5.2.</w:t>
            </w:r>
            <w:r w:rsidRPr="00BD7577">
              <w:rPr>
                <w:rStyle w:val="Bodytext295pt"/>
                <w:rFonts w:ascii="Sylfaen" w:hAnsi="Sylfaen"/>
                <w:spacing w:val="0"/>
                <w:sz w:val="24"/>
                <w:szCs w:val="24"/>
              </w:rPr>
              <w:tab/>
              <w:t>Ռիսկերի կառավարման պլանը:</w:t>
            </w:r>
          </w:p>
          <w:p w14:paraId="3636CC76" w14:textId="77777777" w:rsidR="008C76E0" w:rsidRPr="00BD7577" w:rsidRDefault="008C76E0" w:rsidP="00305C5C">
            <w:pPr>
              <w:pStyle w:val="Bodytext180"/>
              <w:shd w:val="clear" w:color="auto" w:fill="auto"/>
              <w:tabs>
                <w:tab w:val="left" w:pos="1897"/>
              </w:tabs>
              <w:spacing w:before="0" w:after="160" w:line="360" w:lineRule="auto"/>
              <w:ind w:firstLine="567"/>
              <w:rPr>
                <w:rStyle w:val="Bodytext295pt"/>
                <w:rFonts w:ascii="Sylfaen" w:hAnsi="Sylfaen"/>
                <w:i/>
                <w:spacing w:val="0"/>
                <w:sz w:val="24"/>
                <w:szCs w:val="24"/>
              </w:rPr>
            </w:pPr>
            <w:r w:rsidRPr="00BD7577">
              <w:rPr>
                <w:rStyle w:val="Bodytext295pt"/>
                <w:rFonts w:ascii="Sylfaen" w:hAnsi="Sylfaen"/>
                <w:spacing w:val="0"/>
                <w:sz w:val="24"/>
                <w:szCs w:val="24"/>
              </w:rPr>
              <w:t xml:space="preserve">Դեղազգոնության ոլորտում փորձագետի կողմից քննարկման համար հարցեր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(կամ) դիտողություններ՝ ռիսկերի կառավարման պլանը գնահատելու ժամանակ՝ </w:t>
            </w:r>
          </w:p>
          <w:p w14:paraId="6F4EA29B" w14:textId="77777777" w:rsidR="008C76E0" w:rsidRPr="00BD7577" w:rsidRDefault="008C76E0" w:rsidP="00305C5C">
            <w:pPr>
              <w:pStyle w:val="Bodytext180"/>
              <w:shd w:val="clear" w:color="auto" w:fill="auto"/>
              <w:tabs>
                <w:tab w:val="left" w:pos="1897"/>
              </w:tabs>
              <w:spacing w:before="0" w:after="160" w:line="360" w:lineRule="auto"/>
              <w:ind w:firstLine="0"/>
              <w:rPr>
                <w:rStyle w:val="Bodytext295pt"/>
                <w:rFonts w:ascii="Sylfaen" w:hAnsi="Sylfaen"/>
                <w:b/>
                <w:spacing w:val="0"/>
                <w:sz w:val="24"/>
                <w:szCs w:val="24"/>
              </w:rPr>
            </w:pPr>
          </w:p>
        </w:tc>
      </w:tr>
      <w:tr w:rsidR="008C76E0" w:rsidRPr="00BD7577" w14:paraId="543FD533" w14:textId="77777777" w:rsidTr="008C76E0">
        <w:tc>
          <w:tcPr>
            <w:tcW w:w="9566" w:type="dxa"/>
            <w:tcBorders>
              <w:top w:val="single" w:sz="4" w:space="0" w:color="auto"/>
              <w:bottom w:val="single" w:sz="4" w:space="0" w:color="auto"/>
            </w:tcBorders>
            <w:shd w:val="clear" w:color="auto" w:fill="FFFFFF"/>
          </w:tcPr>
          <w:p w14:paraId="2684EB33" w14:textId="77777777" w:rsidR="008C76E0" w:rsidRPr="00BD7577" w:rsidRDefault="008C76E0" w:rsidP="00305C5C">
            <w:pPr>
              <w:spacing w:after="160" w:line="360" w:lineRule="auto"/>
              <w:rPr>
                <w:rFonts w:ascii="Sylfaen" w:hAnsi="Sylfaen"/>
                <w:sz w:val="24"/>
                <w:szCs w:val="24"/>
              </w:rPr>
            </w:pPr>
          </w:p>
        </w:tc>
      </w:tr>
    </w:tbl>
    <w:p w14:paraId="2FE2DEEB" w14:textId="77777777" w:rsidR="008C76E0" w:rsidRPr="00BD7577" w:rsidRDefault="008C76E0" w:rsidP="00305C5C">
      <w:pPr>
        <w:spacing w:after="160" w:line="360" w:lineRule="auto"/>
        <w:rPr>
          <w:rFonts w:ascii="Sylfaen" w:hAnsi="Sylfaen"/>
          <w:sz w:val="24"/>
          <w:szCs w:val="24"/>
        </w:rPr>
      </w:pPr>
    </w:p>
    <w:p w14:paraId="2D8EAB99" w14:textId="77777777" w:rsidR="008C76E0" w:rsidRPr="00BD7577" w:rsidRDefault="008C76E0" w:rsidP="00305C5C">
      <w:pPr>
        <w:pStyle w:val="Bodytext180"/>
        <w:shd w:val="clear" w:color="auto" w:fill="auto"/>
        <w:spacing w:before="0" w:after="160" w:line="360" w:lineRule="auto"/>
        <w:ind w:firstLine="0"/>
        <w:jc w:val="center"/>
        <w:rPr>
          <w:rFonts w:ascii="Sylfaen" w:hAnsi="Sylfaen"/>
          <w:b w:val="0"/>
          <w:sz w:val="24"/>
          <w:szCs w:val="24"/>
        </w:rPr>
      </w:pPr>
      <w:r w:rsidRPr="00BD7577">
        <w:rPr>
          <w:rStyle w:val="Bodytext295pt"/>
          <w:rFonts w:ascii="Sylfaen" w:hAnsi="Sylfaen"/>
          <w:spacing w:val="0"/>
          <w:sz w:val="24"/>
          <w:szCs w:val="24"/>
        </w:rPr>
        <w:t>6. Գրականության ցանկը՝</w:t>
      </w:r>
    </w:p>
    <w:tbl>
      <w:tblPr>
        <w:tblOverlap w:val="never"/>
        <w:tblW w:w="9566" w:type="dxa"/>
        <w:tblLayout w:type="fixed"/>
        <w:tblCellMar>
          <w:left w:w="10" w:type="dxa"/>
          <w:right w:w="10" w:type="dxa"/>
        </w:tblCellMar>
        <w:tblLook w:val="04A0" w:firstRow="1" w:lastRow="0" w:firstColumn="1" w:lastColumn="0" w:noHBand="0" w:noVBand="1"/>
      </w:tblPr>
      <w:tblGrid>
        <w:gridCol w:w="9566"/>
      </w:tblGrid>
      <w:tr w:rsidR="008C76E0" w:rsidRPr="00BD7577" w14:paraId="72CD2737" w14:textId="77777777" w:rsidTr="008C76E0">
        <w:tc>
          <w:tcPr>
            <w:tcW w:w="9566" w:type="dxa"/>
            <w:tcBorders>
              <w:top w:val="single" w:sz="4" w:space="0" w:color="auto"/>
            </w:tcBorders>
            <w:shd w:val="clear" w:color="auto" w:fill="FFFFFF"/>
          </w:tcPr>
          <w:p w14:paraId="5559D855" w14:textId="77777777" w:rsidR="008C76E0" w:rsidRPr="00BD7577" w:rsidRDefault="008C76E0" w:rsidP="00305C5C">
            <w:pPr>
              <w:spacing w:after="160" w:line="360" w:lineRule="auto"/>
              <w:rPr>
                <w:rFonts w:ascii="Sylfaen" w:hAnsi="Sylfaen"/>
                <w:sz w:val="24"/>
                <w:szCs w:val="24"/>
              </w:rPr>
            </w:pPr>
          </w:p>
        </w:tc>
      </w:tr>
      <w:tr w:rsidR="008C76E0" w:rsidRPr="00BD7577" w14:paraId="4BEC35AA" w14:textId="77777777" w:rsidTr="008C76E0">
        <w:tc>
          <w:tcPr>
            <w:tcW w:w="9566" w:type="dxa"/>
            <w:tcBorders>
              <w:top w:val="single" w:sz="4" w:space="0" w:color="auto"/>
              <w:bottom w:val="single" w:sz="4" w:space="0" w:color="auto"/>
            </w:tcBorders>
            <w:shd w:val="clear" w:color="auto" w:fill="FFFFFF"/>
          </w:tcPr>
          <w:p w14:paraId="4366703A" w14:textId="77777777" w:rsidR="008C76E0" w:rsidRPr="00BD7577" w:rsidRDefault="008C76E0" w:rsidP="00305C5C">
            <w:pPr>
              <w:spacing w:after="160" w:line="360" w:lineRule="auto"/>
              <w:rPr>
                <w:rFonts w:ascii="Sylfaen" w:hAnsi="Sylfaen"/>
                <w:sz w:val="24"/>
                <w:szCs w:val="24"/>
              </w:rPr>
            </w:pPr>
          </w:p>
        </w:tc>
      </w:tr>
      <w:tr w:rsidR="008C76E0" w:rsidRPr="00BD7577" w14:paraId="3362DE78" w14:textId="77777777" w:rsidTr="008C76E0">
        <w:tc>
          <w:tcPr>
            <w:tcW w:w="9566" w:type="dxa"/>
            <w:tcBorders>
              <w:top w:val="single" w:sz="4" w:space="0" w:color="auto"/>
              <w:bottom w:val="single" w:sz="4" w:space="0" w:color="auto"/>
            </w:tcBorders>
            <w:shd w:val="clear" w:color="auto" w:fill="FFFFFF"/>
          </w:tcPr>
          <w:p w14:paraId="3FD3975F" w14:textId="77777777" w:rsidR="008C76E0" w:rsidRPr="00BD7577" w:rsidRDefault="008C76E0" w:rsidP="00305C5C">
            <w:pPr>
              <w:spacing w:after="160" w:line="360" w:lineRule="auto"/>
              <w:rPr>
                <w:rFonts w:ascii="Sylfaen" w:hAnsi="Sylfaen"/>
                <w:sz w:val="24"/>
                <w:szCs w:val="24"/>
              </w:rPr>
            </w:pPr>
          </w:p>
        </w:tc>
      </w:tr>
    </w:tbl>
    <w:p w14:paraId="72FD7BF4" w14:textId="77777777" w:rsidR="008C76E0" w:rsidRPr="00BD7577" w:rsidRDefault="008C76E0" w:rsidP="00305C5C">
      <w:pPr>
        <w:spacing w:after="160" w:line="360" w:lineRule="auto"/>
        <w:jc w:val="center"/>
        <w:rPr>
          <w:rFonts w:ascii="Sylfaen" w:hAnsi="Sylfaen"/>
          <w:sz w:val="24"/>
          <w:szCs w:val="24"/>
        </w:rPr>
      </w:pPr>
    </w:p>
    <w:p w14:paraId="01894218" w14:textId="77777777" w:rsidR="008C76E0" w:rsidRPr="00BD7577" w:rsidRDefault="008C76E0" w:rsidP="00305C5C">
      <w:pPr>
        <w:tabs>
          <w:tab w:val="left" w:pos="1134"/>
        </w:tabs>
        <w:spacing w:after="160" w:line="360" w:lineRule="auto"/>
        <w:ind w:firstLine="567"/>
        <w:jc w:val="center"/>
        <w:rPr>
          <w:rFonts w:ascii="Sylfaen" w:hAnsi="Sylfaen"/>
          <w:sz w:val="24"/>
          <w:szCs w:val="24"/>
        </w:rPr>
      </w:pPr>
      <w:r>
        <w:rPr>
          <w:rFonts w:ascii="Sylfaen" w:hAnsi="Sylfaen"/>
          <w:sz w:val="24"/>
          <w:szCs w:val="24"/>
        </w:rPr>
        <w:t>7.</w:t>
      </w:r>
      <w:r w:rsidRPr="00653582">
        <w:rPr>
          <w:rFonts w:ascii="Sylfaen" w:hAnsi="Sylfaen"/>
          <w:sz w:val="24"/>
          <w:szCs w:val="24"/>
        </w:rPr>
        <w:t xml:space="preserve"> </w:t>
      </w:r>
      <w:r w:rsidRPr="00BD7577">
        <w:rPr>
          <w:rFonts w:ascii="Sylfaen" w:hAnsi="Sylfaen"/>
          <w:sz w:val="24"/>
          <w:szCs w:val="24"/>
        </w:rPr>
        <w:t>Փորձագետի կողմից առաջադրվող հարցերի ցանկը</w:t>
      </w:r>
    </w:p>
    <w:p w14:paraId="09B94F57" w14:textId="77777777" w:rsidR="008C76E0" w:rsidRPr="00BD7577" w:rsidRDefault="008C76E0" w:rsidP="00305C5C">
      <w:pPr>
        <w:tabs>
          <w:tab w:val="left" w:pos="1134"/>
        </w:tabs>
        <w:spacing w:after="160" w:line="360" w:lineRule="auto"/>
        <w:ind w:left="1134" w:hanging="567"/>
        <w:rPr>
          <w:rFonts w:ascii="Sylfaen" w:hAnsi="Sylfaen"/>
          <w:sz w:val="24"/>
          <w:szCs w:val="24"/>
        </w:rPr>
      </w:pPr>
      <w:r w:rsidRPr="00BD7577">
        <w:rPr>
          <w:rFonts w:ascii="Sylfaen" w:hAnsi="Sylfaen"/>
          <w:sz w:val="24"/>
          <w:szCs w:val="24"/>
        </w:rPr>
        <w:t>Կլինիկական ասպեկտները՝</w:t>
      </w:r>
    </w:p>
    <w:p w14:paraId="25256E10" w14:textId="77777777" w:rsidR="008C76E0" w:rsidRPr="00BD7577" w:rsidRDefault="008C76E0" w:rsidP="00305C5C">
      <w:pPr>
        <w:tabs>
          <w:tab w:val="left" w:pos="1134"/>
        </w:tabs>
        <w:spacing w:after="160" w:line="360" w:lineRule="auto"/>
        <w:ind w:right="1982" w:firstLine="567"/>
        <w:rPr>
          <w:rFonts w:ascii="Sylfaen" w:hAnsi="Sylfaen"/>
          <w:sz w:val="24"/>
          <w:szCs w:val="24"/>
        </w:rPr>
      </w:pPr>
      <w:r w:rsidRPr="00BD7577">
        <w:rPr>
          <w:rFonts w:ascii="Sylfaen" w:hAnsi="Sylfaen"/>
          <w:sz w:val="24"/>
          <w:szCs w:val="24"/>
        </w:rPr>
        <w:t>ա)</w:t>
      </w:r>
      <w:r w:rsidRPr="00BD7577">
        <w:rPr>
          <w:rFonts w:ascii="Sylfaen" w:hAnsi="Sylfaen"/>
          <w:sz w:val="24"/>
          <w:szCs w:val="24"/>
        </w:rPr>
        <w:tab/>
        <w:t>հիմնական դիտողությունները՝</w:t>
      </w:r>
    </w:p>
    <w:p w14:paraId="27FC164C"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դեղակինետիկա.</w:t>
      </w:r>
    </w:p>
    <w:p w14:paraId="0CF01F77"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դեղադինամիկա.</w:t>
      </w:r>
    </w:p>
    <w:p w14:paraId="72F3DCC0"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արդյունավետություն.</w:t>
      </w:r>
    </w:p>
    <w:p w14:paraId="1068A302"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անվտանգություն.</w:t>
      </w:r>
    </w:p>
    <w:p w14:paraId="19423927"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դեղազգոնության համակարգ.</w:t>
      </w:r>
    </w:p>
    <w:p w14:paraId="1C975434" w14:textId="77777777" w:rsidR="008C76E0" w:rsidRPr="00BD7577" w:rsidRDefault="008C76E0" w:rsidP="00305C5C">
      <w:pPr>
        <w:spacing w:after="160" w:line="360" w:lineRule="auto"/>
        <w:ind w:left="1134" w:right="1982"/>
        <w:rPr>
          <w:rFonts w:ascii="Sylfaen" w:hAnsi="Sylfaen"/>
          <w:sz w:val="24"/>
          <w:szCs w:val="24"/>
        </w:rPr>
      </w:pPr>
      <w:r w:rsidRPr="00BD7577">
        <w:rPr>
          <w:rFonts w:ascii="Sylfaen" w:hAnsi="Sylfaen"/>
          <w:sz w:val="24"/>
          <w:szCs w:val="24"/>
        </w:rPr>
        <w:t>ռիսկի կառավարման պլան.</w:t>
      </w:r>
    </w:p>
    <w:p w14:paraId="748609DB" w14:textId="77777777" w:rsidR="008C76E0" w:rsidRPr="00BD7577" w:rsidRDefault="008C76E0" w:rsidP="00305C5C">
      <w:pPr>
        <w:tabs>
          <w:tab w:val="left" w:pos="1134"/>
        </w:tabs>
        <w:spacing w:after="160" w:line="360" w:lineRule="auto"/>
        <w:ind w:left="1134" w:right="1273" w:hanging="567"/>
        <w:rPr>
          <w:rFonts w:ascii="Sylfaen" w:hAnsi="Sylfaen"/>
          <w:sz w:val="24"/>
          <w:szCs w:val="24"/>
        </w:rPr>
      </w:pPr>
      <w:r w:rsidRPr="00BD7577">
        <w:rPr>
          <w:rFonts w:ascii="Sylfaen" w:hAnsi="Sylfaen"/>
          <w:sz w:val="24"/>
          <w:szCs w:val="24"/>
        </w:rPr>
        <w:t>բ)</w:t>
      </w:r>
      <w:r w:rsidRPr="00BD7577">
        <w:rPr>
          <w:rFonts w:ascii="Sylfaen" w:hAnsi="Sylfaen"/>
          <w:sz w:val="24"/>
          <w:szCs w:val="24"/>
        </w:rPr>
        <w:tab/>
        <w:t>այլ դիտողություններ՝</w:t>
      </w:r>
    </w:p>
    <w:p w14:paraId="553514E3" w14:textId="77777777" w:rsidR="008C76E0" w:rsidRPr="00BD7577" w:rsidRDefault="008C76E0" w:rsidP="00305C5C">
      <w:pPr>
        <w:spacing w:after="160" w:line="360" w:lineRule="auto"/>
        <w:ind w:left="1134" w:right="1276"/>
        <w:rPr>
          <w:rFonts w:ascii="Sylfaen" w:hAnsi="Sylfaen"/>
          <w:sz w:val="24"/>
          <w:szCs w:val="24"/>
        </w:rPr>
      </w:pPr>
      <w:r w:rsidRPr="00BD7577">
        <w:rPr>
          <w:rFonts w:ascii="Sylfaen" w:hAnsi="Sylfaen"/>
          <w:sz w:val="24"/>
          <w:szCs w:val="24"/>
        </w:rPr>
        <w:lastRenderedPageBreak/>
        <w:t>դեղակինետիկա.</w:t>
      </w:r>
    </w:p>
    <w:p w14:paraId="706F2BE4" w14:textId="77777777" w:rsidR="008C76E0" w:rsidRPr="00BD7577" w:rsidRDefault="008C76E0" w:rsidP="00305C5C">
      <w:pPr>
        <w:spacing w:after="160" w:line="360" w:lineRule="auto"/>
        <w:ind w:left="1134" w:right="1276"/>
        <w:rPr>
          <w:rFonts w:ascii="Sylfaen" w:hAnsi="Sylfaen"/>
          <w:sz w:val="24"/>
          <w:szCs w:val="24"/>
        </w:rPr>
      </w:pPr>
      <w:r w:rsidRPr="00BD7577">
        <w:rPr>
          <w:rFonts w:ascii="Sylfaen" w:hAnsi="Sylfaen"/>
          <w:sz w:val="24"/>
          <w:szCs w:val="24"/>
        </w:rPr>
        <w:t>դեղադինամիկա.</w:t>
      </w:r>
    </w:p>
    <w:p w14:paraId="73F3CB74" w14:textId="77777777" w:rsidR="008C76E0" w:rsidRPr="00BD7577" w:rsidRDefault="008C76E0" w:rsidP="00305C5C">
      <w:pPr>
        <w:tabs>
          <w:tab w:val="left" w:pos="993"/>
          <w:tab w:val="left" w:pos="1134"/>
        </w:tabs>
        <w:spacing w:after="160" w:line="360" w:lineRule="auto"/>
        <w:ind w:left="1134" w:right="1276"/>
        <w:rPr>
          <w:rFonts w:ascii="Sylfaen" w:hAnsi="Sylfaen"/>
          <w:sz w:val="24"/>
          <w:szCs w:val="24"/>
        </w:rPr>
      </w:pPr>
      <w:r w:rsidRPr="00BD7577">
        <w:rPr>
          <w:rFonts w:ascii="Sylfaen" w:hAnsi="Sylfaen"/>
          <w:sz w:val="24"/>
          <w:szCs w:val="24"/>
        </w:rPr>
        <w:t>արդյունավետություն.</w:t>
      </w:r>
    </w:p>
    <w:p w14:paraId="6AD10445" w14:textId="77777777" w:rsidR="008C76E0" w:rsidRPr="00BD7577" w:rsidRDefault="008C76E0" w:rsidP="00305C5C">
      <w:pPr>
        <w:tabs>
          <w:tab w:val="left" w:pos="993"/>
          <w:tab w:val="left" w:pos="1134"/>
        </w:tabs>
        <w:spacing w:after="160" w:line="360" w:lineRule="auto"/>
        <w:ind w:left="1134" w:right="1276"/>
        <w:rPr>
          <w:rFonts w:ascii="Sylfaen" w:hAnsi="Sylfaen"/>
          <w:sz w:val="24"/>
          <w:szCs w:val="24"/>
        </w:rPr>
      </w:pPr>
      <w:r w:rsidRPr="00BD7577">
        <w:rPr>
          <w:rFonts w:ascii="Sylfaen" w:hAnsi="Sylfaen"/>
          <w:sz w:val="24"/>
          <w:szCs w:val="24"/>
        </w:rPr>
        <w:t>անվտանգություն.</w:t>
      </w:r>
    </w:p>
    <w:p w14:paraId="6F9DB0E4" w14:textId="77777777" w:rsidR="008C76E0" w:rsidRPr="00BD7577" w:rsidRDefault="008C76E0" w:rsidP="00305C5C">
      <w:pPr>
        <w:spacing w:after="160" w:line="360" w:lineRule="auto"/>
        <w:ind w:left="1134" w:right="1276"/>
        <w:rPr>
          <w:rFonts w:ascii="Sylfaen" w:hAnsi="Sylfaen"/>
          <w:sz w:val="24"/>
          <w:szCs w:val="24"/>
        </w:rPr>
      </w:pPr>
      <w:r w:rsidRPr="00BD7577">
        <w:rPr>
          <w:rFonts w:ascii="Sylfaen" w:hAnsi="Sylfaen"/>
          <w:sz w:val="24"/>
          <w:szCs w:val="24"/>
        </w:rPr>
        <w:t>դեղազգոնության համակարգ.</w:t>
      </w:r>
    </w:p>
    <w:p w14:paraId="0F981557" w14:textId="77777777" w:rsidR="008C76E0" w:rsidRPr="00BD7577" w:rsidRDefault="008C76E0" w:rsidP="00305C5C">
      <w:pPr>
        <w:spacing w:after="160" w:line="360" w:lineRule="auto"/>
        <w:ind w:left="1134" w:right="1273"/>
        <w:rPr>
          <w:rFonts w:ascii="Sylfaen" w:hAnsi="Sylfaen"/>
          <w:sz w:val="24"/>
          <w:szCs w:val="24"/>
        </w:rPr>
      </w:pPr>
      <w:r w:rsidRPr="00BD7577">
        <w:rPr>
          <w:rFonts w:ascii="Sylfaen" w:hAnsi="Sylfaen"/>
          <w:sz w:val="24"/>
          <w:szCs w:val="24"/>
        </w:rPr>
        <w:t>ռիսկի կառավարման պլան.</w:t>
      </w:r>
    </w:p>
    <w:p w14:paraId="58775D7B" w14:textId="77777777" w:rsidR="008C76E0" w:rsidRPr="00BD7577" w:rsidRDefault="008C76E0" w:rsidP="00305C5C">
      <w:pPr>
        <w:tabs>
          <w:tab w:val="left" w:pos="1134"/>
        </w:tabs>
        <w:spacing w:after="160" w:line="360" w:lineRule="auto"/>
        <w:ind w:left="1134" w:hanging="567"/>
        <w:jc w:val="both"/>
        <w:rPr>
          <w:rFonts w:ascii="Sylfaen" w:hAnsi="Sylfaen"/>
          <w:sz w:val="24"/>
          <w:szCs w:val="24"/>
          <w:lang w:val="en-US"/>
        </w:rPr>
      </w:pPr>
      <w:r w:rsidRPr="00BD7577">
        <w:rPr>
          <w:rFonts w:ascii="Sylfaen" w:hAnsi="Sylfaen"/>
          <w:sz w:val="24"/>
          <w:szCs w:val="24"/>
        </w:rPr>
        <w:t>գ</w:t>
      </w:r>
      <w:r>
        <w:rPr>
          <w:rFonts w:ascii="Sylfaen" w:hAnsi="Sylfaen"/>
          <w:sz w:val="24"/>
          <w:szCs w:val="24"/>
        </w:rPr>
        <w:t>)</w:t>
      </w:r>
      <w:r w:rsidRPr="00BD7577">
        <w:rPr>
          <w:rFonts w:ascii="Sylfaen" w:hAnsi="Sylfaen"/>
          <w:sz w:val="24"/>
          <w:szCs w:val="24"/>
        </w:rPr>
        <w:tab/>
        <w:t>հանձնարարականներ՝</w:t>
      </w:r>
    </w:p>
    <w:tbl>
      <w:tblPr>
        <w:tblOverlap w:val="never"/>
        <w:tblW w:w="8751" w:type="dxa"/>
        <w:jc w:val="center"/>
        <w:tblLayout w:type="fixed"/>
        <w:tblCellMar>
          <w:left w:w="10" w:type="dxa"/>
          <w:right w:w="10" w:type="dxa"/>
        </w:tblCellMar>
        <w:tblLook w:val="04A0" w:firstRow="1" w:lastRow="0" w:firstColumn="1" w:lastColumn="0" w:noHBand="0" w:noVBand="1"/>
      </w:tblPr>
      <w:tblGrid>
        <w:gridCol w:w="8751"/>
      </w:tblGrid>
      <w:tr w:rsidR="008C76E0" w:rsidRPr="00BD7577" w14:paraId="147A9D3D" w14:textId="77777777" w:rsidTr="008C76E0">
        <w:trPr>
          <w:jc w:val="center"/>
        </w:trPr>
        <w:tc>
          <w:tcPr>
            <w:tcW w:w="8751" w:type="dxa"/>
            <w:tcBorders>
              <w:top w:val="single" w:sz="4" w:space="0" w:color="auto"/>
            </w:tcBorders>
            <w:shd w:val="clear" w:color="auto" w:fill="FFFFFF"/>
          </w:tcPr>
          <w:p w14:paraId="764A1E55" w14:textId="77777777" w:rsidR="008C76E0" w:rsidRPr="00BD7577" w:rsidRDefault="008C76E0" w:rsidP="00305C5C">
            <w:pPr>
              <w:spacing w:after="160" w:line="360" w:lineRule="auto"/>
              <w:rPr>
                <w:rFonts w:ascii="Sylfaen" w:hAnsi="Sylfaen"/>
                <w:sz w:val="24"/>
                <w:szCs w:val="24"/>
              </w:rPr>
            </w:pPr>
          </w:p>
        </w:tc>
      </w:tr>
      <w:tr w:rsidR="008C76E0" w:rsidRPr="00BD7577" w14:paraId="70BEB5C2" w14:textId="77777777" w:rsidTr="008C76E0">
        <w:trPr>
          <w:jc w:val="center"/>
        </w:trPr>
        <w:tc>
          <w:tcPr>
            <w:tcW w:w="8751" w:type="dxa"/>
            <w:tcBorders>
              <w:top w:val="single" w:sz="4" w:space="0" w:color="auto"/>
              <w:bottom w:val="single" w:sz="4" w:space="0" w:color="auto"/>
            </w:tcBorders>
            <w:shd w:val="clear" w:color="auto" w:fill="FFFFFF"/>
          </w:tcPr>
          <w:p w14:paraId="3EEEF877" w14:textId="77777777" w:rsidR="008C76E0" w:rsidRPr="00BD7577" w:rsidRDefault="008C76E0" w:rsidP="00305C5C">
            <w:pPr>
              <w:spacing w:after="160" w:line="360" w:lineRule="auto"/>
              <w:rPr>
                <w:rFonts w:ascii="Sylfaen" w:hAnsi="Sylfaen"/>
                <w:sz w:val="24"/>
                <w:szCs w:val="24"/>
              </w:rPr>
            </w:pPr>
          </w:p>
        </w:tc>
      </w:tr>
    </w:tbl>
    <w:p w14:paraId="5F4FCD15" w14:textId="77777777" w:rsidR="008C76E0" w:rsidRPr="00BD7577" w:rsidRDefault="008C76E0" w:rsidP="00305C5C">
      <w:pPr>
        <w:spacing w:after="160" w:line="360" w:lineRule="auto"/>
        <w:ind w:left="820"/>
        <w:jc w:val="both"/>
        <w:rPr>
          <w:rFonts w:ascii="Sylfaen" w:hAnsi="Sylfaen"/>
          <w:sz w:val="24"/>
          <w:szCs w:val="24"/>
          <w:lang w:val="en-US"/>
        </w:rPr>
      </w:pPr>
    </w:p>
    <w:p w14:paraId="137B9757" w14:textId="77777777" w:rsidR="008C76E0" w:rsidRPr="00BD7577" w:rsidRDefault="008C76E0" w:rsidP="00305C5C">
      <w:pPr>
        <w:spacing w:after="160" w:line="360" w:lineRule="auto"/>
        <w:ind w:left="567" w:right="565"/>
        <w:jc w:val="center"/>
        <w:rPr>
          <w:rFonts w:ascii="Sylfaen" w:hAnsi="Sylfaen"/>
          <w:sz w:val="24"/>
          <w:szCs w:val="24"/>
        </w:rPr>
      </w:pPr>
      <w:r w:rsidRPr="00BD7577">
        <w:rPr>
          <w:rFonts w:ascii="Sylfaen" w:hAnsi="Sylfaen"/>
          <w:sz w:val="24"/>
          <w:szCs w:val="24"/>
        </w:rPr>
        <w:t xml:space="preserve">8. Փորձագետի կողմից առաջարկվող պայմանները, որոնց կատարումն անհրաժեշտ է հայտատուի կողմից գրանցման հավաստագիրն ստանալուց </w:t>
      </w:r>
      <w:r w:rsidR="00C54D75">
        <w:rPr>
          <w:rFonts w:ascii="Sylfaen" w:hAnsi="Sylfaen"/>
          <w:sz w:val="24"/>
          <w:szCs w:val="24"/>
        </w:rPr>
        <w:t>և</w:t>
      </w:r>
      <w:r w:rsidRPr="00BD7577">
        <w:rPr>
          <w:rFonts w:ascii="Sylfaen" w:hAnsi="Sylfaen"/>
          <w:sz w:val="24"/>
          <w:szCs w:val="24"/>
        </w:rPr>
        <w:t xml:space="preserve"> դեղապատրաստուկի ընդհանուր բնութագիրը հաստատելուց հետո</w:t>
      </w:r>
    </w:p>
    <w:p w14:paraId="0769AFFD" w14:textId="77777777" w:rsidR="008C76E0" w:rsidRPr="00BD7577" w:rsidRDefault="008C76E0" w:rsidP="00305C5C">
      <w:pPr>
        <w:widowControl/>
        <w:autoSpaceDE w:val="0"/>
        <w:autoSpaceDN w:val="0"/>
        <w:adjustRightInd w:val="0"/>
        <w:spacing w:after="160" w:line="360" w:lineRule="auto"/>
        <w:rPr>
          <w:rFonts w:ascii="Sylfaen" w:hAnsi="Sylfaen" w:cs="Times New Roman"/>
          <w:sz w:val="24"/>
          <w:szCs w:val="24"/>
        </w:rPr>
      </w:pPr>
      <w:r w:rsidRPr="00BD7577">
        <w:rPr>
          <w:rFonts w:ascii="Sylfaen" w:hAnsi="Sylfaen"/>
          <w:sz w:val="24"/>
          <w:szCs w:val="24"/>
        </w:rPr>
        <w:t>Հայտատուին տրամադրվող խորհրդատվությունը՝</w:t>
      </w:r>
    </w:p>
    <w:tbl>
      <w:tblPr>
        <w:tblOverlap w:val="never"/>
        <w:tblW w:w="9132" w:type="dxa"/>
        <w:jc w:val="center"/>
        <w:tblLayout w:type="fixed"/>
        <w:tblCellMar>
          <w:left w:w="10" w:type="dxa"/>
          <w:right w:w="10" w:type="dxa"/>
        </w:tblCellMar>
        <w:tblLook w:val="04A0" w:firstRow="1" w:lastRow="0" w:firstColumn="1" w:lastColumn="0" w:noHBand="0" w:noVBand="1"/>
      </w:tblPr>
      <w:tblGrid>
        <w:gridCol w:w="9132"/>
      </w:tblGrid>
      <w:tr w:rsidR="008C76E0" w:rsidRPr="00BD7577" w14:paraId="676D697B" w14:textId="77777777" w:rsidTr="008C76E0">
        <w:trPr>
          <w:jc w:val="center"/>
        </w:trPr>
        <w:tc>
          <w:tcPr>
            <w:tcW w:w="9132" w:type="dxa"/>
            <w:tcBorders>
              <w:top w:val="single" w:sz="4" w:space="0" w:color="auto"/>
            </w:tcBorders>
            <w:shd w:val="clear" w:color="auto" w:fill="FFFFFF"/>
          </w:tcPr>
          <w:p w14:paraId="7C91260B" w14:textId="77777777" w:rsidR="008C76E0" w:rsidRPr="00BD7577" w:rsidRDefault="008C76E0" w:rsidP="00305C5C">
            <w:pPr>
              <w:spacing w:after="160" w:line="360" w:lineRule="auto"/>
              <w:rPr>
                <w:rFonts w:ascii="Sylfaen" w:hAnsi="Sylfaen"/>
                <w:sz w:val="24"/>
                <w:szCs w:val="24"/>
              </w:rPr>
            </w:pPr>
          </w:p>
        </w:tc>
      </w:tr>
      <w:tr w:rsidR="008C76E0" w:rsidRPr="00BD7577" w14:paraId="7146498D" w14:textId="77777777" w:rsidTr="008C76E0">
        <w:trPr>
          <w:jc w:val="center"/>
        </w:trPr>
        <w:tc>
          <w:tcPr>
            <w:tcW w:w="9132" w:type="dxa"/>
            <w:tcBorders>
              <w:top w:val="single" w:sz="4" w:space="0" w:color="auto"/>
              <w:bottom w:val="single" w:sz="4" w:space="0" w:color="auto"/>
            </w:tcBorders>
            <w:shd w:val="clear" w:color="auto" w:fill="FFFFFF"/>
          </w:tcPr>
          <w:p w14:paraId="6B748CB1" w14:textId="77777777" w:rsidR="008C76E0" w:rsidRPr="00BD7577" w:rsidRDefault="008C76E0" w:rsidP="00305C5C">
            <w:pPr>
              <w:spacing w:after="160" w:line="360" w:lineRule="auto"/>
              <w:rPr>
                <w:rFonts w:ascii="Sylfaen" w:hAnsi="Sylfaen"/>
                <w:sz w:val="24"/>
                <w:szCs w:val="24"/>
              </w:rPr>
            </w:pPr>
          </w:p>
        </w:tc>
      </w:tr>
    </w:tbl>
    <w:p w14:paraId="30808BC0" w14:textId="77777777" w:rsidR="008C76E0" w:rsidRDefault="008C76E0" w:rsidP="00305C5C">
      <w:pPr>
        <w:spacing w:after="160" w:line="360" w:lineRule="auto"/>
        <w:ind w:left="4395"/>
        <w:jc w:val="center"/>
        <w:rPr>
          <w:rFonts w:ascii="Sylfaen" w:hAnsi="Sylfaen"/>
          <w:sz w:val="24"/>
          <w:szCs w:val="24"/>
        </w:rPr>
        <w:sectPr w:rsidR="008C76E0" w:rsidSect="00903D92">
          <w:type w:val="continuous"/>
          <w:pgSz w:w="11907" w:h="16839" w:code="9"/>
          <w:pgMar w:top="1418" w:right="1418" w:bottom="1418" w:left="1418" w:header="709" w:footer="709" w:gutter="0"/>
          <w:pgNumType w:start="1"/>
          <w:cols w:space="708"/>
          <w:titlePg/>
          <w:docGrid w:linePitch="360"/>
        </w:sectPr>
      </w:pPr>
    </w:p>
    <w:p w14:paraId="4E7E2362" w14:textId="77777777" w:rsidR="00F40135" w:rsidRDefault="00F40135" w:rsidP="00305C5C">
      <w:pPr>
        <w:spacing w:after="160" w:line="360" w:lineRule="auto"/>
        <w:ind w:left="4395"/>
        <w:jc w:val="center"/>
        <w:rPr>
          <w:rFonts w:ascii="Sylfaen" w:hAnsi="Sylfaen"/>
          <w:sz w:val="24"/>
          <w:szCs w:val="24"/>
        </w:rPr>
        <w:sectPr w:rsidR="00F40135" w:rsidSect="00903D92">
          <w:type w:val="continuous"/>
          <w:pgSz w:w="11907" w:h="16839" w:code="9"/>
          <w:pgMar w:top="1418" w:right="1418" w:bottom="1418" w:left="1418" w:header="709" w:footer="709" w:gutter="0"/>
          <w:pgNumType w:start="1"/>
          <w:cols w:space="708"/>
          <w:titlePg/>
          <w:docGrid w:linePitch="360"/>
        </w:sectPr>
      </w:pPr>
    </w:p>
    <w:p w14:paraId="58205040" w14:textId="77777777" w:rsidR="008C76E0" w:rsidRPr="00BD7577" w:rsidRDefault="008C76E0" w:rsidP="00305C5C">
      <w:pPr>
        <w:spacing w:after="160" w:line="360" w:lineRule="auto"/>
        <w:ind w:left="4395"/>
        <w:jc w:val="center"/>
        <w:rPr>
          <w:rFonts w:ascii="Sylfaen" w:hAnsi="Sylfaen"/>
          <w:sz w:val="24"/>
          <w:szCs w:val="24"/>
        </w:rPr>
      </w:pPr>
      <w:r w:rsidRPr="00BD7577">
        <w:rPr>
          <w:rFonts w:ascii="Sylfaen" w:hAnsi="Sylfaen"/>
          <w:sz w:val="24"/>
          <w:szCs w:val="24"/>
        </w:rPr>
        <w:lastRenderedPageBreak/>
        <w:t>ՀԱՎԵԼՎԱԾ ԹԻՎ 8</w:t>
      </w:r>
      <w:r w:rsidRPr="00BD7577">
        <w:rPr>
          <w:rFonts w:ascii="Sylfaen" w:hAnsi="Sylfaen"/>
          <w:sz w:val="24"/>
          <w:szCs w:val="24"/>
        </w:rPr>
        <w:br/>
        <w:t xml:space="preserve">Բժշկական կիրառության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6AB3856F" w14:textId="77777777" w:rsidR="008C76E0" w:rsidRPr="00653582" w:rsidRDefault="008C76E0" w:rsidP="00305C5C">
      <w:pPr>
        <w:spacing w:after="160" w:line="360" w:lineRule="auto"/>
        <w:ind w:left="5103" w:right="200"/>
        <w:rPr>
          <w:rFonts w:ascii="Sylfaen" w:hAnsi="Sylfaen"/>
          <w:b/>
          <w:sz w:val="24"/>
          <w:szCs w:val="24"/>
        </w:rPr>
      </w:pPr>
    </w:p>
    <w:p w14:paraId="0412D988" w14:textId="77777777" w:rsidR="008C76E0" w:rsidRPr="008C76E0" w:rsidRDefault="008C76E0" w:rsidP="00305C5C">
      <w:pPr>
        <w:pStyle w:val="Heading120"/>
        <w:shd w:val="clear" w:color="auto" w:fill="auto"/>
        <w:spacing w:before="0" w:after="160" w:line="360" w:lineRule="auto"/>
        <w:ind w:left="567" w:right="565"/>
        <w:outlineLvl w:val="9"/>
        <w:rPr>
          <w:rFonts w:ascii="Sylfaen" w:hAnsi="Sylfaen"/>
          <w:b w:val="0"/>
          <w:sz w:val="24"/>
          <w:szCs w:val="24"/>
          <w:lang w:val="hy-AM"/>
        </w:rPr>
      </w:pPr>
      <w:bookmarkStart w:id="1" w:name="bookmark2"/>
      <w:r w:rsidRPr="00653582">
        <w:rPr>
          <w:rStyle w:val="Heading12Spacing1pt"/>
          <w:rFonts w:ascii="Sylfaen" w:hAnsi="Sylfaen"/>
          <w:b/>
          <w:spacing w:val="0"/>
          <w:sz w:val="24"/>
          <w:szCs w:val="24"/>
        </w:rPr>
        <w:t>ՁԵՎ</w:t>
      </w:r>
      <w:bookmarkEnd w:id="1"/>
    </w:p>
    <w:p w14:paraId="622FE097" w14:textId="77777777" w:rsidR="008C76E0" w:rsidRPr="008C76E0" w:rsidRDefault="008C76E0" w:rsidP="00305C5C">
      <w:pPr>
        <w:pStyle w:val="Bodytext130"/>
        <w:shd w:val="clear" w:color="auto" w:fill="auto"/>
        <w:spacing w:after="160" w:line="360" w:lineRule="auto"/>
        <w:ind w:left="567" w:right="565"/>
        <w:rPr>
          <w:rFonts w:ascii="Sylfaen" w:hAnsi="Sylfaen"/>
          <w:sz w:val="24"/>
          <w:szCs w:val="24"/>
          <w:lang w:val="hy-AM"/>
        </w:rPr>
      </w:pPr>
      <w:r w:rsidRPr="008C76E0">
        <w:rPr>
          <w:rFonts w:ascii="Sylfaen" w:hAnsi="Sylfaen"/>
          <w:sz w:val="24"/>
          <w:szCs w:val="24"/>
          <w:lang w:val="hy-AM"/>
        </w:rPr>
        <w:t>դեղապատրաստուկի որակի ասպեկտների կրիտիկական գնահատման մասին փորձագիտական հաշվետվության</w:t>
      </w:r>
    </w:p>
    <w:p w14:paraId="61C7E4CF" w14:textId="77777777" w:rsidR="008C76E0" w:rsidRPr="008C76E0" w:rsidRDefault="008C76E0" w:rsidP="00305C5C">
      <w:pPr>
        <w:pStyle w:val="Bodytext130"/>
        <w:shd w:val="clear" w:color="auto" w:fill="auto"/>
        <w:spacing w:after="160" w:line="360" w:lineRule="auto"/>
        <w:ind w:left="567" w:right="565"/>
        <w:rPr>
          <w:rFonts w:ascii="Sylfaen" w:hAnsi="Sylfaen"/>
          <w:sz w:val="24"/>
          <w:szCs w:val="24"/>
          <w:lang w:val="hy-AM"/>
        </w:rPr>
      </w:pPr>
    </w:p>
    <w:p w14:paraId="4CA1BEE0" w14:textId="77777777" w:rsidR="008C76E0" w:rsidRPr="00BD7577" w:rsidRDefault="008C76E0" w:rsidP="00305C5C">
      <w:pPr>
        <w:spacing w:after="160" w:line="360" w:lineRule="auto"/>
        <w:ind w:firstLine="567"/>
        <w:jc w:val="both"/>
        <w:rPr>
          <w:rFonts w:ascii="Sylfaen" w:hAnsi="Sylfaen"/>
          <w:sz w:val="24"/>
          <w:szCs w:val="24"/>
        </w:rPr>
      </w:pPr>
      <w:r w:rsidRPr="00BD7577">
        <w:rPr>
          <w:rFonts w:ascii="Sylfaen" w:hAnsi="Sylfaen"/>
          <w:sz w:val="24"/>
          <w:szCs w:val="24"/>
        </w:rPr>
        <w:t>Լրացման վերաբերյալ ցուցումները՝ տեքստի պատրաստի ձ</w:t>
      </w:r>
      <w:r w:rsidR="00C54D75">
        <w:rPr>
          <w:rFonts w:ascii="Sylfaen" w:hAnsi="Sylfaen"/>
          <w:sz w:val="24"/>
          <w:szCs w:val="24"/>
        </w:rPr>
        <w:t>և</w:t>
      </w:r>
      <w:r w:rsidRPr="00BD7577">
        <w:rPr>
          <w:rFonts w:ascii="Sylfaen" w:hAnsi="Sylfaen"/>
          <w:sz w:val="24"/>
          <w:szCs w:val="24"/>
        </w:rPr>
        <w:t>անմուշներն օգտագործելիս՝ դրանք սույն ձ</w:t>
      </w:r>
      <w:r w:rsidR="00C54D75">
        <w:rPr>
          <w:rFonts w:ascii="Sylfaen" w:hAnsi="Sylfaen"/>
          <w:sz w:val="24"/>
          <w:szCs w:val="24"/>
        </w:rPr>
        <w:t>և</w:t>
      </w:r>
      <w:r w:rsidRPr="00BD7577">
        <w:rPr>
          <w:rFonts w:ascii="Sylfaen" w:hAnsi="Sylfaen"/>
          <w:sz w:val="24"/>
          <w:szCs w:val="24"/>
        </w:rPr>
        <w:t xml:space="preserve">ում առանձնացված են &lt; &gt; նշաններով </w:t>
      </w:r>
      <w:r w:rsidR="00C54D75">
        <w:rPr>
          <w:rFonts w:ascii="Sylfaen" w:hAnsi="Sylfaen"/>
          <w:sz w:val="24"/>
          <w:szCs w:val="24"/>
        </w:rPr>
        <w:t>և</w:t>
      </w:r>
      <w:r w:rsidRPr="00BD7577">
        <w:rPr>
          <w:rFonts w:ascii="Sylfaen" w:hAnsi="Sylfaen"/>
          <w:sz w:val="24"/>
          <w:szCs w:val="24"/>
        </w:rPr>
        <w:t xml:space="preserve"> շեղատառով. տեքստի ձ</w:t>
      </w:r>
      <w:r w:rsidR="00C54D75">
        <w:rPr>
          <w:rFonts w:ascii="Sylfaen" w:hAnsi="Sylfaen"/>
          <w:sz w:val="24"/>
          <w:szCs w:val="24"/>
        </w:rPr>
        <w:t>և</w:t>
      </w:r>
      <w:r w:rsidRPr="00BD7577">
        <w:rPr>
          <w:rFonts w:ascii="Sylfaen" w:hAnsi="Sylfaen"/>
          <w:sz w:val="24"/>
          <w:szCs w:val="24"/>
        </w:rPr>
        <w:t>անմուշների այն հատվածները, որոնք լրացվում են տեքստի որոշակի տարբերակների՝ ըստ նշված հատկության (պարամետրի) ներմուծման միջոցով, բերված են ձ</w:t>
      </w:r>
      <w:r w:rsidR="00C54D75">
        <w:rPr>
          <w:rFonts w:ascii="Sylfaen" w:hAnsi="Sylfaen"/>
          <w:sz w:val="24"/>
          <w:szCs w:val="24"/>
        </w:rPr>
        <w:t>և</w:t>
      </w:r>
      <w:r w:rsidRPr="00BD7577">
        <w:rPr>
          <w:rFonts w:ascii="Sylfaen" w:hAnsi="Sylfaen"/>
          <w:sz w:val="24"/>
          <w:szCs w:val="24"/>
        </w:rPr>
        <w:t>ավոր փակագծերի մեջ { }՝ նշելով այն հատկությունը (պարամետրը), որն անհրաժեշտ է ներմուծել շեղատառով:</w:t>
      </w:r>
    </w:p>
    <w:p w14:paraId="742483DE" w14:textId="77777777" w:rsidR="008C76E0" w:rsidRPr="00DD61E4" w:rsidRDefault="008C76E0" w:rsidP="00305C5C">
      <w:pPr>
        <w:spacing w:after="160" w:line="360" w:lineRule="auto"/>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ը)</w:t>
      </w:r>
    </w:p>
    <w:p w14:paraId="37E3DC73" w14:textId="77777777" w:rsidR="008C76E0" w:rsidRPr="00BD7577" w:rsidRDefault="008C76E0" w:rsidP="00305C5C">
      <w:pPr>
        <w:spacing w:after="160" w:line="360" w:lineRule="auto"/>
        <w:ind w:right="80"/>
        <w:jc w:val="center"/>
        <w:rPr>
          <w:rFonts w:ascii="Sylfaen" w:hAnsi="Sylfaen"/>
          <w:sz w:val="24"/>
          <w:szCs w:val="24"/>
        </w:rPr>
      </w:pPr>
      <w:r w:rsidRPr="00BD7577">
        <w:rPr>
          <w:rFonts w:ascii="Sylfaen" w:hAnsi="Sylfaen"/>
          <w:sz w:val="24"/>
          <w:szCs w:val="24"/>
        </w:rPr>
        <w:t>ՓՈՐՁԱԳԻՏԱԿԱՆ ՀԱՇՎԵՏՎՈՒԹՅՈՒՆ</w:t>
      </w:r>
    </w:p>
    <w:p w14:paraId="3B8D0AE8" w14:textId="77777777" w:rsidR="008C76E0" w:rsidRPr="00BD7577" w:rsidRDefault="008C76E0" w:rsidP="00305C5C">
      <w:pPr>
        <w:spacing w:after="160" w:line="360" w:lineRule="auto"/>
        <w:ind w:left="1134" w:right="1132"/>
        <w:jc w:val="center"/>
        <w:rPr>
          <w:rFonts w:ascii="Sylfaen" w:hAnsi="Sylfaen"/>
          <w:sz w:val="24"/>
          <w:szCs w:val="24"/>
        </w:rPr>
      </w:pPr>
      <w:r w:rsidRPr="00BD7577">
        <w:rPr>
          <w:rFonts w:ascii="Sylfaen" w:hAnsi="Sylfaen"/>
          <w:sz w:val="24"/>
          <w:szCs w:val="24"/>
        </w:rPr>
        <w:t>Դեղապատրաստուկի որակի ասպեկտների կրիտիկական գնահատման մասին</w:t>
      </w:r>
    </w:p>
    <w:p w14:paraId="2CE84C09" w14:textId="77777777" w:rsidR="008C76E0" w:rsidRPr="00BD7577" w:rsidRDefault="008C76E0" w:rsidP="008C76E0">
      <w:pPr>
        <w:widowControl/>
        <w:autoSpaceDE w:val="0"/>
        <w:autoSpaceDN w:val="0"/>
        <w:adjustRightInd w:val="0"/>
        <w:spacing w:after="120" w:line="240" w:lineRule="auto"/>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66B9C25E" w14:textId="77777777" w:rsidR="008C76E0" w:rsidRPr="008C76E0" w:rsidRDefault="008C76E0" w:rsidP="008C76E0">
      <w:pPr>
        <w:pStyle w:val="Bodytext40"/>
        <w:shd w:val="clear" w:color="auto" w:fill="auto"/>
        <w:spacing w:before="0" w:after="120" w:line="240" w:lineRule="auto"/>
        <w:ind w:right="80"/>
        <w:rPr>
          <w:rFonts w:ascii="Sylfaen" w:hAnsi="Sylfaen"/>
          <w:b w:val="0"/>
          <w:sz w:val="20"/>
          <w:szCs w:val="20"/>
          <w:lang w:val="hy-AM"/>
        </w:rPr>
      </w:pPr>
      <w:r w:rsidRPr="008C76E0">
        <w:rPr>
          <w:rFonts w:ascii="Sylfaen" w:hAnsi="Sylfaen"/>
          <w:b w:val="0"/>
          <w:sz w:val="20"/>
          <w:szCs w:val="20"/>
          <w:lang w:val="hy-AM"/>
        </w:rPr>
        <w:t>(դեղապատրաստուկի անունը, դրա դեղաձ</w:t>
      </w:r>
      <w:r w:rsidR="00C54D75">
        <w:rPr>
          <w:rFonts w:ascii="Sylfaen" w:hAnsi="Sylfaen"/>
          <w:b w:val="0"/>
          <w:sz w:val="20"/>
          <w:szCs w:val="20"/>
          <w:lang w:val="hy-AM"/>
        </w:rPr>
        <w:t>և</w:t>
      </w:r>
      <w:r w:rsidRPr="008C76E0">
        <w:rPr>
          <w:rFonts w:ascii="Sylfaen" w:hAnsi="Sylfaen"/>
          <w:b w:val="0"/>
          <w:sz w:val="20"/>
          <w:szCs w:val="20"/>
          <w:lang w:val="hy-AM"/>
        </w:rPr>
        <w:t>ը, դոզաները)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95"/>
        <w:gridCol w:w="4685"/>
      </w:tblGrid>
      <w:tr w:rsidR="008C76E0" w:rsidRPr="00BD7577" w14:paraId="5502E4C0" w14:textId="77777777" w:rsidTr="008C76E0">
        <w:trPr>
          <w:jc w:val="center"/>
        </w:trPr>
        <w:tc>
          <w:tcPr>
            <w:tcW w:w="4795" w:type="dxa"/>
            <w:tcBorders>
              <w:top w:val="single" w:sz="4" w:space="0" w:color="auto"/>
              <w:left w:val="single" w:sz="4" w:space="0" w:color="auto"/>
            </w:tcBorders>
            <w:shd w:val="clear" w:color="auto" w:fill="FFFFFF"/>
          </w:tcPr>
          <w:p w14:paraId="7F628CD3"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Փորձագետ՝</w:t>
            </w:r>
          </w:p>
        </w:tc>
        <w:tc>
          <w:tcPr>
            <w:tcW w:w="4685" w:type="dxa"/>
            <w:tcBorders>
              <w:top w:val="single" w:sz="4" w:space="0" w:color="auto"/>
              <w:left w:val="single" w:sz="4" w:space="0" w:color="auto"/>
              <w:right w:val="single" w:sz="4" w:space="0" w:color="auto"/>
            </w:tcBorders>
            <w:shd w:val="clear" w:color="auto" w:fill="FFFFFF"/>
          </w:tcPr>
          <w:p w14:paraId="02C18473" w14:textId="77777777" w:rsidR="008C76E0" w:rsidRPr="00BD7577" w:rsidRDefault="008C76E0" w:rsidP="008C76E0">
            <w:pPr>
              <w:spacing w:after="120" w:line="240" w:lineRule="auto"/>
              <w:rPr>
                <w:rFonts w:ascii="Sylfaen" w:hAnsi="Sylfaen"/>
                <w:sz w:val="24"/>
                <w:szCs w:val="24"/>
              </w:rPr>
            </w:pPr>
          </w:p>
        </w:tc>
      </w:tr>
      <w:tr w:rsidR="008C76E0" w:rsidRPr="00BD7577" w14:paraId="60C23038" w14:textId="77777777" w:rsidTr="008C76E0">
        <w:trPr>
          <w:jc w:val="center"/>
        </w:trPr>
        <w:tc>
          <w:tcPr>
            <w:tcW w:w="4795" w:type="dxa"/>
            <w:tcBorders>
              <w:top w:val="single" w:sz="4" w:space="0" w:color="auto"/>
              <w:left w:val="single" w:sz="4" w:space="0" w:color="auto"/>
            </w:tcBorders>
            <w:shd w:val="clear" w:color="auto" w:fill="FFFFFF"/>
          </w:tcPr>
          <w:p w14:paraId="6B0E83B3"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Ընթացակարգի սկիզբը՝</w:t>
            </w:r>
          </w:p>
        </w:tc>
        <w:tc>
          <w:tcPr>
            <w:tcW w:w="4685" w:type="dxa"/>
            <w:tcBorders>
              <w:top w:val="single" w:sz="4" w:space="0" w:color="auto"/>
              <w:left w:val="single" w:sz="4" w:space="0" w:color="auto"/>
              <w:right w:val="single" w:sz="4" w:space="0" w:color="auto"/>
            </w:tcBorders>
            <w:shd w:val="clear" w:color="auto" w:fill="FFFFFF"/>
          </w:tcPr>
          <w:p w14:paraId="26DF54BA" w14:textId="77777777" w:rsidR="008C76E0" w:rsidRPr="00BD7577" w:rsidRDefault="008C76E0" w:rsidP="008C76E0">
            <w:pPr>
              <w:spacing w:after="120" w:line="240" w:lineRule="auto"/>
              <w:rPr>
                <w:rFonts w:ascii="Sylfaen" w:hAnsi="Sylfaen"/>
                <w:sz w:val="24"/>
                <w:szCs w:val="24"/>
              </w:rPr>
            </w:pPr>
          </w:p>
        </w:tc>
      </w:tr>
      <w:tr w:rsidR="008C76E0" w:rsidRPr="00BD7577" w14:paraId="3F0652F7" w14:textId="77777777" w:rsidTr="008C76E0">
        <w:trPr>
          <w:jc w:val="center"/>
        </w:trPr>
        <w:tc>
          <w:tcPr>
            <w:tcW w:w="4795" w:type="dxa"/>
            <w:tcBorders>
              <w:top w:val="single" w:sz="4" w:space="0" w:color="auto"/>
              <w:left w:val="single" w:sz="4" w:space="0" w:color="auto"/>
            </w:tcBorders>
            <w:shd w:val="clear" w:color="auto" w:fill="FFFFFF"/>
          </w:tcPr>
          <w:p w14:paraId="14C0CD95"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Սույն հաշվետվության ամսաթիվը՝</w:t>
            </w:r>
          </w:p>
        </w:tc>
        <w:tc>
          <w:tcPr>
            <w:tcW w:w="4685" w:type="dxa"/>
            <w:tcBorders>
              <w:top w:val="single" w:sz="4" w:space="0" w:color="auto"/>
              <w:left w:val="single" w:sz="4" w:space="0" w:color="auto"/>
              <w:right w:val="single" w:sz="4" w:space="0" w:color="auto"/>
            </w:tcBorders>
            <w:shd w:val="clear" w:color="auto" w:fill="FFFFFF"/>
          </w:tcPr>
          <w:p w14:paraId="439B7C8F" w14:textId="77777777" w:rsidR="008C76E0" w:rsidRPr="00BD7577" w:rsidRDefault="008C76E0" w:rsidP="008C76E0">
            <w:pPr>
              <w:spacing w:after="120" w:line="240" w:lineRule="auto"/>
              <w:rPr>
                <w:rFonts w:ascii="Sylfaen" w:hAnsi="Sylfaen"/>
                <w:sz w:val="24"/>
                <w:szCs w:val="24"/>
              </w:rPr>
            </w:pPr>
          </w:p>
        </w:tc>
      </w:tr>
      <w:tr w:rsidR="008C76E0" w:rsidRPr="00BD7577" w14:paraId="65F93C76" w14:textId="77777777" w:rsidTr="008C76E0">
        <w:trPr>
          <w:jc w:val="center"/>
        </w:trPr>
        <w:tc>
          <w:tcPr>
            <w:tcW w:w="4795" w:type="dxa"/>
            <w:tcBorders>
              <w:top w:val="single" w:sz="4" w:space="0" w:color="auto"/>
              <w:left w:val="single" w:sz="4" w:space="0" w:color="auto"/>
              <w:bottom w:val="single" w:sz="4" w:space="0" w:color="auto"/>
            </w:tcBorders>
            <w:shd w:val="clear" w:color="auto" w:fill="FFFFFF"/>
          </w:tcPr>
          <w:p w14:paraId="70A99F79"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Մեկնաբանությունների համար վերջնաժամկետը՝</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3657EBAE" w14:textId="77777777" w:rsidR="008C76E0" w:rsidRPr="00BD7577" w:rsidRDefault="008C76E0" w:rsidP="008C76E0">
            <w:pPr>
              <w:spacing w:after="120" w:line="240" w:lineRule="auto"/>
              <w:rPr>
                <w:rFonts w:ascii="Sylfaen" w:hAnsi="Sylfaen"/>
                <w:sz w:val="24"/>
                <w:szCs w:val="24"/>
              </w:rPr>
            </w:pPr>
          </w:p>
        </w:tc>
      </w:tr>
    </w:tbl>
    <w:p w14:paraId="25917B4C" w14:textId="77777777" w:rsidR="008C76E0" w:rsidRPr="00BD7577" w:rsidRDefault="008C76E0" w:rsidP="008C76E0">
      <w:pPr>
        <w:rPr>
          <w:rFonts w:ascii="Sylfaen" w:hAnsi="Sylfaen"/>
          <w:sz w:val="24"/>
          <w:szCs w:val="24"/>
        </w:rPr>
      </w:pPr>
      <w:r w:rsidRPr="00BD7577">
        <w:rPr>
          <w:rFonts w:ascii="Sylfaen" w:hAnsi="Sylfaen"/>
          <w:sz w:val="24"/>
          <w:szCs w:val="24"/>
        </w:rPr>
        <w:br w:type="page"/>
      </w:r>
    </w:p>
    <w:p w14:paraId="5933D2D2" w14:textId="77777777" w:rsidR="008C76E0" w:rsidRPr="00BD7577" w:rsidRDefault="008C76E0" w:rsidP="008C76E0">
      <w:pPr>
        <w:rPr>
          <w:rFonts w:ascii="Sylfaen" w:hAnsi="Sylfaen"/>
          <w:sz w:val="24"/>
          <w:szCs w:val="24"/>
        </w:rPr>
      </w:pPr>
      <w:r w:rsidRPr="00BD7577">
        <w:rPr>
          <w:rFonts w:ascii="Sylfaen" w:hAnsi="Sylfaen"/>
          <w:sz w:val="24"/>
          <w:szCs w:val="24"/>
        </w:rPr>
        <w:lastRenderedPageBreak/>
        <w:t>ՀԱՊԱՎՈՒՄՆԵՐԻ ՑԱՆԿԸ</w:t>
      </w:r>
    </w:p>
    <w:p w14:paraId="342BB5AE"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0BE5A390"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03C08C81"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0CDAE564"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449EED77"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2008DAA7"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0EB90C24"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6C1381E4"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436AE63D"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770F86E7"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29B73678"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74B15875" w14:textId="77777777" w:rsidR="008C76E0" w:rsidRPr="00BD7577" w:rsidRDefault="008C76E0" w:rsidP="008C76E0">
      <w:pPr>
        <w:rPr>
          <w:rFonts w:ascii="Sylfaen" w:eastAsia="Times New Roman" w:hAnsi="Sylfaen" w:cs="Times New Roman"/>
          <w:sz w:val="24"/>
          <w:szCs w:val="24"/>
        </w:rPr>
      </w:pPr>
      <w:r w:rsidRPr="00BD7577">
        <w:rPr>
          <w:rFonts w:ascii="Sylfaen" w:hAnsi="Sylfaen"/>
          <w:sz w:val="24"/>
          <w:szCs w:val="24"/>
        </w:rPr>
        <w:br w:type="page"/>
      </w:r>
    </w:p>
    <w:p w14:paraId="529B698D" w14:textId="77777777" w:rsidR="008C76E0" w:rsidRPr="00BD7577" w:rsidRDefault="008C76E0" w:rsidP="00305C5C">
      <w:pPr>
        <w:spacing w:after="160" w:line="360" w:lineRule="auto"/>
        <w:ind w:left="567" w:right="565"/>
        <w:jc w:val="center"/>
        <w:rPr>
          <w:rFonts w:ascii="Sylfaen" w:hAnsi="Sylfaen"/>
          <w:sz w:val="24"/>
          <w:szCs w:val="24"/>
        </w:rPr>
      </w:pPr>
      <w:r w:rsidRPr="00BD7577">
        <w:rPr>
          <w:rFonts w:ascii="Sylfaen" w:hAnsi="Sylfaen"/>
          <w:sz w:val="24"/>
          <w:szCs w:val="24"/>
        </w:rPr>
        <w:lastRenderedPageBreak/>
        <w:t>I. ԿՐԻՏԻԿԱԿԱՆ ԳՆԱՀԱՏՈՒՄՆ ՈՒ ՈՐԱԿԻ ՓՈՐՁԱՔՆՆՈՒԹՅՈՒՆԸ</w:t>
      </w:r>
    </w:p>
    <w:p w14:paraId="2F2D398A" w14:textId="77777777" w:rsidR="008C76E0" w:rsidRPr="00BD7577" w:rsidRDefault="008C76E0" w:rsidP="00305C5C">
      <w:pPr>
        <w:spacing w:after="160" w:line="360" w:lineRule="auto"/>
        <w:jc w:val="center"/>
        <w:rPr>
          <w:rFonts w:ascii="Sylfaen" w:hAnsi="Sylfaen"/>
          <w:sz w:val="24"/>
          <w:szCs w:val="24"/>
        </w:rPr>
      </w:pPr>
      <w:r w:rsidRPr="00BD7577">
        <w:rPr>
          <w:rFonts w:ascii="Sylfaen" w:hAnsi="Sylfaen"/>
          <w:sz w:val="24"/>
          <w:szCs w:val="24"/>
        </w:rPr>
        <w:t>1. Դեղագործական արտադրության տեսչական ստուգման անցկացման հարցումը՝ նախքան գրանցման հավաստագիր տալը</w:t>
      </w:r>
    </w:p>
    <w:p w14:paraId="75052B83" w14:textId="77777777" w:rsidR="008C76E0" w:rsidRPr="00BD7577" w:rsidRDefault="008C76E0" w:rsidP="00305C5C">
      <w:pPr>
        <w:widowControl/>
        <w:autoSpaceDE w:val="0"/>
        <w:autoSpaceDN w:val="0"/>
        <w:adjustRightInd w:val="0"/>
        <w:spacing w:after="160" w:line="360" w:lineRule="auto"/>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62632C43"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11A5E0EE"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23B2D517" w14:textId="77777777" w:rsidR="008C76E0" w:rsidRPr="00BD7577" w:rsidRDefault="008C76E0" w:rsidP="008C76E0">
      <w:pPr>
        <w:jc w:val="center"/>
        <w:rPr>
          <w:rFonts w:ascii="Sylfaen" w:hAnsi="Sylfaen"/>
          <w:sz w:val="24"/>
          <w:szCs w:val="24"/>
        </w:rPr>
      </w:pPr>
      <w:r w:rsidRPr="00BD7577">
        <w:rPr>
          <w:rFonts w:ascii="Sylfaen" w:hAnsi="Sylfaen"/>
          <w:sz w:val="24"/>
          <w:szCs w:val="24"/>
        </w:rPr>
        <w:t>2. Ներածություն</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48"/>
        <w:gridCol w:w="2280"/>
      </w:tblGrid>
      <w:tr w:rsidR="008C76E0" w:rsidRPr="00BD7577" w14:paraId="74FB3FF1" w14:textId="77777777" w:rsidTr="008C76E0">
        <w:trPr>
          <w:jc w:val="center"/>
        </w:trPr>
        <w:tc>
          <w:tcPr>
            <w:tcW w:w="7248" w:type="dxa"/>
            <w:tcBorders>
              <w:top w:val="single" w:sz="4" w:space="0" w:color="auto"/>
              <w:left w:val="single" w:sz="4" w:space="0" w:color="auto"/>
            </w:tcBorders>
            <w:shd w:val="clear" w:color="auto" w:fill="FFFFFF"/>
          </w:tcPr>
          <w:p w14:paraId="1EA5A9E6" w14:textId="77777777" w:rsidR="008C76E0" w:rsidRPr="00BD7577" w:rsidRDefault="008C76E0" w:rsidP="008C76E0">
            <w:pPr>
              <w:pStyle w:val="Bodytext180"/>
              <w:shd w:val="clear" w:color="auto" w:fill="auto"/>
              <w:spacing w:before="0" w:after="120" w:line="240" w:lineRule="auto"/>
              <w:ind w:left="77" w:firstLine="0"/>
              <w:rPr>
                <w:rFonts w:ascii="Sylfaen" w:hAnsi="Sylfaen"/>
                <w:b w:val="0"/>
                <w:sz w:val="24"/>
                <w:szCs w:val="24"/>
              </w:rPr>
            </w:pPr>
            <w:r w:rsidRPr="00BD7577">
              <w:rPr>
                <w:rStyle w:val="Bodytext295pt"/>
                <w:rFonts w:ascii="Sylfaen" w:hAnsi="Sylfaen"/>
                <w:spacing w:val="0"/>
                <w:sz w:val="24"/>
                <w:szCs w:val="24"/>
              </w:rPr>
              <w:t>Անվանումը՝</w:t>
            </w:r>
          </w:p>
        </w:tc>
        <w:tc>
          <w:tcPr>
            <w:tcW w:w="2280" w:type="dxa"/>
            <w:tcBorders>
              <w:top w:val="single" w:sz="4" w:space="0" w:color="auto"/>
              <w:left w:val="single" w:sz="4" w:space="0" w:color="auto"/>
              <w:right w:val="single" w:sz="4" w:space="0" w:color="auto"/>
            </w:tcBorders>
            <w:shd w:val="clear" w:color="auto" w:fill="FFFFFF"/>
          </w:tcPr>
          <w:p w14:paraId="5473AE86" w14:textId="77777777" w:rsidR="008C76E0" w:rsidRPr="00BD7577" w:rsidRDefault="008C76E0" w:rsidP="008C76E0">
            <w:pPr>
              <w:spacing w:after="120" w:line="240" w:lineRule="auto"/>
              <w:rPr>
                <w:rFonts w:ascii="Sylfaen" w:hAnsi="Sylfaen"/>
                <w:sz w:val="24"/>
                <w:szCs w:val="24"/>
              </w:rPr>
            </w:pPr>
          </w:p>
        </w:tc>
      </w:tr>
      <w:tr w:rsidR="008C76E0" w:rsidRPr="00BD7577" w14:paraId="60568469" w14:textId="77777777" w:rsidTr="008C76E0">
        <w:trPr>
          <w:jc w:val="center"/>
        </w:trPr>
        <w:tc>
          <w:tcPr>
            <w:tcW w:w="7248" w:type="dxa"/>
            <w:tcBorders>
              <w:top w:val="single" w:sz="4" w:space="0" w:color="auto"/>
              <w:left w:val="single" w:sz="4" w:space="0" w:color="auto"/>
            </w:tcBorders>
            <w:shd w:val="clear" w:color="auto" w:fill="FFFFFF"/>
            <w:vAlign w:val="bottom"/>
          </w:tcPr>
          <w:p w14:paraId="65D0E4A7" w14:textId="77777777" w:rsidR="008C76E0" w:rsidRPr="00BD7577" w:rsidRDefault="008C76E0" w:rsidP="008C76E0">
            <w:pPr>
              <w:pStyle w:val="Bodytext180"/>
              <w:shd w:val="clear" w:color="auto" w:fill="auto"/>
              <w:spacing w:before="0" w:after="120" w:line="240" w:lineRule="auto"/>
              <w:ind w:left="77" w:firstLine="0"/>
              <w:rPr>
                <w:rFonts w:ascii="Sylfaen" w:hAnsi="Sylfaen"/>
                <w:b w:val="0"/>
                <w:sz w:val="24"/>
                <w:szCs w:val="24"/>
              </w:rPr>
            </w:pPr>
            <w:r w:rsidRPr="00BD7577">
              <w:rPr>
                <w:rStyle w:val="Bodytext295pt"/>
                <w:rFonts w:ascii="Sylfaen" w:hAnsi="Sylfaen"/>
                <w:spacing w:val="0"/>
                <w:sz w:val="24"/>
                <w:szCs w:val="24"/>
              </w:rPr>
              <w:t>Դեղաձ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դոզան (կոնցենտրացիան)՝</w:t>
            </w:r>
          </w:p>
        </w:tc>
        <w:tc>
          <w:tcPr>
            <w:tcW w:w="2280" w:type="dxa"/>
            <w:tcBorders>
              <w:top w:val="single" w:sz="4" w:space="0" w:color="auto"/>
              <w:left w:val="single" w:sz="4" w:space="0" w:color="auto"/>
              <w:right w:val="single" w:sz="4" w:space="0" w:color="auto"/>
            </w:tcBorders>
            <w:shd w:val="clear" w:color="auto" w:fill="FFFFFF"/>
          </w:tcPr>
          <w:p w14:paraId="19E0CE49" w14:textId="77777777" w:rsidR="008C76E0" w:rsidRPr="00BD7577" w:rsidRDefault="008C76E0" w:rsidP="008C76E0">
            <w:pPr>
              <w:spacing w:after="120" w:line="240" w:lineRule="auto"/>
              <w:rPr>
                <w:rFonts w:ascii="Sylfaen" w:hAnsi="Sylfaen"/>
                <w:sz w:val="24"/>
                <w:szCs w:val="24"/>
              </w:rPr>
            </w:pPr>
          </w:p>
        </w:tc>
      </w:tr>
      <w:tr w:rsidR="008C76E0" w:rsidRPr="00BD7577" w14:paraId="12C961C5" w14:textId="77777777" w:rsidTr="008C76E0">
        <w:trPr>
          <w:jc w:val="center"/>
        </w:trPr>
        <w:tc>
          <w:tcPr>
            <w:tcW w:w="7248" w:type="dxa"/>
            <w:tcBorders>
              <w:top w:val="single" w:sz="4" w:space="0" w:color="auto"/>
              <w:left w:val="single" w:sz="4" w:space="0" w:color="auto"/>
            </w:tcBorders>
            <w:shd w:val="clear" w:color="auto" w:fill="FFFFFF"/>
            <w:vAlign w:val="bottom"/>
          </w:tcPr>
          <w:p w14:paraId="72228B54" w14:textId="77777777" w:rsidR="008C76E0" w:rsidRPr="00BD7577" w:rsidRDefault="008C76E0" w:rsidP="008C76E0">
            <w:pPr>
              <w:pStyle w:val="Bodytext180"/>
              <w:shd w:val="clear" w:color="auto" w:fill="auto"/>
              <w:spacing w:before="0" w:after="120" w:line="240" w:lineRule="auto"/>
              <w:ind w:left="77" w:firstLine="0"/>
              <w:rPr>
                <w:rFonts w:ascii="Sylfaen" w:hAnsi="Sylfaen"/>
                <w:b w:val="0"/>
                <w:sz w:val="24"/>
                <w:szCs w:val="24"/>
              </w:rPr>
            </w:pPr>
            <w:r w:rsidRPr="00BD7577">
              <w:rPr>
                <w:rStyle w:val="Bodytext295pt"/>
                <w:rFonts w:ascii="Sylfaen" w:hAnsi="Sylfaen"/>
                <w:spacing w:val="0"/>
                <w:sz w:val="24"/>
                <w:szCs w:val="24"/>
              </w:rPr>
              <w:t>Գրանցման ընթացակարգը՝</w:t>
            </w:r>
          </w:p>
        </w:tc>
        <w:tc>
          <w:tcPr>
            <w:tcW w:w="2280" w:type="dxa"/>
            <w:tcBorders>
              <w:top w:val="single" w:sz="4" w:space="0" w:color="auto"/>
              <w:left w:val="single" w:sz="4" w:space="0" w:color="auto"/>
              <w:right w:val="single" w:sz="4" w:space="0" w:color="auto"/>
            </w:tcBorders>
            <w:shd w:val="clear" w:color="auto" w:fill="FFFFFF"/>
          </w:tcPr>
          <w:p w14:paraId="324817E4" w14:textId="77777777" w:rsidR="008C76E0" w:rsidRPr="00BD7577" w:rsidRDefault="008C76E0" w:rsidP="008C76E0">
            <w:pPr>
              <w:spacing w:after="120" w:line="240" w:lineRule="auto"/>
              <w:rPr>
                <w:rFonts w:ascii="Sylfaen" w:hAnsi="Sylfaen"/>
                <w:sz w:val="24"/>
                <w:szCs w:val="24"/>
              </w:rPr>
            </w:pPr>
          </w:p>
        </w:tc>
      </w:tr>
      <w:tr w:rsidR="008C76E0" w:rsidRPr="00BD7577" w14:paraId="4123779E" w14:textId="77777777" w:rsidTr="008C76E0">
        <w:trPr>
          <w:jc w:val="center"/>
        </w:trPr>
        <w:tc>
          <w:tcPr>
            <w:tcW w:w="7248" w:type="dxa"/>
            <w:tcBorders>
              <w:top w:val="single" w:sz="4" w:space="0" w:color="auto"/>
              <w:left w:val="single" w:sz="4" w:space="0" w:color="auto"/>
            </w:tcBorders>
            <w:shd w:val="clear" w:color="auto" w:fill="FFFFFF"/>
            <w:vAlign w:val="bottom"/>
          </w:tcPr>
          <w:p w14:paraId="52B8712C" w14:textId="77777777" w:rsidR="008C76E0" w:rsidRPr="00BD7577" w:rsidRDefault="008C76E0" w:rsidP="008C76E0">
            <w:pPr>
              <w:pStyle w:val="Bodytext180"/>
              <w:shd w:val="clear" w:color="auto" w:fill="auto"/>
              <w:spacing w:before="0" w:after="120" w:line="240" w:lineRule="auto"/>
              <w:ind w:left="77" w:firstLine="0"/>
              <w:rPr>
                <w:rFonts w:ascii="Sylfaen" w:hAnsi="Sylfaen"/>
                <w:b w:val="0"/>
                <w:sz w:val="24"/>
                <w:szCs w:val="24"/>
              </w:rPr>
            </w:pPr>
            <w:r w:rsidRPr="00BD7577">
              <w:rPr>
                <w:rStyle w:val="Bodytext295pt"/>
                <w:rFonts w:ascii="Sylfaen" w:hAnsi="Sylfaen"/>
                <w:spacing w:val="0"/>
                <w:sz w:val="24"/>
                <w:szCs w:val="24"/>
              </w:rPr>
              <w:t>Թերապ</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տիկ դասը կամ ցուցումը՝</w:t>
            </w:r>
          </w:p>
        </w:tc>
        <w:tc>
          <w:tcPr>
            <w:tcW w:w="2280" w:type="dxa"/>
            <w:tcBorders>
              <w:top w:val="single" w:sz="4" w:space="0" w:color="auto"/>
              <w:left w:val="single" w:sz="4" w:space="0" w:color="auto"/>
              <w:right w:val="single" w:sz="4" w:space="0" w:color="auto"/>
            </w:tcBorders>
            <w:shd w:val="clear" w:color="auto" w:fill="FFFFFF"/>
          </w:tcPr>
          <w:p w14:paraId="08DA7E14" w14:textId="77777777" w:rsidR="008C76E0" w:rsidRPr="00BD7577" w:rsidRDefault="008C76E0" w:rsidP="008C76E0">
            <w:pPr>
              <w:spacing w:after="120" w:line="240" w:lineRule="auto"/>
              <w:rPr>
                <w:rFonts w:ascii="Sylfaen" w:hAnsi="Sylfaen"/>
                <w:sz w:val="24"/>
                <w:szCs w:val="24"/>
              </w:rPr>
            </w:pPr>
          </w:p>
        </w:tc>
      </w:tr>
      <w:tr w:rsidR="008C76E0" w:rsidRPr="00BD7577" w14:paraId="0D545446" w14:textId="77777777" w:rsidTr="008C76E0">
        <w:trPr>
          <w:jc w:val="center"/>
        </w:trPr>
        <w:tc>
          <w:tcPr>
            <w:tcW w:w="7248" w:type="dxa"/>
            <w:tcBorders>
              <w:top w:val="single" w:sz="4" w:space="0" w:color="auto"/>
              <w:left w:val="single" w:sz="4" w:space="0" w:color="auto"/>
              <w:bottom w:val="single" w:sz="4" w:space="0" w:color="auto"/>
            </w:tcBorders>
            <w:shd w:val="clear" w:color="auto" w:fill="FFFFFF"/>
            <w:vAlign w:val="bottom"/>
          </w:tcPr>
          <w:p w14:paraId="08B0C4A4" w14:textId="77777777" w:rsidR="008C76E0" w:rsidRPr="00BD7577" w:rsidRDefault="008C76E0" w:rsidP="008C76E0">
            <w:pPr>
              <w:pStyle w:val="Bodytext180"/>
              <w:shd w:val="clear" w:color="auto" w:fill="auto"/>
              <w:spacing w:before="0" w:after="120" w:line="240" w:lineRule="auto"/>
              <w:ind w:left="77" w:firstLine="0"/>
              <w:rPr>
                <w:rFonts w:ascii="Sylfaen" w:hAnsi="Sylfaen"/>
                <w:b w:val="0"/>
                <w:sz w:val="24"/>
                <w:szCs w:val="24"/>
              </w:rPr>
            </w:pPr>
            <w:r w:rsidRPr="00BD7577">
              <w:rPr>
                <w:rStyle w:val="Bodytext295pt"/>
                <w:rFonts w:ascii="Sylfaen" w:hAnsi="Sylfaen"/>
                <w:spacing w:val="0"/>
                <w:sz w:val="24"/>
                <w:szCs w:val="24"/>
              </w:rPr>
              <w:t>Դոզաների ենթադրյալ ընդգրկույթը՝</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00746BB3" w14:textId="77777777" w:rsidR="008C76E0" w:rsidRPr="00BD7577" w:rsidRDefault="008C76E0" w:rsidP="008C76E0">
            <w:pPr>
              <w:spacing w:after="120" w:line="240" w:lineRule="auto"/>
              <w:rPr>
                <w:rFonts w:ascii="Sylfaen" w:hAnsi="Sylfaen"/>
                <w:sz w:val="24"/>
                <w:szCs w:val="24"/>
              </w:rPr>
            </w:pPr>
          </w:p>
        </w:tc>
      </w:tr>
    </w:tbl>
    <w:p w14:paraId="7731B547" w14:textId="77777777" w:rsidR="008C76E0" w:rsidRPr="00BD7577" w:rsidRDefault="008C76E0" w:rsidP="008C76E0">
      <w:pPr>
        <w:rPr>
          <w:rFonts w:ascii="Sylfaen" w:hAnsi="Sylfaen"/>
          <w:sz w:val="24"/>
          <w:szCs w:val="24"/>
        </w:rPr>
      </w:pPr>
    </w:p>
    <w:p w14:paraId="490464CF" w14:textId="77777777" w:rsidR="008C76E0" w:rsidRPr="00BD7577" w:rsidRDefault="008C76E0" w:rsidP="008C76E0">
      <w:pPr>
        <w:ind w:left="1701" w:right="1699"/>
        <w:jc w:val="center"/>
        <w:rPr>
          <w:rFonts w:ascii="Sylfaen" w:hAnsi="Sylfaen"/>
          <w:sz w:val="24"/>
          <w:szCs w:val="24"/>
        </w:rPr>
      </w:pPr>
      <w:r w:rsidRPr="00BD7577">
        <w:rPr>
          <w:rFonts w:ascii="Sylfaen" w:hAnsi="Sylfaen"/>
          <w:sz w:val="24"/>
          <w:szCs w:val="24"/>
        </w:rPr>
        <w:t>3. Ակտիվ դեղագործական բաղադրամաս</w:t>
      </w:r>
      <w:r w:rsidRPr="00BD7577">
        <w:rPr>
          <w:rFonts w:ascii="Sylfaen" w:hAnsi="Sylfaen"/>
          <w:sz w:val="24"/>
          <w:szCs w:val="24"/>
        </w:rPr>
        <w:br/>
        <w:t>(ԱԴՍ, մոդուլ 3.2.S)</w:t>
      </w:r>
    </w:p>
    <w:p w14:paraId="489C2CBE"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2A6D632B"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p w14:paraId="418242E9" w14:textId="77777777" w:rsidR="008C76E0" w:rsidRPr="00BD7577" w:rsidRDefault="008C76E0" w:rsidP="008C76E0">
      <w:pPr>
        <w:widowControl/>
        <w:autoSpaceDE w:val="0"/>
        <w:autoSpaceDN w:val="0"/>
        <w:adjustRightInd w:val="0"/>
        <w:jc w:val="both"/>
        <w:rPr>
          <w:rFonts w:ascii="Sylfaen" w:hAnsi="Sylfaen" w:cs="Times New Roman"/>
          <w:sz w:val="24"/>
          <w:szCs w:val="24"/>
        </w:rPr>
      </w:pPr>
      <w:r w:rsidRPr="00BD7577">
        <w:rPr>
          <w:rFonts w:ascii="Sylfaen" w:hAnsi="Sylfaen"/>
          <w:sz w:val="24"/>
          <w:szCs w:val="24"/>
        </w:rPr>
        <w:t>___________________________________________________________________________</w:t>
      </w:r>
    </w:p>
    <w:tbl>
      <w:tblPr>
        <w:tblStyle w:val="TableGrid"/>
        <w:tblW w:w="9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8"/>
      </w:tblGrid>
      <w:tr w:rsidR="008C76E0" w:rsidRPr="00BD7577" w14:paraId="503A1048" w14:textId="77777777" w:rsidTr="008C76E0">
        <w:trPr>
          <w:jc w:val="center"/>
        </w:trPr>
        <w:tc>
          <w:tcPr>
            <w:tcW w:w="2835" w:type="dxa"/>
          </w:tcPr>
          <w:p w14:paraId="3D4DB9C3" w14:textId="77777777" w:rsidR="008C76E0" w:rsidRPr="00BD7577" w:rsidRDefault="008C76E0" w:rsidP="008C76E0">
            <w:pPr>
              <w:spacing w:after="160" w:line="360" w:lineRule="auto"/>
              <w:ind w:right="-108"/>
              <w:rPr>
                <w:rFonts w:ascii="Sylfaen" w:hAnsi="Sylfaen"/>
                <w:sz w:val="24"/>
                <w:szCs w:val="24"/>
              </w:rPr>
            </w:pPr>
            <w:r w:rsidRPr="00BD7577">
              <w:rPr>
                <w:rFonts w:ascii="Sylfaen" w:hAnsi="Sylfaen"/>
                <w:sz w:val="24"/>
                <w:szCs w:val="24"/>
              </w:rPr>
              <w:t>Ծանոթագրություններ՝</w:t>
            </w:r>
          </w:p>
        </w:tc>
        <w:tc>
          <w:tcPr>
            <w:tcW w:w="6378" w:type="dxa"/>
          </w:tcPr>
          <w:p w14:paraId="69DC54DD"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1.</w:t>
            </w:r>
            <w:r w:rsidRPr="00BD7577">
              <w:rPr>
                <w:rFonts w:ascii="Sylfaen" w:hAnsi="Sylfaen"/>
                <w:sz w:val="24"/>
                <w:szCs w:val="24"/>
              </w:rPr>
              <w:tab/>
              <w:t>Հարկ է նշել, թե արդյոք ներկայացվել են Եվրոպական դեղագրքի մենագրությանը (այսուհետ՝ СЕР) համապատասխանության Հավաստագիրը կամ Ակտիվ դեղագործական բաղադրամասի դոսյեն (այսուհետ ԱԴԲԴ) կամ ակտիվ դեղագործական բաղադրամասի մասին ամբողջական տեղեկատվությունը:</w:t>
            </w:r>
          </w:p>
          <w:p w14:paraId="44B0991F"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 xml:space="preserve">Ակտիվ դեղագործական բաղադրամասի մաստեր-ֆայլը (այսուհետ ԱԴԲՄՖ) օգտագործելիս հարկ է նշել, </w:t>
            </w:r>
            <w:r w:rsidRPr="00BD7577">
              <w:rPr>
                <w:rFonts w:ascii="Sylfaen" w:hAnsi="Sylfaen"/>
                <w:sz w:val="24"/>
                <w:szCs w:val="24"/>
              </w:rPr>
              <w:lastRenderedPageBreak/>
              <w:t xml:space="preserve">որ դրա գնահատումը ներկայացվում է ԱԴԲՄՖ-ի կրիտիկական գնահատման առանձին հաշվետվության մեջ՝ փաստաթղթի փակ մասին առնչվող գաղտնի հավելվածով: </w:t>
            </w:r>
          </w:p>
          <w:p w14:paraId="45EF173F"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3.</w:t>
            </w:r>
            <w:r w:rsidRPr="00BD7577">
              <w:rPr>
                <w:rFonts w:ascii="Sylfaen" w:hAnsi="Sylfaen"/>
                <w:sz w:val="24"/>
                <w:szCs w:val="24"/>
              </w:rPr>
              <w:tab/>
              <w:t>Դոսյեում մի քանի ԱԴԲՄՖ-ների վերաբերյալ տեղեկությունների առկայության դեպքում յուրաքանչյուր ԱԴԲՄՖ-ի համար ներկայացվում է առանձին հաշվետվություն:</w:t>
            </w:r>
          </w:p>
          <w:p w14:paraId="005BB5B1"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4.</w:t>
            </w:r>
            <w:r w:rsidRPr="00BD7577">
              <w:rPr>
                <w:rFonts w:ascii="Sylfaen" w:hAnsi="Sylfaen"/>
                <w:sz w:val="24"/>
                <w:szCs w:val="24"/>
              </w:rPr>
              <w:tab/>
              <w:t>Դիտարկվող դեղապատրաստուկի վերաբերյալ անհրաժեշտ է ներկայացնել տեղեկություններ՝ գաղտնի տեղեկատվության հասանելիության վերաբերյալ:</w:t>
            </w:r>
          </w:p>
          <w:p w14:paraId="5955E6B2" w14:textId="77777777" w:rsidR="008C76E0" w:rsidRPr="00BD7577" w:rsidRDefault="008C76E0" w:rsidP="008C76E0">
            <w:pPr>
              <w:tabs>
                <w:tab w:val="left" w:pos="459"/>
              </w:tabs>
              <w:spacing w:after="160" w:line="336" w:lineRule="auto"/>
              <w:jc w:val="both"/>
              <w:rPr>
                <w:rFonts w:ascii="Sylfaen" w:hAnsi="Sylfaen"/>
                <w:sz w:val="24"/>
                <w:szCs w:val="24"/>
              </w:rPr>
            </w:pPr>
            <w:r w:rsidRPr="00BD7577">
              <w:rPr>
                <w:rFonts w:ascii="Sylfaen" w:hAnsi="Sylfaen"/>
                <w:sz w:val="24"/>
                <w:szCs w:val="24"/>
              </w:rPr>
              <w:t>5.</w:t>
            </w:r>
            <w:r w:rsidRPr="00BD7577">
              <w:rPr>
                <w:rFonts w:ascii="Sylfaen" w:hAnsi="Sylfaen"/>
                <w:sz w:val="24"/>
                <w:szCs w:val="24"/>
              </w:rPr>
              <w:tab/>
              <w:t xml:space="preserve">СЕР-ը </w:t>
            </w:r>
            <w:r w:rsidR="00C54D75">
              <w:rPr>
                <w:rFonts w:ascii="Sylfaen" w:hAnsi="Sylfaen"/>
                <w:sz w:val="24"/>
                <w:szCs w:val="24"/>
              </w:rPr>
              <w:t>և</w:t>
            </w:r>
            <w:r w:rsidRPr="00BD7577">
              <w:rPr>
                <w:rFonts w:ascii="Sylfaen" w:hAnsi="Sylfaen"/>
                <w:sz w:val="24"/>
                <w:szCs w:val="24"/>
              </w:rPr>
              <w:t xml:space="preserve"> ԱԴԲՄՖ-ն օգտագործելիս անհրաժեշտ է լրացնել միայն հաշվետվության «Ակտիվ դեղագործական բաղադրամասի որակի հսկողություն» 3.4-րդ </w:t>
            </w:r>
            <w:r w:rsidR="00C54D75">
              <w:rPr>
                <w:rFonts w:ascii="Sylfaen" w:hAnsi="Sylfaen"/>
                <w:sz w:val="24"/>
                <w:szCs w:val="24"/>
              </w:rPr>
              <w:t>և</w:t>
            </w:r>
            <w:r w:rsidRPr="00BD7577">
              <w:rPr>
                <w:rFonts w:ascii="Sylfaen" w:hAnsi="Sylfaen"/>
                <w:sz w:val="24"/>
                <w:szCs w:val="24"/>
              </w:rPr>
              <w:t xml:space="preserve"> «Ստանդարտ նմուշներ կամ նյութեր» 3.5-րդ բաժինները, որոնք կապված են դեղապատրաստուկի արտադրության հետ, եթե հայտատուն չի տրամադրել լրացուցիչ տվյալներ՝ մասնավորապես գերհսկողության առավել տ</w:t>
            </w:r>
            <w:r w:rsidR="00C54D75">
              <w:rPr>
                <w:rFonts w:ascii="Sylfaen" w:hAnsi="Sylfaen"/>
                <w:sz w:val="24"/>
                <w:szCs w:val="24"/>
              </w:rPr>
              <w:t>և</w:t>
            </w:r>
            <w:r w:rsidRPr="00BD7577">
              <w:rPr>
                <w:rFonts w:ascii="Sylfaen" w:hAnsi="Sylfaen"/>
                <w:sz w:val="24"/>
                <w:szCs w:val="24"/>
              </w:rPr>
              <w:t xml:space="preserve">ական ժամանակահատվածի հաստատման համար կայունության մասին տվյալներ` 3.2.S.7 բաժնին համապատասխան: </w:t>
            </w:r>
          </w:p>
          <w:p w14:paraId="4F8018A0" w14:textId="77777777" w:rsidR="008C76E0" w:rsidRPr="00BD7577" w:rsidRDefault="008C76E0" w:rsidP="008C76E0">
            <w:pPr>
              <w:tabs>
                <w:tab w:val="left" w:pos="459"/>
              </w:tabs>
              <w:spacing w:after="160" w:line="336" w:lineRule="auto"/>
              <w:jc w:val="both"/>
              <w:rPr>
                <w:rFonts w:ascii="Sylfaen" w:hAnsi="Sylfaen"/>
                <w:sz w:val="24"/>
                <w:szCs w:val="24"/>
              </w:rPr>
            </w:pPr>
            <w:r w:rsidRPr="00BD7577">
              <w:rPr>
                <w:rFonts w:ascii="Sylfaen" w:hAnsi="Sylfaen"/>
                <w:sz w:val="24"/>
                <w:szCs w:val="24"/>
              </w:rPr>
              <w:t>6.</w:t>
            </w:r>
            <w:r w:rsidRPr="00BD7577">
              <w:rPr>
                <w:rFonts w:ascii="Sylfaen" w:hAnsi="Sylfaen"/>
                <w:sz w:val="24"/>
                <w:szCs w:val="24"/>
              </w:rPr>
              <w:tab/>
              <w:t>ԱԴԲՄՖ հաշվետվությունների փակ մասի վերաբերյալ հարցերը չեն ուղարկվում հայտատուին, այլ բացառապես ուղարկվում են ակտիվ դեղագործական բաղադրամասի համապատասխան արտադրողին (ԱԴԲՄՖ-ի սեփականատիրոջը):</w:t>
            </w:r>
          </w:p>
          <w:p w14:paraId="003D91D0"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7.</w:t>
            </w:r>
            <w:r w:rsidRPr="00BD7577">
              <w:rPr>
                <w:rFonts w:ascii="Sylfaen" w:hAnsi="Sylfaen"/>
                <w:sz w:val="24"/>
                <w:szCs w:val="24"/>
              </w:rPr>
              <w:tab/>
              <w:t xml:space="preserve">СЕР-ը </w:t>
            </w:r>
            <w:r w:rsidR="00C54D75">
              <w:rPr>
                <w:rFonts w:ascii="Sylfaen" w:hAnsi="Sylfaen"/>
                <w:sz w:val="24"/>
                <w:szCs w:val="24"/>
              </w:rPr>
              <w:t>և</w:t>
            </w:r>
            <w:r w:rsidRPr="00BD7577">
              <w:rPr>
                <w:rFonts w:ascii="Sylfaen" w:hAnsi="Sylfaen"/>
                <w:sz w:val="24"/>
                <w:szCs w:val="24"/>
              </w:rPr>
              <w:t xml:space="preserve"> ԱԴԲՄՖ-ն օգտագործելիս հարկ է ճշգրտել աղբյուրը (հայտատուն, ԱԴՍՄՖ-ի սեփականատերը </w:t>
            </w:r>
            <w:r w:rsidRPr="00BD7577">
              <w:rPr>
                <w:rFonts w:ascii="Sylfaen" w:hAnsi="Sylfaen"/>
                <w:sz w:val="24"/>
                <w:szCs w:val="24"/>
              </w:rPr>
              <w:lastRenderedPageBreak/>
              <w:t xml:space="preserve">կամ СЕР-ի տերը) </w:t>
            </w:r>
            <w:r w:rsidR="00C54D75">
              <w:rPr>
                <w:rFonts w:ascii="Sylfaen" w:hAnsi="Sylfaen"/>
                <w:sz w:val="24"/>
                <w:szCs w:val="24"/>
              </w:rPr>
              <w:t>և</w:t>
            </w:r>
            <w:r w:rsidRPr="00BD7577">
              <w:rPr>
                <w:rFonts w:ascii="Sylfaen" w:hAnsi="Sylfaen"/>
                <w:sz w:val="24"/>
                <w:szCs w:val="24"/>
              </w:rPr>
              <w:t xml:space="preserve"> կրիտիկական գնահատման մասին հաշվետվություն կազմելու համար՝ տեղեկությունների մանրամասնեցման մակարդակը: </w:t>
            </w:r>
          </w:p>
          <w:p w14:paraId="550F8A50" w14:textId="77777777" w:rsidR="008C76E0" w:rsidRPr="00BD7577" w:rsidRDefault="008C76E0" w:rsidP="008C76E0">
            <w:pPr>
              <w:tabs>
                <w:tab w:val="left" w:pos="459"/>
              </w:tabs>
              <w:spacing w:after="160" w:line="360" w:lineRule="auto"/>
              <w:ind w:right="-1"/>
              <w:jc w:val="both"/>
              <w:rPr>
                <w:rFonts w:ascii="Sylfaen" w:hAnsi="Sylfaen"/>
                <w:sz w:val="24"/>
                <w:szCs w:val="24"/>
              </w:rPr>
            </w:pPr>
            <w:r w:rsidRPr="00BD7577">
              <w:rPr>
                <w:rFonts w:ascii="Sylfaen" w:hAnsi="Sylfaen"/>
                <w:sz w:val="24"/>
                <w:szCs w:val="24"/>
              </w:rPr>
              <w:t>8.</w:t>
            </w:r>
            <w:r w:rsidRPr="00BD7577">
              <w:rPr>
                <w:rFonts w:ascii="Sylfaen" w:hAnsi="Sylfaen"/>
                <w:sz w:val="24"/>
                <w:szCs w:val="24"/>
              </w:rPr>
              <w:tab/>
              <w:t>Ակտիվ դեղագործական բաղադրամասի որակի գնահատումը սույն հաշվետվության մեջ պետք է նա</w:t>
            </w:r>
            <w:r w:rsidR="00C54D75">
              <w:rPr>
                <w:rFonts w:ascii="Sylfaen" w:hAnsi="Sylfaen"/>
                <w:sz w:val="24"/>
                <w:szCs w:val="24"/>
              </w:rPr>
              <w:t>և</w:t>
            </w:r>
            <w:r w:rsidRPr="00BD7577">
              <w:rPr>
                <w:rFonts w:ascii="Sylfaen" w:hAnsi="Sylfaen"/>
                <w:sz w:val="24"/>
                <w:szCs w:val="24"/>
              </w:rPr>
              <w:t xml:space="preserve"> արտացոլի հայտատուի կողմից ներկայացված լրացուցիչ տեղեկատվությունը, որը ներառված չէ ԱԴԲՄՖ-ի տիրոջ կողմից ներկայացվող փաստաթղթի բաց մասում: Եթե հայտատուն ներկայացնում է ակտիվ դեղագործական բաղադրամասի մասին ամբողջական տեղեկատվություն, հաշվետվության մեջ պետք է ներառվի այդ տեղեկատվության գնահատումը: </w:t>
            </w:r>
          </w:p>
        </w:tc>
      </w:tr>
    </w:tbl>
    <w:p w14:paraId="5E8F6DA0" w14:textId="77777777" w:rsidR="008C76E0" w:rsidRPr="00BD7577" w:rsidRDefault="008C76E0" w:rsidP="008C76E0">
      <w:pPr>
        <w:spacing w:line="384" w:lineRule="auto"/>
        <w:rPr>
          <w:rFonts w:ascii="Sylfaen" w:hAnsi="Sylfaen"/>
          <w:sz w:val="24"/>
          <w:szCs w:val="24"/>
        </w:rPr>
      </w:pPr>
    </w:p>
    <w:p w14:paraId="3F6D7A4D" w14:textId="77777777" w:rsidR="008C76E0" w:rsidRPr="00BD7577" w:rsidRDefault="008C76E0" w:rsidP="008C76E0">
      <w:pPr>
        <w:tabs>
          <w:tab w:val="left" w:pos="567"/>
        </w:tabs>
        <w:spacing w:line="384" w:lineRule="auto"/>
        <w:ind w:left="567" w:right="566"/>
        <w:jc w:val="center"/>
        <w:rPr>
          <w:rFonts w:ascii="Sylfaen" w:hAnsi="Sylfaen"/>
          <w:sz w:val="24"/>
          <w:szCs w:val="24"/>
        </w:rPr>
      </w:pPr>
      <w:r w:rsidRPr="00BD7577">
        <w:rPr>
          <w:rFonts w:ascii="Sylfaen" w:hAnsi="Sylfaen"/>
          <w:sz w:val="24"/>
          <w:szCs w:val="24"/>
        </w:rPr>
        <w:t xml:space="preserve">3.1. Ընդհանուր տեղեկատվություն՝ ելանյութերի </w:t>
      </w:r>
      <w:r w:rsidR="00C54D75">
        <w:rPr>
          <w:rFonts w:ascii="Sylfaen" w:hAnsi="Sylfaen"/>
          <w:sz w:val="24"/>
          <w:szCs w:val="24"/>
        </w:rPr>
        <w:t>և</w:t>
      </w:r>
      <w:r w:rsidRPr="00BD7577">
        <w:rPr>
          <w:rFonts w:ascii="Sylfaen" w:hAnsi="Sylfaen"/>
          <w:sz w:val="24"/>
          <w:szCs w:val="24"/>
        </w:rPr>
        <w:t xml:space="preserve"> հումքի մասին </w:t>
      </w:r>
      <w:r w:rsidRPr="00BD7577">
        <w:rPr>
          <w:rFonts w:ascii="Sylfaen" w:hAnsi="Sylfaen"/>
          <w:sz w:val="24"/>
          <w:szCs w:val="24"/>
        </w:rPr>
        <w:br/>
        <w:t>(մոդուլ 3.2.S.1):</w:t>
      </w:r>
    </w:p>
    <w:p w14:paraId="65F9BA61" w14:textId="77777777" w:rsidR="008C76E0" w:rsidRPr="00BD7577" w:rsidRDefault="008C76E0" w:rsidP="008C76E0">
      <w:pPr>
        <w:spacing w:line="384" w:lineRule="auto"/>
        <w:ind w:firstLine="567"/>
        <w:jc w:val="both"/>
        <w:rPr>
          <w:rFonts w:ascii="Sylfaen" w:hAnsi="Sylfaen"/>
          <w:sz w:val="24"/>
          <w:szCs w:val="24"/>
        </w:rPr>
      </w:pPr>
      <w:r w:rsidRPr="00BD7577">
        <w:rPr>
          <w:rFonts w:ascii="Sylfaen" w:hAnsi="Sylfaen"/>
          <w:sz w:val="24"/>
          <w:szCs w:val="24"/>
        </w:rPr>
        <w:t>Տեղեկատվություն՝ ԱԴԲ-ի անվանման մասին (մոդուլ S.1.1)</w:t>
      </w:r>
    </w:p>
    <w:tbl>
      <w:tblPr>
        <w:tblOverlap w:val="never"/>
        <w:tblW w:w="9569" w:type="dxa"/>
        <w:tblLayout w:type="fixed"/>
        <w:tblCellMar>
          <w:left w:w="10" w:type="dxa"/>
          <w:right w:w="10" w:type="dxa"/>
        </w:tblCellMar>
        <w:tblLook w:val="04A0" w:firstRow="1" w:lastRow="0" w:firstColumn="1" w:lastColumn="0" w:noHBand="0" w:noVBand="1"/>
      </w:tblPr>
      <w:tblGrid>
        <w:gridCol w:w="6531"/>
        <w:gridCol w:w="3038"/>
      </w:tblGrid>
      <w:tr w:rsidR="008C76E0" w:rsidRPr="00BD7577" w14:paraId="4DB76508" w14:textId="77777777" w:rsidTr="008C76E0">
        <w:tc>
          <w:tcPr>
            <w:tcW w:w="6531" w:type="dxa"/>
            <w:tcBorders>
              <w:top w:val="single" w:sz="4" w:space="0" w:color="auto"/>
              <w:left w:val="single" w:sz="4" w:space="0" w:color="auto"/>
            </w:tcBorders>
            <w:shd w:val="clear" w:color="auto" w:fill="FFFFFF"/>
          </w:tcPr>
          <w:p w14:paraId="38701659"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Միջազգային չարտոնագրված անվանումը (ՄՉԱ)՝</w:t>
            </w:r>
          </w:p>
        </w:tc>
        <w:tc>
          <w:tcPr>
            <w:tcW w:w="3038" w:type="dxa"/>
            <w:tcBorders>
              <w:top w:val="single" w:sz="4" w:space="0" w:color="auto"/>
              <w:left w:val="single" w:sz="4" w:space="0" w:color="auto"/>
              <w:right w:val="single" w:sz="4" w:space="0" w:color="auto"/>
            </w:tcBorders>
            <w:shd w:val="clear" w:color="auto" w:fill="FFFFFF"/>
          </w:tcPr>
          <w:p w14:paraId="3F161884" w14:textId="77777777" w:rsidR="008C76E0" w:rsidRPr="00BD7577" w:rsidRDefault="008C76E0" w:rsidP="008C76E0">
            <w:pPr>
              <w:spacing w:after="120" w:line="288" w:lineRule="auto"/>
              <w:rPr>
                <w:rFonts w:ascii="Sylfaen" w:hAnsi="Sylfaen"/>
                <w:sz w:val="24"/>
                <w:szCs w:val="24"/>
              </w:rPr>
            </w:pPr>
          </w:p>
        </w:tc>
      </w:tr>
      <w:tr w:rsidR="008C76E0" w:rsidRPr="00BD7577" w14:paraId="0DF092FC" w14:textId="77777777" w:rsidTr="008C76E0">
        <w:tc>
          <w:tcPr>
            <w:tcW w:w="6531" w:type="dxa"/>
            <w:tcBorders>
              <w:top w:val="single" w:sz="4" w:space="0" w:color="auto"/>
              <w:left w:val="single" w:sz="4" w:space="0" w:color="auto"/>
            </w:tcBorders>
            <w:shd w:val="clear" w:color="auto" w:fill="FFFFFF"/>
          </w:tcPr>
          <w:p w14:paraId="0FABBF06"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Քիմիական անվանումը՝</w:t>
            </w:r>
          </w:p>
        </w:tc>
        <w:tc>
          <w:tcPr>
            <w:tcW w:w="3038" w:type="dxa"/>
            <w:tcBorders>
              <w:top w:val="single" w:sz="4" w:space="0" w:color="auto"/>
              <w:left w:val="single" w:sz="4" w:space="0" w:color="auto"/>
              <w:right w:val="single" w:sz="4" w:space="0" w:color="auto"/>
            </w:tcBorders>
            <w:shd w:val="clear" w:color="auto" w:fill="FFFFFF"/>
          </w:tcPr>
          <w:p w14:paraId="4ACBF7DC" w14:textId="77777777" w:rsidR="008C76E0" w:rsidRPr="00BD7577" w:rsidRDefault="008C76E0" w:rsidP="008C76E0">
            <w:pPr>
              <w:spacing w:after="120" w:line="288" w:lineRule="auto"/>
              <w:rPr>
                <w:rFonts w:ascii="Sylfaen" w:hAnsi="Sylfaen"/>
                <w:sz w:val="24"/>
                <w:szCs w:val="24"/>
              </w:rPr>
            </w:pPr>
          </w:p>
        </w:tc>
      </w:tr>
      <w:tr w:rsidR="008C76E0" w:rsidRPr="00BD7577" w14:paraId="444F543D" w14:textId="77777777" w:rsidTr="008C76E0">
        <w:tc>
          <w:tcPr>
            <w:tcW w:w="6531" w:type="dxa"/>
            <w:tcBorders>
              <w:top w:val="single" w:sz="4" w:space="0" w:color="auto"/>
              <w:left w:val="single" w:sz="4" w:space="0" w:color="auto"/>
            </w:tcBorders>
            <w:shd w:val="clear" w:color="auto" w:fill="FFFFFF"/>
          </w:tcPr>
          <w:p w14:paraId="61437BC7" w14:textId="77777777" w:rsidR="008C76E0" w:rsidRPr="008C76E0" w:rsidRDefault="008C76E0" w:rsidP="008C76E0">
            <w:pPr>
              <w:pStyle w:val="Bodytext180"/>
              <w:shd w:val="clear" w:color="auto" w:fill="auto"/>
              <w:spacing w:before="0" w:after="120" w:line="288" w:lineRule="auto"/>
              <w:ind w:left="142" w:firstLine="0"/>
              <w:rPr>
                <w:rFonts w:ascii="Sylfaen" w:hAnsi="Sylfaen"/>
                <w:b w:val="0"/>
                <w:sz w:val="24"/>
                <w:szCs w:val="24"/>
                <w:lang w:val="hy-AM"/>
              </w:rPr>
            </w:pPr>
            <w:r w:rsidRPr="00BD7577">
              <w:rPr>
                <w:rStyle w:val="Bodytext295pt"/>
                <w:rFonts w:ascii="Sylfaen" w:hAnsi="Sylfaen"/>
                <w:spacing w:val="0"/>
                <w:sz w:val="24"/>
                <w:szCs w:val="24"/>
              </w:rPr>
              <w:t>Այլ անվանում (եթե կիրառելի է)՝</w:t>
            </w:r>
          </w:p>
        </w:tc>
        <w:tc>
          <w:tcPr>
            <w:tcW w:w="3038" w:type="dxa"/>
            <w:tcBorders>
              <w:top w:val="single" w:sz="4" w:space="0" w:color="auto"/>
              <w:left w:val="single" w:sz="4" w:space="0" w:color="auto"/>
              <w:right w:val="single" w:sz="4" w:space="0" w:color="auto"/>
            </w:tcBorders>
            <w:shd w:val="clear" w:color="auto" w:fill="FFFFFF"/>
          </w:tcPr>
          <w:p w14:paraId="74F05DE7" w14:textId="77777777" w:rsidR="008C76E0" w:rsidRPr="00BD7577" w:rsidRDefault="008C76E0" w:rsidP="008C76E0">
            <w:pPr>
              <w:spacing w:after="120" w:line="288" w:lineRule="auto"/>
              <w:rPr>
                <w:rFonts w:ascii="Sylfaen" w:hAnsi="Sylfaen"/>
                <w:sz w:val="24"/>
                <w:szCs w:val="24"/>
              </w:rPr>
            </w:pPr>
          </w:p>
        </w:tc>
      </w:tr>
      <w:tr w:rsidR="008C76E0" w:rsidRPr="00BD7577" w14:paraId="55FEEE00" w14:textId="77777777" w:rsidTr="008C76E0">
        <w:tc>
          <w:tcPr>
            <w:tcW w:w="6531" w:type="dxa"/>
            <w:tcBorders>
              <w:top w:val="single" w:sz="4" w:space="0" w:color="auto"/>
              <w:left w:val="single" w:sz="4" w:space="0" w:color="auto"/>
            </w:tcBorders>
            <w:shd w:val="clear" w:color="auto" w:fill="FFFFFF"/>
          </w:tcPr>
          <w:p w14:paraId="325F829A"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Անվանումն ըստ IUPAC անվանացանկի՝</w:t>
            </w:r>
          </w:p>
        </w:tc>
        <w:tc>
          <w:tcPr>
            <w:tcW w:w="3038" w:type="dxa"/>
            <w:tcBorders>
              <w:top w:val="single" w:sz="4" w:space="0" w:color="auto"/>
              <w:left w:val="single" w:sz="4" w:space="0" w:color="auto"/>
              <w:right w:val="single" w:sz="4" w:space="0" w:color="auto"/>
            </w:tcBorders>
            <w:shd w:val="clear" w:color="auto" w:fill="FFFFFF"/>
          </w:tcPr>
          <w:p w14:paraId="15220AA4" w14:textId="77777777" w:rsidR="008C76E0" w:rsidRPr="00BD7577" w:rsidRDefault="008C76E0" w:rsidP="008C76E0">
            <w:pPr>
              <w:spacing w:after="120" w:line="288" w:lineRule="auto"/>
              <w:rPr>
                <w:rFonts w:ascii="Sylfaen" w:hAnsi="Sylfaen"/>
                <w:sz w:val="24"/>
                <w:szCs w:val="24"/>
              </w:rPr>
            </w:pPr>
          </w:p>
        </w:tc>
      </w:tr>
      <w:tr w:rsidR="008C76E0" w:rsidRPr="00BD7577" w14:paraId="42716642" w14:textId="77777777" w:rsidTr="008C76E0">
        <w:tc>
          <w:tcPr>
            <w:tcW w:w="6531" w:type="dxa"/>
            <w:tcBorders>
              <w:top w:val="single" w:sz="4" w:space="0" w:color="auto"/>
              <w:left w:val="single" w:sz="4" w:space="0" w:color="auto"/>
            </w:tcBorders>
            <w:shd w:val="clear" w:color="auto" w:fill="FFFFFF"/>
          </w:tcPr>
          <w:p w14:paraId="2FFD4739"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CAS համարը՝</w:t>
            </w:r>
          </w:p>
        </w:tc>
        <w:tc>
          <w:tcPr>
            <w:tcW w:w="3038" w:type="dxa"/>
            <w:tcBorders>
              <w:top w:val="single" w:sz="4" w:space="0" w:color="auto"/>
              <w:left w:val="single" w:sz="4" w:space="0" w:color="auto"/>
              <w:right w:val="single" w:sz="4" w:space="0" w:color="auto"/>
            </w:tcBorders>
            <w:shd w:val="clear" w:color="auto" w:fill="FFFFFF"/>
          </w:tcPr>
          <w:p w14:paraId="22A22BA7" w14:textId="77777777" w:rsidR="008C76E0" w:rsidRPr="00BD7577" w:rsidRDefault="008C76E0" w:rsidP="008C76E0">
            <w:pPr>
              <w:spacing w:after="120" w:line="288" w:lineRule="auto"/>
              <w:rPr>
                <w:rFonts w:ascii="Sylfaen" w:hAnsi="Sylfaen"/>
                <w:sz w:val="24"/>
                <w:szCs w:val="24"/>
              </w:rPr>
            </w:pPr>
          </w:p>
        </w:tc>
      </w:tr>
      <w:tr w:rsidR="008C76E0" w:rsidRPr="00BD7577" w14:paraId="26B2B4CF" w14:textId="77777777" w:rsidTr="008C76E0">
        <w:tc>
          <w:tcPr>
            <w:tcW w:w="6531" w:type="dxa"/>
            <w:tcBorders>
              <w:top w:val="single" w:sz="4" w:space="0" w:color="auto"/>
              <w:left w:val="single" w:sz="4" w:space="0" w:color="auto"/>
            </w:tcBorders>
            <w:shd w:val="clear" w:color="auto" w:fill="FFFFFF"/>
          </w:tcPr>
          <w:p w14:paraId="136CBB7C"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Լաբորատոր ծածկագիրը՝</w:t>
            </w:r>
          </w:p>
        </w:tc>
        <w:tc>
          <w:tcPr>
            <w:tcW w:w="3038" w:type="dxa"/>
            <w:tcBorders>
              <w:top w:val="single" w:sz="4" w:space="0" w:color="auto"/>
              <w:left w:val="single" w:sz="4" w:space="0" w:color="auto"/>
              <w:right w:val="single" w:sz="4" w:space="0" w:color="auto"/>
            </w:tcBorders>
            <w:shd w:val="clear" w:color="auto" w:fill="FFFFFF"/>
          </w:tcPr>
          <w:p w14:paraId="4D613ECA" w14:textId="77777777" w:rsidR="008C76E0" w:rsidRPr="00BD7577" w:rsidRDefault="008C76E0" w:rsidP="008C76E0">
            <w:pPr>
              <w:spacing w:after="120" w:line="288" w:lineRule="auto"/>
              <w:rPr>
                <w:rFonts w:ascii="Sylfaen" w:hAnsi="Sylfaen"/>
                <w:sz w:val="24"/>
                <w:szCs w:val="24"/>
              </w:rPr>
            </w:pPr>
          </w:p>
        </w:tc>
      </w:tr>
      <w:tr w:rsidR="008C76E0" w:rsidRPr="00BD7577" w14:paraId="30BB27E4" w14:textId="77777777" w:rsidTr="008C76E0">
        <w:tc>
          <w:tcPr>
            <w:tcW w:w="6531" w:type="dxa"/>
            <w:tcBorders>
              <w:top w:val="single" w:sz="4" w:space="0" w:color="auto"/>
              <w:left w:val="single" w:sz="4" w:space="0" w:color="auto"/>
            </w:tcBorders>
            <w:shd w:val="clear" w:color="auto" w:fill="FFFFFF"/>
          </w:tcPr>
          <w:p w14:paraId="30CF327B"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Մոլեկուլային բանաձ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ը՝</w:t>
            </w:r>
          </w:p>
        </w:tc>
        <w:tc>
          <w:tcPr>
            <w:tcW w:w="3038" w:type="dxa"/>
            <w:tcBorders>
              <w:top w:val="single" w:sz="4" w:space="0" w:color="auto"/>
              <w:left w:val="single" w:sz="4" w:space="0" w:color="auto"/>
              <w:right w:val="single" w:sz="4" w:space="0" w:color="auto"/>
            </w:tcBorders>
            <w:shd w:val="clear" w:color="auto" w:fill="FFFFFF"/>
          </w:tcPr>
          <w:p w14:paraId="17D064E3" w14:textId="77777777" w:rsidR="008C76E0" w:rsidRPr="00BD7577" w:rsidRDefault="008C76E0" w:rsidP="008C76E0">
            <w:pPr>
              <w:spacing w:after="120" w:line="288" w:lineRule="auto"/>
              <w:rPr>
                <w:rFonts w:ascii="Sylfaen" w:hAnsi="Sylfaen"/>
                <w:sz w:val="24"/>
                <w:szCs w:val="24"/>
              </w:rPr>
            </w:pPr>
          </w:p>
        </w:tc>
      </w:tr>
      <w:tr w:rsidR="008C76E0" w:rsidRPr="00BD7577" w14:paraId="5CFC9AF0" w14:textId="77777777" w:rsidTr="008C76E0">
        <w:tc>
          <w:tcPr>
            <w:tcW w:w="6531" w:type="dxa"/>
            <w:tcBorders>
              <w:top w:val="single" w:sz="4" w:space="0" w:color="auto"/>
              <w:left w:val="single" w:sz="4" w:space="0" w:color="auto"/>
            </w:tcBorders>
            <w:shd w:val="clear" w:color="auto" w:fill="FFFFFF"/>
          </w:tcPr>
          <w:p w14:paraId="16F61DFD" w14:textId="77777777" w:rsidR="008C76E0" w:rsidRPr="00BD7577" w:rsidRDefault="008C76E0" w:rsidP="008C76E0">
            <w:pPr>
              <w:pStyle w:val="Bodytext180"/>
              <w:shd w:val="clear" w:color="auto" w:fill="auto"/>
              <w:spacing w:before="0" w:after="120" w:line="288" w:lineRule="auto"/>
              <w:ind w:left="142" w:firstLine="0"/>
              <w:rPr>
                <w:rFonts w:ascii="Sylfaen" w:hAnsi="Sylfaen"/>
                <w:b w:val="0"/>
                <w:sz w:val="24"/>
                <w:szCs w:val="24"/>
              </w:rPr>
            </w:pPr>
            <w:r w:rsidRPr="00BD7577">
              <w:rPr>
                <w:rStyle w:val="Bodytext295pt"/>
                <w:rFonts w:ascii="Sylfaen" w:hAnsi="Sylfaen"/>
                <w:spacing w:val="0"/>
                <w:sz w:val="24"/>
                <w:szCs w:val="24"/>
              </w:rPr>
              <w:t>Հարաբերական մոլեկուլային զանգվածը՝</w:t>
            </w:r>
          </w:p>
        </w:tc>
        <w:tc>
          <w:tcPr>
            <w:tcW w:w="3038" w:type="dxa"/>
            <w:tcBorders>
              <w:top w:val="single" w:sz="4" w:space="0" w:color="auto"/>
              <w:left w:val="single" w:sz="4" w:space="0" w:color="auto"/>
              <w:right w:val="single" w:sz="4" w:space="0" w:color="auto"/>
            </w:tcBorders>
            <w:shd w:val="clear" w:color="auto" w:fill="FFFFFF"/>
          </w:tcPr>
          <w:p w14:paraId="7AE92350" w14:textId="77777777" w:rsidR="008C76E0" w:rsidRPr="00BD7577" w:rsidRDefault="008C76E0" w:rsidP="008C76E0">
            <w:pPr>
              <w:spacing w:after="120" w:line="288" w:lineRule="auto"/>
              <w:rPr>
                <w:rFonts w:ascii="Sylfaen" w:hAnsi="Sylfaen"/>
                <w:sz w:val="24"/>
                <w:szCs w:val="24"/>
              </w:rPr>
            </w:pPr>
          </w:p>
        </w:tc>
      </w:tr>
      <w:tr w:rsidR="008C76E0" w:rsidRPr="00BD7577" w14:paraId="231B5B18" w14:textId="77777777" w:rsidTr="008C76E0">
        <w:tc>
          <w:tcPr>
            <w:tcW w:w="9569" w:type="dxa"/>
            <w:gridSpan w:val="2"/>
            <w:tcBorders>
              <w:top w:val="single" w:sz="4" w:space="0" w:color="auto"/>
            </w:tcBorders>
            <w:shd w:val="clear" w:color="auto" w:fill="FFFFFF"/>
            <w:vAlign w:val="center"/>
          </w:tcPr>
          <w:p w14:paraId="61D0D229" w14:textId="77777777" w:rsidR="008C76E0" w:rsidRPr="008C76E0" w:rsidRDefault="008C76E0" w:rsidP="008C76E0">
            <w:pPr>
              <w:pStyle w:val="Bodytext180"/>
              <w:shd w:val="clear" w:color="auto" w:fill="auto"/>
              <w:spacing w:before="0" w:after="120" w:line="240" w:lineRule="auto"/>
              <w:ind w:left="142" w:firstLine="568"/>
              <w:rPr>
                <w:rFonts w:ascii="Sylfaen" w:hAnsi="Sylfaen"/>
                <w:b w:val="0"/>
                <w:sz w:val="24"/>
                <w:szCs w:val="24"/>
                <w:lang w:val="hy-AM"/>
              </w:rPr>
            </w:pPr>
            <w:r w:rsidRPr="00BD7577">
              <w:rPr>
                <w:rStyle w:val="Bodytext295pt"/>
                <w:rFonts w:ascii="Sylfaen" w:hAnsi="Sylfaen"/>
                <w:spacing w:val="0"/>
                <w:sz w:val="24"/>
                <w:szCs w:val="24"/>
              </w:rPr>
              <w:t>ԱԴԲ-ի կառուցվածքը (մոդուլ S.1.2)</w:t>
            </w:r>
          </w:p>
        </w:tc>
      </w:tr>
      <w:tr w:rsidR="008C76E0" w:rsidRPr="00BD7577" w14:paraId="049ACBB3" w14:textId="77777777" w:rsidTr="008C76E0">
        <w:tc>
          <w:tcPr>
            <w:tcW w:w="9569" w:type="dxa"/>
            <w:gridSpan w:val="2"/>
            <w:tcBorders>
              <w:top w:val="single" w:sz="4" w:space="0" w:color="auto"/>
            </w:tcBorders>
            <w:shd w:val="clear" w:color="auto" w:fill="FFFFFF"/>
          </w:tcPr>
          <w:p w14:paraId="6B826648" w14:textId="77777777" w:rsidR="008C76E0" w:rsidRPr="00BD7577" w:rsidRDefault="008C76E0" w:rsidP="008C76E0">
            <w:pPr>
              <w:spacing w:after="120" w:line="240" w:lineRule="auto"/>
              <w:ind w:left="142"/>
              <w:rPr>
                <w:rFonts w:ascii="Sylfaen" w:hAnsi="Sylfaen"/>
                <w:sz w:val="24"/>
                <w:szCs w:val="24"/>
              </w:rPr>
            </w:pPr>
          </w:p>
        </w:tc>
      </w:tr>
      <w:tr w:rsidR="008C76E0" w:rsidRPr="00BD7577" w14:paraId="31523154" w14:textId="77777777" w:rsidTr="008C76E0">
        <w:tc>
          <w:tcPr>
            <w:tcW w:w="9569" w:type="dxa"/>
            <w:gridSpan w:val="2"/>
            <w:tcBorders>
              <w:top w:val="single" w:sz="4" w:space="0" w:color="auto"/>
            </w:tcBorders>
            <w:shd w:val="clear" w:color="auto" w:fill="FFFFFF"/>
            <w:vAlign w:val="bottom"/>
          </w:tcPr>
          <w:p w14:paraId="4185491A" w14:textId="77777777" w:rsidR="008C76E0" w:rsidRPr="008C76E0" w:rsidRDefault="008C76E0" w:rsidP="008C76E0">
            <w:pPr>
              <w:pStyle w:val="Bodytext180"/>
              <w:shd w:val="clear" w:color="auto" w:fill="auto"/>
              <w:spacing w:before="0" w:after="120" w:line="240" w:lineRule="auto"/>
              <w:ind w:left="142" w:firstLine="567"/>
              <w:rPr>
                <w:rFonts w:ascii="Sylfaen" w:hAnsi="Sylfaen"/>
                <w:b w:val="0"/>
                <w:sz w:val="24"/>
                <w:szCs w:val="24"/>
                <w:lang w:val="hy-AM"/>
              </w:rPr>
            </w:pPr>
            <w:r w:rsidRPr="00BD7577">
              <w:rPr>
                <w:rStyle w:val="Bodytext295pt"/>
                <w:rFonts w:ascii="Sylfaen" w:hAnsi="Sylfaen"/>
                <w:spacing w:val="0"/>
                <w:sz w:val="24"/>
                <w:szCs w:val="24"/>
              </w:rPr>
              <w:lastRenderedPageBreak/>
              <w:t>ԱԴԲ-ի ընդհանուր հատկությունները (մոդուլ S.1.3)</w:t>
            </w:r>
          </w:p>
        </w:tc>
      </w:tr>
      <w:tr w:rsidR="008C76E0" w:rsidRPr="00BD7577" w14:paraId="03E155BB" w14:textId="77777777" w:rsidTr="008C76E0">
        <w:tc>
          <w:tcPr>
            <w:tcW w:w="6531" w:type="dxa"/>
            <w:tcBorders>
              <w:top w:val="single" w:sz="4" w:space="0" w:color="auto"/>
              <w:left w:val="single" w:sz="4" w:space="0" w:color="auto"/>
            </w:tcBorders>
            <w:shd w:val="clear" w:color="auto" w:fill="FFFFFF"/>
            <w:vAlign w:val="bottom"/>
          </w:tcPr>
          <w:p w14:paraId="393B36E9"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Ֆիզիկական բնութագրերը՝</w:t>
            </w:r>
          </w:p>
        </w:tc>
        <w:tc>
          <w:tcPr>
            <w:tcW w:w="3038" w:type="dxa"/>
            <w:tcBorders>
              <w:top w:val="single" w:sz="4" w:space="0" w:color="auto"/>
              <w:left w:val="single" w:sz="4" w:space="0" w:color="auto"/>
              <w:right w:val="single" w:sz="4" w:space="0" w:color="auto"/>
            </w:tcBorders>
            <w:shd w:val="clear" w:color="auto" w:fill="FFFFFF"/>
          </w:tcPr>
          <w:p w14:paraId="2FB668DB" w14:textId="77777777" w:rsidR="008C76E0" w:rsidRPr="00BD7577" w:rsidRDefault="008C76E0" w:rsidP="008C76E0">
            <w:pPr>
              <w:spacing w:after="120" w:line="240" w:lineRule="auto"/>
              <w:rPr>
                <w:rFonts w:ascii="Sylfaen" w:hAnsi="Sylfaen"/>
                <w:sz w:val="24"/>
                <w:szCs w:val="24"/>
              </w:rPr>
            </w:pPr>
          </w:p>
        </w:tc>
      </w:tr>
      <w:tr w:rsidR="008C76E0" w:rsidRPr="00BD7577" w14:paraId="56C21C5F" w14:textId="77777777" w:rsidTr="008C76E0">
        <w:tc>
          <w:tcPr>
            <w:tcW w:w="6531" w:type="dxa"/>
            <w:tcBorders>
              <w:top w:val="single" w:sz="4" w:space="0" w:color="auto"/>
              <w:left w:val="single" w:sz="4" w:space="0" w:color="auto"/>
            </w:tcBorders>
            <w:shd w:val="clear" w:color="auto" w:fill="FFFFFF"/>
          </w:tcPr>
          <w:p w14:paraId="76A294F0"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Լուծելիությունը՝</w:t>
            </w:r>
          </w:p>
        </w:tc>
        <w:tc>
          <w:tcPr>
            <w:tcW w:w="3038" w:type="dxa"/>
            <w:tcBorders>
              <w:top w:val="single" w:sz="4" w:space="0" w:color="auto"/>
              <w:left w:val="single" w:sz="4" w:space="0" w:color="auto"/>
              <w:right w:val="single" w:sz="4" w:space="0" w:color="auto"/>
            </w:tcBorders>
            <w:shd w:val="clear" w:color="auto" w:fill="FFFFFF"/>
          </w:tcPr>
          <w:p w14:paraId="5638A942" w14:textId="77777777" w:rsidR="008C76E0" w:rsidRPr="00BD7577" w:rsidRDefault="008C76E0" w:rsidP="008C76E0">
            <w:pPr>
              <w:spacing w:after="120" w:line="240" w:lineRule="auto"/>
              <w:rPr>
                <w:rFonts w:ascii="Sylfaen" w:hAnsi="Sylfaen"/>
                <w:sz w:val="24"/>
                <w:szCs w:val="24"/>
              </w:rPr>
            </w:pPr>
          </w:p>
        </w:tc>
      </w:tr>
      <w:tr w:rsidR="008C76E0" w:rsidRPr="00BD7577" w14:paraId="15CB4052" w14:textId="77777777" w:rsidTr="008C76E0">
        <w:tc>
          <w:tcPr>
            <w:tcW w:w="6531" w:type="dxa"/>
            <w:tcBorders>
              <w:top w:val="single" w:sz="4" w:space="0" w:color="auto"/>
              <w:left w:val="single" w:sz="4" w:space="0" w:color="auto"/>
            </w:tcBorders>
            <w:shd w:val="clear" w:color="auto" w:fill="FFFFFF"/>
          </w:tcPr>
          <w:p w14:paraId="6FC748B8" w14:textId="77777777" w:rsidR="008C76E0" w:rsidRPr="008C76E0" w:rsidRDefault="008C76E0" w:rsidP="008C76E0">
            <w:pPr>
              <w:pStyle w:val="Bodytext180"/>
              <w:shd w:val="clear" w:color="auto" w:fill="auto"/>
              <w:spacing w:before="0" w:after="120" w:line="240" w:lineRule="auto"/>
              <w:ind w:left="142" w:firstLine="0"/>
              <w:rPr>
                <w:rFonts w:ascii="Sylfaen" w:hAnsi="Sylfaen"/>
                <w:b w:val="0"/>
                <w:sz w:val="24"/>
                <w:szCs w:val="24"/>
                <w:lang w:val="hy-AM"/>
              </w:rPr>
            </w:pPr>
            <w:r w:rsidRPr="00BD7577">
              <w:rPr>
                <w:rStyle w:val="Bodytext295pt"/>
                <w:rFonts w:ascii="Sylfaen" w:hAnsi="Sylfaen"/>
                <w:spacing w:val="0"/>
                <w:sz w:val="24"/>
                <w:szCs w:val="24"/>
              </w:rPr>
              <w:t>рКа արժեքը (եթե հնարավոր է)՝</w:t>
            </w:r>
          </w:p>
        </w:tc>
        <w:tc>
          <w:tcPr>
            <w:tcW w:w="3038" w:type="dxa"/>
            <w:tcBorders>
              <w:top w:val="single" w:sz="4" w:space="0" w:color="auto"/>
              <w:left w:val="single" w:sz="4" w:space="0" w:color="auto"/>
              <w:right w:val="single" w:sz="4" w:space="0" w:color="auto"/>
            </w:tcBorders>
            <w:shd w:val="clear" w:color="auto" w:fill="FFFFFF"/>
          </w:tcPr>
          <w:p w14:paraId="4B3D9D60" w14:textId="77777777" w:rsidR="008C76E0" w:rsidRPr="00BD7577" w:rsidRDefault="008C76E0" w:rsidP="008C76E0">
            <w:pPr>
              <w:spacing w:after="120" w:line="240" w:lineRule="auto"/>
              <w:rPr>
                <w:rFonts w:ascii="Sylfaen" w:hAnsi="Sylfaen"/>
                <w:sz w:val="24"/>
                <w:szCs w:val="24"/>
              </w:rPr>
            </w:pPr>
          </w:p>
        </w:tc>
      </w:tr>
      <w:tr w:rsidR="008C76E0" w:rsidRPr="00BD7577" w14:paraId="2DFB0194" w14:textId="77777777" w:rsidTr="008C76E0">
        <w:tc>
          <w:tcPr>
            <w:tcW w:w="6531" w:type="dxa"/>
            <w:tcBorders>
              <w:top w:val="single" w:sz="4" w:space="0" w:color="auto"/>
              <w:left w:val="single" w:sz="4" w:space="0" w:color="auto"/>
            </w:tcBorders>
            <w:shd w:val="clear" w:color="auto" w:fill="FFFFFF"/>
          </w:tcPr>
          <w:p w14:paraId="316F5877" w14:textId="77777777" w:rsidR="008C76E0" w:rsidRPr="008C76E0" w:rsidRDefault="008C76E0" w:rsidP="008C76E0">
            <w:pPr>
              <w:pStyle w:val="Bodytext180"/>
              <w:shd w:val="clear" w:color="auto" w:fill="auto"/>
              <w:spacing w:before="0" w:after="120" w:line="240" w:lineRule="auto"/>
              <w:ind w:left="142" w:firstLine="0"/>
              <w:rPr>
                <w:rFonts w:ascii="Sylfaen" w:hAnsi="Sylfaen"/>
                <w:b w:val="0"/>
                <w:sz w:val="24"/>
                <w:szCs w:val="24"/>
                <w:lang w:val="hy-AM"/>
              </w:rPr>
            </w:pPr>
            <w:r w:rsidRPr="00BD7577">
              <w:rPr>
                <w:rStyle w:val="Bodytext295pt"/>
                <w:rFonts w:ascii="Sylfaen" w:hAnsi="Sylfaen"/>
                <w:spacing w:val="0"/>
                <w:sz w:val="24"/>
                <w:szCs w:val="24"/>
              </w:rPr>
              <w:t>рН լուծույթի արժեքը (եթե հնարավոր է)՝</w:t>
            </w:r>
          </w:p>
        </w:tc>
        <w:tc>
          <w:tcPr>
            <w:tcW w:w="3038" w:type="dxa"/>
            <w:tcBorders>
              <w:top w:val="single" w:sz="4" w:space="0" w:color="auto"/>
              <w:left w:val="single" w:sz="4" w:space="0" w:color="auto"/>
              <w:right w:val="single" w:sz="4" w:space="0" w:color="auto"/>
            </w:tcBorders>
            <w:shd w:val="clear" w:color="auto" w:fill="FFFFFF"/>
          </w:tcPr>
          <w:p w14:paraId="17A19C6F" w14:textId="77777777" w:rsidR="008C76E0" w:rsidRPr="00BD7577" w:rsidRDefault="008C76E0" w:rsidP="008C76E0">
            <w:pPr>
              <w:spacing w:after="120" w:line="240" w:lineRule="auto"/>
              <w:rPr>
                <w:rFonts w:ascii="Sylfaen" w:hAnsi="Sylfaen"/>
                <w:sz w:val="24"/>
                <w:szCs w:val="24"/>
              </w:rPr>
            </w:pPr>
          </w:p>
        </w:tc>
      </w:tr>
      <w:tr w:rsidR="008C76E0" w:rsidRPr="00BD7577" w14:paraId="638E7BFE" w14:textId="77777777" w:rsidTr="008C76E0">
        <w:tc>
          <w:tcPr>
            <w:tcW w:w="6531" w:type="dxa"/>
            <w:tcBorders>
              <w:top w:val="single" w:sz="4" w:space="0" w:color="auto"/>
              <w:left w:val="single" w:sz="4" w:space="0" w:color="auto"/>
            </w:tcBorders>
            <w:shd w:val="clear" w:color="auto" w:fill="FFFFFF"/>
          </w:tcPr>
          <w:p w14:paraId="11784789" w14:textId="77777777" w:rsidR="008C76E0" w:rsidRPr="008C76E0" w:rsidRDefault="008C76E0" w:rsidP="008C76E0">
            <w:pPr>
              <w:pStyle w:val="Bodytext180"/>
              <w:shd w:val="clear" w:color="auto" w:fill="auto"/>
              <w:spacing w:before="0" w:after="120" w:line="240" w:lineRule="auto"/>
              <w:ind w:left="142" w:firstLine="0"/>
              <w:rPr>
                <w:rFonts w:ascii="Sylfaen" w:hAnsi="Sylfaen"/>
                <w:b w:val="0"/>
                <w:sz w:val="24"/>
                <w:szCs w:val="24"/>
                <w:lang w:val="hy-AM"/>
              </w:rPr>
            </w:pPr>
            <w:r w:rsidRPr="00BD7577">
              <w:rPr>
                <w:rStyle w:val="Bodytext295pt"/>
                <w:rFonts w:ascii="Sylfaen" w:hAnsi="Sylfaen"/>
                <w:spacing w:val="0"/>
                <w:sz w:val="24"/>
                <w:szCs w:val="24"/>
              </w:rPr>
              <w:t>Հալման ջերմաստիճանը (պինդ նյութերի դեպքում)</w:t>
            </w:r>
          </w:p>
        </w:tc>
        <w:tc>
          <w:tcPr>
            <w:tcW w:w="3038" w:type="dxa"/>
            <w:tcBorders>
              <w:top w:val="single" w:sz="4" w:space="0" w:color="auto"/>
              <w:left w:val="single" w:sz="4" w:space="0" w:color="auto"/>
              <w:right w:val="single" w:sz="4" w:space="0" w:color="auto"/>
            </w:tcBorders>
            <w:shd w:val="clear" w:color="auto" w:fill="FFFFFF"/>
          </w:tcPr>
          <w:p w14:paraId="4E5D1229" w14:textId="77777777" w:rsidR="008C76E0" w:rsidRPr="00BD7577" w:rsidRDefault="008C76E0" w:rsidP="008C76E0">
            <w:pPr>
              <w:spacing w:after="120" w:line="240" w:lineRule="auto"/>
              <w:rPr>
                <w:rFonts w:ascii="Sylfaen" w:hAnsi="Sylfaen"/>
                <w:sz w:val="24"/>
                <w:szCs w:val="24"/>
              </w:rPr>
            </w:pPr>
          </w:p>
        </w:tc>
      </w:tr>
      <w:tr w:rsidR="008C76E0" w:rsidRPr="00BD7577" w14:paraId="750F84E0" w14:textId="77777777" w:rsidTr="008C76E0">
        <w:tc>
          <w:tcPr>
            <w:tcW w:w="6531" w:type="dxa"/>
            <w:tcBorders>
              <w:top w:val="single" w:sz="4" w:space="0" w:color="auto"/>
              <w:left w:val="single" w:sz="4" w:space="0" w:color="auto"/>
            </w:tcBorders>
            <w:shd w:val="clear" w:color="auto" w:fill="FFFFFF"/>
          </w:tcPr>
          <w:p w14:paraId="6C37BBF4"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Տեղաբաշխման գործակիցը՝</w:t>
            </w:r>
          </w:p>
        </w:tc>
        <w:tc>
          <w:tcPr>
            <w:tcW w:w="3038" w:type="dxa"/>
            <w:tcBorders>
              <w:top w:val="single" w:sz="4" w:space="0" w:color="auto"/>
              <w:left w:val="single" w:sz="4" w:space="0" w:color="auto"/>
              <w:right w:val="single" w:sz="4" w:space="0" w:color="auto"/>
            </w:tcBorders>
            <w:shd w:val="clear" w:color="auto" w:fill="FFFFFF"/>
          </w:tcPr>
          <w:p w14:paraId="31326312" w14:textId="77777777" w:rsidR="008C76E0" w:rsidRPr="00BD7577" w:rsidRDefault="008C76E0" w:rsidP="008C76E0">
            <w:pPr>
              <w:spacing w:after="120" w:line="240" w:lineRule="auto"/>
              <w:rPr>
                <w:rFonts w:ascii="Sylfaen" w:hAnsi="Sylfaen"/>
                <w:sz w:val="24"/>
                <w:szCs w:val="24"/>
              </w:rPr>
            </w:pPr>
          </w:p>
        </w:tc>
      </w:tr>
      <w:tr w:rsidR="008C76E0" w:rsidRPr="00BD7577" w14:paraId="550D985E" w14:textId="77777777" w:rsidTr="008C76E0">
        <w:tc>
          <w:tcPr>
            <w:tcW w:w="6531" w:type="dxa"/>
            <w:tcBorders>
              <w:top w:val="single" w:sz="4" w:space="0" w:color="auto"/>
              <w:left w:val="single" w:sz="4" w:space="0" w:color="auto"/>
            </w:tcBorders>
            <w:shd w:val="clear" w:color="auto" w:fill="FFFFFF"/>
          </w:tcPr>
          <w:p w14:paraId="6F696F52"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Հիգրոսկոպիկությունը՝</w:t>
            </w:r>
          </w:p>
        </w:tc>
        <w:tc>
          <w:tcPr>
            <w:tcW w:w="3038" w:type="dxa"/>
            <w:tcBorders>
              <w:top w:val="single" w:sz="4" w:space="0" w:color="auto"/>
              <w:left w:val="single" w:sz="4" w:space="0" w:color="auto"/>
              <w:right w:val="single" w:sz="4" w:space="0" w:color="auto"/>
            </w:tcBorders>
            <w:shd w:val="clear" w:color="auto" w:fill="FFFFFF"/>
          </w:tcPr>
          <w:p w14:paraId="3AE096FF" w14:textId="77777777" w:rsidR="008C76E0" w:rsidRPr="00BD7577" w:rsidRDefault="008C76E0" w:rsidP="008C76E0">
            <w:pPr>
              <w:spacing w:after="120" w:line="240" w:lineRule="auto"/>
              <w:rPr>
                <w:rFonts w:ascii="Sylfaen" w:hAnsi="Sylfaen"/>
                <w:sz w:val="24"/>
                <w:szCs w:val="24"/>
              </w:rPr>
            </w:pPr>
          </w:p>
        </w:tc>
      </w:tr>
      <w:tr w:rsidR="008C76E0" w:rsidRPr="00BD7577" w14:paraId="70A7AEBF" w14:textId="77777777" w:rsidTr="008C76E0">
        <w:tc>
          <w:tcPr>
            <w:tcW w:w="6531" w:type="dxa"/>
            <w:tcBorders>
              <w:top w:val="single" w:sz="4" w:space="0" w:color="auto"/>
              <w:left w:val="single" w:sz="4" w:space="0" w:color="auto"/>
            </w:tcBorders>
            <w:shd w:val="clear" w:color="auto" w:fill="FFFFFF"/>
          </w:tcPr>
          <w:p w14:paraId="059B1EED"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Տարածական քիմիան՝</w:t>
            </w:r>
          </w:p>
        </w:tc>
        <w:tc>
          <w:tcPr>
            <w:tcW w:w="3038" w:type="dxa"/>
            <w:tcBorders>
              <w:top w:val="single" w:sz="4" w:space="0" w:color="auto"/>
              <w:left w:val="single" w:sz="4" w:space="0" w:color="auto"/>
              <w:right w:val="single" w:sz="4" w:space="0" w:color="auto"/>
            </w:tcBorders>
            <w:shd w:val="clear" w:color="auto" w:fill="FFFFFF"/>
          </w:tcPr>
          <w:p w14:paraId="2AFE163B" w14:textId="77777777" w:rsidR="008C76E0" w:rsidRPr="00BD7577" w:rsidRDefault="008C76E0" w:rsidP="008C76E0">
            <w:pPr>
              <w:spacing w:after="120" w:line="240" w:lineRule="auto"/>
              <w:rPr>
                <w:rFonts w:ascii="Sylfaen" w:hAnsi="Sylfaen"/>
                <w:sz w:val="24"/>
                <w:szCs w:val="24"/>
              </w:rPr>
            </w:pPr>
          </w:p>
        </w:tc>
      </w:tr>
      <w:tr w:rsidR="008C76E0" w:rsidRPr="00BD7577" w14:paraId="3201067F" w14:textId="77777777" w:rsidTr="008C76E0">
        <w:tc>
          <w:tcPr>
            <w:tcW w:w="6531" w:type="dxa"/>
            <w:tcBorders>
              <w:top w:val="single" w:sz="4" w:space="0" w:color="auto"/>
              <w:left w:val="single" w:sz="4" w:space="0" w:color="auto"/>
            </w:tcBorders>
            <w:shd w:val="clear" w:color="auto" w:fill="FFFFFF"/>
          </w:tcPr>
          <w:p w14:paraId="6BE7C301" w14:textId="77777777" w:rsidR="008C76E0" w:rsidRPr="00BD7577" w:rsidRDefault="008C76E0" w:rsidP="008C76E0">
            <w:pPr>
              <w:pStyle w:val="Bodytext180"/>
              <w:shd w:val="clear" w:color="auto" w:fill="auto"/>
              <w:spacing w:before="0" w:after="120" w:line="240" w:lineRule="auto"/>
              <w:ind w:left="142" w:firstLine="0"/>
              <w:rPr>
                <w:rFonts w:ascii="Sylfaen" w:hAnsi="Sylfaen"/>
                <w:b w:val="0"/>
                <w:sz w:val="24"/>
                <w:szCs w:val="24"/>
              </w:rPr>
            </w:pPr>
            <w:r w:rsidRPr="00BD7577">
              <w:rPr>
                <w:rStyle w:val="Bodytext295pt"/>
                <w:rFonts w:ascii="Sylfaen" w:hAnsi="Sylfaen"/>
                <w:spacing w:val="0"/>
                <w:sz w:val="24"/>
                <w:szCs w:val="24"/>
              </w:rPr>
              <w:t>Պոլիմորֆիզմը՝</w:t>
            </w:r>
          </w:p>
        </w:tc>
        <w:tc>
          <w:tcPr>
            <w:tcW w:w="3038" w:type="dxa"/>
            <w:tcBorders>
              <w:top w:val="single" w:sz="4" w:space="0" w:color="auto"/>
              <w:left w:val="single" w:sz="4" w:space="0" w:color="auto"/>
              <w:right w:val="single" w:sz="4" w:space="0" w:color="auto"/>
            </w:tcBorders>
            <w:shd w:val="clear" w:color="auto" w:fill="FFFFFF"/>
          </w:tcPr>
          <w:p w14:paraId="3530F3AD" w14:textId="77777777" w:rsidR="008C76E0" w:rsidRPr="00BD7577" w:rsidRDefault="008C76E0" w:rsidP="008C76E0">
            <w:pPr>
              <w:spacing w:after="120" w:line="240" w:lineRule="auto"/>
              <w:rPr>
                <w:rFonts w:ascii="Sylfaen" w:hAnsi="Sylfaen"/>
                <w:sz w:val="24"/>
                <w:szCs w:val="24"/>
              </w:rPr>
            </w:pPr>
          </w:p>
        </w:tc>
      </w:tr>
      <w:tr w:rsidR="008C76E0" w:rsidRPr="00BD7577" w14:paraId="6E55ECA5" w14:textId="77777777" w:rsidTr="008C76E0">
        <w:tc>
          <w:tcPr>
            <w:tcW w:w="6531" w:type="dxa"/>
            <w:tcBorders>
              <w:top w:val="single" w:sz="4" w:space="0" w:color="auto"/>
              <w:left w:val="single" w:sz="4" w:space="0" w:color="auto"/>
              <w:bottom w:val="single" w:sz="4" w:space="0" w:color="auto"/>
            </w:tcBorders>
            <w:shd w:val="clear" w:color="auto" w:fill="FFFFFF"/>
          </w:tcPr>
          <w:p w14:paraId="6C62F706" w14:textId="77777777" w:rsidR="008C76E0" w:rsidRPr="008C76E0" w:rsidRDefault="008C76E0" w:rsidP="008C76E0">
            <w:pPr>
              <w:pStyle w:val="Bodytext180"/>
              <w:shd w:val="clear" w:color="auto" w:fill="auto"/>
              <w:spacing w:before="0" w:after="120" w:line="288" w:lineRule="auto"/>
              <w:ind w:left="142" w:firstLine="0"/>
              <w:rPr>
                <w:rFonts w:ascii="Sylfaen" w:hAnsi="Sylfaen"/>
                <w:b w:val="0"/>
                <w:sz w:val="24"/>
                <w:szCs w:val="24"/>
                <w:lang w:val="hy-AM"/>
              </w:rPr>
            </w:pPr>
            <w:r w:rsidRPr="00BD7577">
              <w:rPr>
                <w:rStyle w:val="Bodytext295pt"/>
                <w:rFonts w:ascii="Sylfaen" w:hAnsi="Sylfaen"/>
                <w:spacing w:val="0"/>
                <w:sz w:val="24"/>
                <w:szCs w:val="24"/>
              </w:rPr>
              <w:t>Բյուրեղայնության աստիճանը (պինդ նյութերի դեպքում)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14:paraId="2BAB868F" w14:textId="77777777" w:rsidR="008C76E0" w:rsidRPr="00BD7577" w:rsidRDefault="008C76E0" w:rsidP="008C76E0">
            <w:pPr>
              <w:spacing w:after="120" w:line="288" w:lineRule="auto"/>
              <w:rPr>
                <w:rFonts w:ascii="Sylfaen" w:hAnsi="Sylfaen"/>
                <w:sz w:val="24"/>
                <w:szCs w:val="24"/>
              </w:rPr>
            </w:pPr>
          </w:p>
        </w:tc>
      </w:tr>
    </w:tbl>
    <w:p w14:paraId="716467D4" w14:textId="77777777" w:rsidR="008C76E0" w:rsidRPr="00BD7577" w:rsidRDefault="008C76E0" w:rsidP="008C76E0">
      <w:pPr>
        <w:rPr>
          <w:rFonts w:ascii="Sylfaen" w:hAnsi="Sylfaen"/>
          <w:sz w:val="24"/>
          <w:szCs w:val="24"/>
        </w:rPr>
      </w:pPr>
    </w:p>
    <w:tbl>
      <w:tblPr>
        <w:tblOverlap w:val="never"/>
        <w:tblW w:w="9621" w:type="dxa"/>
        <w:jc w:val="center"/>
        <w:tblLayout w:type="fixed"/>
        <w:tblCellMar>
          <w:left w:w="10" w:type="dxa"/>
          <w:right w:w="10" w:type="dxa"/>
        </w:tblCellMar>
        <w:tblLook w:val="04A0" w:firstRow="1" w:lastRow="0" w:firstColumn="1" w:lastColumn="0" w:noHBand="0" w:noVBand="1"/>
      </w:tblPr>
      <w:tblGrid>
        <w:gridCol w:w="9621"/>
      </w:tblGrid>
      <w:tr w:rsidR="008C76E0" w:rsidRPr="00BD7577" w14:paraId="21009FE3" w14:textId="77777777" w:rsidTr="008C76E0">
        <w:trPr>
          <w:jc w:val="center"/>
        </w:trPr>
        <w:tc>
          <w:tcPr>
            <w:tcW w:w="9621" w:type="dxa"/>
            <w:tcBorders>
              <w:top w:val="single" w:sz="4" w:space="0" w:color="auto"/>
              <w:left w:val="single" w:sz="4" w:space="0" w:color="auto"/>
              <w:right w:val="single" w:sz="4" w:space="0" w:color="auto"/>
            </w:tcBorders>
            <w:shd w:val="clear" w:color="auto" w:fill="FFFFFF"/>
            <w:vAlign w:val="bottom"/>
          </w:tcPr>
          <w:p w14:paraId="33F033D1" w14:textId="77777777" w:rsidR="008C76E0" w:rsidRPr="00BD7577" w:rsidRDefault="008C76E0" w:rsidP="008C76E0">
            <w:pPr>
              <w:pStyle w:val="Bodytext180"/>
              <w:shd w:val="clear" w:color="auto" w:fill="auto"/>
              <w:spacing w:before="0" w:after="160" w:line="336" w:lineRule="auto"/>
              <w:ind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6A476051" w14:textId="77777777" w:rsidTr="008C76E0">
        <w:trPr>
          <w:jc w:val="center"/>
        </w:trPr>
        <w:tc>
          <w:tcPr>
            <w:tcW w:w="9621" w:type="dxa"/>
            <w:tcBorders>
              <w:top w:val="single" w:sz="4" w:space="0" w:color="auto"/>
              <w:left w:val="single" w:sz="4" w:space="0" w:color="auto"/>
              <w:right w:val="single" w:sz="4" w:space="0" w:color="auto"/>
            </w:tcBorders>
            <w:shd w:val="clear" w:color="auto" w:fill="FFFFFF"/>
          </w:tcPr>
          <w:p w14:paraId="30027B77" w14:textId="77777777" w:rsidR="008C76E0" w:rsidRPr="00BD7577" w:rsidRDefault="008C76E0" w:rsidP="008C76E0">
            <w:pPr>
              <w:spacing w:line="336" w:lineRule="auto"/>
              <w:ind w:right="-1"/>
              <w:jc w:val="both"/>
              <w:rPr>
                <w:rFonts w:ascii="Sylfaen" w:hAnsi="Sylfaen"/>
                <w:sz w:val="24"/>
                <w:szCs w:val="24"/>
                <w:highlight w:val="yellow"/>
              </w:rPr>
            </w:pPr>
          </w:p>
        </w:tc>
      </w:tr>
      <w:tr w:rsidR="008C76E0" w:rsidRPr="00BD7577" w14:paraId="6DFF1BB9" w14:textId="77777777" w:rsidTr="008C76E0">
        <w:trPr>
          <w:jc w:val="center"/>
        </w:trPr>
        <w:tc>
          <w:tcPr>
            <w:tcW w:w="9621" w:type="dxa"/>
            <w:tcBorders>
              <w:top w:val="single" w:sz="4" w:space="0" w:color="auto"/>
              <w:left w:val="single" w:sz="4" w:space="0" w:color="auto"/>
              <w:bottom w:val="single" w:sz="4" w:space="0" w:color="auto"/>
              <w:right w:val="single" w:sz="4" w:space="0" w:color="auto"/>
            </w:tcBorders>
            <w:shd w:val="clear" w:color="auto" w:fill="FFFFFF"/>
          </w:tcPr>
          <w:p w14:paraId="4F46E655" w14:textId="77777777" w:rsidR="008C76E0" w:rsidRPr="00BD7577" w:rsidRDefault="008C76E0" w:rsidP="008C76E0">
            <w:pPr>
              <w:spacing w:line="336" w:lineRule="auto"/>
              <w:ind w:right="-1"/>
              <w:jc w:val="both"/>
              <w:rPr>
                <w:rFonts w:ascii="Sylfaen" w:hAnsi="Sylfaen"/>
                <w:sz w:val="24"/>
                <w:szCs w:val="24"/>
              </w:rPr>
            </w:pPr>
          </w:p>
        </w:tc>
      </w:tr>
    </w:tbl>
    <w:p w14:paraId="6ED78808" w14:textId="77777777" w:rsidR="008C76E0" w:rsidRPr="00BD7577" w:rsidRDefault="008C76E0" w:rsidP="008C76E0">
      <w:pPr>
        <w:widowControl/>
        <w:rPr>
          <w:rFonts w:ascii="Sylfaen" w:hAnsi="Sylfaen"/>
          <w:sz w:val="24"/>
          <w:szCs w:val="24"/>
          <w:lang w:val="en-US"/>
        </w:rPr>
      </w:pPr>
    </w:p>
    <w:p w14:paraId="5D8A969D" w14:textId="77777777" w:rsidR="008C76E0" w:rsidRPr="00BD7577" w:rsidRDefault="008C76E0" w:rsidP="00E93A30">
      <w:pPr>
        <w:spacing w:after="160" w:line="360" w:lineRule="auto"/>
        <w:ind w:firstLine="567"/>
        <w:jc w:val="center"/>
        <w:rPr>
          <w:rFonts w:ascii="Sylfaen" w:hAnsi="Sylfaen"/>
          <w:sz w:val="24"/>
          <w:szCs w:val="24"/>
        </w:rPr>
      </w:pPr>
      <w:r w:rsidRPr="00BD7577">
        <w:rPr>
          <w:rFonts w:ascii="Sylfaen" w:hAnsi="Sylfaen"/>
          <w:sz w:val="24"/>
          <w:szCs w:val="24"/>
        </w:rPr>
        <w:t>3.2. ԱԴԲ-ի արտադրության գործընթացը (մոդուլ 3.2.S.2)</w:t>
      </w:r>
    </w:p>
    <w:p w14:paraId="28C0DAAE"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3.2.1.</w:t>
      </w:r>
      <w:r w:rsidRPr="00BD7577">
        <w:rPr>
          <w:rFonts w:ascii="Sylfaen" w:hAnsi="Sylfaen"/>
          <w:sz w:val="24"/>
          <w:szCs w:val="24"/>
        </w:rPr>
        <w:tab/>
        <w:t>Արտադրողները (բաժին S.2.1)։</w:t>
      </w:r>
    </w:p>
    <w:p w14:paraId="0992104B"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4387C0DF"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9FF0A9F"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84746E8"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3.2.2.</w:t>
      </w:r>
      <w:r w:rsidRPr="00BD7577">
        <w:rPr>
          <w:rFonts w:ascii="Sylfaen" w:hAnsi="Sylfaen"/>
          <w:sz w:val="24"/>
          <w:szCs w:val="24"/>
        </w:rPr>
        <w:tab/>
        <w:t>Համապատասխանությունը Եվրասիական տնտեսական հանձնաժողովի (այսուհետ՝ Հանձնաժողով) կողմից հաստատված՝ Եվրասիական տնտեսական միության պատշաճ արտադրական գործունեության կանոններին (GMP)։</w:t>
      </w:r>
    </w:p>
    <w:p w14:paraId="4178279F" w14:textId="77777777" w:rsidR="008C76E0" w:rsidRPr="00BD7577" w:rsidRDefault="008C76E0" w:rsidP="008C76E0">
      <w:pPr>
        <w:spacing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994C379"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1B1BC217"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2F1AAA0"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3.2.3.</w:t>
      </w:r>
      <w:r w:rsidRPr="00BD7577">
        <w:rPr>
          <w:rFonts w:ascii="Sylfaen" w:hAnsi="Sylfaen"/>
          <w:sz w:val="24"/>
          <w:szCs w:val="24"/>
        </w:rPr>
        <w:tab/>
        <w:t xml:space="preserve">Արտադրական գործընթացի </w:t>
      </w:r>
      <w:r w:rsidR="00C54D75">
        <w:rPr>
          <w:rFonts w:ascii="Sylfaen" w:hAnsi="Sylfaen"/>
          <w:sz w:val="24"/>
          <w:szCs w:val="24"/>
        </w:rPr>
        <w:t>և</w:t>
      </w:r>
      <w:r w:rsidRPr="00BD7577">
        <w:rPr>
          <w:rFonts w:ascii="Sylfaen" w:hAnsi="Sylfaen"/>
          <w:sz w:val="24"/>
          <w:szCs w:val="24"/>
        </w:rPr>
        <w:t xml:space="preserve"> դրա հսկողության նկարագրությունը (բաժին S.2.2)։</w:t>
      </w:r>
    </w:p>
    <w:p w14:paraId="5C2B6D6D"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911DC5F"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D3FDFF6"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67FA3BA"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3.2.4.</w:t>
      </w:r>
      <w:r w:rsidRPr="00BD7577">
        <w:rPr>
          <w:rFonts w:ascii="Sylfaen" w:hAnsi="Sylfaen"/>
          <w:sz w:val="24"/>
          <w:szCs w:val="24"/>
        </w:rPr>
        <w:tab/>
        <w:t>Ելանյութերի որակի հսկողությունը (բաժին S.2.3)։</w:t>
      </w:r>
    </w:p>
    <w:p w14:paraId="49B8FBB9"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89DCA49"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86649CE"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72A4445"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3.2.5.</w:t>
      </w:r>
      <w:r w:rsidRPr="00BD7577">
        <w:rPr>
          <w:rFonts w:ascii="Sylfaen" w:hAnsi="Sylfaen"/>
          <w:sz w:val="24"/>
          <w:szCs w:val="24"/>
        </w:rPr>
        <w:tab/>
        <w:t xml:space="preserve">Կրիտիկական փուլերի </w:t>
      </w:r>
      <w:r w:rsidR="00C54D75">
        <w:rPr>
          <w:rFonts w:ascii="Sylfaen" w:hAnsi="Sylfaen"/>
          <w:sz w:val="24"/>
          <w:szCs w:val="24"/>
        </w:rPr>
        <w:t>և</w:t>
      </w:r>
      <w:r w:rsidRPr="00BD7577">
        <w:rPr>
          <w:rFonts w:ascii="Sylfaen" w:hAnsi="Sylfaen"/>
          <w:sz w:val="24"/>
          <w:szCs w:val="24"/>
        </w:rPr>
        <w:t xml:space="preserve"> միջանկյալ արտադրանքի հսկողությունը (բաժին S.2.4)։</w:t>
      </w:r>
    </w:p>
    <w:p w14:paraId="3B89DC24"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2CF1916"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E0229D2"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40B4C68"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3.2.6.</w:t>
      </w:r>
      <w:r w:rsidRPr="00BD7577">
        <w:rPr>
          <w:rFonts w:ascii="Sylfaen" w:hAnsi="Sylfaen"/>
          <w:sz w:val="24"/>
          <w:szCs w:val="24"/>
        </w:rPr>
        <w:tab/>
        <w:t xml:space="preserve">Արտադրական գործընթացի վալիդացումը </w:t>
      </w:r>
      <w:r w:rsidR="00C54D75">
        <w:rPr>
          <w:rFonts w:ascii="Sylfaen" w:hAnsi="Sylfaen"/>
          <w:sz w:val="24"/>
          <w:szCs w:val="24"/>
        </w:rPr>
        <w:t>և</w:t>
      </w:r>
      <w:r w:rsidRPr="00BD7577">
        <w:rPr>
          <w:rFonts w:ascii="Sylfaen" w:hAnsi="Sylfaen"/>
          <w:sz w:val="24"/>
          <w:szCs w:val="24"/>
        </w:rPr>
        <w:t xml:space="preserve"> (կամ) գնահատումը (բաժին S.2.5)։</w:t>
      </w:r>
    </w:p>
    <w:p w14:paraId="007F19F0"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712ABBC"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25310D6"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7B98FF0" w14:textId="77777777" w:rsidR="008C76E0" w:rsidRPr="00BD7577" w:rsidRDefault="008C76E0" w:rsidP="00E93A30">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3.2.7.</w:t>
      </w:r>
      <w:r w:rsidRPr="00BD7577">
        <w:rPr>
          <w:rFonts w:ascii="Sylfaen" w:hAnsi="Sylfaen"/>
          <w:sz w:val="24"/>
          <w:szCs w:val="24"/>
        </w:rPr>
        <w:tab/>
        <w:t>Արտադրական գործընթացի մշակումը (բաժին S.2.6)։</w:t>
      </w:r>
    </w:p>
    <w:p w14:paraId="44D3B022"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818E48E"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3E04CF70"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325" w:type="dxa"/>
        <w:jc w:val="center"/>
        <w:tblLayout w:type="fixed"/>
        <w:tblCellMar>
          <w:left w:w="10" w:type="dxa"/>
          <w:right w:w="10" w:type="dxa"/>
        </w:tblCellMar>
        <w:tblLook w:val="04A0" w:firstRow="1" w:lastRow="0" w:firstColumn="1" w:lastColumn="0" w:noHBand="0" w:noVBand="1"/>
      </w:tblPr>
      <w:tblGrid>
        <w:gridCol w:w="9325"/>
      </w:tblGrid>
      <w:tr w:rsidR="008C76E0" w:rsidRPr="00BD7577" w14:paraId="08CA01E5" w14:textId="77777777" w:rsidTr="008C76E0">
        <w:trPr>
          <w:jc w:val="center"/>
        </w:trPr>
        <w:tc>
          <w:tcPr>
            <w:tcW w:w="9325" w:type="dxa"/>
            <w:tcBorders>
              <w:top w:val="single" w:sz="4" w:space="0" w:color="auto"/>
              <w:left w:val="single" w:sz="4" w:space="0" w:color="auto"/>
              <w:right w:val="single" w:sz="4" w:space="0" w:color="auto"/>
            </w:tcBorders>
            <w:shd w:val="clear" w:color="auto" w:fill="FFFFFF"/>
            <w:vAlign w:val="bottom"/>
          </w:tcPr>
          <w:p w14:paraId="5996C9D6" w14:textId="77777777" w:rsidR="008C76E0" w:rsidRPr="00BD7577" w:rsidRDefault="008C76E0" w:rsidP="00E93A30">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3CB4FF9B" w14:textId="77777777" w:rsidTr="008C76E0">
        <w:trPr>
          <w:jc w:val="center"/>
        </w:trPr>
        <w:tc>
          <w:tcPr>
            <w:tcW w:w="9325" w:type="dxa"/>
            <w:tcBorders>
              <w:top w:val="single" w:sz="4" w:space="0" w:color="auto"/>
              <w:left w:val="single" w:sz="4" w:space="0" w:color="auto"/>
              <w:right w:val="single" w:sz="4" w:space="0" w:color="auto"/>
            </w:tcBorders>
            <w:shd w:val="clear" w:color="auto" w:fill="FFFFFF"/>
          </w:tcPr>
          <w:p w14:paraId="48B757ED" w14:textId="77777777" w:rsidR="008C76E0" w:rsidRPr="00BD7577" w:rsidRDefault="008C76E0" w:rsidP="00E93A30">
            <w:pPr>
              <w:spacing w:after="160" w:line="360" w:lineRule="auto"/>
              <w:ind w:right="-1"/>
              <w:jc w:val="both"/>
              <w:rPr>
                <w:rFonts w:ascii="Sylfaen" w:hAnsi="Sylfaen"/>
                <w:sz w:val="24"/>
                <w:szCs w:val="24"/>
                <w:highlight w:val="yellow"/>
              </w:rPr>
            </w:pPr>
          </w:p>
        </w:tc>
      </w:tr>
      <w:tr w:rsidR="008C76E0" w:rsidRPr="00BD7577" w14:paraId="5D400194" w14:textId="77777777" w:rsidTr="008C76E0">
        <w:trPr>
          <w:jc w:val="center"/>
        </w:trPr>
        <w:tc>
          <w:tcPr>
            <w:tcW w:w="9325" w:type="dxa"/>
            <w:tcBorders>
              <w:top w:val="single" w:sz="4" w:space="0" w:color="auto"/>
              <w:left w:val="single" w:sz="4" w:space="0" w:color="auto"/>
              <w:bottom w:val="single" w:sz="4" w:space="0" w:color="auto"/>
              <w:right w:val="single" w:sz="4" w:space="0" w:color="auto"/>
            </w:tcBorders>
            <w:shd w:val="clear" w:color="auto" w:fill="FFFFFF"/>
          </w:tcPr>
          <w:p w14:paraId="06BEB55A" w14:textId="77777777" w:rsidR="008C76E0" w:rsidRPr="00BD7577" w:rsidRDefault="008C76E0" w:rsidP="00E93A30">
            <w:pPr>
              <w:spacing w:after="160" w:line="360" w:lineRule="auto"/>
              <w:ind w:right="-1"/>
              <w:jc w:val="both"/>
              <w:rPr>
                <w:rFonts w:ascii="Sylfaen" w:hAnsi="Sylfaen"/>
                <w:sz w:val="24"/>
                <w:szCs w:val="24"/>
              </w:rPr>
            </w:pPr>
          </w:p>
        </w:tc>
      </w:tr>
    </w:tbl>
    <w:p w14:paraId="7B897A55" w14:textId="77777777" w:rsidR="008C76E0" w:rsidRPr="00BD7577" w:rsidRDefault="008C76E0" w:rsidP="00E93A30">
      <w:pPr>
        <w:tabs>
          <w:tab w:val="left" w:pos="1134"/>
        </w:tabs>
        <w:spacing w:after="160" w:line="360" w:lineRule="auto"/>
        <w:ind w:firstLine="567"/>
        <w:rPr>
          <w:rFonts w:ascii="Sylfaen" w:hAnsi="Sylfaen"/>
          <w:sz w:val="24"/>
          <w:szCs w:val="24"/>
        </w:rPr>
      </w:pPr>
      <w:r w:rsidRPr="00BD7577">
        <w:rPr>
          <w:rFonts w:ascii="Sylfaen" w:hAnsi="Sylfaen"/>
          <w:sz w:val="24"/>
          <w:szCs w:val="24"/>
        </w:rPr>
        <w:t>3.3.</w:t>
      </w:r>
      <w:r w:rsidRPr="009A5C8C">
        <w:rPr>
          <w:rFonts w:ascii="Sylfaen" w:hAnsi="Sylfaen"/>
          <w:sz w:val="24"/>
          <w:szCs w:val="24"/>
        </w:rPr>
        <w:tab/>
      </w:r>
      <w:r w:rsidRPr="00BD7577">
        <w:rPr>
          <w:rFonts w:ascii="Sylfaen" w:hAnsi="Sylfaen"/>
          <w:sz w:val="24"/>
          <w:szCs w:val="24"/>
        </w:rPr>
        <w:t>ԱԴԲ-ի բնութագրերի նկարագրությունը (մոդուլ 3.2.S.3)</w:t>
      </w:r>
    </w:p>
    <w:p w14:paraId="6426FA79" w14:textId="77777777" w:rsidR="008C76E0" w:rsidRPr="008C76E0" w:rsidRDefault="008C76E0" w:rsidP="00E93A30">
      <w:pPr>
        <w:pStyle w:val="Bodytext180"/>
        <w:shd w:val="clear" w:color="auto" w:fill="auto"/>
        <w:tabs>
          <w:tab w:val="left" w:pos="1701"/>
          <w:tab w:val="right" w:pos="9071"/>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3.3.1.</w:t>
      </w:r>
      <w:r w:rsidRPr="008C76E0">
        <w:rPr>
          <w:rFonts w:ascii="Sylfaen" w:hAnsi="Sylfaen"/>
          <w:b w:val="0"/>
          <w:sz w:val="24"/>
          <w:szCs w:val="24"/>
          <w:lang w:val="hy-AM"/>
        </w:rPr>
        <w:tab/>
        <w:t xml:space="preserve">Կառուցվածքի </w:t>
      </w:r>
      <w:r w:rsidR="00C54D75">
        <w:rPr>
          <w:rFonts w:ascii="Sylfaen" w:hAnsi="Sylfaen"/>
          <w:b w:val="0"/>
          <w:sz w:val="24"/>
          <w:szCs w:val="24"/>
          <w:lang w:val="hy-AM"/>
        </w:rPr>
        <w:t>և</w:t>
      </w:r>
      <w:r w:rsidRPr="008C76E0">
        <w:rPr>
          <w:rFonts w:ascii="Sylfaen" w:hAnsi="Sylfaen"/>
          <w:b w:val="0"/>
          <w:sz w:val="24"/>
          <w:szCs w:val="24"/>
          <w:lang w:val="hy-AM"/>
        </w:rPr>
        <w:t xml:space="preserve"> այլ բնութագրերի հաստատումը (բաժին S.3.1)։</w:t>
      </w:r>
    </w:p>
    <w:p w14:paraId="4663EDDE"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2A9256F"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E0DC740" w14:textId="77777777" w:rsidR="008C76E0" w:rsidRPr="00BD7577" w:rsidRDefault="008C76E0" w:rsidP="00E93A30">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1A1B75F" w14:textId="77777777" w:rsidR="008C76E0" w:rsidRPr="00BD7577" w:rsidRDefault="008C76E0" w:rsidP="00E93A30">
      <w:pPr>
        <w:pStyle w:val="Headerorfooter0"/>
        <w:shd w:val="clear" w:color="auto" w:fill="auto"/>
        <w:tabs>
          <w:tab w:val="left" w:pos="1701"/>
        </w:tabs>
        <w:spacing w:after="160" w:line="360" w:lineRule="auto"/>
        <w:ind w:firstLine="567"/>
        <w:jc w:val="both"/>
        <w:rPr>
          <w:rFonts w:ascii="Sylfaen" w:hAnsi="Sylfaen"/>
          <w:sz w:val="24"/>
          <w:szCs w:val="24"/>
        </w:rPr>
      </w:pPr>
      <w:r w:rsidRPr="00BD7577">
        <w:rPr>
          <w:rFonts w:ascii="Sylfaen" w:hAnsi="Sylfaen"/>
          <w:sz w:val="24"/>
          <w:szCs w:val="24"/>
        </w:rPr>
        <w:t>3.3.2.</w:t>
      </w:r>
      <w:r w:rsidRPr="00BD7577">
        <w:rPr>
          <w:rFonts w:ascii="Sylfaen" w:hAnsi="Sylfaen"/>
          <w:sz w:val="24"/>
          <w:szCs w:val="24"/>
        </w:rPr>
        <w:tab/>
        <w:t>Խառնուկները (բաժին S.3.2)։</w:t>
      </w:r>
    </w:p>
    <w:p w14:paraId="14048F2E" w14:textId="77777777" w:rsidR="008C76E0" w:rsidRPr="00BD7577" w:rsidRDefault="008C76E0" w:rsidP="00E93A30">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DF59F1F" w14:textId="77777777" w:rsidR="008C76E0" w:rsidRPr="00BD7577" w:rsidRDefault="008C76E0" w:rsidP="00E93A30">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2E61FB6" w14:textId="77777777" w:rsidR="008C76E0" w:rsidRPr="00BD7577" w:rsidRDefault="008C76E0" w:rsidP="00E93A30">
      <w:pPr>
        <w:spacing w:after="160" w:line="360" w:lineRule="auto"/>
        <w:jc w:val="both"/>
        <w:rPr>
          <w:rStyle w:val="Bodytext295pt"/>
          <w:rFonts w:ascii="Sylfaen" w:eastAsia="MS Mincho" w:hAnsi="Sylfaen"/>
          <w:spacing w:val="0"/>
          <w:sz w:val="24"/>
          <w:szCs w:val="24"/>
          <w:lang w:val="en-US"/>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325" w:type="dxa"/>
        <w:jc w:val="center"/>
        <w:tblLayout w:type="fixed"/>
        <w:tblCellMar>
          <w:left w:w="10" w:type="dxa"/>
          <w:right w:w="10" w:type="dxa"/>
        </w:tblCellMar>
        <w:tblLook w:val="04A0" w:firstRow="1" w:lastRow="0" w:firstColumn="1" w:lastColumn="0" w:noHBand="0" w:noVBand="1"/>
      </w:tblPr>
      <w:tblGrid>
        <w:gridCol w:w="9325"/>
      </w:tblGrid>
      <w:tr w:rsidR="008C76E0" w:rsidRPr="00BD7577" w14:paraId="5691C979" w14:textId="77777777" w:rsidTr="008C76E0">
        <w:trPr>
          <w:jc w:val="center"/>
        </w:trPr>
        <w:tc>
          <w:tcPr>
            <w:tcW w:w="9325" w:type="dxa"/>
            <w:tcBorders>
              <w:top w:val="single" w:sz="4" w:space="0" w:color="auto"/>
              <w:left w:val="single" w:sz="4" w:space="0" w:color="auto"/>
              <w:right w:val="single" w:sz="4" w:space="0" w:color="auto"/>
            </w:tcBorders>
            <w:shd w:val="clear" w:color="auto" w:fill="FFFFFF"/>
            <w:vAlign w:val="bottom"/>
          </w:tcPr>
          <w:p w14:paraId="715B4C7A" w14:textId="77777777" w:rsidR="008C76E0" w:rsidRPr="00BD7577" w:rsidRDefault="008C76E0" w:rsidP="00E93A30">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20CC554D" w14:textId="77777777" w:rsidTr="008C76E0">
        <w:trPr>
          <w:jc w:val="center"/>
        </w:trPr>
        <w:tc>
          <w:tcPr>
            <w:tcW w:w="9325" w:type="dxa"/>
            <w:tcBorders>
              <w:top w:val="single" w:sz="4" w:space="0" w:color="auto"/>
              <w:left w:val="single" w:sz="4" w:space="0" w:color="auto"/>
              <w:right w:val="single" w:sz="4" w:space="0" w:color="auto"/>
            </w:tcBorders>
            <w:shd w:val="clear" w:color="auto" w:fill="FFFFFF"/>
          </w:tcPr>
          <w:p w14:paraId="31EB0930" w14:textId="77777777" w:rsidR="008C76E0" w:rsidRPr="00BD7577" w:rsidRDefault="008C76E0" w:rsidP="00E93A30">
            <w:pPr>
              <w:spacing w:after="160" w:line="360" w:lineRule="auto"/>
              <w:ind w:right="-1"/>
              <w:jc w:val="both"/>
              <w:rPr>
                <w:rFonts w:ascii="Sylfaen" w:hAnsi="Sylfaen"/>
                <w:sz w:val="24"/>
                <w:szCs w:val="24"/>
                <w:highlight w:val="yellow"/>
              </w:rPr>
            </w:pPr>
          </w:p>
        </w:tc>
      </w:tr>
      <w:tr w:rsidR="008C76E0" w:rsidRPr="00BD7577" w14:paraId="11EAB64C" w14:textId="77777777" w:rsidTr="008C76E0">
        <w:trPr>
          <w:jc w:val="center"/>
        </w:trPr>
        <w:tc>
          <w:tcPr>
            <w:tcW w:w="9325" w:type="dxa"/>
            <w:tcBorders>
              <w:top w:val="single" w:sz="4" w:space="0" w:color="auto"/>
              <w:left w:val="single" w:sz="4" w:space="0" w:color="auto"/>
              <w:bottom w:val="single" w:sz="4" w:space="0" w:color="auto"/>
              <w:right w:val="single" w:sz="4" w:space="0" w:color="auto"/>
            </w:tcBorders>
            <w:shd w:val="clear" w:color="auto" w:fill="FFFFFF"/>
          </w:tcPr>
          <w:p w14:paraId="59F11CCC" w14:textId="77777777" w:rsidR="008C76E0" w:rsidRPr="00BD7577" w:rsidRDefault="008C76E0" w:rsidP="00E93A30">
            <w:pPr>
              <w:spacing w:after="160" w:line="360" w:lineRule="auto"/>
              <w:ind w:right="-1"/>
              <w:jc w:val="both"/>
              <w:rPr>
                <w:rFonts w:ascii="Sylfaen" w:hAnsi="Sylfaen"/>
                <w:sz w:val="24"/>
                <w:szCs w:val="24"/>
              </w:rPr>
            </w:pPr>
          </w:p>
        </w:tc>
      </w:tr>
    </w:tbl>
    <w:p w14:paraId="74604292" w14:textId="77777777" w:rsidR="008C76E0" w:rsidRPr="00BF082F" w:rsidRDefault="008C76E0" w:rsidP="00E93A30">
      <w:pPr>
        <w:tabs>
          <w:tab w:val="left" w:pos="1134"/>
        </w:tabs>
        <w:spacing w:after="160" w:line="360" w:lineRule="auto"/>
        <w:ind w:firstLine="567"/>
        <w:rPr>
          <w:rFonts w:ascii="Sylfaen" w:hAnsi="Sylfaen"/>
          <w:spacing w:val="4"/>
          <w:sz w:val="24"/>
          <w:szCs w:val="24"/>
        </w:rPr>
      </w:pPr>
      <w:r w:rsidRPr="00BD7577">
        <w:rPr>
          <w:rFonts w:ascii="Sylfaen" w:hAnsi="Sylfaen"/>
          <w:sz w:val="24"/>
          <w:szCs w:val="24"/>
        </w:rPr>
        <w:t>3.4.</w:t>
      </w:r>
      <w:r w:rsidRPr="009A5C8C">
        <w:rPr>
          <w:rFonts w:ascii="Sylfaen" w:hAnsi="Sylfaen"/>
          <w:sz w:val="24"/>
          <w:szCs w:val="24"/>
        </w:rPr>
        <w:tab/>
      </w:r>
      <w:r w:rsidRPr="00BF082F">
        <w:rPr>
          <w:rFonts w:ascii="Sylfaen" w:hAnsi="Sylfaen"/>
          <w:spacing w:val="4"/>
          <w:sz w:val="24"/>
          <w:szCs w:val="24"/>
        </w:rPr>
        <w:t>Ակտիվ դեղագործական բաղադրամասի որակի հսկողությունը (մոդուլ 3.2.S.4)</w:t>
      </w:r>
    </w:p>
    <w:p w14:paraId="2BE6C763" w14:textId="77777777" w:rsidR="008C76E0" w:rsidRPr="00BD7577" w:rsidRDefault="008C76E0" w:rsidP="00E93A30">
      <w:pPr>
        <w:tabs>
          <w:tab w:val="left" w:pos="1701"/>
        </w:tabs>
        <w:spacing w:after="160" w:line="360" w:lineRule="auto"/>
        <w:ind w:firstLine="567"/>
        <w:jc w:val="both"/>
        <w:rPr>
          <w:rFonts w:ascii="Sylfaen" w:eastAsia="Times New Roman" w:hAnsi="Sylfaen" w:cs="Times New Roman"/>
          <w:sz w:val="24"/>
          <w:szCs w:val="24"/>
        </w:rPr>
      </w:pPr>
      <w:r w:rsidRPr="00BD7577">
        <w:rPr>
          <w:rFonts w:ascii="Sylfaen" w:hAnsi="Sylfaen"/>
          <w:sz w:val="24"/>
          <w:szCs w:val="24"/>
        </w:rPr>
        <w:t>3.4.1.</w:t>
      </w:r>
      <w:r w:rsidRPr="00BD7577">
        <w:rPr>
          <w:rFonts w:ascii="Sylfaen" w:hAnsi="Sylfaen"/>
          <w:sz w:val="24"/>
          <w:szCs w:val="24"/>
        </w:rPr>
        <w:tab/>
        <w:t>Մասնագիրը (բաժին S.4.1)։</w:t>
      </w:r>
      <w:r w:rsidRPr="00BD7577">
        <w:rPr>
          <w:rFonts w:ascii="Sylfaen" w:hAnsi="Sylfaen"/>
          <w:sz w:val="24"/>
          <w:szCs w:val="24"/>
        </w:rPr>
        <w:br w:type="page"/>
      </w:r>
    </w:p>
    <w:p w14:paraId="4F7BED9E" w14:textId="77777777" w:rsidR="008C76E0" w:rsidRPr="00BD7577" w:rsidRDefault="008C76E0" w:rsidP="00E93A30">
      <w:pPr>
        <w:spacing w:after="160" w:line="360" w:lineRule="auto"/>
        <w:ind w:right="240"/>
        <w:jc w:val="right"/>
        <w:rPr>
          <w:rFonts w:ascii="Sylfaen" w:hAnsi="Sylfaen"/>
          <w:sz w:val="24"/>
          <w:szCs w:val="24"/>
        </w:rPr>
      </w:pPr>
      <w:r w:rsidRPr="00BD7577">
        <w:rPr>
          <w:rFonts w:ascii="Sylfaen" w:hAnsi="Sylfaen"/>
          <w:sz w:val="24"/>
          <w:szCs w:val="24"/>
        </w:rPr>
        <w:lastRenderedPageBreak/>
        <w:t>Աղյուսակ S.4-1</w:t>
      </w:r>
    </w:p>
    <w:p w14:paraId="60579944" w14:textId="77777777" w:rsidR="008C76E0" w:rsidRPr="00BD7577" w:rsidRDefault="008C76E0" w:rsidP="00E93A30">
      <w:pPr>
        <w:spacing w:after="160" w:line="360" w:lineRule="auto"/>
        <w:rPr>
          <w:rFonts w:ascii="Sylfaen" w:hAnsi="Sylfaen"/>
          <w:sz w:val="24"/>
          <w:szCs w:val="24"/>
        </w:rPr>
      </w:pPr>
      <w:r w:rsidRPr="00BD7577">
        <w:rPr>
          <w:rFonts w:ascii="Sylfaen" w:hAnsi="Sylfaen"/>
          <w:sz w:val="24"/>
          <w:szCs w:val="24"/>
        </w:rPr>
        <w:t>Մասնագիրը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26"/>
        <w:gridCol w:w="2410"/>
        <w:gridCol w:w="4373"/>
      </w:tblGrid>
      <w:tr w:rsidR="008C76E0" w:rsidRPr="00BD7577" w14:paraId="7F086E2E" w14:textId="77777777" w:rsidTr="008C76E0">
        <w:trPr>
          <w:jc w:val="center"/>
        </w:trPr>
        <w:tc>
          <w:tcPr>
            <w:tcW w:w="2226" w:type="dxa"/>
            <w:tcBorders>
              <w:top w:val="single" w:sz="4" w:space="0" w:color="auto"/>
              <w:left w:val="single" w:sz="4" w:space="0" w:color="auto"/>
            </w:tcBorders>
            <w:shd w:val="clear" w:color="auto" w:fill="FFFFFF"/>
            <w:vAlign w:val="bottom"/>
          </w:tcPr>
          <w:p w14:paraId="1B9FC1DD" w14:textId="77777777" w:rsidR="008C76E0" w:rsidRPr="00BD7577"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BD7577">
              <w:rPr>
                <w:rStyle w:val="Bodytext295pt"/>
                <w:rFonts w:ascii="Sylfaen" w:hAnsi="Sylfaen"/>
                <w:spacing w:val="0"/>
                <w:sz w:val="24"/>
                <w:szCs w:val="24"/>
              </w:rPr>
              <w:t>Որակի ցուցանիշները</w:t>
            </w:r>
          </w:p>
        </w:tc>
        <w:tc>
          <w:tcPr>
            <w:tcW w:w="2410" w:type="dxa"/>
            <w:tcBorders>
              <w:top w:val="single" w:sz="4" w:space="0" w:color="auto"/>
              <w:left w:val="single" w:sz="4" w:space="0" w:color="auto"/>
            </w:tcBorders>
            <w:shd w:val="clear" w:color="auto" w:fill="FFFFFF"/>
            <w:vAlign w:val="bottom"/>
          </w:tcPr>
          <w:p w14:paraId="5ADCEDEF" w14:textId="77777777" w:rsidR="008C76E0" w:rsidRPr="00BD7577"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BD7577">
              <w:rPr>
                <w:rStyle w:val="Bodytext295pt"/>
                <w:rFonts w:ascii="Sylfaen" w:hAnsi="Sylfaen"/>
                <w:spacing w:val="0"/>
                <w:sz w:val="24"/>
                <w:szCs w:val="24"/>
              </w:rPr>
              <w:t>Փորձարկման մեթոդը</w:t>
            </w:r>
          </w:p>
        </w:tc>
        <w:tc>
          <w:tcPr>
            <w:tcW w:w="4373" w:type="dxa"/>
            <w:tcBorders>
              <w:top w:val="single" w:sz="4" w:space="0" w:color="auto"/>
              <w:left w:val="single" w:sz="4" w:space="0" w:color="auto"/>
              <w:right w:val="single" w:sz="4" w:space="0" w:color="auto"/>
            </w:tcBorders>
            <w:shd w:val="clear" w:color="auto" w:fill="FFFFFF"/>
          </w:tcPr>
          <w:p w14:paraId="68A0E1EF" w14:textId="77777777" w:rsidR="008C76E0" w:rsidRPr="00BD7577"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BD7577">
              <w:rPr>
                <w:rStyle w:val="Bodytext295pt"/>
                <w:rFonts w:ascii="Sylfaen" w:hAnsi="Sylfaen"/>
                <w:spacing w:val="0"/>
                <w:sz w:val="24"/>
                <w:szCs w:val="24"/>
              </w:rPr>
              <w:t>Թույլատրելի նորմերը</w:t>
            </w:r>
          </w:p>
        </w:tc>
      </w:tr>
      <w:tr w:rsidR="008C76E0" w:rsidRPr="00BD7577" w14:paraId="2115FD05" w14:textId="77777777" w:rsidTr="008C76E0">
        <w:trPr>
          <w:jc w:val="center"/>
        </w:trPr>
        <w:tc>
          <w:tcPr>
            <w:tcW w:w="2226" w:type="dxa"/>
            <w:tcBorders>
              <w:top w:val="single" w:sz="4" w:space="0" w:color="auto"/>
              <w:left w:val="single" w:sz="4" w:space="0" w:color="auto"/>
            </w:tcBorders>
            <w:shd w:val="clear" w:color="auto" w:fill="FFFFFF"/>
          </w:tcPr>
          <w:p w14:paraId="0177CB2F" w14:textId="77777777" w:rsidR="008C76E0" w:rsidRPr="00BD7577" w:rsidRDefault="008C76E0" w:rsidP="008C76E0">
            <w:pPr>
              <w:rPr>
                <w:rFonts w:ascii="Sylfaen" w:hAnsi="Sylfaen"/>
                <w:sz w:val="24"/>
                <w:szCs w:val="24"/>
              </w:rPr>
            </w:pPr>
          </w:p>
        </w:tc>
        <w:tc>
          <w:tcPr>
            <w:tcW w:w="2410" w:type="dxa"/>
            <w:tcBorders>
              <w:top w:val="single" w:sz="4" w:space="0" w:color="auto"/>
              <w:left w:val="single" w:sz="4" w:space="0" w:color="auto"/>
            </w:tcBorders>
            <w:shd w:val="clear" w:color="auto" w:fill="FFFFFF"/>
          </w:tcPr>
          <w:p w14:paraId="6BBA6FE9" w14:textId="77777777" w:rsidR="008C76E0" w:rsidRPr="00BD7577" w:rsidRDefault="008C76E0" w:rsidP="008C76E0">
            <w:pPr>
              <w:rPr>
                <w:rFonts w:ascii="Sylfaen" w:hAnsi="Sylfaen"/>
                <w:sz w:val="24"/>
                <w:szCs w:val="24"/>
              </w:rPr>
            </w:pPr>
          </w:p>
        </w:tc>
        <w:tc>
          <w:tcPr>
            <w:tcW w:w="4373" w:type="dxa"/>
            <w:tcBorders>
              <w:top w:val="single" w:sz="4" w:space="0" w:color="auto"/>
              <w:left w:val="single" w:sz="4" w:space="0" w:color="auto"/>
              <w:right w:val="single" w:sz="4" w:space="0" w:color="auto"/>
            </w:tcBorders>
            <w:shd w:val="clear" w:color="auto" w:fill="FFFFFF"/>
          </w:tcPr>
          <w:p w14:paraId="6A64336E" w14:textId="77777777" w:rsidR="008C76E0" w:rsidRPr="00BD7577" w:rsidRDefault="008C76E0" w:rsidP="008C76E0">
            <w:pPr>
              <w:rPr>
                <w:rFonts w:ascii="Sylfaen" w:hAnsi="Sylfaen"/>
                <w:sz w:val="24"/>
                <w:szCs w:val="24"/>
              </w:rPr>
            </w:pPr>
          </w:p>
        </w:tc>
      </w:tr>
      <w:tr w:rsidR="008C76E0" w:rsidRPr="00BD7577" w14:paraId="494DCDE1" w14:textId="77777777" w:rsidTr="008C76E0">
        <w:trPr>
          <w:jc w:val="center"/>
        </w:trPr>
        <w:tc>
          <w:tcPr>
            <w:tcW w:w="2226" w:type="dxa"/>
            <w:tcBorders>
              <w:top w:val="single" w:sz="4" w:space="0" w:color="auto"/>
              <w:left w:val="single" w:sz="4" w:space="0" w:color="auto"/>
            </w:tcBorders>
            <w:shd w:val="clear" w:color="auto" w:fill="FFFFFF"/>
          </w:tcPr>
          <w:p w14:paraId="63987E88" w14:textId="77777777" w:rsidR="008C76E0" w:rsidRPr="00BD7577" w:rsidRDefault="008C76E0" w:rsidP="008C76E0">
            <w:pPr>
              <w:rPr>
                <w:rFonts w:ascii="Sylfaen" w:hAnsi="Sylfaen"/>
                <w:sz w:val="24"/>
                <w:szCs w:val="24"/>
              </w:rPr>
            </w:pPr>
          </w:p>
        </w:tc>
        <w:tc>
          <w:tcPr>
            <w:tcW w:w="2410" w:type="dxa"/>
            <w:tcBorders>
              <w:top w:val="single" w:sz="4" w:space="0" w:color="auto"/>
              <w:left w:val="single" w:sz="4" w:space="0" w:color="auto"/>
            </w:tcBorders>
            <w:shd w:val="clear" w:color="auto" w:fill="FFFFFF"/>
          </w:tcPr>
          <w:p w14:paraId="6C3B1FD0" w14:textId="77777777" w:rsidR="008C76E0" w:rsidRPr="00BD7577" w:rsidRDefault="008C76E0" w:rsidP="008C76E0">
            <w:pPr>
              <w:rPr>
                <w:rFonts w:ascii="Sylfaen" w:hAnsi="Sylfaen"/>
                <w:sz w:val="24"/>
                <w:szCs w:val="24"/>
              </w:rPr>
            </w:pPr>
          </w:p>
        </w:tc>
        <w:tc>
          <w:tcPr>
            <w:tcW w:w="4373" w:type="dxa"/>
            <w:tcBorders>
              <w:top w:val="single" w:sz="4" w:space="0" w:color="auto"/>
              <w:left w:val="single" w:sz="4" w:space="0" w:color="auto"/>
              <w:right w:val="single" w:sz="4" w:space="0" w:color="auto"/>
            </w:tcBorders>
            <w:shd w:val="clear" w:color="auto" w:fill="FFFFFF"/>
          </w:tcPr>
          <w:p w14:paraId="33406ACB" w14:textId="77777777" w:rsidR="008C76E0" w:rsidRPr="00BD7577" w:rsidRDefault="008C76E0" w:rsidP="008C76E0">
            <w:pPr>
              <w:rPr>
                <w:rFonts w:ascii="Sylfaen" w:hAnsi="Sylfaen"/>
                <w:sz w:val="24"/>
                <w:szCs w:val="24"/>
              </w:rPr>
            </w:pPr>
          </w:p>
        </w:tc>
      </w:tr>
      <w:tr w:rsidR="008C76E0" w:rsidRPr="00BD7577" w14:paraId="3EA84528" w14:textId="77777777" w:rsidTr="008C76E0">
        <w:trPr>
          <w:jc w:val="center"/>
        </w:trPr>
        <w:tc>
          <w:tcPr>
            <w:tcW w:w="2226" w:type="dxa"/>
            <w:tcBorders>
              <w:top w:val="single" w:sz="4" w:space="0" w:color="auto"/>
              <w:left w:val="single" w:sz="4" w:space="0" w:color="auto"/>
            </w:tcBorders>
            <w:shd w:val="clear" w:color="auto" w:fill="FFFFFF"/>
          </w:tcPr>
          <w:p w14:paraId="48E00C4D" w14:textId="77777777" w:rsidR="008C76E0" w:rsidRPr="00BD7577" w:rsidRDefault="008C76E0" w:rsidP="008C76E0">
            <w:pPr>
              <w:rPr>
                <w:rFonts w:ascii="Sylfaen" w:hAnsi="Sylfaen"/>
                <w:sz w:val="24"/>
                <w:szCs w:val="24"/>
              </w:rPr>
            </w:pPr>
          </w:p>
        </w:tc>
        <w:tc>
          <w:tcPr>
            <w:tcW w:w="2410" w:type="dxa"/>
            <w:tcBorders>
              <w:top w:val="single" w:sz="4" w:space="0" w:color="auto"/>
              <w:left w:val="single" w:sz="4" w:space="0" w:color="auto"/>
            </w:tcBorders>
            <w:shd w:val="clear" w:color="auto" w:fill="FFFFFF"/>
          </w:tcPr>
          <w:p w14:paraId="5644BE76" w14:textId="77777777" w:rsidR="008C76E0" w:rsidRPr="00BD7577" w:rsidRDefault="008C76E0" w:rsidP="008C76E0">
            <w:pPr>
              <w:rPr>
                <w:rFonts w:ascii="Sylfaen" w:hAnsi="Sylfaen"/>
                <w:sz w:val="24"/>
                <w:szCs w:val="24"/>
              </w:rPr>
            </w:pPr>
          </w:p>
        </w:tc>
        <w:tc>
          <w:tcPr>
            <w:tcW w:w="4373" w:type="dxa"/>
            <w:tcBorders>
              <w:top w:val="single" w:sz="4" w:space="0" w:color="auto"/>
              <w:left w:val="single" w:sz="4" w:space="0" w:color="auto"/>
              <w:right w:val="single" w:sz="4" w:space="0" w:color="auto"/>
            </w:tcBorders>
            <w:shd w:val="clear" w:color="auto" w:fill="FFFFFF"/>
          </w:tcPr>
          <w:p w14:paraId="264BA290" w14:textId="77777777" w:rsidR="008C76E0" w:rsidRPr="00BD7577" w:rsidRDefault="008C76E0" w:rsidP="008C76E0">
            <w:pPr>
              <w:rPr>
                <w:rFonts w:ascii="Sylfaen" w:hAnsi="Sylfaen"/>
                <w:sz w:val="24"/>
                <w:szCs w:val="24"/>
              </w:rPr>
            </w:pPr>
          </w:p>
        </w:tc>
      </w:tr>
      <w:tr w:rsidR="008C76E0" w:rsidRPr="00BD7577" w14:paraId="33FD40C7" w14:textId="77777777" w:rsidTr="008C76E0">
        <w:trPr>
          <w:jc w:val="center"/>
        </w:trPr>
        <w:tc>
          <w:tcPr>
            <w:tcW w:w="2226" w:type="dxa"/>
            <w:tcBorders>
              <w:top w:val="single" w:sz="4" w:space="0" w:color="auto"/>
              <w:left w:val="single" w:sz="4" w:space="0" w:color="auto"/>
            </w:tcBorders>
            <w:shd w:val="clear" w:color="auto" w:fill="FFFFFF"/>
          </w:tcPr>
          <w:p w14:paraId="5871D703" w14:textId="77777777" w:rsidR="008C76E0" w:rsidRPr="00BD7577" w:rsidRDefault="008C76E0" w:rsidP="008C76E0">
            <w:pPr>
              <w:rPr>
                <w:rFonts w:ascii="Sylfaen" w:hAnsi="Sylfaen"/>
                <w:sz w:val="24"/>
                <w:szCs w:val="24"/>
              </w:rPr>
            </w:pPr>
          </w:p>
        </w:tc>
        <w:tc>
          <w:tcPr>
            <w:tcW w:w="2410" w:type="dxa"/>
            <w:tcBorders>
              <w:top w:val="single" w:sz="4" w:space="0" w:color="auto"/>
              <w:left w:val="single" w:sz="4" w:space="0" w:color="auto"/>
            </w:tcBorders>
            <w:shd w:val="clear" w:color="auto" w:fill="FFFFFF"/>
          </w:tcPr>
          <w:p w14:paraId="225272DF" w14:textId="77777777" w:rsidR="008C76E0" w:rsidRPr="00BD7577" w:rsidRDefault="008C76E0" w:rsidP="008C76E0">
            <w:pPr>
              <w:rPr>
                <w:rFonts w:ascii="Sylfaen" w:hAnsi="Sylfaen"/>
                <w:sz w:val="24"/>
                <w:szCs w:val="24"/>
              </w:rPr>
            </w:pPr>
          </w:p>
        </w:tc>
        <w:tc>
          <w:tcPr>
            <w:tcW w:w="4373" w:type="dxa"/>
            <w:tcBorders>
              <w:top w:val="single" w:sz="4" w:space="0" w:color="auto"/>
              <w:left w:val="single" w:sz="4" w:space="0" w:color="auto"/>
              <w:right w:val="single" w:sz="4" w:space="0" w:color="auto"/>
            </w:tcBorders>
            <w:shd w:val="clear" w:color="auto" w:fill="FFFFFF"/>
          </w:tcPr>
          <w:p w14:paraId="500D9440" w14:textId="77777777" w:rsidR="008C76E0" w:rsidRPr="00BD7577" w:rsidRDefault="008C76E0" w:rsidP="008C76E0">
            <w:pPr>
              <w:rPr>
                <w:rFonts w:ascii="Sylfaen" w:hAnsi="Sylfaen"/>
                <w:sz w:val="24"/>
                <w:szCs w:val="24"/>
              </w:rPr>
            </w:pPr>
          </w:p>
        </w:tc>
      </w:tr>
      <w:tr w:rsidR="008C76E0" w:rsidRPr="00BD7577" w14:paraId="52CC250A" w14:textId="77777777" w:rsidTr="008C76E0">
        <w:trPr>
          <w:jc w:val="center"/>
        </w:trPr>
        <w:tc>
          <w:tcPr>
            <w:tcW w:w="2226" w:type="dxa"/>
            <w:tcBorders>
              <w:top w:val="single" w:sz="4" w:space="0" w:color="auto"/>
              <w:left w:val="single" w:sz="4" w:space="0" w:color="auto"/>
              <w:bottom w:val="single" w:sz="4" w:space="0" w:color="auto"/>
            </w:tcBorders>
            <w:shd w:val="clear" w:color="auto" w:fill="FFFFFF"/>
          </w:tcPr>
          <w:p w14:paraId="15AAF0DB" w14:textId="77777777" w:rsidR="008C76E0" w:rsidRPr="00BD7577" w:rsidRDefault="008C76E0" w:rsidP="008C76E0">
            <w:pPr>
              <w:rPr>
                <w:rFonts w:ascii="Sylfaen" w:hAnsi="Sylfaen"/>
                <w:sz w:val="24"/>
                <w:szCs w:val="24"/>
              </w:rPr>
            </w:pPr>
          </w:p>
        </w:tc>
        <w:tc>
          <w:tcPr>
            <w:tcW w:w="2410" w:type="dxa"/>
            <w:tcBorders>
              <w:top w:val="single" w:sz="4" w:space="0" w:color="auto"/>
              <w:left w:val="single" w:sz="4" w:space="0" w:color="auto"/>
              <w:bottom w:val="single" w:sz="4" w:space="0" w:color="auto"/>
            </w:tcBorders>
            <w:shd w:val="clear" w:color="auto" w:fill="FFFFFF"/>
          </w:tcPr>
          <w:p w14:paraId="59E6BDE0" w14:textId="77777777" w:rsidR="008C76E0" w:rsidRPr="00BD7577" w:rsidRDefault="008C76E0" w:rsidP="008C76E0">
            <w:pPr>
              <w:rPr>
                <w:rFonts w:ascii="Sylfaen" w:hAnsi="Sylfaen"/>
                <w:sz w:val="24"/>
                <w:szCs w:val="24"/>
              </w:rPr>
            </w:pPr>
          </w:p>
        </w:tc>
        <w:tc>
          <w:tcPr>
            <w:tcW w:w="4373" w:type="dxa"/>
            <w:tcBorders>
              <w:top w:val="single" w:sz="4" w:space="0" w:color="auto"/>
              <w:left w:val="single" w:sz="4" w:space="0" w:color="auto"/>
              <w:bottom w:val="single" w:sz="4" w:space="0" w:color="auto"/>
              <w:right w:val="single" w:sz="4" w:space="0" w:color="auto"/>
            </w:tcBorders>
            <w:shd w:val="clear" w:color="auto" w:fill="FFFFFF"/>
          </w:tcPr>
          <w:p w14:paraId="040F1CAF" w14:textId="77777777" w:rsidR="008C76E0" w:rsidRPr="00BD7577" w:rsidRDefault="008C76E0" w:rsidP="008C76E0">
            <w:pPr>
              <w:rPr>
                <w:rFonts w:ascii="Sylfaen" w:hAnsi="Sylfaen"/>
                <w:sz w:val="24"/>
                <w:szCs w:val="24"/>
              </w:rPr>
            </w:pPr>
          </w:p>
        </w:tc>
      </w:tr>
    </w:tbl>
    <w:p w14:paraId="7CB5C4B3" w14:textId="77777777" w:rsidR="008C76E0" w:rsidRPr="00BD7577" w:rsidRDefault="008C76E0" w:rsidP="00DE713C">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3.4.2.</w:t>
      </w:r>
      <w:r w:rsidRPr="00BD7577">
        <w:rPr>
          <w:rFonts w:ascii="Sylfaen" w:hAnsi="Sylfaen"/>
          <w:sz w:val="24"/>
          <w:szCs w:val="24"/>
        </w:rPr>
        <w:tab/>
        <w:t>Վերլուծական մեթոդիկաները (բաժին S.4.2)։</w:t>
      </w:r>
    </w:p>
    <w:p w14:paraId="6447FF96" w14:textId="77777777" w:rsidR="008C76E0" w:rsidRPr="00BD7577" w:rsidRDefault="008C76E0" w:rsidP="00DE713C">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925015F" w14:textId="77777777" w:rsidR="008C76E0" w:rsidRPr="00BD7577" w:rsidRDefault="008C76E0" w:rsidP="00DE713C">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BB27838" w14:textId="77777777" w:rsidR="008C76E0" w:rsidRPr="00BD7577" w:rsidRDefault="008C76E0" w:rsidP="00DE713C">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8BAECF5" w14:textId="77777777" w:rsidR="008C76E0" w:rsidRPr="00BD7577" w:rsidRDefault="008C76E0" w:rsidP="00DE713C">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3.4.3.</w:t>
      </w:r>
      <w:r w:rsidRPr="00BD7577">
        <w:rPr>
          <w:rFonts w:ascii="Sylfaen" w:hAnsi="Sylfaen"/>
          <w:sz w:val="24"/>
          <w:szCs w:val="24"/>
        </w:rPr>
        <w:tab/>
        <w:t>Վերլուծական մեթոդիկաների վալիդացումը (բաժին S.4.3)։</w:t>
      </w:r>
    </w:p>
    <w:p w14:paraId="6621736E" w14:textId="77777777" w:rsidR="008C76E0" w:rsidRPr="00BD7577" w:rsidRDefault="008C76E0" w:rsidP="00DE713C">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C56298A" w14:textId="77777777" w:rsidR="008C76E0" w:rsidRPr="00BD7577" w:rsidRDefault="008C76E0" w:rsidP="00DE713C">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084602A" w14:textId="77777777" w:rsidR="008C76E0" w:rsidRPr="00BD7577" w:rsidRDefault="008C76E0" w:rsidP="00DE713C">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169D43E" w14:textId="77777777" w:rsidR="008C76E0" w:rsidRDefault="008C76E0" w:rsidP="008C76E0">
      <w:pPr>
        <w:widowControl/>
        <w:rPr>
          <w:rFonts w:ascii="Sylfaen" w:hAnsi="Sylfaen"/>
          <w:sz w:val="24"/>
          <w:szCs w:val="24"/>
        </w:rPr>
      </w:pPr>
      <w:r>
        <w:rPr>
          <w:rFonts w:ascii="Sylfaen" w:hAnsi="Sylfaen"/>
          <w:sz w:val="24"/>
          <w:szCs w:val="24"/>
        </w:rPr>
        <w:br w:type="page"/>
      </w:r>
    </w:p>
    <w:p w14:paraId="04003614" w14:textId="77777777" w:rsidR="008C76E0" w:rsidRPr="00BD7577" w:rsidRDefault="008C76E0" w:rsidP="00DE713C">
      <w:pPr>
        <w:spacing w:after="160" w:line="360" w:lineRule="auto"/>
        <w:ind w:right="240"/>
        <w:jc w:val="right"/>
        <w:rPr>
          <w:rFonts w:ascii="Sylfaen" w:hAnsi="Sylfaen"/>
          <w:sz w:val="24"/>
          <w:szCs w:val="24"/>
        </w:rPr>
      </w:pPr>
      <w:r w:rsidRPr="00BD7577">
        <w:rPr>
          <w:rFonts w:ascii="Sylfaen" w:hAnsi="Sylfaen"/>
          <w:sz w:val="24"/>
          <w:szCs w:val="24"/>
        </w:rPr>
        <w:lastRenderedPageBreak/>
        <w:t>Աղյուսակ S.4-2</w:t>
      </w:r>
    </w:p>
    <w:p w14:paraId="17275D55" w14:textId="77777777" w:rsidR="008C76E0" w:rsidRPr="00BD7577" w:rsidRDefault="008C76E0" w:rsidP="00DE713C">
      <w:pPr>
        <w:spacing w:after="160" w:line="360" w:lineRule="auto"/>
        <w:ind w:left="567" w:right="566"/>
        <w:jc w:val="center"/>
        <w:rPr>
          <w:rFonts w:ascii="Sylfaen" w:hAnsi="Sylfaen"/>
          <w:sz w:val="24"/>
          <w:szCs w:val="24"/>
        </w:rPr>
      </w:pPr>
      <w:r w:rsidRPr="00BD7577">
        <w:rPr>
          <w:rFonts w:ascii="Sylfaen" w:hAnsi="Sylfaen"/>
          <w:sz w:val="24"/>
          <w:szCs w:val="24"/>
        </w:rPr>
        <w:t xml:space="preserve">Վերլուծական մեթոդիկաների վալիդացման պարամետրերի </w:t>
      </w:r>
      <w:r w:rsidRPr="00BD7577">
        <w:rPr>
          <w:rFonts w:ascii="Sylfaen" w:hAnsi="Sylfaen"/>
          <w:sz w:val="24"/>
          <w:szCs w:val="24"/>
        </w:rPr>
        <w:br/>
        <w:t>համառոտ ամփոփումը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33"/>
        <w:gridCol w:w="917"/>
        <w:gridCol w:w="926"/>
        <w:gridCol w:w="917"/>
        <w:gridCol w:w="936"/>
      </w:tblGrid>
      <w:tr w:rsidR="008C76E0" w:rsidRPr="00BD7577" w14:paraId="1FB4E161" w14:textId="77777777" w:rsidTr="008C76E0">
        <w:trPr>
          <w:jc w:val="center"/>
        </w:trPr>
        <w:tc>
          <w:tcPr>
            <w:tcW w:w="5933" w:type="dxa"/>
            <w:tcBorders>
              <w:top w:val="single" w:sz="4" w:space="0" w:color="auto"/>
              <w:left w:val="single" w:sz="4" w:space="0" w:color="auto"/>
            </w:tcBorders>
            <w:shd w:val="clear" w:color="auto" w:fill="FFFFFF"/>
          </w:tcPr>
          <w:p w14:paraId="5C3444F8" w14:textId="77777777" w:rsidR="008C76E0" w:rsidRPr="00BD7577" w:rsidRDefault="008C76E0" w:rsidP="008C76E0">
            <w:pPr>
              <w:spacing w:after="120" w:line="240" w:lineRule="auto"/>
              <w:rPr>
                <w:rFonts w:ascii="Sylfaen" w:hAnsi="Sylfaen"/>
                <w:sz w:val="24"/>
                <w:szCs w:val="24"/>
              </w:rPr>
            </w:pPr>
          </w:p>
        </w:tc>
        <w:tc>
          <w:tcPr>
            <w:tcW w:w="3696" w:type="dxa"/>
            <w:gridSpan w:val="4"/>
            <w:tcBorders>
              <w:top w:val="single" w:sz="4" w:space="0" w:color="auto"/>
              <w:left w:val="single" w:sz="4" w:space="0" w:color="auto"/>
              <w:right w:val="single" w:sz="4" w:space="0" w:color="auto"/>
            </w:tcBorders>
            <w:shd w:val="clear" w:color="auto" w:fill="FFFFFF"/>
            <w:vAlign w:val="bottom"/>
          </w:tcPr>
          <w:p w14:paraId="5C46B5AF"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Վերլուծական մեթոդիկան</w:t>
            </w:r>
          </w:p>
        </w:tc>
      </w:tr>
      <w:tr w:rsidR="008C76E0" w:rsidRPr="00BD7577" w14:paraId="37C26D57" w14:textId="77777777" w:rsidTr="008C76E0">
        <w:trPr>
          <w:jc w:val="center"/>
        </w:trPr>
        <w:tc>
          <w:tcPr>
            <w:tcW w:w="5933" w:type="dxa"/>
            <w:tcBorders>
              <w:top w:val="single" w:sz="4" w:space="0" w:color="auto"/>
              <w:left w:val="single" w:sz="4" w:space="0" w:color="auto"/>
            </w:tcBorders>
            <w:shd w:val="clear" w:color="auto" w:fill="FFFFFF"/>
          </w:tcPr>
          <w:p w14:paraId="793701CE"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4E4D252F"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009864E7"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7163A9D0"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17767DBD" w14:textId="77777777" w:rsidR="008C76E0" w:rsidRPr="00BD7577" w:rsidRDefault="008C76E0" w:rsidP="008C76E0">
            <w:pPr>
              <w:spacing w:after="120" w:line="240" w:lineRule="auto"/>
              <w:rPr>
                <w:rFonts w:ascii="Sylfaen" w:hAnsi="Sylfaen"/>
                <w:sz w:val="24"/>
                <w:szCs w:val="24"/>
              </w:rPr>
            </w:pPr>
          </w:p>
        </w:tc>
      </w:tr>
      <w:tr w:rsidR="008C76E0" w:rsidRPr="00BD7577" w14:paraId="2F594F1C" w14:textId="77777777" w:rsidTr="008C76E0">
        <w:trPr>
          <w:jc w:val="center"/>
        </w:trPr>
        <w:tc>
          <w:tcPr>
            <w:tcW w:w="5933" w:type="dxa"/>
            <w:tcBorders>
              <w:top w:val="single" w:sz="4" w:space="0" w:color="auto"/>
              <w:left w:val="single" w:sz="4" w:space="0" w:color="auto"/>
            </w:tcBorders>
            <w:shd w:val="clear" w:color="auto" w:fill="FFFFFF"/>
          </w:tcPr>
          <w:p w14:paraId="38E9667E"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Ճշտությունը</w:t>
            </w:r>
          </w:p>
        </w:tc>
        <w:tc>
          <w:tcPr>
            <w:tcW w:w="917" w:type="dxa"/>
            <w:tcBorders>
              <w:top w:val="single" w:sz="4" w:space="0" w:color="auto"/>
              <w:left w:val="single" w:sz="4" w:space="0" w:color="auto"/>
            </w:tcBorders>
            <w:shd w:val="clear" w:color="auto" w:fill="FFFFFF"/>
          </w:tcPr>
          <w:p w14:paraId="6D0DB8FA"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427E3A6B"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7F93EE6A"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692E46A6" w14:textId="77777777" w:rsidR="008C76E0" w:rsidRPr="00BD7577" w:rsidRDefault="008C76E0" w:rsidP="008C76E0">
            <w:pPr>
              <w:spacing w:after="120" w:line="240" w:lineRule="auto"/>
              <w:rPr>
                <w:rFonts w:ascii="Sylfaen" w:hAnsi="Sylfaen"/>
                <w:sz w:val="24"/>
                <w:szCs w:val="24"/>
              </w:rPr>
            </w:pPr>
          </w:p>
        </w:tc>
      </w:tr>
      <w:tr w:rsidR="008C76E0" w:rsidRPr="00BD7577" w14:paraId="1742E022" w14:textId="77777777" w:rsidTr="008C76E0">
        <w:trPr>
          <w:jc w:val="center"/>
        </w:trPr>
        <w:tc>
          <w:tcPr>
            <w:tcW w:w="5933" w:type="dxa"/>
            <w:tcBorders>
              <w:top w:val="single" w:sz="4" w:space="0" w:color="auto"/>
              <w:left w:val="single" w:sz="4" w:space="0" w:color="auto"/>
            </w:tcBorders>
            <w:shd w:val="clear" w:color="auto" w:fill="FFFFFF"/>
          </w:tcPr>
          <w:p w14:paraId="103CA1DE"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BD7577">
              <w:rPr>
                <w:rStyle w:val="Bodytext1811pt"/>
                <w:rFonts w:ascii="Sylfaen" w:hAnsi="Sylfaen"/>
                <w:sz w:val="24"/>
                <w:szCs w:val="24"/>
              </w:rPr>
              <w:t>Վերարտադրելիությունը՝ կրկնելիությունը (զուգամիտությունը), միջլաբորատոր վերարտադրելիությունը (առկայության դեպքում)</w:t>
            </w:r>
          </w:p>
        </w:tc>
        <w:tc>
          <w:tcPr>
            <w:tcW w:w="917" w:type="dxa"/>
            <w:tcBorders>
              <w:top w:val="single" w:sz="4" w:space="0" w:color="auto"/>
              <w:left w:val="single" w:sz="4" w:space="0" w:color="auto"/>
            </w:tcBorders>
            <w:shd w:val="clear" w:color="auto" w:fill="FFFFFF"/>
          </w:tcPr>
          <w:p w14:paraId="011A7A13"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6FC9D5C2"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2D1A6FC9"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6A3F3E38" w14:textId="77777777" w:rsidR="008C76E0" w:rsidRPr="00BD7577" w:rsidRDefault="008C76E0" w:rsidP="008C76E0">
            <w:pPr>
              <w:spacing w:after="120" w:line="240" w:lineRule="auto"/>
              <w:rPr>
                <w:rFonts w:ascii="Sylfaen" w:hAnsi="Sylfaen"/>
                <w:sz w:val="24"/>
                <w:szCs w:val="24"/>
              </w:rPr>
            </w:pPr>
          </w:p>
        </w:tc>
      </w:tr>
      <w:tr w:rsidR="008C76E0" w:rsidRPr="00BD7577" w14:paraId="6CFDFADA" w14:textId="77777777" w:rsidTr="008C76E0">
        <w:trPr>
          <w:jc w:val="center"/>
        </w:trPr>
        <w:tc>
          <w:tcPr>
            <w:tcW w:w="5933" w:type="dxa"/>
            <w:tcBorders>
              <w:top w:val="single" w:sz="4" w:space="0" w:color="auto"/>
              <w:left w:val="single" w:sz="4" w:space="0" w:color="auto"/>
            </w:tcBorders>
            <w:shd w:val="clear" w:color="auto" w:fill="FFFFFF"/>
          </w:tcPr>
          <w:p w14:paraId="7B9D4081"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Սպեցիֆիկությունը</w:t>
            </w:r>
          </w:p>
        </w:tc>
        <w:tc>
          <w:tcPr>
            <w:tcW w:w="917" w:type="dxa"/>
            <w:tcBorders>
              <w:top w:val="single" w:sz="4" w:space="0" w:color="auto"/>
              <w:left w:val="single" w:sz="4" w:space="0" w:color="auto"/>
            </w:tcBorders>
            <w:shd w:val="clear" w:color="auto" w:fill="FFFFFF"/>
          </w:tcPr>
          <w:p w14:paraId="5AC091FE"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28ADA44D"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2884EE73"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0EBC6867" w14:textId="77777777" w:rsidR="008C76E0" w:rsidRPr="00BD7577" w:rsidRDefault="008C76E0" w:rsidP="008C76E0">
            <w:pPr>
              <w:spacing w:after="120" w:line="240" w:lineRule="auto"/>
              <w:rPr>
                <w:rFonts w:ascii="Sylfaen" w:hAnsi="Sylfaen"/>
                <w:sz w:val="24"/>
                <w:szCs w:val="24"/>
              </w:rPr>
            </w:pPr>
          </w:p>
        </w:tc>
      </w:tr>
      <w:tr w:rsidR="008C76E0" w:rsidRPr="00BD7577" w14:paraId="1359A0D3" w14:textId="77777777" w:rsidTr="008C76E0">
        <w:trPr>
          <w:jc w:val="center"/>
        </w:trPr>
        <w:tc>
          <w:tcPr>
            <w:tcW w:w="5933" w:type="dxa"/>
            <w:tcBorders>
              <w:top w:val="single" w:sz="4" w:space="0" w:color="auto"/>
              <w:left w:val="single" w:sz="4" w:space="0" w:color="auto"/>
            </w:tcBorders>
            <w:shd w:val="clear" w:color="auto" w:fill="FFFFFF"/>
          </w:tcPr>
          <w:p w14:paraId="668D6951"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Հայտնաբերման սահմանը</w:t>
            </w:r>
          </w:p>
        </w:tc>
        <w:tc>
          <w:tcPr>
            <w:tcW w:w="917" w:type="dxa"/>
            <w:tcBorders>
              <w:top w:val="single" w:sz="4" w:space="0" w:color="auto"/>
              <w:left w:val="single" w:sz="4" w:space="0" w:color="auto"/>
            </w:tcBorders>
            <w:shd w:val="clear" w:color="auto" w:fill="FFFFFF"/>
          </w:tcPr>
          <w:p w14:paraId="5A0E2676"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6BE65521"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7E5CD223"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49F6925C" w14:textId="77777777" w:rsidR="008C76E0" w:rsidRPr="00BD7577" w:rsidRDefault="008C76E0" w:rsidP="008C76E0">
            <w:pPr>
              <w:spacing w:after="120" w:line="240" w:lineRule="auto"/>
              <w:rPr>
                <w:rFonts w:ascii="Sylfaen" w:hAnsi="Sylfaen"/>
                <w:sz w:val="24"/>
                <w:szCs w:val="24"/>
              </w:rPr>
            </w:pPr>
          </w:p>
        </w:tc>
      </w:tr>
      <w:tr w:rsidR="008C76E0" w:rsidRPr="00BD7577" w14:paraId="08021A5B" w14:textId="77777777" w:rsidTr="008C76E0">
        <w:trPr>
          <w:jc w:val="center"/>
        </w:trPr>
        <w:tc>
          <w:tcPr>
            <w:tcW w:w="5933" w:type="dxa"/>
            <w:tcBorders>
              <w:top w:val="single" w:sz="4" w:space="0" w:color="auto"/>
              <w:left w:val="single" w:sz="4" w:space="0" w:color="auto"/>
            </w:tcBorders>
            <w:shd w:val="clear" w:color="auto" w:fill="FFFFFF"/>
          </w:tcPr>
          <w:p w14:paraId="707B8A7A"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Քանակական որոշման ստորին սահմանը</w:t>
            </w:r>
          </w:p>
        </w:tc>
        <w:tc>
          <w:tcPr>
            <w:tcW w:w="917" w:type="dxa"/>
            <w:tcBorders>
              <w:top w:val="single" w:sz="4" w:space="0" w:color="auto"/>
              <w:left w:val="single" w:sz="4" w:space="0" w:color="auto"/>
            </w:tcBorders>
            <w:shd w:val="clear" w:color="auto" w:fill="FFFFFF"/>
          </w:tcPr>
          <w:p w14:paraId="4E7C63A1"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1506F454"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46D7F004"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651F9774" w14:textId="77777777" w:rsidR="008C76E0" w:rsidRPr="00BD7577" w:rsidRDefault="008C76E0" w:rsidP="008C76E0">
            <w:pPr>
              <w:spacing w:after="120" w:line="240" w:lineRule="auto"/>
              <w:rPr>
                <w:rFonts w:ascii="Sylfaen" w:hAnsi="Sylfaen"/>
                <w:sz w:val="24"/>
                <w:szCs w:val="24"/>
              </w:rPr>
            </w:pPr>
          </w:p>
        </w:tc>
      </w:tr>
      <w:tr w:rsidR="008C76E0" w:rsidRPr="00BD7577" w14:paraId="3DBFFDB5" w14:textId="77777777" w:rsidTr="008C76E0">
        <w:trPr>
          <w:jc w:val="center"/>
        </w:trPr>
        <w:tc>
          <w:tcPr>
            <w:tcW w:w="5933" w:type="dxa"/>
            <w:tcBorders>
              <w:top w:val="single" w:sz="4" w:space="0" w:color="auto"/>
              <w:left w:val="single" w:sz="4" w:space="0" w:color="auto"/>
            </w:tcBorders>
            <w:shd w:val="clear" w:color="auto" w:fill="FFFFFF"/>
          </w:tcPr>
          <w:p w14:paraId="53B9C709"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Գծայնությունը</w:t>
            </w:r>
          </w:p>
        </w:tc>
        <w:tc>
          <w:tcPr>
            <w:tcW w:w="917" w:type="dxa"/>
            <w:tcBorders>
              <w:top w:val="single" w:sz="4" w:space="0" w:color="auto"/>
              <w:left w:val="single" w:sz="4" w:space="0" w:color="auto"/>
            </w:tcBorders>
            <w:shd w:val="clear" w:color="auto" w:fill="FFFFFF"/>
          </w:tcPr>
          <w:p w14:paraId="19158408"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6976DFA0"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106DEA39"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63BF522A" w14:textId="77777777" w:rsidR="008C76E0" w:rsidRPr="00BD7577" w:rsidRDefault="008C76E0" w:rsidP="008C76E0">
            <w:pPr>
              <w:spacing w:after="120" w:line="240" w:lineRule="auto"/>
              <w:rPr>
                <w:rFonts w:ascii="Sylfaen" w:hAnsi="Sylfaen"/>
                <w:sz w:val="24"/>
                <w:szCs w:val="24"/>
              </w:rPr>
            </w:pPr>
          </w:p>
        </w:tc>
      </w:tr>
      <w:tr w:rsidR="008C76E0" w:rsidRPr="00BD7577" w14:paraId="0AA10FCF" w14:textId="77777777" w:rsidTr="008C76E0">
        <w:trPr>
          <w:jc w:val="center"/>
        </w:trPr>
        <w:tc>
          <w:tcPr>
            <w:tcW w:w="5933" w:type="dxa"/>
            <w:tcBorders>
              <w:top w:val="single" w:sz="4" w:space="0" w:color="auto"/>
              <w:left w:val="single" w:sz="4" w:space="0" w:color="auto"/>
            </w:tcBorders>
            <w:shd w:val="clear" w:color="auto" w:fill="FFFFFF"/>
          </w:tcPr>
          <w:p w14:paraId="0974EA8A"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Որոշվող պարունակությունների տիրույթը</w:t>
            </w:r>
          </w:p>
        </w:tc>
        <w:tc>
          <w:tcPr>
            <w:tcW w:w="917" w:type="dxa"/>
            <w:tcBorders>
              <w:top w:val="single" w:sz="4" w:space="0" w:color="auto"/>
              <w:left w:val="single" w:sz="4" w:space="0" w:color="auto"/>
            </w:tcBorders>
            <w:shd w:val="clear" w:color="auto" w:fill="FFFFFF"/>
          </w:tcPr>
          <w:p w14:paraId="6556652E"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3E7486A1"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175D9E11"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7D85A1E7" w14:textId="77777777" w:rsidR="008C76E0" w:rsidRPr="00BD7577" w:rsidRDefault="008C76E0" w:rsidP="008C76E0">
            <w:pPr>
              <w:spacing w:after="120" w:line="240" w:lineRule="auto"/>
              <w:rPr>
                <w:rFonts w:ascii="Sylfaen" w:hAnsi="Sylfaen"/>
                <w:sz w:val="24"/>
                <w:szCs w:val="24"/>
              </w:rPr>
            </w:pPr>
          </w:p>
        </w:tc>
      </w:tr>
      <w:tr w:rsidR="008C76E0" w:rsidRPr="00BD7577" w14:paraId="3BBBF0D7" w14:textId="77777777" w:rsidTr="008C76E0">
        <w:trPr>
          <w:jc w:val="center"/>
        </w:trPr>
        <w:tc>
          <w:tcPr>
            <w:tcW w:w="5933" w:type="dxa"/>
            <w:tcBorders>
              <w:top w:val="single" w:sz="4" w:space="0" w:color="auto"/>
              <w:left w:val="single" w:sz="4" w:space="0" w:color="auto"/>
            </w:tcBorders>
            <w:shd w:val="clear" w:color="auto" w:fill="FFFFFF"/>
          </w:tcPr>
          <w:p w14:paraId="5FE83976"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Հաստատունությունը (դիմացկունությունը)</w:t>
            </w:r>
          </w:p>
        </w:tc>
        <w:tc>
          <w:tcPr>
            <w:tcW w:w="917" w:type="dxa"/>
            <w:tcBorders>
              <w:top w:val="single" w:sz="4" w:space="0" w:color="auto"/>
              <w:left w:val="single" w:sz="4" w:space="0" w:color="auto"/>
            </w:tcBorders>
            <w:shd w:val="clear" w:color="auto" w:fill="FFFFFF"/>
          </w:tcPr>
          <w:p w14:paraId="6AF145B9"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tcBorders>
            <w:shd w:val="clear" w:color="auto" w:fill="FFFFFF"/>
          </w:tcPr>
          <w:p w14:paraId="450CAC97"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tcBorders>
            <w:shd w:val="clear" w:color="auto" w:fill="FFFFFF"/>
          </w:tcPr>
          <w:p w14:paraId="1245E35E"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right w:val="single" w:sz="4" w:space="0" w:color="auto"/>
            </w:tcBorders>
            <w:shd w:val="clear" w:color="auto" w:fill="FFFFFF"/>
          </w:tcPr>
          <w:p w14:paraId="1E303DB4" w14:textId="77777777" w:rsidR="008C76E0" w:rsidRPr="00BD7577" w:rsidRDefault="008C76E0" w:rsidP="008C76E0">
            <w:pPr>
              <w:spacing w:after="120" w:line="240" w:lineRule="auto"/>
              <w:rPr>
                <w:rFonts w:ascii="Sylfaen" w:hAnsi="Sylfaen"/>
                <w:sz w:val="24"/>
                <w:szCs w:val="24"/>
              </w:rPr>
            </w:pPr>
          </w:p>
        </w:tc>
      </w:tr>
      <w:tr w:rsidR="008C76E0" w:rsidRPr="00BD7577" w14:paraId="38738288" w14:textId="77777777" w:rsidTr="008C76E0">
        <w:trPr>
          <w:jc w:val="center"/>
        </w:trPr>
        <w:tc>
          <w:tcPr>
            <w:tcW w:w="5933" w:type="dxa"/>
            <w:tcBorders>
              <w:top w:val="single" w:sz="4" w:space="0" w:color="auto"/>
              <w:left w:val="single" w:sz="4" w:space="0" w:color="auto"/>
              <w:bottom w:val="single" w:sz="4" w:space="0" w:color="auto"/>
            </w:tcBorders>
            <w:shd w:val="clear" w:color="auto" w:fill="FFFFFF"/>
          </w:tcPr>
          <w:p w14:paraId="341348C4" w14:textId="77777777" w:rsidR="008C76E0" w:rsidRPr="00BD7577" w:rsidRDefault="008C76E0" w:rsidP="008C76E0">
            <w:pPr>
              <w:pStyle w:val="Bodytext180"/>
              <w:shd w:val="clear" w:color="auto" w:fill="auto"/>
              <w:spacing w:before="0" w:after="120" w:line="240" w:lineRule="auto"/>
              <w:ind w:firstLine="0"/>
              <w:rPr>
                <w:rFonts w:ascii="Sylfaen" w:hAnsi="Sylfaen"/>
                <w:b w:val="0"/>
                <w:sz w:val="24"/>
                <w:szCs w:val="24"/>
              </w:rPr>
            </w:pPr>
            <w:r w:rsidRPr="00BD7577">
              <w:rPr>
                <w:rStyle w:val="Bodytext1811pt"/>
                <w:rFonts w:ascii="Sylfaen" w:hAnsi="Sylfaen"/>
                <w:sz w:val="24"/>
                <w:szCs w:val="24"/>
              </w:rPr>
              <w:t>Լուծույթի կայունությունը</w:t>
            </w:r>
          </w:p>
        </w:tc>
        <w:tc>
          <w:tcPr>
            <w:tcW w:w="917" w:type="dxa"/>
            <w:tcBorders>
              <w:top w:val="single" w:sz="4" w:space="0" w:color="auto"/>
              <w:left w:val="single" w:sz="4" w:space="0" w:color="auto"/>
              <w:bottom w:val="single" w:sz="4" w:space="0" w:color="auto"/>
            </w:tcBorders>
            <w:shd w:val="clear" w:color="auto" w:fill="FFFFFF"/>
          </w:tcPr>
          <w:p w14:paraId="62DB46D1" w14:textId="77777777" w:rsidR="008C76E0" w:rsidRPr="00BD7577" w:rsidRDefault="008C76E0" w:rsidP="008C76E0">
            <w:pPr>
              <w:spacing w:after="120" w:line="240" w:lineRule="auto"/>
              <w:rPr>
                <w:rFonts w:ascii="Sylfaen" w:hAnsi="Sylfaen"/>
                <w:sz w:val="24"/>
                <w:szCs w:val="24"/>
              </w:rPr>
            </w:pPr>
          </w:p>
        </w:tc>
        <w:tc>
          <w:tcPr>
            <w:tcW w:w="926" w:type="dxa"/>
            <w:tcBorders>
              <w:top w:val="single" w:sz="4" w:space="0" w:color="auto"/>
              <w:left w:val="single" w:sz="4" w:space="0" w:color="auto"/>
              <w:bottom w:val="single" w:sz="4" w:space="0" w:color="auto"/>
            </w:tcBorders>
            <w:shd w:val="clear" w:color="auto" w:fill="FFFFFF"/>
          </w:tcPr>
          <w:p w14:paraId="1138A1EF" w14:textId="77777777" w:rsidR="008C76E0" w:rsidRPr="00BD7577" w:rsidRDefault="008C76E0" w:rsidP="008C76E0">
            <w:pPr>
              <w:spacing w:after="120" w:line="240" w:lineRule="auto"/>
              <w:rPr>
                <w:rFonts w:ascii="Sylfaen" w:hAnsi="Sylfaen"/>
                <w:sz w:val="24"/>
                <w:szCs w:val="24"/>
              </w:rPr>
            </w:pPr>
          </w:p>
        </w:tc>
        <w:tc>
          <w:tcPr>
            <w:tcW w:w="917" w:type="dxa"/>
            <w:tcBorders>
              <w:top w:val="single" w:sz="4" w:space="0" w:color="auto"/>
              <w:left w:val="single" w:sz="4" w:space="0" w:color="auto"/>
              <w:bottom w:val="single" w:sz="4" w:space="0" w:color="auto"/>
            </w:tcBorders>
            <w:shd w:val="clear" w:color="auto" w:fill="FFFFFF"/>
          </w:tcPr>
          <w:p w14:paraId="44A917C7" w14:textId="77777777" w:rsidR="008C76E0" w:rsidRPr="00BD7577" w:rsidRDefault="008C76E0" w:rsidP="008C76E0">
            <w:pPr>
              <w:spacing w:after="120" w:line="240" w:lineRule="auto"/>
              <w:rPr>
                <w:rFonts w:ascii="Sylfaen" w:hAnsi="Sylfaen"/>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260211D9" w14:textId="77777777" w:rsidR="008C76E0" w:rsidRPr="00BD7577" w:rsidRDefault="008C76E0" w:rsidP="008C76E0">
            <w:pPr>
              <w:spacing w:after="120" w:line="240" w:lineRule="auto"/>
              <w:rPr>
                <w:rFonts w:ascii="Sylfaen" w:hAnsi="Sylfaen"/>
                <w:sz w:val="24"/>
                <w:szCs w:val="24"/>
              </w:rPr>
            </w:pPr>
          </w:p>
        </w:tc>
      </w:tr>
    </w:tbl>
    <w:p w14:paraId="426366EF" w14:textId="77777777" w:rsidR="008C76E0" w:rsidRPr="00BD7577" w:rsidRDefault="008C76E0" w:rsidP="00DE713C">
      <w:pPr>
        <w:spacing w:after="160" w:line="360" w:lineRule="auto"/>
        <w:ind w:left="2977" w:right="180" w:hanging="2277"/>
        <w:jc w:val="both"/>
        <w:rPr>
          <w:rFonts w:ascii="Sylfaen" w:hAnsi="Sylfaen"/>
          <w:sz w:val="24"/>
          <w:szCs w:val="24"/>
        </w:rPr>
      </w:pPr>
      <w:r w:rsidRPr="00BD7577">
        <w:rPr>
          <w:rFonts w:ascii="Sylfaen" w:hAnsi="Sylfaen"/>
          <w:sz w:val="24"/>
          <w:szCs w:val="24"/>
        </w:rPr>
        <w:t>Ծանոթագրություն: «+» նշանը ցույց է տալիս, որ պարամետրի որոշումն իրականցվել է պահանջներին համապատասխան, «մինուս» նշանը՝ պարամետրը չի որոշվել, «?» նշանը՝ հարցերի առկայությունը նախքան պարամետրի ընդունելիության գնահատումը։</w:t>
      </w:r>
    </w:p>
    <w:p w14:paraId="7A70BC42" w14:textId="77777777" w:rsidR="008C76E0" w:rsidRPr="00BD7577" w:rsidRDefault="008C76E0" w:rsidP="00DE713C">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3.4.4.</w:t>
      </w:r>
      <w:r w:rsidRPr="00BD7577">
        <w:rPr>
          <w:rFonts w:ascii="Sylfaen" w:hAnsi="Sylfaen"/>
          <w:sz w:val="24"/>
          <w:szCs w:val="24"/>
        </w:rPr>
        <w:tab/>
        <w:t>Սերիաների անալիզները (սերիաների անալիզի արդյունքները) (բաժին S.4.4)։</w:t>
      </w:r>
    </w:p>
    <w:p w14:paraId="51F31D39"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76B4E740"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187066"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59CAD21" w14:textId="77777777" w:rsidR="008C76E0" w:rsidRPr="00BD7577" w:rsidRDefault="008C76E0" w:rsidP="00D72CF4">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3.4.5.</w:t>
      </w:r>
      <w:r w:rsidRPr="00BD7577">
        <w:rPr>
          <w:rFonts w:ascii="Sylfaen" w:hAnsi="Sylfaen"/>
          <w:sz w:val="24"/>
          <w:szCs w:val="24"/>
        </w:rPr>
        <w:tab/>
        <w:t>Մասնագրի հիմնավորումը (բաժին S.4.5)։</w:t>
      </w:r>
    </w:p>
    <w:p w14:paraId="46AAAE0B"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CE3BAC8"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67815BE0"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325" w:type="dxa"/>
        <w:jc w:val="center"/>
        <w:tblLayout w:type="fixed"/>
        <w:tblCellMar>
          <w:left w:w="10" w:type="dxa"/>
          <w:right w:w="10" w:type="dxa"/>
        </w:tblCellMar>
        <w:tblLook w:val="04A0" w:firstRow="1" w:lastRow="0" w:firstColumn="1" w:lastColumn="0" w:noHBand="0" w:noVBand="1"/>
      </w:tblPr>
      <w:tblGrid>
        <w:gridCol w:w="9325"/>
      </w:tblGrid>
      <w:tr w:rsidR="008C76E0" w:rsidRPr="00BD7577" w14:paraId="0DBDA62A" w14:textId="77777777" w:rsidTr="008C76E0">
        <w:trPr>
          <w:jc w:val="center"/>
        </w:trPr>
        <w:tc>
          <w:tcPr>
            <w:tcW w:w="9325" w:type="dxa"/>
            <w:tcBorders>
              <w:top w:val="single" w:sz="4" w:space="0" w:color="auto"/>
              <w:left w:val="single" w:sz="4" w:space="0" w:color="auto"/>
              <w:right w:val="single" w:sz="4" w:space="0" w:color="auto"/>
            </w:tcBorders>
            <w:shd w:val="clear" w:color="auto" w:fill="FFFFFF"/>
            <w:vAlign w:val="bottom"/>
          </w:tcPr>
          <w:p w14:paraId="68AE9CAE" w14:textId="77777777" w:rsidR="008C76E0" w:rsidRPr="00BD7577" w:rsidRDefault="008C76E0" w:rsidP="00D72CF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6D85B3F2" w14:textId="77777777" w:rsidTr="008C76E0">
        <w:trPr>
          <w:jc w:val="center"/>
        </w:trPr>
        <w:tc>
          <w:tcPr>
            <w:tcW w:w="9325" w:type="dxa"/>
            <w:tcBorders>
              <w:top w:val="single" w:sz="4" w:space="0" w:color="auto"/>
              <w:left w:val="single" w:sz="4" w:space="0" w:color="auto"/>
              <w:right w:val="single" w:sz="4" w:space="0" w:color="auto"/>
            </w:tcBorders>
            <w:shd w:val="clear" w:color="auto" w:fill="FFFFFF"/>
          </w:tcPr>
          <w:p w14:paraId="3F9C62C3" w14:textId="77777777" w:rsidR="008C76E0" w:rsidRPr="00BD7577" w:rsidRDefault="008C76E0" w:rsidP="00D72CF4">
            <w:pPr>
              <w:spacing w:after="160" w:line="360" w:lineRule="auto"/>
              <w:ind w:right="-1"/>
              <w:jc w:val="both"/>
              <w:rPr>
                <w:rFonts w:ascii="Sylfaen" w:hAnsi="Sylfaen"/>
                <w:sz w:val="24"/>
                <w:szCs w:val="24"/>
                <w:highlight w:val="yellow"/>
              </w:rPr>
            </w:pPr>
          </w:p>
        </w:tc>
      </w:tr>
      <w:tr w:rsidR="008C76E0" w:rsidRPr="00BD7577" w14:paraId="08C5B6F7" w14:textId="77777777" w:rsidTr="008C76E0">
        <w:trPr>
          <w:jc w:val="center"/>
        </w:trPr>
        <w:tc>
          <w:tcPr>
            <w:tcW w:w="9325" w:type="dxa"/>
            <w:tcBorders>
              <w:top w:val="single" w:sz="4" w:space="0" w:color="auto"/>
              <w:left w:val="single" w:sz="4" w:space="0" w:color="auto"/>
              <w:bottom w:val="single" w:sz="4" w:space="0" w:color="auto"/>
              <w:right w:val="single" w:sz="4" w:space="0" w:color="auto"/>
            </w:tcBorders>
            <w:shd w:val="clear" w:color="auto" w:fill="FFFFFF"/>
          </w:tcPr>
          <w:p w14:paraId="3D553457" w14:textId="77777777" w:rsidR="008C76E0" w:rsidRPr="00BD7577" w:rsidRDefault="008C76E0" w:rsidP="00D72CF4">
            <w:pPr>
              <w:spacing w:after="160" w:line="360" w:lineRule="auto"/>
              <w:ind w:right="-1"/>
              <w:jc w:val="both"/>
              <w:rPr>
                <w:rFonts w:ascii="Sylfaen" w:hAnsi="Sylfaen"/>
                <w:sz w:val="24"/>
                <w:szCs w:val="24"/>
              </w:rPr>
            </w:pPr>
          </w:p>
        </w:tc>
      </w:tr>
    </w:tbl>
    <w:p w14:paraId="2408CE8A" w14:textId="77777777" w:rsidR="008C76E0" w:rsidRPr="00BD7577" w:rsidRDefault="008C76E0" w:rsidP="00D72CF4">
      <w:pPr>
        <w:spacing w:after="160" w:line="360" w:lineRule="auto"/>
        <w:ind w:left="567" w:right="566"/>
        <w:jc w:val="center"/>
        <w:rPr>
          <w:rFonts w:ascii="Sylfaen" w:hAnsi="Sylfaen"/>
          <w:sz w:val="24"/>
          <w:szCs w:val="24"/>
          <w:lang w:val="en-US"/>
        </w:rPr>
      </w:pPr>
    </w:p>
    <w:p w14:paraId="00E84F71" w14:textId="77777777" w:rsidR="008C76E0" w:rsidRPr="00BD7577" w:rsidRDefault="008C76E0" w:rsidP="00D72CF4">
      <w:pPr>
        <w:spacing w:after="160" w:line="360" w:lineRule="auto"/>
        <w:ind w:left="567" w:right="566"/>
        <w:jc w:val="center"/>
        <w:rPr>
          <w:rFonts w:ascii="Sylfaen" w:hAnsi="Sylfaen"/>
          <w:sz w:val="24"/>
          <w:szCs w:val="24"/>
        </w:rPr>
      </w:pPr>
      <w:r w:rsidRPr="00BD7577">
        <w:rPr>
          <w:rFonts w:ascii="Sylfaen" w:hAnsi="Sylfaen"/>
          <w:sz w:val="24"/>
          <w:szCs w:val="24"/>
        </w:rPr>
        <w:t>3.5. Ստանդարտ նմուշները կամ նյութերը (մոդուլ 3.2.S.5)</w:t>
      </w:r>
    </w:p>
    <w:p w14:paraId="6B3C4437"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211EB98"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487DDBF" w14:textId="77777777" w:rsidR="008C76E0" w:rsidRPr="00BD7577" w:rsidRDefault="008C76E0" w:rsidP="00D72CF4">
      <w:pPr>
        <w:spacing w:after="160" w:line="360" w:lineRule="auto"/>
        <w:jc w:val="both"/>
        <w:rPr>
          <w:rStyle w:val="Bodytext295pt"/>
          <w:rFonts w:ascii="Sylfaen" w:eastAsia="MS Mincho" w:hAnsi="Sylfaen"/>
          <w:spacing w:val="0"/>
          <w:sz w:val="24"/>
          <w:szCs w:val="24"/>
          <w:lang w:val="en-US"/>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268" w:type="dxa"/>
        <w:jc w:val="center"/>
        <w:tblLayout w:type="fixed"/>
        <w:tblCellMar>
          <w:left w:w="10" w:type="dxa"/>
          <w:right w:w="10" w:type="dxa"/>
        </w:tblCellMar>
        <w:tblLook w:val="04A0" w:firstRow="1" w:lastRow="0" w:firstColumn="1" w:lastColumn="0" w:noHBand="0" w:noVBand="1"/>
      </w:tblPr>
      <w:tblGrid>
        <w:gridCol w:w="9268"/>
      </w:tblGrid>
      <w:tr w:rsidR="008C76E0" w:rsidRPr="00BD7577" w14:paraId="58DF50B8" w14:textId="77777777" w:rsidTr="008C76E0">
        <w:trPr>
          <w:jc w:val="center"/>
        </w:trPr>
        <w:tc>
          <w:tcPr>
            <w:tcW w:w="9268" w:type="dxa"/>
            <w:tcBorders>
              <w:top w:val="single" w:sz="4" w:space="0" w:color="auto"/>
              <w:left w:val="single" w:sz="4" w:space="0" w:color="auto"/>
              <w:right w:val="single" w:sz="4" w:space="0" w:color="auto"/>
            </w:tcBorders>
            <w:shd w:val="clear" w:color="auto" w:fill="FFFFFF"/>
            <w:vAlign w:val="bottom"/>
          </w:tcPr>
          <w:p w14:paraId="6B528C5A" w14:textId="77777777" w:rsidR="008C76E0" w:rsidRPr="00BD7577" w:rsidRDefault="008C76E0" w:rsidP="00D72CF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51ADEFEE" w14:textId="77777777" w:rsidTr="008C76E0">
        <w:trPr>
          <w:jc w:val="center"/>
        </w:trPr>
        <w:tc>
          <w:tcPr>
            <w:tcW w:w="9268" w:type="dxa"/>
            <w:tcBorders>
              <w:top w:val="single" w:sz="4" w:space="0" w:color="auto"/>
              <w:left w:val="single" w:sz="4" w:space="0" w:color="auto"/>
              <w:right w:val="single" w:sz="4" w:space="0" w:color="auto"/>
            </w:tcBorders>
            <w:shd w:val="clear" w:color="auto" w:fill="FFFFFF"/>
          </w:tcPr>
          <w:p w14:paraId="0A289377" w14:textId="77777777" w:rsidR="008C76E0" w:rsidRPr="00BD7577" w:rsidRDefault="008C76E0" w:rsidP="00D72CF4">
            <w:pPr>
              <w:spacing w:after="160" w:line="360" w:lineRule="auto"/>
              <w:ind w:right="-1"/>
              <w:jc w:val="both"/>
              <w:rPr>
                <w:rFonts w:ascii="Sylfaen" w:hAnsi="Sylfaen"/>
                <w:sz w:val="24"/>
                <w:szCs w:val="24"/>
                <w:highlight w:val="yellow"/>
              </w:rPr>
            </w:pPr>
          </w:p>
        </w:tc>
      </w:tr>
      <w:tr w:rsidR="008C76E0" w:rsidRPr="00BD7577" w14:paraId="0D3CA0AA" w14:textId="77777777" w:rsidTr="008C76E0">
        <w:trPr>
          <w:jc w:val="center"/>
        </w:trPr>
        <w:tc>
          <w:tcPr>
            <w:tcW w:w="9268" w:type="dxa"/>
            <w:tcBorders>
              <w:top w:val="single" w:sz="4" w:space="0" w:color="auto"/>
              <w:left w:val="single" w:sz="4" w:space="0" w:color="auto"/>
              <w:bottom w:val="single" w:sz="4" w:space="0" w:color="auto"/>
              <w:right w:val="single" w:sz="4" w:space="0" w:color="auto"/>
            </w:tcBorders>
            <w:shd w:val="clear" w:color="auto" w:fill="FFFFFF"/>
          </w:tcPr>
          <w:p w14:paraId="18DA640A" w14:textId="77777777" w:rsidR="008C76E0" w:rsidRPr="00BD7577" w:rsidRDefault="008C76E0" w:rsidP="00D72CF4">
            <w:pPr>
              <w:spacing w:after="160" w:line="360" w:lineRule="auto"/>
              <w:ind w:right="-1"/>
              <w:jc w:val="both"/>
              <w:rPr>
                <w:rFonts w:ascii="Sylfaen" w:hAnsi="Sylfaen"/>
                <w:sz w:val="24"/>
                <w:szCs w:val="24"/>
              </w:rPr>
            </w:pPr>
          </w:p>
        </w:tc>
      </w:tr>
    </w:tbl>
    <w:p w14:paraId="69EC42BE" w14:textId="77777777" w:rsidR="008C76E0" w:rsidRPr="00BD7577" w:rsidRDefault="008C76E0" w:rsidP="00D72CF4">
      <w:pPr>
        <w:spacing w:after="160" w:line="360" w:lineRule="auto"/>
        <w:rPr>
          <w:rFonts w:ascii="Sylfaen" w:eastAsia="Times New Roman" w:hAnsi="Sylfaen" w:cs="Times New Roman"/>
          <w:sz w:val="24"/>
          <w:szCs w:val="24"/>
          <w:lang w:val="en-US"/>
        </w:rPr>
      </w:pPr>
    </w:p>
    <w:p w14:paraId="27C95A93" w14:textId="77777777" w:rsidR="008C76E0" w:rsidRPr="00BD7577" w:rsidRDefault="008C76E0" w:rsidP="00D72CF4">
      <w:pPr>
        <w:tabs>
          <w:tab w:val="left" w:pos="1418"/>
        </w:tabs>
        <w:spacing w:after="160" w:line="360" w:lineRule="auto"/>
        <w:ind w:left="567" w:right="566"/>
        <w:jc w:val="center"/>
        <w:rPr>
          <w:rFonts w:ascii="Sylfaen" w:hAnsi="Sylfaen"/>
          <w:sz w:val="24"/>
          <w:szCs w:val="24"/>
        </w:rPr>
      </w:pPr>
      <w:r w:rsidRPr="00BD7577">
        <w:rPr>
          <w:rFonts w:ascii="Sylfaen" w:hAnsi="Sylfaen"/>
          <w:sz w:val="24"/>
          <w:szCs w:val="24"/>
        </w:rPr>
        <w:t>3.6.</w:t>
      </w:r>
      <w:r w:rsidRPr="00BD7577">
        <w:rPr>
          <w:rFonts w:ascii="Sylfaen" w:hAnsi="Sylfaen"/>
          <w:sz w:val="24"/>
          <w:szCs w:val="24"/>
          <w:lang w:val="en-US"/>
        </w:rPr>
        <w:t xml:space="preserve"> </w:t>
      </w:r>
      <w:r w:rsidRPr="00BD7577">
        <w:rPr>
          <w:rFonts w:ascii="Sylfaen" w:hAnsi="Sylfaen"/>
          <w:sz w:val="24"/>
          <w:szCs w:val="24"/>
        </w:rPr>
        <w:t>Փաթեթավորման (խցանափակման) համակարգը (մոդուլ 3.2.S.6)</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81"/>
      </w:tblGrid>
      <w:tr w:rsidR="008C76E0" w:rsidRPr="00BD7577" w14:paraId="2ED9C163" w14:textId="77777777" w:rsidTr="008C76E0">
        <w:trPr>
          <w:jc w:val="center"/>
        </w:trPr>
        <w:tc>
          <w:tcPr>
            <w:tcW w:w="9581" w:type="dxa"/>
            <w:tcBorders>
              <w:top w:val="single" w:sz="4" w:space="0" w:color="auto"/>
              <w:left w:val="single" w:sz="4" w:space="0" w:color="auto"/>
              <w:right w:val="single" w:sz="4" w:space="0" w:color="auto"/>
            </w:tcBorders>
            <w:shd w:val="clear" w:color="auto" w:fill="FFFFFF"/>
            <w:vAlign w:val="bottom"/>
          </w:tcPr>
          <w:p w14:paraId="72A4944A" w14:textId="77777777" w:rsidR="008C76E0" w:rsidRPr="00BD7577" w:rsidRDefault="008C76E0" w:rsidP="00D72CF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18B2EEA7" w14:textId="77777777" w:rsidTr="008C76E0">
        <w:trPr>
          <w:jc w:val="center"/>
        </w:trPr>
        <w:tc>
          <w:tcPr>
            <w:tcW w:w="9581" w:type="dxa"/>
            <w:tcBorders>
              <w:top w:val="single" w:sz="4" w:space="0" w:color="auto"/>
              <w:left w:val="single" w:sz="4" w:space="0" w:color="auto"/>
              <w:right w:val="single" w:sz="4" w:space="0" w:color="auto"/>
            </w:tcBorders>
            <w:shd w:val="clear" w:color="auto" w:fill="FFFFFF"/>
          </w:tcPr>
          <w:p w14:paraId="72DCB905" w14:textId="77777777" w:rsidR="008C76E0" w:rsidRPr="00BD7577" w:rsidRDefault="008C76E0" w:rsidP="00D72CF4">
            <w:pPr>
              <w:spacing w:after="160" w:line="360" w:lineRule="auto"/>
              <w:ind w:right="-1"/>
              <w:jc w:val="both"/>
              <w:rPr>
                <w:rFonts w:ascii="Sylfaen" w:hAnsi="Sylfaen"/>
                <w:sz w:val="24"/>
                <w:szCs w:val="24"/>
                <w:highlight w:val="yellow"/>
              </w:rPr>
            </w:pPr>
          </w:p>
        </w:tc>
      </w:tr>
      <w:tr w:rsidR="008C76E0" w:rsidRPr="00BD7577" w14:paraId="239B35D6" w14:textId="77777777" w:rsidTr="008C76E0">
        <w:trPr>
          <w:jc w:val="center"/>
        </w:trPr>
        <w:tc>
          <w:tcPr>
            <w:tcW w:w="9581" w:type="dxa"/>
            <w:tcBorders>
              <w:top w:val="single" w:sz="4" w:space="0" w:color="auto"/>
              <w:left w:val="single" w:sz="4" w:space="0" w:color="auto"/>
              <w:bottom w:val="single" w:sz="4" w:space="0" w:color="auto"/>
              <w:right w:val="single" w:sz="4" w:space="0" w:color="auto"/>
            </w:tcBorders>
            <w:shd w:val="clear" w:color="auto" w:fill="FFFFFF"/>
          </w:tcPr>
          <w:p w14:paraId="237A3DA2" w14:textId="77777777" w:rsidR="008C76E0" w:rsidRPr="00BD7577" w:rsidRDefault="008C76E0" w:rsidP="00D72CF4">
            <w:pPr>
              <w:spacing w:after="160" w:line="360" w:lineRule="auto"/>
              <w:ind w:right="-1"/>
              <w:jc w:val="both"/>
              <w:rPr>
                <w:rFonts w:ascii="Sylfaen" w:hAnsi="Sylfaen"/>
                <w:sz w:val="24"/>
                <w:szCs w:val="24"/>
              </w:rPr>
            </w:pPr>
          </w:p>
        </w:tc>
      </w:tr>
    </w:tbl>
    <w:p w14:paraId="146D1F3F" w14:textId="77777777" w:rsidR="008C76E0" w:rsidRPr="00BD7577" w:rsidRDefault="008C76E0" w:rsidP="00D72CF4">
      <w:pPr>
        <w:tabs>
          <w:tab w:val="left" w:pos="1418"/>
        </w:tabs>
        <w:spacing w:after="160" w:line="360" w:lineRule="auto"/>
        <w:ind w:firstLine="567"/>
        <w:rPr>
          <w:rFonts w:ascii="Sylfaen" w:hAnsi="Sylfaen"/>
          <w:sz w:val="24"/>
          <w:szCs w:val="24"/>
        </w:rPr>
      </w:pPr>
    </w:p>
    <w:p w14:paraId="395478D2" w14:textId="77777777" w:rsidR="008C76E0" w:rsidRPr="00BD7577" w:rsidRDefault="008C76E0" w:rsidP="00D72CF4">
      <w:pPr>
        <w:tabs>
          <w:tab w:val="left" w:pos="1418"/>
        </w:tabs>
        <w:spacing w:after="160" w:line="360" w:lineRule="auto"/>
        <w:ind w:left="567" w:right="566"/>
        <w:jc w:val="center"/>
        <w:rPr>
          <w:rFonts w:ascii="Sylfaen" w:hAnsi="Sylfaen"/>
          <w:sz w:val="24"/>
          <w:szCs w:val="24"/>
        </w:rPr>
      </w:pPr>
      <w:r w:rsidRPr="00BD7577">
        <w:rPr>
          <w:rFonts w:ascii="Sylfaen" w:hAnsi="Sylfaen"/>
          <w:sz w:val="24"/>
          <w:szCs w:val="24"/>
        </w:rPr>
        <w:t>3.7. Կայունությունը (մոդուլ 3.2.S.7)</w:t>
      </w:r>
    </w:p>
    <w:p w14:paraId="78ABEE52" w14:textId="77777777" w:rsidR="008C76E0" w:rsidRPr="00BD7577" w:rsidRDefault="008C76E0" w:rsidP="00D72CF4">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3.7.1.</w:t>
      </w:r>
      <w:r w:rsidRPr="00BD7577">
        <w:rPr>
          <w:rFonts w:ascii="Sylfaen" w:hAnsi="Sylfaen"/>
          <w:sz w:val="24"/>
          <w:szCs w:val="24"/>
        </w:rPr>
        <w:tab/>
        <w:t xml:space="preserve">Կայունության փորձարկումների վերաբերյալ ռեզյումեն </w:t>
      </w:r>
      <w:r w:rsidR="00C54D75">
        <w:rPr>
          <w:rFonts w:ascii="Sylfaen" w:hAnsi="Sylfaen"/>
          <w:sz w:val="24"/>
          <w:szCs w:val="24"/>
        </w:rPr>
        <w:t>և</w:t>
      </w:r>
      <w:r w:rsidRPr="00BD7577">
        <w:rPr>
          <w:rFonts w:ascii="Sylfaen" w:hAnsi="Sylfaen"/>
          <w:sz w:val="24"/>
          <w:szCs w:val="24"/>
        </w:rPr>
        <w:t xml:space="preserve"> կայունության վերաբերյալ եզրակացությունը (բաժին՝ S.7.1)։ </w:t>
      </w:r>
    </w:p>
    <w:p w14:paraId="76E2BE6A"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lastRenderedPageBreak/>
        <w:t>___________________________________________________________________________</w:t>
      </w:r>
    </w:p>
    <w:p w14:paraId="73AFE7CF"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5CE16B"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C408B09" w14:textId="77777777" w:rsidR="008C76E0" w:rsidRPr="00BD7577" w:rsidRDefault="008C76E0" w:rsidP="00D72CF4">
      <w:pPr>
        <w:tabs>
          <w:tab w:val="left" w:pos="1418"/>
        </w:tabs>
        <w:spacing w:after="160" w:line="360" w:lineRule="auto"/>
        <w:ind w:firstLine="567"/>
        <w:rPr>
          <w:rFonts w:ascii="Sylfaen" w:hAnsi="Sylfaen"/>
          <w:sz w:val="24"/>
          <w:szCs w:val="24"/>
        </w:rPr>
      </w:pPr>
    </w:p>
    <w:p w14:paraId="23227E7C" w14:textId="77777777" w:rsidR="00770E2B" w:rsidRDefault="00770E2B" w:rsidP="00D72CF4">
      <w:pPr>
        <w:widowControl/>
        <w:spacing w:after="160" w:line="360" w:lineRule="auto"/>
        <w:rPr>
          <w:rFonts w:ascii="Sylfaen" w:hAnsi="Sylfaen"/>
          <w:sz w:val="24"/>
          <w:szCs w:val="24"/>
        </w:rPr>
      </w:pPr>
      <w:r>
        <w:rPr>
          <w:rFonts w:ascii="Sylfaen" w:hAnsi="Sylfaen"/>
          <w:sz w:val="24"/>
          <w:szCs w:val="24"/>
        </w:rPr>
        <w:br w:type="page"/>
      </w:r>
    </w:p>
    <w:p w14:paraId="7D5B26F2" w14:textId="77777777" w:rsidR="008C76E0" w:rsidRPr="00BD7577" w:rsidRDefault="008C76E0" w:rsidP="008C76E0">
      <w:pPr>
        <w:ind w:right="-1"/>
        <w:jc w:val="right"/>
        <w:rPr>
          <w:rFonts w:ascii="Sylfaen" w:hAnsi="Sylfaen"/>
          <w:sz w:val="24"/>
          <w:szCs w:val="24"/>
        </w:rPr>
      </w:pPr>
      <w:r w:rsidRPr="00BD7577">
        <w:rPr>
          <w:rFonts w:ascii="Sylfaen" w:hAnsi="Sylfaen"/>
          <w:sz w:val="24"/>
          <w:szCs w:val="24"/>
        </w:rPr>
        <w:lastRenderedPageBreak/>
        <w:t>Աղյուսակ S. 7-1</w:t>
      </w:r>
    </w:p>
    <w:p w14:paraId="2CF21231" w14:textId="77777777" w:rsidR="008C76E0" w:rsidRPr="00BD7577" w:rsidRDefault="008C76E0" w:rsidP="008C76E0">
      <w:pPr>
        <w:ind w:right="-1"/>
        <w:rPr>
          <w:rFonts w:ascii="Sylfaen" w:hAnsi="Sylfaen"/>
          <w:sz w:val="24"/>
          <w:szCs w:val="24"/>
        </w:rPr>
      </w:pPr>
      <w:r w:rsidRPr="00BD7577">
        <w:rPr>
          <w:rFonts w:ascii="Sylfaen" w:hAnsi="Sylfaen"/>
          <w:sz w:val="24"/>
          <w:szCs w:val="24"/>
        </w:rPr>
        <w:t>Կայունության փորձարկումները</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2669"/>
        <w:gridCol w:w="1454"/>
        <w:gridCol w:w="3836"/>
        <w:gridCol w:w="2242"/>
      </w:tblGrid>
      <w:tr w:rsidR="008C76E0" w:rsidRPr="00BD7577" w14:paraId="758F05AE" w14:textId="77777777" w:rsidTr="008C76E0">
        <w:trPr>
          <w:jc w:val="center"/>
        </w:trPr>
        <w:tc>
          <w:tcPr>
            <w:tcW w:w="2669" w:type="dxa"/>
            <w:tcBorders>
              <w:top w:val="single" w:sz="4" w:space="0" w:color="auto"/>
              <w:left w:val="single" w:sz="4" w:space="0" w:color="auto"/>
            </w:tcBorders>
            <w:shd w:val="clear" w:color="auto" w:fill="FFFFFF"/>
          </w:tcPr>
          <w:p w14:paraId="5DB0BA71" w14:textId="77777777" w:rsidR="008C76E0" w:rsidRPr="008C76E0" w:rsidRDefault="008C76E0" w:rsidP="008C76E0">
            <w:pPr>
              <w:pStyle w:val="Bodytext180"/>
              <w:shd w:val="clear" w:color="auto" w:fill="auto"/>
              <w:spacing w:before="0" w:after="160" w:line="360" w:lineRule="auto"/>
              <w:ind w:right="-1" w:firstLine="0"/>
              <w:jc w:val="center"/>
              <w:rPr>
                <w:rFonts w:ascii="Sylfaen" w:hAnsi="Sylfaen"/>
                <w:b w:val="0"/>
                <w:sz w:val="24"/>
                <w:szCs w:val="24"/>
                <w:lang w:val="hy-AM"/>
              </w:rPr>
            </w:pPr>
            <w:r w:rsidRPr="00BD7577">
              <w:rPr>
                <w:rStyle w:val="Bodytext1811pt"/>
                <w:rFonts w:ascii="Sylfaen" w:hAnsi="Sylfaen"/>
                <w:sz w:val="24"/>
                <w:szCs w:val="24"/>
              </w:rPr>
              <w:t>Ջերմաստիճանը, °C, հարաբերական խոնավությունը (ՀԽ), %</w:t>
            </w:r>
          </w:p>
        </w:tc>
        <w:tc>
          <w:tcPr>
            <w:tcW w:w="1454" w:type="dxa"/>
            <w:tcBorders>
              <w:top w:val="single" w:sz="4" w:space="0" w:color="auto"/>
              <w:left w:val="single" w:sz="4" w:space="0" w:color="auto"/>
            </w:tcBorders>
            <w:shd w:val="clear" w:color="auto" w:fill="FFFFFF"/>
          </w:tcPr>
          <w:p w14:paraId="5FED5651" w14:textId="77777777" w:rsidR="008C76E0" w:rsidRPr="00BD7577"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BD7577">
              <w:rPr>
                <w:rStyle w:val="Bodytext295pt"/>
                <w:rFonts w:ascii="Sylfaen" w:hAnsi="Sylfaen"/>
                <w:spacing w:val="0"/>
                <w:sz w:val="24"/>
                <w:szCs w:val="24"/>
              </w:rPr>
              <w:t>n</w:t>
            </w:r>
            <w:r w:rsidRPr="00BD7577">
              <w:rPr>
                <w:rStyle w:val="Bodytext1811pt"/>
                <w:rFonts w:ascii="Sylfaen" w:hAnsi="Sylfaen"/>
                <w:sz w:val="24"/>
                <w:szCs w:val="24"/>
              </w:rPr>
              <w:t xml:space="preserve"> սերիաներ х ամիսներ</w:t>
            </w:r>
          </w:p>
        </w:tc>
        <w:tc>
          <w:tcPr>
            <w:tcW w:w="3836" w:type="dxa"/>
            <w:tcBorders>
              <w:top w:val="single" w:sz="4" w:space="0" w:color="auto"/>
              <w:left w:val="single" w:sz="4" w:space="0" w:color="auto"/>
            </w:tcBorders>
            <w:shd w:val="clear" w:color="auto" w:fill="FFFFFF"/>
          </w:tcPr>
          <w:p w14:paraId="2F155664" w14:textId="77777777" w:rsidR="008C76E0" w:rsidRPr="00BD7577"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BD7577">
              <w:rPr>
                <w:rStyle w:val="Bodytext1811pt"/>
                <w:rFonts w:ascii="Sylfaen" w:hAnsi="Sylfaen"/>
                <w:sz w:val="24"/>
                <w:szCs w:val="24"/>
              </w:rPr>
              <w:t>Սերիայի չափը</w:t>
            </w:r>
          </w:p>
        </w:tc>
        <w:tc>
          <w:tcPr>
            <w:tcW w:w="2242" w:type="dxa"/>
            <w:tcBorders>
              <w:top w:val="single" w:sz="4" w:space="0" w:color="auto"/>
              <w:left w:val="single" w:sz="4" w:space="0" w:color="auto"/>
              <w:right w:val="single" w:sz="4" w:space="0" w:color="auto"/>
            </w:tcBorders>
            <w:shd w:val="clear" w:color="auto" w:fill="FFFFFF"/>
          </w:tcPr>
          <w:p w14:paraId="60A0028F" w14:textId="77777777" w:rsidR="008C76E0" w:rsidRPr="00BD7577"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BD7577">
              <w:rPr>
                <w:rStyle w:val="Bodytext1811pt"/>
                <w:rFonts w:ascii="Sylfaen" w:hAnsi="Sylfaen"/>
                <w:sz w:val="24"/>
                <w:szCs w:val="24"/>
              </w:rPr>
              <w:t>Փաթեթվածքը</w:t>
            </w:r>
          </w:p>
        </w:tc>
      </w:tr>
      <w:tr w:rsidR="008C76E0" w:rsidRPr="00BD7577" w14:paraId="74BB2CA0" w14:textId="77777777" w:rsidTr="008C76E0">
        <w:trPr>
          <w:jc w:val="center"/>
        </w:trPr>
        <w:tc>
          <w:tcPr>
            <w:tcW w:w="2669" w:type="dxa"/>
            <w:tcBorders>
              <w:top w:val="single" w:sz="4" w:space="0" w:color="auto"/>
              <w:left w:val="single" w:sz="4" w:space="0" w:color="auto"/>
            </w:tcBorders>
            <w:shd w:val="clear" w:color="auto" w:fill="FFFFFF"/>
          </w:tcPr>
          <w:p w14:paraId="0AD9ED55" w14:textId="77777777" w:rsidR="008C76E0" w:rsidRPr="00BD7577" w:rsidRDefault="008C76E0" w:rsidP="008C76E0">
            <w:pPr>
              <w:pStyle w:val="Bodytext180"/>
              <w:shd w:val="clear" w:color="auto" w:fill="auto"/>
              <w:spacing w:before="0" w:after="160" w:line="360" w:lineRule="auto"/>
              <w:ind w:left="129" w:right="-1" w:firstLine="0"/>
              <w:rPr>
                <w:rFonts w:ascii="Sylfaen" w:hAnsi="Sylfaen"/>
                <w:b w:val="0"/>
                <w:sz w:val="24"/>
                <w:szCs w:val="24"/>
              </w:rPr>
            </w:pPr>
            <w:r w:rsidRPr="00BD7577">
              <w:rPr>
                <w:rStyle w:val="Bodytext1811pt"/>
                <w:rFonts w:ascii="Sylfaen" w:hAnsi="Sylfaen"/>
                <w:sz w:val="24"/>
                <w:szCs w:val="24"/>
              </w:rPr>
              <w:t>25°C / ՀԽ 60 %</w:t>
            </w:r>
          </w:p>
        </w:tc>
        <w:tc>
          <w:tcPr>
            <w:tcW w:w="1454" w:type="dxa"/>
            <w:tcBorders>
              <w:top w:val="single" w:sz="4" w:space="0" w:color="auto"/>
              <w:left w:val="single" w:sz="4" w:space="0" w:color="auto"/>
            </w:tcBorders>
            <w:shd w:val="clear" w:color="auto" w:fill="FFFFFF"/>
          </w:tcPr>
          <w:p w14:paraId="657298F0" w14:textId="77777777" w:rsidR="008C76E0" w:rsidRPr="00BD7577" w:rsidRDefault="008C76E0" w:rsidP="008C76E0">
            <w:pPr>
              <w:ind w:right="-1"/>
              <w:rPr>
                <w:rFonts w:ascii="Sylfaen" w:hAnsi="Sylfaen"/>
                <w:sz w:val="24"/>
                <w:szCs w:val="24"/>
              </w:rPr>
            </w:pPr>
          </w:p>
        </w:tc>
        <w:tc>
          <w:tcPr>
            <w:tcW w:w="3836" w:type="dxa"/>
            <w:tcBorders>
              <w:top w:val="single" w:sz="4" w:space="0" w:color="auto"/>
              <w:left w:val="single" w:sz="4" w:space="0" w:color="auto"/>
            </w:tcBorders>
            <w:shd w:val="clear" w:color="auto" w:fill="FFFFFF"/>
          </w:tcPr>
          <w:p w14:paraId="78621ED4" w14:textId="77777777" w:rsidR="008C76E0" w:rsidRPr="008C76E0" w:rsidRDefault="008C76E0" w:rsidP="008C76E0">
            <w:pPr>
              <w:pStyle w:val="Bodytext180"/>
              <w:shd w:val="clear" w:color="auto" w:fill="auto"/>
              <w:spacing w:before="0" w:after="160" w:line="360" w:lineRule="auto"/>
              <w:ind w:left="185" w:right="-1" w:firstLine="0"/>
              <w:rPr>
                <w:rFonts w:ascii="Sylfaen" w:hAnsi="Sylfaen"/>
                <w:b w:val="0"/>
                <w:sz w:val="24"/>
                <w:szCs w:val="24"/>
                <w:lang w:val="hy-AM"/>
              </w:rPr>
            </w:pPr>
            <w:r w:rsidRPr="00BD7577">
              <w:rPr>
                <w:rStyle w:val="Bodytext1811pt"/>
                <w:rFonts w:ascii="Sylfaen" w:hAnsi="Sylfaen"/>
                <w:sz w:val="24"/>
                <w:szCs w:val="24"/>
              </w:rPr>
              <w:t>արդյունաբերական մասշտաբը կամ փորձարարաարդյունաբերական մասշտաբը</w:t>
            </w:r>
          </w:p>
        </w:tc>
        <w:tc>
          <w:tcPr>
            <w:tcW w:w="2242" w:type="dxa"/>
            <w:tcBorders>
              <w:top w:val="single" w:sz="4" w:space="0" w:color="auto"/>
              <w:left w:val="single" w:sz="4" w:space="0" w:color="auto"/>
              <w:right w:val="single" w:sz="4" w:space="0" w:color="auto"/>
            </w:tcBorders>
            <w:shd w:val="clear" w:color="auto" w:fill="FFFFFF"/>
          </w:tcPr>
          <w:p w14:paraId="67459D94" w14:textId="77777777" w:rsidR="008C76E0" w:rsidRPr="008C76E0" w:rsidRDefault="008C76E0" w:rsidP="008C76E0">
            <w:pPr>
              <w:pStyle w:val="Bodytext180"/>
              <w:shd w:val="clear" w:color="auto" w:fill="auto"/>
              <w:spacing w:before="0" w:after="160" w:line="360" w:lineRule="auto"/>
              <w:ind w:left="185" w:right="-1" w:firstLine="0"/>
              <w:rPr>
                <w:rFonts w:ascii="Sylfaen" w:hAnsi="Sylfaen"/>
                <w:b w:val="0"/>
                <w:sz w:val="24"/>
                <w:szCs w:val="24"/>
                <w:lang w:val="hy-AM"/>
              </w:rPr>
            </w:pPr>
            <w:r w:rsidRPr="00BD7577">
              <w:rPr>
                <w:rStyle w:val="Bodytext1811pt"/>
                <w:rFonts w:ascii="Sylfaen" w:hAnsi="Sylfaen"/>
                <w:sz w:val="24"/>
                <w:szCs w:val="24"/>
              </w:rPr>
              <w:t>նախատեսված է իրացման համար, թե՝ ոչ</w:t>
            </w:r>
          </w:p>
        </w:tc>
      </w:tr>
      <w:tr w:rsidR="008C76E0" w:rsidRPr="00BD7577" w14:paraId="387BE783" w14:textId="77777777" w:rsidTr="008C76E0">
        <w:trPr>
          <w:jc w:val="center"/>
        </w:trPr>
        <w:tc>
          <w:tcPr>
            <w:tcW w:w="2669" w:type="dxa"/>
            <w:tcBorders>
              <w:top w:val="single" w:sz="4" w:space="0" w:color="auto"/>
              <w:left w:val="single" w:sz="4" w:space="0" w:color="auto"/>
            </w:tcBorders>
            <w:shd w:val="clear" w:color="auto" w:fill="FFFFFF"/>
          </w:tcPr>
          <w:p w14:paraId="4BABEB9D" w14:textId="77777777" w:rsidR="008C76E0" w:rsidRPr="00BD7577" w:rsidRDefault="008C76E0" w:rsidP="008C76E0">
            <w:pPr>
              <w:pStyle w:val="Bodytext180"/>
              <w:shd w:val="clear" w:color="auto" w:fill="auto"/>
              <w:spacing w:before="0" w:after="160" w:line="360" w:lineRule="auto"/>
              <w:ind w:left="129" w:right="-1" w:firstLine="0"/>
              <w:rPr>
                <w:rFonts w:ascii="Sylfaen" w:hAnsi="Sylfaen"/>
                <w:b w:val="0"/>
                <w:sz w:val="24"/>
                <w:szCs w:val="24"/>
              </w:rPr>
            </w:pPr>
            <w:r w:rsidRPr="00BD7577">
              <w:rPr>
                <w:rStyle w:val="Bodytext1811pt"/>
                <w:rFonts w:ascii="Sylfaen" w:hAnsi="Sylfaen"/>
                <w:sz w:val="24"/>
                <w:szCs w:val="24"/>
              </w:rPr>
              <w:t>40°C / ՀԽ 75 %</w:t>
            </w:r>
          </w:p>
        </w:tc>
        <w:tc>
          <w:tcPr>
            <w:tcW w:w="1454" w:type="dxa"/>
            <w:tcBorders>
              <w:top w:val="single" w:sz="4" w:space="0" w:color="auto"/>
              <w:left w:val="single" w:sz="4" w:space="0" w:color="auto"/>
            </w:tcBorders>
            <w:shd w:val="clear" w:color="auto" w:fill="FFFFFF"/>
          </w:tcPr>
          <w:p w14:paraId="1D7AB8AF" w14:textId="77777777" w:rsidR="008C76E0" w:rsidRPr="00BD7577" w:rsidRDefault="008C76E0" w:rsidP="008C76E0">
            <w:pPr>
              <w:ind w:right="-1"/>
              <w:rPr>
                <w:rFonts w:ascii="Sylfaen" w:hAnsi="Sylfaen"/>
                <w:sz w:val="24"/>
                <w:szCs w:val="24"/>
              </w:rPr>
            </w:pPr>
          </w:p>
        </w:tc>
        <w:tc>
          <w:tcPr>
            <w:tcW w:w="3836" w:type="dxa"/>
            <w:tcBorders>
              <w:top w:val="single" w:sz="4" w:space="0" w:color="auto"/>
              <w:left w:val="single" w:sz="4" w:space="0" w:color="auto"/>
            </w:tcBorders>
            <w:shd w:val="clear" w:color="auto" w:fill="FFFFFF"/>
          </w:tcPr>
          <w:p w14:paraId="080BD277" w14:textId="77777777" w:rsidR="008C76E0" w:rsidRPr="00BD7577" w:rsidRDefault="008C76E0" w:rsidP="008C76E0">
            <w:pPr>
              <w:ind w:right="-1"/>
              <w:rPr>
                <w:rFonts w:ascii="Sylfaen" w:hAnsi="Sylfaen"/>
                <w:sz w:val="24"/>
                <w:szCs w:val="24"/>
              </w:rPr>
            </w:pPr>
          </w:p>
        </w:tc>
        <w:tc>
          <w:tcPr>
            <w:tcW w:w="2242" w:type="dxa"/>
            <w:tcBorders>
              <w:top w:val="single" w:sz="4" w:space="0" w:color="auto"/>
              <w:left w:val="single" w:sz="4" w:space="0" w:color="auto"/>
              <w:right w:val="single" w:sz="4" w:space="0" w:color="auto"/>
            </w:tcBorders>
            <w:shd w:val="clear" w:color="auto" w:fill="FFFFFF"/>
          </w:tcPr>
          <w:p w14:paraId="4895DE3F" w14:textId="77777777" w:rsidR="008C76E0" w:rsidRPr="00BD7577" w:rsidRDefault="008C76E0" w:rsidP="008C76E0">
            <w:pPr>
              <w:ind w:right="-1"/>
              <w:rPr>
                <w:rFonts w:ascii="Sylfaen" w:hAnsi="Sylfaen"/>
                <w:sz w:val="24"/>
                <w:szCs w:val="24"/>
              </w:rPr>
            </w:pPr>
          </w:p>
        </w:tc>
      </w:tr>
      <w:tr w:rsidR="008C76E0" w:rsidRPr="00BD7577" w14:paraId="3C2F2394" w14:textId="77777777" w:rsidTr="008C76E0">
        <w:trPr>
          <w:jc w:val="center"/>
        </w:trPr>
        <w:tc>
          <w:tcPr>
            <w:tcW w:w="2669" w:type="dxa"/>
            <w:tcBorders>
              <w:top w:val="single" w:sz="4" w:space="0" w:color="auto"/>
              <w:left w:val="single" w:sz="4" w:space="0" w:color="auto"/>
              <w:bottom w:val="single" w:sz="4" w:space="0" w:color="auto"/>
            </w:tcBorders>
            <w:shd w:val="clear" w:color="auto" w:fill="FFFFFF"/>
          </w:tcPr>
          <w:p w14:paraId="046D5127" w14:textId="77777777" w:rsidR="008C76E0" w:rsidRPr="00BD7577" w:rsidRDefault="008C76E0" w:rsidP="008C76E0">
            <w:pPr>
              <w:ind w:left="129" w:right="-1"/>
              <w:rPr>
                <w:rFonts w:ascii="Sylfaen" w:hAnsi="Sylfaen"/>
                <w:sz w:val="24"/>
                <w:szCs w:val="24"/>
              </w:rPr>
            </w:pPr>
          </w:p>
        </w:tc>
        <w:tc>
          <w:tcPr>
            <w:tcW w:w="1454" w:type="dxa"/>
            <w:tcBorders>
              <w:top w:val="single" w:sz="4" w:space="0" w:color="auto"/>
              <w:left w:val="single" w:sz="4" w:space="0" w:color="auto"/>
              <w:bottom w:val="single" w:sz="4" w:space="0" w:color="auto"/>
            </w:tcBorders>
            <w:shd w:val="clear" w:color="auto" w:fill="FFFFFF"/>
          </w:tcPr>
          <w:p w14:paraId="70CF005C" w14:textId="77777777" w:rsidR="008C76E0" w:rsidRPr="00BD7577" w:rsidRDefault="008C76E0" w:rsidP="008C76E0">
            <w:pPr>
              <w:ind w:right="-1"/>
              <w:rPr>
                <w:rFonts w:ascii="Sylfaen" w:hAnsi="Sylfaen"/>
                <w:sz w:val="24"/>
                <w:szCs w:val="24"/>
              </w:rPr>
            </w:pPr>
          </w:p>
        </w:tc>
        <w:tc>
          <w:tcPr>
            <w:tcW w:w="3836" w:type="dxa"/>
            <w:tcBorders>
              <w:top w:val="single" w:sz="4" w:space="0" w:color="auto"/>
              <w:left w:val="single" w:sz="4" w:space="0" w:color="auto"/>
              <w:bottom w:val="single" w:sz="4" w:space="0" w:color="auto"/>
            </w:tcBorders>
            <w:shd w:val="clear" w:color="auto" w:fill="FFFFFF"/>
          </w:tcPr>
          <w:p w14:paraId="504DB64B" w14:textId="77777777" w:rsidR="008C76E0" w:rsidRPr="00BD7577" w:rsidRDefault="008C76E0" w:rsidP="008C76E0">
            <w:pPr>
              <w:ind w:right="-1"/>
              <w:rPr>
                <w:rFonts w:ascii="Sylfaen" w:hAnsi="Sylfaen"/>
                <w:sz w:val="24"/>
                <w:szCs w:val="24"/>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14:paraId="5057323D" w14:textId="77777777" w:rsidR="008C76E0" w:rsidRPr="00BD7577" w:rsidRDefault="008C76E0" w:rsidP="008C76E0">
            <w:pPr>
              <w:ind w:right="-1"/>
              <w:rPr>
                <w:rFonts w:ascii="Sylfaen" w:hAnsi="Sylfaen"/>
                <w:sz w:val="24"/>
                <w:szCs w:val="24"/>
              </w:rPr>
            </w:pPr>
          </w:p>
        </w:tc>
      </w:tr>
    </w:tbl>
    <w:p w14:paraId="7774C14D" w14:textId="77777777" w:rsidR="008C76E0" w:rsidRPr="00BD7577" w:rsidRDefault="008C76E0" w:rsidP="00D72CF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3.7.2.</w:t>
      </w:r>
      <w:r w:rsidRPr="00BD7577">
        <w:rPr>
          <w:rFonts w:ascii="Sylfaen" w:hAnsi="Sylfaen"/>
          <w:sz w:val="24"/>
          <w:szCs w:val="24"/>
        </w:rPr>
        <w:tab/>
        <w:t xml:space="preserve">Կայունության հետգրանցումային փորձարկումների ծրագիրը </w:t>
      </w:r>
      <w:r w:rsidR="00C54D75">
        <w:rPr>
          <w:rFonts w:ascii="Sylfaen" w:hAnsi="Sylfaen"/>
          <w:sz w:val="24"/>
          <w:szCs w:val="24"/>
        </w:rPr>
        <w:t>և</w:t>
      </w:r>
      <w:r w:rsidRPr="00BD7577">
        <w:rPr>
          <w:rFonts w:ascii="Sylfaen" w:hAnsi="Sylfaen"/>
          <w:sz w:val="24"/>
          <w:szCs w:val="24"/>
        </w:rPr>
        <w:t xml:space="preserve"> կայունությանը վերաբերող պարտավորությունները (բաժին S.7.2):</w:t>
      </w:r>
    </w:p>
    <w:p w14:paraId="55288D53"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FC287CA"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4E013AB"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35F654F" w14:textId="77777777" w:rsidR="008C76E0" w:rsidRPr="00BD7577" w:rsidRDefault="008C76E0" w:rsidP="00D72CF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3.7.3.</w:t>
      </w:r>
      <w:r w:rsidRPr="00BD7577">
        <w:rPr>
          <w:rFonts w:ascii="Sylfaen" w:hAnsi="Sylfaen"/>
          <w:sz w:val="24"/>
          <w:szCs w:val="24"/>
        </w:rPr>
        <w:tab/>
        <w:t xml:space="preserve">Կայունության վերաբերյալ փորձարկումների տվյալները </w:t>
      </w:r>
      <w:r w:rsidRPr="00A84E19">
        <w:rPr>
          <w:rFonts w:ascii="Sylfaen" w:hAnsi="Sylfaen"/>
          <w:sz w:val="24"/>
          <w:szCs w:val="24"/>
        </w:rPr>
        <w:br/>
      </w:r>
      <w:r w:rsidRPr="00BD7577">
        <w:rPr>
          <w:rFonts w:ascii="Sylfaen" w:hAnsi="Sylfaen"/>
          <w:sz w:val="24"/>
          <w:szCs w:val="24"/>
        </w:rPr>
        <w:t>(բաժին S.7.3):</w:t>
      </w:r>
    </w:p>
    <w:p w14:paraId="4DBE478A" w14:textId="77777777" w:rsidR="008C76E0" w:rsidRPr="00BD7577" w:rsidRDefault="008C76E0" w:rsidP="00D72CF4">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Կայունության փորձարկման այն տվյալները, որոնց վրա հիմնվում է S.7.1 բաժնի համառոտ ամփոփումն ու եզրակացությունը, ներառվում են դոսյեում։</w:t>
      </w:r>
    </w:p>
    <w:p w14:paraId="17CB49AF"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CD67C2A"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B663CEF"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197" w:type="dxa"/>
        <w:jc w:val="center"/>
        <w:tblLayout w:type="fixed"/>
        <w:tblCellMar>
          <w:left w:w="10" w:type="dxa"/>
          <w:right w:w="10" w:type="dxa"/>
        </w:tblCellMar>
        <w:tblLook w:val="04A0" w:firstRow="1" w:lastRow="0" w:firstColumn="1" w:lastColumn="0" w:noHBand="0" w:noVBand="1"/>
      </w:tblPr>
      <w:tblGrid>
        <w:gridCol w:w="9197"/>
      </w:tblGrid>
      <w:tr w:rsidR="008C76E0" w:rsidRPr="00BD7577" w14:paraId="596FC92C" w14:textId="77777777" w:rsidTr="008C76E0">
        <w:trPr>
          <w:jc w:val="center"/>
        </w:trPr>
        <w:tc>
          <w:tcPr>
            <w:tcW w:w="9197" w:type="dxa"/>
            <w:tcBorders>
              <w:top w:val="single" w:sz="4" w:space="0" w:color="auto"/>
              <w:left w:val="single" w:sz="4" w:space="0" w:color="auto"/>
              <w:right w:val="single" w:sz="4" w:space="0" w:color="auto"/>
            </w:tcBorders>
            <w:shd w:val="clear" w:color="auto" w:fill="FFFFFF"/>
            <w:vAlign w:val="bottom"/>
          </w:tcPr>
          <w:p w14:paraId="1C3C8966" w14:textId="77777777" w:rsidR="008C76E0" w:rsidRPr="00BD7577" w:rsidRDefault="008C76E0" w:rsidP="00D72CF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0CFB1982" w14:textId="77777777" w:rsidTr="008C76E0">
        <w:trPr>
          <w:jc w:val="center"/>
        </w:trPr>
        <w:tc>
          <w:tcPr>
            <w:tcW w:w="9197" w:type="dxa"/>
            <w:tcBorders>
              <w:top w:val="single" w:sz="4" w:space="0" w:color="auto"/>
              <w:left w:val="single" w:sz="4" w:space="0" w:color="auto"/>
              <w:right w:val="single" w:sz="4" w:space="0" w:color="auto"/>
            </w:tcBorders>
            <w:shd w:val="clear" w:color="auto" w:fill="FFFFFF"/>
          </w:tcPr>
          <w:p w14:paraId="308582E3" w14:textId="77777777" w:rsidR="008C76E0" w:rsidRPr="00BD7577" w:rsidRDefault="008C76E0" w:rsidP="008C76E0">
            <w:pPr>
              <w:ind w:right="-1"/>
              <w:jc w:val="both"/>
              <w:rPr>
                <w:rFonts w:ascii="Sylfaen" w:hAnsi="Sylfaen"/>
                <w:sz w:val="24"/>
                <w:szCs w:val="24"/>
                <w:highlight w:val="yellow"/>
              </w:rPr>
            </w:pPr>
          </w:p>
        </w:tc>
      </w:tr>
      <w:tr w:rsidR="008C76E0" w:rsidRPr="00BD7577" w14:paraId="7484D65D" w14:textId="77777777" w:rsidTr="008C76E0">
        <w:trPr>
          <w:jc w:val="center"/>
        </w:trPr>
        <w:tc>
          <w:tcPr>
            <w:tcW w:w="9197" w:type="dxa"/>
            <w:tcBorders>
              <w:top w:val="single" w:sz="4" w:space="0" w:color="auto"/>
              <w:left w:val="single" w:sz="4" w:space="0" w:color="auto"/>
              <w:bottom w:val="single" w:sz="4" w:space="0" w:color="auto"/>
              <w:right w:val="single" w:sz="4" w:space="0" w:color="auto"/>
            </w:tcBorders>
            <w:shd w:val="clear" w:color="auto" w:fill="FFFFFF"/>
          </w:tcPr>
          <w:p w14:paraId="180E37F1" w14:textId="77777777" w:rsidR="008C76E0" w:rsidRPr="00BD7577" w:rsidRDefault="008C76E0" w:rsidP="008C76E0">
            <w:pPr>
              <w:ind w:right="-1"/>
              <w:jc w:val="both"/>
              <w:rPr>
                <w:rFonts w:ascii="Sylfaen" w:hAnsi="Sylfaen"/>
                <w:sz w:val="24"/>
                <w:szCs w:val="24"/>
              </w:rPr>
            </w:pPr>
          </w:p>
        </w:tc>
      </w:tr>
    </w:tbl>
    <w:p w14:paraId="2720A85F" w14:textId="77777777" w:rsidR="008C76E0" w:rsidRPr="00BD7577" w:rsidRDefault="008C76E0" w:rsidP="00D72CF4">
      <w:pPr>
        <w:tabs>
          <w:tab w:val="left" w:pos="1418"/>
        </w:tabs>
        <w:spacing w:after="160" w:line="360" w:lineRule="auto"/>
        <w:ind w:left="567" w:right="566"/>
        <w:jc w:val="center"/>
        <w:rPr>
          <w:rFonts w:ascii="Sylfaen" w:hAnsi="Sylfaen"/>
          <w:sz w:val="24"/>
          <w:szCs w:val="24"/>
        </w:rPr>
      </w:pPr>
      <w:r w:rsidRPr="00BD7577">
        <w:rPr>
          <w:rFonts w:ascii="Sylfaen" w:hAnsi="Sylfaen"/>
          <w:sz w:val="24"/>
          <w:szCs w:val="24"/>
        </w:rPr>
        <w:t>4.</w:t>
      </w:r>
      <w:r w:rsidRPr="00BD7577">
        <w:rPr>
          <w:rFonts w:ascii="Sylfaen" w:hAnsi="Sylfaen"/>
          <w:sz w:val="24"/>
          <w:szCs w:val="24"/>
          <w:lang w:val="en-US"/>
        </w:rPr>
        <w:t xml:space="preserve"> </w:t>
      </w:r>
      <w:r w:rsidRPr="00BD7577">
        <w:rPr>
          <w:rFonts w:ascii="Sylfaen" w:hAnsi="Sylfaen"/>
          <w:sz w:val="24"/>
          <w:szCs w:val="24"/>
        </w:rPr>
        <w:t>Դեղապատրաստուկը (մոդուլ 3.2.P)</w:t>
      </w:r>
    </w:p>
    <w:p w14:paraId="2AE7FE48" w14:textId="77777777" w:rsidR="008C76E0" w:rsidRPr="00BD7577" w:rsidRDefault="008C76E0" w:rsidP="00D72CF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112EBB9"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DE9CA55"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D040C93" w14:textId="77777777" w:rsidR="008C76E0" w:rsidRPr="00BD7577" w:rsidRDefault="008C76E0" w:rsidP="004C0BC5">
      <w:pPr>
        <w:widowControl/>
        <w:spacing w:after="160" w:line="336" w:lineRule="auto"/>
        <w:jc w:val="both"/>
        <w:rPr>
          <w:rFonts w:ascii="Sylfaen" w:eastAsia="Times New Roman" w:hAnsi="Sylfaen" w:cs="Times New Roman"/>
          <w:sz w:val="24"/>
          <w:szCs w:val="24"/>
        </w:rPr>
      </w:pPr>
    </w:p>
    <w:p w14:paraId="5F633A3E" w14:textId="77777777" w:rsidR="008C76E0" w:rsidRPr="00BD7577" w:rsidRDefault="008C76E0" w:rsidP="004C0BC5">
      <w:pPr>
        <w:tabs>
          <w:tab w:val="left" w:pos="1418"/>
        </w:tabs>
        <w:spacing w:after="160" w:line="336" w:lineRule="auto"/>
        <w:ind w:left="567" w:right="566"/>
        <w:jc w:val="center"/>
        <w:rPr>
          <w:rFonts w:ascii="Sylfaen" w:hAnsi="Sylfaen"/>
          <w:sz w:val="24"/>
          <w:szCs w:val="24"/>
        </w:rPr>
      </w:pPr>
      <w:r w:rsidRPr="00BD7577">
        <w:rPr>
          <w:rFonts w:ascii="Sylfaen" w:hAnsi="Sylfaen"/>
          <w:sz w:val="24"/>
          <w:szCs w:val="24"/>
        </w:rPr>
        <w:t xml:space="preserve">4.1. Դեղապատրաստուկի նկարագրությունը </w:t>
      </w:r>
      <w:r w:rsidR="00C54D75">
        <w:rPr>
          <w:rFonts w:ascii="Sylfaen" w:hAnsi="Sylfaen"/>
          <w:sz w:val="24"/>
          <w:szCs w:val="24"/>
        </w:rPr>
        <w:t>և</w:t>
      </w:r>
      <w:r w:rsidRPr="00BD7577">
        <w:rPr>
          <w:rFonts w:ascii="Sylfaen" w:hAnsi="Sylfaen"/>
          <w:sz w:val="24"/>
          <w:szCs w:val="24"/>
        </w:rPr>
        <w:t xml:space="preserve"> բաղադրությունը </w:t>
      </w:r>
      <w:r w:rsidRPr="00BD7577">
        <w:rPr>
          <w:rFonts w:ascii="Sylfaen" w:hAnsi="Sylfaen"/>
          <w:sz w:val="24"/>
          <w:szCs w:val="24"/>
        </w:rPr>
        <w:br/>
        <w:t>(մոդուլ 3.2.P.1)</w:t>
      </w:r>
    </w:p>
    <w:p w14:paraId="7CBE4A5D" w14:textId="77777777" w:rsidR="008C76E0" w:rsidRPr="00BD7577" w:rsidRDefault="008C76E0" w:rsidP="004C0BC5">
      <w:pPr>
        <w:spacing w:after="160" w:line="336"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B37DCEE" w14:textId="77777777" w:rsidR="008C76E0" w:rsidRPr="00BD7577" w:rsidRDefault="008C76E0" w:rsidP="00D72CF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92355C7" w14:textId="77777777" w:rsidR="008C76E0" w:rsidRPr="00BD7577" w:rsidRDefault="008C76E0" w:rsidP="00D72CF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B9E796C" w14:textId="77777777" w:rsidR="008C76E0" w:rsidRPr="00BD7577" w:rsidRDefault="008C76E0" w:rsidP="004C0BC5">
      <w:pPr>
        <w:tabs>
          <w:tab w:val="left" w:pos="1418"/>
        </w:tabs>
        <w:spacing w:after="160" w:line="336" w:lineRule="auto"/>
        <w:ind w:right="-1" w:firstLine="567"/>
        <w:jc w:val="both"/>
        <w:rPr>
          <w:rFonts w:ascii="Sylfaen" w:hAnsi="Sylfaen"/>
          <w:sz w:val="24"/>
          <w:szCs w:val="24"/>
        </w:rPr>
      </w:pPr>
      <w:r w:rsidRPr="00BD7577">
        <w:rPr>
          <w:rFonts w:ascii="Sylfaen" w:hAnsi="Sylfaen"/>
          <w:sz w:val="24"/>
          <w:szCs w:val="24"/>
        </w:rPr>
        <w:t>&lt;Դեղապատրաստուկի անվանումը&gt; բաղադրությունը ներկայացված է P.1-1 աղյուսակում։</w:t>
      </w:r>
    </w:p>
    <w:p w14:paraId="09A5250A" w14:textId="77777777" w:rsidR="008C76E0" w:rsidRPr="00E15E7D" w:rsidRDefault="008C76E0" w:rsidP="004C0BC5">
      <w:pPr>
        <w:widowControl/>
        <w:spacing w:after="160" w:line="336" w:lineRule="auto"/>
        <w:rPr>
          <w:rFonts w:ascii="Sylfaen" w:hAnsi="Sylfaen"/>
          <w:sz w:val="24"/>
          <w:szCs w:val="24"/>
        </w:rPr>
      </w:pPr>
    </w:p>
    <w:p w14:paraId="1F8AAD67" w14:textId="77777777" w:rsidR="008C76E0" w:rsidRPr="00DD61E4" w:rsidRDefault="008C76E0" w:rsidP="004C0BC5">
      <w:pPr>
        <w:tabs>
          <w:tab w:val="left" w:pos="1418"/>
        </w:tabs>
        <w:spacing w:after="160" w:line="336" w:lineRule="auto"/>
        <w:ind w:right="-1" w:firstLine="567"/>
        <w:jc w:val="right"/>
        <w:rPr>
          <w:rFonts w:ascii="Sylfaen" w:hAnsi="Sylfaen"/>
          <w:sz w:val="24"/>
          <w:szCs w:val="24"/>
        </w:rPr>
      </w:pPr>
      <w:r w:rsidRPr="00BD7577">
        <w:rPr>
          <w:rFonts w:ascii="Sylfaen" w:hAnsi="Sylfaen"/>
          <w:sz w:val="24"/>
          <w:szCs w:val="24"/>
        </w:rPr>
        <w:t>Աղյուսակ P.1-1</w:t>
      </w:r>
    </w:p>
    <w:p w14:paraId="262B07CF" w14:textId="77777777" w:rsidR="008C76E0" w:rsidRPr="00DD61E4" w:rsidRDefault="008C76E0" w:rsidP="004C0BC5">
      <w:pPr>
        <w:tabs>
          <w:tab w:val="left" w:pos="1418"/>
        </w:tabs>
        <w:spacing w:after="160" w:line="336" w:lineRule="auto"/>
        <w:ind w:right="-1" w:firstLine="567"/>
        <w:jc w:val="right"/>
        <w:rPr>
          <w:rFonts w:ascii="Sylfaen" w:hAnsi="Sylfaen"/>
          <w:sz w:val="24"/>
          <w:szCs w:val="24"/>
        </w:rPr>
      </w:pPr>
    </w:p>
    <w:p w14:paraId="5BD75D4D" w14:textId="77777777" w:rsidR="008C76E0" w:rsidRPr="00BD7577" w:rsidRDefault="008C76E0" w:rsidP="004C0BC5">
      <w:pPr>
        <w:spacing w:after="160" w:line="336" w:lineRule="auto"/>
        <w:ind w:right="-1"/>
        <w:jc w:val="center"/>
        <w:rPr>
          <w:rFonts w:ascii="Sylfaen" w:hAnsi="Sylfaen"/>
          <w:sz w:val="24"/>
          <w:szCs w:val="24"/>
        </w:rPr>
      </w:pPr>
      <w:r w:rsidRPr="00BD7577">
        <w:rPr>
          <w:rFonts w:ascii="Sylfaen" w:hAnsi="Sylfaen"/>
          <w:sz w:val="24"/>
          <w:szCs w:val="24"/>
        </w:rPr>
        <w:t xml:space="preserve">&lt;Դեղապատրաստուկի անվանումը&gt; </w:t>
      </w:r>
      <w:r w:rsidRPr="00DD61E4">
        <w:rPr>
          <w:rFonts w:ascii="Sylfaen" w:hAnsi="Sylfaen"/>
          <w:sz w:val="24"/>
          <w:szCs w:val="24"/>
        </w:rPr>
        <w:br/>
      </w:r>
      <w:r w:rsidRPr="00BD7577">
        <w:rPr>
          <w:rFonts w:ascii="Sylfaen" w:hAnsi="Sylfaen"/>
          <w:sz w:val="24"/>
          <w:szCs w:val="24"/>
        </w:rPr>
        <w:t>ամբողջական բաղադրությունը</w:t>
      </w:r>
    </w:p>
    <w:tbl>
      <w:tblPr>
        <w:tblOverlap w:val="never"/>
        <w:tblW w:w="9596" w:type="dxa"/>
        <w:jc w:val="center"/>
        <w:tblLayout w:type="fixed"/>
        <w:tblCellMar>
          <w:left w:w="10" w:type="dxa"/>
          <w:right w:w="10" w:type="dxa"/>
        </w:tblCellMar>
        <w:tblLook w:val="04A0" w:firstRow="1" w:lastRow="0" w:firstColumn="1" w:lastColumn="0" w:noHBand="0" w:noVBand="1"/>
      </w:tblPr>
      <w:tblGrid>
        <w:gridCol w:w="1714"/>
        <w:gridCol w:w="994"/>
        <w:gridCol w:w="2270"/>
        <w:gridCol w:w="2266"/>
        <w:gridCol w:w="2352"/>
      </w:tblGrid>
      <w:tr w:rsidR="008C76E0" w:rsidRPr="00BD7577" w14:paraId="00BB392C" w14:textId="77777777" w:rsidTr="008C76E0">
        <w:trPr>
          <w:jc w:val="center"/>
        </w:trPr>
        <w:tc>
          <w:tcPr>
            <w:tcW w:w="1714" w:type="dxa"/>
            <w:tcBorders>
              <w:top w:val="single" w:sz="4" w:space="0" w:color="auto"/>
              <w:left w:val="single" w:sz="4" w:space="0" w:color="auto"/>
            </w:tcBorders>
            <w:shd w:val="clear" w:color="auto" w:fill="FFFFFF"/>
          </w:tcPr>
          <w:p w14:paraId="7023294A" w14:textId="77777777" w:rsidR="008C76E0" w:rsidRPr="00BD7577" w:rsidRDefault="008C76E0" w:rsidP="008C76E0">
            <w:pPr>
              <w:pStyle w:val="Bodytext180"/>
              <w:shd w:val="clear" w:color="auto" w:fill="auto"/>
              <w:spacing w:before="0" w:after="120" w:line="240" w:lineRule="auto"/>
              <w:ind w:left="145" w:right="57" w:firstLine="0"/>
              <w:jc w:val="center"/>
              <w:rPr>
                <w:rFonts w:ascii="Sylfaen" w:hAnsi="Sylfaen"/>
                <w:b w:val="0"/>
                <w:sz w:val="24"/>
                <w:szCs w:val="24"/>
              </w:rPr>
            </w:pPr>
            <w:r w:rsidRPr="00BD7577">
              <w:rPr>
                <w:rStyle w:val="Bodytext1811pt"/>
                <w:rFonts w:ascii="Sylfaen" w:hAnsi="Sylfaen"/>
                <w:sz w:val="24"/>
                <w:szCs w:val="24"/>
              </w:rPr>
              <w:t>Բաղադրիչը</w:t>
            </w:r>
          </w:p>
        </w:tc>
        <w:tc>
          <w:tcPr>
            <w:tcW w:w="994" w:type="dxa"/>
            <w:tcBorders>
              <w:top w:val="single" w:sz="4" w:space="0" w:color="auto"/>
              <w:left w:val="single" w:sz="4" w:space="0" w:color="auto"/>
            </w:tcBorders>
            <w:shd w:val="clear" w:color="auto" w:fill="FFFFFF"/>
          </w:tcPr>
          <w:p w14:paraId="0FF3DF51"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Հղում ՆՓ-ին</w:t>
            </w:r>
          </w:p>
        </w:tc>
        <w:tc>
          <w:tcPr>
            <w:tcW w:w="2270" w:type="dxa"/>
            <w:tcBorders>
              <w:top w:val="single" w:sz="4" w:space="0" w:color="auto"/>
              <w:left w:val="single" w:sz="4" w:space="0" w:color="auto"/>
            </w:tcBorders>
            <w:shd w:val="clear" w:color="auto" w:fill="FFFFFF"/>
            <w:vAlign w:val="bottom"/>
          </w:tcPr>
          <w:p w14:paraId="19CADB67" w14:textId="77777777" w:rsidR="008C76E0" w:rsidRPr="00BD7577" w:rsidRDefault="008C76E0" w:rsidP="008C76E0">
            <w:pPr>
              <w:pStyle w:val="Bodytext180"/>
              <w:shd w:val="clear" w:color="auto" w:fill="auto"/>
              <w:spacing w:before="0" w:after="120" w:line="240" w:lineRule="auto"/>
              <w:ind w:left="97" w:right="169" w:firstLine="0"/>
              <w:jc w:val="center"/>
              <w:rPr>
                <w:rFonts w:ascii="Sylfaen" w:hAnsi="Sylfaen"/>
                <w:b w:val="0"/>
                <w:sz w:val="24"/>
                <w:szCs w:val="24"/>
              </w:rPr>
            </w:pPr>
            <w:r w:rsidRPr="00BD7577">
              <w:rPr>
                <w:rStyle w:val="Bodytext1811pt"/>
                <w:rFonts w:ascii="Sylfaen" w:hAnsi="Sylfaen"/>
                <w:sz w:val="24"/>
                <w:szCs w:val="24"/>
              </w:rPr>
              <w:t>&lt;Անվանումը&gt; Քանակը (&lt;անվանումը&gt;)</w:t>
            </w:r>
          </w:p>
        </w:tc>
        <w:tc>
          <w:tcPr>
            <w:tcW w:w="2266" w:type="dxa"/>
            <w:tcBorders>
              <w:top w:val="single" w:sz="4" w:space="0" w:color="auto"/>
              <w:left w:val="single" w:sz="4" w:space="0" w:color="auto"/>
            </w:tcBorders>
            <w:shd w:val="clear" w:color="auto" w:fill="FFFFFF"/>
            <w:vAlign w:val="bottom"/>
          </w:tcPr>
          <w:p w14:paraId="164FC202" w14:textId="77777777" w:rsidR="008C76E0" w:rsidRPr="00BD7577" w:rsidRDefault="008C76E0" w:rsidP="008C76E0">
            <w:pPr>
              <w:pStyle w:val="Bodytext180"/>
              <w:shd w:val="clear" w:color="auto" w:fill="auto"/>
              <w:spacing w:before="0" w:after="120" w:line="240" w:lineRule="auto"/>
              <w:ind w:left="97" w:right="169" w:firstLine="0"/>
              <w:jc w:val="center"/>
              <w:rPr>
                <w:rFonts w:ascii="Sylfaen" w:hAnsi="Sylfaen"/>
                <w:b w:val="0"/>
                <w:sz w:val="24"/>
                <w:szCs w:val="24"/>
              </w:rPr>
            </w:pPr>
            <w:r w:rsidRPr="00BD7577">
              <w:rPr>
                <w:rStyle w:val="Bodytext1811pt"/>
                <w:rFonts w:ascii="Sylfaen" w:hAnsi="Sylfaen"/>
                <w:sz w:val="24"/>
                <w:szCs w:val="24"/>
              </w:rPr>
              <w:t>&lt;Անվանումը&gt; Քանակը (&lt;անվանումը&gt;)</w:t>
            </w:r>
          </w:p>
        </w:tc>
        <w:tc>
          <w:tcPr>
            <w:tcW w:w="2352" w:type="dxa"/>
            <w:tcBorders>
              <w:top w:val="single" w:sz="4" w:space="0" w:color="auto"/>
              <w:left w:val="single" w:sz="4" w:space="0" w:color="auto"/>
              <w:right w:val="single" w:sz="4" w:space="0" w:color="auto"/>
            </w:tcBorders>
            <w:shd w:val="clear" w:color="auto" w:fill="FFFFFF"/>
          </w:tcPr>
          <w:p w14:paraId="0CD27410" w14:textId="77777777" w:rsidR="008C76E0" w:rsidRPr="00BD7577" w:rsidRDefault="008C76E0" w:rsidP="008C76E0">
            <w:pPr>
              <w:pStyle w:val="Bodytext180"/>
              <w:shd w:val="clear" w:color="auto" w:fill="auto"/>
              <w:spacing w:before="0" w:after="120" w:line="240" w:lineRule="auto"/>
              <w:ind w:left="97" w:right="169" w:firstLine="0"/>
              <w:jc w:val="center"/>
              <w:rPr>
                <w:rFonts w:ascii="Sylfaen" w:hAnsi="Sylfaen"/>
                <w:b w:val="0"/>
                <w:sz w:val="24"/>
                <w:szCs w:val="24"/>
              </w:rPr>
            </w:pPr>
            <w:r w:rsidRPr="00BD7577">
              <w:rPr>
                <w:rStyle w:val="Bodytext1811pt"/>
                <w:rFonts w:ascii="Sylfaen" w:hAnsi="Sylfaen"/>
                <w:sz w:val="24"/>
                <w:szCs w:val="24"/>
              </w:rPr>
              <w:t>Գործառույթը</w:t>
            </w:r>
          </w:p>
        </w:tc>
      </w:tr>
      <w:tr w:rsidR="008C76E0" w:rsidRPr="00BD7577" w14:paraId="7825832A" w14:textId="77777777" w:rsidTr="008C76E0">
        <w:trPr>
          <w:jc w:val="center"/>
        </w:trPr>
        <w:tc>
          <w:tcPr>
            <w:tcW w:w="1714" w:type="dxa"/>
            <w:tcBorders>
              <w:top w:val="single" w:sz="4" w:space="0" w:color="auto"/>
              <w:left w:val="single" w:sz="4" w:space="0" w:color="auto"/>
            </w:tcBorders>
            <w:shd w:val="clear" w:color="auto" w:fill="FFFFFF"/>
          </w:tcPr>
          <w:p w14:paraId="298CF8AB" w14:textId="77777777" w:rsidR="008C76E0" w:rsidRPr="00BD7577" w:rsidRDefault="008C76E0" w:rsidP="008C76E0">
            <w:pPr>
              <w:spacing w:after="120" w:line="240" w:lineRule="auto"/>
              <w:ind w:left="145" w:right="57"/>
              <w:jc w:val="both"/>
              <w:rPr>
                <w:rFonts w:ascii="Sylfaen" w:hAnsi="Sylfaen"/>
                <w:sz w:val="24"/>
                <w:szCs w:val="24"/>
              </w:rPr>
            </w:pPr>
          </w:p>
        </w:tc>
        <w:tc>
          <w:tcPr>
            <w:tcW w:w="994" w:type="dxa"/>
            <w:tcBorders>
              <w:top w:val="single" w:sz="4" w:space="0" w:color="auto"/>
              <w:left w:val="single" w:sz="4" w:space="0" w:color="auto"/>
            </w:tcBorders>
            <w:shd w:val="clear" w:color="auto" w:fill="FFFFFF"/>
          </w:tcPr>
          <w:p w14:paraId="202C8DFE" w14:textId="77777777" w:rsidR="008C76E0" w:rsidRPr="00BD7577" w:rsidRDefault="008C76E0" w:rsidP="008C76E0">
            <w:pPr>
              <w:spacing w:after="120" w:line="240" w:lineRule="auto"/>
              <w:ind w:right="-1"/>
              <w:jc w:val="both"/>
              <w:rPr>
                <w:rFonts w:ascii="Sylfaen" w:hAnsi="Sylfaen"/>
                <w:sz w:val="24"/>
                <w:szCs w:val="24"/>
              </w:rPr>
            </w:pPr>
          </w:p>
        </w:tc>
        <w:tc>
          <w:tcPr>
            <w:tcW w:w="2270" w:type="dxa"/>
            <w:tcBorders>
              <w:top w:val="single" w:sz="4" w:space="0" w:color="auto"/>
              <w:left w:val="single" w:sz="4" w:space="0" w:color="auto"/>
            </w:tcBorders>
            <w:shd w:val="clear" w:color="auto" w:fill="FFFFFF"/>
          </w:tcPr>
          <w:p w14:paraId="68500E65" w14:textId="77777777" w:rsidR="008C76E0" w:rsidRPr="00BD7577" w:rsidRDefault="008C76E0" w:rsidP="008C76E0">
            <w:pPr>
              <w:spacing w:after="120" w:line="240" w:lineRule="auto"/>
              <w:ind w:right="-1"/>
              <w:jc w:val="both"/>
              <w:rPr>
                <w:rFonts w:ascii="Sylfaen" w:hAnsi="Sylfaen"/>
                <w:sz w:val="24"/>
                <w:szCs w:val="24"/>
              </w:rPr>
            </w:pPr>
          </w:p>
        </w:tc>
        <w:tc>
          <w:tcPr>
            <w:tcW w:w="2266" w:type="dxa"/>
            <w:tcBorders>
              <w:top w:val="single" w:sz="4" w:space="0" w:color="auto"/>
              <w:left w:val="single" w:sz="4" w:space="0" w:color="auto"/>
            </w:tcBorders>
            <w:shd w:val="clear" w:color="auto" w:fill="FFFFFF"/>
          </w:tcPr>
          <w:p w14:paraId="624514F7" w14:textId="77777777" w:rsidR="008C76E0" w:rsidRPr="00BD7577" w:rsidRDefault="008C76E0" w:rsidP="008C76E0">
            <w:pPr>
              <w:spacing w:after="120" w:line="240" w:lineRule="auto"/>
              <w:ind w:right="-1"/>
              <w:jc w:val="both"/>
              <w:rPr>
                <w:rFonts w:ascii="Sylfaen" w:hAnsi="Sylfaen"/>
                <w:sz w:val="24"/>
                <w:szCs w:val="24"/>
              </w:rPr>
            </w:pPr>
          </w:p>
        </w:tc>
        <w:tc>
          <w:tcPr>
            <w:tcW w:w="2352" w:type="dxa"/>
            <w:tcBorders>
              <w:top w:val="single" w:sz="4" w:space="0" w:color="auto"/>
              <w:left w:val="single" w:sz="4" w:space="0" w:color="auto"/>
              <w:right w:val="single" w:sz="4" w:space="0" w:color="auto"/>
            </w:tcBorders>
            <w:shd w:val="clear" w:color="auto" w:fill="FFFFFF"/>
            <w:vAlign w:val="bottom"/>
          </w:tcPr>
          <w:p w14:paraId="0F4228D7" w14:textId="77777777" w:rsidR="008C76E0" w:rsidRPr="00BD7577" w:rsidRDefault="008C76E0" w:rsidP="008C76E0">
            <w:pPr>
              <w:pStyle w:val="Bodytext180"/>
              <w:shd w:val="clear" w:color="auto" w:fill="auto"/>
              <w:spacing w:before="0" w:after="120" w:line="240" w:lineRule="auto"/>
              <w:ind w:left="97" w:right="109" w:firstLine="0"/>
              <w:jc w:val="both"/>
              <w:rPr>
                <w:rFonts w:ascii="Sylfaen" w:hAnsi="Sylfaen"/>
                <w:b w:val="0"/>
                <w:sz w:val="24"/>
                <w:szCs w:val="24"/>
              </w:rPr>
            </w:pPr>
            <w:r w:rsidRPr="00BD7577">
              <w:rPr>
                <w:rStyle w:val="Bodytext1811pt"/>
                <w:rFonts w:ascii="Sylfaen" w:hAnsi="Sylfaen"/>
                <w:sz w:val="24"/>
                <w:szCs w:val="24"/>
              </w:rPr>
              <w:t>ակտիվ նյութը</w:t>
            </w:r>
          </w:p>
        </w:tc>
      </w:tr>
      <w:tr w:rsidR="008C76E0" w:rsidRPr="00BD7577" w14:paraId="2BEB30AA" w14:textId="77777777" w:rsidTr="008C76E0">
        <w:trPr>
          <w:jc w:val="center"/>
        </w:trPr>
        <w:tc>
          <w:tcPr>
            <w:tcW w:w="1714" w:type="dxa"/>
            <w:tcBorders>
              <w:top w:val="single" w:sz="4" w:space="0" w:color="auto"/>
              <w:left w:val="single" w:sz="4" w:space="0" w:color="auto"/>
            </w:tcBorders>
            <w:shd w:val="clear" w:color="auto" w:fill="FFFFFF"/>
          </w:tcPr>
          <w:p w14:paraId="5225D1E6" w14:textId="77777777" w:rsidR="008C76E0" w:rsidRPr="00BD7577" w:rsidRDefault="008C76E0" w:rsidP="008C76E0">
            <w:pPr>
              <w:spacing w:after="120" w:line="240" w:lineRule="auto"/>
              <w:ind w:left="145" w:right="57"/>
              <w:jc w:val="both"/>
              <w:rPr>
                <w:rFonts w:ascii="Sylfaen" w:hAnsi="Sylfaen"/>
                <w:sz w:val="24"/>
                <w:szCs w:val="24"/>
              </w:rPr>
            </w:pPr>
          </w:p>
        </w:tc>
        <w:tc>
          <w:tcPr>
            <w:tcW w:w="994" w:type="dxa"/>
            <w:tcBorders>
              <w:top w:val="single" w:sz="4" w:space="0" w:color="auto"/>
              <w:left w:val="single" w:sz="4" w:space="0" w:color="auto"/>
            </w:tcBorders>
            <w:shd w:val="clear" w:color="auto" w:fill="FFFFFF"/>
          </w:tcPr>
          <w:p w14:paraId="0FF25746" w14:textId="77777777" w:rsidR="008C76E0" w:rsidRPr="00BD7577" w:rsidRDefault="008C76E0" w:rsidP="008C76E0">
            <w:pPr>
              <w:spacing w:after="120" w:line="240" w:lineRule="auto"/>
              <w:ind w:right="-1"/>
              <w:jc w:val="both"/>
              <w:rPr>
                <w:rFonts w:ascii="Sylfaen" w:hAnsi="Sylfaen"/>
                <w:sz w:val="24"/>
                <w:szCs w:val="24"/>
              </w:rPr>
            </w:pPr>
          </w:p>
        </w:tc>
        <w:tc>
          <w:tcPr>
            <w:tcW w:w="2270" w:type="dxa"/>
            <w:tcBorders>
              <w:top w:val="single" w:sz="4" w:space="0" w:color="auto"/>
              <w:left w:val="single" w:sz="4" w:space="0" w:color="auto"/>
            </w:tcBorders>
            <w:shd w:val="clear" w:color="auto" w:fill="FFFFFF"/>
          </w:tcPr>
          <w:p w14:paraId="5F0ACF6D" w14:textId="77777777" w:rsidR="008C76E0" w:rsidRPr="00BD7577" w:rsidRDefault="008C76E0" w:rsidP="008C76E0">
            <w:pPr>
              <w:spacing w:after="120" w:line="240" w:lineRule="auto"/>
              <w:ind w:right="-1"/>
              <w:jc w:val="both"/>
              <w:rPr>
                <w:rFonts w:ascii="Sylfaen" w:hAnsi="Sylfaen"/>
                <w:sz w:val="24"/>
                <w:szCs w:val="24"/>
              </w:rPr>
            </w:pPr>
          </w:p>
        </w:tc>
        <w:tc>
          <w:tcPr>
            <w:tcW w:w="2266" w:type="dxa"/>
            <w:tcBorders>
              <w:top w:val="single" w:sz="4" w:space="0" w:color="auto"/>
              <w:left w:val="single" w:sz="4" w:space="0" w:color="auto"/>
            </w:tcBorders>
            <w:shd w:val="clear" w:color="auto" w:fill="FFFFFF"/>
          </w:tcPr>
          <w:p w14:paraId="3CC46EE0" w14:textId="77777777" w:rsidR="008C76E0" w:rsidRPr="00BD7577" w:rsidRDefault="008C76E0" w:rsidP="008C76E0">
            <w:pPr>
              <w:spacing w:after="120" w:line="240" w:lineRule="auto"/>
              <w:ind w:right="-1"/>
              <w:jc w:val="both"/>
              <w:rPr>
                <w:rFonts w:ascii="Sylfaen" w:hAnsi="Sylfaen"/>
                <w:sz w:val="24"/>
                <w:szCs w:val="24"/>
              </w:rPr>
            </w:pPr>
          </w:p>
        </w:tc>
        <w:tc>
          <w:tcPr>
            <w:tcW w:w="2352" w:type="dxa"/>
            <w:tcBorders>
              <w:top w:val="single" w:sz="4" w:space="0" w:color="auto"/>
              <w:left w:val="single" w:sz="4" w:space="0" w:color="auto"/>
              <w:right w:val="single" w:sz="4" w:space="0" w:color="auto"/>
            </w:tcBorders>
            <w:shd w:val="clear" w:color="auto" w:fill="FFFFFF"/>
          </w:tcPr>
          <w:p w14:paraId="56DE5EE4" w14:textId="77777777" w:rsidR="008C76E0" w:rsidRPr="00BD7577" w:rsidRDefault="008C76E0" w:rsidP="008C76E0">
            <w:pPr>
              <w:spacing w:after="120" w:line="240" w:lineRule="auto"/>
              <w:ind w:right="-1"/>
              <w:jc w:val="both"/>
              <w:rPr>
                <w:rFonts w:ascii="Sylfaen" w:hAnsi="Sylfaen"/>
                <w:sz w:val="24"/>
                <w:szCs w:val="24"/>
              </w:rPr>
            </w:pPr>
          </w:p>
        </w:tc>
      </w:tr>
      <w:tr w:rsidR="008C76E0" w:rsidRPr="00BD7577" w14:paraId="71147F80" w14:textId="77777777" w:rsidTr="008C76E0">
        <w:trPr>
          <w:jc w:val="center"/>
        </w:trPr>
        <w:tc>
          <w:tcPr>
            <w:tcW w:w="1714" w:type="dxa"/>
            <w:tcBorders>
              <w:top w:val="single" w:sz="4" w:space="0" w:color="auto"/>
              <w:left w:val="single" w:sz="4" w:space="0" w:color="auto"/>
            </w:tcBorders>
            <w:shd w:val="clear" w:color="auto" w:fill="FFFFFF"/>
          </w:tcPr>
          <w:p w14:paraId="78B6A972" w14:textId="77777777" w:rsidR="008C76E0" w:rsidRPr="00BD7577" w:rsidRDefault="008C76E0" w:rsidP="008C76E0">
            <w:pPr>
              <w:spacing w:after="120" w:line="240" w:lineRule="auto"/>
              <w:ind w:left="145" w:right="57"/>
              <w:jc w:val="both"/>
              <w:rPr>
                <w:rFonts w:ascii="Sylfaen" w:hAnsi="Sylfaen"/>
                <w:sz w:val="24"/>
                <w:szCs w:val="24"/>
              </w:rPr>
            </w:pPr>
          </w:p>
        </w:tc>
        <w:tc>
          <w:tcPr>
            <w:tcW w:w="994" w:type="dxa"/>
            <w:tcBorders>
              <w:top w:val="single" w:sz="4" w:space="0" w:color="auto"/>
              <w:left w:val="single" w:sz="4" w:space="0" w:color="auto"/>
            </w:tcBorders>
            <w:shd w:val="clear" w:color="auto" w:fill="FFFFFF"/>
          </w:tcPr>
          <w:p w14:paraId="128F6364" w14:textId="77777777" w:rsidR="008C76E0" w:rsidRPr="00BD7577" w:rsidRDefault="008C76E0" w:rsidP="008C76E0">
            <w:pPr>
              <w:spacing w:after="120" w:line="240" w:lineRule="auto"/>
              <w:ind w:right="-1"/>
              <w:jc w:val="both"/>
              <w:rPr>
                <w:rFonts w:ascii="Sylfaen" w:hAnsi="Sylfaen"/>
                <w:sz w:val="24"/>
                <w:szCs w:val="24"/>
              </w:rPr>
            </w:pPr>
          </w:p>
        </w:tc>
        <w:tc>
          <w:tcPr>
            <w:tcW w:w="2270" w:type="dxa"/>
            <w:tcBorders>
              <w:top w:val="single" w:sz="4" w:space="0" w:color="auto"/>
              <w:left w:val="single" w:sz="4" w:space="0" w:color="auto"/>
            </w:tcBorders>
            <w:shd w:val="clear" w:color="auto" w:fill="FFFFFF"/>
          </w:tcPr>
          <w:p w14:paraId="21E4B93D" w14:textId="77777777" w:rsidR="008C76E0" w:rsidRPr="00BD7577" w:rsidRDefault="008C76E0" w:rsidP="008C76E0">
            <w:pPr>
              <w:spacing w:after="120" w:line="240" w:lineRule="auto"/>
              <w:ind w:right="-1"/>
              <w:jc w:val="both"/>
              <w:rPr>
                <w:rFonts w:ascii="Sylfaen" w:hAnsi="Sylfaen"/>
                <w:sz w:val="24"/>
                <w:szCs w:val="24"/>
              </w:rPr>
            </w:pPr>
          </w:p>
        </w:tc>
        <w:tc>
          <w:tcPr>
            <w:tcW w:w="2266" w:type="dxa"/>
            <w:tcBorders>
              <w:top w:val="single" w:sz="4" w:space="0" w:color="auto"/>
              <w:left w:val="single" w:sz="4" w:space="0" w:color="auto"/>
            </w:tcBorders>
            <w:shd w:val="clear" w:color="auto" w:fill="FFFFFF"/>
          </w:tcPr>
          <w:p w14:paraId="5EA31EB1" w14:textId="77777777" w:rsidR="008C76E0" w:rsidRPr="00BD7577" w:rsidRDefault="008C76E0" w:rsidP="008C76E0">
            <w:pPr>
              <w:spacing w:after="120" w:line="240" w:lineRule="auto"/>
              <w:ind w:right="-1"/>
              <w:jc w:val="both"/>
              <w:rPr>
                <w:rFonts w:ascii="Sylfaen" w:hAnsi="Sylfaen"/>
                <w:sz w:val="24"/>
                <w:szCs w:val="24"/>
              </w:rPr>
            </w:pPr>
          </w:p>
        </w:tc>
        <w:tc>
          <w:tcPr>
            <w:tcW w:w="2352" w:type="dxa"/>
            <w:tcBorders>
              <w:top w:val="single" w:sz="4" w:space="0" w:color="auto"/>
              <w:left w:val="single" w:sz="4" w:space="0" w:color="auto"/>
              <w:right w:val="single" w:sz="4" w:space="0" w:color="auto"/>
            </w:tcBorders>
            <w:shd w:val="clear" w:color="auto" w:fill="FFFFFF"/>
          </w:tcPr>
          <w:p w14:paraId="32DD5BB8" w14:textId="77777777" w:rsidR="008C76E0" w:rsidRPr="00BD7577" w:rsidRDefault="008C76E0" w:rsidP="008C76E0">
            <w:pPr>
              <w:spacing w:after="120" w:line="240" w:lineRule="auto"/>
              <w:ind w:right="-1"/>
              <w:jc w:val="both"/>
              <w:rPr>
                <w:rFonts w:ascii="Sylfaen" w:hAnsi="Sylfaen"/>
                <w:sz w:val="24"/>
                <w:szCs w:val="24"/>
              </w:rPr>
            </w:pPr>
          </w:p>
        </w:tc>
      </w:tr>
      <w:tr w:rsidR="008C76E0" w:rsidRPr="00BD7577" w14:paraId="1CFF6B96" w14:textId="77777777" w:rsidTr="008C76E0">
        <w:trPr>
          <w:jc w:val="center"/>
        </w:trPr>
        <w:tc>
          <w:tcPr>
            <w:tcW w:w="1714" w:type="dxa"/>
            <w:tcBorders>
              <w:top w:val="single" w:sz="4" w:space="0" w:color="auto"/>
              <w:left w:val="single" w:sz="4" w:space="0" w:color="auto"/>
              <w:bottom w:val="single" w:sz="4" w:space="0" w:color="auto"/>
            </w:tcBorders>
            <w:shd w:val="clear" w:color="auto" w:fill="FFFFFF"/>
          </w:tcPr>
          <w:p w14:paraId="3A6C53A7" w14:textId="77777777" w:rsidR="008C76E0" w:rsidRPr="00BD7577" w:rsidRDefault="008C76E0" w:rsidP="008C76E0">
            <w:pPr>
              <w:spacing w:after="120" w:line="240" w:lineRule="auto"/>
              <w:ind w:left="145" w:right="57"/>
              <w:jc w:val="both"/>
              <w:rPr>
                <w:rFonts w:ascii="Sylfaen" w:hAnsi="Sylfaen"/>
                <w:sz w:val="24"/>
                <w:szCs w:val="24"/>
              </w:rPr>
            </w:pPr>
          </w:p>
        </w:tc>
        <w:tc>
          <w:tcPr>
            <w:tcW w:w="994" w:type="dxa"/>
            <w:tcBorders>
              <w:top w:val="single" w:sz="4" w:space="0" w:color="auto"/>
              <w:left w:val="single" w:sz="4" w:space="0" w:color="auto"/>
              <w:bottom w:val="single" w:sz="4" w:space="0" w:color="auto"/>
            </w:tcBorders>
            <w:shd w:val="clear" w:color="auto" w:fill="FFFFFF"/>
          </w:tcPr>
          <w:p w14:paraId="68D1F4C6" w14:textId="77777777" w:rsidR="008C76E0" w:rsidRPr="00BD7577" w:rsidRDefault="008C76E0" w:rsidP="008C76E0">
            <w:pPr>
              <w:spacing w:after="120" w:line="240" w:lineRule="auto"/>
              <w:ind w:right="-1"/>
              <w:jc w:val="both"/>
              <w:rPr>
                <w:rFonts w:ascii="Sylfaen" w:hAnsi="Sylfaen"/>
                <w:sz w:val="24"/>
                <w:szCs w:val="24"/>
              </w:rPr>
            </w:pPr>
          </w:p>
        </w:tc>
        <w:tc>
          <w:tcPr>
            <w:tcW w:w="2270" w:type="dxa"/>
            <w:tcBorders>
              <w:top w:val="single" w:sz="4" w:space="0" w:color="auto"/>
              <w:left w:val="single" w:sz="4" w:space="0" w:color="auto"/>
              <w:bottom w:val="single" w:sz="4" w:space="0" w:color="auto"/>
            </w:tcBorders>
            <w:shd w:val="clear" w:color="auto" w:fill="FFFFFF"/>
          </w:tcPr>
          <w:p w14:paraId="59A8383B" w14:textId="77777777" w:rsidR="008C76E0" w:rsidRPr="00BD7577" w:rsidRDefault="008C76E0" w:rsidP="008C76E0">
            <w:pPr>
              <w:spacing w:after="120" w:line="240" w:lineRule="auto"/>
              <w:ind w:right="-1"/>
              <w:jc w:val="both"/>
              <w:rPr>
                <w:rFonts w:ascii="Sylfaen" w:hAnsi="Sylfaen"/>
                <w:sz w:val="24"/>
                <w:szCs w:val="24"/>
              </w:rPr>
            </w:pPr>
          </w:p>
        </w:tc>
        <w:tc>
          <w:tcPr>
            <w:tcW w:w="2266" w:type="dxa"/>
            <w:tcBorders>
              <w:top w:val="single" w:sz="4" w:space="0" w:color="auto"/>
              <w:left w:val="single" w:sz="4" w:space="0" w:color="auto"/>
              <w:bottom w:val="single" w:sz="4" w:space="0" w:color="auto"/>
            </w:tcBorders>
            <w:shd w:val="clear" w:color="auto" w:fill="FFFFFF"/>
          </w:tcPr>
          <w:p w14:paraId="25820348" w14:textId="77777777" w:rsidR="008C76E0" w:rsidRPr="00BD7577" w:rsidRDefault="008C76E0" w:rsidP="008C76E0">
            <w:pPr>
              <w:spacing w:after="120" w:line="240" w:lineRule="auto"/>
              <w:ind w:right="-1"/>
              <w:jc w:val="both"/>
              <w:rPr>
                <w:rFonts w:ascii="Sylfaen" w:hAnsi="Sylfaen"/>
                <w:sz w:val="24"/>
                <w:szCs w:val="24"/>
              </w:rPr>
            </w:pPr>
          </w:p>
        </w:tc>
        <w:tc>
          <w:tcPr>
            <w:tcW w:w="2352" w:type="dxa"/>
            <w:tcBorders>
              <w:top w:val="single" w:sz="4" w:space="0" w:color="auto"/>
              <w:left w:val="single" w:sz="4" w:space="0" w:color="auto"/>
              <w:bottom w:val="single" w:sz="4" w:space="0" w:color="auto"/>
              <w:right w:val="single" w:sz="4" w:space="0" w:color="auto"/>
            </w:tcBorders>
            <w:shd w:val="clear" w:color="auto" w:fill="FFFFFF"/>
          </w:tcPr>
          <w:p w14:paraId="07C49E74" w14:textId="77777777" w:rsidR="008C76E0" w:rsidRPr="00BD7577" w:rsidRDefault="008C76E0" w:rsidP="008C76E0">
            <w:pPr>
              <w:spacing w:after="120" w:line="240" w:lineRule="auto"/>
              <w:ind w:right="-1"/>
              <w:jc w:val="both"/>
              <w:rPr>
                <w:rFonts w:ascii="Sylfaen" w:hAnsi="Sylfaen"/>
                <w:sz w:val="24"/>
                <w:szCs w:val="24"/>
              </w:rPr>
            </w:pPr>
          </w:p>
        </w:tc>
      </w:tr>
    </w:tbl>
    <w:p w14:paraId="0DCF09C0" w14:textId="77777777" w:rsidR="008C76E0" w:rsidRPr="008C76E0" w:rsidRDefault="008C76E0" w:rsidP="008C76E0">
      <w:pPr>
        <w:pStyle w:val="Tablecaption30"/>
        <w:shd w:val="clear" w:color="auto" w:fill="auto"/>
        <w:spacing w:after="160" w:line="360" w:lineRule="auto"/>
        <w:ind w:left="2268" w:right="-1" w:hanging="2268"/>
        <w:jc w:val="both"/>
        <w:rPr>
          <w:rFonts w:ascii="Sylfaen" w:hAnsi="Sylfaen"/>
          <w:sz w:val="24"/>
          <w:szCs w:val="24"/>
          <w:lang w:val="hy-AM"/>
        </w:rPr>
      </w:pPr>
      <w:r w:rsidRPr="008C76E0">
        <w:rPr>
          <w:rFonts w:ascii="Sylfaen" w:hAnsi="Sylfaen"/>
          <w:sz w:val="24"/>
          <w:szCs w:val="24"/>
          <w:lang w:val="hy-AM"/>
        </w:rPr>
        <w:lastRenderedPageBreak/>
        <w:t>Ծանոթագրություն: Դոզավորման սանդղակի գրանցման ժամանակ «&lt;Անվանում&gt; Քանակ (&lt;անվանում&gt;)» սյունակների թիվը համապատասխանում է գրանցման համար հայտագրվող դոզավորումների թվին։</w:t>
      </w:r>
    </w:p>
    <w:tbl>
      <w:tblPr>
        <w:tblOverlap w:val="never"/>
        <w:tblW w:w="9055" w:type="dxa"/>
        <w:jc w:val="center"/>
        <w:tblLayout w:type="fixed"/>
        <w:tblCellMar>
          <w:left w:w="10" w:type="dxa"/>
          <w:right w:w="10" w:type="dxa"/>
        </w:tblCellMar>
        <w:tblLook w:val="04A0" w:firstRow="1" w:lastRow="0" w:firstColumn="1" w:lastColumn="0" w:noHBand="0" w:noVBand="1"/>
      </w:tblPr>
      <w:tblGrid>
        <w:gridCol w:w="9055"/>
      </w:tblGrid>
      <w:tr w:rsidR="008C76E0" w:rsidRPr="00BD7577" w14:paraId="092D0A4C" w14:textId="77777777" w:rsidTr="008C76E0">
        <w:trPr>
          <w:jc w:val="center"/>
        </w:trPr>
        <w:tc>
          <w:tcPr>
            <w:tcW w:w="9055" w:type="dxa"/>
            <w:tcBorders>
              <w:top w:val="single" w:sz="4" w:space="0" w:color="auto"/>
              <w:left w:val="single" w:sz="4" w:space="0" w:color="auto"/>
              <w:right w:val="single" w:sz="4" w:space="0" w:color="auto"/>
            </w:tcBorders>
            <w:shd w:val="clear" w:color="auto" w:fill="FFFFFF"/>
            <w:vAlign w:val="bottom"/>
          </w:tcPr>
          <w:p w14:paraId="5AB5BD53" w14:textId="77777777" w:rsidR="008C76E0" w:rsidRPr="00BD7577" w:rsidRDefault="008C76E0" w:rsidP="008C76E0">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7291804C" w14:textId="77777777" w:rsidTr="008C76E0">
        <w:trPr>
          <w:jc w:val="center"/>
        </w:trPr>
        <w:tc>
          <w:tcPr>
            <w:tcW w:w="9055" w:type="dxa"/>
            <w:tcBorders>
              <w:top w:val="single" w:sz="4" w:space="0" w:color="auto"/>
              <w:left w:val="single" w:sz="4" w:space="0" w:color="auto"/>
              <w:right w:val="single" w:sz="4" w:space="0" w:color="auto"/>
            </w:tcBorders>
            <w:shd w:val="clear" w:color="auto" w:fill="FFFFFF"/>
          </w:tcPr>
          <w:p w14:paraId="1FF0C3BA" w14:textId="77777777" w:rsidR="008C76E0" w:rsidRPr="00BD7577" w:rsidRDefault="008C76E0" w:rsidP="008C76E0">
            <w:pPr>
              <w:ind w:right="-1"/>
              <w:jc w:val="both"/>
              <w:rPr>
                <w:rFonts w:ascii="Sylfaen" w:hAnsi="Sylfaen"/>
                <w:sz w:val="24"/>
                <w:szCs w:val="24"/>
                <w:highlight w:val="yellow"/>
              </w:rPr>
            </w:pPr>
          </w:p>
        </w:tc>
      </w:tr>
      <w:tr w:rsidR="008C76E0" w:rsidRPr="00BD7577" w14:paraId="6FF085E5" w14:textId="77777777" w:rsidTr="008C76E0">
        <w:trPr>
          <w:jc w:val="center"/>
        </w:trPr>
        <w:tc>
          <w:tcPr>
            <w:tcW w:w="9055" w:type="dxa"/>
            <w:tcBorders>
              <w:top w:val="single" w:sz="4" w:space="0" w:color="auto"/>
              <w:left w:val="single" w:sz="4" w:space="0" w:color="auto"/>
              <w:bottom w:val="single" w:sz="4" w:space="0" w:color="auto"/>
              <w:right w:val="single" w:sz="4" w:space="0" w:color="auto"/>
            </w:tcBorders>
            <w:shd w:val="clear" w:color="auto" w:fill="FFFFFF"/>
          </w:tcPr>
          <w:p w14:paraId="52F3D99F" w14:textId="77777777" w:rsidR="008C76E0" w:rsidRPr="00BD7577" w:rsidRDefault="008C76E0" w:rsidP="008C76E0">
            <w:pPr>
              <w:ind w:right="-1"/>
              <w:jc w:val="both"/>
              <w:rPr>
                <w:rFonts w:ascii="Sylfaen" w:hAnsi="Sylfaen"/>
                <w:sz w:val="24"/>
                <w:szCs w:val="24"/>
              </w:rPr>
            </w:pPr>
          </w:p>
        </w:tc>
      </w:tr>
    </w:tbl>
    <w:p w14:paraId="794D99EC" w14:textId="77777777" w:rsidR="008C76E0" w:rsidRPr="00BD7577" w:rsidRDefault="008C76E0" w:rsidP="008C76E0">
      <w:pPr>
        <w:ind w:left="2268" w:right="-1" w:hanging="2268"/>
        <w:jc w:val="both"/>
        <w:rPr>
          <w:rFonts w:ascii="Sylfaen" w:hAnsi="Sylfaen"/>
          <w:sz w:val="24"/>
          <w:szCs w:val="24"/>
        </w:rPr>
      </w:pPr>
    </w:p>
    <w:p w14:paraId="3116FD21" w14:textId="77777777" w:rsidR="008C76E0" w:rsidRPr="00BD7577" w:rsidRDefault="008C76E0" w:rsidP="00D002A4">
      <w:pPr>
        <w:spacing w:after="160" w:line="360" w:lineRule="auto"/>
        <w:ind w:left="567" w:right="566"/>
        <w:jc w:val="center"/>
        <w:rPr>
          <w:rFonts w:ascii="Sylfaen" w:hAnsi="Sylfaen"/>
          <w:sz w:val="24"/>
          <w:szCs w:val="24"/>
        </w:rPr>
      </w:pPr>
      <w:r w:rsidRPr="00BD7577">
        <w:rPr>
          <w:rFonts w:ascii="Sylfaen" w:hAnsi="Sylfaen"/>
          <w:sz w:val="24"/>
          <w:szCs w:val="24"/>
        </w:rPr>
        <w:t>4.2. Դեղագործական մշակումը (մոդուլ 3.2.Р.2)</w:t>
      </w:r>
    </w:p>
    <w:p w14:paraId="59F9A158"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4.2.1.</w:t>
      </w:r>
      <w:r w:rsidRPr="00BD7577">
        <w:rPr>
          <w:rFonts w:ascii="Sylfaen" w:hAnsi="Sylfaen"/>
          <w:sz w:val="24"/>
          <w:szCs w:val="24"/>
        </w:rPr>
        <w:tab/>
        <w:t>Դեղապատրաստուկի բաղադրիչները (բաժին Р.2.1).</w:t>
      </w:r>
    </w:p>
    <w:p w14:paraId="58AF9C50"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40C7FC1"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E8DEF05"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6177FD7"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4.2.2.</w:t>
      </w:r>
      <w:r w:rsidRPr="00BD7577">
        <w:rPr>
          <w:rFonts w:ascii="Sylfaen" w:hAnsi="Sylfaen"/>
          <w:sz w:val="24"/>
          <w:szCs w:val="24"/>
        </w:rPr>
        <w:tab/>
        <w:t>Ակտիվ դեղագործական բաղադրամասը (բաժին Р.2.1.1)</w:t>
      </w:r>
    </w:p>
    <w:p w14:paraId="3E901999"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932C8CA"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C4DCECA"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002FA52"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4.2.3.</w:t>
      </w:r>
      <w:r w:rsidRPr="00BD7577">
        <w:rPr>
          <w:rFonts w:ascii="Sylfaen" w:hAnsi="Sylfaen"/>
          <w:sz w:val="24"/>
          <w:szCs w:val="24"/>
        </w:rPr>
        <w:tab/>
        <w:t>Օժանդակ նյութերը (բաժին Р.2.1.2)։</w:t>
      </w:r>
    </w:p>
    <w:p w14:paraId="0D49D4AA"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4702C10"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57533A"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720AAA4"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4.2.4.</w:t>
      </w:r>
      <w:r w:rsidRPr="00BD7577">
        <w:rPr>
          <w:rFonts w:ascii="Sylfaen" w:hAnsi="Sylfaen"/>
          <w:sz w:val="24"/>
          <w:szCs w:val="24"/>
        </w:rPr>
        <w:tab/>
        <w:t>Դեղապատրաստուկը (բաժին P.2.2)։</w:t>
      </w:r>
    </w:p>
    <w:p w14:paraId="7B3F35DC"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302226C"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43EF597C"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048B221"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4.2.5.</w:t>
      </w:r>
      <w:r w:rsidRPr="00BD7577">
        <w:rPr>
          <w:rFonts w:ascii="Sylfaen" w:hAnsi="Sylfaen"/>
          <w:sz w:val="24"/>
          <w:szCs w:val="24"/>
        </w:rPr>
        <w:tab/>
        <w:t>Դեղաձ</w:t>
      </w:r>
      <w:r w:rsidR="00C54D75">
        <w:rPr>
          <w:rFonts w:ascii="Sylfaen" w:hAnsi="Sylfaen"/>
          <w:sz w:val="24"/>
          <w:szCs w:val="24"/>
        </w:rPr>
        <w:t>և</w:t>
      </w:r>
      <w:r w:rsidRPr="00BD7577">
        <w:rPr>
          <w:rFonts w:ascii="Sylfaen" w:hAnsi="Sylfaen"/>
          <w:sz w:val="24"/>
          <w:szCs w:val="24"/>
        </w:rPr>
        <w:t>ի մշակումը (բաժին P.2.2.1)։</w:t>
      </w:r>
    </w:p>
    <w:p w14:paraId="0FE66BCA"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5C1E905"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B1526FA"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5852D93" w14:textId="77777777" w:rsidR="008C76E0" w:rsidRPr="00BD7577" w:rsidRDefault="008C76E0" w:rsidP="00D002A4">
      <w:pPr>
        <w:spacing w:after="160" w:line="360" w:lineRule="auto"/>
        <w:ind w:right="-1" w:firstLine="567"/>
        <w:jc w:val="both"/>
        <w:rPr>
          <w:rFonts w:ascii="Sylfaen" w:hAnsi="Sylfaen"/>
          <w:sz w:val="24"/>
          <w:szCs w:val="24"/>
        </w:rPr>
      </w:pPr>
      <w:r w:rsidRPr="00BD7577">
        <w:rPr>
          <w:rFonts w:ascii="Sylfaen" w:hAnsi="Sylfaen"/>
          <w:sz w:val="24"/>
          <w:szCs w:val="24"/>
        </w:rPr>
        <w:t>Կենսահամարժեքության հետազոտությունն ու ռեֆերենտ պատրաստուկը կամ դեղաձ</w:t>
      </w:r>
      <w:r w:rsidR="00C54D75">
        <w:rPr>
          <w:rFonts w:ascii="Sylfaen" w:hAnsi="Sylfaen"/>
          <w:sz w:val="24"/>
          <w:szCs w:val="24"/>
        </w:rPr>
        <w:t>և</w:t>
      </w:r>
      <w:r w:rsidRPr="00BD7577">
        <w:rPr>
          <w:rFonts w:ascii="Sylfaen" w:hAnsi="Sylfaen"/>
          <w:sz w:val="24"/>
          <w:szCs w:val="24"/>
        </w:rPr>
        <w:t>ի կլինիկական մշակումը</w:t>
      </w:r>
    </w:p>
    <w:p w14:paraId="61321154"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4.2.6.</w:t>
      </w:r>
      <w:r w:rsidRPr="00BD7577">
        <w:rPr>
          <w:rFonts w:ascii="Sylfaen" w:hAnsi="Sylfaen"/>
          <w:sz w:val="24"/>
          <w:szCs w:val="24"/>
        </w:rPr>
        <w:tab/>
        <w:t>Արտադրական ավելցուկները (բաժին P.2.2.2)։</w:t>
      </w:r>
    </w:p>
    <w:p w14:paraId="58CFB4CE"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3583541"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9FFC019"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7975D8"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4.2.7.</w:t>
      </w:r>
      <w:r w:rsidRPr="00BD7577">
        <w:rPr>
          <w:rFonts w:ascii="Sylfaen" w:hAnsi="Sylfaen"/>
          <w:sz w:val="24"/>
          <w:szCs w:val="24"/>
        </w:rPr>
        <w:tab/>
        <w:t xml:space="preserve">Ֆիզիկաքիմիական </w:t>
      </w:r>
      <w:r w:rsidR="00C54D75">
        <w:rPr>
          <w:rFonts w:ascii="Sylfaen" w:hAnsi="Sylfaen"/>
          <w:sz w:val="24"/>
          <w:szCs w:val="24"/>
        </w:rPr>
        <w:t>և</w:t>
      </w:r>
      <w:r w:rsidRPr="00BD7577">
        <w:rPr>
          <w:rFonts w:ascii="Sylfaen" w:hAnsi="Sylfaen"/>
          <w:sz w:val="24"/>
          <w:szCs w:val="24"/>
        </w:rPr>
        <w:t xml:space="preserve"> կենսաբանական հատկությունները (բաժին P.2.2.3)։</w:t>
      </w:r>
    </w:p>
    <w:p w14:paraId="25AAB57D"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10143F8"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899467A"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B3197CD"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4.2.8.</w:t>
      </w:r>
      <w:r w:rsidRPr="00BD7577">
        <w:rPr>
          <w:rFonts w:ascii="Sylfaen" w:hAnsi="Sylfaen"/>
          <w:sz w:val="24"/>
          <w:szCs w:val="24"/>
        </w:rPr>
        <w:tab/>
        <w:t>Արտադրական գործընթացի մշակումը (բաժին P.2.3)։</w:t>
      </w:r>
    </w:p>
    <w:p w14:paraId="7899795F"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2D232EA"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4F80928"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A842EAD"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4.2.9.</w:t>
      </w:r>
      <w:r w:rsidRPr="00BD7577">
        <w:rPr>
          <w:rFonts w:ascii="Sylfaen" w:hAnsi="Sylfaen"/>
          <w:sz w:val="24"/>
          <w:szCs w:val="24"/>
        </w:rPr>
        <w:tab/>
        <w:t>Փաթեթավորման (խցանափակման) համակարգը (բաժին P.2.4)։</w:t>
      </w:r>
    </w:p>
    <w:p w14:paraId="3BFF994F"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7A94C48"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14E0452B"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ACA4262"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4.2.10.</w:t>
      </w:r>
      <w:r w:rsidRPr="00BD7577">
        <w:rPr>
          <w:rFonts w:ascii="Sylfaen" w:hAnsi="Sylfaen"/>
          <w:sz w:val="24"/>
          <w:szCs w:val="24"/>
        </w:rPr>
        <w:tab/>
        <w:t>Միկրոկենսաբանական բնութագրերը (բաժին P.2.5)։</w:t>
      </w:r>
    </w:p>
    <w:p w14:paraId="3C61998C"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74C51BA"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E7F316"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E655467"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4.2.11.</w:t>
      </w:r>
      <w:r w:rsidRPr="00BD7577">
        <w:rPr>
          <w:rFonts w:ascii="Sylfaen" w:hAnsi="Sylfaen"/>
          <w:sz w:val="24"/>
          <w:szCs w:val="24"/>
        </w:rPr>
        <w:tab/>
        <w:t>Համատեղելիությունը (բաժին P.2.6)։</w:t>
      </w:r>
    </w:p>
    <w:p w14:paraId="1063E337"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31068C1"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78FA1AA"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325" w:type="dxa"/>
        <w:jc w:val="center"/>
        <w:tblLayout w:type="fixed"/>
        <w:tblCellMar>
          <w:left w:w="10" w:type="dxa"/>
          <w:right w:w="10" w:type="dxa"/>
        </w:tblCellMar>
        <w:tblLook w:val="04A0" w:firstRow="1" w:lastRow="0" w:firstColumn="1" w:lastColumn="0" w:noHBand="0" w:noVBand="1"/>
      </w:tblPr>
      <w:tblGrid>
        <w:gridCol w:w="9325"/>
      </w:tblGrid>
      <w:tr w:rsidR="008C76E0" w:rsidRPr="00BD7577" w14:paraId="38BAEEB2" w14:textId="77777777" w:rsidTr="008C76E0">
        <w:trPr>
          <w:jc w:val="center"/>
        </w:trPr>
        <w:tc>
          <w:tcPr>
            <w:tcW w:w="9325" w:type="dxa"/>
            <w:tcBorders>
              <w:top w:val="single" w:sz="4" w:space="0" w:color="auto"/>
              <w:left w:val="single" w:sz="4" w:space="0" w:color="auto"/>
              <w:right w:val="single" w:sz="4" w:space="0" w:color="auto"/>
            </w:tcBorders>
            <w:shd w:val="clear" w:color="auto" w:fill="FFFFFF"/>
            <w:vAlign w:val="bottom"/>
          </w:tcPr>
          <w:p w14:paraId="2C39994D" w14:textId="77777777" w:rsidR="008C76E0" w:rsidRPr="00BD7577" w:rsidRDefault="008C76E0" w:rsidP="00D002A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7661A0F2" w14:textId="77777777" w:rsidTr="008C76E0">
        <w:trPr>
          <w:jc w:val="center"/>
        </w:trPr>
        <w:tc>
          <w:tcPr>
            <w:tcW w:w="9325" w:type="dxa"/>
            <w:tcBorders>
              <w:top w:val="single" w:sz="4" w:space="0" w:color="auto"/>
              <w:left w:val="single" w:sz="4" w:space="0" w:color="auto"/>
              <w:right w:val="single" w:sz="4" w:space="0" w:color="auto"/>
            </w:tcBorders>
            <w:shd w:val="clear" w:color="auto" w:fill="FFFFFF"/>
          </w:tcPr>
          <w:p w14:paraId="766406B1" w14:textId="77777777" w:rsidR="008C76E0" w:rsidRPr="00BD7577" w:rsidRDefault="008C76E0" w:rsidP="00D002A4">
            <w:pPr>
              <w:spacing w:after="160" w:line="360" w:lineRule="auto"/>
              <w:ind w:right="-1"/>
              <w:jc w:val="both"/>
              <w:rPr>
                <w:rFonts w:ascii="Sylfaen" w:hAnsi="Sylfaen"/>
                <w:sz w:val="24"/>
                <w:szCs w:val="24"/>
                <w:highlight w:val="yellow"/>
              </w:rPr>
            </w:pPr>
          </w:p>
        </w:tc>
      </w:tr>
      <w:tr w:rsidR="008C76E0" w:rsidRPr="00BD7577" w14:paraId="2E494D83" w14:textId="77777777" w:rsidTr="008C76E0">
        <w:trPr>
          <w:jc w:val="center"/>
        </w:trPr>
        <w:tc>
          <w:tcPr>
            <w:tcW w:w="9325" w:type="dxa"/>
            <w:tcBorders>
              <w:top w:val="single" w:sz="4" w:space="0" w:color="auto"/>
              <w:left w:val="single" w:sz="4" w:space="0" w:color="auto"/>
              <w:bottom w:val="single" w:sz="4" w:space="0" w:color="auto"/>
              <w:right w:val="single" w:sz="4" w:space="0" w:color="auto"/>
            </w:tcBorders>
            <w:shd w:val="clear" w:color="auto" w:fill="FFFFFF"/>
          </w:tcPr>
          <w:p w14:paraId="1A684C71" w14:textId="77777777" w:rsidR="008C76E0" w:rsidRPr="00BD7577" w:rsidRDefault="008C76E0" w:rsidP="00D002A4">
            <w:pPr>
              <w:spacing w:after="160" w:line="360" w:lineRule="auto"/>
              <w:ind w:right="-1"/>
              <w:jc w:val="both"/>
              <w:rPr>
                <w:rFonts w:ascii="Sylfaen" w:hAnsi="Sylfaen"/>
                <w:sz w:val="24"/>
                <w:szCs w:val="24"/>
              </w:rPr>
            </w:pPr>
          </w:p>
        </w:tc>
      </w:tr>
    </w:tbl>
    <w:p w14:paraId="4D2F78D9" w14:textId="77777777" w:rsidR="008C76E0" w:rsidRDefault="008C76E0" w:rsidP="00D002A4">
      <w:pPr>
        <w:spacing w:after="160" w:line="360" w:lineRule="auto"/>
        <w:ind w:left="567" w:right="566"/>
        <w:jc w:val="center"/>
        <w:rPr>
          <w:rFonts w:ascii="Sylfaen" w:hAnsi="Sylfaen"/>
          <w:sz w:val="24"/>
          <w:szCs w:val="24"/>
          <w:lang w:val="en-US"/>
        </w:rPr>
      </w:pPr>
    </w:p>
    <w:p w14:paraId="313C0A01" w14:textId="77777777" w:rsidR="008C76E0" w:rsidRPr="00BD7577" w:rsidRDefault="008C76E0" w:rsidP="00D002A4">
      <w:pPr>
        <w:spacing w:after="160" w:line="360" w:lineRule="auto"/>
        <w:ind w:left="567" w:right="566"/>
        <w:jc w:val="center"/>
        <w:rPr>
          <w:rFonts w:ascii="Sylfaen" w:hAnsi="Sylfaen"/>
          <w:sz w:val="24"/>
          <w:szCs w:val="24"/>
        </w:rPr>
      </w:pPr>
      <w:r w:rsidRPr="00BD7577">
        <w:rPr>
          <w:rFonts w:ascii="Sylfaen" w:hAnsi="Sylfaen"/>
          <w:sz w:val="24"/>
          <w:szCs w:val="24"/>
        </w:rPr>
        <w:t>4.3. Դեղապատրաստուկի արտադրության գործընթացը (մոդուլ 3.2.P.3)</w:t>
      </w:r>
    </w:p>
    <w:p w14:paraId="675894CA"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4.3.1.</w:t>
      </w:r>
      <w:r w:rsidRPr="00BD7577">
        <w:rPr>
          <w:rFonts w:ascii="Sylfaen" w:hAnsi="Sylfaen"/>
          <w:sz w:val="24"/>
          <w:szCs w:val="24"/>
        </w:rPr>
        <w:tab/>
        <w:t>Արտադրողները (բաժին P.3.1)։</w:t>
      </w:r>
    </w:p>
    <w:p w14:paraId="4C50EDB6"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7BC4146"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C20F251"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6FD101A"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4.3.2.</w:t>
      </w:r>
      <w:r w:rsidRPr="00BD7577">
        <w:rPr>
          <w:rFonts w:ascii="Sylfaen" w:hAnsi="Sylfaen"/>
          <w:sz w:val="24"/>
          <w:szCs w:val="24"/>
        </w:rPr>
        <w:tab/>
        <w:t>Սերիայի բաղադրությունը (արտադրական դեղագրությունը) (բաժին P.3.2):</w:t>
      </w:r>
    </w:p>
    <w:p w14:paraId="755F86E4"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CC6C3AC"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204D9E97"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CC9B922"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4.3.3.</w:t>
      </w:r>
      <w:r w:rsidRPr="00BD7577">
        <w:rPr>
          <w:rFonts w:ascii="Sylfaen" w:hAnsi="Sylfaen"/>
          <w:sz w:val="24"/>
          <w:szCs w:val="24"/>
        </w:rPr>
        <w:tab/>
        <w:t xml:space="preserve">Արտադրական գործընթացի </w:t>
      </w:r>
      <w:r w:rsidR="00C54D75">
        <w:rPr>
          <w:rFonts w:ascii="Sylfaen" w:hAnsi="Sylfaen"/>
          <w:sz w:val="24"/>
          <w:szCs w:val="24"/>
        </w:rPr>
        <w:t>և</w:t>
      </w:r>
      <w:r w:rsidRPr="00BD7577">
        <w:rPr>
          <w:rFonts w:ascii="Sylfaen" w:hAnsi="Sylfaen"/>
          <w:sz w:val="24"/>
          <w:szCs w:val="24"/>
        </w:rPr>
        <w:t xml:space="preserve"> դրա հսկողության նկարագրությունը (բաժին Р.3.3)։</w:t>
      </w:r>
    </w:p>
    <w:p w14:paraId="41D0229F"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8CCFC5C"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AFA4405"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E102B31"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4.3.4.</w:t>
      </w:r>
      <w:r w:rsidRPr="00BD7577">
        <w:rPr>
          <w:rFonts w:ascii="Sylfaen" w:hAnsi="Sylfaen"/>
          <w:sz w:val="24"/>
          <w:szCs w:val="24"/>
        </w:rPr>
        <w:tab/>
        <w:t xml:space="preserve">Կրիտիկական փուլերի </w:t>
      </w:r>
      <w:r w:rsidR="00C54D75">
        <w:rPr>
          <w:rFonts w:ascii="Sylfaen" w:hAnsi="Sylfaen"/>
          <w:sz w:val="24"/>
          <w:szCs w:val="24"/>
        </w:rPr>
        <w:t>և</w:t>
      </w:r>
      <w:r w:rsidRPr="00BD7577">
        <w:rPr>
          <w:rFonts w:ascii="Sylfaen" w:hAnsi="Sylfaen"/>
          <w:sz w:val="24"/>
          <w:szCs w:val="24"/>
        </w:rPr>
        <w:t xml:space="preserve"> միջանկյալ արտադրանքի հսկողությունը (բաժին Р.3.4)։</w:t>
      </w:r>
    </w:p>
    <w:p w14:paraId="1D55B332"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BC84812"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D81E29C"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ADF4F1F" w14:textId="77777777" w:rsidR="00887430" w:rsidRPr="00E15E7D" w:rsidRDefault="00887430" w:rsidP="00D002A4">
      <w:pPr>
        <w:tabs>
          <w:tab w:val="left" w:pos="1701"/>
        </w:tabs>
        <w:spacing w:after="160" w:line="360" w:lineRule="auto"/>
        <w:ind w:right="-1" w:firstLine="567"/>
        <w:jc w:val="both"/>
        <w:rPr>
          <w:rFonts w:ascii="Sylfaen" w:hAnsi="Sylfaen"/>
          <w:sz w:val="24"/>
          <w:szCs w:val="24"/>
        </w:rPr>
      </w:pPr>
    </w:p>
    <w:p w14:paraId="33EB0093"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4.3.5.</w:t>
      </w:r>
      <w:r w:rsidRPr="00BD7577">
        <w:rPr>
          <w:rFonts w:ascii="Sylfaen" w:hAnsi="Sylfaen"/>
          <w:sz w:val="24"/>
          <w:szCs w:val="24"/>
        </w:rPr>
        <w:tab/>
        <w:t xml:space="preserve">Արտադրական գործընթացի վալիդացումը </w:t>
      </w:r>
      <w:r w:rsidR="00C54D75">
        <w:rPr>
          <w:rFonts w:ascii="Sylfaen" w:hAnsi="Sylfaen"/>
          <w:sz w:val="24"/>
          <w:szCs w:val="24"/>
        </w:rPr>
        <w:t>և</w:t>
      </w:r>
      <w:r w:rsidRPr="00BD7577">
        <w:rPr>
          <w:rFonts w:ascii="Sylfaen" w:hAnsi="Sylfaen"/>
          <w:sz w:val="24"/>
          <w:szCs w:val="24"/>
        </w:rPr>
        <w:t xml:space="preserve"> (կամ) գնահատումը (բաժին Р.3.5)։</w:t>
      </w:r>
    </w:p>
    <w:p w14:paraId="5981D69A"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512AB8F"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84C7015"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197" w:type="dxa"/>
        <w:jc w:val="center"/>
        <w:tblLayout w:type="fixed"/>
        <w:tblCellMar>
          <w:left w:w="10" w:type="dxa"/>
          <w:right w:w="10" w:type="dxa"/>
        </w:tblCellMar>
        <w:tblLook w:val="04A0" w:firstRow="1" w:lastRow="0" w:firstColumn="1" w:lastColumn="0" w:noHBand="0" w:noVBand="1"/>
      </w:tblPr>
      <w:tblGrid>
        <w:gridCol w:w="9197"/>
      </w:tblGrid>
      <w:tr w:rsidR="008C76E0" w:rsidRPr="00BD7577" w14:paraId="5E85ADEB" w14:textId="77777777" w:rsidTr="008C76E0">
        <w:trPr>
          <w:jc w:val="center"/>
        </w:trPr>
        <w:tc>
          <w:tcPr>
            <w:tcW w:w="9197" w:type="dxa"/>
            <w:tcBorders>
              <w:top w:val="single" w:sz="4" w:space="0" w:color="auto"/>
              <w:left w:val="single" w:sz="4" w:space="0" w:color="auto"/>
              <w:right w:val="single" w:sz="4" w:space="0" w:color="auto"/>
            </w:tcBorders>
            <w:shd w:val="clear" w:color="auto" w:fill="FFFFFF"/>
            <w:vAlign w:val="bottom"/>
          </w:tcPr>
          <w:p w14:paraId="47749505" w14:textId="77777777" w:rsidR="008C76E0" w:rsidRPr="00BD7577" w:rsidRDefault="008C76E0" w:rsidP="00D002A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1837D15F" w14:textId="77777777" w:rsidTr="008C76E0">
        <w:trPr>
          <w:jc w:val="center"/>
        </w:trPr>
        <w:tc>
          <w:tcPr>
            <w:tcW w:w="9197" w:type="dxa"/>
            <w:tcBorders>
              <w:top w:val="single" w:sz="4" w:space="0" w:color="auto"/>
              <w:left w:val="single" w:sz="4" w:space="0" w:color="auto"/>
              <w:right w:val="single" w:sz="4" w:space="0" w:color="auto"/>
            </w:tcBorders>
            <w:shd w:val="clear" w:color="auto" w:fill="FFFFFF"/>
          </w:tcPr>
          <w:p w14:paraId="496DE6B0" w14:textId="77777777" w:rsidR="008C76E0" w:rsidRPr="00BD7577" w:rsidRDefault="008C76E0" w:rsidP="00D002A4">
            <w:pPr>
              <w:spacing w:after="160" w:line="360" w:lineRule="auto"/>
              <w:ind w:right="-1"/>
              <w:jc w:val="both"/>
              <w:rPr>
                <w:rFonts w:ascii="Sylfaen" w:hAnsi="Sylfaen"/>
                <w:sz w:val="24"/>
                <w:szCs w:val="24"/>
                <w:highlight w:val="yellow"/>
              </w:rPr>
            </w:pPr>
          </w:p>
        </w:tc>
      </w:tr>
      <w:tr w:rsidR="008C76E0" w:rsidRPr="00BD7577" w14:paraId="1BCC4521" w14:textId="77777777" w:rsidTr="008C76E0">
        <w:trPr>
          <w:jc w:val="center"/>
        </w:trPr>
        <w:tc>
          <w:tcPr>
            <w:tcW w:w="9197" w:type="dxa"/>
            <w:tcBorders>
              <w:top w:val="single" w:sz="4" w:space="0" w:color="auto"/>
              <w:left w:val="single" w:sz="4" w:space="0" w:color="auto"/>
              <w:bottom w:val="single" w:sz="4" w:space="0" w:color="auto"/>
              <w:right w:val="single" w:sz="4" w:space="0" w:color="auto"/>
            </w:tcBorders>
            <w:shd w:val="clear" w:color="auto" w:fill="FFFFFF"/>
          </w:tcPr>
          <w:p w14:paraId="3067DE6A" w14:textId="77777777" w:rsidR="008C76E0" w:rsidRPr="00BD7577" w:rsidRDefault="008C76E0" w:rsidP="00D002A4">
            <w:pPr>
              <w:spacing w:after="160" w:line="360" w:lineRule="auto"/>
              <w:ind w:right="-1"/>
              <w:jc w:val="both"/>
              <w:rPr>
                <w:rFonts w:ascii="Sylfaen" w:hAnsi="Sylfaen"/>
                <w:sz w:val="24"/>
                <w:szCs w:val="24"/>
              </w:rPr>
            </w:pPr>
          </w:p>
        </w:tc>
      </w:tr>
    </w:tbl>
    <w:p w14:paraId="0684B472" w14:textId="77777777" w:rsidR="004C0BC5" w:rsidRDefault="004C0BC5" w:rsidP="00D002A4">
      <w:pPr>
        <w:spacing w:after="160" w:line="360" w:lineRule="auto"/>
        <w:ind w:right="-1" w:firstLine="567"/>
        <w:jc w:val="both"/>
        <w:rPr>
          <w:rFonts w:ascii="Sylfaen" w:hAnsi="Sylfaen"/>
          <w:sz w:val="24"/>
          <w:szCs w:val="24"/>
          <w:lang w:val="en-US"/>
        </w:rPr>
      </w:pPr>
    </w:p>
    <w:p w14:paraId="2C0B2865" w14:textId="77777777" w:rsidR="004C0BC5" w:rsidRDefault="004C0BC5">
      <w:pPr>
        <w:widowControl/>
        <w:rPr>
          <w:rFonts w:ascii="Sylfaen" w:hAnsi="Sylfaen"/>
          <w:sz w:val="24"/>
          <w:szCs w:val="24"/>
          <w:lang w:val="en-US"/>
        </w:rPr>
      </w:pPr>
      <w:r>
        <w:rPr>
          <w:rFonts w:ascii="Sylfaen" w:hAnsi="Sylfaen"/>
          <w:sz w:val="24"/>
          <w:szCs w:val="24"/>
          <w:lang w:val="en-US"/>
        </w:rPr>
        <w:br w:type="page"/>
      </w:r>
    </w:p>
    <w:p w14:paraId="43198042" w14:textId="77777777" w:rsidR="008C76E0" w:rsidRPr="00BD7577" w:rsidRDefault="008C76E0" w:rsidP="00D002A4">
      <w:pPr>
        <w:spacing w:after="160" w:line="360" w:lineRule="auto"/>
        <w:ind w:left="567" w:right="566"/>
        <w:jc w:val="center"/>
        <w:rPr>
          <w:rFonts w:ascii="Sylfaen" w:hAnsi="Sylfaen"/>
          <w:sz w:val="24"/>
          <w:szCs w:val="24"/>
        </w:rPr>
      </w:pPr>
      <w:r w:rsidRPr="00BD7577">
        <w:rPr>
          <w:rFonts w:ascii="Sylfaen" w:hAnsi="Sylfaen"/>
          <w:sz w:val="24"/>
          <w:szCs w:val="24"/>
        </w:rPr>
        <w:lastRenderedPageBreak/>
        <w:t>4.4. Օժանդակ նյութերի որակի հսկողությունը (մոդուլ 3.2.Р.4)</w:t>
      </w:r>
    </w:p>
    <w:p w14:paraId="445A4E73"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4.4.1.</w:t>
      </w:r>
      <w:r w:rsidRPr="00BD7577">
        <w:rPr>
          <w:rFonts w:ascii="Sylfaen" w:hAnsi="Sylfaen"/>
          <w:sz w:val="24"/>
          <w:szCs w:val="24"/>
        </w:rPr>
        <w:tab/>
        <w:t>Մասնագիրը (բաժին Р.4.1)։</w:t>
      </w:r>
    </w:p>
    <w:p w14:paraId="57806FE3"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55136B2"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7AC45B2"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6FAA165"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4.4.2.</w:t>
      </w:r>
      <w:r w:rsidRPr="00BD7577">
        <w:rPr>
          <w:rFonts w:ascii="Sylfaen" w:hAnsi="Sylfaen"/>
          <w:sz w:val="24"/>
          <w:szCs w:val="24"/>
        </w:rPr>
        <w:tab/>
        <w:t>Վերլուծական մեթոդիկաները (բաժին Р.4.2)։</w:t>
      </w:r>
    </w:p>
    <w:p w14:paraId="480E7077"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CFD57B9"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E1B53E2"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96DF2BA"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4.4.3.</w:t>
      </w:r>
      <w:r w:rsidRPr="00BD7577">
        <w:rPr>
          <w:rFonts w:ascii="Sylfaen" w:hAnsi="Sylfaen"/>
          <w:sz w:val="24"/>
          <w:szCs w:val="24"/>
        </w:rPr>
        <w:tab/>
        <w:t>Վերլուծական մեթոդիկաների վալիդացումը (բաժինР.4.3)։</w:t>
      </w:r>
    </w:p>
    <w:p w14:paraId="5A057314"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E1CB83C"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ED493D6"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C3861DE"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4.4.4.</w:t>
      </w:r>
      <w:r w:rsidRPr="00BD7577">
        <w:rPr>
          <w:rFonts w:ascii="Sylfaen" w:hAnsi="Sylfaen"/>
          <w:sz w:val="24"/>
          <w:szCs w:val="24"/>
        </w:rPr>
        <w:tab/>
        <w:t>Մասնագրերի հիմնավորումը (բաժին Р.4.4)։</w:t>
      </w:r>
    </w:p>
    <w:p w14:paraId="2A0F556C"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94CC68F"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16A29E1"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0D54C9E"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4.4.5.</w:t>
      </w:r>
      <w:r w:rsidRPr="00BD7577">
        <w:rPr>
          <w:rFonts w:ascii="Sylfaen" w:hAnsi="Sylfaen"/>
          <w:sz w:val="24"/>
          <w:szCs w:val="24"/>
        </w:rPr>
        <w:tab/>
        <w:t xml:space="preserve">Մարդկային </w:t>
      </w:r>
      <w:r w:rsidR="00C54D75">
        <w:rPr>
          <w:rFonts w:ascii="Sylfaen" w:hAnsi="Sylfaen"/>
          <w:sz w:val="24"/>
          <w:szCs w:val="24"/>
        </w:rPr>
        <w:t>և</w:t>
      </w:r>
      <w:r w:rsidRPr="00BD7577">
        <w:rPr>
          <w:rFonts w:ascii="Sylfaen" w:hAnsi="Sylfaen"/>
          <w:sz w:val="24"/>
          <w:szCs w:val="24"/>
        </w:rPr>
        <w:t xml:space="preserve"> կենդանական ծագման օժանդակ նյութերը </w:t>
      </w:r>
      <w:r w:rsidRPr="00A30AAA">
        <w:rPr>
          <w:rFonts w:ascii="Sylfaen" w:hAnsi="Sylfaen"/>
          <w:sz w:val="24"/>
          <w:szCs w:val="24"/>
        </w:rPr>
        <w:br/>
      </w:r>
      <w:r w:rsidRPr="00BD7577">
        <w:rPr>
          <w:rFonts w:ascii="Sylfaen" w:hAnsi="Sylfaen"/>
          <w:sz w:val="24"/>
          <w:szCs w:val="24"/>
        </w:rPr>
        <w:t>(բաժին Р.4.5)։</w:t>
      </w:r>
    </w:p>
    <w:p w14:paraId="71E925DC"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85E53C6"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5C0874D"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61393E6"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lastRenderedPageBreak/>
        <w:t>4.4.6.</w:t>
      </w:r>
      <w:r w:rsidRPr="00BD7577">
        <w:rPr>
          <w:rFonts w:ascii="Sylfaen" w:hAnsi="Sylfaen"/>
          <w:sz w:val="24"/>
          <w:szCs w:val="24"/>
        </w:rPr>
        <w:tab/>
        <w:t>Նոր օժանդակ նյութերը (բաժին Р.4.6)։</w:t>
      </w:r>
    </w:p>
    <w:p w14:paraId="681DD35E"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B429DE1"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5AFADB0"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197" w:type="dxa"/>
        <w:jc w:val="center"/>
        <w:tblLayout w:type="fixed"/>
        <w:tblCellMar>
          <w:left w:w="10" w:type="dxa"/>
          <w:right w:w="10" w:type="dxa"/>
        </w:tblCellMar>
        <w:tblLook w:val="04A0" w:firstRow="1" w:lastRow="0" w:firstColumn="1" w:lastColumn="0" w:noHBand="0" w:noVBand="1"/>
      </w:tblPr>
      <w:tblGrid>
        <w:gridCol w:w="9197"/>
      </w:tblGrid>
      <w:tr w:rsidR="008C76E0" w:rsidRPr="00BD7577" w14:paraId="2263A933" w14:textId="77777777" w:rsidTr="008C76E0">
        <w:trPr>
          <w:jc w:val="center"/>
        </w:trPr>
        <w:tc>
          <w:tcPr>
            <w:tcW w:w="9197" w:type="dxa"/>
            <w:tcBorders>
              <w:top w:val="single" w:sz="4" w:space="0" w:color="auto"/>
              <w:left w:val="single" w:sz="4" w:space="0" w:color="auto"/>
              <w:right w:val="single" w:sz="4" w:space="0" w:color="auto"/>
            </w:tcBorders>
            <w:shd w:val="clear" w:color="auto" w:fill="FFFFFF"/>
            <w:vAlign w:val="bottom"/>
          </w:tcPr>
          <w:p w14:paraId="5FA6F075" w14:textId="77777777" w:rsidR="008C76E0" w:rsidRPr="00BD7577" w:rsidRDefault="008C76E0" w:rsidP="00D002A4">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2299949F" w14:textId="77777777" w:rsidTr="008C76E0">
        <w:trPr>
          <w:jc w:val="center"/>
        </w:trPr>
        <w:tc>
          <w:tcPr>
            <w:tcW w:w="9197" w:type="dxa"/>
            <w:tcBorders>
              <w:top w:val="single" w:sz="4" w:space="0" w:color="auto"/>
              <w:left w:val="single" w:sz="4" w:space="0" w:color="auto"/>
              <w:right w:val="single" w:sz="4" w:space="0" w:color="auto"/>
            </w:tcBorders>
            <w:shd w:val="clear" w:color="auto" w:fill="FFFFFF"/>
          </w:tcPr>
          <w:p w14:paraId="645EC432" w14:textId="77777777" w:rsidR="008C76E0" w:rsidRPr="00BD7577" w:rsidRDefault="008C76E0" w:rsidP="00D002A4">
            <w:pPr>
              <w:spacing w:after="160" w:line="360" w:lineRule="auto"/>
              <w:ind w:right="-1"/>
              <w:jc w:val="both"/>
              <w:rPr>
                <w:rFonts w:ascii="Sylfaen" w:hAnsi="Sylfaen"/>
                <w:sz w:val="24"/>
                <w:szCs w:val="24"/>
                <w:highlight w:val="yellow"/>
              </w:rPr>
            </w:pPr>
          </w:p>
        </w:tc>
      </w:tr>
      <w:tr w:rsidR="008C76E0" w:rsidRPr="00BD7577" w14:paraId="6020C815" w14:textId="77777777" w:rsidTr="008C76E0">
        <w:trPr>
          <w:jc w:val="center"/>
        </w:trPr>
        <w:tc>
          <w:tcPr>
            <w:tcW w:w="9197" w:type="dxa"/>
            <w:tcBorders>
              <w:top w:val="single" w:sz="4" w:space="0" w:color="auto"/>
              <w:left w:val="single" w:sz="4" w:space="0" w:color="auto"/>
              <w:bottom w:val="single" w:sz="4" w:space="0" w:color="auto"/>
              <w:right w:val="single" w:sz="4" w:space="0" w:color="auto"/>
            </w:tcBorders>
            <w:shd w:val="clear" w:color="auto" w:fill="FFFFFF"/>
          </w:tcPr>
          <w:p w14:paraId="78E76529" w14:textId="77777777" w:rsidR="008C76E0" w:rsidRPr="00BD7577" w:rsidRDefault="008C76E0" w:rsidP="00D002A4">
            <w:pPr>
              <w:spacing w:after="160" w:line="360" w:lineRule="auto"/>
              <w:ind w:right="-1"/>
              <w:jc w:val="both"/>
              <w:rPr>
                <w:rFonts w:ascii="Sylfaen" w:hAnsi="Sylfaen"/>
                <w:sz w:val="24"/>
                <w:szCs w:val="24"/>
              </w:rPr>
            </w:pPr>
          </w:p>
        </w:tc>
      </w:tr>
    </w:tbl>
    <w:p w14:paraId="64A8C6F0" w14:textId="77777777" w:rsidR="008C76E0" w:rsidRDefault="008C76E0" w:rsidP="00D002A4">
      <w:pPr>
        <w:tabs>
          <w:tab w:val="left" w:pos="1418"/>
        </w:tabs>
        <w:spacing w:after="160" w:line="360" w:lineRule="auto"/>
        <w:ind w:right="-1" w:firstLine="567"/>
        <w:jc w:val="both"/>
        <w:rPr>
          <w:rFonts w:ascii="Sylfaen" w:hAnsi="Sylfaen"/>
          <w:sz w:val="24"/>
          <w:szCs w:val="24"/>
          <w:lang w:val="en-US"/>
        </w:rPr>
      </w:pPr>
    </w:p>
    <w:p w14:paraId="39E4C1F3" w14:textId="77777777" w:rsidR="008C76E0" w:rsidRPr="00BD7577" w:rsidRDefault="008C76E0" w:rsidP="00D002A4">
      <w:pPr>
        <w:tabs>
          <w:tab w:val="left" w:pos="1418"/>
        </w:tabs>
        <w:spacing w:after="160" w:line="360" w:lineRule="auto"/>
        <w:ind w:right="-1" w:firstLine="567"/>
        <w:jc w:val="center"/>
        <w:rPr>
          <w:rFonts w:ascii="Sylfaen" w:hAnsi="Sylfaen"/>
          <w:sz w:val="24"/>
          <w:szCs w:val="24"/>
        </w:rPr>
      </w:pPr>
      <w:r w:rsidRPr="00BD7577">
        <w:rPr>
          <w:rFonts w:ascii="Sylfaen" w:hAnsi="Sylfaen"/>
          <w:sz w:val="24"/>
          <w:szCs w:val="24"/>
        </w:rPr>
        <w:t>4.5. Դեղապատրաստուկի որակի հսկողությունը (մոդուլ 3.2.P.5 )</w:t>
      </w:r>
    </w:p>
    <w:p w14:paraId="17F15C2D" w14:textId="77777777" w:rsidR="008C76E0" w:rsidRPr="00DD61E4"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4.5.1.</w:t>
      </w:r>
      <w:r w:rsidRPr="00BD7577">
        <w:rPr>
          <w:rFonts w:ascii="Sylfaen" w:hAnsi="Sylfaen"/>
          <w:sz w:val="24"/>
          <w:szCs w:val="24"/>
        </w:rPr>
        <w:tab/>
        <w:t xml:space="preserve">Մասնագրերը (բաժին P.5.1)։ </w:t>
      </w:r>
    </w:p>
    <w:p w14:paraId="2169D61C" w14:textId="77777777" w:rsidR="008C76E0" w:rsidRPr="00E15E7D" w:rsidRDefault="008C76E0" w:rsidP="00D002A4">
      <w:pPr>
        <w:widowControl/>
        <w:spacing w:after="160" w:line="360" w:lineRule="auto"/>
        <w:rPr>
          <w:rFonts w:ascii="Sylfaen" w:hAnsi="Sylfaen"/>
          <w:sz w:val="24"/>
          <w:szCs w:val="24"/>
        </w:rPr>
      </w:pPr>
    </w:p>
    <w:p w14:paraId="7447A6A4" w14:textId="77777777" w:rsidR="008C76E0" w:rsidRPr="00BD7577" w:rsidRDefault="008C76E0" w:rsidP="00D002A4">
      <w:pPr>
        <w:spacing w:after="160" w:line="360" w:lineRule="auto"/>
        <w:ind w:right="-1"/>
        <w:jc w:val="right"/>
        <w:rPr>
          <w:rFonts w:ascii="Sylfaen" w:hAnsi="Sylfaen"/>
          <w:sz w:val="24"/>
          <w:szCs w:val="24"/>
        </w:rPr>
      </w:pPr>
      <w:r w:rsidRPr="00BD7577">
        <w:rPr>
          <w:rFonts w:ascii="Sylfaen" w:hAnsi="Sylfaen"/>
          <w:sz w:val="24"/>
          <w:szCs w:val="24"/>
        </w:rPr>
        <w:t>Աղյուսակ P. 5-1</w:t>
      </w:r>
    </w:p>
    <w:p w14:paraId="7BD0E3CD" w14:textId="77777777" w:rsidR="008C76E0" w:rsidRPr="00BD7577" w:rsidRDefault="008C76E0" w:rsidP="008C76E0">
      <w:pPr>
        <w:ind w:right="-1"/>
        <w:jc w:val="right"/>
        <w:rPr>
          <w:rFonts w:ascii="Sylfaen" w:hAnsi="Sylfaen"/>
          <w:sz w:val="24"/>
          <w:szCs w:val="24"/>
        </w:rPr>
      </w:pPr>
    </w:p>
    <w:p w14:paraId="17C023FD"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 xml:space="preserve">Բացթողման </w:t>
      </w:r>
      <w:r w:rsidR="00C54D75">
        <w:rPr>
          <w:rFonts w:ascii="Sylfaen" w:hAnsi="Sylfaen"/>
          <w:sz w:val="24"/>
          <w:szCs w:val="24"/>
        </w:rPr>
        <w:t>և</w:t>
      </w:r>
      <w:r w:rsidRPr="00BD7577">
        <w:rPr>
          <w:rFonts w:ascii="Sylfaen" w:hAnsi="Sylfaen"/>
          <w:sz w:val="24"/>
          <w:szCs w:val="24"/>
        </w:rPr>
        <w:t xml:space="preserve"> պահպանման ժամկետը լրանալու մասնագրերը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70"/>
        <w:gridCol w:w="2549"/>
        <w:gridCol w:w="4195"/>
      </w:tblGrid>
      <w:tr w:rsidR="008C76E0" w:rsidRPr="00BD7577" w14:paraId="54D2E893" w14:textId="77777777" w:rsidTr="008C76E0">
        <w:trPr>
          <w:jc w:val="center"/>
        </w:trPr>
        <w:tc>
          <w:tcPr>
            <w:tcW w:w="2770" w:type="dxa"/>
            <w:tcBorders>
              <w:top w:val="single" w:sz="4" w:space="0" w:color="auto"/>
              <w:left w:val="single" w:sz="4" w:space="0" w:color="auto"/>
            </w:tcBorders>
            <w:shd w:val="clear" w:color="auto" w:fill="FFFFFF"/>
            <w:vAlign w:val="bottom"/>
          </w:tcPr>
          <w:p w14:paraId="413165C5"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Որակի ցուցանիշը</w:t>
            </w:r>
          </w:p>
        </w:tc>
        <w:tc>
          <w:tcPr>
            <w:tcW w:w="2549" w:type="dxa"/>
            <w:tcBorders>
              <w:top w:val="single" w:sz="4" w:space="0" w:color="auto"/>
              <w:left w:val="single" w:sz="4" w:space="0" w:color="auto"/>
            </w:tcBorders>
            <w:shd w:val="clear" w:color="auto" w:fill="FFFFFF"/>
            <w:vAlign w:val="bottom"/>
          </w:tcPr>
          <w:p w14:paraId="1F1A0DA3"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Փորձարկման մեթոդը</w:t>
            </w:r>
          </w:p>
        </w:tc>
        <w:tc>
          <w:tcPr>
            <w:tcW w:w="4195" w:type="dxa"/>
            <w:tcBorders>
              <w:top w:val="single" w:sz="4" w:space="0" w:color="auto"/>
              <w:left w:val="single" w:sz="4" w:space="0" w:color="auto"/>
              <w:right w:val="single" w:sz="4" w:space="0" w:color="auto"/>
            </w:tcBorders>
            <w:shd w:val="clear" w:color="auto" w:fill="FFFFFF"/>
            <w:vAlign w:val="bottom"/>
          </w:tcPr>
          <w:p w14:paraId="4589DC3D"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Թույլատրելի նորմերը</w:t>
            </w:r>
          </w:p>
        </w:tc>
      </w:tr>
      <w:tr w:rsidR="008C76E0" w:rsidRPr="00BD7577" w14:paraId="7EBB5CAF" w14:textId="77777777" w:rsidTr="008C76E0">
        <w:trPr>
          <w:jc w:val="center"/>
        </w:trPr>
        <w:tc>
          <w:tcPr>
            <w:tcW w:w="2770" w:type="dxa"/>
            <w:tcBorders>
              <w:top w:val="single" w:sz="4" w:space="0" w:color="auto"/>
              <w:left w:val="single" w:sz="4" w:space="0" w:color="auto"/>
            </w:tcBorders>
            <w:shd w:val="clear" w:color="auto" w:fill="FFFFFF"/>
          </w:tcPr>
          <w:p w14:paraId="3A313621" w14:textId="77777777" w:rsidR="008C76E0" w:rsidRPr="00BD7577" w:rsidRDefault="008C76E0" w:rsidP="008C76E0">
            <w:pPr>
              <w:spacing w:after="120" w:line="240" w:lineRule="auto"/>
              <w:jc w:val="both"/>
              <w:rPr>
                <w:rFonts w:ascii="Sylfaen" w:hAnsi="Sylfaen"/>
                <w:sz w:val="24"/>
                <w:szCs w:val="24"/>
              </w:rPr>
            </w:pPr>
          </w:p>
        </w:tc>
        <w:tc>
          <w:tcPr>
            <w:tcW w:w="2549" w:type="dxa"/>
            <w:tcBorders>
              <w:top w:val="single" w:sz="4" w:space="0" w:color="auto"/>
              <w:left w:val="single" w:sz="4" w:space="0" w:color="auto"/>
            </w:tcBorders>
            <w:shd w:val="clear" w:color="auto" w:fill="FFFFFF"/>
          </w:tcPr>
          <w:p w14:paraId="0CF66AF4" w14:textId="77777777" w:rsidR="008C76E0" w:rsidRPr="00BD7577" w:rsidRDefault="008C76E0" w:rsidP="008C76E0">
            <w:pPr>
              <w:spacing w:after="120" w:line="240" w:lineRule="auto"/>
              <w:jc w:val="both"/>
              <w:rPr>
                <w:rFonts w:ascii="Sylfaen" w:hAnsi="Sylfaen"/>
                <w:sz w:val="24"/>
                <w:szCs w:val="24"/>
              </w:rPr>
            </w:pPr>
          </w:p>
        </w:tc>
        <w:tc>
          <w:tcPr>
            <w:tcW w:w="4195" w:type="dxa"/>
            <w:tcBorders>
              <w:top w:val="single" w:sz="4" w:space="0" w:color="auto"/>
              <w:left w:val="single" w:sz="4" w:space="0" w:color="auto"/>
              <w:right w:val="single" w:sz="4" w:space="0" w:color="auto"/>
            </w:tcBorders>
            <w:shd w:val="clear" w:color="auto" w:fill="FFFFFF"/>
          </w:tcPr>
          <w:p w14:paraId="6471D9BF" w14:textId="77777777" w:rsidR="008C76E0" w:rsidRPr="00BD7577" w:rsidRDefault="008C76E0" w:rsidP="008C76E0">
            <w:pPr>
              <w:spacing w:after="120" w:line="240" w:lineRule="auto"/>
              <w:jc w:val="both"/>
              <w:rPr>
                <w:rFonts w:ascii="Sylfaen" w:hAnsi="Sylfaen"/>
                <w:sz w:val="24"/>
                <w:szCs w:val="24"/>
              </w:rPr>
            </w:pPr>
          </w:p>
        </w:tc>
      </w:tr>
      <w:tr w:rsidR="008C76E0" w:rsidRPr="00BD7577" w14:paraId="35842A07" w14:textId="77777777" w:rsidTr="008C76E0">
        <w:trPr>
          <w:jc w:val="center"/>
        </w:trPr>
        <w:tc>
          <w:tcPr>
            <w:tcW w:w="2770" w:type="dxa"/>
            <w:tcBorders>
              <w:top w:val="single" w:sz="4" w:space="0" w:color="auto"/>
              <w:left w:val="single" w:sz="4" w:space="0" w:color="auto"/>
            </w:tcBorders>
            <w:shd w:val="clear" w:color="auto" w:fill="FFFFFF"/>
          </w:tcPr>
          <w:p w14:paraId="74DF9FC8" w14:textId="77777777" w:rsidR="008C76E0" w:rsidRPr="00BD7577" w:rsidRDefault="008C76E0" w:rsidP="008C76E0">
            <w:pPr>
              <w:spacing w:after="120" w:line="240" w:lineRule="auto"/>
              <w:jc w:val="both"/>
              <w:rPr>
                <w:rFonts w:ascii="Sylfaen" w:hAnsi="Sylfaen"/>
                <w:sz w:val="24"/>
                <w:szCs w:val="24"/>
              </w:rPr>
            </w:pPr>
          </w:p>
        </w:tc>
        <w:tc>
          <w:tcPr>
            <w:tcW w:w="2549" w:type="dxa"/>
            <w:tcBorders>
              <w:top w:val="single" w:sz="4" w:space="0" w:color="auto"/>
              <w:left w:val="single" w:sz="4" w:space="0" w:color="auto"/>
            </w:tcBorders>
            <w:shd w:val="clear" w:color="auto" w:fill="FFFFFF"/>
          </w:tcPr>
          <w:p w14:paraId="42019F63" w14:textId="77777777" w:rsidR="008C76E0" w:rsidRPr="00BD7577" w:rsidRDefault="008C76E0" w:rsidP="008C76E0">
            <w:pPr>
              <w:spacing w:after="120" w:line="240" w:lineRule="auto"/>
              <w:jc w:val="both"/>
              <w:rPr>
                <w:rFonts w:ascii="Sylfaen" w:hAnsi="Sylfaen"/>
                <w:sz w:val="24"/>
                <w:szCs w:val="24"/>
              </w:rPr>
            </w:pPr>
          </w:p>
        </w:tc>
        <w:tc>
          <w:tcPr>
            <w:tcW w:w="4195" w:type="dxa"/>
            <w:tcBorders>
              <w:top w:val="single" w:sz="4" w:space="0" w:color="auto"/>
              <w:left w:val="single" w:sz="4" w:space="0" w:color="auto"/>
              <w:right w:val="single" w:sz="4" w:space="0" w:color="auto"/>
            </w:tcBorders>
            <w:shd w:val="clear" w:color="auto" w:fill="FFFFFF"/>
          </w:tcPr>
          <w:p w14:paraId="534C69D0" w14:textId="77777777" w:rsidR="008C76E0" w:rsidRPr="00BD7577" w:rsidRDefault="008C76E0" w:rsidP="008C76E0">
            <w:pPr>
              <w:spacing w:after="120" w:line="240" w:lineRule="auto"/>
              <w:jc w:val="both"/>
              <w:rPr>
                <w:rFonts w:ascii="Sylfaen" w:hAnsi="Sylfaen"/>
                <w:sz w:val="24"/>
                <w:szCs w:val="24"/>
              </w:rPr>
            </w:pPr>
          </w:p>
        </w:tc>
      </w:tr>
      <w:tr w:rsidR="008C76E0" w:rsidRPr="00BD7577" w14:paraId="05862906" w14:textId="77777777" w:rsidTr="008C76E0">
        <w:trPr>
          <w:jc w:val="center"/>
        </w:trPr>
        <w:tc>
          <w:tcPr>
            <w:tcW w:w="2770" w:type="dxa"/>
            <w:tcBorders>
              <w:top w:val="single" w:sz="4" w:space="0" w:color="auto"/>
              <w:left w:val="single" w:sz="4" w:space="0" w:color="auto"/>
            </w:tcBorders>
            <w:shd w:val="clear" w:color="auto" w:fill="FFFFFF"/>
          </w:tcPr>
          <w:p w14:paraId="2A4D23BD" w14:textId="77777777" w:rsidR="008C76E0" w:rsidRPr="00BD7577" w:rsidRDefault="008C76E0" w:rsidP="008C76E0">
            <w:pPr>
              <w:spacing w:after="120" w:line="240" w:lineRule="auto"/>
              <w:jc w:val="both"/>
              <w:rPr>
                <w:rFonts w:ascii="Sylfaen" w:hAnsi="Sylfaen"/>
                <w:sz w:val="24"/>
                <w:szCs w:val="24"/>
              </w:rPr>
            </w:pPr>
          </w:p>
        </w:tc>
        <w:tc>
          <w:tcPr>
            <w:tcW w:w="2549" w:type="dxa"/>
            <w:tcBorders>
              <w:top w:val="single" w:sz="4" w:space="0" w:color="auto"/>
              <w:left w:val="single" w:sz="4" w:space="0" w:color="auto"/>
            </w:tcBorders>
            <w:shd w:val="clear" w:color="auto" w:fill="FFFFFF"/>
          </w:tcPr>
          <w:p w14:paraId="6C60D14A" w14:textId="77777777" w:rsidR="008C76E0" w:rsidRPr="00BD7577" w:rsidRDefault="008C76E0" w:rsidP="008C76E0">
            <w:pPr>
              <w:spacing w:after="120" w:line="240" w:lineRule="auto"/>
              <w:jc w:val="both"/>
              <w:rPr>
                <w:rFonts w:ascii="Sylfaen" w:hAnsi="Sylfaen"/>
                <w:sz w:val="24"/>
                <w:szCs w:val="24"/>
              </w:rPr>
            </w:pPr>
          </w:p>
        </w:tc>
        <w:tc>
          <w:tcPr>
            <w:tcW w:w="4195" w:type="dxa"/>
            <w:tcBorders>
              <w:top w:val="single" w:sz="4" w:space="0" w:color="auto"/>
              <w:left w:val="single" w:sz="4" w:space="0" w:color="auto"/>
              <w:right w:val="single" w:sz="4" w:space="0" w:color="auto"/>
            </w:tcBorders>
            <w:shd w:val="clear" w:color="auto" w:fill="FFFFFF"/>
          </w:tcPr>
          <w:p w14:paraId="5949F699" w14:textId="77777777" w:rsidR="008C76E0" w:rsidRPr="00BD7577" w:rsidRDefault="008C76E0" w:rsidP="008C76E0">
            <w:pPr>
              <w:spacing w:after="120" w:line="240" w:lineRule="auto"/>
              <w:jc w:val="both"/>
              <w:rPr>
                <w:rFonts w:ascii="Sylfaen" w:hAnsi="Sylfaen"/>
                <w:sz w:val="24"/>
                <w:szCs w:val="24"/>
              </w:rPr>
            </w:pPr>
          </w:p>
        </w:tc>
      </w:tr>
      <w:tr w:rsidR="008C76E0" w:rsidRPr="00BD7577" w14:paraId="5D8FB194" w14:textId="77777777" w:rsidTr="008C76E0">
        <w:trPr>
          <w:jc w:val="center"/>
        </w:trPr>
        <w:tc>
          <w:tcPr>
            <w:tcW w:w="2770" w:type="dxa"/>
            <w:tcBorders>
              <w:top w:val="single" w:sz="4" w:space="0" w:color="auto"/>
              <w:left w:val="single" w:sz="4" w:space="0" w:color="auto"/>
            </w:tcBorders>
            <w:shd w:val="clear" w:color="auto" w:fill="FFFFFF"/>
          </w:tcPr>
          <w:p w14:paraId="06E06BB4" w14:textId="77777777" w:rsidR="008C76E0" w:rsidRPr="00BD7577" w:rsidRDefault="008C76E0" w:rsidP="008C76E0">
            <w:pPr>
              <w:spacing w:after="120" w:line="240" w:lineRule="auto"/>
              <w:jc w:val="both"/>
              <w:rPr>
                <w:rFonts w:ascii="Sylfaen" w:hAnsi="Sylfaen"/>
                <w:sz w:val="24"/>
                <w:szCs w:val="24"/>
              </w:rPr>
            </w:pPr>
          </w:p>
        </w:tc>
        <w:tc>
          <w:tcPr>
            <w:tcW w:w="2549" w:type="dxa"/>
            <w:tcBorders>
              <w:top w:val="single" w:sz="4" w:space="0" w:color="auto"/>
              <w:left w:val="single" w:sz="4" w:space="0" w:color="auto"/>
            </w:tcBorders>
            <w:shd w:val="clear" w:color="auto" w:fill="FFFFFF"/>
          </w:tcPr>
          <w:p w14:paraId="6A90856C" w14:textId="77777777" w:rsidR="008C76E0" w:rsidRPr="00BD7577" w:rsidRDefault="008C76E0" w:rsidP="008C76E0">
            <w:pPr>
              <w:spacing w:after="120" w:line="240" w:lineRule="auto"/>
              <w:jc w:val="both"/>
              <w:rPr>
                <w:rFonts w:ascii="Sylfaen" w:hAnsi="Sylfaen"/>
                <w:sz w:val="24"/>
                <w:szCs w:val="24"/>
              </w:rPr>
            </w:pPr>
          </w:p>
        </w:tc>
        <w:tc>
          <w:tcPr>
            <w:tcW w:w="4195" w:type="dxa"/>
            <w:tcBorders>
              <w:top w:val="single" w:sz="4" w:space="0" w:color="auto"/>
              <w:left w:val="single" w:sz="4" w:space="0" w:color="auto"/>
              <w:right w:val="single" w:sz="4" w:space="0" w:color="auto"/>
            </w:tcBorders>
            <w:shd w:val="clear" w:color="auto" w:fill="FFFFFF"/>
          </w:tcPr>
          <w:p w14:paraId="455B6071" w14:textId="77777777" w:rsidR="008C76E0" w:rsidRPr="00BD7577" w:rsidRDefault="008C76E0" w:rsidP="008C76E0">
            <w:pPr>
              <w:spacing w:after="120" w:line="240" w:lineRule="auto"/>
              <w:jc w:val="both"/>
              <w:rPr>
                <w:rFonts w:ascii="Sylfaen" w:hAnsi="Sylfaen"/>
                <w:sz w:val="24"/>
                <w:szCs w:val="24"/>
              </w:rPr>
            </w:pPr>
          </w:p>
        </w:tc>
      </w:tr>
      <w:tr w:rsidR="008C76E0" w:rsidRPr="00BD7577" w14:paraId="3EF56383" w14:textId="77777777" w:rsidTr="008C76E0">
        <w:trPr>
          <w:jc w:val="center"/>
        </w:trPr>
        <w:tc>
          <w:tcPr>
            <w:tcW w:w="2770" w:type="dxa"/>
            <w:tcBorders>
              <w:top w:val="single" w:sz="4" w:space="0" w:color="auto"/>
              <w:left w:val="single" w:sz="4" w:space="0" w:color="auto"/>
              <w:bottom w:val="single" w:sz="4" w:space="0" w:color="auto"/>
            </w:tcBorders>
            <w:shd w:val="clear" w:color="auto" w:fill="FFFFFF"/>
          </w:tcPr>
          <w:p w14:paraId="6C9C757F" w14:textId="77777777" w:rsidR="008C76E0" w:rsidRPr="00BD7577" w:rsidRDefault="008C76E0" w:rsidP="008C76E0">
            <w:pPr>
              <w:spacing w:after="120" w:line="240" w:lineRule="auto"/>
              <w:jc w:val="both"/>
              <w:rPr>
                <w:rFonts w:ascii="Sylfaen" w:hAnsi="Sylfaen"/>
                <w:sz w:val="24"/>
                <w:szCs w:val="24"/>
              </w:rPr>
            </w:pPr>
          </w:p>
        </w:tc>
        <w:tc>
          <w:tcPr>
            <w:tcW w:w="2549" w:type="dxa"/>
            <w:tcBorders>
              <w:top w:val="single" w:sz="4" w:space="0" w:color="auto"/>
              <w:left w:val="single" w:sz="4" w:space="0" w:color="auto"/>
              <w:bottom w:val="single" w:sz="4" w:space="0" w:color="auto"/>
            </w:tcBorders>
            <w:shd w:val="clear" w:color="auto" w:fill="FFFFFF"/>
          </w:tcPr>
          <w:p w14:paraId="49547735" w14:textId="77777777" w:rsidR="008C76E0" w:rsidRPr="00BD7577" w:rsidRDefault="008C76E0" w:rsidP="008C76E0">
            <w:pPr>
              <w:spacing w:after="120" w:line="240" w:lineRule="auto"/>
              <w:jc w:val="both"/>
              <w:rPr>
                <w:rFonts w:ascii="Sylfaen" w:hAnsi="Sylfaen"/>
                <w:sz w:val="24"/>
                <w:szCs w:val="24"/>
              </w:rPr>
            </w:pPr>
          </w:p>
        </w:tc>
        <w:tc>
          <w:tcPr>
            <w:tcW w:w="4195" w:type="dxa"/>
            <w:tcBorders>
              <w:top w:val="single" w:sz="4" w:space="0" w:color="auto"/>
              <w:left w:val="single" w:sz="4" w:space="0" w:color="auto"/>
              <w:bottom w:val="single" w:sz="4" w:space="0" w:color="auto"/>
              <w:right w:val="single" w:sz="4" w:space="0" w:color="auto"/>
            </w:tcBorders>
            <w:shd w:val="clear" w:color="auto" w:fill="FFFFFF"/>
          </w:tcPr>
          <w:p w14:paraId="486DFFA6" w14:textId="77777777" w:rsidR="008C76E0" w:rsidRPr="00BD7577" w:rsidRDefault="008C76E0" w:rsidP="008C76E0">
            <w:pPr>
              <w:spacing w:after="120" w:line="240" w:lineRule="auto"/>
              <w:jc w:val="both"/>
              <w:rPr>
                <w:rFonts w:ascii="Sylfaen" w:hAnsi="Sylfaen"/>
                <w:sz w:val="24"/>
                <w:szCs w:val="24"/>
              </w:rPr>
            </w:pPr>
          </w:p>
        </w:tc>
      </w:tr>
    </w:tbl>
    <w:p w14:paraId="66F77B1E"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4.5.2.</w:t>
      </w:r>
      <w:r w:rsidRPr="00BD7577">
        <w:rPr>
          <w:rFonts w:ascii="Sylfaen" w:hAnsi="Sylfaen"/>
          <w:sz w:val="24"/>
          <w:szCs w:val="24"/>
        </w:rPr>
        <w:tab/>
        <w:t>Վերլուծական մեթոդիկաները (բաժին P.5.2)։</w:t>
      </w:r>
    </w:p>
    <w:p w14:paraId="3F3B28A2"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B92968E"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1A6BF46"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04934F" w14:textId="77777777" w:rsidR="008C76E0" w:rsidRPr="00BD7577" w:rsidRDefault="008C76E0" w:rsidP="00D002A4">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lastRenderedPageBreak/>
        <w:t>4.5.3.</w:t>
      </w:r>
      <w:r w:rsidRPr="00BD7577">
        <w:rPr>
          <w:rFonts w:ascii="Sylfaen" w:hAnsi="Sylfaen"/>
          <w:sz w:val="24"/>
          <w:szCs w:val="24"/>
        </w:rPr>
        <w:tab/>
        <w:t>Վերլուծական մեթոդիկաների վալիդացումը (բաժին P.5.3)։</w:t>
      </w:r>
    </w:p>
    <w:p w14:paraId="6B93FDFC" w14:textId="77777777" w:rsidR="008C76E0" w:rsidRPr="00BD7577" w:rsidRDefault="008C76E0" w:rsidP="00D002A4">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783A6E8" w14:textId="77777777" w:rsidR="008C76E0" w:rsidRPr="00BD7577" w:rsidRDefault="008C76E0" w:rsidP="00D002A4">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0A6DD97" w14:textId="77777777" w:rsidR="008C76E0" w:rsidRPr="00BD7577" w:rsidRDefault="008C76E0" w:rsidP="00D002A4">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C8F8C06" w14:textId="77777777" w:rsidR="008C76E0" w:rsidRPr="00E15E7D" w:rsidRDefault="008C76E0" w:rsidP="00D002A4">
      <w:pPr>
        <w:widowControl/>
        <w:spacing w:after="160" w:line="360" w:lineRule="auto"/>
        <w:rPr>
          <w:rFonts w:ascii="Sylfaen" w:eastAsia="Times New Roman" w:hAnsi="Sylfaen" w:cs="Times New Roman"/>
          <w:sz w:val="24"/>
          <w:szCs w:val="24"/>
        </w:rPr>
      </w:pPr>
    </w:p>
    <w:p w14:paraId="49FB956D" w14:textId="77777777" w:rsidR="008C76E0" w:rsidRPr="00BD7577" w:rsidRDefault="008C76E0" w:rsidP="00D23305">
      <w:pPr>
        <w:spacing w:after="160" w:line="360" w:lineRule="auto"/>
        <w:ind w:right="-1"/>
        <w:jc w:val="right"/>
        <w:rPr>
          <w:rFonts w:ascii="Sylfaen" w:hAnsi="Sylfaen"/>
          <w:sz w:val="24"/>
          <w:szCs w:val="24"/>
        </w:rPr>
      </w:pPr>
      <w:r w:rsidRPr="00BD7577">
        <w:rPr>
          <w:rFonts w:ascii="Sylfaen" w:hAnsi="Sylfaen"/>
          <w:sz w:val="24"/>
          <w:szCs w:val="24"/>
        </w:rPr>
        <w:t>Աղյուսակ P. 5-2</w:t>
      </w:r>
    </w:p>
    <w:p w14:paraId="53A0545F" w14:textId="77777777" w:rsidR="008C76E0" w:rsidRPr="00BD7577" w:rsidRDefault="008C76E0" w:rsidP="00D23305">
      <w:pPr>
        <w:spacing w:after="160" w:line="360" w:lineRule="auto"/>
        <w:ind w:right="-1"/>
        <w:jc w:val="right"/>
        <w:rPr>
          <w:rFonts w:ascii="Sylfaen" w:hAnsi="Sylfaen"/>
          <w:sz w:val="24"/>
          <w:szCs w:val="24"/>
        </w:rPr>
      </w:pPr>
    </w:p>
    <w:p w14:paraId="48D19388"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 xml:space="preserve">Վերլուծական մեթոդիկաների վալիդացման պարամետրերի </w:t>
      </w:r>
      <w:r w:rsidRPr="00A30AAA">
        <w:rPr>
          <w:rFonts w:ascii="Sylfaen" w:hAnsi="Sylfaen"/>
          <w:sz w:val="24"/>
          <w:szCs w:val="24"/>
        </w:rPr>
        <w:br/>
      </w:r>
      <w:r w:rsidRPr="00BD7577">
        <w:rPr>
          <w:rFonts w:ascii="Sylfaen" w:hAnsi="Sylfaen"/>
          <w:sz w:val="24"/>
          <w:szCs w:val="24"/>
        </w:rPr>
        <w:t>համառոտ ամփոփումը</w:t>
      </w:r>
    </w:p>
    <w:tbl>
      <w:tblPr>
        <w:tblOverlap w:val="never"/>
        <w:tblW w:w="9586" w:type="dxa"/>
        <w:jc w:val="center"/>
        <w:tblLayout w:type="fixed"/>
        <w:tblCellMar>
          <w:left w:w="10" w:type="dxa"/>
          <w:right w:w="10" w:type="dxa"/>
        </w:tblCellMar>
        <w:tblLook w:val="04A0" w:firstRow="1" w:lastRow="0" w:firstColumn="1" w:lastColumn="0" w:noHBand="0" w:noVBand="1"/>
      </w:tblPr>
      <w:tblGrid>
        <w:gridCol w:w="5357"/>
        <w:gridCol w:w="1056"/>
        <w:gridCol w:w="1056"/>
        <w:gridCol w:w="1056"/>
        <w:gridCol w:w="1061"/>
      </w:tblGrid>
      <w:tr w:rsidR="008C76E0" w:rsidRPr="00BD7577" w14:paraId="46E90CE8" w14:textId="77777777" w:rsidTr="008C76E0">
        <w:trPr>
          <w:jc w:val="center"/>
        </w:trPr>
        <w:tc>
          <w:tcPr>
            <w:tcW w:w="5357" w:type="dxa"/>
            <w:vMerge w:val="restart"/>
            <w:tcBorders>
              <w:top w:val="single" w:sz="4" w:space="0" w:color="auto"/>
              <w:left w:val="single" w:sz="4" w:space="0" w:color="auto"/>
            </w:tcBorders>
            <w:shd w:val="clear" w:color="auto" w:fill="FFFFFF"/>
          </w:tcPr>
          <w:p w14:paraId="2B15AC23" w14:textId="77777777" w:rsidR="008C76E0" w:rsidRPr="00BD7577" w:rsidRDefault="008C76E0" w:rsidP="008C76E0">
            <w:pPr>
              <w:spacing w:after="120" w:line="240" w:lineRule="auto"/>
              <w:jc w:val="both"/>
              <w:rPr>
                <w:rFonts w:ascii="Sylfaen" w:hAnsi="Sylfaen"/>
                <w:sz w:val="24"/>
                <w:szCs w:val="24"/>
              </w:rPr>
            </w:pPr>
          </w:p>
        </w:tc>
        <w:tc>
          <w:tcPr>
            <w:tcW w:w="4224" w:type="dxa"/>
            <w:gridSpan w:val="4"/>
            <w:tcBorders>
              <w:top w:val="single" w:sz="4" w:space="0" w:color="auto"/>
              <w:left w:val="single" w:sz="4" w:space="0" w:color="auto"/>
              <w:right w:val="single" w:sz="4" w:space="0" w:color="auto"/>
            </w:tcBorders>
            <w:shd w:val="clear" w:color="auto" w:fill="FFFFFF"/>
            <w:vAlign w:val="bottom"/>
          </w:tcPr>
          <w:p w14:paraId="79798B7C"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Վերլուծական մեթոդիկան</w:t>
            </w:r>
          </w:p>
        </w:tc>
      </w:tr>
      <w:tr w:rsidR="008C76E0" w:rsidRPr="00BD7577" w14:paraId="28BEB658" w14:textId="77777777" w:rsidTr="008C76E0">
        <w:trPr>
          <w:jc w:val="center"/>
        </w:trPr>
        <w:tc>
          <w:tcPr>
            <w:tcW w:w="5357" w:type="dxa"/>
            <w:vMerge/>
            <w:tcBorders>
              <w:left w:val="single" w:sz="4" w:space="0" w:color="auto"/>
            </w:tcBorders>
            <w:shd w:val="clear" w:color="auto" w:fill="FFFFFF"/>
          </w:tcPr>
          <w:p w14:paraId="75A0F9AB"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3B9709B6"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2C5C56DF"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6D7D74FD"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right w:val="single" w:sz="4" w:space="0" w:color="auto"/>
            </w:tcBorders>
            <w:shd w:val="clear" w:color="auto" w:fill="FFFFFF"/>
          </w:tcPr>
          <w:p w14:paraId="00FDEECC" w14:textId="77777777" w:rsidR="008C76E0" w:rsidRPr="00BD7577" w:rsidRDefault="008C76E0" w:rsidP="008C76E0">
            <w:pPr>
              <w:spacing w:after="120" w:line="240" w:lineRule="auto"/>
              <w:jc w:val="both"/>
              <w:rPr>
                <w:rFonts w:ascii="Sylfaen" w:hAnsi="Sylfaen"/>
                <w:sz w:val="24"/>
                <w:szCs w:val="24"/>
              </w:rPr>
            </w:pPr>
          </w:p>
        </w:tc>
      </w:tr>
      <w:tr w:rsidR="008C76E0" w:rsidRPr="00BD7577" w14:paraId="2F35FA53" w14:textId="77777777" w:rsidTr="008C76E0">
        <w:trPr>
          <w:jc w:val="center"/>
        </w:trPr>
        <w:tc>
          <w:tcPr>
            <w:tcW w:w="5357" w:type="dxa"/>
            <w:tcBorders>
              <w:top w:val="single" w:sz="4" w:space="0" w:color="auto"/>
              <w:left w:val="single" w:sz="4" w:space="0" w:color="auto"/>
            </w:tcBorders>
            <w:shd w:val="clear" w:color="auto" w:fill="FFFFFF"/>
          </w:tcPr>
          <w:p w14:paraId="37660438"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Ճշտությունը</w:t>
            </w:r>
          </w:p>
        </w:tc>
        <w:tc>
          <w:tcPr>
            <w:tcW w:w="1056" w:type="dxa"/>
            <w:tcBorders>
              <w:top w:val="single" w:sz="4" w:space="0" w:color="auto"/>
              <w:left w:val="single" w:sz="4" w:space="0" w:color="auto"/>
            </w:tcBorders>
            <w:shd w:val="clear" w:color="auto" w:fill="FFFFFF"/>
          </w:tcPr>
          <w:p w14:paraId="5FBCAACD"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63F16385"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3E83D87B"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right w:val="single" w:sz="4" w:space="0" w:color="auto"/>
            </w:tcBorders>
            <w:shd w:val="clear" w:color="auto" w:fill="FFFFFF"/>
          </w:tcPr>
          <w:p w14:paraId="6314C77D" w14:textId="77777777" w:rsidR="008C76E0" w:rsidRPr="00BD7577" w:rsidRDefault="008C76E0" w:rsidP="008C76E0">
            <w:pPr>
              <w:spacing w:after="120" w:line="240" w:lineRule="auto"/>
              <w:jc w:val="both"/>
              <w:rPr>
                <w:rFonts w:ascii="Sylfaen" w:hAnsi="Sylfaen"/>
                <w:sz w:val="24"/>
                <w:szCs w:val="24"/>
              </w:rPr>
            </w:pPr>
          </w:p>
        </w:tc>
      </w:tr>
      <w:tr w:rsidR="008C76E0" w:rsidRPr="00BD7577" w14:paraId="42DE7AE6" w14:textId="77777777" w:rsidTr="008C76E0">
        <w:trPr>
          <w:jc w:val="center"/>
        </w:trPr>
        <w:tc>
          <w:tcPr>
            <w:tcW w:w="5357" w:type="dxa"/>
            <w:tcBorders>
              <w:top w:val="single" w:sz="4" w:space="0" w:color="auto"/>
              <w:left w:val="single" w:sz="4" w:space="0" w:color="auto"/>
            </w:tcBorders>
            <w:shd w:val="clear" w:color="auto" w:fill="FFFFFF"/>
          </w:tcPr>
          <w:p w14:paraId="44D11BEB" w14:textId="77777777" w:rsidR="008C76E0" w:rsidRPr="008C76E0" w:rsidRDefault="008C76E0" w:rsidP="008C76E0">
            <w:pPr>
              <w:pStyle w:val="Bodytext180"/>
              <w:shd w:val="clear" w:color="auto" w:fill="auto"/>
              <w:spacing w:before="0" w:after="120" w:line="240" w:lineRule="auto"/>
              <w:ind w:left="106" w:firstLine="0"/>
              <w:jc w:val="both"/>
              <w:rPr>
                <w:rFonts w:ascii="Sylfaen" w:hAnsi="Sylfaen"/>
                <w:b w:val="0"/>
                <w:sz w:val="24"/>
                <w:szCs w:val="24"/>
                <w:lang w:val="hy-AM"/>
              </w:rPr>
            </w:pPr>
            <w:r w:rsidRPr="00BD7577">
              <w:rPr>
                <w:rStyle w:val="Bodytext1811pt"/>
                <w:rFonts w:ascii="Sylfaen" w:hAnsi="Sylfaen"/>
                <w:sz w:val="24"/>
                <w:szCs w:val="24"/>
              </w:rPr>
              <w:t>Վերարտադրելիությունը՝</w:t>
            </w:r>
          </w:p>
          <w:p w14:paraId="2528D114" w14:textId="77777777" w:rsidR="008C76E0" w:rsidRPr="008C76E0" w:rsidRDefault="008C76E0" w:rsidP="008C76E0">
            <w:pPr>
              <w:pStyle w:val="Bodytext180"/>
              <w:shd w:val="clear" w:color="auto" w:fill="auto"/>
              <w:spacing w:before="0" w:after="120" w:line="240" w:lineRule="auto"/>
              <w:ind w:left="106" w:firstLine="0"/>
              <w:jc w:val="both"/>
              <w:rPr>
                <w:rFonts w:ascii="Sylfaen" w:hAnsi="Sylfaen"/>
                <w:b w:val="0"/>
                <w:sz w:val="24"/>
                <w:szCs w:val="24"/>
                <w:lang w:val="hy-AM"/>
              </w:rPr>
            </w:pPr>
            <w:r w:rsidRPr="00BD7577">
              <w:rPr>
                <w:rStyle w:val="Bodytext1811pt"/>
                <w:rFonts w:ascii="Sylfaen" w:hAnsi="Sylfaen"/>
                <w:sz w:val="24"/>
                <w:szCs w:val="24"/>
              </w:rPr>
              <w:t>կրկնելիությունը (զուգամիտությունը), միջլաբորատոր վերարտադրելիությունը</w:t>
            </w:r>
          </w:p>
        </w:tc>
        <w:tc>
          <w:tcPr>
            <w:tcW w:w="1056" w:type="dxa"/>
            <w:tcBorders>
              <w:top w:val="single" w:sz="4" w:space="0" w:color="auto"/>
              <w:left w:val="single" w:sz="4" w:space="0" w:color="auto"/>
            </w:tcBorders>
            <w:shd w:val="clear" w:color="auto" w:fill="FFFFFF"/>
          </w:tcPr>
          <w:p w14:paraId="29E9A36A"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032EE75D"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tcBorders>
            <w:shd w:val="clear" w:color="auto" w:fill="FFFFFF"/>
          </w:tcPr>
          <w:p w14:paraId="396E83B2"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right w:val="single" w:sz="4" w:space="0" w:color="auto"/>
            </w:tcBorders>
            <w:shd w:val="clear" w:color="auto" w:fill="FFFFFF"/>
          </w:tcPr>
          <w:p w14:paraId="5FBF243F" w14:textId="77777777" w:rsidR="008C76E0" w:rsidRPr="00BD7577" w:rsidRDefault="008C76E0" w:rsidP="008C76E0">
            <w:pPr>
              <w:spacing w:after="120" w:line="240" w:lineRule="auto"/>
              <w:jc w:val="both"/>
              <w:rPr>
                <w:rFonts w:ascii="Sylfaen" w:hAnsi="Sylfaen"/>
                <w:sz w:val="24"/>
                <w:szCs w:val="24"/>
              </w:rPr>
            </w:pPr>
          </w:p>
        </w:tc>
      </w:tr>
      <w:tr w:rsidR="008C76E0" w:rsidRPr="00BD7577" w14:paraId="18EA09B2" w14:textId="77777777" w:rsidTr="008C76E0">
        <w:trPr>
          <w:jc w:val="center"/>
        </w:trPr>
        <w:tc>
          <w:tcPr>
            <w:tcW w:w="5357" w:type="dxa"/>
            <w:tcBorders>
              <w:top w:val="single" w:sz="4" w:space="0" w:color="auto"/>
              <w:left w:val="single" w:sz="4" w:space="0" w:color="auto"/>
              <w:bottom w:val="single" w:sz="4" w:space="0" w:color="auto"/>
            </w:tcBorders>
            <w:shd w:val="clear" w:color="auto" w:fill="FFFFFF"/>
          </w:tcPr>
          <w:p w14:paraId="6C1DA69D"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Սպեցիֆիկությունը</w:t>
            </w:r>
          </w:p>
        </w:tc>
        <w:tc>
          <w:tcPr>
            <w:tcW w:w="1056" w:type="dxa"/>
            <w:tcBorders>
              <w:top w:val="single" w:sz="4" w:space="0" w:color="auto"/>
              <w:left w:val="single" w:sz="4" w:space="0" w:color="auto"/>
              <w:bottom w:val="single" w:sz="4" w:space="0" w:color="auto"/>
            </w:tcBorders>
            <w:shd w:val="clear" w:color="auto" w:fill="FFFFFF"/>
          </w:tcPr>
          <w:p w14:paraId="488DC5CD"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bottom w:val="single" w:sz="4" w:space="0" w:color="auto"/>
            </w:tcBorders>
            <w:shd w:val="clear" w:color="auto" w:fill="FFFFFF"/>
          </w:tcPr>
          <w:p w14:paraId="01EA318D" w14:textId="77777777" w:rsidR="008C76E0" w:rsidRPr="00BD7577" w:rsidRDefault="008C76E0" w:rsidP="008C76E0">
            <w:pPr>
              <w:spacing w:after="120" w:line="240" w:lineRule="auto"/>
              <w:jc w:val="center"/>
              <w:rPr>
                <w:rFonts w:ascii="Sylfaen" w:hAnsi="Sylfaen"/>
                <w:sz w:val="24"/>
                <w:szCs w:val="24"/>
              </w:rPr>
            </w:pPr>
          </w:p>
        </w:tc>
        <w:tc>
          <w:tcPr>
            <w:tcW w:w="1056" w:type="dxa"/>
            <w:tcBorders>
              <w:top w:val="single" w:sz="4" w:space="0" w:color="auto"/>
              <w:left w:val="single" w:sz="4" w:space="0" w:color="auto"/>
              <w:bottom w:val="single" w:sz="4" w:space="0" w:color="auto"/>
            </w:tcBorders>
            <w:shd w:val="clear" w:color="auto" w:fill="FFFFFF"/>
          </w:tcPr>
          <w:p w14:paraId="107BAD2A"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3AEEDE9" w14:textId="77777777" w:rsidR="008C76E0" w:rsidRPr="00BD7577" w:rsidRDefault="008C76E0" w:rsidP="008C76E0">
            <w:pPr>
              <w:spacing w:after="120" w:line="240" w:lineRule="auto"/>
              <w:jc w:val="both"/>
              <w:rPr>
                <w:rFonts w:ascii="Sylfaen" w:hAnsi="Sylfaen"/>
                <w:sz w:val="24"/>
                <w:szCs w:val="24"/>
              </w:rPr>
            </w:pPr>
          </w:p>
        </w:tc>
      </w:tr>
      <w:tr w:rsidR="008C76E0" w:rsidRPr="00BD7577" w14:paraId="6D22B08B" w14:textId="77777777" w:rsidTr="008C76E0">
        <w:trPr>
          <w:jc w:val="center"/>
        </w:trPr>
        <w:tc>
          <w:tcPr>
            <w:tcW w:w="5357" w:type="dxa"/>
            <w:vMerge w:val="restart"/>
            <w:tcBorders>
              <w:top w:val="single" w:sz="4" w:space="0" w:color="auto"/>
              <w:left w:val="single" w:sz="4" w:space="0" w:color="auto"/>
            </w:tcBorders>
            <w:shd w:val="clear" w:color="auto" w:fill="FFFFFF"/>
          </w:tcPr>
          <w:p w14:paraId="6582A37D" w14:textId="77777777" w:rsidR="008C76E0" w:rsidRPr="00BD7577" w:rsidRDefault="008C76E0" w:rsidP="008C76E0">
            <w:pPr>
              <w:spacing w:after="120" w:line="240" w:lineRule="auto"/>
              <w:ind w:left="106"/>
              <w:jc w:val="both"/>
              <w:rPr>
                <w:rFonts w:ascii="Sylfaen" w:hAnsi="Sylfaen"/>
                <w:sz w:val="24"/>
                <w:szCs w:val="24"/>
              </w:rPr>
            </w:pPr>
          </w:p>
        </w:tc>
        <w:tc>
          <w:tcPr>
            <w:tcW w:w="4229" w:type="dxa"/>
            <w:gridSpan w:val="4"/>
            <w:tcBorders>
              <w:top w:val="single" w:sz="4" w:space="0" w:color="auto"/>
              <w:left w:val="single" w:sz="4" w:space="0" w:color="auto"/>
              <w:right w:val="single" w:sz="4" w:space="0" w:color="auto"/>
            </w:tcBorders>
            <w:shd w:val="clear" w:color="auto" w:fill="FFFFFF"/>
            <w:vAlign w:val="bottom"/>
          </w:tcPr>
          <w:p w14:paraId="5FC6EA98"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Վերլուծական մեթոդիկան</w:t>
            </w:r>
          </w:p>
        </w:tc>
      </w:tr>
      <w:tr w:rsidR="008C76E0" w:rsidRPr="00BD7577" w14:paraId="3B57CF20" w14:textId="77777777" w:rsidTr="008C76E0">
        <w:trPr>
          <w:jc w:val="center"/>
        </w:trPr>
        <w:tc>
          <w:tcPr>
            <w:tcW w:w="5357" w:type="dxa"/>
            <w:vMerge/>
            <w:tcBorders>
              <w:left w:val="single" w:sz="4" w:space="0" w:color="auto"/>
            </w:tcBorders>
            <w:shd w:val="clear" w:color="auto" w:fill="FFFFFF"/>
          </w:tcPr>
          <w:p w14:paraId="66DBB0D7" w14:textId="77777777" w:rsidR="008C76E0" w:rsidRPr="00BD7577" w:rsidRDefault="008C76E0" w:rsidP="008C76E0">
            <w:pPr>
              <w:spacing w:after="120" w:line="240" w:lineRule="auto"/>
              <w:ind w:left="106"/>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151C1B20"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72494721"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003AB926"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67DD9987" w14:textId="77777777" w:rsidR="008C76E0" w:rsidRPr="00BD7577" w:rsidRDefault="008C76E0" w:rsidP="008C76E0">
            <w:pPr>
              <w:spacing w:after="120" w:line="240" w:lineRule="auto"/>
              <w:jc w:val="both"/>
              <w:rPr>
                <w:rFonts w:ascii="Sylfaen" w:hAnsi="Sylfaen"/>
                <w:sz w:val="24"/>
                <w:szCs w:val="24"/>
              </w:rPr>
            </w:pPr>
          </w:p>
        </w:tc>
      </w:tr>
      <w:tr w:rsidR="008C76E0" w:rsidRPr="00BD7577" w14:paraId="4BCF7A1E" w14:textId="77777777" w:rsidTr="008C76E0">
        <w:trPr>
          <w:jc w:val="center"/>
        </w:trPr>
        <w:tc>
          <w:tcPr>
            <w:tcW w:w="5357" w:type="dxa"/>
            <w:tcBorders>
              <w:top w:val="single" w:sz="4" w:space="0" w:color="auto"/>
              <w:left w:val="single" w:sz="4" w:space="0" w:color="auto"/>
            </w:tcBorders>
            <w:shd w:val="clear" w:color="auto" w:fill="FFFFFF"/>
          </w:tcPr>
          <w:p w14:paraId="32B1C2E3"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Հայտնաբերման սահմանը</w:t>
            </w:r>
          </w:p>
        </w:tc>
        <w:tc>
          <w:tcPr>
            <w:tcW w:w="1056" w:type="dxa"/>
            <w:tcBorders>
              <w:top w:val="single" w:sz="4" w:space="0" w:color="auto"/>
              <w:left w:val="single" w:sz="4" w:space="0" w:color="auto"/>
            </w:tcBorders>
            <w:shd w:val="clear" w:color="auto" w:fill="FFFFFF"/>
          </w:tcPr>
          <w:p w14:paraId="688E4425"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34D93CCC"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0CFE3388"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0F0B9E95" w14:textId="77777777" w:rsidR="008C76E0" w:rsidRPr="00BD7577" w:rsidRDefault="008C76E0" w:rsidP="008C76E0">
            <w:pPr>
              <w:spacing w:after="120" w:line="240" w:lineRule="auto"/>
              <w:jc w:val="both"/>
              <w:rPr>
                <w:rFonts w:ascii="Sylfaen" w:hAnsi="Sylfaen"/>
                <w:sz w:val="24"/>
                <w:szCs w:val="24"/>
              </w:rPr>
            </w:pPr>
          </w:p>
        </w:tc>
      </w:tr>
      <w:tr w:rsidR="008C76E0" w:rsidRPr="00BD7577" w14:paraId="5C33062D" w14:textId="77777777" w:rsidTr="008C76E0">
        <w:trPr>
          <w:jc w:val="center"/>
        </w:trPr>
        <w:tc>
          <w:tcPr>
            <w:tcW w:w="5357" w:type="dxa"/>
            <w:tcBorders>
              <w:top w:val="single" w:sz="4" w:space="0" w:color="auto"/>
              <w:left w:val="single" w:sz="4" w:space="0" w:color="auto"/>
            </w:tcBorders>
            <w:shd w:val="clear" w:color="auto" w:fill="FFFFFF"/>
          </w:tcPr>
          <w:p w14:paraId="718CAF61"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Քանակական որոշման ստորին սահմանը</w:t>
            </w:r>
          </w:p>
        </w:tc>
        <w:tc>
          <w:tcPr>
            <w:tcW w:w="1056" w:type="dxa"/>
            <w:tcBorders>
              <w:top w:val="single" w:sz="4" w:space="0" w:color="auto"/>
              <w:left w:val="single" w:sz="4" w:space="0" w:color="auto"/>
            </w:tcBorders>
            <w:shd w:val="clear" w:color="auto" w:fill="FFFFFF"/>
          </w:tcPr>
          <w:p w14:paraId="3D311E50"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2064C97E"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5592A5DD"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75F1E6E0" w14:textId="77777777" w:rsidR="008C76E0" w:rsidRPr="00BD7577" w:rsidRDefault="008C76E0" w:rsidP="008C76E0">
            <w:pPr>
              <w:spacing w:after="120" w:line="240" w:lineRule="auto"/>
              <w:jc w:val="both"/>
              <w:rPr>
                <w:rFonts w:ascii="Sylfaen" w:hAnsi="Sylfaen"/>
                <w:sz w:val="24"/>
                <w:szCs w:val="24"/>
              </w:rPr>
            </w:pPr>
          </w:p>
        </w:tc>
      </w:tr>
      <w:tr w:rsidR="008C76E0" w:rsidRPr="00BD7577" w14:paraId="11E2E957" w14:textId="77777777" w:rsidTr="008C76E0">
        <w:trPr>
          <w:jc w:val="center"/>
        </w:trPr>
        <w:tc>
          <w:tcPr>
            <w:tcW w:w="5357" w:type="dxa"/>
            <w:tcBorders>
              <w:top w:val="single" w:sz="4" w:space="0" w:color="auto"/>
              <w:left w:val="single" w:sz="4" w:space="0" w:color="auto"/>
            </w:tcBorders>
            <w:shd w:val="clear" w:color="auto" w:fill="FFFFFF"/>
          </w:tcPr>
          <w:p w14:paraId="2C80CE48"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Գծայնությունը</w:t>
            </w:r>
          </w:p>
        </w:tc>
        <w:tc>
          <w:tcPr>
            <w:tcW w:w="1056" w:type="dxa"/>
            <w:tcBorders>
              <w:top w:val="single" w:sz="4" w:space="0" w:color="auto"/>
              <w:left w:val="single" w:sz="4" w:space="0" w:color="auto"/>
            </w:tcBorders>
            <w:shd w:val="clear" w:color="auto" w:fill="FFFFFF"/>
          </w:tcPr>
          <w:p w14:paraId="64766324"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2CC644C1"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4D487070"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6F0E47BC" w14:textId="77777777" w:rsidR="008C76E0" w:rsidRPr="00BD7577" w:rsidRDefault="008C76E0" w:rsidP="008C76E0">
            <w:pPr>
              <w:spacing w:after="120" w:line="240" w:lineRule="auto"/>
              <w:jc w:val="both"/>
              <w:rPr>
                <w:rFonts w:ascii="Sylfaen" w:hAnsi="Sylfaen"/>
                <w:sz w:val="24"/>
                <w:szCs w:val="24"/>
              </w:rPr>
            </w:pPr>
          </w:p>
        </w:tc>
      </w:tr>
      <w:tr w:rsidR="008C76E0" w:rsidRPr="00BD7577" w14:paraId="1C0FDC5E" w14:textId="77777777" w:rsidTr="008C76E0">
        <w:trPr>
          <w:jc w:val="center"/>
        </w:trPr>
        <w:tc>
          <w:tcPr>
            <w:tcW w:w="5357" w:type="dxa"/>
            <w:tcBorders>
              <w:top w:val="single" w:sz="4" w:space="0" w:color="auto"/>
              <w:left w:val="single" w:sz="4" w:space="0" w:color="auto"/>
            </w:tcBorders>
            <w:shd w:val="clear" w:color="auto" w:fill="FFFFFF"/>
          </w:tcPr>
          <w:p w14:paraId="491E73C4"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Որոշվող պարունակությունների տիրույթը</w:t>
            </w:r>
          </w:p>
        </w:tc>
        <w:tc>
          <w:tcPr>
            <w:tcW w:w="1056" w:type="dxa"/>
            <w:tcBorders>
              <w:top w:val="single" w:sz="4" w:space="0" w:color="auto"/>
              <w:left w:val="single" w:sz="4" w:space="0" w:color="auto"/>
            </w:tcBorders>
            <w:shd w:val="clear" w:color="auto" w:fill="FFFFFF"/>
          </w:tcPr>
          <w:p w14:paraId="304BF2C8"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6CADAE8E"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5E0E7DDD"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6CFF5FEC" w14:textId="77777777" w:rsidR="008C76E0" w:rsidRPr="00BD7577" w:rsidRDefault="008C76E0" w:rsidP="008C76E0">
            <w:pPr>
              <w:spacing w:after="120" w:line="240" w:lineRule="auto"/>
              <w:jc w:val="both"/>
              <w:rPr>
                <w:rFonts w:ascii="Sylfaen" w:hAnsi="Sylfaen"/>
                <w:sz w:val="24"/>
                <w:szCs w:val="24"/>
              </w:rPr>
            </w:pPr>
          </w:p>
        </w:tc>
      </w:tr>
      <w:tr w:rsidR="008C76E0" w:rsidRPr="00BD7577" w14:paraId="29ADBC27" w14:textId="77777777" w:rsidTr="008C76E0">
        <w:trPr>
          <w:jc w:val="center"/>
        </w:trPr>
        <w:tc>
          <w:tcPr>
            <w:tcW w:w="5357" w:type="dxa"/>
            <w:tcBorders>
              <w:top w:val="single" w:sz="4" w:space="0" w:color="auto"/>
              <w:left w:val="single" w:sz="4" w:space="0" w:color="auto"/>
            </w:tcBorders>
            <w:shd w:val="clear" w:color="auto" w:fill="FFFFFF"/>
          </w:tcPr>
          <w:p w14:paraId="2785D0E6"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Հաստատունությունը (դիմացկունությունը)</w:t>
            </w:r>
          </w:p>
        </w:tc>
        <w:tc>
          <w:tcPr>
            <w:tcW w:w="1056" w:type="dxa"/>
            <w:tcBorders>
              <w:top w:val="single" w:sz="4" w:space="0" w:color="auto"/>
              <w:left w:val="single" w:sz="4" w:space="0" w:color="auto"/>
            </w:tcBorders>
            <w:shd w:val="clear" w:color="auto" w:fill="FFFFFF"/>
          </w:tcPr>
          <w:p w14:paraId="53ABDDB9"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0365D7B4"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tcBorders>
            <w:shd w:val="clear" w:color="auto" w:fill="FFFFFF"/>
          </w:tcPr>
          <w:p w14:paraId="7510D187"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right w:val="single" w:sz="4" w:space="0" w:color="auto"/>
            </w:tcBorders>
            <w:shd w:val="clear" w:color="auto" w:fill="FFFFFF"/>
          </w:tcPr>
          <w:p w14:paraId="214330A4" w14:textId="77777777" w:rsidR="008C76E0" w:rsidRPr="00BD7577" w:rsidRDefault="008C76E0" w:rsidP="008C76E0">
            <w:pPr>
              <w:spacing w:after="120" w:line="240" w:lineRule="auto"/>
              <w:jc w:val="both"/>
              <w:rPr>
                <w:rFonts w:ascii="Sylfaen" w:hAnsi="Sylfaen"/>
                <w:sz w:val="24"/>
                <w:szCs w:val="24"/>
              </w:rPr>
            </w:pPr>
          </w:p>
        </w:tc>
      </w:tr>
      <w:tr w:rsidR="008C76E0" w:rsidRPr="00BD7577" w14:paraId="564E531D" w14:textId="77777777" w:rsidTr="008C76E0">
        <w:trPr>
          <w:jc w:val="center"/>
        </w:trPr>
        <w:tc>
          <w:tcPr>
            <w:tcW w:w="5357" w:type="dxa"/>
            <w:tcBorders>
              <w:top w:val="single" w:sz="4" w:space="0" w:color="auto"/>
              <w:left w:val="single" w:sz="4" w:space="0" w:color="auto"/>
              <w:bottom w:val="single" w:sz="4" w:space="0" w:color="auto"/>
            </w:tcBorders>
            <w:shd w:val="clear" w:color="auto" w:fill="FFFFFF"/>
          </w:tcPr>
          <w:p w14:paraId="0917DCF8"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Լուծույթի կայունությունը</w:t>
            </w:r>
          </w:p>
        </w:tc>
        <w:tc>
          <w:tcPr>
            <w:tcW w:w="1056" w:type="dxa"/>
            <w:tcBorders>
              <w:top w:val="single" w:sz="4" w:space="0" w:color="auto"/>
              <w:left w:val="single" w:sz="4" w:space="0" w:color="auto"/>
              <w:bottom w:val="single" w:sz="4" w:space="0" w:color="auto"/>
            </w:tcBorders>
            <w:shd w:val="clear" w:color="auto" w:fill="FFFFFF"/>
          </w:tcPr>
          <w:p w14:paraId="7384BD6E"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bottom w:val="single" w:sz="4" w:space="0" w:color="auto"/>
            </w:tcBorders>
            <w:shd w:val="clear" w:color="auto" w:fill="FFFFFF"/>
          </w:tcPr>
          <w:p w14:paraId="46640CA9" w14:textId="77777777" w:rsidR="008C76E0" w:rsidRPr="00BD7577" w:rsidRDefault="008C76E0" w:rsidP="008C76E0">
            <w:pPr>
              <w:spacing w:after="120" w:line="240" w:lineRule="auto"/>
              <w:jc w:val="both"/>
              <w:rPr>
                <w:rFonts w:ascii="Sylfaen" w:hAnsi="Sylfaen"/>
                <w:sz w:val="24"/>
                <w:szCs w:val="24"/>
              </w:rPr>
            </w:pPr>
          </w:p>
        </w:tc>
        <w:tc>
          <w:tcPr>
            <w:tcW w:w="1056" w:type="dxa"/>
            <w:tcBorders>
              <w:top w:val="single" w:sz="4" w:space="0" w:color="auto"/>
              <w:left w:val="single" w:sz="4" w:space="0" w:color="auto"/>
              <w:bottom w:val="single" w:sz="4" w:space="0" w:color="auto"/>
            </w:tcBorders>
            <w:shd w:val="clear" w:color="auto" w:fill="FFFFFF"/>
          </w:tcPr>
          <w:p w14:paraId="07469839" w14:textId="77777777" w:rsidR="008C76E0" w:rsidRPr="00BD7577" w:rsidRDefault="008C76E0" w:rsidP="008C76E0">
            <w:pPr>
              <w:spacing w:after="120" w:line="240" w:lineRule="auto"/>
              <w:jc w:val="both"/>
              <w:rPr>
                <w:rFonts w:ascii="Sylfaen" w:hAnsi="Sylfae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3A4A7A9B" w14:textId="77777777" w:rsidR="008C76E0" w:rsidRPr="00BD7577" w:rsidRDefault="008C76E0" w:rsidP="008C76E0">
            <w:pPr>
              <w:spacing w:after="120" w:line="240" w:lineRule="auto"/>
              <w:jc w:val="both"/>
              <w:rPr>
                <w:rFonts w:ascii="Sylfaen" w:hAnsi="Sylfaen"/>
                <w:sz w:val="24"/>
                <w:szCs w:val="24"/>
              </w:rPr>
            </w:pPr>
          </w:p>
        </w:tc>
      </w:tr>
    </w:tbl>
    <w:p w14:paraId="15D77254" w14:textId="77777777" w:rsidR="00887430" w:rsidRDefault="00887430" w:rsidP="008C76E0">
      <w:pPr>
        <w:ind w:left="2268" w:right="-1" w:hanging="2268"/>
        <w:jc w:val="both"/>
        <w:rPr>
          <w:rFonts w:ascii="Sylfaen" w:hAnsi="Sylfaen"/>
          <w:sz w:val="24"/>
          <w:szCs w:val="24"/>
          <w:lang w:val="en-US"/>
        </w:rPr>
      </w:pPr>
    </w:p>
    <w:p w14:paraId="0549BE7C" w14:textId="77777777" w:rsidR="008C76E0" w:rsidRPr="00BD7577" w:rsidRDefault="008C76E0" w:rsidP="00D23305">
      <w:pPr>
        <w:spacing w:after="160" w:line="360" w:lineRule="auto"/>
        <w:ind w:left="2268" w:hanging="2268"/>
        <w:jc w:val="both"/>
        <w:rPr>
          <w:rFonts w:ascii="Sylfaen" w:hAnsi="Sylfaen"/>
          <w:sz w:val="24"/>
          <w:szCs w:val="24"/>
        </w:rPr>
      </w:pPr>
      <w:r w:rsidRPr="00BD7577">
        <w:rPr>
          <w:rFonts w:ascii="Sylfaen" w:hAnsi="Sylfaen"/>
          <w:sz w:val="24"/>
          <w:szCs w:val="24"/>
        </w:rPr>
        <w:t xml:space="preserve">Ծանոթագրություն: «+» նշանը ցույց է տալիս, որ պարամետրի որոշումն իրականցվել է պահանջներին համապատասխան, «մինուս» նշանը՝ պարամետրի որոշում չի իրականացվել, «?» նշանը՝ </w:t>
      </w:r>
      <w:r w:rsidRPr="00BD7577">
        <w:rPr>
          <w:rFonts w:ascii="Sylfaen" w:hAnsi="Sylfaen"/>
          <w:sz w:val="24"/>
          <w:szCs w:val="24"/>
        </w:rPr>
        <w:lastRenderedPageBreak/>
        <w:t>հարցերի առկայությունը նախքան պարամետրի ընդունելիության գնահատումը։</w:t>
      </w:r>
    </w:p>
    <w:p w14:paraId="791D56D6" w14:textId="77777777" w:rsidR="008C76E0" w:rsidRPr="00BD7577" w:rsidRDefault="008C76E0" w:rsidP="00D23305">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4.5.4.</w:t>
      </w:r>
      <w:r w:rsidRPr="00BD7577">
        <w:rPr>
          <w:rFonts w:ascii="Sylfaen" w:hAnsi="Sylfaen"/>
          <w:sz w:val="24"/>
          <w:szCs w:val="24"/>
        </w:rPr>
        <w:tab/>
        <w:t>Սերիաների անալիզի արդյունքները (բաժին Р.5.4)։</w:t>
      </w:r>
    </w:p>
    <w:p w14:paraId="75994DFE"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5520C07"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7A41AAC"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D9FFFD1"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4.5.5.</w:t>
      </w:r>
      <w:r w:rsidRPr="00BD7577">
        <w:rPr>
          <w:rFonts w:ascii="Sylfaen" w:hAnsi="Sylfaen"/>
          <w:sz w:val="24"/>
          <w:szCs w:val="24"/>
        </w:rPr>
        <w:tab/>
        <w:t>Խառնուկների բնութագիրը (բաժին Р.5.5)։</w:t>
      </w:r>
    </w:p>
    <w:p w14:paraId="3E25CBC5"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B070C0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8660D23"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E12DD52"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4.5.6.</w:t>
      </w:r>
      <w:r w:rsidRPr="00BD7577">
        <w:rPr>
          <w:rFonts w:ascii="Sylfaen" w:hAnsi="Sylfaen"/>
          <w:sz w:val="24"/>
          <w:szCs w:val="24"/>
        </w:rPr>
        <w:tab/>
        <w:t>Մասնագրերի հիմնավորումը (բաժին Р.5.6)։</w:t>
      </w:r>
    </w:p>
    <w:p w14:paraId="24C151F5" w14:textId="77777777" w:rsidR="008C76E0" w:rsidRPr="00BD7577" w:rsidRDefault="008C76E0" w:rsidP="00D23305">
      <w:pPr>
        <w:tabs>
          <w:tab w:val="left" w:pos="1418"/>
        </w:tabs>
        <w:spacing w:after="160" w:line="360" w:lineRule="auto"/>
        <w:ind w:right="-1" w:firstLine="567"/>
        <w:jc w:val="both"/>
        <w:rPr>
          <w:rFonts w:ascii="Sylfaen" w:hAnsi="Sylfaen"/>
          <w:sz w:val="24"/>
          <w:szCs w:val="24"/>
          <w:highlight w:val="yellow"/>
        </w:rPr>
      </w:pPr>
    </w:p>
    <w:p w14:paraId="2771DC34"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lang w:bidi="ar-SA"/>
        </w:rPr>
        <w:t xml:space="preserve">4.6. </w:t>
      </w:r>
      <w:r w:rsidRPr="00BD7577">
        <w:rPr>
          <w:rFonts w:ascii="Sylfaen" w:hAnsi="Sylfaen" w:cs="TimesNewRomanPSMT"/>
          <w:sz w:val="24"/>
          <w:szCs w:val="24"/>
          <w:lang w:bidi="ar-SA"/>
        </w:rPr>
        <w:t xml:space="preserve">Ստանդարտ նմուշներ </w:t>
      </w:r>
      <w:r w:rsidR="00C54D75">
        <w:rPr>
          <w:rFonts w:ascii="Sylfaen" w:hAnsi="Sylfaen" w:cs="TimesNewRomanPSMT"/>
          <w:sz w:val="24"/>
          <w:szCs w:val="24"/>
          <w:lang w:bidi="ar-SA"/>
        </w:rPr>
        <w:t>և</w:t>
      </w:r>
      <w:r w:rsidRPr="00BD7577">
        <w:rPr>
          <w:rFonts w:ascii="Sylfaen" w:hAnsi="Sylfaen" w:cs="TimesNewRomanPSMT"/>
          <w:sz w:val="24"/>
          <w:szCs w:val="24"/>
          <w:lang w:bidi="ar-SA"/>
        </w:rPr>
        <w:t xml:space="preserve"> նյութեր </w:t>
      </w:r>
      <w:r w:rsidRPr="00BD7577">
        <w:rPr>
          <w:rFonts w:ascii="Sylfaen" w:hAnsi="Sylfaen"/>
          <w:sz w:val="24"/>
          <w:szCs w:val="24"/>
          <w:lang w:bidi="ar-SA"/>
        </w:rPr>
        <w:t>(</w:t>
      </w:r>
      <w:r w:rsidRPr="00BD7577">
        <w:rPr>
          <w:rFonts w:ascii="Sylfaen" w:hAnsi="Sylfaen" w:cs="TimesNewRomanPSMT"/>
          <w:sz w:val="24"/>
          <w:szCs w:val="24"/>
          <w:lang w:bidi="ar-SA"/>
        </w:rPr>
        <w:t xml:space="preserve">մոդուլ </w:t>
      </w:r>
      <w:r w:rsidRPr="00BD7577">
        <w:rPr>
          <w:rFonts w:ascii="Sylfaen" w:hAnsi="Sylfaen"/>
          <w:sz w:val="24"/>
          <w:szCs w:val="24"/>
          <w:lang w:bidi="ar-SA"/>
        </w:rPr>
        <w:t>3.2.P.6)</w:t>
      </w:r>
    </w:p>
    <w:tbl>
      <w:tblPr>
        <w:tblOverlap w:val="never"/>
        <w:tblW w:w="9590" w:type="dxa"/>
        <w:jc w:val="center"/>
        <w:tblLayout w:type="fixed"/>
        <w:tblCellMar>
          <w:left w:w="10" w:type="dxa"/>
          <w:right w:w="10" w:type="dxa"/>
        </w:tblCellMar>
        <w:tblLook w:val="04A0" w:firstRow="1" w:lastRow="0" w:firstColumn="1" w:lastColumn="0" w:noHBand="0" w:noVBand="1"/>
      </w:tblPr>
      <w:tblGrid>
        <w:gridCol w:w="9590"/>
      </w:tblGrid>
      <w:tr w:rsidR="008C76E0" w:rsidRPr="00BD7577" w14:paraId="29659A90" w14:textId="77777777" w:rsidTr="008C76E0">
        <w:trPr>
          <w:jc w:val="center"/>
        </w:trPr>
        <w:tc>
          <w:tcPr>
            <w:tcW w:w="9590" w:type="dxa"/>
            <w:tcBorders>
              <w:top w:val="single" w:sz="4" w:space="0" w:color="auto"/>
              <w:left w:val="single" w:sz="4" w:space="0" w:color="auto"/>
              <w:right w:val="single" w:sz="4" w:space="0" w:color="auto"/>
            </w:tcBorders>
            <w:shd w:val="clear" w:color="auto" w:fill="FFFFFF"/>
            <w:vAlign w:val="bottom"/>
          </w:tcPr>
          <w:p w14:paraId="56197335" w14:textId="77777777" w:rsidR="008C76E0" w:rsidRPr="00BD7577" w:rsidRDefault="008C76E0" w:rsidP="00D23305">
            <w:pPr>
              <w:pStyle w:val="Bodytext180"/>
              <w:shd w:val="clear" w:color="auto" w:fill="auto"/>
              <w:spacing w:before="0" w:after="160" w:line="360" w:lineRule="auto"/>
              <w:ind w:right="-1" w:firstLine="0"/>
              <w:jc w:val="both"/>
              <w:rPr>
                <w:rFonts w:ascii="Sylfaen" w:hAnsi="Sylfaen"/>
                <w:b w:val="0"/>
                <w:sz w:val="24"/>
                <w:szCs w:val="24"/>
              </w:rPr>
            </w:pPr>
            <w:r w:rsidRPr="00BD7577">
              <w:rPr>
                <w:rStyle w:val="Bodytext295pt"/>
                <w:rFonts w:ascii="Sylfaen" w:hAnsi="Sylfaen"/>
                <w:spacing w:val="0"/>
                <w:sz w:val="24"/>
                <w:szCs w:val="24"/>
              </w:rPr>
              <w:t>Փորձագետի մեկնաբանությունը</w:t>
            </w:r>
          </w:p>
        </w:tc>
      </w:tr>
      <w:tr w:rsidR="008C76E0" w:rsidRPr="00BD7577" w14:paraId="786CB75C" w14:textId="77777777" w:rsidTr="008C76E0">
        <w:trPr>
          <w:jc w:val="center"/>
        </w:trPr>
        <w:tc>
          <w:tcPr>
            <w:tcW w:w="9590" w:type="dxa"/>
            <w:tcBorders>
              <w:top w:val="single" w:sz="4" w:space="0" w:color="auto"/>
              <w:left w:val="single" w:sz="4" w:space="0" w:color="auto"/>
              <w:right w:val="single" w:sz="4" w:space="0" w:color="auto"/>
            </w:tcBorders>
            <w:shd w:val="clear" w:color="auto" w:fill="FFFFFF"/>
          </w:tcPr>
          <w:p w14:paraId="39E745C7" w14:textId="77777777" w:rsidR="008C76E0" w:rsidRPr="00BD7577" w:rsidRDefault="008C76E0" w:rsidP="00D23305">
            <w:pPr>
              <w:spacing w:after="160" w:line="360" w:lineRule="auto"/>
              <w:ind w:right="-1"/>
              <w:jc w:val="both"/>
              <w:rPr>
                <w:rFonts w:ascii="Sylfaen" w:hAnsi="Sylfaen"/>
                <w:sz w:val="24"/>
                <w:szCs w:val="24"/>
              </w:rPr>
            </w:pPr>
          </w:p>
        </w:tc>
      </w:tr>
      <w:tr w:rsidR="008C76E0" w:rsidRPr="00BD7577" w14:paraId="46074D10" w14:textId="77777777" w:rsidTr="008C76E0">
        <w:trPr>
          <w:jc w:val="center"/>
        </w:trPr>
        <w:tc>
          <w:tcPr>
            <w:tcW w:w="9590" w:type="dxa"/>
            <w:tcBorders>
              <w:top w:val="single" w:sz="4" w:space="0" w:color="auto"/>
              <w:left w:val="single" w:sz="4" w:space="0" w:color="auto"/>
              <w:bottom w:val="single" w:sz="4" w:space="0" w:color="auto"/>
              <w:right w:val="single" w:sz="4" w:space="0" w:color="auto"/>
            </w:tcBorders>
            <w:shd w:val="clear" w:color="auto" w:fill="FFFFFF"/>
          </w:tcPr>
          <w:p w14:paraId="7DC33CFA" w14:textId="77777777" w:rsidR="008C76E0" w:rsidRPr="00BD7577" w:rsidRDefault="008C76E0" w:rsidP="00D23305">
            <w:pPr>
              <w:spacing w:after="160" w:line="360" w:lineRule="auto"/>
              <w:ind w:right="-1"/>
              <w:jc w:val="both"/>
              <w:rPr>
                <w:rFonts w:ascii="Sylfaen" w:hAnsi="Sylfaen"/>
                <w:sz w:val="24"/>
                <w:szCs w:val="24"/>
              </w:rPr>
            </w:pPr>
          </w:p>
        </w:tc>
      </w:tr>
    </w:tbl>
    <w:p w14:paraId="21243D99" w14:textId="77777777" w:rsidR="008C76E0" w:rsidRPr="00BD7577" w:rsidRDefault="008C76E0" w:rsidP="00D23305">
      <w:pPr>
        <w:pStyle w:val="Tablecaption30"/>
        <w:shd w:val="clear" w:color="auto" w:fill="auto"/>
        <w:spacing w:after="160" w:line="360" w:lineRule="auto"/>
        <w:ind w:left="567" w:right="566"/>
        <w:jc w:val="center"/>
        <w:rPr>
          <w:rFonts w:ascii="Sylfaen" w:hAnsi="Sylfaen"/>
          <w:sz w:val="24"/>
          <w:szCs w:val="24"/>
        </w:rPr>
      </w:pPr>
    </w:p>
    <w:p w14:paraId="065BE7CF" w14:textId="77777777" w:rsidR="008C76E0" w:rsidRPr="00BD7577" w:rsidRDefault="008C76E0" w:rsidP="00D23305">
      <w:pPr>
        <w:pStyle w:val="Tablecaption30"/>
        <w:shd w:val="clear" w:color="auto" w:fill="auto"/>
        <w:spacing w:after="160" w:line="360" w:lineRule="auto"/>
        <w:ind w:left="567" w:right="566"/>
        <w:jc w:val="center"/>
        <w:rPr>
          <w:rFonts w:ascii="Sylfaen" w:hAnsi="Sylfaen"/>
          <w:sz w:val="24"/>
          <w:szCs w:val="24"/>
        </w:rPr>
      </w:pPr>
      <w:r w:rsidRPr="00BD7577">
        <w:rPr>
          <w:rFonts w:ascii="Sylfaen" w:hAnsi="Sylfaen"/>
          <w:sz w:val="24"/>
          <w:szCs w:val="24"/>
        </w:rPr>
        <w:t>4.7. Փաթեթավորման (խցանափակման) համակարգը (մոդուլ 3.2.Р.7)</w:t>
      </w:r>
    </w:p>
    <w:p w14:paraId="0ED89FC8"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7767C3F"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7894665"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85E4B70" w14:textId="77777777" w:rsidR="008C76E0" w:rsidRPr="00BD7577" w:rsidRDefault="008C76E0" w:rsidP="00D23305">
      <w:pPr>
        <w:pStyle w:val="Tablecaption30"/>
        <w:shd w:val="clear" w:color="auto" w:fill="auto"/>
        <w:spacing w:after="160" w:line="360" w:lineRule="auto"/>
        <w:ind w:left="567" w:right="566"/>
        <w:jc w:val="both"/>
        <w:rPr>
          <w:rFonts w:ascii="Sylfaen" w:hAnsi="Sylfaen"/>
          <w:sz w:val="24"/>
          <w:szCs w:val="24"/>
        </w:rPr>
      </w:pPr>
    </w:p>
    <w:tbl>
      <w:tblPr>
        <w:tblOverlap w:val="never"/>
        <w:tblW w:w="9590" w:type="dxa"/>
        <w:jc w:val="center"/>
        <w:tblLayout w:type="fixed"/>
        <w:tblCellMar>
          <w:left w:w="10" w:type="dxa"/>
          <w:right w:w="10" w:type="dxa"/>
        </w:tblCellMar>
        <w:tblLook w:val="04A0" w:firstRow="1" w:lastRow="0" w:firstColumn="1" w:lastColumn="0" w:noHBand="0" w:noVBand="1"/>
      </w:tblPr>
      <w:tblGrid>
        <w:gridCol w:w="9590"/>
      </w:tblGrid>
      <w:tr w:rsidR="008C76E0" w:rsidRPr="00BD7577" w14:paraId="2BEEF108" w14:textId="77777777" w:rsidTr="008C76E0">
        <w:trPr>
          <w:jc w:val="center"/>
        </w:trPr>
        <w:tc>
          <w:tcPr>
            <w:tcW w:w="9590" w:type="dxa"/>
            <w:tcBorders>
              <w:top w:val="single" w:sz="4" w:space="0" w:color="auto"/>
              <w:left w:val="single" w:sz="4" w:space="0" w:color="auto"/>
              <w:right w:val="single" w:sz="4" w:space="0" w:color="auto"/>
            </w:tcBorders>
            <w:shd w:val="clear" w:color="auto" w:fill="FFFFFF"/>
            <w:vAlign w:val="bottom"/>
          </w:tcPr>
          <w:p w14:paraId="1480CAC0" w14:textId="77777777" w:rsidR="008C76E0" w:rsidRPr="00BD7577" w:rsidRDefault="008C76E0" w:rsidP="00D23305">
            <w:pPr>
              <w:pStyle w:val="Bodytext180"/>
              <w:shd w:val="clear" w:color="auto" w:fill="auto"/>
              <w:spacing w:before="0" w:after="160" w:line="360" w:lineRule="auto"/>
              <w:ind w:right="-1" w:firstLine="0"/>
              <w:jc w:val="both"/>
              <w:rPr>
                <w:rFonts w:ascii="Sylfaen" w:hAnsi="Sylfaen"/>
                <w:b w:val="0"/>
                <w:sz w:val="24"/>
                <w:szCs w:val="24"/>
              </w:rPr>
            </w:pPr>
            <w:r w:rsidRPr="00BD7577">
              <w:rPr>
                <w:rStyle w:val="Bodytext295pt"/>
                <w:rFonts w:ascii="Sylfaen" w:hAnsi="Sylfaen"/>
                <w:spacing w:val="0"/>
                <w:sz w:val="24"/>
                <w:szCs w:val="24"/>
              </w:rPr>
              <w:lastRenderedPageBreak/>
              <w:t>Փորձագետի մեկնաբանությունը</w:t>
            </w:r>
          </w:p>
        </w:tc>
      </w:tr>
      <w:tr w:rsidR="008C76E0" w:rsidRPr="00BD7577" w14:paraId="3888DD99" w14:textId="77777777" w:rsidTr="008C76E0">
        <w:trPr>
          <w:jc w:val="center"/>
        </w:trPr>
        <w:tc>
          <w:tcPr>
            <w:tcW w:w="9590" w:type="dxa"/>
            <w:tcBorders>
              <w:top w:val="single" w:sz="4" w:space="0" w:color="auto"/>
              <w:left w:val="single" w:sz="4" w:space="0" w:color="auto"/>
              <w:right w:val="single" w:sz="4" w:space="0" w:color="auto"/>
            </w:tcBorders>
            <w:shd w:val="clear" w:color="auto" w:fill="FFFFFF"/>
          </w:tcPr>
          <w:p w14:paraId="08A18C1D" w14:textId="77777777" w:rsidR="008C76E0" w:rsidRPr="00BD7577" w:rsidRDefault="008C76E0" w:rsidP="00D23305">
            <w:pPr>
              <w:spacing w:after="160" w:line="360" w:lineRule="auto"/>
              <w:ind w:right="-1"/>
              <w:jc w:val="both"/>
              <w:rPr>
                <w:rFonts w:ascii="Sylfaen" w:hAnsi="Sylfaen"/>
                <w:sz w:val="24"/>
                <w:szCs w:val="24"/>
              </w:rPr>
            </w:pPr>
          </w:p>
        </w:tc>
      </w:tr>
      <w:tr w:rsidR="008C76E0" w:rsidRPr="00BD7577" w14:paraId="159E6F6E" w14:textId="77777777" w:rsidTr="008C76E0">
        <w:trPr>
          <w:jc w:val="center"/>
        </w:trPr>
        <w:tc>
          <w:tcPr>
            <w:tcW w:w="9590" w:type="dxa"/>
            <w:tcBorders>
              <w:top w:val="single" w:sz="4" w:space="0" w:color="auto"/>
              <w:left w:val="single" w:sz="4" w:space="0" w:color="auto"/>
              <w:bottom w:val="single" w:sz="4" w:space="0" w:color="auto"/>
              <w:right w:val="single" w:sz="4" w:space="0" w:color="auto"/>
            </w:tcBorders>
            <w:shd w:val="clear" w:color="auto" w:fill="FFFFFF"/>
          </w:tcPr>
          <w:p w14:paraId="75A9FEBC" w14:textId="77777777" w:rsidR="008C76E0" w:rsidRPr="00BD7577" w:rsidRDefault="008C76E0" w:rsidP="00D23305">
            <w:pPr>
              <w:spacing w:after="160" w:line="360" w:lineRule="auto"/>
              <w:ind w:right="-1"/>
              <w:jc w:val="both"/>
              <w:rPr>
                <w:rFonts w:ascii="Sylfaen" w:hAnsi="Sylfaen"/>
                <w:sz w:val="24"/>
                <w:szCs w:val="24"/>
              </w:rPr>
            </w:pPr>
          </w:p>
        </w:tc>
      </w:tr>
    </w:tbl>
    <w:p w14:paraId="7A258F9F" w14:textId="77777777" w:rsidR="008C76E0" w:rsidRDefault="008C76E0" w:rsidP="00D23305">
      <w:pPr>
        <w:spacing w:after="160" w:line="360" w:lineRule="auto"/>
        <w:ind w:right="-1"/>
        <w:jc w:val="both"/>
        <w:rPr>
          <w:rFonts w:ascii="Sylfaen" w:hAnsi="Sylfaen"/>
          <w:sz w:val="24"/>
          <w:szCs w:val="24"/>
          <w:lang w:val="en-US"/>
        </w:rPr>
      </w:pPr>
    </w:p>
    <w:p w14:paraId="0E03BD9A" w14:textId="77777777" w:rsidR="008C76E0" w:rsidRPr="00BD7577" w:rsidRDefault="008C76E0" w:rsidP="00D23305">
      <w:pPr>
        <w:spacing w:after="160" w:line="360" w:lineRule="auto"/>
        <w:ind w:right="-1" w:firstLine="567"/>
        <w:jc w:val="center"/>
        <w:rPr>
          <w:rFonts w:ascii="Sylfaen" w:hAnsi="Sylfaen"/>
          <w:sz w:val="24"/>
          <w:szCs w:val="24"/>
        </w:rPr>
      </w:pPr>
      <w:r w:rsidRPr="00BD7577">
        <w:rPr>
          <w:rFonts w:ascii="Sylfaen" w:hAnsi="Sylfaen"/>
          <w:sz w:val="24"/>
          <w:szCs w:val="24"/>
        </w:rPr>
        <w:t>4.8. Կայունությունը (մոդուլ 3.2.Р.8)</w:t>
      </w:r>
    </w:p>
    <w:p w14:paraId="408D73B8"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4.8.1.</w:t>
      </w:r>
      <w:r w:rsidRPr="00BD7577">
        <w:rPr>
          <w:rFonts w:ascii="Sylfaen" w:hAnsi="Sylfaen"/>
          <w:sz w:val="24"/>
          <w:szCs w:val="24"/>
        </w:rPr>
        <w:tab/>
        <w:t xml:space="preserve">Կայունության փորձարկումների վերաբերյալ ռեզյումեն </w:t>
      </w:r>
      <w:r w:rsidR="00C54D75">
        <w:rPr>
          <w:rFonts w:ascii="Sylfaen" w:hAnsi="Sylfaen"/>
          <w:sz w:val="24"/>
          <w:szCs w:val="24"/>
        </w:rPr>
        <w:t>և</w:t>
      </w:r>
      <w:r w:rsidRPr="00BD7577">
        <w:rPr>
          <w:rFonts w:ascii="Sylfaen" w:hAnsi="Sylfaen"/>
          <w:sz w:val="24"/>
          <w:szCs w:val="24"/>
        </w:rPr>
        <w:t xml:space="preserve"> կայունության վերաբերյալ եզրակացությունը (բաժին՝ Р.8.1)։</w:t>
      </w:r>
    </w:p>
    <w:p w14:paraId="0D9D2B38"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18FC0D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2E696A1"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2D8F1B" w14:textId="77777777" w:rsidR="008C76E0" w:rsidRPr="00BD7577" w:rsidRDefault="008C76E0" w:rsidP="00D23305">
      <w:pPr>
        <w:widowControl/>
        <w:spacing w:after="160" w:line="360" w:lineRule="auto"/>
        <w:jc w:val="both"/>
        <w:rPr>
          <w:rFonts w:ascii="Sylfaen" w:eastAsia="Times New Roman" w:hAnsi="Sylfaen" w:cs="Times New Roman"/>
          <w:sz w:val="24"/>
          <w:szCs w:val="24"/>
        </w:rPr>
      </w:pPr>
    </w:p>
    <w:p w14:paraId="45D7D8DF" w14:textId="77777777" w:rsidR="008C76E0" w:rsidRPr="00BD7577" w:rsidRDefault="008C76E0" w:rsidP="00D23305">
      <w:pPr>
        <w:spacing w:after="160" w:line="360" w:lineRule="auto"/>
        <w:ind w:right="-1"/>
        <w:jc w:val="right"/>
        <w:rPr>
          <w:rFonts w:ascii="Sylfaen" w:hAnsi="Sylfaen"/>
          <w:sz w:val="24"/>
          <w:szCs w:val="24"/>
        </w:rPr>
      </w:pPr>
      <w:r w:rsidRPr="00BD7577">
        <w:rPr>
          <w:rFonts w:ascii="Sylfaen" w:hAnsi="Sylfaen"/>
          <w:sz w:val="24"/>
          <w:szCs w:val="24"/>
        </w:rPr>
        <w:t>Աղյուսակ Р. 8-1</w:t>
      </w:r>
    </w:p>
    <w:p w14:paraId="04A7C998" w14:textId="77777777" w:rsidR="008C76E0" w:rsidRPr="00BD7577" w:rsidRDefault="008C76E0" w:rsidP="00D23305">
      <w:pPr>
        <w:spacing w:after="160" w:line="360" w:lineRule="auto"/>
        <w:ind w:right="-1"/>
        <w:rPr>
          <w:rFonts w:ascii="Sylfaen" w:hAnsi="Sylfaen"/>
          <w:sz w:val="24"/>
          <w:szCs w:val="24"/>
        </w:rPr>
      </w:pPr>
      <w:r w:rsidRPr="00BD7577">
        <w:rPr>
          <w:rFonts w:ascii="Sylfaen" w:hAnsi="Sylfaen"/>
          <w:sz w:val="24"/>
          <w:szCs w:val="24"/>
        </w:rPr>
        <w:t>Կայունության հիմնական փորձարկումները</w:t>
      </w:r>
    </w:p>
    <w:tbl>
      <w:tblPr>
        <w:tblOverlap w:val="never"/>
        <w:tblW w:w="10963" w:type="dxa"/>
        <w:jc w:val="center"/>
        <w:tblLayout w:type="fixed"/>
        <w:tblCellMar>
          <w:left w:w="10" w:type="dxa"/>
          <w:right w:w="10" w:type="dxa"/>
        </w:tblCellMar>
        <w:tblLook w:val="04A0" w:firstRow="1" w:lastRow="0" w:firstColumn="1" w:lastColumn="0" w:noHBand="0" w:noVBand="1"/>
      </w:tblPr>
      <w:tblGrid>
        <w:gridCol w:w="2807"/>
        <w:gridCol w:w="1454"/>
        <w:gridCol w:w="3801"/>
        <w:gridCol w:w="2901"/>
      </w:tblGrid>
      <w:tr w:rsidR="008C76E0" w:rsidRPr="00BD7577" w14:paraId="256A50EC" w14:textId="77777777" w:rsidTr="008C76E0">
        <w:trPr>
          <w:jc w:val="center"/>
        </w:trPr>
        <w:tc>
          <w:tcPr>
            <w:tcW w:w="2807" w:type="dxa"/>
            <w:tcBorders>
              <w:top w:val="single" w:sz="4" w:space="0" w:color="auto"/>
              <w:left w:val="single" w:sz="4" w:space="0" w:color="auto"/>
            </w:tcBorders>
            <w:shd w:val="clear" w:color="auto" w:fill="FFFFFF"/>
          </w:tcPr>
          <w:p w14:paraId="33ED72E2"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4"/>
                <w:szCs w:val="24"/>
                <w:lang w:val="hy-AM"/>
              </w:rPr>
            </w:pPr>
            <w:r w:rsidRPr="00BD7577">
              <w:rPr>
                <w:rStyle w:val="Bodytext1811pt"/>
                <w:rFonts w:ascii="Sylfaen" w:hAnsi="Sylfaen"/>
                <w:sz w:val="24"/>
                <w:szCs w:val="24"/>
              </w:rPr>
              <w:t>Ջերմաստիճանը, °C, հարաբերական խոնավությունը (ՀԽ), %</w:t>
            </w:r>
          </w:p>
        </w:tc>
        <w:tc>
          <w:tcPr>
            <w:tcW w:w="1454" w:type="dxa"/>
            <w:tcBorders>
              <w:top w:val="single" w:sz="4" w:space="0" w:color="auto"/>
              <w:left w:val="single" w:sz="4" w:space="0" w:color="auto"/>
            </w:tcBorders>
            <w:shd w:val="clear" w:color="auto" w:fill="FFFFFF"/>
          </w:tcPr>
          <w:p w14:paraId="375D177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295pt"/>
                <w:rFonts w:ascii="Sylfaen" w:hAnsi="Sylfaen"/>
                <w:spacing w:val="0"/>
                <w:sz w:val="24"/>
                <w:szCs w:val="24"/>
              </w:rPr>
              <w:t>п</w:t>
            </w:r>
            <w:r w:rsidRPr="00BD7577">
              <w:rPr>
                <w:rStyle w:val="Bodytext1811pt"/>
                <w:rFonts w:ascii="Sylfaen" w:hAnsi="Sylfaen"/>
                <w:sz w:val="24"/>
                <w:szCs w:val="24"/>
              </w:rPr>
              <w:t xml:space="preserve"> սերիաներ х ամիսներ</w:t>
            </w:r>
          </w:p>
        </w:tc>
        <w:tc>
          <w:tcPr>
            <w:tcW w:w="3801" w:type="dxa"/>
            <w:tcBorders>
              <w:top w:val="single" w:sz="4" w:space="0" w:color="auto"/>
              <w:left w:val="single" w:sz="4" w:space="0" w:color="auto"/>
            </w:tcBorders>
            <w:shd w:val="clear" w:color="auto" w:fill="FFFFFF"/>
          </w:tcPr>
          <w:p w14:paraId="09597E55" w14:textId="77777777" w:rsidR="008C76E0" w:rsidRPr="00BD7577" w:rsidRDefault="008C76E0" w:rsidP="008C76E0">
            <w:pPr>
              <w:pStyle w:val="Bodytext180"/>
              <w:shd w:val="clear" w:color="auto" w:fill="auto"/>
              <w:spacing w:before="0" w:after="120" w:line="240" w:lineRule="auto"/>
              <w:ind w:left="27" w:right="-1" w:firstLine="0"/>
              <w:jc w:val="center"/>
              <w:rPr>
                <w:rFonts w:ascii="Sylfaen" w:hAnsi="Sylfaen"/>
                <w:b w:val="0"/>
                <w:sz w:val="24"/>
                <w:szCs w:val="24"/>
              </w:rPr>
            </w:pPr>
            <w:r w:rsidRPr="00BD7577">
              <w:rPr>
                <w:rStyle w:val="Bodytext1811pt"/>
                <w:rFonts w:ascii="Sylfaen" w:hAnsi="Sylfaen"/>
                <w:sz w:val="24"/>
                <w:szCs w:val="24"/>
              </w:rPr>
              <w:t>Սերիայի չափը</w:t>
            </w:r>
          </w:p>
        </w:tc>
        <w:tc>
          <w:tcPr>
            <w:tcW w:w="2901" w:type="dxa"/>
            <w:tcBorders>
              <w:top w:val="single" w:sz="4" w:space="0" w:color="auto"/>
              <w:left w:val="single" w:sz="4" w:space="0" w:color="auto"/>
              <w:right w:val="single" w:sz="4" w:space="0" w:color="auto"/>
            </w:tcBorders>
            <w:shd w:val="clear" w:color="auto" w:fill="FFFFFF"/>
          </w:tcPr>
          <w:p w14:paraId="49503767" w14:textId="77777777" w:rsidR="008C76E0" w:rsidRPr="00BD7577" w:rsidRDefault="008C76E0" w:rsidP="008C76E0">
            <w:pPr>
              <w:pStyle w:val="Bodytext180"/>
              <w:shd w:val="clear" w:color="auto" w:fill="auto"/>
              <w:spacing w:before="0" w:after="120" w:line="240" w:lineRule="auto"/>
              <w:ind w:left="31" w:right="65" w:firstLine="0"/>
              <w:jc w:val="center"/>
              <w:rPr>
                <w:rFonts w:ascii="Sylfaen" w:hAnsi="Sylfaen"/>
                <w:b w:val="0"/>
                <w:sz w:val="24"/>
                <w:szCs w:val="24"/>
              </w:rPr>
            </w:pPr>
            <w:r w:rsidRPr="00BD7577">
              <w:rPr>
                <w:rStyle w:val="Bodytext1811pt"/>
                <w:rFonts w:ascii="Sylfaen" w:hAnsi="Sylfaen"/>
                <w:sz w:val="24"/>
                <w:szCs w:val="24"/>
              </w:rPr>
              <w:t>Փաթեթավորումը</w:t>
            </w:r>
          </w:p>
        </w:tc>
      </w:tr>
      <w:tr w:rsidR="008C76E0" w:rsidRPr="00BD7577" w14:paraId="59C89D13" w14:textId="77777777" w:rsidTr="008C76E0">
        <w:trPr>
          <w:jc w:val="center"/>
        </w:trPr>
        <w:tc>
          <w:tcPr>
            <w:tcW w:w="2807" w:type="dxa"/>
            <w:tcBorders>
              <w:top w:val="single" w:sz="4" w:space="0" w:color="auto"/>
              <w:left w:val="single" w:sz="4" w:space="0" w:color="auto"/>
            </w:tcBorders>
            <w:shd w:val="clear" w:color="auto" w:fill="FFFFFF"/>
          </w:tcPr>
          <w:p w14:paraId="7AAF33CA" w14:textId="77777777" w:rsidR="008C76E0" w:rsidRPr="00BD7577" w:rsidRDefault="008C76E0" w:rsidP="0074785B">
            <w:pPr>
              <w:pStyle w:val="Bodytext180"/>
              <w:shd w:val="clear" w:color="auto" w:fill="auto"/>
              <w:spacing w:before="0" w:after="120" w:line="240" w:lineRule="auto"/>
              <w:ind w:left="121" w:right="-1" w:firstLine="0"/>
              <w:rPr>
                <w:rFonts w:ascii="Sylfaen" w:hAnsi="Sylfaen"/>
                <w:b w:val="0"/>
                <w:sz w:val="24"/>
                <w:szCs w:val="24"/>
              </w:rPr>
            </w:pPr>
            <w:r w:rsidRPr="00BD7577">
              <w:rPr>
                <w:rStyle w:val="Bodytext1811pt"/>
                <w:rFonts w:ascii="Sylfaen" w:hAnsi="Sylfaen"/>
                <w:sz w:val="24"/>
                <w:szCs w:val="24"/>
              </w:rPr>
              <w:t>25°С/ՀԽ 60 %</w:t>
            </w:r>
          </w:p>
        </w:tc>
        <w:tc>
          <w:tcPr>
            <w:tcW w:w="1454" w:type="dxa"/>
            <w:tcBorders>
              <w:top w:val="single" w:sz="4" w:space="0" w:color="auto"/>
              <w:left w:val="single" w:sz="4" w:space="0" w:color="auto"/>
            </w:tcBorders>
            <w:shd w:val="clear" w:color="auto" w:fill="FFFFFF"/>
          </w:tcPr>
          <w:p w14:paraId="2E62C638" w14:textId="77777777" w:rsidR="008C76E0" w:rsidRPr="00BD7577" w:rsidRDefault="008C76E0" w:rsidP="008C76E0">
            <w:pPr>
              <w:spacing w:after="120" w:line="240" w:lineRule="auto"/>
              <w:ind w:right="-1"/>
              <w:rPr>
                <w:rFonts w:ascii="Sylfaen" w:hAnsi="Sylfaen"/>
                <w:sz w:val="24"/>
                <w:szCs w:val="24"/>
              </w:rPr>
            </w:pPr>
          </w:p>
        </w:tc>
        <w:tc>
          <w:tcPr>
            <w:tcW w:w="3801" w:type="dxa"/>
            <w:tcBorders>
              <w:top w:val="single" w:sz="4" w:space="0" w:color="auto"/>
              <w:left w:val="single" w:sz="4" w:space="0" w:color="auto"/>
            </w:tcBorders>
            <w:shd w:val="clear" w:color="auto" w:fill="FFFFFF"/>
          </w:tcPr>
          <w:p w14:paraId="1E5B134F" w14:textId="77777777" w:rsidR="008C76E0" w:rsidRPr="008C76E0" w:rsidRDefault="008C76E0" w:rsidP="008C76E0">
            <w:pPr>
              <w:pStyle w:val="Bodytext180"/>
              <w:shd w:val="clear" w:color="auto" w:fill="auto"/>
              <w:spacing w:before="0" w:after="120" w:line="240" w:lineRule="auto"/>
              <w:ind w:left="27" w:right="-1" w:firstLine="0"/>
              <w:rPr>
                <w:rFonts w:ascii="Sylfaen" w:hAnsi="Sylfaen"/>
                <w:b w:val="0"/>
                <w:sz w:val="24"/>
                <w:szCs w:val="24"/>
                <w:lang w:val="hy-AM"/>
              </w:rPr>
            </w:pPr>
            <w:r w:rsidRPr="00BD7577">
              <w:rPr>
                <w:rStyle w:val="Bodytext1811pt"/>
                <w:rFonts w:ascii="Sylfaen" w:hAnsi="Sylfaen"/>
                <w:sz w:val="24"/>
                <w:szCs w:val="24"/>
              </w:rPr>
              <w:t>արդյունաբերական մասշտաբը կամ փորձարարաարդյունաբերական մասշտաբը</w:t>
            </w:r>
          </w:p>
        </w:tc>
        <w:tc>
          <w:tcPr>
            <w:tcW w:w="2901" w:type="dxa"/>
            <w:tcBorders>
              <w:top w:val="single" w:sz="4" w:space="0" w:color="auto"/>
              <w:left w:val="single" w:sz="4" w:space="0" w:color="auto"/>
              <w:right w:val="single" w:sz="4" w:space="0" w:color="auto"/>
            </w:tcBorders>
            <w:shd w:val="clear" w:color="auto" w:fill="FFFFFF"/>
          </w:tcPr>
          <w:p w14:paraId="270083AF" w14:textId="77777777" w:rsidR="008C76E0" w:rsidRPr="008C76E0" w:rsidRDefault="008C76E0" w:rsidP="008C76E0">
            <w:pPr>
              <w:pStyle w:val="Bodytext180"/>
              <w:shd w:val="clear" w:color="auto" w:fill="auto"/>
              <w:spacing w:before="0" w:after="120" w:line="240" w:lineRule="auto"/>
              <w:ind w:left="31" w:right="65" w:firstLine="0"/>
              <w:rPr>
                <w:rFonts w:ascii="Sylfaen" w:hAnsi="Sylfaen"/>
                <w:b w:val="0"/>
                <w:sz w:val="24"/>
                <w:szCs w:val="24"/>
                <w:lang w:val="hy-AM"/>
              </w:rPr>
            </w:pPr>
            <w:r w:rsidRPr="00BD7577">
              <w:rPr>
                <w:rStyle w:val="Bodytext1811pt"/>
                <w:rFonts w:ascii="Sylfaen" w:hAnsi="Sylfaen"/>
                <w:sz w:val="24"/>
                <w:szCs w:val="24"/>
              </w:rPr>
              <w:t>նախատեսված է իրացման համար, թե՝ ոչ</w:t>
            </w:r>
          </w:p>
        </w:tc>
      </w:tr>
      <w:tr w:rsidR="008C76E0" w:rsidRPr="00BD7577" w14:paraId="42606905" w14:textId="77777777" w:rsidTr="008C76E0">
        <w:trPr>
          <w:jc w:val="center"/>
        </w:trPr>
        <w:tc>
          <w:tcPr>
            <w:tcW w:w="2807" w:type="dxa"/>
            <w:tcBorders>
              <w:top w:val="single" w:sz="4" w:space="0" w:color="auto"/>
              <w:left w:val="single" w:sz="4" w:space="0" w:color="auto"/>
            </w:tcBorders>
            <w:shd w:val="clear" w:color="auto" w:fill="FFFFFF"/>
          </w:tcPr>
          <w:p w14:paraId="003ECD34" w14:textId="77777777" w:rsidR="008C76E0" w:rsidRPr="00BD7577" w:rsidRDefault="0074785B" w:rsidP="0074785B">
            <w:pPr>
              <w:pStyle w:val="Bodytext180"/>
              <w:shd w:val="clear" w:color="auto" w:fill="auto"/>
              <w:spacing w:before="0" w:after="120" w:line="240" w:lineRule="auto"/>
              <w:ind w:left="121" w:right="-1" w:firstLine="0"/>
              <w:rPr>
                <w:rFonts w:ascii="Sylfaen" w:hAnsi="Sylfaen"/>
                <w:b w:val="0"/>
                <w:sz w:val="24"/>
                <w:szCs w:val="24"/>
              </w:rPr>
            </w:pPr>
            <w:r>
              <w:rPr>
                <w:rStyle w:val="Bodytext1811pt"/>
                <w:rFonts w:ascii="Sylfaen" w:hAnsi="Sylfaen"/>
                <w:sz w:val="24"/>
                <w:szCs w:val="24"/>
              </w:rPr>
              <w:t>40°</w:t>
            </w:r>
            <w:r w:rsidR="008C76E0" w:rsidRPr="00BD7577">
              <w:rPr>
                <w:rStyle w:val="Bodytext1811pt"/>
                <w:rFonts w:ascii="Sylfaen" w:hAnsi="Sylfaen"/>
                <w:sz w:val="24"/>
                <w:szCs w:val="24"/>
              </w:rPr>
              <w:t>/</w:t>
            </w:r>
            <w:r>
              <w:rPr>
                <w:rStyle w:val="Bodytext1811pt"/>
                <w:rFonts w:ascii="Sylfaen" w:hAnsi="Sylfaen"/>
                <w:sz w:val="24"/>
                <w:szCs w:val="24"/>
                <w:lang w:val="en-US"/>
              </w:rPr>
              <w:t xml:space="preserve"> </w:t>
            </w:r>
            <w:r w:rsidR="008C76E0" w:rsidRPr="00BD7577">
              <w:rPr>
                <w:rStyle w:val="Bodytext1811pt"/>
                <w:rFonts w:ascii="Sylfaen" w:hAnsi="Sylfaen"/>
                <w:sz w:val="24"/>
                <w:szCs w:val="24"/>
              </w:rPr>
              <w:t>ՀԽ 75 %</w:t>
            </w:r>
          </w:p>
        </w:tc>
        <w:tc>
          <w:tcPr>
            <w:tcW w:w="1454" w:type="dxa"/>
            <w:tcBorders>
              <w:top w:val="single" w:sz="4" w:space="0" w:color="auto"/>
              <w:left w:val="single" w:sz="4" w:space="0" w:color="auto"/>
            </w:tcBorders>
            <w:shd w:val="clear" w:color="auto" w:fill="FFFFFF"/>
          </w:tcPr>
          <w:p w14:paraId="0452FB91" w14:textId="77777777" w:rsidR="008C76E0" w:rsidRPr="00BD7577" w:rsidRDefault="008C76E0" w:rsidP="008C76E0">
            <w:pPr>
              <w:spacing w:after="120" w:line="240" w:lineRule="auto"/>
              <w:ind w:right="-1"/>
              <w:rPr>
                <w:rFonts w:ascii="Sylfaen" w:hAnsi="Sylfaen"/>
                <w:sz w:val="24"/>
                <w:szCs w:val="24"/>
              </w:rPr>
            </w:pPr>
          </w:p>
        </w:tc>
        <w:tc>
          <w:tcPr>
            <w:tcW w:w="3801" w:type="dxa"/>
            <w:tcBorders>
              <w:top w:val="single" w:sz="4" w:space="0" w:color="auto"/>
              <w:left w:val="single" w:sz="4" w:space="0" w:color="auto"/>
            </w:tcBorders>
            <w:shd w:val="clear" w:color="auto" w:fill="FFFFFF"/>
          </w:tcPr>
          <w:p w14:paraId="7E899B93" w14:textId="77777777" w:rsidR="008C76E0" w:rsidRPr="00BD7577" w:rsidRDefault="008C76E0" w:rsidP="008C76E0">
            <w:pPr>
              <w:spacing w:after="120" w:line="240" w:lineRule="auto"/>
              <w:ind w:left="27" w:right="-1"/>
              <w:rPr>
                <w:rFonts w:ascii="Sylfaen" w:hAnsi="Sylfaen"/>
                <w:sz w:val="24"/>
                <w:szCs w:val="24"/>
              </w:rPr>
            </w:pPr>
          </w:p>
        </w:tc>
        <w:tc>
          <w:tcPr>
            <w:tcW w:w="2901" w:type="dxa"/>
            <w:tcBorders>
              <w:top w:val="single" w:sz="4" w:space="0" w:color="auto"/>
              <w:left w:val="single" w:sz="4" w:space="0" w:color="auto"/>
              <w:right w:val="single" w:sz="4" w:space="0" w:color="auto"/>
            </w:tcBorders>
            <w:shd w:val="clear" w:color="auto" w:fill="FFFFFF"/>
          </w:tcPr>
          <w:p w14:paraId="002263EF" w14:textId="77777777" w:rsidR="008C76E0" w:rsidRPr="00BD7577" w:rsidRDefault="008C76E0" w:rsidP="008C76E0">
            <w:pPr>
              <w:spacing w:after="120" w:line="240" w:lineRule="auto"/>
              <w:ind w:left="31" w:right="65"/>
              <w:rPr>
                <w:rFonts w:ascii="Sylfaen" w:hAnsi="Sylfaen"/>
                <w:sz w:val="24"/>
                <w:szCs w:val="24"/>
              </w:rPr>
            </w:pPr>
          </w:p>
        </w:tc>
      </w:tr>
      <w:tr w:rsidR="008C76E0" w:rsidRPr="00BD7577" w14:paraId="7E55090C" w14:textId="77777777" w:rsidTr="008C76E0">
        <w:trPr>
          <w:jc w:val="center"/>
        </w:trPr>
        <w:tc>
          <w:tcPr>
            <w:tcW w:w="2807" w:type="dxa"/>
            <w:tcBorders>
              <w:top w:val="single" w:sz="4" w:space="0" w:color="auto"/>
              <w:left w:val="single" w:sz="4" w:space="0" w:color="auto"/>
              <w:bottom w:val="single" w:sz="4" w:space="0" w:color="auto"/>
            </w:tcBorders>
            <w:shd w:val="clear" w:color="auto" w:fill="FFFFFF"/>
          </w:tcPr>
          <w:p w14:paraId="07A9AA35" w14:textId="77777777" w:rsidR="008C76E0" w:rsidRPr="00BD7577" w:rsidRDefault="008C76E0" w:rsidP="008C76E0">
            <w:pPr>
              <w:spacing w:after="120" w:line="240" w:lineRule="auto"/>
              <w:ind w:right="-1"/>
              <w:rPr>
                <w:rFonts w:ascii="Sylfaen" w:hAnsi="Sylfaen"/>
                <w:sz w:val="24"/>
                <w:szCs w:val="24"/>
              </w:rPr>
            </w:pPr>
          </w:p>
        </w:tc>
        <w:tc>
          <w:tcPr>
            <w:tcW w:w="1454" w:type="dxa"/>
            <w:tcBorders>
              <w:top w:val="single" w:sz="4" w:space="0" w:color="auto"/>
              <w:left w:val="single" w:sz="4" w:space="0" w:color="auto"/>
              <w:bottom w:val="single" w:sz="4" w:space="0" w:color="auto"/>
            </w:tcBorders>
            <w:shd w:val="clear" w:color="auto" w:fill="FFFFFF"/>
          </w:tcPr>
          <w:p w14:paraId="12F35666" w14:textId="77777777" w:rsidR="008C76E0" w:rsidRPr="00BD7577" w:rsidRDefault="008C76E0" w:rsidP="008C76E0">
            <w:pPr>
              <w:spacing w:after="120" w:line="240" w:lineRule="auto"/>
              <w:ind w:right="-1"/>
              <w:rPr>
                <w:rFonts w:ascii="Sylfaen" w:hAnsi="Sylfaen"/>
                <w:sz w:val="24"/>
                <w:szCs w:val="24"/>
              </w:rPr>
            </w:pPr>
          </w:p>
        </w:tc>
        <w:tc>
          <w:tcPr>
            <w:tcW w:w="3801" w:type="dxa"/>
            <w:tcBorders>
              <w:top w:val="single" w:sz="4" w:space="0" w:color="auto"/>
              <w:left w:val="single" w:sz="4" w:space="0" w:color="auto"/>
              <w:bottom w:val="single" w:sz="4" w:space="0" w:color="auto"/>
            </w:tcBorders>
            <w:shd w:val="clear" w:color="auto" w:fill="FFFFFF"/>
          </w:tcPr>
          <w:p w14:paraId="1C4641CD" w14:textId="77777777" w:rsidR="008C76E0" w:rsidRPr="00BD7577" w:rsidRDefault="008C76E0" w:rsidP="008C76E0">
            <w:pPr>
              <w:spacing w:after="120" w:line="240" w:lineRule="auto"/>
              <w:ind w:left="27" w:right="-1"/>
              <w:rPr>
                <w:rFonts w:ascii="Sylfaen" w:hAnsi="Sylfae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FFFFF"/>
          </w:tcPr>
          <w:p w14:paraId="4E571888" w14:textId="77777777" w:rsidR="008C76E0" w:rsidRPr="00BD7577" w:rsidRDefault="008C76E0" w:rsidP="008C76E0">
            <w:pPr>
              <w:spacing w:after="120" w:line="240" w:lineRule="auto"/>
              <w:ind w:left="31" w:right="65"/>
              <w:rPr>
                <w:rFonts w:ascii="Sylfaen" w:hAnsi="Sylfaen"/>
                <w:sz w:val="24"/>
                <w:szCs w:val="24"/>
              </w:rPr>
            </w:pPr>
          </w:p>
        </w:tc>
      </w:tr>
    </w:tbl>
    <w:p w14:paraId="1F4903ED" w14:textId="77777777" w:rsidR="008C76E0" w:rsidRPr="00BD7577" w:rsidRDefault="008C76E0" w:rsidP="008C76E0">
      <w:pPr>
        <w:ind w:right="-1"/>
        <w:jc w:val="both"/>
        <w:rPr>
          <w:rFonts w:ascii="Sylfaen" w:hAnsi="Sylfaen"/>
          <w:sz w:val="24"/>
          <w:szCs w:val="24"/>
        </w:rPr>
      </w:pPr>
    </w:p>
    <w:p w14:paraId="4F286A99"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4.8.2.</w:t>
      </w:r>
      <w:r w:rsidRPr="00BD7577">
        <w:rPr>
          <w:rFonts w:ascii="Sylfaen" w:hAnsi="Sylfaen"/>
          <w:sz w:val="24"/>
          <w:szCs w:val="24"/>
        </w:rPr>
        <w:tab/>
        <w:t xml:space="preserve">Կայունության հետգրանցումային փորձարկումների ծրագիրը </w:t>
      </w:r>
      <w:r w:rsidR="00C54D75">
        <w:rPr>
          <w:rFonts w:ascii="Sylfaen" w:hAnsi="Sylfaen"/>
          <w:sz w:val="24"/>
          <w:szCs w:val="24"/>
        </w:rPr>
        <w:t>և</w:t>
      </w:r>
      <w:r w:rsidRPr="00BD7577">
        <w:rPr>
          <w:rFonts w:ascii="Sylfaen" w:hAnsi="Sylfaen"/>
          <w:sz w:val="24"/>
          <w:szCs w:val="24"/>
        </w:rPr>
        <w:t xml:space="preserve"> կայունության ուսումնասիրությանը վերաբերող պարտավորությունները </w:t>
      </w:r>
      <w:r w:rsidRPr="00C06C9D">
        <w:rPr>
          <w:rFonts w:ascii="Sylfaen" w:hAnsi="Sylfaen"/>
          <w:sz w:val="24"/>
          <w:szCs w:val="24"/>
        </w:rPr>
        <w:br/>
      </w:r>
      <w:r w:rsidRPr="00BD7577">
        <w:rPr>
          <w:rFonts w:ascii="Sylfaen" w:hAnsi="Sylfaen"/>
          <w:sz w:val="24"/>
          <w:szCs w:val="24"/>
        </w:rPr>
        <w:t>(բաժին P.8.2)։</w:t>
      </w:r>
    </w:p>
    <w:p w14:paraId="5C8E3EB4"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8087866"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57FFC84E"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AB43DB8"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4.8.3.</w:t>
      </w:r>
      <w:r w:rsidRPr="00BD7577">
        <w:rPr>
          <w:rFonts w:ascii="Sylfaen" w:hAnsi="Sylfaen"/>
          <w:sz w:val="24"/>
          <w:szCs w:val="24"/>
        </w:rPr>
        <w:tab/>
        <w:t>Կայունության փորձարկումների տվյալները (բաժին P.8.3)։</w:t>
      </w:r>
    </w:p>
    <w:p w14:paraId="3FB0661B"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D49DE5E"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5E49DB4"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E82EF69" w14:textId="77777777" w:rsidR="008C76E0" w:rsidRPr="00BD7577" w:rsidRDefault="008C76E0" w:rsidP="00D23305">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 xml:space="preserve">Կայունության փորձարկումների այն տվյալները, որոնց վրա հիմնվում է P.8.1 բաժնի համառոտ ամփոփումը </w:t>
      </w:r>
      <w:r w:rsidR="00C54D75">
        <w:rPr>
          <w:rFonts w:ascii="Sylfaen" w:hAnsi="Sylfaen"/>
          <w:sz w:val="24"/>
          <w:szCs w:val="24"/>
        </w:rPr>
        <w:t>և</w:t>
      </w:r>
      <w:r w:rsidRPr="00BD7577">
        <w:rPr>
          <w:rFonts w:ascii="Sylfaen" w:hAnsi="Sylfaen"/>
          <w:sz w:val="24"/>
          <w:szCs w:val="24"/>
        </w:rPr>
        <w:t xml:space="preserve"> եզրակացությունը, ներառվում են դոսյեում։</w:t>
      </w:r>
    </w:p>
    <w:p w14:paraId="30277400"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4.8.4.</w:t>
      </w:r>
      <w:r w:rsidRPr="00BD7577">
        <w:rPr>
          <w:rFonts w:ascii="Sylfaen" w:hAnsi="Sylfaen"/>
          <w:sz w:val="24"/>
          <w:szCs w:val="24"/>
        </w:rPr>
        <w:tab/>
        <w:t xml:space="preserve">Դեղապատրաստուկի պիտանիության հայտագրված ժամկետի </w:t>
      </w:r>
      <w:r w:rsidR="00C54D75">
        <w:rPr>
          <w:rFonts w:ascii="Sylfaen" w:hAnsi="Sylfaen"/>
          <w:sz w:val="24"/>
          <w:szCs w:val="24"/>
        </w:rPr>
        <w:t>և</w:t>
      </w:r>
      <w:r w:rsidRPr="00BD7577">
        <w:rPr>
          <w:rFonts w:ascii="Sylfaen" w:hAnsi="Sylfaen"/>
          <w:sz w:val="24"/>
          <w:szCs w:val="24"/>
        </w:rPr>
        <w:t xml:space="preserve"> պահպանման պայմանների հաստատման վերաբերյալ ռեզյումեն</w:t>
      </w:r>
    </w:p>
    <w:p w14:paraId="7499EA5B"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FC09467"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A0A0A43"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tbl>
      <w:tblPr>
        <w:tblOverlap w:val="never"/>
        <w:tblW w:w="9183" w:type="dxa"/>
        <w:jc w:val="center"/>
        <w:tblLayout w:type="fixed"/>
        <w:tblCellMar>
          <w:left w:w="10" w:type="dxa"/>
          <w:right w:w="10" w:type="dxa"/>
        </w:tblCellMar>
        <w:tblLook w:val="04A0" w:firstRow="1" w:lastRow="0" w:firstColumn="1" w:lastColumn="0" w:noHBand="0" w:noVBand="1"/>
      </w:tblPr>
      <w:tblGrid>
        <w:gridCol w:w="9183"/>
      </w:tblGrid>
      <w:tr w:rsidR="008C76E0" w:rsidRPr="00BD7577" w14:paraId="36C02412" w14:textId="77777777" w:rsidTr="008C76E0">
        <w:trPr>
          <w:jc w:val="center"/>
        </w:trPr>
        <w:tc>
          <w:tcPr>
            <w:tcW w:w="9183" w:type="dxa"/>
            <w:tcBorders>
              <w:top w:val="single" w:sz="4" w:space="0" w:color="auto"/>
              <w:left w:val="single" w:sz="4" w:space="0" w:color="auto"/>
              <w:right w:val="single" w:sz="4" w:space="0" w:color="auto"/>
            </w:tcBorders>
            <w:shd w:val="clear" w:color="auto" w:fill="FFFFFF"/>
            <w:vAlign w:val="bottom"/>
          </w:tcPr>
          <w:p w14:paraId="5E3873D2" w14:textId="77777777" w:rsidR="008C76E0" w:rsidRPr="00BD7577" w:rsidRDefault="008C76E0" w:rsidP="00D23305">
            <w:pPr>
              <w:pStyle w:val="Bodytext180"/>
              <w:shd w:val="clear" w:color="auto" w:fill="auto"/>
              <w:spacing w:before="0" w:after="160" w:line="360" w:lineRule="auto"/>
              <w:ind w:right="-1" w:firstLine="0"/>
              <w:jc w:val="both"/>
              <w:rPr>
                <w:rFonts w:ascii="Sylfaen" w:hAnsi="Sylfaen"/>
                <w:b w:val="0"/>
                <w:sz w:val="24"/>
                <w:szCs w:val="24"/>
                <w:highlight w:val="yellow"/>
              </w:rPr>
            </w:pPr>
            <w:r w:rsidRPr="00BD7577">
              <w:rPr>
                <w:rStyle w:val="Bodytext295pt"/>
                <w:rFonts w:ascii="Sylfaen" w:hAnsi="Sylfaen"/>
                <w:spacing w:val="0"/>
                <w:sz w:val="24"/>
                <w:szCs w:val="24"/>
              </w:rPr>
              <w:t>Փորձագետի մեկնաբանությունը</w:t>
            </w:r>
          </w:p>
        </w:tc>
      </w:tr>
      <w:tr w:rsidR="008C76E0" w:rsidRPr="00BD7577" w14:paraId="6DFD08D1" w14:textId="77777777" w:rsidTr="008C76E0">
        <w:trPr>
          <w:jc w:val="center"/>
        </w:trPr>
        <w:tc>
          <w:tcPr>
            <w:tcW w:w="9183" w:type="dxa"/>
            <w:tcBorders>
              <w:top w:val="single" w:sz="4" w:space="0" w:color="auto"/>
              <w:left w:val="single" w:sz="4" w:space="0" w:color="auto"/>
              <w:right w:val="single" w:sz="4" w:space="0" w:color="auto"/>
            </w:tcBorders>
            <w:shd w:val="clear" w:color="auto" w:fill="FFFFFF"/>
          </w:tcPr>
          <w:p w14:paraId="043485C8" w14:textId="77777777" w:rsidR="008C76E0" w:rsidRPr="00BD7577" w:rsidRDefault="008C76E0" w:rsidP="00D23305">
            <w:pPr>
              <w:spacing w:after="160" w:line="360" w:lineRule="auto"/>
              <w:ind w:right="-1"/>
              <w:jc w:val="both"/>
              <w:rPr>
                <w:rFonts w:ascii="Sylfaen" w:hAnsi="Sylfaen"/>
                <w:sz w:val="24"/>
                <w:szCs w:val="24"/>
                <w:highlight w:val="yellow"/>
              </w:rPr>
            </w:pPr>
          </w:p>
        </w:tc>
      </w:tr>
      <w:tr w:rsidR="008C76E0" w:rsidRPr="00BD7577" w14:paraId="319FEDAA" w14:textId="77777777" w:rsidTr="008C76E0">
        <w:trPr>
          <w:jc w:val="center"/>
        </w:trPr>
        <w:tc>
          <w:tcPr>
            <w:tcW w:w="9183" w:type="dxa"/>
            <w:tcBorders>
              <w:top w:val="single" w:sz="4" w:space="0" w:color="auto"/>
              <w:left w:val="single" w:sz="4" w:space="0" w:color="auto"/>
              <w:bottom w:val="single" w:sz="4" w:space="0" w:color="auto"/>
              <w:right w:val="single" w:sz="4" w:space="0" w:color="auto"/>
            </w:tcBorders>
            <w:shd w:val="clear" w:color="auto" w:fill="FFFFFF"/>
          </w:tcPr>
          <w:p w14:paraId="1F483EDA" w14:textId="77777777" w:rsidR="008C76E0" w:rsidRPr="00BD7577" w:rsidRDefault="008C76E0" w:rsidP="00D23305">
            <w:pPr>
              <w:spacing w:after="160" w:line="360" w:lineRule="auto"/>
              <w:ind w:right="-1"/>
              <w:jc w:val="both"/>
              <w:rPr>
                <w:rFonts w:ascii="Sylfaen" w:hAnsi="Sylfaen"/>
                <w:sz w:val="24"/>
                <w:szCs w:val="24"/>
              </w:rPr>
            </w:pPr>
          </w:p>
        </w:tc>
      </w:tr>
    </w:tbl>
    <w:p w14:paraId="5F6D5CA3" w14:textId="77777777" w:rsidR="008C76E0" w:rsidRPr="00BD7577" w:rsidRDefault="008C76E0" w:rsidP="00D23305">
      <w:pPr>
        <w:spacing w:after="160" w:line="360" w:lineRule="auto"/>
        <w:ind w:right="-1" w:firstLine="567"/>
        <w:jc w:val="both"/>
        <w:rPr>
          <w:rFonts w:ascii="Sylfaen" w:hAnsi="Sylfaen"/>
          <w:sz w:val="24"/>
          <w:szCs w:val="24"/>
          <w:lang w:val="en-US"/>
        </w:rPr>
      </w:pPr>
    </w:p>
    <w:p w14:paraId="0187B6CE"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5. Լրացումները (մոդուլ 3.2.A)</w:t>
      </w:r>
    </w:p>
    <w:p w14:paraId="4E7CAB4A" w14:textId="77777777" w:rsidR="008C76E0" w:rsidRPr="00BD7577" w:rsidRDefault="008C76E0" w:rsidP="00D23305">
      <w:pPr>
        <w:spacing w:after="160" w:line="360" w:lineRule="auto"/>
        <w:ind w:right="-1"/>
        <w:jc w:val="center"/>
        <w:rPr>
          <w:rFonts w:ascii="Sylfaen" w:hAnsi="Sylfaen"/>
          <w:sz w:val="24"/>
          <w:szCs w:val="24"/>
          <w:lang w:val="en-US"/>
        </w:rPr>
      </w:pPr>
      <w:r w:rsidRPr="00BD7577">
        <w:rPr>
          <w:rFonts w:ascii="Sylfaen" w:hAnsi="Sylfaen"/>
          <w:sz w:val="24"/>
          <w:szCs w:val="24"/>
        </w:rPr>
        <w:t xml:space="preserve">5.1. Արտադրական տարածքները </w:t>
      </w:r>
      <w:r w:rsidR="00C54D75">
        <w:rPr>
          <w:rFonts w:ascii="Sylfaen" w:hAnsi="Sylfaen"/>
          <w:sz w:val="24"/>
          <w:szCs w:val="24"/>
        </w:rPr>
        <w:t>և</w:t>
      </w:r>
      <w:r w:rsidRPr="00BD7577">
        <w:rPr>
          <w:rFonts w:ascii="Sylfaen" w:hAnsi="Sylfaen"/>
          <w:sz w:val="24"/>
          <w:szCs w:val="24"/>
        </w:rPr>
        <w:t xml:space="preserve"> սարքավորումները</w:t>
      </w:r>
    </w:p>
    <w:p w14:paraId="1FC42767"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328607A"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F09FBC9"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D0D5B8F" w14:textId="77777777" w:rsidR="008C76E0" w:rsidRDefault="008C76E0" w:rsidP="00D23305">
      <w:pPr>
        <w:spacing w:after="160" w:line="360" w:lineRule="auto"/>
        <w:ind w:right="-1"/>
        <w:jc w:val="center"/>
        <w:rPr>
          <w:rFonts w:ascii="Sylfaen" w:hAnsi="Sylfaen"/>
          <w:sz w:val="24"/>
          <w:szCs w:val="24"/>
          <w:lang w:val="en-US"/>
        </w:rPr>
      </w:pPr>
    </w:p>
    <w:p w14:paraId="447E5B6F"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lastRenderedPageBreak/>
        <w:t>5.2. Կողմնակի ագենտների մասով անվտանգության գնահատումը</w:t>
      </w:r>
    </w:p>
    <w:p w14:paraId="3E868D09"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ADD78B2"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D6C2A1E"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998987E"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5.3. Նոր օժանդակ նյութերը</w:t>
      </w:r>
    </w:p>
    <w:p w14:paraId="5E1EDA36"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0A62B8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1E18335"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37370EE" w14:textId="77777777" w:rsidR="008C76E0" w:rsidRDefault="008C76E0" w:rsidP="00D23305">
      <w:pPr>
        <w:spacing w:after="160" w:line="360" w:lineRule="auto"/>
        <w:ind w:right="-1"/>
        <w:jc w:val="center"/>
        <w:rPr>
          <w:rFonts w:ascii="Sylfaen" w:hAnsi="Sylfaen"/>
          <w:sz w:val="24"/>
          <w:szCs w:val="24"/>
          <w:lang w:val="en-US"/>
        </w:rPr>
      </w:pPr>
    </w:p>
    <w:p w14:paraId="1EC02AC9"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6. Տարածաշրջանային տեղեկատվությունը</w:t>
      </w:r>
    </w:p>
    <w:p w14:paraId="4D363012"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2DEEE38"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D659F5B"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E9F24B3" w14:textId="77777777" w:rsidR="008C76E0" w:rsidRDefault="008C76E0" w:rsidP="00D23305">
      <w:pPr>
        <w:spacing w:after="160" w:line="360" w:lineRule="auto"/>
        <w:ind w:left="567" w:right="566"/>
        <w:jc w:val="center"/>
        <w:rPr>
          <w:rFonts w:ascii="Sylfaen" w:hAnsi="Sylfaen"/>
          <w:sz w:val="24"/>
          <w:szCs w:val="24"/>
          <w:lang w:val="en-US"/>
        </w:rPr>
      </w:pPr>
    </w:p>
    <w:p w14:paraId="2A4FBB2C"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6.1. Դեղային արտադրատեսակի արտադրության գործընթացի վալիդացման սխեման</w:t>
      </w:r>
    </w:p>
    <w:p w14:paraId="4FCC6026"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E91717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CBBA086"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50A25E6" w14:textId="77777777" w:rsidR="008C76E0" w:rsidRPr="00DD61E4" w:rsidRDefault="008C76E0" w:rsidP="00D23305">
      <w:pPr>
        <w:spacing w:after="160" w:line="360" w:lineRule="auto"/>
        <w:ind w:right="-1"/>
        <w:jc w:val="center"/>
        <w:rPr>
          <w:rFonts w:ascii="Sylfaen" w:hAnsi="Sylfaen"/>
          <w:sz w:val="24"/>
          <w:szCs w:val="24"/>
        </w:rPr>
      </w:pPr>
    </w:p>
    <w:p w14:paraId="115CADA4"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6.2. Բժշկական ապրանքներին առնչվող հարցերը</w:t>
      </w:r>
    </w:p>
    <w:p w14:paraId="2B7E3230"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3582B77"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08882769"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A5C9CF1"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6.3. ՏՍԷ-ի փոխանցման ռիսկին առնչվող հարցերը</w:t>
      </w:r>
    </w:p>
    <w:p w14:paraId="7DFDB36C"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8D92954"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E132EFF"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0FE97F3" w14:textId="77777777" w:rsidR="008C76E0" w:rsidRPr="00DD61E4" w:rsidRDefault="008C76E0" w:rsidP="00D23305">
      <w:pPr>
        <w:spacing w:after="160" w:line="360" w:lineRule="auto"/>
        <w:ind w:left="567" w:right="566"/>
        <w:jc w:val="center"/>
        <w:rPr>
          <w:rFonts w:ascii="Sylfaen" w:hAnsi="Sylfaen"/>
          <w:sz w:val="24"/>
          <w:szCs w:val="24"/>
        </w:rPr>
      </w:pPr>
    </w:p>
    <w:p w14:paraId="1217F84F"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 xml:space="preserve">7. Դեղապատրաստուկի ընդհանուր բնութագրի, բժշկական կիրառման հրահանգի (ներդիր թերթիկի) </w:t>
      </w:r>
      <w:r w:rsidR="00C54D75">
        <w:rPr>
          <w:rFonts w:ascii="Sylfaen" w:hAnsi="Sylfaen"/>
          <w:sz w:val="24"/>
          <w:szCs w:val="24"/>
        </w:rPr>
        <w:t>և</w:t>
      </w:r>
      <w:r w:rsidRPr="00BD7577">
        <w:rPr>
          <w:rFonts w:ascii="Sylfaen" w:hAnsi="Sylfaen"/>
          <w:sz w:val="24"/>
          <w:szCs w:val="24"/>
        </w:rPr>
        <w:t xml:space="preserve"> դեղապատրաստուկի փաթեթվածքի դիզայնի վերաբերյալ փորձագետի դիտողությունները</w:t>
      </w:r>
    </w:p>
    <w:p w14:paraId="3C9D9690"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4A5DE12"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A44FE27"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3D6FF0C" w14:textId="77777777" w:rsidR="008C76E0" w:rsidRPr="00DD61E4" w:rsidRDefault="008C76E0" w:rsidP="00D23305">
      <w:pPr>
        <w:spacing w:after="160" w:line="360" w:lineRule="auto"/>
        <w:ind w:left="567" w:right="566"/>
        <w:jc w:val="center"/>
        <w:rPr>
          <w:rFonts w:ascii="Sylfaen" w:hAnsi="Sylfaen"/>
          <w:sz w:val="24"/>
          <w:szCs w:val="24"/>
        </w:rPr>
      </w:pPr>
    </w:p>
    <w:p w14:paraId="1A036A3F"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8. Փորձագետի ընդհանուր եզրահանգումները՝ որակի վերաբերյալ</w:t>
      </w:r>
    </w:p>
    <w:p w14:paraId="100FA22B"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2CD16B3"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0ECAB04"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2699810" w14:textId="77777777" w:rsidR="008C76E0" w:rsidRPr="00DD61E4" w:rsidRDefault="008C76E0" w:rsidP="00D23305">
      <w:pPr>
        <w:spacing w:after="160" w:line="360" w:lineRule="auto"/>
        <w:ind w:left="567" w:right="566"/>
        <w:jc w:val="center"/>
        <w:rPr>
          <w:rFonts w:ascii="Sylfaen" w:hAnsi="Sylfaen"/>
          <w:sz w:val="24"/>
          <w:szCs w:val="24"/>
        </w:rPr>
      </w:pPr>
    </w:p>
    <w:p w14:paraId="47FB6EF6"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9. Անցկացված փորձաքննության շրջանակներում փորձագետի կողմից առաջադրված դիտողությունների ցանկը</w:t>
      </w:r>
    </w:p>
    <w:p w14:paraId="13DCA258"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24CCEAE"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7A1B258"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0143983D"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9.1. Որակի ասպեկտները</w:t>
      </w:r>
    </w:p>
    <w:p w14:paraId="19340D77"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CF555A3"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AE33786"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9D60817" w14:textId="77777777" w:rsidR="008C76E0" w:rsidRPr="00DD61E4" w:rsidRDefault="008C76E0" w:rsidP="00D23305">
      <w:pPr>
        <w:spacing w:after="160" w:line="360" w:lineRule="auto"/>
        <w:ind w:left="567" w:right="566"/>
        <w:jc w:val="center"/>
        <w:rPr>
          <w:rFonts w:ascii="Sylfaen" w:hAnsi="Sylfaen"/>
          <w:sz w:val="24"/>
          <w:szCs w:val="24"/>
        </w:rPr>
      </w:pPr>
    </w:p>
    <w:p w14:paraId="1301304D"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9.2. Կրիտիկական դիտողությունները</w:t>
      </w:r>
    </w:p>
    <w:p w14:paraId="2FA6BA90"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A4FEFD2"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7B00608"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6E44A55"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9.2.1.</w:t>
      </w:r>
      <w:r w:rsidRPr="00BD7577">
        <w:rPr>
          <w:rFonts w:ascii="Sylfaen" w:hAnsi="Sylfaen"/>
          <w:sz w:val="24"/>
          <w:szCs w:val="24"/>
        </w:rPr>
        <w:tab/>
        <w:t>Ակտիվ դեղագործական բաղադրամասը (դասվում է միայն հայտատուի կողմից տրամադրվող լրացուցիչ տվյալների շարքին):</w:t>
      </w:r>
    </w:p>
    <w:p w14:paraId="4F046828"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71CB918"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3F5C382"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65A1A62"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9.2.2</w:t>
      </w:r>
      <w:r w:rsidRPr="00BD7577">
        <w:rPr>
          <w:rFonts w:ascii="Sylfaen" w:hAnsi="Sylfaen"/>
          <w:sz w:val="24"/>
          <w:szCs w:val="24"/>
        </w:rPr>
        <w:tab/>
        <w:t>Ակտիվ դեղագործական բաղադրամասը (հայտի՝ ԱԴԲՄՖ-ի իրավատիրոջ կողմից տրամադրվող մասը)։</w:t>
      </w:r>
    </w:p>
    <w:p w14:paraId="69B2F85E"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1EF1507"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C067015"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06947F" w14:textId="77777777" w:rsidR="008C76E0" w:rsidRPr="00BD7577" w:rsidRDefault="008C76E0" w:rsidP="00D23305">
      <w:pPr>
        <w:spacing w:after="160" w:line="360" w:lineRule="auto"/>
        <w:ind w:left="2268" w:right="-1" w:hanging="2268"/>
        <w:jc w:val="both"/>
        <w:rPr>
          <w:rFonts w:ascii="Sylfaen" w:hAnsi="Sylfaen"/>
          <w:sz w:val="24"/>
          <w:szCs w:val="24"/>
        </w:rPr>
      </w:pPr>
      <w:r w:rsidRPr="00BD7577">
        <w:rPr>
          <w:rFonts w:ascii="Sylfaen" w:hAnsi="Sylfaen"/>
          <w:sz w:val="24"/>
          <w:szCs w:val="24"/>
        </w:rPr>
        <w:t xml:space="preserve">Ծանոթագրություն: ԱԴԲՄՖ-ն օգտագործելիս բնակչության առողջության համար հավանական լուրջ ռիսկի դեպքում, որն արտացոլվում է դրա փակ մասում, հարկ է նշել՝ </w:t>
      </w:r>
      <w:r w:rsidRPr="00BD7577">
        <w:rPr>
          <w:rStyle w:val="Bodytext295pt"/>
          <w:rFonts w:ascii="Sylfaen" w:eastAsiaTheme="minorHAnsi" w:hAnsi="Sylfaen"/>
          <w:b w:val="0"/>
          <w:spacing w:val="0"/>
          <w:sz w:val="24"/>
          <w:szCs w:val="24"/>
        </w:rPr>
        <w:t>&lt;</w:t>
      </w:r>
      <w:r w:rsidRPr="00BD7577">
        <w:rPr>
          <w:rFonts w:ascii="Sylfaen" w:hAnsi="Sylfaen"/>
          <w:sz w:val="24"/>
          <w:szCs w:val="24"/>
        </w:rPr>
        <w:t xml:space="preserve">բնակչության առողջության </w:t>
      </w:r>
      <w:r w:rsidRPr="00BD7577">
        <w:rPr>
          <w:rFonts w:ascii="Sylfaen" w:hAnsi="Sylfaen"/>
          <w:sz w:val="24"/>
          <w:szCs w:val="24"/>
        </w:rPr>
        <w:lastRenderedPageBreak/>
        <w:t>համար ԱԴԲՄՖ-ի փակ մասում ներկայացված հավանական լուրջ ռիսկի հարցի հետ կապված՝ հարկ է անդրադառնալ ԱԴԲՄՖ-ի կրիտիկական գնահատման վերաբերյալ առանձին փորձագիտական հաշվետվությանը&gt;։</w:t>
      </w:r>
    </w:p>
    <w:p w14:paraId="1D7B8ED3" w14:textId="77777777" w:rsidR="008C76E0" w:rsidRPr="00BD7577" w:rsidRDefault="008C76E0" w:rsidP="00D23305">
      <w:pPr>
        <w:tabs>
          <w:tab w:val="left" w:pos="1701"/>
        </w:tabs>
        <w:spacing w:after="160" w:line="360" w:lineRule="auto"/>
        <w:ind w:left="1701" w:right="-1" w:hanging="1134"/>
        <w:jc w:val="both"/>
        <w:rPr>
          <w:rFonts w:ascii="Sylfaen" w:hAnsi="Sylfaen"/>
          <w:sz w:val="24"/>
          <w:szCs w:val="24"/>
        </w:rPr>
      </w:pPr>
      <w:r w:rsidRPr="00BD7577">
        <w:rPr>
          <w:rFonts w:ascii="Sylfaen" w:hAnsi="Sylfaen"/>
          <w:sz w:val="24"/>
          <w:szCs w:val="24"/>
        </w:rPr>
        <w:t>9.2.3.</w:t>
      </w:r>
      <w:r w:rsidRPr="00BD7577">
        <w:rPr>
          <w:rFonts w:ascii="Sylfaen" w:hAnsi="Sylfaen"/>
          <w:sz w:val="24"/>
          <w:szCs w:val="24"/>
        </w:rPr>
        <w:tab/>
        <w:t>Դեղապատրաստուկը։</w:t>
      </w:r>
    </w:p>
    <w:p w14:paraId="28230175"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1FB9FF2"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D33FAD5"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E2A70C8"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9.3. Այլ դիտողություններ</w:t>
      </w:r>
    </w:p>
    <w:p w14:paraId="5D35735C" w14:textId="77777777" w:rsidR="008C76E0" w:rsidRPr="00BD7577" w:rsidRDefault="008C76E0" w:rsidP="00D23305">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9.3.1.</w:t>
      </w:r>
      <w:r w:rsidRPr="00BD7577">
        <w:rPr>
          <w:rFonts w:ascii="Sylfaen" w:hAnsi="Sylfaen"/>
          <w:sz w:val="24"/>
          <w:szCs w:val="24"/>
        </w:rPr>
        <w:tab/>
        <w:t>Ակտիվ դեղագործական բաղադրամասը (դասվում է միայն հայտատուի կողմից տրամադրվող լրացուցիչ տվյալների շարքին):</w:t>
      </w:r>
    </w:p>
    <w:p w14:paraId="66976DEE"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A6137A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EA1B71F"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CFB00D7" w14:textId="77777777" w:rsidR="008C76E0" w:rsidRPr="008C76E0" w:rsidRDefault="008C76E0" w:rsidP="00D23305">
      <w:pPr>
        <w:pStyle w:val="Bodytext70"/>
        <w:shd w:val="clear" w:color="auto" w:fill="auto"/>
        <w:spacing w:before="0" w:after="160" w:line="360" w:lineRule="auto"/>
        <w:ind w:left="2268" w:right="-1" w:hanging="2268"/>
        <w:rPr>
          <w:rFonts w:ascii="Sylfaen" w:hAnsi="Sylfaen"/>
          <w:b w:val="0"/>
          <w:i w:val="0"/>
          <w:sz w:val="24"/>
          <w:szCs w:val="24"/>
          <w:lang w:val="hy-AM"/>
        </w:rPr>
      </w:pPr>
      <w:r w:rsidRPr="00BD7577">
        <w:rPr>
          <w:rStyle w:val="Bodytext295pt"/>
          <w:rFonts w:ascii="Sylfaen" w:hAnsi="Sylfaen"/>
          <w:i w:val="0"/>
          <w:spacing w:val="0"/>
          <w:sz w:val="24"/>
          <w:szCs w:val="24"/>
        </w:rPr>
        <w:t xml:space="preserve">Ծանոթագրություն: Կիրառելիության դեպքում հարկ է նշել՝ </w:t>
      </w:r>
      <w:r w:rsidRPr="008C76E0">
        <w:rPr>
          <w:rFonts w:ascii="Sylfaen" w:hAnsi="Sylfaen"/>
          <w:b w:val="0"/>
          <w:sz w:val="24"/>
          <w:szCs w:val="24"/>
          <w:lang w:val="hy-AM"/>
        </w:rPr>
        <w:t>&lt;ԱԴԲՄՖ-ի փակ մասին վերաբերող այլ դիտողությունների հետ կապված՝ հարկ է անդրադառնալ ԱԴԲՄՖ-ի կրիտիկական գնահատման վերաբերյալ առանձին փորձագիտական հաշվետվությանը&gt;:</w:t>
      </w:r>
    </w:p>
    <w:p w14:paraId="445C3D7A" w14:textId="77777777" w:rsidR="008C76E0" w:rsidRPr="00BD7577" w:rsidRDefault="008C76E0" w:rsidP="00D23305">
      <w:pPr>
        <w:tabs>
          <w:tab w:val="left" w:pos="1701"/>
        </w:tabs>
        <w:spacing w:after="160" w:line="360" w:lineRule="auto"/>
        <w:ind w:right="-1" w:firstLine="567"/>
        <w:rPr>
          <w:rFonts w:ascii="Sylfaen" w:hAnsi="Sylfaen"/>
          <w:sz w:val="24"/>
          <w:szCs w:val="24"/>
        </w:rPr>
      </w:pPr>
      <w:r w:rsidRPr="00BD7577">
        <w:rPr>
          <w:rFonts w:ascii="Sylfaen" w:hAnsi="Sylfaen"/>
          <w:sz w:val="24"/>
          <w:szCs w:val="24"/>
        </w:rPr>
        <w:t>9.3.2.</w:t>
      </w:r>
      <w:r w:rsidRPr="00BD7577">
        <w:rPr>
          <w:rFonts w:ascii="Sylfaen" w:hAnsi="Sylfaen"/>
          <w:sz w:val="24"/>
          <w:szCs w:val="24"/>
        </w:rPr>
        <w:tab/>
        <w:t>Դեղապատրաստուկը։</w:t>
      </w:r>
    </w:p>
    <w:p w14:paraId="21AF5773"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EBAA05B"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8A6AB22"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D001CA7" w14:textId="77777777" w:rsidR="00D23305" w:rsidRDefault="00D23305">
      <w:pPr>
        <w:widowControl/>
        <w:rPr>
          <w:rFonts w:ascii="Sylfaen" w:hAnsi="Sylfaen"/>
          <w:sz w:val="24"/>
          <w:szCs w:val="24"/>
        </w:rPr>
      </w:pPr>
      <w:r>
        <w:rPr>
          <w:rFonts w:ascii="Sylfaen" w:hAnsi="Sylfaen"/>
          <w:sz w:val="24"/>
          <w:szCs w:val="24"/>
        </w:rPr>
        <w:br w:type="page"/>
      </w:r>
    </w:p>
    <w:p w14:paraId="385822B0"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lastRenderedPageBreak/>
        <w:t>9.4. Հանձնարարականներ</w:t>
      </w:r>
    </w:p>
    <w:p w14:paraId="283782B2" w14:textId="77777777" w:rsidR="008C76E0" w:rsidRPr="00BD7577" w:rsidRDefault="008C76E0" w:rsidP="00D23305">
      <w:pPr>
        <w:spacing w:after="160" w:line="360" w:lineRule="auto"/>
        <w:rPr>
          <w:rFonts w:ascii="Sylfaen" w:hAnsi="Sylfaen"/>
          <w:sz w:val="24"/>
          <w:szCs w:val="24"/>
        </w:rPr>
      </w:pPr>
      <w:r w:rsidRPr="00BD7577">
        <w:rPr>
          <w:rFonts w:ascii="Sylfaen" w:hAnsi="Sylfaen"/>
          <w:sz w:val="24"/>
          <w:szCs w:val="24"/>
        </w:rPr>
        <w:t>___________________________________________________________________________</w:t>
      </w:r>
    </w:p>
    <w:p w14:paraId="749DA873"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F54300C"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BC42855"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F4C14E6"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4CABB75"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08653BF"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C476A81"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ACD9F79"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D6BA445"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589D791"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41F89C1"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8F46DCF" w14:textId="77777777" w:rsidR="008C76E0" w:rsidRPr="00DD61E4" w:rsidRDefault="008C76E0" w:rsidP="00D23305">
      <w:pPr>
        <w:widowControl/>
        <w:spacing w:after="160" w:line="360" w:lineRule="auto"/>
        <w:rPr>
          <w:rFonts w:ascii="Sylfaen" w:eastAsia="Times New Roman" w:hAnsi="Sylfaen" w:cs="Times New Roman"/>
          <w:sz w:val="24"/>
          <w:szCs w:val="24"/>
        </w:rPr>
      </w:pPr>
    </w:p>
    <w:p w14:paraId="7425569E"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10. Լրացում 1 (անհրաժեշտության դեպքում)</w:t>
      </w:r>
    </w:p>
    <w:p w14:paraId="5778E2FC" w14:textId="77777777" w:rsidR="008C76E0" w:rsidRPr="00BD7577" w:rsidRDefault="008C76E0" w:rsidP="00D23305">
      <w:pPr>
        <w:spacing w:after="160" w:line="360" w:lineRule="auto"/>
        <w:ind w:right="-1"/>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w:t>
      </w:r>
    </w:p>
    <w:p w14:paraId="53A8B37D"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ՓՈՐՁԱԳԻՏԱԿԱՆ ՀԱՇՎԵՏՎՈՒԹՅՈՒՆ</w:t>
      </w:r>
    </w:p>
    <w:p w14:paraId="09FAA95E" w14:textId="77777777" w:rsidR="008C76E0" w:rsidRPr="00BD7577" w:rsidRDefault="008C76E0" w:rsidP="00D23305">
      <w:pPr>
        <w:spacing w:after="160" w:line="360" w:lineRule="auto"/>
        <w:ind w:right="-1"/>
        <w:jc w:val="center"/>
        <w:rPr>
          <w:rFonts w:ascii="Sylfaen" w:hAnsi="Sylfaen"/>
          <w:sz w:val="24"/>
          <w:szCs w:val="24"/>
        </w:rPr>
      </w:pPr>
      <w:r w:rsidRPr="00BD7577">
        <w:rPr>
          <w:rFonts w:ascii="Sylfaen" w:hAnsi="Sylfaen"/>
          <w:sz w:val="24"/>
          <w:szCs w:val="24"/>
        </w:rPr>
        <w:t>ակտիվ դեղագործական բաղադրամասի մաստեր-ֆայլի կրիտիկական գնահատման վերաբերյալ</w:t>
      </w:r>
    </w:p>
    <w:p w14:paraId="70401E4A" w14:textId="77777777" w:rsidR="008C76E0" w:rsidRPr="00BD7577" w:rsidRDefault="008C76E0" w:rsidP="00D23305">
      <w:pPr>
        <w:spacing w:after="160" w:line="360" w:lineRule="auto"/>
        <w:ind w:right="-1"/>
        <w:rPr>
          <w:rFonts w:ascii="Sylfaen" w:hAnsi="Sylfaen"/>
          <w:sz w:val="24"/>
          <w:szCs w:val="24"/>
        </w:rPr>
      </w:pPr>
    </w:p>
    <w:p w14:paraId="66D6DDFD" w14:textId="77777777" w:rsidR="008C76E0" w:rsidRPr="008C76E0" w:rsidRDefault="008C76E0" w:rsidP="00D23305">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{Ակտիվ դեղագործական բաղադրամասը}</w:t>
      </w:r>
    </w:p>
    <w:p w14:paraId="5C0F1C55" w14:textId="77777777" w:rsidR="008C76E0" w:rsidRPr="008C76E0" w:rsidRDefault="008C76E0" w:rsidP="00D23305">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{Ակտիվ դեղագործական բաղադրամաս արտադրողը}</w:t>
      </w:r>
    </w:p>
    <w:p w14:paraId="4ABED886" w14:textId="77777777" w:rsidR="008C76E0" w:rsidRPr="00BD7577" w:rsidRDefault="008C76E0" w:rsidP="00D23305">
      <w:pPr>
        <w:pStyle w:val="Bodytext70"/>
        <w:shd w:val="clear" w:color="auto" w:fill="auto"/>
        <w:spacing w:before="0" w:after="160" w:line="360" w:lineRule="auto"/>
        <w:ind w:right="-1" w:firstLine="567"/>
        <w:rPr>
          <w:rStyle w:val="Bodytext295pt"/>
          <w:rFonts w:ascii="Sylfaen" w:hAnsi="Sylfaen"/>
          <w:spacing w:val="0"/>
          <w:sz w:val="24"/>
          <w:szCs w:val="24"/>
        </w:rPr>
      </w:pPr>
      <w:r w:rsidRPr="008C76E0">
        <w:rPr>
          <w:rFonts w:ascii="Sylfaen" w:hAnsi="Sylfaen"/>
          <w:b w:val="0"/>
          <w:sz w:val="24"/>
          <w:szCs w:val="24"/>
          <w:lang w:val="hy-AM"/>
        </w:rPr>
        <w:lastRenderedPageBreak/>
        <w:t>{Գրանցման համարը}</w:t>
      </w:r>
      <w:r w:rsidRPr="00BD7577">
        <w:rPr>
          <w:rStyle w:val="Bodytext295pt"/>
          <w:rFonts w:ascii="Sylfaen" w:hAnsi="Sylfaen"/>
          <w:spacing w:val="0"/>
          <w:sz w:val="24"/>
          <w:szCs w:val="24"/>
        </w:rPr>
        <w:t xml:space="preserve"> (առկայության դեպքում)</w:t>
      </w:r>
    </w:p>
    <w:p w14:paraId="168558E2" w14:textId="77777777" w:rsidR="008C76E0" w:rsidRPr="008C76E0" w:rsidRDefault="008C76E0" w:rsidP="00D23305">
      <w:pPr>
        <w:pStyle w:val="Tablecaption40"/>
        <w:shd w:val="clear" w:color="auto" w:fill="auto"/>
        <w:spacing w:after="160" w:line="360" w:lineRule="auto"/>
        <w:ind w:right="-1" w:firstLine="567"/>
        <w:jc w:val="both"/>
        <w:rPr>
          <w:rFonts w:ascii="Sylfaen" w:hAnsi="Sylfaen"/>
          <w:b w:val="0"/>
          <w:sz w:val="24"/>
          <w:szCs w:val="24"/>
          <w:lang w:val="hy-AM"/>
        </w:rPr>
      </w:pPr>
      <w:r w:rsidRPr="008C76E0">
        <w:rPr>
          <w:rFonts w:ascii="Sylfaen" w:hAnsi="Sylfaen"/>
          <w:b w:val="0"/>
          <w:sz w:val="24"/>
          <w:szCs w:val="24"/>
          <w:lang w:val="hy-AM"/>
        </w:rPr>
        <w:t>{(Հայտատուի մասի տարբերակի համարը, ամսաթիվը, ծառայողական մասի տարբերակի համարը) ամսաթիվը}</w:t>
      </w:r>
    </w:p>
    <w:p w14:paraId="14AFA587" w14:textId="77777777" w:rsidR="008C76E0" w:rsidRPr="008C76E0" w:rsidRDefault="008C76E0" w:rsidP="00D23305">
      <w:pPr>
        <w:pStyle w:val="Bodytext70"/>
        <w:shd w:val="clear" w:color="auto" w:fill="auto"/>
        <w:spacing w:before="0" w:after="160" w:line="360" w:lineRule="auto"/>
        <w:ind w:right="-1" w:firstLine="567"/>
        <w:rPr>
          <w:rFonts w:ascii="Sylfaen" w:hAnsi="Sylfaen"/>
          <w:b w:val="0"/>
          <w:sz w:val="24"/>
          <w:szCs w:val="24"/>
          <w:lang w:val="hy-AM"/>
        </w:rPr>
      </w:pPr>
    </w:p>
    <w:p w14:paraId="316DF433" w14:textId="77777777" w:rsidR="008C76E0" w:rsidRPr="00BD7577" w:rsidRDefault="008C76E0" w:rsidP="00D23305">
      <w:pPr>
        <w:tabs>
          <w:tab w:val="left" w:pos="1701"/>
        </w:tabs>
        <w:spacing w:after="160" w:line="360" w:lineRule="auto"/>
        <w:ind w:firstLine="567"/>
        <w:jc w:val="center"/>
        <w:rPr>
          <w:rFonts w:ascii="Sylfaen" w:hAnsi="Sylfaen"/>
          <w:sz w:val="24"/>
          <w:szCs w:val="24"/>
        </w:rPr>
      </w:pPr>
      <w:r w:rsidRPr="00BD7577">
        <w:rPr>
          <w:rFonts w:ascii="Sylfaen" w:hAnsi="Sylfaen"/>
          <w:sz w:val="24"/>
          <w:szCs w:val="24"/>
        </w:rPr>
        <w:t>10.1.</w:t>
      </w:r>
      <w:r>
        <w:rPr>
          <w:rFonts w:ascii="Sylfaen" w:hAnsi="Sylfaen"/>
          <w:sz w:val="24"/>
          <w:szCs w:val="24"/>
          <w:lang w:val="en-US"/>
        </w:rPr>
        <w:t xml:space="preserve"> </w:t>
      </w:r>
      <w:r w:rsidRPr="00BD7577">
        <w:rPr>
          <w:rFonts w:ascii="Sylfaen" w:hAnsi="Sylfaen"/>
          <w:sz w:val="24"/>
          <w:szCs w:val="24"/>
        </w:rPr>
        <w:t>Վարչական տեղեկատվությունը</w:t>
      </w:r>
    </w:p>
    <w:tbl>
      <w:tblPr>
        <w:tblOverlap w:val="never"/>
        <w:tblW w:w="10609" w:type="dxa"/>
        <w:jc w:val="center"/>
        <w:tblLayout w:type="fixed"/>
        <w:tblCellMar>
          <w:left w:w="10" w:type="dxa"/>
          <w:right w:w="10" w:type="dxa"/>
        </w:tblCellMar>
        <w:tblLook w:val="04A0" w:firstRow="1" w:lastRow="0" w:firstColumn="1" w:lastColumn="0" w:noHBand="0" w:noVBand="1"/>
      </w:tblPr>
      <w:tblGrid>
        <w:gridCol w:w="6102"/>
        <w:gridCol w:w="4507"/>
      </w:tblGrid>
      <w:tr w:rsidR="008C76E0" w:rsidRPr="00BD7577" w14:paraId="28D7F92A" w14:textId="77777777" w:rsidTr="008C76E0">
        <w:trPr>
          <w:jc w:val="center"/>
        </w:trPr>
        <w:tc>
          <w:tcPr>
            <w:tcW w:w="6102" w:type="dxa"/>
            <w:tcBorders>
              <w:top w:val="single" w:sz="4" w:space="0" w:color="auto"/>
              <w:left w:val="single" w:sz="4" w:space="0" w:color="auto"/>
            </w:tcBorders>
            <w:shd w:val="clear" w:color="auto" w:fill="FFFFFF"/>
          </w:tcPr>
          <w:p w14:paraId="623E1F4B" w14:textId="77777777" w:rsidR="008C76E0" w:rsidRPr="00BD7577" w:rsidRDefault="008C76E0" w:rsidP="008C76E0">
            <w:pPr>
              <w:pStyle w:val="Bodytext180"/>
              <w:shd w:val="clear" w:color="auto" w:fill="auto"/>
              <w:spacing w:before="0" w:after="120" w:line="240" w:lineRule="auto"/>
              <w:ind w:left="87" w:right="-1" w:firstLine="0"/>
              <w:rPr>
                <w:rFonts w:ascii="Sylfaen" w:hAnsi="Sylfaen"/>
                <w:b w:val="0"/>
                <w:sz w:val="24"/>
                <w:szCs w:val="24"/>
              </w:rPr>
            </w:pPr>
            <w:r w:rsidRPr="00BD7577">
              <w:rPr>
                <w:rStyle w:val="Bodytext295pt"/>
                <w:rFonts w:ascii="Sylfaen" w:hAnsi="Sylfaen"/>
                <w:spacing w:val="0"/>
                <w:sz w:val="24"/>
                <w:szCs w:val="24"/>
              </w:rPr>
              <w:t>Նույնականացման համարը՝</w:t>
            </w:r>
          </w:p>
        </w:tc>
        <w:tc>
          <w:tcPr>
            <w:tcW w:w="4507" w:type="dxa"/>
            <w:tcBorders>
              <w:top w:val="single" w:sz="4" w:space="0" w:color="auto"/>
              <w:left w:val="single" w:sz="4" w:space="0" w:color="auto"/>
              <w:right w:val="single" w:sz="4" w:space="0" w:color="auto"/>
            </w:tcBorders>
            <w:shd w:val="clear" w:color="auto" w:fill="FFFFFF"/>
          </w:tcPr>
          <w:p w14:paraId="04436720" w14:textId="77777777" w:rsidR="008C76E0" w:rsidRPr="00BD7577" w:rsidRDefault="008C76E0" w:rsidP="008C76E0">
            <w:pPr>
              <w:spacing w:after="120" w:line="240" w:lineRule="auto"/>
              <w:ind w:left="186" w:right="-1"/>
              <w:jc w:val="both"/>
              <w:rPr>
                <w:rFonts w:ascii="Sylfaen" w:hAnsi="Sylfaen"/>
                <w:sz w:val="24"/>
                <w:szCs w:val="24"/>
              </w:rPr>
            </w:pPr>
          </w:p>
        </w:tc>
      </w:tr>
      <w:tr w:rsidR="008C76E0" w:rsidRPr="00BD7577" w14:paraId="13A216DE" w14:textId="77777777" w:rsidTr="008C76E0">
        <w:trPr>
          <w:jc w:val="center"/>
        </w:trPr>
        <w:tc>
          <w:tcPr>
            <w:tcW w:w="6102" w:type="dxa"/>
            <w:tcBorders>
              <w:top w:val="single" w:sz="4" w:space="0" w:color="auto"/>
              <w:left w:val="single" w:sz="4" w:space="0" w:color="auto"/>
            </w:tcBorders>
            <w:shd w:val="clear" w:color="auto" w:fill="FFFFFF"/>
          </w:tcPr>
          <w:p w14:paraId="007E7F20" w14:textId="77777777" w:rsidR="008C76E0" w:rsidRPr="008C76E0" w:rsidRDefault="008C76E0" w:rsidP="008C76E0">
            <w:pPr>
              <w:pStyle w:val="Bodytext180"/>
              <w:shd w:val="clear" w:color="auto" w:fill="auto"/>
              <w:spacing w:before="0" w:after="120" w:line="240" w:lineRule="auto"/>
              <w:ind w:left="87"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բաղադրամասի (ակտիվ դեղագործական բաղադրամասերի) միջազգային չարտոնագրված անվանումը (ՄՉԱ)(համընդհանուր անվանումը)՝</w:t>
            </w:r>
          </w:p>
        </w:tc>
        <w:tc>
          <w:tcPr>
            <w:tcW w:w="4507" w:type="dxa"/>
            <w:tcBorders>
              <w:top w:val="single" w:sz="4" w:space="0" w:color="auto"/>
              <w:left w:val="single" w:sz="4" w:space="0" w:color="auto"/>
              <w:right w:val="single" w:sz="4" w:space="0" w:color="auto"/>
            </w:tcBorders>
            <w:shd w:val="clear" w:color="auto" w:fill="FFFFFF"/>
          </w:tcPr>
          <w:p w14:paraId="0FDFB150" w14:textId="77777777" w:rsidR="008C76E0" w:rsidRPr="00BD7577" w:rsidRDefault="008C76E0" w:rsidP="008C76E0">
            <w:pPr>
              <w:spacing w:after="120" w:line="240" w:lineRule="auto"/>
              <w:ind w:left="186" w:right="119"/>
              <w:rPr>
                <w:rFonts w:ascii="Sylfaen" w:hAnsi="Sylfaen"/>
                <w:sz w:val="24"/>
                <w:szCs w:val="24"/>
              </w:rPr>
            </w:pPr>
          </w:p>
        </w:tc>
      </w:tr>
      <w:tr w:rsidR="008C76E0" w:rsidRPr="00BD7577" w14:paraId="31236216" w14:textId="77777777" w:rsidTr="008C76E0">
        <w:trPr>
          <w:jc w:val="center"/>
        </w:trPr>
        <w:tc>
          <w:tcPr>
            <w:tcW w:w="6102" w:type="dxa"/>
            <w:tcBorders>
              <w:top w:val="single" w:sz="4" w:space="0" w:color="auto"/>
              <w:left w:val="single" w:sz="4" w:space="0" w:color="auto"/>
            </w:tcBorders>
            <w:shd w:val="clear" w:color="auto" w:fill="FFFFFF"/>
          </w:tcPr>
          <w:p w14:paraId="4C540898" w14:textId="77777777" w:rsidR="008C76E0" w:rsidRPr="008C76E0" w:rsidRDefault="008C76E0" w:rsidP="008C76E0">
            <w:pPr>
              <w:pStyle w:val="Bodytext180"/>
              <w:shd w:val="clear" w:color="auto" w:fill="auto"/>
              <w:spacing w:before="0" w:after="120" w:line="240" w:lineRule="auto"/>
              <w:ind w:left="87"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բաղադրամասն արտադրողի ներքին ծածկագիրը (եթե կիրառվում է)՝</w:t>
            </w:r>
          </w:p>
        </w:tc>
        <w:tc>
          <w:tcPr>
            <w:tcW w:w="4507" w:type="dxa"/>
            <w:tcBorders>
              <w:top w:val="single" w:sz="4" w:space="0" w:color="auto"/>
              <w:left w:val="single" w:sz="4" w:space="0" w:color="auto"/>
              <w:right w:val="single" w:sz="4" w:space="0" w:color="auto"/>
            </w:tcBorders>
            <w:shd w:val="clear" w:color="auto" w:fill="FFFFFF"/>
          </w:tcPr>
          <w:p w14:paraId="4EDA8B6B" w14:textId="77777777" w:rsidR="008C76E0" w:rsidRPr="00BD7577" w:rsidRDefault="008C76E0" w:rsidP="008C76E0">
            <w:pPr>
              <w:spacing w:after="120" w:line="240" w:lineRule="auto"/>
              <w:ind w:left="186" w:right="119"/>
              <w:rPr>
                <w:rFonts w:ascii="Sylfaen" w:hAnsi="Sylfaen"/>
                <w:sz w:val="24"/>
                <w:szCs w:val="24"/>
              </w:rPr>
            </w:pPr>
          </w:p>
        </w:tc>
      </w:tr>
      <w:tr w:rsidR="008C76E0" w:rsidRPr="00BD7577" w14:paraId="454CBBF3" w14:textId="77777777" w:rsidTr="008C76E0">
        <w:trPr>
          <w:jc w:val="center"/>
        </w:trPr>
        <w:tc>
          <w:tcPr>
            <w:tcW w:w="6102" w:type="dxa"/>
            <w:tcBorders>
              <w:top w:val="single" w:sz="4" w:space="0" w:color="auto"/>
              <w:left w:val="single" w:sz="4" w:space="0" w:color="auto"/>
            </w:tcBorders>
            <w:shd w:val="clear" w:color="auto" w:fill="FFFFFF"/>
          </w:tcPr>
          <w:p w14:paraId="3576B425" w14:textId="77777777" w:rsidR="008C76E0" w:rsidRPr="008C76E0" w:rsidRDefault="008C76E0" w:rsidP="008C76E0">
            <w:pPr>
              <w:pStyle w:val="Bodytext180"/>
              <w:shd w:val="clear" w:color="auto" w:fill="auto"/>
              <w:spacing w:before="0" w:after="120" w:line="240" w:lineRule="auto"/>
              <w:ind w:left="87" w:right="119" w:firstLine="0"/>
              <w:rPr>
                <w:rFonts w:ascii="Sylfaen" w:hAnsi="Sylfaen"/>
                <w:b w:val="0"/>
                <w:sz w:val="24"/>
                <w:szCs w:val="24"/>
                <w:lang w:val="hy-AM"/>
              </w:rPr>
            </w:pPr>
            <w:r w:rsidRPr="00BD7577">
              <w:rPr>
                <w:rStyle w:val="Bodytext295pt"/>
                <w:rFonts w:ascii="Sylfaen" w:hAnsi="Sylfaen"/>
                <w:spacing w:val="0"/>
                <w:sz w:val="24"/>
                <w:szCs w:val="24"/>
              </w:rPr>
              <w:t xml:space="preserve">Ակտիվ դեղագործական բաղադրամասն արտադրողի արտադրական հարթակների անվանումներն ու հասցեները </w:t>
            </w:r>
          </w:p>
        </w:tc>
        <w:tc>
          <w:tcPr>
            <w:tcW w:w="4507" w:type="dxa"/>
            <w:tcBorders>
              <w:top w:val="single" w:sz="4" w:space="0" w:color="auto"/>
              <w:left w:val="single" w:sz="4" w:space="0" w:color="auto"/>
              <w:right w:val="single" w:sz="4" w:space="0" w:color="auto"/>
            </w:tcBorders>
            <w:shd w:val="clear" w:color="auto" w:fill="FFFFFF"/>
          </w:tcPr>
          <w:p w14:paraId="25E9B43A" w14:textId="77777777" w:rsidR="008C76E0" w:rsidRPr="008C76E0" w:rsidRDefault="008C76E0" w:rsidP="008C76E0">
            <w:pPr>
              <w:pStyle w:val="Bodytext180"/>
              <w:shd w:val="clear" w:color="auto" w:fill="auto"/>
              <w:spacing w:before="0" w:after="120" w:line="240" w:lineRule="auto"/>
              <w:ind w:left="186" w:right="119" w:firstLine="0"/>
              <w:rPr>
                <w:rFonts w:ascii="Sylfaen" w:hAnsi="Sylfaen"/>
                <w:b w:val="0"/>
                <w:sz w:val="24"/>
                <w:szCs w:val="24"/>
                <w:lang w:val="hy-AM"/>
              </w:rPr>
            </w:pPr>
            <w:r w:rsidRPr="00BD7577">
              <w:rPr>
                <w:rStyle w:val="Bodytext295pt"/>
                <w:rFonts w:ascii="Sylfaen" w:hAnsi="Sylfaen"/>
                <w:spacing w:val="0"/>
                <w:sz w:val="24"/>
                <w:szCs w:val="24"/>
              </w:rPr>
              <w:t>անվանումը՝</w:t>
            </w:r>
          </w:p>
          <w:p w14:paraId="11B3E52C" w14:textId="77777777" w:rsidR="008C76E0" w:rsidRPr="008C76E0" w:rsidRDefault="008C76E0" w:rsidP="008C76E0">
            <w:pPr>
              <w:pStyle w:val="Bodytext180"/>
              <w:shd w:val="clear" w:color="auto" w:fill="auto"/>
              <w:spacing w:before="0" w:after="120" w:line="240" w:lineRule="auto"/>
              <w:ind w:left="186" w:right="119" w:firstLine="0"/>
              <w:rPr>
                <w:rFonts w:ascii="Sylfaen" w:hAnsi="Sylfaen"/>
                <w:b w:val="0"/>
                <w:sz w:val="24"/>
                <w:szCs w:val="24"/>
                <w:lang w:val="hy-AM"/>
              </w:rPr>
            </w:pPr>
            <w:r w:rsidRPr="00BD7577">
              <w:rPr>
                <w:rStyle w:val="Bodytext295pt"/>
                <w:rFonts w:ascii="Sylfaen" w:hAnsi="Sylfaen"/>
                <w:spacing w:val="0"/>
                <w:sz w:val="24"/>
                <w:szCs w:val="24"/>
              </w:rPr>
              <w:t>հասցեն՝</w:t>
            </w:r>
          </w:p>
          <w:p w14:paraId="3D6B8321" w14:textId="77777777" w:rsidR="008C76E0" w:rsidRPr="00BD7577" w:rsidRDefault="008C76E0" w:rsidP="008C76E0">
            <w:pPr>
              <w:pStyle w:val="Bodytext180"/>
              <w:shd w:val="clear" w:color="auto" w:fill="auto"/>
              <w:spacing w:before="0" w:after="120" w:line="240" w:lineRule="auto"/>
              <w:ind w:left="186" w:right="119" w:firstLine="0"/>
              <w:rPr>
                <w:rStyle w:val="Bodytext295pt"/>
                <w:rFonts w:ascii="Sylfaen" w:hAnsi="Sylfaen"/>
                <w:spacing w:val="0"/>
                <w:sz w:val="24"/>
                <w:szCs w:val="24"/>
              </w:rPr>
            </w:pPr>
            <w:r w:rsidRPr="00BD7577">
              <w:rPr>
                <w:rStyle w:val="Bodytext295pt"/>
                <w:rFonts w:ascii="Sylfaen" w:hAnsi="Sylfaen"/>
                <w:spacing w:val="0"/>
                <w:sz w:val="24"/>
                <w:szCs w:val="24"/>
              </w:rPr>
              <w:t xml:space="preserve">կոնտակտային անձը՝ հեռախոսահամարը՝ </w:t>
            </w:r>
          </w:p>
          <w:p w14:paraId="60926107" w14:textId="77777777" w:rsidR="008C76E0" w:rsidRPr="008C76E0" w:rsidRDefault="008C76E0" w:rsidP="008C76E0">
            <w:pPr>
              <w:pStyle w:val="Bodytext180"/>
              <w:shd w:val="clear" w:color="auto" w:fill="auto"/>
              <w:spacing w:before="0" w:after="120" w:line="240" w:lineRule="auto"/>
              <w:ind w:left="186" w:right="119" w:firstLine="0"/>
              <w:rPr>
                <w:rFonts w:ascii="Sylfaen" w:hAnsi="Sylfaen"/>
                <w:b w:val="0"/>
                <w:sz w:val="24"/>
                <w:szCs w:val="24"/>
                <w:lang w:val="hy-AM"/>
              </w:rPr>
            </w:pPr>
            <w:r w:rsidRPr="00BD7577">
              <w:rPr>
                <w:rStyle w:val="Bodytext295pt"/>
                <w:rFonts w:ascii="Sylfaen" w:hAnsi="Sylfaen"/>
                <w:spacing w:val="0"/>
                <w:sz w:val="24"/>
                <w:szCs w:val="24"/>
              </w:rPr>
              <w:t>ֆաքսի համարը՝</w:t>
            </w:r>
          </w:p>
          <w:p w14:paraId="6AA133CA" w14:textId="77777777" w:rsidR="008C76E0" w:rsidRPr="008C76E0" w:rsidRDefault="008C76E0" w:rsidP="008C76E0">
            <w:pPr>
              <w:pStyle w:val="Bodytext180"/>
              <w:shd w:val="clear" w:color="auto" w:fill="auto"/>
              <w:spacing w:before="0" w:after="120" w:line="240" w:lineRule="auto"/>
              <w:ind w:left="186" w:right="119" w:firstLine="0"/>
              <w:rPr>
                <w:rFonts w:ascii="Sylfaen" w:hAnsi="Sylfaen"/>
                <w:b w:val="0"/>
                <w:sz w:val="24"/>
                <w:szCs w:val="24"/>
                <w:lang w:val="hy-AM"/>
              </w:rPr>
            </w:pPr>
            <w:r w:rsidRPr="00BD7577">
              <w:rPr>
                <w:rStyle w:val="Bodytext295pt"/>
                <w:rFonts w:ascii="Sylfaen" w:hAnsi="Sylfaen"/>
                <w:spacing w:val="0"/>
                <w:sz w:val="24"/>
                <w:szCs w:val="24"/>
              </w:rPr>
              <w:t>էլեկտրոնային փոստի հասցեն՝</w:t>
            </w:r>
          </w:p>
        </w:tc>
      </w:tr>
      <w:tr w:rsidR="008C76E0" w:rsidRPr="00BD7577" w14:paraId="7BF6DD83" w14:textId="77777777" w:rsidTr="008C76E0">
        <w:trPr>
          <w:jc w:val="center"/>
        </w:trPr>
        <w:tc>
          <w:tcPr>
            <w:tcW w:w="6102" w:type="dxa"/>
            <w:tcBorders>
              <w:top w:val="single" w:sz="4" w:space="0" w:color="auto"/>
              <w:left w:val="single" w:sz="4" w:space="0" w:color="auto"/>
              <w:bottom w:val="single" w:sz="4" w:space="0" w:color="auto"/>
            </w:tcBorders>
            <w:shd w:val="clear" w:color="auto" w:fill="FFFFFF"/>
          </w:tcPr>
          <w:p w14:paraId="2BD344E0" w14:textId="77777777" w:rsidR="008C76E0" w:rsidRPr="008C76E0" w:rsidRDefault="008C76E0" w:rsidP="008C76E0">
            <w:pPr>
              <w:pStyle w:val="Bodytext180"/>
              <w:shd w:val="clear" w:color="auto" w:fill="auto"/>
              <w:spacing w:before="0" w:after="120" w:line="240" w:lineRule="auto"/>
              <w:ind w:left="87"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բաղադրամասի մաստեր-ֆայլի գնահատման վերաբերյալ փորձագիտական հաշվետվության ամսաթիվը</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14:paraId="630618EB" w14:textId="77777777" w:rsidR="008C76E0" w:rsidRPr="008C76E0" w:rsidRDefault="008C76E0" w:rsidP="008C76E0">
            <w:pPr>
              <w:pStyle w:val="Bodytext180"/>
              <w:shd w:val="clear" w:color="auto" w:fill="auto"/>
              <w:spacing w:before="0" w:after="120" w:line="240" w:lineRule="auto"/>
              <w:ind w:left="186" w:right="119" w:firstLine="0"/>
              <w:rPr>
                <w:rFonts w:ascii="Sylfaen" w:hAnsi="Sylfaen"/>
                <w:b w:val="0"/>
                <w:sz w:val="24"/>
                <w:szCs w:val="24"/>
                <w:lang w:val="hy-AM"/>
              </w:rPr>
            </w:pPr>
            <w:r w:rsidRPr="00BD7577">
              <w:rPr>
                <w:rStyle w:val="Bodytext295pt"/>
                <w:rFonts w:ascii="Sylfaen" w:hAnsi="Sylfaen"/>
                <w:spacing w:val="0"/>
                <w:sz w:val="24"/>
                <w:szCs w:val="24"/>
              </w:rPr>
              <w:t xml:space="preserve">գրանցման ընթացակարգը (գրանցումը, փոփոխությունների կատարումը)՝ </w:t>
            </w:r>
          </w:p>
        </w:tc>
      </w:tr>
      <w:tr w:rsidR="008C76E0" w:rsidRPr="00BD7577" w14:paraId="6C7F2079" w14:textId="77777777" w:rsidTr="008C76E0">
        <w:trPr>
          <w:jc w:val="center"/>
        </w:trPr>
        <w:tc>
          <w:tcPr>
            <w:tcW w:w="6102" w:type="dxa"/>
            <w:tcBorders>
              <w:top w:val="single" w:sz="4" w:space="0" w:color="auto"/>
              <w:left w:val="single" w:sz="4" w:space="0" w:color="auto"/>
            </w:tcBorders>
            <w:shd w:val="clear" w:color="auto" w:fill="FFFFFF"/>
          </w:tcPr>
          <w:p w14:paraId="489CEB3E" w14:textId="77777777" w:rsidR="008C76E0" w:rsidRPr="00BD7577" w:rsidRDefault="008C76E0" w:rsidP="008C76E0">
            <w:pPr>
              <w:pStyle w:val="Bodytext180"/>
              <w:shd w:val="clear" w:color="auto" w:fill="auto"/>
              <w:spacing w:before="0" w:after="120" w:line="240" w:lineRule="auto"/>
              <w:ind w:left="87" w:right="-1" w:firstLine="0"/>
              <w:rPr>
                <w:rFonts w:ascii="Sylfaen" w:hAnsi="Sylfaen"/>
                <w:b w:val="0"/>
                <w:sz w:val="24"/>
                <w:szCs w:val="24"/>
              </w:rPr>
            </w:pPr>
            <w:r w:rsidRPr="00BD7577">
              <w:rPr>
                <w:rStyle w:val="Bodytext295pt"/>
                <w:rFonts w:ascii="Sylfaen" w:hAnsi="Sylfaen"/>
                <w:spacing w:val="0"/>
                <w:sz w:val="24"/>
                <w:szCs w:val="24"/>
              </w:rPr>
              <w:t>Առավելագույն օրական դեղաչափը</w:t>
            </w:r>
          </w:p>
        </w:tc>
        <w:tc>
          <w:tcPr>
            <w:tcW w:w="4507" w:type="dxa"/>
            <w:tcBorders>
              <w:top w:val="single" w:sz="4" w:space="0" w:color="auto"/>
              <w:left w:val="single" w:sz="4" w:space="0" w:color="auto"/>
              <w:right w:val="single" w:sz="4" w:space="0" w:color="auto"/>
            </w:tcBorders>
            <w:shd w:val="clear" w:color="auto" w:fill="FFFFFF"/>
          </w:tcPr>
          <w:p w14:paraId="46F97EB8" w14:textId="77777777" w:rsidR="008C76E0" w:rsidRPr="00BD7577" w:rsidRDefault="008C76E0" w:rsidP="008C76E0">
            <w:pPr>
              <w:pStyle w:val="Bodytext180"/>
              <w:shd w:val="clear" w:color="auto" w:fill="auto"/>
              <w:spacing w:before="0" w:after="120" w:line="240" w:lineRule="auto"/>
              <w:ind w:left="186" w:right="-1" w:firstLine="0"/>
              <w:rPr>
                <w:rFonts w:ascii="Sylfaen" w:hAnsi="Sylfaen"/>
                <w:b w:val="0"/>
                <w:sz w:val="24"/>
                <w:szCs w:val="24"/>
              </w:rPr>
            </w:pPr>
            <w:r w:rsidRPr="00BD7577">
              <w:rPr>
                <w:rStyle w:val="Bodytext295pt"/>
                <w:rFonts w:ascii="Sylfaen" w:hAnsi="Sylfaen"/>
                <w:spacing w:val="0"/>
                <w:sz w:val="24"/>
                <w:szCs w:val="24"/>
              </w:rPr>
              <w:t xml:space="preserve">(օրինակ՝ &lt; 1 գ, &lt; 10 գ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այլն)</w:t>
            </w:r>
          </w:p>
        </w:tc>
      </w:tr>
      <w:tr w:rsidR="008C76E0" w:rsidRPr="00BD7577" w14:paraId="2D11AF9E" w14:textId="77777777" w:rsidTr="008C76E0">
        <w:trPr>
          <w:jc w:val="center"/>
        </w:trPr>
        <w:tc>
          <w:tcPr>
            <w:tcW w:w="6102" w:type="dxa"/>
            <w:tcBorders>
              <w:top w:val="single" w:sz="4" w:space="0" w:color="auto"/>
              <w:left w:val="single" w:sz="4" w:space="0" w:color="auto"/>
            </w:tcBorders>
            <w:shd w:val="clear" w:color="auto" w:fill="FFFFFF"/>
          </w:tcPr>
          <w:p w14:paraId="640DB4AC" w14:textId="77777777" w:rsidR="008C76E0" w:rsidRPr="00BD7577" w:rsidRDefault="008C76E0" w:rsidP="008C76E0">
            <w:pPr>
              <w:pStyle w:val="Bodytext180"/>
              <w:shd w:val="clear" w:color="auto" w:fill="auto"/>
              <w:spacing w:before="0" w:after="120" w:line="240" w:lineRule="auto"/>
              <w:ind w:left="87" w:right="-1" w:firstLine="0"/>
              <w:rPr>
                <w:rFonts w:ascii="Sylfaen" w:hAnsi="Sylfaen"/>
                <w:b w:val="0"/>
                <w:sz w:val="24"/>
                <w:szCs w:val="24"/>
              </w:rPr>
            </w:pPr>
            <w:r w:rsidRPr="00BD7577">
              <w:rPr>
                <w:rStyle w:val="Bodytext295pt"/>
                <w:rFonts w:ascii="Sylfaen" w:hAnsi="Sylfaen"/>
                <w:spacing w:val="0"/>
                <w:sz w:val="24"/>
                <w:szCs w:val="24"/>
              </w:rPr>
              <w:t>Ներմուծման ուղիները</w:t>
            </w:r>
          </w:p>
        </w:tc>
        <w:tc>
          <w:tcPr>
            <w:tcW w:w="4507" w:type="dxa"/>
            <w:tcBorders>
              <w:top w:val="single" w:sz="4" w:space="0" w:color="auto"/>
              <w:left w:val="single" w:sz="4" w:space="0" w:color="auto"/>
              <w:right w:val="single" w:sz="4" w:space="0" w:color="auto"/>
            </w:tcBorders>
            <w:shd w:val="clear" w:color="auto" w:fill="FFFFFF"/>
          </w:tcPr>
          <w:p w14:paraId="7CD907EB" w14:textId="77777777" w:rsidR="008C76E0" w:rsidRPr="00BD7577" w:rsidRDefault="008C76E0" w:rsidP="008C76E0">
            <w:pPr>
              <w:spacing w:after="120" w:line="240" w:lineRule="auto"/>
              <w:ind w:left="186" w:right="-1"/>
              <w:rPr>
                <w:rFonts w:ascii="Sylfaen" w:hAnsi="Sylfaen"/>
                <w:sz w:val="24"/>
                <w:szCs w:val="24"/>
              </w:rPr>
            </w:pPr>
          </w:p>
        </w:tc>
      </w:tr>
      <w:tr w:rsidR="008C76E0" w:rsidRPr="00BD7577" w14:paraId="74D370F3" w14:textId="77777777" w:rsidTr="008C76E0">
        <w:trPr>
          <w:jc w:val="center"/>
        </w:trPr>
        <w:tc>
          <w:tcPr>
            <w:tcW w:w="6102" w:type="dxa"/>
            <w:tcBorders>
              <w:top w:val="single" w:sz="4" w:space="0" w:color="auto"/>
              <w:left w:val="single" w:sz="4" w:space="0" w:color="auto"/>
              <w:bottom w:val="single" w:sz="4" w:space="0" w:color="auto"/>
            </w:tcBorders>
            <w:shd w:val="clear" w:color="auto" w:fill="FFFFFF"/>
          </w:tcPr>
          <w:p w14:paraId="1A8B13F2" w14:textId="77777777" w:rsidR="008C76E0" w:rsidRPr="00BD7577" w:rsidRDefault="008C76E0" w:rsidP="008C76E0">
            <w:pPr>
              <w:pStyle w:val="Bodytext180"/>
              <w:shd w:val="clear" w:color="auto" w:fill="auto"/>
              <w:spacing w:before="0" w:after="120" w:line="240" w:lineRule="auto"/>
              <w:ind w:left="87" w:right="-1" w:firstLine="0"/>
              <w:rPr>
                <w:rFonts w:ascii="Sylfaen" w:hAnsi="Sylfaen"/>
                <w:b w:val="0"/>
                <w:sz w:val="24"/>
                <w:szCs w:val="24"/>
              </w:rPr>
            </w:pPr>
            <w:r w:rsidRPr="00BD7577">
              <w:rPr>
                <w:rStyle w:val="Bodytext295pt"/>
                <w:rFonts w:ascii="Sylfaen" w:hAnsi="Sylfaen"/>
                <w:spacing w:val="0"/>
                <w:sz w:val="24"/>
                <w:szCs w:val="24"/>
              </w:rPr>
              <w:t>Թիրախային խմբերը</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14:paraId="6488F2B2" w14:textId="77777777" w:rsidR="008C76E0" w:rsidRPr="00BD7577" w:rsidRDefault="008C76E0" w:rsidP="008C76E0">
            <w:pPr>
              <w:pStyle w:val="Bodytext180"/>
              <w:shd w:val="clear" w:color="auto" w:fill="auto"/>
              <w:spacing w:before="0" w:after="120" w:line="240" w:lineRule="auto"/>
              <w:ind w:left="186" w:right="-1" w:firstLine="0"/>
              <w:rPr>
                <w:rFonts w:ascii="Sylfaen" w:hAnsi="Sylfaen"/>
                <w:b w:val="0"/>
                <w:sz w:val="24"/>
                <w:szCs w:val="24"/>
              </w:rPr>
            </w:pPr>
            <w:r w:rsidRPr="00BD7577">
              <w:rPr>
                <w:rStyle w:val="Bodytext295pt"/>
                <w:rFonts w:ascii="Sylfaen" w:hAnsi="Sylfaen"/>
                <w:spacing w:val="0"/>
                <w:sz w:val="24"/>
                <w:szCs w:val="24"/>
              </w:rPr>
              <w:t>Նորածիններ, մանուկներ, երեխաներ, մեծահասակներ</w:t>
            </w:r>
          </w:p>
        </w:tc>
      </w:tr>
    </w:tbl>
    <w:p w14:paraId="6EA115C2" w14:textId="77777777" w:rsidR="008C76E0" w:rsidRPr="00BD7577" w:rsidRDefault="008C76E0" w:rsidP="008C76E0">
      <w:pPr>
        <w:tabs>
          <w:tab w:val="left" w:pos="3119"/>
        </w:tabs>
        <w:ind w:left="2693" w:right="-1" w:hanging="2694"/>
        <w:jc w:val="both"/>
        <w:rPr>
          <w:rFonts w:ascii="Sylfaen" w:hAnsi="Sylfaen"/>
          <w:sz w:val="24"/>
          <w:szCs w:val="24"/>
        </w:rPr>
      </w:pPr>
    </w:p>
    <w:p w14:paraId="34CC9A81" w14:textId="77777777" w:rsidR="008C76E0" w:rsidRPr="00BD7577" w:rsidRDefault="008C76E0" w:rsidP="0074785B">
      <w:pPr>
        <w:tabs>
          <w:tab w:val="left" w:pos="3119"/>
        </w:tabs>
        <w:spacing w:after="160" w:line="360" w:lineRule="auto"/>
        <w:ind w:left="2693" w:right="-1" w:hanging="2694"/>
        <w:jc w:val="both"/>
        <w:rPr>
          <w:rFonts w:ascii="Sylfaen" w:hAnsi="Sylfaen"/>
          <w:sz w:val="24"/>
          <w:szCs w:val="24"/>
        </w:rPr>
      </w:pPr>
      <w:r w:rsidRPr="00BD7577">
        <w:rPr>
          <w:rFonts w:ascii="Sylfaen" w:hAnsi="Sylfaen"/>
          <w:sz w:val="24"/>
          <w:szCs w:val="24"/>
        </w:rPr>
        <w:t>Ծանոթագրություններ: 1.</w:t>
      </w:r>
      <w:r w:rsidRPr="00BD7577">
        <w:rPr>
          <w:rFonts w:ascii="Sylfaen" w:hAnsi="Sylfaen"/>
          <w:sz w:val="24"/>
          <w:szCs w:val="24"/>
        </w:rPr>
        <w:tab/>
        <w:t>Հաշվետվության կառուցվածքը պետք է արտացոլի Մոդուլ 3.2.S-ի համապատասխան մասերը։</w:t>
      </w:r>
    </w:p>
    <w:p w14:paraId="2850176A" w14:textId="77777777" w:rsidR="008C76E0" w:rsidRPr="00BD7577" w:rsidRDefault="008C76E0" w:rsidP="0074785B">
      <w:pPr>
        <w:tabs>
          <w:tab w:val="left" w:pos="3119"/>
        </w:tabs>
        <w:spacing w:after="160" w:line="360" w:lineRule="auto"/>
        <w:ind w:left="2693" w:right="-1"/>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Ակտիվ դեղագործական բաղադրամասի յուրաքանչյուր մաստեր-ֆայլի (ԱԴԲՄՖ) համար կազմվում է առանձին փորձագիտական հաշվետվություն:</w:t>
      </w:r>
    </w:p>
    <w:p w14:paraId="239EFB1A" w14:textId="77777777" w:rsidR="008C76E0" w:rsidRPr="00BD7577" w:rsidRDefault="008C76E0" w:rsidP="0074785B">
      <w:pPr>
        <w:tabs>
          <w:tab w:val="left" w:pos="3119"/>
        </w:tabs>
        <w:spacing w:after="160" w:line="360" w:lineRule="auto"/>
        <w:ind w:left="2693" w:right="-1"/>
        <w:jc w:val="both"/>
        <w:rPr>
          <w:rFonts w:ascii="Sylfaen" w:hAnsi="Sylfaen"/>
          <w:sz w:val="24"/>
          <w:szCs w:val="24"/>
        </w:rPr>
      </w:pPr>
      <w:r w:rsidRPr="00BD7577">
        <w:rPr>
          <w:rFonts w:ascii="Sylfaen" w:hAnsi="Sylfaen"/>
          <w:sz w:val="24"/>
          <w:szCs w:val="24"/>
        </w:rPr>
        <w:lastRenderedPageBreak/>
        <w:t>3.</w:t>
      </w:r>
      <w:r w:rsidRPr="00BD7577">
        <w:rPr>
          <w:rFonts w:ascii="Sylfaen" w:hAnsi="Sylfaen"/>
          <w:sz w:val="24"/>
          <w:szCs w:val="24"/>
        </w:rPr>
        <w:tab/>
        <w:t>Տվյալ հաշվետվությունը չի ուղարկվում գրանցման հավաստագրի իրավատիրոջը, այլ միայն ԱԴԲ-ի համապատասխան արտադրողին/ԱԴԲՄՖ-ի իրավատիրոջը։</w:t>
      </w:r>
    </w:p>
    <w:p w14:paraId="2513D3C3" w14:textId="77777777" w:rsidR="008C76E0" w:rsidRPr="00BD7577" w:rsidRDefault="008C76E0" w:rsidP="0074785B">
      <w:pPr>
        <w:tabs>
          <w:tab w:val="left" w:pos="3119"/>
        </w:tabs>
        <w:spacing w:after="160" w:line="360" w:lineRule="auto"/>
        <w:ind w:left="2693"/>
        <w:jc w:val="both"/>
        <w:rPr>
          <w:rFonts w:ascii="Sylfaen" w:hAnsi="Sylfaen"/>
          <w:sz w:val="24"/>
          <w:szCs w:val="24"/>
        </w:rPr>
      </w:pPr>
      <w:r w:rsidRPr="00BD7577">
        <w:rPr>
          <w:rFonts w:ascii="Sylfaen" w:hAnsi="Sylfaen"/>
          <w:sz w:val="24"/>
          <w:szCs w:val="24"/>
        </w:rPr>
        <w:t>4.</w:t>
      </w:r>
      <w:r w:rsidRPr="00BD7577">
        <w:rPr>
          <w:rFonts w:ascii="Sylfaen" w:hAnsi="Sylfaen"/>
          <w:sz w:val="24"/>
          <w:szCs w:val="24"/>
        </w:rPr>
        <w:tab/>
        <w:t>Կոնկրետ դեղապատրաստուկների վերաբերյալ հասանելիության թույլտվությունները նկարագրվում են ուսումնասիրվող դեղապատրաստուկի որակի ասպեկտների կրիտիկական գնահատման վերաբերյալ փորձագիտական հաշվետվության մեջ։</w:t>
      </w:r>
    </w:p>
    <w:p w14:paraId="04AFA5FA" w14:textId="77777777" w:rsidR="008C76E0" w:rsidRPr="00BD7577" w:rsidRDefault="008C76E0" w:rsidP="0074785B">
      <w:pPr>
        <w:tabs>
          <w:tab w:val="left" w:pos="3119"/>
        </w:tabs>
        <w:spacing w:after="160" w:line="360" w:lineRule="auto"/>
        <w:ind w:left="2693"/>
        <w:jc w:val="both"/>
        <w:rPr>
          <w:rFonts w:ascii="Sylfaen" w:hAnsi="Sylfaen"/>
          <w:sz w:val="24"/>
          <w:szCs w:val="24"/>
        </w:rPr>
      </w:pPr>
    </w:p>
    <w:p w14:paraId="617F1BE5" w14:textId="77777777" w:rsidR="008C76E0" w:rsidRPr="00BD7577" w:rsidRDefault="008C76E0" w:rsidP="0074785B">
      <w:pPr>
        <w:tabs>
          <w:tab w:val="left" w:pos="1701"/>
        </w:tabs>
        <w:spacing w:after="160" w:line="360" w:lineRule="auto"/>
        <w:ind w:right="565" w:firstLine="567"/>
        <w:jc w:val="center"/>
        <w:rPr>
          <w:rFonts w:ascii="Sylfaen" w:hAnsi="Sylfaen"/>
          <w:sz w:val="24"/>
          <w:szCs w:val="24"/>
        </w:rPr>
      </w:pPr>
      <w:r>
        <w:rPr>
          <w:rFonts w:ascii="Sylfaen" w:hAnsi="Sylfaen"/>
          <w:sz w:val="24"/>
          <w:szCs w:val="24"/>
        </w:rPr>
        <w:t>10.2.</w:t>
      </w:r>
      <w:r w:rsidRPr="00C06C9D">
        <w:rPr>
          <w:rFonts w:ascii="Sylfaen" w:hAnsi="Sylfaen"/>
          <w:sz w:val="24"/>
          <w:szCs w:val="24"/>
        </w:rPr>
        <w:t xml:space="preserve"> </w:t>
      </w:r>
      <w:r w:rsidRPr="00BD7577">
        <w:rPr>
          <w:rFonts w:ascii="Sylfaen" w:hAnsi="Sylfaen"/>
          <w:sz w:val="24"/>
          <w:szCs w:val="24"/>
        </w:rPr>
        <w:t xml:space="preserve">ԱԴԲՄՖ-ի՝ հայտատուին հասանելի մասին վերաբերող փորձագիտական հաշվետվությունը </w:t>
      </w:r>
      <w:r w:rsidR="00C54D75">
        <w:rPr>
          <w:rFonts w:ascii="Sylfaen" w:hAnsi="Sylfaen"/>
          <w:sz w:val="24"/>
          <w:szCs w:val="24"/>
        </w:rPr>
        <w:t>և</w:t>
      </w:r>
      <w:r w:rsidRPr="00BD7577">
        <w:rPr>
          <w:rFonts w:ascii="Sylfaen" w:hAnsi="Sylfaen"/>
          <w:sz w:val="24"/>
          <w:szCs w:val="24"/>
        </w:rPr>
        <w:t xml:space="preserve"> հարցերը</w:t>
      </w:r>
    </w:p>
    <w:p w14:paraId="645E033F" w14:textId="77777777" w:rsidR="008C76E0" w:rsidRPr="00BD7577" w:rsidRDefault="008C76E0" w:rsidP="00D91652">
      <w:pPr>
        <w:spacing w:after="160" w:line="336" w:lineRule="auto"/>
        <w:ind w:firstLine="567"/>
        <w:jc w:val="both"/>
        <w:rPr>
          <w:rFonts w:ascii="Sylfaen" w:hAnsi="Sylfaen"/>
          <w:sz w:val="24"/>
          <w:szCs w:val="24"/>
        </w:rPr>
      </w:pPr>
      <w:r w:rsidRPr="00BD7577">
        <w:rPr>
          <w:rFonts w:ascii="Sylfaen" w:hAnsi="Sylfaen"/>
          <w:sz w:val="24"/>
          <w:szCs w:val="24"/>
        </w:rPr>
        <w:t>Սույն հաշվետվությունը վերաբերում է բացառապես ԱԴԲՄՖ-ին։ Այնուամենայնիվ, այն անհրաժեշտ է միշտ դիտարկել այն դեղապատրաստուկի գրանցման դոսյեի կրիտիկական գնահատման վերաբերյալ փորձագիտական հաշվետվության (փորձագիտական հաշվետվությունների) հետ միասին, որին դա (դրանք) վերաբերում է (վերաբերում են)։</w:t>
      </w:r>
    </w:p>
    <w:p w14:paraId="05AF66AD" w14:textId="77777777" w:rsidR="008C76E0" w:rsidRPr="00BD7577" w:rsidRDefault="008C76E0" w:rsidP="00D91652">
      <w:pPr>
        <w:spacing w:after="160" w:line="336" w:lineRule="auto"/>
        <w:ind w:right="-1" w:firstLine="567"/>
        <w:jc w:val="both"/>
        <w:rPr>
          <w:rFonts w:ascii="Sylfaen" w:hAnsi="Sylfaen"/>
          <w:sz w:val="24"/>
          <w:szCs w:val="24"/>
        </w:rPr>
      </w:pPr>
      <w:r w:rsidRPr="00C06C9D">
        <w:rPr>
          <w:rFonts w:ascii="Sylfaen" w:hAnsi="Sylfaen"/>
          <w:spacing w:val="-4"/>
          <w:sz w:val="24"/>
          <w:szCs w:val="24"/>
        </w:rPr>
        <w:t>ԱԴԲՄՖ-ն ընդհանուր տեխնիկական փաստաթղթի ձ</w:t>
      </w:r>
      <w:r w:rsidR="00C54D75">
        <w:rPr>
          <w:rFonts w:ascii="Sylfaen" w:hAnsi="Sylfaen"/>
          <w:spacing w:val="-4"/>
          <w:sz w:val="24"/>
          <w:szCs w:val="24"/>
        </w:rPr>
        <w:t>և</w:t>
      </w:r>
      <w:r w:rsidRPr="00C06C9D">
        <w:rPr>
          <w:rFonts w:ascii="Sylfaen" w:hAnsi="Sylfaen"/>
          <w:spacing w:val="-4"/>
          <w:sz w:val="24"/>
          <w:szCs w:val="24"/>
        </w:rPr>
        <w:t>աչափով տրամադրվել է (ԱԴԲՄՖ-ի իրավատիրոջ</w:t>
      </w:r>
      <w:r w:rsidRPr="00BD7577">
        <w:rPr>
          <w:rFonts w:ascii="Sylfaen" w:hAnsi="Sylfaen"/>
          <w:sz w:val="24"/>
          <w:szCs w:val="24"/>
        </w:rPr>
        <w:t xml:space="preserve"> կողմից) (ԱԴԲ) հետ</w:t>
      </w:r>
      <w:r w:rsidR="00C54D75">
        <w:rPr>
          <w:rFonts w:ascii="Sylfaen" w:hAnsi="Sylfaen"/>
          <w:sz w:val="24"/>
          <w:szCs w:val="24"/>
        </w:rPr>
        <w:t>և</w:t>
      </w:r>
      <w:r w:rsidRPr="00BD7577">
        <w:rPr>
          <w:rFonts w:ascii="Sylfaen" w:hAnsi="Sylfaen"/>
          <w:sz w:val="24"/>
          <w:szCs w:val="24"/>
        </w:rPr>
        <w:t>յալի համար՝</w:t>
      </w:r>
    </w:p>
    <w:p w14:paraId="3502A5B5" w14:textId="77777777" w:rsidR="008C76E0" w:rsidRPr="008C76E0" w:rsidRDefault="008C76E0" w:rsidP="00D91652">
      <w:pPr>
        <w:pStyle w:val="Bodytext70"/>
        <w:shd w:val="clear" w:color="auto" w:fill="auto"/>
        <w:spacing w:before="0" w:after="160" w:line="336" w:lineRule="auto"/>
        <w:ind w:right="-1"/>
        <w:jc w:val="center"/>
        <w:rPr>
          <w:rFonts w:ascii="Sylfaen" w:hAnsi="Sylfaen"/>
          <w:b w:val="0"/>
          <w:sz w:val="24"/>
          <w:szCs w:val="24"/>
          <w:lang w:val="hy-AM"/>
        </w:rPr>
      </w:pPr>
      <w:r w:rsidRPr="008C76E0">
        <w:rPr>
          <w:rFonts w:ascii="Sylfaen" w:hAnsi="Sylfaen"/>
          <w:b w:val="0"/>
          <w:sz w:val="24"/>
          <w:szCs w:val="24"/>
          <w:lang w:val="hy-AM"/>
        </w:rPr>
        <w:t>{Հայտատուի մասի տարբերակի համարը}</w:t>
      </w:r>
    </w:p>
    <w:p w14:paraId="419BE6B2" w14:textId="77777777" w:rsidR="008C76E0" w:rsidRPr="008C76E0" w:rsidRDefault="008C76E0" w:rsidP="00D91652">
      <w:pPr>
        <w:pStyle w:val="Bodytext70"/>
        <w:shd w:val="clear" w:color="auto" w:fill="auto"/>
        <w:spacing w:before="0" w:after="160" w:line="336" w:lineRule="auto"/>
        <w:ind w:right="-1"/>
        <w:jc w:val="center"/>
        <w:rPr>
          <w:rFonts w:ascii="Sylfaen" w:hAnsi="Sylfaen"/>
          <w:b w:val="0"/>
          <w:sz w:val="24"/>
          <w:szCs w:val="24"/>
          <w:lang w:val="hy-AM"/>
        </w:rPr>
      </w:pPr>
      <w:r w:rsidRPr="008C76E0">
        <w:rPr>
          <w:rFonts w:ascii="Sylfaen" w:hAnsi="Sylfaen"/>
          <w:b w:val="0"/>
          <w:sz w:val="24"/>
          <w:szCs w:val="24"/>
          <w:lang w:val="hy-AM"/>
        </w:rPr>
        <w:t>{Փակ մասի տարբերակի համարը}</w:t>
      </w:r>
    </w:p>
    <w:p w14:paraId="14EE219E" w14:textId="77777777" w:rsidR="008C76E0" w:rsidRPr="00E15E7D" w:rsidRDefault="008C76E0" w:rsidP="0074785B">
      <w:pPr>
        <w:widowControl/>
        <w:spacing w:after="160" w:line="360" w:lineRule="auto"/>
        <w:rPr>
          <w:rFonts w:ascii="Sylfaen" w:eastAsia="Times New Roman" w:hAnsi="Sylfaen" w:cs="Times New Roman"/>
          <w:sz w:val="24"/>
          <w:szCs w:val="24"/>
        </w:rPr>
      </w:pPr>
    </w:p>
    <w:p w14:paraId="0E8C73E8" w14:textId="77777777" w:rsidR="008C76E0" w:rsidRPr="00BD7577" w:rsidRDefault="008C76E0" w:rsidP="0074785B">
      <w:pPr>
        <w:tabs>
          <w:tab w:val="left" w:pos="1276"/>
        </w:tabs>
        <w:spacing w:after="160" w:line="360" w:lineRule="auto"/>
        <w:ind w:right="-1" w:firstLine="567"/>
        <w:jc w:val="center"/>
        <w:rPr>
          <w:rFonts w:ascii="Sylfaen" w:hAnsi="Sylfaen"/>
          <w:sz w:val="24"/>
          <w:szCs w:val="24"/>
        </w:rPr>
      </w:pPr>
      <w:r>
        <w:rPr>
          <w:rFonts w:ascii="Sylfaen" w:hAnsi="Sylfaen"/>
          <w:sz w:val="24"/>
          <w:szCs w:val="24"/>
        </w:rPr>
        <w:t>S.1</w:t>
      </w:r>
      <w:r w:rsidRPr="007106A3">
        <w:rPr>
          <w:rFonts w:ascii="Sylfaen" w:hAnsi="Sylfaen"/>
          <w:sz w:val="24"/>
          <w:szCs w:val="24"/>
        </w:rPr>
        <w:t xml:space="preserve"> </w:t>
      </w:r>
      <w:r w:rsidRPr="00BD7577">
        <w:rPr>
          <w:rFonts w:ascii="Sylfaen" w:hAnsi="Sylfaen"/>
          <w:sz w:val="24"/>
          <w:szCs w:val="24"/>
        </w:rPr>
        <w:t>Ընդհանուր տեղեկատվություն։</w:t>
      </w:r>
    </w:p>
    <w:p w14:paraId="3D474607" w14:textId="77777777" w:rsidR="008C76E0" w:rsidRPr="00BD7577" w:rsidRDefault="008C76E0" w:rsidP="0074785B">
      <w:pPr>
        <w:spacing w:after="160" w:line="360" w:lineRule="auto"/>
        <w:rPr>
          <w:rFonts w:ascii="Sylfaen" w:hAnsi="Sylfaen"/>
          <w:sz w:val="24"/>
          <w:szCs w:val="24"/>
        </w:rPr>
      </w:pPr>
      <w:r w:rsidRPr="00BD7577">
        <w:rPr>
          <w:rFonts w:ascii="Sylfaen" w:hAnsi="Sylfaen"/>
          <w:sz w:val="24"/>
          <w:szCs w:val="24"/>
        </w:rPr>
        <w:t>___________________________________________________________________________</w:t>
      </w:r>
    </w:p>
    <w:p w14:paraId="72563D9A" w14:textId="77777777" w:rsidR="008C76E0" w:rsidRPr="00BD7577" w:rsidRDefault="008C76E0" w:rsidP="0074785B">
      <w:pPr>
        <w:spacing w:after="160" w:line="360" w:lineRule="auto"/>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1862C96" w14:textId="77777777" w:rsidR="008C76E0" w:rsidRPr="00BD7577" w:rsidRDefault="008C76E0" w:rsidP="0074785B">
      <w:pPr>
        <w:spacing w:after="160" w:line="360" w:lineRule="auto"/>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696935" w14:textId="77777777" w:rsidR="008C76E0" w:rsidRPr="00DD61E4" w:rsidRDefault="008C76E0" w:rsidP="00D23305">
      <w:pPr>
        <w:tabs>
          <w:tab w:val="left" w:pos="1134"/>
        </w:tabs>
        <w:spacing w:after="160" w:line="384" w:lineRule="auto"/>
        <w:ind w:right="-1" w:firstLine="567"/>
        <w:jc w:val="center"/>
        <w:rPr>
          <w:rFonts w:ascii="Sylfaen" w:hAnsi="Sylfaen"/>
          <w:sz w:val="24"/>
          <w:szCs w:val="24"/>
        </w:rPr>
      </w:pPr>
      <w:r>
        <w:rPr>
          <w:rFonts w:ascii="Sylfaen" w:hAnsi="Sylfaen"/>
          <w:sz w:val="24"/>
          <w:szCs w:val="24"/>
        </w:rPr>
        <w:lastRenderedPageBreak/>
        <w:t>S.2</w:t>
      </w:r>
      <w:r w:rsidRPr="007106A3">
        <w:rPr>
          <w:rFonts w:ascii="Sylfaen" w:hAnsi="Sylfaen"/>
          <w:sz w:val="24"/>
          <w:szCs w:val="24"/>
        </w:rPr>
        <w:t xml:space="preserve"> </w:t>
      </w:r>
      <w:r w:rsidRPr="00BD7577">
        <w:rPr>
          <w:rFonts w:ascii="Sylfaen" w:hAnsi="Sylfaen"/>
          <w:sz w:val="24"/>
          <w:szCs w:val="24"/>
        </w:rPr>
        <w:t>Արտադրությունը։</w:t>
      </w:r>
    </w:p>
    <w:p w14:paraId="3DF5F3B1"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S.2.1.</w:t>
      </w:r>
      <w:r w:rsidRPr="00BD7577">
        <w:rPr>
          <w:rFonts w:ascii="Sylfaen" w:hAnsi="Sylfaen"/>
          <w:sz w:val="24"/>
          <w:szCs w:val="24"/>
        </w:rPr>
        <w:tab/>
        <w:t>Արտադրողը (ԱԴԲ-ն արտադրողի անվանումն ու հասցեն)։</w:t>
      </w:r>
    </w:p>
    <w:p w14:paraId="1F92942F" w14:textId="77777777" w:rsidR="008C76E0" w:rsidRPr="00BD7577" w:rsidRDefault="008C76E0" w:rsidP="00D23305">
      <w:pPr>
        <w:spacing w:after="160" w:line="384" w:lineRule="auto"/>
        <w:rPr>
          <w:rFonts w:ascii="Sylfaen" w:hAnsi="Sylfaen"/>
          <w:sz w:val="24"/>
          <w:szCs w:val="24"/>
        </w:rPr>
      </w:pPr>
      <w:r w:rsidRPr="00BD7577">
        <w:rPr>
          <w:rFonts w:ascii="Sylfaen" w:hAnsi="Sylfaen"/>
          <w:sz w:val="24"/>
          <w:szCs w:val="24"/>
        </w:rPr>
        <w:t>___________________________________________________________________________</w:t>
      </w:r>
    </w:p>
    <w:p w14:paraId="554BA278" w14:textId="77777777" w:rsidR="008C76E0" w:rsidRPr="00BD7577" w:rsidRDefault="008C76E0" w:rsidP="00D23305">
      <w:pPr>
        <w:spacing w:after="160" w:line="384" w:lineRule="auto"/>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1A4B5CD" w14:textId="77777777" w:rsidR="008C76E0" w:rsidRPr="00BD7577" w:rsidRDefault="008C76E0" w:rsidP="00D23305">
      <w:pPr>
        <w:spacing w:after="160" w:line="384" w:lineRule="auto"/>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6DF5C01"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S.2.2.</w:t>
      </w:r>
      <w:r w:rsidRPr="00BD7577">
        <w:rPr>
          <w:rFonts w:ascii="Sylfaen" w:hAnsi="Sylfaen"/>
          <w:sz w:val="24"/>
          <w:szCs w:val="24"/>
        </w:rPr>
        <w:tab/>
        <w:t xml:space="preserve">Արտադրական գործընթացի </w:t>
      </w:r>
      <w:r w:rsidR="00C54D75">
        <w:rPr>
          <w:rFonts w:ascii="Sylfaen" w:hAnsi="Sylfaen"/>
          <w:sz w:val="24"/>
          <w:szCs w:val="24"/>
        </w:rPr>
        <w:t>և</w:t>
      </w:r>
      <w:r w:rsidRPr="00BD7577">
        <w:rPr>
          <w:rFonts w:ascii="Sylfaen" w:hAnsi="Sylfaen"/>
          <w:sz w:val="24"/>
          <w:szCs w:val="24"/>
        </w:rPr>
        <w:t xml:space="preserve"> դրա հսկողության նկարագրությունը (համառոտ ամփոփումը)։</w:t>
      </w:r>
    </w:p>
    <w:p w14:paraId="31D966BC" w14:textId="77777777" w:rsidR="008C76E0" w:rsidRPr="00BD7577" w:rsidRDefault="008C76E0" w:rsidP="00D23305">
      <w:pPr>
        <w:spacing w:after="160" w:line="384" w:lineRule="auto"/>
        <w:rPr>
          <w:rFonts w:ascii="Sylfaen" w:hAnsi="Sylfaen"/>
          <w:sz w:val="24"/>
          <w:szCs w:val="24"/>
        </w:rPr>
      </w:pPr>
      <w:r w:rsidRPr="00BD7577">
        <w:rPr>
          <w:rFonts w:ascii="Sylfaen" w:hAnsi="Sylfaen"/>
          <w:sz w:val="24"/>
          <w:szCs w:val="24"/>
        </w:rPr>
        <w:t>___________________________________________________________________________</w:t>
      </w:r>
    </w:p>
    <w:p w14:paraId="7C470200" w14:textId="77777777" w:rsidR="008C76E0" w:rsidRPr="00BD7577" w:rsidRDefault="008C76E0" w:rsidP="00D23305">
      <w:pPr>
        <w:spacing w:after="160" w:line="384" w:lineRule="auto"/>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B24B3AF" w14:textId="77777777" w:rsidR="008C76E0" w:rsidRPr="00BD7577" w:rsidRDefault="008C76E0" w:rsidP="0074785B">
      <w:pPr>
        <w:spacing w:after="160" w:line="360" w:lineRule="auto"/>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A0E19D0" w14:textId="77777777" w:rsidR="008C76E0" w:rsidRPr="007106A3" w:rsidRDefault="008C76E0" w:rsidP="00D23305">
      <w:pPr>
        <w:tabs>
          <w:tab w:val="left" w:pos="1134"/>
        </w:tabs>
        <w:spacing w:after="160" w:line="384" w:lineRule="auto"/>
        <w:ind w:right="-1" w:firstLine="567"/>
        <w:jc w:val="center"/>
        <w:rPr>
          <w:rFonts w:ascii="Sylfaen" w:hAnsi="Sylfaen"/>
          <w:sz w:val="24"/>
          <w:szCs w:val="24"/>
        </w:rPr>
      </w:pPr>
    </w:p>
    <w:p w14:paraId="6A012736" w14:textId="77777777" w:rsidR="008C76E0" w:rsidRPr="00BD7577" w:rsidRDefault="008C76E0" w:rsidP="00D23305">
      <w:pPr>
        <w:tabs>
          <w:tab w:val="left" w:pos="1134"/>
        </w:tabs>
        <w:spacing w:after="160" w:line="384" w:lineRule="auto"/>
        <w:ind w:right="-1" w:firstLine="567"/>
        <w:jc w:val="center"/>
        <w:rPr>
          <w:rFonts w:ascii="Sylfaen" w:hAnsi="Sylfaen"/>
          <w:sz w:val="24"/>
          <w:szCs w:val="24"/>
        </w:rPr>
      </w:pPr>
      <w:r w:rsidRPr="00BD7577">
        <w:rPr>
          <w:rFonts w:ascii="Sylfaen" w:hAnsi="Sylfaen"/>
          <w:sz w:val="24"/>
          <w:szCs w:val="24"/>
        </w:rPr>
        <w:t>S.3.</w:t>
      </w:r>
      <w:r w:rsidRPr="00BD7577">
        <w:rPr>
          <w:rFonts w:ascii="Sylfaen" w:hAnsi="Sylfaen"/>
          <w:sz w:val="24"/>
          <w:szCs w:val="24"/>
        </w:rPr>
        <w:tab/>
        <w:t>Բնութագրերի նկարագրությունը։</w:t>
      </w:r>
    </w:p>
    <w:p w14:paraId="494A3CFA" w14:textId="77777777" w:rsidR="008C76E0" w:rsidRPr="00BD7577" w:rsidRDefault="008C76E0" w:rsidP="00D23305">
      <w:pPr>
        <w:spacing w:after="160" w:line="384" w:lineRule="auto"/>
        <w:rPr>
          <w:rFonts w:ascii="Sylfaen" w:hAnsi="Sylfaen"/>
          <w:sz w:val="24"/>
          <w:szCs w:val="24"/>
        </w:rPr>
      </w:pPr>
      <w:r w:rsidRPr="00BD7577">
        <w:rPr>
          <w:rFonts w:ascii="Sylfaen" w:hAnsi="Sylfaen"/>
          <w:sz w:val="24"/>
          <w:szCs w:val="24"/>
        </w:rPr>
        <w:t>___________________________________________________________________________</w:t>
      </w:r>
    </w:p>
    <w:p w14:paraId="40120E0C" w14:textId="77777777" w:rsidR="008C76E0" w:rsidRPr="00BD7577" w:rsidRDefault="008C76E0" w:rsidP="00D23305">
      <w:pPr>
        <w:spacing w:after="160" w:line="384" w:lineRule="auto"/>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FB1CA4A" w14:textId="77777777" w:rsidR="008C76E0" w:rsidRPr="00BD7577" w:rsidRDefault="008C76E0" w:rsidP="00D23305">
      <w:pPr>
        <w:spacing w:after="160" w:line="384" w:lineRule="auto"/>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2AA29E3"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S.3.1.</w:t>
      </w:r>
      <w:r w:rsidRPr="00BD7577">
        <w:rPr>
          <w:rFonts w:ascii="Sylfaen" w:hAnsi="Sylfaen"/>
          <w:sz w:val="24"/>
          <w:szCs w:val="24"/>
        </w:rPr>
        <w:tab/>
        <w:t xml:space="preserve">Կառուցվածքի </w:t>
      </w:r>
      <w:r w:rsidR="00C54D75">
        <w:rPr>
          <w:rFonts w:ascii="Sylfaen" w:hAnsi="Sylfaen"/>
          <w:sz w:val="24"/>
          <w:szCs w:val="24"/>
        </w:rPr>
        <w:t>և</w:t>
      </w:r>
      <w:r w:rsidRPr="00BD7577">
        <w:rPr>
          <w:rFonts w:ascii="Sylfaen" w:hAnsi="Sylfaen"/>
          <w:sz w:val="24"/>
          <w:szCs w:val="24"/>
        </w:rPr>
        <w:t xml:space="preserve"> այլ բնութագրերի հաստատումը։ </w:t>
      </w:r>
    </w:p>
    <w:p w14:paraId="4515BB5D" w14:textId="77777777" w:rsidR="008C76E0" w:rsidRPr="00BD7577" w:rsidRDefault="008C76E0" w:rsidP="00D23305">
      <w:pPr>
        <w:spacing w:after="160" w:line="384" w:lineRule="auto"/>
        <w:rPr>
          <w:rFonts w:ascii="Sylfaen" w:hAnsi="Sylfaen"/>
          <w:sz w:val="24"/>
          <w:szCs w:val="24"/>
        </w:rPr>
      </w:pPr>
      <w:r w:rsidRPr="00BD7577">
        <w:rPr>
          <w:rFonts w:ascii="Sylfaen" w:hAnsi="Sylfaen"/>
          <w:sz w:val="24"/>
          <w:szCs w:val="24"/>
        </w:rPr>
        <w:t>___________________________________________________________________________</w:t>
      </w:r>
    </w:p>
    <w:p w14:paraId="6DC1A6B7" w14:textId="77777777" w:rsidR="008C76E0" w:rsidRPr="00BD7577" w:rsidRDefault="008C76E0" w:rsidP="00D23305">
      <w:pPr>
        <w:spacing w:after="160" w:line="384" w:lineRule="auto"/>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925A2B5" w14:textId="77777777" w:rsidR="008C76E0" w:rsidRPr="00BD7577" w:rsidRDefault="008C76E0" w:rsidP="00D23305">
      <w:pPr>
        <w:spacing w:after="160" w:line="384" w:lineRule="auto"/>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3DFC6B4"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S.3.2.</w:t>
      </w:r>
      <w:r w:rsidRPr="00BD7577">
        <w:rPr>
          <w:rFonts w:ascii="Sylfaen" w:hAnsi="Sylfaen"/>
          <w:sz w:val="24"/>
          <w:szCs w:val="24"/>
        </w:rPr>
        <w:tab/>
        <w:t>Խառնուկները։</w:t>
      </w:r>
    </w:p>
    <w:p w14:paraId="6AD6D622" w14:textId="77777777" w:rsidR="008C76E0" w:rsidRPr="00BD7577" w:rsidRDefault="008C76E0" w:rsidP="0074785B">
      <w:pPr>
        <w:spacing w:after="160" w:line="360" w:lineRule="auto"/>
        <w:rPr>
          <w:rFonts w:ascii="Sylfaen" w:hAnsi="Sylfaen"/>
          <w:sz w:val="24"/>
          <w:szCs w:val="24"/>
        </w:rPr>
      </w:pPr>
      <w:r w:rsidRPr="00BD7577">
        <w:rPr>
          <w:rFonts w:ascii="Sylfaen" w:hAnsi="Sylfaen"/>
          <w:sz w:val="24"/>
          <w:szCs w:val="24"/>
        </w:rPr>
        <w:t>___________________________________________________________________________</w:t>
      </w:r>
    </w:p>
    <w:p w14:paraId="4EE1C22C"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45E2FA82"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FB135FA" w14:textId="77777777" w:rsidR="008C76E0" w:rsidRPr="007106A3" w:rsidRDefault="008C76E0" w:rsidP="0074785B">
      <w:pPr>
        <w:tabs>
          <w:tab w:val="left" w:pos="1134"/>
        </w:tabs>
        <w:spacing w:after="160" w:line="360" w:lineRule="auto"/>
        <w:ind w:right="-1" w:firstLine="567"/>
        <w:jc w:val="both"/>
        <w:rPr>
          <w:rFonts w:ascii="Sylfaen" w:hAnsi="Sylfaen"/>
          <w:sz w:val="24"/>
          <w:szCs w:val="24"/>
        </w:rPr>
      </w:pPr>
    </w:p>
    <w:p w14:paraId="3C708F1D" w14:textId="77777777" w:rsidR="008C76E0" w:rsidRPr="00BD7577" w:rsidRDefault="008C76E0" w:rsidP="00D23305">
      <w:pPr>
        <w:tabs>
          <w:tab w:val="left" w:pos="1134"/>
        </w:tabs>
        <w:spacing w:after="160" w:line="384" w:lineRule="auto"/>
        <w:ind w:right="-1" w:firstLine="567"/>
        <w:jc w:val="center"/>
        <w:rPr>
          <w:rFonts w:ascii="Sylfaen" w:hAnsi="Sylfaen"/>
          <w:sz w:val="24"/>
          <w:szCs w:val="24"/>
        </w:rPr>
      </w:pPr>
      <w:r w:rsidRPr="00BD7577">
        <w:rPr>
          <w:rFonts w:ascii="Sylfaen" w:hAnsi="Sylfaen"/>
          <w:sz w:val="24"/>
          <w:szCs w:val="24"/>
        </w:rPr>
        <w:t>S.4.</w:t>
      </w:r>
      <w:r w:rsidRPr="00BD7577">
        <w:rPr>
          <w:rFonts w:ascii="Sylfaen" w:hAnsi="Sylfaen"/>
          <w:sz w:val="24"/>
          <w:szCs w:val="24"/>
        </w:rPr>
        <w:tab/>
        <w:t>Որակի հսկողությունը։</w:t>
      </w:r>
    </w:p>
    <w:p w14:paraId="452F1677" w14:textId="77777777" w:rsidR="008C76E0" w:rsidRPr="00BD7577" w:rsidRDefault="008C76E0" w:rsidP="00D23305">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A7D9F49" w14:textId="77777777" w:rsidR="008C76E0" w:rsidRPr="00BD7577" w:rsidRDefault="008C76E0" w:rsidP="00D23305">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0547503" w14:textId="77777777" w:rsidR="008C76E0" w:rsidRPr="00BD7577" w:rsidRDefault="008C76E0" w:rsidP="00D23305">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199E20"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S.4.1.</w:t>
      </w:r>
      <w:r w:rsidRPr="00BD7577">
        <w:rPr>
          <w:rFonts w:ascii="Sylfaen" w:hAnsi="Sylfaen"/>
          <w:sz w:val="24"/>
          <w:szCs w:val="24"/>
        </w:rPr>
        <w:tab/>
        <w:t>Մասնագիրը։</w:t>
      </w:r>
    </w:p>
    <w:p w14:paraId="48D407A5" w14:textId="77777777" w:rsidR="008C76E0" w:rsidRPr="00BD7577" w:rsidRDefault="008C76E0" w:rsidP="00D23305">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9361AE3" w14:textId="77777777" w:rsidR="008C76E0" w:rsidRPr="00BD7577" w:rsidRDefault="008C76E0" w:rsidP="00D23305">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BB2370D" w14:textId="77777777" w:rsidR="008C76E0" w:rsidRPr="00BD7577" w:rsidRDefault="008C76E0" w:rsidP="00D23305">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EF6DD96" w14:textId="77777777" w:rsidR="008C76E0" w:rsidRPr="00BD7577" w:rsidRDefault="008C76E0" w:rsidP="00D23305">
      <w:pPr>
        <w:tabs>
          <w:tab w:val="left" w:pos="1701"/>
        </w:tabs>
        <w:spacing w:after="160" w:line="384" w:lineRule="auto"/>
        <w:ind w:right="-1" w:firstLine="567"/>
        <w:jc w:val="both"/>
        <w:rPr>
          <w:rFonts w:ascii="Sylfaen" w:hAnsi="Sylfaen"/>
          <w:sz w:val="24"/>
          <w:szCs w:val="24"/>
        </w:rPr>
      </w:pPr>
      <w:r w:rsidRPr="00BD7577">
        <w:rPr>
          <w:rFonts w:ascii="Sylfaen" w:hAnsi="Sylfaen"/>
          <w:sz w:val="24"/>
          <w:szCs w:val="24"/>
        </w:rPr>
        <w:t>S.4.2.</w:t>
      </w:r>
      <w:r w:rsidRPr="00BD7577">
        <w:rPr>
          <w:rFonts w:ascii="Sylfaen" w:hAnsi="Sylfaen"/>
          <w:sz w:val="24"/>
          <w:szCs w:val="24"/>
        </w:rPr>
        <w:tab/>
        <w:t>Վերլուծական մեթոդիկաները։</w:t>
      </w:r>
    </w:p>
    <w:p w14:paraId="5F9FCB09" w14:textId="77777777" w:rsidR="008C76E0" w:rsidRPr="00BD7577" w:rsidRDefault="008C76E0" w:rsidP="00D23305">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03D08BD" w14:textId="77777777" w:rsidR="008C76E0" w:rsidRPr="00BD7577" w:rsidRDefault="008C76E0" w:rsidP="00D23305">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08506CA"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A623BD6" w14:textId="77777777" w:rsidR="008C76E0" w:rsidRPr="00BD7577" w:rsidRDefault="008C76E0" w:rsidP="0074785B">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S.4.3.</w:t>
      </w:r>
      <w:r w:rsidRPr="00BD7577">
        <w:rPr>
          <w:rFonts w:ascii="Sylfaen" w:hAnsi="Sylfaen"/>
          <w:sz w:val="24"/>
          <w:szCs w:val="24"/>
        </w:rPr>
        <w:tab/>
        <w:t xml:space="preserve">Վերլուծական մեթոդիկաների վալիդացումը։ </w:t>
      </w:r>
    </w:p>
    <w:p w14:paraId="059E7363"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ABD4CFF"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B3F96AC"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1841BA1" w14:textId="77777777" w:rsidR="008C76E0" w:rsidRPr="00BD7577" w:rsidRDefault="008C76E0" w:rsidP="0074785B">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S.4.4.</w:t>
      </w:r>
      <w:r w:rsidRPr="00BD7577">
        <w:rPr>
          <w:rFonts w:ascii="Sylfaen" w:hAnsi="Sylfaen"/>
          <w:sz w:val="24"/>
          <w:szCs w:val="24"/>
        </w:rPr>
        <w:tab/>
        <w:t>Սերիաների անալիզները։</w:t>
      </w:r>
    </w:p>
    <w:p w14:paraId="1424AC7C"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w:t>
      </w:r>
      <w:r w:rsidRPr="00DD61E4">
        <w:rPr>
          <w:rFonts w:ascii="Sylfaen" w:hAnsi="Sylfaen"/>
          <w:sz w:val="24"/>
          <w:szCs w:val="24"/>
        </w:rPr>
        <w:t>_____</w:t>
      </w:r>
      <w:r w:rsidRPr="00BD7577">
        <w:rPr>
          <w:rFonts w:ascii="Sylfaen" w:hAnsi="Sylfaen"/>
          <w:sz w:val="24"/>
          <w:szCs w:val="24"/>
        </w:rPr>
        <w:t>__</w:t>
      </w:r>
    </w:p>
    <w:p w14:paraId="5DF9BEFA"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w:t>
      </w:r>
    </w:p>
    <w:p w14:paraId="512063EC"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w:t>
      </w:r>
    </w:p>
    <w:p w14:paraId="62A62C2D" w14:textId="77777777" w:rsidR="008C76E0" w:rsidRPr="00BD7577" w:rsidRDefault="008C76E0" w:rsidP="0074785B">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S.4.5.</w:t>
      </w:r>
      <w:r w:rsidRPr="00BD7577">
        <w:rPr>
          <w:rFonts w:ascii="Sylfaen" w:hAnsi="Sylfaen"/>
          <w:sz w:val="24"/>
          <w:szCs w:val="24"/>
        </w:rPr>
        <w:tab/>
        <w:t>Մասնագրի հիմնավորումը։</w:t>
      </w:r>
    </w:p>
    <w:p w14:paraId="1BF99337"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09168CA"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56DF5FB"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6828DE8" w14:textId="77777777" w:rsidR="008C76E0" w:rsidRPr="007106A3" w:rsidRDefault="008C76E0" w:rsidP="0074785B">
      <w:pPr>
        <w:tabs>
          <w:tab w:val="left" w:pos="1134"/>
        </w:tabs>
        <w:spacing w:after="160" w:line="360" w:lineRule="auto"/>
        <w:ind w:right="-1" w:firstLine="567"/>
        <w:jc w:val="both"/>
        <w:rPr>
          <w:rFonts w:ascii="Sylfaen" w:hAnsi="Sylfaen"/>
          <w:sz w:val="24"/>
          <w:szCs w:val="24"/>
        </w:rPr>
      </w:pPr>
    </w:p>
    <w:p w14:paraId="298AAA2A" w14:textId="77777777" w:rsidR="008C76E0" w:rsidRPr="00BD7577" w:rsidRDefault="008C76E0" w:rsidP="0074785B">
      <w:pPr>
        <w:tabs>
          <w:tab w:val="left" w:pos="1134"/>
        </w:tabs>
        <w:spacing w:after="160" w:line="360" w:lineRule="auto"/>
        <w:ind w:right="-1" w:firstLine="567"/>
        <w:jc w:val="center"/>
        <w:rPr>
          <w:rFonts w:ascii="Sylfaen" w:hAnsi="Sylfaen"/>
          <w:sz w:val="24"/>
          <w:szCs w:val="24"/>
        </w:rPr>
      </w:pPr>
      <w:r>
        <w:rPr>
          <w:rFonts w:ascii="Sylfaen" w:hAnsi="Sylfaen"/>
          <w:sz w:val="24"/>
          <w:szCs w:val="24"/>
        </w:rPr>
        <w:t>S.5.</w:t>
      </w:r>
      <w:r w:rsidRPr="007106A3">
        <w:rPr>
          <w:rFonts w:ascii="Sylfaen" w:hAnsi="Sylfaen"/>
          <w:sz w:val="24"/>
          <w:szCs w:val="24"/>
        </w:rPr>
        <w:t xml:space="preserve"> </w:t>
      </w:r>
      <w:r w:rsidRPr="00BD7577">
        <w:rPr>
          <w:rFonts w:ascii="Sylfaen" w:hAnsi="Sylfaen"/>
          <w:sz w:val="24"/>
          <w:szCs w:val="24"/>
        </w:rPr>
        <w:t>Ստանդարտ նմուշները կամ նյութերը։</w:t>
      </w:r>
    </w:p>
    <w:p w14:paraId="47AEDF87"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AC228D2"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5A4AD8C"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9A2A29C" w14:textId="77777777" w:rsidR="008C76E0" w:rsidRPr="007106A3" w:rsidRDefault="008C76E0" w:rsidP="0074785B">
      <w:pPr>
        <w:tabs>
          <w:tab w:val="left" w:pos="1134"/>
        </w:tabs>
        <w:spacing w:after="160" w:line="360" w:lineRule="auto"/>
        <w:ind w:right="-1" w:firstLine="567"/>
        <w:jc w:val="both"/>
        <w:rPr>
          <w:rFonts w:ascii="Sylfaen" w:hAnsi="Sylfaen"/>
          <w:sz w:val="24"/>
          <w:szCs w:val="24"/>
        </w:rPr>
      </w:pPr>
    </w:p>
    <w:p w14:paraId="2F4510D7" w14:textId="77777777" w:rsidR="008C76E0" w:rsidRPr="00BD7577" w:rsidRDefault="008C76E0" w:rsidP="0074785B">
      <w:pPr>
        <w:tabs>
          <w:tab w:val="left" w:pos="1134"/>
        </w:tabs>
        <w:spacing w:after="160" w:line="360" w:lineRule="auto"/>
        <w:ind w:right="-1" w:firstLine="567"/>
        <w:jc w:val="center"/>
        <w:rPr>
          <w:rFonts w:ascii="Sylfaen" w:hAnsi="Sylfaen"/>
          <w:sz w:val="24"/>
          <w:szCs w:val="24"/>
        </w:rPr>
      </w:pPr>
      <w:r>
        <w:rPr>
          <w:rFonts w:ascii="Sylfaen" w:hAnsi="Sylfaen"/>
          <w:sz w:val="24"/>
          <w:szCs w:val="24"/>
        </w:rPr>
        <w:t>S.6.</w:t>
      </w:r>
      <w:r w:rsidRPr="007106A3">
        <w:rPr>
          <w:rFonts w:ascii="Sylfaen" w:hAnsi="Sylfaen"/>
          <w:sz w:val="24"/>
          <w:szCs w:val="24"/>
        </w:rPr>
        <w:t xml:space="preserve"> </w:t>
      </w:r>
      <w:r w:rsidRPr="00BD7577">
        <w:rPr>
          <w:rFonts w:ascii="Sylfaen" w:hAnsi="Sylfaen"/>
          <w:sz w:val="24"/>
          <w:szCs w:val="24"/>
        </w:rPr>
        <w:t>Փաթեթավորման (խցանափակման) համակարգը։</w:t>
      </w:r>
    </w:p>
    <w:p w14:paraId="07A3DD9A"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4791A16"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4EAA03A"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8118991" w14:textId="77777777" w:rsidR="008C76E0" w:rsidRPr="007106A3" w:rsidRDefault="008C76E0" w:rsidP="0074785B">
      <w:pPr>
        <w:tabs>
          <w:tab w:val="left" w:pos="1134"/>
        </w:tabs>
        <w:spacing w:after="160" w:line="360" w:lineRule="auto"/>
        <w:ind w:right="-1" w:firstLine="567"/>
        <w:jc w:val="center"/>
        <w:rPr>
          <w:rFonts w:ascii="Sylfaen" w:hAnsi="Sylfaen"/>
          <w:sz w:val="24"/>
          <w:szCs w:val="24"/>
        </w:rPr>
      </w:pPr>
    </w:p>
    <w:p w14:paraId="33D757DE" w14:textId="77777777" w:rsidR="008C76E0" w:rsidRPr="00BD7577" w:rsidRDefault="008C76E0" w:rsidP="0074785B">
      <w:pPr>
        <w:tabs>
          <w:tab w:val="left" w:pos="1134"/>
        </w:tabs>
        <w:spacing w:after="160" w:line="360" w:lineRule="auto"/>
        <w:ind w:right="-1" w:firstLine="567"/>
        <w:jc w:val="center"/>
        <w:rPr>
          <w:rFonts w:ascii="Sylfaen" w:hAnsi="Sylfaen"/>
          <w:sz w:val="24"/>
          <w:szCs w:val="24"/>
        </w:rPr>
      </w:pPr>
      <w:r>
        <w:rPr>
          <w:rFonts w:ascii="Sylfaen" w:hAnsi="Sylfaen"/>
          <w:sz w:val="24"/>
          <w:szCs w:val="24"/>
        </w:rPr>
        <w:t>S.7.</w:t>
      </w:r>
      <w:r w:rsidRPr="007106A3">
        <w:rPr>
          <w:rFonts w:ascii="Sylfaen" w:hAnsi="Sylfaen"/>
          <w:sz w:val="24"/>
          <w:szCs w:val="24"/>
        </w:rPr>
        <w:t xml:space="preserve"> </w:t>
      </w:r>
      <w:r w:rsidRPr="00BD7577">
        <w:rPr>
          <w:rFonts w:ascii="Sylfaen" w:hAnsi="Sylfaen"/>
          <w:sz w:val="24"/>
          <w:szCs w:val="24"/>
        </w:rPr>
        <w:t>Կայունությունը։</w:t>
      </w:r>
    </w:p>
    <w:p w14:paraId="6752B178"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A6F2FEB"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68E36B8"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8D5FD58" w14:textId="77777777" w:rsidR="008C76E0" w:rsidRPr="00BD7577" w:rsidRDefault="008C76E0" w:rsidP="0074785B">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S.7.1.</w:t>
      </w:r>
      <w:r w:rsidRPr="00BD7577">
        <w:rPr>
          <w:rFonts w:ascii="Sylfaen" w:hAnsi="Sylfaen"/>
          <w:sz w:val="24"/>
          <w:szCs w:val="24"/>
        </w:rPr>
        <w:tab/>
        <w:t xml:space="preserve">Կայունության փորձարկումների վերաբերյալ ռեզյումեն </w:t>
      </w:r>
      <w:r w:rsidR="00C54D75">
        <w:rPr>
          <w:rFonts w:ascii="Sylfaen" w:hAnsi="Sylfaen"/>
          <w:sz w:val="24"/>
          <w:szCs w:val="24"/>
        </w:rPr>
        <w:t>և</w:t>
      </w:r>
      <w:r w:rsidRPr="00BD7577">
        <w:rPr>
          <w:rFonts w:ascii="Sylfaen" w:hAnsi="Sylfaen"/>
          <w:sz w:val="24"/>
          <w:szCs w:val="24"/>
        </w:rPr>
        <w:t xml:space="preserve"> կայունության վերաբերյալ եզրակացությունը։</w:t>
      </w:r>
    </w:p>
    <w:p w14:paraId="24650445"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lastRenderedPageBreak/>
        <w:t>___________________________________________________________________________</w:t>
      </w:r>
    </w:p>
    <w:p w14:paraId="526182BD"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1E164EE"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E9B0E3" w14:textId="77777777" w:rsidR="008C76E0" w:rsidRPr="00BD7577" w:rsidRDefault="008C76E0" w:rsidP="0074785B">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S.7.2.</w:t>
      </w:r>
      <w:r w:rsidRPr="00BD7577">
        <w:rPr>
          <w:rFonts w:ascii="Sylfaen" w:hAnsi="Sylfaen"/>
          <w:sz w:val="24"/>
          <w:szCs w:val="24"/>
        </w:rPr>
        <w:tab/>
        <w:t xml:space="preserve">Կայունության հետգրանցումային փորձարկումների ծրագիրը </w:t>
      </w:r>
      <w:r w:rsidR="00C54D75">
        <w:rPr>
          <w:rFonts w:ascii="Sylfaen" w:hAnsi="Sylfaen"/>
          <w:sz w:val="24"/>
          <w:szCs w:val="24"/>
        </w:rPr>
        <w:t>և</w:t>
      </w:r>
      <w:r w:rsidRPr="00BD7577">
        <w:rPr>
          <w:rFonts w:ascii="Sylfaen" w:hAnsi="Sylfaen"/>
          <w:sz w:val="24"/>
          <w:szCs w:val="24"/>
        </w:rPr>
        <w:t xml:space="preserve"> կայունությանը վերաբերող պարտավորությունները։</w:t>
      </w:r>
    </w:p>
    <w:p w14:paraId="2633D7AD" w14:textId="77777777" w:rsidR="008C76E0" w:rsidRPr="00BD7577" w:rsidRDefault="008C76E0" w:rsidP="0074785B">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DE5BED9" w14:textId="77777777" w:rsidR="008C76E0" w:rsidRPr="00BD7577" w:rsidRDefault="008C76E0" w:rsidP="0074785B">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1D74ABE" w14:textId="77777777" w:rsidR="008C76E0" w:rsidRPr="00BD7577" w:rsidRDefault="008C76E0" w:rsidP="0074785B">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B5B58E8" w14:textId="77777777" w:rsidR="008C76E0" w:rsidRPr="00BD7577" w:rsidRDefault="008C76E0" w:rsidP="0074785B">
      <w:pPr>
        <w:widowControl/>
        <w:tabs>
          <w:tab w:val="left" w:pos="1701"/>
        </w:tabs>
        <w:spacing w:after="160" w:line="360" w:lineRule="auto"/>
        <w:ind w:firstLine="567"/>
        <w:rPr>
          <w:rFonts w:ascii="Sylfaen" w:hAnsi="Sylfaen"/>
          <w:sz w:val="24"/>
          <w:szCs w:val="24"/>
        </w:rPr>
      </w:pPr>
      <w:r>
        <w:rPr>
          <w:rFonts w:ascii="Sylfaen" w:hAnsi="Sylfaen" w:cs="Times New Roman"/>
          <w:sz w:val="24"/>
          <w:szCs w:val="24"/>
          <w:lang w:bidi="ar-SA"/>
        </w:rPr>
        <w:t>S.7.3</w:t>
      </w:r>
      <w:r w:rsidRPr="00C8249C">
        <w:rPr>
          <w:rFonts w:ascii="Sylfaen" w:hAnsi="Sylfaen" w:cs="Times New Roman"/>
          <w:sz w:val="24"/>
          <w:szCs w:val="24"/>
          <w:lang w:bidi="ar-SA"/>
        </w:rPr>
        <w:tab/>
      </w:r>
      <w:r w:rsidRPr="00BD7577">
        <w:rPr>
          <w:rFonts w:ascii="Sylfaen" w:hAnsi="Sylfaen" w:cs="Times New Roman"/>
          <w:sz w:val="24"/>
          <w:szCs w:val="24"/>
          <w:lang w:bidi="ar-SA"/>
        </w:rPr>
        <w:t>Կայունության մասին փորձարկումների տվյալներ</w:t>
      </w:r>
    </w:p>
    <w:p w14:paraId="1A6E75C1" w14:textId="77777777" w:rsidR="008C76E0" w:rsidRPr="00E15E7D" w:rsidRDefault="008C76E0" w:rsidP="00D23305">
      <w:pPr>
        <w:widowControl/>
        <w:spacing w:after="160" w:line="360" w:lineRule="auto"/>
        <w:rPr>
          <w:rFonts w:ascii="Sylfaen" w:hAnsi="Sylfaen"/>
          <w:sz w:val="24"/>
          <w:szCs w:val="24"/>
        </w:rPr>
      </w:pPr>
    </w:p>
    <w:p w14:paraId="1AA82CCE"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 xml:space="preserve">ԸՆԴՀԱՆՈՒՐ ԵԶՐԱԿԱՑՈՒԹՅՈՒՆԸ՝ </w:t>
      </w:r>
      <w:r w:rsidRPr="00BD7577">
        <w:rPr>
          <w:rFonts w:ascii="Sylfaen" w:hAnsi="Sylfaen"/>
          <w:sz w:val="24"/>
          <w:szCs w:val="24"/>
        </w:rPr>
        <w:br/>
        <w:t>հայտատուի ԱԴԲՄՖ-ի մասի վերաբերյալ</w:t>
      </w:r>
    </w:p>
    <w:p w14:paraId="40CB9D73"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E640A9C"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F7E79A"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77CCC1F" w14:textId="77777777" w:rsidR="008C76E0" w:rsidRPr="007106A3" w:rsidRDefault="008C76E0" w:rsidP="00D23305">
      <w:pPr>
        <w:widowControl/>
        <w:spacing w:after="160" w:line="360" w:lineRule="auto"/>
        <w:rPr>
          <w:rFonts w:ascii="Sylfaen" w:hAnsi="Sylfaen"/>
          <w:sz w:val="24"/>
          <w:szCs w:val="24"/>
        </w:rPr>
      </w:pPr>
    </w:p>
    <w:p w14:paraId="19AF9E8D" w14:textId="77777777" w:rsidR="008C76E0" w:rsidRPr="00BD7577" w:rsidRDefault="008C76E0" w:rsidP="00D23305">
      <w:pPr>
        <w:spacing w:after="160" w:line="360" w:lineRule="auto"/>
        <w:ind w:left="567" w:right="566"/>
        <w:jc w:val="center"/>
        <w:rPr>
          <w:rFonts w:ascii="Sylfaen" w:hAnsi="Sylfaen"/>
          <w:sz w:val="24"/>
          <w:szCs w:val="24"/>
        </w:rPr>
      </w:pPr>
      <w:r w:rsidRPr="00BD7577">
        <w:rPr>
          <w:rFonts w:ascii="Sylfaen" w:hAnsi="Sylfaen"/>
          <w:sz w:val="24"/>
          <w:szCs w:val="24"/>
        </w:rPr>
        <w:t xml:space="preserve">ԴԻՏՈՂՈՒԹՅՈՒՆՆԵՐԻ ՑԱՆԿԸ՝ </w:t>
      </w:r>
      <w:r w:rsidRPr="00BD7577">
        <w:rPr>
          <w:rFonts w:ascii="Sylfaen" w:hAnsi="Sylfaen"/>
          <w:sz w:val="24"/>
          <w:szCs w:val="24"/>
        </w:rPr>
        <w:br/>
        <w:t>հայտատուի ԱԴԲՄՖ-ի մասի վերաբերյալ</w:t>
      </w:r>
    </w:p>
    <w:p w14:paraId="0162402C"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1448D42" w14:textId="77777777" w:rsidR="008C76E0" w:rsidRPr="00BD7577" w:rsidRDefault="008C76E0" w:rsidP="00D23305">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DEBFC70" w14:textId="77777777" w:rsidR="008C76E0" w:rsidRPr="00BD7577" w:rsidRDefault="008C76E0" w:rsidP="00D23305">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1402366" w14:textId="77777777" w:rsidR="008C76E0" w:rsidRPr="00BD7577" w:rsidRDefault="008C76E0" w:rsidP="00D23305">
      <w:pPr>
        <w:spacing w:after="160" w:line="360" w:lineRule="auto"/>
        <w:ind w:right="-1" w:firstLine="567"/>
        <w:jc w:val="both"/>
        <w:rPr>
          <w:rFonts w:ascii="Sylfaen" w:hAnsi="Sylfaen"/>
          <w:sz w:val="24"/>
          <w:szCs w:val="24"/>
        </w:rPr>
      </w:pPr>
      <w:r w:rsidRPr="00BD7577">
        <w:rPr>
          <w:rFonts w:ascii="Sylfaen" w:hAnsi="Sylfaen"/>
          <w:sz w:val="24"/>
          <w:szCs w:val="24"/>
        </w:rPr>
        <w:t>Կրիտիկական դիտողությունները՝</w:t>
      </w:r>
    </w:p>
    <w:p w14:paraId="249AE5EC" w14:textId="77777777" w:rsidR="008C76E0" w:rsidRPr="00BD7577" w:rsidRDefault="008C76E0" w:rsidP="00D23305">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5735311"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1446A632"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56278AB"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Այլ դիտողություններ՝</w:t>
      </w:r>
    </w:p>
    <w:p w14:paraId="5DBC3447"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82E60E3"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64796D1"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71AC2A" w14:textId="77777777" w:rsidR="008C76E0" w:rsidRPr="00E15E7D" w:rsidRDefault="008C76E0" w:rsidP="00240DA3">
      <w:pPr>
        <w:widowControl/>
        <w:spacing w:after="160" w:line="240" w:lineRule="auto"/>
        <w:rPr>
          <w:rFonts w:ascii="Sylfaen" w:hAnsi="Sylfaen"/>
          <w:sz w:val="24"/>
          <w:szCs w:val="24"/>
        </w:rPr>
      </w:pPr>
    </w:p>
    <w:p w14:paraId="7AE691BC" w14:textId="77777777" w:rsidR="008C76E0" w:rsidRPr="00BD7577" w:rsidRDefault="008C76E0" w:rsidP="00240DA3">
      <w:pPr>
        <w:spacing w:after="160" w:line="240" w:lineRule="auto"/>
        <w:ind w:left="567" w:right="566"/>
        <w:jc w:val="center"/>
        <w:rPr>
          <w:rFonts w:ascii="Sylfaen" w:hAnsi="Sylfaen"/>
          <w:sz w:val="24"/>
          <w:szCs w:val="24"/>
        </w:rPr>
      </w:pPr>
      <w:r w:rsidRPr="00BD7577">
        <w:rPr>
          <w:rFonts w:ascii="Sylfaen" w:hAnsi="Sylfaen"/>
          <w:sz w:val="24"/>
          <w:szCs w:val="24"/>
        </w:rPr>
        <w:t>ՊԱՏԱՍԽԱՆՆԵՐԻ ԳՆԱՀԱՏՈՒՄԸ</w:t>
      </w:r>
    </w:p>
    <w:p w14:paraId="7A71C843" w14:textId="77777777" w:rsidR="008C76E0" w:rsidRPr="00BD7577" w:rsidRDefault="008C76E0" w:rsidP="00240DA3">
      <w:pPr>
        <w:spacing w:after="160" w:line="240" w:lineRule="auto"/>
        <w:ind w:left="567" w:right="566"/>
        <w:jc w:val="center"/>
        <w:rPr>
          <w:rFonts w:ascii="Sylfaen" w:hAnsi="Sylfaen"/>
          <w:sz w:val="24"/>
          <w:szCs w:val="24"/>
        </w:rPr>
      </w:pPr>
      <w:r w:rsidRPr="00BD7577">
        <w:rPr>
          <w:rFonts w:ascii="Sylfaen" w:hAnsi="Sylfaen"/>
          <w:sz w:val="24"/>
          <w:szCs w:val="24"/>
        </w:rPr>
        <w:t xml:space="preserve">հայտատուի ԱԴԲՄՖ-ի մասին վերաբերող դիտողությունների </w:t>
      </w:r>
      <w:r w:rsidRPr="00BD7577">
        <w:rPr>
          <w:rFonts w:ascii="Sylfaen" w:hAnsi="Sylfaen"/>
          <w:sz w:val="24"/>
          <w:szCs w:val="24"/>
        </w:rPr>
        <w:br/>
        <w:t>ցանկին տրված</w:t>
      </w:r>
    </w:p>
    <w:p w14:paraId="7A1CB2FD" w14:textId="77777777" w:rsidR="008C76E0" w:rsidRPr="00DD61E4" w:rsidRDefault="008C76E0" w:rsidP="00240DA3">
      <w:pPr>
        <w:spacing w:after="160" w:line="240" w:lineRule="auto"/>
        <w:ind w:right="-1" w:firstLine="567"/>
        <w:rPr>
          <w:rFonts w:ascii="Sylfaen" w:hAnsi="Sylfaen"/>
          <w:sz w:val="24"/>
          <w:szCs w:val="24"/>
        </w:rPr>
      </w:pPr>
      <w:r w:rsidRPr="00BD7577">
        <w:rPr>
          <w:rFonts w:ascii="Sylfaen" w:hAnsi="Sylfaen"/>
          <w:sz w:val="24"/>
          <w:szCs w:val="24"/>
        </w:rPr>
        <w:t>Կրիտիկական դիտողություններ՝</w:t>
      </w:r>
    </w:p>
    <w:p w14:paraId="3A0B8F78" w14:textId="77777777" w:rsidR="008C76E0" w:rsidRPr="00DD61E4" w:rsidRDefault="008C76E0" w:rsidP="00240DA3">
      <w:pPr>
        <w:spacing w:after="160" w:line="240" w:lineRule="auto"/>
        <w:ind w:right="-1" w:firstLine="567"/>
        <w:rPr>
          <w:rFonts w:ascii="Sylfaen" w:hAnsi="Sylfaen"/>
          <w:sz w:val="24"/>
          <w:szCs w:val="24"/>
        </w:rPr>
      </w:pPr>
      <w:r w:rsidRPr="00BD7577">
        <w:rPr>
          <w:rFonts w:ascii="Sylfaen" w:hAnsi="Sylfaen"/>
          <w:sz w:val="24"/>
          <w:szCs w:val="24"/>
        </w:rPr>
        <w:t xml:space="preserve">Հարցը </w:t>
      </w:r>
      <w:r w:rsidRPr="00DD61E4">
        <w:rPr>
          <w:rFonts w:ascii="Sylfaen" w:hAnsi="Sylfaen"/>
          <w:sz w:val="24"/>
          <w:szCs w:val="24"/>
        </w:rPr>
        <w:t>______________________________________________________________________________________________________________________________________________________</w:t>
      </w:r>
    </w:p>
    <w:p w14:paraId="688BB64C"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Հայտատուի հարցի ռեզյումեն </w:t>
      </w:r>
    </w:p>
    <w:p w14:paraId="52DD7B4B"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5CFC57D"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ED80CB2"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Հայտատուի պատասխանի գնահատումը </w:t>
      </w:r>
    </w:p>
    <w:p w14:paraId="216C0306"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7BCC868"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06125B5"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Ընդհանուր ռեզյումեն </w:t>
      </w:r>
      <w:r w:rsidR="00C54D75">
        <w:rPr>
          <w:rFonts w:ascii="Sylfaen" w:hAnsi="Sylfaen"/>
          <w:sz w:val="24"/>
          <w:szCs w:val="24"/>
        </w:rPr>
        <w:t>և</w:t>
      </w:r>
      <w:r w:rsidRPr="00BD7577">
        <w:rPr>
          <w:rFonts w:ascii="Sylfaen" w:hAnsi="Sylfaen"/>
          <w:sz w:val="24"/>
          <w:szCs w:val="24"/>
        </w:rPr>
        <w:t xml:space="preserve"> եզրակացությունը </w:t>
      </w:r>
    </w:p>
    <w:p w14:paraId="19F0681F"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6D73F29"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A9ECFD3"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Այլ դիտողություններ՝</w:t>
      </w:r>
    </w:p>
    <w:p w14:paraId="3997B9E1"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Հարցը </w:t>
      </w:r>
    </w:p>
    <w:p w14:paraId="0CC2B9B1"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55A83AF"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C7A95E3"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Հայտատուի հարցի ռեզյումեն </w:t>
      </w:r>
    </w:p>
    <w:p w14:paraId="25D4D99E"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1AD460E"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F65881D"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lastRenderedPageBreak/>
        <w:t xml:space="preserve">Հայտատուի պատասխանի գնահատումը </w:t>
      </w:r>
    </w:p>
    <w:p w14:paraId="15239249"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0AFB484"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FACF60F" w14:textId="77777777" w:rsidR="008C76E0" w:rsidRPr="00BD7577" w:rsidRDefault="008C76E0" w:rsidP="00240DA3">
      <w:pPr>
        <w:spacing w:after="160" w:line="240" w:lineRule="auto"/>
        <w:ind w:right="-1" w:firstLine="567"/>
        <w:jc w:val="both"/>
        <w:rPr>
          <w:rFonts w:ascii="Sylfaen" w:hAnsi="Sylfaen"/>
          <w:sz w:val="24"/>
          <w:szCs w:val="24"/>
        </w:rPr>
      </w:pPr>
      <w:r w:rsidRPr="00BD7577">
        <w:rPr>
          <w:rFonts w:ascii="Sylfaen" w:hAnsi="Sylfaen"/>
          <w:sz w:val="24"/>
          <w:szCs w:val="24"/>
        </w:rPr>
        <w:t xml:space="preserve">Ընդհանուր ռեզյումեն </w:t>
      </w:r>
      <w:r w:rsidR="00C54D75">
        <w:rPr>
          <w:rFonts w:ascii="Sylfaen" w:hAnsi="Sylfaen"/>
          <w:sz w:val="24"/>
          <w:szCs w:val="24"/>
        </w:rPr>
        <w:t>և</w:t>
      </w:r>
      <w:r w:rsidRPr="00BD7577">
        <w:rPr>
          <w:rFonts w:ascii="Sylfaen" w:hAnsi="Sylfaen"/>
          <w:sz w:val="24"/>
          <w:szCs w:val="24"/>
        </w:rPr>
        <w:t xml:space="preserve"> եզրակացությունը </w:t>
      </w:r>
    </w:p>
    <w:p w14:paraId="69686993"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5A71B38"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6CC25FC" w14:textId="77777777" w:rsidR="008C76E0" w:rsidRPr="007106A3" w:rsidRDefault="008C76E0" w:rsidP="00240DA3">
      <w:pPr>
        <w:widowControl/>
        <w:spacing w:after="160" w:line="240" w:lineRule="auto"/>
        <w:rPr>
          <w:rFonts w:ascii="Sylfaen" w:hAnsi="Sylfaen"/>
          <w:sz w:val="24"/>
          <w:szCs w:val="24"/>
        </w:rPr>
      </w:pPr>
    </w:p>
    <w:p w14:paraId="70DA0AF0" w14:textId="77777777" w:rsidR="008C76E0" w:rsidRPr="00BD7577" w:rsidRDefault="008C76E0" w:rsidP="00240DA3">
      <w:pPr>
        <w:spacing w:after="160" w:line="240" w:lineRule="auto"/>
        <w:ind w:left="567" w:right="566"/>
        <w:jc w:val="center"/>
        <w:rPr>
          <w:rFonts w:ascii="Sylfaen" w:hAnsi="Sylfaen"/>
          <w:sz w:val="24"/>
          <w:szCs w:val="24"/>
        </w:rPr>
      </w:pPr>
      <w:r w:rsidRPr="00BD7577">
        <w:rPr>
          <w:rFonts w:ascii="Sylfaen" w:hAnsi="Sylfaen"/>
          <w:sz w:val="24"/>
          <w:szCs w:val="24"/>
        </w:rPr>
        <w:t xml:space="preserve">ԸՆԴՀԱՆՈՒՐ ԵԶՐԱԿԱՑՈՒԹՅՈՒՆԸ՝ </w:t>
      </w:r>
      <w:r w:rsidRPr="00BD7577">
        <w:rPr>
          <w:rFonts w:ascii="Sylfaen" w:hAnsi="Sylfaen"/>
          <w:sz w:val="24"/>
          <w:szCs w:val="24"/>
        </w:rPr>
        <w:br/>
        <w:t>հայտատուի ԱԴԲՄՖ-ի մասի վերաբերյալ</w:t>
      </w:r>
    </w:p>
    <w:p w14:paraId="77E28395"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7DEE8A2"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D8F7248"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3200F6C"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FFC5EDA"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FCFA903"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C93AD6E"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87150E4"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392574"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15E98D3" w14:textId="77777777" w:rsidR="008C76E0" w:rsidRPr="00BD7577" w:rsidRDefault="008C76E0" w:rsidP="00240DA3">
      <w:pPr>
        <w:spacing w:after="160" w:line="24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519ADA6" w14:textId="77777777" w:rsidR="008C76E0" w:rsidRPr="00BD7577" w:rsidRDefault="008C76E0" w:rsidP="00240DA3">
      <w:pPr>
        <w:spacing w:after="160" w:line="24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27685D" w14:textId="77777777" w:rsidR="008C76E0" w:rsidRPr="00BD7577" w:rsidRDefault="008C76E0" w:rsidP="00240DA3">
      <w:pPr>
        <w:spacing w:after="160" w:line="24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3DB6DF6" w14:textId="77777777" w:rsidR="008C76E0" w:rsidRPr="007106A3" w:rsidRDefault="008C76E0" w:rsidP="00240DA3">
      <w:pPr>
        <w:spacing w:after="160" w:line="240" w:lineRule="auto"/>
        <w:ind w:right="-1"/>
        <w:jc w:val="both"/>
        <w:rPr>
          <w:rFonts w:ascii="Sylfaen" w:hAnsi="Sylfaen"/>
          <w:sz w:val="24"/>
          <w:szCs w:val="24"/>
        </w:rPr>
      </w:pPr>
    </w:p>
    <w:p w14:paraId="3416365B" w14:textId="77777777" w:rsidR="008C76E0" w:rsidRPr="00BD7577" w:rsidRDefault="008C76E0" w:rsidP="00240DA3">
      <w:pPr>
        <w:spacing w:after="160" w:line="360" w:lineRule="auto"/>
        <w:ind w:left="567" w:right="567"/>
        <w:jc w:val="center"/>
        <w:rPr>
          <w:rFonts w:ascii="Sylfaen" w:hAnsi="Sylfaen"/>
          <w:sz w:val="24"/>
          <w:szCs w:val="24"/>
        </w:rPr>
      </w:pPr>
      <w:r>
        <w:rPr>
          <w:rFonts w:ascii="Sylfaen" w:hAnsi="Sylfaen"/>
          <w:sz w:val="24"/>
          <w:szCs w:val="24"/>
        </w:rPr>
        <w:t>10.3.</w:t>
      </w:r>
      <w:r w:rsidRPr="003D47D6">
        <w:rPr>
          <w:rFonts w:ascii="Sylfaen" w:hAnsi="Sylfaen"/>
          <w:sz w:val="24"/>
          <w:szCs w:val="24"/>
        </w:rPr>
        <w:t xml:space="preserve"> </w:t>
      </w:r>
      <w:r w:rsidRPr="00BD7577">
        <w:rPr>
          <w:rFonts w:ascii="Sylfaen" w:hAnsi="Sylfaen"/>
          <w:sz w:val="24"/>
          <w:szCs w:val="24"/>
        </w:rPr>
        <w:t xml:space="preserve">Փորձագիտական հաշվետվությունը </w:t>
      </w:r>
      <w:r w:rsidR="00C54D75">
        <w:rPr>
          <w:rFonts w:ascii="Sylfaen" w:hAnsi="Sylfaen"/>
          <w:sz w:val="24"/>
          <w:szCs w:val="24"/>
        </w:rPr>
        <w:t>և</w:t>
      </w:r>
      <w:r w:rsidRPr="00BD7577">
        <w:rPr>
          <w:rFonts w:ascii="Sylfaen" w:hAnsi="Sylfaen"/>
          <w:sz w:val="24"/>
          <w:szCs w:val="24"/>
        </w:rPr>
        <w:t xml:space="preserve"> ԱԴԲՄՖ-ի՝ </w:t>
      </w:r>
      <w:r w:rsidRPr="00BD7577">
        <w:rPr>
          <w:rFonts w:ascii="Sylfaen" w:hAnsi="Sylfaen"/>
          <w:sz w:val="24"/>
          <w:szCs w:val="24"/>
        </w:rPr>
        <w:br/>
        <w:t>հայտատուի համար փակ մասին վերաբերող հարցերը</w:t>
      </w:r>
    </w:p>
    <w:p w14:paraId="53301F8B" w14:textId="77777777" w:rsidR="008C76E0" w:rsidRPr="00BD7577" w:rsidRDefault="008C76E0" w:rsidP="008C76E0">
      <w:pPr>
        <w:spacing w:line="336" w:lineRule="auto"/>
        <w:ind w:left="567" w:right="567"/>
        <w:jc w:val="center"/>
        <w:rPr>
          <w:rFonts w:ascii="Sylfaen" w:hAnsi="Sylfaen"/>
          <w:sz w:val="24"/>
          <w:szCs w:val="24"/>
        </w:rPr>
      </w:pPr>
    </w:p>
    <w:p w14:paraId="7836F335" w14:textId="77777777" w:rsidR="008C76E0" w:rsidRPr="00BD7577" w:rsidRDefault="008C76E0" w:rsidP="00060EF9">
      <w:pPr>
        <w:spacing w:after="160" w:line="360" w:lineRule="auto"/>
        <w:ind w:left="567" w:right="567"/>
        <w:jc w:val="center"/>
        <w:rPr>
          <w:rFonts w:ascii="Sylfaen" w:hAnsi="Sylfaen"/>
          <w:sz w:val="24"/>
          <w:szCs w:val="24"/>
        </w:rPr>
      </w:pPr>
      <w:r w:rsidRPr="00BD7577">
        <w:rPr>
          <w:rFonts w:ascii="Sylfaen" w:hAnsi="Sylfaen"/>
          <w:sz w:val="24"/>
          <w:szCs w:val="24"/>
        </w:rPr>
        <w:t>ԳԱՂՏՆԻ Է</w:t>
      </w:r>
    </w:p>
    <w:p w14:paraId="6F1D1EAE" w14:textId="77777777" w:rsidR="008C76E0" w:rsidRPr="00BD7577" w:rsidRDefault="008C76E0" w:rsidP="00060EF9">
      <w:pPr>
        <w:spacing w:after="160" w:line="360" w:lineRule="auto"/>
        <w:ind w:left="567" w:right="567"/>
        <w:jc w:val="center"/>
        <w:rPr>
          <w:rFonts w:ascii="Sylfaen" w:hAnsi="Sylfaen"/>
          <w:sz w:val="24"/>
          <w:szCs w:val="24"/>
        </w:rPr>
      </w:pPr>
      <w:r w:rsidRPr="00BD7577">
        <w:rPr>
          <w:rFonts w:ascii="Sylfaen" w:hAnsi="Sylfaen"/>
          <w:sz w:val="24"/>
          <w:szCs w:val="24"/>
        </w:rPr>
        <w:t>ՉԻ ԹՈՒՅԼԱՏՐՎՈՒՄ ԵԶՐԱԿԱՑՈՒԹՅԱՆ ՍՈՒՅՆ ԲԱԺԻՆԸ ՓՈԽԱՆՑԵԼ ՀԱՅՏԱՏՈւԻՆ</w:t>
      </w:r>
    </w:p>
    <w:p w14:paraId="4B2EDEBD" w14:textId="77777777" w:rsidR="008C76E0" w:rsidRPr="008C76E0" w:rsidRDefault="008C76E0" w:rsidP="00060EF9">
      <w:pPr>
        <w:pStyle w:val="Bodytext70"/>
        <w:shd w:val="clear" w:color="auto" w:fill="auto"/>
        <w:spacing w:before="0" w:after="160" w:line="360" w:lineRule="auto"/>
        <w:ind w:left="567" w:right="567"/>
        <w:jc w:val="center"/>
        <w:rPr>
          <w:rFonts w:ascii="Sylfaen" w:hAnsi="Sylfaen"/>
          <w:b w:val="0"/>
          <w:sz w:val="24"/>
          <w:szCs w:val="24"/>
          <w:lang w:val="hy-AM"/>
        </w:rPr>
      </w:pPr>
      <w:r w:rsidRPr="008C76E0">
        <w:rPr>
          <w:rFonts w:ascii="Sylfaen" w:hAnsi="Sylfaen"/>
          <w:b w:val="0"/>
          <w:sz w:val="24"/>
          <w:szCs w:val="24"/>
          <w:lang w:val="hy-AM"/>
        </w:rPr>
        <w:lastRenderedPageBreak/>
        <w:t>{Գրանցման համարը}</w:t>
      </w:r>
      <w:r w:rsidRPr="00BD7577">
        <w:rPr>
          <w:rStyle w:val="Bodytext295pt"/>
          <w:rFonts w:ascii="Sylfaen" w:hAnsi="Sylfaen"/>
          <w:spacing w:val="0"/>
          <w:sz w:val="24"/>
          <w:szCs w:val="24"/>
        </w:rPr>
        <w:t xml:space="preserve"> (առկայության դեպքում)</w:t>
      </w:r>
    </w:p>
    <w:p w14:paraId="6023D74B" w14:textId="77777777" w:rsidR="008C76E0" w:rsidRPr="008C76E0" w:rsidRDefault="008C76E0" w:rsidP="00060EF9">
      <w:pPr>
        <w:pStyle w:val="Bodytext70"/>
        <w:shd w:val="clear" w:color="auto" w:fill="auto"/>
        <w:spacing w:before="0" w:after="160" w:line="360" w:lineRule="auto"/>
        <w:ind w:left="567" w:right="566"/>
        <w:jc w:val="center"/>
        <w:rPr>
          <w:rFonts w:ascii="Sylfaen" w:hAnsi="Sylfaen"/>
          <w:b w:val="0"/>
          <w:sz w:val="24"/>
          <w:szCs w:val="24"/>
          <w:lang w:val="hy-AM"/>
        </w:rPr>
      </w:pPr>
      <w:r w:rsidRPr="008C76E0">
        <w:rPr>
          <w:rFonts w:ascii="Sylfaen" w:hAnsi="Sylfaen"/>
          <w:b w:val="0"/>
          <w:sz w:val="24"/>
          <w:szCs w:val="24"/>
          <w:lang w:val="hy-AM"/>
        </w:rPr>
        <w:t>{(Հայտատուի մասի տարբերակի համարը, ամսաթիվը, ծառայողական մասի տարբերակի համարը) ամսաթիվը}</w:t>
      </w:r>
    </w:p>
    <w:p w14:paraId="5A0741E5" w14:textId="77777777" w:rsidR="008C76E0" w:rsidRPr="00BD7577" w:rsidRDefault="008C76E0" w:rsidP="00060EF9">
      <w:pPr>
        <w:spacing w:after="160" w:line="360" w:lineRule="auto"/>
        <w:ind w:right="-1"/>
        <w:jc w:val="center"/>
        <w:rPr>
          <w:rFonts w:ascii="Sylfaen" w:hAnsi="Sylfaen"/>
          <w:sz w:val="24"/>
          <w:szCs w:val="24"/>
        </w:rPr>
      </w:pPr>
      <w:r w:rsidRPr="00BD7577">
        <w:rPr>
          <w:rFonts w:ascii="Sylfaen" w:hAnsi="Sylfaen"/>
          <w:sz w:val="24"/>
          <w:szCs w:val="24"/>
        </w:rPr>
        <w:t>10.4.</w:t>
      </w:r>
      <w:r>
        <w:rPr>
          <w:rFonts w:ascii="Sylfaen" w:hAnsi="Sylfaen"/>
          <w:sz w:val="24"/>
          <w:szCs w:val="24"/>
          <w:lang w:val="en-US"/>
        </w:rPr>
        <w:t xml:space="preserve"> </w:t>
      </w:r>
      <w:r w:rsidRPr="00BD7577">
        <w:rPr>
          <w:rFonts w:ascii="Sylfaen" w:hAnsi="Sylfaen"/>
          <w:sz w:val="24"/>
          <w:szCs w:val="24"/>
        </w:rPr>
        <w:t>Վարչական տեղեկատվությունը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5"/>
        <w:gridCol w:w="4502"/>
      </w:tblGrid>
      <w:tr w:rsidR="008C76E0" w:rsidRPr="00BD7577" w14:paraId="3F7A80D0" w14:textId="77777777" w:rsidTr="008C76E0">
        <w:trPr>
          <w:jc w:val="center"/>
        </w:trPr>
        <w:tc>
          <w:tcPr>
            <w:tcW w:w="5045" w:type="dxa"/>
            <w:tcBorders>
              <w:top w:val="single" w:sz="4" w:space="0" w:color="auto"/>
              <w:left w:val="single" w:sz="4" w:space="0" w:color="auto"/>
            </w:tcBorders>
            <w:shd w:val="clear" w:color="auto" w:fill="FFFFFF"/>
            <w:vAlign w:val="bottom"/>
          </w:tcPr>
          <w:p w14:paraId="6377CC60" w14:textId="77777777" w:rsidR="008C76E0" w:rsidRPr="00BD7577" w:rsidRDefault="008C76E0" w:rsidP="008C76E0">
            <w:pPr>
              <w:pStyle w:val="Bodytext180"/>
              <w:shd w:val="clear" w:color="auto" w:fill="auto"/>
              <w:spacing w:before="0" w:after="120" w:line="240" w:lineRule="auto"/>
              <w:ind w:left="85" w:right="119" w:firstLine="0"/>
              <w:jc w:val="both"/>
              <w:rPr>
                <w:rFonts w:ascii="Sylfaen" w:hAnsi="Sylfaen"/>
                <w:b w:val="0"/>
                <w:sz w:val="24"/>
                <w:szCs w:val="24"/>
              </w:rPr>
            </w:pPr>
            <w:r w:rsidRPr="00BD7577">
              <w:rPr>
                <w:rStyle w:val="Bodytext295pt"/>
                <w:rFonts w:ascii="Sylfaen" w:hAnsi="Sylfaen"/>
                <w:spacing w:val="0"/>
                <w:sz w:val="24"/>
                <w:szCs w:val="24"/>
              </w:rPr>
              <w:t>Նույնականացման համարը՝</w:t>
            </w:r>
          </w:p>
        </w:tc>
        <w:tc>
          <w:tcPr>
            <w:tcW w:w="4502" w:type="dxa"/>
            <w:tcBorders>
              <w:top w:val="single" w:sz="4" w:space="0" w:color="auto"/>
              <w:left w:val="single" w:sz="4" w:space="0" w:color="auto"/>
              <w:right w:val="single" w:sz="4" w:space="0" w:color="auto"/>
            </w:tcBorders>
            <w:shd w:val="clear" w:color="auto" w:fill="FFFFFF"/>
          </w:tcPr>
          <w:p w14:paraId="05E86515" w14:textId="77777777" w:rsidR="008C76E0" w:rsidRPr="00BD7577" w:rsidRDefault="008C76E0" w:rsidP="008C76E0">
            <w:pPr>
              <w:spacing w:after="120" w:line="240" w:lineRule="auto"/>
              <w:ind w:left="85" w:right="119"/>
              <w:jc w:val="both"/>
              <w:rPr>
                <w:rFonts w:ascii="Sylfaen" w:hAnsi="Sylfaen"/>
                <w:sz w:val="24"/>
                <w:szCs w:val="24"/>
              </w:rPr>
            </w:pPr>
          </w:p>
        </w:tc>
      </w:tr>
      <w:tr w:rsidR="008C76E0" w:rsidRPr="00BD7577" w14:paraId="4EC12CFC" w14:textId="77777777" w:rsidTr="008C76E0">
        <w:trPr>
          <w:jc w:val="center"/>
        </w:trPr>
        <w:tc>
          <w:tcPr>
            <w:tcW w:w="5045" w:type="dxa"/>
            <w:tcBorders>
              <w:top w:val="single" w:sz="4" w:space="0" w:color="auto"/>
              <w:left w:val="single" w:sz="4" w:space="0" w:color="auto"/>
            </w:tcBorders>
            <w:shd w:val="clear" w:color="auto" w:fill="FFFFFF"/>
            <w:vAlign w:val="bottom"/>
          </w:tcPr>
          <w:p w14:paraId="59AC8F84"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բաղադրամասի (ակտիվ դեղագործական բաղադրամասերի) միջազգային չարտոնագրված անվանումը (ՄՉԱ)(համընդհանուր անվանումը)</w:t>
            </w:r>
          </w:p>
        </w:tc>
        <w:tc>
          <w:tcPr>
            <w:tcW w:w="4502" w:type="dxa"/>
            <w:tcBorders>
              <w:top w:val="single" w:sz="4" w:space="0" w:color="auto"/>
              <w:left w:val="single" w:sz="4" w:space="0" w:color="auto"/>
              <w:right w:val="single" w:sz="4" w:space="0" w:color="auto"/>
            </w:tcBorders>
            <w:shd w:val="clear" w:color="auto" w:fill="FFFFFF"/>
          </w:tcPr>
          <w:p w14:paraId="4C0AA0A1" w14:textId="77777777" w:rsidR="008C76E0" w:rsidRPr="00BD7577" w:rsidRDefault="008C76E0" w:rsidP="008C76E0">
            <w:pPr>
              <w:spacing w:after="120" w:line="240" w:lineRule="auto"/>
              <w:ind w:left="85" w:right="119"/>
              <w:jc w:val="both"/>
              <w:rPr>
                <w:rFonts w:ascii="Sylfaen" w:hAnsi="Sylfaen"/>
                <w:sz w:val="24"/>
                <w:szCs w:val="24"/>
              </w:rPr>
            </w:pPr>
          </w:p>
        </w:tc>
      </w:tr>
      <w:tr w:rsidR="008C76E0" w:rsidRPr="00BD7577" w14:paraId="14FA61BC" w14:textId="77777777" w:rsidTr="008C76E0">
        <w:trPr>
          <w:jc w:val="center"/>
        </w:trPr>
        <w:tc>
          <w:tcPr>
            <w:tcW w:w="5045" w:type="dxa"/>
            <w:tcBorders>
              <w:top w:val="single" w:sz="4" w:space="0" w:color="auto"/>
              <w:left w:val="single" w:sz="4" w:space="0" w:color="auto"/>
            </w:tcBorders>
            <w:shd w:val="clear" w:color="auto" w:fill="FFFFFF"/>
            <w:vAlign w:val="bottom"/>
          </w:tcPr>
          <w:p w14:paraId="63E799FC"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բաղադրամասն արտադրողի ներքին ծածկագիրը (եթե կիրառվում է)՝</w:t>
            </w:r>
          </w:p>
        </w:tc>
        <w:tc>
          <w:tcPr>
            <w:tcW w:w="4502" w:type="dxa"/>
            <w:tcBorders>
              <w:top w:val="single" w:sz="4" w:space="0" w:color="auto"/>
              <w:left w:val="single" w:sz="4" w:space="0" w:color="auto"/>
              <w:right w:val="single" w:sz="4" w:space="0" w:color="auto"/>
            </w:tcBorders>
            <w:shd w:val="clear" w:color="auto" w:fill="FFFFFF"/>
          </w:tcPr>
          <w:p w14:paraId="470B3B9A" w14:textId="77777777" w:rsidR="008C76E0" w:rsidRPr="00BD7577" w:rsidRDefault="008C76E0" w:rsidP="008C76E0">
            <w:pPr>
              <w:spacing w:after="120" w:line="240" w:lineRule="auto"/>
              <w:ind w:left="85" w:right="119"/>
              <w:jc w:val="both"/>
              <w:rPr>
                <w:rFonts w:ascii="Sylfaen" w:hAnsi="Sylfaen"/>
                <w:sz w:val="24"/>
                <w:szCs w:val="24"/>
              </w:rPr>
            </w:pPr>
          </w:p>
        </w:tc>
      </w:tr>
      <w:tr w:rsidR="008C76E0" w:rsidRPr="00BD7577" w14:paraId="44A665D2" w14:textId="77777777" w:rsidTr="008C76E0">
        <w:trPr>
          <w:jc w:val="center"/>
        </w:trPr>
        <w:tc>
          <w:tcPr>
            <w:tcW w:w="5045" w:type="dxa"/>
            <w:tcBorders>
              <w:top w:val="single" w:sz="4" w:space="0" w:color="auto"/>
              <w:left w:val="single" w:sz="4" w:space="0" w:color="auto"/>
            </w:tcBorders>
            <w:shd w:val="clear" w:color="auto" w:fill="FFFFFF"/>
          </w:tcPr>
          <w:p w14:paraId="64841427" w14:textId="77777777" w:rsidR="008C76E0" w:rsidRPr="008C76E0" w:rsidRDefault="008C76E0" w:rsidP="008C76E0">
            <w:pPr>
              <w:pStyle w:val="Bodytext180"/>
              <w:shd w:val="clear" w:color="auto" w:fill="auto"/>
              <w:spacing w:before="0" w:after="120" w:line="240" w:lineRule="auto"/>
              <w:ind w:left="85" w:right="119" w:firstLine="0"/>
              <w:jc w:val="both"/>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բաղադրամասն արտադրողի արտադրական հարթակների անվանումներն ու հասցեները</w:t>
            </w:r>
          </w:p>
        </w:tc>
        <w:tc>
          <w:tcPr>
            <w:tcW w:w="4502" w:type="dxa"/>
            <w:tcBorders>
              <w:top w:val="single" w:sz="4" w:space="0" w:color="auto"/>
              <w:left w:val="single" w:sz="4" w:space="0" w:color="auto"/>
              <w:right w:val="single" w:sz="4" w:space="0" w:color="auto"/>
            </w:tcBorders>
            <w:shd w:val="clear" w:color="auto" w:fill="FFFFFF"/>
            <w:vAlign w:val="bottom"/>
          </w:tcPr>
          <w:p w14:paraId="3A06187A"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անվանումը՝</w:t>
            </w:r>
          </w:p>
          <w:p w14:paraId="16E5C0E9"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հասցեն՝</w:t>
            </w:r>
          </w:p>
          <w:p w14:paraId="07267427" w14:textId="77777777" w:rsidR="008C76E0" w:rsidRPr="00BD7577" w:rsidRDefault="008C76E0" w:rsidP="008C76E0">
            <w:pPr>
              <w:pStyle w:val="Bodytext180"/>
              <w:shd w:val="clear" w:color="auto" w:fill="auto"/>
              <w:spacing w:before="0" w:after="120" w:line="240" w:lineRule="auto"/>
              <w:ind w:left="85" w:right="119" w:firstLine="0"/>
              <w:rPr>
                <w:rStyle w:val="Bodytext295pt"/>
                <w:rFonts w:ascii="Sylfaen" w:hAnsi="Sylfaen"/>
                <w:spacing w:val="0"/>
                <w:sz w:val="24"/>
                <w:szCs w:val="24"/>
              </w:rPr>
            </w:pPr>
            <w:r w:rsidRPr="00BD7577">
              <w:rPr>
                <w:rStyle w:val="Bodytext295pt"/>
                <w:rFonts w:ascii="Sylfaen" w:hAnsi="Sylfaen"/>
                <w:spacing w:val="0"/>
                <w:sz w:val="24"/>
                <w:szCs w:val="24"/>
              </w:rPr>
              <w:t xml:space="preserve">կոնտակտային անձը՝ հեռախոսահամարը՝ </w:t>
            </w:r>
          </w:p>
          <w:p w14:paraId="6942B6E9"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ֆաքսի համարը՝</w:t>
            </w:r>
          </w:p>
          <w:p w14:paraId="3F6FF212"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էլեկտրոնային փոստի հասցեն՝</w:t>
            </w:r>
          </w:p>
        </w:tc>
      </w:tr>
      <w:tr w:rsidR="008C76E0" w:rsidRPr="00BD7577" w14:paraId="7EFB16AE" w14:textId="77777777" w:rsidTr="008C76E0">
        <w:trPr>
          <w:jc w:val="center"/>
        </w:trPr>
        <w:tc>
          <w:tcPr>
            <w:tcW w:w="5045" w:type="dxa"/>
            <w:tcBorders>
              <w:top w:val="single" w:sz="4" w:space="0" w:color="auto"/>
              <w:left w:val="single" w:sz="4" w:space="0" w:color="auto"/>
              <w:bottom w:val="single" w:sz="4" w:space="0" w:color="auto"/>
            </w:tcBorders>
            <w:shd w:val="clear" w:color="auto" w:fill="FFFFFF"/>
            <w:vAlign w:val="bottom"/>
          </w:tcPr>
          <w:p w14:paraId="3E9CF57E"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բաղադրամասի մաստեր-ֆայլի գնահատման վերաբերյալ փորձագիտական հաշվետվության ամսաթիվը</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bottom"/>
          </w:tcPr>
          <w:p w14:paraId="2682B233" w14:textId="77777777" w:rsidR="008C76E0" w:rsidRPr="008C76E0" w:rsidRDefault="008C76E0" w:rsidP="008C76E0">
            <w:pPr>
              <w:pStyle w:val="Bodytext180"/>
              <w:shd w:val="clear" w:color="auto" w:fill="auto"/>
              <w:spacing w:before="0" w:after="120" w:line="240" w:lineRule="auto"/>
              <w:ind w:left="85" w:right="119" w:firstLine="0"/>
              <w:rPr>
                <w:rFonts w:ascii="Sylfaen" w:hAnsi="Sylfaen"/>
                <w:b w:val="0"/>
                <w:sz w:val="24"/>
                <w:szCs w:val="24"/>
                <w:lang w:val="hy-AM"/>
              </w:rPr>
            </w:pPr>
            <w:r w:rsidRPr="00BD7577">
              <w:rPr>
                <w:rStyle w:val="Bodytext295pt"/>
                <w:rFonts w:ascii="Sylfaen" w:hAnsi="Sylfaen"/>
                <w:spacing w:val="0"/>
                <w:sz w:val="24"/>
                <w:szCs w:val="24"/>
              </w:rPr>
              <w:t xml:space="preserve">Գրանցման ընթացակարգը (գրանցումը, փոփոխությունների կատարումը)՝ </w:t>
            </w:r>
          </w:p>
        </w:tc>
      </w:tr>
    </w:tbl>
    <w:p w14:paraId="01A20E58" w14:textId="77777777" w:rsidR="008C76E0" w:rsidRPr="00BD7577" w:rsidRDefault="008C76E0" w:rsidP="002A49BF">
      <w:pPr>
        <w:spacing w:after="160" w:line="360" w:lineRule="auto"/>
        <w:ind w:left="2268" w:right="-1" w:hanging="2268"/>
        <w:jc w:val="both"/>
        <w:rPr>
          <w:rFonts w:ascii="Sylfaen" w:hAnsi="Sylfaen"/>
          <w:sz w:val="24"/>
          <w:szCs w:val="24"/>
        </w:rPr>
      </w:pPr>
      <w:r w:rsidRPr="00BD7577">
        <w:rPr>
          <w:rFonts w:ascii="Sylfaen" w:hAnsi="Sylfaen"/>
          <w:sz w:val="24"/>
          <w:szCs w:val="24"/>
        </w:rPr>
        <w:t>Ծանոթագրություն: Հաշվետվության կառուցվածքը պետք է արտացոլի 3.2.S մոդուլի համապատասխան մասերը։</w:t>
      </w:r>
    </w:p>
    <w:p w14:paraId="410D06A2" w14:textId="77777777" w:rsidR="002A49BF" w:rsidRPr="00E15E7D" w:rsidRDefault="002A49BF" w:rsidP="002A49BF">
      <w:pPr>
        <w:spacing w:after="160" w:line="360" w:lineRule="auto"/>
        <w:jc w:val="center"/>
        <w:rPr>
          <w:rFonts w:ascii="Sylfaen" w:hAnsi="Sylfaen"/>
          <w:sz w:val="24"/>
          <w:szCs w:val="24"/>
        </w:rPr>
      </w:pPr>
    </w:p>
    <w:p w14:paraId="2BC44554" w14:textId="77777777" w:rsidR="008C76E0" w:rsidRPr="00BD7577" w:rsidRDefault="008C76E0" w:rsidP="002A49BF">
      <w:pPr>
        <w:spacing w:after="160" w:line="360" w:lineRule="auto"/>
        <w:jc w:val="center"/>
        <w:rPr>
          <w:rFonts w:ascii="Sylfaen" w:hAnsi="Sylfaen"/>
          <w:sz w:val="24"/>
          <w:szCs w:val="24"/>
        </w:rPr>
      </w:pPr>
      <w:r w:rsidRPr="00BD7577">
        <w:rPr>
          <w:rFonts w:ascii="Sylfaen" w:hAnsi="Sylfaen"/>
          <w:sz w:val="24"/>
          <w:szCs w:val="24"/>
        </w:rPr>
        <w:t>S.2. Արտադրությունը</w:t>
      </w:r>
    </w:p>
    <w:p w14:paraId="23A4699B"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S.2.1.</w:t>
      </w:r>
      <w:r w:rsidRPr="00BD7577">
        <w:rPr>
          <w:rFonts w:ascii="Sylfaen" w:hAnsi="Sylfaen"/>
          <w:sz w:val="24"/>
          <w:szCs w:val="24"/>
        </w:rPr>
        <w:tab/>
        <w:t xml:space="preserve">ԱԴԲ-ն արտադրողը (յուրաքանչյուր կողմի, ներառյալ՝ արտադրական շղթայում ներգրավված կապալային կազմակերպությունների անվանումը, հասցեն </w:t>
      </w:r>
      <w:r w:rsidR="00C54D75">
        <w:rPr>
          <w:rFonts w:ascii="Sylfaen" w:hAnsi="Sylfaen"/>
          <w:sz w:val="24"/>
          <w:szCs w:val="24"/>
        </w:rPr>
        <w:t>և</w:t>
      </w:r>
      <w:r w:rsidRPr="00BD7577">
        <w:rPr>
          <w:rFonts w:ascii="Sylfaen" w:hAnsi="Sylfaen"/>
          <w:sz w:val="24"/>
          <w:szCs w:val="24"/>
        </w:rPr>
        <w:t xml:space="preserve"> պատասխանատվությունը)։</w:t>
      </w:r>
    </w:p>
    <w:p w14:paraId="75741AB9"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2322CFD"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59F48A19"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62D706"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S.2.2.</w:t>
      </w:r>
      <w:r w:rsidRPr="00BD7577">
        <w:rPr>
          <w:rFonts w:ascii="Sylfaen" w:hAnsi="Sylfaen"/>
          <w:sz w:val="24"/>
          <w:szCs w:val="24"/>
        </w:rPr>
        <w:tab/>
        <w:t xml:space="preserve">Արտադրական գործընթացի </w:t>
      </w:r>
      <w:r w:rsidR="00C54D75">
        <w:rPr>
          <w:rFonts w:ascii="Sylfaen" w:hAnsi="Sylfaen"/>
          <w:sz w:val="24"/>
          <w:szCs w:val="24"/>
        </w:rPr>
        <w:t>և</w:t>
      </w:r>
      <w:r w:rsidRPr="00BD7577">
        <w:rPr>
          <w:rFonts w:ascii="Sylfaen" w:hAnsi="Sylfaen"/>
          <w:sz w:val="24"/>
          <w:szCs w:val="24"/>
        </w:rPr>
        <w:t xml:space="preserve"> դրա հսկողության նկարագրությունը (մանրամասն տեղեկատվություն)։</w:t>
      </w:r>
    </w:p>
    <w:p w14:paraId="0BDFC7EA"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3052178"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6E1BAAF"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CC386FD"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S.2.3.</w:t>
      </w:r>
      <w:r w:rsidRPr="00BD7577">
        <w:rPr>
          <w:rFonts w:ascii="Sylfaen" w:hAnsi="Sylfaen"/>
          <w:sz w:val="24"/>
          <w:szCs w:val="24"/>
        </w:rPr>
        <w:tab/>
        <w:t>Ելանյութերի որակի հսկողությունը։</w:t>
      </w:r>
    </w:p>
    <w:p w14:paraId="241E99B0"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4FABF7E"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2911458"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2C6706C"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S.2.4.</w:t>
      </w:r>
      <w:r w:rsidRPr="00BD7577">
        <w:rPr>
          <w:rFonts w:ascii="Sylfaen" w:hAnsi="Sylfaen"/>
          <w:sz w:val="24"/>
          <w:szCs w:val="24"/>
        </w:rPr>
        <w:tab/>
        <w:t xml:space="preserve">Կրիտիկական փուլերի </w:t>
      </w:r>
      <w:r w:rsidR="00C54D75">
        <w:rPr>
          <w:rFonts w:ascii="Sylfaen" w:hAnsi="Sylfaen"/>
          <w:sz w:val="24"/>
          <w:szCs w:val="24"/>
        </w:rPr>
        <w:t>և</w:t>
      </w:r>
      <w:r w:rsidRPr="00BD7577">
        <w:rPr>
          <w:rFonts w:ascii="Sylfaen" w:hAnsi="Sylfaen"/>
          <w:sz w:val="24"/>
          <w:szCs w:val="24"/>
        </w:rPr>
        <w:t xml:space="preserve"> միջանկյալ արտադրանքի հսկողությունը։</w:t>
      </w:r>
    </w:p>
    <w:p w14:paraId="41D3D41F"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67D90E2"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A2C3652"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D2CCA52"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S.2.5.</w:t>
      </w:r>
      <w:r w:rsidRPr="00BD7577">
        <w:rPr>
          <w:rFonts w:ascii="Sylfaen" w:hAnsi="Sylfaen"/>
          <w:sz w:val="24"/>
          <w:szCs w:val="24"/>
        </w:rPr>
        <w:tab/>
        <w:t xml:space="preserve">Արտադրական գործընթացի վալիդացումը </w:t>
      </w:r>
      <w:r w:rsidR="00C54D75">
        <w:rPr>
          <w:rFonts w:ascii="Sylfaen" w:hAnsi="Sylfaen"/>
          <w:sz w:val="24"/>
          <w:szCs w:val="24"/>
        </w:rPr>
        <w:t>և</w:t>
      </w:r>
      <w:r w:rsidRPr="00BD7577">
        <w:rPr>
          <w:rFonts w:ascii="Sylfaen" w:hAnsi="Sylfaen"/>
          <w:sz w:val="24"/>
          <w:szCs w:val="24"/>
        </w:rPr>
        <w:t xml:space="preserve"> (կամ) գնահատումը։</w:t>
      </w:r>
    </w:p>
    <w:p w14:paraId="5A5A8028"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CF36C99"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19A2345"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147C0F2" w14:textId="77777777" w:rsidR="008C76E0" w:rsidRPr="00BD7577" w:rsidRDefault="008C76E0" w:rsidP="002A49BF">
      <w:pPr>
        <w:pStyle w:val="CommentText"/>
        <w:tabs>
          <w:tab w:val="left" w:pos="1701"/>
        </w:tabs>
        <w:spacing w:after="160" w:line="360" w:lineRule="auto"/>
        <w:ind w:firstLine="567"/>
        <w:rPr>
          <w:rFonts w:ascii="Sylfaen" w:hAnsi="Sylfaen"/>
          <w:sz w:val="24"/>
          <w:szCs w:val="24"/>
        </w:rPr>
      </w:pPr>
      <w:r>
        <w:rPr>
          <w:rFonts w:ascii="Sylfaen" w:hAnsi="Sylfaen"/>
          <w:sz w:val="24"/>
          <w:szCs w:val="24"/>
        </w:rPr>
        <w:t>S.2.6.</w:t>
      </w:r>
      <w:r w:rsidRPr="007106A3">
        <w:rPr>
          <w:rFonts w:ascii="Sylfaen" w:hAnsi="Sylfaen"/>
          <w:sz w:val="24"/>
          <w:szCs w:val="24"/>
        </w:rPr>
        <w:tab/>
      </w:r>
      <w:r w:rsidRPr="00BD7577">
        <w:rPr>
          <w:rFonts w:ascii="Sylfaen" w:hAnsi="Sylfaen"/>
          <w:sz w:val="24"/>
          <w:szCs w:val="24"/>
        </w:rPr>
        <w:t>Արտադրական գործընթացի մշակումը</w:t>
      </w:r>
    </w:p>
    <w:p w14:paraId="08C1C435"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C90DE64"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CB055D8"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lastRenderedPageBreak/>
        <w:t>___________________________________________________________________________</w:t>
      </w:r>
    </w:p>
    <w:p w14:paraId="03DA0172" w14:textId="77777777" w:rsidR="008C76E0" w:rsidRPr="007106A3" w:rsidRDefault="008C76E0" w:rsidP="002A49BF">
      <w:pPr>
        <w:spacing w:after="160" w:line="360" w:lineRule="auto"/>
        <w:ind w:right="-1"/>
        <w:jc w:val="center"/>
        <w:rPr>
          <w:rFonts w:ascii="Sylfaen" w:hAnsi="Sylfaen"/>
          <w:sz w:val="24"/>
          <w:szCs w:val="24"/>
        </w:rPr>
      </w:pPr>
    </w:p>
    <w:p w14:paraId="5D76368F" w14:textId="77777777" w:rsidR="008C76E0" w:rsidRPr="00BD7577" w:rsidRDefault="008C76E0" w:rsidP="002A49BF">
      <w:pPr>
        <w:spacing w:after="160" w:line="360" w:lineRule="auto"/>
        <w:ind w:right="-1"/>
        <w:jc w:val="center"/>
        <w:rPr>
          <w:rFonts w:ascii="Sylfaen" w:hAnsi="Sylfaen"/>
          <w:sz w:val="24"/>
          <w:szCs w:val="24"/>
        </w:rPr>
      </w:pPr>
      <w:r w:rsidRPr="00BD7577">
        <w:rPr>
          <w:rFonts w:ascii="Sylfaen" w:hAnsi="Sylfaen"/>
          <w:sz w:val="24"/>
          <w:szCs w:val="24"/>
        </w:rPr>
        <w:t>S.3. Բնութագրերի նկարագրությունը</w:t>
      </w:r>
    </w:p>
    <w:p w14:paraId="1B1800BA"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2E0A99B"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FD73E1A"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F765E62"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S.3.2.</w:t>
      </w:r>
      <w:r w:rsidRPr="00BD7577">
        <w:rPr>
          <w:rFonts w:ascii="Sylfaen" w:hAnsi="Sylfaen"/>
          <w:sz w:val="24"/>
          <w:szCs w:val="24"/>
        </w:rPr>
        <w:tab/>
        <w:t xml:space="preserve">Խառնուկները (Եվրասիական տնտեսական հանձնաժողովի կողմից հաստատված՝ Եվրասիական տնտեսական միության շրջանակներում Դեղապատրաստուկների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 թիվ 10 հավելվածին համապատասխան (եթե կիրառելի է))։</w:t>
      </w:r>
    </w:p>
    <w:p w14:paraId="7B0FDEF1"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AE8C1CE"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5FD839"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DF6DB1E" w14:textId="77777777" w:rsidR="008C76E0" w:rsidRPr="00BD7577" w:rsidRDefault="008C76E0" w:rsidP="002A49BF">
      <w:pPr>
        <w:spacing w:after="160" w:line="360" w:lineRule="auto"/>
        <w:ind w:right="-1" w:firstLine="567"/>
        <w:jc w:val="both"/>
        <w:rPr>
          <w:rFonts w:ascii="Sylfaen" w:hAnsi="Sylfaen"/>
          <w:sz w:val="24"/>
          <w:szCs w:val="24"/>
        </w:rPr>
      </w:pPr>
    </w:p>
    <w:p w14:paraId="02411AFE" w14:textId="77777777" w:rsidR="008C76E0" w:rsidRPr="00BD7577" w:rsidRDefault="008C76E0" w:rsidP="002A49BF">
      <w:pPr>
        <w:spacing w:after="160" w:line="360" w:lineRule="auto"/>
        <w:ind w:right="-1"/>
        <w:jc w:val="center"/>
        <w:rPr>
          <w:rFonts w:ascii="Sylfaen" w:hAnsi="Sylfaen"/>
          <w:sz w:val="24"/>
          <w:szCs w:val="24"/>
        </w:rPr>
      </w:pPr>
      <w:r w:rsidRPr="00BD7577">
        <w:rPr>
          <w:rFonts w:ascii="Sylfaen" w:hAnsi="Sylfaen"/>
          <w:sz w:val="24"/>
          <w:szCs w:val="24"/>
        </w:rPr>
        <w:t>S.4. Ակտիվ դեղագործական բաղադրիչի հսկողությունը</w:t>
      </w:r>
    </w:p>
    <w:p w14:paraId="16B536F3" w14:textId="77777777" w:rsidR="008C76E0" w:rsidRPr="00BD7577" w:rsidRDefault="008C76E0" w:rsidP="002A49BF">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S.4.5.</w:t>
      </w:r>
      <w:r w:rsidRPr="00BD7577">
        <w:rPr>
          <w:rFonts w:ascii="Sylfaen" w:hAnsi="Sylfaen"/>
          <w:sz w:val="24"/>
          <w:szCs w:val="24"/>
        </w:rPr>
        <w:tab/>
        <w:t xml:space="preserve">Մասնագրի հիմնավորումը (Եվրասիական տնտեսական հանձնաժողովի կողմից հաստատված՝ Եվրասիական տնտեսական միության շրջանակներում Դեղապատրաստուկների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 թիվ 10 հավելվածին համապատասխան (եթե կիրառելի է))։</w:t>
      </w:r>
    </w:p>
    <w:p w14:paraId="4109D65B" w14:textId="77777777" w:rsidR="008C76E0" w:rsidRPr="00BD7577" w:rsidRDefault="008C76E0" w:rsidP="002A49BF">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317135E1" w14:textId="77777777" w:rsidR="008C76E0" w:rsidRPr="00BD7577" w:rsidRDefault="008C76E0" w:rsidP="002A49BF">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F2CC3E4" w14:textId="77777777" w:rsidR="008C76E0" w:rsidRPr="00BD7577" w:rsidRDefault="008C76E0" w:rsidP="002A49BF">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363E2C9" w14:textId="77777777" w:rsidR="008C76E0" w:rsidRPr="00E15E7D" w:rsidRDefault="008C76E0" w:rsidP="008C76E0">
      <w:pPr>
        <w:widowControl/>
        <w:spacing w:line="336" w:lineRule="auto"/>
        <w:rPr>
          <w:rFonts w:ascii="Sylfaen" w:hAnsi="Sylfaen"/>
          <w:sz w:val="24"/>
          <w:szCs w:val="24"/>
        </w:rPr>
      </w:pPr>
    </w:p>
    <w:p w14:paraId="3A001482" w14:textId="77777777" w:rsidR="00D91652" w:rsidRPr="00E15E7D" w:rsidRDefault="00D91652" w:rsidP="008C76E0">
      <w:pPr>
        <w:widowControl/>
        <w:spacing w:line="336" w:lineRule="auto"/>
        <w:rPr>
          <w:rFonts w:ascii="Sylfaen" w:hAnsi="Sylfaen"/>
          <w:sz w:val="24"/>
          <w:szCs w:val="24"/>
        </w:rPr>
      </w:pPr>
    </w:p>
    <w:p w14:paraId="301F90C0" w14:textId="77777777" w:rsidR="008C76E0" w:rsidRPr="00BD7577" w:rsidRDefault="008C76E0" w:rsidP="008C76E0">
      <w:pPr>
        <w:spacing w:line="336" w:lineRule="auto"/>
        <w:ind w:left="567" w:right="566"/>
        <w:jc w:val="center"/>
        <w:rPr>
          <w:rFonts w:ascii="Sylfaen" w:hAnsi="Sylfaen"/>
          <w:sz w:val="24"/>
          <w:szCs w:val="24"/>
        </w:rPr>
      </w:pPr>
      <w:r w:rsidRPr="00BD7577">
        <w:rPr>
          <w:rFonts w:ascii="Sylfaen" w:hAnsi="Sylfaen"/>
          <w:sz w:val="24"/>
          <w:szCs w:val="24"/>
        </w:rPr>
        <w:lastRenderedPageBreak/>
        <w:t xml:space="preserve">ԸՆԴՀԱՆՈՒՐ ԵԶՐԱԿԱՑՈՒԹՅՈՒՆԸ՝ </w:t>
      </w:r>
      <w:r w:rsidRPr="00BD7577">
        <w:rPr>
          <w:rFonts w:ascii="Sylfaen" w:hAnsi="Sylfaen"/>
          <w:sz w:val="24"/>
          <w:szCs w:val="24"/>
        </w:rPr>
        <w:br/>
        <w:t>ԱԴԲՄՖ-ի փակ մասի վերաբերյալ</w:t>
      </w:r>
    </w:p>
    <w:p w14:paraId="4600E134" w14:textId="77777777" w:rsidR="008C76E0" w:rsidRPr="00BD7577" w:rsidRDefault="008C76E0" w:rsidP="008C76E0">
      <w:pPr>
        <w:spacing w:line="336"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2ACC5E5C" w14:textId="77777777" w:rsidR="008C76E0" w:rsidRPr="00BD7577" w:rsidRDefault="008C76E0" w:rsidP="008C76E0">
      <w:pPr>
        <w:spacing w:line="336"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D4CBA6C" w14:textId="77777777" w:rsidR="008C76E0" w:rsidRPr="00BD7577" w:rsidRDefault="008C76E0" w:rsidP="008C76E0">
      <w:pPr>
        <w:spacing w:line="336"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398BA9F" w14:textId="77777777" w:rsidR="008C76E0" w:rsidRPr="00DD61E4" w:rsidRDefault="008C76E0" w:rsidP="008C76E0">
      <w:pPr>
        <w:spacing w:line="336" w:lineRule="auto"/>
        <w:ind w:right="-1"/>
        <w:jc w:val="center"/>
        <w:rPr>
          <w:rFonts w:ascii="Sylfaen" w:hAnsi="Sylfaen"/>
          <w:sz w:val="24"/>
          <w:szCs w:val="24"/>
        </w:rPr>
      </w:pPr>
    </w:p>
    <w:p w14:paraId="153C2322" w14:textId="77777777" w:rsidR="008C76E0" w:rsidRPr="00BD7577" w:rsidRDefault="008C76E0" w:rsidP="008C76E0">
      <w:pPr>
        <w:spacing w:line="336" w:lineRule="auto"/>
        <w:ind w:right="-1"/>
        <w:jc w:val="center"/>
        <w:rPr>
          <w:rFonts w:ascii="Sylfaen" w:hAnsi="Sylfaen"/>
          <w:sz w:val="24"/>
          <w:szCs w:val="24"/>
        </w:rPr>
      </w:pPr>
      <w:r w:rsidRPr="00BD7577">
        <w:rPr>
          <w:rFonts w:ascii="Sylfaen" w:hAnsi="Sylfaen"/>
          <w:sz w:val="24"/>
          <w:szCs w:val="24"/>
        </w:rPr>
        <w:t xml:space="preserve">ԴԻՏՈՂՈՒԹՅՈՒՆՆԵՐԻ ՑԱՆԿԸ՝ </w:t>
      </w:r>
      <w:r w:rsidRPr="00BD7577">
        <w:rPr>
          <w:rFonts w:ascii="Sylfaen" w:hAnsi="Sylfaen"/>
          <w:sz w:val="24"/>
          <w:szCs w:val="24"/>
        </w:rPr>
        <w:br/>
        <w:t>ԱԴԲՄՖ-ի փակ մասի վերաբերյալ</w:t>
      </w:r>
    </w:p>
    <w:p w14:paraId="3F1C79C3" w14:textId="77777777" w:rsidR="008C76E0" w:rsidRPr="00BD7577" w:rsidRDefault="008C76E0" w:rsidP="008C76E0">
      <w:pPr>
        <w:spacing w:line="336"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2780056" w14:textId="77777777" w:rsidR="008C76E0" w:rsidRPr="00BD7577" w:rsidRDefault="008C76E0" w:rsidP="008C76E0">
      <w:pPr>
        <w:spacing w:line="336"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0B1BC8F" w14:textId="77777777" w:rsidR="008C76E0" w:rsidRPr="00BD7577" w:rsidRDefault="008C76E0" w:rsidP="008C76E0">
      <w:pPr>
        <w:spacing w:line="336"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D9B8136" w14:textId="77777777" w:rsidR="008C76E0" w:rsidRPr="00BD7577" w:rsidRDefault="008C76E0" w:rsidP="008C76E0">
      <w:pPr>
        <w:spacing w:line="336" w:lineRule="auto"/>
        <w:ind w:right="-1" w:firstLine="567"/>
        <w:jc w:val="both"/>
        <w:rPr>
          <w:rFonts w:ascii="Sylfaen" w:hAnsi="Sylfaen"/>
          <w:sz w:val="24"/>
          <w:szCs w:val="24"/>
        </w:rPr>
      </w:pPr>
      <w:r w:rsidRPr="00BD7577">
        <w:rPr>
          <w:rFonts w:ascii="Sylfaen" w:hAnsi="Sylfaen"/>
          <w:sz w:val="24"/>
          <w:szCs w:val="24"/>
        </w:rPr>
        <w:t>Կրիտիկական դիտողությունները՝</w:t>
      </w:r>
    </w:p>
    <w:p w14:paraId="21B89E21" w14:textId="77777777" w:rsidR="008C76E0" w:rsidRPr="00BD7577" w:rsidRDefault="008C76E0" w:rsidP="008C76E0">
      <w:pPr>
        <w:spacing w:line="336"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2972397" w14:textId="77777777" w:rsidR="008C76E0" w:rsidRPr="00BD7577" w:rsidRDefault="008C76E0" w:rsidP="008C76E0">
      <w:pPr>
        <w:spacing w:line="377"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B3D3C43" w14:textId="77777777" w:rsidR="008C76E0" w:rsidRPr="00BD7577" w:rsidRDefault="008C76E0" w:rsidP="008C76E0">
      <w:pPr>
        <w:spacing w:line="377"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73D991A" w14:textId="77777777" w:rsidR="008C76E0" w:rsidRPr="00BD7577" w:rsidRDefault="008C76E0" w:rsidP="008C76E0">
      <w:pPr>
        <w:spacing w:line="377" w:lineRule="auto"/>
        <w:ind w:right="-1" w:firstLine="567"/>
        <w:jc w:val="both"/>
        <w:rPr>
          <w:rFonts w:ascii="Sylfaen" w:hAnsi="Sylfaen"/>
          <w:sz w:val="24"/>
          <w:szCs w:val="24"/>
        </w:rPr>
      </w:pPr>
      <w:r w:rsidRPr="00BD7577">
        <w:rPr>
          <w:rFonts w:ascii="Sylfaen" w:hAnsi="Sylfaen"/>
          <w:sz w:val="24"/>
          <w:szCs w:val="24"/>
        </w:rPr>
        <w:t>Այլ դիտողություններ՝</w:t>
      </w:r>
    </w:p>
    <w:p w14:paraId="51274E37" w14:textId="77777777" w:rsidR="008C76E0" w:rsidRPr="00BD7577" w:rsidRDefault="008C76E0" w:rsidP="008C76E0">
      <w:pPr>
        <w:spacing w:line="377"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BF070AA" w14:textId="77777777" w:rsidR="008C76E0" w:rsidRPr="00BD7577" w:rsidRDefault="008C76E0" w:rsidP="008C76E0">
      <w:pPr>
        <w:spacing w:line="377"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21F1E0D" w14:textId="77777777" w:rsidR="008C76E0" w:rsidRPr="00BD7577" w:rsidRDefault="008C76E0" w:rsidP="008C76E0">
      <w:pPr>
        <w:spacing w:line="377"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ED08899" w14:textId="77777777" w:rsidR="00D91652" w:rsidRDefault="00D91652">
      <w:pPr>
        <w:widowControl/>
        <w:rPr>
          <w:rFonts w:ascii="Sylfaen" w:hAnsi="Sylfaen"/>
          <w:sz w:val="24"/>
          <w:szCs w:val="24"/>
        </w:rPr>
      </w:pPr>
      <w:r>
        <w:rPr>
          <w:rFonts w:ascii="Sylfaen" w:hAnsi="Sylfaen"/>
          <w:sz w:val="24"/>
          <w:szCs w:val="24"/>
        </w:rPr>
        <w:br w:type="page"/>
      </w:r>
    </w:p>
    <w:p w14:paraId="21155869" w14:textId="77777777" w:rsidR="008C76E0" w:rsidRPr="00BD7577" w:rsidRDefault="008C76E0" w:rsidP="008C76E0">
      <w:pPr>
        <w:ind w:left="567" w:right="566"/>
        <w:jc w:val="center"/>
        <w:rPr>
          <w:rFonts w:ascii="Sylfaen" w:hAnsi="Sylfaen"/>
          <w:sz w:val="24"/>
          <w:szCs w:val="24"/>
        </w:rPr>
      </w:pPr>
      <w:r w:rsidRPr="00BD7577">
        <w:rPr>
          <w:rFonts w:ascii="Sylfaen" w:hAnsi="Sylfaen"/>
          <w:sz w:val="24"/>
          <w:szCs w:val="24"/>
        </w:rPr>
        <w:lastRenderedPageBreak/>
        <w:t>ՊԱՏԱՍԽԱՆՆԵՐԻ ԳՆԱՀԱՏՈՒՄԸ</w:t>
      </w:r>
    </w:p>
    <w:p w14:paraId="4AED843E" w14:textId="77777777" w:rsidR="008C76E0" w:rsidRPr="00BD7577" w:rsidRDefault="008C76E0" w:rsidP="008C76E0">
      <w:pPr>
        <w:ind w:left="567" w:right="566"/>
        <w:jc w:val="center"/>
        <w:rPr>
          <w:rFonts w:ascii="Sylfaen" w:hAnsi="Sylfaen"/>
          <w:sz w:val="24"/>
          <w:szCs w:val="24"/>
        </w:rPr>
      </w:pPr>
      <w:r w:rsidRPr="00BD7577">
        <w:rPr>
          <w:rFonts w:ascii="Sylfaen" w:hAnsi="Sylfaen"/>
          <w:sz w:val="24"/>
          <w:szCs w:val="24"/>
        </w:rPr>
        <w:t>ԱԴԲՄՖ-ի փակ մասի վերաբերյալ դիտողությունների ցանկին տրվող</w:t>
      </w:r>
    </w:p>
    <w:p w14:paraId="14F71F09"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Կրիտիկական դիտողությունները՝</w:t>
      </w:r>
    </w:p>
    <w:p w14:paraId="676E4DF2"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Հարցը </w:t>
      </w:r>
    </w:p>
    <w:p w14:paraId="0DB1272A"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60383F76"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8E77D76"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ԱԴԲՄՖ-ի իրավատիրոջ պատասխանի ռեզյումեն </w:t>
      </w:r>
    </w:p>
    <w:p w14:paraId="13C511C7"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0A47C714"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EACFE30"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ԱԴԲՄՖ-ի իրավատիրոջ պատասխանի գնահատումը </w:t>
      </w:r>
    </w:p>
    <w:p w14:paraId="4DA072EB"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F658866"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52E8188"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Ընդհանուր ռեզյումեն </w:t>
      </w:r>
      <w:r w:rsidR="00C54D75">
        <w:rPr>
          <w:rFonts w:ascii="Sylfaen" w:hAnsi="Sylfaen"/>
          <w:sz w:val="24"/>
          <w:szCs w:val="24"/>
        </w:rPr>
        <w:t>և</w:t>
      </w:r>
      <w:r w:rsidRPr="00BD7577">
        <w:rPr>
          <w:rFonts w:ascii="Sylfaen" w:hAnsi="Sylfaen"/>
          <w:sz w:val="24"/>
          <w:szCs w:val="24"/>
        </w:rPr>
        <w:t xml:space="preserve"> եզրակացությունը </w:t>
      </w:r>
    </w:p>
    <w:p w14:paraId="342BF508"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563F758"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714B0BA"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Այլ դիտողություններ՝</w:t>
      </w:r>
    </w:p>
    <w:p w14:paraId="2FCCAD88"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Հարցը </w:t>
      </w:r>
    </w:p>
    <w:p w14:paraId="5A2A0BB4"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A0FD54E"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C76CDCD"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ԱԴԲՄՖ-ի իրավատիրոջ պատասխանի ռեզյումեն </w:t>
      </w:r>
    </w:p>
    <w:p w14:paraId="24C221B8"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46944737"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17CEBBC"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ԱԴԲՄՖ-ի իրավատիրոջ պատասխանի գնահատումը </w:t>
      </w:r>
    </w:p>
    <w:p w14:paraId="706C7492"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0BC0E6C0"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26101D6"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lastRenderedPageBreak/>
        <w:t xml:space="preserve">Ընդհանուր ռեզյումեն </w:t>
      </w:r>
      <w:r w:rsidR="00C54D75">
        <w:rPr>
          <w:rFonts w:ascii="Sylfaen" w:hAnsi="Sylfaen"/>
          <w:sz w:val="24"/>
          <w:szCs w:val="24"/>
        </w:rPr>
        <w:t>և</w:t>
      </w:r>
      <w:r w:rsidRPr="00BD7577">
        <w:rPr>
          <w:rFonts w:ascii="Sylfaen" w:hAnsi="Sylfaen"/>
          <w:sz w:val="24"/>
          <w:szCs w:val="24"/>
        </w:rPr>
        <w:t xml:space="preserve"> եզրակացությունը </w:t>
      </w:r>
    </w:p>
    <w:p w14:paraId="5E90170D"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58D14349"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F0F3822" w14:textId="77777777" w:rsidR="008C76E0" w:rsidRPr="00DD61E4" w:rsidRDefault="008C76E0" w:rsidP="008C76E0">
      <w:pPr>
        <w:ind w:right="-1" w:firstLine="567"/>
        <w:jc w:val="both"/>
        <w:rPr>
          <w:rFonts w:ascii="Sylfaen" w:hAnsi="Sylfaen"/>
          <w:sz w:val="24"/>
          <w:szCs w:val="24"/>
        </w:rPr>
      </w:pPr>
    </w:p>
    <w:p w14:paraId="35E970C8" w14:textId="77777777" w:rsidR="008C76E0" w:rsidRPr="00DD61E4" w:rsidRDefault="008C76E0" w:rsidP="008C76E0">
      <w:pPr>
        <w:ind w:right="-1" w:firstLine="567"/>
        <w:jc w:val="both"/>
        <w:rPr>
          <w:rFonts w:ascii="Sylfaen" w:hAnsi="Sylfaen"/>
          <w:sz w:val="24"/>
          <w:szCs w:val="24"/>
        </w:rPr>
      </w:pPr>
    </w:p>
    <w:p w14:paraId="57986905" w14:textId="77777777" w:rsidR="008C76E0" w:rsidRPr="00DD61E4" w:rsidRDefault="008C76E0" w:rsidP="008C76E0">
      <w:pPr>
        <w:ind w:right="-1" w:firstLine="567"/>
        <w:jc w:val="both"/>
        <w:rPr>
          <w:rFonts w:ascii="Sylfaen" w:hAnsi="Sylfaen"/>
          <w:sz w:val="24"/>
          <w:szCs w:val="24"/>
        </w:rPr>
      </w:pPr>
    </w:p>
    <w:p w14:paraId="0D01BFC8" w14:textId="77777777" w:rsidR="008C76E0" w:rsidRPr="00DD61E4" w:rsidRDefault="008C76E0" w:rsidP="008C76E0">
      <w:pPr>
        <w:ind w:right="-1" w:firstLine="567"/>
        <w:jc w:val="both"/>
        <w:rPr>
          <w:rFonts w:ascii="Sylfaen" w:hAnsi="Sylfaen"/>
          <w:sz w:val="24"/>
          <w:szCs w:val="24"/>
        </w:rPr>
      </w:pPr>
    </w:p>
    <w:p w14:paraId="172722C4" w14:textId="77777777" w:rsidR="008C76E0" w:rsidRPr="00DD61E4" w:rsidRDefault="008C76E0" w:rsidP="008C76E0">
      <w:pPr>
        <w:ind w:right="-1" w:firstLine="567"/>
        <w:jc w:val="both"/>
        <w:rPr>
          <w:rFonts w:ascii="Sylfaen" w:hAnsi="Sylfaen"/>
          <w:sz w:val="24"/>
          <w:szCs w:val="24"/>
        </w:rPr>
      </w:pPr>
    </w:p>
    <w:p w14:paraId="536D7B24" w14:textId="77777777" w:rsidR="008C76E0" w:rsidRPr="00DD61E4" w:rsidRDefault="008C76E0" w:rsidP="008C76E0">
      <w:pPr>
        <w:ind w:right="-1" w:firstLine="567"/>
        <w:jc w:val="both"/>
        <w:rPr>
          <w:rFonts w:ascii="Sylfaen" w:hAnsi="Sylfaen"/>
          <w:sz w:val="24"/>
          <w:szCs w:val="24"/>
        </w:rPr>
      </w:pPr>
    </w:p>
    <w:p w14:paraId="2A19E7ED" w14:textId="77777777" w:rsidR="008C76E0" w:rsidRPr="00DD61E4" w:rsidRDefault="008C76E0" w:rsidP="008C76E0">
      <w:pPr>
        <w:ind w:right="-1" w:firstLine="567"/>
        <w:jc w:val="both"/>
        <w:rPr>
          <w:rFonts w:ascii="Sylfaen" w:hAnsi="Sylfaen"/>
          <w:sz w:val="24"/>
          <w:szCs w:val="24"/>
        </w:rPr>
      </w:pPr>
    </w:p>
    <w:p w14:paraId="3EE32C64" w14:textId="77777777" w:rsidR="008C76E0" w:rsidRPr="00E15E7D" w:rsidRDefault="008C76E0" w:rsidP="008C76E0">
      <w:pPr>
        <w:ind w:right="-1" w:firstLine="567"/>
        <w:jc w:val="both"/>
        <w:rPr>
          <w:rFonts w:ascii="Sylfaen" w:hAnsi="Sylfaen"/>
          <w:sz w:val="24"/>
          <w:szCs w:val="24"/>
        </w:rPr>
      </w:pPr>
    </w:p>
    <w:p w14:paraId="2C2AC222" w14:textId="77777777" w:rsidR="002A49BF" w:rsidRPr="00E15E7D" w:rsidRDefault="002A49BF" w:rsidP="008C76E0">
      <w:pPr>
        <w:ind w:right="-1" w:firstLine="567"/>
        <w:jc w:val="both"/>
        <w:rPr>
          <w:rFonts w:ascii="Sylfaen" w:hAnsi="Sylfaen"/>
          <w:sz w:val="24"/>
          <w:szCs w:val="24"/>
        </w:rPr>
      </w:pPr>
    </w:p>
    <w:p w14:paraId="7F6668F7" w14:textId="77777777" w:rsidR="002A49BF" w:rsidRPr="00E15E7D" w:rsidRDefault="002A49BF" w:rsidP="008C76E0">
      <w:pPr>
        <w:ind w:right="-1" w:firstLine="567"/>
        <w:jc w:val="both"/>
        <w:rPr>
          <w:rFonts w:ascii="Sylfaen" w:hAnsi="Sylfaen"/>
          <w:sz w:val="24"/>
          <w:szCs w:val="24"/>
        </w:rPr>
      </w:pPr>
    </w:p>
    <w:p w14:paraId="16D5CB09" w14:textId="77777777" w:rsidR="002A49BF" w:rsidRPr="00E15E7D" w:rsidRDefault="002A49BF" w:rsidP="008C76E0">
      <w:pPr>
        <w:ind w:right="-1" w:firstLine="567"/>
        <w:jc w:val="both"/>
        <w:rPr>
          <w:rFonts w:ascii="Sylfaen" w:hAnsi="Sylfaen"/>
          <w:sz w:val="24"/>
          <w:szCs w:val="24"/>
        </w:rPr>
      </w:pPr>
    </w:p>
    <w:p w14:paraId="22DAE320" w14:textId="77777777" w:rsidR="002A49BF" w:rsidRPr="00E15E7D" w:rsidRDefault="002A49BF" w:rsidP="008C76E0">
      <w:pPr>
        <w:ind w:right="-1" w:firstLine="567"/>
        <w:jc w:val="both"/>
        <w:rPr>
          <w:rFonts w:ascii="Sylfaen" w:hAnsi="Sylfaen"/>
          <w:sz w:val="24"/>
          <w:szCs w:val="24"/>
        </w:rPr>
      </w:pPr>
    </w:p>
    <w:p w14:paraId="424807B6" w14:textId="77777777" w:rsidR="002A49BF" w:rsidRPr="00E15E7D" w:rsidRDefault="002A49BF" w:rsidP="008C76E0">
      <w:pPr>
        <w:ind w:right="-1" w:firstLine="567"/>
        <w:jc w:val="both"/>
        <w:rPr>
          <w:rFonts w:ascii="Sylfaen" w:hAnsi="Sylfaen"/>
          <w:sz w:val="24"/>
          <w:szCs w:val="24"/>
        </w:rPr>
      </w:pPr>
    </w:p>
    <w:p w14:paraId="605C96B9" w14:textId="77777777" w:rsidR="002A49BF" w:rsidRPr="00E15E7D" w:rsidRDefault="002A49BF" w:rsidP="008C76E0">
      <w:pPr>
        <w:ind w:right="-1" w:firstLine="567"/>
        <w:jc w:val="both"/>
        <w:rPr>
          <w:rFonts w:ascii="Sylfaen" w:hAnsi="Sylfaen"/>
          <w:sz w:val="24"/>
          <w:szCs w:val="24"/>
        </w:rPr>
      </w:pPr>
    </w:p>
    <w:p w14:paraId="5B0F2D98" w14:textId="77777777" w:rsidR="008C76E0" w:rsidRPr="00DD61E4" w:rsidRDefault="008C76E0" w:rsidP="008C76E0">
      <w:pPr>
        <w:ind w:right="-1" w:firstLine="567"/>
        <w:jc w:val="both"/>
        <w:rPr>
          <w:rFonts w:ascii="Sylfaen" w:hAnsi="Sylfaen"/>
          <w:sz w:val="24"/>
          <w:szCs w:val="24"/>
        </w:rPr>
      </w:pPr>
    </w:p>
    <w:p w14:paraId="7054F9C1" w14:textId="77777777" w:rsidR="008C76E0" w:rsidRPr="00DD61E4" w:rsidRDefault="008C76E0" w:rsidP="008C76E0">
      <w:pPr>
        <w:ind w:right="-1" w:firstLine="567"/>
        <w:jc w:val="both"/>
        <w:rPr>
          <w:rFonts w:ascii="Sylfaen" w:hAnsi="Sylfaen"/>
          <w:sz w:val="24"/>
          <w:szCs w:val="24"/>
        </w:rPr>
      </w:pPr>
    </w:p>
    <w:p w14:paraId="06FE63A4" w14:textId="77777777" w:rsidR="008C76E0" w:rsidRPr="00BD7577" w:rsidRDefault="008C76E0" w:rsidP="008C76E0">
      <w:pPr>
        <w:ind w:left="567" w:right="566"/>
        <w:jc w:val="center"/>
        <w:rPr>
          <w:rFonts w:ascii="Sylfaen" w:hAnsi="Sylfaen"/>
          <w:sz w:val="24"/>
          <w:szCs w:val="24"/>
        </w:rPr>
      </w:pPr>
      <w:r w:rsidRPr="00BD7577">
        <w:rPr>
          <w:rFonts w:ascii="Sylfaen" w:hAnsi="Sylfaen"/>
          <w:sz w:val="24"/>
          <w:szCs w:val="24"/>
        </w:rPr>
        <w:t xml:space="preserve">ԸՆԴՀԱՆՈՒՐ ԵԶՐԱԿԱՑՈՒԹՅՈՒՆԸ՝ </w:t>
      </w:r>
      <w:r w:rsidRPr="00BD7577">
        <w:rPr>
          <w:rFonts w:ascii="Sylfaen" w:hAnsi="Sylfaen"/>
          <w:sz w:val="24"/>
          <w:szCs w:val="24"/>
        </w:rPr>
        <w:br/>
        <w:t>ԱԴԲՄՖ-ի փակ մասի վերաբերյալ</w:t>
      </w:r>
    </w:p>
    <w:p w14:paraId="68414E3C"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2C6354D3"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9B9F43F"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DDC0DAB" w14:textId="77777777" w:rsidR="002A49BF" w:rsidRDefault="002A49BF">
      <w:pPr>
        <w:widowControl/>
        <w:rPr>
          <w:rFonts w:ascii="Sylfaen" w:hAnsi="Sylfaen"/>
          <w:sz w:val="24"/>
          <w:szCs w:val="24"/>
        </w:rPr>
      </w:pPr>
      <w:r>
        <w:rPr>
          <w:rFonts w:ascii="Sylfaen" w:hAnsi="Sylfaen"/>
          <w:sz w:val="24"/>
          <w:szCs w:val="24"/>
        </w:rPr>
        <w:br w:type="page"/>
      </w:r>
    </w:p>
    <w:p w14:paraId="2E0551D5" w14:textId="77777777" w:rsidR="008C76E0" w:rsidRPr="00BD7577" w:rsidRDefault="008C76E0" w:rsidP="00780BC1">
      <w:pPr>
        <w:spacing w:after="160" w:line="360" w:lineRule="auto"/>
        <w:ind w:right="-1"/>
        <w:jc w:val="center"/>
        <w:rPr>
          <w:rFonts w:ascii="Sylfaen" w:hAnsi="Sylfaen"/>
          <w:sz w:val="24"/>
          <w:szCs w:val="24"/>
        </w:rPr>
      </w:pPr>
      <w:r w:rsidRPr="00BD7577">
        <w:rPr>
          <w:rFonts w:ascii="Sylfaen" w:hAnsi="Sylfaen"/>
          <w:sz w:val="24"/>
          <w:szCs w:val="24"/>
        </w:rPr>
        <w:lastRenderedPageBreak/>
        <w:t>11. Լրացում 2</w:t>
      </w:r>
    </w:p>
    <w:p w14:paraId="1D2123D6" w14:textId="77777777" w:rsidR="008C76E0" w:rsidRPr="00BD7577" w:rsidRDefault="008C76E0" w:rsidP="00780BC1">
      <w:pPr>
        <w:spacing w:after="160" w:line="360" w:lineRule="auto"/>
        <w:ind w:left="567" w:right="566"/>
        <w:jc w:val="center"/>
        <w:rPr>
          <w:rFonts w:ascii="Sylfaen" w:hAnsi="Sylfaen"/>
          <w:sz w:val="24"/>
          <w:szCs w:val="24"/>
        </w:rPr>
      </w:pPr>
      <w:r w:rsidRPr="00BD7577">
        <w:rPr>
          <w:rFonts w:ascii="Sylfaen" w:hAnsi="Sylfaen"/>
          <w:sz w:val="24"/>
          <w:szCs w:val="24"/>
        </w:rPr>
        <w:t xml:space="preserve">Դիզայնի ոլորտը </w:t>
      </w:r>
      <w:r w:rsidR="00C54D75">
        <w:rPr>
          <w:rFonts w:ascii="Sylfaen" w:hAnsi="Sylfaen"/>
          <w:sz w:val="24"/>
          <w:szCs w:val="24"/>
        </w:rPr>
        <w:t>և</w:t>
      </w:r>
      <w:r w:rsidRPr="00BD7577">
        <w:rPr>
          <w:rFonts w:ascii="Sylfaen" w:hAnsi="Sylfaen"/>
          <w:sz w:val="24"/>
          <w:szCs w:val="24"/>
        </w:rPr>
        <w:t xml:space="preserve"> փոփոխությունների կառավարման արձանագրությունները (եթե կիրառելի է)</w:t>
      </w:r>
    </w:p>
    <w:p w14:paraId="1B6878D9" w14:textId="77777777" w:rsidR="008C76E0" w:rsidRPr="00BD7577" w:rsidRDefault="008C76E0" w:rsidP="00780BC1">
      <w:pPr>
        <w:spacing w:after="160" w:line="360" w:lineRule="auto"/>
        <w:ind w:right="-1" w:firstLine="567"/>
        <w:jc w:val="both"/>
        <w:rPr>
          <w:rFonts w:ascii="Sylfaen" w:hAnsi="Sylfaen"/>
          <w:sz w:val="24"/>
          <w:szCs w:val="24"/>
        </w:rPr>
      </w:pPr>
      <w:r w:rsidRPr="00BD7577">
        <w:rPr>
          <w:rFonts w:ascii="Sylfaen" w:hAnsi="Sylfaen"/>
          <w:sz w:val="24"/>
          <w:szCs w:val="24"/>
        </w:rPr>
        <w:t xml:space="preserve">Հաշվետվության տվյալ բաժնում հարկ է համառոտ ընդհանրացնել տվյալ դեղապատրաստուկի՝ գրանցման դոսյեում համաձայնեցված </w:t>
      </w:r>
      <w:r w:rsidR="00C54D75">
        <w:rPr>
          <w:rFonts w:ascii="Sylfaen" w:hAnsi="Sylfaen"/>
          <w:sz w:val="24"/>
          <w:szCs w:val="24"/>
        </w:rPr>
        <w:t>և</w:t>
      </w:r>
      <w:r w:rsidRPr="00BD7577">
        <w:rPr>
          <w:rFonts w:ascii="Sylfaen" w:hAnsi="Sylfaen"/>
          <w:sz w:val="24"/>
          <w:szCs w:val="24"/>
        </w:rPr>
        <w:t xml:space="preserve"> հետգրանցումային էտապում դրանց ճկուն կառավարումը ապահովելու համար անհրաժեշտ դեղաձ</w:t>
      </w:r>
      <w:r w:rsidR="00C54D75">
        <w:rPr>
          <w:rFonts w:ascii="Sylfaen" w:hAnsi="Sylfaen"/>
          <w:sz w:val="24"/>
          <w:szCs w:val="24"/>
        </w:rPr>
        <w:t>և</w:t>
      </w:r>
      <w:r w:rsidRPr="00BD7577">
        <w:rPr>
          <w:rFonts w:ascii="Sylfaen" w:hAnsi="Sylfaen"/>
          <w:sz w:val="24"/>
          <w:szCs w:val="24"/>
        </w:rPr>
        <w:t xml:space="preserve">ի մշակման </w:t>
      </w:r>
      <w:r w:rsidR="00C54D75">
        <w:rPr>
          <w:rFonts w:ascii="Sylfaen" w:hAnsi="Sylfaen"/>
          <w:sz w:val="24"/>
          <w:szCs w:val="24"/>
        </w:rPr>
        <w:t>և</w:t>
      </w:r>
      <w:r w:rsidRPr="00BD7577">
        <w:rPr>
          <w:rFonts w:ascii="Sylfaen" w:hAnsi="Sylfaen"/>
          <w:sz w:val="24"/>
          <w:szCs w:val="24"/>
        </w:rPr>
        <w:t xml:space="preserve"> նախագծման, դրա որակի, անվտանգության </w:t>
      </w:r>
      <w:r w:rsidR="00C54D75">
        <w:rPr>
          <w:rFonts w:ascii="Sylfaen" w:hAnsi="Sylfaen"/>
          <w:sz w:val="24"/>
          <w:szCs w:val="24"/>
        </w:rPr>
        <w:t>և</w:t>
      </w:r>
      <w:r w:rsidRPr="00BD7577">
        <w:rPr>
          <w:rFonts w:ascii="Sylfaen" w:hAnsi="Sylfaen"/>
          <w:sz w:val="24"/>
          <w:szCs w:val="24"/>
        </w:rPr>
        <w:t xml:space="preserve"> արդյունավետության բոլոր ասպեկտները։ Հետագայում լրացումը կարող է օգտագործվել փորձագետների </w:t>
      </w:r>
      <w:r w:rsidR="00C54D75">
        <w:rPr>
          <w:rFonts w:ascii="Sylfaen" w:hAnsi="Sylfaen"/>
          <w:sz w:val="24"/>
          <w:szCs w:val="24"/>
        </w:rPr>
        <w:t>և</w:t>
      </w:r>
      <w:r w:rsidRPr="00BD7577">
        <w:rPr>
          <w:rFonts w:ascii="Sylfaen" w:hAnsi="Sylfaen"/>
          <w:sz w:val="24"/>
          <w:szCs w:val="24"/>
        </w:rPr>
        <w:t xml:space="preserve"> դեղագործական տեսուչների կողմից՝ որպես փոփոխություններ կատարելու հետգրանցումային հայտերի գնահատման հիմք։</w:t>
      </w:r>
    </w:p>
    <w:p w14:paraId="11F0E7D7" w14:textId="77777777" w:rsidR="008C76E0" w:rsidRPr="00BD7577" w:rsidRDefault="008C76E0" w:rsidP="00780BC1">
      <w:pPr>
        <w:spacing w:after="160" w:line="360" w:lineRule="auto"/>
        <w:ind w:right="-1"/>
        <w:rPr>
          <w:rFonts w:ascii="Sylfaen" w:hAnsi="Sylfaen"/>
          <w:sz w:val="24"/>
          <w:szCs w:val="24"/>
        </w:rPr>
      </w:pPr>
    </w:p>
    <w:p w14:paraId="61FACFC3" w14:textId="77777777" w:rsidR="008C76E0" w:rsidRPr="00BD7577" w:rsidRDefault="008C76E0" w:rsidP="00780BC1">
      <w:pPr>
        <w:spacing w:after="160" w:line="360" w:lineRule="auto"/>
        <w:ind w:right="-1"/>
        <w:jc w:val="center"/>
        <w:rPr>
          <w:rFonts w:ascii="Sylfaen" w:hAnsi="Sylfaen"/>
          <w:sz w:val="24"/>
          <w:szCs w:val="24"/>
        </w:rPr>
      </w:pPr>
      <w:r w:rsidRPr="00BD7577">
        <w:rPr>
          <w:rFonts w:ascii="Sylfaen" w:hAnsi="Sylfaen"/>
          <w:sz w:val="24"/>
          <w:szCs w:val="24"/>
        </w:rPr>
        <w:t>1. Ակտիվ դեղագործական բաղադրամասը</w:t>
      </w:r>
    </w:p>
    <w:p w14:paraId="6E014F91" w14:textId="77777777" w:rsidR="008C76E0" w:rsidRPr="00BD7577" w:rsidRDefault="008C76E0" w:rsidP="00780BC1">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1.1.</w:t>
      </w:r>
      <w:r w:rsidRPr="00BD7577">
        <w:rPr>
          <w:rFonts w:ascii="Sylfaen" w:hAnsi="Sylfaen"/>
          <w:sz w:val="24"/>
          <w:szCs w:val="24"/>
        </w:rPr>
        <w:tab/>
        <w:t>ԱԴԲ-ի դիզայնի ոլորտը։</w:t>
      </w:r>
    </w:p>
    <w:p w14:paraId="435664D0" w14:textId="77777777" w:rsidR="008C76E0" w:rsidRPr="00BD7577" w:rsidRDefault="008C76E0" w:rsidP="00780BC1">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Դիզայնի ոլորտը (բնութագրերն ու դրանց փոփոխությունների համապատասխան տիրույթները) հարկ է ներկայացնել աղյուսակների ձ</w:t>
      </w:r>
      <w:r w:rsidR="00C54D75">
        <w:rPr>
          <w:rFonts w:ascii="Sylfaen" w:hAnsi="Sylfaen"/>
          <w:sz w:val="24"/>
          <w:szCs w:val="24"/>
        </w:rPr>
        <w:t>և</w:t>
      </w:r>
      <w:r w:rsidRPr="00BD7577">
        <w:rPr>
          <w:rFonts w:ascii="Sylfaen" w:hAnsi="Sylfaen"/>
          <w:sz w:val="24"/>
          <w:szCs w:val="24"/>
        </w:rPr>
        <w:t>աչափով։</w:t>
      </w:r>
    </w:p>
    <w:p w14:paraId="64665235" w14:textId="77777777" w:rsidR="008C76E0" w:rsidRPr="00BD7577" w:rsidRDefault="008C76E0" w:rsidP="00780BC1">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1.2.</w:t>
      </w:r>
      <w:r w:rsidRPr="00BD7577">
        <w:rPr>
          <w:rFonts w:ascii="Sylfaen" w:hAnsi="Sylfaen"/>
          <w:sz w:val="24"/>
          <w:szCs w:val="24"/>
        </w:rPr>
        <w:tab/>
        <w:t>ԱԴԲ-ի փոփոխությունների կառավարման արձանագրությունները։</w:t>
      </w:r>
    </w:p>
    <w:p w14:paraId="446CA281" w14:textId="77777777" w:rsidR="008C76E0" w:rsidRPr="00BD7577" w:rsidRDefault="008C76E0" w:rsidP="00780BC1">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Հարկ է նկարագրել համաձայնեցված արձանագրության մեջ ներառված փոփոխությունները, ինչպես նա</w:t>
      </w:r>
      <w:r w:rsidR="00C54D75">
        <w:rPr>
          <w:rFonts w:ascii="Sylfaen" w:hAnsi="Sylfaen"/>
          <w:sz w:val="24"/>
          <w:szCs w:val="24"/>
        </w:rPr>
        <w:t>և</w:t>
      </w:r>
      <w:r w:rsidRPr="00BD7577">
        <w:rPr>
          <w:rFonts w:ascii="Sylfaen" w:hAnsi="Sylfaen"/>
          <w:sz w:val="24"/>
          <w:szCs w:val="24"/>
        </w:rPr>
        <w:t xml:space="preserve"> շեղումների համաձայնեցված սահմանների կատեգորիաները՝ փոփոխությունների ներդրման վերաբերյալ հաշվետվությունների համար։</w:t>
      </w:r>
    </w:p>
    <w:p w14:paraId="16A3143E" w14:textId="77777777" w:rsidR="008C76E0" w:rsidRPr="00BD7577" w:rsidRDefault="008C76E0" w:rsidP="00780BC1">
      <w:pPr>
        <w:spacing w:after="160" w:line="360" w:lineRule="auto"/>
        <w:rPr>
          <w:rFonts w:ascii="Sylfaen" w:hAnsi="Sylfaen"/>
          <w:sz w:val="24"/>
          <w:szCs w:val="24"/>
        </w:rPr>
      </w:pPr>
    </w:p>
    <w:p w14:paraId="094C5F26"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2. Դեղապատրաստուկը</w:t>
      </w:r>
    </w:p>
    <w:p w14:paraId="51EAF95D" w14:textId="77777777" w:rsidR="008C76E0" w:rsidRPr="00BD7577" w:rsidRDefault="008C76E0" w:rsidP="00780BC1">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2.1.</w:t>
      </w:r>
      <w:r w:rsidRPr="00BD7577">
        <w:rPr>
          <w:rFonts w:ascii="Sylfaen" w:hAnsi="Sylfaen"/>
          <w:sz w:val="24"/>
          <w:szCs w:val="24"/>
        </w:rPr>
        <w:tab/>
        <w:t>Դեղապատրաստուկի դիզայնի ոլորտը:</w:t>
      </w:r>
    </w:p>
    <w:p w14:paraId="3E6D4658" w14:textId="77777777" w:rsidR="008C76E0" w:rsidRPr="00BD7577" w:rsidRDefault="008C76E0" w:rsidP="00780BC1">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Աղյուսակների ձ</w:t>
      </w:r>
      <w:r w:rsidR="00C54D75">
        <w:rPr>
          <w:rFonts w:ascii="Sylfaen" w:hAnsi="Sylfaen"/>
          <w:sz w:val="24"/>
          <w:szCs w:val="24"/>
        </w:rPr>
        <w:t>և</w:t>
      </w:r>
      <w:r w:rsidRPr="00BD7577">
        <w:rPr>
          <w:rFonts w:ascii="Sylfaen" w:hAnsi="Sylfaen"/>
          <w:sz w:val="24"/>
          <w:szCs w:val="24"/>
        </w:rPr>
        <w:t>աչափով դիզայնի ոլորտները (բնութագրերն ու դրանց փոփոխությունների համապատասխան տիրույթները) ներկայացնելը։</w:t>
      </w:r>
    </w:p>
    <w:p w14:paraId="0130647B" w14:textId="77777777" w:rsidR="008C76E0" w:rsidRPr="00BD7577" w:rsidRDefault="008C76E0" w:rsidP="00780BC1">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lastRenderedPageBreak/>
        <w:t>2.2.</w:t>
      </w:r>
      <w:r w:rsidRPr="00BD7577">
        <w:rPr>
          <w:rFonts w:ascii="Sylfaen" w:hAnsi="Sylfaen"/>
          <w:sz w:val="24"/>
          <w:szCs w:val="24"/>
        </w:rPr>
        <w:tab/>
        <w:t>Դեղաապատրաստուկի մասով փոփոխությունների կառավարման արձանագրությունները։</w:t>
      </w:r>
    </w:p>
    <w:p w14:paraId="388B733D" w14:textId="77777777" w:rsidR="008C76E0" w:rsidRPr="00BD7577" w:rsidRDefault="008C76E0" w:rsidP="00780BC1">
      <w:pPr>
        <w:spacing w:after="160" w:line="360" w:lineRule="auto"/>
        <w:ind w:right="-1" w:firstLine="567"/>
        <w:jc w:val="both"/>
        <w:rPr>
          <w:rFonts w:ascii="Sylfaen" w:hAnsi="Sylfaen"/>
          <w:sz w:val="24"/>
          <w:szCs w:val="24"/>
        </w:rPr>
      </w:pPr>
      <w:r w:rsidRPr="00BD7577">
        <w:rPr>
          <w:rFonts w:ascii="Sylfaen" w:hAnsi="Sylfaen"/>
          <w:sz w:val="24"/>
          <w:szCs w:val="24"/>
        </w:rPr>
        <w:t>Համաձայնեցված արձանագրության մեջ ներառված փոփոխությունների նկարագրությունը, ինչպես նա</w:t>
      </w:r>
      <w:r w:rsidR="00C54D75">
        <w:rPr>
          <w:rFonts w:ascii="Sylfaen" w:hAnsi="Sylfaen"/>
          <w:sz w:val="24"/>
          <w:szCs w:val="24"/>
        </w:rPr>
        <w:t>և</w:t>
      </w:r>
      <w:r w:rsidRPr="00BD7577">
        <w:rPr>
          <w:rFonts w:ascii="Sylfaen" w:hAnsi="Sylfaen"/>
          <w:sz w:val="24"/>
          <w:szCs w:val="24"/>
        </w:rPr>
        <w:t xml:space="preserve"> համաձայնեցված վարիացիաների կատեգորիաները՝ փոփոխությունների ներդրման վերաբերյալ հաշվետվությունների համար։</w:t>
      </w:r>
    </w:p>
    <w:p w14:paraId="58D0B99C" w14:textId="77777777" w:rsidR="00D91652" w:rsidRPr="00E15E7D" w:rsidRDefault="00D91652" w:rsidP="008C76E0">
      <w:pPr>
        <w:rPr>
          <w:rFonts w:ascii="Sylfaen" w:eastAsia="Times New Roman" w:hAnsi="Sylfaen" w:cs="Times New Roman"/>
          <w:sz w:val="24"/>
          <w:szCs w:val="24"/>
        </w:rPr>
      </w:pPr>
    </w:p>
    <w:p w14:paraId="5A6D81CB" w14:textId="77777777" w:rsidR="00D91652" w:rsidRPr="00E15E7D" w:rsidRDefault="00D91652" w:rsidP="008C76E0">
      <w:pPr>
        <w:rPr>
          <w:rFonts w:ascii="Sylfaen" w:eastAsia="Times New Roman" w:hAnsi="Sylfaen" w:cs="Times New Roman"/>
          <w:sz w:val="24"/>
          <w:szCs w:val="24"/>
        </w:rPr>
        <w:sectPr w:rsidR="00D91652" w:rsidRPr="00E15E7D" w:rsidSect="00D91652">
          <w:pgSz w:w="11907" w:h="16839" w:code="9"/>
          <w:pgMar w:top="1418" w:right="1418" w:bottom="1418" w:left="1418" w:header="709" w:footer="709" w:gutter="0"/>
          <w:pgNumType w:start="1"/>
          <w:cols w:space="708"/>
          <w:titlePg/>
          <w:docGrid w:linePitch="360"/>
        </w:sectPr>
      </w:pPr>
    </w:p>
    <w:p w14:paraId="361926B5" w14:textId="77777777" w:rsidR="008C76E0" w:rsidRPr="00BD7577" w:rsidRDefault="008C76E0" w:rsidP="00780BC1">
      <w:pPr>
        <w:spacing w:after="160" w:line="360" w:lineRule="auto"/>
        <w:ind w:left="4536" w:right="-1"/>
        <w:jc w:val="center"/>
        <w:rPr>
          <w:rFonts w:ascii="Sylfaen" w:hAnsi="Sylfaen"/>
          <w:sz w:val="24"/>
          <w:szCs w:val="24"/>
        </w:rPr>
      </w:pPr>
      <w:r w:rsidRPr="00BD7577">
        <w:rPr>
          <w:rFonts w:ascii="Sylfaen" w:hAnsi="Sylfaen"/>
          <w:sz w:val="24"/>
          <w:szCs w:val="24"/>
        </w:rPr>
        <w:lastRenderedPageBreak/>
        <w:t>ՀԱՎԵԼՎԱԾ ԹԻՎ 9</w:t>
      </w:r>
    </w:p>
    <w:p w14:paraId="7DEEBF0C" w14:textId="77777777" w:rsidR="008C76E0" w:rsidRPr="00BD7577" w:rsidRDefault="008C76E0" w:rsidP="00780BC1">
      <w:pPr>
        <w:spacing w:after="160" w:line="360" w:lineRule="auto"/>
        <w:ind w:left="4536" w:right="-1"/>
        <w:jc w:val="center"/>
        <w:rPr>
          <w:rFonts w:ascii="Sylfaen" w:hAnsi="Sylfaen"/>
          <w:sz w:val="24"/>
          <w:szCs w:val="24"/>
        </w:rPr>
      </w:pPr>
      <w:r w:rsidRPr="00BD7577">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4B2432A2" w14:textId="77777777" w:rsidR="008C76E0" w:rsidRPr="00BD7577" w:rsidRDefault="008C76E0" w:rsidP="00780BC1">
      <w:pPr>
        <w:spacing w:after="160" w:line="360" w:lineRule="auto"/>
        <w:ind w:right="-1"/>
        <w:jc w:val="center"/>
        <w:rPr>
          <w:rFonts w:ascii="Sylfaen" w:hAnsi="Sylfaen"/>
          <w:sz w:val="24"/>
          <w:szCs w:val="24"/>
        </w:rPr>
      </w:pPr>
    </w:p>
    <w:p w14:paraId="46B753AF" w14:textId="77777777" w:rsidR="008C76E0" w:rsidRPr="008C76E0" w:rsidRDefault="008C76E0" w:rsidP="00780BC1">
      <w:pPr>
        <w:pStyle w:val="Heading120"/>
        <w:shd w:val="clear" w:color="auto" w:fill="auto"/>
        <w:spacing w:before="0" w:after="160" w:line="360" w:lineRule="auto"/>
        <w:ind w:left="567" w:right="566"/>
        <w:outlineLvl w:val="9"/>
        <w:rPr>
          <w:rFonts w:ascii="Sylfaen" w:hAnsi="Sylfaen"/>
          <w:b w:val="0"/>
          <w:sz w:val="24"/>
          <w:szCs w:val="24"/>
          <w:lang w:val="hy-AM"/>
        </w:rPr>
      </w:pPr>
      <w:bookmarkStart w:id="2" w:name="bookmark3"/>
      <w:r w:rsidRPr="00FE7941">
        <w:rPr>
          <w:rStyle w:val="Heading12Spacing1pt"/>
          <w:rFonts w:ascii="Sylfaen" w:hAnsi="Sylfaen"/>
          <w:b/>
          <w:spacing w:val="0"/>
          <w:sz w:val="24"/>
          <w:szCs w:val="24"/>
        </w:rPr>
        <w:t>ՁԵՎ</w:t>
      </w:r>
      <w:bookmarkEnd w:id="2"/>
    </w:p>
    <w:p w14:paraId="02122A75" w14:textId="77777777" w:rsidR="008C76E0" w:rsidRPr="008C76E0" w:rsidRDefault="008C76E0" w:rsidP="00780BC1">
      <w:pPr>
        <w:pStyle w:val="Heading120"/>
        <w:shd w:val="clear" w:color="auto" w:fill="auto"/>
        <w:spacing w:before="0" w:after="160" w:line="360" w:lineRule="auto"/>
        <w:ind w:left="567" w:right="566"/>
        <w:outlineLvl w:val="9"/>
        <w:rPr>
          <w:rFonts w:ascii="Sylfaen" w:hAnsi="Sylfaen"/>
          <w:sz w:val="24"/>
          <w:szCs w:val="24"/>
          <w:lang w:val="hy-AM"/>
        </w:rPr>
      </w:pPr>
      <w:bookmarkStart w:id="3" w:name="bookmark4"/>
      <w:r w:rsidRPr="008C76E0">
        <w:rPr>
          <w:rFonts w:ascii="Sylfaen" w:hAnsi="Sylfaen"/>
          <w:sz w:val="24"/>
          <w:szCs w:val="24"/>
          <w:lang w:val="hy-AM"/>
        </w:rPr>
        <w:t>նոր ակտիվ դեղագործական բաղադրամասի կարգավիճակ տալու վերաբերյալ փորձագիտական հաշվետվության</w:t>
      </w:r>
      <w:bookmarkEnd w:id="3"/>
    </w:p>
    <w:p w14:paraId="0DF381BB" w14:textId="77777777" w:rsidR="008C76E0" w:rsidRPr="008C76E0" w:rsidRDefault="008C76E0" w:rsidP="00780BC1">
      <w:pPr>
        <w:pStyle w:val="Heading120"/>
        <w:shd w:val="clear" w:color="auto" w:fill="auto"/>
        <w:spacing w:before="0" w:after="160" w:line="360" w:lineRule="auto"/>
        <w:outlineLvl w:val="9"/>
        <w:rPr>
          <w:rFonts w:ascii="Sylfaen" w:hAnsi="Sylfaen"/>
          <w:sz w:val="24"/>
          <w:szCs w:val="24"/>
          <w:lang w:val="hy-AM"/>
        </w:rPr>
      </w:pPr>
    </w:p>
    <w:p w14:paraId="51C49164" w14:textId="77777777" w:rsidR="008C76E0" w:rsidRPr="00BD7577" w:rsidRDefault="008C76E0" w:rsidP="00780BC1">
      <w:pPr>
        <w:spacing w:after="160" w:line="360" w:lineRule="auto"/>
        <w:ind w:firstLine="567"/>
        <w:jc w:val="both"/>
        <w:rPr>
          <w:rFonts w:ascii="Sylfaen" w:hAnsi="Sylfaen"/>
          <w:sz w:val="24"/>
          <w:szCs w:val="24"/>
        </w:rPr>
      </w:pPr>
      <w:r w:rsidRPr="00BD7577">
        <w:rPr>
          <w:rFonts w:ascii="Sylfaen" w:hAnsi="Sylfaen"/>
          <w:sz w:val="24"/>
          <w:szCs w:val="24"/>
        </w:rPr>
        <w:t>Լրացման վերաբերյալ ցուցումներ՝ տեքստի պատրաստի ձ</w:t>
      </w:r>
      <w:r w:rsidR="00C54D75">
        <w:rPr>
          <w:rFonts w:ascii="Sylfaen" w:hAnsi="Sylfaen"/>
          <w:sz w:val="24"/>
          <w:szCs w:val="24"/>
        </w:rPr>
        <w:t>և</w:t>
      </w:r>
      <w:r w:rsidRPr="00BD7577">
        <w:rPr>
          <w:rFonts w:ascii="Sylfaen" w:hAnsi="Sylfaen"/>
          <w:sz w:val="24"/>
          <w:szCs w:val="24"/>
        </w:rPr>
        <w:t>անմուշներն օգտագործելիս դրանք սույն ձ</w:t>
      </w:r>
      <w:r w:rsidR="00C54D75">
        <w:rPr>
          <w:rFonts w:ascii="Sylfaen" w:hAnsi="Sylfaen"/>
          <w:sz w:val="24"/>
          <w:szCs w:val="24"/>
        </w:rPr>
        <w:t>և</w:t>
      </w:r>
      <w:r w:rsidRPr="00BD7577">
        <w:rPr>
          <w:rFonts w:ascii="Sylfaen" w:hAnsi="Sylfaen"/>
          <w:sz w:val="24"/>
          <w:szCs w:val="24"/>
        </w:rPr>
        <w:t xml:space="preserve">ում առանձնացված են &lt; &gt; նշաններով </w:t>
      </w:r>
      <w:r w:rsidR="00C54D75">
        <w:rPr>
          <w:rFonts w:ascii="Sylfaen" w:hAnsi="Sylfaen"/>
          <w:sz w:val="24"/>
          <w:szCs w:val="24"/>
        </w:rPr>
        <w:t>և</w:t>
      </w:r>
      <w:r w:rsidRPr="00BD7577">
        <w:rPr>
          <w:rFonts w:ascii="Sylfaen" w:hAnsi="Sylfaen"/>
          <w:sz w:val="24"/>
          <w:szCs w:val="24"/>
        </w:rPr>
        <w:t xml:space="preserve"> շեղատառով. տեքստի ձ</w:t>
      </w:r>
      <w:r w:rsidR="00C54D75">
        <w:rPr>
          <w:rFonts w:ascii="Sylfaen" w:hAnsi="Sylfaen"/>
          <w:sz w:val="24"/>
          <w:szCs w:val="24"/>
        </w:rPr>
        <w:t>և</w:t>
      </w:r>
      <w:r w:rsidRPr="00BD7577">
        <w:rPr>
          <w:rFonts w:ascii="Sylfaen" w:hAnsi="Sylfaen"/>
          <w:sz w:val="24"/>
          <w:szCs w:val="24"/>
        </w:rPr>
        <w:t>անմուշների այն հատվածները, որոնք լրացվում են տեքստի որոշակի տարբերակներ ըստ նշված հատկության (պարամետրի) ներմուծելու միջոցով, ներկայացված են ձ</w:t>
      </w:r>
      <w:r w:rsidR="00C54D75">
        <w:rPr>
          <w:rFonts w:ascii="Sylfaen" w:hAnsi="Sylfaen"/>
          <w:sz w:val="24"/>
          <w:szCs w:val="24"/>
        </w:rPr>
        <w:t>և</w:t>
      </w:r>
      <w:r w:rsidRPr="00BD7577">
        <w:rPr>
          <w:rFonts w:ascii="Sylfaen" w:hAnsi="Sylfaen"/>
          <w:sz w:val="24"/>
          <w:szCs w:val="24"/>
        </w:rPr>
        <w:t>ավոր փակագծերի մեջ { }՝ նշելով այն հատկությունը (պարամետրը), որն անհրաժեշտ է ներմուծել շեղատառով, եթե ձ</w:t>
      </w:r>
      <w:r w:rsidR="00C54D75">
        <w:rPr>
          <w:rFonts w:ascii="Sylfaen" w:hAnsi="Sylfaen"/>
          <w:sz w:val="24"/>
          <w:szCs w:val="24"/>
        </w:rPr>
        <w:t>և</w:t>
      </w:r>
      <w:r w:rsidRPr="00BD7577">
        <w:rPr>
          <w:rFonts w:ascii="Sylfaen" w:hAnsi="Sylfaen"/>
          <w:sz w:val="24"/>
          <w:szCs w:val="24"/>
        </w:rPr>
        <w:t>ի մեջ առաջարկվում է տեքստի պատրաստի հատվածների մի քանի տարբերակների ընտրություն, ապա ընտրության պայմանները ներկայացվում են քառակուսի փակագծերում [ ]՝ սովորական տառատեսակով։</w:t>
      </w:r>
    </w:p>
    <w:p w14:paraId="7D0A8B7B" w14:textId="77777777" w:rsidR="008C76E0" w:rsidRPr="00BD7577" w:rsidRDefault="008C76E0" w:rsidP="00780BC1">
      <w:pPr>
        <w:spacing w:after="160" w:line="360" w:lineRule="auto"/>
        <w:rPr>
          <w:rFonts w:ascii="Sylfaen" w:eastAsia="Times New Roman" w:hAnsi="Sylfaen" w:cs="Times New Roman"/>
          <w:sz w:val="24"/>
          <w:szCs w:val="24"/>
        </w:rPr>
      </w:pPr>
      <w:r w:rsidRPr="00BD7577">
        <w:rPr>
          <w:rFonts w:ascii="Sylfaen" w:hAnsi="Sylfaen"/>
          <w:sz w:val="24"/>
          <w:szCs w:val="24"/>
        </w:rPr>
        <w:br w:type="page"/>
      </w:r>
    </w:p>
    <w:p w14:paraId="1895EBF1" w14:textId="77777777" w:rsidR="008C76E0" w:rsidRPr="00BD7577" w:rsidRDefault="008C76E0" w:rsidP="008C76E0">
      <w:pPr>
        <w:ind w:right="-1"/>
        <w:jc w:val="right"/>
        <w:rPr>
          <w:rFonts w:ascii="Sylfaen" w:hAnsi="Sylfaen"/>
          <w:sz w:val="24"/>
          <w:szCs w:val="24"/>
        </w:rPr>
      </w:pPr>
      <w:r w:rsidRPr="00BD7577">
        <w:rPr>
          <w:rFonts w:ascii="Sylfaen" w:hAnsi="Sylfaen"/>
          <w:sz w:val="24"/>
          <w:szCs w:val="24"/>
        </w:rPr>
        <w:lastRenderedPageBreak/>
        <w:t>(ձ</w:t>
      </w:r>
      <w:r w:rsidR="00C54D75">
        <w:rPr>
          <w:rFonts w:ascii="Sylfaen" w:hAnsi="Sylfaen"/>
          <w:sz w:val="24"/>
          <w:szCs w:val="24"/>
        </w:rPr>
        <w:t>և</w:t>
      </w:r>
      <w:r w:rsidRPr="00BD7577">
        <w:rPr>
          <w:rFonts w:ascii="Sylfaen" w:hAnsi="Sylfaen"/>
          <w:sz w:val="24"/>
          <w:szCs w:val="24"/>
        </w:rPr>
        <w:t>)</w:t>
      </w:r>
    </w:p>
    <w:p w14:paraId="4A893293"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ՓՈՐՁԱԳԻՏԱԿԱՆ ՀԱՇՎԵՏՎՈՒԹՅՈՒՆ</w:t>
      </w:r>
    </w:p>
    <w:p w14:paraId="0C6609D2" w14:textId="77777777" w:rsidR="008C76E0" w:rsidRPr="008C76E0" w:rsidRDefault="008C76E0" w:rsidP="00780BC1">
      <w:pPr>
        <w:pStyle w:val="Bodytext40"/>
        <w:shd w:val="clear" w:color="auto" w:fill="auto"/>
        <w:spacing w:before="0" w:after="160" w:line="360" w:lineRule="auto"/>
        <w:ind w:left="1701"/>
        <w:jc w:val="left"/>
        <w:rPr>
          <w:rFonts w:ascii="Sylfaen" w:hAnsi="Sylfaen"/>
          <w:b w:val="0"/>
          <w:sz w:val="24"/>
          <w:szCs w:val="24"/>
          <w:lang w:val="hy-AM"/>
        </w:rPr>
      </w:pPr>
      <w:r w:rsidRPr="008C76E0">
        <w:rPr>
          <w:rFonts w:ascii="Sylfaen" w:hAnsi="Sylfaen"/>
          <w:b w:val="0"/>
          <w:sz w:val="24"/>
          <w:szCs w:val="24"/>
          <w:lang w:val="hy-AM"/>
        </w:rPr>
        <w:t>բաղադրության մեջ մտնող ___________________________________</w:t>
      </w:r>
    </w:p>
    <w:p w14:paraId="41937DA7" w14:textId="77777777" w:rsidR="008C76E0" w:rsidRPr="008C76E0" w:rsidRDefault="008C76E0" w:rsidP="00780BC1">
      <w:pPr>
        <w:pStyle w:val="Bodytext40"/>
        <w:shd w:val="clear" w:color="auto" w:fill="auto"/>
        <w:spacing w:before="0" w:after="160" w:line="360" w:lineRule="auto"/>
        <w:ind w:left="4253"/>
        <w:rPr>
          <w:rFonts w:ascii="Sylfaen" w:hAnsi="Sylfaen"/>
          <w:b w:val="0"/>
          <w:sz w:val="24"/>
          <w:szCs w:val="24"/>
          <w:lang w:val="hy-AM"/>
        </w:rPr>
      </w:pPr>
      <w:r w:rsidRPr="008C76E0">
        <w:rPr>
          <w:rFonts w:ascii="Sylfaen" w:hAnsi="Sylfaen"/>
          <w:b w:val="0"/>
          <w:sz w:val="24"/>
          <w:szCs w:val="24"/>
          <w:lang w:val="hy-AM"/>
        </w:rPr>
        <w:t>(դեղապատրաստուկի անվանումը)</w:t>
      </w:r>
    </w:p>
    <w:p w14:paraId="52484AA1" w14:textId="77777777" w:rsidR="008C76E0" w:rsidRPr="008C76E0" w:rsidRDefault="008C76E0" w:rsidP="00780BC1">
      <w:pPr>
        <w:pStyle w:val="Bodytext40"/>
        <w:shd w:val="clear" w:color="auto" w:fill="auto"/>
        <w:spacing w:before="0" w:after="160" w:line="360" w:lineRule="auto"/>
        <w:rPr>
          <w:rFonts w:ascii="Sylfaen" w:hAnsi="Sylfaen"/>
          <w:b w:val="0"/>
          <w:sz w:val="24"/>
          <w:szCs w:val="24"/>
          <w:lang w:val="hy-AM"/>
        </w:rPr>
      </w:pPr>
      <w:r w:rsidRPr="008C76E0">
        <w:rPr>
          <w:rFonts w:ascii="Sylfaen" w:hAnsi="Sylfaen"/>
          <w:b w:val="0"/>
          <w:sz w:val="24"/>
          <w:szCs w:val="24"/>
          <w:lang w:val="hy-AM"/>
        </w:rPr>
        <w:t>նոր ակտիվ դեղագործական բաղադրամասի ՆԱԴԲ) —————————————</w:t>
      </w:r>
    </w:p>
    <w:p w14:paraId="3A63EFF6" w14:textId="77777777" w:rsidR="008C76E0" w:rsidRPr="00BD7577" w:rsidRDefault="008C76E0" w:rsidP="00780BC1">
      <w:pPr>
        <w:spacing w:after="160" w:line="360" w:lineRule="auto"/>
        <w:ind w:left="5670"/>
        <w:rPr>
          <w:rFonts w:ascii="Sylfaen" w:hAnsi="Sylfaen"/>
          <w:sz w:val="24"/>
          <w:szCs w:val="24"/>
        </w:rPr>
      </w:pPr>
      <w:r w:rsidRPr="00BD7577">
        <w:rPr>
          <w:rFonts w:ascii="Sylfaen" w:hAnsi="Sylfaen"/>
          <w:sz w:val="24"/>
          <w:szCs w:val="24"/>
        </w:rPr>
        <w:t>(ակտիվ դեղագործական բաղադրամասի անվանումը)</w:t>
      </w:r>
    </w:p>
    <w:p w14:paraId="26F9724E" w14:textId="77777777" w:rsidR="008C76E0" w:rsidRPr="008C76E0" w:rsidRDefault="008C76E0" w:rsidP="00780BC1">
      <w:pPr>
        <w:pStyle w:val="Bodytext40"/>
        <w:shd w:val="clear" w:color="auto" w:fill="auto"/>
        <w:spacing w:before="0" w:after="160" w:line="360" w:lineRule="auto"/>
        <w:rPr>
          <w:rFonts w:ascii="Sylfaen" w:hAnsi="Sylfaen"/>
          <w:b w:val="0"/>
          <w:sz w:val="24"/>
          <w:szCs w:val="24"/>
          <w:lang w:val="hy-AM"/>
        </w:rPr>
      </w:pPr>
      <w:r w:rsidRPr="008C76E0">
        <w:rPr>
          <w:rFonts w:ascii="Sylfaen" w:hAnsi="Sylfaen"/>
          <w:b w:val="0"/>
          <w:sz w:val="24"/>
          <w:szCs w:val="24"/>
          <w:lang w:val="hy-AM"/>
        </w:rPr>
        <w:t>կարգավիճակ տալու մասին</w:t>
      </w:r>
    </w:p>
    <w:p w14:paraId="4AA2EE2E" w14:textId="77777777" w:rsidR="008C76E0" w:rsidRPr="008C76E0" w:rsidRDefault="008C76E0" w:rsidP="008C76E0">
      <w:pPr>
        <w:pStyle w:val="Bodytext40"/>
        <w:shd w:val="clear" w:color="auto" w:fill="auto"/>
        <w:spacing w:before="0" w:after="160" w:line="360" w:lineRule="auto"/>
        <w:ind w:right="-1"/>
        <w:rPr>
          <w:rFonts w:ascii="Sylfaen" w:hAnsi="Sylfaen"/>
          <w:sz w:val="24"/>
          <w:szCs w:val="24"/>
          <w:lang w:val="hy-AM"/>
        </w:rPr>
      </w:pPr>
    </w:p>
    <w:tbl>
      <w:tblPr>
        <w:tblOverlap w:val="never"/>
        <w:tblW w:w="9630" w:type="dxa"/>
        <w:jc w:val="center"/>
        <w:tblLayout w:type="fixed"/>
        <w:tblCellMar>
          <w:left w:w="10" w:type="dxa"/>
          <w:right w:w="10" w:type="dxa"/>
        </w:tblCellMar>
        <w:tblLook w:val="04A0" w:firstRow="1" w:lastRow="0" w:firstColumn="1" w:lastColumn="0" w:noHBand="0" w:noVBand="1"/>
      </w:tblPr>
      <w:tblGrid>
        <w:gridCol w:w="5330"/>
        <w:gridCol w:w="4300"/>
      </w:tblGrid>
      <w:tr w:rsidR="008C76E0" w:rsidRPr="00BD7577" w14:paraId="6F5D1841" w14:textId="77777777" w:rsidTr="008C76E0">
        <w:trPr>
          <w:jc w:val="center"/>
        </w:trPr>
        <w:tc>
          <w:tcPr>
            <w:tcW w:w="5330" w:type="dxa"/>
            <w:tcBorders>
              <w:top w:val="single" w:sz="4" w:space="0" w:color="auto"/>
              <w:left w:val="single" w:sz="4" w:space="0" w:color="auto"/>
            </w:tcBorders>
            <w:shd w:val="clear" w:color="auto" w:fill="FFFFFF"/>
          </w:tcPr>
          <w:p w14:paraId="67983E5D"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Փորձագետը՝</w:t>
            </w:r>
          </w:p>
        </w:tc>
        <w:tc>
          <w:tcPr>
            <w:tcW w:w="4299" w:type="dxa"/>
            <w:tcBorders>
              <w:top w:val="single" w:sz="4" w:space="0" w:color="auto"/>
              <w:right w:val="single" w:sz="4" w:space="0" w:color="auto"/>
            </w:tcBorders>
            <w:shd w:val="clear" w:color="auto" w:fill="FFFFFF"/>
          </w:tcPr>
          <w:p w14:paraId="569D65F4"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1D094428" w14:textId="77777777" w:rsidTr="008C76E0">
        <w:trPr>
          <w:jc w:val="center"/>
        </w:trPr>
        <w:tc>
          <w:tcPr>
            <w:tcW w:w="5330" w:type="dxa"/>
            <w:tcBorders>
              <w:top w:val="single" w:sz="4" w:space="0" w:color="auto"/>
              <w:left w:val="single" w:sz="4" w:space="0" w:color="auto"/>
            </w:tcBorders>
            <w:shd w:val="clear" w:color="auto" w:fill="FFFFFF"/>
          </w:tcPr>
          <w:p w14:paraId="617874EA"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Ընթացակարգի սկիզբը՝</w:t>
            </w:r>
          </w:p>
        </w:tc>
        <w:tc>
          <w:tcPr>
            <w:tcW w:w="4299" w:type="dxa"/>
            <w:tcBorders>
              <w:top w:val="single" w:sz="4" w:space="0" w:color="auto"/>
              <w:right w:val="single" w:sz="4" w:space="0" w:color="auto"/>
            </w:tcBorders>
            <w:shd w:val="clear" w:color="auto" w:fill="FFFFFF"/>
          </w:tcPr>
          <w:p w14:paraId="652A2639"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574A37FC" w14:textId="77777777" w:rsidTr="008C76E0">
        <w:trPr>
          <w:jc w:val="center"/>
        </w:trPr>
        <w:tc>
          <w:tcPr>
            <w:tcW w:w="5330" w:type="dxa"/>
            <w:tcBorders>
              <w:top w:val="single" w:sz="4" w:space="0" w:color="auto"/>
              <w:left w:val="single" w:sz="4" w:space="0" w:color="auto"/>
            </w:tcBorders>
            <w:shd w:val="clear" w:color="auto" w:fill="FFFFFF"/>
          </w:tcPr>
          <w:p w14:paraId="07887825"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Սույն հաշվետվության ամսաթիվը՝</w:t>
            </w:r>
          </w:p>
        </w:tc>
        <w:tc>
          <w:tcPr>
            <w:tcW w:w="4299" w:type="dxa"/>
            <w:tcBorders>
              <w:top w:val="single" w:sz="4" w:space="0" w:color="auto"/>
              <w:right w:val="single" w:sz="4" w:space="0" w:color="auto"/>
            </w:tcBorders>
            <w:shd w:val="clear" w:color="auto" w:fill="FFFFFF"/>
          </w:tcPr>
          <w:p w14:paraId="1975CD1B"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49931C37" w14:textId="77777777" w:rsidTr="008C76E0">
        <w:trPr>
          <w:jc w:val="center"/>
        </w:trPr>
        <w:tc>
          <w:tcPr>
            <w:tcW w:w="5330" w:type="dxa"/>
            <w:tcBorders>
              <w:top w:val="single" w:sz="4" w:space="0" w:color="auto"/>
              <w:left w:val="single" w:sz="4" w:space="0" w:color="auto"/>
            </w:tcBorders>
            <w:shd w:val="clear" w:color="auto" w:fill="FFFFFF"/>
          </w:tcPr>
          <w:p w14:paraId="55529AB5"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Մեկնաբանությունների վերջնաժամկետը՝</w:t>
            </w:r>
          </w:p>
        </w:tc>
        <w:tc>
          <w:tcPr>
            <w:tcW w:w="4299" w:type="dxa"/>
            <w:tcBorders>
              <w:top w:val="single" w:sz="4" w:space="0" w:color="auto"/>
              <w:right w:val="single" w:sz="4" w:space="0" w:color="auto"/>
            </w:tcBorders>
            <w:shd w:val="clear" w:color="auto" w:fill="FFFFFF"/>
          </w:tcPr>
          <w:p w14:paraId="5D05FBA0"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576CA0F6" w14:textId="77777777" w:rsidTr="008C76E0">
        <w:trPr>
          <w:jc w:val="center"/>
        </w:trPr>
        <w:tc>
          <w:tcPr>
            <w:tcW w:w="9629" w:type="dxa"/>
            <w:gridSpan w:val="2"/>
            <w:tcBorders>
              <w:top w:val="single" w:sz="4" w:space="0" w:color="auto"/>
            </w:tcBorders>
            <w:shd w:val="clear" w:color="auto" w:fill="FFFFFF"/>
            <w:vAlign w:val="center"/>
          </w:tcPr>
          <w:p w14:paraId="2BAE43D2" w14:textId="77777777" w:rsidR="008C76E0" w:rsidRPr="00BD7577" w:rsidRDefault="008C76E0" w:rsidP="008C76E0">
            <w:pPr>
              <w:pStyle w:val="Bodytext180"/>
              <w:shd w:val="clear" w:color="auto" w:fill="auto"/>
              <w:spacing w:before="0" w:after="120" w:line="240" w:lineRule="auto"/>
              <w:ind w:left="130" w:right="79" w:firstLine="0"/>
              <w:jc w:val="center"/>
              <w:rPr>
                <w:rFonts w:ascii="Sylfaen" w:hAnsi="Sylfaen"/>
                <w:b w:val="0"/>
                <w:sz w:val="24"/>
                <w:szCs w:val="24"/>
              </w:rPr>
            </w:pPr>
            <w:r w:rsidRPr="00BD7577">
              <w:rPr>
                <w:rStyle w:val="Bodytext295pt"/>
                <w:rFonts w:ascii="Sylfaen" w:hAnsi="Sylfaen"/>
                <w:spacing w:val="0"/>
                <w:sz w:val="24"/>
                <w:szCs w:val="24"/>
              </w:rPr>
              <w:t>Վարչական տեղեկատվությունը</w:t>
            </w:r>
          </w:p>
        </w:tc>
      </w:tr>
      <w:tr w:rsidR="008C76E0" w:rsidRPr="00BD7577" w14:paraId="7A232B24" w14:textId="77777777" w:rsidTr="008C76E0">
        <w:trPr>
          <w:jc w:val="center"/>
        </w:trPr>
        <w:tc>
          <w:tcPr>
            <w:tcW w:w="5330" w:type="dxa"/>
            <w:tcBorders>
              <w:top w:val="single" w:sz="4" w:space="0" w:color="auto"/>
              <w:left w:val="single" w:sz="4" w:space="0" w:color="auto"/>
            </w:tcBorders>
            <w:shd w:val="clear" w:color="auto" w:fill="FFFFFF"/>
            <w:vAlign w:val="bottom"/>
          </w:tcPr>
          <w:p w14:paraId="7D67D6C1"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Գրանցման հայտի նույնականացման համարը</w:t>
            </w:r>
          </w:p>
        </w:tc>
        <w:tc>
          <w:tcPr>
            <w:tcW w:w="4299" w:type="dxa"/>
            <w:tcBorders>
              <w:top w:val="single" w:sz="4" w:space="0" w:color="auto"/>
              <w:left w:val="single" w:sz="4" w:space="0" w:color="auto"/>
              <w:right w:val="single" w:sz="4" w:space="0" w:color="auto"/>
            </w:tcBorders>
            <w:shd w:val="clear" w:color="auto" w:fill="FFFFFF"/>
          </w:tcPr>
          <w:p w14:paraId="13A69EB4"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412F4B60" w14:textId="77777777" w:rsidTr="008C76E0">
        <w:trPr>
          <w:jc w:val="center"/>
        </w:trPr>
        <w:tc>
          <w:tcPr>
            <w:tcW w:w="5330" w:type="dxa"/>
            <w:tcBorders>
              <w:top w:val="single" w:sz="4" w:space="0" w:color="auto"/>
              <w:left w:val="single" w:sz="4" w:space="0" w:color="auto"/>
            </w:tcBorders>
            <w:shd w:val="clear" w:color="auto" w:fill="FFFFFF"/>
            <w:vAlign w:val="bottom"/>
          </w:tcPr>
          <w:p w14:paraId="323AF66B"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Դեղամիջոցի առ</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տրային անվանումը</w:t>
            </w:r>
          </w:p>
        </w:tc>
        <w:tc>
          <w:tcPr>
            <w:tcW w:w="4299" w:type="dxa"/>
            <w:tcBorders>
              <w:top w:val="single" w:sz="4" w:space="0" w:color="auto"/>
              <w:left w:val="single" w:sz="4" w:space="0" w:color="auto"/>
              <w:right w:val="single" w:sz="4" w:space="0" w:color="auto"/>
            </w:tcBorders>
            <w:shd w:val="clear" w:color="auto" w:fill="FFFFFF"/>
          </w:tcPr>
          <w:p w14:paraId="1B0C47E8"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216F20B6" w14:textId="77777777" w:rsidTr="008C76E0">
        <w:trPr>
          <w:jc w:val="center"/>
        </w:trPr>
        <w:tc>
          <w:tcPr>
            <w:tcW w:w="5330" w:type="dxa"/>
            <w:tcBorders>
              <w:top w:val="single" w:sz="4" w:space="0" w:color="auto"/>
              <w:left w:val="single" w:sz="4" w:space="0" w:color="auto"/>
            </w:tcBorders>
            <w:shd w:val="clear" w:color="auto" w:fill="FFFFFF"/>
            <w:vAlign w:val="bottom"/>
          </w:tcPr>
          <w:p w14:paraId="4E6B6F46"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Ակտիվ դեղագործական բաղադրամասը</w:t>
            </w:r>
          </w:p>
        </w:tc>
        <w:tc>
          <w:tcPr>
            <w:tcW w:w="4299" w:type="dxa"/>
            <w:tcBorders>
              <w:top w:val="single" w:sz="4" w:space="0" w:color="auto"/>
              <w:left w:val="single" w:sz="4" w:space="0" w:color="auto"/>
              <w:right w:val="single" w:sz="4" w:space="0" w:color="auto"/>
            </w:tcBorders>
            <w:shd w:val="clear" w:color="auto" w:fill="FFFFFF"/>
          </w:tcPr>
          <w:p w14:paraId="0A98C2A0"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00CA7EF5" w14:textId="77777777" w:rsidTr="008C76E0">
        <w:trPr>
          <w:jc w:val="center"/>
        </w:trPr>
        <w:tc>
          <w:tcPr>
            <w:tcW w:w="5330" w:type="dxa"/>
            <w:tcBorders>
              <w:top w:val="single" w:sz="4" w:space="0" w:color="auto"/>
              <w:left w:val="single" w:sz="4" w:space="0" w:color="auto"/>
            </w:tcBorders>
            <w:shd w:val="clear" w:color="auto" w:fill="FFFFFF"/>
            <w:vAlign w:val="bottom"/>
          </w:tcPr>
          <w:p w14:paraId="3F469C84"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Ակտիվ դեղագործական բաղադրամասի միջազգային չարտոնագրված անվանումը (ՄՉԱ) կամ համընդհանուր անվանումը</w:t>
            </w:r>
          </w:p>
        </w:tc>
        <w:tc>
          <w:tcPr>
            <w:tcW w:w="4299" w:type="dxa"/>
            <w:tcBorders>
              <w:top w:val="single" w:sz="4" w:space="0" w:color="auto"/>
              <w:left w:val="single" w:sz="4" w:space="0" w:color="auto"/>
              <w:right w:val="single" w:sz="4" w:space="0" w:color="auto"/>
            </w:tcBorders>
            <w:shd w:val="clear" w:color="auto" w:fill="FFFFFF"/>
          </w:tcPr>
          <w:p w14:paraId="12EF48DA"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4F68039D" w14:textId="77777777" w:rsidTr="008C76E0">
        <w:trPr>
          <w:jc w:val="center"/>
        </w:trPr>
        <w:tc>
          <w:tcPr>
            <w:tcW w:w="5330" w:type="dxa"/>
            <w:tcBorders>
              <w:top w:val="single" w:sz="4" w:space="0" w:color="auto"/>
              <w:left w:val="single" w:sz="4" w:space="0" w:color="auto"/>
            </w:tcBorders>
            <w:shd w:val="clear" w:color="auto" w:fill="FFFFFF"/>
            <w:vAlign w:val="bottom"/>
          </w:tcPr>
          <w:p w14:paraId="73753379"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Հայտատուն</w:t>
            </w:r>
          </w:p>
        </w:tc>
        <w:tc>
          <w:tcPr>
            <w:tcW w:w="4299" w:type="dxa"/>
            <w:tcBorders>
              <w:top w:val="single" w:sz="4" w:space="0" w:color="auto"/>
              <w:left w:val="single" w:sz="4" w:space="0" w:color="auto"/>
              <w:right w:val="single" w:sz="4" w:space="0" w:color="auto"/>
            </w:tcBorders>
            <w:shd w:val="clear" w:color="auto" w:fill="FFFFFF"/>
          </w:tcPr>
          <w:p w14:paraId="7244AB2E"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39374840" w14:textId="77777777" w:rsidTr="008C76E0">
        <w:trPr>
          <w:jc w:val="center"/>
        </w:trPr>
        <w:tc>
          <w:tcPr>
            <w:tcW w:w="5330" w:type="dxa"/>
            <w:tcBorders>
              <w:top w:val="single" w:sz="4" w:space="0" w:color="auto"/>
              <w:left w:val="single" w:sz="4" w:space="0" w:color="auto"/>
            </w:tcBorders>
            <w:shd w:val="clear" w:color="auto" w:fill="FFFFFF"/>
            <w:vAlign w:val="bottom"/>
          </w:tcPr>
          <w:p w14:paraId="645F7A45"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Կիրառման հայտագրված ցուցումները</w:t>
            </w:r>
          </w:p>
        </w:tc>
        <w:tc>
          <w:tcPr>
            <w:tcW w:w="4299" w:type="dxa"/>
            <w:tcBorders>
              <w:top w:val="single" w:sz="4" w:space="0" w:color="auto"/>
              <w:left w:val="single" w:sz="4" w:space="0" w:color="auto"/>
              <w:right w:val="single" w:sz="4" w:space="0" w:color="auto"/>
            </w:tcBorders>
            <w:shd w:val="clear" w:color="auto" w:fill="FFFFFF"/>
          </w:tcPr>
          <w:p w14:paraId="3DE299E9"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4CCECC63" w14:textId="77777777" w:rsidTr="008C76E0">
        <w:trPr>
          <w:jc w:val="center"/>
        </w:trPr>
        <w:tc>
          <w:tcPr>
            <w:tcW w:w="5330" w:type="dxa"/>
            <w:tcBorders>
              <w:top w:val="single" w:sz="4" w:space="0" w:color="auto"/>
              <w:left w:val="single" w:sz="4" w:space="0" w:color="auto"/>
            </w:tcBorders>
            <w:shd w:val="clear" w:color="auto" w:fill="FFFFFF"/>
            <w:vAlign w:val="bottom"/>
          </w:tcPr>
          <w:p w14:paraId="18DB9977"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Դեղաթերապ</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տիկ խումբը (ԱԲՔ-ծածկագիրը)</w:t>
            </w:r>
          </w:p>
        </w:tc>
        <w:tc>
          <w:tcPr>
            <w:tcW w:w="4299" w:type="dxa"/>
            <w:tcBorders>
              <w:top w:val="single" w:sz="4" w:space="0" w:color="auto"/>
              <w:left w:val="single" w:sz="4" w:space="0" w:color="auto"/>
              <w:right w:val="single" w:sz="4" w:space="0" w:color="auto"/>
            </w:tcBorders>
            <w:shd w:val="clear" w:color="auto" w:fill="FFFFFF"/>
          </w:tcPr>
          <w:p w14:paraId="3B9B3862"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73B6E1D4" w14:textId="77777777" w:rsidTr="008C76E0">
        <w:trPr>
          <w:jc w:val="center"/>
        </w:trPr>
        <w:tc>
          <w:tcPr>
            <w:tcW w:w="5330" w:type="dxa"/>
            <w:tcBorders>
              <w:top w:val="single" w:sz="4" w:space="0" w:color="auto"/>
              <w:left w:val="single" w:sz="4" w:space="0" w:color="auto"/>
            </w:tcBorders>
            <w:shd w:val="clear" w:color="auto" w:fill="FFFFFF"/>
            <w:vAlign w:val="bottom"/>
          </w:tcPr>
          <w:p w14:paraId="3483C210" w14:textId="77777777" w:rsidR="008C76E0" w:rsidRPr="00BD7577" w:rsidRDefault="008C76E0" w:rsidP="008C76E0">
            <w:pPr>
              <w:pStyle w:val="Bodytext180"/>
              <w:shd w:val="clear" w:color="auto" w:fill="auto"/>
              <w:spacing w:before="0" w:after="120" w:line="240" w:lineRule="auto"/>
              <w:ind w:left="130" w:right="79" w:firstLine="0"/>
              <w:jc w:val="both"/>
              <w:rPr>
                <w:rFonts w:ascii="Sylfaen" w:hAnsi="Sylfaen"/>
                <w:b w:val="0"/>
                <w:sz w:val="24"/>
                <w:szCs w:val="24"/>
              </w:rPr>
            </w:pPr>
            <w:r w:rsidRPr="00BD7577">
              <w:rPr>
                <w:rStyle w:val="Bodytext295pt"/>
                <w:rFonts w:ascii="Sylfaen" w:hAnsi="Sylfaen"/>
                <w:spacing w:val="0"/>
                <w:sz w:val="24"/>
                <w:szCs w:val="24"/>
              </w:rPr>
              <w:t>Դեղաձ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դեղաչափերը</w:t>
            </w:r>
          </w:p>
        </w:tc>
        <w:tc>
          <w:tcPr>
            <w:tcW w:w="4299" w:type="dxa"/>
            <w:tcBorders>
              <w:top w:val="single" w:sz="4" w:space="0" w:color="auto"/>
              <w:left w:val="single" w:sz="4" w:space="0" w:color="auto"/>
              <w:right w:val="single" w:sz="4" w:space="0" w:color="auto"/>
            </w:tcBorders>
            <w:shd w:val="clear" w:color="auto" w:fill="FFFFFF"/>
          </w:tcPr>
          <w:p w14:paraId="3DB8C052" w14:textId="77777777" w:rsidR="008C76E0" w:rsidRPr="00BD7577" w:rsidRDefault="008C76E0" w:rsidP="008C76E0">
            <w:pPr>
              <w:spacing w:after="120" w:line="240" w:lineRule="auto"/>
              <w:ind w:left="130" w:right="79"/>
              <w:jc w:val="both"/>
              <w:rPr>
                <w:rFonts w:ascii="Sylfaen" w:hAnsi="Sylfaen"/>
                <w:sz w:val="24"/>
                <w:szCs w:val="24"/>
              </w:rPr>
            </w:pPr>
          </w:p>
        </w:tc>
      </w:tr>
      <w:tr w:rsidR="008C76E0" w:rsidRPr="00BD7577" w14:paraId="538CB9D7" w14:textId="77777777" w:rsidTr="008C76E0">
        <w:trPr>
          <w:jc w:val="center"/>
        </w:trPr>
        <w:tc>
          <w:tcPr>
            <w:tcW w:w="5330" w:type="dxa"/>
            <w:tcBorders>
              <w:top w:val="single" w:sz="4" w:space="0" w:color="auto"/>
              <w:left w:val="single" w:sz="4" w:space="0" w:color="auto"/>
              <w:bottom w:val="single" w:sz="4" w:space="0" w:color="auto"/>
            </w:tcBorders>
            <w:shd w:val="clear" w:color="auto" w:fill="FFFFFF"/>
          </w:tcPr>
          <w:p w14:paraId="4A026C43"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 xml:space="preserve">Փորձագետների տվյալները (ներքին փորձագետ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անկախ փորձագետ)</w:t>
            </w:r>
          </w:p>
        </w:tc>
        <w:tc>
          <w:tcPr>
            <w:tcW w:w="4299" w:type="dxa"/>
            <w:tcBorders>
              <w:top w:val="single" w:sz="4" w:space="0" w:color="auto"/>
              <w:left w:val="single" w:sz="4" w:space="0" w:color="auto"/>
              <w:bottom w:val="single" w:sz="4" w:space="0" w:color="auto"/>
              <w:right w:val="single" w:sz="4" w:space="0" w:color="auto"/>
            </w:tcBorders>
            <w:shd w:val="clear" w:color="auto" w:fill="FFFFFF"/>
            <w:vAlign w:val="bottom"/>
          </w:tcPr>
          <w:p w14:paraId="5A00360F" w14:textId="77777777" w:rsidR="008C76E0" w:rsidRPr="00BD7577" w:rsidRDefault="008C76E0" w:rsidP="008C76E0">
            <w:pPr>
              <w:pStyle w:val="Bodytext180"/>
              <w:shd w:val="clear" w:color="auto" w:fill="auto"/>
              <w:spacing w:before="0" w:after="120" w:line="240" w:lineRule="auto"/>
              <w:ind w:left="130" w:right="79" w:firstLine="0"/>
              <w:jc w:val="both"/>
              <w:rPr>
                <w:rStyle w:val="Bodytext295pt"/>
                <w:rFonts w:ascii="Sylfaen" w:hAnsi="Sylfaen"/>
                <w:spacing w:val="0"/>
                <w:sz w:val="24"/>
                <w:szCs w:val="24"/>
              </w:rPr>
            </w:pPr>
            <w:r w:rsidRPr="00BD7577">
              <w:rPr>
                <w:rStyle w:val="Bodytext295pt"/>
                <w:rFonts w:ascii="Sylfaen" w:hAnsi="Sylfaen"/>
                <w:spacing w:val="0"/>
                <w:sz w:val="24"/>
                <w:szCs w:val="24"/>
              </w:rPr>
              <w:t xml:space="preserve">3-րդ մոդուլի փորձագետ՝ </w:t>
            </w:r>
          </w:p>
          <w:p w14:paraId="5526B09E"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Ա.Ա.Հ.-ն՝</w:t>
            </w:r>
          </w:p>
          <w:p w14:paraId="48528F11"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p w14:paraId="224747B5" w14:textId="77777777" w:rsidR="008C76E0" w:rsidRPr="00BD7577" w:rsidRDefault="008C76E0" w:rsidP="008C76E0">
            <w:pPr>
              <w:pStyle w:val="Bodytext180"/>
              <w:shd w:val="clear" w:color="auto" w:fill="auto"/>
              <w:spacing w:before="0" w:after="120" w:line="240" w:lineRule="auto"/>
              <w:ind w:left="130" w:right="79" w:firstLine="0"/>
              <w:jc w:val="both"/>
              <w:rPr>
                <w:rStyle w:val="Bodytext295pt"/>
                <w:rFonts w:ascii="Sylfaen" w:hAnsi="Sylfaen"/>
                <w:spacing w:val="0"/>
                <w:sz w:val="24"/>
                <w:szCs w:val="24"/>
              </w:rPr>
            </w:pPr>
            <w:r w:rsidRPr="00BD7577">
              <w:rPr>
                <w:rStyle w:val="Bodytext295pt"/>
                <w:rFonts w:ascii="Sylfaen" w:hAnsi="Sylfaen"/>
                <w:spacing w:val="0"/>
                <w:sz w:val="24"/>
                <w:szCs w:val="24"/>
              </w:rPr>
              <w:t xml:space="preserve">4-րդ մոդուլի փորձագետ՝ </w:t>
            </w:r>
          </w:p>
          <w:p w14:paraId="2396BE00"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lastRenderedPageBreak/>
              <w:t>Ա.Ա.Հ.-ն՝</w:t>
            </w:r>
          </w:p>
          <w:p w14:paraId="6903D845"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tc>
      </w:tr>
      <w:tr w:rsidR="008C76E0" w:rsidRPr="00BD7577" w14:paraId="2295C4A5" w14:textId="77777777" w:rsidTr="008C76E0">
        <w:trPr>
          <w:jc w:val="center"/>
        </w:trPr>
        <w:tc>
          <w:tcPr>
            <w:tcW w:w="5330" w:type="dxa"/>
            <w:tcBorders>
              <w:top w:val="single" w:sz="4" w:space="0" w:color="auto"/>
              <w:left w:val="single" w:sz="4" w:space="0" w:color="auto"/>
              <w:bottom w:val="single" w:sz="4" w:space="0" w:color="auto"/>
            </w:tcBorders>
            <w:shd w:val="clear" w:color="auto" w:fill="FFFFFF"/>
          </w:tcPr>
          <w:p w14:paraId="58C240B9" w14:textId="77777777" w:rsidR="008C76E0" w:rsidRPr="00BD7577" w:rsidRDefault="008C76E0" w:rsidP="008C76E0">
            <w:pPr>
              <w:spacing w:after="120" w:line="240" w:lineRule="auto"/>
              <w:ind w:left="130" w:right="79"/>
              <w:jc w:val="both"/>
              <w:rPr>
                <w:rFonts w:ascii="Sylfaen" w:hAnsi="Sylfaen"/>
                <w:sz w:val="24"/>
                <w:szCs w:val="24"/>
              </w:rPr>
            </w:pPr>
          </w:p>
        </w:tc>
        <w:tc>
          <w:tcPr>
            <w:tcW w:w="4300" w:type="dxa"/>
            <w:tcBorders>
              <w:top w:val="single" w:sz="4" w:space="0" w:color="auto"/>
              <w:left w:val="single" w:sz="4" w:space="0" w:color="auto"/>
              <w:bottom w:val="single" w:sz="4" w:space="0" w:color="auto"/>
              <w:right w:val="single" w:sz="4" w:space="0" w:color="auto"/>
            </w:tcBorders>
            <w:shd w:val="clear" w:color="auto" w:fill="FFFFFF"/>
            <w:vAlign w:val="bottom"/>
          </w:tcPr>
          <w:p w14:paraId="2F39EE52" w14:textId="77777777" w:rsidR="008C76E0" w:rsidRPr="00BD7577" w:rsidRDefault="008C76E0" w:rsidP="008C76E0">
            <w:pPr>
              <w:pStyle w:val="Bodytext180"/>
              <w:shd w:val="clear" w:color="auto" w:fill="auto"/>
              <w:spacing w:before="0" w:after="120" w:line="240" w:lineRule="auto"/>
              <w:ind w:left="130" w:right="79" w:firstLine="0"/>
              <w:jc w:val="both"/>
              <w:rPr>
                <w:rStyle w:val="Bodytext295pt"/>
                <w:rFonts w:ascii="Sylfaen" w:hAnsi="Sylfaen"/>
                <w:spacing w:val="0"/>
                <w:sz w:val="24"/>
                <w:szCs w:val="24"/>
              </w:rPr>
            </w:pPr>
            <w:r w:rsidRPr="00BD7577">
              <w:rPr>
                <w:rStyle w:val="Bodytext295pt"/>
                <w:rFonts w:ascii="Sylfaen" w:hAnsi="Sylfaen"/>
                <w:spacing w:val="0"/>
                <w:sz w:val="24"/>
                <w:szCs w:val="24"/>
              </w:rPr>
              <w:t xml:space="preserve">5-րդ մոդուլի փորձագետ՝ </w:t>
            </w:r>
          </w:p>
          <w:p w14:paraId="5C7895F5"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Ա.Ա.Հ.-ն՝</w:t>
            </w:r>
          </w:p>
          <w:p w14:paraId="191DAD80" w14:textId="77777777" w:rsidR="008C76E0" w:rsidRPr="008C76E0" w:rsidRDefault="008C76E0" w:rsidP="008C76E0">
            <w:pPr>
              <w:pStyle w:val="Bodytext180"/>
              <w:shd w:val="clear" w:color="auto" w:fill="auto"/>
              <w:spacing w:before="0" w:after="120" w:line="240" w:lineRule="auto"/>
              <w:ind w:left="130" w:right="79" w:firstLine="0"/>
              <w:jc w:val="both"/>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tc>
      </w:tr>
    </w:tbl>
    <w:p w14:paraId="66A5A9CF" w14:textId="77777777" w:rsidR="008C76E0" w:rsidRPr="00BD7577" w:rsidRDefault="008C76E0" w:rsidP="008C76E0">
      <w:pPr>
        <w:ind w:right="-1"/>
        <w:rPr>
          <w:rFonts w:ascii="Sylfaen" w:hAnsi="Sylfaen"/>
          <w:sz w:val="24"/>
          <w:szCs w:val="24"/>
        </w:rPr>
      </w:pPr>
    </w:p>
    <w:p w14:paraId="7C70490E"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1. Հանձնարարական</w:t>
      </w:r>
    </w:p>
    <w:p w14:paraId="7AAF9CA3" w14:textId="77777777" w:rsidR="008C76E0" w:rsidRPr="00BD7577" w:rsidRDefault="008C76E0" w:rsidP="00780BC1">
      <w:pPr>
        <w:spacing w:after="160" w:line="360" w:lineRule="auto"/>
        <w:ind w:firstLine="567"/>
        <w:jc w:val="both"/>
        <w:rPr>
          <w:rFonts w:ascii="Sylfaen" w:hAnsi="Sylfaen"/>
          <w:sz w:val="24"/>
          <w:szCs w:val="24"/>
        </w:rPr>
      </w:pPr>
      <w:r w:rsidRPr="00BD7577">
        <w:rPr>
          <w:rFonts w:ascii="Sylfaen" w:hAnsi="Sylfaen"/>
          <w:sz w:val="24"/>
          <w:szCs w:val="24"/>
        </w:rPr>
        <w:t xml:space="preserve">Տվյալների ամփոփման հիման վրա փորձագետը գտնում է, որ </w:t>
      </w:r>
      <w:r w:rsidRPr="007106A3">
        <w:rPr>
          <w:rFonts w:ascii="Sylfaen" w:hAnsi="Sylfaen"/>
          <w:i/>
          <w:sz w:val="24"/>
          <w:szCs w:val="24"/>
        </w:rPr>
        <w:t>&lt;Դեղապատրաստուկի անվանումը&gt;</w:t>
      </w:r>
      <w:r w:rsidRPr="00BD7577">
        <w:rPr>
          <w:rFonts w:ascii="Sylfaen" w:hAnsi="Sylfaen"/>
          <w:sz w:val="24"/>
          <w:szCs w:val="24"/>
        </w:rPr>
        <w:t xml:space="preserve"> դեղապատրաստուկի բաղադրության մեջ մտնող ակտիվ դեղագործական բաղադրամասը (ազդող նյութը)՝</w:t>
      </w:r>
      <w:r w:rsidRPr="00BD7577">
        <w:rPr>
          <w:rStyle w:val="Bodytext295pt"/>
          <w:rFonts w:ascii="Sylfaen" w:eastAsiaTheme="minorHAnsi" w:hAnsi="Sylfaen"/>
          <w:b w:val="0"/>
          <w:spacing w:val="0"/>
          <w:sz w:val="24"/>
          <w:szCs w:val="24"/>
        </w:rPr>
        <w:t xml:space="preserve"> </w:t>
      </w:r>
      <w:r w:rsidRPr="007106A3">
        <w:rPr>
          <w:rStyle w:val="Bodytext295pt"/>
          <w:rFonts w:ascii="Sylfaen" w:eastAsiaTheme="minorHAnsi" w:hAnsi="Sylfaen"/>
          <w:b w:val="0"/>
          <w:i/>
          <w:spacing w:val="0"/>
          <w:sz w:val="24"/>
          <w:szCs w:val="24"/>
        </w:rPr>
        <w:t>&lt;Ակտիվ դեղագործական բաղադրամասի անվանումը&gt;,</w:t>
      </w:r>
    </w:p>
    <w:p w14:paraId="3E19117A" w14:textId="77777777" w:rsidR="008C76E0" w:rsidRPr="008C76E0" w:rsidRDefault="008C76E0" w:rsidP="00780BC1">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&lt;կարող է որակվել որպես նոր &lt;ինքնուրույն&gt; ակտիվ դեղագործական բաղադրամաս՝ &lt;հայտնի &lt;գրանցված իզոմերի (իզոմերների խառնուրդի, համալիրի, ածանցյալի, աղի {ՄՉԱ (աղ)} հետ համեմատած, որը նախկինում Միությունում գրանցվել է որպես &lt;ակտիվ դեղագործական բաղադրամաս&gt;, քանի որ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տեսանկյունից այն հատկություններով զգալիորեն տարբերվում է նախկինում գրանցված բաղադրամասից&gt;.</w:t>
      </w:r>
    </w:p>
    <w:p w14:paraId="62C03D53" w14:textId="77777777" w:rsidR="008C76E0" w:rsidRPr="008C76E0" w:rsidRDefault="008C76E0" w:rsidP="00780BC1">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&lt;կարող է որակվել որպես նոր &lt;ինքնուրույն&gt; ակտիվ դեղագործական բաղադրամաս՝ &lt;հայտնի &lt;գրանցված իզոմերի (իզոմերների խառնուրդի, համալիրի, ածանցյալի, աղի {ՄՉԱ (աղ)}հետ համեմատած, որը նախկինում Միությունում գրանցված էր որպես {գրանցված դեղապատրաստուկի անվանումը}, &lt;պայմանով, որ Դիտողությունների ցանկում մանրամասն շարադրված դիտողություններին տրվել են բավարարող պատասխաններ&gt;.</w:t>
      </w:r>
    </w:p>
    <w:p w14:paraId="03FD885A" w14:textId="77777777" w:rsidR="008C76E0" w:rsidRPr="008C76E0" w:rsidRDefault="008C76E0" w:rsidP="00780BC1">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&lt;չի որակվում որպես նոր &lt;ինքնուրույն&gt; ակտիվ դեղագործական բաղադրամաս՝ &lt;հայտնի &lt;գրանցված իզոմերի (իզոմերների խառնուրդի, համալիրի, ածանցյալի, աղի {ՄՉԱ (աղ)} հետ համեմատած, որը նախկինում </w:t>
      </w:r>
      <w:r w:rsidRPr="008C76E0">
        <w:rPr>
          <w:rFonts w:ascii="Sylfaen" w:hAnsi="Sylfaen"/>
          <w:b w:val="0"/>
          <w:sz w:val="24"/>
          <w:szCs w:val="24"/>
          <w:lang w:val="hy-AM"/>
        </w:rPr>
        <w:lastRenderedPageBreak/>
        <w:t xml:space="preserve">Միությունում գրանցվել է որպես {գրանցված դեղապատրաստուկի անվանումը}, քանի որ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տեսանկյունից այն հատկություններով զգալիորեն չի տարբերվում նախկինում գրանցված բաղադրամասից&gt;: Ակտիվ դեղագործական բաղադրամասի՝ որպես նոր ակտիվ դեղագործական բաղադրամաս որակմանը խոչընդոտող դիտողությունները մանրամասն շարադրված են Դիտողությունների ցանկում&gt;:</w:t>
      </w:r>
    </w:p>
    <w:p w14:paraId="30648717" w14:textId="77777777" w:rsidR="008C76E0" w:rsidRPr="00BD7577" w:rsidRDefault="008C76E0" w:rsidP="00780BC1">
      <w:pPr>
        <w:spacing w:after="160" w:line="360" w:lineRule="auto"/>
        <w:rPr>
          <w:rFonts w:ascii="Sylfaen" w:hAnsi="Sylfaen"/>
          <w:sz w:val="24"/>
          <w:szCs w:val="24"/>
        </w:rPr>
      </w:pPr>
    </w:p>
    <w:p w14:paraId="1B9F3F25"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2. Ամփոփ ռեզյումե</w:t>
      </w:r>
    </w:p>
    <w:p w14:paraId="47463459" w14:textId="77777777" w:rsidR="008C76E0" w:rsidRPr="00BD7577" w:rsidRDefault="008C76E0" w:rsidP="00780BC1">
      <w:pPr>
        <w:spacing w:after="160" w:line="360" w:lineRule="auto"/>
        <w:jc w:val="center"/>
        <w:rPr>
          <w:rFonts w:ascii="Sylfaen" w:hAnsi="Sylfaen"/>
          <w:sz w:val="24"/>
          <w:szCs w:val="24"/>
        </w:rPr>
      </w:pPr>
    </w:p>
    <w:p w14:paraId="6B53263A"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2.1. Խնդրի ձ</w:t>
      </w:r>
      <w:r w:rsidR="00C54D75">
        <w:rPr>
          <w:rFonts w:ascii="Sylfaen" w:hAnsi="Sylfaen"/>
          <w:sz w:val="24"/>
          <w:szCs w:val="24"/>
        </w:rPr>
        <w:t>և</w:t>
      </w:r>
      <w:r w:rsidRPr="00BD7577">
        <w:rPr>
          <w:rFonts w:ascii="Sylfaen" w:hAnsi="Sylfaen"/>
          <w:sz w:val="24"/>
          <w:szCs w:val="24"/>
        </w:rPr>
        <w:t>ակերպումը</w:t>
      </w:r>
    </w:p>
    <w:p w14:paraId="6FEE6E7C" w14:textId="77777777" w:rsidR="008C76E0" w:rsidRPr="00BD7577" w:rsidRDefault="008C76E0" w:rsidP="00780BC1">
      <w:pPr>
        <w:spacing w:after="160" w:line="360" w:lineRule="auto"/>
        <w:ind w:firstLine="567"/>
        <w:jc w:val="both"/>
        <w:rPr>
          <w:rFonts w:ascii="Sylfaen" w:hAnsi="Sylfaen"/>
          <w:sz w:val="24"/>
          <w:szCs w:val="24"/>
        </w:rPr>
      </w:pPr>
      <w:r w:rsidRPr="00BD7577">
        <w:rPr>
          <w:rFonts w:ascii="Sylfaen" w:hAnsi="Sylfaen"/>
          <w:sz w:val="24"/>
          <w:szCs w:val="24"/>
        </w:rPr>
        <w:t xml:space="preserve">Գրանցման հայտը ընդունվել է քննության՝ Եվրասիական տնտեսական միության շրջանակներում Դեղապատրաստուկների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կանոններին համապատասխան, </w:t>
      </w:r>
      <w:r w:rsidR="00C54D75">
        <w:rPr>
          <w:rFonts w:ascii="Sylfaen" w:hAnsi="Sylfaen"/>
          <w:sz w:val="24"/>
          <w:szCs w:val="24"/>
        </w:rPr>
        <w:t>և</w:t>
      </w:r>
      <w:r w:rsidRPr="00BD7577">
        <w:rPr>
          <w:rFonts w:ascii="Sylfaen" w:hAnsi="Sylfaen"/>
          <w:sz w:val="24"/>
          <w:szCs w:val="24"/>
        </w:rPr>
        <w:t xml:space="preserve"> ներառում է ակտիվ դեղագործական բաղադրամասը &lt;ակտիվ դեղագործական բաղադրամասի անվանումը&gt; նոր ակտիվ դեղագործական բաղադրամաս համարելու պատճառների հիմնավորումը </w:t>
      </w:r>
      <w:r w:rsidR="00C54D75">
        <w:rPr>
          <w:rFonts w:ascii="Sylfaen" w:hAnsi="Sylfaen"/>
          <w:sz w:val="24"/>
          <w:szCs w:val="24"/>
        </w:rPr>
        <w:t>և</w:t>
      </w:r>
      <w:r w:rsidRPr="00BD7577">
        <w:rPr>
          <w:rFonts w:ascii="Sylfaen" w:hAnsi="Sylfaen"/>
          <w:sz w:val="24"/>
          <w:szCs w:val="24"/>
        </w:rPr>
        <w:t xml:space="preserve"> վերլուծությունը։</w:t>
      </w:r>
    </w:p>
    <w:p w14:paraId="29118F26" w14:textId="77777777" w:rsidR="008C76E0" w:rsidRPr="008C76E0" w:rsidRDefault="008C76E0" w:rsidP="00780BC1">
      <w:pPr>
        <w:pStyle w:val="Bodytext70"/>
        <w:shd w:val="clear" w:color="auto" w:fill="auto"/>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Հայտատուն հարցում է կատարել վերոնշյալ դեղապատրաստուկի մեջ պարունակվող ակտիվ դեղագործական բաղադրամասը &lt;</w:t>
      </w:r>
      <w:r w:rsidRPr="008C76E0">
        <w:rPr>
          <w:rFonts w:ascii="Sylfaen" w:hAnsi="Sylfaen"/>
          <w:b w:val="0"/>
          <w:sz w:val="24"/>
          <w:szCs w:val="24"/>
          <w:lang w:val="hy-AM"/>
        </w:rPr>
        <w:t>ակտիվ դեղագործական բաղադրամասի անվանումը</w:t>
      </w:r>
      <w:r w:rsidRPr="00BD7577">
        <w:rPr>
          <w:rStyle w:val="Bodytext295pt"/>
          <w:rFonts w:ascii="Sylfaen" w:hAnsi="Sylfaen"/>
          <w:spacing w:val="0"/>
          <w:sz w:val="24"/>
          <w:szCs w:val="24"/>
        </w:rPr>
        <w:t>&gt;</w:t>
      </w:r>
      <w:r w:rsidRPr="008C76E0">
        <w:rPr>
          <w:rFonts w:ascii="Sylfaen" w:hAnsi="Sylfaen"/>
          <w:b w:val="0"/>
          <w:sz w:val="24"/>
          <w:szCs w:val="24"/>
          <w:lang w:val="hy-AM"/>
        </w:rPr>
        <w:t>&lt;ինքնուրույն&gt;</w:t>
      </w:r>
      <w:r w:rsidRPr="00BD7577">
        <w:rPr>
          <w:rStyle w:val="Bodytext295pt"/>
          <w:rFonts w:ascii="Sylfaen" w:hAnsi="Sylfaen"/>
          <w:spacing w:val="0"/>
          <w:sz w:val="24"/>
          <w:szCs w:val="24"/>
        </w:rPr>
        <w:t xml:space="preserve"> նոր ակտիվ դեղագործական բաղադրամաս համարելու վերաբերյալ՝ </w:t>
      </w:r>
      <w:r w:rsidRPr="008C76E0">
        <w:rPr>
          <w:rFonts w:ascii="Sylfaen" w:hAnsi="Sylfaen"/>
          <w:b w:val="0"/>
          <w:sz w:val="24"/>
          <w:szCs w:val="24"/>
          <w:lang w:val="hy-AM"/>
        </w:rPr>
        <w:t xml:space="preserve">&lt;հայտնի &lt;գրանցված իզոմերի (իզոմերների խառնուրդի, համալիրի, ածանցյալի, աղի {ՄՉԱ (աղ)} հետ համեմատած, որը նախկինում Միությունում գրանցվել է որպես {գրանցված դեղապատրաստուկի անվանումը}, </w:t>
      </w:r>
      <w:r w:rsidR="00C54D75">
        <w:rPr>
          <w:rFonts w:ascii="Sylfaen" w:hAnsi="Sylfaen"/>
          <w:b w:val="0"/>
          <w:sz w:val="24"/>
          <w:szCs w:val="24"/>
          <w:lang w:val="hy-AM"/>
        </w:rPr>
        <w:t>և</w:t>
      </w:r>
      <w:r w:rsidRPr="008C76E0">
        <w:rPr>
          <w:rFonts w:ascii="Sylfaen" w:hAnsi="Sylfaen"/>
          <w:b w:val="0"/>
          <w:sz w:val="24"/>
          <w:szCs w:val="24"/>
          <w:lang w:val="hy-AM"/>
        </w:rPr>
        <w:t xml:space="preserve"> հայտնել է, որ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տեսանկյունից &lt;ակտիվ դեղագործական բաղադրամասը&gt; հատկություններով զգալիորեն տարբերվում է նախկինում գրանցված բաղադրամասից&gt;:</w:t>
      </w:r>
    </w:p>
    <w:p w14:paraId="21AD6146" w14:textId="77777777" w:rsidR="008C76E0" w:rsidRPr="00BD7577" w:rsidRDefault="008C76E0" w:rsidP="00780BC1">
      <w:pPr>
        <w:spacing w:after="160" w:line="384" w:lineRule="auto"/>
        <w:jc w:val="center"/>
        <w:rPr>
          <w:rFonts w:ascii="Sylfaen" w:hAnsi="Sylfaen"/>
          <w:sz w:val="24"/>
          <w:szCs w:val="24"/>
        </w:rPr>
      </w:pPr>
      <w:r w:rsidRPr="00BD7577">
        <w:rPr>
          <w:rFonts w:ascii="Sylfaen" w:hAnsi="Sylfaen"/>
          <w:sz w:val="24"/>
          <w:szCs w:val="24"/>
        </w:rPr>
        <w:t>3. Փորձագիտական գիտական գնահատումը</w:t>
      </w:r>
    </w:p>
    <w:p w14:paraId="13798450" w14:textId="77777777" w:rsidR="008C76E0" w:rsidRPr="00BD7577" w:rsidRDefault="008C76E0" w:rsidP="00780BC1">
      <w:pPr>
        <w:tabs>
          <w:tab w:val="left" w:pos="1134"/>
        </w:tabs>
        <w:spacing w:after="160" w:line="384" w:lineRule="auto"/>
        <w:ind w:firstLine="567"/>
        <w:rPr>
          <w:rFonts w:ascii="Sylfaen" w:hAnsi="Sylfaen"/>
          <w:sz w:val="24"/>
          <w:szCs w:val="24"/>
        </w:rPr>
      </w:pPr>
      <w:r w:rsidRPr="00BD7577">
        <w:rPr>
          <w:rFonts w:ascii="Sylfaen" w:hAnsi="Sylfaen"/>
          <w:sz w:val="24"/>
          <w:szCs w:val="24"/>
        </w:rPr>
        <w:lastRenderedPageBreak/>
        <w:t>3.1.</w:t>
      </w:r>
      <w:r w:rsidRPr="00BD7577">
        <w:rPr>
          <w:rFonts w:ascii="Sylfaen" w:hAnsi="Sylfaen"/>
          <w:sz w:val="24"/>
          <w:szCs w:val="24"/>
        </w:rPr>
        <w:tab/>
        <w:t>Որակի ասպեկտները</w:t>
      </w:r>
    </w:p>
    <w:p w14:paraId="37D5A849" w14:textId="77777777" w:rsidR="008C76E0" w:rsidRPr="00BD7577" w:rsidRDefault="008C76E0" w:rsidP="00780BC1">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1AA5CD57" w14:textId="77777777" w:rsidR="008C76E0" w:rsidRPr="00BD7577" w:rsidRDefault="008C76E0" w:rsidP="00780BC1">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5C34DC2" w14:textId="77777777" w:rsidR="008C76E0" w:rsidRPr="00BD7577" w:rsidRDefault="008C76E0" w:rsidP="00780BC1">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08AEC70" w14:textId="77777777" w:rsidR="008C76E0" w:rsidRPr="00BD7577" w:rsidRDefault="008C76E0" w:rsidP="00780BC1">
      <w:pPr>
        <w:spacing w:after="160" w:line="384" w:lineRule="auto"/>
        <w:ind w:firstLine="567"/>
        <w:jc w:val="both"/>
        <w:rPr>
          <w:rFonts w:ascii="Sylfaen" w:hAnsi="Sylfaen"/>
          <w:sz w:val="24"/>
          <w:szCs w:val="24"/>
        </w:rPr>
      </w:pPr>
      <w:r w:rsidRPr="00BD7577">
        <w:rPr>
          <w:rFonts w:ascii="Sylfaen" w:hAnsi="Sylfaen"/>
          <w:sz w:val="24"/>
          <w:szCs w:val="24"/>
        </w:rPr>
        <w:t>Որակի ասպեկտների վերաբերյալ վերլուծությունը</w:t>
      </w:r>
    </w:p>
    <w:p w14:paraId="3C9D39D0" w14:textId="77777777" w:rsidR="008C76E0" w:rsidRPr="00BD7577" w:rsidRDefault="008C76E0" w:rsidP="00780BC1">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6BFB215" w14:textId="77777777" w:rsidR="008C76E0" w:rsidRPr="00BD7577" w:rsidRDefault="008C76E0" w:rsidP="00780BC1">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31FC172" w14:textId="77777777" w:rsidR="008C76E0" w:rsidRPr="00BD7577" w:rsidRDefault="008C76E0" w:rsidP="00780BC1">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44D08F4" w14:textId="77777777" w:rsidR="008C76E0" w:rsidRPr="00BD7577" w:rsidRDefault="008C76E0" w:rsidP="00780BC1">
      <w:pPr>
        <w:tabs>
          <w:tab w:val="left" w:pos="7665"/>
        </w:tabs>
        <w:spacing w:after="160" w:line="384" w:lineRule="auto"/>
        <w:ind w:firstLine="567"/>
        <w:jc w:val="both"/>
        <w:rPr>
          <w:rFonts w:ascii="Sylfaen" w:hAnsi="Sylfaen"/>
          <w:sz w:val="24"/>
          <w:szCs w:val="24"/>
        </w:rPr>
      </w:pPr>
      <w:r w:rsidRPr="00BD7577">
        <w:rPr>
          <w:rFonts w:ascii="Sylfaen" w:hAnsi="Sylfaen"/>
          <w:sz w:val="24"/>
          <w:szCs w:val="24"/>
        </w:rPr>
        <w:t xml:space="preserve">Որակի ասպեկտների վերաբերյալ եզրակացությունները </w:t>
      </w:r>
    </w:p>
    <w:p w14:paraId="7A5D70F9" w14:textId="77777777" w:rsidR="008C76E0" w:rsidRPr="00BD7577" w:rsidRDefault="008C76E0" w:rsidP="00780BC1">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DC3F5B8" w14:textId="77777777" w:rsidR="008C76E0" w:rsidRPr="00BD7577" w:rsidRDefault="008C76E0" w:rsidP="00780BC1">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1B67807" w14:textId="77777777" w:rsidR="008C76E0" w:rsidRPr="00BD7577" w:rsidRDefault="008C76E0" w:rsidP="00780BC1">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027527A" w14:textId="77777777" w:rsidR="008C76E0" w:rsidRPr="00BD7577" w:rsidRDefault="008C76E0" w:rsidP="00780BC1">
      <w:pPr>
        <w:spacing w:after="160" w:line="360" w:lineRule="auto"/>
        <w:ind w:firstLine="567"/>
        <w:jc w:val="both"/>
        <w:rPr>
          <w:rFonts w:ascii="Sylfaen" w:hAnsi="Sylfaen"/>
          <w:sz w:val="24"/>
          <w:szCs w:val="24"/>
        </w:rPr>
      </w:pPr>
      <w:r w:rsidRPr="00BD7577">
        <w:rPr>
          <w:rFonts w:ascii="Sylfaen" w:hAnsi="Sylfaen"/>
          <w:sz w:val="24"/>
          <w:szCs w:val="24"/>
        </w:rPr>
        <w:t>Նախակլինիկական ասպեկտները</w:t>
      </w:r>
    </w:p>
    <w:p w14:paraId="1F93D310" w14:textId="77777777" w:rsidR="008C76E0" w:rsidRPr="00BD7577" w:rsidRDefault="008C76E0" w:rsidP="00780BC1">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0514BDE5" w14:textId="77777777" w:rsidR="008C76E0" w:rsidRPr="00BD7577" w:rsidRDefault="008C76E0" w:rsidP="00780BC1">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7C5ACB2" w14:textId="77777777" w:rsidR="008C76E0" w:rsidRPr="00BD7577" w:rsidRDefault="008C76E0" w:rsidP="00780BC1">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57EEC79" w14:textId="77777777" w:rsidR="008C76E0" w:rsidRPr="00BD7577" w:rsidRDefault="008C76E0" w:rsidP="00780BC1">
      <w:pPr>
        <w:spacing w:after="160" w:line="384" w:lineRule="auto"/>
        <w:ind w:firstLine="567"/>
        <w:jc w:val="both"/>
        <w:rPr>
          <w:rFonts w:ascii="Sylfaen" w:hAnsi="Sylfaen"/>
          <w:sz w:val="24"/>
          <w:szCs w:val="24"/>
        </w:rPr>
      </w:pPr>
      <w:r w:rsidRPr="00BD7577">
        <w:rPr>
          <w:rFonts w:ascii="Sylfaen" w:hAnsi="Sylfaen"/>
          <w:sz w:val="24"/>
          <w:szCs w:val="24"/>
        </w:rPr>
        <w:t>Նախակլինիկական ասպեկտների վերաբերյալ վերլուծությունը</w:t>
      </w:r>
    </w:p>
    <w:p w14:paraId="3142C68F" w14:textId="77777777" w:rsidR="008C76E0" w:rsidRPr="00BD7577" w:rsidRDefault="008C76E0" w:rsidP="00780BC1">
      <w:pPr>
        <w:spacing w:after="160" w:line="384"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69C8254D" w14:textId="77777777" w:rsidR="008C76E0" w:rsidRPr="00BD7577" w:rsidRDefault="008C76E0" w:rsidP="00780BC1">
      <w:pPr>
        <w:spacing w:after="160" w:line="384"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3E4BF482" w14:textId="77777777" w:rsidR="008C76E0" w:rsidRPr="00BD7577" w:rsidRDefault="008C76E0" w:rsidP="00780BC1">
      <w:pPr>
        <w:spacing w:after="160" w:line="384"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2EFEA89" w14:textId="77777777" w:rsidR="008C76E0" w:rsidRPr="00BD7577" w:rsidRDefault="008C76E0" w:rsidP="00780BC1">
      <w:pPr>
        <w:spacing w:after="160" w:line="384" w:lineRule="auto"/>
        <w:ind w:firstLine="567"/>
        <w:jc w:val="both"/>
        <w:rPr>
          <w:rFonts w:ascii="Sylfaen" w:hAnsi="Sylfaen"/>
          <w:sz w:val="24"/>
          <w:szCs w:val="24"/>
        </w:rPr>
      </w:pPr>
      <w:r w:rsidRPr="00BD7577">
        <w:rPr>
          <w:rFonts w:ascii="Sylfaen" w:hAnsi="Sylfaen"/>
          <w:sz w:val="24"/>
          <w:szCs w:val="24"/>
        </w:rPr>
        <w:t>Նախակլինիկական ասպեկտների վերաբերյալ եզրակացությունը</w:t>
      </w:r>
    </w:p>
    <w:p w14:paraId="49052BF0" w14:textId="77777777" w:rsidR="008C76E0" w:rsidRPr="00BD7577" w:rsidRDefault="008C76E0" w:rsidP="00780BC1">
      <w:pPr>
        <w:spacing w:after="160" w:line="360" w:lineRule="auto"/>
        <w:jc w:val="both"/>
        <w:rPr>
          <w:rFonts w:ascii="Sylfaen" w:hAnsi="Sylfaen"/>
          <w:sz w:val="24"/>
          <w:szCs w:val="24"/>
        </w:rPr>
      </w:pPr>
      <w:r w:rsidRPr="00BD7577">
        <w:rPr>
          <w:rFonts w:ascii="Sylfaen" w:hAnsi="Sylfaen"/>
          <w:sz w:val="24"/>
          <w:szCs w:val="24"/>
        </w:rPr>
        <w:lastRenderedPageBreak/>
        <w:t>___________________________________________________________________________</w:t>
      </w:r>
    </w:p>
    <w:p w14:paraId="6673696F" w14:textId="77777777" w:rsidR="008C76E0" w:rsidRPr="00BD7577" w:rsidRDefault="008C76E0" w:rsidP="00780BC1">
      <w:pPr>
        <w:spacing w:after="160" w:line="360" w:lineRule="auto"/>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4A0B098" w14:textId="77777777" w:rsidR="008C76E0" w:rsidRPr="00BD7577" w:rsidRDefault="008C76E0" w:rsidP="00780BC1">
      <w:pPr>
        <w:spacing w:after="160" w:line="360" w:lineRule="auto"/>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3A3BF4A" w14:textId="77777777" w:rsidR="008C76E0" w:rsidRPr="00BD7577" w:rsidRDefault="008C76E0" w:rsidP="00780BC1">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3.2.</w:t>
      </w:r>
      <w:r w:rsidRPr="00BD7577">
        <w:rPr>
          <w:rFonts w:ascii="Sylfaen" w:hAnsi="Sylfaen"/>
          <w:sz w:val="24"/>
          <w:szCs w:val="24"/>
        </w:rPr>
        <w:tab/>
        <w:t>Կլինիկական ասպեկտները</w:t>
      </w:r>
    </w:p>
    <w:p w14:paraId="4BEE4E54"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03FBB32"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7FD15FF"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341D79D" w14:textId="77777777" w:rsidR="008C76E0" w:rsidRPr="00BD7577" w:rsidRDefault="008C76E0" w:rsidP="008C76E0">
      <w:pPr>
        <w:ind w:firstLine="567"/>
        <w:jc w:val="both"/>
        <w:rPr>
          <w:rFonts w:ascii="Sylfaen" w:hAnsi="Sylfaen"/>
          <w:sz w:val="24"/>
          <w:szCs w:val="24"/>
        </w:rPr>
      </w:pPr>
      <w:r w:rsidRPr="00BD7577">
        <w:rPr>
          <w:rFonts w:ascii="Sylfaen" w:hAnsi="Sylfaen"/>
          <w:sz w:val="24"/>
          <w:szCs w:val="24"/>
        </w:rPr>
        <w:t>Կլինիկական ասպեկտների վերաբերյալ վերլուծությունը</w:t>
      </w:r>
    </w:p>
    <w:p w14:paraId="4FF9852A"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32768203"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7667A32"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16A801F" w14:textId="77777777" w:rsidR="008C76E0" w:rsidRPr="00BD7577" w:rsidRDefault="008C76E0" w:rsidP="008C76E0">
      <w:pPr>
        <w:ind w:firstLine="567"/>
        <w:jc w:val="both"/>
        <w:rPr>
          <w:rFonts w:ascii="Sylfaen" w:hAnsi="Sylfaen"/>
          <w:sz w:val="24"/>
          <w:szCs w:val="24"/>
        </w:rPr>
      </w:pPr>
      <w:r w:rsidRPr="00BD7577">
        <w:rPr>
          <w:rFonts w:ascii="Sylfaen" w:hAnsi="Sylfaen"/>
          <w:sz w:val="24"/>
          <w:szCs w:val="24"/>
        </w:rPr>
        <w:t>Կլինիկական ասպեկտների վերաբերյալ եզրակացությունը</w:t>
      </w:r>
    </w:p>
    <w:p w14:paraId="6DC1E253"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42148BC8"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9433FD0"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3F3E555" w14:textId="77777777" w:rsidR="008C76E0" w:rsidRPr="00BD7577" w:rsidRDefault="008C76E0" w:rsidP="008C76E0">
      <w:pPr>
        <w:jc w:val="center"/>
        <w:rPr>
          <w:rFonts w:ascii="Sylfaen" w:hAnsi="Sylfaen"/>
          <w:sz w:val="24"/>
          <w:szCs w:val="24"/>
        </w:rPr>
      </w:pPr>
    </w:p>
    <w:p w14:paraId="0EB1AE65" w14:textId="77777777" w:rsidR="008C76E0" w:rsidRPr="00BD7577" w:rsidRDefault="008C76E0" w:rsidP="00780BC1">
      <w:pPr>
        <w:spacing w:after="160" w:line="360" w:lineRule="auto"/>
        <w:jc w:val="center"/>
        <w:rPr>
          <w:rFonts w:ascii="Sylfaen" w:hAnsi="Sylfaen"/>
          <w:sz w:val="24"/>
          <w:szCs w:val="24"/>
        </w:rPr>
      </w:pPr>
      <w:r w:rsidRPr="00BD7577">
        <w:rPr>
          <w:rFonts w:ascii="Sylfaen" w:hAnsi="Sylfaen"/>
          <w:sz w:val="24"/>
          <w:szCs w:val="24"/>
        </w:rPr>
        <w:t>4. Ընդհանուր եզրակացությունը</w:t>
      </w:r>
    </w:p>
    <w:p w14:paraId="517C1B3A" w14:textId="77777777" w:rsidR="008C76E0" w:rsidRPr="00BD7577" w:rsidRDefault="008C76E0" w:rsidP="00780BC1">
      <w:pPr>
        <w:spacing w:after="160" w:line="360" w:lineRule="auto"/>
        <w:ind w:firstLine="567"/>
        <w:jc w:val="both"/>
        <w:rPr>
          <w:rFonts w:ascii="Sylfaen" w:hAnsi="Sylfaen"/>
          <w:sz w:val="24"/>
          <w:szCs w:val="24"/>
        </w:rPr>
      </w:pPr>
      <w:r w:rsidRPr="00BD7577">
        <w:rPr>
          <w:rFonts w:ascii="Sylfaen" w:hAnsi="Sylfaen"/>
          <w:sz w:val="24"/>
          <w:szCs w:val="24"/>
        </w:rPr>
        <w:t>[Եթե արվել է եզրակացություն, որ հայտատուն պետք է ներկայացնի լրացուցիչ տեղեկություններ, ապա պետք է նշել հետ</w:t>
      </w:r>
      <w:r w:rsidR="00C54D75">
        <w:rPr>
          <w:rFonts w:ascii="Sylfaen" w:hAnsi="Sylfaen"/>
          <w:sz w:val="24"/>
          <w:szCs w:val="24"/>
        </w:rPr>
        <w:t>և</w:t>
      </w:r>
      <w:r w:rsidRPr="00BD7577">
        <w:rPr>
          <w:rFonts w:ascii="Sylfaen" w:hAnsi="Sylfaen"/>
          <w:sz w:val="24"/>
          <w:szCs w:val="24"/>
        </w:rPr>
        <w:t>յալը]</w:t>
      </w:r>
    </w:p>
    <w:p w14:paraId="212D654D" w14:textId="77777777" w:rsidR="008C76E0" w:rsidRPr="00BD7577" w:rsidRDefault="008C76E0" w:rsidP="00780BC1">
      <w:pPr>
        <w:pStyle w:val="Bodytext70"/>
        <w:shd w:val="clear" w:color="auto" w:fill="auto"/>
        <w:spacing w:before="0" w:after="160" w:line="360" w:lineRule="auto"/>
        <w:ind w:firstLine="567"/>
        <w:rPr>
          <w:rStyle w:val="Bodytext295pt"/>
          <w:rFonts w:ascii="Sylfaen" w:hAnsi="Sylfaen"/>
          <w:spacing w:val="0"/>
          <w:sz w:val="24"/>
          <w:szCs w:val="24"/>
        </w:rPr>
      </w:pPr>
      <w:r w:rsidRPr="008C76E0">
        <w:rPr>
          <w:rFonts w:ascii="Sylfaen" w:hAnsi="Sylfaen"/>
          <w:b w:val="0"/>
          <w:sz w:val="24"/>
          <w:szCs w:val="24"/>
          <w:lang w:val="hy-AM"/>
        </w:rPr>
        <w:t xml:space="preserve">&lt;Ակտիվ դեղագործական բաղադրամասի որակի, նախակլինիկական </w:t>
      </w:r>
      <w:r w:rsidR="00C54D75">
        <w:rPr>
          <w:rFonts w:ascii="Sylfaen" w:hAnsi="Sylfaen"/>
          <w:b w:val="0"/>
          <w:sz w:val="24"/>
          <w:szCs w:val="24"/>
          <w:lang w:val="hy-AM"/>
        </w:rPr>
        <w:t>և</w:t>
      </w:r>
      <w:r w:rsidRPr="008C76E0">
        <w:rPr>
          <w:rFonts w:ascii="Sylfaen" w:hAnsi="Sylfaen"/>
          <w:b w:val="0"/>
          <w:sz w:val="24"/>
          <w:szCs w:val="24"/>
          <w:lang w:val="hy-AM"/>
        </w:rPr>
        <w:t xml:space="preserve"> կլինիկական հատկությունների վերաբերյալ տվյալների ամփոփման հիման վրա փորձագետը գտնում է, որ հայտատուն պետք է տրամադրի լրացուցիչ հաստատում առ այն, որ &lt;ակտիվ դեղագործական բաղադրամասի անվանումը&gt; պետք է որակվի որպես նոր ակտիվ դեղագործական բաղադրամաս։ Դիտողությունների ցանկում շարադրված դիտողություններին անհրաժեշտ է տալ բավարարող </w:t>
      </w:r>
      <w:r w:rsidRPr="008C76E0">
        <w:rPr>
          <w:rFonts w:ascii="Sylfaen" w:hAnsi="Sylfaen"/>
          <w:b w:val="0"/>
          <w:sz w:val="24"/>
          <w:szCs w:val="24"/>
          <w:lang w:val="hy-AM"/>
        </w:rPr>
        <w:lastRenderedPageBreak/>
        <w:t>պատասխաններ</w:t>
      </w:r>
      <w:r w:rsidRPr="00BD7577">
        <w:rPr>
          <w:rStyle w:val="Bodytext295pt"/>
          <w:rFonts w:ascii="Sylfaen" w:hAnsi="Sylfaen"/>
          <w:spacing w:val="0"/>
          <w:sz w:val="24"/>
          <w:szCs w:val="24"/>
        </w:rPr>
        <w:t>&gt;:</w:t>
      </w:r>
    </w:p>
    <w:p w14:paraId="6593FDA8" w14:textId="77777777" w:rsidR="008C76E0" w:rsidRPr="008C76E0" w:rsidRDefault="008C76E0" w:rsidP="00780BC1">
      <w:pPr>
        <w:pStyle w:val="Bodytext70"/>
        <w:shd w:val="clear" w:color="auto" w:fill="auto"/>
        <w:tabs>
          <w:tab w:val="left" w:pos="1530"/>
        </w:tabs>
        <w:spacing w:before="0" w:after="160" w:line="360" w:lineRule="auto"/>
        <w:ind w:firstLine="567"/>
        <w:rPr>
          <w:rFonts w:ascii="Sylfaen" w:hAnsi="Sylfaen"/>
          <w:b w:val="0"/>
          <w:i w:val="0"/>
          <w:sz w:val="24"/>
          <w:szCs w:val="24"/>
          <w:lang w:val="hy-AM"/>
        </w:rPr>
      </w:pPr>
      <w:r w:rsidRPr="008C76E0">
        <w:rPr>
          <w:rFonts w:ascii="Sylfaen" w:hAnsi="Sylfaen"/>
          <w:b w:val="0"/>
          <w:i w:val="0"/>
          <w:sz w:val="24"/>
          <w:szCs w:val="24"/>
          <w:lang w:val="hy-AM"/>
        </w:rPr>
        <w:t xml:space="preserve">[Եթե արված եզրակացությունը չի ենթադրում հայտատուի կողմից լրացուցիչ տեղեկությունների ներկայացում, </w:t>
      </w:r>
      <w:r w:rsidR="00C54D75">
        <w:rPr>
          <w:rFonts w:ascii="Sylfaen" w:hAnsi="Sylfaen"/>
          <w:b w:val="0"/>
          <w:i w:val="0"/>
          <w:sz w:val="24"/>
          <w:szCs w:val="24"/>
          <w:lang w:val="hy-AM"/>
        </w:rPr>
        <w:t>և</w:t>
      </w:r>
      <w:r w:rsidRPr="008C76E0">
        <w:rPr>
          <w:rFonts w:ascii="Sylfaen" w:hAnsi="Sylfaen"/>
          <w:b w:val="0"/>
          <w:i w:val="0"/>
          <w:sz w:val="24"/>
          <w:szCs w:val="24"/>
          <w:lang w:val="hy-AM"/>
        </w:rPr>
        <w:t xml:space="preserve"> հայտատուն հաստատում է, որ միացությունը ինքնուրույն նոր ակտիվ դեղագործական բաղադրամաս է, ապա պետք է նշել հետ</w:t>
      </w:r>
      <w:r w:rsidR="00C54D75">
        <w:rPr>
          <w:rFonts w:ascii="Sylfaen" w:hAnsi="Sylfaen"/>
          <w:b w:val="0"/>
          <w:i w:val="0"/>
          <w:sz w:val="24"/>
          <w:szCs w:val="24"/>
          <w:lang w:val="hy-AM"/>
        </w:rPr>
        <w:t>և</w:t>
      </w:r>
      <w:r w:rsidRPr="008C76E0">
        <w:rPr>
          <w:rFonts w:ascii="Sylfaen" w:hAnsi="Sylfaen"/>
          <w:b w:val="0"/>
          <w:i w:val="0"/>
          <w:sz w:val="24"/>
          <w:szCs w:val="24"/>
          <w:lang w:val="hy-AM"/>
        </w:rPr>
        <w:t>յալը].</w:t>
      </w:r>
    </w:p>
    <w:p w14:paraId="79770931" w14:textId="77777777" w:rsidR="008C76E0" w:rsidRPr="008C76E0" w:rsidRDefault="008C76E0" w:rsidP="00780BC1">
      <w:pPr>
        <w:pStyle w:val="Bodytext70"/>
        <w:shd w:val="clear" w:color="auto" w:fill="auto"/>
        <w:spacing w:before="0" w:after="160" w:line="360" w:lineRule="auto"/>
        <w:ind w:firstLine="709"/>
        <w:rPr>
          <w:rFonts w:ascii="Sylfaen" w:hAnsi="Sylfaen"/>
          <w:b w:val="0"/>
          <w:sz w:val="24"/>
          <w:szCs w:val="24"/>
          <w:lang w:val="hy-AM"/>
        </w:rPr>
      </w:pPr>
      <w:r w:rsidRPr="008C76E0">
        <w:rPr>
          <w:rFonts w:ascii="Sylfaen" w:hAnsi="Sylfaen"/>
          <w:b w:val="0"/>
          <w:sz w:val="24"/>
          <w:szCs w:val="24"/>
          <w:lang w:val="hy-AM"/>
        </w:rPr>
        <w:t xml:space="preserve">&lt;Ակտիվ դեղագործականբաղադրամասի որակի, նախակլինիկական </w:t>
      </w:r>
      <w:r w:rsidR="00C54D75">
        <w:rPr>
          <w:rFonts w:ascii="Sylfaen" w:hAnsi="Sylfaen"/>
          <w:b w:val="0"/>
          <w:sz w:val="24"/>
          <w:szCs w:val="24"/>
          <w:lang w:val="hy-AM"/>
        </w:rPr>
        <w:t>և</w:t>
      </w:r>
      <w:r w:rsidRPr="008C76E0">
        <w:rPr>
          <w:rFonts w:ascii="Sylfaen" w:hAnsi="Sylfaen"/>
          <w:b w:val="0"/>
          <w:sz w:val="24"/>
          <w:szCs w:val="24"/>
          <w:lang w:val="hy-AM"/>
        </w:rPr>
        <w:t xml:space="preserve"> կլինիկական հատկությունների վերաբերյալ տվյալների ամփոփման հիման վրա փորձագետը գտնում է, որ &lt;ակտիվ դեղագործական բաղադրամասի անվանումը&gt; &lt;չի&gt; որակվում որպես նոր ակտիվ դեղագործական բաղադրամաս&gt;:</w:t>
      </w:r>
    </w:p>
    <w:p w14:paraId="66A8A3F8" w14:textId="77777777" w:rsidR="008C76E0" w:rsidRPr="00BD7577" w:rsidRDefault="008C76E0" w:rsidP="00780BC1">
      <w:pPr>
        <w:spacing w:after="160" w:line="360" w:lineRule="auto"/>
        <w:ind w:firstLine="709"/>
        <w:jc w:val="both"/>
        <w:rPr>
          <w:rFonts w:ascii="Sylfaen" w:hAnsi="Sylfaen"/>
          <w:sz w:val="24"/>
          <w:szCs w:val="24"/>
        </w:rPr>
      </w:pPr>
      <w:r w:rsidRPr="00BD7577">
        <w:rPr>
          <w:rFonts w:ascii="Sylfaen" w:hAnsi="Sylfaen"/>
          <w:sz w:val="24"/>
          <w:szCs w:val="24"/>
        </w:rPr>
        <w:t xml:space="preserve">[Եթե արված եզրակացությունը չի ենթադրում հայտատուի կողմից լրացուցիչ տեղեկությունների ներկայացում, </w:t>
      </w:r>
      <w:r w:rsidR="00C54D75">
        <w:rPr>
          <w:rFonts w:ascii="Sylfaen" w:hAnsi="Sylfaen"/>
          <w:sz w:val="24"/>
          <w:szCs w:val="24"/>
        </w:rPr>
        <w:t>և</w:t>
      </w:r>
      <w:r w:rsidRPr="00BD7577">
        <w:rPr>
          <w:rFonts w:ascii="Sylfaen" w:hAnsi="Sylfaen"/>
          <w:sz w:val="24"/>
          <w:szCs w:val="24"/>
        </w:rPr>
        <w:t xml:space="preserve"> հայտատուն հաստատում է, որ միացությունը նոր ակտիվ դեղագործական բաղադրամաս է նախկինում Եվրասիական տնտեսական միությունում գրանցված դեղապատրաստուկի քիմիական նյութի հայտնի իզոմերի (իզոմերների խառնուրդի, համալիրի, ածանցյալի, աղի) հետ համեմատած, ապա պետք է նշել հետ</w:t>
      </w:r>
      <w:r w:rsidR="00C54D75">
        <w:rPr>
          <w:rFonts w:ascii="Sylfaen" w:hAnsi="Sylfaen"/>
          <w:sz w:val="24"/>
          <w:szCs w:val="24"/>
        </w:rPr>
        <w:t>և</w:t>
      </w:r>
      <w:r w:rsidRPr="00BD7577">
        <w:rPr>
          <w:rFonts w:ascii="Sylfaen" w:hAnsi="Sylfaen"/>
          <w:sz w:val="24"/>
          <w:szCs w:val="24"/>
        </w:rPr>
        <w:t>յալը].</w:t>
      </w:r>
    </w:p>
    <w:p w14:paraId="6EA75501" w14:textId="77777777" w:rsidR="008C76E0" w:rsidRPr="008C76E0" w:rsidRDefault="008C76E0" w:rsidP="00780BC1">
      <w:pPr>
        <w:pStyle w:val="Bodytext70"/>
        <w:shd w:val="clear" w:color="auto" w:fill="auto"/>
        <w:spacing w:before="0" w:after="160" w:line="360" w:lineRule="auto"/>
        <w:ind w:firstLine="709"/>
        <w:rPr>
          <w:rFonts w:ascii="Sylfaen" w:hAnsi="Sylfaen"/>
          <w:b w:val="0"/>
          <w:sz w:val="24"/>
          <w:szCs w:val="24"/>
          <w:lang w:val="hy-AM"/>
        </w:rPr>
      </w:pPr>
      <w:r w:rsidRPr="008C76E0">
        <w:rPr>
          <w:rFonts w:ascii="Sylfaen" w:hAnsi="Sylfaen"/>
          <w:b w:val="0"/>
          <w:sz w:val="24"/>
          <w:szCs w:val="24"/>
          <w:lang w:val="hy-AM"/>
        </w:rPr>
        <w:t xml:space="preserve">&lt;Ակտիվ դեղագործական բաղադրամասի որակի, նախակլինիկական </w:t>
      </w:r>
      <w:r w:rsidR="00C54D75">
        <w:rPr>
          <w:rFonts w:ascii="Sylfaen" w:hAnsi="Sylfaen"/>
          <w:b w:val="0"/>
          <w:sz w:val="24"/>
          <w:szCs w:val="24"/>
          <w:lang w:val="hy-AM"/>
        </w:rPr>
        <w:t>և</w:t>
      </w:r>
      <w:r w:rsidRPr="008C76E0">
        <w:rPr>
          <w:rFonts w:ascii="Sylfaen" w:hAnsi="Sylfaen"/>
          <w:b w:val="0"/>
          <w:sz w:val="24"/>
          <w:szCs w:val="24"/>
          <w:lang w:val="hy-AM"/>
        </w:rPr>
        <w:t xml:space="preserve"> կլինիկական հատկությունների վերաբերյալ տվյալների ամփոփման հիման վրա փորձագետը գտնում է, որ &lt;իզոմերը (իզոմերների խառնուրդը, համալիրը, ածանցյալը, աղը) {հայտատուի ՄՉԱ-ն (աղ)}՝ հայտնի &lt;իզոմերի (իզոմերների խառնուրդի, համալիրի, ածանցյալի, աղի) {հավանության արժանացած ՄՉԱ (աղ)} հետ համեմատած &lt;չի&gt; որակվում որպես նոր ակտիվ դեղագործական բաղադրամաս,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տեսանկյունից հատկություններով &lt;տարբերվում&gt; է, զգալիորեն չի տարբերվում &gt; նախկինում գրանցված բաղադրամասից&gt;:</w:t>
      </w:r>
    </w:p>
    <w:p w14:paraId="2475077E" w14:textId="77777777" w:rsidR="00780BC1" w:rsidRDefault="00780BC1">
      <w:pPr>
        <w:widowControl/>
        <w:rPr>
          <w:rFonts w:ascii="Sylfaen" w:eastAsia="Times New Roman" w:hAnsi="Sylfaen" w:cs="Times New Roman"/>
          <w:bCs/>
          <w:iCs/>
          <w:sz w:val="24"/>
          <w:szCs w:val="24"/>
        </w:rPr>
      </w:pPr>
      <w:r>
        <w:rPr>
          <w:rFonts w:ascii="Sylfaen" w:eastAsia="Times New Roman" w:hAnsi="Sylfaen" w:cs="Times New Roman"/>
          <w:bCs/>
          <w:iCs/>
          <w:sz w:val="24"/>
          <w:szCs w:val="24"/>
        </w:rPr>
        <w:br w:type="page"/>
      </w:r>
    </w:p>
    <w:p w14:paraId="38AD37A1" w14:textId="77777777" w:rsidR="008C76E0" w:rsidRPr="008C76E0" w:rsidRDefault="008C76E0" w:rsidP="00780BC1">
      <w:pPr>
        <w:pStyle w:val="Bodytext70"/>
        <w:shd w:val="clear" w:color="auto" w:fill="auto"/>
        <w:tabs>
          <w:tab w:val="left" w:pos="1134"/>
        </w:tabs>
        <w:spacing w:before="0" w:after="160" w:line="360" w:lineRule="auto"/>
        <w:ind w:right="566" w:firstLine="567"/>
        <w:jc w:val="center"/>
        <w:rPr>
          <w:rFonts w:ascii="Sylfaen" w:hAnsi="Sylfaen"/>
          <w:b w:val="0"/>
          <w:i w:val="0"/>
          <w:sz w:val="24"/>
          <w:szCs w:val="24"/>
          <w:lang w:val="hy-AM"/>
        </w:rPr>
      </w:pPr>
      <w:r w:rsidRPr="008C76E0">
        <w:rPr>
          <w:rFonts w:ascii="Sylfaen" w:hAnsi="Sylfaen"/>
          <w:b w:val="0"/>
          <w:i w:val="0"/>
          <w:sz w:val="24"/>
          <w:szCs w:val="24"/>
          <w:lang w:val="hy-AM"/>
        </w:rPr>
        <w:lastRenderedPageBreak/>
        <w:t>5. Դիտողությունների ցանկը</w:t>
      </w:r>
    </w:p>
    <w:p w14:paraId="683BE092"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5C232D02"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C829C1D"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9ABDE13"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61735B10"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1795EB0"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483252AA"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4D9A1D99"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2C6E4841"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DD6BF01"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526A5796"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4AF079B"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59C3B7A6"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44693C30"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436D1F6"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162179A6"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D44A063"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6CC9A997" w14:textId="77777777" w:rsidR="008C76E0" w:rsidRPr="00BD7577" w:rsidRDefault="008C76E0" w:rsidP="008C76E0">
      <w:pPr>
        <w:jc w:val="both"/>
        <w:rPr>
          <w:rFonts w:ascii="Sylfaen" w:eastAsia="Times New Roman" w:hAnsi="Sylfaen" w:cs="Times New Roman"/>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0F7BE578" w14:textId="77777777" w:rsidR="008C76E0" w:rsidRPr="00BD7577" w:rsidRDefault="008C76E0" w:rsidP="008C76E0">
      <w:pPr>
        <w:jc w:val="both"/>
        <w:rPr>
          <w:rFonts w:ascii="Sylfaen" w:hAnsi="Sylfaen"/>
          <w:sz w:val="24"/>
          <w:szCs w:val="24"/>
        </w:rPr>
      </w:pPr>
      <w:r w:rsidRPr="00BD7577">
        <w:rPr>
          <w:rFonts w:ascii="Sylfaen" w:hAnsi="Sylfaen"/>
          <w:sz w:val="24"/>
          <w:szCs w:val="24"/>
        </w:rPr>
        <w:t>___________________________________________________________________________</w:t>
      </w:r>
    </w:p>
    <w:p w14:paraId="1F1ED761" w14:textId="77777777" w:rsidR="008C76E0" w:rsidRPr="00BD7577" w:rsidRDefault="008C76E0" w:rsidP="008C76E0">
      <w:pPr>
        <w:jc w:val="both"/>
        <w:rPr>
          <w:rStyle w:val="Bodytext295pt"/>
          <w:rFonts w:ascii="Sylfaen" w:eastAsia="MS Mincho" w:hAnsi="Sylfaen"/>
          <w:spacing w:val="0"/>
          <w:sz w:val="24"/>
          <w:szCs w:val="24"/>
        </w:rPr>
      </w:pPr>
      <w:r w:rsidRPr="00BD7577">
        <w:rPr>
          <w:rStyle w:val="Bodytext295pt"/>
          <w:rFonts w:ascii="Sylfaen" w:eastAsia="MS Mincho" w:hAnsi="Sylfaen"/>
          <w:spacing w:val="0"/>
          <w:sz w:val="24"/>
          <w:szCs w:val="24"/>
        </w:rPr>
        <w:t>___________________________________________________________________________</w:t>
      </w:r>
    </w:p>
    <w:p w14:paraId="7D397336" w14:textId="77777777" w:rsidR="008C76E0" w:rsidRPr="00BD7577" w:rsidRDefault="008C76E0" w:rsidP="008C76E0">
      <w:pPr>
        <w:widowControl/>
        <w:rPr>
          <w:rFonts w:ascii="Sylfaen" w:eastAsia="Times New Roman" w:hAnsi="Sylfaen" w:cs="Times New Roman"/>
          <w:bCs/>
          <w:iCs/>
          <w:sz w:val="24"/>
          <w:szCs w:val="24"/>
        </w:rPr>
      </w:pPr>
    </w:p>
    <w:p w14:paraId="2005C9B1" w14:textId="77777777" w:rsidR="00780BC1" w:rsidRDefault="00780BC1" w:rsidP="008C76E0">
      <w:pPr>
        <w:pStyle w:val="Bodytext70"/>
        <w:shd w:val="clear" w:color="auto" w:fill="auto"/>
        <w:spacing w:before="0" w:after="160" w:line="336" w:lineRule="auto"/>
        <w:ind w:left="4536"/>
        <w:jc w:val="center"/>
        <w:rPr>
          <w:rFonts w:ascii="Sylfaen" w:hAnsi="Sylfaen"/>
          <w:b w:val="0"/>
          <w:i w:val="0"/>
          <w:sz w:val="24"/>
          <w:szCs w:val="24"/>
          <w:lang w:val="hy-AM"/>
        </w:rPr>
        <w:sectPr w:rsidR="00780BC1" w:rsidSect="00D91652">
          <w:pgSz w:w="11907" w:h="16839" w:code="9"/>
          <w:pgMar w:top="1418" w:right="1418" w:bottom="1418" w:left="1418" w:header="709" w:footer="709" w:gutter="0"/>
          <w:pgNumType w:start="1"/>
          <w:cols w:space="708"/>
          <w:titlePg/>
          <w:docGrid w:linePitch="360"/>
        </w:sectPr>
      </w:pPr>
    </w:p>
    <w:p w14:paraId="19175482" w14:textId="77777777" w:rsidR="008C76E0" w:rsidRPr="008C76E0" w:rsidRDefault="008C76E0" w:rsidP="00007454">
      <w:pPr>
        <w:pStyle w:val="Bodytext70"/>
        <w:shd w:val="clear" w:color="auto" w:fill="auto"/>
        <w:spacing w:before="0" w:after="160" w:line="360" w:lineRule="auto"/>
        <w:ind w:left="4536"/>
        <w:jc w:val="center"/>
        <w:rPr>
          <w:rFonts w:ascii="Sylfaen" w:hAnsi="Sylfaen"/>
          <w:b w:val="0"/>
          <w:i w:val="0"/>
          <w:sz w:val="24"/>
          <w:szCs w:val="24"/>
          <w:lang w:val="hy-AM"/>
        </w:rPr>
      </w:pPr>
      <w:r w:rsidRPr="008C76E0">
        <w:rPr>
          <w:rFonts w:ascii="Sylfaen" w:hAnsi="Sylfaen"/>
          <w:b w:val="0"/>
          <w:i w:val="0"/>
          <w:sz w:val="24"/>
          <w:szCs w:val="24"/>
          <w:lang w:val="hy-AM"/>
        </w:rPr>
        <w:lastRenderedPageBreak/>
        <w:t>ՀԱՎԵԼՎԱԾ ԹԻՎ 10</w:t>
      </w:r>
    </w:p>
    <w:p w14:paraId="2F11C476" w14:textId="77777777" w:rsidR="008C76E0" w:rsidRPr="0093525B" w:rsidRDefault="008C76E0" w:rsidP="00007454">
      <w:pPr>
        <w:spacing w:after="160" w:line="360" w:lineRule="auto"/>
        <w:ind w:left="4536"/>
        <w:jc w:val="center"/>
        <w:rPr>
          <w:rFonts w:ascii="Sylfaen" w:hAnsi="Sylfaen"/>
          <w:sz w:val="24"/>
          <w:szCs w:val="24"/>
        </w:rPr>
      </w:pPr>
      <w:r w:rsidRPr="0093525B">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93525B">
        <w:rPr>
          <w:rFonts w:ascii="Sylfaen" w:hAnsi="Sylfaen"/>
          <w:sz w:val="24"/>
          <w:szCs w:val="24"/>
        </w:rPr>
        <w:t xml:space="preserve"> փորձաքննության կանոնների</w:t>
      </w:r>
    </w:p>
    <w:p w14:paraId="57AAB669" w14:textId="77777777" w:rsidR="008C76E0" w:rsidRPr="0093525B" w:rsidRDefault="008C76E0" w:rsidP="00007454">
      <w:pPr>
        <w:spacing w:after="160" w:line="360" w:lineRule="auto"/>
        <w:jc w:val="center"/>
        <w:rPr>
          <w:rFonts w:ascii="Sylfaen" w:hAnsi="Sylfaen"/>
          <w:sz w:val="24"/>
          <w:szCs w:val="24"/>
        </w:rPr>
      </w:pPr>
    </w:p>
    <w:p w14:paraId="4B24C84A" w14:textId="77777777" w:rsidR="008C76E0" w:rsidRPr="00E15E7D" w:rsidRDefault="008C76E0" w:rsidP="00007454">
      <w:pPr>
        <w:pStyle w:val="Bodytext130"/>
        <w:shd w:val="clear" w:color="auto" w:fill="auto"/>
        <w:spacing w:after="160" w:line="360" w:lineRule="auto"/>
        <w:ind w:left="567" w:right="566"/>
        <w:rPr>
          <w:lang w:val="hy-AM"/>
        </w:rPr>
      </w:pPr>
      <w:r w:rsidRPr="0093525B">
        <w:rPr>
          <w:rStyle w:val="Bodytext295pt"/>
          <w:rFonts w:ascii="Sylfaen" w:hAnsi="Sylfaen"/>
          <w:b/>
          <w:spacing w:val="0"/>
          <w:sz w:val="24"/>
          <w:szCs w:val="24"/>
        </w:rPr>
        <w:t>ԸՆԹԱՑԱԿԱՐԳԸ</w:t>
      </w:r>
    </w:p>
    <w:p w14:paraId="5D24992C" w14:textId="77777777" w:rsidR="008C76E0" w:rsidRPr="008C76E0" w:rsidRDefault="008C76E0" w:rsidP="00007454">
      <w:pPr>
        <w:pStyle w:val="Bodytext130"/>
        <w:shd w:val="clear" w:color="auto" w:fill="auto"/>
        <w:spacing w:after="160" w:line="360" w:lineRule="auto"/>
        <w:ind w:left="567" w:right="566"/>
        <w:rPr>
          <w:rFonts w:ascii="Sylfaen" w:hAnsi="Sylfaen"/>
          <w:sz w:val="24"/>
          <w:szCs w:val="24"/>
          <w:lang w:val="hy-AM"/>
        </w:rPr>
      </w:pPr>
      <w:r w:rsidRPr="008C76E0">
        <w:rPr>
          <w:rFonts w:ascii="Sylfaen" w:hAnsi="Sylfaen"/>
          <w:sz w:val="24"/>
          <w:szCs w:val="24"/>
          <w:lang w:val="hy-AM"/>
        </w:rPr>
        <w:t xml:space="preserve">ակտիվ դեղագործական բաղադրամասի </w:t>
      </w:r>
      <w:r w:rsidRPr="008C76E0">
        <w:rPr>
          <w:rFonts w:ascii="Sylfaen" w:hAnsi="Sylfaen"/>
          <w:sz w:val="24"/>
          <w:szCs w:val="24"/>
          <w:lang w:val="hy-AM"/>
        </w:rPr>
        <w:br/>
        <w:t>մաստեր-ֆայլի հետ աշխատանքի</w:t>
      </w:r>
    </w:p>
    <w:p w14:paraId="6015021A" w14:textId="77777777" w:rsidR="008C76E0" w:rsidRPr="008C76E0" w:rsidRDefault="008C76E0" w:rsidP="00007454">
      <w:pPr>
        <w:pStyle w:val="Bodytext130"/>
        <w:shd w:val="clear" w:color="auto" w:fill="auto"/>
        <w:spacing w:after="160" w:line="360" w:lineRule="auto"/>
        <w:ind w:left="567" w:right="566"/>
        <w:rPr>
          <w:rFonts w:ascii="Sylfaen" w:hAnsi="Sylfaen"/>
          <w:sz w:val="24"/>
          <w:szCs w:val="24"/>
          <w:lang w:val="hy-AM"/>
        </w:rPr>
      </w:pPr>
    </w:p>
    <w:p w14:paraId="20FE8679" w14:textId="77777777" w:rsidR="008C76E0" w:rsidRPr="00BD7577" w:rsidRDefault="008C76E0" w:rsidP="00007454">
      <w:pPr>
        <w:spacing w:after="160" w:line="360" w:lineRule="auto"/>
        <w:ind w:left="567" w:right="566"/>
        <w:jc w:val="center"/>
        <w:rPr>
          <w:rFonts w:ascii="Sylfaen" w:hAnsi="Sylfaen"/>
          <w:sz w:val="24"/>
          <w:szCs w:val="24"/>
        </w:rPr>
      </w:pPr>
      <w:r w:rsidRPr="00BD7577">
        <w:rPr>
          <w:rFonts w:ascii="Sylfaen" w:hAnsi="Sylfaen"/>
          <w:sz w:val="24"/>
          <w:szCs w:val="24"/>
        </w:rPr>
        <w:t>I. Ներածություն</w:t>
      </w:r>
    </w:p>
    <w:p w14:paraId="5F79A06E" w14:textId="77777777" w:rsidR="008C76E0" w:rsidRPr="00BD7577" w:rsidRDefault="008C76E0" w:rsidP="00DB2544">
      <w:pPr>
        <w:spacing w:after="160" w:line="336" w:lineRule="auto"/>
        <w:ind w:firstLine="567"/>
        <w:jc w:val="both"/>
        <w:rPr>
          <w:rFonts w:ascii="Sylfaen" w:hAnsi="Sylfaen"/>
          <w:sz w:val="24"/>
          <w:szCs w:val="24"/>
        </w:rPr>
      </w:pPr>
      <w:r w:rsidRPr="00BD7577">
        <w:rPr>
          <w:rFonts w:ascii="Sylfaen" w:hAnsi="Sylfaen"/>
          <w:sz w:val="24"/>
          <w:szCs w:val="24"/>
        </w:rPr>
        <w:t>Ակտիվ դեղագործական բաղադրամասի մաստեր-ֆայլի (այսուհետ՝ ԱԴԲՄՖ) ընթացակարգի հիմնական նպատակը ակտիվ դեղագործական բաղադրամաս արտադրողի (այսուհետ՝ ԱԴԲԱ) արժեքավոր գաղտնի մտավոր սեփականության կամ «նոու-հաու»-ի պաշտպանությունն է՝ մի</w:t>
      </w:r>
      <w:r w:rsidR="00C54D75">
        <w:rPr>
          <w:rFonts w:ascii="Sylfaen" w:hAnsi="Sylfaen"/>
          <w:sz w:val="24"/>
          <w:szCs w:val="24"/>
        </w:rPr>
        <w:t>և</w:t>
      </w:r>
      <w:r w:rsidRPr="00BD7577">
        <w:rPr>
          <w:rFonts w:ascii="Sylfaen" w:hAnsi="Sylfaen"/>
          <w:sz w:val="24"/>
          <w:szCs w:val="24"/>
        </w:rPr>
        <w:t>նույն ժամանակ հայտատուին կամ գրանցման հավաստագրի (ԳՀ) իրավատիրոջը թույլ տալով ստանձնել դեղապատրաստուկի, ինչպես նա</w:t>
      </w:r>
      <w:r w:rsidR="00C54D75">
        <w:rPr>
          <w:rFonts w:ascii="Sylfaen" w:hAnsi="Sylfaen"/>
          <w:sz w:val="24"/>
          <w:szCs w:val="24"/>
        </w:rPr>
        <w:t>և</w:t>
      </w:r>
      <w:r w:rsidRPr="00BD7577">
        <w:rPr>
          <w:rFonts w:ascii="Sylfaen" w:hAnsi="Sylfaen"/>
          <w:sz w:val="24"/>
          <w:szCs w:val="24"/>
        </w:rPr>
        <w:t xml:space="preserve"> ակտիվ դեղագործական բաղադրամասի որակի </w:t>
      </w:r>
      <w:r w:rsidR="00C54D75">
        <w:rPr>
          <w:rFonts w:ascii="Sylfaen" w:hAnsi="Sylfaen"/>
          <w:sz w:val="24"/>
          <w:szCs w:val="24"/>
        </w:rPr>
        <w:t>և</w:t>
      </w:r>
      <w:r w:rsidRPr="00BD7577">
        <w:rPr>
          <w:rFonts w:ascii="Sylfaen" w:hAnsi="Sylfaen"/>
          <w:sz w:val="24"/>
          <w:szCs w:val="24"/>
        </w:rPr>
        <w:t xml:space="preserve"> որակի հսկողության համար ամբողջ պատասխանատվությունը։ Այս ընթացակարգի շնորհիվ Եվրասիական տնտեսական միության անդամ պետությունների (այսուհետ համապատասխանաբար՝ Միություն, անդամ պետություն) լիազորված մարմիններն ունեն լիարժեք հասանելիություն այն տեղեկություններին, որոնք անհրաժեշտ են ակտիվ դեղագործական բաղադրամասի՝ դեղապատրաստուկի բաղադրության մեջ կիրառվելու պիտանիության փորձաքննության համար։</w:t>
      </w:r>
    </w:p>
    <w:p w14:paraId="580C78F2" w14:textId="77777777" w:rsidR="008C76E0" w:rsidRPr="00BD7577" w:rsidRDefault="008C76E0" w:rsidP="00DB2544">
      <w:pPr>
        <w:spacing w:after="160" w:line="336" w:lineRule="auto"/>
        <w:jc w:val="both"/>
        <w:rPr>
          <w:rFonts w:ascii="Sylfaen" w:hAnsi="Sylfaen"/>
          <w:sz w:val="24"/>
          <w:szCs w:val="24"/>
        </w:rPr>
      </w:pPr>
    </w:p>
    <w:p w14:paraId="7188C5B6" w14:textId="77777777" w:rsidR="008C76E0" w:rsidRPr="00BD7577" w:rsidRDefault="008C76E0" w:rsidP="00DB2544">
      <w:pPr>
        <w:spacing w:after="160" w:line="336" w:lineRule="auto"/>
        <w:jc w:val="center"/>
        <w:rPr>
          <w:rFonts w:ascii="Sylfaen" w:hAnsi="Sylfaen"/>
          <w:sz w:val="24"/>
          <w:szCs w:val="24"/>
        </w:rPr>
      </w:pPr>
      <w:r w:rsidRPr="00BD7577">
        <w:rPr>
          <w:rFonts w:ascii="Sylfaen" w:hAnsi="Sylfaen"/>
          <w:sz w:val="24"/>
          <w:szCs w:val="24"/>
        </w:rPr>
        <w:t>II. Կիրառման ոլորտը</w:t>
      </w:r>
    </w:p>
    <w:p w14:paraId="2715C33E"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 xml:space="preserve">Սույն հավելվածը նախատեսված է աջակցելու հայտատուներին (ԳՀ-ի իրավատերերին) դեղապատրաստուկի գրանցման դոսյեի ակտիվ դեղագործական </w:t>
      </w:r>
      <w:r w:rsidRPr="00BD7577">
        <w:rPr>
          <w:rFonts w:ascii="Sylfaen" w:hAnsi="Sylfaen"/>
          <w:sz w:val="24"/>
          <w:szCs w:val="24"/>
        </w:rPr>
        <w:lastRenderedPageBreak/>
        <w:t>բաղադրամասի վերաբերյալ բաժինը կամ գրանցված դեղապատրաստուկի գրանցման դոսյեում փոփոխություններ կատարելու վերաբերյալ դոսյեն (փոփոխության դոսյեն) կազմելիս (բաժին 3.2.S)։ Այն նա</w:t>
      </w:r>
      <w:r w:rsidR="00C54D75">
        <w:rPr>
          <w:rFonts w:ascii="Sylfaen" w:hAnsi="Sylfaen"/>
          <w:sz w:val="24"/>
          <w:szCs w:val="24"/>
        </w:rPr>
        <w:t>և</w:t>
      </w:r>
      <w:r w:rsidRPr="00BD7577">
        <w:rPr>
          <w:rFonts w:ascii="Sylfaen" w:hAnsi="Sylfaen"/>
          <w:sz w:val="24"/>
          <w:szCs w:val="24"/>
        </w:rPr>
        <w:t xml:space="preserve"> ուղղված է աջակցելու ԱԴԲՄՖ-ի իրավատերերին ԱԴԲՄՖ-ն կազմելիս։</w:t>
      </w:r>
    </w:p>
    <w:p w14:paraId="08EFD933" w14:textId="77777777" w:rsidR="008C76E0" w:rsidRPr="00BD7577" w:rsidRDefault="008C76E0" w:rsidP="00007454">
      <w:pPr>
        <w:spacing w:after="160" w:line="360" w:lineRule="auto"/>
        <w:ind w:right="-1"/>
        <w:jc w:val="both"/>
        <w:rPr>
          <w:rFonts w:ascii="Sylfaen" w:hAnsi="Sylfaen"/>
          <w:sz w:val="24"/>
          <w:szCs w:val="24"/>
        </w:rPr>
      </w:pPr>
    </w:p>
    <w:p w14:paraId="746C2B6D" w14:textId="77777777" w:rsidR="008C76E0" w:rsidRPr="00BD7577" w:rsidRDefault="008C76E0" w:rsidP="00007454">
      <w:pPr>
        <w:spacing w:after="160" w:line="360" w:lineRule="auto"/>
        <w:ind w:left="567" w:right="566"/>
        <w:jc w:val="center"/>
        <w:rPr>
          <w:rFonts w:ascii="Sylfaen" w:hAnsi="Sylfaen"/>
          <w:sz w:val="24"/>
          <w:szCs w:val="24"/>
        </w:rPr>
      </w:pPr>
      <w:r w:rsidRPr="00BD7577">
        <w:rPr>
          <w:rFonts w:ascii="Sylfaen" w:hAnsi="Sylfaen"/>
          <w:sz w:val="24"/>
          <w:szCs w:val="24"/>
        </w:rPr>
        <w:t xml:space="preserve">III. Ակտիվ դեղագործական բաղադրամասի </w:t>
      </w:r>
      <w:r w:rsidRPr="00BD7577">
        <w:rPr>
          <w:rFonts w:ascii="Sylfaen" w:hAnsi="Sylfaen"/>
          <w:sz w:val="24"/>
          <w:szCs w:val="24"/>
        </w:rPr>
        <w:br/>
        <w:t>մաստեր-ֆայլի բովանդակությունը</w:t>
      </w:r>
    </w:p>
    <w:p w14:paraId="74CAF3C0"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ԱԴԲՄՖ-ն պետք է պարունակի գրանցման դոսյեի 3-րդ մոդուլի տարբեր վերնագրերով նշված մանրամասն գիտական տեղեկություններ՝ ընդհանուր տեխնիկական փաստաթղթի ձ</w:t>
      </w:r>
      <w:r w:rsidR="00C54D75">
        <w:rPr>
          <w:rFonts w:ascii="Sylfaen" w:hAnsi="Sylfaen"/>
          <w:sz w:val="24"/>
          <w:szCs w:val="24"/>
        </w:rPr>
        <w:t>և</w:t>
      </w:r>
      <w:r w:rsidRPr="00BD7577">
        <w:rPr>
          <w:rFonts w:ascii="Sylfaen" w:hAnsi="Sylfaen"/>
          <w:sz w:val="24"/>
          <w:szCs w:val="24"/>
        </w:rPr>
        <w:t>աչափով (աղյուսակ 1)։</w:t>
      </w:r>
    </w:p>
    <w:p w14:paraId="28F5F008"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 xml:space="preserve">ԱԴԲՄՖ-ի գիտական տեղեկություններն անհրաժեշտ է ֆիզիկապես բաժանել երկու մասի, մասնավորապես՝ հայտատուի մաս (այսուհետ՝ ՀՄ) </w:t>
      </w:r>
      <w:r w:rsidR="00C54D75">
        <w:rPr>
          <w:rFonts w:ascii="Sylfaen" w:hAnsi="Sylfaen"/>
          <w:sz w:val="24"/>
          <w:szCs w:val="24"/>
        </w:rPr>
        <w:t>և</w:t>
      </w:r>
      <w:r w:rsidRPr="00BD7577">
        <w:rPr>
          <w:rFonts w:ascii="Sylfaen" w:hAnsi="Sylfaen"/>
          <w:sz w:val="24"/>
          <w:szCs w:val="24"/>
        </w:rPr>
        <w:t xml:space="preserve"> փակ մաս (այսուհետ՝ ՓՄ)։ ՀՄ-ն պարունակում է տեղեկություններ, որոնք ԱԴԲՄՖ-ի իրավատերը հայտատուի (ԳՀ իրավատիրոջ) համար գաղտնի չի համարում, մինչդեռ ՓՄ-ն պարունակում է տեղեկություններ, որոնք ԱԴԲՄՖ-ի իրավատերը համարում է գաղտնի (սույն հավելվածի թիվ 1 լրացում)։ Հարկ է նշել, որ ՀՄ-ն, այնուամենայնիվ, գաղտնի փաստաթուղթ է, </w:t>
      </w:r>
      <w:r w:rsidR="00C54D75">
        <w:rPr>
          <w:rFonts w:ascii="Sylfaen" w:hAnsi="Sylfaen"/>
          <w:sz w:val="24"/>
          <w:szCs w:val="24"/>
        </w:rPr>
        <w:t>և</w:t>
      </w:r>
      <w:r w:rsidRPr="00BD7577">
        <w:rPr>
          <w:rFonts w:ascii="Sylfaen" w:hAnsi="Sylfaen"/>
          <w:sz w:val="24"/>
          <w:szCs w:val="24"/>
        </w:rPr>
        <w:t xml:space="preserve"> այն, առանց ԱԴԲՄՖ-ի իրավատիրոջ գրավոր համաձայնության, երրորդ անձանց փոխանցել չի կարելի։ Բոլոր դեպքերում ՀՄ-ն պետք է պարունակի բավարար տեղեկություններ, որպեսզի հայտատուն (ԳՀ-ի իրավատերը) կարողանա ստանձնել ակտիվ դեղագործական բաղադրամասի մասնագրի պիտանիության գնահատման ամբողջ պատասխանատվությունը, հսկի այդ ակտիվ դեղագործական բաղադրամասի որակը՝ այն որոշակի դեղապատրաստուկի արտադրության մեջ օգտագործելու նպատակով։</w:t>
      </w:r>
    </w:p>
    <w:p w14:paraId="7E06304E"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 xml:space="preserve">ՓՄ-ն կարող է պարունակել մնացած տեղեկությունները, ինչպիսիք են արտադրության առանձին փուլերի </w:t>
      </w:r>
      <w:r w:rsidR="00C54D75">
        <w:rPr>
          <w:rFonts w:ascii="Sylfaen" w:hAnsi="Sylfaen"/>
          <w:sz w:val="24"/>
          <w:szCs w:val="24"/>
        </w:rPr>
        <w:t>և</w:t>
      </w:r>
      <w:r w:rsidRPr="00BD7577">
        <w:rPr>
          <w:rFonts w:ascii="Sylfaen" w:hAnsi="Sylfaen"/>
          <w:sz w:val="24"/>
          <w:szCs w:val="24"/>
        </w:rPr>
        <w:t xml:space="preserve"> ակտիվ դեղագործական բաղադրամասի արտադրության ընթացքում որակի հսկողության մասին մանրամասն տեղեկությունները (ռեակցիաների ընթացքի պայմանները, ջերմաստիճանը, </w:t>
      </w:r>
      <w:r w:rsidRPr="00BD7577">
        <w:rPr>
          <w:rFonts w:ascii="Sylfaen" w:hAnsi="Sylfaen"/>
          <w:sz w:val="24"/>
          <w:szCs w:val="24"/>
        </w:rPr>
        <w:lastRenderedPageBreak/>
        <w:t>արտադրության կրիտիկական փուլերի տվյալների վալիդացումն ու գնահատումը)։ Անդամ պետությունների լիազորված մարմիններն իրավունք ունեն չհամաձայնելու այն բանի հետ, որ ԱԴԲՄՖ-ի որոշակի տեղեկություններ չեն փոխանցվել հայտատուին (ԳՀ-ի իրավատիրոջը)։ Այդպիսի դեպքերում անդամ պետության լիազորված մարմիններն իրավունք ունեն ՀՄ-ի ուղղումներ պահանջելու։</w:t>
      </w:r>
    </w:p>
    <w:p w14:paraId="4E781287" w14:textId="77777777" w:rsidR="008C76E0" w:rsidRPr="00BD7577" w:rsidRDefault="008C76E0" w:rsidP="00007454">
      <w:pPr>
        <w:spacing w:after="160" w:line="360" w:lineRule="auto"/>
        <w:ind w:right="-1" w:firstLine="567"/>
        <w:jc w:val="both"/>
        <w:rPr>
          <w:rFonts w:ascii="Sylfaen" w:hAnsi="Sylfaen"/>
          <w:sz w:val="24"/>
          <w:szCs w:val="24"/>
        </w:rPr>
      </w:pPr>
      <w:r w:rsidRPr="002F33A8">
        <w:rPr>
          <w:rFonts w:ascii="Sylfaen" w:hAnsi="Sylfaen"/>
          <w:spacing w:val="-4"/>
          <w:sz w:val="24"/>
          <w:szCs w:val="24"/>
        </w:rPr>
        <w:t xml:space="preserve">Ի լրումն ՀՄ-ի </w:t>
      </w:r>
      <w:r w:rsidR="00C54D75">
        <w:rPr>
          <w:rFonts w:ascii="Sylfaen" w:hAnsi="Sylfaen"/>
          <w:spacing w:val="-4"/>
          <w:sz w:val="24"/>
          <w:szCs w:val="24"/>
        </w:rPr>
        <w:t>և</w:t>
      </w:r>
      <w:r w:rsidRPr="002F33A8">
        <w:rPr>
          <w:rFonts w:ascii="Sylfaen" w:hAnsi="Sylfaen"/>
          <w:spacing w:val="-4"/>
          <w:sz w:val="24"/>
          <w:szCs w:val="24"/>
        </w:rPr>
        <w:t xml:space="preserve"> ՓՄ-ի՝ ԱԴԲՄՖ-ն պետք է ունենա բովանդակություն, որակի վերաբերյալ առանձին ընդհանուր ռեզյումեներ՝ ՀՄ-ի </w:t>
      </w:r>
      <w:r w:rsidR="00C54D75">
        <w:rPr>
          <w:rFonts w:ascii="Sylfaen" w:hAnsi="Sylfaen"/>
          <w:spacing w:val="-4"/>
          <w:sz w:val="24"/>
          <w:szCs w:val="24"/>
        </w:rPr>
        <w:t>և</w:t>
      </w:r>
      <w:r w:rsidRPr="002F33A8">
        <w:rPr>
          <w:rFonts w:ascii="Sylfaen" w:hAnsi="Sylfaen"/>
          <w:spacing w:val="-4"/>
          <w:sz w:val="24"/>
          <w:szCs w:val="24"/>
        </w:rPr>
        <w:t xml:space="preserve"> ՓՄ-ի համար։ ՀՄ-ի </w:t>
      </w:r>
      <w:r w:rsidR="00C54D75">
        <w:rPr>
          <w:rFonts w:ascii="Sylfaen" w:hAnsi="Sylfaen"/>
          <w:spacing w:val="-4"/>
          <w:sz w:val="24"/>
          <w:szCs w:val="24"/>
        </w:rPr>
        <w:t>և</w:t>
      </w:r>
      <w:r w:rsidRPr="002F33A8">
        <w:rPr>
          <w:rFonts w:ascii="Sylfaen" w:hAnsi="Sylfaen"/>
          <w:spacing w:val="-4"/>
          <w:sz w:val="24"/>
          <w:szCs w:val="24"/>
        </w:rPr>
        <w:t xml:space="preserve"> ՓՄ-ի յուրաքանչյուր տարբերակ</w:t>
      </w:r>
      <w:r w:rsidRPr="00BD7577">
        <w:rPr>
          <w:rFonts w:ascii="Sylfaen" w:hAnsi="Sylfaen"/>
          <w:sz w:val="24"/>
          <w:szCs w:val="24"/>
        </w:rPr>
        <w:t xml:space="preserve"> պետք է ունենա տարբերակների եզակի </w:t>
      </w:r>
      <w:r w:rsidR="00C54D75">
        <w:rPr>
          <w:rFonts w:ascii="Sylfaen" w:hAnsi="Sylfaen"/>
          <w:sz w:val="24"/>
          <w:szCs w:val="24"/>
        </w:rPr>
        <w:t>և</w:t>
      </w:r>
      <w:r w:rsidRPr="00BD7577">
        <w:rPr>
          <w:rFonts w:ascii="Sylfaen" w:hAnsi="Sylfaen"/>
          <w:sz w:val="24"/>
          <w:szCs w:val="24"/>
        </w:rPr>
        <w:t xml:space="preserve"> անկախ հսկիչ համարներ։</w:t>
      </w:r>
    </w:p>
    <w:p w14:paraId="6F6B97FC" w14:textId="77777777" w:rsidR="008C76E0" w:rsidRPr="00BD7577" w:rsidRDefault="008C76E0" w:rsidP="00007454">
      <w:pPr>
        <w:spacing w:after="160" w:line="360" w:lineRule="auto"/>
        <w:ind w:right="-1" w:firstLine="567"/>
        <w:jc w:val="center"/>
        <w:rPr>
          <w:rFonts w:ascii="Sylfaen" w:hAnsi="Sylfaen"/>
          <w:sz w:val="24"/>
          <w:szCs w:val="24"/>
        </w:rPr>
      </w:pPr>
    </w:p>
    <w:p w14:paraId="0DB2A1AD" w14:textId="77777777" w:rsidR="008C76E0" w:rsidRPr="00BD7577" w:rsidRDefault="008C76E0" w:rsidP="00007454">
      <w:pPr>
        <w:spacing w:after="160" w:line="360" w:lineRule="auto"/>
        <w:ind w:left="567" w:right="566"/>
        <w:jc w:val="center"/>
        <w:rPr>
          <w:rFonts w:ascii="Sylfaen" w:hAnsi="Sylfaen"/>
          <w:sz w:val="24"/>
          <w:szCs w:val="24"/>
        </w:rPr>
      </w:pPr>
      <w:r w:rsidRPr="00BD7577">
        <w:rPr>
          <w:rFonts w:ascii="Sylfaen" w:hAnsi="Sylfaen"/>
          <w:sz w:val="24"/>
          <w:szCs w:val="24"/>
        </w:rPr>
        <w:t xml:space="preserve">IV. Ակտիվ դեղագործական բաղադրամասի մաստեր-ֆայլի </w:t>
      </w:r>
      <w:r w:rsidRPr="00BD7577">
        <w:rPr>
          <w:rFonts w:ascii="Sylfaen" w:hAnsi="Sylfaen"/>
          <w:sz w:val="24"/>
          <w:szCs w:val="24"/>
        </w:rPr>
        <w:br/>
        <w:t>ընթացակարգի օգտագործումը</w:t>
      </w:r>
    </w:p>
    <w:p w14:paraId="18F11888" w14:textId="77777777" w:rsidR="008C76E0" w:rsidRPr="002F33A8" w:rsidRDefault="008C76E0" w:rsidP="00007454">
      <w:pPr>
        <w:spacing w:after="160" w:line="360" w:lineRule="auto"/>
        <w:ind w:right="-1" w:firstLine="567"/>
        <w:jc w:val="both"/>
        <w:rPr>
          <w:rFonts w:ascii="Sylfaen" w:hAnsi="Sylfaen"/>
          <w:spacing w:val="-4"/>
          <w:sz w:val="24"/>
          <w:szCs w:val="24"/>
        </w:rPr>
      </w:pPr>
      <w:r w:rsidRPr="002F33A8">
        <w:rPr>
          <w:rFonts w:ascii="Sylfaen" w:hAnsi="Sylfaen"/>
          <w:spacing w:val="-4"/>
          <w:sz w:val="24"/>
          <w:szCs w:val="24"/>
        </w:rPr>
        <w:t xml:space="preserve">ԱԴԲՄՖ-ն թույլատրվում է ներկայացնել միայն որպես Միությունում դեղապատրաստուկի գրանցման կամ Միությունում գրանցված դեղապատրաստուկի գրանցման դոսյեում փոփոխություններ կատարելու հիմնավորում։ Ակտիվ դեղագործական բաղադրամասի որակի </w:t>
      </w:r>
      <w:r w:rsidR="00C54D75">
        <w:rPr>
          <w:rFonts w:ascii="Sylfaen" w:hAnsi="Sylfaen"/>
          <w:spacing w:val="-4"/>
          <w:sz w:val="24"/>
          <w:szCs w:val="24"/>
        </w:rPr>
        <w:t>և</w:t>
      </w:r>
      <w:r w:rsidRPr="002F33A8">
        <w:rPr>
          <w:rFonts w:ascii="Sylfaen" w:hAnsi="Sylfaen"/>
          <w:spacing w:val="-4"/>
          <w:sz w:val="24"/>
          <w:szCs w:val="24"/>
        </w:rPr>
        <w:t xml:space="preserve"> դա դեղապատրաստուկի բաղադրության մեջ օգտագործելու միջ</w:t>
      </w:r>
      <w:r w:rsidR="00C54D75">
        <w:rPr>
          <w:rFonts w:ascii="Sylfaen" w:hAnsi="Sylfaen"/>
          <w:spacing w:val="-4"/>
          <w:sz w:val="24"/>
          <w:szCs w:val="24"/>
        </w:rPr>
        <w:t>և</w:t>
      </w:r>
      <w:r w:rsidRPr="002F33A8">
        <w:rPr>
          <w:rFonts w:ascii="Sylfaen" w:hAnsi="Sylfaen"/>
          <w:spacing w:val="-4"/>
          <w:sz w:val="24"/>
          <w:szCs w:val="24"/>
        </w:rPr>
        <w:t xml:space="preserve"> կապն անհրաժեշտ է հիմնավորել գրանցման դոսյեում կամ փոփոխության դոսյեում։</w:t>
      </w:r>
    </w:p>
    <w:p w14:paraId="7446D319" w14:textId="77777777" w:rsidR="008C76E0" w:rsidRPr="00BD7577" w:rsidRDefault="008C76E0" w:rsidP="00007454">
      <w:pPr>
        <w:spacing w:after="160" w:line="360" w:lineRule="auto"/>
        <w:ind w:right="-1" w:firstLine="567"/>
        <w:jc w:val="both"/>
        <w:rPr>
          <w:rFonts w:ascii="Sylfaen" w:hAnsi="Sylfaen"/>
          <w:sz w:val="24"/>
          <w:szCs w:val="24"/>
        </w:rPr>
      </w:pPr>
      <w:r w:rsidRPr="00324652">
        <w:rPr>
          <w:rFonts w:ascii="Sylfaen" w:hAnsi="Sylfaen"/>
          <w:sz w:val="24"/>
          <w:szCs w:val="24"/>
        </w:rPr>
        <w:t>Թե</w:t>
      </w:r>
      <w:r w:rsidR="00C54D75">
        <w:rPr>
          <w:rFonts w:ascii="Sylfaen" w:hAnsi="Sylfaen"/>
          <w:sz w:val="24"/>
          <w:szCs w:val="24"/>
        </w:rPr>
        <w:t>և</w:t>
      </w:r>
      <w:r w:rsidRPr="00324652">
        <w:rPr>
          <w:rFonts w:ascii="Sylfaen" w:hAnsi="Sylfaen"/>
          <w:sz w:val="24"/>
          <w:szCs w:val="24"/>
        </w:rPr>
        <w:t xml:space="preserve"> ԱԴԲՄՖ-ի ընթացակարգը մշակվել է ԱԴԲԱ-ի մտավոր սեփականությունը պաշտպանելու նպատակով, այն նա</w:t>
      </w:r>
      <w:r w:rsidR="00C54D75">
        <w:rPr>
          <w:rFonts w:ascii="Sylfaen" w:hAnsi="Sylfaen"/>
          <w:sz w:val="24"/>
          <w:szCs w:val="24"/>
        </w:rPr>
        <w:t>և</w:t>
      </w:r>
      <w:r w:rsidRPr="00324652">
        <w:rPr>
          <w:rFonts w:ascii="Sylfaen" w:hAnsi="Sylfaen"/>
          <w:sz w:val="24"/>
          <w:szCs w:val="24"/>
        </w:rPr>
        <w:t xml:space="preserve"> թույլատրվում է օգտագործել հայտատուի (ԳՀ-ի իրավատիրոջ) </w:t>
      </w:r>
      <w:r w:rsidR="00C54D75">
        <w:rPr>
          <w:rFonts w:ascii="Sylfaen" w:hAnsi="Sylfaen"/>
          <w:sz w:val="24"/>
          <w:szCs w:val="24"/>
        </w:rPr>
        <w:t>և</w:t>
      </w:r>
      <w:r w:rsidRPr="00324652">
        <w:rPr>
          <w:rFonts w:ascii="Sylfaen" w:hAnsi="Sylfaen"/>
          <w:sz w:val="24"/>
          <w:szCs w:val="24"/>
        </w:rPr>
        <w:t xml:space="preserve"> ԱԴԲԱ-ի միջ</w:t>
      </w:r>
      <w:r w:rsidR="00C54D75">
        <w:rPr>
          <w:rFonts w:ascii="Sylfaen" w:hAnsi="Sylfaen"/>
          <w:sz w:val="24"/>
          <w:szCs w:val="24"/>
        </w:rPr>
        <w:t>և</w:t>
      </w:r>
      <w:r w:rsidRPr="00324652">
        <w:rPr>
          <w:rFonts w:ascii="Sylfaen" w:hAnsi="Sylfaen"/>
          <w:sz w:val="24"/>
          <w:szCs w:val="24"/>
        </w:rPr>
        <w:t xml:space="preserve"> գաղտնիության </w:t>
      </w:r>
      <w:r w:rsidRPr="00324652">
        <w:rPr>
          <w:rFonts w:ascii="Sylfaen" w:hAnsi="Sylfaen"/>
          <w:spacing w:val="-4"/>
          <w:sz w:val="24"/>
          <w:szCs w:val="24"/>
        </w:rPr>
        <w:t>բացակայության դեպքում (օրինակ՝ երբ հայտատուն (ԳՀ-ի իրավատերը) ինքնուրույն սինթեզում է ակտիվ դեղագործական բաղադրամասը): ԱԴԲԱ-ն պետք է լինի ԱԴԲՄՖ-ի իրավատերը</w:t>
      </w:r>
      <w:r w:rsidRPr="00BD7577">
        <w:rPr>
          <w:rFonts w:ascii="Sylfaen" w:hAnsi="Sylfaen"/>
          <w:sz w:val="24"/>
          <w:szCs w:val="24"/>
        </w:rPr>
        <w:t>։</w:t>
      </w:r>
    </w:p>
    <w:p w14:paraId="5C1D610A"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ԱԴԲՄՖ-ի ընթացակարգն օգտագործվում է հետ</w:t>
      </w:r>
      <w:r w:rsidR="00C54D75">
        <w:rPr>
          <w:rFonts w:ascii="Sylfaen" w:hAnsi="Sylfaen"/>
          <w:sz w:val="24"/>
          <w:szCs w:val="24"/>
        </w:rPr>
        <w:t>և</w:t>
      </w:r>
      <w:r w:rsidRPr="00BD7577">
        <w:rPr>
          <w:rFonts w:ascii="Sylfaen" w:hAnsi="Sylfaen"/>
          <w:sz w:val="24"/>
          <w:szCs w:val="24"/>
        </w:rPr>
        <w:t xml:space="preserve">յալ ակտիվ դեղագործական բաղադրամասերի դեպքում, ներառյալ՝ դեղաբուսական հումքը (բուսական </w:t>
      </w:r>
      <w:r w:rsidRPr="00BD7577">
        <w:rPr>
          <w:rFonts w:ascii="Sylfaen" w:hAnsi="Sylfaen"/>
          <w:sz w:val="24"/>
          <w:szCs w:val="24"/>
        </w:rPr>
        <w:lastRenderedPageBreak/>
        <w:t>դեղագործական բաղադրամասերը)՝ նոր ակտիվ դեղագործական բաղադրամասերը. հայտնի ակտիվ դեղագործական բաղադրամասեր, որոնք ներառված չեն Միության դեղագրքում կամ անդամ պետության դեղագրքում,</w:t>
      </w:r>
    </w:p>
    <w:p w14:paraId="6E209951"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դեղագրքային ակտիվ դեղագործական բաղադրամասեր, որոնք ներառված են Միության դեղագրքում կամ անդամ պետության դեղագրքում։</w:t>
      </w:r>
    </w:p>
    <w:p w14:paraId="73A6ACB6" w14:textId="77777777" w:rsidR="008C76E0" w:rsidRPr="002F33A8" w:rsidRDefault="008C76E0" w:rsidP="00007454">
      <w:pPr>
        <w:spacing w:after="160" w:line="360" w:lineRule="auto"/>
        <w:ind w:right="-1" w:firstLine="567"/>
        <w:jc w:val="both"/>
        <w:rPr>
          <w:rFonts w:ascii="Sylfaen" w:hAnsi="Sylfaen"/>
          <w:spacing w:val="4"/>
          <w:sz w:val="24"/>
          <w:szCs w:val="24"/>
        </w:rPr>
      </w:pPr>
      <w:r w:rsidRPr="002F33A8">
        <w:rPr>
          <w:rFonts w:ascii="Sylfaen" w:hAnsi="Sylfaen"/>
          <w:spacing w:val="4"/>
          <w:sz w:val="24"/>
          <w:szCs w:val="24"/>
        </w:rPr>
        <w:t>ԱԴԲՄՖ-ի ընթացակարգը չի թույլատրվում օգտագործել կենսաբանական ակտիվ դեղագործական բաղադրամասերի դեպքում (սույն հավելվածի թիվ 5 լրացում)։</w:t>
      </w:r>
    </w:p>
    <w:p w14:paraId="5C3CBEB9" w14:textId="77777777" w:rsidR="008C76E0" w:rsidRPr="002F33A8" w:rsidRDefault="008C76E0" w:rsidP="00007454">
      <w:pPr>
        <w:spacing w:after="160" w:line="360" w:lineRule="auto"/>
        <w:ind w:right="-1" w:firstLine="567"/>
        <w:jc w:val="both"/>
        <w:rPr>
          <w:rFonts w:ascii="Sylfaen" w:hAnsi="Sylfaen"/>
          <w:spacing w:val="-4"/>
          <w:sz w:val="24"/>
          <w:szCs w:val="24"/>
        </w:rPr>
      </w:pPr>
      <w:r w:rsidRPr="002F33A8">
        <w:rPr>
          <w:rFonts w:ascii="Sylfaen" w:hAnsi="Sylfaen"/>
          <w:spacing w:val="4"/>
          <w:sz w:val="24"/>
          <w:szCs w:val="24"/>
        </w:rPr>
        <w:t>ԱԴԲՄՖ-ի իրավատերը կարող է ունենալ ԱԴԲՄՖ, ինչպես նա</w:t>
      </w:r>
      <w:r w:rsidR="00C54D75">
        <w:rPr>
          <w:rFonts w:ascii="Sylfaen" w:hAnsi="Sylfaen"/>
          <w:spacing w:val="4"/>
          <w:sz w:val="24"/>
          <w:szCs w:val="24"/>
        </w:rPr>
        <w:t>և</w:t>
      </w:r>
      <w:r w:rsidRPr="002F33A8">
        <w:rPr>
          <w:rFonts w:ascii="Sylfaen" w:hAnsi="Sylfaen"/>
          <w:spacing w:val="4"/>
          <w:sz w:val="24"/>
          <w:szCs w:val="24"/>
        </w:rPr>
        <w:t xml:space="preserve"> առանձին ակտիվ դեղագործական բաղադրամասի համար տրված СЕР սերտիֆիկատ։ Այնուամենայնիվ, ընդհանուր առմամբ անթույլատրելի է, որ հայտատուն </w:t>
      </w:r>
      <w:r w:rsidRPr="002F33A8">
        <w:rPr>
          <w:rFonts w:ascii="Sylfaen" w:hAnsi="Sylfaen"/>
          <w:spacing w:val="4"/>
          <w:sz w:val="24"/>
          <w:szCs w:val="24"/>
        </w:rPr>
        <w:br/>
        <w:t xml:space="preserve">(ԳՀ-ի իրավատերը) </w:t>
      </w:r>
      <w:r w:rsidRPr="002F33A8">
        <w:rPr>
          <w:rFonts w:ascii="Sylfaen" w:hAnsi="Sylfaen"/>
          <w:spacing w:val="-4"/>
          <w:sz w:val="24"/>
          <w:szCs w:val="24"/>
        </w:rPr>
        <w:t>մեկ գրանցման դոսյեի (փոփոխության դոսյեի) մի</w:t>
      </w:r>
      <w:r w:rsidR="00C54D75">
        <w:rPr>
          <w:rFonts w:ascii="Sylfaen" w:hAnsi="Sylfaen"/>
          <w:spacing w:val="-4"/>
          <w:sz w:val="24"/>
          <w:szCs w:val="24"/>
        </w:rPr>
        <w:t>և</w:t>
      </w:r>
      <w:r w:rsidRPr="002F33A8">
        <w:rPr>
          <w:rFonts w:ascii="Sylfaen" w:hAnsi="Sylfaen"/>
          <w:spacing w:val="-4"/>
          <w:sz w:val="24"/>
          <w:szCs w:val="24"/>
        </w:rPr>
        <w:t xml:space="preserve">նույն ակտիվ դեղագործական բաղադրամասի դեպքում հղում կատարի </w:t>
      </w:r>
      <w:r w:rsidR="00C54D75">
        <w:rPr>
          <w:rFonts w:ascii="Sylfaen" w:hAnsi="Sylfaen"/>
          <w:spacing w:val="-4"/>
          <w:sz w:val="24"/>
          <w:szCs w:val="24"/>
        </w:rPr>
        <w:t>և</w:t>
      </w:r>
      <w:r w:rsidRPr="002F33A8">
        <w:rPr>
          <w:rFonts w:ascii="Sylfaen" w:hAnsi="Sylfaen"/>
          <w:spacing w:val="-4"/>
          <w:sz w:val="24"/>
          <w:szCs w:val="24"/>
        </w:rPr>
        <w:t xml:space="preserve">՛ ԱԴԲՄՖ-ին, </w:t>
      </w:r>
      <w:r w:rsidR="00C54D75">
        <w:rPr>
          <w:rFonts w:ascii="Sylfaen" w:hAnsi="Sylfaen"/>
          <w:spacing w:val="-4"/>
          <w:sz w:val="24"/>
          <w:szCs w:val="24"/>
        </w:rPr>
        <w:t>և</w:t>
      </w:r>
      <w:r w:rsidRPr="002F33A8">
        <w:rPr>
          <w:rFonts w:ascii="Sylfaen" w:hAnsi="Sylfaen"/>
          <w:spacing w:val="-4"/>
          <w:sz w:val="24"/>
          <w:szCs w:val="24"/>
        </w:rPr>
        <w:t>՛ СЕР-ին։ Եթե СЕР-ը պարունակում է ոչ բավարար տեղեկություններ (օրինակ՝ կայունության վերաբերյալ), ապա անդամ պետությունների լիազորված մարմիններն իրավունք ունեն պահանջելու դոսյեի մեջ լրացուցիչ տեղեկությունների ներառում։ Այդ դեպքում թույլատրվում է հղում կատարել ինչպես ԱԴԲՄՖ-ին, այնպես էլ СЕР-ին։</w:t>
      </w:r>
    </w:p>
    <w:p w14:paraId="216D9BBF"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ԱԴԲՄՖ-ի իրավատերն անդամ պետությունների լիազորված մարմիններին պետք է թույլտվություն տա ԱԴԲՄՖ-ի տվյալների փորձաքննության համար՝ կոնկրետ գրանցման դոսյեի (փոփոխության դոսյե) հետ փոխկապակցվածությամբ՝ «Հասանելիության թույլտվության» ձ</w:t>
      </w:r>
      <w:r w:rsidR="00C54D75">
        <w:rPr>
          <w:rFonts w:ascii="Sylfaen" w:hAnsi="Sylfaen"/>
          <w:sz w:val="24"/>
          <w:szCs w:val="24"/>
        </w:rPr>
        <w:t>և</w:t>
      </w:r>
      <w:r w:rsidRPr="00BD7577">
        <w:rPr>
          <w:rFonts w:ascii="Sylfaen" w:hAnsi="Sylfaen"/>
          <w:sz w:val="24"/>
          <w:szCs w:val="24"/>
        </w:rPr>
        <w:t>ով (սույն հավելվածի թիվ 2 լրացում)։</w:t>
      </w:r>
    </w:p>
    <w:p w14:paraId="04FCAE61"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ԱԴԲՄՖ-ի իրավատերը հայտատուին (ԳՀ-ի իրավատիրոջը) պետք է տրամադրի հետ</w:t>
      </w:r>
      <w:r w:rsidR="00C54D75">
        <w:rPr>
          <w:rFonts w:ascii="Sylfaen" w:hAnsi="Sylfaen"/>
          <w:sz w:val="24"/>
          <w:szCs w:val="24"/>
        </w:rPr>
        <w:t>և</w:t>
      </w:r>
      <w:r w:rsidRPr="00BD7577">
        <w:rPr>
          <w:rFonts w:ascii="Sylfaen" w:hAnsi="Sylfaen"/>
          <w:sz w:val="24"/>
          <w:szCs w:val="24"/>
        </w:rPr>
        <w:t>յալ փաստաթղթերը՝</w:t>
      </w:r>
    </w:p>
    <w:p w14:paraId="6CBA775B"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ՀՄ-ի վերջին տարբերակի պատճենը (</w:t>
      </w:r>
      <w:r w:rsidR="00C54D75">
        <w:rPr>
          <w:rFonts w:ascii="Sylfaen" w:hAnsi="Sylfaen"/>
          <w:sz w:val="24"/>
          <w:szCs w:val="24"/>
        </w:rPr>
        <w:t>և</w:t>
      </w:r>
      <w:r w:rsidRPr="00BD7577">
        <w:rPr>
          <w:rFonts w:ascii="Sylfaen" w:hAnsi="Sylfaen"/>
          <w:sz w:val="24"/>
          <w:szCs w:val="24"/>
        </w:rPr>
        <w:t>, եթե կիրառելի է, անդամ պետության լիազորված մարմնի՝ ՀՄ-ում տվյալների ոչ բավարար լինելու մասին ծանուցումը, եթե դրանք դեռ</w:t>
      </w:r>
      <w:r w:rsidR="00C54D75">
        <w:rPr>
          <w:rFonts w:ascii="Sylfaen" w:hAnsi="Sylfaen"/>
          <w:sz w:val="24"/>
          <w:szCs w:val="24"/>
        </w:rPr>
        <w:t>և</w:t>
      </w:r>
      <w:r w:rsidRPr="00BD7577">
        <w:rPr>
          <w:rFonts w:ascii="Sylfaen" w:hAnsi="Sylfaen"/>
          <w:sz w:val="24"/>
          <w:szCs w:val="24"/>
        </w:rPr>
        <w:t>ս չեն ներառվել ՀՄ-ում),</w:t>
      </w:r>
    </w:p>
    <w:p w14:paraId="4881E022"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 xml:space="preserve">ՀՄ-ի վերջին տարբերակի մասով որակի ընդհանուր ռեզյումեի պատճենը, </w:t>
      </w:r>
      <w:r w:rsidRPr="00BD7577">
        <w:rPr>
          <w:rFonts w:ascii="Sylfaen" w:hAnsi="Sylfaen"/>
          <w:sz w:val="24"/>
          <w:szCs w:val="24"/>
        </w:rPr>
        <w:lastRenderedPageBreak/>
        <w:t>հասանելիության թույլտվության պատճենը, եթե դիտարկվող դեղապատրաստուկի դեպքում այդպիսի թույլտվություն նախկինում չի փոխանցվել։</w:t>
      </w:r>
    </w:p>
    <w:p w14:paraId="39805EC7"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Բացի այդ, պարտադիր պահանջ է ԱԴԲՄՖ-ի իրավատիրոջ կողմից գրանցման (գրանցման դոսյեում փոփոխություններ կատարելու) ընթացակարգում ներգրավված անդամ պետությունների բոլոր լիազորված մարմիններ ներկայացնել՝</w:t>
      </w:r>
    </w:p>
    <w:p w14:paraId="0CC0DDC0"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ԱԴԲՄՖ-ն (</w:t>
      </w:r>
      <w:r w:rsidR="00C54D75">
        <w:rPr>
          <w:rFonts w:ascii="Sylfaen" w:hAnsi="Sylfaen"/>
          <w:sz w:val="24"/>
          <w:szCs w:val="24"/>
        </w:rPr>
        <w:t>և</w:t>
      </w:r>
      <w:r w:rsidRPr="00BD7577">
        <w:rPr>
          <w:rFonts w:ascii="Sylfaen" w:hAnsi="Sylfaen"/>
          <w:sz w:val="24"/>
          <w:szCs w:val="24"/>
        </w:rPr>
        <w:t>, եթե կիրառելի է, տվյալների ոչ բավարար լինելու մասին անդամ պետության լիազորված մարմնի ծանուցումներին տրված պատասխանները, եթե դրանք դեռ</w:t>
      </w:r>
      <w:r w:rsidR="00C54D75">
        <w:rPr>
          <w:rFonts w:ascii="Sylfaen" w:hAnsi="Sylfaen"/>
          <w:sz w:val="24"/>
          <w:szCs w:val="24"/>
        </w:rPr>
        <w:t>և</w:t>
      </w:r>
      <w:r w:rsidRPr="00BD7577">
        <w:rPr>
          <w:rFonts w:ascii="Sylfaen" w:hAnsi="Sylfaen"/>
          <w:sz w:val="24"/>
          <w:szCs w:val="24"/>
        </w:rPr>
        <w:t xml:space="preserve">ս չեն ներառվել ԱԴԲՄՖ-ում) ուղեգիր-նամակի </w:t>
      </w:r>
      <w:r w:rsidR="00C54D75">
        <w:rPr>
          <w:rFonts w:ascii="Sylfaen" w:hAnsi="Sylfaen"/>
          <w:sz w:val="24"/>
          <w:szCs w:val="24"/>
        </w:rPr>
        <w:t>և</w:t>
      </w:r>
      <w:r w:rsidRPr="00BD7577">
        <w:rPr>
          <w:rFonts w:ascii="Sylfaen" w:hAnsi="Sylfaen"/>
          <w:sz w:val="24"/>
          <w:szCs w:val="24"/>
        </w:rPr>
        <w:t xml:space="preserve"> վարչական տվյալների հետ միասին (սույն հավելվածի թիվ 3 լրացում)։ Այս պահանջը տարածվում է նա</w:t>
      </w:r>
      <w:r w:rsidR="00C54D75">
        <w:rPr>
          <w:rFonts w:ascii="Sylfaen" w:hAnsi="Sylfaen"/>
          <w:sz w:val="24"/>
          <w:szCs w:val="24"/>
        </w:rPr>
        <w:t>և</w:t>
      </w:r>
      <w:r w:rsidRPr="00BD7577">
        <w:rPr>
          <w:rFonts w:ascii="Sylfaen" w:hAnsi="Sylfaen"/>
          <w:sz w:val="24"/>
          <w:szCs w:val="24"/>
        </w:rPr>
        <w:t xml:space="preserve"> ԱԴԲՄՖ-ի իրավատիրոջ՝ անդամ պետության լիազորված մարմնի՝ տվյալների ոչ բավարար լինելու մասին ծանուցումներին տրված պատասխանների վրա,</w:t>
      </w:r>
    </w:p>
    <w:p w14:paraId="5E07BFFA"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հասանելիության թույլտվությունը, եթե դիտարկվող դեղապատրաստուկի դեպքում այդպիսի թույլտվություն նախկինում չի ներկայացվել։</w:t>
      </w:r>
    </w:p>
    <w:p w14:paraId="6A5CC09F"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ԱԴԲՄՖ-ի իրավատերն ԱԴԲՄՖ-ն պետք է անդամ պետության լիազորված մարմին ներկայացնի մեկ անգամ։ ԱԴԲՄՖ-ի իրավատերը պետք է համաժամանակեցնի համապատասխան փաստաթղթերն անդամ պետության լիազորված մարմին ներկայացնելը գրանցման դոսյեն (փոփոխության դոսյեն) ներկայացնելու հետ՝ փաստաթղթերը պետք է տեղ հասնեն համապատասխան գրանցման դոսյեն (փոփոխության դոսյեն) ներկայացնելուց հետո մեկ ամսից ոչ շուտ կամ ուշ։</w:t>
      </w:r>
    </w:p>
    <w:p w14:paraId="035675B2"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ԱԴԲՄՖ-ի ընթացակարգն օգտագործելիս հայտատուն (ԳՀ-ի իրավատերը) պետք է ռեֆերենտ</w:t>
      </w:r>
      <w:r w:rsidRPr="00BD7577" w:rsidDel="004F2F4D">
        <w:rPr>
          <w:rFonts w:ascii="Sylfaen" w:hAnsi="Sylfaen"/>
          <w:sz w:val="24"/>
          <w:szCs w:val="24"/>
        </w:rPr>
        <w:t xml:space="preserve"> </w:t>
      </w:r>
      <w:r w:rsidRPr="00BD7577">
        <w:rPr>
          <w:rFonts w:ascii="Sylfaen" w:hAnsi="Sylfaen"/>
          <w:sz w:val="24"/>
          <w:szCs w:val="24"/>
        </w:rPr>
        <w:t>պետության լիազորված մարմին ներկայացնի գրանցման դոսյեն կամ փոփոխության դոսյեն հասանելիության թույլտվության հետ միասին, եթե դիտարկվող դեղապատրաստուկի մասով այն նախկինում չի ներկայացվել հենց ԳՀ-ի իրավատիրոջ (հայտատուի) կամ ԱԴԲՄՖ-ի իրավատիրոջ կողմից։</w:t>
      </w:r>
    </w:p>
    <w:p w14:paraId="26EDF0A7" w14:textId="77777777" w:rsidR="008C76E0" w:rsidRPr="00BD7577" w:rsidRDefault="008C76E0" w:rsidP="00007454">
      <w:pPr>
        <w:tabs>
          <w:tab w:val="left" w:pos="3261"/>
        </w:tabs>
        <w:spacing w:after="160" w:line="360" w:lineRule="auto"/>
        <w:ind w:firstLine="567"/>
        <w:jc w:val="both"/>
        <w:rPr>
          <w:rFonts w:ascii="Sylfaen" w:hAnsi="Sylfaen"/>
          <w:sz w:val="24"/>
          <w:szCs w:val="24"/>
        </w:rPr>
      </w:pPr>
      <w:r w:rsidRPr="00BD7577">
        <w:rPr>
          <w:rFonts w:ascii="Sylfaen" w:hAnsi="Sylfaen"/>
          <w:sz w:val="24"/>
          <w:szCs w:val="24"/>
        </w:rPr>
        <w:lastRenderedPageBreak/>
        <w:t>Եթե մի</w:t>
      </w:r>
      <w:r w:rsidR="00C54D75">
        <w:rPr>
          <w:rFonts w:ascii="Sylfaen" w:hAnsi="Sylfaen"/>
          <w:sz w:val="24"/>
          <w:szCs w:val="24"/>
        </w:rPr>
        <w:t>և</w:t>
      </w:r>
      <w:r w:rsidRPr="00BD7577">
        <w:rPr>
          <w:rFonts w:ascii="Sylfaen" w:hAnsi="Sylfaen"/>
          <w:sz w:val="24"/>
          <w:szCs w:val="24"/>
        </w:rPr>
        <w:t xml:space="preserve">նույն ակտիվ դեղագործական բաղադրամասն օգտագործվում է տարբեր դեղապատրաստուկների համար մի քանի դոսյեներում մեկ կամ ավելի անդամ պետություններում, ապա ԱԴԲՄՖ-ի իրավատերն անդամ պետության յուրաքանչյուր լիազորված մարմին պետք է ներկայացնի նույնական փաստաթղթեր։ Հետագայում անդամ պետությունների լիազորված մարմիններն իրավունք ունեն պահանջելու, որ մեկ գրանցման դոսյեի մասով կատարված ԱԴԲՄՖ-ի ցանկացած թարմացում կիրառվի մնացած դոսյեների մասով։ ԱԴԲՄՖ-ի իրավատիրոջ պարտականությունն է ԳՀ-ի շահագրգիռ իրավատերերին </w:t>
      </w:r>
      <w:r w:rsidR="00C54D75">
        <w:rPr>
          <w:rFonts w:ascii="Sylfaen" w:hAnsi="Sylfaen"/>
          <w:sz w:val="24"/>
          <w:szCs w:val="24"/>
        </w:rPr>
        <w:t>և</w:t>
      </w:r>
      <w:r w:rsidRPr="00BD7577">
        <w:rPr>
          <w:rFonts w:ascii="Sylfaen" w:hAnsi="Sylfaen"/>
          <w:sz w:val="24"/>
          <w:szCs w:val="24"/>
        </w:rPr>
        <w:t xml:space="preserve"> անդամ պետությունների լիազորված մարմիններին ծանուցել ՀՄ-ում </w:t>
      </w:r>
      <w:r w:rsidR="00C54D75">
        <w:rPr>
          <w:rFonts w:ascii="Sylfaen" w:hAnsi="Sylfaen"/>
          <w:sz w:val="24"/>
          <w:szCs w:val="24"/>
        </w:rPr>
        <w:t>և</w:t>
      </w:r>
      <w:r w:rsidRPr="00BD7577">
        <w:rPr>
          <w:rFonts w:ascii="Sylfaen" w:hAnsi="Sylfaen"/>
          <w:sz w:val="24"/>
          <w:szCs w:val="24"/>
        </w:rPr>
        <w:t xml:space="preserve"> (կամ) ՓՄ-ում կատարված ցանկացած փոփոխության մասին, որպեսզի ԳՀ-ի իրավատերերը կարողանան համապատասխան ձ</w:t>
      </w:r>
      <w:r w:rsidR="00C54D75">
        <w:rPr>
          <w:rFonts w:ascii="Sylfaen" w:hAnsi="Sylfaen"/>
          <w:sz w:val="24"/>
          <w:szCs w:val="24"/>
        </w:rPr>
        <w:t>և</w:t>
      </w:r>
      <w:r w:rsidRPr="00BD7577">
        <w:rPr>
          <w:rFonts w:ascii="Sylfaen" w:hAnsi="Sylfaen"/>
          <w:sz w:val="24"/>
          <w:szCs w:val="24"/>
        </w:rPr>
        <w:t>ով թարմացնել դեղապատրաստուկների շոշափված բոլոր գրանցման դոսյեները։</w:t>
      </w:r>
    </w:p>
    <w:p w14:paraId="1135F8FC" w14:textId="77777777" w:rsidR="008C76E0" w:rsidRPr="00BD7577" w:rsidRDefault="008C76E0" w:rsidP="00007454">
      <w:pPr>
        <w:tabs>
          <w:tab w:val="left" w:pos="3261"/>
        </w:tabs>
        <w:spacing w:after="160" w:line="360" w:lineRule="auto"/>
        <w:ind w:firstLine="567"/>
        <w:jc w:val="center"/>
        <w:rPr>
          <w:rFonts w:ascii="Sylfaen" w:hAnsi="Sylfaen"/>
          <w:sz w:val="24"/>
          <w:szCs w:val="24"/>
        </w:rPr>
      </w:pPr>
    </w:p>
    <w:p w14:paraId="5E9D8581" w14:textId="77777777" w:rsidR="008C76E0" w:rsidRPr="00BD7577" w:rsidRDefault="008C76E0" w:rsidP="00007454">
      <w:pPr>
        <w:spacing w:after="160" w:line="360" w:lineRule="auto"/>
        <w:ind w:left="567" w:right="566"/>
        <w:jc w:val="center"/>
        <w:rPr>
          <w:rFonts w:ascii="Sylfaen" w:hAnsi="Sylfaen"/>
          <w:sz w:val="24"/>
          <w:szCs w:val="24"/>
        </w:rPr>
      </w:pPr>
      <w:r w:rsidRPr="00BD7577">
        <w:rPr>
          <w:rFonts w:ascii="Sylfaen" w:hAnsi="Sylfaen"/>
          <w:sz w:val="24"/>
          <w:szCs w:val="24"/>
        </w:rPr>
        <w:t>V. Գրանցման դոսյեի բովանդակությունը՝ ակտիվ դեղագործական բաղադրամասի մաստեր-ֆայլի ընթացակարգն օգտագործելիս</w:t>
      </w:r>
    </w:p>
    <w:p w14:paraId="5C179B46"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Հայտատուն (ԳՀ-ի իրավատերը) պատասխանատու է ակտիվ դեղագործական բաղադրամասի փաստացի արտադրության մասին բոլոր անհրաժեշտ տեղեկություններին իր հասանելիության առկայությունն ապահովելու համար։</w:t>
      </w:r>
    </w:p>
    <w:p w14:paraId="10ACBE79"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Գրանցման դոսյեում միանշանակ անհրաժեշտ է ներկայացնել ակտիվ դեղագործական բաղադրամասի որակի հսկողության համար հայտատուի (ԳՀ-ի իրավատիրոջ) կողմից օգտագործվող մասնագիրը (ԸՏՓ-ի ձ</w:t>
      </w:r>
      <w:r w:rsidR="00C54D75">
        <w:rPr>
          <w:rFonts w:ascii="Sylfaen" w:hAnsi="Sylfaen"/>
          <w:sz w:val="24"/>
          <w:szCs w:val="24"/>
        </w:rPr>
        <w:t>և</w:t>
      </w:r>
      <w:r w:rsidRPr="00BD7577">
        <w:rPr>
          <w:rFonts w:ascii="Sylfaen" w:hAnsi="Sylfaen"/>
          <w:sz w:val="24"/>
          <w:szCs w:val="24"/>
        </w:rPr>
        <w:t>աչափի բաժին 3.2.S.4.1 կամ 3.2.S.4.2)։ Հայտաատուն (ԳՀ-ի իրավատերը) պետք է գրանցման դոսյեում ներառի ՀՄ-ի պատճենը (ԸՏՓ-ի ձ</w:t>
      </w:r>
      <w:r w:rsidR="00C54D75">
        <w:rPr>
          <w:rFonts w:ascii="Sylfaen" w:hAnsi="Sylfaen"/>
          <w:sz w:val="24"/>
          <w:szCs w:val="24"/>
        </w:rPr>
        <w:t>և</w:t>
      </w:r>
      <w:r w:rsidRPr="00BD7577">
        <w:rPr>
          <w:rFonts w:ascii="Sylfaen" w:hAnsi="Sylfaen"/>
          <w:sz w:val="24"/>
          <w:szCs w:val="24"/>
        </w:rPr>
        <w:t xml:space="preserve">աչափի բաժին 3.2.S)։ Գրանցման դոսյեի ՀՄ-ի տարբերակը պետք է լինի ավելի թարմ </w:t>
      </w:r>
      <w:r w:rsidR="00C54D75">
        <w:rPr>
          <w:rFonts w:ascii="Sylfaen" w:hAnsi="Sylfaen"/>
          <w:sz w:val="24"/>
          <w:szCs w:val="24"/>
        </w:rPr>
        <w:t>և</w:t>
      </w:r>
      <w:r w:rsidRPr="00BD7577">
        <w:rPr>
          <w:rFonts w:ascii="Sylfaen" w:hAnsi="Sylfaen"/>
          <w:sz w:val="24"/>
          <w:szCs w:val="24"/>
        </w:rPr>
        <w:t xml:space="preserve"> ԱԴԲՄՖ-ի իրավատիրոջ կողմից անդամ պետության լիազորված մարմին որպես ԱԴԲՄՖ-ի մաս ներկայացված ՀՄ-ին նույնական։ Հայտատուն (ԳՀ-ի իրավատերը) պետք է բոլոր անհրաժեշտ տեղեկությունները ՀՄ-ից տեղափոխի գրանցման դոսյեի՝ որակի </w:t>
      </w:r>
      <w:r w:rsidRPr="00BD7577">
        <w:rPr>
          <w:rFonts w:ascii="Sylfaen" w:hAnsi="Sylfaen"/>
          <w:sz w:val="24"/>
          <w:szCs w:val="24"/>
        </w:rPr>
        <w:lastRenderedPageBreak/>
        <w:t>ընդհանուր ռեզյումե (մոդուլ 2.3)։ Գրանցման դոսյեի որակի ընդհանուր ռեզյումեում անհրաժեշտ է լուսաբանել ԱԴԲՄՖ-ի այն բաժինները, որոնք սպեցիֆիկ են դիտարկվող դեղապատրաստուկի համար։</w:t>
      </w:r>
    </w:p>
    <w:p w14:paraId="4E13ECF7"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 xml:space="preserve">Մեկ մատակարարի դեպքում </w:t>
      </w:r>
      <w:r w:rsidR="00C54D75">
        <w:rPr>
          <w:rFonts w:ascii="Sylfaen" w:hAnsi="Sylfaen"/>
          <w:sz w:val="24"/>
          <w:szCs w:val="24"/>
        </w:rPr>
        <w:t>և</w:t>
      </w:r>
      <w:r w:rsidRPr="00BD7577">
        <w:rPr>
          <w:rFonts w:ascii="Sylfaen" w:hAnsi="Sylfaen"/>
          <w:sz w:val="24"/>
          <w:szCs w:val="24"/>
        </w:rPr>
        <w:t xml:space="preserve"> ԱԴԲՄՖ-ի կամ СЕР-ի ընթացակարգն օգտագործելիս հայտատուի (ԳՀ-ի իրավատիրոջ) կողմից գրանցման դոսյեում ներառվող՝ ակտիվ դեղագործական բաղադրամասի մասնագիրը պետք է սկզբունքորեն նույնական լինի ԱԴԲՄՖ-ի կամ СЕР-ի իրավատիրոջ մասնագրին։ Սակայն հայտատուն (ԳՀ-ի իրավատերը) պարտավոր չէ համաձայնել մասնագրի ավելորդ փորձարկումներին, մասնագրի չհիմնավորված խիստ շրջանակներին </w:t>
      </w:r>
      <w:r w:rsidR="00C54D75">
        <w:rPr>
          <w:rFonts w:ascii="Sylfaen" w:hAnsi="Sylfaen"/>
          <w:sz w:val="24"/>
          <w:szCs w:val="24"/>
        </w:rPr>
        <w:t>և</w:t>
      </w:r>
      <w:r w:rsidRPr="00BD7577">
        <w:rPr>
          <w:rFonts w:ascii="Sylfaen" w:hAnsi="Sylfaen"/>
          <w:sz w:val="24"/>
          <w:szCs w:val="24"/>
        </w:rPr>
        <w:t xml:space="preserve"> հնացած վերլուծական մեթոդիկաներին։</w:t>
      </w:r>
    </w:p>
    <w:p w14:paraId="6D76A4BB"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Եթե հայտատուն (ԳՀ-ի իրավատերը) օգտագործում է ԱԴԲՄՖ-ում նկարագրված վերլուծական մեթոդիկայից տարբեր մեթոդիկա, ապա երկու մեթոդիկաներն էլ անհրաժեշտ է վալիդացնել։ Մասնագրի տեխնիկական փորձարկումները, որոնք էական են դեղապատրաստուկի համար, բայց որոնք սովորաբար ԱԴԲՄՖ-ի մասնագրի մաս չեն կազմում (օրինակ՝ մասնիկների չափը), պետք է հայտատուի (ԳՀ-ի իրավատիրոջ) մասնագրի մաս կազմեն։</w:t>
      </w:r>
    </w:p>
    <w:p w14:paraId="7B9A9470" w14:textId="77777777" w:rsidR="008C76E0" w:rsidRPr="00BD7577" w:rsidRDefault="008C76E0" w:rsidP="00007454">
      <w:pPr>
        <w:spacing w:after="160" w:line="360" w:lineRule="auto"/>
        <w:ind w:firstLine="567"/>
        <w:jc w:val="both"/>
        <w:rPr>
          <w:rFonts w:ascii="Sylfaen" w:hAnsi="Sylfaen"/>
          <w:sz w:val="24"/>
          <w:szCs w:val="24"/>
        </w:rPr>
      </w:pPr>
      <w:r w:rsidRPr="00BD7577">
        <w:rPr>
          <w:rFonts w:ascii="Sylfaen" w:hAnsi="Sylfaen"/>
          <w:sz w:val="24"/>
          <w:szCs w:val="24"/>
        </w:rPr>
        <w:t>Մի քանի մատակարարի առկայության դեպքում հայտատուն (ԳՀ-ի իրավատերը) պետք է իր տրամադրության տակ ունենա միասնական ընդհանրացված մասնագիր, որը նույնական է յուրաքանչյուր մատակարարի համար։ Մասնագրում թույլատրվում է որակի մի</w:t>
      </w:r>
      <w:r w:rsidR="00C54D75">
        <w:rPr>
          <w:rFonts w:ascii="Sylfaen" w:hAnsi="Sylfaen"/>
          <w:sz w:val="24"/>
          <w:szCs w:val="24"/>
        </w:rPr>
        <w:t>և</w:t>
      </w:r>
      <w:r w:rsidRPr="00BD7577">
        <w:rPr>
          <w:rFonts w:ascii="Sylfaen" w:hAnsi="Sylfaen"/>
          <w:sz w:val="24"/>
          <w:szCs w:val="24"/>
        </w:rPr>
        <w:t xml:space="preserve">նույն ցուցանիշի համար նշել ընդունելիության </w:t>
      </w:r>
      <w:r w:rsidR="00C54D75">
        <w:rPr>
          <w:rFonts w:ascii="Sylfaen" w:hAnsi="Sylfaen"/>
          <w:sz w:val="24"/>
          <w:szCs w:val="24"/>
        </w:rPr>
        <w:t>և</w:t>
      </w:r>
      <w:r w:rsidRPr="00BD7577">
        <w:rPr>
          <w:rFonts w:ascii="Sylfaen" w:hAnsi="Sylfaen"/>
          <w:sz w:val="24"/>
          <w:szCs w:val="24"/>
        </w:rPr>
        <w:t xml:space="preserve"> (կամ) վերլուծական մեթոդիկայի մեկից ավելի չափանիշներ՝ «եթե ստուգվում է» նշումով (օրինակ՝ մնացորդային լուծիչների դեպքում)։</w:t>
      </w:r>
    </w:p>
    <w:p w14:paraId="743D8C4A" w14:textId="77777777" w:rsidR="008C76E0" w:rsidRPr="00905F38" w:rsidRDefault="008C76E0" w:rsidP="00007454">
      <w:pPr>
        <w:spacing w:after="160" w:line="360" w:lineRule="auto"/>
        <w:ind w:right="-1" w:firstLine="567"/>
        <w:jc w:val="both"/>
        <w:rPr>
          <w:rFonts w:ascii="Sylfaen" w:hAnsi="Sylfaen"/>
          <w:sz w:val="24"/>
          <w:szCs w:val="24"/>
        </w:rPr>
      </w:pPr>
    </w:p>
    <w:p w14:paraId="783BD99B" w14:textId="77777777" w:rsidR="008C76E0" w:rsidRDefault="008C76E0" w:rsidP="00007454">
      <w:pPr>
        <w:widowControl/>
        <w:spacing w:after="160" w:line="360" w:lineRule="auto"/>
        <w:rPr>
          <w:rFonts w:ascii="Sylfaen" w:hAnsi="Sylfaen"/>
          <w:sz w:val="24"/>
          <w:szCs w:val="24"/>
        </w:rPr>
      </w:pPr>
      <w:r>
        <w:rPr>
          <w:rFonts w:ascii="Sylfaen" w:hAnsi="Sylfaen"/>
          <w:sz w:val="24"/>
          <w:szCs w:val="24"/>
        </w:rPr>
        <w:br w:type="page"/>
      </w:r>
    </w:p>
    <w:p w14:paraId="2B1810B6" w14:textId="77777777" w:rsidR="008C76E0" w:rsidRPr="00BD7577" w:rsidRDefault="008C76E0" w:rsidP="00007454">
      <w:pPr>
        <w:spacing w:after="160" w:line="360" w:lineRule="auto"/>
        <w:ind w:left="567" w:right="566"/>
        <w:jc w:val="center"/>
        <w:rPr>
          <w:rFonts w:ascii="Sylfaen" w:hAnsi="Sylfaen"/>
          <w:sz w:val="24"/>
          <w:szCs w:val="24"/>
        </w:rPr>
      </w:pPr>
      <w:r w:rsidRPr="00BD7577">
        <w:rPr>
          <w:rFonts w:ascii="Sylfaen" w:hAnsi="Sylfaen"/>
          <w:sz w:val="24"/>
          <w:szCs w:val="24"/>
        </w:rPr>
        <w:lastRenderedPageBreak/>
        <w:t xml:space="preserve">VI. Ակտիվ դեղագործական բաղադրամասի մաստեր-ֆայլի </w:t>
      </w:r>
      <w:r w:rsidRPr="00BD7577">
        <w:rPr>
          <w:rFonts w:ascii="Sylfaen" w:hAnsi="Sylfaen"/>
          <w:sz w:val="24"/>
          <w:szCs w:val="24"/>
        </w:rPr>
        <w:br/>
        <w:t>փոփոխումն ու թարմացումը</w:t>
      </w:r>
    </w:p>
    <w:p w14:paraId="5545E444"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 xml:space="preserve">Դեղապատրաստուկների դեպքում ԱԴԲՄՖ-ի իրավատերերը պետք է ապահովեն իրենց ԱԴԲՄՖ-երի մշտական թարմացումը՝ փաստացի սինթեզման (արտադրության գործընթացի) մասով։ Որակի հսկողության մեթոդները պետք է համապատասխանեն գործող կարգավորիչ </w:t>
      </w:r>
      <w:r w:rsidR="00C54D75">
        <w:rPr>
          <w:rFonts w:ascii="Sylfaen" w:hAnsi="Sylfaen"/>
          <w:sz w:val="24"/>
          <w:szCs w:val="24"/>
        </w:rPr>
        <w:t>և</w:t>
      </w:r>
      <w:r w:rsidRPr="00BD7577">
        <w:rPr>
          <w:rFonts w:ascii="Sylfaen" w:hAnsi="Sylfaen"/>
          <w:sz w:val="24"/>
          <w:szCs w:val="24"/>
        </w:rPr>
        <w:t xml:space="preserve"> գիտական պահանջներին։</w:t>
      </w:r>
    </w:p>
    <w:p w14:paraId="7552EFD9" w14:textId="77777777" w:rsidR="008C76E0" w:rsidRPr="00BD7577" w:rsidRDefault="008C76E0" w:rsidP="00007454">
      <w:pPr>
        <w:spacing w:after="160" w:line="360" w:lineRule="auto"/>
        <w:ind w:right="-1" w:firstLine="567"/>
        <w:jc w:val="both"/>
        <w:rPr>
          <w:rFonts w:ascii="Sylfaen" w:hAnsi="Sylfaen"/>
          <w:sz w:val="24"/>
          <w:szCs w:val="24"/>
        </w:rPr>
      </w:pPr>
      <w:r w:rsidRPr="0063669A">
        <w:rPr>
          <w:rFonts w:ascii="Sylfaen" w:hAnsi="Sylfaen"/>
          <w:spacing w:val="-4"/>
          <w:sz w:val="24"/>
          <w:szCs w:val="24"/>
        </w:rPr>
        <w:t xml:space="preserve">ԱԴԲՄՖ-ի իրավատերերն իրավունք չունեն փոփոխելու իրենց ԱԴԲՄՖ-երի բովանդակությունը (օրինակ՝ արտադրության գործընթացը կամ մասնագիրը)՝ առանց յուրաքանչյուր հայտատուի (ԳՀ-ի իրավատիրոջը) </w:t>
      </w:r>
      <w:r w:rsidR="00C54D75">
        <w:rPr>
          <w:rFonts w:ascii="Sylfaen" w:hAnsi="Sylfaen"/>
          <w:spacing w:val="-4"/>
          <w:sz w:val="24"/>
          <w:szCs w:val="24"/>
        </w:rPr>
        <w:t>և</w:t>
      </w:r>
      <w:r w:rsidRPr="0063669A">
        <w:rPr>
          <w:rFonts w:ascii="Sylfaen" w:hAnsi="Sylfaen"/>
          <w:spacing w:val="-4"/>
          <w:sz w:val="24"/>
          <w:szCs w:val="24"/>
        </w:rPr>
        <w:t xml:space="preserve"> անդամ պետության յուրաքանչյուր լիազորված մարմնի ծանուցելու։ Այս պարտավորությունն ուժի մեջ է այնքան ժամանակ,</w:t>
      </w:r>
      <w:r w:rsidRPr="00BD7577">
        <w:rPr>
          <w:rFonts w:ascii="Sylfaen" w:hAnsi="Sylfaen"/>
          <w:sz w:val="24"/>
          <w:szCs w:val="24"/>
        </w:rPr>
        <w:t xml:space="preserve"> քանի դեռ ԱԴԲՄՖ-ի իրավատերը հետ չի կանչել հասանելիության թույլտվությունը (սույն հավելվածի թիվ 4 լրացում)։ ԱԴԲՄՖ-ի իրավատերերը պետք է բոլոր շահագրգիռ կողմերին տրամադրեն թարմացված ԱԴԲՄՖ-ն՝ նշելով տարբերակի ուղղված համարը։</w:t>
      </w:r>
    </w:p>
    <w:p w14:paraId="09C84E4C"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ԳՀ-ի իրավատերը պետք է անդամ պետության համապատասխան լիազորված մարմնին տեղեկացնի ԱԴԲՄՖ-ի յուրաքանչյուր փոփոխության մասին՝ փոփոխությունների կատարման համապատասխան ընթացակարգի միջոցով։ Անհրաժեշտ է ներկայացնել ուղեգիր-նամակ (սույն հավելվածի թիվ 3 լրացում)։</w:t>
      </w:r>
    </w:p>
    <w:p w14:paraId="647073D4"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Եթե ԱԴԲՄՖ-ի բովանդակությունն ընթացակարգային պատճառներով (այսինքն՝ գլխավորապես ընթացքի մեջ գտնվող փոխադարձ ճանաչման ընթացակարգերի հետ</w:t>
      </w:r>
      <w:r w:rsidR="00C54D75">
        <w:rPr>
          <w:rFonts w:ascii="Sylfaen" w:hAnsi="Sylfaen"/>
          <w:sz w:val="24"/>
          <w:szCs w:val="24"/>
        </w:rPr>
        <w:t>և</w:t>
      </w:r>
      <w:r w:rsidRPr="00BD7577">
        <w:rPr>
          <w:rFonts w:ascii="Sylfaen" w:hAnsi="Sylfaen"/>
          <w:sz w:val="24"/>
          <w:szCs w:val="24"/>
        </w:rPr>
        <w:t xml:space="preserve">անքով) անհնար է փոփոխել որոշակի ժամակահատվածի ընթացքում, ապա ԱԴԲՄՖ-ի իրավատերն ամեն դեպքում պետք է ԳՀ-ի իրավատիրոջը </w:t>
      </w:r>
      <w:r w:rsidR="00C54D75">
        <w:rPr>
          <w:rFonts w:ascii="Sylfaen" w:hAnsi="Sylfaen"/>
          <w:sz w:val="24"/>
          <w:szCs w:val="24"/>
        </w:rPr>
        <w:t>և</w:t>
      </w:r>
      <w:r w:rsidRPr="00BD7577">
        <w:rPr>
          <w:rFonts w:ascii="Sylfaen" w:hAnsi="Sylfaen"/>
          <w:sz w:val="24"/>
          <w:szCs w:val="24"/>
        </w:rPr>
        <w:t xml:space="preserve"> անդամ պետությունների լիազորված մարմիններ ներկայացնի վերոնշյալ տվյալները՝ մատնանշելով դրանք </w:t>
      </w:r>
      <w:r w:rsidR="00C54D75">
        <w:rPr>
          <w:rFonts w:ascii="Sylfaen" w:hAnsi="Sylfaen"/>
          <w:sz w:val="24"/>
          <w:szCs w:val="24"/>
        </w:rPr>
        <w:t>և</w:t>
      </w:r>
      <w:r w:rsidRPr="00BD7577">
        <w:rPr>
          <w:rFonts w:ascii="Sylfaen" w:hAnsi="Sylfaen"/>
          <w:sz w:val="24"/>
          <w:szCs w:val="24"/>
        </w:rPr>
        <w:t xml:space="preserve"> փոփոխություններ իրականացնելու համար ավելի ուշ ժամկետ պահանջելով։</w:t>
      </w:r>
    </w:p>
    <w:p w14:paraId="49186B06"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 xml:space="preserve">Դեղապատրաստուկի գրանցումը հաստատելիս ԳՀ-ի իրավատերերը պետք է հայտարարագրեն, որ դեղապատրաստուկի որակը՝ արտադրության </w:t>
      </w:r>
      <w:r w:rsidR="00C54D75">
        <w:rPr>
          <w:rFonts w:ascii="Sylfaen" w:hAnsi="Sylfaen"/>
          <w:sz w:val="24"/>
          <w:szCs w:val="24"/>
        </w:rPr>
        <w:t>և</w:t>
      </w:r>
      <w:r w:rsidRPr="00BD7577">
        <w:rPr>
          <w:rFonts w:ascii="Sylfaen" w:hAnsi="Sylfaen"/>
          <w:sz w:val="24"/>
          <w:szCs w:val="24"/>
        </w:rPr>
        <w:t xml:space="preserve"> հսկողության մեթոդների մասով, ենթարկվել է կանոնավոր թարմացման՝ </w:t>
      </w:r>
      <w:r w:rsidRPr="00BD7577">
        <w:rPr>
          <w:rFonts w:ascii="Sylfaen" w:hAnsi="Sylfaen"/>
          <w:sz w:val="24"/>
          <w:szCs w:val="24"/>
        </w:rPr>
        <w:lastRenderedPageBreak/>
        <w:t xml:space="preserve">տեխնիկական </w:t>
      </w:r>
      <w:r w:rsidR="00C54D75">
        <w:rPr>
          <w:rFonts w:ascii="Sylfaen" w:hAnsi="Sylfaen"/>
          <w:sz w:val="24"/>
          <w:szCs w:val="24"/>
        </w:rPr>
        <w:t>և</w:t>
      </w:r>
      <w:r w:rsidRPr="00BD7577">
        <w:rPr>
          <w:rFonts w:ascii="Sylfaen" w:hAnsi="Sylfaen"/>
          <w:sz w:val="24"/>
          <w:szCs w:val="24"/>
        </w:rPr>
        <w:t xml:space="preserve"> գիտական առաջընթացը հաշվի առնելու նպատակով փոփոխություններ կատարելու ընթացակարգի միջոցով, </w:t>
      </w:r>
      <w:r w:rsidR="00C54D75">
        <w:rPr>
          <w:rFonts w:ascii="Sylfaen" w:hAnsi="Sylfaen"/>
          <w:sz w:val="24"/>
          <w:szCs w:val="24"/>
        </w:rPr>
        <w:t>և</w:t>
      </w:r>
      <w:r w:rsidRPr="00BD7577">
        <w:rPr>
          <w:rFonts w:ascii="Sylfaen" w:hAnsi="Sylfaen"/>
          <w:sz w:val="24"/>
          <w:szCs w:val="24"/>
        </w:rPr>
        <w:t xml:space="preserve"> որ դեղապատրաստուկը համապատասխանում է Միության՝ դեղամիջոցների որակը կանոնակարգող գործող փաստաթղթերին։ Նրանք նա</w:t>
      </w:r>
      <w:r w:rsidR="00C54D75">
        <w:rPr>
          <w:rFonts w:ascii="Sylfaen" w:hAnsi="Sylfaen"/>
          <w:sz w:val="24"/>
          <w:szCs w:val="24"/>
        </w:rPr>
        <w:t>և</w:t>
      </w:r>
      <w:r w:rsidRPr="00BD7577">
        <w:rPr>
          <w:rFonts w:ascii="Sylfaen" w:hAnsi="Sylfaen"/>
          <w:sz w:val="24"/>
          <w:szCs w:val="24"/>
        </w:rPr>
        <w:t xml:space="preserve"> պետք է հայտարարագրեն, որ դեղապատրաստուկի վերաբերյալ ոչ մի տվյալ, բացառությամբ անդամ պետության լիազորված մարմնի կողմից թույլատրված տվյալների, չի փոփոխվել։</w:t>
      </w:r>
    </w:p>
    <w:p w14:paraId="48CEAB4F" w14:textId="77777777" w:rsidR="008C76E0" w:rsidRPr="00BD7577" w:rsidRDefault="008C76E0" w:rsidP="00007454">
      <w:pPr>
        <w:spacing w:after="160" w:line="360" w:lineRule="auto"/>
        <w:ind w:right="-1" w:firstLine="567"/>
        <w:jc w:val="both"/>
        <w:rPr>
          <w:rFonts w:ascii="Sylfaen" w:hAnsi="Sylfaen"/>
          <w:sz w:val="24"/>
          <w:szCs w:val="24"/>
        </w:rPr>
      </w:pPr>
      <w:r w:rsidRPr="00BD7577">
        <w:rPr>
          <w:rFonts w:ascii="Sylfaen" w:hAnsi="Sylfaen"/>
          <w:sz w:val="24"/>
          <w:szCs w:val="24"/>
        </w:rPr>
        <w:t xml:space="preserve">Այս առնչությամբ ԳՀ-ի իրավատերերը պետք է ԱԴԲՄՖ-ի իրենց իրավատերերի հետ համեմատեն վերոնշյալ հայտարարագրի ճշտությունը՝ ակտիվ դեղագործական բաղադրամասի վերաբերյալ տվյալների հետ կապված։ Եթե ԳՀ-ի իրավատերը </w:t>
      </w:r>
      <w:r w:rsidR="00C54D75">
        <w:rPr>
          <w:rFonts w:ascii="Sylfaen" w:hAnsi="Sylfaen"/>
          <w:sz w:val="24"/>
          <w:szCs w:val="24"/>
        </w:rPr>
        <w:t>և</w:t>
      </w:r>
      <w:r w:rsidRPr="00BD7577">
        <w:rPr>
          <w:rFonts w:ascii="Sylfaen" w:hAnsi="Sylfaen"/>
          <w:sz w:val="24"/>
          <w:szCs w:val="24"/>
        </w:rPr>
        <w:t xml:space="preserve"> անդամ պետության լիազորված մարմինը չեն ծանուցվել փոփոխությունների մասին, ապա անհրաժեշտ է առանց հապաղելու սկսել գրանցված դեղապատրաստուկի գրանցման դոսյեում փոփոխություններ կատարելու համապատասխան ընթացակարգը։</w:t>
      </w:r>
    </w:p>
    <w:p w14:paraId="3B8EBF48" w14:textId="77777777" w:rsidR="008C76E0" w:rsidRPr="00BD7577" w:rsidRDefault="008C76E0" w:rsidP="00007454">
      <w:pPr>
        <w:spacing w:after="160" w:line="360" w:lineRule="auto"/>
        <w:rPr>
          <w:rFonts w:ascii="Sylfaen" w:eastAsia="Times New Roman" w:hAnsi="Sylfaen" w:cs="Times New Roman"/>
          <w:sz w:val="24"/>
          <w:szCs w:val="24"/>
        </w:rPr>
      </w:pPr>
    </w:p>
    <w:p w14:paraId="6E4CEEDE" w14:textId="77777777" w:rsidR="008C76E0" w:rsidRPr="00BD7577" w:rsidRDefault="008C76E0" w:rsidP="00007454">
      <w:pPr>
        <w:spacing w:after="160" w:line="360" w:lineRule="auto"/>
        <w:ind w:right="-1"/>
        <w:jc w:val="right"/>
        <w:rPr>
          <w:rFonts w:ascii="Sylfaen" w:hAnsi="Sylfaen"/>
          <w:sz w:val="24"/>
          <w:szCs w:val="24"/>
        </w:rPr>
      </w:pPr>
      <w:r w:rsidRPr="00BD7577">
        <w:rPr>
          <w:rFonts w:ascii="Sylfaen" w:hAnsi="Sylfaen"/>
          <w:sz w:val="24"/>
          <w:szCs w:val="24"/>
        </w:rPr>
        <w:t xml:space="preserve">Լրացում թիվ 1 </w:t>
      </w:r>
    </w:p>
    <w:p w14:paraId="18749FF4" w14:textId="77777777" w:rsidR="008C76E0" w:rsidRPr="00BD7577" w:rsidRDefault="008C76E0" w:rsidP="00007454">
      <w:pPr>
        <w:spacing w:after="160" w:line="360" w:lineRule="auto"/>
        <w:ind w:right="-1"/>
        <w:rPr>
          <w:rFonts w:ascii="Sylfaen" w:hAnsi="Sylfaen"/>
          <w:sz w:val="24"/>
          <w:szCs w:val="24"/>
        </w:rPr>
      </w:pPr>
      <w:r w:rsidRPr="00BD7577">
        <w:rPr>
          <w:rFonts w:ascii="Sylfaen" w:hAnsi="Sylfaen"/>
          <w:sz w:val="24"/>
          <w:szCs w:val="24"/>
        </w:rPr>
        <w:t>ԱԴԲՄՖ-ի բովանդակության ամփոփումը</w:t>
      </w:r>
    </w:p>
    <w:p w14:paraId="4D291D4B" w14:textId="77777777" w:rsidR="008C76E0" w:rsidRPr="00BD7577" w:rsidRDefault="008C76E0" w:rsidP="00007454">
      <w:pPr>
        <w:pStyle w:val="Tablecaption30"/>
        <w:shd w:val="clear" w:color="auto" w:fill="auto"/>
        <w:spacing w:after="160" w:line="360" w:lineRule="auto"/>
        <w:ind w:right="-1"/>
        <w:jc w:val="right"/>
        <w:rPr>
          <w:rFonts w:ascii="Sylfaen" w:hAnsi="Sylfaen"/>
          <w:sz w:val="24"/>
          <w:szCs w:val="24"/>
        </w:rPr>
      </w:pPr>
      <w:r w:rsidRPr="00BD7577">
        <w:rPr>
          <w:rFonts w:ascii="Sylfaen" w:hAnsi="Sylfaen"/>
          <w:sz w:val="24"/>
          <w:szCs w:val="24"/>
        </w:rPr>
        <w:t>Աղյուսակ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5352"/>
        <w:gridCol w:w="1416"/>
        <w:gridCol w:w="1368"/>
      </w:tblGrid>
      <w:tr w:rsidR="008C76E0" w:rsidRPr="00BD7577" w14:paraId="1832F02A" w14:textId="77777777" w:rsidTr="008C76E0">
        <w:trPr>
          <w:jc w:val="center"/>
        </w:trPr>
        <w:tc>
          <w:tcPr>
            <w:tcW w:w="1382" w:type="dxa"/>
            <w:tcBorders>
              <w:top w:val="single" w:sz="4" w:space="0" w:color="auto"/>
              <w:left w:val="single" w:sz="4" w:space="0" w:color="auto"/>
            </w:tcBorders>
            <w:shd w:val="clear" w:color="auto" w:fill="FFFFFF"/>
            <w:vAlign w:val="bottom"/>
          </w:tcPr>
          <w:p w14:paraId="3D55B54A" w14:textId="77777777" w:rsidR="008C76E0" w:rsidRPr="00BD7577" w:rsidRDefault="008C76E0" w:rsidP="008C76E0">
            <w:pPr>
              <w:pStyle w:val="Bodytext180"/>
              <w:shd w:val="clear" w:color="auto" w:fill="auto"/>
              <w:spacing w:before="0" w:after="120" w:line="240" w:lineRule="auto"/>
              <w:ind w:left="72" w:right="-1" w:firstLine="0"/>
              <w:jc w:val="center"/>
              <w:rPr>
                <w:rFonts w:ascii="Sylfaen" w:hAnsi="Sylfaen"/>
                <w:b w:val="0"/>
                <w:sz w:val="24"/>
                <w:szCs w:val="24"/>
              </w:rPr>
            </w:pPr>
            <w:r w:rsidRPr="00BD7577">
              <w:rPr>
                <w:rStyle w:val="Bodytext1811pt"/>
                <w:rFonts w:ascii="Sylfaen" w:hAnsi="Sylfaen"/>
                <w:sz w:val="24"/>
                <w:szCs w:val="24"/>
              </w:rPr>
              <w:t>Դոսյեի մոդուլի մաս</w:t>
            </w:r>
          </w:p>
        </w:tc>
        <w:tc>
          <w:tcPr>
            <w:tcW w:w="5352" w:type="dxa"/>
            <w:tcBorders>
              <w:top w:val="single" w:sz="4" w:space="0" w:color="auto"/>
              <w:left w:val="single" w:sz="4" w:space="0" w:color="auto"/>
            </w:tcBorders>
            <w:shd w:val="clear" w:color="auto" w:fill="FFFFFF"/>
            <w:vAlign w:val="center"/>
          </w:tcPr>
          <w:p w14:paraId="1C18B911" w14:textId="77777777" w:rsidR="008C76E0" w:rsidRPr="00BD7577" w:rsidRDefault="008C76E0" w:rsidP="008C76E0">
            <w:pPr>
              <w:pStyle w:val="Bodytext180"/>
              <w:shd w:val="clear" w:color="auto" w:fill="auto"/>
              <w:spacing w:before="0" w:after="120" w:line="240" w:lineRule="auto"/>
              <w:ind w:left="108" w:right="121" w:firstLine="0"/>
              <w:jc w:val="center"/>
              <w:rPr>
                <w:rFonts w:ascii="Sylfaen" w:hAnsi="Sylfaen"/>
                <w:b w:val="0"/>
                <w:sz w:val="24"/>
                <w:szCs w:val="24"/>
              </w:rPr>
            </w:pPr>
            <w:r w:rsidRPr="00BD7577">
              <w:rPr>
                <w:rStyle w:val="Bodytext1811pt"/>
                <w:rFonts w:ascii="Sylfaen" w:hAnsi="Sylfaen"/>
                <w:sz w:val="24"/>
                <w:szCs w:val="24"/>
              </w:rPr>
              <w:t>ԸՏՓ-ի ձ</w:t>
            </w:r>
            <w:r w:rsidR="00C54D75">
              <w:rPr>
                <w:rStyle w:val="Bodytext1811pt"/>
                <w:rFonts w:ascii="Sylfaen" w:hAnsi="Sylfaen"/>
                <w:sz w:val="24"/>
                <w:szCs w:val="24"/>
              </w:rPr>
              <w:t>և</w:t>
            </w:r>
            <w:r w:rsidRPr="00BD7577">
              <w:rPr>
                <w:rStyle w:val="Bodytext1811pt"/>
                <w:rFonts w:ascii="Sylfaen" w:hAnsi="Sylfaen"/>
                <w:sz w:val="24"/>
                <w:szCs w:val="24"/>
              </w:rPr>
              <w:t>աչափ</w:t>
            </w:r>
          </w:p>
        </w:tc>
        <w:tc>
          <w:tcPr>
            <w:tcW w:w="1416" w:type="dxa"/>
            <w:tcBorders>
              <w:top w:val="single" w:sz="4" w:space="0" w:color="auto"/>
              <w:left w:val="single" w:sz="4" w:space="0" w:color="auto"/>
            </w:tcBorders>
            <w:shd w:val="clear" w:color="auto" w:fill="FFFFFF"/>
          </w:tcPr>
          <w:p w14:paraId="7B808B3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Հայտատուի մաս</w:t>
            </w:r>
          </w:p>
        </w:tc>
        <w:tc>
          <w:tcPr>
            <w:tcW w:w="1368" w:type="dxa"/>
            <w:tcBorders>
              <w:top w:val="single" w:sz="4" w:space="0" w:color="auto"/>
              <w:left w:val="single" w:sz="4" w:space="0" w:color="auto"/>
              <w:right w:val="single" w:sz="4" w:space="0" w:color="auto"/>
            </w:tcBorders>
            <w:shd w:val="clear" w:color="auto" w:fill="FFFFFF"/>
          </w:tcPr>
          <w:p w14:paraId="0D69356B"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Փակ մաս</w:t>
            </w:r>
          </w:p>
        </w:tc>
      </w:tr>
      <w:tr w:rsidR="008C76E0" w:rsidRPr="00BD7577" w14:paraId="2A1726A1" w14:textId="77777777" w:rsidTr="008C76E0">
        <w:trPr>
          <w:jc w:val="center"/>
        </w:trPr>
        <w:tc>
          <w:tcPr>
            <w:tcW w:w="1382" w:type="dxa"/>
            <w:tcBorders>
              <w:top w:val="single" w:sz="4" w:space="0" w:color="auto"/>
            </w:tcBorders>
            <w:shd w:val="clear" w:color="auto" w:fill="FFFFFF"/>
          </w:tcPr>
          <w:p w14:paraId="753427C3"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3.2.S.1</w:t>
            </w:r>
          </w:p>
        </w:tc>
        <w:tc>
          <w:tcPr>
            <w:tcW w:w="5352" w:type="dxa"/>
            <w:tcBorders>
              <w:top w:val="single" w:sz="4" w:space="0" w:color="auto"/>
            </w:tcBorders>
            <w:shd w:val="clear" w:color="auto" w:fill="FFFFFF"/>
          </w:tcPr>
          <w:p w14:paraId="6CE65FFE"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Ընդհանուր տեղեկությունները</w:t>
            </w:r>
          </w:p>
        </w:tc>
        <w:tc>
          <w:tcPr>
            <w:tcW w:w="1416" w:type="dxa"/>
            <w:tcBorders>
              <w:top w:val="single" w:sz="4" w:space="0" w:color="auto"/>
            </w:tcBorders>
            <w:shd w:val="clear" w:color="auto" w:fill="FFFFFF"/>
          </w:tcPr>
          <w:p w14:paraId="5CFD92BA"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c>
          <w:tcPr>
            <w:tcW w:w="1368" w:type="dxa"/>
            <w:tcBorders>
              <w:top w:val="single" w:sz="4" w:space="0" w:color="auto"/>
            </w:tcBorders>
            <w:shd w:val="clear" w:color="auto" w:fill="FFFFFF"/>
          </w:tcPr>
          <w:p w14:paraId="06F2C25D"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0EBACB36" w14:textId="77777777" w:rsidTr="008C76E0">
        <w:trPr>
          <w:jc w:val="center"/>
        </w:trPr>
        <w:tc>
          <w:tcPr>
            <w:tcW w:w="1382" w:type="dxa"/>
            <w:shd w:val="clear" w:color="auto" w:fill="FFFFFF"/>
            <w:vAlign w:val="center"/>
          </w:tcPr>
          <w:p w14:paraId="5531B4D8"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3.2.S.1.1</w:t>
            </w:r>
          </w:p>
        </w:tc>
        <w:tc>
          <w:tcPr>
            <w:tcW w:w="5352" w:type="dxa"/>
            <w:shd w:val="clear" w:color="auto" w:fill="FFFFFF"/>
            <w:vAlign w:val="center"/>
          </w:tcPr>
          <w:p w14:paraId="6EF3B1CF"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Անվանացանկը</w:t>
            </w:r>
          </w:p>
        </w:tc>
        <w:tc>
          <w:tcPr>
            <w:tcW w:w="1416" w:type="dxa"/>
            <w:shd w:val="clear" w:color="auto" w:fill="FFFFFF"/>
          </w:tcPr>
          <w:p w14:paraId="15F94F42"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c>
          <w:tcPr>
            <w:tcW w:w="1368" w:type="dxa"/>
            <w:shd w:val="clear" w:color="auto" w:fill="FFFFFF"/>
          </w:tcPr>
          <w:p w14:paraId="18625099"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74D6FA1B" w14:textId="77777777" w:rsidTr="008C76E0">
        <w:trPr>
          <w:jc w:val="center"/>
        </w:trPr>
        <w:tc>
          <w:tcPr>
            <w:tcW w:w="1382" w:type="dxa"/>
            <w:shd w:val="clear" w:color="auto" w:fill="FFFFFF"/>
            <w:vAlign w:val="center"/>
          </w:tcPr>
          <w:p w14:paraId="2F1290FD"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3.2.S.1.2</w:t>
            </w:r>
          </w:p>
        </w:tc>
        <w:tc>
          <w:tcPr>
            <w:tcW w:w="5352" w:type="dxa"/>
            <w:shd w:val="clear" w:color="auto" w:fill="FFFFFF"/>
            <w:vAlign w:val="center"/>
          </w:tcPr>
          <w:p w14:paraId="7651007D"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Կառուցվածքը</w:t>
            </w:r>
          </w:p>
        </w:tc>
        <w:tc>
          <w:tcPr>
            <w:tcW w:w="1416" w:type="dxa"/>
            <w:shd w:val="clear" w:color="auto" w:fill="FFFFFF"/>
          </w:tcPr>
          <w:p w14:paraId="1C8CBFA9"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c>
          <w:tcPr>
            <w:tcW w:w="1368" w:type="dxa"/>
            <w:shd w:val="clear" w:color="auto" w:fill="FFFFFF"/>
          </w:tcPr>
          <w:p w14:paraId="5EA180CC"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54D9D840" w14:textId="77777777" w:rsidTr="008C76E0">
        <w:trPr>
          <w:jc w:val="center"/>
        </w:trPr>
        <w:tc>
          <w:tcPr>
            <w:tcW w:w="1382" w:type="dxa"/>
            <w:shd w:val="clear" w:color="auto" w:fill="FFFFFF"/>
            <w:vAlign w:val="center"/>
          </w:tcPr>
          <w:p w14:paraId="7645E281"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3.2.S.1.3</w:t>
            </w:r>
          </w:p>
        </w:tc>
        <w:tc>
          <w:tcPr>
            <w:tcW w:w="5352" w:type="dxa"/>
            <w:shd w:val="clear" w:color="auto" w:fill="FFFFFF"/>
            <w:vAlign w:val="center"/>
          </w:tcPr>
          <w:p w14:paraId="720F6313"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Ընդհանուր հատկությունները</w:t>
            </w:r>
          </w:p>
        </w:tc>
        <w:tc>
          <w:tcPr>
            <w:tcW w:w="1416" w:type="dxa"/>
            <w:shd w:val="clear" w:color="auto" w:fill="FFFFFF"/>
          </w:tcPr>
          <w:p w14:paraId="5358C59D"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c>
          <w:tcPr>
            <w:tcW w:w="1368" w:type="dxa"/>
            <w:shd w:val="clear" w:color="auto" w:fill="FFFFFF"/>
          </w:tcPr>
          <w:p w14:paraId="0FA1FFAA"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773C3B0" w14:textId="77777777" w:rsidTr="008C76E0">
        <w:trPr>
          <w:jc w:val="center"/>
        </w:trPr>
        <w:tc>
          <w:tcPr>
            <w:tcW w:w="1382" w:type="dxa"/>
            <w:shd w:val="clear" w:color="auto" w:fill="FFFFFF"/>
            <w:vAlign w:val="center"/>
          </w:tcPr>
          <w:p w14:paraId="4449F1A2"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w:t>
            </w:r>
          </w:p>
        </w:tc>
        <w:tc>
          <w:tcPr>
            <w:tcW w:w="5352" w:type="dxa"/>
            <w:shd w:val="clear" w:color="auto" w:fill="FFFFFF"/>
            <w:vAlign w:val="center"/>
          </w:tcPr>
          <w:p w14:paraId="63C79A48"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Արտադրությունը</w:t>
            </w:r>
          </w:p>
        </w:tc>
        <w:tc>
          <w:tcPr>
            <w:tcW w:w="1416" w:type="dxa"/>
            <w:shd w:val="clear" w:color="auto" w:fill="FFFFFF"/>
          </w:tcPr>
          <w:p w14:paraId="7B76B277"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c>
          <w:tcPr>
            <w:tcW w:w="1368" w:type="dxa"/>
            <w:shd w:val="clear" w:color="auto" w:fill="FFFFFF"/>
          </w:tcPr>
          <w:p w14:paraId="13A9782B"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t>x</w:t>
            </w:r>
          </w:p>
        </w:tc>
      </w:tr>
      <w:tr w:rsidR="008C76E0" w:rsidRPr="00BD7577" w14:paraId="48E6BD39" w14:textId="77777777" w:rsidTr="008C76E0">
        <w:trPr>
          <w:jc w:val="center"/>
        </w:trPr>
        <w:tc>
          <w:tcPr>
            <w:tcW w:w="1382" w:type="dxa"/>
            <w:shd w:val="clear" w:color="auto" w:fill="FFFFFF"/>
          </w:tcPr>
          <w:p w14:paraId="5F272E5F"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3.2.S.2.1</w:t>
            </w:r>
          </w:p>
        </w:tc>
        <w:tc>
          <w:tcPr>
            <w:tcW w:w="5352" w:type="dxa"/>
            <w:shd w:val="clear" w:color="auto" w:fill="FFFFFF"/>
            <w:vAlign w:val="bottom"/>
          </w:tcPr>
          <w:p w14:paraId="7D2AE0E1" w14:textId="77777777" w:rsidR="008C76E0" w:rsidRPr="00DD61E4" w:rsidRDefault="008C76E0" w:rsidP="008C76E0">
            <w:pPr>
              <w:pStyle w:val="Bodytext180"/>
              <w:shd w:val="clear" w:color="auto" w:fill="auto"/>
              <w:spacing w:before="0" w:after="120" w:line="240" w:lineRule="auto"/>
              <w:ind w:left="108" w:right="121" w:firstLine="0"/>
              <w:rPr>
                <w:rStyle w:val="Bodytext1811pt"/>
                <w:rFonts w:ascii="Sylfaen" w:hAnsi="Sylfaen"/>
                <w:sz w:val="24"/>
                <w:szCs w:val="24"/>
              </w:rPr>
            </w:pPr>
            <w:r w:rsidRPr="00BD7577">
              <w:rPr>
                <w:rStyle w:val="Bodytext1811pt"/>
                <w:rFonts w:ascii="Sylfaen" w:hAnsi="Sylfaen"/>
                <w:sz w:val="24"/>
                <w:szCs w:val="24"/>
              </w:rPr>
              <w:t xml:space="preserve">Արտադրողները (ներառյալ՝ ակտիվ դեղագործական բաղադրամասի արտադրության մեջ ներգրավված բոլոր ընկերությունները, այդ թվում՝ որակի հսկողության (ներարտադրական </w:t>
            </w:r>
            <w:r w:rsidRPr="00BD7577">
              <w:rPr>
                <w:rStyle w:val="Bodytext1811pt"/>
                <w:rFonts w:ascii="Sylfaen" w:hAnsi="Sylfaen"/>
                <w:sz w:val="24"/>
                <w:szCs w:val="24"/>
              </w:rPr>
              <w:lastRenderedPageBreak/>
              <w:t xml:space="preserve">փորձարկումների) հարթակները, միջանկյալ արտադրանքներ արտադրողները, մանրացման </w:t>
            </w:r>
            <w:r w:rsidR="00C54D75">
              <w:rPr>
                <w:rStyle w:val="Bodytext1811pt"/>
                <w:rFonts w:ascii="Sylfaen" w:hAnsi="Sylfaen"/>
                <w:sz w:val="24"/>
                <w:szCs w:val="24"/>
              </w:rPr>
              <w:t>և</w:t>
            </w:r>
            <w:r w:rsidRPr="00BD7577">
              <w:rPr>
                <w:rStyle w:val="Bodytext1811pt"/>
                <w:rFonts w:ascii="Sylfaen" w:hAnsi="Sylfaen"/>
                <w:sz w:val="24"/>
                <w:szCs w:val="24"/>
              </w:rPr>
              <w:t xml:space="preserve"> մանրէազերծման հարթակները)</w:t>
            </w:r>
          </w:p>
          <w:p w14:paraId="710206EE" w14:textId="77777777" w:rsidR="008C76E0" w:rsidRPr="00DD61E4" w:rsidRDefault="008C76E0" w:rsidP="008C76E0">
            <w:pPr>
              <w:pStyle w:val="Bodytext180"/>
              <w:shd w:val="clear" w:color="auto" w:fill="auto"/>
              <w:spacing w:before="0" w:after="120" w:line="240" w:lineRule="auto"/>
              <w:ind w:left="108" w:right="121" w:firstLine="0"/>
              <w:rPr>
                <w:rFonts w:ascii="Sylfaen" w:hAnsi="Sylfaen"/>
                <w:b w:val="0"/>
                <w:sz w:val="24"/>
                <w:szCs w:val="24"/>
              </w:rPr>
            </w:pPr>
          </w:p>
        </w:tc>
        <w:tc>
          <w:tcPr>
            <w:tcW w:w="1416" w:type="dxa"/>
            <w:shd w:val="clear" w:color="auto" w:fill="FFFFFF"/>
          </w:tcPr>
          <w:p w14:paraId="75D0C79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lang w:val="en-US"/>
              </w:rPr>
              <w:lastRenderedPageBreak/>
              <w:t>x</w:t>
            </w:r>
          </w:p>
        </w:tc>
        <w:tc>
          <w:tcPr>
            <w:tcW w:w="1368" w:type="dxa"/>
            <w:shd w:val="clear" w:color="auto" w:fill="FFFFFF"/>
          </w:tcPr>
          <w:p w14:paraId="658560FD"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F7369F1" w14:textId="77777777" w:rsidTr="008C76E0">
        <w:trPr>
          <w:jc w:val="center"/>
        </w:trPr>
        <w:tc>
          <w:tcPr>
            <w:tcW w:w="1382" w:type="dxa"/>
            <w:shd w:val="clear" w:color="auto" w:fill="FFFFFF"/>
          </w:tcPr>
          <w:p w14:paraId="56F62273"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3.2.S.2.2</w:t>
            </w:r>
          </w:p>
        </w:tc>
        <w:tc>
          <w:tcPr>
            <w:tcW w:w="5352" w:type="dxa"/>
            <w:shd w:val="clear" w:color="auto" w:fill="FFFFFF"/>
            <w:vAlign w:val="center"/>
          </w:tcPr>
          <w:p w14:paraId="3B948173"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 xml:space="preserve">Արտադրության գործընթացի </w:t>
            </w:r>
            <w:r w:rsidR="00C54D75">
              <w:rPr>
                <w:rStyle w:val="Bodytext1811pt"/>
                <w:rFonts w:ascii="Sylfaen" w:hAnsi="Sylfaen"/>
                <w:sz w:val="24"/>
                <w:szCs w:val="24"/>
              </w:rPr>
              <w:t>և</w:t>
            </w:r>
            <w:r w:rsidRPr="00BD7577">
              <w:rPr>
                <w:rStyle w:val="Bodytext1811pt"/>
                <w:rFonts w:ascii="Sylfaen" w:hAnsi="Sylfaen"/>
                <w:sz w:val="24"/>
                <w:szCs w:val="24"/>
              </w:rPr>
              <w:t xml:space="preserve"> դրա հսկողության նկարագրությունը</w:t>
            </w:r>
          </w:p>
        </w:tc>
        <w:tc>
          <w:tcPr>
            <w:tcW w:w="1416" w:type="dxa"/>
            <w:shd w:val="clear" w:color="auto" w:fill="FFFFFF"/>
          </w:tcPr>
          <w:p w14:paraId="4B36F34A"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1</w:t>
            </w:r>
          </w:p>
        </w:tc>
        <w:tc>
          <w:tcPr>
            <w:tcW w:w="1368" w:type="dxa"/>
            <w:shd w:val="clear" w:color="auto" w:fill="FFFFFF"/>
          </w:tcPr>
          <w:p w14:paraId="162047E9"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2</w:t>
            </w:r>
          </w:p>
        </w:tc>
      </w:tr>
      <w:tr w:rsidR="008C76E0" w:rsidRPr="00BD7577" w14:paraId="3E2A3AE1" w14:textId="77777777" w:rsidTr="008C76E0">
        <w:trPr>
          <w:jc w:val="center"/>
        </w:trPr>
        <w:tc>
          <w:tcPr>
            <w:tcW w:w="1382" w:type="dxa"/>
            <w:shd w:val="clear" w:color="auto" w:fill="FFFFFF"/>
            <w:vAlign w:val="center"/>
          </w:tcPr>
          <w:p w14:paraId="39B43A83"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3.2.S.2.3</w:t>
            </w:r>
          </w:p>
        </w:tc>
        <w:tc>
          <w:tcPr>
            <w:tcW w:w="5352" w:type="dxa"/>
            <w:shd w:val="clear" w:color="auto" w:fill="FFFFFF"/>
            <w:vAlign w:val="center"/>
          </w:tcPr>
          <w:p w14:paraId="52358616"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Նյութերի հսկողությունը</w:t>
            </w:r>
          </w:p>
        </w:tc>
        <w:tc>
          <w:tcPr>
            <w:tcW w:w="1416" w:type="dxa"/>
            <w:shd w:val="clear" w:color="auto" w:fill="FFFFFF"/>
          </w:tcPr>
          <w:p w14:paraId="6A65D34E" w14:textId="77777777" w:rsidR="008C76E0" w:rsidRPr="00BD7577" w:rsidRDefault="008C76E0" w:rsidP="008C76E0">
            <w:pPr>
              <w:spacing w:after="120" w:line="240" w:lineRule="auto"/>
              <w:ind w:right="-1"/>
              <w:jc w:val="center"/>
              <w:rPr>
                <w:rFonts w:ascii="Sylfaen" w:hAnsi="Sylfaen"/>
                <w:sz w:val="24"/>
                <w:szCs w:val="24"/>
              </w:rPr>
            </w:pPr>
          </w:p>
        </w:tc>
        <w:tc>
          <w:tcPr>
            <w:tcW w:w="1368" w:type="dxa"/>
            <w:shd w:val="clear" w:color="auto" w:fill="FFFFFF"/>
          </w:tcPr>
          <w:p w14:paraId="5F6844F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r>
      <w:tr w:rsidR="008C76E0" w:rsidRPr="00BD7577" w14:paraId="7ABB8E6A" w14:textId="77777777" w:rsidTr="008C76E0">
        <w:trPr>
          <w:jc w:val="center"/>
        </w:trPr>
        <w:tc>
          <w:tcPr>
            <w:tcW w:w="1382" w:type="dxa"/>
            <w:shd w:val="clear" w:color="auto" w:fill="FFFFFF"/>
          </w:tcPr>
          <w:p w14:paraId="75219557"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3.2.S.2.4</w:t>
            </w:r>
          </w:p>
        </w:tc>
        <w:tc>
          <w:tcPr>
            <w:tcW w:w="5352" w:type="dxa"/>
            <w:shd w:val="clear" w:color="auto" w:fill="FFFFFF"/>
          </w:tcPr>
          <w:p w14:paraId="246B0F03"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 xml:space="preserve">Կրիտիկական փուլերի </w:t>
            </w:r>
            <w:r w:rsidR="00C54D75">
              <w:rPr>
                <w:rStyle w:val="Bodytext1811pt"/>
                <w:rFonts w:ascii="Sylfaen" w:hAnsi="Sylfaen"/>
                <w:sz w:val="24"/>
                <w:szCs w:val="24"/>
              </w:rPr>
              <w:t>և</w:t>
            </w:r>
            <w:r w:rsidRPr="00BD7577">
              <w:rPr>
                <w:rStyle w:val="Bodytext1811pt"/>
                <w:rFonts w:ascii="Sylfaen" w:hAnsi="Sylfaen"/>
                <w:sz w:val="24"/>
                <w:szCs w:val="24"/>
              </w:rPr>
              <w:t xml:space="preserve"> միջանկյալ արտադրանքների հսկողությունը</w:t>
            </w:r>
          </w:p>
        </w:tc>
        <w:tc>
          <w:tcPr>
            <w:tcW w:w="1416" w:type="dxa"/>
            <w:shd w:val="clear" w:color="auto" w:fill="FFFFFF"/>
          </w:tcPr>
          <w:p w14:paraId="3A2BA8DA"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3</w:t>
            </w:r>
          </w:p>
        </w:tc>
        <w:tc>
          <w:tcPr>
            <w:tcW w:w="1368" w:type="dxa"/>
            <w:shd w:val="clear" w:color="auto" w:fill="FFFFFF"/>
          </w:tcPr>
          <w:p w14:paraId="37F986F7"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4</w:t>
            </w:r>
          </w:p>
        </w:tc>
      </w:tr>
      <w:tr w:rsidR="008C76E0" w:rsidRPr="00BD7577" w14:paraId="65E5519D" w14:textId="77777777" w:rsidTr="008C76E0">
        <w:trPr>
          <w:jc w:val="center"/>
        </w:trPr>
        <w:tc>
          <w:tcPr>
            <w:tcW w:w="1382" w:type="dxa"/>
            <w:shd w:val="clear" w:color="auto" w:fill="FFFFFF"/>
            <w:vAlign w:val="center"/>
          </w:tcPr>
          <w:p w14:paraId="08536CCD"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3.2.S.2.5</w:t>
            </w:r>
          </w:p>
        </w:tc>
        <w:tc>
          <w:tcPr>
            <w:tcW w:w="5352" w:type="dxa"/>
            <w:shd w:val="clear" w:color="auto" w:fill="FFFFFF"/>
            <w:vAlign w:val="center"/>
          </w:tcPr>
          <w:p w14:paraId="0381A45B"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 xml:space="preserve">Գործընթացի վալիդացումը </w:t>
            </w:r>
            <w:r w:rsidR="00C54D75">
              <w:rPr>
                <w:rStyle w:val="Bodytext1811pt"/>
                <w:rFonts w:ascii="Sylfaen" w:hAnsi="Sylfaen"/>
                <w:sz w:val="24"/>
                <w:szCs w:val="24"/>
              </w:rPr>
              <w:t>և</w:t>
            </w:r>
            <w:r w:rsidRPr="00BD7577">
              <w:rPr>
                <w:rStyle w:val="Bodytext1811pt"/>
                <w:rFonts w:ascii="Sylfaen" w:hAnsi="Sylfaen"/>
                <w:sz w:val="24"/>
                <w:szCs w:val="24"/>
              </w:rPr>
              <w:t xml:space="preserve"> (կամ) գնահատումը</w:t>
            </w:r>
          </w:p>
        </w:tc>
        <w:tc>
          <w:tcPr>
            <w:tcW w:w="1416" w:type="dxa"/>
            <w:shd w:val="clear" w:color="auto" w:fill="FFFFFF"/>
          </w:tcPr>
          <w:p w14:paraId="1F8AED29" w14:textId="77777777" w:rsidR="008C76E0" w:rsidRPr="00BD7577" w:rsidRDefault="008C76E0" w:rsidP="008C76E0">
            <w:pPr>
              <w:spacing w:after="120" w:line="240" w:lineRule="auto"/>
              <w:ind w:right="-1"/>
              <w:jc w:val="center"/>
              <w:rPr>
                <w:rFonts w:ascii="Sylfaen" w:hAnsi="Sylfaen"/>
                <w:sz w:val="24"/>
                <w:szCs w:val="24"/>
              </w:rPr>
            </w:pPr>
          </w:p>
        </w:tc>
        <w:tc>
          <w:tcPr>
            <w:tcW w:w="1368" w:type="dxa"/>
            <w:shd w:val="clear" w:color="auto" w:fill="FFFFFF"/>
          </w:tcPr>
          <w:p w14:paraId="2FB8F6EB"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r>
      <w:tr w:rsidR="008C76E0" w:rsidRPr="00BD7577" w14:paraId="475A55F4" w14:textId="77777777" w:rsidTr="008C76E0">
        <w:trPr>
          <w:jc w:val="center"/>
        </w:trPr>
        <w:tc>
          <w:tcPr>
            <w:tcW w:w="1382" w:type="dxa"/>
            <w:shd w:val="clear" w:color="auto" w:fill="FFFFFF"/>
            <w:vAlign w:val="center"/>
          </w:tcPr>
          <w:p w14:paraId="2978CF60"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3.2.S.2.6</w:t>
            </w:r>
          </w:p>
        </w:tc>
        <w:tc>
          <w:tcPr>
            <w:tcW w:w="5352" w:type="dxa"/>
            <w:shd w:val="clear" w:color="auto" w:fill="FFFFFF"/>
            <w:vAlign w:val="center"/>
          </w:tcPr>
          <w:p w14:paraId="1AB85977"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Արտադրական գործընթացի մշակումը</w:t>
            </w:r>
          </w:p>
        </w:tc>
        <w:tc>
          <w:tcPr>
            <w:tcW w:w="1416" w:type="dxa"/>
            <w:shd w:val="clear" w:color="auto" w:fill="FFFFFF"/>
          </w:tcPr>
          <w:p w14:paraId="2D4CD790" w14:textId="77777777" w:rsidR="008C76E0" w:rsidRPr="00BD7577" w:rsidRDefault="008C76E0" w:rsidP="008C76E0">
            <w:pPr>
              <w:spacing w:after="120" w:line="240" w:lineRule="auto"/>
              <w:ind w:right="-1"/>
              <w:jc w:val="center"/>
              <w:rPr>
                <w:rFonts w:ascii="Sylfaen" w:hAnsi="Sylfaen"/>
                <w:sz w:val="24"/>
                <w:szCs w:val="24"/>
              </w:rPr>
            </w:pPr>
          </w:p>
        </w:tc>
        <w:tc>
          <w:tcPr>
            <w:tcW w:w="1368" w:type="dxa"/>
            <w:shd w:val="clear" w:color="auto" w:fill="FFFFFF"/>
          </w:tcPr>
          <w:p w14:paraId="77F68507"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r>
      <w:tr w:rsidR="008C76E0" w:rsidRPr="00BD7577" w14:paraId="79545F94" w14:textId="77777777" w:rsidTr="008C76E0">
        <w:trPr>
          <w:jc w:val="center"/>
        </w:trPr>
        <w:tc>
          <w:tcPr>
            <w:tcW w:w="1382" w:type="dxa"/>
            <w:shd w:val="clear" w:color="auto" w:fill="FFFFFF"/>
            <w:vAlign w:val="center"/>
          </w:tcPr>
          <w:p w14:paraId="6FA04795"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3.2.S.3</w:t>
            </w:r>
          </w:p>
        </w:tc>
        <w:tc>
          <w:tcPr>
            <w:tcW w:w="5352" w:type="dxa"/>
            <w:shd w:val="clear" w:color="auto" w:fill="FFFFFF"/>
            <w:vAlign w:val="center"/>
          </w:tcPr>
          <w:p w14:paraId="72E70614"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Հատկությունների նկարագրությունը</w:t>
            </w:r>
          </w:p>
        </w:tc>
        <w:tc>
          <w:tcPr>
            <w:tcW w:w="1416" w:type="dxa"/>
            <w:shd w:val="clear" w:color="auto" w:fill="FFFFFF"/>
          </w:tcPr>
          <w:p w14:paraId="23E11D49"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0E2D4247"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5981937" w14:textId="77777777" w:rsidTr="008C76E0">
        <w:trPr>
          <w:jc w:val="center"/>
        </w:trPr>
        <w:tc>
          <w:tcPr>
            <w:tcW w:w="1382" w:type="dxa"/>
            <w:shd w:val="clear" w:color="auto" w:fill="FFFFFF"/>
            <w:vAlign w:val="center"/>
          </w:tcPr>
          <w:p w14:paraId="34E39D0A"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3.2.S.3.1</w:t>
            </w:r>
          </w:p>
        </w:tc>
        <w:tc>
          <w:tcPr>
            <w:tcW w:w="5352" w:type="dxa"/>
            <w:shd w:val="clear" w:color="auto" w:fill="FFFFFF"/>
            <w:vAlign w:val="center"/>
          </w:tcPr>
          <w:p w14:paraId="1B0C4E3E"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 xml:space="preserve">Կառուցվածքի </w:t>
            </w:r>
            <w:r w:rsidR="00C54D75">
              <w:rPr>
                <w:rStyle w:val="Bodytext1811pt"/>
                <w:rFonts w:ascii="Sylfaen" w:hAnsi="Sylfaen"/>
                <w:sz w:val="24"/>
                <w:szCs w:val="24"/>
              </w:rPr>
              <w:t>և</w:t>
            </w:r>
            <w:r w:rsidRPr="00BD7577">
              <w:rPr>
                <w:rStyle w:val="Bodytext1811pt"/>
                <w:rFonts w:ascii="Sylfaen" w:hAnsi="Sylfaen"/>
                <w:sz w:val="24"/>
                <w:szCs w:val="24"/>
              </w:rPr>
              <w:t xml:space="preserve"> այլ բնութագրերի սահմանումը</w:t>
            </w:r>
          </w:p>
        </w:tc>
        <w:tc>
          <w:tcPr>
            <w:tcW w:w="1416" w:type="dxa"/>
            <w:shd w:val="clear" w:color="auto" w:fill="FFFFFF"/>
          </w:tcPr>
          <w:p w14:paraId="4222708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3E448466"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5016D1C" w14:textId="77777777" w:rsidTr="008C76E0">
        <w:trPr>
          <w:jc w:val="center"/>
        </w:trPr>
        <w:tc>
          <w:tcPr>
            <w:tcW w:w="1382" w:type="dxa"/>
            <w:shd w:val="clear" w:color="auto" w:fill="FFFFFF"/>
          </w:tcPr>
          <w:p w14:paraId="170C3CDB"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3.2.S.3.2</w:t>
            </w:r>
          </w:p>
        </w:tc>
        <w:tc>
          <w:tcPr>
            <w:tcW w:w="5352" w:type="dxa"/>
            <w:shd w:val="clear" w:color="auto" w:fill="FFFFFF"/>
          </w:tcPr>
          <w:p w14:paraId="4B876A49"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Խառնուկները</w:t>
            </w:r>
          </w:p>
        </w:tc>
        <w:tc>
          <w:tcPr>
            <w:tcW w:w="1416" w:type="dxa"/>
            <w:shd w:val="clear" w:color="auto" w:fill="FFFFFF"/>
          </w:tcPr>
          <w:p w14:paraId="25054C5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574F371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5</w:t>
            </w:r>
          </w:p>
        </w:tc>
      </w:tr>
      <w:tr w:rsidR="008C76E0" w:rsidRPr="00BD7577" w14:paraId="5E363ED8" w14:textId="77777777" w:rsidTr="008C76E0">
        <w:trPr>
          <w:jc w:val="center"/>
        </w:trPr>
        <w:tc>
          <w:tcPr>
            <w:tcW w:w="1382" w:type="dxa"/>
            <w:shd w:val="clear" w:color="auto" w:fill="FFFFFF"/>
            <w:vAlign w:val="center"/>
          </w:tcPr>
          <w:p w14:paraId="72C39965"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w:t>
            </w:r>
          </w:p>
        </w:tc>
        <w:tc>
          <w:tcPr>
            <w:tcW w:w="5352" w:type="dxa"/>
            <w:shd w:val="clear" w:color="auto" w:fill="FFFFFF"/>
            <w:vAlign w:val="center"/>
          </w:tcPr>
          <w:p w14:paraId="54E0A9CE"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Դեղագործական բաղադրամասի որակի հսկողությունը</w:t>
            </w:r>
          </w:p>
        </w:tc>
        <w:tc>
          <w:tcPr>
            <w:tcW w:w="1416" w:type="dxa"/>
            <w:shd w:val="clear" w:color="auto" w:fill="FFFFFF"/>
          </w:tcPr>
          <w:p w14:paraId="49DF3640"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13311D1B"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7B014E30" w14:textId="77777777" w:rsidTr="008C76E0">
        <w:trPr>
          <w:jc w:val="center"/>
        </w:trPr>
        <w:tc>
          <w:tcPr>
            <w:tcW w:w="1382" w:type="dxa"/>
            <w:shd w:val="clear" w:color="auto" w:fill="FFFFFF"/>
            <w:vAlign w:val="center"/>
          </w:tcPr>
          <w:p w14:paraId="6215BA7C"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3.2.S.4.1</w:t>
            </w:r>
          </w:p>
        </w:tc>
        <w:tc>
          <w:tcPr>
            <w:tcW w:w="5352" w:type="dxa"/>
            <w:shd w:val="clear" w:color="auto" w:fill="FFFFFF"/>
            <w:vAlign w:val="center"/>
          </w:tcPr>
          <w:p w14:paraId="76A014F7"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Մասնագիրը</w:t>
            </w:r>
          </w:p>
        </w:tc>
        <w:tc>
          <w:tcPr>
            <w:tcW w:w="1416" w:type="dxa"/>
            <w:shd w:val="clear" w:color="auto" w:fill="FFFFFF"/>
          </w:tcPr>
          <w:p w14:paraId="76513379"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2430B0F4"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0A053A85" w14:textId="77777777" w:rsidTr="008C76E0">
        <w:trPr>
          <w:jc w:val="center"/>
        </w:trPr>
        <w:tc>
          <w:tcPr>
            <w:tcW w:w="1382" w:type="dxa"/>
            <w:shd w:val="clear" w:color="auto" w:fill="FFFFFF"/>
            <w:vAlign w:val="center"/>
          </w:tcPr>
          <w:p w14:paraId="7C218790"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3.2.S.4.2</w:t>
            </w:r>
          </w:p>
        </w:tc>
        <w:tc>
          <w:tcPr>
            <w:tcW w:w="5352" w:type="dxa"/>
            <w:shd w:val="clear" w:color="auto" w:fill="FFFFFF"/>
            <w:vAlign w:val="center"/>
          </w:tcPr>
          <w:p w14:paraId="2D5A9088"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Վերլուծական մեթոդիկաները</w:t>
            </w:r>
          </w:p>
        </w:tc>
        <w:tc>
          <w:tcPr>
            <w:tcW w:w="1416" w:type="dxa"/>
            <w:shd w:val="clear" w:color="auto" w:fill="FFFFFF"/>
          </w:tcPr>
          <w:p w14:paraId="06677692"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4A3C6541"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E009BE0" w14:textId="77777777" w:rsidTr="008C76E0">
        <w:trPr>
          <w:jc w:val="center"/>
        </w:trPr>
        <w:tc>
          <w:tcPr>
            <w:tcW w:w="1382" w:type="dxa"/>
            <w:shd w:val="clear" w:color="auto" w:fill="FFFFFF"/>
            <w:vAlign w:val="center"/>
          </w:tcPr>
          <w:p w14:paraId="05A2B3DF"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3.2.S.4.3</w:t>
            </w:r>
          </w:p>
        </w:tc>
        <w:tc>
          <w:tcPr>
            <w:tcW w:w="5352" w:type="dxa"/>
            <w:shd w:val="clear" w:color="auto" w:fill="FFFFFF"/>
            <w:vAlign w:val="center"/>
          </w:tcPr>
          <w:p w14:paraId="4DDB244A"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Վերլուծական մեթոդիկաների վալիդացումը</w:t>
            </w:r>
          </w:p>
        </w:tc>
        <w:tc>
          <w:tcPr>
            <w:tcW w:w="1416" w:type="dxa"/>
            <w:shd w:val="clear" w:color="auto" w:fill="FFFFFF"/>
          </w:tcPr>
          <w:p w14:paraId="6B0C002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466EA6C5"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3A8BC1A5" w14:textId="77777777" w:rsidTr="008C76E0">
        <w:trPr>
          <w:jc w:val="center"/>
        </w:trPr>
        <w:tc>
          <w:tcPr>
            <w:tcW w:w="1382" w:type="dxa"/>
            <w:shd w:val="clear" w:color="auto" w:fill="FFFFFF"/>
            <w:vAlign w:val="center"/>
          </w:tcPr>
          <w:p w14:paraId="18689EB8"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3.2.S.4.4</w:t>
            </w:r>
          </w:p>
        </w:tc>
        <w:tc>
          <w:tcPr>
            <w:tcW w:w="5352" w:type="dxa"/>
            <w:shd w:val="clear" w:color="auto" w:fill="FFFFFF"/>
            <w:vAlign w:val="center"/>
          </w:tcPr>
          <w:p w14:paraId="009DB11E"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Սերիաների անալիզը</w:t>
            </w:r>
          </w:p>
        </w:tc>
        <w:tc>
          <w:tcPr>
            <w:tcW w:w="1416" w:type="dxa"/>
            <w:shd w:val="clear" w:color="auto" w:fill="FFFFFF"/>
          </w:tcPr>
          <w:p w14:paraId="3CA08F2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76A1DC42"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4139B1D" w14:textId="77777777" w:rsidTr="008C76E0">
        <w:trPr>
          <w:jc w:val="center"/>
        </w:trPr>
        <w:tc>
          <w:tcPr>
            <w:tcW w:w="1382" w:type="dxa"/>
            <w:shd w:val="clear" w:color="auto" w:fill="FFFFFF"/>
            <w:vAlign w:val="center"/>
          </w:tcPr>
          <w:p w14:paraId="1E909F8D"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3.2.S.4.5</w:t>
            </w:r>
          </w:p>
        </w:tc>
        <w:tc>
          <w:tcPr>
            <w:tcW w:w="5352" w:type="dxa"/>
            <w:shd w:val="clear" w:color="auto" w:fill="FFFFFF"/>
            <w:vAlign w:val="center"/>
          </w:tcPr>
          <w:p w14:paraId="2D459813"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Մասնագրի հիմնավորումը</w:t>
            </w:r>
          </w:p>
        </w:tc>
        <w:tc>
          <w:tcPr>
            <w:tcW w:w="1416" w:type="dxa"/>
            <w:shd w:val="clear" w:color="auto" w:fill="FFFFFF"/>
          </w:tcPr>
          <w:p w14:paraId="61E7DF0D"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1764E0D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6</w:t>
            </w:r>
          </w:p>
        </w:tc>
      </w:tr>
      <w:tr w:rsidR="008C76E0" w:rsidRPr="00BD7577" w14:paraId="02D9B111" w14:textId="77777777" w:rsidTr="008C76E0">
        <w:trPr>
          <w:jc w:val="center"/>
        </w:trPr>
        <w:tc>
          <w:tcPr>
            <w:tcW w:w="1382" w:type="dxa"/>
            <w:shd w:val="clear" w:color="auto" w:fill="FFFFFF"/>
            <w:vAlign w:val="center"/>
          </w:tcPr>
          <w:p w14:paraId="4F3261AE"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3.2.S.5</w:t>
            </w:r>
          </w:p>
        </w:tc>
        <w:tc>
          <w:tcPr>
            <w:tcW w:w="5352" w:type="dxa"/>
            <w:shd w:val="clear" w:color="auto" w:fill="FFFFFF"/>
            <w:vAlign w:val="center"/>
          </w:tcPr>
          <w:p w14:paraId="5ADA2840"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 xml:space="preserve">Ստանդարտ նմուշները </w:t>
            </w:r>
            <w:r w:rsidR="00C54D75">
              <w:rPr>
                <w:rStyle w:val="Bodytext1811pt"/>
                <w:rFonts w:ascii="Sylfaen" w:hAnsi="Sylfaen"/>
                <w:sz w:val="24"/>
                <w:szCs w:val="24"/>
              </w:rPr>
              <w:t>և</w:t>
            </w:r>
            <w:r w:rsidRPr="00BD7577">
              <w:rPr>
                <w:rStyle w:val="Bodytext1811pt"/>
                <w:rFonts w:ascii="Sylfaen" w:hAnsi="Sylfaen"/>
                <w:sz w:val="24"/>
                <w:szCs w:val="24"/>
              </w:rPr>
              <w:t xml:space="preserve"> նյութերը</w:t>
            </w:r>
          </w:p>
        </w:tc>
        <w:tc>
          <w:tcPr>
            <w:tcW w:w="1416" w:type="dxa"/>
            <w:shd w:val="clear" w:color="auto" w:fill="FFFFFF"/>
          </w:tcPr>
          <w:p w14:paraId="7E47097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06443CB5"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460E2CC" w14:textId="77777777" w:rsidTr="008C76E0">
        <w:trPr>
          <w:jc w:val="center"/>
        </w:trPr>
        <w:tc>
          <w:tcPr>
            <w:tcW w:w="1382" w:type="dxa"/>
            <w:shd w:val="clear" w:color="auto" w:fill="FFFFFF"/>
          </w:tcPr>
          <w:p w14:paraId="746A8D53"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3.2.S.6</w:t>
            </w:r>
          </w:p>
        </w:tc>
        <w:tc>
          <w:tcPr>
            <w:tcW w:w="5352" w:type="dxa"/>
            <w:shd w:val="clear" w:color="auto" w:fill="FFFFFF"/>
          </w:tcPr>
          <w:p w14:paraId="36BC932E"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Փաթեթավորման-խցանափակման համակարգը</w:t>
            </w:r>
          </w:p>
        </w:tc>
        <w:tc>
          <w:tcPr>
            <w:tcW w:w="1416" w:type="dxa"/>
            <w:shd w:val="clear" w:color="auto" w:fill="FFFFFF"/>
          </w:tcPr>
          <w:p w14:paraId="7B671703"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3CEABCFC"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479BB9E4" w14:textId="77777777" w:rsidTr="008C76E0">
        <w:trPr>
          <w:jc w:val="center"/>
        </w:trPr>
        <w:tc>
          <w:tcPr>
            <w:tcW w:w="1382" w:type="dxa"/>
            <w:shd w:val="clear" w:color="auto" w:fill="FFFFFF"/>
            <w:vAlign w:val="center"/>
          </w:tcPr>
          <w:p w14:paraId="63E95804"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Style w:val="Bodytext1811pt"/>
                <w:rFonts w:ascii="Sylfaen" w:hAnsi="Sylfaen"/>
                <w:sz w:val="24"/>
                <w:szCs w:val="24"/>
              </w:rPr>
              <w:t>3.2.S.7</w:t>
            </w:r>
          </w:p>
        </w:tc>
        <w:tc>
          <w:tcPr>
            <w:tcW w:w="5352" w:type="dxa"/>
            <w:shd w:val="clear" w:color="auto" w:fill="FFFFFF"/>
            <w:vAlign w:val="center"/>
          </w:tcPr>
          <w:p w14:paraId="09E27C3B" w14:textId="77777777" w:rsidR="008C76E0" w:rsidRPr="00BD7577" w:rsidRDefault="008C76E0" w:rsidP="008C76E0">
            <w:pPr>
              <w:pStyle w:val="Bodytext180"/>
              <w:shd w:val="clear" w:color="auto" w:fill="auto"/>
              <w:spacing w:before="0" w:after="120" w:line="240" w:lineRule="auto"/>
              <w:ind w:left="108" w:right="121" w:firstLine="0"/>
              <w:rPr>
                <w:rFonts w:ascii="Sylfaen" w:hAnsi="Sylfaen"/>
                <w:b w:val="0"/>
                <w:sz w:val="24"/>
                <w:szCs w:val="24"/>
              </w:rPr>
            </w:pPr>
            <w:r w:rsidRPr="00BD7577">
              <w:rPr>
                <w:rStyle w:val="Bodytext1811pt"/>
                <w:rFonts w:ascii="Sylfaen" w:hAnsi="Sylfaen"/>
                <w:sz w:val="24"/>
                <w:szCs w:val="24"/>
              </w:rPr>
              <w:t>Կայունությունը</w:t>
            </w:r>
          </w:p>
        </w:tc>
        <w:tc>
          <w:tcPr>
            <w:tcW w:w="1416" w:type="dxa"/>
            <w:shd w:val="clear" w:color="auto" w:fill="FFFFFF"/>
          </w:tcPr>
          <w:p w14:paraId="50C490B1"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368" w:type="dxa"/>
            <w:shd w:val="clear" w:color="auto" w:fill="FFFFFF"/>
          </w:tcPr>
          <w:p w14:paraId="1FEFA50D"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40D64E8" w14:textId="77777777" w:rsidTr="008C76E0">
        <w:trPr>
          <w:jc w:val="center"/>
        </w:trPr>
        <w:tc>
          <w:tcPr>
            <w:tcW w:w="1382" w:type="dxa"/>
            <w:shd w:val="clear" w:color="auto" w:fill="FFFFFF"/>
            <w:vAlign w:val="center"/>
          </w:tcPr>
          <w:p w14:paraId="3C373552" w14:textId="77777777" w:rsidR="008C76E0" w:rsidRPr="00BD7577" w:rsidRDefault="008C76E0" w:rsidP="008C76E0">
            <w:pPr>
              <w:pStyle w:val="Bodytext180"/>
              <w:shd w:val="clear" w:color="auto" w:fill="auto"/>
              <w:spacing w:before="0" w:after="120" w:line="240" w:lineRule="auto"/>
              <w:ind w:left="72" w:right="-1" w:firstLine="0"/>
              <w:jc w:val="both"/>
              <w:rPr>
                <w:rStyle w:val="Bodytext1811pt"/>
                <w:rFonts w:ascii="Sylfaen" w:hAnsi="Sylfaen"/>
                <w:sz w:val="24"/>
                <w:szCs w:val="24"/>
              </w:rPr>
            </w:pPr>
            <w:r w:rsidRPr="00BD7577">
              <w:rPr>
                <w:rFonts w:ascii="Sylfaen" w:hAnsi="Sylfaen"/>
                <w:b w:val="0"/>
                <w:sz w:val="24"/>
                <w:szCs w:val="24"/>
              </w:rPr>
              <w:t>3.2.</w:t>
            </w:r>
            <w:r w:rsidRPr="00BD7577">
              <w:rPr>
                <w:rStyle w:val="Bodytext1811pt"/>
                <w:rFonts w:ascii="Sylfaen" w:hAnsi="Sylfaen"/>
                <w:sz w:val="24"/>
                <w:szCs w:val="24"/>
              </w:rPr>
              <w:t xml:space="preserve"> S</w:t>
            </w:r>
            <w:r w:rsidRPr="00BD7577">
              <w:rPr>
                <w:rFonts w:ascii="Sylfaen" w:hAnsi="Sylfaen"/>
                <w:b w:val="0"/>
                <w:sz w:val="24"/>
                <w:szCs w:val="24"/>
              </w:rPr>
              <w:t>.7.1</w:t>
            </w:r>
          </w:p>
        </w:tc>
        <w:tc>
          <w:tcPr>
            <w:tcW w:w="5352" w:type="dxa"/>
            <w:shd w:val="clear" w:color="auto" w:fill="FFFFFF"/>
            <w:vAlign w:val="center"/>
          </w:tcPr>
          <w:p w14:paraId="2D056E4C" w14:textId="77777777" w:rsidR="008C76E0" w:rsidRPr="00BD7577" w:rsidRDefault="008C76E0" w:rsidP="008C76E0">
            <w:pPr>
              <w:pStyle w:val="Tableofcontents120"/>
              <w:shd w:val="clear" w:color="auto" w:fill="auto"/>
              <w:spacing w:after="120" w:line="240" w:lineRule="auto"/>
              <w:ind w:left="108" w:right="121" w:firstLine="0"/>
              <w:jc w:val="left"/>
              <w:rPr>
                <w:rStyle w:val="Bodytext1811pt"/>
                <w:rFonts w:ascii="Sylfaen" w:hAnsi="Sylfaen"/>
                <w:sz w:val="24"/>
                <w:szCs w:val="24"/>
              </w:rPr>
            </w:pPr>
            <w:r w:rsidRPr="008C76E0">
              <w:rPr>
                <w:rFonts w:ascii="Sylfaen" w:hAnsi="Sylfaen"/>
                <w:b w:val="0"/>
                <w:sz w:val="24"/>
                <w:szCs w:val="24"/>
                <w:lang w:val="hy-AM"/>
              </w:rPr>
              <w:t xml:space="preserve">Կայունության վերաբերյալ ռեզյումեն </w:t>
            </w:r>
            <w:r w:rsidR="00C54D75">
              <w:rPr>
                <w:rFonts w:ascii="Sylfaen" w:hAnsi="Sylfaen"/>
                <w:b w:val="0"/>
                <w:sz w:val="24"/>
                <w:szCs w:val="24"/>
                <w:lang w:val="hy-AM"/>
              </w:rPr>
              <w:t>և</w:t>
            </w:r>
            <w:r w:rsidRPr="008C76E0">
              <w:rPr>
                <w:rFonts w:ascii="Sylfaen" w:hAnsi="Sylfaen"/>
                <w:b w:val="0"/>
                <w:sz w:val="24"/>
                <w:szCs w:val="24"/>
                <w:lang w:val="hy-AM"/>
              </w:rPr>
              <w:t xml:space="preserve"> եզրակացությունը </w:t>
            </w:r>
          </w:p>
        </w:tc>
        <w:tc>
          <w:tcPr>
            <w:tcW w:w="1416" w:type="dxa"/>
            <w:shd w:val="clear" w:color="auto" w:fill="FFFFFF"/>
          </w:tcPr>
          <w:p w14:paraId="4465157A" w14:textId="77777777" w:rsidR="008C76E0" w:rsidRPr="00BD7577" w:rsidRDefault="008C76E0" w:rsidP="008C76E0">
            <w:pPr>
              <w:pStyle w:val="Bodytext180"/>
              <w:shd w:val="clear" w:color="auto" w:fill="auto"/>
              <w:spacing w:before="0" w:after="120" w:line="240" w:lineRule="auto"/>
              <w:ind w:right="-1" w:firstLine="0"/>
              <w:jc w:val="center"/>
              <w:rPr>
                <w:rStyle w:val="Bodytext18BookmanOldStyle"/>
                <w:rFonts w:ascii="Sylfaen" w:hAnsi="Sylfaen"/>
                <w:sz w:val="24"/>
                <w:szCs w:val="24"/>
              </w:rPr>
            </w:pPr>
            <w:r w:rsidRPr="00BD7577">
              <w:rPr>
                <w:rFonts w:ascii="Sylfaen" w:hAnsi="Sylfaen"/>
                <w:b w:val="0"/>
                <w:sz w:val="24"/>
                <w:szCs w:val="24"/>
              </w:rPr>
              <w:t>х</w:t>
            </w:r>
          </w:p>
        </w:tc>
        <w:tc>
          <w:tcPr>
            <w:tcW w:w="1368" w:type="dxa"/>
            <w:shd w:val="clear" w:color="auto" w:fill="FFFFFF"/>
          </w:tcPr>
          <w:p w14:paraId="74F5C82D"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3C0891F" w14:textId="77777777" w:rsidTr="008C76E0">
        <w:trPr>
          <w:jc w:val="center"/>
        </w:trPr>
        <w:tc>
          <w:tcPr>
            <w:tcW w:w="1382" w:type="dxa"/>
            <w:shd w:val="clear" w:color="auto" w:fill="FFFFFF"/>
            <w:vAlign w:val="center"/>
          </w:tcPr>
          <w:p w14:paraId="60E4C3D0" w14:textId="77777777" w:rsidR="008C76E0" w:rsidRPr="00BD7577" w:rsidRDefault="008C76E0" w:rsidP="008C76E0">
            <w:pPr>
              <w:pStyle w:val="Bodytext180"/>
              <w:shd w:val="clear" w:color="auto" w:fill="auto"/>
              <w:spacing w:before="0" w:after="120" w:line="240" w:lineRule="auto"/>
              <w:ind w:left="72" w:right="-1" w:firstLine="0"/>
              <w:jc w:val="both"/>
              <w:rPr>
                <w:rStyle w:val="Bodytext1811pt"/>
                <w:rFonts w:ascii="Sylfaen" w:hAnsi="Sylfaen"/>
                <w:sz w:val="24"/>
                <w:szCs w:val="24"/>
              </w:rPr>
            </w:pPr>
            <w:r w:rsidRPr="00BD7577">
              <w:rPr>
                <w:rFonts w:ascii="Sylfaen" w:hAnsi="Sylfaen"/>
                <w:b w:val="0"/>
                <w:sz w:val="24"/>
                <w:szCs w:val="24"/>
              </w:rPr>
              <w:t>3.2.</w:t>
            </w:r>
            <w:r w:rsidRPr="00BD7577">
              <w:rPr>
                <w:rStyle w:val="Bodytext1811pt"/>
                <w:rFonts w:ascii="Sylfaen" w:hAnsi="Sylfaen"/>
                <w:sz w:val="24"/>
                <w:szCs w:val="24"/>
              </w:rPr>
              <w:t xml:space="preserve"> S</w:t>
            </w:r>
            <w:r w:rsidRPr="00BD7577">
              <w:rPr>
                <w:rFonts w:ascii="Sylfaen" w:hAnsi="Sylfaen"/>
                <w:b w:val="0"/>
                <w:sz w:val="24"/>
                <w:szCs w:val="24"/>
              </w:rPr>
              <w:t>.7.2</w:t>
            </w:r>
          </w:p>
        </w:tc>
        <w:tc>
          <w:tcPr>
            <w:tcW w:w="5352" w:type="dxa"/>
            <w:shd w:val="clear" w:color="auto" w:fill="FFFFFF"/>
            <w:vAlign w:val="center"/>
          </w:tcPr>
          <w:p w14:paraId="4338F0DB" w14:textId="77777777" w:rsidR="008C76E0" w:rsidRPr="00BD7577" w:rsidRDefault="008C76E0" w:rsidP="008C76E0">
            <w:pPr>
              <w:pStyle w:val="Tableofcontents120"/>
              <w:shd w:val="clear" w:color="auto" w:fill="auto"/>
              <w:spacing w:after="120" w:line="240" w:lineRule="auto"/>
              <w:ind w:left="108" w:right="121" w:firstLine="0"/>
              <w:jc w:val="left"/>
              <w:rPr>
                <w:rStyle w:val="Bodytext1811pt"/>
                <w:rFonts w:ascii="Sylfaen" w:hAnsi="Sylfaen"/>
                <w:sz w:val="24"/>
                <w:szCs w:val="24"/>
              </w:rPr>
            </w:pPr>
            <w:r w:rsidRPr="008C76E0">
              <w:rPr>
                <w:rFonts w:ascii="Sylfaen" w:hAnsi="Sylfaen"/>
                <w:b w:val="0"/>
                <w:sz w:val="24"/>
                <w:szCs w:val="24"/>
                <w:lang w:val="hy-AM"/>
              </w:rPr>
              <w:t xml:space="preserve">Կայունության հետգրանցումային արձանագրությունը </w:t>
            </w:r>
            <w:r w:rsidR="00C54D75">
              <w:rPr>
                <w:rFonts w:ascii="Sylfaen" w:hAnsi="Sylfaen"/>
                <w:b w:val="0"/>
                <w:sz w:val="24"/>
                <w:szCs w:val="24"/>
                <w:lang w:val="hy-AM"/>
              </w:rPr>
              <w:t>և</w:t>
            </w:r>
            <w:r w:rsidRPr="008C76E0">
              <w:rPr>
                <w:rFonts w:ascii="Sylfaen" w:hAnsi="Sylfaen"/>
                <w:b w:val="0"/>
                <w:sz w:val="24"/>
                <w:szCs w:val="24"/>
                <w:lang w:val="hy-AM"/>
              </w:rPr>
              <w:t xml:space="preserve"> կայունության մասով պարտավորությունը</w:t>
            </w:r>
          </w:p>
        </w:tc>
        <w:tc>
          <w:tcPr>
            <w:tcW w:w="1416" w:type="dxa"/>
            <w:shd w:val="clear" w:color="auto" w:fill="FFFFFF"/>
          </w:tcPr>
          <w:p w14:paraId="7A7CE9C8" w14:textId="77777777" w:rsidR="008C76E0" w:rsidRPr="00BD7577" w:rsidRDefault="008C76E0" w:rsidP="008C76E0">
            <w:pPr>
              <w:pStyle w:val="Bodytext180"/>
              <w:shd w:val="clear" w:color="auto" w:fill="auto"/>
              <w:spacing w:before="0" w:after="120" w:line="240" w:lineRule="auto"/>
              <w:ind w:right="-1" w:firstLine="0"/>
              <w:jc w:val="center"/>
              <w:rPr>
                <w:rStyle w:val="Bodytext18BookmanOldStyle"/>
                <w:rFonts w:ascii="Sylfaen" w:hAnsi="Sylfaen"/>
                <w:sz w:val="24"/>
                <w:szCs w:val="24"/>
              </w:rPr>
            </w:pPr>
            <w:r w:rsidRPr="00BD7577">
              <w:rPr>
                <w:rStyle w:val="Bodytext18BookmanOldStyle"/>
                <w:rFonts w:ascii="Sylfaen" w:hAnsi="Sylfaen"/>
                <w:sz w:val="24"/>
                <w:szCs w:val="24"/>
              </w:rPr>
              <w:t>x</w:t>
            </w:r>
          </w:p>
        </w:tc>
        <w:tc>
          <w:tcPr>
            <w:tcW w:w="1368" w:type="dxa"/>
            <w:shd w:val="clear" w:color="auto" w:fill="FFFFFF"/>
          </w:tcPr>
          <w:p w14:paraId="252190E6"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5370DDD2" w14:textId="77777777" w:rsidTr="008C76E0">
        <w:trPr>
          <w:jc w:val="center"/>
        </w:trPr>
        <w:tc>
          <w:tcPr>
            <w:tcW w:w="1382" w:type="dxa"/>
            <w:tcBorders>
              <w:bottom w:val="single" w:sz="4" w:space="0" w:color="auto"/>
            </w:tcBorders>
            <w:shd w:val="clear" w:color="auto" w:fill="FFFFFF"/>
            <w:vAlign w:val="center"/>
          </w:tcPr>
          <w:p w14:paraId="5C591B43" w14:textId="77777777" w:rsidR="008C76E0" w:rsidRPr="00BD7577" w:rsidRDefault="008C76E0" w:rsidP="008C76E0">
            <w:pPr>
              <w:pStyle w:val="Bodytext180"/>
              <w:shd w:val="clear" w:color="auto" w:fill="auto"/>
              <w:spacing w:before="0" w:after="120" w:line="240" w:lineRule="auto"/>
              <w:ind w:left="72" w:right="-1" w:firstLine="0"/>
              <w:jc w:val="both"/>
              <w:rPr>
                <w:rFonts w:ascii="Sylfaen" w:hAnsi="Sylfaen"/>
                <w:b w:val="0"/>
                <w:sz w:val="24"/>
                <w:szCs w:val="24"/>
              </w:rPr>
            </w:pPr>
            <w:r w:rsidRPr="00BD7577">
              <w:rPr>
                <w:rFonts w:ascii="Sylfaen" w:hAnsi="Sylfaen"/>
                <w:b w:val="0"/>
                <w:sz w:val="24"/>
                <w:szCs w:val="24"/>
              </w:rPr>
              <w:t>3.2.</w:t>
            </w:r>
            <w:r w:rsidRPr="00BD7577">
              <w:rPr>
                <w:rStyle w:val="Bodytext1811pt"/>
                <w:rFonts w:ascii="Sylfaen" w:hAnsi="Sylfaen"/>
                <w:sz w:val="24"/>
                <w:szCs w:val="24"/>
              </w:rPr>
              <w:t xml:space="preserve"> S</w:t>
            </w:r>
            <w:r w:rsidRPr="00BD7577">
              <w:rPr>
                <w:rFonts w:ascii="Sylfaen" w:hAnsi="Sylfaen"/>
                <w:b w:val="0"/>
                <w:sz w:val="24"/>
                <w:szCs w:val="24"/>
              </w:rPr>
              <w:t>.7.3</w:t>
            </w:r>
          </w:p>
        </w:tc>
        <w:tc>
          <w:tcPr>
            <w:tcW w:w="5352" w:type="dxa"/>
            <w:tcBorders>
              <w:bottom w:val="single" w:sz="4" w:space="0" w:color="auto"/>
            </w:tcBorders>
            <w:shd w:val="clear" w:color="auto" w:fill="FFFFFF"/>
            <w:vAlign w:val="center"/>
          </w:tcPr>
          <w:p w14:paraId="6177D199" w14:textId="77777777" w:rsidR="008C76E0" w:rsidRPr="00BD7577" w:rsidRDefault="008C76E0" w:rsidP="008C76E0">
            <w:pPr>
              <w:pStyle w:val="Tableofcontents120"/>
              <w:shd w:val="clear" w:color="auto" w:fill="auto"/>
              <w:spacing w:after="120" w:line="240" w:lineRule="auto"/>
              <w:ind w:left="108" w:right="121" w:firstLine="0"/>
              <w:jc w:val="left"/>
              <w:rPr>
                <w:rFonts w:ascii="Sylfaen" w:hAnsi="Sylfaen"/>
                <w:b w:val="0"/>
                <w:sz w:val="24"/>
                <w:szCs w:val="24"/>
              </w:rPr>
            </w:pPr>
            <w:r w:rsidRPr="00BD7577">
              <w:rPr>
                <w:rFonts w:ascii="Sylfaen" w:hAnsi="Sylfaen"/>
                <w:b w:val="0"/>
                <w:sz w:val="24"/>
                <w:szCs w:val="24"/>
              </w:rPr>
              <w:t>Կայունության վերաբերյալ տվյալները</w:t>
            </w:r>
          </w:p>
        </w:tc>
        <w:tc>
          <w:tcPr>
            <w:tcW w:w="1416" w:type="dxa"/>
            <w:tcBorders>
              <w:bottom w:val="single" w:sz="4" w:space="0" w:color="auto"/>
            </w:tcBorders>
            <w:shd w:val="clear" w:color="auto" w:fill="FFFFFF"/>
          </w:tcPr>
          <w:p w14:paraId="4CB0C8E0" w14:textId="77777777" w:rsidR="008C76E0" w:rsidRPr="00BD7577" w:rsidRDefault="008C76E0" w:rsidP="008C76E0">
            <w:pPr>
              <w:pStyle w:val="Tableofcontents120"/>
              <w:shd w:val="clear" w:color="auto" w:fill="auto"/>
              <w:spacing w:after="120" w:line="240" w:lineRule="auto"/>
              <w:ind w:right="-1" w:firstLine="0"/>
              <w:jc w:val="center"/>
              <w:rPr>
                <w:rStyle w:val="Bodytext18BookmanOldStyle"/>
                <w:rFonts w:ascii="Sylfaen" w:hAnsi="Sylfaen"/>
                <w:sz w:val="24"/>
                <w:szCs w:val="24"/>
              </w:rPr>
            </w:pPr>
            <w:r w:rsidRPr="00BD7577">
              <w:rPr>
                <w:rFonts w:ascii="Sylfaen" w:hAnsi="Sylfaen"/>
                <w:b w:val="0"/>
                <w:sz w:val="24"/>
                <w:szCs w:val="24"/>
              </w:rPr>
              <w:t>х</w:t>
            </w:r>
          </w:p>
        </w:tc>
        <w:tc>
          <w:tcPr>
            <w:tcW w:w="1368" w:type="dxa"/>
            <w:tcBorders>
              <w:bottom w:val="single" w:sz="4" w:space="0" w:color="auto"/>
            </w:tcBorders>
            <w:shd w:val="clear" w:color="auto" w:fill="FFFFFF"/>
          </w:tcPr>
          <w:p w14:paraId="3517219A" w14:textId="77777777" w:rsidR="008C76E0" w:rsidRPr="00BD7577" w:rsidRDefault="008C76E0" w:rsidP="008C76E0">
            <w:pPr>
              <w:spacing w:after="120" w:line="240" w:lineRule="auto"/>
              <w:ind w:right="-1"/>
              <w:jc w:val="center"/>
              <w:rPr>
                <w:rFonts w:ascii="Sylfaen" w:hAnsi="Sylfaen"/>
                <w:sz w:val="24"/>
                <w:szCs w:val="24"/>
              </w:rPr>
            </w:pPr>
          </w:p>
        </w:tc>
      </w:tr>
    </w:tbl>
    <w:p w14:paraId="2BFAA911" w14:textId="77777777" w:rsidR="008C76E0" w:rsidRPr="00BD7577" w:rsidRDefault="008C76E0" w:rsidP="008C76E0">
      <w:pPr>
        <w:pStyle w:val="Tableofcontents120"/>
        <w:shd w:val="clear" w:color="auto" w:fill="auto"/>
        <w:spacing w:after="160" w:line="360" w:lineRule="auto"/>
        <w:ind w:right="-1" w:firstLine="0"/>
        <w:rPr>
          <w:rFonts w:ascii="Sylfaen" w:hAnsi="Sylfaen"/>
          <w:b w:val="0"/>
          <w:sz w:val="24"/>
          <w:szCs w:val="24"/>
        </w:rPr>
      </w:pPr>
    </w:p>
    <w:p w14:paraId="4A34BA9B"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lastRenderedPageBreak/>
        <w:t>1.</w:t>
      </w:r>
      <w:r w:rsidRPr="00BD7577">
        <w:rPr>
          <w:rFonts w:ascii="Sylfaen" w:hAnsi="Sylfaen"/>
          <w:b w:val="0"/>
          <w:sz w:val="24"/>
          <w:szCs w:val="24"/>
        </w:rPr>
        <w:tab/>
        <w:t xml:space="preserve">Եթե փակ հատվածը պարունակում է մանրամասն տեղեկություններ, ապա բլոկ-սխեման </w:t>
      </w:r>
      <w:r w:rsidR="00C54D75">
        <w:rPr>
          <w:rFonts w:ascii="Sylfaen" w:hAnsi="Sylfaen"/>
          <w:b w:val="0"/>
          <w:sz w:val="24"/>
          <w:szCs w:val="24"/>
        </w:rPr>
        <w:t>և</w:t>
      </w:r>
      <w:r w:rsidRPr="00BD7577">
        <w:rPr>
          <w:rFonts w:ascii="Sylfaen" w:hAnsi="Sylfaen"/>
          <w:b w:val="0"/>
          <w:sz w:val="24"/>
          <w:szCs w:val="24"/>
        </w:rPr>
        <w:t xml:space="preserve"> համառոտ նկարագրությունը համարվում են բավարար։ Այնուամենայնիվ, հայտատուի մասում կարող են պահանջվել մանրէազերծման գործընթացի վերաբերյալ վալիդացման ամբողջական տվյալները (դեղապատրաստուկի հետագա մանրէազերծման բացակայության դեպքում)։</w:t>
      </w:r>
    </w:p>
    <w:p w14:paraId="63E7A672"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t>2.</w:t>
      </w:r>
      <w:r w:rsidRPr="00BD7577">
        <w:rPr>
          <w:rFonts w:ascii="Sylfaen" w:hAnsi="Sylfaen"/>
          <w:b w:val="0"/>
          <w:sz w:val="24"/>
          <w:szCs w:val="24"/>
        </w:rPr>
        <w:tab/>
        <w:t>Մանրամասն տեղեկությունները։</w:t>
      </w:r>
    </w:p>
    <w:p w14:paraId="48E950F6"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t>3.</w:t>
      </w:r>
      <w:r w:rsidRPr="00BD7577">
        <w:rPr>
          <w:rFonts w:ascii="Sylfaen" w:hAnsi="Sylfaen"/>
          <w:b w:val="0"/>
          <w:sz w:val="24"/>
          <w:szCs w:val="24"/>
        </w:rPr>
        <w:tab/>
        <w:t>Այնքանով, որքանով այդ տեղեկություններն անհրաժեշտ են նա</w:t>
      </w:r>
      <w:r w:rsidR="00C54D75">
        <w:rPr>
          <w:rFonts w:ascii="Sylfaen" w:hAnsi="Sylfaen"/>
          <w:b w:val="0"/>
          <w:sz w:val="24"/>
          <w:szCs w:val="24"/>
        </w:rPr>
        <w:t>և</w:t>
      </w:r>
      <w:r w:rsidRPr="00BD7577">
        <w:rPr>
          <w:rFonts w:ascii="Sylfaen" w:hAnsi="Sylfaen"/>
          <w:b w:val="0"/>
          <w:sz w:val="24"/>
          <w:szCs w:val="24"/>
        </w:rPr>
        <w:t xml:space="preserve"> հայտատուին (ԳՀ-ի իրավատիրոջը)։</w:t>
      </w:r>
    </w:p>
    <w:p w14:paraId="39D3B646"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t>4.</w:t>
      </w:r>
      <w:r w:rsidRPr="00BD7577">
        <w:rPr>
          <w:rFonts w:ascii="Sylfaen" w:hAnsi="Sylfaen"/>
          <w:b w:val="0"/>
          <w:sz w:val="24"/>
          <w:szCs w:val="24"/>
        </w:rPr>
        <w:tab/>
        <w:t xml:space="preserve">Այնքանով, որքանով այդ տեղեկությունները վերաբերում են արտադրության գործընթացի մանրամասն նկարագրությանը, </w:t>
      </w:r>
      <w:r w:rsidR="00C54D75">
        <w:rPr>
          <w:rFonts w:ascii="Sylfaen" w:hAnsi="Sylfaen"/>
          <w:b w:val="0"/>
          <w:sz w:val="24"/>
          <w:szCs w:val="24"/>
        </w:rPr>
        <w:t>և</w:t>
      </w:r>
      <w:r w:rsidRPr="00BD7577">
        <w:rPr>
          <w:rFonts w:ascii="Sylfaen" w:hAnsi="Sylfaen"/>
          <w:b w:val="0"/>
          <w:sz w:val="24"/>
          <w:szCs w:val="24"/>
        </w:rPr>
        <w:t xml:space="preserve"> այնքանով, որքանով այդ տեղեկություններն անհրաժեշտ չեն հայտատուին (ԳՀ-ի իրավատիրոջը):</w:t>
      </w:r>
    </w:p>
    <w:p w14:paraId="0A046B28"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t>5.</w:t>
      </w:r>
      <w:r w:rsidRPr="00BD7577">
        <w:rPr>
          <w:rFonts w:ascii="Sylfaen" w:hAnsi="Sylfaen"/>
          <w:b w:val="0"/>
          <w:sz w:val="24"/>
          <w:szCs w:val="24"/>
        </w:rPr>
        <w:tab/>
        <w:t xml:space="preserve">Այնքանով, որքանով այդ տեղեկությունները վերաբերում են արտադրության գործընթացի մանրամասն նկարագրությանը, </w:t>
      </w:r>
      <w:r w:rsidR="00C54D75">
        <w:rPr>
          <w:rFonts w:ascii="Sylfaen" w:hAnsi="Sylfaen"/>
          <w:b w:val="0"/>
          <w:sz w:val="24"/>
          <w:szCs w:val="24"/>
        </w:rPr>
        <w:t>և</w:t>
      </w:r>
      <w:r w:rsidRPr="00BD7577">
        <w:rPr>
          <w:rFonts w:ascii="Sylfaen" w:hAnsi="Sylfaen"/>
          <w:b w:val="0"/>
          <w:sz w:val="24"/>
          <w:szCs w:val="24"/>
        </w:rPr>
        <w:t xml:space="preserve"> այնքանով, որքանով ԱԴԲՄՖ-ի իրավատերը բավականաչափ հիմնավորում է, որ բացակայում է ակտիվ դեղագործական բաղադրամասի մեջ այդ խառնուկները հսկելու անհրաժեշտությունը։</w:t>
      </w:r>
    </w:p>
    <w:p w14:paraId="668F9B32" w14:textId="77777777" w:rsidR="008C76E0" w:rsidRPr="00BD7577" w:rsidRDefault="008C76E0" w:rsidP="008C76E0">
      <w:pPr>
        <w:pStyle w:val="Bodytext80"/>
        <w:shd w:val="clear" w:color="auto" w:fill="auto"/>
        <w:tabs>
          <w:tab w:val="left" w:pos="1134"/>
        </w:tabs>
        <w:spacing w:before="0" w:after="160" w:line="360" w:lineRule="auto"/>
        <w:ind w:left="1134" w:hanging="567"/>
        <w:jc w:val="both"/>
        <w:rPr>
          <w:rFonts w:ascii="Sylfaen" w:hAnsi="Sylfaen"/>
          <w:b w:val="0"/>
          <w:sz w:val="24"/>
          <w:szCs w:val="24"/>
        </w:rPr>
      </w:pPr>
      <w:r w:rsidRPr="00BD7577">
        <w:rPr>
          <w:rFonts w:ascii="Sylfaen" w:hAnsi="Sylfaen"/>
          <w:b w:val="0"/>
          <w:sz w:val="24"/>
          <w:szCs w:val="24"/>
        </w:rPr>
        <w:t>6.</w:t>
      </w:r>
      <w:r w:rsidRPr="00BD7577">
        <w:rPr>
          <w:rFonts w:ascii="Sylfaen" w:hAnsi="Sylfaen"/>
          <w:b w:val="0"/>
          <w:sz w:val="24"/>
          <w:szCs w:val="24"/>
        </w:rPr>
        <w:tab/>
        <w:t xml:space="preserve">Այնքանով, որքանով այդ տեղեկությունները վերաբերում են արտադրության գործընթացի մանրամասն նկարագրությանը, նյութերի որակի հսկողությանը </w:t>
      </w:r>
      <w:r w:rsidR="00C54D75">
        <w:rPr>
          <w:rFonts w:ascii="Sylfaen" w:hAnsi="Sylfaen"/>
          <w:b w:val="0"/>
          <w:sz w:val="24"/>
          <w:szCs w:val="24"/>
        </w:rPr>
        <w:t>և</w:t>
      </w:r>
      <w:r w:rsidRPr="00BD7577">
        <w:rPr>
          <w:rFonts w:ascii="Sylfaen" w:hAnsi="Sylfaen"/>
          <w:b w:val="0"/>
          <w:sz w:val="24"/>
          <w:szCs w:val="24"/>
        </w:rPr>
        <w:t xml:space="preserve"> արտադրության գործընթացի վալիդացմանը։</w:t>
      </w:r>
    </w:p>
    <w:p w14:paraId="2E41B9D0" w14:textId="77777777" w:rsidR="008C76E0" w:rsidRDefault="008C76E0" w:rsidP="008C76E0">
      <w:pPr>
        <w:widowControl/>
        <w:rPr>
          <w:rFonts w:ascii="Sylfaen" w:eastAsia="Times New Roman" w:hAnsi="Sylfaen" w:cs="Times New Roman"/>
          <w:sz w:val="24"/>
          <w:szCs w:val="24"/>
        </w:rPr>
      </w:pPr>
      <w:r>
        <w:rPr>
          <w:rFonts w:ascii="Sylfaen" w:hAnsi="Sylfaen"/>
          <w:sz w:val="24"/>
          <w:szCs w:val="24"/>
        </w:rPr>
        <w:br w:type="page"/>
      </w:r>
    </w:p>
    <w:p w14:paraId="2A822293" w14:textId="77777777" w:rsidR="008C76E0" w:rsidRPr="00BD7577" w:rsidRDefault="008C76E0" w:rsidP="008C76E0">
      <w:pPr>
        <w:pStyle w:val="Tablecaption30"/>
        <w:shd w:val="clear" w:color="auto" w:fill="auto"/>
        <w:spacing w:after="160" w:line="360" w:lineRule="auto"/>
        <w:ind w:right="-1"/>
        <w:jc w:val="right"/>
        <w:rPr>
          <w:rFonts w:ascii="Sylfaen" w:hAnsi="Sylfaen"/>
          <w:sz w:val="24"/>
          <w:szCs w:val="24"/>
        </w:rPr>
      </w:pPr>
      <w:r w:rsidRPr="00BD7577">
        <w:rPr>
          <w:rFonts w:ascii="Sylfaen" w:hAnsi="Sylfaen"/>
          <w:sz w:val="24"/>
          <w:szCs w:val="24"/>
        </w:rPr>
        <w:lastRenderedPageBreak/>
        <w:t>Աղյուսակ 2</w:t>
      </w:r>
    </w:p>
    <w:tbl>
      <w:tblPr>
        <w:tblOverlap w:val="never"/>
        <w:tblW w:w="9933" w:type="dxa"/>
        <w:jc w:val="center"/>
        <w:tblLayout w:type="fixed"/>
        <w:tblCellMar>
          <w:left w:w="10" w:type="dxa"/>
          <w:right w:w="10" w:type="dxa"/>
        </w:tblCellMar>
        <w:tblLook w:val="04A0" w:firstRow="1" w:lastRow="0" w:firstColumn="1" w:lastColumn="0" w:noHBand="0" w:noVBand="1"/>
      </w:tblPr>
      <w:tblGrid>
        <w:gridCol w:w="1424"/>
        <w:gridCol w:w="6"/>
        <w:gridCol w:w="5453"/>
        <w:gridCol w:w="1608"/>
        <w:gridCol w:w="1435"/>
        <w:gridCol w:w="7"/>
      </w:tblGrid>
      <w:tr w:rsidR="008C76E0" w:rsidRPr="00BD7577" w14:paraId="44D04DDA" w14:textId="77777777" w:rsidTr="008C76E0">
        <w:trPr>
          <w:gridAfter w:val="1"/>
          <w:wAfter w:w="7" w:type="dxa"/>
          <w:trHeight w:val="273"/>
          <w:jc w:val="center"/>
        </w:trPr>
        <w:tc>
          <w:tcPr>
            <w:tcW w:w="1430" w:type="dxa"/>
            <w:gridSpan w:val="2"/>
            <w:tcBorders>
              <w:top w:val="single" w:sz="4" w:space="0" w:color="auto"/>
              <w:left w:val="single" w:sz="4" w:space="0" w:color="auto"/>
            </w:tcBorders>
            <w:shd w:val="clear" w:color="auto" w:fill="FFFFFF"/>
          </w:tcPr>
          <w:p w14:paraId="5D753C37" w14:textId="77777777" w:rsidR="008C76E0" w:rsidRPr="00BD7577" w:rsidRDefault="008C76E0" w:rsidP="008C76E0">
            <w:pPr>
              <w:pStyle w:val="Bodytext180"/>
              <w:shd w:val="clear" w:color="auto" w:fill="auto"/>
              <w:spacing w:before="0" w:after="120" w:line="240" w:lineRule="auto"/>
              <w:ind w:left="83" w:firstLine="0"/>
              <w:jc w:val="center"/>
              <w:rPr>
                <w:rFonts w:ascii="Sylfaen" w:hAnsi="Sylfaen"/>
                <w:b w:val="0"/>
                <w:sz w:val="24"/>
                <w:szCs w:val="24"/>
              </w:rPr>
            </w:pPr>
            <w:r w:rsidRPr="00BD7577">
              <w:rPr>
                <w:rStyle w:val="Bodytext1811pt"/>
                <w:rFonts w:ascii="Sylfaen" w:hAnsi="Sylfaen"/>
                <w:sz w:val="24"/>
                <w:szCs w:val="24"/>
              </w:rPr>
              <w:t>Դոսյեի մոդուլի մաս</w:t>
            </w:r>
          </w:p>
        </w:tc>
        <w:tc>
          <w:tcPr>
            <w:tcW w:w="5453" w:type="dxa"/>
            <w:tcBorders>
              <w:top w:val="single" w:sz="4" w:space="0" w:color="auto"/>
              <w:left w:val="single" w:sz="4" w:space="0" w:color="auto"/>
            </w:tcBorders>
            <w:shd w:val="clear" w:color="auto" w:fill="FFFFFF"/>
          </w:tcPr>
          <w:p w14:paraId="7593E983" w14:textId="77777777" w:rsidR="008C76E0" w:rsidRPr="00BD7577" w:rsidRDefault="008C76E0" w:rsidP="008C76E0">
            <w:pPr>
              <w:pStyle w:val="Bodytext180"/>
              <w:shd w:val="clear" w:color="auto" w:fill="auto"/>
              <w:spacing w:before="0" w:after="120" w:line="240" w:lineRule="auto"/>
              <w:ind w:left="77" w:firstLine="0"/>
              <w:jc w:val="center"/>
              <w:rPr>
                <w:rFonts w:ascii="Sylfaen" w:hAnsi="Sylfaen"/>
                <w:b w:val="0"/>
                <w:sz w:val="24"/>
                <w:szCs w:val="24"/>
              </w:rPr>
            </w:pPr>
            <w:r w:rsidRPr="00BD7577">
              <w:rPr>
                <w:rStyle w:val="Bodytext1811pt"/>
                <w:rFonts w:ascii="Sylfaen" w:hAnsi="Sylfaen"/>
                <w:sz w:val="24"/>
                <w:szCs w:val="24"/>
              </w:rPr>
              <w:t>ԸՏՓ-ի ձ</w:t>
            </w:r>
            <w:r w:rsidR="00C54D75">
              <w:rPr>
                <w:rStyle w:val="Bodytext1811pt"/>
                <w:rFonts w:ascii="Sylfaen" w:hAnsi="Sylfaen"/>
                <w:sz w:val="24"/>
                <w:szCs w:val="24"/>
              </w:rPr>
              <w:t>և</w:t>
            </w:r>
            <w:r w:rsidRPr="00BD7577">
              <w:rPr>
                <w:rStyle w:val="Bodytext1811pt"/>
                <w:rFonts w:ascii="Sylfaen" w:hAnsi="Sylfaen"/>
                <w:sz w:val="24"/>
                <w:szCs w:val="24"/>
              </w:rPr>
              <w:t>աչափ բուսական հումք (բուսական դեղագործական բաղադրամասեր)</w:t>
            </w:r>
          </w:p>
        </w:tc>
        <w:tc>
          <w:tcPr>
            <w:tcW w:w="1608" w:type="dxa"/>
            <w:tcBorders>
              <w:top w:val="single" w:sz="4" w:space="0" w:color="auto"/>
              <w:left w:val="single" w:sz="4" w:space="0" w:color="auto"/>
            </w:tcBorders>
            <w:shd w:val="clear" w:color="auto" w:fill="FFFFFF"/>
          </w:tcPr>
          <w:p w14:paraId="46723722"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Հայտատուի մաս</w:t>
            </w:r>
          </w:p>
        </w:tc>
        <w:tc>
          <w:tcPr>
            <w:tcW w:w="1435" w:type="dxa"/>
            <w:tcBorders>
              <w:top w:val="single" w:sz="4" w:space="0" w:color="auto"/>
              <w:left w:val="single" w:sz="4" w:space="0" w:color="auto"/>
              <w:right w:val="single" w:sz="4" w:space="0" w:color="auto"/>
            </w:tcBorders>
            <w:shd w:val="clear" w:color="auto" w:fill="FFFFFF"/>
          </w:tcPr>
          <w:p w14:paraId="26B9E699"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Փակ մաս</w:t>
            </w:r>
          </w:p>
        </w:tc>
      </w:tr>
      <w:tr w:rsidR="008C76E0" w:rsidRPr="00BD7577" w14:paraId="7C060B70" w14:textId="77777777" w:rsidTr="008C76E0">
        <w:trPr>
          <w:gridAfter w:val="1"/>
          <w:wAfter w:w="7" w:type="dxa"/>
          <w:jc w:val="center"/>
        </w:trPr>
        <w:tc>
          <w:tcPr>
            <w:tcW w:w="1430" w:type="dxa"/>
            <w:gridSpan w:val="2"/>
            <w:tcBorders>
              <w:top w:val="single" w:sz="4" w:space="0" w:color="auto"/>
            </w:tcBorders>
            <w:shd w:val="clear" w:color="auto" w:fill="FFFFFF"/>
          </w:tcPr>
          <w:p w14:paraId="06478EF9"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3.2.С.1</w:t>
            </w:r>
          </w:p>
        </w:tc>
        <w:tc>
          <w:tcPr>
            <w:tcW w:w="5453" w:type="dxa"/>
            <w:tcBorders>
              <w:top w:val="single" w:sz="4" w:space="0" w:color="auto"/>
            </w:tcBorders>
            <w:shd w:val="clear" w:color="auto" w:fill="FFFFFF"/>
          </w:tcPr>
          <w:p w14:paraId="024493B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Ընդհանուր տեղեկությունները</w:t>
            </w:r>
          </w:p>
        </w:tc>
        <w:tc>
          <w:tcPr>
            <w:tcW w:w="1608" w:type="dxa"/>
            <w:tcBorders>
              <w:top w:val="single" w:sz="4" w:space="0" w:color="auto"/>
            </w:tcBorders>
            <w:shd w:val="clear" w:color="auto" w:fill="FFFFFF"/>
          </w:tcPr>
          <w:p w14:paraId="1BE3A23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435" w:type="dxa"/>
            <w:tcBorders>
              <w:top w:val="single" w:sz="4" w:space="0" w:color="auto"/>
            </w:tcBorders>
            <w:shd w:val="clear" w:color="auto" w:fill="FFFFFF"/>
          </w:tcPr>
          <w:p w14:paraId="06D3879B"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C0D1FC1" w14:textId="77777777" w:rsidTr="008C76E0">
        <w:trPr>
          <w:gridAfter w:val="1"/>
          <w:wAfter w:w="7" w:type="dxa"/>
          <w:jc w:val="center"/>
        </w:trPr>
        <w:tc>
          <w:tcPr>
            <w:tcW w:w="1430" w:type="dxa"/>
            <w:gridSpan w:val="2"/>
            <w:shd w:val="clear" w:color="auto" w:fill="FFFFFF"/>
          </w:tcPr>
          <w:p w14:paraId="0EF1C87E"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3.2.С.1.1</w:t>
            </w:r>
          </w:p>
        </w:tc>
        <w:tc>
          <w:tcPr>
            <w:tcW w:w="5453" w:type="dxa"/>
            <w:vMerge w:val="restart"/>
            <w:shd w:val="clear" w:color="auto" w:fill="FFFFFF"/>
            <w:vAlign w:val="bottom"/>
          </w:tcPr>
          <w:p w14:paraId="6CA5468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Անվանացանկը</w:t>
            </w:r>
          </w:p>
          <w:p w14:paraId="1B9001E3" w14:textId="77777777" w:rsidR="008C76E0" w:rsidRPr="00BD7577" w:rsidRDefault="008C76E0" w:rsidP="008C76E0">
            <w:pPr>
              <w:pStyle w:val="Bodytext180"/>
              <w:shd w:val="clear" w:color="auto" w:fill="auto"/>
              <w:tabs>
                <w:tab w:val="left" w:pos="498"/>
              </w:tabs>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Ա)</w:t>
            </w:r>
            <w:r w:rsidRPr="00BD7577">
              <w:rPr>
                <w:rStyle w:val="Bodytext1811pt"/>
                <w:rFonts w:ascii="Sylfaen" w:hAnsi="Sylfaen"/>
                <w:sz w:val="24"/>
                <w:szCs w:val="24"/>
              </w:rPr>
              <w:tab/>
              <w:t xml:space="preserve">Դեղաբուսական հումքի մանրացման միջոցով ստացված բուսական ծագման դեղագործական բաղադրամասը՝ բույսի բինոմինալ (երկանվանական) գիտական անվանումը (ցեղատեսակը, տեսակը, ենթատեսակը </w:t>
            </w:r>
            <w:r w:rsidR="00C54D75">
              <w:rPr>
                <w:rStyle w:val="Bodytext1811pt"/>
                <w:rFonts w:ascii="Sylfaen" w:hAnsi="Sylfaen"/>
                <w:sz w:val="24"/>
                <w:szCs w:val="24"/>
              </w:rPr>
              <w:t>և</w:t>
            </w:r>
            <w:r w:rsidRPr="00BD7577">
              <w:rPr>
                <w:rStyle w:val="Bodytext1811pt"/>
                <w:rFonts w:ascii="Sylfaen" w:hAnsi="Sylfaen"/>
                <w:sz w:val="24"/>
                <w:szCs w:val="24"/>
              </w:rPr>
              <w:t xml:space="preserve"> հեղինակը) </w:t>
            </w:r>
            <w:r w:rsidR="00C54D75">
              <w:rPr>
                <w:rStyle w:val="Bodytext1811pt"/>
                <w:rFonts w:ascii="Sylfaen" w:hAnsi="Sylfaen"/>
                <w:sz w:val="24"/>
                <w:szCs w:val="24"/>
              </w:rPr>
              <w:t>և</w:t>
            </w:r>
            <w:r w:rsidRPr="00BD7577">
              <w:rPr>
                <w:rStyle w:val="Bodytext1811pt"/>
                <w:rFonts w:ascii="Sylfaen" w:hAnsi="Sylfaen"/>
                <w:sz w:val="24"/>
                <w:szCs w:val="24"/>
              </w:rPr>
              <w:t xml:space="preserve"> քեմոտիպը (առկայության դեպքում), մորֆոլոգիական խումբը</w:t>
            </w:r>
          </w:p>
          <w:p w14:paraId="7EA52EB6" w14:textId="77777777" w:rsidR="008C76E0" w:rsidRPr="00BD7577" w:rsidRDefault="008C76E0" w:rsidP="008C76E0">
            <w:pPr>
              <w:pStyle w:val="Bodytext180"/>
              <w:shd w:val="clear" w:color="auto" w:fill="auto"/>
              <w:tabs>
                <w:tab w:val="left" w:pos="498"/>
              </w:tabs>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դեղաբուսական հումքի անվանումը լատիներենով</w:t>
            </w:r>
          </w:p>
          <w:p w14:paraId="21FE06BD" w14:textId="77777777" w:rsidR="008C76E0" w:rsidRPr="00BD7577" w:rsidRDefault="008C76E0" w:rsidP="008C76E0">
            <w:pPr>
              <w:pStyle w:val="Bodytext180"/>
              <w:shd w:val="clear" w:color="auto" w:fill="auto"/>
              <w:tabs>
                <w:tab w:val="left" w:pos="498"/>
              </w:tabs>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այլ անվանումներ (այլ դեղագրքերում նկարագրված հոմանիշներ)</w:t>
            </w:r>
          </w:p>
          <w:p w14:paraId="295535A3" w14:textId="77777777" w:rsidR="008C76E0" w:rsidRPr="00BD7577" w:rsidRDefault="008C76E0" w:rsidP="008C76E0">
            <w:pPr>
              <w:pStyle w:val="Bodytext180"/>
              <w:shd w:val="clear" w:color="auto" w:fill="auto"/>
              <w:tabs>
                <w:tab w:val="left" w:pos="498"/>
              </w:tabs>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ծագման աղբյուրը (վայրի կամ մշակովի)</w:t>
            </w:r>
          </w:p>
          <w:p w14:paraId="44F771CD" w14:textId="77777777" w:rsidR="008C76E0" w:rsidRPr="00BD7577" w:rsidRDefault="008C76E0" w:rsidP="008C76E0">
            <w:pPr>
              <w:pStyle w:val="Bodytext180"/>
              <w:shd w:val="clear" w:color="auto" w:fill="auto"/>
              <w:tabs>
                <w:tab w:val="left" w:pos="498"/>
              </w:tabs>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w:t>
            </w:r>
            <w:r w:rsidRPr="00BD7577">
              <w:rPr>
                <w:rStyle w:val="Bodytext1811pt"/>
                <w:rFonts w:ascii="Sylfaen" w:hAnsi="Sylfaen"/>
                <w:sz w:val="24"/>
                <w:szCs w:val="24"/>
              </w:rPr>
              <w:tab/>
              <w:t xml:space="preserve">Տարբեր միջոցներով (լուծամզում </w:t>
            </w:r>
            <w:r w:rsidR="00C54D75">
              <w:rPr>
                <w:rStyle w:val="Bodytext1811pt"/>
                <w:rFonts w:ascii="Sylfaen" w:hAnsi="Sylfaen"/>
                <w:sz w:val="24"/>
                <w:szCs w:val="24"/>
              </w:rPr>
              <w:t>և</w:t>
            </w:r>
            <w:r w:rsidRPr="00BD7577">
              <w:rPr>
                <w:rStyle w:val="Bodytext1811pt"/>
                <w:rFonts w:ascii="Sylfaen" w:hAnsi="Sylfaen"/>
                <w:sz w:val="24"/>
                <w:szCs w:val="24"/>
              </w:rPr>
              <w:t xml:space="preserve"> այլն) դեղաբուսական հումքի մշակումից հետո ստացված բուսական ծագման դեղագործական բաղադրամաս</w:t>
            </w:r>
          </w:p>
          <w:p w14:paraId="63D5992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բույսի բինոմինալ (երկանվանական) գիտական անվանումը (ցեղատեսակը, տեսակը, ենթատեսակը </w:t>
            </w:r>
            <w:r w:rsidR="00C54D75">
              <w:rPr>
                <w:rStyle w:val="Bodytext1811pt"/>
                <w:rFonts w:ascii="Sylfaen" w:hAnsi="Sylfaen"/>
                <w:sz w:val="24"/>
                <w:szCs w:val="24"/>
              </w:rPr>
              <w:t>և</w:t>
            </w:r>
            <w:r w:rsidRPr="00BD7577">
              <w:rPr>
                <w:rStyle w:val="Bodytext1811pt"/>
                <w:rFonts w:ascii="Sylfaen" w:hAnsi="Sylfaen"/>
                <w:sz w:val="24"/>
                <w:szCs w:val="24"/>
              </w:rPr>
              <w:t xml:space="preserve"> հեղինակը) </w:t>
            </w:r>
            <w:r w:rsidR="00C54D75">
              <w:rPr>
                <w:rStyle w:val="Bodytext1811pt"/>
                <w:rFonts w:ascii="Sylfaen" w:hAnsi="Sylfaen"/>
                <w:sz w:val="24"/>
                <w:szCs w:val="24"/>
              </w:rPr>
              <w:t>և</w:t>
            </w:r>
            <w:r w:rsidRPr="00BD7577">
              <w:rPr>
                <w:rStyle w:val="Bodytext1811pt"/>
                <w:rFonts w:ascii="Sylfaen" w:hAnsi="Sylfaen"/>
                <w:sz w:val="24"/>
                <w:szCs w:val="24"/>
              </w:rPr>
              <w:t xml:space="preserve"> քեմոտիպը (առկայության դեպքում)</w:t>
            </w:r>
          </w:p>
          <w:p w14:paraId="1461DC5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բույսերի մասերը</w:t>
            </w:r>
          </w:p>
          <w:p w14:paraId="094EC7A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բուսական ծագման դեղագործական բաղադրամասի անվանումը</w:t>
            </w:r>
          </w:p>
          <w:p w14:paraId="2E4E278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բուսական ծագման դեղագործական բաղադրամասում դեղաբուսական հումքի մասնաբաժինը</w:t>
            </w:r>
          </w:p>
          <w:p w14:paraId="074F92C2"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լուծամզվածքային լուծիչները</w:t>
            </w:r>
          </w:p>
          <w:p w14:paraId="12BDC3BE" w14:textId="77777777" w:rsidR="008C76E0" w:rsidRPr="00BD7577" w:rsidRDefault="008C76E0" w:rsidP="008C76E0">
            <w:pPr>
              <w:pStyle w:val="Bodytext180"/>
              <w:shd w:val="clear" w:color="auto" w:fill="auto"/>
              <w:spacing w:before="0" w:after="120" w:line="240" w:lineRule="auto"/>
              <w:ind w:left="77" w:right="-1" w:firstLine="0"/>
              <w:rPr>
                <w:rStyle w:val="Bodytext1811pt"/>
                <w:rFonts w:ascii="Sylfaen" w:hAnsi="Sylfaen"/>
                <w:sz w:val="24"/>
                <w:szCs w:val="24"/>
              </w:rPr>
            </w:pPr>
            <w:r w:rsidRPr="00BD7577">
              <w:rPr>
                <w:rStyle w:val="Bodytext1811pt"/>
                <w:rFonts w:ascii="Sylfaen" w:hAnsi="Sylfaen"/>
                <w:sz w:val="24"/>
                <w:szCs w:val="24"/>
              </w:rPr>
              <w:t>այլ անվանումներ (այլ դեղագրքերում նկարագրված հոմանիշներ)</w:t>
            </w:r>
          </w:p>
          <w:p w14:paraId="150B0A65"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ծագման աղբյուրը (վայրի կամ մշակովի)</w:t>
            </w:r>
          </w:p>
        </w:tc>
        <w:tc>
          <w:tcPr>
            <w:tcW w:w="1608" w:type="dxa"/>
            <w:shd w:val="clear" w:color="auto" w:fill="FFFFFF"/>
          </w:tcPr>
          <w:p w14:paraId="639A8B4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BookmanOldStyle"/>
                <w:rFonts w:ascii="Sylfaen" w:hAnsi="Sylfaen"/>
                <w:sz w:val="24"/>
                <w:szCs w:val="24"/>
              </w:rPr>
              <w:t>x</w:t>
            </w:r>
          </w:p>
        </w:tc>
        <w:tc>
          <w:tcPr>
            <w:tcW w:w="1435" w:type="dxa"/>
            <w:shd w:val="clear" w:color="auto" w:fill="FFFFFF"/>
          </w:tcPr>
          <w:p w14:paraId="3ADDDA51"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711ADD86" w14:textId="77777777" w:rsidTr="008C76E0">
        <w:trPr>
          <w:gridAfter w:val="1"/>
          <w:wAfter w:w="7" w:type="dxa"/>
          <w:jc w:val="center"/>
        </w:trPr>
        <w:tc>
          <w:tcPr>
            <w:tcW w:w="1430" w:type="dxa"/>
            <w:gridSpan w:val="2"/>
            <w:shd w:val="clear" w:color="auto" w:fill="FFFFFF"/>
          </w:tcPr>
          <w:p w14:paraId="4E881025" w14:textId="77777777" w:rsidR="008C76E0" w:rsidRPr="00BD7577" w:rsidRDefault="008C76E0" w:rsidP="008C76E0">
            <w:pPr>
              <w:spacing w:after="120" w:line="240" w:lineRule="auto"/>
              <w:ind w:left="83" w:right="-1"/>
              <w:jc w:val="both"/>
              <w:rPr>
                <w:rFonts w:ascii="Sylfaen" w:hAnsi="Sylfaen"/>
                <w:sz w:val="24"/>
                <w:szCs w:val="24"/>
              </w:rPr>
            </w:pPr>
          </w:p>
        </w:tc>
        <w:tc>
          <w:tcPr>
            <w:tcW w:w="5453" w:type="dxa"/>
            <w:vMerge/>
            <w:shd w:val="clear" w:color="auto" w:fill="FFFFFF"/>
          </w:tcPr>
          <w:p w14:paraId="54E03DF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p>
        </w:tc>
        <w:tc>
          <w:tcPr>
            <w:tcW w:w="1608" w:type="dxa"/>
            <w:shd w:val="clear" w:color="auto" w:fill="FFFFFF"/>
          </w:tcPr>
          <w:p w14:paraId="39B64DD4" w14:textId="77777777" w:rsidR="008C76E0" w:rsidRPr="00BD7577" w:rsidRDefault="008C76E0" w:rsidP="008C76E0">
            <w:pPr>
              <w:spacing w:after="120" w:line="240" w:lineRule="auto"/>
              <w:ind w:right="-1"/>
              <w:jc w:val="center"/>
              <w:rPr>
                <w:rFonts w:ascii="Sylfaen" w:hAnsi="Sylfaen"/>
                <w:sz w:val="24"/>
                <w:szCs w:val="24"/>
              </w:rPr>
            </w:pPr>
          </w:p>
        </w:tc>
        <w:tc>
          <w:tcPr>
            <w:tcW w:w="1435" w:type="dxa"/>
            <w:shd w:val="clear" w:color="auto" w:fill="FFFFFF"/>
          </w:tcPr>
          <w:p w14:paraId="21D485B9"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335947EB" w14:textId="77777777" w:rsidTr="008C76E0">
        <w:trPr>
          <w:gridAfter w:val="1"/>
          <w:wAfter w:w="7" w:type="dxa"/>
          <w:jc w:val="center"/>
        </w:trPr>
        <w:tc>
          <w:tcPr>
            <w:tcW w:w="1430" w:type="dxa"/>
            <w:gridSpan w:val="2"/>
            <w:shd w:val="clear" w:color="auto" w:fill="FFFFFF"/>
          </w:tcPr>
          <w:p w14:paraId="2EB15D49"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lastRenderedPageBreak/>
              <w:t>3.2.C.1.2</w:t>
            </w:r>
          </w:p>
        </w:tc>
        <w:tc>
          <w:tcPr>
            <w:tcW w:w="5453" w:type="dxa"/>
            <w:shd w:val="clear" w:color="auto" w:fill="FFFFFF"/>
          </w:tcPr>
          <w:p w14:paraId="655479E2"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Կառուցվածքը</w:t>
            </w:r>
          </w:p>
          <w:p w14:paraId="74D4AE10"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Ֆիզիկական վիճակը</w:t>
            </w:r>
          </w:p>
          <w:p w14:paraId="1E26894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Հայտնի թերապ</w:t>
            </w:r>
            <w:r w:rsidR="00C54D75">
              <w:rPr>
                <w:rStyle w:val="Bodytext1811pt"/>
                <w:rFonts w:ascii="Sylfaen" w:hAnsi="Sylfaen"/>
                <w:sz w:val="24"/>
                <w:szCs w:val="24"/>
              </w:rPr>
              <w:t>և</w:t>
            </w:r>
            <w:r w:rsidRPr="00BD7577">
              <w:rPr>
                <w:rStyle w:val="Bodytext1811pt"/>
                <w:rFonts w:ascii="Sylfaen" w:hAnsi="Sylfaen"/>
                <w:sz w:val="24"/>
                <w:szCs w:val="24"/>
              </w:rPr>
              <w:t>տիկ ակտիվությամբ բաղադրիչների կամ մարկերների նկարագրությունը (մոլեկուլային բանաձ</w:t>
            </w:r>
            <w:r w:rsidR="00C54D75">
              <w:rPr>
                <w:rStyle w:val="Bodytext1811pt"/>
                <w:rFonts w:ascii="Sylfaen" w:hAnsi="Sylfaen"/>
                <w:sz w:val="24"/>
                <w:szCs w:val="24"/>
              </w:rPr>
              <w:t>և</w:t>
            </w:r>
            <w:r w:rsidRPr="00BD7577">
              <w:rPr>
                <w:rStyle w:val="Bodytext1811pt"/>
                <w:rFonts w:ascii="Sylfaen" w:hAnsi="Sylfaen"/>
                <w:sz w:val="24"/>
                <w:szCs w:val="24"/>
              </w:rPr>
              <w:t>ը, հարաբերական մոլեկուլային զանգվածը, կառուցվածքային բանաձ</w:t>
            </w:r>
            <w:r w:rsidR="00C54D75">
              <w:rPr>
                <w:rStyle w:val="Bodytext1811pt"/>
                <w:rFonts w:ascii="Sylfaen" w:hAnsi="Sylfaen"/>
                <w:sz w:val="24"/>
                <w:szCs w:val="24"/>
              </w:rPr>
              <w:t>և</w:t>
            </w:r>
            <w:r w:rsidRPr="00BD7577">
              <w:rPr>
                <w:rStyle w:val="Bodytext1811pt"/>
                <w:rFonts w:ascii="Sylfaen" w:hAnsi="Sylfaen"/>
                <w:sz w:val="24"/>
                <w:szCs w:val="24"/>
              </w:rPr>
              <w:t xml:space="preserve">ը, ներառյալ՝ հարաբերական </w:t>
            </w:r>
            <w:r w:rsidR="00C54D75">
              <w:rPr>
                <w:rStyle w:val="Bodytext1811pt"/>
                <w:rFonts w:ascii="Sylfaen" w:hAnsi="Sylfaen"/>
                <w:sz w:val="24"/>
                <w:szCs w:val="24"/>
              </w:rPr>
              <w:t>և</w:t>
            </w:r>
            <w:r w:rsidRPr="00BD7577">
              <w:rPr>
                <w:rStyle w:val="Bodytext1811pt"/>
                <w:rFonts w:ascii="Sylfaen" w:hAnsi="Sylfaen"/>
                <w:sz w:val="24"/>
                <w:szCs w:val="24"/>
              </w:rPr>
              <w:t xml:space="preserve"> բացարձակ տարածական քիմիան, մոլեկուլային բանաձ</w:t>
            </w:r>
            <w:r w:rsidR="00C54D75">
              <w:rPr>
                <w:rStyle w:val="Bodytext1811pt"/>
                <w:rFonts w:ascii="Sylfaen" w:hAnsi="Sylfaen"/>
                <w:sz w:val="24"/>
                <w:szCs w:val="24"/>
              </w:rPr>
              <w:t>և</w:t>
            </w:r>
            <w:r w:rsidRPr="00BD7577">
              <w:rPr>
                <w:rStyle w:val="Bodytext1811pt"/>
                <w:rFonts w:ascii="Sylfaen" w:hAnsi="Sylfaen"/>
                <w:sz w:val="24"/>
                <w:szCs w:val="24"/>
              </w:rPr>
              <w:t xml:space="preserve">ը </w:t>
            </w:r>
            <w:r w:rsidR="00C54D75">
              <w:rPr>
                <w:rStyle w:val="Bodytext1811pt"/>
                <w:rFonts w:ascii="Sylfaen" w:hAnsi="Sylfaen"/>
                <w:sz w:val="24"/>
                <w:szCs w:val="24"/>
              </w:rPr>
              <w:t>և</w:t>
            </w:r>
            <w:r w:rsidRPr="00BD7577">
              <w:rPr>
                <w:rStyle w:val="Bodytext1811pt"/>
                <w:rFonts w:ascii="Sylfaen" w:hAnsi="Sylfaen"/>
                <w:sz w:val="24"/>
                <w:szCs w:val="24"/>
              </w:rPr>
              <w:t xml:space="preserve"> հարաբերական մոլեկուլային զանգվածը) </w:t>
            </w:r>
          </w:p>
          <w:p w14:paraId="476D778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Մյուս բաղադրիչները</w:t>
            </w:r>
          </w:p>
        </w:tc>
        <w:tc>
          <w:tcPr>
            <w:tcW w:w="1608" w:type="dxa"/>
            <w:shd w:val="clear" w:color="auto" w:fill="FFFFFF"/>
          </w:tcPr>
          <w:p w14:paraId="4D8F773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13DD7EE1"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05F091E0" w14:textId="77777777" w:rsidTr="008C76E0">
        <w:trPr>
          <w:gridAfter w:val="1"/>
          <w:wAfter w:w="7" w:type="dxa"/>
          <w:jc w:val="center"/>
        </w:trPr>
        <w:tc>
          <w:tcPr>
            <w:tcW w:w="1430" w:type="dxa"/>
            <w:gridSpan w:val="2"/>
            <w:shd w:val="clear" w:color="auto" w:fill="FFFFFF"/>
            <w:vAlign w:val="center"/>
          </w:tcPr>
          <w:p w14:paraId="0328D578"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3.2.C.1.3</w:t>
            </w:r>
          </w:p>
        </w:tc>
        <w:tc>
          <w:tcPr>
            <w:tcW w:w="5453" w:type="dxa"/>
            <w:shd w:val="clear" w:color="auto" w:fill="FFFFFF"/>
            <w:vAlign w:val="bottom"/>
          </w:tcPr>
          <w:p w14:paraId="509220ED"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Ընդհանուր հատկությունները</w:t>
            </w:r>
          </w:p>
        </w:tc>
        <w:tc>
          <w:tcPr>
            <w:tcW w:w="1608" w:type="dxa"/>
            <w:shd w:val="clear" w:color="auto" w:fill="FFFFFF"/>
            <w:vAlign w:val="center"/>
          </w:tcPr>
          <w:p w14:paraId="1106171E"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31B19D69"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2F477546" w14:textId="77777777" w:rsidTr="008C76E0">
        <w:trPr>
          <w:gridAfter w:val="1"/>
          <w:wAfter w:w="7" w:type="dxa"/>
          <w:jc w:val="center"/>
        </w:trPr>
        <w:tc>
          <w:tcPr>
            <w:tcW w:w="1430" w:type="dxa"/>
            <w:gridSpan w:val="2"/>
            <w:shd w:val="clear" w:color="auto" w:fill="FFFFFF"/>
          </w:tcPr>
          <w:p w14:paraId="7918F1D9"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w:t>
            </w:r>
          </w:p>
        </w:tc>
        <w:tc>
          <w:tcPr>
            <w:tcW w:w="5453" w:type="dxa"/>
            <w:shd w:val="clear" w:color="auto" w:fill="FFFFFF"/>
            <w:vAlign w:val="bottom"/>
          </w:tcPr>
          <w:p w14:paraId="4D0309DE"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Արտադրողները՝</w:t>
            </w:r>
          </w:p>
          <w:p w14:paraId="089E6331"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բուսական հումք (անհրաժեշտ է ներկայացնել յուրաքանչյուր արտադրողի, ներառյալ՝ ենթակապալառուների, ինչպես նա</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հումքի արտադրության (հավաքման) </w:t>
            </w:r>
            <w:r w:rsidR="00C54D75">
              <w:rPr>
                <w:rStyle w:val="Bodytext1811pt"/>
                <w:rFonts w:ascii="Sylfaen" w:hAnsi="Sylfaen"/>
                <w:sz w:val="24"/>
                <w:szCs w:val="24"/>
              </w:rPr>
              <w:t>և</w:t>
            </w:r>
            <w:r w:rsidRPr="00BD7577">
              <w:rPr>
                <w:rStyle w:val="Bodytext1811pt"/>
                <w:rFonts w:ascii="Sylfaen" w:hAnsi="Sylfaen"/>
                <w:sz w:val="24"/>
                <w:szCs w:val="24"/>
              </w:rPr>
              <w:t xml:space="preserve"> հսկողության մեջ ներգրավված առաջարկվող յուրաքանչյուր արտադրական հարթակի անվանումը, հասցեն </w:t>
            </w:r>
            <w:r w:rsidR="00C54D75">
              <w:rPr>
                <w:rStyle w:val="Bodytext1811pt"/>
                <w:rFonts w:ascii="Sylfaen" w:hAnsi="Sylfaen"/>
                <w:sz w:val="24"/>
                <w:szCs w:val="24"/>
              </w:rPr>
              <w:t>և</w:t>
            </w:r>
            <w:r w:rsidRPr="00BD7577">
              <w:rPr>
                <w:rStyle w:val="Bodytext1811pt"/>
                <w:rFonts w:ascii="Sylfaen" w:hAnsi="Sylfaen"/>
                <w:sz w:val="24"/>
                <w:szCs w:val="24"/>
              </w:rPr>
              <w:t xml:space="preserve"> պատասխանատվությունը)</w:t>
            </w:r>
          </w:p>
          <w:p w14:paraId="3F50049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բուսական դեղագործական բաղադրամասեր (անհրաժեշտ է ներկայացնել յուրաքանչյուր արտադրողի, ներառյալ՝ ենթակապալառուների, ինչպես նա</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դեղագործական բաղադրամասի արտադրության </w:t>
            </w:r>
            <w:r w:rsidR="00C54D75">
              <w:rPr>
                <w:rStyle w:val="Bodytext1811pt"/>
                <w:rFonts w:ascii="Sylfaen" w:hAnsi="Sylfaen"/>
                <w:sz w:val="24"/>
                <w:szCs w:val="24"/>
              </w:rPr>
              <w:t>և</w:t>
            </w:r>
            <w:r w:rsidRPr="00BD7577">
              <w:rPr>
                <w:rStyle w:val="Bodytext1811pt"/>
                <w:rFonts w:ascii="Sylfaen" w:hAnsi="Sylfaen"/>
                <w:sz w:val="24"/>
                <w:szCs w:val="24"/>
              </w:rPr>
              <w:t xml:space="preserve"> հսկողության մեջ ներգրավված առաջարկվող յուրաքանչյուր արտադրական հարթակի անվանումը, հասցեն </w:t>
            </w:r>
            <w:r w:rsidR="00C54D75">
              <w:rPr>
                <w:rStyle w:val="Bodytext1811pt"/>
                <w:rFonts w:ascii="Sylfaen" w:hAnsi="Sylfaen"/>
                <w:sz w:val="24"/>
                <w:szCs w:val="24"/>
              </w:rPr>
              <w:t>և</w:t>
            </w:r>
            <w:r w:rsidRPr="00BD7577">
              <w:rPr>
                <w:rStyle w:val="Bodytext1811pt"/>
                <w:rFonts w:ascii="Sylfaen" w:hAnsi="Sylfaen"/>
                <w:sz w:val="24"/>
                <w:szCs w:val="24"/>
              </w:rPr>
              <w:t xml:space="preserve"> պատասխանատվությունը)</w:t>
            </w:r>
          </w:p>
        </w:tc>
        <w:tc>
          <w:tcPr>
            <w:tcW w:w="1608" w:type="dxa"/>
            <w:shd w:val="clear" w:color="auto" w:fill="FFFFFF"/>
          </w:tcPr>
          <w:p w14:paraId="7BCD4B7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0DD4943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20FD6626" w14:textId="77777777" w:rsidTr="008C76E0">
        <w:trPr>
          <w:gridAfter w:val="1"/>
          <w:wAfter w:w="7" w:type="dxa"/>
          <w:jc w:val="center"/>
        </w:trPr>
        <w:tc>
          <w:tcPr>
            <w:tcW w:w="1430" w:type="dxa"/>
            <w:gridSpan w:val="2"/>
            <w:shd w:val="clear" w:color="auto" w:fill="FFFFFF"/>
          </w:tcPr>
          <w:p w14:paraId="636AD01A"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3.2.C.2.2</w:t>
            </w:r>
          </w:p>
        </w:tc>
        <w:tc>
          <w:tcPr>
            <w:tcW w:w="5453" w:type="dxa"/>
            <w:shd w:val="clear" w:color="auto" w:fill="FFFFFF"/>
          </w:tcPr>
          <w:p w14:paraId="13BE4ED6"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Արտադրության գործընթացի </w:t>
            </w:r>
            <w:r w:rsidR="00C54D75">
              <w:rPr>
                <w:rStyle w:val="Bodytext1811pt"/>
                <w:rFonts w:ascii="Sylfaen" w:hAnsi="Sylfaen"/>
                <w:sz w:val="24"/>
                <w:szCs w:val="24"/>
              </w:rPr>
              <w:t>և</w:t>
            </w:r>
            <w:r w:rsidRPr="00BD7577">
              <w:rPr>
                <w:rStyle w:val="Bodytext1811pt"/>
                <w:rFonts w:ascii="Sylfaen" w:hAnsi="Sylfaen"/>
                <w:sz w:val="24"/>
                <w:szCs w:val="24"/>
              </w:rPr>
              <w:t xml:space="preserve"> դրա հսկողության նկարագրությունը՝</w:t>
            </w:r>
          </w:p>
          <w:p w14:paraId="06E335F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բուսական հումք (անհրաժեշտ է ներկայացնել բույսերի արտադրությունն ու հավաքումը պատշաճ կերպով նկարագրող տեղեկություններ), ներառյալ՝ դեղաբույսի աշխարհագրական ծագումը</w:t>
            </w:r>
          </w:p>
          <w:p w14:paraId="559A36D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աճեցման, հավաքման, չորացման </w:t>
            </w:r>
            <w:r w:rsidR="00C54D75">
              <w:rPr>
                <w:rStyle w:val="Bodytext1811pt"/>
                <w:rFonts w:ascii="Sylfaen" w:hAnsi="Sylfaen"/>
                <w:sz w:val="24"/>
                <w:szCs w:val="24"/>
              </w:rPr>
              <w:t>և</w:t>
            </w:r>
            <w:r w:rsidRPr="00BD7577">
              <w:rPr>
                <w:rStyle w:val="Bodytext1811pt"/>
                <w:rFonts w:ascii="Sylfaen" w:hAnsi="Sylfaen"/>
                <w:sz w:val="24"/>
                <w:szCs w:val="24"/>
              </w:rPr>
              <w:t xml:space="preserve"> պահպանման պայմանները, սերիայի չափը</w:t>
            </w:r>
          </w:p>
        </w:tc>
        <w:tc>
          <w:tcPr>
            <w:tcW w:w="1608" w:type="dxa"/>
            <w:shd w:val="clear" w:color="auto" w:fill="FFFFFF"/>
          </w:tcPr>
          <w:p w14:paraId="1836EED0"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բլոկ-սխեման</w:t>
            </w:r>
          </w:p>
        </w:tc>
        <w:tc>
          <w:tcPr>
            <w:tcW w:w="1435" w:type="dxa"/>
            <w:shd w:val="clear" w:color="auto" w:fill="FFFFFF"/>
          </w:tcPr>
          <w:p w14:paraId="0E745C1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մանրամասն տեղեկությունները</w:t>
            </w:r>
          </w:p>
        </w:tc>
      </w:tr>
      <w:tr w:rsidR="008C76E0" w:rsidRPr="00BD7577" w14:paraId="1C6A2C4D" w14:textId="77777777" w:rsidTr="008C76E0">
        <w:trPr>
          <w:gridAfter w:val="1"/>
          <w:wAfter w:w="7" w:type="dxa"/>
          <w:jc w:val="center"/>
        </w:trPr>
        <w:tc>
          <w:tcPr>
            <w:tcW w:w="1424" w:type="dxa"/>
            <w:shd w:val="clear" w:color="auto" w:fill="FFFFFF"/>
          </w:tcPr>
          <w:p w14:paraId="34449573" w14:textId="77777777" w:rsidR="008C76E0" w:rsidRPr="00BD7577" w:rsidRDefault="008C76E0" w:rsidP="008C76E0">
            <w:pPr>
              <w:spacing w:after="120" w:line="240" w:lineRule="auto"/>
              <w:ind w:left="83" w:right="-1"/>
              <w:jc w:val="both"/>
              <w:rPr>
                <w:rFonts w:ascii="Sylfaen" w:hAnsi="Sylfaen"/>
                <w:sz w:val="24"/>
                <w:szCs w:val="24"/>
              </w:rPr>
            </w:pPr>
          </w:p>
        </w:tc>
        <w:tc>
          <w:tcPr>
            <w:tcW w:w="5459" w:type="dxa"/>
            <w:gridSpan w:val="2"/>
            <w:shd w:val="clear" w:color="auto" w:fill="FFFFFF"/>
          </w:tcPr>
          <w:p w14:paraId="462627DB"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 xml:space="preserve">բուսական դեղագործական բաղադրամասեր (անհրաժեշտ է ներկայացնել բուսական </w:t>
            </w:r>
            <w:r w:rsidRPr="00BD7577">
              <w:rPr>
                <w:rStyle w:val="Bodytext1811pt"/>
                <w:rFonts w:ascii="Sylfaen" w:hAnsi="Sylfaen"/>
                <w:sz w:val="24"/>
                <w:szCs w:val="24"/>
              </w:rPr>
              <w:lastRenderedPageBreak/>
              <w:t>դեղագործական բաղադրամասի արտադրության գործընթացը պատշաճ կերպով նկարագրել թույլ տվող տեղեկություններ), ներառյալ՝</w:t>
            </w:r>
          </w:p>
          <w:p w14:paraId="40D3D68C"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մշակման նկարագրությունը (այդ թվում՝ բլոկ-սխեման)</w:t>
            </w:r>
          </w:p>
          <w:p w14:paraId="19DA9878"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լուծիչները, ռեակտիվները</w:t>
            </w:r>
          </w:p>
          <w:p w14:paraId="721804BD"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մաքրման փուլերը</w:t>
            </w:r>
          </w:p>
          <w:p w14:paraId="1E7ABC00" w14:textId="77777777" w:rsidR="008C76E0" w:rsidRPr="008C76E0" w:rsidRDefault="008C76E0" w:rsidP="008C76E0">
            <w:pPr>
              <w:pStyle w:val="Bodytext180"/>
              <w:shd w:val="clear" w:color="auto" w:fill="auto"/>
              <w:spacing w:before="0" w:after="120" w:line="240" w:lineRule="auto"/>
              <w:ind w:left="77" w:right="-1" w:firstLine="0"/>
              <w:rPr>
                <w:rFonts w:ascii="Sylfaen" w:hAnsi="Sylfaen"/>
                <w:b w:val="0"/>
                <w:sz w:val="24"/>
                <w:szCs w:val="24"/>
                <w:lang w:val="hy-AM"/>
              </w:rPr>
            </w:pPr>
            <w:r w:rsidRPr="00BD7577">
              <w:rPr>
                <w:rStyle w:val="Bodytext1811pt"/>
                <w:rFonts w:ascii="Sylfaen" w:hAnsi="Sylfaen"/>
                <w:sz w:val="24"/>
                <w:szCs w:val="24"/>
              </w:rPr>
              <w:t>սերիայի չափի ստանդարտացումը</w:t>
            </w:r>
          </w:p>
        </w:tc>
        <w:tc>
          <w:tcPr>
            <w:tcW w:w="1608" w:type="dxa"/>
            <w:shd w:val="clear" w:color="auto" w:fill="FFFFFF"/>
          </w:tcPr>
          <w:p w14:paraId="658B10DB" w14:textId="77777777" w:rsidR="008C76E0" w:rsidRPr="00BD7577" w:rsidRDefault="008C76E0" w:rsidP="008C76E0">
            <w:pPr>
              <w:spacing w:after="120" w:line="240" w:lineRule="auto"/>
              <w:ind w:right="-1"/>
              <w:jc w:val="center"/>
              <w:rPr>
                <w:rFonts w:ascii="Sylfaen" w:hAnsi="Sylfaen"/>
                <w:sz w:val="24"/>
                <w:szCs w:val="24"/>
              </w:rPr>
            </w:pPr>
          </w:p>
        </w:tc>
        <w:tc>
          <w:tcPr>
            <w:tcW w:w="1435" w:type="dxa"/>
            <w:shd w:val="clear" w:color="auto" w:fill="FFFFFF"/>
          </w:tcPr>
          <w:p w14:paraId="23129EFE"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0627E92" w14:textId="77777777" w:rsidTr="008C76E0">
        <w:trPr>
          <w:gridAfter w:val="1"/>
          <w:wAfter w:w="7" w:type="dxa"/>
          <w:jc w:val="center"/>
        </w:trPr>
        <w:tc>
          <w:tcPr>
            <w:tcW w:w="1424" w:type="dxa"/>
            <w:shd w:val="clear" w:color="auto" w:fill="FFFFFF"/>
            <w:vAlign w:val="bottom"/>
          </w:tcPr>
          <w:p w14:paraId="30323807"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3.2.C.2.3</w:t>
            </w:r>
          </w:p>
        </w:tc>
        <w:tc>
          <w:tcPr>
            <w:tcW w:w="5459" w:type="dxa"/>
            <w:gridSpan w:val="2"/>
            <w:shd w:val="clear" w:color="auto" w:fill="FFFFFF"/>
            <w:vAlign w:val="bottom"/>
          </w:tcPr>
          <w:p w14:paraId="119C24E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Նյութերի հսկողությունը</w:t>
            </w:r>
          </w:p>
        </w:tc>
        <w:tc>
          <w:tcPr>
            <w:tcW w:w="1608" w:type="dxa"/>
            <w:shd w:val="clear" w:color="auto" w:fill="FFFFFF"/>
          </w:tcPr>
          <w:p w14:paraId="2E40B33F" w14:textId="77777777" w:rsidR="008C76E0" w:rsidRPr="00BD7577" w:rsidRDefault="008C76E0" w:rsidP="008C76E0">
            <w:pPr>
              <w:spacing w:after="120" w:line="240" w:lineRule="auto"/>
              <w:ind w:right="-1"/>
              <w:jc w:val="center"/>
              <w:rPr>
                <w:rFonts w:ascii="Sylfaen" w:hAnsi="Sylfaen"/>
                <w:sz w:val="24"/>
                <w:szCs w:val="24"/>
              </w:rPr>
            </w:pPr>
          </w:p>
        </w:tc>
        <w:tc>
          <w:tcPr>
            <w:tcW w:w="1435" w:type="dxa"/>
            <w:shd w:val="clear" w:color="auto" w:fill="FFFFFF"/>
            <w:vAlign w:val="bottom"/>
          </w:tcPr>
          <w:p w14:paraId="03293EF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7D25AB0B" w14:textId="77777777" w:rsidTr="008C76E0">
        <w:trPr>
          <w:gridAfter w:val="1"/>
          <w:wAfter w:w="7" w:type="dxa"/>
          <w:jc w:val="center"/>
        </w:trPr>
        <w:tc>
          <w:tcPr>
            <w:tcW w:w="1424" w:type="dxa"/>
            <w:shd w:val="clear" w:color="auto" w:fill="FFFFFF"/>
          </w:tcPr>
          <w:p w14:paraId="3D9EA140"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3.2.C.2.4</w:t>
            </w:r>
          </w:p>
        </w:tc>
        <w:tc>
          <w:tcPr>
            <w:tcW w:w="5459" w:type="dxa"/>
            <w:gridSpan w:val="2"/>
            <w:shd w:val="clear" w:color="auto" w:fill="FFFFFF"/>
          </w:tcPr>
          <w:p w14:paraId="099CE88C"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Կրիտիկական փուլերի </w:t>
            </w:r>
            <w:r w:rsidR="00C54D75">
              <w:rPr>
                <w:rStyle w:val="Bodytext1811pt"/>
                <w:rFonts w:ascii="Sylfaen" w:hAnsi="Sylfaen"/>
                <w:sz w:val="24"/>
                <w:szCs w:val="24"/>
              </w:rPr>
              <w:t>և</w:t>
            </w:r>
            <w:r w:rsidRPr="00BD7577">
              <w:rPr>
                <w:rStyle w:val="Bodytext1811pt"/>
                <w:rFonts w:ascii="Sylfaen" w:hAnsi="Sylfaen"/>
                <w:sz w:val="24"/>
                <w:szCs w:val="24"/>
              </w:rPr>
              <w:t xml:space="preserve"> միջանկյալ արտադրանքների հսկողությունը</w:t>
            </w:r>
          </w:p>
        </w:tc>
        <w:tc>
          <w:tcPr>
            <w:tcW w:w="1608" w:type="dxa"/>
            <w:shd w:val="clear" w:color="auto" w:fill="FFFFFF"/>
            <w:vAlign w:val="bottom"/>
          </w:tcPr>
          <w:p w14:paraId="6392039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եթե այն էական է նա</w:t>
            </w:r>
            <w:r w:rsidR="00C54D75">
              <w:rPr>
                <w:rStyle w:val="Bodytext1811pt"/>
                <w:rFonts w:ascii="Sylfaen" w:hAnsi="Sylfaen"/>
                <w:sz w:val="24"/>
                <w:szCs w:val="24"/>
              </w:rPr>
              <w:t>և</w:t>
            </w:r>
            <w:r w:rsidRPr="00BD7577">
              <w:rPr>
                <w:rStyle w:val="Bodytext1811pt"/>
                <w:rFonts w:ascii="Sylfaen" w:hAnsi="Sylfaen"/>
                <w:sz w:val="24"/>
                <w:szCs w:val="24"/>
              </w:rPr>
              <w:t xml:space="preserve"> ԳՀ-ի իրավատիրոջ (հայտատուի) համար</w:t>
            </w:r>
          </w:p>
        </w:tc>
        <w:tc>
          <w:tcPr>
            <w:tcW w:w="1435" w:type="dxa"/>
            <w:shd w:val="clear" w:color="auto" w:fill="FFFFFF"/>
          </w:tcPr>
          <w:p w14:paraId="73A0DC05"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77527ADD" w14:textId="77777777" w:rsidTr="008C76E0">
        <w:trPr>
          <w:gridAfter w:val="1"/>
          <w:wAfter w:w="7" w:type="dxa"/>
          <w:jc w:val="center"/>
        </w:trPr>
        <w:tc>
          <w:tcPr>
            <w:tcW w:w="1424" w:type="dxa"/>
            <w:shd w:val="clear" w:color="auto" w:fill="FFFFFF"/>
          </w:tcPr>
          <w:p w14:paraId="291FAF52"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3.2.C.2.5</w:t>
            </w:r>
          </w:p>
        </w:tc>
        <w:tc>
          <w:tcPr>
            <w:tcW w:w="5459" w:type="dxa"/>
            <w:gridSpan w:val="2"/>
            <w:shd w:val="clear" w:color="auto" w:fill="FFFFFF"/>
          </w:tcPr>
          <w:p w14:paraId="3F95AD0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Գործընթացի վալիդացումը </w:t>
            </w:r>
            <w:r w:rsidR="00C54D75">
              <w:rPr>
                <w:rStyle w:val="Bodytext1811pt"/>
                <w:rFonts w:ascii="Sylfaen" w:hAnsi="Sylfaen"/>
                <w:sz w:val="24"/>
                <w:szCs w:val="24"/>
              </w:rPr>
              <w:t>և</w:t>
            </w:r>
            <w:r w:rsidRPr="00BD7577">
              <w:rPr>
                <w:rStyle w:val="Bodytext1811pt"/>
                <w:rFonts w:ascii="Sylfaen" w:hAnsi="Sylfaen"/>
                <w:sz w:val="24"/>
                <w:szCs w:val="24"/>
              </w:rPr>
              <w:t xml:space="preserve"> (կամ) վերլուծությունը</w:t>
            </w:r>
          </w:p>
        </w:tc>
        <w:tc>
          <w:tcPr>
            <w:tcW w:w="1608" w:type="dxa"/>
            <w:shd w:val="clear" w:color="auto" w:fill="FFFFFF"/>
          </w:tcPr>
          <w:p w14:paraId="6C1C20B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0E1FDC4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56819C97" w14:textId="77777777" w:rsidTr="008C76E0">
        <w:trPr>
          <w:gridAfter w:val="1"/>
          <w:wAfter w:w="7" w:type="dxa"/>
          <w:jc w:val="center"/>
        </w:trPr>
        <w:tc>
          <w:tcPr>
            <w:tcW w:w="1424" w:type="dxa"/>
            <w:shd w:val="clear" w:color="auto" w:fill="FFFFFF"/>
          </w:tcPr>
          <w:p w14:paraId="32405FC8"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3.2.C.2.6</w:t>
            </w:r>
          </w:p>
        </w:tc>
        <w:tc>
          <w:tcPr>
            <w:tcW w:w="5459" w:type="dxa"/>
            <w:gridSpan w:val="2"/>
            <w:shd w:val="clear" w:color="auto" w:fill="FFFFFF"/>
            <w:vAlign w:val="bottom"/>
          </w:tcPr>
          <w:p w14:paraId="6AA739EB"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Արտադրական գործընթացի մշակումը՝ անհրաժեշտ է ներկայացնել բուսական հումքի </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դեղագործական բաղադրամասերի մշակման վերաբերյալ համառոտ ռեզյումե (եթե կիրառելի է)՝ հաշվի առնելով ներմուծման </w:t>
            </w:r>
            <w:r w:rsidR="00C54D75">
              <w:rPr>
                <w:rStyle w:val="Bodytext1811pt"/>
                <w:rFonts w:ascii="Sylfaen" w:hAnsi="Sylfaen"/>
                <w:sz w:val="24"/>
                <w:szCs w:val="24"/>
              </w:rPr>
              <w:t>և</w:t>
            </w:r>
            <w:r w:rsidRPr="00BD7577">
              <w:rPr>
                <w:rStyle w:val="Bodytext1811pt"/>
                <w:rFonts w:ascii="Sylfaen" w:hAnsi="Sylfaen"/>
                <w:sz w:val="24"/>
                <w:szCs w:val="24"/>
              </w:rPr>
              <w:t xml:space="preserve"> կիրառման առաջարկվող եղանակը</w:t>
            </w:r>
          </w:p>
          <w:p w14:paraId="2C65EA67"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անհրաժեշտ է վերլուծել օգտագործված բուսական հումքի </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դեղագործական բաղադրամասերի բուսաքիմիական կազմության համեմատման արդյունքները՝ հաշվի առնելով մատենագիտական տվյալները </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հումքի </w:t>
            </w:r>
            <w:r w:rsidR="00C54D75">
              <w:rPr>
                <w:rStyle w:val="Bodytext1811pt"/>
                <w:rFonts w:ascii="Sylfaen" w:hAnsi="Sylfaen"/>
                <w:sz w:val="24"/>
                <w:szCs w:val="24"/>
              </w:rPr>
              <w:t>և</w:t>
            </w:r>
            <w:r w:rsidRPr="00BD7577">
              <w:rPr>
                <w:rStyle w:val="Bodytext1811pt"/>
                <w:rFonts w:ascii="Sylfaen" w:hAnsi="Sylfaen"/>
                <w:sz w:val="24"/>
                <w:szCs w:val="24"/>
              </w:rPr>
              <w:t xml:space="preserve"> բուսական դեղագործական բաղադրամասերի՝ С.1 բաժնում ներկայացված նկարագրությունները</w:t>
            </w:r>
          </w:p>
        </w:tc>
        <w:tc>
          <w:tcPr>
            <w:tcW w:w="1608" w:type="dxa"/>
            <w:shd w:val="clear" w:color="auto" w:fill="FFFFFF"/>
          </w:tcPr>
          <w:p w14:paraId="5CDE38D3" w14:textId="77777777" w:rsidR="008C76E0" w:rsidRPr="00BD7577" w:rsidRDefault="008C76E0" w:rsidP="008C76E0">
            <w:pPr>
              <w:spacing w:after="120" w:line="240" w:lineRule="auto"/>
              <w:ind w:right="-1"/>
              <w:jc w:val="center"/>
              <w:rPr>
                <w:rFonts w:ascii="Sylfaen" w:hAnsi="Sylfaen"/>
                <w:sz w:val="24"/>
                <w:szCs w:val="24"/>
              </w:rPr>
            </w:pPr>
          </w:p>
        </w:tc>
        <w:tc>
          <w:tcPr>
            <w:tcW w:w="1435" w:type="dxa"/>
            <w:shd w:val="clear" w:color="auto" w:fill="FFFFFF"/>
          </w:tcPr>
          <w:p w14:paraId="5436D47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23558CD0" w14:textId="77777777" w:rsidTr="008C76E0">
        <w:trPr>
          <w:gridAfter w:val="1"/>
          <w:wAfter w:w="7" w:type="dxa"/>
          <w:jc w:val="center"/>
        </w:trPr>
        <w:tc>
          <w:tcPr>
            <w:tcW w:w="1424" w:type="dxa"/>
            <w:shd w:val="clear" w:color="auto" w:fill="FFFFFF"/>
          </w:tcPr>
          <w:p w14:paraId="45613202"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3.2.C.3</w:t>
            </w:r>
          </w:p>
        </w:tc>
        <w:tc>
          <w:tcPr>
            <w:tcW w:w="5459" w:type="dxa"/>
            <w:gridSpan w:val="2"/>
            <w:shd w:val="clear" w:color="auto" w:fill="FFFFFF"/>
          </w:tcPr>
          <w:p w14:paraId="3CC858CF"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Հատկությունների նկարագրությունը</w:t>
            </w:r>
          </w:p>
        </w:tc>
        <w:tc>
          <w:tcPr>
            <w:tcW w:w="1608" w:type="dxa"/>
            <w:shd w:val="clear" w:color="auto" w:fill="FFFFFF"/>
          </w:tcPr>
          <w:p w14:paraId="6D03CE1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46075BB2"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0F83A4BA" w14:textId="77777777" w:rsidTr="008C76E0">
        <w:trPr>
          <w:gridAfter w:val="1"/>
          <w:wAfter w:w="7" w:type="dxa"/>
          <w:jc w:val="center"/>
        </w:trPr>
        <w:tc>
          <w:tcPr>
            <w:tcW w:w="1424" w:type="dxa"/>
            <w:shd w:val="clear" w:color="auto" w:fill="FFFFFF"/>
          </w:tcPr>
          <w:p w14:paraId="2407D68A"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3.2.C.3.1</w:t>
            </w:r>
          </w:p>
        </w:tc>
        <w:tc>
          <w:tcPr>
            <w:tcW w:w="5459" w:type="dxa"/>
            <w:gridSpan w:val="2"/>
            <w:shd w:val="clear" w:color="auto" w:fill="FFFFFF"/>
            <w:vAlign w:val="bottom"/>
          </w:tcPr>
          <w:p w14:paraId="5BBE30D7"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Կառուցվածքի </w:t>
            </w:r>
            <w:r w:rsidR="00C54D75">
              <w:rPr>
                <w:rStyle w:val="Bodytext1811pt"/>
                <w:rFonts w:ascii="Sylfaen" w:hAnsi="Sylfaen"/>
                <w:sz w:val="24"/>
                <w:szCs w:val="24"/>
              </w:rPr>
              <w:t>և</w:t>
            </w:r>
            <w:r w:rsidRPr="00BD7577">
              <w:rPr>
                <w:rStyle w:val="Bodytext1811pt"/>
                <w:rFonts w:ascii="Sylfaen" w:hAnsi="Sylfaen"/>
                <w:sz w:val="24"/>
                <w:szCs w:val="24"/>
              </w:rPr>
              <w:t xml:space="preserve"> այլ հատկությունների նկարագրությունը</w:t>
            </w:r>
          </w:p>
          <w:p w14:paraId="2A64979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բուսական հումքը (անհրաժեշտ է ներկայացնել տեղեկություններ՝ բուսաբանական, մակրոսկոպիկ, միկրոսկոպիկ, բուսաքիմիական հատկությունների </w:t>
            </w:r>
            <w:r w:rsidR="00C54D75">
              <w:rPr>
                <w:rStyle w:val="Bodytext1811pt"/>
                <w:rFonts w:ascii="Sylfaen" w:hAnsi="Sylfaen"/>
                <w:sz w:val="24"/>
                <w:szCs w:val="24"/>
              </w:rPr>
              <w:t>և</w:t>
            </w:r>
            <w:r w:rsidRPr="00BD7577">
              <w:rPr>
                <w:rStyle w:val="Bodytext1811pt"/>
                <w:rFonts w:ascii="Sylfaen" w:hAnsi="Sylfaen"/>
                <w:sz w:val="24"/>
                <w:szCs w:val="24"/>
              </w:rPr>
              <w:t xml:space="preserve"> կենսաբանական </w:t>
            </w:r>
            <w:r w:rsidRPr="00BD7577">
              <w:rPr>
                <w:rStyle w:val="Bodytext1811pt"/>
                <w:rFonts w:ascii="Sylfaen" w:hAnsi="Sylfaen"/>
                <w:sz w:val="24"/>
                <w:szCs w:val="24"/>
              </w:rPr>
              <w:lastRenderedPageBreak/>
              <w:t>հատկությունների վերաբերյալ (եթե պահանջվում է))</w:t>
            </w:r>
          </w:p>
          <w:p w14:paraId="7018AD35"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բուսական դեղագործական բաղադրամասերը (անհրաժեշտ է ներկայացնել տեղեկություններ՝ բուսաքիմիական </w:t>
            </w:r>
            <w:r w:rsidR="00C54D75">
              <w:rPr>
                <w:rStyle w:val="Bodytext1811pt"/>
                <w:rFonts w:ascii="Sylfaen" w:hAnsi="Sylfaen"/>
                <w:sz w:val="24"/>
                <w:szCs w:val="24"/>
              </w:rPr>
              <w:t>և</w:t>
            </w:r>
            <w:r w:rsidRPr="00BD7577">
              <w:rPr>
                <w:rStyle w:val="Bodytext1811pt"/>
                <w:rFonts w:ascii="Sylfaen" w:hAnsi="Sylfaen"/>
                <w:sz w:val="24"/>
                <w:szCs w:val="24"/>
              </w:rPr>
              <w:t xml:space="preserve"> ֆիզիկաքիմիական հատկությունների </w:t>
            </w:r>
            <w:r w:rsidR="00C54D75">
              <w:rPr>
                <w:rStyle w:val="Bodytext1811pt"/>
                <w:rFonts w:ascii="Sylfaen" w:hAnsi="Sylfaen"/>
                <w:sz w:val="24"/>
                <w:szCs w:val="24"/>
              </w:rPr>
              <w:t>և</w:t>
            </w:r>
            <w:r w:rsidRPr="00BD7577">
              <w:rPr>
                <w:rStyle w:val="Bodytext1811pt"/>
                <w:rFonts w:ascii="Sylfaen" w:hAnsi="Sylfaen"/>
                <w:sz w:val="24"/>
                <w:szCs w:val="24"/>
              </w:rPr>
              <w:t xml:space="preserve"> կենսաբանական ակտիվության վերաբերյալ (եթե պահանջվում է))</w:t>
            </w:r>
          </w:p>
        </w:tc>
        <w:tc>
          <w:tcPr>
            <w:tcW w:w="1608" w:type="dxa"/>
            <w:shd w:val="clear" w:color="auto" w:fill="FFFFFF"/>
          </w:tcPr>
          <w:p w14:paraId="7DB9C84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lastRenderedPageBreak/>
              <w:t>x</w:t>
            </w:r>
          </w:p>
        </w:tc>
        <w:tc>
          <w:tcPr>
            <w:tcW w:w="1435" w:type="dxa"/>
            <w:shd w:val="clear" w:color="auto" w:fill="FFFFFF"/>
          </w:tcPr>
          <w:p w14:paraId="5B456013"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34F11073" w14:textId="77777777" w:rsidTr="008C76E0">
        <w:trPr>
          <w:gridAfter w:val="1"/>
          <w:wAfter w:w="7" w:type="dxa"/>
          <w:jc w:val="center"/>
        </w:trPr>
        <w:tc>
          <w:tcPr>
            <w:tcW w:w="1424" w:type="dxa"/>
            <w:shd w:val="clear" w:color="auto" w:fill="FFFFFF"/>
            <w:vAlign w:val="bottom"/>
          </w:tcPr>
          <w:p w14:paraId="485335A8"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3.2.C.3.2</w:t>
            </w:r>
          </w:p>
        </w:tc>
        <w:tc>
          <w:tcPr>
            <w:tcW w:w="5459" w:type="dxa"/>
            <w:gridSpan w:val="2"/>
            <w:shd w:val="clear" w:color="auto" w:fill="FFFFFF"/>
            <w:vAlign w:val="bottom"/>
          </w:tcPr>
          <w:p w14:paraId="3B3E4FD0"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Խառնուկները</w:t>
            </w:r>
          </w:p>
        </w:tc>
        <w:tc>
          <w:tcPr>
            <w:tcW w:w="1608" w:type="dxa"/>
            <w:shd w:val="clear" w:color="auto" w:fill="FFFFFF"/>
            <w:vAlign w:val="bottom"/>
          </w:tcPr>
          <w:p w14:paraId="6088B9F9"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35" w:type="dxa"/>
            <w:shd w:val="clear" w:color="auto" w:fill="FFFFFF"/>
          </w:tcPr>
          <w:p w14:paraId="7853765F"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5E19F4FA" w14:textId="77777777" w:rsidTr="008C76E0">
        <w:trPr>
          <w:jc w:val="center"/>
        </w:trPr>
        <w:tc>
          <w:tcPr>
            <w:tcW w:w="1424" w:type="dxa"/>
            <w:shd w:val="clear" w:color="auto" w:fill="FFFFFF"/>
          </w:tcPr>
          <w:p w14:paraId="1F10E206"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w:t>
            </w:r>
          </w:p>
        </w:tc>
        <w:tc>
          <w:tcPr>
            <w:tcW w:w="5459" w:type="dxa"/>
            <w:gridSpan w:val="2"/>
            <w:shd w:val="clear" w:color="auto" w:fill="FFFFFF"/>
          </w:tcPr>
          <w:p w14:paraId="65BBB647"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Դեղագործական բաղադրամասի որակի հսկողությունը</w:t>
            </w:r>
          </w:p>
        </w:tc>
        <w:tc>
          <w:tcPr>
            <w:tcW w:w="1608" w:type="dxa"/>
            <w:shd w:val="clear" w:color="auto" w:fill="FFFFFF"/>
          </w:tcPr>
          <w:p w14:paraId="6D4CA12D"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2FD01DF4"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AC7EC01" w14:textId="77777777" w:rsidTr="008C76E0">
        <w:trPr>
          <w:jc w:val="center"/>
        </w:trPr>
        <w:tc>
          <w:tcPr>
            <w:tcW w:w="1424" w:type="dxa"/>
            <w:shd w:val="clear" w:color="auto" w:fill="FFFFFF"/>
            <w:vAlign w:val="center"/>
          </w:tcPr>
          <w:p w14:paraId="24D804C5"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3.2.C.4.1</w:t>
            </w:r>
          </w:p>
        </w:tc>
        <w:tc>
          <w:tcPr>
            <w:tcW w:w="5459" w:type="dxa"/>
            <w:gridSpan w:val="2"/>
            <w:shd w:val="clear" w:color="auto" w:fill="FFFFFF"/>
            <w:vAlign w:val="center"/>
          </w:tcPr>
          <w:p w14:paraId="0E3BCD44"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Մասնագիրը</w:t>
            </w:r>
          </w:p>
        </w:tc>
        <w:tc>
          <w:tcPr>
            <w:tcW w:w="1608" w:type="dxa"/>
            <w:shd w:val="clear" w:color="auto" w:fill="FFFFFF"/>
            <w:vAlign w:val="center"/>
          </w:tcPr>
          <w:p w14:paraId="273E590F"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1DEB6680"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28BD2DB0" w14:textId="77777777" w:rsidTr="008C76E0">
        <w:trPr>
          <w:jc w:val="center"/>
        </w:trPr>
        <w:tc>
          <w:tcPr>
            <w:tcW w:w="1424" w:type="dxa"/>
            <w:shd w:val="clear" w:color="auto" w:fill="FFFFFF"/>
            <w:vAlign w:val="center"/>
          </w:tcPr>
          <w:p w14:paraId="12B5C259"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3.2.C.4.2</w:t>
            </w:r>
          </w:p>
        </w:tc>
        <w:tc>
          <w:tcPr>
            <w:tcW w:w="5459" w:type="dxa"/>
            <w:gridSpan w:val="2"/>
            <w:shd w:val="clear" w:color="auto" w:fill="FFFFFF"/>
            <w:vAlign w:val="center"/>
          </w:tcPr>
          <w:p w14:paraId="61ED9E08"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Վերլուծական մեթոդիկաները</w:t>
            </w:r>
          </w:p>
        </w:tc>
        <w:tc>
          <w:tcPr>
            <w:tcW w:w="1608" w:type="dxa"/>
            <w:shd w:val="clear" w:color="auto" w:fill="FFFFFF"/>
            <w:vAlign w:val="center"/>
          </w:tcPr>
          <w:p w14:paraId="73D4809B"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3A56A322"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554742B9" w14:textId="77777777" w:rsidTr="008C76E0">
        <w:trPr>
          <w:jc w:val="center"/>
        </w:trPr>
        <w:tc>
          <w:tcPr>
            <w:tcW w:w="1424" w:type="dxa"/>
            <w:shd w:val="clear" w:color="auto" w:fill="FFFFFF"/>
            <w:vAlign w:val="center"/>
          </w:tcPr>
          <w:p w14:paraId="7C8E86B6"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3.2.C.4.3</w:t>
            </w:r>
          </w:p>
        </w:tc>
        <w:tc>
          <w:tcPr>
            <w:tcW w:w="5459" w:type="dxa"/>
            <w:gridSpan w:val="2"/>
            <w:shd w:val="clear" w:color="auto" w:fill="FFFFFF"/>
            <w:vAlign w:val="center"/>
          </w:tcPr>
          <w:p w14:paraId="02D2E2CA"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Վերլուծական մեթոդիկաների վալիդացումը</w:t>
            </w:r>
          </w:p>
        </w:tc>
        <w:tc>
          <w:tcPr>
            <w:tcW w:w="1608" w:type="dxa"/>
            <w:shd w:val="clear" w:color="auto" w:fill="FFFFFF"/>
            <w:vAlign w:val="center"/>
          </w:tcPr>
          <w:p w14:paraId="6F531DC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62AB00B6"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328BBB69" w14:textId="77777777" w:rsidTr="008C76E0">
        <w:trPr>
          <w:jc w:val="center"/>
        </w:trPr>
        <w:tc>
          <w:tcPr>
            <w:tcW w:w="1424" w:type="dxa"/>
            <w:shd w:val="clear" w:color="auto" w:fill="FFFFFF"/>
            <w:vAlign w:val="bottom"/>
          </w:tcPr>
          <w:p w14:paraId="29D78FAC"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3.2.C.4.4</w:t>
            </w:r>
          </w:p>
        </w:tc>
        <w:tc>
          <w:tcPr>
            <w:tcW w:w="5459" w:type="dxa"/>
            <w:gridSpan w:val="2"/>
            <w:shd w:val="clear" w:color="auto" w:fill="FFFFFF"/>
            <w:vAlign w:val="bottom"/>
          </w:tcPr>
          <w:p w14:paraId="4DAF7281"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Սերիաների անալիզը</w:t>
            </w:r>
          </w:p>
        </w:tc>
        <w:tc>
          <w:tcPr>
            <w:tcW w:w="1608" w:type="dxa"/>
            <w:shd w:val="clear" w:color="auto" w:fill="FFFFFF"/>
            <w:vAlign w:val="bottom"/>
          </w:tcPr>
          <w:p w14:paraId="5EC8A178"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51E753EE"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03AE482E" w14:textId="77777777" w:rsidTr="008C76E0">
        <w:trPr>
          <w:jc w:val="center"/>
        </w:trPr>
        <w:tc>
          <w:tcPr>
            <w:tcW w:w="1424" w:type="dxa"/>
            <w:shd w:val="clear" w:color="auto" w:fill="FFFFFF"/>
            <w:vAlign w:val="center"/>
          </w:tcPr>
          <w:p w14:paraId="35A17ED7"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3.2.C.4.5</w:t>
            </w:r>
          </w:p>
        </w:tc>
        <w:tc>
          <w:tcPr>
            <w:tcW w:w="5459" w:type="dxa"/>
            <w:gridSpan w:val="2"/>
            <w:shd w:val="clear" w:color="auto" w:fill="FFFFFF"/>
            <w:vAlign w:val="center"/>
          </w:tcPr>
          <w:p w14:paraId="0F8BD3D4"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Մասնագրի հիմնավորումը</w:t>
            </w:r>
          </w:p>
        </w:tc>
        <w:tc>
          <w:tcPr>
            <w:tcW w:w="1608" w:type="dxa"/>
            <w:shd w:val="clear" w:color="auto" w:fill="FFFFFF"/>
            <w:vAlign w:val="center"/>
          </w:tcPr>
          <w:p w14:paraId="024A17B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vAlign w:val="center"/>
          </w:tcPr>
          <w:p w14:paraId="6F7C03E5"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r>
      <w:tr w:rsidR="008C76E0" w:rsidRPr="00BD7577" w14:paraId="4B40AB05" w14:textId="77777777" w:rsidTr="008C76E0">
        <w:trPr>
          <w:jc w:val="center"/>
        </w:trPr>
        <w:tc>
          <w:tcPr>
            <w:tcW w:w="1424" w:type="dxa"/>
            <w:shd w:val="clear" w:color="auto" w:fill="FFFFFF"/>
            <w:vAlign w:val="center"/>
          </w:tcPr>
          <w:p w14:paraId="5013CAFA"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3.2.C.5</w:t>
            </w:r>
          </w:p>
        </w:tc>
        <w:tc>
          <w:tcPr>
            <w:tcW w:w="5459" w:type="dxa"/>
            <w:gridSpan w:val="2"/>
            <w:shd w:val="clear" w:color="auto" w:fill="FFFFFF"/>
            <w:vAlign w:val="center"/>
          </w:tcPr>
          <w:p w14:paraId="225EB07D"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Ստանդարտ նմուշները </w:t>
            </w:r>
            <w:r w:rsidR="00C54D75">
              <w:rPr>
                <w:rStyle w:val="Bodytext1811pt"/>
                <w:rFonts w:ascii="Sylfaen" w:hAnsi="Sylfaen"/>
                <w:sz w:val="24"/>
                <w:szCs w:val="24"/>
              </w:rPr>
              <w:t>և</w:t>
            </w:r>
            <w:r w:rsidRPr="00BD7577">
              <w:rPr>
                <w:rStyle w:val="Bodytext1811pt"/>
                <w:rFonts w:ascii="Sylfaen" w:hAnsi="Sylfaen"/>
                <w:sz w:val="24"/>
                <w:szCs w:val="24"/>
              </w:rPr>
              <w:t xml:space="preserve"> նյութերը</w:t>
            </w:r>
          </w:p>
        </w:tc>
        <w:tc>
          <w:tcPr>
            <w:tcW w:w="1608" w:type="dxa"/>
            <w:shd w:val="clear" w:color="auto" w:fill="FFFFFF"/>
            <w:vAlign w:val="center"/>
          </w:tcPr>
          <w:p w14:paraId="25A572D2"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573299BC"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4392B093" w14:textId="77777777" w:rsidTr="008C76E0">
        <w:trPr>
          <w:jc w:val="center"/>
        </w:trPr>
        <w:tc>
          <w:tcPr>
            <w:tcW w:w="1424" w:type="dxa"/>
            <w:shd w:val="clear" w:color="auto" w:fill="FFFFFF"/>
            <w:vAlign w:val="center"/>
          </w:tcPr>
          <w:p w14:paraId="0AEDC3F9"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3.2.C.6</w:t>
            </w:r>
          </w:p>
        </w:tc>
        <w:tc>
          <w:tcPr>
            <w:tcW w:w="5459" w:type="dxa"/>
            <w:gridSpan w:val="2"/>
            <w:shd w:val="clear" w:color="auto" w:fill="FFFFFF"/>
            <w:vAlign w:val="center"/>
          </w:tcPr>
          <w:p w14:paraId="5E83E32C"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Փաթեթավորման-խցանափակման համակարգը</w:t>
            </w:r>
          </w:p>
        </w:tc>
        <w:tc>
          <w:tcPr>
            <w:tcW w:w="1608" w:type="dxa"/>
            <w:shd w:val="clear" w:color="auto" w:fill="FFFFFF"/>
            <w:vAlign w:val="center"/>
          </w:tcPr>
          <w:p w14:paraId="04AF064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49906580"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25B2DA7F" w14:textId="77777777" w:rsidTr="008C76E0">
        <w:trPr>
          <w:jc w:val="center"/>
        </w:trPr>
        <w:tc>
          <w:tcPr>
            <w:tcW w:w="1424" w:type="dxa"/>
            <w:shd w:val="clear" w:color="auto" w:fill="FFFFFF"/>
            <w:vAlign w:val="center"/>
          </w:tcPr>
          <w:p w14:paraId="6D8CBF68"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3.2.C.7</w:t>
            </w:r>
          </w:p>
        </w:tc>
        <w:tc>
          <w:tcPr>
            <w:tcW w:w="5459" w:type="dxa"/>
            <w:gridSpan w:val="2"/>
            <w:shd w:val="clear" w:color="auto" w:fill="FFFFFF"/>
            <w:vAlign w:val="center"/>
          </w:tcPr>
          <w:p w14:paraId="4B97E7F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Կայունությունը</w:t>
            </w:r>
          </w:p>
        </w:tc>
        <w:tc>
          <w:tcPr>
            <w:tcW w:w="1608" w:type="dxa"/>
            <w:shd w:val="clear" w:color="auto" w:fill="FFFFFF"/>
            <w:vAlign w:val="center"/>
          </w:tcPr>
          <w:p w14:paraId="1DAB2A94"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4A8D318D"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2BF4F68B" w14:textId="77777777" w:rsidTr="008C76E0">
        <w:trPr>
          <w:jc w:val="center"/>
        </w:trPr>
        <w:tc>
          <w:tcPr>
            <w:tcW w:w="1424" w:type="dxa"/>
            <w:shd w:val="clear" w:color="auto" w:fill="FFFFFF"/>
            <w:vAlign w:val="center"/>
          </w:tcPr>
          <w:p w14:paraId="5974FFAB"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3.2.C.7.1</w:t>
            </w:r>
          </w:p>
        </w:tc>
        <w:tc>
          <w:tcPr>
            <w:tcW w:w="5459" w:type="dxa"/>
            <w:gridSpan w:val="2"/>
            <w:shd w:val="clear" w:color="auto" w:fill="FFFFFF"/>
            <w:vAlign w:val="center"/>
          </w:tcPr>
          <w:p w14:paraId="78813289"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Կայունության վերաբերյալ ռեզյումեն </w:t>
            </w:r>
            <w:r w:rsidR="00C54D75">
              <w:rPr>
                <w:rStyle w:val="Bodytext1811pt"/>
                <w:rFonts w:ascii="Sylfaen" w:hAnsi="Sylfaen"/>
                <w:sz w:val="24"/>
                <w:szCs w:val="24"/>
              </w:rPr>
              <w:t>և</w:t>
            </w:r>
            <w:r w:rsidRPr="00BD7577">
              <w:rPr>
                <w:rStyle w:val="Bodytext1811pt"/>
                <w:rFonts w:ascii="Sylfaen" w:hAnsi="Sylfaen"/>
                <w:sz w:val="24"/>
                <w:szCs w:val="24"/>
              </w:rPr>
              <w:t xml:space="preserve"> եզրակացությունը</w:t>
            </w:r>
          </w:p>
        </w:tc>
        <w:tc>
          <w:tcPr>
            <w:tcW w:w="1608" w:type="dxa"/>
            <w:shd w:val="clear" w:color="auto" w:fill="FFFFFF"/>
            <w:vAlign w:val="center"/>
          </w:tcPr>
          <w:p w14:paraId="0F7CB5CC"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3E5708AF"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61DF915E" w14:textId="77777777" w:rsidTr="008C76E0">
        <w:trPr>
          <w:jc w:val="center"/>
        </w:trPr>
        <w:tc>
          <w:tcPr>
            <w:tcW w:w="1424" w:type="dxa"/>
            <w:shd w:val="clear" w:color="auto" w:fill="FFFFFF"/>
            <w:vAlign w:val="center"/>
          </w:tcPr>
          <w:p w14:paraId="6FA30B95"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3.2.C.7.2</w:t>
            </w:r>
          </w:p>
        </w:tc>
        <w:tc>
          <w:tcPr>
            <w:tcW w:w="5459" w:type="dxa"/>
            <w:gridSpan w:val="2"/>
            <w:shd w:val="clear" w:color="auto" w:fill="FFFFFF"/>
            <w:vAlign w:val="bottom"/>
          </w:tcPr>
          <w:p w14:paraId="5D005235"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 xml:space="preserve">Կայունության հետգրանցումային արձանագրությունը </w:t>
            </w:r>
            <w:r w:rsidR="00C54D75">
              <w:rPr>
                <w:rStyle w:val="Bodytext1811pt"/>
                <w:rFonts w:ascii="Sylfaen" w:hAnsi="Sylfaen"/>
                <w:sz w:val="24"/>
                <w:szCs w:val="24"/>
              </w:rPr>
              <w:t>և</w:t>
            </w:r>
            <w:r w:rsidRPr="00BD7577">
              <w:rPr>
                <w:rStyle w:val="Bodytext1811pt"/>
                <w:rFonts w:ascii="Sylfaen" w:hAnsi="Sylfaen"/>
                <w:sz w:val="24"/>
                <w:szCs w:val="24"/>
              </w:rPr>
              <w:t xml:space="preserve"> կայունության մասով պարտավորությունը</w:t>
            </w:r>
          </w:p>
        </w:tc>
        <w:tc>
          <w:tcPr>
            <w:tcW w:w="1608" w:type="dxa"/>
            <w:shd w:val="clear" w:color="auto" w:fill="FFFFFF"/>
            <w:vAlign w:val="center"/>
          </w:tcPr>
          <w:p w14:paraId="705E977D"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77E68740" w14:textId="77777777" w:rsidR="008C76E0" w:rsidRPr="00BD7577" w:rsidRDefault="008C76E0" w:rsidP="008C76E0">
            <w:pPr>
              <w:spacing w:after="120" w:line="240" w:lineRule="auto"/>
              <w:ind w:right="-1"/>
              <w:jc w:val="center"/>
              <w:rPr>
                <w:rFonts w:ascii="Sylfaen" w:hAnsi="Sylfaen"/>
                <w:sz w:val="24"/>
                <w:szCs w:val="24"/>
              </w:rPr>
            </w:pPr>
          </w:p>
        </w:tc>
      </w:tr>
      <w:tr w:rsidR="008C76E0" w:rsidRPr="00BD7577" w14:paraId="1F17CB19" w14:textId="77777777" w:rsidTr="008C76E0">
        <w:trPr>
          <w:jc w:val="center"/>
        </w:trPr>
        <w:tc>
          <w:tcPr>
            <w:tcW w:w="1424" w:type="dxa"/>
            <w:shd w:val="clear" w:color="auto" w:fill="FFFFFF"/>
            <w:vAlign w:val="bottom"/>
          </w:tcPr>
          <w:p w14:paraId="58D8AB5F" w14:textId="77777777" w:rsidR="008C76E0" w:rsidRPr="00BD7577" w:rsidRDefault="008C76E0" w:rsidP="008C76E0">
            <w:pPr>
              <w:pStyle w:val="Bodytext180"/>
              <w:shd w:val="clear" w:color="auto" w:fill="auto"/>
              <w:spacing w:before="0" w:after="120" w:line="240" w:lineRule="auto"/>
              <w:ind w:left="83" w:right="-1" w:firstLine="0"/>
              <w:jc w:val="both"/>
              <w:rPr>
                <w:rFonts w:ascii="Sylfaen" w:hAnsi="Sylfaen"/>
                <w:b w:val="0"/>
                <w:sz w:val="24"/>
                <w:szCs w:val="24"/>
              </w:rPr>
            </w:pPr>
            <w:r w:rsidRPr="00BD7577">
              <w:rPr>
                <w:rStyle w:val="Bodytext1811pt"/>
                <w:rFonts w:ascii="Sylfaen" w:hAnsi="Sylfaen"/>
                <w:sz w:val="24"/>
                <w:szCs w:val="24"/>
              </w:rPr>
              <w:t>3.2.C.7.3</w:t>
            </w:r>
          </w:p>
        </w:tc>
        <w:tc>
          <w:tcPr>
            <w:tcW w:w="5459" w:type="dxa"/>
            <w:gridSpan w:val="2"/>
            <w:shd w:val="clear" w:color="auto" w:fill="FFFFFF"/>
            <w:vAlign w:val="bottom"/>
          </w:tcPr>
          <w:p w14:paraId="0B334EC1" w14:textId="77777777" w:rsidR="008C76E0" w:rsidRPr="00BD7577" w:rsidRDefault="008C76E0" w:rsidP="008C76E0">
            <w:pPr>
              <w:pStyle w:val="Bodytext180"/>
              <w:shd w:val="clear" w:color="auto" w:fill="auto"/>
              <w:spacing w:before="0" w:after="120" w:line="240" w:lineRule="auto"/>
              <w:ind w:left="77" w:right="-1" w:firstLine="0"/>
              <w:rPr>
                <w:rFonts w:ascii="Sylfaen" w:hAnsi="Sylfaen"/>
                <w:b w:val="0"/>
                <w:sz w:val="24"/>
                <w:szCs w:val="24"/>
              </w:rPr>
            </w:pPr>
            <w:r w:rsidRPr="00BD7577">
              <w:rPr>
                <w:rStyle w:val="Bodytext1811pt"/>
                <w:rFonts w:ascii="Sylfaen" w:hAnsi="Sylfaen"/>
                <w:sz w:val="24"/>
                <w:szCs w:val="24"/>
              </w:rPr>
              <w:t>Կայունության վերաբերյալ տվյալները</w:t>
            </w:r>
          </w:p>
        </w:tc>
        <w:tc>
          <w:tcPr>
            <w:tcW w:w="1608" w:type="dxa"/>
            <w:shd w:val="clear" w:color="auto" w:fill="FFFFFF"/>
            <w:vAlign w:val="bottom"/>
          </w:tcPr>
          <w:p w14:paraId="4A610386" w14:textId="77777777" w:rsidR="008C76E0" w:rsidRPr="00BD7577"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BD7577">
              <w:rPr>
                <w:rStyle w:val="Bodytext1811pt"/>
                <w:rFonts w:ascii="Sylfaen" w:hAnsi="Sylfaen"/>
                <w:sz w:val="24"/>
                <w:szCs w:val="24"/>
              </w:rPr>
              <w:t>x</w:t>
            </w:r>
          </w:p>
        </w:tc>
        <w:tc>
          <w:tcPr>
            <w:tcW w:w="1442" w:type="dxa"/>
            <w:gridSpan w:val="2"/>
            <w:shd w:val="clear" w:color="auto" w:fill="FFFFFF"/>
          </w:tcPr>
          <w:p w14:paraId="06D11B7A" w14:textId="77777777" w:rsidR="008C76E0" w:rsidRPr="00BD7577" w:rsidRDefault="008C76E0" w:rsidP="008C76E0">
            <w:pPr>
              <w:spacing w:after="120" w:line="240" w:lineRule="auto"/>
              <w:ind w:right="-1"/>
              <w:jc w:val="center"/>
              <w:rPr>
                <w:rFonts w:ascii="Sylfaen" w:hAnsi="Sylfaen"/>
                <w:sz w:val="24"/>
                <w:szCs w:val="24"/>
              </w:rPr>
            </w:pPr>
          </w:p>
        </w:tc>
      </w:tr>
    </w:tbl>
    <w:p w14:paraId="6ED74543" w14:textId="77777777" w:rsidR="008C76E0" w:rsidRPr="00BD7577" w:rsidRDefault="008C76E0" w:rsidP="008C76E0">
      <w:pPr>
        <w:ind w:right="-1"/>
        <w:jc w:val="both"/>
        <w:rPr>
          <w:rStyle w:val="Bodytext2Spacing2pt"/>
          <w:rFonts w:ascii="Sylfaen" w:eastAsia="MS Mincho" w:hAnsi="Sylfaen"/>
          <w:spacing w:val="0"/>
          <w:sz w:val="24"/>
          <w:szCs w:val="24"/>
        </w:rPr>
      </w:pPr>
      <w:r w:rsidRPr="00BD7577">
        <w:rPr>
          <w:rFonts w:ascii="Sylfaen" w:hAnsi="Sylfaen"/>
          <w:sz w:val="24"/>
          <w:szCs w:val="24"/>
        </w:rPr>
        <w:br w:type="page"/>
      </w:r>
    </w:p>
    <w:p w14:paraId="53890A9C" w14:textId="77777777" w:rsidR="008C76E0" w:rsidRPr="00BD7577" w:rsidRDefault="008C76E0" w:rsidP="008C76E0">
      <w:pPr>
        <w:ind w:right="-1"/>
        <w:jc w:val="right"/>
        <w:rPr>
          <w:rFonts w:ascii="Sylfaen" w:hAnsi="Sylfaen"/>
          <w:sz w:val="24"/>
          <w:szCs w:val="24"/>
        </w:rPr>
      </w:pPr>
      <w:r w:rsidRPr="00BD7577">
        <w:rPr>
          <w:rFonts w:ascii="Sylfaen" w:hAnsi="Sylfaen"/>
          <w:sz w:val="24"/>
          <w:szCs w:val="24"/>
        </w:rPr>
        <w:lastRenderedPageBreak/>
        <w:t>Լրացում թիվ 2</w:t>
      </w:r>
    </w:p>
    <w:p w14:paraId="4B68D278" w14:textId="77777777" w:rsidR="008C76E0" w:rsidRPr="00BD7577" w:rsidRDefault="008C76E0" w:rsidP="008C76E0">
      <w:pPr>
        <w:ind w:right="-1"/>
        <w:jc w:val="right"/>
        <w:rPr>
          <w:rFonts w:ascii="Sylfaen" w:hAnsi="Sylfaen"/>
          <w:sz w:val="24"/>
          <w:szCs w:val="24"/>
        </w:rPr>
      </w:pPr>
    </w:p>
    <w:p w14:paraId="0F5F3098" w14:textId="77777777" w:rsidR="008C76E0" w:rsidRPr="00007454" w:rsidRDefault="008C76E0" w:rsidP="008C76E0">
      <w:pPr>
        <w:ind w:left="567" w:right="566"/>
        <w:jc w:val="center"/>
        <w:rPr>
          <w:rFonts w:ascii="Sylfaen" w:hAnsi="Sylfaen"/>
          <w:b/>
          <w:sz w:val="24"/>
          <w:szCs w:val="24"/>
        </w:rPr>
      </w:pPr>
      <w:r w:rsidRPr="00007454">
        <w:rPr>
          <w:rStyle w:val="Bodytext2Spacing2pt"/>
          <w:rFonts w:ascii="Sylfaen" w:eastAsiaTheme="minorHAnsi" w:hAnsi="Sylfaen"/>
          <w:b/>
          <w:spacing w:val="0"/>
          <w:sz w:val="24"/>
          <w:szCs w:val="24"/>
        </w:rPr>
        <w:t>ՁԵՎ</w:t>
      </w:r>
    </w:p>
    <w:p w14:paraId="51D7F961" w14:textId="77777777" w:rsidR="008C76E0" w:rsidRPr="008C76E0" w:rsidRDefault="008C76E0" w:rsidP="008C76E0">
      <w:pPr>
        <w:pStyle w:val="Bodytext130"/>
        <w:shd w:val="clear" w:color="auto" w:fill="auto"/>
        <w:spacing w:after="160" w:line="360" w:lineRule="auto"/>
        <w:ind w:left="567" w:right="566"/>
        <w:rPr>
          <w:rFonts w:ascii="Sylfaen" w:hAnsi="Sylfaen"/>
          <w:sz w:val="24"/>
          <w:szCs w:val="24"/>
          <w:lang w:val="hy-AM"/>
        </w:rPr>
      </w:pPr>
      <w:r w:rsidRPr="008C76E0">
        <w:rPr>
          <w:rFonts w:ascii="Sylfaen" w:hAnsi="Sylfaen"/>
          <w:sz w:val="24"/>
          <w:szCs w:val="24"/>
          <w:lang w:val="hy-AM"/>
        </w:rPr>
        <w:t>ակտիվ դեղագործական բաղադրամասի մաստեր-ֆայլի փակ մասի հասանելիության թույլտվության</w:t>
      </w:r>
    </w:p>
    <w:p w14:paraId="6586E6FC" w14:textId="77777777" w:rsidR="008C76E0" w:rsidRPr="00BD7577" w:rsidRDefault="008C76E0" w:rsidP="008C76E0">
      <w:pPr>
        <w:ind w:right="-1"/>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w:t>
      </w:r>
    </w:p>
    <w:p w14:paraId="03584F35" w14:textId="77777777" w:rsidR="008C76E0" w:rsidRPr="00BD7577" w:rsidRDefault="008C76E0" w:rsidP="008C76E0">
      <w:pPr>
        <w:ind w:right="-1"/>
        <w:jc w:val="right"/>
        <w:rPr>
          <w:rFonts w:ascii="Sylfaen" w:hAnsi="Sylfaen"/>
          <w:sz w:val="24"/>
          <w:szCs w:val="24"/>
        </w:rPr>
      </w:pPr>
    </w:p>
    <w:p w14:paraId="6DE348D1"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ՖԻՐՄԱՅԻՆ ՁԵՎԱԹՈՒՂԹ</w:t>
      </w:r>
    </w:p>
    <w:p w14:paraId="436D6C57"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ակտիվ դեղագործական բաղադրամասի մաստեր-ֆայլի իրավատիրոջ</w:t>
      </w:r>
    </w:p>
    <w:p w14:paraId="57E22D88" w14:textId="77777777" w:rsidR="008C76E0" w:rsidRPr="00BD7577" w:rsidRDefault="008C76E0" w:rsidP="008C76E0">
      <w:pPr>
        <w:ind w:right="-1"/>
        <w:jc w:val="center"/>
        <w:rPr>
          <w:rFonts w:ascii="Sylfaen" w:hAnsi="Sylfaen"/>
          <w:sz w:val="24"/>
          <w:szCs w:val="24"/>
        </w:rPr>
      </w:pPr>
    </w:p>
    <w:p w14:paraId="1AF991C6"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{Անդամ պետության լիազորված մարմնի հասցեն}</w:t>
      </w:r>
    </w:p>
    <w:p w14:paraId="735A2AD3"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{Ամսաթիվը}</w:t>
      </w:r>
    </w:p>
    <w:p w14:paraId="6529CEF2"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Ակտիվ դեղագործական բաղադրամասի մաստեր-ֆայլի համարը՝</w:t>
      </w:r>
    </w:p>
    <w:p w14:paraId="0FF50224" w14:textId="77777777" w:rsidR="008C76E0" w:rsidRPr="00BD7577" w:rsidRDefault="008C76E0" w:rsidP="008C76E0">
      <w:pPr>
        <w:ind w:right="-1"/>
        <w:jc w:val="center"/>
        <w:rPr>
          <w:rFonts w:ascii="Sylfaen" w:hAnsi="Sylfaen"/>
          <w:sz w:val="24"/>
          <w:szCs w:val="24"/>
        </w:rPr>
      </w:pPr>
      <w:r w:rsidRPr="00BD7577">
        <w:rPr>
          <w:rFonts w:ascii="Sylfaen" w:hAnsi="Sylfaen"/>
          <w:sz w:val="24"/>
          <w:szCs w:val="24"/>
        </w:rPr>
        <w:t>{ԱԴԲՄՖ-ի ծածկագրային համարը}</w:t>
      </w:r>
    </w:p>
    <w:p w14:paraId="455FEBF4" w14:textId="77777777" w:rsidR="008C76E0" w:rsidRPr="00BD7577" w:rsidRDefault="008C76E0" w:rsidP="008C76E0">
      <w:pPr>
        <w:ind w:right="-1"/>
        <w:rPr>
          <w:rFonts w:ascii="Sylfaen" w:hAnsi="Sylfaen"/>
          <w:sz w:val="24"/>
          <w:szCs w:val="24"/>
        </w:rPr>
      </w:pPr>
    </w:p>
    <w:p w14:paraId="0BEBD76B" w14:textId="77777777" w:rsidR="008C76E0" w:rsidRPr="00BD7577" w:rsidRDefault="008C76E0" w:rsidP="00066EC8">
      <w:pPr>
        <w:spacing w:after="160" w:line="360" w:lineRule="auto"/>
        <w:ind w:firstLine="567"/>
        <w:jc w:val="both"/>
        <w:rPr>
          <w:rFonts w:ascii="Sylfaen" w:hAnsi="Sylfaen"/>
          <w:sz w:val="24"/>
          <w:szCs w:val="24"/>
        </w:rPr>
      </w:pPr>
      <w:r w:rsidRPr="00BD7577">
        <w:rPr>
          <w:rFonts w:ascii="Sylfaen" w:hAnsi="Sylfaen"/>
          <w:sz w:val="24"/>
          <w:szCs w:val="24"/>
        </w:rPr>
        <w:t>Նշվում է հետ</w:t>
      </w:r>
      <w:r w:rsidR="00C54D75">
        <w:rPr>
          <w:rFonts w:ascii="Sylfaen" w:hAnsi="Sylfaen"/>
          <w:sz w:val="24"/>
          <w:szCs w:val="24"/>
        </w:rPr>
        <w:t>և</w:t>
      </w:r>
      <w:r w:rsidRPr="00BD7577">
        <w:rPr>
          <w:rFonts w:ascii="Sylfaen" w:hAnsi="Sylfaen"/>
          <w:sz w:val="24"/>
          <w:szCs w:val="24"/>
        </w:rPr>
        <w:t>յալ ձ</w:t>
      </w:r>
      <w:r w:rsidR="00C54D75">
        <w:rPr>
          <w:rFonts w:ascii="Sylfaen" w:hAnsi="Sylfaen"/>
          <w:sz w:val="24"/>
          <w:szCs w:val="24"/>
        </w:rPr>
        <w:t>և</w:t>
      </w:r>
      <w:r w:rsidRPr="00BD7577">
        <w:rPr>
          <w:rFonts w:ascii="Sylfaen" w:hAnsi="Sylfaen"/>
          <w:sz w:val="24"/>
          <w:szCs w:val="24"/>
        </w:rPr>
        <w:t>աչափով՝ ԵԱՏՄ/ԱԴԲՄՖ/ХХХХХ կամ YY/ԱԴԲՄՖ/ХХХХХ, որտեղ ХХХХХ-ը թվային նշումն է, YY-ը՝ անդամ պետության երկնիշ լատինատառ ծածկագիրը։</w:t>
      </w:r>
    </w:p>
    <w:p w14:paraId="71B3ED4C" w14:textId="77777777" w:rsidR="008C76E0" w:rsidRPr="00BD7577" w:rsidRDefault="008C76E0" w:rsidP="00066EC8">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անվանումը՝</w:t>
      </w:r>
    </w:p>
    <w:p w14:paraId="1EA37D1D" w14:textId="77777777" w:rsidR="008C76E0" w:rsidRPr="002F33A8" w:rsidRDefault="008C76E0" w:rsidP="00066EC8">
      <w:pPr>
        <w:spacing w:after="160" w:line="360" w:lineRule="auto"/>
        <w:ind w:firstLine="567"/>
        <w:jc w:val="both"/>
        <w:rPr>
          <w:rFonts w:ascii="Sylfaen" w:hAnsi="Sylfaen"/>
          <w:spacing w:val="-4"/>
          <w:sz w:val="24"/>
          <w:szCs w:val="24"/>
        </w:rPr>
      </w:pPr>
      <w:r w:rsidRPr="002F33A8">
        <w:rPr>
          <w:rFonts w:ascii="Sylfaen" w:hAnsi="Sylfaen"/>
          <w:spacing w:val="-4"/>
          <w:sz w:val="24"/>
          <w:szCs w:val="24"/>
        </w:rPr>
        <w:t>Ակտիվ դեղագործական բաղադրամասի ներքին ծածկագիրը (եթե կիրառելի է)՝</w:t>
      </w:r>
    </w:p>
    <w:p w14:paraId="010388CC" w14:textId="77777777" w:rsidR="008C76E0" w:rsidRPr="00BD7577" w:rsidRDefault="008C76E0" w:rsidP="00066EC8">
      <w:pPr>
        <w:spacing w:after="160" w:line="360" w:lineRule="auto"/>
        <w:ind w:firstLine="567"/>
        <w:jc w:val="both"/>
        <w:rPr>
          <w:rFonts w:ascii="Sylfaen" w:hAnsi="Sylfaen"/>
          <w:sz w:val="24"/>
          <w:szCs w:val="24"/>
        </w:rPr>
      </w:pPr>
      <w:r w:rsidRPr="00BD7577">
        <w:rPr>
          <w:rFonts w:ascii="Sylfaen" w:hAnsi="Sylfaen"/>
          <w:sz w:val="24"/>
          <w:szCs w:val="24"/>
        </w:rPr>
        <w:t xml:space="preserve">Ակտիվ դեղագործական բաղադրամասի մաստեր-ֆայլի իրավատերը՝ </w:t>
      </w:r>
      <w:r w:rsidRPr="002F33A8">
        <w:rPr>
          <w:rStyle w:val="Bodytext295pt"/>
          <w:rFonts w:ascii="Sylfaen" w:eastAsiaTheme="minorHAnsi" w:hAnsi="Sylfaen"/>
          <w:b w:val="0"/>
          <w:spacing w:val="0"/>
          <w:sz w:val="24"/>
          <w:szCs w:val="24"/>
        </w:rPr>
        <w:t>{անվանումն ու հասցեն</w:t>
      </w:r>
      <w:r w:rsidRPr="0063669A">
        <w:rPr>
          <w:rFonts w:ascii="Sylfaen" w:hAnsi="Sylfaen"/>
          <w:sz w:val="24"/>
          <w:szCs w:val="24"/>
        </w:rPr>
        <w:t>}</w:t>
      </w:r>
    </w:p>
    <w:p w14:paraId="7FA3A39E" w14:textId="77777777" w:rsidR="008C76E0" w:rsidRPr="00BD7577" w:rsidRDefault="008C76E0" w:rsidP="00066EC8">
      <w:pPr>
        <w:spacing w:after="160" w:line="360" w:lineRule="auto"/>
        <w:ind w:firstLine="567"/>
        <w:jc w:val="both"/>
        <w:rPr>
          <w:rFonts w:ascii="Sylfaen" w:hAnsi="Sylfaen"/>
          <w:sz w:val="24"/>
          <w:szCs w:val="24"/>
        </w:rPr>
      </w:pPr>
      <w:r w:rsidRPr="00BD7577">
        <w:rPr>
          <w:rFonts w:ascii="Sylfaen" w:hAnsi="Sylfaen"/>
          <w:sz w:val="24"/>
          <w:szCs w:val="24"/>
        </w:rPr>
        <w:t xml:space="preserve">Ակտիվ դեղագործական բաղադրամասի մաստեր-ֆայլի վերոնշյալ իրավատերը սույնով թույլտվություն է տալիս {անդամ պետության լիազորված մարմնի անվանումը} հղում կատարել ակտիվ դեղագործական բաղադրամասի </w:t>
      </w:r>
      <w:r w:rsidRPr="00BD7577">
        <w:rPr>
          <w:rFonts w:ascii="Sylfaen" w:hAnsi="Sylfaen"/>
          <w:sz w:val="24"/>
          <w:szCs w:val="24"/>
        </w:rPr>
        <w:lastRenderedPageBreak/>
        <w:t xml:space="preserve">վերոնշյալ մաստեր-ֆայլին </w:t>
      </w:r>
      <w:r w:rsidR="00C54D75">
        <w:rPr>
          <w:rFonts w:ascii="Sylfaen" w:hAnsi="Sylfaen"/>
          <w:sz w:val="24"/>
          <w:szCs w:val="24"/>
        </w:rPr>
        <w:t>և</w:t>
      </w:r>
      <w:r w:rsidRPr="00BD7577">
        <w:rPr>
          <w:rFonts w:ascii="Sylfaen" w:hAnsi="Sylfaen"/>
          <w:sz w:val="24"/>
          <w:szCs w:val="24"/>
        </w:rPr>
        <w:t xml:space="preserve"> կատարել դրա փորձաքննություն՝ որպես հետագա գրանցման դոսյեների կամ Միությունում գրանցված դեղապատրաստուկի գրանցման դոսյեում փոփոխություններ կատարելու դոսյեի հիմնավորում (ներառել նոր ԱԴԲՄՖ-ն նոր ԱԴԲԱ-ից), որը ներկայացվել է </w:t>
      </w:r>
      <w:r w:rsidRPr="002F33A8">
        <w:rPr>
          <w:rStyle w:val="Bodytext295pt"/>
          <w:rFonts w:ascii="Sylfaen" w:eastAsiaTheme="minorHAnsi" w:hAnsi="Sylfaen"/>
          <w:b w:val="0"/>
          <w:spacing w:val="0"/>
          <w:sz w:val="24"/>
          <w:szCs w:val="24"/>
        </w:rPr>
        <w:t>{գրանցման հավաստագրի իրավատիրոջ (հայտատուի) անվանումը} կողմից</w:t>
      </w:r>
      <w:r w:rsidRPr="002F33A8">
        <w:rPr>
          <w:rFonts w:ascii="Sylfaen" w:hAnsi="Sylfaen"/>
          <w:b/>
          <w:sz w:val="24"/>
          <w:szCs w:val="24"/>
        </w:rPr>
        <w:t xml:space="preserve"> </w:t>
      </w:r>
      <w:r w:rsidRPr="002F33A8">
        <w:rPr>
          <w:rStyle w:val="Bodytext295pt"/>
          <w:rFonts w:ascii="Sylfaen" w:eastAsiaTheme="minorHAnsi" w:hAnsi="Sylfaen"/>
          <w:b w:val="0"/>
          <w:spacing w:val="0"/>
          <w:sz w:val="24"/>
          <w:szCs w:val="24"/>
        </w:rPr>
        <w:t xml:space="preserve">{ներկայացնելու պլանավորվող </w:t>
      </w:r>
      <w:r w:rsidRPr="00BD7577">
        <w:rPr>
          <w:rFonts w:ascii="Sylfaen" w:hAnsi="Sylfaen"/>
          <w:sz w:val="24"/>
          <w:szCs w:val="24"/>
        </w:rPr>
        <w:t>ամսաթիվը</w:t>
      </w:r>
      <w:r w:rsidRPr="0063669A">
        <w:rPr>
          <w:rStyle w:val="Bodytext7NotItalic"/>
          <w:rFonts w:ascii="Sylfaen" w:eastAsiaTheme="minorHAnsi" w:hAnsi="Sylfaen"/>
          <w:b w:val="0"/>
          <w:sz w:val="24"/>
          <w:szCs w:val="24"/>
        </w:rPr>
        <w:t>}՝</w:t>
      </w:r>
    </w:p>
    <w:p w14:paraId="43C8D65E" w14:textId="77777777" w:rsidR="008C76E0" w:rsidRPr="008C76E0" w:rsidRDefault="008C76E0" w:rsidP="008C76E0">
      <w:pPr>
        <w:pStyle w:val="Bodytext70"/>
        <w:shd w:val="clear" w:color="auto" w:fill="auto"/>
        <w:spacing w:before="0" w:after="160" w:line="360" w:lineRule="auto"/>
        <w:ind w:right="-1" w:firstLine="567"/>
        <w:rPr>
          <w:rFonts w:ascii="Sylfaen" w:hAnsi="Sylfaen"/>
          <w:b w:val="0"/>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դեղապատրաստուկի անվանումը (եթե ներկայացնելու պահին դեղապատրաստուկի առ</w:t>
      </w:r>
      <w:r w:rsidR="00C54D75">
        <w:rPr>
          <w:rFonts w:ascii="Sylfaen" w:hAnsi="Sylfaen" w:cs="Sylfaen"/>
          <w:b w:val="0"/>
          <w:sz w:val="24"/>
          <w:szCs w:val="24"/>
          <w:lang w:val="hy-AM"/>
        </w:rPr>
        <w:t>և</w:t>
      </w:r>
      <w:r w:rsidRPr="008C76E0">
        <w:rPr>
          <w:rFonts w:ascii="Sylfaen" w:hAnsi="Sylfaen"/>
          <w:b w:val="0"/>
          <w:sz w:val="24"/>
          <w:szCs w:val="24"/>
          <w:lang w:val="hy-AM"/>
        </w:rPr>
        <w:t xml:space="preserve">տրային անվանումը համաձայնեցված չէ, ապա հարկ է նշել «ՄՉԱ-ն </w:t>
      </w:r>
      <w:r w:rsidRPr="00BD7577">
        <w:rPr>
          <w:rStyle w:val="Bodytext295pt"/>
          <w:rFonts w:ascii="Sylfaen" w:hAnsi="Sylfaen"/>
          <w:spacing w:val="0"/>
          <w:sz w:val="24"/>
          <w:szCs w:val="24"/>
        </w:rPr>
        <w:t xml:space="preserve">+ </w:t>
      </w:r>
      <w:r w:rsidRPr="008C76E0">
        <w:rPr>
          <w:rFonts w:ascii="Sylfaen" w:hAnsi="Sylfaen"/>
          <w:b w:val="0"/>
          <w:sz w:val="24"/>
          <w:szCs w:val="24"/>
          <w:lang w:val="hy-AM"/>
        </w:rPr>
        <w:t xml:space="preserve">գրանցման հավաստագրի իրավատիրոջ անվանումը») </w:t>
      </w:r>
      <w:r w:rsidR="00C54D75">
        <w:rPr>
          <w:rFonts w:ascii="Sylfaen" w:hAnsi="Sylfaen"/>
          <w:b w:val="0"/>
          <w:sz w:val="24"/>
          <w:szCs w:val="24"/>
          <w:lang w:val="hy-AM"/>
        </w:rPr>
        <w:t>և</w:t>
      </w:r>
      <w:r w:rsidRPr="008C76E0">
        <w:rPr>
          <w:rFonts w:ascii="Sylfaen" w:hAnsi="Sylfaen"/>
          <w:b w:val="0"/>
          <w:sz w:val="24"/>
          <w:szCs w:val="24"/>
          <w:lang w:val="hy-AM"/>
        </w:rPr>
        <w:t xml:space="preserve"> գրանցման հավաստագրի համարը (եթե հայտնի է)</w:t>
      </w:r>
      <w:r w:rsidRPr="008C76E0">
        <w:rPr>
          <w:rStyle w:val="Bodytext7NotItalic"/>
          <w:rFonts w:ascii="Sylfaen" w:hAnsi="Sylfaen"/>
          <w:sz w:val="24"/>
          <w:szCs w:val="24"/>
          <w:lang w:val="hy-AM"/>
        </w:rPr>
        <w:t>}</w:t>
      </w:r>
    </w:p>
    <w:p w14:paraId="0AD49DCE" w14:textId="77777777" w:rsidR="008C76E0" w:rsidRPr="008C76E0" w:rsidRDefault="008C76E0" w:rsidP="008C76E0">
      <w:pPr>
        <w:pStyle w:val="Bodytext70"/>
        <w:shd w:val="clear" w:color="auto" w:fill="auto"/>
        <w:spacing w:before="0" w:after="160" w:line="360" w:lineRule="auto"/>
        <w:ind w:right="-1" w:firstLine="567"/>
        <w:rPr>
          <w:rFonts w:ascii="Sylfaen" w:hAnsi="Sylfaen"/>
          <w:b w:val="0"/>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 xml:space="preserve">հայտատուի կամ գրանցման հավաստագրի իրավատիրոջ անվանումը </w:t>
      </w:r>
      <w:r w:rsidRPr="008C76E0">
        <w:rPr>
          <w:rStyle w:val="Bodytext7NotItalic"/>
          <w:rFonts w:ascii="Sylfaen" w:hAnsi="Sylfaen"/>
          <w:sz w:val="24"/>
          <w:szCs w:val="24"/>
          <w:lang w:val="hy-AM"/>
        </w:rPr>
        <w:t>}</w:t>
      </w:r>
    </w:p>
    <w:p w14:paraId="19B6B085"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Ակտիվ դեղագործական բաղադրամասի մաստեր-ֆայլի վերոնշյալ իրավատերը պարտավորվում է ապահովել սերիաների որակի մշտականությունը </w:t>
      </w:r>
      <w:r w:rsidR="00C54D75">
        <w:rPr>
          <w:rFonts w:ascii="Sylfaen" w:hAnsi="Sylfaen"/>
          <w:sz w:val="24"/>
          <w:szCs w:val="24"/>
        </w:rPr>
        <w:t>և</w:t>
      </w:r>
      <w:r w:rsidRPr="00BD7577">
        <w:rPr>
          <w:rFonts w:ascii="Sylfaen" w:hAnsi="Sylfaen"/>
          <w:sz w:val="24"/>
          <w:szCs w:val="24"/>
        </w:rPr>
        <w:t xml:space="preserve"> ծանուցել </w:t>
      </w:r>
      <w:r w:rsidRPr="005A1ED7">
        <w:rPr>
          <w:rStyle w:val="Bodytext295pt"/>
          <w:rFonts w:ascii="Sylfaen" w:eastAsiaTheme="minorHAnsi" w:hAnsi="Sylfaen"/>
          <w:b w:val="0"/>
          <w:spacing w:val="0"/>
          <w:sz w:val="24"/>
          <w:szCs w:val="24"/>
        </w:rPr>
        <w:t>{գրանցման հավաստագրի իրավատիրոջ (հայտատուի) անվանումը}</w:t>
      </w:r>
      <w:r w:rsidRPr="00BD7577">
        <w:rPr>
          <w:rFonts w:ascii="Sylfaen" w:hAnsi="Sylfaen"/>
          <w:sz w:val="24"/>
          <w:szCs w:val="24"/>
        </w:rPr>
        <w:t xml:space="preserve"> </w:t>
      </w:r>
      <w:r w:rsidR="00C54D75">
        <w:rPr>
          <w:rFonts w:ascii="Sylfaen" w:hAnsi="Sylfaen"/>
          <w:sz w:val="24"/>
          <w:szCs w:val="24"/>
        </w:rPr>
        <w:t>և</w:t>
      </w:r>
      <w:r w:rsidRPr="00BD7577">
        <w:rPr>
          <w:rFonts w:ascii="Sylfaen" w:hAnsi="Sylfaen"/>
          <w:sz w:val="24"/>
          <w:szCs w:val="24"/>
        </w:rPr>
        <w:t xml:space="preserve"> անդամ պետության լիազորված մարմնին ակտիվ դեղագործական բաղադրամասի մաստեր-ֆայլի ցանկացած փոփոխության մասին։</w:t>
      </w:r>
    </w:p>
    <w:p w14:paraId="109E9923"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 xml:space="preserve">Ակտիվ դեղագործական բաղադրամասի մաստեր-ֆայլի վերոնշյալ իրավատերը սույնով ծանուցվում </w:t>
      </w:r>
      <w:r w:rsidR="00C54D75">
        <w:rPr>
          <w:rFonts w:ascii="Sylfaen" w:hAnsi="Sylfaen"/>
          <w:sz w:val="24"/>
          <w:szCs w:val="24"/>
        </w:rPr>
        <w:t>և</w:t>
      </w:r>
      <w:r w:rsidRPr="00BD7577">
        <w:rPr>
          <w:rFonts w:ascii="Sylfaen" w:hAnsi="Sylfaen"/>
          <w:sz w:val="24"/>
          <w:szCs w:val="24"/>
        </w:rPr>
        <w:t xml:space="preserve"> ընդունում է, որ անդամ պետությունների լիազորված մարմինները կարող են փոխանակվել ակտիվ դեղագործական բաղադրամասի վերոնշյալ մաստեր-ֆայլի մասով փորձագիտական հաշվետվություններով։</w:t>
      </w:r>
    </w:p>
    <w:p w14:paraId="2F659DBF" w14:textId="77777777" w:rsidR="008C76E0" w:rsidRPr="00BD7577" w:rsidRDefault="008C76E0" w:rsidP="008C76E0">
      <w:pPr>
        <w:ind w:right="-1" w:firstLine="567"/>
        <w:jc w:val="both"/>
        <w:rPr>
          <w:rFonts w:ascii="Sylfaen" w:hAnsi="Sylfaen"/>
          <w:sz w:val="24"/>
          <w:szCs w:val="24"/>
        </w:rPr>
      </w:pPr>
      <w:r w:rsidRPr="00BD7577">
        <w:rPr>
          <w:rFonts w:ascii="Sylfaen" w:hAnsi="Sylfaen"/>
          <w:sz w:val="24"/>
          <w:szCs w:val="24"/>
        </w:rPr>
        <w:t>Ակտիվ դեղագործական բաղադրամասի մաստեր-ֆայլի իրավատիրոջ ստորագրությունը</w:t>
      </w:r>
    </w:p>
    <w:p w14:paraId="68616D8B" w14:textId="77777777" w:rsidR="008C76E0" w:rsidRPr="008C76E0" w:rsidRDefault="008C76E0" w:rsidP="008C76E0">
      <w:pPr>
        <w:pStyle w:val="Bodytext70"/>
        <w:shd w:val="clear" w:color="auto" w:fill="auto"/>
        <w:spacing w:before="0" w:after="160" w:line="360" w:lineRule="auto"/>
        <w:ind w:right="-1" w:firstLine="567"/>
        <w:rPr>
          <w:rFonts w:ascii="Sylfaen" w:hAnsi="Sylfaen"/>
          <w:b w:val="0"/>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Անունն ու պաշտոնը</w:t>
      </w:r>
      <w:r w:rsidRPr="008C76E0">
        <w:rPr>
          <w:rStyle w:val="Bodytext7NotItalic"/>
          <w:rFonts w:ascii="Sylfaen" w:hAnsi="Sylfaen"/>
          <w:sz w:val="24"/>
          <w:szCs w:val="24"/>
          <w:lang w:val="hy-AM"/>
        </w:rPr>
        <w:t>}</w:t>
      </w:r>
    </w:p>
    <w:p w14:paraId="7CB4606F" w14:textId="77777777" w:rsidR="008C76E0" w:rsidRPr="008C76E0" w:rsidRDefault="008C76E0" w:rsidP="008C76E0">
      <w:pPr>
        <w:pStyle w:val="Bodytext70"/>
        <w:shd w:val="clear" w:color="auto" w:fill="auto"/>
        <w:spacing w:before="0" w:after="160" w:line="360" w:lineRule="auto"/>
        <w:ind w:right="-1" w:firstLine="567"/>
        <w:rPr>
          <w:rStyle w:val="Bodytext7NotItalic"/>
          <w:rFonts w:ascii="Sylfaen" w:eastAsia="MS Mincho" w:hAnsi="Sylfaen"/>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Ստորագրությունը</w:t>
      </w:r>
      <w:r w:rsidRPr="008C76E0">
        <w:rPr>
          <w:rStyle w:val="Bodytext7NotItalic"/>
          <w:rFonts w:ascii="Sylfaen" w:hAnsi="Sylfaen"/>
          <w:sz w:val="24"/>
          <w:szCs w:val="24"/>
          <w:lang w:val="hy-AM"/>
        </w:rPr>
        <w:t>}</w:t>
      </w:r>
    </w:p>
    <w:p w14:paraId="2EE47497" w14:textId="77777777" w:rsidR="008C76E0" w:rsidRDefault="008C76E0" w:rsidP="008C76E0">
      <w:pPr>
        <w:widowControl/>
        <w:rPr>
          <w:rFonts w:ascii="Sylfaen" w:eastAsia="Times New Roman" w:hAnsi="Sylfaen" w:cs="Times New Roman"/>
          <w:sz w:val="24"/>
          <w:szCs w:val="24"/>
        </w:rPr>
      </w:pPr>
      <w:r>
        <w:rPr>
          <w:rFonts w:ascii="Sylfaen" w:hAnsi="Sylfaen"/>
          <w:sz w:val="24"/>
          <w:szCs w:val="24"/>
        </w:rPr>
        <w:br w:type="page"/>
      </w:r>
    </w:p>
    <w:p w14:paraId="0D599ED9" w14:textId="77777777" w:rsidR="008C76E0" w:rsidRPr="008C76E0" w:rsidRDefault="008C76E0" w:rsidP="00207FF6">
      <w:pPr>
        <w:pStyle w:val="Headerorfooter0"/>
        <w:shd w:val="clear" w:color="auto" w:fill="auto"/>
        <w:spacing w:after="160" w:line="360" w:lineRule="auto"/>
        <w:ind w:right="-1"/>
        <w:jc w:val="right"/>
        <w:rPr>
          <w:rFonts w:ascii="Sylfaen" w:hAnsi="Sylfaen"/>
          <w:sz w:val="24"/>
          <w:szCs w:val="24"/>
          <w:lang w:val="hy-AM"/>
        </w:rPr>
      </w:pPr>
      <w:r w:rsidRPr="008C76E0">
        <w:rPr>
          <w:rFonts w:ascii="Sylfaen" w:hAnsi="Sylfaen"/>
          <w:sz w:val="24"/>
          <w:szCs w:val="24"/>
          <w:lang w:val="hy-AM"/>
        </w:rPr>
        <w:lastRenderedPageBreak/>
        <w:t xml:space="preserve">Լրացում թիվ 3 </w:t>
      </w:r>
    </w:p>
    <w:p w14:paraId="422FA414" w14:textId="77777777" w:rsidR="008C76E0" w:rsidRPr="00066EC8" w:rsidRDefault="008C76E0" w:rsidP="00207FF6">
      <w:pPr>
        <w:spacing w:after="160" w:line="360" w:lineRule="auto"/>
        <w:jc w:val="center"/>
        <w:rPr>
          <w:rFonts w:ascii="Sylfaen" w:hAnsi="Sylfaen"/>
          <w:b/>
          <w:sz w:val="24"/>
          <w:szCs w:val="24"/>
        </w:rPr>
      </w:pPr>
      <w:r w:rsidRPr="00066EC8">
        <w:rPr>
          <w:rStyle w:val="Bodytext2Spacing2pt"/>
          <w:rFonts w:ascii="Sylfaen" w:eastAsiaTheme="minorHAnsi" w:hAnsi="Sylfaen"/>
          <w:b/>
          <w:spacing w:val="0"/>
          <w:sz w:val="24"/>
          <w:szCs w:val="24"/>
        </w:rPr>
        <w:t>ՁԵՎ</w:t>
      </w:r>
    </w:p>
    <w:p w14:paraId="38B6646A" w14:textId="77777777" w:rsidR="008C76E0" w:rsidRPr="008C76E0" w:rsidRDefault="008C76E0" w:rsidP="00207FF6">
      <w:pPr>
        <w:pStyle w:val="Bodytext130"/>
        <w:shd w:val="clear" w:color="auto" w:fill="auto"/>
        <w:spacing w:after="160" w:line="360" w:lineRule="auto"/>
        <w:ind w:left="567" w:right="565"/>
        <w:rPr>
          <w:rStyle w:val="Heading13Bold"/>
          <w:rFonts w:ascii="Sylfaen" w:eastAsia="MS Mincho" w:hAnsi="Sylfaen"/>
          <w:b w:val="0"/>
          <w:sz w:val="24"/>
          <w:szCs w:val="24"/>
          <w:lang w:val="hy-AM"/>
        </w:rPr>
      </w:pPr>
      <w:r w:rsidRPr="008C76E0">
        <w:rPr>
          <w:rFonts w:ascii="Sylfaen" w:hAnsi="Sylfaen"/>
          <w:sz w:val="24"/>
          <w:szCs w:val="24"/>
          <w:lang w:val="hy-AM"/>
        </w:rPr>
        <w:t xml:space="preserve">ակտիվ դեղագործական բաղադրամասի մաստեր-ֆայլի (ԱԴԲՄՖ) մասով փաստաթղթերի վերաբերյալ վարչական տվյալներ ուղարկելու </w:t>
      </w:r>
      <w:r w:rsidRPr="008C76E0">
        <w:rPr>
          <w:rFonts w:ascii="Sylfaen" w:hAnsi="Sylfaen"/>
          <w:sz w:val="24"/>
          <w:szCs w:val="24"/>
          <w:lang w:val="hy-AM"/>
        </w:rPr>
        <w:br/>
        <w:t>մասին նամակի</w:t>
      </w:r>
      <w:bookmarkStart w:id="4" w:name="bookmark5"/>
      <w:bookmarkEnd w:id="4"/>
    </w:p>
    <w:p w14:paraId="4837057B" w14:textId="77777777" w:rsidR="008C76E0" w:rsidRPr="008C76E0" w:rsidRDefault="008C76E0" w:rsidP="00207FF6">
      <w:pPr>
        <w:pStyle w:val="Bodytext130"/>
        <w:shd w:val="clear" w:color="auto" w:fill="auto"/>
        <w:spacing w:after="160" w:line="360" w:lineRule="auto"/>
        <w:rPr>
          <w:rFonts w:ascii="Sylfaen" w:hAnsi="Sylfaen"/>
          <w:sz w:val="24"/>
          <w:szCs w:val="24"/>
          <w:lang w:val="hy-AM"/>
        </w:rPr>
      </w:pPr>
    </w:p>
    <w:p w14:paraId="01DA2AC3"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Ենթակա է ԱԴԲՄՖ-ի, յուրաքանչյուր գրանցման դոսյեի (փոփոխությունների դոսյեի) հետ միաժամանակ ներկայացնելու՝ որպես մեկ միասնական փաստաթուղթ։</w:t>
      </w:r>
    </w:p>
    <w:p w14:paraId="29A71D9C" w14:textId="77777777" w:rsidR="008C76E0" w:rsidRPr="00BD7577" w:rsidRDefault="008C76E0" w:rsidP="00207FF6">
      <w:pPr>
        <w:spacing w:after="160" w:line="360" w:lineRule="auto"/>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w:t>
      </w:r>
    </w:p>
    <w:p w14:paraId="0B27A7F1" w14:textId="77777777" w:rsidR="008C76E0" w:rsidRPr="00BD7577" w:rsidRDefault="008C76E0" w:rsidP="00207FF6">
      <w:pPr>
        <w:spacing w:after="160" w:line="360" w:lineRule="auto"/>
        <w:jc w:val="center"/>
        <w:rPr>
          <w:rFonts w:ascii="Sylfaen" w:hAnsi="Sylfaen"/>
          <w:sz w:val="24"/>
          <w:szCs w:val="24"/>
        </w:rPr>
      </w:pPr>
      <w:r w:rsidRPr="00BD7577">
        <w:rPr>
          <w:rFonts w:ascii="Sylfaen" w:hAnsi="Sylfaen"/>
          <w:sz w:val="24"/>
          <w:szCs w:val="24"/>
        </w:rPr>
        <w:t>ՖԻՐՄԱՅԻՆ ՁԵՎԱԹՈՒՂԹ</w:t>
      </w:r>
    </w:p>
    <w:p w14:paraId="0B6290DC" w14:textId="77777777" w:rsidR="008C76E0" w:rsidRPr="00BD7577" w:rsidRDefault="008C76E0" w:rsidP="00207FF6">
      <w:pPr>
        <w:spacing w:after="160" w:line="360" w:lineRule="auto"/>
        <w:jc w:val="center"/>
        <w:rPr>
          <w:rFonts w:ascii="Sylfaen" w:hAnsi="Sylfaen"/>
          <w:sz w:val="24"/>
          <w:szCs w:val="24"/>
        </w:rPr>
      </w:pPr>
      <w:r w:rsidRPr="00BD7577">
        <w:rPr>
          <w:rFonts w:ascii="Sylfaen" w:hAnsi="Sylfaen"/>
          <w:sz w:val="24"/>
          <w:szCs w:val="24"/>
        </w:rPr>
        <w:t>ակտիվ դեղագործական բաղադրամասի մաստեր-ֆայլի իրավատիրոջ</w:t>
      </w:r>
    </w:p>
    <w:p w14:paraId="5F5C0643" w14:textId="77777777" w:rsidR="008C76E0" w:rsidRPr="00BD7577" w:rsidRDefault="008C76E0" w:rsidP="00207FF6">
      <w:pPr>
        <w:spacing w:after="160" w:line="360" w:lineRule="auto"/>
        <w:jc w:val="right"/>
        <w:rPr>
          <w:rFonts w:ascii="Sylfaen" w:hAnsi="Sylfaen"/>
          <w:sz w:val="24"/>
          <w:szCs w:val="24"/>
        </w:rPr>
      </w:pPr>
    </w:p>
    <w:p w14:paraId="686916F9" w14:textId="77777777" w:rsidR="008C76E0" w:rsidRPr="00BD7577" w:rsidRDefault="008C76E0" w:rsidP="00207FF6">
      <w:pPr>
        <w:pStyle w:val="Bodytext70"/>
        <w:shd w:val="clear" w:color="auto" w:fill="auto"/>
        <w:spacing w:before="0" w:after="160" w:line="360" w:lineRule="auto"/>
        <w:jc w:val="right"/>
        <w:rPr>
          <w:rStyle w:val="Bodytext295pt"/>
          <w:rFonts w:ascii="Sylfaen" w:hAnsi="Sylfaen"/>
          <w:spacing w:val="0"/>
          <w:sz w:val="24"/>
          <w:szCs w:val="24"/>
        </w:rPr>
      </w:pPr>
      <w:r w:rsidRPr="00BD7577">
        <w:rPr>
          <w:rStyle w:val="Bodytext295pt"/>
          <w:rFonts w:ascii="Sylfaen" w:hAnsi="Sylfaen"/>
          <w:spacing w:val="0"/>
          <w:sz w:val="24"/>
          <w:szCs w:val="24"/>
        </w:rPr>
        <w:t>Ումից՝ {</w:t>
      </w:r>
      <w:r w:rsidRPr="008C76E0">
        <w:rPr>
          <w:rFonts w:ascii="Sylfaen" w:hAnsi="Sylfaen"/>
          <w:b w:val="0"/>
          <w:sz w:val="24"/>
          <w:szCs w:val="24"/>
          <w:lang w:val="hy-AM"/>
        </w:rPr>
        <w:t>ԱԴԲՄՖ-ի իրավատիրոջ անվանումը</w:t>
      </w:r>
      <w:r w:rsidRPr="00BD7577">
        <w:rPr>
          <w:rStyle w:val="Bodytext295pt"/>
          <w:rFonts w:ascii="Sylfaen" w:hAnsi="Sylfaen"/>
          <w:spacing w:val="0"/>
          <w:sz w:val="24"/>
          <w:szCs w:val="24"/>
        </w:rPr>
        <w:t>}</w:t>
      </w:r>
    </w:p>
    <w:p w14:paraId="22A3381C" w14:textId="77777777" w:rsidR="008C76E0" w:rsidRPr="00BD7577" w:rsidRDefault="008C76E0" w:rsidP="00207FF6">
      <w:pPr>
        <w:pStyle w:val="Bodytext70"/>
        <w:shd w:val="clear" w:color="auto" w:fill="auto"/>
        <w:spacing w:before="0" w:after="160" w:line="360" w:lineRule="auto"/>
        <w:jc w:val="right"/>
        <w:rPr>
          <w:rStyle w:val="Bodytext295pt"/>
          <w:rFonts w:ascii="Sylfaen" w:hAnsi="Sylfaen"/>
          <w:spacing w:val="0"/>
          <w:sz w:val="24"/>
          <w:szCs w:val="24"/>
        </w:rPr>
      </w:pPr>
      <w:r w:rsidRPr="008C76E0">
        <w:rPr>
          <w:rStyle w:val="Bodytext7NotItalic"/>
          <w:rFonts w:ascii="Sylfaen" w:hAnsi="Sylfaen"/>
          <w:sz w:val="24"/>
          <w:szCs w:val="24"/>
          <w:lang w:val="hy-AM"/>
        </w:rPr>
        <w:t>{</w:t>
      </w:r>
      <w:r w:rsidRPr="008C76E0">
        <w:rPr>
          <w:rFonts w:ascii="Sylfaen" w:hAnsi="Sylfaen"/>
          <w:b w:val="0"/>
          <w:sz w:val="24"/>
          <w:szCs w:val="24"/>
          <w:lang w:val="hy-AM"/>
        </w:rPr>
        <w:t>ԱԴԲՄՖ-ի իրավատիրոջ հասցեն</w:t>
      </w:r>
      <w:r w:rsidRPr="00BD7577">
        <w:rPr>
          <w:rStyle w:val="Bodytext295pt"/>
          <w:rFonts w:ascii="Sylfaen" w:hAnsi="Sylfaen"/>
          <w:spacing w:val="0"/>
          <w:sz w:val="24"/>
          <w:szCs w:val="24"/>
        </w:rPr>
        <w:t>}</w:t>
      </w:r>
    </w:p>
    <w:p w14:paraId="6AAC41FE" w14:textId="77777777" w:rsidR="008C76E0" w:rsidRPr="008C76E0" w:rsidRDefault="008C76E0" w:rsidP="00207FF6">
      <w:pPr>
        <w:pStyle w:val="Bodytext70"/>
        <w:shd w:val="clear" w:color="auto" w:fill="auto"/>
        <w:spacing w:before="0" w:after="160" w:line="360" w:lineRule="auto"/>
        <w:jc w:val="right"/>
        <w:rPr>
          <w:rFonts w:ascii="Sylfaen" w:hAnsi="Sylfaen"/>
          <w:b w:val="0"/>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ԱԴԲՄՖ-ի իրավատիրոջ երկիրը</w:t>
      </w:r>
      <w:r w:rsidRPr="008C76E0">
        <w:rPr>
          <w:rStyle w:val="Bodytext7NotItalic"/>
          <w:rFonts w:ascii="Sylfaen" w:hAnsi="Sylfaen"/>
          <w:sz w:val="24"/>
          <w:szCs w:val="24"/>
          <w:lang w:val="hy-AM"/>
        </w:rPr>
        <w:t>}</w:t>
      </w:r>
    </w:p>
    <w:p w14:paraId="6D6C9379" w14:textId="77777777" w:rsidR="008C76E0" w:rsidRPr="008C76E0" w:rsidRDefault="008C76E0" w:rsidP="00207FF6">
      <w:pPr>
        <w:pStyle w:val="Bodytext70"/>
        <w:shd w:val="clear" w:color="auto" w:fill="auto"/>
        <w:spacing w:before="0" w:after="160" w:line="360" w:lineRule="auto"/>
        <w:jc w:val="right"/>
        <w:rPr>
          <w:rFonts w:ascii="Sylfaen" w:hAnsi="Sylfaen"/>
          <w:b w:val="0"/>
          <w:sz w:val="24"/>
          <w:szCs w:val="24"/>
          <w:lang w:val="hy-AM"/>
        </w:rPr>
      </w:pPr>
      <w:r w:rsidRPr="00BD7577">
        <w:rPr>
          <w:rStyle w:val="Bodytext295pt"/>
          <w:rFonts w:ascii="Sylfaen" w:hAnsi="Sylfaen"/>
          <w:spacing w:val="0"/>
          <w:sz w:val="24"/>
          <w:szCs w:val="24"/>
        </w:rPr>
        <w:t xml:space="preserve">Ում՝ </w:t>
      </w:r>
      <w:r w:rsidRPr="008C76E0">
        <w:rPr>
          <w:rStyle w:val="Bodytext7NotItalic"/>
          <w:rFonts w:ascii="Sylfaen" w:hAnsi="Sylfaen"/>
          <w:sz w:val="24"/>
          <w:szCs w:val="24"/>
          <w:lang w:val="hy-AM"/>
        </w:rPr>
        <w:t>{</w:t>
      </w:r>
      <w:r w:rsidRPr="008C76E0">
        <w:rPr>
          <w:rFonts w:ascii="Sylfaen" w:hAnsi="Sylfaen"/>
          <w:b w:val="0"/>
          <w:sz w:val="24"/>
          <w:szCs w:val="24"/>
          <w:lang w:val="hy-AM"/>
        </w:rPr>
        <w:t>անդամ պետության լիազորված մարմնի անվանումն ու հասցեն</w:t>
      </w:r>
      <w:r w:rsidRPr="00BD7577">
        <w:rPr>
          <w:rStyle w:val="Bodytext295pt"/>
          <w:rFonts w:ascii="Sylfaen" w:hAnsi="Sylfaen"/>
          <w:spacing w:val="0"/>
          <w:sz w:val="24"/>
          <w:szCs w:val="24"/>
        </w:rPr>
        <w:t>}</w:t>
      </w:r>
    </w:p>
    <w:p w14:paraId="79627FDD" w14:textId="77777777" w:rsidR="008C76E0" w:rsidRPr="008C76E0" w:rsidRDefault="008C76E0" w:rsidP="00207FF6">
      <w:pPr>
        <w:pStyle w:val="Bodytext70"/>
        <w:shd w:val="clear" w:color="auto" w:fill="auto"/>
        <w:spacing w:before="0" w:after="160" w:line="360" w:lineRule="auto"/>
        <w:jc w:val="right"/>
        <w:rPr>
          <w:rStyle w:val="Bodytext7NotItalic"/>
          <w:rFonts w:ascii="Sylfaen" w:hAnsi="Sylfaen"/>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ամսաթիվը</w:t>
      </w:r>
      <w:r w:rsidRPr="008C76E0">
        <w:rPr>
          <w:rStyle w:val="Bodytext7NotItalic"/>
          <w:rFonts w:ascii="Sylfaen" w:hAnsi="Sylfaen"/>
          <w:sz w:val="24"/>
          <w:szCs w:val="24"/>
          <w:lang w:val="hy-AM"/>
        </w:rPr>
        <w:t>} {</w:t>
      </w:r>
      <w:r w:rsidRPr="008C76E0">
        <w:rPr>
          <w:rFonts w:ascii="Sylfaen" w:hAnsi="Sylfaen"/>
          <w:b w:val="0"/>
          <w:sz w:val="24"/>
          <w:szCs w:val="24"/>
          <w:lang w:val="hy-AM"/>
        </w:rPr>
        <w:t>ելից համարը</w:t>
      </w:r>
      <w:r w:rsidRPr="008C76E0">
        <w:rPr>
          <w:rStyle w:val="Bodytext7NotItalic"/>
          <w:rFonts w:ascii="Sylfaen" w:hAnsi="Sylfaen"/>
          <w:sz w:val="24"/>
          <w:szCs w:val="24"/>
          <w:lang w:val="hy-AM"/>
        </w:rPr>
        <w:t>}</w:t>
      </w:r>
    </w:p>
    <w:p w14:paraId="52D04BAD" w14:textId="77777777" w:rsidR="008C76E0" w:rsidRPr="005A1ED7" w:rsidRDefault="008C76E0" w:rsidP="00207FF6">
      <w:pPr>
        <w:spacing w:after="160" w:line="360" w:lineRule="auto"/>
        <w:ind w:left="1418" w:hanging="1418"/>
        <w:jc w:val="both"/>
        <w:rPr>
          <w:rStyle w:val="Bodytext7NotItalic"/>
          <w:rFonts w:ascii="Sylfaen" w:eastAsiaTheme="minorHAnsi" w:hAnsi="Sylfaen"/>
          <w:b w:val="0"/>
          <w:bCs w:val="0"/>
          <w:sz w:val="24"/>
          <w:szCs w:val="24"/>
        </w:rPr>
      </w:pPr>
      <w:r w:rsidRPr="00BD7577">
        <w:rPr>
          <w:rFonts w:ascii="Sylfaen" w:hAnsi="Sylfaen"/>
          <w:sz w:val="24"/>
          <w:szCs w:val="24"/>
        </w:rPr>
        <w:t>Առարկան՝</w:t>
      </w:r>
      <w:r w:rsidRPr="00224B3B">
        <w:rPr>
          <w:rFonts w:ascii="Sylfaen" w:hAnsi="Sylfaen"/>
          <w:sz w:val="24"/>
          <w:szCs w:val="24"/>
        </w:rPr>
        <w:tab/>
      </w:r>
      <w:r w:rsidRPr="005A1ED7">
        <w:rPr>
          <w:rStyle w:val="Bodytext7NotItalic"/>
          <w:rFonts w:ascii="Sylfaen" w:eastAsiaTheme="minorHAnsi" w:hAnsi="Sylfaen"/>
          <w:b w:val="0"/>
          <w:sz w:val="24"/>
          <w:szCs w:val="24"/>
        </w:rPr>
        <w:t>{</w:t>
      </w:r>
      <w:r w:rsidRPr="005A1ED7">
        <w:rPr>
          <w:rFonts w:ascii="Sylfaen" w:hAnsi="Sylfaen"/>
          <w:sz w:val="24"/>
          <w:szCs w:val="24"/>
        </w:rPr>
        <w:t>ակ</w:t>
      </w:r>
      <w:r w:rsidRPr="00BD7577">
        <w:rPr>
          <w:rFonts w:ascii="Sylfaen" w:hAnsi="Sylfaen"/>
          <w:sz w:val="24"/>
          <w:szCs w:val="24"/>
        </w:rPr>
        <w:t>տիվ դեղագործական բաղադրամասի անվանումը</w:t>
      </w:r>
      <w:r w:rsidRPr="005A1ED7">
        <w:rPr>
          <w:rStyle w:val="Bodytext7NotItalic"/>
          <w:rFonts w:ascii="Sylfaen" w:eastAsiaTheme="minorHAnsi" w:hAnsi="Sylfaen"/>
          <w:b w:val="0"/>
          <w:sz w:val="24"/>
          <w:szCs w:val="24"/>
        </w:rPr>
        <w:t xml:space="preserve">} համար ԱԴԲՄՖ-ի վերաբերյալ փաստաթղթեր նեկայացնելը </w:t>
      </w:r>
    </w:p>
    <w:p w14:paraId="1BF41892" w14:textId="77777777" w:rsidR="008C76E0" w:rsidRPr="005A1ED7" w:rsidRDefault="008C76E0" w:rsidP="00207FF6">
      <w:pPr>
        <w:spacing w:after="160" w:line="360" w:lineRule="auto"/>
        <w:ind w:left="1418"/>
        <w:jc w:val="both"/>
        <w:rPr>
          <w:rFonts w:ascii="Sylfaen" w:hAnsi="Sylfaen"/>
          <w:b/>
          <w:sz w:val="24"/>
          <w:szCs w:val="24"/>
        </w:rPr>
      </w:pPr>
      <w:r w:rsidRPr="005A1ED7">
        <w:rPr>
          <w:rStyle w:val="Bodytext7NotItalic"/>
          <w:rFonts w:ascii="Sylfaen" w:eastAsiaTheme="minorHAnsi" w:hAnsi="Sylfaen"/>
          <w:b w:val="0"/>
          <w:i w:val="0"/>
          <w:sz w:val="24"/>
          <w:szCs w:val="24"/>
        </w:rPr>
        <w:t>{</w:t>
      </w:r>
      <w:r w:rsidRPr="005A1ED7">
        <w:rPr>
          <w:rStyle w:val="Bodytext295pt"/>
          <w:rFonts w:ascii="Sylfaen" w:eastAsiaTheme="minorHAnsi" w:hAnsi="Sylfaen"/>
          <w:b w:val="0"/>
          <w:spacing w:val="0"/>
          <w:sz w:val="24"/>
          <w:szCs w:val="24"/>
        </w:rPr>
        <w:t>ԱԴԲՄՖ-ի ծածկագրային համարը}</w:t>
      </w:r>
    </w:p>
    <w:p w14:paraId="7E5F6204"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Նշվում է հետ</w:t>
      </w:r>
      <w:r w:rsidR="00C54D75">
        <w:rPr>
          <w:rFonts w:ascii="Sylfaen" w:hAnsi="Sylfaen"/>
          <w:sz w:val="24"/>
          <w:szCs w:val="24"/>
        </w:rPr>
        <w:t>և</w:t>
      </w:r>
      <w:r w:rsidRPr="00BD7577">
        <w:rPr>
          <w:rFonts w:ascii="Sylfaen" w:hAnsi="Sylfaen"/>
          <w:sz w:val="24"/>
          <w:szCs w:val="24"/>
        </w:rPr>
        <w:t>յալ ձ</w:t>
      </w:r>
      <w:r w:rsidR="00C54D75">
        <w:rPr>
          <w:rFonts w:ascii="Sylfaen" w:hAnsi="Sylfaen"/>
          <w:sz w:val="24"/>
          <w:szCs w:val="24"/>
        </w:rPr>
        <w:t>և</w:t>
      </w:r>
      <w:r w:rsidRPr="00BD7577">
        <w:rPr>
          <w:rFonts w:ascii="Sylfaen" w:hAnsi="Sylfaen"/>
          <w:sz w:val="24"/>
          <w:szCs w:val="24"/>
        </w:rPr>
        <w:t>աչափով՝ ԵԱՏՄ/ԱԴԲՄՖ/ХХХХХ կամ YY/ԱԴԲՄՖ/ХХХХХ, որտեղ՝ ХХХХХ-ը թվային նշումն է, YY-ը՝ անդամ պետության երկնիշ լատինատառ ծածկագիրը։</w:t>
      </w:r>
    </w:p>
    <w:p w14:paraId="2C403083" w14:textId="77777777" w:rsidR="008C76E0" w:rsidRPr="00BD7577" w:rsidRDefault="008C76E0" w:rsidP="00207FF6">
      <w:pPr>
        <w:spacing w:after="160" w:line="360" w:lineRule="auto"/>
        <w:jc w:val="center"/>
        <w:rPr>
          <w:rFonts w:ascii="Sylfaen" w:hAnsi="Sylfaen"/>
          <w:sz w:val="24"/>
          <w:szCs w:val="24"/>
        </w:rPr>
      </w:pPr>
      <w:r w:rsidRPr="00746E86">
        <w:rPr>
          <w:rFonts w:ascii="Sylfaen" w:hAnsi="Sylfaen"/>
          <w:sz w:val="24"/>
          <w:szCs w:val="24"/>
        </w:rPr>
        <w:lastRenderedPageBreak/>
        <w:t>Հարգելի ...</w:t>
      </w:r>
    </w:p>
    <w:p w14:paraId="3591CB36" w14:textId="77777777" w:rsidR="008C76E0" w:rsidRPr="00BA15D2" w:rsidRDefault="008C76E0" w:rsidP="00207FF6">
      <w:pPr>
        <w:spacing w:after="160" w:line="360" w:lineRule="auto"/>
        <w:ind w:firstLine="567"/>
        <w:jc w:val="both"/>
        <w:rPr>
          <w:rFonts w:ascii="Sylfaen" w:hAnsi="Sylfaen"/>
          <w:spacing w:val="-4"/>
          <w:sz w:val="24"/>
          <w:szCs w:val="24"/>
        </w:rPr>
      </w:pPr>
      <w:r w:rsidRPr="00BA15D2">
        <w:rPr>
          <w:rFonts w:ascii="Sylfaen" w:hAnsi="Sylfaen"/>
          <w:spacing w:val="-4"/>
          <w:sz w:val="24"/>
          <w:szCs w:val="24"/>
        </w:rPr>
        <w:t>Ակտիվ դեղագործական բաղադրամասի սույն մաստեր-ֆայլը ներկայացվում է հետ</w:t>
      </w:r>
      <w:r w:rsidR="00C54D75">
        <w:rPr>
          <w:rFonts w:ascii="Sylfaen" w:hAnsi="Sylfaen"/>
          <w:spacing w:val="-4"/>
          <w:sz w:val="24"/>
          <w:szCs w:val="24"/>
        </w:rPr>
        <w:t>և</w:t>
      </w:r>
      <w:r w:rsidRPr="00BA15D2">
        <w:rPr>
          <w:rFonts w:ascii="Sylfaen" w:hAnsi="Sylfaen"/>
          <w:spacing w:val="-4"/>
          <w:sz w:val="24"/>
          <w:szCs w:val="24"/>
        </w:rPr>
        <w:t>յալ դեղապատրաստուկի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9"/>
        <w:gridCol w:w="5122"/>
      </w:tblGrid>
      <w:tr w:rsidR="008C76E0" w:rsidRPr="00BD7577" w14:paraId="073AFA93" w14:textId="77777777" w:rsidTr="008C76E0">
        <w:trPr>
          <w:jc w:val="center"/>
        </w:trPr>
        <w:tc>
          <w:tcPr>
            <w:tcW w:w="4219" w:type="dxa"/>
            <w:tcBorders>
              <w:top w:val="single" w:sz="4" w:space="0" w:color="auto"/>
              <w:left w:val="single" w:sz="4" w:space="0" w:color="auto"/>
              <w:bottom w:val="single" w:sz="4" w:space="0" w:color="auto"/>
            </w:tcBorders>
            <w:shd w:val="clear" w:color="auto" w:fill="FFFFFF"/>
          </w:tcPr>
          <w:p w14:paraId="352DA43E" w14:textId="77777777" w:rsidR="008C76E0" w:rsidRPr="008C76E0" w:rsidRDefault="008C76E0" w:rsidP="008C76E0">
            <w:pPr>
              <w:pStyle w:val="Bodytext180"/>
              <w:shd w:val="clear" w:color="auto" w:fill="auto"/>
              <w:spacing w:before="0" w:after="120" w:line="240" w:lineRule="auto"/>
              <w:ind w:left="125" w:right="-1" w:firstLine="0"/>
              <w:rPr>
                <w:rFonts w:ascii="Sylfaen" w:hAnsi="Sylfaen"/>
                <w:b w:val="0"/>
                <w:sz w:val="24"/>
                <w:szCs w:val="24"/>
                <w:lang w:val="hy-AM"/>
              </w:rPr>
            </w:pPr>
            <w:r w:rsidRPr="00BD7577">
              <w:rPr>
                <w:rStyle w:val="Bodytext1811pt"/>
                <w:rFonts w:ascii="Sylfaen" w:hAnsi="Sylfaen"/>
                <w:sz w:val="24"/>
                <w:szCs w:val="24"/>
              </w:rPr>
              <w:t>Դեղապատրաստուկը</w:t>
            </w:r>
          </w:p>
          <w:p w14:paraId="3302BF42" w14:textId="77777777" w:rsidR="008C76E0" w:rsidRPr="008C76E0" w:rsidRDefault="008C76E0" w:rsidP="008C76E0">
            <w:pPr>
              <w:pStyle w:val="Bodytext180"/>
              <w:shd w:val="clear" w:color="auto" w:fill="auto"/>
              <w:spacing w:before="0" w:after="120" w:line="240" w:lineRule="auto"/>
              <w:ind w:left="125" w:right="-1" w:firstLine="0"/>
              <w:rPr>
                <w:rFonts w:ascii="Sylfaen" w:hAnsi="Sylfaen"/>
                <w:b w:val="0"/>
                <w:sz w:val="24"/>
                <w:szCs w:val="24"/>
                <w:lang w:val="hy-AM"/>
              </w:rPr>
            </w:pPr>
            <w:r w:rsidRPr="00BD7577">
              <w:rPr>
                <w:rStyle w:val="Bodytext1811pt"/>
                <w:rFonts w:ascii="Sylfaen" w:hAnsi="Sylfaen"/>
                <w:sz w:val="24"/>
                <w:szCs w:val="24"/>
              </w:rPr>
              <w:t>Ընթացակարգին տրված համարը (եթե կիրառելի է)</w:t>
            </w:r>
          </w:p>
          <w:p w14:paraId="0B700D90" w14:textId="77777777" w:rsidR="008C76E0" w:rsidRPr="008C76E0" w:rsidRDefault="008C76E0" w:rsidP="008C76E0">
            <w:pPr>
              <w:pStyle w:val="Bodytext180"/>
              <w:shd w:val="clear" w:color="auto" w:fill="auto"/>
              <w:spacing w:before="0" w:after="120" w:line="240" w:lineRule="auto"/>
              <w:ind w:left="125" w:right="-1" w:firstLine="0"/>
              <w:rPr>
                <w:rFonts w:ascii="Sylfaen" w:hAnsi="Sylfaen"/>
                <w:b w:val="0"/>
                <w:sz w:val="24"/>
                <w:szCs w:val="24"/>
                <w:lang w:val="hy-AM"/>
              </w:rPr>
            </w:pPr>
            <w:r w:rsidRPr="00BD7577">
              <w:rPr>
                <w:rStyle w:val="Bodytext1811pt"/>
                <w:rFonts w:ascii="Sylfaen" w:hAnsi="Sylfaen"/>
                <w:sz w:val="24"/>
                <w:szCs w:val="24"/>
              </w:rPr>
              <w:t>Գրանցման դոսյեն կամ փոփոխության դոսյեն ներկայացնելու (ենթադրյալ) ամսաթիվը (եթե հայտնի է)</w:t>
            </w:r>
          </w:p>
        </w:tc>
        <w:tc>
          <w:tcPr>
            <w:tcW w:w="5122" w:type="dxa"/>
            <w:tcBorders>
              <w:top w:val="single" w:sz="4" w:space="0" w:color="auto"/>
              <w:left w:val="single" w:sz="4" w:space="0" w:color="auto"/>
              <w:bottom w:val="single" w:sz="4" w:space="0" w:color="auto"/>
              <w:right w:val="single" w:sz="4" w:space="0" w:color="auto"/>
            </w:tcBorders>
            <w:shd w:val="clear" w:color="auto" w:fill="FFFFFF"/>
            <w:vAlign w:val="bottom"/>
          </w:tcPr>
          <w:p w14:paraId="64C504D5" w14:textId="77777777" w:rsidR="008C76E0" w:rsidRPr="008C76E0" w:rsidRDefault="008C76E0" w:rsidP="008C76E0">
            <w:pPr>
              <w:pStyle w:val="Bodytext180"/>
              <w:shd w:val="clear" w:color="auto" w:fill="auto"/>
              <w:spacing w:before="0" w:after="120" w:line="240" w:lineRule="auto"/>
              <w:ind w:left="159" w:right="124" w:firstLine="0"/>
              <w:rPr>
                <w:rFonts w:ascii="Sylfaen" w:hAnsi="Sylfaen"/>
                <w:b w:val="0"/>
                <w:sz w:val="24"/>
                <w:szCs w:val="24"/>
                <w:lang w:val="hy-AM"/>
              </w:rPr>
            </w:pPr>
            <w:r w:rsidRPr="005B58E6">
              <w:rPr>
                <w:rStyle w:val="Bodytext295pt"/>
                <w:rFonts w:ascii="Sylfaen" w:hAnsi="Sylfaen"/>
                <w:i/>
                <w:spacing w:val="0"/>
                <w:sz w:val="24"/>
                <w:szCs w:val="24"/>
              </w:rPr>
              <w:t xml:space="preserve">{դեղապատրաստուկի անվանումը </w:t>
            </w:r>
            <w:r w:rsidRPr="005B58E6">
              <w:rPr>
                <w:rStyle w:val="Bodytext1811pt"/>
                <w:rFonts w:ascii="Sylfaen" w:hAnsi="Sylfaen"/>
                <w:i/>
                <w:sz w:val="24"/>
                <w:szCs w:val="24"/>
              </w:rPr>
              <w:t>}</w:t>
            </w:r>
            <w:r w:rsidRPr="00BD7577">
              <w:rPr>
                <w:rStyle w:val="Bodytext1811pt"/>
                <w:rFonts w:ascii="Sylfaen" w:hAnsi="Sylfaen"/>
                <w:sz w:val="24"/>
                <w:szCs w:val="24"/>
              </w:rPr>
              <w:t xml:space="preserve"> </w:t>
            </w:r>
            <w:r w:rsidRPr="005B58E6">
              <w:rPr>
                <w:rStyle w:val="Bodytext1811pt"/>
                <w:rFonts w:ascii="Sylfaen" w:hAnsi="Sylfaen"/>
                <w:sz w:val="24"/>
                <w:szCs w:val="24"/>
              </w:rPr>
              <w:br/>
            </w:r>
            <w:r w:rsidRPr="00BD7577">
              <w:rPr>
                <w:rStyle w:val="Bodytext1811pt"/>
                <w:rFonts w:ascii="Sylfaen" w:hAnsi="Sylfaen"/>
                <w:sz w:val="24"/>
                <w:szCs w:val="24"/>
              </w:rPr>
              <w:t>(Եթե ներկայացնելու պահին դեղապատրաստուկի առ</w:t>
            </w:r>
            <w:r w:rsidR="00C54D75">
              <w:rPr>
                <w:rStyle w:val="Bodytext1811pt"/>
                <w:rFonts w:ascii="Sylfaen" w:hAnsi="Sylfaen"/>
                <w:sz w:val="24"/>
                <w:szCs w:val="24"/>
              </w:rPr>
              <w:t>և</w:t>
            </w:r>
            <w:r w:rsidRPr="00BD7577">
              <w:rPr>
                <w:rStyle w:val="Bodytext1811pt"/>
                <w:rFonts w:ascii="Sylfaen" w:hAnsi="Sylfaen"/>
                <w:sz w:val="24"/>
                <w:szCs w:val="24"/>
              </w:rPr>
              <w:t>տրային անվանումը համաձայնեցված չէ, ապա հարկ է նշել «ՄՉԱ-ն + գրանցման հավաստագրի իրավատիրոջ անվանումը»)</w:t>
            </w:r>
          </w:p>
          <w:p w14:paraId="75575011" w14:textId="77777777" w:rsidR="008C76E0" w:rsidRPr="005B58E6" w:rsidRDefault="008C76E0" w:rsidP="008C76E0">
            <w:pPr>
              <w:pStyle w:val="Bodytext180"/>
              <w:shd w:val="clear" w:color="auto" w:fill="auto"/>
              <w:spacing w:before="0" w:after="120" w:line="240" w:lineRule="auto"/>
              <w:ind w:left="159" w:right="124" w:firstLine="0"/>
              <w:jc w:val="both"/>
              <w:rPr>
                <w:rFonts w:ascii="Sylfaen" w:hAnsi="Sylfaen"/>
                <w:b w:val="0"/>
                <w:i/>
                <w:sz w:val="24"/>
                <w:szCs w:val="24"/>
              </w:rPr>
            </w:pPr>
            <w:r w:rsidRPr="005B58E6">
              <w:rPr>
                <w:rStyle w:val="Bodytext295pt"/>
                <w:rFonts w:ascii="Sylfaen" w:hAnsi="Sylfaen"/>
                <w:i/>
                <w:spacing w:val="0"/>
                <w:sz w:val="24"/>
                <w:szCs w:val="24"/>
              </w:rPr>
              <w:t>{ընթացակարգի ծածկագիրը</w:t>
            </w:r>
            <w:r w:rsidRPr="005B58E6">
              <w:rPr>
                <w:rStyle w:val="Bodytext1811pt"/>
                <w:rFonts w:ascii="Sylfaen" w:hAnsi="Sylfaen"/>
                <w:i/>
                <w:sz w:val="24"/>
                <w:szCs w:val="24"/>
              </w:rPr>
              <w:t>}</w:t>
            </w:r>
          </w:p>
          <w:p w14:paraId="31A7A393" w14:textId="77777777" w:rsidR="008C76E0" w:rsidRPr="00BD7577" w:rsidRDefault="008C76E0" w:rsidP="008C76E0">
            <w:pPr>
              <w:pStyle w:val="Bodytext180"/>
              <w:shd w:val="clear" w:color="auto" w:fill="auto"/>
              <w:spacing w:before="0" w:after="120" w:line="240" w:lineRule="auto"/>
              <w:ind w:left="159" w:right="124" w:firstLine="0"/>
              <w:jc w:val="both"/>
              <w:rPr>
                <w:rFonts w:ascii="Sylfaen" w:hAnsi="Sylfaen"/>
                <w:b w:val="0"/>
                <w:sz w:val="24"/>
                <w:szCs w:val="24"/>
              </w:rPr>
            </w:pPr>
            <w:r w:rsidRPr="005B58E6">
              <w:rPr>
                <w:rStyle w:val="Bodytext295pt"/>
                <w:rFonts w:ascii="Sylfaen" w:hAnsi="Sylfaen"/>
                <w:i/>
                <w:spacing w:val="0"/>
                <w:sz w:val="24"/>
                <w:szCs w:val="24"/>
              </w:rPr>
              <w:t>{Ամսաթիվը}</w:t>
            </w:r>
          </w:p>
        </w:tc>
      </w:tr>
    </w:tbl>
    <w:p w14:paraId="7CAB8768" w14:textId="77777777" w:rsidR="008C76E0" w:rsidRPr="00BD7577" w:rsidRDefault="008C76E0" w:rsidP="008C76E0">
      <w:pPr>
        <w:ind w:right="-1"/>
        <w:jc w:val="both"/>
        <w:rPr>
          <w:rFonts w:ascii="Sylfaen" w:hAnsi="Sylfaen"/>
          <w:sz w:val="24"/>
          <w:szCs w:val="24"/>
        </w:rPr>
      </w:pPr>
    </w:p>
    <w:p w14:paraId="5B768ED9" w14:textId="77777777" w:rsidR="008C76E0" w:rsidRPr="00BD7577" w:rsidRDefault="008C76E0" w:rsidP="00207FF6">
      <w:pPr>
        <w:spacing w:after="160" w:line="360" w:lineRule="auto"/>
        <w:ind w:left="567" w:right="566"/>
        <w:jc w:val="center"/>
        <w:rPr>
          <w:rFonts w:ascii="Sylfaen" w:hAnsi="Sylfaen"/>
          <w:sz w:val="24"/>
          <w:szCs w:val="24"/>
        </w:rPr>
      </w:pPr>
      <w:r w:rsidRPr="00BD7577">
        <w:rPr>
          <w:rFonts w:ascii="Sylfaen" w:hAnsi="Sylfaen"/>
          <w:sz w:val="24"/>
          <w:szCs w:val="24"/>
        </w:rPr>
        <w:t>Ակտիվ դեղագործական բաղադրամասի մաստեր-ֆայլի (ԱԴԲՄՖ) մասով փաստաթղթերի վերաբերյալ վարչական տվյալները</w:t>
      </w:r>
    </w:p>
    <w:p w14:paraId="6E531497"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Սույն ուղեգիր-նամակը հարկ է օգտագործել փորձարկման ենթակա ակտիվ դեղագործական նյութի մաստեր-ֆայլի դեպքում՝ դեղապատրաստուկի գրանցման դոսյեի կամ փոփոխության մասով դոսյեի հետ համատեղ։ Անհրաժեշտ է լրացնել բոլոր տեղեկատվական դաշտերը։</w:t>
      </w:r>
    </w:p>
    <w:tbl>
      <w:tblPr>
        <w:tblOverlap w:val="never"/>
        <w:tblW w:w="9958" w:type="dxa"/>
        <w:jc w:val="center"/>
        <w:tblLayout w:type="fixed"/>
        <w:tblCellMar>
          <w:left w:w="10" w:type="dxa"/>
          <w:right w:w="10" w:type="dxa"/>
        </w:tblCellMar>
        <w:tblLook w:val="04A0" w:firstRow="1" w:lastRow="0" w:firstColumn="1" w:lastColumn="0" w:noHBand="0" w:noVBand="1"/>
      </w:tblPr>
      <w:tblGrid>
        <w:gridCol w:w="2073"/>
        <w:gridCol w:w="341"/>
        <w:gridCol w:w="1969"/>
        <w:gridCol w:w="150"/>
        <w:gridCol w:w="5425"/>
      </w:tblGrid>
      <w:tr w:rsidR="008C76E0" w:rsidRPr="00BD7577" w14:paraId="25A5A650" w14:textId="77777777" w:rsidTr="008C76E0">
        <w:trPr>
          <w:jc w:val="center"/>
        </w:trPr>
        <w:tc>
          <w:tcPr>
            <w:tcW w:w="4383" w:type="dxa"/>
            <w:gridSpan w:val="3"/>
            <w:tcBorders>
              <w:top w:val="single" w:sz="4" w:space="0" w:color="auto"/>
              <w:left w:val="single" w:sz="4" w:space="0" w:color="auto"/>
            </w:tcBorders>
            <w:shd w:val="clear" w:color="auto" w:fill="FFFFFF"/>
          </w:tcPr>
          <w:p w14:paraId="0449C511" w14:textId="77777777" w:rsidR="008C76E0" w:rsidRPr="008C76E0" w:rsidRDefault="008C76E0" w:rsidP="008C76E0">
            <w:pPr>
              <w:pStyle w:val="Bodytext180"/>
              <w:shd w:val="clear" w:color="auto" w:fill="auto"/>
              <w:spacing w:before="0" w:after="120" w:line="288" w:lineRule="auto"/>
              <w:ind w:left="120" w:firstLine="0"/>
              <w:rPr>
                <w:rFonts w:ascii="Sylfaen" w:hAnsi="Sylfaen"/>
                <w:b w:val="0"/>
                <w:sz w:val="24"/>
                <w:szCs w:val="24"/>
                <w:lang w:val="hy-AM"/>
              </w:rPr>
            </w:pPr>
            <w:r w:rsidRPr="00BD7577">
              <w:rPr>
                <w:rStyle w:val="Bodytext1811pt"/>
                <w:rFonts w:ascii="Sylfaen" w:hAnsi="Sylfaen"/>
                <w:sz w:val="24"/>
                <w:szCs w:val="24"/>
              </w:rPr>
              <w:t>Սույն փաստաթղթերը ուղարկվում են նա</w:t>
            </w:r>
            <w:r w:rsidR="00C54D75">
              <w:rPr>
                <w:rStyle w:val="Bodytext1811pt"/>
                <w:rFonts w:ascii="Sylfaen" w:hAnsi="Sylfaen"/>
                <w:sz w:val="24"/>
                <w:szCs w:val="24"/>
              </w:rPr>
              <w:t>և</w:t>
            </w:r>
            <w:r w:rsidRPr="00BD7577">
              <w:rPr>
                <w:rStyle w:val="Bodytext1811pt"/>
                <w:rFonts w:ascii="Sylfaen" w:hAnsi="Sylfaen"/>
                <w:sz w:val="24"/>
                <w:szCs w:val="24"/>
              </w:rPr>
              <w:t>՝</w:t>
            </w:r>
          </w:p>
        </w:tc>
        <w:tc>
          <w:tcPr>
            <w:tcW w:w="5575" w:type="dxa"/>
            <w:gridSpan w:val="2"/>
            <w:tcBorders>
              <w:top w:val="single" w:sz="4" w:space="0" w:color="auto"/>
              <w:left w:val="single" w:sz="4" w:space="0" w:color="auto"/>
              <w:right w:val="single" w:sz="4" w:space="0" w:color="auto"/>
            </w:tcBorders>
            <w:shd w:val="clear" w:color="auto" w:fill="FFFFFF"/>
            <w:vAlign w:val="bottom"/>
          </w:tcPr>
          <w:p w14:paraId="1D19D958" w14:textId="77777777" w:rsidR="008C76E0" w:rsidRPr="008C76E0" w:rsidRDefault="008C76E0" w:rsidP="008C76E0">
            <w:pPr>
              <w:pStyle w:val="Bodytext180"/>
              <w:shd w:val="clear" w:color="auto" w:fill="auto"/>
              <w:spacing w:before="0" w:after="120" w:line="288" w:lineRule="auto"/>
              <w:ind w:left="116" w:right="49" w:firstLine="0"/>
              <w:rPr>
                <w:rFonts w:ascii="Sylfaen" w:hAnsi="Sylfaen"/>
                <w:b w:val="0"/>
                <w:sz w:val="24"/>
                <w:szCs w:val="24"/>
                <w:lang w:val="hy-AM"/>
              </w:rPr>
            </w:pPr>
            <w:r w:rsidRPr="008C76E0">
              <w:rPr>
                <w:rFonts w:ascii="Sylfaen" w:hAnsi="Sylfaen"/>
                <w:b w:val="0"/>
                <w:sz w:val="24"/>
                <w:szCs w:val="24"/>
                <w:lang w:val="hy-AM"/>
              </w:rPr>
              <w:t xml:space="preserve">□ </w:t>
            </w:r>
            <w:r w:rsidRPr="00BD7577">
              <w:rPr>
                <w:rStyle w:val="Bodytext1811pt"/>
                <w:rFonts w:ascii="Sylfaen" w:hAnsi="Sylfaen"/>
                <w:sz w:val="24"/>
                <w:szCs w:val="24"/>
              </w:rPr>
              <w:t>ընթացակարգին մասնակցող բոլոր անդամ պետություններին</w:t>
            </w:r>
          </w:p>
          <w:p w14:paraId="03B3D958" w14:textId="77777777" w:rsidR="008C76E0" w:rsidRPr="008C76E0" w:rsidRDefault="008C76E0" w:rsidP="008C76E0">
            <w:pPr>
              <w:pStyle w:val="Bodytext180"/>
              <w:shd w:val="clear" w:color="auto" w:fill="auto"/>
              <w:spacing w:before="0" w:after="120" w:line="288" w:lineRule="auto"/>
              <w:ind w:left="116" w:right="49" w:firstLine="0"/>
              <w:rPr>
                <w:rFonts w:ascii="Sylfaen" w:hAnsi="Sylfaen"/>
                <w:b w:val="0"/>
                <w:sz w:val="24"/>
                <w:szCs w:val="24"/>
                <w:lang w:val="hy-AM"/>
              </w:rPr>
            </w:pPr>
            <w:r w:rsidRPr="008C76E0">
              <w:rPr>
                <w:rFonts w:ascii="Sylfaen" w:hAnsi="Sylfaen"/>
                <w:b w:val="0"/>
                <w:sz w:val="24"/>
                <w:szCs w:val="24"/>
                <w:lang w:val="hy-AM"/>
              </w:rPr>
              <w:t xml:space="preserve">□ </w:t>
            </w:r>
            <w:r w:rsidRPr="00BD7577">
              <w:rPr>
                <w:rStyle w:val="Bodytext1811pt"/>
                <w:rFonts w:ascii="Sylfaen" w:hAnsi="Sylfaen"/>
                <w:sz w:val="24"/>
                <w:szCs w:val="24"/>
              </w:rPr>
              <w:t>բացառապես {ռեֆերենտ պետությանը}</w:t>
            </w:r>
          </w:p>
        </w:tc>
      </w:tr>
      <w:tr w:rsidR="008C76E0" w:rsidRPr="00BD7577" w14:paraId="3D0A2A79" w14:textId="77777777" w:rsidTr="008C76E0">
        <w:trPr>
          <w:jc w:val="center"/>
        </w:trPr>
        <w:tc>
          <w:tcPr>
            <w:tcW w:w="4383" w:type="dxa"/>
            <w:gridSpan w:val="3"/>
            <w:tcBorders>
              <w:top w:val="single" w:sz="4" w:space="0" w:color="auto"/>
              <w:left w:val="single" w:sz="4" w:space="0" w:color="auto"/>
            </w:tcBorders>
            <w:shd w:val="clear" w:color="auto" w:fill="FFFFFF"/>
          </w:tcPr>
          <w:p w14:paraId="5EEA1E62" w14:textId="77777777" w:rsidR="008C76E0" w:rsidRPr="00BD7577" w:rsidRDefault="008C76E0" w:rsidP="008C76E0">
            <w:pPr>
              <w:pStyle w:val="Bodytext180"/>
              <w:shd w:val="clear" w:color="auto" w:fill="auto"/>
              <w:spacing w:before="0" w:after="120" w:line="288" w:lineRule="auto"/>
              <w:ind w:left="120" w:right="147" w:firstLine="0"/>
              <w:rPr>
                <w:rFonts w:ascii="Sylfaen" w:hAnsi="Sylfaen"/>
                <w:b w:val="0"/>
                <w:sz w:val="24"/>
                <w:szCs w:val="24"/>
              </w:rPr>
            </w:pPr>
            <w:r w:rsidRPr="00BD7577">
              <w:rPr>
                <w:rStyle w:val="Bodytext1811pt"/>
                <w:rFonts w:ascii="Sylfaen" w:hAnsi="Sylfaen"/>
                <w:sz w:val="24"/>
                <w:szCs w:val="24"/>
              </w:rPr>
              <w:t>ԱԴԲՄՖ-ի ծածկագրային համարը</w:t>
            </w:r>
          </w:p>
        </w:tc>
        <w:tc>
          <w:tcPr>
            <w:tcW w:w="5575" w:type="dxa"/>
            <w:gridSpan w:val="2"/>
            <w:tcBorders>
              <w:top w:val="single" w:sz="4" w:space="0" w:color="auto"/>
              <w:left w:val="single" w:sz="4" w:space="0" w:color="auto"/>
              <w:right w:val="single" w:sz="4" w:space="0" w:color="auto"/>
            </w:tcBorders>
            <w:shd w:val="clear" w:color="auto" w:fill="FFFFFF"/>
            <w:vAlign w:val="bottom"/>
          </w:tcPr>
          <w:p w14:paraId="569C6ED7" w14:textId="77777777" w:rsidR="008C76E0" w:rsidRPr="00BD7577" w:rsidRDefault="008C76E0" w:rsidP="008C76E0">
            <w:pPr>
              <w:pStyle w:val="Bodytext180"/>
              <w:shd w:val="clear" w:color="auto" w:fill="auto"/>
              <w:spacing w:before="0" w:after="120" w:line="288" w:lineRule="auto"/>
              <w:ind w:left="116" w:right="49" w:firstLine="0"/>
              <w:rPr>
                <w:rFonts w:ascii="Sylfaen" w:hAnsi="Sylfaen"/>
                <w:b w:val="0"/>
                <w:sz w:val="24"/>
                <w:szCs w:val="24"/>
              </w:rPr>
            </w:pPr>
            <w:r w:rsidRPr="00BD7577">
              <w:rPr>
                <w:rStyle w:val="Bodytext295pt"/>
                <w:rFonts w:ascii="Sylfaen" w:hAnsi="Sylfaen"/>
                <w:spacing w:val="0"/>
                <w:sz w:val="24"/>
                <w:szCs w:val="24"/>
              </w:rPr>
              <w:t>{ԱԴԲՄՖ-ի ծածկագրային համարը}</w:t>
            </w:r>
          </w:p>
          <w:p w14:paraId="4A5514C2" w14:textId="77777777" w:rsidR="008C76E0" w:rsidRPr="00BD7577" w:rsidRDefault="008C76E0" w:rsidP="008C76E0">
            <w:pPr>
              <w:pStyle w:val="Bodytext180"/>
              <w:shd w:val="clear" w:color="auto" w:fill="auto"/>
              <w:spacing w:before="0" w:after="120" w:line="288" w:lineRule="auto"/>
              <w:ind w:left="116" w:right="49" w:firstLine="0"/>
              <w:rPr>
                <w:rFonts w:ascii="Sylfaen" w:hAnsi="Sylfaen"/>
                <w:b w:val="0"/>
                <w:sz w:val="24"/>
                <w:szCs w:val="24"/>
              </w:rPr>
            </w:pPr>
            <w:r w:rsidRPr="00BD7577">
              <w:rPr>
                <w:rStyle w:val="Bodytext1811pt"/>
                <w:rFonts w:ascii="Sylfaen" w:hAnsi="Sylfaen"/>
                <w:sz w:val="24"/>
                <w:szCs w:val="24"/>
              </w:rPr>
              <w:t>Հետ</w:t>
            </w:r>
            <w:r w:rsidR="00C54D75">
              <w:rPr>
                <w:rStyle w:val="Bodytext1811pt"/>
                <w:rFonts w:ascii="Sylfaen" w:hAnsi="Sylfaen"/>
                <w:sz w:val="24"/>
                <w:szCs w:val="24"/>
              </w:rPr>
              <w:t>և</w:t>
            </w:r>
            <w:r w:rsidRPr="00BD7577">
              <w:rPr>
                <w:rStyle w:val="Bodytext1811pt"/>
                <w:rFonts w:ascii="Sylfaen" w:hAnsi="Sylfaen"/>
                <w:sz w:val="24"/>
                <w:szCs w:val="24"/>
              </w:rPr>
              <w:t>յալ ձ</w:t>
            </w:r>
            <w:r w:rsidR="00C54D75">
              <w:rPr>
                <w:rStyle w:val="Bodytext1811pt"/>
                <w:rFonts w:ascii="Sylfaen" w:hAnsi="Sylfaen"/>
                <w:sz w:val="24"/>
                <w:szCs w:val="24"/>
              </w:rPr>
              <w:t>և</w:t>
            </w:r>
            <w:r w:rsidRPr="00BD7577">
              <w:rPr>
                <w:rStyle w:val="Bodytext1811pt"/>
                <w:rFonts w:ascii="Sylfaen" w:hAnsi="Sylfaen"/>
                <w:sz w:val="24"/>
                <w:szCs w:val="24"/>
              </w:rPr>
              <w:t>աչափով՝ ԵԱՏՄ/ԱԴԲՄՖ/ХХХХХ կամ YY/ԱԴԲՄՖ/ХХХХХ, որտեղ ХХХХХ-ը թվային նշումն է, YY-ը՝ անդամ պետության երկնիշ լատինատառ ծածկագիրը</w:t>
            </w:r>
          </w:p>
        </w:tc>
      </w:tr>
      <w:tr w:rsidR="008C76E0" w:rsidRPr="00BD7577" w14:paraId="0ED6041D" w14:textId="77777777" w:rsidTr="008C76E0">
        <w:trPr>
          <w:jc w:val="center"/>
        </w:trPr>
        <w:tc>
          <w:tcPr>
            <w:tcW w:w="4383" w:type="dxa"/>
            <w:gridSpan w:val="3"/>
            <w:tcBorders>
              <w:top w:val="single" w:sz="4" w:space="0" w:color="auto"/>
              <w:left w:val="single" w:sz="4" w:space="0" w:color="auto"/>
            </w:tcBorders>
            <w:shd w:val="clear" w:color="auto" w:fill="FFFFFF"/>
          </w:tcPr>
          <w:p w14:paraId="4A0C2F2F" w14:textId="77777777" w:rsidR="008C76E0" w:rsidRPr="008C76E0" w:rsidRDefault="008C76E0" w:rsidP="008C76E0">
            <w:pPr>
              <w:pStyle w:val="Bodytext180"/>
              <w:shd w:val="clear" w:color="auto" w:fill="auto"/>
              <w:spacing w:before="0" w:after="120" w:line="288" w:lineRule="auto"/>
              <w:ind w:left="120" w:right="147" w:firstLine="0"/>
              <w:rPr>
                <w:rFonts w:ascii="Sylfaen" w:hAnsi="Sylfaen"/>
                <w:b w:val="0"/>
                <w:sz w:val="24"/>
                <w:szCs w:val="24"/>
                <w:lang w:val="hy-AM"/>
              </w:rPr>
            </w:pPr>
            <w:r w:rsidRPr="00BD7577">
              <w:rPr>
                <w:rStyle w:val="Bodytext1811pt"/>
                <w:rFonts w:ascii="Sylfaen" w:hAnsi="Sylfaen"/>
                <w:sz w:val="24"/>
                <w:szCs w:val="24"/>
              </w:rPr>
              <w:t>ԱԴԲՄՖ-ի իրավատիրոջ տարբերակը (փաստաթղթերի սույն ներկայացման մեջ ներառված)</w:t>
            </w:r>
          </w:p>
          <w:p w14:paraId="507B0600" w14:textId="77777777" w:rsidR="008C76E0" w:rsidRPr="008C76E0" w:rsidRDefault="008C76E0" w:rsidP="008C76E0">
            <w:pPr>
              <w:pStyle w:val="Bodytext180"/>
              <w:shd w:val="clear" w:color="auto" w:fill="auto"/>
              <w:spacing w:before="0" w:after="120" w:line="288" w:lineRule="auto"/>
              <w:ind w:left="120" w:right="147" w:firstLine="0"/>
              <w:rPr>
                <w:rFonts w:ascii="Sylfaen" w:hAnsi="Sylfaen"/>
                <w:b w:val="0"/>
                <w:sz w:val="24"/>
                <w:szCs w:val="24"/>
                <w:lang w:val="hy-AM"/>
              </w:rPr>
            </w:pPr>
          </w:p>
        </w:tc>
        <w:tc>
          <w:tcPr>
            <w:tcW w:w="5575" w:type="dxa"/>
            <w:gridSpan w:val="2"/>
            <w:tcBorders>
              <w:top w:val="single" w:sz="4" w:space="0" w:color="auto"/>
              <w:left w:val="single" w:sz="4" w:space="0" w:color="auto"/>
              <w:right w:val="single" w:sz="4" w:space="0" w:color="auto"/>
            </w:tcBorders>
            <w:shd w:val="clear" w:color="auto" w:fill="FFFFFF"/>
            <w:vAlign w:val="bottom"/>
          </w:tcPr>
          <w:p w14:paraId="1AA2055E" w14:textId="77777777" w:rsidR="008C76E0" w:rsidRPr="008C76E0" w:rsidRDefault="008C76E0" w:rsidP="008C76E0">
            <w:pPr>
              <w:pStyle w:val="Bodytext180"/>
              <w:shd w:val="clear" w:color="auto" w:fill="auto"/>
              <w:spacing w:before="0" w:after="120" w:line="288" w:lineRule="auto"/>
              <w:ind w:left="116" w:right="49" w:firstLine="0"/>
              <w:rPr>
                <w:rFonts w:ascii="Sylfaen" w:hAnsi="Sylfaen"/>
                <w:b w:val="0"/>
                <w:sz w:val="24"/>
                <w:szCs w:val="24"/>
                <w:lang w:val="hy-AM"/>
              </w:rPr>
            </w:pPr>
            <w:r w:rsidRPr="00BD7577">
              <w:rPr>
                <w:rStyle w:val="Bodytext1811pt"/>
                <w:rFonts w:ascii="Sylfaen" w:hAnsi="Sylfaen"/>
                <w:sz w:val="24"/>
                <w:szCs w:val="24"/>
              </w:rPr>
              <w:t>հայտատուի մասը՝</w:t>
            </w:r>
          </w:p>
          <w:p w14:paraId="54B4B90B" w14:textId="77777777" w:rsidR="008C76E0" w:rsidRPr="008C76E0" w:rsidRDefault="008C76E0" w:rsidP="008C76E0">
            <w:pPr>
              <w:pStyle w:val="Bodytext180"/>
              <w:shd w:val="clear" w:color="auto" w:fill="auto"/>
              <w:spacing w:before="0" w:after="120" w:line="288" w:lineRule="auto"/>
              <w:ind w:left="116" w:right="49" w:firstLine="0"/>
              <w:rPr>
                <w:rFonts w:ascii="Sylfaen" w:hAnsi="Sylfaen"/>
                <w:b w:val="0"/>
                <w:sz w:val="24"/>
                <w:szCs w:val="24"/>
                <w:lang w:val="hy-AM"/>
              </w:rPr>
            </w:pPr>
            <w:r w:rsidRPr="00BD7577">
              <w:rPr>
                <w:rStyle w:val="Bodytext1811pt"/>
                <w:rFonts w:ascii="Sylfaen" w:hAnsi="Sylfaen"/>
                <w:sz w:val="24"/>
                <w:szCs w:val="24"/>
              </w:rPr>
              <w:t>տարբերակը [տարբերակի համարը]/ամսաթիվը (օր-ամիս-տարի) փակ մասը՝</w:t>
            </w:r>
          </w:p>
          <w:p w14:paraId="342BC94B" w14:textId="77777777" w:rsidR="008C76E0" w:rsidRPr="008C76E0" w:rsidRDefault="008C76E0" w:rsidP="008C76E0">
            <w:pPr>
              <w:pStyle w:val="Bodytext180"/>
              <w:shd w:val="clear" w:color="auto" w:fill="auto"/>
              <w:spacing w:before="0" w:after="120" w:line="288" w:lineRule="auto"/>
              <w:ind w:left="116" w:right="49" w:firstLine="0"/>
              <w:rPr>
                <w:rFonts w:ascii="Sylfaen" w:hAnsi="Sylfaen"/>
                <w:b w:val="0"/>
                <w:sz w:val="24"/>
                <w:szCs w:val="24"/>
                <w:lang w:val="hy-AM"/>
              </w:rPr>
            </w:pPr>
            <w:r w:rsidRPr="00BD7577">
              <w:rPr>
                <w:rStyle w:val="Bodytext1811pt"/>
                <w:rFonts w:ascii="Sylfaen" w:hAnsi="Sylfaen"/>
                <w:sz w:val="24"/>
                <w:szCs w:val="24"/>
              </w:rPr>
              <w:t xml:space="preserve">տարբերակը [տարբերակի համարը]/ամսաթիվը </w:t>
            </w:r>
            <w:r w:rsidRPr="00BD7577">
              <w:rPr>
                <w:rStyle w:val="Bodytext1811pt"/>
                <w:rFonts w:ascii="Sylfaen" w:hAnsi="Sylfaen"/>
                <w:sz w:val="24"/>
                <w:szCs w:val="24"/>
              </w:rPr>
              <w:lastRenderedPageBreak/>
              <w:t>(օր-ամիս-տարի)</w:t>
            </w:r>
          </w:p>
        </w:tc>
      </w:tr>
      <w:tr w:rsidR="008C76E0" w:rsidRPr="00BD7577" w14:paraId="750AB724" w14:textId="77777777" w:rsidTr="008C76E0">
        <w:trPr>
          <w:jc w:val="center"/>
        </w:trPr>
        <w:tc>
          <w:tcPr>
            <w:tcW w:w="4383" w:type="dxa"/>
            <w:gridSpan w:val="3"/>
            <w:tcBorders>
              <w:top w:val="single" w:sz="4" w:space="0" w:color="auto"/>
              <w:left w:val="single" w:sz="4" w:space="0" w:color="auto"/>
            </w:tcBorders>
            <w:shd w:val="clear" w:color="auto" w:fill="FFFFFF"/>
            <w:vAlign w:val="bottom"/>
          </w:tcPr>
          <w:p w14:paraId="4368730C" w14:textId="77777777" w:rsidR="008C76E0" w:rsidRPr="00BD7577" w:rsidRDefault="008C76E0" w:rsidP="008C76E0">
            <w:pPr>
              <w:pStyle w:val="Bodytext180"/>
              <w:shd w:val="clear" w:color="auto" w:fill="auto"/>
              <w:spacing w:before="0" w:after="120" w:line="240" w:lineRule="auto"/>
              <w:ind w:left="120" w:right="147" w:firstLine="0"/>
              <w:rPr>
                <w:rFonts w:ascii="Sylfaen" w:hAnsi="Sylfaen"/>
                <w:b w:val="0"/>
                <w:sz w:val="24"/>
                <w:szCs w:val="24"/>
              </w:rPr>
            </w:pPr>
            <w:r w:rsidRPr="00BD7577">
              <w:rPr>
                <w:rStyle w:val="Bodytext1811pt"/>
                <w:rFonts w:ascii="Sylfaen" w:hAnsi="Sylfaen"/>
                <w:sz w:val="24"/>
                <w:szCs w:val="24"/>
              </w:rPr>
              <w:lastRenderedPageBreak/>
              <w:t>Դեղագործական բաղադրամասի անվանումը</w:t>
            </w:r>
          </w:p>
        </w:tc>
        <w:tc>
          <w:tcPr>
            <w:tcW w:w="5575" w:type="dxa"/>
            <w:gridSpan w:val="2"/>
            <w:tcBorders>
              <w:top w:val="single" w:sz="4" w:space="0" w:color="auto"/>
              <w:left w:val="single" w:sz="4" w:space="0" w:color="auto"/>
              <w:right w:val="single" w:sz="4" w:space="0" w:color="auto"/>
            </w:tcBorders>
            <w:shd w:val="clear" w:color="auto" w:fill="FFFFFF"/>
            <w:vAlign w:val="bottom"/>
          </w:tcPr>
          <w:p w14:paraId="19127B23" w14:textId="77777777" w:rsidR="008C76E0" w:rsidRPr="005B58E6" w:rsidRDefault="008C76E0" w:rsidP="008C76E0">
            <w:pPr>
              <w:pStyle w:val="Bodytext180"/>
              <w:shd w:val="clear" w:color="auto" w:fill="auto"/>
              <w:spacing w:before="0" w:after="120" w:line="240" w:lineRule="auto"/>
              <w:ind w:left="116" w:right="49" w:firstLine="0"/>
              <w:rPr>
                <w:rFonts w:ascii="Sylfaen" w:hAnsi="Sylfaen"/>
                <w:b w:val="0"/>
                <w:i/>
                <w:sz w:val="24"/>
                <w:szCs w:val="24"/>
              </w:rPr>
            </w:pPr>
            <w:r w:rsidRPr="005B58E6">
              <w:rPr>
                <w:rStyle w:val="Bodytext295pt"/>
                <w:rFonts w:ascii="Sylfaen" w:hAnsi="Sylfaen"/>
                <w:i/>
                <w:spacing w:val="0"/>
                <w:sz w:val="24"/>
                <w:szCs w:val="24"/>
              </w:rPr>
              <w:t>{ՄՉԱ-ն, համընդհանուր անվանումը}</w:t>
            </w:r>
            <w:r w:rsidRPr="005B58E6">
              <w:rPr>
                <w:rStyle w:val="Bodytext1811pt"/>
                <w:rFonts w:ascii="Sylfaen" w:hAnsi="Sylfaen"/>
                <w:i/>
                <w:sz w:val="24"/>
                <w:szCs w:val="24"/>
              </w:rPr>
              <w:t xml:space="preserve"> </w:t>
            </w:r>
            <w:r w:rsidRPr="005B58E6">
              <w:rPr>
                <w:rStyle w:val="Bodytext1811pt"/>
                <w:rFonts w:ascii="Sylfaen" w:hAnsi="Sylfaen"/>
                <w:sz w:val="24"/>
                <w:szCs w:val="24"/>
              </w:rPr>
              <w:t>(+ աղ (ջրի պարունակությունը), եթե կիրառելի է)</w:t>
            </w:r>
          </w:p>
        </w:tc>
      </w:tr>
      <w:tr w:rsidR="008C76E0" w:rsidRPr="00BD7577" w14:paraId="5B0E54D6" w14:textId="77777777" w:rsidTr="008C76E0">
        <w:trPr>
          <w:jc w:val="center"/>
        </w:trPr>
        <w:tc>
          <w:tcPr>
            <w:tcW w:w="4383" w:type="dxa"/>
            <w:gridSpan w:val="3"/>
            <w:tcBorders>
              <w:top w:val="single" w:sz="4" w:space="0" w:color="auto"/>
              <w:left w:val="single" w:sz="4" w:space="0" w:color="auto"/>
            </w:tcBorders>
            <w:shd w:val="clear" w:color="auto" w:fill="FFFFFF"/>
            <w:vAlign w:val="bottom"/>
          </w:tcPr>
          <w:p w14:paraId="3720E095" w14:textId="77777777" w:rsidR="008C76E0" w:rsidRPr="008C76E0" w:rsidRDefault="008C76E0" w:rsidP="008C76E0">
            <w:pPr>
              <w:pStyle w:val="Bodytext180"/>
              <w:shd w:val="clear" w:color="auto" w:fill="auto"/>
              <w:spacing w:before="0" w:after="120" w:line="240" w:lineRule="auto"/>
              <w:ind w:left="120" w:firstLine="0"/>
              <w:rPr>
                <w:rFonts w:ascii="Sylfaen" w:hAnsi="Sylfaen"/>
                <w:b w:val="0"/>
                <w:sz w:val="24"/>
                <w:szCs w:val="24"/>
                <w:lang w:val="hy-AM"/>
              </w:rPr>
            </w:pPr>
            <w:r w:rsidRPr="00BD7577">
              <w:rPr>
                <w:rStyle w:val="Bodytext1811pt"/>
                <w:rFonts w:ascii="Sylfaen" w:hAnsi="Sylfaen"/>
                <w:sz w:val="24"/>
                <w:szCs w:val="24"/>
              </w:rPr>
              <w:t>Ակտիվ դեղագործական բաղադրամասն արտադրողի ԱԴԲ-ի ներքին ծածկագիրը (եթե կիրառելի է)՝</w:t>
            </w:r>
          </w:p>
        </w:tc>
        <w:tc>
          <w:tcPr>
            <w:tcW w:w="5575" w:type="dxa"/>
            <w:gridSpan w:val="2"/>
            <w:tcBorders>
              <w:top w:val="single" w:sz="4" w:space="0" w:color="auto"/>
              <w:left w:val="single" w:sz="4" w:space="0" w:color="auto"/>
              <w:right w:val="single" w:sz="4" w:space="0" w:color="auto"/>
            </w:tcBorders>
            <w:shd w:val="clear" w:color="auto" w:fill="FFFFFF"/>
          </w:tcPr>
          <w:p w14:paraId="03547B64" w14:textId="77777777" w:rsidR="008C76E0" w:rsidRPr="005B58E6" w:rsidRDefault="008C76E0" w:rsidP="008C76E0">
            <w:pPr>
              <w:pStyle w:val="Bodytext180"/>
              <w:shd w:val="clear" w:color="auto" w:fill="auto"/>
              <w:spacing w:before="0" w:after="120" w:line="240" w:lineRule="auto"/>
              <w:ind w:left="116" w:right="49" w:firstLine="0"/>
              <w:rPr>
                <w:rFonts w:ascii="Sylfaen" w:hAnsi="Sylfaen"/>
                <w:b w:val="0"/>
                <w:i/>
                <w:sz w:val="24"/>
                <w:szCs w:val="24"/>
              </w:rPr>
            </w:pPr>
            <w:r w:rsidRPr="005B58E6">
              <w:rPr>
                <w:rStyle w:val="Bodytext295pt"/>
                <w:rFonts w:ascii="Sylfaen" w:hAnsi="Sylfaen"/>
                <w:i/>
                <w:spacing w:val="0"/>
                <w:sz w:val="24"/>
                <w:szCs w:val="24"/>
              </w:rPr>
              <w:t>{ԱԴԲ-ի ներքին ծածկագիրը}</w:t>
            </w:r>
          </w:p>
        </w:tc>
      </w:tr>
      <w:tr w:rsidR="008C76E0" w:rsidRPr="00BD7577" w14:paraId="1CD5AF3D" w14:textId="77777777" w:rsidTr="008C76E0">
        <w:trPr>
          <w:jc w:val="center"/>
        </w:trPr>
        <w:tc>
          <w:tcPr>
            <w:tcW w:w="4383" w:type="dxa"/>
            <w:gridSpan w:val="3"/>
            <w:tcBorders>
              <w:top w:val="single" w:sz="4" w:space="0" w:color="auto"/>
              <w:left w:val="single" w:sz="4" w:space="0" w:color="auto"/>
              <w:bottom w:val="single" w:sz="4" w:space="0" w:color="auto"/>
            </w:tcBorders>
            <w:shd w:val="clear" w:color="auto" w:fill="FFFFFF"/>
            <w:vAlign w:val="bottom"/>
          </w:tcPr>
          <w:p w14:paraId="4FD987B6" w14:textId="77777777" w:rsidR="008C76E0" w:rsidRPr="008C76E0" w:rsidRDefault="008C76E0" w:rsidP="008C76E0">
            <w:pPr>
              <w:pStyle w:val="Bodytext180"/>
              <w:shd w:val="clear" w:color="auto" w:fill="auto"/>
              <w:spacing w:before="0" w:after="120" w:line="240" w:lineRule="auto"/>
              <w:ind w:left="120" w:right="147" w:firstLine="0"/>
              <w:rPr>
                <w:rFonts w:ascii="Sylfaen" w:hAnsi="Sylfaen"/>
                <w:b w:val="0"/>
                <w:sz w:val="24"/>
                <w:szCs w:val="24"/>
                <w:lang w:val="hy-AM"/>
              </w:rPr>
            </w:pPr>
            <w:r w:rsidRPr="00BD7577">
              <w:rPr>
                <w:rStyle w:val="Bodytext1811pt"/>
                <w:rFonts w:ascii="Sylfaen" w:hAnsi="Sylfaen"/>
                <w:sz w:val="24"/>
                <w:szCs w:val="24"/>
              </w:rPr>
              <w:t>Լրացուցիչ տեղեկությունները (եթե կիրառելի է, օրինակ՝ սինթեզի տարատեսակ եղանակները, դասը)</w:t>
            </w:r>
          </w:p>
          <w:p w14:paraId="67382629" w14:textId="77777777" w:rsidR="008C76E0" w:rsidRPr="008C76E0" w:rsidRDefault="008C76E0" w:rsidP="008C76E0">
            <w:pPr>
              <w:pStyle w:val="Bodytext180"/>
              <w:shd w:val="clear" w:color="auto" w:fill="auto"/>
              <w:spacing w:before="0" w:after="120" w:line="240" w:lineRule="auto"/>
              <w:ind w:left="120" w:right="147" w:firstLine="0"/>
              <w:rPr>
                <w:rFonts w:ascii="Sylfaen" w:hAnsi="Sylfaen"/>
                <w:b w:val="0"/>
                <w:sz w:val="24"/>
                <w:szCs w:val="24"/>
                <w:lang w:val="hy-AM"/>
              </w:rPr>
            </w:pPr>
            <w:r w:rsidRPr="00BD7577">
              <w:rPr>
                <w:rStyle w:val="Bodytext1811pt"/>
                <w:rFonts w:ascii="Sylfaen" w:hAnsi="Sylfaen"/>
                <w:sz w:val="24"/>
                <w:szCs w:val="24"/>
              </w:rPr>
              <w:t>(Կիրառելի է, եթե ԱԴԲՄՖ-ի իրավատերը մի</w:t>
            </w:r>
            <w:r w:rsidR="00C54D75">
              <w:rPr>
                <w:rStyle w:val="Bodytext1811pt"/>
                <w:rFonts w:ascii="Sylfaen" w:hAnsi="Sylfaen"/>
                <w:sz w:val="24"/>
                <w:szCs w:val="24"/>
              </w:rPr>
              <w:t>և</w:t>
            </w:r>
            <w:r w:rsidRPr="00BD7577">
              <w:rPr>
                <w:rStyle w:val="Bodytext1811pt"/>
                <w:rFonts w:ascii="Sylfaen" w:hAnsi="Sylfaen"/>
                <w:sz w:val="24"/>
                <w:szCs w:val="24"/>
              </w:rPr>
              <w:t>նույն ակտիվ դեղագործական բաղադրամասի</w:t>
            </w:r>
          </w:p>
        </w:tc>
        <w:tc>
          <w:tcPr>
            <w:tcW w:w="5575" w:type="dxa"/>
            <w:gridSpan w:val="2"/>
            <w:tcBorders>
              <w:top w:val="single" w:sz="4" w:space="0" w:color="auto"/>
              <w:left w:val="single" w:sz="4" w:space="0" w:color="auto"/>
              <w:bottom w:val="single" w:sz="4" w:space="0" w:color="auto"/>
              <w:right w:val="single" w:sz="4" w:space="0" w:color="auto"/>
            </w:tcBorders>
            <w:shd w:val="clear" w:color="auto" w:fill="FFFFFF"/>
          </w:tcPr>
          <w:p w14:paraId="701CD2F3" w14:textId="77777777" w:rsidR="008C76E0" w:rsidRPr="00BD7577" w:rsidRDefault="008C76E0" w:rsidP="008C76E0">
            <w:pPr>
              <w:spacing w:after="120" w:line="240" w:lineRule="auto"/>
              <w:ind w:left="116" w:right="49"/>
              <w:rPr>
                <w:rFonts w:ascii="Sylfaen" w:hAnsi="Sylfaen"/>
                <w:sz w:val="24"/>
                <w:szCs w:val="24"/>
              </w:rPr>
            </w:pPr>
          </w:p>
        </w:tc>
      </w:tr>
      <w:tr w:rsidR="008C76E0" w:rsidRPr="00BD7577" w14:paraId="682355B3" w14:textId="77777777" w:rsidTr="008C76E0">
        <w:trPr>
          <w:jc w:val="center"/>
        </w:trPr>
        <w:tc>
          <w:tcPr>
            <w:tcW w:w="4383" w:type="dxa"/>
            <w:gridSpan w:val="3"/>
            <w:tcBorders>
              <w:top w:val="single" w:sz="4" w:space="0" w:color="auto"/>
              <w:left w:val="single" w:sz="4" w:space="0" w:color="auto"/>
            </w:tcBorders>
            <w:shd w:val="clear" w:color="auto" w:fill="FFFFFF"/>
            <w:vAlign w:val="bottom"/>
          </w:tcPr>
          <w:p w14:paraId="4CB06D7C" w14:textId="77777777" w:rsidR="008C76E0" w:rsidRPr="008C76E0" w:rsidRDefault="008C76E0" w:rsidP="008C76E0">
            <w:pPr>
              <w:pStyle w:val="Bodytext180"/>
              <w:shd w:val="clear" w:color="auto" w:fill="auto"/>
              <w:spacing w:before="0" w:after="120" w:line="240" w:lineRule="auto"/>
              <w:ind w:left="120" w:right="147" w:firstLine="0"/>
              <w:rPr>
                <w:rFonts w:ascii="Sylfaen" w:hAnsi="Sylfaen"/>
                <w:b w:val="0"/>
                <w:sz w:val="24"/>
                <w:szCs w:val="24"/>
                <w:lang w:val="hy-AM"/>
              </w:rPr>
            </w:pPr>
            <w:r w:rsidRPr="00BD7577">
              <w:rPr>
                <w:rStyle w:val="Bodytext1811pt"/>
                <w:rFonts w:ascii="Sylfaen" w:hAnsi="Sylfaen"/>
                <w:sz w:val="24"/>
                <w:szCs w:val="24"/>
              </w:rPr>
              <w:t>հետ կապված իր տրամադրության տակ ունի մի քանի ԱԴԲՄՖ-ներ)</w:t>
            </w:r>
          </w:p>
        </w:tc>
        <w:tc>
          <w:tcPr>
            <w:tcW w:w="5575" w:type="dxa"/>
            <w:gridSpan w:val="2"/>
            <w:tcBorders>
              <w:top w:val="single" w:sz="4" w:space="0" w:color="auto"/>
              <w:left w:val="single" w:sz="4" w:space="0" w:color="auto"/>
              <w:right w:val="single" w:sz="4" w:space="0" w:color="auto"/>
            </w:tcBorders>
            <w:shd w:val="clear" w:color="auto" w:fill="FFFFFF"/>
          </w:tcPr>
          <w:p w14:paraId="2764FBF9" w14:textId="77777777" w:rsidR="008C76E0" w:rsidRPr="00BD7577" w:rsidRDefault="008C76E0" w:rsidP="008C76E0">
            <w:pPr>
              <w:spacing w:after="120" w:line="240" w:lineRule="auto"/>
              <w:ind w:left="116" w:right="49"/>
              <w:rPr>
                <w:rFonts w:ascii="Sylfaen" w:hAnsi="Sylfaen"/>
                <w:sz w:val="24"/>
                <w:szCs w:val="24"/>
              </w:rPr>
            </w:pPr>
          </w:p>
        </w:tc>
      </w:tr>
      <w:tr w:rsidR="008C76E0" w:rsidRPr="00BD7577" w14:paraId="2102EACC" w14:textId="77777777" w:rsidTr="008C76E0">
        <w:trPr>
          <w:jc w:val="center"/>
        </w:trPr>
        <w:tc>
          <w:tcPr>
            <w:tcW w:w="9958" w:type="dxa"/>
            <w:gridSpan w:val="5"/>
            <w:tcBorders>
              <w:top w:val="single" w:sz="4" w:space="0" w:color="auto"/>
            </w:tcBorders>
            <w:shd w:val="clear" w:color="auto" w:fill="FFFFFF"/>
          </w:tcPr>
          <w:p w14:paraId="2E9B907E" w14:textId="77777777" w:rsidR="008C76E0" w:rsidRPr="00BD7577" w:rsidRDefault="008C76E0" w:rsidP="008C76E0">
            <w:pPr>
              <w:spacing w:after="120" w:line="240" w:lineRule="auto"/>
              <w:ind w:left="116" w:right="49"/>
              <w:rPr>
                <w:rFonts w:ascii="Sylfaen" w:hAnsi="Sylfaen"/>
                <w:sz w:val="24"/>
                <w:szCs w:val="24"/>
              </w:rPr>
            </w:pPr>
          </w:p>
        </w:tc>
      </w:tr>
      <w:tr w:rsidR="008C76E0" w:rsidRPr="00BD7577" w14:paraId="0673B7F8" w14:textId="77777777" w:rsidTr="008C76E0">
        <w:trPr>
          <w:jc w:val="center"/>
        </w:trPr>
        <w:tc>
          <w:tcPr>
            <w:tcW w:w="4383" w:type="dxa"/>
            <w:gridSpan w:val="3"/>
            <w:tcBorders>
              <w:top w:val="single" w:sz="4" w:space="0" w:color="auto"/>
              <w:left w:val="single" w:sz="4" w:space="0" w:color="auto"/>
            </w:tcBorders>
            <w:shd w:val="clear" w:color="auto" w:fill="FFFFFF"/>
          </w:tcPr>
          <w:p w14:paraId="07F6505B" w14:textId="77777777" w:rsidR="008C76E0" w:rsidRPr="00BD7577" w:rsidRDefault="008C76E0" w:rsidP="008C76E0">
            <w:pPr>
              <w:pStyle w:val="Bodytext180"/>
              <w:shd w:val="clear" w:color="auto" w:fill="auto"/>
              <w:spacing w:before="0" w:after="120" w:line="240" w:lineRule="auto"/>
              <w:ind w:left="120" w:right="147" w:firstLine="0"/>
              <w:rPr>
                <w:rFonts w:ascii="Sylfaen" w:hAnsi="Sylfaen"/>
                <w:b w:val="0"/>
                <w:sz w:val="24"/>
                <w:szCs w:val="24"/>
              </w:rPr>
            </w:pPr>
            <w:r w:rsidRPr="00BD7577">
              <w:rPr>
                <w:rStyle w:val="Bodytext1811pt"/>
                <w:rFonts w:ascii="Sylfaen" w:hAnsi="Sylfaen"/>
                <w:sz w:val="24"/>
                <w:szCs w:val="24"/>
              </w:rPr>
              <w:t>ԱԴԲՄՖ-ի իրավատերը</w:t>
            </w:r>
          </w:p>
        </w:tc>
        <w:tc>
          <w:tcPr>
            <w:tcW w:w="5575" w:type="dxa"/>
            <w:gridSpan w:val="2"/>
            <w:tcBorders>
              <w:top w:val="single" w:sz="4" w:space="0" w:color="auto"/>
              <w:left w:val="single" w:sz="4" w:space="0" w:color="auto"/>
              <w:right w:val="single" w:sz="4" w:space="0" w:color="auto"/>
            </w:tcBorders>
            <w:shd w:val="clear" w:color="auto" w:fill="FFFFFF"/>
            <w:vAlign w:val="bottom"/>
          </w:tcPr>
          <w:p w14:paraId="0F756809" w14:textId="77777777" w:rsidR="008C76E0" w:rsidRPr="005B58E6" w:rsidRDefault="008C76E0" w:rsidP="008C76E0">
            <w:pPr>
              <w:pStyle w:val="Bodytext180"/>
              <w:shd w:val="clear" w:color="auto" w:fill="auto"/>
              <w:spacing w:before="0" w:after="120" w:line="240" w:lineRule="auto"/>
              <w:ind w:left="116" w:right="49" w:firstLine="0"/>
              <w:rPr>
                <w:rFonts w:ascii="Sylfaen" w:hAnsi="Sylfaen"/>
                <w:b w:val="0"/>
                <w:i/>
                <w:sz w:val="24"/>
                <w:szCs w:val="24"/>
              </w:rPr>
            </w:pPr>
            <w:r w:rsidRPr="005B58E6">
              <w:rPr>
                <w:rStyle w:val="Bodytext295pt"/>
                <w:rFonts w:ascii="Sylfaen" w:hAnsi="Sylfaen"/>
                <w:i/>
                <w:spacing w:val="0"/>
                <w:sz w:val="24"/>
                <w:szCs w:val="24"/>
              </w:rPr>
              <w:t>{ԱԴԲՄՖ-ի իրավատիրոջ անվանումը}</w:t>
            </w:r>
          </w:p>
          <w:p w14:paraId="2624E4DB" w14:textId="77777777" w:rsidR="008C76E0" w:rsidRPr="005B58E6" w:rsidRDefault="008C76E0" w:rsidP="008C76E0">
            <w:pPr>
              <w:pStyle w:val="Bodytext180"/>
              <w:shd w:val="clear" w:color="auto" w:fill="auto"/>
              <w:spacing w:before="0" w:after="120" w:line="240" w:lineRule="auto"/>
              <w:ind w:left="116" w:right="49" w:firstLine="0"/>
              <w:rPr>
                <w:rFonts w:ascii="Sylfaen" w:hAnsi="Sylfaen"/>
                <w:b w:val="0"/>
                <w:i/>
                <w:sz w:val="24"/>
                <w:szCs w:val="24"/>
              </w:rPr>
            </w:pPr>
            <w:r w:rsidRPr="005B58E6">
              <w:rPr>
                <w:rStyle w:val="Bodytext295pt"/>
                <w:rFonts w:ascii="Sylfaen" w:hAnsi="Sylfaen"/>
                <w:i/>
                <w:spacing w:val="0"/>
                <w:sz w:val="24"/>
                <w:szCs w:val="24"/>
              </w:rPr>
              <w:t>{ԱԴԲՄՖ-ի իրավատիրոջ լրիվ իրավաբանական հասցեն}</w:t>
            </w:r>
          </w:p>
          <w:p w14:paraId="706C7940" w14:textId="77777777" w:rsidR="008C76E0" w:rsidRPr="005B58E6" w:rsidRDefault="008C76E0" w:rsidP="008C76E0">
            <w:pPr>
              <w:pStyle w:val="Bodytext180"/>
              <w:shd w:val="clear" w:color="auto" w:fill="auto"/>
              <w:spacing w:before="0" w:after="120" w:line="240" w:lineRule="auto"/>
              <w:ind w:left="116" w:right="49" w:firstLine="0"/>
              <w:rPr>
                <w:rFonts w:ascii="Sylfaen" w:hAnsi="Sylfaen"/>
                <w:b w:val="0"/>
                <w:i/>
                <w:sz w:val="24"/>
                <w:szCs w:val="24"/>
              </w:rPr>
            </w:pPr>
            <w:r w:rsidRPr="005B58E6">
              <w:rPr>
                <w:rStyle w:val="Bodytext295pt"/>
                <w:rFonts w:ascii="Sylfaen" w:hAnsi="Sylfaen"/>
                <w:i/>
                <w:spacing w:val="0"/>
                <w:sz w:val="24"/>
                <w:szCs w:val="24"/>
              </w:rPr>
              <w:t>{երկիրը}</w:t>
            </w:r>
          </w:p>
          <w:p w14:paraId="0C748856" w14:textId="77777777" w:rsidR="008C76E0" w:rsidRPr="00BD7577" w:rsidRDefault="008C76E0" w:rsidP="008C76E0">
            <w:pPr>
              <w:pStyle w:val="Bodytext180"/>
              <w:shd w:val="clear" w:color="auto" w:fill="auto"/>
              <w:spacing w:before="0" w:after="120" w:line="240" w:lineRule="auto"/>
              <w:ind w:left="116" w:right="49" w:firstLine="0"/>
              <w:rPr>
                <w:rStyle w:val="Bodytext1811pt"/>
                <w:rFonts w:ascii="Sylfaen" w:hAnsi="Sylfaen"/>
                <w:sz w:val="24"/>
                <w:szCs w:val="24"/>
              </w:rPr>
            </w:pPr>
            <w:r w:rsidRPr="00BD7577">
              <w:rPr>
                <w:rStyle w:val="Bodytext1811pt"/>
                <w:rFonts w:ascii="Sylfaen" w:hAnsi="Sylfaen"/>
                <w:sz w:val="24"/>
                <w:szCs w:val="24"/>
              </w:rPr>
              <w:t xml:space="preserve">Կոնտակտային անձի Ա.Ա.Հ.-ն՝ հեռախոսահամարը՝ </w:t>
            </w:r>
          </w:p>
          <w:p w14:paraId="6D9EF6EC"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էլեկտրոնային փոստի հասցեն՝</w:t>
            </w:r>
          </w:p>
        </w:tc>
      </w:tr>
      <w:tr w:rsidR="008C76E0" w:rsidRPr="00BD7577" w14:paraId="292DFBED" w14:textId="77777777" w:rsidTr="008C76E0">
        <w:trPr>
          <w:jc w:val="center"/>
        </w:trPr>
        <w:tc>
          <w:tcPr>
            <w:tcW w:w="4383" w:type="dxa"/>
            <w:gridSpan w:val="3"/>
            <w:tcBorders>
              <w:top w:val="single" w:sz="4" w:space="0" w:color="auto"/>
              <w:left w:val="single" w:sz="4" w:space="0" w:color="auto"/>
            </w:tcBorders>
            <w:shd w:val="clear" w:color="auto" w:fill="FFFFFF"/>
          </w:tcPr>
          <w:p w14:paraId="20655EDE" w14:textId="77777777" w:rsidR="008C76E0" w:rsidRPr="008C76E0" w:rsidRDefault="008C76E0" w:rsidP="008C76E0">
            <w:pPr>
              <w:pStyle w:val="Bodytext180"/>
              <w:shd w:val="clear" w:color="auto" w:fill="auto"/>
              <w:spacing w:before="0" w:after="120" w:line="240" w:lineRule="auto"/>
              <w:ind w:left="120" w:right="147" w:firstLine="0"/>
              <w:rPr>
                <w:rFonts w:ascii="Sylfaen" w:hAnsi="Sylfaen"/>
                <w:b w:val="0"/>
                <w:sz w:val="24"/>
                <w:szCs w:val="24"/>
                <w:lang w:val="hy-AM"/>
              </w:rPr>
            </w:pPr>
            <w:r w:rsidRPr="00BD7577">
              <w:rPr>
                <w:rStyle w:val="Bodytext1811pt"/>
                <w:rFonts w:ascii="Sylfaen" w:hAnsi="Sylfaen"/>
                <w:sz w:val="24"/>
                <w:szCs w:val="24"/>
              </w:rPr>
              <w:t xml:space="preserve">Ակտիվ դեղագործական բաղադրամաս արտադրողը Արտադրական հարթակները (Դեղագործական բաղադրամասի արտադրության մեջ ներգրավված բոլոր ընկերությունները, այդ թվում՝ որակի հսկողության (ներարտադրական փորձարկումների) հարթակները, միջանկյալ արտադրանքներ արտադրողները, մանրացման </w:t>
            </w:r>
            <w:r w:rsidR="00C54D75">
              <w:rPr>
                <w:rStyle w:val="Bodytext1811pt"/>
                <w:rFonts w:ascii="Sylfaen" w:hAnsi="Sylfaen"/>
                <w:sz w:val="24"/>
                <w:szCs w:val="24"/>
              </w:rPr>
              <w:t>և</w:t>
            </w:r>
            <w:r w:rsidRPr="00BD7577">
              <w:rPr>
                <w:rStyle w:val="Bodytext1811pt"/>
                <w:rFonts w:ascii="Sylfaen" w:hAnsi="Sylfaen"/>
                <w:sz w:val="24"/>
                <w:szCs w:val="24"/>
              </w:rPr>
              <w:t xml:space="preserve"> մանրէազերծման հարթակներն անհրաժեշտ է թվել առանձին սյունակներում):</w:t>
            </w:r>
          </w:p>
        </w:tc>
        <w:tc>
          <w:tcPr>
            <w:tcW w:w="5575" w:type="dxa"/>
            <w:gridSpan w:val="2"/>
            <w:tcBorders>
              <w:top w:val="single" w:sz="4" w:space="0" w:color="auto"/>
              <w:left w:val="single" w:sz="4" w:space="0" w:color="auto"/>
              <w:right w:val="single" w:sz="4" w:space="0" w:color="auto"/>
            </w:tcBorders>
            <w:shd w:val="clear" w:color="auto" w:fill="FFFFFF"/>
            <w:vAlign w:val="bottom"/>
          </w:tcPr>
          <w:p w14:paraId="6BF51FD8"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i/>
                <w:sz w:val="24"/>
                <w:szCs w:val="24"/>
                <w:lang w:val="hy-AM"/>
              </w:rPr>
            </w:pPr>
            <w:r w:rsidRPr="005B58E6">
              <w:rPr>
                <w:rStyle w:val="Bodytext295pt"/>
                <w:rFonts w:ascii="Sylfaen" w:hAnsi="Sylfaen"/>
                <w:i/>
                <w:spacing w:val="0"/>
                <w:sz w:val="24"/>
                <w:szCs w:val="24"/>
              </w:rPr>
              <w:t>{արտադրական հարթակների հասցեները}</w:t>
            </w:r>
          </w:p>
          <w:p w14:paraId="35D3A053"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i/>
                <w:sz w:val="24"/>
                <w:szCs w:val="24"/>
                <w:lang w:val="hy-AM"/>
              </w:rPr>
            </w:pPr>
            <w:r w:rsidRPr="005B58E6">
              <w:rPr>
                <w:rStyle w:val="Bodytext295pt"/>
                <w:rFonts w:ascii="Sylfaen" w:hAnsi="Sylfaen"/>
                <w:i/>
                <w:spacing w:val="0"/>
                <w:sz w:val="24"/>
                <w:szCs w:val="24"/>
              </w:rPr>
              <w:t>{երկիրը}</w:t>
            </w:r>
          </w:p>
          <w:p w14:paraId="12BA5790"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i/>
                <w:sz w:val="24"/>
                <w:szCs w:val="24"/>
                <w:lang w:val="hy-AM"/>
              </w:rPr>
            </w:pPr>
            <w:r w:rsidRPr="005B58E6">
              <w:rPr>
                <w:rStyle w:val="Bodytext295pt"/>
                <w:rFonts w:ascii="Sylfaen" w:hAnsi="Sylfaen"/>
                <w:i/>
                <w:spacing w:val="0"/>
                <w:sz w:val="24"/>
                <w:szCs w:val="24"/>
              </w:rPr>
              <w:t>{ՏՀՈւՀ-ի համարը}</w:t>
            </w:r>
          </w:p>
          <w:p w14:paraId="11BDE6C3"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sz w:val="24"/>
                <w:szCs w:val="24"/>
                <w:lang w:val="hy-AM"/>
              </w:rPr>
            </w:pPr>
            <w:r w:rsidRPr="00BD7577">
              <w:rPr>
                <w:rStyle w:val="Bodytext1811pt"/>
                <w:rFonts w:ascii="Sylfaen" w:hAnsi="Sylfaen"/>
                <w:sz w:val="24"/>
                <w:szCs w:val="24"/>
              </w:rPr>
              <w:t>Բոլոր հարթակների համար անհրաժեշտ է ներկայացնել տվյալների համարակալման ունիվերսալ համակարգ (ՏՀՈւՀ), եթե դրանք գրանցված են։ ՏՀՈւՀ-ը մշակվել է Dun &amp; Bradstreet-ի (D&amp;B) կողմից. այն մեկ տնտեսավարող սուբյեկտին տալիս է եզակի թվային նույնացուցիչ։ Այն օգտագործվում է Միության սահմաններից դուրս գտնվող արտադրական հարթակների նույնականացումն արագացնելու համար</w:t>
            </w:r>
          </w:p>
          <w:p w14:paraId="3D4A8A33"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i/>
                <w:sz w:val="24"/>
                <w:szCs w:val="24"/>
                <w:lang w:val="hy-AM"/>
              </w:rPr>
            </w:pPr>
            <w:r w:rsidRPr="005B58E6">
              <w:rPr>
                <w:rStyle w:val="Bodytext295pt"/>
                <w:rFonts w:ascii="Sylfaen" w:hAnsi="Sylfaen"/>
                <w:i/>
                <w:spacing w:val="0"/>
                <w:sz w:val="24"/>
                <w:szCs w:val="24"/>
              </w:rPr>
              <w:t>{հարթակի GPS (WGS 84) կոորդինատները}</w:t>
            </w:r>
          </w:p>
          <w:p w14:paraId="6FA4ABAE" w14:textId="77777777" w:rsidR="008C76E0" w:rsidRPr="008C76E0" w:rsidRDefault="008C76E0" w:rsidP="008C76E0">
            <w:pPr>
              <w:pStyle w:val="Bodytext180"/>
              <w:shd w:val="clear" w:color="auto" w:fill="auto"/>
              <w:spacing w:before="0" w:after="120" w:line="240" w:lineRule="auto"/>
              <w:ind w:left="116" w:right="49" w:firstLine="0"/>
              <w:rPr>
                <w:rFonts w:ascii="Sylfaen" w:hAnsi="Sylfaen"/>
                <w:b w:val="0"/>
                <w:sz w:val="24"/>
                <w:szCs w:val="24"/>
                <w:lang w:val="hy-AM"/>
              </w:rPr>
            </w:pPr>
            <w:r w:rsidRPr="00BD7577">
              <w:rPr>
                <w:rStyle w:val="Bodytext1811pt"/>
                <w:rFonts w:ascii="Sylfaen" w:hAnsi="Sylfaen"/>
                <w:sz w:val="24"/>
                <w:szCs w:val="24"/>
              </w:rPr>
              <w:t xml:space="preserve">Լայնությունը (Հ կամ Հ) ու երկայնությունը </w:t>
            </w:r>
            <w:r w:rsidRPr="00746E86">
              <w:rPr>
                <w:rStyle w:val="Bodytext1811pt"/>
                <w:rFonts w:ascii="Sylfaen" w:hAnsi="Sylfaen"/>
                <w:sz w:val="24"/>
                <w:szCs w:val="24"/>
              </w:rPr>
              <w:br/>
            </w:r>
            <w:r w:rsidRPr="00BD7577">
              <w:rPr>
                <w:rStyle w:val="Bodytext1811pt"/>
                <w:rFonts w:ascii="Sylfaen" w:hAnsi="Sylfaen"/>
                <w:sz w:val="24"/>
                <w:szCs w:val="24"/>
              </w:rPr>
              <w:lastRenderedPageBreak/>
              <w:t>(Ա կամ Ա) արտահայտվում են աստիճաններով, րոպեներով, վայրկյաններով՝ ստորակետից հետո մինչ</w:t>
            </w:r>
            <w:r w:rsidR="00C54D75">
              <w:rPr>
                <w:rStyle w:val="Bodytext1811pt"/>
                <w:rFonts w:ascii="Sylfaen" w:hAnsi="Sylfaen"/>
                <w:sz w:val="24"/>
                <w:szCs w:val="24"/>
              </w:rPr>
              <w:t>և</w:t>
            </w:r>
            <w:r w:rsidRPr="00BD7577">
              <w:rPr>
                <w:rStyle w:val="Bodytext1811pt"/>
                <w:rFonts w:ascii="Sylfaen" w:hAnsi="Sylfaen"/>
                <w:sz w:val="24"/>
                <w:szCs w:val="24"/>
              </w:rPr>
              <w:t xml:space="preserve"> 1 նշանով (որպես այլընտրանք՝ այն թույլատրվում է նշել աստիճաններով՝ ստորակետից հետո առնվազն հինգ նշանով կամ աստիճաններով </w:t>
            </w:r>
            <w:r w:rsidR="00C54D75">
              <w:rPr>
                <w:rStyle w:val="Bodytext1811pt"/>
                <w:rFonts w:ascii="Sylfaen" w:hAnsi="Sylfaen"/>
                <w:sz w:val="24"/>
                <w:szCs w:val="24"/>
              </w:rPr>
              <w:t>և</w:t>
            </w:r>
            <w:r w:rsidRPr="00BD7577">
              <w:rPr>
                <w:rStyle w:val="Bodytext1811pt"/>
                <w:rFonts w:ascii="Sylfaen" w:hAnsi="Sylfaen"/>
                <w:sz w:val="24"/>
                <w:szCs w:val="24"/>
              </w:rPr>
              <w:t xml:space="preserve"> րոպեներով՝ ստորակետից հետո առնվազն երեք նշանով)։ Եթե գլխավոր մուտքը չէ, ապա հարկ է նշել տեղակայումը։</w:t>
            </w:r>
          </w:p>
          <w:p w14:paraId="1B5B144B" w14:textId="77777777" w:rsidR="008C76E0" w:rsidRPr="00BD7577" w:rsidRDefault="008C76E0" w:rsidP="008C76E0">
            <w:pPr>
              <w:pStyle w:val="Bodytext180"/>
              <w:shd w:val="clear" w:color="auto" w:fill="auto"/>
              <w:spacing w:before="0" w:after="120" w:line="240" w:lineRule="auto"/>
              <w:ind w:left="116" w:right="49" w:firstLine="0"/>
              <w:rPr>
                <w:rStyle w:val="Bodytext1811pt"/>
                <w:rFonts w:ascii="Sylfaen" w:hAnsi="Sylfaen"/>
                <w:sz w:val="24"/>
                <w:szCs w:val="24"/>
              </w:rPr>
            </w:pPr>
            <w:r w:rsidRPr="00BD7577">
              <w:rPr>
                <w:rStyle w:val="Bodytext1811pt"/>
                <w:rFonts w:ascii="Sylfaen" w:hAnsi="Sylfaen"/>
                <w:sz w:val="24"/>
                <w:szCs w:val="24"/>
              </w:rPr>
              <w:t xml:space="preserve">Կոնտակտային անձի Ա.Ա.Հ.-ն՝ հեռախոսահամարը՝ </w:t>
            </w:r>
          </w:p>
          <w:p w14:paraId="1026523F"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էլեկտրոնային փոստի հասցեն՝</w:t>
            </w:r>
          </w:p>
        </w:tc>
      </w:tr>
      <w:tr w:rsidR="008C76E0" w:rsidRPr="00BD7577" w14:paraId="340B3B1B" w14:textId="77777777" w:rsidTr="008C76E0">
        <w:trPr>
          <w:jc w:val="center"/>
        </w:trPr>
        <w:tc>
          <w:tcPr>
            <w:tcW w:w="9958" w:type="dxa"/>
            <w:gridSpan w:val="5"/>
            <w:tcBorders>
              <w:top w:val="single" w:sz="4" w:space="0" w:color="auto"/>
            </w:tcBorders>
            <w:shd w:val="clear" w:color="auto" w:fill="FFFFFF"/>
          </w:tcPr>
          <w:p w14:paraId="6426800C" w14:textId="77777777" w:rsidR="008C76E0" w:rsidRPr="00BD7577" w:rsidRDefault="008C76E0" w:rsidP="008C76E0">
            <w:pPr>
              <w:spacing w:after="120" w:line="240" w:lineRule="auto"/>
              <w:ind w:left="116" w:right="49"/>
              <w:rPr>
                <w:rFonts w:ascii="Sylfaen" w:hAnsi="Sylfaen"/>
                <w:sz w:val="24"/>
                <w:szCs w:val="24"/>
              </w:rPr>
            </w:pPr>
          </w:p>
        </w:tc>
      </w:tr>
      <w:tr w:rsidR="008C76E0" w:rsidRPr="00BD7577" w14:paraId="73876C6B" w14:textId="77777777" w:rsidTr="008C76E0">
        <w:trPr>
          <w:jc w:val="center"/>
        </w:trPr>
        <w:tc>
          <w:tcPr>
            <w:tcW w:w="2073" w:type="dxa"/>
            <w:tcBorders>
              <w:top w:val="single" w:sz="4" w:space="0" w:color="auto"/>
              <w:left w:val="single" w:sz="4" w:space="0" w:color="auto"/>
              <w:bottom w:val="single" w:sz="4" w:space="0" w:color="auto"/>
            </w:tcBorders>
            <w:shd w:val="clear" w:color="auto" w:fill="FFFFFF"/>
          </w:tcPr>
          <w:p w14:paraId="2DE7401E" w14:textId="77777777" w:rsidR="008C76E0" w:rsidRPr="00BD7577" w:rsidRDefault="008C76E0" w:rsidP="008C76E0">
            <w:pPr>
              <w:pStyle w:val="Bodytext180"/>
              <w:shd w:val="clear" w:color="auto" w:fill="auto"/>
              <w:spacing w:before="0" w:after="120" w:line="240" w:lineRule="auto"/>
              <w:ind w:left="120" w:right="147" w:firstLine="0"/>
              <w:rPr>
                <w:rFonts w:ascii="Sylfaen" w:hAnsi="Sylfaen"/>
                <w:b w:val="0"/>
                <w:sz w:val="24"/>
                <w:szCs w:val="24"/>
              </w:rPr>
            </w:pPr>
            <w:r w:rsidRPr="00BD7577">
              <w:rPr>
                <w:rStyle w:val="Bodytext1811pt"/>
                <w:rFonts w:ascii="Sylfaen" w:hAnsi="Sylfaen"/>
                <w:sz w:val="24"/>
                <w:szCs w:val="24"/>
              </w:rPr>
              <w:t>Փաստաթղթեր ներկայացնելու տեսակը</w:t>
            </w:r>
          </w:p>
        </w:tc>
        <w:tc>
          <w:tcPr>
            <w:tcW w:w="7885" w:type="dxa"/>
            <w:gridSpan w:val="4"/>
            <w:tcBorders>
              <w:top w:val="single" w:sz="4" w:space="0" w:color="auto"/>
              <w:bottom w:val="single" w:sz="4" w:space="0" w:color="auto"/>
              <w:right w:val="single" w:sz="4" w:space="0" w:color="auto"/>
            </w:tcBorders>
            <w:shd w:val="clear" w:color="auto" w:fill="FFFFFF"/>
            <w:vAlign w:val="bottom"/>
          </w:tcPr>
          <w:p w14:paraId="1B93996A"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փաստաթղթերի նոր ներկայացում</w:t>
            </w:r>
          </w:p>
          <w:p w14:paraId="08713B2C"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ԱԴԲՄՖ-ի թարմացում</w:t>
            </w:r>
          </w:p>
          <w:p w14:paraId="7AF7BB48"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տվյալների ոչ բավարար լինելու վերաբերյալ ծանուցմանը տրված պատասխան (ինչպես հայտատուի մասը, այնպես էլ փակ մասը, եթե կիրառելի է)</w:t>
            </w:r>
          </w:p>
          <w:p w14:paraId="0CD8B11F"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բացառապես վարչական փոփոխություններ (բոլոր դեպքերում արտադրական հարթակը չի փոխվում)</w:t>
            </w:r>
          </w:p>
          <w:p w14:paraId="700F9E64" w14:textId="77777777" w:rsidR="008C76E0" w:rsidRPr="00BD7577" w:rsidRDefault="008C76E0" w:rsidP="008C76E0">
            <w:pPr>
              <w:pStyle w:val="Bodytext180"/>
              <w:shd w:val="clear" w:color="auto" w:fill="auto"/>
              <w:spacing w:before="0" w:after="120" w:line="240" w:lineRule="auto"/>
              <w:ind w:left="771"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ԱԴԲՄՖ-ի իրավատիրոջ փոփոխություն</w:t>
            </w:r>
          </w:p>
          <w:p w14:paraId="223C6202" w14:textId="77777777" w:rsidR="008C76E0" w:rsidRPr="00BD7577" w:rsidRDefault="008C76E0" w:rsidP="008C76E0">
            <w:pPr>
              <w:pStyle w:val="Bodytext180"/>
              <w:shd w:val="clear" w:color="auto" w:fill="auto"/>
              <w:spacing w:before="0" w:after="120" w:line="240" w:lineRule="auto"/>
              <w:ind w:left="771"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ԱԴԲՄՖ-ի իրավատիրոջ անվանման (հասցեի) փոփոխություն</w:t>
            </w:r>
          </w:p>
          <w:p w14:paraId="0188ADFD" w14:textId="77777777" w:rsidR="008C76E0" w:rsidRPr="00BD7577" w:rsidRDefault="008C76E0" w:rsidP="008C76E0">
            <w:pPr>
              <w:pStyle w:val="Bodytext180"/>
              <w:shd w:val="clear" w:color="auto" w:fill="auto"/>
              <w:spacing w:before="0" w:after="120" w:line="240" w:lineRule="auto"/>
              <w:ind w:left="771"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դեղագործական բաղադրամասն արտադրողի անվանման (հասցեի) փոփոխություն</w:t>
            </w:r>
          </w:p>
        </w:tc>
      </w:tr>
      <w:tr w:rsidR="008C76E0" w:rsidRPr="00BD7577" w14:paraId="0B800380" w14:textId="77777777" w:rsidTr="008C76E0">
        <w:trPr>
          <w:jc w:val="center"/>
        </w:trPr>
        <w:tc>
          <w:tcPr>
            <w:tcW w:w="4533" w:type="dxa"/>
            <w:gridSpan w:val="4"/>
            <w:tcBorders>
              <w:top w:val="single" w:sz="4" w:space="0" w:color="auto"/>
              <w:left w:val="single" w:sz="4" w:space="0" w:color="auto"/>
            </w:tcBorders>
            <w:shd w:val="clear" w:color="auto" w:fill="FFFFFF"/>
          </w:tcPr>
          <w:p w14:paraId="2D5736D7"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Փաստաթղթեր ներկայացնելու տեսակը</w:t>
            </w:r>
          </w:p>
        </w:tc>
        <w:tc>
          <w:tcPr>
            <w:tcW w:w="5425" w:type="dxa"/>
            <w:tcBorders>
              <w:top w:val="single" w:sz="4" w:space="0" w:color="auto"/>
              <w:left w:val="single" w:sz="4" w:space="0" w:color="auto"/>
              <w:right w:val="single" w:sz="4" w:space="0" w:color="auto"/>
            </w:tcBorders>
            <w:shd w:val="clear" w:color="auto" w:fill="FFFFFF"/>
            <w:vAlign w:val="bottom"/>
          </w:tcPr>
          <w:p w14:paraId="05DF9FC4"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փաստաթղթերը թղթային տարբերակով ներկայացնելը</w:t>
            </w:r>
          </w:p>
          <w:p w14:paraId="6F00C485"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Fonts w:ascii="Sylfaen" w:hAnsi="Sylfaen"/>
                <w:b w:val="0"/>
                <w:sz w:val="24"/>
                <w:szCs w:val="24"/>
              </w:rPr>
              <w:t xml:space="preserve">□ </w:t>
            </w:r>
            <w:r w:rsidRPr="00BD7577">
              <w:rPr>
                <w:rStyle w:val="Bodytext1811pt"/>
                <w:rFonts w:ascii="Sylfaen" w:hAnsi="Sylfaen"/>
                <w:sz w:val="24"/>
                <w:szCs w:val="24"/>
              </w:rPr>
              <w:t>էլեկտրոնային ձ</w:t>
            </w:r>
            <w:r w:rsidR="00C54D75">
              <w:rPr>
                <w:rStyle w:val="Bodytext1811pt"/>
                <w:rFonts w:ascii="Sylfaen" w:hAnsi="Sylfaen"/>
                <w:sz w:val="24"/>
                <w:szCs w:val="24"/>
              </w:rPr>
              <w:t>և</w:t>
            </w:r>
            <w:r w:rsidRPr="00BD7577">
              <w:rPr>
                <w:rStyle w:val="Bodytext1811pt"/>
                <w:rFonts w:ascii="Sylfaen" w:hAnsi="Sylfaen"/>
                <w:sz w:val="24"/>
                <w:szCs w:val="24"/>
              </w:rPr>
              <w:t>աչափ (էլեկտրոնային ձ</w:t>
            </w:r>
            <w:r w:rsidR="00C54D75">
              <w:rPr>
                <w:rStyle w:val="Bodytext1811pt"/>
                <w:rFonts w:ascii="Sylfaen" w:hAnsi="Sylfaen"/>
                <w:sz w:val="24"/>
                <w:szCs w:val="24"/>
              </w:rPr>
              <w:t>և</w:t>
            </w:r>
            <w:r w:rsidRPr="00BD7577">
              <w:rPr>
                <w:rStyle w:val="Bodytext1811pt"/>
                <w:rFonts w:ascii="Sylfaen" w:hAnsi="Sylfaen"/>
                <w:sz w:val="24"/>
                <w:szCs w:val="24"/>
              </w:rPr>
              <w:t>աչափով ներկայացնելու դեպքում թղթային տարբերակներ չեն ընդունվում)</w:t>
            </w:r>
          </w:p>
        </w:tc>
      </w:tr>
      <w:tr w:rsidR="008C76E0" w:rsidRPr="00BD7577" w14:paraId="73218624" w14:textId="77777777" w:rsidTr="008C76E0">
        <w:trPr>
          <w:jc w:val="center"/>
        </w:trPr>
        <w:tc>
          <w:tcPr>
            <w:tcW w:w="4533" w:type="dxa"/>
            <w:gridSpan w:val="4"/>
            <w:tcBorders>
              <w:top w:val="single" w:sz="4" w:space="0" w:color="auto"/>
              <w:left w:val="single" w:sz="4" w:space="0" w:color="auto"/>
            </w:tcBorders>
            <w:shd w:val="clear" w:color="auto" w:fill="FFFFFF"/>
            <w:vAlign w:val="bottom"/>
          </w:tcPr>
          <w:p w14:paraId="49130F9B"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Թղթային տարբերակի հատորների թիվը</w:t>
            </w:r>
          </w:p>
        </w:tc>
        <w:tc>
          <w:tcPr>
            <w:tcW w:w="5425" w:type="dxa"/>
            <w:tcBorders>
              <w:top w:val="single" w:sz="4" w:space="0" w:color="auto"/>
              <w:left w:val="single" w:sz="4" w:space="0" w:color="auto"/>
              <w:right w:val="single" w:sz="4" w:space="0" w:color="auto"/>
            </w:tcBorders>
            <w:shd w:val="clear" w:color="auto" w:fill="FFFFFF"/>
            <w:vAlign w:val="bottom"/>
          </w:tcPr>
          <w:p w14:paraId="7B4A796F"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թղթային տարբերակի հատորների թիվը</w:t>
            </w:r>
          </w:p>
        </w:tc>
      </w:tr>
      <w:tr w:rsidR="008C76E0" w:rsidRPr="00BD7577" w14:paraId="7D9C43F4" w14:textId="77777777" w:rsidTr="008C76E0">
        <w:trPr>
          <w:jc w:val="center"/>
        </w:trPr>
        <w:tc>
          <w:tcPr>
            <w:tcW w:w="4533" w:type="dxa"/>
            <w:gridSpan w:val="4"/>
            <w:tcBorders>
              <w:top w:val="single" w:sz="4" w:space="0" w:color="auto"/>
              <w:left w:val="single" w:sz="4" w:space="0" w:color="auto"/>
            </w:tcBorders>
            <w:shd w:val="clear" w:color="auto" w:fill="FFFFFF"/>
            <w:vAlign w:val="bottom"/>
          </w:tcPr>
          <w:p w14:paraId="682405CB"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{Համարը}</w:t>
            </w:r>
          </w:p>
        </w:tc>
        <w:tc>
          <w:tcPr>
            <w:tcW w:w="5425" w:type="dxa"/>
            <w:tcBorders>
              <w:top w:val="single" w:sz="4" w:space="0" w:color="auto"/>
              <w:left w:val="single" w:sz="4" w:space="0" w:color="auto"/>
              <w:right w:val="single" w:sz="4" w:space="0" w:color="auto"/>
            </w:tcBorders>
            <w:shd w:val="clear" w:color="auto" w:fill="FFFFFF"/>
            <w:vAlign w:val="bottom"/>
          </w:tcPr>
          <w:p w14:paraId="48FF1A2E"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{Համարը}</w:t>
            </w:r>
          </w:p>
        </w:tc>
      </w:tr>
      <w:tr w:rsidR="008C76E0" w:rsidRPr="00BD7577" w14:paraId="50BEE656" w14:textId="77777777" w:rsidTr="008C76E0">
        <w:trPr>
          <w:jc w:val="center"/>
        </w:trPr>
        <w:tc>
          <w:tcPr>
            <w:tcW w:w="9958" w:type="dxa"/>
            <w:gridSpan w:val="5"/>
            <w:tcBorders>
              <w:top w:val="single" w:sz="4" w:space="0" w:color="auto"/>
            </w:tcBorders>
            <w:shd w:val="clear" w:color="auto" w:fill="FFFFFF"/>
          </w:tcPr>
          <w:p w14:paraId="6EE7E166" w14:textId="77777777" w:rsidR="008C76E0" w:rsidRPr="00BD7577" w:rsidRDefault="008C76E0" w:rsidP="008C76E0">
            <w:pPr>
              <w:spacing w:after="120" w:line="240" w:lineRule="auto"/>
              <w:ind w:left="116" w:right="49"/>
              <w:rPr>
                <w:rFonts w:ascii="Sylfaen" w:hAnsi="Sylfaen"/>
                <w:sz w:val="24"/>
                <w:szCs w:val="24"/>
              </w:rPr>
            </w:pPr>
          </w:p>
        </w:tc>
      </w:tr>
      <w:tr w:rsidR="008C76E0" w:rsidRPr="00BD7577" w14:paraId="3D29F4BE" w14:textId="77777777" w:rsidTr="008C76E0">
        <w:trPr>
          <w:jc w:val="center"/>
        </w:trPr>
        <w:tc>
          <w:tcPr>
            <w:tcW w:w="2414" w:type="dxa"/>
            <w:gridSpan w:val="2"/>
            <w:tcBorders>
              <w:top w:val="single" w:sz="4" w:space="0" w:color="auto"/>
              <w:left w:val="single" w:sz="4" w:space="0" w:color="auto"/>
              <w:bottom w:val="single" w:sz="4" w:space="0" w:color="auto"/>
            </w:tcBorders>
            <w:shd w:val="clear" w:color="auto" w:fill="FFFFFF"/>
          </w:tcPr>
          <w:p w14:paraId="46975AD1" w14:textId="77777777" w:rsidR="008C76E0" w:rsidRPr="00BD7577" w:rsidRDefault="008C76E0" w:rsidP="008C76E0">
            <w:pPr>
              <w:pStyle w:val="Bodytext180"/>
              <w:shd w:val="clear" w:color="auto" w:fill="auto"/>
              <w:spacing w:before="0" w:after="120" w:line="240" w:lineRule="auto"/>
              <w:ind w:left="120" w:right="147" w:firstLine="0"/>
              <w:rPr>
                <w:rFonts w:ascii="Sylfaen" w:hAnsi="Sylfaen"/>
                <w:b w:val="0"/>
                <w:sz w:val="24"/>
                <w:szCs w:val="24"/>
              </w:rPr>
            </w:pPr>
            <w:r w:rsidRPr="00BD7577">
              <w:rPr>
                <w:rStyle w:val="Bodytext1811pt"/>
                <w:rFonts w:ascii="Sylfaen" w:hAnsi="Sylfaen"/>
                <w:sz w:val="24"/>
                <w:szCs w:val="24"/>
              </w:rPr>
              <w:t>Ներկայացված փաստաթղթերը</w:t>
            </w:r>
          </w:p>
        </w:tc>
        <w:tc>
          <w:tcPr>
            <w:tcW w:w="75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83DB25"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հասանելիության թույլտվությունը (սույն հավելվածի թիվ 2 լրացմանը համապատասխան)</w:t>
            </w:r>
          </w:p>
          <w:p w14:paraId="587ADE66"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փորձագետի ռեզյումեի պատճենը</w:t>
            </w:r>
          </w:p>
          <w:p w14:paraId="7CB2E596"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որակի ընդհանուր ռեզյումեն</w:t>
            </w:r>
          </w:p>
          <w:p w14:paraId="761EB954"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lastRenderedPageBreak/>
              <w:t>փոփոխությունների աղյուսակը (ԱԴԲՄՖ-ի՝ Միության միասնական ռեեստրում կատարված թարմացումը ներկայացնելիս)</w:t>
            </w:r>
          </w:p>
          <w:p w14:paraId="13B8C5E0"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ակտիվ դեղագործական բաղադրամասի վերաբերյալ ԱԴԲՄՖ-ի իրավատիրոջ կողմից առաջարկվող մասնագրի պատճենը</w:t>
            </w:r>
          </w:p>
          <w:p w14:paraId="328BEDAE" w14:textId="77777777" w:rsidR="008C76E0" w:rsidRPr="00BD7577" w:rsidRDefault="008C76E0" w:rsidP="008C76E0">
            <w:pPr>
              <w:pStyle w:val="Bodytext180"/>
              <w:shd w:val="clear" w:color="auto" w:fill="auto"/>
              <w:spacing w:before="0" w:after="120" w:line="240" w:lineRule="auto"/>
              <w:ind w:left="116" w:right="49" w:firstLine="0"/>
              <w:rPr>
                <w:rFonts w:ascii="Sylfaen" w:hAnsi="Sylfaen"/>
                <w:b w:val="0"/>
                <w:sz w:val="24"/>
                <w:szCs w:val="24"/>
              </w:rPr>
            </w:pPr>
            <w:r w:rsidRPr="00BD7577">
              <w:rPr>
                <w:rStyle w:val="Bodytext1811pt"/>
                <w:rFonts w:ascii="Sylfaen" w:hAnsi="Sylfaen"/>
                <w:sz w:val="24"/>
                <w:szCs w:val="24"/>
              </w:rPr>
              <w:t>ԱԴԲՄՖ-ում տվյալների ոչ բավարար լինելու վերաբերյալ անդամ պետության լիազորված մարմնի կողմից ուղարկված ծանուցագրի պատճենը (միայն պատասխան փաստաթղթեր ներկայացնելիս)</w:t>
            </w:r>
          </w:p>
        </w:tc>
      </w:tr>
    </w:tbl>
    <w:p w14:paraId="0D9EF046" w14:textId="77777777" w:rsidR="008C76E0" w:rsidRPr="00BD7577" w:rsidRDefault="008C76E0" w:rsidP="008C76E0">
      <w:pPr>
        <w:ind w:right="-1"/>
        <w:jc w:val="both"/>
        <w:rPr>
          <w:rFonts w:ascii="Sylfaen" w:hAnsi="Sylfaen"/>
          <w:sz w:val="24"/>
          <w:szCs w:val="24"/>
        </w:rPr>
      </w:pPr>
    </w:p>
    <w:p w14:paraId="25745957" w14:textId="77777777" w:rsidR="008C76E0" w:rsidRPr="00BD7577" w:rsidRDefault="008C76E0" w:rsidP="00207FF6">
      <w:pPr>
        <w:spacing w:after="160" w:line="360" w:lineRule="auto"/>
        <w:ind w:left="567" w:right="566"/>
        <w:jc w:val="center"/>
        <w:rPr>
          <w:rFonts w:ascii="Sylfaen" w:hAnsi="Sylfaen"/>
          <w:sz w:val="24"/>
          <w:szCs w:val="24"/>
        </w:rPr>
      </w:pPr>
      <w:r w:rsidRPr="00BD7577">
        <w:rPr>
          <w:rFonts w:ascii="Sylfaen" w:hAnsi="Sylfaen"/>
          <w:sz w:val="24"/>
          <w:szCs w:val="24"/>
        </w:rPr>
        <w:t>ԱԴԲՄՖ-ի տարատեսակ տարբերակների միջ</w:t>
      </w:r>
      <w:r w:rsidR="00C54D75">
        <w:rPr>
          <w:rFonts w:ascii="Sylfaen" w:hAnsi="Sylfaen"/>
          <w:sz w:val="24"/>
          <w:szCs w:val="24"/>
        </w:rPr>
        <w:t>և</w:t>
      </w:r>
      <w:r w:rsidRPr="00BD7577">
        <w:rPr>
          <w:rFonts w:ascii="Sylfaen" w:hAnsi="Sylfaen"/>
          <w:sz w:val="24"/>
          <w:szCs w:val="24"/>
        </w:rPr>
        <w:t xml:space="preserve"> </w:t>
      </w:r>
      <w:r w:rsidRPr="00BA15D2">
        <w:rPr>
          <w:rFonts w:ascii="Sylfaen" w:hAnsi="Sylfaen"/>
          <w:sz w:val="24"/>
          <w:szCs w:val="24"/>
        </w:rPr>
        <w:br/>
      </w:r>
      <w:r w:rsidRPr="00BD7577">
        <w:rPr>
          <w:rFonts w:ascii="Sylfaen" w:hAnsi="Sylfaen"/>
          <w:sz w:val="24"/>
          <w:szCs w:val="24"/>
        </w:rPr>
        <w:t>փոփոխությունների աղյուսակը</w:t>
      </w:r>
    </w:p>
    <w:p w14:paraId="7B942303"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Տվյալ բաժինը լրացվում է միայն նախկինում ներկայացված ԱԴԲՄՖ-ն թարմացնելու դեպքում։</w:t>
      </w:r>
    </w:p>
    <w:p w14:paraId="7D102412"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Փոփոխությունների աղյուսակը հարկ է ներառել որպես հիմնական ուղեգիր-նամակին կից առանձին փաստաթուղթ։ ԱԴԲՄՖ-ի իրավատերը պետք է օգտագործի աղյուսակների հետ</w:t>
      </w:r>
      <w:r w:rsidR="00C54D75">
        <w:rPr>
          <w:rFonts w:ascii="Sylfaen" w:hAnsi="Sylfaen"/>
          <w:sz w:val="24"/>
          <w:szCs w:val="24"/>
        </w:rPr>
        <w:t>և</w:t>
      </w:r>
      <w:r w:rsidRPr="00BD7577">
        <w:rPr>
          <w:rFonts w:ascii="Sylfaen" w:hAnsi="Sylfaen"/>
          <w:sz w:val="24"/>
          <w:szCs w:val="24"/>
        </w:rPr>
        <w:t>յալ օրինակելի ձ</w:t>
      </w:r>
      <w:r w:rsidR="00C54D75">
        <w:rPr>
          <w:rFonts w:ascii="Sylfaen" w:hAnsi="Sylfaen"/>
          <w:sz w:val="24"/>
          <w:szCs w:val="24"/>
        </w:rPr>
        <w:t>և</w:t>
      </w:r>
      <w:r w:rsidRPr="00BD7577">
        <w:rPr>
          <w:rFonts w:ascii="Sylfaen" w:hAnsi="Sylfaen"/>
          <w:sz w:val="24"/>
          <w:szCs w:val="24"/>
        </w:rPr>
        <w:t>անմուշները։ Եթե</w:t>
      </w:r>
      <w:r w:rsidRPr="00BA15D2">
        <w:rPr>
          <w:rFonts w:ascii="Sylfaen" w:hAnsi="Sylfaen"/>
          <w:sz w:val="24"/>
          <w:szCs w:val="24"/>
        </w:rPr>
        <w:t> </w:t>
      </w:r>
      <w:r w:rsidRPr="00BD7577">
        <w:rPr>
          <w:rFonts w:ascii="Sylfaen" w:hAnsi="Sylfaen"/>
          <w:sz w:val="24"/>
          <w:szCs w:val="24"/>
        </w:rPr>
        <w:t>փոփոխությունները նախկինում հավանության են արժանացել անդամ պետության այլ լիազորված մարմնի կողմից, ապա ԱԴԲՄՖ-ի իրավատերը պետք է աղյուսակը ծանոթագրի ընթացակարգի համարով։</w:t>
      </w:r>
    </w:p>
    <w:p w14:paraId="6F44BBA6" w14:textId="77777777" w:rsidR="008C76E0" w:rsidRPr="00BD7577" w:rsidRDefault="008C76E0" w:rsidP="00207FF6">
      <w:pPr>
        <w:spacing w:after="160" w:line="360" w:lineRule="auto"/>
        <w:ind w:right="-1" w:firstLine="567"/>
        <w:jc w:val="both"/>
        <w:rPr>
          <w:rFonts w:ascii="Sylfaen" w:hAnsi="Sylfaen"/>
          <w:sz w:val="24"/>
          <w:szCs w:val="24"/>
        </w:rPr>
      </w:pPr>
      <w:r w:rsidRPr="00BD7577">
        <w:rPr>
          <w:rFonts w:ascii="Sylfaen" w:hAnsi="Sylfaen"/>
          <w:sz w:val="24"/>
          <w:szCs w:val="24"/>
        </w:rPr>
        <w:t>Փոփոխությունների աղյուսակի օրինակելի ձ</w:t>
      </w:r>
      <w:r w:rsidR="00C54D75">
        <w:rPr>
          <w:rFonts w:ascii="Sylfaen" w:hAnsi="Sylfaen"/>
          <w:sz w:val="24"/>
          <w:szCs w:val="24"/>
        </w:rPr>
        <w:t>և</w:t>
      </w:r>
      <w:r w:rsidRPr="00BD7577">
        <w:rPr>
          <w:rFonts w:ascii="Sylfaen" w:hAnsi="Sylfaen"/>
          <w:sz w:val="24"/>
          <w:szCs w:val="24"/>
        </w:rPr>
        <w:t>աչափ</w:t>
      </w:r>
    </w:p>
    <w:tbl>
      <w:tblPr>
        <w:tblOverlap w:val="never"/>
        <w:tblW w:w="9915" w:type="dxa"/>
        <w:jc w:val="center"/>
        <w:tblLayout w:type="fixed"/>
        <w:tblCellMar>
          <w:left w:w="10" w:type="dxa"/>
          <w:right w:w="10" w:type="dxa"/>
        </w:tblCellMar>
        <w:tblLook w:val="04A0" w:firstRow="1" w:lastRow="0" w:firstColumn="1" w:lastColumn="0" w:noHBand="0" w:noVBand="1"/>
      </w:tblPr>
      <w:tblGrid>
        <w:gridCol w:w="1742"/>
        <w:gridCol w:w="4075"/>
        <w:gridCol w:w="4098"/>
      </w:tblGrid>
      <w:tr w:rsidR="008C76E0" w:rsidRPr="00BD7577" w14:paraId="369E862F" w14:textId="77777777" w:rsidTr="008C76E0">
        <w:trPr>
          <w:jc w:val="center"/>
        </w:trPr>
        <w:tc>
          <w:tcPr>
            <w:tcW w:w="9915" w:type="dxa"/>
            <w:gridSpan w:val="3"/>
            <w:tcBorders>
              <w:top w:val="single" w:sz="4" w:space="0" w:color="auto"/>
              <w:left w:val="single" w:sz="4" w:space="0" w:color="auto"/>
              <w:right w:val="single" w:sz="4" w:space="0" w:color="auto"/>
            </w:tcBorders>
            <w:shd w:val="clear" w:color="auto" w:fill="FFFFFF"/>
            <w:vAlign w:val="bottom"/>
          </w:tcPr>
          <w:p w14:paraId="3ADFCBE9"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ՓՈՓՈԽՈՒԹՅՈՒՆՆԵՐԻ ԱՂՅՈՒՍԱԿ</w:t>
            </w:r>
          </w:p>
        </w:tc>
      </w:tr>
      <w:tr w:rsidR="008C76E0" w:rsidRPr="00BD7577" w14:paraId="3AC5B416" w14:textId="77777777" w:rsidTr="008C76E0">
        <w:trPr>
          <w:jc w:val="center"/>
        </w:trPr>
        <w:tc>
          <w:tcPr>
            <w:tcW w:w="1742" w:type="dxa"/>
            <w:tcBorders>
              <w:top w:val="single" w:sz="4" w:space="0" w:color="auto"/>
              <w:left w:val="single" w:sz="4" w:space="0" w:color="auto"/>
            </w:tcBorders>
            <w:shd w:val="clear" w:color="auto" w:fill="FFFFFF"/>
          </w:tcPr>
          <w:p w14:paraId="7A8E790F" w14:textId="77777777" w:rsidR="008C76E0" w:rsidRPr="00BD7577" w:rsidRDefault="008C76E0" w:rsidP="008C76E0">
            <w:pPr>
              <w:spacing w:after="120" w:line="240" w:lineRule="auto"/>
              <w:jc w:val="center"/>
              <w:rPr>
                <w:rFonts w:ascii="Sylfaen" w:hAnsi="Sylfaen"/>
                <w:sz w:val="24"/>
                <w:szCs w:val="24"/>
              </w:rPr>
            </w:pPr>
          </w:p>
        </w:tc>
        <w:tc>
          <w:tcPr>
            <w:tcW w:w="4075" w:type="dxa"/>
            <w:tcBorders>
              <w:top w:val="single" w:sz="4" w:space="0" w:color="auto"/>
              <w:left w:val="single" w:sz="4" w:space="0" w:color="auto"/>
            </w:tcBorders>
            <w:shd w:val="clear" w:color="auto" w:fill="FFFFFF"/>
            <w:vAlign w:val="bottom"/>
          </w:tcPr>
          <w:p w14:paraId="46C7394C"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ԱՅԺՄ</w:t>
            </w:r>
          </w:p>
        </w:tc>
        <w:tc>
          <w:tcPr>
            <w:tcW w:w="4098" w:type="dxa"/>
            <w:tcBorders>
              <w:top w:val="single" w:sz="4" w:space="0" w:color="auto"/>
              <w:left w:val="single" w:sz="4" w:space="0" w:color="auto"/>
              <w:right w:val="single" w:sz="4" w:space="0" w:color="auto"/>
            </w:tcBorders>
            <w:shd w:val="clear" w:color="auto" w:fill="FFFFFF"/>
            <w:vAlign w:val="bottom"/>
          </w:tcPr>
          <w:p w14:paraId="63EDF465"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ԱՌԱՋԱՐԿՎՈՒՄ Է</w:t>
            </w:r>
          </w:p>
        </w:tc>
      </w:tr>
      <w:tr w:rsidR="008C76E0" w:rsidRPr="00BD7577" w14:paraId="763EA909" w14:textId="77777777" w:rsidTr="008C76E0">
        <w:trPr>
          <w:jc w:val="center"/>
        </w:trPr>
        <w:tc>
          <w:tcPr>
            <w:tcW w:w="1742" w:type="dxa"/>
            <w:tcBorders>
              <w:top w:val="single" w:sz="4" w:space="0" w:color="auto"/>
              <w:left w:val="single" w:sz="4" w:space="0" w:color="auto"/>
            </w:tcBorders>
            <w:shd w:val="clear" w:color="auto" w:fill="FFFFFF"/>
          </w:tcPr>
          <w:p w14:paraId="4D9A9153" w14:textId="77777777" w:rsidR="008C76E0" w:rsidRPr="00BD7577" w:rsidRDefault="008C76E0" w:rsidP="008C76E0">
            <w:pPr>
              <w:spacing w:after="120" w:line="240" w:lineRule="auto"/>
              <w:jc w:val="center"/>
              <w:rPr>
                <w:rFonts w:ascii="Sylfaen" w:hAnsi="Sylfaen"/>
                <w:sz w:val="24"/>
                <w:szCs w:val="24"/>
              </w:rPr>
            </w:pPr>
          </w:p>
        </w:tc>
        <w:tc>
          <w:tcPr>
            <w:tcW w:w="4075" w:type="dxa"/>
            <w:tcBorders>
              <w:top w:val="single" w:sz="4" w:space="0" w:color="auto"/>
              <w:left w:val="single" w:sz="4" w:space="0" w:color="auto"/>
            </w:tcBorders>
            <w:shd w:val="clear" w:color="auto" w:fill="FFFFFF"/>
            <w:vAlign w:val="bottom"/>
          </w:tcPr>
          <w:p w14:paraId="3DC5F51E"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BD7577">
              <w:rPr>
                <w:rStyle w:val="Bodytext1811pt"/>
                <w:rFonts w:ascii="Sylfaen" w:hAnsi="Sylfaen"/>
                <w:sz w:val="24"/>
                <w:szCs w:val="24"/>
              </w:rPr>
              <w:t xml:space="preserve">ԱԴԲՄՖ-ի իրավատիրոջ ՓՄ-ի </w:t>
            </w:r>
            <w:r w:rsidR="00C54D75">
              <w:rPr>
                <w:rStyle w:val="Bodytext1811pt"/>
                <w:rFonts w:ascii="Sylfaen" w:hAnsi="Sylfaen"/>
                <w:sz w:val="24"/>
                <w:szCs w:val="24"/>
              </w:rPr>
              <w:t>և</w:t>
            </w:r>
            <w:r w:rsidRPr="00BD7577">
              <w:rPr>
                <w:rStyle w:val="Bodytext1811pt"/>
                <w:rFonts w:ascii="Sylfaen" w:hAnsi="Sylfaen"/>
                <w:sz w:val="24"/>
                <w:szCs w:val="24"/>
              </w:rPr>
              <w:t xml:space="preserve"> (կամ) ՀՄ-ի տարբերակի համարը [տարբերակի համարը]/ամսաթիվը (օր-ամիս-տարի)</w:t>
            </w:r>
          </w:p>
        </w:tc>
        <w:tc>
          <w:tcPr>
            <w:tcW w:w="4098" w:type="dxa"/>
            <w:tcBorders>
              <w:top w:val="single" w:sz="4" w:space="0" w:color="auto"/>
              <w:left w:val="single" w:sz="4" w:space="0" w:color="auto"/>
              <w:right w:val="single" w:sz="4" w:space="0" w:color="auto"/>
            </w:tcBorders>
            <w:shd w:val="clear" w:color="auto" w:fill="FFFFFF"/>
            <w:vAlign w:val="bottom"/>
          </w:tcPr>
          <w:p w14:paraId="6E59632D"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BD7577">
              <w:rPr>
                <w:rStyle w:val="Bodytext1811pt"/>
                <w:rFonts w:ascii="Sylfaen" w:hAnsi="Sylfaen"/>
                <w:sz w:val="24"/>
                <w:szCs w:val="24"/>
              </w:rPr>
              <w:t xml:space="preserve">ԱԴԲՄՖ-ի իրավատիրոջ ՓՄ-ի </w:t>
            </w:r>
            <w:r w:rsidR="00C54D75">
              <w:rPr>
                <w:rStyle w:val="Bodytext1811pt"/>
                <w:rFonts w:ascii="Sylfaen" w:hAnsi="Sylfaen"/>
                <w:sz w:val="24"/>
                <w:szCs w:val="24"/>
              </w:rPr>
              <w:t>և</w:t>
            </w:r>
            <w:r w:rsidRPr="00BD7577">
              <w:rPr>
                <w:rStyle w:val="Bodytext1811pt"/>
                <w:rFonts w:ascii="Sylfaen" w:hAnsi="Sylfaen"/>
                <w:sz w:val="24"/>
                <w:szCs w:val="24"/>
              </w:rPr>
              <w:t xml:space="preserve"> (կամ) ՀՄ-ի տարբերակի համարը [տարբերակի համարը]/ամսաթիվը (օր-ամիս-տարի)</w:t>
            </w:r>
          </w:p>
        </w:tc>
      </w:tr>
      <w:tr w:rsidR="008C76E0" w:rsidRPr="00BD7577" w14:paraId="300C2D15" w14:textId="77777777" w:rsidTr="008C76E0">
        <w:trPr>
          <w:jc w:val="center"/>
        </w:trPr>
        <w:tc>
          <w:tcPr>
            <w:tcW w:w="1742" w:type="dxa"/>
            <w:tcBorders>
              <w:top w:val="single" w:sz="4" w:space="0" w:color="auto"/>
              <w:left w:val="single" w:sz="4" w:space="0" w:color="auto"/>
            </w:tcBorders>
            <w:shd w:val="clear" w:color="auto" w:fill="FFFFFF"/>
            <w:vAlign w:val="bottom"/>
          </w:tcPr>
          <w:p w14:paraId="5CE7A97E"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ԸՏՓ-ի բաժինը</w:t>
            </w:r>
          </w:p>
        </w:tc>
        <w:tc>
          <w:tcPr>
            <w:tcW w:w="4075" w:type="dxa"/>
            <w:tcBorders>
              <w:top w:val="single" w:sz="4" w:space="0" w:color="auto"/>
              <w:left w:val="single" w:sz="4" w:space="0" w:color="auto"/>
            </w:tcBorders>
            <w:shd w:val="clear" w:color="auto" w:fill="FFFFFF"/>
            <w:vAlign w:val="bottom"/>
          </w:tcPr>
          <w:p w14:paraId="3E5E1DEA"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Ընթացիկ իրավիճակը</w:t>
            </w:r>
          </w:p>
        </w:tc>
        <w:tc>
          <w:tcPr>
            <w:tcW w:w="4098" w:type="dxa"/>
            <w:tcBorders>
              <w:top w:val="single" w:sz="4" w:space="0" w:color="auto"/>
              <w:left w:val="single" w:sz="4" w:space="0" w:color="auto"/>
              <w:right w:val="single" w:sz="4" w:space="0" w:color="auto"/>
            </w:tcBorders>
            <w:shd w:val="clear" w:color="auto" w:fill="FFFFFF"/>
            <w:vAlign w:val="bottom"/>
          </w:tcPr>
          <w:p w14:paraId="3BAE7D5D"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Փոփոխության նկարագրությունը</w:t>
            </w:r>
          </w:p>
        </w:tc>
      </w:tr>
      <w:tr w:rsidR="008C76E0" w:rsidRPr="00BD7577" w14:paraId="7C29C204" w14:textId="77777777" w:rsidTr="008C76E0">
        <w:trPr>
          <w:jc w:val="center"/>
        </w:trPr>
        <w:tc>
          <w:tcPr>
            <w:tcW w:w="1742" w:type="dxa"/>
            <w:tcBorders>
              <w:top w:val="single" w:sz="4" w:space="0" w:color="auto"/>
              <w:left w:val="single" w:sz="4" w:space="0" w:color="auto"/>
              <w:bottom w:val="single" w:sz="4" w:space="0" w:color="auto"/>
            </w:tcBorders>
            <w:shd w:val="clear" w:color="auto" w:fill="FFFFFF"/>
          </w:tcPr>
          <w:p w14:paraId="5E2A3F5E" w14:textId="77777777" w:rsidR="008C76E0" w:rsidRPr="00BD7577" w:rsidRDefault="008C76E0" w:rsidP="008C76E0">
            <w:pPr>
              <w:spacing w:after="120" w:line="240" w:lineRule="auto"/>
              <w:jc w:val="center"/>
              <w:rPr>
                <w:rFonts w:ascii="Sylfaen" w:hAnsi="Sylfaen"/>
                <w:sz w:val="24"/>
                <w:szCs w:val="24"/>
              </w:rPr>
            </w:pPr>
          </w:p>
        </w:tc>
        <w:tc>
          <w:tcPr>
            <w:tcW w:w="4075" w:type="dxa"/>
            <w:tcBorders>
              <w:top w:val="single" w:sz="4" w:space="0" w:color="auto"/>
              <w:left w:val="single" w:sz="4" w:space="0" w:color="auto"/>
              <w:bottom w:val="single" w:sz="4" w:space="0" w:color="auto"/>
            </w:tcBorders>
            <w:shd w:val="clear" w:color="auto" w:fill="FFFFFF"/>
          </w:tcPr>
          <w:p w14:paraId="15CDD098" w14:textId="77777777" w:rsidR="008C76E0" w:rsidRPr="00BD7577" w:rsidRDefault="008C76E0" w:rsidP="008C76E0">
            <w:pPr>
              <w:spacing w:after="120" w:line="240" w:lineRule="auto"/>
              <w:jc w:val="center"/>
              <w:rPr>
                <w:rFonts w:ascii="Sylfaen" w:hAnsi="Sylfaen"/>
                <w:sz w:val="24"/>
                <w:szCs w:val="24"/>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3C809B9" w14:textId="77777777" w:rsidR="008C76E0" w:rsidRPr="00BD7577" w:rsidRDefault="008C76E0" w:rsidP="008C76E0">
            <w:pPr>
              <w:spacing w:after="120" w:line="240" w:lineRule="auto"/>
              <w:jc w:val="center"/>
              <w:rPr>
                <w:rFonts w:ascii="Sylfaen" w:hAnsi="Sylfaen"/>
                <w:sz w:val="24"/>
                <w:szCs w:val="24"/>
              </w:rPr>
            </w:pPr>
          </w:p>
        </w:tc>
      </w:tr>
    </w:tbl>
    <w:p w14:paraId="6904FC0D" w14:textId="77777777" w:rsidR="00207FF6" w:rsidRDefault="00207FF6" w:rsidP="008C76E0">
      <w:pPr>
        <w:ind w:left="567" w:right="566"/>
        <w:jc w:val="center"/>
        <w:rPr>
          <w:rFonts w:ascii="Sylfaen" w:hAnsi="Sylfaen"/>
          <w:sz w:val="24"/>
          <w:szCs w:val="24"/>
          <w:lang w:val="en-US"/>
        </w:rPr>
      </w:pPr>
    </w:p>
    <w:p w14:paraId="7F466E70" w14:textId="77777777" w:rsidR="00207FF6" w:rsidRDefault="00207FF6">
      <w:pPr>
        <w:widowControl/>
        <w:rPr>
          <w:rFonts w:ascii="Sylfaen" w:hAnsi="Sylfaen"/>
          <w:sz w:val="24"/>
          <w:szCs w:val="24"/>
          <w:lang w:val="en-US"/>
        </w:rPr>
      </w:pPr>
      <w:r>
        <w:rPr>
          <w:rFonts w:ascii="Sylfaen" w:hAnsi="Sylfaen"/>
          <w:sz w:val="24"/>
          <w:szCs w:val="24"/>
          <w:lang w:val="en-US"/>
        </w:rPr>
        <w:br w:type="page"/>
      </w:r>
    </w:p>
    <w:p w14:paraId="4C07B839" w14:textId="77777777" w:rsidR="008C76E0" w:rsidRPr="00BD7577" w:rsidRDefault="008C76E0" w:rsidP="00207FF6">
      <w:pPr>
        <w:spacing w:after="160" w:line="360" w:lineRule="auto"/>
        <w:ind w:left="567" w:right="566"/>
        <w:jc w:val="center"/>
        <w:rPr>
          <w:rFonts w:ascii="Sylfaen" w:hAnsi="Sylfaen"/>
          <w:sz w:val="24"/>
          <w:szCs w:val="24"/>
        </w:rPr>
      </w:pPr>
      <w:r w:rsidRPr="00BD7577">
        <w:rPr>
          <w:rFonts w:ascii="Sylfaen" w:hAnsi="Sylfaen"/>
          <w:sz w:val="24"/>
          <w:szCs w:val="24"/>
        </w:rPr>
        <w:lastRenderedPageBreak/>
        <w:t>Վարչական տեղեկություններ՝ այլ գրանցման դոսյեների վերաբերյալ</w:t>
      </w:r>
      <w:r w:rsidRPr="00626427">
        <w:rPr>
          <w:rFonts w:ascii="Sylfaen" w:hAnsi="Sylfaen"/>
          <w:sz w:val="24"/>
          <w:szCs w:val="24"/>
        </w:rPr>
        <w:t xml:space="preserve"> </w:t>
      </w:r>
      <w:r w:rsidRPr="00BD7577">
        <w:rPr>
          <w:rFonts w:ascii="Sylfaen" w:hAnsi="Sylfaen"/>
          <w:sz w:val="24"/>
          <w:szCs w:val="24"/>
        </w:rPr>
        <w:t xml:space="preserve">Նույն ԱԴԲՄՖ-ին հղում կատարող գրանցման այլ դոսյեներ </w:t>
      </w:r>
      <w:r w:rsidRPr="00BD7577">
        <w:rPr>
          <w:rFonts w:ascii="Sylfaen" w:hAnsi="Sylfaen"/>
          <w:sz w:val="24"/>
          <w:szCs w:val="24"/>
        </w:rPr>
        <w:br/>
        <w:t>(անկախ դրանց կարգավիճակից)</w:t>
      </w:r>
    </w:p>
    <w:tbl>
      <w:tblPr>
        <w:tblOverlap w:val="never"/>
        <w:tblW w:w="9498" w:type="dxa"/>
        <w:jc w:val="center"/>
        <w:tblLayout w:type="fixed"/>
        <w:tblCellMar>
          <w:left w:w="10" w:type="dxa"/>
          <w:right w:w="10" w:type="dxa"/>
        </w:tblCellMar>
        <w:tblLook w:val="04A0" w:firstRow="1" w:lastRow="0" w:firstColumn="1" w:lastColumn="0" w:noHBand="0" w:noVBand="1"/>
      </w:tblPr>
      <w:tblGrid>
        <w:gridCol w:w="8213"/>
        <w:gridCol w:w="1285"/>
      </w:tblGrid>
      <w:tr w:rsidR="008C76E0" w:rsidRPr="00BD7577" w14:paraId="1C6707CA" w14:textId="77777777" w:rsidTr="008C76E0">
        <w:trPr>
          <w:jc w:val="center"/>
        </w:trPr>
        <w:tc>
          <w:tcPr>
            <w:tcW w:w="8213" w:type="dxa"/>
            <w:vMerge w:val="restart"/>
            <w:tcBorders>
              <w:top w:val="single" w:sz="4" w:space="0" w:color="auto"/>
              <w:left w:val="single" w:sz="4" w:space="0" w:color="auto"/>
            </w:tcBorders>
            <w:shd w:val="clear" w:color="auto" w:fill="FFFFFF"/>
          </w:tcPr>
          <w:p w14:paraId="5F332E29" w14:textId="77777777" w:rsidR="008C76E0" w:rsidRPr="008C76E0" w:rsidRDefault="008C76E0" w:rsidP="00207FF6">
            <w:pPr>
              <w:pStyle w:val="Bodytext180"/>
              <w:shd w:val="clear" w:color="auto" w:fill="auto"/>
              <w:spacing w:before="0" w:after="160" w:line="360" w:lineRule="auto"/>
              <w:ind w:left="130" w:right="125" w:firstLine="0"/>
              <w:jc w:val="both"/>
              <w:rPr>
                <w:rFonts w:ascii="Sylfaen" w:hAnsi="Sylfaen"/>
                <w:b w:val="0"/>
                <w:sz w:val="24"/>
                <w:szCs w:val="24"/>
                <w:lang w:val="hy-AM"/>
              </w:rPr>
            </w:pPr>
            <w:r w:rsidRPr="00BD7577">
              <w:rPr>
                <w:rStyle w:val="Bodytext1811pt"/>
                <w:rFonts w:ascii="Sylfaen" w:hAnsi="Sylfaen"/>
                <w:sz w:val="24"/>
                <w:szCs w:val="24"/>
              </w:rPr>
              <w:t>ԱԴԲՄՖ-ն նախկինում ներկայացվել է անդամ պետության լիազորված մարմին</w:t>
            </w:r>
          </w:p>
        </w:tc>
        <w:tc>
          <w:tcPr>
            <w:tcW w:w="1285" w:type="dxa"/>
            <w:tcBorders>
              <w:top w:val="single" w:sz="4" w:space="0" w:color="auto"/>
              <w:left w:val="single" w:sz="4" w:space="0" w:color="auto"/>
              <w:right w:val="single" w:sz="4" w:space="0" w:color="auto"/>
            </w:tcBorders>
            <w:shd w:val="clear" w:color="auto" w:fill="FFFFFF"/>
            <w:vAlign w:val="bottom"/>
          </w:tcPr>
          <w:p w14:paraId="497EB15D" w14:textId="77777777" w:rsidR="008C76E0" w:rsidRPr="00BD7577" w:rsidRDefault="008C76E0" w:rsidP="00207FF6">
            <w:pPr>
              <w:pStyle w:val="Bodytext180"/>
              <w:shd w:val="clear" w:color="auto" w:fill="auto"/>
              <w:spacing w:before="0" w:after="160" w:line="360" w:lineRule="auto"/>
              <w:ind w:right="-1" w:firstLine="0"/>
              <w:jc w:val="both"/>
              <w:rPr>
                <w:rFonts w:ascii="Sylfaen" w:hAnsi="Sylfaen"/>
                <w:b w:val="0"/>
                <w:sz w:val="24"/>
                <w:szCs w:val="24"/>
              </w:rPr>
            </w:pPr>
            <w:r w:rsidRPr="00BD7577">
              <w:rPr>
                <w:rStyle w:val="Bodytext1811pt"/>
                <w:rFonts w:ascii="Sylfaen" w:hAnsi="Sylfaen"/>
                <w:sz w:val="24"/>
                <w:szCs w:val="24"/>
              </w:rPr>
              <w:t>Այո-□</w:t>
            </w:r>
          </w:p>
        </w:tc>
      </w:tr>
      <w:tr w:rsidR="008C76E0" w:rsidRPr="00BD7577" w14:paraId="06B7A495" w14:textId="77777777" w:rsidTr="008C76E0">
        <w:trPr>
          <w:jc w:val="center"/>
        </w:trPr>
        <w:tc>
          <w:tcPr>
            <w:tcW w:w="8213" w:type="dxa"/>
            <w:vMerge/>
            <w:tcBorders>
              <w:left w:val="single" w:sz="4" w:space="0" w:color="auto"/>
              <w:bottom w:val="single" w:sz="4" w:space="0" w:color="auto"/>
            </w:tcBorders>
            <w:shd w:val="clear" w:color="auto" w:fill="FFFFFF"/>
          </w:tcPr>
          <w:p w14:paraId="37A2A367" w14:textId="77777777" w:rsidR="008C76E0" w:rsidRPr="00BD7577" w:rsidRDefault="008C76E0" w:rsidP="00207FF6">
            <w:pPr>
              <w:spacing w:after="160" w:line="360" w:lineRule="auto"/>
              <w:ind w:right="-1"/>
              <w:jc w:val="both"/>
              <w:rPr>
                <w:rFonts w:ascii="Sylfaen" w:hAnsi="Sylfaen"/>
                <w:sz w:val="24"/>
                <w:szCs w:val="24"/>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bottom"/>
          </w:tcPr>
          <w:p w14:paraId="75638A25" w14:textId="77777777" w:rsidR="008C76E0" w:rsidRPr="00BD7577" w:rsidRDefault="008C76E0" w:rsidP="00207FF6">
            <w:pPr>
              <w:pStyle w:val="Bodytext180"/>
              <w:shd w:val="clear" w:color="auto" w:fill="auto"/>
              <w:spacing w:before="0" w:after="160" w:line="360" w:lineRule="auto"/>
              <w:ind w:right="-1" w:firstLine="0"/>
              <w:jc w:val="both"/>
              <w:rPr>
                <w:rFonts w:ascii="Sylfaen" w:hAnsi="Sylfaen"/>
                <w:b w:val="0"/>
                <w:sz w:val="24"/>
                <w:szCs w:val="24"/>
              </w:rPr>
            </w:pPr>
            <w:r w:rsidRPr="00BD7577">
              <w:rPr>
                <w:rStyle w:val="Bodytext1811pt"/>
                <w:rFonts w:ascii="Sylfaen" w:hAnsi="Sylfaen"/>
                <w:sz w:val="24"/>
                <w:szCs w:val="24"/>
              </w:rPr>
              <w:t>Ոչ-□</w:t>
            </w:r>
          </w:p>
        </w:tc>
      </w:tr>
    </w:tbl>
    <w:p w14:paraId="4E319469"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Եթե այո, ապա հարկ է ներկայացնել ԱԴԲՄՖ-ի մեջ ներառված տվյալներին համապատասխան արտադրված ակտիվ դեղագործական բաղադրամաս պարունակող բժշկական կիրառման դեղապատրաստուկների ցանկը։ Անհրաժեշտության դեպքում հարկ է օգտագործել լրացուցիչ թերթիկներ։ Անհրաժեշտ է ներառել ներկայացված 5 ամենաթարմ դեղապատրաստուկները կամ վերջին 2 տարվա ընթացքում ներկայացված բոլոր դեղապատրաստուկները՝ կախված այն բանից, թե որն է ավելի շատ։</w:t>
      </w:r>
    </w:p>
    <w:tbl>
      <w:tblPr>
        <w:tblOverlap w:val="never"/>
        <w:tblW w:w="9501" w:type="dxa"/>
        <w:jc w:val="center"/>
        <w:tblLayout w:type="fixed"/>
        <w:tblCellMar>
          <w:left w:w="10" w:type="dxa"/>
          <w:right w:w="10" w:type="dxa"/>
        </w:tblCellMar>
        <w:tblLook w:val="04A0" w:firstRow="1" w:lastRow="0" w:firstColumn="1" w:lastColumn="0" w:noHBand="0" w:noVBand="1"/>
      </w:tblPr>
      <w:tblGrid>
        <w:gridCol w:w="3686"/>
        <w:gridCol w:w="2309"/>
        <w:gridCol w:w="3506"/>
      </w:tblGrid>
      <w:tr w:rsidR="008C76E0" w:rsidRPr="00BD7577" w14:paraId="38FEF1D1" w14:textId="77777777" w:rsidTr="008C76E0">
        <w:trPr>
          <w:jc w:val="center"/>
        </w:trPr>
        <w:tc>
          <w:tcPr>
            <w:tcW w:w="3686" w:type="dxa"/>
            <w:tcBorders>
              <w:top w:val="single" w:sz="4" w:space="0" w:color="auto"/>
              <w:left w:val="single" w:sz="4" w:space="0" w:color="auto"/>
            </w:tcBorders>
            <w:shd w:val="clear" w:color="auto" w:fill="FFFFFF"/>
          </w:tcPr>
          <w:p w14:paraId="5F176765"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Գրանցման ընթացակարգի ծածկագրային համարը</w:t>
            </w:r>
          </w:p>
        </w:tc>
        <w:tc>
          <w:tcPr>
            <w:tcW w:w="2309" w:type="dxa"/>
            <w:tcBorders>
              <w:top w:val="single" w:sz="4" w:space="0" w:color="auto"/>
              <w:left w:val="single" w:sz="4" w:space="0" w:color="auto"/>
            </w:tcBorders>
            <w:shd w:val="clear" w:color="auto" w:fill="FFFFFF"/>
          </w:tcPr>
          <w:p w14:paraId="1FE67312"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ԱԴԲՄՖ-ի համարը</w:t>
            </w:r>
          </w:p>
        </w:tc>
        <w:tc>
          <w:tcPr>
            <w:tcW w:w="3506" w:type="dxa"/>
            <w:tcBorders>
              <w:top w:val="single" w:sz="4" w:space="0" w:color="auto"/>
              <w:left w:val="single" w:sz="4" w:space="0" w:color="auto"/>
              <w:right w:val="single" w:sz="4" w:space="0" w:color="auto"/>
            </w:tcBorders>
            <w:shd w:val="clear" w:color="auto" w:fill="FFFFFF"/>
          </w:tcPr>
          <w:p w14:paraId="66D94A29" w14:textId="77777777" w:rsidR="008C76E0" w:rsidRPr="00BD7577"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BD7577">
              <w:rPr>
                <w:rStyle w:val="Bodytext1811pt"/>
                <w:rFonts w:ascii="Sylfaen" w:hAnsi="Sylfaen"/>
                <w:sz w:val="24"/>
                <w:szCs w:val="24"/>
              </w:rPr>
              <w:t xml:space="preserve">ԱԴԲՄՖ-ի իրավատիրոջ տարբերակի համարը </w:t>
            </w:r>
            <w:r w:rsidRPr="009721C8">
              <w:rPr>
                <w:rStyle w:val="Bodytext1811pt"/>
                <w:rFonts w:ascii="Sylfaen" w:hAnsi="Sylfaen"/>
                <w:sz w:val="24"/>
                <w:szCs w:val="24"/>
              </w:rPr>
              <w:br/>
            </w:r>
            <w:r w:rsidRPr="00BD7577">
              <w:rPr>
                <w:rStyle w:val="Bodytext1811pt"/>
                <w:rFonts w:ascii="Sylfaen" w:hAnsi="Sylfaen"/>
                <w:sz w:val="24"/>
                <w:szCs w:val="24"/>
              </w:rPr>
              <w:t xml:space="preserve">(ՓՄ-ն </w:t>
            </w:r>
            <w:r w:rsidR="00C54D75">
              <w:rPr>
                <w:rStyle w:val="Bodytext1811pt"/>
                <w:rFonts w:ascii="Sylfaen" w:hAnsi="Sylfaen"/>
                <w:sz w:val="24"/>
                <w:szCs w:val="24"/>
              </w:rPr>
              <w:t>և</w:t>
            </w:r>
            <w:r w:rsidRPr="00BD7577">
              <w:rPr>
                <w:rStyle w:val="Bodytext1811pt"/>
                <w:rFonts w:ascii="Sylfaen" w:hAnsi="Sylfaen"/>
                <w:sz w:val="24"/>
                <w:szCs w:val="24"/>
              </w:rPr>
              <w:t xml:space="preserve"> ՀՄ-ն)/ամսաթիվը</w:t>
            </w:r>
          </w:p>
        </w:tc>
      </w:tr>
      <w:tr w:rsidR="008C76E0" w:rsidRPr="00BD7577" w14:paraId="31953C50" w14:textId="77777777" w:rsidTr="008C76E0">
        <w:trPr>
          <w:jc w:val="center"/>
        </w:trPr>
        <w:tc>
          <w:tcPr>
            <w:tcW w:w="3686" w:type="dxa"/>
            <w:tcBorders>
              <w:top w:val="single" w:sz="4" w:space="0" w:color="auto"/>
              <w:left w:val="single" w:sz="4" w:space="0" w:color="auto"/>
            </w:tcBorders>
            <w:shd w:val="clear" w:color="auto" w:fill="FFFFFF"/>
          </w:tcPr>
          <w:p w14:paraId="278FC07C" w14:textId="77777777" w:rsidR="008C76E0" w:rsidRPr="00BD7577" w:rsidRDefault="008C76E0" w:rsidP="008C76E0">
            <w:pPr>
              <w:spacing w:after="120" w:line="240" w:lineRule="auto"/>
              <w:jc w:val="both"/>
              <w:rPr>
                <w:rFonts w:ascii="Sylfaen" w:hAnsi="Sylfaen"/>
                <w:sz w:val="24"/>
                <w:szCs w:val="24"/>
              </w:rPr>
            </w:pPr>
          </w:p>
        </w:tc>
        <w:tc>
          <w:tcPr>
            <w:tcW w:w="2309" w:type="dxa"/>
            <w:tcBorders>
              <w:top w:val="single" w:sz="4" w:space="0" w:color="auto"/>
              <w:left w:val="single" w:sz="4" w:space="0" w:color="auto"/>
            </w:tcBorders>
            <w:shd w:val="clear" w:color="auto" w:fill="FFFFFF"/>
          </w:tcPr>
          <w:p w14:paraId="50D81B8E" w14:textId="77777777" w:rsidR="008C76E0" w:rsidRPr="00BD7577" w:rsidRDefault="008C76E0" w:rsidP="008C76E0">
            <w:pPr>
              <w:spacing w:after="120" w:line="240" w:lineRule="auto"/>
              <w:jc w:val="both"/>
              <w:rPr>
                <w:rFonts w:ascii="Sylfaen" w:hAnsi="Sylfaen"/>
                <w:sz w:val="24"/>
                <w:szCs w:val="24"/>
              </w:rPr>
            </w:pPr>
          </w:p>
        </w:tc>
        <w:tc>
          <w:tcPr>
            <w:tcW w:w="3506" w:type="dxa"/>
            <w:tcBorders>
              <w:top w:val="single" w:sz="4" w:space="0" w:color="auto"/>
              <w:left w:val="single" w:sz="4" w:space="0" w:color="auto"/>
              <w:right w:val="single" w:sz="4" w:space="0" w:color="auto"/>
            </w:tcBorders>
            <w:shd w:val="clear" w:color="auto" w:fill="FFFFFF"/>
          </w:tcPr>
          <w:p w14:paraId="0DA5ED82" w14:textId="77777777" w:rsidR="008C76E0" w:rsidRPr="00BD7577" w:rsidRDefault="008C76E0" w:rsidP="008C76E0">
            <w:pPr>
              <w:spacing w:after="120" w:line="240" w:lineRule="auto"/>
              <w:jc w:val="both"/>
              <w:rPr>
                <w:rFonts w:ascii="Sylfaen" w:hAnsi="Sylfaen"/>
                <w:sz w:val="24"/>
                <w:szCs w:val="24"/>
              </w:rPr>
            </w:pPr>
          </w:p>
        </w:tc>
      </w:tr>
      <w:tr w:rsidR="008C76E0" w:rsidRPr="00BD7577" w14:paraId="6C0D6490" w14:textId="77777777" w:rsidTr="008C76E0">
        <w:trPr>
          <w:jc w:val="center"/>
        </w:trPr>
        <w:tc>
          <w:tcPr>
            <w:tcW w:w="3686" w:type="dxa"/>
            <w:tcBorders>
              <w:top w:val="single" w:sz="4" w:space="0" w:color="auto"/>
              <w:left w:val="single" w:sz="4" w:space="0" w:color="auto"/>
              <w:bottom w:val="single" w:sz="4" w:space="0" w:color="auto"/>
            </w:tcBorders>
            <w:shd w:val="clear" w:color="auto" w:fill="FFFFFF"/>
          </w:tcPr>
          <w:p w14:paraId="4537A9B8" w14:textId="77777777" w:rsidR="008C76E0" w:rsidRPr="00BD7577" w:rsidRDefault="008C76E0" w:rsidP="008C76E0">
            <w:pPr>
              <w:spacing w:after="120" w:line="240" w:lineRule="auto"/>
              <w:jc w:val="both"/>
              <w:rPr>
                <w:rFonts w:ascii="Sylfaen" w:hAnsi="Sylfaen"/>
                <w:sz w:val="24"/>
                <w:szCs w:val="24"/>
              </w:rPr>
            </w:pPr>
          </w:p>
        </w:tc>
        <w:tc>
          <w:tcPr>
            <w:tcW w:w="2309" w:type="dxa"/>
            <w:tcBorders>
              <w:top w:val="single" w:sz="4" w:space="0" w:color="auto"/>
              <w:left w:val="single" w:sz="4" w:space="0" w:color="auto"/>
              <w:bottom w:val="single" w:sz="4" w:space="0" w:color="auto"/>
            </w:tcBorders>
            <w:shd w:val="clear" w:color="auto" w:fill="FFFFFF"/>
          </w:tcPr>
          <w:p w14:paraId="0376DDD3" w14:textId="77777777" w:rsidR="008C76E0" w:rsidRPr="00BD7577" w:rsidRDefault="008C76E0" w:rsidP="008C76E0">
            <w:pPr>
              <w:spacing w:after="120" w:line="240" w:lineRule="auto"/>
              <w:jc w:val="both"/>
              <w:rPr>
                <w:rFonts w:ascii="Sylfaen" w:hAnsi="Sylfaen"/>
                <w:sz w:val="24"/>
                <w:szCs w:val="24"/>
              </w:rPr>
            </w:pPr>
          </w:p>
        </w:tc>
        <w:tc>
          <w:tcPr>
            <w:tcW w:w="3506" w:type="dxa"/>
            <w:tcBorders>
              <w:top w:val="single" w:sz="4" w:space="0" w:color="auto"/>
              <w:left w:val="single" w:sz="4" w:space="0" w:color="auto"/>
              <w:bottom w:val="single" w:sz="4" w:space="0" w:color="auto"/>
              <w:right w:val="single" w:sz="4" w:space="0" w:color="auto"/>
            </w:tcBorders>
            <w:shd w:val="clear" w:color="auto" w:fill="FFFFFF"/>
          </w:tcPr>
          <w:p w14:paraId="0228A34D" w14:textId="77777777" w:rsidR="008C76E0" w:rsidRPr="00BD7577" w:rsidRDefault="008C76E0" w:rsidP="008C76E0">
            <w:pPr>
              <w:spacing w:after="120" w:line="240" w:lineRule="auto"/>
              <w:jc w:val="both"/>
              <w:rPr>
                <w:rFonts w:ascii="Sylfaen" w:hAnsi="Sylfaen"/>
                <w:sz w:val="24"/>
                <w:szCs w:val="24"/>
              </w:rPr>
            </w:pPr>
          </w:p>
        </w:tc>
      </w:tr>
    </w:tbl>
    <w:p w14:paraId="58D7CCDE" w14:textId="77777777" w:rsidR="008C76E0" w:rsidRPr="00BD7577" w:rsidRDefault="008C76E0" w:rsidP="008C76E0">
      <w:pPr>
        <w:ind w:right="-1"/>
        <w:jc w:val="both"/>
        <w:rPr>
          <w:rFonts w:ascii="Sylfaen" w:hAnsi="Sylfaen"/>
          <w:sz w:val="24"/>
          <w:szCs w:val="24"/>
        </w:rPr>
      </w:pPr>
    </w:p>
    <w:p w14:paraId="69DB486C"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ԱԴԲՄՖ-ի իրավատերն ավելի շատ տեղեկություններ ներկայացնելու իրավունք ունի։ Անդամ պետությունների լիազորված մարմինները տվյալ ԱԴԲՄՖ-ում շոշափված այլ դեղապատրաստուկների մասին տեղեկություններ պահանջելու իրավունք ունեն։</w:t>
      </w:r>
    </w:p>
    <w:p w14:paraId="1C764708" w14:textId="77777777" w:rsidR="008C76E0" w:rsidRPr="008C76E0" w:rsidRDefault="008C76E0" w:rsidP="00207FF6">
      <w:pPr>
        <w:pStyle w:val="Bodytext140"/>
        <w:shd w:val="clear" w:color="auto" w:fill="auto"/>
        <w:spacing w:before="0" w:after="160" w:line="360" w:lineRule="auto"/>
        <w:ind w:firstLine="567"/>
        <w:jc w:val="both"/>
        <w:rPr>
          <w:rFonts w:ascii="Sylfaen" w:hAnsi="Sylfaen"/>
          <w:sz w:val="24"/>
          <w:szCs w:val="24"/>
          <w:lang w:val="hy-AM"/>
        </w:rPr>
      </w:pPr>
      <w:r w:rsidRPr="008C76E0">
        <w:rPr>
          <w:rStyle w:val="Bodytext14NotItalic"/>
          <w:rFonts w:ascii="Sylfaen" w:hAnsi="Sylfaen"/>
          <w:i/>
          <w:sz w:val="24"/>
          <w:szCs w:val="24"/>
          <w:lang w:val="hy-AM"/>
        </w:rPr>
        <w:t>{</w:t>
      </w:r>
      <w:r w:rsidRPr="008C76E0">
        <w:rPr>
          <w:rFonts w:ascii="Sylfaen" w:hAnsi="Sylfaen"/>
          <w:sz w:val="24"/>
          <w:szCs w:val="24"/>
          <w:lang w:val="hy-AM"/>
        </w:rPr>
        <w:t>Լիազորված կոնտակտային անձի ստորագրությունը</w:t>
      </w:r>
      <w:r w:rsidRPr="009721C8">
        <w:rPr>
          <w:rStyle w:val="Bodytext295pt"/>
          <w:rFonts w:ascii="Sylfaen" w:hAnsi="Sylfaen"/>
          <w:b w:val="0"/>
          <w:spacing w:val="0"/>
          <w:sz w:val="24"/>
          <w:szCs w:val="24"/>
        </w:rPr>
        <w:t>}</w:t>
      </w:r>
    </w:p>
    <w:p w14:paraId="008FB1B0" w14:textId="77777777" w:rsidR="008C76E0" w:rsidRPr="009721C8" w:rsidRDefault="008C76E0" w:rsidP="00207FF6">
      <w:pPr>
        <w:pStyle w:val="Bodytext140"/>
        <w:shd w:val="clear" w:color="auto" w:fill="auto"/>
        <w:spacing w:before="0" w:after="160" w:line="360" w:lineRule="auto"/>
        <w:ind w:firstLine="567"/>
        <w:jc w:val="both"/>
        <w:rPr>
          <w:rStyle w:val="Bodytext295pt"/>
          <w:rFonts w:ascii="Sylfaen" w:hAnsi="Sylfaen"/>
          <w:b w:val="0"/>
          <w:spacing w:val="0"/>
          <w:sz w:val="24"/>
          <w:szCs w:val="24"/>
        </w:rPr>
      </w:pPr>
      <w:r w:rsidRPr="008C76E0">
        <w:rPr>
          <w:rStyle w:val="Bodytext14NotItalic"/>
          <w:rFonts w:ascii="Sylfaen" w:hAnsi="Sylfaen"/>
          <w:i/>
          <w:sz w:val="24"/>
          <w:szCs w:val="24"/>
          <w:lang w:val="hy-AM"/>
        </w:rPr>
        <w:t>{</w:t>
      </w:r>
      <w:r w:rsidRPr="008C76E0">
        <w:rPr>
          <w:rFonts w:ascii="Sylfaen" w:hAnsi="Sylfaen"/>
          <w:sz w:val="24"/>
          <w:szCs w:val="24"/>
          <w:lang w:val="hy-AM"/>
        </w:rPr>
        <w:t xml:space="preserve">Անունը, հասցեն </w:t>
      </w:r>
      <w:r w:rsidR="00C54D75">
        <w:rPr>
          <w:rFonts w:ascii="Sylfaen" w:hAnsi="Sylfaen"/>
          <w:sz w:val="24"/>
          <w:szCs w:val="24"/>
          <w:lang w:val="hy-AM"/>
        </w:rPr>
        <w:t>և</w:t>
      </w:r>
      <w:r w:rsidRPr="008C76E0">
        <w:rPr>
          <w:rFonts w:ascii="Sylfaen" w:hAnsi="Sylfaen"/>
          <w:sz w:val="24"/>
          <w:szCs w:val="24"/>
          <w:lang w:val="hy-AM"/>
        </w:rPr>
        <w:t xml:space="preserve"> պաշտոնը ընկերությունում</w:t>
      </w:r>
      <w:r w:rsidRPr="009721C8">
        <w:rPr>
          <w:rStyle w:val="Bodytext295pt"/>
          <w:rFonts w:ascii="Sylfaen" w:hAnsi="Sylfaen"/>
          <w:b w:val="0"/>
          <w:spacing w:val="0"/>
          <w:sz w:val="24"/>
          <w:szCs w:val="24"/>
        </w:rPr>
        <w:t>}</w:t>
      </w:r>
    </w:p>
    <w:p w14:paraId="23A04DC2" w14:textId="77777777" w:rsidR="008C76E0" w:rsidRPr="00BD7577" w:rsidRDefault="008C76E0" w:rsidP="008C76E0">
      <w:pPr>
        <w:ind w:right="-1"/>
        <w:jc w:val="both"/>
        <w:rPr>
          <w:rStyle w:val="Bodytext295pt"/>
          <w:rFonts w:ascii="Sylfaen" w:eastAsia="MS Mincho" w:hAnsi="Sylfaen"/>
          <w:b w:val="0"/>
          <w:i/>
          <w:iCs/>
          <w:spacing w:val="0"/>
          <w:sz w:val="24"/>
          <w:szCs w:val="24"/>
        </w:rPr>
      </w:pPr>
      <w:r w:rsidRPr="00BD7577">
        <w:rPr>
          <w:rFonts w:ascii="Sylfaen" w:hAnsi="Sylfaen"/>
          <w:sz w:val="24"/>
          <w:szCs w:val="24"/>
        </w:rPr>
        <w:br w:type="page"/>
      </w:r>
    </w:p>
    <w:p w14:paraId="57D3D462" w14:textId="77777777" w:rsidR="008C76E0" w:rsidRPr="00E84087" w:rsidRDefault="008C76E0" w:rsidP="00207FF6">
      <w:pPr>
        <w:pStyle w:val="Heading120"/>
        <w:shd w:val="clear" w:color="auto" w:fill="auto"/>
        <w:spacing w:before="0" w:after="160" w:line="360" w:lineRule="auto"/>
        <w:jc w:val="right"/>
        <w:outlineLvl w:val="9"/>
        <w:rPr>
          <w:rStyle w:val="Heading12Spacing2pt"/>
          <w:rFonts w:ascii="Sylfaen" w:hAnsi="Sylfaen"/>
          <w:spacing w:val="0"/>
          <w:sz w:val="24"/>
          <w:szCs w:val="24"/>
        </w:rPr>
      </w:pPr>
      <w:bookmarkStart w:id="5" w:name="bookmark6"/>
      <w:r w:rsidRPr="008C76E0">
        <w:rPr>
          <w:rFonts w:ascii="Sylfaen" w:hAnsi="Sylfaen"/>
          <w:b w:val="0"/>
          <w:sz w:val="24"/>
          <w:szCs w:val="24"/>
          <w:lang w:val="hy-AM"/>
        </w:rPr>
        <w:lastRenderedPageBreak/>
        <w:t xml:space="preserve">Լրացում թիվ 4 </w:t>
      </w:r>
    </w:p>
    <w:p w14:paraId="74878ED3" w14:textId="77777777" w:rsidR="008C76E0" w:rsidRPr="00207FF6" w:rsidRDefault="008C76E0" w:rsidP="00207FF6">
      <w:pPr>
        <w:pStyle w:val="Heading120"/>
        <w:shd w:val="clear" w:color="auto" w:fill="auto"/>
        <w:spacing w:before="0" w:after="160" w:line="360" w:lineRule="auto"/>
        <w:ind w:left="567" w:right="566"/>
        <w:outlineLvl w:val="9"/>
        <w:rPr>
          <w:rFonts w:ascii="Sylfaen" w:hAnsi="Sylfaen"/>
          <w:b w:val="0"/>
          <w:sz w:val="24"/>
          <w:szCs w:val="24"/>
          <w:lang w:val="hy-AM"/>
        </w:rPr>
      </w:pPr>
      <w:r w:rsidRPr="00207FF6">
        <w:rPr>
          <w:rStyle w:val="Heading12Spacing2pt"/>
          <w:rFonts w:ascii="Sylfaen" w:hAnsi="Sylfaen"/>
          <w:b/>
          <w:spacing w:val="0"/>
          <w:sz w:val="24"/>
          <w:szCs w:val="24"/>
        </w:rPr>
        <w:t>ՁԵՎ</w:t>
      </w:r>
      <w:bookmarkEnd w:id="5"/>
    </w:p>
    <w:p w14:paraId="0F7F274C" w14:textId="77777777" w:rsidR="008C76E0" w:rsidRPr="008C76E0" w:rsidRDefault="008C76E0" w:rsidP="00207FF6">
      <w:pPr>
        <w:pStyle w:val="Bodytext130"/>
        <w:shd w:val="clear" w:color="auto" w:fill="auto"/>
        <w:spacing w:after="160" w:line="360" w:lineRule="auto"/>
        <w:ind w:left="567" w:right="566"/>
        <w:rPr>
          <w:rFonts w:ascii="Sylfaen" w:hAnsi="Sylfaen"/>
          <w:sz w:val="24"/>
          <w:szCs w:val="24"/>
          <w:lang w:val="hy-AM"/>
        </w:rPr>
      </w:pPr>
      <w:r w:rsidRPr="008C76E0">
        <w:rPr>
          <w:rFonts w:ascii="Sylfaen" w:hAnsi="Sylfaen"/>
          <w:sz w:val="24"/>
          <w:szCs w:val="24"/>
          <w:lang w:val="hy-AM"/>
        </w:rPr>
        <w:t>ակտիվ դեղագործական բաղադրամասի մաստեր-ֆայլի փակ մասի հասանելիության թույլտվությունը հետ կանչելու</w:t>
      </w:r>
    </w:p>
    <w:p w14:paraId="1C133ECA" w14:textId="77777777" w:rsidR="008C76E0" w:rsidRPr="00E84087" w:rsidRDefault="008C76E0" w:rsidP="00207FF6">
      <w:pPr>
        <w:spacing w:after="160" w:line="360" w:lineRule="auto"/>
        <w:ind w:right="-1"/>
        <w:jc w:val="right"/>
        <w:rPr>
          <w:rFonts w:ascii="Sylfaen" w:hAnsi="Sylfaen"/>
          <w:sz w:val="24"/>
          <w:szCs w:val="24"/>
        </w:rPr>
      </w:pPr>
      <w:r w:rsidRPr="00E84087">
        <w:rPr>
          <w:rFonts w:ascii="Sylfaen" w:hAnsi="Sylfaen"/>
          <w:sz w:val="24"/>
          <w:szCs w:val="24"/>
        </w:rPr>
        <w:t>(ձ</w:t>
      </w:r>
      <w:r w:rsidR="00C54D75">
        <w:rPr>
          <w:rFonts w:ascii="Sylfaen" w:hAnsi="Sylfaen"/>
          <w:sz w:val="24"/>
          <w:szCs w:val="24"/>
        </w:rPr>
        <w:t>և</w:t>
      </w:r>
      <w:r w:rsidRPr="00E84087">
        <w:rPr>
          <w:rFonts w:ascii="Sylfaen" w:hAnsi="Sylfaen"/>
          <w:sz w:val="24"/>
          <w:szCs w:val="24"/>
        </w:rPr>
        <w:t>)</w:t>
      </w:r>
    </w:p>
    <w:p w14:paraId="295C9D5B" w14:textId="77777777" w:rsidR="008C76E0" w:rsidRPr="00BD7577" w:rsidRDefault="008C76E0" w:rsidP="00207FF6">
      <w:pPr>
        <w:spacing w:after="160" w:line="360" w:lineRule="auto"/>
        <w:ind w:right="-1"/>
        <w:jc w:val="center"/>
        <w:rPr>
          <w:rFonts w:ascii="Sylfaen" w:hAnsi="Sylfaen"/>
          <w:sz w:val="24"/>
          <w:szCs w:val="24"/>
        </w:rPr>
      </w:pPr>
      <w:r w:rsidRPr="00E84087">
        <w:rPr>
          <w:rFonts w:ascii="Sylfaen" w:hAnsi="Sylfaen"/>
          <w:sz w:val="24"/>
          <w:szCs w:val="24"/>
        </w:rPr>
        <w:t>ՖԻՐՄԱՅԻՆ ՁԵՎԱԹՈՒՂԹ</w:t>
      </w:r>
    </w:p>
    <w:p w14:paraId="610D7AF5" w14:textId="77777777" w:rsidR="008C76E0" w:rsidRPr="00BD7577" w:rsidRDefault="008C76E0" w:rsidP="00207FF6">
      <w:pPr>
        <w:spacing w:after="160" w:line="360" w:lineRule="auto"/>
        <w:ind w:right="-1"/>
        <w:jc w:val="center"/>
        <w:rPr>
          <w:rFonts w:ascii="Sylfaen" w:hAnsi="Sylfaen"/>
          <w:sz w:val="24"/>
          <w:szCs w:val="24"/>
        </w:rPr>
      </w:pPr>
      <w:r w:rsidRPr="00BD7577">
        <w:rPr>
          <w:rFonts w:ascii="Sylfaen" w:hAnsi="Sylfaen"/>
          <w:sz w:val="24"/>
          <w:szCs w:val="24"/>
        </w:rPr>
        <w:t>ակտիվ դեղագործական բաղադրամասի մաստեր-ֆայլի իրավատիրոջ</w:t>
      </w:r>
    </w:p>
    <w:p w14:paraId="5D32ED1B" w14:textId="77777777" w:rsidR="008C76E0" w:rsidRPr="00BD7577" w:rsidRDefault="008C76E0" w:rsidP="00207FF6">
      <w:pPr>
        <w:spacing w:after="160" w:line="360" w:lineRule="auto"/>
        <w:ind w:right="-1"/>
        <w:jc w:val="center"/>
        <w:rPr>
          <w:rFonts w:ascii="Sylfaen" w:hAnsi="Sylfaen"/>
          <w:sz w:val="24"/>
          <w:szCs w:val="24"/>
        </w:rPr>
      </w:pPr>
    </w:p>
    <w:p w14:paraId="05BF186D" w14:textId="77777777" w:rsidR="008C76E0" w:rsidRPr="00BD7577" w:rsidRDefault="008C76E0" w:rsidP="00207FF6">
      <w:pPr>
        <w:spacing w:after="160" w:line="360" w:lineRule="auto"/>
        <w:ind w:right="-1"/>
        <w:jc w:val="center"/>
        <w:rPr>
          <w:rFonts w:ascii="Sylfaen" w:hAnsi="Sylfaen"/>
          <w:sz w:val="24"/>
          <w:szCs w:val="24"/>
        </w:rPr>
      </w:pPr>
      <w:r w:rsidRPr="00BD7577">
        <w:rPr>
          <w:rFonts w:ascii="Sylfaen" w:hAnsi="Sylfaen"/>
          <w:sz w:val="24"/>
          <w:szCs w:val="24"/>
        </w:rPr>
        <w:t>{Անդամ պետության լիազորված մարմնի հասցեն}</w:t>
      </w:r>
    </w:p>
    <w:p w14:paraId="0F18CB7E" w14:textId="77777777" w:rsidR="008C76E0" w:rsidRPr="00BD7577" w:rsidRDefault="008C76E0" w:rsidP="00207FF6">
      <w:pPr>
        <w:spacing w:after="160" w:line="360" w:lineRule="auto"/>
        <w:ind w:right="-1"/>
        <w:jc w:val="center"/>
        <w:rPr>
          <w:rFonts w:ascii="Sylfaen" w:hAnsi="Sylfaen"/>
          <w:sz w:val="24"/>
          <w:szCs w:val="24"/>
        </w:rPr>
      </w:pPr>
      <w:r w:rsidRPr="00BD7577">
        <w:rPr>
          <w:rFonts w:ascii="Sylfaen" w:hAnsi="Sylfaen"/>
          <w:sz w:val="24"/>
          <w:szCs w:val="24"/>
        </w:rPr>
        <w:t>{Ամսաթիվը}</w:t>
      </w:r>
    </w:p>
    <w:p w14:paraId="45435599" w14:textId="77777777" w:rsidR="008C76E0" w:rsidRPr="00BD7577" w:rsidRDefault="008C76E0" w:rsidP="00207FF6">
      <w:pPr>
        <w:spacing w:after="160" w:line="360" w:lineRule="auto"/>
        <w:ind w:right="-1"/>
        <w:jc w:val="center"/>
        <w:rPr>
          <w:rFonts w:ascii="Sylfaen" w:hAnsi="Sylfaen"/>
          <w:sz w:val="24"/>
          <w:szCs w:val="24"/>
        </w:rPr>
      </w:pPr>
      <w:r w:rsidRPr="00BD7577">
        <w:rPr>
          <w:rFonts w:ascii="Sylfaen" w:hAnsi="Sylfaen"/>
          <w:sz w:val="24"/>
          <w:szCs w:val="24"/>
        </w:rPr>
        <w:t>Ակտիվ դեղագործական նյութի մաստեր-ֆայլի համարը՝</w:t>
      </w:r>
    </w:p>
    <w:p w14:paraId="4337AA98" w14:textId="77777777" w:rsidR="008C76E0" w:rsidRPr="00BD7577" w:rsidRDefault="008C76E0" w:rsidP="00207FF6">
      <w:pPr>
        <w:spacing w:after="160" w:line="360" w:lineRule="auto"/>
        <w:ind w:right="-1"/>
        <w:jc w:val="center"/>
        <w:rPr>
          <w:rFonts w:ascii="Sylfaen" w:hAnsi="Sylfaen"/>
          <w:sz w:val="24"/>
          <w:szCs w:val="24"/>
        </w:rPr>
      </w:pPr>
      <w:r w:rsidRPr="00BD7577">
        <w:rPr>
          <w:rFonts w:ascii="Sylfaen" w:hAnsi="Sylfaen"/>
          <w:sz w:val="24"/>
          <w:szCs w:val="24"/>
        </w:rPr>
        <w:t>{ԱԴԲՄՖ-ի ծածկագրային համարը}</w:t>
      </w:r>
    </w:p>
    <w:p w14:paraId="49986528" w14:textId="77777777" w:rsidR="008C76E0" w:rsidRPr="00BD7577" w:rsidRDefault="008C76E0" w:rsidP="00207FF6">
      <w:pPr>
        <w:spacing w:after="160" w:line="360" w:lineRule="auto"/>
        <w:ind w:right="-1"/>
        <w:rPr>
          <w:rFonts w:ascii="Sylfaen" w:hAnsi="Sylfaen"/>
          <w:sz w:val="24"/>
          <w:szCs w:val="24"/>
        </w:rPr>
      </w:pPr>
    </w:p>
    <w:p w14:paraId="766D847F"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Նշվում է հետ</w:t>
      </w:r>
      <w:r w:rsidR="00C54D75">
        <w:rPr>
          <w:rFonts w:ascii="Sylfaen" w:hAnsi="Sylfaen"/>
          <w:sz w:val="24"/>
          <w:szCs w:val="24"/>
        </w:rPr>
        <w:t>և</w:t>
      </w:r>
      <w:r w:rsidRPr="00BD7577">
        <w:rPr>
          <w:rFonts w:ascii="Sylfaen" w:hAnsi="Sylfaen"/>
          <w:sz w:val="24"/>
          <w:szCs w:val="24"/>
        </w:rPr>
        <w:t>յալ ձ</w:t>
      </w:r>
      <w:r w:rsidR="00C54D75">
        <w:rPr>
          <w:rFonts w:ascii="Sylfaen" w:hAnsi="Sylfaen"/>
          <w:sz w:val="24"/>
          <w:szCs w:val="24"/>
        </w:rPr>
        <w:t>և</w:t>
      </w:r>
      <w:r w:rsidRPr="00BD7577">
        <w:rPr>
          <w:rFonts w:ascii="Sylfaen" w:hAnsi="Sylfaen"/>
          <w:sz w:val="24"/>
          <w:szCs w:val="24"/>
        </w:rPr>
        <w:t>աչափով՝ ԵԱՏՄ/ԱԴԲՄՖ/ХХХХХ կամ YY/ԱԴԲՄՖ/ХХХХХ, որտեղ ХХХХХ-ը թվային նշումն է, YY-ը՝ անդամ պետության երկնիշ լատինատառ ծածկագիրը։</w:t>
      </w:r>
    </w:p>
    <w:p w14:paraId="6280FB97"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անվանումը՝</w:t>
      </w:r>
    </w:p>
    <w:p w14:paraId="0940A8A6" w14:textId="77777777" w:rsidR="008C76E0" w:rsidRPr="00BA15D2" w:rsidRDefault="008C76E0" w:rsidP="00207FF6">
      <w:pPr>
        <w:spacing w:after="160" w:line="360" w:lineRule="auto"/>
        <w:ind w:firstLine="567"/>
        <w:jc w:val="both"/>
        <w:rPr>
          <w:rFonts w:ascii="Sylfaen" w:hAnsi="Sylfaen"/>
          <w:spacing w:val="-4"/>
          <w:sz w:val="24"/>
          <w:szCs w:val="24"/>
        </w:rPr>
      </w:pPr>
      <w:r w:rsidRPr="00BA15D2">
        <w:rPr>
          <w:rFonts w:ascii="Sylfaen" w:hAnsi="Sylfaen"/>
          <w:spacing w:val="-4"/>
          <w:sz w:val="24"/>
          <w:szCs w:val="24"/>
        </w:rPr>
        <w:t>Ակտիվ դեղագործական բաղադրամասի ներքին ծածկագիրը (եթե կիրառելի է)՝</w:t>
      </w:r>
    </w:p>
    <w:p w14:paraId="1092A526" w14:textId="77777777" w:rsidR="008C76E0" w:rsidRPr="00626427" w:rsidRDefault="008C76E0" w:rsidP="00207FF6">
      <w:pPr>
        <w:spacing w:after="160" w:line="360" w:lineRule="auto"/>
        <w:ind w:firstLine="567"/>
        <w:jc w:val="both"/>
        <w:rPr>
          <w:rFonts w:ascii="Sylfaen" w:hAnsi="Sylfaen"/>
          <w:b/>
          <w:sz w:val="24"/>
          <w:szCs w:val="24"/>
        </w:rPr>
      </w:pPr>
      <w:r w:rsidRPr="00BD7577">
        <w:rPr>
          <w:rFonts w:ascii="Sylfaen" w:hAnsi="Sylfaen"/>
          <w:sz w:val="24"/>
          <w:szCs w:val="24"/>
        </w:rPr>
        <w:t xml:space="preserve">Ակտիվ դեղագործական բաղադրամասի մաստեր-ֆայլի իրավատերը՝ </w:t>
      </w:r>
      <w:r w:rsidRPr="00626427">
        <w:rPr>
          <w:rStyle w:val="Bodytext295pt"/>
          <w:rFonts w:ascii="Sylfaen" w:eastAsiaTheme="minorHAnsi" w:hAnsi="Sylfaen"/>
          <w:b w:val="0"/>
          <w:spacing w:val="0"/>
          <w:sz w:val="24"/>
          <w:szCs w:val="24"/>
        </w:rPr>
        <w:t>{անվանումն ու հասցեն}։</w:t>
      </w:r>
    </w:p>
    <w:p w14:paraId="64D66929"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մաստեր-ֆայլի վերոնշյալ իրավատերը սույնով ծանուցում է {</w:t>
      </w:r>
      <w:r w:rsidRPr="00626427">
        <w:rPr>
          <w:rStyle w:val="Bodytext295pt"/>
          <w:rFonts w:ascii="Sylfaen" w:eastAsiaTheme="minorHAnsi" w:hAnsi="Sylfaen"/>
          <w:b w:val="0"/>
          <w:spacing w:val="0"/>
          <w:sz w:val="24"/>
          <w:szCs w:val="24"/>
        </w:rPr>
        <w:t>անդամ պետության լիազորված մարմնի անվանումը</w:t>
      </w:r>
      <w:r w:rsidRPr="00BD7577">
        <w:rPr>
          <w:rFonts w:ascii="Sylfaen" w:hAnsi="Sylfaen"/>
          <w:sz w:val="24"/>
          <w:szCs w:val="24"/>
        </w:rPr>
        <w:t>}, որ ինքն այլ</w:t>
      </w:r>
      <w:r w:rsidR="00C54D75">
        <w:rPr>
          <w:rFonts w:ascii="Sylfaen" w:hAnsi="Sylfaen"/>
          <w:sz w:val="24"/>
          <w:szCs w:val="24"/>
        </w:rPr>
        <w:t>և</w:t>
      </w:r>
      <w:r w:rsidRPr="00BD7577">
        <w:rPr>
          <w:rFonts w:ascii="Sylfaen" w:hAnsi="Sylfaen"/>
          <w:sz w:val="24"/>
          <w:szCs w:val="24"/>
        </w:rPr>
        <w:t xml:space="preserve">ս չի ցանկանում, որ ակտիվ դեղագործական բաղադրամասի վերոնշյալ մաստեր-ֆայլն օգտագործվի որպես </w:t>
      </w:r>
      <w:r w:rsidRPr="00626427">
        <w:rPr>
          <w:rStyle w:val="Bodytext295pt"/>
          <w:rFonts w:ascii="Sylfaen" w:eastAsiaTheme="minorHAnsi" w:hAnsi="Sylfaen"/>
          <w:b w:val="0"/>
          <w:spacing w:val="0"/>
          <w:sz w:val="24"/>
          <w:szCs w:val="24"/>
        </w:rPr>
        <w:t xml:space="preserve">{գրանցման </w:t>
      </w:r>
      <w:r w:rsidRPr="00626427">
        <w:rPr>
          <w:rStyle w:val="Bodytext295pt"/>
          <w:rFonts w:ascii="Sylfaen" w:eastAsiaTheme="minorHAnsi" w:hAnsi="Sylfaen"/>
          <w:b w:val="0"/>
          <w:spacing w:val="0"/>
          <w:sz w:val="24"/>
          <w:szCs w:val="24"/>
        </w:rPr>
        <w:lastRenderedPageBreak/>
        <w:t>հավաստագրի իրավատիրոջ (հայտատուի) անվանումը}</w:t>
      </w:r>
      <w:r w:rsidRPr="00BD7577">
        <w:rPr>
          <w:rFonts w:ascii="Sylfaen" w:hAnsi="Sylfaen"/>
          <w:sz w:val="24"/>
          <w:szCs w:val="24"/>
        </w:rPr>
        <w:t xml:space="preserve"> պատկանող հաջորդ գրանցման դոսյեի հիմնավորում (ընդ որում, գրանցման հավաստագրերի տարբեր տիրապետողների (հայտատուների) համար անհրաժեշտ է ներկայացնել թույլտվության առանձին հետկանչեր):</w:t>
      </w:r>
    </w:p>
    <w:tbl>
      <w:tblPr>
        <w:tblOverlap w:val="neve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50"/>
        <w:gridCol w:w="6082"/>
      </w:tblGrid>
      <w:tr w:rsidR="008C76E0" w:rsidRPr="00BD7577" w14:paraId="06B3FC13" w14:textId="77777777" w:rsidTr="008C76E0">
        <w:trPr>
          <w:trHeight w:val="2898"/>
          <w:jc w:val="center"/>
        </w:trPr>
        <w:tc>
          <w:tcPr>
            <w:tcW w:w="3250" w:type="dxa"/>
            <w:shd w:val="clear" w:color="auto" w:fill="FFFFFF"/>
          </w:tcPr>
          <w:p w14:paraId="108D393E" w14:textId="77777777" w:rsidR="008C76E0" w:rsidRPr="008C76E0" w:rsidRDefault="008C76E0" w:rsidP="008C76E0">
            <w:pPr>
              <w:pStyle w:val="Bodytext180"/>
              <w:shd w:val="clear" w:color="auto" w:fill="auto"/>
              <w:spacing w:before="0" w:after="120" w:line="240" w:lineRule="auto"/>
              <w:ind w:left="121" w:right="-1" w:firstLine="0"/>
              <w:rPr>
                <w:rFonts w:ascii="Sylfaen" w:hAnsi="Sylfaen"/>
                <w:b w:val="0"/>
                <w:sz w:val="24"/>
                <w:szCs w:val="24"/>
                <w:lang w:val="hy-AM"/>
              </w:rPr>
            </w:pPr>
            <w:r w:rsidRPr="00BD7577">
              <w:rPr>
                <w:rStyle w:val="Bodytext1811pt"/>
                <w:rFonts w:ascii="Sylfaen" w:hAnsi="Sylfaen"/>
                <w:sz w:val="24"/>
                <w:szCs w:val="24"/>
              </w:rPr>
              <w:t>Դեղապատրաստուկը</w:t>
            </w:r>
          </w:p>
          <w:p w14:paraId="14D9AFDB" w14:textId="77777777" w:rsidR="008C76E0" w:rsidRPr="008C76E0" w:rsidRDefault="008C76E0" w:rsidP="008C76E0">
            <w:pPr>
              <w:pStyle w:val="Bodytext180"/>
              <w:shd w:val="clear" w:color="auto" w:fill="auto"/>
              <w:spacing w:before="0" w:after="120" w:line="240" w:lineRule="auto"/>
              <w:ind w:left="121" w:right="-1" w:firstLine="0"/>
              <w:rPr>
                <w:rFonts w:ascii="Sylfaen" w:hAnsi="Sylfaen"/>
                <w:b w:val="0"/>
                <w:sz w:val="24"/>
                <w:szCs w:val="24"/>
                <w:lang w:val="hy-AM"/>
              </w:rPr>
            </w:pPr>
            <w:r w:rsidRPr="00BD7577">
              <w:rPr>
                <w:rStyle w:val="Bodytext1811pt"/>
                <w:rFonts w:ascii="Sylfaen" w:hAnsi="Sylfaen"/>
                <w:sz w:val="24"/>
                <w:szCs w:val="24"/>
              </w:rPr>
              <w:t>Ընթացակարգին տրված համարը (եթե կիրառելի է)</w:t>
            </w:r>
          </w:p>
        </w:tc>
        <w:tc>
          <w:tcPr>
            <w:tcW w:w="6082" w:type="dxa"/>
            <w:shd w:val="clear" w:color="auto" w:fill="FFFFFF"/>
          </w:tcPr>
          <w:p w14:paraId="7E3C1E1A" w14:textId="77777777" w:rsidR="008C76E0" w:rsidRPr="008C76E0" w:rsidRDefault="008C76E0" w:rsidP="008C76E0">
            <w:pPr>
              <w:pStyle w:val="Bodytext180"/>
              <w:shd w:val="clear" w:color="auto" w:fill="auto"/>
              <w:spacing w:before="0" w:after="120" w:line="240" w:lineRule="auto"/>
              <w:ind w:left="131" w:right="119" w:firstLine="0"/>
              <w:rPr>
                <w:rFonts w:ascii="Sylfaen" w:hAnsi="Sylfaen"/>
                <w:b w:val="0"/>
                <w:i/>
                <w:sz w:val="24"/>
                <w:szCs w:val="24"/>
                <w:lang w:val="hy-AM"/>
              </w:rPr>
            </w:pPr>
            <w:r w:rsidRPr="009721C8">
              <w:rPr>
                <w:rStyle w:val="Bodytext295pt"/>
                <w:rFonts w:ascii="Sylfaen" w:hAnsi="Sylfaen"/>
                <w:i/>
                <w:spacing w:val="0"/>
                <w:sz w:val="24"/>
                <w:szCs w:val="24"/>
              </w:rPr>
              <w:t>{դեղապատրաստուկի անվանումը}</w:t>
            </w:r>
          </w:p>
          <w:p w14:paraId="635BB877" w14:textId="77777777" w:rsidR="008C76E0" w:rsidRPr="00BD7577" w:rsidRDefault="008C76E0" w:rsidP="008C76E0">
            <w:pPr>
              <w:pStyle w:val="Bodytext180"/>
              <w:shd w:val="clear" w:color="auto" w:fill="auto"/>
              <w:spacing w:before="0" w:after="120" w:line="240" w:lineRule="auto"/>
              <w:ind w:left="131" w:right="119" w:firstLine="0"/>
              <w:rPr>
                <w:rStyle w:val="Bodytext1811pt"/>
                <w:rFonts w:ascii="Sylfaen" w:hAnsi="Sylfaen"/>
                <w:sz w:val="24"/>
                <w:szCs w:val="24"/>
              </w:rPr>
            </w:pPr>
            <w:r w:rsidRPr="00BD7577">
              <w:rPr>
                <w:rStyle w:val="Bodytext1811pt"/>
                <w:rFonts w:ascii="Sylfaen" w:hAnsi="Sylfaen"/>
                <w:sz w:val="24"/>
                <w:szCs w:val="24"/>
              </w:rPr>
              <w:t>եթե ներկայացման պահին դեղապատրաստուկը գրանցված չէ, կամ դեղապատրաստուկի առ</w:t>
            </w:r>
            <w:r w:rsidR="00C54D75">
              <w:rPr>
                <w:rStyle w:val="Bodytext1811pt"/>
                <w:rFonts w:ascii="Sylfaen" w:hAnsi="Sylfaen"/>
                <w:sz w:val="24"/>
                <w:szCs w:val="24"/>
              </w:rPr>
              <w:t>և</w:t>
            </w:r>
            <w:r w:rsidRPr="00BD7577">
              <w:rPr>
                <w:rStyle w:val="Bodytext1811pt"/>
                <w:rFonts w:ascii="Sylfaen" w:hAnsi="Sylfaen"/>
                <w:sz w:val="24"/>
                <w:szCs w:val="24"/>
              </w:rPr>
              <w:t>տրային անվանումը համաձայնեցված չէ, ապա հարկ է նշել «ՄՉԱ-ն + գրանցման հավաստագրի իրավատիրոջ անվանումը»</w:t>
            </w:r>
          </w:p>
          <w:p w14:paraId="50C09228" w14:textId="77777777" w:rsidR="008C76E0" w:rsidRPr="008C76E0" w:rsidRDefault="008C76E0" w:rsidP="008C76E0">
            <w:pPr>
              <w:pStyle w:val="Bodytext180"/>
              <w:shd w:val="clear" w:color="auto" w:fill="auto"/>
              <w:spacing w:before="0" w:after="120" w:line="240" w:lineRule="auto"/>
              <w:ind w:left="131" w:right="119" w:firstLine="0"/>
              <w:rPr>
                <w:rFonts w:ascii="Sylfaen" w:hAnsi="Sylfaen"/>
                <w:b w:val="0"/>
                <w:i/>
                <w:sz w:val="24"/>
                <w:szCs w:val="24"/>
                <w:lang w:val="hy-AM"/>
              </w:rPr>
            </w:pPr>
            <w:r w:rsidRPr="009721C8">
              <w:rPr>
                <w:rStyle w:val="Bodytext295pt"/>
                <w:rFonts w:ascii="Sylfaen" w:hAnsi="Sylfaen"/>
                <w:i/>
                <w:spacing w:val="0"/>
                <w:sz w:val="24"/>
                <w:szCs w:val="24"/>
              </w:rPr>
              <w:t>{գրանցման հավաստագրի համարը կամ գրանցման ընթացակարգի ծածկագիրը}</w:t>
            </w:r>
          </w:p>
        </w:tc>
      </w:tr>
    </w:tbl>
    <w:p w14:paraId="41DA1BD3" w14:textId="77777777" w:rsidR="008C76E0" w:rsidRPr="00BD7577" w:rsidRDefault="008C76E0" w:rsidP="008C76E0">
      <w:pPr>
        <w:ind w:right="-1"/>
        <w:jc w:val="both"/>
        <w:rPr>
          <w:rFonts w:ascii="Sylfaen" w:hAnsi="Sylfaen"/>
          <w:sz w:val="24"/>
          <w:szCs w:val="24"/>
        </w:rPr>
      </w:pPr>
    </w:p>
    <w:p w14:paraId="676A4CF6"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մաստեր-ֆայլի վերոնշյալ իրավատերը սույնով հաստատում է, որ մատակարարման մասով իրենց պայմանագրի պայմաններին համապատասխան ինքը [գրանցման հավաստագրի իրավատիրոջ (հայտատուի) անվանումը] նախկինում ծանուցել է իր որոշման մասին։</w:t>
      </w:r>
    </w:p>
    <w:p w14:paraId="74175500" w14:textId="77777777" w:rsidR="008C76E0" w:rsidRPr="00BD7577" w:rsidRDefault="008C76E0" w:rsidP="00207FF6">
      <w:pPr>
        <w:tabs>
          <w:tab w:val="left" w:pos="1134"/>
        </w:tabs>
        <w:spacing w:after="160" w:line="360" w:lineRule="auto"/>
        <w:ind w:firstLine="567"/>
        <w:jc w:val="both"/>
        <w:rPr>
          <w:rFonts w:ascii="Sylfaen" w:hAnsi="Sylfaen"/>
          <w:sz w:val="24"/>
          <w:szCs w:val="24"/>
        </w:rPr>
      </w:pPr>
      <w:r>
        <w:rPr>
          <w:rFonts w:ascii="Sylfaen" w:hAnsi="Sylfaen"/>
          <w:sz w:val="24"/>
          <w:szCs w:val="24"/>
        </w:rPr>
        <w:t>□</w:t>
      </w:r>
      <w:r w:rsidRPr="009721C8">
        <w:rPr>
          <w:rFonts w:ascii="Sylfaen" w:hAnsi="Sylfaen"/>
          <w:sz w:val="24"/>
          <w:szCs w:val="24"/>
        </w:rPr>
        <w:tab/>
      </w:r>
      <w:r w:rsidRPr="00BD7577">
        <w:rPr>
          <w:rFonts w:ascii="Sylfaen" w:hAnsi="Sylfaen"/>
          <w:sz w:val="24"/>
          <w:szCs w:val="24"/>
        </w:rPr>
        <w:t>Ակտիվ դեղագործական բաղադրամասի վերոնշյալ մաստեր-ֆայլին համապատասխան արտադրված ակտիվ դեղագործական բաղադրամասը [մատակարարման պայմանագրի դադարեցման ամսաթվից] հետո այլ</w:t>
      </w:r>
      <w:r w:rsidR="00C54D75">
        <w:rPr>
          <w:rFonts w:ascii="Sylfaen" w:hAnsi="Sylfaen"/>
          <w:sz w:val="24"/>
          <w:szCs w:val="24"/>
        </w:rPr>
        <w:t>և</w:t>
      </w:r>
      <w:r w:rsidRPr="00BD7577">
        <w:rPr>
          <w:rFonts w:ascii="Sylfaen" w:hAnsi="Sylfaen"/>
          <w:sz w:val="24"/>
          <w:szCs w:val="24"/>
        </w:rPr>
        <w:t>ս չի մատակարարվելու,</w:t>
      </w:r>
    </w:p>
    <w:p w14:paraId="3E24E6D3" w14:textId="77777777" w:rsidR="008C76E0" w:rsidRPr="00BD7577" w:rsidRDefault="008C76E0" w:rsidP="00207FF6">
      <w:pPr>
        <w:tabs>
          <w:tab w:val="left" w:pos="1134"/>
        </w:tabs>
        <w:spacing w:after="160" w:line="360" w:lineRule="auto"/>
        <w:ind w:firstLine="567"/>
        <w:jc w:val="both"/>
        <w:rPr>
          <w:rFonts w:ascii="Sylfaen" w:hAnsi="Sylfaen"/>
          <w:sz w:val="24"/>
          <w:szCs w:val="24"/>
        </w:rPr>
      </w:pPr>
      <w:r>
        <w:rPr>
          <w:rFonts w:ascii="Sylfaen" w:hAnsi="Sylfaen"/>
          <w:sz w:val="24"/>
          <w:szCs w:val="24"/>
        </w:rPr>
        <w:t>□</w:t>
      </w:r>
      <w:r w:rsidRPr="009721C8">
        <w:rPr>
          <w:rFonts w:ascii="Sylfaen" w:hAnsi="Sylfaen"/>
          <w:sz w:val="24"/>
          <w:szCs w:val="24"/>
        </w:rPr>
        <w:tab/>
      </w:r>
      <w:r w:rsidRPr="00BD7577">
        <w:rPr>
          <w:rFonts w:ascii="Sylfaen" w:hAnsi="Sylfaen"/>
          <w:sz w:val="24"/>
          <w:szCs w:val="24"/>
        </w:rPr>
        <w:t>Ակտիվ դեղագործական բաղադրամասի մաստեր-ֆայլի փոխարինում համապատասխանության սերտիֆիկատով, [№ СЕР]։ Համապատասխանության սերտիֆիկատի պատճենը կցված է սույն նամակին:</w:t>
      </w:r>
    </w:p>
    <w:p w14:paraId="28B7F004"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մաստեր-ֆայլի իրավատիրոջ ստորագրությունը</w:t>
      </w:r>
    </w:p>
    <w:p w14:paraId="337F883E" w14:textId="77777777" w:rsidR="008C76E0" w:rsidRPr="008C76E0" w:rsidRDefault="008C76E0" w:rsidP="00207FF6">
      <w:pPr>
        <w:pStyle w:val="Bodytext70"/>
        <w:shd w:val="clear" w:color="auto" w:fill="auto"/>
        <w:spacing w:before="0" w:after="160" w:line="360" w:lineRule="auto"/>
        <w:ind w:firstLine="567"/>
        <w:rPr>
          <w:rFonts w:ascii="Sylfaen" w:hAnsi="Sylfaen"/>
          <w:b w:val="0"/>
          <w:sz w:val="24"/>
          <w:szCs w:val="24"/>
          <w:lang w:val="hy-AM"/>
        </w:rPr>
      </w:pPr>
      <w:r w:rsidRPr="008C76E0">
        <w:rPr>
          <w:rStyle w:val="Bodytext7NotItalic"/>
          <w:rFonts w:ascii="Sylfaen" w:hAnsi="Sylfaen"/>
          <w:sz w:val="24"/>
          <w:szCs w:val="24"/>
          <w:lang w:val="hy-AM"/>
        </w:rPr>
        <w:t>{</w:t>
      </w:r>
      <w:r w:rsidRPr="008C76E0">
        <w:rPr>
          <w:rFonts w:ascii="Sylfaen" w:hAnsi="Sylfaen"/>
          <w:b w:val="0"/>
          <w:sz w:val="24"/>
          <w:szCs w:val="24"/>
          <w:lang w:val="hy-AM"/>
        </w:rPr>
        <w:t>Անունն ու պաշտոնը</w:t>
      </w:r>
      <w:r w:rsidRPr="00BD7577">
        <w:rPr>
          <w:rStyle w:val="Bodytext295pt"/>
          <w:rFonts w:ascii="Sylfaen" w:hAnsi="Sylfaen"/>
          <w:spacing w:val="0"/>
          <w:sz w:val="24"/>
          <w:szCs w:val="24"/>
        </w:rPr>
        <w:t>}</w:t>
      </w:r>
    </w:p>
    <w:p w14:paraId="3E9A949B" w14:textId="77777777" w:rsidR="008C76E0" w:rsidRPr="00BD7577" w:rsidRDefault="008C76E0" w:rsidP="00207FF6">
      <w:pPr>
        <w:pStyle w:val="Bodytext70"/>
        <w:shd w:val="clear" w:color="auto" w:fill="auto"/>
        <w:spacing w:before="0" w:after="160" w:line="360" w:lineRule="auto"/>
        <w:ind w:firstLine="567"/>
        <w:rPr>
          <w:rStyle w:val="Bodytext295pt"/>
          <w:rFonts w:ascii="Sylfaen" w:eastAsia="MS Mincho" w:hAnsi="Sylfaen"/>
          <w:b/>
          <w:bCs/>
          <w:i w:val="0"/>
          <w:iCs w:val="0"/>
          <w:spacing w:val="0"/>
          <w:sz w:val="24"/>
          <w:szCs w:val="24"/>
        </w:rPr>
      </w:pPr>
      <w:r w:rsidRPr="008C76E0">
        <w:rPr>
          <w:rStyle w:val="Bodytext7NotItalic"/>
          <w:rFonts w:ascii="Sylfaen" w:hAnsi="Sylfaen"/>
          <w:sz w:val="24"/>
          <w:szCs w:val="24"/>
          <w:lang w:val="hy-AM"/>
        </w:rPr>
        <w:t>{</w:t>
      </w:r>
      <w:r w:rsidRPr="008C76E0">
        <w:rPr>
          <w:rFonts w:ascii="Sylfaen" w:hAnsi="Sylfaen"/>
          <w:b w:val="0"/>
          <w:sz w:val="24"/>
          <w:szCs w:val="24"/>
          <w:lang w:val="hy-AM"/>
        </w:rPr>
        <w:t>Ստորագրությունը</w:t>
      </w:r>
      <w:r w:rsidRPr="00BD7577">
        <w:rPr>
          <w:rStyle w:val="Bodytext295pt"/>
          <w:rFonts w:ascii="Sylfaen" w:hAnsi="Sylfaen"/>
          <w:spacing w:val="0"/>
          <w:sz w:val="24"/>
          <w:szCs w:val="24"/>
        </w:rPr>
        <w:t>}</w:t>
      </w:r>
      <w:r w:rsidRPr="008C76E0">
        <w:rPr>
          <w:rFonts w:ascii="Sylfaen" w:hAnsi="Sylfaen"/>
          <w:sz w:val="24"/>
          <w:szCs w:val="24"/>
          <w:lang w:val="hy-AM"/>
        </w:rPr>
        <w:br w:type="page"/>
      </w:r>
    </w:p>
    <w:p w14:paraId="4B43CF3B" w14:textId="77777777" w:rsidR="008C76E0" w:rsidRPr="00E15E7D" w:rsidRDefault="008C76E0" w:rsidP="00207FF6">
      <w:pPr>
        <w:pStyle w:val="Bodytext70"/>
        <w:shd w:val="clear" w:color="auto" w:fill="auto"/>
        <w:spacing w:before="0" w:after="160" w:line="360" w:lineRule="auto"/>
        <w:ind w:right="-1"/>
        <w:jc w:val="right"/>
        <w:rPr>
          <w:rFonts w:ascii="Sylfaen" w:hAnsi="Sylfaen"/>
          <w:b w:val="0"/>
          <w:i w:val="0"/>
          <w:sz w:val="24"/>
          <w:szCs w:val="24"/>
          <w:lang w:val="hy-AM"/>
        </w:rPr>
      </w:pPr>
      <w:r w:rsidRPr="008C76E0">
        <w:rPr>
          <w:rFonts w:ascii="Sylfaen" w:hAnsi="Sylfaen"/>
          <w:b w:val="0"/>
          <w:i w:val="0"/>
          <w:sz w:val="24"/>
          <w:szCs w:val="24"/>
          <w:lang w:val="hy-AM"/>
        </w:rPr>
        <w:lastRenderedPageBreak/>
        <w:t>Լրացում թիվ 5</w:t>
      </w:r>
    </w:p>
    <w:p w14:paraId="0371EADF" w14:textId="77777777" w:rsidR="00207FF6" w:rsidRPr="00E15E7D" w:rsidRDefault="00207FF6" w:rsidP="00207FF6">
      <w:pPr>
        <w:pStyle w:val="Bodytext70"/>
        <w:shd w:val="clear" w:color="auto" w:fill="auto"/>
        <w:spacing w:before="0" w:after="160" w:line="360" w:lineRule="auto"/>
        <w:ind w:right="-1"/>
        <w:jc w:val="right"/>
        <w:rPr>
          <w:rFonts w:ascii="Sylfaen" w:hAnsi="Sylfaen"/>
          <w:b w:val="0"/>
          <w:i w:val="0"/>
          <w:sz w:val="24"/>
          <w:szCs w:val="24"/>
          <w:lang w:val="hy-AM"/>
        </w:rPr>
      </w:pPr>
    </w:p>
    <w:p w14:paraId="444C17B9" w14:textId="77777777" w:rsidR="008C76E0" w:rsidRPr="008C76E0" w:rsidRDefault="008C76E0" w:rsidP="00207FF6">
      <w:pPr>
        <w:pStyle w:val="Bodytext70"/>
        <w:shd w:val="clear" w:color="auto" w:fill="auto"/>
        <w:spacing w:before="0" w:after="160" w:line="360" w:lineRule="auto"/>
        <w:ind w:left="567" w:right="566"/>
        <w:jc w:val="center"/>
        <w:rPr>
          <w:rFonts w:ascii="Sylfaen" w:hAnsi="Sylfaen"/>
          <w:i w:val="0"/>
          <w:sz w:val="24"/>
          <w:szCs w:val="24"/>
          <w:lang w:val="hy-AM"/>
        </w:rPr>
      </w:pPr>
      <w:r w:rsidRPr="008C76E0">
        <w:rPr>
          <w:rFonts w:ascii="Sylfaen" w:hAnsi="Sylfaen"/>
          <w:i w:val="0"/>
          <w:sz w:val="24"/>
          <w:szCs w:val="24"/>
          <w:lang w:val="hy-AM"/>
        </w:rPr>
        <w:t>Ակտիվ դեղագործական բաղադրամասի մաստեր-ֆայլի (ԱԴԲՄՖ) հայեցակարգի ոչ կիրառելի լինելը</w:t>
      </w:r>
    </w:p>
    <w:p w14:paraId="3636DC37" w14:textId="77777777" w:rsidR="008C76E0" w:rsidRPr="008C76E0" w:rsidRDefault="008C76E0" w:rsidP="00207FF6">
      <w:pPr>
        <w:pStyle w:val="Bodytext70"/>
        <w:shd w:val="clear" w:color="auto" w:fill="auto"/>
        <w:spacing w:before="0" w:after="160" w:line="360" w:lineRule="auto"/>
        <w:ind w:right="-1"/>
        <w:jc w:val="center"/>
        <w:rPr>
          <w:rFonts w:ascii="Sylfaen" w:hAnsi="Sylfaen"/>
          <w:i w:val="0"/>
          <w:sz w:val="24"/>
          <w:szCs w:val="24"/>
          <w:lang w:val="hy-AM"/>
        </w:rPr>
      </w:pPr>
    </w:p>
    <w:p w14:paraId="71AAF2CF" w14:textId="77777777" w:rsidR="008C76E0" w:rsidRPr="00BD7577" w:rsidRDefault="008C76E0" w:rsidP="00207FF6">
      <w:pPr>
        <w:numPr>
          <w:ilvl w:val="0"/>
          <w:numId w:val="4"/>
        </w:numPr>
        <w:tabs>
          <w:tab w:val="left" w:pos="1134"/>
        </w:tabs>
        <w:spacing w:after="160" w:line="360" w:lineRule="auto"/>
        <w:ind w:left="0" w:right="-1" w:firstLine="567"/>
        <w:jc w:val="both"/>
        <w:rPr>
          <w:rFonts w:ascii="Sylfaen" w:hAnsi="Sylfaen"/>
          <w:sz w:val="24"/>
          <w:szCs w:val="24"/>
        </w:rPr>
      </w:pPr>
      <w:r w:rsidRPr="00BD7577">
        <w:rPr>
          <w:rFonts w:ascii="Sylfaen" w:hAnsi="Sylfaen"/>
          <w:sz w:val="24"/>
          <w:szCs w:val="24"/>
        </w:rPr>
        <w:t>Ակտիվ դեղագործական նյութի մաստեր-ֆայլի (ԱԴԲՄՖ) հայեցակարգի ոչ կիրառելի լինելը կենսաբանական ակտիվ դեղագործական նյութերի դեպքում։</w:t>
      </w:r>
    </w:p>
    <w:p w14:paraId="4631DE51" w14:textId="77777777" w:rsidR="008C76E0" w:rsidRPr="00BD7577" w:rsidRDefault="008C76E0" w:rsidP="00207FF6">
      <w:pPr>
        <w:tabs>
          <w:tab w:val="left" w:pos="993"/>
        </w:tabs>
        <w:spacing w:after="160" w:line="360" w:lineRule="auto"/>
        <w:ind w:right="-1" w:firstLine="567"/>
        <w:jc w:val="both"/>
        <w:rPr>
          <w:rFonts w:ascii="Sylfaen" w:hAnsi="Sylfaen"/>
          <w:sz w:val="24"/>
          <w:szCs w:val="24"/>
        </w:rPr>
      </w:pPr>
      <w:r w:rsidRPr="00BD7577">
        <w:rPr>
          <w:rFonts w:ascii="Sylfaen" w:hAnsi="Sylfaen"/>
          <w:sz w:val="24"/>
          <w:szCs w:val="24"/>
        </w:rPr>
        <w:t xml:space="preserve">ԳՀ-ի իրավատերերին </w:t>
      </w:r>
      <w:r w:rsidR="00C54D75">
        <w:rPr>
          <w:rFonts w:ascii="Sylfaen" w:hAnsi="Sylfaen"/>
          <w:sz w:val="24"/>
          <w:szCs w:val="24"/>
        </w:rPr>
        <w:t>և</w:t>
      </w:r>
      <w:r w:rsidRPr="00BD7577">
        <w:rPr>
          <w:rFonts w:ascii="Sylfaen" w:hAnsi="Sylfaen"/>
          <w:sz w:val="24"/>
          <w:szCs w:val="24"/>
        </w:rPr>
        <w:t xml:space="preserve"> հայտատուներին խորհուրդ չի տրվում կիրառել ակտիվ դեղագործական բաղադրամասերի մաստեր-ֆայլերի (ԱԴԲՄՖ) հայեցակարգը կենսաբանական դեղապատրաստուկների դեպքում։</w:t>
      </w:r>
    </w:p>
    <w:p w14:paraId="022AB1A8" w14:textId="77777777" w:rsidR="008C76E0" w:rsidRPr="00BD7577" w:rsidRDefault="008C76E0" w:rsidP="00207FF6">
      <w:pPr>
        <w:tabs>
          <w:tab w:val="left" w:pos="993"/>
        </w:tabs>
        <w:spacing w:after="160" w:line="360" w:lineRule="auto"/>
        <w:ind w:right="-1" w:firstLine="567"/>
        <w:jc w:val="both"/>
        <w:rPr>
          <w:rFonts w:ascii="Sylfaen" w:hAnsi="Sylfaen"/>
          <w:sz w:val="24"/>
          <w:szCs w:val="24"/>
        </w:rPr>
      </w:pPr>
      <w:r w:rsidRPr="00BD7577">
        <w:rPr>
          <w:rFonts w:ascii="Sylfaen" w:hAnsi="Sylfaen"/>
          <w:sz w:val="24"/>
          <w:szCs w:val="24"/>
        </w:rPr>
        <w:t xml:space="preserve">Կենսաբանական դեղագործական բաղադրամասերի բնութագրերի սահմանումն ու որակի հաստատումը պահանջում է ոչ միայն ֆիզիկաքիմիական </w:t>
      </w:r>
      <w:r w:rsidR="00C54D75">
        <w:rPr>
          <w:rFonts w:ascii="Sylfaen" w:hAnsi="Sylfaen"/>
          <w:sz w:val="24"/>
          <w:szCs w:val="24"/>
        </w:rPr>
        <w:t>և</w:t>
      </w:r>
      <w:r w:rsidRPr="00BD7577">
        <w:rPr>
          <w:rFonts w:ascii="Sylfaen" w:hAnsi="Sylfaen"/>
          <w:sz w:val="24"/>
          <w:szCs w:val="24"/>
        </w:rPr>
        <w:t xml:space="preserve"> կենսաբանական փորձարկումների համակցության օգտագործում, այլ</w:t>
      </w:r>
      <w:r w:rsidR="00C54D75">
        <w:rPr>
          <w:rFonts w:ascii="Sylfaen" w:hAnsi="Sylfaen"/>
          <w:sz w:val="24"/>
          <w:szCs w:val="24"/>
        </w:rPr>
        <w:t>և</w:t>
      </w:r>
      <w:r w:rsidRPr="00BD7577">
        <w:rPr>
          <w:rFonts w:ascii="Sylfaen" w:hAnsi="Sylfaen"/>
          <w:sz w:val="24"/>
          <w:szCs w:val="24"/>
        </w:rPr>
        <w:t xml:space="preserve"> արտադրության գործընթացի խորը իմացություն </w:t>
      </w:r>
      <w:r w:rsidR="00C54D75">
        <w:rPr>
          <w:rFonts w:ascii="Sylfaen" w:hAnsi="Sylfaen"/>
          <w:sz w:val="24"/>
          <w:szCs w:val="24"/>
        </w:rPr>
        <w:t>և</w:t>
      </w:r>
      <w:r w:rsidRPr="00BD7577">
        <w:rPr>
          <w:rFonts w:ascii="Sylfaen" w:hAnsi="Sylfaen"/>
          <w:sz w:val="24"/>
          <w:szCs w:val="24"/>
        </w:rPr>
        <w:t xml:space="preserve"> վերջինիս հսկողություն։</w:t>
      </w:r>
    </w:p>
    <w:p w14:paraId="3AEE208C" w14:textId="77777777" w:rsidR="008C76E0" w:rsidRPr="00BD7577" w:rsidRDefault="008C76E0" w:rsidP="00207FF6">
      <w:pPr>
        <w:tabs>
          <w:tab w:val="left" w:pos="993"/>
        </w:tabs>
        <w:spacing w:after="160" w:line="360" w:lineRule="auto"/>
        <w:ind w:firstLine="567"/>
        <w:jc w:val="both"/>
        <w:rPr>
          <w:rFonts w:ascii="Sylfaen" w:hAnsi="Sylfaen"/>
          <w:sz w:val="24"/>
          <w:szCs w:val="24"/>
        </w:rPr>
      </w:pPr>
      <w:r w:rsidRPr="00BD7577">
        <w:rPr>
          <w:rFonts w:ascii="Sylfaen" w:hAnsi="Sylfaen"/>
          <w:sz w:val="24"/>
          <w:szCs w:val="24"/>
        </w:rPr>
        <w:t xml:space="preserve">Այս առնչությամբ կենսաբանական դեղապատրաստուկի ԳՀ-ի իրավատերը (հայտատուն) կարող է չհամապատասխանել «դեղապատրաստուկի համար պատասխանատվությունն իր վրա վերցնելու» պահանջին՝ առանց ակտիվ դեղագործական բաղադրամասի որակի մասին այդ տվյալների լրիվ </w:t>
      </w:r>
      <w:r w:rsidR="00C54D75">
        <w:rPr>
          <w:rFonts w:ascii="Sylfaen" w:hAnsi="Sylfaen"/>
          <w:sz w:val="24"/>
          <w:szCs w:val="24"/>
        </w:rPr>
        <w:t>և</w:t>
      </w:r>
      <w:r w:rsidRPr="00BD7577">
        <w:rPr>
          <w:rFonts w:ascii="Sylfaen" w:hAnsi="Sylfaen"/>
          <w:sz w:val="24"/>
          <w:szCs w:val="24"/>
        </w:rPr>
        <w:t xml:space="preserve"> թափանցիկ հասանելիության առկայության։ ԱԴԲՄՖ-ի օգտագործումը կխոչընդոտի այդպիսի հասանելիությանը, </w:t>
      </w:r>
      <w:r w:rsidR="00C54D75">
        <w:rPr>
          <w:rFonts w:ascii="Sylfaen" w:hAnsi="Sylfaen"/>
          <w:sz w:val="24"/>
          <w:szCs w:val="24"/>
        </w:rPr>
        <w:t>և</w:t>
      </w:r>
      <w:r w:rsidRPr="00BD7577">
        <w:rPr>
          <w:rFonts w:ascii="Sylfaen" w:hAnsi="Sylfaen"/>
          <w:sz w:val="24"/>
          <w:szCs w:val="24"/>
        </w:rPr>
        <w:t xml:space="preserve"> այդ պատճառով այն չի թույլատրվում կենսաբանական ակտիվ դեղագործական բաղադրամասերի դեպքում։</w:t>
      </w:r>
    </w:p>
    <w:p w14:paraId="5C635C46" w14:textId="77777777" w:rsidR="008C76E0" w:rsidRPr="00BD7577" w:rsidRDefault="008C76E0" w:rsidP="00207FF6">
      <w:pPr>
        <w:tabs>
          <w:tab w:val="left" w:pos="993"/>
        </w:tabs>
        <w:spacing w:after="160" w:line="360" w:lineRule="auto"/>
        <w:ind w:firstLine="567"/>
        <w:jc w:val="both"/>
        <w:rPr>
          <w:rFonts w:ascii="Sylfaen" w:hAnsi="Sylfaen"/>
          <w:sz w:val="24"/>
          <w:szCs w:val="24"/>
        </w:rPr>
      </w:pPr>
      <w:r w:rsidRPr="00BD7577">
        <w:rPr>
          <w:rFonts w:ascii="Sylfaen" w:hAnsi="Sylfaen"/>
          <w:sz w:val="24"/>
          <w:szCs w:val="24"/>
        </w:rPr>
        <w:t>Բացի այդ, որոշակի դեղապատրաստուկների, ինչպիսիք են պատվաստանյութերը կամ բջջային թերապիայի համար նախատեսված դեղապատրաստուկները, բաղադրության մեջ մտնող ակտիվ դեղագործական նյութերը չեն տեղավորվում «լավ ուսումնասիրված» ակտիվ դեղագործական բաղադրամասի հայեցակարգի մեջ։</w:t>
      </w:r>
    </w:p>
    <w:p w14:paraId="6AD7C9DC" w14:textId="77777777" w:rsidR="008C76E0" w:rsidRPr="00BD7577" w:rsidRDefault="008C76E0" w:rsidP="00207FF6">
      <w:pPr>
        <w:numPr>
          <w:ilvl w:val="0"/>
          <w:numId w:val="4"/>
        </w:numPr>
        <w:tabs>
          <w:tab w:val="left" w:pos="1134"/>
        </w:tabs>
        <w:spacing w:after="160" w:line="360" w:lineRule="auto"/>
        <w:ind w:left="0" w:firstLine="567"/>
        <w:jc w:val="both"/>
        <w:rPr>
          <w:rFonts w:ascii="Sylfaen" w:hAnsi="Sylfaen"/>
          <w:sz w:val="24"/>
          <w:szCs w:val="24"/>
        </w:rPr>
      </w:pPr>
      <w:r w:rsidRPr="00BD7577">
        <w:rPr>
          <w:rFonts w:ascii="Sylfaen" w:hAnsi="Sylfaen"/>
          <w:sz w:val="24"/>
          <w:szCs w:val="24"/>
        </w:rPr>
        <w:lastRenderedPageBreak/>
        <w:t xml:space="preserve">Ակտիվ պատվաստանյութային հակածնի մաստեր-ֆայլի (ՊՀՄՖ) </w:t>
      </w:r>
      <w:r w:rsidR="00C54D75">
        <w:rPr>
          <w:rFonts w:ascii="Sylfaen" w:hAnsi="Sylfaen"/>
          <w:sz w:val="24"/>
          <w:szCs w:val="24"/>
        </w:rPr>
        <w:t>և</w:t>
      </w:r>
      <w:r w:rsidRPr="00BD7577">
        <w:rPr>
          <w:rFonts w:ascii="Sylfaen" w:hAnsi="Sylfaen"/>
          <w:sz w:val="24"/>
          <w:szCs w:val="24"/>
        </w:rPr>
        <w:t xml:space="preserve"> պլազմայի մաստեր-ֆայլի (ՊՄՖ) բաց </w:t>
      </w:r>
      <w:r w:rsidR="00C54D75">
        <w:rPr>
          <w:rFonts w:ascii="Sylfaen" w:hAnsi="Sylfaen"/>
          <w:sz w:val="24"/>
          <w:szCs w:val="24"/>
        </w:rPr>
        <w:t>և</w:t>
      </w:r>
      <w:r w:rsidRPr="00BD7577">
        <w:rPr>
          <w:rFonts w:ascii="Sylfaen" w:hAnsi="Sylfaen"/>
          <w:sz w:val="24"/>
          <w:szCs w:val="24"/>
        </w:rPr>
        <w:t xml:space="preserve"> փակ մասերի նկատմամբ ԱԴԲՄՖ-ի հայեցակարգի ոչ կիրառելի լինելը </w:t>
      </w:r>
    </w:p>
    <w:p w14:paraId="7367F45B" w14:textId="77777777" w:rsidR="008C76E0" w:rsidRPr="00BD7577" w:rsidRDefault="008C76E0" w:rsidP="00207FF6">
      <w:pPr>
        <w:tabs>
          <w:tab w:val="left" w:pos="993"/>
        </w:tabs>
        <w:spacing w:after="160" w:line="360" w:lineRule="auto"/>
        <w:ind w:right="-1" w:firstLine="567"/>
        <w:jc w:val="both"/>
        <w:rPr>
          <w:rFonts w:ascii="Sylfaen" w:hAnsi="Sylfaen"/>
          <w:sz w:val="24"/>
          <w:szCs w:val="24"/>
        </w:rPr>
      </w:pPr>
      <w:r w:rsidRPr="00BD7577">
        <w:rPr>
          <w:rFonts w:ascii="Sylfaen" w:hAnsi="Sylfaen"/>
          <w:sz w:val="24"/>
          <w:szCs w:val="24"/>
        </w:rPr>
        <w:t xml:space="preserve">Պատվաստանյութային հակածնի մաստեր-ֆայլում (ՊՀՄՖ) </w:t>
      </w:r>
      <w:r w:rsidR="00C54D75">
        <w:rPr>
          <w:rFonts w:ascii="Sylfaen" w:hAnsi="Sylfaen"/>
          <w:sz w:val="24"/>
          <w:szCs w:val="24"/>
        </w:rPr>
        <w:t>և</w:t>
      </w:r>
      <w:r w:rsidRPr="00BD7577">
        <w:rPr>
          <w:rFonts w:ascii="Sylfaen" w:hAnsi="Sylfaen"/>
          <w:sz w:val="24"/>
          <w:szCs w:val="24"/>
        </w:rPr>
        <w:t xml:space="preserve"> պլազմայի մաստեր-ֆայլում (ՊՄՖ) բաց (փակ) մասերի օգտագործումն օրենսդրությամբ չի ամրագրվում։ Բաց (ոչ գաղտնի) </w:t>
      </w:r>
      <w:r w:rsidR="00C54D75">
        <w:rPr>
          <w:rFonts w:ascii="Sylfaen" w:hAnsi="Sylfaen"/>
          <w:sz w:val="24"/>
          <w:szCs w:val="24"/>
        </w:rPr>
        <w:t>և</w:t>
      </w:r>
      <w:r w:rsidRPr="00BD7577">
        <w:rPr>
          <w:rFonts w:ascii="Sylfaen" w:hAnsi="Sylfaen"/>
          <w:sz w:val="24"/>
          <w:szCs w:val="24"/>
        </w:rPr>
        <w:t xml:space="preserve"> փակ (գաղտնի) մասերի հայեցակարգը բնորոշ է ակտիվ դեղագործական բաղադրամասի մաստեր-ֆայլին։</w:t>
      </w:r>
    </w:p>
    <w:p w14:paraId="76163593" w14:textId="77777777" w:rsidR="008C76E0" w:rsidRPr="00BD7577" w:rsidRDefault="008C76E0" w:rsidP="00207FF6">
      <w:pPr>
        <w:tabs>
          <w:tab w:val="left" w:pos="993"/>
        </w:tabs>
        <w:spacing w:after="160" w:line="360" w:lineRule="auto"/>
        <w:ind w:right="-1" w:firstLine="567"/>
        <w:jc w:val="both"/>
        <w:rPr>
          <w:rFonts w:ascii="Sylfaen" w:hAnsi="Sylfaen"/>
          <w:sz w:val="24"/>
          <w:szCs w:val="24"/>
        </w:rPr>
      </w:pPr>
      <w:r w:rsidRPr="00BD7577">
        <w:rPr>
          <w:rFonts w:ascii="Sylfaen" w:hAnsi="Sylfaen"/>
          <w:sz w:val="24"/>
          <w:szCs w:val="24"/>
        </w:rPr>
        <w:t>ՊՀՄՖ-ի մասով օրենսդրությամբ նշվում է, որ ՊՀՄՖ-ի իրավատերը չի կարող տարբերվել դիտարկվող դեղապատրաստուկի ԳՀ-ի իրավատիրոջից (հայտատուից), այդ պատճառով բացակայում են համակարգի «բաց (փակ)» մասերի օգտագործման հիմքերը։</w:t>
      </w:r>
    </w:p>
    <w:p w14:paraId="4D12459B" w14:textId="77777777" w:rsidR="008C76E0" w:rsidRPr="00BD7577" w:rsidRDefault="008C76E0" w:rsidP="00207FF6">
      <w:pPr>
        <w:tabs>
          <w:tab w:val="left" w:pos="993"/>
        </w:tabs>
        <w:spacing w:after="160" w:line="360" w:lineRule="auto"/>
        <w:ind w:right="-1" w:firstLine="567"/>
        <w:jc w:val="both"/>
        <w:rPr>
          <w:rFonts w:ascii="Sylfaen" w:hAnsi="Sylfaen"/>
          <w:sz w:val="24"/>
          <w:szCs w:val="24"/>
        </w:rPr>
      </w:pPr>
      <w:r w:rsidRPr="00BD7577">
        <w:rPr>
          <w:rFonts w:ascii="Sylfaen" w:hAnsi="Sylfaen"/>
          <w:sz w:val="24"/>
          <w:szCs w:val="24"/>
        </w:rPr>
        <w:t>ՊՄՖ-ի մասով օրենսդրությամբ նշվում է, որ եթե ԳՀ-ի իրավատերը (հայտատուն) տարբերվում է ՊՄՖ-ի իրավատիրոջից, ապա անհրաժեշտ է ՊՄՖ-ն հանձնել ԳՀ-ի իրավատիրոջը (հայտատուին)՝ այն անդամ պետության լիազորված մարմին ներկայացնելու համար։</w:t>
      </w:r>
    </w:p>
    <w:p w14:paraId="5105393A" w14:textId="77777777" w:rsidR="008C76E0" w:rsidRPr="00BD7577" w:rsidRDefault="008C76E0" w:rsidP="008C76E0">
      <w:pPr>
        <w:rPr>
          <w:rFonts w:ascii="Sylfaen" w:eastAsia="Times New Roman" w:hAnsi="Sylfaen" w:cs="Times New Roman"/>
          <w:sz w:val="24"/>
          <w:szCs w:val="24"/>
        </w:rPr>
      </w:pPr>
      <w:r w:rsidRPr="00BD7577">
        <w:rPr>
          <w:rFonts w:ascii="Sylfaen" w:hAnsi="Sylfaen"/>
          <w:sz w:val="24"/>
          <w:szCs w:val="24"/>
        </w:rPr>
        <w:br w:type="page"/>
      </w:r>
    </w:p>
    <w:p w14:paraId="507151D1" w14:textId="77777777" w:rsidR="008C76E0" w:rsidRPr="00BD7577" w:rsidRDefault="008C76E0" w:rsidP="008C76E0">
      <w:pPr>
        <w:ind w:firstLine="567"/>
        <w:jc w:val="right"/>
        <w:rPr>
          <w:rFonts w:ascii="Sylfaen" w:hAnsi="Sylfaen"/>
          <w:sz w:val="24"/>
          <w:szCs w:val="24"/>
        </w:rPr>
      </w:pPr>
      <w:r w:rsidRPr="00BD7577">
        <w:rPr>
          <w:rFonts w:ascii="Sylfaen" w:hAnsi="Sylfaen"/>
          <w:sz w:val="24"/>
          <w:szCs w:val="24"/>
        </w:rPr>
        <w:lastRenderedPageBreak/>
        <w:t>Լրացում թիվ 6</w:t>
      </w:r>
    </w:p>
    <w:p w14:paraId="265CA069" w14:textId="77777777" w:rsidR="008C76E0" w:rsidRPr="00BD7577" w:rsidRDefault="008C76E0" w:rsidP="008C76E0">
      <w:pPr>
        <w:ind w:firstLine="567"/>
        <w:jc w:val="right"/>
        <w:rPr>
          <w:rFonts w:ascii="Sylfaen" w:hAnsi="Sylfaen"/>
          <w:sz w:val="24"/>
          <w:szCs w:val="24"/>
        </w:rPr>
      </w:pPr>
    </w:p>
    <w:p w14:paraId="4A829BAF" w14:textId="77777777" w:rsidR="008C76E0" w:rsidRPr="00BD7577" w:rsidRDefault="008C76E0" w:rsidP="004B393A">
      <w:pPr>
        <w:spacing w:after="160" w:line="360" w:lineRule="auto"/>
        <w:ind w:firstLine="567"/>
        <w:jc w:val="center"/>
        <w:rPr>
          <w:rFonts w:ascii="Sylfaen" w:hAnsi="Sylfaen"/>
          <w:sz w:val="24"/>
          <w:szCs w:val="24"/>
        </w:rPr>
      </w:pPr>
      <w:r w:rsidRPr="00BD7577">
        <w:rPr>
          <w:rFonts w:ascii="Sylfaen" w:hAnsi="Sylfaen"/>
          <w:sz w:val="24"/>
          <w:szCs w:val="24"/>
        </w:rPr>
        <w:t>Սահմանումները</w:t>
      </w:r>
    </w:p>
    <w:p w14:paraId="0F9B639E"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Սույն հավելվածի նպատակներով օգտագործվում են հետ</w:t>
      </w:r>
      <w:r w:rsidR="00C54D75">
        <w:rPr>
          <w:rFonts w:ascii="Sylfaen" w:hAnsi="Sylfaen"/>
          <w:sz w:val="24"/>
          <w:szCs w:val="24"/>
        </w:rPr>
        <w:t>և</w:t>
      </w:r>
      <w:r w:rsidRPr="00BD7577">
        <w:rPr>
          <w:rFonts w:ascii="Sylfaen" w:hAnsi="Sylfaen"/>
          <w:sz w:val="24"/>
          <w:szCs w:val="24"/>
        </w:rPr>
        <w:t xml:space="preserve">յալ հասկացությունները </w:t>
      </w:r>
      <w:r w:rsidR="00C54D75">
        <w:rPr>
          <w:rFonts w:ascii="Sylfaen" w:hAnsi="Sylfaen"/>
          <w:sz w:val="24"/>
          <w:szCs w:val="24"/>
        </w:rPr>
        <w:t>և</w:t>
      </w:r>
      <w:r w:rsidRPr="00BD7577">
        <w:rPr>
          <w:rFonts w:ascii="Sylfaen" w:hAnsi="Sylfaen"/>
          <w:sz w:val="24"/>
          <w:szCs w:val="24"/>
        </w:rPr>
        <w:t xml:space="preserve"> դրանց սահմանումները՝</w:t>
      </w:r>
    </w:p>
    <w:p w14:paraId="57494C1C"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 xml:space="preserve">«ակտիվ դեղագործական բաղադրամաս արտադրող»՝ ակտիվ դեղագործական բաղադրամասի արտադրության շղթայի մեջ մտնող կողմը, ներառյալ՝ դիստրիբյուտորները, վերափաթեթավորողները </w:t>
      </w:r>
      <w:r w:rsidR="00C54D75">
        <w:rPr>
          <w:rFonts w:ascii="Sylfaen" w:hAnsi="Sylfaen"/>
          <w:sz w:val="24"/>
          <w:szCs w:val="24"/>
        </w:rPr>
        <w:t>և</w:t>
      </w:r>
      <w:r w:rsidRPr="00BD7577">
        <w:rPr>
          <w:rFonts w:ascii="Sylfaen" w:hAnsi="Sylfaen"/>
          <w:sz w:val="24"/>
          <w:szCs w:val="24"/>
        </w:rPr>
        <w:t xml:space="preserve"> վերամակնշողները,</w:t>
      </w:r>
    </w:p>
    <w:p w14:paraId="31F9B25A"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բաղադրամասի մաստեր-ֆայլի իրավատեր»՝ ակտիվ դեղագործական բաղադրամասի մաստեր-ֆայլի համար միանձնյա պատասխանատվություն կրող ընկերությունը,</w:t>
      </w:r>
    </w:p>
    <w:p w14:paraId="533BFAEA"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 xml:space="preserve">«արտադրության շղթա»՝ արտադրության փուլերի հաջորդականությունը, որը ներկայացված է ակտիվ դեղագործական բաղադրամասի արտադրության </w:t>
      </w:r>
      <w:r w:rsidR="00C54D75">
        <w:rPr>
          <w:rFonts w:ascii="Sylfaen" w:hAnsi="Sylfaen"/>
          <w:sz w:val="24"/>
          <w:szCs w:val="24"/>
        </w:rPr>
        <w:t>և</w:t>
      </w:r>
      <w:r w:rsidRPr="00BD7577">
        <w:rPr>
          <w:rFonts w:ascii="Sylfaen" w:hAnsi="Sylfaen"/>
          <w:sz w:val="24"/>
          <w:szCs w:val="24"/>
        </w:rPr>
        <w:t xml:space="preserve"> բաշխման եղանակն առաջին ելանյութերից մինչ</w:t>
      </w:r>
      <w:r w:rsidR="00C54D75">
        <w:rPr>
          <w:rFonts w:ascii="Sylfaen" w:hAnsi="Sylfaen"/>
          <w:sz w:val="24"/>
          <w:szCs w:val="24"/>
        </w:rPr>
        <w:t>և</w:t>
      </w:r>
      <w:r w:rsidRPr="00BD7577">
        <w:rPr>
          <w:rFonts w:ascii="Sylfaen" w:hAnsi="Sylfaen"/>
          <w:sz w:val="24"/>
          <w:szCs w:val="24"/>
        </w:rPr>
        <w:t xml:space="preserve"> պատրաստի ակտիվ դեղագործական բաղադրամասը բացատրող բլոկ-սխեմայի կամ պատմողական տեքստի տեսքով,</w:t>
      </w:r>
    </w:p>
    <w:p w14:paraId="3F15C324"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«նոր դեղագործական բաղադրամաս»՝ ազդող նյութ, որը նախկինում չի գրանցվել անդամ պետությունում (հայտնի է նա</w:t>
      </w:r>
      <w:r w:rsidR="00C54D75">
        <w:rPr>
          <w:rFonts w:ascii="Sylfaen" w:hAnsi="Sylfaen"/>
          <w:sz w:val="24"/>
          <w:szCs w:val="24"/>
        </w:rPr>
        <w:t>և</w:t>
      </w:r>
      <w:r w:rsidRPr="00BD7577">
        <w:rPr>
          <w:rFonts w:ascii="Sylfaen" w:hAnsi="Sylfaen"/>
          <w:sz w:val="24"/>
          <w:szCs w:val="24"/>
        </w:rPr>
        <w:t xml:space="preserve"> նոր մոլեկուլային կառուցվածք կամ նոր քիմիական նյութ անվամբ), որը կարող է իրենից ներկայացնել համալիր, նախկինում գրանցված ակտիվ դեղագործական բաղադրամասի սովորական եթեր կամ աղ, որը վերջինից տարբերվում է անվտանգության </w:t>
      </w:r>
      <w:r w:rsidR="00C54D75">
        <w:rPr>
          <w:rFonts w:ascii="Sylfaen" w:hAnsi="Sylfaen"/>
          <w:sz w:val="24"/>
          <w:szCs w:val="24"/>
        </w:rPr>
        <w:t>և</w:t>
      </w:r>
      <w:r w:rsidRPr="00BD7577">
        <w:rPr>
          <w:rFonts w:ascii="Sylfaen" w:hAnsi="Sylfaen"/>
          <w:sz w:val="24"/>
          <w:szCs w:val="24"/>
        </w:rPr>
        <w:t xml:space="preserve"> արդյունավետության տեսանկյունից։</w:t>
      </w:r>
    </w:p>
    <w:p w14:paraId="40EC17A4" w14:textId="77777777" w:rsidR="004B393A" w:rsidRDefault="004B393A" w:rsidP="00207FF6">
      <w:pPr>
        <w:spacing w:after="160" w:line="360" w:lineRule="auto"/>
        <w:ind w:left="4536"/>
        <w:jc w:val="center"/>
        <w:rPr>
          <w:rFonts w:ascii="Sylfaen" w:hAnsi="Sylfaen"/>
          <w:sz w:val="24"/>
          <w:szCs w:val="24"/>
        </w:rPr>
        <w:sectPr w:rsidR="004B393A" w:rsidSect="00207FF6">
          <w:pgSz w:w="11907" w:h="16839" w:code="9"/>
          <w:pgMar w:top="1418" w:right="1418" w:bottom="1418" w:left="1418" w:header="709" w:footer="709" w:gutter="0"/>
          <w:pgNumType w:start="1"/>
          <w:cols w:space="708"/>
          <w:titlePg/>
          <w:docGrid w:linePitch="360"/>
        </w:sectPr>
      </w:pPr>
    </w:p>
    <w:p w14:paraId="3C53C712" w14:textId="77777777" w:rsidR="008C76E0" w:rsidRPr="00BD7577" w:rsidRDefault="008C76E0" w:rsidP="00207FF6">
      <w:pPr>
        <w:spacing w:after="160" w:line="360" w:lineRule="auto"/>
        <w:ind w:left="4536"/>
        <w:jc w:val="center"/>
        <w:rPr>
          <w:rFonts w:ascii="Sylfaen" w:hAnsi="Sylfaen"/>
          <w:sz w:val="24"/>
          <w:szCs w:val="24"/>
        </w:rPr>
      </w:pPr>
      <w:r w:rsidRPr="00BD7577">
        <w:rPr>
          <w:rFonts w:ascii="Sylfaen" w:hAnsi="Sylfaen"/>
          <w:sz w:val="24"/>
          <w:szCs w:val="24"/>
        </w:rPr>
        <w:lastRenderedPageBreak/>
        <w:t>ՀԱՎԵԼՎԱԾ ԹԻՎ 11</w:t>
      </w:r>
    </w:p>
    <w:p w14:paraId="7508C4DE" w14:textId="77777777" w:rsidR="008C76E0" w:rsidRPr="00BD7577" w:rsidRDefault="008C76E0" w:rsidP="00207FF6">
      <w:pPr>
        <w:spacing w:after="160" w:line="360" w:lineRule="auto"/>
        <w:ind w:left="4536"/>
        <w:jc w:val="center"/>
        <w:rPr>
          <w:rFonts w:ascii="Sylfaen" w:hAnsi="Sylfaen"/>
          <w:sz w:val="24"/>
          <w:szCs w:val="24"/>
        </w:rPr>
      </w:pPr>
      <w:r w:rsidRPr="00BD7577">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6C7575DA" w14:textId="77777777" w:rsidR="008C76E0" w:rsidRPr="00BD7577" w:rsidRDefault="008C76E0" w:rsidP="00207FF6">
      <w:pPr>
        <w:spacing w:after="160" w:line="360" w:lineRule="auto"/>
        <w:ind w:left="5103"/>
        <w:jc w:val="center"/>
        <w:rPr>
          <w:rFonts w:ascii="Sylfaen" w:hAnsi="Sylfaen"/>
          <w:sz w:val="24"/>
          <w:szCs w:val="24"/>
        </w:rPr>
      </w:pPr>
    </w:p>
    <w:p w14:paraId="71371A1D" w14:textId="77777777" w:rsidR="008C76E0" w:rsidRPr="00207FF6" w:rsidRDefault="008C76E0" w:rsidP="00207FF6">
      <w:pPr>
        <w:spacing w:after="160" w:line="360" w:lineRule="auto"/>
        <w:jc w:val="center"/>
        <w:rPr>
          <w:rFonts w:ascii="Sylfaen" w:hAnsi="Sylfaen"/>
          <w:b/>
          <w:sz w:val="24"/>
          <w:szCs w:val="24"/>
        </w:rPr>
      </w:pPr>
      <w:r w:rsidRPr="00207FF6">
        <w:rPr>
          <w:rStyle w:val="Bodytext2Spacing2pt"/>
          <w:rFonts w:ascii="Sylfaen" w:eastAsiaTheme="minorHAnsi" w:hAnsi="Sylfaen"/>
          <w:b/>
          <w:spacing w:val="0"/>
          <w:sz w:val="24"/>
          <w:szCs w:val="24"/>
        </w:rPr>
        <w:t>ՁԵՎ</w:t>
      </w:r>
    </w:p>
    <w:p w14:paraId="69F1B65B" w14:textId="77777777" w:rsidR="008C76E0" w:rsidRPr="008C76E0" w:rsidRDefault="008C76E0" w:rsidP="00207FF6">
      <w:pPr>
        <w:pStyle w:val="Bodytext130"/>
        <w:shd w:val="clear" w:color="auto" w:fill="auto"/>
        <w:spacing w:after="160" w:line="360" w:lineRule="auto"/>
        <w:rPr>
          <w:rFonts w:ascii="Sylfaen" w:hAnsi="Sylfaen"/>
          <w:sz w:val="24"/>
          <w:szCs w:val="24"/>
          <w:lang w:val="hy-AM"/>
        </w:rPr>
      </w:pPr>
      <w:r w:rsidRPr="008C76E0">
        <w:rPr>
          <w:rFonts w:ascii="Sylfaen" w:hAnsi="Sylfaen"/>
          <w:sz w:val="24"/>
          <w:szCs w:val="24"/>
          <w:lang w:val="hy-AM"/>
        </w:rPr>
        <w:t>նախնական ամփոփ հաշվետվության</w:t>
      </w:r>
    </w:p>
    <w:p w14:paraId="78EDA995" w14:textId="77777777" w:rsidR="008C76E0" w:rsidRPr="008C76E0" w:rsidRDefault="008C76E0" w:rsidP="00207FF6">
      <w:pPr>
        <w:pStyle w:val="Bodytext130"/>
        <w:shd w:val="clear" w:color="auto" w:fill="auto"/>
        <w:spacing w:after="160" w:line="360" w:lineRule="auto"/>
        <w:rPr>
          <w:rFonts w:ascii="Sylfaen" w:hAnsi="Sylfaen"/>
          <w:sz w:val="24"/>
          <w:szCs w:val="24"/>
          <w:lang w:val="hy-AM"/>
        </w:rPr>
      </w:pPr>
    </w:p>
    <w:p w14:paraId="508FA1E1" w14:textId="77777777" w:rsidR="008C76E0" w:rsidRPr="00BD7577" w:rsidRDefault="008C76E0" w:rsidP="00207FF6">
      <w:pPr>
        <w:spacing w:after="160" w:line="360" w:lineRule="auto"/>
        <w:ind w:firstLine="567"/>
        <w:jc w:val="both"/>
        <w:rPr>
          <w:rFonts w:ascii="Sylfaen" w:hAnsi="Sylfaen"/>
          <w:sz w:val="24"/>
          <w:szCs w:val="24"/>
        </w:rPr>
      </w:pPr>
      <w:r w:rsidRPr="00BD7577">
        <w:rPr>
          <w:rFonts w:ascii="Sylfaen" w:hAnsi="Sylfaen"/>
          <w:sz w:val="24"/>
          <w:szCs w:val="24"/>
        </w:rPr>
        <w:t>Լրացնելու ցուցումներ. տեքստի պատրաստի ձ</w:t>
      </w:r>
      <w:r w:rsidR="00C54D75">
        <w:rPr>
          <w:rFonts w:ascii="Sylfaen" w:hAnsi="Sylfaen"/>
          <w:sz w:val="24"/>
          <w:szCs w:val="24"/>
        </w:rPr>
        <w:t>և</w:t>
      </w:r>
      <w:r w:rsidRPr="00BD7577">
        <w:rPr>
          <w:rFonts w:ascii="Sylfaen" w:hAnsi="Sylfaen"/>
          <w:sz w:val="24"/>
          <w:szCs w:val="24"/>
        </w:rPr>
        <w:t>անմուշներ օգտագործելիս դրանք սույն ձ</w:t>
      </w:r>
      <w:r w:rsidR="00C54D75">
        <w:rPr>
          <w:rFonts w:ascii="Sylfaen" w:hAnsi="Sylfaen"/>
          <w:sz w:val="24"/>
          <w:szCs w:val="24"/>
        </w:rPr>
        <w:t>և</w:t>
      </w:r>
      <w:r w:rsidRPr="00BD7577">
        <w:rPr>
          <w:rFonts w:ascii="Sylfaen" w:hAnsi="Sylfaen"/>
          <w:sz w:val="24"/>
          <w:szCs w:val="24"/>
        </w:rPr>
        <w:t xml:space="preserve">ում ընդգծված են &lt; &gt; նշաններով </w:t>
      </w:r>
      <w:r w:rsidR="00C54D75">
        <w:rPr>
          <w:rFonts w:ascii="Sylfaen" w:hAnsi="Sylfaen"/>
          <w:sz w:val="24"/>
          <w:szCs w:val="24"/>
        </w:rPr>
        <w:t>և</w:t>
      </w:r>
      <w:r w:rsidRPr="00BD7577">
        <w:rPr>
          <w:rFonts w:ascii="Sylfaen" w:hAnsi="Sylfaen"/>
          <w:sz w:val="24"/>
          <w:szCs w:val="24"/>
        </w:rPr>
        <w:t xml:space="preserve"> շեղատառով. տեքստի ձ</w:t>
      </w:r>
      <w:r w:rsidR="00C54D75">
        <w:rPr>
          <w:rFonts w:ascii="Sylfaen" w:hAnsi="Sylfaen"/>
          <w:sz w:val="24"/>
          <w:szCs w:val="24"/>
        </w:rPr>
        <w:t>և</w:t>
      </w:r>
      <w:r w:rsidRPr="00BD7577">
        <w:rPr>
          <w:rFonts w:ascii="Sylfaen" w:hAnsi="Sylfaen"/>
          <w:sz w:val="24"/>
          <w:szCs w:val="24"/>
        </w:rPr>
        <w:t>անմուշների այն հատվածները, որոնք լրացվում են տեքստի որոշակի տարբերակների՝ ըստ նշված հատկության (պարամետրի) ներմուծման միջոցով, ներկայացված են ձ</w:t>
      </w:r>
      <w:r w:rsidR="00C54D75">
        <w:rPr>
          <w:rFonts w:ascii="Sylfaen" w:hAnsi="Sylfaen"/>
          <w:sz w:val="24"/>
          <w:szCs w:val="24"/>
        </w:rPr>
        <w:t>և</w:t>
      </w:r>
      <w:r w:rsidRPr="00BD7577">
        <w:rPr>
          <w:rFonts w:ascii="Sylfaen" w:hAnsi="Sylfaen"/>
          <w:sz w:val="24"/>
          <w:szCs w:val="24"/>
        </w:rPr>
        <w:t>ավոր փակագծերի մեջ { }՝ նշելով այն հատկությունը (պարամետրը), որն անհրաժեշտ է ներմուծել շեղատառով։</w:t>
      </w:r>
    </w:p>
    <w:p w14:paraId="31420C2E" w14:textId="77777777" w:rsidR="008C76E0" w:rsidRPr="00BD7577" w:rsidRDefault="008C76E0" w:rsidP="00207FF6">
      <w:pPr>
        <w:spacing w:after="160" w:line="360" w:lineRule="auto"/>
        <w:ind w:firstLine="567"/>
        <w:jc w:val="both"/>
        <w:rPr>
          <w:rFonts w:ascii="Sylfaen" w:hAnsi="Sylfaen"/>
          <w:sz w:val="24"/>
          <w:szCs w:val="24"/>
        </w:rPr>
      </w:pPr>
    </w:p>
    <w:p w14:paraId="4DDA1993" w14:textId="77777777" w:rsidR="008C76E0" w:rsidRPr="00BD7577" w:rsidRDefault="008C76E0" w:rsidP="00207FF6">
      <w:pPr>
        <w:spacing w:after="160" w:line="360" w:lineRule="auto"/>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w:t>
      </w:r>
    </w:p>
    <w:p w14:paraId="43140693" w14:textId="77777777" w:rsidR="008C76E0" w:rsidRPr="00BD7577" w:rsidRDefault="008C76E0" w:rsidP="00207FF6">
      <w:pPr>
        <w:spacing w:after="160" w:line="360" w:lineRule="auto"/>
        <w:jc w:val="right"/>
        <w:rPr>
          <w:rFonts w:ascii="Sylfaen" w:hAnsi="Sylfaen"/>
          <w:sz w:val="24"/>
          <w:szCs w:val="24"/>
        </w:rPr>
      </w:pPr>
    </w:p>
    <w:p w14:paraId="724D1E00" w14:textId="77777777" w:rsidR="008C76E0" w:rsidRPr="00BD7577" w:rsidRDefault="008C76E0" w:rsidP="00207FF6">
      <w:pPr>
        <w:spacing w:after="160" w:line="360" w:lineRule="auto"/>
        <w:jc w:val="center"/>
        <w:rPr>
          <w:rFonts w:ascii="Sylfaen" w:hAnsi="Sylfaen"/>
          <w:sz w:val="24"/>
          <w:szCs w:val="24"/>
        </w:rPr>
      </w:pPr>
      <w:r w:rsidRPr="00BD7577">
        <w:rPr>
          <w:rFonts w:ascii="Sylfaen" w:hAnsi="Sylfaen"/>
          <w:sz w:val="24"/>
          <w:szCs w:val="24"/>
        </w:rPr>
        <w:t>ՆԱԽՆԱԿԱՆ ԱՄՓՈՓ ՀԱՇՎԵՏՎՈՒԹՅՈՒՆ</w:t>
      </w:r>
    </w:p>
    <w:p w14:paraId="1384D5B9" w14:textId="77777777" w:rsidR="008C76E0" w:rsidRPr="00BD7577" w:rsidRDefault="008C76E0" w:rsidP="00207FF6">
      <w:pPr>
        <w:spacing w:after="160" w:line="360" w:lineRule="auto"/>
        <w:jc w:val="center"/>
        <w:rPr>
          <w:rFonts w:ascii="Sylfaen" w:hAnsi="Sylfaen"/>
          <w:sz w:val="24"/>
          <w:szCs w:val="24"/>
        </w:rPr>
      </w:pPr>
      <w:r w:rsidRPr="00BD7577">
        <w:rPr>
          <w:rFonts w:ascii="Sylfaen" w:hAnsi="Sylfaen"/>
          <w:sz w:val="24"/>
          <w:szCs w:val="24"/>
        </w:rPr>
        <w:t>դեղապատրաստուկի կրիտիկական գնահատման վերաբերյալ</w:t>
      </w:r>
    </w:p>
    <w:p w14:paraId="6A07C716" w14:textId="77777777" w:rsidR="008C76E0" w:rsidRPr="00BD7577" w:rsidRDefault="008C76E0" w:rsidP="00207FF6">
      <w:pPr>
        <w:spacing w:after="160" w:line="360" w:lineRule="auto"/>
        <w:jc w:val="center"/>
        <w:rPr>
          <w:rFonts w:ascii="Sylfaen" w:hAnsi="Sylfaen"/>
          <w:sz w:val="24"/>
          <w:szCs w:val="24"/>
        </w:rPr>
      </w:pPr>
    </w:p>
    <w:p w14:paraId="476D8FA0" w14:textId="77777777" w:rsidR="008C76E0" w:rsidRPr="008C76E0" w:rsidRDefault="008C76E0" w:rsidP="00207FF6">
      <w:pPr>
        <w:pStyle w:val="Bodytext70"/>
        <w:shd w:val="clear" w:color="auto" w:fill="auto"/>
        <w:spacing w:before="0" w:after="160" w:line="360" w:lineRule="auto"/>
        <w:rPr>
          <w:rFonts w:ascii="Sylfaen" w:hAnsi="Sylfaen"/>
          <w:b w:val="0"/>
          <w:sz w:val="24"/>
          <w:szCs w:val="24"/>
          <w:lang w:val="hy-AM"/>
        </w:rPr>
      </w:pPr>
      <w:r w:rsidRPr="008C76E0">
        <w:rPr>
          <w:rFonts w:ascii="Sylfaen" w:hAnsi="Sylfaen"/>
          <w:b w:val="0"/>
          <w:sz w:val="24"/>
          <w:szCs w:val="24"/>
          <w:lang w:val="hy-AM"/>
        </w:rPr>
        <w:t>&lt;Առ</w:t>
      </w:r>
      <w:r w:rsidR="00C54D75">
        <w:rPr>
          <w:rFonts w:ascii="Sylfaen" w:hAnsi="Sylfaen"/>
          <w:b w:val="0"/>
          <w:sz w:val="24"/>
          <w:szCs w:val="24"/>
          <w:lang w:val="hy-AM"/>
        </w:rPr>
        <w:t>և</w:t>
      </w:r>
      <w:r w:rsidRPr="008C76E0">
        <w:rPr>
          <w:rFonts w:ascii="Sylfaen" w:hAnsi="Sylfaen"/>
          <w:b w:val="0"/>
          <w:sz w:val="24"/>
          <w:szCs w:val="24"/>
          <w:lang w:val="hy-AM"/>
        </w:rPr>
        <w:t>տրային անվանումը&gt;</w:t>
      </w:r>
    </w:p>
    <w:p w14:paraId="512BD7E6" w14:textId="77777777" w:rsidR="008C76E0" w:rsidRPr="008C76E0" w:rsidRDefault="008C76E0" w:rsidP="00207FF6">
      <w:pPr>
        <w:pStyle w:val="Bodytext70"/>
        <w:shd w:val="clear" w:color="auto" w:fill="auto"/>
        <w:spacing w:before="0" w:after="160" w:line="360" w:lineRule="auto"/>
        <w:rPr>
          <w:rFonts w:ascii="Sylfaen" w:hAnsi="Sylfaen"/>
          <w:b w:val="0"/>
          <w:sz w:val="24"/>
          <w:szCs w:val="24"/>
          <w:lang w:val="hy-AM"/>
        </w:rPr>
      </w:pPr>
      <w:r w:rsidRPr="008C76E0">
        <w:rPr>
          <w:rFonts w:ascii="Sylfaen" w:hAnsi="Sylfaen"/>
          <w:b w:val="0"/>
          <w:sz w:val="24"/>
          <w:szCs w:val="24"/>
          <w:lang w:val="hy-AM"/>
        </w:rPr>
        <w:t>&lt;(Ազդող նյութը (նյութերը))&gt;</w:t>
      </w:r>
    </w:p>
    <w:p w14:paraId="1A06662D" w14:textId="77777777" w:rsidR="008C76E0" w:rsidRDefault="008C76E0" w:rsidP="00207FF6">
      <w:pPr>
        <w:spacing w:after="160" w:line="360" w:lineRule="auto"/>
        <w:jc w:val="both"/>
        <w:rPr>
          <w:rFonts w:ascii="Sylfaen" w:hAnsi="Sylfaen"/>
          <w:sz w:val="24"/>
          <w:szCs w:val="24"/>
          <w:lang w:val="en-US"/>
        </w:rPr>
      </w:pPr>
      <w:r w:rsidRPr="00BD7577">
        <w:rPr>
          <w:rFonts w:ascii="Sylfaen" w:hAnsi="Sylfaen"/>
          <w:sz w:val="24"/>
          <w:szCs w:val="24"/>
        </w:rPr>
        <w:t>Հայտատուն՝</w:t>
      </w:r>
    </w:p>
    <w:p w14:paraId="028A9B1A" w14:textId="77777777" w:rsidR="008C76E0" w:rsidRPr="00EF7B76" w:rsidRDefault="008C76E0" w:rsidP="008C76E0">
      <w:pPr>
        <w:jc w:val="both"/>
        <w:rPr>
          <w:rFonts w:ascii="Sylfaen" w:hAnsi="Sylfaen"/>
          <w:sz w:val="24"/>
          <w:szCs w:val="24"/>
          <w:lang w:val="en-US"/>
        </w:rPr>
      </w:pPr>
    </w:p>
    <w:tbl>
      <w:tblPr>
        <w:tblOverlap w:val="never"/>
        <w:tblW w:w="9715" w:type="dxa"/>
        <w:tblLayout w:type="fixed"/>
        <w:tblCellMar>
          <w:left w:w="10" w:type="dxa"/>
          <w:right w:w="10" w:type="dxa"/>
        </w:tblCellMar>
        <w:tblLook w:val="04A0" w:firstRow="1" w:lastRow="0" w:firstColumn="1" w:lastColumn="0" w:noHBand="0" w:noVBand="1"/>
      </w:tblPr>
      <w:tblGrid>
        <w:gridCol w:w="10"/>
        <w:gridCol w:w="5159"/>
        <w:gridCol w:w="4546"/>
      </w:tblGrid>
      <w:tr w:rsidR="008C76E0" w:rsidRPr="00BD7577" w14:paraId="0629B389" w14:textId="77777777" w:rsidTr="008C76E0">
        <w:trPr>
          <w:gridBefore w:val="1"/>
          <w:wBefore w:w="10" w:type="dxa"/>
        </w:trPr>
        <w:tc>
          <w:tcPr>
            <w:tcW w:w="5159" w:type="dxa"/>
            <w:tcBorders>
              <w:top w:val="single" w:sz="4" w:space="0" w:color="auto"/>
              <w:left w:val="single" w:sz="4" w:space="0" w:color="auto"/>
            </w:tcBorders>
            <w:shd w:val="clear" w:color="auto" w:fill="FFFFFF"/>
          </w:tcPr>
          <w:p w14:paraId="1A6CE441" w14:textId="77777777" w:rsidR="008C76E0" w:rsidRPr="00BD7577" w:rsidRDefault="008C76E0" w:rsidP="008C76E0">
            <w:pPr>
              <w:pStyle w:val="Bodytext180"/>
              <w:shd w:val="clear" w:color="auto" w:fill="auto"/>
              <w:spacing w:before="0" w:after="120" w:line="240" w:lineRule="auto"/>
              <w:ind w:left="55" w:right="150" w:firstLine="0"/>
              <w:jc w:val="both"/>
              <w:rPr>
                <w:rFonts w:ascii="Sylfaen" w:hAnsi="Sylfaen"/>
                <w:b w:val="0"/>
                <w:sz w:val="24"/>
                <w:szCs w:val="24"/>
              </w:rPr>
            </w:pPr>
            <w:r w:rsidRPr="00BD7577">
              <w:rPr>
                <w:rStyle w:val="Bodytext295pt"/>
                <w:rFonts w:ascii="Sylfaen" w:hAnsi="Sylfaen"/>
                <w:spacing w:val="0"/>
                <w:sz w:val="24"/>
                <w:szCs w:val="24"/>
              </w:rPr>
              <w:lastRenderedPageBreak/>
              <w:t>Ընթացակարգի սկիզբը՝</w:t>
            </w:r>
          </w:p>
        </w:tc>
        <w:tc>
          <w:tcPr>
            <w:tcW w:w="4542" w:type="dxa"/>
            <w:tcBorders>
              <w:top w:val="single" w:sz="4" w:space="0" w:color="auto"/>
              <w:left w:val="single" w:sz="4" w:space="0" w:color="auto"/>
              <w:right w:val="single" w:sz="4" w:space="0" w:color="auto"/>
            </w:tcBorders>
            <w:shd w:val="clear" w:color="auto" w:fill="FFFFFF"/>
          </w:tcPr>
          <w:p w14:paraId="5E7D40BE" w14:textId="77777777" w:rsidR="008C76E0" w:rsidRPr="00BD7577" w:rsidRDefault="008C76E0" w:rsidP="008C76E0">
            <w:pPr>
              <w:spacing w:after="120" w:line="240" w:lineRule="auto"/>
              <w:ind w:left="114" w:right="-1"/>
              <w:jc w:val="both"/>
              <w:rPr>
                <w:rFonts w:ascii="Sylfaen" w:hAnsi="Sylfaen"/>
                <w:sz w:val="24"/>
                <w:szCs w:val="24"/>
              </w:rPr>
            </w:pPr>
          </w:p>
        </w:tc>
      </w:tr>
      <w:tr w:rsidR="008C76E0" w:rsidRPr="00BD7577" w14:paraId="75D95A52" w14:textId="77777777" w:rsidTr="008C76E0">
        <w:trPr>
          <w:gridBefore w:val="1"/>
          <w:wBefore w:w="10" w:type="dxa"/>
        </w:trPr>
        <w:tc>
          <w:tcPr>
            <w:tcW w:w="5159" w:type="dxa"/>
            <w:tcBorders>
              <w:top w:val="single" w:sz="4" w:space="0" w:color="auto"/>
              <w:left w:val="single" w:sz="4" w:space="0" w:color="auto"/>
            </w:tcBorders>
            <w:shd w:val="clear" w:color="auto" w:fill="FFFFFF"/>
            <w:vAlign w:val="bottom"/>
          </w:tcPr>
          <w:p w14:paraId="08D94193" w14:textId="77777777" w:rsidR="008C76E0" w:rsidRPr="00BD7577" w:rsidRDefault="008C76E0" w:rsidP="008C76E0">
            <w:pPr>
              <w:pStyle w:val="Bodytext180"/>
              <w:shd w:val="clear" w:color="auto" w:fill="auto"/>
              <w:spacing w:before="0" w:after="120" w:line="240" w:lineRule="auto"/>
              <w:ind w:left="55" w:right="150" w:firstLine="0"/>
              <w:jc w:val="both"/>
              <w:rPr>
                <w:rFonts w:ascii="Sylfaen" w:hAnsi="Sylfaen"/>
                <w:b w:val="0"/>
                <w:sz w:val="24"/>
                <w:szCs w:val="24"/>
              </w:rPr>
            </w:pPr>
            <w:r w:rsidRPr="00BD7577">
              <w:rPr>
                <w:rStyle w:val="Bodytext295pt"/>
                <w:rFonts w:ascii="Sylfaen" w:hAnsi="Sylfaen"/>
                <w:spacing w:val="0"/>
                <w:sz w:val="24"/>
                <w:szCs w:val="24"/>
              </w:rPr>
              <w:t>Սույն հաշվետվությունը պատրաստելու ամսաթիվը՝</w:t>
            </w:r>
          </w:p>
        </w:tc>
        <w:tc>
          <w:tcPr>
            <w:tcW w:w="4542" w:type="dxa"/>
            <w:tcBorders>
              <w:top w:val="single" w:sz="4" w:space="0" w:color="auto"/>
              <w:left w:val="single" w:sz="4" w:space="0" w:color="auto"/>
              <w:right w:val="single" w:sz="4" w:space="0" w:color="auto"/>
            </w:tcBorders>
            <w:shd w:val="clear" w:color="auto" w:fill="FFFFFF"/>
          </w:tcPr>
          <w:p w14:paraId="11B55DBA" w14:textId="77777777" w:rsidR="008C76E0" w:rsidRPr="00BD7577" w:rsidRDefault="008C76E0" w:rsidP="008C76E0">
            <w:pPr>
              <w:spacing w:after="120" w:line="240" w:lineRule="auto"/>
              <w:ind w:left="114" w:right="-1"/>
              <w:jc w:val="both"/>
              <w:rPr>
                <w:rFonts w:ascii="Sylfaen" w:hAnsi="Sylfaen"/>
                <w:sz w:val="24"/>
                <w:szCs w:val="24"/>
              </w:rPr>
            </w:pPr>
          </w:p>
        </w:tc>
      </w:tr>
      <w:tr w:rsidR="008C76E0" w:rsidRPr="00BD7577" w14:paraId="1561130B" w14:textId="77777777" w:rsidTr="008C76E0">
        <w:trPr>
          <w:gridBefore w:val="1"/>
          <w:wBefore w:w="10" w:type="dxa"/>
        </w:trPr>
        <w:tc>
          <w:tcPr>
            <w:tcW w:w="5159" w:type="dxa"/>
            <w:tcBorders>
              <w:top w:val="single" w:sz="4" w:space="0" w:color="auto"/>
              <w:left w:val="single" w:sz="4" w:space="0" w:color="auto"/>
              <w:bottom w:val="single" w:sz="4" w:space="0" w:color="auto"/>
            </w:tcBorders>
            <w:shd w:val="clear" w:color="auto" w:fill="FFFFFF"/>
            <w:vAlign w:val="bottom"/>
          </w:tcPr>
          <w:p w14:paraId="2E6AED02" w14:textId="77777777" w:rsidR="008C76E0" w:rsidRPr="00BD7577" w:rsidRDefault="008C76E0" w:rsidP="008C76E0">
            <w:pPr>
              <w:pStyle w:val="Bodytext180"/>
              <w:shd w:val="clear" w:color="auto" w:fill="auto"/>
              <w:spacing w:before="0" w:after="120" w:line="240" w:lineRule="auto"/>
              <w:ind w:left="55" w:right="150" w:firstLine="0"/>
              <w:jc w:val="both"/>
              <w:rPr>
                <w:rFonts w:ascii="Sylfaen" w:hAnsi="Sylfaen"/>
                <w:b w:val="0"/>
                <w:sz w:val="24"/>
                <w:szCs w:val="24"/>
              </w:rPr>
            </w:pPr>
            <w:r w:rsidRPr="00BD7577">
              <w:rPr>
                <w:rStyle w:val="Bodytext295pt"/>
                <w:rFonts w:ascii="Sylfaen" w:hAnsi="Sylfaen"/>
                <w:spacing w:val="0"/>
                <w:sz w:val="24"/>
                <w:szCs w:val="24"/>
              </w:rPr>
              <w:t>Մեկնաբանությունների վերջնաժամկետը՝</w:t>
            </w:r>
          </w:p>
        </w:tc>
        <w:tc>
          <w:tcPr>
            <w:tcW w:w="4542" w:type="dxa"/>
            <w:tcBorders>
              <w:top w:val="single" w:sz="4" w:space="0" w:color="auto"/>
              <w:left w:val="single" w:sz="4" w:space="0" w:color="auto"/>
              <w:bottom w:val="single" w:sz="4" w:space="0" w:color="auto"/>
              <w:right w:val="single" w:sz="4" w:space="0" w:color="auto"/>
            </w:tcBorders>
            <w:shd w:val="clear" w:color="auto" w:fill="FFFFFF"/>
          </w:tcPr>
          <w:p w14:paraId="57132AE2" w14:textId="77777777" w:rsidR="008C76E0" w:rsidRPr="00BD7577" w:rsidRDefault="008C76E0" w:rsidP="008C76E0">
            <w:pPr>
              <w:spacing w:after="120" w:line="240" w:lineRule="auto"/>
              <w:ind w:left="114" w:right="-1"/>
              <w:jc w:val="both"/>
              <w:rPr>
                <w:rFonts w:ascii="Sylfaen" w:hAnsi="Sylfaen"/>
                <w:sz w:val="24"/>
                <w:szCs w:val="24"/>
              </w:rPr>
            </w:pPr>
          </w:p>
        </w:tc>
      </w:tr>
      <w:tr w:rsidR="008C76E0" w:rsidRPr="00BD7577" w14:paraId="35734978" w14:textId="77777777" w:rsidTr="008C76E0">
        <w:tc>
          <w:tcPr>
            <w:tcW w:w="9709" w:type="dxa"/>
            <w:gridSpan w:val="3"/>
            <w:shd w:val="clear" w:color="auto" w:fill="FFFFFF"/>
            <w:vAlign w:val="center"/>
          </w:tcPr>
          <w:p w14:paraId="482458E6" w14:textId="77777777" w:rsidR="008C76E0" w:rsidRPr="00BD7577" w:rsidRDefault="008C76E0" w:rsidP="008C76E0">
            <w:pPr>
              <w:pStyle w:val="Bodytext180"/>
              <w:shd w:val="clear" w:color="auto" w:fill="auto"/>
              <w:spacing w:before="0" w:after="120" w:line="240" w:lineRule="auto"/>
              <w:ind w:left="55" w:right="150" w:firstLine="0"/>
              <w:jc w:val="center"/>
              <w:rPr>
                <w:rFonts w:ascii="Sylfaen" w:hAnsi="Sylfaen"/>
                <w:b w:val="0"/>
                <w:sz w:val="24"/>
                <w:szCs w:val="24"/>
              </w:rPr>
            </w:pPr>
            <w:r w:rsidRPr="00BD7577">
              <w:rPr>
                <w:rStyle w:val="Bodytext295pt"/>
                <w:rFonts w:ascii="Sylfaen" w:hAnsi="Sylfaen"/>
                <w:spacing w:val="0"/>
                <w:sz w:val="24"/>
                <w:szCs w:val="24"/>
              </w:rPr>
              <w:t>I.Վարչական տեղեկատվությունը</w:t>
            </w:r>
          </w:p>
        </w:tc>
      </w:tr>
      <w:tr w:rsidR="008C76E0" w:rsidRPr="00BD7577" w14:paraId="304FE2C7" w14:textId="77777777" w:rsidTr="008C76E0">
        <w:tc>
          <w:tcPr>
            <w:tcW w:w="5169" w:type="dxa"/>
            <w:gridSpan w:val="2"/>
            <w:tcBorders>
              <w:top w:val="single" w:sz="4" w:space="0" w:color="auto"/>
              <w:left w:val="single" w:sz="4" w:space="0" w:color="auto"/>
            </w:tcBorders>
            <w:shd w:val="clear" w:color="auto" w:fill="FFFFFF"/>
            <w:vAlign w:val="bottom"/>
          </w:tcPr>
          <w:p w14:paraId="22D6593C"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Գրանցման հայտի նույնականացման համարը՝</w:t>
            </w:r>
          </w:p>
        </w:tc>
        <w:tc>
          <w:tcPr>
            <w:tcW w:w="4546" w:type="dxa"/>
            <w:tcBorders>
              <w:top w:val="single" w:sz="4" w:space="0" w:color="auto"/>
              <w:left w:val="single" w:sz="4" w:space="0" w:color="auto"/>
              <w:right w:val="single" w:sz="4" w:space="0" w:color="auto"/>
            </w:tcBorders>
            <w:shd w:val="clear" w:color="auto" w:fill="FFFFFF"/>
          </w:tcPr>
          <w:p w14:paraId="142A2811"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28450344" w14:textId="77777777" w:rsidTr="008C76E0">
        <w:tc>
          <w:tcPr>
            <w:tcW w:w="5169" w:type="dxa"/>
            <w:gridSpan w:val="2"/>
            <w:tcBorders>
              <w:top w:val="single" w:sz="4" w:space="0" w:color="auto"/>
              <w:left w:val="single" w:sz="4" w:space="0" w:color="auto"/>
            </w:tcBorders>
            <w:shd w:val="clear" w:color="auto" w:fill="FFFFFF"/>
            <w:vAlign w:val="bottom"/>
          </w:tcPr>
          <w:p w14:paraId="03BBB487"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Դեղամիջոցի առ</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տրային անվանումը՝</w:t>
            </w:r>
          </w:p>
        </w:tc>
        <w:tc>
          <w:tcPr>
            <w:tcW w:w="4546" w:type="dxa"/>
            <w:tcBorders>
              <w:top w:val="single" w:sz="4" w:space="0" w:color="auto"/>
              <w:left w:val="single" w:sz="4" w:space="0" w:color="auto"/>
              <w:right w:val="single" w:sz="4" w:space="0" w:color="auto"/>
            </w:tcBorders>
            <w:shd w:val="clear" w:color="auto" w:fill="FFFFFF"/>
          </w:tcPr>
          <w:p w14:paraId="5309566A"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0EEFEF79" w14:textId="77777777" w:rsidTr="008C76E0">
        <w:tc>
          <w:tcPr>
            <w:tcW w:w="5169" w:type="dxa"/>
            <w:gridSpan w:val="2"/>
            <w:tcBorders>
              <w:top w:val="single" w:sz="4" w:space="0" w:color="auto"/>
              <w:left w:val="single" w:sz="4" w:space="0" w:color="auto"/>
            </w:tcBorders>
            <w:shd w:val="clear" w:color="auto" w:fill="FFFFFF"/>
            <w:vAlign w:val="bottom"/>
          </w:tcPr>
          <w:p w14:paraId="7A9B0A9C"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Միջազգային չարտոնագրված անվանումը՝(ՄՉԱ) կամ ազդող նյութի (նյութերի) համընդհանուր անվանումը՝</w:t>
            </w:r>
          </w:p>
        </w:tc>
        <w:tc>
          <w:tcPr>
            <w:tcW w:w="4546" w:type="dxa"/>
            <w:tcBorders>
              <w:top w:val="single" w:sz="4" w:space="0" w:color="auto"/>
              <w:left w:val="single" w:sz="4" w:space="0" w:color="auto"/>
              <w:right w:val="single" w:sz="4" w:space="0" w:color="auto"/>
            </w:tcBorders>
            <w:shd w:val="clear" w:color="auto" w:fill="FFFFFF"/>
          </w:tcPr>
          <w:p w14:paraId="28F30ABE"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58DA1D51" w14:textId="77777777" w:rsidTr="008C76E0">
        <w:tc>
          <w:tcPr>
            <w:tcW w:w="5169" w:type="dxa"/>
            <w:gridSpan w:val="2"/>
            <w:tcBorders>
              <w:top w:val="single" w:sz="4" w:space="0" w:color="auto"/>
              <w:left w:val="single" w:sz="4" w:space="0" w:color="auto"/>
            </w:tcBorders>
            <w:shd w:val="clear" w:color="auto" w:fill="FFFFFF"/>
            <w:vAlign w:val="bottom"/>
          </w:tcPr>
          <w:p w14:paraId="25C29D45"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Հայտատուն՝</w:t>
            </w:r>
          </w:p>
        </w:tc>
        <w:tc>
          <w:tcPr>
            <w:tcW w:w="4546" w:type="dxa"/>
            <w:tcBorders>
              <w:top w:val="single" w:sz="4" w:space="0" w:color="auto"/>
              <w:left w:val="single" w:sz="4" w:space="0" w:color="auto"/>
              <w:right w:val="single" w:sz="4" w:space="0" w:color="auto"/>
            </w:tcBorders>
            <w:shd w:val="clear" w:color="auto" w:fill="FFFFFF"/>
          </w:tcPr>
          <w:p w14:paraId="36182F44"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4D3076B5" w14:textId="77777777" w:rsidTr="008C76E0">
        <w:tc>
          <w:tcPr>
            <w:tcW w:w="5169" w:type="dxa"/>
            <w:gridSpan w:val="2"/>
            <w:tcBorders>
              <w:top w:val="single" w:sz="4" w:space="0" w:color="auto"/>
              <w:left w:val="single" w:sz="4" w:space="0" w:color="auto"/>
            </w:tcBorders>
            <w:shd w:val="clear" w:color="auto" w:fill="FFFFFF"/>
            <w:vAlign w:val="bottom"/>
          </w:tcPr>
          <w:p w14:paraId="42A38F8E"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Կիրառման հայտագրված ցուցումները՝</w:t>
            </w:r>
          </w:p>
        </w:tc>
        <w:tc>
          <w:tcPr>
            <w:tcW w:w="4546" w:type="dxa"/>
            <w:tcBorders>
              <w:top w:val="single" w:sz="4" w:space="0" w:color="auto"/>
              <w:left w:val="single" w:sz="4" w:space="0" w:color="auto"/>
              <w:right w:val="single" w:sz="4" w:space="0" w:color="auto"/>
            </w:tcBorders>
            <w:shd w:val="clear" w:color="auto" w:fill="FFFFFF"/>
          </w:tcPr>
          <w:p w14:paraId="17C72057"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3D199A5B" w14:textId="77777777" w:rsidTr="008C76E0">
        <w:tc>
          <w:tcPr>
            <w:tcW w:w="5169" w:type="dxa"/>
            <w:gridSpan w:val="2"/>
            <w:tcBorders>
              <w:top w:val="single" w:sz="4" w:space="0" w:color="auto"/>
              <w:left w:val="single" w:sz="4" w:space="0" w:color="auto"/>
            </w:tcBorders>
            <w:shd w:val="clear" w:color="auto" w:fill="FFFFFF"/>
            <w:vAlign w:val="bottom"/>
          </w:tcPr>
          <w:p w14:paraId="5746D412"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Դեղաթերապ</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տիկ խումբը (ԱԲՔ-ծածկագիրը)՝</w:t>
            </w:r>
          </w:p>
        </w:tc>
        <w:tc>
          <w:tcPr>
            <w:tcW w:w="4546" w:type="dxa"/>
            <w:tcBorders>
              <w:top w:val="single" w:sz="4" w:space="0" w:color="auto"/>
              <w:left w:val="single" w:sz="4" w:space="0" w:color="auto"/>
              <w:right w:val="single" w:sz="4" w:space="0" w:color="auto"/>
            </w:tcBorders>
            <w:shd w:val="clear" w:color="auto" w:fill="FFFFFF"/>
          </w:tcPr>
          <w:p w14:paraId="534299F8"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06CEE420" w14:textId="77777777" w:rsidTr="008C76E0">
        <w:tc>
          <w:tcPr>
            <w:tcW w:w="5169" w:type="dxa"/>
            <w:gridSpan w:val="2"/>
            <w:tcBorders>
              <w:top w:val="single" w:sz="4" w:space="0" w:color="auto"/>
              <w:left w:val="single" w:sz="4" w:space="0" w:color="auto"/>
            </w:tcBorders>
            <w:shd w:val="clear" w:color="auto" w:fill="FFFFFF"/>
            <w:vAlign w:val="bottom"/>
          </w:tcPr>
          <w:p w14:paraId="1A43780B"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Դեղաձ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դեղաչափը (դեղաչափերը)՝</w:t>
            </w:r>
          </w:p>
        </w:tc>
        <w:tc>
          <w:tcPr>
            <w:tcW w:w="4546" w:type="dxa"/>
            <w:tcBorders>
              <w:top w:val="single" w:sz="4" w:space="0" w:color="auto"/>
              <w:left w:val="single" w:sz="4" w:space="0" w:color="auto"/>
              <w:right w:val="single" w:sz="4" w:space="0" w:color="auto"/>
            </w:tcBorders>
            <w:shd w:val="clear" w:color="auto" w:fill="FFFFFF"/>
          </w:tcPr>
          <w:p w14:paraId="2960EF73" w14:textId="77777777" w:rsidR="008C76E0" w:rsidRPr="00BD7577" w:rsidRDefault="008C76E0" w:rsidP="008C76E0">
            <w:pPr>
              <w:spacing w:after="120" w:line="240" w:lineRule="auto"/>
              <w:ind w:left="55" w:right="150"/>
              <w:rPr>
                <w:rFonts w:ascii="Sylfaen" w:hAnsi="Sylfaen"/>
                <w:sz w:val="24"/>
                <w:szCs w:val="24"/>
              </w:rPr>
            </w:pPr>
          </w:p>
        </w:tc>
      </w:tr>
      <w:tr w:rsidR="008C76E0" w:rsidRPr="00BD7577" w14:paraId="18E4D421" w14:textId="77777777" w:rsidTr="008C76E0">
        <w:tc>
          <w:tcPr>
            <w:tcW w:w="5169" w:type="dxa"/>
            <w:gridSpan w:val="2"/>
            <w:tcBorders>
              <w:top w:val="single" w:sz="4" w:space="0" w:color="auto"/>
              <w:left w:val="single" w:sz="4" w:space="0" w:color="auto"/>
              <w:bottom w:val="single" w:sz="4" w:space="0" w:color="auto"/>
            </w:tcBorders>
            <w:shd w:val="clear" w:color="auto" w:fill="FFFFFF"/>
          </w:tcPr>
          <w:p w14:paraId="4A124ED4"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 xml:space="preserve">Զեկուցողի փորձագետների անունները (ներքին փորձագետ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անկախ փորձագետ)՝</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3B67057D"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3-րդ մոդուլի փորձագետ՝ Ա.Ա.Հ.-ն՝</w:t>
            </w:r>
          </w:p>
          <w:p w14:paraId="7A4A6A84"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p w14:paraId="13E54F8E"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4-րդ մոդուլի փորձագետ՝ Ա.Ա.Հ.-ն՝</w:t>
            </w:r>
          </w:p>
          <w:p w14:paraId="5F29A8F7"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p w14:paraId="5C43F647"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5-րդ մոդուլի փորձագետ՝ Ա.Ա.Հ.-ն՝</w:t>
            </w:r>
          </w:p>
          <w:p w14:paraId="364BE6DF"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հեռախոսահամարը (ֆաքսը)՝ էլեկտրոնային փոստի հասցեն՝</w:t>
            </w:r>
          </w:p>
        </w:tc>
      </w:tr>
      <w:tr w:rsidR="008C76E0" w:rsidRPr="00BD7577" w14:paraId="2CE875F3" w14:textId="77777777" w:rsidTr="008C76E0">
        <w:tc>
          <w:tcPr>
            <w:tcW w:w="5169" w:type="dxa"/>
            <w:gridSpan w:val="2"/>
            <w:tcBorders>
              <w:top w:val="single" w:sz="4" w:space="0" w:color="auto"/>
              <w:left w:val="single" w:sz="4" w:space="0" w:color="auto"/>
              <w:bottom w:val="single" w:sz="4" w:space="0" w:color="auto"/>
            </w:tcBorders>
            <w:shd w:val="clear" w:color="auto" w:fill="FFFFFF"/>
            <w:vAlign w:val="bottom"/>
          </w:tcPr>
          <w:p w14:paraId="1DAAA4AC" w14:textId="77777777" w:rsidR="008C76E0" w:rsidRPr="008C76E0" w:rsidRDefault="008C76E0" w:rsidP="008C76E0">
            <w:pPr>
              <w:pStyle w:val="Bodytext180"/>
              <w:shd w:val="clear" w:color="auto" w:fill="auto"/>
              <w:spacing w:before="0" w:after="120" w:line="240" w:lineRule="auto"/>
              <w:ind w:left="55" w:right="150" w:firstLine="0"/>
              <w:rPr>
                <w:rFonts w:ascii="Sylfaen" w:hAnsi="Sylfaen"/>
                <w:b w:val="0"/>
                <w:sz w:val="24"/>
                <w:szCs w:val="24"/>
                <w:lang w:val="hy-AM"/>
              </w:rPr>
            </w:pPr>
            <w:r w:rsidRPr="00BD7577">
              <w:rPr>
                <w:rStyle w:val="Bodytext295pt"/>
                <w:rFonts w:ascii="Sylfaen" w:hAnsi="Sylfaen"/>
                <w:spacing w:val="0"/>
                <w:sz w:val="24"/>
                <w:szCs w:val="24"/>
              </w:rPr>
              <w:t xml:space="preserve">&lt;Միության Դեղամիջոցների գրանցման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փորձաքննության կանոններին համապատասխան՝ ես՝ փորձագետս, սույնով հայտարարում եմ, որ ավարտել եմ իմ փորձագիտական հաշվետվությունն ավելի շուտ, քան 80 օրվա ընթացքում&gt;</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367C142E"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ամսաթիվը</w:t>
            </w:r>
          </w:p>
          <w:p w14:paraId="511EFD4E" w14:textId="77777777" w:rsidR="008C76E0" w:rsidRPr="00BD7577" w:rsidRDefault="008C76E0" w:rsidP="008C76E0">
            <w:pPr>
              <w:pStyle w:val="Bodytext180"/>
              <w:shd w:val="clear" w:color="auto" w:fill="auto"/>
              <w:spacing w:before="0" w:after="120" w:line="240" w:lineRule="auto"/>
              <w:ind w:left="55" w:right="150" w:firstLine="0"/>
              <w:rPr>
                <w:rFonts w:ascii="Sylfaen" w:hAnsi="Sylfaen"/>
                <w:b w:val="0"/>
                <w:sz w:val="24"/>
                <w:szCs w:val="24"/>
              </w:rPr>
            </w:pPr>
            <w:r w:rsidRPr="00BD7577">
              <w:rPr>
                <w:rStyle w:val="Bodytext295pt"/>
                <w:rFonts w:ascii="Sylfaen" w:hAnsi="Sylfaen"/>
                <w:spacing w:val="0"/>
                <w:sz w:val="24"/>
                <w:szCs w:val="24"/>
              </w:rPr>
              <w:t>ստորագրությունը</w:t>
            </w:r>
          </w:p>
        </w:tc>
      </w:tr>
    </w:tbl>
    <w:p w14:paraId="6D01B23B" w14:textId="77777777" w:rsidR="008C76E0" w:rsidRPr="00BD7577" w:rsidRDefault="008C76E0" w:rsidP="008C76E0">
      <w:pPr>
        <w:spacing w:line="312" w:lineRule="auto"/>
        <w:ind w:firstLine="567"/>
        <w:jc w:val="both"/>
        <w:rPr>
          <w:rStyle w:val="Bodytext295pt"/>
          <w:rFonts w:ascii="Sylfaen" w:eastAsia="MS Mincho" w:hAnsi="Sylfaen"/>
          <w:b w:val="0"/>
          <w:spacing w:val="0"/>
          <w:sz w:val="24"/>
          <w:szCs w:val="24"/>
          <w:lang w:val="en-US"/>
        </w:rPr>
      </w:pPr>
      <w:r w:rsidRPr="00BD7577">
        <w:rPr>
          <w:rStyle w:val="Bodytext295pt"/>
          <w:rFonts w:ascii="Sylfaen" w:eastAsia="MS Mincho" w:hAnsi="Sylfaen"/>
          <w:b w:val="0"/>
          <w:spacing w:val="0"/>
          <w:sz w:val="24"/>
          <w:szCs w:val="24"/>
        </w:rPr>
        <w:t>Հապավումների ցանկը</w:t>
      </w:r>
    </w:p>
    <w:p w14:paraId="751F8228" w14:textId="77777777" w:rsidR="008C76E0" w:rsidRDefault="008C76E0" w:rsidP="008C76E0">
      <w:pPr>
        <w:spacing w:line="312" w:lineRule="auto"/>
        <w:jc w:val="both"/>
        <w:rPr>
          <w:rStyle w:val="Bodytext295pt"/>
          <w:rFonts w:ascii="Sylfaen" w:eastAsia="MS Mincho" w:hAnsi="Sylfaen"/>
          <w:spacing w:val="0"/>
          <w:sz w:val="24"/>
          <w:szCs w:val="24"/>
          <w:lang w:val="en-US"/>
        </w:rPr>
      </w:pPr>
      <w:r w:rsidRPr="00BD7577">
        <w:rPr>
          <w:rStyle w:val="Bodytext295pt"/>
          <w:rFonts w:ascii="Sylfaen" w:eastAsia="MS Mincho" w:hAnsi="Sylfaen"/>
          <w:spacing w:val="0"/>
          <w:sz w:val="24"/>
          <w:szCs w:val="24"/>
          <w:lang w:val="en-US"/>
        </w:rPr>
        <w:t>______________________________________________________________________________________________________________________________________________________</w:t>
      </w:r>
    </w:p>
    <w:p w14:paraId="54D13B21" w14:textId="77777777" w:rsidR="008C76E0" w:rsidRPr="00BD7577" w:rsidRDefault="008C76E0" w:rsidP="004B393A">
      <w:pPr>
        <w:pStyle w:val="Headerorfooter0"/>
        <w:shd w:val="clear" w:color="auto" w:fill="auto"/>
        <w:spacing w:after="160" w:line="360" w:lineRule="auto"/>
        <w:ind w:right="-1"/>
        <w:jc w:val="center"/>
        <w:rPr>
          <w:rFonts w:ascii="Sylfaen" w:hAnsi="Sylfaen"/>
          <w:sz w:val="24"/>
          <w:szCs w:val="24"/>
        </w:rPr>
      </w:pPr>
      <w:r w:rsidRPr="00BD7577">
        <w:rPr>
          <w:rFonts w:ascii="Sylfaen" w:hAnsi="Sylfaen"/>
          <w:sz w:val="24"/>
          <w:szCs w:val="24"/>
        </w:rPr>
        <w:lastRenderedPageBreak/>
        <w:t>I. Հանձնարարական</w:t>
      </w:r>
    </w:p>
    <w:p w14:paraId="79D651E7" w14:textId="77777777" w:rsidR="008C76E0" w:rsidRPr="00BD7577" w:rsidRDefault="008C76E0" w:rsidP="004B393A">
      <w:pPr>
        <w:pStyle w:val="Bodytext70"/>
        <w:shd w:val="clear" w:color="auto" w:fill="auto"/>
        <w:tabs>
          <w:tab w:val="left" w:pos="3402"/>
        </w:tabs>
        <w:spacing w:before="0" w:after="160" w:line="360" w:lineRule="auto"/>
        <w:ind w:firstLine="567"/>
        <w:rPr>
          <w:rFonts w:ascii="Sylfaen" w:hAnsi="Sylfaen"/>
          <w:b w:val="0"/>
          <w:sz w:val="24"/>
          <w:szCs w:val="24"/>
        </w:rPr>
      </w:pPr>
      <w:r w:rsidRPr="00EF7B76">
        <w:rPr>
          <w:rStyle w:val="Bodytext295pt"/>
          <w:rFonts w:ascii="Sylfaen" w:hAnsi="Sylfaen"/>
          <w:i w:val="0"/>
          <w:spacing w:val="-4"/>
          <w:sz w:val="24"/>
          <w:szCs w:val="24"/>
        </w:rPr>
        <w:t xml:space="preserve">Փորձագետները որակի, անվտանգության </w:t>
      </w:r>
      <w:r w:rsidR="00C54D75">
        <w:rPr>
          <w:rStyle w:val="Bodytext295pt"/>
          <w:rFonts w:ascii="Sylfaen" w:hAnsi="Sylfaen"/>
          <w:i w:val="0"/>
          <w:spacing w:val="-4"/>
          <w:sz w:val="24"/>
          <w:szCs w:val="24"/>
        </w:rPr>
        <w:t>և</w:t>
      </w:r>
      <w:r w:rsidRPr="00EF7B76">
        <w:rPr>
          <w:rStyle w:val="Bodytext295pt"/>
          <w:rFonts w:ascii="Sylfaen" w:hAnsi="Sylfaen"/>
          <w:i w:val="0"/>
          <w:spacing w:val="-4"/>
          <w:sz w:val="24"/>
          <w:szCs w:val="24"/>
        </w:rPr>
        <w:t xml:space="preserve"> արդյունավետության մասով գրանցման դոսյեի մոդուլների տվյալների փորձագիտական ամփոփման հիման վրա կարծում են, որ</w:t>
      </w:r>
      <w:r w:rsidRPr="00EF7B76">
        <w:rPr>
          <w:rStyle w:val="Bodytext295pt"/>
          <w:rFonts w:ascii="Sylfaen" w:hAnsi="Sylfaen"/>
          <w:spacing w:val="-4"/>
          <w:sz w:val="24"/>
          <w:szCs w:val="24"/>
        </w:rPr>
        <w:t xml:space="preserve"> &lt;հայտագրված ցուցումները&gt; բուժման ժամանակ &lt;դեղապատրաստուկի անվանումը&gt; գրանցման հայտը </w:t>
      </w:r>
      <w:r w:rsidRPr="00EF7B76">
        <w:rPr>
          <w:rFonts w:ascii="Sylfaen" w:hAnsi="Sylfaen"/>
          <w:b w:val="0"/>
          <w:spacing w:val="-4"/>
          <w:sz w:val="24"/>
          <w:szCs w:val="24"/>
        </w:rPr>
        <w:t>&lt;կարող է հավանության արժանանալ՝ պայմանով, որ այլ դիտողությունների նախնական ցանկին (Բաժին V) տրվել են բավարարող պատասխաններ&gt;, &lt;արժանի չէ հավանության, քանի որ սահմանվել են կրիտիկական</w:t>
      </w:r>
      <w:r w:rsidRPr="00BD7577">
        <w:rPr>
          <w:rFonts w:ascii="Sylfaen" w:hAnsi="Sylfaen"/>
          <w:b w:val="0"/>
          <w:sz w:val="24"/>
          <w:szCs w:val="24"/>
        </w:rPr>
        <w:t xml:space="preserve"> դիտողություններ, որոնք ներկայումս գրանցման հավաստագիրն առաջարկելու հնարավորություն չեն ընձեռում&gt;։ Այդ հիմնական առարկությունների վերաբերյալ մանրամասն տեղեկատվությունը ներկայացված է հարցերի նախնական ցանկում (Բաժին V)։</w:t>
      </w:r>
    </w:p>
    <w:p w14:paraId="2E1100DB" w14:textId="77777777" w:rsidR="008C76E0" w:rsidRPr="00BD7577" w:rsidRDefault="008C76E0" w:rsidP="004B393A">
      <w:pPr>
        <w:pStyle w:val="Bodytext70"/>
        <w:shd w:val="clear" w:color="auto" w:fill="auto"/>
        <w:spacing w:before="0" w:after="160" w:line="360" w:lineRule="auto"/>
        <w:ind w:firstLine="567"/>
        <w:rPr>
          <w:rFonts w:ascii="Sylfaen" w:hAnsi="Sylfaen"/>
          <w:b w:val="0"/>
          <w:sz w:val="24"/>
          <w:szCs w:val="24"/>
        </w:rPr>
      </w:pPr>
      <w:r w:rsidRPr="00BD7577">
        <w:rPr>
          <w:rFonts w:ascii="Sylfaen" w:hAnsi="Sylfaen"/>
          <w:b w:val="0"/>
          <w:sz w:val="24"/>
          <w:szCs w:val="24"/>
        </w:rPr>
        <w:t>&lt;Քննադատական դիտողությունները, որոնք գրանցման հավաստագրի տրման առաջարկություն անելու հնարավորություններ չեն տալիս, վերաբերում են հետ</w:t>
      </w:r>
      <w:r w:rsidR="00C54D75">
        <w:rPr>
          <w:rFonts w:ascii="Sylfaen" w:hAnsi="Sylfaen"/>
          <w:b w:val="0"/>
          <w:sz w:val="24"/>
          <w:szCs w:val="24"/>
        </w:rPr>
        <w:t>և</w:t>
      </w:r>
      <w:r w:rsidRPr="00BD7577">
        <w:rPr>
          <w:rFonts w:ascii="Sylfaen" w:hAnsi="Sylfaen"/>
          <w:b w:val="0"/>
          <w:sz w:val="24"/>
          <w:szCs w:val="24"/>
        </w:rPr>
        <w:t>յալ հիմնական թերություններին՝ &lt;հակիրճ թվարկել եզրակացության VI բաժնի թերությունները&gt;&gt;:</w:t>
      </w:r>
    </w:p>
    <w:p w14:paraId="5D5AA7CD" w14:textId="77777777" w:rsidR="008C76E0" w:rsidRPr="00BD7577" w:rsidRDefault="008C76E0" w:rsidP="004B393A">
      <w:pPr>
        <w:pStyle w:val="Bodytext70"/>
        <w:shd w:val="clear" w:color="auto" w:fill="auto"/>
        <w:spacing w:before="0" w:after="160" w:line="360" w:lineRule="auto"/>
        <w:ind w:right="-1" w:firstLine="567"/>
        <w:rPr>
          <w:rFonts w:ascii="Sylfaen" w:hAnsi="Sylfaen"/>
          <w:b w:val="0"/>
          <w:sz w:val="24"/>
          <w:szCs w:val="24"/>
        </w:rPr>
      </w:pPr>
    </w:p>
    <w:p w14:paraId="79E43FEE" w14:textId="77777777" w:rsidR="008C76E0" w:rsidRPr="00BD7577" w:rsidRDefault="008C76E0" w:rsidP="004B393A">
      <w:pPr>
        <w:spacing w:after="160" w:line="360" w:lineRule="auto"/>
        <w:ind w:left="567" w:right="565"/>
        <w:jc w:val="center"/>
        <w:rPr>
          <w:rFonts w:ascii="Sylfaen" w:hAnsi="Sylfaen"/>
          <w:sz w:val="24"/>
          <w:szCs w:val="24"/>
        </w:rPr>
      </w:pPr>
      <w:r w:rsidRPr="00BD7577">
        <w:rPr>
          <w:rFonts w:ascii="Sylfaen" w:hAnsi="Sylfaen"/>
          <w:sz w:val="24"/>
          <w:szCs w:val="24"/>
        </w:rPr>
        <w:t xml:space="preserve">Լրացուցիչ փորձագետների կողմից քննարկման համար </w:t>
      </w:r>
      <w:r w:rsidRPr="00BD7577">
        <w:rPr>
          <w:rFonts w:ascii="Sylfaen" w:hAnsi="Sylfaen"/>
          <w:sz w:val="24"/>
          <w:szCs w:val="24"/>
        </w:rPr>
        <w:br/>
        <w:t>նախատեսված հարցեր</w:t>
      </w:r>
    </w:p>
    <w:tbl>
      <w:tblPr>
        <w:tblOverlap w:val="never"/>
        <w:tblW w:w="9055" w:type="dxa"/>
        <w:jc w:val="center"/>
        <w:tblLayout w:type="fixed"/>
        <w:tblCellMar>
          <w:left w:w="10" w:type="dxa"/>
          <w:right w:w="10" w:type="dxa"/>
        </w:tblCellMar>
        <w:tblLook w:val="04A0" w:firstRow="1" w:lastRow="0" w:firstColumn="1" w:lastColumn="0" w:noHBand="0" w:noVBand="1"/>
      </w:tblPr>
      <w:tblGrid>
        <w:gridCol w:w="9055"/>
      </w:tblGrid>
      <w:tr w:rsidR="008C76E0" w:rsidRPr="00BD7577" w14:paraId="6D9D3AEF" w14:textId="77777777" w:rsidTr="008C76E0">
        <w:trPr>
          <w:jc w:val="center"/>
        </w:trPr>
        <w:tc>
          <w:tcPr>
            <w:tcW w:w="9055" w:type="dxa"/>
            <w:tcBorders>
              <w:top w:val="single" w:sz="4" w:space="0" w:color="auto"/>
              <w:left w:val="single" w:sz="4" w:space="0" w:color="auto"/>
              <w:right w:val="single" w:sz="4" w:space="0" w:color="auto"/>
            </w:tcBorders>
            <w:shd w:val="clear" w:color="auto" w:fill="FFFFFF"/>
            <w:vAlign w:val="bottom"/>
          </w:tcPr>
          <w:p w14:paraId="44759335" w14:textId="77777777" w:rsidR="008C76E0" w:rsidRPr="00BD7577" w:rsidRDefault="008C76E0" w:rsidP="008C76E0">
            <w:pPr>
              <w:pStyle w:val="Bodytext180"/>
              <w:shd w:val="clear" w:color="auto" w:fill="auto"/>
              <w:spacing w:before="0" w:after="160" w:line="360" w:lineRule="auto"/>
              <w:ind w:right="-1" w:firstLine="567"/>
              <w:jc w:val="both"/>
              <w:rPr>
                <w:rFonts w:ascii="Sylfaen" w:hAnsi="Sylfaen"/>
                <w:b w:val="0"/>
                <w:sz w:val="24"/>
                <w:szCs w:val="24"/>
              </w:rPr>
            </w:pPr>
            <w:r w:rsidRPr="00BD7577">
              <w:rPr>
                <w:rStyle w:val="Bodytext295pt"/>
                <w:rFonts w:ascii="Sylfaen" w:hAnsi="Sylfaen"/>
                <w:spacing w:val="0"/>
                <w:sz w:val="24"/>
                <w:szCs w:val="24"/>
              </w:rPr>
              <w:t>Ներկայացնել հարցերի ցանկը</w:t>
            </w:r>
          </w:p>
        </w:tc>
      </w:tr>
      <w:tr w:rsidR="008C76E0" w:rsidRPr="00BD7577" w14:paraId="209968D1" w14:textId="77777777" w:rsidTr="008C76E0">
        <w:trPr>
          <w:jc w:val="center"/>
        </w:trPr>
        <w:tc>
          <w:tcPr>
            <w:tcW w:w="9055" w:type="dxa"/>
            <w:tcBorders>
              <w:top w:val="single" w:sz="4" w:space="0" w:color="auto"/>
              <w:left w:val="single" w:sz="4" w:space="0" w:color="auto"/>
              <w:right w:val="single" w:sz="4" w:space="0" w:color="auto"/>
            </w:tcBorders>
            <w:shd w:val="clear" w:color="auto" w:fill="FFFFFF"/>
          </w:tcPr>
          <w:p w14:paraId="43EAC521" w14:textId="77777777" w:rsidR="008C76E0" w:rsidRPr="00BD7577" w:rsidRDefault="008C76E0" w:rsidP="008C76E0">
            <w:pPr>
              <w:ind w:right="-1" w:firstLine="567"/>
              <w:jc w:val="both"/>
              <w:rPr>
                <w:rFonts w:ascii="Sylfaen" w:hAnsi="Sylfaen"/>
                <w:sz w:val="24"/>
                <w:szCs w:val="24"/>
              </w:rPr>
            </w:pPr>
          </w:p>
        </w:tc>
      </w:tr>
      <w:tr w:rsidR="008C76E0" w:rsidRPr="00BD7577" w14:paraId="79F521D4" w14:textId="77777777" w:rsidTr="008C76E0">
        <w:trPr>
          <w:jc w:val="center"/>
        </w:trPr>
        <w:tc>
          <w:tcPr>
            <w:tcW w:w="9055" w:type="dxa"/>
            <w:tcBorders>
              <w:top w:val="single" w:sz="4" w:space="0" w:color="auto"/>
              <w:left w:val="single" w:sz="4" w:space="0" w:color="auto"/>
              <w:bottom w:val="single" w:sz="4" w:space="0" w:color="auto"/>
              <w:right w:val="single" w:sz="4" w:space="0" w:color="auto"/>
            </w:tcBorders>
            <w:shd w:val="clear" w:color="auto" w:fill="FFFFFF"/>
          </w:tcPr>
          <w:p w14:paraId="3856EDFF" w14:textId="77777777" w:rsidR="008C76E0" w:rsidRPr="00BD7577" w:rsidRDefault="008C76E0" w:rsidP="008C76E0">
            <w:pPr>
              <w:ind w:right="-1" w:firstLine="567"/>
              <w:jc w:val="both"/>
              <w:rPr>
                <w:rFonts w:ascii="Sylfaen" w:hAnsi="Sylfaen"/>
                <w:sz w:val="24"/>
                <w:szCs w:val="24"/>
              </w:rPr>
            </w:pPr>
          </w:p>
        </w:tc>
      </w:tr>
    </w:tbl>
    <w:p w14:paraId="4C1FCC2F" w14:textId="77777777" w:rsidR="008C76E0" w:rsidRPr="00BD7577" w:rsidRDefault="008C76E0" w:rsidP="00DB2544">
      <w:pPr>
        <w:spacing w:after="160" w:line="336" w:lineRule="auto"/>
        <w:ind w:firstLine="567"/>
        <w:jc w:val="both"/>
        <w:rPr>
          <w:rFonts w:ascii="Sylfaen" w:hAnsi="Sylfaen"/>
          <w:sz w:val="24"/>
          <w:szCs w:val="24"/>
          <w:lang w:val="en-US"/>
        </w:rPr>
      </w:pPr>
    </w:p>
    <w:p w14:paraId="7AE8FED0" w14:textId="77777777" w:rsidR="008C76E0" w:rsidRPr="00BD7577" w:rsidRDefault="008C76E0" w:rsidP="00DB2544">
      <w:pPr>
        <w:spacing w:after="160" w:line="336" w:lineRule="auto"/>
        <w:ind w:firstLine="567"/>
        <w:jc w:val="center"/>
        <w:rPr>
          <w:rFonts w:ascii="Sylfaen" w:hAnsi="Sylfaen"/>
          <w:sz w:val="24"/>
          <w:szCs w:val="24"/>
        </w:rPr>
      </w:pPr>
      <w:r w:rsidRPr="00BD7577">
        <w:rPr>
          <w:rFonts w:ascii="Sylfaen" w:hAnsi="Sylfaen"/>
          <w:sz w:val="24"/>
          <w:szCs w:val="24"/>
        </w:rPr>
        <w:t>Տեսչական ստուգում անցկացնելու հարցումներ</w:t>
      </w:r>
    </w:p>
    <w:p w14:paraId="5784664D" w14:textId="77777777" w:rsidR="008C76E0" w:rsidRPr="00BD7577" w:rsidRDefault="008C76E0" w:rsidP="00DB2544">
      <w:pPr>
        <w:spacing w:after="160" w:line="336" w:lineRule="auto"/>
        <w:ind w:firstLine="567"/>
        <w:jc w:val="both"/>
        <w:rPr>
          <w:rFonts w:ascii="Sylfaen" w:hAnsi="Sylfaen"/>
          <w:sz w:val="24"/>
          <w:szCs w:val="24"/>
        </w:rPr>
      </w:pPr>
      <w:r w:rsidRPr="00BD7577">
        <w:rPr>
          <w:rFonts w:ascii="Sylfaen" w:hAnsi="Sylfaen"/>
          <w:sz w:val="24"/>
          <w:szCs w:val="24"/>
        </w:rPr>
        <w:t xml:space="preserve">Եվրասիական տնտեսական հանձնաժողովի կողմից հաստատվող՝ Եվրասիական տնտեսական միության պատշաճ արտադրական գործունեության կանոնների (GMP) պահանջներին համապատասխանության տեսչական ստուգում (տեսչական ստուգումներ): </w:t>
      </w:r>
    </w:p>
    <w:p w14:paraId="0D5571D1" w14:textId="77777777" w:rsidR="008C76E0" w:rsidRPr="00BD7577" w:rsidRDefault="008C76E0" w:rsidP="004B393A">
      <w:pPr>
        <w:spacing w:after="160" w:line="360" w:lineRule="auto"/>
        <w:ind w:right="-1" w:firstLine="567"/>
        <w:jc w:val="both"/>
        <w:rPr>
          <w:rFonts w:ascii="Sylfaen" w:hAnsi="Sylfaen"/>
          <w:b/>
          <w:i/>
          <w:sz w:val="24"/>
          <w:szCs w:val="24"/>
        </w:rPr>
      </w:pPr>
      <w:r w:rsidRPr="00BD7577">
        <w:rPr>
          <w:rStyle w:val="Bodytext295pt"/>
          <w:rFonts w:ascii="Sylfaen" w:eastAsiaTheme="minorHAnsi" w:hAnsi="Sylfaen"/>
          <w:b w:val="0"/>
          <w:i/>
          <w:spacing w:val="0"/>
          <w:sz w:val="24"/>
          <w:szCs w:val="24"/>
        </w:rPr>
        <w:lastRenderedPageBreak/>
        <w:t>[GMP-ի պլանային տեսչական ստուգումների համար]</w:t>
      </w:r>
    </w:p>
    <w:p w14:paraId="21FC0A3D" w14:textId="77777777" w:rsidR="008C76E0" w:rsidRPr="008C76E0" w:rsidRDefault="008C76E0" w:rsidP="004B393A">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&lt;GMP-ի տեսչական ստուգման հարցումն արվել է հետ</w:t>
      </w:r>
      <w:r w:rsidR="00C54D75">
        <w:rPr>
          <w:rFonts w:ascii="Sylfaen" w:hAnsi="Sylfaen"/>
          <w:b w:val="0"/>
          <w:sz w:val="24"/>
          <w:szCs w:val="24"/>
          <w:lang w:val="hy-AM"/>
        </w:rPr>
        <w:t>և</w:t>
      </w:r>
      <w:r w:rsidRPr="008C76E0">
        <w:rPr>
          <w:rFonts w:ascii="Sylfaen" w:hAnsi="Sylfaen"/>
          <w:b w:val="0"/>
          <w:sz w:val="24"/>
          <w:szCs w:val="24"/>
          <w:lang w:val="hy-AM"/>
        </w:rPr>
        <w:t xml:space="preserve">յալ արտադրական հարթակների համար՝ հաստատելու GMP-ին համապատասխանության դրանց կարգավիճակը՝ կապված հարթակի համապատասխանության հերթական սերտիֆիկատի գործողության ժամկետը լրանալու հետ: Այս տեսչական ստուգումների արդյունքները պահանջվում են հայտի քննարկումն ավարտին հասցնելու համար </w:t>
      </w:r>
      <w:r w:rsidR="00C54D75">
        <w:rPr>
          <w:rFonts w:ascii="Sylfaen" w:hAnsi="Sylfaen"/>
          <w:b w:val="0"/>
          <w:sz w:val="24"/>
          <w:szCs w:val="24"/>
          <w:lang w:val="hy-AM"/>
        </w:rPr>
        <w:t>և</w:t>
      </w:r>
      <w:r w:rsidRPr="008C76E0">
        <w:rPr>
          <w:rFonts w:ascii="Sylfaen" w:hAnsi="Sylfaen"/>
          <w:b w:val="0"/>
          <w:sz w:val="24"/>
          <w:szCs w:val="24"/>
          <w:lang w:val="hy-AM"/>
        </w:rPr>
        <w:t xml:space="preserve"> անհրաժեշտ կլինեն 181-րդ օրը&gt;:</w:t>
      </w:r>
    </w:p>
    <w:p w14:paraId="5D21792F"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[GMP-ի նախաձեռնվող տեսչական ստուգումների համար]</w:t>
      </w:r>
    </w:p>
    <w:p w14:paraId="6832F4A9"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&lt;GMP-ի տեսչական ստուգման հարցումն արվել է հետ</w:t>
      </w:r>
      <w:r w:rsidR="00C54D75">
        <w:rPr>
          <w:rFonts w:ascii="Sylfaen" w:hAnsi="Sylfaen"/>
          <w:b w:val="0"/>
          <w:sz w:val="24"/>
          <w:szCs w:val="24"/>
          <w:lang w:val="hy-AM"/>
        </w:rPr>
        <w:t>և</w:t>
      </w:r>
      <w:r w:rsidRPr="008C76E0">
        <w:rPr>
          <w:rFonts w:ascii="Sylfaen" w:hAnsi="Sylfaen"/>
          <w:b w:val="0"/>
          <w:sz w:val="24"/>
          <w:szCs w:val="24"/>
          <w:lang w:val="hy-AM"/>
        </w:rPr>
        <w:t xml:space="preserve">յալ արտադրական հարթակների համար՝ հաստատելու GMP-ին համապատասխանության դրանց կարգավիճակը՝ համաձայն տեսչական ստուգում նշանակելու չափանիշների, որոնք շարադրված են Եվրասիական տնտեսական միության կողմից հաստատվող՝ Բժշկական կիրառման դեղամիջոցների գրանցման </w:t>
      </w:r>
      <w:r w:rsidR="00C54D75">
        <w:rPr>
          <w:rFonts w:ascii="Sylfaen" w:hAnsi="Sylfaen"/>
          <w:b w:val="0"/>
          <w:sz w:val="24"/>
          <w:szCs w:val="24"/>
          <w:lang w:val="hy-AM"/>
        </w:rPr>
        <w:t>և</w:t>
      </w:r>
      <w:r w:rsidRPr="008C76E0">
        <w:rPr>
          <w:rFonts w:ascii="Sylfaen" w:hAnsi="Sylfaen"/>
          <w:b w:val="0"/>
          <w:sz w:val="24"/>
          <w:szCs w:val="24"/>
          <w:lang w:val="hy-AM"/>
        </w:rPr>
        <w:t xml:space="preserve"> փորձաքննության կանոններում։ Այս տեսչական ստուգումների արդյունքները պահանջվում են հայտի քննարկումն ավարտին հասցնելու համար </w:t>
      </w:r>
      <w:r w:rsidR="00C54D75">
        <w:rPr>
          <w:rFonts w:ascii="Sylfaen" w:hAnsi="Sylfaen"/>
          <w:b w:val="0"/>
          <w:sz w:val="24"/>
          <w:szCs w:val="24"/>
          <w:lang w:val="hy-AM"/>
        </w:rPr>
        <w:t>և</w:t>
      </w:r>
      <w:r w:rsidRPr="008C76E0">
        <w:rPr>
          <w:rFonts w:ascii="Sylfaen" w:hAnsi="Sylfaen"/>
          <w:b w:val="0"/>
          <w:sz w:val="24"/>
          <w:szCs w:val="24"/>
          <w:lang w:val="hy-AM"/>
        </w:rPr>
        <w:t xml:space="preserve"> անհրաժեշտ կլինեն 181-րդ օրը&gt;:</w:t>
      </w:r>
    </w:p>
    <w:p w14:paraId="05E0E984"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Եվրասիական տնտեսական հանձնաժողովի կողմից հաստատվող՝ Եվրասիական տնտեսական միության պատշաճ կլինիկական գործունեության (GCP) կանոնների պահանջներին համապատասխանության տեսչական ստուգում (տեսչական ստուգումներ):</w:t>
      </w:r>
    </w:p>
    <w:p w14:paraId="206B1292"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&lt;GCP-ի տեսչական ստուգման վերաբերյալ հարցումն արվել է հետ</w:t>
      </w:r>
      <w:r w:rsidR="00C54D75">
        <w:rPr>
          <w:rFonts w:ascii="Sylfaen" w:hAnsi="Sylfaen"/>
          <w:b w:val="0"/>
          <w:sz w:val="24"/>
          <w:szCs w:val="24"/>
          <w:lang w:val="hy-AM"/>
        </w:rPr>
        <w:t>և</w:t>
      </w:r>
      <w:r w:rsidRPr="008C76E0">
        <w:rPr>
          <w:rFonts w:ascii="Sylfaen" w:hAnsi="Sylfaen"/>
          <w:b w:val="0"/>
          <w:sz w:val="24"/>
          <w:szCs w:val="24"/>
          <w:lang w:val="hy-AM"/>
        </w:rPr>
        <w:t xml:space="preserve">յալ կլինիկական հետազոտությունների համար՝ &lt;նշել հետազոտությունների համարները&gt;՝ համաձայն տեսչական ստուգում նշանակելու չափանիշների, որոնք շարադրված են Եվրասիական տնտեսական միության կողմից հաստատվող՝ Բժշկական կիրառման դեղամիջոցների գրանցման </w:t>
      </w:r>
      <w:r w:rsidR="00C54D75">
        <w:rPr>
          <w:rFonts w:ascii="Sylfaen" w:hAnsi="Sylfaen"/>
          <w:b w:val="0"/>
          <w:sz w:val="24"/>
          <w:szCs w:val="24"/>
          <w:lang w:val="hy-AM"/>
        </w:rPr>
        <w:t>և</w:t>
      </w:r>
      <w:r w:rsidRPr="008C76E0">
        <w:rPr>
          <w:rFonts w:ascii="Sylfaen" w:hAnsi="Sylfaen"/>
          <w:b w:val="0"/>
          <w:sz w:val="24"/>
          <w:szCs w:val="24"/>
          <w:lang w:val="hy-AM"/>
        </w:rPr>
        <w:t xml:space="preserve"> փորձաքննության կանոններում։ Սույն տեսչական ստուգման արդյունքն ու դրա հիման վրա ստացված տվյալների վերաբերյալ դրական պատասխանները դիտողությունների ցանկի պատասխանների մի մասն են կազմում </w:t>
      </w:r>
      <w:r w:rsidR="00C54D75">
        <w:rPr>
          <w:rFonts w:ascii="Sylfaen" w:hAnsi="Sylfaen"/>
          <w:b w:val="0"/>
          <w:sz w:val="24"/>
          <w:szCs w:val="24"/>
          <w:lang w:val="hy-AM"/>
        </w:rPr>
        <w:t>և</w:t>
      </w:r>
      <w:r w:rsidRPr="008C76E0">
        <w:rPr>
          <w:rFonts w:ascii="Sylfaen" w:hAnsi="Sylfaen"/>
          <w:b w:val="0"/>
          <w:sz w:val="24"/>
          <w:szCs w:val="24"/>
          <w:lang w:val="hy-AM"/>
        </w:rPr>
        <w:t xml:space="preserve"> կներկայացվեն 121-րդ օրը&gt;:</w:t>
      </w:r>
    </w:p>
    <w:p w14:paraId="46B4258F"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lastRenderedPageBreak/>
        <w:t>&lt;Նոր ակտիվ նյութի կարգավիճակը&gt;</w:t>
      </w:r>
    </w:p>
    <w:p w14:paraId="0811B379"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Տվյալների ամփոփման հիման վրա՝ փորձագետները կարծում են, որ </w:t>
      </w:r>
      <w:r w:rsidRPr="007D546A">
        <w:rPr>
          <w:rStyle w:val="Bodytext295pt"/>
          <w:rFonts w:ascii="Sylfaen" w:eastAsiaTheme="minorHAnsi" w:hAnsi="Sylfaen"/>
          <w:b w:val="0"/>
          <w:spacing w:val="0"/>
          <w:sz w:val="24"/>
          <w:szCs w:val="24"/>
        </w:rPr>
        <w:t>&lt;նշել ակտիվ նյութի անվանումը&gt; ակտիվ նյութը,</w:t>
      </w:r>
      <w:r w:rsidRPr="00BD7577">
        <w:rPr>
          <w:rFonts w:ascii="Sylfaen" w:hAnsi="Sylfaen"/>
          <w:sz w:val="24"/>
          <w:szCs w:val="24"/>
        </w:rPr>
        <w:t xml:space="preserve"> որը պարունակվում է &lt;նշել դեղապատրաստուկի անվանումը&gt; դեղապատրաստուկի մեջ՝ </w:t>
      </w:r>
    </w:p>
    <w:p w14:paraId="2A1ED83D" w14:textId="77777777" w:rsidR="008C76E0" w:rsidRPr="008C76E0" w:rsidRDefault="008C76E0" w:rsidP="004B393A">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&lt;ենթակա է պահանջներին համապատասխանության ստուգման որպես նոր ակտիվ նյութ &lt;ինքնին&gt; &lt;&lt;նշել հաստատված իզոմերի (իզոմերների խառնուրդի, կոմպլեքսի, ածանցյալի, աղի) անվանումը&gt; հայտնի նյութի հետ համեմատությամբ, որն ավելի վաղ Միությունում գրացված է եղել որպես դեղապատրաստուկ, քանի որ այն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առումով իր հատկություններով էապես տարբերվում է ավելի վաղ գրանցված նյութից&gt;.</w:t>
      </w:r>
    </w:p>
    <w:p w14:paraId="7C5A673C"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&lt;կարող է որակավորվել որպես նոր ակտիվ նյութ &lt;ինքնին&gt; &lt;&lt;նշել հաստատված իզոմերի (իզոմերների խառնուրդի, կոմպլեքսի, ածանցյալի, աղի) անվանումը&gt; հայտնի նյութի հետ համեմատությամբ, որն ավելի վաղ Միությունում գրացված է եղել որպես դեղապատրաստուկ՝ պայմանով, որ դիտողությունների Ցանկում բերված դիտողություններին տրվել են բավարարող պատասխաններ&gt;.</w:t>
      </w:r>
    </w:p>
    <w:p w14:paraId="33376926" w14:textId="77777777" w:rsidR="008C76E0" w:rsidRPr="008C76E0" w:rsidRDefault="008C76E0" w:rsidP="004B393A">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xml:space="preserve">&lt;չի որակավորվում որպես նոր ակտիվ նյութ &lt;ինքնին&gt; &lt;&lt;նշել հաստատված իզոմերի (իզոմերների խառնուրդի, կոմպլեքսի, ածանցյալի, աղի) անվանումը&gt; հայտնի նյութի հետ համեմատությամբ, որն ավելի վաղ Միությունում գրացված է եղել որպես դեղապատրաստուկ, քանի որ այն անվտանգության </w:t>
      </w:r>
      <w:r w:rsidR="00C54D75">
        <w:rPr>
          <w:rFonts w:ascii="Sylfaen" w:hAnsi="Sylfaen"/>
          <w:b w:val="0"/>
          <w:sz w:val="24"/>
          <w:szCs w:val="24"/>
          <w:lang w:val="hy-AM"/>
        </w:rPr>
        <w:t>և</w:t>
      </w:r>
      <w:r w:rsidRPr="008C76E0">
        <w:rPr>
          <w:rFonts w:ascii="Sylfaen" w:hAnsi="Sylfaen"/>
          <w:b w:val="0"/>
          <w:sz w:val="24"/>
          <w:szCs w:val="24"/>
          <w:lang w:val="hy-AM"/>
        </w:rPr>
        <w:t xml:space="preserve"> արդյունավետության առումով իր հատկություններով էապես չի տարբերվում ավելի վաղ գրանցված նյութից&gt;:</w:t>
      </w:r>
    </w:p>
    <w:p w14:paraId="6FC9B67C" w14:textId="77777777" w:rsidR="008C76E0" w:rsidRPr="00BD7577" w:rsidRDefault="008C76E0" w:rsidP="004B393A">
      <w:pPr>
        <w:spacing w:after="160" w:line="360" w:lineRule="auto"/>
        <w:ind w:right="-1" w:firstLine="567"/>
        <w:jc w:val="both"/>
        <w:rPr>
          <w:rFonts w:ascii="Sylfaen" w:eastAsia="Times New Roman" w:hAnsi="Sylfaen" w:cs="Times New Roman"/>
          <w:bCs/>
          <w:i/>
          <w:iCs/>
          <w:sz w:val="24"/>
          <w:szCs w:val="24"/>
        </w:rPr>
      </w:pPr>
    </w:p>
    <w:p w14:paraId="286AB187" w14:textId="77777777" w:rsidR="008C76E0" w:rsidRPr="008C76E0" w:rsidRDefault="008C76E0" w:rsidP="004B393A">
      <w:pPr>
        <w:pStyle w:val="Bodytext70"/>
        <w:shd w:val="clear" w:color="auto" w:fill="auto"/>
        <w:spacing w:before="0" w:after="160" w:line="360" w:lineRule="auto"/>
        <w:ind w:right="-1" w:firstLine="567"/>
        <w:jc w:val="center"/>
        <w:rPr>
          <w:rFonts w:ascii="Sylfaen" w:hAnsi="Sylfaen" w:cs="TimesNewRomanPSMT"/>
          <w:b w:val="0"/>
          <w:i w:val="0"/>
          <w:sz w:val="24"/>
          <w:szCs w:val="24"/>
          <w:lang w:val="hy-AM"/>
        </w:rPr>
      </w:pPr>
      <w:r w:rsidRPr="008C76E0">
        <w:rPr>
          <w:rFonts w:ascii="Sylfaen" w:hAnsi="Sylfaen"/>
          <w:b w:val="0"/>
          <w:i w:val="0"/>
          <w:sz w:val="24"/>
          <w:szCs w:val="24"/>
          <w:lang w:val="hy-AM"/>
        </w:rPr>
        <w:t>II. Ամփոփիչ ռեզյումե</w:t>
      </w:r>
    </w:p>
    <w:p w14:paraId="202952E6" w14:textId="77777777" w:rsidR="008C76E0" w:rsidRPr="008C76E0" w:rsidRDefault="008C76E0" w:rsidP="004B393A">
      <w:pPr>
        <w:pStyle w:val="Bodytext70"/>
        <w:shd w:val="clear" w:color="auto" w:fill="auto"/>
        <w:tabs>
          <w:tab w:val="left" w:pos="1134"/>
        </w:tabs>
        <w:spacing w:before="0" w:after="160" w:line="360" w:lineRule="auto"/>
        <w:ind w:right="-1" w:firstLine="567"/>
        <w:rPr>
          <w:rFonts w:ascii="Sylfaen" w:hAnsi="Sylfaen"/>
          <w:b w:val="0"/>
          <w:i w:val="0"/>
          <w:sz w:val="24"/>
          <w:szCs w:val="24"/>
          <w:lang w:val="hy-AM"/>
        </w:rPr>
      </w:pPr>
      <w:r w:rsidRPr="008C76E0">
        <w:rPr>
          <w:rFonts w:ascii="Sylfaen" w:hAnsi="Sylfaen"/>
          <w:b w:val="0"/>
          <w:i w:val="0"/>
          <w:sz w:val="24"/>
          <w:szCs w:val="24"/>
          <w:lang w:val="hy-AM"/>
        </w:rPr>
        <w:t>1.</w:t>
      </w:r>
      <w:r w:rsidRPr="008C76E0">
        <w:rPr>
          <w:rFonts w:ascii="Sylfaen" w:hAnsi="Sylfaen"/>
          <w:b w:val="0"/>
          <w:i w:val="0"/>
          <w:sz w:val="24"/>
          <w:szCs w:val="24"/>
          <w:lang w:val="hy-AM"/>
        </w:rPr>
        <w:tab/>
        <w:t>Ներածություն:</w:t>
      </w:r>
    </w:p>
    <w:p w14:paraId="6C5E06A3"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Դեղապատարստուկի հակիրճ նկարագրությունը:</w:t>
      </w:r>
    </w:p>
    <w:p w14:paraId="6E31872F"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w:t>
      </w:r>
      <w:r w:rsidRPr="00BD7577">
        <w:rPr>
          <w:rFonts w:ascii="Sylfaen" w:hAnsi="Sylfaen"/>
          <w:sz w:val="24"/>
          <w:szCs w:val="24"/>
        </w:rPr>
        <w:tab/>
        <w:t xml:space="preserve">Դեղապատրաստուկի մշակման ծրագրի գնահատումը, </w:t>
      </w:r>
      <w:r w:rsidRPr="00BD7577">
        <w:rPr>
          <w:rFonts w:ascii="Sylfaen" w:hAnsi="Sylfaen"/>
          <w:sz w:val="24"/>
          <w:szCs w:val="24"/>
        </w:rPr>
        <w:lastRenderedPageBreak/>
        <w:t>դեղապատրաստուկների մշակման վերաբերյալ ձեռնարկներին համապատասխանությունը, գիտական խորհրդատվության առկայությունը:</w:t>
      </w:r>
    </w:p>
    <w:p w14:paraId="7D1C0C88"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4.</w:t>
      </w:r>
      <w:r w:rsidRPr="00BD7577">
        <w:rPr>
          <w:rFonts w:ascii="Sylfaen" w:hAnsi="Sylfaen"/>
          <w:sz w:val="24"/>
          <w:szCs w:val="24"/>
        </w:rPr>
        <w:tab/>
        <w:t>Ընդհանուր մեկնաբանություններ՝ GMP-ի, GLP-ի, GCP-ի սկզբունքերի պահպանման վերաբերյալ:</w:t>
      </w:r>
    </w:p>
    <w:p w14:paraId="3819C45A"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5.</w:t>
      </w:r>
      <w:r w:rsidRPr="00BD7577">
        <w:rPr>
          <w:rFonts w:ascii="Sylfaen" w:hAnsi="Sylfaen"/>
          <w:sz w:val="24"/>
          <w:szCs w:val="24"/>
        </w:rPr>
        <w:tab/>
        <w:t xml:space="preserve">Հայտի տիպը </w:t>
      </w:r>
      <w:r w:rsidR="00C54D75">
        <w:rPr>
          <w:rFonts w:ascii="Sylfaen" w:hAnsi="Sylfaen"/>
          <w:sz w:val="24"/>
          <w:szCs w:val="24"/>
        </w:rPr>
        <w:t>և</w:t>
      </w:r>
      <w:r w:rsidRPr="00BD7577">
        <w:rPr>
          <w:rFonts w:ascii="Sylfaen" w:hAnsi="Sylfaen"/>
          <w:sz w:val="24"/>
          <w:szCs w:val="24"/>
        </w:rPr>
        <w:t xml:space="preserve"> այլ մեկնաբանություններ՝ քննարկման ներկայացված դոսյեի վերաբերյալ՝</w:t>
      </w:r>
    </w:p>
    <w:p w14:paraId="4F8E8FC7"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գրանցման նորմատիվ իրավական ընթացակարգի տեսակը. գրանցման ընթացակարգի համար հատուկ հիմքերի կիրառման հնարավորությունը.</w:t>
      </w:r>
    </w:p>
    <w:p w14:paraId="2B2EB264"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կենսանմանակ հասկացության կիրառումը.</w:t>
      </w:r>
    </w:p>
    <w:p w14:paraId="397E6BCA"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մանկաբուժական հետազոտությունների նշանակությունը:</w:t>
      </w:r>
    </w:p>
    <w:p w14:paraId="41F9E678" w14:textId="77777777" w:rsidR="008C76E0" w:rsidRPr="00BD7577" w:rsidRDefault="008C76E0" w:rsidP="004B393A">
      <w:pPr>
        <w:tabs>
          <w:tab w:val="left" w:pos="1418"/>
        </w:tabs>
        <w:spacing w:after="160" w:line="360" w:lineRule="auto"/>
        <w:ind w:firstLine="567"/>
        <w:jc w:val="both"/>
        <w:rPr>
          <w:rFonts w:ascii="Sylfaen" w:hAnsi="Sylfaen"/>
          <w:sz w:val="24"/>
          <w:szCs w:val="24"/>
        </w:rPr>
      </w:pPr>
    </w:p>
    <w:p w14:paraId="2B0B6B60" w14:textId="77777777" w:rsidR="008C76E0" w:rsidRPr="00DF60A0" w:rsidRDefault="008C76E0" w:rsidP="004B393A">
      <w:pPr>
        <w:tabs>
          <w:tab w:val="left" w:pos="1418"/>
        </w:tabs>
        <w:spacing w:after="160" w:line="360" w:lineRule="auto"/>
        <w:ind w:right="-1" w:firstLine="567"/>
        <w:jc w:val="center"/>
        <w:rPr>
          <w:rFonts w:ascii="Sylfaen" w:hAnsi="Sylfaen"/>
          <w:sz w:val="24"/>
          <w:szCs w:val="24"/>
        </w:rPr>
      </w:pPr>
      <w:r w:rsidRPr="00DF60A0">
        <w:rPr>
          <w:rFonts w:ascii="Sylfaen" w:hAnsi="Sylfaen"/>
          <w:sz w:val="24"/>
          <w:szCs w:val="24"/>
        </w:rPr>
        <w:t xml:space="preserve">III. Գիտական ակնարկ </w:t>
      </w:r>
      <w:r w:rsidR="00C54D75">
        <w:rPr>
          <w:rFonts w:ascii="Sylfaen" w:hAnsi="Sylfaen"/>
          <w:sz w:val="24"/>
          <w:szCs w:val="24"/>
        </w:rPr>
        <w:t>և</w:t>
      </w:r>
      <w:r w:rsidRPr="00DF60A0">
        <w:rPr>
          <w:rFonts w:ascii="Sylfaen" w:hAnsi="Sylfaen"/>
          <w:sz w:val="24"/>
          <w:szCs w:val="24"/>
        </w:rPr>
        <w:t xml:space="preserve"> քննարկում</w:t>
      </w:r>
    </w:p>
    <w:p w14:paraId="70231D49" w14:textId="77777777" w:rsidR="008C76E0" w:rsidRPr="00DF60A0" w:rsidRDefault="008C76E0" w:rsidP="004B393A">
      <w:pPr>
        <w:tabs>
          <w:tab w:val="left" w:pos="1418"/>
        </w:tabs>
        <w:spacing w:after="160" w:line="360" w:lineRule="auto"/>
        <w:ind w:right="-1" w:firstLine="567"/>
        <w:jc w:val="both"/>
        <w:rPr>
          <w:rFonts w:ascii="Sylfaen" w:hAnsi="Sylfaen"/>
          <w:sz w:val="24"/>
          <w:szCs w:val="24"/>
        </w:rPr>
      </w:pPr>
      <w:r w:rsidRPr="00DF60A0">
        <w:rPr>
          <w:rFonts w:ascii="Sylfaen" w:hAnsi="Sylfaen"/>
          <w:sz w:val="24"/>
          <w:szCs w:val="24"/>
        </w:rPr>
        <w:t>1.1.</w:t>
      </w:r>
      <w:r w:rsidRPr="00DF60A0">
        <w:rPr>
          <w:rFonts w:ascii="Sylfaen" w:hAnsi="Sylfaen"/>
          <w:sz w:val="24"/>
          <w:szCs w:val="24"/>
        </w:rPr>
        <w:tab/>
        <w:t>Ներածություն:</w:t>
      </w:r>
    </w:p>
    <w:p w14:paraId="0E276A71" w14:textId="77777777" w:rsidR="008C76E0" w:rsidRPr="00DF60A0" w:rsidRDefault="008C76E0" w:rsidP="004B393A">
      <w:pPr>
        <w:tabs>
          <w:tab w:val="left" w:pos="1418"/>
        </w:tabs>
        <w:spacing w:after="160" w:line="360" w:lineRule="auto"/>
        <w:ind w:right="-1" w:firstLine="567"/>
        <w:jc w:val="both"/>
        <w:rPr>
          <w:rFonts w:ascii="Sylfaen" w:hAnsi="Sylfaen"/>
          <w:sz w:val="24"/>
          <w:szCs w:val="24"/>
        </w:rPr>
      </w:pPr>
      <w:r w:rsidRPr="00DF60A0">
        <w:rPr>
          <w:rFonts w:ascii="Sylfaen" w:hAnsi="Sylfaen"/>
          <w:sz w:val="24"/>
          <w:szCs w:val="24"/>
        </w:rPr>
        <w:t>1.2.</w:t>
      </w:r>
      <w:r w:rsidRPr="00DF60A0">
        <w:rPr>
          <w:rFonts w:ascii="Sylfaen" w:hAnsi="Sylfaen"/>
          <w:sz w:val="24"/>
          <w:szCs w:val="24"/>
        </w:rPr>
        <w:tab/>
        <w:t>Որակի ասպեկտները:</w:t>
      </w:r>
    </w:p>
    <w:p w14:paraId="192B1A57" w14:textId="77777777" w:rsidR="008C76E0" w:rsidRPr="00DF60A0" w:rsidRDefault="008C76E0" w:rsidP="004B393A">
      <w:pPr>
        <w:tabs>
          <w:tab w:val="left" w:pos="1418"/>
        </w:tabs>
        <w:spacing w:after="160" w:line="360" w:lineRule="auto"/>
        <w:ind w:right="-1" w:firstLine="567"/>
        <w:jc w:val="both"/>
        <w:rPr>
          <w:rFonts w:ascii="Sylfaen" w:hAnsi="Sylfaen"/>
          <w:sz w:val="24"/>
          <w:szCs w:val="24"/>
        </w:rPr>
      </w:pPr>
      <w:r w:rsidRPr="00DF60A0">
        <w:rPr>
          <w:rFonts w:ascii="Sylfaen" w:hAnsi="Sylfaen"/>
          <w:sz w:val="24"/>
          <w:szCs w:val="24"/>
        </w:rPr>
        <w:t>1.3.</w:t>
      </w:r>
      <w:r w:rsidRPr="00DF60A0">
        <w:rPr>
          <w:rFonts w:ascii="Sylfaen" w:hAnsi="Sylfaen"/>
          <w:sz w:val="24"/>
          <w:szCs w:val="24"/>
        </w:rPr>
        <w:tab/>
        <w:t>Որակի վերաբերյալ ընդհանուր հարցերը:</w:t>
      </w:r>
    </w:p>
    <w:p w14:paraId="259E324E" w14:textId="77777777" w:rsidR="008C76E0" w:rsidRPr="00DF60A0" w:rsidRDefault="008C76E0" w:rsidP="004B393A">
      <w:pPr>
        <w:tabs>
          <w:tab w:val="left" w:pos="1418"/>
        </w:tabs>
        <w:spacing w:after="160" w:line="360" w:lineRule="auto"/>
        <w:ind w:right="-1" w:firstLine="567"/>
        <w:jc w:val="both"/>
        <w:rPr>
          <w:rFonts w:ascii="Sylfaen" w:hAnsi="Sylfaen"/>
          <w:sz w:val="24"/>
          <w:szCs w:val="24"/>
        </w:rPr>
      </w:pPr>
      <w:r w:rsidRPr="00DF60A0">
        <w:rPr>
          <w:rFonts w:ascii="Sylfaen" w:hAnsi="Sylfaen"/>
          <w:sz w:val="24"/>
          <w:szCs w:val="24"/>
        </w:rPr>
        <w:t>1.4.</w:t>
      </w:r>
      <w:r w:rsidRPr="00DF60A0">
        <w:rPr>
          <w:rFonts w:ascii="Sylfaen" w:hAnsi="Sylfaen"/>
          <w:sz w:val="24"/>
          <w:szCs w:val="24"/>
        </w:rPr>
        <w:tab/>
        <w:t>Ակտիվ դեղագործական բաղադրամասը (ԱԴԲ-ն):</w:t>
      </w:r>
    </w:p>
    <w:p w14:paraId="40FCA4BD" w14:textId="77777777" w:rsidR="008C76E0" w:rsidRPr="00DF60A0" w:rsidRDefault="008C76E0" w:rsidP="004B393A">
      <w:pPr>
        <w:tabs>
          <w:tab w:val="left" w:pos="1418"/>
          <w:tab w:val="left" w:pos="1701"/>
        </w:tabs>
        <w:spacing w:after="160" w:line="360" w:lineRule="auto"/>
        <w:ind w:right="-1" w:firstLine="567"/>
        <w:jc w:val="both"/>
        <w:rPr>
          <w:rFonts w:ascii="Sylfaen" w:hAnsi="Sylfaen"/>
          <w:sz w:val="24"/>
          <w:szCs w:val="24"/>
        </w:rPr>
      </w:pPr>
      <w:r w:rsidRPr="00DF60A0">
        <w:rPr>
          <w:rFonts w:ascii="Sylfaen" w:hAnsi="Sylfaen"/>
          <w:sz w:val="24"/>
          <w:szCs w:val="24"/>
        </w:rPr>
        <w:t>1.4.1.</w:t>
      </w:r>
      <w:r w:rsidRPr="00DF60A0">
        <w:rPr>
          <w:rFonts w:ascii="Sylfaen" w:hAnsi="Sylfaen"/>
          <w:sz w:val="24"/>
          <w:szCs w:val="24"/>
        </w:rPr>
        <w:tab/>
        <w:t>Ընդհանուր տեղեկատվություն:</w:t>
      </w:r>
    </w:p>
    <w:p w14:paraId="3748CEA9" w14:textId="77777777" w:rsidR="008C76E0" w:rsidRPr="00BD7577" w:rsidRDefault="008C76E0" w:rsidP="004B393A">
      <w:pPr>
        <w:tabs>
          <w:tab w:val="left" w:pos="1418"/>
          <w:tab w:val="left" w:pos="1701"/>
        </w:tabs>
        <w:spacing w:after="160" w:line="360" w:lineRule="auto"/>
        <w:ind w:right="-1" w:firstLine="567"/>
        <w:jc w:val="both"/>
        <w:rPr>
          <w:rFonts w:ascii="Sylfaen" w:hAnsi="Sylfaen"/>
          <w:sz w:val="24"/>
          <w:szCs w:val="24"/>
        </w:rPr>
      </w:pPr>
      <w:r w:rsidRPr="00DF60A0">
        <w:rPr>
          <w:rFonts w:ascii="Sylfaen" w:hAnsi="Sylfaen"/>
          <w:sz w:val="24"/>
          <w:szCs w:val="24"/>
        </w:rPr>
        <w:t>1.4.2.</w:t>
      </w:r>
      <w:r w:rsidRPr="00DF60A0">
        <w:rPr>
          <w:rFonts w:ascii="Sylfaen" w:hAnsi="Sylfaen"/>
          <w:sz w:val="24"/>
          <w:szCs w:val="24"/>
        </w:rPr>
        <w:tab/>
        <w:t>Արտադրությունը, հատկությունների</w:t>
      </w:r>
      <w:r w:rsidRPr="00BD7577">
        <w:rPr>
          <w:rFonts w:ascii="Sylfaen" w:hAnsi="Sylfaen"/>
          <w:sz w:val="24"/>
          <w:szCs w:val="24"/>
        </w:rPr>
        <w:t xml:space="preserve"> նկարագրությունն ու հսկողության գործընթացը:</w:t>
      </w:r>
    </w:p>
    <w:p w14:paraId="7F2D07BA" w14:textId="77777777" w:rsidR="008C76E0" w:rsidRPr="00BD7577" w:rsidRDefault="008C76E0" w:rsidP="004B393A">
      <w:pPr>
        <w:tabs>
          <w:tab w:val="left" w:pos="1418"/>
          <w:tab w:val="left" w:pos="1701"/>
        </w:tabs>
        <w:spacing w:after="160" w:line="360" w:lineRule="auto"/>
        <w:ind w:right="-1" w:firstLine="567"/>
        <w:jc w:val="both"/>
        <w:rPr>
          <w:rFonts w:ascii="Sylfaen" w:hAnsi="Sylfaen"/>
          <w:sz w:val="24"/>
          <w:szCs w:val="24"/>
        </w:rPr>
      </w:pPr>
      <w:r w:rsidRPr="00BD7577">
        <w:rPr>
          <w:rFonts w:ascii="Sylfaen" w:hAnsi="Sylfaen"/>
          <w:sz w:val="24"/>
          <w:szCs w:val="24"/>
        </w:rPr>
        <w:t>1.4.3.</w:t>
      </w:r>
      <w:r w:rsidRPr="00BD7577">
        <w:rPr>
          <w:rFonts w:ascii="Sylfaen" w:hAnsi="Sylfaen"/>
          <w:sz w:val="24"/>
          <w:szCs w:val="24"/>
        </w:rPr>
        <w:tab/>
        <w:t>Մասնագիրը։</w:t>
      </w:r>
    </w:p>
    <w:p w14:paraId="7D8E5EB5" w14:textId="77777777" w:rsidR="008C76E0" w:rsidRPr="00BD7577" w:rsidRDefault="008C76E0" w:rsidP="004B393A">
      <w:pPr>
        <w:tabs>
          <w:tab w:val="left" w:pos="1418"/>
          <w:tab w:val="left" w:pos="1701"/>
        </w:tabs>
        <w:spacing w:after="160" w:line="360" w:lineRule="auto"/>
        <w:ind w:right="-1" w:firstLine="567"/>
        <w:jc w:val="both"/>
        <w:rPr>
          <w:rFonts w:ascii="Sylfaen" w:hAnsi="Sylfaen"/>
          <w:sz w:val="24"/>
          <w:szCs w:val="24"/>
        </w:rPr>
      </w:pPr>
      <w:r w:rsidRPr="00BD7577">
        <w:rPr>
          <w:rFonts w:ascii="Sylfaen" w:hAnsi="Sylfaen"/>
          <w:sz w:val="24"/>
          <w:szCs w:val="24"/>
        </w:rPr>
        <w:t xml:space="preserve">1.4.4. </w:t>
      </w:r>
      <w:r w:rsidRPr="00BD7577">
        <w:rPr>
          <w:rFonts w:ascii="Sylfaen" w:hAnsi="Sylfaen"/>
          <w:sz w:val="24"/>
          <w:szCs w:val="24"/>
        </w:rPr>
        <w:tab/>
        <w:t>Կայունությունը։</w:t>
      </w:r>
    </w:p>
    <w:p w14:paraId="59D43492" w14:textId="77777777" w:rsidR="008C76E0" w:rsidRPr="00BD7577" w:rsidRDefault="008C76E0" w:rsidP="004B393A">
      <w:pPr>
        <w:tabs>
          <w:tab w:val="left" w:pos="1418"/>
          <w:tab w:val="left" w:pos="1701"/>
        </w:tabs>
        <w:spacing w:after="160" w:line="360" w:lineRule="auto"/>
        <w:ind w:right="-1" w:firstLine="567"/>
        <w:jc w:val="both"/>
        <w:rPr>
          <w:rFonts w:ascii="Sylfaen" w:hAnsi="Sylfaen"/>
          <w:sz w:val="24"/>
          <w:szCs w:val="24"/>
        </w:rPr>
      </w:pPr>
      <w:r w:rsidRPr="00BD7577">
        <w:rPr>
          <w:rFonts w:ascii="Sylfaen" w:hAnsi="Sylfaen"/>
          <w:sz w:val="24"/>
          <w:szCs w:val="24"/>
        </w:rPr>
        <w:t>1.4.5.</w:t>
      </w:r>
      <w:r w:rsidRPr="00BD7577">
        <w:rPr>
          <w:rFonts w:ascii="Sylfaen" w:hAnsi="Sylfaen"/>
          <w:sz w:val="24"/>
          <w:szCs w:val="24"/>
        </w:rPr>
        <w:tab/>
        <w:t xml:space="preserve">Համադրելիության հետազոտությունները՝ ԱԴԲ-ի համար: </w:t>
      </w:r>
    </w:p>
    <w:p w14:paraId="3CF1B7C1"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w:t>
      </w:r>
      <w:r w:rsidRPr="00BD7577">
        <w:rPr>
          <w:rFonts w:ascii="Sylfaen" w:hAnsi="Sylfaen"/>
          <w:sz w:val="24"/>
          <w:szCs w:val="24"/>
        </w:rPr>
        <w:tab/>
        <w:t>Դեղապատրաստուկը:</w:t>
      </w:r>
    </w:p>
    <w:p w14:paraId="2023447A"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lastRenderedPageBreak/>
        <w:t>1.5.1.</w:t>
      </w:r>
      <w:r w:rsidRPr="00BD7577">
        <w:rPr>
          <w:rFonts w:ascii="Sylfaen" w:hAnsi="Sylfaen"/>
          <w:sz w:val="24"/>
          <w:szCs w:val="24"/>
        </w:rPr>
        <w:tab/>
        <w:t xml:space="preserve">Դեղապատրաստուկի նկարագրությունը </w:t>
      </w:r>
      <w:r w:rsidR="00C54D75">
        <w:rPr>
          <w:rFonts w:ascii="Sylfaen" w:hAnsi="Sylfaen"/>
          <w:sz w:val="24"/>
          <w:szCs w:val="24"/>
        </w:rPr>
        <w:t>և</w:t>
      </w:r>
      <w:r w:rsidRPr="00BD7577">
        <w:rPr>
          <w:rFonts w:ascii="Sylfaen" w:hAnsi="Sylfaen"/>
          <w:sz w:val="24"/>
          <w:szCs w:val="24"/>
        </w:rPr>
        <w:t xml:space="preserve"> դեղագործական մշակումը:</w:t>
      </w:r>
    </w:p>
    <w:p w14:paraId="0406BC3D"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1.5.2.</w:t>
      </w:r>
      <w:r w:rsidRPr="00BD7577">
        <w:rPr>
          <w:rFonts w:ascii="Sylfaen" w:hAnsi="Sylfaen"/>
          <w:sz w:val="24"/>
          <w:szCs w:val="24"/>
        </w:rPr>
        <w:tab/>
        <w:t>Դեղապատրաստուկի արտադրությունն ու հսկողության գործընթացը:</w:t>
      </w:r>
    </w:p>
    <w:p w14:paraId="11702151"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1.5.3.</w:t>
      </w:r>
      <w:r w:rsidRPr="00BD7577">
        <w:rPr>
          <w:rFonts w:ascii="Sylfaen" w:hAnsi="Sylfaen"/>
          <w:sz w:val="24"/>
          <w:szCs w:val="24"/>
        </w:rPr>
        <w:tab/>
        <w:t>Դեղապատրաստուկի մասնագիրը:</w:t>
      </w:r>
    </w:p>
    <w:p w14:paraId="15BAD9E6"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1.5.4.</w:t>
      </w:r>
      <w:r w:rsidRPr="00BD7577">
        <w:rPr>
          <w:rFonts w:ascii="Sylfaen" w:hAnsi="Sylfaen"/>
          <w:sz w:val="24"/>
          <w:szCs w:val="24"/>
        </w:rPr>
        <w:tab/>
        <w:t xml:space="preserve">Դեղապատրաստուկի պիտանիության ժամկետի </w:t>
      </w:r>
      <w:r w:rsidR="00C54D75">
        <w:rPr>
          <w:rFonts w:ascii="Sylfaen" w:hAnsi="Sylfaen"/>
          <w:sz w:val="24"/>
          <w:szCs w:val="24"/>
        </w:rPr>
        <w:t>և</w:t>
      </w:r>
      <w:r w:rsidRPr="00BD7577">
        <w:rPr>
          <w:rFonts w:ascii="Sylfaen" w:hAnsi="Sylfaen"/>
          <w:sz w:val="24"/>
          <w:szCs w:val="24"/>
        </w:rPr>
        <w:t xml:space="preserve"> պահպանման պայմանների հաստատումը՝ կայունության վերաբերյալ հետազոտությունների տվյալներով:</w:t>
      </w:r>
    </w:p>
    <w:p w14:paraId="3C460C3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1.5.5.</w:t>
      </w:r>
      <w:r w:rsidRPr="00BD7577">
        <w:rPr>
          <w:rFonts w:ascii="Sylfaen" w:hAnsi="Sylfaen"/>
          <w:sz w:val="24"/>
          <w:szCs w:val="24"/>
        </w:rPr>
        <w:tab/>
        <w:t xml:space="preserve">Համադրելիության հետազոտությունները՝ դեղապատրաստուկի համար: </w:t>
      </w:r>
    </w:p>
    <w:p w14:paraId="66508F7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1.5.6.</w:t>
      </w:r>
      <w:r w:rsidRPr="00BD7577">
        <w:rPr>
          <w:rFonts w:ascii="Sylfaen" w:hAnsi="Sylfaen"/>
          <w:sz w:val="24"/>
          <w:szCs w:val="24"/>
        </w:rPr>
        <w:tab/>
        <w:t>Ներմուծված վարակիչ ագենտները:</w:t>
      </w:r>
    </w:p>
    <w:p w14:paraId="3B9DE755"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1.5.7.</w:t>
      </w:r>
      <w:r w:rsidRPr="00BD7577">
        <w:rPr>
          <w:rFonts w:ascii="Sylfaen" w:hAnsi="Sylfaen"/>
          <w:sz w:val="24"/>
          <w:szCs w:val="24"/>
        </w:rPr>
        <w:tab/>
        <w:t>ԳՄՕ:</w:t>
      </w:r>
    </w:p>
    <w:p w14:paraId="33C08CC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1.6.</w:t>
      </w:r>
      <w:r w:rsidRPr="00BD7577">
        <w:rPr>
          <w:rFonts w:ascii="Sylfaen" w:hAnsi="Sylfaen"/>
          <w:sz w:val="24"/>
          <w:szCs w:val="24"/>
        </w:rPr>
        <w:tab/>
        <w:t xml:space="preserve">Քիմիական, դեղագործական </w:t>
      </w:r>
      <w:r w:rsidR="00C54D75">
        <w:rPr>
          <w:rFonts w:ascii="Sylfaen" w:hAnsi="Sylfaen"/>
          <w:sz w:val="24"/>
          <w:szCs w:val="24"/>
        </w:rPr>
        <w:t>և</w:t>
      </w:r>
      <w:r w:rsidRPr="00BD7577">
        <w:rPr>
          <w:rFonts w:ascii="Sylfaen" w:hAnsi="Sylfaen"/>
          <w:sz w:val="24"/>
          <w:szCs w:val="24"/>
        </w:rPr>
        <w:t xml:space="preserve"> կենսաբանական ասպեկտների քննարկումը:</w:t>
      </w:r>
    </w:p>
    <w:p w14:paraId="7CE6AE5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1.7.</w:t>
      </w:r>
      <w:r w:rsidRPr="00BD7577">
        <w:rPr>
          <w:rFonts w:ascii="Sylfaen" w:hAnsi="Sylfaen"/>
          <w:sz w:val="24"/>
          <w:szCs w:val="24"/>
        </w:rPr>
        <w:tab/>
        <w:t xml:space="preserve">Քիմիական, դեղագործական </w:t>
      </w:r>
      <w:r w:rsidR="00C54D75">
        <w:rPr>
          <w:rFonts w:ascii="Sylfaen" w:hAnsi="Sylfaen"/>
          <w:sz w:val="24"/>
          <w:szCs w:val="24"/>
        </w:rPr>
        <w:t>և</w:t>
      </w:r>
      <w:r w:rsidRPr="00BD7577">
        <w:rPr>
          <w:rFonts w:ascii="Sylfaen" w:hAnsi="Sylfaen"/>
          <w:sz w:val="24"/>
          <w:szCs w:val="24"/>
        </w:rPr>
        <w:t xml:space="preserve"> կենսաբանական ասպեկտների վերաբերյալ եզրակացությունը:</w:t>
      </w:r>
    </w:p>
    <w:p w14:paraId="38BC7629"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1.8.</w:t>
      </w:r>
      <w:r w:rsidRPr="00BD7577">
        <w:rPr>
          <w:rFonts w:ascii="Sylfaen" w:hAnsi="Sylfaen"/>
          <w:sz w:val="24"/>
          <w:szCs w:val="24"/>
        </w:rPr>
        <w:tab/>
        <w:t>Նախակլինիկական ասպեկտները:</w:t>
      </w:r>
    </w:p>
    <w:p w14:paraId="310DE248"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1.9.</w:t>
      </w:r>
      <w:r w:rsidRPr="00BD7577">
        <w:rPr>
          <w:rFonts w:ascii="Sylfaen" w:hAnsi="Sylfaen"/>
          <w:sz w:val="24"/>
          <w:szCs w:val="24"/>
        </w:rPr>
        <w:tab/>
        <w:t>Դեղաբանություն:</w:t>
      </w:r>
    </w:p>
    <w:p w14:paraId="7CAEA065"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1.10.</w:t>
      </w:r>
      <w:r w:rsidRPr="00BD7577">
        <w:rPr>
          <w:rFonts w:ascii="Sylfaen" w:hAnsi="Sylfaen"/>
          <w:sz w:val="24"/>
          <w:szCs w:val="24"/>
        </w:rPr>
        <w:tab/>
        <w:t>Դեղակինետիկա:</w:t>
      </w:r>
    </w:p>
    <w:p w14:paraId="524C4464"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1.11.</w:t>
      </w:r>
      <w:r w:rsidRPr="00BD7577">
        <w:rPr>
          <w:rFonts w:ascii="Sylfaen" w:hAnsi="Sylfaen"/>
          <w:sz w:val="24"/>
          <w:szCs w:val="24"/>
        </w:rPr>
        <w:tab/>
        <w:t>Թունաբանություն:</w:t>
      </w:r>
    </w:p>
    <w:p w14:paraId="52E89A5A"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1.12.</w:t>
      </w:r>
      <w:r w:rsidRPr="00BD7577">
        <w:rPr>
          <w:rFonts w:ascii="Sylfaen" w:hAnsi="Sylfaen"/>
          <w:sz w:val="24"/>
          <w:szCs w:val="24"/>
        </w:rPr>
        <w:tab/>
        <w:t>Նախակլինիկական ասպեկտների շուրջ քննարկումը:</w:t>
      </w:r>
    </w:p>
    <w:p w14:paraId="4076495C"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1.13.</w:t>
      </w:r>
      <w:r w:rsidRPr="00BD7577">
        <w:rPr>
          <w:rFonts w:ascii="Sylfaen" w:hAnsi="Sylfaen"/>
          <w:sz w:val="24"/>
          <w:szCs w:val="24"/>
        </w:rPr>
        <w:tab/>
        <w:t>Նախակլինիկական ասպեկտների մասով եզրակացությունը:</w:t>
      </w:r>
    </w:p>
    <w:p w14:paraId="14E92006"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1.14.</w:t>
      </w:r>
      <w:r w:rsidRPr="00BD7577">
        <w:rPr>
          <w:rFonts w:ascii="Sylfaen" w:hAnsi="Sylfaen"/>
          <w:sz w:val="24"/>
          <w:szCs w:val="24"/>
        </w:rPr>
        <w:tab/>
        <w:t>Կլինիկական ասպեկտները:</w:t>
      </w:r>
    </w:p>
    <w:p w14:paraId="4E7E323D"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Կլինիկական հետազոտությունների ամփոփումը՝ աղյուսակի տեսքով:</w:t>
      </w:r>
    </w:p>
    <w:p w14:paraId="5A5A2081"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lastRenderedPageBreak/>
        <w:t>1.15.</w:t>
      </w:r>
      <w:r w:rsidRPr="00BD7577">
        <w:rPr>
          <w:rFonts w:ascii="Sylfaen" w:hAnsi="Sylfaen"/>
          <w:sz w:val="24"/>
          <w:szCs w:val="24"/>
        </w:rPr>
        <w:tab/>
        <w:t>Դեղակինետիկա:</w:t>
      </w:r>
    </w:p>
    <w:p w14:paraId="4E9DE69B"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1.16.</w:t>
      </w:r>
      <w:r w:rsidRPr="00BD7577">
        <w:rPr>
          <w:rFonts w:ascii="Sylfaen" w:hAnsi="Sylfaen"/>
          <w:sz w:val="24"/>
          <w:szCs w:val="24"/>
        </w:rPr>
        <w:tab/>
        <w:t>Դեղադինամիկա:</w:t>
      </w:r>
    </w:p>
    <w:p w14:paraId="1AA497C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1.17.</w:t>
      </w:r>
      <w:r w:rsidRPr="00BD7577">
        <w:rPr>
          <w:rFonts w:ascii="Sylfaen" w:hAnsi="Sylfaen"/>
          <w:sz w:val="24"/>
          <w:szCs w:val="24"/>
        </w:rPr>
        <w:tab/>
        <w:t>Կլինիկական դեղաբանության շուրջ քննարկումը:</w:t>
      </w:r>
    </w:p>
    <w:p w14:paraId="3760AF53"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1.18.</w:t>
      </w:r>
      <w:r w:rsidRPr="00BD7577">
        <w:rPr>
          <w:rFonts w:ascii="Sylfaen" w:hAnsi="Sylfaen"/>
          <w:sz w:val="24"/>
          <w:szCs w:val="24"/>
        </w:rPr>
        <w:tab/>
        <w:t>Կլինիկական դեղաբանության մասով եզրակացությունը:</w:t>
      </w:r>
    </w:p>
    <w:p w14:paraId="1332D5CD"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1.19.</w:t>
      </w:r>
      <w:r w:rsidRPr="00BD7577">
        <w:rPr>
          <w:rFonts w:ascii="Sylfaen" w:hAnsi="Sylfaen"/>
          <w:sz w:val="24"/>
          <w:szCs w:val="24"/>
        </w:rPr>
        <w:tab/>
        <w:t>Կլինիկական արդյունավետությունը՝</w:t>
      </w:r>
    </w:p>
    <w:p w14:paraId="2040DA5D"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Դեղաչափ-էֆեկտ կախվածության հետազոտություններն ու հիմնական կլինիկական հետազոտությունները:</w:t>
      </w:r>
    </w:p>
    <w:p w14:paraId="7305E0CC"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Արդյունավետության հիմնական արդյունքների համառոտ տեսությունը:</w:t>
      </w:r>
    </w:p>
    <w:p w14:paraId="438DE918"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Հաջորդ աղյուսակներում հակիրճ շարադրվում են հիմնական հետազոտությունների արդյունավետության արդյունքները, որոնք հիմք են հանդիսանում ներկայացված հայտի համար: Այս ընդհանրացված արդյունքներն անհրաժեշտ է վերլուծել կլինիկական արդյունավետության քննարկման, ինչպես նա</w:t>
      </w:r>
      <w:r w:rsidR="00C54D75">
        <w:rPr>
          <w:rFonts w:ascii="Sylfaen" w:hAnsi="Sylfaen"/>
          <w:sz w:val="24"/>
          <w:szCs w:val="24"/>
        </w:rPr>
        <w:t>և</w:t>
      </w:r>
      <w:r w:rsidRPr="00BD7577">
        <w:rPr>
          <w:rFonts w:ascii="Sylfaen" w:hAnsi="Sylfaen"/>
          <w:sz w:val="24"/>
          <w:szCs w:val="24"/>
        </w:rPr>
        <w:t xml:space="preserve"> օգուտ-ռիսկ գնահատման հետ մեկտեղ (տե՛ս վերջին բաժինները):</w:t>
      </w:r>
    </w:p>
    <w:p w14:paraId="363428A4" w14:textId="77777777" w:rsidR="008C76E0" w:rsidRPr="00BD7577" w:rsidRDefault="008C76E0" w:rsidP="004B393A">
      <w:pPr>
        <w:spacing w:after="160" w:line="360" w:lineRule="auto"/>
        <w:ind w:firstLine="567"/>
        <w:jc w:val="both"/>
        <w:rPr>
          <w:rFonts w:ascii="Sylfaen" w:hAnsi="Sylfaen"/>
          <w:sz w:val="24"/>
          <w:szCs w:val="24"/>
        </w:rPr>
      </w:pPr>
    </w:p>
    <w:p w14:paraId="0A07FD23" w14:textId="77777777" w:rsidR="008C76E0" w:rsidRPr="00BD7577" w:rsidRDefault="008C76E0" w:rsidP="004B393A">
      <w:pPr>
        <w:spacing w:after="160" w:line="360" w:lineRule="auto"/>
        <w:ind w:right="-1" w:firstLine="567"/>
        <w:jc w:val="right"/>
        <w:rPr>
          <w:rFonts w:ascii="Sylfaen" w:hAnsi="Sylfaen"/>
          <w:sz w:val="24"/>
          <w:szCs w:val="24"/>
        </w:rPr>
      </w:pPr>
      <w:r w:rsidRPr="00BD7577">
        <w:rPr>
          <w:rFonts w:ascii="Sylfaen" w:hAnsi="Sylfaen"/>
          <w:sz w:val="24"/>
          <w:szCs w:val="24"/>
        </w:rPr>
        <w:t>Աղյուսակ {համար}:</w:t>
      </w:r>
    </w:p>
    <w:p w14:paraId="6F86EE38" w14:textId="77777777" w:rsidR="008C76E0" w:rsidRPr="00BD7577" w:rsidRDefault="008C76E0" w:rsidP="004B393A">
      <w:pPr>
        <w:spacing w:after="160" w:line="360" w:lineRule="auto"/>
        <w:ind w:left="567" w:right="567"/>
        <w:jc w:val="center"/>
        <w:rPr>
          <w:rFonts w:ascii="Sylfaen" w:hAnsi="Sylfaen"/>
          <w:sz w:val="24"/>
          <w:szCs w:val="24"/>
        </w:rPr>
      </w:pPr>
      <w:r w:rsidRPr="00BD7577">
        <w:rPr>
          <w:rFonts w:ascii="Sylfaen" w:hAnsi="Sylfaen"/>
          <w:sz w:val="24"/>
          <w:szCs w:val="24"/>
        </w:rPr>
        <w:t xml:space="preserve">Դեղապատրաստուկի արդյունավետության &lt;հետազոտություն&gt; հետազոտության հիմնական արդյունքների մասին </w:t>
      </w:r>
      <w:r w:rsidRPr="00BD7577">
        <w:rPr>
          <w:rFonts w:ascii="Sylfaen" w:hAnsi="Sylfaen"/>
          <w:sz w:val="24"/>
          <w:szCs w:val="24"/>
        </w:rPr>
        <w:br/>
        <w:t>համառոտ տեղեկատվություն</w:t>
      </w:r>
    </w:p>
    <w:tbl>
      <w:tblPr>
        <w:tblOverlap w:val="never"/>
        <w:tblW w:w="11163" w:type="dxa"/>
        <w:jc w:val="center"/>
        <w:tblLayout w:type="fixed"/>
        <w:tblCellMar>
          <w:left w:w="10" w:type="dxa"/>
          <w:right w:w="10" w:type="dxa"/>
        </w:tblCellMar>
        <w:tblLook w:val="04A0" w:firstRow="1" w:lastRow="0" w:firstColumn="1" w:lastColumn="0" w:noHBand="0" w:noVBand="1"/>
      </w:tblPr>
      <w:tblGrid>
        <w:gridCol w:w="2128"/>
        <w:gridCol w:w="87"/>
        <w:gridCol w:w="2330"/>
        <w:gridCol w:w="2247"/>
        <w:gridCol w:w="647"/>
        <w:gridCol w:w="1548"/>
        <w:gridCol w:w="2176"/>
      </w:tblGrid>
      <w:tr w:rsidR="008C76E0" w:rsidRPr="00DF2860" w14:paraId="5EF5E393" w14:textId="77777777" w:rsidTr="008C76E0">
        <w:trPr>
          <w:jc w:val="center"/>
        </w:trPr>
        <w:tc>
          <w:tcPr>
            <w:tcW w:w="11163" w:type="dxa"/>
            <w:gridSpan w:val="7"/>
            <w:tcBorders>
              <w:top w:val="single" w:sz="4" w:space="0" w:color="auto"/>
              <w:left w:val="single" w:sz="4" w:space="0" w:color="auto"/>
              <w:right w:val="single" w:sz="4" w:space="0" w:color="auto"/>
            </w:tcBorders>
            <w:shd w:val="clear" w:color="auto" w:fill="FFFFFF"/>
            <w:vAlign w:val="bottom"/>
          </w:tcPr>
          <w:p w14:paraId="266DD7A0" w14:textId="77777777" w:rsidR="008C76E0" w:rsidRPr="008C76E0" w:rsidRDefault="008C76E0" w:rsidP="008C76E0">
            <w:pPr>
              <w:pStyle w:val="Bodytext180"/>
              <w:shd w:val="clear" w:color="auto" w:fill="auto"/>
              <w:spacing w:before="0" w:after="120" w:line="240" w:lineRule="auto"/>
              <w:ind w:left="129" w:right="-1" w:firstLine="0"/>
              <w:jc w:val="center"/>
              <w:rPr>
                <w:rFonts w:ascii="Sylfaen" w:hAnsi="Sylfaen"/>
                <w:b w:val="0"/>
                <w:sz w:val="20"/>
                <w:szCs w:val="20"/>
                <w:lang w:val="hy-AM"/>
              </w:rPr>
            </w:pPr>
            <w:r w:rsidRPr="00DF2860">
              <w:rPr>
                <w:rStyle w:val="Bodytext1811pt"/>
                <w:rFonts w:ascii="Sylfaen" w:hAnsi="Sylfaen"/>
                <w:sz w:val="20"/>
                <w:szCs w:val="20"/>
              </w:rPr>
              <w:t>Անունը {ինչպես նշված է հետազոտություն անցկացնելու մասին հաշվետվության մեջ}</w:t>
            </w:r>
          </w:p>
        </w:tc>
      </w:tr>
      <w:tr w:rsidR="008C76E0" w:rsidRPr="00DF2860" w14:paraId="2D21E744" w14:textId="77777777" w:rsidTr="008C76E0">
        <w:trPr>
          <w:jc w:val="center"/>
        </w:trPr>
        <w:tc>
          <w:tcPr>
            <w:tcW w:w="2128" w:type="dxa"/>
            <w:tcBorders>
              <w:top w:val="single" w:sz="4" w:space="0" w:color="auto"/>
              <w:left w:val="single" w:sz="4" w:space="0" w:color="auto"/>
            </w:tcBorders>
            <w:shd w:val="clear" w:color="auto" w:fill="FFFFFF"/>
          </w:tcPr>
          <w:p w14:paraId="1A285F10"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Հետազոտության նույնականացման համարը</w:t>
            </w:r>
          </w:p>
        </w:tc>
        <w:tc>
          <w:tcPr>
            <w:tcW w:w="9035" w:type="dxa"/>
            <w:gridSpan w:val="6"/>
            <w:tcBorders>
              <w:top w:val="single" w:sz="4" w:space="0" w:color="auto"/>
              <w:left w:val="single" w:sz="4" w:space="0" w:color="auto"/>
              <w:right w:val="single" w:sz="4" w:space="0" w:color="auto"/>
            </w:tcBorders>
            <w:shd w:val="clear" w:color="auto" w:fill="FFFFFF"/>
            <w:vAlign w:val="bottom"/>
          </w:tcPr>
          <w:p w14:paraId="19D3A86E" w14:textId="77777777" w:rsidR="008C76E0" w:rsidRPr="00DF2860" w:rsidRDefault="008C76E0" w:rsidP="008C76E0">
            <w:pPr>
              <w:pStyle w:val="Bodytext180"/>
              <w:shd w:val="clear" w:color="auto" w:fill="auto"/>
              <w:spacing w:before="0" w:after="120" w:line="240" w:lineRule="auto"/>
              <w:ind w:left="88" w:right="35" w:firstLine="0"/>
              <w:jc w:val="center"/>
              <w:rPr>
                <w:rFonts w:ascii="Sylfaen" w:hAnsi="Sylfaen"/>
                <w:b w:val="0"/>
                <w:i/>
                <w:sz w:val="20"/>
                <w:szCs w:val="20"/>
              </w:rPr>
            </w:pPr>
            <w:r w:rsidRPr="00DF2860">
              <w:rPr>
                <w:rStyle w:val="Bodytext295pt"/>
                <w:rFonts w:ascii="Sylfaen" w:hAnsi="Sylfaen"/>
                <w:i/>
                <w:spacing w:val="0"/>
                <w:sz w:val="20"/>
                <w:szCs w:val="20"/>
              </w:rPr>
              <w:t>&lt;ծածկագիր&gt;</w:t>
            </w:r>
          </w:p>
          <w:p w14:paraId="67F13F9A" w14:textId="77777777" w:rsidR="008C76E0" w:rsidRPr="00905F38" w:rsidRDefault="008C76E0" w:rsidP="008C76E0">
            <w:pPr>
              <w:pStyle w:val="Bodytext180"/>
              <w:shd w:val="clear" w:color="auto" w:fill="auto"/>
              <w:spacing w:before="0" w:after="120" w:line="240" w:lineRule="auto"/>
              <w:ind w:left="88" w:right="35" w:firstLine="0"/>
              <w:jc w:val="center"/>
              <w:rPr>
                <w:rFonts w:ascii="Sylfaen" w:hAnsi="Sylfaen"/>
                <w:b w:val="0"/>
                <w:i/>
                <w:sz w:val="20"/>
                <w:szCs w:val="20"/>
              </w:rPr>
            </w:pPr>
            <w:r w:rsidRPr="00DF2860">
              <w:rPr>
                <w:rStyle w:val="Bodytext295pt"/>
                <w:rFonts w:ascii="Sylfaen" w:hAnsi="Sylfaen"/>
                <w:i/>
                <w:spacing w:val="0"/>
                <w:sz w:val="20"/>
                <w:szCs w:val="20"/>
              </w:rPr>
              <w:t>{բոլոր այն ծածկագրերի ցանկը, որոնք սկսվում են արձանագրության համարից, որոնց հետ</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 xml:space="preserve">ում են (առկայության դեպքում) կլինիկական հետազոտությունների Եվրոպական տվյալների բազայի համարը, պատահականորեն բաշխված կլինիկական հետազոտության միջազգային ստանդարտ համարը, </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 xml:space="preserve"> այլ ծածկագրեր՝ հրատարակությանը խաչաձ</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 xml:space="preserve"> հղում կատարելու համար}</w:t>
            </w:r>
          </w:p>
        </w:tc>
      </w:tr>
      <w:tr w:rsidR="008C76E0" w:rsidRPr="00DF2860" w14:paraId="2E0D047F" w14:textId="77777777" w:rsidTr="008C76E0">
        <w:trPr>
          <w:jc w:val="center"/>
        </w:trPr>
        <w:tc>
          <w:tcPr>
            <w:tcW w:w="2128" w:type="dxa"/>
            <w:vMerge w:val="restart"/>
            <w:tcBorders>
              <w:top w:val="single" w:sz="4" w:space="0" w:color="auto"/>
              <w:left w:val="single" w:sz="4" w:space="0" w:color="auto"/>
            </w:tcBorders>
            <w:shd w:val="clear" w:color="auto" w:fill="FFFFFF"/>
          </w:tcPr>
          <w:p w14:paraId="08B1D9E6"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Հետազոտության դիզայնը</w:t>
            </w:r>
          </w:p>
        </w:tc>
        <w:tc>
          <w:tcPr>
            <w:tcW w:w="9035" w:type="dxa"/>
            <w:gridSpan w:val="6"/>
            <w:tcBorders>
              <w:top w:val="single" w:sz="4" w:space="0" w:color="auto"/>
              <w:left w:val="single" w:sz="4" w:space="0" w:color="auto"/>
              <w:right w:val="single" w:sz="4" w:space="0" w:color="auto"/>
            </w:tcBorders>
            <w:shd w:val="clear" w:color="auto" w:fill="FFFFFF"/>
            <w:vAlign w:val="bottom"/>
          </w:tcPr>
          <w:p w14:paraId="2A00F6E4" w14:textId="77777777" w:rsidR="008C76E0" w:rsidRPr="00DF2860" w:rsidRDefault="008C76E0" w:rsidP="008C76E0">
            <w:pPr>
              <w:pStyle w:val="Bodytext180"/>
              <w:shd w:val="clear" w:color="auto" w:fill="auto"/>
              <w:spacing w:before="0" w:after="120" w:line="240" w:lineRule="auto"/>
              <w:ind w:left="114" w:right="35" w:firstLine="0"/>
              <w:jc w:val="center"/>
              <w:rPr>
                <w:rFonts w:ascii="Sylfaen" w:hAnsi="Sylfaen"/>
                <w:b w:val="0"/>
                <w:i/>
                <w:sz w:val="20"/>
                <w:szCs w:val="20"/>
              </w:rPr>
            </w:pPr>
            <w:r w:rsidRPr="00DF2860">
              <w:rPr>
                <w:rStyle w:val="Bodytext295pt"/>
                <w:rFonts w:ascii="Sylfaen" w:hAnsi="Sylfaen"/>
                <w:i/>
                <w:spacing w:val="0"/>
                <w:sz w:val="20"/>
                <w:szCs w:val="20"/>
              </w:rPr>
              <w:t>&lt;կամայական տեքստ&gt;</w:t>
            </w:r>
          </w:p>
          <w:p w14:paraId="020C545C" w14:textId="77777777" w:rsidR="008C76E0" w:rsidRPr="00DF2860" w:rsidRDefault="008C76E0" w:rsidP="008C76E0">
            <w:pPr>
              <w:pStyle w:val="Bodytext180"/>
              <w:shd w:val="clear" w:color="auto" w:fill="auto"/>
              <w:spacing w:before="0" w:after="120" w:line="240" w:lineRule="auto"/>
              <w:ind w:left="114" w:right="35" w:firstLine="0"/>
              <w:jc w:val="center"/>
              <w:rPr>
                <w:rFonts w:ascii="Sylfaen" w:hAnsi="Sylfaen"/>
                <w:b w:val="0"/>
                <w:i/>
                <w:sz w:val="20"/>
                <w:szCs w:val="20"/>
              </w:rPr>
            </w:pPr>
            <w:r w:rsidRPr="00DF2860">
              <w:rPr>
                <w:rStyle w:val="Bodytext295pt"/>
                <w:rFonts w:ascii="Sylfaen" w:hAnsi="Sylfaen"/>
                <w:i/>
                <w:spacing w:val="0"/>
                <w:sz w:val="20"/>
                <w:szCs w:val="20"/>
              </w:rPr>
              <w:t>{նկարագրեք հետազոտության բովանդակային պլանի առանցքային տարրերը (խաչաձ</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 xml:space="preserve">, զուգահեռ, գործոնային, դեղաչափի ավելացում նախատեսող, ֆիքսված դեղաչափի էֆեկտի վերլուծությամբ), այդ թվում՝ պատահական բաշխմամբ, «կույր», բաշխման քողարկմամբ հետազոտությունները, միա- (բազմա-) կենտրոն հետազոտություններ </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 xml:space="preserve"> այլն}</w:t>
            </w:r>
          </w:p>
        </w:tc>
      </w:tr>
      <w:tr w:rsidR="008C76E0" w:rsidRPr="00DF2860" w14:paraId="56273310" w14:textId="77777777" w:rsidTr="008C76E0">
        <w:trPr>
          <w:jc w:val="center"/>
        </w:trPr>
        <w:tc>
          <w:tcPr>
            <w:tcW w:w="2128" w:type="dxa"/>
            <w:vMerge/>
            <w:tcBorders>
              <w:left w:val="single" w:sz="4" w:space="0" w:color="auto"/>
            </w:tcBorders>
            <w:shd w:val="clear" w:color="auto" w:fill="FFFFFF"/>
          </w:tcPr>
          <w:p w14:paraId="44724305" w14:textId="77777777" w:rsidR="008C76E0" w:rsidRPr="00DF2860" w:rsidRDefault="008C76E0" w:rsidP="008C76E0">
            <w:pPr>
              <w:spacing w:after="120" w:line="240" w:lineRule="auto"/>
              <w:ind w:left="10" w:right="-1"/>
              <w:jc w:val="center"/>
              <w:rPr>
                <w:rFonts w:ascii="Sylfaen" w:hAnsi="Sylfaen"/>
                <w:sz w:val="20"/>
                <w:szCs w:val="20"/>
              </w:rPr>
            </w:pPr>
          </w:p>
        </w:tc>
        <w:tc>
          <w:tcPr>
            <w:tcW w:w="4664" w:type="dxa"/>
            <w:gridSpan w:val="3"/>
            <w:tcBorders>
              <w:top w:val="single" w:sz="4" w:space="0" w:color="auto"/>
              <w:left w:val="single" w:sz="4" w:space="0" w:color="auto"/>
            </w:tcBorders>
            <w:shd w:val="clear" w:color="auto" w:fill="FFFFFF"/>
            <w:vAlign w:val="bottom"/>
          </w:tcPr>
          <w:p w14:paraId="6E820136" w14:textId="77777777" w:rsidR="008C76E0" w:rsidRPr="00DF2860" w:rsidRDefault="008C76E0" w:rsidP="008C76E0">
            <w:pPr>
              <w:pStyle w:val="Bodytext180"/>
              <w:shd w:val="clear" w:color="auto" w:fill="auto"/>
              <w:spacing w:before="0" w:after="120" w:line="240" w:lineRule="auto"/>
              <w:ind w:left="130" w:right="28" w:firstLine="0"/>
              <w:jc w:val="center"/>
              <w:rPr>
                <w:rStyle w:val="Bodytext1811pt"/>
                <w:rFonts w:ascii="Sylfaen" w:hAnsi="Sylfaen"/>
                <w:sz w:val="20"/>
                <w:szCs w:val="20"/>
              </w:rPr>
            </w:pPr>
            <w:r w:rsidRPr="00DF2860">
              <w:rPr>
                <w:rStyle w:val="Bodytext1811pt"/>
                <w:rFonts w:ascii="Sylfaen" w:hAnsi="Sylfaen"/>
                <w:sz w:val="20"/>
                <w:szCs w:val="20"/>
              </w:rPr>
              <w:t>Հիմնական էտապի տ</w:t>
            </w:r>
            <w:r w:rsidR="00C54D75">
              <w:rPr>
                <w:rStyle w:val="Bodytext1811pt"/>
                <w:rFonts w:ascii="Sylfaen" w:hAnsi="Sylfaen"/>
                <w:sz w:val="20"/>
                <w:szCs w:val="20"/>
              </w:rPr>
              <w:t>և</w:t>
            </w:r>
            <w:r w:rsidRPr="00DF2860">
              <w:rPr>
                <w:rStyle w:val="Bodytext1811pt"/>
                <w:rFonts w:ascii="Sylfaen" w:hAnsi="Sylfaen"/>
                <w:sz w:val="20"/>
                <w:szCs w:val="20"/>
              </w:rPr>
              <w:t>ողությունը՝ Նախապատրաստական փուլի տ</w:t>
            </w:r>
            <w:r w:rsidR="00C54D75">
              <w:rPr>
                <w:rStyle w:val="Bodytext1811pt"/>
                <w:rFonts w:ascii="Sylfaen" w:hAnsi="Sylfaen"/>
                <w:sz w:val="20"/>
                <w:szCs w:val="20"/>
              </w:rPr>
              <w:t>և</w:t>
            </w:r>
            <w:r w:rsidRPr="00DF2860">
              <w:rPr>
                <w:rStyle w:val="Bodytext1811pt"/>
                <w:rFonts w:ascii="Sylfaen" w:hAnsi="Sylfaen"/>
                <w:sz w:val="20"/>
                <w:szCs w:val="20"/>
              </w:rPr>
              <w:t>ողությունը՝</w:t>
            </w:r>
          </w:p>
          <w:p w14:paraId="0C757220" w14:textId="77777777" w:rsidR="008C76E0" w:rsidRPr="00DF2860" w:rsidRDefault="008C76E0" w:rsidP="008C76E0">
            <w:pPr>
              <w:pStyle w:val="Bodytext180"/>
              <w:shd w:val="clear" w:color="auto" w:fill="auto"/>
              <w:spacing w:before="0" w:after="120" w:line="240" w:lineRule="auto"/>
              <w:ind w:left="130" w:right="28" w:firstLine="0"/>
              <w:jc w:val="center"/>
              <w:rPr>
                <w:rFonts w:ascii="Sylfaen" w:hAnsi="Sylfaen"/>
                <w:b w:val="0"/>
                <w:sz w:val="20"/>
                <w:szCs w:val="20"/>
              </w:rPr>
            </w:pPr>
            <w:r w:rsidRPr="00DF2860">
              <w:rPr>
                <w:rStyle w:val="Bodytext1811pt"/>
                <w:rFonts w:ascii="Sylfaen" w:hAnsi="Sylfaen"/>
                <w:sz w:val="20"/>
                <w:szCs w:val="20"/>
              </w:rPr>
              <w:t>Լրացուցիչ բուժման փուլի տ</w:t>
            </w:r>
            <w:r w:rsidR="00C54D75">
              <w:rPr>
                <w:rStyle w:val="Bodytext1811pt"/>
                <w:rFonts w:ascii="Sylfaen" w:hAnsi="Sylfaen"/>
                <w:sz w:val="20"/>
                <w:szCs w:val="20"/>
              </w:rPr>
              <w:t>և</w:t>
            </w:r>
            <w:r w:rsidRPr="00DF2860">
              <w:rPr>
                <w:rStyle w:val="Bodytext1811pt"/>
                <w:rFonts w:ascii="Sylfaen" w:hAnsi="Sylfaen"/>
                <w:sz w:val="20"/>
                <w:szCs w:val="20"/>
              </w:rPr>
              <w:t>ողությունը՝</w:t>
            </w:r>
          </w:p>
        </w:tc>
        <w:tc>
          <w:tcPr>
            <w:tcW w:w="4371" w:type="dxa"/>
            <w:gridSpan w:val="3"/>
            <w:tcBorders>
              <w:top w:val="single" w:sz="4" w:space="0" w:color="auto"/>
              <w:left w:val="single" w:sz="4" w:space="0" w:color="auto"/>
              <w:right w:val="single" w:sz="4" w:space="0" w:color="auto"/>
            </w:tcBorders>
            <w:shd w:val="clear" w:color="auto" w:fill="FFFFFF"/>
          </w:tcPr>
          <w:p w14:paraId="10A7F2B2"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&lt;ժամը&gt;</w:t>
            </w:r>
          </w:p>
          <w:p w14:paraId="16164B91" w14:textId="77777777" w:rsidR="008C76E0" w:rsidRPr="00DF2860" w:rsidRDefault="008C76E0" w:rsidP="008C76E0">
            <w:pPr>
              <w:pStyle w:val="Bodytext180"/>
              <w:shd w:val="clear" w:color="auto" w:fill="auto"/>
              <w:spacing w:before="0" w:after="120" w:line="240" w:lineRule="auto"/>
              <w:ind w:right="-1" w:firstLine="0"/>
              <w:jc w:val="center"/>
              <w:rPr>
                <w:rStyle w:val="Bodytext295pt"/>
                <w:rFonts w:ascii="Sylfaen" w:hAnsi="Sylfaen"/>
                <w:i/>
                <w:spacing w:val="0"/>
                <w:sz w:val="20"/>
                <w:szCs w:val="20"/>
              </w:rPr>
            </w:pPr>
            <w:r w:rsidRPr="00DF2860">
              <w:rPr>
                <w:rStyle w:val="Bodytext295pt"/>
                <w:rFonts w:ascii="Sylfaen" w:hAnsi="Sylfaen"/>
                <w:i/>
                <w:spacing w:val="0"/>
                <w:sz w:val="20"/>
                <w:szCs w:val="20"/>
              </w:rPr>
              <w:t>&lt;ժամանակը&gt; կիրառելի չէ&gt;</w:t>
            </w:r>
          </w:p>
          <w:p w14:paraId="705DB64A"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295pt"/>
                <w:rFonts w:ascii="Sylfaen" w:hAnsi="Sylfaen"/>
                <w:i/>
                <w:spacing w:val="0"/>
                <w:sz w:val="20"/>
                <w:szCs w:val="20"/>
              </w:rPr>
              <w:t>&lt;ժամանակը&gt; կիրառելի չէ&gt;</w:t>
            </w:r>
          </w:p>
        </w:tc>
      </w:tr>
      <w:tr w:rsidR="008C76E0" w:rsidRPr="00DF2860" w14:paraId="167FFF8F" w14:textId="77777777" w:rsidTr="008C76E0">
        <w:trPr>
          <w:jc w:val="center"/>
        </w:trPr>
        <w:tc>
          <w:tcPr>
            <w:tcW w:w="2128" w:type="dxa"/>
            <w:tcBorders>
              <w:top w:val="single" w:sz="4" w:space="0" w:color="auto"/>
              <w:left w:val="single" w:sz="4" w:space="0" w:color="auto"/>
            </w:tcBorders>
            <w:shd w:val="clear" w:color="auto" w:fill="FFFFFF"/>
          </w:tcPr>
          <w:p w14:paraId="38DEC228"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Վարկած</w:t>
            </w:r>
          </w:p>
        </w:tc>
        <w:tc>
          <w:tcPr>
            <w:tcW w:w="9035" w:type="dxa"/>
            <w:gridSpan w:val="6"/>
            <w:tcBorders>
              <w:top w:val="single" w:sz="4" w:space="0" w:color="auto"/>
              <w:left w:val="single" w:sz="4" w:space="0" w:color="auto"/>
              <w:right w:val="single" w:sz="4" w:space="0" w:color="auto"/>
            </w:tcBorders>
            <w:shd w:val="clear" w:color="auto" w:fill="FFFFFF"/>
            <w:vAlign w:val="bottom"/>
          </w:tcPr>
          <w:p w14:paraId="54CB4E19" w14:textId="77777777" w:rsidR="008C76E0" w:rsidRPr="00DF2860" w:rsidRDefault="008C76E0" w:rsidP="008C76E0">
            <w:pPr>
              <w:pStyle w:val="Bodytext180"/>
              <w:shd w:val="clear" w:color="auto" w:fill="auto"/>
              <w:spacing w:before="0" w:after="120" w:line="240" w:lineRule="auto"/>
              <w:ind w:left="46" w:right="35" w:firstLine="18"/>
              <w:jc w:val="center"/>
              <w:rPr>
                <w:rFonts w:ascii="Sylfaen" w:hAnsi="Sylfaen"/>
                <w:b w:val="0"/>
                <w:i/>
                <w:sz w:val="20"/>
                <w:szCs w:val="20"/>
              </w:rPr>
            </w:pPr>
            <w:r w:rsidRPr="00DF2860">
              <w:rPr>
                <w:rStyle w:val="Bodytext295pt"/>
                <w:rFonts w:ascii="Sylfaen" w:hAnsi="Sylfaen"/>
                <w:i/>
                <w:spacing w:val="0"/>
                <w:sz w:val="20"/>
                <w:szCs w:val="20"/>
              </w:rPr>
              <w:t>&lt;Առավելությունների առկայությունը&gt; &lt;Համանմանությունը&gt; &lt;Ոչ պակաս արդյունավետությունը&gt; &lt;Ամփոփիչը՝ նշել&gt;</w:t>
            </w:r>
          </w:p>
        </w:tc>
      </w:tr>
      <w:tr w:rsidR="008C76E0" w:rsidRPr="00DF2860" w14:paraId="3E5D3A76" w14:textId="77777777" w:rsidTr="008C76E0">
        <w:trPr>
          <w:jc w:val="center"/>
        </w:trPr>
        <w:tc>
          <w:tcPr>
            <w:tcW w:w="2128" w:type="dxa"/>
            <w:vMerge w:val="restart"/>
            <w:tcBorders>
              <w:top w:val="single" w:sz="4" w:space="0" w:color="auto"/>
              <w:left w:val="single" w:sz="4" w:space="0" w:color="auto"/>
            </w:tcBorders>
            <w:shd w:val="clear" w:color="auto" w:fill="FFFFFF"/>
          </w:tcPr>
          <w:p w14:paraId="477BC8B2"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t xml:space="preserve">Բուժման խմբերը </w:t>
            </w:r>
            <w:r w:rsidRPr="00DF2860">
              <w:rPr>
                <w:rStyle w:val="Bodytext295pt"/>
                <w:rFonts w:ascii="Sylfaen" w:hAnsi="Sylfaen"/>
                <w:spacing w:val="0"/>
                <w:sz w:val="20"/>
                <w:szCs w:val="20"/>
              </w:rPr>
              <w:t>{ավելացրեք բուժման խմբերի նկարագրության համար անհրաժեշտ քանակությամբ տողեր}</w:t>
            </w:r>
          </w:p>
        </w:tc>
        <w:tc>
          <w:tcPr>
            <w:tcW w:w="4664" w:type="dxa"/>
            <w:gridSpan w:val="3"/>
            <w:tcBorders>
              <w:top w:val="single" w:sz="4" w:space="0" w:color="auto"/>
              <w:left w:val="single" w:sz="4" w:space="0" w:color="auto"/>
            </w:tcBorders>
            <w:shd w:val="clear" w:color="auto" w:fill="FFFFFF"/>
            <w:vAlign w:val="bottom"/>
          </w:tcPr>
          <w:p w14:paraId="72CF33E5" w14:textId="77777777" w:rsidR="008C76E0" w:rsidRPr="008C76E0" w:rsidRDefault="008C76E0" w:rsidP="008C76E0">
            <w:pPr>
              <w:pStyle w:val="Bodytext180"/>
              <w:shd w:val="clear" w:color="auto" w:fill="auto"/>
              <w:spacing w:before="0" w:after="120" w:line="240" w:lineRule="auto"/>
              <w:ind w:left="46" w:right="37" w:firstLine="0"/>
              <w:jc w:val="center"/>
              <w:rPr>
                <w:rFonts w:ascii="Sylfaen" w:hAnsi="Sylfaen"/>
                <w:b w:val="0"/>
                <w:i/>
                <w:sz w:val="20"/>
                <w:szCs w:val="20"/>
                <w:lang w:val="hy-AM"/>
              </w:rPr>
            </w:pPr>
            <w:r w:rsidRPr="00DF2860">
              <w:rPr>
                <w:rStyle w:val="Bodytext295pt"/>
                <w:rFonts w:ascii="Sylfaen" w:hAnsi="Sylfaen"/>
                <w:i/>
                <w:spacing w:val="0"/>
                <w:sz w:val="20"/>
                <w:szCs w:val="20"/>
              </w:rPr>
              <w:t>&lt;խմբի ծածկագրված նշագիրը&gt;</w:t>
            </w:r>
          </w:p>
          <w:p w14:paraId="1206D33A" w14:textId="77777777" w:rsidR="008C76E0" w:rsidRPr="008C76E0" w:rsidRDefault="008C76E0" w:rsidP="008C76E0">
            <w:pPr>
              <w:pStyle w:val="Bodytext180"/>
              <w:shd w:val="clear" w:color="auto" w:fill="auto"/>
              <w:spacing w:before="0" w:after="120" w:line="240" w:lineRule="auto"/>
              <w:ind w:left="46" w:right="37" w:firstLine="0"/>
              <w:jc w:val="center"/>
              <w:rPr>
                <w:rFonts w:ascii="Sylfaen" w:hAnsi="Sylfaen"/>
                <w:b w:val="0"/>
                <w:i/>
                <w:sz w:val="20"/>
                <w:szCs w:val="20"/>
                <w:lang w:val="hy-AM"/>
              </w:rPr>
            </w:pPr>
            <w:r w:rsidRPr="00DF2860">
              <w:rPr>
                <w:rStyle w:val="Bodytext295pt"/>
                <w:rFonts w:ascii="Sylfaen" w:hAnsi="Sylfaen"/>
                <w:i/>
                <w:spacing w:val="0"/>
                <w:sz w:val="20"/>
                <w:szCs w:val="20"/>
              </w:rPr>
              <w:t>{նշեք հապավումը՝արդյունքների նկարագրությամբ բաժնի աղյուսակում հետագա օգտագործման համար}</w:t>
            </w:r>
          </w:p>
        </w:tc>
        <w:tc>
          <w:tcPr>
            <w:tcW w:w="4371" w:type="dxa"/>
            <w:gridSpan w:val="3"/>
            <w:tcBorders>
              <w:top w:val="single" w:sz="4" w:space="0" w:color="auto"/>
              <w:left w:val="single" w:sz="4" w:space="0" w:color="auto"/>
              <w:right w:val="single" w:sz="4" w:space="0" w:color="auto"/>
            </w:tcBorders>
            <w:shd w:val="clear" w:color="auto" w:fill="FFFFFF"/>
          </w:tcPr>
          <w:p w14:paraId="2AE21570"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DF2860">
              <w:rPr>
                <w:rStyle w:val="Bodytext295pt"/>
                <w:rFonts w:ascii="Sylfaen" w:hAnsi="Sylfaen"/>
                <w:i/>
                <w:spacing w:val="0"/>
                <w:sz w:val="20"/>
                <w:szCs w:val="20"/>
              </w:rPr>
              <w:t>&lt;բուժումը&gt;, &lt;տ</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ողությունը&gt;, &lt;պատահականորեն բաշխված սուբյեկտների քանակը&gt;</w:t>
            </w:r>
          </w:p>
        </w:tc>
      </w:tr>
      <w:tr w:rsidR="008C76E0" w:rsidRPr="00DF2860" w14:paraId="4AFDF544" w14:textId="77777777" w:rsidTr="008C76E0">
        <w:trPr>
          <w:jc w:val="center"/>
        </w:trPr>
        <w:tc>
          <w:tcPr>
            <w:tcW w:w="2128" w:type="dxa"/>
            <w:vMerge/>
            <w:tcBorders>
              <w:left w:val="single" w:sz="4" w:space="0" w:color="auto"/>
            </w:tcBorders>
            <w:shd w:val="clear" w:color="auto" w:fill="FFFFFF"/>
          </w:tcPr>
          <w:p w14:paraId="1998935E" w14:textId="77777777" w:rsidR="008C76E0" w:rsidRPr="00DF2860" w:rsidRDefault="008C76E0" w:rsidP="008C76E0">
            <w:pPr>
              <w:spacing w:after="120" w:line="240" w:lineRule="auto"/>
              <w:ind w:left="10" w:right="-1"/>
              <w:jc w:val="center"/>
              <w:rPr>
                <w:rFonts w:ascii="Sylfaen" w:hAnsi="Sylfaen"/>
                <w:sz w:val="20"/>
                <w:szCs w:val="20"/>
              </w:rPr>
            </w:pPr>
          </w:p>
        </w:tc>
        <w:tc>
          <w:tcPr>
            <w:tcW w:w="4664" w:type="dxa"/>
            <w:gridSpan w:val="3"/>
            <w:tcBorders>
              <w:top w:val="single" w:sz="4" w:space="0" w:color="auto"/>
              <w:left w:val="single" w:sz="4" w:space="0" w:color="auto"/>
            </w:tcBorders>
            <w:shd w:val="clear" w:color="auto" w:fill="FFFFFF"/>
          </w:tcPr>
          <w:p w14:paraId="0D5A301A" w14:textId="77777777" w:rsidR="008C76E0" w:rsidRPr="00DF2860" w:rsidRDefault="008C76E0" w:rsidP="008C76E0">
            <w:pPr>
              <w:pStyle w:val="Bodytext180"/>
              <w:shd w:val="clear" w:color="auto" w:fill="auto"/>
              <w:spacing w:before="0" w:after="120" w:line="240" w:lineRule="auto"/>
              <w:ind w:left="46" w:right="37" w:firstLine="0"/>
              <w:jc w:val="center"/>
              <w:rPr>
                <w:rFonts w:ascii="Sylfaen" w:hAnsi="Sylfaen"/>
                <w:b w:val="0"/>
                <w:i/>
                <w:sz w:val="20"/>
                <w:szCs w:val="20"/>
              </w:rPr>
            </w:pPr>
            <w:r w:rsidRPr="00DF2860">
              <w:rPr>
                <w:rStyle w:val="Bodytext295pt"/>
                <w:rFonts w:ascii="Sylfaen" w:hAnsi="Sylfaen"/>
                <w:i/>
                <w:spacing w:val="0"/>
                <w:sz w:val="20"/>
                <w:szCs w:val="20"/>
              </w:rPr>
              <w:t>&lt;խմբի ծածկագրված նշագիրը&gt;</w:t>
            </w:r>
          </w:p>
        </w:tc>
        <w:tc>
          <w:tcPr>
            <w:tcW w:w="4371" w:type="dxa"/>
            <w:gridSpan w:val="3"/>
            <w:tcBorders>
              <w:top w:val="single" w:sz="4" w:space="0" w:color="auto"/>
              <w:left w:val="single" w:sz="4" w:space="0" w:color="auto"/>
              <w:right w:val="single" w:sz="4" w:space="0" w:color="auto"/>
            </w:tcBorders>
            <w:shd w:val="clear" w:color="auto" w:fill="FFFFFF"/>
          </w:tcPr>
          <w:p w14:paraId="57F41CB3" w14:textId="77777777" w:rsidR="008C76E0" w:rsidRPr="00DF2860" w:rsidRDefault="008C76E0" w:rsidP="008C76E0">
            <w:pPr>
              <w:pStyle w:val="Bodytext180"/>
              <w:shd w:val="clear" w:color="auto" w:fill="auto"/>
              <w:spacing w:before="0" w:after="120" w:line="240" w:lineRule="auto"/>
              <w:ind w:left="32" w:right="51" w:firstLine="0"/>
              <w:jc w:val="center"/>
              <w:rPr>
                <w:rFonts w:ascii="Sylfaen" w:hAnsi="Sylfaen"/>
                <w:b w:val="0"/>
                <w:i/>
                <w:sz w:val="20"/>
                <w:szCs w:val="20"/>
              </w:rPr>
            </w:pPr>
            <w:r w:rsidRPr="00DF2860">
              <w:rPr>
                <w:rStyle w:val="Bodytext295pt"/>
                <w:rFonts w:ascii="Sylfaen" w:hAnsi="Sylfaen"/>
                <w:i/>
                <w:spacing w:val="0"/>
                <w:sz w:val="20"/>
                <w:szCs w:val="20"/>
              </w:rPr>
              <w:t>&lt;բուժումը&gt;, &lt;տ</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ողությունը&gt;, &lt;պատահականորեն բաշխված սուբյեկտների քանակը&gt;</w:t>
            </w:r>
          </w:p>
        </w:tc>
      </w:tr>
      <w:tr w:rsidR="008C76E0" w:rsidRPr="00DF2860" w14:paraId="26B286CB" w14:textId="77777777" w:rsidTr="008C76E0">
        <w:trPr>
          <w:jc w:val="center"/>
        </w:trPr>
        <w:tc>
          <w:tcPr>
            <w:tcW w:w="2128" w:type="dxa"/>
            <w:vMerge w:val="restart"/>
            <w:tcBorders>
              <w:top w:val="single" w:sz="4" w:space="0" w:color="auto"/>
              <w:left w:val="single" w:sz="4" w:space="0" w:color="auto"/>
            </w:tcBorders>
            <w:shd w:val="clear" w:color="auto" w:fill="FFFFFF"/>
          </w:tcPr>
          <w:p w14:paraId="0BB6FD4F" w14:textId="77777777" w:rsidR="008C76E0" w:rsidRPr="00DF2860" w:rsidRDefault="008C76E0" w:rsidP="008C76E0">
            <w:pPr>
              <w:spacing w:after="120" w:line="240" w:lineRule="auto"/>
              <w:ind w:left="10" w:right="-1"/>
              <w:jc w:val="center"/>
              <w:rPr>
                <w:rFonts w:ascii="Sylfaen" w:hAnsi="Sylfaen"/>
                <w:sz w:val="20"/>
                <w:szCs w:val="20"/>
              </w:rPr>
            </w:pPr>
          </w:p>
        </w:tc>
        <w:tc>
          <w:tcPr>
            <w:tcW w:w="4664" w:type="dxa"/>
            <w:gridSpan w:val="3"/>
            <w:tcBorders>
              <w:top w:val="single" w:sz="4" w:space="0" w:color="auto"/>
              <w:left w:val="single" w:sz="4" w:space="0" w:color="auto"/>
            </w:tcBorders>
            <w:shd w:val="clear" w:color="auto" w:fill="FFFFFF"/>
          </w:tcPr>
          <w:p w14:paraId="06207DBE" w14:textId="77777777" w:rsidR="008C76E0" w:rsidRPr="00DF2860" w:rsidRDefault="008C76E0" w:rsidP="008C76E0">
            <w:pPr>
              <w:pStyle w:val="Bodytext180"/>
              <w:shd w:val="clear" w:color="auto" w:fill="auto"/>
              <w:spacing w:before="0" w:after="120" w:line="240" w:lineRule="auto"/>
              <w:ind w:right="-1" w:firstLine="567"/>
              <w:jc w:val="center"/>
              <w:rPr>
                <w:rFonts w:ascii="Sylfaen" w:hAnsi="Sylfaen"/>
                <w:b w:val="0"/>
                <w:sz w:val="20"/>
                <w:szCs w:val="20"/>
              </w:rPr>
            </w:pPr>
          </w:p>
        </w:tc>
        <w:tc>
          <w:tcPr>
            <w:tcW w:w="4371" w:type="dxa"/>
            <w:gridSpan w:val="3"/>
            <w:tcBorders>
              <w:top w:val="single" w:sz="4" w:space="0" w:color="auto"/>
              <w:left w:val="single" w:sz="4" w:space="0" w:color="auto"/>
              <w:right w:val="single" w:sz="4" w:space="0" w:color="auto"/>
            </w:tcBorders>
            <w:shd w:val="clear" w:color="auto" w:fill="FFFFFF"/>
            <w:vAlign w:val="bottom"/>
          </w:tcPr>
          <w:p w14:paraId="2784A4C9" w14:textId="77777777" w:rsidR="008C76E0" w:rsidRPr="00DF2860" w:rsidRDefault="008C76E0" w:rsidP="008C76E0">
            <w:pPr>
              <w:pStyle w:val="Bodytext180"/>
              <w:shd w:val="clear" w:color="auto" w:fill="auto"/>
              <w:spacing w:before="0" w:after="120" w:line="240" w:lineRule="auto"/>
              <w:ind w:left="32" w:right="51" w:firstLine="0"/>
              <w:jc w:val="center"/>
              <w:rPr>
                <w:rFonts w:ascii="Sylfaen" w:hAnsi="Sylfaen"/>
                <w:b w:val="0"/>
                <w:sz w:val="20"/>
                <w:szCs w:val="20"/>
              </w:rPr>
            </w:pPr>
          </w:p>
        </w:tc>
      </w:tr>
      <w:tr w:rsidR="008C76E0" w:rsidRPr="00DF2860" w14:paraId="1F61AD6C" w14:textId="77777777" w:rsidTr="008C76E0">
        <w:trPr>
          <w:jc w:val="center"/>
        </w:trPr>
        <w:tc>
          <w:tcPr>
            <w:tcW w:w="2128" w:type="dxa"/>
            <w:vMerge/>
            <w:tcBorders>
              <w:left w:val="single" w:sz="4" w:space="0" w:color="auto"/>
            </w:tcBorders>
            <w:shd w:val="clear" w:color="auto" w:fill="FFFFFF"/>
          </w:tcPr>
          <w:p w14:paraId="29E9D012" w14:textId="77777777" w:rsidR="008C76E0" w:rsidRPr="00DF2860" w:rsidRDefault="008C76E0" w:rsidP="008C76E0">
            <w:pPr>
              <w:spacing w:after="120" w:line="240" w:lineRule="auto"/>
              <w:ind w:left="10" w:right="-1"/>
              <w:jc w:val="center"/>
              <w:rPr>
                <w:rFonts w:ascii="Sylfaen" w:hAnsi="Sylfaen"/>
                <w:sz w:val="20"/>
                <w:szCs w:val="20"/>
              </w:rPr>
            </w:pPr>
          </w:p>
        </w:tc>
        <w:tc>
          <w:tcPr>
            <w:tcW w:w="4664" w:type="dxa"/>
            <w:gridSpan w:val="3"/>
            <w:tcBorders>
              <w:top w:val="single" w:sz="4" w:space="0" w:color="auto"/>
              <w:left w:val="single" w:sz="4" w:space="0" w:color="auto"/>
            </w:tcBorders>
            <w:shd w:val="clear" w:color="auto" w:fill="FFFFFF"/>
          </w:tcPr>
          <w:p w14:paraId="09E01078"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&lt;խմբի ծածկագրված նշագիրը&gt;</w:t>
            </w:r>
          </w:p>
        </w:tc>
        <w:tc>
          <w:tcPr>
            <w:tcW w:w="4371" w:type="dxa"/>
            <w:gridSpan w:val="3"/>
            <w:tcBorders>
              <w:top w:val="single" w:sz="4" w:space="0" w:color="auto"/>
              <w:left w:val="single" w:sz="4" w:space="0" w:color="auto"/>
              <w:right w:val="single" w:sz="4" w:space="0" w:color="auto"/>
            </w:tcBorders>
            <w:shd w:val="clear" w:color="auto" w:fill="FFFFFF"/>
            <w:vAlign w:val="bottom"/>
          </w:tcPr>
          <w:p w14:paraId="73E47B78" w14:textId="77777777" w:rsidR="008C76E0" w:rsidRPr="00DF2860" w:rsidRDefault="008C76E0" w:rsidP="008C76E0">
            <w:pPr>
              <w:pStyle w:val="Bodytext180"/>
              <w:shd w:val="clear" w:color="auto" w:fill="auto"/>
              <w:spacing w:before="0" w:after="120" w:line="240" w:lineRule="auto"/>
              <w:ind w:left="32" w:right="51" w:firstLine="0"/>
              <w:jc w:val="center"/>
              <w:rPr>
                <w:rFonts w:ascii="Sylfaen" w:hAnsi="Sylfaen"/>
                <w:b w:val="0"/>
                <w:i/>
                <w:sz w:val="20"/>
                <w:szCs w:val="20"/>
              </w:rPr>
            </w:pPr>
            <w:r w:rsidRPr="00DF2860">
              <w:rPr>
                <w:rStyle w:val="Bodytext295pt"/>
                <w:rFonts w:ascii="Sylfaen" w:hAnsi="Sylfaen"/>
                <w:i/>
                <w:spacing w:val="0"/>
                <w:sz w:val="20"/>
                <w:szCs w:val="20"/>
              </w:rPr>
              <w:t>&lt;բուժումը&gt;, &lt;տ</w:t>
            </w:r>
            <w:r w:rsidR="00C54D75">
              <w:rPr>
                <w:rStyle w:val="Bodytext295pt"/>
                <w:rFonts w:ascii="Sylfaen" w:hAnsi="Sylfaen"/>
                <w:i/>
                <w:spacing w:val="0"/>
                <w:sz w:val="20"/>
                <w:szCs w:val="20"/>
              </w:rPr>
              <w:t>և</w:t>
            </w:r>
            <w:r w:rsidRPr="00DF2860">
              <w:rPr>
                <w:rStyle w:val="Bodytext295pt"/>
                <w:rFonts w:ascii="Sylfaen" w:hAnsi="Sylfaen"/>
                <w:i/>
                <w:spacing w:val="0"/>
                <w:sz w:val="20"/>
                <w:szCs w:val="20"/>
              </w:rPr>
              <w:t>ողությունը&gt;, &lt;պատահականորեն բաշխված սուբյեկտների քանակը&gt;</w:t>
            </w:r>
          </w:p>
        </w:tc>
      </w:tr>
      <w:tr w:rsidR="008C76E0" w:rsidRPr="00DF2860" w14:paraId="7BD2F46F" w14:textId="77777777" w:rsidTr="008C76E0">
        <w:trPr>
          <w:jc w:val="center"/>
        </w:trPr>
        <w:tc>
          <w:tcPr>
            <w:tcW w:w="2128" w:type="dxa"/>
            <w:vMerge w:val="restart"/>
            <w:tcBorders>
              <w:top w:val="single" w:sz="4" w:space="0" w:color="auto"/>
              <w:left w:val="single" w:sz="4" w:space="0" w:color="auto"/>
            </w:tcBorders>
            <w:shd w:val="clear" w:color="auto" w:fill="FFFFFF"/>
          </w:tcPr>
          <w:p w14:paraId="0146C169"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t xml:space="preserve">Կլինիկական հետազոտության կետերը </w:t>
            </w:r>
            <w:r w:rsidRPr="00DF2860">
              <w:rPr>
                <w:rStyle w:val="Bodytext295pt"/>
                <w:rFonts w:ascii="Sylfaen" w:hAnsi="Sylfaen"/>
                <w:i/>
                <w:spacing w:val="0"/>
                <w:sz w:val="20"/>
                <w:szCs w:val="20"/>
              </w:rPr>
              <w:t>{ավելացրեք կլինիկական հետազոտության կետերի նկարագրության համար անհրաժեշտ քանակությամբ տողեր. որպես երկրորդային կլինիկական կետեր նշեք արդյունքների նկարագրությամբ բաժնում նշված առավել ակտուալ կետերը}</w:t>
            </w:r>
          </w:p>
        </w:tc>
        <w:tc>
          <w:tcPr>
            <w:tcW w:w="2417" w:type="dxa"/>
            <w:gridSpan w:val="2"/>
            <w:tcBorders>
              <w:top w:val="single" w:sz="4" w:space="0" w:color="auto"/>
              <w:left w:val="single" w:sz="4" w:space="0" w:color="auto"/>
            </w:tcBorders>
            <w:shd w:val="clear" w:color="auto" w:fill="FFFFFF"/>
          </w:tcPr>
          <w:p w14:paraId="12767CF7"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295pt"/>
                <w:rFonts w:ascii="Sylfaen" w:hAnsi="Sylfaen"/>
                <w:i/>
                <w:spacing w:val="0"/>
                <w:sz w:val="20"/>
                <w:szCs w:val="20"/>
              </w:rPr>
              <w:t>&lt;Համակցված&gt;</w:t>
            </w:r>
            <w:r w:rsidRPr="008C76E0">
              <w:rPr>
                <w:rFonts w:ascii="Sylfaen" w:hAnsi="Sylfaen"/>
                <w:b w:val="0"/>
                <w:sz w:val="20"/>
                <w:szCs w:val="20"/>
                <w:lang w:val="hy-AM"/>
              </w:rPr>
              <w:t xml:space="preserve"> </w:t>
            </w:r>
            <w:r w:rsidRPr="00DF2860">
              <w:rPr>
                <w:rStyle w:val="Bodytext1811pt"/>
                <w:rFonts w:ascii="Sylfaen" w:hAnsi="Sylfaen"/>
                <w:sz w:val="20"/>
                <w:szCs w:val="20"/>
              </w:rPr>
              <w:t>Կլինիկական</w:t>
            </w:r>
            <w:r w:rsidRPr="008C76E0">
              <w:rPr>
                <w:rFonts w:ascii="Sylfaen" w:hAnsi="Sylfaen"/>
                <w:b w:val="0"/>
                <w:sz w:val="20"/>
                <w:szCs w:val="20"/>
                <w:lang w:val="hy-AM"/>
              </w:rPr>
              <w:t xml:space="preserve"> </w:t>
            </w:r>
            <w:r w:rsidRPr="00DF2860">
              <w:rPr>
                <w:rStyle w:val="Bodytext1811pt"/>
                <w:rFonts w:ascii="Sylfaen" w:hAnsi="Sylfaen"/>
                <w:sz w:val="20"/>
                <w:szCs w:val="20"/>
              </w:rPr>
              <w:t>հետազոտության</w:t>
            </w:r>
            <w:r w:rsidRPr="008C76E0">
              <w:rPr>
                <w:rFonts w:ascii="Sylfaen" w:hAnsi="Sylfaen"/>
                <w:b w:val="0"/>
                <w:sz w:val="20"/>
                <w:szCs w:val="20"/>
                <w:lang w:val="hy-AM"/>
              </w:rPr>
              <w:t xml:space="preserve"> </w:t>
            </w:r>
            <w:r w:rsidRPr="00DF2860">
              <w:rPr>
                <w:rStyle w:val="Bodytext1811pt"/>
                <w:rFonts w:ascii="Sylfaen" w:hAnsi="Sylfaen"/>
                <w:sz w:val="20"/>
                <w:szCs w:val="20"/>
              </w:rPr>
              <w:t>առաջնային</w:t>
            </w:r>
            <w:r w:rsidRPr="008C76E0">
              <w:rPr>
                <w:rFonts w:ascii="Sylfaen" w:hAnsi="Sylfaen"/>
                <w:b w:val="0"/>
                <w:sz w:val="20"/>
                <w:szCs w:val="20"/>
                <w:lang w:val="hy-AM"/>
              </w:rPr>
              <w:t xml:space="preserve"> </w:t>
            </w:r>
            <w:r w:rsidRPr="00DF2860">
              <w:rPr>
                <w:rStyle w:val="Bodytext1811pt"/>
                <w:rFonts w:ascii="Sylfaen" w:hAnsi="Sylfaen"/>
                <w:sz w:val="20"/>
                <w:szCs w:val="20"/>
              </w:rPr>
              <w:t>կետը</w:t>
            </w:r>
          </w:p>
        </w:tc>
        <w:tc>
          <w:tcPr>
            <w:tcW w:w="2247" w:type="dxa"/>
            <w:tcBorders>
              <w:top w:val="single" w:sz="4" w:space="0" w:color="auto"/>
              <w:left w:val="single" w:sz="4" w:space="0" w:color="auto"/>
            </w:tcBorders>
            <w:shd w:val="clear" w:color="auto" w:fill="FFFFFF"/>
            <w:vAlign w:val="bottom"/>
          </w:tcPr>
          <w:p w14:paraId="66A4BC76"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295pt"/>
                <w:rFonts w:ascii="Sylfaen" w:hAnsi="Sylfaen"/>
                <w:i/>
                <w:spacing w:val="0"/>
                <w:sz w:val="20"/>
                <w:szCs w:val="20"/>
              </w:rPr>
              <w:t>&lt;պայմանական</w:t>
            </w:r>
            <w:r w:rsidRPr="008C76E0">
              <w:rPr>
                <w:rFonts w:ascii="Sylfaen" w:hAnsi="Sylfaen"/>
                <w:b w:val="0"/>
                <w:i/>
                <w:sz w:val="20"/>
                <w:szCs w:val="20"/>
                <w:lang w:val="hy-AM"/>
              </w:rPr>
              <w:t xml:space="preserve"> </w:t>
            </w:r>
            <w:r w:rsidRPr="00DF2860">
              <w:rPr>
                <w:rStyle w:val="Bodytext295pt"/>
                <w:rFonts w:ascii="Sylfaen" w:hAnsi="Sylfaen"/>
                <w:i/>
                <w:spacing w:val="0"/>
                <w:sz w:val="20"/>
                <w:szCs w:val="20"/>
              </w:rPr>
              <w:t>նշագիրը&gt;</w:t>
            </w:r>
            <w:r w:rsidRPr="008C76E0">
              <w:rPr>
                <w:rFonts w:ascii="Sylfaen" w:hAnsi="Sylfaen"/>
                <w:b w:val="0"/>
                <w:sz w:val="20"/>
                <w:szCs w:val="20"/>
                <w:lang w:val="hy-AM"/>
              </w:rPr>
              <w:t xml:space="preserve"> </w:t>
            </w:r>
            <w:r w:rsidRPr="00DF2860">
              <w:rPr>
                <w:rStyle w:val="Bodytext295pt"/>
                <w:rFonts w:ascii="Sylfaen" w:hAnsi="Sylfaen"/>
                <w:spacing w:val="0"/>
                <w:sz w:val="20"/>
                <w:szCs w:val="20"/>
              </w:rPr>
              <w:t>{նշեք</w:t>
            </w:r>
            <w:r w:rsidRPr="008C76E0">
              <w:rPr>
                <w:rFonts w:ascii="Sylfaen" w:hAnsi="Sylfaen"/>
                <w:b w:val="0"/>
                <w:sz w:val="20"/>
                <w:szCs w:val="20"/>
                <w:lang w:val="hy-AM"/>
              </w:rPr>
              <w:t xml:space="preserve"> </w:t>
            </w:r>
            <w:r w:rsidRPr="00DF2860">
              <w:rPr>
                <w:rStyle w:val="Bodytext295pt"/>
                <w:rFonts w:ascii="Sylfaen" w:hAnsi="Sylfaen"/>
                <w:spacing w:val="0"/>
                <w:sz w:val="20"/>
                <w:szCs w:val="20"/>
              </w:rPr>
              <w:t>հապավումը՝</w:t>
            </w:r>
            <w:r w:rsidRPr="008C76E0">
              <w:rPr>
                <w:rFonts w:ascii="Sylfaen" w:hAnsi="Sylfaen"/>
                <w:b w:val="0"/>
                <w:sz w:val="20"/>
                <w:szCs w:val="20"/>
                <w:lang w:val="hy-AM"/>
              </w:rPr>
              <w:t xml:space="preserve"> </w:t>
            </w:r>
            <w:r w:rsidRPr="00DF2860">
              <w:rPr>
                <w:rStyle w:val="Bodytext295pt"/>
                <w:rFonts w:ascii="Sylfaen" w:hAnsi="Sylfaen"/>
                <w:spacing w:val="0"/>
                <w:sz w:val="20"/>
                <w:szCs w:val="20"/>
              </w:rPr>
              <w:t>արդյունքների</w:t>
            </w:r>
            <w:r w:rsidRPr="008C76E0">
              <w:rPr>
                <w:rFonts w:ascii="Sylfaen" w:hAnsi="Sylfaen"/>
                <w:b w:val="0"/>
                <w:sz w:val="20"/>
                <w:szCs w:val="20"/>
                <w:lang w:val="hy-AM"/>
              </w:rPr>
              <w:t xml:space="preserve"> </w:t>
            </w:r>
            <w:r w:rsidRPr="00DF2860">
              <w:rPr>
                <w:rStyle w:val="Bodytext295pt"/>
                <w:rFonts w:ascii="Sylfaen" w:hAnsi="Sylfaen"/>
                <w:spacing w:val="0"/>
                <w:sz w:val="20"/>
                <w:szCs w:val="20"/>
              </w:rPr>
              <w:t>նկարագրությամբ բաժնի աղյուսակում հետագա օգտագործման համար}</w:t>
            </w:r>
          </w:p>
        </w:tc>
        <w:tc>
          <w:tcPr>
            <w:tcW w:w="4371" w:type="dxa"/>
            <w:gridSpan w:val="3"/>
            <w:tcBorders>
              <w:top w:val="single" w:sz="4" w:space="0" w:color="auto"/>
              <w:left w:val="single" w:sz="4" w:space="0" w:color="auto"/>
              <w:right w:val="single" w:sz="4" w:space="0" w:color="auto"/>
            </w:tcBorders>
            <w:shd w:val="clear" w:color="auto" w:fill="FFFFFF"/>
          </w:tcPr>
          <w:p w14:paraId="58DEF111" w14:textId="77777777" w:rsidR="008C76E0" w:rsidRPr="008C76E0" w:rsidRDefault="008C76E0" w:rsidP="008C76E0">
            <w:pPr>
              <w:pStyle w:val="Bodytext180"/>
              <w:shd w:val="clear" w:color="auto" w:fill="auto"/>
              <w:spacing w:before="0" w:after="120" w:line="240" w:lineRule="auto"/>
              <w:ind w:left="32" w:right="51" w:firstLine="0"/>
              <w:jc w:val="center"/>
              <w:rPr>
                <w:rFonts w:ascii="Sylfaen" w:hAnsi="Sylfaen"/>
                <w:b w:val="0"/>
                <w:i/>
                <w:sz w:val="20"/>
                <w:szCs w:val="20"/>
                <w:lang w:val="hy-AM"/>
              </w:rPr>
            </w:pPr>
            <w:r w:rsidRPr="00DF2860">
              <w:rPr>
                <w:rStyle w:val="Bodytext295pt"/>
                <w:rFonts w:ascii="Sylfaen" w:hAnsi="Sylfaen"/>
                <w:i/>
                <w:spacing w:val="0"/>
                <w:sz w:val="20"/>
                <w:szCs w:val="20"/>
              </w:rPr>
              <w:t>&lt;կամայական տեքստ&gt; {ներկայացրեք համառոտ նկարագրությունը}</w:t>
            </w:r>
          </w:p>
        </w:tc>
      </w:tr>
      <w:tr w:rsidR="008C76E0" w:rsidRPr="00DF2860" w14:paraId="7DB92721" w14:textId="77777777" w:rsidTr="008C76E0">
        <w:trPr>
          <w:jc w:val="center"/>
        </w:trPr>
        <w:tc>
          <w:tcPr>
            <w:tcW w:w="2128" w:type="dxa"/>
            <w:vMerge/>
            <w:tcBorders>
              <w:left w:val="single" w:sz="4" w:space="0" w:color="auto"/>
            </w:tcBorders>
            <w:shd w:val="clear" w:color="auto" w:fill="FFFFFF"/>
          </w:tcPr>
          <w:p w14:paraId="66F84FAA" w14:textId="77777777" w:rsidR="008C76E0" w:rsidRPr="00DF2860" w:rsidRDefault="008C76E0" w:rsidP="008C76E0">
            <w:pPr>
              <w:spacing w:after="120" w:line="240" w:lineRule="auto"/>
              <w:ind w:left="10" w:right="-1"/>
              <w:jc w:val="center"/>
              <w:rPr>
                <w:rFonts w:ascii="Sylfaen" w:hAnsi="Sylfaen"/>
                <w:sz w:val="20"/>
                <w:szCs w:val="20"/>
              </w:rPr>
            </w:pPr>
          </w:p>
        </w:tc>
        <w:tc>
          <w:tcPr>
            <w:tcW w:w="2417" w:type="dxa"/>
            <w:gridSpan w:val="2"/>
            <w:tcBorders>
              <w:top w:val="single" w:sz="4" w:space="0" w:color="auto"/>
              <w:left w:val="single" w:sz="4" w:space="0" w:color="auto"/>
            </w:tcBorders>
            <w:shd w:val="clear" w:color="auto" w:fill="FFFFFF"/>
          </w:tcPr>
          <w:p w14:paraId="5F152B03"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295pt"/>
                <w:rFonts w:ascii="Sylfaen" w:hAnsi="Sylfaen"/>
                <w:i/>
                <w:spacing w:val="0"/>
                <w:sz w:val="20"/>
                <w:szCs w:val="20"/>
              </w:rPr>
              <w:t>&lt;Երկրորդային&gt;</w:t>
            </w:r>
            <w:r w:rsidRPr="008C76E0">
              <w:rPr>
                <w:rFonts w:ascii="Sylfaen" w:hAnsi="Sylfaen"/>
                <w:b w:val="0"/>
                <w:i/>
                <w:sz w:val="20"/>
                <w:szCs w:val="20"/>
                <w:lang w:val="hy-AM"/>
              </w:rPr>
              <w:t xml:space="preserve"> </w:t>
            </w:r>
            <w:r w:rsidRPr="00DF2860">
              <w:rPr>
                <w:rStyle w:val="Bodytext295pt"/>
                <w:rFonts w:ascii="Sylfaen" w:hAnsi="Sylfaen"/>
                <w:i/>
                <w:spacing w:val="0"/>
                <w:sz w:val="20"/>
                <w:szCs w:val="20"/>
              </w:rPr>
              <w:t>&lt;այլ՝</w:t>
            </w:r>
            <w:r w:rsidRPr="008C76E0">
              <w:rPr>
                <w:rFonts w:ascii="Sylfaen" w:hAnsi="Sylfaen"/>
                <w:b w:val="0"/>
                <w:i/>
                <w:sz w:val="20"/>
                <w:szCs w:val="20"/>
                <w:lang w:val="hy-AM"/>
              </w:rPr>
              <w:t xml:space="preserve"> </w:t>
            </w:r>
            <w:r w:rsidRPr="00DF2860">
              <w:rPr>
                <w:rStyle w:val="Bodytext295pt"/>
                <w:rFonts w:ascii="Sylfaen" w:hAnsi="Sylfaen"/>
                <w:i/>
                <w:spacing w:val="0"/>
                <w:sz w:val="20"/>
                <w:szCs w:val="20"/>
              </w:rPr>
              <w:t>նշեք&gt;</w:t>
            </w:r>
            <w:r w:rsidRPr="008C76E0">
              <w:rPr>
                <w:rFonts w:ascii="Sylfaen" w:hAnsi="Sylfaen"/>
                <w:b w:val="0"/>
                <w:sz w:val="20"/>
                <w:szCs w:val="20"/>
                <w:lang w:val="hy-AM"/>
              </w:rPr>
              <w:t xml:space="preserve"> </w:t>
            </w:r>
            <w:r w:rsidRPr="00DF2860">
              <w:rPr>
                <w:rStyle w:val="Bodytext1811pt"/>
                <w:rFonts w:ascii="Sylfaen" w:hAnsi="Sylfaen"/>
                <w:sz w:val="20"/>
                <w:szCs w:val="20"/>
              </w:rPr>
              <w:t>կլինիկական</w:t>
            </w:r>
            <w:r w:rsidRPr="008C76E0">
              <w:rPr>
                <w:rFonts w:ascii="Sylfaen" w:hAnsi="Sylfaen"/>
                <w:b w:val="0"/>
                <w:sz w:val="20"/>
                <w:szCs w:val="20"/>
                <w:lang w:val="hy-AM"/>
              </w:rPr>
              <w:t xml:space="preserve"> </w:t>
            </w:r>
            <w:r w:rsidRPr="00DF2860">
              <w:rPr>
                <w:rStyle w:val="Bodytext1811pt"/>
                <w:rFonts w:ascii="Sylfaen" w:hAnsi="Sylfaen"/>
                <w:sz w:val="20"/>
                <w:szCs w:val="20"/>
              </w:rPr>
              <w:t>հետազոտության</w:t>
            </w:r>
            <w:r w:rsidRPr="008C76E0">
              <w:rPr>
                <w:rFonts w:ascii="Sylfaen" w:hAnsi="Sylfaen"/>
                <w:b w:val="0"/>
                <w:sz w:val="20"/>
                <w:szCs w:val="20"/>
                <w:lang w:val="hy-AM"/>
              </w:rPr>
              <w:t xml:space="preserve"> </w:t>
            </w:r>
            <w:r w:rsidRPr="00DF2860">
              <w:rPr>
                <w:rStyle w:val="Bodytext1811pt"/>
                <w:rFonts w:ascii="Sylfaen" w:hAnsi="Sylfaen"/>
                <w:sz w:val="20"/>
                <w:szCs w:val="20"/>
              </w:rPr>
              <w:t>կետը</w:t>
            </w:r>
          </w:p>
        </w:tc>
        <w:tc>
          <w:tcPr>
            <w:tcW w:w="2247" w:type="dxa"/>
            <w:tcBorders>
              <w:top w:val="single" w:sz="4" w:space="0" w:color="auto"/>
              <w:left w:val="single" w:sz="4" w:space="0" w:color="auto"/>
            </w:tcBorders>
            <w:shd w:val="clear" w:color="auto" w:fill="FFFFFF"/>
          </w:tcPr>
          <w:p w14:paraId="4A1FEE67"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&lt;պայմանական</w:t>
            </w:r>
            <w:r w:rsidRPr="00DF2860">
              <w:rPr>
                <w:rFonts w:ascii="Sylfaen" w:hAnsi="Sylfaen"/>
                <w:b w:val="0"/>
                <w:i/>
                <w:sz w:val="20"/>
                <w:szCs w:val="20"/>
              </w:rPr>
              <w:t xml:space="preserve"> </w:t>
            </w:r>
            <w:r w:rsidRPr="00DF2860">
              <w:rPr>
                <w:rStyle w:val="Bodytext295pt"/>
                <w:rFonts w:ascii="Sylfaen" w:hAnsi="Sylfaen"/>
                <w:i/>
                <w:spacing w:val="0"/>
                <w:sz w:val="20"/>
                <w:szCs w:val="20"/>
              </w:rPr>
              <w:t>նշագիրը&gt;</w:t>
            </w:r>
          </w:p>
        </w:tc>
        <w:tc>
          <w:tcPr>
            <w:tcW w:w="4371" w:type="dxa"/>
            <w:gridSpan w:val="3"/>
            <w:tcBorders>
              <w:top w:val="single" w:sz="4" w:space="0" w:color="auto"/>
              <w:left w:val="single" w:sz="4" w:space="0" w:color="auto"/>
              <w:right w:val="single" w:sz="4" w:space="0" w:color="auto"/>
            </w:tcBorders>
            <w:shd w:val="clear" w:color="auto" w:fill="FFFFFF"/>
          </w:tcPr>
          <w:p w14:paraId="4609B6DD"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&lt;կամայական տեքստ&gt; {ներկայացրեք համառոտ նկարագրությունը}</w:t>
            </w:r>
          </w:p>
        </w:tc>
      </w:tr>
      <w:tr w:rsidR="008C76E0" w:rsidRPr="00DF2860" w14:paraId="0DAE9499" w14:textId="77777777" w:rsidTr="008C76E0">
        <w:trPr>
          <w:jc w:val="center"/>
        </w:trPr>
        <w:tc>
          <w:tcPr>
            <w:tcW w:w="2128" w:type="dxa"/>
            <w:tcBorders>
              <w:top w:val="single" w:sz="4" w:space="0" w:color="auto"/>
              <w:left w:val="single" w:sz="4" w:space="0" w:color="auto"/>
            </w:tcBorders>
            <w:shd w:val="clear" w:color="auto" w:fill="FFFFFF"/>
          </w:tcPr>
          <w:p w14:paraId="431F1DF1" w14:textId="77777777" w:rsidR="008C76E0" w:rsidRPr="00DF2860" w:rsidRDefault="008C76E0" w:rsidP="008C76E0">
            <w:pPr>
              <w:spacing w:after="120" w:line="240" w:lineRule="auto"/>
              <w:ind w:left="10" w:right="-1"/>
              <w:jc w:val="center"/>
              <w:rPr>
                <w:rFonts w:ascii="Sylfaen" w:hAnsi="Sylfaen"/>
                <w:sz w:val="20"/>
                <w:szCs w:val="20"/>
              </w:rPr>
            </w:pPr>
          </w:p>
        </w:tc>
        <w:tc>
          <w:tcPr>
            <w:tcW w:w="2417" w:type="dxa"/>
            <w:gridSpan w:val="2"/>
            <w:tcBorders>
              <w:top w:val="single" w:sz="4" w:space="0" w:color="auto"/>
              <w:left w:val="single" w:sz="4" w:space="0" w:color="auto"/>
            </w:tcBorders>
            <w:shd w:val="clear" w:color="auto" w:fill="FFFFFF"/>
            <w:vAlign w:val="bottom"/>
          </w:tcPr>
          <w:p w14:paraId="1BCC7142"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295pt"/>
                <w:rFonts w:ascii="Sylfaen" w:hAnsi="Sylfaen"/>
                <w:i/>
                <w:spacing w:val="0"/>
                <w:sz w:val="20"/>
                <w:szCs w:val="20"/>
              </w:rPr>
              <w:t>&lt;Երկրորդային&gt;</w:t>
            </w:r>
            <w:r w:rsidRPr="008C76E0">
              <w:rPr>
                <w:rFonts w:ascii="Sylfaen" w:hAnsi="Sylfaen"/>
                <w:b w:val="0"/>
                <w:i/>
                <w:sz w:val="20"/>
                <w:szCs w:val="20"/>
                <w:lang w:val="hy-AM"/>
              </w:rPr>
              <w:t xml:space="preserve"> </w:t>
            </w:r>
            <w:r w:rsidRPr="00DF2860">
              <w:rPr>
                <w:rStyle w:val="Bodytext295pt"/>
                <w:rFonts w:ascii="Sylfaen" w:hAnsi="Sylfaen"/>
                <w:i/>
                <w:spacing w:val="0"/>
                <w:sz w:val="20"/>
                <w:szCs w:val="20"/>
              </w:rPr>
              <w:t>&lt;այլ՝</w:t>
            </w:r>
            <w:r w:rsidRPr="008C76E0">
              <w:rPr>
                <w:rFonts w:ascii="Sylfaen" w:hAnsi="Sylfaen"/>
                <w:b w:val="0"/>
                <w:i/>
                <w:sz w:val="20"/>
                <w:szCs w:val="20"/>
                <w:lang w:val="hy-AM"/>
              </w:rPr>
              <w:t xml:space="preserve"> </w:t>
            </w:r>
            <w:r w:rsidRPr="00DF2860">
              <w:rPr>
                <w:rStyle w:val="Bodytext295pt"/>
                <w:rFonts w:ascii="Sylfaen" w:hAnsi="Sylfaen"/>
                <w:i/>
                <w:spacing w:val="0"/>
                <w:sz w:val="20"/>
                <w:szCs w:val="20"/>
              </w:rPr>
              <w:t>նշեք&gt;</w:t>
            </w:r>
            <w:r w:rsidRPr="008C76E0">
              <w:rPr>
                <w:rFonts w:ascii="Sylfaen" w:hAnsi="Sylfaen"/>
                <w:b w:val="0"/>
                <w:sz w:val="20"/>
                <w:szCs w:val="20"/>
                <w:lang w:val="hy-AM"/>
              </w:rPr>
              <w:t xml:space="preserve"> </w:t>
            </w:r>
            <w:r w:rsidRPr="00DF2860">
              <w:rPr>
                <w:rStyle w:val="Bodytext1811pt"/>
                <w:rFonts w:ascii="Sylfaen" w:hAnsi="Sylfaen"/>
                <w:sz w:val="20"/>
                <w:szCs w:val="20"/>
              </w:rPr>
              <w:t>կլինիկական</w:t>
            </w:r>
            <w:r w:rsidRPr="008C76E0">
              <w:rPr>
                <w:rFonts w:ascii="Sylfaen" w:hAnsi="Sylfaen"/>
                <w:b w:val="0"/>
                <w:sz w:val="20"/>
                <w:szCs w:val="20"/>
                <w:lang w:val="hy-AM"/>
              </w:rPr>
              <w:t xml:space="preserve"> </w:t>
            </w:r>
            <w:r w:rsidRPr="00DF2860">
              <w:rPr>
                <w:rStyle w:val="Bodytext1811pt"/>
                <w:rFonts w:ascii="Sylfaen" w:hAnsi="Sylfaen"/>
                <w:sz w:val="20"/>
                <w:szCs w:val="20"/>
              </w:rPr>
              <w:t>հետազոտության</w:t>
            </w:r>
            <w:r w:rsidRPr="008C76E0">
              <w:rPr>
                <w:rFonts w:ascii="Sylfaen" w:hAnsi="Sylfaen"/>
                <w:b w:val="0"/>
                <w:sz w:val="20"/>
                <w:szCs w:val="20"/>
                <w:lang w:val="hy-AM"/>
              </w:rPr>
              <w:t xml:space="preserve"> </w:t>
            </w:r>
            <w:r w:rsidRPr="00DF2860">
              <w:rPr>
                <w:rStyle w:val="Bodytext1811pt"/>
                <w:rFonts w:ascii="Sylfaen" w:hAnsi="Sylfaen"/>
                <w:sz w:val="20"/>
                <w:szCs w:val="20"/>
              </w:rPr>
              <w:t>կետը</w:t>
            </w:r>
          </w:p>
        </w:tc>
        <w:tc>
          <w:tcPr>
            <w:tcW w:w="2247" w:type="dxa"/>
            <w:tcBorders>
              <w:top w:val="single" w:sz="4" w:space="0" w:color="auto"/>
              <w:left w:val="single" w:sz="4" w:space="0" w:color="auto"/>
            </w:tcBorders>
            <w:shd w:val="clear" w:color="auto" w:fill="FFFFFF"/>
          </w:tcPr>
          <w:p w14:paraId="0D21A821"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&lt;պայմանական</w:t>
            </w:r>
            <w:r w:rsidRPr="00DF2860">
              <w:rPr>
                <w:rFonts w:ascii="Sylfaen" w:hAnsi="Sylfaen"/>
                <w:b w:val="0"/>
                <w:i/>
                <w:sz w:val="20"/>
                <w:szCs w:val="20"/>
              </w:rPr>
              <w:t xml:space="preserve"> </w:t>
            </w:r>
            <w:r w:rsidRPr="00DF2860">
              <w:rPr>
                <w:rStyle w:val="Bodytext295pt"/>
                <w:rFonts w:ascii="Sylfaen" w:hAnsi="Sylfaen"/>
                <w:i/>
                <w:spacing w:val="0"/>
                <w:sz w:val="20"/>
                <w:szCs w:val="20"/>
              </w:rPr>
              <w:t>նշագիրը&gt;</w:t>
            </w:r>
          </w:p>
        </w:tc>
        <w:tc>
          <w:tcPr>
            <w:tcW w:w="4371" w:type="dxa"/>
            <w:gridSpan w:val="3"/>
            <w:tcBorders>
              <w:top w:val="single" w:sz="4" w:space="0" w:color="auto"/>
              <w:left w:val="single" w:sz="4" w:space="0" w:color="auto"/>
              <w:right w:val="single" w:sz="4" w:space="0" w:color="auto"/>
            </w:tcBorders>
            <w:shd w:val="clear" w:color="auto" w:fill="FFFFFF"/>
          </w:tcPr>
          <w:p w14:paraId="5F3BA179"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&lt;կամայական տեքստ&gt; {ներկայացրեք համառոտ նկարագրությունը}</w:t>
            </w:r>
          </w:p>
        </w:tc>
      </w:tr>
      <w:tr w:rsidR="008C76E0" w:rsidRPr="00DF2860" w14:paraId="50B132CF" w14:textId="77777777" w:rsidTr="008C76E0">
        <w:trPr>
          <w:jc w:val="center"/>
        </w:trPr>
        <w:tc>
          <w:tcPr>
            <w:tcW w:w="2128" w:type="dxa"/>
            <w:tcBorders>
              <w:top w:val="single" w:sz="4" w:space="0" w:color="auto"/>
              <w:left w:val="single" w:sz="4" w:space="0" w:color="auto"/>
            </w:tcBorders>
            <w:shd w:val="clear" w:color="auto" w:fill="FFFFFF"/>
            <w:vAlign w:val="bottom"/>
          </w:tcPr>
          <w:p w14:paraId="7D876BCC"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Տվյալների բազայի փակումը</w:t>
            </w:r>
          </w:p>
        </w:tc>
        <w:tc>
          <w:tcPr>
            <w:tcW w:w="9035" w:type="dxa"/>
            <w:gridSpan w:val="6"/>
            <w:tcBorders>
              <w:top w:val="single" w:sz="4" w:space="0" w:color="auto"/>
              <w:left w:val="single" w:sz="4" w:space="0" w:color="auto"/>
              <w:right w:val="single" w:sz="4" w:space="0" w:color="auto"/>
            </w:tcBorders>
            <w:shd w:val="clear" w:color="auto" w:fill="FFFFFF"/>
          </w:tcPr>
          <w:p w14:paraId="4F3F767B"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1811pt"/>
                <w:rFonts w:ascii="Sylfaen" w:hAnsi="Sylfaen"/>
                <w:i/>
                <w:sz w:val="20"/>
                <w:szCs w:val="20"/>
              </w:rPr>
              <w:t>&lt;ամսաթիվը&gt;</w:t>
            </w:r>
          </w:p>
        </w:tc>
      </w:tr>
      <w:tr w:rsidR="008C76E0" w:rsidRPr="00DF2860" w14:paraId="2A3EA49D" w14:textId="77777777" w:rsidTr="008C76E0">
        <w:trPr>
          <w:jc w:val="center"/>
        </w:trPr>
        <w:tc>
          <w:tcPr>
            <w:tcW w:w="11163" w:type="dxa"/>
            <w:gridSpan w:val="7"/>
            <w:tcBorders>
              <w:top w:val="single" w:sz="4" w:space="0" w:color="auto"/>
              <w:left w:val="single" w:sz="4" w:space="0" w:color="auto"/>
              <w:right w:val="single" w:sz="4" w:space="0" w:color="auto"/>
            </w:tcBorders>
            <w:shd w:val="clear" w:color="auto" w:fill="FFFFFF"/>
            <w:vAlign w:val="bottom"/>
          </w:tcPr>
          <w:p w14:paraId="38F71F25"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t xml:space="preserve">Վերլուծություններ </w:t>
            </w:r>
            <w:r w:rsidR="00C54D75">
              <w:rPr>
                <w:rStyle w:val="Bodytext1811pt"/>
                <w:rFonts w:ascii="Sylfaen" w:hAnsi="Sylfaen"/>
                <w:sz w:val="20"/>
                <w:szCs w:val="20"/>
              </w:rPr>
              <w:t>և</w:t>
            </w:r>
            <w:r w:rsidRPr="00DF2860">
              <w:rPr>
                <w:rStyle w:val="Bodytext1811pt"/>
                <w:rFonts w:ascii="Sylfaen" w:hAnsi="Sylfaen"/>
                <w:sz w:val="20"/>
                <w:szCs w:val="20"/>
              </w:rPr>
              <w:t xml:space="preserve"> արդյունքներ</w:t>
            </w:r>
          </w:p>
          <w:p w14:paraId="7B729026"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t>{յուրաքանչյուր վերլուծության մասով առանձին ներկայացրեք այն արդյունքը, որը հետազոտության մասին հաշվետվության մեջ ներառման համար ակտուալ է համարվել. ամեն դեպքում, անհրաժեշտ է ներկայացնել տվյալներ՝ նախօրոք որոշված առաջնային վերլուծության վերաբերյալ}</w:t>
            </w:r>
          </w:p>
          <w:p w14:paraId="75110D78"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p>
        </w:tc>
      </w:tr>
      <w:tr w:rsidR="008C76E0" w:rsidRPr="00DF2860" w14:paraId="60ACE1AD" w14:textId="77777777" w:rsidTr="008C76E0">
        <w:trPr>
          <w:jc w:val="center"/>
        </w:trPr>
        <w:tc>
          <w:tcPr>
            <w:tcW w:w="2215" w:type="dxa"/>
            <w:gridSpan w:val="2"/>
            <w:tcBorders>
              <w:top w:val="single" w:sz="4" w:space="0" w:color="auto"/>
              <w:left w:val="single" w:sz="4" w:space="0" w:color="auto"/>
            </w:tcBorders>
            <w:shd w:val="clear" w:color="auto" w:fill="FFFFFF"/>
            <w:vAlign w:val="bottom"/>
          </w:tcPr>
          <w:p w14:paraId="403DE3CA"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Վերլուծության նկարագրությունը</w:t>
            </w:r>
          </w:p>
        </w:tc>
        <w:tc>
          <w:tcPr>
            <w:tcW w:w="8948" w:type="dxa"/>
            <w:gridSpan w:val="5"/>
            <w:tcBorders>
              <w:top w:val="single" w:sz="4" w:space="0" w:color="auto"/>
              <w:left w:val="single" w:sz="4" w:space="0" w:color="auto"/>
              <w:right w:val="single" w:sz="4" w:space="0" w:color="auto"/>
            </w:tcBorders>
            <w:shd w:val="clear" w:color="auto" w:fill="FFFFFF"/>
          </w:tcPr>
          <w:p w14:paraId="2158A489"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Առաջնային վերլուծությունը</w:t>
            </w:r>
          </w:p>
        </w:tc>
      </w:tr>
      <w:tr w:rsidR="008C76E0" w:rsidRPr="00DF2860" w14:paraId="2AC21B65" w14:textId="77777777" w:rsidTr="008C76E0">
        <w:trPr>
          <w:jc w:val="center"/>
        </w:trPr>
        <w:tc>
          <w:tcPr>
            <w:tcW w:w="2215" w:type="dxa"/>
            <w:gridSpan w:val="2"/>
            <w:tcBorders>
              <w:top w:val="single" w:sz="4" w:space="0" w:color="auto"/>
              <w:left w:val="single" w:sz="4" w:space="0" w:color="auto"/>
            </w:tcBorders>
            <w:shd w:val="clear" w:color="auto" w:fill="FFFFFF"/>
            <w:vAlign w:val="bottom"/>
          </w:tcPr>
          <w:p w14:paraId="635A95BE"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lastRenderedPageBreak/>
              <w:t xml:space="preserve">Սուբյեկտների վերլուծության ենթարկվող խումբը </w:t>
            </w:r>
            <w:r w:rsidR="00C54D75">
              <w:rPr>
                <w:rStyle w:val="Bodytext1811pt"/>
                <w:rFonts w:ascii="Sylfaen" w:hAnsi="Sylfaen"/>
                <w:sz w:val="20"/>
                <w:szCs w:val="20"/>
              </w:rPr>
              <w:t>և</w:t>
            </w:r>
            <w:r w:rsidRPr="00DF2860">
              <w:rPr>
                <w:rStyle w:val="Bodytext1811pt"/>
                <w:rFonts w:ascii="Sylfaen" w:hAnsi="Sylfaen"/>
                <w:sz w:val="20"/>
                <w:szCs w:val="20"/>
              </w:rPr>
              <w:t xml:space="preserve"> ժամանակային կետերի նկարագրությունը</w:t>
            </w:r>
          </w:p>
        </w:tc>
        <w:tc>
          <w:tcPr>
            <w:tcW w:w="8948" w:type="dxa"/>
            <w:gridSpan w:val="5"/>
            <w:tcBorders>
              <w:top w:val="single" w:sz="4" w:space="0" w:color="auto"/>
              <w:left w:val="single" w:sz="4" w:space="0" w:color="auto"/>
              <w:right w:val="single" w:sz="4" w:space="0" w:color="auto"/>
            </w:tcBorders>
            <w:shd w:val="clear" w:color="auto" w:fill="FFFFFF"/>
          </w:tcPr>
          <w:p w14:paraId="252F8972"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1811pt"/>
                <w:rFonts w:ascii="Sylfaen" w:hAnsi="Sylfaen"/>
                <w:sz w:val="20"/>
                <w:szCs w:val="20"/>
              </w:rPr>
              <w:t>&lt;Ընտրանքային համակցություն «Բուժումը սկսած»&gt; պացիենտները, ովքեր ավարտել են հետազոտության մեջ իրենց մասնակցությունը՝ համաձայն արձանագրությանը&gt;</w:t>
            </w:r>
          </w:p>
          <w:p w14:paraId="2BB891B6"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1811pt"/>
                <w:rFonts w:ascii="Sylfaen" w:hAnsi="Sylfaen"/>
                <w:sz w:val="20"/>
                <w:szCs w:val="20"/>
              </w:rPr>
              <w:t>&lt;այլ՝ նշել&gt;</w:t>
            </w:r>
          </w:p>
          <w:p w14:paraId="62BACEE7"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1811pt"/>
                <w:rFonts w:ascii="Sylfaen" w:hAnsi="Sylfaen"/>
                <w:sz w:val="20"/>
                <w:szCs w:val="20"/>
              </w:rPr>
              <w:t>{կարող է պահանջվել բնակչության խմբի համառոտ նկարագրության ներառումը}</w:t>
            </w:r>
          </w:p>
          <w:p w14:paraId="33A06150"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&lt;ժամանակային կետը&gt;</w:t>
            </w:r>
          </w:p>
        </w:tc>
      </w:tr>
      <w:tr w:rsidR="008C76E0" w:rsidRPr="00DF2860" w14:paraId="0B5D0975" w14:textId="77777777" w:rsidTr="008C76E0">
        <w:trPr>
          <w:jc w:val="center"/>
        </w:trPr>
        <w:tc>
          <w:tcPr>
            <w:tcW w:w="2215" w:type="dxa"/>
            <w:gridSpan w:val="2"/>
            <w:tcBorders>
              <w:top w:val="single" w:sz="4" w:space="0" w:color="auto"/>
              <w:left w:val="single" w:sz="4" w:space="0" w:color="auto"/>
            </w:tcBorders>
            <w:shd w:val="clear" w:color="auto" w:fill="FFFFFF"/>
          </w:tcPr>
          <w:p w14:paraId="73A1C9A8"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1811pt"/>
                <w:rFonts w:ascii="Sylfaen" w:hAnsi="Sylfaen"/>
                <w:sz w:val="20"/>
                <w:szCs w:val="20"/>
              </w:rPr>
              <w:t>Նկարագրական վիճակագրությունն ու գնահատման տարբերակայնությունը (վարիատիվությունը)</w:t>
            </w:r>
          </w:p>
        </w:tc>
        <w:tc>
          <w:tcPr>
            <w:tcW w:w="2330" w:type="dxa"/>
            <w:tcBorders>
              <w:top w:val="single" w:sz="4" w:space="0" w:color="auto"/>
              <w:left w:val="single" w:sz="4" w:space="0" w:color="auto"/>
            </w:tcBorders>
            <w:shd w:val="clear" w:color="auto" w:fill="FFFFFF"/>
          </w:tcPr>
          <w:p w14:paraId="20C21550"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Բուժման ենթակա խումբը</w:t>
            </w:r>
          </w:p>
        </w:tc>
        <w:tc>
          <w:tcPr>
            <w:tcW w:w="2247" w:type="dxa"/>
            <w:tcBorders>
              <w:top w:val="single" w:sz="4" w:space="0" w:color="auto"/>
              <w:left w:val="single" w:sz="4" w:space="0" w:color="auto"/>
            </w:tcBorders>
            <w:shd w:val="clear" w:color="auto" w:fill="FFFFFF"/>
            <w:vAlign w:val="bottom"/>
          </w:tcPr>
          <w:p w14:paraId="50B86B76"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DF2860">
              <w:rPr>
                <w:rStyle w:val="Bodytext295pt"/>
                <w:rFonts w:ascii="Sylfaen" w:hAnsi="Sylfaen"/>
                <w:i/>
                <w:spacing w:val="0"/>
                <w:sz w:val="20"/>
                <w:szCs w:val="20"/>
              </w:rPr>
              <w:t>&lt;խմբի ծածկագրված նշագիրը&gt; {համաձայն վերը բերված եզրութաբանության}</w:t>
            </w:r>
          </w:p>
        </w:tc>
        <w:tc>
          <w:tcPr>
            <w:tcW w:w="2195" w:type="dxa"/>
            <w:gridSpan w:val="2"/>
            <w:tcBorders>
              <w:top w:val="single" w:sz="4" w:space="0" w:color="auto"/>
              <w:left w:val="single" w:sz="4" w:space="0" w:color="auto"/>
            </w:tcBorders>
            <w:shd w:val="clear" w:color="auto" w:fill="FFFFFF"/>
            <w:vAlign w:val="bottom"/>
          </w:tcPr>
          <w:p w14:paraId="4DFF800F"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&lt;խմբի ծածկագրված նշագիրը&gt; {համաձայն վերը բերված եզրութաբանության}</w:t>
            </w:r>
          </w:p>
        </w:tc>
        <w:tc>
          <w:tcPr>
            <w:tcW w:w="2176" w:type="dxa"/>
            <w:tcBorders>
              <w:top w:val="single" w:sz="4" w:space="0" w:color="auto"/>
              <w:left w:val="single" w:sz="4" w:space="0" w:color="auto"/>
              <w:right w:val="single" w:sz="4" w:space="0" w:color="auto"/>
            </w:tcBorders>
            <w:shd w:val="clear" w:color="auto" w:fill="FFFFFF"/>
            <w:vAlign w:val="bottom"/>
          </w:tcPr>
          <w:p w14:paraId="5DE09265"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&lt;խմբի</w:t>
            </w:r>
            <w:r w:rsidRPr="00720CDC">
              <w:rPr>
                <w:rFonts w:ascii="Sylfaen" w:hAnsi="Sylfaen"/>
                <w:b w:val="0"/>
                <w:i/>
                <w:sz w:val="20"/>
                <w:szCs w:val="20"/>
              </w:rPr>
              <w:t xml:space="preserve"> </w:t>
            </w:r>
            <w:r w:rsidRPr="00720CDC">
              <w:rPr>
                <w:rStyle w:val="Bodytext295pt"/>
                <w:rFonts w:ascii="Sylfaen" w:hAnsi="Sylfaen"/>
                <w:i/>
                <w:spacing w:val="0"/>
                <w:sz w:val="20"/>
                <w:szCs w:val="20"/>
              </w:rPr>
              <w:t>ծածկագրված</w:t>
            </w:r>
            <w:r w:rsidRPr="00720CDC">
              <w:rPr>
                <w:rFonts w:ascii="Sylfaen" w:hAnsi="Sylfaen"/>
                <w:b w:val="0"/>
                <w:i/>
                <w:sz w:val="20"/>
                <w:szCs w:val="20"/>
              </w:rPr>
              <w:t xml:space="preserve"> </w:t>
            </w:r>
            <w:r w:rsidRPr="00720CDC">
              <w:rPr>
                <w:rStyle w:val="Bodytext295pt"/>
                <w:rFonts w:ascii="Sylfaen" w:hAnsi="Sylfaen"/>
                <w:i/>
                <w:spacing w:val="0"/>
                <w:sz w:val="20"/>
                <w:szCs w:val="20"/>
              </w:rPr>
              <w:t>նշագիրը&gt;</w:t>
            </w:r>
            <w:r w:rsidRPr="00720CDC">
              <w:rPr>
                <w:rFonts w:ascii="Sylfaen" w:hAnsi="Sylfaen"/>
                <w:b w:val="0"/>
                <w:i/>
                <w:sz w:val="20"/>
                <w:szCs w:val="20"/>
              </w:rPr>
              <w:t xml:space="preserve"> </w:t>
            </w:r>
            <w:r w:rsidRPr="00720CDC">
              <w:rPr>
                <w:rStyle w:val="Bodytext295pt"/>
                <w:rFonts w:ascii="Sylfaen" w:hAnsi="Sylfaen"/>
                <w:i/>
                <w:spacing w:val="0"/>
                <w:sz w:val="20"/>
                <w:szCs w:val="20"/>
              </w:rPr>
              <w:t>{համաձայն</w:t>
            </w:r>
            <w:r w:rsidRPr="00720CDC">
              <w:rPr>
                <w:rFonts w:ascii="Sylfaen" w:hAnsi="Sylfaen"/>
                <w:b w:val="0"/>
                <w:i/>
                <w:sz w:val="20"/>
                <w:szCs w:val="20"/>
              </w:rPr>
              <w:t xml:space="preserve"> </w:t>
            </w:r>
            <w:r w:rsidRPr="00720CDC">
              <w:rPr>
                <w:rStyle w:val="Bodytext295pt"/>
                <w:rFonts w:ascii="Sylfaen" w:hAnsi="Sylfaen"/>
                <w:i/>
                <w:spacing w:val="0"/>
                <w:sz w:val="20"/>
                <w:szCs w:val="20"/>
              </w:rPr>
              <w:t>վերը</w:t>
            </w:r>
            <w:r w:rsidRPr="00720CDC">
              <w:rPr>
                <w:rFonts w:ascii="Sylfaen" w:hAnsi="Sylfaen"/>
                <w:b w:val="0"/>
                <w:i/>
                <w:sz w:val="20"/>
                <w:szCs w:val="20"/>
              </w:rPr>
              <w:t xml:space="preserve"> </w:t>
            </w:r>
            <w:r w:rsidRPr="00720CDC">
              <w:rPr>
                <w:rStyle w:val="Bodytext295pt"/>
                <w:rFonts w:ascii="Sylfaen" w:hAnsi="Sylfaen"/>
                <w:i/>
                <w:spacing w:val="0"/>
                <w:sz w:val="20"/>
                <w:szCs w:val="20"/>
              </w:rPr>
              <w:t>բերված եզրութաբանության}</w:t>
            </w:r>
          </w:p>
        </w:tc>
      </w:tr>
      <w:tr w:rsidR="008C76E0" w:rsidRPr="00DF2860" w14:paraId="620E314A" w14:textId="77777777" w:rsidTr="008C76E0">
        <w:trPr>
          <w:jc w:val="center"/>
        </w:trPr>
        <w:tc>
          <w:tcPr>
            <w:tcW w:w="2215" w:type="dxa"/>
            <w:gridSpan w:val="2"/>
            <w:vMerge w:val="restart"/>
            <w:tcBorders>
              <w:top w:val="single" w:sz="4" w:space="0" w:color="auto"/>
              <w:left w:val="single" w:sz="4" w:space="0" w:color="auto"/>
            </w:tcBorders>
            <w:shd w:val="clear" w:color="auto" w:fill="FFFFFF"/>
          </w:tcPr>
          <w:p w14:paraId="0B407C0A"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43E33764"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Սուբյեկտների քանակը</w:t>
            </w:r>
          </w:p>
        </w:tc>
        <w:tc>
          <w:tcPr>
            <w:tcW w:w="2247" w:type="dxa"/>
            <w:tcBorders>
              <w:top w:val="single" w:sz="4" w:space="0" w:color="auto"/>
              <w:left w:val="single" w:sz="4" w:space="0" w:color="auto"/>
            </w:tcBorders>
            <w:shd w:val="clear" w:color="auto" w:fill="FFFFFF"/>
            <w:vAlign w:val="bottom"/>
          </w:tcPr>
          <w:p w14:paraId="7ED0D429"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&lt;n&gt;</w:t>
            </w:r>
          </w:p>
        </w:tc>
        <w:tc>
          <w:tcPr>
            <w:tcW w:w="2195" w:type="dxa"/>
            <w:gridSpan w:val="2"/>
            <w:tcBorders>
              <w:top w:val="single" w:sz="4" w:space="0" w:color="auto"/>
              <w:left w:val="single" w:sz="4" w:space="0" w:color="auto"/>
            </w:tcBorders>
            <w:shd w:val="clear" w:color="auto" w:fill="FFFFFF"/>
            <w:vAlign w:val="bottom"/>
          </w:tcPr>
          <w:p w14:paraId="2C682B1F"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295pt"/>
                <w:rFonts w:ascii="Sylfaen" w:hAnsi="Sylfaen"/>
                <w:spacing w:val="0"/>
                <w:sz w:val="20"/>
                <w:szCs w:val="20"/>
              </w:rPr>
              <w:t>&lt;n&gt;</w:t>
            </w:r>
          </w:p>
        </w:tc>
        <w:tc>
          <w:tcPr>
            <w:tcW w:w="2176" w:type="dxa"/>
            <w:tcBorders>
              <w:top w:val="single" w:sz="4" w:space="0" w:color="auto"/>
              <w:left w:val="single" w:sz="4" w:space="0" w:color="auto"/>
              <w:right w:val="single" w:sz="4" w:space="0" w:color="auto"/>
            </w:tcBorders>
            <w:shd w:val="clear" w:color="auto" w:fill="FFFFFF"/>
            <w:vAlign w:val="bottom"/>
          </w:tcPr>
          <w:p w14:paraId="334B126A"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295pt"/>
                <w:rFonts w:ascii="Sylfaen" w:hAnsi="Sylfaen"/>
                <w:spacing w:val="0"/>
                <w:sz w:val="20"/>
                <w:szCs w:val="20"/>
              </w:rPr>
              <w:t>&lt;n&gt;</w:t>
            </w:r>
          </w:p>
        </w:tc>
      </w:tr>
      <w:tr w:rsidR="008C76E0" w:rsidRPr="00DF2860" w14:paraId="36DC0B5A" w14:textId="77777777" w:rsidTr="008C76E0">
        <w:trPr>
          <w:jc w:val="center"/>
        </w:trPr>
        <w:tc>
          <w:tcPr>
            <w:tcW w:w="2215" w:type="dxa"/>
            <w:gridSpan w:val="2"/>
            <w:vMerge/>
            <w:tcBorders>
              <w:left w:val="single" w:sz="4" w:space="0" w:color="auto"/>
            </w:tcBorders>
            <w:shd w:val="clear" w:color="auto" w:fill="FFFFFF"/>
          </w:tcPr>
          <w:p w14:paraId="5585DA58"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0B16427B"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295pt"/>
                <w:rFonts w:ascii="Sylfaen" w:hAnsi="Sylfaen"/>
                <w:i/>
                <w:spacing w:val="0"/>
                <w:sz w:val="20"/>
                <w:szCs w:val="20"/>
              </w:rPr>
              <w:t>&lt;կլինիկական հետազոտության կետը&gt; {պայմանական նշագիրը, ինչպես նշված է վեր</w:t>
            </w:r>
            <w:r w:rsidR="00C54D75">
              <w:rPr>
                <w:rStyle w:val="Bodytext295pt"/>
                <w:rFonts w:ascii="Sylfaen" w:hAnsi="Sylfaen"/>
                <w:i/>
                <w:spacing w:val="0"/>
                <w:sz w:val="20"/>
                <w:szCs w:val="20"/>
              </w:rPr>
              <w:t>և</w:t>
            </w:r>
            <w:r w:rsidRPr="00720CDC">
              <w:rPr>
                <w:rStyle w:val="Bodytext295pt"/>
                <w:rFonts w:ascii="Sylfaen" w:hAnsi="Sylfaen"/>
                <w:i/>
                <w:spacing w:val="0"/>
                <w:sz w:val="20"/>
                <w:szCs w:val="20"/>
              </w:rPr>
              <w:t xml:space="preserve">ում} (&lt;վիճակագրություն&gt;) {օրինակ՝ ընտրանքի միջին, մեդիանային (միջնաթվային) արժեքը </w:t>
            </w:r>
            <w:r w:rsidR="00C54D75">
              <w:rPr>
                <w:rStyle w:val="Bodytext295pt"/>
                <w:rFonts w:ascii="Sylfaen" w:hAnsi="Sylfaen"/>
                <w:i/>
                <w:spacing w:val="0"/>
                <w:sz w:val="20"/>
                <w:szCs w:val="20"/>
              </w:rPr>
              <w:t>և</w:t>
            </w:r>
            <w:r w:rsidRPr="00720CDC">
              <w:rPr>
                <w:rStyle w:val="Bodytext295pt"/>
                <w:rFonts w:ascii="Sylfaen" w:hAnsi="Sylfaen"/>
                <w:i/>
                <w:spacing w:val="0"/>
                <w:sz w:val="20"/>
                <w:szCs w:val="20"/>
              </w:rPr>
              <w:t xml:space="preserve"> այլն</w:t>
            </w:r>
            <w:r w:rsidRPr="00720CDC">
              <w:rPr>
                <w:rStyle w:val="Bodytext1811pt"/>
                <w:rFonts w:ascii="Sylfaen" w:hAnsi="Sylfaen"/>
                <w:i/>
                <w:sz w:val="20"/>
                <w:szCs w:val="20"/>
              </w:rPr>
              <w:t>}</w:t>
            </w:r>
          </w:p>
        </w:tc>
        <w:tc>
          <w:tcPr>
            <w:tcW w:w="2247" w:type="dxa"/>
            <w:tcBorders>
              <w:top w:val="single" w:sz="4" w:space="0" w:color="auto"/>
              <w:left w:val="single" w:sz="4" w:space="0" w:color="auto"/>
            </w:tcBorders>
            <w:shd w:val="clear" w:color="auto" w:fill="FFFFFF"/>
          </w:tcPr>
          <w:p w14:paraId="70011A5C"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w:t>
            </w:r>
            <w:r w:rsidRPr="00720CDC">
              <w:rPr>
                <w:rFonts w:ascii="Sylfaen" w:hAnsi="Sylfaen"/>
                <w:b w:val="0"/>
                <w:i/>
                <w:sz w:val="20"/>
                <w:szCs w:val="20"/>
              </w:rPr>
              <w:t xml:space="preserve"> </w:t>
            </w:r>
            <w:r w:rsidRPr="00720CDC">
              <w:rPr>
                <w:rStyle w:val="Bodytext295pt"/>
                <w:rFonts w:ascii="Sylfaen" w:hAnsi="Sylfaen"/>
                <w:i/>
                <w:spacing w:val="0"/>
                <w:sz w:val="20"/>
                <w:szCs w:val="20"/>
              </w:rPr>
              <w:t>գնահատումը&gt;</w:t>
            </w:r>
          </w:p>
        </w:tc>
        <w:tc>
          <w:tcPr>
            <w:tcW w:w="2195" w:type="dxa"/>
            <w:gridSpan w:val="2"/>
            <w:tcBorders>
              <w:top w:val="single" w:sz="4" w:space="0" w:color="auto"/>
              <w:left w:val="single" w:sz="4" w:space="0" w:color="auto"/>
            </w:tcBorders>
            <w:shd w:val="clear" w:color="auto" w:fill="FFFFFF"/>
          </w:tcPr>
          <w:p w14:paraId="755D25AB"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c>
          <w:tcPr>
            <w:tcW w:w="2176" w:type="dxa"/>
            <w:tcBorders>
              <w:top w:val="single" w:sz="4" w:space="0" w:color="auto"/>
              <w:left w:val="single" w:sz="4" w:space="0" w:color="auto"/>
              <w:right w:val="single" w:sz="4" w:space="0" w:color="auto"/>
            </w:tcBorders>
            <w:shd w:val="clear" w:color="auto" w:fill="FFFFFF"/>
          </w:tcPr>
          <w:p w14:paraId="117B00D8"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r>
      <w:tr w:rsidR="008C76E0" w:rsidRPr="00DF2860" w14:paraId="317D5B4A" w14:textId="77777777" w:rsidTr="008C76E0">
        <w:trPr>
          <w:jc w:val="center"/>
        </w:trPr>
        <w:tc>
          <w:tcPr>
            <w:tcW w:w="2215" w:type="dxa"/>
            <w:gridSpan w:val="2"/>
            <w:vMerge/>
            <w:tcBorders>
              <w:left w:val="single" w:sz="4" w:space="0" w:color="auto"/>
            </w:tcBorders>
            <w:shd w:val="clear" w:color="auto" w:fill="FFFFFF"/>
          </w:tcPr>
          <w:p w14:paraId="32AC4DF8"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1737E782"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295pt"/>
                <w:rFonts w:ascii="Sylfaen" w:hAnsi="Sylfaen"/>
                <w:i/>
                <w:spacing w:val="0"/>
                <w:sz w:val="20"/>
                <w:szCs w:val="20"/>
              </w:rPr>
              <w:t xml:space="preserve">&lt;վարիացիաների վիճակագրությունը&gt; {օրինակ՝ ստանդարտ շեղումը, վստահելի միջակայքը </w:t>
            </w:r>
            <w:r w:rsidR="00C54D75">
              <w:rPr>
                <w:rStyle w:val="Bodytext295pt"/>
                <w:rFonts w:ascii="Sylfaen" w:hAnsi="Sylfaen"/>
                <w:i/>
                <w:spacing w:val="0"/>
                <w:sz w:val="20"/>
                <w:szCs w:val="20"/>
              </w:rPr>
              <w:t>և</w:t>
            </w:r>
            <w:r w:rsidRPr="00720CDC">
              <w:rPr>
                <w:rStyle w:val="Bodytext295pt"/>
                <w:rFonts w:ascii="Sylfaen" w:hAnsi="Sylfaen"/>
                <w:i/>
                <w:spacing w:val="0"/>
                <w:sz w:val="20"/>
                <w:szCs w:val="20"/>
              </w:rPr>
              <w:t xml:space="preserve"> այլն</w:t>
            </w:r>
            <w:r w:rsidRPr="00720CDC">
              <w:rPr>
                <w:rStyle w:val="Bodytext1811pt"/>
                <w:rFonts w:ascii="Sylfaen" w:hAnsi="Sylfaen"/>
                <w:i/>
                <w:sz w:val="20"/>
                <w:szCs w:val="20"/>
              </w:rPr>
              <w:t>}</w:t>
            </w:r>
          </w:p>
        </w:tc>
        <w:tc>
          <w:tcPr>
            <w:tcW w:w="2247" w:type="dxa"/>
            <w:tcBorders>
              <w:top w:val="single" w:sz="4" w:space="0" w:color="auto"/>
              <w:left w:val="single" w:sz="4" w:space="0" w:color="auto"/>
            </w:tcBorders>
            <w:shd w:val="clear" w:color="auto" w:fill="FFFFFF"/>
          </w:tcPr>
          <w:p w14:paraId="56B9137B" w14:textId="77777777" w:rsidR="008C76E0" w:rsidRPr="00720CDC" w:rsidRDefault="008C76E0" w:rsidP="008C76E0">
            <w:pPr>
              <w:pStyle w:val="Bodytext180"/>
              <w:shd w:val="clear" w:color="auto" w:fill="auto"/>
              <w:spacing w:before="0" w:after="120" w:line="240" w:lineRule="auto"/>
              <w:ind w:left="-14"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95" w:type="dxa"/>
            <w:gridSpan w:val="2"/>
            <w:tcBorders>
              <w:top w:val="single" w:sz="4" w:space="0" w:color="auto"/>
              <w:left w:val="single" w:sz="4" w:space="0" w:color="auto"/>
            </w:tcBorders>
            <w:shd w:val="clear" w:color="auto" w:fill="FFFFFF"/>
          </w:tcPr>
          <w:p w14:paraId="152D4ACD"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76" w:type="dxa"/>
            <w:tcBorders>
              <w:top w:val="single" w:sz="4" w:space="0" w:color="auto"/>
              <w:left w:val="single" w:sz="4" w:space="0" w:color="auto"/>
              <w:right w:val="single" w:sz="4" w:space="0" w:color="auto"/>
            </w:tcBorders>
            <w:shd w:val="clear" w:color="auto" w:fill="FFFFFF"/>
          </w:tcPr>
          <w:p w14:paraId="059B4A48"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r>
      <w:tr w:rsidR="008C76E0" w:rsidRPr="00DF2860" w14:paraId="433E560E" w14:textId="77777777" w:rsidTr="008C76E0">
        <w:trPr>
          <w:jc w:val="center"/>
        </w:trPr>
        <w:tc>
          <w:tcPr>
            <w:tcW w:w="2215" w:type="dxa"/>
            <w:gridSpan w:val="2"/>
            <w:vMerge/>
            <w:tcBorders>
              <w:left w:val="single" w:sz="4" w:space="0" w:color="auto"/>
            </w:tcBorders>
            <w:shd w:val="clear" w:color="auto" w:fill="FFFFFF"/>
          </w:tcPr>
          <w:p w14:paraId="3123E307"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48C93F69"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 xml:space="preserve">&lt;կլինիկական հետազոտությունների կետը&gt; </w:t>
            </w:r>
            <w:r w:rsidRPr="00720CDC">
              <w:rPr>
                <w:rStyle w:val="Bodytext1811pt"/>
                <w:rFonts w:ascii="Sylfaen" w:hAnsi="Sylfaen"/>
                <w:i/>
                <w:sz w:val="20"/>
                <w:szCs w:val="20"/>
              </w:rPr>
              <w:t>(</w:t>
            </w:r>
            <w:r w:rsidRPr="00720CDC">
              <w:rPr>
                <w:rStyle w:val="Bodytext295pt"/>
                <w:rFonts w:ascii="Sylfaen" w:hAnsi="Sylfaen"/>
                <w:i/>
                <w:spacing w:val="0"/>
                <w:sz w:val="20"/>
                <w:szCs w:val="20"/>
              </w:rPr>
              <w:t>&lt;վիճակագրություն&gt;</w:t>
            </w:r>
            <w:r w:rsidRPr="00720CDC">
              <w:rPr>
                <w:rStyle w:val="Bodytext1811pt"/>
                <w:rFonts w:ascii="Sylfaen" w:hAnsi="Sylfaen"/>
                <w:i/>
                <w:sz w:val="20"/>
                <w:szCs w:val="20"/>
              </w:rPr>
              <w:t>)</w:t>
            </w:r>
          </w:p>
        </w:tc>
        <w:tc>
          <w:tcPr>
            <w:tcW w:w="2247" w:type="dxa"/>
            <w:tcBorders>
              <w:top w:val="single" w:sz="4" w:space="0" w:color="auto"/>
              <w:left w:val="single" w:sz="4" w:space="0" w:color="auto"/>
            </w:tcBorders>
            <w:shd w:val="clear" w:color="auto" w:fill="FFFFFF"/>
          </w:tcPr>
          <w:p w14:paraId="6B927E00"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w:t>
            </w:r>
            <w:r w:rsidRPr="00720CDC">
              <w:rPr>
                <w:rFonts w:ascii="Sylfaen" w:hAnsi="Sylfaen"/>
                <w:b w:val="0"/>
                <w:i/>
                <w:sz w:val="20"/>
                <w:szCs w:val="20"/>
              </w:rPr>
              <w:t xml:space="preserve"> </w:t>
            </w:r>
            <w:r w:rsidRPr="00720CDC">
              <w:rPr>
                <w:rStyle w:val="Bodytext295pt"/>
                <w:rFonts w:ascii="Sylfaen" w:hAnsi="Sylfaen"/>
                <w:i/>
                <w:spacing w:val="0"/>
                <w:sz w:val="20"/>
                <w:szCs w:val="20"/>
              </w:rPr>
              <w:t>գնահատումը&gt;</w:t>
            </w:r>
          </w:p>
        </w:tc>
        <w:tc>
          <w:tcPr>
            <w:tcW w:w="2195" w:type="dxa"/>
            <w:gridSpan w:val="2"/>
            <w:tcBorders>
              <w:top w:val="single" w:sz="4" w:space="0" w:color="auto"/>
              <w:left w:val="single" w:sz="4" w:space="0" w:color="auto"/>
            </w:tcBorders>
            <w:shd w:val="clear" w:color="auto" w:fill="FFFFFF"/>
          </w:tcPr>
          <w:p w14:paraId="6DF8C48D"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c>
          <w:tcPr>
            <w:tcW w:w="2176" w:type="dxa"/>
            <w:tcBorders>
              <w:top w:val="single" w:sz="4" w:space="0" w:color="auto"/>
              <w:left w:val="single" w:sz="4" w:space="0" w:color="auto"/>
              <w:right w:val="single" w:sz="4" w:space="0" w:color="auto"/>
            </w:tcBorders>
            <w:shd w:val="clear" w:color="auto" w:fill="FFFFFF"/>
          </w:tcPr>
          <w:p w14:paraId="7B994D7B"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r>
      <w:tr w:rsidR="008C76E0" w:rsidRPr="00DF2860" w14:paraId="295E3B90" w14:textId="77777777" w:rsidTr="008C76E0">
        <w:trPr>
          <w:jc w:val="center"/>
        </w:trPr>
        <w:tc>
          <w:tcPr>
            <w:tcW w:w="2215" w:type="dxa"/>
            <w:gridSpan w:val="2"/>
            <w:vMerge/>
            <w:tcBorders>
              <w:left w:val="single" w:sz="4" w:space="0" w:color="auto"/>
            </w:tcBorders>
            <w:shd w:val="clear" w:color="auto" w:fill="FFFFFF"/>
          </w:tcPr>
          <w:p w14:paraId="49781FFE"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tcPr>
          <w:p w14:paraId="20702300"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1811pt"/>
                <w:rFonts w:ascii="Sylfaen" w:hAnsi="Sylfaen"/>
                <w:i/>
                <w:sz w:val="20"/>
                <w:szCs w:val="20"/>
              </w:rPr>
              <w:t>&lt;վարիացիաների վիճակագրությունը&gt;</w:t>
            </w:r>
          </w:p>
        </w:tc>
        <w:tc>
          <w:tcPr>
            <w:tcW w:w="2247" w:type="dxa"/>
            <w:tcBorders>
              <w:top w:val="single" w:sz="4" w:space="0" w:color="auto"/>
              <w:left w:val="single" w:sz="4" w:space="0" w:color="auto"/>
            </w:tcBorders>
            <w:shd w:val="clear" w:color="auto" w:fill="FFFFFF"/>
            <w:vAlign w:val="bottom"/>
          </w:tcPr>
          <w:p w14:paraId="08FB74AB"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95" w:type="dxa"/>
            <w:gridSpan w:val="2"/>
            <w:tcBorders>
              <w:top w:val="single" w:sz="4" w:space="0" w:color="auto"/>
              <w:left w:val="single" w:sz="4" w:space="0" w:color="auto"/>
            </w:tcBorders>
            <w:shd w:val="clear" w:color="auto" w:fill="FFFFFF"/>
            <w:vAlign w:val="bottom"/>
          </w:tcPr>
          <w:p w14:paraId="31B78A68"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76" w:type="dxa"/>
            <w:tcBorders>
              <w:top w:val="single" w:sz="4" w:space="0" w:color="auto"/>
              <w:left w:val="single" w:sz="4" w:space="0" w:color="auto"/>
              <w:right w:val="single" w:sz="4" w:space="0" w:color="auto"/>
            </w:tcBorders>
            <w:shd w:val="clear" w:color="auto" w:fill="FFFFFF"/>
            <w:vAlign w:val="bottom"/>
          </w:tcPr>
          <w:p w14:paraId="694579CA" w14:textId="77777777" w:rsidR="008C76E0" w:rsidRPr="00720CDC" w:rsidRDefault="008C76E0" w:rsidP="008C76E0">
            <w:pPr>
              <w:pStyle w:val="Bodytext180"/>
              <w:shd w:val="clear" w:color="auto" w:fill="auto"/>
              <w:spacing w:before="0" w:after="120" w:line="240" w:lineRule="auto"/>
              <w:ind w:left="-4"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r>
      <w:tr w:rsidR="008C76E0" w:rsidRPr="00DF2860" w14:paraId="7D9C62E6" w14:textId="77777777" w:rsidTr="008C76E0">
        <w:trPr>
          <w:jc w:val="center"/>
        </w:trPr>
        <w:tc>
          <w:tcPr>
            <w:tcW w:w="2215" w:type="dxa"/>
            <w:gridSpan w:val="2"/>
            <w:vMerge/>
            <w:tcBorders>
              <w:left w:val="single" w:sz="4" w:space="0" w:color="auto"/>
            </w:tcBorders>
            <w:shd w:val="clear" w:color="auto" w:fill="FFFFFF"/>
          </w:tcPr>
          <w:p w14:paraId="1F1FBC7C"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1F8EAB3A"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&lt;կլինիկական հետազոտությունների կետը</w:t>
            </w:r>
          </w:p>
        </w:tc>
        <w:tc>
          <w:tcPr>
            <w:tcW w:w="2247" w:type="dxa"/>
            <w:tcBorders>
              <w:top w:val="single" w:sz="4" w:space="0" w:color="auto"/>
              <w:left w:val="single" w:sz="4" w:space="0" w:color="auto"/>
            </w:tcBorders>
            <w:shd w:val="clear" w:color="auto" w:fill="FFFFFF"/>
            <w:vAlign w:val="bottom"/>
          </w:tcPr>
          <w:p w14:paraId="3F4BA32B"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w:t>
            </w:r>
            <w:r w:rsidRPr="00720CDC">
              <w:rPr>
                <w:rFonts w:ascii="Sylfaen" w:hAnsi="Sylfaen"/>
                <w:b w:val="0"/>
                <w:i/>
                <w:sz w:val="20"/>
                <w:szCs w:val="20"/>
              </w:rPr>
              <w:t xml:space="preserve"> </w:t>
            </w:r>
            <w:r w:rsidRPr="00720CDC">
              <w:rPr>
                <w:rStyle w:val="Bodytext295pt"/>
                <w:rFonts w:ascii="Sylfaen" w:hAnsi="Sylfaen"/>
                <w:i/>
                <w:spacing w:val="0"/>
                <w:sz w:val="20"/>
                <w:szCs w:val="20"/>
              </w:rPr>
              <w:t>գնահատումը&gt;</w:t>
            </w:r>
          </w:p>
        </w:tc>
        <w:tc>
          <w:tcPr>
            <w:tcW w:w="2195" w:type="dxa"/>
            <w:gridSpan w:val="2"/>
            <w:tcBorders>
              <w:top w:val="single" w:sz="4" w:space="0" w:color="auto"/>
              <w:left w:val="single" w:sz="4" w:space="0" w:color="auto"/>
            </w:tcBorders>
            <w:shd w:val="clear" w:color="auto" w:fill="FFFFFF"/>
            <w:vAlign w:val="bottom"/>
          </w:tcPr>
          <w:p w14:paraId="53BF6CF4"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c>
          <w:tcPr>
            <w:tcW w:w="2176" w:type="dxa"/>
            <w:tcBorders>
              <w:top w:val="single" w:sz="4" w:space="0" w:color="auto"/>
              <w:left w:val="single" w:sz="4" w:space="0" w:color="auto"/>
              <w:right w:val="single" w:sz="4" w:space="0" w:color="auto"/>
            </w:tcBorders>
            <w:shd w:val="clear" w:color="auto" w:fill="FFFFFF"/>
            <w:vAlign w:val="bottom"/>
          </w:tcPr>
          <w:p w14:paraId="71C3BFA7"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&lt;կետային գնահատումը&gt;</w:t>
            </w:r>
          </w:p>
        </w:tc>
      </w:tr>
      <w:tr w:rsidR="008C76E0" w:rsidRPr="00DF2860" w14:paraId="136F7670" w14:textId="77777777" w:rsidTr="008C76E0">
        <w:trPr>
          <w:jc w:val="center"/>
        </w:trPr>
        <w:tc>
          <w:tcPr>
            <w:tcW w:w="2215" w:type="dxa"/>
            <w:gridSpan w:val="2"/>
            <w:vMerge/>
            <w:tcBorders>
              <w:left w:val="single" w:sz="4" w:space="0" w:color="auto"/>
            </w:tcBorders>
            <w:shd w:val="clear" w:color="auto" w:fill="FFFFFF"/>
          </w:tcPr>
          <w:p w14:paraId="738B0DDC"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389F97F3"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(&lt;վիճակագրություն&gt;)</w:t>
            </w:r>
          </w:p>
          <w:p w14:paraId="5D9515D3"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&lt;վարիացիաների վիճակագրությունը&gt;</w:t>
            </w:r>
          </w:p>
        </w:tc>
        <w:tc>
          <w:tcPr>
            <w:tcW w:w="2247" w:type="dxa"/>
            <w:tcBorders>
              <w:top w:val="single" w:sz="4" w:space="0" w:color="auto"/>
              <w:left w:val="single" w:sz="4" w:space="0" w:color="auto"/>
            </w:tcBorders>
            <w:shd w:val="clear" w:color="auto" w:fill="FFFFFF"/>
          </w:tcPr>
          <w:p w14:paraId="3B73239B"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95" w:type="dxa"/>
            <w:gridSpan w:val="2"/>
            <w:tcBorders>
              <w:top w:val="single" w:sz="4" w:space="0" w:color="auto"/>
              <w:left w:val="single" w:sz="4" w:space="0" w:color="auto"/>
            </w:tcBorders>
            <w:shd w:val="clear" w:color="auto" w:fill="FFFFFF"/>
          </w:tcPr>
          <w:p w14:paraId="4B29D6FC"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c>
          <w:tcPr>
            <w:tcW w:w="2176" w:type="dxa"/>
            <w:tcBorders>
              <w:top w:val="single" w:sz="4" w:space="0" w:color="auto"/>
              <w:left w:val="single" w:sz="4" w:space="0" w:color="auto"/>
              <w:right w:val="single" w:sz="4" w:space="0" w:color="auto"/>
            </w:tcBorders>
            <w:shd w:val="clear" w:color="auto" w:fill="FFFFFF"/>
          </w:tcPr>
          <w:p w14:paraId="1F296E0C" w14:textId="77777777" w:rsidR="008C76E0" w:rsidRPr="00720CDC"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720CDC">
              <w:rPr>
                <w:rStyle w:val="Bodytext295pt"/>
                <w:rFonts w:ascii="Sylfaen" w:hAnsi="Sylfaen"/>
                <w:i/>
                <w:spacing w:val="0"/>
                <w:sz w:val="20"/>
                <w:szCs w:val="20"/>
              </w:rPr>
              <w:t>&lt;վարիատիվությունը&gt;</w:t>
            </w:r>
          </w:p>
        </w:tc>
      </w:tr>
      <w:tr w:rsidR="008C76E0" w:rsidRPr="00DF2860" w14:paraId="66BB4B5F" w14:textId="77777777" w:rsidTr="008C76E0">
        <w:trPr>
          <w:jc w:val="center"/>
        </w:trPr>
        <w:tc>
          <w:tcPr>
            <w:tcW w:w="2215" w:type="dxa"/>
            <w:gridSpan w:val="2"/>
            <w:vMerge w:val="restart"/>
            <w:tcBorders>
              <w:top w:val="single" w:sz="4" w:space="0" w:color="auto"/>
              <w:left w:val="single" w:sz="4" w:space="0" w:color="auto"/>
            </w:tcBorders>
            <w:shd w:val="clear" w:color="auto" w:fill="FFFFFF"/>
          </w:tcPr>
          <w:p w14:paraId="361F6361" w14:textId="77777777" w:rsidR="008C76E0" w:rsidRPr="008C76E0" w:rsidRDefault="008C76E0" w:rsidP="008C76E0">
            <w:pPr>
              <w:pStyle w:val="Bodytext180"/>
              <w:shd w:val="clear" w:color="auto" w:fill="auto"/>
              <w:spacing w:before="0" w:after="120" w:line="288" w:lineRule="auto"/>
              <w:ind w:left="10" w:firstLine="0"/>
              <w:jc w:val="center"/>
              <w:rPr>
                <w:rFonts w:ascii="Sylfaen" w:hAnsi="Sylfaen"/>
                <w:b w:val="0"/>
                <w:sz w:val="20"/>
                <w:szCs w:val="20"/>
                <w:lang w:val="hy-AM"/>
              </w:rPr>
            </w:pPr>
            <w:r w:rsidRPr="00DF2860">
              <w:rPr>
                <w:rStyle w:val="Bodytext1811pt"/>
                <w:rFonts w:ascii="Sylfaen" w:hAnsi="Sylfaen"/>
                <w:sz w:val="20"/>
                <w:szCs w:val="20"/>
              </w:rPr>
              <w:t xml:space="preserve">Էֆեկտի գնահատումը համեմատության ժամանակ </w:t>
            </w:r>
            <w:r w:rsidRPr="00DF2860">
              <w:rPr>
                <w:rStyle w:val="Bodytext295pt"/>
                <w:rFonts w:ascii="Sylfaen" w:hAnsi="Sylfaen"/>
                <w:spacing w:val="0"/>
                <w:sz w:val="20"/>
                <w:szCs w:val="20"/>
              </w:rPr>
              <w:t xml:space="preserve">{ավելացրեք անհրաժեշտ քանակով տողեր՝ փաստացի կատարված </w:t>
            </w:r>
            <w:r w:rsidRPr="00DF2860">
              <w:rPr>
                <w:rStyle w:val="Bodytext295pt"/>
                <w:rFonts w:ascii="Sylfaen" w:hAnsi="Sylfaen"/>
                <w:spacing w:val="0"/>
                <w:sz w:val="20"/>
                <w:szCs w:val="20"/>
              </w:rPr>
              <w:lastRenderedPageBreak/>
              <w:t>վիճակագրական վերլուծության նկարագրության համար}</w:t>
            </w:r>
          </w:p>
        </w:tc>
        <w:tc>
          <w:tcPr>
            <w:tcW w:w="2330" w:type="dxa"/>
            <w:vMerge w:val="restart"/>
            <w:tcBorders>
              <w:top w:val="single" w:sz="4" w:space="0" w:color="auto"/>
              <w:left w:val="single" w:sz="4" w:space="0" w:color="auto"/>
            </w:tcBorders>
            <w:shd w:val="clear" w:color="auto" w:fill="FFFFFF"/>
          </w:tcPr>
          <w:p w14:paraId="6D345F05" w14:textId="77777777" w:rsidR="008C76E0" w:rsidRPr="008C76E0" w:rsidRDefault="008C76E0" w:rsidP="008C76E0">
            <w:pPr>
              <w:pStyle w:val="Bodytext180"/>
              <w:shd w:val="clear" w:color="auto" w:fill="auto"/>
              <w:spacing w:before="0" w:after="120" w:line="288" w:lineRule="auto"/>
              <w:ind w:firstLine="0"/>
              <w:jc w:val="center"/>
              <w:rPr>
                <w:rFonts w:ascii="Sylfaen" w:hAnsi="Sylfaen"/>
                <w:b w:val="0"/>
                <w:i/>
                <w:sz w:val="20"/>
                <w:szCs w:val="20"/>
                <w:lang w:val="hy-AM"/>
              </w:rPr>
            </w:pPr>
            <w:r w:rsidRPr="00720CDC">
              <w:rPr>
                <w:rStyle w:val="Bodytext295pt"/>
                <w:rFonts w:ascii="Sylfaen" w:hAnsi="Sylfaen"/>
                <w:i/>
                <w:spacing w:val="0"/>
                <w:sz w:val="20"/>
                <w:szCs w:val="20"/>
              </w:rPr>
              <w:lastRenderedPageBreak/>
              <w:t xml:space="preserve">&lt;Համակցված&gt; </w:t>
            </w:r>
            <w:r w:rsidRPr="00720CDC">
              <w:rPr>
                <w:rStyle w:val="Bodytext1811pt"/>
                <w:rFonts w:ascii="Sylfaen" w:hAnsi="Sylfaen"/>
                <w:i/>
                <w:sz w:val="20"/>
                <w:szCs w:val="20"/>
              </w:rPr>
              <w:t>Կլինիկական հետազոտության առաջնային կետը</w:t>
            </w:r>
          </w:p>
        </w:tc>
        <w:tc>
          <w:tcPr>
            <w:tcW w:w="2894" w:type="dxa"/>
            <w:gridSpan w:val="2"/>
            <w:tcBorders>
              <w:top w:val="single" w:sz="4" w:space="0" w:color="auto"/>
              <w:left w:val="single" w:sz="4" w:space="0" w:color="auto"/>
            </w:tcBorders>
            <w:shd w:val="clear" w:color="auto" w:fill="FFFFFF"/>
          </w:tcPr>
          <w:p w14:paraId="0D2E3A68" w14:textId="77777777" w:rsidR="008C76E0" w:rsidRPr="00DF2860" w:rsidRDefault="008C76E0" w:rsidP="008C76E0">
            <w:pPr>
              <w:pStyle w:val="Bodytext180"/>
              <w:shd w:val="clear" w:color="auto" w:fill="auto"/>
              <w:spacing w:before="0" w:after="120" w:line="288" w:lineRule="auto"/>
              <w:ind w:firstLine="0"/>
              <w:jc w:val="center"/>
              <w:rPr>
                <w:rFonts w:ascii="Sylfaen" w:hAnsi="Sylfaen"/>
                <w:b w:val="0"/>
                <w:sz w:val="20"/>
                <w:szCs w:val="20"/>
              </w:rPr>
            </w:pPr>
            <w:r w:rsidRPr="00DF2860">
              <w:rPr>
                <w:rStyle w:val="Bodytext1811pt"/>
                <w:rFonts w:ascii="Sylfaen" w:hAnsi="Sylfaen"/>
                <w:sz w:val="20"/>
                <w:szCs w:val="20"/>
              </w:rPr>
              <w:t>Համեմատության խմբերը</w:t>
            </w:r>
          </w:p>
        </w:tc>
        <w:tc>
          <w:tcPr>
            <w:tcW w:w="3724" w:type="dxa"/>
            <w:gridSpan w:val="2"/>
            <w:tcBorders>
              <w:top w:val="single" w:sz="4" w:space="0" w:color="auto"/>
              <w:left w:val="single" w:sz="4" w:space="0" w:color="auto"/>
              <w:right w:val="single" w:sz="4" w:space="0" w:color="auto"/>
            </w:tcBorders>
            <w:shd w:val="clear" w:color="auto" w:fill="FFFFFF"/>
            <w:vAlign w:val="bottom"/>
          </w:tcPr>
          <w:p w14:paraId="4183575C" w14:textId="77777777" w:rsidR="008C76E0" w:rsidRPr="00DF2860" w:rsidRDefault="008C76E0" w:rsidP="008C76E0">
            <w:pPr>
              <w:pStyle w:val="Bodytext180"/>
              <w:shd w:val="clear" w:color="auto" w:fill="auto"/>
              <w:spacing w:before="0" w:after="120" w:line="288" w:lineRule="auto"/>
              <w:ind w:firstLine="0"/>
              <w:jc w:val="center"/>
              <w:rPr>
                <w:rFonts w:ascii="Sylfaen" w:hAnsi="Sylfaen"/>
                <w:b w:val="0"/>
                <w:sz w:val="20"/>
                <w:szCs w:val="20"/>
              </w:rPr>
            </w:pPr>
            <w:r w:rsidRPr="00DF2860">
              <w:rPr>
                <w:rStyle w:val="Bodytext295pt"/>
                <w:rFonts w:ascii="Sylfaen" w:hAnsi="Sylfaen"/>
                <w:spacing w:val="0"/>
                <w:sz w:val="20"/>
                <w:szCs w:val="20"/>
              </w:rPr>
              <w:t>&lt;խմբի ծածկագրված նշագիրը&gt; {համաձայն վերը բերված եզրութաբանության}</w:t>
            </w:r>
          </w:p>
        </w:tc>
      </w:tr>
      <w:tr w:rsidR="008C76E0" w:rsidRPr="00DF2860" w14:paraId="4CDF89A9" w14:textId="77777777" w:rsidTr="008C76E0">
        <w:trPr>
          <w:jc w:val="center"/>
        </w:trPr>
        <w:tc>
          <w:tcPr>
            <w:tcW w:w="2215" w:type="dxa"/>
            <w:gridSpan w:val="2"/>
            <w:vMerge/>
            <w:tcBorders>
              <w:left w:val="single" w:sz="4" w:space="0" w:color="auto"/>
            </w:tcBorders>
            <w:shd w:val="clear" w:color="auto" w:fill="FFFFFF"/>
          </w:tcPr>
          <w:p w14:paraId="3A476B61" w14:textId="77777777" w:rsidR="008C76E0" w:rsidRPr="00DF2860" w:rsidRDefault="008C76E0" w:rsidP="008C76E0">
            <w:pPr>
              <w:spacing w:after="120" w:line="288" w:lineRule="auto"/>
              <w:ind w:left="10"/>
              <w:jc w:val="center"/>
              <w:rPr>
                <w:rFonts w:ascii="Sylfaen" w:hAnsi="Sylfaen"/>
                <w:sz w:val="20"/>
                <w:szCs w:val="20"/>
              </w:rPr>
            </w:pPr>
          </w:p>
        </w:tc>
        <w:tc>
          <w:tcPr>
            <w:tcW w:w="2330" w:type="dxa"/>
            <w:vMerge/>
            <w:tcBorders>
              <w:left w:val="single" w:sz="4" w:space="0" w:color="auto"/>
            </w:tcBorders>
            <w:shd w:val="clear" w:color="auto" w:fill="FFFFFF"/>
          </w:tcPr>
          <w:p w14:paraId="60EF4958" w14:textId="77777777" w:rsidR="008C76E0" w:rsidRPr="00720CDC" w:rsidRDefault="008C76E0" w:rsidP="008C76E0">
            <w:pPr>
              <w:spacing w:after="120" w:line="288" w:lineRule="auto"/>
              <w:jc w:val="center"/>
              <w:rPr>
                <w:rFonts w:ascii="Sylfaen" w:hAnsi="Sylfaen"/>
                <w:i/>
                <w:sz w:val="20"/>
                <w:szCs w:val="20"/>
              </w:rPr>
            </w:pPr>
          </w:p>
        </w:tc>
        <w:tc>
          <w:tcPr>
            <w:tcW w:w="2894" w:type="dxa"/>
            <w:gridSpan w:val="2"/>
            <w:tcBorders>
              <w:top w:val="single" w:sz="4" w:space="0" w:color="auto"/>
              <w:left w:val="single" w:sz="4" w:space="0" w:color="auto"/>
            </w:tcBorders>
            <w:shd w:val="clear" w:color="auto" w:fill="FFFFFF"/>
            <w:vAlign w:val="bottom"/>
          </w:tcPr>
          <w:p w14:paraId="56DD9E64" w14:textId="77777777" w:rsidR="008C76E0" w:rsidRPr="008C76E0" w:rsidRDefault="008C76E0" w:rsidP="008C76E0">
            <w:pPr>
              <w:pStyle w:val="Bodytext180"/>
              <w:shd w:val="clear" w:color="auto" w:fill="auto"/>
              <w:spacing w:before="0" w:after="120" w:line="288" w:lineRule="auto"/>
              <w:ind w:firstLine="0"/>
              <w:jc w:val="center"/>
              <w:rPr>
                <w:rFonts w:ascii="Sylfaen" w:hAnsi="Sylfaen"/>
                <w:b w:val="0"/>
                <w:i/>
                <w:sz w:val="20"/>
                <w:szCs w:val="20"/>
                <w:lang w:val="hy-AM"/>
              </w:rPr>
            </w:pPr>
            <w:r w:rsidRPr="0032101F">
              <w:rPr>
                <w:rStyle w:val="Bodytext295pt"/>
                <w:rFonts w:ascii="Sylfaen" w:hAnsi="Sylfaen"/>
                <w:i/>
                <w:spacing w:val="0"/>
                <w:sz w:val="20"/>
                <w:szCs w:val="20"/>
              </w:rPr>
              <w:t>&lt;նշանակալիության չափանիշը&gt; (օրինակ՝ խմբերի միջ</w:t>
            </w:r>
            <w:r w:rsidR="00C54D75">
              <w:rPr>
                <w:rStyle w:val="Bodytext295pt"/>
                <w:rFonts w:ascii="Sylfaen" w:hAnsi="Sylfaen"/>
                <w:i/>
                <w:spacing w:val="0"/>
                <w:sz w:val="20"/>
                <w:szCs w:val="20"/>
              </w:rPr>
              <w:t>և</w:t>
            </w:r>
            <w:r w:rsidRPr="0032101F">
              <w:rPr>
                <w:rStyle w:val="Bodytext295pt"/>
                <w:rFonts w:ascii="Sylfaen" w:hAnsi="Sylfaen"/>
                <w:i/>
                <w:spacing w:val="0"/>
                <w:sz w:val="20"/>
                <w:szCs w:val="20"/>
              </w:rPr>
              <w:t xml:space="preserve"> տարբերությունը)</w:t>
            </w:r>
            <w:r w:rsidRPr="008C76E0">
              <w:rPr>
                <w:rFonts w:ascii="Sylfaen" w:hAnsi="Sylfaen"/>
                <w:b w:val="0"/>
                <w:i/>
                <w:sz w:val="20"/>
                <w:szCs w:val="20"/>
                <w:lang w:val="hy-AM"/>
              </w:rPr>
              <w:t xml:space="preserve"> </w:t>
            </w:r>
          </w:p>
        </w:tc>
        <w:tc>
          <w:tcPr>
            <w:tcW w:w="3724" w:type="dxa"/>
            <w:gridSpan w:val="2"/>
            <w:tcBorders>
              <w:top w:val="single" w:sz="4" w:space="0" w:color="auto"/>
              <w:left w:val="single" w:sz="4" w:space="0" w:color="auto"/>
              <w:right w:val="single" w:sz="4" w:space="0" w:color="auto"/>
            </w:tcBorders>
            <w:shd w:val="clear" w:color="auto" w:fill="FFFFFF"/>
          </w:tcPr>
          <w:p w14:paraId="0F1251F9" w14:textId="77777777" w:rsidR="008C76E0" w:rsidRPr="0032101F" w:rsidRDefault="008C76E0" w:rsidP="008C76E0">
            <w:pPr>
              <w:pStyle w:val="Bodytext180"/>
              <w:shd w:val="clear" w:color="auto" w:fill="auto"/>
              <w:spacing w:before="0" w:after="120" w:line="288" w:lineRule="auto"/>
              <w:ind w:firstLine="0"/>
              <w:jc w:val="center"/>
              <w:rPr>
                <w:rFonts w:ascii="Sylfaen" w:hAnsi="Sylfaen"/>
                <w:b w:val="0"/>
                <w:i/>
                <w:sz w:val="20"/>
                <w:szCs w:val="20"/>
              </w:rPr>
            </w:pPr>
            <w:r w:rsidRPr="0032101F">
              <w:rPr>
                <w:rStyle w:val="Bodytext295pt"/>
                <w:rFonts w:ascii="Sylfaen" w:hAnsi="Sylfaen"/>
                <w:i/>
                <w:spacing w:val="0"/>
                <w:sz w:val="20"/>
                <w:szCs w:val="20"/>
              </w:rPr>
              <w:t>&lt;կետային գնահատումը&gt;</w:t>
            </w:r>
          </w:p>
        </w:tc>
      </w:tr>
      <w:tr w:rsidR="008C76E0" w:rsidRPr="00DF2860" w14:paraId="0254D26E" w14:textId="77777777" w:rsidTr="008C76E0">
        <w:trPr>
          <w:jc w:val="center"/>
        </w:trPr>
        <w:tc>
          <w:tcPr>
            <w:tcW w:w="2215" w:type="dxa"/>
            <w:gridSpan w:val="2"/>
            <w:vMerge/>
            <w:tcBorders>
              <w:left w:val="single" w:sz="4" w:space="0" w:color="auto"/>
            </w:tcBorders>
            <w:shd w:val="clear" w:color="auto" w:fill="FFFFFF"/>
          </w:tcPr>
          <w:p w14:paraId="36B0E7D2"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tcPr>
          <w:p w14:paraId="3BBA2B72" w14:textId="77777777" w:rsidR="008C76E0" w:rsidRPr="00720CDC" w:rsidRDefault="008C76E0" w:rsidP="008C76E0">
            <w:pPr>
              <w:spacing w:after="120" w:line="240" w:lineRule="auto"/>
              <w:ind w:right="-1"/>
              <w:jc w:val="center"/>
              <w:rPr>
                <w:rFonts w:ascii="Sylfaen" w:hAnsi="Sylfaen"/>
                <w:i/>
                <w:sz w:val="20"/>
                <w:szCs w:val="20"/>
              </w:rPr>
            </w:pPr>
          </w:p>
        </w:tc>
        <w:tc>
          <w:tcPr>
            <w:tcW w:w="2894" w:type="dxa"/>
            <w:gridSpan w:val="2"/>
            <w:tcBorders>
              <w:top w:val="single" w:sz="4" w:space="0" w:color="auto"/>
              <w:left w:val="single" w:sz="4" w:space="0" w:color="auto"/>
            </w:tcBorders>
            <w:shd w:val="clear" w:color="auto" w:fill="FFFFFF"/>
            <w:vAlign w:val="bottom"/>
          </w:tcPr>
          <w:p w14:paraId="70218B2E"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32101F">
              <w:rPr>
                <w:rStyle w:val="Bodytext295pt"/>
                <w:rFonts w:ascii="Sylfaen" w:hAnsi="Sylfaen"/>
                <w:i/>
                <w:spacing w:val="0"/>
                <w:sz w:val="20"/>
                <w:szCs w:val="20"/>
              </w:rPr>
              <w:t>&lt;վարիացիաների վիճակագրությունը&gt;</w:t>
            </w:r>
          </w:p>
          <w:p w14:paraId="51E54A96"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32101F">
              <w:rPr>
                <w:rStyle w:val="Bodytext295pt"/>
                <w:rFonts w:ascii="Sylfaen" w:hAnsi="Sylfaen"/>
                <w:i/>
                <w:spacing w:val="0"/>
                <w:sz w:val="20"/>
                <w:szCs w:val="20"/>
              </w:rPr>
              <w:t xml:space="preserve">{օրինակ՝ վստահելի միջակայքը </w:t>
            </w:r>
            <w:r w:rsidR="00C54D75">
              <w:rPr>
                <w:rStyle w:val="Bodytext295pt"/>
                <w:rFonts w:ascii="Sylfaen" w:hAnsi="Sylfaen"/>
                <w:i/>
                <w:spacing w:val="0"/>
                <w:sz w:val="20"/>
                <w:szCs w:val="20"/>
              </w:rPr>
              <w:t>և</w:t>
            </w:r>
            <w:r w:rsidRPr="0032101F">
              <w:rPr>
                <w:rStyle w:val="Bodytext295pt"/>
                <w:rFonts w:ascii="Sylfaen" w:hAnsi="Sylfaen"/>
                <w:i/>
                <w:spacing w:val="0"/>
                <w:sz w:val="20"/>
                <w:szCs w:val="20"/>
              </w:rPr>
              <w:t xml:space="preserve"> այլն</w:t>
            </w:r>
            <w:r w:rsidRPr="0032101F">
              <w:rPr>
                <w:rStyle w:val="Bodytext1811pt"/>
                <w:rFonts w:ascii="Sylfaen" w:hAnsi="Sylfaen"/>
                <w:i/>
                <w:sz w:val="20"/>
                <w:szCs w:val="20"/>
              </w:rPr>
              <w:t>}</w:t>
            </w:r>
          </w:p>
        </w:tc>
        <w:tc>
          <w:tcPr>
            <w:tcW w:w="3724" w:type="dxa"/>
            <w:gridSpan w:val="2"/>
            <w:tcBorders>
              <w:top w:val="single" w:sz="4" w:space="0" w:color="auto"/>
              <w:left w:val="single" w:sz="4" w:space="0" w:color="auto"/>
              <w:right w:val="single" w:sz="4" w:space="0" w:color="auto"/>
            </w:tcBorders>
            <w:shd w:val="clear" w:color="auto" w:fill="FFFFFF"/>
          </w:tcPr>
          <w:p w14:paraId="646B4577"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295pt"/>
                <w:rFonts w:ascii="Sylfaen" w:hAnsi="Sylfaen"/>
                <w:spacing w:val="0"/>
                <w:sz w:val="20"/>
                <w:szCs w:val="20"/>
              </w:rPr>
              <w:t>&lt;վարիատիվությունը&gt;</w:t>
            </w:r>
          </w:p>
        </w:tc>
      </w:tr>
      <w:tr w:rsidR="008C76E0" w:rsidRPr="00DF2860" w14:paraId="5BA5E0BB" w14:textId="77777777" w:rsidTr="008C76E0">
        <w:trPr>
          <w:jc w:val="center"/>
        </w:trPr>
        <w:tc>
          <w:tcPr>
            <w:tcW w:w="2215" w:type="dxa"/>
            <w:gridSpan w:val="2"/>
            <w:vMerge/>
            <w:tcBorders>
              <w:left w:val="single" w:sz="4" w:space="0" w:color="auto"/>
            </w:tcBorders>
            <w:shd w:val="clear" w:color="auto" w:fill="FFFFFF"/>
          </w:tcPr>
          <w:p w14:paraId="0B198488"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tcPr>
          <w:p w14:paraId="6CFDFC38" w14:textId="77777777" w:rsidR="008C76E0" w:rsidRPr="00720CDC" w:rsidRDefault="008C76E0" w:rsidP="008C76E0">
            <w:pPr>
              <w:spacing w:after="120" w:line="240" w:lineRule="auto"/>
              <w:ind w:right="-1"/>
              <w:jc w:val="center"/>
              <w:rPr>
                <w:rFonts w:ascii="Sylfaen" w:hAnsi="Sylfaen"/>
                <w:i/>
                <w:sz w:val="20"/>
                <w:szCs w:val="20"/>
              </w:rPr>
            </w:pPr>
          </w:p>
        </w:tc>
        <w:tc>
          <w:tcPr>
            <w:tcW w:w="2894" w:type="dxa"/>
            <w:gridSpan w:val="2"/>
            <w:tcBorders>
              <w:top w:val="single" w:sz="4" w:space="0" w:color="auto"/>
              <w:left w:val="single" w:sz="4" w:space="0" w:color="auto"/>
            </w:tcBorders>
            <w:shd w:val="clear" w:color="auto" w:fill="FFFFFF"/>
            <w:vAlign w:val="bottom"/>
          </w:tcPr>
          <w:p w14:paraId="66C1E49F"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sz w:val="20"/>
                <w:szCs w:val="20"/>
                <w:lang w:val="hy-AM"/>
              </w:rPr>
            </w:pPr>
            <w:r w:rsidRPr="00DF2860">
              <w:rPr>
                <w:rStyle w:val="Bodytext1811pt"/>
                <w:rFonts w:ascii="Sylfaen" w:hAnsi="Sylfaen"/>
                <w:sz w:val="20"/>
                <w:szCs w:val="20"/>
              </w:rPr>
              <w:t xml:space="preserve">P արժեքը </w:t>
            </w:r>
            <w:r w:rsidRPr="0032101F">
              <w:rPr>
                <w:rStyle w:val="Bodytext295pt"/>
                <w:rFonts w:ascii="Sylfaen" w:hAnsi="Sylfaen"/>
                <w:i/>
                <w:spacing w:val="0"/>
                <w:sz w:val="20"/>
                <w:szCs w:val="20"/>
              </w:rPr>
              <w:t>{նշե՛ք կիրառված վիճակագրական մեթոդը, օրինակ՝ ANOVA}</w:t>
            </w:r>
          </w:p>
        </w:tc>
        <w:tc>
          <w:tcPr>
            <w:tcW w:w="3724" w:type="dxa"/>
            <w:gridSpan w:val="2"/>
            <w:tcBorders>
              <w:top w:val="single" w:sz="4" w:space="0" w:color="auto"/>
              <w:left w:val="single" w:sz="4" w:space="0" w:color="auto"/>
              <w:right w:val="single" w:sz="4" w:space="0" w:color="auto"/>
            </w:tcBorders>
            <w:shd w:val="clear" w:color="auto" w:fill="FFFFFF"/>
          </w:tcPr>
          <w:p w14:paraId="376C953C"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&lt;P արժեքը&gt;</w:t>
            </w:r>
          </w:p>
        </w:tc>
      </w:tr>
      <w:tr w:rsidR="008C76E0" w:rsidRPr="00DF2860" w14:paraId="42F778C1" w14:textId="77777777" w:rsidTr="008C76E0">
        <w:trPr>
          <w:jc w:val="center"/>
        </w:trPr>
        <w:tc>
          <w:tcPr>
            <w:tcW w:w="2215" w:type="dxa"/>
            <w:gridSpan w:val="2"/>
            <w:vMerge/>
            <w:tcBorders>
              <w:left w:val="single" w:sz="4" w:space="0" w:color="auto"/>
            </w:tcBorders>
            <w:shd w:val="clear" w:color="auto" w:fill="FFFFFF"/>
          </w:tcPr>
          <w:p w14:paraId="05AB6025"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val="restart"/>
            <w:tcBorders>
              <w:top w:val="single" w:sz="4" w:space="0" w:color="auto"/>
              <w:left w:val="single" w:sz="4" w:space="0" w:color="auto"/>
            </w:tcBorders>
            <w:shd w:val="clear" w:color="auto" w:fill="FFFFFF"/>
            <w:vAlign w:val="bottom"/>
          </w:tcPr>
          <w:p w14:paraId="1A9428BC"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1811pt"/>
                <w:rFonts w:ascii="Sylfaen" w:hAnsi="Sylfaen"/>
                <w:i/>
                <w:sz w:val="20"/>
                <w:szCs w:val="20"/>
              </w:rPr>
              <w:t>&lt;&lt;</w:t>
            </w:r>
            <w:r w:rsidRPr="00720CDC">
              <w:rPr>
                <w:rStyle w:val="Bodytext295pt"/>
                <w:rFonts w:ascii="Sylfaen" w:hAnsi="Sylfaen"/>
                <w:i/>
                <w:spacing w:val="0"/>
                <w:sz w:val="20"/>
                <w:szCs w:val="20"/>
              </w:rPr>
              <w:t xml:space="preserve">Համակցված&gt; Առաջնային&gt; &lt;Երկրորդային&gt; &lt;այլ՝ նշե՛ք&gt; </w:t>
            </w:r>
            <w:r w:rsidRPr="00720CDC">
              <w:rPr>
                <w:rStyle w:val="Bodytext1811pt"/>
                <w:rFonts w:ascii="Sylfaen" w:hAnsi="Sylfaen"/>
                <w:i/>
                <w:sz w:val="20"/>
                <w:szCs w:val="20"/>
              </w:rPr>
              <w:t>կլինիկական հետազոտության կետը</w:t>
            </w:r>
          </w:p>
        </w:tc>
        <w:tc>
          <w:tcPr>
            <w:tcW w:w="2894" w:type="dxa"/>
            <w:gridSpan w:val="2"/>
            <w:tcBorders>
              <w:top w:val="single" w:sz="4" w:space="0" w:color="auto"/>
              <w:left w:val="single" w:sz="4" w:space="0" w:color="auto"/>
            </w:tcBorders>
            <w:shd w:val="clear" w:color="auto" w:fill="FFFFFF"/>
          </w:tcPr>
          <w:p w14:paraId="40EB7E1A"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Համեմատության խմբերը</w:t>
            </w:r>
          </w:p>
        </w:tc>
        <w:tc>
          <w:tcPr>
            <w:tcW w:w="3724" w:type="dxa"/>
            <w:gridSpan w:val="2"/>
            <w:tcBorders>
              <w:top w:val="single" w:sz="4" w:space="0" w:color="auto"/>
              <w:left w:val="single" w:sz="4" w:space="0" w:color="auto"/>
              <w:right w:val="single" w:sz="4" w:space="0" w:color="auto"/>
            </w:tcBorders>
            <w:shd w:val="clear" w:color="auto" w:fill="FFFFFF"/>
            <w:vAlign w:val="bottom"/>
          </w:tcPr>
          <w:p w14:paraId="25518210"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&lt;խմբի ծածկագրված նշագիրը&gt;</w:t>
            </w:r>
          </w:p>
        </w:tc>
      </w:tr>
      <w:tr w:rsidR="008C76E0" w:rsidRPr="00DF2860" w14:paraId="4B8515CF" w14:textId="77777777" w:rsidTr="008C76E0">
        <w:trPr>
          <w:jc w:val="center"/>
        </w:trPr>
        <w:tc>
          <w:tcPr>
            <w:tcW w:w="2215" w:type="dxa"/>
            <w:gridSpan w:val="2"/>
            <w:vMerge/>
            <w:tcBorders>
              <w:left w:val="single" w:sz="4" w:space="0" w:color="auto"/>
            </w:tcBorders>
            <w:shd w:val="clear" w:color="auto" w:fill="FFFFFF"/>
          </w:tcPr>
          <w:p w14:paraId="2AE04EE5"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vAlign w:val="bottom"/>
          </w:tcPr>
          <w:p w14:paraId="7A3F654E" w14:textId="77777777" w:rsidR="008C76E0" w:rsidRPr="00720CDC" w:rsidRDefault="008C76E0" w:rsidP="008C76E0">
            <w:pPr>
              <w:spacing w:after="120" w:line="240" w:lineRule="auto"/>
              <w:ind w:right="-1"/>
              <w:jc w:val="center"/>
              <w:rPr>
                <w:rFonts w:ascii="Sylfaen" w:hAnsi="Sylfaen"/>
                <w:i/>
                <w:sz w:val="20"/>
                <w:szCs w:val="20"/>
              </w:rPr>
            </w:pPr>
          </w:p>
        </w:tc>
        <w:tc>
          <w:tcPr>
            <w:tcW w:w="2894" w:type="dxa"/>
            <w:gridSpan w:val="2"/>
            <w:tcBorders>
              <w:top w:val="single" w:sz="4" w:space="0" w:color="auto"/>
              <w:left w:val="single" w:sz="4" w:space="0" w:color="auto"/>
            </w:tcBorders>
            <w:shd w:val="clear" w:color="auto" w:fill="FFFFFF"/>
            <w:vAlign w:val="bottom"/>
          </w:tcPr>
          <w:p w14:paraId="6D1E516D"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&lt;նշանակալիության չափանիշները&gt;</w:t>
            </w:r>
          </w:p>
        </w:tc>
        <w:tc>
          <w:tcPr>
            <w:tcW w:w="3724" w:type="dxa"/>
            <w:gridSpan w:val="2"/>
            <w:tcBorders>
              <w:top w:val="single" w:sz="4" w:space="0" w:color="auto"/>
              <w:left w:val="single" w:sz="4" w:space="0" w:color="auto"/>
              <w:right w:val="single" w:sz="4" w:space="0" w:color="auto"/>
            </w:tcBorders>
            <w:shd w:val="clear" w:color="auto" w:fill="FFFFFF"/>
          </w:tcPr>
          <w:p w14:paraId="3F26B89C"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&lt;կետային գնահատումը&gt;</w:t>
            </w:r>
          </w:p>
        </w:tc>
      </w:tr>
      <w:tr w:rsidR="008C76E0" w:rsidRPr="00DF2860" w14:paraId="4AC3CC2A" w14:textId="77777777" w:rsidTr="008C76E0">
        <w:trPr>
          <w:jc w:val="center"/>
        </w:trPr>
        <w:tc>
          <w:tcPr>
            <w:tcW w:w="2215" w:type="dxa"/>
            <w:gridSpan w:val="2"/>
            <w:vMerge/>
            <w:tcBorders>
              <w:left w:val="single" w:sz="4" w:space="0" w:color="auto"/>
            </w:tcBorders>
            <w:shd w:val="clear" w:color="auto" w:fill="FFFFFF"/>
          </w:tcPr>
          <w:p w14:paraId="4BA27792"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vAlign w:val="bottom"/>
          </w:tcPr>
          <w:p w14:paraId="32D1FFEB" w14:textId="77777777" w:rsidR="008C76E0" w:rsidRPr="00720CDC" w:rsidRDefault="008C76E0" w:rsidP="008C76E0">
            <w:pPr>
              <w:spacing w:after="120" w:line="240" w:lineRule="auto"/>
              <w:ind w:right="-1"/>
              <w:jc w:val="center"/>
              <w:rPr>
                <w:rFonts w:ascii="Sylfaen" w:hAnsi="Sylfaen"/>
                <w:i/>
                <w:sz w:val="20"/>
                <w:szCs w:val="20"/>
              </w:rPr>
            </w:pPr>
          </w:p>
        </w:tc>
        <w:tc>
          <w:tcPr>
            <w:tcW w:w="2894" w:type="dxa"/>
            <w:gridSpan w:val="2"/>
            <w:tcBorders>
              <w:top w:val="single" w:sz="4" w:space="0" w:color="auto"/>
              <w:left w:val="single" w:sz="4" w:space="0" w:color="auto"/>
            </w:tcBorders>
            <w:shd w:val="clear" w:color="auto" w:fill="FFFFFF"/>
          </w:tcPr>
          <w:p w14:paraId="3D53B915"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&lt;վարիացիաների վիճակագրությունը&gt;</w:t>
            </w:r>
          </w:p>
        </w:tc>
        <w:tc>
          <w:tcPr>
            <w:tcW w:w="3724" w:type="dxa"/>
            <w:gridSpan w:val="2"/>
            <w:tcBorders>
              <w:top w:val="single" w:sz="4" w:space="0" w:color="auto"/>
              <w:left w:val="single" w:sz="4" w:space="0" w:color="auto"/>
              <w:right w:val="single" w:sz="4" w:space="0" w:color="auto"/>
            </w:tcBorders>
            <w:shd w:val="clear" w:color="auto" w:fill="FFFFFF"/>
          </w:tcPr>
          <w:p w14:paraId="4FF024E2"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&lt;վարիատիվությունը&gt;</w:t>
            </w:r>
          </w:p>
        </w:tc>
      </w:tr>
      <w:tr w:rsidR="008C76E0" w:rsidRPr="00DF2860" w14:paraId="066587D7" w14:textId="77777777" w:rsidTr="008C76E0">
        <w:trPr>
          <w:jc w:val="center"/>
        </w:trPr>
        <w:tc>
          <w:tcPr>
            <w:tcW w:w="2215" w:type="dxa"/>
            <w:gridSpan w:val="2"/>
            <w:tcBorders>
              <w:top w:val="single" w:sz="4" w:space="0" w:color="auto"/>
              <w:left w:val="single" w:sz="4" w:space="0" w:color="auto"/>
            </w:tcBorders>
            <w:shd w:val="clear" w:color="auto" w:fill="FFFFFF"/>
          </w:tcPr>
          <w:p w14:paraId="547C4DD5"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3FC2D7C5"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1811pt"/>
                <w:rFonts w:ascii="Sylfaen" w:hAnsi="Sylfaen"/>
                <w:i/>
                <w:sz w:val="20"/>
                <w:szCs w:val="20"/>
              </w:rPr>
              <w:t>{</w:t>
            </w:r>
            <w:r w:rsidRPr="00720CDC">
              <w:rPr>
                <w:rStyle w:val="Bodytext295pt"/>
                <w:rFonts w:ascii="Sylfaen" w:hAnsi="Sylfaen"/>
                <w:i/>
                <w:spacing w:val="0"/>
                <w:sz w:val="20"/>
                <w:szCs w:val="20"/>
              </w:rPr>
              <w:t>նշե՛ք կլինիկական հետազոտության կետը՝</w:t>
            </w:r>
          </w:p>
        </w:tc>
        <w:tc>
          <w:tcPr>
            <w:tcW w:w="2894" w:type="dxa"/>
            <w:gridSpan w:val="2"/>
            <w:tcBorders>
              <w:top w:val="single" w:sz="4" w:space="0" w:color="auto"/>
              <w:left w:val="single" w:sz="4" w:space="0" w:color="auto"/>
            </w:tcBorders>
            <w:shd w:val="clear" w:color="auto" w:fill="FFFFFF"/>
          </w:tcPr>
          <w:p w14:paraId="30DC6FEB"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&lt;P արժեքը&gt;</w:t>
            </w:r>
          </w:p>
        </w:tc>
        <w:tc>
          <w:tcPr>
            <w:tcW w:w="3724" w:type="dxa"/>
            <w:gridSpan w:val="2"/>
            <w:tcBorders>
              <w:top w:val="single" w:sz="4" w:space="0" w:color="auto"/>
              <w:left w:val="single" w:sz="4" w:space="0" w:color="auto"/>
              <w:right w:val="single" w:sz="4" w:space="0" w:color="auto"/>
            </w:tcBorders>
            <w:shd w:val="clear" w:color="auto" w:fill="FFFFFF"/>
          </w:tcPr>
          <w:p w14:paraId="13BE4B90"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&lt;P արժեքը&gt;</w:t>
            </w:r>
          </w:p>
        </w:tc>
      </w:tr>
      <w:tr w:rsidR="008C76E0" w:rsidRPr="00DF2860" w14:paraId="3744E72B" w14:textId="77777777" w:rsidTr="008C76E0">
        <w:trPr>
          <w:jc w:val="center"/>
        </w:trPr>
        <w:tc>
          <w:tcPr>
            <w:tcW w:w="2215" w:type="dxa"/>
            <w:gridSpan w:val="2"/>
            <w:vMerge w:val="restart"/>
            <w:tcBorders>
              <w:top w:val="single" w:sz="4" w:space="0" w:color="auto"/>
              <w:left w:val="single" w:sz="4" w:space="0" w:color="auto"/>
            </w:tcBorders>
            <w:shd w:val="clear" w:color="auto" w:fill="FFFFFF"/>
          </w:tcPr>
          <w:p w14:paraId="00190340"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tcBorders>
              <w:top w:val="single" w:sz="4" w:space="0" w:color="auto"/>
              <w:left w:val="single" w:sz="4" w:space="0" w:color="auto"/>
            </w:tcBorders>
            <w:shd w:val="clear" w:color="auto" w:fill="FFFFFF"/>
            <w:vAlign w:val="bottom"/>
          </w:tcPr>
          <w:p w14:paraId="5A9E4DF2"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295pt"/>
                <w:rFonts w:ascii="Sylfaen" w:hAnsi="Sylfaen"/>
                <w:i/>
                <w:spacing w:val="0"/>
                <w:sz w:val="20"/>
                <w:szCs w:val="20"/>
              </w:rPr>
              <w:t xml:space="preserve">օգտվելով վերը նշված «Կլինիկական հետազոտության կետերը </w:t>
            </w:r>
            <w:r w:rsidR="00C54D75">
              <w:rPr>
                <w:rStyle w:val="Bodytext295pt"/>
                <w:rFonts w:ascii="Sylfaen" w:hAnsi="Sylfaen"/>
                <w:i/>
                <w:spacing w:val="0"/>
                <w:sz w:val="20"/>
                <w:szCs w:val="20"/>
              </w:rPr>
              <w:t>և</w:t>
            </w:r>
            <w:r w:rsidRPr="00720CDC">
              <w:rPr>
                <w:rStyle w:val="Bodytext295pt"/>
                <w:rFonts w:ascii="Sylfaen" w:hAnsi="Sylfaen"/>
                <w:i/>
                <w:spacing w:val="0"/>
                <w:sz w:val="20"/>
                <w:szCs w:val="20"/>
              </w:rPr>
              <w:t xml:space="preserve"> սահմանումները» բաժնում նշված եզրութաբանությունից}</w:t>
            </w:r>
          </w:p>
        </w:tc>
        <w:tc>
          <w:tcPr>
            <w:tcW w:w="2894" w:type="dxa"/>
            <w:gridSpan w:val="2"/>
            <w:tcBorders>
              <w:top w:val="single" w:sz="4" w:space="0" w:color="auto"/>
              <w:left w:val="single" w:sz="4" w:space="0" w:color="auto"/>
            </w:tcBorders>
            <w:shd w:val="clear" w:color="auto" w:fill="FFFFFF"/>
          </w:tcPr>
          <w:p w14:paraId="06211064" w14:textId="77777777" w:rsidR="008C76E0" w:rsidRPr="00DF2860" w:rsidRDefault="008C76E0" w:rsidP="008C76E0">
            <w:pPr>
              <w:spacing w:after="120" w:line="240" w:lineRule="auto"/>
              <w:ind w:right="-1"/>
              <w:jc w:val="center"/>
              <w:rPr>
                <w:rFonts w:ascii="Sylfaen" w:hAnsi="Sylfaen"/>
                <w:sz w:val="20"/>
                <w:szCs w:val="20"/>
              </w:rPr>
            </w:pPr>
          </w:p>
        </w:tc>
        <w:tc>
          <w:tcPr>
            <w:tcW w:w="3724" w:type="dxa"/>
            <w:gridSpan w:val="2"/>
            <w:tcBorders>
              <w:top w:val="single" w:sz="4" w:space="0" w:color="auto"/>
              <w:left w:val="single" w:sz="4" w:space="0" w:color="auto"/>
              <w:right w:val="single" w:sz="4" w:space="0" w:color="auto"/>
            </w:tcBorders>
            <w:shd w:val="clear" w:color="auto" w:fill="FFFFFF"/>
          </w:tcPr>
          <w:p w14:paraId="3D7E746A" w14:textId="77777777" w:rsidR="008C76E0" w:rsidRPr="00DF2860" w:rsidRDefault="008C76E0" w:rsidP="008C76E0">
            <w:pPr>
              <w:spacing w:after="120" w:line="240" w:lineRule="auto"/>
              <w:ind w:right="-1"/>
              <w:jc w:val="center"/>
              <w:rPr>
                <w:rFonts w:ascii="Sylfaen" w:hAnsi="Sylfaen"/>
                <w:sz w:val="20"/>
                <w:szCs w:val="20"/>
              </w:rPr>
            </w:pPr>
          </w:p>
        </w:tc>
      </w:tr>
      <w:tr w:rsidR="008C76E0" w:rsidRPr="00DF2860" w14:paraId="6EB8CC08" w14:textId="77777777" w:rsidTr="008C76E0">
        <w:trPr>
          <w:jc w:val="center"/>
        </w:trPr>
        <w:tc>
          <w:tcPr>
            <w:tcW w:w="2215" w:type="dxa"/>
            <w:gridSpan w:val="2"/>
            <w:vMerge/>
            <w:tcBorders>
              <w:left w:val="single" w:sz="4" w:space="0" w:color="auto"/>
            </w:tcBorders>
            <w:shd w:val="clear" w:color="auto" w:fill="FFFFFF"/>
          </w:tcPr>
          <w:p w14:paraId="69651C3C"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val="restart"/>
            <w:tcBorders>
              <w:top w:val="single" w:sz="4" w:space="0" w:color="auto"/>
              <w:left w:val="single" w:sz="4" w:space="0" w:color="auto"/>
            </w:tcBorders>
            <w:shd w:val="clear" w:color="auto" w:fill="FFFFFF"/>
          </w:tcPr>
          <w:p w14:paraId="66F90BCD" w14:textId="77777777" w:rsidR="008C76E0" w:rsidRPr="008C76E0" w:rsidRDefault="008C76E0" w:rsidP="008C76E0">
            <w:pPr>
              <w:pStyle w:val="Bodytext180"/>
              <w:shd w:val="clear" w:color="auto" w:fill="auto"/>
              <w:spacing w:before="0" w:after="120" w:line="240" w:lineRule="auto"/>
              <w:ind w:right="-1" w:firstLine="0"/>
              <w:jc w:val="center"/>
              <w:rPr>
                <w:rFonts w:ascii="Sylfaen" w:hAnsi="Sylfaen"/>
                <w:b w:val="0"/>
                <w:i/>
                <w:sz w:val="20"/>
                <w:szCs w:val="20"/>
                <w:lang w:val="hy-AM"/>
              </w:rPr>
            </w:pPr>
            <w:r w:rsidRPr="00720CDC">
              <w:rPr>
                <w:rStyle w:val="Bodytext295pt"/>
                <w:rFonts w:ascii="Sylfaen" w:hAnsi="Sylfaen"/>
                <w:i/>
                <w:spacing w:val="0"/>
                <w:sz w:val="20"/>
                <w:szCs w:val="20"/>
              </w:rPr>
              <w:t xml:space="preserve">&lt;&lt;Համակցված&gt; Առաջնային&gt; &lt;Երկրորդային&gt; &lt;այլ՝ նշե՛ք&gt; </w:t>
            </w:r>
            <w:r w:rsidRPr="0032101F">
              <w:rPr>
                <w:rStyle w:val="Bodytext1811pt"/>
                <w:rFonts w:ascii="Sylfaen" w:hAnsi="Sylfaen"/>
                <w:sz w:val="20"/>
                <w:szCs w:val="20"/>
              </w:rPr>
              <w:t>կլինիկական հետազոտության կետը</w:t>
            </w:r>
          </w:p>
        </w:tc>
        <w:tc>
          <w:tcPr>
            <w:tcW w:w="2894" w:type="dxa"/>
            <w:gridSpan w:val="2"/>
            <w:tcBorders>
              <w:top w:val="single" w:sz="4" w:space="0" w:color="auto"/>
              <w:left w:val="single" w:sz="4" w:space="0" w:color="auto"/>
            </w:tcBorders>
            <w:shd w:val="clear" w:color="auto" w:fill="FFFFFF"/>
          </w:tcPr>
          <w:p w14:paraId="7B46A7C9"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1811pt"/>
                <w:rFonts w:ascii="Sylfaen" w:hAnsi="Sylfaen"/>
                <w:sz w:val="20"/>
                <w:szCs w:val="20"/>
              </w:rPr>
              <w:t>Համեմատության խմբերը</w:t>
            </w:r>
          </w:p>
        </w:tc>
        <w:tc>
          <w:tcPr>
            <w:tcW w:w="3724" w:type="dxa"/>
            <w:gridSpan w:val="2"/>
            <w:tcBorders>
              <w:top w:val="single" w:sz="4" w:space="0" w:color="auto"/>
              <w:left w:val="single" w:sz="4" w:space="0" w:color="auto"/>
              <w:right w:val="single" w:sz="4" w:space="0" w:color="auto"/>
            </w:tcBorders>
            <w:shd w:val="clear" w:color="auto" w:fill="FFFFFF"/>
            <w:vAlign w:val="bottom"/>
          </w:tcPr>
          <w:p w14:paraId="609FD4EF"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&lt;խմբի ծածկագրված նշագիրը&gt;</w:t>
            </w:r>
          </w:p>
        </w:tc>
      </w:tr>
      <w:tr w:rsidR="008C76E0" w:rsidRPr="00DF2860" w14:paraId="4355941E" w14:textId="77777777" w:rsidTr="008C76E0">
        <w:trPr>
          <w:jc w:val="center"/>
        </w:trPr>
        <w:tc>
          <w:tcPr>
            <w:tcW w:w="2215" w:type="dxa"/>
            <w:gridSpan w:val="2"/>
            <w:vMerge/>
            <w:tcBorders>
              <w:left w:val="single" w:sz="4" w:space="0" w:color="auto"/>
            </w:tcBorders>
            <w:shd w:val="clear" w:color="auto" w:fill="FFFFFF"/>
          </w:tcPr>
          <w:p w14:paraId="42784EBC"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tcPr>
          <w:p w14:paraId="1C7157A5" w14:textId="77777777" w:rsidR="008C76E0" w:rsidRPr="00DF2860" w:rsidRDefault="008C76E0" w:rsidP="008C76E0">
            <w:pPr>
              <w:spacing w:after="120" w:line="240" w:lineRule="auto"/>
              <w:ind w:right="-1" w:firstLine="567"/>
              <w:jc w:val="center"/>
              <w:rPr>
                <w:rFonts w:ascii="Sylfaen" w:hAnsi="Sylfaen"/>
                <w:sz w:val="20"/>
                <w:szCs w:val="20"/>
              </w:rPr>
            </w:pPr>
          </w:p>
        </w:tc>
        <w:tc>
          <w:tcPr>
            <w:tcW w:w="2894" w:type="dxa"/>
            <w:gridSpan w:val="2"/>
            <w:tcBorders>
              <w:top w:val="single" w:sz="4" w:space="0" w:color="auto"/>
              <w:left w:val="single" w:sz="4" w:space="0" w:color="auto"/>
            </w:tcBorders>
            <w:shd w:val="clear" w:color="auto" w:fill="FFFFFF"/>
            <w:vAlign w:val="bottom"/>
          </w:tcPr>
          <w:p w14:paraId="433C0425" w14:textId="77777777" w:rsidR="008C76E0" w:rsidRPr="0032101F" w:rsidRDefault="008C76E0" w:rsidP="008C76E0">
            <w:pPr>
              <w:pStyle w:val="Bodytext180"/>
              <w:shd w:val="clear" w:color="auto" w:fill="auto"/>
              <w:spacing w:before="0" w:after="120" w:line="240" w:lineRule="auto"/>
              <w:ind w:right="-1" w:firstLine="567"/>
              <w:jc w:val="center"/>
              <w:rPr>
                <w:rFonts w:ascii="Sylfaen" w:hAnsi="Sylfaen"/>
                <w:b w:val="0"/>
                <w:i/>
                <w:sz w:val="20"/>
                <w:szCs w:val="20"/>
              </w:rPr>
            </w:pPr>
            <w:r w:rsidRPr="0032101F">
              <w:rPr>
                <w:rStyle w:val="Bodytext295pt"/>
                <w:rFonts w:ascii="Sylfaen" w:hAnsi="Sylfaen"/>
                <w:i/>
                <w:spacing w:val="0"/>
                <w:sz w:val="20"/>
                <w:szCs w:val="20"/>
              </w:rPr>
              <w:t>&lt;նշանակալիության չափանիշները&gt;</w:t>
            </w:r>
          </w:p>
        </w:tc>
        <w:tc>
          <w:tcPr>
            <w:tcW w:w="3724" w:type="dxa"/>
            <w:gridSpan w:val="2"/>
            <w:tcBorders>
              <w:top w:val="single" w:sz="4" w:space="0" w:color="auto"/>
              <w:left w:val="single" w:sz="4" w:space="0" w:color="auto"/>
              <w:right w:val="single" w:sz="4" w:space="0" w:color="auto"/>
            </w:tcBorders>
            <w:shd w:val="clear" w:color="auto" w:fill="FFFFFF"/>
          </w:tcPr>
          <w:p w14:paraId="7077E9E9" w14:textId="77777777" w:rsidR="008C76E0" w:rsidRPr="0032101F" w:rsidRDefault="008C76E0" w:rsidP="008C76E0">
            <w:pPr>
              <w:pStyle w:val="Bodytext180"/>
              <w:shd w:val="clear" w:color="auto" w:fill="auto"/>
              <w:spacing w:before="0" w:after="120" w:line="240" w:lineRule="auto"/>
              <w:ind w:right="-1" w:hanging="9"/>
              <w:jc w:val="center"/>
              <w:rPr>
                <w:rFonts w:ascii="Sylfaen" w:hAnsi="Sylfaen"/>
                <w:b w:val="0"/>
                <w:i/>
                <w:sz w:val="20"/>
                <w:szCs w:val="20"/>
              </w:rPr>
            </w:pPr>
            <w:r w:rsidRPr="0032101F">
              <w:rPr>
                <w:rStyle w:val="Bodytext295pt"/>
                <w:rFonts w:ascii="Sylfaen" w:hAnsi="Sylfaen"/>
                <w:i/>
                <w:spacing w:val="0"/>
                <w:sz w:val="20"/>
                <w:szCs w:val="20"/>
              </w:rPr>
              <w:t>&lt;նշանակալիության չափանիշները&gt;</w:t>
            </w:r>
          </w:p>
        </w:tc>
      </w:tr>
      <w:tr w:rsidR="008C76E0" w:rsidRPr="00DF2860" w14:paraId="067B4284" w14:textId="77777777" w:rsidTr="008C76E0">
        <w:trPr>
          <w:jc w:val="center"/>
        </w:trPr>
        <w:tc>
          <w:tcPr>
            <w:tcW w:w="2215" w:type="dxa"/>
            <w:gridSpan w:val="2"/>
            <w:vMerge/>
            <w:tcBorders>
              <w:left w:val="single" w:sz="4" w:space="0" w:color="auto"/>
            </w:tcBorders>
            <w:shd w:val="clear" w:color="auto" w:fill="FFFFFF"/>
          </w:tcPr>
          <w:p w14:paraId="45202222"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tcPr>
          <w:p w14:paraId="7CCA4704" w14:textId="77777777" w:rsidR="008C76E0" w:rsidRPr="00DF2860" w:rsidRDefault="008C76E0" w:rsidP="008C76E0">
            <w:pPr>
              <w:spacing w:after="120" w:line="240" w:lineRule="auto"/>
              <w:ind w:right="-1" w:firstLine="567"/>
              <w:jc w:val="center"/>
              <w:rPr>
                <w:rFonts w:ascii="Sylfaen" w:hAnsi="Sylfaen"/>
                <w:sz w:val="20"/>
                <w:szCs w:val="20"/>
              </w:rPr>
            </w:pPr>
          </w:p>
        </w:tc>
        <w:tc>
          <w:tcPr>
            <w:tcW w:w="2894" w:type="dxa"/>
            <w:gridSpan w:val="2"/>
            <w:tcBorders>
              <w:top w:val="single" w:sz="4" w:space="0" w:color="auto"/>
              <w:left w:val="single" w:sz="4" w:space="0" w:color="auto"/>
            </w:tcBorders>
            <w:shd w:val="clear" w:color="auto" w:fill="FFFFFF"/>
          </w:tcPr>
          <w:p w14:paraId="77136E65" w14:textId="77777777" w:rsidR="008C76E0" w:rsidRPr="0032101F" w:rsidRDefault="008C76E0" w:rsidP="008C76E0">
            <w:pPr>
              <w:pStyle w:val="Bodytext180"/>
              <w:shd w:val="clear" w:color="auto" w:fill="auto"/>
              <w:spacing w:before="0" w:after="120" w:line="240" w:lineRule="auto"/>
              <w:ind w:right="-1" w:firstLine="567"/>
              <w:jc w:val="center"/>
              <w:rPr>
                <w:rFonts w:ascii="Sylfaen" w:hAnsi="Sylfaen"/>
                <w:b w:val="0"/>
                <w:i/>
                <w:sz w:val="20"/>
                <w:szCs w:val="20"/>
              </w:rPr>
            </w:pPr>
            <w:r w:rsidRPr="0032101F">
              <w:rPr>
                <w:rStyle w:val="Bodytext295pt"/>
                <w:rFonts w:ascii="Sylfaen" w:hAnsi="Sylfaen"/>
                <w:i/>
                <w:spacing w:val="0"/>
                <w:sz w:val="20"/>
                <w:szCs w:val="20"/>
              </w:rPr>
              <w:t>&lt;վարիացիաների վիճակագրությունը&gt;</w:t>
            </w:r>
          </w:p>
        </w:tc>
        <w:tc>
          <w:tcPr>
            <w:tcW w:w="3724" w:type="dxa"/>
            <w:gridSpan w:val="2"/>
            <w:tcBorders>
              <w:top w:val="single" w:sz="4" w:space="0" w:color="auto"/>
              <w:left w:val="single" w:sz="4" w:space="0" w:color="auto"/>
              <w:right w:val="single" w:sz="4" w:space="0" w:color="auto"/>
            </w:tcBorders>
            <w:shd w:val="clear" w:color="auto" w:fill="FFFFFF"/>
          </w:tcPr>
          <w:p w14:paraId="3F7F01F7" w14:textId="77777777" w:rsidR="008C76E0" w:rsidRPr="0032101F" w:rsidRDefault="008C76E0" w:rsidP="008C76E0">
            <w:pPr>
              <w:pStyle w:val="Bodytext180"/>
              <w:shd w:val="clear" w:color="auto" w:fill="auto"/>
              <w:spacing w:before="0" w:after="120" w:line="240" w:lineRule="auto"/>
              <w:ind w:right="-1" w:hanging="9"/>
              <w:jc w:val="center"/>
              <w:rPr>
                <w:rFonts w:ascii="Sylfaen" w:hAnsi="Sylfaen"/>
                <w:b w:val="0"/>
                <w:i/>
                <w:sz w:val="20"/>
                <w:szCs w:val="20"/>
              </w:rPr>
            </w:pPr>
            <w:r w:rsidRPr="0032101F">
              <w:rPr>
                <w:rStyle w:val="Bodytext295pt"/>
                <w:rFonts w:ascii="Sylfaen" w:hAnsi="Sylfaen"/>
                <w:i/>
                <w:spacing w:val="0"/>
                <w:sz w:val="20"/>
                <w:szCs w:val="20"/>
              </w:rPr>
              <w:t>Վարիացիաների վիճակագրությունը&gt;</w:t>
            </w:r>
          </w:p>
        </w:tc>
      </w:tr>
      <w:tr w:rsidR="008C76E0" w:rsidRPr="00DF2860" w14:paraId="38081A41" w14:textId="77777777" w:rsidTr="008C76E0">
        <w:trPr>
          <w:jc w:val="center"/>
        </w:trPr>
        <w:tc>
          <w:tcPr>
            <w:tcW w:w="2215" w:type="dxa"/>
            <w:gridSpan w:val="2"/>
            <w:vMerge/>
            <w:tcBorders>
              <w:left w:val="single" w:sz="4" w:space="0" w:color="auto"/>
            </w:tcBorders>
            <w:shd w:val="clear" w:color="auto" w:fill="FFFFFF"/>
          </w:tcPr>
          <w:p w14:paraId="41B37701" w14:textId="77777777" w:rsidR="008C76E0" w:rsidRPr="00DF2860" w:rsidRDefault="008C76E0" w:rsidP="008C76E0">
            <w:pPr>
              <w:spacing w:after="120" w:line="240" w:lineRule="auto"/>
              <w:ind w:left="10" w:right="-1"/>
              <w:jc w:val="center"/>
              <w:rPr>
                <w:rFonts w:ascii="Sylfaen" w:hAnsi="Sylfaen"/>
                <w:sz w:val="20"/>
                <w:szCs w:val="20"/>
              </w:rPr>
            </w:pPr>
          </w:p>
        </w:tc>
        <w:tc>
          <w:tcPr>
            <w:tcW w:w="2330" w:type="dxa"/>
            <w:vMerge/>
            <w:tcBorders>
              <w:left w:val="single" w:sz="4" w:space="0" w:color="auto"/>
            </w:tcBorders>
            <w:shd w:val="clear" w:color="auto" w:fill="FFFFFF"/>
          </w:tcPr>
          <w:p w14:paraId="1CE92BEB" w14:textId="77777777" w:rsidR="008C76E0" w:rsidRPr="00DF2860" w:rsidRDefault="008C76E0" w:rsidP="008C76E0">
            <w:pPr>
              <w:spacing w:after="120" w:line="240" w:lineRule="auto"/>
              <w:ind w:right="-1" w:firstLine="567"/>
              <w:jc w:val="center"/>
              <w:rPr>
                <w:rFonts w:ascii="Sylfaen" w:hAnsi="Sylfaen"/>
                <w:sz w:val="20"/>
                <w:szCs w:val="20"/>
              </w:rPr>
            </w:pPr>
          </w:p>
        </w:tc>
        <w:tc>
          <w:tcPr>
            <w:tcW w:w="2894" w:type="dxa"/>
            <w:gridSpan w:val="2"/>
            <w:tcBorders>
              <w:top w:val="single" w:sz="4" w:space="0" w:color="auto"/>
              <w:left w:val="single" w:sz="4" w:space="0" w:color="auto"/>
            </w:tcBorders>
            <w:shd w:val="clear" w:color="auto" w:fill="FFFFFF"/>
          </w:tcPr>
          <w:p w14:paraId="3846A5F2" w14:textId="77777777" w:rsidR="008C76E0" w:rsidRPr="0032101F" w:rsidRDefault="008C76E0" w:rsidP="008C76E0">
            <w:pPr>
              <w:pStyle w:val="Bodytext180"/>
              <w:shd w:val="clear" w:color="auto" w:fill="auto"/>
              <w:spacing w:before="0" w:after="120" w:line="240" w:lineRule="auto"/>
              <w:ind w:right="-1" w:firstLine="567"/>
              <w:jc w:val="center"/>
              <w:rPr>
                <w:rFonts w:ascii="Sylfaen" w:hAnsi="Sylfaen"/>
                <w:b w:val="0"/>
                <w:i/>
                <w:sz w:val="20"/>
                <w:szCs w:val="20"/>
              </w:rPr>
            </w:pPr>
            <w:r w:rsidRPr="0032101F">
              <w:rPr>
                <w:rStyle w:val="Bodytext295pt"/>
                <w:rFonts w:ascii="Sylfaen" w:hAnsi="Sylfaen"/>
                <w:i/>
                <w:spacing w:val="0"/>
                <w:sz w:val="20"/>
                <w:szCs w:val="20"/>
              </w:rPr>
              <w:t>&lt;Р արժեքը&gt;</w:t>
            </w:r>
          </w:p>
        </w:tc>
        <w:tc>
          <w:tcPr>
            <w:tcW w:w="3724" w:type="dxa"/>
            <w:gridSpan w:val="2"/>
            <w:tcBorders>
              <w:top w:val="single" w:sz="4" w:space="0" w:color="auto"/>
              <w:left w:val="single" w:sz="4" w:space="0" w:color="auto"/>
              <w:right w:val="single" w:sz="4" w:space="0" w:color="auto"/>
            </w:tcBorders>
            <w:shd w:val="clear" w:color="auto" w:fill="FFFFFF"/>
          </w:tcPr>
          <w:p w14:paraId="09590B03" w14:textId="77777777" w:rsidR="008C76E0" w:rsidRPr="0032101F" w:rsidRDefault="008C76E0" w:rsidP="008C76E0">
            <w:pPr>
              <w:pStyle w:val="Bodytext180"/>
              <w:shd w:val="clear" w:color="auto" w:fill="auto"/>
              <w:spacing w:before="0" w:after="120" w:line="240" w:lineRule="auto"/>
              <w:ind w:right="-1" w:hanging="9"/>
              <w:jc w:val="center"/>
              <w:rPr>
                <w:rFonts w:ascii="Sylfaen" w:hAnsi="Sylfaen"/>
                <w:b w:val="0"/>
                <w:i/>
                <w:sz w:val="20"/>
                <w:szCs w:val="20"/>
              </w:rPr>
            </w:pPr>
            <w:r w:rsidRPr="0032101F">
              <w:rPr>
                <w:rStyle w:val="Bodytext295pt"/>
                <w:rFonts w:ascii="Sylfaen" w:hAnsi="Sylfaen"/>
                <w:i/>
                <w:spacing w:val="0"/>
                <w:sz w:val="20"/>
                <w:szCs w:val="20"/>
              </w:rPr>
              <w:t>&lt;Р արժեքը&gt;</w:t>
            </w:r>
          </w:p>
        </w:tc>
      </w:tr>
      <w:tr w:rsidR="008C76E0" w:rsidRPr="00DF2860" w14:paraId="4FD9485C" w14:textId="77777777" w:rsidTr="008C76E0">
        <w:trPr>
          <w:jc w:val="center"/>
        </w:trPr>
        <w:tc>
          <w:tcPr>
            <w:tcW w:w="2215" w:type="dxa"/>
            <w:gridSpan w:val="2"/>
            <w:tcBorders>
              <w:top w:val="single" w:sz="4" w:space="0" w:color="auto"/>
              <w:left w:val="single" w:sz="4" w:space="0" w:color="auto"/>
            </w:tcBorders>
            <w:shd w:val="clear" w:color="auto" w:fill="FFFFFF"/>
          </w:tcPr>
          <w:p w14:paraId="29E3F0E1"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Ծանոթագրություններ</w:t>
            </w:r>
          </w:p>
        </w:tc>
        <w:tc>
          <w:tcPr>
            <w:tcW w:w="8948" w:type="dxa"/>
            <w:gridSpan w:val="5"/>
            <w:tcBorders>
              <w:top w:val="single" w:sz="4" w:space="0" w:color="auto"/>
              <w:left w:val="single" w:sz="4" w:space="0" w:color="auto"/>
              <w:right w:val="single" w:sz="4" w:space="0" w:color="auto"/>
            </w:tcBorders>
            <w:shd w:val="clear" w:color="auto" w:fill="FFFFFF"/>
            <w:vAlign w:val="bottom"/>
          </w:tcPr>
          <w:p w14:paraId="289CA33C" w14:textId="77777777" w:rsidR="008C76E0" w:rsidRPr="0032101F" w:rsidRDefault="008C76E0" w:rsidP="008C76E0">
            <w:pPr>
              <w:pStyle w:val="Bodytext180"/>
              <w:shd w:val="clear" w:color="auto" w:fill="auto"/>
              <w:spacing w:before="0" w:after="120" w:line="240" w:lineRule="auto"/>
              <w:ind w:right="-1" w:firstLine="0"/>
              <w:jc w:val="center"/>
              <w:rPr>
                <w:rFonts w:ascii="Sylfaen" w:hAnsi="Sylfaen"/>
                <w:b w:val="0"/>
                <w:i/>
                <w:sz w:val="20"/>
                <w:szCs w:val="20"/>
              </w:rPr>
            </w:pPr>
            <w:r w:rsidRPr="0032101F">
              <w:rPr>
                <w:rStyle w:val="Bodytext295pt"/>
                <w:rFonts w:ascii="Sylfaen" w:hAnsi="Sylfaen"/>
                <w:i/>
                <w:spacing w:val="0"/>
                <w:sz w:val="20"/>
                <w:szCs w:val="20"/>
              </w:rPr>
              <w:t>&lt;կամայական տեքստ&gt;</w:t>
            </w:r>
          </w:p>
          <w:p w14:paraId="1C2EF0D1" w14:textId="77777777" w:rsidR="008C76E0" w:rsidRPr="00DF2860" w:rsidRDefault="008C76E0" w:rsidP="008C76E0">
            <w:pPr>
              <w:pStyle w:val="Bodytext180"/>
              <w:shd w:val="clear" w:color="auto" w:fill="auto"/>
              <w:spacing w:before="0" w:after="120" w:line="240" w:lineRule="auto"/>
              <w:ind w:right="-1" w:firstLine="0"/>
              <w:jc w:val="center"/>
              <w:rPr>
                <w:rFonts w:ascii="Sylfaen" w:hAnsi="Sylfaen"/>
                <w:b w:val="0"/>
                <w:sz w:val="20"/>
                <w:szCs w:val="20"/>
              </w:rPr>
            </w:pPr>
            <w:r w:rsidRPr="00DF2860">
              <w:rPr>
                <w:rStyle w:val="Bodytext295pt"/>
                <w:rFonts w:ascii="Sylfaen" w:hAnsi="Sylfaen"/>
                <w:spacing w:val="0"/>
                <w:sz w:val="20"/>
                <w:szCs w:val="20"/>
              </w:rPr>
              <w:t>{ի թիվս այլոց՝ դիտարկե՛ք հետ</w:t>
            </w:r>
            <w:r w:rsidR="00C54D75">
              <w:rPr>
                <w:rStyle w:val="Bodytext295pt"/>
                <w:rFonts w:ascii="Sylfaen" w:hAnsi="Sylfaen"/>
                <w:spacing w:val="0"/>
                <w:sz w:val="20"/>
                <w:szCs w:val="20"/>
              </w:rPr>
              <w:t>և</w:t>
            </w:r>
            <w:r w:rsidRPr="00DF2860">
              <w:rPr>
                <w:rStyle w:val="Bodytext295pt"/>
                <w:rFonts w:ascii="Sylfaen" w:hAnsi="Sylfaen"/>
                <w:spacing w:val="0"/>
                <w:sz w:val="20"/>
                <w:szCs w:val="20"/>
              </w:rPr>
              <w:t>յալ տեղեկատվությունը՝ հետազոտությունից դուրս գալու պատճառները, վերլուծության խիստ կար</w:t>
            </w:r>
            <w:r w:rsidR="00C54D75">
              <w:rPr>
                <w:rStyle w:val="Bodytext295pt"/>
                <w:rFonts w:ascii="Sylfaen" w:hAnsi="Sylfaen"/>
                <w:spacing w:val="0"/>
                <w:sz w:val="20"/>
                <w:szCs w:val="20"/>
              </w:rPr>
              <w:t>և</w:t>
            </w:r>
            <w:r w:rsidRPr="00DF2860">
              <w:rPr>
                <w:rStyle w:val="Bodytext295pt"/>
                <w:rFonts w:ascii="Sylfaen" w:hAnsi="Sylfaen"/>
                <w:spacing w:val="0"/>
                <w:sz w:val="20"/>
                <w:szCs w:val="20"/>
              </w:rPr>
              <w:t>որ արդյունքները}</w:t>
            </w:r>
          </w:p>
        </w:tc>
      </w:tr>
      <w:tr w:rsidR="008C76E0" w:rsidRPr="00DF2860" w14:paraId="4CBC28B0" w14:textId="77777777" w:rsidTr="008C76E0">
        <w:trPr>
          <w:jc w:val="center"/>
        </w:trPr>
        <w:tc>
          <w:tcPr>
            <w:tcW w:w="2215" w:type="dxa"/>
            <w:gridSpan w:val="2"/>
            <w:tcBorders>
              <w:top w:val="single" w:sz="4" w:space="0" w:color="auto"/>
              <w:left w:val="single" w:sz="4" w:space="0" w:color="auto"/>
            </w:tcBorders>
            <w:shd w:val="clear" w:color="auto" w:fill="FFFFFF"/>
          </w:tcPr>
          <w:p w14:paraId="5DB9C15E"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r w:rsidRPr="00DF2860">
              <w:rPr>
                <w:rStyle w:val="Bodytext1811pt"/>
                <w:rFonts w:ascii="Sylfaen" w:hAnsi="Sylfaen"/>
                <w:sz w:val="20"/>
                <w:szCs w:val="20"/>
              </w:rPr>
              <w:t>Վերլուծության նկարագրությունը</w:t>
            </w:r>
          </w:p>
          <w:p w14:paraId="3A3C2C15" w14:textId="77777777" w:rsidR="008C76E0" w:rsidRPr="00DF2860" w:rsidRDefault="008C76E0" w:rsidP="008C76E0">
            <w:pPr>
              <w:pStyle w:val="Bodytext180"/>
              <w:shd w:val="clear" w:color="auto" w:fill="auto"/>
              <w:spacing w:before="0" w:after="120" w:line="240" w:lineRule="auto"/>
              <w:ind w:left="10" w:right="-1" w:firstLine="0"/>
              <w:jc w:val="center"/>
              <w:rPr>
                <w:rFonts w:ascii="Sylfaen" w:hAnsi="Sylfaen"/>
                <w:b w:val="0"/>
                <w:sz w:val="20"/>
                <w:szCs w:val="20"/>
              </w:rPr>
            </w:pPr>
          </w:p>
        </w:tc>
        <w:tc>
          <w:tcPr>
            <w:tcW w:w="8948" w:type="dxa"/>
            <w:gridSpan w:val="5"/>
            <w:tcBorders>
              <w:top w:val="single" w:sz="4" w:space="0" w:color="auto"/>
              <w:left w:val="single" w:sz="4" w:space="0" w:color="auto"/>
              <w:right w:val="single" w:sz="4" w:space="0" w:color="auto"/>
            </w:tcBorders>
            <w:shd w:val="clear" w:color="auto" w:fill="FFFFFF"/>
            <w:vAlign w:val="bottom"/>
          </w:tcPr>
          <w:p w14:paraId="317401EA" w14:textId="77777777" w:rsidR="008C76E0" w:rsidRPr="0032101F" w:rsidRDefault="008C76E0" w:rsidP="008C76E0">
            <w:pPr>
              <w:pStyle w:val="Bodytext180"/>
              <w:shd w:val="clear" w:color="auto" w:fill="auto"/>
              <w:spacing w:before="0" w:after="120" w:line="240" w:lineRule="auto"/>
              <w:ind w:right="-1" w:firstLine="567"/>
              <w:jc w:val="center"/>
              <w:rPr>
                <w:rFonts w:ascii="Sylfaen" w:hAnsi="Sylfaen"/>
                <w:b w:val="0"/>
                <w:i/>
                <w:sz w:val="20"/>
                <w:szCs w:val="20"/>
              </w:rPr>
            </w:pPr>
            <w:r w:rsidRPr="0032101F">
              <w:rPr>
                <w:rStyle w:val="Bodytext295pt"/>
                <w:rFonts w:ascii="Sylfaen" w:hAnsi="Sylfaen"/>
                <w:i/>
                <w:spacing w:val="0"/>
                <w:sz w:val="20"/>
                <w:szCs w:val="20"/>
              </w:rPr>
              <w:t>&lt;լրացուցիչ վերլուծություն&gt;</w:t>
            </w:r>
          </w:p>
          <w:p w14:paraId="4A7A3125" w14:textId="77777777" w:rsidR="008C76E0" w:rsidRPr="00DF2860" w:rsidRDefault="008C76E0" w:rsidP="008C76E0">
            <w:pPr>
              <w:pStyle w:val="Bodytext180"/>
              <w:shd w:val="clear" w:color="auto" w:fill="auto"/>
              <w:spacing w:before="0" w:after="120" w:line="240" w:lineRule="auto"/>
              <w:ind w:right="-1" w:firstLine="567"/>
              <w:jc w:val="center"/>
              <w:rPr>
                <w:rFonts w:ascii="Sylfaen" w:hAnsi="Sylfaen"/>
                <w:b w:val="0"/>
                <w:sz w:val="20"/>
                <w:szCs w:val="20"/>
              </w:rPr>
            </w:pPr>
            <w:r w:rsidRPr="00DF2860">
              <w:rPr>
                <w:rStyle w:val="Bodytext295pt"/>
                <w:rFonts w:ascii="Sylfaen" w:hAnsi="Sylfaen"/>
                <w:spacing w:val="0"/>
                <w:sz w:val="20"/>
                <w:szCs w:val="20"/>
              </w:rPr>
              <w:t>&lt;համակցված առաջնային վերլուծություն&gt; &lt;այլ՝ նշել&gt; {նա</w:t>
            </w:r>
            <w:r w:rsidR="00C54D75">
              <w:rPr>
                <w:rStyle w:val="Bodytext295pt"/>
                <w:rFonts w:ascii="Sylfaen" w:hAnsi="Sylfaen"/>
                <w:spacing w:val="0"/>
                <w:sz w:val="20"/>
                <w:szCs w:val="20"/>
              </w:rPr>
              <w:t>և</w:t>
            </w:r>
            <w:r w:rsidRPr="00DF2860">
              <w:rPr>
                <w:rStyle w:val="Bodytext295pt"/>
                <w:rFonts w:ascii="Sylfaen" w:hAnsi="Sylfaen"/>
                <w:spacing w:val="0"/>
                <w:sz w:val="20"/>
                <w:szCs w:val="20"/>
              </w:rPr>
              <w:t xml:space="preserve"> նշե՛ք, եթե վերլուծության անցկացումը պլանավորված է եղել}</w:t>
            </w:r>
          </w:p>
        </w:tc>
      </w:tr>
      <w:tr w:rsidR="008C76E0" w:rsidRPr="00DF2860" w14:paraId="08525D0E" w14:textId="77777777" w:rsidTr="008C76E0">
        <w:trPr>
          <w:jc w:val="center"/>
        </w:trPr>
        <w:tc>
          <w:tcPr>
            <w:tcW w:w="2215" w:type="dxa"/>
            <w:gridSpan w:val="2"/>
            <w:tcBorders>
              <w:top w:val="single" w:sz="4" w:space="0" w:color="auto"/>
              <w:left w:val="single" w:sz="4" w:space="0" w:color="auto"/>
              <w:bottom w:val="single" w:sz="4" w:space="0" w:color="auto"/>
            </w:tcBorders>
            <w:shd w:val="clear" w:color="auto" w:fill="FFFFFF"/>
            <w:vAlign w:val="bottom"/>
          </w:tcPr>
          <w:p w14:paraId="6971D661" w14:textId="77777777" w:rsidR="008C76E0" w:rsidRPr="008C76E0" w:rsidRDefault="008C76E0" w:rsidP="008C76E0">
            <w:pPr>
              <w:pStyle w:val="Bodytext180"/>
              <w:shd w:val="clear" w:color="auto" w:fill="auto"/>
              <w:spacing w:before="0" w:after="120" w:line="240" w:lineRule="auto"/>
              <w:ind w:left="10" w:right="-1" w:firstLine="0"/>
              <w:jc w:val="center"/>
              <w:rPr>
                <w:rFonts w:ascii="Sylfaen" w:hAnsi="Sylfaen"/>
                <w:b w:val="0"/>
                <w:sz w:val="20"/>
                <w:szCs w:val="20"/>
                <w:lang w:val="hy-AM"/>
              </w:rPr>
            </w:pPr>
            <w:r w:rsidRPr="00DF2860">
              <w:rPr>
                <w:rStyle w:val="Bodytext295pt"/>
                <w:rFonts w:ascii="Sylfaen" w:hAnsi="Sylfaen"/>
                <w:spacing w:val="0"/>
                <w:sz w:val="20"/>
                <w:szCs w:val="20"/>
              </w:rPr>
              <w:t>{կրկնե՛ք վերը նշված բաժինները յուրաքանչյուր ակտուալ վերլուծության առնչությամբ}</w:t>
            </w:r>
          </w:p>
        </w:tc>
        <w:tc>
          <w:tcPr>
            <w:tcW w:w="8948" w:type="dxa"/>
            <w:gridSpan w:val="5"/>
            <w:tcBorders>
              <w:top w:val="single" w:sz="4" w:space="0" w:color="auto"/>
              <w:left w:val="single" w:sz="4" w:space="0" w:color="auto"/>
              <w:bottom w:val="single" w:sz="4" w:space="0" w:color="auto"/>
              <w:right w:val="single" w:sz="4" w:space="0" w:color="auto"/>
            </w:tcBorders>
            <w:shd w:val="clear" w:color="auto" w:fill="FFFFFF"/>
          </w:tcPr>
          <w:p w14:paraId="4F3A3D66" w14:textId="77777777" w:rsidR="008C76E0" w:rsidRPr="00DF2860" w:rsidRDefault="008C76E0" w:rsidP="008C76E0">
            <w:pPr>
              <w:spacing w:after="120" w:line="240" w:lineRule="auto"/>
              <w:ind w:right="-1" w:firstLine="567"/>
              <w:jc w:val="center"/>
              <w:rPr>
                <w:rFonts w:ascii="Sylfaen" w:hAnsi="Sylfaen"/>
                <w:sz w:val="20"/>
                <w:szCs w:val="20"/>
              </w:rPr>
            </w:pPr>
          </w:p>
        </w:tc>
      </w:tr>
    </w:tbl>
    <w:p w14:paraId="5AC8A43F" w14:textId="77777777" w:rsidR="008C76E0" w:rsidRDefault="008C76E0" w:rsidP="008C76E0">
      <w:pPr>
        <w:widowControl/>
        <w:rPr>
          <w:rFonts w:ascii="Sylfaen" w:hAnsi="Sylfaen"/>
          <w:sz w:val="24"/>
          <w:szCs w:val="24"/>
        </w:rPr>
      </w:pPr>
      <w:r>
        <w:rPr>
          <w:rFonts w:ascii="Sylfaen" w:hAnsi="Sylfaen"/>
          <w:sz w:val="24"/>
          <w:szCs w:val="24"/>
        </w:rPr>
        <w:br w:type="page"/>
      </w:r>
    </w:p>
    <w:p w14:paraId="5E51EDA3" w14:textId="77777777" w:rsidR="008C76E0" w:rsidRPr="00BD7577" w:rsidRDefault="008C76E0" w:rsidP="004B393A">
      <w:pPr>
        <w:tabs>
          <w:tab w:val="left" w:pos="1418"/>
        </w:tabs>
        <w:spacing w:after="160" w:line="360" w:lineRule="auto"/>
        <w:ind w:right="-1" w:firstLine="567"/>
        <w:jc w:val="center"/>
        <w:rPr>
          <w:rFonts w:ascii="Sylfaen" w:hAnsi="Sylfaen"/>
          <w:sz w:val="24"/>
          <w:szCs w:val="24"/>
        </w:rPr>
      </w:pPr>
      <w:r w:rsidRPr="00BD7577">
        <w:rPr>
          <w:rFonts w:ascii="Sylfaen" w:hAnsi="Sylfaen"/>
          <w:sz w:val="24"/>
          <w:szCs w:val="24"/>
        </w:rPr>
        <w:lastRenderedPageBreak/>
        <w:t>Կլինիկական հետազոտությունները բնակչության հատուկ խմբերի մոտ:</w:t>
      </w:r>
    </w:p>
    <w:p w14:paraId="08165D83"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 xml:space="preserve">Բոլոր հետազոտությունների մասով իրականացված վերլուծություն (ընդհանրացված վերլուծություններ </w:t>
      </w:r>
      <w:r w:rsidR="00C54D75">
        <w:rPr>
          <w:rFonts w:ascii="Sylfaen" w:hAnsi="Sylfaen"/>
          <w:sz w:val="24"/>
          <w:szCs w:val="24"/>
        </w:rPr>
        <w:t>և</w:t>
      </w:r>
      <w:r w:rsidRPr="00BD7577">
        <w:rPr>
          <w:rFonts w:ascii="Sylfaen" w:hAnsi="Sylfaen"/>
          <w:sz w:val="24"/>
          <w:szCs w:val="24"/>
        </w:rPr>
        <w:t xml:space="preserve"> մետա-վերլուծություն):</w:t>
      </w:r>
    </w:p>
    <w:p w14:paraId="5D0E0F27"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Օժանդակ հետազոտությունը:</w:t>
      </w:r>
    </w:p>
    <w:p w14:paraId="7F683D94" w14:textId="77777777" w:rsidR="008C76E0" w:rsidRPr="00BD7577" w:rsidRDefault="008C76E0" w:rsidP="004B393A">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1.20.</w:t>
      </w:r>
      <w:r w:rsidRPr="00BD7577">
        <w:rPr>
          <w:rFonts w:ascii="Sylfaen" w:hAnsi="Sylfaen"/>
          <w:sz w:val="24"/>
          <w:szCs w:val="24"/>
        </w:rPr>
        <w:tab/>
        <w:t>Կլինիկական արդյունավետության վերլուծութունը:</w:t>
      </w:r>
    </w:p>
    <w:p w14:paraId="5D0F64FA"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 xml:space="preserve">Կլինիկական հետազոտությունների բովանդակային պլանը </w:t>
      </w:r>
      <w:r w:rsidR="00C54D75">
        <w:rPr>
          <w:rFonts w:ascii="Sylfaen" w:hAnsi="Sylfaen"/>
          <w:sz w:val="24"/>
          <w:szCs w:val="24"/>
        </w:rPr>
        <w:t>և</w:t>
      </w:r>
      <w:r w:rsidRPr="00BD7577">
        <w:rPr>
          <w:rFonts w:ascii="Sylfaen" w:hAnsi="Sylfaen"/>
          <w:sz w:val="24"/>
          <w:szCs w:val="24"/>
        </w:rPr>
        <w:t xml:space="preserve"> անցկացումը:</w:t>
      </w:r>
    </w:p>
    <w:p w14:paraId="32A1C1BC"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 xml:space="preserve">Արդյունավետության վերաբերյալ տվյալները </w:t>
      </w:r>
      <w:r w:rsidR="00C54D75">
        <w:rPr>
          <w:rFonts w:ascii="Sylfaen" w:hAnsi="Sylfaen"/>
          <w:sz w:val="24"/>
          <w:szCs w:val="24"/>
        </w:rPr>
        <w:t>և</w:t>
      </w:r>
      <w:r w:rsidRPr="00BD7577">
        <w:rPr>
          <w:rFonts w:ascii="Sylfaen" w:hAnsi="Sylfaen"/>
          <w:sz w:val="24"/>
          <w:szCs w:val="24"/>
        </w:rPr>
        <w:t xml:space="preserve"> լրացուցիչ վերլուծությունները:</w:t>
      </w:r>
    </w:p>
    <w:p w14:paraId="029206E4" w14:textId="77777777" w:rsidR="008C76E0" w:rsidRPr="00BD7577" w:rsidRDefault="008C76E0" w:rsidP="004B393A">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1.21.</w:t>
      </w:r>
      <w:r w:rsidRPr="00BD7577">
        <w:rPr>
          <w:rFonts w:ascii="Sylfaen" w:hAnsi="Sylfaen"/>
          <w:sz w:val="24"/>
          <w:szCs w:val="24"/>
        </w:rPr>
        <w:tab/>
        <w:t>Կլինիկական արդյունավետության վերաբերյալ եզրահանգումը:</w:t>
      </w:r>
    </w:p>
    <w:p w14:paraId="371F1825" w14:textId="77777777" w:rsidR="008C76E0" w:rsidRPr="00BD7577" w:rsidRDefault="008C76E0" w:rsidP="004B393A">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1.22.</w:t>
      </w:r>
      <w:r w:rsidRPr="00BD7577">
        <w:rPr>
          <w:rFonts w:ascii="Sylfaen" w:hAnsi="Sylfaen"/>
          <w:sz w:val="24"/>
          <w:szCs w:val="24"/>
        </w:rPr>
        <w:tab/>
        <w:t>Կլինիկական անվտանգությունը:</w:t>
      </w:r>
    </w:p>
    <w:p w14:paraId="3EEE0994" w14:textId="77777777" w:rsidR="008C76E0" w:rsidRPr="00BD7577" w:rsidRDefault="008C76E0" w:rsidP="004B393A">
      <w:pPr>
        <w:tabs>
          <w:tab w:val="left" w:pos="1701"/>
        </w:tabs>
        <w:spacing w:after="160" w:line="360" w:lineRule="auto"/>
        <w:ind w:firstLine="567"/>
        <w:jc w:val="both"/>
        <w:rPr>
          <w:rFonts w:ascii="Sylfaen" w:hAnsi="Sylfaen"/>
          <w:sz w:val="24"/>
          <w:szCs w:val="24"/>
        </w:rPr>
      </w:pPr>
      <w:r w:rsidRPr="00BD7577">
        <w:rPr>
          <w:rFonts w:ascii="Sylfaen" w:hAnsi="Sylfaen"/>
          <w:sz w:val="24"/>
          <w:szCs w:val="24"/>
        </w:rPr>
        <w:t>Պացիենտների վրա ազդեցությունը:</w:t>
      </w:r>
    </w:p>
    <w:p w14:paraId="4CF23DD8"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Անցանկալի եր</w:t>
      </w:r>
      <w:r w:rsidR="00C54D75">
        <w:rPr>
          <w:rFonts w:ascii="Sylfaen" w:hAnsi="Sylfaen"/>
          <w:sz w:val="24"/>
          <w:szCs w:val="24"/>
        </w:rPr>
        <w:t>և</w:t>
      </w:r>
      <w:r w:rsidRPr="00BD7577">
        <w:rPr>
          <w:rFonts w:ascii="Sylfaen" w:hAnsi="Sylfaen"/>
          <w:sz w:val="24"/>
          <w:szCs w:val="24"/>
        </w:rPr>
        <w:t>ույթները:</w:t>
      </w:r>
    </w:p>
    <w:p w14:paraId="043B6176"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Լուրջ անցանկալի եր</w:t>
      </w:r>
      <w:r w:rsidR="00C54D75">
        <w:rPr>
          <w:rFonts w:ascii="Sylfaen" w:hAnsi="Sylfaen"/>
          <w:sz w:val="24"/>
          <w:szCs w:val="24"/>
        </w:rPr>
        <w:t>և</w:t>
      </w:r>
      <w:r w:rsidRPr="00BD7577">
        <w:rPr>
          <w:rFonts w:ascii="Sylfaen" w:hAnsi="Sylfaen"/>
          <w:sz w:val="24"/>
          <w:szCs w:val="24"/>
        </w:rPr>
        <w:t xml:space="preserve">ույթները </w:t>
      </w:r>
      <w:r w:rsidR="00C54D75">
        <w:rPr>
          <w:rFonts w:ascii="Sylfaen" w:hAnsi="Sylfaen"/>
          <w:sz w:val="24"/>
          <w:szCs w:val="24"/>
        </w:rPr>
        <w:t>և</w:t>
      </w:r>
      <w:r w:rsidRPr="00BD7577">
        <w:rPr>
          <w:rFonts w:ascii="Sylfaen" w:hAnsi="Sylfaen"/>
          <w:sz w:val="24"/>
          <w:szCs w:val="24"/>
        </w:rPr>
        <w:t xml:space="preserve"> մահվան ելքով դեպքերը:</w:t>
      </w:r>
    </w:p>
    <w:p w14:paraId="7516A51C"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Լաբորատոր հետազոտությունների տվյալները:</w:t>
      </w:r>
    </w:p>
    <w:p w14:paraId="00C91AB0"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Բնակչության հատուկ խմբերի մոտ անվտանգությունը:</w:t>
      </w:r>
    </w:p>
    <w:p w14:paraId="3E117AA0"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Իմունաբանական եր</w:t>
      </w:r>
      <w:r w:rsidR="00C54D75">
        <w:rPr>
          <w:rFonts w:ascii="Sylfaen" w:hAnsi="Sylfaen"/>
          <w:sz w:val="24"/>
          <w:szCs w:val="24"/>
        </w:rPr>
        <w:t>և</w:t>
      </w:r>
      <w:r w:rsidRPr="00BD7577">
        <w:rPr>
          <w:rFonts w:ascii="Sylfaen" w:hAnsi="Sylfaen"/>
          <w:sz w:val="24"/>
          <w:szCs w:val="24"/>
        </w:rPr>
        <w:t>ույթները:</w:t>
      </w:r>
    </w:p>
    <w:p w14:paraId="3F9A17CE"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 xml:space="preserve">Միջդեղային փոխազդեցությունների </w:t>
      </w:r>
      <w:r w:rsidR="00C54D75">
        <w:rPr>
          <w:rFonts w:ascii="Sylfaen" w:hAnsi="Sylfaen"/>
          <w:sz w:val="24"/>
          <w:szCs w:val="24"/>
        </w:rPr>
        <w:t>և</w:t>
      </w:r>
      <w:r w:rsidRPr="00BD7577">
        <w:rPr>
          <w:rFonts w:ascii="Sylfaen" w:hAnsi="Sylfaen"/>
          <w:sz w:val="24"/>
          <w:szCs w:val="24"/>
        </w:rPr>
        <w:t xml:space="preserve"> այլ փոխազդեցությունների հետ կապված անվտանգությունը:</w:t>
      </w:r>
    </w:p>
    <w:p w14:paraId="15900A50"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Լուրջ անցանկալի եր</w:t>
      </w:r>
      <w:r w:rsidR="00C54D75">
        <w:rPr>
          <w:rFonts w:ascii="Sylfaen" w:hAnsi="Sylfaen"/>
          <w:sz w:val="24"/>
          <w:szCs w:val="24"/>
        </w:rPr>
        <w:t>և</w:t>
      </w:r>
      <w:r w:rsidRPr="00BD7577">
        <w:rPr>
          <w:rFonts w:ascii="Sylfaen" w:hAnsi="Sylfaen"/>
          <w:sz w:val="24"/>
          <w:szCs w:val="24"/>
        </w:rPr>
        <w:t>ույթների պատճառով հետազոտության մեջ մասնակցության դադարեցումը:</w:t>
      </w:r>
    </w:p>
    <w:p w14:paraId="51E855AF" w14:textId="77777777" w:rsidR="008C76E0" w:rsidRPr="00BD7577" w:rsidRDefault="008C76E0" w:rsidP="004B393A">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1.23.</w:t>
      </w:r>
      <w:r w:rsidRPr="00BD7577">
        <w:rPr>
          <w:rFonts w:ascii="Sylfaen" w:hAnsi="Sylfaen"/>
          <w:sz w:val="24"/>
          <w:szCs w:val="24"/>
        </w:rPr>
        <w:tab/>
        <w:t>Կլինիկական անվտանգության շուրջ քննարկումը:</w:t>
      </w:r>
    </w:p>
    <w:p w14:paraId="592C045F" w14:textId="77777777" w:rsidR="008C76E0" w:rsidRPr="00BD7577" w:rsidRDefault="008C76E0" w:rsidP="004B393A">
      <w:pPr>
        <w:tabs>
          <w:tab w:val="left" w:pos="1701"/>
        </w:tabs>
        <w:spacing w:after="160" w:line="360" w:lineRule="auto"/>
        <w:ind w:right="-1" w:firstLine="567"/>
        <w:jc w:val="both"/>
        <w:rPr>
          <w:rFonts w:ascii="Sylfaen" w:hAnsi="Sylfaen"/>
          <w:sz w:val="24"/>
          <w:szCs w:val="24"/>
        </w:rPr>
      </w:pPr>
      <w:r w:rsidRPr="00BD7577">
        <w:rPr>
          <w:rFonts w:ascii="Sylfaen" w:hAnsi="Sylfaen"/>
          <w:sz w:val="24"/>
          <w:szCs w:val="24"/>
        </w:rPr>
        <w:t>1.24.</w:t>
      </w:r>
      <w:r w:rsidRPr="00BD7577">
        <w:rPr>
          <w:rFonts w:ascii="Sylfaen" w:hAnsi="Sylfaen"/>
          <w:sz w:val="24"/>
          <w:szCs w:val="24"/>
        </w:rPr>
        <w:tab/>
        <w:t>Կլինիկական անվտանգության մասով եզրակացությունը:</w:t>
      </w:r>
    </w:p>
    <w:p w14:paraId="08B09CA3" w14:textId="77777777" w:rsidR="008C76E0" w:rsidRPr="00905F38" w:rsidRDefault="008C76E0" w:rsidP="004B393A">
      <w:pPr>
        <w:spacing w:after="160" w:line="360" w:lineRule="auto"/>
        <w:ind w:right="-1" w:firstLine="567"/>
        <w:jc w:val="center"/>
        <w:rPr>
          <w:rFonts w:ascii="Sylfaen" w:hAnsi="Sylfaen"/>
          <w:sz w:val="24"/>
          <w:szCs w:val="24"/>
        </w:rPr>
      </w:pPr>
    </w:p>
    <w:p w14:paraId="7A75D0CF" w14:textId="77777777" w:rsidR="008C76E0" w:rsidRPr="00BD7577" w:rsidRDefault="008C76E0" w:rsidP="004B393A">
      <w:pPr>
        <w:spacing w:after="160" w:line="360" w:lineRule="auto"/>
        <w:ind w:right="-1" w:firstLine="567"/>
        <w:jc w:val="center"/>
        <w:rPr>
          <w:rFonts w:ascii="Sylfaen" w:hAnsi="Sylfaen"/>
          <w:sz w:val="24"/>
          <w:szCs w:val="24"/>
        </w:rPr>
      </w:pPr>
      <w:r w:rsidRPr="00BD7577">
        <w:rPr>
          <w:rFonts w:ascii="Sylfaen" w:hAnsi="Sylfaen"/>
          <w:sz w:val="24"/>
          <w:szCs w:val="24"/>
        </w:rPr>
        <w:lastRenderedPageBreak/>
        <w:t>IV. Դեղազգոնության համակարգը</w:t>
      </w:r>
    </w:p>
    <w:p w14:paraId="14D88CDD"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&lt;Փորձագետը համարում է, որ դեղազգոնության համակարգը, որը նկարագրված է հայտատուի կողմից, բավարարում է պահանջները </w:t>
      </w:r>
      <w:r w:rsidR="00C54D75">
        <w:rPr>
          <w:rFonts w:ascii="Sylfaen" w:hAnsi="Sylfaen"/>
          <w:b w:val="0"/>
          <w:sz w:val="24"/>
          <w:szCs w:val="24"/>
          <w:lang w:val="hy-AM"/>
        </w:rPr>
        <w:t>և</w:t>
      </w:r>
      <w:r w:rsidRPr="008C76E0">
        <w:rPr>
          <w:rFonts w:ascii="Sylfaen" w:hAnsi="Sylfaen"/>
          <w:b w:val="0"/>
          <w:sz w:val="24"/>
          <w:szCs w:val="24"/>
          <w:lang w:val="hy-AM"/>
        </w:rPr>
        <w:t xml:space="preserve"> համապատասխան ապացույց է հանդիսանում առ այն, որ հայտատուին տրամադրվում են դեղազգոնության համար պատասխանատու լիազորված անձի ծառայությունները, </w:t>
      </w:r>
      <w:r w:rsidR="00C54D75">
        <w:rPr>
          <w:rFonts w:ascii="Sylfaen" w:hAnsi="Sylfaen"/>
          <w:b w:val="0"/>
          <w:sz w:val="24"/>
          <w:szCs w:val="24"/>
          <w:lang w:val="hy-AM"/>
        </w:rPr>
        <w:t>և</w:t>
      </w:r>
      <w:r w:rsidRPr="008C76E0">
        <w:rPr>
          <w:rFonts w:ascii="Sylfaen" w:hAnsi="Sylfaen"/>
          <w:b w:val="0"/>
          <w:sz w:val="24"/>
          <w:szCs w:val="24"/>
          <w:lang w:val="hy-AM"/>
        </w:rPr>
        <w:t xml:space="preserve"> առկա են Եվրասիական տնտեսական միությունում կամ երրորդ երկրում առաջացող ցանկացած ենթադրյալ անցանկալի ռեակցիայի մասին ծանուցման համար անհրաժեշտ միջոցները&gt;:</w:t>
      </w:r>
    </w:p>
    <w:p w14:paraId="52A0B0E8"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&lt;Փորձագետը համարում է, որ դեղազգոնության համակարգը, որը նկարագրված է հայտատուի կողմից, ունի հետ</w:t>
      </w:r>
      <w:r w:rsidR="00C54D75">
        <w:rPr>
          <w:rFonts w:ascii="Sylfaen" w:hAnsi="Sylfaen"/>
          <w:b w:val="0"/>
          <w:sz w:val="24"/>
          <w:szCs w:val="24"/>
          <w:lang w:val="hy-AM"/>
        </w:rPr>
        <w:t>և</w:t>
      </w:r>
      <w:r w:rsidRPr="008C76E0">
        <w:rPr>
          <w:rFonts w:ascii="Sylfaen" w:hAnsi="Sylfaen"/>
          <w:b w:val="0"/>
          <w:sz w:val="24"/>
          <w:szCs w:val="24"/>
          <w:lang w:val="hy-AM"/>
        </w:rPr>
        <w:t>յալ թերությունները՝ &lt;թերությունների ցանկը&gt;:</w:t>
      </w:r>
    </w:p>
    <w:p w14:paraId="79AF9E14"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&lt;Հաշվի առնելով, որ թերությունները վերացվում են նախքան հայտատուի կողմից դեղապատրաստուկը շուկա դուրս բերելը, լիազորված փորձագիտական կազմակերպությունը կարող է համարել, որ դեղազգոնության համակարգը կհամապատասխանի պահանջներին: Նախքան պատրաստուկի շուկա մուտք գործելը հայտատուն պետք է ներկայացնի համոզիչ տվյալներ առ այն, որ դեղազգոնության համակարգը ընդունվել </w:t>
      </w:r>
      <w:r w:rsidR="00C54D75">
        <w:rPr>
          <w:rFonts w:ascii="Sylfaen" w:hAnsi="Sylfaen"/>
          <w:b w:val="0"/>
          <w:sz w:val="24"/>
          <w:szCs w:val="24"/>
          <w:lang w:val="hy-AM"/>
        </w:rPr>
        <w:t>և</w:t>
      </w:r>
      <w:r w:rsidRPr="008C76E0">
        <w:rPr>
          <w:rFonts w:ascii="Sylfaen" w:hAnsi="Sylfaen"/>
          <w:b w:val="0"/>
          <w:sz w:val="24"/>
          <w:szCs w:val="24"/>
          <w:lang w:val="hy-AM"/>
        </w:rPr>
        <w:t xml:space="preserve"> գործում է&gt;:</w:t>
      </w:r>
    </w:p>
    <w:p w14:paraId="61505163" w14:textId="77777777" w:rsidR="008C76E0" w:rsidRPr="008C76E0" w:rsidRDefault="008C76E0" w:rsidP="004B393A">
      <w:pPr>
        <w:pStyle w:val="Bodytext70"/>
        <w:shd w:val="clear" w:color="auto" w:fill="auto"/>
        <w:tabs>
          <w:tab w:val="left" w:pos="1418"/>
        </w:tabs>
        <w:spacing w:before="0" w:after="160" w:line="360" w:lineRule="auto"/>
        <w:ind w:right="-1"/>
        <w:rPr>
          <w:rFonts w:ascii="Sylfaen" w:hAnsi="Sylfaen"/>
          <w:b w:val="0"/>
          <w:sz w:val="24"/>
          <w:szCs w:val="24"/>
          <w:lang w:val="hy-AM"/>
        </w:rPr>
      </w:pPr>
    </w:p>
    <w:p w14:paraId="614F2100"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1.</w:t>
      </w:r>
      <w:r w:rsidRPr="00BD7577">
        <w:rPr>
          <w:rFonts w:ascii="Sylfaen" w:hAnsi="Sylfaen"/>
          <w:sz w:val="24"/>
          <w:szCs w:val="24"/>
        </w:rPr>
        <w:tab/>
        <w:t>Ռիսկի կառավարման պլանը:</w:t>
      </w:r>
    </w:p>
    <w:p w14:paraId="33B1D544"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 xml:space="preserve">Դեղազգոնության ոլորտում իրականացվող աշխատանքների համար պատասխանատու կազմակերպչական կառույցների (այսուհետ՝ ԴՈԱՊԿԿ), լիազորված փորձագիտական կազմակերպության մասնագետների կողմից քննարկման համար հարցերը </w:t>
      </w:r>
      <w:r w:rsidR="00C54D75">
        <w:rPr>
          <w:rFonts w:ascii="Sylfaen" w:hAnsi="Sylfaen"/>
          <w:sz w:val="24"/>
          <w:szCs w:val="24"/>
        </w:rPr>
        <w:t>և</w:t>
      </w:r>
      <w:r w:rsidRPr="00BD7577">
        <w:rPr>
          <w:rFonts w:ascii="Sylfaen" w:hAnsi="Sylfaen"/>
          <w:sz w:val="24"/>
          <w:szCs w:val="24"/>
        </w:rPr>
        <w:t xml:space="preserve"> (կամ) խնդիրները ՌԿՊ-ի գնահատման ժամանակ:</w:t>
      </w:r>
    </w:p>
    <w:p w14:paraId="484F6A7E"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Դեղամիջոցներ, որոնք ունակ են ունենալու էական ազդեցություն հազվադեպ, կյանքին սպառնացող կամ հաշմանդամության հանգեցնող հիվանդությունների դեպքում:</w:t>
      </w:r>
    </w:p>
    <w:p w14:paraId="29B546FB"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&lt;Ըստ լիազորված մարմնի եզրակացության (&lt;ամսաթիվը&gt; եզրակացությունը) </w:t>
      </w:r>
      <w:r w:rsidRPr="008C76E0">
        <w:rPr>
          <w:rFonts w:ascii="Sylfaen" w:hAnsi="Sylfaen"/>
          <w:b w:val="0"/>
          <w:sz w:val="24"/>
          <w:szCs w:val="24"/>
          <w:lang w:val="hy-AM"/>
        </w:rPr>
        <w:lastRenderedPageBreak/>
        <w:t>դեպքերի հաճախականությունը &lt;նշել վիճակը&gt; կազմում է &lt;ներկայացնել տարածվածությունը&gt; 10 000 մարդու հաշվով &lt;նշել Միության պետության անվանումը&gt;&gt;</w:t>
      </w:r>
    </w:p>
    <w:p w14:paraId="2A70D18B" w14:textId="77777777" w:rsidR="008C76E0" w:rsidRPr="008C76E0" w:rsidRDefault="008C76E0" w:rsidP="004B393A">
      <w:pPr>
        <w:pStyle w:val="Bodytext70"/>
        <w:shd w:val="clear" w:color="auto" w:fill="auto"/>
        <w:tabs>
          <w:tab w:val="left" w:pos="1418"/>
        </w:tabs>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&lt;տվյալներ չկան (Տ/Չ)&gt;:</w:t>
      </w:r>
    </w:p>
    <w:p w14:paraId="45238A7A"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w:t>
      </w:r>
      <w:r w:rsidRPr="00BD7577">
        <w:rPr>
          <w:rFonts w:ascii="Sylfaen" w:hAnsi="Sylfaen"/>
          <w:sz w:val="24"/>
          <w:szCs w:val="24"/>
        </w:rPr>
        <w:tab/>
        <w:t>Ռիսկ-օգուտ գնահատումը:</w:t>
      </w:r>
    </w:p>
    <w:p w14:paraId="7F844102"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Օգուտը:</w:t>
      </w:r>
    </w:p>
    <w:p w14:paraId="0FBEF000"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Դրական էֆեկտները:</w:t>
      </w:r>
    </w:p>
    <w:p w14:paraId="2B09F6A9"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Դրական էֆեկտների վերաբերյալ գիտելիքներում անորոշությունը:</w:t>
      </w:r>
    </w:p>
    <w:p w14:paraId="38486FE3"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Ռիսկը:</w:t>
      </w:r>
    </w:p>
    <w:p w14:paraId="4DF91DAC"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Վնասակար ներգործությունը:</w:t>
      </w:r>
    </w:p>
    <w:p w14:paraId="68F430E4"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Վնասակար ներգործության վերաբերյալ գիտելիքներում անորոշությունը:</w:t>
      </w:r>
    </w:p>
    <w:p w14:paraId="7B0479C2"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Օգուտ-ռիսկ հարաբերակցությունը:</w:t>
      </w:r>
    </w:p>
    <w:p w14:paraId="75C00CFF"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 xml:space="preserve">Դրական ազդեցությունների </w:t>
      </w:r>
      <w:r w:rsidR="00C54D75">
        <w:rPr>
          <w:rFonts w:ascii="Sylfaen" w:hAnsi="Sylfaen"/>
          <w:sz w:val="24"/>
          <w:szCs w:val="24"/>
        </w:rPr>
        <w:t>և</w:t>
      </w:r>
      <w:r w:rsidRPr="00BD7577">
        <w:rPr>
          <w:rFonts w:ascii="Sylfaen" w:hAnsi="Sylfaen"/>
          <w:sz w:val="24"/>
          <w:szCs w:val="24"/>
        </w:rPr>
        <w:t xml:space="preserve"> վնասակար ներգործության կար</w:t>
      </w:r>
      <w:r w:rsidR="00C54D75">
        <w:rPr>
          <w:rFonts w:ascii="Sylfaen" w:hAnsi="Sylfaen"/>
          <w:sz w:val="24"/>
          <w:szCs w:val="24"/>
        </w:rPr>
        <w:t>և</w:t>
      </w:r>
      <w:r w:rsidRPr="00BD7577">
        <w:rPr>
          <w:rFonts w:ascii="Sylfaen" w:hAnsi="Sylfaen"/>
          <w:sz w:val="24"/>
          <w:szCs w:val="24"/>
        </w:rPr>
        <w:t>որությունը:</w:t>
      </w:r>
    </w:p>
    <w:p w14:paraId="63BF86D9"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Օգուտ-ռիսկ հարաբերակցությունը:</w:t>
      </w:r>
    </w:p>
    <w:p w14:paraId="45A5288B" w14:textId="77777777" w:rsidR="008C76E0" w:rsidRPr="00BD7577" w:rsidRDefault="008C76E0" w:rsidP="004B393A">
      <w:pPr>
        <w:tabs>
          <w:tab w:val="left" w:pos="1418"/>
        </w:tabs>
        <w:spacing w:after="160" w:line="360" w:lineRule="auto"/>
        <w:ind w:right="-1" w:firstLine="567"/>
        <w:jc w:val="both"/>
        <w:rPr>
          <w:rFonts w:ascii="Sylfaen" w:hAnsi="Sylfaen"/>
          <w:sz w:val="24"/>
          <w:szCs w:val="24"/>
        </w:rPr>
      </w:pPr>
      <w:r w:rsidRPr="00BD7577">
        <w:rPr>
          <w:rFonts w:ascii="Sylfaen" w:hAnsi="Sylfaen"/>
          <w:sz w:val="24"/>
          <w:szCs w:val="24"/>
        </w:rPr>
        <w:t>Օգուտ-ռիսկ գնահատման քննարկումը:</w:t>
      </w:r>
    </w:p>
    <w:p w14:paraId="6C11440B"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4.</w:t>
      </w:r>
      <w:r w:rsidRPr="00BD7577">
        <w:rPr>
          <w:rFonts w:ascii="Sylfaen" w:hAnsi="Sylfaen"/>
          <w:sz w:val="24"/>
          <w:szCs w:val="24"/>
        </w:rPr>
        <w:tab/>
        <w:t>Եզրակացությունը:</w:t>
      </w:r>
    </w:p>
    <w:p w14:paraId="6D6C5B3F"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BD7577">
        <w:rPr>
          <w:rStyle w:val="Bodytext295pt"/>
          <w:rFonts w:ascii="Sylfaen" w:hAnsi="Sylfaen"/>
          <w:spacing w:val="0"/>
          <w:sz w:val="24"/>
          <w:szCs w:val="24"/>
        </w:rPr>
        <w:t xml:space="preserve">Օգուտ-ռիսկ ընդհանուր հարաբերակցությունը </w:t>
      </w:r>
      <w:r w:rsidRPr="008C76E0">
        <w:rPr>
          <w:rFonts w:ascii="Sylfaen" w:hAnsi="Sylfaen"/>
          <w:b w:val="0"/>
          <w:sz w:val="24"/>
          <w:szCs w:val="24"/>
          <w:lang w:val="hy-AM"/>
        </w:rPr>
        <w:t xml:space="preserve">&lt;նշել դեղամիջոցի անվանումը&gt; համար </w:t>
      </w:r>
      <w:r w:rsidRPr="00BD7577">
        <w:rPr>
          <w:rStyle w:val="Bodytext295pt"/>
          <w:rFonts w:ascii="Sylfaen" w:hAnsi="Sylfaen"/>
          <w:spacing w:val="0"/>
          <w:sz w:val="24"/>
          <w:szCs w:val="24"/>
        </w:rPr>
        <w:t xml:space="preserve">համարվում է </w:t>
      </w:r>
      <w:r w:rsidRPr="008C76E0">
        <w:rPr>
          <w:rFonts w:ascii="Sylfaen" w:hAnsi="Sylfaen"/>
          <w:b w:val="0"/>
          <w:sz w:val="24"/>
          <w:szCs w:val="24"/>
          <w:lang w:val="hy-AM"/>
        </w:rPr>
        <w:t>&lt;դրական&gt;</w:t>
      </w:r>
      <w:r w:rsidRPr="00BD7577">
        <w:rPr>
          <w:rStyle w:val="Bodytext295pt"/>
          <w:rFonts w:ascii="Sylfaen" w:hAnsi="Sylfaen"/>
          <w:spacing w:val="0"/>
          <w:sz w:val="24"/>
          <w:szCs w:val="24"/>
        </w:rPr>
        <w:t>,</w:t>
      </w:r>
    </w:p>
    <w:p w14:paraId="70F56676"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&lt;դրական՝ պայմանով, որ &lt;նշել հարաբերակցության դրական լինելը պահպանելու պայմանը</w:t>
      </w:r>
      <w:r w:rsidRPr="00BD7577">
        <w:rPr>
          <w:rStyle w:val="Bodytext295pt"/>
          <w:rFonts w:ascii="Sylfaen" w:hAnsi="Sylfaen"/>
          <w:spacing w:val="0"/>
          <w:sz w:val="24"/>
          <w:szCs w:val="24"/>
        </w:rPr>
        <w:t xml:space="preserve">&gt;&gt;. </w:t>
      </w:r>
      <w:r w:rsidRPr="008C76E0">
        <w:rPr>
          <w:rFonts w:ascii="Sylfaen" w:hAnsi="Sylfaen"/>
          <w:b w:val="0"/>
          <w:sz w:val="24"/>
          <w:szCs w:val="24"/>
          <w:lang w:val="hy-AM"/>
        </w:rPr>
        <w:t>&lt;բացասական&gt;:</w:t>
      </w:r>
    </w:p>
    <w:p w14:paraId="1168B056"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p>
    <w:p w14:paraId="78418345" w14:textId="77777777" w:rsidR="008C76E0" w:rsidRPr="008C76E0" w:rsidRDefault="008C76E0" w:rsidP="004B393A">
      <w:pPr>
        <w:pStyle w:val="Bodytext70"/>
        <w:shd w:val="clear" w:color="auto" w:fill="auto"/>
        <w:tabs>
          <w:tab w:val="left" w:pos="1418"/>
        </w:tabs>
        <w:spacing w:before="0" w:after="160" w:line="360" w:lineRule="auto"/>
        <w:ind w:firstLine="567"/>
        <w:rPr>
          <w:rFonts w:ascii="Sylfaen" w:hAnsi="Sylfaen"/>
          <w:b w:val="0"/>
          <w:sz w:val="24"/>
          <w:szCs w:val="24"/>
          <w:lang w:val="hy-AM"/>
        </w:rPr>
      </w:pPr>
    </w:p>
    <w:p w14:paraId="0455D878" w14:textId="77777777" w:rsidR="008C76E0" w:rsidRPr="00BD7577" w:rsidRDefault="008C76E0" w:rsidP="004B393A">
      <w:pPr>
        <w:tabs>
          <w:tab w:val="left" w:pos="1418"/>
        </w:tabs>
        <w:spacing w:after="160" w:line="360" w:lineRule="auto"/>
        <w:ind w:right="-1" w:firstLine="567"/>
        <w:jc w:val="center"/>
        <w:rPr>
          <w:rFonts w:ascii="Sylfaen" w:hAnsi="Sylfaen"/>
          <w:sz w:val="24"/>
          <w:szCs w:val="24"/>
        </w:rPr>
      </w:pPr>
      <w:r w:rsidRPr="00BD7577">
        <w:rPr>
          <w:rFonts w:ascii="Sylfaen" w:hAnsi="Sylfaen"/>
          <w:sz w:val="24"/>
          <w:szCs w:val="24"/>
        </w:rPr>
        <w:t>V.Փորձագետի դիտողությունների ցանկը</w:t>
      </w:r>
    </w:p>
    <w:p w14:paraId="6C5E245F"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lastRenderedPageBreak/>
        <w:t>1.</w:t>
      </w:r>
      <w:r w:rsidRPr="00BD7577">
        <w:rPr>
          <w:rFonts w:ascii="Sylfaen" w:hAnsi="Sylfaen"/>
          <w:sz w:val="24"/>
          <w:szCs w:val="24"/>
        </w:rPr>
        <w:tab/>
        <w:t>Մոդուլ 3 (Որակի ասպեկտները):</w:t>
      </w:r>
    </w:p>
    <w:p w14:paraId="72A633DD"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Քննադատական դիտողություններ՝</w:t>
      </w:r>
    </w:p>
    <w:p w14:paraId="6D20A017"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 դեղապատրաստուկ:</w:t>
      </w:r>
    </w:p>
    <w:p w14:paraId="17AA8779"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Այլ դիտողություններ՝</w:t>
      </w:r>
    </w:p>
    <w:p w14:paraId="041BDCD7"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ակտիվ դեղագործական բաղադրամաս. դեղապատրաստուկ:</w:t>
      </w:r>
    </w:p>
    <w:p w14:paraId="3BF3DA34"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Հանձնարարականներ:</w:t>
      </w:r>
    </w:p>
    <w:p w14:paraId="1506DC47"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Մոդուլ 4 (Նախակլինիկական ասպեկտները):</w:t>
      </w:r>
    </w:p>
    <w:p w14:paraId="433D4C09"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Քննադատական դիտողություններ՝ դեղաբանություն. դեղակինետիկա. Թունաբանություն:</w:t>
      </w:r>
    </w:p>
    <w:p w14:paraId="219AD09C" w14:textId="77777777" w:rsidR="008C76E0" w:rsidRPr="00BD7577" w:rsidRDefault="008C76E0" w:rsidP="004B393A">
      <w:pPr>
        <w:tabs>
          <w:tab w:val="left" w:pos="1134"/>
        </w:tabs>
        <w:spacing w:after="160" w:line="360" w:lineRule="auto"/>
        <w:ind w:firstLine="567"/>
        <w:jc w:val="both"/>
        <w:rPr>
          <w:rFonts w:ascii="Sylfaen" w:hAnsi="Sylfaen"/>
          <w:sz w:val="24"/>
          <w:szCs w:val="24"/>
        </w:rPr>
      </w:pPr>
      <w:r w:rsidRPr="00BD7577">
        <w:rPr>
          <w:rFonts w:ascii="Sylfaen" w:hAnsi="Sylfaen"/>
          <w:sz w:val="24"/>
          <w:szCs w:val="24"/>
        </w:rPr>
        <w:t>Այլ դիտողություններ՝ դեղաբանություն. դեղակինետիկա. Թունաբանություն:</w:t>
      </w:r>
    </w:p>
    <w:p w14:paraId="4B41B442"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Հանձնարարականներ:</w:t>
      </w:r>
    </w:p>
    <w:p w14:paraId="32AD1BAC"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w:t>
      </w:r>
      <w:r w:rsidRPr="00BD7577">
        <w:rPr>
          <w:rFonts w:ascii="Sylfaen" w:hAnsi="Sylfaen"/>
          <w:sz w:val="24"/>
          <w:szCs w:val="24"/>
        </w:rPr>
        <w:tab/>
        <w:t>Մոդուլ 5 (Կլինիկական ասպեկտները):</w:t>
      </w:r>
    </w:p>
    <w:p w14:paraId="360B6B34"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Քննադատական դիտողություններ՝ դեղակինետիկա. դեղադինամիկա. արդյունավետություն.</w:t>
      </w:r>
    </w:p>
    <w:p w14:paraId="6F1C7BEF"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անվտանգություն. դեղազգոնության համակարգ:</w:t>
      </w:r>
    </w:p>
    <w:p w14:paraId="32CB7C0E"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Այլ դիտողություններ՝</w:t>
      </w:r>
    </w:p>
    <w:p w14:paraId="43630538"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դեղակինետիկա.</w:t>
      </w:r>
    </w:p>
    <w:p w14:paraId="48CC10E8"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դեղադինամիկա.</w:t>
      </w:r>
    </w:p>
    <w:p w14:paraId="57B16CC5"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արդյունավետություն.</w:t>
      </w:r>
    </w:p>
    <w:p w14:paraId="4CA6AF43"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անվտանգություն.</w:t>
      </w:r>
    </w:p>
    <w:p w14:paraId="319E742F"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դեղազգոնության համակարգ:</w:t>
      </w:r>
    </w:p>
    <w:p w14:paraId="26DBF68F" w14:textId="77777777" w:rsidR="008C76E0" w:rsidRPr="00BD7577" w:rsidRDefault="008C76E0" w:rsidP="004B393A">
      <w:pPr>
        <w:tabs>
          <w:tab w:val="left" w:pos="1134"/>
          <w:tab w:val="left" w:pos="1418"/>
        </w:tabs>
        <w:spacing w:after="160" w:line="360" w:lineRule="auto"/>
        <w:ind w:right="-1" w:firstLine="567"/>
        <w:jc w:val="both"/>
        <w:rPr>
          <w:rFonts w:ascii="Sylfaen" w:hAnsi="Sylfaen"/>
          <w:sz w:val="24"/>
          <w:szCs w:val="24"/>
        </w:rPr>
      </w:pPr>
      <w:r w:rsidRPr="00BD7577">
        <w:rPr>
          <w:rFonts w:ascii="Sylfaen" w:hAnsi="Sylfaen"/>
          <w:sz w:val="24"/>
          <w:szCs w:val="24"/>
        </w:rPr>
        <w:t>Հանձնարարականներ:</w:t>
      </w:r>
    </w:p>
    <w:p w14:paraId="5F8E8A5D"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4.</w:t>
      </w:r>
      <w:r w:rsidRPr="00BD7577">
        <w:rPr>
          <w:rFonts w:ascii="Sylfaen" w:hAnsi="Sylfaen"/>
          <w:sz w:val="24"/>
          <w:szCs w:val="24"/>
        </w:rPr>
        <w:tab/>
        <w:t>Նոր ակտիվ նյութի կարգավիճակը:</w:t>
      </w:r>
    </w:p>
    <w:p w14:paraId="7A5EF762" w14:textId="77777777" w:rsidR="008C76E0" w:rsidRPr="00BD7577" w:rsidRDefault="008C76E0" w:rsidP="004B393A">
      <w:pPr>
        <w:spacing w:after="160" w:line="360" w:lineRule="auto"/>
        <w:ind w:left="567" w:right="565"/>
        <w:jc w:val="center"/>
        <w:rPr>
          <w:rFonts w:ascii="Sylfaen" w:hAnsi="Sylfaen"/>
          <w:sz w:val="24"/>
          <w:szCs w:val="24"/>
        </w:rPr>
      </w:pPr>
      <w:r w:rsidRPr="00BD7577">
        <w:rPr>
          <w:rFonts w:ascii="Sylfaen" w:hAnsi="Sylfaen"/>
          <w:sz w:val="24"/>
          <w:szCs w:val="24"/>
        </w:rPr>
        <w:lastRenderedPageBreak/>
        <w:t xml:space="preserve">VI. Գրանցման հավաստագրի տրամադրման </w:t>
      </w:r>
      <w:r w:rsidR="00C54D75">
        <w:rPr>
          <w:rFonts w:ascii="Sylfaen" w:hAnsi="Sylfaen"/>
          <w:sz w:val="24"/>
          <w:szCs w:val="24"/>
        </w:rPr>
        <w:t>և</w:t>
      </w:r>
      <w:r w:rsidRPr="00BD7577">
        <w:rPr>
          <w:rFonts w:ascii="Sylfaen" w:hAnsi="Sylfaen"/>
          <w:sz w:val="24"/>
          <w:szCs w:val="24"/>
        </w:rPr>
        <w:t xml:space="preserve"> ԴԸԲ-ն, ԲԿՀ-ն (ՆԹ-ն) հաստատելու համար առաջարկվող լրացուցիչ պայմանները</w:t>
      </w:r>
    </w:p>
    <w:p w14:paraId="2845767F"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1.</w:t>
      </w:r>
      <w:r w:rsidRPr="00BD7577">
        <w:rPr>
          <w:rFonts w:ascii="Sylfaen" w:hAnsi="Sylfaen"/>
          <w:sz w:val="24"/>
          <w:szCs w:val="24"/>
        </w:rPr>
        <w:tab/>
        <w:t>Գրանցման հավաստագրի տրամադրման լրացուցիչ պայմանները:</w:t>
      </w:r>
    </w:p>
    <w:p w14:paraId="0BDF9E69"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2.</w:t>
      </w:r>
      <w:r w:rsidRPr="00BD7577">
        <w:rPr>
          <w:rFonts w:ascii="Sylfaen" w:hAnsi="Sylfaen"/>
          <w:sz w:val="24"/>
          <w:szCs w:val="24"/>
        </w:rPr>
        <w:tab/>
        <w:t>Դեղապատրաստուկի ընդհանուր բնութագրի (ԴԸԲ) խմբագրությունը հաստատելու հնարավորությունը:</w:t>
      </w:r>
    </w:p>
    <w:p w14:paraId="1CCCE56F"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3.</w:t>
      </w:r>
      <w:r w:rsidRPr="00BD7577">
        <w:rPr>
          <w:rFonts w:ascii="Sylfaen" w:hAnsi="Sylfaen"/>
          <w:sz w:val="24"/>
          <w:szCs w:val="24"/>
        </w:rPr>
        <w:tab/>
        <w:t>Մականշվածքը:</w:t>
      </w:r>
    </w:p>
    <w:p w14:paraId="7B8A8B24"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 xml:space="preserve">4. Դեղամիջոցի բժշկական կիրառման հրահանգը (ներդիր թերթիկը) </w:t>
      </w:r>
      <w:r w:rsidRPr="00BD7577">
        <w:rPr>
          <w:rFonts w:ascii="Sylfaen" w:hAnsi="Sylfaen"/>
          <w:sz w:val="24"/>
          <w:szCs w:val="24"/>
        </w:rPr>
        <w:br/>
        <w:t>(ԲԿՀ (ՆԹ)):</w:t>
      </w:r>
    </w:p>
    <w:p w14:paraId="0D08F0A6"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5.</w:t>
      </w:r>
      <w:r w:rsidRPr="00BD7577">
        <w:rPr>
          <w:rFonts w:ascii="Sylfaen" w:hAnsi="Sylfaen"/>
          <w:sz w:val="24"/>
          <w:szCs w:val="24"/>
        </w:rPr>
        <w:tab/>
        <w:t>Օգտագործողների թեստավորման գնահատումը (տե՛ս սույն հաշվետվության VII բաժինը):</w:t>
      </w:r>
    </w:p>
    <w:p w14:paraId="2B04BA7E"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p>
    <w:p w14:paraId="6F73315D" w14:textId="77777777" w:rsidR="008C76E0" w:rsidRPr="00BD7577" w:rsidRDefault="008C76E0" w:rsidP="004B393A">
      <w:pPr>
        <w:spacing w:after="160" w:line="360" w:lineRule="auto"/>
        <w:ind w:left="567" w:right="565"/>
        <w:jc w:val="center"/>
        <w:rPr>
          <w:rFonts w:ascii="Sylfaen" w:hAnsi="Sylfaen"/>
          <w:sz w:val="24"/>
          <w:szCs w:val="24"/>
        </w:rPr>
      </w:pPr>
      <w:r w:rsidRPr="00BD7577">
        <w:rPr>
          <w:rFonts w:ascii="Sylfaen" w:hAnsi="Sylfaen"/>
          <w:sz w:val="24"/>
          <w:szCs w:val="24"/>
        </w:rPr>
        <w:t>VII. Օգտագործողների թեստավորման արդյունքների քննարկման համար փաստաթղթերի որակի ստուգման թերթ</w:t>
      </w:r>
    </w:p>
    <w:tbl>
      <w:tblPr>
        <w:tblOverlap w:val="never"/>
        <w:tblW w:w="9667" w:type="dxa"/>
        <w:jc w:val="center"/>
        <w:tblLayout w:type="fixed"/>
        <w:tblCellMar>
          <w:left w:w="10" w:type="dxa"/>
          <w:right w:w="10" w:type="dxa"/>
        </w:tblCellMar>
        <w:tblLook w:val="04A0" w:firstRow="1" w:lastRow="0" w:firstColumn="1" w:lastColumn="0" w:noHBand="0" w:noVBand="1"/>
      </w:tblPr>
      <w:tblGrid>
        <w:gridCol w:w="5787"/>
        <w:gridCol w:w="3880"/>
      </w:tblGrid>
      <w:tr w:rsidR="008C76E0" w:rsidRPr="00BD7577" w14:paraId="0B1A7571" w14:textId="77777777" w:rsidTr="008C76E0">
        <w:trPr>
          <w:jc w:val="center"/>
        </w:trPr>
        <w:tc>
          <w:tcPr>
            <w:tcW w:w="9667" w:type="dxa"/>
            <w:gridSpan w:val="2"/>
            <w:shd w:val="clear" w:color="auto" w:fill="FFFFFF"/>
          </w:tcPr>
          <w:p w14:paraId="3139A277" w14:textId="77777777" w:rsidR="008C76E0" w:rsidRPr="00BD7577" w:rsidRDefault="008C76E0" w:rsidP="008C76E0">
            <w:pPr>
              <w:pStyle w:val="Bodytext180"/>
              <w:shd w:val="clear" w:color="auto" w:fill="auto"/>
              <w:spacing w:before="0" w:after="120" w:line="240" w:lineRule="auto"/>
              <w:ind w:firstLine="567"/>
              <w:jc w:val="center"/>
              <w:rPr>
                <w:rFonts w:ascii="Sylfaen" w:hAnsi="Sylfaen"/>
                <w:b w:val="0"/>
                <w:sz w:val="24"/>
                <w:szCs w:val="24"/>
              </w:rPr>
            </w:pPr>
            <w:r w:rsidRPr="00BD7577">
              <w:rPr>
                <w:rStyle w:val="Bodytext295pt"/>
                <w:rFonts w:ascii="Sylfaen" w:hAnsi="Sylfaen"/>
                <w:spacing w:val="0"/>
                <w:sz w:val="24"/>
                <w:szCs w:val="24"/>
              </w:rPr>
              <w:t>1.Տեղեկություններ՝ արտադրատեսակի վերաբերյալ</w:t>
            </w:r>
          </w:p>
        </w:tc>
      </w:tr>
      <w:tr w:rsidR="008C76E0" w:rsidRPr="00BD7577" w14:paraId="3A83E3D4" w14:textId="77777777" w:rsidTr="008C76E0">
        <w:trPr>
          <w:jc w:val="center"/>
        </w:trPr>
        <w:tc>
          <w:tcPr>
            <w:tcW w:w="5787" w:type="dxa"/>
            <w:tcBorders>
              <w:top w:val="single" w:sz="4" w:space="0" w:color="auto"/>
              <w:left w:val="single" w:sz="4" w:space="0" w:color="auto"/>
            </w:tcBorders>
            <w:shd w:val="clear" w:color="auto" w:fill="FFFFFF"/>
          </w:tcPr>
          <w:p w14:paraId="11182B19" w14:textId="77777777" w:rsidR="008C76E0" w:rsidRPr="00BD7577" w:rsidRDefault="008C76E0" w:rsidP="008C76E0">
            <w:pPr>
              <w:pStyle w:val="Bodytext180"/>
              <w:shd w:val="clear" w:color="auto" w:fill="auto"/>
              <w:spacing w:before="0" w:after="120" w:line="240" w:lineRule="auto"/>
              <w:ind w:left="147" w:right="91" w:firstLine="5"/>
              <w:jc w:val="both"/>
              <w:rPr>
                <w:rFonts w:ascii="Sylfaen" w:hAnsi="Sylfaen"/>
                <w:b w:val="0"/>
                <w:sz w:val="24"/>
                <w:szCs w:val="24"/>
              </w:rPr>
            </w:pPr>
            <w:r w:rsidRPr="00BD7577">
              <w:rPr>
                <w:rStyle w:val="Bodytext295pt"/>
                <w:rFonts w:ascii="Sylfaen" w:hAnsi="Sylfaen"/>
                <w:spacing w:val="0"/>
                <w:sz w:val="24"/>
                <w:szCs w:val="24"/>
              </w:rPr>
              <w:t>Դեղապատրաստուկի անվանումը</w:t>
            </w:r>
          </w:p>
        </w:tc>
        <w:tc>
          <w:tcPr>
            <w:tcW w:w="3880" w:type="dxa"/>
            <w:tcBorders>
              <w:top w:val="single" w:sz="4" w:space="0" w:color="auto"/>
              <w:left w:val="single" w:sz="4" w:space="0" w:color="auto"/>
              <w:right w:val="single" w:sz="4" w:space="0" w:color="auto"/>
            </w:tcBorders>
            <w:shd w:val="clear" w:color="auto" w:fill="FFFFFF"/>
          </w:tcPr>
          <w:p w14:paraId="673A16A7"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67E66289" w14:textId="77777777" w:rsidTr="008C76E0">
        <w:trPr>
          <w:jc w:val="center"/>
        </w:trPr>
        <w:tc>
          <w:tcPr>
            <w:tcW w:w="5787" w:type="dxa"/>
            <w:tcBorders>
              <w:top w:val="single" w:sz="4" w:space="0" w:color="auto"/>
              <w:left w:val="single" w:sz="4" w:space="0" w:color="auto"/>
            </w:tcBorders>
            <w:shd w:val="clear" w:color="auto" w:fill="FFFFFF"/>
          </w:tcPr>
          <w:p w14:paraId="70C809B7" w14:textId="77777777" w:rsidR="008C76E0" w:rsidRPr="00BD7577" w:rsidRDefault="008C76E0" w:rsidP="008C76E0">
            <w:pPr>
              <w:pStyle w:val="Bodytext180"/>
              <w:shd w:val="clear" w:color="auto" w:fill="auto"/>
              <w:spacing w:before="0" w:after="120" w:line="240" w:lineRule="auto"/>
              <w:ind w:left="147" w:right="91" w:firstLine="5"/>
              <w:jc w:val="both"/>
              <w:rPr>
                <w:rFonts w:ascii="Sylfaen" w:hAnsi="Sylfaen"/>
                <w:b w:val="0"/>
                <w:sz w:val="24"/>
                <w:szCs w:val="24"/>
              </w:rPr>
            </w:pPr>
            <w:r w:rsidRPr="00BD7577">
              <w:rPr>
                <w:rStyle w:val="Bodytext295pt"/>
                <w:rFonts w:ascii="Sylfaen" w:hAnsi="Sylfaen"/>
                <w:spacing w:val="0"/>
                <w:sz w:val="24"/>
                <w:szCs w:val="24"/>
              </w:rPr>
              <w:t xml:space="preserve">Հայտատուի անվանումը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հասցեն</w:t>
            </w:r>
          </w:p>
        </w:tc>
        <w:tc>
          <w:tcPr>
            <w:tcW w:w="3880" w:type="dxa"/>
            <w:tcBorders>
              <w:top w:val="single" w:sz="4" w:space="0" w:color="auto"/>
              <w:left w:val="single" w:sz="4" w:space="0" w:color="auto"/>
              <w:right w:val="single" w:sz="4" w:space="0" w:color="auto"/>
            </w:tcBorders>
            <w:shd w:val="clear" w:color="auto" w:fill="FFFFFF"/>
          </w:tcPr>
          <w:p w14:paraId="4529992E"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5BC8ADE8" w14:textId="77777777" w:rsidTr="008C76E0">
        <w:trPr>
          <w:jc w:val="center"/>
        </w:trPr>
        <w:tc>
          <w:tcPr>
            <w:tcW w:w="5787" w:type="dxa"/>
            <w:tcBorders>
              <w:top w:val="single" w:sz="4" w:space="0" w:color="auto"/>
              <w:left w:val="single" w:sz="4" w:space="0" w:color="auto"/>
            </w:tcBorders>
            <w:shd w:val="clear" w:color="auto" w:fill="FFFFFF"/>
            <w:vAlign w:val="bottom"/>
          </w:tcPr>
          <w:p w14:paraId="0C5F0008" w14:textId="77777777" w:rsidR="008C76E0" w:rsidRPr="008C76E0" w:rsidRDefault="008C76E0" w:rsidP="008C76E0">
            <w:pPr>
              <w:pStyle w:val="Bodytext180"/>
              <w:shd w:val="clear" w:color="auto" w:fill="auto"/>
              <w:spacing w:before="0" w:after="120" w:line="240" w:lineRule="auto"/>
              <w:ind w:left="147" w:right="91" w:firstLine="5"/>
              <w:jc w:val="both"/>
              <w:rPr>
                <w:rFonts w:ascii="Sylfaen" w:hAnsi="Sylfaen"/>
                <w:b w:val="0"/>
                <w:sz w:val="24"/>
                <w:szCs w:val="24"/>
                <w:lang w:val="hy-AM"/>
              </w:rPr>
            </w:pPr>
            <w:r w:rsidRPr="00BD7577">
              <w:rPr>
                <w:rStyle w:val="Bodytext295pt"/>
                <w:rFonts w:ascii="Sylfaen" w:hAnsi="Sylfaen"/>
                <w:spacing w:val="0"/>
                <w:sz w:val="24"/>
                <w:szCs w:val="24"/>
              </w:rPr>
              <w:t>Օգտագործողների թեստավորում անցկացնող ընկերության անվանումը</w:t>
            </w:r>
          </w:p>
        </w:tc>
        <w:tc>
          <w:tcPr>
            <w:tcW w:w="3880" w:type="dxa"/>
            <w:tcBorders>
              <w:top w:val="single" w:sz="4" w:space="0" w:color="auto"/>
              <w:left w:val="single" w:sz="4" w:space="0" w:color="auto"/>
              <w:right w:val="single" w:sz="4" w:space="0" w:color="auto"/>
            </w:tcBorders>
            <w:shd w:val="clear" w:color="auto" w:fill="FFFFFF"/>
          </w:tcPr>
          <w:p w14:paraId="3390F9B7"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61AADFE8" w14:textId="77777777" w:rsidTr="008C76E0">
        <w:trPr>
          <w:jc w:val="center"/>
        </w:trPr>
        <w:tc>
          <w:tcPr>
            <w:tcW w:w="5787" w:type="dxa"/>
            <w:tcBorders>
              <w:top w:val="single" w:sz="4" w:space="0" w:color="auto"/>
              <w:left w:val="single" w:sz="4" w:space="0" w:color="auto"/>
            </w:tcBorders>
            <w:shd w:val="clear" w:color="auto" w:fill="FFFFFF"/>
            <w:vAlign w:val="bottom"/>
          </w:tcPr>
          <w:p w14:paraId="3CC4819C" w14:textId="77777777" w:rsidR="008C76E0" w:rsidRPr="008C76E0" w:rsidRDefault="008C76E0" w:rsidP="008C76E0">
            <w:pPr>
              <w:pStyle w:val="Bodytext180"/>
              <w:shd w:val="clear" w:color="auto" w:fill="auto"/>
              <w:spacing w:before="0" w:after="120" w:line="240" w:lineRule="auto"/>
              <w:ind w:left="147" w:right="91" w:firstLine="5"/>
              <w:jc w:val="both"/>
              <w:rPr>
                <w:rFonts w:ascii="Sylfaen" w:hAnsi="Sylfaen"/>
                <w:b w:val="0"/>
                <w:sz w:val="24"/>
                <w:szCs w:val="24"/>
                <w:lang w:val="hy-AM"/>
              </w:rPr>
            </w:pPr>
            <w:r w:rsidRPr="00BD7577">
              <w:rPr>
                <w:rStyle w:val="Bodytext295pt"/>
                <w:rFonts w:ascii="Sylfaen" w:hAnsi="Sylfaen"/>
                <w:spacing w:val="0"/>
                <w:sz w:val="24"/>
                <w:szCs w:val="24"/>
              </w:rPr>
              <w:t>Գրանցման հավաստագիր ստանալու վերաբերյալ հայտի տիպը</w:t>
            </w:r>
          </w:p>
        </w:tc>
        <w:tc>
          <w:tcPr>
            <w:tcW w:w="3880" w:type="dxa"/>
            <w:tcBorders>
              <w:top w:val="single" w:sz="4" w:space="0" w:color="auto"/>
              <w:left w:val="single" w:sz="4" w:space="0" w:color="auto"/>
              <w:right w:val="single" w:sz="4" w:space="0" w:color="auto"/>
            </w:tcBorders>
            <w:shd w:val="clear" w:color="auto" w:fill="FFFFFF"/>
          </w:tcPr>
          <w:p w14:paraId="59AD1FD4"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54B797AE" w14:textId="77777777" w:rsidTr="008C76E0">
        <w:trPr>
          <w:jc w:val="center"/>
        </w:trPr>
        <w:tc>
          <w:tcPr>
            <w:tcW w:w="5787" w:type="dxa"/>
            <w:tcBorders>
              <w:top w:val="single" w:sz="4" w:space="0" w:color="auto"/>
              <w:left w:val="single" w:sz="4" w:space="0" w:color="auto"/>
            </w:tcBorders>
            <w:shd w:val="clear" w:color="auto" w:fill="FFFFFF"/>
          </w:tcPr>
          <w:p w14:paraId="735CA397" w14:textId="77777777" w:rsidR="008C76E0" w:rsidRPr="00BD7577" w:rsidRDefault="008C76E0" w:rsidP="008C76E0">
            <w:pPr>
              <w:pStyle w:val="Bodytext180"/>
              <w:shd w:val="clear" w:color="auto" w:fill="auto"/>
              <w:spacing w:before="0" w:after="120" w:line="240" w:lineRule="auto"/>
              <w:ind w:left="147" w:right="91" w:firstLine="5"/>
              <w:jc w:val="both"/>
              <w:rPr>
                <w:rFonts w:ascii="Sylfaen" w:hAnsi="Sylfaen"/>
                <w:b w:val="0"/>
                <w:sz w:val="24"/>
                <w:szCs w:val="24"/>
              </w:rPr>
            </w:pPr>
            <w:r w:rsidRPr="00BD7577">
              <w:rPr>
                <w:rStyle w:val="Bodytext295pt"/>
                <w:rFonts w:ascii="Sylfaen" w:hAnsi="Sylfaen"/>
                <w:spacing w:val="0"/>
                <w:sz w:val="24"/>
                <w:szCs w:val="24"/>
              </w:rPr>
              <w:t>ՄՉԱ-ն</w:t>
            </w:r>
          </w:p>
        </w:tc>
        <w:tc>
          <w:tcPr>
            <w:tcW w:w="3880" w:type="dxa"/>
            <w:tcBorders>
              <w:top w:val="single" w:sz="4" w:space="0" w:color="auto"/>
              <w:left w:val="single" w:sz="4" w:space="0" w:color="auto"/>
              <w:right w:val="single" w:sz="4" w:space="0" w:color="auto"/>
            </w:tcBorders>
            <w:shd w:val="clear" w:color="auto" w:fill="FFFFFF"/>
          </w:tcPr>
          <w:p w14:paraId="43FCCFAA"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6AFCD2D1" w14:textId="77777777" w:rsidTr="008C76E0">
        <w:trPr>
          <w:jc w:val="center"/>
        </w:trPr>
        <w:tc>
          <w:tcPr>
            <w:tcW w:w="5787" w:type="dxa"/>
            <w:tcBorders>
              <w:top w:val="single" w:sz="4" w:space="0" w:color="auto"/>
              <w:left w:val="single" w:sz="4" w:space="0" w:color="auto"/>
            </w:tcBorders>
            <w:shd w:val="clear" w:color="auto" w:fill="FFFFFF"/>
            <w:vAlign w:val="bottom"/>
          </w:tcPr>
          <w:p w14:paraId="2242CFC5" w14:textId="77777777" w:rsidR="008C76E0" w:rsidRPr="008C76E0" w:rsidRDefault="008C76E0" w:rsidP="008C76E0">
            <w:pPr>
              <w:pStyle w:val="Bodytext180"/>
              <w:shd w:val="clear" w:color="auto" w:fill="auto"/>
              <w:spacing w:before="0" w:after="120" w:line="240" w:lineRule="auto"/>
              <w:ind w:left="147" w:right="91" w:firstLine="5"/>
              <w:jc w:val="both"/>
              <w:rPr>
                <w:rFonts w:ascii="Sylfaen" w:hAnsi="Sylfaen"/>
                <w:b w:val="0"/>
                <w:sz w:val="24"/>
                <w:szCs w:val="24"/>
                <w:lang w:val="hy-AM"/>
              </w:rPr>
            </w:pPr>
            <w:r w:rsidRPr="00BD7577">
              <w:rPr>
                <w:rStyle w:val="Bodytext295pt"/>
                <w:rFonts w:ascii="Sylfaen" w:hAnsi="Sylfaen"/>
                <w:spacing w:val="0"/>
                <w:sz w:val="24"/>
                <w:szCs w:val="24"/>
              </w:rPr>
              <w:t>Դեղաթերապ</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տիկ խումբը (ԱԲՔ (ATХ) ծածկագիրը)</w:t>
            </w:r>
          </w:p>
        </w:tc>
        <w:tc>
          <w:tcPr>
            <w:tcW w:w="3880" w:type="dxa"/>
            <w:tcBorders>
              <w:top w:val="single" w:sz="4" w:space="0" w:color="auto"/>
              <w:left w:val="single" w:sz="4" w:space="0" w:color="auto"/>
              <w:right w:val="single" w:sz="4" w:space="0" w:color="auto"/>
            </w:tcBorders>
            <w:shd w:val="clear" w:color="auto" w:fill="FFFFFF"/>
          </w:tcPr>
          <w:p w14:paraId="78297F12"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7168047" w14:textId="77777777" w:rsidTr="008C76E0">
        <w:trPr>
          <w:jc w:val="center"/>
        </w:trPr>
        <w:tc>
          <w:tcPr>
            <w:tcW w:w="5787" w:type="dxa"/>
            <w:tcBorders>
              <w:top w:val="single" w:sz="4" w:space="0" w:color="auto"/>
              <w:left w:val="single" w:sz="4" w:space="0" w:color="auto"/>
            </w:tcBorders>
            <w:shd w:val="clear" w:color="auto" w:fill="FFFFFF"/>
          </w:tcPr>
          <w:p w14:paraId="003090BE" w14:textId="77777777" w:rsidR="008C76E0" w:rsidRPr="00BD7577" w:rsidRDefault="008C76E0" w:rsidP="008C76E0">
            <w:pPr>
              <w:pStyle w:val="Bodytext180"/>
              <w:shd w:val="clear" w:color="auto" w:fill="auto"/>
              <w:spacing w:before="0" w:after="120" w:line="240" w:lineRule="auto"/>
              <w:ind w:left="147" w:right="91" w:firstLine="5"/>
              <w:jc w:val="both"/>
              <w:rPr>
                <w:rFonts w:ascii="Sylfaen" w:hAnsi="Sylfaen"/>
                <w:b w:val="0"/>
                <w:sz w:val="24"/>
                <w:szCs w:val="24"/>
              </w:rPr>
            </w:pPr>
            <w:r w:rsidRPr="00BD7577">
              <w:rPr>
                <w:rStyle w:val="Bodytext295pt"/>
                <w:rFonts w:ascii="Sylfaen" w:hAnsi="Sylfaen"/>
                <w:spacing w:val="0"/>
                <w:sz w:val="24"/>
                <w:szCs w:val="24"/>
              </w:rPr>
              <w:t>Թերապ</w:t>
            </w:r>
            <w:r w:rsidR="00C54D75">
              <w:rPr>
                <w:rStyle w:val="Bodytext295pt"/>
                <w:rFonts w:ascii="Sylfaen" w:hAnsi="Sylfaen"/>
                <w:spacing w:val="0"/>
                <w:sz w:val="24"/>
                <w:szCs w:val="24"/>
              </w:rPr>
              <w:t>և</w:t>
            </w:r>
            <w:r w:rsidRPr="00BD7577">
              <w:rPr>
                <w:rStyle w:val="Bodytext295pt"/>
                <w:rFonts w:ascii="Sylfaen" w:hAnsi="Sylfaen"/>
                <w:spacing w:val="0"/>
                <w:sz w:val="24"/>
                <w:szCs w:val="24"/>
              </w:rPr>
              <w:t>տիկ ցուցումները</w:t>
            </w:r>
          </w:p>
        </w:tc>
        <w:tc>
          <w:tcPr>
            <w:tcW w:w="3880" w:type="dxa"/>
            <w:tcBorders>
              <w:top w:val="single" w:sz="4" w:space="0" w:color="auto"/>
              <w:left w:val="single" w:sz="4" w:space="0" w:color="auto"/>
              <w:right w:val="single" w:sz="4" w:space="0" w:color="auto"/>
            </w:tcBorders>
            <w:shd w:val="clear" w:color="auto" w:fill="FFFFFF"/>
          </w:tcPr>
          <w:p w14:paraId="622D8364"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7B2B4426" w14:textId="77777777" w:rsidTr="008C76E0">
        <w:trPr>
          <w:jc w:val="center"/>
        </w:trPr>
        <w:tc>
          <w:tcPr>
            <w:tcW w:w="5787" w:type="dxa"/>
            <w:tcBorders>
              <w:top w:val="single" w:sz="4" w:space="0" w:color="auto"/>
              <w:left w:val="single" w:sz="4" w:space="0" w:color="auto"/>
            </w:tcBorders>
            <w:shd w:val="clear" w:color="auto" w:fill="FFFFFF"/>
          </w:tcPr>
          <w:p w14:paraId="0543E9B4" w14:textId="77777777" w:rsidR="008C76E0" w:rsidRPr="00BD7577" w:rsidRDefault="008C76E0" w:rsidP="008C76E0">
            <w:pPr>
              <w:pStyle w:val="Bodytext180"/>
              <w:shd w:val="clear" w:color="auto" w:fill="auto"/>
              <w:spacing w:before="0" w:after="120" w:line="240" w:lineRule="auto"/>
              <w:ind w:left="147" w:right="91" w:firstLine="5"/>
              <w:jc w:val="both"/>
              <w:rPr>
                <w:rFonts w:ascii="Sylfaen" w:hAnsi="Sylfaen"/>
                <w:b w:val="0"/>
                <w:sz w:val="24"/>
                <w:szCs w:val="24"/>
              </w:rPr>
            </w:pPr>
            <w:r w:rsidRPr="00BD7577">
              <w:rPr>
                <w:rStyle w:val="Bodytext295pt"/>
                <w:rFonts w:ascii="Sylfaen" w:hAnsi="Sylfaen"/>
                <w:spacing w:val="0"/>
                <w:sz w:val="24"/>
                <w:szCs w:val="24"/>
              </w:rPr>
              <w:t>Հազվադեպ կիրառվող (որբ) պատրաստուկ</w:t>
            </w:r>
          </w:p>
        </w:tc>
        <w:tc>
          <w:tcPr>
            <w:tcW w:w="3880" w:type="dxa"/>
            <w:tcBorders>
              <w:top w:val="single" w:sz="4" w:space="0" w:color="auto"/>
              <w:left w:val="single" w:sz="4" w:space="0" w:color="auto"/>
              <w:right w:val="single" w:sz="4" w:space="0" w:color="auto"/>
            </w:tcBorders>
            <w:shd w:val="clear" w:color="auto" w:fill="FFFFFF"/>
          </w:tcPr>
          <w:p w14:paraId="196963ED" w14:textId="77777777" w:rsidR="008C76E0" w:rsidRPr="00BD7577" w:rsidRDefault="008C76E0" w:rsidP="008C76E0">
            <w:pPr>
              <w:pStyle w:val="Bodytext180"/>
              <w:shd w:val="clear" w:color="auto" w:fill="auto"/>
              <w:spacing w:before="0" w:after="120" w:line="240" w:lineRule="auto"/>
              <w:ind w:firstLine="567"/>
              <w:jc w:val="both"/>
              <w:rPr>
                <w:rFonts w:ascii="Sylfaen" w:hAnsi="Sylfaen"/>
                <w:b w:val="0"/>
                <w:sz w:val="24"/>
                <w:szCs w:val="24"/>
              </w:rPr>
            </w:pPr>
            <w:r w:rsidRPr="00BD7577">
              <w:rPr>
                <w:rStyle w:val="Bodytext295pt"/>
                <w:rFonts w:ascii="Sylfaen" w:hAnsi="Sylfaen"/>
                <w:spacing w:val="0"/>
                <w:sz w:val="24"/>
                <w:szCs w:val="24"/>
              </w:rPr>
              <w:t>□ այո □ ոչ</w:t>
            </w:r>
          </w:p>
        </w:tc>
      </w:tr>
      <w:tr w:rsidR="008C76E0" w:rsidRPr="00BD7577" w14:paraId="43B197C3" w14:textId="77777777" w:rsidTr="008C76E0">
        <w:trPr>
          <w:jc w:val="center"/>
        </w:trPr>
        <w:tc>
          <w:tcPr>
            <w:tcW w:w="5787" w:type="dxa"/>
            <w:tcBorders>
              <w:top w:val="single" w:sz="4" w:space="0" w:color="auto"/>
              <w:left w:val="single" w:sz="4" w:space="0" w:color="auto"/>
              <w:bottom w:val="single" w:sz="4" w:space="0" w:color="auto"/>
            </w:tcBorders>
            <w:shd w:val="clear" w:color="auto" w:fill="FFFFFF"/>
          </w:tcPr>
          <w:p w14:paraId="45E269D4" w14:textId="77777777" w:rsidR="008C76E0" w:rsidRDefault="008C76E0" w:rsidP="008C76E0">
            <w:pPr>
              <w:pStyle w:val="Bodytext180"/>
              <w:shd w:val="clear" w:color="auto" w:fill="auto"/>
              <w:spacing w:before="0" w:after="120" w:line="240" w:lineRule="auto"/>
              <w:ind w:left="147" w:right="91" w:firstLine="5"/>
              <w:jc w:val="both"/>
              <w:rPr>
                <w:rStyle w:val="Bodytext295pt"/>
                <w:rFonts w:ascii="Sylfaen" w:hAnsi="Sylfaen"/>
                <w:spacing w:val="0"/>
                <w:sz w:val="24"/>
                <w:szCs w:val="24"/>
                <w:lang w:val="en-US"/>
              </w:rPr>
            </w:pPr>
            <w:r w:rsidRPr="00BD7577">
              <w:rPr>
                <w:rStyle w:val="Bodytext295pt"/>
                <w:rFonts w:ascii="Sylfaen" w:hAnsi="Sylfaen"/>
                <w:spacing w:val="0"/>
                <w:sz w:val="24"/>
                <w:szCs w:val="24"/>
              </w:rPr>
              <w:t>Փորձագետ</w:t>
            </w:r>
          </w:p>
          <w:p w14:paraId="1A02C5F5" w14:textId="77777777" w:rsidR="00DB2544" w:rsidRPr="00DB2544" w:rsidRDefault="00DB2544" w:rsidP="008C76E0">
            <w:pPr>
              <w:pStyle w:val="Bodytext180"/>
              <w:shd w:val="clear" w:color="auto" w:fill="auto"/>
              <w:spacing w:before="0" w:after="120" w:line="240" w:lineRule="auto"/>
              <w:ind w:left="147" w:right="91" w:firstLine="5"/>
              <w:jc w:val="both"/>
              <w:rPr>
                <w:rFonts w:ascii="Sylfaen" w:hAnsi="Sylfaen"/>
                <w:b w:val="0"/>
                <w:sz w:val="24"/>
                <w:szCs w:val="24"/>
              </w:rPr>
            </w:pPr>
          </w:p>
        </w:tc>
        <w:tc>
          <w:tcPr>
            <w:tcW w:w="3880" w:type="dxa"/>
            <w:tcBorders>
              <w:top w:val="single" w:sz="4" w:space="0" w:color="auto"/>
              <w:left w:val="single" w:sz="4" w:space="0" w:color="auto"/>
              <w:bottom w:val="single" w:sz="4" w:space="0" w:color="auto"/>
              <w:right w:val="single" w:sz="4" w:space="0" w:color="auto"/>
            </w:tcBorders>
            <w:shd w:val="clear" w:color="auto" w:fill="FFFFFF"/>
          </w:tcPr>
          <w:p w14:paraId="7770F69B"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D0FD606" w14:textId="77777777" w:rsidTr="008C76E0">
        <w:trPr>
          <w:jc w:val="center"/>
        </w:trPr>
        <w:tc>
          <w:tcPr>
            <w:tcW w:w="5787" w:type="dxa"/>
            <w:tcBorders>
              <w:top w:val="single" w:sz="4" w:space="0" w:color="auto"/>
            </w:tcBorders>
            <w:shd w:val="clear" w:color="auto" w:fill="FFFFFF"/>
            <w:vAlign w:val="bottom"/>
          </w:tcPr>
          <w:p w14:paraId="0F17ECA2" w14:textId="77777777" w:rsidR="008C76E0" w:rsidRPr="008C76E0" w:rsidRDefault="008C76E0" w:rsidP="008C76E0">
            <w:pPr>
              <w:pStyle w:val="Bodytext180"/>
              <w:shd w:val="clear" w:color="auto" w:fill="auto"/>
              <w:spacing w:before="0" w:after="120" w:line="240" w:lineRule="auto"/>
              <w:ind w:left="147" w:right="91" w:firstLine="5"/>
              <w:jc w:val="both"/>
              <w:rPr>
                <w:rFonts w:ascii="Sylfaen" w:hAnsi="Sylfaen"/>
                <w:b w:val="0"/>
                <w:sz w:val="24"/>
                <w:szCs w:val="24"/>
                <w:lang w:val="hy-AM"/>
              </w:rPr>
            </w:pPr>
            <w:r w:rsidRPr="00BD7577">
              <w:rPr>
                <w:rStyle w:val="Bodytext295pt"/>
                <w:rFonts w:ascii="Sylfaen" w:hAnsi="Sylfaen"/>
                <w:spacing w:val="0"/>
                <w:sz w:val="24"/>
                <w:szCs w:val="24"/>
              </w:rPr>
              <w:t xml:space="preserve">Ներկայացվել է օգտագործողների թեստավորման </w:t>
            </w:r>
            <w:r w:rsidRPr="00BD7577">
              <w:rPr>
                <w:rStyle w:val="Bodytext295pt"/>
                <w:rFonts w:ascii="Sylfaen" w:hAnsi="Sylfaen"/>
                <w:spacing w:val="0"/>
                <w:sz w:val="24"/>
                <w:szCs w:val="24"/>
              </w:rPr>
              <w:lastRenderedPageBreak/>
              <w:t>ամբողջական հաշվետվությունը</w:t>
            </w:r>
          </w:p>
        </w:tc>
        <w:tc>
          <w:tcPr>
            <w:tcW w:w="3880" w:type="dxa"/>
            <w:tcBorders>
              <w:top w:val="single" w:sz="4" w:space="0" w:color="auto"/>
            </w:tcBorders>
            <w:shd w:val="clear" w:color="auto" w:fill="FFFFFF"/>
          </w:tcPr>
          <w:p w14:paraId="23DDBFB2" w14:textId="77777777" w:rsidR="008C76E0" w:rsidRPr="00BD7577" w:rsidRDefault="008C76E0" w:rsidP="008C76E0">
            <w:pPr>
              <w:pStyle w:val="Bodytext180"/>
              <w:shd w:val="clear" w:color="auto" w:fill="auto"/>
              <w:spacing w:before="0" w:after="120" w:line="240" w:lineRule="auto"/>
              <w:ind w:firstLine="567"/>
              <w:jc w:val="both"/>
              <w:rPr>
                <w:rFonts w:ascii="Sylfaen" w:hAnsi="Sylfaen"/>
                <w:b w:val="0"/>
                <w:sz w:val="24"/>
                <w:szCs w:val="24"/>
              </w:rPr>
            </w:pPr>
            <w:r w:rsidRPr="00BD7577">
              <w:rPr>
                <w:rStyle w:val="Bodytext295pt"/>
                <w:rFonts w:ascii="Sylfaen" w:hAnsi="Sylfaen"/>
                <w:spacing w:val="0"/>
                <w:sz w:val="24"/>
                <w:szCs w:val="24"/>
              </w:rPr>
              <w:lastRenderedPageBreak/>
              <w:t>□ այո □ ոչ</w:t>
            </w:r>
          </w:p>
        </w:tc>
      </w:tr>
      <w:tr w:rsidR="008C76E0" w:rsidRPr="00BD7577" w14:paraId="2DBB1E67" w14:textId="77777777" w:rsidTr="008C76E0">
        <w:trPr>
          <w:jc w:val="center"/>
        </w:trPr>
        <w:tc>
          <w:tcPr>
            <w:tcW w:w="5787" w:type="dxa"/>
            <w:shd w:val="clear" w:color="auto" w:fill="FFFFFF"/>
            <w:vAlign w:val="center"/>
          </w:tcPr>
          <w:p w14:paraId="33926D29" w14:textId="77777777" w:rsidR="008C76E0" w:rsidRPr="00BD7577" w:rsidRDefault="008C76E0" w:rsidP="008C76E0">
            <w:pPr>
              <w:pStyle w:val="Bodytext180"/>
              <w:shd w:val="clear" w:color="auto" w:fill="auto"/>
              <w:spacing w:before="0" w:after="120" w:line="240" w:lineRule="auto"/>
              <w:ind w:right="91" w:firstLine="567"/>
              <w:jc w:val="both"/>
              <w:rPr>
                <w:rFonts w:ascii="Sylfaen" w:hAnsi="Sylfaen"/>
                <w:b w:val="0"/>
                <w:sz w:val="24"/>
                <w:szCs w:val="24"/>
              </w:rPr>
            </w:pPr>
            <w:r w:rsidRPr="00BD7577">
              <w:rPr>
                <w:rStyle w:val="Bodytext295pt"/>
                <w:rFonts w:ascii="Sylfaen" w:hAnsi="Sylfaen"/>
                <w:spacing w:val="0"/>
                <w:sz w:val="24"/>
                <w:szCs w:val="24"/>
              </w:rPr>
              <w:t xml:space="preserve">Ներկայացվել է ամփոփ հաշվետվությունը </w:t>
            </w:r>
          </w:p>
        </w:tc>
        <w:tc>
          <w:tcPr>
            <w:tcW w:w="3880" w:type="dxa"/>
            <w:shd w:val="clear" w:color="auto" w:fill="FFFFFF"/>
          </w:tcPr>
          <w:p w14:paraId="13729497" w14:textId="77777777" w:rsidR="008C76E0" w:rsidRPr="00BD7577" w:rsidRDefault="008C76E0" w:rsidP="008C76E0">
            <w:pPr>
              <w:pStyle w:val="Bodytext180"/>
              <w:shd w:val="clear" w:color="auto" w:fill="auto"/>
              <w:spacing w:before="0" w:after="120" w:line="240" w:lineRule="auto"/>
              <w:ind w:firstLine="567"/>
              <w:jc w:val="both"/>
              <w:rPr>
                <w:rFonts w:ascii="Sylfaen" w:hAnsi="Sylfaen"/>
                <w:b w:val="0"/>
                <w:sz w:val="24"/>
                <w:szCs w:val="24"/>
              </w:rPr>
            </w:pPr>
            <w:r w:rsidRPr="00BD7577">
              <w:rPr>
                <w:rStyle w:val="Bodytext295pt"/>
                <w:rFonts w:ascii="Sylfaen" w:hAnsi="Sylfaen"/>
                <w:spacing w:val="0"/>
                <w:sz w:val="24"/>
                <w:szCs w:val="24"/>
              </w:rPr>
              <w:t>□ այո □ ոչ</w:t>
            </w:r>
          </w:p>
        </w:tc>
      </w:tr>
      <w:tr w:rsidR="008C76E0" w:rsidRPr="00BD7577" w14:paraId="7F35A534" w14:textId="77777777" w:rsidTr="008C76E0">
        <w:trPr>
          <w:jc w:val="center"/>
        </w:trPr>
        <w:tc>
          <w:tcPr>
            <w:tcW w:w="9667" w:type="dxa"/>
            <w:gridSpan w:val="2"/>
            <w:shd w:val="clear" w:color="auto" w:fill="FFFFFF"/>
            <w:vAlign w:val="center"/>
          </w:tcPr>
          <w:p w14:paraId="7E8A1C12" w14:textId="77777777" w:rsidR="008C76E0" w:rsidRPr="008C76E0" w:rsidRDefault="008C76E0" w:rsidP="008C76E0">
            <w:pPr>
              <w:pStyle w:val="Bodytext180"/>
              <w:shd w:val="clear" w:color="auto" w:fill="auto"/>
              <w:spacing w:before="0" w:after="120" w:line="240" w:lineRule="auto"/>
              <w:ind w:firstLine="567"/>
              <w:jc w:val="both"/>
              <w:rPr>
                <w:rFonts w:ascii="Sylfaen" w:hAnsi="Sylfaen"/>
                <w:b w:val="0"/>
                <w:sz w:val="24"/>
                <w:szCs w:val="24"/>
                <w:lang w:val="hy-AM"/>
              </w:rPr>
            </w:pPr>
            <w:r w:rsidRPr="00BD7577">
              <w:rPr>
                <w:rStyle w:val="Bodytext295pt"/>
                <w:rFonts w:ascii="Sylfaen" w:hAnsi="Sylfaen"/>
                <w:spacing w:val="0"/>
                <w:sz w:val="24"/>
                <w:szCs w:val="24"/>
              </w:rPr>
              <w:t>Հիմնավորումից ելնելով՝ կապակցող թեստավորման հիմքերը.</w:t>
            </w:r>
          </w:p>
          <w:p w14:paraId="1363E9C2" w14:textId="77777777" w:rsidR="008C76E0" w:rsidRPr="008C76E0" w:rsidRDefault="008C76E0" w:rsidP="008C76E0">
            <w:pPr>
              <w:pStyle w:val="Bodytext180"/>
              <w:shd w:val="clear" w:color="auto" w:fill="auto"/>
              <w:spacing w:before="0" w:after="120" w:line="240" w:lineRule="auto"/>
              <w:ind w:left="573" w:firstLine="567"/>
              <w:jc w:val="both"/>
              <w:rPr>
                <w:rFonts w:ascii="Sylfaen" w:hAnsi="Sylfaen"/>
                <w:b w:val="0"/>
                <w:sz w:val="24"/>
                <w:szCs w:val="24"/>
                <w:lang w:val="hy-AM"/>
              </w:rPr>
            </w:pPr>
            <w:r w:rsidRPr="008C76E0">
              <w:rPr>
                <w:rFonts w:ascii="Sylfaen" w:hAnsi="Sylfaen"/>
                <w:sz w:val="24"/>
                <w:szCs w:val="24"/>
                <w:lang w:val="hy-AM"/>
              </w:rPr>
              <w:t xml:space="preserve">□ </w:t>
            </w:r>
            <w:r w:rsidRPr="00BD7577">
              <w:rPr>
                <w:rStyle w:val="Bodytext295pt"/>
                <w:rFonts w:ascii="Sylfaen" w:hAnsi="Sylfaen"/>
                <w:spacing w:val="0"/>
                <w:sz w:val="24"/>
                <w:szCs w:val="24"/>
              </w:rPr>
              <w:t>լրացումներ՝ ներմուծման մի</w:t>
            </w:r>
            <w:r w:rsidR="00C54D75">
              <w:rPr>
                <w:rStyle w:val="Bodytext295pt"/>
                <w:rFonts w:ascii="Sylfaen" w:hAnsi="Sylfaen"/>
                <w:spacing w:val="0"/>
                <w:sz w:val="24"/>
                <w:szCs w:val="24"/>
              </w:rPr>
              <w:t>և</w:t>
            </w:r>
            <w:r w:rsidRPr="00BD7577">
              <w:rPr>
                <w:rStyle w:val="Bodytext295pt"/>
                <w:rFonts w:ascii="Sylfaen" w:hAnsi="Sylfaen"/>
                <w:spacing w:val="0"/>
                <w:sz w:val="24"/>
                <w:szCs w:val="24"/>
              </w:rPr>
              <w:t>նույն եղանակի համար</w:t>
            </w:r>
          </w:p>
          <w:p w14:paraId="7B0B7DD5" w14:textId="77777777" w:rsidR="008C76E0" w:rsidRPr="008C76E0" w:rsidRDefault="008C76E0" w:rsidP="008C76E0">
            <w:pPr>
              <w:pStyle w:val="Bodytext180"/>
              <w:shd w:val="clear" w:color="auto" w:fill="auto"/>
              <w:spacing w:before="0" w:after="120" w:line="240" w:lineRule="auto"/>
              <w:ind w:left="573" w:firstLine="567"/>
              <w:jc w:val="both"/>
              <w:rPr>
                <w:rFonts w:ascii="Sylfaen" w:hAnsi="Sylfaen"/>
                <w:b w:val="0"/>
                <w:sz w:val="24"/>
                <w:szCs w:val="24"/>
                <w:lang w:val="hy-AM"/>
              </w:rPr>
            </w:pPr>
            <w:r w:rsidRPr="008C76E0">
              <w:rPr>
                <w:rFonts w:ascii="Sylfaen" w:hAnsi="Sylfaen"/>
                <w:sz w:val="24"/>
                <w:szCs w:val="24"/>
                <w:lang w:val="hy-AM"/>
              </w:rPr>
              <w:t xml:space="preserve">□ </w:t>
            </w:r>
            <w:r w:rsidRPr="00BD7577">
              <w:rPr>
                <w:rStyle w:val="Bodytext295pt"/>
                <w:rFonts w:ascii="Sylfaen" w:hAnsi="Sylfaen"/>
                <w:spacing w:val="0"/>
                <w:sz w:val="24"/>
                <w:szCs w:val="24"/>
              </w:rPr>
              <w:t>հղում՝ նույն դասի դեղապատրաստուկի թեստին</w:t>
            </w:r>
          </w:p>
          <w:p w14:paraId="02E743BA" w14:textId="77777777" w:rsidR="008C76E0" w:rsidRPr="008C76E0" w:rsidRDefault="008C76E0" w:rsidP="008C76E0">
            <w:pPr>
              <w:pStyle w:val="Bodytext180"/>
              <w:shd w:val="clear" w:color="auto" w:fill="auto"/>
              <w:spacing w:before="0" w:after="120" w:line="240" w:lineRule="auto"/>
              <w:ind w:left="573" w:firstLine="567"/>
              <w:jc w:val="both"/>
              <w:rPr>
                <w:rFonts w:ascii="Sylfaen" w:hAnsi="Sylfaen"/>
                <w:b w:val="0"/>
                <w:sz w:val="24"/>
                <w:szCs w:val="24"/>
                <w:lang w:val="hy-AM"/>
              </w:rPr>
            </w:pPr>
            <w:r w:rsidRPr="008C76E0">
              <w:rPr>
                <w:rFonts w:ascii="Sylfaen" w:hAnsi="Sylfaen"/>
                <w:sz w:val="24"/>
                <w:szCs w:val="24"/>
                <w:lang w:val="hy-AM"/>
              </w:rPr>
              <w:t xml:space="preserve">□ </w:t>
            </w:r>
            <w:r w:rsidRPr="00BD7577">
              <w:rPr>
                <w:rStyle w:val="Bodytext295pt"/>
                <w:rFonts w:ascii="Sylfaen" w:hAnsi="Sylfaen"/>
                <w:spacing w:val="0"/>
                <w:sz w:val="24"/>
                <w:szCs w:val="24"/>
              </w:rPr>
              <w:t>հղում՝ անվտանգության հետ կապված մի</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նույն հարցերով թեստին </w:t>
            </w:r>
          </w:p>
          <w:p w14:paraId="7D1DE70C" w14:textId="77777777" w:rsidR="008C76E0" w:rsidRPr="00BD7577" w:rsidRDefault="008C76E0" w:rsidP="008C76E0">
            <w:pPr>
              <w:pStyle w:val="Bodytext180"/>
              <w:shd w:val="clear" w:color="auto" w:fill="auto"/>
              <w:spacing w:before="0" w:after="120" w:line="240" w:lineRule="auto"/>
              <w:ind w:left="573" w:firstLine="567"/>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այլ</w:t>
            </w:r>
          </w:p>
        </w:tc>
      </w:tr>
      <w:tr w:rsidR="008C76E0" w:rsidRPr="00BD7577" w14:paraId="6032E633" w14:textId="77777777" w:rsidTr="008C76E0">
        <w:trPr>
          <w:jc w:val="center"/>
        </w:trPr>
        <w:tc>
          <w:tcPr>
            <w:tcW w:w="5787" w:type="dxa"/>
            <w:shd w:val="clear" w:color="auto" w:fill="FFFFFF"/>
            <w:vAlign w:val="bottom"/>
          </w:tcPr>
          <w:p w14:paraId="480FB7BF" w14:textId="77777777" w:rsidR="008C76E0" w:rsidRPr="00BD7577" w:rsidRDefault="008C76E0" w:rsidP="008C76E0">
            <w:pPr>
              <w:spacing w:after="120" w:line="240" w:lineRule="auto"/>
              <w:ind w:left="5" w:right="130" w:firstLine="5"/>
              <w:jc w:val="both"/>
              <w:rPr>
                <w:rFonts w:ascii="Sylfaen" w:hAnsi="Sylfaen"/>
                <w:b/>
                <w:sz w:val="24"/>
                <w:szCs w:val="24"/>
              </w:rPr>
            </w:pPr>
            <w:r w:rsidRPr="00BD7577">
              <w:rPr>
                <w:rStyle w:val="Bodytext295pt"/>
                <w:rFonts w:ascii="Sylfaen" w:eastAsiaTheme="minorHAnsi" w:hAnsi="Sylfaen"/>
                <w:b w:val="0"/>
                <w:spacing w:val="0"/>
                <w:sz w:val="24"/>
                <w:szCs w:val="24"/>
              </w:rPr>
              <w:t>Արդյո՞ք կապակցող թեստավորման հիմնավորումն ընդունելի է։ (Եթե չի ներկայացվել օգտագործողների թեստավորման ամբողջական հաշվետվություն կամ ամփոփ հաշվետվություն, ապա անհրաժեշտ է ներկայացնել</w:t>
            </w:r>
            <w:r w:rsidRPr="00BD7577">
              <w:rPr>
                <w:rFonts w:ascii="Sylfaen" w:hAnsi="Sylfaen"/>
                <w:b/>
                <w:sz w:val="24"/>
                <w:szCs w:val="24"/>
              </w:rPr>
              <w:t xml:space="preserve"> </w:t>
            </w:r>
            <w:r w:rsidRPr="00150F98">
              <w:rPr>
                <w:rFonts w:ascii="Sylfaen" w:hAnsi="Sylfaen"/>
                <w:sz w:val="24"/>
                <w:szCs w:val="24"/>
              </w:rPr>
              <w:t>հիմնավորում)</w:t>
            </w:r>
          </w:p>
          <w:p w14:paraId="1E08FDF8" w14:textId="77777777" w:rsidR="008C76E0" w:rsidRPr="008C76E0" w:rsidRDefault="008C76E0" w:rsidP="008C76E0">
            <w:pPr>
              <w:pStyle w:val="Bodytext180"/>
              <w:shd w:val="clear" w:color="auto" w:fill="auto"/>
              <w:spacing w:before="0" w:after="120" w:line="240" w:lineRule="auto"/>
              <w:ind w:left="5" w:firstLine="567"/>
              <w:jc w:val="both"/>
              <w:rPr>
                <w:rFonts w:ascii="Sylfaen" w:hAnsi="Sylfaen"/>
                <w:b w:val="0"/>
                <w:sz w:val="24"/>
                <w:szCs w:val="24"/>
                <w:lang w:val="hy-AM"/>
              </w:rPr>
            </w:pPr>
          </w:p>
        </w:tc>
        <w:tc>
          <w:tcPr>
            <w:tcW w:w="3880" w:type="dxa"/>
            <w:shd w:val="clear" w:color="auto" w:fill="FFFFFF"/>
          </w:tcPr>
          <w:p w14:paraId="5A03D5EE" w14:textId="77777777" w:rsidR="008C76E0" w:rsidRPr="00BD7577" w:rsidRDefault="008C76E0" w:rsidP="008C76E0">
            <w:pPr>
              <w:pStyle w:val="Bodytext180"/>
              <w:shd w:val="clear" w:color="auto" w:fill="auto"/>
              <w:spacing w:before="0" w:after="120" w:line="240" w:lineRule="auto"/>
              <w:ind w:firstLine="567"/>
              <w:jc w:val="both"/>
              <w:rPr>
                <w:rFonts w:ascii="Sylfaen" w:hAnsi="Sylfaen"/>
                <w:sz w:val="24"/>
                <w:szCs w:val="24"/>
              </w:rPr>
            </w:pPr>
            <w:r w:rsidRPr="00BD7577">
              <w:rPr>
                <w:rStyle w:val="Bodytext295pt"/>
                <w:rFonts w:ascii="Sylfaen" w:hAnsi="Sylfaen"/>
                <w:spacing w:val="0"/>
                <w:sz w:val="24"/>
                <w:szCs w:val="24"/>
              </w:rPr>
              <w:t>□ այո □ ոչ</w:t>
            </w:r>
          </w:p>
        </w:tc>
      </w:tr>
      <w:tr w:rsidR="008C76E0" w:rsidRPr="00BD7577" w14:paraId="7BCD95FC" w14:textId="77777777" w:rsidTr="008C76E0">
        <w:trPr>
          <w:jc w:val="center"/>
        </w:trPr>
        <w:tc>
          <w:tcPr>
            <w:tcW w:w="5787" w:type="dxa"/>
            <w:shd w:val="clear" w:color="auto" w:fill="FFFFFF"/>
            <w:vAlign w:val="bottom"/>
          </w:tcPr>
          <w:p w14:paraId="1BB60B18" w14:textId="77777777" w:rsidR="008C76E0" w:rsidRPr="00BD7577" w:rsidRDefault="008C76E0" w:rsidP="008C76E0">
            <w:pPr>
              <w:spacing w:after="120" w:line="240" w:lineRule="auto"/>
              <w:ind w:left="65"/>
              <w:jc w:val="both"/>
              <w:rPr>
                <w:rFonts w:ascii="Sylfaen" w:hAnsi="Sylfaen"/>
                <w:sz w:val="24"/>
                <w:szCs w:val="24"/>
              </w:rPr>
            </w:pPr>
            <w:r w:rsidRPr="00BD7577">
              <w:rPr>
                <w:rFonts w:ascii="Sylfaen" w:hAnsi="Sylfaen"/>
                <w:sz w:val="24"/>
                <w:szCs w:val="24"/>
              </w:rPr>
              <w:t xml:space="preserve">Արդյո՞ք հաշվետվություն չներկայացնելու հիմնավորումն ընդունելի է։ </w:t>
            </w:r>
          </w:p>
          <w:p w14:paraId="31D46605" w14:textId="77777777" w:rsidR="008C76E0" w:rsidRPr="00BD7577" w:rsidRDefault="008C76E0" w:rsidP="008C76E0">
            <w:pPr>
              <w:spacing w:after="120" w:line="240" w:lineRule="auto"/>
              <w:ind w:left="65"/>
              <w:jc w:val="both"/>
              <w:rPr>
                <w:rStyle w:val="Bodytext295pt"/>
                <w:rFonts w:ascii="Sylfaen" w:eastAsiaTheme="minorHAnsi" w:hAnsi="Sylfaen"/>
                <w:b w:val="0"/>
                <w:spacing w:val="0"/>
                <w:sz w:val="24"/>
                <w:szCs w:val="24"/>
              </w:rPr>
            </w:pPr>
            <w:r w:rsidRPr="00BD7577">
              <w:rPr>
                <w:rFonts w:ascii="Sylfaen" w:hAnsi="Sylfaen"/>
                <w:sz w:val="24"/>
                <w:szCs w:val="24"/>
              </w:rPr>
              <w:t>(Օրինակ՝ ներմուծումը միայն հիվանդանոցային պայմաններում, ներմուծումը միայն բժշկական ոլորտի մասնագետի կողմից, որակի ստուգման վերաբերյալ փաստաթղթերի ձ</w:t>
            </w:r>
            <w:r w:rsidR="00C54D75">
              <w:rPr>
                <w:rFonts w:ascii="Sylfaen" w:hAnsi="Sylfaen"/>
                <w:sz w:val="24"/>
                <w:szCs w:val="24"/>
              </w:rPr>
              <w:t>և</w:t>
            </w:r>
            <w:r w:rsidRPr="00BD7577">
              <w:rPr>
                <w:rFonts w:ascii="Sylfaen" w:hAnsi="Sylfaen"/>
                <w:sz w:val="24"/>
                <w:szCs w:val="24"/>
              </w:rPr>
              <w:t>անմուշներին համապատասխանությունը, տ</w:t>
            </w:r>
            <w:r w:rsidR="00C54D75">
              <w:rPr>
                <w:rFonts w:ascii="Sylfaen" w:hAnsi="Sylfaen"/>
                <w:sz w:val="24"/>
                <w:szCs w:val="24"/>
              </w:rPr>
              <w:t>և</w:t>
            </w:r>
            <w:r w:rsidRPr="00BD7577">
              <w:rPr>
                <w:rFonts w:ascii="Sylfaen" w:hAnsi="Sylfaen"/>
                <w:sz w:val="24"/>
                <w:szCs w:val="24"/>
              </w:rPr>
              <w:t>ական ժամանակի ընթացքում պատրաստուկի կիրառման ուսումնասիրությունը)</w:t>
            </w:r>
          </w:p>
        </w:tc>
        <w:tc>
          <w:tcPr>
            <w:tcW w:w="3880" w:type="dxa"/>
            <w:shd w:val="clear" w:color="auto" w:fill="FFFFFF"/>
          </w:tcPr>
          <w:p w14:paraId="3C5AA08A" w14:textId="77777777" w:rsidR="008C76E0" w:rsidRPr="00BD7577" w:rsidRDefault="008C76E0" w:rsidP="008C76E0">
            <w:pPr>
              <w:pStyle w:val="Bodytext180"/>
              <w:shd w:val="clear" w:color="auto" w:fill="auto"/>
              <w:spacing w:before="0" w:after="120" w:line="240" w:lineRule="auto"/>
              <w:ind w:firstLine="567"/>
              <w:jc w:val="both"/>
              <w:rPr>
                <w:rStyle w:val="Bodytext295pt"/>
                <w:rFonts w:ascii="Sylfaen" w:hAnsi="Sylfaen"/>
                <w:spacing w:val="0"/>
                <w:sz w:val="24"/>
                <w:szCs w:val="24"/>
              </w:rPr>
            </w:pPr>
            <w:r w:rsidRPr="00BD7577">
              <w:rPr>
                <w:rFonts w:ascii="Sylfaen" w:hAnsi="Sylfaen"/>
                <w:b w:val="0"/>
                <w:sz w:val="24"/>
                <w:szCs w:val="24"/>
              </w:rPr>
              <w:t>□ այո □ ոչ</w:t>
            </w:r>
          </w:p>
        </w:tc>
      </w:tr>
    </w:tbl>
    <w:p w14:paraId="18FFEC2B" w14:textId="77777777" w:rsidR="008C76E0" w:rsidRPr="00BD7577" w:rsidRDefault="008C76E0" w:rsidP="008C76E0">
      <w:pPr>
        <w:ind w:right="-1" w:firstLine="567"/>
        <w:jc w:val="both"/>
        <w:rPr>
          <w:rFonts w:ascii="Sylfaen" w:hAnsi="Sylfaen"/>
          <w:sz w:val="24"/>
          <w:szCs w:val="24"/>
        </w:rPr>
      </w:pPr>
    </w:p>
    <w:p w14:paraId="2D13FEC5" w14:textId="77777777" w:rsidR="008C76E0" w:rsidRPr="008C76E0" w:rsidRDefault="008C76E0" w:rsidP="008C76E0">
      <w:pPr>
        <w:pStyle w:val="Bodytext70"/>
        <w:shd w:val="clear" w:color="auto" w:fill="auto"/>
        <w:spacing w:before="0" w:after="160" w:line="360" w:lineRule="auto"/>
        <w:ind w:right="-1" w:firstLine="567"/>
        <w:rPr>
          <w:rFonts w:ascii="Sylfaen" w:hAnsi="Sylfaen"/>
          <w:b w:val="0"/>
          <w:sz w:val="24"/>
          <w:szCs w:val="24"/>
          <w:lang w:val="hy-AM"/>
        </w:rPr>
      </w:pPr>
      <w:r w:rsidRPr="00150F98">
        <w:rPr>
          <w:rStyle w:val="Bodytext295pt"/>
          <w:rFonts w:ascii="Sylfaen" w:hAnsi="Sylfaen"/>
          <w:i w:val="0"/>
          <w:spacing w:val="0"/>
          <w:sz w:val="24"/>
          <w:szCs w:val="24"/>
        </w:rPr>
        <w:t>Պատճառները</w:t>
      </w:r>
      <w:r w:rsidRPr="00BD7577">
        <w:rPr>
          <w:rStyle w:val="Bodytext295pt"/>
          <w:rFonts w:ascii="Sylfaen" w:hAnsi="Sylfaen"/>
          <w:spacing w:val="0"/>
          <w:sz w:val="24"/>
          <w:szCs w:val="24"/>
        </w:rPr>
        <w:t xml:space="preserve"> </w:t>
      </w:r>
      <w:r w:rsidRPr="008C76E0">
        <w:rPr>
          <w:rFonts w:ascii="Sylfaen" w:hAnsi="Sylfaen"/>
          <w:b w:val="0"/>
          <w:sz w:val="24"/>
          <w:szCs w:val="24"/>
          <w:lang w:val="hy-AM"/>
        </w:rPr>
        <w:t>[(ամփոփ) հաշվետվության հիմնավորման ընդունելի լինելու կամ չլինելու վերաբերյալ փորձագետների կարծիքները՝ (ամփոփ) հաշվետվության հիմնավորման գնահատումը]</w:t>
      </w:r>
    </w:p>
    <w:p w14:paraId="73219A8A" w14:textId="77777777" w:rsidR="008C76E0" w:rsidRDefault="008C76E0" w:rsidP="008C76E0">
      <w:pPr>
        <w:pStyle w:val="Bodytext70"/>
        <w:shd w:val="clear" w:color="auto" w:fill="auto"/>
        <w:spacing w:before="0" w:after="160" w:line="360" w:lineRule="auto"/>
        <w:ind w:right="-1"/>
        <w:rPr>
          <w:rFonts w:ascii="Sylfaen" w:hAnsi="Sylfaen"/>
          <w:b w:val="0"/>
          <w:sz w:val="24"/>
          <w:szCs w:val="24"/>
        </w:rPr>
      </w:pPr>
      <w:r w:rsidRPr="00BD7577">
        <w:rPr>
          <w:rFonts w:ascii="Sylfaen" w:hAnsi="Sylfaen"/>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Overlap w:val="never"/>
        <w:tblW w:w="10186" w:type="dxa"/>
        <w:jc w:val="center"/>
        <w:tblLayout w:type="fixed"/>
        <w:tblCellMar>
          <w:left w:w="10" w:type="dxa"/>
          <w:right w:w="10" w:type="dxa"/>
        </w:tblCellMar>
        <w:tblLook w:val="04A0" w:firstRow="1" w:lastRow="0" w:firstColumn="1" w:lastColumn="0" w:noHBand="0" w:noVBand="1"/>
      </w:tblPr>
      <w:tblGrid>
        <w:gridCol w:w="6885"/>
        <w:gridCol w:w="1616"/>
        <w:gridCol w:w="1675"/>
        <w:gridCol w:w="10"/>
      </w:tblGrid>
      <w:tr w:rsidR="008C76E0" w:rsidRPr="00BD7577" w14:paraId="0D133976" w14:textId="77777777" w:rsidTr="008C76E0">
        <w:trPr>
          <w:jc w:val="center"/>
        </w:trPr>
        <w:tc>
          <w:tcPr>
            <w:tcW w:w="10186" w:type="dxa"/>
            <w:gridSpan w:val="4"/>
            <w:shd w:val="clear" w:color="auto" w:fill="FFFFFF"/>
          </w:tcPr>
          <w:p w14:paraId="6B328B34" w14:textId="77777777" w:rsidR="008C76E0" w:rsidRPr="00BD7577" w:rsidRDefault="008C76E0" w:rsidP="008C76E0">
            <w:pPr>
              <w:tabs>
                <w:tab w:val="left" w:pos="1426"/>
              </w:tabs>
              <w:ind w:right="-1" w:firstLine="567"/>
              <w:jc w:val="center"/>
              <w:rPr>
                <w:rFonts w:ascii="Sylfaen" w:hAnsi="Sylfaen"/>
                <w:b/>
                <w:i/>
                <w:sz w:val="24"/>
                <w:szCs w:val="24"/>
              </w:rPr>
            </w:pPr>
            <w:r w:rsidRPr="00BD7577">
              <w:rPr>
                <w:rStyle w:val="Bodytext295pt"/>
                <w:rFonts w:ascii="Sylfaen" w:eastAsia="MS Mincho" w:hAnsi="Sylfaen"/>
                <w:b w:val="0"/>
                <w:spacing w:val="0"/>
                <w:sz w:val="24"/>
                <w:szCs w:val="24"/>
              </w:rPr>
              <w:t>1.Տեխնիկական գնահատումը</w:t>
            </w:r>
          </w:p>
        </w:tc>
      </w:tr>
      <w:tr w:rsidR="008C76E0" w:rsidRPr="00BD7577" w14:paraId="62B500A7" w14:textId="77777777" w:rsidTr="008C76E0">
        <w:trPr>
          <w:jc w:val="center"/>
        </w:trPr>
        <w:tc>
          <w:tcPr>
            <w:tcW w:w="8501" w:type="dxa"/>
            <w:gridSpan w:val="2"/>
            <w:shd w:val="clear" w:color="auto" w:fill="FFFFFF"/>
            <w:vAlign w:val="bottom"/>
          </w:tcPr>
          <w:p w14:paraId="3590292D" w14:textId="77777777" w:rsidR="008C76E0" w:rsidRPr="008C76E0" w:rsidRDefault="008C76E0" w:rsidP="008C76E0">
            <w:pPr>
              <w:pStyle w:val="Bodytext180"/>
              <w:shd w:val="clear" w:color="auto" w:fill="auto"/>
              <w:tabs>
                <w:tab w:val="left" w:pos="1129"/>
              </w:tabs>
              <w:spacing w:before="0" w:after="160" w:line="360" w:lineRule="auto"/>
              <w:ind w:right="-1" w:firstLine="567"/>
              <w:rPr>
                <w:rFonts w:ascii="Sylfaen" w:hAnsi="Sylfaen"/>
                <w:b w:val="0"/>
                <w:sz w:val="24"/>
                <w:szCs w:val="24"/>
                <w:lang w:val="hy-AM"/>
              </w:rPr>
            </w:pPr>
            <w:r w:rsidRPr="00BD7577">
              <w:rPr>
                <w:rStyle w:val="Bodytext295pt"/>
                <w:rFonts w:ascii="Sylfaen" w:hAnsi="Sylfaen"/>
                <w:spacing w:val="0"/>
                <w:sz w:val="24"/>
                <w:szCs w:val="24"/>
              </w:rPr>
              <w:lastRenderedPageBreak/>
              <w:t>1.1.</w:t>
            </w:r>
            <w:r w:rsidRPr="00150F98">
              <w:rPr>
                <w:rStyle w:val="Bodytext295pt"/>
                <w:rFonts w:ascii="Sylfaen" w:hAnsi="Sylfaen"/>
                <w:spacing w:val="0"/>
                <w:sz w:val="24"/>
                <w:szCs w:val="24"/>
              </w:rPr>
              <w:tab/>
            </w:r>
            <w:r w:rsidRPr="00BD7577">
              <w:rPr>
                <w:rStyle w:val="Bodytext295pt"/>
                <w:rFonts w:ascii="Sylfaen" w:hAnsi="Sylfaen"/>
                <w:spacing w:val="0"/>
                <w:sz w:val="24"/>
                <w:szCs w:val="24"/>
              </w:rPr>
              <w:t>Հավաքագրումը</w:t>
            </w:r>
          </w:p>
          <w:p w14:paraId="76887DDC" w14:textId="77777777" w:rsidR="008C76E0" w:rsidRPr="00BD7577" w:rsidRDefault="008C76E0" w:rsidP="008C76E0">
            <w:pPr>
              <w:pStyle w:val="Bodytext180"/>
              <w:shd w:val="clear" w:color="auto" w:fill="auto"/>
              <w:tabs>
                <w:tab w:val="left" w:pos="1412"/>
              </w:tabs>
              <w:spacing w:before="0" w:after="160" w:line="360" w:lineRule="auto"/>
              <w:ind w:left="164" w:right="208" w:hanging="30"/>
              <w:jc w:val="both"/>
              <w:rPr>
                <w:rFonts w:ascii="Sylfaen" w:hAnsi="Sylfaen"/>
                <w:b w:val="0"/>
                <w:i/>
                <w:sz w:val="24"/>
                <w:szCs w:val="24"/>
              </w:rPr>
            </w:pPr>
            <w:r w:rsidRPr="00BD7577">
              <w:rPr>
                <w:rStyle w:val="Bodytext295pt"/>
                <w:rFonts w:ascii="Sylfaen" w:hAnsi="Sylfaen"/>
                <w:spacing w:val="0"/>
                <w:sz w:val="24"/>
                <w:szCs w:val="24"/>
              </w:rPr>
              <w:t>Արդյո՞ք ընդունելի է հարցմանը մասնակցած պոպուլյացիան։ Մեկնաբանություններ (լրացուցիչ տեղեկատվություն)</w:t>
            </w:r>
          </w:p>
        </w:tc>
        <w:tc>
          <w:tcPr>
            <w:tcW w:w="1685" w:type="dxa"/>
            <w:gridSpan w:val="2"/>
            <w:shd w:val="clear" w:color="auto" w:fill="FFFFFF"/>
          </w:tcPr>
          <w:p w14:paraId="6D514AF1"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19722EB2" w14:textId="77777777" w:rsidTr="008C76E0">
        <w:trPr>
          <w:jc w:val="center"/>
        </w:trPr>
        <w:tc>
          <w:tcPr>
            <w:tcW w:w="8501" w:type="dxa"/>
            <w:gridSpan w:val="2"/>
            <w:shd w:val="clear" w:color="auto" w:fill="FFFFFF"/>
            <w:vAlign w:val="center"/>
          </w:tcPr>
          <w:p w14:paraId="54E6DF4F" w14:textId="77777777" w:rsidR="008C76E0" w:rsidRPr="00BD7577" w:rsidRDefault="008C76E0" w:rsidP="008C76E0">
            <w:pPr>
              <w:pStyle w:val="Bodytext180"/>
              <w:shd w:val="clear" w:color="auto" w:fill="auto"/>
              <w:tabs>
                <w:tab w:val="left" w:pos="1141"/>
              </w:tabs>
              <w:spacing w:before="0" w:after="160" w:line="360"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1.2.</w:t>
            </w:r>
            <w:r w:rsidRPr="00BD7577">
              <w:rPr>
                <w:rFonts w:ascii="Sylfaen" w:hAnsi="Sylfaen"/>
                <w:sz w:val="24"/>
                <w:szCs w:val="24"/>
              </w:rPr>
              <w:tab/>
            </w:r>
            <w:r w:rsidRPr="00BD7577">
              <w:rPr>
                <w:rStyle w:val="Bodytext295pt"/>
                <w:rFonts w:ascii="Sylfaen" w:hAnsi="Sylfaen"/>
                <w:spacing w:val="0"/>
                <w:sz w:val="24"/>
                <w:szCs w:val="24"/>
              </w:rPr>
              <w:t>Հարցաշար</w:t>
            </w:r>
          </w:p>
        </w:tc>
        <w:tc>
          <w:tcPr>
            <w:tcW w:w="1685" w:type="dxa"/>
            <w:gridSpan w:val="2"/>
            <w:shd w:val="clear" w:color="auto" w:fill="FFFFFF"/>
          </w:tcPr>
          <w:p w14:paraId="3811AEF8" w14:textId="77777777" w:rsidR="008C76E0" w:rsidRPr="00BD7577" w:rsidRDefault="008C76E0" w:rsidP="008C76E0">
            <w:pPr>
              <w:ind w:left="197" w:right="124" w:firstLine="12"/>
              <w:jc w:val="both"/>
              <w:rPr>
                <w:rFonts w:ascii="Sylfaen" w:hAnsi="Sylfaen"/>
                <w:sz w:val="24"/>
                <w:szCs w:val="24"/>
              </w:rPr>
            </w:pPr>
          </w:p>
        </w:tc>
      </w:tr>
      <w:tr w:rsidR="008C76E0" w:rsidRPr="00BD7577" w14:paraId="1706929F" w14:textId="77777777" w:rsidTr="008C76E0">
        <w:trPr>
          <w:jc w:val="center"/>
        </w:trPr>
        <w:tc>
          <w:tcPr>
            <w:tcW w:w="8501" w:type="dxa"/>
            <w:gridSpan w:val="2"/>
            <w:shd w:val="clear" w:color="auto" w:fill="FFFFFF"/>
            <w:vAlign w:val="center"/>
          </w:tcPr>
          <w:p w14:paraId="4C762AE5" w14:textId="77777777" w:rsidR="008C76E0" w:rsidRPr="008C76E0"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sz w:val="24"/>
                <w:szCs w:val="24"/>
                <w:lang w:val="hy-AM"/>
              </w:rPr>
            </w:pPr>
            <w:r w:rsidRPr="00BD7577">
              <w:rPr>
                <w:rStyle w:val="Bodytext295pt"/>
                <w:rFonts w:ascii="Sylfaen" w:hAnsi="Sylfaen"/>
                <w:spacing w:val="0"/>
                <w:sz w:val="24"/>
                <w:szCs w:val="24"/>
              </w:rPr>
              <w:t>Արդյո՞ք հարցերի քանակը բավարար է: Արդյո՞ք հարցերը ներառում են ՆԹ-ի կար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որ ասպեկտները (անվտանգությունը)։</w:t>
            </w:r>
          </w:p>
        </w:tc>
        <w:tc>
          <w:tcPr>
            <w:tcW w:w="1685" w:type="dxa"/>
            <w:gridSpan w:val="2"/>
            <w:shd w:val="clear" w:color="auto" w:fill="FFFFFF"/>
            <w:vAlign w:val="center"/>
          </w:tcPr>
          <w:p w14:paraId="6C5870ED"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p w14:paraId="17F116DB"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tc>
      </w:tr>
      <w:tr w:rsidR="008C76E0" w:rsidRPr="00BD7577" w14:paraId="7A18FD06" w14:textId="77777777" w:rsidTr="008C76E0">
        <w:trPr>
          <w:jc w:val="center"/>
        </w:trPr>
        <w:tc>
          <w:tcPr>
            <w:tcW w:w="8501" w:type="dxa"/>
            <w:gridSpan w:val="2"/>
            <w:shd w:val="clear" w:color="auto" w:fill="FFFFFF"/>
            <w:vAlign w:val="bottom"/>
          </w:tcPr>
          <w:p w14:paraId="7233A70A" w14:textId="77777777" w:rsidR="008C76E0" w:rsidRPr="00BD7577"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1685" w:type="dxa"/>
            <w:gridSpan w:val="2"/>
            <w:shd w:val="clear" w:color="auto" w:fill="FFFFFF"/>
          </w:tcPr>
          <w:p w14:paraId="429C1D33" w14:textId="77777777" w:rsidR="008C76E0" w:rsidRPr="00BD7577" w:rsidRDefault="008C76E0" w:rsidP="008C76E0">
            <w:pPr>
              <w:ind w:left="197" w:right="124" w:firstLine="12"/>
              <w:jc w:val="both"/>
              <w:rPr>
                <w:rFonts w:ascii="Sylfaen" w:hAnsi="Sylfaen"/>
                <w:sz w:val="24"/>
                <w:szCs w:val="24"/>
              </w:rPr>
            </w:pPr>
          </w:p>
        </w:tc>
      </w:tr>
      <w:tr w:rsidR="008C76E0" w:rsidRPr="00BD7577" w14:paraId="79C29473" w14:textId="77777777" w:rsidTr="008C76E0">
        <w:trPr>
          <w:jc w:val="center"/>
        </w:trPr>
        <w:tc>
          <w:tcPr>
            <w:tcW w:w="8501" w:type="dxa"/>
            <w:gridSpan w:val="2"/>
            <w:shd w:val="clear" w:color="auto" w:fill="FFFFFF"/>
            <w:vAlign w:val="center"/>
          </w:tcPr>
          <w:p w14:paraId="2BAFC4AB" w14:textId="77777777" w:rsidR="008C76E0" w:rsidRPr="00BD7577" w:rsidRDefault="008C76E0" w:rsidP="008C76E0">
            <w:pPr>
              <w:pStyle w:val="Bodytext180"/>
              <w:shd w:val="clear" w:color="auto" w:fill="auto"/>
              <w:tabs>
                <w:tab w:val="left" w:pos="1141"/>
                <w:tab w:val="left" w:pos="1412"/>
              </w:tabs>
              <w:spacing w:before="0" w:after="160" w:line="360"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1.3.</w:t>
            </w:r>
            <w:r w:rsidRPr="00BD7577">
              <w:rPr>
                <w:rFonts w:ascii="Sylfaen" w:hAnsi="Sylfaen"/>
                <w:sz w:val="24"/>
                <w:szCs w:val="24"/>
              </w:rPr>
              <w:tab/>
            </w:r>
            <w:r w:rsidRPr="00BD7577">
              <w:rPr>
                <w:rStyle w:val="Bodytext295pt"/>
                <w:rFonts w:ascii="Sylfaen" w:hAnsi="Sylfaen"/>
                <w:spacing w:val="0"/>
                <w:sz w:val="24"/>
                <w:szCs w:val="24"/>
              </w:rPr>
              <w:t>Ժամանակային ասպեկտները</w:t>
            </w:r>
          </w:p>
        </w:tc>
        <w:tc>
          <w:tcPr>
            <w:tcW w:w="1685" w:type="dxa"/>
            <w:gridSpan w:val="2"/>
            <w:shd w:val="clear" w:color="auto" w:fill="FFFFFF"/>
          </w:tcPr>
          <w:p w14:paraId="1118A6C5" w14:textId="77777777" w:rsidR="008C76E0" w:rsidRPr="00BD7577" w:rsidRDefault="008C76E0" w:rsidP="008C76E0">
            <w:pPr>
              <w:ind w:left="197" w:right="124" w:firstLine="12"/>
              <w:jc w:val="both"/>
              <w:rPr>
                <w:rFonts w:ascii="Sylfaen" w:hAnsi="Sylfaen"/>
                <w:sz w:val="24"/>
                <w:szCs w:val="24"/>
              </w:rPr>
            </w:pPr>
          </w:p>
        </w:tc>
      </w:tr>
      <w:tr w:rsidR="008C76E0" w:rsidRPr="00BD7577" w14:paraId="4C16FC9E" w14:textId="77777777" w:rsidTr="008C76E0">
        <w:trPr>
          <w:jc w:val="center"/>
        </w:trPr>
        <w:tc>
          <w:tcPr>
            <w:tcW w:w="8501" w:type="dxa"/>
            <w:gridSpan w:val="2"/>
            <w:shd w:val="clear" w:color="auto" w:fill="FFFFFF"/>
            <w:vAlign w:val="center"/>
          </w:tcPr>
          <w:p w14:paraId="38C60B85" w14:textId="77777777" w:rsidR="008C76E0" w:rsidRPr="008C76E0"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sz w:val="24"/>
                <w:szCs w:val="24"/>
                <w:lang w:val="hy-AM"/>
              </w:rPr>
            </w:pPr>
            <w:r w:rsidRPr="00BD7577">
              <w:rPr>
                <w:rStyle w:val="Bodytext295pt"/>
                <w:rFonts w:ascii="Sylfaen" w:hAnsi="Sylfaen"/>
                <w:spacing w:val="0"/>
                <w:sz w:val="24"/>
                <w:szCs w:val="24"/>
              </w:rPr>
              <w:t>Արդյո՞ք հարցերին պատասխանելու համար տրված ժամանակն ընդունելի է։ Արդյո՞ք հարցազրույցի տ</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ողությունն ընդունելի է։</w:t>
            </w:r>
          </w:p>
        </w:tc>
        <w:tc>
          <w:tcPr>
            <w:tcW w:w="1685" w:type="dxa"/>
            <w:gridSpan w:val="2"/>
            <w:shd w:val="clear" w:color="auto" w:fill="FFFFFF"/>
            <w:vAlign w:val="center"/>
          </w:tcPr>
          <w:p w14:paraId="20B4BE04"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p w14:paraId="50EA6AFB"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tc>
      </w:tr>
      <w:tr w:rsidR="008C76E0" w:rsidRPr="00BD7577" w14:paraId="6B6DD273" w14:textId="77777777" w:rsidTr="008C76E0">
        <w:trPr>
          <w:jc w:val="center"/>
        </w:trPr>
        <w:tc>
          <w:tcPr>
            <w:tcW w:w="8501" w:type="dxa"/>
            <w:gridSpan w:val="2"/>
            <w:shd w:val="clear" w:color="auto" w:fill="FFFFFF"/>
            <w:vAlign w:val="bottom"/>
          </w:tcPr>
          <w:p w14:paraId="28E626A5" w14:textId="77777777" w:rsidR="008C76E0" w:rsidRPr="00BD7577" w:rsidRDefault="008C76E0" w:rsidP="008C76E0">
            <w:pPr>
              <w:pStyle w:val="Bodytext180"/>
              <w:shd w:val="clear" w:color="auto" w:fill="auto"/>
              <w:tabs>
                <w:tab w:val="left" w:pos="1141"/>
                <w:tab w:val="left" w:pos="1412"/>
              </w:tabs>
              <w:spacing w:before="0" w:after="160" w:line="360" w:lineRule="auto"/>
              <w:ind w:left="136" w:right="208" w:firstLine="0"/>
              <w:jc w:val="both"/>
              <w:rPr>
                <w:rFonts w:ascii="Sylfaen" w:hAnsi="Sylfaen"/>
                <w:b w:val="0"/>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1685" w:type="dxa"/>
            <w:gridSpan w:val="2"/>
            <w:shd w:val="clear" w:color="auto" w:fill="FFFFFF"/>
          </w:tcPr>
          <w:p w14:paraId="20655B57" w14:textId="77777777" w:rsidR="008C76E0" w:rsidRPr="00BD7577" w:rsidRDefault="008C76E0" w:rsidP="008C76E0">
            <w:pPr>
              <w:ind w:left="197" w:right="124" w:firstLine="12"/>
              <w:jc w:val="both"/>
              <w:rPr>
                <w:rFonts w:ascii="Sylfaen" w:hAnsi="Sylfaen"/>
                <w:sz w:val="24"/>
                <w:szCs w:val="24"/>
              </w:rPr>
            </w:pPr>
          </w:p>
        </w:tc>
      </w:tr>
      <w:tr w:rsidR="008C76E0" w:rsidRPr="00BD7577" w14:paraId="006B2132" w14:textId="77777777" w:rsidTr="008C76E0">
        <w:trPr>
          <w:gridAfter w:val="1"/>
          <w:wAfter w:w="10" w:type="dxa"/>
          <w:jc w:val="center"/>
        </w:trPr>
        <w:tc>
          <w:tcPr>
            <w:tcW w:w="8501" w:type="dxa"/>
            <w:gridSpan w:val="2"/>
            <w:shd w:val="clear" w:color="auto" w:fill="FFFFFF"/>
          </w:tcPr>
          <w:p w14:paraId="6F2F684E" w14:textId="77777777" w:rsidR="008C76E0" w:rsidRPr="00BD7577" w:rsidRDefault="008C76E0" w:rsidP="008C76E0">
            <w:pPr>
              <w:pStyle w:val="Bodytext180"/>
              <w:shd w:val="clear" w:color="auto" w:fill="auto"/>
              <w:tabs>
                <w:tab w:val="left" w:pos="1141"/>
                <w:tab w:val="left" w:pos="1412"/>
              </w:tabs>
              <w:spacing w:before="0" w:after="160" w:line="360"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1.4.</w:t>
            </w:r>
            <w:r w:rsidRPr="00BD7577">
              <w:rPr>
                <w:rFonts w:ascii="Sylfaen" w:hAnsi="Sylfaen"/>
                <w:sz w:val="24"/>
                <w:szCs w:val="24"/>
              </w:rPr>
              <w:tab/>
            </w:r>
            <w:r w:rsidRPr="00BD7577">
              <w:rPr>
                <w:rStyle w:val="Bodytext295pt"/>
                <w:rFonts w:ascii="Sylfaen" w:hAnsi="Sylfaen"/>
                <w:spacing w:val="0"/>
                <w:sz w:val="24"/>
                <w:szCs w:val="24"/>
              </w:rPr>
              <w:t xml:space="preserve"> Ընթացակարգային ասպեկտները</w:t>
            </w:r>
          </w:p>
        </w:tc>
        <w:tc>
          <w:tcPr>
            <w:tcW w:w="1675" w:type="dxa"/>
            <w:shd w:val="clear" w:color="auto" w:fill="FFFFFF"/>
          </w:tcPr>
          <w:p w14:paraId="08C17326" w14:textId="77777777" w:rsidR="008C76E0" w:rsidRPr="00BD7577" w:rsidRDefault="008C76E0" w:rsidP="008C76E0">
            <w:pPr>
              <w:ind w:left="197" w:right="124" w:firstLine="12"/>
              <w:jc w:val="both"/>
              <w:rPr>
                <w:rFonts w:ascii="Sylfaen" w:hAnsi="Sylfaen"/>
                <w:sz w:val="24"/>
                <w:szCs w:val="24"/>
              </w:rPr>
            </w:pPr>
          </w:p>
        </w:tc>
      </w:tr>
      <w:tr w:rsidR="008C76E0" w:rsidRPr="00BD7577" w14:paraId="0A170681" w14:textId="77777777" w:rsidTr="008C76E0">
        <w:trPr>
          <w:gridAfter w:val="1"/>
          <w:wAfter w:w="10" w:type="dxa"/>
          <w:jc w:val="center"/>
        </w:trPr>
        <w:tc>
          <w:tcPr>
            <w:tcW w:w="8501" w:type="dxa"/>
            <w:gridSpan w:val="2"/>
            <w:shd w:val="clear" w:color="auto" w:fill="FFFFFF"/>
            <w:vAlign w:val="bottom"/>
          </w:tcPr>
          <w:p w14:paraId="28E52AF8" w14:textId="77777777" w:rsidR="008C76E0" w:rsidRPr="008C76E0"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sz w:val="24"/>
                <w:szCs w:val="24"/>
                <w:lang w:val="hy-AM"/>
              </w:rPr>
            </w:pPr>
            <w:r w:rsidRPr="00BD7577">
              <w:rPr>
                <w:rStyle w:val="Bodytext295pt"/>
                <w:rFonts w:ascii="Sylfaen" w:hAnsi="Sylfaen"/>
                <w:spacing w:val="0"/>
                <w:sz w:val="24"/>
                <w:szCs w:val="24"/>
              </w:rPr>
              <w:t xml:space="preserve">Թեստավորման փուլերը, ներառյալ՝ փորձնական փուլը </w:t>
            </w:r>
          </w:p>
        </w:tc>
        <w:tc>
          <w:tcPr>
            <w:tcW w:w="1675" w:type="dxa"/>
            <w:shd w:val="clear" w:color="auto" w:fill="FFFFFF"/>
          </w:tcPr>
          <w:p w14:paraId="7AAE4196" w14:textId="77777777" w:rsidR="008C76E0" w:rsidRPr="00BD7577" w:rsidRDefault="008C76E0" w:rsidP="008C76E0">
            <w:pPr>
              <w:ind w:left="164" w:right="124" w:hanging="30"/>
              <w:jc w:val="both"/>
              <w:rPr>
                <w:rFonts w:ascii="Sylfaen" w:hAnsi="Sylfaen"/>
                <w:sz w:val="24"/>
                <w:szCs w:val="24"/>
              </w:rPr>
            </w:pPr>
          </w:p>
        </w:tc>
      </w:tr>
      <w:tr w:rsidR="008C76E0" w:rsidRPr="00BD7577" w14:paraId="1A2413AA" w14:textId="77777777" w:rsidTr="008C76E0">
        <w:trPr>
          <w:gridAfter w:val="1"/>
          <w:wAfter w:w="10" w:type="dxa"/>
          <w:jc w:val="center"/>
        </w:trPr>
        <w:tc>
          <w:tcPr>
            <w:tcW w:w="10176" w:type="dxa"/>
            <w:gridSpan w:val="3"/>
            <w:shd w:val="clear" w:color="auto" w:fill="FFFFFF"/>
            <w:vAlign w:val="bottom"/>
          </w:tcPr>
          <w:p w14:paraId="3061270E" w14:textId="77777777" w:rsidR="008C76E0" w:rsidRPr="00BD7577"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i/>
                <w:sz w:val="24"/>
                <w:szCs w:val="24"/>
              </w:rPr>
            </w:pPr>
            <w:r w:rsidRPr="00BD7577">
              <w:rPr>
                <w:rStyle w:val="Bodytext295pt"/>
                <w:rFonts w:ascii="Sylfaen" w:hAnsi="Sylfaen"/>
                <w:spacing w:val="0"/>
                <w:sz w:val="24"/>
                <w:szCs w:val="24"/>
              </w:rPr>
              <w:t>Մեկնաբանություններ (լրացուցիչ տեղեկատվություն)</w:t>
            </w:r>
          </w:p>
        </w:tc>
      </w:tr>
      <w:tr w:rsidR="008C76E0" w:rsidRPr="00BD7577" w14:paraId="12C30D74" w14:textId="77777777" w:rsidTr="008C76E0">
        <w:trPr>
          <w:gridAfter w:val="1"/>
          <w:wAfter w:w="10" w:type="dxa"/>
          <w:jc w:val="center"/>
        </w:trPr>
        <w:tc>
          <w:tcPr>
            <w:tcW w:w="8501" w:type="dxa"/>
            <w:gridSpan w:val="2"/>
            <w:shd w:val="clear" w:color="auto" w:fill="FFFFFF"/>
            <w:vAlign w:val="center"/>
          </w:tcPr>
          <w:p w14:paraId="7513107C" w14:textId="77777777" w:rsidR="008C76E0" w:rsidRPr="00BD7577" w:rsidRDefault="008C76E0" w:rsidP="008C76E0">
            <w:pPr>
              <w:pStyle w:val="Bodytext180"/>
              <w:shd w:val="clear" w:color="auto" w:fill="auto"/>
              <w:tabs>
                <w:tab w:val="left" w:pos="1141"/>
                <w:tab w:val="left" w:pos="1412"/>
              </w:tabs>
              <w:spacing w:before="0" w:after="160" w:line="360"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1.5.</w:t>
            </w:r>
            <w:r w:rsidRPr="00BD7577">
              <w:rPr>
                <w:rFonts w:ascii="Sylfaen" w:hAnsi="Sylfaen"/>
                <w:sz w:val="24"/>
                <w:szCs w:val="24"/>
              </w:rPr>
              <w:tab/>
            </w:r>
            <w:r w:rsidRPr="00BD7577">
              <w:rPr>
                <w:rStyle w:val="Bodytext295pt"/>
                <w:rFonts w:ascii="Sylfaen" w:hAnsi="Sylfaen"/>
                <w:spacing w:val="0"/>
                <w:sz w:val="24"/>
                <w:szCs w:val="24"/>
              </w:rPr>
              <w:t>Հարցազրույցի ասպեկտները</w:t>
            </w:r>
          </w:p>
        </w:tc>
        <w:tc>
          <w:tcPr>
            <w:tcW w:w="1675" w:type="dxa"/>
            <w:shd w:val="clear" w:color="auto" w:fill="FFFFFF"/>
          </w:tcPr>
          <w:p w14:paraId="776C59EF" w14:textId="77777777" w:rsidR="008C76E0" w:rsidRPr="00BD7577" w:rsidRDefault="008C76E0" w:rsidP="008C76E0">
            <w:pPr>
              <w:ind w:left="197" w:right="124" w:firstLine="12"/>
              <w:jc w:val="both"/>
              <w:rPr>
                <w:rFonts w:ascii="Sylfaen" w:hAnsi="Sylfaen"/>
                <w:sz w:val="24"/>
                <w:szCs w:val="24"/>
              </w:rPr>
            </w:pPr>
          </w:p>
        </w:tc>
      </w:tr>
      <w:tr w:rsidR="008C76E0" w:rsidRPr="00BD7577" w14:paraId="09F71920" w14:textId="77777777" w:rsidTr="008C76E0">
        <w:trPr>
          <w:gridAfter w:val="1"/>
          <w:wAfter w:w="10" w:type="dxa"/>
          <w:jc w:val="center"/>
        </w:trPr>
        <w:tc>
          <w:tcPr>
            <w:tcW w:w="8501" w:type="dxa"/>
            <w:gridSpan w:val="2"/>
            <w:shd w:val="clear" w:color="auto" w:fill="FFFFFF"/>
            <w:vAlign w:val="bottom"/>
          </w:tcPr>
          <w:p w14:paraId="5FE7D6B5" w14:textId="77777777" w:rsidR="008C76E0" w:rsidRPr="008C76E0"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i/>
                <w:sz w:val="24"/>
                <w:szCs w:val="24"/>
                <w:lang w:val="hy-AM"/>
              </w:rPr>
            </w:pPr>
            <w:r w:rsidRPr="00BD7577">
              <w:rPr>
                <w:rStyle w:val="Bodytext295pt"/>
                <w:rFonts w:ascii="Sylfaen" w:hAnsi="Sylfaen"/>
                <w:spacing w:val="0"/>
                <w:sz w:val="24"/>
                <w:szCs w:val="24"/>
              </w:rPr>
              <w:t>Արդյո՞ք հարցազրույցն անց է կացվել կառուցվածքային (կազմակերպված) եղանակով:</w:t>
            </w:r>
          </w:p>
        </w:tc>
        <w:tc>
          <w:tcPr>
            <w:tcW w:w="1675" w:type="dxa"/>
            <w:shd w:val="clear" w:color="auto" w:fill="FFFFFF"/>
            <w:vAlign w:val="bottom"/>
          </w:tcPr>
          <w:p w14:paraId="5C24C71A"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7B3A7F2C" w14:textId="77777777" w:rsidTr="008C76E0">
        <w:trPr>
          <w:gridAfter w:val="1"/>
          <w:wAfter w:w="10" w:type="dxa"/>
          <w:jc w:val="center"/>
        </w:trPr>
        <w:tc>
          <w:tcPr>
            <w:tcW w:w="8501" w:type="dxa"/>
            <w:gridSpan w:val="2"/>
            <w:shd w:val="clear" w:color="auto" w:fill="FFFFFF"/>
          </w:tcPr>
          <w:p w14:paraId="678B8A95" w14:textId="77777777" w:rsidR="008C76E0" w:rsidRPr="00BD7577"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1675" w:type="dxa"/>
            <w:shd w:val="clear" w:color="auto" w:fill="FFFFFF"/>
          </w:tcPr>
          <w:p w14:paraId="6F506B8A" w14:textId="77777777" w:rsidR="008C76E0" w:rsidRPr="00BD7577" w:rsidRDefault="008C76E0" w:rsidP="008C76E0">
            <w:pPr>
              <w:ind w:left="197" w:right="124" w:firstLine="12"/>
              <w:jc w:val="both"/>
              <w:rPr>
                <w:rFonts w:ascii="Sylfaen" w:hAnsi="Sylfaen"/>
                <w:sz w:val="24"/>
                <w:szCs w:val="24"/>
              </w:rPr>
            </w:pPr>
          </w:p>
        </w:tc>
      </w:tr>
      <w:tr w:rsidR="008C76E0" w:rsidRPr="00BD7577" w14:paraId="085995E2" w14:textId="77777777" w:rsidTr="008C76E0">
        <w:trPr>
          <w:gridAfter w:val="1"/>
          <w:wAfter w:w="10" w:type="dxa"/>
          <w:jc w:val="center"/>
        </w:trPr>
        <w:tc>
          <w:tcPr>
            <w:tcW w:w="10176" w:type="dxa"/>
            <w:gridSpan w:val="3"/>
            <w:shd w:val="clear" w:color="auto" w:fill="FFFFFF"/>
            <w:vAlign w:val="center"/>
          </w:tcPr>
          <w:p w14:paraId="0E2DA683" w14:textId="77777777" w:rsidR="008C76E0" w:rsidRPr="002754BD" w:rsidRDefault="008C76E0" w:rsidP="008C76E0">
            <w:pPr>
              <w:tabs>
                <w:tab w:val="left" w:pos="1141"/>
                <w:tab w:val="left" w:pos="1412"/>
              </w:tabs>
              <w:ind w:left="24" w:right="208" w:firstLine="567"/>
              <w:jc w:val="center"/>
              <w:rPr>
                <w:rFonts w:ascii="Sylfaen" w:hAnsi="Sylfaen"/>
                <w:b/>
                <w:i/>
                <w:sz w:val="24"/>
                <w:szCs w:val="24"/>
              </w:rPr>
            </w:pPr>
            <w:r w:rsidRPr="002754BD">
              <w:rPr>
                <w:rStyle w:val="Bodytext295pt"/>
                <w:rFonts w:ascii="Sylfaen" w:eastAsia="MS Mincho" w:hAnsi="Sylfaen"/>
                <w:b w:val="0"/>
                <w:spacing w:val="0"/>
                <w:sz w:val="24"/>
                <w:szCs w:val="24"/>
              </w:rPr>
              <w:t>2.Պատասխանների գնահատումը</w:t>
            </w:r>
          </w:p>
        </w:tc>
      </w:tr>
      <w:tr w:rsidR="008C76E0" w:rsidRPr="00BD7577" w14:paraId="75DE8F51" w14:textId="77777777" w:rsidTr="008C76E0">
        <w:trPr>
          <w:gridAfter w:val="1"/>
          <w:wAfter w:w="10" w:type="dxa"/>
          <w:jc w:val="center"/>
        </w:trPr>
        <w:tc>
          <w:tcPr>
            <w:tcW w:w="8501" w:type="dxa"/>
            <w:gridSpan w:val="2"/>
            <w:shd w:val="clear" w:color="auto" w:fill="FFFFFF"/>
            <w:vAlign w:val="center"/>
          </w:tcPr>
          <w:p w14:paraId="6FD7AB9B" w14:textId="77777777" w:rsidR="008C76E0" w:rsidRPr="00BD7577" w:rsidRDefault="008C76E0" w:rsidP="008C76E0">
            <w:pPr>
              <w:pStyle w:val="Bodytext180"/>
              <w:shd w:val="clear" w:color="auto" w:fill="auto"/>
              <w:tabs>
                <w:tab w:val="left" w:pos="1141"/>
                <w:tab w:val="left" w:pos="1412"/>
              </w:tabs>
              <w:spacing w:before="0" w:after="160" w:line="360"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2.1.</w:t>
            </w:r>
            <w:r w:rsidRPr="00BD7577">
              <w:rPr>
                <w:rFonts w:ascii="Sylfaen" w:hAnsi="Sylfaen"/>
                <w:sz w:val="24"/>
                <w:szCs w:val="24"/>
              </w:rPr>
              <w:tab/>
            </w:r>
            <w:r w:rsidRPr="00BD7577">
              <w:rPr>
                <w:rStyle w:val="Bodytext295pt"/>
                <w:rFonts w:ascii="Sylfaen" w:hAnsi="Sylfaen"/>
                <w:spacing w:val="0"/>
                <w:sz w:val="24"/>
                <w:szCs w:val="24"/>
              </w:rPr>
              <w:t>Գնահատման համակարգը</w:t>
            </w:r>
          </w:p>
        </w:tc>
        <w:tc>
          <w:tcPr>
            <w:tcW w:w="1675" w:type="dxa"/>
            <w:shd w:val="clear" w:color="auto" w:fill="FFFFFF"/>
          </w:tcPr>
          <w:p w14:paraId="3FDF5577" w14:textId="77777777" w:rsidR="008C76E0" w:rsidRPr="00BD7577" w:rsidRDefault="008C76E0" w:rsidP="008C76E0">
            <w:pPr>
              <w:ind w:left="197" w:right="124" w:firstLine="12"/>
              <w:jc w:val="both"/>
              <w:rPr>
                <w:rFonts w:ascii="Sylfaen" w:hAnsi="Sylfaen"/>
                <w:sz w:val="24"/>
                <w:szCs w:val="24"/>
              </w:rPr>
            </w:pPr>
          </w:p>
        </w:tc>
      </w:tr>
      <w:tr w:rsidR="008C76E0" w:rsidRPr="00BD7577" w14:paraId="79EEF9FF" w14:textId="77777777" w:rsidTr="008C76E0">
        <w:trPr>
          <w:gridAfter w:val="1"/>
          <w:wAfter w:w="10" w:type="dxa"/>
          <w:jc w:val="center"/>
        </w:trPr>
        <w:tc>
          <w:tcPr>
            <w:tcW w:w="8501" w:type="dxa"/>
            <w:gridSpan w:val="2"/>
            <w:shd w:val="clear" w:color="auto" w:fill="FFFFFF"/>
            <w:vAlign w:val="bottom"/>
          </w:tcPr>
          <w:p w14:paraId="762D1580" w14:textId="77777777" w:rsidR="008C76E0" w:rsidRPr="008C76E0" w:rsidRDefault="008C76E0" w:rsidP="008C76E0">
            <w:pPr>
              <w:pStyle w:val="Bodytext180"/>
              <w:shd w:val="clear" w:color="auto" w:fill="auto"/>
              <w:tabs>
                <w:tab w:val="left" w:pos="1141"/>
                <w:tab w:val="left" w:pos="1412"/>
              </w:tabs>
              <w:spacing w:before="0" w:after="160" w:line="360" w:lineRule="auto"/>
              <w:ind w:left="164" w:right="208" w:hanging="30"/>
              <w:jc w:val="both"/>
              <w:rPr>
                <w:rFonts w:ascii="Sylfaen" w:hAnsi="Sylfaen"/>
                <w:b w:val="0"/>
                <w:i/>
                <w:sz w:val="24"/>
                <w:szCs w:val="24"/>
                <w:lang w:val="hy-AM"/>
              </w:rPr>
            </w:pPr>
            <w:r w:rsidRPr="00BD7577">
              <w:rPr>
                <w:rStyle w:val="Bodytext295pt"/>
                <w:rFonts w:ascii="Sylfaen" w:hAnsi="Sylfaen"/>
                <w:spacing w:val="0"/>
                <w:sz w:val="24"/>
                <w:szCs w:val="24"/>
              </w:rPr>
              <w:t>Արդյո՞ք պատասխանների որակական գնահատումն ընդունելի է:</w:t>
            </w:r>
          </w:p>
        </w:tc>
        <w:tc>
          <w:tcPr>
            <w:tcW w:w="1675" w:type="dxa"/>
            <w:shd w:val="clear" w:color="auto" w:fill="FFFFFF"/>
            <w:vAlign w:val="bottom"/>
          </w:tcPr>
          <w:p w14:paraId="3A9ED21A"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697A4867" w14:textId="77777777" w:rsidTr="008C76E0">
        <w:trPr>
          <w:gridAfter w:val="1"/>
          <w:wAfter w:w="10" w:type="dxa"/>
          <w:jc w:val="center"/>
        </w:trPr>
        <w:tc>
          <w:tcPr>
            <w:tcW w:w="8501" w:type="dxa"/>
            <w:gridSpan w:val="2"/>
            <w:shd w:val="clear" w:color="auto" w:fill="FFFFFF"/>
          </w:tcPr>
          <w:p w14:paraId="5FF9A192" w14:textId="77777777" w:rsidR="008C76E0" w:rsidRPr="008C76E0" w:rsidRDefault="008C76E0" w:rsidP="004B393A">
            <w:pPr>
              <w:pStyle w:val="Bodytext180"/>
              <w:shd w:val="clear" w:color="auto" w:fill="auto"/>
              <w:tabs>
                <w:tab w:val="left" w:pos="1141"/>
                <w:tab w:val="left" w:pos="1412"/>
              </w:tabs>
              <w:spacing w:before="0" w:after="160" w:line="336" w:lineRule="auto"/>
              <w:ind w:left="164" w:right="208" w:hanging="30"/>
              <w:jc w:val="both"/>
              <w:rPr>
                <w:rFonts w:ascii="Sylfaen" w:hAnsi="Sylfaen"/>
                <w:b w:val="0"/>
                <w:i/>
                <w:sz w:val="24"/>
                <w:szCs w:val="24"/>
                <w:lang w:val="hy-AM"/>
              </w:rPr>
            </w:pPr>
            <w:r w:rsidRPr="00BD7577">
              <w:rPr>
                <w:rStyle w:val="Bodytext295pt"/>
                <w:rFonts w:ascii="Sylfaen" w:hAnsi="Sylfaen"/>
                <w:spacing w:val="0"/>
                <w:sz w:val="24"/>
                <w:szCs w:val="24"/>
              </w:rPr>
              <w:t>Արդյո՞ք գնահատման մեթոդաբանությունը համապատասխանում է նվազագույն պահանջներին։</w:t>
            </w:r>
          </w:p>
        </w:tc>
        <w:tc>
          <w:tcPr>
            <w:tcW w:w="1675" w:type="dxa"/>
            <w:shd w:val="clear" w:color="auto" w:fill="FFFFFF"/>
          </w:tcPr>
          <w:p w14:paraId="06B85AA6" w14:textId="77777777" w:rsidR="008C76E0" w:rsidRPr="00BD7577" w:rsidRDefault="008C76E0" w:rsidP="008C76E0">
            <w:pPr>
              <w:pStyle w:val="Bodytext180"/>
              <w:shd w:val="clear" w:color="auto" w:fill="auto"/>
              <w:spacing w:before="0" w:after="160" w:line="360"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435BCF9A" w14:textId="77777777" w:rsidTr="008C76E0">
        <w:trPr>
          <w:gridAfter w:val="1"/>
          <w:wAfter w:w="10" w:type="dxa"/>
          <w:jc w:val="center"/>
        </w:trPr>
        <w:tc>
          <w:tcPr>
            <w:tcW w:w="8501" w:type="dxa"/>
            <w:gridSpan w:val="2"/>
            <w:shd w:val="clear" w:color="auto" w:fill="FFFFFF"/>
            <w:vAlign w:val="bottom"/>
          </w:tcPr>
          <w:p w14:paraId="133876CE" w14:textId="77777777" w:rsidR="008C76E0" w:rsidRPr="00BD7577" w:rsidRDefault="008C76E0" w:rsidP="004B393A">
            <w:pPr>
              <w:pStyle w:val="Bodytext180"/>
              <w:shd w:val="clear" w:color="auto" w:fill="auto"/>
              <w:tabs>
                <w:tab w:val="left" w:pos="1141"/>
                <w:tab w:val="left" w:pos="1412"/>
              </w:tabs>
              <w:spacing w:before="0" w:after="160" w:line="384" w:lineRule="auto"/>
              <w:ind w:left="192" w:right="208" w:hanging="24"/>
              <w:jc w:val="both"/>
              <w:rPr>
                <w:rFonts w:ascii="Sylfaen" w:hAnsi="Sylfaen"/>
                <w:b w:val="0"/>
                <w:sz w:val="24"/>
                <w:szCs w:val="24"/>
              </w:rPr>
            </w:pPr>
            <w:r w:rsidRPr="00BD7577">
              <w:rPr>
                <w:rStyle w:val="Bodytext295pt"/>
                <w:rFonts w:ascii="Sylfaen" w:hAnsi="Sylfaen"/>
                <w:spacing w:val="0"/>
                <w:sz w:val="24"/>
                <w:szCs w:val="24"/>
              </w:rPr>
              <w:lastRenderedPageBreak/>
              <w:t>Մեկնաբանություններ (լրացուցիչ տեղեկատվություն)</w:t>
            </w:r>
          </w:p>
        </w:tc>
        <w:tc>
          <w:tcPr>
            <w:tcW w:w="1675" w:type="dxa"/>
            <w:shd w:val="clear" w:color="auto" w:fill="FFFFFF"/>
          </w:tcPr>
          <w:p w14:paraId="78327913" w14:textId="77777777" w:rsidR="008C76E0" w:rsidRPr="00BD7577" w:rsidRDefault="008C76E0" w:rsidP="004B393A">
            <w:pPr>
              <w:spacing w:line="384" w:lineRule="auto"/>
              <w:ind w:left="197" w:right="124" w:firstLine="12"/>
              <w:jc w:val="both"/>
              <w:rPr>
                <w:rFonts w:ascii="Sylfaen" w:hAnsi="Sylfaen"/>
                <w:sz w:val="24"/>
                <w:szCs w:val="24"/>
              </w:rPr>
            </w:pPr>
          </w:p>
        </w:tc>
      </w:tr>
      <w:tr w:rsidR="008C76E0" w:rsidRPr="00BD7577" w14:paraId="347B0813" w14:textId="77777777" w:rsidTr="008C76E0">
        <w:trPr>
          <w:gridAfter w:val="1"/>
          <w:wAfter w:w="10" w:type="dxa"/>
          <w:jc w:val="center"/>
        </w:trPr>
        <w:tc>
          <w:tcPr>
            <w:tcW w:w="8501" w:type="dxa"/>
            <w:gridSpan w:val="2"/>
            <w:shd w:val="clear" w:color="auto" w:fill="FFFFFF"/>
            <w:vAlign w:val="center"/>
          </w:tcPr>
          <w:p w14:paraId="343830F8" w14:textId="77777777" w:rsidR="008C76E0" w:rsidRPr="00BD7577" w:rsidRDefault="008C76E0" w:rsidP="004B393A">
            <w:pPr>
              <w:pStyle w:val="Bodytext180"/>
              <w:shd w:val="clear" w:color="auto" w:fill="auto"/>
              <w:tabs>
                <w:tab w:val="left" w:pos="1141"/>
                <w:tab w:val="left" w:pos="1412"/>
              </w:tabs>
              <w:spacing w:before="0" w:after="160" w:line="384" w:lineRule="auto"/>
              <w:ind w:left="24" w:right="208" w:firstLine="567"/>
              <w:jc w:val="both"/>
              <w:rPr>
                <w:rFonts w:ascii="Sylfaen" w:hAnsi="Sylfaen"/>
                <w:b w:val="0"/>
                <w:sz w:val="24"/>
                <w:szCs w:val="24"/>
              </w:rPr>
            </w:pPr>
            <w:r w:rsidRPr="00BD7577">
              <w:rPr>
                <w:rStyle w:val="Bodytext295pt"/>
                <w:rFonts w:ascii="Sylfaen" w:hAnsi="Sylfaen"/>
                <w:spacing w:val="0"/>
                <w:sz w:val="24"/>
                <w:szCs w:val="24"/>
              </w:rPr>
              <w:t>2.2.</w:t>
            </w:r>
            <w:r w:rsidRPr="00BD7577">
              <w:rPr>
                <w:rFonts w:ascii="Sylfaen" w:hAnsi="Sylfaen"/>
                <w:sz w:val="24"/>
                <w:szCs w:val="24"/>
              </w:rPr>
              <w:tab/>
            </w:r>
            <w:r w:rsidRPr="00BD7577">
              <w:rPr>
                <w:rStyle w:val="Bodytext295pt"/>
                <w:rFonts w:ascii="Sylfaen" w:hAnsi="Sylfaen"/>
                <w:spacing w:val="0"/>
                <w:sz w:val="24"/>
                <w:szCs w:val="24"/>
              </w:rPr>
              <w:t>Հարցերի վարկանշային համակարգը</w:t>
            </w:r>
          </w:p>
        </w:tc>
        <w:tc>
          <w:tcPr>
            <w:tcW w:w="1675" w:type="dxa"/>
            <w:shd w:val="clear" w:color="auto" w:fill="FFFFFF"/>
          </w:tcPr>
          <w:p w14:paraId="6ABB74C1" w14:textId="77777777" w:rsidR="008C76E0" w:rsidRPr="00BD7577" w:rsidRDefault="008C76E0" w:rsidP="004B393A">
            <w:pPr>
              <w:spacing w:line="384" w:lineRule="auto"/>
              <w:ind w:left="197" w:right="124" w:firstLine="12"/>
              <w:jc w:val="both"/>
              <w:rPr>
                <w:rFonts w:ascii="Sylfaen" w:hAnsi="Sylfaen"/>
                <w:sz w:val="24"/>
                <w:szCs w:val="24"/>
              </w:rPr>
            </w:pPr>
          </w:p>
        </w:tc>
      </w:tr>
      <w:tr w:rsidR="008C76E0" w:rsidRPr="00BD7577" w14:paraId="554C5EF4" w14:textId="77777777" w:rsidTr="008C76E0">
        <w:trPr>
          <w:gridAfter w:val="1"/>
          <w:wAfter w:w="10" w:type="dxa"/>
          <w:jc w:val="center"/>
        </w:trPr>
        <w:tc>
          <w:tcPr>
            <w:tcW w:w="8501" w:type="dxa"/>
            <w:gridSpan w:val="2"/>
            <w:shd w:val="clear" w:color="auto" w:fill="FFFFFF"/>
            <w:vAlign w:val="bottom"/>
          </w:tcPr>
          <w:p w14:paraId="6EF19352" w14:textId="77777777" w:rsidR="008C76E0" w:rsidRPr="008C76E0" w:rsidRDefault="008C76E0" w:rsidP="004B393A">
            <w:pPr>
              <w:pStyle w:val="Bodytext180"/>
              <w:shd w:val="clear" w:color="auto" w:fill="auto"/>
              <w:tabs>
                <w:tab w:val="left" w:pos="1141"/>
                <w:tab w:val="left" w:pos="1412"/>
              </w:tabs>
              <w:spacing w:before="0" w:after="160" w:line="360" w:lineRule="auto"/>
              <w:ind w:left="164" w:right="210" w:hanging="30"/>
              <w:jc w:val="both"/>
              <w:rPr>
                <w:rFonts w:ascii="Sylfaen" w:hAnsi="Sylfaen"/>
                <w:b w:val="0"/>
                <w:i/>
                <w:sz w:val="24"/>
                <w:szCs w:val="24"/>
                <w:lang w:val="hy-AM"/>
              </w:rPr>
            </w:pPr>
            <w:r w:rsidRPr="00BD7577">
              <w:rPr>
                <w:rStyle w:val="Bodytext295pt"/>
                <w:rFonts w:ascii="Sylfaen" w:hAnsi="Sylfaen"/>
                <w:spacing w:val="0"/>
                <w:sz w:val="24"/>
                <w:szCs w:val="24"/>
              </w:rPr>
              <w:t>Արդյո՞ք պատասխանների քանակական գնահատումն ընդունելի է: Մեկնաբանություններ (լրացուցիչ տեղեկատվություն)</w:t>
            </w:r>
          </w:p>
        </w:tc>
        <w:tc>
          <w:tcPr>
            <w:tcW w:w="1675" w:type="dxa"/>
            <w:shd w:val="clear" w:color="auto" w:fill="FFFFFF"/>
          </w:tcPr>
          <w:p w14:paraId="44ADA980" w14:textId="77777777" w:rsidR="008C76E0" w:rsidRPr="00BD7577" w:rsidRDefault="008C76E0" w:rsidP="004B393A">
            <w:pPr>
              <w:pStyle w:val="Bodytext180"/>
              <w:shd w:val="clear" w:color="auto" w:fill="auto"/>
              <w:spacing w:before="0" w:after="160" w:line="360" w:lineRule="auto"/>
              <w:ind w:left="197" w:right="210"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4DA9362D" w14:textId="77777777" w:rsidTr="008C76E0">
        <w:trPr>
          <w:gridAfter w:val="1"/>
          <w:wAfter w:w="10" w:type="dxa"/>
          <w:jc w:val="center"/>
        </w:trPr>
        <w:tc>
          <w:tcPr>
            <w:tcW w:w="10176" w:type="dxa"/>
            <w:gridSpan w:val="3"/>
            <w:shd w:val="clear" w:color="auto" w:fill="FFFFFF"/>
            <w:vAlign w:val="center"/>
          </w:tcPr>
          <w:p w14:paraId="6DE38D1B" w14:textId="77777777" w:rsidR="008C76E0" w:rsidRPr="002754BD" w:rsidRDefault="008C76E0" w:rsidP="004B393A">
            <w:pPr>
              <w:tabs>
                <w:tab w:val="left" w:pos="1141"/>
                <w:tab w:val="left" w:pos="1412"/>
              </w:tabs>
              <w:spacing w:after="160" w:line="360" w:lineRule="auto"/>
              <w:ind w:left="24" w:right="210" w:firstLine="567"/>
              <w:jc w:val="center"/>
              <w:rPr>
                <w:rFonts w:ascii="Sylfaen" w:hAnsi="Sylfaen"/>
                <w:b/>
                <w:i/>
                <w:sz w:val="24"/>
                <w:szCs w:val="24"/>
              </w:rPr>
            </w:pPr>
            <w:r w:rsidRPr="002754BD">
              <w:rPr>
                <w:rStyle w:val="Bodytext295pt"/>
                <w:rFonts w:ascii="Sylfaen" w:eastAsia="MS Mincho" w:hAnsi="Sylfaen"/>
                <w:b w:val="0"/>
                <w:spacing w:val="0"/>
                <w:sz w:val="24"/>
                <w:szCs w:val="24"/>
              </w:rPr>
              <w:t>3. Տվյալների մշակումը</w:t>
            </w:r>
          </w:p>
        </w:tc>
      </w:tr>
      <w:tr w:rsidR="008C76E0" w:rsidRPr="00BD7577" w14:paraId="6F0F9849" w14:textId="77777777" w:rsidTr="008C76E0">
        <w:trPr>
          <w:gridAfter w:val="1"/>
          <w:wAfter w:w="10" w:type="dxa"/>
          <w:jc w:val="center"/>
        </w:trPr>
        <w:tc>
          <w:tcPr>
            <w:tcW w:w="8501" w:type="dxa"/>
            <w:gridSpan w:val="2"/>
            <w:shd w:val="clear" w:color="auto" w:fill="FFFFFF"/>
            <w:vAlign w:val="bottom"/>
          </w:tcPr>
          <w:p w14:paraId="6F902F71" w14:textId="77777777" w:rsidR="008C76E0" w:rsidRPr="00BD7577" w:rsidRDefault="008C76E0" w:rsidP="004B393A">
            <w:pPr>
              <w:pStyle w:val="Bodytext180"/>
              <w:shd w:val="clear" w:color="auto" w:fill="auto"/>
              <w:tabs>
                <w:tab w:val="left" w:pos="1141"/>
                <w:tab w:val="left" w:pos="1412"/>
              </w:tabs>
              <w:spacing w:before="0" w:after="160" w:line="360" w:lineRule="auto"/>
              <w:ind w:left="164" w:right="210" w:hanging="30"/>
              <w:jc w:val="both"/>
              <w:rPr>
                <w:rStyle w:val="Bodytext295pt"/>
                <w:rFonts w:ascii="Sylfaen" w:hAnsi="Sylfaen"/>
                <w:spacing w:val="0"/>
                <w:sz w:val="24"/>
                <w:szCs w:val="24"/>
              </w:rPr>
            </w:pPr>
            <w:r w:rsidRPr="00BD7577">
              <w:rPr>
                <w:rStyle w:val="Bodytext295pt"/>
                <w:rFonts w:ascii="Sylfaen" w:hAnsi="Sylfaen"/>
                <w:spacing w:val="0"/>
                <w:sz w:val="24"/>
                <w:szCs w:val="24"/>
              </w:rPr>
              <w:t>Արդյո՞ք տվյալները պատշաճ 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ով գրանցվում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փաստաթղթավորվում են: </w:t>
            </w:r>
          </w:p>
          <w:p w14:paraId="0978ECC1" w14:textId="77777777" w:rsidR="008C76E0" w:rsidRPr="00BD7577" w:rsidRDefault="008C76E0" w:rsidP="004B393A">
            <w:pPr>
              <w:pStyle w:val="Bodytext180"/>
              <w:shd w:val="clear" w:color="auto" w:fill="auto"/>
              <w:tabs>
                <w:tab w:val="left" w:pos="1141"/>
                <w:tab w:val="left" w:pos="1412"/>
              </w:tabs>
              <w:spacing w:before="0" w:after="160" w:line="360" w:lineRule="auto"/>
              <w:ind w:left="164" w:right="210" w:hanging="30"/>
              <w:jc w:val="both"/>
              <w:rPr>
                <w:rFonts w:ascii="Sylfaen" w:hAnsi="Sylfaen"/>
                <w:b w:val="0"/>
                <w:i/>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1675" w:type="dxa"/>
            <w:shd w:val="clear" w:color="auto" w:fill="FFFFFF"/>
          </w:tcPr>
          <w:p w14:paraId="7F1F4E66" w14:textId="77777777" w:rsidR="008C76E0" w:rsidRPr="00BD7577" w:rsidRDefault="008C76E0" w:rsidP="004B393A">
            <w:pPr>
              <w:pStyle w:val="Bodytext180"/>
              <w:shd w:val="clear" w:color="auto" w:fill="auto"/>
              <w:spacing w:before="0" w:after="160" w:line="360" w:lineRule="auto"/>
              <w:ind w:left="197" w:right="210"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1E5B99AE" w14:textId="77777777" w:rsidTr="008C76E0">
        <w:trPr>
          <w:gridAfter w:val="1"/>
          <w:wAfter w:w="10" w:type="dxa"/>
          <w:jc w:val="center"/>
        </w:trPr>
        <w:tc>
          <w:tcPr>
            <w:tcW w:w="10176" w:type="dxa"/>
            <w:gridSpan w:val="3"/>
            <w:shd w:val="clear" w:color="auto" w:fill="FFFFFF"/>
            <w:vAlign w:val="center"/>
          </w:tcPr>
          <w:p w14:paraId="445224D3" w14:textId="77777777" w:rsidR="008C76E0" w:rsidRPr="002754BD" w:rsidRDefault="008C76E0" w:rsidP="004B393A">
            <w:pPr>
              <w:tabs>
                <w:tab w:val="left" w:pos="1141"/>
                <w:tab w:val="left" w:pos="1412"/>
              </w:tabs>
              <w:spacing w:after="160" w:line="360" w:lineRule="auto"/>
              <w:ind w:left="24" w:right="210" w:firstLine="567"/>
              <w:jc w:val="center"/>
              <w:rPr>
                <w:rFonts w:ascii="Sylfaen" w:hAnsi="Sylfaen"/>
                <w:b/>
                <w:i/>
                <w:sz w:val="24"/>
                <w:szCs w:val="24"/>
              </w:rPr>
            </w:pPr>
            <w:r w:rsidRPr="002754BD">
              <w:rPr>
                <w:rStyle w:val="Bodytext295pt"/>
                <w:rFonts w:ascii="Sylfaen" w:eastAsia="MS Mincho" w:hAnsi="Sylfaen"/>
                <w:b w:val="0"/>
                <w:spacing w:val="0"/>
                <w:sz w:val="24"/>
                <w:szCs w:val="24"/>
              </w:rPr>
              <w:t>4.Որակի ասպեկտները</w:t>
            </w:r>
          </w:p>
        </w:tc>
      </w:tr>
      <w:tr w:rsidR="008C76E0" w:rsidRPr="00BD7577" w14:paraId="6C0A8DBF" w14:textId="77777777" w:rsidTr="008C76E0">
        <w:trPr>
          <w:gridAfter w:val="1"/>
          <w:wAfter w:w="10" w:type="dxa"/>
          <w:jc w:val="center"/>
        </w:trPr>
        <w:tc>
          <w:tcPr>
            <w:tcW w:w="8501" w:type="dxa"/>
            <w:gridSpan w:val="2"/>
            <w:shd w:val="clear" w:color="auto" w:fill="FFFFFF"/>
            <w:vAlign w:val="center"/>
          </w:tcPr>
          <w:p w14:paraId="3B2378AF" w14:textId="77777777" w:rsidR="008C76E0" w:rsidRPr="008C76E0" w:rsidRDefault="008C76E0" w:rsidP="004B393A">
            <w:pPr>
              <w:pStyle w:val="Bodytext180"/>
              <w:shd w:val="clear" w:color="auto" w:fill="auto"/>
              <w:tabs>
                <w:tab w:val="left" w:pos="1141"/>
                <w:tab w:val="left" w:pos="1412"/>
              </w:tabs>
              <w:spacing w:before="0" w:after="160" w:line="384" w:lineRule="auto"/>
              <w:ind w:left="24" w:right="208" w:firstLine="567"/>
              <w:jc w:val="both"/>
              <w:rPr>
                <w:rFonts w:ascii="Sylfaen" w:hAnsi="Sylfaen"/>
                <w:b w:val="0"/>
                <w:sz w:val="24"/>
                <w:szCs w:val="24"/>
                <w:lang w:val="hy-AM"/>
              </w:rPr>
            </w:pPr>
            <w:r w:rsidRPr="00BD7577">
              <w:rPr>
                <w:rStyle w:val="Bodytext295pt"/>
                <w:rFonts w:ascii="Sylfaen" w:hAnsi="Sylfaen"/>
                <w:spacing w:val="0"/>
                <w:sz w:val="24"/>
                <w:szCs w:val="24"/>
              </w:rPr>
              <w:t>4.1.</w:t>
            </w:r>
            <w:r w:rsidRPr="008C76E0">
              <w:rPr>
                <w:rFonts w:ascii="Sylfaen" w:hAnsi="Sylfaen"/>
                <w:sz w:val="24"/>
                <w:szCs w:val="24"/>
                <w:lang w:val="hy-AM"/>
              </w:rPr>
              <w:tab/>
            </w:r>
            <w:r w:rsidRPr="00BD7577">
              <w:rPr>
                <w:rStyle w:val="Bodytext295pt"/>
                <w:rFonts w:ascii="Sylfaen" w:hAnsi="Sylfaen"/>
                <w:spacing w:val="0"/>
                <w:sz w:val="24"/>
                <w:szCs w:val="24"/>
              </w:rPr>
              <w:t>Ախտորոշման հետ կապված հարցերի գնահատումը</w:t>
            </w:r>
          </w:p>
        </w:tc>
        <w:tc>
          <w:tcPr>
            <w:tcW w:w="1675" w:type="dxa"/>
            <w:shd w:val="clear" w:color="auto" w:fill="FFFFFF"/>
          </w:tcPr>
          <w:p w14:paraId="5AD9AE8F" w14:textId="77777777" w:rsidR="008C76E0" w:rsidRPr="00BD7577" w:rsidRDefault="008C76E0" w:rsidP="004B393A">
            <w:pPr>
              <w:spacing w:line="384" w:lineRule="auto"/>
              <w:ind w:left="197" w:right="124" w:firstLine="12"/>
              <w:jc w:val="both"/>
              <w:rPr>
                <w:rFonts w:ascii="Sylfaen" w:hAnsi="Sylfaen"/>
                <w:sz w:val="24"/>
                <w:szCs w:val="24"/>
              </w:rPr>
            </w:pPr>
          </w:p>
        </w:tc>
      </w:tr>
      <w:tr w:rsidR="008C76E0" w:rsidRPr="00BD7577" w14:paraId="08A71BAF" w14:textId="77777777" w:rsidTr="008C76E0">
        <w:trPr>
          <w:gridAfter w:val="1"/>
          <w:wAfter w:w="10" w:type="dxa"/>
          <w:jc w:val="center"/>
        </w:trPr>
        <w:tc>
          <w:tcPr>
            <w:tcW w:w="8501" w:type="dxa"/>
            <w:gridSpan w:val="2"/>
            <w:shd w:val="clear" w:color="auto" w:fill="FFFFFF"/>
          </w:tcPr>
          <w:p w14:paraId="6BECC482" w14:textId="77777777" w:rsidR="008C76E0" w:rsidRPr="008C76E0" w:rsidRDefault="008C76E0" w:rsidP="004B393A">
            <w:pPr>
              <w:pStyle w:val="Bodytext180"/>
              <w:shd w:val="clear" w:color="auto" w:fill="auto"/>
              <w:tabs>
                <w:tab w:val="left" w:pos="1141"/>
                <w:tab w:val="left" w:pos="1412"/>
              </w:tabs>
              <w:spacing w:before="0" w:after="160" w:line="360" w:lineRule="auto"/>
              <w:ind w:left="164" w:right="208" w:hanging="28"/>
              <w:jc w:val="both"/>
              <w:rPr>
                <w:rFonts w:ascii="Sylfaen" w:hAnsi="Sylfaen"/>
                <w:b w:val="0"/>
                <w:i/>
                <w:sz w:val="24"/>
                <w:szCs w:val="24"/>
                <w:lang w:val="hy-AM"/>
              </w:rPr>
            </w:pPr>
            <w:r w:rsidRPr="00BD7577">
              <w:rPr>
                <w:rStyle w:val="Bodytext295pt"/>
                <w:rFonts w:ascii="Sylfaen" w:hAnsi="Sylfaen"/>
                <w:spacing w:val="0"/>
                <w:sz w:val="24"/>
                <w:szCs w:val="24"/>
              </w:rPr>
              <w:t>Արդյո՞ք մեթոդաբանությունը համապատասխանում է Դեղապատրաստուկների բժշկական կիրառման հրահանգին և բժշկական կիրառման դեղապատրաստուկների ընդհանուր բնութագրին ներկայացվող պահանջների հավելվածին</w:t>
            </w:r>
            <w:r w:rsidRPr="00BD7577" w:rsidDel="00F77B02">
              <w:rPr>
                <w:rStyle w:val="Bodytext295pt"/>
                <w:rFonts w:ascii="Sylfaen" w:hAnsi="Sylfaen"/>
                <w:spacing w:val="0"/>
                <w:sz w:val="24"/>
                <w:szCs w:val="24"/>
              </w:rPr>
              <w:t xml:space="preserve"> </w:t>
            </w:r>
            <w:r w:rsidRPr="00BD7577">
              <w:rPr>
                <w:rStyle w:val="Bodytext295pt"/>
                <w:rFonts w:ascii="Sylfaen" w:hAnsi="Sylfaen"/>
                <w:spacing w:val="0"/>
                <w:sz w:val="24"/>
                <w:szCs w:val="24"/>
              </w:rPr>
              <w:t>։</w:t>
            </w:r>
          </w:p>
        </w:tc>
        <w:tc>
          <w:tcPr>
            <w:tcW w:w="1675" w:type="dxa"/>
            <w:shd w:val="clear" w:color="auto" w:fill="FFFFFF"/>
          </w:tcPr>
          <w:p w14:paraId="753B8D42" w14:textId="77777777" w:rsidR="008C76E0" w:rsidRPr="00BD7577" w:rsidRDefault="008C76E0" w:rsidP="004B393A">
            <w:pPr>
              <w:pStyle w:val="Bodytext180"/>
              <w:shd w:val="clear" w:color="auto" w:fill="auto"/>
              <w:spacing w:before="0" w:after="160" w:line="384"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7176E355" w14:textId="77777777" w:rsidTr="008C76E0">
        <w:trPr>
          <w:gridAfter w:val="1"/>
          <w:wAfter w:w="10" w:type="dxa"/>
          <w:jc w:val="center"/>
        </w:trPr>
        <w:tc>
          <w:tcPr>
            <w:tcW w:w="8501" w:type="dxa"/>
            <w:gridSpan w:val="2"/>
            <w:shd w:val="clear" w:color="auto" w:fill="FFFFFF"/>
            <w:vAlign w:val="bottom"/>
          </w:tcPr>
          <w:p w14:paraId="0DDDC20C" w14:textId="77777777" w:rsidR="008C76E0" w:rsidRPr="008C76E0" w:rsidRDefault="008C76E0" w:rsidP="004B393A">
            <w:pPr>
              <w:pStyle w:val="Bodytext180"/>
              <w:shd w:val="clear" w:color="auto" w:fill="auto"/>
              <w:tabs>
                <w:tab w:val="left" w:pos="1141"/>
                <w:tab w:val="left" w:pos="1412"/>
              </w:tabs>
              <w:spacing w:before="0" w:after="160" w:line="360" w:lineRule="auto"/>
              <w:ind w:left="164" w:right="210" w:hanging="28"/>
              <w:jc w:val="both"/>
              <w:rPr>
                <w:rFonts w:ascii="Sylfaen" w:hAnsi="Sylfaen"/>
                <w:b w:val="0"/>
                <w:i/>
                <w:sz w:val="24"/>
                <w:szCs w:val="24"/>
                <w:lang w:val="hy-AM"/>
              </w:rPr>
            </w:pPr>
            <w:r w:rsidRPr="00BD7577">
              <w:rPr>
                <w:rStyle w:val="Bodytext295pt"/>
                <w:rFonts w:ascii="Sylfaen" w:hAnsi="Sylfaen"/>
                <w:spacing w:val="0"/>
                <w:sz w:val="24"/>
                <w:szCs w:val="24"/>
              </w:rPr>
              <w:t>Ընդհանուր առմամբ, արդյո՞ք յուրաքանչյուր հարց համապատասխանում է ճիշտ պատասխանների 81 % չափանիշին:</w:t>
            </w:r>
          </w:p>
        </w:tc>
        <w:tc>
          <w:tcPr>
            <w:tcW w:w="1675" w:type="dxa"/>
            <w:shd w:val="clear" w:color="auto" w:fill="FFFFFF"/>
          </w:tcPr>
          <w:p w14:paraId="0F6A060D" w14:textId="77777777" w:rsidR="008C76E0" w:rsidRPr="00BD7577" w:rsidRDefault="008C76E0" w:rsidP="004B393A">
            <w:pPr>
              <w:pStyle w:val="Bodytext180"/>
              <w:shd w:val="clear" w:color="auto" w:fill="auto"/>
              <w:spacing w:before="0" w:after="160" w:line="384" w:lineRule="auto"/>
              <w:ind w:left="197" w:right="210"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478781A1" w14:textId="77777777" w:rsidTr="008C76E0">
        <w:trPr>
          <w:gridAfter w:val="1"/>
          <w:wAfter w:w="10" w:type="dxa"/>
          <w:jc w:val="center"/>
        </w:trPr>
        <w:tc>
          <w:tcPr>
            <w:tcW w:w="8501" w:type="dxa"/>
            <w:gridSpan w:val="2"/>
            <w:shd w:val="clear" w:color="auto" w:fill="FFFFFF"/>
            <w:vAlign w:val="bottom"/>
          </w:tcPr>
          <w:p w14:paraId="78FC2012" w14:textId="77777777" w:rsidR="008C76E0" w:rsidRPr="00BD7577" w:rsidRDefault="008C76E0" w:rsidP="004B393A">
            <w:pPr>
              <w:pStyle w:val="Bodytext180"/>
              <w:shd w:val="clear" w:color="auto" w:fill="auto"/>
              <w:tabs>
                <w:tab w:val="left" w:pos="1141"/>
                <w:tab w:val="left" w:pos="1412"/>
              </w:tabs>
              <w:spacing w:before="0" w:after="160" w:line="360" w:lineRule="auto"/>
              <w:ind w:left="164" w:right="210" w:hanging="28"/>
              <w:jc w:val="both"/>
              <w:rPr>
                <w:rStyle w:val="Bodytext295pt"/>
                <w:rFonts w:ascii="Sylfaen" w:hAnsi="Sylfaen"/>
                <w:i/>
                <w:spacing w:val="0"/>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1675" w:type="dxa"/>
            <w:shd w:val="clear" w:color="auto" w:fill="FFFFFF"/>
          </w:tcPr>
          <w:p w14:paraId="7B675DD4" w14:textId="77777777" w:rsidR="008C76E0" w:rsidRPr="00BD7577" w:rsidRDefault="008C76E0" w:rsidP="004B393A">
            <w:pPr>
              <w:pStyle w:val="Bodytext180"/>
              <w:shd w:val="clear" w:color="auto" w:fill="auto"/>
              <w:spacing w:before="0" w:after="160" w:line="384" w:lineRule="auto"/>
              <w:ind w:left="197" w:right="210" w:firstLine="12"/>
              <w:jc w:val="both"/>
              <w:rPr>
                <w:rStyle w:val="Bodytext295pt"/>
                <w:rFonts w:ascii="Sylfaen" w:hAnsi="Sylfaen"/>
                <w:i/>
                <w:spacing w:val="0"/>
                <w:sz w:val="24"/>
                <w:szCs w:val="24"/>
              </w:rPr>
            </w:pPr>
          </w:p>
        </w:tc>
      </w:tr>
      <w:tr w:rsidR="008C76E0" w:rsidRPr="00BD7577" w14:paraId="68D7F114" w14:textId="77777777" w:rsidTr="008C76E0">
        <w:trPr>
          <w:gridAfter w:val="1"/>
          <w:wAfter w:w="10" w:type="dxa"/>
          <w:jc w:val="center"/>
        </w:trPr>
        <w:tc>
          <w:tcPr>
            <w:tcW w:w="10176" w:type="dxa"/>
            <w:gridSpan w:val="3"/>
            <w:shd w:val="clear" w:color="auto" w:fill="FFFFFF"/>
          </w:tcPr>
          <w:p w14:paraId="3484E1D1" w14:textId="77777777" w:rsidR="008C76E0" w:rsidRPr="008C76E0" w:rsidRDefault="008C76E0" w:rsidP="004B393A">
            <w:pPr>
              <w:pStyle w:val="Bodytext180"/>
              <w:shd w:val="clear" w:color="auto" w:fill="auto"/>
              <w:tabs>
                <w:tab w:val="left" w:pos="1141"/>
                <w:tab w:val="left" w:pos="1412"/>
              </w:tabs>
              <w:spacing w:before="0" w:after="160" w:line="384" w:lineRule="auto"/>
              <w:ind w:left="24" w:right="210" w:firstLine="567"/>
              <w:jc w:val="both"/>
              <w:rPr>
                <w:rFonts w:ascii="Sylfaen" w:hAnsi="Sylfaen"/>
                <w:b w:val="0"/>
                <w:i/>
                <w:sz w:val="24"/>
                <w:szCs w:val="24"/>
                <w:lang w:val="hy-AM"/>
              </w:rPr>
            </w:pPr>
            <w:r w:rsidRPr="00BD7577">
              <w:rPr>
                <w:rStyle w:val="Bodytext295pt"/>
                <w:rFonts w:ascii="Sylfaen" w:hAnsi="Sylfaen"/>
                <w:spacing w:val="0"/>
                <w:sz w:val="24"/>
                <w:szCs w:val="24"/>
              </w:rPr>
              <w:t>4.2.</w:t>
            </w:r>
            <w:r w:rsidRPr="008C76E0">
              <w:rPr>
                <w:rFonts w:ascii="Sylfaen" w:hAnsi="Sylfaen"/>
                <w:i/>
                <w:sz w:val="24"/>
                <w:szCs w:val="24"/>
                <w:lang w:val="hy-AM"/>
              </w:rPr>
              <w:tab/>
            </w:r>
            <w:r w:rsidRPr="00BD7577">
              <w:rPr>
                <w:rStyle w:val="Bodytext295pt"/>
                <w:rFonts w:ascii="Sylfaen" w:hAnsi="Sylfaen"/>
                <w:spacing w:val="0"/>
                <w:sz w:val="24"/>
                <w:szCs w:val="24"/>
              </w:rPr>
              <w:t xml:space="preserve">Մանրակերտի </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 բովանդակային պլանի գնահատումը</w:t>
            </w:r>
          </w:p>
        </w:tc>
      </w:tr>
      <w:tr w:rsidR="008C76E0" w:rsidRPr="00BD7577" w14:paraId="517D94AC" w14:textId="77777777" w:rsidTr="008C76E0">
        <w:trPr>
          <w:gridAfter w:val="1"/>
          <w:wAfter w:w="10" w:type="dxa"/>
          <w:trHeight w:val="1050"/>
          <w:jc w:val="center"/>
        </w:trPr>
        <w:tc>
          <w:tcPr>
            <w:tcW w:w="8501" w:type="dxa"/>
            <w:gridSpan w:val="2"/>
            <w:vMerge w:val="restart"/>
            <w:shd w:val="clear" w:color="auto" w:fill="FFFFFF"/>
            <w:vAlign w:val="center"/>
          </w:tcPr>
          <w:p w14:paraId="3F488A85" w14:textId="77777777" w:rsidR="008C76E0" w:rsidRPr="008C76E0" w:rsidRDefault="008C76E0" w:rsidP="004B393A">
            <w:pPr>
              <w:pStyle w:val="Bodytext180"/>
              <w:shd w:val="clear" w:color="auto" w:fill="auto"/>
              <w:tabs>
                <w:tab w:val="left" w:pos="1141"/>
                <w:tab w:val="left" w:pos="1412"/>
              </w:tabs>
              <w:spacing w:before="0" w:after="160" w:line="384" w:lineRule="auto"/>
              <w:ind w:left="150" w:right="210" w:firstLine="0"/>
              <w:jc w:val="both"/>
              <w:rPr>
                <w:rFonts w:ascii="Sylfaen" w:hAnsi="Sylfaen"/>
                <w:b w:val="0"/>
                <w:sz w:val="24"/>
                <w:szCs w:val="24"/>
                <w:lang w:val="hy-AM"/>
              </w:rPr>
            </w:pPr>
            <w:r w:rsidRPr="00BD7577">
              <w:rPr>
                <w:rStyle w:val="Bodytext295pt"/>
                <w:rFonts w:ascii="Sylfaen" w:hAnsi="Sylfaen"/>
                <w:spacing w:val="0"/>
                <w:sz w:val="24"/>
                <w:szCs w:val="24"/>
              </w:rPr>
              <w:t>Արդյո՞ք պահպանվել են Դեղապատրաստուկների բժշկական կիրառման հրահանգին և բժշկական կիրառման դեղապատրաստուկների ընդհանուր բնութագրին ներկայացվող պահանջների հավելվածի բովանդակային պլանի ընդհանուր սկզբունքները։</w:t>
            </w:r>
          </w:p>
          <w:p w14:paraId="5CF6ECA0" w14:textId="77777777" w:rsidR="008C76E0" w:rsidRPr="008C76E0" w:rsidRDefault="008C76E0" w:rsidP="004B393A">
            <w:pPr>
              <w:pStyle w:val="Bodytext180"/>
              <w:shd w:val="clear" w:color="auto" w:fill="auto"/>
              <w:tabs>
                <w:tab w:val="left" w:pos="1141"/>
                <w:tab w:val="left" w:pos="1412"/>
              </w:tabs>
              <w:spacing w:before="0" w:after="160" w:line="384" w:lineRule="auto"/>
              <w:ind w:left="192" w:right="210" w:hanging="24"/>
              <w:jc w:val="both"/>
              <w:rPr>
                <w:rFonts w:ascii="Sylfaen" w:hAnsi="Sylfaen"/>
                <w:b w:val="0"/>
                <w:sz w:val="24"/>
                <w:szCs w:val="24"/>
                <w:lang w:val="hy-AM"/>
              </w:rPr>
            </w:pPr>
            <w:r w:rsidRPr="00BD7577">
              <w:rPr>
                <w:rStyle w:val="Bodytext295pt"/>
                <w:rFonts w:ascii="Sylfaen" w:hAnsi="Sylfaen"/>
                <w:spacing w:val="0"/>
                <w:sz w:val="24"/>
                <w:szCs w:val="24"/>
              </w:rPr>
              <w:t xml:space="preserve">Արդյո՞ք տեքստը շարադրված է պացիենտների համար հասկանալի </w:t>
            </w:r>
            <w:r w:rsidRPr="00BD7577">
              <w:rPr>
                <w:rStyle w:val="Bodytext295pt"/>
                <w:rFonts w:ascii="Sylfaen" w:hAnsi="Sylfaen"/>
                <w:spacing w:val="0"/>
                <w:sz w:val="24"/>
                <w:szCs w:val="24"/>
              </w:rPr>
              <w:lastRenderedPageBreak/>
              <w:t>լեզվով:</w:t>
            </w:r>
          </w:p>
        </w:tc>
        <w:tc>
          <w:tcPr>
            <w:tcW w:w="1675" w:type="dxa"/>
            <w:shd w:val="clear" w:color="auto" w:fill="FFFFFF"/>
            <w:vAlign w:val="bottom"/>
          </w:tcPr>
          <w:p w14:paraId="07E0ADF0" w14:textId="77777777" w:rsidR="008C76E0" w:rsidRPr="00BD7577" w:rsidRDefault="008C76E0" w:rsidP="004B393A">
            <w:pPr>
              <w:pStyle w:val="Bodytext180"/>
              <w:shd w:val="clear" w:color="auto" w:fill="auto"/>
              <w:spacing w:before="0" w:after="160" w:line="384" w:lineRule="auto"/>
              <w:ind w:left="197" w:right="124" w:firstLine="12"/>
              <w:jc w:val="both"/>
              <w:rPr>
                <w:rFonts w:ascii="Sylfaen" w:hAnsi="Sylfaen"/>
                <w:b w:val="0"/>
                <w:sz w:val="24"/>
                <w:szCs w:val="24"/>
              </w:rPr>
            </w:pPr>
            <w:r w:rsidRPr="00BD7577">
              <w:rPr>
                <w:rFonts w:ascii="Sylfaen" w:hAnsi="Sylfaen"/>
                <w:sz w:val="24"/>
                <w:szCs w:val="24"/>
              </w:rPr>
              <w:lastRenderedPageBreak/>
              <w:t xml:space="preserve">□ </w:t>
            </w:r>
            <w:r w:rsidRPr="00BD7577">
              <w:rPr>
                <w:rStyle w:val="Bodytext295pt"/>
                <w:rFonts w:ascii="Sylfaen" w:hAnsi="Sylfaen"/>
                <w:spacing w:val="0"/>
                <w:sz w:val="24"/>
                <w:szCs w:val="24"/>
              </w:rPr>
              <w:t>այո □ ոչ</w:t>
            </w:r>
          </w:p>
        </w:tc>
      </w:tr>
      <w:tr w:rsidR="008C76E0" w:rsidRPr="00BD7577" w14:paraId="6646BBF2" w14:textId="77777777" w:rsidTr="008C76E0">
        <w:trPr>
          <w:gridAfter w:val="1"/>
          <w:wAfter w:w="10" w:type="dxa"/>
          <w:trHeight w:val="450"/>
          <w:jc w:val="center"/>
        </w:trPr>
        <w:tc>
          <w:tcPr>
            <w:tcW w:w="8501" w:type="dxa"/>
            <w:gridSpan w:val="2"/>
            <w:vMerge/>
            <w:shd w:val="clear" w:color="auto" w:fill="FFFFFF"/>
            <w:vAlign w:val="center"/>
          </w:tcPr>
          <w:p w14:paraId="59BD6512" w14:textId="77777777" w:rsidR="008C76E0" w:rsidRPr="00BD7577" w:rsidRDefault="008C76E0" w:rsidP="004B393A">
            <w:pPr>
              <w:pStyle w:val="Bodytext180"/>
              <w:shd w:val="clear" w:color="auto" w:fill="auto"/>
              <w:tabs>
                <w:tab w:val="left" w:pos="1412"/>
              </w:tabs>
              <w:spacing w:before="0" w:after="160" w:line="384" w:lineRule="auto"/>
              <w:ind w:left="24" w:right="208" w:firstLine="567"/>
              <w:jc w:val="both"/>
              <w:rPr>
                <w:rStyle w:val="Bodytext295pt"/>
                <w:rFonts w:ascii="Sylfaen" w:hAnsi="Sylfaen"/>
                <w:i/>
                <w:spacing w:val="0"/>
                <w:sz w:val="24"/>
                <w:szCs w:val="24"/>
              </w:rPr>
            </w:pPr>
          </w:p>
        </w:tc>
        <w:tc>
          <w:tcPr>
            <w:tcW w:w="1675" w:type="dxa"/>
            <w:shd w:val="clear" w:color="auto" w:fill="FFFFFF"/>
          </w:tcPr>
          <w:p w14:paraId="51DB5488" w14:textId="77777777" w:rsidR="008C76E0" w:rsidRPr="00BD7577" w:rsidRDefault="008C76E0" w:rsidP="004B393A">
            <w:pPr>
              <w:pStyle w:val="Bodytext180"/>
              <w:spacing w:before="0" w:after="160" w:line="384" w:lineRule="auto"/>
              <w:ind w:left="197" w:right="124" w:firstLine="12"/>
              <w:jc w:val="both"/>
              <w:rPr>
                <w:rFonts w:ascii="Sylfaen" w:hAnsi="Sylfaen"/>
                <w:b w:val="0"/>
                <w:bCs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tc>
      </w:tr>
      <w:tr w:rsidR="008C76E0" w:rsidRPr="00BD7577" w14:paraId="1EC766E9" w14:textId="77777777" w:rsidTr="008C76E0">
        <w:trPr>
          <w:gridAfter w:val="1"/>
          <w:wAfter w:w="10" w:type="dxa"/>
          <w:jc w:val="center"/>
        </w:trPr>
        <w:tc>
          <w:tcPr>
            <w:tcW w:w="8501" w:type="dxa"/>
            <w:gridSpan w:val="2"/>
            <w:shd w:val="clear" w:color="auto" w:fill="FFFFFF"/>
          </w:tcPr>
          <w:p w14:paraId="42A52B40" w14:textId="77777777" w:rsidR="008C76E0" w:rsidRPr="008C76E0" w:rsidRDefault="008C76E0" w:rsidP="004B393A">
            <w:pPr>
              <w:pStyle w:val="Bodytext180"/>
              <w:shd w:val="clear" w:color="auto" w:fill="auto"/>
              <w:tabs>
                <w:tab w:val="left" w:pos="1412"/>
              </w:tabs>
              <w:spacing w:before="0" w:after="160" w:line="384" w:lineRule="auto"/>
              <w:ind w:left="192" w:right="208" w:hanging="24"/>
              <w:jc w:val="both"/>
              <w:rPr>
                <w:rFonts w:ascii="Sylfaen" w:hAnsi="Sylfaen"/>
                <w:b w:val="0"/>
                <w:i/>
                <w:sz w:val="24"/>
                <w:szCs w:val="24"/>
                <w:lang w:val="hy-AM"/>
              </w:rPr>
            </w:pPr>
            <w:r w:rsidRPr="00BD7577">
              <w:rPr>
                <w:rStyle w:val="Bodytext295pt"/>
                <w:rFonts w:ascii="Sylfaen" w:hAnsi="Sylfaen"/>
                <w:spacing w:val="0"/>
                <w:sz w:val="24"/>
                <w:szCs w:val="24"/>
              </w:rPr>
              <w:t>Արդյո՞ք հեշտ է մանրակերտի օգնությամբ կողմնորոշվելը:</w:t>
            </w:r>
          </w:p>
        </w:tc>
        <w:tc>
          <w:tcPr>
            <w:tcW w:w="1675" w:type="dxa"/>
            <w:shd w:val="clear" w:color="auto" w:fill="FFFFFF"/>
          </w:tcPr>
          <w:p w14:paraId="55790526" w14:textId="77777777" w:rsidR="008C76E0" w:rsidRPr="00BD7577" w:rsidRDefault="008C76E0" w:rsidP="004B393A">
            <w:pPr>
              <w:pStyle w:val="Bodytext180"/>
              <w:shd w:val="clear" w:color="auto" w:fill="auto"/>
              <w:spacing w:before="0" w:after="160" w:line="384"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0C48DE9B" w14:textId="77777777" w:rsidTr="008C76E0">
        <w:trPr>
          <w:gridAfter w:val="1"/>
          <w:wAfter w:w="10" w:type="dxa"/>
          <w:jc w:val="center"/>
        </w:trPr>
        <w:tc>
          <w:tcPr>
            <w:tcW w:w="8501" w:type="dxa"/>
            <w:gridSpan w:val="2"/>
            <w:shd w:val="clear" w:color="auto" w:fill="FFFFFF"/>
          </w:tcPr>
          <w:p w14:paraId="62C3C5E5" w14:textId="77777777" w:rsidR="008C76E0" w:rsidRPr="008C76E0" w:rsidRDefault="008C76E0" w:rsidP="004B393A">
            <w:pPr>
              <w:pStyle w:val="Bodytext180"/>
              <w:shd w:val="clear" w:color="auto" w:fill="auto"/>
              <w:tabs>
                <w:tab w:val="left" w:pos="1412"/>
              </w:tabs>
              <w:spacing w:before="0" w:after="160" w:line="384" w:lineRule="auto"/>
              <w:ind w:left="192" w:right="208" w:hanging="24"/>
              <w:jc w:val="both"/>
              <w:rPr>
                <w:rFonts w:ascii="Sylfaen" w:hAnsi="Sylfaen"/>
                <w:b w:val="0"/>
                <w:i/>
                <w:sz w:val="24"/>
                <w:szCs w:val="24"/>
                <w:lang w:val="hy-AM"/>
              </w:rPr>
            </w:pPr>
            <w:r w:rsidRPr="00BD7577">
              <w:rPr>
                <w:rStyle w:val="Bodytext295pt"/>
                <w:rFonts w:ascii="Sylfaen" w:hAnsi="Sylfaen"/>
                <w:spacing w:val="0"/>
                <w:sz w:val="24"/>
                <w:szCs w:val="24"/>
              </w:rPr>
              <w:t>Արդյո՞ք սխեմաների կիրառումն ընդունելի է:</w:t>
            </w:r>
          </w:p>
        </w:tc>
        <w:tc>
          <w:tcPr>
            <w:tcW w:w="1675" w:type="dxa"/>
            <w:shd w:val="clear" w:color="auto" w:fill="FFFFFF"/>
          </w:tcPr>
          <w:p w14:paraId="0B8BC673" w14:textId="77777777" w:rsidR="008C76E0" w:rsidRPr="00BD7577" w:rsidRDefault="008C76E0" w:rsidP="004B393A">
            <w:pPr>
              <w:pStyle w:val="Bodytext180"/>
              <w:shd w:val="clear" w:color="auto" w:fill="auto"/>
              <w:spacing w:before="0" w:after="160" w:line="384" w:lineRule="auto"/>
              <w:ind w:left="197" w:right="124" w:firstLine="12"/>
              <w:jc w:val="both"/>
              <w:rPr>
                <w:rFonts w:ascii="Sylfaen" w:hAnsi="Sylfaen"/>
                <w:b w:val="0"/>
                <w:i/>
                <w:sz w:val="24"/>
                <w:szCs w:val="24"/>
              </w:rPr>
            </w:pPr>
            <w:r w:rsidRPr="00BD7577">
              <w:rPr>
                <w:rStyle w:val="Bodytext295pt"/>
                <w:rFonts w:ascii="Sylfaen" w:hAnsi="Sylfaen"/>
                <w:spacing w:val="0"/>
                <w:sz w:val="24"/>
                <w:szCs w:val="24"/>
              </w:rPr>
              <w:t>□ այո □ ոչ</w:t>
            </w:r>
          </w:p>
        </w:tc>
      </w:tr>
      <w:tr w:rsidR="008C76E0" w:rsidRPr="00BD7577" w14:paraId="5FD5B3F0" w14:textId="77777777" w:rsidTr="008C76E0">
        <w:trPr>
          <w:gridAfter w:val="1"/>
          <w:wAfter w:w="10" w:type="dxa"/>
          <w:jc w:val="center"/>
        </w:trPr>
        <w:tc>
          <w:tcPr>
            <w:tcW w:w="10176" w:type="dxa"/>
            <w:gridSpan w:val="3"/>
            <w:shd w:val="clear" w:color="auto" w:fill="FFFFFF"/>
            <w:vAlign w:val="bottom"/>
          </w:tcPr>
          <w:p w14:paraId="629095F5" w14:textId="77777777" w:rsidR="008C76E0" w:rsidRPr="00BD7577" w:rsidRDefault="008C76E0" w:rsidP="004B393A">
            <w:pPr>
              <w:pStyle w:val="Bodytext180"/>
              <w:shd w:val="clear" w:color="auto" w:fill="auto"/>
              <w:tabs>
                <w:tab w:val="left" w:pos="1412"/>
              </w:tabs>
              <w:spacing w:before="0" w:after="160" w:line="384" w:lineRule="auto"/>
              <w:ind w:left="192" w:right="208" w:hanging="24"/>
              <w:jc w:val="both"/>
              <w:rPr>
                <w:rFonts w:ascii="Sylfaen" w:hAnsi="Sylfaen"/>
                <w:b w:val="0"/>
                <w:i/>
                <w:sz w:val="24"/>
                <w:szCs w:val="24"/>
              </w:rPr>
            </w:pPr>
            <w:r w:rsidRPr="00BD7577">
              <w:rPr>
                <w:rStyle w:val="Bodytext295pt"/>
                <w:rFonts w:ascii="Sylfaen" w:hAnsi="Sylfaen"/>
                <w:spacing w:val="0"/>
                <w:sz w:val="24"/>
                <w:szCs w:val="24"/>
              </w:rPr>
              <w:t>Մեկնաբանություններ (լրացուցիչ տեղեկատվություն)</w:t>
            </w:r>
          </w:p>
        </w:tc>
      </w:tr>
      <w:tr w:rsidR="008C76E0" w:rsidRPr="00BD7577" w14:paraId="50C53C68" w14:textId="77777777" w:rsidTr="008C76E0">
        <w:trPr>
          <w:gridAfter w:val="1"/>
          <w:wAfter w:w="10" w:type="dxa"/>
          <w:jc w:val="center"/>
        </w:trPr>
        <w:tc>
          <w:tcPr>
            <w:tcW w:w="10176" w:type="dxa"/>
            <w:gridSpan w:val="3"/>
            <w:shd w:val="clear" w:color="auto" w:fill="FFFFFF"/>
            <w:vAlign w:val="center"/>
          </w:tcPr>
          <w:p w14:paraId="2464F985" w14:textId="77777777" w:rsidR="008C76E0" w:rsidRPr="00BD7577" w:rsidRDefault="008C76E0" w:rsidP="008C76E0">
            <w:pPr>
              <w:pStyle w:val="Bodytext180"/>
              <w:shd w:val="clear" w:color="auto" w:fill="auto"/>
              <w:tabs>
                <w:tab w:val="left" w:pos="1412"/>
              </w:tabs>
              <w:spacing w:before="0" w:after="160" w:line="360" w:lineRule="auto"/>
              <w:ind w:left="24" w:right="208" w:firstLine="567"/>
              <w:jc w:val="center"/>
              <w:rPr>
                <w:rFonts w:ascii="Sylfaen" w:hAnsi="Sylfaen"/>
                <w:b w:val="0"/>
                <w:i/>
                <w:sz w:val="24"/>
                <w:szCs w:val="24"/>
              </w:rPr>
            </w:pPr>
            <w:r w:rsidRPr="00BD7577">
              <w:rPr>
                <w:rStyle w:val="Bodytext295pt"/>
                <w:rFonts w:ascii="Sylfaen" w:hAnsi="Sylfaen"/>
                <w:spacing w:val="0"/>
                <w:sz w:val="24"/>
                <w:szCs w:val="24"/>
              </w:rPr>
              <w:t>5. Ախտորոշման (գնահատման) որակը</w:t>
            </w:r>
          </w:p>
        </w:tc>
      </w:tr>
      <w:tr w:rsidR="008C76E0" w:rsidRPr="00BD7577" w14:paraId="621615B6" w14:textId="77777777" w:rsidTr="008C76E0">
        <w:trPr>
          <w:gridAfter w:val="1"/>
          <w:wAfter w:w="10" w:type="dxa"/>
          <w:jc w:val="center"/>
        </w:trPr>
        <w:tc>
          <w:tcPr>
            <w:tcW w:w="6885" w:type="dxa"/>
            <w:shd w:val="clear" w:color="auto" w:fill="FFFFFF"/>
            <w:vAlign w:val="center"/>
          </w:tcPr>
          <w:p w14:paraId="39AB3A7F" w14:textId="77777777" w:rsidR="008C76E0" w:rsidRPr="00BD7577" w:rsidRDefault="008C76E0" w:rsidP="008C76E0">
            <w:pPr>
              <w:pStyle w:val="Bodytext180"/>
              <w:shd w:val="clear" w:color="auto" w:fill="auto"/>
              <w:tabs>
                <w:tab w:val="left" w:pos="1412"/>
              </w:tabs>
              <w:spacing w:before="0" w:after="160" w:line="360" w:lineRule="auto"/>
              <w:ind w:left="206" w:right="208" w:hanging="24"/>
              <w:jc w:val="both"/>
              <w:rPr>
                <w:rStyle w:val="Bodytext295pt"/>
                <w:rFonts w:ascii="Sylfaen" w:hAnsi="Sylfaen"/>
                <w:i/>
                <w:spacing w:val="0"/>
                <w:sz w:val="24"/>
                <w:szCs w:val="24"/>
              </w:rPr>
            </w:pPr>
            <w:r w:rsidRPr="00BD7577">
              <w:rPr>
                <w:rStyle w:val="Bodytext295pt"/>
                <w:rFonts w:ascii="Sylfaen" w:hAnsi="Sylfaen"/>
                <w:spacing w:val="0"/>
                <w:sz w:val="24"/>
                <w:szCs w:val="24"/>
              </w:rPr>
              <w:t>Արդյո՞ք ՆԹ-ում հայտնաբերվել է որ</w:t>
            </w:r>
            <w:r w:rsidR="00C54D75">
              <w:rPr>
                <w:rStyle w:val="Bodytext295pt"/>
                <w:rFonts w:ascii="Sylfaen" w:hAnsi="Sylfaen"/>
                <w:spacing w:val="0"/>
                <w:sz w:val="24"/>
                <w:szCs w:val="24"/>
              </w:rPr>
              <w:t>և</w:t>
            </w:r>
            <w:r w:rsidRPr="00BD7577">
              <w:rPr>
                <w:rStyle w:val="Bodytext295pt"/>
                <w:rFonts w:ascii="Sylfaen" w:hAnsi="Sylfaen"/>
                <w:spacing w:val="0"/>
                <w:sz w:val="24"/>
                <w:szCs w:val="24"/>
              </w:rPr>
              <w:t xml:space="preserve">է թույլ կողմ: </w:t>
            </w:r>
          </w:p>
          <w:p w14:paraId="78EFF65F" w14:textId="77777777" w:rsidR="008C76E0" w:rsidRPr="008C76E0" w:rsidRDefault="008C76E0" w:rsidP="008C76E0">
            <w:pPr>
              <w:pStyle w:val="Bodytext180"/>
              <w:shd w:val="clear" w:color="auto" w:fill="auto"/>
              <w:tabs>
                <w:tab w:val="left" w:pos="1412"/>
              </w:tabs>
              <w:spacing w:before="0" w:after="160" w:line="360" w:lineRule="auto"/>
              <w:ind w:left="206" w:right="208" w:hanging="24"/>
              <w:jc w:val="both"/>
              <w:rPr>
                <w:rFonts w:ascii="Sylfaen" w:hAnsi="Sylfaen"/>
                <w:b w:val="0"/>
                <w:sz w:val="24"/>
                <w:szCs w:val="24"/>
                <w:lang w:val="hy-AM"/>
              </w:rPr>
            </w:pPr>
            <w:r w:rsidRPr="00BD7577">
              <w:rPr>
                <w:rStyle w:val="Bodytext295pt"/>
                <w:rFonts w:ascii="Sylfaen" w:hAnsi="Sylfaen"/>
                <w:spacing w:val="0"/>
                <w:sz w:val="24"/>
                <w:szCs w:val="24"/>
              </w:rPr>
              <w:t>Արդյո՞ք թույլ կողմերը պատշաճ ձ</w:t>
            </w:r>
            <w:r w:rsidR="00C54D75">
              <w:rPr>
                <w:rStyle w:val="Bodytext295pt"/>
                <w:rFonts w:ascii="Sylfaen" w:hAnsi="Sylfaen"/>
                <w:spacing w:val="0"/>
                <w:sz w:val="24"/>
                <w:szCs w:val="24"/>
              </w:rPr>
              <w:t>և</w:t>
            </w:r>
            <w:r w:rsidRPr="00BD7577">
              <w:rPr>
                <w:rStyle w:val="Bodytext295pt"/>
                <w:rFonts w:ascii="Sylfaen" w:hAnsi="Sylfaen"/>
                <w:spacing w:val="0"/>
                <w:sz w:val="24"/>
                <w:szCs w:val="24"/>
              </w:rPr>
              <w:t>ով վերացվել են:</w:t>
            </w:r>
          </w:p>
        </w:tc>
        <w:tc>
          <w:tcPr>
            <w:tcW w:w="3291" w:type="dxa"/>
            <w:gridSpan w:val="2"/>
            <w:shd w:val="clear" w:color="auto" w:fill="FFFFFF"/>
            <w:vAlign w:val="center"/>
          </w:tcPr>
          <w:p w14:paraId="28CB8B5B" w14:textId="77777777" w:rsidR="008C76E0" w:rsidRPr="00BD7577"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p w14:paraId="23ADEAD1" w14:textId="77777777" w:rsidR="008C76E0" w:rsidRPr="00BD7577"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rPr>
            </w:pPr>
            <w:r w:rsidRPr="00BD7577">
              <w:rPr>
                <w:rFonts w:ascii="Sylfaen" w:hAnsi="Sylfaen"/>
                <w:sz w:val="24"/>
                <w:szCs w:val="24"/>
              </w:rPr>
              <w:t xml:space="preserve">□ </w:t>
            </w:r>
            <w:r w:rsidRPr="00BD7577">
              <w:rPr>
                <w:rStyle w:val="Bodytext295pt"/>
                <w:rFonts w:ascii="Sylfaen" w:hAnsi="Sylfaen"/>
                <w:spacing w:val="0"/>
                <w:sz w:val="24"/>
                <w:szCs w:val="24"/>
              </w:rPr>
              <w:t>այո □ ոչ</w:t>
            </w:r>
          </w:p>
        </w:tc>
      </w:tr>
      <w:tr w:rsidR="008C76E0" w:rsidRPr="00BD7577" w14:paraId="5A38AF57" w14:textId="77777777" w:rsidTr="008C76E0">
        <w:trPr>
          <w:gridAfter w:val="1"/>
          <w:wAfter w:w="10" w:type="dxa"/>
          <w:jc w:val="center"/>
        </w:trPr>
        <w:tc>
          <w:tcPr>
            <w:tcW w:w="6885" w:type="dxa"/>
            <w:shd w:val="clear" w:color="auto" w:fill="FFFFFF"/>
            <w:vAlign w:val="bottom"/>
          </w:tcPr>
          <w:p w14:paraId="044BD364" w14:textId="77777777" w:rsidR="008C76E0" w:rsidRPr="00BD7577" w:rsidRDefault="008C76E0" w:rsidP="008C76E0">
            <w:pPr>
              <w:pStyle w:val="Bodytext180"/>
              <w:shd w:val="clear" w:color="auto" w:fill="auto"/>
              <w:tabs>
                <w:tab w:val="left" w:pos="1412"/>
              </w:tabs>
              <w:spacing w:before="0" w:after="160" w:line="360" w:lineRule="auto"/>
              <w:ind w:left="206" w:right="208" w:hanging="24"/>
              <w:jc w:val="both"/>
              <w:rPr>
                <w:rFonts w:ascii="Sylfaen" w:hAnsi="Sylfaen"/>
                <w:b w:val="0"/>
                <w:sz w:val="24"/>
                <w:szCs w:val="24"/>
              </w:rPr>
            </w:pPr>
            <w:r w:rsidRPr="00BD7577">
              <w:rPr>
                <w:rStyle w:val="Bodytext295pt"/>
                <w:rFonts w:ascii="Sylfaen" w:hAnsi="Sylfaen"/>
                <w:spacing w:val="0"/>
                <w:sz w:val="24"/>
                <w:szCs w:val="24"/>
              </w:rPr>
              <w:t>Մեկնաբանություններ (լրացուցիչ տեղեկատվություն)</w:t>
            </w:r>
          </w:p>
        </w:tc>
        <w:tc>
          <w:tcPr>
            <w:tcW w:w="3291" w:type="dxa"/>
            <w:gridSpan w:val="2"/>
            <w:shd w:val="clear" w:color="auto" w:fill="FFFFFF"/>
          </w:tcPr>
          <w:p w14:paraId="6BF968DC" w14:textId="77777777" w:rsidR="008C76E0" w:rsidRPr="00BD7577" w:rsidRDefault="008C76E0" w:rsidP="008C76E0">
            <w:pPr>
              <w:tabs>
                <w:tab w:val="left" w:pos="1412"/>
              </w:tabs>
              <w:ind w:left="24" w:right="208" w:firstLine="567"/>
              <w:jc w:val="both"/>
              <w:rPr>
                <w:rFonts w:ascii="Sylfaen" w:hAnsi="Sylfaen"/>
                <w:sz w:val="24"/>
                <w:szCs w:val="24"/>
              </w:rPr>
            </w:pPr>
          </w:p>
        </w:tc>
      </w:tr>
      <w:tr w:rsidR="008C76E0" w:rsidRPr="00BD7577" w14:paraId="0C813E5D" w14:textId="77777777" w:rsidTr="008C76E0">
        <w:trPr>
          <w:gridAfter w:val="1"/>
          <w:wAfter w:w="10" w:type="dxa"/>
          <w:jc w:val="center"/>
        </w:trPr>
        <w:tc>
          <w:tcPr>
            <w:tcW w:w="10176" w:type="dxa"/>
            <w:gridSpan w:val="3"/>
            <w:shd w:val="clear" w:color="auto" w:fill="FFFFFF"/>
            <w:vAlign w:val="center"/>
          </w:tcPr>
          <w:p w14:paraId="4BAB7A57" w14:textId="77777777" w:rsidR="008C76E0" w:rsidRPr="002754BD" w:rsidRDefault="008C76E0" w:rsidP="008C76E0">
            <w:pPr>
              <w:tabs>
                <w:tab w:val="left" w:pos="1412"/>
              </w:tabs>
              <w:ind w:left="24" w:right="208" w:firstLine="567"/>
              <w:jc w:val="center"/>
              <w:rPr>
                <w:rFonts w:ascii="Sylfaen" w:hAnsi="Sylfaen"/>
                <w:b/>
                <w:i/>
                <w:sz w:val="24"/>
                <w:szCs w:val="24"/>
              </w:rPr>
            </w:pPr>
            <w:r w:rsidRPr="002754BD">
              <w:rPr>
                <w:rStyle w:val="Bodytext295pt"/>
                <w:rFonts w:ascii="Sylfaen" w:eastAsia="MS Mincho" w:hAnsi="Sylfaen"/>
                <w:b w:val="0"/>
                <w:spacing w:val="0"/>
                <w:sz w:val="24"/>
                <w:szCs w:val="24"/>
              </w:rPr>
              <w:t>6.Եզրակացությունը</w:t>
            </w:r>
          </w:p>
        </w:tc>
      </w:tr>
      <w:tr w:rsidR="008C76E0" w:rsidRPr="00BD7577" w14:paraId="3EE37C90" w14:textId="77777777" w:rsidTr="008C76E0">
        <w:trPr>
          <w:gridAfter w:val="1"/>
          <w:wAfter w:w="10" w:type="dxa"/>
          <w:jc w:val="center"/>
        </w:trPr>
        <w:tc>
          <w:tcPr>
            <w:tcW w:w="6885" w:type="dxa"/>
            <w:shd w:val="clear" w:color="auto" w:fill="FFFFFF"/>
            <w:vAlign w:val="bottom"/>
          </w:tcPr>
          <w:p w14:paraId="554238B2" w14:textId="77777777" w:rsidR="008C76E0" w:rsidRPr="008C76E0" w:rsidRDefault="008C76E0" w:rsidP="008C76E0">
            <w:pPr>
              <w:pStyle w:val="Bodytext180"/>
              <w:shd w:val="clear" w:color="auto" w:fill="auto"/>
              <w:tabs>
                <w:tab w:val="left" w:pos="1412"/>
              </w:tabs>
              <w:spacing w:before="0" w:after="160" w:line="360" w:lineRule="auto"/>
              <w:ind w:left="192" w:right="208" w:firstLine="0"/>
              <w:jc w:val="both"/>
              <w:rPr>
                <w:rFonts w:ascii="Sylfaen" w:hAnsi="Sylfaen"/>
                <w:b w:val="0"/>
                <w:sz w:val="24"/>
                <w:szCs w:val="24"/>
                <w:lang w:val="hy-AM"/>
              </w:rPr>
            </w:pPr>
            <w:r w:rsidRPr="00BD7577">
              <w:rPr>
                <w:rStyle w:val="Bodytext295pt"/>
                <w:rFonts w:ascii="Sylfaen" w:hAnsi="Sylfaen"/>
                <w:spacing w:val="0"/>
                <w:sz w:val="24"/>
                <w:szCs w:val="24"/>
              </w:rPr>
              <w:t>Արդյո՞ք կատարվել են օգտագործողների թեստավորման գլխավոր խնդիրները։</w:t>
            </w:r>
          </w:p>
          <w:p w14:paraId="6885E65E" w14:textId="77777777" w:rsidR="008C76E0" w:rsidRPr="008C76E0" w:rsidRDefault="008C76E0" w:rsidP="008C76E0">
            <w:pPr>
              <w:pStyle w:val="Bodytext180"/>
              <w:shd w:val="clear" w:color="auto" w:fill="auto"/>
              <w:tabs>
                <w:tab w:val="left" w:pos="1412"/>
              </w:tabs>
              <w:spacing w:before="0" w:after="160" w:line="360" w:lineRule="auto"/>
              <w:ind w:left="192" w:right="208" w:firstLine="0"/>
              <w:jc w:val="both"/>
              <w:rPr>
                <w:rFonts w:ascii="Sylfaen" w:hAnsi="Sylfaen"/>
                <w:b w:val="0"/>
                <w:sz w:val="24"/>
                <w:szCs w:val="24"/>
                <w:lang w:val="hy-AM"/>
              </w:rPr>
            </w:pPr>
            <w:r w:rsidRPr="00BD7577">
              <w:rPr>
                <w:rStyle w:val="Bodytext295pt"/>
                <w:rFonts w:ascii="Sylfaen" w:hAnsi="Sylfaen"/>
                <w:spacing w:val="0"/>
                <w:sz w:val="24"/>
                <w:szCs w:val="24"/>
              </w:rPr>
              <w:t>Արդյո՞ք հայտատուի եզրակացությունը ճիշտ է։</w:t>
            </w:r>
          </w:p>
          <w:p w14:paraId="73E39EF4" w14:textId="77777777" w:rsidR="008C76E0" w:rsidRPr="008C76E0" w:rsidRDefault="008C76E0" w:rsidP="008C76E0">
            <w:pPr>
              <w:pStyle w:val="Bodytext180"/>
              <w:shd w:val="clear" w:color="auto" w:fill="auto"/>
              <w:tabs>
                <w:tab w:val="left" w:pos="1412"/>
              </w:tabs>
              <w:spacing w:before="0" w:after="160" w:line="360" w:lineRule="auto"/>
              <w:ind w:left="192" w:right="208" w:firstLine="0"/>
              <w:jc w:val="both"/>
              <w:rPr>
                <w:rFonts w:ascii="Sylfaen" w:hAnsi="Sylfaen"/>
                <w:b w:val="0"/>
                <w:sz w:val="24"/>
                <w:szCs w:val="24"/>
                <w:lang w:val="hy-AM"/>
              </w:rPr>
            </w:pPr>
            <w:r w:rsidRPr="00BD7577">
              <w:rPr>
                <w:rStyle w:val="Bodytext295pt"/>
                <w:rFonts w:ascii="Sylfaen" w:hAnsi="Sylfaen"/>
                <w:spacing w:val="0"/>
                <w:sz w:val="24"/>
                <w:szCs w:val="24"/>
              </w:rPr>
              <w:t>Մեթոդաբանության վերաբերյալ ընդհանուր տպավորությունը:</w:t>
            </w:r>
          </w:p>
          <w:p w14:paraId="7E55EBAD" w14:textId="77777777" w:rsidR="008C76E0" w:rsidRPr="008C76E0" w:rsidRDefault="008C76E0" w:rsidP="008C76E0">
            <w:pPr>
              <w:pStyle w:val="Bodytext180"/>
              <w:shd w:val="clear" w:color="auto" w:fill="auto"/>
              <w:tabs>
                <w:tab w:val="left" w:pos="1412"/>
              </w:tabs>
              <w:spacing w:before="0" w:after="160" w:line="360" w:lineRule="auto"/>
              <w:ind w:left="192" w:right="208" w:firstLine="0"/>
              <w:jc w:val="both"/>
              <w:rPr>
                <w:rFonts w:ascii="Sylfaen" w:hAnsi="Sylfaen"/>
                <w:b w:val="0"/>
                <w:sz w:val="24"/>
                <w:szCs w:val="24"/>
                <w:lang w:val="hy-AM"/>
              </w:rPr>
            </w:pPr>
            <w:r w:rsidRPr="00BD7577">
              <w:rPr>
                <w:rStyle w:val="Bodytext295pt"/>
                <w:rFonts w:ascii="Sylfaen" w:hAnsi="Sylfaen"/>
                <w:spacing w:val="0"/>
                <w:sz w:val="24"/>
                <w:szCs w:val="24"/>
              </w:rPr>
              <w:t>Ներդիր թերթիկի կառուցվածքի վերաբերյալ ընդհանուր տպավորությունը:</w:t>
            </w:r>
          </w:p>
        </w:tc>
        <w:tc>
          <w:tcPr>
            <w:tcW w:w="3291" w:type="dxa"/>
            <w:gridSpan w:val="2"/>
            <w:shd w:val="clear" w:color="auto" w:fill="FFFFFF"/>
            <w:vAlign w:val="bottom"/>
          </w:tcPr>
          <w:p w14:paraId="413F418F" w14:textId="77777777" w:rsidR="008C76E0" w:rsidRPr="008C76E0"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lang w:val="hy-AM"/>
              </w:rPr>
            </w:pPr>
            <w:r w:rsidRPr="008C76E0">
              <w:rPr>
                <w:rFonts w:ascii="Sylfaen" w:hAnsi="Sylfaen"/>
                <w:sz w:val="24"/>
                <w:szCs w:val="24"/>
                <w:lang w:val="hy-AM"/>
              </w:rPr>
              <w:t xml:space="preserve">□ </w:t>
            </w:r>
            <w:r w:rsidRPr="00BD7577">
              <w:rPr>
                <w:rStyle w:val="Bodytext295pt"/>
                <w:rFonts w:ascii="Sylfaen" w:hAnsi="Sylfaen"/>
                <w:spacing w:val="0"/>
                <w:sz w:val="24"/>
                <w:szCs w:val="24"/>
              </w:rPr>
              <w:t>այո □ ոչ</w:t>
            </w:r>
          </w:p>
          <w:p w14:paraId="32C2F294" w14:textId="77777777" w:rsidR="008C76E0" w:rsidRPr="008C76E0"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lang w:val="hy-AM"/>
              </w:rPr>
            </w:pPr>
            <w:r w:rsidRPr="008C76E0">
              <w:rPr>
                <w:rFonts w:ascii="Sylfaen" w:hAnsi="Sylfaen"/>
                <w:sz w:val="24"/>
                <w:szCs w:val="24"/>
                <w:lang w:val="hy-AM"/>
              </w:rPr>
              <w:t xml:space="preserve">□ </w:t>
            </w:r>
            <w:r w:rsidRPr="00BD7577">
              <w:rPr>
                <w:rStyle w:val="Bodytext295pt"/>
                <w:rFonts w:ascii="Sylfaen" w:hAnsi="Sylfaen"/>
                <w:spacing w:val="0"/>
                <w:sz w:val="24"/>
                <w:szCs w:val="24"/>
              </w:rPr>
              <w:t>այո □ ոչ</w:t>
            </w:r>
          </w:p>
          <w:p w14:paraId="7BE0D341" w14:textId="77777777" w:rsidR="008C76E0" w:rsidRPr="008C76E0"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sz w:val="24"/>
                <w:szCs w:val="24"/>
                <w:lang w:val="hy-AM"/>
              </w:rPr>
              <w:t xml:space="preserve"> </w:t>
            </w:r>
            <w:r w:rsidRPr="00BD7577">
              <w:rPr>
                <w:rStyle w:val="Bodytext295pt"/>
                <w:rFonts w:ascii="Sylfaen" w:hAnsi="Sylfaen"/>
                <w:spacing w:val="0"/>
                <w:sz w:val="24"/>
                <w:szCs w:val="24"/>
              </w:rPr>
              <w:t>դրական</w:t>
            </w:r>
          </w:p>
          <w:p w14:paraId="7B156D5B" w14:textId="77777777" w:rsidR="008C76E0" w:rsidRPr="008C76E0"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sz w:val="24"/>
                <w:szCs w:val="24"/>
                <w:lang w:val="hy-AM"/>
              </w:rPr>
              <w:t xml:space="preserve"> </w:t>
            </w:r>
            <w:r w:rsidRPr="00BD7577">
              <w:rPr>
                <w:rStyle w:val="Bodytext295pt"/>
                <w:rFonts w:ascii="Sylfaen" w:hAnsi="Sylfaen"/>
                <w:spacing w:val="0"/>
                <w:sz w:val="24"/>
                <w:szCs w:val="24"/>
              </w:rPr>
              <w:t>բացասական</w:t>
            </w:r>
          </w:p>
          <w:p w14:paraId="001128EF" w14:textId="77777777" w:rsidR="008C76E0" w:rsidRPr="00BD7577"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rPr>
            </w:pPr>
            <w:r w:rsidRPr="00BD7577">
              <w:rPr>
                <w:rFonts w:ascii="Sylfaen" w:hAnsi="Sylfaen"/>
                <w:b w:val="0"/>
                <w:sz w:val="24"/>
                <w:szCs w:val="24"/>
              </w:rPr>
              <w:t>□</w:t>
            </w:r>
            <w:r w:rsidRPr="00BD7577">
              <w:rPr>
                <w:rFonts w:ascii="Sylfaen" w:hAnsi="Sylfaen"/>
                <w:sz w:val="24"/>
                <w:szCs w:val="24"/>
              </w:rPr>
              <w:t xml:space="preserve"> </w:t>
            </w:r>
            <w:r w:rsidRPr="00BD7577">
              <w:rPr>
                <w:rStyle w:val="Bodytext295pt"/>
                <w:rFonts w:ascii="Sylfaen" w:hAnsi="Sylfaen"/>
                <w:spacing w:val="0"/>
                <w:sz w:val="24"/>
                <w:szCs w:val="24"/>
              </w:rPr>
              <w:t>դրական</w:t>
            </w:r>
          </w:p>
          <w:p w14:paraId="2D5C0974" w14:textId="77777777" w:rsidR="008C76E0" w:rsidRPr="00BD7577" w:rsidRDefault="008C76E0" w:rsidP="008C76E0">
            <w:pPr>
              <w:pStyle w:val="Bodytext180"/>
              <w:shd w:val="clear" w:color="auto" w:fill="auto"/>
              <w:tabs>
                <w:tab w:val="left" w:pos="1412"/>
              </w:tabs>
              <w:spacing w:before="0" w:after="160" w:line="360" w:lineRule="auto"/>
              <w:ind w:left="24" w:right="208" w:firstLine="567"/>
              <w:jc w:val="both"/>
              <w:rPr>
                <w:rFonts w:ascii="Sylfaen" w:hAnsi="Sylfaen"/>
                <w:b w:val="0"/>
                <w:sz w:val="24"/>
                <w:szCs w:val="24"/>
              </w:rPr>
            </w:pPr>
            <w:r w:rsidRPr="00BD7577">
              <w:rPr>
                <w:rFonts w:ascii="Sylfaen" w:hAnsi="Sylfaen"/>
                <w:b w:val="0"/>
                <w:sz w:val="24"/>
                <w:szCs w:val="24"/>
              </w:rPr>
              <w:t>□</w:t>
            </w:r>
            <w:r w:rsidRPr="00BD7577">
              <w:rPr>
                <w:rFonts w:ascii="Sylfaen" w:hAnsi="Sylfaen"/>
                <w:sz w:val="24"/>
                <w:szCs w:val="24"/>
              </w:rPr>
              <w:t xml:space="preserve"> </w:t>
            </w:r>
            <w:r w:rsidRPr="00BD7577">
              <w:rPr>
                <w:rStyle w:val="Bodytext295pt"/>
                <w:rFonts w:ascii="Sylfaen" w:hAnsi="Sylfaen"/>
                <w:spacing w:val="0"/>
                <w:sz w:val="24"/>
                <w:szCs w:val="24"/>
              </w:rPr>
              <w:t>բացասական</w:t>
            </w:r>
          </w:p>
        </w:tc>
      </w:tr>
    </w:tbl>
    <w:p w14:paraId="382E6420" w14:textId="77777777" w:rsidR="008C76E0" w:rsidRDefault="008C76E0" w:rsidP="008C76E0">
      <w:pPr>
        <w:ind w:right="-1" w:firstLine="567"/>
        <w:jc w:val="both"/>
        <w:rPr>
          <w:rFonts w:ascii="Sylfaen" w:hAnsi="Sylfaen"/>
          <w:sz w:val="24"/>
          <w:szCs w:val="24"/>
        </w:rPr>
      </w:pPr>
    </w:p>
    <w:p w14:paraId="66C3E1DC" w14:textId="77777777" w:rsidR="008C76E0" w:rsidRPr="002754BD" w:rsidRDefault="008C76E0" w:rsidP="008C76E0">
      <w:pPr>
        <w:widowControl/>
        <w:rPr>
          <w:rFonts w:ascii="Sylfaen" w:hAnsi="Sylfaen"/>
          <w:sz w:val="24"/>
          <w:szCs w:val="24"/>
          <w:lang w:val="en-US"/>
        </w:rPr>
      </w:pPr>
    </w:p>
    <w:tbl>
      <w:tblPr>
        <w:tblOverlap w:val="never"/>
        <w:tblW w:w="9576" w:type="dxa"/>
        <w:jc w:val="center"/>
        <w:tblLayout w:type="fixed"/>
        <w:tblCellMar>
          <w:left w:w="10" w:type="dxa"/>
          <w:right w:w="10" w:type="dxa"/>
        </w:tblCellMar>
        <w:tblLook w:val="04A0" w:firstRow="1" w:lastRow="0" w:firstColumn="1" w:lastColumn="0" w:noHBand="0" w:noVBand="1"/>
      </w:tblPr>
      <w:tblGrid>
        <w:gridCol w:w="9576"/>
      </w:tblGrid>
      <w:tr w:rsidR="008C76E0" w:rsidRPr="00BD7577" w14:paraId="7704FABF" w14:textId="77777777" w:rsidTr="008C76E0">
        <w:trPr>
          <w:jc w:val="center"/>
        </w:trPr>
        <w:tc>
          <w:tcPr>
            <w:tcW w:w="9576" w:type="dxa"/>
            <w:tcBorders>
              <w:top w:val="single" w:sz="4" w:space="0" w:color="auto"/>
              <w:left w:val="single" w:sz="4" w:space="0" w:color="auto"/>
              <w:right w:val="single" w:sz="4" w:space="0" w:color="auto"/>
            </w:tcBorders>
            <w:shd w:val="clear" w:color="auto" w:fill="FFFFFF"/>
            <w:vAlign w:val="bottom"/>
          </w:tcPr>
          <w:p w14:paraId="03BCA4A5" w14:textId="77777777" w:rsidR="008C76E0" w:rsidRPr="00BD7577" w:rsidRDefault="008C76E0" w:rsidP="008C76E0">
            <w:pPr>
              <w:pStyle w:val="Bodytext180"/>
              <w:shd w:val="clear" w:color="auto" w:fill="auto"/>
              <w:spacing w:before="0" w:after="160" w:line="360" w:lineRule="auto"/>
              <w:ind w:right="-1" w:firstLine="567"/>
              <w:jc w:val="both"/>
              <w:rPr>
                <w:rFonts w:ascii="Sylfaen" w:hAnsi="Sylfaen"/>
                <w:b w:val="0"/>
                <w:sz w:val="24"/>
                <w:szCs w:val="24"/>
              </w:rPr>
            </w:pPr>
            <w:r w:rsidRPr="00BD7577">
              <w:rPr>
                <w:rStyle w:val="Bodytext295pt"/>
                <w:rFonts w:ascii="Sylfaen" w:hAnsi="Sylfaen"/>
                <w:spacing w:val="0"/>
                <w:sz w:val="24"/>
                <w:szCs w:val="24"/>
              </w:rPr>
              <w:t>Եզրակացությունը (ռեզյումեն)</w:t>
            </w:r>
          </w:p>
        </w:tc>
      </w:tr>
      <w:tr w:rsidR="008C76E0" w:rsidRPr="00BD7577" w14:paraId="4A28D8B1" w14:textId="77777777" w:rsidTr="008C76E0">
        <w:trPr>
          <w:jc w:val="center"/>
        </w:trPr>
        <w:tc>
          <w:tcPr>
            <w:tcW w:w="9576" w:type="dxa"/>
            <w:tcBorders>
              <w:top w:val="single" w:sz="4" w:space="0" w:color="auto"/>
              <w:left w:val="single" w:sz="4" w:space="0" w:color="auto"/>
              <w:right w:val="single" w:sz="4" w:space="0" w:color="auto"/>
            </w:tcBorders>
            <w:shd w:val="clear" w:color="auto" w:fill="FFFFFF"/>
          </w:tcPr>
          <w:p w14:paraId="1514630E" w14:textId="77777777" w:rsidR="008C76E0" w:rsidRPr="00BD7577" w:rsidRDefault="008C76E0" w:rsidP="008C76E0">
            <w:pPr>
              <w:ind w:right="-1" w:firstLine="567"/>
              <w:jc w:val="both"/>
              <w:rPr>
                <w:rFonts w:ascii="Sylfaen" w:hAnsi="Sylfaen"/>
                <w:sz w:val="24"/>
                <w:szCs w:val="24"/>
              </w:rPr>
            </w:pPr>
          </w:p>
        </w:tc>
      </w:tr>
      <w:tr w:rsidR="008C76E0" w:rsidRPr="00BD7577" w14:paraId="5A380E1A" w14:textId="77777777" w:rsidTr="008C76E0">
        <w:trPr>
          <w:jc w:val="center"/>
        </w:trPr>
        <w:tc>
          <w:tcPr>
            <w:tcW w:w="9576" w:type="dxa"/>
            <w:tcBorders>
              <w:top w:val="single" w:sz="4" w:space="0" w:color="auto"/>
              <w:left w:val="single" w:sz="4" w:space="0" w:color="auto"/>
              <w:bottom w:val="single" w:sz="4" w:space="0" w:color="auto"/>
              <w:right w:val="single" w:sz="4" w:space="0" w:color="auto"/>
            </w:tcBorders>
            <w:shd w:val="clear" w:color="auto" w:fill="FFFFFF"/>
          </w:tcPr>
          <w:p w14:paraId="1C0DD884" w14:textId="77777777" w:rsidR="008C76E0" w:rsidRPr="00BD7577" w:rsidRDefault="008C76E0" w:rsidP="008C76E0">
            <w:pPr>
              <w:ind w:right="-1" w:firstLine="567"/>
              <w:jc w:val="both"/>
              <w:rPr>
                <w:rFonts w:ascii="Sylfaen" w:hAnsi="Sylfaen"/>
                <w:sz w:val="24"/>
                <w:szCs w:val="24"/>
              </w:rPr>
            </w:pPr>
          </w:p>
        </w:tc>
      </w:tr>
    </w:tbl>
    <w:p w14:paraId="3381E698" w14:textId="77777777" w:rsidR="008C76E0" w:rsidRPr="00BD7577" w:rsidRDefault="008C76E0" w:rsidP="008C76E0">
      <w:pPr>
        <w:ind w:right="-1"/>
        <w:jc w:val="both"/>
        <w:rPr>
          <w:rFonts w:ascii="Sylfaen" w:eastAsia="Times New Roman" w:hAnsi="Sylfaen" w:cs="Times New Roman"/>
          <w:sz w:val="24"/>
          <w:szCs w:val="24"/>
        </w:rPr>
        <w:sectPr w:rsidR="008C76E0" w:rsidRPr="00BD7577" w:rsidSect="00207FF6">
          <w:pgSz w:w="11907" w:h="16839" w:code="9"/>
          <w:pgMar w:top="1418" w:right="1418" w:bottom="1418" w:left="1418" w:header="709" w:footer="709" w:gutter="0"/>
          <w:pgNumType w:start="1"/>
          <w:cols w:space="708"/>
          <w:titlePg/>
          <w:docGrid w:linePitch="360"/>
        </w:sectPr>
      </w:pPr>
    </w:p>
    <w:p w14:paraId="19782552" w14:textId="77777777" w:rsidR="008C76E0" w:rsidRPr="00BD7577" w:rsidRDefault="008C76E0" w:rsidP="004B393A">
      <w:pPr>
        <w:spacing w:after="160" w:line="360" w:lineRule="auto"/>
        <w:ind w:left="4678" w:right="-1"/>
        <w:jc w:val="center"/>
        <w:rPr>
          <w:rFonts w:ascii="Sylfaen" w:hAnsi="Sylfaen"/>
          <w:sz w:val="24"/>
          <w:szCs w:val="24"/>
        </w:rPr>
      </w:pPr>
      <w:r w:rsidRPr="00BD7577">
        <w:rPr>
          <w:rFonts w:ascii="Sylfaen" w:hAnsi="Sylfaen"/>
          <w:sz w:val="24"/>
          <w:szCs w:val="24"/>
        </w:rPr>
        <w:lastRenderedPageBreak/>
        <w:t>ՀԱՎԵԼՎԱԾ ԹԻՎ 12</w:t>
      </w:r>
    </w:p>
    <w:p w14:paraId="313C74EF" w14:textId="77777777" w:rsidR="008C76E0" w:rsidRPr="00BD7577" w:rsidRDefault="008C76E0" w:rsidP="004B393A">
      <w:pPr>
        <w:spacing w:after="160" w:line="360" w:lineRule="auto"/>
        <w:ind w:left="4678" w:right="-1"/>
        <w:jc w:val="center"/>
        <w:rPr>
          <w:rFonts w:ascii="Sylfaen" w:hAnsi="Sylfaen"/>
          <w:sz w:val="24"/>
          <w:szCs w:val="24"/>
        </w:rPr>
      </w:pPr>
      <w:r w:rsidRPr="00BD7577">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775ECCDD" w14:textId="77777777" w:rsidR="008C76E0" w:rsidRPr="00BD7577" w:rsidRDefault="008C76E0" w:rsidP="004B393A">
      <w:pPr>
        <w:spacing w:after="160" w:line="360" w:lineRule="auto"/>
        <w:ind w:firstLine="567"/>
        <w:jc w:val="both"/>
        <w:rPr>
          <w:rFonts w:ascii="Sylfaen" w:hAnsi="Sylfaen"/>
          <w:sz w:val="24"/>
          <w:szCs w:val="24"/>
        </w:rPr>
      </w:pPr>
    </w:p>
    <w:p w14:paraId="0AE62489" w14:textId="77777777" w:rsidR="008C76E0" w:rsidRPr="008C76E0" w:rsidRDefault="008C76E0" w:rsidP="004B393A">
      <w:pPr>
        <w:pStyle w:val="Heading130"/>
        <w:shd w:val="clear" w:color="auto" w:fill="auto"/>
        <w:spacing w:before="0" w:after="160" w:line="360" w:lineRule="auto"/>
        <w:ind w:firstLine="567"/>
        <w:outlineLvl w:val="9"/>
        <w:rPr>
          <w:rFonts w:ascii="Sylfaen" w:hAnsi="Sylfaen"/>
          <w:b/>
          <w:sz w:val="24"/>
          <w:szCs w:val="24"/>
          <w:lang w:val="hy-AM"/>
        </w:rPr>
      </w:pPr>
      <w:bookmarkStart w:id="6" w:name="bookmark7"/>
      <w:r w:rsidRPr="008C76E0">
        <w:rPr>
          <w:rStyle w:val="Heading13Bold"/>
          <w:rFonts w:ascii="Sylfaen" w:hAnsi="Sylfaen"/>
          <w:b/>
          <w:sz w:val="24"/>
          <w:szCs w:val="24"/>
          <w:lang w:val="hy-AM"/>
        </w:rPr>
        <w:t>ՁԵՎ</w:t>
      </w:r>
      <w:bookmarkEnd w:id="6"/>
    </w:p>
    <w:p w14:paraId="3A146520" w14:textId="77777777" w:rsidR="008C76E0" w:rsidRPr="008C76E0" w:rsidRDefault="008C76E0" w:rsidP="004B393A">
      <w:pPr>
        <w:pStyle w:val="Bodytext130"/>
        <w:shd w:val="clear" w:color="auto" w:fill="auto"/>
        <w:spacing w:after="160" w:line="360" w:lineRule="auto"/>
        <w:ind w:right="-1" w:firstLine="567"/>
        <w:rPr>
          <w:rFonts w:ascii="Sylfaen" w:hAnsi="Sylfaen"/>
          <w:sz w:val="24"/>
          <w:szCs w:val="24"/>
          <w:lang w:val="hy-AM"/>
        </w:rPr>
      </w:pPr>
      <w:r w:rsidRPr="008C76E0">
        <w:rPr>
          <w:rFonts w:ascii="Sylfaen" w:hAnsi="Sylfaen"/>
          <w:sz w:val="24"/>
          <w:szCs w:val="24"/>
          <w:lang w:val="hy-AM"/>
        </w:rPr>
        <w:t>փորձարկումների արձանագրության</w:t>
      </w:r>
    </w:p>
    <w:p w14:paraId="3B784FCC" w14:textId="77777777" w:rsidR="008C76E0" w:rsidRPr="00BD7577" w:rsidRDefault="008C76E0" w:rsidP="004B393A">
      <w:pPr>
        <w:spacing w:after="160" w:line="360" w:lineRule="auto"/>
        <w:ind w:right="-1" w:firstLine="567"/>
        <w:jc w:val="right"/>
        <w:rPr>
          <w:rFonts w:ascii="Sylfaen" w:hAnsi="Sylfaen"/>
          <w:sz w:val="24"/>
          <w:szCs w:val="24"/>
        </w:rPr>
      </w:pPr>
      <w:r w:rsidRPr="00BD7577">
        <w:rPr>
          <w:rFonts w:ascii="Sylfaen" w:hAnsi="Sylfaen"/>
          <w:sz w:val="24"/>
          <w:szCs w:val="24"/>
        </w:rPr>
        <w:t>(ձ</w:t>
      </w:r>
      <w:r w:rsidR="00C54D75">
        <w:rPr>
          <w:rFonts w:ascii="Sylfaen" w:hAnsi="Sylfaen"/>
          <w:sz w:val="24"/>
          <w:szCs w:val="24"/>
        </w:rPr>
        <w:t>և</w:t>
      </w:r>
      <w:r w:rsidRPr="00BD7577">
        <w:rPr>
          <w:rFonts w:ascii="Sylfaen" w:hAnsi="Sylfaen"/>
          <w:sz w:val="24"/>
          <w:szCs w:val="24"/>
        </w:rPr>
        <w:t>)</w:t>
      </w:r>
    </w:p>
    <w:p w14:paraId="119A106A" w14:textId="77777777" w:rsidR="008C76E0" w:rsidRPr="00BD7577" w:rsidRDefault="008C76E0" w:rsidP="004B393A">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5E747B09" w14:textId="77777777" w:rsidR="008C76E0" w:rsidRPr="008C76E0" w:rsidRDefault="008C76E0" w:rsidP="004B393A">
      <w:pPr>
        <w:pStyle w:val="Bodytext40"/>
        <w:shd w:val="clear" w:color="auto" w:fill="auto"/>
        <w:spacing w:before="0" w:after="160" w:line="360" w:lineRule="auto"/>
        <w:ind w:right="-2"/>
        <w:rPr>
          <w:rFonts w:ascii="Sylfaen" w:hAnsi="Sylfaen"/>
          <w:b w:val="0"/>
          <w:sz w:val="20"/>
          <w:szCs w:val="20"/>
          <w:lang w:val="hy-AM"/>
        </w:rPr>
      </w:pPr>
      <w:r w:rsidRPr="008C76E0">
        <w:rPr>
          <w:rFonts w:ascii="Sylfaen" w:hAnsi="Sylfaen"/>
          <w:b w:val="0"/>
          <w:sz w:val="20"/>
          <w:szCs w:val="20"/>
          <w:lang w:val="hy-AM"/>
        </w:rPr>
        <w:t>(Եվրասիական տնտեսական միության անդամ պետության լիազորված մարմնի անվանումը)</w:t>
      </w:r>
    </w:p>
    <w:p w14:paraId="35A101E1" w14:textId="77777777" w:rsidR="008C76E0" w:rsidRPr="00BD7577" w:rsidRDefault="008C76E0" w:rsidP="004B393A">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7CD1E702" w14:textId="77777777" w:rsidR="008C76E0" w:rsidRPr="008C76E0" w:rsidRDefault="008C76E0" w:rsidP="004B393A">
      <w:pPr>
        <w:pStyle w:val="Bodytext40"/>
        <w:shd w:val="clear" w:color="auto" w:fill="auto"/>
        <w:spacing w:before="0" w:after="160" w:line="360" w:lineRule="auto"/>
        <w:rPr>
          <w:rFonts w:ascii="Sylfaen" w:hAnsi="Sylfaen"/>
          <w:b w:val="0"/>
          <w:sz w:val="20"/>
          <w:szCs w:val="20"/>
          <w:lang w:val="hy-AM"/>
        </w:rPr>
      </w:pPr>
      <w:r w:rsidRPr="008C76E0">
        <w:rPr>
          <w:rFonts w:ascii="Sylfaen" w:hAnsi="Sylfaen"/>
          <w:b w:val="0"/>
          <w:sz w:val="20"/>
          <w:szCs w:val="20"/>
          <w:lang w:val="hy-AM"/>
        </w:rPr>
        <w:t>(փորձագիտական կազմակերպության կամ փորձարկման լաբորատորիայի անվանումը)</w:t>
      </w:r>
    </w:p>
    <w:p w14:paraId="1B982280" w14:textId="77777777" w:rsidR="008C76E0" w:rsidRPr="00BD7577" w:rsidRDefault="008C76E0" w:rsidP="004B393A">
      <w:pPr>
        <w:spacing w:after="160" w:line="360" w:lineRule="auto"/>
        <w:jc w:val="both"/>
        <w:rPr>
          <w:rFonts w:ascii="Sylfaen" w:hAnsi="Sylfaen"/>
          <w:sz w:val="24"/>
          <w:szCs w:val="24"/>
        </w:rPr>
      </w:pPr>
      <w:r w:rsidRPr="00BD7577">
        <w:rPr>
          <w:rFonts w:ascii="Sylfaen" w:hAnsi="Sylfaen" w:cs="Sylfaen"/>
          <w:sz w:val="24"/>
          <w:szCs w:val="24"/>
        </w:rPr>
        <w:t>Փորձարկման</w:t>
      </w:r>
      <w:r w:rsidRPr="00BD7577">
        <w:rPr>
          <w:rFonts w:ascii="Sylfaen" w:hAnsi="Sylfaen"/>
          <w:sz w:val="24"/>
          <w:szCs w:val="24"/>
        </w:rPr>
        <w:t xml:space="preserve"> </w:t>
      </w:r>
      <w:r w:rsidRPr="00BD7577">
        <w:rPr>
          <w:rFonts w:ascii="Sylfaen" w:hAnsi="Sylfaen" w:cs="Sylfaen"/>
          <w:sz w:val="24"/>
          <w:szCs w:val="24"/>
        </w:rPr>
        <w:t>լաբորատորիայի</w:t>
      </w:r>
      <w:r w:rsidRPr="00BD7577">
        <w:rPr>
          <w:rFonts w:ascii="Sylfaen" w:hAnsi="Sylfaen"/>
          <w:sz w:val="24"/>
          <w:szCs w:val="24"/>
        </w:rPr>
        <w:t xml:space="preserve"> </w:t>
      </w:r>
      <w:r w:rsidRPr="00BD7577">
        <w:rPr>
          <w:rFonts w:ascii="Sylfaen" w:hAnsi="Sylfaen" w:cs="Sylfaen"/>
          <w:sz w:val="24"/>
          <w:szCs w:val="24"/>
        </w:rPr>
        <w:t>հավատարմագրման</w:t>
      </w:r>
      <w:r w:rsidRPr="00BD7577">
        <w:rPr>
          <w:rFonts w:ascii="Sylfaen" w:hAnsi="Sylfaen"/>
          <w:sz w:val="24"/>
          <w:szCs w:val="24"/>
        </w:rPr>
        <w:t xml:space="preserve"> </w:t>
      </w:r>
      <w:r w:rsidRPr="00BD7577">
        <w:rPr>
          <w:rFonts w:ascii="Sylfaen" w:hAnsi="Sylfaen" w:cs="Sylfaen"/>
          <w:sz w:val="24"/>
          <w:szCs w:val="24"/>
        </w:rPr>
        <w:t>վկայականը</w:t>
      </w:r>
      <w:r w:rsidRPr="00BD7577">
        <w:rPr>
          <w:rFonts w:ascii="Sylfaen" w:hAnsi="Sylfaen"/>
          <w:sz w:val="24"/>
          <w:szCs w:val="24"/>
        </w:rPr>
        <w:t xml:space="preserve"> ___________________________________________________________________________</w:t>
      </w:r>
    </w:p>
    <w:p w14:paraId="36705C32" w14:textId="77777777" w:rsidR="008C76E0" w:rsidRPr="008C76E0" w:rsidRDefault="008C76E0" w:rsidP="004B393A">
      <w:pPr>
        <w:pStyle w:val="Bodytext40"/>
        <w:shd w:val="clear" w:color="auto" w:fill="auto"/>
        <w:spacing w:before="0" w:after="160" w:line="360" w:lineRule="auto"/>
        <w:ind w:right="-1"/>
        <w:rPr>
          <w:rFonts w:ascii="Sylfaen" w:hAnsi="Sylfaen"/>
          <w:b w:val="0"/>
          <w:sz w:val="20"/>
          <w:szCs w:val="20"/>
          <w:lang w:val="hy-AM"/>
        </w:rPr>
      </w:pPr>
      <w:r w:rsidRPr="008C76E0">
        <w:rPr>
          <w:rFonts w:ascii="Sylfaen" w:hAnsi="Sylfaen"/>
          <w:b w:val="0"/>
          <w:sz w:val="20"/>
          <w:szCs w:val="20"/>
          <w:lang w:val="hy-AM"/>
        </w:rPr>
        <w:t>(համարը, գործողության ժամկետը)</w:t>
      </w:r>
    </w:p>
    <w:p w14:paraId="0F8DBFE3" w14:textId="77777777" w:rsidR="008C76E0" w:rsidRPr="00BD7577" w:rsidRDefault="008C76E0" w:rsidP="004B393A">
      <w:pPr>
        <w:spacing w:after="160" w:line="360" w:lineRule="auto"/>
        <w:jc w:val="both"/>
        <w:rPr>
          <w:rFonts w:ascii="Sylfaen" w:hAnsi="Sylfaen"/>
          <w:sz w:val="24"/>
          <w:szCs w:val="24"/>
        </w:rPr>
      </w:pPr>
      <w:r w:rsidRPr="00BD7577">
        <w:rPr>
          <w:rFonts w:ascii="Sylfaen" w:hAnsi="Sylfaen"/>
          <w:sz w:val="24"/>
          <w:szCs w:val="24"/>
        </w:rPr>
        <w:t>___________________________________________________________________________</w:t>
      </w:r>
    </w:p>
    <w:p w14:paraId="4C071326" w14:textId="77777777" w:rsidR="008C76E0" w:rsidRPr="008C76E0" w:rsidRDefault="008C76E0" w:rsidP="004B393A">
      <w:pPr>
        <w:pStyle w:val="Bodytext40"/>
        <w:shd w:val="clear" w:color="auto" w:fill="auto"/>
        <w:spacing w:before="0" w:after="160" w:line="360" w:lineRule="auto"/>
        <w:rPr>
          <w:rFonts w:ascii="Sylfaen" w:hAnsi="Sylfaen"/>
          <w:b w:val="0"/>
          <w:sz w:val="20"/>
          <w:szCs w:val="20"/>
          <w:lang w:val="hy-AM"/>
        </w:rPr>
      </w:pPr>
      <w:r w:rsidRPr="008C76E0">
        <w:rPr>
          <w:rFonts w:ascii="Sylfaen" w:hAnsi="Sylfaen"/>
          <w:b w:val="0"/>
          <w:sz w:val="20"/>
          <w:szCs w:val="20"/>
          <w:lang w:val="hy-AM"/>
        </w:rPr>
        <w:t>(փորձագիտական կազմակերպության (փորձարկման լաբորատորիայի) հասցեն, հեռախոսահամարը)</w:t>
      </w:r>
    </w:p>
    <w:p w14:paraId="46766EAC" w14:textId="77777777" w:rsidR="008C76E0" w:rsidRPr="008C76E0" w:rsidRDefault="008C76E0" w:rsidP="008C76E0">
      <w:pPr>
        <w:pStyle w:val="Bodytext40"/>
        <w:shd w:val="clear" w:color="auto" w:fill="auto"/>
        <w:spacing w:before="0" w:after="160" w:line="360" w:lineRule="auto"/>
        <w:ind w:firstLine="567"/>
        <w:rPr>
          <w:rFonts w:ascii="Sylfaen" w:hAnsi="Sylfaen"/>
          <w:b w:val="0"/>
          <w:sz w:val="24"/>
          <w:szCs w:val="24"/>
          <w:lang w:val="hy-AM"/>
        </w:rPr>
      </w:pPr>
    </w:p>
    <w:p w14:paraId="48809C78" w14:textId="77777777" w:rsidR="008C76E0" w:rsidRPr="00BD7577" w:rsidRDefault="008C76E0" w:rsidP="008C76E0">
      <w:pPr>
        <w:ind w:left="567" w:right="565"/>
        <w:jc w:val="both"/>
        <w:rPr>
          <w:rFonts w:ascii="Sylfaen" w:hAnsi="Sylfaen"/>
          <w:sz w:val="24"/>
          <w:szCs w:val="24"/>
        </w:rPr>
      </w:pPr>
      <w:r w:rsidRPr="00BD7577">
        <w:rPr>
          <w:rFonts w:ascii="Sylfaen" w:hAnsi="Sylfaen"/>
          <w:sz w:val="24"/>
          <w:szCs w:val="24"/>
        </w:rPr>
        <w:t xml:space="preserve">ՓՈՐՁԱՐԿՈՒՄՆԵՐԻ ԱՐՁԱՆԱԳՐՈՒԹՅՈՒՆ ԹԻՎ ______ ՕՕ.ԱԱ.ՏՏՏՏ </w:t>
      </w:r>
    </w:p>
    <w:tbl>
      <w:tblPr>
        <w:tblOverlap w:val="never"/>
        <w:tblW w:w="10186" w:type="dxa"/>
        <w:jc w:val="center"/>
        <w:tblLayout w:type="fixed"/>
        <w:tblCellMar>
          <w:left w:w="10" w:type="dxa"/>
          <w:right w:w="10" w:type="dxa"/>
        </w:tblCellMar>
        <w:tblLook w:val="04A0" w:firstRow="1" w:lastRow="0" w:firstColumn="1" w:lastColumn="0" w:noHBand="0" w:noVBand="1"/>
      </w:tblPr>
      <w:tblGrid>
        <w:gridCol w:w="5244"/>
        <w:gridCol w:w="4942"/>
      </w:tblGrid>
      <w:tr w:rsidR="008C76E0" w:rsidRPr="00BD7577" w14:paraId="0EFBB3DA"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08FF7539"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Հայտատուն՝</w:t>
            </w:r>
          </w:p>
        </w:tc>
        <w:tc>
          <w:tcPr>
            <w:tcW w:w="4942" w:type="dxa"/>
            <w:tcBorders>
              <w:top w:val="single" w:sz="4" w:space="0" w:color="auto"/>
              <w:left w:val="single" w:sz="4" w:space="0" w:color="auto"/>
              <w:right w:val="single" w:sz="4" w:space="0" w:color="auto"/>
            </w:tcBorders>
            <w:shd w:val="clear" w:color="auto" w:fill="FFFFFF"/>
          </w:tcPr>
          <w:p w14:paraId="4B40C613"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6449B304" w14:textId="77777777" w:rsidTr="008C76E0">
        <w:trPr>
          <w:trHeight w:val="1041"/>
          <w:jc w:val="center"/>
        </w:trPr>
        <w:tc>
          <w:tcPr>
            <w:tcW w:w="5244" w:type="dxa"/>
            <w:tcBorders>
              <w:top w:val="single" w:sz="4" w:space="0" w:color="auto"/>
              <w:left w:val="single" w:sz="4" w:space="0" w:color="auto"/>
            </w:tcBorders>
            <w:shd w:val="clear" w:color="auto" w:fill="FFFFFF"/>
            <w:vAlign w:val="bottom"/>
          </w:tcPr>
          <w:p w14:paraId="692F69B7" w14:textId="77777777" w:rsidR="008C76E0" w:rsidRPr="008C76E0" w:rsidRDefault="008C76E0" w:rsidP="008C76E0">
            <w:pPr>
              <w:pStyle w:val="Bodytext180"/>
              <w:shd w:val="clear" w:color="auto" w:fill="auto"/>
              <w:spacing w:before="0" w:after="120" w:line="240" w:lineRule="auto"/>
              <w:ind w:left="106" w:firstLine="0"/>
              <w:jc w:val="both"/>
              <w:rPr>
                <w:rFonts w:ascii="Sylfaen" w:hAnsi="Sylfaen"/>
                <w:b w:val="0"/>
                <w:sz w:val="24"/>
                <w:szCs w:val="24"/>
                <w:lang w:val="hy-AM"/>
              </w:rPr>
            </w:pPr>
            <w:r w:rsidRPr="00BD7577">
              <w:rPr>
                <w:rStyle w:val="Bodytext1811pt"/>
                <w:rFonts w:ascii="Sylfaen" w:hAnsi="Sylfaen"/>
                <w:sz w:val="24"/>
                <w:szCs w:val="24"/>
              </w:rPr>
              <w:t>Փորձարկվող նյութի անվանումն ու տեսակը՝</w:t>
            </w:r>
          </w:p>
        </w:tc>
        <w:tc>
          <w:tcPr>
            <w:tcW w:w="4942" w:type="dxa"/>
            <w:tcBorders>
              <w:top w:val="single" w:sz="4" w:space="0" w:color="auto"/>
              <w:left w:val="single" w:sz="4" w:space="0" w:color="auto"/>
              <w:right w:val="single" w:sz="4" w:space="0" w:color="auto"/>
            </w:tcBorders>
            <w:shd w:val="clear" w:color="auto" w:fill="FFFFFF"/>
          </w:tcPr>
          <w:p w14:paraId="5AF7822C"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19618244" w14:textId="77777777" w:rsidTr="008C76E0">
        <w:trPr>
          <w:trHeight w:val="583"/>
          <w:jc w:val="center"/>
        </w:trPr>
        <w:tc>
          <w:tcPr>
            <w:tcW w:w="5244" w:type="dxa"/>
            <w:tcBorders>
              <w:top w:val="single" w:sz="4" w:space="0" w:color="auto"/>
              <w:left w:val="single" w:sz="4" w:space="0" w:color="auto"/>
            </w:tcBorders>
            <w:shd w:val="clear" w:color="auto" w:fill="FFFFFF"/>
            <w:vAlign w:val="bottom"/>
          </w:tcPr>
          <w:p w14:paraId="7A6582E8"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Փորձարկումների տեսակը՝</w:t>
            </w:r>
          </w:p>
        </w:tc>
        <w:tc>
          <w:tcPr>
            <w:tcW w:w="4942" w:type="dxa"/>
            <w:tcBorders>
              <w:top w:val="single" w:sz="4" w:space="0" w:color="auto"/>
              <w:left w:val="single" w:sz="4" w:space="0" w:color="auto"/>
              <w:right w:val="single" w:sz="4" w:space="0" w:color="auto"/>
            </w:tcBorders>
            <w:shd w:val="clear" w:color="auto" w:fill="FFFFFF"/>
          </w:tcPr>
          <w:p w14:paraId="235BF20C"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66539EE1" w14:textId="77777777" w:rsidTr="008C76E0">
        <w:trPr>
          <w:trHeight w:val="604"/>
          <w:jc w:val="center"/>
        </w:trPr>
        <w:tc>
          <w:tcPr>
            <w:tcW w:w="5244" w:type="dxa"/>
            <w:tcBorders>
              <w:top w:val="single" w:sz="4" w:space="0" w:color="auto"/>
              <w:left w:val="single" w:sz="4" w:space="0" w:color="auto"/>
            </w:tcBorders>
            <w:shd w:val="clear" w:color="auto" w:fill="FFFFFF"/>
          </w:tcPr>
          <w:p w14:paraId="4CCF1E41"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lastRenderedPageBreak/>
              <w:t>Հիմնավորումը՝</w:t>
            </w:r>
          </w:p>
        </w:tc>
        <w:tc>
          <w:tcPr>
            <w:tcW w:w="4942" w:type="dxa"/>
            <w:tcBorders>
              <w:top w:val="single" w:sz="4" w:space="0" w:color="auto"/>
              <w:left w:val="single" w:sz="4" w:space="0" w:color="auto"/>
              <w:right w:val="single" w:sz="4" w:space="0" w:color="auto"/>
            </w:tcBorders>
            <w:shd w:val="clear" w:color="auto" w:fill="FFFFFF"/>
          </w:tcPr>
          <w:p w14:paraId="40C87C41"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CEEF080"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310312B4"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Արտադրողը, երկիրը՝</w:t>
            </w:r>
          </w:p>
        </w:tc>
        <w:tc>
          <w:tcPr>
            <w:tcW w:w="4942" w:type="dxa"/>
            <w:tcBorders>
              <w:top w:val="single" w:sz="4" w:space="0" w:color="auto"/>
              <w:left w:val="single" w:sz="4" w:space="0" w:color="auto"/>
              <w:right w:val="single" w:sz="4" w:space="0" w:color="auto"/>
            </w:tcBorders>
            <w:shd w:val="clear" w:color="auto" w:fill="FFFFFF"/>
          </w:tcPr>
          <w:p w14:paraId="5DF14B9F"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261E7527"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458D1AE4"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Սերիան, խմբաքանակը՝</w:t>
            </w:r>
          </w:p>
        </w:tc>
        <w:tc>
          <w:tcPr>
            <w:tcW w:w="4942" w:type="dxa"/>
            <w:tcBorders>
              <w:top w:val="single" w:sz="4" w:space="0" w:color="auto"/>
              <w:left w:val="single" w:sz="4" w:space="0" w:color="auto"/>
              <w:right w:val="single" w:sz="4" w:space="0" w:color="auto"/>
            </w:tcBorders>
            <w:shd w:val="clear" w:color="auto" w:fill="FFFFFF"/>
          </w:tcPr>
          <w:p w14:paraId="514D861A"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339E4B78"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79812D9C"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Պիտանիության ժամկետը՝</w:t>
            </w:r>
          </w:p>
        </w:tc>
        <w:tc>
          <w:tcPr>
            <w:tcW w:w="4942" w:type="dxa"/>
            <w:tcBorders>
              <w:top w:val="single" w:sz="4" w:space="0" w:color="auto"/>
              <w:left w:val="single" w:sz="4" w:space="0" w:color="auto"/>
              <w:right w:val="single" w:sz="4" w:space="0" w:color="auto"/>
            </w:tcBorders>
            <w:shd w:val="clear" w:color="auto" w:fill="FFFFFF"/>
          </w:tcPr>
          <w:p w14:paraId="6BBFAEB5"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0E5DEE5"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5AC1FBDB"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Փորձանմուշները ստանալու ամսաթիվը՝</w:t>
            </w:r>
          </w:p>
        </w:tc>
        <w:tc>
          <w:tcPr>
            <w:tcW w:w="4942" w:type="dxa"/>
            <w:tcBorders>
              <w:top w:val="single" w:sz="4" w:space="0" w:color="auto"/>
              <w:left w:val="single" w:sz="4" w:space="0" w:color="auto"/>
              <w:right w:val="single" w:sz="4" w:space="0" w:color="auto"/>
            </w:tcBorders>
            <w:shd w:val="clear" w:color="auto" w:fill="FFFFFF"/>
          </w:tcPr>
          <w:p w14:paraId="5EE7E26A"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3976B5F5"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0DA49744"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Ներկայացված փորձանմուշների քանակը՝</w:t>
            </w:r>
          </w:p>
        </w:tc>
        <w:tc>
          <w:tcPr>
            <w:tcW w:w="4942" w:type="dxa"/>
            <w:tcBorders>
              <w:top w:val="single" w:sz="4" w:space="0" w:color="auto"/>
              <w:left w:val="single" w:sz="4" w:space="0" w:color="auto"/>
              <w:right w:val="single" w:sz="4" w:space="0" w:color="auto"/>
            </w:tcBorders>
            <w:shd w:val="clear" w:color="auto" w:fill="FFFFFF"/>
          </w:tcPr>
          <w:p w14:paraId="7E4BB549"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94D249E"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1A2F409D"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Փորձարկումները սկսելու ամսաթիվը՝</w:t>
            </w:r>
          </w:p>
        </w:tc>
        <w:tc>
          <w:tcPr>
            <w:tcW w:w="4942" w:type="dxa"/>
            <w:tcBorders>
              <w:top w:val="single" w:sz="4" w:space="0" w:color="auto"/>
              <w:left w:val="single" w:sz="4" w:space="0" w:color="auto"/>
              <w:right w:val="single" w:sz="4" w:space="0" w:color="auto"/>
            </w:tcBorders>
            <w:shd w:val="clear" w:color="auto" w:fill="FFFFFF"/>
          </w:tcPr>
          <w:p w14:paraId="21CE7AE3"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48353D91"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6F82862E"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Փորձարկումներն ավարտելու ամսաթիվը՝</w:t>
            </w:r>
          </w:p>
        </w:tc>
        <w:tc>
          <w:tcPr>
            <w:tcW w:w="4942" w:type="dxa"/>
            <w:tcBorders>
              <w:top w:val="single" w:sz="4" w:space="0" w:color="auto"/>
              <w:left w:val="single" w:sz="4" w:space="0" w:color="auto"/>
              <w:right w:val="single" w:sz="4" w:space="0" w:color="auto"/>
            </w:tcBorders>
            <w:shd w:val="clear" w:color="auto" w:fill="FFFFFF"/>
          </w:tcPr>
          <w:p w14:paraId="7D62892B"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7D0FC1DC" w14:textId="77777777" w:rsidTr="008C76E0">
        <w:trPr>
          <w:trHeight w:val="604"/>
          <w:jc w:val="center"/>
        </w:trPr>
        <w:tc>
          <w:tcPr>
            <w:tcW w:w="5244" w:type="dxa"/>
            <w:tcBorders>
              <w:top w:val="single" w:sz="4" w:space="0" w:color="auto"/>
              <w:left w:val="single" w:sz="4" w:space="0" w:color="auto"/>
            </w:tcBorders>
            <w:shd w:val="clear" w:color="auto" w:fill="FFFFFF"/>
            <w:vAlign w:val="bottom"/>
          </w:tcPr>
          <w:p w14:paraId="3D87C2C3"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 xml:space="preserve">Ջերմաստիճանը </w:t>
            </w:r>
            <w:r w:rsidR="00C54D75">
              <w:rPr>
                <w:rStyle w:val="Bodytext1811pt"/>
                <w:rFonts w:ascii="Sylfaen" w:hAnsi="Sylfaen"/>
                <w:sz w:val="24"/>
                <w:szCs w:val="24"/>
              </w:rPr>
              <w:t>և</w:t>
            </w:r>
            <w:r w:rsidRPr="00BD7577">
              <w:rPr>
                <w:rStyle w:val="Bodytext1811pt"/>
                <w:rFonts w:ascii="Sylfaen" w:hAnsi="Sylfaen"/>
                <w:sz w:val="24"/>
                <w:szCs w:val="24"/>
              </w:rPr>
              <w:t xml:space="preserve"> խոնավությունը՝</w:t>
            </w:r>
          </w:p>
        </w:tc>
        <w:tc>
          <w:tcPr>
            <w:tcW w:w="4942" w:type="dxa"/>
            <w:tcBorders>
              <w:top w:val="single" w:sz="4" w:space="0" w:color="auto"/>
              <w:left w:val="single" w:sz="4" w:space="0" w:color="auto"/>
              <w:right w:val="single" w:sz="4" w:space="0" w:color="auto"/>
            </w:tcBorders>
            <w:shd w:val="clear" w:color="auto" w:fill="FFFFFF"/>
          </w:tcPr>
          <w:p w14:paraId="1C477993"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22E76367" w14:textId="77777777" w:rsidTr="008C76E0">
        <w:trPr>
          <w:trHeight w:val="625"/>
          <w:jc w:val="center"/>
        </w:trPr>
        <w:tc>
          <w:tcPr>
            <w:tcW w:w="5244" w:type="dxa"/>
            <w:tcBorders>
              <w:top w:val="single" w:sz="4" w:space="0" w:color="auto"/>
              <w:left w:val="single" w:sz="4" w:space="0" w:color="auto"/>
              <w:bottom w:val="single" w:sz="4" w:space="0" w:color="auto"/>
            </w:tcBorders>
            <w:shd w:val="clear" w:color="auto" w:fill="FFFFFF"/>
            <w:vAlign w:val="bottom"/>
          </w:tcPr>
          <w:p w14:paraId="608CFD5F" w14:textId="77777777" w:rsidR="008C76E0" w:rsidRPr="00BD7577" w:rsidRDefault="008C76E0" w:rsidP="008C76E0">
            <w:pPr>
              <w:pStyle w:val="Bodytext180"/>
              <w:shd w:val="clear" w:color="auto" w:fill="auto"/>
              <w:spacing w:before="0" w:after="120" w:line="240" w:lineRule="auto"/>
              <w:ind w:left="106" w:firstLine="0"/>
              <w:jc w:val="both"/>
              <w:rPr>
                <w:rFonts w:ascii="Sylfaen" w:hAnsi="Sylfaen"/>
                <w:b w:val="0"/>
                <w:sz w:val="24"/>
                <w:szCs w:val="24"/>
              </w:rPr>
            </w:pPr>
            <w:r w:rsidRPr="00BD7577">
              <w:rPr>
                <w:rStyle w:val="Bodytext1811pt"/>
                <w:rFonts w:ascii="Sylfaen" w:hAnsi="Sylfaen"/>
                <w:sz w:val="24"/>
                <w:szCs w:val="24"/>
              </w:rPr>
              <w:t>Նյութի մասնագրի ծածկագիրը՝</w:t>
            </w:r>
          </w:p>
        </w:tc>
        <w:tc>
          <w:tcPr>
            <w:tcW w:w="4942" w:type="dxa"/>
            <w:tcBorders>
              <w:top w:val="single" w:sz="4" w:space="0" w:color="auto"/>
              <w:left w:val="single" w:sz="4" w:space="0" w:color="auto"/>
              <w:bottom w:val="single" w:sz="4" w:space="0" w:color="auto"/>
              <w:right w:val="single" w:sz="4" w:space="0" w:color="auto"/>
            </w:tcBorders>
            <w:shd w:val="clear" w:color="auto" w:fill="FFFFFF"/>
          </w:tcPr>
          <w:p w14:paraId="1BE10772" w14:textId="77777777" w:rsidR="008C76E0" w:rsidRPr="00BD7577" w:rsidRDefault="008C76E0" w:rsidP="008C76E0">
            <w:pPr>
              <w:spacing w:after="120" w:line="240" w:lineRule="auto"/>
              <w:ind w:firstLine="567"/>
              <w:jc w:val="both"/>
              <w:rPr>
                <w:rFonts w:ascii="Sylfaen" w:hAnsi="Sylfaen"/>
                <w:sz w:val="24"/>
                <w:szCs w:val="24"/>
              </w:rPr>
            </w:pPr>
          </w:p>
        </w:tc>
      </w:tr>
    </w:tbl>
    <w:p w14:paraId="21DD28BB" w14:textId="77777777" w:rsidR="008C76E0" w:rsidRPr="00BD7577" w:rsidRDefault="008C76E0" w:rsidP="008C76E0">
      <w:pPr>
        <w:ind w:right="-1" w:firstLine="567"/>
        <w:jc w:val="both"/>
        <w:rPr>
          <w:rFonts w:ascii="Sylfaen" w:hAnsi="Sylfaen"/>
          <w:sz w:val="24"/>
          <w:szCs w:val="24"/>
        </w:rPr>
      </w:pPr>
    </w:p>
    <w:tbl>
      <w:tblPr>
        <w:tblOverlap w:val="never"/>
        <w:tblW w:w="10162" w:type="dxa"/>
        <w:jc w:val="center"/>
        <w:tblLayout w:type="fixed"/>
        <w:tblCellMar>
          <w:left w:w="10" w:type="dxa"/>
          <w:right w:w="10" w:type="dxa"/>
        </w:tblCellMar>
        <w:tblLook w:val="04A0" w:firstRow="1" w:lastRow="0" w:firstColumn="1" w:lastColumn="0" w:noHBand="0" w:noVBand="1"/>
      </w:tblPr>
      <w:tblGrid>
        <w:gridCol w:w="1972"/>
        <w:gridCol w:w="1909"/>
        <w:gridCol w:w="2653"/>
        <w:gridCol w:w="3628"/>
      </w:tblGrid>
      <w:tr w:rsidR="008C76E0" w:rsidRPr="00BD7577" w14:paraId="3DDCD907" w14:textId="77777777" w:rsidTr="008C76E0">
        <w:trPr>
          <w:trHeight w:val="794"/>
          <w:jc w:val="center"/>
        </w:trPr>
        <w:tc>
          <w:tcPr>
            <w:tcW w:w="10162" w:type="dxa"/>
            <w:gridSpan w:val="4"/>
            <w:shd w:val="clear" w:color="auto" w:fill="FFFFFF"/>
          </w:tcPr>
          <w:p w14:paraId="3C705E42" w14:textId="77777777" w:rsidR="008C76E0" w:rsidRPr="00BD7577" w:rsidRDefault="008C76E0" w:rsidP="008C76E0">
            <w:pPr>
              <w:pStyle w:val="Bodytext180"/>
              <w:shd w:val="clear" w:color="auto" w:fill="auto"/>
              <w:spacing w:before="0" w:after="120" w:line="240" w:lineRule="auto"/>
              <w:ind w:firstLine="567"/>
              <w:jc w:val="center"/>
              <w:rPr>
                <w:rFonts w:ascii="Sylfaen" w:hAnsi="Sylfaen"/>
                <w:b w:val="0"/>
                <w:i/>
                <w:sz w:val="24"/>
                <w:szCs w:val="24"/>
              </w:rPr>
            </w:pPr>
            <w:r w:rsidRPr="00BD7577">
              <w:rPr>
                <w:rStyle w:val="Bodytext295pt"/>
                <w:rFonts w:ascii="Sylfaen" w:hAnsi="Sylfaen"/>
                <w:spacing w:val="0"/>
                <w:sz w:val="24"/>
                <w:szCs w:val="24"/>
              </w:rPr>
              <w:t>Փորձարկումների արդյունքները</w:t>
            </w:r>
          </w:p>
        </w:tc>
      </w:tr>
      <w:tr w:rsidR="008C76E0" w:rsidRPr="00BD7577" w14:paraId="09B0CDF9" w14:textId="77777777" w:rsidTr="008C76E0">
        <w:trPr>
          <w:trHeight w:val="2033"/>
          <w:jc w:val="center"/>
        </w:trPr>
        <w:tc>
          <w:tcPr>
            <w:tcW w:w="1972" w:type="dxa"/>
            <w:tcBorders>
              <w:top w:val="single" w:sz="4" w:space="0" w:color="auto"/>
              <w:left w:val="single" w:sz="4" w:space="0" w:color="auto"/>
            </w:tcBorders>
            <w:shd w:val="clear" w:color="auto" w:fill="FFFFFF"/>
          </w:tcPr>
          <w:p w14:paraId="5C7EAD38"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BD7577">
              <w:rPr>
                <w:rStyle w:val="Bodytext1811pt"/>
                <w:rFonts w:ascii="Sylfaen" w:hAnsi="Sylfaen"/>
                <w:sz w:val="24"/>
                <w:szCs w:val="24"/>
              </w:rPr>
              <w:t xml:space="preserve">Ցուցանիշի անվանումը </w:t>
            </w:r>
            <w:r w:rsidR="00C54D75">
              <w:rPr>
                <w:rStyle w:val="Bodytext1811pt"/>
                <w:rFonts w:ascii="Sylfaen" w:hAnsi="Sylfaen"/>
                <w:sz w:val="24"/>
                <w:szCs w:val="24"/>
              </w:rPr>
              <w:t>և</w:t>
            </w:r>
            <w:r w:rsidRPr="00BD7577">
              <w:rPr>
                <w:rStyle w:val="Bodytext1811pt"/>
                <w:rFonts w:ascii="Sylfaen" w:hAnsi="Sylfaen"/>
                <w:sz w:val="24"/>
                <w:szCs w:val="24"/>
              </w:rPr>
              <w:t xml:space="preserve"> վերլուծական մեթոդիկայի ծածկագիրը</w:t>
            </w:r>
          </w:p>
        </w:tc>
        <w:tc>
          <w:tcPr>
            <w:tcW w:w="1909" w:type="dxa"/>
            <w:tcBorders>
              <w:top w:val="single" w:sz="4" w:space="0" w:color="auto"/>
              <w:left w:val="single" w:sz="4" w:space="0" w:color="auto"/>
            </w:tcBorders>
            <w:shd w:val="clear" w:color="auto" w:fill="FFFFFF"/>
          </w:tcPr>
          <w:p w14:paraId="02C828B8" w14:textId="77777777" w:rsidR="008C76E0" w:rsidRPr="00BD7577" w:rsidRDefault="008C76E0" w:rsidP="008C76E0">
            <w:pPr>
              <w:pStyle w:val="Bodytext180"/>
              <w:shd w:val="clear" w:color="auto" w:fill="auto"/>
              <w:spacing w:before="0" w:after="120" w:line="240" w:lineRule="auto"/>
              <w:ind w:hanging="9"/>
              <w:jc w:val="center"/>
              <w:rPr>
                <w:rFonts w:ascii="Sylfaen" w:hAnsi="Sylfaen"/>
                <w:b w:val="0"/>
                <w:sz w:val="24"/>
                <w:szCs w:val="24"/>
              </w:rPr>
            </w:pPr>
            <w:r w:rsidRPr="00BD7577">
              <w:rPr>
                <w:rStyle w:val="Bodytext1811pt"/>
                <w:rFonts w:ascii="Sylfaen" w:hAnsi="Sylfaen"/>
                <w:sz w:val="24"/>
                <w:szCs w:val="24"/>
              </w:rPr>
              <w:t>Նորմատիվ փաստաթղթերի պահանջները</w:t>
            </w:r>
          </w:p>
        </w:tc>
        <w:tc>
          <w:tcPr>
            <w:tcW w:w="2653" w:type="dxa"/>
            <w:tcBorders>
              <w:top w:val="single" w:sz="4" w:space="0" w:color="auto"/>
              <w:left w:val="single" w:sz="4" w:space="0" w:color="auto"/>
            </w:tcBorders>
            <w:shd w:val="clear" w:color="auto" w:fill="FFFFFF"/>
          </w:tcPr>
          <w:p w14:paraId="53CED97C" w14:textId="77777777" w:rsidR="008C76E0" w:rsidRPr="00BD7577" w:rsidRDefault="008C76E0" w:rsidP="008C76E0">
            <w:pPr>
              <w:pStyle w:val="Bodytext180"/>
              <w:shd w:val="clear" w:color="auto" w:fill="auto"/>
              <w:spacing w:before="0" w:after="120" w:line="240" w:lineRule="auto"/>
              <w:ind w:hanging="9"/>
              <w:jc w:val="center"/>
              <w:rPr>
                <w:rFonts w:ascii="Sylfaen" w:hAnsi="Sylfaen"/>
                <w:b w:val="0"/>
                <w:sz w:val="24"/>
                <w:szCs w:val="24"/>
              </w:rPr>
            </w:pPr>
            <w:r w:rsidRPr="00BD7577">
              <w:rPr>
                <w:rStyle w:val="Bodytext1811pt"/>
                <w:rFonts w:ascii="Sylfaen" w:hAnsi="Sylfaen"/>
                <w:sz w:val="24"/>
                <w:szCs w:val="24"/>
              </w:rPr>
              <w:t>Փաստացի ստացված արդյունքները</w:t>
            </w:r>
          </w:p>
        </w:tc>
        <w:tc>
          <w:tcPr>
            <w:tcW w:w="3628" w:type="dxa"/>
            <w:tcBorders>
              <w:top w:val="single" w:sz="4" w:space="0" w:color="auto"/>
              <w:left w:val="single" w:sz="4" w:space="0" w:color="auto"/>
              <w:right w:val="single" w:sz="4" w:space="0" w:color="auto"/>
            </w:tcBorders>
            <w:shd w:val="clear" w:color="auto" w:fill="FFFFFF"/>
          </w:tcPr>
          <w:p w14:paraId="417A3E32" w14:textId="77777777" w:rsidR="008C76E0" w:rsidRPr="00BD7577" w:rsidRDefault="008C76E0" w:rsidP="008C76E0">
            <w:pPr>
              <w:pStyle w:val="Bodytext180"/>
              <w:shd w:val="clear" w:color="auto" w:fill="auto"/>
              <w:spacing w:before="0" w:after="120" w:line="240" w:lineRule="auto"/>
              <w:ind w:hanging="8"/>
              <w:jc w:val="center"/>
              <w:rPr>
                <w:rFonts w:ascii="Sylfaen" w:hAnsi="Sylfaen"/>
                <w:b w:val="0"/>
                <w:sz w:val="24"/>
                <w:szCs w:val="24"/>
              </w:rPr>
            </w:pPr>
            <w:r w:rsidRPr="00BD7577">
              <w:rPr>
                <w:rStyle w:val="Bodytext1811pt"/>
                <w:rFonts w:ascii="Sylfaen" w:hAnsi="Sylfaen"/>
                <w:sz w:val="24"/>
                <w:szCs w:val="24"/>
              </w:rPr>
              <w:t>Համապատասխանության հետ կապված եզրահանգումը (համապատասխանում է կամ չի համապատասխանում)</w:t>
            </w:r>
          </w:p>
        </w:tc>
      </w:tr>
      <w:tr w:rsidR="008C76E0" w:rsidRPr="00BD7577" w14:paraId="595A09C4" w14:textId="77777777" w:rsidTr="008C76E0">
        <w:trPr>
          <w:trHeight w:val="765"/>
          <w:jc w:val="center"/>
        </w:trPr>
        <w:tc>
          <w:tcPr>
            <w:tcW w:w="1972" w:type="dxa"/>
            <w:tcBorders>
              <w:top w:val="single" w:sz="4" w:space="0" w:color="auto"/>
              <w:left w:val="single" w:sz="4" w:space="0" w:color="auto"/>
            </w:tcBorders>
            <w:shd w:val="clear" w:color="auto" w:fill="FFFFFF"/>
          </w:tcPr>
          <w:p w14:paraId="5EDA79B6" w14:textId="77777777" w:rsidR="008C76E0" w:rsidRPr="00BD7577" w:rsidRDefault="008C76E0" w:rsidP="008C76E0">
            <w:pPr>
              <w:spacing w:after="120" w:line="240" w:lineRule="auto"/>
              <w:ind w:firstLine="567"/>
              <w:jc w:val="both"/>
              <w:rPr>
                <w:rFonts w:ascii="Sylfaen" w:hAnsi="Sylfaen"/>
                <w:sz w:val="24"/>
                <w:szCs w:val="24"/>
              </w:rPr>
            </w:pPr>
          </w:p>
        </w:tc>
        <w:tc>
          <w:tcPr>
            <w:tcW w:w="1909" w:type="dxa"/>
            <w:tcBorders>
              <w:top w:val="single" w:sz="4" w:space="0" w:color="auto"/>
              <w:left w:val="single" w:sz="4" w:space="0" w:color="auto"/>
            </w:tcBorders>
            <w:shd w:val="clear" w:color="auto" w:fill="FFFFFF"/>
          </w:tcPr>
          <w:p w14:paraId="7E7C140E" w14:textId="77777777" w:rsidR="008C76E0" w:rsidRPr="00BD7577" w:rsidRDefault="008C76E0" w:rsidP="008C76E0">
            <w:pPr>
              <w:spacing w:after="120" w:line="240" w:lineRule="auto"/>
              <w:ind w:firstLine="567"/>
              <w:jc w:val="both"/>
              <w:rPr>
                <w:rFonts w:ascii="Sylfaen" w:hAnsi="Sylfaen"/>
                <w:sz w:val="24"/>
                <w:szCs w:val="24"/>
              </w:rPr>
            </w:pPr>
          </w:p>
        </w:tc>
        <w:tc>
          <w:tcPr>
            <w:tcW w:w="2653" w:type="dxa"/>
            <w:tcBorders>
              <w:top w:val="single" w:sz="4" w:space="0" w:color="auto"/>
              <w:left w:val="single" w:sz="4" w:space="0" w:color="auto"/>
            </w:tcBorders>
            <w:shd w:val="clear" w:color="auto" w:fill="FFFFFF"/>
          </w:tcPr>
          <w:p w14:paraId="791A4E39" w14:textId="77777777" w:rsidR="008C76E0" w:rsidRPr="00BD7577" w:rsidRDefault="008C76E0" w:rsidP="008C76E0">
            <w:pPr>
              <w:spacing w:after="120" w:line="240" w:lineRule="auto"/>
              <w:ind w:firstLine="567"/>
              <w:jc w:val="both"/>
              <w:rPr>
                <w:rFonts w:ascii="Sylfaen" w:hAnsi="Sylfaen"/>
                <w:sz w:val="24"/>
                <w:szCs w:val="24"/>
              </w:rPr>
            </w:pPr>
          </w:p>
        </w:tc>
        <w:tc>
          <w:tcPr>
            <w:tcW w:w="3628" w:type="dxa"/>
            <w:tcBorders>
              <w:top w:val="single" w:sz="4" w:space="0" w:color="auto"/>
              <w:left w:val="single" w:sz="4" w:space="0" w:color="auto"/>
              <w:right w:val="single" w:sz="4" w:space="0" w:color="auto"/>
            </w:tcBorders>
            <w:shd w:val="clear" w:color="auto" w:fill="FFFFFF"/>
          </w:tcPr>
          <w:p w14:paraId="0137EBB4"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0F4D6AF5" w14:textId="77777777" w:rsidTr="008C76E0">
        <w:trPr>
          <w:trHeight w:val="794"/>
          <w:jc w:val="center"/>
        </w:trPr>
        <w:tc>
          <w:tcPr>
            <w:tcW w:w="1972" w:type="dxa"/>
            <w:tcBorders>
              <w:top w:val="single" w:sz="4" w:space="0" w:color="auto"/>
              <w:left w:val="single" w:sz="4" w:space="0" w:color="auto"/>
            </w:tcBorders>
            <w:shd w:val="clear" w:color="auto" w:fill="FFFFFF"/>
          </w:tcPr>
          <w:p w14:paraId="6E3598F1" w14:textId="77777777" w:rsidR="008C76E0" w:rsidRPr="00BD7577" w:rsidRDefault="008C76E0" w:rsidP="008C76E0">
            <w:pPr>
              <w:spacing w:after="120" w:line="240" w:lineRule="auto"/>
              <w:ind w:firstLine="567"/>
              <w:jc w:val="both"/>
              <w:rPr>
                <w:rFonts w:ascii="Sylfaen" w:hAnsi="Sylfaen"/>
                <w:sz w:val="24"/>
                <w:szCs w:val="24"/>
              </w:rPr>
            </w:pPr>
          </w:p>
        </w:tc>
        <w:tc>
          <w:tcPr>
            <w:tcW w:w="1909" w:type="dxa"/>
            <w:tcBorders>
              <w:top w:val="single" w:sz="4" w:space="0" w:color="auto"/>
              <w:left w:val="single" w:sz="4" w:space="0" w:color="auto"/>
            </w:tcBorders>
            <w:shd w:val="clear" w:color="auto" w:fill="FFFFFF"/>
          </w:tcPr>
          <w:p w14:paraId="19393AB5" w14:textId="77777777" w:rsidR="008C76E0" w:rsidRPr="00BD7577" w:rsidRDefault="008C76E0" w:rsidP="008C76E0">
            <w:pPr>
              <w:spacing w:after="120" w:line="240" w:lineRule="auto"/>
              <w:ind w:firstLine="567"/>
              <w:jc w:val="both"/>
              <w:rPr>
                <w:rFonts w:ascii="Sylfaen" w:hAnsi="Sylfaen"/>
                <w:sz w:val="24"/>
                <w:szCs w:val="24"/>
              </w:rPr>
            </w:pPr>
          </w:p>
        </w:tc>
        <w:tc>
          <w:tcPr>
            <w:tcW w:w="2653" w:type="dxa"/>
            <w:tcBorders>
              <w:top w:val="single" w:sz="4" w:space="0" w:color="auto"/>
              <w:left w:val="single" w:sz="4" w:space="0" w:color="auto"/>
            </w:tcBorders>
            <w:shd w:val="clear" w:color="auto" w:fill="FFFFFF"/>
          </w:tcPr>
          <w:p w14:paraId="438DED9F" w14:textId="77777777" w:rsidR="008C76E0" w:rsidRPr="00BD7577" w:rsidRDefault="008C76E0" w:rsidP="008C76E0">
            <w:pPr>
              <w:spacing w:after="120" w:line="240" w:lineRule="auto"/>
              <w:ind w:firstLine="567"/>
              <w:jc w:val="both"/>
              <w:rPr>
                <w:rFonts w:ascii="Sylfaen" w:hAnsi="Sylfaen"/>
                <w:sz w:val="24"/>
                <w:szCs w:val="24"/>
              </w:rPr>
            </w:pPr>
          </w:p>
        </w:tc>
        <w:tc>
          <w:tcPr>
            <w:tcW w:w="3628" w:type="dxa"/>
            <w:tcBorders>
              <w:top w:val="single" w:sz="4" w:space="0" w:color="auto"/>
              <w:left w:val="single" w:sz="4" w:space="0" w:color="auto"/>
              <w:right w:val="single" w:sz="4" w:space="0" w:color="auto"/>
            </w:tcBorders>
            <w:shd w:val="clear" w:color="auto" w:fill="FFFFFF"/>
          </w:tcPr>
          <w:p w14:paraId="36E1CB9F" w14:textId="77777777" w:rsidR="008C76E0" w:rsidRPr="00BD7577" w:rsidRDefault="008C76E0" w:rsidP="008C76E0">
            <w:pPr>
              <w:spacing w:after="120" w:line="240" w:lineRule="auto"/>
              <w:ind w:firstLine="567"/>
              <w:jc w:val="both"/>
              <w:rPr>
                <w:rFonts w:ascii="Sylfaen" w:hAnsi="Sylfaen"/>
                <w:sz w:val="24"/>
                <w:szCs w:val="24"/>
              </w:rPr>
            </w:pPr>
          </w:p>
        </w:tc>
      </w:tr>
      <w:tr w:rsidR="008C76E0" w:rsidRPr="00BD7577" w14:paraId="15ACD7A3" w14:textId="77777777" w:rsidTr="008C76E0">
        <w:trPr>
          <w:trHeight w:val="820"/>
          <w:jc w:val="center"/>
        </w:trPr>
        <w:tc>
          <w:tcPr>
            <w:tcW w:w="1972" w:type="dxa"/>
            <w:tcBorders>
              <w:top w:val="single" w:sz="4" w:space="0" w:color="auto"/>
              <w:left w:val="single" w:sz="4" w:space="0" w:color="auto"/>
              <w:bottom w:val="single" w:sz="4" w:space="0" w:color="auto"/>
            </w:tcBorders>
            <w:shd w:val="clear" w:color="auto" w:fill="FFFFFF"/>
          </w:tcPr>
          <w:p w14:paraId="280CE477" w14:textId="77777777" w:rsidR="008C76E0" w:rsidRPr="00BD7577" w:rsidRDefault="008C76E0" w:rsidP="008C76E0">
            <w:pPr>
              <w:spacing w:after="120" w:line="240" w:lineRule="auto"/>
              <w:ind w:firstLine="567"/>
              <w:jc w:val="both"/>
              <w:rPr>
                <w:rFonts w:ascii="Sylfaen" w:hAnsi="Sylfaen"/>
                <w:sz w:val="24"/>
                <w:szCs w:val="24"/>
              </w:rPr>
            </w:pPr>
          </w:p>
        </w:tc>
        <w:tc>
          <w:tcPr>
            <w:tcW w:w="1909" w:type="dxa"/>
            <w:tcBorders>
              <w:top w:val="single" w:sz="4" w:space="0" w:color="auto"/>
              <w:left w:val="single" w:sz="4" w:space="0" w:color="auto"/>
              <w:bottom w:val="single" w:sz="4" w:space="0" w:color="auto"/>
            </w:tcBorders>
            <w:shd w:val="clear" w:color="auto" w:fill="FFFFFF"/>
          </w:tcPr>
          <w:p w14:paraId="11A56A32" w14:textId="77777777" w:rsidR="008C76E0" w:rsidRPr="00BD7577" w:rsidRDefault="008C76E0" w:rsidP="008C76E0">
            <w:pPr>
              <w:spacing w:after="120" w:line="240" w:lineRule="auto"/>
              <w:ind w:firstLine="567"/>
              <w:jc w:val="both"/>
              <w:rPr>
                <w:rFonts w:ascii="Sylfaen" w:hAnsi="Sylfaen"/>
                <w:sz w:val="24"/>
                <w:szCs w:val="24"/>
              </w:rPr>
            </w:pPr>
          </w:p>
        </w:tc>
        <w:tc>
          <w:tcPr>
            <w:tcW w:w="2653" w:type="dxa"/>
            <w:tcBorders>
              <w:top w:val="single" w:sz="4" w:space="0" w:color="auto"/>
              <w:left w:val="single" w:sz="4" w:space="0" w:color="auto"/>
              <w:bottom w:val="single" w:sz="4" w:space="0" w:color="auto"/>
            </w:tcBorders>
            <w:shd w:val="clear" w:color="auto" w:fill="FFFFFF"/>
          </w:tcPr>
          <w:p w14:paraId="11E7C626" w14:textId="77777777" w:rsidR="008C76E0" w:rsidRPr="00BD7577" w:rsidRDefault="008C76E0" w:rsidP="008C76E0">
            <w:pPr>
              <w:spacing w:after="120" w:line="240" w:lineRule="auto"/>
              <w:ind w:firstLine="567"/>
              <w:jc w:val="both"/>
              <w:rPr>
                <w:rFonts w:ascii="Sylfaen" w:hAnsi="Sylfaen"/>
                <w:sz w:val="24"/>
                <w:szCs w:val="24"/>
              </w:rPr>
            </w:pPr>
          </w:p>
        </w:tc>
        <w:tc>
          <w:tcPr>
            <w:tcW w:w="3628" w:type="dxa"/>
            <w:tcBorders>
              <w:top w:val="single" w:sz="4" w:space="0" w:color="auto"/>
              <w:left w:val="single" w:sz="4" w:space="0" w:color="auto"/>
              <w:bottom w:val="single" w:sz="4" w:space="0" w:color="auto"/>
              <w:right w:val="single" w:sz="4" w:space="0" w:color="auto"/>
            </w:tcBorders>
            <w:shd w:val="clear" w:color="auto" w:fill="FFFFFF"/>
          </w:tcPr>
          <w:p w14:paraId="03A96C4F" w14:textId="77777777" w:rsidR="008C76E0" w:rsidRPr="00BD7577" w:rsidRDefault="008C76E0" w:rsidP="008C76E0">
            <w:pPr>
              <w:spacing w:after="120" w:line="240" w:lineRule="auto"/>
              <w:ind w:firstLine="567"/>
              <w:jc w:val="both"/>
              <w:rPr>
                <w:rFonts w:ascii="Sylfaen" w:hAnsi="Sylfaen"/>
                <w:sz w:val="24"/>
                <w:szCs w:val="24"/>
              </w:rPr>
            </w:pPr>
          </w:p>
        </w:tc>
      </w:tr>
    </w:tbl>
    <w:p w14:paraId="22D93FE4" w14:textId="77777777" w:rsidR="008C76E0" w:rsidRDefault="008C76E0" w:rsidP="008C76E0">
      <w:pPr>
        <w:ind w:firstLine="567"/>
        <w:jc w:val="both"/>
        <w:rPr>
          <w:rFonts w:ascii="Sylfaen" w:hAnsi="Sylfaen"/>
          <w:sz w:val="24"/>
          <w:szCs w:val="24"/>
        </w:rPr>
      </w:pPr>
    </w:p>
    <w:p w14:paraId="0374BFBC" w14:textId="77777777" w:rsidR="008C76E0" w:rsidRDefault="008C76E0" w:rsidP="008C76E0">
      <w:pPr>
        <w:widowControl/>
        <w:rPr>
          <w:rFonts w:ascii="Sylfaen" w:hAnsi="Sylfaen"/>
          <w:sz w:val="24"/>
          <w:szCs w:val="24"/>
        </w:rPr>
      </w:pPr>
      <w:r>
        <w:rPr>
          <w:rFonts w:ascii="Sylfaen" w:hAnsi="Sylfaen"/>
          <w:sz w:val="24"/>
          <w:szCs w:val="24"/>
        </w:rPr>
        <w:br w:type="page"/>
      </w:r>
    </w:p>
    <w:p w14:paraId="30EC41BA" w14:textId="77777777" w:rsidR="008C76E0" w:rsidRPr="00BD7577" w:rsidRDefault="008C76E0" w:rsidP="004B393A">
      <w:pPr>
        <w:spacing w:after="160" w:line="360" w:lineRule="auto"/>
        <w:ind w:firstLine="567"/>
        <w:jc w:val="center"/>
        <w:rPr>
          <w:rFonts w:ascii="Sylfaen" w:hAnsi="Sylfaen"/>
          <w:sz w:val="24"/>
          <w:szCs w:val="24"/>
        </w:rPr>
      </w:pPr>
      <w:r w:rsidRPr="00BD7577">
        <w:rPr>
          <w:rFonts w:ascii="Sylfaen" w:hAnsi="Sylfaen"/>
          <w:sz w:val="24"/>
          <w:szCs w:val="24"/>
        </w:rPr>
        <w:lastRenderedPageBreak/>
        <w:t>Եզրակացությունը</w:t>
      </w:r>
    </w:p>
    <w:p w14:paraId="72A23969"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Ներկայացված փորձանմուշները համապատասխանում են (չեն համապատասխանում) նորմատիվ փաստաթղթերի պահանջներին:</w:t>
      </w:r>
    </w:p>
    <w:p w14:paraId="54815DDD" w14:textId="77777777" w:rsidR="008C76E0" w:rsidRPr="00BD7577" w:rsidRDefault="008C76E0" w:rsidP="004B393A">
      <w:pPr>
        <w:tabs>
          <w:tab w:val="left" w:pos="1418"/>
        </w:tabs>
        <w:spacing w:after="160" w:line="360" w:lineRule="auto"/>
        <w:ind w:firstLine="567"/>
        <w:jc w:val="both"/>
        <w:rPr>
          <w:rFonts w:ascii="Sylfaen" w:hAnsi="Sylfaen"/>
          <w:sz w:val="24"/>
          <w:szCs w:val="24"/>
        </w:rPr>
      </w:pPr>
      <w:r w:rsidRPr="00BD7577">
        <w:rPr>
          <w:rFonts w:ascii="Sylfaen" w:hAnsi="Sylfaen"/>
          <w:sz w:val="24"/>
          <w:szCs w:val="24"/>
        </w:rPr>
        <w:t>Փորձարկումների արդյունքները չեն համապատասխանում նորմատիվ փաստաթղթերի պահանջներին հետ</w:t>
      </w:r>
      <w:r w:rsidR="00C54D75">
        <w:rPr>
          <w:rFonts w:ascii="Sylfaen" w:hAnsi="Sylfaen"/>
          <w:sz w:val="24"/>
          <w:szCs w:val="24"/>
        </w:rPr>
        <w:t>և</w:t>
      </w:r>
      <w:r w:rsidRPr="00BD7577">
        <w:rPr>
          <w:rFonts w:ascii="Sylfaen" w:hAnsi="Sylfaen"/>
          <w:sz w:val="24"/>
          <w:szCs w:val="24"/>
        </w:rPr>
        <w:t>յալ ցուցանիշների մասով՝</w:t>
      </w:r>
    </w:p>
    <w:p w14:paraId="01FAD6B5" w14:textId="77777777" w:rsidR="008C76E0" w:rsidRPr="00BD7577" w:rsidRDefault="008C76E0" w:rsidP="004B393A">
      <w:pPr>
        <w:pStyle w:val="Bodytext150"/>
        <w:shd w:val="clear" w:color="auto" w:fill="auto"/>
        <w:tabs>
          <w:tab w:val="left" w:pos="1418"/>
        </w:tabs>
        <w:spacing w:after="160" w:line="360" w:lineRule="auto"/>
        <w:ind w:firstLine="567"/>
        <w:jc w:val="both"/>
        <w:rPr>
          <w:rFonts w:ascii="Sylfaen" w:hAnsi="Sylfaen"/>
          <w:b w:val="0"/>
          <w:spacing w:val="0"/>
          <w:sz w:val="24"/>
          <w:szCs w:val="24"/>
        </w:rPr>
      </w:pPr>
      <w:r w:rsidRPr="00BD7577">
        <w:rPr>
          <w:rFonts w:ascii="Sylfaen" w:hAnsi="Sylfaen"/>
          <w:b w:val="0"/>
          <w:spacing w:val="0"/>
          <w:sz w:val="24"/>
          <w:szCs w:val="24"/>
        </w:rPr>
        <w:t>1.</w:t>
      </w:r>
      <w:r w:rsidRPr="00BD7577">
        <w:rPr>
          <w:rFonts w:ascii="Sylfaen" w:hAnsi="Sylfaen"/>
          <w:b w:val="0"/>
          <w:spacing w:val="0"/>
          <w:sz w:val="24"/>
          <w:szCs w:val="24"/>
        </w:rPr>
        <w:tab/>
        <w:t>...</w:t>
      </w:r>
    </w:p>
    <w:p w14:paraId="0F0B950E" w14:textId="77777777" w:rsidR="008C76E0" w:rsidRPr="00BD7577" w:rsidRDefault="008C76E0" w:rsidP="004B393A">
      <w:pPr>
        <w:pStyle w:val="Bodytext160"/>
        <w:shd w:val="clear" w:color="auto" w:fill="auto"/>
        <w:tabs>
          <w:tab w:val="left" w:pos="1418"/>
        </w:tabs>
        <w:spacing w:after="160" w:line="360" w:lineRule="auto"/>
        <w:ind w:firstLine="567"/>
        <w:jc w:val="both"/>
        <w:rPr>
          <w:rFonts w:ascii="Sylfaen" w:hAnsi="Sylfaen"/>
          <w:b w:val="0"/>
          <w:spacing w:val="0"/>
          <w:sz w:val="24"/>
          <w:szCs w:val="24"/>
        </w:rPr>
      </w:pPr>
      <w:r w:rsidRPr="00BD7577">
        <w:rPr>
          <w:rStyle w:val="Bodytext295pt"/>
          <w:rFonts w:ascii="Sylfaen" w:eastAsia="CordiaUPC" w:hAnsi="Sylfaen"/>
          <w:spacing w:val="0"/>
          <w:sz w:val="24"/>
          <w:szCs w:val="24"/>
        </w:rPr>
        <w:t>2</w:t>
      </w:r>
      <w:r w:rsidRPr="00BD7577">
        <w:rPr>
          <w:rFonts w:ascii="Sylfaen" w:hAnsi="Sylfaen"/>
          <w:b w:val="0"/>
          <w:spacing w:val="0"/>
          <w:sz w:val="24"/>
          <w:szCs w:val="24"/>
        </w:rPr>
        <w:t>.</w:t>
      </w:r>
      <w:r w:rsidRPr="00BD7577">
        <w:rPr>
          <w:rFonts w:ascii="Sylfaen" w:hAnsi="Sylfaen"/>
          <w:b w:val="0"/>
          <w:spacing w:val="0"/>
          <w:sz w:val="24"/>
          <w:szCs w:val="24"/>
        </w:rPr>
        <w:tab/>
        <w:t>...</w:t>
      </w:r>
    </w:p>
    <w:tbl>
      <w:tblPr>
        <w:tblOverlap w:val="never"/>
        <w:tblW w:w="10882" w:type="dxa"/>
        <w:jc w:val="center"/>
        <w:tblLayout w:type="fixed"/>
        <w:tblCellMar>
          <w:left w:w="10" w:type="dxa"/>
          <w:right w:w="10" w:type="dxa"/>
        </w:tblCellMar>
        <w:tblLook w:val="04A0" w:firstRow="1" w:lastRow="0" w:firstColumn="1" w:lastColumn="0" w:noHBand="0" w:noVBand="1"/>
      </w:tblPr>
      <w:tblGrid>
        <w:gridCol w:w="4565"/>
        <w:gridCol w:w="2590"/>
        <w:gridCol w:w="3727"/>
      </w:tblGrid>
      <w:tr w:rsidR="008C76E0" w:rsidRPr="00BD7577" w14:paraId="799FB52A" w14:textId="77777777" w:rsidTr="008C76E0">
        <w:trPr>
          <w:jc w:val="center"/>
        </w:trPr>
        <w:tc>
          <w:tcPr>
            <w:tcW w:w="4565" w:type="dxa"/>
            <w:shd w:val="clear" w:color="auto" w:fill="FFFFFF"/>
            <w:vAlign w:val="center"/>
          </w:tcPr>
          <w:p w14:paraId="4A61EF83" w14:textId="77777777" w:rsidR="008C76E0" w:rsidRPr="00BD7577" w:rsidRDefault="008C76E0" w:rsidP="008C76E0">
            <w:pPr>
              <w:pStyle w:val="Bodytext180"/>
              <w:shd w:val="clear" w:color="auto" w:fill="auto"/>
              <w:spacing w:before="0" w:after="120" w:line="240" w:lineRule="auto"/>
              <w:ind w:left="87" w:firstLine="0"/>
              <w:rPr>
                <w:rFonts w:ascii="Sylfaen" w:hAnsi="Sylfaen"/>
                <w:b w:val="0"/>
                <w:sz w:val="24"/>
                <w:szCs w:val="24"/>
              </w:rPr>
            </w:pPr>
            <w:r w:rsidRPr="00BD7577">
              <w:rPr>
                <w:rStyle w:val="Bodytext295pt"/>
                <w:rFonts w:ascii="Sylfaen" w:hAnsi="Sylfaen"/>
                <w:spacing w:val="0"/>
                <w:sz w:val="24"/>
                <w:szCs w:val="24"/>
              </w:rPr>
              <w:t>Փորձարկման կենտրոնի տնօրեն (փորձարկման լաբորատորիայի վարիչ)</w:t>
            </w:r>
          </w:p>
        </w:tc>
        <w:tc>
          <w:tcPr>
            <w:tcW w:w="2590" w:type="dxa"/>
            <w:shd w:val="clear" w:color="auto" w:fill="FFFFFF"/>
            <w:vAlign w:val="center"/>
          </w:tcPr>
          <w:p w14:paraId="2A2E52A0" w14:textId="77777777" w:rsidR="008C76E0" w:rsidRPr="00BD7577" w:rsidRDefault="008C76E0" w:rsidP="008C76E0">
            <w:pPr>
              <w:pStyle w:val="Bodytext180"/>
              <w:shd w:val="clear" w:color="auto" w:fill="auto"/>
              <w:spacing w:before="0" w:after="120" w:line="240" w:lineRule="auto"/>
              <w:ind w:left="75" w:right="12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w:t>
            </w:r>
            <w:r w:rsidRPr="00BD7577">
              <w:rPr>
                <w:rStyle w:val="Bodytext295pt"/>
                <w:rFonts w:ascii="Sylfaen" w:hAnsi="Sylfaen"/>
                <w:spacing w:val="0"/>
                <w:sz w:val="24"/>
                <w:szCs w:val="24"/>
                <w:lang w:val="en-US"/>
              </w:rPr>
              <w:t>_________</w:t>
            </w:r>
            <w:r w:rsidRPr="00BD7577">
              <w:rPr>
                <w:rStyle w:val="Bodytext295pt"/>
                <w:rFonts w:ascii="Sylfaen" w:hAnsi="Sylfaen"/>
                <w:spacing w:val="0"/>
                <w:sz w:val="24"/>
                <w:szCs w:val="24"/>
              </w:rPr>
              <w:t>________</w:t>
            </w:r>
          </w:p>
          <w:p w14:paraId="4E249C64" w14:textId="77777777" w:rsidR="008C76E0" w:rsidRPr="00BD7577" w:rsidRDefault="008C76E0" w:rsidP="008C76E0">
            <w:pPr>
              <w:pStyle w:val="Bodytext180"/>
              <w:shd w:val="clear" w:color="auto" w:fill="auto"/>
              <w:spacing w:before="0" w:after="120" w:line="240" w:lineRule="auto"/>
              <w:ind w:left="75" w:right="122" w:firstLine="0"/>
              <w:jc w:val="center"/>
              <w:rPr>
                <w:rFonts w:ascii="Sylfaen" w:hAnsi="Sylfaen"/>
                <w:b w:val="0"/>
                <w:sz w:val="24"/>
                <w:szCs w:val="24"/>
              </w:rPr>
            </w:pPr>
            <w:r w:rsidRPr="00BD7577">
              <w:rPr>
                <w:rStyle w:val="Bodytext295pt"/>
                <w:rFonts w:ascii="Sylfaen" w:hAnsi="Sylfaen"/>
                <w:spacing w:val="0"/>
                <w:sz w:val="24"/>
                <w:szCs w:val="24"/>
              </w:rPr>
              <w:t>(ստորագրությունը)</w:t>
            </w:r>
          </w:p>
        </w:tc>
        <w:tc>
          <w:tcPr>
            <w:tcW w:w="3727" w:type="dxa"/>
            <w:shd w:val="clear" w:color="auto" w:fill="FFFFFF"/>
            <w:vAlign w:val="center"/>
          </w:tcPr>
          <w:p w14:paraId="6D90811E" w14:textId="77777777" w:rsidR="008C76E0" w:rsidRPr="00BD7577" w:rsidRDefault="008C76E0" w:rsidP="008C76E0">
            <w:pPr>
              <w:pStyle w:val="Bodytext180"/>
              <w:shd w:val="clear" w:color="auto" w:fill="auto"/>
              <w:spacing w:before="0" w:after="120" w:line="240" w:lineRule="auto"/>
              <w:ind w:left="20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w:t>
            </w:r>
            <w:r w:rsidRPr="00BD7577">
              <w:rPr>
                <w:rStyle w:val="Bodytext295pt"/>
                <w:rFonts w:ascii="Sylfaen" w:hAnsi="Sylfaen"/>
                <w:spacing w:val="0"/>
                <w:sz w:val="24"/>
                <w:szCs w:val="24"/>
                <w:lang w:val="en-US"/>
              </w:rPr>
              <w:t>___</w:t>
            </w:r>
            <w:r w:rsidRPr="00BD7577">
              <w:rPr>
                <w:rStyle w:val="Bodytext295pt"/>
                <w:rFonts w:ascii="Sylfaen" w:hAnsi="Sylfaen"/>
                <w:spacing w:val="0"/>
                <w:sz w:val="24"/>
                <w:szCs w:val="24"/>
              </w:rPr>
              <w:t>_</w:t>
            </w:r>
            <w:r w:rsidRPr="00BD7577">
              <w:rPr>
                <w:rStyle w:val="Bodytext295pt"/>
                <w:rFonts w:ascii="Sylfaen" w:hAnsi="Sylfaen"/>
                <w:spacing w:val="0"/>
                <w:sz w:val="24"/>
                <w:szCs w:val="24"/>
                <w:lang w:val="en-US"/>
              </w:rPr>
              <w:t>___</w:t>
            </w:r>
            <w:r w:rsidRPr="00BD7577">
              <w:rPr>
                <w:rStyle w:val="Bodytext295pt"/>
                <w:rFonts w:ascii="Sylfaen" w:hAnsi="Sylfaen"/>
                <w:spacing w:val="0"/>
                <w:sz w:val="24"/>
                <w:szCs w:val="24"/>
              </w:rPr>
              <w:t>_____</w:t>
            </w:r>
          </w:p>
          <w:p w14:paraId="5BB63F1A" w14:textId="77777777" w:rsidR="008C76E0" w:rsidRPr="00BD7577" w:rsidRDefault="008C76E0" w:rsidP="008C76E0">
            <w:pPr>
              <w:pStyle w:val="Bodytext180"/>
              <w:shd w:val="clear" w:color="auto" w:fill="auto"/>
              <w:spacing w:before="0" w:after="120" w:line="240" w:lineRule="auto"/>
              <w:ind w:left="202" w:firstLine="0"/>
              <w:jc w:val="center"/>
              <w:rPr>
                <w:rFonts w:ascii="Sylfaen" w:hAnsi="Sylfaen"/>
                <w:b w:val="0"/>
                <w:sz w:val="24"/>
                <w:szCs w:val="24"/>
              </w:rPr>
            </w:pPr>
            <w:r w:rsidRPr="00BD7577">
              <w:rPr>
                <w:rStyle w:val="Bodytext295pt"/>
                <w:rFonts w:ascii="Sylfaen" w:hAnsi="Sylfaen"/>
                <w:spacing w:val="0"/>
                <w:sz w:val="24"/>
                <w:szCs w:val="24"/>
              </w:rPr>
              <w:t>(Ա.Ա.Հ.- ն)</w:t>
            </w:r>
          </w:p>
        </w:tc>
      </w:tr>
      <w:tr w:rsidR="008C76E0" w:rsidRPr="00BD7577" w14:paraId="752D573C" w14:textId="77777777" w:rsidTr="008C76E0">
        <w:trPr>
          <w:jc w:val="center"/>
        </w:trPr>
        <w:tc>
          <w:tcPr>
            <w:tcW w:w="4565" w:type="dxa"/>
            <w:shd w:val="clear" w:color="auto" w:fill="FFFFFF"/>
            <w:vAlign w:val="center"/>
          </w:tcPr>
          <w:p w14:paraId="7EF5FB99" w14:textId="77777777" w:rsidR="008C76E0" w:rsidRPr="00BD7577" w:rsidRDefault="008C76E0" w:rsidP="008C76E0">
            <w:pPr>
              <w:pStyle w:val="Bodytext180"/>
              <w:shd w:val="clear" w:color="auto" w:fill="auto"/>
              <w:spacing w:before="0" w:after="120" w:line="240" w:lineRule="auto"/>
              <w:ind w:left="87" w:firstLine="0"/>
              <w:rPr>
                <w:rFonts w:ascii="Sylfaen" w:hAnsi="Sylfaen"/>
                <w:b w:val="0"/>
                <w:sz w:val="24"/>
                <w:szCs w:val="24"/>
              </w:rPr>
            </w:pPr>
            <w:r w:rsidRPr="00BD7577">
              <w:rPr>
                <w:rStyle w:val="Bodytext295pt"/>
                <w:rFonts w:ascii="Sylfaen" w:hAnsi="Sylfaen"/>
                <w:spacing w:val="0"/>
                <w:sz w:val="24"/>
                <w:szCs w:val="24"/>
              </w:rPr>
              <w:t>Փորձարկման լաբորատորիայի մասնագետ</w:t>
            </w:r>
          </w:p>
        </w:tc>
        <w:tc>
          <w:tcPr>
            <w:tcW w:w="2590" w:type="dxa"/>
            <w:shd w:val="clear" w:color="auto" w:fill="FFFFFF"/>
            <w:vAlign w:val="center"/>
          </w:tcPr>
          <w:p w14:paraId="3DC219CA" w14:textId="77777777" w:rsidR="008C76E0" w:rsidRPr="00BD7577" w:rsidRDefault="008C76E0" w:rsidP="008C76E0">
            <w:pPr>
              <w:pStyle w:val="Bodytext180"/>
              <w:shd w:val="clear" w:color="auto" w:fill="auto"/>
              <w:spacing w:before="0" w:after="120" w:line="240" w:lineRule="auto"/>
              <w:ind w:left="75" w:right="12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w:t>
            </w:r>
            <w:r w:rsidRPr="00BD7577">
              <w:rPr>
                <w:rStyle w:val="Bodytext295pt"/>
                <w:rFonts w:ascii="Sylfaen" w:hAnsi="Sylfaen"/>
                <w:spacing w:val="0"/>
                <w:sz w:val="24"/>
                <w:szCs w:val="24"/>
                <w:lang w:val="en-US"/>
              </w:rPr>
              <w:t>___</w:t>
            </w:r>
            <w:r w:rsidRPr="00BD7577">
              <w:rPr>
                <w:rStyle w:val="Bodytext295pt"/>
                <w:rFonts w:ascii="Sylfaen" w:hAnsi="Sylfaen"/>
                <w:spacing w:val="0"/>
                <w:sz w:val="24"/>
                <w:szCs w:val="24"/>
              </w:rPr>
              <w:t>___</w:t>
            </w:r>
            <w:r w:rsidRPr="00BD7577">
              <w:rPr>
                <w:rStyle w:val="Bodytext295pt"/>
                <w:rFonts w:ascii="Sylfaen" w:hAnsi="Sylfaen"/>
                <w:spacing w:val="0"/>
                <w:sz w:val="24"/>
                <w:szCs w:val="24"/>
                <w:lang w:val="en-US"/>
              </w:rPr>
              <w:t>______</w:t>
            </w:r>
            <w:r w:rsidRPr="00BD7577">
              <w:rPr>
                <w:rStyle w:val="Bodytext295pt"/>
                <w:rFonts w:ascii="Sylfaen" w:hAnsi="Sylfaen"/>
                <w:spacing w:val="0"/>
                <w:sz w:val="24"/>
                <w:szCs w:val="24"/>
              </w:rPr>
              <w:t>____</w:t>
            </w:r>
          </w:p>
          <w:p w14:paraId="5A6421F0" w14:textId="77777777" w:rsidR="008C76E0" w:rsidRPr="00BD7577" w:rsidRDefault="008C76E0" w:rsidP="008C76E0">
            <w:pPr>
              <w:pStyle w:val="Bodytext180"/>
              <w:shd w:val="clear" w:color="auto" w:fill="auto"/>
              <w:spacing w:before="0" w:after="120" w:line="240" w:lineRule="auto"/>
              <w:ind w:left="75" w:right="122" w:firstLine="0"/>
              <w:jc w:val="center"/>
              <w:rPr>
                <w:rFonts w:ascii="Sylfaen" w:hAnsi="Sylfaen"/>
                <w:b w:val="0"/>
                <w:sz w:val="24"/>
                <w:szCs w:val="24"/>
              </w:rPr>
            </w:pPr>
            <w:r w:rsidRPr="00BD7577">
              <w:rPr>
                <w:rStyle w:val="Bodytext295pt"/>
                <w:rFonts w:ascii="Sylfaen" w:hAnsi="Sylfaen"/>
                <w:spacing w:val="0"/>
                <w:sz w:val="24"/>
                <w:szCs w:val="24"/>
              </w:rPr>
              <w:t>(ստորագրությունը)</w:t>
            </w:r>
          </w:p>
        </w:tc>
        <w:tc>
          <w:tcPr>
            <w:tcW w:w="3727" w:type="dxa"/>
            <w:shd w:val="clear" w:color="auto" w:fill="FFFFFF"/>
            <w:vAlign w:val="center"/>
          </w:tcPr>
          <w:p w14:paraId="4E76DFEF" w14:textId="77777777" w:rsidR="008C76E0" w:rsidRPr="00BD7577" w:rsidRDefault="008C76E0" w:rsidP="008C76E0">
            <w:pPr>
              <w:pStyle w:val="Bodytext180"/>
              <w:shd w:val="clear" w:color="auto" w:fill="auto"/>
              <w:spacing w:before="0" w:after="120" w:line="240" w:lineRule="auto"/>
              <w:ind w:left="20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_____</w:t>
            </w:r>
            <w:r w:rsidRPr="00BD7577">
              <w:rPr>
                <w:rStyle w:val="Bodytext295pt"/>
                <w:rFonts w:ascii="Sylfaen" w:hAnsi="Sylfaen"/>
                <w:spacing w:val="0"/>
                <w:sz w:val="24"/>
                <w:szCs w:val="24"/>
                <w:lang w:val="en-US"/>
              </w:rPr>
              <w:t>_______</w:t>
            </w:r>
            <w:r w:rsidRPr="00BD7577">
              <w:rPr>
                <w:rStyle w:val="Bodytext295pt"/>
                <w:rFonts w:ascii="Sylfaen" w:hAnsi="Sylfaen"/>
                <w:spacing w:val="0"/>
                <w:sz w:val="24"/>
                <w:szCs w:val="24"/>
              </w:rPr>
              <w:t>____</w:t>
            </w:r>
          </w:p>
          <w:p w14:paraId="4179B54E" w14:textId="77777777" w:rsidR="008C76E0" w:rsidRPr="00BD7577" w:rsidRDefault="008C76E0" w:rsidP="008C76E0">
            <w:pPr>
              <w:pStyle w:val="Bodytext180"/>
              <w:shd w:val="clear" w:color="auto" w:fill="auto"/>
              <w:spacing w:before="0" w:after="120" w:line="240" w:lineRule="auto"/>
              <w:ind w:left="202" w:firstLine="0"/>
              <w:jc w:val="center"/>
              <w:rPr>
                <w:rFonts w:ascii="Sylfaen" w:hAnsi="Sylfaen"/>
                <w:b w:val="0"/>
                <w:sz w:val="24"/>
                <w:szCs w:val="24"/>
              </w:rPr>
            </w:pPr>
            <w:r w:rsidRPr="00BD7577">
              <w:rPr>
                <w:rStyle w:val="Bodytext295pt"/>
                <w:rFonts w:ascii="Sylfaen" w:hAnsi="Sylfaen"/>
                <w:spacing w:val="0"/>
                <w:sz w:val="24"/>
                <w:szCs w:val="24"/>
              </w:rPr>
              <w:t>(Ա.Ա.Հ.-ն)</w:t>
            </w:r>
          </w:p>
        </w:tc>
      </w:tr>
      <w:tr w:rsidR="008C76E0" w:rsidRPr="00BD7577" w14:paraId="43629FE0" w14:textId="77777777" w:rsidTr="008C76E0">
        <w:trPr>
          <w:trHeight w:val="900"/>
          <w:jc w:val="center"/>
        </w:trPr>
        <w:tc>
          <w:tcPr>
            <w:tcW w:w="4565" w:type="dxa"/>
            <w:shd w:val="clear" w:color="auto" w:fill="FFFFFF"/>
            <w:vAlign w:val="center"/>
          </w:tcPr>
          <w:p w14:paraId="67789A32" w14:textId="77777777" w:rsidR="008C76E0" w:rsidRPr="00BD7577" w:rsidRDefault="008C76E0" w:rsidP="008C76E0">
            <w:pPr>
              <w:spacing w:after="120" w:line="240" w:lineRule="auto"/>
              <w:ind w:left="87"/>
              <w:rPr>
                <w:rFonts w:ascii="Sylfaen" w:hAnsi="Sylfaen"/>
                <w:sz w:val="24"/>
                <w:szCs w:val="24"/>
              </w:rPr>
            </w:pPr>
          </w:p>
        </w:tc>
        <w:tc>
          <w:tcPr>
            <w:tcW w:w="2590" w:type="dxa"/>
            <w:shd w:val="clear" w:color="auto" w:fill="FFFFFF"/>
            <w:vAlign w:val="center"/>
          </w:tcPr>
          <w:p w14:paraId="18C064AE" w14:textId="77777777" w:rsidR="008C76E0" w:rsidRPr="00BD7577" w:rsidRDefault="008C76E0" w:rsidP="008C76E0">
            <w:pPr>
              <w:pStyle w:val="Bodytext180"/>
              <w:shd w:val="clear" w:color="auto" w:fill="auto"/>
              <w:spacing w:before="0" w:after="120" w:line="240" w:lineRule="auto"/>
              <w:ind w:left="75" w:right="12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____</w:t>
            </w:r>
            <w:r w:rsidRPr="00BD7577">
              <w:rPr>
                <w:rStyle w:val="Bodytext295pt"/>
                <w:rFonts w:ascii="Sylfaen" w:hAnsi="Sylfaen"/>
                <w:spacing w:val="0"/>
                <w:sz w:val="24"/>
                <w:szCs w:val="24"/>
                <w:lang w:val="en-US"/>
              </w:rPr>
              <w:t>_________</w:t>
            </w:r>
            <w:r w:rsidRPr="00BD7577">
              <w:rPr>
                <w:rStyle w:val="Bodytext295pt"/>
                <w:rFonts w:ascii="Sylfaen" w:hAnsi="Sylfaen"/>
                <w:spacing w:val="0"/>
                <w:sz w:val="24"/>
                <w:szCs w:val="24"/>
              </w:rPr>
              <w:t>_____</w:t>
            </w:r>
          </w:p>
          <w:p w14:paraId="27E32BFF" w14:textId="77777777" w:rsidR="008C76E0" w:rsidRPr="00BD7577" w:rsidRDefault="008C76E0" w:rsidP="008C76E0">
            <w:pPr>
              <w:pStyle w:val="Bodytext180"/>
              <w:spacing w:before="0" w:after="120" w:line="240" w:lineRule="auto"/>
              <w:ind w:left="75" w:right="122" w:firstLine="0"/>
              <w:jc w:val="center"/>
              <w:rPr>
                <w:rFonts w:ascii="Sylfaen" w:hAnsi="Sylfaen"/>
                <w:b w:val="0"/>
                <w:sz w:val="24"/>
                <w:szCs w:val="24"/>
              </w:rPr>
            </w:pPr>
            <w:r w:rsidRPr="00BD7577">
              <w:rPr>
                <w:rStyle w:val="Bodytext295pt"/>
                <w:rFonts w:ascii="Sylfaen" w:hAnsi="Sylfaen"/>
                <w:spacing w:val="0"/>
                <w:sz w:val="24"/>
                <w:szCs w:val="24"/>
              </w:rPr>
              <w:t>(ստորագրությունը)</w:t>
            </w:r>
          </w:p>
        </w:tc>
        <w:tc>
          <w:tcPr>
            <w:tcW w:w="3727" w:type="dxa"/>
            <w:shd w:val="clear" w:color="auto" w:fill="FFFFFF"/>
            <w:vAlign w:val="center"/>
          </w:tcPr>
          <w:p w14:paraId="511BA5BC" w14:textId="77777777" w:rsidR="008C76E0" w:rsidRPr="00BD7577" w:rsidRDefault="008C76E0" w:rsidP="008C76E0">
            <w:pPr>
              <w:pStyle w:val="Bodytext180"/>
              <w:shd w:val="clear" w:color="auto" w:fill="auto"/>
              <w:spacing w:before="0" w:after="120" w:line="240" w:lineRule="auto"/>
              <w:ind w:left="20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w:t>
            </w:r>
            <w:r w:rsidRPr="00BD7577">
              <w:rPr>
                <w:rStyle w:val="Bodytext295pt"/>
                <w:rFonts w:ascii="Sylfaen" w:hAnsi="Sylfaen"/>
                <w:spacing w:val="0"/>
                <w:sz w:val="24"/>
                <w:szCs w:val="24"/>
                <w:lang w:val="en-US"/>
              </w:rPr>
              <w:t>___</w:t>
            </w:r>
            <w:r w:rsidRPr="00BD7577">
              <w:rPr>
                <w:rStyle w:val="Bodytext295pt"/>
                <w:rFonts w:ascii="Sylfaen" w:hAnsi="Sylfaen"/>
                <w:spacing w:val="0"/>
                <w:sz w:val="24"/>
                <w:szCs w:val="24"/>
              </w:rPr>
              <w:t>___</w:t>
            </w:r>
            <w:r w:rsidRPr="00BD7577">
              <w:rPr>
                <w:rStyle w:val="Bodytext295pt"/>
                <w:rFonts w:ascii="Sylfaen" w:hAnsi="Sylfaen"/>
                <w:spacing w:val="0"/>
                <w:sz w:val="24"/>
                <w:szCs w:val="24"/>
                <w:lang w:val="en-US"/>
              </w:rPr>
              <w:t>____</w:t>
            </w:r>
            <w:r w:rsidRPr="00BD7577">
              <w:rPr>
                <w:rStyle w:val="Bodytext295pt"/>
                <w:rFonts w:ascii="Sylfaen" w:hAnsi="Sylfaen"/>
                <w:spacing w:val="0"/>
                <w:sz w:val="24"/>
                <w:szCs w:val="24"/>
              </w:rPr>
              <w:t>___</w:t>
            </w:r>
          </w:p>
          <w:p w14:paraId="2CB1FDCE" w14:textId="77777777" w:rsidR="008C76E0" w:rsidRPr="00BD7577" w:rsidRDefault="008C76E0" w:rsidP="008C76E0">
            <w:pPr>
              <w:pStyle w:val="Bodytext180"/>
              <w:shd w:val="clear" w:color="auto" w:fill="auto"/>
              <w:spacing w:before="0" w:after="120" w:line="240" w:lineRule="auto"/>
              <w:ind w:left="202" w:firstLine="0"/>
              <w:jc w:val="center"/>
              <w:rPr>
                <w:rFonts w:ascii="Sylfaen" w:hAnsi="Sylfaen"/>
                <w:b w:val="0"/>
                <w:bCs w:val="0"/>
                <w:sz w:val="24"/>
                <w:szCs w:val="24"/>
              </w:rPr>
            </w:pPr>
            <w:r w:rsidRPr="00BD7577">
              <w:rPr>
                <w:rStyle w:val="Bodytext295pt"/>
                <w:rFonts w:ascii="Sylfaen" w:hAnsi="Sylfaen"/>
                <w:spacing w:val="0"/>
                <w:sz w:val="24"/>
                <w:szCs w:val="24"/>
              </w:rPr>
              <w:t>(Ա.Ա.Հ.-ն)</w:t>
            </w:r>
          </w:p>
        </w:tc>
      </w:tr>
      <w:tr w:rsidR="008C76E0" w:rsidRPr="00BD7577" w14:paraId="34C05E96" w14:textId="77777777" w:rsidTr="008C76E0">
        <w:trPr>
          <w:trHeight w:val="855"/>
          <w:jc w:val="center"/>
        </w:trPr>
        <w:tc>
          <w:tcPr>
            <w:tcW w:w="4565" w:type="dxa"/>
            <w:shd w:val="clear" w:color="auto" w:fill="FFFFFF"/>
            <w:vAlign w:val="center"/>
          </w:tcPr>
          <w:p w14:paraId="399C3EA0" w14:textId="77777777" w:rsidR="008C76E0" w:rsidRPr="00BD7577" w:rsidRDefault="008C76E0" w:rsidP="008C76E0">
            <w:pPr>
              <w:spacing w:after="120" w:line="240" w:lineRule="auto"/>
              <w:ind w:left="87"/>
              <w:rPr>
                <w:rFonts w:ascii="Sylfaen" w:hAnsi="Sylfaen"/>
                <w:sz w:val="24"/>
                <w:szCs w:val="24"/>
              </w:rPr>
            </w:pPr>
          </w:p>
        </w:tc>
        <w:tc>
          <w:tcPr>
            <w:tcW w:w="2590" w:type="dxa"/>
            <w:shd w:val="clear" w:color="auto" w:fill="FFFFFF"/>
            <w:vAlign w:val="center"/>
          </w:tcPr>
          <w:p w14:paraId="3A1B4955" w14:textId="77777777" w:rsidR="008C76E0" w:rsidRPr="00BD7577" w:rsidRDefault="008C76E0" w:rsidP="008C76E0">
            <w:pPr>
              <w:pStyle w:val="Bodytext180"/>
              <w:shd w:val="clear" w:color="auto" w:fill="auto"/>
              <w:spacing w:before="0" w:after="120" w:line="240" w:lineRule="auto"/>
              <w:ind w:left="75" w:right="12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____</w:t>
            </w:r>
            <w:r w:rsidRPr="00BD7577">
              <w:rPr>
                <w:rStyle w:val="Bodytext295pt"/>
                <w:rFonts w:ascii="Sylfaen" w:hAnsi="Sylfaen"/>
                <w:spacing w:val="0"/>
                <w:sz w:val="24"/>
                <w:szCs w:val="24"/>
                <w:lang w:val="en-US"/>
              </w:rPr>
              <w:t>_________</w:t>
            </w:r>
            <w:r w:rsidRPr="00BD7577">
              <w:rPr>
                <w:rStyle w:val="Bodytext295pt"/>
                <w:rFonts w:ascii="Sylfaen" w:hAnsi="Sylfaen"/>
                <w:spacing w:val="0"/>
                <w:sz w:val="24"/>
                <w:szCs w:val="24"/>
              </w:rPr>
              <w:t>_____</w:t>
            </w:r>
          </w:p>
          <w:p w14:paraId="43D9071D" w14:textId="77777777" w:rsidR="008C76E0" w:rsidRPr="00BD7577" w:rsidRDefault="008C76E0" w:rsidP="008C76E0">
            <w:pPr>
              <w:pStyle w:val="Bodytext180"/>
              <w:spacing w:before="0" w:after="120" w:line="240" w:lineRule="auto"/>
              <w:ind w:left="75" w:right="12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(ստորագրությունը)</w:t>
            </w:r>
          </w:p>
        </w:tc>
        <w:tc>
          <w:tcPr>
            <w:tcW w:w="3727" w:type="dxa"/>
            <w:shd w:val="clear" w:color="auto" w:fill="FFFFFF"/>
            <w:vAlign w:val="center"/>
          </w:tcPr>
          <w:p w14:paraId="77F2B714" w14:textId="77777777" w:rsidR="008C76E0" w:rsidRPr="00BD7577" w:rsidRDefault="008C76E0" w:rsidP="008C76E0">
            <w:pPr>
              <w:pStyle w:val="Bodytext180"/>
              <w:shd w:val="clear" w:color="auto" w:fill="auto"/>
              <w:spacing w:before="0" w:after="120" w:line="240" w:lineRule="auto"/>
              <w:ind w:left="20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_______</w:t>
            </w:r>
            <w:r w:rsidRPr="00BD7577">
              <w:rPr>
                <w:rStyle w:val="Bodytext295pt"/>
                <w:rFonts w:ascii="Sylfaen" w:hAnsi="Sylfaen"/>
                <w:spacing w:val="0"/>
                <w:sz w:val="24"/>
                <w:szCs w:val="24"/>
                <w:lang w:val="en-US"/>
              </w:rPr>
              <w:t>_______</w:t>
            </w:r>
            <w:r w:rsidRPr="00BD7577">
              <w:rPr>
                <w:rStyle w:val="Bodytext295pt"/>
                <w:rFonts w:ascii="Sylfaen" w:hAnsi="Sylfaen"/>
                <w:spacing w:val="0"/>
                <w:sz w:val="24"/>
                <w:szCs w:val="24"/>
              </w:rPr>
              <w:t>__</w:t>
            </w:r>
          </w:p>
          <w:p w14:paraId="35666869" w14:textId="77777777" w:rsidR="008C76E0" w:rsidRPr="00BD7577" w:rsidRDefault="008C76E0" w:rsidP="008C76E0">
            <w:pPr>
              <w:pStyle w:val="Bodytext180"/>
              <w:spacing w:before="0" w:after="120" w:line="240" w:lineRule="auto"/>
              <w:ind w:left="202" w:firstLine="0"/>
              <w:jc w:val="center"/>
              <w:rPr>
                <w:rStyle w:val="Bodytext295pt"/>
                <w:rFonts w:ascii="Sylfaen" w:eastAsia="CordiaUPC" w:hAnsi="Sylfaen"/>
                <w:spacing w:val="0"/>
                <w:sz w:val="24"/>
                <w:szCs w:val="24"/>
              </w:rPr>
            </w:pPr>
            <w:r w:rsidRPr="00BD7577">
              <w:rPr>
                <w:rStyle w:val="Bodytext295pt"/>
                <w:rFonts w:ascii="Sylfaen" w:hAnsi="Sylfaen"/>
                <w:spacing w:val="0"/>
                <w:sz w:val="24"/>
                <w:szCs w:val="24"/>
              </w:rPr>
              <w:t>(Ա.Ա.Հ.-ն)</w:t>
            </w:r>
          </w:p>
        </w:tc>
      </w:tr>
    </w:tbl>
    <w:p w14:paraId="52F95D2F" w14:textId="77777777" w:rsidR="008C76E0" w:rsidRPr="00BD7577" w:rsidRDefault="008C76E0" w:rsidP="008C76E0">
      <w:pPr>
        <w:ind w:right="-1" w:firstLine="567"/>
        <w:jc w:val="both"/>
        <w:rPr>
          <w:rFonts w:ascii="Sylfaen" w:hAnsi="Sylfaen"/>
          <w:sz w:val="24"/>
          <w:szCs w:val="24"/>
        </w:rPr>
      </w:pPr>
    </w:p>
    <w:p w14:paraId="4378B2DC" w14:textId="77777777" w:rsidR="008C76E0" w:rsidRPr="00BD7577" w:rsidRDefault="008C76E0" w:rsidP="00DB2544">
      <w:pPr>
        <w:spacing w:after="160" w:line="360" w:lineRule="auto"/>
        <w:ind w:firstLine="567"/>
        <w:jc w:val="both"/>
        <w:rPr>
          <w:rFonts w:ascii="Sylfaen" w:hAnsi="Sylfaen"/>
          <w:sz w:val="24"/>
          <w:szCs w:val="24"/>
        </w:rPr>
      </w:pPr>
      <w:r w:rsidRPr="00BD7577">
        <w:rPr>
          <w:rFonts w:ascii="Sylfaen" w:hAnsi="Sylfaen"/>
          <w:sz w:val="24"/>
          <w:szCs w:val="24"/>
        </w:rPr>
        <w:t>Փորձարկումների արդյունքները տարածվում են միայն փորձարկման ենթարկված փորձանմուշների վրա:</w:t>
      </w:r>
    </w:p>
    <w:p w14:paraId="08727326" w14:textId="77777777" w:rsidR="008C76E0" w:rsidRPr="00BD7577" w:rsidRDefault="008C76E0" w:rsidP="00DB2544">
      <w:pPr>
        <w:spacing w:after="160" w:line="360" w:lineRule="auto"/>
        <w:ind w:firstLine="567"/>
        <w:jc w:val="both"/>
        <w:rPr>
          <w:rFonts w:ascii="Sylfaen" w:hAnsi="Sylfaen"/>
          <w:sz w:val="24"/>
          <w:szCs w:val="24"/>
        </w:rPr>
      </w:pPr>
      <w:r w:rsidRPr="00BD7577">
        <w:rPr>
          <w:rFonts w:ascii="Sylfaen" w:hAnsi="Sylfaen"/>
          <w:sz w:val="24"/>
          <w:szCs w:val="24"/>
        </w:rPr>
        <w:t>Արձանագրության ամբողջական կամ մասնակի վերարտադրումը, առանց փորձարկման լաբորատորիայի (կենտրոնի) թույլտվության, արգելված է:</w:t>
      </w:r>
    </w:p>
    <w:p w14:paraId="29B82863" w14:textId="77777777" w:rsidR="008C76E0" w:rsidRPr="00905F38" w:rsidRDefault="008C76E0" w:rsidP="00DB2544">
      <w:pPr>
        <w:spacing w:after="160" w:line="360" w:lineRule="auto"/>
        <w:jc w:val="both"/>
        <w:rPr>
          <w:rFonts w:ascii="Sylfaen" w:eastAsia="Times New Roman" w:hAnsi="Sylfaen" w:cs="Times New Roman"/>
          <w:sz w:val="24"/>
          <w:szCs w:val="24"/>
        </w:rPr>
      </w:pPr>
    </w:p>
    <w:p w14:paraId="18F21E8E" w14:textId="77777777" w:rsidR="004B393A" w:rsidRDefault="004B393A" w:rsidP="008C76E0">
      <w:pPr>
        <w:ind w:left="4395" w:right="-1"/>
        <w:jc w:val="center"/>
        <w:rPr>
          <w:rFonts w:ascii="Sylfaen" w:hAnsi="Sylfaen"/>
          <w:sz w:val="24"/>
          <w:szCs w:val="24"/>
        </w:rPr>
        <w:sectPr w:rsidR="004B393A" w:rsidSect="00F8005E">
          <w:pgSz w:w="11907" w:h="16839" w:code="9"/>
          <w:pgMar w:top="1418" w:right="1418" w:bottom="1418" w:left="1418" w:header="709" w:footer="709" w:gutter="0"/>
          <w:pgNumType w:start="1"/>
          <w:cols w:space="708"/>
          <w:titlePg/>
          <w:docGrid w:linePitch="360"/>
        </w:sectPr>
      </w:pPr>
    </w:p>
    <w:p w14:paraId="1B8AF718" w14:textId="77777777" w:rsidR="008C76E0" w:rsidRPr="00BD7577" w:rsidRDefault="008C76E0" w:rsidP="004B393A">
      <w:pPr>
        <w:spacing w:after="160" w:line="360" w:lineRule="auto"/>
        <w:ind w:left="4395" w:right="-1"/>
        <w:jc w:val="center"/>
        <w:rPr>
          <w:rFonts w:ascii="Sylfaen" w:hAnsi="Sylfaen"/>
          <w:sz w:val="24"/>
          <w:szCs w:val="24"/>
        </w:rPr>
      </w:pPr>
      <w:r w:rsidRPr="00BD7577">
        <w:rPr>
          <w:rFonts w:ascii="Sylfaen" w:hAnsi="Sylfaen"/>
          <w:sz w:val="24"/>
          <w:szCs w:val="24"/>
        </w:rPr>
        <w:lastRenderedPageBreak/>
        <w:t>ՀԱՎԵԼՎԱԾ ԹԻՎ 13</w:t>
      </w:r>
    </w:p>
    <w:p w14:paraId="3D360E77" w14:textId="77777777" w:rsidR="008C76E0" w:rsidRPr="00BD7577" w:rsidRDefault="008C76E0" w:rsidP="004B393A">
      <w:pPr>
        <w:spacing w:after="160" w:line="360" w:lineRule="auto"/>
        <w:ind w:left="4395" w:right="-1"/>
        <w:jc w:val="center"/>
        <w:rPr>
          <w:rFonts w:ascii="Sylfaen" w:hAnsi="Sylfaen"/>
          <w:sz w:val="24"/>
          <w:szCs w:val="24"/>
        </w:rPr>
      </w:pPr>
      <w:r w:rsidRPr="00BD7577">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w:t>
      </w:r>
    </w:p>
    <w:p w14:paraId="5DD5AE4A" w14:textId="77777777" w:rsidR="008C76E0" w:rsidRPr="00BD7577" w:rsidRDefault="008C76E0" w:rsidP="004B393A">
      <w:pPr>
        <w:spacing w:after="160" w:line="360" w:lineRule="auto"/>
        <w:ind w:right="-1" w:firstLine="567"/>
        <w:jc w:val="both"/>
        <w:rPr>
          <w:rFonts w:ascii="Sylfaen" w:hAnsi="Sylfaen"/>
          <w:sz w:val="24"/>
          <w:szCs w:val="24"/>
        </w:rPr>
      </w:pPr>
    </w:p>
    <w:p w14:paraId="698C3C86" w14:textId="77777777" w:rsidR="008C76E0" w:rsidRPr="008C76E0" w:rsidRDefault="008C76E0" w:rsidP="004B393A">
      <w:pPr>
        <w:pStyle w:val="Heading130"/>
        <w:shd w:val="clear" w:color="auto" w:fill="auto"/>
        <w:spacing w:before="0" w:after="160" w:line="360" w:lineRule="auto"/>
        <w:ind w:left="567" w:right="565"/>
        <w:outlineLvl w:val="9"/>
        <w:rPr>
          <w:rFonts w:ascii="Sylfaen" w:hAnsi="Sylfaen"/>
          <w:b/>
          <w:sz w:val="24"/>
          <w:szCs w:val="24"/>
          <w:lang w:val="hy-AM"/>
        </w:rPr>
      </w:pPr>
      <w:bookmarkStart w:id="7" w:name="bookmark8"/>
      <w:r w:rsidRPr="008C76E0">
        <w:rPr>
          <w:rStyle w:val="Heading13Bold"/>
          <w:rFonts w:ascii="Sylfaen" w:hAnsi="Sylfaen"/>
          <w:b/>
          <w:sz w:val="24"/>
          <w:szCs w:val="24"/>
          <w:lang w:val="hy-AM"/>
        </w:rPr>
        <w:t>ՑՈՒՑՈՒՄՆԵՐ</w:t>
      </w:r>
      <w:bookmarkEnd w:id="7"/>
    </w:p>
    <w:p w14:paraId="43FAD33F" w14:textId="77777777" w:rsidR="008C76E0" w:rsidRPr="008C76E0" w:rsidRDefault="008C76E0" w:rsidP="004B393A">
      <w:pPr>
        <w:pStyle w:val="Bodytext130"/>
        <w:shd w:val="clear" w:color="auto" w:fill="auto"/>
        <w:spacing w:after="160" w:line="360" w:lineRule="auto"/>
        <w:ind w:left="567" w:right="565"/>
        <w:rPr>
          <w:rFonts w:ascii="Sylfaen" w:hAnsi="Sylfaen"/>
          <w:sz w:val="24"/>
          <w:szCs w:val="24"/>
          <w:lang w:val="hy-AM"/>
        </w:rPr>
      </w:pPr>
      <w:r w:rsidRPr="008C76E0">
        <w:rPr>
          <w:rFonts w:ascii="Sylfaen" w:hAnsi="Sylfaen"/>
          <w:sz w:val="24"/>
          <w:szCs w:val="24"/>
          <w:lang w:val="hy-AM"/>
        </w:rPr>
        <w:t>Նախակլինիկական (ոչ կլինիկական) հետազոտությունների արդյունքների գնահատման վերաբերյալ փորձագիտական հաշվետվություն կազմելու վերաբերյալ</w:t>
      </w:r>
    </w:p>
    <w:p w14:paraId="0886E750" w14:textId="77777777" w:rsidR="008C76E0" w:rsidRPr="008C76E0" w:rsidRDefault="008C76E0" w:rsidP="004B393A">
      <w:pPr>
        <w:pStyle w:val="Bodytext130"/>
        <w:shd w:val="clear" w:color="auto" w:fill="auto"/>
        <w:spacing w:after="160" w:line="360" w:lineRule="auto"/>
        <w:ind w:left="567" w:right="565"/>
        <w:rPr>
          <w:rFonts w:ascii="Sylfaen" w:hAnsi="Sylfaen"/>
          <w:b w:val="0"/>
          <w:sz w:val="24"/>
          <w:szCs w:val="24"/>
          <w:lang w:val="hy-AM"/>
        </w:rPr>
      </w:pPr>
    </w:p>
    <w:p w14:paraId="3A64B038" w14:textId="77777777" w:rsidR="008C76E0" w:rsidRPr="00BD7577" w:rsidRDefault="008C76E0" w:rsidP="004B393A">
      <w:pPr>
        <w:spacing w:after="160" w:line="360" w:lineRule="auto"/>
        <w:ind w:left="567" w:right="565"/>
        <w:jc w:val="center"/>
        <w:rPr>
          <w:rFonts w:ascii="Sylfaen" w:hAnsi="Sylfaen"/>
          <w:sz w:val="24"/>
          <w:szCs w:val="24"/>
        </w:rPr>
      </w:pPr>
      <w:r w:rsidRPr="00BD7577">
        <w:rPr>
          <w:rFonts w:ascii="Sylfaen" w:hAnsi="Sylfaen"/>
          <w:sz w:val="24"/>
          <w:szCs w:val="24"/>
        </w:rPr>
        <w:t>I. Ընդհանուր դրույթներ</w:t>
      </w:r>
    </w:p>
    <w:p w14:paraId="43C92B1C"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Նախակլինիկական (ոչ կլինիկական) հետազոտությունների արդյունքների գնահատման վերաբերյալ փորձագիտական հաշվետվությունը (այսուհետ՝ հաշվետվություն) պետք է լինի բավականաչափ մանրամասնեցված, որպեսզի հնարավոր լինի անցկացնել դրա կրկնակի գնահատումը Եվրասիական տնտեսական միության անդամ պետությունների լիազորված մարմինների </w:t>
      </w:r>
      <w:r w:rsidR="00C54D75">
        <w:rPr>
          <w:rFonts w:ascii="Sylfaen" w:hAnsi="Sylfaen"/>
          <w:sz w:val="24"/>
          <w:szCs w:val="24"/>
        </w:rPr>
        <w:t>և</w:t>
      </w:r>
      <w:r w:rsidRPr="00BD7577">
        <w:rPr>
          <w:rFonts w:ascii="Sylfaen" w:hAnsi="Sylfaen"/>
          <w:sz w:val="24"/>
          <w:szCs w:val="24"/>
        </w:rPr>
        <w:t xml:space="preserve"> կազմակերպությունների այլ փորձագետների կողմից: </w:t>
      </w:r>
    </w:p>
    <w:p w14:paraId="1787B80D"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Հաշվետվության մեջ պետք է նկարագրվեն հետազոտությունների առավել բնորոշ արդյունքները, մասնավորապես այնպիսիք, որոնք վերաբերում են թերություններին, ինչպես նա</w:t>
      </w:r>
      <w:r w:rsidR="00C54D75">
        <w:rPr>
          <w:rFonts w:ascii="Sylfaen" w:hAnsi="Sylfaen"/>
          <w:sz w:val="24"/>
          <w:szCs w:val="24"/>
        </w:rPr>
        <w:t>և</w:t>
      </w:r>
      <w:r w:rsidRPr="00BD7577">
        <w:rPr>
          <w:rFonts w:ascii="Sylfaen" w:hAnsi="Sylfaen"/>
          <w:sz w:val="24"/>
          <w:szCs w:val="24"/>
        </w:rPr>
        <w:t xml:space="preserve"> պետք է տրվեն հիմնավորված դիտողություններ, որոնք ներկայացվում են հայտատուին: Տվյալ դիտողությունները պետք է նա</w:t>
      </w:r>
      <w:r w:rsidR="00C54D75">
        <w:rPr>
          <w:rFonts w:ascii="Sylfaen" w:hAnsi="Sylfaen"/>
          <w:sz w:val="24"/>
          <w:szCs w:val="24"/>
        </w:rPr>
        <w:t>և</w:t>
      </w:r>
      <w:r w:rsidRPr="00BD7577">
        <w:rPr>
          <w:rFonts w:ascii="Sylfaen" w:hAnsi="Sylfaen"/>
          <w:sz w:val="24"/>
          <w:szCs w:val="24"/>
        </w:rPr>
        <w:t xml:space="preserve"> թվարկվեն «Անվտանգության, որակի, արդյունավետության գնահատում» ամփոփ փորձագիտական հաշվետվության մեջ:</w:t>
      </w:r>
    </w:p>
    <w:p w14:paraId="4CAC8D42"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Հաշվետվության մեջ նշված տեղեկատվության աղբյուրների ճիշտ ներկայացման համար (այդ թվում՝ դոսյեի հատուկ բաժինները՝ ընդհանուր նկարագրություն, ամփոփ տեղեկատվություն, հետազոտությունների մասին </w:t>
      </w:r>
      <w:r w:rsidRPr="00BD7577">
        <w:rPr>
          <w:rFonts w:ascii="Sylfaen" w:hAnsi="Sylfaen"/>
          <w:sz w:val="24"/>
          <w:szCs w:val="24"/>
        </w:rPr>
        <w:lastRenderedPageBreak/>
        <w:t>հաշվետվություններ) անհրաժեշտ է օգտագործել խաչաձ</w:t>
      </w:r>
      <w:r w:rsidR="00C54D75">
        <w:rPr>
          <w:rFonts w:ascii="Sylfaen" w:hAnsi="Sylfaen"/>
          <w:sz w:val="24"/>
          <w:szCs w:val="24"/>
        </w:rPr>
        <w:t>և</w:t>
      </w:r>
      <w:r w:rsidRPr="00BD7577">
        <w:rPr>
          <w:rFonts w:ascii="Sylfaen" w:hAnsi="Sylfaen"/>
          <w:sz w:val="24"/>
          <w:szCs w:val="24"/>
        </w:rPr>
        <w:t xml:space="preserve"> հղումներ՝ դոսյեի փաստաթղթերին, հղումներ՝ օգտագործվող գրականությանը, </w:t>
      </w:r>
      <w:r w:rsidR="00C54D75">
        <w:rPr>
          <w:rFonts w:ascii="Sylfaen" w:hAnsi="Sylfaen"/>
          <w:sz w:val="24"/>
          <w:szCs w:val="24"/>
        </w:rPr>
        <w:t>և</w:t>
      </w:r>
      <w:r w:rsidRPr="00BD7577">
        <w:rPr>
          <w:rFonts w:ascii="Sylfaen" w:hAnsi="Sylfaen"/>
          <w:sz w:val="24"/>
          <w:szCs w:val="24"/>
        </w:rPr>
        <w:t xml:space="preserve"> այլ աղբյուրներ:</w:t>
      </w:r>
    </w:p>
    <w:p w14:paraId="12B40235"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Քննադատական գնահատականը (օրինակ՝ տվյալների հավաստիության </w:t>
      </w:r>
      <w:r w:rsidR="00C54D75">
        <w:rPr>
          <w:rFonts w:ascii="Sylfaen" w:hAnsi="Sylfaen"/>
          <w:sz w:val="24"/>
          <w:szCs w:val="24"/>
        </w:rPr>
        <w:t>և</w:t>
      </w:r>
      <w:r w:rsidRPr="00BD7577">
        <w:rPr>
          <w:rFonts w:ascii="Sylfaen" w:hAnsi="Sylfaen"/>
          <w:sz w:val="24"/>
          <w:szCs w:val="24"/>
        </w:rPr>
        <w:t xml:space="preserve"> մեկնաբանության վերաբերյալ դիտողությունները, եզրակացությունները) պետք է նշված լինի «Փորձագետի մեկնաբանություններ» ենթաբաժնում, որով ավարտվում է հաշվետվության բաժիններից յուրաքանչյուրը: Անհրաժեշտության դեպքում կարելի է կիրառել հետ</w:t>
      </w:r>
      <w:r w:rsidR="00C54D75">
        <w:rPr>
          <w:rFonts w:ascii="Sylfaen" w:hAnsi="Sylfaen"/>
          <w:sz w:val="24"/>
          <w:szCs w:val="24"/>
        </w:rPr>
        <w:t>և</w:t>
      </w:r>
      <w:r w:rsidRPr="00BD7577">
        <w:rPr>
          <w:rFonts w:ascii="Sylfaen" w:hAnsi="Sylfaen"/>
          <w:sz w:val="24"/>
          <w:szCs w:val="24"/>
        </w:rPr>
        <w:t>յալ ձ</w:t>
      </w:r>
      <w:r w:rsidR="00C54D75">
        <w:rPr>
          <w:rFonts w:ascii="Sylfaen" w:hAnsi="Sylfaen"/>
          <w:sz w:val="24"/>
          <w:szCs w:val="24"/>
        </w:rPr>
        <w:t>և</w:t>
      </w:r>
      <w:r w:rsidRPr="00BD7577">
        <w:rPr>
          <w:rFonts w:ascii="Sylfaen" w:hAnsi="Sylfaen"/>
          <w:sz w:val="24"/>
          <w:szCs w:val="24"/>
        </w:rPr>
        <w:t>ակերպումը՝ «Քննադատական դիտողություն—տե՛ս դիտողությունների առաջարկվող ցանկը»:</w:t>
      </w:r>
    </w:p>
    <w:p w14:paraId="1EC56DF1"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Հաշվետվության մեջ պետք է նշված լինի՝ արդյոք ստացված արդյունքներն ազդում են մարդու մոտ դեղապատրաստուկի կիրառման անվտանգության ապահովման վրա, </w:t>
      </w:r>
      <w:r w:rsidR="00C54D75">
        <w:rPr>
          <w:rFonts w:ascii="Sylfaen" w:hAnsi="Sylfaen"/>
          <w:sz w:val="24"/>
          <w:szCs w:val="24"/>
        </w:rPr>
        <w:t>և</w:t>
      </w:r>
      <w:r w:rsidRPr="00BD7577">
        <w:rPr>
          <w:rFonts w:ascii="Sylfaen" w:hAnsi="Sylfaen"/>
          <w:sz w:val="24"/>
          <w:szCs w:val="24"/>
        </w:rPr>
        <w:t xml:space="preserve"> արդյոք այդ հետ</w:t>
      </w:r>
      <w:r w:rsidR="00C54D75">
        <w:rPr>
          <w:rFonts w:ascii="Sylfaen" w:hAnsi="Sylfaen"/>
          <w:sz w:val="24"/>
          <w:szCs w:val="24"/>
        </w:rPr>
        <w:t>և</w:t>
      </w:r>
      <w:r w:rsidRPr="00BD7577">
        <w:rPr>
          <w:rFonts w:ascii="Sylfaen" w:hAnsi="Sylfaen"/>
          <w:sz w:val="24"/>
          <w:szCs w:val="24"/>
        </w:rPr>
        <w:t xml:space="preserve">անքները գնահատելու համար լրացուցիչ փորձաքննություն անցկացնելու անհրաժեշտություն կա (օրինակ՝ կան տվյալներ՝ քաղցկեղածին ազդեցության վերաբերյալ, սակայն հետազոտվող կենդանիների տեսակի </w:t>
      </w:r>
      <w:r w:rsidR="00C54D75">
        <w:rPr>
          <w:rFonts w:ascii="Sylfaen" w:hAnsi="Sylfaen"/>
          <w:sz w:val="24"/>
          <w:szCs w:val="24"/>
        </w:rPr>
        <w:t>և</w:t>
      </w:r>
      <w:r w:rsidRPr="00BD7577">
        <w:rPr>
          <w:rFonts w:ascii="Sylfaen" w:hAnsi="Sylfaen"/>
          <w:sz w:val="24"/>
          <w:szCs w:val="24"/>
        </w:rPr>
        <w:t xml:space="preserve"> մարդու մոտ ընկալիչները տարբեր են): </w:t>
      </w:r>
    </w:p>
    <w:p w14:paraId="1717835B"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Հաշվետվության մեջ նա</w:t>
      </w:r>
      <w:r w:rsidR="00C54D75">
        <w:rPr>
          <w:rFonts w:ascii="Sylfaen" w:hAnsi="Sylfaen"/>
          <w:sz w:val="24"/>
          <w:szCs w:val="24"/>
        </w:rPr>
        <w:t>և</w:t>
      </w:r>
      <w:r w:rsidRPr="00BD7577">
        <w:rPr>
          <w:rFonts w:ascii="Sylfaen" w:hAnsi="Sylfaen"/>
          <w:sz w:val="24"/>
          <w:szCs w:val="24"/>
        </w:rPr>
        <w:t xml:space="preserve"> պետք է նշվեն այն տվյալները, որոնք անհրաժեշտ է ներառել դեղապատրաստուկի ընդհանուր բնութագրում (այսուհետ՝ ԴՊԸԲ)։</w:t>
      </w:r>
    </w:p>
    <w:p w14:paraId="7C16F480"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Գաղտնի հանդիսացող </w:t>
      </w:r>
      <w:r w:rsidR="00C54D75">
        <w:rPr>
          <w:rFonts w:ascii="Sylfaen" w:hAnsi="Sylfaen"/>
          <w:sz w:val="24"/>
          <w:szCs w:val="24"/>
        </w:rPr>
        <w:t>և</w:t>
      </w:r>
      <w:r w:rsidRPr="00BD7577">
        <w:rPr>
          <w:rFonts w:ascii="Sylfaen" w:hAnsi="Sylfaen"/>
          <w:sz w:val="24"/>
          <w:szCs w:val="24"/>
        </w:rPr>
        <w:t xml:space="preserve"> հայտատուի համար չնախատեսված տեղեկություններին հղումները (օրինակ՝ հղումներ՝ այլ դեղապատրաստուկի գնահատման հաշվետվությանը) պետք է նշված լինեն որպես «Գաղտնի տեղեկատվություն» </w:t>
      </w:r>
      <w:r w:rsidR="00C54D75">
        <w:rPr>
          <w:rFonts w:ascii="Sylfaen" w:hAnsi="Sylfaen"/>
          <w:sz w:val="24"/>
          <w:szCs w:val="24"/>
        </w:rPr>
        <w:t>և</w:t>
      </w:r>
      <w:r w:rsidRPr="00BD7577">
        <w:rPr>
          <w:rFonts w:ascii="Sylfaen" w:hAnsi="Sylfaen"/>
          <w:sz w:val="24"/>
          <w:szCs w:val="24"/>
        </w:rPr>
        <w:t xml:space="preserve"> առանձնացվեն դեղին ֆոնով: Հաշվետվությունը հայտատուին ուղարկելուց առաջ այս բաժինները պետք է դրանից բացառվեն:</w:t>
      </w:r>
    </w:p>
    <w:p w14:paraId="17AEC66B"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Հնարավորության դեպքում տեղեկատվությունը պետք է ներկայացվի աղյուսակների, գծապատկերների </w:t>
      </w:r>
      <w:r w:rsidR="00C54D75">
        <w:rPr>
          <w:rFonts w:ascii="Sylfaen" w:hAnsi="Sylfaen"/>
          <w:sz w:val="24"/>
          <w:szCs w:val="24"/>
        </w:rPr>
        <w:t>և</w:t>
      </w:r>
      <w:r w:rsidRPr="00BD7577">
        <w:rPr>
          <w:rFonts w:ascii="Sylfaen" w:hAnsi="Sylfaen"/>
          <w:sz w:val="24"/>
          <w:szCs w:val="24"/>
        </w:rPr>
        <w:t xml:space="preserve"> նկարների տեսքով, որոնց օրինակները բերված են Բժշկական կիրառման դեղամիջոցների գրանցման </w:t>
      </w:r>
      <w:r w:rsidR="00C54D75">
        <w:rPr>
          <w:rFonts w:ascii="Sylfaen" w:hAnsi="Sylfaen"/>
          <w:sz w:val="24"/>
          <w:szCs w:val="24"/>
        </w:rPr>
        <w:t>և</w:t>
      </w:r>
      <w:r w:rsidRPr="00BD7577">
        <w:rPr>
          <w:rFonts w:ascii="Sylfaen" w:hAnsi="Sylfaen"/>
          <w:sz w:val="24"/>
          <w:szCs w:val="24"/>
        </w:rPr>
        <w:t xml:space="preserve"> փորձաքննության կանոնների (այսուհետ՝ Գրանցման կանոններ) թիվ 6 հավելվածում </w:t>
      </w:r>
      <w:r w:rsidR="00C54D75">
        <w:rPr>
          <w:rFonts w:ascii="Sylfaen" w:hAnsi="Sylfaen"/>
          <w:sz w:val="24"/>
          <w:szCs w:val="24"/>
        </w:rPr>
        <w:t>և</w:t>
      </w:r>
      <w:r w:rsidRPr="00BD7577">
        <w:rPr>
          <w:rFonts w:ascii="Sylfaen" w:hAnsi="Sylfaen"/>
          <w:sz w:val="24"/>
          <w:szCs w:val="24"/>
        </w:rPr>
        <w:t xml:space="preserve"> պետք է օգտագործվեն ըստ անհրաժեշտության: Դեղակինետիկայի </w:t>
      </w:r>
      <w:r w:rsidR="00C54D75">
        <w:rPr>
          <w:rFonts w:ascii="Sylfaen" w:hAnsi="Sylfaen"/>
          <w:sz w:val="24"/>
          <w:szCs w:val="24"/>
        </w:rPr>
        <w:t>և</w:t>
      </w:r>
      <w:r w:rsidRPr="00BD7577">
        <w:rPr>
          <w:rFonts w:ascii="Sylfaen" w:hAnsi="Sylfaen"/>
          <w:sz w:val="24"/>
          <w:szCs w:val="24"/>
        </w:rPr>
        <w:t xml:space="preserve"> տոքսիկոկինետիկայի մասով տվյալներ պարունակող աղյուսակներում պետք է նշված լինեն կենդանիների քանակն ու յուրաքանչյուր պարամետրի համար ստանդարտ </w:t>
      </w:r>
      <w:r w:rsidRPr="00BD7577">
        <w:rPr>
          <w:rFonts w:ascii="Sylfaen" w:hAnsi="Sylfaen"/>
          <w:sz w:val="24"/>
          <w:szCs w:val="24"/>
        </w:rPr>
        <w:lastRenderedPageBreak/>
        <w:t>շեղման նշանակությունը: Բազմակի ներմուծման դեպքում հետազոտությունների համար անհրաժեշտ է հստակեցնել տոքսիկոկինետիկական վերլուծության համար նմուշներ վերցնելու օրը: Թույլատրվում է գնահատման վերաբերյալ հաշվետվության մեջ ներառել պատրաստուկի դոսյեից աղյուսակներ: Ընդ որում, հարկ է բերել համապատասխան հղումներ:</w:t>
      </w:r>
    </w:p>
    <w:p w14:paraId="26FEAA59"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Գրանցման կանոնների թիվ 6 հավելվածով նախատեսված հաշվետվության ձ</w:t>
      </w:r>
      <w:r w:rsidR="00C54D75">
        <w:rPr>
          <w:rFonts w:ascii="Sylfaen" w:hAnsi="Sylfaen"/>
          <w:sz w:val="24"/>
          <w:szCs w:val="24"/>
        </w:rPr>
        <w:t>և</w:t>
      </w:r>
      <w:r w:rsidRPr="00BD7577">
        <w:rPr>
          <w:rFonts w:ascii="Sylfaen" w:hAnsi="Sylfaen"/>
          <w:sz w:val="24"/>
          <w:szCs w:val="24"/>
        </w:rPr>
        <w:t xml:space="preserve">անմուշում ավելացված են մի քանի էջեր, որոնք նախատեսված են հապավումների ցանկի </w:t>
      </w:r>
      <w:r w:rsidR="00C54D75">
        <w:rPr>
          <w:rFonts w:ascii="Sylfaen" w:hAnsi="Sylfaen"/>
          <w:sz w:val="24"/>
          <w:szCs w:val="24"/>
        </w:rPr>
        <w:t>և</w:t>
      </w:r>
      <w:r w:rsidRPr="00BD7577">
        <w:rPr>
          <w:rFonts w:ascii="Sylfaen" w:hAnsi="Sylfaen"/>
          <w:sz w:val="24"/>
          <w:szCs w:val="24"/>
        </w:rPr>
        <w:t xml:space="preserve"> գրականության ցանկի համար, որոնք հարկ է լրացնել ըստ անհրաժեշտության:</w:t>
      </w:r>
    </w:p>
    <w:p w14:paraId="12D9EA02"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Խորհուրդ է տրվում հաշվետվության հիմնական տեքստը տպագրել 11 չափի Times New Roman տառատեսակով: Հաշվետվության ծավալը՝ 7 թերթը, գերազանցելու դեպքում հարկ է այն գլխակարգել:</w:t>
      </w:r>
    </w:p>
    <w:p w14:paraId="4CF301C1"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Հաշվետվությունը նախապատրաստելիս փորձագետը նա</w:t>
      </w:r>
      <w:r w:rsidR="00C54D75">
        <w:rPr>
          <w:rFonts w:ascii="Sylfaen" w:hAnsi="Sylfaen"/>
          <w:sz w:val="24"/>
          <w:szCs w:val="24"/>
        </w:rPr>
        <w:t>և</w:t>
      </w:r>
      <w:r w:rsidRPr="00BD7577">
        <w:rPr>
          <w:rFonts w:ascii="Sylfaen" w:hAnsi="Sylfaen"/>
          <w:sz w:val="24"/>
          <w:szCs w:val="24"/>
        </w:rPr>
        <w:t xml:space="preserve"> կարող է օգտագործել Միության մարմինների՝ գրանցման դոսյեի կազմման վերաբերյալ ակտերը՝ ընդհանուր տեխնիկական փաստաթղթի ձ</w:t>
      </w:r>
      <w:r w:rsidR="00C54D75">
        <w:rPr>
          <w:rFonts w:ascii="Sylfaen" w:hAnsi="Sylfaen"/>
          <w:sz w:val="24"/>
          <w:szCs w:val="24"/>
        </w:rPr>
        <w:t>և</w:t>
      </w:r>
      <w:r w:rsidRPr="00BD7577">
        <w:rPr>
          <w:rFonts w:ascii="Sylfaen" w:hAnsi="Sylfaen"/>
          <w:sz w:val="24"/>
          <w:szCs w:val="24"/>
        </w:rPr>
        <w:t>աչափով:</w:t>
      </w:r>
    </w:p>
    <w:p w14:paraId="21971757"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Սույն ցուցումներում ուսումնասիրվում են հաշվետվության միայն այն բաժինները, որոնք պահանջում են պարզաբանումներ </w:t>
      </w:r>
      <w:r w:rsidR="00C54D75">
        <w:rPr>
          <w:rFonts w:ascii="Sylfaen" w:hAnsi="Sylfaen"/>
          <w:sz w:val="24"/>
          <w:szCs w:val="24"/>
        </w:rPr>
        <w:t>և</w:t>
      </w:r>
      <w:r w:rsidRPr="00BD7577">
        <w:rPr>
          <w:rFonts w:ascii="Sylfaen" w:hAnsi="Sylfaen"/>
          <w:sz w:val="24"/>
          <w:szCs w:val="24"/>
        </w:rPr>
        <w:t xml:space="preserve"> մեկնաբանություններ:</w:t>
      </w:r>
    </w:p>
    <w:p w14:paraId="3C67305C" w14:textId="77777777" w:rsidR="008C76E0" w:rsidRPr="00BD7577" w:rsidRDefault="008C76E0" w:rsidP="004B393A">
      <w:pPr>
        <w:spacing w:after="160" w:line="360" w:lineRule="auto"/>
        <w:ind w:firstLine="567"/>
        <w:jc w:val="both"/>
        <w:rPr>
          <w:rFonts w:ascii="Sylfaen" w:hAnsi="Sylfaen"/>
          <w:sz w:val="24"/>
          <w:szCs w:val="24"/>
        </w:rPr>
      </w:pPr>
    </w:p>
    <w:p w14:paraId="5DB70566" w14:textId="77777777" w:rsidR="008C76E0" w:rsidRPr="00BD7577" w:rsidRDefault="008C76E0" w:rsidP="004B393A">
      <w:pPr>
        <w:spacing w:after="160" w:line="360" w:lineRule="auto"/>
        <w:ind w:left="567" w:right="565"/>
        <w:jc w:val="center"/>
        <w:rPr>
          <w:rFonts w:ascii="Sylfaen" w:hAnsi="Sylfaen"/>
          <w:sz w:val="24"/>
          <w:szCs w:val="24"/>
        </w:rPr>
      </w:pPr>
      <w:r w:rsidRPr="00BD7577">
        <w:rPr>
          <w:rFonts w:ascii="Sylfaen" w:hAnsi="Sylfaen"/>
          <w:sz w:val="24"/>
          <w:szCs w:val="24"/>
        </w:rPr>
        <w:t>II. Նախակլինիկական (ոչ կլինիկական) ասպեկտների փորձաքննությունը</w:t>
      </w:r>
    </w:p>
    <w:p w14:paraId="5156FAF0"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1.</w:t>
      </w:r>
      <w:r w:rsidRPr="00BD7577">
        <w:rPr>
          <w:rFonts w:ascii="Sylfaen" w:hAnsi="Sylfaen"/>
          <w:sz w:val="24"/>
          <w:szCs w:val="24"/>
        </w:rPr>
        <w:tab/>
        <w:t>Ներածություն:</w:t>
      </w:r>
    </w:p>
    <w:p w14:paraId="10E59DB6"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1.1.</w:t>
      </w:r>
      <w:r w:rsidRPr="00BD7577">
        <w:rPr>
          <w:rFonts w:ascii="Sylfaen" w:hAnsi="Sylfaen"/>
          <w:sz w:val="24"/>
          <w:szCs w:val="24"/>
        </w:rPr>
        <w:tab/>
        <w:t xml:space="preserve">Հայտի տեսակը </w:t>
      </w:r>
      <w:r w:rsidR="00C54D75">
        <w:rPr>
          <w:rFonts w:ascii="Sylfaen" w:hAnsi="Sylfaen"/>
          <w:sz w:val="24"/>
          <w:szCs w:val="24"/>
        </w:rPr>
        <w:t>և</w:t>
      </w:r>
      <w:r w:rsidRPr="00BD7577">
        <w:rPr>
          <w:rFonts w:ascii="Sylfaen" w:hAnsi="Sylfaen"/>
          <w:sz w:val="24"/>
          <w:szCs w:val="24"/>
        </w:rPr>
        <w:t xml:space="preserve"> մշակմանն առնչվող հարցերը:</w:t>
      </w:r>
    </w:p>
    <w:p w14:paraId="53DFFE65" w14:textId="77777777" w:rsidR="008C76E0" w:rsidRPr="00BD7577" w:rsidRDefault="008C76E0" w:rsidP="004B393A">
      <w:pPr>
        <w:tabs>
          <w:tab w:val="left" w:pos="1134"/>
        </w:tabs>
        <w:spacing w:after="160" w:line="360" w:lineRule="auto"/>
        <w:ind w:right="-1" w:firstLine="567"/>
        <w:jc w:val="both"/>
        <w:rPr>
          <w:rFonts w:ascii="Sylfaen" w:hAnsi="Sylfaen"/>
          <w:sz w:val="24"/>
          <w:szCs w:val="24"/>
        </w:rPr>
      </w:pPr>
      <w:r w:rsidRPr="00BD7577">
        <w:rPr>
          <w:rFonts w:ascii="Sylfaen" w:hAnsi="Sylfaen"/>
          <w:sz w:val="24"/>
          <w:szCs w:val="24"/>
        </w:rPr>
        <w:t>Հայտի տեսակը:</w:t>
      </w:r>
    </w:p>
    <w:p w14:paraId="532F5A22"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Նշվում են գրանցման վկայական ստանալու հայտի տեսակը (հղում՝ հայտի իրավական հիմնավորմանը), օրինակ՝ օրիգինալ դեղապատրաստուկի հայտ, սեփական </w:t>
      </w:r>
      <w:r w:rsidR="00C54D75">
        <w:rPr>
          <w:rFonts w:ascii="Sylfaen" w:hAnsi="Sylfaen"/>
          <w:sz w:val="24"/>
          <w:szCs w:val="24"/>
        </w:rPr>
        <w:t>և</w:t>
      </w:r>
      <w:r w:rsidRPr="00BD7577">
        <w:rPr>
          <w:rFonts w:ascii="Sylfaen" w:hAnsi="Sylfaen"/>
          <w:sz w:val="24"/>
          <w:szCs w:val="24"/>
        </w:rPr>
        <w:t xml:space="preserve"> կողմնակի տվյալների բանաքաղության վրա հիմնված հայտ, </w:t>
      </w:r>
      <w:r w:rsidRPr="00BD7577">
        <w:rPr>
          <w:rFonts w:ascii="Sylfaen" w:hAnsi="Sylfaen"/>
          <w:sz w:val="24"/>
          <w:szCs w:val="24"/>
        </w:rPr>
        <w:lastRenderedPageBreak/>
        <w:t xml:space="preserve">համընդհանուր կիրառության վրա հիմնված հայտ, կենսաբանական պատրաստուկի հայտ </w:t>
      </w:r>
      <w:r w:rsidR="00C54D75">
        <w:rPr>
          <w:rFonts w:ascii="Sylfaen" w:hAnsi="Sylfaen"/>
          <w:sz w:val="24"/>
          <w:szCs w:val="24"/>
        </w:rPr>
        <w:t>և</w:t>
      </w:r>
      <w:r w:rsidRPr="00BD7577">
        <w:rPr>
          <w:rFonts w:ascii="Sylfaen" w:hAnsi="Sylfaen"/>
          <w:sz w:val="24"/>
          <w:szCs w:val="24"/>
        </w:rPr>
        <w:t xml:space="preserve"> այլն, ինչպես նա</w:t>
      </w:r>
      <w:r w:rsidR="00C54D75">
        <w:rPr>
          <w:rFonts w:ascii="Sylfaen" w:hAnsi="Sylfaen"/>
          <w:sz w:val="24"/>
          <w:szCs w:val="24"/>
        </w:rPr>
        <w:t>և</w:t>
      </w:r>
      <w:r w:rsidRPr="00BD7577">
        <w:rPr>
          <w:rFonts w:ascii="Sylfaen" w:hAnsi="Sylfaen"/>
          <w:sz w:val="24"/>
          <w:szCs w:val="24"/>
        </w:rPr>
        <w:t xml:space="preserve"> որոշակի հետազոտություններից հրաժարվելու կամ օրիգինալ հետազոտությունները գրական աղբյուրներից վերցված տվյալներով փոխարինելու համար ընդունելի հիմնավորումների առկայությունը: Եթե որ</w:t>
      </w:r>
      <w:r w:rsidR="00C54D75">
        <w:rPr>
          <w:rFonts w:ascii="Sylfaen" w:hAnsi="Sylfaen"/>
          <w:sz w:val="24"/>
          <w:szCs w:val="24"/>
        </w:rPr>
        <w:t>և</w:t>
      </w:r>
      <w:r w:rsidRPr="00BD7577">
        <w:rPr>
          <w:rFonts w:ascii="Sylfaen" w:hAnsi="Sylfaen"/>
          <w:sz w:val="24"/>
          <w:szCs w:val="24"/>
        </w:rPr>
        <w:t>է հետազոտություն գոյություն ունի միայն հրապարակման ձ</w:t>
      </w:r>
      <w:r w:rsidR="00C54D75">
        <w:rPr>
          <w:rFonts w:ascii="Sylfaen" w:hAnsi="Sylfaen"/>
          <w:sz w:val="24"/>
          <w:szCs w:val="24"/>
        </w:rPr>
        <w:t>և</w:t>
      </w:r>
      <w:r w:rsidRPr="00BD7577">
        <w:rPr>
          <w:rFonts w:ascii="Sylfaen" w:hAnsi="Sylfaen"/>
          <w:sz w:val="24"/>
          <w:szCs w:val="24"/>
        </w:rPr>
        <w:t>ով, ապա կար</w:t>
      </w:r>
      <w:r w:rsidR="00C54D75">
        <w:rPr>
          <w:rFonts w:ascii="Sylfaen" w:hAnsi="Sylfaen"/>
          <w:sz w:val="24"/>
          <w:szCs w:val="24"/>
        </w:rPr>
        <w:t>և</w:t>
      </w:r>
      <w:r w:rsidRPr="00BD7577">
        <w:rPr>
          <w:rFonts w:ascii="Sylfaen" w:hAnsi="Sylfaen"/>
          <w:sz w:val="24"/>
          <w:szCs w:val="24"/>
        </w:rPr>
        <w:t>որ է ճշտել, թե արդյոք դրա որակը բավարար է առավել կրիտիկական տվյալների համակողմանի վերլուծություն անցկացնելու հնարավորության համար:</w:t>
      </w:r>
    </w:p>
    <w:p w14:paraId="5AA1A457"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 xml:space="preserve">Հաշվետվության յուրաքանչյուր հիմնական բաժին (4-րդ </w:t>
      </w:r>
      <w:r w:rsidR="00C54D75">
        <w:rPr>
          <w:rFonts w:ascii="Sylfaen" w:hAnsi="Sylfaen"/>
          <w:sz w:val="24"/>
          <w:szCs w:val="24"/>
        </w:rPr>
        <w:t>և</w:t>
      </w:r>
      <w:r w:rsidRPr="00BD7577">
        <w:rPr>
          <w:rFonts w:ascii="Sylfaen" w:hAnsi="Sylfaen"/>
          <w:sz w:val="24"/>
          <w:szCs w:val="24"/>
        </w:rPr>
        <w:t xml:space="preserve"> 5-րդ մոդուլներ) պետք է պարունակի Գրանցման կանոնների թիվ 1 հավելվածի պահանջներին համապատասխան ներկայացված տվյալներ: Յուրաքանչյուր բաժնում նկարագրվող հետազոտությունների տեսակները պետք է նշվեն պարբերությունների (կետերի, բաժինների) համարներին արված հղումներով, ինչպես նշված է Գրանցման կանոնների թիվ 1 հավելվածում: Հիմնական </w:t>
      </w:r>
      <w:r w:rsidR="00C54D75">
        <w:rPr>
          <w:rFonts w:ascii="Sylfaen" w:hAnsi="Sylfaen"/>
          <w:sz w:val="24"/>
          <w:szCs w:val="24"/>
        </w:rPr>
        <w:t>և</w:t>
      </w:r>
      <w:r w:rsidRPr="00BD7577">
        <w:rPr>
          <w:rFonts w:ascii="Sylfaen" w:hAnsi="Sylfaen"/>
          <w:sz w:val="24"/>
          <w:szCs w:val="24"/>
        </w:rPr>
        <w:t xml:space="preserve"> օժանդակ տվյալներն առանձնացնելուց հետո հետազոտությունների յուրաքանչյուր տարատեսակի մասով անհրաժեշտ է գնահատել, թե արդյոք հիմնական տվյալները ներկայացված են անցկացված նախակլինիկական (ոչ կլինիկական) </w:t>
      </w:r>
      <w:r w:rsidR="00C54D75">
        <w:rPr>
          <w:rFonts w:ascii="Sylfaen" w:hAnsi="Sylfaen"/>
          <w:sz w:val="24"/>
          <w:szCs w:val="24"/>
        </w:rPr>
        <w:t>և</w:t>
      </w:r>
      <w:r w:rsidRPr="00BD7577">
        <w:rPr>
          <w:rFonts w:ascii="Sylfaen" w:hAnsi="Sylfaen"/>
          <w:sz w:val="24"/>
          <w:szCs w:val="24"/>
        </w:rPr>
        <w:t xml:space="preserve"> կլինիկական հետազոտությունների վերաբերյալ սեփական հաշվետվություններով (բնօրինակ տվյալներ), մատենագիտական հղումներով, դրանց համակցություններով, թե այդպիսի տվյալները բացակայում են:</w:t>
      </w:r>
    </w:p>
    <w:p w14:paraId="062A7D38"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Ներկայացված տվյալները պետք է գնահատվեն՝ հաշվի առնելով հայտի տեսակը, այլ նորմատիվ պահանջներ, գործող մեթոդական հանձնարարականներն ու գիտական չափանիշները:</w:t>
      </w:r>
    </w:p>
    <w:p w14:paraId="27127821" w14:textId="77777777" w:rsidR="008C76E0" w:rsidRPr="00BD7577" w:rsidRDefault="008C76E0" w:rsidP="004B393A">
      <w:pPr>
        <w:spacing w:after="160" w:line="360" w:lineRule="auto"/>
        <w:ind w:right="-1" w:firstLine="567"/>
        <w:jc w:val="both"/>
        <w:rPr>
          <w:rFonts w:ascii="Sylfaen" w:hAnsi="Sylfaen"/>
          <w:sz w:val="24"/>
          <w:szCs w:val="24"/>
        </w:rPr>
      </w:pPr>
      <w:r w:rsidRPr="00BD7577">
        <w:rPr>
          <w:rFonts w:ascii="Sylfaen" w:hAnsi="Sylfaen"/>
          <w:sz w:val="24"/>
          <w:szCs w:val="24"/>
        </w:rPr>
        <w:t>Եթե տվյալների ներկայացման բնույթը տարբերվում է գոյութ</w:t>
      </w:r>
      <w:r>
        <w:rPr>
          <w:rFonts w:ascii="Sylfaen" w:hAnsi="Sylfaen"/>
          <w:sz w:val="24"/>
          <w:szCs w:val="24"/>
        </w:rPr>
        <w:t>յ</w:t>
      </w:r>
      <w:r w:rsidRPr="00BD7577">
        <w:rPr>
          <w:rFonts w:ascii="Sylfaen" w:hAnsi="Sylfaen"/>
          <w:sz w:val="24"/>
          <w:szCs w:val="24"/>
        </w:rPr>
        <w:t xml:space="preserve">ուն ունեցող պահանջներից, ապա անհրաժեշտ է անցկացնել այդպիսի շեղման հիմնավորումներից յուրաքանչյուրի ընդունելիության գնահատում: Մասնավորապես, հիմնավորման ենթակա են նախակլինիկական (կլինիկական) փորձարկումների կամ հետազոտությունների վերաբերյալ տեղեկությունների </w:t>
      </w:r>
      <w:r w:rsidRPr="00BD7577">
        <w:rPr>
          <w:rFonts w:ascii="Sylfaen" w:hAnsi="Sylfaen"/>
          <w:sz w:val="24"/>
          <w:szCs w:val="24"/>
        </w:rPr>
        <w:lastRenderedPageBreak/>
        <w:t>բացակայությունը, հիմնական հետազոտությունների վերաբերյալ տվյալներն ամբողջությամբ կամ մասնակիորեն փոխարինող մատենագիտական հղումների օգտագործումը:</w:t>
      </w:r>
    </w:p>
    <w:p w14:paraId="0A9758F7"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 xml:space="preserve">Եթե հայտատուն օգտագործում է տվյալներ գիտական հրապարակումներից, կամ նման տվյալները կիրառվում են փորձագետի հաշվետվության համատեքստում, ապա անհրաժեշտ է նշել յուրաքանչյուր հրապարակում հստակ նույնականացնելու հնարավորություն տվող հղումներ: Հարկ է դիտարկել գրականության ցանկ կազմելու հնարավորությունը, եթե հաշվետվության մեջ օգտագործվում են մեծ քանակությամբ հղումներ: </w:t>
      </w:r>
    </w:p>
    <w:p w14:paraId="6B3CC070"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Անհրաժեշտության դեպքում հարկավոր է ճշգրիտ ձ</w:t>
      </w:r>
      <w:r w:rsidR="00C54D75">
        <w:rPr>
          <w:rFonts w:ascii="Sylfaen" w:hAnsi="Sylfaen"/>
          <w:sz w:val="24"/>
          <w:szCs w:val="24"/>
        </w:rPr>
        <w:t>և</w:t>
      </w:r>
      <w:r w:rsidRPr="00BD7577">
        <w:rPr>
          <w:rFonts w:ascii="Sylfaen" w:hAnsi="Sylfaen"/>
          <w:sz w:val="24"/>
          <w:szCs w:val="24"/>
        </w:rPr>
        <w:t>ակերպել հրապարակման վերաբերյալ փորձագետի կարծիքը (օրինակ՝ եթե հոդվածն օգտագործվում է ոչ միայն որպես հղում տվյալներին, այլ նա</w:t>
      </w:r>
      <w:r w:rsidR="00C54D75">
        <w:rPr>
          <w:rFonts w:ascii="Sylfaen" w:hAnsi="Sylfaen"/>
          <w:sz w:val="24"/>
          <w:szCs w:val="24"/>
        </w:rPr>
        <w:t>և</w:t>
      </w:r>
      <w:r w:rsidRPr="00BD7577">
        <w:rPr>
          <w:rFonts w:ascii="Sylfaen" w:hAnsi="Sylfaen"/>
          <w:sz w:val="24"/>
          <w:szCs w:val="24"/>
        </w:rPr>
        <w:t xml:space="preserve"> քննարկման համատեքստում):</w:t>
      </w:r>
    </w:p>
    <w:p w14:paraId="14AF782F" w14:textId="77777777" w:rsidR="008C76E0" w:rsidRPr="00BD7577" w:rsidRDefault="008C76E0" w:rsidP="004B393A">
      <w:pPr>
        <w:spacing w:after="160" w:line="360" w:lineRule="auto"/>
        <w:ind w:firstLine="567"/>
        <w:jc w:val="both"/>
        <w:rPr>
          <w:rFonts w:ascii="Sylfaen" w:hAnsi="Sylfaen"/>
          <w:sz w:val="24"/>
          <w:szCs w:val="24"/>
        </w:rPr>
      </w:pPr>
      <w:r w:rsidRPr="00BD7577">
        <w:rPr>
          <w:rFonts w:ascii="Sylfaen" w:hAnsi="Sylfaen"/>
          <w:sz w:val="24"/>
          <w:szCs w:val="24"/>
        </w:rPr>
        <w:t xml:space="preserve">Աղյուսակում ներկայացված են հիմնավորումների </w:t>
      </w:r>
      <w:r w:rsidR="00C54D75">
        <w:rPr>
          <w:rFonts w:ascii="Sylfaen" w:hAnsi="Sylfaen"/>
          <w:sz w:val="24"/>
          <w:szCs w:val="24"/>
        </w:rPr>
        <w:t>և</w:t>
      </w:r>
      <w:r w:rsidRPr="00BD7577">
        <w:rPr>
          <w:rFonts w:ascii="Sylfaen" w:hAnsi="Sylfaen"/>
          <w:sz w:val="24"/>
          <w:szCs w:val="24"/>
        </w:rPr>
        <w:t xml:space="preserve"> դրանց փորձագիտական գնահատականների օրինակներ:</w:t>
      </w:r>
    </w:p>
    <w:tbl>
      <w:tblPr>
        <w:tblOverlap w:val="never"/>
        <w:tblW w:w="9380" w:type="dxa"/>
        <w:jc w:val="center"/>
        <w:tblLayout w:type="fixed"/>
        <w:tblCellMar>
          <w:left w:w="10" w:type="dxa"/>
          <w:right w:w="10" w:type="dxa"/>
        </w:tblCellMar>
        <w:tblLook w:val="04A0" w:firstRow="1" w:lastRow="0" w:firstColumn="1" w:lastColumn="0" w:noHBand="0" w:noVBand="1"/>
      </w:tblPr>
      <w:tblGrid>
        <w:gridCol w:w="4762"/>
        <w:gridCol w:w="4607"/>
        <w:gridCol w:w="11"/>
      </w:tblGrid>
      <w:tr w:rsidR="008C76E0" w:rsidRPr="00BD7577" w14:paraId="04FF2AD7" w14:textId="77777777" w:rsidTr="008C76E0">
        <w:trPr>
          <w:trHeight w:val="976"/>
          <w:jc w:val="center"/>
        </w:trPr>
        <w:tc>
          <w:tcPr>
            <w:tcW w:w="4762" w:type="dxa"/>
            <w:tcBorders>
              <w:top w:val="single" w:sz="4" w:space="0" w:color="auto"/>
              <w:left w:val="single" w:sz="4" w:space="0" w:color="auto"/>
            </w:tcBorders>
            <w:shd w:val="clear" w:color="auto" w:fill="FFFFFF"/>
            <w:vAlign w:val="center"/>
          </w:tcPr>
          <w:p w14:paraId="2AA26157" w14:textId="77777777" w:rsidR="008C76E0" w:rsidRPr="00BD7577" w:rsidRDefault="008C76E0" w:rsidP="008C76E0">
            <w:pPr>
              <w:pStyle w:val="Bodytext180"/>
              <w:shd w:val="clear" w:color="auto" w:fill="auto"/>
              <w:spacing w:before="0" w:after="120" w:line="240" w:lineRule="auto"/>
              <w:ind w:left="145" w:right="-1" w:firstLine="0"/>
              <w:jc w:val="center"/>
              <w:rPr>
                <w:rFonts w:ascii="Sylfaen" w:hAnsi="Sylfaen"/>
                <w:b w:val="0"/>
                <w:sz w:val="24"/>
                <w:szCs w:val="24"/>
              </w:rPr>
            </w:pPr>
            <w:r w:rsidRPr="00BD7577">
              <w:rPr>
                <w:rStyle w:val="Bodytext1811pt"/>
                <w:rFonts w:ascii="Sylfaen" w:hAnsi="Sylfaen"/>
                <w:sz w:val="24"/>
                <w:szCs w:val="24"/>
              </w:rPr>
              <w:t>Հիմնավորումը</w:t>
            </w:r>
          </w:p>
        </w:tc>
        <w:tc>
          <w:tcPr>
            <w:tcW w:w="4618" w:type="dxa"/>
            <w:gridSpan w:val="2"/>
            <w:tcBorders>
              <w:top w:val="single" w:sz="4" w:space="0" w:color="auto"/>
              <w:left w:val="single" w:sz="4" w:space="0" w:color="auto"/>
              <w:right w:val="single" w:sz="4" w:space="0" w:color="auto"/>
            </w:tcBorders>
            <w:shd w:val="clear" w:color="auto" w:fill="FFFFFF"/>
            <w:vAlign w:val="center"/>
          </w:tcPr>
          <w:p w14:paraId="327D1E46" w14:textId="77777777" w:rsidR="008C76E0" w:rsidRPr="00BD7577" w:rsidRDefault="008C76E0" w:rsidP="008C76E0">
            <w:pPr>
              <w:pStyle w:val="Bodytext180"/>
              <w:shd w:val="clear" w:color="auto" w:fill="auto"/>
              <w:spacing w:before="0" w:after="120" w:line="240" w:lineRule="auto"/>
              <w:ind w:left="129" w:right="119" w:firstLine="0"/>
              <w:jc w:val="center"/>
              <w:rPr>
                <w:rFonts w:ascii="Sylfaen" w:hAnsi="Sylfaen"/>
                <w:b w:val="0"/>
                <w:sz w:val="24"/>
                <w:szCs w:val="24"/>
              </w:rPr>
            </w:pPr>
            <w:r w:rsidRPr="00BD7577">
              <w:rPr>
                <w:rStyle w:val="Bodytext1811pt"/>
                <w:rFonts w:ascii="Sylfaen" w:hAnsi="Sylfaen"/>
                <w:sz w:val="24"/>
                <w:szCs w:val="24"/>
              </w:rPr>
              <w:t>Գնահատականը</w:t>
            </w:r>
          </w:p>
        </w:tc>
      </w:tr>
      <w:tr w:rsidR="008C76E0" w:rsidRPr="00BD7577" w14:paraId="67914411" w14:textId="77777777" w:rsidTr="008C76E0">
        <w:trPr>
          <w:jc w:val="center"/>
        </w:trPr>
        <w:tc>
          <w:tcPr>
            <w:tcW w:w="4762" w:type="dxa"/>
            <w:tcBorders>
              <w:top w:val="single" w:sz="4" w:space="0" w:color="auto"/>
              <w:left w:val="single" w:sz="4" w:space="0" w:color="auto"/>
            </w:tcBorders>
            <w:shd w:val="clear" w:color="auto" w:fill="FFFFFF"/>
          </w:tcPr>
          <w:p w14:paraId="4C1B318D" w14:textId="77777777" w:rsidR="008C76E0" w:rsidRPr="008C76E0" w:rsidRDefault="008C76E0" w:rsidP="008C76E0">
            <w:pPr>
              <w:pStyle w:val="Bodytext180"/>
              <w:shd w:val="clear" w:color="auto" w:fill="auto"/>
              <w:spacing w:before="0" w:after="120" w:line="240" w:lineRule="auto"/>
              <w:ind w:left="145" w:right="145" w:firstLine="0"/>
              <w:jc w:val="both"/>
              <w:rPr>
                <w:rFonts w:ascii="Sylfaen" w:hAnsi="Sylfaen"/>
                <w:b w:val="0"/>
                <w:sz w:val="24"/>
                <w:szCs w:val="24"/>
                <w:lang w:val="hy-AM"/>
              </w:rPr>
            </w:pPr>
            <w:r w:rsidRPr="00BD7577">
              <w:rPr>
                <w:rStyle w:val="Bodytext1811pt"/>
                <w:rFonts w:ascii="Sylfaen" w:hAnsi="Sylfaen"/>
                <w:sz w:val="24"/>
                <w:szCs w:val="24"/>
              </w:rPr>
              <w:t>Գրանցման կանոնների թիվ 1 հավելվածով նախատեսված են հատուկ բացառություններ՝ հետազոտությունները չիրականացնելու մասով</w:t>
            </w:r>
          </w:p>
        </w:tc>
        <w:tc>
          <w:tcPr>
            <w:tcW w:w="4618" w:type="dxa"/>
            <w:gridSpan w:val="2"/>
            <w:tcBorders>
              <w:top w:val="single" w:sz="4" w:space="0" w:color="auto"/>
              <w:left w:val="single" w:sz="4" w:space="0" w:color="auto"/>
              <w:right w:val="single" w:sz="4" w:space="0" w:color="auto"/>
            </w:tcBorders>
            <w:shd w:val="clear" w:color="auto" w:fill="FFFFFF"/>
          </w:tcPr>
          <w:p w14:paraId="4A48D7F2"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t>նշե՛ք տվյալ բացառություններն ու հաստատե՛ք այն պատճատները, որոնց դեպքում հայտը բավարարում է այդ բացառություններով ներկայացված պայմանները</w:t>
            </w:r>
          </w:p>
        </w:tc>
      </w:tr>
      <w:tr w:rsidR="008C76E0" w:rsidRPr="00BD7577" w14:paraId="15706DFE" w14:textId="77777777" w:rsidTr="008C76E0">
        <w:trPr>
          <w:jc w:val="center"/>
        </w:trPr>
        <w:tc>
          <w:tcPr>
            <w:tcW w:w="4762" w:type="dxa"/>
            <w:tcBorders>
              <w:top w:val="single" w:sz="4" w:space="0" w:color="auto"/>
              <w:left w:val="single" w:sz="4" w:space="0" w:color="auto"/>
            </w:tcBorders>
            <w:shd w:val="clear" w:color="auto" w:fill="FFFFFF"/>
          </w:tcPr>
          <w:p w14:paraId="4AED2242" w14:textId="77777777" w:rsidR="008C76E0" w:rsidRPr="008C76E0" w:rsidRDefault="008C76E0" w:rsidP="008C76E0">
            <w:pPr>
              <w:pStyle w:val="Bodytext180"/>
              <w:shd w:val="clear" w:color="auto" w:fill="auto"/>
              <w:spacing w:before="0" w:after="120" w:line="240" w:lineRule="auto"/>
              <w:ind w:left="145" w:right="145" w:firstLine="0"/>
              <w:jc w:val="both"/>
              <w:rPr>
                <w:rFonts w:ascii="Sylfaen" w:hAnsi="Sylfaen"/>
                <w:b w:val="0"/>
                <w:sz w:val="24"/>
                <w:szCs w:val="24"/>
                <w:lang w:val="hy-AM"/>
              </w:rPr>
            </w:pPr>
            <w:r w:rsidRPr="00BD7577">
              <w:rPr>
                <w:rStyle w:val="Bodytext1811pt"/>
                <w:rFonts w:ascii="Sylfaen" w:hAnsi="Sylfaen"/>
                <w:sz w:val="24"/>
                <w:szCs w:val="24"/>
              </w:rPr>
              <w:t xml:space="preserve">Միության հանձնարարականներով կամ անդամ պետության մեթոդական ձեռնարկներով նախատեսված են հետազոտությունների մասնագիտական առանձնահատկություններ </w:t>
            </w:r>
          </w:p>
        </w:tc>
        <w:tc>
          <w:tcPr>
            <w:tcW w:w="4618" w:type="dxa"/>
            <w:gridSpan w:val="2"/>
            <w:tcBorders>
              <w:top w:val="single" w:sz="4" w:space="0" w:color="auto"/>
              <w:left w:val="single" w:sz="4" w:space="0" w:color="auto"/>
              <w:right w:val="single" w:sz="4" w:space="0" w:color="auto"/>
            </w:tcBorders>
            <w:shd w:val="clear" w:color="auto" w:fill="FFFFFF"/>
          </w:tcPr>
          <w:p w14:paraId="06480EE7"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t xml:space="preserve">նշե՛ք համապատասխան մեթոդական փաստաթղթերը </w:t>
            </w:r>
            <w:r w:rsidR="00C54D75">
              <w:rPr>
                <w:rStyle w:val="Bodytext1811pt"/>
                <w:rFonts w:ascii="Sylfaen" w:hAnsi="Sylfaen"/>
                <w:sz w:val="24"/>
                <w:szCs w:val="24"/>
              </w:rPr>
              <w:t>և</w:t>
            </w:r>
            <w:r w:rsidRPr="00BD7577">
              <w:rPr>
                <w:rStyle w:val="Bodytext1811pt"/>
                <w:rFonts w:ascii="Sylfaen" w:hAnsi="Sylfaen"/>
                <w:sz w:val="24"/>
                <w:szCs w:val="24"/>
              </w:rPr>
              <w:t xml:space="preserve"> ենթադրվող առանձնահատկությունները, ինչպես նա</w:t>
            </w:r>
            <w:r w:rsidR="00C54D75">
              <w:rPr>
                <w:rStyle w:val="Bodytext1811pt"/>
                <w:rFonts w:ascii="Sylfaen" w:hAnsi="Sylfaen"/>
                <w:sz w:val="24"/>
                <w:szCs w:val="24"/>
              </w:rPr>
              <w:t>և</w:t>
            </w:r>
            <w:r w:rsidRPr="00BD7577">
              <w:rPr>
                <w:rStyle w:val="Bodytext1811pt"/>
                <w:rFonts w:ascii="Sylfaen" w:hAnsi="Sylfaen"/>
                <w:sz w:val="24"/>
                <w:szCs w:val="24"/>
              </w:rPr>
              <w:t xml:space="preserve"> հաստատե՛ք այն պատճառները, որոնց դեպքում հայտը բավարարում է այդ առանձնահատկություններով ներկայացված պայմանները</w:t>
            </w:r>
          </w:p>
        </w:tc>
      </w:tr>
      <w:tr w:rsidR="008C76E0" w:rsidRPr="00BD7577" w14:paraId="391C63A1" w14:textId="77777777" w:rsidTr="008C76E0">
        <w:trPr>
          <w:jc w:val="center"/>
        </w:trPr>
        <w:tc>
          <w:tcPr>
            <w:tcW w:w="4762" w:type="dxa"/>
            <w:tcBorders>
              <w:top w:val="single" w:sz="4" w:space="0" w:color="auto"/>
              <w:left w:val="single" w:sz="4" w:space="0" w:color="auto"/>
            </w:tcBorders>
            <w:shd w:val="clear" w:color="auto" w:fill="FFFFFF"/>
          </w:tcPr>
          <w:p w14:paraId="153853FC" w14:textId="77777777" w:rsidR="008C76E0" w:rsidRPr="008C76E0" w:rsidRDefault="008C76E0" w:rsidP="008C76E0">
            <w:pPr>
              <w:pStyle w:val="Bodytext180"/>
              <w:shd w:val="clear" w:color="auto" w:fill="auto"/>
              <w:spacing w:before="0" w:after="120" w:line="240" w:lineRule="auto"/>
              <w:ind w:left="145" w:right="145" w:firstLine="0"/>
              <w:jc w:val="both"/>
              <w:rPr>
                <w:rFonts w:ascii="Sylfaen" w:hAnsi="Sylfaen"/>
                <w:b w:val="0"/>
                <w:sz w:val="24"/>
                <w:szCs w:val="24"/>
                <w:lang w:val="hy-AM"/>
              </w:rPr>
            </w:pPr>
            <w:r w:rsidRPr="00BD7577">
              <w:rPr>
                <w:rStyle w:val="Bodytext1811pt"/>
                <w:rFonts w:ascii="Sylfaen" w:hAnsi="Sylfaen"/>
                <w:sz w:val="24"/>
                <w:szCs w:val="24"/>
              </w:rPr>
              <w:t xml:space="preserve">Հաշվի առնելով գիտական գիտելիքների մակարդակը՝ կլինիկական որոշ հետազոտությունների անցկացումը </w:t>
            </w:r>
            <w:r w:rsidRPr="00BD7577">
              <w:rPr>
                <w:rStyle w:val="Bodytext1811pt"/>
                <w:rFonts w:ascii="Sylfaen" w:hAnsi="Sylfaen"/>
                <w:sz w:val="24"/>
                <w:szCs w:val="24"/>
              </w:rPr>
              <w:lastRenderedPageBreak/>
              <w:t>համարվում է էթիկական նորմերին ոչ համապատասխան (Եվրասիական տնտեսական հանձնաժողովի կողմից հաստատվող՝ Եվրասիական տնտեսական միության պատշաճ կլինիկական գործունեության կանոններին, անդամ պետությունների՝ կենդանիների նկատմամբ մարդասիրական վերաբերմունքի վերաբերյալ օրենսդրությանը համապատասխան), կամ կենդանիների վրա կատարվող փորձարկումների որոշ տեսակների անցկացումը դիտարկվում է որպես ավելորդ՝ հաշվի առնելով այլընտրանքային գնահատումների օգտագործման հնարավորությունները (օրինակ՝ որոշ թունաբանական փորձարկումներ չեն համարվում անհրաժեշտ՝ հաշվի առնելով կլինիկական մեծ փորձը)</w:t>
            </w:r>
          </w:p>
        </w:tc>
        <w:tc>
          <w:tcPr>
            <w:tcW w:w="4618" w:type="dxa"/>
            <w:gridSpan w:val="2"/>
            <w:tcBorders>
              <w:top w:val="single" w:sz="4" w:space="0" w:color="auto"/>
              <w:left w:val="single" w:sz="4" w:space="0" w:color="auto"/>
              <w:right w:val="single" w:sz="4" w:space="0" w:color="auto"/>
            </w:tcBorders>
            <w:shd w:val="clear" w:color="auto" w:fill="FFFFFF"/>
          </w:tcPr>
          <w:p w14:paraId="2CFAB28E"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lastRenderedPageBreak/>
              <w:t xml:space="preserve">դիտարկե՛ք, թե ինչպիսի տվյալներն են հանդիսանում գիտական գիտելիքների հիմքը, այդպիսի տվյալների </w:t>
            </w:r>
            <w:r w:rsidRPr="00BD7577">
              <w:rPr>
                <w:rStyle w:val="Bodytext1811pt"/>
                <w:rFonts w:ascii="Sylfaen" w:hAnsi="Sylfaen"/>
                <w:sz w:val="24"/>
                <w:szCs w:val="24"/>
              </w:rPr>
              <w:lastRenderedPageBreak/>
              <w:t xml:space="preserve">նշանակությունն ու հուսալիությունը, </w:t>
            </w:r>
            <w:r w:rsidR="00C54D75">
              <w:rPr>
                <w:rStyle w:val="Bodytext1811pt"/>
                <w:rFonts w:ascii="Sylfaen" w:hAnsi="Sylfaen"/>
                <w:sz w:val="24"/>
                <w:szCs w:val="24"/>
              </w:rPr>
              <w:t>և</w:t>
            </w:r>
            <w:r w:rsidRPr="00BD7577">
              <w:rPr>
                <w:rStyle w:val="Bodytext1811pt"/>
                <w:rFonts w:ascii="Sylfaen" w:hAnsi="Sylfaen"/>
                <w:sz w:val="24"/>
                <w:szCs w:val="24"/>
              </w:rPr>
              <w:t xml:space="preserve"> գնահատե՛ք ցանկացած արտարկման հավաստիությունը</w:t>
            </w:r>
          </w:p>
          <w:p w14:paraId="28A0BA6B"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t xml:space="preserve">հիմնվելով այդ տվյալների վրա՝ գնահատե՛ք, թե արդյոք որոշակի փորձարկումների (թեստերի) կրկնակի անցկացումը (լրացուցիչ թեստերի անցկացումը) կհանգեցնի գիտական բազայի ընդլայնման, որն էական կլիներ օգուտ-ռիսկ հարաբերակցությունը գնահատելու </w:t>
            </w:r>
            <w:r w:rsidR="00C54D75">
              <w:rPr>
                <w:rStyle w:val="Bodytext1811pt"/>
                <w:rFonts w:ascii="Sylfaen" w:hAnsi="Sylfaen"/>
                <w:sz w:val="24"/>
                <w:szCs w:val="24"/>
              </w:rPr>
              <w:t>և</w:t>
            </w:r>
            <w:r w:rsidRPr="00BD7577">
              <w:rPr>
                <w:rStyle w:val="Bodytext1811pt"/>
                <w:rFonts w:ascii="Sylfaen" w:hAnsi="Sylfaen"/>
                <w:sz w:val="24"/>
                <w:szCs w:val="24"/>
              </w:rPr>
              <w:t xml:space="preserve"> պացիենտների ու բժիշկների համար պատշաճ տեղեկություններ ներկայացնելու համար. դիտարկե՛ք դեղապատրաստուկի մշակման ստանդարտ պլաններից բոլոր շեղումները՝ մասնավորապես կապված կենդանիների վրա կատարվող փորձարկումների անցկացման </w:t>
            </w:r>
            <w:r w:rsidR="00C54D75">
              <w:rPr>
                <w:rStyle w:val="Bodytext1811pt"/>
                <w:rFonts w:ascii="Sylfaen" w:hAnsi="Sylfaen"/>
                <w:sz w:val="24"/>
                <w:szCs w:val="24"/>
              </w:rPr>
              <w:t>և</w:t>
            </w:r>
            <w:r w:rsidRPr="00BD7577">
              <w:rPr>
                <w:rStyle w:val="Bodytext1811pt"/>
                <w:rFonts w:ascii="Sylfaen" w:hAnsi="Sylfaen"/>
                <w:sz w:val="24"/>
                <w:szCs w:val="24"/>
              </w:rPr>
              <w:t xml:space="preserve"> կլինիկական հետազոտությունների անցկացման ժամանակի հետ, որոնք նկարագրված են նորմատիվ իրավական ակտերում </w:t>
            </w:r>
            <w:r w:rsidR="00C54D75">
              <w:rPr>
                <w:rStyle w:val="Bodytext1811pt"/>
                <w:rFonts w:ascii="Sylfaen" w:hAnsi="Sylfaen"/>
                <w:sz w:val="24"/>
                <w:szCs w:val="24"/>
              </w:rPr>
              <w:t>և</w:t>
            </w:r>
            <w:r w:rsidRPr="00BD7577">
              <w:rPr>
                <w:rStyle w:val="Bodytext1811pt"/>
                <w:rFonts w:ascii="Sylfaen" w:hAnsi="Sylfaen"/>
                <w:sz w:val="24"/>
                <w:szCs w:val="24"/>
              </w:rPr>
              <w:t xml:space="preserve"> հանձնարարականներում. վերլուծե՛ք նման շեղումների ազդեցությունն օգուտ-ռիսկ պրոֆիլի վերջնական գնահատման վրա</w:t>
            </w:r>
          </w:p>
        </w:tc>
      </w:tr>
      <w:tr w:rsidR="008C76E0" w:rsidRPr="00BD7577" w14:paraId="78F444EC" w14:textId="77777777" w:rsidTr="008C76E0">
        <w:trPr>
          <w:jc w:val="center"/>
        </w:trPr>
        <w:tc>
          <w:tcPr>
            <w:tcW w:w="4762" w:type="dxa"/>
            <w:tcBorders>
              <w:top w:val="single" w:sz="4" w:space="0" w:color="auto"/>
              <w:left w:val="single" w:sz="4" w:space="0" w:color="auto"/>
              <w:bottom w:val="single" w:sz="4" w:space="0" w:color="auto"/>
            </w:tcBorders>
            <w:shd w:val="clear" w:color="auto" w:fill="FFFFFF"/>
          </w:tcPr>
          <w:p w14:paraId="1126D947" w14:textId="77777777" w:rsidR="008C76E0" w:rsidRPr="008C76E0" w:rsidRDefault="008C76E0" w:rsidP="008C76E0">
            <w:pPr>
              <w:pStyle w:val="Bodytext180"/>
              <w:shd w:val="clear" w:color="auto" w:fill="auto"/>
              <w:spacing w:before="0" w:after="120" w:line="240" w:lineRule="auto"/>
              <w:ind w:left="145" w:right="145" w:firstLine="0"/>
              <w:jc w:val="both"/>
              <w:rPr>
                <w:rFonts w:ascii="Sylfaen" w:hAnsi="Sylfaen"/>
                <w:b w:val="0"/>
                <w:sz w:val="24"/>
                <w:szCs w:val="24"/>
                <w:lang w:val="hy-AM"/>
              </w:rPr>
            </w:pPr>
            <w:r w:rsidRPr="00BD7577">
              <w:rPr>
                <w:rStyle w:val="Bodytext1811pt"/>
                <w:rFonts w:ascii="Sylfaen" w:hAnsi="Sylfaen"/>
                <w:sz w:val="24"/>
                <w:szCs w:val="24"/>
              </w:rPr>
              <w:lastRenderedPageBreak/>
              <w:t xml:space="preserve">Հայտատուն չի կարող պատրաստուկի արդյունավետության </w:t>
            </w:r>
            <w:r w:rsidR="00C54D75">
              <w:rPr>
                <w:rStyle w:val="Bodytext1811pt"/>
                <w:rFonts w:ascii="Sylfaen" w:hAnsi="Sylfaen"/>
                <w:sz w:val="24"/>
                <w:szCs w:val="24"/>
              </w:rPr>
              <w:t>և</w:t>
            </w:r>
            <w:r w:rsidRPr="00BD7577">
              <w:rPr>
                <w:rStyle w:val="Bodytext1811pt"/>
                <w:rFonts w:ascii="Sylfaen" w:hAnsi="Sylfaen"/>
                <w:sz w:val="24"/>
                <w:szCs w:val="24"/>
              </w:rPr>
              <w:t xml:space="preserve"> անվտանգության վերաբերյալ ամբողջական տվյալներ ներկայացնել՝ բնականոն պայմաններում դրա օգտագործման ժամանակ (բացառիկ հանգամանքներ կամ պայմանական գրանցում)</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cPr>
          <w:p w14:paraId="1A6A3EB4"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t>բացառիկ հանգամանքներում հնարավոր հաստատման վերաբերյալ եզրակացություն կազմելու համար փորձագետը պետք է գնահատի պատճառների հիմնավորվածությունը՝ համաձայն Գրանցման կանոնների «Հատուկ պայմաններ դեղապատրաստուկի գրանցման վերաբերյալ որոշում կայացնելիս» բաժնի</w:t>
            </w:r>
          </w:p>
        </w:tc>
      </w:tr>
      <w:tr w:rsidR="008C76E0" w:rsidRPr="00BD7577" w14:paraId="6A840AAC" w14:textId="77777777" w:rsidTr="008C76E0">
        <w:trPr>
          <w:gridAfter w:val="1"/>
          <w:wAfter w:w="11" w:type="dxa"/>
          <w:jc w:val="center"/>
        </w:trPr>
        <w:tc>
          <w:tcPr>
            <w:tcW w:w="4762" w:type="dxa"/>
            <w:tcBorders>
              <w:top w:val="single" w:sz="4" w:space="0" w:color="auto"/>
              <w:left w:val="single" w:sz="4" w:space="0" w:color="auto"/>
            </w:tcBorders>
            <w:shd w:val="clear" w:color="auto" w:fill="FFFFFF"/>
          </w:tcPr>
          <w:p w14:paraId="4E050127" w14:textId="77777777" w:rsidR="008C76E0" w:rsidRPr="00BD7577" w:rsidRDefault="008C76E0" w:rsidP="008C76E0">
            <w:pPr>
              <w:spacing w:after="120" w:line="240" w:lineRule="auto"/>
              <w:ind w:left="145" w:right="145"/>
              <w:jc w:val="both"/>
              <w:rPr>
                <w:rFonts w:ascii="Sylfaen" w:hAnsi="Sylfaen"/>
                <w:sz w:val="24"/>
                <w:szCs w:val="24"/>
              </w:rPr>
            </w:pPr>
          </w:p>
        </w:tc>
        <w:tc>
          <w:tcPr>
            <w:tcW w:w="4607" w:type="dxa"/>
            <w:tcBorders>
              <w:top w:val="single" w:sz="4" w:space="0" w:color="auto"/>
              <w:left w:val="single" w:sz="4" w:space="0" w:color="auto"/>
              <w:right w:val="single" w:sz="4" w:space="0" w:color="auto"/>
            </w:tcBorders>
            <w:shd w:val="clear" w:color="auto" w:fill="FFFFFF"/>
          </w:tcPr>
          <w:p w14:paraId="310A12E8" w14:textId="77777777" w:rsidR="008C76E0" w:rsidRPr="008C76E0" w:rsidRDefault="008C76E0" w:rsidP="008C76E0">
            <w:pPr>
              <w:pStyle w:val="Bodytext180"/>
              <w:shd w:val="clear" w:color="auto" w:fill="auto"/>
              <w:spacing w:before="0" w:after="120" w:line="240" w:lineRule="auto"/>
              <w:ind w:left="130" w:right="119" w:firstLine="0"/>
              <w:jc w:val="both"/>
              <w:rPr>
                <w:rFonts w:ascii="Sylfaen" w:hAnsi="Sylfaen"/>
                <w:b w:val="0"/>
                <w:sz w:val="24"/>
                <w:szCs w:val="24"/>
                <w:lang w:val="hy-AM"/>
              </w:rPr>
            </w:pPr>
            <w:r w:rsidRPr="00BD7577">
              <w:rPr>
                <w:rStyle w:val="Bodytext1811pt"/>
                <w:rFonts w:ascii="Sylfaen" w:hAnsi="Sylfaen"/>
                <w:sz w:val="24"/>
                <w:szCs w:val="24"/>
              </w:rPr>
              <w:t xml:space="preserve">հայտը հաստատելու համար պայմանական գրանցման տարբերակում փորձագետը պետք է գնահատի պատճառների հիմնավորվածությունը՝ համաձայն Գրանցման կանոնների «Հատուկ </w:t>
            </w:r>
            <w:r w:rsidRPr="00BD7577">
              <w:rPr>
                <w:rStyle w:val="Bodytext1811pt"/>
                <w:rFonts w:ascii="Sylfaen" w:hAnsi="Sylfaen"/>
                <w:sz w:val="24"/>
                <w:szCs w:val="24"/>
              </w:rPr>
              <w:lastRenderedPageBreak/>
              <w:t xml:space="preserve">պայմաններ դեղապատրաստուկի գրանցման վերաբերյալ որոշում կայացնելիս» բաժնի, </w:t>
            </w:r>
            <w:r w:rsidR="00C54D75">
              <w:rPr>
                <w:rStyle w:val="Bodytext1811pt"/>
                <w:rFonts w:ascii="Sylfaen" w:hAnsi="Sylfaen"/>
                <w:sz w:val="24"/>
                <w:szCs w:val="24"/>
              </w:rPr>
              <w:t>և</w:t>
            </w:r>
            <w:r w:rsidRPr="00BD7577">
              <w:rPr>
                <w:rStyle w:val="Bodytext1811pt"/>
                <w:rFonts w:ascii="Sylfaen" w:hAnsi="Sylfaen"/>
                <w:sz w:val="24"/>
                <w:szCs w:val="24"/>
              </w:rPr>
              <w:t xml:space="preserve"> նշի հայտի ամենամյա հաստատման անհրաժեշտությունը։ Պայմանական գրանցմամբ, որպես կանոն, չի նախատեսվում նախակլինիկական տեղեկատվությունը հայտի մեջ ընդգրկելու պարտավորություն՝</w:t>
            </w:r>
          </w:p>
        </w:tc>
      </w:tr>
      <w:tr w:rsidR="008C76E0" w:rsidRPr="00BD7577" w14:paraId="1F801C85" w14:textId="77777777" w:rsidTr="008C76E0">
        <w:trPr>
          <w:gridAfter w:val="1"/>
          <w:wAfter w:w="11" w:type="dxa"/>
          <w:jc w:val="center"/>
        </w:trPr>
        <w:tc>
          <w:tcPr>
            <w:tcW w:w="4762" w:type="dxa"/>
            <w:tcBorders>
              <w:left w:val="single" w:sz="4" w:space="0" w:color="auto"/>
              <w:bottom w:val="single" w:sz="4" w:space="0" w:color="auto"/>
            </w:tcBorders>
            <w:shd w:val="clear" w:color="auto" w:fill="FFFFFF"/>
          </w:tcPr>
          <w:p w14:paraId="669A51C2" w14:textId="77777777" w:rsidR="008C76E0" w:rsidRPr="00BD7577" w:rsidRDefault="008C76E0" w:rsidP="008C76E0">
            <w:pPr>
              <w:spacing w:after="120" w:line="240" w:lineRule="auto"/>
              <w:ind w:left="145" w:right="145"/>
              <w:jc w:val="both"/>
              <w:rPr>
                <w:rFonts w:ascii="Sylfaen" w:hAnsi="Sylfaen"/>
                <w:sz w:val="24"/>
                <w:szCs w:val="24"/>
              </w:rPr>
            </w:pPr>
          </w:p>
        </w:tc>
        <w:tc>
          <w:tcPr>
            <w:tcW w:w="4607" w:type="dxa"/>
            <w:tcBorders>
              <w:left w:val="single" w:sz="4" w:space="0" w:color="auto"/>
              <w:bottom w:val="single" w:sz="4" w:space="0" w:color="auto"/>
              <w:right w:val="single" w:sz="4" w:space="0" w:color="auto"/>
            </w:tcBorders>
            <w:shd w:val="clear" w:color="auto" w:fill="FFFFFF"/>
          </w:tcPr>
          <w:p w14:paraId="493F612F" w14:textId="77777777" w:rsidR="008C76E0" w:rsidRPr="008C76E0" w:rsidRDefault="008C76E0" w:rsidP="008C76E0">
            <w:pPr>
              <w:pStyle w:val="Bodytext180"/>
              <w:shd w:val="clear" w:color="auto" w:fill="auto"/>
              <w:spacing w:before="0" w:after="120" w:line="240" w:lineRule="auto"/>
              <w:ind w:left="129" w:right="119" w:firstLine="0"/>
              <w:jc w:val="both"/>
              <w:rPr>
                <w:rFonts w:ascii="Sylfaen" w:hAnsi="Sylfaen"/>
                <w:b w:val="0"/>
                <w:sz w:val="24"/>
                <w:szCs w:val="24"/>
                <w:lang w:val="hy-AM"/>
              </w:rPr>
            </w:pPr>
            <w:r w:rsidRPr="00BD7577">
              <w:rPr>
                <w:rStyle w:val="Bodytext1811pt"/>
                <w:rFonts w:ascii="Sylfaen" w:hAnsi="Sylfaen"/>
                <w:sz w:val="24"/>
                <w:szCs w:val="24"/>
              </w:rPr>
              <w:t>բացառությամբ արտակարգ իրավիճակներով պայմանավորված գրանցման դեպքերի</w:t>
            </w:r>
          </w:p>
        </w:tc>
      </w:tr>
    </w:tbl>
    <w:p w14:paraId="10D2E8FF" w14:textId="77777777" w:rsidR="008C76E0" w:rsidRPr="00BD7577" w:rsidRDefault="008C76E0" w:rsidP="008C76E0">
      <w:pPr>
        <w:ind w:right="-1" w:firstLine="567"/>
        <w:jc w:val="both"/>
        <w:rPr>
          <w:rFonts w:ascii="Sylfaen" w:eastAsia="Times New Roman" w:hAnsi="Sylfaen" w:cs="Times New Roman"/>
          <w:sz w:val="24"/>
          <w:szCs w:val="24"/>
        </w:rPr>
      </w:pPr>
    </w:p>
    <w:p w14:paraId="0641277A"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Մշակման հարցերը:</w:t>
      </w:r>
    </w:p>
    <w:p w14:paraId="0C94269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Նկարագրվում է նախակլինիկական հետազոտությունների մշակման ծրագիրը՝ առաջարկվող կիրառման ցուցումների </w:t>
      </w:r>
      <w:r w:rsidR="00C54D75">
        <w:rPr>
          <w:rFonts w:ascii="Sylfaen" w:hAnsi="Sylfaen"/>
          <w:sz w:val="24"/>
          <w:szCs w:val="24"/>
        </w:rPr>
        <w:t>և</w:t>
      </w:r>
      <w:r w:rsidRPr="004B393A">
        <w:rPr>
          <w:rFonts w:ascii="Sylfaen" w:hAnsi="Sylfaen"/>
          <w:sz w:val="24"/>
          <w:szCs w:val="24"/>
        </w:rPr>
        <w:t xml:space="preserve"> դոզավորման ռեժիմի տեսանկյունից (նշվում է երեխաների մոտ կիրառման մասով ցուցումների առկայությունը): Նշվում է՝ արդյոք անցկացված հետազոտությունների ծավալը համապատասխանում է Միության հանձնարարականներին </w:t>
      </w:r>
      <w:r w:rsidR="00C54D75">
        <w:rPr>
          <w:rFonts w:ascii="Sylfaen" w:hAnsi="Sylfaen"/>
          <w:sz w:val="24"/>
          <w:szCs w:val="24"/>
        </w:rPr>
        <w:t>և</w:t>
      </w:r>
      <w:r w:rsidRPr="004B393A">
        <w:rPr>
          <w:rFonts w:ascii="Sylfaen" w:hAnsi="Sylfaen"/>
          <w:sz w:val="24"/>
          <w:szCs w:val="24"/>
        </w:rPr>
        <w:t xml:space="preserve"> անդամ պետության օրենսդրությամբ սահմանված մեթոդական ձեռնարկներին ու պահանջներին:</w:t>
      </w:r>
    </w:p>
    <w:p w14:paraId="2A98922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Նշվում է՝ արդյոք հայտատուն պահանջում է արագացված կարգով գնահատման անցկացում </w:t>
      </w:r>
      <w:r w:rsidR="00C54D75">
        <w:rPr>
          <w:rFonts w:ascii="Sylfaen" w:hAnsi="Sylfaen"/>
          <w:sz w:val="24"/>
          <w:szCs w:val="24"/>
        </w:rPr>
        <w:t>և</w:t>
      </w:r>
      <w:r w:rsidRPr="004B393A">
        <w:rPr>
          <w:rFonts w:ascii="Sylfaen" w:hAnsi="Sylfaen"/>
          <w:sz w:val="24"/>
          <w:szCs w:val="24"/>
        </w:rPr>
        <w:t xml:space="preserve"> փորձաքննության անհրաժեշտ չափանիշների կատարում:</w:t>
      </w:r>
    </w:p>
    <w:p w14:paraId="3A2C6160"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Կենսանմանության հետազոտության համար անհրաժեշտ է նկարագրել, հիմնավորել </w:t>
      </w:r>
      <w:r w:rsidR="00C54D75">
        <w:rPr>
          <w:rFonts w:ascii="Sylfaen" w:hAnsi="Sylfaen"/>
          <w:sz w:val="24"/>
          <w:szCs w:val="24"/>
        </w:rPr>
        <w:t>և</w:t>
      </w:r>
      <w:r w:rsidRPr="004B393A">
        <w:rPr>
          <w:rFonts w:ascii="Sylfaen" w:hAnsi="Sylfaen"/>
          <w:sz w:val="24"/>
          <w:szCs w:val="24"/>
        </w:rPr>
        <w:t xml:space="preserve"> գնահատել ընկերության կողմից ընտրված մշակման ռազմավարությունը՝ հաշվի առնելով համապատասխան մեթոդական ձեռնարկները: Կենսահամանման (կենսանման) դեղապատրաստուկների դեպքում հարկ է կիրառել Միության իրավունքի մաս կազմող համապատասխան ակտեր: Անհրաժեշտ է մանրակրկիտ համեմատական վերլուծություն անցկացնել, որպեսզի ցույց տրվի, որ Միությունում արդեն գրանցված կենսահամանման </w:t>
      </w:r>
      <w:r w:rsidR="00C54D75">
        <w:rPr>
          <w:rFonts w:ascii="Sylfaen" w:hAnsi="Sylfaen"/>
          <w:sz w:val="24"/>
          <w:szCs w:val="24"/>
        </w:rPr>
        <w:t>և</w:t>
      </w:r>
      <w:r w:rsidRPr="004B393A">
        <w:rPr>
          <w:rFonts w:ascii="Sylfaen" w:hAnsi="Sylfaen"/>
          <w:sz w:val="24"/>
          <w:szCs w:val="24"/>
        </w:rPr>
        <w:t xml:space="preserve"> ռեֆերենտ պատրաստուկներն ունեն նման պրոֆիլներ՝ որակի, անվտանգության </w:t>
      </w:r>
      <w:r w:rsidR="00C54D75">
        <w:rPr>
          <w:rFonts w:ascii="Sylfaen" w:hAnsi="Sylfaen"/>
          <w:sz w:val="24"/>
          <w:szCs w:val="24"/>
        </w:rPr>
        <w:t>և</w:t>
      </w:r>
      <w:r w:rsidRPr="004B393A">
        <w:rPr>
          <w:rFonts w:ascii="Sylfaen" w:hAnsi="Sylfaen"/>
          <w:sz w:val="24"/>
          <w:szCs w:val="24"/>
        </w:rPr>
        <w:t xml:space="preserve"> արդյունավետության մասով: Հաշվետվության՝ որակի գնահատմանը վերաբերող </w:t>
      </w:r>
      <w:r w:rsidRPr="004B393A">
        <w:rPr>
          <w:rFonts w:ascii="Sylfaen" w:hAnsi="Sylfaen"/>
          <w:sz w:val="24"/>
          <w:szCs w:val="24"/>
        </w:rPr>
        <w:lastRenderedPageBreak/>
        <w:t>մասում անհրաժեշտ է աղյուսակի տեսքով ներկայացնել ռեֆերենտ պատրաստուկի վերաբերյալ մանրամասն տեղեկատվություն (անվանումը, դեղաչափը, դեղաձ</w:t>
      </w:r>
      <w:r w:rsidR="00C54D75">
        <w:rPr>
          <w:rFonts w:ascii="Sylfaen" w:hAnsi="Sylfaen"/>
          <w:sz w:val="24"/>
          <w:szCs w:val="24"/>
        </w:rPr>
        <w:t>և</w:t>
      </w:r>
      <w:r w:rsidRPr="004B393A">
        <w:rPr>
          <w:rFonts w:ascii="Sylfaen" w:hAnsi="Sylfaen"/>
          <w:sz w:val="24"/>
          <w:szCs w:val="24"/>
        </w:rPr>
        <w:t>ը, գրանցման հավաստագրի իրավատերը, Միությունում գրանցման ամսաթիվը), ինչպես նա</w:t>
      </w:r>
      <w:r w:rsidR="00C54D75">
        <w:rPr>
          <w:rFonts w:ascii="Sylfaen" w:hAnsi="Sylfaen"/>
          <w:sz w:val="24"/>
          <w:szCs w:val="24"/>
        </w:rPr>
        <w:t>և</w:t>
      </w:r>
      <w:r w:rsidRPr="004B393A">
        <w:rPr>
          <w:rFonts w:ascii="Sylfaen" w:hAnsi="Sylfaen"/>
          <w:sz w:val="24"/>
          <w:szCs w:val="24"/>
        </w:rPr>
        <w:t xml:space="preserve"> ամբողջական տեղեկություններ՝ պատրաստուկի սերիաների վերաբերյալ (սերիաների համարները, արտադրության երկիրը), որոնք կիրառվել են որակի ցուցանիշների, նախակլինիկական </w:t>
      </w:r>
      <w:r w:rsidR="00C54D75">
        <w:rPr>
          <w:rFonts w:ascii="Sylfaen" w:hAnsi="Sylfaen"/>
          <w:sz w:val="24"/>
          <w:szCs w:val="24"/>
        </w:rPr>
        <w:t>և</w:t>
      </w:r>
      <w:r w:rsidRPr="004B393A">
        <w:rPr>
          <w:rFonts w:ascii="Sylfaen" w:hAnsi="Sylfaen"/>
          <w:sz w:val="24"/>
          <w:szCs w:val="24"/>
        </w:rPr>
        <w:t xml:space="preserve"> կլինիկական տվյալների համեմատության ժամանակ:</w:t>
      </w:r>
    </w:p>
    <w:p w14:paraId="53A06CFA"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Նշվում է, թե արդյոք դեղապատրաստուկների փորձաքննություն իրականացնող լիազորված մարմինների </w:t>
      </w:r>
      <w:r w:rsidR="00C54D75">
        <w:rPr>
          <w:rFonts w:ascii="Sylfaen" w:hAnsi="Sylfaen"/>
          <w:sz w:val="24"/>
          <w:szCs w:val="24"/>
        </w:rPr>
        <w:t>և</w:t>
      </w:r>
      <w:r w:rsidRPr="004B393A">
        <w:rPr>
          <w:rFonts w:ascii="Sylfaen" w:hAnsi="Sylfaen"/>
          <w:sz w:val="24"/>
          <w:szCs w:val="24"/>
        </w:rPr>
        <w:t xml:space="preserve"> կազմակերպությունների հետ համաձայնեցվել է պատրաստուկի հետազոտության պլանը երեխաների մոտ (հետաձգմամբ </w:t>
      </w:r>
      <w:r w:rsidR="00C54D75">
        <w:rPr>
          <w:rFonts w:ascii="Sylfaen" w:hAnsi="Sylfaen"/>
          <w:sz w:val="24"/>
          <w:szCs w:val="24"/>
        </w:rPr>
        <w:t>և</w:t>
      </w:r>
      <w:r w:rsidRPr="004B393A">
        <w:rPr>
          <w:rFonts w:ascii="Sylfaen" w:hAnsi="Sylfaen"/>
          <w:sz w:val="24"/>
          <w:szCs w:val="24"/>
        </w:rPr>
        <w:t xml:space="preserve"> առանց դրա) կամ այդպիսի պլանից հրաժարվելը կոնկրետ պատրաստուկի համար (կամ այդ հրաժարումը տարածվում է դեղապատրաստուկների ամբողջ դասի վրա): Համառոտ նկարագրվում են երեխաների մոտ պատրաստուկի հետազոտության պլանին ներկայացվող պայմաններն ու հիմնական պահանջները՝ նախակլինիկական ասպեկտների մասով (ըստ հնարավորության), </w:t>
      </w:r>
      <w:r w:rsidR="00C54D75">
        <w:rPr>
          <w:rFonts w:ascii="Sylfaen" w:hAnsi="Sylfaen"/>
          <w:sz w:val="24"/>
          <w:szCs w:val="24"/>
        </w:rPr>
        <w:t>և</w:t>
      </w:r>
      <w:r w:rsidRPr="004B393A">
        <w:rPr>
          <w:rFonts w:ascii="Sylfaen" w:hAnsi="Sylfaen"/>
          <w:sz w:val="24"/>
          <w:szCs w:val="24"/>
        </w:rPr>
        <w:t xml:space="preserve"> ներկայացվում է նախակլինիկական հետազոտությունների ընթացիկ կարգավիճակի վերաբերյալ համապատասխան տեղեկատվություն (ավարտված հետազոտություններ, շարունակվող հետազոտություններ </w:t>
      </w:r>
      <w:r w:rsidR="00C54D75">
        <w:rPr>
          <w:rFonts w:ascii="Sylfaen" w:hAnsi="Sylfaen"/>
          <w:sz w:val="24"/>
          <w:szCs w:val="24"/>
        </w:rPr>
        <w:t>և</w:t>
      </w:r>
      <w:r w:rsidRPr="004B393A">
        <w:rPr>
          <w:rFonts w:ascii="Sylfaen" w:hAnsi="Sylfaen"/>
          <w:sz w:val="24"/>
          <w:szCs w:val="24"/>
        </w:rPr>
        <w:t xml:space="preserve"> այլն):</w:t>
      </w:r>
    </w:p>
    <w:p w14:paraId="4C818923" w14:textId="77777777" w:rsidR="008C76E0" w:rsidRPr="004B393A" w:rsidRDefault="008C76E0" w:rsidP="004B393A">
      <w:pPr>
        <w:spacing w:after="160" w:line="336" w:lineRule="auto"/>
        <w:ind w:right="-1" w:firstLine="567"/>
        <w:jc w:val="both"/>
        <w:rPr>
          <w:rFonts w:ascii="Sylfaen" w:hAnsi="Sylfaen"/>
          <w:sz w:val="24"/>
          <w:szCs w:val="24"/>
        </w:rPr>
      </w:pPr>
      <w:r w:rsidRPr="004B393A">
        <w:rPr>
          <w:rFonts w:ascii="Sylfaen" w:hAnsi="Sylfaen"/>
          <w:sz w:val="24"/>
          <w:szCs w:val="24"/>
        </w:rPr>
        <w:t>Նշվում է, թե արդյոք հայտատուն ստացել է գիտական խորհրդատվություն կամ աջակցություն արձանագրությունը կազմելիս (եթե այո, ապա երբ), նշվում են նա</w:t>
      </w:r>
      <w:r w:rsidR="00C54D75">
        <w:rPr>
          <w:rFonts w:ascii="Sylfaen" w:hAnsi="Sylfaen"/>
          <w:sz w:val="24"/>
          <w:szCs w:val="24"/>
        </w:rPr>
        <w:t>և</w:t>
      </w:r>
      <w:r w:rsidRPr="004B393A">
        <w:rPr>
          <w:rFonts w:ascii="Sylfaen" w:hAnsi="Sylfaen"/>
          <w:sz w:val="24"/>
          <w:szCs w:val="24"/>
        </w:rPr>
        <w:t xml:space="preserve"> խնդրահարույց հարցերը՝ նկարագրելով, թե արդյոք հայտատուն օգտվել է ստացված հանձնարարականներից:</w:t>
      </w:r>
    </w:p>
    <w:p w14:paraId="2076E726" w14:textId="77777777" w:rsidR="008C76E0" w:rsidRPr="004B393A" w:rsidRDefault="008C76E0" w:rsidP="004B393A">
      <w:pPr>
        <w:spacing w:after="160" w:line="336" w:lineRule="auto"/>
        <w:ind w:firstLine="567"/>
        <w:jc w:val="both"/>
        <w:rPr>
          <w:rFonts w:ascii="Sylfaen" w:hAnsi="Sylfaen"/>
          <w:sz w:val="24"/>
          <w:szCs w:val="24"/>
        </w:rPr>
      </w:pPr>
      <w:r w:rsidRPr="004B393A">
        <w:rPr>
          <w:rFonts w:ascii="Sylfaen" w:hAnsi="Sylfaen"/>
          <w:sz w:val="24"/>
          <w:szCs w:val="24"/>
        </w:rPr>
        <w:t>Նշվում է, թե արդյոք դեղապատրաստուկին շնորհվել է հազվադեպ հանդիպող (որբ) պատրաստուկի կարգավիճակ (եթե այո, ապա երբ): Անհրաժեշտության դեպքում հայտարարություն է արվում ազդեցության նման մեխանիզմ ունեցող պատրաստուկների նկատմամբ սույն որոշման մասին:</w:t>
      </w:r>
    </w:p>
    <w:p w14:paraId="0C8E51B5"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Եթե հետազոտությունների համար մասամբ կիրառվել են շուկայում վաճառքի համար չնախատեսված պատրաստուկի սերիաներ, ապա այդ դեպքում </w:t>
      </w:r>
      <w:r w:rsidRPr="004B393A">
        <w:rPr>
          <w:rFonts w:ascii="Sylfaen" w:hAnsi="Sylfaen"/>
          <w:sz w:val="24"/>
          <w:szCs w:val="24"/>
        </w:rPr>
        <w:lastRenderedPageBreak/>
        <w:t>անհրաժեշտ է նոր խառնուկների (առկայության դեպքում) որակավորման գնահատում անցկացնել:</w:t>
      </w:r>
    </w:p>
    <w:p w14:paraId="4AE1495F"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1.2.</w:t>
      </w:r>
      <w:r w:rsidRPr="004B393A">
        <w:rPr>
          <w:rFonts w:ascii="Sylfaen" w:hAnsi="Sylfaen"/>
          <w:sz w:val="24"/>
          <w:szCs w:val="24"/>
        </w:rPr>
        <w:tab/>
        <w:t>Պատշաճ լաբորատոր գործունեության ասպեկտները:</w:t>
      </w:r>
    </w:p>
    <w:p w14:paraId="3FC89954"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բաժնում, ինչպես նա</w:t>
      </w:r>
      <w:r w:rsidR="00C54D75">
        <w:rPr>
          <w:rFonts w:ascii="Sylfaen" w:hAnsi="Sylfaen"/>
          <w:sz w:val="24"/>
          <w:szCs w:val="24"/>
        </w:rPr>
        <w:t>և</w:t>
      </w:r>
      <w:r w:rsidRPr="004B393A">
        <w:rPr>
          <w:rFonts w:ascii="Sylfaen" w:hAnsi="Sylfaen"/>
          <w:sz w:val="24"/>
          <w:szCs w:val="24"/>
        </w:rPr>
        <w:t xml:space="preserve"> «Անվտանգության, որակի, արդյունավետության գնահատում» ամփոփ փորձագիտական հաշվետվության մեջ պետք է նշված լինի Եվրասիական տնտեսական հանձնաժողովի կողմից հաստատվող՝ Եվրասիական տնտեսական միության պատշաճ լաբորատոր գործունեության կանոնների պահանջներին (այսուհետ՝ պատշաճ լաբորատոր գործունեության կանոններ) համապատասխանության մասին հայտարարագրի առկայությունը:</w:t>
      </w:r>
    </w:p>
    <w:p w14:paraId="0DAF00DD"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բաժինը, մասնավորապես, նվիրված է հետ</w:t>
      </w:r>
      <w:r w:rsidR="00C54D75">
        <w:rPr>
          <w:rFonts w:ascii="Sylfaen" w:hAnsi="Sylfaen"/>
          <w:sz w:val="24"/>
          <w:szCs w:val="24"/>
        </w:rPr>
        <w:t>և</w:t>
      </w:r>
      <w:r w:rsidRPr="004B393A">
        <w:rPr>
          <w:rFonts w:ascii="Sylfaen" w:hAnsi="Sylfaen"/>
          <w:sz w:val="24"/>
          <w:szCs w:val="24"/>
        </w:rPr>
        <w:t>յալի նկարագրությանը՝ պատշաճ լաբորատոր գործունեության կանոններին համապատասխանության հետ կապված ցանկացած խնդիր, որն ի հայտ է եկել ներկայացված հաշվետվությունների գնահատման ընթացքում (տվյալների ճշտություն կամ արձանագրության պահանջներին համապատասխանություն).</w:t>
      </w:r>
    </w:p>
    <w:p w14:paraId="0DC0CD7E"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պատշաճ լաբորատոր գործունեության նորմերի պահպանումը վերահսկելու համար տեսչական ստուգում անցկացնելու անհրաժեշտության վերաբերյալ հարցի դիտարկում.</w:t>
      </w:r>
    </w:p>
    <w:p w14:paraId="38981EE2"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պատշաճ լաբորատոր գործունեության կանոնների պահանջներին համապատասխանության մասով տեսչական ստուգում անցկացնելու վերաբերյալ հարցման համար անհրաժեշտ է՝</w:t>
      </w:r>
    </w:p>
    <w:p w14:paraId="3EE5A236"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դիմել անդամ պետության դեղագործական տեսչությանը. տեսչության հետ միասին որոշել տեսչական ստուգման անցկացման հետ առնչություն ունեցող հետազոտությունները, օբյեկտներն ու մասնահատուկ հարցերը կամ խնդիրները,</w:t>
      </w:r>
    </w:p>
    <w:p w14:paraId="0A8CD0DB"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նախապատրաստել տեսչական ստուգման վերաբերյալ պաշտոնական հարցում, որը ներկայացվում է տեսուչների քննարկմանը </w:t>
      </w:r>
      <w:r w:rsidR="00C54D75">
        <w:rPr>
          <w:rFonts w:ascii="Sylfaen" w:hAnsi="Sylfaen"/>
          <w:sz w:val="24"/>
          <w:szCs w:val="24"/>
        </w:rPr>
        <w:t>և</w:t>
      </w:r>
      <w:r w:rsidRPr="004B393A">
        <w:rPr>
          <w:rFonts w:ascii="Sylfaen" w:hAnsi="Sylfaen"/>
          <w:sz w:val="24"/>
          <w:szCs w:val="24"/>
        </w:rPr>
        <w:t xml:space="preserve"> հետագա համաձայնեցմանն անդամ պետությունների լիազորված փորձագիտական կազմակերպությունների հետ, որից հետո հարցումը հաստատվում է այդ </w:t>
      </w:r>
      <w:r w:rsidRPr="004B393A">
        <w:rPr>
          <w:rFonts w:ascii="Sylfaen" w:hAnsi="Sylfaen"/>
          <w:sz w:val="24"/>
          <w:szCs w:val="24"/>
        </w:rPr>
        <w:lastRenderedPageBreak/>
        <w:t xml:space="preserve">պետությունների լիազորված մարմինների կողմից </w:t>
      </w:r>
      <w:r w:rsidR="00C54D75">
        <w:rPr>
          <w:rFonts w:ascii="Sylfaen" w:hAnsi="Sylfaen"/>
          <w:sz w:val="24"/>
          <w:szCs w:val="24"/>
        </w:rPr>
        <w:t>և</w:t>
      </w:r>
      <w:r w:rsidRPr="004B393A">
        <w:rPr>
          <w:rFonts w:ascii="Sylfaen" w:hAnsi="Sylfaen"/>
          <w:sz w:val="24"/>
          <w:szCs w:val="24"/>
        </w:rPr>
        <w:t xml:space="preserve"> ներառվում է տեսչական ստուգումների պլանի մեջ (գրանցման գործընթացի ընդհանուր ժամկետի 90-րդ կամ 120-րդ օրացուցային օրը):</w:t>
      </w:r>
    </w:p>
    <w:p w14:paraId="57350FDD"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2.</w:t>
      </w:r>
      <w:r w:rsidRPr="004B393A">
        <w:rPr>
          <w:rFonts w:ascii="Sylfaen" w:hAnsi="Sylfaen"/>
          <w:sz w:val="24"/>
          <w:szCs w:val="24"/>
        </w:rPr>
        <w:tab/>
        <w:t xml:space="preserve">Դեղաբանություն (2.6.2 </w:t>
      </w:r>
      <w:r w:rsidR="00C54D75">
        <w:rPr>
          <w:rFonts w:ascii="Sylfaen" w:hAnsi="Sylfaen"/>
          <w:sz w:val="24"/>
          <w:szCs w:val="24"/>
        </w:rPr>
        <w:t>և</w:t>
      </w:r>
      <w:r w:rsidRPr="004B393A">
        <w:rPr>
          <w:rFonts w:ascii="Sylfaen" w:hAnsi="Sylfaen"/>
          <w:sz w:val="24"/>
          <w:szCs w:val="24"/>
        </w:rPr>
        <w:t xml:space="preserve"> 4.2.1 մոդուլներ):</w:t>
      </w:r>
    </w:p>
    <w:p w14:paraId="29AE74DE"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Համառոտ նկարագրությունը</w:t>
      </w:r>
    </w:p>
    <w:p w14:paraId="24C62B7D" w14:textId="77777777" w:rsidR="008C76E0" w:rsidRPr="004B393A" w:rsidRDefault="008C76E0" w:rsidP="005A45A7">
      <w:pPr>
        <w:spacing w:after="160" w:line="384" w:lineRule="auto"/>
        <w:ind w:right="-1" w:firstLine="567"/>
        <w:jc w:val="both"/>
        <w:rPr>
          <w:rFonts w:ascii="Sylfaen" w:hAnsi="Sylfaen"/>
          <w:sz w:val="24"/>
          <w:szCs w:val="24"/>
        </w:rPr>
      </w:pPr>
      <w:r w:rsidRPr="004B393A">
        <w:rPr>
          <w:rFonts w:ascii="Sylfaen" w:hAnsi="Sylfaen"/>
          <w:sz w:val="24"/>
          <w:szCs w:val="24"/>
        </w:rPr>
        <w:t>Սույն բաժնում անհրաժեշտ է նկարագրել ազդող նյութը, դեղապատրաստուկի ներգործության մեխանիզմն ու մշակման հակիրճ հիմնավորումը՝ կիրառման համար առաջարկվող ցուցումներին համապատասխան:</w:t>
      </w:r>
    </w:p>
    <w:p w14:paraId="617F0EC9" w14:textId="77777777" w:rsidR="008C76E0" w:rsidRPr="004B393A" w:rsidRDefault="008C76E0" w:rsidP="005A45A7">
      <w:pPr>
        <w:spacing w:after="160" w:line="384" w:lineRule="auto"/>
        <w:ind w:firstLine="567"/>
        <w:jc w:val="both"/>
        <w:rPr>
          <w:rFonts w:ascii="Sylfaen" w:hAnsi="Sylfaen"/>
          <w:sz w:val="24"/>
          <w:szCs w:val="24"/>
        </w:rPr>
      </w:pPr>
      <w:r w:rsidRPr="004B393A">
        <w:rPr>
          <w:rFonts w:ascii="Sylfaen" w:hAnsi="Sylfaen"/>
          <w:sz w:val="24"/>
          <w:szCs w:val="24"/>
        </w:rPr>
        <w:t>Կենսահամանման (կենսանման) դեղապատրաստուկների համար սույն բաժնում անհրաժեշտ է արտացոլել հետազոտությունների համեմատական բնույթն ու նախակլինիկական մշակման ծրագրի հիմնավորումը: Բաժնի վերջում՝ «քննարկում» կետում, կարելի է վերլուծել հետազոտությունների արդյունքները:</w:t>
      </w:r>
    </w:p>
    <w:p w14:paraId="62670D95"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Ֆիզիկաքիմիական հատկությունները</w:t>
      </w:r>
    </w:p>
    <w:p w14:paraId="268101CB" w14:textId="77777777" w:rsidR="008C76E0" w:rsidRPr="004B393A" w:rsidRDefault="008C76E0" w:rsidP="005A45A7">
      <w:pPr>
        <w:spacing w:after="160" w:line="384" w:lineRule="auto"/>
        <w:ind w:firstLine="567"/>
        <w:jc w:val="both"/>
        <w:rPr>
          <w:rFonts w:ascii="Sylfaen" w:hAnsi="Sylfaen"/>
          <w:sz w:val="24"/>
          <w:szCs w:val="24"/>
        </w:rPr>
      </w:pPr>
      <w:r w:rsidRPr="004B393A">
        <w:rPr>
          <w:rFonts w:ascii="Sylfaen" w:hAnsi="Sylfaen"/>
          <w:sz w:val="24"/>
          <w:szCs w:val="24"/>
        </w:rPr>
        <w:t>Աղյուսակի առաջարկվող ձ</w:t>
      </w:r>
      <w:r w:rsidR="00C54D75">
        <w:rPr>
          <w:rFonts w:ascii="Sylfaen" w:hAnsi="Sylfaen"/>
          <w:sz w:val="24"/>
          <w:szCs w:val="24"/>
        </w:rPr>
        <w:t>և</w:t>
      </w:r>
      <w:r w:rsidRPr="004B393A">
        <w:rPr>
          <w:rFonts w:ascii="Sylfaen" w:hAnsi="Sylfaen"/>
          <w:sz w:val="24"/>
          <w:szCs w:val="24"/>
        </w:rPr>
        <w:t xml:space="preserve">ը հարկ է լրացնել Գրանցման կանոնների թիվ 8 հավելվածին համապատասխան: Աղյուսակի առանձին դաշտերը լրացնելու անհնարինության դեպքում հարկ է այդ մասին նշում կատարել </w:t>
      </w:r>
      <w:r w:rsidR="00C54D75">
        <w:rPr>
          <w:rFonts w:ascii="Sylfaen" w:hAnsi="Sylfaen"/>
          <w:sz w:val="24"/>
          <w:szCs w:val="24"/>
        </w:rPr>
        <w:t>և</w:t>
      </w:r>
      <w:r w:rsidRPr="004B393A">
        <w:rPr>
          <w:rFonts w:ascii="Sylfaen" w:hAnsi="Sylfaen"/>
          <w:sz w:val="24"/>
          <w:szCs w:val="24"/>
        </w:rPr>
        <w:t xml:space="preserve"> գնահատել բացակայող տեղեկատվության կրիտիկականությունը:</w:t>
      </w:r>
    </w:p>
    <w:p w14:paraId="3E2E9B78" w14:textId="77777777" w:rsidR="008C76E0" w:rsidRPr="004B393A" w:rsidRDefault="008C76E0" w:rsidP="005A45A7">
      <w:pPr>
        <w:tabs>
          <w:tab w:val="left" w:pos="1134"/>
        </w:tabs>
        <w:spacing w:after="160" w:line="384" w:lineRule="auto"/>
        <w:ind w:right="-1" w:firstLine="567"/>
        <w:jc w:val="both"/>
        <w:rPr>
          <w:rFonts w:ascii="Sylfaen" w:hAnsi="Sylfaen"/>
          <w:sz w:val="24"/>
          <w:szCs w:val="24"/>
        </w:rPr>
      </w:pPr>
      <w:r w:rsidRPr="004B393A">
        <w:rPr>
          <w:rFonts w:ascii="Sylfaen" w:hAnsi="Sylfaen"/>
          <w:sz w:val="24"/>
          <w:szCs w:val="24"/>
        </w:rPr>
        <w:t>2.1.</w:t>
      </w:r>
      <w:r w:rsidRPr="004B393A">
        <w:rPr>
          <w:rFonts w:ascii="Sylfaen" w:hAnsi="Sylfaen"/>
          <w:sz w:val="24"/>
          <w:szCs w:val="24"/>
        </w:rPr>
        <w:tab/>
        <w:t>Առաջնային դեղադինամիկան:</w:t>
      </w:r>
    </w:p>
    <w:p w14:paraId="1D0F1274" w14:textId="77777777" w:rsidR="008C76E0" w:rsidRPr="004B393A" w:rsidRDefault="008C76E0" w:rsidP="005A45A7">
      <w:pPr>
        <w:tabs>
          <w:tab w:val="left" w:pos="1134"/>
        </w:tabs>
        <w:spacing w:after="160" w:line="384" w:lineRule="auto"/>
        <w:ind w:firstLine="567"/>
        <w:jc w:val="both"/>
        <w:rPr>
          <w:rFonts w:ascii="Sylfaen" w:hAnsi="Sylfaen"/>
          <w:sz w:val="24"/>
          <w:szCs w:val="24"/>
        </w:rPr>
      </w:pPr>
      <w:r w:rsidRPr="004B393A">
        <w:rPr>
          <w:rFonts w:ascii="Sylfaen" w:hAnsi="Sylfaen"/>
          <w:sz w:val="24"/>
          <w:szCs w:val="24"/>
        </w:rPr>
        <w:t>Սույն բաժնում նկարագրվում են ազդող նյութի գնահատման մասով դեղադինամիկ հետազոտությունները՝ կապված հիմնական (նպատակային) հիվանդության հետ՝ ելնելով կիրառման ենթադրվող ցուցումներից, ներառյալ՝ հետ</w:t>
      </w:r>
      <w:r w:rsidR="00C54D75">
        <w:rPr>
          <w:rFonts w:ascii="Sylfaen" w:hAnsi="Sylfaen"/>
          <w:sz w:val="24"/>
          <w:szCs w:val="24"/>
        </w:rPr>
        <w:t>և</w:t>
      </w:r>
      <w:r w:rsidRPr="004B393A">
        <w:rPr>
          <w:rFonts w:ascii="Sylfaen" w:hAnsi="Sylfaen"/>
          <w:sz w:val="24"/>
          <w:szCs w:val="24"/>
        </w:rPr>
        <w:t>յալ հարցերը՝</w:t>
      </w:r>
    </w:p>
    <w:p w14:paraId="6643A708"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հայեցակարգի (in vitro </w:t>
      </w:r>
      <w:r w:rsidR="00C54D75">
        <w:rPr>
          <w:rFonts w:ascii="Sylfaen" w:hAnsi="Sylfaen"/>
          <w:sz w:val="24"/>
          <w:szCs w:val="24"/>
        </w:rPr>
        <w:t>և</w:t>
      </w:r>
      <w:r w:rsidRPr="004B393A">
        <w:rPr>
          <w:rFonts w:ascii="Sylfaen" w:hAnsi="Sylfaen"/>
          <w:sz w:val="24"/>
          <w:szCs w:val="24"/>
        </w:rPr>
        <w:t xml:space="preserve"> in vivo) հաստատումն ու գործողության մեխանիզմը. կիրառման համար առաջարկվող ցուցումներին համապատասխանող </w:t>
      </w:r>
      <w:r w:rsidR="00C54D75">
        <w:rPr>
          <w:rFonts w:ascii="Sylfaen" w:hAnsi="Sylfaen"/>
          <w:sz w:val="24"/>
          <w:szCs w:val="24"/>
        </w:rPr>
        <w:t>և</w:t>
      </w:r>
      <w:r w:rsidRPr="004B393A">
        <w:rPr>
          <w:rFonts w:ascii="Sylfaen" w:hAnsi="Sylfaen"/>
          <w:sz w:val="24"/>
          <w:szCs w:val="24"/>
        </w:rPr>
        <w:t xml:space="preserve"> </w:t>
      </w:r>
      <w:r w:rsidRPr="004B393A">
        <w:rPr>
          <w:rFonts w:ascii="Sylfaen" w:hAnsi="Sylfaen"/>
          <w:sz w:val="24"/>
          <w:szCs w:val="24"/>
        </w:rPr>
        <w:lastRenderedPageBreak/>
        <w:t>միջտեսակային վերլուծության համար պիտանի կենդանական մոդելների առկայությունը.</w:t>
      </w:r>
    </w:p>
    <w:p w14:paraId="4C6BD544"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ակտիվությունը (օրինակ՝ ED</w:t>
      </w:r>
      <w:r w:rsidRPr="004B393A">
        <w:rPr>
          <w:rFonts w:ascii="Sylfaen" w:hAnsi="Sylfaen"/>
          <w:sz w:val="24"/>
          <w:szCs w:val="24"/>
          <w:vertAlign w:val="subscript"/>
        </w:rPr>
        <w:t>50</w:t>
      </w:r>
      <w:r w:rsidRPr="004B393A">
        <w:rPr>
          <w:rFonts w:ascii="Sylfaen" w:hAnsi="Sylfaen"/>
          <w:sz w:val="24"/>
          <w:szCs w:val="24"/>
        </w:rPr>
        <w:t>), ներառյալ՝ թունաբանական հետազոտություններում օգտագործվող կենդանիների տեսակները.</w:t>
      </w:r>
    </w:p>
    <w:p w14:paraId="5FE1791A"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նախնական դեղակինետիկ պարամետրերը (խտությունը պլազմայում) կենդանիների մասով (տվյալների առկայության դեպքում).</w:t>
      </w:r>
    </w:p>
    <w:p w14:paraId="67EFCDC2"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էֆեկտների տ</w:t>
      </w:r>
      <w:r w:rsidR="00C54D75">
        <w:rPr>
          <w:rFonts w:ascii="Sylfaen" w:hAnsi="Sylfaen"/>
          <w:sz w:val="24"/>
          <w:szCs w:val="24"/>
        </w:rPr>
        <w:t>և</w:t>
      </w:r>
      <w:r w:rsidRPr="004B393A">
        <w:rPr>
          <w:rFonts w:ascii="Sylfaen" w:hAnsi="Sylfaen"/>
          <w:sz w:val="24"/>
          <w:szCs w:val="24"/>
        </w:rPr>
        <w:t>ողությունը (դարձելիությունը), դիմադրողականության պրոֆիլները (հակաբորբոքային պատրաստուկներ).</w:t>
      </w:r>
    </w:p>
    <w:p w14:paraId="75B57A38"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դեղաբանորեն ակտիվ մետաբոլիտները (հարաբերական ներդրումը դեղադինամիկայում).</w:t>
      </w:r>
    </w:p>
    <w:p w14:paraId="4E1EA204"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իմունաբանական հատկությունները, ներառյալ՝ հակածնային սպեցիֆիկությունը՝ մոնոկլոնալ հակամարմինների համար:</w:t>
      </w:r>
    </w:p>
    <w:p w14:paraId="083A4E0C"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Հակամանրէային պատրաստուկների համար անհրաժեշտ է ներկայացնել ազդեցության մեխանիզմի, in vitro պայմաններում ակտիվության սպեկտրի նկարագրությունը, ներառյալ՝ «վայրի» շտամների բաշխումն ըստ նվազագույն ընկճող չափաբաժինների (մանրէների աճն ընկճող հակաբիոտիկի նվազագույն չափաբաժինը in vitro պայմաններում) արժեքների (տվյալների առկայության դեպքում), հետհակաբիոտիկային էֆեկտների </w:t>
      </w:r>
      <w:r w:rsidR="00C54D75">
        <w:rPr>
          <w:rFonts w:ascii="Sylfaen" w:hAnsi="Sylfaen"/>
          <w:sz w:val="24"/>
          <w:szCs w:val="24"/>
        </w:rPr>
        <w:t>և</w:t>
      </w:r>
      <w:r w:rsidRPr="004B393A">
        <w:rPr>
          <w:rFonts w:ascii="Sylfaen" w:hAnsi="Sylfaen"/>
          <w:sz w:val="24"/>
          <w:szCs w:val="24"/>
        </w:rPr>
        <w:t xml:space="preserve"> դիմադրողականության մեխանիզմի: Որպես օրինակ հարկ է ներկայացնել կենդանիների վրա մանրէների in vivo պայմաններում արդյունավետության վերաբերյալ տվյալները՝ դրանց տարբեր տեսակների առնչությամբ:</w:t>
      </w:r>
    </w:p>
    <w:p w14:paraId="3FD0C6A0"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Սույն բաժնում (ինչպես </w:t>
      </w:r>
      <w:r w:rsidR="00C54D75">
        <w:rPr>
          <w:rFonts w:ascii="Sylfaen" w:hAnsi="Sylfaen"/>
          <w:sz w:val="24"/>
          <w:szCs w:val="24"/>
        </w:rPr>
        <w:t>և</w:t>
      </w:r>
      <w:r w:rsidRPr="004B393A">
        <w:rPr>
          <w:rFonts w:ascii="Sylfaen" w:hAnsi="Sylfaen"/>
          <w:sz w:val="24"/>
          <w:szCs w:val="24"/>
        </w:rPr>
        <w:t xml:space="preserve"> </w:t>
      </w:r>
      <w:r w:rsidRPr="004B393A">
        <w:rPr>
          <w:rFonts w:ascii="Sylfaen" w:hAnsi="Sylfaen"/>
          <w:spacing w:val="-4"/>
          <w:sz w:val="24"/>
          <w:szCs w:val="24"/>
        </w:rPr>
        <w:t xml:space="preserve">դեղակինետիկային նվիրված բաժնում) կարելի է նկարագրել կենդանիների մասով որոշված դեղակինետիկ </w:t>
      </w:r>
      <w:r w:rsidR="00C54D75">
        <w:rPr>
          <w:rFonts w:ascii="Sylfaen" w:hAnsi="Sylfaen"/>
          <w:spacing w:val="-4"/>
          <w:sz w:val="24"/>
          <w:szCs w:val="24"/>
        </w:rPr>
        <w:t>և</w:t>
      </w:r>
      <w:r w:rsidRPr="004B393A">
        <w:rPr>
          <w:rFonts w:ascii="Sylfaen" w:hAnsi="Sylfaen"/>
          <w:spacing w:val="-4"/>
          <w:sz w:val="24"/>
          <w:szCs w:val="24"/>
        </w:rPr>
        <w:t xml:space="preserve"> դեղադինամիկ պարամետրերի միջ</w:t>
      </w:r>
      <w:r w:rsidR="00C54D75">
        <w:rPr>
          <w:rFonts w:ascii="Sylfaen" w:hAnsi="Sylfaen"/>
          <w:spacing w:val="-4"/>
          <w:sz w:val="24"/>
          <w:szCs w:val="24"/>
        </w:rPr>
        <w:t>և</w:t>
      </w:r>
      <w:r w:rsidRPr="004B393A">
        <w:rPr>
          <w:rFonts w:ascii="Sylfaen" w:hAnsi="Sylfaen"/>
          <w:spacing w:val="-4"/>
          <w:sz w:val="24"/>
          <w:szCs w:val="24"/>
        </w:rPr>
        <w:t xml:space="preserve"> փոխադարձ կապը: Կլինիկական տվյալներին նվիրված բաժնում պետք է ներկայացվեն այդ տեղեկություններին</w:t>
      </w:r>
      <w:r w:rsidRPr="004B393A">
        <w:rPr>
          <w:rFonts w:ascii="Sylfaen" w:hAnsi="Sylfaen"/>
          <w:sz w:val="24"/>
          <w:szCs w:val="24"/>
        </w:rPr>
        <w:t xml:space="preserve"> արված խաչաձ</w:t>
      </w:r>
      <w:r w:rsidR="00C54D75">
        <w:rPr>
          <w:rFonts w:ascii="Sylfaen" w:hAnsi="Sylfaen"/>
          <w:sz w:val="24"/>
          <w:szCs w:val="24"/>
        </w:rPr>
        <w:t>և</w:t>
      </w:r>
      <w:r w:rsidRPr="004B393A">
        <w:rPr>
          <w:rFonts w:ascii="Sylfaen" w:hAnsi="Sylfaen"/>
          <w:sz w:val="24"/>
          <w:szCs w:val="24"/>
        </w:rPr>
        <w:t xml:space="preserve"> հղումներ:</w:t>
      </w:r>
    </w:p>
    <w:p w14:paraId="4760BEAB"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Կենսահամանման (կենսանման) դեղապատրաստուկների համար՝</w:t>
      </w:r>
    </w:p>
    <w:p w14:paraId="657F7817"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lastRenderedPageBreak/>
        <w:t xml:space="preserve">Ընկալիչների հետ կապման ուսումնասիրման թեստերի կամ այնպիսի թեստերի հավաքածու, որոնք իրականացվել են բջիջների վրա (որոնք կարող են հասանելի լինել կենսաբանական համակարգերի վրա պատրաստուկի որակի՝ ավելի վաղ անցկացված ուսումնասիրության արդյունքում) որպես համեմատական վերլուծության հիմնական տարր, որն անց է կացվում ռեակտիվության տարբերությունները գնահատելու </w:t>
      </w:r>
      <w:r w:rsidR="00C54D75">
        <w:rPr>
          <w:rFonts w:ascii="Sylfaen" w:hAnsi="Sylfaen"/>
          <w:sz w:val="24"/>
          <w:szCs w:val="24"/>
        </w:rPr>
        <w:t>և</w:t>
      </w:r>
      <w:r w:rsidRPr="004B393A">
        <w:rPr>
          <w:rFonts w:ascii="Sylfaen" w:hAnsi="Sylfaen"/>
          <w:sz w:val="24"/>
          <w:szCs w:val="24"/>
        </w:rPr>
        <w:t xml:space="preserve"> դրանց հավանական պատճառային գործոնը որոշելու նպատակով:</w:t>
      </w:r>
    </w:p>
    <w:p w14:paraId="662EFF9E"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Կենդանիների վրա կատարվող հետազոտությունները պետք է պլանավորված լինեն այնպես, որ հնարավոր լինի ներկայացնել համեմատման պատրաստուկի </w:t>
      </w:r>
      <w:r w:rsidR="00C54D75">
        <w:rPr>
          <w:rFonts w:ascii="Sylfaen" w:hAnsi="Sylfaen"/>
          <w:sz w:val="24"/>
          <w:szCs w:val="24"/>
        </w:rPr>
        <w:t>և</w:t>
      </w:r>
      <w:r w:rsidRPr="004B393A">
        <w:rPr>
          <w:rFonts w:ascii="Sylfaen" w:hAnsi="Sylfaen"/>
          <w:sz w:val="24"/>
          <w:szCs w:val="24"/>
        </w:rPr>
        <w:t xml:space="preserve"> կենսահամանման պատրաստուկի համեմատության համար տեղեկությունների առավելագույն ծավալ, որը հետագայում կօգտագործվի կլինիկական հետազոտություններում:</w:t>
      </w:r>
    </w:p>
    <w:p w14:paraId="34113481"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Այդպիսի հետազոտությունները պետք է անցկացվեն կենդանիների համապատասխան տեսակների վրա՝ առավել ժամանակակից տեխնոլոգիաների օգտագործմամբ:</w:t>
      </w:r>
    </w:p>
    <w:p w14:paraId="1318061E"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2.2.</w:t>
      </w:r>
      <w:r w:rsidRPr="004B393A">
        <w:rPr>
          <w:rFonts w:ascii="Sylfaen" w:hAnsi="Sylfaen"/>
          <w:sz w:val="24"/>
          <w:szCs w:val="24"/>
        </w:rPr>
        <w:tab/>
        <w:t>Երկրորդային դեղադինամիկան:</w:t>
      </w:r>
    </w:p>
    <w:p w14:paraId="1BAF6ACB" w14:textId="77777777" w:rsidR="008C76E0" w:rsidRPr="004B393A" w:rsidRDefault="008C76E0" w:rsidP="004B393A">
      <w:pPr>
        <w:tabs>
          <w:tab w:val="left" w:pos="1134"/>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Սույն բաժինը նվիրված է առաջնային թերապ</w:t>
      </w:r>
      <w:r w:rsidR="00C54D75">
        <w:rPr>
          <w:rFonts w:ascii="Sylfaen" w:hAnsi="Sylfaen"/>
          <w:sz w:val="24"/>
          <w:szCs w:val="24"/>
        </w:rPr>
        <w:t>և</w:t>
      </w:r>
      <w:r w:rsidRPr="004B393A">
        <w:rPr>
          <w:rFonts w:ascii="Sylfaen" w:hAnsi="Sylfaen"/>
          <w:sz w:val="24"/>
          <w:szCs w:val="24"/>
        </w:rPr>
        <w:t>տիկ ակտիվության հետ կապ չունեցող դեղաբանական էֆեկտների նկարագրությանը: Անհրաժեշտության դեպքում նշվում է ընկալիչների հետ փոխազդեցության արդյունքների սկրինինգի վերաբերյալ տեղեկատվություն:</w:t>
      </w:r>
    </w:p>
    <w:p w14:paraId="33A0A292" w14:textId="77777777" w:rsidR="008C76E0" w:rsidRPr="004B393A" w:rsidRDefault="008C76E0" w:rsidP="004B393A">
      <w:pPr>
        <w:tabs>
          <w:tab w:val="left" w:pos="1134"/>
          <w:tab w:val="left" w:pos="1418"/>
        </w:tabs>
        <w:spacing w:after="160" w:line="360" w:lineRule="auto"/>
        <w:ind w:firstLine="567"/>
        <w:jc w:val="both"/>
        <w:rPr>
          <w:rFonts w:ascii="Sylfaen" w:hAnsi="Sylfaen"/>
          <w:sz w:val="24"/>
          <w:szCs w:val="24"/>
        </w:rPr>
      </w:pPr>
      <w:r w:rsidRPr="004B393A">
        <w:rPr>
          <w:rFonts w:ascii="Sylfaen" w:hAnsi="Sylfaen"/>
          <w:sz w:val="24"/>
          <w:szCs w:val="24"/>
        </w:rPr>
        <w:t xml:space="preserve">Մոնոկլոնալ հակամարմինների համար տրվում է մանրամասն տեղեկատվություն իմունաբանական այն հատկությունների վերաբերյալ, որոնք տարբերվում են ենթադրվող հատկություններից, այդ թվում՝ կոմպլեմենտ կապող հատկությունների </w:t>
      </w:r>
      <w:r w:rsidR="00C54D75">
        <w:rPr>
          <w:rFonts w:ascii="Sylfaen" w:hAnsi="Sylfaen"/>
          <w:sz w:val="24"/>
          <w:szCs w:val="24"/>
        </w:rPr>
        <w:t>և</w:t>
      </w:r>
      <w:r w:rsidRPr="004B393A">
        <w:rPr>
          <w:rFonts w:ascii="Sylfaen" w:hAnsi="Sylfaen"/>
          <w:sz w:val="24"/>
          <w:szCs w:val="24"/>
        </w:rPr>
        <w:t xml:space="preserve"> ռեակտիվության ցանկացած չնախատեսված տեսակի </w:t>
      </w:r>
      <w:r w:rsidR="00C54D75">
        <w:rPr>
          <w:rFonts w:ascii="Sylfaen" w:hAnsi="Sylfaen"/>
          <w:sz w:val="24"/>
          <w:szCs w:val="24"/>
        </w:rPr>
        <w:t>և</w:t>
      </w:r>
      <w:r w:rsidRPr="004B393A">
        <w:rPr>
          <w:rFonts w:ascii="Sylfaen" w:hAnsi="Sylfaen"/>
          <w:sz w:val="24"/>
          <w:szCs w:val="24"/>
        </w:rPr>
        <w:t xml:space="preserve"> (կամ) տվյալ պատրաստուկի համար թիրախ հյուսվածքներից տարբեր մարդու հյուսվածքների մասով ցիտոտոկսիկության վերաբերյալ: Խաչաձ</w:t>
      </w:r>
      <w:r w:rsidR="00C54D75">
        <w:rPr>
          <w:rFonts w:ascii="Sylfaen" w:hAnsi="Sylfaen"/>
          <w:sz w:val="24"/>
          <w:szCs w:val="24"/>
        </w:rPr>
        <w:t>և</w:t>
      </w:r>
      <w:r w:rsidRPr="004B393A">
        <w:rPr>
          <w:rFonts w:ascii="Sylfaen" w:hAnsi="Sylfaen"/>
          <w:sz w:val="24"/>
          <w:szCs w:val="24"/>
        </w:rPr>
        <w:t xml:space="preserve"> ռեակտիվության նման հետազոտությունները կարող են անցկացվել մարդու տարբեր հյուսվածքների օգտագործմամբ: Նման հետազոտությունների վերաբերյալ </w:t>
      </w:r>
      <w:r w:rsidRPr="004B393A">
        <w:rPr>
          <w:rFonts w:ascii="Sylfaen" w:hAnsi="Sylfaen"/>
          <w:sz w:val="24"/>
          <w:szCs w:val="24"/>
        </w:rPr>
        <w:lastRenderedPageBreak/>
        <w:t>տեղեկությունները ներկայացված են այս բաժնում:</w:t>
      </w:r>
    </w:p>
    <w:p w14:paraId="3489970D"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2.3.</w:t>
      </w:r>
      <w:r w:rsidRPr="004B393A">
        <w:rPr>
          <w:rFonts w:ascii="Sylfaen" w:hAnsi="Sylfaen"/>
          <w:sz w:val="24"/>
          <w:szCs w:val="24"/>
        </w:rPr>
        <w:tab/>
        <w:t>Դեղաբանական անվտանգությունը:</w:t>
      </w:r>
    </w:p>
    <w:p w14:paraId="1D74A9A9"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Սույն բաժնում ուսումնասիրվում են հետ</w:t>
      </w:r>
      <w:r w:rsidR="00C54D75">
        <w:rPr>
          <w:rFonts w:ascii="Sylfaen" w:hAnsi="Sylfaen"/>
          <w:sz w:val="24"/>
          <w:szCs w:val="24"/>
        </w:rPr>
        <w:t>և</w:t>
      </w:r>
      <w:r w:rsidRPr="004B393A">
        <w:rPr>
          <w:rFonts w:ascii="Sylfaen" w:hAnsi="Sylfaen"/>
          <w:sz w:val="24"/>
          <w:szCs w:val="24"/>
        </w:rPr>
        <w:t>յալ հարցերը՝</w:t>
      </w:r>
    </w:p>
    <w:p w14:paraId="1F9D8D5E"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ա)</w:t>
      </w:r>
      <w:r w:rsidRPr="004B393A">
        <w:rPr>
          <w:rFonts w:ascii="Sylfaen" w:hAnsi="Sylfaen"/>
          <w:sz w:val="24"/>
          <w:szCs w:val="24"/>
        </w:rPr>
        <w:tab/>
        <w:t>հիմնական թեստերի հավաքածուն (պատշաճ լաբորատոր գործունեության կանոններին համապատասխան)՝</w:t>
      </w:r>
    </w:p>
    <w:p w14:paraId="7A4501DF"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սրտանոթային համակարգը (ներառյալ՝ QT միջակայքի երկարաձգումը </w:t>
      </w:r>
      <w:r w:rsidRPr="004B393A">
        <w:rPr>
          <w:rStyle w:val="Bodytext295pt"/>
          <w:rFonts w:ascii="Sylfaen" w:eastAsiaTheme="minorHAnsi" w:hAnsi="Sylfaen"/>
          <w:b w:val="0"/>
          <w:spacing w:val="0"/>
          <w:sz w:val="24"/>
          <w:szCs w:val="24"/>
        </w:rPr>
        <w:t>in</w:t>
      </w:r>
      <w:r w:rsidRPr="004B393A">
        <w:rPr>
          <w:rFonts w:ascii="Sylfaen" w:hAnsi="Sylfaen"/>
          <w:sz w:val="24"/>
          <w:szCs w:val="24"/>
        </w:rPr>
        <w:t> </w:t>
      </w:r>
      <w:r w:rsidRPr="004B393A">
        <w:rPr>
          <w:rStyle w:val="Bodytext295pt"/>
          <w:rFonts w:ascii="Sylfaen" w:eastAsiaTheme="minorHAnsi" w:hAnsi="Sylfaen"/>
          <w:b w:val="0"/>
          <w:spacing w:val="0"/>
          <w:sz w:val="24"/>
          <w:szCs w:val="24"/>
        </w:rPr>
        <w:t>vitro</w:t>
      </w:r>
      <w:r w:rsidRPr="004B393A">
        <w:rPr>
          <w:rFonts w:ascii="Sylfaen" w:hAnsi="Sylfaen"/>
          <w:sz w:val="24"/>
          <w:szCs w:val="24"/>
        </w:rPr>
        <w:t xml:space="preserve"> կամ </w:t>
      </w:r>
      <w:r w:rsidRPr="004B393A">
        <w:rPr>
          <w:rStyle w:val="Bodytext295pt"/>
          <w:rFonts w:ascii="Sylfaen" w:eastAsiaTheme="minorHAnsi" w:hAnsi="Sylfaen"/>
          <w:b w:val="0"/>
          <w:spacing w:val="0"/>
          <w:sz w:val="24"/>
          <w:szCs w:val="24"/>
        </w:rPr>
        <w:t>in vivo հետազոտություններում).</w:t>
      </w:r>
    </w:p>
    <w:p w14:paraId="4465C717"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կենտրոնական նյարդային համակարգը.</w:t>
      </w:r>
    </w:p>
    <w:p w14:paraId="0F939998"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շնչառական համակարգը.</w:t>
      </w:r>
    </w:p>
    <w:p w14:paraId="2C7826B3" w14:textId="77777777" w:rsidR="008C76E0" w:rsidRPr="004B393A" w:rsidRDefault="008C76E0" w:rsidP="004B393A">
      <w:pPr>
        <w:tabs>
          <w:tab w:val="left" w:pos="1134"/>
        </w:tabs>
        <w:spacing w:after="160" w:line="360" w:lineRule="auto"/>
        <w:ind w:firstLine="567"/>
        <w:jc w:val="both"/>
        <w:rPr>
          <w:rFonts w:ascii="Sylfaen" w:hAnsi="Sylfaen"/>
          <w:spacing w:val="-4"/>
          <w:sz w:val="24"/>
          <w:szCs w:val="24"/>
        </w:rPr>
      </w:pPr>
      <w:r w:rsidRPr="004B393A">
        <w:rPr>
          <w:rFonts w:ascii="Sylfaen" w:hAnsi="Sylfaen"/>
          <w:sz w:val="24"/>
          <w:szCs w:val="24"/>
        </w:rPr>
        <w:t>բ)</w:t>
      </w:r>
      <w:r w:rsidRPr="004B393A">
        <w:rPr>
          <w:rFonts w:ascii="Sylfaen" w:hAnsi="Sylfaen"/>
          <w:sz w:val="24"/>
          <w:szCs w:val="24"/>
        </w:rPr>
        <w:tab/>
      </w:r>
      <w:r w:rsidRPr="004B393A">
        <w:rPr>
          <w:rFonts w:ascii="Sylfaen" w:hAnsi="Sylfaen"/>
          <w:spacing w:val="-4"/>
          <w:sz w:val="24"/>
          <w:szCs w:val="24"/>
        </w:rPr>
        <w:t xml:space="preserve">այլ թեստեր (օրինակ՝ երիկամների, աղեստամոքսային տրակտի </w:t>
      </w:r>
      <w:r w:rsidR="00C54D75">
        <w:rPr>
          <w:rStyle w:val="Bodytext210pt"/>
          <w:rFonts w:ascii="Sylfaen" w:eastAsiaTheme="minorHAnsi" w:hAnsi="Sylfaen"/>
          <w:spacing w:val="-4"/>
          <w:sz w:val="24"/>
          <w:szCs w:val="24"/>
        </w:rPr>
        <w:t>և</w:t>
      </w:r>
      <w:r w:rsidRPr="004B393A">
        <w:rPr>
          <w:rStyle w:val="Bodytext210pt"/>
          <w:rFonts w:ascii="Sylfaen" w:eastAsiaTheme="minorHAnsi" w:hAnsi="Sylfaen"/>
          <w:spacing w:val="-4"/>
          <w:sz w:val="24"/>
          <w:szCs w:val="24"/>
        </w:rPr>
        <w:t xml:space="preserve"> </w:t>
      </w:r>
      <w:r w:rsidRPr="004B393A">
        <w:rPr>
          <w:rFonts w:ascii="Sylfaen" w:hAnsi="Sylfaen"/>
          <w:spacing w:val="-4"/>
          <w:sz w:val="24"/>
          <w:szCs w:val="24"/>
        </w:rPr>
        <w:t>այլն):</w:t>
      </w:r>
    </w:p>
    <w:p w14:paraId="187169A3"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Կենսահամանման (կենսանման) պատրաստուկների համար, որպես կանոն, չի պահանջվում անցկացնել այլ ընթացիկ թունաբանական հետազոտություններ, օրինակ՝ դեղաբանական անվտանգության հետազոտություններ՝ բացի այն դեպքերից, երբ նման թեստերի անցկացումը պայմանավորված է բազմակի ներմուծման թունավորության հետազոտությունների արդյունքներով:</w:t>
      </w:r>
    </w:p>
    <w:p w14:paraId="51EE4611"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2.4.</w:t>
      </w:r>
      <w:r w:rsidRPr="004B393A">
        <w:rPr>
          <w:rFonts w:ascii="Sylfaen" w:hAnsi="Sylfaen"/>
          <w:sz w:val="24"/>
          <w:szCs w:val="24"/>
        </w:rPr>
        <w:tab/>
        <w:t>Դեղադինամիկ դեղային փոխազդեցությունները:</w:t>
      </w:r>
    </w:p>
    <w:p w14:paraId="3D02C854"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Պոտենցիալ դեղադինամիկ դեղային փոխազդեցությունները կարող են իրենց մեջ ներառել՝</w:t>
      </w:r>
    </w:p>
    <w:p w14:paraId="2ECC034D"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փոխազդեցություն ընկալիչների մակարդակով.</w:t>
      </w:r>
    </w:p>
    <w:p w14:paraId="63A77112"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պատրաստուկների հնարավոր համատեղ կիրառում կլինիկական գործունեության պայմաններում.</w:t>
      </w:r>
    </w:p>
    <w:p w14:paraId="29A9A00C"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հաղորդումներ՝ անցանկալի ռեակցիաների վերաբերյալ, որոնք ստացվել են դեղաբանական անվտանգության, դեղակինետիկայի (մետաբոլիզմի) կամ թունաբանության հետազոտության ընթացքում:</w:t>
      </w:r>
    </w:p>
    <w:p w14:paraId="6B6DC466"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2.5.</w:t>
      </w:r>
      <w:r w:rsidRPr="004B393A">
        <w:rPr>
          <w:rFonts w:ascii="Sylfaen" w:hAnsi="Sylfaen"/>
          <w:sz w:val="24"/>
          <w:szCs w:val="24"/>
        </w:rPr>
        <w:tab/>
        <w:t>Փորձագետի ընդհանուր եզրակացությունը՝ դեղաբանության վերաբերյալ:</w:t>
      </w:r>
    </w:p>
    <w:p w14:paraId="6D14674D"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lastRenderedPageBreak/>
        <w:t>Սույն բաժնի բովանդակությունը կարող է ներառվել ամփոփ փորձագիտական հաշվետվության՝ «Անվտանգության, որակի, արդյունավետության գնահատում» բաժնում:</w:t>
      </w:r>
    </w:p>
    <w:p w14:paraId="42CBE4B1"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Որպեսզի հաշվետվության վրա աշխատող անձինք ունենան բոլոր նշանակալի արդյունքներն ամբողջությամբ գնահատելու հնարավորութուն, անհրաժեշտ է սույն բաժինը կազմել հնարավորինս մանրամասն: </w:t>
      </w:r>
    </w:p>
    <w:p w14:paraId="23112D8C"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հակիրճ նկարագրել դեղաբանական հետազոտությունների հիմնական արդյունքները </w:t>
      </w:r>
      <w:r w:rsidR="00C54D75">
        <w:rPr>
          <w:rFonts w:ascii="Sylfaen" w:hAnsi="Sylfaen"/>
          <w:sz w:val="24"/>
          <w:szCs w:val="24"/>
        </w:rPr>
        <w:t>և</w:t>
      </w:r>
      <w:r w:rsidRPr="004B393A">
        <w:rPr>
          <w:rFonts w:ascii="Sylfaen" w:hAnsi="Sylfaen"/>
          <w:sz w:val="24"/>
          <w:szCs w:val="24"/>
        </w:rPr>
        <w:t xml:space="preserve"> վերլուծել ենթադրվող թերապ</w:t>
      </w:r>
      <w:r w:rsidR="00C54D75">
        <w:rPr>
          <w:rFonts w:ascii="Sylfaen" w:hAnsi="Sylfaen"/>
          <w:sz w:val="24"/>
          <w:szCs w:val="24"/>
        </w:rPr>
        <w:t>և</w:t>
      </w:r>
      <w:r w:rsidRPr="004B393A">
        <w:rPr>
          <w:rFonts w:ascii="Sylfaen" w:hAnsi="Sylfaen"/>
          <w:sz w:val="24"/>
          <w:szCs w:val="24"/>
        </w:rPr>
        <w:t>տիկ ցուցումների համար կիրառված մոդելների պիտանիությունը:</w:t>
      </w:r>
    </w:p>
    <w:p w14:paraId="650D2621"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Նա</w:t>
      </w:r>
      <w:r w:rsidR="00C54D75">
        <w:rPr>
          <w:rFonts w:ascii="Sylfaen" w:hAnsi="Sylfaen"/>
          <w:sz w:val="24"/>
          <w:szCs w:val="24"/>
        </w:rPr>
        <w:t>և</w:t>
      </w:r>
      <w:r w:rsidRPr="004B393A">
        <w:rPr>
          <w:rFonts w:ascii="Sylfaen" w:hAnsi="Sylfaen"/>
          <w:sz w:val="24"/>
          <w:szCs w:val="24"/>
        </w:rPr>
        <w:t xml:space="preserve"> հարկ է հակիրճ նշել դեղաբանական անվտանգության հետազոտությունների արդյունքները՝ ընդգծելով այն տվյալները, որոնք կարող են ուշադրություն հրավիրել մարդու մոտ հնարավոր անցանկալի ռեակցիաների վրա:</w:t>
      </w:r>
    </w:p>
    <w:p w14:paraId="447CAAC3" w14:textId="77777777" w:rsidR="008C76E0" w:rsidRPr="004B393A" w:rsidRDefault="008C76E0" w:rsidP="005A45A7">
      <w:pPr>
        <w:tabs>
          <w:tab w:val="left" w:pos="1134"/>
        </w:tabs>
        <w:spacing w:after="160" w:line="336" w:lineRule="auto"/>
        <w:ind w:right="-1" w:firstLine="567"/>
        <w:jc w:val="both"/>
        <w:rPr>
          <w:rFonts w:ascii="Sylfaen" w:hAnsi="Sylfaen"/>
          <w:sz w:val="24"/>
          <w:szCs w:val="24"/>
        </w:rPr>
      </w:pPr>
      <w:r w:rsidRPr="004B393A">
        <w:rPr>
          <w:rFonts w:ascii="Sylfaen" w:hAnsi="Sylfaen"/>
          <w:sz w:val="24"/>
          <w:szCs w:val="24"/>
        </w:rPr>
        <w:t>Որպես այլընտրանքային տարբերակ, սույն բաժնում կարող են ընդգրկվել միայն հիմնական եզրահանգումները, ընդսմին, պահանջվում է «Համառոտ նկարագրություն» բաժնի առանձին մշակում:</w:t>
      </w:r>
    </w:p>
    <w:p w14:paraId="7DAFCE75" w14:textId="77777777" w:rsidR="008C76E0" w:rsidRPr="004B393A" w:rsidRDefault="008C76E0" w:rsidP="005A45A7">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 xml:space="preserve">Հարկ է առանձնացնել պատրաստուկի ներկայացված դոսյեի «նախակլինիկական ամփոփում» բաժինները, որոնց հետ փորձագետը կամ համաձայն է, կամ ոչ, </w:t>
      </w:r>
      <w:r w:rsidR="00C54D75">
        <w:rPr>
          <w:rFonts w:ascii="Sylfaen" w:hAnsi="Sylfaen"/>
          <w:sz w:val="24"/>
          <w:szCs w:val="24"/>
        </w:rPr>
        <w:t>և</w:t>
      </w:r>
      <w:r w:rsidRPr="004B393A">
        <w:rPr>
          <w:rFonts w:ascii="Sylfaen" w:hAnsi="Sylfaen"/>
          <w:sz w:val="24"/>
          <w:szCs w:val="24"/>
        </w:rPr>
        <w:t xml:space="preserve"> տալ դրանցում գործածված ձ</w:t>
      </w:r>
      <w:r w:rsidR="00C54D75">
        <w:rPr>
          <w:rFonts w:ascii="Sylfaen" w:hAnsi="Sylfaen"/>
          <w:sz w:val="24"/>
          <w:szCs w:val="24"/>
        </w:rPr>
        <w:t>և</w:t>
      </w:r>
      <w:r w:rsidRPr="004B393A">
        <w:rPr>
          <w:rFonts w:ascii="Sylfaen" w:hAnsi="Sylfaen"/>
          <w:sz w:val="24"/>
          <w:szCs w:val="24"/>
        </w:rPr>
        <w:t xml:space="preserve">ակերպումների </w:t>
      </w:r>
      <w:r w:rsidR="00C54D75">
        <w:rPr>
          <w:rFonts w:ascii="Sylfaen" w:hAnsi="Sylfaen"/>
          <w:sz w:val="24"/>
          <w:szCs w:val="24"/>
        </w:rPr>
        <w:t>և</w:t>
      </w:r>
      <w:r w:rsidRPr="004B393A">
        <w:rPr>
          <w:rFonts w:ascii="Sylfaen" w:hAnsi="Sylfaen"/>
          <w:sz w:val="24"/>
          <w:szCs w:val="24"/>
        </w:rPr>
        <w:t xml:space="preserve"> ԴԸԲ-ի համար տեղեկությունների պիտանիության վերաբերյալ մեկնաբանություններ: Հարկ է ստուգել դոսյեում </w:t>
      </w:r>
      <w:r w:rsidR="00C54D75">
        <w:rPr>
          <w:rFonts w:ascii="Sylfaen" w:hAnsi="Sylfaen"/>
          <w:sz w:val="24"/>
          <w:szCs w:val="24"/>
        </w:rPr>
        <w:t>և</w:t>
      </w:r>
      <w:r w:rsidRPr="004B393A">
        <w:rPr>
          <w:rFonts w:ascii="Sylfaen" w:hAnsi="Sylfaen"/>
          <w:sz w:val="24"/>
          <w:szCs w:val="24"/>
        </w:rPr>
        <w:t xml:space="preserve"> ԴԸԲ-ում տեքստի համապատասխանությունը (մասնավորապես հաշվետվության 5.3՝ «Նախակլինիկական հետազոտությունների անվտանգության տվյալներ» բաժնում, ինչպես նա</w:t>
      </w:r>
      <w:r w:rsidR="00C54D75">
        <w:rPr>
          <w:rFonts w:ascii="Sylfaen" w:hAnsi="Sylfaen"/>
          <w:sz w:val="24"/>
          <w:szCs w:val="24"/>
        </w:rPr>
        <w:t>և</w:t>
      </w:r>
      <w:r w:rsidRPr="004B393A">
        <w:rPr>
          <w:rFonts w:ascii="Sylfaen" w:hAnsi="Sylfaen"/>
          <w:sz w:val="24"/>
          <w:szCs w:val="24"/>
        </w:rPr>
        <w:t xml:space="preserve"> հաշվետվության 4.3՝ «Հակացուցումներ», 4.5՝ «Դեղային փոխազդեցություններ», 4.6՝ «Հղիություն </w:t>
      </w:r>
      <w:r w:rsidR="00C54D75">
        <w:rPr>
          <w:rFonts w:ascii="Sylfaen" w:hAnsi="Sylfaen"/>
          <w:sz w:val="24"/>
          <w:szCs w:val="24"/>
        </w:rPr>
        <w:t>և</w:t>
      </w:r>
      <w:r w:rsidRPr="004B393A">
        <w:rPr>
          <w:rFonts w:ascii="Sylfaen" w:hAnsi="Sylfaen"/>
          <w:sz w:val="24"/>
          <w:szCs w:val="24"/>
        </w:rPr>
        <w:t xml:space="preserve"> կրծքով կերակրում», 5.1՝ «Դեղադինամիկ հատկություններ» բաժիններում), ինչպես նա</w:t>
      </w:r>
      <w:r w:rsidR="00C54D75">
        <w:rPr>
          <w:rFonts w:ascii="Sylfaen" w:hAnsi="Sylfaen"/>
          <w:sz w:val="24"/>
          <w:szCs w:val="24"/>
        </w:rPr>
        <w:t>և</w:t>
      </w:r>
      <w:r w:rsidRPr="004B393A">
        <w:rPr>
          <w:rFonts w:ascii="Sylfaen" w:hAnsi="Sylfaen"/>
          <w:sz w:val="24"/>
          <w:szCs w:val="24"/>
        </w:rPr>
        <w:t xml:space="preserve"> հավաստիանալ, որ ԴԸԲ-ում պարունակվող տեղեկատվությունն ամբողջությամբ հաստատված է գիտական փորձաքննության արդյունքներով:</w:t>
      </w:r>
    </w:p>
    <w:p w14:paraId="5C90539E"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3.</w:t>
      </w:r>
      <w:r w:rsidRPr="004B393A">
        <w:rPr>
          <w:rFonts w:ascii="Sylfaen" w:hAnsi="Sylfaen"/>
          <w:sz w:val="24"/>
          <w:szCs w:val="24"/>
        </w:rPr>
        <w:tab/>
        <w:t xml:space="preserve">Դեղակինետիկա (2.6.4 </w:t>
      </w:r>
      <w:r w:rsidR="00C54D75">
        <w:rPr>
          <w:rFonts w:ascii="Sylfaen" w:hAnsi="Sylfaen"/>
          <w:sz w:val="24"/>
          <w:szCs w:val="24"/>
        </w:rPr>
        <w:t>և</w:t>
      </w:r>
      <w:r w:rsidRPr="004B393A">
        <w:rPr>
          <w:rFonts w:ascii="Sylfaen" w:hAnsi="Sylfaen"/>
          <w:sz w:val="24"/>
          <w:szCs w:val="24"/>
        </w:rPr>
        <w:t xml:space="preserve"> 4.2.2 մոդուլներ):</w:t>
      </w:r>
    </w:p>
    <w:p w14:paraId="27E4AAA5"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Դեղակինետիկ հետազոտություններ:</w:t>
      </w:r>
    </w:p>
    <w:p w14:paraId="0A73320B"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lastRenderedPageBreak/>
        <w:t>Սույն Բաժնում ներկայացվում է հետազոտությունների համառոտ ամփոփումը: Տոքսիկոկինետիկ հետազոտությունների նկարագրությունը ներկայացվում է բազմակի ներմուծման դեպքում թունավորությանը նվիրված բաժնում:</w:t>
      </w:r>
    </w:p>
    <w:p w14:paraId="00538905"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3.1.</w:t>
      </w:r>
      <w:r w:rsidRPr="004B393A">
        <w:rPr>
          <w:rFonts w:ascii="Sylfaen" w:hAnsi="Sylfaen"/>
          <w:sz w:val="24"/>
          <w:szCs w:val="24"/>
        </w:rPr>
        <w:tab/>
        <w:t>Հետազոտության մեթոդները:</w:t>
      </w:r>
    </w:p>
    <w:p w14:paraId="1FBC4110"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Հաշվետվությունը պետք է պարունակի հակիրճ դիտարկում՝ կենսավերլուծական մեթոդիկաների </w:t>
      </w:r>
      <w:r w:rsidR="00C54D75">
        <w:rPr>
          <w:rFonts w:ascii="Sylfaen" w:hAnsi="Sylfaen"/>
          <w:sz w:val="24"/>
          <w:szCs w:val="24"/>
        </w:rPr>
        <w:t>և</w:t>
      </w:r>
      <w:r w:rsidRPr="004B393A">
        <w:rPr>
          <w:rFonts w:ascii="Sylfaen" w:hAnsi="Sylfaen"/>
          <w:sz w:val="24"/>
          <w:szCs w:val="24"/>
        </w:rPr>
        <w:t xml:space="preserve"> դրանց վալիդացման վերաբերյալ: Տոքսիկոկինետիկ հետազոտությունների դեպքում մեթոդիկաները պետք է համապատասխանեն պատշաճ լաբորատոր գործունեության կանոնների պահանջներին:</w:t>
      </w:r>
    </w:p>
    <w:p w14:paraId="1418B7CB"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Անհրաժեշտ է խտությունները հստակ նշել չափման միավորներով (օրինակ՝ մոլ/լ կամ մգ/մլ) </w:t>
      </w:r>
      <w:r w:rsidR="00C54D75">
        <w:rPr>
          <w:rFonts w:ascii="Sylfaen" w:hAnsi="Sylfaen"/>
          <w:sz w:val="24"/>
          <w:szCs w:val="24"/>
        </w:rPr>
        <w:t>և</w:t>
      </w:r>
      <w:r w:rsidRPr="004B393A">
        <w:rPr>
          <w:rFonts w:ascii="Sylfaen" w:hAnsi="Sylfaen"/>
          <w:sz w:val="24"/>
          <w:szCs w:val="24"/>
        </w:rPr>
        <w:t xml:space="preserve"> հնարավորության դեպքում ներկայացնել նույն չափայնությամբ տվյալներ:</w:t>
      </w:r>
    </w:p>
    <w:p w14:paraId="134F925B"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Գնահատման ժամանակ փորձագետը պետք է ներկայացնի մեկնաբանություններ՝ նշված տեղեկատվության </w:t>
      </w:r>
      <w:r w:rsidR="00C54D75">
        <w:rPr>
          <w:rFonts w:ascii="Sylfaen" w:hAnsi="Sylfaen"/>
          <w:sz w:val="24"/>
          <w:szCs w:val="24"/>
        </w:rPr>
        <w:t>և</w:t>
      </w:r>
      <w:r w:rsidRPr="004B393A">
        <w:rPr>
          <w:rFonts w:ascii="Sylfaen" w:hAnsi="Sylfaen"/>
          <w:sz w:val="24"/>
          <w:szCs w:val="24"/>
        </w:rPr>
        <w:t xml:space="preserve"> հետազոտությունների միջ</w:t>
      </w:r>
      <w:r w:rsidR="00C54D75">
        <w:rPr>
          <w:rFonts w:ascii="Sylfaen" w:hAnsi="Sylfaen"/>
          <w:sz w:val="24"/>
          <w:szCs w:val="24"/>
        </w:rPr>
        <w:t>և</w:t>
      </w:r>
      <w:r w:rsidRPr="004B393A">
        <w:rPr>
          <w:rFonts w:ascii="Sylfaen" w:hAnsi="Sylfaen"/>
          <w:sz w:val="24"/>
          <w:szCs w:val="24"/>
        </w:rPr>
        <w:t xml:space="preserve"> ցանկացած անհամապատասխանության առկայության վերաբերյալ:</w:t>
      </w:r>
    </w:p>
    <w:p w14:paraId="6EAE7BF5"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3.2.</w:t>
      </w:r>
      <w:r w:rsidRPr="004B393A">
        <w:rPr>
          <w:rFonts w:ascii="Sylfaen" w:hAnsi="Sylfaen"/>
          <w:sz w:val="24"/>
          <w:szCs w:val="24"/>
        </w:rPr>
        <w:tab/>
        <w:t>Կլանումը:</w:t>
      </w:r>
    </w:p>
    <w:p w14:paraId="36D64A1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Սույն բաժնում դիտարկվող հարցերի ցանկը կարող է իր մեջ ներառել այդ թվում՝</w:t>
      </w:r>
    </w:p>
    <w:p w14:paraId="55E5E16C"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եթե կիրառելի է, կլանման տեղի նկարագրությունը՝ ներքին ընդունման դեղաձ</w:t>
      </w:r>
      <w:r w:rsidR="00C54D75">
        <w:rPr>
          <w:rFonts w:ascii="Sylfaen" w:hAnsi="Sylfaen"/>
          <w:sz w:val="24"/>
          <w:szCs w:val="24"/>
        </w:rPr>
        <w:t>և</w:t>
      </w:r>
      <w:r w:rsidRPr="004B393A">
        <w:rPr>
          <w:rFonts w:ascii="Sylfaen" w:hAnsi="Sylfaen"/>
          <w:sz w:val="24"/>
          <w:szCs w:val="24"/>
        </w:rPr>
        <w:t>երի համար (որպես կանոն, հայտնի չէ, թե աղեստամոքսային տրակտի կոնկրետ որ հատվածներում է տեղի ունենում ներծծումը).</w:t>
      </w:r>
    </w:p>
    <w:p w14:paraId="6F05D07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կինետիկան՝ մեկանգամյա կամ բազմակի կիրառման դեպքում.</w:t>
      </w:r>
    </w:p>
    <w:p w14:paraId="4D1C2699"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դեղաչափերի կինետիկայի համամասնությունը.</w:t>
      </w:r>
    </w:p>
    <w:p w14:paraId="4C0197A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սեռային տարբերությունները (առկայության դեպքում).</w:t>
      </w:r>
    </w:p>
    <w:p w14:paraId="74245E06"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միջտեսակային համեմատությունը (անհրաժեշտ է ներառել տվյալներ </w:t>
      </w:r>
      <w:r w:rsidRPr="004B393A">
        <w:rPr>
          <w:rFonts w:ascii="Sylfaen" w:hAnsi="Sylfaen"/>
          <w:sz w:val="24"/>
          <w:szCs w:val="24"/>
        </w:rPr>
        <w:lastRenderedPageBreak/>
        <w:t xml:space="preserve">կենդանիների այն տեսակների մասին, որոնք օգտագործվում են թունաբանական հետազոտություններում, </w:t>
      </w:r>
      <w:r w:rsidR="00C54D75">
        <w:rPr>
          <w:rFonts w:ascii="Sylfaen" w:hAnsi="Sylfaen"/>
          <w:sz w:val="24"/>
          <w:szCs w:val="24"/>
        </w:rPr>
        <w:t>և</w:t>
      </w:r>
      <w:r w:rsidRPr="004B393A">
        <w:rPr>
          <w:rFonts w:ascii="Sylfaen" w:hAnsi="Sylfaen"/>
          <w:sz w:val="24"/>
          <w:szCs w:val="24"/>
        </w:rPr>
        <w:t xml:space="preserve"> տեղեկատվություն՝ մարդու մոտ կիրառման վերաբերյալ).</w:t>
      </w:r>
    </w:p>
    <w:p w14:paraId="3238036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բացարձակ կենսամատչելիությունը.</w:t>
      </w:r>
    </w:p>
    <w:p w14:paraId="29E6ECDE"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չեզոքացնող հակամարմինների ձ</w:t>
      </w:r>
      <w:r w:rsidR="00C54D75">
        <w:rPr>
          <w:rFonts w:ascii="Sylfaen" w:hAnsi="Sylfaen"/>
          <w:sz w:val="24"/>
          <w:szCs w:val="24"/>
        </w:rPr>
        <w:t>և</w:t>
      </w:r>
      <w:r w:rsidRPr="004B393A">
        <w:rPr>
          <w:rFonts w:ascii="Sylfaen" w:hAnsi="Sylfaen"/>
          <w:sz w:val="24"/>
          <w:szCs w:val="24"/>
        </w:rPr>
        <w:t>ավորումը (կենսատեխնոլոգիական պատրաստուկների համար):</w:t>
      </w:r>
    </w:p>
    <w:p w14:paraId="1B19DCD0"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Խորհուրդ է տրվում տվյալները ներկայացնել աղյուսակային տեսքով, ներառյալ՝ կենդանիների տեսակների, դեղաչափերի, պատրաստուկի ներմուծման եղանակի, C</w:t>
      </w:r>
      <w:r w:rsidRPr="004B393A">
        <w:rPr>
          <w:rFonts w:ascii="Sylfaen" w:hAnsi="Sylfaen"/>
          <w:sz w:val="24"/>
          <w:szCs w:val="24"/>
          <w:vertAlign w:val="subscript"/>
        </w:rPr>
        <w:t>max</w:t>
      </w:r>
      <w:r w:rsidRPr="004B393A">
        <w:rPr>
          <w:rFonts w:ascii="Sylfaen" w:hAnsi="Sylfaen"/>
          <w:sz w:val="24"/>
          <w:szCs w:val="24"/>
        </w:rPr>
        <w:t>, t</w:t>
      </w:r>
      <w:r w:rsidRPr="004B393A">
        <w:rPr>
          <w:rFonts w:ascii="Sylfaen" w:hAnsi="Sylfaen"/>
          <w:sz w:val="24"/>
          <w:szCs w:val="24"/>
          <w:vertAlign w:val="subscript"/>
        </w:rPr>
        <w:t>max</w:t>
      </w:r>
      <w:r w:rsidRPr="004B393A">
        <w:rPr>
          <w:rFonts w:ascii="Sylfaen" w:hAnsi="Sylfaen"/>
          <w:sz w:val="24"/>
          <w:szCs w:val="24"/>
        </w:rPr>
        <w:t>, AUC, t</w:t>
      </w:r>
      <w:r w:rsidRPr="004B393A">
        <w:rPr>
          <w:rFonts w:ascii="Sylfaen" w:hAnsi="Sylfaen"/>
          <w:sz w:val="24"/>
          <w:szCs w:val="24"/>
          <w:vertAlign w:val="subscript"/>
        </w:rPr>
        <w:t>½</w:t>
      </w:r>
      <w:r w:rsidRPr="004B393A">
        <w:rPr>
          <w:rFonts w:ascii="Sylfaen" w:hAnsi="Sylfaen"/>
          <w:sz w:val="24"/>
          <w:szCs w:val="24"/>
        </w:rPr>
        <w:t>, V</w:t>
      </w:r>
      <w:r w:rsidRPr="004B393A">
        <w:rPr>
          <w:rFonts w:ascii="Sylfaen" w:hAnsi="Sylfaen"/>
          <w:sz w:val="24"/>
          <w:szCs w:val="24"/>
          <w:vertAlign w:val="subscript"/>
        </w:rPr>
        <w:t>d</w:t>
      </w:r>
      <w:r w:rsidRPr="004B393A">
        <w:rPr>
          <w:rFonts w:ascii="Sylfaen" w:hAnsi="Sylfaen"/>
          <w:sz w:val="24"/>
          <w:szCs w:val="24"/>
        </w:rPr>
        <w:t>, Cl</w:t>
      </w:r>
      <w:r w:rsidRPr="004B393A">
        <w:rPr>
          <w:rFonts w:ascii="Sylfaen" w:hAnsi="Sylfaen"/>
          <w:sz w:val="24"/>
          <w:szCs w:val="24"/>
          <w:vertAlign w:val="subscript"/>
        </w:rPr>
        <w:t>t</w:t>
      </w:r>
      <w:r w:rsidRPr="004B393A">
        <w:rPr>
          <w:rFonts w:ascii="Sylfaen" w:hAnsi="Sylfaen"/>
          <w:sz w:val="24"/>
          <w:szCs w:val="24"/>
        </w:rPr>
        <w:t xml:space="preserve"> </w:t>
      </w:r>
      <w:r w:rsidR="00C54D75">
        <w:rPr>
          <w:rFonts w:ascii="Sylfaen" w:hAnsi="Sylfaen"/>
          <w:sz w:val="24"/>
          <w:szCs w:val="24"/>
        </w:rPr>
        <w:t>և</w:t>
      </w:r>
      <w:r w:rsidRPr="004B393A">
        <w:rPr>
          <w:rFonts w:ascii="Sylfaen" w:hAnsi="Sylfaen"/>
          <w:sz w:val="24"/>
          <w:szCs w:val="24"/>
        </w:rPr>
        <w:t xml:space="preserve"> f% պարամետրերի վերաբերյալ տեղեկությունները (ինչպես ցույց է տրված Գրանցման կանոնների թիվ 6 հավելվածի տվյալ բաժնի աղյուսակի օրինակում): Եթե դեղակինետիկան գծային է, ապա բավարար կլինի նկարագրել խմբերից (դեղաչափերից) որ</w:t>
      </w:r>
      <w:r w:rsidR="00C54D75">
        <w:rPr>
          <w:rFonts w:ascii="Sylfaen" w:hAnsi="Sylfaen"/>
          <w:sz w:val="24"/>
          <w:szCs w:val="24"/>
        </w:rPr>
        <w:t>և</w:t>
      </w:r>
      <w:r w:rsidRPr="004B393A">
        <w:rPr>
          <w:rFonts w:ascii="Sylfaen" w:hAnsi="Sylfaen"/>
          <w:sz w:val="24"/>
          <w:szCs w:val="24"/>
        </w:rPr>
        <w:t>է մեկի վերաբերյալ տվյալները:</w:t>
      </w:r>
    </w:p>
    <w:p w14:paraId="4A38DB13" w14:textId="77777777" w:rsidR="008C76E0" w:rsidRPr="004B393A" w:rsidRDefault="008C76E0" w:rsidP="004B393A">
      <w:pPr>
        <w:tabs>
          <w:tab w:val="left" w:pos="1134"/>
          <w:tab w:val="left" w:pos="1418"/>
        </w:tabs>
        <w:spacing w:after="160" w:line="360" w:lineRule="auto"/>
        <w:ind w:right="-1" w:firstLine="567"/>
        <w:jc w:val="both"/>
        <w:rPr>
          <w:rFonts w:ascii="Sylfaen" w:hAnsi="Sylfaen"/>
          <w:sz w:val="24"/>
          <w:szCs w:val="24"/>
        </w:rPr>
      </w:pPr>
      <w:r w:rsidRPr="004B393A">
        <w:rPr>
          <w:rFonts w:ascii="Sylfaen" w:hAnsi="Sylfaen"/>
          <w:sz w:val="24"/>
          <w:szCs w:val="24"/>
        </w:rPr>
        <w:t>3.3.</w:t>
      </w:r>
      <w:r w:rsidRPr="004B393A">
        <w:rPr>
          <w:rFonts w:ascii="Sylfaen" w:hAnsi="Sylfaen"/>
          <w:sz w:val="24"/>
          <w:szCs w:val="24"/>
        </w:rPr>
        <w:tab/>
        <w:t>Բաշխումը:</w:t>
      </w:r>
    </w:p>
    <w:p w14:paraId="023934A2"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Սույն բաժնում անհրաժեշտ է դիտարկել հետ</w:t>
      </w:r>
      <w:r w:rsidR="00C54D75">
        <w:rPr>
          <w:rFonts w:ascii="Sylfaen" w:hAnsi="Sylfaen"/>
          <w:sz w:val="24"/>
          <w:szCs w:val="24"/>
        </w:rPr>
        <w:t>և</w:t>
      </w:r>
      <w:r w:rsidRPr="004B393A">
        <w:rPr>
          <w:rFonts w:ascii="Sylfaen" w:hAnsi="Sylfaen"/>
          <w:sz w:val="24"/>
          <w:szCs w:val="24"/>
        </w:rPr>
        <w:t>յալ հարցերը՝</w:t>
      </w:r>
    </w:p>
    <w:p w14:paraId="67A4DE5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հյուսվածքներում բաշխման ուսումնասիրության վերաբերյալ հետազոտություններում կիրառվող մեթոդը (օրինակ՝ ավտոռադիոգրաֆիկ վերլուծություն).</w:t>
      </w:r>
    </w:p>
    <w:p w14:paraId="3AF20E31"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կենդանիների տարբեր տեսակների մոտ սպիտակուցների հետ կապումը (ալբումինի </w:t>
      </w:r>
      <w:r w:rsidR="00C54D75">
        <w:rPr>
          <w:rFonts w:ascii="Sylfaen" w:hAnsi="Sylfaen"/>
          <w:sz w:val="24"/>
          <w:szCs w:val="24"/>
        </w:rPr>
        <w:t>և</w:t>
      </w:r>
      <w:r w:rsidRPr="004B393A">
        <w:rPr>
          <w:rFonts w:ascii="Sylfaen" w:hAnsi="Sylfaen"/>
          <w:sz w:val="24"/>
          <w:szCs w:val="24"/>
        </w:rPr>
        <w:t xml:space="preserve"> այլն) նյութի չկապված ֆրակցիայի գնահատմամբ, այդ թվում՝ մարդու մոտ.</w:t>
      </w:r>
    </w:p>
    <w:p w14:paraId="731737D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բաշխումն արյան ձ</w:t>
      </w:r>
      <w:r w:rsidR="00C54D75">
        <w:rPr>
          <w:rFonts w:ascii="Sylfaen" w:hAnsi="Sylfaen"/>
          <w:sz w:val="24"/>
          <w:szCs w:val="24"/>
        </w:rPr>
        <w:t>և</w:t>
      </w:r>
      <w:r w:rsidRPr="004B393A">
        <w:rPr>
          <w:rFonts w:ascii="Sylfaen" w:hAnsi="Sylfaen"/>
          <w:sz w:val="24"/>
          <w:szCs w:val="24"/>
        </w:rPr>
        <w:t>ավոր տարրերում (չի հանդիսանում հետազոտությունների մշտական պարտադիր տեսակ), եթե կիրառելի է.</w:t>
      </w:r>
    </w:p>
    <w:p w14:paraId="5CC5AB89"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ընկերքի միջով ներթափանցման հետազոտությունը.</w:t>
      </w:r>
    </w:p>
    <w:p w14:paraId="265299C9"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կապումը մելանինի հետ (հատուկ հետազոտություն պիգմենտավորված առնետների վրա).</w:t>
      </w:r>
    </w:p>
    <w:p w14:paraId="49E286E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տվյալներ՝ կրծքի կաթով պատրաստուկի դուրսբերման վերաբերյալ (հարկ է գնահատել առանձին):</w:t>
      </w:r>
    </w:p>
    <w:p w14:paraId="125DAEA0"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Հարկ է ներկայացնել տեղեկություններ՝ հնարավոր օրգան-թիրախներում բաշխման աստիճանի վերաբերյալ՝ թունավորության </w:t>
      </w:r>
      <w:r w:rsidR="00C54D75">
        <w:rPr>
          <w:rFonts w:ascii="Sylfaen" w:hAnsi="Sylfaen"/>
          <w:sz w:val="24"/>
          <w:szCs w:val="24"/>
        </w:rPr>
        <w:t>և</w:t>
      </w:r>
      <w:r w:rsidRPr="004B393A">
        <w:rPr>
          <w:rFonts w:ascii="Sylfaen" w:hAnsi="Sylfaen"/>
          <w:sz w:val="24"/>
          <w:szCs w:val="24"/>
        </w:rPr>
        <w:t xml:space="preserve"> հյուսվածքներում պատրաստուկի կուտակման համատեքստում (ըստ հնարավորության) (մասնավորապես, այն հյուսվածքներում հյուսվածքասպեցիֆիկ անցանկալի ռեակցիաների առկայության դեպքում, որոնց մեջ նկատվում են կուտակումներ):</w:t>
      </w:r>
    </w:p>
    <w:p w14:paraId="2F00E2C7"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Անհրաժեշտ է մանրամասն դիտարկել պլազմայի սպիտակուցների հետ նյութի կապվելու վերաբերյալ հարցը: Հարկ է ներկայացնել տվյալներ՝ մարդու մոտ պատրաստուկի կիրառման վերաբերյալ, </w:t>
      </w:r>
      <w:r w:rsidR="00C54D75">
        <w:rPr>
          <w:rFonts w:ascii="Sylfaen" w:hAnsi="Sylfaen"/>
          <w:sz w:val="24"/>
          <w:szCs w:val="24"/>
        </w:rPr>
        <w:t>և</w:t>
      </w:r>
      <w:r w:rsidRPr="004B393A">
        <w:rPr>
          <w:rFonts w:ascii="Sylfaen" w:hAnsi="Sylfaen"/>
          <w:sz w:val="24"/>
          <w:szCs w:val="24"/>
        </w:rPr>
        <w:t xml:space="preserve"> անցկացնել միջտեսակային համեմատություն: Հարկ է գնահատել տարբեր տեսակների մոտ նյութի չկապված ֆրակցիայի խտությունների արժեքների համեմատության անհրաժեշտությունը:</w:t>
      </w:r>
    </w:p>
    <w:p w14:paraId="5008BE0A"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Մելանինի հետ կապվածությունը վկայող փաստերի առկայության դեպքում հարկ է քննարկել ֆոտոտոքսիկության գնահատման անհրաժեշտության հարցը (օրինակ՝ հաշվի առնելով լույսի կլանման աստիճանը), ԴՆԹ-ի հետ կապվածության հնարավորությունը:</w:t>
      </w:r>
    </w:p>
    <w:p w14:paraId="7A6F65FD"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Անհրաժեշտության դեպքում սույն բաժնում հարկ է նկարագրել ելքային պատրաստուկի բաշխման բնույթը՝ դրա մետաբոլիտների բաշխման հետ համեմատությամբ:</w:t>
      </w:r>
    </w:p>
    <w:p w14:paraId="1EA88B61" w14:textId="77777777" w:rsidR="008C76E0" w:rsidRPr="004B393A" w:rsidRDefault="008C76E0" w:rsidP="00CE376C">
      <w:pPr>
        <w:tabs>
          <w:tab w:val="left" w:pos="1134"/>
        </w:tabs>
        <w:spacing w:after="160" w:line="336" w:lineRule="auto"/>
        <w:ind w:firstLine="567"/>
        <w:jc w:val="both"/>
        <w:rPr>
          <w:rFonts w:ascii="Sylfaen" w:hAnsi="Sylfaen"/>
          <w:sz w:val="24"/>
          <w:szCs w:val="24"/>
        </w:rPr>
      </w:pPr>
      <w:r w:rsidRPr="004B393A">
        <w:rPr>
          <w:rFonts w:ascii="Sylfaen" w:hAnsi="Sylfaen"/>
          <w:sz w:val="24"/>
          <w:szCs w:val="24"/>
        </w:rPr>
        <w:t>3.4.</w:t>
      </w:r>
      <w:r w:rsidRPr="004B393A">
        <w:rPr>
          <w:rFonts w:ascii="Sylfaen" w:hAnsi="Sylfaen"/>
          <w:sz w:val="24"/>
          <w:szCs w:val="24"/>
        </w:rPr>
        <w:tab/>
        <w:t>Նյութափոխանակությունը:</w:t>
      </w:r>
    </w:p>
    <w:p w14:paraId="42F7D471"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Սույն բաժնում դիտարկվում է հետ</w:t>
      </w:r>
      <w:r w:rsidR="00C54D75">
        <w:rPr>
          <w:rFonts w:ascii="Sylfaen" w:hAnsi="Sylfaen"/>
          <w:sz w:val="24"/>
          <w:szCs w:val="24"/>
        </w:rPr>
        <w:t>և</w:t>
      </w:r>
      <w:r w:rsidRPr="004B393A">
        <w:rPr>
          <w:rFonts w:ascii="Sylfaen" w:hAnsi="Sylfaen"/>
          <w:sz w:val="24"/>
          <w:szCs w:val="24"/>
        </w:rPr>
        <w:t>յալ տեղեկատվությունը՝</w:t>
      </w:r>
    </w:p>
    <w:p w14:paraId="389DC27A"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մետաբոլիտների քիմիական կառուցվածքն ու պարունակությունը կենսաբանական միջավայրերում (աղյուսակի տեսքով).</w:t>
      </w:r>
    </w:p>
    <w:p w14:paraId="173A8A7B"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նյութափոխանակության հնարավոր ուղիները (դոսյեում առկայության դեպքում հարկ է այն լրացնել սխեմայով).</w:t>
      </w:r>
    </w:p>
    <w:p w14:paraId="3BDF4116"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նախահամակարգային նյութափոխանակությունը (աղեստամոքսային տրակտի (լյարդի) միջով առաջին անգամ անցման էֆեկտները).</w:t>
      </w:r>
    </w:p>
    <w:p w14:paraId="7ED0CFDD"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lastRenderedPageBreak/>
        <w:t>in vitro նյութափոխանակությունը, առաջին հերթին (միկրոսոմալային) Р</w:t>
      </w:r>
      <w:r w:rsidRPr="004B393A">
        <w:rPr>
          <w:rFonts w:ascii="Sylfaen" w:hAnsi="Sylfaen"/>
          <w:sz w:val="24"/>
          <w:szCs w:val="24"/>
          <w:vertAlign w:val="subscript"/>
        </w:rPr>
        <w:t xml:space="preserve">450 </w:t>
      </w:r>
      <w:r w:rsidRPr="004B393A">
        <w:rPr>
          <w:rFonts w:ascii="Sylfaen" w:hAnsi="Sylfaen"/>
          <w:sz w:val="24"/>
          <w:szCs w:val="24"/>
        </w:rPr>
        <w:t>ցիտոքրոմի հետազոտությունները՝ ազգակցությունը, իզոձ</w:t>
      </w:r>
      <w:r w:rsidR="00C54D75">
        <w:rPr>
          <w:rFonts w:ascii="Sylfaen" w:hAnsi="Sylfaen"/>
          <w:sz w:val="24"/>
          <w:szCs w:val="24"/>
        </w:rPr>
        <w:t>և</w:t>
      </w:r>
      <w:r w:rsidRPr="004B393A">
        <w:rPr>
          <w:rFonts w:ascii="Sylfaen" w:hAnsi="Sylfaen"/>
          <w:sz w:val="24"/>
          <w:szCs w:val="24"/>
        </w:rPr>
        <w:t>երի նկատմամբ սուբստրատի սպեցիֆիկությունը, արգելակիչ ակտիվության հետազոտությունը (դրական արդյունքի դեպքում արգելակման տիպը՝ դարձելի, անդարձելի), դեղային փոխազդեցությունը (կլինիկորեն նշանակալի փոխադարձ կապեր): Անհրաժեշտության դեպքում նկարագրվում են ոչ միկրոսոմալային օքսիդացման, վերականգնման, հիդրոլիզի ռեակցիաները.</w:t>
      </w:r>
    </w:p>
    <w:p w14:paraId="2BC3608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ֆերմենտների ինդուկցիան.</w:t>
      </w:r>
    </w:p>
    <w:p w14:paraId="015BC017"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նյութափոխանակության երկրորդ փուլը ( կոնյուգացիան) (առաջին հերթին in vivo հետազոտություններում):</w:t>
      </w:r>
    </w:p>
    <w:p w14:paraId="37E4F50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համեմատել մարդու </w:t>
      </w:r>
      <w:r w:rsidR="00C54D75">
        <w:rPr>
          <w:rFonts w:ascii="Sylfaen" w:hAnsi="Sylfaen"/>
          <w:sz w:val="24"/>
          <w:szCs w:val="24"/>
        </w:rPr>
        <w:t>և</w:t>
      </w:r>
      <w:r w:rsidRPr="004B393A">
        <w:rPr>
          <w:rFonts w:ascii="Sylfaen" w:hAnsi="Sylfaen"/>
          <w:sz w:val="24"/>
          <w:szCs w:val="24"/>
        </w:rPr>
        <w:t xml:space="preserve"> կենդանիների մոտ նյութափոխանակության բնույթը:</w:t>
      </w:r>
    </w:p>
    <w:p w14:paraId="659973C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Անհրաժեշտ է նշել՝ արդյոք առկա են տեսակին հատուկ մետաբոլիտներ հատկապես այն դեպքում, եթե պատրաստուկի անվտանգության հետազոտություններում օգտագործվող կենդանիները մարդկանց մոտ հայտնաբերվող մետաբոլիտներ չեն ձ</w:t>
      </w:r>
      <w:r w:rsidR="00C54D75">
        <w:rPr>
          <w:rFonts w:ascii="Sylfaen" w:hAnsi="Sylfaen"/>
          <w:sz w:val="24"/>
          <w:szCs w:val="24"/>
        </w:rPr>
        <w:t>և</w:t>
      </w:r>
      <w:r w:rsidRPr="004B393A">
        <w:rPr>
          <w:rFonts w:ascii="Sylfaen" w:hAnsi="Sylfaen"/>
          <w:sz w:val="24"/>
          <w:szCs w:val="24"/>
        </w:rPr>
        <w:t>ավորում:</w:t>
      </w:r>
    </w:p>
    <w:p w14:paraId="4AFC4561"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Նշված տեղեկատվությունը համարվում է կենդանիների օգտագործվող մոդելների պիտանիության գնահատման կար</w:t>
      </w:r>
      <w:r w:rsidR="00C54D75">
        <w:rPr>
          <w:rFonts w:ascii="Sylfaen" w:hAnsi="Sylfaen"/>
          <w:sz w:val="24"/>
          <w:szCs w:val="24"/>
        </w:rPr>
        <w:t>և</w:t>
      </w:r>
      <w:r w:rsidRPr="004B393A">
        <w:rPr>
          <w:rFonts w:ascii="Sylfaen" w:hAnsi="Sylfaen"/>
          <w:sz w:val="24"/>
          <w:szCs w:val="24"/>
        </w:rPr>
        <w:t>որ մասը:</w:t>
      </w:r>
    </w:p>
    <w:p w14:paraId="4AFE8622" w14:textId="77777777" w:rsidR="008C76E0" w:rsidRPr="004B393A" w:rsidRDefault="008C76E0" w:rsidP="004B393A">
      <w:pPr>
        <w:tabs>
          <w:tab w:val="left" w:pos="1134"/>
          <w:tab w:val="left" w:pos="1418"/>
        </w:tabs>
        <w:spacing w:after="160" w:line="360" w:lineRule="auto"/>
        <w:ind w:right="-1" w:firstLine="567"/>
        <w:jc w:val="both"/>
        <w:rPr>
          <w:rFonts w:ascii="Sylfaen" w:hAnsi="Sylfaen"/>
          <w:sz w:val="24"/>
          <w:szCs w:val="24"/>
        </w:rPr>
      </w:pPr>
      <w:r w:rsidRPr="004B393A">
        <w:rPr>
          <w:rFonts w:ascii="Sylfaen" w:hAnsi="Sylfaen"/>
          <w:sz w:val="24"/>
          <w:szCs w:val="24"/>
        </w:rPr>
        <w:t>3.5.</w:t>
      </w:r>
      <w:r w:rsidRPr="004B393A">
        <w:rPr>
          <w:rFonts w:ascii="Sylfaen" w:hAnsi="Sylfaen"/>
          <w:sz w:val="24"/>
          <w:szCs w:val="24"/>
        </w:rPr>
        <w:tab/>
        <w:t>Դուրսբերումը:</w:t>
      </w:r>
    </w:p>
    <w:p w14:paraId="216CB5C6"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Սույն բաժնում հարկ է հնարավորինս օգտագործել տվյալների աղյուսակային ներկայացումը: Նկարագրվում են պատրաստուկի դուրսբերման այն ուղիները, որոնք օրգանոսպեցիֆիկ թունավորության համար համարվում են նշանակալի:</w:t>
      </w:r>
    </w:p>
    <w:p w14:paraId="6286243A" w14:textId="77777777" w:rsidR="008C76E0" w:rsidRPr="004B393A" w:rsidRDefault="008C76E0" w:rsidP="004B393A">
      <w:pPr>
        <w:tabs>
          <w:tab w:val="left" w:pos="1418"/>
        </w:tabs>
        <w:spacing w:after="160" w:line="360" w:lineRule="auto"/>
        <w:ind w:firstLine="567"/>
        <w:jc w:val="both"/>
        <w:rPr>
          <w:rFonts w:ascii="Sylfaen" w:hAnsi="Sylfaen"/>
          <w:sz w:val="24"/>
          <w:szCs w:val="24"/>
        </w:rPr>
      </w:pPr>
      <w:r w:rsidRPr="004B393A">
        <w:rPr>
          <w:rFonts w:ascii="Sylfaen" w:hAnsi="Sylfaen"/>
          <w:sz w:val="24"/>
          <w:szCs w:val="24"/>
        </w:rPr>
        <w:t xml:space="preserve">Կենդանիների </w:t>
      </w:r>
      <w:r w:rsidR="00C54D75">
        <w:rPr>
          <w:rFonts w:ascii="Sylfaen" w:hAnsi="Sylfaen"/>
          <w:sz w:val="24"/>
          <w:szCs w:val="24"/>
        </w:rPr>
        <w:t>և</w:t>
      </w:r>
      <w:r w:rsidRPr="004B393A">
        <w:rPr>
          <w:rFonts w:ascii="Sylfaen" w:hAnsi="Sylfaen"/>
          <w:sz w:val="24"/>
          <w:szCs w:val="24"/>
        </w:rPr>
        <w:t xml:space="preserve"> մարդու մոտ դուրսբերման եղանակների միջ</w:t>
      </w:r>
      <w:r w:rsidR="00C54D75">
        <w:rPr>
          <w:rFonts w:ascii="Sylfaen" w:hAnsi="Sylfaen"/>
          <w:sz w:val="24"/>
          <w:szCs w:val="24"/>
        </w:rPr>
        <w:t>և</w:t>
      </w:r>
      <w:r w:rsidRPr="004B393A">
        <w:rPr>
          <w:rFonts w:ascii="Sylfaen" w:hAnsi="Sylfaen"/>
          <w:sz w:val="24"/>
          <w:szCs w:val="24"/>
        </w:rPr>
        <w:t xml:space="preserve"> (այդ թվում՝ մետաբոլիտների) էական տարբերությունների առկայության դեպքում կենդանիների մոտ դուրսբերման ուղիները կարող են լինել պակաս կար</w:t>
      </w:r>
      <w:r w:rsidR="00C54D75">
        <w:rPr>
          <w:rFonts w:ascii="Sylfaen" w:hAnsi="Sylfaen"/>
          <w:sz w:val="24"/>
          <w:szCs w:val="24"/>
        </w:rPr>
        <w:t>և</w:t>
      </w:r>
      <w:r w:rsidRPr="004B393A">
        <w:rPr>
          <w:rFonts w:ascii="Sylfaen" w:hAnsi="Sylfaen"/>
          <w:sz w:val="24"/>
          <w:szCs w:val="24"/>
        </w:rPr>
        <w:t>որ թունավորության գնահատման համատեքստում՝ կապված մարդու մոտ դուրսբերման համար պատասխանատու համապատասխան օրգանի հետ:</w:t>
      </w:r>
    </w:p>
    <w:p w14:paraId="4F28A0DB"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lastRenderedPageBreak/>
        <w:t>Սույն բաժնում հարկ է նա</w:t>
      </w:r>
      <w:r w:rsidR="00C54D75">
        <w:rPr>
          <w:rFonts w:ascii="Sylfaen" w:hAnsi="Sylfaen"/>
          <w:sz w:val="24"/>
          <w:szCs w:val="24"/>
        </w:rPr>
        <w:t>և</w:t>
      </w:r>
      <w:r w:rsidRPr="004B393A">
        <w:rPr>
          <w:rFonts w:ascii="Sylfaen" w:hAnsi="Sylfaen"/>
          <w:sz w:val="24"/>
          <w:szCs w:val="24"/>
        </w:rPr>
        <w:t xml:space="preserve"> ներկայացնել տվյալներ </w:t>
      </w:r>
      <w:r w:rsidR="00C54D75">
        <w:rPr>
          <w:rFonts w:ascii="Sylfaen" w:hAnsi="Sylfaen"/>
          <w:sz w:val="24"/>
          <w:szCs w:val="24"/>
        </w:rPr>
        <w:t>և</w:t>
      </w:r>
      <w:r w:rsidRPr="004B393A">
        <w:rPr>
          <w:rFonts w:ascii="Sylfaen" w:hAnsi="Sylfaen"/>
          <w:sz w:val="24"/>
          <w:szCs w:val="24"/>
        </w:rPr>
        <w:t xml:space="preserve"> մեկնաբանություններ՝ նյութական հաշվեկշռի մասով:</w:t>
      </w:r>
    </w:p>
    <w:p w14:paraId="64AFDEF4"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3.6.</w:t>
      </w:r>
      <w:r w:rsidRPr="004B393A">
        <w:rPr>
          <w:rFonts w:ascii="Sylfaen" w:hAnsi="Sylfaen"/>
          <w:sz w:val="24"/>
          <w:szCs w:val="24"/>
        </w:rPr>
        <w:tab/>
        <w:t>Դեղակինետիկ դեղային փոխազդեցությունները:</w:t>
      </w:r>
    </w:p>
    <w:p w14:paraId="4A0917F9"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Հարկ է հիմնական ուշադրություն դարձնել այն դեղապատրաստուկների հետ փոխազդեցությանը, որոնք կլինիկական գործունեության մեջ կարող են պոտենցիալ կերպով օգտագործվել համակցված թերապիայում՝ հետազոտվող պատրաստուկի հետ:</w:t>
      </w:r>
    </w:p>
    <w:p w14:paraId="59E9836C"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3.7.</w:t>
      </w:r>
      <w:r w:rsidRPr="004B393A">
        <w:rPr>
          <w:rFonts w:ascii="Sylfaen" w:hAnsi="Sylfaen"/>
          <w:sz w:val="24"/>
          <w:szCs w:val="24"/>
        </w:rPr>
        <w:tab/>
        <w:t>Այլ դեղակինետիկ հետազոտություններ:</w:t>
      </w:r>
    </w:p>
    <w:p w14:paraId="6E63A983"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Անհրաժեշտության դեպքում հարկ է սույն բաժնում գործածել հետ</w:t>
      </w:r>
      <w:r w:rsidR="00C54D75">
        <w:rPr>
          <w:rFonts w:ascii="Sylfaen" w:hAnsi="Sylfaen"/>
          <w:sz w:val="24"/>
          <w:szCs w:val="24"/>
        </w:rPr>
        <w:t>և</w:t>
      </w:r>
      <w:r w:rsidRPr="004B393A">
        <w:rPr>
          <w:rFonts w:ascii="Sylfaen" w:hAnsi="Sylfaen"/>
          <w:sz w:val="24"/>
          <w:szCs w:val="24"/>
        </w:rPr>
        <w:t>յալ ենթավերնագրերը՝</w:t>
      </w:r>
    </w:p>
    <w:p w14:paraId="006AFA49"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կենդանիների մատղաշի վրա անցկացվող հետազոտություններ.</w:t>
      </w:r>
    </w:p>
    <w:p w14:paraId="23106104" w14:textId="77777777" w:rsidR="008C76E0" w:rsidRPr="004B393A" w:rsidRDefault="008C76E0" w:rsidP="004B393A">
      <w:pPr>
        <w:tabs>
          <w:tab w:val="left" w:pos="1418"/>
        </w:tabs>
        <w:spacing w:after="160" w:line="360" w:lineRule="auto"/>
        <w:ind w:firstLine="567"/>
        <w:jc w:val="both"/>
        <w:rPr>
          <w:rFonts w:ascii="Sylfaen" w:hAnsi="Sylfaen"/>
          <w:sz w:val="24"/>
          <w:szCs w:val="24"/>
        </w:rPr>
      </w:pPr>
      <w:r w:rsidRPr="004B393A">
        <w:rPr>
          <w:rFonts w:ascii="Sylfaen" w:hAnsi="Sylfaen"/>
          <w:sz w:val="24"/>
          <w:szCs w:val="24"/>
        </w:rPr>
        <w:t>հղի կենդանիների վրա անցկացվող հետազոտություններ.</w:t>
      </w:r>
    </w:p>
    <w:p w14:paraId="4666AD85" w14:textId="77777777" w:rsidR="008C76E0" w:rsidRPr="004B393A" w:rsidRDefault="008C76E0" w:rsidP="004B393A">
      <w:pPr>
        <w:tabs>
          <w:tab w:val="left" w:pos="1418"/>
        </w:tabs>
        <w:spacing w:after="160" w:line="360" w:lineRule="auto"/>
        <w:ind w:firstLine="567"/>
        <w:jc w:val="both"/>
        <w:rPr>
          <w:rFonts w:ascii="Sylfaen" w:hAnsi="Sylfaen"/>
          <w:sz w:val="24"/>
          <w:szCs w:val="24"/>
        </w:rPr>
      </w:pPr>
      <w:r w:rsidRPr="004B393A">
        <w:rPr>
          <w:rFonts w:ascii="Sylfaen" w:hAnsi="Sylfaen"/>
          <w:sz w:val="24"/>
          <w:szCs w:val="24"/>
        </w:rPr>
        <w:t>որոշակի հիվանդությամբ տառապող կենդանիների մոդելների օգտագործմամբ անցկացվող հետազոտություններ:</w:t>
      </w:r>
    </w:p>
    <w:p w14:paraId="6C1BAF34"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3.8.</w:t>
      </w:r>
      <w:r w:rsidRPr="004B393A">
        <w:rPr>
          <w:rFonts w:ascii="Sylfaen" w:hAnsi="Sylfaen"/>
          <w:sz w:val="24"/>
          <w:szCs w:val="24"/>
        </w:rPr>
        <w:tab/>
        <w:t>Փորձագետի ընդհանուր եզրակացությունը՝ դեղակինետիկայի վերաբերյալ:</w:t>
      </w:r>
    </w:p>
    <w:p w14:paraId="7D1D44FD"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բաժնի բովանդակությունը կարող է ներառվել «Անվտանգության, որակի, արդյունավետության գնահատում» ամփոփ փորձագիտական հաշվետվության մոդուլում:</w:t>
      </w:r>
    </w:p>
    <w:p w14:paraId="66EC9BB6"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Որպեսզի հաշվետվության վրա աշխատող անձինք ունենան օգուտ-ռիսկ հարաբերակցության պրոֆիլը գնահատելու հնարավորություն, անհրաժեշտ է սույն բաժնի վրա տարվող աշխատանքին վերաբերվել առանձնահատուկ ուշադրությամբ:</w:t>
      </w:r>
    </w:p>
    <w:p w14:paraId="1E1E946C"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Անհրաժեշտ է իրականացնել առավել կար</w:t>
      </w:r>
      <w:r w:rsidR="00C54D75">
        <w:rPr>
          <w:rFonts w:ascii="Sylfaen" w:hAnsi="Sylfaen"/>
          <w:sz w:val="24"/>
          <w:szCs w:val="24"/>
        </w:rPr>
        <w:t>և</w:t>
      </w:r>
      <w:r w:rsidRPr="004B393A">
        <w:rPr>
          <w:rFonts w:ascii="Sylfaen" w:hAnsi="Sylfaen"/>
          <w:sz w:val="24"/>
          <w:szCs w:val="24"/>
        </w:rPr>
        <w:t xml:space="preserve">որ դեղակինետիկ բնութագրերի ընդհանուր ուսումնասիրություն, մեկնաբանել կենդանիների օգտագործված մոդելների պիտանիությունը մարդու մոտ դեղամիջոցի կիրառության </w:t>
      </w:r>
      <w:r w:rsidRPr="004B393A">
        <w:rPr>
          <w:rFonts w:ascii="Sylfaen" w:hAnsi="Sylfaen"/>
          <w:sz w:val="24"/>
          <w:szCs w:val="24"/>
        </w:rPr>
        <w:lastRenderedPageBreak/>
        <w:t>անվտանգության գնահատման համար թունավորության ուսումնասիրության ժամանակ՝ մասնավորապես նյութափոխանակության ուղիներում հնարավոր տարբերությունների առնչությամբ:</w:t>
      </w:r>
    </w:p>
    <w:p w14:paraId="1630BE04" w14:textId="77777777" w:rsidR="008C76E0" w:rsidRPr="004B393A" w:rsidRDefault="008C76E0" w:rsidP="004B393A">
      <w:pPr>
        <w:spacing w:after="160" w:line="360" w:lineRule="auto"/>
        <w:ind w:right="-1" w:firstLine="567"/>
        <w:jc w:val="both"/>
        <w:rPr>
          <w:rFonts w:ascii="Sylfaen" w:hAnsi="Sylfaen"/>
          <w:spacing w:val="-4"/>
          <w:sz w:val="24"/>
          <w:szCs w:val="24"/>
        </w:rPr>
      </w:pPr>
      <w:r w:rsidRPr="004B393A">
        <w:rPr>
          <w:rFonts w:ascii="Sylfaen" w:hAnsi="Sylfaen"/>
          <w:spacing w:val="-4"/>
          <w:sz w:val="24"/>
          <w:szCs w:val="24"/>
        </w:rPr>
        <w:t>Այլ կար</w:t>
      </w:r>
      <w:r w:rsidR="00C54D75">
        <w:rPr>
          <w:rFonts w:ascii="Sylfaen" w:hAnsi="Sylfaen"/>
          <w:spacing w:val="-4"/>
          <w:sz w:val="24"/>
          <w:szCs w:val="24"/>
        </w:rPr>
        <w:t>և</w:t>
      </w:r>
      <w:r w:rsidRPr="004B393A">
        <w:rPr>
          <w:rFonts w:ascii="Sylfaen" w:hAnsi="Sylfaen"/>
          <w:spacing w:val="-4"/>
          <w:sz w:val="24"/>
          <w:szCs w:val="24"/>
        </w:rPr>
        <w:t xml:space="preserve">որ ասպեկտների շարքին են դասվում այն էական տարբերությունները, որոնք առկա են կլանման (կենսամատչելիության), (միջանձնային) միջտեսակային փոփոխականության, էլիմինացման արագության </w:t>
      </w:r>
      <w:r w:rsidRPr="004B393A">
        <w:rPr>
          <w:rFonts w:ascii="Sylfaen" w:hAnsi="Sylfaen"/>
          <w:spacing w:val="-4"/>
          <w:sz w:val="24"/>
          <w:szCs w:val="24"/>
        </w:rPr>
        <w:br/>
        <w:t>(t</w:t>
      </w:r>
      <w:r w:rsidRPr="004B393A">
        <w:rPr>
          <w:rFonts w:ascii="Sylfaen" w:hAnsi="Sylfaen"/>
          <w:spacing w:val="-4"/>
          <w:sz w:val="24"/>
          <w:szCs w:val="24"/>
          <w:vertAlign w:val="subscript"/>
        </w:rPr>
        <w:t xml:space="preserve">½ </w:t>
      </w:r>
      <w:r w:rsidRPr="004B393A">
        <w:rPr>
          <w:rFonts w:ascii="Sylfaen" w:hAnsi="Sylfaen"/>
          <w:spacing w:val="-4"/>
          <w:sz w:val="24"/>
          <w:szCs w:val="24"/>
        </w:rPr>
        <w:t>-ի տարբեր արժեքները</w:t>
      </w:r>
      <w:r w:rsidRPr="004B393A">
        <w:rPr>
          <w:rStyle w:val="Bodytext295pt"/>
          <w:rFonts w:ascii="Sylfaen" w:eastAsiaTheme="minorHAnsi" w:hAnsi="Sylfaen"/>
          <w:b w:val="0"/>
          <w:spacing w:val="-4"/>
          <w:sz w:val="24"/>
          <w:szCs w:val="24"/>
        </w:rPr>
        <w:t>)</w:t>
      </w:r>
      <w:r w:rsidRPr="004B393A">
        <w:rPr>
          <w:rFonts w:ascii="Sylfaen" w:hAnsi="Sylfaen"/>
          <w:spacing w:val="-4"/>
          <w:sz w:val="24"/>
          <w:szCs w:val="24"/>
        </w:rPr>
        <w:t xml:space="preserve"> </w:t>
      </w:r>
      <w:r w:rsidR="00C54D75">
        <w:rPr>
          <w:rFonts w:ascii="Sylfaen" w:hAnsi="Sylfaen"/>
          <w:spacing w:val="-4"/>
          <w:sz w:val="24"/>
          <w:szCs w:val="24"/>
        </w:rPr>
        <w:t>և</w:t>
      </w:r>
      <w:r w:rsidRPr="004B393A">
        <w:rPr>
          <w:rFonts w:ascii="Sylfaen" w:hAnsi="Sylfaen"/>
          <w:spacing w:val="-4"/>
          <w:sz w:val="24"/>
          <w:szCs w:val="24"/>
        </w:rPr>
        <w:t xml:space="preserve"> այլ ցուցանիշներում:</w:t>
      </w:r>
    </w:p>
    <w:p w14:paraId="66F65D91"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Ապա անհրաժեշտ է ուսումնասիրել այլ հարցեր, որոնք կար</w:t>
      </w:r>
      <w:r w:rsidR="00C54D75">
        <w:rPr>
          <w:rFonts w:ascii="Sylfaen" w:hAnsi="Sylfaen"/>
          <w:sz w:val="24"/>
          <w:szCs w:val="24"/>
        </w:rPr>
        <w:t>և</w:t>
      </w:r>
      <w:r w:rsidRPr="004B393A">
        <w:rPr>
          <w:rFonts w:ascii="Sylfaen" w:hAnsi="Sylfaen"/>
          <w:sz w:val="24"/>
          <w:szCs w:val="24"/>
        </w:rPr>
        <w:t>որ նշանակություն ունեն անվտանգության գնահատման համար, օրինակ՝ օրգան-թիրախներում բաշխման բնույթը, դուրսբերման ուղիները, դեղաբանորեն ակտիվ մետաբոլիտները: Նկարագրել հայտնաբերված միջտեսակային տարբերություններն ու անցկացնել համեմատություն հնարավոր կլինիկական իրադրության հետ։</w:t>
      </w:r>
    </w:p>
    <w:p w14:paraId="147073C6"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բաժնում նա</w:t>
      </w:r>
      <w:r w:rsidR="00C54D75">
        <w:rPr>
          <w:rFonts w:ascii="Sylfaen" w:hAnsi="Sylfaen"/>
          <w:sz w:val="24"/>
          <w:szCs w:val="24"/>
        </w:rPr>
        <w:t>և</w:t>
      </w:r>
      <w:r w:rsidRPr="004B393A">
        <w:rPr>
          <w:rFonts w:ascii="Sylfaen" w:hAnsi="Sylfaen"/>
          <w:sz w:val="24"/>
          <w:szCs w:val="24"/>
        </w:rPr>
        <w:t xml:space="preserve"> կարող են պարունակվել միայն հիմնական եզրահանգումներ, </w:t>
      </w:r>
      <w:r w:rsidR="00C54D75">
        <w:rPr>
          <w:rFonts w:ascii="Sylfaen" w:hAnsi="Sylfaen"/>
          <w:sz w:val="24"/>
          <w:szCs w:val="24"/>
        </w:rPr>
        <w:t>և</w:t>
      </w:r>
      <w:r w:rsidRPr="004B393A">
        <w:rPr>
          <w:rFonts w:ascii="Sylfaen" w:hAnsi="Sylfaen"/>
          <w:sz w:val="24"/>
          <w:szCs w:val="24"/>
        </w:rPr>
        <w:t xml:space="preserve"> այդ դեպքում «Անվտանգության, որակի, արդյունավետության գնահատում» ամփոփ փորձագիտական հաշվետվության բաժնի տեքստը պետք է մշակվի առանձին:</w:t>
      </w:r>
    </w:p>
    <w:p w14:paraId="39161C37"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pacing w:val="-4"/>
          <w:sz w:val="24"/>
          <w:szCs w:val="24"/>
        </w:rPr>
        <w:t xml:space="preserve">Հարկ է ստուգել դոսյեում </w:t>
      </w:r>
      <w:r w:rsidR="00C54D75">
        <w:rPr>
          <w:rFonts w:ascii="Sylfaen" w:hAnsi="Sylfaen"/>
          <w:spacing w:val="-4"/>
          <w:sz w:val="24"/>
          <w:szCs w:val="24"/>
        </w:rPr>
        <w:t>և</w:t>
      </w:r>
      <w:r w:rsidRPr="004B393A">
        <w:rPr>
          <w:rFonts w:ascii="Sylfaen" w:hAnsi="Sylfaen"/>
          <w:spacing w:val="-4"/>
          <w:sz w:val="24"/>
          <w:szCs w:val="24"/>
        </w:rPr>
        <w:t xml:space="preserve"> ԴԸԲ-ում տեքստի համապատասխանությունը (մասնավորապես՝ հաշվետվության 5.3՝ «Նախակլինիկական հետազոտությունների անվտանգության տվյալներ» բաժնում, ինչպես նա</w:t>
      </w:r>
      <w:r w:rsidR="00C54D75">
        <w:rPr>
          <w:rFonts w:ascii="Sylfaen" w:hAnsi="Sylfaen"/>
          <w:spacing w:val="-4"/>
          <w:sz w:val="24"/>
          <w:szCs w:val="24"/>
        </w:rPr>
        <w:t>և</w:t>
      </w:r>
      <w:r w:rsidRPr="004B393A">
        <w:rPr>
          <w:rFonts w:ascii="Sylfaen" w:hAnsi="Sylfaen"/>
          <w:spacing w:val="-4"/>
          <w:sz w:val="24"/>
          <w:szCs w:val="24"/>
        </w:rPr>
        <w:t xml:space="preserve"> հաշվետվության 5.2՝ «Դեղադինամիկ հատկություններ», 4.3՝ «Հակացուցումներ», 4.5՝ «Դեղային փոխազդեցություններ», 4.6՝ «Հղիություն </w:t>
      </w:r>
      <w:r w:rsidR="00C54D75">
        <w:rPr>
          <w:rFonts w:ascii="Sylfaen" w:hAnsi="Sylfaen"/>
          <w:spacing w:val="-4"/>
          <w:sz w:val="24"/>
          <w:szCs w:val="24"/>
        </w:rPr>
        <w:t>և</w:t>
      </w:r>
      <w:r w:rsidRPr="004B393A">
        <w:rPr>
          <w:rFonts w:ascii="Sylfaen" w:hAnsi="Sylfaen"/>
          <w:spacing w:val="-4"/>
          <w:sz w:val="24"/>
          <w:szCs w:val="24"/>
        </w:rPr>
        <w:t xml:space="preserve"> կրծքով կերակրում» բաժիններում), ինչպես նա</w:t>
      </w:r>
      <w:r w:rsidR="00C54D75">
        <w:rPr>
          <w:rFonts w:ascii="Sylfaen" w:hAnsi="Sylfaen"/>
          <w:spacing w:val="-4"/>
          <w:sz w:val="24"/>
          <w:szCs w:val="24"/>
        </w:rPr>
        <w:t>և</w:t>
      </w:r>
      <w:r w:rsidRPr="004B393A">
        <w:rPr>
          <w:rFonts w:ascii="Sylfaen" w:hAnsi="Sylfaen"/>
          <w:spacing w:val="-4"/>
          <w:sz w:val="24"/>
          <w:szCs w:val="24"/>
        </w:rPr>
        <w:t xml:space="preserve"> հավաստիանալ, որ ԴԸԲ-ում պարունակվող տեղեկատվությունն ամբողջությամբ հաստատված</w:t>
      </w:r>
      <w:r w:rsidRPr="004B393A">
        <w:rPr>
          <w:rFonts w:ascii="Sylfaen" w:hAnsi="Sylfaen"/>
          <w:sz w:val="24"/>
          <w:szCs w:val="24"/>
        </w:rPr>
        <w:t xml:space="preserve"> է գիտական փորձաքննության արդյունքներով:</w:t>
      </w:r>
    </w:p>
    <w:p w14:paraId="2045470B"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4.</w:t>
      </w:r>
      <w:r w:rsidRPr="004B393A">
        <w:rPr>
          <w:rFonts w:ascii="Sylfaen" w:hAnsi="Sylfaen"/>
          <w:sz w:val="24"/>
          <w:szCs w:val="24"/>
        </w:rPr>
        <w:tab/>
        <w:t xml:space="preserve">Թունաբանություն (2.6.6 </w:t>
      </w:r>
      <w:r w:rsidR="00C54D75">
        <w:rPr>
          <w:rFonts w:ascii="Sylfaen" w:hAnsi="Sylfaen"/>
          <w:sz w:val="24"/>
          <w:szCs w:val="24"/>
        </w:rPr>
        <w:t>և</w:t>
      </w:r>
      <w:r w:rsidRPr="004B393A">
        <w:rPr>
          <w:rFonts w:ascii="Sylfaen" w:hAnsi="Sylfaen"/>
          <w:sz w:val="24"/>
          <w:szCs w:val="24"/>
        </w:rPr>
        <w:t xml:space="preserve"> 4.3.3 մոդուլներ):</w:t>
      </w:r>
    </w:p>
    <w:p w14:paraId="1CC33B67"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4.1.</w:t>
      </w:r>
      <w:r w:rsidRPr="004B393A">
        <w:rPr>
          <w:rFonts w:ascii="Sylfaen" w:hAnsi="Sylfaen"/>
          <w:sz w:val="24"/>
          <w:szCs w:val="24"/>
        </w:rPr>
        <w:tab/>
        <w:t>Թունավորությունը մեկանգամյա ներմուծման դեպքում:</w:t>
      </w:r>
    </w:p>
    <w:p w14:paraId="08CAA00F"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 xml:space="preserve">Սույն բաժնում տեղեկատվությունն անհրաժեշտ է ընդգրկել պատշաճ </w:t>
      </w:r>
      <w:r w:rsidRPr="004B393A">
        <w:rPr>
          <w:rFonts w:ascii="Sylfaen" w:hAnsi="Sylfaen"/>
          <w:sz w:val="24"/>
          <w:szCs w:val="24"/>
        </w:rPr>
        <w:lastRenderedPageBreak/>
        <w:t xml:space="preserve">լաբորատոր գործունեության կանոններով սահմանված պահանջներին համապատասխան անցկացվող ստանդարտ հետազոտության համար նախատեսված հսկողության՝ 14 օրացուցային օր </w:t>
      </w:r>
      <w:r w:rsidR="00C54D75">
        <w:rPr>
          <w:rFonts w:ascii="Sylfaen" w:hAnsi="Sylfaen"/>
          <w:sz w:val="24"/>
          <w:szCs w:val="24"/>
        </w:rPr>
        <w:t>և</w:t>
      </w:r>
      <w:r w:rsidRPr="004B393A">
        <w:rPr>
          <w:rFonts w:ascii="Sylfaen" w:hAnsi="Sylfaen"/>
          <w:sz w:val="24"/>
          <w:szCs w:val="24"/>
        </w:rPr>
        <w:t xml:space="preserve"> ավելի տ</w:t>
      </w:r>
      <w:r w:rsidR="00C54D75">
        <w:rPr>
          <w:rFonts w:ascii="Sylfaen" w:hAnsi="Sylfaen"/>
          <w:sz w:val="24"/>
          <w:szCs w:val="24"/>
        </w:rPr>
        <w:t>և</w:t>
      </w:r>
      <w:r w:rsidRPr="004B393A">
        <w:rPr>
          <w:rFonts w:ascii="Sylfaen" w:hAnsi="Sylfaen"/>
          <w:sz w:val="24"/>
          <w:szCs w:val="24"/>
        </w:rPr>
        <w:t xml:space="preserve">ողությամբ </w:t>
      </w:r>
      <w:r w:rsidR="00C54D75">
        <w:rPr>
          <w:rFonts w:ascii="Sylfaen" w:hAnsi="Sylfaen"/>
          <w:sz w:val="24"/>
          <w:szCs w:val="24"/>
        </w:rPr>
        <w:t>և</w:t>
      </w:r>
      <w:r w:rsidRPr="004B393A">
        <w:rPr>
          <w:rFonts w:ascii="Sylfaen" w:hAnsi="Sylfaen"/>
          <w:sz w:val="24"/>
          <w:szCs w:val="24"/>
        </w:rPr>
        <w:t xml:space="preserve"> հակիրճ եզրակացություն կազմել այն մասին, թե արդյոք անցկացված հետազոտություններով հայտնաբերվել են սուր թունավորության վառ արտահայտված կամ թույլ ռեակցիաներ:</w:t>
      </w:r>
    </w:p>
    <w:p w14:paraId="606B176B"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Խորհուրդ է տրվում ներկայացնել տվյալներ՝ մահացու դեղաչափի կամ դիտարկվող առավելագույն ոչ մահացու դեղաչափի մոտավոր մակարդակի վերաբերյալ:</w:t>
      </w:r>
    </w:p>
    <w:p w14:paraId="076E5804"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Հարկ է նկարագրել սուր թունավորության կլինիկական նշանները (հակիրճ), մահացու ելքով դեպքերի բնույթն ու ժամանակը (մինչ</w:t>
      </w:r>
      <w:r w:rsidR="00C54D75">
        <w:rPr>
          <w:rFonts w:ascii="Sylfaen" w:hAnsi="Sylfaen"/>
          <w:sz w:val="24"/>
          <w:szCs w:val="24"/>
        </w:rPr>
        <w:t>և</w:t>
      </w:r>
      <w:r w:rsidRPr="004B393A">
        <w:rPr>
          <w:rFonts w:ascii="Sylfaen" w:hAnsi="Sylfaen"/>
          <w:sz w:val="24"/>
          <w:szCs w:val="24"/>
        </w:rPr>
        <w:t xml:space="preserve"> հսկողության ժամկետի ավարտը (այդ նույն օրը) կամ դրանից հետո):</w:t>
      </w:r>
    </w:p>
    <w:p w14:paraId="2F333366"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Ահրաժեշտության դեպքում ներկայացնել տեղեկություններ՝ օրգան-թիրախների, պաթոմորֆոլոգիական հետազոտությունների արդյունքների վերաբերյալ:</w:t>
      </w:r>
    </w:p>
    <w:p w14:paraId="5A478E65"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4.2.</w:t>
      </w:r>
      <w:r w:rsidRPr="004B393A">
        <w:rPr>
          <w:rFonts w:ascii="Sylfaen" w:hAnsi="Sylfaen"/>
          <w:sz w:val="24"/>
          <w:szCs w:val="24"/>
        </w:rPr>
        <w:tab/>
        <w:t>Թունավորությունը բազմակի ներմուծման դեպքում:</w:t>
      </w:r>
    </w:p>
    <w:p w14:paraId="062E9754"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 xml:space="preserve">Հիմնական հետազոտությունների վերաբերյալ տեղեկատվությունը պետք է բաժանված լինի ըստ կենդանիների տեսակների </w:t>
      </w:r>
      <w:r w:rsidR="00C54D75">
        <w:rPr>
          <w:rFonts w:ascii="Sylfaen" w:hAnsi="Sylfaen"/>
          <w:sz w:val="24"/>
          <w:szCs w:val="24"/>
        </w:rPr>
        <w:t>և</w:t>
      </w:r>
      <w:r w:rsidRPr="004B393A">
        <w:rPr>
          <w:rFonts w:ascii="Sylfaen" w:hAnsi="Sylfaen"/>
          <w:sz w:val="24"/>
          <w:szCs w:val="24"/>
        </w:rPr>
        <w:t xml:space="preserve"> պատրաստուկի ներմուծման ուղիների: Անհրաժեշտ է մեկնաբանել հետազոտությունների ծրագրերի՝ պատշաճ լաբորատոր գործունեության կանոնների պահանջներին ընդհանուր համապատասխանությունը </w:t>
      </w:r>
      <w:r w:rsidR="00C54D75">
        <w:rPr>
          <w:rFonts w:ascii="Sylfaen" w:hAnsi="Sylfaen"/>
          <w:sz w:val="24"/>
          <w:szCs w:val="24"/>
        </w:rPr>
        <w:t>և</w:t>
      </w:r>
      <w:r w:rsidRPr="004B393A">
        <w:rPr>
          <w:rFonts w:ascii="Sylfaen" w:hAnsi="Sylfaen"/>
          <w:sz w:val="24"/>
          <w:szCs w:val="24"/>
        </w:rPr>
        <w:t xml:space="preserve"> դրանից շեղումների բոլոր տեղ գտած դեպքերը (օրինակ՝ հսկվող խմբի կենդանիների կոնտամինացիան):</w:t>
      </w:r>
    </w:p>
    <w:p w14:paraId="447034C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Անհրաժեշտ է ներկայացնել հետազոտությունների պլանի հակիրճ նկարագիրը (կենդանիների տոհմաբանական գծերը, ներմուծման ուղին, դոզավորման ռեժիմները, կենդանիների քանակը (սեռը, խումբը), վերականգնման խմբերը (առկայության դեպքում), տոքսիկոկինետիկ հետազոտությունները, եթե այդպիսիք անցկացվում են):</w:t>
      </w:r>
    </w:p>
    <w:p w14:paraId="1FA67AA9"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Անհրաժեշտ է մանրամասն նկարագրել հետազոտությունների հիմնական արդյունքները, այդ թվում՝ մահվան ելքով դեպքերը, մարմնի զանգվածի դինամիկան, համապատասխան լաբորատոր տվյալները, օրգան-թիրախներում պաթոմորֆոլոգիական փոփոխությունները, փոփոխությունների կախվածությունը դեղաչափից, ռեակցիայի առաջացման ժամանակը, ռեակցիայի լրջության աստիճանը, թունավոր էֆեկտներում առկա տարբերություններն ու դրանց տ</w:t>
      </w:r>
      <w:r w:rsidR="00C54D75">
        <w:rPr>
          <w:rFonts w:ascii="Sylfaen" w:hAnsi="Sylfaen"/>
          <w:sz w:val="24"/>
          <w:szCs w:val="24"/>
        </w:rPr>
        <w:t>և</w:t>
      </w:r>
      <w:r w:rsidRPr="004B393A">
        <w:rPr>
          <w:rFonts w:ascii="Sylfaen" w:hAnsi="Sylfaen"/>
          <w:sz w:val="24"/>
          <w:szCs w:val="24"/>
        </w:rPr>
        <w:t xml:space="preserve">ողությունը՝ կախված կենդանիների տեսակից </w:t>
      </w:r>
      <w:r w:rsidR="00C54D75">
        <w:rPr>
          <w:rFonts w:ascii="Sylfaen" w:hAnsi="Sylfaen"/>
          <w:sz w:val="24"/>
          <w:szCs w:val="24"/>
        </w:rPr>
        <w:t>և</w:t>
      </w:r>
      <w:r w:rsidRPr="004B393A">
        <w:rPr>
          <w:rFonts w:ascii="Sylfaen" w:hAnsi="Sylfaen"/>
          <w:sz w:val="24"/>
          <w:szCs w:val="24"/>
        </w:rPr>
        <w:t xml:space="preserve"> սեռից:</w:t>
      </w:r>
    </w:p>
    <w:p w14:paraId="50BC653C"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Նշել ընդգծված անցանկալի ներգործության բացակայության մակարդակը (NOAEL) կենդանիների տարբեր տեսակների համար, եթե այդպիսին սահմանվել է, նկարագրել կենդանիների մոտ տվյալ դեղաչափի էքսպոզիցիայի </w:t>
      </w:r>
      <w:r w:rsidR="00C54D75">
        <w:rPr>
          <w:rFonts w:ascii="Sylfaen" w:hAnsi="Sylfaen"/>
          <w:sz w:val="24"/>
          <w:szCs w:val="24"/>
        </w:rPr>
        <w:t>և</w:t>
      </w:r>
      <w:r w:rsidRPr="004B393A">
        <w:rPr>
          <w:rFonts w:ascii="Sylfaen" w:hAnsi="Sylfaen"/>
          <w:sz w:val="24"/>
          <w:szCs w:val="24"/>
        </w:rPr>
        <w:t xml:space="preserve"> մարդու մոտ պատրաստուկի առաջարկվող առավելագույն դեղաչափի էքսպոզիցիայի (էքսպոզիցիայի վերին շեմի) միջ</w:t>
      </w:r>
      <w:r w:rsidR="00C54D75">
        <w:rPr>
          <w:rFonts w:ascii="Sylfaen" w:hAnsi="Sylfaen"/>
          <w:sz w:val="24"/>
          <w:szCs w:val="24"/>
        </w:rPr>
        <w:t>և</w:t>
      </w:r>
      <w:r w:rsidRPr="004B393A">
        <w:rPr>
          <w:rFonts w:ascii="Sylfaen" w:hAnsi="Sylfaen"/>
          <w:sz w:val="24"/>
          <w:szCs w:val="24"/>
        </w:rPr>
        <w:t xml:space="preserve"> փոխադարձ կապը:</w:t>
      </w:r>
    </w:p>
    <w:p w14:paraId="66847F58"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բաժնում նա</w:t>
      </w:r>
      <w:r w:rsidR="00C54D75">
        <w:rPr>
          <w:rFonts w:ascii="Sylfaen" w:hAnsi="Sylfaen"/>
          <w:sz w:val="24"/>
          <w:szCs w:val="24"/>
        </w:rPr>
        <w:t>և</w:t>
      </w:r>
      <w:r w:rsidRPr="004B393A">
        <w:rPr>
          <w:rFonts w:ascii="Sylfaen" w:hAnsi="Sylfaen"/>
          <w:sz w:val="24"/>
          <w:szCs w:val="24"/>
        </w:rPr>
        <w:t xml:space="preserve"> անհրաժեշտ է ներառել տվյալներ այն մասին՝ արդյոք վերականգնման խմբում ռեակցիաների դարձելիություն հայտնաբերվել է, թե՝ ոչ:</w:t>
      </w:r>
    </w:p>
    <w:p w14:paraId="041636ED"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Հարկ է մեկնաբանել տոքսիկոկինետիկ պարամետրերի (գծայնութուն, կախվածություն սեռից, կուտակում) մասին տեղեկությունները:</w:t>
      </w:r>
    </w:p>
    <w:p w14:paraId="6345E169"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Նշված թեստերում ներկայացված տեղեկությունների զգալի ծավալի ընկալումը հեշտացնելու համար խորհուրդ է տրվում գործածել աղյուսակներ կամ նկարներ:</w:t>
      </w:r>
    </w:p>
    <w:p w14:paraId="0AE565A5"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Անհրաժեշտ է նշել հետազոտությունների գլխավոր արդյունքները, հակիրճ նկարագրել պատրաստուկի ազդեցության մեխանիզմն ու դեղապատրաստուկի կլինիկական կիրառության համար էքսպոզիցիայի վերին շեմը:</w:t>
      </w:r>
    </w:p>
    <w:p w14:paraId="1D791F05"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Կենսահամանման (կենսանման) պատրաստուկների համար, որպես կանոն, անցկացվում է տոքսիկության միայն մեկ հետազոտություն բազմակի ներմուծման դեպքում, ներառյալ՝ տոքսիկոկինետիկ պարամետրերի ուսումնասիրությունը: Տոքսիկոկինետիկ տվյալներն իրենց մեջ պարունակում են հակամարմինների տիտրերի, խաչաձ</w:t>
      </w:r>
      <w:r w:rsidR="00C54D75">
        <w:rPr>
          <w:rFonts w:ascii="Sylfaen" w:hAnsi="Sylfaen"/>
          <w:sz w:val="24"/>
          <w:szCs w:val="24"/>
        </w:rPr>
        <w:t>և</w:t>
      </w:r>
      <w:r w:rsidRPr="004B393A">
        <w:rPr>
          <w:rFonts w:ascii="Sylfaen" w:hAnsi="Sylfaen"/>
          <w:sz w:val="24"/>
          <w:szCs w:val="24"/>
        </w:rPr>
        <w:t xml:space="preserve"> ռեակտիվության </w:t>
      </w:r>
      <w:r w:rsidR="00C54D75">
        <w:rPr>
          <w:rFonts w:ascii="Sylfaen" w:hAnsi="Sylfaen"/>
          <w:sz w:val="24"/>
          <w:szCs w:val="24"/>
        </w:rPr>
        <w:t>և</w:t>
      </w:r>
      <w:r w:rsidRPr="004B393A">
        <w:rPr>
          <w:rFonts w:ascii="Sylfaen" w:hAnsi="Sylfaen"/>
          <w:sz w:val="24"/>
          <w:szCs w:val="24"/>
        </w:rPr>
        <w:t xml:space="preserve"> չեզոքացնող ունակության սահմանում:</w:t>
      </w:r>
    </w:p>
    <w:p w14:paraId="4AA7BF82"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 xml:space="preserve">Նշված հետազոտությունները թույլ են տալիս որոշել կենսահամանման </w:t>
      </w:r>
      <w:r w:rsidR="00C54D75">
        <w:rPr>
          <w:rFonts w:ascii="Sylfaen" w:hAnsi="Sylfaen"/>
          <w:sz w:val="24"/>
          <w:szCs w:val="24"/>
        </w:rPr>
        <w:t>և</w:t>
      </w:r>
      <w:r w:rsidRPr="004B393A">
        <w:rPr>
          <w:rFonts w:ascii="Sylfaen" w:hAnsi="Sylfaen"/>
          <w:sz w:val="24"/>
          <w:szCs w:val="24"/>
        </w:rPr>
        <w:t xml:space="preserve"> ռեֆերենտ պատրաստուկի միջ</w:t>
      </w:r>
      <w:r w:rsidR="00C54D75">
        <w:rPr>
          <w:rFonts w:ascii="Sylfaen" w:hAnsi="Sylfaen"/>
          <w:sz w:val="24"/>
          <w:szCs w:val="24"/>
        </w:rPr>
        <w:t>և</w:t>
      </w:r>
      <w:r w:rsidRPr="004B393A">
        <w:rPr>
          <w:rFonts w:ascii="Sylfaen" w:hAnsi="Sylfaen"/>
          <w:sz w:val="24"/>
          <w:szCs w:val="24"/>
        </w:rPr>
        <w:t xml:space="preserve"> թունավոր </w:t>
      </w:r>
      <w:r w:rsidR="00C54D75">
        <w:rPr>
          <w:rFonts w:ascii="Sylfaen" w:hAnsi="Sylfaen"/>
          <w:sz w:val="24"/>
          <w:szCs w:val="24"/>
        </w:rPr>
        <w:t>և</w:t>
      </w:r>
      <w:r w:rsidRPr="004B393A">
        <w:rPr>
          <w:rFonts w:ascii="Sylfaen" w:hAnsi="Sylfaen"/>
          <w:sz w:val="24"/>
          <w:szCs w:val="24"/>
        </w:rPr>
        <w:t xml:space="preserve"> (կամ) իմունային պատասխանների նշանակալի տարբերությունները:</w:t>
      </w:r>
    </w:p>
    <w:p w14:paraId="206ABD0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Որպես կանոն, կենսահամանման (կենսանման) պատրաստուկների համար չի պահանջնում անցկացնել այլ ստանդարտ թունաբանական հետազոտություններ, ներառյալ՝ վերարտադրողական թունավորության, մուտագեն </w:t>
      </w:r>
      <w:r w:rsidR="00C54D75">
        <w:rPr>
          <w:rFonts w:ascii="Sylfaen" w:hAnsi="Sylfaen"/>
          <w:sz w:val="24"/>
          <w:szCs w:val="24"/>
        </w:rPr>
        <w:t>և</w:t>
      </w:r>
      <w:r w:rsidRPr="004B393A">
        <w:rPr>
          <w:rFonts w:ascii="Sylfaen" w:hAnsi="Sylfaen"/>
          <w:sz w:val="24"/>
          <w:szCs w:val="24"/>
        </w:rPr>
        <w:t xml:space="preserve"> քաղցկեղածին ազդեցության հետազոտությունները՝ բացառությամբ դեպքերի, երբ բազմակի ներմուծման դեպքում իրականացված թունավորության հետազոտության արդյունքներից ելնելով՝ առաջանում է այդպիսի հետազոտությունների անցկացման անհրաժեշտություն:</w:t>
      </w:r>
    </w:p>
    <w:p w14:paraId="39E1ED50"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Տոքսիկոկինետիկա</w:t>
      </w:r>
    </w:p>
    <w:p w14:paraId="2B59EC02" w14:textId="77777777" w:rsidR="008C76E0" w:rsidRPr="004B393A" w:rsidRDefault="008C76E0" w:rsidP="00CE376C">
      <w:pPr>
        <w:spacing w:after="160" w:line="336" w:lineRule="auto"/>
        <w:ind w:right="-1" w:firstLine="567"/>
        <w:jc w:val="both"/>
        <w:rPr>
          <w:rFonts w:ascii="Sylfaen" w:hAnsi="Sylfaen"/>
          <w:sz w:val="24"/>
          <w:szCs w:val="24"/>
        </w:rPr>
      </w:pPr>
      <w:r w:rsidRPr="004B393A">
        <w:rPr>
          <w:rFonts w:ascii="Sylfaen" w:hAnsi="Sylfaen"/>
          <w:sz w:val="24"/>
          <w:szCs w:val="24"/>
        </w:rPr>
        <w:t>Սույն բաժնում պետք է նշված լինեն նա</w:t>
      </w:r>
      <w:r w:rsidR="00C54D75">
        <w:rPr>
          <w:rFonts w:ascii="Sylfaen" w:hAnsi="Sylfaen"/>
          <w:sz w:val="24"/>
          <w:szCs w:val="24"/>
        </w:rPr>
        <w:t>և</w:t>
      </w:r>
      <w:r w:rsidRPr="004B393A">
        <w:rPr>
          <w:rFonts w:ascii="Sylfaen" w:hAnsi="Sylfaen"/>
          <w:sz w:val="24"/>
          <w:szCs w:val="24"/>
        </w:rPr>
        <w:t xml:space="preserve"> կինետիկայի վերաբերյալ տվյալներ, որոնք ստացվել են հսկվող խմբի կենդանիների մոտ պլազմայի նմուշների վերլուծության հիման վրա:</w:t>
      </w:r>
    </w:p>
    <w:p w14:paraId="33BFC951" w14:textId="77777777" w:rsidR="008C76E0" w:rsidRPr="004B393A" w:rsidRDefault="008C76E0" w:rsidP="00CE376C">
      <w:pPr>
        <w:tabs>
          <w:tab w:val="left" w:pos="1134"/>
        </w:tabs>
        <w:spacing w:after="160" w:line="336" w:lineRule="auto"/>
        <w:ind w:right="-1" w:firstLine="567"/>
        <w:jc w:val="both"/>
        <w:rPr>
          <w:rFonts w:ascii="Sylfaen" w:hAnsi="Sylfaen"/>
          <w:sz w:val="24"/>
          <w:szCs w:val="24"/>
        </w:rPr>
      </w:pPr>
      <w:r w:rsidRPr="004B393A">
        <w:rPr>
          <w:rFonts w:ascii="Sylfaen" w:hAnsi="Sylfaen"/>
          <w:sz w:val="24"/>
          <w:szCs w:val="24"/>
        </w:rPr>
        <w:t>4.3.</w:t>
      </w:r>
      <w:r w:rsidRPr="004B393A">
        <w:rPr>
          <w:rFonts w:ascii="Sylfaen" w:hAnsi="Sylfaen"/>
          <w:sz w:val="24"/>
          <w:szCs w:val="24"/>
        </w:rPr>
        <w:tab/>
        <w:t>Գենոտոքսիկությունը։</w:t>
      </w:r>
    </w:p>
    <w:p w14:paraId="5F9AF1EE" w14:textId="77777777" w:rsidR="008C76E0" w:rsidRPr="004B393A" w:rsidRDefault="008C76E0" w:rsidP="00CE376C">
      <w:pPr>
        <w:spacing w:after="160" w:line="336" w:lineRule="auto"/>
        <w:ind w:right="-1" w:firstLine="567"/>
        <w:jc w:val="both"/>
        <w:rPr>
          <w:rFonts w:ascii="Sylfaen" w:hAnsi="Sylfaen"/>
          <w:sz w:val="24"/>
          <w:szCs w:val="24"/>
        </w:rPr>
      </w:pPr>
      <w:r w:rsidRPr="004B393A">
        <w:rPr>
          <w:rFonts w:ascii="Sylfaen" w:hAnsi="Sylfaen"/>
          <w:sz w:val="24"/>
          <w:szCs w:val="24"/>
        </w:rPr>
        <w:t>Անհրաժեշտ է հակիրճ նկարագրել անցկացված բոլոր հետազոտությունները:</w:t>
      </w:r>
    </w:p>
    <w:p w14:paraId="56401891"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 xml:space="preserve">Անհրաժեշտ է իրականացնել անցկացված թեստերի խմբավորում՝ համաձայն գենոտոքսիկության մակարդակի, այսինքն՝ մուտագեն ազդեցությանը (գեների մուտացիայի ինդուկցիային), in vitro քրոմոսոմային աբերացիաներին (կլաստոգենությանը), in vivo քրոմոսոմային աբերացիաներին (կլաստոգենությանը), ԴՆԹ-ի առաջնային վնասմանը </w:t>
      </w:r>
      <w:r w:rsidR="00C54D75">
        <w:rPr>
          <w:rFonts w:ascii="Sylfaen" w:hAnsi="Sylfaen"/>
          <w:sz w:val="24"/>
          <w:szCs w:val="24"/>
        </w:rPr>
        <w:t>և</w:t>
      </w:r>
      <w:r w:rsidRPr="004B393A">
        <w:rPr>
          <w:rFonts w:ascii="Sylfaen" w:hAnsi="Sylfaen"/>
          <w:sz w:val="24"/>
          <w:szCs w:val="24"/>
        </w:rPr>
        <w:t xml:space="preserve"> գենոտոքսիկ այլ էֆեկտներին համապատասխան:</w:t>
      </w:r>
    </w:p>
    <w:p w14:paraId="73FB5C19" w14:textId="77777777" w:rsidR="008C76E0" w:rsidRPr="004B393A" w:rsidRDefault="008C76E0" w:rsidP="00CE376C">
      <w:pPr>
        <w:spacing w:after="160" w:line="336" w:lineRule="auto"/>
        <w:ind w:firstLine="567"/>
        <w:jc w:val="both"/>
        <w:rPr>
          <w:rFonts w:ascii="Sylfaen" w:hAnsi="Sylfaen"/>
          <w:sz w:val="24"/>
          <w:szCs w:val="24"/>
        </w:rPr>
      </w:pPr>
      <w:r w:rsidRPr="004B393A">
        <w:rPr>
          <w:rFonts w:ascii="Sylfaen" w:hAnsi="Sylfaen"/>
          <w:sz w:val="24"/>
          <w:szCs w:val="24"/>
        </w:rPr>
        <w:t>Խորհուրդ է տրվում հետազոտությունների արդյունքները ներկայացնել աղյուսակային տեսքով (ինչպես ցույց է տրված Գրանցման կանոնների թիվ 6 հավելվածի սույն բաժնի աղյուսակի օրինակում)՝ տեքստային մեկնաբանությունների ավելացմամբ (ըստ անհրաժեշտության):</w:t>
      </w:r>
    </w:p>
    <w:p w14:paraId="0D091AB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Եթե in vitro փորձարկումները նշանակալի արդյունքներ չեն տվել, ապա միայն աղյուսակային տվյալներ ներկայացնելը բավարար է:</w:t>
      </w:r>
    </w:p>
    <w:p w14:paraId="31531DEC"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lastRenderedPageBreak/>
        <w:t xml:space="preserve">Սույն բաժնում անհրաժեշտ է դիտարկել in vivo թեստերում օգտագործված կենդանիների տեսակների պիտանիության հարցը </w:t>
      </w:r>
      <w:r w:rsidR="00C54D75">
        <w:rPr>
          <w:rFonts w:ascii="Sylfaen" w:hAnsi="Sylfaen"/>
          <w:sz w:val="24"/>
          <w:szCs w:val="24"/>
        </w:rPr>
        <w:t>և</w:t>
      </w:r>
      <w:r w:rsidRPr="004B393A">
        <w:rPr>
          <w:rFonts w:ascii="Sylfaen" w:hAnsi="Sylfaen"/>
          <w:sz w:val="24"/>
          <w:szCs w:val="24"/>
        </w:rPr>
        <w:t xml:space="preserve"> այն համակարգերը, որոնք կիրառվում են in vitro փորձարկումներում նյութափոխանակության (օրինակ՝ S9-ֆրակցիայի) ուսումնասիրության համար՝ անցկացնելով դրանց համեմատություն մարդու մոտ նյութափոխանակության ուղիների հետ: </w:t>
      </w:r>
    </w:p>
    <w:p w14:paraId="5CAFC418"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In vivo թեստերի համար միշտ անհրաժեշտ է նշել տեղեկություններ՝ էքսպոզիցիայի մակարդակի վերաբերյալ:</w:t>
      </w:r>
    </w:p>
    <w:p w14:paraId="5E02B2FF"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Հարցերը, որոնց հարկ է անդրադառնալ գենոտոքսիկության փորձարկումները գնահատելիս, իրենց մեջ ներառում են՝</w:t>
      </w:r>
    </w:p>
    <w:p w14:paraId="2899B828"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ա)</w:t>
      </w:r>
      <w:r w:rsidRPr="004B393A">
        <w:rPr>
          <w:rFonts w:ascii="Sylfaen" w:hAnsi="Sylfaen"/>
          <w:sz w:val="24"/>
          <w:szCs w:val="24"/>
        </w:rPr>
        <w:tab/>
        <w:t>in vitro փորձարկումների դեպքում՝</w:t>
      </w:r>
    </w:p>
    <w:p w14:paraId="2C3A9001"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ի՞նչ շտամներ (բջիջներ) են օգտագործվել </w:t>
      </w:r>
      <w:r w:rsidR="00C54D75">
        <w:rPr>
          <w:rFonts w:ascii="Sylfaen" w:hAnsi="Sylfaen"/>
          <w:sz w:val="24"/>
          <w:szCs w:val="24"/>
        </w:rPr>
        <w:t>և</w:t>
      </w:r>
      <w:r w:rsidRPr="004B393A">
        <w:rPr>
          <w:rFonts w:ascii="Sylfaen" w:hAnsi="Sylfaen"/>
          <w:sz w:val="24"/>
          <w:szCs w:val="24"/>
        </w:rPr>
        <w:t xml:space="preserve"> վերջնական կետերը. կիրառվող խտությունների ընտրությունը.</w:t>
      </w:r>
    </w:p>
    <w:p w14:paraId="5DB3360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կայունությունը միջավայրում (խտության (քայքայման արգասիքների) հսկողությունը).</w:t>
      </w:r>
    </w:p>
    <w:p w14:paraId="3F2D79B3"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նյութափոխանակության ընթացքում փոխակերպվող համակարգը, դրական </w:t>
      </w:r>
      <w:r w:rsidR="00C54D75">
        <w:rPr>
          <w:rFonts w:ascii="Sylfaen" w:hAnsi="Sylfaen"/>
          <w:sz w:val="24"/>
          <w:szCs w:val="24"/>
        </w:rPr>
        <w:t>և</w:t>
      </w:r>
      <w:r w:rsidRPr="004B393A">
        <w:rPr>
          <w:rFonts w:ascii="Sylfaen" w:hAnsi="Sylfaen"/>
          <w:sz w:val="24"/>
          <w:szCs w:val="24"/>
        </w:rPr>
        <w:t xml:space="preserve"> բացասական հսկողությունը, թերապիայի տ</w:t>
      </w:r>
      <w:r w:rsidR="00C54D75">
        <w:rPr>
          <w:rFonts w:ascii="Sylfaen" w:hAnsi="Sylfaen"/>
          <w:sz w:val="24"/>
          <w:szCs w:val="24"/>
        </w:rPr>
        <w:t>և</w:t>
      </w:r>
      <w:r w:rsidRPr="004B393A">
        <w:rPr>
          <w:rFonts w:ascii="Sylfaen" w:hAnsi="Sylfaen"/>
          <w:sz w:val="24"/>
          <w:szCs w:val="24"/>
        </w:rPr>
        <w:t>ողությունը (նմուշառման ժամանակը), դրական պատասխանի չափանիշները, խտություն-պատասխան փոխադարձ կապը, վերարտադրողականությունը.</w:t>
      </w:r>
    </w:p>
    <w:p w14:paraId="4EA28DD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բջիջների ցիտոտոկսիկությունը (կենսակայունությունը).</w:t>
      </w:r>
    </w:p>
    <w:p w14:paraId="4D2915DA"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բ)</w:t>
      </w:r>
      <w:r w:rsidRPr="004B393A">
        <w:rPr>
          <w:rFonts w:ascii="Sylfaen" w:hAnsi="Sylfaen"/>
          <w:sz w:val="24"/>
          <w:szCs w:val="24"/>
        </w:rPr>
        <w:tab/>
        <w:t>in vivo փորձարկումների դեպքում՝</w:t>
      </w:r>
    </w:p>
    <w:p w14:paraId="3C38195F"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ի՞նչ շտամներ (կենդանիների տեսակներ, մոդելներ) են օգտագործվել, կենդանիների քանակն ու սեռը, դեղաչափերն ու էքսպոզիցիան.</w:t>
      </w:r>
    </w:p>
    <w:p w14:paraId="4F322EC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թունավորությամբ կամ կինետիկ պարամետրերով որոշված էքսպոզիցիան.</w:t>
      </w:r>
    </w:p>
    <w:p w14:paraId="533A276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կենդանիների </w:t>
      </w:r>
      <w:r w:rsidR="00C54D75">
        <w:rPr>
          <w:rFonts w:ascii="Sylfaen" w:hAnsi="Sylfaen"/>
          <w:sz w:val="24"/>
          <w:szCs w:val="24"/>
        </w:rPr>
        <w:t>և</w:t>
      </w:r>
      <w:r w:rsidRPr="004B393A">
        <w:rPr>
          <w:rFonts w:ascii="Sylfaen" w:hAnsi="Sylfaen"/>
          <w:sz w:val="24"/>
          <w:szCs w:val="24"/>
        </w:rPr>
        <w:t xml:space="preserve"> մարդու նյութափոխանակության տարբերությունները. </w:t>
      </w:r>
    </w:p>
    <w:p w14:paraId="79070F81"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թերապիայի տ</w:t>
      </w:r>
      <w:r w:rsidR="00C54D75">
        <w:rPr>
          <w:rFonts w:ascii="Sylfaen" w:hAnsi="Sylfaen"/>
          <w:sz w:val="24"/>
          <w:szCs w:val="24"/>
        </w:rPr>
        <w:t>և</w:t>
      </w:r>
      <w:r w:rsidRPr="004B393A">
        <w:rPr>
          <w:rFonts w:ascii="Sylfaen" w:hAnsi="Sylfaen"/>
          <w:sz w:val="24"/>
          <w:szCs w:val="24"/>
        </w:rPr>
        <w:t>ողությունը (նմուշառման ժամանակը).</w:t>
      </w:r>
    </w:p>
    <w:p w14:paraId="1EEACDB0"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գնահատման մասով հայտատուի կողմից առաջարկվող չափանիշները՝ որպես դրական պատասխան.</w:t>
      </w:r>
    </w:p>
    <w:p w14:paraId="30E19C4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դեղաչափ-ժամանակ-պատասխան կախվածությունը:</w:t>
      </w:r>
    </w:p>
    <w:p w14:paraId="5A35F4C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Գենոտոքսիկության թեստերի հավաքածուն հակիրճ նկարագրելու համար օգտագործվող ձ</w:t>
      </w:r>
      <w:r w:rsidR="00C54D75">
        <w:rPr>
          <w:rFonts w:ascii="Sylfaen" w:hAnsi="Sylfaen"/>
          <w:sz w:val="24"/>
          <w:szCs w:val="24"/>
        </w:rPr>
        <w:t>և</w:t>
      </w:r>
      <w:r w:rsidRPr="004B393A">
        <w:rPr>
          <w:rFonts w:ascii="Sylfaen" w:hAnsi="Sylfaen"/>
          <w:sz w:val="24"/>
          <w:szCs w:val="24"/>
        </w:rPr>
        <w:t>ակերպման օրինակը՝</w:t>
      </w:r>
    </w:p>
    <w:p w14:paraId="62FBBEEB"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«&lt;Х&gt; պատրաստուկի գենոտոքսիկության հետազոտությունն անց է կացվել բակտերիաների մոտ </w:t>
      </w:r>
      <w:r w:rsidR="00C54D75">
        <w:rPr>
          <w:rFonts w:ascii="Sylfaen" w:hAnsi="Sylfaen"/>
          <w:sz w:val="24"/>
          <w:szCs w:val="24"/>
        </w:rPr>
        <w:t>և</w:t>
      </w:r>
      <w:r w:rsidRPr="004B393A">
        <w:rPr>
          <w:rFonts w:ascii="Sylfaen" w:hAnsi="Sylfaen"/>
          <w:sz w:val="24"/>
          <w:szCs w:val="24"/>
        </w:rPr>
        <w:t xml:space="preserve"> կաթնասունների բջիջներում գենային մուտացիաները, ինչպես նա</w:t>
      </w:r>
      <w:r w:rsidR="00C54D75">
        <w:rPr>
          <w:rFonts w:ascii="Sylfaen" w:hAnsi="Sylfaen"/>
          <w:sz w:val="24"/>
          <w:szCs w:val="24"/>
        </w:rPr>
        <w:t>և</w:t>
      </w:r>
      <w:r w:rsidRPr="004B393A">
        <w:rPr>
          <w:rFonts w:ascii="Sylfaen" w:hAnsi="Sylfaen"/>
          <w:sz w:val="24"/>
          <w:szCs w:val="24"/>
        </w:rPr>
        <w:t xml:space="preserve"> in vitro </w:t>
      </w:r>
      <w:r w:rsidR="00C54D75">
        <w:rPr>
          <w:rFonts w:ascii="Sylfaen" w:hAnsi="Sylfaen"/>
          <w:sz w:val="24"/>
          <w:szCs w:val="24"/>
        </w:rPr>
        <w:t>և</w:t>
      </w:r>
      <w:r w:rsidRPr="004B393A">
        <w:rPr>
          <w:rFonts w:ascii="Sylfaen" w:hAnsi="Sylfaen"/>
          <w:sz w:val="24"/>
          <w:szCs w:val="24"/>
        </w:rPr>
        <w:t xml:space="preserve"> in vivo քրոմոսոմային աբերացիաներն ուսումնասիրելու եղանակով: Լրացուցիչ անց են կացվել ԴՆԹ-ի առաջնային վնասման </w:t>
      </w:r>
      <w:r w:rsidR="00C54D75">
        <w:rPr>
          <w:rFonts w:ascii="Sylfaen" w:hAnsi="Sylfaen"/>
          <w:sz w:val="24"/>
          <w:szCs w:val="24"/>
        </w:rPr>
        <w:t>և</w:t>
      </w:r>
      <w:r w:rsidRPr="004B393A">
        <w:rPr>
          <w:rFonts w:ascii="Sylfaen" w:hAnsi="Sylfaen"/>
          <w:sz w:val="24"/>
          <w:szCs w:val="24"/>
        </w:rPr>
        <w:t xml:space="preserve"> ուռուցքային բջիջների գոյացման in vitro թեստեր»:</w:t>
      </w:r>
    </w:p>
    <w:p w14:paraId="6ED834A8"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Փորձագիտական ամփոփագրի սույն բաժնում վերլուծության ենթակա ասպեկտներն են՝</w:t>
      </w:r>
    </w:p>
    <w:p w14:paraId="7768F176"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in vitro կամ in vivo թեստերի դրական արդյունքները, </w:t>
      </w:r>
    </w:p>
    <w:p w14:paraId="10043362"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ազդեցության մեխանիզմի նկարագրությունը՝ մուտագեն կամ կլաստոգեն.</w:t>
      </w:r>
    </w:p>
    <w:p w14:paraId="0C33DF4B"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հնարավո՞ր է արդյոք շեմային արժեքների որոշմամբ մոտեցման կիրառումը, </w:t>
      </w:r>
      <w:r w:rsidR="00C54D75">
        <w:rPr>
          <w:rFonts w:ascii="Sylfaen" w:hAnsi="Sylfaen"/>
          <w:sz w:val="24"/>
          <w:szCs w:val="24"/>
        </w:rPr>
        <w:t>և</w:t>
      </w:r>
      <w:r w:rsidRPr="004B393A">
        <w:rPr>
          <w:rFonts w:ascii="Sylfaen" w:hAnsi="Sylfaen"/>
          <w:sz w:val="24"/>
          <w:szCs w:val="24"/>
        </w:rPr>
        <w:t xml:space="preserve"> եթե նման մոտեցումը հնարավոր է, ապա որո՞նք են անվտանգ ներգործության սահմանները՝ հաշվի առնելով պատրաստուկի խտությունը պլազմայում (մարդու մոտ էքսպոզիցիան).</w:t>
      </w:r>
    </w:p>
    <w:p w14:paraId="3D09E590"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եզրակացություն՝ գենոտոքսիկ պոտենցիալի վերաբերյալ:</w:t>
      </w:r>
    </w:p>
    <w:p w14:paraId="3FB88A52"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4.4.</w:t>
      </w:r>
      <w:r w:rsidRPr="004B393A">
        <w:rPr>
          <w:rFonts w:ascii="Sylfaen" w:hAnsi="Sylfaen"/>
          <w:sz w:val="24"/>
          <w:szCs w:val="24"/>
        </w:rPr>
        <w:tab/>
        <w:t>Քաղցկեղածին ազդեցությունը:</w:t>
      </w:r>
    </w:p>
    <w:p w14:paraId="259F50CB"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4.4.1.</w:t>
      </w:r>
      <w:r w:rsidRPr="004B393A">
        <w:rPr>
          <w:rFonts w:ascii="Sylfaen" w:hAnsi="Sylfaen"/>
          <w:sz w:val="24"/>
          <w:szCs w:val="24"/>
        </w:rPr>
        <w:tab/>
        <w:t>Երկարաժամկետ հետազոտություններ:</w:t>
      </w:r>
    </w:p>
    <w:p w14:paraId="6BEB4FE3"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Հարկ է ներկայացնել անցկացված հետազոտությունների հակիրճ նկարագրությունը, նախընտրելի է դա անել աղյուսակի տեսքով, համապատասխան ենթավերնագրի ներքո (օրինակ՝ երկարաժամկետ հետազոտություններ, կարճաժամկետ հետազոտություններ </w:t>
      </w:r>
      <w:r w:rsidR="00C54D75">
        <w:rPr>
          <w:rFonts w:ascii="Sylfaen" w:hAnsi="Sylfaen"/>
          <w:sz w:val="24"/>
          <w:szCs w:val="24"/>
        </w:rPr>
        <w:t>և</w:t>
      </w:r>
      <w:r w:rsidRPr="004B393A">
        <w:rPr>
          <w:rFonts w:ascii="Sylfaen" w:hAnsi="Sylfaen"/>
          <w:sz w:val="24"/>
          <w:szCs w:val="24"/>
        </w:rPr>
        <w:t xml:space="preserve"> այլն, ինչպես նշված է Գրանցման կանոնների թիվ 6 հավելվածի սույն բաժնի աղյուսակի օրինակում):</w:t>
      </w:r>
    </w:p>
    <w:p w14:paraId="3D64B6FE"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 xml:space="preserve">Եթե պատրաստուկի քաղցկեղածին ազդեցության հետազոտություն չի անցկացվել, ապա անհրաժեշտ է անցկացնել հայտատուի՝ այդպիսի հետազոտությունների կատարված չլինելու առնչությամբ հիմնավորման վերլուծություն: </w:t>
      </w:r>
    </w:p>
    <w:p w14:paraId="5BCD0E1B"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Հարկ է հակիրճ անդրադառնալ հետազոտությունների արդյունքներին, ներառյալ՝ նեոպլաստիկ փոփոխությունների </w:t>
      </w:r>
      <w:r w:rsidR="00C54D75">
        <w:rPr>
          <w:rFonts w:ascii="Sylfaen" w:hAnsi="Sylfaen"/>
          <w:sz w:val="24"/>
          <w:szCs w:val="24"/>
        </w:rPr>
        <w:t>և</w:t>
      </w:r>
      <w:r w:rsidRPr="004B393A">
        <w:rPr>
          <w:rFonts w:ascii="Sylfaen" w:hAnsi="Sylfaen"/>
          <w:sz w:val="24"/>
          <w:szCs w:val="24"/>
        </w:rPr>
        <w:t xml:space="preserve"> անհրաժեշտության դեպքում՝ նեոպլաստիկ փոփոխություններին չվերաբերող նշանակալի փոփոխությունների վերաբերյալ տվյալները: Ոչ նեոպլաստիկ փոփոխությունների նկարագրությունը պետք է ուղեկցվի բազմակի ներմուծման դեպքում թունավորության հետազոտությունների ընթացքում տեղի ունեցած հսկողությանն արված հղումներով: Խորհուրդ է տրվում արդյունքները ներկայացնել աղյուսակի տեսքով (ինչպես նշված է Գրանցման կանոնների թիվ 6 հավելվածի սույն բաժնի աղյուսակի օրինակում):</w:t>
      </w:r>
    </w:p>
    <w:p w14:paraId="64A307DC" w14:textId="77777777" w:rsidR="008C76E0" w:rsidRPr="004B393A" w:rsidRDefault="008C76E0" w:rsidP="000452CC">
      <w:pPr>
        <w:spacing w:after="160" w:line="384" w:lineRule="auto"/>
        <w:ind w:firstLine="567"/>
        <w:jc w:val="both"/>
        <w:rPr>
          <w:rFonts w:ascii="Sylfaen" w:hAnsi="Sylfaen"/>
          <w:sz w:val="24"/>
          <w:szCs w:val="24"/>
        </w:rPr>
      </w:pPr>
      <w:r w:rsidRPr="004B393A">
        <w:rPr>
          <w:rFonts w:ascii="Sylfaen" w:hAnsi="Sylfaen"/>
          <w:sz w:val="24"/>
          <w:szCs w:val="24"/>
        </w:rPr>
        <w:t>Սույն բաժնում մանրամասնեցում պահանջող ասպեկտները՝ կենդանիների տոհմաբանական գիծն ու սեռը, խմբերի (հսկվող խմբերի) թիվը, կենդանիների թիվը յուրաքանչյուր խմբում, պատրաստուկի ներմուծման ուղին, ներմուծման (էքսպոզիցիայի) տ</w:t>
      </w:r>
      <w:r w:rsidR="00C54D75">
        <w:rPr>
          <w:rFonts w:ascii="Sylfaen" w:hAnsi="Sylfaen"/>
          <w:sz w:val="24"/>
          <w:szCs w:val="24"/>
        </w:rPr>
        <w:t>և</w:t>
      </w:r>
      <w:r w:rsidRPr="004B393A">
        <w:rPr>
          <w:rFonts w:ascii="Sylfaen" w:hAnsi="Sylfaen"/>
          <w:sz w:val="24"/>
          <w:szCs w:val="24"/>
        </w:rPr>
        <w:t>ողությունը, ընդհանուր զարգացումը (մարմնի քաշը հավաքելը, սննդի գործածումը), կենսակայունության մակարդակը հետազոտության ավարտին, տոքսիկոկինետիկ պարամետրերը (աղյուսակի տեսքով ՝ նմուշառման օրը, AUC): Ստուգիչ նմուշներ վերցնելը.</w:t>
      </w:r>
    </w:p>
    <w:p w14:paraId="5D716BE5" w14:textId="77777777" w:rsidR="008C76E0" w:rsidRPr="004B393A" w:rsidRDefault="008C76E0" w:rsidP="000452CC">
      <w:pPr>
        <w:spacing w:after="160" w:line="384" w:lineRule="auto"/>
        <w:ind w:firstLine="567"/>
        <w:jc w:val="both"/>
        <w:rPr>
          <w:rFonts w:ascii="Sylfaen" w:hAnsi="Sylfaen"/>
          <w:sz w:val="24"/>
          <w:szCs w:val="24"/>
        </w:rPr>
      </w:pPr>
      <w:r w:rsidRPr="004B393A">
        <w:rPr>
          <w:rFonts w:ascii="Sylfaen" w:hAnsi="Sylfaen"/>
          <w:sz w:val="24"/>
          <w:szCs w:val="24"/>
        </w:rPr>
        <w:t>օրգանները, որոնցում ուռուցքային բջիջներ են հայտնաբերվել, տիպը (բարորակ կամ չարորակ), տարածվածության աստիճանը, նախաուռուցքային վիճակները, ուռուցքների տիպերի նկարագրությունը, օգտագործված վիճակագրական մեթոդները.</w:t>
      </w:r>
    </w:p>
    <w:p w14:paraId="63451C6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թունավոր ռեակցիաները, որոնք չեն նկատվել ավելի կարճ տ</w:t>
      </w:r>
      <w:r w:rsidR="00C54D75">
        <w:rPr>
          <w:rFonts w:ascii="Sylfaen" w:hAnsi="Sylfaen"/>
          <w:sz w:val="24"/>
          <w:szCs w:val="24"/>
        </w:rPr>
        <w:t>և</w:t>
      </w:r>
      <w:r w:rsidRPr="004B393A">
        <w:rPr>
          <w:rFonts w:ascii="Sylfaen" w:hAnsi="Sylfaen"/>
          <w:sz w:val="24"/>
          <w:szCs w:val="24"/>
        </w:rPr>
        <w:t>ողությամբ հետազոտությունների ընթացքում:</w:t>
      </w:r>
    </w:p>
    <w:p w14:paraId="6D5EE6E4"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4.4.2.</w:t>
      </w:r>
      <w:r w:rsidRPr="004B393A">
        <w:rPr>
          <w:rFonts w:ascii="Sylfaen" w:hAnsi="Sylfaen"/>
          <w:sz w:val="24"/>
          <w:szCs w:val="24"/>
        </w:rPr>
        <w:tab/>
        <w:t xml:space="preserve">Կարճաժամկետ </w:t>
      </w:r>
      <w:r w:rsidR="00C54D75">
        <w:rPr>
          <w:rFonts w:ascii="Sylfaen" w:hAnsi="Sylfaen"/>
          <w:sz w:val="24"/>
          <w:szCs w:val="24"/>
        </w:rPr>
        <w:t>և</w:t>
      </w:r>
      <w:r w:rsidRPr="004B393A">
        <w:rPr>
          <w:rFonts w:ascii="Sylfaen" w:hAnsi="Sylfaen"/>
          <w:sz w:val="24"/>
          <w:szCs w:val="24"/>
        </w:rPr>
        <w:t xml:space="preserve"> միջնաժամկետ հետազոտություններ:</w:t>
      </w:r>
    </w:p>
    <w:p w14:paraId="6CCCAC5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lastRenderedPageBreak/>
        <w:t>Հարկ է նկարագրել նոր (ոչ դասական) մոդելներ՝</w:t>
      </w:r>
    </w:p>
    <w:p w14:paraId="02FD6F97"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մոդելի տեսակն ու դրա օգտագործման հիմնավորումը.</w:t>
      </w:r>
    </w:p>
    <w:p w14:paraId="4FAE9473"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արդյո՞ք գենոտոքսիկությունը հետազոտության առարկա է.</w:t>
      </w:r>
    </w:p>
    <w:p w14:paraId="7781DA2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կենդանիների քանակն ու (էքսպոզիցիայի) ներմուծման տ</w:t>
      </w:r>
      <w:r w:rsidR="00C54D75">
        <w:rPr>
          <w:rFonts w:ascii="Sylfaen" w:hAnsi="Sylfaen"/>
          <w:sz w:val="24"/>
          <w:szCs w:val="24"/>
        </w:rPr>
        <w:t>և</w:t>
      </w:r>
      <w:r w:rsidRPr="004B393A">
        <w:rPr>
          <w:rFonts w:ascii="Sylfaen" w:hAnsi="Sylfaen"/>
          <w:sz w:val="24"/>
          <w:szCs w:val="24"/>
        </w:rPr>
        <w:t>ողությունը.</w:t>
      </w:r>
    </w:p>
    <w:p w14:paraId="4B9A8A2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դրական հսկողության </w:t>
      </w:r>
      <w:r w:rsidR="00C54D75">
        <w:rPr>
          <w:rFonts w:ascii="Sylfaen" w:hAnsi="Sylfaen"/>
          <w:sz w:val="24"/>
          <w:szCs w:val="24"/>
        </w:rPr>
        <w:t>և</w:t>
      </w:r>
      <w:r w:rsidRPr="004B393A">
        <w:rPr>
          <w:rFonts w:ascii="Sylfaen" w:hAnsi="Sylfaen"/>
          <w:sz w:val="24"/>
          <w:szCs w:val="24"/>
        </w:rPr>
        <w:t xml:space="preserve"> դրա պատասխանի գնահատականի օգտագործումը.</w:t>
      </w:r>
    </w:p>
    <w:p w14:paraId="02B36D77"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ստուգիչ նյութերի օգտագործումը համեմատության համար (համապատասխան դեպքերում).</w:t>
      </w:r>
    </w:p>
    <w:p w14:paraId="387B198A"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ուռուցքների առավել նշանակալի տիպերի վիճակագրական վերլուծությունը:</w:t>
      </w:r>
    </w:p>
    <w:p w14:paraId="658F9C86"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4.4.3.</w:t>
      </w:r>
      <w:r w:rsidRPr="004B393A">
        <w:rPr>
          <w:rFonts w:ascii="Sylfaen" w:hAnsi="Sylfaen"/>
          <w:sz w:val="24"/>
          <w:szCs w:val="24"/>
        </w:rPr>
        <w:tab/>
        <w:t>Այլ հետազոտություններ:</w:t>
      </w:r>
    </w:p>
    <w:p w14:paraId="5174A5E8"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Հետազոտությունների այլ տիպերի (եթե այդպիսիք անցկացվել են) նկարագրությունը, օրինակ՝ ներգործության մեխանիզմի հետազոտությունները, որոնք ուղղված են պատրաստուկի կամ դրա մետաբոլիտների ուռուցքածին էֆեկտի բացատրությանը:</w:t>
      </w:r>
    </w:p>
    <w:p w14:paraId="030D9E56"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4.5.</w:t>
      </w:r>
      <w:r w:rsidRPr="004B393A">
        <w:rPr>
          <w:rFonts w:ascii="Sylfaen" w:hAnsi="Sylfaen"/>
          <w:sz w:val="24"/>
          <w:szCs w:val="24"/>
        </w:rPr>
        <w:tab/>
        <w:t xml:space="preserve">Վերարտադրողական </w:t>
      </w:r>
      <w:r w:rsidR="00C54D75">
        <w:rPr>
          <w:rFonts w:ascii="Sylfaen" w:hAnsi="Sylfaen"/>
          <w:sz w:val="24"/>
          <w:szCs w:val="24"/>
        </w:rPr>
        <w:t>և</w:t>
      </w:r>
      <w:r w:rsidRPr="004B393A">
        <w:rPr>
          <w:rFonts w:ascii="Sylfaen" w:hAnsi="Sylfaen"/>
          <w:sz w:val="24"/>
          <w:szCs w:val="24"/>
        </w:rPr>
        <w:t xml:space="preserve"> օնտոգենետիկ թունավորությունը:</w:t>
      </w:r>
    </w:p>
    <w:p w14:paraId="3C7FEFAE"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4.5.1.</w:t>
      </w:r>
      <w:r w:rsidRPr="004B393A">
        <w:rPr>
          <w:rFonts w:ascii="Sylfaen" w:hAnsi="Sylfaen"/>
          <w:sz w:val="24"/>
          <w:szCs w:val="24"/>
        </w:rPr>
        <w:tab/>
        <w:t xml:space="preserve">Հարկ է ներկայացնել անցկացված հետազոտությունների հակիրճ նկարագրությունը, նախընտրելի է դա անել աղյուսակի տեսքով (ինչպես ցույց է տրված Բժշկական կիրառման դեղամիջոցների գրանցման </w:t>
      </w:r>
      <w:r w:rsidR="00C54D75">
        <w:rPr>
          <w:rFonts w:ascii="Sylfaen" w:hAnsi="Sylfaen"/>
          <w:sz w:val="24"/>
          <w:szCs w:val="24"/>
        </w:rPr>
        <w:t>և</w:t>
      </w:r>
      <w:r w:rsidRPr="004B393A">
        <w:rPr>
          <w:rFonts w:ascii="Sylfaen" w:hAnsi="Sylfaen"/>
          <w:sz w:val="24"/>
          <w:szCs w:val="24"/>
        </w:rPr>
        <w:t xml:space="preserve"> փորձաքննության կանոնների թիվ 6 հավելվածի տվյալ բաժնի աղյուսակի օրինակում), ներառյալ՝ դեղաչափի ընտրությամբ հետազոտությունները:</w:t>
      </w:r>
    </w:p>
    <w:p w14:paraId="131AC706"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4.5.2.</w:t>
      </w:r>
      <w:r w:rsidRPr="004B393A">
        <w:rPr>
          <w:rFonts w:ascii="Sylfaen" w:hAnsi="Sylfaen"/>
          <w:sz w:val="24"/>
          <w:szCs w:val="24"/>
        </w:rPr>
        <w:tab/>
        <w:t>Հարկ է ներկայացնել մեկնաբանություններ՝ տվյալ խմբում յուրաքանչյուր հիմնական հետազոտության՝ պատշաճ լաբորատոր գործունեության կանոններին համապատասխանության վերաբերյալ: Եթե աղյուսակում եղած տեղեկատվությունը բավարար չէ որոշակի հետազոտություն մանրամասն նկարագրելու համար, ապա անհրաժեշտ է այն փաստացի տվյալների տեսքով ներկայացնել ստոր</w:t>
      </w:r>
      <w:r w:rsidR="00C54D75">
        <w:rPr>
          <w:rFonts w:ascii="Sylfaen" w:hAnsi="Sylfaen"/>
          <w:sz w:val="24"/>
          <w:szCs w:val="24"/>
        </w:rPr>
        <w:t>և</w:t>
      </w:r>
      <w:r w:rsidRPr="004B393A">
        <w:rPr>
          <w:rFonts w:ascii="Sylfaen" w:hAnsi="Sylfaen"/>
          <w:sz w:val="24"/>
          <w:szCs w:val="24"/>
        </w:rPr>
        <w:t>՝ համապատասխան ենթավերնագրի ներքո:</w:t>
      </w:r>
    </w:p>
    <w:p w14:paraId="0551EF60" w14:textId="77777777" w:rsidR="008C76E0" w:rsidRPr="004B393A" w:rsidRDefault="008C76E0" w:rsidP="004B393A">
      <w:pPr>
        <w:tabs>
          <w:tab w:val="left" w:pos="1701"/>
        </w:tabs>
        <w:spacing w:after="160" w:line="360" w:lineRule="auto"/>
        <w:ind w:firstLine="567"/>
        <w:jc w:val="both"/>
        <w:rPr>
          <w:rFonts w:ascii="Sylfaen" w:hAnsi="Sylfaen"/>
          <w:sz w:val="24"/>
          <w:szCs w:val="24"/>
        </w:rPr>
      </w:pPr>
      <w:r w:rsidRPr="004B393A">
        <w:rPr>
          <w:rFonts w:ascii="Sylfaen" w:hAnsi="Sylfaen"/>
          <w:sz w:val="24"/>
          <w:szCs w:val="24"/>
        </w:rPr>
        <w:lastRenderedPageBreak/>
        <w:t>4.5.3.</w:t>
      </w:r>
      <w:r w:rsidRPr="004B393A">
        <w:rPr>
          <w:rFonts w:ascii="Sylfaen" w:hAnsi="Sylfaen"/>
          <w:sz w:val="24"/>
          <w:szCs w:val="24"/>
        </w:rPr>
        <w:tab/>
        <w:t>Անհրաժեշտ է դիտարկել դեղապատրաստուկի դոսյեի այլ բաժիններում խաչաձ</w:t>
      </w:r>
      <w:r w:rsidR="00C54D75">
        <w:rPr>
          <w:rFonts w:ascii="Sylfaen" w:hAnsi="Sylfaen"/>
          <w:sz w:val="24"/>
          <w:szCs w:val="24"/>
        </w:rPr>
        <w:t>և</w:t>
      </w:r>
      <w:r w:rsidRPr="004B393A">
        <w:rPr>
          <w:rFonts w:ascii="Sylfaen" w:hAnsi="Sylfaen"/>
          <w:sz w:val="24"/>
          <w:szCs w:val="24"/>
        </w:rPr>
        <w:t xml:space="preserve"> հղումների կամ փաստացի տեղեկությունների տեսքով հիշատակված վերարտադրողական թունավորության ռեակցիաների հետ առնչություն ունեցող տեղեկատվությունը: Որպես օրինակ կարելի է վերլուծել բազմակի ներմուծման դեպքում թունավոր ազդեցության արդյունքում վերարտադրողական օրգանների պաթոմորֆոլոգիան, ներզատական համակարգի ազդեցությունները, դեղակինետիկ </w:t>
      </w:r>
      <w:r w:rsidR="00C54D75">
        <w:rPr>
          <w:rFonts w:ascii="Sylfaen" w:hAnsi="Sylfaen"/>
          <w:sz w:val="24"/>
          <w:szCs w:val="24"/>
        </w:rPr>
        <w:t>և</w:t>
      </w:r>
      <w:r w:rsidRPr="004B393A">
        <w:rPr>
          <w:rFonts w:ascii="Sylfaen" w:hAnsi="Sylfaen"/>
          <w:sz w:val="24"/>
          <w:szCs w:val="24"/>
        </w:rPr>
        <w:t xml:space="preserve"> դեղադինամիկ ցուցանիշները:</w:t>
      </w:r>
    </w:p>
    <w:p w14:paraId="3358E036"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4.5.4</w:t>
      </w:r>
      <w:r w:rsidRPr="004B393A">
        <w:rPr>
          <w:rFonts w:ascii="Sylfaen" w:hAnsi="Sylfaen"/>
          <w:sz w:val="24"/>
          <w:szCs w:val="24"/>
        </w:rPr>
        <w:tab/>
        <w:t xml:space="preserve">Հետազոտություններ, որոնցում պատրաստուկը ներմուծվում է ոչ սեռահասուն առանձնյակներին, </w:t>
      </w:r>
      <w:r w:rsidR="00C54D75">
        <w:rPr>
          <w:rFonts w:ascii="Sylfaen" w:hAnsi="Sylfaen"/>
          <w:sz w:val="24"/>
          <w:szCs w:val="24"/>
        </w:rPr>
        <w:t>և</w:t>
      </w:r>
      <w:r w:rsidRPr="004B393A">
        <w:rPr>
          <w:rFonts w:ascii="Sylfaen" w:hAnsi="Sylfaen"/>
          <w:sz w:val="24"/>
          <w:szCs w:val="24"/>
        </w:rPr>
        <w:t xml:space="preserve"> (կամ) անցկացվում է դրանց զարգացման հետագա գնահատում:</w:t>
      </w:r>
    </w:p>
    <w:p w14:paraId="739E432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Վերարտադրողական թունավորության վերաբերյալ եզրահանգումները:</w:t>
      </w:r>
    </w:p>
    <w:p w14:paraId="1982BFE1" w14:textId="77777777" w:rsidR="008C76E0" w:rsidRPr="004B393A" w:rsidRDefault="008C76E0" w:rsidP="000452CC">
      <w:pPr>
        <w:spacing w:after="160" w:line="384" w:lineRule="auto"/>
        <w:ind w:firstLine="567"/>
        <w:jc w:val="both"/>
        <w:rPr>
          <w:rFonts w:ascii="Sylfaen" w:hAnsi="Sylfaen"/>
          <w:sz w:val="24"/>
          <w:szCs w:val="24"/>
        </w:rPr>
      </w:pPr>
      <w:r w:rsidRPr="004B393A">
        <w:rPr>
          <w:rFonts w:ascii="Sylfaen" w:hAnsi="Sylfaen"/>
          <w:sz w:val="24"/>
          <w:szCs w:val="24"/>
        </w:rPr>
        <w:t xml:space="preserve">Հարկ է վերլուծել կիրառվող թեստ-համակարգերի համապատասխանությունը (օրինակ՝ կենդանիների տեսակները (տոհմաբանական գծերը))՝ օգտագործելով նյութափոխանակության ցուցանիշների, դեղակինետիկ </w:t>
      </w:r>
      <w:r w:rsidR="00C54D75">
        <w:rPr>
          <w:rFonts w:ascii="Sylfaen" w:hAnsi="Sylfaen"/>
          <w:sz w:val="24"/>
          <w:szCs w:val="24"/>
        </w:rPr>
        <w:t>և</w:t>
      </w:r>
      <w:r w:rsidRPr="004B393A">
        <w:rPr>
          <w:rFonts w:ascii="Sylfaen" w:hAnsi="Sylfaen"/>
          <w:sz w:val="24"/>
          <w:szCs w:val="24"/>
        </w:rPr>
        <w:t xml:space="preserve"> դեղադինամիկ պարամետրերի համեմատությունը կամ այլ սկզբունք: </w:t>
      </w:r>
    </w:p>
    <w:p w14:paraId="4807E1B2" w14:textId="77777777" w:rsidR="008C76E0" w:rsidRPr="004B393A" w:rsidRDefault="008C76E0" w:rsidP="000452CC">
      <w:pPr>
        <w:spacing w:after="160" w:line="384" w:lineRule="auto"/>
        <w:ind w:right="-1" w:firstLine="567"/>
        <w:jc w:val="both"/>
        <w:rPr>
          <w:rFonts w:ascii="Sylfaen" w:hAnsi="Sylfaen"/>
          <w:sz w:val="24"/>
          <w:szCs w:val="24"/>
        </w:rPr>
      </w:pPr>
      <w:r w:rsidRPr="004B393A">
        <w:rPr>
          <w:rFonts w:ascii="Sylfaen" w:hAnsi="Sylfaen"/>
          <w:sz w:val="24"/>
          <w:szCs w:val="24"/>
        </w:rPr>
        <w:t xml:space="preserve">Անհրաժեշտ է նշել պատրաստուկի էքսպոզիցիայի գնահատականը </w:t>
      </w:r>
      <w:r w:rsidR="00C54D75">
        <w:rPr>
          <w:rFonts w:ascii="Sylfaen" w:hAnsi="Sylfaen"/>
          <w:sz w:val="24"/>
          <w:szCs w:val="24"/>
        </w:rPr>
        <w:t>և</w:t>
      </w:r>
      <w:r w:rsidRPr="004B393A">
        <w:rPr>
          <w:rFonts w:ascii="Sylfaen" w:hAnsi="Sylfaen"/>
          <w:sz w:val="24"/>
          <w:szCs w:val="24"/>
        </w:rPr>
        <w:t xml:space="preserve"> հղի </w:t>
      </w:r>
      <w:r w:rsidR="00C54D75">
        <w:rPr>
          <w:rFonts w:ascii="Sylfaen" w:hAnsi="Sylfaen"/>
          <w:sz w:val="24"/>
          <w:szCs w:val="24"/>
        </w:rPr>
        <w:t>և</w:t>
      </w:r>
      <w:r w:rsidRPr="004B393A">
        <w:rPr>
          <w:rFonts w:ascii="Sylfaen" w:hAnsi="Sylfaen"/>
          <w:sz w:val="24"/>
          <w:szCs w:val="24"/>
        </w:rPr>
        <w:t xml:space="preserve"> (կամ) կերակրող կենդանիների, ինչպես նա</w:t>
      </w:r>
      <w:r w:rsidR="00C54D75">
        <w:rPr>
          <w:rFonts w:ascii="Sylfaen" w:hAnsi="Sylfaen"/>
          <w:sz w:val="24"/>
          <w:szCs w:val="24"/>
        </w:rPr>
        <w:t>և</w:t>
      </w:r>
      <w:r w:rsidRPr="004B393A">
        <w:rPr>
          <w:rFonts w:ascii="Sylfaen" w:hAnsi="Sylfaen"/>
          <w:sz w:val="24"/>
          <w:szCs w:val="24"/>
        </w:rPr>
        <w:t xml:space="preserve"> սերնդի մոտ դրա բաշխման բնույթը (ներառյալ՝ կրծքի կաթի հետ դուրսբերման վերաբերյալ տվյալները):</w:t>
      </w:r>
    </w:p>
    <w:p w14:paraId="716A4406" w14:textId="77777777" w:rsidR="008C76E0" w:rsidRPr="004B393A" w:rsidRDefault="008C76E0" w:rsidP="000452CC">
      <w:pPr>
        <w:spacing w:after="160" w:line="384" w:lineRule="auto"/>
        <w:ind w:right="-1" w:firstLine="567"/>
        <w:jc w:val="both"/>
        <w:rPr>
          <w:rFonts w:ascii="Sylfaen" w:hAnsi="Sylfaen"/>
          <w:sz w:val="24"/>
          <w:szCs w:val="24"/>
        </w:rPr>
      </w:pPr>
      <w:r w:rsidRPr="004B393A">
        <w:rPr>
          <w:rFonts w:ascii="Sylfaen" w:hAnsi="Sylfaen"/>
          <w:sz w:val="24"/>
          <w:szCs w:val="24"/>
        </w:rPr>
        <w:t xml:space="preserve">Հարկ է անցկացնել հետազոտությունների յուրաքանչյուր սպեցիֆիկ ասպեկտի քննադատական գնահատում </w:t>
      </w:r>
      <w:r w:rsidR="00C54D75">
        <w:rPr>
          <w:rFonts w:ascii="Sylfaen" w:hAnsi="Sylfaen"/>
          <w:sz w:val="24"/>
          <w:szCs w:val="24"/>
        </w:rPr>
        <w:t>և</w:t>
      </w:r>
      <w:r w:rsidRPr="004B393A">
        <w:rPr>
          <w:rFonts w:ascii="Sylfaen" w:hAnsi="Sylfaen"/>
          <w:sz w:val="24"/>
          <w:szCs w:val="24"/>
        </w:rPr>
        <w:t xml:space="preserve"> հակիրճ եզրահանգումներ անել նշանակալի արդյունքների առնչությամբ:</w:t>
      </w:r>
    </w:p>
    <w:p w14:paraId="14C09CA2" w14:textId="77777777" w:rsidR="008C76E0" w:rsidRPr="004B393A" w:rsidRDefault="008C76E0" w:rsidP="000452CC">
      <w:pPr>
        <w:spacing w:after="160" w:line="384" w:lineRule="auto"/>
        <w:ind w:right="-1" w:firstLine="567"/>
        <w:jc w:val="both"/>
        <w:rPr>
          <w:rFonts w:ascii="Sylfaen" w:hAnsi="Sylfaen"/>
          <w:sz w:val="24"/>
          <w:szCs w:val="24"/>
        </w:rPr>
      </w:pPr>
      <w:r w:rsidRPr="004B393A">
        <w:rPr>
          <w:rFonts w:ascii="Sylfaen" w:hAnsi="Sylfaen"/>
          <w:sz w:val="24"/>
          <w:szCs w:val="24"/>
        </w:rPr>
        <w:t>Հարկ է վերլուծել էքսպոզիցիայի շեմերն ու գնահատել այդ տվյալների կլինիկական նշանակությունը:</w:t>
      </w:r>
    </w:p>
    <w:p w14:paraId="3C45AF78"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Անհրաժեշտ է ներկայացնել սեփական հիմնավորված հանձնարարականներ՝ այդ տեղեկատվությունը ԴԸԲ-ում ընդգրկելու համար:</w:t>
      </w:r>
    </w:p>
    <w:p w14:paraId="58696669"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lastRenderedPageBreak/>
        <w:t>4.6.</w:t>
      </w:r>
      <w:r w:rsidRPr="004B393A">
        <w:rPr>
          <w:rFonts w:ascii="Sylfaen" w:hAnsi="Sylfaen"/>
          <w:sz w:val="24"/>
          <w:szCs w:val="24"/>
        </w:rPr>
        <w:tab/>
        <w:t>Տեղային տանելիությունը։</w:t>
      </w:r>
    </w:p>
    <w:p w14:paraId="5E8A9F7C"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հակիրճ նկարագրել՝ արդյոք պատրաստուկը գրգռիչ ազդեցություն ունեցել է դրա ներմուծման տեղում: Ըստ անհրաժեշտության (ենթամաշկային ներմուծման դեպքում)՝ այս բաժնում հարկ է ներառել տեղեկատվություն՝ զգայունացնող ազդեցության մասով հետազոտությունների մասին (կրկնելով այն հաշվետվության 4.7.1 բաժնում): </w:t>
      </w:r>
    </w:p>
    <w:p w14:paraId="071553FB"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4.7.</w:t>
      </w:r>
      <w:r w:rsidRPr="004B393A">
        <w:rPr>
          <w:rFonts w:ascii="Sylfaen" w:hAnsi="Sylfaen"/>
          <w:sz w:val="24"/>
          <w:szCs w:val="24"/>
        </w:rPr>
        <w:tab/>
        <w:t>Թունավորության այլ հետազոտություններ:</w:t>
      </w:r>
    </w:p>
    <w:p w14:paraId="5843884B"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նշել անցկացված մյուս բոլոր հետազոտությունների առկայությունը </w:t>
      </w:r>
      <w:r w:rsidR="00C54D75">
        <w:rPr>
          <w:rFonts w:ascii="Sylfaen" w:hAnsi="Sylfaen"/>
          <w:sz w:val="24"/>
          <w:szCs w:val="24"/>
        </w:rPr>
        <w:t>և</w:t>
      </w:r>
      <w:r w:rsidRPr="004B393A">
        <w:rPr>
          <w:rFonts w:ascii="Sylfaen" w:hAnsi="Sylfaen"/>
          <w:sz w:val="24"/>
          <w:szCs w:val="24"/>
        </w:rPr>
        <w:t xml:space="preserve"> քննարկել ստացված արդյունքները:</w:t>
      </w:r>
    </w:p>
    <w:p w14:paraId="31D0835B"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4.7.1.</w:t>
      </w:r>
      <w:r w:rsidRPr="004B393A">
        <w:rPr>
          <w:rFonts w:ascii="Sylfaen" w:hAnsi="Sylfaen"/>
          <w:sz w:val="24"/>
          <w:szCs w:val="24"/>
        </w:rPr>
        <w:tab/>
        <w:t>Հակածնությունը:</w:t>
      </w:r>
    </w:p>
    <w:p w14:paraId="274C194B"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Հարկ է նկարագրել հակամարմինների ձ</w:t>
      </w:r>
      <w:r w:rsidR="00C54D75">
        <w:rPr>
          <w:rFonts w:ascii="Sylfaen" w:hAnsi="Sylfaen"/>
          <w:sz w:val="24"/>
          <w:szCs w:val="24"/>
        </w:rPr>
        <w:t>և</w:t>
      </w:r>
      <w:r w:rsidRPr="004B393A">
        <w:rPr>
          <w:rFonts w:ascii="Sylfaen" w:hAnsi="Sylfaen"/>
          <w:sz w:val="24"/>
          <w:szCs w:val="24"/>
        </w:rPr>
        <w:t xml:space="preserve">ավորման դեպքերը, զգայունացման ռեակցիաները (փորձարկումներ ծովախոզերի վրա, եթե դա ընդունելի է): Կենսահամանման (կենսանման) պատրաստուկների օգտագործման մասնավոր դեպքում անհրաժեշտ է հատուկ ուշադրություն դարձնել կենսահամանման </w:t>
      </w:r>
      <w:r w:rsidR="00C54D75">
        <w:rPr>
          <w:rFonts w:ascii="Sylfaen" w:hAnsi="Sylfaen"/>
          <w:sz w:val="24"/>
          <w:szCs w:val="24"/>
        </w:rPr>
        <w:t>և</w:t>
      </w:r>
      <w:r w:rsidRPr="004B393A">
        <w:rPr>
          <w:rFonts w:ascii="Sylfaen" w:hAnsi="Sylfaen"/>
          <w:sz w:val="24"/>
          <w:szCs w:val="24"/>
        </w:rPr>
        <w:t xml:space="preserve"> ռեֆերենտ պատրաստուկների իմունոգենության տարբերությունների գնահատմանը: Այստեղ հարկ է դիտարկել բոլոր հնարավոր հետ</w:t>
      </w:r>
      <w:r w:rsidR="00C54D75">
        <w:rPr>
          <w:rFonts w:ascii="Sylfaen" w:hAnsi="Sylfaen"/>
          <w:sz w:val="24"/>
          <w:szCs w:val="24"/>
        </w:rPr>
        <w:t>և</w:t>
      </w:r>
      <w:r w:rsidRPr="004B393A">
        <w:rPr>
          <w:rFonts w:ascii="Sylfaen" w:hAnsi="Sylfaen"/>
          <w:sz w:val="24"/>
          <w:szCs w:val="24"/>
        </w:rPr>
        <w:t xml:space="preserve">անքները կլինիկական արդյունավետության </w:t>
      </w:r>
      <w:r w:rsidR="00C54D75">
        <w:rPr>
          <w:rFonts w:ascii="Sylfaen" w:hAnsi="Sylfaen"/>
          <w:sz w:val="24"/>
          <w:szCs w:val="24"/>
        </w:rPr>
        <w:t>և</w:t>
      </w:r>
      <w:r w:rsidRPr="004B393A">
        <w:rPr>
          <w:rFonts w:ascii="Sylfaen" w:hAnsi="Sylfaen"/>
          <w:sz w:val="24"/>
          <w:szCs w:val="24"/>
        </w:rPr>
        <w:t xml:space="preserve"> անվտանգության համար՝ հաշվի առնելով փորձագետների կարծիքները՝ որակի գնահատման (3-րդ մոդուլի) </w:t>
      </w:r>
      <w:r w:rsidR="00C54D75">
        <w:rPr>
          <w:rFonts w:ascii="Sylfaen" w:hAnsi="Sylfaen"/>
          <w:sz w:val="24"/>
          <w:szCs w:val="24"/>
        </w:rPr>
        <w:t>և</w:t>
      </w:r>
      <w:r w:rsidRPr="004B393A">
        <w:rPr>
          <w:rFonts w:ascii="Sylfaen" w:hAnsi="Sylfaen"/>
          <w:sz w:val="24"/>
          <w:szCs w:val="24"/>
        </w:rPr>
        <w:t xml:space="preserve"> գրանցման դոսյեի կլինիկական մասի (5-րդ մոդուլի) վերաբերյալ: </w:t>
      </w:r>
    </w:p>
    <w:p w14:paraId="2D7326EB"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4.7.2.</w:t>
      </w:r>
      <w:r w:rsidRPr="004B393A">
        <w:rPr>
          <w:rFonts w:ascii="Sylfaen" w:hAnsi="Sylfaen"/>
          <w:sz w:val="24"/>
          <w:szCs w:val="24"/>
        </w:rPr>
        <w:tab/>
        <w:t>Իմունոտոքսիկությունը:</w:t>
      </w:r>
    </w:p>
    <w:p w14:paraId="35A8C297"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բաժնում դիտարկվում են իմունոտոքսիկության մասով անցկացված սպեցիֆիկ հետազոտությունները (բազմակի ներմուծման դեպքում թունավորության հետազոտությունների արդյունքների հետ փոխկապակցված) հատկապես այն դեպքերում, երբ առկա են տվյալներ՝ դրա հնարավոր կլինիկական դրս</w:t>
      </w:r>
      <w:r w:rsidR="00C54D75">
        <w:rPr>
          <w:rFonts w:ascii="Sylfaen" w:hAnsi="Sylfaen"/>
          <w:sz w:val="24"/>
          <w:szCs w:val="24"/>
        </w:rPr>
        <w:t>և</w:t>
      </w:r>
      <w:r w:rsidRPr="004B393A">
        <w:rPr>
          <w:rFonts w:ascii="Sylfaen" w:hAnsi="Sylfaen"/>
          <w:sz w:val="24"/>
          <w:szCs w:val="24"/>
        </w:rPr>
        <w:t>որումների վերաբերյալ:</w:t>
      </w:r>
    </w:p>
    <w:p w14:paraId="263DDDB2"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Այդպիսի հետազոտությունների շարքին կարող են դասվել բջջային մակեր</w:t>
      </w:r>
      <w:r w:rsidR="00C54D75">
        <w:rPr>
          <w:rFonts w:ascii="Sylfaen" w:hAnsi="Sylfaen"/>
          <w:sz w:val="24"/>
          <w:szCs w:val="24"/>
        </w:rPr>
        <w:t>և</w:t>
      </w:r>
      <w:r w:rsidRPr="004B393A">
        <w:rPr>
          <w:rFonts w:ascii="Sylfaen" w:hAnsi="Sylfaen"/>
          <w:sz w:val="24"/>
          <w:szCs w:val="24"/>
        </w:rPr>
        <w:t xml:space="preserve">ույթի մարկերների օգտագործմամբ փորձարկումները </w:t>
      </w:r>
      <w:r w:rsidRPr="004B393A">
        <w:rPr>
          <w:rFonts w:ascii="Sylfaen" w:hAnsi="Sylfaen"/>
          <w:sz w:val="24"/>
          <w:szCs w:val="24"/>
        </w:rPr>
        <w:lastRenderedPageBreak/>
        <w:t>(իմունոհիստոքիմիա կամ հոսքային ցիտոմետրիա), ֆունկցիոնալ թեստերը (ոչխարի էրիթրոցիտների նկատմամբ առաջնային հակամարմինների ձ</w:t>
      </w:r>
      <w:r w:rsidR="00C54D75">
        <w:rPr>
          <w:rFonts w:ascii="Sylfaen" w:hAnsi="Sylfaen"/>
          <w:sz w:val="24"/>
          <w:szCs w:val="24"/>
        </w:rPr>
        <w:t>և</w:t>
      </w:r>
      <w:r w:rsidRPr="004B393A">
        <w:rPr>
          <w:rFonts w:ascii="Sylfaen" w:hAnsi="Sylfaen"/>
          <w:sz w:val="24"/>
          <w:szCs w:val="24"/>
        </w:rPr>
        <w:t xml:space="preserve">ավորում, բնական բջիջ-քիլլերների ակտիվություն, մակրոֆագերի ֆունկցիա, դանդաղեցված տիպի գերզգայունություն, կրող օրգանիզմի դիմադրողականության թեստեր, կոմպլեմենտի ակտիվացում </w:t>
      </w:r>
      <w:r w:rsidR="00C54D75">
        <w:rPr>
          <w:rFonts w:ascii="Sylfaen" w:hAnsi="Sylfaen"/>
          <w:sz w:val="24"/>
          <w:szCs w:val="24"/>
        </w:rPr>
        <w:t>և</w:t>
      </w:r>
      <w:r w:rsidRPr="004B393A">
        <w:rPr>
          <w:rFonts w:ascii="Sylfaen" w:hAnsi="Sylfaen"/>
          <w:sz w:val="24"/>
          <w:szCs w:val="24"/>
        </w:rPr>
        <w:t xml:space="preserve"> այլն):</w:t>
      </w:r>
    </w:p>
    <w:p w14:paraId="2E6EAA0A"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Գնահատում անցկացնելու համար փորձագետը կարող է օգտվել բազմակի ներմուծման դեպքում թունավորության հետազոտության վերաբերյալ համապատասխան ձեռնարկներից:</w:t>
      </w:r>
    </w:p>
    <w:p w14:paraId="667E1A32"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Սույն բաժնում նա</w:t>
      </w:r>
      <w:r w:rsidR="00C54D75">
        <w:rPr>
          <w:rFonts w:ascii="Sylfaen" w:hAnsi="Sylfaen"/>
          <w:sz w:val="24"/>
          <w:szCs w:val="24"/>
        </w:rPr>
        <w:t>և</w:t>
      </w:r>
      <w:r w:rsidRPr="004B393A">
        <w:rPr>
          <w:rFonts w:ascii="Sylfaen" w:hAnsi="Sylfaen"/>
          <w:sz w:val="24"/>
          <w:szCs w:val="24"/>
        </w:rPr>
        <w:t xml:space="preserve"> հարկ է ներկայացնել տվյալներ մարդու մոտ նկատվող իմունիտետի ընկճման, աուտոիմուն պոտենցիալի, գերզգայունության ռեակցիաների վերաբերյալ:</w:t>
      </w:r>
    </w:p>
    <w:p w14:paraId="0EBFE4D5" w14:textId="77777777" w:rsidR="008C76E0" w:rsidRPr="004B393A" w:rsidRDefault="008C76E0" w:rsidP="004B393A">
      <w:pPr>
        <w:tabs>
          <w:tab w:val="left" w:pos="1701"/>
        </w:tabs>
        <w:spacing w:after="160" w:line="360" w:lineRule="auto"/>
        <w:ind w:firstLine="567"/>
        <w:jc w:val="both"/>
        <w:rPr>
          <w:rFonts w:ascii="Sylfaen" w:hAnsi="Sylfaen"/>
          <w:sz w:val="24"/>
          <w:szCs w:val="24"/>
        </w:rPr>
      </w:pPr>
      <w:r w:rsidRPr="004B393A">
        <w:rPr>
          <w:rFonts w:ascii="Sylfaen" w:hAnsi="Sylfaen"/>
          <w:sz w:val="24"/>
          <w:szCs w:val="24"/>
        </w:rPr>
        <w:t>4.7.3.</w:t>
      </w:r>
      <w:r w:rsidRPr="004B393A">
        <w:rPr>
          <w:rFonts w:ascii="Sylfaen" w:hAnsi="Sylfaen"/>
          <w:sz w:val="24"/>
          <w:szCs w:val="24"/>
        </w:rPr>
        <w:tab/>
        <w:t>Կախվածությունը:</w:t>
      </w:r>
    </w:p>
    <w:p w14:paraId="72BA6BBC" w14:textId="77777777" w:rsidR="008C76E0" w:rsidRPr="004B393A" w:rsidRDefault="008C76E0" w:rsidP="004B393A">
      <w:pPr>
        <w:tabs>
          <w:tab w:val="left" w:pos="1701"/>
        </w:tabs>
        <w:spacing w:after="160" w:line="360" w:lineRule="auto"/>
        <w:ind w:firstLine="567"/>
        <w:jc w:val="both"/>
        <w:rPr>
          <w:rFonts w:ascii="Sylfaen" w:hAnsi="Sylfaen"/>
          <w:sz w:val="24"/>
          <w:szCs w:val="24"/>
        </w:rPr>
      </w:pPr>
      <w:r w:rsidRPr="004B393A">
        <w:rPr>
          <w:rFonts w:ascii="Sylfaen" w:hAnsi="Sylfaen"/>
          <w:sz w:val="24"/>
          <w:szCs w:val="24"/>
        </w:rPr>
        <w:t>Սույն բաժնում նկարագրվում են դեղային կախվածության տարբեր տեսակներ, որոնք նկատվում են դեղադինամիկ հետազոտություններում (մոդելներում) (սովորաբար չեն իրականացվում ընթացիկ թունաբանական հետազոտություններում):</w:t>
      </w:r>
    </w:p>
    <w:p w14:paraId="74C3F983"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4.7.4.</w:t>
      </w:r>
      <w:r w:rsidRPr="004B393A">
        <w:rPr>
          <w:rFonts w:ascii="Sylfaen" w:hAnsi="Sylfaen"/>
          <w:sz w:val="24"/>
          <w:szCs w:val="24"/>
        </w:rPr>
        <w:tab/>
        <w:t>Մետաբոլիտներ:</w:t>
      </w:r>
    </w:p>
    <w:p w14:paraId="1D481E4A"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Հարկ է նկարագրել մարդու մոտ այն հիմնական մետաբոլիտների (կամ իզոմերների) սպեցիֆիկ հետազոտությունները, որոնք կենդանիների օրգանիզմում առկա են ոչ բավարար չափով:</w:t>
      </w:r>
    </w:p>
    <w:p w14:paraId="72BEAE8F"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t>4.7.5.</w:t>
      </w:r>
      <w:r w:rsidRPr="004B393A">
        <w:rPr>
          <w:rFonts w:ascii="Sylfaen" w:hAnsi="Sylfaen"/>
          <w:sz w:val="24"/>
          <w:szCs w:val="24"/>
        </w:rPr>
        <w:tab/>
        <w:t>Խառնուկների հետազոտություններ:</w:t>
      </w:r>
    </w:p>
    <w:p w14:paraId="183B8E33"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Հարկ է նկարագրել խառնուկների որակավորման հետազոտությունները՝ հետազոտություններ մեկանգամյա կամ բազմակի ներմուծման դեպքում, գենոտոքսիկության, վերարտադրողական տոքսիկության հետազոտություններ: Բաժինը կազմելիս փորձագետը կարող է օգտագործել համապատասխան ձեռնարկներ:</w:t>
      </w:r>
    </w:p>
    <w:p w14:paraId="3FCB03E2" w14:textId="77777777" w:rsidR="008C76E0" w:rsidRPr="004B393A" w:rsidRDefault="008C76E0" w:rsidP="004B393A">
      <w:pPr>
        <w:tabs>
          <w:tab w:val="left" w:pos="1701"/>
        </w:tabs>
        <w:spacing w:after="160" w:line="360" w:lineRule="auto"/>
        <w:ind w:right="-1" w:firstLine="567"/>
        <w:jc w:val="both"/>
        <w:rPr>
          <w:rFonts w:ascii="Sylfaen" w:hAnsi="Sylfaen"/>
          <w:sz w:val="24"/>
          <w:szCs w:val="24"/>
        </w:rPr>
      </w:pPr>
      <w:r w:rsidRPr="004B393A">
        <w:rPr>
          <w:rFonts w:ascii="Sylfaen" w:hAnsi="Sylfaen"/>
          <w:sz w:val="24"/>
          <w:szCs w:val="24"/>
        </w:rPr>
        <w:lastRenderedPageBreak/>
        <w:t>4.7.6.</w:t>
      </w:r>
      <w:r w:rsidRPr="004B393A">
        <w:rPr>
          <w:rFonts w:ascii="Sylfaen" w:hAnsi="Sylfaen"/>
          <w:sz w:val="24"/>
          <w:szCs w:val="24"/>
        </w:rPr>
        <w:tab/>
        <w:t>Այլ հետազոտություններ:</w:t>
      </w:r>
    </w:p>
    <w:p w14:paraId="6A60C845" w14:textId="77777777" w:rsidR="008C76E0" w:rsidRPr="004B393A" w:rsidRDefault="008C76E0" w:rsidP="004B393A">
      <w:pPr>
        <w:tabs>
          <w:tab w:val="left" w:pos="1418"/>
        </w:tabs>
        <w:spacing w:after="160" w:line="360" w:lineRule="auto"/>
        <w:ind w:right="-1" w:firstLine="567"/>
        <w:jc w:val="both"/>
        <w:rPr>
          <w:rFonts w:ascii="Sylfaen" w:hAnsi="Sylfaen"/>
          <w:sz w:val="24"/>
          <w:szCs w:val="24"/>
        </w:rPr>
      </w:pPr>
      <w:r w:rsidRPr="004B393A">
        <w:rPr>
          <w:rFonts w:ascii="Sylfaen" w:hAnsi="Sylfaen"/>
          <w:sz w:val="24"/>
          <w:szCs w:val="24"/>
        </w:rPr>
        <w:t>Հաշվետվության մեջ ներառվում են նա</w:t>
      </w:r>
      <w:r w:rsidR="00C54D75">
        <w:rPr>
          <w:rFonts w:ascii="Sylfaen" w:hAnsi="Sylfaen"/>
          <w:sz w:val="24"/>
          <w:szCs w:val="24"/>
        </w:rPr>
        <w:t>և</w:t>
      </w:r>
      <w:r w:rsidRPr="004B393A">
        <w:rPr>
          <w:rFonts w:ascii="Sylfaen" w:hAnsi="Sylfaen"/>
          <w:sz w:val="24"/>
          <w:szCs w:val="24"/>
        </w:rPr>
        <w:t xml:space="preserve"> հետ</w:t>
      </w:r>
      <w:r w:rsidR="00C54D75">
        <w:rPr>
          <w:rFonts w:ascii="Sylfaen" w:hAnsi="Sylfaen"/>
          <w:sz w:val="24"/>
          <w:szCs w:val="24"/>
        </w:rPr>
        <w:t>և</w:t>
      </w:r>
      <w:r w:rsidRPr="004B393A">
        <w:rPr>
          <w:rFonts w:ascii="Sylfaen" w:hAnsi="Sylfaen"/>
          <w:sz w:val="24"/>
          <w:szCs w:val="24"/>
        </w:rPr>
        <w:t>յալ հետազոտությունները (ըստ անհրաժեշտության)՝</w:t>
      </w:r>
    </w:p>
    <w:p w14:paraId="1DEFF0BC"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Ֆոտոտոքսիկություն. ներառում է մաշկային (աչքի) ֆոտոտոքսիկության, ֆոտոզգայունացման, ֆոտոգենոտոքսիկության </w:t>
      </w:r>
      <w:r w:rsidR="00C54D75">
        <w:rPr>
          <w:rFonts w:ascii="Sylfaen" w:hAnsi="Sylfaen"/>
          <w:sz w:val="24"/>
          <w:szCs w:val="24"/>
        </w:rPr>
        <w:t>և</w:t>
      </w:r>
      <w:r w:rsidRPr="004B393A">
        <w:rPr>
          <w:rFonts w:ascii="Sylfaen" w:hAnsi="Sylfaen"/>
          <w:sz w:val="24"/>
          <w:szCs w:val="24"/>
        </w:rPr>
        <w:t xml:space="preserve"> ֆոտոքաղցկեղածնության վերաբերյալ տեղեկատվություն: Այդպիսի հետազոտությունների հնարավոր անհրաժեշտությունը կախված է ֆոտոկլանումից (քայքայումից), էքսպոզիցիայից (կիրառության եղանակը) (ենթամաշկային ներմուծում, աչքերի մեջ ներկաթեցում) (բաժինը կազմելիս փորձագետը կարող է օգտագործել համապատասխան ձեռնարկներ).</w:t>
      </w:r>
    </w:p>
    <w:p w14:paraId="18F324D5"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մոլեկուլյար թունաբանություն՝</w:t>
      </w:r>
    </w:p>
    <w:p w14:paraId="42D8AC43"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ռեակտիվունակ մետաբոլիտներ (կովալենտային կապով in vitro միացումը սպիտակուցների, ճարպերի, նուկլեինաթթուների հետ): Հնարավոր հետ</w:t>
      </w:r>
      <w:r w:rsidR="00C54D75">
        <w:rPr>
          <w:rFonts w:ascii="Sylfaen" w:hAnsi="Sylfaen"/>
          <w:sz w:val="24"/>
          <w:szCs w:val="24"/>
        </w:rPr>
        <w:t>և</w:t>
      </w:r>
      <w:r w:rsidRPr="004B393A">
        <w:rPr>
          <w:rFonts w:ascii="Sylfaen" w:hAnsi="Sylfaen"/>
          <w:sz w:val="24"/>
          <w:szCs w:val="24"/>
        </w:rPr>
        <w:t>անքներ իդիոսինկրազիայի (բարձր զգայնության) ռեակցիաների կամ աուտոիմուն հիվանդությունների տեսքով.</w:t>
      </w:r>
    </w:p>
    <w:p w14:paraId="0D55589D"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ազդեցության մեխանիզմի այլ հետազոտություններ (միտոքոնդրիումային թունավորություն, քիմիական ակտիվություն հեմոգլոբինի նկատմամբ </w:t>
      </w:r>
      <w:r w:rsidR="00C54D75">
        <w:rPr>
          <w:rFonts w:ascii="Sylfaen" w:hAnsi="Sylfaen"/>
          <w:sz w:val="24"/>
          <w:szCs w:val="24"/>
        </w:rPr>
        <w:t>և</w:t>
      </w:r>
      <w:r w:rsidRPr="004B393A">
        <w:rPr>
          <w:rFonts w:ascii="Sylfaen" w:hAnsi="Sylfaen"/>
          <w:sz w:val="24"/>
          <w:szCs w:val="24"/>
        </w:rPr>
        <w:t xml:space="preserve"> այլն).</w:t>
      </w:r>
    </w:p>
    <w:p w14:paraId="1E354372"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պրոտեոմիկայի, գենոմիկայի </w:t>
      </w:r>
      <w:r w:rsidR="00C54D75">
        <w:rPr>
          <w:rFonts w:ascii="Sylfaen" w:hAnsi="Sylfaen"/>
          <w:sz w:val="24"/>
          <w:szCs w:val="24"/>
        </w:rPr>
        <w:t>և</w:t>
      </w:r>
      <w:r w:rsidRPr="004B393A">
        <w:rPr>
          <w:rFonts w:ascii="Sylfaen" w:hAnsi="Sylfaen"/>
          <w:sz w:val="24"/>
          <w:szCs w:val="24"/>
        </w:rPr>
        <w:t xml:space="preserve"> մոլեկուլյար կենսաբանության այլ բաժինների ոլորտներում հետազոտությունների տվյալներ:</w:t>
      </w:r>
    </w:p>
    <w:p w14:paraId="7C694008"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4.8.</w:t>
      </w:r>
      <w:r w:rsidRPr="004B393A">
        <w:rPr>
          <w:rFonts w:ascii="Sylfaen" w:hAnsi="Sylfaen"/>
          <w:sz w:val="24"/>
          <w:szCs w:val="24"/>
        </w:rPr>
        <w:tab/>
        <w:t>Գնահատման գծով փորձագետի ընդհանուր եզրակացությունը՝ թունավորության վերաբերյալ:</w:t>
      </w:r>
    </w:p>
    <w:p w14:paraId="6CCA6804"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Սույն բաժնի բովանդակությունը կարող է ներառվել «Անվտանգության, որակի, արդյունավետության գնահատում» ամփոփ փորձագիտական հաշվետվության մոդուլում:</w:t>
      </w:r>
    </w:p>
    <w:p w14:paraId="2C055E0F"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Օգուտ-ռիսկ հարաբերակցության պրոֆիլի առավել ամբողջական գնահատման համար անհրաժեշտ է անցկացնել տեղեկությունների մանրակրկիտ </w:t>
      </w:r>
      <w:r w:rsidRPr="004B393A">
        <w:rPr>
          <w:rFonts w:ascii="Sylfaen" w:hAnsi="Sylfaen"/>
          <w:sz w:val="24"/>
          <w:szCs w:val="24"/>
        </w:rPr>
        <w:lastRenderedPageBreak/>
        <w:t xml:space="preserve">վերլուծություն </w:t>
      </w:r>
      <w:r w:rsidR="00C54D75">
        <w:rPr>
          <w:rFonts w:ascii="Sylfaen" w:hAnsi="Sylfaen"/>
          <w:sz w:val="24"/>
          <w:szCs w:val="24"/>
        </w:rPr>
        <w:t>և</w:t>
      </w:r>
      <w:r w:rsidRPr="004B393A">
        <w:rPr>
          <w:rFonts w:ascii="Sylfaen" w:hAnsi="Sylfaen"/>
          <w:sz w:val="24"/>
          <w:szCs w:val="24"/>
        </w:rPr>
        <w:t xml:space="preserve"> տվյալ բաժինը կազմել հնարավորինս մանրակրկիտ:</w:t>
      </w:r>
    </w:p>
    <w:p w14:paraId="64F641F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Անհրաժեշտ է անցկացնել համապատասխան ձեռնարկներում նշված թունաբանական հետազոտությունների ծրագրից կամ պատշաճ լաբորատոր գործունեության պահանջներից բոլոր շեղումների կամ պահանջվող հետազոտությունների բացակայության վերլուծություն:</w:t>
      </w:r>
    </w:p>
    <w:p w14:paraId="564E46E6"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Եթե հայտը հիմնված է մատենագիտական այնպիսի տվյալների վրա, որոնք օգտագործվում են որպես հաստատող տեղեկատվություն, ապա կար</w:t>
      </w:r>
      <w:r w:rsidR="00C54D75">
        <w:rPr>
          <w:rFonts w:ascii="Sylfaen" w:hAnsi="Sylfaen"/>
          <w:sz w:val="24"/>
          <w:szCs w:val="24"/>
        </w:rPr>
        <w:t>և</w:t>
      </w:r>
      <w:r w:rsidRPr="004B393A">
        <w:rPr>
          <w:rFonts w:ascii="Sylfaen" w:hAnsi="Sylfaen"/>
          <w:sz w:val="24"/>
          <w:szCs w:val="24"/>
        </w:rPr>
        <w:t xml:space="preserve">որ է անդրադառնալ դրան: </w:t>
      </w:r>
    </w:p>
    <w:p w14:paraId="1402C40B"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Հարկ է գնահատել հետազոտություններում օգտագործված կենդանիների տեսակների (փորձարկումների համակարգերի), հետազոտությունների տ</w:t>
      </w:r>
      <w:r w:rsidR="00C54D75">
        <w:rPr>
          <w:rFonts w:ascii="Sylfaen" w:hAnsi="Sylfaen"/>
          <w:sz w:val="24"/>
          <w:szCs w:val="24"/>
        </w:rPr>
        <w:t>և</w:t>
      </w:r>
      <w:r w:rsidRPr="004B393A">
        <w:rPr>
          <w:rFonts w:ascii="Sylfaen" w:hAnsi="Sylfaen"/>
          <w:sz w:val="24"/>
          <w:szCs w:val="24"/>
        </w:rPr>
        <w:t>ողության, դեղաչափերի (խտությունների) ընտրության հիմնավորվածությունը:</w:t>
      </w:r>
    </w:p>
    <w:p w14:paraId="49278F58"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Անհրաժեշտ է ամփոփել նկատվող էֆեկտները, ինչպես նա</w:t>
      </w:r>
      <w:r w:rsidR="00C54D75">
        <w:rPr>
          <w:rFonts w:ascii="Sylfaen" w:hAnsi="Sylfaen"/>
          <w:sz w:val="24"/>
          <w:szCs w:val="24"/>
        </w:rPr>
        <w:t>և</w:t>
      </w:r>
      <w:r w:rsidRPr="004B393A">
        <w:rPr>
          <w:rFonts w:ascii="Sylfaen" w:hAnsi="Sylfaen"/>
          <w:sz w:val="24"/>
          <w:szCs w:val="24"/>
        </w:rPr>
        <w:t xml:space="preserve"> մարդու համար այդ էֆեկտների պոտենցիալ նշանակությանը վերաբերող ձ</w:t>
      </w:r>
      <w:r w:rsidR="00C54D75">
        <w:rPr>
          <w:rFonts w:ascii="Sylfaen" w:hAnsi="Sylfaen"/>
          <w:sz w:val="24"/>
          <w:szCs w:val="24"/>
        </w:rPr>
        <w:t>և</w:t>
      </w:r>
      <w:r w:rsidRPr="004B393A">
        <w:rPr>
          <w:rFonts w:ascii="Sylfaen" w:hAnsi="Sylfaen"/>
          <w:sz w:val="24"/>
          <w:szCs w:val="24"/>
        </w:rPr>
        <w:t xml:space="preserve">ակերպումները, որոնք առաջարկվել են հայտատուի կողմից, </w:t>
      </w:r>
      <w:r w:rsidR="00C54D75">
        <w:rPr>
          <w:rFonts w:ascii="Sylfaen" w:hAnsi="Sylfaen"/>
          <w:sz w:val="24"/>
          <w:szCs w:val="24"/>
        </w:rPr>
        <w:t>և</w:t>
      </w:r>
      <w:r w:rsidRPr="004B393A">
        <w:rPr>
          <w:rFonts w:ascii="Sylfaen" w:hAnsi="Sylfaen"/>
          <w:sz w:val="24"/>
          <w:szCs w:val="24"/>
        </w:rPr>
        <w:t xml:space="preserve"> հնարավորության դեպքում կազմել տվյալ հարցի վերաբերյալ սեփական եզրակացությունը:</w:t>
      </w:r>
    </w:p>
    <w:p w14:paraId="0DB30966" w14:textId="77777777" w:rsidR="008C76E0" w:rsidRPr="004B393A" w:rsidRDefault="008C76E0" w:rsidP="004B393A">
      <w:pPr>
        <w:spacing w:after="160" w:line="360" w:lineRule="auto"/>
        <w:ind w:firstLine="567"/>
        <w:jc w:val="both"/>
        <w:rPr>
          <w:rFonts w:ascii="Sylfaen" w:hAnsi="Sylfaen"/>
          <w:sz w:val="24"/>
          <w:szCs w:val="24"/>
        </w:rPr>
      </w:pPr>
      <w:r w:rsidRPr="004B393A">
        <w:rPr>
          <w:rFonts w:ascii="Sylfaen" w:hAnsi="Sylfaen"/>
          <w:sz w:val="24"/>
          <w:szCs w:val="24"/>
        </w:rPr>
        <w:t xml:space="preserve">Հարկ է ներկայացնել տվյալներ՝ քիրալության, ազդող նյութի (աղ, եթեր, հիդրատ </w:t>
      </w:r>
      <w:r w:rsidR="00C54D75">
        <w:rPr>
          <w:rFonts w:ascii="Sylfaen" w:hAnsi="Sylfaen"/>
          <w:sz w:val="24"/>
          <w:szCs w:val="24"/>
        </w:rPr>
        <w:t>և</w:t>
      </w:r>
      <w:r w:rsidRPr="004B393A">
        <w:rPr>
          <w:rFonts w:ascii="Sylfaen" w:hAnsi="Sylfaen"/>
          <w:sz w:val="24"/>
          <w:szCs w:val="24"/>
        </w:rPr>
        <w:t xml:space="preserve"> այլն) մոլեկուլի մոդիֆիկացիայի </w:t>
      </w:r>
      <w:r w:rsidR="00C54D75">
        <w:rPr>
          <w:rFonts w:ascii="Sylfaen" w:hAnsi="Sylfaen"/>
          <w:sz w:val="24"/>
          <w:szCs w:val="24"/>
        </w:rPr>
        <w:t>և</w:t>
      </w:r>
      <w:r w:rsidRPr="004B393A">
        <w:rPr>
          <w:rFonts w:ascii="Sylfaen" w:hAnsi="Sylfaen"/>
          <w:sz w:val="24"/>
          <w:szCs w:val="24"/>
        </w:rPr>
        <w:t xml:space="preserve"> նախակլինիկական հետազոտություններում օգտագործված նյութի մեջ առկա խառնուկների պրոֆիլի </w:t>
      </w:r>
      <w:r w:rsidR="00C54D75">
        <w:rPr>
          <w:rFonts w:ascii="Sylfaen" w:hAnsi="Sylfaen"/>
          <w:sz w:val="24"/>
          <w:szCs w:val="24"/>
        </w:rPr>
        <w:t>և</w:t>
      </w:r>
      <w:r w:rsidRPr="004B393A">
        <w:rPr>
          <w:rFonts w:ascii="Sylfaen" w:hAnsi="Sylfaen"/>
          <w:sz w:val="24"/>
          <w:szCs w:val="24"/>
        </w:rPr>
        <w:t xml:space="preserve"> այն պատրաստուկի տարբերությունների հնարավոր հետ</w:t>
      </w:r>
      <w:r w:rsidR="00C54D75">
        <w:rPr>
          <w:rFonts w:ascii="Sylfaen" w:hAnsi="Sylfaen"/>
          <w:sz w:val="24"/>
          <w:szCs w:val="24"/>
        </w:rPr>
        <w:t>և</w:t>
      </w:r>
      <w:r w:rsidRPr="004B393A">
        <w:rPr>
          <w:rFonts w:ascii="Sylfaen" w:hAnsi="Sylfaen"/>
          <w:sz w:val="24"/>
          <w:szCs w:val="24"/>
        </w:rPr>
        <w:t>անքների վերաբերյալ, որը գտնվելու է դեղագործական շուկայում:</w:t>
      </w:r>
    </w:p>
    <w:p w14:paraId="287C4D25"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դիտարկել նյութափոխանակության </w:t>
      </w:r>
      <w:r w:rsidR="00C54D75">
        <w:rPr>
          <w:rFonts w:ascii="Sylfaen" w:hAnsi="Sylfaen"/>
          <w:sz w:val="24"/>
          <w:szCs w:val="24"/>
        </w:rPr>
        <w:t>և</w:t>
      </w:r>
      <w:r w:rsidRPr="004B393A">
        <w:rPr>
          <w:rFonts w:ascii="Sylfaen" w:hAnsi="Sylfaen"/>
          <w:sz w:val="24"/>
          <w:szCs w:val="24"/>
        </w:rPr>
        <w:t xml:space="preserve"> մարդու ու կենդանիների մոտ համակարգային ներգործության (AUC, С</w:t>
      </w:r>
      <w:r w:rsidRPr="004B393A">
        <w:rPr>
          <w:rFonts w:ascii="Sylfaen" w:hAnsi="Sylfaen"/>
          <w:sz w:val="24"/>
          <w:szCs w:val="24"/>
          <w:vertAlign w:val="subscript"/>
        </w:rPr>
        <w:t>max</w:t>
      </w:r>
      <w:r w:rsidRPr="004B393A">
        <w:rPr>
          <w:rFonts w:ascii="Sylfaen" w:hAnsi="Sylfaen"/>
          <w:sz w:val="24"/>
          <w:szCs w:val="24"/>
        </w:rPr>
        <w:t>, այլ պարամետրեր) միջտեսակային համեմատական հետազոտությունները, ինչպես նա</w:t>
      </w:r>
      <w:r w:rsidR="00C54D75">
        <w:rPr>
          <w:rFonts w:ascii="Sylfaen" w:hAnsi="Sylfaen"/>
          <w:sz w:val="24"/>
          <w:szCs w:val="24"/>
        </w:rPr>
        <w:t>և</w:t>
      </w:r>
      <w:r w:rsidRPr="004B393A">
        <w:rPr>
          <w:rFonts w:ascii="Sylfaen" w:hAnsi="Sylfaen"/>
          <w:sz w:val="24"/>
          <w:szCs w:val="24"/>
        </w:rPr>
        <w:t xml:space="preserve"> քննարկել այդ հետազոտությունների սահմանափակումներն ու կիրառելիությունը՝ մարդու մոտ հնարավոր անցանկալի ռեակցիաները կանխատեսելու համար:</w:t>
      </w:r>
    </w:p>
    <w:p w14:paraId="43A85C08"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Հարկ է նշել թունաբանական հետազոտություններում օգտագործված կենդանիների տեսակների պիտանիությունը՝ դեղագործության տեսանկյունից </w:t>
      </w:r>
      <w:r w:rsidRPr="004B393A">
        <w:rPr>
          <w:rFonts w:ascii="Sylfaen" w:hAnsi="Sylfaen"/>
          <w:sz w:val="24"/>
          <w:szCs w:val="24"/>
        </w:rPr>
        <w:lastRenderedPageBreak/>
        <w:t>պոտենցիալ միջտեսակային տարբերությունների համատեքստում:</w:t>
      </w:r>
    </w:p>
    <w:p w14:paraId="2CDF85B6"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Հատուկ ուշադրություն է պետք դարձնել գենոտոքսիկության հետազոտությունների, քաղցկեղածին ազդեցության, վերարտադրողական </w:t>
      </w:r>
      <w:r w:rsidR="00C54D75">
        <w:rPr>
          <w:rFonts w:ascii="Sylfaen" w:hAnsi="Sylfaen"/>
          <w:sz w:val="24"/>
          <w:szCs w:val="24"/>
        </w:rPr>
        <w:t>և</w:t>
      </w:r>
      <w:r w:rsidRPr="004B393A">
        <w:rPr>
          <w:rFonts w:ascii="Sylfaen" w:hAnsi="Sylfaen"/>
          <w:sz w:val="24"/>
          <w:szCs w:val="24"/>
        </w:rPr>
        <w:t xml:space="preserve"> օնտոգենետիկ թունավորության արդյունքներին: Դրական գենոտոքսիկ էֆեկտների առկայության դեպքում հարկ է վերլուծել ուռուցքների առաջացման </w:t>
      </w:r>
      <w:r w:rsidR="00C54D75">
        <w:rPr>
          <w:rFonts w:ascii="Sylfaen" w:hAnsi="Sylfaen"/>
          <w:sz w:val="24"/>
          <w:szCs w:val="24"/>
        </w:rPr>
        <w:t>և</w:t>
      </w:r>
      <w:r w:rsidRPr="004B393A">
        <w:rPr>
          <w:rFonts w:ascii="Sylfaen" w:hAnsi="Sylfaen"/>
          <w:sz w:val="24"/>
          <w:szCs w:val="24"/>
        </w:rPr>
        <w:t xml:space="preserve"> (կամ) վերարտադրողական ֆունկցիայի (օնտոգենեզ) վրա պատրաստուկի ազդեցության վերաբերյալ տվյալները, մարդու համար այդ տեղեկատվության պոտենցիալ նշանակությունը </w:t>
      </w:r>
      <w:r w:rsidR="00C54D75">
        <w:rPr>
          <w:rFonts w:ascii="Sylfaen" w:hAnsi="Sylfaen"/>
          <w:sz w:val="24"/>
          <w:szCs w:val="24"/>
        </w:rPr>
        <w:t>և</w:t>
      </w:r>
      <w:r w:rsidRPr="004B393A">
        <w:rPr>
          <w:rFonts w:ascii="Sylfaen" w:hAnsi="Sylfaen"/>
          <w:sz w:val="24"/>
          <w:szCs w:val="24"/>
        </w:rPr>
        <w:t xml:space="preserve"> հնարավորության դեպքում անել համապատասխան եզրահանգում:</w:t>
      </w:r>
    </w:p>
    <w:p w14:paraId="161952B0"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Ինչ վերաբերում է քաղցկեղածին պոտենցիալին, անհրաժեշտ է ուշադրություն դարձնել հետ</w:t>
      </w:r>
      <w:r w:rsidR="00C54D75">
        <w:rPr>
          <w:rFonts w:ascii="Sylfaen" w:hAnsi="Sylfaen"/>
          <w:sz w:val="24"/>
          <w:szCs w:val="24"/>
        </w:rPr>
        <w:t>և</w:t>
      </w:r>
      <w:r w:rsidRPr="004B393A">
        <w:rPr>
          <w:rFonts w:ascii="Sylfaen" w:hAnsi="Sylfaen"/>
          <w:sz w:val="24"/>
          <w:szCs w:val="24"/>
        </w:rPr>
        <w:t xml:space="preserve">յալին. ուռուցքների աճի կենսաբանական նշանակությունը, անցած ժամանակահատվածների տվյալները, կապը դեղաբանական էֆեկտի հետ, դեղաչափից կախված էֆեկտները, տեսակասպեցիֆիկ տարբերությունները, ազդեցության մեխանիզմի հետազոտությունները, կապը գենոտոքսիկության հետ, մարդու </w:t>
      </w:r>
      <w:r w:rsidR="00C54D75">
        <w:rPr>
          <w:rFonts w:ascii="Sylfaen" w:hAnsi="Sylfaen"/>
          <w:sz w:val="24"/>
          <w:szCs w:val="24"/>
        </w:rPr>
        <w:t>և</w:t>
      </w:r>
      <w:r w:rsidRPr="004B393A">
        <w:rPr>
          <w:rFonts w:ascii="Sylfaen" w:hAnsi="Sylfaen"/>
          <w:sz w:val="24"/>
          <w:szCs w:val="24"/>
        </w:rPr>
        <w:t xml:space="preserve"> կենդանիների մոտ էքսպոզիցիայի համեմատությունը </w:t>
      </w:r>
      <w:r w:rsidR="00C54D75">
        <w:rPr>
          <w:rFonts w:ascii="Sylfaen" w:hAnsi="Sylfaen"/>
          <w:sz w:val="24"/>
          <w:szCs w:val="24"/>
        </w:rPr>
        <w:t>և</w:t>
      </w:r>
      <w:r w:rsidRPr="004B393A">
        <w:rPr>
          <w:rFonts w:ascii="Sylfaen" w:hAnsi="Sylfaen"/>
          <w:sz w:val="24"/>
          <w:szCs w:val="24"/>
        </w:rPr>
        <w:t xml:space="preserve"> այլն:</w:t>
      </w:r>
    </w:p>
    <w:p w14:paraId="6485ECEC"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Որպես տարբերակ սույն բաժնում փորձագետի կողմից կարող են ներկայացվել միայն հիմնական եզրահանգումներ, </w:t>
      </w:r>
      <w:r w:rsidR="00C54D75">
        <w:rPr>
          <w:rFonts w:ascii="Sylfaen" w:hAnsi="Sylfaen"/>
          <w:sz w:val="24"/>
          <w:szCs w:val="24"/>
        </w:rPr>
        <w:t>և</w:t>
      </w:r>
      <w:r w:rsidRPr="004B393A">
        <w:rPr>
          <w:rFonts w:ascii="Sylfaen" w:hAnsi="Sylfaen"/>
          <w:sz w:val="24"/>
          <w:szCs w:val="24"/>
        </w:rPr>
        <w:t xml:space="preserve"> այդ դեպքում «Անվտանգության, որակի, արդյունավետության գնահատում» ամփոփ փորձագիտական հաշվետվության մոդուլի տեքստը պետք է մշակվի առանձին:</w:t>
      </w:r>
    </w:p>
    <w:p w14:paraId="00DF026A"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Հարկ է հատուկ ընդգծել այն դեպքերը, երբ պահանջվում է լրացուցիչ փորձաքննության անցկացում՝ մարդու կողմից պատրաստուկի կիրառության հնարավոր հետ</w:t>
      </w:r>
      <w:r w:rsidR="00C54D75">
        <w:rPr>
          <w:rFonts w:ascii="Sylfaen" w:hAnsi="Sylfaen"/>
          <w:sz w:val="24"/>
          <w:szCs w:val="24"/>
        </w:rPr>
        <w:t>և</w:t>
      </w:r>
      <w:r w:rsidRPr="004B393A">
        <w:rPr>
          <w:rFonts w:ascii="Sylfaen" w:hAnsi="Sylfaen"/>
          <w:sz w:val="24"/>
          <w:szCs w:val="24"/>
        </w:rPr>
        <w:t>անքները գնահատելու համար: Այս խմբին է պատկանում ոչ սեռահասուն առանձնյակների հետ առնչվող հետազոտություններով ստացված տվյալների հիման վրա մանկաբուժության ոլորտում մասնագետ-փորձագետների եզրակացությունը ստանալու անհրաժեշտության հարցը:</w:t>
      </w:r>
    </w:p>
    <w:p w14:paraId="066C4679"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Հարկ է ներկայացնել մեկնաբանություններ՝ ԴԸԲ-ի համար ձ</w:t>
      </w:r>
      <w:r w:rsidR="00C54D75">
        <w:rPr>
          <w:rFonts w:ascii="Sylfaen" w:hAnsi="Sylfaen"/>
          <w:sz w:val="24"/>
          <w:szCs w:val="24"/>
        </w:rPr>
        <w:t>և</w:t>
      </w:r>
      <w:r w:rsidRPr="004B393A">
        <w:rPr>
          <w:rFonts w:ascii="Sylfaen" w:hAnsi="Sylfaen"/>
          <w:sz w:val="24"/>
          <w:szCs w:val="24"/>
        </w:rPr>
        <w:t xml:space="preserve">ակերպումների պիտանիության վերաբերյալ: Ստուգել դոսյեում </w:t>
      </w:r>
      <w:r w:rsidR="00C54D75">
        <w:rPr>
          <w:rFonts w:ascii="Sylfaen" w:hAnsi="Sylfaen"/>
          <w:sz w:val="24"/>
          <w:szCs w:val="24"/>
        </w:rPr>
        <w:t>և</w:t>
      </w:r>
      <w:r w:rsidRPr="004B393A">
        <w:rPr>
          <w:rFonts w:ascii="Sylfaen" w:hAnsi="Sylfaen"/>
          <w:sz w:val="24"/>
          <w:szCs w:val="24"/>
        </w:rPr>
        <w:t xml:space="preserve"> ԴԸԲ-ում տեքստի </w:t>
      </w:r>
      <w:r w:rsidRPr="004B393A">
        <w:rPr>
          <w:rFonts w:ascii="Sylfaen" w:hAnsi="Sylfaen"/>
          <w:sz w:val="24"/>
          <w:szCs w:val="24"/>
        </w:rPr>
        <w:lastRenderedPageBreak/>
        <w:t>համապատասխանությունը (մասնավորապես՝ 5.3՝ «Նախակլինիկական հետազոտությունների անվտանգության տվյալներ» բաժնում, ինչպես նա</w:t>
      </w:r>
      <w:r w:rsidR="00C54D75">
        <w:rPr>
          <w:rFonts w:ascii="Sylfaen" w:hAnsi="Sylfaen"/>
          <w:sz w:val="24"/>
          <w:szCs w:val="24"/>
        </w:rPr>
        <w:t>և</w:t>
      </w:r>
      <w:r w:rsidRPr="004B393A">
        <w:rPr>
          <w:rFonts w:ascii="Sylfaen" w:hAnsi="Sylfaen"/>
          <w:sz w:val="24"/>
          <w:szCs w:val="24"/>
        </w:rPr>
        <w:t xml:space="preserve"> 4.3՝ «Հակացուցումներ», 4.5՝ «Դեղային փոխազդեցություններ», 4.6՝ «Հղիություն </w:t>
      </w:r>
      <w:r w:rsidR="00C54D75">
        <w:rPr>
          <w:rFonts w:ascii="Sylfaen" w:hAnsi="Sylfaen"/>
          <w:sz w:val="24"/>
          <w:szCs w:val="24"/>
        </w:rPr>
        <w:t>և</w:t>
      </w:r>
      <w:r w:rsidRPr="004B393A">
        <w:rPr>
          <w:rFonts w:ascii="Sylfaen" w:hAnsi="Sylfaen"/>
          <w:sz w:val="24"/>
          <w:szCs w:val="24"/>
        </w:rPr>
        <w:t xml:space="preserve"> կրծքով կերակրում») բաժիններում, ինչպես նա</w:t>
      </w:r>
      <w:r w:rsidR="00C54D75">
        <w:rPr>
          <w:rFonts w:ascii="Sylfaen" w:hAnsi="Sylfaen"/>
          <w:sz w:val="24"/>
          <w:szCs w:val="24"/>
        </w:rPr>
        <w:t>և</w:t>
      </w:r>
      <w:r w:rsidRPr="004B393A">
        <w:rPr>
          <w:rFonts w:ascii="Sylfaen" w:hAnsi="Sylfaen"/>
          <w:sz w:val="24"/>
          <w:szCs w:val="24"/>
        </w:rPr>
        <w:t xml:space="preserve"> հավաստիանալ, որ ԴԸԲ-ում պարունակվող տեղեկատվությունն ամբողջությամբ հաստատված է գիտական փորձաքննության արդյունքներով:</w:t>
      </w:r>
    </w:p>
    <w:p w14:paraId="02D838A6" w14:textId="77777777" w:rsidR="008C76E0" w:rsidRPr="004B393A" w:rsidRDefault="008C76E0" w:rsidP="004B393A">
      <w:pPr>
        <w:spacing w:after="160" w:line="360" w:lineRule="auto"/>
        <w:ind w:right="-1" w:firstLine="567"/>
        <w:jc w:val="both"/>
        <w:rPr>
          <w:rFonts w:ascii="Sylfaen" w:hAnsi="Sylfaen"/>
          <w:sz w:val="24"/>
          <w:szCs w:val="24"/>
        </w:rPr>
      </w:pPr>
      <w:r w:rsidRPr="004B393A">
        <w:rPr>
          <w:rFonts w:ascii="Sylfaen" w:hAnsi="Sylfaen"/>
          <w:sz w:val="24"/>
          <w:szCs w:val="24"/>
        </w:rPr>
        <w:t xml:space="preserve">Կենսահամանման (կենսանման) դեղապատրաստուկների համար անհրաժեշտ է վերլուծել ոչ միայն կենսահամանման </w:t>
      </w:r>
      <w:r w:rsidR="00C54D75">
        <w:rPr>
          <w:rFonts w:ascii="Sylfaen" w:hAnsi="Sylfaen"/>
          <w:sz w:val="24"/>
          <w:szCs w:val="24"/>
        </w:rPr>
        <w:t>և</w:t>
      </w:r>
      <w:r w:rsidRPr="004B393A">
        <w:rPr>
          <w:rFonts w:ascii="Sylfaen" w:hAnsi="Sylfaen"/>
          <w:sz w:val="24"/>
          <w:szCs w:val="24"/>
        </w:rPr>
        <w:t xml:space="preserve"> ռեֆերենտ պատրաստուկի թերապ</w:t>
      </w:r>
      <w:r w:rsidR="00C54D75">
        <w:rPr>
          <w:rFonts w:ascii="Sylfaen" w:hAnsi="Sylfaen"/>
          <w:sz w:val="24"/>
          <w:szCs w:val="24"/>
        </w:rPr>
        <w:t>և</w:t>
      </w:r>
      <w:r w:rsidRPr="004B393A">
        <w:rPr>
          <w:rFonts w:ascii="Sylfaen" w:hAnsi="Sylfaen"/>
          <w:sz w:val="24"/>
          <w:szCs w:val="24"/>
        </w:rPr>
        <w:t>տիկ պատասխանն ինքնին (per se), այլ</w:t>
      </w:r>
      <w:r w:rsidR="00C54D75">
        <w:rPr>
          <w:rFonts w:ascii="Sylfaen" w:hAnsi="Sylfaen"/>
          <w:sz w:val="24"/>
          <w:szCs w:val="24"/>
        </w:rPr>
        <w:t>և</w:t>
      </w:r>
      <w:r w:rsidRPr="004B393A">
        <w:rPr>
          <w:rFonts w:ascii="Sylfaen" w:hAnsi="Sylfaen"/>
          <w:sz w:val="24"/>
          <w:szCs w:val="24"/>
        </w:rPr>
        <w:t xml:space="preserve"> դրա համանմանությունը (տարբերությունը):</w:t>
      </w:r>
    </w:p>
    <w:p w14:paraId="3C01E91E"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6.</w:t>
      </w:r>
      <w:r w:rsidRPr="004B393A">
        <w:rPr>
          <w:rFonts w:ascii="Sylfaen" w:hAnsi="Sylfaen"/>
          <w:sz w:val="24"/>
          <w:szCs w:val="24"/>
        </w:rPr>
        <w:tab/>
        <w:t>Փորձագետի կողմից անցկացված փորձաքննության շրջանակներում բերված դիտողությունների ցանկը:</w:t>
      </w:r>
    </w:p>
    <w:p w14:paraId="3058EFEE"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Քննադատական դիտողությունների առկայությունը դեղապատրաստուկի գրանցման հայտի հաստատման վերաբերյալ առաջարկությունը դարձնում է անհնար: Մեկ քննադատական դիտողությունը տեսականորեն կարող է ներառել մեկից ավելի հարցեր, այդ իսկ պատճառով հարկավոր է օգտագործել պարբերություններ </w:t>
      </w:r>
      <w:r w:rsidR="00C54D75">
        <w:rPr>
          <w:rFonts w:ascii="Sylfaen" w:hAnsi="Sylfaen"/>
          <w:sz w:val="24"/>
          <w:szCs w:val="24"/>
        </w:rPr>
        <w:t>և</w:t>
      </w:r>
      <w:r w:rsidRPr="004B393A">
        <w:rPr>
          <w:rFonts w:ascii="Sylfaen" w:hAnsi="Sylfaen"/>
          <w:sz w:val="24"/>
          <w:szCs w:val="24"/>
        </w:rPr>
        <w:t xml:space="preserve"> ենթավերնագրեր: Կար</w:t>
      </w:r>
      <w:r w:rsidR="00C54D75">
        <w:rPr>
          <w:rFonts w:ascii="Sylfaen" w:hAnsi="Sylfaen"/>
          <w:sz w:val="24"/>
          <w:szCs w:val="24"/>
        </w:rPr>
        <w:t>և</w:t>
      </w:r>
      <w:r w:rsidRPr="004B393A">
        <w:rPr>
          <w:rFonts w:ascii="Sylfaen" w:hAnsi="Sylfaen"/>
          <w:sz w:val="24"/>
          <w:szCs w:val="24"/>
        </w:rPr>
        <w:t xml:space="preserve">որ է, որ քննադատական դիտողությունը լինի հասկանալի </w:t>
      </w:r>
      <w:r w:rsidR="00C54D75">
        <w:rPr>
          <w:rFonts w:ascii="Sylfaen" w:hAnsi="Sylfaen"/>
          <w:sz w:val="24"/>
          <w:szCs w:val="24"/>
        </w:rPr>
        <w:t>և</w:t>
      </w:r>
      <w:r w:rsidRPr="004B393A">
        <w:rPr>
          <w:rFonts w:ascii="Sylfaen" w:hAnsi="Sylfaen"/>
          <w:sz w:val="24"/>
          <w:szCs w:val="24"/>
        </w:rPr>
        <w:t xml:space="preserve"> տրամաբանական: Դրա համար կարող են պահանջվել մանրամասն մեկնաբանություններ՝ համապատասխան ակտերին </w:t>
      </w:r>
      <w:r w:rsidR="00C54D75">
        <w:rPr>
          <w:rFonts w:ascii="Sylfaen" w:hAnsi="Sylfaen"/>
          <w:sz w:val="24"/>
          <w:szCs w:val="24"/>
        </w:rPr>
        <w:t>և</w:t>
      </w:r>
      <w:r w:rsidRPr="004B393A">
        <w:rPr>
          <w:rFonts w:ascii="Sylfaen" w:hAnsi="Sylfaen"/>
          <w:sz w:val="24"/>
          <w:szCs w:val="24"/>
        </w:rPr>
        <w:t xml:space="preserve"> հանձնարարականներին (ձեռնարկներին) արված հղումներով:</w:t>
      </w:r>
    </w:p>
    <w:p w14:paraId="5EF9562D"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Լավագույն դեպքում դիտողությունը պետք է ներառի հայտատուից ակնկալվող պատասխանի (միջոցների) վերաբերյալ պարզաբանումներ:</w:t>
      </w:r>
    </w:p>
    <w:p w14:paraId="1E6BD896"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«Այլ դիտողություններ» բաժինը կարող է ազդել գրանցման հավաստագիրը ստանալու առաջարկվող պայմանների </w:t>
      </w:r>
      <w:r w:rsidR="00C54D75">
        <w:rPr>
          <w:rFonts w:ascii="Sylfaen" w:hAnsi="Sylfaen"/>
          <w:sz w:val="24"/>
          <w:szCs w:val="24"/>
        </w:rPr>
        <w:t>և</w:t>
      </w:r>
      <w:r w:rsidRPr="004B393A">
        <w:rPr>
          <w:rFonts w:ascii="Sylfaen" w:hAnsi="Sylfaen"/>
          <w:sz w:val="24"/>
          <w:szCs w:val="24"/>
        </w:rPr>
        <w:t xml:space="preserve"> դեղապատրաստուկի մասին տեղեկատվության բովանդակության վրա: Այս խնդրահարույց հարցերը պետք է լուծվեն հայտի հաստատումից առաջ, հակառակ դեպքում հայտը կարող է մերժվել:</w:t>
      </w:r>
    </w:p>
    <w:p w14:paraId="2A60BCF9"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Դիտողությունների տվյալ ցանկն անհրաժեշտ է պատճենել </w:t>
      </w:r>
      <w:r w:rsidRPr="004B393A">
        <w:rPr>
          <w:rFonts w:ascii="Sylfaen" w:hAnsi="Sylfaen"/>
          <w:sz w:val="24"/>
          <w:szCs w:val="24"/>
        </w:rPr>
        <w:lastRenderedPageBreak/>
        <w:t xml:space="preserve">«Անվտանգության, որակի </w:t>
      </w:r>
      <w:r w:rsidR="00C54D75">
        <w:rPr>
          <w:rFonts w:ascii="Sylfaen" w:hAnsi="Sylfaen"/>
          <w:sz w:val="24"/>
          <w:szCs w:val="24"/>
        </w:rPr>
        <w:t>և</w:t>
      </w:r>
      <w:r w:rsidRPr="004B393A">
        <w:rPr>
          <w:rFonts w:ascii="Sylfaen" w:hAnsi="Sylfaen"/>
          <w:sz w:val="24"/>
          <w:szCs w:val="24"/>
        </w:rPr>
        <w:t xml:space="preserve"> արդյունավետության գնահատում» ամփոփ փորձագիտական հաշվետվություն մոդուլում:</w:t>
      </w:r>
    </w:p>
    <w:p w14:paraId="5C3E6510"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 xml:space="preserve">«Հանձնարարականներ» բաժինը պարունակում է փորձագետի այն դիտողությունները (պայմանները), որոնք չեն խոչընդոտում դեղապատրաստուկի գրանցմանը, որոնք կարող են հաշվի առնվել պատրաստուկի գրանցումից հետո </w:t>
      </w:r>
      <w:r w:rsidR="00C54D75">
        <w:rPr>
          <w:rFonts w:ascii="Sylfaen" w:hAnsi="Sylfaen"/>
          <w:sz w:val="24"/>
          <w:szCs w:val="24"/>
        </w:rPr>
        <w:t>և</w:t>
      </w:r>
      <w:r w:rsidRPr="004B393A">
        <w:rPr>
          <w:rFonts w:ascii="Sylfaen" w:hAnsi="Sylfaen"/>
          <w:sz w:val="24"/>
          <w:szCs w:val="24"/>
        </w:rPr>
        <w:t xml:space="preserve"> ներառվել (փոփոխվել) փոփոխությունների կատարման ընթացակարգի շրջանակներում:</w:t>
      </w:r>
    </w:p>
    <w:p w14:paraId="60B7F106" w14:textId="77777777" w:rsidR="008C76E0" w:rsidRPr="004B393A" w:rsidRDefault="008C76E0" w:rsidP="004B393A">
      <w:pPr>
        <w:tabs>
          <w:tab w:val="left" w:pos="1134"/>
        </w:tabs>
        <w:spacing w:after="160" w:line="360" w:lineRule="auto"/>
        <w:ind w:right="-1" w:firstLine="567"/>
        <w:jc w:val="both"/>
        <w:rPr>
          <w:rFonts w:ascii="Sylfaen" w:hAnsi="Sylfaen"/>
          <w:sz w:val="24"/>
          <w:szCs w:val="24"/>
        </w:rPr>
      </w:pPr>
      <w:r w:rsidRPr="004B393A">
        <w:rPr>
          <w:rFonts w:ascii="Sylfaen" w:hAnsi="Sylfaen"/>
          <w:sz w:val="24"/>
          <w:szCs w:val="24"/>
        </w:rPr>
        <w:t>7.</w:t>
      </w:r>
      <w:r w:rsidRPr="004B393A">
        <w:rPr>
          <w:rFonts w:ascii="Sylfaen" w:hAnsi="Sylfaen"/>
          <w:sz w:val="24"/>
          <w:szCs w:val="24"/>
        </w:rPr>
        <w:tab/>
        <w:t>Փորձագետի կողմից առաջարկվող պայմանները:</w:t>
      </w:r>
    </w:p>
    <w:p w14:paraId="0BA667B2" w14:textId="77777777" w:rsidR="008C76E0" w:rsidRPr="004B393A" w:rsidRDefault="008C76E0" w:rsidP="004B393A">
      <w:pPr>
        <w:tabs>
          <w:tab w:val="left" w:pos="1134"/>
        </w:tabs>
        <w:spacing w:after="160" w:line="360" w:lineRule="auto"/>
        <w:ind w:firstLine="567"/>
        <w:jc w:val="both"/>
        <w:rPr>
          <w:rFonts w:ascii="Sylfaen" w:hAnsi="Sylfaen"/>
          <w:sz w:val="24"/>
          <w:szCs w:val="24"/>
        </w:rPr>
      </w:pPr>
      <w:r w:rsidRPr="004B393A">
        <w:rPr>
          <w:rFonts w:ascii="Sylfaen" w:hAnsi="Sylfaen"/>
          <w:sz w:val="24"/>
          <w:szCs w:val="24"/>
        </w:rPr>
        <w:t>Սույն բաժնում դիտարկվող հարցերը պետք է վերլուծության ենթարկվեն ամփոփ փորձագիտական հաշվետվության՝ «Անվտանգության, որակի, արդյունավետության գնահատում» մոդուլի համապատասխան բաժնում (օրինակ՝ մեկնաբանություններ՝ դեղապատրաստուկի վերաբերյալ տեղեկությունների առնչությամբ):</w:t>
      </w:r>
    </w:p>
    <w:p w14:paraId="09E4DC74" w14:textId="77777777" w:rsidR="008C76E0" w:rsidRPr="004B393A" w:rsidRDefault="008C76E0" w:rsidP="004B393A">
      <w:pPr>
        <w:spacing w:after="160" w:line="360" w:lineRule="auto"/>
        <w:ind w:firstLine="567"/>
        <w:rPr>
          <w:rFonts w:ascii="Sylfaen" w:hAnsi="Sylfaen"/>
          <w:sz w:val="24"/>
          <w:szCs w:val="24"/>
        </w:rPr>
      </w:pPr>
      <w:r w:rsidRPr="004B393A">
        <w:rPr>
          <w:rFonts w:ascii="Sylfaen" w:eastAsia="Times New Roman" w:hAnsi="Sylfaen" w:cs="Times New Roman"/>
          <w:bCs/>
          <w:color w:val="000000"/>
          <w:sz w:val="24"/>
          <w:szCs w:val="24"/>
          <w:shd w:val="clear" w:color="auto" w:fill="FFFFFF"/>
        </w:rPr>
        <w:t>Այս բաժնում նա</w:t>
      </w:r>
      <w:r w:rsidR="00C54D75">
        <w:rPr>
          <w:rFonts w:ascii="Sylfaen" w:eastAsia="Times New Roman" w:hAnsi="Sylfaen" w:cs="Times New Roman"/>
          <w:bCs/>
          <w:color w:val="000000"/>
          <w:sz w:val="24"/>
          <w:szCs w:val="24"/>
          <w:shd w:val="clear" w:color="auto" w:fill="FFFFFF"/>
        </w:rPr>
        <w:t>և</w:t>
      </w:r>
      <w:r w:rsidRPr="004B393A">
        <w:rPr>
          <w:rFonts w:ascii="Sylfaen" w:eastAsia="Times New Roman" w:hAnsi="Sylfaen" w:cs="Times New Roman"/>
          <w:bCs/>
          <w:color w:val="000000"/>
          <w:sz w:val="24"/>
          <w:szCs w:val="24"/>
          <w:shd w:val="clear" w:color="auto" w:fill="FFFFFF"/>
        </w:rPr>
        <w:t xml:space="preserve"> կարելի է տալ ավելի ընդհանուր բնույթի մեկնաբանություններ</w:t>
      </w:r>
      <w:r w:rsidRPr="004B393A">
        <w:rPr>
          <w:rFonts w:ascii="Sylfaen" w:hAnsi="Sylfaen"/>
          <w:sz w:val="24"/>
          <w:szCs w:val="24"/>
        </w:rPr>
        <w:t>:</w:t>
      </w:r>
    </w:p>
    <w:p w14:paraId="2BE9F7E1" w14:textId="77777777" w:rsidR="00D91652" w:rsidRPr="00E15E7D" w:rsidRDefault="00D91652" w:rsidP="008C76E0">
      <w:pPr>
        <w:widowControl/>
        <w:ind w:firstLine="567"/>
        <w:rPr>
          <w:rFonts w:ascii="Sylfaen" w:eastAsia="Times New Roman" w:hAnsi="Sylfaen" w:cs="Times New Roman"/>
          <w:sz w:val="24"/>
          <w:szCs w:val="24"/>
        </w:rPr>
        <w:sectPr w:rsidR="00D91652" w:rsidRPr="00E15E7D" w:rsidSect="00D91652">
          <w:headerReference w:type="even" r:id="rId22"/>
          <w:headerReference w:type="default" r:id="rId23"/>
          <w:pgSz w:w="11906" w:h="16838" w:code="9"/>
          <w:pgMar w:top="1418" w:right="1418" w:bottom="1418" w:left="1418" w:header="709" w:footer="709" w:gutter="0"/>
          <w:pgNumType w:start="1"/>
          <w:cols w:space="708"/>
          <w:titlePg/>
          <w:docGrid w:linePitch="360"/>
        </w:sectPr>
      </w:pPr>
    </w:p>
    <w:p w14:paraId="49D72CE2" w14:textId="77777777" w:rsidR="008C76E0" w:rsidRPr="00132EF0" w:rsidRDefault="008C76E0" w:rsidP="00132EF0">
      <w:pPr>
        <w:spacing w:after="160" w:line="360" w:lineRule="auto"/>
        <w:ind w:left="4678" w:right="-1"/>
        <w:jc w:val="center"/>
        <w:rPr>
          <w:rFonts w:ascii="Sylfaen" w:hAnsi="Sylfaen"/>
          <w:sz w:val="24"/>
          <w:szCs w:val="24"/>
        </w:rPr>
      </w:pPr>
      <w:r w:rsidRPr="00132EF0">
        <w:rPr>
          <w:rFonts w:ascii="Sylfaen" w:hAnsi="Sylfaen"/>
          <w:sz w:val="24"/>
          <w:szCs w:val="24"/>
        </w:rPr>
        <w:lastRenderedPageBreak/>
        <w:t>ՀԱՎԵԼՎԱԾ ԹԻՎ 14</w:t>
      </w:r>
    </w:p>
    <w:p w14:paraId="5EE1B224" w14:textId="77777777" w:rsidR="008C76E0" w:rsidRPr="00132EF0" w:rsidRDefault="008C76E0" w:rsidP="00132EF0">
      <w:pPr>
        <w:spacing w:after="160" w:line="360" w:lineRule="auto"/>
        <w:ind w:left="4678" w:right="-1"/>
        <w:jc w:val="center"/>
        <w:rPr>
          <w:rFonts w:ascii="Sylfaen" w:hAnsi="Sylfaen"/>
          <w:sz w:val="24"/>
          <w:szCs w:val="24"/>
        </w:rPr>
      </w:pPr>
      <w:r w:rsidRPr="00132EF0">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132EF0">
        <w:rPr>
          <w:rFonts w:ascii="Sylfaen" w:hAnsi="Sylfaen"/>
          <w:sz w:val="24"/>
          <w:szCs w:val="24"/>
        </w:rPr>
        <w:t xml:space="preserve"> փորձաքննության կանոնների</w:t>
      </w:r>
    </w:p>
    <w:p w14:paraId="137BF954" w14:textId="77777777" w:rsidR="008C76E0" w:rsidRPr="00132EF0" w:rsidRDefault="008C76E0" w:rsidP="00132EF0">
      <w:pPr>
        <w:spacing w:after="160" w:line="360" w:lineRule="auto"/>
        <w:ind w:left="5103"/>
        <w:jc w:val="center"/>
        <w:rPr>
          <w:rFonts w:ascii="Sylfaen" w:hAnsi="Sylfaen"/>
          <w:sz w:val="24"/>
          <w:szCs w:val="24"/>
        </w:rPr>
      </w:pPr>
    </w:p>
    <w:p w14:paraId="1618D4B9" w14:textId="77777777" w:rsidR="008C76E0" w:rsidRPr="00132EF0" w:rsidRDefault="008C76E0" w:rsidP="00132EF0">
      <w:pPr>
        <w:pStyle w:val="Heading130"/>
        <w:shd w:val="clear" w:color="auto" w:fill="auto"/>
        <w:spacing w:before="0" w:after="160" w:line="360" w:lineRule="auto"/>
        <w:ind w:left="567" w:right="565"/>
        <w:outlineLvl w:val="9"/>
        <w:rPr>
          <w:rFonts w:ascii="Sylfaen" w:hAnsi="Sylfaen"/>
          <w:b/>
          <w:sz w:val="24"/>
          <w:szCs w:val="24"/>
          <w:lang w:val="hy-AM"/>
        </w:rPr>
      </w:pPr>
      <w:bookmarkStart w:id="8" w:name="bookmark9"/>
      <w:r w:rsidRPr="00132EF0">
        <w:rPr>
          <w:rStyle w:val="Heading13Spacing2pt"/>
          <w:rFonts w:ascii="Sylfaen" w:hAnsi="Sylfaen"/>
          <w:b/>
          <w:sz w:val="24"/>
          <w:szCs w:val="24"/>
          <w:lang w:val="hy-AM"/>
        </w:rPr>
        <w:t>ՑՈՒՑՈՒՄՆԵՐ</w:t>
      </w:r>
      <w:bookmarkEnd w:id="8"/>
    </w:p>
    <w:p w14:paraId="51A58271" w14:textId="77777777" w:rsidR="008C76E0" w:rsidRPr="00132EF0" w:rsidRDefault="008C76E0" w:rsidP="00132EF0">
      <w:pPr>
        <w:spacing w:after="160" w:line="360" w:lineRule="auto"/>
        <w:ind w:left="567" w:right="565"/>
        <w:jc w:val="center"/>
        <w:rPr>
          <w:rFonts w:ascii="Sylfaen" w:hAnsi="Sylfaen"/>
          <w:b/>
          <w:sz w:val="24"/>
          <w:szCs w:val="24"/>
        </w:rPr>
      </w:pPr>
      <w:r w:rsidRPr="00132EF0">
        <w:rPr>
          <w:rFonts w:ascii="Sylfaen" w:hAnsi="Sylfaen"/>
          <w:b/>
          <w:sz w:val="24"/>
          <w:szCs w:val="24"/>
        </w:rPr>
        <w:t>դեղապատրաստուկի որակի ասպեկտների կրիտիկական գնահատման մասին փորձագիտական հաշվետվության կազմման</w:t>
      </w:r>
    </w:p>
    <w:p w14:paraId="5589FC98" w14:textId="77777777" w:rsidR="008C76E0" w:rsidRPr="00132EF0" w:rsidRDefault="008C76E0" w:rsidP="00132EF0">
      <w:pPr>
        <w:spacing w:after="160" w:line="360" w:lineRule="auto"/>
        <w:ind w:left="567" w:right="567"/>
        <w:jc w:val="center"/>
        <w:rPr>
          <w:rFonts w:ascii="Sylfaen" w:hAnsi="Sylfaen"/>
          <w:sz w:val="24"/>
          <w:szCs w:val="24"/>
        </w:rPr>
      </w:pPr>
    </w:p>
    <w:p w14:paraId="29AC415D" w14:textId="77777777" w:rsidR="008C76E0" w:rsidRPr="00132EF0" w:rsidRDefault="008C76E0" w:rsidP="00132EF0">
      <w:pPr>
        <w:spacing w:after="160" w:line="360" w:lineRule="auto"/>
        <w:ind w:left="567" w:right="565"/>
        <w:jc w:val="center"/>
        <w:rPr>
          <w:rFonts w:ascii="Sylfaen" w:hAnsi="Sylfaen"/>
          <w:sz w:val="24"/>
          <w:szCs w:val="24"/>
        </w:rPr>
      </w:pPr>
      <w:r w:rsidRPr="00132EF0">
        <w:rPr>
          <w:rFonts w:ascii="Sylfaen" w:hAnsi="Sylfaen"/>
          <w:sz w:val="24"/>
          <w:szCs w:val="24"/>
        </w:rPr>
        <w:t>I. Ընդհանուր ցուցումներ</w:t>
      </w:r>
    </w:p>
    <w:p w14:paraId="50546713"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Սույն ցուցումներում դիտարկվում են հաշվետվության միայն այն բաժինները, որոնք պահանջում են պարզաբանումներ </w:t>
      </w:r>
      <w:r w:rsidR="00C54D75">
        <w:rPr>
          <w:rFonts w:ascii="Sylfaen" w:hAnsi="Sylfaen"/>
          <w:sz w:val="24"/>
          <w:szCs w:val="24"/>
        </w:rPr>
        <w:t>և</w:t>
      </w:r>
      <w:r w:rsidRPr="00132EF0">
        <w:rPr>
          <w:rFonts w:ascii="Sylfaen" w:hAnsi="Sylfaen"/>
          <w:sz w:val="24"/>
          <w:szCs w:val="24"/>
        </w:rPr>
        <w:t xml:space="preserve"> մեկնաբանություններ:</w:t>
      </w:r>
    </w:p>
    <w:p w14:paraId="51031905"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Հաշվետվության վրա աշխատելիս անհրաժեշտ է հաշվի առնել հետ</w:t>
      </w:r>
      <w:r w:rsidR="00C54D75">
        <w:rPr>
          <w:rFonts w:ascii="Sylfaen" w:hAnsi="Sylfaen"/>
          <w:sz w:val="24"/>
          <w:szCs w:val="24"/>
        </w:rPr>
        <w:t>և</w:t>
      </w:r>
      <w:r w:rsidRPr="00132EF0">
        <w:rPr>
          <w:rFonts w:ascii="Sylfaen" w:hAnsi="Sylfaen"/>
          <w:sz w:val="24"/>
          <w:szCs w:val="24"/>
        </w:rPr>
        <w:t>յալ ասպեկտները.</w:t>
      </w:r>
    </w:p>
    <w:p w14:paraId="7EE3BBD7" w14:textId="77777777" w:rsidR="008C76E0" w:rsidRPr="00132EF0" w:rsidRDefault="008C76E0" w:rsidP="00132EF0">
      <w:pPr>
        <w:spacing w:after="160" w:line="384" w:lineRule="auto"/>
        <w:ind w:firstLine="567"/>
        <w:jc w:val="both"/>
        <w:rPr>
          <w:rFonts w:ascii="Sylfaen" w:hAnsi="Sylfaen"/>
          <w:sz w:val="24"/>
          <w:szCs w:val="24"/>
        </w:rPr>
      </w:pPr>
      <w:r w:rsidRPr="00132EF0">
        <w:rPr>
          <w:rFonts w:ascii="Sylfaen" w:hAnsi="Sylfaen"/>
          <w:sz w:val="24"/>
          <w:szCs w:val="24"/>
        </w:rPr>
        <w:t xml:space="preserve">Հաշվետվությունը պետք է լինի բավականաչափ մանրամասնեցված՝ Եվրասիական տնտեսական միության անդամ պետությունների (այսուհետ համապատասխանաբար՝ Միություն, անդամ պետություններ) լիազորված մարմինների </w:t>
      </w:r>
      <w:r w:rsidR="00C54D75">
        <w:rPr>
          <w:rFonts w:ascii="Sylfaen" w:hAnsi="Sylfaen"/>
          <w:sz w:val="24"/>
          <w:szCs w:val="24"/>
        </w:rPr>
        <w:t>և</w:t>
      </w:r>
      <w:r w:rsidRPr="00132EF0">
        <w:rPr>
          <w:rFonts w:ascii="Sylfaen" w:hAnsi="Sylfaen"/>
          <w:sz w:val="24"/>
          <w:szCs w:val="24"/>
        </w:rPr>
        <w:t xml:space="preserve"> կազմակերպությունների այլ փորձագետների կողմից դրա կրկնակի գնահատման հնարավորության համար:</w:t>
      </w:r>
    </w:p>
    <w:p w14:paraId="01AA1DF2" w14:textId="77777777" w:rsidR="008C76E0" w:rsidRPr="00132EF0" w:rsidRDefault="008C76E0" w:rsidP="00132EF0">
      <w:pPr>
        <w:spacing w:after="160" w:line="384" w:lineRule="auto"/>
        <w:ind w:firstLine="567"/>
        <w:jc w:val="both"/>
        <w:rPr>
          <w:rFonts w:ascii="Sylfaen" w:hAnsi="Sylfaen"/>
          <w:sz w:val="24"/>
          <w:szCs w:val="24"/>
        </w:rPr>
      </w:pPr>
      <w:r w:rsidRPr="00132EF0">
        <w:rPr>
          <w:rFonts w:ascii="Sylfaen" w:hAnsi="Sylfaen"/>
          <w:sz w:val="24"/>
          <w:szCs w:val="24"/>
        </w:rPr>
        <w:t>Հաշվետվության մեջ պետք է նկարագրվեն որակի առավել բնորոշ, հատկապես թերություններին վերաբերող ասպեկտները, ինչպես նա</w:t>
      </w:r>
      <w:r w:rsidR="00C54D75">
        <w:rPr>
          <w:rFonts w:ascii="Sylfaen" w:hAnsi="Sylfaen"/>
          <w:sz w:val="24"/>
          <w:szCs w:val="24"/>
        </w:rPr>
        <w:t>և</w:t>
      </w:r>
      <w:r w:rsidRPr="00132EF0">
        <w:rPr>
          <w:rFonts w:ascii="Sylfaen" w:hAnsi="Sylfaen"/>
          <w:sz w:val="24"/>
          <w:szCs w:val="24"/>
        </w:rPr>
        <w:t xml:space="preserve"> պետք է արվեն հայտատուին ներկայացվող հիմնավորված դիտողություններ: Տվյալ դիտողությունները պետք է նա</w:t>
      </w:r>
      <w:r w:rsidR="00C54D75">
        <w:rPr>
          <w:rFonts w:ascii="Sylfaen" w:hAnsi="Sylfaen"/>
          <w:sz w:val="24"/>
          <w:szCs w:val="24"/>
        </w:rPr>
        <w:t>և</w:t>
      </w:r>
      <w:r w:rsidRPr="00132EF0">
        <w:rPr>
          <w:rFonts w:ascii="Sylfaen" w:hAnsi="Sylfaen"/>
          <w:sz w:val="24"/>
          <w:szCs w:val="24"/>
        </w:rPr>
        <w:t xml:space="preserve"> թվարկվեն «Անվտանգության, որակի, արդյունավետության գնահատում» ամփոփ փորձագիտական հաշվետվության մոդուլում: </w:t>
      </w:r>
    </w:p>
    <w:p w14:paraId="764B83AF"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lastRenderedPageBreak/>
        <w:t>Հաշվետվության մեջ նշված տեղեկատվության աղբյուրները (այդ թվում՝ դոսյեի սպեցիֆիկ բաժինները՝ ընդհանուր նկարագրությունը, ամփոփ տեղեկատվությունը, հետազոտությունների մասին հաշվետվությունները) ճիշտ ներկայացնելու համար անհրաժեշտ է օգտագործել խաչաձ</w:t>
      </w:r>
      <w:r w:rsidR="00C54D75">
        <w:rPr>
          <w:rFonts w:ascii="Sylfaen" w:hAnsi="Sylfaen"/>
          <w:sz w:val="24"/>
          <w:szCs w:val="24"/>
        </w:rPr>
        <w:t>և</w:t>
      </w:r>
      <w:r w:rsidRPr="00132EF0">
        <w:rPr>
          <w:rFonts w:ascii="Sylfaen" w:hAnsi="Sylfaen"/>
          <w:sz w:val="24"/>
          <w:szCs w:val="24"/>
        </w:rPr>
        <w:t xml:space="preserve"> հղումներ դոսյեի փաստաթղթերին, հղումներ գրականությանը </w:t>
      </w:r>
      <w:r w:rsidR="00C54D75">
        <w:rPr>
          <w:rFonts w:ascii="Sylfaen" w:hAnsi="Sylfaen"/>
          <w:sz w:val="24"/>
          <w:szCs w:val="24"/>
        </w:rPr>
        <w:t>և</w:t>
      </w:r>
      <w:r w:rsidRPr="00132EF0">
        <w:rPr>
          <w:rFonts w:ascii="Sylfaen" w:hAnsi="Sylfaen"/>
          <w:sz w:val="24"/>
          <w:szCs w:val="24"/>
        </w:rPr>
        <w:t xml:space="preserve"> այլ աղբյուրների:</w:t>
      </w:r>
    </w:p>
    <w:p w14:paraId="4A07C84F"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Հաշվետվության մեջ նա</w:t>
      </w:r>
      <w:r w:rsidR="00C54D75">
        <w:rPr>
          <w:rFonts w:ascii="Sylfaen" w:hAnsi="Sylfaen"/>
          <w:sz w:val="24"/>
          <w:szCs w:val="24"/>
        </w:rPr>
        <w:t>և</w:t>
      </w:r>
      <w:r w:rsidRPr="00132EF0">
        <w:rPr>
          <w:rFonts w:ascii="Sylfaen" w:hAnsi="Sylfaen"/>
          <w:sz w:val="24"/>
          <w:szCs w:val="24"/>
        </w:rPr>
        <w:t xml:space="preserve"> պետք է հատուկ ձ</w:t>
      </w:r>
      <w:r w:rsidR="00C54D75">
        <w:rPr>
          <w:rFonts w:ascii="Sylfaen" w:hAnsi="Sylfaen"/>
          <w:sz w:val="24"/>
          <w:szCs w:val="24"/>
        </w:rPr>
        <w:t>և</w:t>
      </w:r>
      <w:r w:rsidRPr="00132EF0">
        <w:rPr>
          <w:rFonts w:ascii="Sylfaen" w:hAnsi="Sylfaen"/>
          <w:sz w:val="24"/>
          <w:szCs w:val="24"/>
        </w:rPr>
        <w:t>ով ընդգծվեն այն տվյալները, որոնք անհրաժեշտ է ներառել դեղապատրաստուկի ընդհանուր բնութագրում (այսուհետ՝ ԴԸԲ)։</w:t>
      </w:r>
    </w:p>
    <w:p w14:paraId="279C6E1F"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Հնարավորության դեպքում տեղեկատվությունը պետք է ներկայացվի աղյուսակների, գծապատկերների </w:t>
      </w:r>
      <w:r w:rsidR="00C54D75">
        <w:rPr>
          <w:rFonts w:ascii="Sylfaen" w:hAnsi="Sylfaen"/>
          <w:sz w:val="24"/>
          <w:szCs w:val="24"/>
        </w:rPr>
        <w:t>և</w:t>
      </w:r>
      <w:r w:rsidRPr="00132EF0">
        <w:rPr>
          <w:rFonts w:ascii="Sylfaen" w:hAnsi="Sylfaen"/>
          <w:sz w:val="24"/>
          <w:szCs w:val="24"/>
        </w:rPr>
        <w:t xml:space="preserve"> նկարների տեսքով, որոնց օրինակները բերված են 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132EF0">
        <w:rPr>
          <w:rFonts w:ascii="Sylfaen" w:hAnsi="Sylfaen"/>
          <w:sz w:val="24"/>
          <w:szCs w:val="24"/>
        </w:rPr>
        <w:t xml:space="preserve"> փորձաքննության կանոնների թիվ 8 հավելվածում: Թույլատրվում է հաշվետվության մեջ ներառել պատրաստուկի դոսյեից աղյուսակներ: Ընդ որում, հարկ է բերել համապատասխան հղումներ: Նյութի ընկալումը դյուրացնելու համար կարող են սահմանափակ քանակությամբ ներառվել հայտատուի այնպիսի տվյալներ, ինչպիսիք են բլոկ-սխեմաները, մասնագրերը </w:t>
      </w:r>
      <w:r w:rsidR="00C54D75">
        <w:rPr>
          <w:rFonts w:ascii="Sylfaen" w:hAnsi="Sylfaen"/>
          <w:sz w:val="24"/>
          <w:szCs w:val="24"/>
        </w:rPr>
        <w:t>և</w:t>
      </w:r>
      <w:r w:rsidRPr="00132EF0">
        <w:rPr>
          <w:rFonts w:ascii="Sylfaen" w:hAnsi="Sylfaen"/>
          <w:sz w:val="24"/>
          <w:szCs w:val="24"/>
        </w:rPr>
        <w:t xml:space="preserve"> այլն:</w:t>
      </w:r>
    </w:p>
    <w:p w14:paraId="3739528F"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132EF0">
        <w:rPr>
          <w:rFonts w:ascii="Sylfaen" w:hAnsi="Sylfaen"/>
          <w:sz w:val="24"/>
          <w:szCs w:val="24"/>
        </w:rPr>
        <w:t xml:space="preserve"> փորձաքննության կանոնների թիվ 8 հավելվածի հաշվետվության ձ</w:t>
      </w:r>
      <w:r w:rsidR="00C54D75">
        <w:rPr>
          <w:rFonts w:ascii="Sylfaen" w:hAnsi="Sylfaen"/>
          <w:sz w:val="24"/>
          <w:szCs w:val="24"/>
        </w:rPr>
        <w:t>և</w:t>
      </w:r>
      <w:r w:rsidRPr="00132EF0">
        <w:rPr>
          <w:rFonts w:ascii="Sylfaen" w:hAnsi="Sylfaen"/>
          <w:sz w:val="24"/>
          <w:szCs w:val="24"/>
        </w:rPr>
        <w:t xml:space="preserve">անմուշում ավելացված են մի քանի առանձին էջեր, որոնք նախատեսված են հապավումների ցանկի </w:t>
      </w:r>
      <w:r w:rsidR="00C54D75">
        <w:rPr>
          <w:rFonts w:ascii="Sylfaen" w:hAnsi="Sylfaen"/>
          <w:sz w:val="24"/>
          <w:szCs w:val="24"/>
        </w:rPr>
        <w:t>և</w:t>
      </w:r>
      <w:r w:rsidRPr="00132EF0">
        <w:rPr>
          <w:rFonts w:ascii="Sylfaen" w:hAnsi="Sylfaen"/>
          <w:sz w:val="24"/>
          <w:szCs w:val="24"/>
        </w:rPr>
        <w:t xml:space="preserve"> գրականության ցանկի համար, այդ էջերը անհրաժեշտության դեպքում հարկ է լրացնել:</w:t>
      </w:r>
    </w:p>
    <w:p w14:paraId="2D2113BD"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Որպես հիմնական տեքստի տառատեսակ խորհուրդ է տրվում օգտագործել Times New Roman տառաշարը, տպատառի չափսը՝ 11 կետաչափից ոչ պակաս: Հաշվետվության ծավալի՝ 7 թերթի գերազանցման դեպքում հարկ է այն գլխակարգել՝ փորձագիտական հաշվետվության տեքստում հեշտությամբ կողմնորոշվելու համար:</w:t>
      </w:r>
    </w:p>
    <w:p w14:paraId="68FF00B1" w14:textId="77777777" w:rsidR="008C76E0" w:rsidRPr="00132EF0" w:rsidRDefault="008C76E0" w:rsidP="00132EF0">
      <w:pPr>
        <w:spacing w:after="160" w:line="360" w:lineRule="auto"/>
        <w:ind w:left="567" w:right="565"/>
        <w:jc w:val="center"/>
        <w:rPr>
          <w:rFonts w:ascii="Sylfaen" w:hAnsi="Sylfaen"/>
          <w:sz w:val="24"/>
          <w:szCs w:val="24"/>
        </w:rPr>
      </w:pPr>
      <w:r w:rsidRPr="00132EF0">
        <w:rPr>
          <w:rFonts w:ascii="Sylfaen" w:hAnsi="Sylfaen"/>
          <w:sz w:val="24"/>
          <w:szCs w:val="24"/>
        </w:rPr>
        <w:t xml:space="preserve">II. Կրիտիկական գնահատական </w:t>
      </w:r>
      <w:r w:rsidR="00C54D75">
        <w:rPr>
          <w:rFonts w:ascii="Sylfaen" w:hAnsi="Sylfaen"/>
          <w:sz w:val="24"/>
          <w:szCs w:val="24"/>
        </w:rPr>
        <w:t>և</w:t>
      </w:r>
      <w:r w:rsidRPr="00132EF0">
        <w:rPr>
          <w:rFonts w:ascii="Sylfaen" w:hAnsi="Sylfaen"/>
          <w:sz w:val="24"/>
          <w:szCs w:val="24"/>
        </w:rPr>
        <w:t xml:space="preserve"> որակի փորձաքննություն</w:t>
      </w:r>
    </w:p>
    <w:p w14:paraId="19CA67A3"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lastRenderedPageBreak/>
        <w:t>Ստոր</w:t>
      </w:r>
      <w:r w:rsidR="00C54D75">
        <w:rPr>
          <w:rFonts w:ascii="Sylfaen" w:hAnsi="Sylfaen"/>
          <w:sz w:val="24"/>
          <w:szCs w:val="24"/>
        </w:rPr>
        <w:t>և</w:t>
      </w:r>
      <w:r w:rsidRPr="00132EF0">
        <w:rPr>
          <w:rFonts w:ascii="Sylfaen" w:hAnsi="Sylfaen"/>
          <w:sz w:val="24"/>
          <w:szCs w:val="24"/>
        </w:rPr>
        <w:t xml:space="preserve"> բերված՝ որակի կրիտիկական գնահատականի մասին հաշվետվության կառուցվածքը հիմնականում, բացի մի քանի բաժիններից, օրինակ՝ «Ներածություն» բաժնից, համապատասխանում է գրանցման դոսյեի կառուցվածքին՝ արտադրանքի մասին իրազեկող տեղեկատվություն ներկայացնելու համար:</w:t>
      </w:r>
    </w:p>
    <w:p w14:paraId="04F689D2"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Չնայած նշված ձեռնարկը կիրառելի է ինչպես նոր, այնպես էլ հայտնի ակտիվ քիմիական բաղադրամասերի </w:t>
      </w:r>
      <w:r w:rsidR="00C54D75">
        <w:rPr>
          <w:rFonts w:ascii="Sylfaen" w:hAnsi="Sylfaen"/>
          <w:sz w:val="24"/>
          <w:szCs w:val="24"/>
        </w:rPr>
        <w:t>և</w:t>
      </w:r>
      <w:r w:rsidRPr="00132EF0">
        <w:rPr>
          <w:rFonts w:ascii="Sylfaen" w:hAnsi="Sylfaen"/>
          <w:sz w:val="24"/>
          <w:szCs w:val="24"/>
        </w:rPr>
        <w:t xml:space="preserve"> կենսատեխնոլոգիական (կենսաբանական) արտադրանքի համար, որոշ դեպքերում բերվում են որոշակի լրացուցիչ ցուցումներ՝ կա՛մ նոր քիմիական բաղադրամասերի, կա՛մ կենսատեխնոլոգիական (կենսաբանական) արտադրանքի համար:</w:t>
      </w:r>
    </w:p>
    <w:p w14:paraId="0111FA36"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Նա</w:t>
      </w:r>
      <w:r w:rsidR="00C54D75">
        <w:rPr>
          <w:rFonts w:ascii="Sylfaen" w:hAnsi="Sylfaen"/>
          <w:sz w:val="24"/>
          <w:szCs w:val="24"/>
        </w:rPr>
        <w:t>և</w:t>
      </w:r>
      <w:r w:rsidRPr="00132EF0">
        <w:rPr>
          <w:rFonts w:ascii="Sylfaen" w:hAnsi="Sylfaen"/>
          <w:sz w:val="24"/>
          <w:szCs w:val="24"/>
        </w:rPr>
        <w:t xml:space="preserve"> հարկ է ծանոթանալ հայտատուի համար՝ գրանցման դոսյեի կազմման մասով հանձնարարականներին ոչ այնքան սույն փաստաթղթում տվյալ հրահանգների կիրառման, որքան փորձագետների ուշադրությունը գրանցման դոսյեում հատուկ չնկարագրված որոշ լրացուցիչ ասպեկտների վրա հրավիրելու համար: Անհրաժեշտ է ուշադրություն դարձնել այն փաստին, որ պարզության համար ստոր</w:t>
      </w:r>
      <w:r w:rsidR="00C54D75">
        <w:rPr>
          <w:rFonts w:ascii="Sylfaen" w:hAnsi="Sylfaen"/>
          <w:sz w:val="24"/>
          <w:szCs w:val="24"/>
        </w:rPr>
        <w:t>և</w:t>
      </w:r>
      <w:r w:rsidRPr="00132EF0">
        <w:rPr>
          <w:rFonts w:ascii="Sylfaen" w:hAnsi="Sylfaen"/>
          <w:sz w:val="24"/>
          <w:szCs w:val="24"/>
        </w:rPr>
        <w:t xml:space="preserve"> ներկայացված հաշվետվության կառուցվածքում բերվում են միայն գրանցման դոսյեի «հիմնական» վերնագրերը: Փորձագետները կարող են ավելացնել որոշ վերնագրեր՝ կախված արտադրանքի առանձնահատկություններից: </w:t>
      </w:r>
    </w:p>
    <w:p w14:paraId="29B89095"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Գաղտնի </w:t>
      </w:r>
      <w:r w:rsidR="00C54D75">
        <w:rPr>
          <w:rFonts w:ascii="Sylfaen" w:hAnsi="Sylfaen"/>
          <w:sz w:val="24"/>
          <w:szCs w:val="24"/>
        </w:rPr>
        <w:t>և</w:t>
      </w:r>
      <w:r w:rsidRPr="00132EF0">
        <w:rPr>
          <w:rFonts w:ascii="Sylfaen" w:hAnsi="Sylfaen"/>
          <w:sz w:val="24"/>
          <w:szCs w:val="24"/>
        </w:rPr>
        <w:t xml:space="preserve"> հայտատուին՝ ի գիտություն չնախատեսված տեղեկատվությանը արված հղումները (օրինակ՝ հղումներ այլ դեղապատրաստուկի գնահատման հաշվետվությանը) պետք է հստակ նշված լինեն որպես «Գաղտնի տեղեկատվություն» </w:t>
      </w:r>
      <w:r w:rsidR="00C54D75">
        <w:rPr>
          <w:rFonts w:ascii="Sylfaen" w:hAnsi="Sylfaen"/>
          <w:sz w:val="24"/>
          <w:szCs w:val="24"/>
        </w:rPr>
        <w:t>և</w:t>
      </w:r>
      <w:r w:rsidRPr="00132EF0">
        <w:rPr>
          <w:rFonts w:ascii="Sylfaen" w:hAnsi="Sylfaen"/>
          <w:sz w:val="24"/>
          <w:szCs w:val="24"/>
        </w:rPr>
        <w:t xml:space="preserve"> առանձնացվեն դեղին ֆոնով: Հայտատուին ուղարկելուց առաջ այս բաժինները պետք է հաշվետվությունից հանվեն:</w:t>
      </w:r>
    </w:p>
    <w:p w14:paraId="288F68FE"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Որակի կրիտիկական գնահատականի մասին սույն հաշվետվությունը պետք է իրենից ներկայացնի ինքնուրույն փաստաթուղթ, ինչը իրագործելի է հետ</w:t>
      </w:r>
      <w:r w:rsidR="00C54D75">
        <w:rPr>
          <w:rFonts w:ascii="Sylfaen" w:hAnsi="Sylfaen"/>
          <w:sz w:val="24"/>
          <w:szCs w:val="24"/>
        </w:rPr>
        <w:t>և</w:t>
      </w:r>
      <w:r w:rsidRPr="00132EF0">
        <w:rPr>
          <w:rFonts w:ascii="Sylfaen" w:hAnsi="Sylfaen"/>
          <w:sz w:val="24"/>
          <w:szCs w:val="24"/>
        </w:rPr>
        <w:t>յալ եղանակներով՝</w:t>
      </w:r>
    </w:p>
    <w:p w14:paraId="20BB947B"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հայտատուի դոսյեից վերցված տվյալների ներկայացմամբ կամ </w:t>
      </w:r>
      <w:r w:rsidRPr="00132EF0">
        <w:rPr>
          <w:rFonts w:ascii="Sylfaen" w:hAnsi="Sylfaen"/>
          <w:sz w:val="24"/>
          <w:szCs w:val="24"/>
        </w:rPr>
        <w:lastRenderedPageBreak/>
        <w:t>պատճենմամբ, որին հետ</w:t>
      </w:r>
      <w:r w:rsidR="00C54D75">
        <w:rPr>
          <w:rFonts w:ascii="Sylfaen" w:hAnsi="Sylfaen"/>
          <w:sz w:val="24"/>
          <w:szCs w:val="24"/>
        </w:rPr>
        <w:t>և</w:t>
      </w:r>
      <w:r w:rsidRPr="00132EF0">
        <w:rPr>
          <w:rFonts w:ascii="Sylfaen" w:hAnsi="Sylfaen"/>
          <w:sz w:val="24"/>
          <w:szCs w:val="24"/>
        </w:rPr>
        <w:t xml:space="preserve">ում է փորձագետի կողմից այդ տվյալների մասով սեփական կրիտիկական գնահատականը, մասնավորապես, անվտանգության (արդյունավետության) հարցերի մասով, </w:t>
      </w:r>
      <w:r w:rsidR="00C54D75">
        <w:rPr>
          <w:rFonts w:ascii="Sylfaen" w:hAnsi="Sylfaen"/>
          <w:sz w:val="24"/>
          <w:szCs w:val="24"/>
        </w:rPr>
        <w:t>և</w:t>
      </w:r>
      <w:r w:rsidRPr="00132EF0">
        <w:rPr>
          <w:rFonts w:ascii="Sylfaen" w:hAnsi="Sylfaen"/>
          <w:sz w:val="24"/>
          <w:szCs w:val="24"/>
        </w:rPr>
        <w:t xml:space="preserve"> ուշադրությունը ս</w:t>
      </w:r>
      <w:r w:rsidR="00C54D75">
        <w:rPr>
          <w:rFonts w:ascii="Sylfaen" w:hAnsi="Sylfaen"/>
          <w:sz w:val="24"/>
          <w:szCs w:val="24"/>
        </w:rPr>
        <w:t>և</w:t>
      </w:r>
      <w:r w:rsidRPr="00132EF0">
        <w:rPr>
          <w:rFonts w:ascii="Sylfaen" w:hAnsi="Sylfaen"/>
          <w:sz w:val="24"/>
          <w:szCs w:val="24"/>
        </w:rPr>
        <w:t>եռելով որոշ ուղենշային փաստաթղթերի պահանջներին համապատասխանության վրա: Նման դեպքերում շփոթությունից խուսափելու համար մեկնաբանությունները ներառվում են «Փորձագետի մեկնաբանություններ» համապատասխան վերնագրի ներքո.</w:t>
      </w:r>
    </w:p>
    <w:p w14:paraId="573BF75B"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հաշվետվության մեջ հիմնականում շարադրելով փորձագետի սեփական տեսակետները՝ հղումներ կատարելով հայտատուի տվյալներին </w:t>
      </w:r>
      <w:r w:rsidR="00C54D75">
        <w:rPr>
          <w:rFonts w:ascii="Sylfaen" w:hAnsi="Sylfaen"/>
          <w:sz w:val="24"/>
          <w:szCs w:val="24"/>
        </w:rPr>
        <w:t>և</w:t>
      </w:r>
      <w:r w:rsidRPr="00132EF0">
        <w:rPr>
          <w:rFonts w:ascii="Sylfaen" w:hAnsi="Sylfaen"/>
          <w:sz w:val="24"/>
          <w:szCs w:val="24"/>
        </w:rPr>
        <w:t xml:space="preserve"> (կամ) Որակի ընդհանուր ռեզյումեին: Այդ դեպքում փորձագետի եզրակացությունը ենթակա է ընթերցման կից ներկայացված Որակի ընդհանուր ռեզյումեի հետ միասին: Ընդ որում, փորձագետի մեկնաբանությունների համար լրացուցիչ վերնագրերի անհրաժեշտություն չկա:</w:t>
      </w:r>
    </w:p>
    <w:p w14:paraId="328D36E3"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Եզրակացություն կազմելիս փորձագետը նա</w:t>
      </w:r>
      <w:r w:rsidR="00C54D75">
        <w:rPr>
          <w:rFonts w:ascii="Sylfaen" w:hAnsi="Sylfaen"/>
          <w:sz w:val="24"/>
          <w:szCs w:val="24"/>
        </w:rPr>
        <w:t>և</w:t>
      </w:r>
      <w:r w:rsidRPr="00132EF0">
        <w:rPr>
          <w:rFonts w:ascii="Sylfaen" w:hAnsi="Sylfaen"/>
          <w:sz w:val="24"/>
          <w:szCs w:val="24"/>
        </w:rPr>
        <w:t xml:space="preserve"> կարող է օգտվել համապատասխան ձեռնարկներից </w:t>
      </w:r>
      <w:r w:rsidR="00C54D75">
        <w:rPr>
          <w:rFonts w:ascii="Sylfaen" w:hAnsi="Sylfaen"/>
          <w:sz w:val="24"/>
          <w:szCs w:val="24"/>
        </w:rPr>
        <w:t>և</w:t>
      </w:r>
      <w:r w:rsidRPr="00132EF0">
        <w:rPr>
          <w:rFonts w:ascii="Sylfaen" w:hAnsi="Sylfaen"/>
          <w:sz w:val="24"/>
          <w:szCs w:val="24"/>
        </w:rPr>
        <w:t xml:space="preserve"> հանձնարարականներից: </w:t>
      </w:r>
    </w:p>
    <w:p w14:paraId="6E7F75EF"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Փորձագետը, որպես կանոն, որակին վերաբերող հարցերը պետք է զուգադրի դիտարկվող դեղապատրաստուկի արդյունավետության </w:t>
      </w:r>
      <w:r w:rsidR="00C54D75">
        <w:rPr>
          <w:rFonts w:ascii="Sylfaen" w:hAnsi="Sylfaen"/>
          <w:sz w:val="24"/>
          <w:szCs w:val="24"/>
        </w:rPr>
        <w:t>և</w:t>
      </w:r>
      <w:r w:rsidRPr="00132EF0">
        <w:rPr>
          <w:rFonts w:ascii="Sylfaen" w:hAnsi="Sylfaen"/>
          <w:sz w:val="24"/>
          <w:szCs w:val="24"/>
        </w:rPr>
        <w:t xml:space="preserve"> անվտանգության հետ: Նա</w:t>
      </w:r>
      <w:r w:rsidR="00C54D75">
        <w:rPr>
          <w:rFonts w:ascii="Sylfaen" w:hAnsi="Sylfaen"/>
          <w:sz w:val="24"/>
          <w:szCs w:val="24"/>
        </w:rPr>
        <w:t>և</w:t>
      </w:r>
      <w:r w:rsidRPr="00132EF0">
        <w:rPr>
          <w:rFonts w:ascii="Sylfaen" w:hAnsi="Sylfaen"/>
          <w:sz w:val="24"/>
          <w:szCs w:val="24"/>
        </w:rPr>
        <w:t xml:space="preserve"> հարկ է լուսաբանել այն հարցերը, որոնք առաջացել են գիտական գնահատման արդյունքներով (ստոր</w:t>
      </w:r>
      <w:r w:rsidR="00C54D75">
        <w:rPr>
          <w:rFonts w:ascii="Sylfaen" w:hAnsi="Sylfaen"/>
          <w:sz w:val="24"/>
          <w:szCs w:val="24"/>
        </w:rPr>
        <w:t>և</w:t>
      </w:r>
      <w:r w:rsidRPr="00132EF0">
        <w:rPr>
          <w:rFonts w:ascii="Sylfaen" w:hAnsi="Sylfaen"/>
          <w:sz w:val="24"/>
          <w:szCs w:val="24"/>
        </w:rPr>
        <w:t xml:space="preserve"> նկարագրված) </w:t>
      </w:r>
      <w:r w:rsidR="00C54D75">
        <w:rPr>
          <w:rFonts w:ascii="Sylfaen" w:hAnsi="Sylfaen"/>
          <w:sz w:val="24"/>
          <w:szCs w:val="24"/>
        </w:rPr>
        <w:t>և</w:t>
      </w:r>
      <w:r w:rsidRPr="00132EF0">
        <w:rPr>
          <w:rFonts w:ascii="Sylfaen" w:hAnsi="Sylfaen"/>
          <w:sz w:val="24"/>
          <w:szCs w:val="24"/>
        </w:rPr>
        <w:t xml:space="preserve"> վերաբերում են պատրաստուկի մասին տեղեկատվությանը (ԴԸԲ-ի, մականշվածքի </w:t>
      </w:r>
      <w:r w:rsidR="00C54D75">
        <w:rPr>
          <w:rFonts w:ascii="Sylfaen" w:hAnsi="Sylfaen"/>
          <w:sz w:val="24"/>
          <w:szCs w:val="24"/>
        </w:rPr>
        <w:t>և</w:t>
      </w:r>
      <w:r w:rsidRPr="00132EF0">
        <w:rPr>
          <w:rFonts w:ascii="Sylfaen" w:hAnsi="Sylfaen"/>
          <w:sz w:val="24"/>
          <w:szCs w:val="24"/>
        </w:rPr>
        <w:t xml:space="preserve"> բժշկական կիրառման հրահանգի (ներդիր թերթիկի) մասով դիտողություններ):</w:t>
      </w:r>
    </w:p>
    <w:p w14:paraId="2ADC3901"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Կենսահամանման (կենսանման) դեղապատրաստուկի գրանցման համար հայտ ներկայացնելիս անհրաժեշտ է ներկայացնել ծավալուն համադրական գնահատական՝ կենսահամանման (կենսանման) դեղապատրաստուկի </w:t>
      </w:r>
      <w:r w:rsidR="00C54D75">
        <w:rPr>
          <w:rFonts w:ascii="Sylfaen" w:hAnsi="Sylfaen"/>
          <w:sz w:val="24"/>
          <w:szCs w:val="24"/>
        </w:rPr>
        <w:t>և</w:t>
      </w:r>
      <w:r w:rsidRPr="00132EF0">
        <w:rPr>
          <w:rFonts w:ascii="Sylfaen" w:hAnsi="Sylfaen"/>
          <w:sz w:val="24"/>
          <w:szCs w:val="24"/>
        </w:rPr>
        <w:t xml:space="preserve"> Միությունում արդեն գրանցված ռեֆերենտ պատրաստուկների՝ որակի, անվտանգության </w:t>
      </w:r>
      <w:r w:rsidR="00C54D75">
        <w:rPr>
          <w:rFonts w:ascii="Sylfaen" w:hAnsi="Sylfaen"/>
          <w:sz w:val="24"/>
          <w:szCs w:val="24"/>
        </w:rPr>
        <w:t>և</w:t>
      </w:r>
      <w:r w:rsidRPr="00132EF0">
        <w:rPr>
          <w:rFonts w:ascii="Sylfaen" w:hAnsi="Sylfaen"/>
          <w:sz w:val="24"/>
          <w:szCs w:val="24"/>
        </w:rPr>
        <w:t xml:space="preserve"> արդյունավետության առումով նման բնութագրեր ունենալը հաստատելու համար:</w:t>
      </w:r>
    </w:p>
    <w:p w14:paraId="5D83937C"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Ռեֆերենտ պատրաստուկի դեղաչափի, դեղաձ</w:t>
      </w:r>
      <w:r w:rsidR="00C54D75">
        <w:rPr>
          <w:rFonts w:ascii="Sylfaen" w:hAnsi="Sylfaen"/>
          <w:sz w:val="24"/>
          <w:szCs w:val="24"/>
        </w:rPr>
        <w:t>և</w:t>
      </w:r>
      <w:r w:rsidRPr="00132EF0">
        <w:rPr>
          <w:rFonts w:ascii="Sylfaen" w:hAnsi="Sylfaen"/>
          <w:sz w:val="24"/>
          <w:szCs w:val="24"/>
        </w:rPr>
        <w:t xml:space="preserve">ի (անվանումը), գրանցման </w:t>
      </w:r>
      <w:r w:rsidRPr="00132EF0">
        <w:rPr>
          <w:rFonts w:ascii="Sylfaen" w:hAnsi="Sylfaen"/>
          <w:sz w:val="24"/>
          <w:szCs w:val="24"/>
        </w:rPr>
        <w:lastRenderedPageBreak/>
        <w:t xml:space="preserve">հավաստագրի իրավատիրոջ, գրանցման հավաստագրի տրամադրման ամսաթվի մասին մանրամասն տեղեկատվությունը պետք է ստուգվի գրանցման դոսյեի վալիդացման (լրակազմության գնահատման) փուլում: Ի լրումն տվյալ տեղեկատվության՝ փորձագետի կողմից հաստատվում են սերիաների համարները </w:t>
      </w:r>
      <w:r w:rsidR="00C54D75">
        <w:rPr>
          <w:rFonts w:ascii="Sylfaen" w:hAnsi="Sylfaen"/>
          <w:sz w:val="24"/>
          <w:szCs w:val="24"/>
        </w:rPr>
        <w:t>և</w:t>
      </w:r>
      <w:r w:rsidRPr="00132EF0">
        <w:rPr>
          <w:rFonts w:ascii="Sylfaen" w:hAnsi="Sylfaen"/>
          <w:sz w:val="24"/>
          <w:szCs w:val="24"/>
        </w:rPr>
        <w:t xml:space="preserve"> համադրական գնահատման ժամանակ (որակային հատկանիշների, նախակլինիկական </w:t>
      </w:r>
      <w:r w:rsidR="00C54D75">
        <w:rPr>
          <w:rFonts w:ascii="Sylfaen" w:hAnsi="Sylfaen"/>
          <w:sz w:val="24"/>
          <w:szCs w:val="24"/>
        </w:rPr>
        <w:t>և</w:t>
      </w:r>
      <w:r w:rsidRPr="00132EF0">
        <w:rPr>
          <w:rFonts w:ascii="Sylfaen" w:hAnsi="Sylfaen"/>
          <w:sz w:val="24"/>
          <w:szCs w:val="24"/>
        </w:rPr>
        <w:t xml:space="preserve"> կլինիկական հետազոտությունների տվյալների գնահատում) օգտագործվող դեղապատրաստուկի սերիաների ծագման երկրի մասին տեղեկությունները՝ դրանք այնուհետ</w:t>
      </w:r>
      <w:r w:rsidR="00C54D75">
        <w:rPr>
          <w:rFonts w:ascii="Sylfaen" w:hAnsi="Sylfaen"/>
          <w:sz w:val="24"/>
          <w:szCs w:val="24"/>
        </w:rPr>
        <w:t>և</w:t>
      </w:r>
      <w:r w:rsidRPr="00132EF0">
        <w:rPr>
          <w:rFonts w:ascii="Sylfaen" w:hAnsi="Sylfaen"/>
          <w:sz w:val="24"/>
          <w:szCs w:val="24"/>
        </w:rPr>
        <w:t xml:space="preserve"> աղյուսակային ձ</w:t>
      </w:r>
      <w:r w:rsidR="00C54D75">
        <w:rPr>
          <w:rFonts w:ascii="Sylfaen" w:hAnsi="Sylfaen"/>
          <w:sz w:val="24"/>
          <w:szCs w:val="24"/>
        </w:rPr>
        <w:t>և</w:t>
      </w:r>
      <w:r w:rsidRPr="00132EF0">
        <w:rPr>
          <w:rFonts w:ascii="Sylfaen" w:hAnsi="Sylfaen"/>
          <w:sz w:val="24"/>
          <w:szCs w:val="24"/>
        </w:rPr>
        <w:t xml:space="preserve">ով ներկայացնելով պատրաստուկի որակին վերաբերող բաժնում (Եվրասիական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132EF0">
        <w:rPr>
          <w:rFonts w:ascii="Sylfaen" w:hAnsi="Sylfaen"/>
          <w:sz w:val="24"/>
          <w:szCs w:val="24"/>
        </w:rPr>
        <w:t xml:space="preserve"> փորձաքննության կանոնների թիվ 4՝ «Ստանդարտ նմուշներ </w:t>
      </w:r>
      <w:r w:rsidR="00C54D75">
        <w:rPr>
          <w:rFonts w:ascii="Sylfaen" w:hAnsi="Sylfaen"/>
          <w:sz w:val="24"/>
          <w:szCs w:val="24"/>
        </w:rPr>
        <w:t>և</w:t>
      </w:r>
      <w:r w:rsidRPr="00132EF0">
        <w:rPr>
          <w:rFonts w:ascii="Sylfaen" w:hAnsi="Sylfaen"/>
          <w:sz w:val="24"/>
          <w:szCs w:val="24"/>
        </w:rPr>
        <w:t xml:space="preserve"> նյութեր» հավելված, ԸՏՓ-ի մոդուլ 3.2.Р.6):</w:t>
      </w:r>
    </w:p>
    <w:p w14:paraId="1BBDD7C3"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Կենսահամանման (կենսանման) դեղապատրաստուկների գրանցման դոսյեի փորձաքննության ժամանակ հարկ է առաջնորդվել Միության ձեռնարկներում </w:t>
      </w:r>
      <w:r w:rsidR="00C54D75">
        <w:rPr>
          <w:rFonts w:ascii="Sylfaen" w:hAnsi="Sylfaen"/>
          <w:sz w:val="24"/>
          <w:szCs w:val="24"/>
        </w:rPr>
        <w:t>և</w:t>
      </w:r>
      <w:r w:rsidRPr="00132EF0">
        <w:rPr>
          <w:rFonts w:ascii="Sylfaen" w:hAnsi="Sylfaen"/>
          <w:sz w:val="24"/>
          <w:szCs w:val="24"/>
        </w:rPr>
        <w:t xml:space="preserve"> անդամ պետությունների համապատասխան ազգային ձեռնարկներում շարադրված պահանջներով: Բացի վերը նշվածներից՝ ընդունելի լինելու դեպքում կարող են կիրառվել կենսատեխնոլոգիական դեղապատրաստուկների վերաբերյալ այլ համապատասխան ձեռնարկներ:</w:t>
      </w:r>
    </w:p>
    <w:p w14:paraId="5D0B13E7"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Կենսահամանման (կենսանման) դեղապատրաստուկի բնութագրերի համեմատական գնահատականի արդյունքները գրանցման դոսյեի լրացուցիչ տարրեր են ԸՏՓ-ի ձ</w:t>
      </w:r>
      <w:r w:rsidR="00C54D75">
        <w:rPr>
          <w:rFonts w:ascii="Sylfaen" w:hAnsi="Sylfaen"/>
          <w:sz w:val="24"/>
          <w:szCs w:val="24"/>
        </w:rPr>
        <w:t>և</w:t>
      </w:r>
      <w:r w:rsidRPr="00132EF0">
        <w:rPr>
          <w:rFonts w:ascii="Sylfaen" w:hAnsi="Sylfaen"/>
          <w:sz w:val="24"/>
          <w:szCs w:val="24"/>
        </w:rPr>
        <w:t xml:space="preserve">աչափով, որն ընդունելի լինելու դեպքում կատարվում է հայտատուի կողմից ներկայացված համեմատական տվյալներ պարունակող առանձին բաժինների հիման վրա: Ընդ որում, եզրակացության հիման վրա «Անվտանգության, որակի, արդյունավետության գնահատում» ամփոփ փորձագիտական հաշվետվության մոդուլում պետք է սահմանվեն՝ արդյոք հաստատվել է համադրելիությունն ինչպես ակտիվ դեղագործական բաղադրամասի, այնպես էլ դեղապատրաստուկի համար: </w:t>
      </w:r>
    </w:p>
    <w:p w14:paraId="0D076A60" w14:textId="77777777" w:rsidR="008C76E0" w:rsidRPr="00132EF0" w:rsidRDefault="008C76E0" w:rsidP="00132EF0">
      <w:pPr>
        <w:spacing w:after="160" w:line="360" w:lineRule="auto"/>
        <w:ind w:left="567" w:right="565"/>
        <w:jc w:val="center"/>
        <w:outlineLvl w:val="0"/>
        <w:rPr>
          <w:rFonts w:ascii="Sylfaen" w:hAnsi="Sylfaen"/>
          <w:sz w:val="24"/>
          <w:szCs w:val="24"/>
        </w:rPr>
      </w:pPr>
      <w:r w:rsidRPr="00132EF0">
        <w:rPr>
          <w:rFonts w:ascii="Sylfaen" w:hAnsi="Sylfaen"/>
          <w:sz w:val="24"/>
          <w:szCs w:val="24"/>
        </w:rPr>
        <w:t xml:space="preserve">1.Նախքան գրանցման հավաստագիր տրամադրելը դեղագործական </w:t>
      </w:r>
      <w:r w:rsidRPr="00132EF0">
        <w:rPr>
          <w:rFonts w:ascii="Sylfaen" w:hAnsi="Sylfaen"/>
          <w:sz w:val="24"/>
          <w:szCs w:val="24"/>
        </w:rPr>
        <w:lastRenderedPageBreak/>
        <w:t>արտադրության տեսչական ստուգում անցկացնելու հարցումը</w:t>
      </w:r>
    </w:p>
    <w:p w14:paraId="7088961A"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Եթե փորձաքննության ընթացակարգի անցկացման ժամանակ հայտնաբերվում են այնպիսի փաստեր, որոնք կասկածի են ենթարկում դեղապատրաստուկի արտադրության վերաբերյալ գրանցման դոսյեում ներկայացված տեղեկությունների հավաստիությունը, </w:t>
      </w:r>
      <w:r w:rsidR="00C54D75">
        <w:rPr>
          <w:rFonts w:ascii="Sylfaen" w:hAnsi="Sylfaen"/>
          <w:sz w:val="24"/>
          <w:szCs w:val="24"/>
        </w:rPr>
        <w:t>և</w:t>
      </w:r>
      <w:r w:rsidRPr="00132EF0">
        <w:rPr>
          <w:rFonts w:ascii="Sylfaen" w:hAnsi="Sylfaen"/>
          <w:sz w:val="24"/>
          <w:szCs w:val="24"/>
        </w:rPr>
        <w:t xml:space="preserve"> որոնց համար պահանջվում է անցկացնել արտադրության տեսչական ստուգում, գրանցման դոսյեի գնահատման փուլում համապատասխան լիազորված մարմինը պետք է հնարավորինս կարճ ժամկետներում ծանուցվի այդ մասին: Քանի որ տեսչական ստուգում կազմակերպելու համար պահանջվում է ժամանակ, անհրաժեշտ է նման գործողություն ձեռնարկել մինչ</w:t>
      </w:r>
      <w:r w:rsidR="00C54D75">
        <w:rPr>
          <w:rFonts w:ascii="Sylfaen" w:hAnsi="Sylfaen"/>
          <w:sz w:val="24"/>
          <w:szCs w:val="24"/>
        </w:rPr>
        <w:t>և</w:t>
      </w:r>
      <w:r w:rsidRPr="00132EF0">
        <w:rPr>
          <w:rFonts w:ascii="Sylfaen" w:hAnsi="Sylfaen"/>
          <w:sz w:val="24"/>
          <w:szCs w:val="24"/>
        </w:rPr>
        <w:t xml:space="preserve"> գրանցման հավաստագրի տրամադրումը: Համապատասխան լիազորված մարմինը պետք է հնարավորության դեպքում,ծանուցված լինի նախքան գրանցման դոսյեի կրիտիկական գնահատականի մասին հաշվետվության նախապատրաստումը, ընդ որում, տվյալ հարցումը հետագայում պետք է նշվի հաշվետվության համապատասխան մասում: Հարկ է ընդգծել, որ հարցումներ կարող են ներկայացվել գրանցման դոսյեի՝ որակի ասպեկտներին վերաբերող մոդուլների ցանկացած բաժնի փորձաքննության արդյունքների հիման վրա: Հարցման հիմքերը պետք է համառոտ նկարագրվեն ինչպես պատշաճ արտադրական գործունեության կանոններին ընդհանուր համապատասխանության ստուգման </w:t>
      </w:r>
      <w:r w:rsidR="00C54D75">
        <w:rPr>
          <w:rFonts w:ascii="Sylfaen" w:hAnsi="Sylfaen"/>
          <w:sz w:val="24"/>
          <w:szCs w:val="24"/>
        </w:rPr>
        <w:t>և</w:t>
      </w:r>
      <w:r w:rsidRPr="00132EF0">
        <w:rPr>
          <w:rFonts w:ascii="Sylfaen" w:hAnsi="Sylfaen"/>
          <w:sz w:val="24"/>
          <w:szCs w:val="24"/>
        </w:rPr>
        <w:t xml:space="preserve"> (կամ) արտադրական պրոցեսի գնահատման տեսչական ստուգման մասով, այնպես էլ համապատասխան բաժնում կոնկրետ արտադրանքի որակի մասով </w:t>
      </w:r>
      <w:r w:rsidR="00C54D75">
        <w:rPr>
          <w:rFonts w:ascii="Sylfaen" w:hAnsi="Sylfaen"/>
          <w:sz w:val="24"/>
          <w:szCs w:val="24"/>
        </w:rPr>
        <w:t>և</w:t>
      </w:r>
      <w:r w:rsidRPr="00132EF0">
        <w:rPr>
          <w:rFonts w:ascii="Sylfaen" w:hAnsi="Sylfaen"/>
          <w:sz w:val="24"/>
          <w:szCs w:val="24"/>
        </w:rPr>
        <w:t xml:space="preserve"> առավել մանրամասն՝ հաշվետվության՝ ստոր</w:t>
      </w:r>
      <w:r w:rsidR="00C54D75">
        <w:rPr>
          <w:rFonts w:ascii="Sylfaen" w:hAnsi="Sylfaen"/>
          <w:sz w:val="24"/>
          <w:szCs w:val="24"/>
        </w:rPr>
        <w:t>և</w:t>
      </w:r>
      <w:r w:rsidRPr="00132EF0">
        <w:rPr>
          <w:rFonts w:ascii="Sylfaen" w:hAnsi="Sylfaen"/>
          <w:sz w:val="24"/>
          <w:szCs w:val="24"/>
        </w:rPr>
        <w:t xml:space="preserve"> բերված համապատասխան բաժնում, օրինակ՝ S.2, Р.3: </w:t>
      </w:r>
    </w:p>
    <w:p w14:paraId="42F34A3F" w14:textId="77777777" w:rsidR="008C76E0" w:rsidRPr="00132EF0" w:rsidRDefault="008C76E0" w:rsidP="00132EF0">
      <w:pPr>
        <w:spacing w:after="160" w:line="360" w:lineRule="auto"/>
        <w:ind w:right="-1" w:firstLine="567"/>
        <w:jc w:val="center"/>
        <w:rPr>
          <w:rFonts w:ascii="Sylfaen" w:hAnsi="Sylfaen"/>
          <w:sz w:val="24"/>
          <w:szCs w:val="24"/>
        </w:rPr>
      </w:pPr>
    </w:p>
    <w:p w14:paraId="0A7434D2" w14:textId="77777777" w:rsidR="008C76E0" w:rsidRPr="00132EF0" w:rsidRDefault="008C76E0" w:rsidP="00132EF0">
      <w:pPr>
        <w:spacing w:after="160" w:line="360" w:lineRule="auto"/>
        <w:ind w:left="567" w:right="565"/>
        <w:jc w:val="center"/>
        <w:rPr>
          <w:rFonts w:ascii="Sylfaen" w:hAnsi="Sylfaen"/>
          <w:sz w:val="24"/>
          <w:szCs w:val="24"/>
        </w:rPr>
      </w:pPr>
      <w:r w:rsidRPr="00132EF0">
        <w:rPr>
          <w:rFonts w:ascii="Sylfaen" w:hAnsi="Sylfaen"/>
          <w:sz w:val="24"/>
          <w:szCs w:val="24"/>
        </w:rPr>
        <w:t>Ակտիվ դեղագործական բաղադրամասի արտադրությունը</w:t>
      </w:r>
    </w:p>
    <w:p w14:paraId="271B1F47"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Դեղապատրաստուկների արտադրության մեջ օգտագործվող ակտիվ դեղագործական բաղադրամասերի արտադրությունը պետք է համապատասխանի Եվրասիական տնտեսական հանձնաժողովի կողմից հաստատվող՝ Եվրասիական տնտեսական միության պատշաճ արտադրական գործունեության կանոնների </w:t>
      </w:r>
      <w:r w:rsidRPr="00132EF0">
        <w:rPr>
          <w:rFonts w:ascii="Sylfaen" w:hAnsi="Sylfaen"/>
          <w:sz w:val="24"/>
          <w:szCs w:val="24"/>
        </w:rPr>
        <w:lastRenderedPageBreak/>
        <w:t>պահանջներին: Ակտիվ դեղագործական բաղադրամասեր արտադրողների կողմից պատշաճ արտադրական գործունեության կանոնների պահպանման ապահովումը դեղագործական արտադրության լիցենզիայի իրավատերերի պարտավորությունն է, որոնք ակտիվ դեղագործական բաղադրամասերն օգտագործում են որպես ելանյութ: Փորձագետի մոտ ակտիվ դեղագործական բաղադրամասի որակի առնչությամբ հիմնավորված կասկածների հետ կապված հարցերի առաջացման դեպքում թույլատրվում է պահանջ ներկայացնել տվյալ ակտիվ դեղագործական բաղադրամասի արտադրական հարթակի տեսչական ստուգում անցկացնելու համար:</w:t>
      </w:r>
    </w:p>
    <w:p w14:paraId="568BA91A"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Տեսչական ստուգումները ձեռնարկվում են ինքնաբերաբար կենսաբանական բաղադրամասերի դեպքում կամ եթե ակտիվ մանրէազերծ դեղագործական բաղադրամասերի արտադրության մեջ առկա է մանրէազերծման փուլ, երբ չկա որ</w:t>
      </w:r>
      <w:r w:rsidR="00C54D75">
        <w:rPr>
          <w:rFonts w:ascii="Sylfaen" w:hAnsi="Sylfaen"/>
          <w:sz w:val="24"/>
          <w:szCs w:val="24"/>
        </w:rPr>
        <w:t>և</w:t>
      </w:r>
      <w:r w:rsidRPr="00132EF0">
        <w:rPr>
          <w:rFonts w:ascii="Sylfaen" w:hAnsi="Sylfaen"/>
          <w:sz w:val="24"/>
          <w:szCs w:val="24"/>
        </w:rPr>
        <w:t xml:space="preserve">է ապացույց առ այն, որ հարթակը լիազորված մարմնի կողմից անցել է պլանային տեսչական ստուգումներ: </w:t>
      </w:r>
    </w:p>
    <w:p w14:paraId="46E34122" w14:textId="77777777" w:rsidR="008C76E0" w:rsidRPr="00132EF0" w:rsidRDefault="008C76E0" w:rsidP="00132EF0">
      <w:pPr>
        <w:spacing w:after="160" w:line="360" w:lineRule="auto"/>
        <w:ind w:right="-1" w:firstLine="567"/>
        <w:jc w:val="center"/>
        <w:rPr>
          <w:rFonts w:ascii="Sylfaen" w:hAnsi="Sylfaen"/>
          <w:sz w:val="24"/>
          <w:szCs w:val="24"/>
        </w:rPr>
      </w:pPr>
    </w:p>
    <w:p w14:paraId="17468467" w14:textId="77777777" w:rsidR="008C76E0" w:rsidRPr="00132EF0" w:rsidRDefault="008C76E0" w:rsidP="00132EF0">
      <w:pPr>
        <w:spacing w:after="160" w:line="360" w:lineRule="auto"/>
        <w:ind w:left="567" w:right="565"/>
        <w:jc w:val="center"/>
        <w:rPr>
          <w:rFonts w:ascii="Sylfaen" w:hAnsi="Sylfaen"/>
          <w:sz w:val="24"/>
          <w:szCs w:val="24"/>
        </w:rPr>
      </w:pPr>
      <w:r w:rsidRPr="00132EF0">
        <w:rPr>
          <w:rFonts w:ascii="Sylfaen" w:hAnsi="Sylfaen"/>
          <w:sz w:val="24"/>
          <w:szCs w:val="24"/>
        </w:rPr>
        <w:t>Դեղապատրաստուկի արտադրությունը</w:t>
      </w:r>
    </w:p>
    <w:p w14:paraId="07522F19"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Արտադրական հարթակը դեղամիջոցներ արտադրողի տարածքային առումով առանձնացված համալիրն է, որը նախատեսված է դեղամիջոցների արտադրության ամբողջ պրոցեսի կամ դրա առանձին փուլի, այդ թվում՝ միջանկյալ </w:t>
      </w:r>
      <w:r w:rsidR="00C54D75">
        <w:rPr>
          <w:rFonts w:ascii="Sylfaen" w:hAnsi="Sylfaen"/>
          <w:sz w:val="24"/>
          <w:szCs w:val="24"/>
        </w:rPr>
        <w:t>և</w:t>
      </w:r>
      <w:r w:rsidRPr="00132EF0">
        <w:rPr>
          <w:rFonts w:ascii="Sylfaen" w:hAnsi="Sylfaen"/>
          <w:sz w:val="24"/>
          <w:szCs w:val="24"/>
        </w:rPr>
        <w:t xml:space="preserve"> որակի հսկողության փուլերի կատարման համար: Փորձագետի մոտ դեղապատրաստուկի որակի վերաբերյալ հիմնավորված կասկածների հետ կապված հարցերի առաջացման դեպքում թույլատրվում է պահանջ ներկայացնել տվյալ պատրաստուկի արտադրական հարթակի տեսչական ստուգում անցկացնելու համար:</w:t>
      </w:r>
    </w:p>
    <w:p w14:paraId="76E59717" w14:textId="77777777" w:rsidR="00132EF0" w:rsidRDefault="00132EF0">
      <w:pPr>
        <w:widowControl/>
        <w:rPr>
          <w:rFonts w:ascii="Sylfaen" w:hAnsi="Sylfaen"/>
          <w:sz w:val="24"/>
          <w:szCs w:val="24"/>
        </w:rPr>
      </w:pPr>
      <w:r>
        <w:rPr>
          <w:rFonts w:ascii="Sylfaen" w:hAnsi="Sylfaen"/>
          <w:sz w:val="24"/>
          <w:szCs w:val="24"/>
        </w:rPr>
        <w:br w:type="page"/>
      </w:r>
    </w:p>
    <w:p w14:paraId="60E2325B" w14:textId="77777777" w:rsidR="008C76E0" w:rsidRPr="00132EF0" w:rsidRDefault="008C76E0" w:rsidP="00132EF0">
      <w:pPr>
        <w:spacing w:after="160" w:line="360" w:lineRule="auto"/>
        <w:ind w:right="-1"/>
        <w:jc w:val="center"/>
        <w:rPr>
          <w:rFonts w:ascii="Sylfaen" w:hAnsi="Sylfaen"/>
          <w:sz w:val="24"/>
          <w:szCs w:val="24"/>
        </w:rPr>
      </w:pPr>
      <w:r w:rsidRPr="00132EF0">
        <w:rPr>
          <w:rFonts w:ascii="Sylfaen" w:hAnsi="Sylfaen"/>
          <w:sz w:val="24"/>
          <w:szCs w:val="24"/>
        </w:rPr>
        <w:lastRenderedPageBreak/>
        <w:t>Փորձարկումներ</w:t>
      </w:r>
    </w:p>
    <w:p w14:paraId="60B2C791" w14:textId="77777777" w:rsidR="008C76E0" w:rsidRPr="00132EF0" w:rsidRDefault="008C76E0" w:rsidP="00132EF0">
      <w:pPr>
        <w:spacing w:after="160" w:line="360" w:lineRule="auto"/>
        <w:ind w:firstLine="567"/>
        <w:jc w:val="both"/>
        <w:rPr>
          <w:rFonts w:ascii="Sylfaen" w:hAnsi="Sylfaen"/>
          <w:sz w:val="24"/>
          <w:szCs w:val="24"/>
        </w:rPr>
      </w:pPr>
      <w:r w:rsidRPr="00132EF0">
        <w:rPr>
          <w:rFonts w:ascii="Sylfaen" w:hAnsi="Sylfaen"/>
          <w:sz w:val="24"/>
          <w:szCs w:val="24"/>
        </w:rPr>
        <w:t xml:space="preserve">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132EF0">
        <w:rPr>
          <w:rFonts w:ascii="Sylfaen" w:hAnsi="Sylfaen"/>
          <w:sz w:val="24"/>
          <w:szCs w:val="24"/>
        </w:rPr>
        <w:t xml:space="preserve"> փորձաքննության կանոններին համապատասխան լաբորատոր հետազոտություններ անցկացնելիս փորձագետը որոշում է հետազոտվող նմուշների տիպերը (ակտիվ դեղագործական բաղադրամաս, չբաժնեծրարված դեղապատրաստուկ, դեղապատրաստուկ), թվարկում է կատարման ենթակա փորձարկումները, նմուշների քանակը, սերիաների քանակը, ընտրում է լաբորատորիա (լաբորատորիաներ)՝ նշված փորձարկումներն անցկացնելու համար:</w:t>
      </w:r>
    </w:p>
    <w:p w14:paraId="459EDED7" w14:textId="77777777" w:rsidR="008C76E0" w:rsidRPr="00132EF0" w:rsidRDefault="008C76E0" w:rsidP="00132EF0">
      <w:pPr>
        <w:spacing w:after="160" w:line="336" w:lineRule="auto"/>
        <w:ind w:right="-1" w:firstLine="567"/>
        <w:jc w:val="center"/>
        <w:rPr>
          <w:rFonts w:ascii="Sylfaen" w:hAnsi="Sylfaen"/>
          <w:sz w:val="24"/>
          <w:szCs w:val="24"/>
        </w:rPr>
      </w:pPr>
    </w:p>
    <w:p w14:paraId="7AD7BDC9" w14:textId="77777777" w:rsidR="008C76E0" w:rsidRPr="00132EF0" w:rsidRDefault="008C76E0" w:rsidP="00132EF0">
      <w:pPr>
        <w:spacing w:after="160" w:line="336" w:lineRule="auto"/>
        <w:ind w:right="-1"/>
        <w:jc w:val="center"/>
        <w:outlineLvl w:val="0"/>
        <w:rPr>
          <w:rFonts w:ascii="Sylfaen" w:hAnsi="Sylfaen"/>
          <w:sz w:val="24"/>
          <w:szCs w:val="24"/>
        </w:rPr>
      </w:pPr>
      <w:r w:rsidRPr="00132EF0">
        <w:rPr>
          <w:rFonts w:ascii="Sylfaen" w:hAnsi="Sylfaen"/>
          <w:sz w:val="24"/>
          <w:szCs w:val="24"/>
        </w:rPr>
        <w:t>2. Ներածություն</w:t>
      </w:r>
    </w:p>
    <w:p w14:paraId="4198C680" w14:textId="77777777" w:rsidR="008C76E0" w:rsidRPr="00132EF0" w:rsidRDefault="008C76E0" w:rsidP="00132EF0">
      <w:pPr>
        <w:spacing w:after="160" w:line="336" w:lineRule="auto"/>
        <w:ind w:right="-1" w:firstLine="567"/>
        <w:jc w:val="center"/>
        <w:rPr>
          <w:rFonts w:ascii="Sylfaen" w:hAnsi="Sylfaen"/>
          <w:sz w:val="24"/>
          <w:szCs w:val="24"/>
        </w:rPr>
      </w:pPr>
      <w:r w:rsidRPr="00132EF0">
        <w:rPr>
          <w:rFonts w:ascii="Sylfaen" w:hAnsi="Sylfaen"/>
          <w:sz w:val="24"/>
          <w:szCs w:val="24"/>
        </w:rPr>
        <w:t>Ընդհանուր տեղեկություններ՝ դեղապատրաստուկի մասին:</w:t>
      </w:r>
    </w:p>
    <w:p w14:paraId="1D03E75B" w14:textId="77777777" w:rsidR="008C76E0" w:rsidRPr="00132EF0" w:rsidRDefault="008C76E0" w:rsidP="00132EF0">
      <w:pPr>
        <w:spacing w:after="160" w:line="336" w:lineRule="auto"/>
        <w:ind w:right="-1" w:firstLine="567"/>
        <w:jc w:val="both"/>
        <w:rPr>
          <w:rFonts w:ascii="Sylfaen" w:hAnsi="Sylfaen"/>
          <w:sz w:val="24"/>
          <w:szCs w:val="24"/>
        </w:rPr>
      </w:pPr>
      <w:r w:rsidRPr="00132EF0">
        <w:rPr>
          <w:rFonts w:ascii="Sylfaen" w:hAnsi="Sylfaen"/>
          <w:sz w:val="24"/>
          <w:szCs w:val="24"/>
        </w:rPr>
        <w:t>Դեղապատրաստուկի մասին ընդհանուր տեղեկությունները ներառում են հետ</w:t>
      </w:r>
      <w:r w:rsidR="00C54D75">
        <w:rPr>
          <w:rFonts w:ascii="Sylfaen" w:hAnsi="Sylfaen"/>
          <w:sz w:val="24"/>
          <w:szCs w:val="24"/>
        </w:rPr>
        <w:t>և</w:t>
      </w:r>
      <w:r w:rsidRPr="00132EF0">
        <w:rPr>
          <w:rFonts w:ascii="Sylfaen" w:hAnsi="Sylfaen"/>
          <w:sz w:val="24"/>
          <w:szCs w:val="24"/>
        </w:rPr>
        <w:t>յալը՝</w:t>
      </w:r>
    </w:p>
    <w:p w14:paraId="39CF5325" w14:textId="77777777" w:rsidR="008C76E0" w:rsidRPr="00132EF0" w:rsidRDefault="008C76E0" w:rsidP="00132EF0">
      <w:pPr>
        <w:spacing w:after="160" w:line="336" w:lineRule="auto"/>
        <w:ind w:firstLine="567"/>
        <w:jc w:val="both"/>
        <w:rPr>
          <w:rFonts w:ascii="Sylfaen" w:hAnsi="Sylfaen"/>
          <w:sz w:val="24"/>
          <w:szCs w:val="24"/>
        </w:rPr>
      </w:pPr>
      <w:r w:rsidRPr="00132EF0">
        <w:rPr>
          <w:rFonts w:ascii="Sylfaen" w:hAnsi="Sylfaen"/>
          <w:sz w:val="24"/>
          <w:szCs w:val="24"/>
        </w:rPr>
        <w:t>դեղապատրաստուկի տիպի համառոտ նկարագրությունը (ակտիվ դեղագործական բաղադրամասը (օրինակ՝ նոր քիմիական միացություն, հայտնի քիմիական միացություն, կենսատեխնոլոգիական (կենսաբանական) սուբստանցիա), ռադիոդեղագործական պատրաստուկ, բուսական դեղապատրաստուկ), դեղաձ</w:t>
      </w:r>
      <w:r w:rsidR="00C54D75">
        <w:rPr>
          <w:rFonts w:ascii="Sylfaen" w:hAnsi="Sylfaen"/>
          <w:sz w:val="24"/>
          <w:szCs w:val="24"/>
        </w:rPr>
        <w:t>և</w:t>
      </w:r>
      <w:r w:rsidRPr="00132EF0">
        <w:rPr>
          <w:rFonts w:ascii="Sylfaen" w:hAnsi="Sylfaen"/>
          <w:sz w:val="24"/>
          <w:szCs w:val="24"/>
        </w:rPr>
        <w:t>ը, փաթեթվածքը): Հարկ է հատուկ նշում կատարել, եթե տվյալ դեղապատրաստուկը նախատեսված է երեխաների օգտագործման համար,</w:t>
      </w:r>
    </w:p>
    <w:p w14:paraId="61B5780C" w14:textId="77777777" w:rsidR="008C76E0" w:rsidRPr="00132EF0" w:rsidRDefault="008C76E0" w:rsidP="00132EF0">
      <w:pPr>
        <w:spacing w:after="160" w:line="336" w:lineRule="auto"/>
        <w:ind w:right="-1" w:firstLine="567"/>
        <w:jc w:val="both"/>
        <w:rPr>
          <w:rFonts w:ascii="Sylfaen" w:hAnsi="Sylfaen"/>
          <w:sz w:val="24"/>
          <w:szCs w:val="24"/>
        </w:rPr>
      </w:pPr>
      <w:r w:rsidRPr="00132EF0">
        <w:rPr>
          <w:rFonts w:ascii="Sylfaen" w:hAnsi="Sylfaen"/>
          <w:sz w:val="24"/>
          <w:szCs w:val="24"/>
        </w:rPr>
        <w:t>«որբ» դեղապատրաստուկի (ՈԴՊ) կարգավիճակի նշումը կիրառելիության դեպքում,</w:t>
      </w:r>
    </w:p>
    <w:p w14:paraId="09CB5AC0" w14:textId="77777777" w:rsidR="008C76E0" w:rsidRPr="00132EF0" w:rsidRDefault="008C76E0" w:rsidP="00132EF0">
      <w:pPr>
        <w:spacing w:after="160" w:line="336" w:lineRule="auto"/>
        <w:ind w:firstLine="567"/>
        <w:jc w:val="both"/>
        <w:rPr>
          <w:rFonts w:ascii="Sylfaen" w:hAnsi="Sylfaen"/>
          <w:sz w:val="24"/>
          <w:szCs w:val="24"/>
        </w:rPr>
      </w:pPr>
      <w:r w:rsidRPr="00132EF0">
        <w:rPr>
          <w:rFonts w:ascii="Sylfaen" w:hAnsi="Sylfaen"/>
          <w:sz w:val="24"/>
          <w:szCs w:val="24"/>
        </w:rPr>
        <w:t>ցուցումները, բնակչության թիրախային խումբը, դոզավորման ռեժիմը (հաշվի առնելով դեղապատրաստուկի, օրինակ՝ բաժանելի դեղահաբերի՝ դոզավորման պահանջվող ռեժիմ ապահովելու ունակությունը), ներմուծման ուղին (ներմուծման ուղու առանձնահատկությունների դեպքում՝ ներմուծման համար նախատեսված սարքը),</w:t>
      </w:r>
    </w:p>
    <w:p w14:paraId="59652AED"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lastRenderedPageBreak/>
        <w:t xml:space="preserve">տվյալ դեղանյութի </w:t>
      </w:r>
      <w:r w:rsidR="00C54D75">
        <w:rPr>
          <w:rFonts w:ascii="Sylfaen" w:hAnsi="Sylfaen"/>
          <w:sz w:val="24"/>
          <w:szCs w:val="24"/>
        </w:rPr>
        <w:t>և</w:t>
      </w:r>
      <w:r w:rsidRPr="00132EF0">
        <w:rPr>
          <w:rFonts w:ascii="Sylfaen" w:hAnsi="Sylfaen"/>
          <w:sz w:val="24"/>
          <w:szCs w:val="24"/>
        </w:rPr>
        <w:t xml:space="preserve"> մի</w:t>
      </w:r>
      <w:r w:rsidR="00C54D75">
        <w:rPr>
          <w:rFonts w:ascii="Sylfaen" w:hAnsi="Sylfaen"/>
          <w:sz w:val="24"/>
          <w:szCs w:val="24"/>
        </w:rPr>
        <w:t>և</w:t>
      </w:r>
      <w:r w:rsidRPr="00132EF0">
        <w:rPr>
          <w:rFonts w:ascii="Sylfaen" w:hAnsi="Sylfaen"/>
          <w:sz w:val="24"/>
          <w:szCs w:val="24"/>
        </w:rPr>
        <w:t>նույն թերապ</w:t>
      </w:r>
      <w:r w:rsidR="00C54D75">
        <w:rPr>
          <w:rFonts w:ascii="Sylfaen" w:hAnsi="Sylfaen"/>
          <w:sz w:val="24"/>
          <w:szCs w:val="24"/>
        </w:rPr>
        <w:t>և</w:t>
      </w:r>
      <w:r w:rsidRPr="00132EF0">
        <w:rPr>
          <w:rFonts w:ascii="Sylfaen" w:hAnsi="Sylfaen"/>
          <w:sz w:val="24"/>
          <w:szCs w:val="24"/>
        </w:rPr>
        <w:t>տիկ դասին պատկանող այլ նյութերի միջ</w:t>
      </w:r>
      <w:r w:rsidR="00C54D75">
        <w:rPr>
          <w:rFonts w:ascii="Sylfaen" w:hAnsi="Sylfaen"/>
          <w:sz w:val="24"/>
          <w:szCs w:val="24"/>
        </w:rPr>
        <w:t>և</w:t>
      </w:r>
      <w:r w:rsidRPr="00132EF0">
        <w:rPr>
          <w:rFonts w:ascii="Sylfaen" w:hAnsi="Sylfaen"/>
          <w:sz w:val="24"/>
          <w:szCs w:val="24"/>
        </w:rPr>
        <w:t xml:space="preserve"> փոխկապակցվածության մասին տեղեկություններ,</w:t>
      </w:r>
    </w:p>
    <w:p w14:paraId="192CA243"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դեղապատրաստուկի պատրաստումը կիրառումից առաջ (օրինակ՝ ռադիոդեղագործական պատրաստուկը, լիոֆիլիզատը),</w:t>
      </w:r>
    </w:p>
    <w:p w14:paraId="6059A7D9"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 xml:space="preserve">դեղապատրաստուկի այլ առանձնահատկություններ, օրինակ՝ մատակարարման կամ ներմուծման համակարգերը, կիրառման համար նախատեսված սարքերը </w:t>
      </w:r>
      <w:r w:rsidR="00C54D75">
        <w:rPr>
          <w:rFonts w:ascii="Sylfaen" w:hAnsi="Sylfaen"/>
          <w:sz w:val="24"/>
          <w:szCs w:val="24"/>
        </w:rPr>
        <w:t>և</w:t>
      </w:r>
      <w:r w:rsidRPr="00132EF0">
        <w:rPr>
          <w:rFonts w:ascii="Sylfaen" w:hAnsi="Sylfaen"/>
          <w:sz w:val="24"/>
          <w:szCs w:val="24"/>
        </w:rPr>
        <w:t xml:space="preserve"> այլն,</w:t>
      </w:r>
    </w:p>
    <w:p w14:paraId="6A8922EB"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միմյանց հետ կապված կամ փոխկախյալ հայտեր (օրինակ՝ այն դեղապատրաստուկի գրանցման հայտը, որի ազդող նյութը տվյալ հայտատուի կողմից նախկինում գրանցված նախադեղի մետաբոլիտ է, դեղապատրաստուկ, որը նախատեսված է տեսականու սանդղակի ընդլայնման համար):</w:t>
      </w:r>
    </w:p>
    <w:p w14:paraId="2A0D9193" w14:textId="77777777" w:rsidR="008C76E0" w:rsidRPr="00132EF0" w:rsidRDefault="008C76E0" w:rsidP="00132EF0">
      <w:pPr>
        <w:spacing w:after="160" w:line="360" w:lineRule="auto"/>
        <w:ind w:right="-1" w:firstLine="567"/>
        <w:jc w:val="both"/>
        <w:rPr>
          <w:rFonts w:ascii="Sylfaen" w:hAnsi="Sylfaen"/>
          <w:sz w:val="24"/>
          <w:szCs w:val="24"/>
        </w:rPr>
      </w:pPr>
      <w:r w:rsidRPr="00132EF0">
        <w:rPr>
          <w:rFonts w:ascii="Sylfaen" w:hAnsi="Sylfaen"/>
          <w:sz w:val="24"/>
          <w:szCs w:val="24"/>
        </w:rPr>
        <w:t>Ստոր</w:t>
      </w:r>
      <w:r w:rsidR="00C54D75">
        <w:rPr>
          <w:rFonts w:ascii="Sylfaen" w:hAnsi="Sylfaen"/>
          <w:sz w:val="24"/>
          <w:szCs w:val="24"/>
        </w:rPr>
        <w:t>և</w:t>
      </w:r>
      <w:r w:rsidRPr="00132EF0">
        <w:rPr>
          <w:rFonts w:ascii="Sylfaen" w:hAnsi="Sylfaen"/>
          <w:sz w:val="24"/>
          <w:szCs w:val="24"/>
        </w:rPr>
        <w:t xml:space="preserve"> ներկայացված տեղեկատվությունը նախատեսված է դեղապատրաստուկի հիմնական կրիտիկական առանձնահատկությունների հակիրճ ռեզյումե կազմելու համար: Ներկայացվող տեղեկատվության ծավալը կախված է կոնկրետ պատրաստուկի հատկություններից: Նա</w:t>
      </w:r>
      <w:r w:rsidR="00C54D75">
        <w:rPr>
          <w:rFonts w:ascii="Sylfaen" w:hAnsi="Sylfaen"/>
          <w:sz w:val="24"/>
          <w:szCs w:val="24"/>
        </w:rPr>
        <w:t>և</w:t>
      </w:r>
      <w:r w:rsidRPr="00132EF0">
        <w:rPr>
          <w:rFonts w:ascii="Sylfaen" w:hAnsi="Sylfaen"/>
          <w:sz w:val="24"/>
          <w:szCs w:val="24"/>
        </w:rPr>
        <w:t xml:space="preserve"> հարկ է ներկայացնել կլինիկական կիրառման արդյունքների մասով ռեզյումե: </w:t>
      </w:r>
    </w:p>
    <w:p w14:paraId="65968612" w14:textId="77777777" w:rsidR="008C76E0" w:rsidRPr="003B2786" w:rsidRDefault="008C76E0" w:rsidP="008C76E0">
      <w:pPr>
        <w:ind w:right="-1" w:firstLine="567"/>
        <w:jc w:val="center"/>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20"/>
        <w:gridCol w:w="2429"/>
      </w:tblGrid>
      <w:tr w:rsidR="008C76E0" w:rsidRPr="003B2786" w14:paraId="2EDA4CB6" w14:textId="77777777" w:rsidTr="008C76E0">
        <w:trPr>
          <w:trHeight w:val="534"/>
          <w:jc w:val="center"/>
        </w:trPr>
        <w:tc>
          <w:tcPr>
            <w:tcW w:w="7720" w:type="dxa"/>
            <w:tcBorders>
              <w:top w:val="single" w:sz="4" w:space="0" w:color="auto"/>
              <w:left w:val="single" w:sz="4" w:space="0" w:color="auto"/>
            </w:tcBorders>
            <w:shd w:val="clear" w:color="auto" w:fill="FFFFFF"/>
          </w:tcPr>
          <w:p w14:paraId="5AA2604A"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Անվանումը</w:t>
            </w:r>
          </w:p>
        </w:tc>
        <w:tc>
          <w:tcPr>
            <w:tcW w:w="2429" w:type="dxa"/>
            <w:tcBorders>
              <w:top w:val="single" w:sz="4" w:space="0" w:color="auto"/>
              <w:left w:val="single" w:sz="4" w:space="0" w:color="auto"/>
              <w:right w:val="single" w:sz="4" w:space="0" w:color="auto"/>
            </w:tcBorders>
            <w:shd w:val="clear" w:color="auto" w:fill="FFFFFF"/>
          </w:tcPr>
          <w:p w14:paraId="2254EB79" w14:textId="77777777" w:rsidR="008C76E0" w:rsidRPr="003B2786" w:rsidRDefault="008C76E0" w:rsidP="008C76E0">
            <w:pPr>
              <w:spacing w:after="120" w:line="240" w:lineRule="auto"/>
              <w:jc w:val="both"/>
              <w:rPr>
                <w:rFonts w:ascii="Sylfaen" w:hAnsi="Sylfaen"/>
                <w:sz w:val="24"/>
                <w:szCs w:val="24"/>
              </w:rPr>
            </w:pPr>
          </w:p>
        </w:tc>
      </w:tr>
      <w:tr w:rsidR="008C76E0" w:rsidRPr="003B2786" w14:paraId="51797B77" w14:textId="77777777" w:rsidTr="008C76E0">
        <w:trPr>
          <w:trHeight w:val="534"/>
          <w:jc w:val="center"/>
        </w:trPr>
        <w:tc>
          <w:tcPr>
            <w:tcW w:w="7720" w:type="dxa"/>
            <w:tcBorders>
              <w:top w:val="single" w:sz="4" w:space="0" w:color="auto"/>
              <w:left w:val="single" w:sz="4" w:space="0" w:color="auto"/>
            </w:tcBorders>
            <w:shd w:val="clear" w:color="auto" w:fill="FFFFFF"/>
          </w:tcPr>
          <w:p w14:paraId="07BDAE19"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Դեղաձ</w:t>
            </w:r>
            <w:r w:rsidR="00C54D75">
              <w:rPr>
                <w:rStyle w:val="Bodytext1811pt"/>
                <w:rFonts w:ascii="Sylfaen" w:hAnsi="Sylfaen"/>
                <w:sz w:val="24"/>
                <w:szCs w:val="24"/>
              </w:rPr>
              <w:t>և</w:t>
            </w:r>
            <w:r w:rsidRPr="003B2786">
              <w:rPr>
                <w:rStyle w:val="Bodytext1811pt"/>
                <w:rFonts w:ascii="Sylfaen" w:hAnsi="Sylfaen"/>
                <w:sz w:val="24"/>
                <w:szCs w:val="24"/>
              </w:rPr>
              <w:t xml:space="preserve">ը </w:t>
            </w:r>
            <w:r w:rsidR="00C54D75">
              <w:rPr>
                <w:rStyle w:val="Bodytext1811pt"/>
                <w:rFonts w:ascii="Sylfaen" w:hAnsi="Sylfaen"/>
                <w:sz w:val="24"/>
                <w:szCs w:val="24"/>
              </w:rPr>
              <w:t>և</w:t>
            </w:r>
            <w:r w:rsidRPr="003B2786">
              <w:rPr>
                <w:rStyle w:val="Bodytext1811pt"/>
                <w:rFonts w:ascii="Sylfaen" w:hAnsi="Sylfaen"/>
                <w:sz w:val="24"/>
                <w:szCs w:val="24"/>
              </w:rPr>
              <w:t xml:space="preserve"> դեղաչափը (կոնցենտրացիան)</w:t>
            </w:r>
          </w:p>
        </w:tc>
        <w:tc>
          <w:tcPr>
            <w:tcW w:w="2429" w:type="dxa"/>
            <w:tcBorders>
              <w:top w:val="single" w:sz="4" w:space="0" w:color="auto"/>
              <w:left w:val="single" w:sz="4" w:space="0" w:color="auto"/>
              <w:right w:val="single" w:sz="4" w:space="0" w:color="auto"/>
            </w:tcBorders>
            <w:shd w:val="clear" w:color="auto" w:fill="FFFFFF"/>
          </w:tcPr>
          <w:p w14:paraId="12CCAF9B" w14:textId="77777777" w:rsidR="008C76E0" w:rsidRPr="003B2786" w:rsidRDefault="008C76E0" w:rsidP="008C76E0">
            <w:pPr>
              <w:spacing w:after="120" w:line="240" w:lineRule="auto"/>
              <w:jc w:val="both"/>
              <w:rPr>
                <w:rFonts w:ascii="Sylfaen" w:hAnsi="Sylfaen"/>
                <w:sz w:val="24"/>
                <w:szCs w:val="24"/>
              </w:rPr>
            </w:pPr>
          </w:p>
        </w:tc>
      </w:tr>
      <w:tr w:rsidR="008C76E0" w:rsidRPr="003B2786" w14:paraId="01AA8922" w14:textId="77777777" w:rsidTr="008C76E0">
        <w:trPr>
          <w:trHeight w:val="534"/>
          <w:jc w:val="center"/>
        </w:trPr>
        <w:tc>
          <w:tcPr>
            <w:tcW w:w="7720" w:type="dxa"/>
            <w:tcBorders>
              <w:top w:val="single" w:sz="4" w:space="0" w:color="auto"/>
              <w:left w:val="single" w:sz="4" w:space="0" w:color="auto"/>
            </w:tcBorders>
            <w:shd w:val="clear" w:color="auto" w:fill="FFFFFF"/>
          </w:tcPr>
          <w:p w14:paraId="3C8259E0"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Գրանցման ընթացակարգը</w:t>
            </w:r>
          </w:p>
        </w:tc>
        <w:tc>
          <w:tcPr>
            <w:tcW w:w="2429" w:type="dxa"/>
            <w:tcBorders>
              <w:top w:val="single" w:sz="4" w:space="0" w:color="auto"/>
              <w:left w:val="single" w:sz="4" w:space="0" w:color="auto"/>
              <w:right w:val="single" w:sz="4" w:space="0" w:color="auto"/>
            </w:tcBorders>
            <w:shd w:val="clear" w:color="auto" w:fill="FFFFFF"/>
          </w:tcPr>
          <w:p w14:paraId="6FBEB17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394621CB" w14:textId="77777777" w:rsidTr="008C76E0">
        <w:trPr>
          <w:trHeight w:val="545"/>
          <w:jc w:val="center"/>
        </w:trPr>
        <w:tc>
          <w:tcPr>
            <w:tcW w:w="7720" w:type="dxa"/>
            <w:tcBorders>
              <w:top w:val="single" w:sz="4" w:space="0" w:color="auto"/>
              <w:left w:val="single" w:sz="4" w:space="0" w:color="auto"/>
            </w:tcBorders>
            <w:shd w:val="clear" w:color="auto" w:fill="FFFFFF"/>
          </w:tcPr>
          <w:p w14:paraId="065B96AD"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Թերապ</w:t>
            </w:r>
            <w:r w:rsidR="00C54D75">
              <w:rPr>
                <w:rStyle w:val="Bodytext1811pt"/>
                <w:rFonts w:ascii="Sylfaen" w:hAnsi="Sylfaen"/>
                <w:sz w:val="24"/>
                <w:szCs w:val="24"/>
              </w:rPr>
              <w:t>և</w:t>
            </w:r>
            <w:r w:rsidRPr="003B2786">
              <w:rPr>
                <w:rStyle w:val="Bodytext1811pt"/>
                <w:rFonts w:ascii="Sylfaen" w:hAnsi="Sylfaen"/>
                <w:sz w:val="24"/>
                <w:szCs w:val="24"/>
              </w:rPr>
              <w:t>տիկ դասը կամ ցուցումը</w:t>
            </w:r>
          </w:p>
        </w:tc>
        <w:tc>
          <w:tcPr>
            <w:tcW w:w="2429" w:type="dxa"/>
            <w:tcBorders>
              <w:top w:val="single" w:sz="4" w:space="0" w:color="auto"/>
              <w:left w:val="single" w:sz="4" w:space="0" w:color="auto"/>
              <w:right w:val="single" w:sz="4" w:space="0" w:color="auto"/>
            </w:tcBorders>
            <w:shd w:val="clear" w:color="auto" w:fill="FFFFFF"/>
          </w:tcPr>
          <w:p w14:paraId="02B01C9B" w14:textId="77777777" w:rsidR="008C76E0" w:rsidRPr="003B2786" w:rsidRDefault="008C76E0" w:rsidP="008C76E0">
            <w:pPr>
              <w:spacing w:after="120" w:line="240" w:lineRule="auto"/>
              <w:jc w:val="both"/>
              <w:rPr>
                <w:rFonts w:ascii="Sylfaen" w:hAnsi="Sylfaen"/>
                <w:sz w:val="24"/>
                <w:szCs w:val="24"/>
              </w:rPr>
            </w:pPr>
          </w:p>
        </w:tc>
      </w:tr>
      <w:tr w:rsidR="008C76E0" w:rsidRPr="003B2786" w14:paraId="794A9479" w14:textId="77777777" w:rsidTr="008C76E0">
        <w:trPr>
          <w:trHeight w:val="545"/>
          <w:jc w:val="center"/>
        </w:trPr>
        <w:tc>
          <w:tcPr>
            <w:tcW w:w="7720" w:type="dxa"/>
            <w:tcBorders>
              <w:top w:val="single" w:sz="4" w:space="0" w:color="auto"/>
              <w:left w:val="single" w:sz="4" w:space="0" w:color="auto"/>
              <w:bottom w:val="single" w:sz="4" w:space="0" w:color="auto"/>
            </w:tcBorders>
            <w:shd w:val="clear" w:color="auto" w:fill="FFFFFF"/>
          </w:tcPr>
          <w:p w14:paraId="528B3BDF"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Դեղաչափերի առաջարկվող ընդգրկույթը</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14:paraId="4284BCC4" w14:textId="77777777" w:rsidR="008C76E0" w:rsidRPr="003B2786" w:rsidRDefault="008C76E0" w:rsidP="008C76E0">
            <w:pPr>
              <w:spacing w:after="120" w:line="240" w:lineRule="auto"/>
              <w:jc w:val="both"/>
              <w:rPr>
                <w:rFonts w:ascii="Sylfaen" w:hAnsi="Sylfaen"/>
                <w:sz w:val="24"/>
                <w:szCs w:val="24"/>
              </w:rPr>
            </w:pPr>
          </w:p>
        </w:tc>
      </w:tr>
    </w:tbl>
    <w:p w14:paraId="3D2EEE07" w14:textId="77777777" w:rsidR="00473371" w:rsidRDefault="00473371" w:rsidP="00132EF0">
      <w:pPr>
        <w:spacing w:after="160" w:line="360" w:lineRule="auto"/>
        <w:ind w:right="-1"/>
        <w:jc w:val="center"/>
        <w:outlineLvl w:val="0"/>
        <w:rPr>
          <w:rFonts w:ascii="Sylfaen" w:hAnsi="Sylfaen"/>
          <w:sz w:val="24"/>
          <w:szCs w:val="24"/>
        </w:rPr>
      </w:pPr>
    </w:p>
    <w:p w14:paraId="4C6E56FD" w14:textId="77777777" w:rsidR="00473371" w:rsidRDefault="00473371">
      <w:pPr>
        <w:widowControl/>
        <w:rPr>
          <w:rFonts w:ascii="Sylfaen" w:hAnsi="Sylfaen"/>
          <w:sz w:val="24"/>
          <w:szCs w:val="24"/>
        </w:rPr>
      </w:pPr>
      <w:r>
        <w:rPr>
          <w:rFonts w:ascii="Sylfaen" w:hAnsi="Sylfaen"/>
          <w:sz w:val="24"/>
          <w:szCs w:val="24"/>
        </w:rPr>
        <w:br w:type="page"/>
      </w:r>
    </w:p>
    <w:p w14:paraId="400BF696" w14:textId="77777777" w:rsidR="008C76E0" w:rsidRPr="003B2786" w:rsidRDefault="008C76E0" w:rsidP="00132EF0">
      <w:pPr>
        <w:spacing w:after="160" w:line="360" w:lineRule="auto"/>
        <w:ind w:left="567" w:right="565"/>
        <w:jc w:val="center"/>
        <w:outlineLvl w:val="0"/>
        <w:rPr>
          <w:rFonts w:ascii="Sylfaen" w:hAnsi="Sylfaen"/>
          <w:sz w:val="24"/>
          <w:szCs w:val="24"/>
        </w:rPr>
      </w:pPr>
      <w:r w:rsidRPr="003B2786">
        <w:rPr>
          <w:rFonts w:ascii="Sylfaen" w:hAnsi="Sylfaen"/>
          <w:sz w:val="24"/>
          <w:szCs w:val="24"/>
        </w:rPr>
        <w:lastRenderedPageBreak/>
        <w:t>3. Ակտիվ դեղագործական</w:t>
      </w:r>
      <w:r>
        <w:rPr>
          <w:rFonts w:ascii="Sylfaen" w:hAnsi="Sylfaen"/>
          <w:sz w:val="24"/>
          <w:szCs w:val="24"/>
        </w:rPr>
        <w:br/>
      </w:r>
      <w:r w:rsidRPr="003B2786">
        <w:rPr>
          <w:rFonts w:ascii="Sylfaen" w:hAnsi="Sylfaen"/>
          <w:sz w:val="24"/>
          <w:szCs w:val="24"/>
        </w:rPr>
        <w:t xml:space="preserve"> բաղադրամաս (ԱԴԲ, մոդուլ 3.2.S)</w:t>
      </w:r>
    </w:p>
    <w:p w14:paraId="25FFA7B1" w14:textId="77777777" w:rsidR="008C76E0" w:rsidRPr="003B2786" w:rsidRDefault="008C76E0" w:rsidP="00132EF0">
      <w:pPr>
        <w:spacing w:after="160" w:line="360" w:lineRule="auto"/>
        <w:ind w:firstLine="567"/>
        <w:jc w:val="both"/>
        <w:rPr>
          <w:rFonts w:ascii="Sylfaen" w:hAnsi="Sylfaen"/>
          <w:sz w:val="24"/>
          <w:szCs w:val="24"/>
        </w:rPr>
      </w:pPr>
      <w:r w:rsidRPr="003B2786">
        <w:rPr>
          <w:rFonts w:ascii="Sylfaen" w:hAnsi="Sylfaen"/>
          <w:sz w:val="24"/>
          <w:szCs w:val="24"/>
        </w:rPr>
        <w:t xml:space="preserve">Հարկ է նշել, որ ակտիվ դեղագործական բաղադրամասի մասին տեղեկատվությունն ընդգրկված է ակտիվ դեղագործական բաղադրամասի մաստեր-ֆայլի փակ մասում (ԱԴԲՄՖ): Փակ բաժնի փորձաքննության արդյունքները դիտողությունների առանձին ցանկի հետ միասին ենթակա են արտացոլման առանձին փորձագիտական հաշվետվությունում՝ որպես սույն փորձագիտական հաշվետվության հավելված (տե՛ս, 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8 հավելվածը): ԱԴԲՄՖ-ին ներկայացվող պահանջները չեն տարածվում կենսաբանական դեղապատրաստուկների վրա:</w:t>
      </w:r>
    </w:p>
    <w:p w14:paraId="5BD10AEA" w14:textId="77777777" w:rsidR="008C76E0" w:rsidRPr="003B2786" w:rsidRDefault="008C76E0" w:rsidP="00132EF0">
      <w:pPr>
        <w:tabs>
          <w:tab w:val="left" w:pos="1134"/>
        </w:tabs>
        <w:spacing w:after="160" w:line="360" w:lineRule="auto"/>
        <w:ind w:firstLine="567"/>
        <w:jc w:val="both"/>
        <w:outlineLvl w:val="0"/>
        <w:rPr>
          <w:rFonts w:ascii="Sylfaen" w:hAnsi="Sylfaen"/>
          <w:sz w:val="24"/>
          <w:szCs w:val="24"/>
        </w:rPr>
      </w:pPr>
      <w:r w:rsidRPr="003B2786">
        <w:rPr>
          <w:rFonts w:ascii="Sylfaen" w:hAnsi="Sylfaen"/>
          <w:sz w:val="24"/>
          <w:szCs w:val="24"/>
        </w:rPr>
        <w:t>3.1.</w:t>
      </w:r>
      <w:r w:rsidRPr="003B2786">
        <w:rPr>
          <w:rFonts w:ascii="Sylfaen" w:hAnsi="Sylfaen"/>
          <w:sz w:val="24"/>
          <w:szCs w:val="24"/>
        </w:rPr>
        <w:tab/>
        <w:t xml:space="preserve">Ընդհանուր տեղեկատվություն՝ ելանյութերի </w:t>
      </w:r>
      <w:r w:rsidR="00C54D75">
        <w:rPr>
          <w:rFonts w:ascii="Sylfaen" w:hAnsi="Sylfaen"/>
          <w:sz w:val="24"/>
          <w:szCs w:val="24"/>
        </w:rPr>
        <w:t>և</w:t>
      </w:r>
      <w:r w:rsidRPr="003B2786">
        <w:rPr>
          <w:rFonts w:ascii="Sylfaen" w:hAnsi="Sylfaen"/>
          <w:sz w:val="24"/>
          <w:szCs w:val="24"/>
        </w:rPr>
        <w:t xml:space="preserve"> հումքի մասին (մոդուլ 3.2.S.1):</w:t>
      </w:r>
    </w:p>
    <w:p w14:paraId="7D9C9622"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Տվյալ վերնագրի ներքո արտացոլվում են այն տեղեկությունները, որոնք նշված են ստոր</w:t>
      </w:r>
      <w:r w:rsidR="00C54D75">
        <w:rPr>
          <w:rFonts w:ascii="Sylfaen" w:hAnsi="Sylfaen"/>
          <w:sz w:val="24"/>
          <w:szCs w:val="24"/>
        </w:rPr>
        <w:t>և</w:t>
      </w:r>
      <w:r w:rsidRPr="003B2786">
        <w:rPr>
          <w:rFonts w:ascii="Sylfaen" w:hAnsi="Sylfaen"/>
          <w:sz w:val="24"/>
          <w:szCs w:val="24"/>
        </w:rPr>
        <w:t xml:space="preserve"> բերված բաժիններում:</w:t>
      </w:r>
    </w:p>
    <w:p w14:paraId="7B38A277"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 1.1.</w:t>
      </w:r>
      <w:r w:rsidRPr="003B2786">
        <w:rPr>
          <w:rFonts w:ascii="Sylfaen" w:hAnsi="Sylfaen"/>
          <w:sz w:val="24"/>
          <w:szCs w:val="24"/>
        </w:rPr>
        <w:tab/>
        <w:t>ԱԴԲ-ի անվանման մասին տեղեկատվություն:</w:t>
      </w:r>
    </w:p>
    <w:p w14:paraId="46BDA2D8"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 xml:space="preserve">Նշվում է քիմիական անվանումը (եթե այն կիրառելի է): Հաստատվում է, թե արդյոք պատրաստուկն ունի առաջադրված միջազգային չարտոնագրված անվանում, առաջարկված միջազգային չարտոնագրված անվանում, համընդհանուր անվանում </w:t>
      </w:r>
      <w:r w:rsidR="00C54D75">
        <w:rPr>
          <w:rFonts w:ascii="Sylfaen" w:hAnsi="Sylfaen"/>
          <w:sz w:val="24"/>
          <w:szCs w:val="24"/>
        </w:rPr>
        <w:t>և</w:t>
      </w:r>
      <w:r w:rsidRPr="003B2786">
        <w:rPr>
          <w:rFonts w:ascii="Sylfaen" w:hAnsi="Sylfaen"/>
          <w:sz w:val="24"/>
          <w:szCs w:val="24"/>
        </w:rPr>
        <w:t xml:space="preserve"> այլն:</w:t>
      </w:r>
    </w:p>
    <w:p w14:paraId="741D1CCB" w14:textId="77777777" w:rsidR="008C76E0" w:rsidRPr="003B2786" w:rsidRDefault="008C76E0" w:rsidP="00473371">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S. 1.2.</w:t>
      </w:r>
      <w:r w:rsidRPr="003B2786">
        <w:rPr>
          <w:rFonts w:ascii="Sylfaen" w:hAnsi="Sylfaen"/>
          <w:sz w:val="24"/>
          <w:szCs w:val="24"/>
        </w:rPr>
        <w:tab/>
        <w:t>ԱԴԲ-ի կառուցվածքը:</w:t>
      </w:r>
    </w:p>
    <w:p w14:paraId="1BE6A045" w14:textId="77777777" w:rsidR="008C76E0" w:rsidRPr="003B2786" w:rsidRDefault="008C76E0" w:rsidP="00473371">
      <w:pPr>
        <w:tabs>
          <w:tab w:val="left" w:pos="1418"/>
        </w:tabs>
        <w:spacing w:after="160" w:line="336" w:lineRule="auto"/>
        <w:ind w:firstLine="567"/>
        <w:jc w:val="both"/>
        <w:rPr>
          <w:rFonts w:ascii="Sylfaen" w:hAnsi="Sylfaen"/>
          <w:sz w:val="24"/>
          <w:szCs w:val="24"/>
        </w:rPr>
      </w:pPr>
      <w:r w:rsidRPr="003B2786">
        <w:rPr>
          <w:rFonts w:ascii="Sylfaen" w:hAnsi="Sylfaen"/>
          <w:sz w:val="24"/>
          <w:szCs w:val="24"/>
        </w:rPr>
        <w:t xml:space="preserve">Տեղեկություններ են բերվում այն ակտիվ նյութի </w:t>
      </w:r>
      <w:r w:rsidR="00C54D75">
        <w:rPr>
          <w:rFonts w:ascii="Sylfaen" w:hAnsi="Sylfaen"/>
          <w:sz w:val="24"/>
          <w:szCs w:val="24"/>
        </w:rPr>
        <w:t>և</w:t>
      </w:r>
      <w:r w:rsidRPr="003B2786">
        <w:rPr>
          <w:rFonts w:ascii="Sylfaen" w:hAnsi="Sylfaen"/>
          <w:sz w:val="24"/>
          <w:szCs w:val="24"/>
        </w:rPr>
        <w:t xml:space="preserve"> միացությունների կառուցվածքի մասին, որոնք ունեն համանման բնութագրեր կամ կառուցվածք:</w:t>
      </w:r>
    </w:p>
    <w:p w14:paraId="799F28BE" w14:textId="77777777" w:rsidR="008C76E0" w:rsidRPr="003B2786" w:rsidRDefault="008C76E0" w:rsidP="00473371">
      <w:pPr>
        <w:tabs>
          <w:tab w:val="left" w:pos="1701"/>
        </w:tabs>
        <w:spacing w:after="160" w:line="336" w:lineRule="auto"/>
        <w:ind w:firstLine="567"/>
        <w:jc w:val="both"/>
        <w:outlineLvl w:val="0"/>
        <w:rPr>
          <w:rFonts w:ascii="Sylfaen" w:hAnsi="Sylfaen"/>
          <w:sz w:val="24"/>
          <w:szCs w:val="24"/>
        </w:rPr>
      </w:pPr>
      <w:r w:rsidRPr="003B2786">
        <w:rPr>
          <w:rFonts w:ascii="Sylfaen" w:hAnsi="Sylfaen"/>
          <w:sz w:val="24"/>
          <w:szCs w:val="24"/>
        </w:rPr>
        <w:t>S.I.3.</w:t>
      </w:r>
      <w:r w:rsidRPr="003B2786">
        <w:rPr>
          <w:rFonts w:ascii="Sylfaen" w:hAnsi="Sylfaen"/>
          <w:sz w:val="24"/>
          <w:szCs w:val="24"/>
        </w:rPr>
        <w:tab/>
        <w:t>ԱԴԲ-ի ընդհանուր հատկությունները:</w:t>
      </w:r>
    </w:p>
    <w:p w14:paraId="69EAEB45" w14:textId="77777777" w:rsidR="008C76E0" w:rsidRPr="003B2786" w:rsidRDefault="008C76E0" w:rsidP="00473371">
      <w:pPr>
        <w:spacing w:after="160" w:line="336" w:lineRule="auto"/>
        <w:ind w:right="-1" w:firstLine="567"/>
        <w:jc w:val="both"/>
        <w:rPr>
          <w:rFonts w:ascii="Sylfaen" w:hAnsi="Sylfaen"/>
          <w:sz w:val="24"/>
          <w:szCs w:val="24"/>
        </w:rPr>
      </w:pPr>
      <w:r w:rsidRPr="003B2786">
        <w:rPr>
          <w:rFonts w:ascii="Sylfaen" w:hAnsi="Sylfaen"/>
          <w:sz w:val="24"/>
          <w:szCs w:val="24"/>
        </w:rPr>
        <w:t>Նշվում են (եթե դա կիրառելի է) կլինիկական գործունեության համար կար</w:t>
      </w:r>
      <w:r w:rsidR="00C54D75">
        <w:rPr>
          <w:rFonts w:ascii="Sylfaen" w:hAnsi="Sylfaen"/>
          <w:sz w:val="24"/>
          <w:szCs w:val="24"/>
        </w:rPr>
        <w:t>և</w:t>
      </w:r>
      <w:r w:rsidRPr="003B2786">
        <w:rPr>
          <w:rFonts w:ascii="Sylfaen" w:hAnsi="Sylfaen"/>
          <w:sz w:val="24"/>
          <w:szCs w:val="24"/>
        </w:rPr>
        <w:t xml:space="preserve">որ հատկությունները՝ արտահայտելով դրանք այնպիսի բնութագրերով, </w:t>
      </w:r>
      <w:r w:rsidRPr="003B2786">
        <w:rPr>
          <w:rFonts w:ascii="Sylfaen" w:hAnsi="Sylfaen"/>
          <w:sz w:val="24"/>
          <w:szCs w:val="24"/>
        </w:rPr>
        <w:lastRenderedPageBreak/>
        <w:t>ինչպիսիք են рКа-ն (թույլ էլեկտրոլիտի դիսոցման հաստատուն), լուծելիությունը, բազմաձ</w:t>
      </w:r>
      <w:r w:rsidR="00C54D75">
        <w:rPr>
          <w:rFonts w:ascii="Sylfaen" w:hAnsi="Sylfaen"/>
          <w:sz w:val="24"/>
          <w:szCs w:val="24"/>
        </w:rPr>
        <w:t>և</w:t>
      </w:r>
      <w:r w:rsidRPr="003B2786">
        <w:rPr>
          <w:rFonts w:ascii="Sylfaen" w:hAnsi="Sylfaen"/>
          <w:sz w:val="24"/>
          <w:szCs w:val="24"/>
        </w:rPr>
        <w:t xml:space="preserve">ությունը, իզոմերիան, մասնիկների բաշխումն ըստ չափերի </w:t>
      </w:r>
      <w:r w:rsidR="00C54D75">
        <w:rPr>
          <w:rFonts w:ascii="Sylfaen" w:hAnsi="Sylfaen"/>
          <w:sz w:val="24"/>
          <w:szCs w:val="24"/>
        </w:rPr>
        <w:t>և</w:t>
      </w:r>
      <w:r w:rsidRPr="003B2786">
        <w:rPr>
          <w:rFonts w:ascii="Sylfaen" w:hAnsi="Sylfaen"/>
          <w:sz w:val="24"/>
          <w:szCs w:val="24"/>
        </w:rPr>
        <w:t xml:space="preserve"> այլն:</w:t>
      </w:r>
    </w:p>
    <w:p w14:paraId="7450A5C8" w14:textId="77777777" w:rsidR="008C76E0" w:rsidRPr="003B2786" w:rsidRDefault="008C76E0" w:rsidP="00132EF0">
      <w:pPr>
        <w:spacing w:after="160" w:line="360" w:lineRule="auto"/>
        <w:ind w:firstLine="567"/>
        <w:jc w:val="both"/>
        <w:rPr>
          <w:rFonts w:ascii="Sylfaen" w:hAnsi="Sylfaen"/>
          <w:sz w:val="24"/>
          <w:szCs w:val="24"/>
        </w:rPr>
      </w:pPr>
      <w:r w:rsidRPr="003B2786">
        <w:rPr>
          <w:rFonts w:ascii="Sylfaen" w:hAnsi="Sylfaen"/>
          <w:sz w:val="24"/>
          <w:szCs w:val="24"/>
        </w:rPr>
        <w:t xml:space="preserve">Կենսատեխնոլոգիական (կենսաբանական) սուբստանցիաների համար S.1 կետում հարկ է ներառել ակտիվ նյութի նկարագրությունը: Անհրաժեշտ է բերել մոլեկուլի անվանումը </w:t>
      </w:r>
      <w:r w:rsidR="00C54D75">
        <w:rPr>
          <w:rFonts w:ascii="Sylfaen" w:hAnsi="Sylfaen"/>
          <w:sz w:val="24"/>
          <w:szCs w:val="24"/>
        </w:rPr>
        <w:t>և</w:t>
      </w:r>
      <w:r w:rsidRPr="003B2786">
        <w:rPr>
          <w:rFonts w:ascii="Sylfaen" w:hAnsi="Sylfaen"/>
          <w:sz w:val="24"/>
          <w:szCs w:val="24"/>
        </w:rPr>
        <w:t xml:space="preserve"> նկարագրությունը: Նկարագրությունը պետք է ներառի այնպիսի հատկություններ, ինչպիսիք են գլիկոզիլացումը/հետտրանսլյացիոն մոդիֆիկացիաները, կառուցվածքի մոդիֆիկացիաները (ամինաթթվային փոխարինիչ, ՊԷԳ-ավորում), մոլեկուլի չափսը: Ընդունելի լինելու դեպքում հարկ է բերել տեղեկատվություն՝ երկրորդային </w:t>
      </w:r>
      <w:r w:rsidR="00C54D75">
        <w:rPr>
          <w:rFonts w:ascii="Sylfaen" w:hAnsi="Sylfaen"/>
          <w:sz w:val="24"/>
          <w:szCs w:val="24"/>
        </w:rPr>
        <w:t>և</w:t>
      </w:r>
      <w:r w:rsidRPr="003B2786">
        <w:rPr>
          <w:rFonts w:ascii="Sylfaen" w:hAnsi="Sylfaen"/>
          <w:sz w:val="24"/>
          <w:szCs w:val="24"/>
        </w:rPr>
        <w:t xml:space="preserve"> երրորդային կառուցվածքների մասին: Առանձնացվում </w:t>
      </w:r>
      <w:r w:rsidR="00C54D75">
        <w:rPr>
          <w:rFonts w:ascii="Sylfaen" w:hAnsi="Sylfaen"/>
          <w:sz w:val="24"/>
          <w:szCs w:val="24"/>
        </w:rPr>
        <w:t>և</w:t>
      </w:r>
      <w:r w:rsidRPr="003B2786">
        <w:rPr>
          <w:rFonts w:ascii="Sylfaen" w:hAnsi="Sylfaen"/>
          <w:sz w:val="24"/>
          <w:szCs w:val="24"/>
        </w:rPr>
        <w:t xml:space="preserve"> դիտարկվում են ազդեցության մեխանիզմի համար էական՝ կառուցվածքի տարրերը:</w:t>
      </w:r>
    </w:p>
    <w:p w14:paraId="54F4E330" w14:textId="77777777" w:rsidR="008C76E0" w:rsidRPr="003B2786" w:rsidRDefault="008C76E0" w:rsidP="00132EF0">
      <w:pPr>
        <w:spacing w:after="160" w:line="360" w:lineRule="auto"/>
        <w:ind w:firstLine="567"/>
        <w:jc w:val="both"/>
        <w:rPr>
          <w:rFonts w:ascii="Sylfaen" w:hAnsi="Sylfaen"/>
          <w:sz w:val="24"/>
          <w:szCs w:val="24"/>
        </w:rPr>
      </w:pPr>
      <w:r w:rsidRPr="003B2786">
        <w:rPr>
          <w:rFonts w:ascii="Sylfaen" w:hAnsi="Sylfaen"/>
          <w:sz w:val="24"/>
          <w:szCs w:val="24"/>
        </w:rPr>
        <w:t xml:space="preserve">Հարկ է որոշել այն հարցերը, որոնք պատշաճ կերպով արտացոլված չեն դոսյեում </w:t>
      </w:r>
      <w:r w:rsidR="00C54D75">
        <w:rPr>
          <w:rFonts w:ascii="Sylfaen" w:hAnsi="Sylfaen"/>
          <w:sz w:val="24"/>
          <w:szCs w:val="24"/>
        </w:rPr>
        <w:t>և</w:t>
      </w:r>
      <w:r w:rsidRPr="003B2786">
        <w:rPr>
          <w:rFonts w:ascii="Sylfaen" w:hAnsi="Sylfaen"/>
          <w:sz w:val="24"/>
          <w:szCs w:val="24"/>
        </w:rPr>
        <w:t xml:space="preserve"> ենթակա են դիտարկման Դիտողությունների ցանկում (անհրաժեշտության դեպքում հղում կատարելով հարցի համարին): Որոշվում են կրիտիկական դիտողությունները: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6490"/>
      </w:tblGrid>
      <w:tr w:rsidR="008C76E0" w:rsidRPr="003B2786" w14:paraId="1D029EA2" w14:textId="77777777" w:rsidTr="008C76E0">
        <w:trPr>
          <w:trHeight w:val="2832"/>
        </w:trPr>
        <w:tc>
          <w:tcPr>
            <w:tcW w:w="2796" w:type="dxa"/>
            <w:vMerge w:val="restart"/>
          </w:tcPr>
          <w:p w14:paraId="51BC9A41" w14:textId="77777777" w:rsidR="008C76E0" w:rsidRPr="003B2786" w:rsidRDefault="008C76E0" w:rsidP="008C76E0">
            <w:pPr>
              <w:spacing w:after="160" w:line="360" w:lineRule="auto"/>
              <w:ind w:right="-1"/>
              <w:jc w:val="both"/>
              <w:rPr>
                <w:rFonts w:ascii="Sylfaen" w:hAnsi="Sylfaen"/>
                <w:sz w:val="24"/>
                <w:szCs w:val="24"/>
                <w:lang w:val="en-US"/>
              </w:rPr>
            </w:pPr>
            <w:r w:rsidRPr="003B2786">
              <w:rPr>
                <w:rFonts w:ascii="Sylfaen" w:hAnsi="Sylfaen"/>
                <w:sz w:val="24"/>
                <w:szCs w:val="24"/>
              </w:rPr>
              <w:t>Ծանոթագրություններ.</w:t>
            </w:r>
          </w:p>
        </w:tc>
        <w:tc>
          <w:tcPr>
            <w:tcW w:w="6490" w:type="dxa"/>
          </w:tcPr>
          <w:p w14:paraId="4B768615" w14:textId="77777777" w:rsidR="008C76E0" w:rsidRPr="003B2786" w:rsidRDefault="008C76E0" w:rsidP="008C76E0">
            <w:pPr>
              <w:tabs>
                <w:tab w:val="left" w:pos="606"/>
              </w:tabs>
              <w:spacing w:after="160" w:line="360" w:lineRule="auto"/>
              <w:ind w:right="-1"/>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Հարկ է նշել, թե արդյոք ներկայացված են Եվրոպական դեղագրքի մենագրությանը համապատասխանության սերտիֆիկատը (СЕР) կամ ԱԴԲՄՖ-ն կամ ակտիվ դեղագործական բաղադրամասի մասին ամբողջական տեղեկատվությունը:</w:t>
            </w:r>
          </w:p>
        </w:tc>
      </w:tr>
      <w:tr w:rsidR="008C76E0" w:rsidRPr="003B2786" w14:paraId="0BA256CD" w14:textId="77777777" w:rsidTr="008C76E0">
        <w:trPr>
          <w:trHeight w:val="2934"/>
        </w:trPr>
        <w:tc>
          <w:tcPr>
            <w:tcW w:w="2796" w:type="dxa"/>
            <w:vMerge/>
          </w:tcPr>
          <w:p w14:paraId="088C7FE0" w14:textId="77777777" w:rsidR="008C76E0" w:rsidRPr="003B2786" w:rsidRDefault="008C76E0" w:rsidP="008C76E0">
            <w:pPr>
              <w:spacing w:after="160" w:line="360" w:lineRule="auto"/>
              <w:ind w:right="-1"/>
              <w:jc w:val="both"/>
              <w:rPr>
                <w:rFonts w:ascii="Sylfaen" w:hAnsi="Sylfaen"/>
                <w:sz w:val="24"/>
                <w:szCs w:val="24"/>
                <w:lang w:val="en-US"/>
              </w:rPr>
            </w:pPr>
          </w:p>
        </w:tc>
        <w:tc>
          <w:tcPr>
            <w:tcW w:w="6490" w:type="dxa"/>
          </w:tcPr>
          <w:p w14:paraId="111271BF" w14:textId="77777777" w:rsidR="008C76E0" w:rsidRPr="003B2786" w:rsidRDefault="008C76E0" w:rsidP="008C76E0">
            <w:pPr>
              <w:tabs>
                <w:tab w:val="left" w:pos="606"/>
              </w:tabs>
              <w:spacing w:after="160" w:line="360" w:lineRule="auto"/>
              <w:ind w:right="-1"/>
              <w:jc w:val="both"/>
              <w:rPr>
                <w:rFonts w:ascii="Sylfaen" w:hAnsi="Sylfaen"/>
                <w:sz w:val="24"/>
                <w:szCs w:val="24"/>
                <w:lang w:val="en-US"/>
              </w:rPr>
            </w:pPr>
            <w:r w:rsidRPr="003B2786">
              <w:rPr>
                <w:rFonts w:ascii="Sylfaen" w:hAnsi="Sylfaen"/>
                <w:sz w:val="24"/>
                <w:szCs w:val="24"/>
              </w:rPr>
              <w:t>2.</w:t>
            </w:r>
            <w:r w:rsidRPr="003B2786">
              <w:rPr>
                <w:rFonts w:ascii="Sylfaen" w:hAnsi="Sylfaen"/>
                <w:sz w:val="24"/>
                <w:szCs w:val="24"/>
              </w:rPr>
              <w:tab/>
              <w:t>ԱԴԲՄՖ-ն օգտագործելիս հարկ է նշել, որ դրա փորձաքննության արդյունքները ներկայացվում են ԱԴԲՄՖ-ի կրիտիկական գնահատականի վերաբերյալ առանձին փորձագիտական հաշվետվությամբ՝ փաստաթղթի փակ մասի գաղտնի հավելվածով:</w:t>
            </w:r>
          </w:p>
        </w:tc>
      </w:tr>
      <w:tr w:rsidR="008C76E0" w:rsidRPr="003B2786" w14:paraId="3B52DA62" w14:textId="77777777" w:rsidTr="008C76E0">
        <w:trPr>
          <w:trHeight w:val="1798"/>
        </w:trPr>
        <w:tc>
          <w:tcPr>
            <w:tcW w:w="2796" w:type="dxa"/>
            <w:vMerge/>
          </w:tcPr>
          <w:p w14:paraId="6DE8A29A" w14:textId="77777777" w:rsidR="008C76E0" w:rsidRPr="003B2786" w:rsidRDefault="008C76E0" w:rsidP="008C76E0">
            <w:pPr>
              <w:spacing w:after="160" w:line="360" w:lineRule="auto"/>
              <w:ind w:right="-1"/>
              <w:jc w:val="both"/>
              <w:rPr>
                <w:rFonts w:ascii="Sylfaen" w:hAnsi="Sylfaen"/>
                <w:sz w:val="24"/>
                <w:szCs w:val="24"/>
                <w:lang w:val="en-US"/>
              </w:rPr>
            </w:pPr>
          </w:p>
        </w:tc>
        <w:tc>
          <w:tcPr>
            <w:tcW w:w="6490" w:type="dxa"/>
          </w:tcPr>
          <w:p w14:paraId="10B2EDA0" w14:textId="77777777" w:rsidR="008C76E0" w:rsidRPr="003B2786" w:rsidRDefault="008C76E0" w:rsidP="008C76E0">
            <w:pPr>
              <w:tabs>
                <w:tab w:val="left" w:pos="606"/>
              </w:tabs>
              <w:spacing w:after="160" w:line="353" w:lineRule="auto"/>
              <w:jc w:val="both"/>
              <w:rPr>
                <w:rFonts w:ascii="Sylfaen" w:hAnsi="Sylfaen"/>
                <w:sz w:val="24"/>
                <w:szCs w:val="24"/>
              </w:rPr>
            </w:pPr>
            <w:r w:rsidRPr="003B2786">
              <w:rPr>
                <w:rFonts w:ascii="Sylfaen" w:hAnsi="Sylfaen"/>
                <w:sz w:val="24"/>
                <w:szCs w:val="24"/>
              </w:rPr>
              <w:t>3.</w:t>
            </w:r>
            <w:r w:rsidRPr="003B2786">
              <w:rPr>
                <w:rFonts w:ascii="Sylfaen" w:hAnsi="Sylfaen"/>
                <w:sz w:val="24"/>
                <w:szCs w:val="24"/>
              </w:rPr>
              <w:tab/>
              <w:t>Դոսյեում մի քանի ԱԴԲՄՖ-ների մասով տեղեկությունների առկայության դեպքում յուրաքանչյուր ԱԴԲՄՖ-ի համար ներկայացվում է առանձին հաշվետվություն:</w:t>
            </w:r>
          </w:p>
        </w:tc>
      </w:tr>
      <w:tr w:rsidR="008C76E0" w:rsidRPr="003B2786" w14:paraId="79942236" w14:textId="77777777" w:rsidTr="008C76E0">
        <w:trPr>
          <w:trHeight w:val="141"/>
        </w:trPr>
        <w:tc>
          <w:tcPr>
            <w:tcW w:w="2796" w:type="dxa"/>
            <w:vMerge/>
          </w:tcPr>
          <w:p w14:paraId="7490B179" w14:textId="77777777" w:rsidR="008C76E0" w:rsidRPr="006E0DA4" w:rsidRDefault="008C76E0" w:rsidP="008C76E0">
            <w:pPr>
              <w:spacing w:after="160" w:line="360" w:lineRule="auto"/>
              <w:ind w:right="-1"/>
              <w:jc w:val="both"/>
              <w:rPr>
                <w:rFonts w:ascii="Sylfaen" w:hAnsi="Sylfaen"/>
                <w:sz w:val="24"/>
                <w:szCs w:val="24"/>
              </w:rPr>
            </w:pPr>
          </w:p>
        </w:tc>
        <w:tc>
          <w:tcPr>
            <w:tcW w:w="6490" w:type="dxa"/>
          </w:tcPr>
          <w:p w14:paraId="6DF560EC" w14:textId="77777777" w:rsidR="008C76E0" w:rsidRPr="003B2786" w:rsidRDefault="008C76E0" w:rsidP="008C76E0">
            <w:pPr>
              <w:tabs>
                <w:tab w:val="left" w:pos="606"/>
              </w:tabs>
              <w:spacing w:after="160" w:line="353" w:lineRule="auto"/>
              <w:jc w:val="both"/>
              <w:rPr>
                <w:rFonts w:ascii="Sylfaen" w:hAnsi="Sylfaen"/>
                <w:sz w:val="24"/>
                <w:szCs w:val="24"/>
              </w:rPr>
            </w:pPr>
            <w:r w:rsidRPr="003B2786">
              <w:rPr>
                <w:rFonts w:ascii="Sylfaen" w:hAnsi="Sylfaen"/>
                <w:sz w:val="24"/>
                <w:szCs w:val="24"/>
              </w:rPr>
              <w:t>4.</w:t>
            </w:r>
            <w:r w:rsidRPr="003B2786">
              <w:rPr>
                <w:rFonts w:ascii="Sylfaen" w:hAnsi="Sylfaen"/>
                <w:sz w:val="24"/>
                <w:szCs w:val="24"/>
              </w:rPr>
              <w:tab/>
              <w:t>Դիտարկվող դեղապատրաստուկի մասով անհրաժեշտ է բերել տեղեկություններ՝ գաղտնի տեղեկատվությանը հասանելիությունը թույլատրելու վերաբերյալ:</w:t>
            </w:r>
          </w:p>
        </w:tc>
      </w:tr>
      <w:tr w:rsidR="008C76E0" w:rsidRPr="003B2786" w14:paraId="7D435006" w14:textId="77777777" w:rsidTr="008C76E0">
        <w:trPr>
          <w:trHeight w:val="141"/>
        </w:trPr>
        <w:tc>
          <w:tcPr>
            <w:tcW w:w="2796" w:type="dxa"/>
            <w:vMerge/>
          </w:tcPr>
          <w:p w14:paraId="42F161C9" w14:textId="77777777" w:rsidR="008C76E0" w:rsidRPr="00C84ACF" w:rsidRDefault="008C76E0" w:rsidP="008C76E0">
            <w:pPr>
              <w:spacing w:after="160" w:line="360" w:lineRule="auto"/>
              <w:ind w:right="-1"/>
              <w:jc w:val="both"/>
              <w:rPr>
                <w:rFonts w:ascii="Sylfaen" w:hAnsi="Sylfaen"/>
                <w:sz w:val="24"/>
                <w:szCs w:val="24"/>
              </w:rPr>
            </w:pPr>
          </w:p>
        </w:tc>
        <w:tc>
          <w:tcPr>
            <w:tcW w:w="6490" w:type="dxa"/>
          </w:tcPr>
          <w:p w14:paraId="414132B6" w14:textId="77777777" w:rsidR="008C76E0" w:rsidRPr="003B2786" w:rsidRDefault="008C76E0" w:rsidP="008C76E0">
            <w:pPr>
              <w:tabs>
                <w:tab w:val="left" w:pos="606"/>
              </w:tabs>
              <w:spacing w:after="160" w:line="353" w:lineRule="auto"/>
              <w:jc w:val="both"/>
              <w:rPr>
                <w:rFonts w:ascii="Sylfaen" w:hAnsi="Sylfaen"/>
                <w:sz w:val="24"/>
                <w:szCs w:val="24"/>
              </w:rPr>
            </w:pPr>
            <w:r w:rsidRPr="003B2786">
              <w:rPr>
                <w:rFonts w:ascii="Sylfaen" w:hAnsi="Sylfaen"/>
                <w:sz w:val="24"/>
                <w:szCs w:val="24"/>
              </w:rPr>
              <w:t>5.</w:t>
            </w:r>
            <w:r w:rsidRPr="003B2786">
              <w:rPr>
                <w:rFonts w:ascii="Sylfaen" w:hAnsi="Sylfaen"/>
                <w:sz w:val="24"/>
                <w:szCs w:val="24"/>
              </w:rPr>
              <w:tab/>
              <w:t xml:space="preserve">СЕР-ը </w:t>
            </w:r>
            <w:r w:rsidR="00C54D75">
              <w:rPr>
                <w:rFonts w:ascii="Sylfaen" w:hAnsi="Sylfaen"/>
                <w:sz w:val="24"/>
                <w:szCs w:val="24"/>
              </w:rPr>
              <w:t>և</w:t>
            </w:r>
            <w:r w:rsidRPr="003B2786">
              <w:rPr>
                <w:rFonts w:ascii="Sylfaen" w:hAnsi="Sylfaen"/>
                <w:sz w:val="24"/>
                <w:szCs w:val="24"/>
              </w:rPr>
              <w:t xml:space="preserve"> ԱԴԲՄՖ-ն օգտագործելիս անհրաժեշտ է լրացնել միայն հաշվետվության 3.4 «Ակտիվ դեղագործական բաղադրամասի որակի հսկողություն» </w:t>
            </w:r>
            <w:r w:rsidR="00C54D75">
              <w:rPr>
                <w:rFonts w:ascii="Sylfaen" w:hAnsi="Sylfaen"/>
                <w:sz w:val="24"/>
                <w:szCs w:val="24"/>
              </w:rPr>
              <w:t>և</w:t>
            </w:r>
            <w:r w:rsidRPr="003B2786">
              <w:rPr>
                <w:rFonts w:ascii="Sylfaen" w:hAnsi="Sylfaen"/>
                <w:sz w:val="24"/>
                <w:szCs w:val="24"/>
              </w:rPr>
              <w:t xml:space="preserve"> 3.5 «Ստանդարտ նմուշներ կամ նյութեր» բաժինները, որոնք կապված են դեղապատրաստուկի արտադրության հետ, եթե հայտատուն չի տրամադրել լրացուցիչ տվյալներ, մասնավորապես՝ 3.2.S.7 բաժնին համապատասխան, կրկնակի փորձարկման ավելի երկարատ</w:t>
            </w:r>
            <w:r w:rsidR="00C54D75">
              <w:rPr>
                <w:rFonts w:ascii="Sylfaen" w:hAnsi="Sylfaen"/>
                <w:sz w:val="24"/>
                <w:szCs w:val="24"/>
              </w:rPr>
              <w:t>և</w:t>
            </w:r>
            <w:r w:rsidRPr="003B2786">
              <w:rPr>
                <w:rFonts w:ascii="Sylfaen" w:hAnsi="Sylfaen"/>
                <w:sz w:val="24"/>
                <w:szCs w:val="24"/>
              </w:rPr>
              <w:t xml:space="preserve"> ժամանակահատվածի հաստատման համար կայունության մասին տվյալներ:</w:t>
            </w:r>
          </w:p>
        </w:tc>
      </w:tr>
      <w:tr w:rsidR="008C76E0" w:rsidRPr="003B2786" w14:paraId="565C55AE" w14:textId="77777777" w:rsidTr="008C76E0">
        <w:trPr>
          <w:trHeight w:val="141"/>
        </w:trPr>
        <w:tc>
          <w:tcPr>
            <w:tcW w:w="2796" w:type="dxa"/>
            <w:vMerge/>
          </w:tcPr>
          <w:p w14:paraId="1A61E334" w14:textId="77777777" w:rsidR="008C76E0" w:rsidRPr="00C84ACF" w:rsidRDefault="008C76E0" w:rsidP="008C76E0">
            <w:pPr>
              <w:spacing w:after="160" w:line="360" w:lineRule="auto"/>
              <w:ind w:right="-1"/>
              <w:jc w:val="both"/>
              <w:rPr>
                <w:rFonts w:ascii="Sylfaen" w:hAnsi="Sylfaen"/>
                <w:sz w:val="24"/>
                <w:szCs w:val="24"/>
              </w:rPr>
            </w:pPr>
          </w:p>
        </w:tc>
        <w:tc>
          <w:tcPr>
            <w:tcW w:w="6490" w:type="dxa"/>
          </w:tcPr>
          <w:p w14:paraId="38560075" w14:textId="77777777" w:rsidR="008C76E0" w:rsidRPr="003B2786" w:rsidRDefault="008C76E0" w:rsidP="008C76E0">
            <w:pPr>
              <w:tabs>
                <w:tab w:val="left" w:pos="606"/>
              </w:tabs>
              <w:spacing w:after="160" w:line="353" w:lineRule="auto"/>
              <w:jc w:val="both"/>
              <w:rPr>
                <w:rFonts w:ascii="Sylfaen" w:hAnsi="Sylfaen"/>
                <w:sz w:val="24"/>
                <w:szCs w:val="24"/>
              </w:rPr>
            </w:pPr>
            <w:r w:rsidRPr="003B2786">
              <w:rPr>
                <w:rFonts w:ascii="Sylfaen" w:hAnsi="Sylfaen"/>
                <w:sz w:val="24"/>
                <w:szCs w:val="24"/>
              </w:rPr>
              <w:t>6.</w:t>
            </w:r>
            <w:r w:rsidRPr="003B2786">
              <w:rPr>
                <w:rFonts w:ascii="Sylfaen" w:hAnsi="Sylfaen"/>
                <w:sz w:val="24"/>
                <w:szCs w:val="24"/>
              </w:rPr>
              <w:tab/>
              <w:t>ԱԴԲՄՖ հաշվետվությունների փակ մասի վերաբերյալ հարցերը ուղարկվում են ոչ թե հայտատուին, այլ միայն ակտիվ դեղագործական բաղադրամասի համապատասխան արտադրողին (ԱԴԲՄՖ-ի իրավատիրոջը):</w:t>
            </w:r>
          </w:p>
        </w:tc>
      </w:tr>
      <w:tr w:rsidR="008C76E0" w:rsidRPr="003B2786" w14:paraId="33F6F50D" w14:textId="77777777" w:rsidTr="008C76E0">
        <w:trPr>
          <w:trHeight w:val="141"/>
        </w:trPr>
        <w:tc>
          <w:tcPr>
            <w:tcW w:w="2796" w:type="dxa"/>
            <w:vMerge/>
          </w:tcPr>
          <w:p w14:paraId="2F4FD17F" w14:textId="77777777" w:rsidR="008C76E0" w:rsidRPr="00C84ACF" w:rsidRDefault="008C76E0" w:rsidP="008C76E0">
            <w:pPr>
              <w:spacing w:after="160" w:line="360" w:lineRule="auto"/>
              <w:ind w:right="-1"/>
              <w:jc w:val="both"/>
              <w:rPr>
                <w:rFonts w:ascii="Sylfaen" w:hAnsi="Sylfaen"/>
                <w:sz w:val="24"/>
                <w:szCs w:val="24"/>
              </w:rPr>
            </w:pPr>
          </w:p>
        </w:tc>
        <w:tc>
          <w:tcPr>
            <w:tcW w:w="6490" w:type="dxa"/>
          </w:tcPr>
          <w:p w14:paraId="2424D473" w14:textId="77777777" w:rsidR="008C76E0" w:rsidRPr="003B2786" w:rsidRDefault="008C76E0" w:rsidP="008C76E0">
            <w:pPr>
              <w:tabs>
                <w:tab w:val="left" w:pos="606"/>
              </w:tabs>
              <w:spacing w:after="160" w:line="353" w:lineRule="auto"/>
              <w:jc w:val="both"/>
              <w:rPr>
                <w:rFonts w:ascii="Sylfaen" w:hAnsi="Sylfaen"/>
                <w:sz w:val="24"/>
                <w:szCs w:val="24"/>
              </w:rPr>
            </w:pPr>
            <w:r w:rsidRPr="003B2786">
              <w:rPr>
                <w:rFonts w:ascii="Sylfaen" w:hAnsi="Sylfaen"/>
                <w:sz w:val="24"/>
                <w:szCs w:val="24"/>
              </w:rPr>
              <w:t>7.</w:t>
            </w:r>
            <w:r w:rsidRPr="003B2786">
              <w:rPr>
                <w:rFonts w:ascii="Sylfaen" w:hAnsi="Sylfaen"/>
                <w:sz w:val="24"/>
                <w:szCs w:val="24"/>
              </w:rPr>
              <w:tab/>
              <w:t xml:space="preserve">СЕР-ը </w:t>
            </w:r>
            <w:r w:rsidR="00C54D75">
              <w:rPr>
                <w:rFonts w:ascii="Sylfaen" w:hAnsi="Sylfaen"/>
                <w:sz w:val="24"/>
                <w:szCs w:val="24"/>
              </w:rPr>
              <w:t>և</w:t>
            </w:r>
            <w:r w:rsidRPr="003B2786">
              <w:rPr>
                <w:rFonts w:ascii="Sylfaen" w:hAnsi="Sylfaen"/>
                <w:sz w:val="24"/>
                <w:szCs w:val="24"/>
              </w:rPr>
              <w:t xml:space="preserve"> ԱԴԲՄՖ-ն օգտագործելիս հարկ է ճշտել աղբյուրը (հայտատուն, ԱԴԲՄՖ-ի իրավատերը կամ СЕР-ի իրավատերը) </w:t>
            </w:r>
            <w:r w:rsidR="00C54D75">
              <w:rPr>
                <w:rFonts w:ascii="Sylfaen" w:hAnsi="Sylfaen"/>
                <w:sz w:val="24"/>
                <w:szCs w:val="24"/>
              </w:rPr>
              <w:t>և</w:t>
            </w:r>
            <w:r w:rsidRPr="003B2786">
              <w:rPr>
                <w:rFonts w:ascii="Sylfaen" w:hAnsi="Sylfaen"/>
                <w:sz w:val="24"/>
                <w:szCs w:val="24"/>
              </w:rPr>
              <w:t xml:space="preserve"> կրիտիկական գնահատականի մասին հաշվետվություն կազմելու համար տեղեկությունների մանրամասնեցման մակարդակը:</w:t>
            </w:r>
          </w:p>
        </w:tc>
      </w:tr>
      <w:tr w:rsidR="008C76E0" w:rsidRPr="003B2786" w14:paraId="21C548BD" w14:textId="77777777" w:rsidTr="008C76E0">
        <w:trPr>
          <w:trHeight w:val="4814"/>
        </w:trPr>
        <w:tc>
          <w:tcPr>
            <w:tcW w:w="2796" w:type="dxa"/>
            <w:vMerge/>
          </w:tcPr>
          <w:p w14:paraId="2423D32F" w14:textId="77777777" w:rsidR="008C76E0" w:rsidRPr="00C84ACF" w:rsidRDefault="008C76E0" w:rsidP="008C76E0">
            <w:pPr>
              <w:spacing w:after="160" w:line="360" w:lineRule="auto"/>
              <w:jc w:val="both"/>
              <w:rPr>
                <w:rFonts w:ascii="Sylfaen" w:hAnsi="Sylfaen"/>
                <w:sz w:val="24"/>
                <w:szCs w:val="24"/>
              </w:rPr>
            </w:pPr>
          </w:p>
        </w:tc>
        <w:tc>
          <w:tcPr>
            <w:tcW w:w="6490" w:type="dxa"/>
          </w:tcPr>
          <w:p w14:paraId="0D69754A" w14:textId="77777777" w:rsidR="008C76E0" w:rsidRPr="003B2786" w:rsidRDefault="008C76E0" w:rsidP="008C76E0">
            <w:pPr>
              <w:tabs>
                <w:tab w:val="left" w:pos="606"/>
              </w:tabs>
              <w:spacing w:after="160" w:line="360" w:lineRule="auto"/>
              <w:jc w:val="both"/>
              <w:rPr>
                <w:rFonts w:ascii="Sylfaen" w:hAnsi="Sylfaen"/>
                <w:sz w:val="24"/>
                <w:szCs w:val="24"/>
              </w:rPr>
            </w:pPr>
            <w:r w:rsidRPr="003B2786">
              <w:rPr>
                <w:rFonts w:ascii="Sylfaen" w:hAnsi="Sylfaen"/>
                <w:sz w:val="24"/>
                <w:szCs w:val="24"/>
              </w:rPr>
              <w:t>8.</w:t>
            </w:r>
            <w:r w:rsidRPr="003B2786">
              <w:rPr>
                <w:rFonts w:ascii="Sylfaen" w:hAnsi="Sylfaen"/>
                <w:sz w:val="24"/>
                <w:szCs w:val="24"/>
              </w:rPr>
              <w:tab/>
              <w:t>Ակտիվ դեղագործական բաղադրամասի որակի գնահատումը սույն հաշվետվության մեջ պետք է նա</w:t>
            </w:r>
            <w:r w:rsidR="00C54D75">
              <w:rPr>
                <w:rFonts w:ascii="Sylfaen" w:hAnsi="Sylfaen"/>
                <w:sz w:val="24"/>
                <w:szCs w:val="24"/>
              </w:rPr>
              <w:t>և</w:t>
            </w:r>
            <w:r w:rsidRPr="003B2786">
              <w:rPr>
                <w:rFonts w:ascii="Sylfaen" w:hAnsi="Sylfaen"/>
                <w:sz w:val="24"/>
                <w:szCs w:val="24"/>
              </w:rPr>
              <w:t xml:space="preserve"> արտացոլի հայտատուի կողմից ներկայացված լրացուցիչ տեղեկատվությունը, որը ներառված չէ ԱԴԲՄՖ-ի իրավատիրոջ կողմից ներկայացվող փաստաթղթի բաց մասում: Եթե հայտատուն ակտիվ դեղագործական բաղադրամասի մասին ներկայացնում է ամբողջական տեղեկատվություն, հաշվետվության մեջ պետք է ներառվի այդ տեղեկատվության գնահատականը:</w:t>
            </w:r>
          </w:p>
        </w:tc>
      </w:tr>
    </w:tbl>
    <w:p w14:paraId="28843E9F" w14:textId="77777777" w:rsidR="008C76E0" w:rsidRPr="003B2786" w:rsidRDefault="008C76E0" w:rsidP="008C76E0">
      <w:pPr>
        <w:ind w:left="1560"/>
        <w:jc w:val="both"/>
        <w:rPr>
          <w:rFonts w:ascii="Sylfaen" w:hAnsi="Sylfaen"/>
          <w:sz w:val="24"/>
          <w:szCs w:val="24"/>
        </w:rPr>
      </w:pPr>
    </w:p>
    <w:tbl>
      <w:tblPr>
        <w:tblOverlap w:val="never"/>
        <w:tblW w:w="9433" w:type="dxa"/>
        <w:jc w:val="center"/>
        <w:tblLayout w:type="fixed"/>
        <w:tblCellMar>
          <w:left w:w="10" w:type="dxa"/>
          <w:right w:w="10" w:type="dxa"/>
        </w:tblCellMar>
        <w:tblLook w:val="04A0" w:firstRow="1" w:lastRow="0" w:firstColumn="1" w:lastColumn="0" w:noHBand="0" w:noVBand="1"/>
      </w:tblPr>
      <w:tblGrid>
        <w:gridCol w:w="6684"/>
        <w:gridCol w:w="2749"/>
      </w:tblGrid>
      <w:tr w:rsidR="008C76E0" w:rsidRPr="003B2786" w14:paraId="1B4C9D4E" w14:textId="77777777" w:rsidTr="008C76E0">
        <w:trPr>
          <w:trHeight w:val="456"/>
          <w:jc w:val="center"/>
        </w:trPr>
        <w:tc>
          <w:tcPr>
            <w:tcW w:w="9433" w:type="dxa"/>
            <w:gridSpan w:val="2"/>
            <w:shd w:val="clear" w:color="auto" w:fill="FFFFFF"/>
          </w:tcPr>
          <w:p w14:paraId="746329EF" w14:textId="77777777" w:rsidR="008C76E0" w:rsidRPr="008C76E0" w:rsidRDefault="008C76E0" w:rsidP="008C76E0">
            <w:pPr>
              <w:pStyle w:val="Bodytext180"/>
              <w:shd w:val="clear" w:color="auto" w:fill="auto"/>
              <w:spacing w:before="0" w:after="160" w:line="360" w:lineRule="auto"/>
              <w:ind w:firstLine="0"/>
              <w:jc w:val="center"/>
              <w:rPr>
                <w:rFonts w:ascii="Sylfaen" w:hAnsi="Sylfaen"/>
                <w:b w:val="0"/>
                <w:sz w:val="24"/>
                <w:szCs w:val="24"/>
                <w:lang w:val="hy-AM"/>
              </w:rPr>
            </w:pPr>
            <w:r w:rsidRPr="003B2786">
              <w:rPr>
                <w:rStyle w:val="Bodytext295pt"/>
                <w:rFonts w:ascii="Sylfaen" w:hAnsi="Sylfaen"/>
                <w:sz w:val="24"/>
                <w:szCs w:val="24"/>
              </w:rPr>
              <w:t>Տեղեկատվություն ԱԴԲ-ի անվանման մասին (մոդուլ S.1.1)</w:t>
            </w:r>
          </w:p>
        </w:tc>
      </w:tr>
      <w:tr w:rsidR="008C76E0" w:rsidRPr="003B2786" w14:paraId="568E48B7" w14:textId="77777777" w:rsidTr="008C76E0">
        <w:trPr>
          <w:trHeight w:val="456"/>
          <w:jc w:val="center"/>
        </w:trPr>
        <w:tc>
          <w:tcPr>
            <w:tcW w:w="6684" w:type="dxa"/>
            <w:tcBorders>
              <w:top w:val="single" w:sz="4" w:space="0" w:color="auto"/>
              <w:left w:val="single" w:sz="4" w:space="0" w:color="auto"/>
            </w:tcBorders>
            <w:shd w:val="clear" w:color="auto" w:fill="FFFFFF"/>
          </w:tcPr>
          <w:p w14:paraId="653B66F7"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Միջազգային չարտոնագրված անվանումը (ՄՉԱ)</w:t>
            </w:r>
          </w:p>
        </w:tc>
        <w:tc>
          <w:tcPr>
            <w:tcW w:w="2749" w:type="dxa"/>
            <w:tcBorders>
              <w:top w:val="single" w:sz="4" w:space="0" w:color="auto"/>
              <w:right w:val="single" w:sz="4" w:space="0" w:color="auto"/>
            </w:tcBorders>
            <w:shd w:val="clear" w:color="auto" w:fill="FFFFFF"/>
          </w:tcPr>
          <w:p w14:paraId="32EA035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6F800EDD" w14:textId="77777777" w:rsidTr="008C76E0">
        <w:trPr>
          <w:trHeight w:val="456"/>
          <w:jc w:val="center"/>
        </w:trPr>
        <w:tc>
          <w:tcPr>
            <w:tcW w:w="6684" w:type="dxa"/>
            <w:tcBorders>
              <w:top w:val="single" w:sz="4" w:space="0" w:color="auto"/>
              <w:left w:val="single" w:sz="4" w:space="0" w:color="auto"/>
            </w:tcBorders>
            <w:shd w:val="clear" w:color="auto" w:fill="FFFFFF"/>
          </w:tcPr>
          <w:p w14:paraId="2B886BD9"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Քիմիական անվանումը</w:t>
            </w:r>
          </w:p>
        </w:tc>
        <w:tc>
          <w:tcPr>
            <w:tcW w:w="2749" w:type="dxa"/>
            <w:tcBorders>
              <w:top w:val="single" w:sz="4" w:space="0" w:color="auto"/>
              <w:right w:val="single" w:sz="4" w:space="0" w:color="auto"/>
            </w:tcBorders>
            <w:shd w:val="clear" w:color="auto" w:fill="FFFFFF"/>
          </w:tcPr>
          <w:p w14:paraId="2B9E35BB" w14:textId="77777777" w:rsidR="008C76E0" w:rsidRPr="003B2786" w:rsidRDefault="008C76E0" w:rsidP="008C76E0">
            <w:pPr>
              <w:spacing w:after="120" w:line="240" w:lineRule="auto"/>
              <w:jc w:val="both"/>
              <w:rPr>
                <w:rFonts w:ascii="Sylfaen" w:hAnsi="Sylfaen"/>
                <w:sz w:val="24"/>
                <w:szCs w:val="24"/>
              </w:rPr>
            </w:pPr>
          </w:p>
        </w:tc>
      </w:tr>
      <w:tr w:rsidR="008C76E0" w:rsidRPr="003B2786" w14:paraId="543E8EE0" w14:textId="77777777" w:rsidTr="008C76E0">
        <w:trPr>
          <w:trHeight w:val="443"/>
          <w:jc w:val="center"/>
        </w:trPr>
        <w:tc>
          <w:tcPr>
            <w:tcW w:w="6684" w:type="dxa"/>
            <w:tcBorders>
              <w:top w:val="single" w:sz="4" w:space="0" w:color="auto"/>
              <w:left w:val="single" w:sz="4" w:space="0" w:color="auto"/>
            </w:tcBorders>
            <w:shd w:val="clear" w:color="auto" w:fill="FFFFFF"/>
          </w:tcPr>
          <w:p w14:paraId="1EC71C83"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Այլ անվանում (եթե կիրառելի է)</w:t>
            </w:r>
          </w:p>
        </w:tc>
        <w:tc>
          <w:tcPr>
            <w:tcW w:w="2749" w:type="dxa"/>
            <w:tcBorders>
              <w:top w:val="single" w:sz="4" w:space="0" w:color="auto"/>
              <w:right w:val="single" w:sz="4" w:space="0" w:color="auto"/>
            </w:tcBorders>
            <w:shd w:val="clear" w:color="auto" w:fill="FFFFFF"/>
          </w:tcPr>
          <w:p w14:paraId="579D9A8A"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7168E0A" w14:textId="77777777" w:rsidTr="008C76E0">
        <w:trPr>
          <w:trHeight w:val="443"/>
          <w:jc w:val="center"/>
        </w:trPr>
        <w:tc>
          <w:tcPr>
            <w:tcW w:w="6684" w:type="dxa"/>
            <w:tcBorders>
              <w:top w:val="single" w:sz="4" w:space="0" w:color="auto"/>
              <w:left w:val="single" w:sz="4" w:space="0" w:color="auto"/>
            </w:tcBorders>
            <w:shd w:val="clear" w:color="auto" w:fill="FFFFFF"/>
          </w:tcPr>
          <w:p w14:paraId="7EFC130B"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 xml:space="preserve">Անվանումն ըստ IUPAC անվանացանկի </w:t>
            </w:r>
          </w:p>
        </w:tc>
        <w:tc>
          <w:tcPr>
            <w:tcW w:w="2749" w:type="dxa"/>
            <w:tcBorders>
              <w:top w:val="single" w:sz="4" w:space="0" w:color="auto"/>
              <w:right w:val="single" w:sz="4" w:space="0" w:color="auto"/>
            </w:tcBorders>
            <w:shd w:val="clear" w:color="auto" w:fill="FFFFFF"/>
          </w:tcPr>
          <w:p w14:paraId="27738DE0"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701ACA9" w14:textId="77777777" w:rsidTr="008C76E0">
        <w:trPr>
          <w:trHeight w:val="456"/>
          <w:jc w:val="center"/>
        </w:trPr>
        <w:tc>
          <w:tcPr>
            <w:tcW w:w="6684" w:type="dxa"/>
            <w:tcBorders>
              <w:top w:val="single" w:sz="4" w:space="0" w:color="auto"/>
              <w:left w:val="single" w:sz="4" w:space="0" w:color="auto"/>
            </w:tcBorders>
            <w:shd w:val="clear" w:color="auto" w:fill="FFFFFF"/>
          </w:tcPr>
          <w:p w14:paraId="5753C9EF"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САS-համարը</w:t>
            </w:r>
          </w:p>
        </w:tc>
        <w:tc>
          <w:tcPr>
            <w:tcW w:w="2749" w:type="dxa"/>
            <w:tcBorders>
              <w:top w:val="single" w:sz="4" w:space="0" w:color="auto"/>
              <w:right w:val="single" w:sz="4" w:space="0" w:color="auto"/>
            </w:tcBorders>
            <w:shd w:val="clear" w:color="auto" w:fill="FFFFFF"/>
          </w:tcPr>
          <w:p w14:paraId="4476A76C" w14:textId="77777777" w:rsidR="008C76E0" w:rsidRPr="003B2786" w:rsidRDefault="008C76E0" w:rsidP="008C76E0">
            <w:pPr>
              <w:spacing w:after="120" w:line="240" w:lineRule="auto"/>
              <w:jc w:val="both"/>
              <w:rPr>
                <w:rFonts w:ascii="Sylfaen" w:hAnsi="Sylfaen"/>
                <w:sz w:val="24"/>
                <w:szCs w:val="24"/>
              </w:rPr>
            </w:pPr>
          </w:p>
        </w:tc>
      </w:tr>
      <w:tr w:rsidR="008C76E0" w:rsidRPr="003B2786" w14:paraId="270A93E6" w14:textId="77777777" w:rsidTr="008C76E0">
        <w:trPr>
          <w:trHeight w:val="456"/>
          <w:jc w:val="center"/>
        </w:trPr>
        <w:tc>
          <w:tcPr>
            <w:tcW w:w="6684" w:type="dxa"/>
            <w:tcBorders>
              <w:top w:val="single" w:sz="4" w:space="0" w:color="auto"/>
              <w:left w:val="single" w:sz="4" w:space="0" w:color="auto"/>
            </w:tcBorders>
            <w:shd w:val="clear" w:color="auto" w:fill="FFFFFF"/>
          </w:tcPr>
          <w:p w14:paraId="36497B61"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Լաբորատոր ծածկագիրը</w:t>
            </w:r>
          </w:p>
        </w:tc>
        <w:tc>
          <w:tcPr>
            <w:tcW w:w="2749" w:type="dxa"/>
            <w:tcBorders>
              <w:top w:val="single" w:sz="4" w:space="0" w:color="auto"/>
              <w:right w:val="single" w:sz="4" w:space="0" w:color="auto"/>
            </w:tcBorders>
            <w:shd w:val="clear" w:color="auto" w:fill="FFFFFF"/>
          </w:tcPr>
          <w:p w14:paraId="3C0F039E" w14:textId="77777777" w:rsidR="008C76E0" w:rsidRPr="003B2786" w:rsidRDefault="008C76E0" w:rsidP="008C76E0">
            <w:pPr>
              <w:spacing w:after="120" w:line="240" w:lineRule="auto"/>
              <w:jc w:val="both"/>
              <w:rPr>
                <w:rFonts w:ascii="Sylfaen" w:hAnsi="Sylfaen"/>
                <w:sz w:val="24"/>
                <w:szCs w:val="24"/>
              </w:rPr>
            </w:pPr>
          </w:p>
        </w:tc>
      </w:tr>
      <w:tr w:rsidR="008C76E0" w:rsidRPr="003B2786" w14:paraId="6625BECF" w14:textId="77777777" w:rsidTr="008C76E0">
        <w:trPr>
          <w:trHeight w:val="456"/>
          <w:jc w:val="center"/>
        </w:trPr>
        <w:tc>
          <w:tcPr>
            <w:tcW w:w="6684" w:type="dxa"/>
            <w:tcBorders>
              <w:top w:val="single" w:sz="4" w:space="0" w:color="auto"/>
              <w:left w:val="single" w:sz="4" w:space="0" w:color="auto"/>
            </w:tcBorders>
            <w:shd w:val="clear" w:color="auto" w:fill="FFFFFF"/>
          </w:tcPr>
          <w:p w14:paraId="5BD8ADAD"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Մոլեկուլային բանաձ</w:t>
            </w:r>
            <w:r w:rsidR="00C54D75">
              <w:rPr>
                <w:rStyle w:val="Bodytext1811pt"/>
                <w:rFonts w:ascii="Sylfaen" w:hAnsi="Sylfaen"/>
                <w:sz w:val="24"/>
                <w:szCs w:val="24"/>
              </w:rPr>
              <w:t>և</w:t>
            </w:r>
            <w:r w:rsidRPr="003B2786">
              <w:rPr>
                <w:rStyle w:val="Bodytext1811pt"/>
                <w:rFonts w:ascii="Sylfaen" w:hAnsi="Sylfaen"/>
                <w:sz w:val="24"/>
                <w:szCs w:val="24"/>
              </w:rPr>
              <w:t>ը</w:t>
            </w:r>
          </w:p>
        </w:tc>
        <w:tc>
          <w:tcPr>
            <w:tcW w:w="2749" w:type="dxa"/>
            <w:tcBorders>
              <w:top w:val="single" w:sz="4" w:space="0" w:color="auto"/>
              <w:right w:val="single" w:sz="4" w:space="0" w:color="auto"/>
            </w:tcBorders>
            <w:shd w:val="clear" w:color="auto" w:fill="FFFFFF"/>
          </w:tcPr>
          <w:p w14:paraId="228BBEDC"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4EF76E4" w14:textId="77777777" w:rsidTr="008C76E0">
        <w:trPr>
          <w:trHeight w:val="443"/>
          <w:jc w:val="center"/>
        </w:trPr>
        <w:tc>
          <w:tcPr>
            <w:tcW w:w="6684" w:type="dxa"/>
            <w:tcBorders>
              <w:top w:val="single" w:sz="4" w:space="0" w:color="auto"/>
              <w:left w:val="single" w:sz="4" w:space="0" w:color="auto"/>
            </w:tcBorders>
            <w:shd w:val="clear" w:color="auto" w:fill="FFFFFF"/>
          </w:tcPr>
          <w:p w14:paraId="5115F094"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Հարաբերական մոլեկուլային զանգվածը</w:t>
            </w:r>
          </w:p>
        </w:tc>
        <w:tc>
          <w:tcPr>
            <w:tcW w:w="2749" w:type="dxa"/>
            <w:tcBorders>
              <w:top w:val="single" w:sz="4" w:space="0" w:color="auto"/>
              <w:right w:val="single" w:sz="4" w:space="0" w:color="auto"/>
            </w:tcBorders>
            <w:shd w:val="clear" w:color="auto" w:fill="FFFFFF"/>
          </w:tcPr>
          <w:p w14:paraId="51BB2E6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472496DB" w14:textId="77777777" w:rsidTr="008C76E0">
        <w:trPr>
          <w:trHeight w:val="899"/>
          <w:jc w:val="center"/>
        </w:trPr>
        <w:tc>
          <w:tcPr>
            <w:tcW w:w="9433" w:type="dxa"/>
            <w:gridSpan w:val="2"/>
            <w:tcBorders>
              <w:top w:val="single" w:sz="4" w:space="0" w:color="auto"/>
            </w:tcBorders>
            <w:shd w:val="clear" w:color="auto" w:fill="FFFFFF"/>
            <w:vAlign w:val="center"/>
          </w:tcPr>
          <w:p w14:paraId="41B0C406" w14:textId="77777777" w:rsidR="008C76E0" w:rsidRPr="003B2786" w:rsidRDefault="008C76E0" w:rsidP="008C76E0">
            <w:pPr>
              <w:pStyle w:val="Bodytext180"/>
              <w:shd w:val="clear" w:color="auto" w:fill="auto"/>
              <w:spacing w:before="0" w:after="160" w:line="360" w:lineRule="auto"/>
              <w:ind w:firstLine="0"/>
              <w:jc w:val="center"/>
              <w:rPr>
                <w:rStyle w:val="Bodytext295pt"/>
                <w:rFonts w:ascii="Sylfaen" w:hAnsi="Sylfaen"/>
                <w:sz w:val="24"/>
                <w:szCs w:val="24"/>
              </w:rPr>
            </w:pPr>
            <w:r w:rsidRPr="003B2786">
              <w:rPr>
                <w:rStyle w:val="Bodytext295pt"/>
                <w:rFonts w:ascii="Sylfaen" w:hAnsi="Sylfaen"/>
                <w:sz w:val="24"/>
                <w:szCs w:val="24"/>
              </w:rPr>
              <w:t>ԱԴԲ-ի կառուցվածքը (մոդուլ S.1.2)՝</w:t>
            </w:r>
          </w:p>
          <w:p w14:paraId="355CE0B0" w14:textId="77777777" w:rsidR="008C76E0" w:rsidRPr="008C76E0" w:rsidRDefault="008C76E0" w:rsidP="008C76E0">
            <w:pPr>
              <w:pStyle w:val="Bodytext180"/>
              <w:shd w:val="clear" w:color="auto" w:fill="auto"/>
              <w:spacing w:before="0" w:after="160" w:line="360" w:lineRule="auto"/>
              <w:ind w:firstLine="0"/>
              <w:jc w:val="center"/>
              <w:rPr>
                <w:rFonts w:ascii="Sylfaen" w:hAnsi="Sylfaen"/>
                <w:b w:val="0"/>
                <w:sz w:val="24"/>
                <w:szCs w:val="24"/>
                <w:lang w:val="hy-AM"/>
              </w:rPr>
            </w:pPr>
            <w:r w:rsidRPr="003B2786">
              <w:rPr>
                <w:rStyle w:val="Bodytext295pt"/>
                <w:rFonts w:ascii="Sylfaen" w:hAnsi="Sylfaen"/>
                <w:sz w:val="24"/>
                <w:szCs w:val="24"/>
              </w:rPr>
              <w:t>ԱԴԲ-ի ընդհանուր հատկությունները (մոդուլ S.1.3)</w:t>
            </w:r>
          </w:p>
        </w:tc>
      </w:tr>
      <w:tr w:rsidR="008C76E0" w:rsidRPr="003B2786" w14:paraId="646C7C94" w14:textId="77777777" w:rsidTr="008C76E0">
        <w:trPr>
          <w:trHeight w:val="640"/>
          <w:jc w:val="center"/>
        </w:trPr>
        <w:tc>
          <w:tcPr>
            <w:tcW w:w="6684" w:type="dxa"/>
            <w:tcBorders>
              <w:top w:val="single" w:sz="4" w:space="0" w:color="auto"/>
              <w:left w:val="single" w:sz="4" w:space="0" w:color="auto"/>
            </w:tcBorders>
            <w:shd w:val="clear" w:color="auto" w:fill="FFFFFF"/>
          </w:tcPr>
          <w:p w14:paraId="61BC1E02"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Ֆիզիկական բնութագրերը</w:t>
            </w:r>
          </w:p>
        </w:tc>
        <w:tc>
          <w:tcPr>
            <w:tcW w:w="2749" w:type="dxa"/>
            <w:tcBorders>
              <w:top w:val="single" w:sz="4" w:space="0" w:color="auto"/>
              <w:left w:val="single" w:sz="4" w:space="0" w:color="auto"/>
              <w:right w:val="single" w:sz="4" w:space="0" w:color="auto"/>
            </w:tcBorders>
            <w:shd w:val="clear" w:color="auto" w:fill="FFFFFF"/>
          </w:tcPr>
          <w:p w14:paraId="08D8136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39176A9" w14:textId="77777777" w:rsidTr="008C76E0">
        <w:trPr>
          <w:trHeight w:val="641"/>
          <w:jc w:val="center"/>
        </w:trPr>
        <w:tc>
          <w:tcPr>
            <w:tcW w:w="6684" w:type="dxa"/>
            <w:tcBorders>
              <w:top w:val="single" w:sz="4" w:space="0" w:color="auto"/>
              <w:left w:val="single" w:sz="4" w:space="0" w:color="auto"/>
            </w:tcBorders>
            <w:shd w:val="clear" w:color="auto" w:fill="FFFFFF"/>
          </w:tcPr>
          <w:p w14:paraId="30F41BC6"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Լուծելիությունը</w:t>
            </w:r>
          </w:p>
        </w:tc>
        <w:tc>
          <w:tcPr>
            <w:tcW w:w="2749" w:type="dxa"/>
            <w:tcBorders>
              <w:top w:val="single" w:sz="4" w:space="0" w:color="auto"/>
              <w:left w:val="single" w:sz="4" w:space="0" w:color="auto"/>
              <w:right w:val="single" w:sz="4" w:space="0" w:color="auto"/>
            </w:tcBorders>
            <w:shd w:val="clear" w:color="auto" w:fill="FFFFFF"/>
          </w:tcPr>
          <w:p w14:paraId="1FDA44E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6F9C6C4D" w14:textId="77777777" w:rsidTr="008C76E0">
        <w:trPr>
          <w:trHeight w:val="669"/>
          <w:jc w:val="center"/>
        </w:trPr>
        <w:tc>
          <w:tcPr>
            <w:tcW w:w="6684" w:type="dxa"/>
            <w:tcBorders>
              <w:top w:val="single" w:sz="4" w:space="0" w:color="auto"/>
              <w:left w:val="single" w:sz="4" w:space="0" w:color="auto"/>
            </w:tcBorders>
            <w:shd w:val="clear" w:color="auto" w:fill="FFFFFF"/>
          </w:tcPr>
          <w:p w14:paraId="4E81DBBA"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рКа-ի արժեքը (եթե հնարավոր է)</w:t>
            </w:r>
          </w:p>
        </w:tc>
        <w:tc>
          <w:tcPr>
            <w:tcW w:w="2749" w:type="dxa"/>
            <w:tcBorders>
              <w:top w:val="single" w:sz="4" w:space="0" w:color="auto"/>
              <w:left w:val="single" w:sz="4" w:space="0" w:color="auto"/>
              <w:right w:val="single" w:sz="4" w:space="0" w:color="auto"/>
            </w:tcBorders>
            <w:shd w:val="clear" w:color="auto" w:fill="FFFFFF"/>
          </w:tcPr>
          <w:p w14:paraId="66D76076"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D8C789D" w14:textId="77777777" w:rsidTr="008C76E0">
        <w:trPr>
          <w:trHeight w:val="456"/>
          <w:jc w:val="center"/>
        </w:trPr>
        <w:tc>
          <w:tcPr>
            <w:tcW w:w="6684" w:type="dxa"/>
            <w:tcBorders>
              <w:top w:val="single" w:sz="4" w:space="0" w:color="auto"/>
              <w:left w:val="single" w:sz="4" w:space="0" w:color="auto"/>
            </w:tcBorders>
            <w:shd w:val="clear" w:color="auto" w:fill="FFFFFF"/>
          </w:tcPr>
          <w:p w14:paraId="5EF3B337"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рН լուծույթի արժեքը (եթե հնարավոր է)</w:t>
            </w:r>
          </w:p>
        </w:tc>
        <w:tc>
          <w:tcPr>
            <w:tcW w:w="2749" w:type="dxa"/>
            <w:tcBorders>
              <w:top w:val="single" w:sz="4" w:space="0" w:color="auto"/>
              <w:left w:val="single" w:sz="4" w:space="0" w:color="auto"/>
              <w:right w:val="single" w:sz="4" w:space="0" w:color="auto"/>
            </w:tcBorders>
            <w:shd w:val="clear" w:color="auto" w:fill="FFFFFF"/>
          </w:tcPr>
          <w:p w14:paraId="462F3EE4" w14:textId="77777777" w:rsidR="008C76E0" w:rsidRPr="003B2786" w:rsidRDefault="008C76E0" w:rsidP="008C76E0">
            <w:pPr>
              <w:spacing w:after="120" w:line="240" w:lineRule="auto"/>
              <w:jc w:val="both"/>
              <w:rPr>
                <w:rFonts w:ascii="Sylfaen" w:hAnsi="Sylfaen"/>
                <w:sz w:val="24"/>
                <w:szCs w:val="24"/>
              </w:rPr>
            </w:pPr>
          </w:p>
        </w:tc>
      </w:tr>
      <w:tr w:rsidR="008C76E0" w:rsidRPr="003B2786" w14:paraId="6A5B0812" w14:textId="77777777" w:rsidTr="008C76E0">
        <w:trPr>
          <w:trHeight w:val="565"/>
          <w:jc w:val="center"/>
        </w:trPr>
        <w:tc>
          <w:tcPr>
            <w:tcW w:w="6684" w:type="dxa"/>
            <w:tcBorders>
              <w:top w:val="single" w:sz="4" w:space="0" w:color="auto"/>
              <w:left w:val="single" w:sz="4" w:space="0" w:color="auto"/>
            </w:tcBorders>
            <w:shd w:val="clear" w:color="auto" w:fill="FFFFFF"/>
          </w:tcPr>
          <w:p w14:paraId="30FBD2F6"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Հալման ջերմաստիճանը (պինդ նյութերի դեպքում)</w:t>
            </w:r>
          </w:p>
        </w:tc>
        <w:tc>
          <w:tcPr>
            <w:tcW w:w="2749" w:type="dxa"/>
            <w:tcBorders>
              <w:top w:val="single" w:sz="4" w:space="0" w:color="auto"/>
              <w:left w:val="single" w:sz="4" w:space="0" w:color="auto"/>
              <w:right w:val="single" w:sz="4" w:space="0" w:color="auto"/>
            </w:tcBorders>
            <w:shd w:val="clear" w:color="auto" w:fill="FFFFFF"/>
          </w:tcPr>
          <w:p w14:paraId="47D8FC7C" w14:textId="77777777" w:rsidR="008C76E0" w:rsidRPr="003B2786" w:rsidRDefault="008C76E0" w:rsidP="008C76E0">
            <w:pPr>
              <w:spacing w:after="120" w:line="240" w:lineRule="auto"/>
              <w:jc w:val="both"/>
              <w:rPr>
                <w:rFonts w:ascii="Sylfaen" w:hAnsi="Sylfaen"/>
                <w:sz w:val="24"/>
                <w:szCs w:val="24"/>
              </w:rPr>
            </w:pPr>
          </w:p>
        </w:tc>
      </w:tr>
      <w:tr w:rsidR="008C76E0" w:rsidRPr="003B2786" w14:paraId="2F859DB9" w14:textId="77777777" w:rsidTr="008C76E0">
        <w:trPr>
          <w:trHeight w:val="456"/>
          <w:jc w:val="center"/>
        </w:trPr>
        <w:tc>
          <w:tcPr>
            <w:tcW w:w="6684" w:type="dxa"/>
            <w:tcBorders>
              <w:top w:val="single" w:sz="4" w:space="0" w:color="auto"/>
              <w:left w:val="single" w:sz="4" w:space="0" w:color="auto"/>
            </w:tcBorders>
            <w:shd w:val="clear" w:color="auto" w:fill="FFFFFF"/>
          </w:tcPr>
          <w:p w14:paraId="41519160"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lastRenderedPageBreak/>
              <w:t>Տեղաբաշխման գործակիցը</w:t>
            </w:r>
          </w:p>
        </w:tc>
        <w:tc>
          <w:tcPr>
            <w:tcW w:w="2749" w:type="dxa"/>
            <w:tcBorders>
              <w:top w:val="single" w:sz="4" w:space="0" w:color="auto"/>
              <w:left w:val="single" w:sz="4" w:space="0" w:color="auto"/>
              <w:right w:val="single" w:sz="4" w:space="0" w:color="auto"/>
            </w:tcBorders>
            <w:shd w:val="clear" w:color="auto" w:fill="FFFFFF"/>
          </w:tcPr>
          <w:p w14:paraId="7142ECDC" w14:textId="77777777" w:rsidR="008C76E0" w:rsidRPr="003B2786" w:rsidRDefault="008C76E0" w:rsidP="008C76E0">
            <w:pPr>
              <w:spacing w:after="120" w:line="240" w:lineRule="auto"/>
              <w:jc w:val="both"/>
              <w:rPr>
                <w:rFonts w:ascii="Sylfaen" w:hAnsi="Sylfaen"/>
                <w:sz w:val="24"/>
                <w:szCs w:val="24"/>
              </w:rPr>
            </w:pPr>
          </w:p>
        </w:tc>
      </w:tr>
      <w:tr w:rsidR="008C76E0" w:rsidRPr="003B2786" w14:paraId="54C11399" w14:textId="77777777" w:rsidTr="008C76E0">
        <w:trPr>
          <w:trHeight w:val="443"/>
          <w:jc w:val="center"/>
        </w:trPr>
        <w:tc>
          <w:tcPr>
            <w:tcW w:w="6684" w:type="dxa"/>
            <w:tcBorders>
              <w:top w:val="single" w:sz="4" w:space="0" w:color="auto"/>
              <w:left w:val="single" w:sz="4" w:space="0" w:color="auto"/>
            </w:tcBorders>
            <w:shd w:val="clear" w:color="auto" w:fill="FFFFFF"/>
          </w:tcPr>
          <w:p w14:paraId="340087F7"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Հիգրոսկոպիկությունը</w:t>
            </w:r>
          </w:p>
        </w:tc>
        <w:tc>
          <w:tcPr>
            <w:tcW w:w="2749" w:type="dxa"/>
            <w:tcBorders>
              <w:top w:val="single" w:sz="4" w:space="0" w:color="auto"/>
              <w:left w:val="single" w:sz="4" w:space="0" w:color="auto"/>
              <w:right w:val="single" w:sz="4" w:space="0" w:color="auto"/>
            </w:tcBorders>
            <w:shd w:val="clear" w:color="auto" w:fill="FFFFFF"/>
          </w:tcPr>
          <w:p w14:paraId="136CECB2" w14:textId="77777777" w:rsidR="008C76E0" w:rsidRPr="003B2786" w:rsidRDefault="008C76E0" w:rsidP="008C76E0">
            <w:pPr>
              <w:spacing w:after="120" w:line="240" w:lineRule="auto"/>
              <w:jc w:val="both"/>
              <w:rPr>
                <w:rFonts w:ascii="Sylfaen" w:hAnsi="Sylfaen"/>
                <w:sz w:val="24"/>
                <w:szCs w:val="24"/>
              </w:rPr>
            </w:pPr>
          </w:p>
        </w:tc>
      </w:tr>
      <w:tr w:rsidR="008C76E0" w:rsidRPr="003B2786" w14:paraId="459F3130" w14:textId="77777777" w:rsidTr="008C76E0">
        <w:trPr>
          <w:trHeight w:val="443"/>
          <w:jc w:val="center"/>
        </w:trPr>
        <w:tc>
          <w:tcPr>
            <w:tcW w:w="6684" w:type="dxa"/>
            <w:tcBorders>
              <w:top w:val="single" w:sz="4" w:space="0" w:color="auto"/>
              <w:left w:val="single" w:sz="4" w:space="0" w:color="auto"/>
            </w:tcBorders>
            <w:shd w:val="clear" w:color="auto" w:fill="FFFFFF"/>
          </w:tcPr>
          <w:p w14:paraId="0E19B17F"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Տարածական քիմիան</w:t>
            </w:r>
          </w:p>
        </w:tc>
        <w:tc>
          <w:tcPr>
            <w:tcW w:w="2749" w:type="dxa"/>
            <w:tcBorders>
              <w:top w:val="single" w:sz="4" w:space="0" w:color="auto"/>
              <w:left w:val="single" w:sz="4" w:space="0" w:color="auto"/>
              <w:right w:val="single" w:sz="4" w:space="0" w:color="auto"/>
            </w:tcBorders>
            <w:shd w:val="clear" w:color="auto" w:fill="FFFFFF"/>
          </w:tcPr>
          <w:p w14:paraId="0ABB119C" w14:textId="77777777" w:rsidR="008C76E0" w:rsidRPr="003B2786" w:rsidRDefault="008C76E0" w:rsidP="008C76E0">
            <w:pPr>
              <w:spacing w:after="120" w:line="240" w:lineRule="auto"/>
              <w:jc w:val="both"/>
              <w:rPr>
                <w:rFonts w:ascii="Sylfaen" w:hAnsi="Sylfaen"/>
                <w:sz w:val="24"/>
                <w:szCs w:val="24"/>
              </w:rPr>
            </w:pPr>
          </w:p>
        </w:tc>
      </w:tr>
      <w:tr w:rsidR="008C76E0" w:rsidRPr="003B2786" w14:paraId="59027627" w14:textId="77777777" w:rsidTr="008C76E0">
        <w:trPr>
          <w:trHeight w:val="456"/>
          <w:jc w:val="center"/>
        </w:trPr>
        <w:tc>
          <w:tcPr>
            <w:tcW w:w="6684" w:type="dxa"/>
            <w:tcBorders>
              <w:top w:val="single" w:sz="4" w:space="0" w:color="auto"/>
              <w:left w:val="single" w:sz="4" w:space="0" w:color="auto"/>
            </w:tcBorders>
            <w:shd w:val="clear" w:color="auto" w:fill="FFFFFF"/>
          </w:tcPr>
          <w:p w14:paraId="072EDC07"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Բազմաձ</w:t>
            </w:r>
            <w:r w:rsidR="00C54D75">
              <w:rPr>
                <w:rStyle w:val="Bodytext1811pt"/>
                <w:rFonts w:ascii="Sylfaen" w:hAnsi="Sylfaen"/>
                <w:sz w:val="24"/>
                <w:szCs w:val="24"/>
              </w:rPr>
              <w:t>և</w:t>
            </w:r>
            <w:r w:rsidRPr="003B2786">
              <w:rPr>
                <w:rStyle w:val="Bodytext1811pt"/>
                <w:rFonts w:ascii="Sylfaen" w:hAnsi="Sylfaen"/>
                <w:sz w:val="24"/>
                <w:szCs w:val="24"/>
              </w:rPr>
              <w:t>ությունը</w:t>
            </w:r>
          </w:p>
        </w:tc>
        <w:tc>
          <w:tcPr>
            <w:tcW w:w="2749" w:type="dxa"/>
            <w:tcBorders>
              <w:top w:val="single" w:sz="4" w:space="0" w:color="auto"/>
              <w:left w:val="single" w:sz="4" w:space="0" w:color="auto"/>
              <w:right w:val="single" w:sz="4" w:space="0" w:color="auto"/>
            </w:tcBorders>
            <w:shd w:val="clear" w:color="auto" w:fill="FFFFFF"/>
          </w:tcPr>
          <w:p w14:paraId="2BBBA700"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5C9640F" w14:textId="77777777" w:rsidTr="008C76E0">
        <w:trPr>
          <w:trHeight w:val="469"/>
          <w:jc w:val="center"/>
        </w:trPr>
        <w:tc>
          <w:tcPr>
            <w:tcW w:w="6684" w:type="dxa"/>
            <w:tcBorders>
              <w:top w:val="single" w:sz="4" w:space="0" w:color="auto"/>
              <w:left w:val="single" w:sz="4" w:space="0" w:color="auto"/>
              <w:bottom w:val="single" w:sz="4" w:space="0" w:color="auto"/>
            </w:tcBorders>
            <w:shd w:val="clear" w:color="auto" w:fill="FFFFFF"/>
          </w:tcPr>
          <w:p w14:paraId="4E7B9720"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Բյուրեղայնության աստիճանը (պինդ նյութերի դեպքում)</w:t>
            </w:r>
          </w:p>
        </w:tc>
        <w:tc>
          <w:tcPr>
            <w:tcW w:w="2749" w:type="dxa"/>
            <w:tcBorders>
              <w:top w:val="single" w:sz="4" w:space="0" w:color="auto"/>
              <w:left w:val="single" w:sz="4" w:space="0" w:color="auto"/>
              <w:bottom w:val="single" w:sz="4" w:space="0" w:color="auto"/>
              <w:right w:val="single" w:sz="4" w:space="0" w:color="auto"/>
            </w:tcBorders>
            <w:shd w:val="clear" w:color="auto" w:fill="FFFFFF"/>
          </w:tcPr>
          <w:p w14:paraId="7661821C" w14:textId="77777777" w:rsidR="008C76E0" w:rsidRPr="003B2786" w:rsidRDefault="008C76E0" w:rsidP="008C76E0">
            <w:pPr>
              <w:spacing w:after="120" w:line="240" w:lineRule="auto"/>
              <w:jc w:val="both"/>
              <w:rPr>
                <w:rFonts w:ascii="Sylfaen" w:hAnsi="Sylfaen"/>
                <w:sz w:val="24"/>
                <w:szCs w:val="24"/>
              </w:rPr>
            </w:pPr>
          </w:p>
        </w:tc>
      </w:tr>
    </w:tbl>
    <w:p w14:paraId="6A105EE6" w14:textId="77777777" w:rsidR="008C76E0" w:rsidRDefault="008C76E0" w:rsidP="008C76E0">
      <w:pPr>
        <w:ind w:left="567" w:right="565"/>
        <w:jc w:val="center"/>
        <w:outlineLvl w:val="0"/>
        <w:rPr>
          <w:rFonts w:ascii="Sylfaen" w:hAnsi="Sylfaen"/>
          <w:sz w:val="24"/>
          <w:szCs w:val="24"/>
        </w:rPr>
      </w:pPr>
    </w:p>
    <w:p w14:paraId="11159A63" w14:textId="77777777" w:rsidR="008C76E0" w:rsidRPr="003B2786" w:rsidRDefault="008C76E0" w:rsidP="00473371">
      <w:pPr>
        <w:tabs>
          <w:tab w:val="left" w:pos="1134"/>
        </w:tabs>
        <w:spacing w:after="160" w:line="360" w:lineRule="auto"/>
        <w:ind w:right="565" w:firstLine="567"/>
        <w:jc w:val="both"/>
        <w:outlineLvl w:val="0"/>
        <w:rPr>
          <w:rFonts w:ascii="Sylfaen" w:hAnsi="Sylfaen"/>
          <w:sz w:val="24"/>
          <w:szCs w:val="24"/>
        </w:rPr>
      </w:pPr>
      <w:r w:rsidRPr="003B2786">
        <w:rPr>
          <w:rFonts w:ascii="Sylfaen" w:hAnsi="Sylfaen"/>
          <w:sz w:val="24"/>
          <w:szCs w:val="24"/>
        </w:rPr>
        <w:t>3.2.</w:t>
      </w:r>
      <w:r>
        <w:rPr>
          <w:rFonts w:ascii="Sylfaen" w:hAnsi="Sylfaen"/>
          <w:sz w:val="24"/>
          <w:szCs w:val="24"/>
        </w:rPr>
        <w:tab/>
      </w:r>
      <w:r w:rsidRPr="003B2786">
        <w:rPr>
          <w:rFonts w:ascii="Sylfaen" w:hAnsi="Sylfaen"/>
          <w:sz w:val="24"/>
          <w:szCs w:val="24"/>
        </w:rPr>
        <w:t>ԱԴԲ-ի արտադրության պրոցեսը (մոդուլ 3.2.S.2)</w:t>
      </w:r>
    </w:p>
    <w:p w14:paraId="04D092F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վերնագրի ներքո արտացոլվում են այն տեղեկությունները, որոնք նշված են հետ</w:t>
      </w:r>
      <w:r w:rsidR="00C54D75">
        <w:rPr>
          <w:rFonts w:ascii="Sylfaen" w:hAnsi="Sylfaen"/>
          <w:sz w:val="24"/>
          <w:szCs w:val="24"/>
        </w:rPr>
        <w:t>և</w:t>
      </w:r>
      <w:r w:rsidRPr="003B2786">
        <w:rPr>
          <w:rFonts w:ascii="Sylfaen" w:hAnsi="Sylfaen"/>
          <w:sz w:val="24"/>
          <w:szCs w:val="24"/>
        </w:rPr>
        <w:t>յալ բաժիններում.</w:t>
      </w:r>
    </w:p>
    <w:p w14:paraId="50A3071D"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S.2.1.</w:t>
      </w:r>
      <w:r w:rsidRPr="003B2786">
        <w:rPr>
          <w:rFonts w:ascii="Sylfaen" w:hAnsi="Sylfaen"/>
          <w:sz w:val="24"/>
          <w:szCs w:val="24"/>
        </w:rPr>
        <w:tab/>
        <w:t>Արտադրող (արտադրողներ)։</w:t>
      </w:r>
    </w:p>
    <w:p w14:paraId="1954C744"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S.2.2.</w:t>
      </w:r>
      <w:r w:rsidRPr="003B2786">
        <w:rPr>
          <w:rFonts w:ascii="Sylfaen" w:hAnsi="Sylfaen"/>
          <w:sz w:val="24"/>
          <w:szCs w:val="24"/>
        </w:rPr>
        <w:tab/>
        <w:t>Արտադրական պրոցեսի նկարագրությունն ու հսկողությունը:</w:t>
      </w:r>
    </w:p>
    <w:p w14:paraId="646D4C79"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S.2.3.</w:t>
      </w:r>
      <w:r w:rsidRPr="003B2786">
        <w:rPr>
          <w:rFonts w:ascii="Sylfaen" w:hAnsi="Sylfaen"/>
          <w:sz w:val="24"/>
          <w:szCs w:val="24"/>
        </w:rPr>
        <w:tab/>
        <w:t>Ելանյութերի հսկողությունը:</w:t>
      </w:r>
    </w:p>
    <w:p w14:paraId="501BB6D1"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S.2.4.</w:t>
      </w:r>
      <w:r w:rsidRPr="003B2786">
        <w:rPr>
          <w:rFonts w:ascii="Sylfaen" w:hAnsi="Sylfaen"/>
          <w:sz w:val="24"/>
          <w:szCs w:val="24"/>
        </w:rPr>
        <w:tab/>
        <w:t xml:space="preserve">Կրիտիկական փուլերի </w:t>
      </w:r>
      <w:r w:rsidR="00C54D75">
        <w:rPr>
          <w:rFonts w:ascii="Sylfaen" w:hAnsi="Sylfaen"/>
          <w:sz w:val="24"/>
          <w:szCs w:val="24"/>
        </w:rPr>
        <w:t>և</w:t>
      </w:r>
      <w:r w:rsidRPr="003B2786">
        <w:rPr>
          <w:rFonts w:ascii="Sylfaen" w:hAnsi="Sylfaen"/>
          <w:sz w:val="24"/>
          <w:szCs w:val="24"/>
        </w:rPr>
        <w:t xml:space="preserve"> միջանկյալ արտադրանքի հսկողությունը:</w:t>
      </w:r>
    </w:p>
    <w:p w14:paraId="5241493D"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S.2.5.</w:t>
      </w:r>
      <w:r w:rsidRPr="003B2786">
        <w:rPr>
          <w:rFonts w:ascii="Sylfaen" w:hAnsi="Sylfaen"/>
          <w:sz w:val="24"/>
          <w:szCs w:val="24"/>
        </w:rPr>
        <w:tab/>
        <w:t xml:space="preserve">Արտադրական պրոցեսի վալիդացումը </w:t>
      </w:r>
      <w:r w:rsidR="00C54D75">
        <w:rPr>
          <w:rFonts w:ascii="Sylfaen" w:hAnsi="Sylfaen"/>
          <w:sz w:val="24"/>
          <w:szCs w:val="24"/>
        </w:rPr>
        <w:t>և</w:t>
      </w:r>
      <w:r w:rsidRPr="003B2786">
        <w:rPr>
          <w:rFonts w:ascii="Sylfaen" w:hAnsi="Sylfaen"/>
          <w:sz w:val="24"/>
          <w:szCs w:val="24"/>
        </w:rPr>
        <w:t xml:space="preserve"> (կամ) գնահատումը:</w:t>
      </w:r>
    </w:p>
    <w:p w14:paraId="2DA396C8"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S.2.6.</w:t>
      </w:r>
      <w:r w:rsidRPr="003B2786">
        <w:rPr>
          <w:rFonts w:ascii="Sylfaen" w:hAnsi="Sylfaen"/>
          <w:sz w:val="24"/>
          <w:szCs w:val="24"/>
        </w:rPr>
        <w:tab/>
        <w:t>Արտադրական պրոցեսի մշակումը:</w:t>
      </w:r>
    </w:p>
    <w:p w14:paraId="77DC4687"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Նոր կամ հայտնի քիմիական միացությունները:</w:t>
      </w:r>
    </w:p>
    <w:p w14:paraId="588A9B02"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S.2.1.</w:t>
      </w:r>
      <w:r w:rsidRPr="003B2786">
        <w:rPr>
          <w:rFonts w:ascii="Sylfaen" w:hAnsi="Sylfaen"/>
          <w:sz w:val="24"/>
          <w:szCs w:val="24"/>
        </w:rPr>
        <w:tab/>
        <w:t>Արտադրողները:</w:t>
      </w:r>
    </w:p>
    <w:p w14:paraId="5869803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Հարկ է նշել արտադրողի անվանումն ու երկիրը (ինչպես նա</w:t>
      </w:r>
      <w:r w:rsidR="00C54D75">
        <w:rPr>
          <w:rFonts w:ascii="Sylfaen" w:hAnsi="Sylfaen"/>
          <w:sz w:val="24"/>
          <w:szCs w:val="24"/>
        </w:rPr>
        <w:t>և</w:t>
      </w:r>
      <w:r w:rsidRPr="003B2786">
        <w:rPr>
          <w:rFonts w:ascii="Sylfaen" w:hAnsi="Sylfaen"/>
          <w:sz w:val="24"/>
          <w:szCs w:val="24"/>
        </w:rPr>
        <w:t xml:space="preserve"> գործարանի անվանումը, եթե կիրառելի է):</w:t>
      </w:r>
    </w:p>
    <w:p w14:paraId="62683AF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S.2.2.</w:t>
      </w:r>
      <w:r w:rsidRPr="003B2786">
        <w:rPr>
          <w:rFonts w:ascii="Sylfaen" w:hAnsi="Sylfaen"/>
          <w:sz w:val="24"/>
          <w:szCs w:val="24"/>
        </w:rPr>
        <w:tab/>
        <w:t>Արտադրական պրոցեսի նկարագրությունն ու հսկողությունը:</w:t>
      </w:r>
    </w:p>
    <w:p w14:paraId="53ABA53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Բերվում է քիմիական սինթեզի սխեման, տեխնոլոգիական պրոցեսի սխեման (հնարավորության դեպքում նախընտրելի է հավելվածում ներկայացնելու փոխարեն տվյալ սխեման ներառել հաշվետվության մեջ)՝ նշելով կրիտիկական փուլերը:</w:t>
      </w:r>
    </w:p>
    <w:p w14:paraId="7AED4C39"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Նա</w:t>
      </w:r>
      <w:r w:rsidR="00C54D75">
        <w:rPr>
          <w:rFonts w:ascii="Sylfaen" w:hAnsi="Sylfaen"/>
          <w:sz w:val="24"/>
          <w:szCs w:val="24"/>
        </w:rPr>
        <w:t>և</w:t>
      </w:r>
      <w:r w:rsidRPr="003B2786">
        <w:rPr>
          <w:rFonts w:ascii="Sylfaen" w:hAnsi="Sylfaen"/>
          <w:sz w:val="24"/>
          <w:szCs w:val="24"/>
        </w:rPr>
        <w:t xml:space="preserve"> նշվում է արդյունաբերական սերիայի հայտագրված չափը:</w:t>
      </w:r>
    </w:p>
    <w:p w14:paraId="7C921779"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Այլընտրանքային պրոցեսներ՝ ներառվում են մեկնաբանություններ այդ պրոցեսների առկայության դեպքում:</w:t>
      </w:r>
    </w:p>
    <w:p w14:paraId="0B9B6509"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Վերամշակում՝ ներառվում են մեկնաբանություններ այդ պրոցեսի առկայության դեպքում (օրինակ՝ թե որ էտապում կարող է տեղի ունենալ տվյալ պրոցեսը):</w:t>
      </w:r>
    </w:p>
    <w:p w14:paraId="637FC948"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Կատալիզատորներ </w:t>
      </w:r>
      <w:r w:rsidR="00C54D75">
        <w:rPr>
          <w:rFonts w:ascii="Sylfaen" w:hAnsi="Sylfaen"/>
          <w:sz w:val="24"/>
          <w:szCs w:val="24"/>
        </w:rPr>
        <w:t>և</w:t>
      </w:r>
      <w:r w:rsidRPr="003B2786">
        <w:rPr>
          <w:rFonts w:ascii="Sylfaen" w:hAnsi="Sylfaen"/>
          <w:sz w:val="24"/>
          <w:szCs w:val="24"/>
        </w:rPr>
        <w:t xml:space="preserve"> լուծիչներ՝ գրանցման դոսյեում համապատասխան տեղեկությունների բացակայության դեպքում ներառվում են մեկնաբանություններ, եթե այդ տեղեկությունները ընդգրկված են ԱԴԲՄՖ-ի փակ մասում: </w:t>
      </w:r>
    </w:p>
    <w:p w14:paraId="3859C625"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S.2.3.</w:t>
      </w:r>
      <w:r w:rsidRPr="003B2786">
        <w:rPr>
          <w:rFonts w:ascii="Sylfaen" w:hAnsi="Sylfaen"/>
          <w:sz w:val="24"/>
          <w:szCs w:val="24"/>
        </w:rPr>
        <w:tab/>
        <w:t>Ելանյութերի հսկողությունը:</w:t>
      </w:r>
    </w:p>
    <w:p w14:paraId="67133E00" w14:textId="77777777" w:rsidR="008C76E0" w:rsidRPr="003B2786" w:rsidRDefault="008C76E0" w:rsidP="00473371">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Ներառվում են առաջարկված մասնագրերի՝ սահմանված պահանջներին համապատասխանության աստիճանի վերաբերյալ մեկնաբանություններ՝ հատուկ ուշադրություն դարձնելով բոլոր այն խառնուկների (այդ թվում՝ լուծիչների) պարունակության հսկողությանը, որոնք կարող են ազդել ակտիվ բաղադրամասի որակի վրա, հատկապես, եթե դրանում առկա խառնուկները չեն հսկվում: Ներկայացվում են մեկնաբանություններ՝ կենսաբանական ծագման բաղադրամասերի վերաբերյալ:</w:t>
      </w:r>
    </w:p>
    <w:p w14:paraId="683E678E"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S.2.4.</w:t>
      </w:r>
      <w:r w:rsidRPr="003B2786">
        <w:rPr>
          <w:rFonts w:ascii="Sylfaen" w:hAnsi="Sylfaen"/>
          <w:sz w:val="24"/>
          <w:szCs w:val="24"/>
        </w:rPr>
        <w:tab/>
        <w:t xml:space="preserve">Կրիտիկական փուլերի </w:t>
      </w:r>
      <w:r w:rsidR="00C54D75">
        <w:rPr>
          <w:rFonts w:ascii="Sylfaen" w:hAnsi="Sylfaen"/>
          <w:sz w:val="24"/>
          <w:szCs w:val="24"/>
        </w:rPr>
        <w:t>և</w:t>
      </w:r>
      <w:r w:rsidRPr="003B2786">
        <w:rPr>
          <w:rFonts w:ascii="Sylfaen" w:hAnsi="Sylfaen"/>
          <w:sz w:val="24"/>
          <w:szCs w:val="24"/>
        </w:rPr>
        <w:t xml:space="preserve"> միջանկյալ արտադրանքի հսկողությունը:</w:t>
      </w:r>
    </w:p>
    <w:p w14:paraId="3D179F75"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Քննարկվում է հաստատված պահանջներին տեխնոլոգիական պրոցեսների հսկողության առաջարկվող միջոցների համապատասխանության աստիճանը:</w:t>
      </w:r>
    </w:p>
    <w:p w14:paraId="4E4D226C"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S.2.5.</w:t>
      </w:r>
      <w:r w:rsidRPr="003B2786">
        <w:rPr>
          <w:rFonts w:ascii="Sylfaen" w:hAnsi="Sylfaen"/>
          <w:sz w:val="24"/>
          <w:szCs w:val="24"/>
        </w:rPr>
        <w:tab/>
        <w:t xml:space="preserve">Արտադրական պրոցեսի վալիդացումը </w:t>
      </w:r>
      <w:r w:rsidR="00C54D75">
        <w:rPr>
          <w:rFonts w:ascii="Sylfaen" w:hAnsi="Sylfaen"/>
          <w:sz w:val="24"/>
          <w:szCs w:val="24"/>
        </w:rPr>
        <w:t>և</w:t>
      </w:r>
      <w:r w:rsidRPr="003B2786">
        <w:rPr>
          <w:rFonts w:ascii="Sylfaen" w:hAnsi="Sylfaen"/>
          <w:sz w:val="24"/>
          <w:szCs w:val="24"/>
        </w:rPr>
        <w:t xml:space="preserve"> (կամ) գնահատումը:</w:t>
      </w:r>
    </w:p>
    <w:p w14:paraId="002E57B0"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Համառոտ շարադրվում են տվյալները </w:t>
      </w:r>
      <w:r w:rsidR="00C54D75">
        <w:rPr>
          <w:rFonts w:ascii="Sylfaen" w:hAnsi="Sylfaen"/>
          <w:sz w:val="24"/>
          <w:szCs w:val="24"/>
        </w:rPr>
        <w:t>և</w:t>
      </w:r>
      <w:r w:rsidRPr="003B2786">
        <w:rPr>
          <w:rFonts w:ascii="Sylfaen" w:hAnsi="Sylfaen"/>
          <w:sz w:val="24"/>
          <w:szCs w:val="24"/>
        </w:rPr>
        <w:t xml:space="preserve"> արդյունքները:</w:t>
      </w:r>
    </w:p>
    <w:p w14:paraId="0CE6B53C"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S.2.6.</w:t>
      </w:r>
      <w:r w:rsidRPr="003B2786">
        <w:rPr>
          <w:rFonts w:ascii="Sylfaen" w:hAnsi="Sylfaen"/>
          <w:sz w:val="24"/>
          <w:szCs w:val="24"/>
        </w:rPr>
        <w:tab/>
        <w:t>Արտադրական գործընթացի մշակումը:</w:t>
      </w:r>
    </w:p>
    <w:p w14:paraId="09C37E6B" w14:textId="77777777" w:rsidR="008C76E0" w:rsidRPr="003B2786" w:rsidRDefault="008C76E0" w:rsidP="00473371">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Համառոտ շարադրվում են տվյալներն ու արդյունքները՝ հղում կատարելով նախակլինիկական (կլինիկական) հետազոտություններում օգտագործված նյութերին, եթե կիրառելի է:</w:t>
      </w:r>
    </w:p>
    <w:p w14:paraId="2BD57287"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Նշվում է, թե արդյոք առաջարկվում է դիզայնի ոլորտը (նախագծային դաշտը), </w:t>
      </w:r>
      <w:r w:rsidRPr="003B2786">
        <w:rPr>
          <w:rFonts w:ascii="Sylfaen" w:hAnsi="Sylfaen"/>
          <w:sz w:val="24"/>
          <w:szCs w:val="24"/>
        </w:rPr>
        <w:lastRenderedPageBreak/>
        <w:t xml:space="preserve">(այսինքն՝ որակի ցուցանիշների թույլատրելի հավաքակազմի </w:t>
      </w:r>
      <w:r w:rsidR="00C54D75">
        <w:rPr>
          <w:rFonts w:ascii="Sylfaen" w:hAnsi="Sylfaen"/>
          <w:sz w:val="24"/>
          <w:szCs w:val="24"/>
        </w:rPr>
        <w:t>և</w:t>
      </w:r>
      <w:r w:rsidRPr="003B2786">
        <w:rPr>
          <w:rFonts w:ascii="Sylfaen" w:hAnsi="Sylfaen"/>
          <w:sz w:val="24"/>
          <w:szCs w:val="24"/>
        </w:rPr>
        <w:t xml:space="preserve"> դեղապատրաստուկի բաղադրության, տեխնոլոգիական պրոցեսների ազդեցության ներքո՝ այդ ցուցանիշների փոփոխությունների սահմանների, պահպանման պրոցեսի ընթացքում ֆիզիկական գործոնների ազդեցությունների՝ ռիսկի գնահատման </w:t>
      </w:r>
      <w:r w:rsidR="00C54D75">
        <w:rPr>
          <w:rFonts w:ascii="Sylfaen" w:hAnsi="Sylfaen"/>
          <w:sz w:val="24"/>
          <w:szCs w:val="24"/>
        </w:rPr>
        <w:t>և</w:t>
      </w:r>
      <w:r w:rsidRPr="003B2786">
        <w:rPr>
          <w:rFonts w:ascii="Sylfaen" w:hAnsi="Sylfaen"/>
          <w:sz w:val="24"/>
          <w:szCs w:val="24"/>
        </w:rPr>
        <w:t xml:space="preserve"> վերլուծության վիճակագրական մեթոդների վրա հիմնված հիմնավորումը: Դիզայնի ոլորտի (նախագծային դաշտի) օգտագործումը թույլ է տալիս որոշել դեղապատրաստուկի որակը, այն սահմանել այդ դեղապատրաստուկի մշակման պահին </w:t>
      </w:r>
      <w:r w:rsidR="00C54D75">
        <w:rPr>
          <w:rFonts w:ascii="Sylfaen" w:hAnsi="Sylfaen"/>
          <w:sz w:val="24"/>
          <w:szCs w:val="24"/>
        </w:rPr>
        <w:t>և</w:t>
      </w:r>
      <w:r w:rsidRPr="003B2786">
        <w:rPr>
          <w:rFonts w:ascii="Sylfaen" w:hAnsi="Sylfaen"/>
          <w:sz w:val="24"/>
          <w:szCs w:val="24"/>
        </w:rPr>
        <w:t xml:space="preserve"> կատարել հիմնավորված շտկում կենսական պարբերաշրջանի մշակման </w:t>
      </w:r>
      <w:r w:rsidR="00C54D75">
        <w:rPr>
          <w:rFonts w:ascii="Sylfaen" w:hAnsi="Sylfaen"/>
          <w:sz w:val="24"/>
          <w:szCs w:val="24"/>
        </w:rPr>
        <w:t>և</w:t>
      </w:r>
      <w:r w:rsidRPr="003B2786">
        <w:rPr>
          <w:rFonts w:ascii="Sylfaen" w:hAnsi="Sylfaen"/>
          <w:sz w:val="24"/>
          <w:szCs w:val="24"/>
        </w:rPr>
        <w:t xml:space="preserve"> կառավարման ընթացքում դրա բաղադրության </w:t>
      </w:r>
      <w:r w:rsidR="00C54D75">
        <w:rPr>
          <w:rFonts w:ascii="Sylfaen" w:hAnsi="Sylfaen"/>
          <w:sz w:val="24"/>
          <w:szCs w:val="24"/>
        </w:rPr>
        <w:t>և</w:t>
      </w:r>
      <w:r w:rsidRPr="003B2786">
        <w:rPr>
          <w:rFonts w:ascii="Sylfaen" w:hAnsi="Sylfaen"/>
          <w:sz w:val="24"/>
          <w:szCs w:val="24"/>
        </w:rPr>
        <w:t xml:space="preserve"> արտադրության պրոցեսների փոփոխության դեպքում). Նշվում է, թե արդյոք սահմանված է բազմագործոնային կախվածություն՝ պրոցեսի մուտքային տվյալների (նյութերի հատկությունների </w:t>
      </w:r>
      <w:r w:rsidR="00C54D75">
        <w:rPr>
          <w:rFonts w:ascii="Sylfaen" w:hAnsi="Sylfaen"/>
          <w:sz w:val="24"/>
          <w:szCs w:val="24"/>
        </w:rPr>
        <w:t>և</w:t>
      </w:r>
      <w:r w:rsidRPr="003B2786">
        <w:rPr>
          <w:rFonts w:ascii="Sylfaen" w:hAnsi="Sylfaen"/>
          <w:sz w:val="24"/>
          <w:szCs w:val="24"/>
        </w:rPr>
        <w:t xml:space="preserve"> պրոցեսի պարամետրերի) </w:t>
      </w:r>
      <w:r w:rsidR="00C54D75">
        <w:rPr>
          <w:rFonts w:ascii="Sylfaen" w:hAnsi="Sylfaen"/>
          <w:sz w:val="24"/>
          <w:szCs w:val="24"/>
        </w:rPr>
        <w:t>և</w:t>
      </w:r>
      <w:r w:rsidRPr="003B2786">
        <w:rPr>
          <w:rFonts w:ascii="Sylfaen" w:hAnsi="Sylfaen"/>
          <w:sz w:val="24"/>
          <w:szCs w:val="24"/>
        </w:rPr>
        <w:t xml:space="preserve"> ակտիվ բաղադրամասի որակի կրիտիկական ցուցանիշների միջ</w:t>
      </w:r>
      <w:r w:rsidR="00C54D75">
        <w:rPr>
          <w:rFonts w:ascii="Sylfaen" w:hAnsi="Sylfaen"/>
          <w:sz w:val="24"/>
          <w:szCs w:val="24"/>
        </w:rPr>
        <w:t>և</w:t>
      </w:r>
      <w:r w:rsidRPr="003B2786">
        <w:rPr>
          <w:rFonts w:ascii="Sylfaen" w:hAnsi="Sylfaen"/>
          <w:sz w:val="24"/>
          <w:szCs w:val="24"/>
        </w:rPr>
        <w:t>: Դիզայնի ոլորտի առաջարկման դեպքում (տե՛ս սույն փաստաթղթի թիվ 3 հավելվածը):</w:t>
      </w:r>
    </w:p>
    <w:p w14:paraId="3697814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Ընդհանուր առմամբ, փորձագետից պահանջվում է ներկայացնել կրիտիկական դիտողություններ՝ սինթեզի նկարագրության համարժեքության, նյութերի որակի, միջանկյալ արտադրանքի հսկողության </w:t>
      </w:r>
      <w:r w:rsidR="00C54D75">
        <w:rPr>
          <w:rFonts w:ascii="Sylfaen" w:hAnsi="Sylfaen"/>
          <w:sz w:val="24"/>
          <w:szCs w:val="24"/>
        </w:rPr>
        <w:t>և</w:t>
      </w:r>
      <w:r w:rsidRPr="003B2786">
        <w:rPr>
          <w:rFonts w:ascii="Sylfaen" w:hAnsi="Sylfaen"/>
          <w:sz w:val="24"/>
          <w:szCs w:val="24"/>
        </w:rPr>
        <w:t xml:space="preserve"> արտադրական պրոցեսի վերարտադրելիության մասով՝ հայտնաբերելով գրանցման դոսյեում բավարար չափով չլուսաբանված </w:t>
      </w:r>
      <w:r w:rsidR="00C54D75">
        <w:rPr>
          <w:rFonts w:ascii="Sylfaen" w:hAnsi="Sylfaen"/>
          <w:sz w:val="24"/>
          <w:szCs w:val="24"/>
        </w:rPr>
        <w:t>և</w:t>
      </w:r>
      <w:r w:rsidRPr="003B2786">
        <w:rPr>
          <w:rFonts w:ascii="Sylfaen" w:hAnsi="Sylfaen"/>
          <w:sz w:val="24"/>
          <w:szCs w:val="24"/>
        </w:rPr>
        <w:t xml:space="preserve"> Դիտողությունների ցանկում լուծման սպասող խնդիրները (անհրաժեշտության դեպքում՝ հղում կատարելով համարին): Անհրաժեշտ է առանձնացնել կրիտիկական դիտողությունները:</w:t>
      </w:r>
    </w:p>
    <w:p w14:paraId="6D488598" w14:textId="77777777" w:rsidR="008C76E0" w:rsidRPr="003B2786" w:rsidRDefault="008C76E0" w:rsidP="00473371">
      <w:pPr>
        <w:spacing w:after="160" w:line="360" w:lineRule="auto"/>
        <w:ind w:right="-1" w:firstLine="567"/>
        <w:jc w:val="both"/>
        <w:rPr>
          <w:rFonts w:ascii="Sylfaen" w:hAnsi="Sylfaen"/>
          <w:sz w:val="24"/>
          <w:szCs w:val="24"/>
        </w:rPr>
      </w:pPr>
    </w:p>
    <w:p w14:paraId="123A0684"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Կենսատեխնոլոգիական պատրաստուկներ</w:t>
      </w:r>
    </w:p>
    <w:p w14:paraId="5718B7D0"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S.2.1.</w:t>
      </w:r>
      <w:r w:rsidRPr="003B2786">
        <w:rPr>
          <w:rFonts w:ascii="Sylfaen" w:hAnsi="Sylfaen"/>
          <w:sz w:val="24"/>
          <w:szCs w:val="24"/>
        </w:rPr>
        <w:tab/>
        <w:t>Արտադրողները:</w:t>
      </w:r>
    </w:p>
    <w:p w14:paraId="6A5099C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Բերվում է արտադրողների ցուցակ: Տվյալ ցուցակից հարկ է առանձնացնել այն արտադրողներին, որոնց մոտ ի հայտ են բերվում որակի ցուցանիշների համադրելիության հետ կապված խնդիրներ կամ որակի հետ կապված այլ խնդիրներ: Հարկ է առանձնացնել Եվրասիական տնտեսական հանձնաժողովի </w:t>
      </w:r>
      <w:r w:rsidRPr="003B2786">
        <w:rPr>
          <w:rFonts w:ascii="Sylfaen" w:hAnsi="Sylfaen"/>
          <w:sz w:val="24"/>
          <w:szCs w:val="24"/>
        </w:rPr>
        <w:lastRenderedPageBreak/>
        <w:t>կողմից հաստատվող` Եվրասիական տնտեսական միության արտադրական գործունեության պատշաճ կանոններին համապատասխանության հետ կապված հնարավոր խնդիրները (օրինակ՝ արտադրական հարթակների միջ</w:t>
      </w:r>
      <w:r w:rsidR="00C54D75">
        <w:rPr>
          <w:rFonts w:ascii="Sylfaen" w:hAnsi="Sylfaen"/>
          <w:sz w:val="24"/>
          <w:szCs w:val="24"/>
        </w:rPr>
        <w:t>և</w:t>
      </w:r>
      <w:r w:rsidRPr="003B2786">
        <w:rPr>
          <w:rFonts w:ascii="Sylfaen" w:hAnsi="Sylfaen"/>
          <w:sz w:val="24"/>
          <w:szCs w:val="24"/>
        </w:rPr>
        <w:t xml:space="preserve"> փոխադրումը </w:t>
      </w:r>
      <w:r w:rsidR="00C54D75">
        <w:rPr>
          <w:rFonts w:ascii="Sylfaen" w:hAnsi="Sylfaen"/>
          <w:sz w:val="24"/>
          <w:szCs w:val="24"/>
        </w:rPr>
        <w:t>և</w:t>
      </w:r>
      <w:r w:rsidRPr="003B2786">
        <w:rPr>
          <w:rFonts w:ascii="Sylfaen" w:hAnsi="Sylfaen"/>
          <w:sz w:val="24"/>
          <w:szCs w:val="24"/>
        </w:rPr>
        <w:t xml:space="preserve"> այլն):</w:t>
      </w:r>
    </w:p>
    <w:p w14:paraId="31293540"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S.2.2.</w:t>
      </w:r>
      <w:r w:rsidRPr="003B2786">
        <w:rPr>
          <w:rFonts w:ascii="Sylfaen" w:hAnsi="Sylfaen"/>
          <w:sz w:val="24"/>
          <w:szCs w:val="24"/>
        </w:rPr>
        <w:tab/>
        <w:t>Արտադրական պրոցեսի նկարագրությունն ու հսկողությունը:</w:t>
      </w:r>
    </w:p>
    <w:p w14:paraId="14ECA1A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Ներկայացվում է արտադրական պրոցեսի </w:t>
      </w:r>
      <w:r w:rsidR="00C54D75">
        <w:rPr>
          <w:rFonts w:ascii="Sylfaen" w:hAnsi="Sylfaen"/>
          <w:sz w:val="24"/>
          <w:szCs w:val="24"/>
        </w:rPr>
        <w:t>և</w:t>
      </w:r>
      <w:r w:rsidRPr="003B2786">
        <w:rPr>
          <w:rFonts w:ascii="Sylfaen" w:hAnsi="Sylfaen"/>
          <w:sz w:val="24"/>
          <w:szCs w:val="24"/>
        </w:rPr>
        <w:t xml:space="preserve"> ներարտադրական հսկողության համառոտ նկարագրությունը (հատկապես, արտադրանքի անվտանգության ապահովման մասով, օրինակ՝ կողմնակի ագենտների, հետադարձ տրանսկրիպտազայի ֆերմենտի առկայության մասով փորձարկումը), առանձնացվում են արտադրանքի վերամշակման պրոցեսները:</w:t>
      </w:r>
    </w:p>
    <w:p w14:paraId="55036A5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Ներկայացվում են համառոտ տեղեկություններ՝ ծառայության ժամկետների </w:t>
      </w:r>
      <w:r w:rsidR="00C54D75">
        <w:rPr>
          <w:rFonts w:ascii="Sylfaen" w:hAnsi="Sylfaen"/>
          <w:sz w:val="24"/>
          <w:szCs w:val="24"/>
        </w:rPr>
        <w:t>և</w:t>
      </w:r>
      <w:r w:rsidRPr="003B2786">
        <w:rPr>
          <w:rFonts w:ascii="Sylfaen" w:hAnsi="Sylfaen"/>
          <w:sz w:val="24"/>
          <w:szCs w:val="24"/>
        </w:rPr>
        <w:t xml:space="preserve"> արտադրանքի մաքրման պրոցեսում օգտագործվող քրոմատոգրաֆիական սյունակների ռեգեներացման ընթացակարգի մասին, գնահատվում է արտադրանքի անվտանգության վրա ցանկացած ազդեցություն:</w:t>
      </w:r>
    </w:p>
    <w:p w14:paraId="7F13C5E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Կրիտիկական գնահատական է տրվում սահմանված պահանջներին՝ մշակման, շարունակականության </w:t>
      </w:r>
      <w:r w:rsidR="00C54D75">
        <w:rPr>
          <w:rFonts w:ascii="Sylfaen" w:hAnsi="Sylfaen"/>
          <w:sz w:val="24"/>
          <w:szCs w:val="24"/>
        </w:rPr>
        <w:t>և</w:t>
      </w:r>
      <w:r w:rsidRPr="003B2786">
        <w:rPr>
          <w:rFonts w:ascii="Sylfaen" w:hAnsi="Sylfaen"/>
          <w:sz w:val="24"/>
          <w:szCs w:val="24"/>
        </w:rPr>
        <w:t xml:space="preserve"> հսկողության համապասխանության աստիճանին: </w:t>
      </w:r>
    </w:p>
    <w:p w14:paraId="349B11A5"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Կենսահամանման (կենսանման) դեղապատրաստուկի դեպքում հարկ է ուշադրություն դարձնել ռեֆերենտ պատրաստուկի արտադրության պրոցեսից այն էական տարբերություններին, որոնք կարող են ազդել որակի ցուցանիշների վրա:</w:t>
      </w:r>
    </w:p>
    <w:p w14:paraId="3C00B6BE" w14:textId="77777777" w:rsidR="008C76E0" w:rsidRPr="003B2786" w:rsidRDefault="008C76E0" w:rsidP="00473371">
      <w:pPr>
        <w:tabs>
          <w:tab w:val="left" w:pos="1701"/>
        </w:tabs>
        <w:spacing w:after="160" w:line="384" w:lineRule="auto"/>
        <w:ind w:right="-1" w:firstLine="567"/>
        <w:jc w:val="both"/>
        <w:rPr>
          <w:rFonts w:ascii="Sylfaen" w:hAnsi="Sylfaen"/>
          <w:sz w:val="24"/>
          <w:szCs w:val="24"/>
        </w:rPr>
      </w:pPr>
      <w:r w:rsidRPr="003B2786">
        <w:rPr>
          <w:rFonts w:ascii="Sylfaen" w:hAnsi="Sylfaen"/>
          <w:sz w:val="24"/>
          <w:szCs w:val="24"/>
        </w:rPr>
        <w:t>S.2.3.</w:t>
      </w:r>
      <w:r w:rsidRPr="003B2786">
        <w:rPr>
          <w:rFonts w:ascii="Sylfaen" w:hAnsi="Sylfaen"/>
          <w:sz w:val="24"/>
          <w:szCs w:val="24"/>
        </w:rPr>
        <w:tab/>
        <w:t>Ելանյութերի հսկողությունը:</w:t>
      </w:r>
    </w:p>
    <w:p w14:paraId="026F5BA9"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 xml:space="preserve">Բերվում է գենետիկ մշակման մասին տեղեկատվություն, այդ թվում՝ գենի ծագումը, գեների կառուցվածքի նկարագրությունը, գենի կառուցվածքի հիմնավորումը, գենետիկ կայունության մասին տեղեկություններ (նշվում է ռեկոմբինանտ գենի վիճակը </w:t>
      </w:r>
      <w:r w:rsidR="00C54D75">
        <w:rPr>
          <w:rFonts w:ascii="Sylfaen" w:hAnsi="Sylfaen"/>
          <w:sz w:val="24"/>
          <w:szCs w:val="24"/>
        </w:rPr>
        <w:t>և</w:t>
      </w:r>
      <w:r w:rsidRPr="003B2786">
        <w:rPr>
          <w:rFonts w:ascii="Sylfaen" w:hAnsi="Sylfaen"/>
          <w:sz w:val="24"/>
          <w:szCs w:val="24"/>
        </w:rPr>
        <w:t xml:space="preserve"> պատճենների թիվը):</w:t>
      </w:r>
    </w:p>
    <w:p w14:paraId="051C248F"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 xml:space="preserve">Բերվում է շտամ-պրոդուցենտների նկարագրությունը (գենետիկորեն </w:t>
      </w:r>
      <w:r w:rsidRPr="003B2786">
        <w:rPr>
          <w:rFonts w:ascii="Sylfaen" w:hAnsi="Sylfaen"/>
          <w:sz w:val="24"/>
          <w:szCs w:val="24"/>
        </w:rPr>
        <w:lastRenderedPageBreak/>
        <w:t xml:space="preserve">նույնական բջիջների գծեր) (տիպը, ծագումը) նկարագրությունը, ստեղծման պատմությունը, այդ թվում՝ նույնականացման տվյալները: Ուշադրություն է դարձվում ցանկացած հարցի վրա, որը կապված է մշակման պրոցեսում օգտագործվող </w:t>
      </w:r>
      <w:r w:rsidR="00C54D75">
        <w:rPr>
          <w:rFonts w:ascii="Sylfaen" w:hAnsi="Sylfaen"/>
          <w:sz w:val="24"/>
          <w:szCs w:val="24"/>
        </w:rPr>
        <w:t>և</w:t>
      </w:r>
      <w:r w:rsidRPr="003B2786">
        <w:rPr>
          <w:rFonts w:ascii="Sylfaen" w:hAnsi="Sylfaen"/>
          <w:sz w:val="24"/>
          <w:szCs w:val="24"/>
        </w:rPr>
        <w:t xml:space="preserve"> արտադրանքի անվտանգության վրա ազդելու ունակ բաղադրիչների հետ (օրինակ՝ կենսաբանական ծագման ռեագենտները):</w:t>
      </w:r>
    </w:p>
    <w:p w14:paraId="23B34457"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Բջիջների բանկեր՝ նշվում է բջիջների գլխավոր (աշխատանքային) բանկի ձ</w:t>
      </w:r>
      <w:r w:rsidR="00C54D75">
        <w:rPr>
          <w:rFonts w:ascii="Sylfaen" w:hAnsi="Sylfaen"/>
          <w:sz w:val="24"/>
          <w:szCs w:val="24"/>
        </w:rPr>
        <w:t>և</w:t>
      </w:r>
      <w:r w:rsidRPr="003B2786">
        <w:rPr>
          <w:rFonts w:ascii="Sylfaen" w:hAnsi="Sylfaen"/>
          <w:sz w:val="24"/>
          <w:szCs w:val="24"/>
        </w:rPr>
        <w:t xml:space="preserve">ավորումը, անցկացված փորձարկումների բավարար լինելը, բջիջների բանկերի կայունությունը, գենոտիպային </w:t>
      </w:r>
      <w:r w:rsidR="00C54D75">
        <w:rPr>
          <w:rFonts w:ascii="Sylfaen" w:hAnsi="Sylfaen"/>
          <w:sz w:val="24"/>
          <w:szCs w:val="24"/>
        </w:rPr>
        <w:t>և</w:t>
      </w:r>
      <w:r w:rsidRPr="003B2786">
        <w:rPr>
          <w:rFonts w:ascii="Sylfaen" w:hAnsi="Sylfaen"/>
          <w:sz w:val="24"/>
          <w:szCs w:val="24"/>
        </w:rPr>
        <w:t xml:space="preserve"> ֆենոտիպային հատկությունների նկարագրությունը, բջիջների ապագա աշխատանքային բանկի ձ</w:t>
      </w:r>
      <w:r w:rsidR="00C54D75">
        <w:rPr>
          <w:rFonts w:ascii="Sylfaen" w:hAnsi="Sylfaen"/>
          <w:sz w:val="24"/>
          <w:szCs w:val="24"/>
        </w:rPr>
        <w:t>և</w:t>
      </w:r>
      <w:r w:rsidRPr="003B2786">
        <w:rPr>
          <w:rFonts w:ascii="Sylfaen" w:hAnsi="Sylfaen"/>
          <w:sz w:val="24"/>
          <w:szCs w:val="24"/>
        </w:rPr>
        <w:t>ավորման արձանագրությունը:</w:t>
      </w:r>
    </w:p>
    <w:p w14:paraId="2F518587"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Ակտիվ բաղադրամասի (օրինակ`սյունակներ՝ միակլոնային հակամարմինների </w:t>
      </w:r>
      <w:r w:rsidR="00C54D75">
        <w:rPr>
          <w:rFonts w:ascii="Sylfaen" w:hAnsi="Sylfaen"/>
          <w:sz w:val="24"/>
          <w:szCs w:val="24"/>
        </w:rPr>
        <w:t>և</w:t>
      </w:r>
      <w:r w:rsidRPr="003B2786">
        <w:rPr>
          <w:rFonts w:ascii="Sylfaen" w:hAnsi="Sylfaen"/>
          <w:sz w:val="24"/>
          <w:szCs w:val="24"/>
        </w:rPr>
        <w:t xml:space="preserve"> արյան (պլազմայի) ածանցյալների մաքրման համար) արտադրության մեջ օգտագործվող կենսաբանական նյութերի համար անցկացվում է նյութերի աղբյուրի, արտադրության, հատկությունների </w:t>
      </w:r>
      <w:r w:rsidR="00C54D75">
        <w:rPr>
          <w:rFonts w:ascii="Sylfaen" w:hAnsi="Sylfaen"/>
          <w:sz w:val="24"/>
          <w:szCs w:val="24"/>
        </w:rPr>
        <w:t>և</w:t>
      </w:r>
      <w:r w:rsidRPr="003B2786">
        <w:rPr>
          <w:rFonts w:ascii="Sylfaen" w:hAnsi="Sylfaen"/>
          <w:sz w:val="24"/>
          <w:szCs w:val="24"/>
        </w:rPr>
        <w:t xml:space="preserve"> որակի որոշման գնահատում: Ակտիվ բաղադրամասի արտադրության մեջ օգտագործվող կենսաբանական նյութերի համար (օրինակ`արյան (պլազմայի) այնպիսի ածանցյալի, ինչպիսին է մարդու ալբումինը) անցկացվում է աղբյուրի, արտադրության, որոշման </w:t>
      </w:r>
      <w:r w:rsidR="00C54D75">
        <w:rPr>
          <w:rFonts w:ascii="Sylfaen" w:hAnsi="Sylfaen"/>
          <w:sz w:val="24"/>
          <w:szCs w:val="24"/>
        </w:rPr>
        <w:t>և</w:t>
      </w:r>
      <w:r w:rsidRPr="003B2786">
        <w:rPr>
          <w:rFonts w:ascii="Sylfaen" w:hAnsi="Sylfaen"/>
          <w:sz w:val="24"/>
          <w:szCs w:val="24"/>
        </w:rPr>
        <w:t xml:space="preserve"> հսկողության գնահատում: Պլազմայից ստացվող արտադրանքի, օրինակ՝ մարդու ալբումինի համար, հարկ է ընդգծել դրա համապատասխանությունը Միությունում կիրառվող ձեռնարկների </w:t>
      </w:r>
      <w:r w:rsidR="00C54D75">
        <w:rPr>
          <w:rFonts w:ascii="Sylfaen" w:hAnsi="Sylfaen"/>
          <w:sz w:val="24"/>
          <w:szCs w:val="24"/>
        </w:rPr>
        <w:t>և</w:t>
      </w:r>
      <w:r w:rsidRPr="003B2786">
        <w:rPr>
          <w:rFonts w:ascii="Sylfaen" w:hAnsi="Sylfaen"/>
          <w:sz w:val="24"/>
          <w:szCs w:val="24"/>
        </w:rPr>
        <w:t xml:space="preserve"> հանձնարարականների, այդ թվում՝ դոնորների մասին տեղեկությունների պահանջներին, ինչպես նա</w:t>
      </w:r>
      <w:r w:rsidR="00C54D75">
        <w:rPr>
          <w:rFonts w:ascii="Sylfaen" w:hAnsi="Sylfaen"/>
          <w:sz w:val="24"/>
          <w:szCs w:val="24"/>
        </w:rPr>
        <w:t>և</w:t>
      </w:r>
      <w:r w:rsidRPr="003B2786">
        <w:rPr>
          <w:rFonts w:ascii="Sylfaen" w:hAnsi="Sylfaen"/>
          <w:sz w:val="24"/>
          <w:szCs w:val="24"/>
        </w:rPr>
        <w:t xml:space="preserve"> որակին </w:t>
      </w:r>
      <w:r w:rsidR="00C54D75">
        <w:rPr>
          <w:rFonts w:ascii="Sylfaen" w:hAnsi="Sylfaen"/>
          <w:sz w:val="24"/>
          <w:szCs w:val="24"/>
        </w:rPr>
        <w:t>և</w:t>
      </w:r>
      <w:r w:rsidRPr="003B2786">
        <w:rPr>
          <w:rFonts w:ascii="Sylfaen" w:hAnsi="Sylfaen"/>
          <w:sz w:val="24"/>
          <w:szCs w:val="24"/>
        </w:rPr>
        <w:t xml:space="preserve"> մասնագրերին ներկայացվող պահանջներին:</w:t>
      </w:r>
    </w:p>
    <w:p w14:paraId="657C650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Հղում է կատարվում գրանցման դոսյեի А2 բաժնին՝ նյութերին առնչվող կողմնակի ագենտների (վիրուսային անվտանգության) մասով, առանձնացվում է փոխանցվող սպունգանման էնցեֆալոպաթիայի (ՓՍԷ) հարուցիչների մասով ռիսկի գնահատման հետ կապված ցանկացած հարց: </w:t>
      </w:r>
    </w:p>
    <w:p w14:paraId="703C5242"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S.2.4.</w:t>
      </w:r>
      <w:r w:rsidRPr="003B2786">
        <w:rPr>
          <w:rFonts w:ascii="Sylfaen" w:hAnsi="Sylfaen"/>
          <w:sz w:val="24"/>
          <w:szCs w:val="24"/>
        </w:rPr>
        <w:tab/>
        <w:t xml:space="preserve">Կրիտիկական փուլերի </w:t>
      </w:r>
      <w:r w:rsidR="00C54D75">
        <w:rPr>
          <w:rFonts w:ascii="Sylfaen" w:hAnsi="Sylfaen"/>
          <w:sz w:val="24"/>
          <w:szCs w:val="24"/>
        </w:rPr>
        <w:t>և</w:t>
      </w:r>
      <w:r w:rsidRPr="003B2786">
        <w:rPr>
          <w:rFonts w:ascii="Sylfaen" w:hAnsi="Sylfaen"/>
          <w:sz w:val="24"/>
          <w:szCs w:val="24"/>
        </w:rPr>
        <w:t xml:space="preserve"> միջանկյալ արտադրանքի հսկողությունը:</w:t>
      </w:r>
    </w:p>
    <w:p w14:paraId="552CA39D"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Բնութագրվում է դոսյեում ներկայացված արտադրության տեխնոլոգիական պրոցեսի ավարտը (կուլտիվացման չափանիշները, սերիայի որոշումը):</w:t>
      </w:r>
    </w:p>
    <w:p w14:paraId="2C8D9EC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Հսկողության կետերում մասնագրերի համար առաջարկվող միջակայքերը </w:t>
      </w:r>
      <w:r w:rsidR="00C54D75">
        <w:rPr>
          <w:rFonts w:ascii="Sylfaen" w:hAnsi="Sylfaen"/>
          <w:sz w:val="24"/>
          <w:szCs w:val="24"/>
        </w:rPr>
        <w:t>և</w:t>
      </w:r>
      <w:r w:rsidRPr="003B2786">
        <w:rPr>
          <w:rFonts w:ascii="Sylfaen" w:hAnsi="Sylfaen"/>
          <w:sz w:val="24"/>
          <w:szCs w:val="24"/>
        </w:rPr>
        <w:t xml:space="preserve"> պրոցեսի վալիդացման արդյունքների մասով ներարտադրական հսկողության ցուցանիշների թույլատրելի նորմերը:</w:t>
      </w:r>
    </w:p>
    <w:p w14:paraId="5010B22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բերել միջանկյալ արտադրանքի պահպանման պայմանների (պահպանման ժամկետի) նկարագրությունը: </w:t>
      </w:r>
    </w:p>
    <w:p w14:paraId="2B8F39B1"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Հարկ է առանձնացնել արտադրության այն բոլոր փուլերը, որոնք ուղղված են (վալիդացված են) վիրուսների վերացմանը (ապաակտիվացմանը) (օրինակ՝ pH-ի ցածր արժեքով միջավայրում մշակումը):</w:t>
      </w:r>
    </w:p>
    <w:p w14:paraId="30A505A2"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S.2.5.</w:t>
      </w:r>
      <w:r w:rsidRPr="003B2786">
        <w:rPr>
          <w:rFonts w:ascii="Sylfaen" w:hAnsi="Sylfaen"/>
          <w:sz w:val="24"/>
          <w:szCs w:val="24"/>
        </w:rPr>
        <w:tab/>
        <w:t xml:space="preserve">Արտադրական պրոցեսի վալիդացումը </w:t>
      </w:r>
      <w:r w:rsidR="00C54D75">
        <w:rPr>
          <w:rFonts w:ascii="Sylfaen" w:hAnsi="Sylfaen"/>
          <w:sz w:val="24"/>
          <w:szCs w:val="24"/>
        </w:rPr>
        <w:t>և</w:t>
      </w:r>
      <w:r w:rsidRPr="003B2786">
        <w:rPr>
          <w:rFonts w:ascii="Sylfaen" w:hAnsi="Sylfaen"/>
          <w:sz w:val="24"/>
          <w:szCs w:val="24"/>
        </w:rPr>
        <w:t xml:space="preserve"> (կամ) գնահատումը:</w:t>
      </w:r>
    </w:p>
    <w:p w14:paraId="45D5D28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գնահատել արտադրական պրոցեսի վալիդացման համարժեքությունը, նշել ստուգվող պարամետրերը </w:t>
      </w:r>
      <w:r w:rsidR="00C54D75">
        <w:rPr>
          <w:rFonts w:ascii="Sylfaen" w:hAnsi="Sylfaen"/>
          <w:sz w:val="24"/>
          <w:szCs w:val="24"/>
        </w:rPr>
        <w:t>և</w:t>
      </w:r>
      <w:r w:rsidRPr="003B2786">
        <w:rPr>
          <w:rFonts w:ascii="Sylfaen" w:hAnsi="Sylfaen"/>
          <w:sz w:val="24"/>
          <w:szCs w:val="24"/>
        </w:rPr>
        <w:t xml:space="preserve"> դրանց նշանակությունը՝ գրանցման համար հայտագրված պատրաստուկի համար:</w:t>
      </w:r>
    </w:p>
    <w:p w14:paraId="36FA1AC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Հարկ է հաշվի առնել, որ վերամշակումը պետք է ներառվի միայն հատուկ կարգով կամ պետք է ամբողջովին բացառվի:</w:t>
      </w:r>
    </w:p>
    <w:p w14:paraId="33E1EB5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Հարկ է հղում բերել գրանցման դոսյեի А2 բաժնին՝ նյութերին առնչվող կողմնակի ագենտների (վիրուսային անվտանգության) մասով:</w:t>
      </w:r>
    </w:p>
    <w:p w14:paraId="7D0DE7B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գնահատել տեխնոլոգիական </w:t>
      </w:r>
      <w:r w:rsidR="00C54D75">
        <w:rPr>
          <w:rFonts w:ascii="Sylfaen" w:hAnsi="Sylfaen"/>
          <w:sz w:val="24"/>
          <w:szCs w:val="24"/>
        </w:rPr>
        <w:t>և</w:t>
      </w:r>
      <w:r w:rsidRPr="003B2786">
        <w:rPr>
          <w:rFonts w:ascii="Sylfaen" w:hAnsi="Sylfaen"/>
          <w:sz w:val="24"/>
          <w:szCs w:val="24"/>
        </w:rPr>
        <w:t xml:space="preserve"> հարակից խառնուկների հեռացման ընթացակարգերի համարժեքությունը:</w:t>
      </w:r>
    </w:p>
    <w:p w14:paraId="197EDDB4"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S.2.6.</w:t>
      </w:r>
      <w:r w:rsidRPr="003B2786">
        <w:rPr>
          <w:rFonts w:ascii="Sylfaen" w:hAnsi="Sylfaen"/>
          <w:sz w:val="24"/>
          <w:szCs w:val="24"/>
        </w:rPr>
        <w:tab/>
        <w:t>Արտադրական գործընթացի մշակումը:</w:t>
      </w:r>
    </w:p>
    <w:p w14:paraId="330BF8D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Հարկ է վերլուծել արտադրական պրոցեսի մշակման պատմությունը </w:t>
      </w:r>
      <w:r w:rsidR="00C54D75">
        <w:rPr>
          <w:rFonts w:ascii="Sylfaen" w:hAnsi="Sylfaen"/>
          <w:sz w:val="24"/>
          <w:szCs w:val="24"/>
        </w:rPr>
        <w:t>և</w:t>
      </w:r>
      <w:r w:rsidRPr="003B2786">
        <w:rPr>
          <w:rFonts w:ascii="Sylfaen" w:hAnsi="Sylfaen"/>
          <w:sz w:val="24"/>
          <w:szCs w:val="24"/>
        </w:rPr>
        <w:t xml:space="preserve"> մեկնաբանություններ կատարել արտադրանքի (օրինակ՝ արդյունաբերական սերիաների համեմատությամբ կլինիկական փորձարկումների համար օգտագործվող արտադրանքի սերիաների </w:t>
      </w:r>
      <w:r w:rsidR="00C54D75">
        <w:rPr>
          <w:rFonts w:ascii="Sylfaen" w:hAnsi="Sylfaen"/>
          <w:sz w:val="24"/>
          <w:szCs w:val="24"/>
        </w:rPr>
        <w:t>և</w:t>
      </w:r>
      <w:r w:rsidRPr="003B2786">
        <w:rPr>
          <w:rFonts w:ascii="Sylfaen" w:hAnsi="Sylfaen"/>
          <w:sz w:val="24"/>
          <w:szCs w:val="24"/>
        </w:rPr>
        <w:t xml:space="preserve"> այլն) որակի համադրելիության վրա՝ դրա ազդեցության վերաբերյալ գրանցման դոսյեի S.4.4 կետին հղում կատարելով:</w:t>
      </w:r>
    </w:p>
    <w:p w14:paraId="6D571225"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Հարկ է նկարագրել որակի վրա ազդեցության հետ կապված փոփոխությունները </w:t>
      </w:r>
      <w:r w:rsidR="00C54D75">
        <w:rPr>
          <w:rFonts w:ascii="Sylfaen" w:hAnsi="Sylfaen"/>
          <w:sz w:val="24"/>
          <w:szCs w:val="24"/>
        </w:rPr>
        <w:t>և</w:t>
      </w:r>
      <w:r w:rsidRPr="003B2786">
        <w:rPr>
          <w:rFonts w:ascii="Sylfaen" w:hAnsi="Sylfaen"/>
          <w:sz w:val="24"/>
          <w:szCs w:val="24"/>
        </w:rPr>
        <w:t xml:space="preserve"> դրանց առաջացման պատճառները (հիմնավորումը):</w:t>
      </w:r>
    </w:p>
    <w:p w14:paraId="406009C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կրիտիկական գնահատական տալ փոփոխությունների նշանակալիությանը:</w:t>
      </w:r>
    </w:p>
    <w:p w14:paraId="3F65011F"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3.3.</w:t>
      </w:r>
      <w:r>
        <w:rPr>
          <w:rFonts w:ascii="Sylfaen" w:hAnsi="Sylfaen"/>
          <w:sz w:val="24"/>
          <w:szCs w:val="24"/>
        </w:rPr>
        <w:tab/>
      </w:r>
      <w:r w:rsidRPr="003B2786">
        <w:rPr>
          <w:rFonts w:ascii="Sylfaen" w:hAnsi="Sylfaen"/>
          <w:sz w:val="24"/>
          <w:szCs w:val="24"/>
        </w:rPr>
        <w:t>ԱԴԲ-ի բնութագրերի նկարագրությունը (մոդուլ 3.2.S.3)</w:t>
      </w:r>
    </w:p>
    <w:p w14:paraId="20E8E193" w14:textId="77777777" w:rsidR="008C76E0" w:rsidRPr="003B2786" w:rsidRDefault="008C76E0" w:rsidP="00473371">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Տվյալ վերնագրի ներքո արտացոլվում են հետ</w:t>
      </w:r>
      <w:r w:rsidR="00C54D75">
        <w:rPr>
          <w:rFonts w:ascii="Sylfaen" w:hAnsi="Sylfaen"/>
          <w:sz w:val="24"/>
          <w:szCs w:val="24"/>
        </w:rPr>
        <w:t>և</w:t>
      </w:r>
      <w:r w:rsidRPr="003B2786">
        <w:rPr>
          <w:rFonts w:ascii="Sylfaen" w:hAnsi="Sylfaen"/>
          <w:sz w:val="24"/>
          <w:szCs w:val="24"/>
        </w:rPr>
        <w:t>յալ բաժիններում նշված տեղեկությունները.</w:t>
      </w:r>
    </w:p>
    <w:p w14:paraId="212279AE"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S.3.1.</w:t>
      </w:r>
      <w:r w:rsidRPr="003B2786">
        <w:rPr>
          <w:rFonts w:ascii="Sylfaen" w:hAnsi="Sylfaen"/>
          <w:sz w:val="24"/>
          <w:szCs w:val="24"/>
        </w:rPr>
        <w:tab/>
        <w:t xml:space="preserve">Կառուցվածքի </w:t>
      </w:r>
      <w:r w:rsidR="00C54D75">
        <w:rPr>
          <w:rFonts w:ascii="Sylfaen" w:hAnsi="Sylfaen"/>
          <w:sz w:val="24"/>
          <w:szCs w:val="24"/>
        </w:rPr>
        <w:t>և</w:t>
      </w:r>
      <w:r w:rsidRPr="003B2786">
        <w:rPr>
          <w:rFonts w:ascii="Sylfaen" w:hAnsi="Sylfaen"/>
          <w:sz w:val="24"/>
          <w:szCs w:val="24"/>
        </w:rPr>
        <w:t xml:space="preserve"> այլ բնութագրերի հաստատում:</w:t>
      </w:r>
    </w:p>
    <w:p w14:paraId="42A2C14E"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S.3.2.</w:t>
      </w:r>
      <w:r w:rsidRPr="003B2786">
        <w:rPr>
          <w:rFonts w:ascii="Sylfaen" w:hAnsi="Sylfaen"/>
          <w:sz w:val="24"/>
          <w:szCs w:val="24"/>
        </w:rPr>
        <w:tab/>
        <w:t>Խառնուկներ։</w:t>
      </w:r>
    </w:p>
    <w:p w14:paraId="78DEB6E8" w14:textId="77777777" w:rsidR="008C76E0" w:rsidRPr="003B2786" w:rsidRDefault="008C76E0" w:rsidP="00473371">
      <w:pPr>
        <w:tabs>
          <w:tab w:val="left" w:pos="1418"/>
        </w:tabs>
        <w:spacing w:after="160" w:line="360" w:lineRule="auto"/>
        <w:ind w:right="-1" w:firstLine="567"/>
        <w:jc w:val="center"/>
        <w:rPr>
          <w:rFonts w:ascii="Sylfaen" w:hAnsi="Sylfaen"/>
          <w:sz w:val="24"/>
          <w:szCs w:val="24"/>
        </w:rPr>
      </w:pPr>
    </w:p>
    <w:p w14:paraId="131BDFDD"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Նոր կամ հայտնի քիմիական միացություններ</w:t>
      </w:r>
    </w:p>
    <w:p w14:paraId="2F67E53F"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S.3.1.</w:t>
      </w:r>
      <w:r w:rsidRPr="003B2786">
        <w:rPr>
          <w:rFonts w:ascii="Sylfaen" w:hAnsi="Sylfaen"/>
          <w:sz w:val="24"/>
          <w:szCs w:val="24"/>
        </w:rPr>
        <w:tab/>
        <w:t xml:space="preserve">Կառուցվածքի </w:t>
      </w:r>
      <w:r w:rsidR="00C54D75">
        <w:rPr>
          <w:rFonts w:ascii="Sylfaen" w:hAnsi="Sylfaen"/>
          <w:sz w:val="24"/>
          <w:szCs w:val="24"/>
        </w:rPr>
        <w:t>և</w:t>
      </w:r>
      <w:r w:rsidRPr="003B2786">
        <w:rPr>
          <w:rFonts w:ascii="Sylfaen" w:hAnsi="Sylfaen"/>
          <w:sz w:val="24"/>
          <w:szCs w:val="24"/>
        </w:rPr>
        <w:t xml:space="preserve"> այլ բնութագրերի հաստատում:</w:t>
      </w:r>
    </w:p>
    <w:p w14:paraId="3FD2720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Տվյալ մասում հարկ է բերել այն մեթոդների համառոտ նկարագրությունը, որոնք օգտագործվում են ակտիվ բաղադրամասի կառուցվածքի </w:t>
      </w:r>
      <w:r w:rsidR="00C54D75">
        <w:rPr>
          <w:rFonts w:ascii="Sylfaen" w:hAnsi="Sylfaen"/>
          <w:sz w:val="24"/>
          <w:szCs w:val="24"/>
        </w:rPr>
        <w:t>և</w:t>
      </w:r>
      <w:r w:rsidRPr="003B2786">
        <w:rPr>
          <w:rFonts w:ascii="Sylfaen" w:hAnsi="Sylfaen"/>
          <w:sz w:val="24"/>
          <w:szCs w:val="24"/>
        </w:rPr>
        <w:t xml:space="preserve"> հատկությունների, օրինակ՝ քիրալության, բազմաձ</w:t>
      </w:r>
      <w:r w:rsidR="00C54D75">
        <w:rPr>
          <w:rFonts w:ascii="Sylfaen" w:hAnsi="Sylfaen"/>
          <w:sz w:val="24"/>
          <w:szCs w:val="24"/>
        </w:rPr>
        <w:t>և</w:t>
      </w:r>
      <w:r w:rsidRPr="003B2786">
        <w:rPr>
          <w:rFonts w:ascii="Sylfaen" w:hAnsi="Sylfaen"/>
          <w:sz w:val="24"/>
          <w:szCs w:val="24"/>
        </w:rPr>
        <w:t xml:space="preserve">ության </w:t>
      </w:r>
      <w:r w:rsidR="00C54D75">
        <w:rPr>
          <w:rFonts w:ascii="Sylfaen" w:hAnsi="Sylfaen"/>
          <w:sz w:val="24"/>
          <w:szCs w:val="24"/>
        </w:rPr>
        <w:t>և</w:t>
      </w:r>
      <w:r w:rsidRPr="003B2786">
        <w:rPr>
          <w:rFonts w:ascii="Sylfaen" w:hAnsi="Sylfaen"/>
          <w:sz w:val="24"/>
          <w:szCs w:val="24"/>
        </w:rPr>
        <w:t xml:space="preserve"> այլ հատկությունների որոշման համար:</w:t>
      </w:r>
    </w:p>
    <w:p w14:paraId="076E90E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Ռադիոդեղագործական պատրաստուկների դեպքում պետք է հստակ որոշել, թե որպես ինչ է անհրաժեշտ դիտարկել ակտիվ նյութը՝ ոչ նշակիր լիգանդ, ռադիոակտիվ նյութ, թե մեկ այլ փոխադրիչ մոլեկուլի համար ռադիոակտիվ ցուցիչ (ինդիկատոր): (Վերջին դեպքում տեղեկատվությունը սովորաբար ներառվում է այդպիսի կրող-նյութի վերաբերյալ դոսյեում):</w:t>
      </w:r>
    </w:p>
    <w:p w14:paraId="37BAA80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Որպես կանոն, անհրաժեշտ է կառուցվածքների որոշման համար օգտագործվող մեթոդների համարժեքության կրիտիկական գնահատական տալ:</w:t>
      </w:r>
    </w:p>
    <w:p w14:paraId="0ECC8C14"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S.3.2.</w:t>
      </w:r>
      <w:r w:rsidRPr="003B2786">
        <w:rPr>
          <w:rFonts w:ascii="Sylfaen" w:hAnsi="Sylfaen"/>
          <w:sz w:val="24"/>
          <w:szCs w:val="24"/>
        </w:rPr>
        <w:tab/>
        <w:t>Խառնուկները։</w:t>
      </w:r>
    </w:p>
    <w:p w14:paraId="5826A0F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օգտագործել դեղապատրաստուկի գրանցման դոսյեի՝ «Որակի </w:t>
      </w:r>
      <w:r w:rsidRPr="003B2786">
        <w:rPr>
          <w:rFonts w:ascii="Sylfaen" w:hAnsi="Sylfaen"/>
          <w:sz w:val="24"/>
          <w:szCs w:val="24"/>
        </w:rPr>
        <w:lastRenderedPageBreak/>
        <w:t xml:space="preserve">վերաբերյալ ամփոփ տեղեկատվություն» մասի տեքստը խառնուկների վերաբերյալ՝ ներառյալ տեխնոլոգիական խառնուկները, քայքայման արգասիքները, լուծիչներն ու ռեագենտները </w:t>
      </w:r>
      <w:r w:rsidR="00C54D75">
        <w:rPr>
          <w:rFonts w:ascii="Sylfaen" w:hAnsi="Sylfaen"/>
          <w:sz w:val="24"/>
          <w:szCs w:val="24"/>
        </w:rPr>
        <w:t>և</w:t>
      </w:r>
      <w:r w:rsidRPr="003B2786">
        <w:rPr>
          <w:rFonts w:ascii="Sylfaen" w:hAnsi="Sylfaen"/>
          <w:sz w:val="24"/>
          <w:szCs w:val="24"/>
        </w:rPr>
        <w:t xml:space="preserve"> այլն, համապատասխան տվյալների համառոտ ամփոփագիր կազմելու համար՝ հղում կատարելով կայունության վերաբերյալ տվյալներին </w:t>
      </w:r>
      <w:r w:rsidR="00C54D75">
        <w:rPr>
          <w:rFonts w:ascii="Sylfaen" w:hAnsi="Sylfaen"/>
          <w:sz w:val="24"/>
          <w:szCs w:val="24"/>
        </w:rPr>
        <w:t>և</w:t>
      </w:r>
      <w:r w:rsidRPr="003B2786">
        <w:rPr>
          <w:rFonts w:ascii="Sylfaen" w:hAnsi="Sylfaen"/>
          <w:sz w:val="24"/>
          <w:szCs w:val="24"/>
        </w:rPr>
        <w:t xml:space="preserve"> գրանցման դոսյեի S.4. բաժնում պարունակվող տեղեկություններին:</w:t>
      </w:r>
    </w:p>
    <w:p w14:paraId="5CF9614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Ռադիոդեղագործական պատրաստուկների համար նա</w:t>
      </w:r>
      <w:r w:rsidR="00C54D75">
        <w:rPr>
          <w:rFonts w:ascii="Sylfaen" w:hAnsi="Sylfaen"/>
          <w:sz w:val="24"/>
          <w:szCs w:val="24"/>
        </w:rPr>
        <w:t>և</w:t>
      </w:r>
      <w:r w:rsidRPr="003B2786">
        <w:rPr>
          <w:rFonts w:ascii="Sylfaen" w:hAnsi="Sylfaen"/>
          <w:sz w:val="24"/>
          <w:szCs w:val="24"/>
        </w:rPr>
        <w:t xml:space="preserve"> հարկ է նշել ռադիոքիմիական </w:t>
      </w:r>
      <w:r w:rsidR="00C54D75">
        <w:rPr>
          <w:rFonts w:ascii="Sylfaen" w:hAnsi="Sylfaen"/>
          <w:sz w:val="24"/>
          <w:szCs w:val="24"/>
        </w:rPr>
        <w:t>և</w:t>
      </w:r>
      <w:r w:rsidRPr="003B2786">
        <w:rPr>
          <w:rFonts w:ascii="Sylfaen" w:hAnsi="Sylfaen"/>
          <w:sz w:val="24"/>
          <w:szCs w:val="24"/>
        </w:rPr>
        <w:t xml:space="preserve"> ռադիոնուկլիդային մաքրությունը:</w:t>
      </w:r>
    </w:p>
    <w:p w14:paraId="6615697C"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Հնարավորության դեպքում հարկ է որոշել ակտիվ դեղագործական բաղադրամասի տեխնոլոգիական խառնուկների </w:t>
      </w:r>
      <w:r w:rsidR="00C54D75">
        <w:rPr>
          <w:rFonts w:ascii="Sylfaen" w:hAnsi="Sylfaen"/>
          <w:sz w:val="24"/>
          <w:szCs w:val="24"/>
        </w:rPr>
        <w:t>և</w:t>
      </w:r>
      <w:r w:rsidRPr="003B2786">
        <w:rPr>
          <w:rFonts w:ascii="Sylfaen" w:hAnsi="Sylfaen"/>
          <w:sz w:val="24"/>
          <w:szCs w:val="24"/>
        </w:rPr>
        <w:t xml:space="preserve"> քայքայման արգասիքների միջ</w:t>
      </w:r>
      <w:r w:rsidR="00C54D75">
        <w:rPr>
          <w:rFonts w:ascii="Sylfaen" w:hAnsi="Sylfaen"/>
          <w:sz w:val="24"/>
          <w:szCs w:val="24"/>
        </w:rPr>
        <w:t>և</w:t>
      </w:r>
      <w:r w:rsidRPr="003B2786">
        <w:rPr>
          <w:rFonts w:ascii="Sylfaen" w:hAnsi="Sylfaen"/>
          <w:sz w:val="24"/>
          <w:szCs w:val="24"/>
        </w:rPr>
        <w:t xml:space="preserve"> տարբերությունները:</w:t>
      </w:r>
    </w:p>
    <w:p w14:paraId="5E7C969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եզրակացություն անել խառնուկների հսկողության </w:t>
      </w:r>
      <w:r w:rsidR="00C54D75">
        <w:rPr>
          <w:rFonts w:ascii="Sylfaen" w:hAnsi="Sylfaen"/>
          <w:sz w:val="24"/>
          <w:szCs w:val="24"/>
        </w:rPr>
        <w:t>և</w:t>
      </w:r>
      <w:r w:rsidRPr="003B2786">
        <w:rPr>
          <w:rFonts w:ascii="Sylfaen" w:hAnsi="Sylfaen"/>
          <w:sz w:val="24"/>
          <w:szCs w:val="24"/>
        </w:rPr>
        <w:t xml:space="preserve"> որակավորման նկատմամբ արտադրողի մոտեցման կիրառելիություն մասին՝ հատկապես հաշվի առնելով նախակլինիկական (թունաբանական)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արդյունքները:</w:t>
      </w:r>
    </w:p>
    <w:p w14:paraId="6CA9B87B" w14:textId="77777777" w:rsidR="008C76E0" w:rsidRPr="003B2786" w:rsidRDefault="008C76E0" w:rsidP="00473371">
      <w:pPr>
        <w:spacing w:after="160" w:line="360" w:lineRule="auto"/>
        <w:ind w:firstLine="567"/>
        <w:jc w:val="both"/>
        <w:rPr>
          <w:rFonts w:ascii="Sylfaen" w:hAnsi="Sylfaen"/>
          <w:sz w:val="24"/>
          <w:szCs w:val="24"/>
        </w:rPr>
      </w:pPr>
    </w:p>
    <w:p w14:paraId="4617252B" w14:textId="77777777" w:rsidR="008C76E0" w:rsidRPr="003B2786" w:rsidRDefault="008C76E0" w:rsidP="00473371">
      <w:pPr>
        <w:spacing w:after="160" w:line="360" w:lineRule="auto"/>
        <w:jc w:val="center"/>
        <w:rPr>
          <w:rFonts w:ascii="Sylfaen" w:hAnsi="Sylfaen"/>
          <w:sz w:val="24"/>
          <w:szCs w:val="24"/>
        </w:rPr>
      </w:pPr>
      <w:r w:rsidRPr="003B2786">
        <w:rPr>
          <w:rFonts w:ascii="Sylfaen" w:hAnsi="Sylfaen"/>
          <w:sz w:val="24"/>
          <w:szCs w:val="24"/>
        </w:rPr>
        <w:t>Կենսատեխնոլոգիական պատրաստուկներ</w:t>
      </w:r>
    </w:p>
    <w:p w14:paraId="00F9BE6A"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Կենսահամանման (կենսանման) դեղապատրաստուկի համար որակի համեմատական գնահատականի հիմնական մասը բնութագրերի համեմատությունն է: Անհրաժեշտ է դիտարկել (վերլուծել) ռեֆերենտ պատրաստուկի համապատասխան ցուցանիշների նկատմամբ խառնուկների կառուցվածքային նույնականությունը </w:t>
      </w:r>
      <w:r w:rsidR="00C54D75">
        <w:rPr>
          <w:rFonts w:ascii="Sylfaen" w:hAnsi="Sylfaen"/>
          <w:sz w:val="24"/>
          <w:szCs w:val="24"/>
        </w:rPr>
        <w:t>և</w:t>
      </w:r>
      <w:r w:rsidRPr="003B2786">
        <w:rPr>
          <w:rFonts w:ascii="Sylfaen" w:hAnsi="Sylfaen"/>
          <w:sz w:val="24"/>
          <w:szCs w:val="24"/>
        </w:rPr>
        <w:t xml:space="preserve"> պրոֆիլը: </w:t>
      </w:r>
    </w:p>
    <w:p w14:paraId="080A892E"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S.3.1.</w:t>
      </w:r>
      <w:r w:rsidRPr="003B2786">
        <w:rPr>
          <w:rFonts w:ascii="Sylfaen" w:hAnsi="Sylfaen"/>
          <w:sz w:val="24"/>
          <w:szCs w:val="24"/>
        </w:rPr>
        <w:tab/>
        <w:t>կետը ներառում է հետ</w:t>
      </w:r>
      <w:r w:rsidR="00C54D75">
        <w:rPr>
          <w:rFonts w:ascii="Sylfaen" w:hAnsi="Sylfaen"/>
          <w:sz w:val="24"/>
          <w:szCs w:val="24"/>
        </w:rPr>
        <w:t>և</w:t>
      </w:r>
      <w:r w:rsidRPr="003B2786">
        <w:rPr>
          <w:rFonts w:ascii="Sylfaen" w:hAnsi="Sylfaen"/>
          <w:sz w:val="24"/>
          <w:szCs w:val="24"/>
        </w:rPr>
        <w:t>յալ տեղեկությունները՝</w:t>
      </w:r>
    </w:p>
    <w:p w14:paraId="173D64A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ֆիզիկաքիմիական հատկությունները,</w:t>
      </w:r>
    </w:p>
    <w:p w14:paraId="294C4AA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բաղադրության, ֆիզիկական հատկությունների </w:t>
      </w:r>
      <w:r w:rsidR="00C54D75">
        <w:rPr>
          <w:rFonts w:ascii="Sylfaen" w:hAnsi="Sylfaen"/>
          <w:sz w:val="24"/>
          <w:szCs w:val="24"/>
        </w:rPr>
        <w:t>և</w:t>
      </w:r>
      <w:r w:rsidRPr="003B2786">
        <w:rPr>
          <w:rFonts w:ascii="Sylfaen" w:hAnsi="Sylfaen"/>
          <w:sz w:val="24"/>
          <w:szCs w:val="24"/>
        </w:rPr>
        <w:t xml:space="preserve"> առաջնային կառուցվածքի, ավելի բարձր կարգի կառուցվածքների մասին տեղեկատվության որոշումը,</w:t>
      </w:r>
    </w:p>
    <w:p w14:paraId="6ED9C0C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անհամասեռության պրոֆիլը (հարակից միացությունների մասով) </w:t>
      </w:r>
      <w:r w:rsidR="00C54D75">
        <w:rPr>
          <w:rFonts w:ascii="Sylfaen" w:hAnsi="Sylfaen"/>
          <w:sz w:val="24"/>
          <w:szCs w:val="24"/>
        </w:rPr>
        <w:t>և</w:t>
      </w:r>
      <w:r w:rsidRPr="003B2786">
        <w:rPr>
          <w:rFonts w:ascii="Sylfaen" w:hAnsi="Sylfaen"/>
          <w:sz w:val="24"/>
          <w:szCs w:val="24"/>
        </w:rPr>
        <w:t xml:space="preserve"> դրա կենսաբանական ակտիվության համասեռության հաստատումը:</w:t>
      </w:r>
    </w:p>
    <w:p w14:paraId="32C5600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Պետք է հաստատվի կենսաբանական ակտիվության քանակական որոշման մեթոդիկայի վալիդությունը:</w:t>
      </w:r>
    </w:p>
    <w:p w14:paraId="5901EAF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Պետք է համահարաբերակցություն հաստատվի կենսաբանական ակտիվության քանակական որոշման արդյունքների </w:t>
      </w:r>
      <w:r w:rsidR="00C54D75">
        <w:rPr>
          <w:rFonts w:ascii="Sylfaen" w:hAnsi="Sylfaen"/>
          <w:sz w:val="24"/>
          <w:szCs w:val="24"/>
        </w:rPr>
        <w:t>և</w:t>
      </w:r>
      <w:r w:rsidRPr="003B2786">
        <w:rPr>
          <w:rFonts w:ascii="Sylfaen" w:hAnsi="Sylfaen"/>
          <w:sz w:val="24"/>
          <w:szCs w:val="24"/>
        </w:rPr>
        <w:t xml:space="preserve"> կլինիկական պատասխանի միջ</w:t>
      </w:r>
      <w:r w:rsidR="00C54D75">
        <w:rPr>
          <w:rFonts w:ascii="Sylfaen" w:hAnsi="Sylfaen"/>
          <w:sz w:val="24"/>
          <w:szCs w:val="24"/>
        </w:rPr>
        <w:t>և</w:t>
      </w:r>
      <w:r w:rsidRPr="003B2786">
        <w:rPr>
          <w:rFonts w:ascii="Sylfaen" w:hAnsi="Sylfaen"/>
          <w:sz w:val="24"/>
          <w:szCs w:val="24"/>
        </w:rPr>
        <w:t xml:space="preserve">: </w:t>
      </w:r>
    </w:p>
    <w:p w14:paraId="399F302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Ակտիվության (միավորներով արտահայտված) բնութագրման դեպքում կենսաբանական ակտիվության քանակական որոշման արդյունքները պետք է արտահայտվեն ակտիվության միավորներով, որոնք ստանդարտացված են միջազգային, ազգային կամ սեփական ստանդարտ նյութի օգտագործման միջոցով:</w:t>
      </w:r>
    </w:p>
    <w:p w14:paraId="2B07847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Կենսաբանական ակտիվության քանակական որոշման միայն ֆիզիկաքիմիական մեթոդների օգտագործման դեպքում արդյունքները պետք է արտահայտվեն որպես իմունոքիմիական ակտիվություն զանգվածի միավորի վրա:</w:t>
      </w:r>
    </w:p>
    <w:p w14:paraId="5A718E7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Եթե արտադրանքն իրենից հակամարմին է ներկայացնում, ապա դրա իմունոլոգիական հատկությունները պետք է բնութագրվեն ամբողջությամբ:</w:t>
      </w:r>
    </w:p>
    <w:p w14:paraId="51733EC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Սպիտակուցների իմունոքիմիական հատկությունները կարող են ծառայել որպես դրանց իսկության, համասեռության կամ մաքրության ցուցանիշներ կամ օգտագործվել սպիտակուցների քանակական վերլուծության համար:</w:t>
      </w:r>
    </w:p>
    <w:p w14:paraId="4D3C201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Քանակական պարունակությունը: Ֆիզիկաքիմիական մեթոդով սպիտակուցի քանակական որոշման դեպքում դրա պարունակությունն արտահայտվում է զանգվածի միավորներով: </w:t>
      </w:r>
    </w:p>
    <w:p w14:paraId="16A7533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Մաքրությունը (այդ թվում՝ հարակից միացությունների): ԱԴԲ-ն կարող է ներկայացվել մի քանի մոլեկուլյար միացություններով կամ տարբերակներով, որոնք դիտարկվում են որպես հարակից միացություններ. տվյալ դեպքում անհրաժեշտ է որոշել արտադրանքի բաղադրության մեջ մտնող հարակից միացությունների ընդունելիության անհատական կամ ընդհանուր չափանիշները:</w:t>
      </w:r>
    </w:p>
    <w:p w14:paraId="2C2F53EC" w14:textId="77777777" w:rsidR="008C76E0" w:rsidRPr="003B2786" w:rsidRDefault="008C76E0" w:rsidP="00473371">
      <w:pPr>
        <w:tabs>
          <w:tab w:val="left" w:pos="1418"/>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S.3.2.</w:t>
      </w:r>
      <w:r w:rsidRPr="003B2786">
        <w:rPr>
          <w:rFonts w:ascii="Sylfaen" w:hAnsi="Sylfaen"/>
          <w:sz w:val="24"/>
          <w:szCs w:val="24"/>
        </w:rPr>
        <w:tab/>
        <w:t>կետում (խառնուկներ) անցկացվում է գրանցման դոսյեի վերլուծություն՝ ելնելով հետ</w:t>
      </w:r>
      <w:r w:rsidR="00C54D75">
        <w:rPr>
          <w:rFonts w:ascii="Sylfaen" w:hAnsi="Sylfaen"/>
          <w:sz w:val="24"/>
          <w:szCs w:val="24"/>
        </w:rPr>
        <w:t>և</w:t>
      </w:r>
      <w:r w:rsidRPr="003B2786">
        <w:rPr>
          <w:rFonts w:ascii="Sylfaen" w:hAnsi="Sylfaen"/>
          <w:sz w:val="24"/>
          <w:szCs w:val="24"/>
        </w:rPr>
        <w:t>յալ նախադրյալներից.</w:t>
      </w:r>
    </w:p>
    <w:p w14:paraId="2EB3456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Խառնուկները պետք է առավելագույնս հնարավոր չափով բնութագրվեն, </w:t>
      </w:r>
      <w:r w:rsidR="00C54D75">
        <w:rPr>
          <w:rFonts w:ascii="Sylfaen" w:hAnsi="Sylfaen"/>
          <w:sz w:val="24"/>
          <w:szCs w:val="24"/>
        </w:rPr>
        <w:t>և</w:t>
      </w:r>
      <w:r w:rsidRPr="003B2786">
        <w:rPr>
          <w:rFonts w:ascii="Sylfaen" w:hAnsi="Sylfaen"/>
          <w:sz w:val="24"/>
          <w:szCs w:val="24"/>
        </w:rPr>
        <w:t xml:space="preserve"> հնարավորության դեպքում պետք է անցկացվի դրանց կենսաբանական ակտիվության գնահատում:</w:t>
      </w:r>
    </w:p>
    <w:p w14:paraId="2E7A2A8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Խառնուկների (անհատական </w:t>
      </w:r>
      <w:r w:rsidR="00C54D75">
        <w:rPr>
          <w:rFonts w:ascii="Sylfaen" w:hAnsi="Sylfaen"/>
          <w:sz w:val="24"/>
          <w:szCs w:val="24"/>
        </w:rPr>
        <w:t>և</w:t>
      </w:r>
      <w:r w:rsidRPr="003B2786">
        <w:rPr>
          <w:rFonts w:ascii="Sylfaen" w:hAnsi="Sylfaen"/>
          <w:sz w:val="24"/>
          <w:szCs w:val="24"/>
        </w:rPr>
        <w:t xml:space="preserve"> (կամ) ընդհանուր) համար ընդունելիության չափանիշները պետք է հիմնված լինեն 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հետազոտություններում </w:t>
      </w:r>
      <w:r w:rsidR="00C54D75">
        <w:rPr>
          <w:rFonts w:ascii="Sylfaen" w:hAnsi="Sylfaen"/>
          <w:sz w:val="24"/>
          <w:szCs w:val="24"/>
        </w:rPr>
        <w:t>և</w:t>
      </w:r>
      <w:r w:rsidRPr="003B2786">
        <w:rPr>
          <w:rFonts w:ascii="Sylfaen" w:hAnsi="Sylfaen"/>
          <w:sz w:val="24"/>
          <w:szCs w:val="24"/>
        </w:rPr>
        <w:t xml:space="preserve"> համասեռ արտադրական պրոցեսի պայմաններում օգտագործված սերիաների տվյալների վրա:</w:t>
      </w:r>
    </w:p>
    <w:p w14:paraId="1FBE5A08"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Տեխնոլոգիական խառնուկներ: Տեխնոլոգիական խառնուկները ներառում են խառնուկներ, որոնք առաջանում են արտադրական պրոցեսում, այսինքն՝ դրանք բջջային սուբստրատներն են (օրինակ՝ ընդունող բջջի սպիտակուցներ, ընդունող բջջի ԴՆԹ), բջջային կուլտուրայի գործոններ (օրինակ՝ աճի գործոններ, հակաբիոտիկներ կամ միջավայրի բաղադրիչներ), կամ առաջանում են հետագա մշակման ընթացքում:</w:t>
      </w:r>
    </w:p>
    <w:p w14:paraId="6490A857" w14:textId="77777777" w:rsidR="008C76E0"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Հարակից խառնուկները: Հարակից խառնուկները (օրինակ՝ պրեկուրսորները, որոշակի քայքայման արգասիքներ) արտադրության </w:t>
      </w:r>
      <w:r w:rsidR="00C54D75">
        <w:rPr>
          <w:rFonts w:ascii="Sylfaen" w:hAnsi="Sylfaen"/>
          <w:sz w:val="24"/>
          <w:szCs w:val="24"/>
        </w:rPr>
        <w:t>և</w:t>
      </w:r>
      <w:r w:rsidRPr="003B2786">
        <w:rPr>
          <w:rFonts w:ascii="Sylfaen" w:hAnsi="Sylfaen"/>
          <w:sz w:val="24"/>
          <w:szCs w:val="24"/>
        </w:rPr>
        <w:t xml:space="preserve"> (կամ) պահպանման պրոցեսում առաջացող մոլեկուլյար կառուցվածքների տարբերակներ են, որոնք ակտիվության, արդյունավետության </w:t>
      </w:r>
      <w:r w:rsidR="00C54D75">
        <w:rPr>
          <w:rFonts w:ascii="Sylfaen" w:hAnsi="Sylfaen"/>
          <w:sz w:val="24"/>
          <w:szCs w:val="24"/>
        </w:rPr>
        <w:t>և</w:t>
      </w:r>
      <w:r w:rsidRPr="003B2786">
        <w:rPr>
          <w:rFonts w:ascii="Sylfaen" w:hAnsi="Sylfaen"/>
          <w:sz w:val="24"/>
          <w:szCs w:val="24"/>
        </w:rPr>
        <w:t xml:space="preserve"> անվտանգության չափանիշներով չունեն վերջնական արտադրանքի հետ համադրելի հատկություններ:</w:t>
      </w:r>
    </w:p>
    <w:p w14:paraId="1C96FDBB" w14:textId="77777777" w:rsidR="00473371" w:rsidRDefault="00473371">
      <w:pPr>
        <w:widowControl/>
        <w:rPr>
          <w:rFonts w:ascii="Sylfaen" w:hAnsi="Sylfaen"/>
          <w:sz w:val="24"/>
          <w:szCs w:val="24"/>
        </w:rPr>
      </w:pPr>
      <w:r>
        <w:rPr>
          <w:rFonts w:ascii="Sylfaen" w:hAnsi="Sylfaen"/>
          <w:sz w:val="24"/>
          <w:szCs w:val="24"/>
        </w:rPr>
        <w:br w:type="page"/>
      </w:r>
    </w:p>
    <w:p w14:paraId="6790A68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Ծանոթագրություն. Կոնտամինանտներ՝ չկանխամտածված ներմուծված նյութեր, որոնք նախատեսված չեն արտադրության մեջ օգտագործման համար </w:t>
      </w:r>
      <w:r w:rsidR="00C54D75">
        <w:rPr>
          <w:rFonts w:ascii="Sylfaen" w:hAnsi="Sylfaen"/>
          <w:sz w:val="24"/>
          <w:szCs w:val="24"/>
        </w:rPr>
        <w:t>և</w:t>
      </w:r>
      <w:r w:rsidRPr="003B2786">
        <w:rPr>
          <w:rFonts w:ascii="Sylfaen" w:hAnsi="Sylfaen"/>
          <w:sz w:val="24"/>
          <w:szCs w:val="24"/>
        </w:rPr>
        <w:t xml:space="preserve"> դիտարկման ենթակա են գրանցման դոսյեի մոդուլի А.2. հավելվածում նշված փորձաքննության շրջանակներում:</w:t>
      </w:r>
    </w:p>
    <w:p w14:paraId="335180B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Համադրելիության գնահատականը:</w:t>
      </w:r>
    </w:p>
    <w:p w14:paraId="58C3564D" w14:textId="77777777" w:rsidR="008C76E0" w:rsidRPr="003B2786" w:rsidRDefault="008C76E0" w:rsidP="00473371">
      <w:pPr>
        <w:tabs>
          <w:tab w:val="left" w:pos="1134"/>
        </w:tabs>
        <w:spacing w:after="160" w:line="360" w:lineRule="auto"/>
        <w:ind w:right="565" w:firstLine="567"/>
        <w:jc w:val="both"/>
        <w:outlineLvl w:val="0"/>
        <w:rPr>
          <w:rFonts w:ascii="Sylfaen" w:hAnsi="Sylfaen"/>
          <w:sz w:val="24"/>
          <w:szCs w:val="24"/>
        </w:rPr>
      </w:pPr>
      <w:r w:rsidRPr="003B2786">
        <w:rPr>
          <w:rFonts w:ascii="Sylfaen" w:hAnsi="Sylfaen"/>
          <w:sz w:val="24"/>
          <w:szCs w:val="24"/>
        </w:rPr>
        <w:t>3.4.</w:t>
      </w:r>
      <w:r>
        <w:rPr>
          <w:rFonts w:ascii="Sylfaen" w:hAnsi="Sylfaen"/>
          <w:sz w:val="24"/>
          <w:szCs w:val="24"/>
        </w:rPr>
        <w:tab/>
      </w:r>
      <w:r w:rsidRPr="003B2786">
        <w:rPr>
          <w:rFonts w:ascii="Sylfaen" w:hAnsi="Sylfaen"/>
          <w:sz w:val="24"/>
          <w:szCs w:val="24"/>
        </w:rPr>
        <w:t>Ակտիվ դեղագործական բաղադրամասի որակի հսկողությունը (մոդուլ 3.2.S.4)</w:t>
      </w:r>
    </w:p>
    <w:p w14:paraId="58D2AACD" w14:textId="77777777" w:rsidR="008C76E0" w:rsidRPr="003B2786" w:rsidRDefault="008C76E0" w:rsidP="00473371">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Տվյալ վերնագրի ներքո արտացոլվում են հետ</w:t>
      </w:r>
      <w:r w:rsidR="00C54D75">
        <w:rPr>
          <w:rFonts w:ascii="Sylfaen" w:hAnsi="Sylfaen"/>
          <w:sz w:val="24"/>
          <w:szCs w:val="24"/>
        </w:rPr>
        <w:t>և</w:t>
      </w:r>
      <w:r w:rsidRPr="003B2786">
        <w:rPr>
          <w:rFonts w:ascii="Sylfaen" w:hAnsi="Sylfaen"/>
          <w:sz w:val="24"/>
          <w:szCs w:val="24"/>
        </w:rPr>
        <w:t>յալ բաժիններում նշված տեղեկությունների ուսումնասիրության արդյունքները՝</w:t>
      </w:r>
    </w:p>
    <w:p w14:paraId="24EF6AB8"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S.4.1.</w:t>
      </w:r>
      <w:r w:rsidRPr="003B2786">
        <w:rPr>
          <w:rFonts w:ascii="Sylfaen" w:hAnsi="Sylfaen"/>
          <w:sz w:val="24"/>
          <w:szCs w:val="24"/>
        </w:rPr>
        <w:tab/>
        <w:t>Մասնագիրը։</w:t>
      </w:r>
    </w:p>
    <w:p w14:paraId="0FDDCC12"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S.4.2.</w:t>
      </w:r>
      <w:r w:rsidRPr="003B2786">
        <w:rPr>
          <w:rFonts w:ascii="Sylfaen" w:hAnsi="Sylfaen"/>
          <w:sz w:val="24"/>
          <w:szCs w:val="24"/>
        </w:rPr>
        <w:tab/>
        <w:t>Վերլուծական մեթոդիկաները։</w:t>
      </w:r>
    </w:p>
    <w:p w14:paraId="4AEA7CFF"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S.4.3.</w:t>
      </w:r>
      <w:r w:rsidRPr="003B2786">
        <w:rPr>
          <w:rFonts w:ascii="Sylfaen" w:hAnsi="Sylfaen"/>
          <w:sz w:val="24"/>
          <w:szCs w:val="24"/>
        </w:rPr>
        <w:tab/>
        <w:t>Վերլուծական մեթոդիկաների վալիդացումը։</w:t>
      </w:r>
    </w:p>
    <w:p w14:paraId="20CA0DC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S.4.4.</w:t>
      </w:r>
      <w:r w:rsidRPr="003B2786">
        <w:rPr>
          <w:rFonts w:ascii="Sylfaen" w:hAnsi="Sylfaen"/>
          <w:sz w:val="24"/>
          <w:szCs w:val="24"/>
        </w:rPr>
        <w:tab/>
        <w:t>Սերիաների վերլուծությունները (սերիաների վերլուծության արդյունքները):</w:t>
      </w:r>
    </w:p>
    <w:p w14:paraId="027FDF58"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S.4.5.</w:t>
      </w:r>
      <w:r w:rsidRPr="003B2786">
        <w:rPr>
          <w:rFonts w:ascii="Sylfaen" w:hAnsi="Sylfaen"/>
          <w:sz w:val="24"/>
          <w:szCs w:val="24"/>
        </w:rPr>
        <w:tab/>
        <w:t>Մասնագրի հիմնավորումը։</w:t>
      </w:r>
    </w:p>
    <w:p w14:paraId="7EA7E81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Նոր կամ հայտնի քիմիական միացությունները</w:t>
      </w:r>
    </w:p>
    <w:p w14:paraId="0A7FB23F"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S.4.1.</w:t>
      </w:r>
      <w:r w:rsidRPr="003B2786">
        <w:rPr>
          <w:rFonts w:ascii="Sylfaen" w:hAnsi="Sylfaen"/>
          <w:sz w:val="24"/>
          <w:szCs w:val="24"/>
        </w:rPr>
        <w:tab/>
        <w:t>Մասնագիրը։</w:t>
      </w:r>
    </w:p>
    <w:p w14:paraId="5FE5D70D" w14:textId="77777777" w:rsidR="008C76E0" w:rsidRPr="003B2786" w:rsidRDefault="008C76E0" w:rsidP="0047337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Հարկ է զետեղել աղյուսակ` մասնագրի տվյալներով: Ներկայացնել համահավաք մասնագիր այն դեպքում, երբ ակտիվ նյութը ստացվել է տարբեր աղբյուրներից </w:t>
      </w:r>
      <w:r w:rsidR="00C54D75">
        <w:rPr>
          <w:rFonts w:ascii="Sylfaen" w:hAnsi="Sylfaen"/>
          <w:sz w:val="24"/>
          <w:szCs w:val="24"/>
        </w:rPr>
        <w:t>և</w:t>
      </w:r>
      <w:r w:rsidRPr="003B2786">
        <w:rPr>
          <w:rFonts w:ascii="Sylfaen" w:hAnsi="Sylfaen"/>
          <w:sz w:val="24"/>
          <w:szCs w:val="24"/>
        </w:rPr>
        <w:t xml:space="preserve"> ունի տարբեր մասնագրեր: </w:t>
      </w:r>
    </w:p>
    <w:p w14:paraId="0F780875" w14:textId="77777777" w:rsidR="008C76E0" w:rsidRPr="003B2786" w:rsidRDefault="008C76E0" w:rsidP="0047337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S.4.2.</w:t>
      </w:r>
      <w:r w:rsidRPr="003B2786">
        <w:rPr>
          <w:rFonts w:ascii="Sylfaen" w:hAnsi="Sylfaen"/>
          <w:sz w:val="24"/>
          <w:szCs w:val="24"/>
        </w:rPr>
        <w:tab/>
        <w:t>Վերլուծական մեթոդիկաները։</w:t>
      </w:r>
    </w:p>
    <w:p w14:paraId="0AE93837" w14:textId="77777777" w:rsidR="008C76E0" w:rsidRPr="003B2786" w:rsidRDefault="008C76E0" w:rsidP="0047337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Եթե դրանք ներկայացված են վերը բերված աղյուսակում, բավարար է հղում կատարել մեթոդիկային:</w:t>
      </w:r>
    </w:p>
    <w:p w14:paraId="301E42F0" w14:textId="77777777" w:rsidR="008C76E0" w:rsidRPr="003B2786" w:rsidRDefault="008C76E0" w:rsidP="0047337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S.4.3.</w:t>
      </w:r>
      <w:r w:rsidRPr="003B2786">
        <w:rPr>
          <w:rFonts w:ascii="Sylfaen" w:hAnsi="Sylfaen"/>
          <w:sz w:val="24"/>
          <w:szCs w:val="24"/>
        </w:rPr>
        <w:tab/>
        <w:t>Վերլուծական մեթոդիկաների վալիդացումը։</w:t>
      </w:r>
    </w:p>
    <w:p w14:paraId="13FACA6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Հարկ է հաստատել Միության ձեռնարկների կամ այլ համապատասխան ձեռնարկների պահանջներին համապատասխանությունը՝ նշելով շեղումները:</w:t>
      </w:r>
    </w:p>
    <w:p w14:paraId="17349E41" w14:textId="77777777" w:rsidR="008C76E0" w:rsidRPr="003B2786" w:rsidRDefault="008C76E0" w:rsidP="00473371">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Գնահատվում է մեթոդիկաների համարժեքությունը՝ ԱԴԲ-ի որակի ընթացիկ հսկողության համար:</w:t>
      </w:r>
    </w:p>
    <w:p w14:paraId="58A7D13E"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S.4.4.</w:t>
      </w:r>
      <w:r w:rsidRPr="003B2786">
        <w:rPr>
          <w:rFonts w:ascii="Sylfaen" w:hAnsi="Sylfaen"/>
          <w:sz w:val="24"/>
          <w:szCs w:val="24"/>
        </w:rPr>
        <w:tab/>
        <w:t>Սերիաների վերլուծություններ (սերիաների վերլուծության արդյունքները) (նշել սերիաների թիվը)։</w:t>
      </w:r>
    </w:p>
    <w:p w14:paraId="3913291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նշել սերիայից սերիա՝ արտադրանքի միատիպությունը </w:t>
      </w:r>
      <w:r w:rsidR="00C54D75">
        <w:rPr>
          <w:rFonts w:ascii="Sylfaen" w:hAnsi="Sylfaen"/>
          <w:sz w:val="24"/>
          <w:szCs w:val="24"/>
        </w:rPr>
        <w:t>և</w:t>
      </w:r>
      <w:r w:rsidRPr="003B2786">
        <w:rPr>
          <w:rFonts w:ascii="Sylfaen" w:hAnsi="Sylfaen"/>
          <w:sz w:val="24"/>
          <w:szCs w:val="24"/>
        </w:rPr>
        <w:t xml:space="preserve"> համասեռությունը: Նշել, թե արդյոք ներկայացված արդյունքներն ապացուցում են, որ պրոցեսը հսկողության տակ է:</w:t>
      </w:r>
    </w:p>
    <w:p w14:paraId="2F1D2576"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S.4.5.</w:t>
      </w:r>
      <w:r w:rsidRPr="003B2786">
        <w:rPr>
          <w:rFonts w:ascii="Sylfaen" w:hAnsi="Sylfaen"/>
          <w:sz w:val="24"/>
          <w:szCs w:val="24"/>
        </w:rPr>
        <w:tab/>
        <w:t>Մասնագրի հիմնավորումը։</w:t>
      </w:r>
    </w:p>
    <w:p w14:paraId="0C32F73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Հարկ է գնահատել հայտատուի կողմից առաջարկված՝ մասնագրի հիմնավորման համարժեքությունը՝ հաշվի առնելով պատրաստի արտադրանքում ԱԴԲ-ի ենթադրյալ կիրառումը:</w:t>
      </w:r>
    </w:p>
    <w:p w14:paraId="1A438AB2"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Եթե արտադրողն առաջարկում է բացթողման փորձարկումներ անցկացնել իրական ժամանակի ռեժիմում, հարկ է ընդգծել, թե որքանով է դա հաստատվում արտադրանքի </w:t>
      </w:r>
      <w:r w:rsidR="00C54D75">
        <w:rPr>
          <w:rFonts w:ascii="Sylfaen" w:hAnsi="Sylfaen"/>
          <w:sz w:val="24"/>
          <w:szCs w:val="24"/>
        </w:rPr>
        <w:t>և</w:t>
      </w:r>
      <w:r w:rsidRPr="003B2786">
        <w:rPr>
          <w:rFonts w:ascii="Sylfaen" w:hAnsi="Sylfaen"/>
          <w:sz w:val="24"/>
          <w:szCs w:val="24"/>
        </w:rPr>
        <w:t xml:space="preserve"> արտադրական պրոցեսի առանձնահատկությունների խորը ըմբռնմամբ: Այս դեպքում հարկ է նա</w:t>
      </w:r>
      <w:r w:rsidR="00C54D75">
        <w:rPr>
          <w:rFonts w:ascii="Sylfaen" w:hAnsi="Sylfaen"/>
          <w:sz w:val="24"/>
          <w:szCs w:val="24"/>
        </w:rPr>
        <w:t>և</w:t>
      </w:r>
      <w:r w:rsidRPr="003B2786">
        <w:rPr>
          <w:rFonts w:ascii="Sylfaen" w:hAnsi="Sylfaen"/>
          <w:sz w:val="24"/>
          <w:szCs w:val="24"/>
        </w:rPr>
        <w:t xml:space="preserve"> նշել, թե արդյոք հայտատուի կողմից ներդրվել է պրոցեսի այն կրիտիկական պարամետրերի </w:t>
      </w:r>
      <w:r w:rsidR="00C54D75">
        <w:rPr>
          <w:rFonts w:ascii="Sylfaen" w:hAnsi="Sylfaen"/>
          <w:sz w:val="24"/>
          <w:szCs w:val="24"/>
        </w:rPr>
        <w:t>և</w:t>
      </w:r>
      <w:r w:rsidRPr="003B2786">
        <w:rPr>
          <w:rFonts w:ascii="Sylfaen" w:hAnsi="Sylfaen"/>
          <w:sz w:val="24"/>
          <w:szCs w:val="24"/>
        </w:rPr>
        <w:t xml:space="preserve"> նյութերի այն կրիտիկական ցուցանիշների պատշաճ հսկողությունը, որոնցով հիմնավորվում է բացթողման փորձարկումների ռեժիմը: Հարկ է նշել, թե արդյոք գնահատվել է բացթողման սովորական ռեժիմով </w:t>
      </w:r>
      <w:r w:rsidR="00C54D75">
        <w:rPr>
          <w:rFonts w:ascii="Sylfaen" w:hAnsi="Sylfaen"/>
          <w:sz w:val="24"/>
          <w:szCs w:val="24"/>
        </w:rPr>
        <w:t>և</w:t>
      </w:r>
      <w:r w:rsidRPr="003B2786">
        <w:rPr>
          <w:rFonts w:ascii="Sylfaen" w:hAnsi="Sylfaen"/>
          <w:sz w:val="24"/>
          <w:szCs w:val="24"/>
        </w:rPr>
        <w:t xml:space="preserve"> իրական ժամանակի ռեժիմով կատարված՝ արտադրանքի սերիայի փորձարկումների արդյունքների վրա շրջակա միջավայրի գործոնների ազդեցությունը: Անհրաժեշտ է նշել, թե արդյոք կիրառվում է այն սխեման, որով նախատեսվում է բացթողման սովորական ռեժիմով </w:t>
      </w:r>
      <w:r w:rsidR="00C54D75">
        <w:rPr>
          <w:rFonts w:ascii="Sylfaen" w:hAnsi="Sylfaen"/>
          <w:sz w:val="24"/>
          <w:szCs w:val="24"/>
        </w:rPr>
        <w:t>և</w:t>
      </w:r>
      <w:r w:rsidRPr="003B2786">
        <w:rPr>
          <w:rFonts w:ascii="Sylfaen" w:hAnsi="Sylfaen"/>
          <w:sz w:val="24"/>
          <w:szCs w:val="24"/>
        </w:rPr>
        <w:t xml:space="preserve"> իրական ժամանակի ռեժիմով բավարար քանակությամբ սերիաների հետ կատարված՝ արտադրանքի սերիայի փորձարկումների արդյունքների համեմատությունը: Շատ փոփոխականներով մոդելների օգտագործման դեպքում ԱԴԲ-ի որակի </w:t>
      </w:r>
      <w:r w:rsidRPr="003B2786">
        <w:rPr>
          <w:rFonts w:ascii="Sylfaen" w:hAnsi="Sylfaen"/>
          <w:sz w:val="24"/>
          <w:szCs w:val="24"/>
        </w:rPr>
        <w:lastRenderedPageBreak/>
        <w:t>ցուցանիշների կանխատեսման կամ պրոցեսի առցանց մոնիթորինգի համար հարկ է անդրադառնալ որակի ասպեկտների գնահատման մասին փորձագիտական հաշվետվության թիվ 3 հավելվածին:</w:t>
      </w:r>
    </w:p>
    <w:p w14:paraId="2C2C9699" w14:textId="77777777" w:rsidR="008C76E0" w:rsidRPr="003B2786" w:rsidRDefault="008C76E0" w:rsidP="00473371">
      <w:pPr>
        <w:spacing w:after="160" w:line="360" w:lineRule="auto"/>
        <w:ind w:firstLine="567"/>
        <w:jc w:val="both"/>
        <w:rPr>
          <w:rFonts w:ascii="Sylfaen" w:hAnsi="Sylfaen"/>
          <w:sz w:val="24"/>
          <w:szCs w:val="24"/>
        </w:rPr>
      </w:pPr>
    </w:p>
    <w:p w14:paraId="459A2D72" w14:textId="77777777" w:rsidR="008C76E0" w:rsidRPr="003B2786" w:rsidRDefault="008C76E0" w:rsidP="00473371">
      <w:pPr>
        <w:spacing w:after="160" w:line="360" w:lineRule="auto"/>
        <w:ind w:firstLine="567"/>
        <w:jc w:val="center"/>
        <w:rPr>
          <w:rFonts w:ascii="Sylfaen" w:hAnsi="Sylfaen"/>
          <w:sz w:val="24"/>
          <w:szCs w:val="24"/>
        </w:rPr>
      </w:pPr>
      <w:r w:rsidRPr="003B2786">
        <w:rPr>
          <w:rFonts w:ascii="Sylfaen" w:hAnsi="Sylfaen"/>
          <w:sz w:val="24"/>
          <w:szCs w:val="24"/>
        </w:rPr>
        <w:t>Կենսատեխնոլոգիական դեղապատրոստուկներ</w:t>
      </w:r>
    </w:p>
    <w:p w14:paraId="46CE3B4A"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S.4.1.</w:t>
      </w:r>
      <w:r>
        <w:rPr>
          <w:rFonts w:ascii="Sylfaen" w:hAnsi="Sylfaen"/>
          <w:sz w:val="24"/>
          <w:szCs w:val="24"/>
        </w:rPr>
        <w:tab/>
      </w:r>
      <w:r w:rsidRPr="003B2786">
        <w:rPr>
          <w:rFonts w:ascii="Sylfaen" w:hAnsi="Sylfaen"/>
          <w:sz w:val="24"/>
          <w:szCs w:val="24"/>
        </w:rPr>
        <w:t>կետում ներառվել են ստոր</w:t>
      </w:r>
      <w:r w:rsidR="00C54D75">
        <w:rPr>
          <w:rFonts w:ascii="Sylfaen" w:hAnsi="Sylfaen"/>
          <w:sz w:val="24"/>
          <w:szCs w:val="24"/>
        </w:rPr>
        <w:t>և</w:t>
      </w:r>
      <w:r w:rsidRPr="003B2786">
        <w:rPr>
          <w:rFonts w:ascii="Sylfaen" w:hAnsi="Sylfaen"/>
          <w:sz w:val="24"/>
          <w:szCs w:val="24"/>
        </w:rPr>
        <w:t xml:space="preserve"> բերված տեղեկությունները:</w:t>
      </w:r>
    </w:p>
    <w:p w14:paraId="70C56DA8"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Արտաքին տեսքը </w:t>
      </w:r>
      <w:r w:rsidR="00C54D75">
        <w:rPr>
          <w:rFonts w:ascii="Sylfaen" w:hAnsi="Sylfaen"/>
          <w:sz w:val="24"/>
          <w:szCs w:val="24"/>
        </w:rPr>
        <w:t>և</w:t>
      </w:r>
      <w:r w:rsidRPr="003B2786">
        <w:rPr>
          <w:rFonts w:ascii="Sylfaen" w:hAnsi="Sylfaen"/>
          <w:sz w:val="24"/>
          <w:szCs w:val="24"/>
        </w:rPr>
        <w:t xml:space="preserve"> նկարագրությունը։ Անհրաժեշտ է տալ որակական գնահատական՝ ԱԴԲ-ի ֆիզիկական (ագրեգատային) վիճակի (օրինակ՝ պինդ, հեղուկ վիճակ) </w:t>
      </w:r>
      <w:r w:rsidR="00C54D75">
        <w:rPr>
          <w:rFonts w:ascii="Sylfaen" w:hAnsi="Sylfaen"/>
          <w:sz w:val="24"/>
          <w:szCs w:val="24"/>
        </w:rPr>
        <w:t>և</w:t>
      </w:r>
      <w:r w:rsidRPr="003B2786">
        <w:rPr>
          <w:rFonts w:ascii="Sylfaen" w:hAnsi="Sylfaen"/>
          <w:sz w:val="24"/>
          <w:szCs w:val="24"/>
        </w:rPr>
        <w:t xml:space="preserve"> գույնի նկարագրությամբ: </w:t>
      </w:r>
    </w:p>
    <w:p w14:paraId="610CB5D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Իսկությունը: Իսկության փորձարկումները պետք է բնութագրվեն ԱԴԲ-ի նկատմամբ բարձր սպեցիֆիկությամբ </w:t>
      </w:r>
      <w:r w:rsidR="00C54D75">
        <w:rPr>
          <w:rFonts w:ascii="Sylfaen" w:hAnsi="Sylfaen"/>
          <w:sz w:val="24"/>
          <w:szCs w:val="24"/>
        </w:rPr>
        <w:t>և</w:t>
      </w:r>
      <w:r w:rsidRPr="003B2786">
        <w:rPr>
          <w:rFonts w:ascii="Sylfaen" w:hAnsi="Sylfaen"/>
          <w:sz w:val="24"/>
          <w:szCs w:val="24"/>
        </w:rPr>
        <w:t xml:space="preserve"> պետք է հիմնված լինեն մոլեկուլյար կառուցվածքների </w:t>
      </w:r>
      <w:r w:rsidR="00C54D75">
        <w:rPr>
          <w:rFonts w:ascii="Sylfaen" w:hAnsi="Sylfaen"/>
          <w:sz w:val="24"/>
          <w:szCs w:val="24"/>
        </w:rPr>
        <w:t>և</w:t>
      </w:r>
      <w:r w:rsidRPr="003B2786">
        <w:rPr>
          <w:rFonts w:ascii="Sylfaen" w:hAnsi="Sylfaen"/>
          <w:sz w:val="24"/>
          <w:szCs w:val="24"/>
        </w:rPr>
        <w:t xml:space="preserve"> (կամ) այլ սպեցիֆիկ հատկությունների յուրահատուկ բնութագրերի վրա: Իսկությունը որոշելու համար կարող է պահանջվել փորձարկումների ավելի քան մեկ մեթոդի անցկացում (ֆիզիկաքիմիական, կենսաբանական </w:t>
      </w:r>
      <w:r w:rsidR="00C54D75">
        <w:rPr>
          <w:rFonts w:ascii="Sylfaen" w:hAnsi="Sylfaen"/>
          <w:sz w:val="24"/>
          <w:szCs w:val="24"/>
        </w:rPr>
        <w:t>և</w:t>
      </w:r>
      <w:r w:rsidRPr="003B2786">
        <w:rPr>
          <w:rFonts w:ascii="Sylfaen" w:hAnsi="Sylfaen"/>
          <w:sz w:val="24"/>
          <w:szCs w:val="24"/>
        </w:rPr>
        <w:t xml:space="preserve"> (կամ) իմունաքիմիական)։</w:t>
      </w:r>
    </w:p>
    <w:p w14:paraId="3FA839C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Մաքրությունը </w:t>
      </w:r>
      <w:r w:rsidR="00C54D75">
        <w:rPr>
          <w:rFonts w:ascii="Sylfaen" w:hAnsi="Sylfaen"/>
          <w:sz w:val="24"/>
          <w:szCs w:val="24"/>
        </w:rPr>
        <w:t>և</w:t>
      </w:r>
      <w:r w:rsidRPr="003B2786">
        <w:rPr>
          <w:rFonts w:ascii="Sylfaen" w:hAnsi="Sylfaen"/>
          <w:sz w:val="24"/>
          <w:szCs w:val="24"/>
        </w:rPr>
        <w:t xml:space="preserve"> խառնուկները: Քանի որ դժվար է որոշել կենսատեխնոլոգիական </w:t>
      </w:r>
      <w:r w:rsidR="00C54D75">
        <w:rPr>
          <w:rFonts w:ascii="Sylfaen" w:hAnsi="Sylfaen"/>
          <w:sz w:val="24"/>
          <w:szCs w:val="24"/>
        </w:rPr>
        <w:t>և</w:t>
      </w:r>
      <w:r w:rsidRPr="003B2786">
        <w:rPr>
          <w:rFonts w:ascii="Sylfaen" w:hAnsi="Sylfaen"/>
          <w:sz w:val="24"/>
          <w:szCs w:val="24"/>
        </w:rPr>
        <w:t xml:space="preserve"> կենսաբանական արտադրանքի բացարձակ մաքրությունը, արդյունքները հաճախ կախված են լինում ընտրված մեթոդից: Այդ իսկ պատճառով ԱԴԲ-ի մաքրությունը սովորաբար գնահատվում է մի քանի տարբեր մեթոդներով: Վերլուծական մեթոդիկաների ընտրության </w:t>
      </w:r>
      <w:r w:rsidR="00C54D75">
        <w:rPr>
          <w:rFonts w:ascii="Sylfaen" w:hAnsi="Sylfaen"/>
          <w:sz w:val="24"/>
          <w:szCs w:val="24"/>
        </w:rPr>
        <w:t>և</w:t>
      </w:r>
      <w:r w:rsidRPr="003B2786">
        <w:rPr>
          <w:rFonts w:ascii="Sylfaen" w:hAnsi="Sylfaen"/>
          <w:sz w:val="24"/>
          <w:szCs w:val="24"/>
        </w:rPr>
        <w:t xml:space="preserve"> օպտիմիզացման գնահատման դեպքում փորձագետին անհրաժեշտ է կենտրոնանալ ցանկալի արտադրանքը հարակից միացություններից </w:t>
      </w:r>
      <w:r w:rsidR="00C54D75">
        <w:rPr>
          <w:rFonts w:ascii="Sylfaen" w:hAnsi="Sylfaen"/>
          <w:sz w:val="24"/>
          <w:szCs w:val="24"/>
        </w:rPr>
        <w:t>և</w:t>
      </w:r>
      <w:r w:rsidRPr="003B2786">
        <w:rPr>
          <w:rFonts w:ascii="Sylfaen" w:hAnsi="Sylfaen"/>
          <w:sz w:val="24"/>
          <w:szCs w:val="24"/>
        </w:rPr>
        <w:t xml:space="preserve"> խառնուկներից բաժանելու մասով արդյունքի հասնելու վրա: Այդ արտադրանքում պարունակվող խառնուկները բաժանվում են հարակիցների </w:t>
      </w:r>
      <w:r w:rsidR="00C54D75">
        <w:rPr>
          <w:rFonts w:ascii="Sylfaen" w:hAnsi="Sylfaen"/>
          <w:sz w:val="24"/>
          <w:szCs w:val="24"/>
        </w:rPr>
        <w:t>և</w:t>
      </w:r>
      <w:r w:rsidRPr="003B2786">
        <w:rPr>
          <w:rFonts w:ascii="Sylfaen" w:hAnsi="Sylfaen"/>
          <w:sz w:val="24"/>
          <w:szCs w:val="24"/>
        </w:rPr>
        <w:t xml:space="preserve"> տեխնոլոգիականների:</w:t>
      </w:r>
    </w:p>
    <w:p w14:paraId="33BDE7E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Ակտիվությունը: Հարկ է համոզվել, որ մասնագրում ներառվում է կենսատեխնոլոգիական կամ կենսաբանական ԱԴԲ-ի </w:t>
      </w:r>
      <w:r w:rsidR="00C54D75">
        <w:rPr>
          <w:rFonts w:ascii="Sylfaen" w:hAnsi="Sylfaen"/>
          <w:sz w:val="24"/>
          <w:szCs w:val="24"/>
        </w:rPr>
        <w:t>և</w:t>
      </w:r>
      <w:r w:rsidRPr="003B2786">
        <w:rPr>
          <w:rFonts w:ascii="Sylfaen" w:hAnsi="Sylfaen"/>
          <w:sz w:val="24"/>
          <w:szCs w:val="24"/>
        </w:rPr>
        <w:t xml:space="preserve"> (կամ) </w:t>
      </w:r>
      <w:r w:rsidRPr="003B2786">
        <w:rPr>
          <w:rFonts w:ascii="Sylfaen" w:hAnsi="Sylfaen"/>
          <w:sz w:val="24"/>
          <w:szCs w:val="24"/>
        </w:rPr>
        <w:lastRenderedPageBreak/>
        <w:t xml:space="preserve">դեղապատրաստուկի ակտիվության քանակական որոշման համապատասխան վալիդացված մեթոդիկան: Հայտատուի կողմից դեղապատրաստուկի ակտիվության քանակական որոշման համապատասխան մեթոդիկայի օգտագործման դեպքում ԱԴԲ-ի քանակական որոշման էտապում այլընտրանքային մեթոդի (ֆիզիկաքիմիական </w:t>
      </w:r>
      <w:r w:rsidR="00C54D75">
        <w:rPr>
          <w:rFonts w:ascii="Sylfaen" w:hAnsi="Sylfaen"/>
          <w:sz w:val="24"/>
          <w:szCs w:val="24"/>
        </w:rPr>
        <w:t>և</w:t>
      </w:r>
      <w:r w:rsidRPr="003B2786">
        <w:rPr>
          <w:rFonts w:ascii="Sylfaen" w:hAnsi="Sylfaen"/>
          <w:sz w:val="24"/>
          <w:szCs w:val="24"/>
        </w:rPr>
        <w:t xml:space="preserve"> (կամ) կենսաբանական) կիրառումը կարող է բավարար լինել: Առանձին դեպքերում սպեցիֆիկ ակտիվության չափումը կարող է ծառայել որպես հավելյալ արժեքավոր տեղեկատվության աղբյուր:</w:t>
      </w:r>
    </w:p>
    <w:p w14:paraId="17775E5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Քանակական պարունակությունը: ԱԴԲ-ի քանակական պարունակությունը, որը հիմնված է սպիտակուցի (զանգվածի) պարունակության որոշման վրա, պետք է որոշվի քանակական որոշման համապատասխան մեթոդի օգնությամբ: Քանակական որոշման համար կարող են չպահանջվել ստանդարտ նմուշներ կամ նյութեր:</w:t>
      </w:r>
    </w:p>
    <w:p w14:paraId="596C0BDF"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Եթե արտադրվող արտադրանքը գնահատվում է ակտիվության միավորներով, այլընտրանքային մեթոդով քանակական որոշում կարող է չանցկացվել:</w:t>
      </w:r>
    </w:p>
    <w:p w14:paraId="21104E0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ԱԴԲ-ի մասնագիրը պետք է ներառվի փորձագիտական հաշվետվության կազմում կամ պետք է կցվի որպես հավելված:</w:t>
      </w:r>
    </w:p>
    <w:p w14:paraId="098EC248"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S.4.3.</w:t>
      </w:r>
      <w:r w:rsidRPr="003B2786">
        <w:rPr>
          <w:rFonts w:ascii="Sylfaen" w:hAnsi="Sylfaen"/>
          <w:sz w:val="24"/>
          <w:szCs w:val="24"/>
        </w:rPr>
        <w:tab/>
        <w:t>կետում ներառվել են ստոր</w:t>
      </w:r>
      <w:r w:rsidR="00C54D75">
        <w:rPr>
          <w:rFonts w:ascii="Sylfaen" w:hAnsi="Sylfaen"/>
          <w:sz w:val="24"/>
          <w:szCs w:val="24"/>
        </w:rPr>
        <w:t>և</w:t>
      </w:r>
      <w:r w:rsidRPr="003B2786">
        <w:rPr>
          <w:rFonts w:ascii="Sylfaen" w:hAnsi="Sylfaen"/>
          <w:sz w:val="24"/>
          <w:szCs w:val="24"/>
        </w:rPr>
        <w:t xml:space="preserve"> բերված տեղեկությունները:</w:t>
      </w:r>
    </w:p>
    <w:p w14:paraId="44C0062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Վերլուծական մեթոդիկաների վալիդացման համարժեքության փորձագիտական գնահատականը:</w:t>
      </w:r>
    </w:p>
    <w:p w14:paraId="15B97A70"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S.4.4.</w:t>
      </w:r>
      <w:r w:rsidRPr="003B2786">
        <w:rPr>
          <w:rFonts w:ascii="Sylfaen" w:hAnsi="Sylfaen"/>
          <w:sz w:val="24"/>
          <w:szCs w:val="24"/>
        </w:rPr>
        <w:tab/>
        <w:t>կետում ներառվել են ստոր</w:t>
      </w:r>
      <w:r w:rsidR="00C54D75">
        <w:rPr>
          <w:rFonts w:ascii="Sylfaen" w:hAnsi="Sylfaen"/>
          <w:sz w:val="24"/>
          <w:szCs w:val="24"/>
        </w:rPr>
        <w:t>և</w:t>
      </w:r>
      <w:r w:rsidRPr="003B2786">
        <w:rPr>
          <w:rFonts w:ascii="Sylfaen" w:hAnsi="Sylfaen"/>
          <w:sz w:val="24"/>
          <w:szCs w:val="24"/>
        </w:rPr>
        <w:t xml:space="preserve"> բերված տեղեկությունները:</w:t>
      </w:r>
    </w:p>
    <w:p w14:paraId="079AD3DD"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Սերիայից սերիա՝ ԱԴԲ-ի համասեռության մասին տեղեկատվություն:</w:t>
      </w:r>
    </w:p>
    <w:p w14:paraId="59BE691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գնահատել, թե ինչպես է հաստատվել հետերոգենության պրոֆիլի հաստատունությունը (օրինակ՝ գլիկոձ</w:t>
      </w:r>
      <w:r w:rsidR="00C54D75">
        <w:rPr>
          <w:rFonts w:ascii="Sylfaen" w:hAnsi="Sylfaen"/>
          <w:sz w:val="24"/>
          <w:szCs w:val="24"/>
        </w:rPr>
        <w:t>և</w:t>
      </w:r>
      <w:r w:rsidRPr="003B2786">
        <w:rPr>
          <w:rFonts w:ascii="Sylfaen" w:hAnsi="Sylfaen"/>
          <w:sz w:val="24"/>
          <w:szCs w:val="24"/>
        </w:rPr>
        <w:t>, իզոձ</w:t>
      </w:r>
      <w:r w:rsidR="00C54D75">
        <w:rPr>
          <w:rFonts w:ascii="Sylfaen" w:hAnsi="Sylfaen"/>
          <w:sz w:val="24"/>
          <w:szCs w:val="24"/>
        </w:rPr>
        <w:t>և</w:t>
      </w:r>
      <w:r w:rsidRPr="003B2786">
        <w:rPr>
          <w:rFonts w:ascii="Sylfaen" w:hAnsi="Sylfaen"/>
          <w:sz w:val="24"/>
          <w:szCs w:val="24"/>
        </w:rPr>
        <w:t>):</w:t>
      </w:r>
    </w:p>
    <w:p w14:paraId="78D2DD8A"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Հարկ է վերլուծել տարբերությունները, եթե այդպիսիք առկա են </w:t>
      </w:r>
      <w:r w:rsidRPr="003B2786">
        <w:rPr>
          <w:rFonts w:ascii="Sylfaen" w:hAnsi="Sylfaen"/>
          <w:sz w:val="24"/>
          <w:szCs w:val="24"/>
        </w:rPr>
        <w:lastRenderedPageBreak/>
        <w:t xml:space="preserve">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համար նախատեսված ԱԴԲ-ի սերիաների խառնուկների պարունակության մեջ </w:t>
      </w:r>
      <w:r w:rsidR="00C54D75">
        <w:rPr>
          <w:rFonts w:ascii="Sylfaen" w:hAnsi="Sylfaen"/>
          <w:sz w:val="24"/>
          <w:szCs w:val="24"/>
        </w:rPr>
        <w:t>և</w:t>
      </w:r>
      <w:r w:rsidRPr="003B2786">
        <w:rPr>
          <w:rFonts w:ascii="Sylfaen" w:hAnsi="Sylfaen"/>
          <w:sz w:val="24"/>
          <w:szCs w:val="24"/>
        </w:rPr>
        <w:t xml:space="preserve"> արդյունաբերական սերիաներում:</w:t>
      </w:r>
    </w:p>
    <w:p w14:paraId="4C89E1D5" w14:textId="77777777" w:rsidR="008C76E0" w:rsidRPr="003B2786" w:rsidRDefault="008C76E0" w:rsidP="0047337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S.4.5.</w:t>
      </w:r>
      <w:r w:rsidRPr="003B2786">
        <w:rPr>
          <w:rFonts w:ascii="Sylfaen" w:hAnsi="Sylfaen"/>
          <w:sz w:val="24"/>
          <w:szCs w:val="24"/>
        </w:rPr>
        <w:tab/>
        <w:t>կետում ներառվել են ստոր</w:t>
      </w:r>
      <w:r w:rsidR="00C54D75">
        <w:rPr>
          <w:rFonts w:ascii="Sylfaen" w:hAnsi="Sylfaen"/>
          <w:sz w:val="24"/>
          <w:szCs w:val="24"/>
        </w:rPr>
        <w:t>և</w:t>
      </w:r>
      <w:r w:rsidRPr="003B2786">
        <w:rPr>
          <w:rFonts w:ascii="Sylfaen" w:hAnsi="Sylfaen"/>
          <w:sz w:val="24"/>
          <w:szCs w:val="24"/>
        </w:rPr>
        <w:t xml:space="preserve"> բերված տեղեկությունները:</w:t>
      </w:r>
    </w:p>
    <w:p w14:paraId="60A97507"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Ընդունելիության չափանիշների թույլատրելի ընդգրկույթի որոշման հիմքում ընկած՝ ներկայացվող հիմնավորման նկարագրությունը՝ հաշվի առնելով արտադրության </w:t>
      </w:r>
      <w:r w:rsidR="00C54D75">
        <w:rPr>
          <w:rFonts w:ascii="Sylfaen" w:hAnsi="Sylfaen"/>
          <w:sz w:val="24"/>
          <w:szCs w:val="24"/>
        </w:rPr>
        <w:t>և</w:t>
      </w:r>
      <w:r w:rsidRPr="003B2786">
        <w:rPr>
          <w:rFonts w:ascii="Sylfaen" w:hAnsi="Sylfaen"/>
          <w:sz w:val="24"/>
          <w:szCs w:val="24"/>
        </w:rPr>
        <w:t xml:space="preserve"> մաքրման ամբողջական պրոցեսը, ինչպես նա</w:t>
      </w:r>
      <w:r w:rsidR="00C54D75">
        <w:rPr>
          <w:rFonts w:ascii="Sylfaen" w:hAnsi="Sylfaen"/>
          <w:sz w:val="24"/>
          <w:szCs w:val="24"/>
        </w:rPr>
        <w:t>և</w:t>
      </w:r>
      <w:r w:rsidRPr="003B2786">
        <w:rPr>
          <w:rFonts w:ascii="Sylfaen" w:hAnsi="Sylfaen"/>
          <w:sz w:val="24"/>
          <w:szCs w:val="24"/>
        </w:rPr>
        <w:t xml:space="preserve"> օգտագործված վերլուծական մեթոդիկաները: Ընդունելիության չափանիշները պետք է հաստատվեն </w:t>
      </w:r>
      <w:r w:rsidR="00C54D75">
        <w:rPr>
          <w:rFonts w:ascii="Sylfaen" w:hAnsi="Sylfaen"/>
          <w:sz w:val="24"/>
          <w:szCs w:val="24"/>
        </w:rPr>
        <w:t>և</w:t>
      </w:r>
      <w:r w:rsidRPr="003B2786">
        <w:rPr>
          <w:rFonts w:ascii="Sylfaen" w:hAnsi="Sylfaen"/>
          <w:sz w:val="24"/>
          <w:szCs w:val="24"/>
        </w:rPr>
        <w:t xml:space="preserve"> հիմնավորվեն նախակլինիկական </w:t>
      </w:r>
      <w:r w:rsidR="00C54D75">
        <w:rPr>
          <w:rFonts w:ascii="Sylfaen" w:hAnsi="Sylfaen"/>
          <w:sz w:val="24"/>
          <w:szCs w:val="24"/>
        </w:rPr>
        <w:t>և</w:t>
      </w:r>
      <w:r w:rsidRPr="003B2786">
        <w:rPr>
          <w:rFonts w:ascii="Sylfaen" w:hAnsi="Sylfaen"/>
          <w:sz w:val="24"/>
          <w:szCs w:val="24"/>
        </w:rPr>
        <w:t xml:space="preserve"> (կամ) կլինիկական հետազոտություններում օգտագործված սերիաների տվյալների, արտադրական պրոցեսի շարունակականությունը հաստատելու համար օգտագործված սերիաների տվյալների, ինչպես նա</w:t>
      </w:r>
      <w:r w:rsidR="00C54D75">
        <w:rPr>
          <w:rFonts w:ascii="Sylfaen" w:hAnsi="Sylfaen"/>
          <w:sz w:val="24"/>
          <w:szCs w:val="24"/>
        </w:rPr>
        <w:t>և</w:t>
      </w:r>
      <w:r w:rsidRPr="003B2786">
        <w:rPr>
          <w:rFonts w:ascii="Sylfaen" w:hAnsi="Sylfaen"/>
          <w:sz w:val="24"/>
          <w:szCs w:val="24"/>
        </w:rPr>
        <w:t xml:space="preserve"> կայունության փորձարկումների տվյալների </w:t>
      </w:r>
      <w:r w:rsidR="00C54D75">
        <w:rPr>
          <w:rFonts w:ascii="Sylfaen" w:hAnsi="Sylfaen"/>
          <w:sz w:val="24"/>
          <w:szCs w:val="24"/>
        </w:rPr>
        <w:t>և</w:t>
      </w:r>
      <w:r w:rsidRPr="003B2786">
        <w:rPr>
          <w:rFonts w:ascii="Sylfaen" w:hAnsi="Sylfaen"/>
          <w:sz w:val="24"/>
          <w:szCs w:val="24"/>
        </w:rPr>
        <w:t xml:space="preserve"> մշակման վերաբերյալ համապատասխան տվյալների հիման վրա:</w:t>
      </w:r>
    </w:p>
    <w:p w14:paraId="5FFB86C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Որոշ դեպքերում առավել նպատակահարմար </w:t>
      </w:r>
      <w:r w:rsidR="00C54D75">
        <w:rPr>
          <w:rFonts w:ascii="Sylfaen" w:hAnsi="Sylfaen"/>
          <w:sz w:val="24"/>
          <w:szCs w:val="24"/>
        </w:rPr>
        <w:t>և</w:t>
      </w:r>
      <w:r w:rsidRPr="003B2786">
        <w:rPr>
          <w:rFonts w:ascii="Sylfaen" w:hAnsi="Sylfaen"/>
          <w:sz w:val="24"/>
          <w:szCs w:val="24"/>
        </w:rPr>
        <w:t xml:space="preserve"> ընդունելի է փորձարկումներ անցկացնել ոչ թե պատրաստի ԱԴԲ-ների կամ ԴՊ-ների վրա, այլ արտադրության փուլերում: Այդպիսի դեպքերում փորձարկումների արդյունքները պետք է դիտարկվեն որպես ներարտադրական պրոցեսի ընդունելիության չափանիշներ </w:t>
      </w:r>
      <w:r w:rsidR="00C54D75">
        <w:rPr>
          <w:rFonts w:ascii="Sylfaen" w:hAnsi="Sylfaen"/>
          <w:sz w:val="24"/>
          <w:szCs w:val="24"/>
        </w:rPr>
        <w:t>և</w:t>
      </w:r>
      <w:r w:rsidRPr="003B2786">
        <w:rPr>
          <w:rFonts w:ascii="Sylfaen" w:hAnsi="Sylfaen"/>
          <w:sz w:val="24"/>
          <w:szCs w:val="24"/>
        </w:rPr>
        <w:t xml:space="preserve"> ներառվեն ԱԴԲ-ի կամ ԴՊ-ի մասնագրում՝ Միության կամ տարածաշրջանային լիազորված մարմինների պահանջներին համապատասխան:</w:t>
      </w:r>
    </w:p>
    <w:p w14:paraId="4F6E561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Փորձագետը պետք է որոշի, թե արդյոք հայտատուն մշակման էտապում օգտագործված մեթոդների ամբողջ ծավալից ընտրել է մեթոդների համապատասխան համալիր, որը պետք է կիրառվի ԱԴԲ-ի հատկորոշման ցուցանիշների ընթացիկ հսկողության </w:t>
      </w:r>
      <w:r w:rsidR="00C54D75">
        <w:rPr>
          <w:rFonts w:ascii="Sylfaen" w:hAnsi="Sylfaen"/>
          <w:sz w:val="24"/>
          <w:szCs w:val="24"/>
        </w:rPr>
        <w:t>և</w:t>
      </w:r>
      <w:r w:rsidRPr="003B2786">
        <w:rPr>
          <w:rFonts w:ascii="Sylfaen" w:hAnsi="Sylfaen"/>
          <w:sz w:val="24"/>
          <w:szCs w:val="24"/>
        </w:rPr>
        <w:t xml:space="preserve"> արտադրանքի բնութագրերի որոշման համար: </w:t>
      </w:r>
    </w:p>
    <w:p w14:paraId="56E96302" w14:textId="77777777" w:rsidR="008C76E0"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3.5.</w:t>
      </w:r>
      <w:r>
        <w:rPr>
          <w:rFonts w:ascii="Sylfaen" w:hAnsi="Sylfaen"/>
          <w:sz w:val="24"/>
          <w:szCs w:val="24"/>
        </w:rPr>
        <w:tab/>
      </w:r>
      <w:r w:rsidRPr="003B2786">
        <w:rPr>
          <w:rFonts w:ascii="Sylfaen" w:hAnsi="Sylfaen"/>
          <w:sz w:val="24"/>
          <w:szCs w:val="24"/>
        </w:rPr>
        <w:t>Ստանդարտ նմուշները կամ նյութերը (մոդուլ 3.2.S.5)</w:t>
      </w:r>
    </w:p>
    <w:p w14:paraId="52881579"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p>
    <w:p w14:paraId="49ACA351" w14:textId="77777777" w:rsidR="00473371" w:rsidRDefault="00473371">
      <w:pPr>
        <w:widowControl/>
        <w:rPr>
          <w:rFonts w:ascii="Sylfaen" w:hAnsi="Sylfaen"/>
          <w:sz w:val="24"/>
          <w:szCs w:val="24"/>
        </w:rPr>
      </w:pPr>
      <w:r>
        <w:rPr>
          <w:rFonts w:ascii="Sylfaen" w:hAnsi="Sylfaen"/>
          <w:sz w:val="24"/>
          <w:szCs w:val="24"/>
        </w:rPr>
        <w:br w:type="page"/>
      </w:r>
    </w:p>
    <w:p w14:paraId="7F022487"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lastRenderedPageBreak/>
        <w:t>Նոր կամ հայտնի քիմիական միացությունները:</w:t>
      </w:r>
    </w:p>
    <w:p w14:paraId="1040418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Նշել, թե արդյոք հասանելի են հիմնական դեղագրքերի ստանդարտ նմուշները՝ Եվրասիական տնտեսական հանձնաժողովի կողմից հաստատվող՝ Եվրասիական տնտեսական միության անդամ պետությունների դեղագրքերի ներդաշնակեցման հայեցակարգին համապատասխան:</w:t>
      </w:r>
    </w:p>
    <w:p w14:paraId="0C1EED3B" w14:textId="77777777" w:rsidR="008C76E0" w:rsidRPr="003B2786" w:rsidRDefault="008C76E0" w:rsidP="00473371">
      <w:pPr>
        <w:spacing w:after="160" w:line="360" w:lineRule="auto"/>
        <w:ind w:firstLine="567"/>
        <w:jc w:val="both"/>
        <w:rPr>
          <w:rFonts w:ascii="Sylfaen" w:hAnsi="Sylfaen"/>
          <w:sz w:val="24"/>
          <w:szCs w:val="24"/>
        </w:rPr>
      </w:pPr>
    </w:p>
    <w:p w14:paraId="197F965A" w14:textId="77777777" w:rsidR="008C76E0" w:rsidRPr="003B2786" w:rsidRDefault="008C76E0" w:rsidP="00473371">
      <w:pPr>
        <w:spacing w:after="160" w:line="360" w:lineRule="auto"/>
        <w:ind w:right="-1" w:firstLine="567"/>
        <w:jc w:val="center"/>
        <w:rPr>
          <w:rFonts w:ascii="Sylfaen" w:hAnsi="Sylfaen"/>
          <w:sz w:val="24"/>
          <w:szCs w:val="24"/>
        </w:rPr>
      </w:pPr>
      <w:r w:rsidRPr="003B2786">
        <w:rPr>
          <w:rFonts w:ascii="Sylfaen" w:hAnsi="Sylfaen"/>
          <w:sz w:val="24"/>
          <w:szCs w:val="24"/>
        </w:rPr>
        <w:t>Կենսատեխնոլոգիական պատրաստուկներ</w:t>
      </w:r>
    </w:p>
    <w:p w14:paraId="4EB7AAB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Նոր մոլեկուլյար նյութերի գրանցման վերաբերյալ հայտերի ներկայացման առումով կիրառվող միջազգային կամ ազգային ստանդարտ նմուշի առկայությունը քիչ հավանական է:</w:t>
      </w:r>
    </w:p>
    <w:p w14:paraId="771D659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Հայտ ներկայացնելու պահին արտադրողը պետք է համապատասխան ձ</w:t>
      </w:r>
      <w:r w:rsidR="00C54D75">
        <w:rPr>
          <w:rFonts w:ascii="Sylfaen" w:hAnsi="Sylfaen"/>
          <w:sz w:val="24"/>
          <w:szCs w:val="24"/>
        </w:rPr>
        <w:t>և</w:t>
      </w:r>
      <w:r w:rsidRPr="003B2786">
        <w:rPr>
          <w:rFonts w:ascii="Sylfaen" w:hAnsi="Sylfaen"/>
          <w:sz w:val="24"/>
          <w:szCs w:val="24"/>
        </w:rPr>
        <w:t xml:space="preserve">ով հաստատի բնութագրված ներքին ստանդարտ ելանյութերը՝ ներկայացուցչական արտադրական ընտրանք հանդիսացող </w:t>
      </w:r>
      <w:r w:rsidR="00C54D75">
        <w:rPr>
          <w:rFonts w:ascii="Sylfaen" w:hAnsi="Sylfaen"/>
          <w:sz w:val="24"/>
          <w:szCs w:val="24"/>
        </w:rPr>
        <w:t>և</w:t>
      </w:r>
      <w:r w:rsidRPr="003B2786">
        <w:rPr>
          <w:rFonts w:ascii="Sylfaen" w:hAnsi="Sylfaen"/>
          <w:sz w:val="24"/>
          <w:szCs w:val="24"/>
        </w:rPr>
        <w:t xml:space="preserve"> կլինիկական հետազոտություններում օգտագործված սերիաների հիման վրա: Ելքային արտադրանքի սերիաները փորձարկելիս օգտագործված սեփական աշխատանքային ստանդարտ նյութերը ենթակա են ստանդարտացման (ատեստավորման)՝ տվյալ ստանդարտ ելանյութի օգտագործմամբ:</w:t>
      </w:r>
    </w:p>
    <w:p w14:paraId="3DCFC27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Միջազգային կամ ազգային ստանդարտի առկայության կամ կիրառման նպատակահարմարության դեպքում ստանդարտ նյութերի ստանդարտացումը (ատեստավորումը) հարկ է անցկացնել տվյալ ստանդարտների օգտագործմամբ: Թեպետ կենսաբանական վերլուծությունների </w:t>
      </w:r>
      <w:r w:rsidR="00C54D75">
        <w:rPr>
          <w:rFonts w:ascii="Sylfaen" w:hAnsi="Sylfaen"/>
          <w:sz w:val="24"/>
          <w:szCs w:val="24"/>
        </w:rPr>
        <w:t>և</w:t>
      </w:r>
      <w:r w:rsidRPr="003B2786">
        <w:rPr>
          <w:rFonts w:ascii="Sylfaen" w:hAnsi="Sylfaen"/>
          <w:sz w:val="24"/>
          <w:szCs w:val="24"/>
        </w:rPr>
        <w:t xml:space="preserve"> ֆիզիկաքիմիական փորձարկումների համար առավել նախընտրելի է օգտագործել մի</w:t>
      </w:r>
      <w:r w:rsidR="00C54D75">
        <w:rPr>
          <w:rFonts w:ascii="Sylfaen" w:hAnsi="Sylfaen"/>
          <w:sz w:val="24"/>
          <w:szCs w:val="24"/>
        </w:rPr>
        <w:t>և</w:t>
      </w:r>
      <w:r w:rsidRPr="003B2786">
        <w:rPr>
          <w:rFonts w:ascii="Sylfaen" w:hAnsi="Sylfaen"/>
          <w:sz w:val="24"/>
          <w:szCs w:val="24"/>
        </w:rPr>
        <w:t xml:space="preserve">նույն ստանդարտ նյութը, որոշ դեպքերում կարող է պահանջվել տարբեր ստանդարտ նյութերի կիրառում: </w:t>
      </w:r>
    </w:p>
    <w:p w14:paraId="6663993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Բացի այդ, հարակից միացությունների, հարակից խառնուկների </w:t>
      </w:r>
      <w:r w:rsidR="00C54D75">
        <w:rPr>
          <w:rFonts w:ascii="Sylfaen" w:hAnsi="Sylfaen"/>
          <w:sz w:val="24"/>
          <w:szCs w:val="24"/>
        </w:rPr>
        <w:t>և</w:t>
      </w:r>
      <w:r w:rsidRPr="003B2786">
        <w:rPr>
          <w:rFonts w:ascii="Sylfaen" w:hAnsi="Sylfaen"/>
          <w:sz w:val="24"/>
          <w:szCs w:val="24"/>
        </w:rPr>
        <w:t xml:space="preserve"> տեխնոլոգիական խառնուկների որոշման համար կարող են պահանջվել տարբեր ստանդարտ նյութեր:</w:t>
      </w:r>
    </w:p>
    <w:p w14:paraId="15F96185"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lastRenderedPageBreak/>
        <w:t xml:space="preserve">Կիրառելի դեպքերում կարող է պահանջվել, որ գրանցման դոսյեում ներառվի ստանդարտ նյութերի արտադրության </w:t>
      </w:r>
      <w:r w:rsidR="00C54D75">
        <w:rPr>
          <w:rFonts w:ascii="Sylfaen" w:hAnsi="Sylfaen"/>
          <w:sz w:val="24"/>
          <w:szCs w:val="24"/>
        </w:rPr>
        <w:t>և</w:t>
      </w:r>
      <w:r w:rsidRPr="003B2786">
        <w:rPr>
          <w:rFonts w:ascii="Sylfaen" w:hAnsi="Sylfaen"/>
          <w:sz w:val="24"/>
          <w:szCs w:val="24"/>
        </w:rPr>
        <w:t xml:space="preserve"> (կամ) մաքրման պրոցեսի նկարագրությունը: Նա</w:t>
      </w:r>
      <w:r w:rsidR="00C54D75">
        <w:rPr>
          <w:rFonts w:ascii="Sylfaen" w:hAnsi="Sylfaen"/>
          <w:sz w:val="24"/>
          <w:szCs w:val="24"/>
        </w:rPr>
        <w:t>և</w:t>
      </w:r>
      <w:r w:rsidRPr="003B2786">
        <w:rPr>
          <w:rFonts w:ascii="Sylfaen" w:hAnsi="Sylfaen"/>
          <w:sz w:val="24"/>
          <w:szCs w:val="24"/>
        </w:rPr>
        <w:t xml:space="preserve"> անհրաժեշտ է ներկայացնել բնութագրերի, պահպանման պայմանների </w:t>
      </w:r>
      <w:r w:rsidR="00C54D75">
        <w:rPr>
          <w:rFonts w:ascii="Sylfaen" w:hAnsi="Sylfaen"/>
          <w:sz w:val="24"/>
          <w:szCs w:val="24"/>
        </w:rPr>
        <w:t>և</w:t>
      </w:r>
      <w:r w:rsidRPr="003B2786">
        <w:rPr>
          <w:rFonts w:ascii="Sylfaen" w:hAnsi="Sylfaen"/>
          <w:sz w:val="24"/>
          <w:szCs w:val="24"/>
        </w:rPr>
        <w:t xml:space="preserve"> բաղադրության վերաբերյալ ստանդարտ նյութերի կայունությունն ապահովող փաստաթղթեր:</w:t>
      </w:r>
    </w:p>
    <w:p w14:paraId="1B1EE7F0"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Կենսանման դեղամիջոցի համար անհրաժեշտ է ներկայացնել ակտիվ դեղագործական բաղադրամասի (ԱԴԲ) հատկությունների համադրելիության հետազոտության արդյունքները: Համապատասխան դեպքերում անհրաժեշտ է հաստատել 3.2.Р.6 բաժնում նշված ռեֆերենտ</w:t>
      </w:r>
      <w:r w:rsidRPr="003B2786" w:rsidDel="008C67E8">
        <w:rPr>
          <w:rFonts w:ascii="Sylfaen" w:hAnsi="Sylfaen"/>
          <w:sz w:val="24"/>
          <w:szCs w:val="24"/>
        </w:rPr>
        <w:t xml:space="preserve"> </w:t>
      </w:r>
      <w:r w:rsidRPr="003B2786">
        <w:rPr>
          <w:rFonts w:ascii="Sylfaen" w:hAnsi="Sylfaen"/>
          <w:sz w:val="24"/>
          <w:szCs w:val="24"/>
        </w:rPr>
        <w:t>դեղապատրաստուկի ԱԴԲ-ն:</w:t>
      </w:r>
    </w:p>
    <w:p w14:paraId="0BB493A5" w14:textId="77777777" w:rsidR="008C76E0" w:rsidRPr="003B2786" w:rsidRDefault="008C76E0" w:rsidP="00473371">
      <w:pPr>
        <w:tabs>
          <w:tab w:val="left" w:pos="1134"/>
        </w:tabs>
        <w:spacing w:after="160" w:line="384" w:lineRule="auto"/>
        <w:ind w:firstLine="567"/>
        <w:jc w:val="both"/>
        <w:outlineLvl w:val="0"/>
        <w:rPr>
          <w:rFonts w:ascii="Sylfaen" w:hAnsi="Sylfaen"/>
          <w:sz w:val="24"/>
          <w:szCs w:val="24"/>
        </w:rPr>
      </w:pPr>
      <w:r w:rsidRPr="003B2786">
        <w:rPr>
          <w:rFonts w:ascii="Sylfaen" w:hAnsi="Sylfaen"/>
          <w:sz w:val="24"/>
          <w:szCs w:val="24"/>
        </w:rPr>
        <w:t>3.6.</w:t>
      </w:r>
      <w:r>
        <w:rPr>
          <w:rFonts w:ascii="Sylfaen" w:hAnsi="Sylfaen"/>
          <w:sz w:val="24"/>
          <w:szCs w:val="24"/>
        </w:rPr>
        <w:tab/>
      </w:r>
      <w:r w:rsidRPr="003B2786">
        <w:rPr>
          <w:rFonts w:ascii="Sylfaen" w:hAnsi="Sylfaen"/>
          <w:sz w:val="24"/>
          <w:szCs w:val="24"/>
        </w:rPr>
        <w:t>Փաթեթավորման (խցանափակման) համակարգը (մոդուլ 3.2.S.6)</w:t>
      </w:r>
    </w:p>
    <w:p w14:paraId="2990CFEC"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 xml:space="preserve">Հարկ է գնահատել կոնտեյների ընտրության </w:t>
      </w:r>
      <w:r w:rsidR="00C54D75">
        <w:rPr>
          <w:rFonts w:ascii="Sylfaen" w:hAnsi="Sylfaen"/>
          <w:sz w:val="24"/>
          <w:szCs w:val="24"/>
        </w:rPr>
        <w:t>և</w:t>
      </w:r>
      <w:r w:rsidRPr="003B2786">
        <w:rPr>
          <w:rFonts w:ascii="Sylfaen" w:hAnsi="Sylfaen"/>
          <w:sz w:val="24"/>
          <w:szCs w:val="24"/>
        </w:rPr>
        <w:t xml:space="preserve"> խցանափակման եղանակի հիմնավորվածությունը՝ հաշվի առնելով ԱԴԲ-ի ֆիզիկական (քիմիական) հատկանիշները:</w:t>
      </w:r>
    </w:p>
    <w:p w14:paraId="3385664E"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Տվյալ պարամետրի կար</w:t>
      </w:r>
      <w:r w:rsidR="00C54D75">
        <w:rPr>
          <w:rFonts w:ascii="Sylfaen" w:hAnsi="Sylfaen"/>
          <w:sz w:val="24"/>
          <w:szCs w:val="24"/>
        </w:rPr>
        <w:t>և</w:t>
      </w:r>
      <w:r w:rsidRPr="003B2786">
        <w:rPr>
          <w:rFonts w:ascii="Sylfaen" w:hAnsi="Sylfaen"/>
          <w:sz w:val="24"/>
          <w:szCs w:val="24"/>
        </w:rPr>
        <w:t>որության դեպքում հարկ է գնահատել, թե արդյոք տվյալ ընտրությամբ ապահովվում է մանրէային կոնտամինացիայից պատշաճ պաշտպանությունը:</w:t>
      </w:r>
    </w:p>
    <w:p w14:paraId="1FB28273"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Անհրաժեշտ է հաստատել, որ ընթացիկ պահպանման համար առաջարկվող կոնտեյներները համընկնում են այն կոնտեյներների հետ, որոնք օգտագործվել են կրկնակի փորձարկումների առաջարկվող ժամանակահատվածի հիմնավորմանն ուղղված կայունության հետազոտություններում (բաժին S.7):</w:t>
      </w:r>
    </w:p>
    <w:p w14:paraId="1E432D87" w14:textId="77777777" w:rsidR="008C76E0" w:rsidRPr="003B2786" w:rsidRDefault="008C76E0" w:rsidP="00473371">
      <w:pPr>
        <w:tabs>
          <w:tab w:val="left" w:pos="1134"/>
        </w:tabs>
        <w:spacing w:after="160" w:line="384" w:lineRule="auto"/>
        <w:ind w:firstLine="567"/>
        <w:jc w:val="both"/>
        <w:outlineLvl w:val="0"/>
        <w:rPr>
          <w:rFonts w:ascii="Sylfaen" w:hAnsi="Sylfaen"/>
          <w:sz w:val="24"/>
          <w:szCs w:val="24"/>
        </w:rPr>
      </w:pPr>
      <w:r w:rsidRPr="003B2786">
        <w:rPr>
          <w:rFonts w:ascii="Sylfaen" w:hAnsi="Sylfaen"/>
          <w:sz w:val="24"/>
          <w:szCs w:val="24"/>
        </w:rPr>
        <w:t>3.7.</w:t>
      </w:r>
      <w:r>
        <w:rPr>
          <w:rFonts w:ascii="Sylfaen" w:hAnsi="Sylfaen"/>
          <w:sz w:val="24"/>
          <w:szCs w:val="24"/>
        </w:rPr>
        <w:tab/>
      </w:r>
      <w:r w:rsidRPr="003B2786">
        <w:rPr>
          <w:rFonts w:ascii="Sylfaen" w:hAnsi="Sylfaen"/>
          <w:sz w:val="24"/>
          <w:szCs w:val="24"/>
        </w:rPr>
        <w:t>Կայունությունը (մոդուլ 3.2.S.7)</w:t>
      </w:r>
    </w:p>
    <w:p w14:paraId="12364CEB"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Տվյալ բաժնում հարկ է արտացոլել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ուսումնասիրության արդյունքները՝</w:t>
      </w:r>
    </w:p>
    <w:p w14:paraId="483181AD" w14:textId="77777777" w:rsidR="008C76E0" w:rsidRPr="003B2786" w:rsidRDefault="008C76E0" w:rsidP="00473371">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S.7.1.</w:t>
      </w:r>
      <w:r w:rsidRPr="003B2786">
        <w:rPr>
          <w:rFonts w:ascii="Sylfaen" w:hAnsi="Sylfaen"/>
          <w:sz w:val="24"/>
          <w:szCs w:val="24"/>
        </w:rPr>
        <w:tab/>
        <w:t xml:space="preserve">Կայունության փորձարկումների վերաբերյալ ռեզյումեն </w:t>
      </w:r>
      <w:r w:rsidR="00C54D75">
        <w:rPr>
          <w:rFonts w:ascii="Sylfaen" w:hAnsi="Sylfaen"/>
          <w:sz w:val="24"/>
          <w:szCs w:val="24"/>
        </w:rPr>
        <w:t>և</w:t>
      </w:r>
      <w:r w:rsidRPr="003B2786">
        <w:rPr>
          <w:rFonts w:ascii="Sylfaen" w:hAnsi="Sylfaen"/>
          <w:sz w:val="24"/>
          <w:szCs w:val="24"/>
        </w:rPr>
        <w:t xml:space="preserve"> կայունության վերաբերյալ եզրակացությունը,</w:t>
      </w:r>
    </w:p>
    <w:p w14:paraId="2E48AD6E" w14:textId="77777777" w:rsidR="008C76E0" w:rsidRPr="003B2786" w:rsidRDefault="008C76E0" w:rsidP="00473371">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lastRenderedPageBreak/>
        <w:t>S.7.2.</w:t>
      </w:r>
      <w:r w:rsidRPr="003B2786">
        <w:rPr>
          <w:rFonts w:ascii="Sylfaen" w:hAnsi="Sylfaen"/>
          <w:sz w:val="24"/>
          <w:szCs w:val="24"/>
        </w:rPr>
        <w:tab/>
        <w:t xml:space="preserve">Կայունության հետգրանցումային փորձարկումների ծրագիրը </w:t>
      </w:r>
      <w:r w:rsidR="00C54D75">
        <w:rPr>
          <w:rFonts w:ascii="Sylfaen" w:hAnsi="Sylfaen"/>
          <w:sz w:val="24"/>
          <w:szCs w:val="24"/>
        </w:rPr>
        <w:t>և</w:t>
      </w:r>
      <w:r w:rsidRPr="003B2786">
        <w:rPr>
          <w:rFonts w:ascii="Sylfaen" w:hAnsi="Sylfaen"/>
          <w:sz w:val="24"/>
          <w:szCs w:val="24"/>
        </w:rPr>
        <w:t xml:space="preserve"> կայունությանը վերաբերող պարտականությունները,</w:t>
      </w:r>
    </w:p>
    <w:p w14:paraId="353217CC"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S.7.3.</w:t>
      </w:r>
      <w:r w:rsidRPr="003B2786">
        <w:rPr>
          <w:rFonts w:ascii="Sylfaen" w:hAnsi="Sylfaen"/>
          <w:sz w:val="24"/>
          <w:szCs w:val="24"/>
        </w:rPr>
        <w:tab/>
        <w:t>Կայունության վերաբերյալ փորձարկումների տվյալները:</w:t>
      </w:r>
    </w:p>
    <w:p w14:paraId="5DC7C7D9"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Հարկ է նշել, թե արդյոք հետազոտություններն անցկացվել են Միության գործող ձեռնարկներին կամ Միջազգային ներդաշնակեցման համաժողովի (ICH) կողմից կիրառվող ձեռնարկներին համապատասխան: Անհրաժեշտ է ընդգծել շեղումների առկայությունը </w:t>
      </w:r>
      <w:r w:rsidR="00C54D75">
        <w:rPr>
          <w:rFonts w:ascii="Sylfaen" w:hAnsi="Sylfaen"/>
          <w:sz w:val="24"/>
          <w:szCs w:val="24"/>
        </w:rPr>
        <w:t>և</w:t>
      </w:r>
      <w:r w:rsidRPr="003B2786">
        <w:rPr>
          <w:rFonts w:ascii="Sylfaen" w:hAnsi="Sylfaen"/>
          <w:sz w:val="24"/>
          <w:szCs w:val="24"/>
        </w:rPr>
        <w:t xml:space="preserve"> դրանց հիմնավորվածությունը:</w:t>
      </w:r>
    </w:p>
    <w:p w14:paraId="544AA86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Ռեզյումեն </w:t>
      </w:r>
      <w:r w:rsidR="00C54D75">
        <w:rPr>
          <w:rFonts w:ascii="Sylfaen" w:hAnsi="Sylfaen"/>
          <w:sz w:val="24"/>
          <w:szCs w:val="24"/>
        </w:rPr>
        <w:t>և</w:t>
      </w:r>
      <w:r w:rsidRPr="003B2786">
        <w:rPr>
          <w:rFonts w:ascii="Sylfaen" w:hAnsi="Sylfaen"/>
          <w:sz w:val="24"/>
          <w:szCs w:val="24"/>
        </w:rPr>
        <w:t xml:space="preserve"> կայունության վերաբերյալ եզրակացությունը. հարկ է հղումներ բերել արտադրության մեջ ցանկացած տարբերությանը, ինչպես նա</w:t>
      </w:r>
      <w:r w:rsidR="00C54D75">
        <w:rPr>
          <w:rFonts w:ascii="Sylfaen" w:hAnsi="Sylfaen"/>
          <w:sz w:val="24"/>
          <w:szCs w:val="24"/>
        </w:rPr>
        <w:t>և</w:t>
      </w:r>
      <w:r w:rsidRPr="003B2786">
        <w:rPr>
          <w:rFonts w:ascii="Sylfaen" w:hAnsi="Sylfaen"/>
          <w:sz w:val="24"/>
          <w:szCs w:val="24"/>
        </w:rPr>
        <w:t xml:space="preserve"> ներկայացնել օգտագործված պրոցեսների նկարագրությունը՝ մեկնաբանություններ կատարելով այն մասին, թե արդյոք դրանք էական ազդեցություն են թողնում կայունության պրոֆիլի վրա:</w:t>
      </w:r>
    </w:p>
    <w:p w14:paraId="4F2B1F5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մեկնաբանել կայունության հետգրանցումային փորձարկումների ծրագրի բավարար լինելը, մասնավորապես՝ որոշված պարամետրերի մասով:</w:t>
      </w:r>
    </w:p>
    <w:p w14:paraId="445EB8C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համոզվել, որ վերլուծական մեթոդիկաների արդյունքները ծառայում են որպես կայունության հուսալի ցուցանիշ (տե՛ս, կետ S.4): Պետք է ընտրվեն այնպիսի վերլուծական մեթոդիկաներ, որոնք հավաստիորեն վկայում են կայունության մասին </w:t>
      </w:r>
      <w:r w:rsidR="00C54D75">
        <w:rPr>
          <w:rFonts w:ascii="Sylfaen" w:hAnsi="Sylfaen"/>
          <w:sz w:val="24"/>
          <w:szCs w:val="24"/>
        </w:rPr>
        <w:t>և</w:t>
      </w:r>
      <w:r w:rsidRPr="003B2786">
        <w:rPr>
          <w:rFonts w:ascii="Sylfaen" w:hAnsi="Sylfaen"/>
          <w:sz w:val="24"/>
          <w:szCs w:val="24"/>
        </w:rPr>
        <w:t xml:space="preserve"> թույլ են տալիս ի հայտ բերել ԱԴԲ-ի որակի ցուցանիշների էական փոփոխությունները:</w:t>
      </w:r>
    </w:p>
    <w:p w14:paraId="00E3988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Մասնավորապես, նոր կամ հայտնի քիմիական ակտիվ նյութերի դեպքում հարկ է համոզվել, որ կայունության հետազոտության ընթացքում օգտագործված կոնտեյներները համընկնում են ընթացիկ պահպանման համար առաջարկված կոնտեյներների հետ (տե՛ս, բաժին S.6), </w:t>
      </w:r>
      <w:r w:rsidR="00C54D75">
        <w:rPr>
          <w:rFonts w:ascii="Sylfaen" w:hAnsi="Sylfaen"/>
          <w:sz w:val="24"/>
          <w:szCs w:val="24"/>
        </w:rPr>
        <w:t>և</w:t>
      </w:r>
      <w:r w:rsidRPr="003B2786">
        <w:rPr>
          <w:rFonts w:ascii="Sylfaen" w:hAnsi="Sylfaen"/>
          <w:sz w:val="24"/>
          <w:szCs w:val="24"/>
        </w:rPr>
        <w:t xml:space="preserve"> հարկ է դա արտացոլել փորձագիտական հաշվետվության մեջ:</w:t>
      </w:r>
    </w:p>
    <w:p w14:paraId="365EBAD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Կրկնակի փորձարկումների համար առաջարկվող ժամանակահատվածի հիմնավորվածության մասին վերջնական եզրահանգումը:</w:t>
      </w:r>
    </w:p>
    <w:p w14:paraId="6B32E7D4"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lastRenderedPageBreak/>
        <w:t>4. Դեղապատրաստուկը (մոդուլ 3.2.Р)</w:t>
      </w:r>
    </w:p>
    <w:p w14:paraId="1AF4A2E2" w14:textId="77777777" w:rsidR="008C76E0" w:rsidRPr="003B2786" w:rsidRDefault="008C76E0" w:rsidP="00473371">
      <w:pPr>
        <w:tabs>
          <w:tab w:val="left" w:pos="1134"/>
        </w:tabs>
        <w:spacing w:after="160" w:line="360" w:lineRule="auto"/>
        <w:ind w:firstLine="567"/>
        <w:outlineLvl w:val="0"/>
        <w:rPr>
          <w:rFonts w:ascii="Sylfaen" w:hAnsi="Sylfaen"/>
          <w:sz w:val="24"/>
          <w:szCs w:val="24"/>
        </w:rPr>
      </w:pPr>
      <w:r w:rsidRPr="003B2786">
        <w:rPr>
          <w:rFonts w:ascii="Sylfaen" w:hAnsi="Sylfaen"/>
          <w:sz w:val="24"/>
          <w:szCs w:val="24"/>
        </w:rPr>
        <w:t>4.1.</w:t>
      </w:r>
      <w:r w:rsidRPr="003B2786">
        <w:rPr>
          <w:rFonts w:ascii="Sylfaen" w:hAnsi="Sylfaen"/>
          <w:sz w:val="24"/>
          <w:szCs w:val="24"/>
        </w:rPr>
        <w:tab/>
        <w:t>Դեղապատրաստուկի նկարագրությունն ու բաղադրությունը (մոդուլ 3.2.Р.1)</w:t>
      </w:r>
    </w:p>
    <w:p w14:paraId="36197D1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Դեղապատրաստուկի բացթողման ձ</w:t>
      </w:r>
      <w:r w:rsidR="00C54D75">
        <w:rPr>
          <w:rFonts w:ascii="Sylfaen" w:hAnsi="Sylfaen"/>
          <w:sz w:val="24"/>
          <w:szCs w:val="24"/>
        </w:rPr>
        <w:t>և</w:t>
      </w:r>
      <w:r w:rsidRPr="003B2786">
        <w:rPr>
          <w:rFonts w:ascii="Sylfaen" w:hAnsi="Sylfaen"/>
          <w:sz w:val="24"/>
          <w:szCs w:val="24"/>
        </w:rPr>
        <w:t xml:space="preserve">ը, այդ թվում՝ ջրիկացուցիչները (լուծիչները), բժշկական արտադրատեսակները </w:t>
      </w:r>
      <w:r w:rsidR="00C54D75">
        <w:rPr>
          <w:rFonts w:ascii="Sylfaen" w:hAnsi="Sylfaen"/>
          <w:sz w:val="24"/>
          <w:szCs w:val="24"/>
        </w:rPr>
        <w:t>և</w:t>
      </w:r>
      <w:r w:rsidRPr="003B2786">
        <w:rPr>
          <w:rFonts w:ascii="Sylfaen" w:hAnsi="Sylfaen"/>
          <w:sz w:val="24"/>
          <w:szCs w:val="24"/>
        </w:rPr>
        <w:t xml:space="preserve"> այլն պետք է հստակ նշված լինեն փորձագիտական հաշվետվության մեջ:</w:t>
      </w:r>
    </w:p>
    <w:p w14:paraId="0AE1802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Եթե դեղապատրաստուկի բացթողման ձ</w:t>
      </w:r>
      <w:r w:rsidR="00C54D75">
        <w:rPr>
          <w:rFonts w:ascii="Sylfaen" w:hAnsi="Sylfaen"/>
          <w:sz w:val="24"/>
          <w:szCs w:val="24"/>
        </w:rPr>
        <w:t>և</w:t>
      </w:r>
      <w:r w:rsidRPr="003B2786">
        <w:rPr>
          <w:rFonts w:ascii="Sylfaen" w:hAnsi="Sylfaen"/>
          <w:sz w:val="24"/>
          <w:szCs w:val="24"/>
        </w:rPr>
        <w:t xml:space="preserve">ում ներառված է բժշկական արտադրատեսակ, հարկ է փորձագիտական հաշվետվության 3.2.R բաժնում հղում կատարել այդ արտադրատեսակի մասին տեղեկատվության առկայությանը: Անհրաժեշտ է ընդգծել Միության շուկայում բժշկական արտադրատեսակների գրանցման առկայությունը </w:t>
      </w:r>
      <w:r w:rsidR="00C54D75">
        <w:rPr>
          <w:rFonts w:ascii="Sylfaen" w:hAnsi="Sylfaen"/>
          <w:sz w:val="24"/>
          <w:szCs w:val="24"/>
        </w:rPr>
        <w:t>և</w:t>
      </w:r>
      <w:r w:rsidRPr="003B2786">
        <w:rPr>
          <w:rFonts w:ascii="Sylfaen" w:hAnsi="Sylfaen"/>
          <w:sz w:val="24"/>
          <w:szCs w:val="24"/>
        </w:rPr>
        <w:t xml:space="preserve"> (կամ) բժշկական արտադրատեսակների վրա Միության շուկայում բժշկական արտադրատեսակների շրջանառության հատուկ նշանի առկայությունը՝ Միության շուկայում բժշկական արտադրատեսակների շրջանառության հատուկ նշանի մասին պահանջներին համապատասխան, ինչպես նա</w:t>
      </w:r>
      <w:r w:rsidR="00C54D75">
        <w:rPr>
          <w:rFonts w:ascii="Sylfaen" w:hAnsi="Sylfaen"/>
          <w:sz w:val="24"/>
          <w:szCs w:val="24"/>
        </w:rPr>
        <w:t>և</w:t>
      </w:r>
      <w:r w:rsidRPr="003B2786">
        <w:rPr>
          <w:rFonts w:ascii="Sylfaen" w:hAnsi="Sylfaen"/>
          <w:sz w:val="24"/>
          <w:szCs w:val="24"/>
        </w:rPr>
        <w:t xml:space="preserve"> հավաստիանալ, որ Միության շրջանակներում բժշկական արտադրատեսակների շրջանառության հատուկ նշանը համապատասխանում է արտադրատեսակի նշանակությանը:</w:t>
      </w:r>
    </w:p>
    <w:p w14:paraId="07FF127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հատուկ ուշադրություն դարձնել փաթեթավորման </w:t>
      </w:r>
      <w:r w:rsidR="00C54D75">
        <w:rPr>
          <w:rFonts w:ascii="Sylfaen" w:hAnsi="Sylfaen"/>
          <w:sz w:val="24"/>
          <w:szCs w:val="24"/>
        </w:rPr>
        <w:t>և</w:t>
      </w:r>
      <w:r w:rsidRPr="003B2786">
        <w:rPr>
          <w:rFonts w:ascii="Sylfaen" w:hAnsi="Sylfaen"/>
          <w:sz w:val="24"/>
          <w:szCs w:val="24"/>
        </w:rPr>
        <w:t xml:space="preserve"> խցանափակման համակարգի բնութագրերին, հատկապես՝ փխրուն (անկայուն) կամ մանրէազերծ պատրաստուկների մասով:</w:t>
      </w:r>
    </w:p>
    <w:p w14:paraId="5F7544F0"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Կենսանման դեղապատրաստուկի մասով հարկ է ուշադրություն դարձնել ռեֆերենտ</w:t>
      </w:r>
      <w:r w:rsidRPr="003B2786" w:rsidDel="008C67E8">
        <w:rPr>
          <w:rFonts w:ascii="Sylfaen" w:hAnsi="Sylfaen"/>
          <w:sz w:val="24"/>
          <w:szCs w:val="24"/>
        </w:rPr>
        <w:t xml:space="preserve"> </w:t>
      </w:r>
      <w:r w:rsidRPr="003B2786">
        <w:rPr>
          <w:rFonts w:ascii="Sylfaen" w:hAnsi="Sylfaen"/>
          <w:sz w:val="24"/>
          <w:szCs w:val="24"/>
        </w:rPr>
        <w:t>դեղապատրաստուկի բաղադրության հետ էական տարբերությունների վրա:</w:t>
      </w:r>
    </w:p>
    <w:p w14:paraId="30E28ADF"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4.2.</w:t>
      </w:r>
      <w:r>
        <w:rPr>
          <w:rFonts w:ascii="Sylfaen" w:hAnsi="Sylfaen"/>
          <w:sz w:val="24"/>
          <w:szCs w:val="24"/>
        </w:rPr>
        <w:tab/>
      </w:r>
      <w:r w:rsidRPr="003B2786">
        <w:rPr>
          <w:rFonts w:ascii="Sylfaen" w:hAnsi="Sylfaen"/>
          <w:sz w:val="24"/>
          <w:szCs w:val="24"/>
        </w:rPr>
        <w:t>Դեղագործական մշակումը (մոդուլ 3.2.Р.2)</w:t>
      </w:r>
    </w:p>
    <w:p w14:paraId="7DF6652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արտացոլվում են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փորձաքննության արդյունքները՝</w:t>
      </w:r>
    </w:p>
    <w:p w14:paraId="70926DD7"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Р.2.1.</w:t>
      </w:r>
      <w:r w:rsidRPr="003B2786">
        <w:rPr>
          <w:rFonts w:ascii="Sylfaen" w:hAnsi="Sylfaen"/>
          <w:sz w:val="24"/>
          <w:szCs w:val="24"/>
        </w:rPr>
        <w:tab/>
        <w:t>Դեղապատրաստուկի բաղադրիչները:</w:t>
      </w:r>
    </w:p>
    <w:p w14:paraId="3C8CBCA1"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Р.2.1.1.</w:t>
      </w:r>
      <w:r w:rsidRPr="003B2786">
        <w:rPr>
          <w:rFonts w:ascii="Sylfaen" w:hAnsi="Sylfaen"/>
          <w:sz w:val="24"/>
          <w:szCs w:val="24"/>
        </w:rPr>
        <w:tab/>
        <w:t>Ակտիվ դեղագործական բաղադրամասը:</w:t>
      </w:r>
    </w:p>
    <w:p w14:paraId="7E2D3923"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Р.2.1.2.</w:t>
      </w:r>
      <w:r w:rsidRPr="003B2786">
        <w:rPr>
          <w:rFonts w:ascii="Sylfaen" w:hAnsi="Sylfaen"/>
          <w:sz w:val="24"/>
          <w:szCs w:val="24"/>
        </w:rPr>
        <w:tab/>
        <w:t>Օժանդակ նյութերը:</w:t>
      </w:r>
    </w:p>
    <w:p w14:paraId="27F5ECF3"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Р.2.2.</w:t>
      </w:r>
      <w:r w:rsidRPr="003B2786">
        <w:rPr>
          <w:rFonts w:ascii="Sylfaen" w:hAnsi="Sylfaen"/>
          <w:sz w:val="24"/>
          <w:szCs w:val="24"/>
        </w:rPr>
        <w:tab/>
        <w:t>Դեղապատրաստուկը:</w:t>
      </w:r>
    </w:p>
    <w:p w14:paraId="208FFC39"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Р.2.2.1.</w:t>
      </w:r>
      <w:r w:rsidRPr="003B2786">
        <w:rPr>
          <w:rFonts w:ascii="Sylfaen" w:hAnsi="Sylfaen"/>
          <w:sz w:val="24"/>
          <w:szCs w:val="24"/>
        </w:rPr>
        <w:tab/>
        <w:t>Դեղաձ</w:t>
      </w:r>
      <w:r w:rsidR="00C54D75">
        <w:rPr>
          <w:rFonts w:ascii="Sylfaen" w:hAnsi="Sylfaen"/>
          <w:sz w:val="24"/>
          <w:szCs w:val="24"/>
        </w:rPr>
        <w:t>և</w:t>
      </w:r>
      <w:r w:rsidRPr="003B2786">
        <w:rPr>
          <w:rFonts w:ascii="Sylfaen" w:hAnsi="Sylfaen"/>
          <w:sz w:val="24"/>
          <w:szCs w:val="24"/>
        </w:rPr>
        <w:t>ի մշակումը:</w:t>
      </w:r>
    </w:p>
    <w:p w14:paraId="4ECBD74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Р.2.2.2.</w:t>
      </w:r>
      <w:r w:rsidRPr="003B2786">
        <w:rPr>
          <w:rFonts w:ascii="Sylfaen" w:hAnsi="Sylfaen"/>
          <w:sz w:val="24"/>
          <w:szCs w:val="24"/>
        </w:rPr>
        <w:tab/>
        <w:t>Արտադրական ավելցուկները:</w:t>
      </w:r>
    </w:p>
    <w:p w14:paraId="7D0F481C"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Р.2.2.3.</w:t>
      </w:r>
      <w:r w:rsidRPr="003B2786">
        <w:rPr>
          <w:rFonts w:ascii="Sylfaen" w:hAnsi="Sylfaen"/>
          <w:sz w:val="24"/>
          <w:szCs w:val="24"/>
        </w:rPr>
        <w:tab/>
        <w:t xml:space="preserve">Ֆիզիկաքիմիական </w:t>
      </w:r>
      <w:r w:rsidR="00C54D75">
        <w:rPr>
          <w:rFonts w:ascii="Sylfaen" w:hAnsi="Sylfaen"/>
          <w:sz w:val="24"/>
          <w:szCs w:val="24"/>
        </w:rPr>
        <w:t>և</w:t>
      </w:r>
      <w:r w:rsidRPr="003B2786">
        <w:rPr>
          <w:rFonts w:ascii="Sylfaen" w:hAnsi="Sylfaen"/>
          <w:sz w:val="24"/>
          <w:szCs w:val="24"/>
        </w:rPr>
        <w:t xml:space="preserve"> կենսաբանական հատկությունները:</w:t>
      </w:r>
    </w:p>
    <w:p w14:paraId="4E4E61A4"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Р.2.3.</w:t>
      </w:r>
      <w:r w:rsidRPr="003B2786">
        <w:rPr>
          <w:rFonts w:ascii="Sylfaen" w:hAnsi="Sylfaen"/>
          <w:sz w:val="24"/>
          <w:szCs w:val="24"/>
        </w:rPr>
        <w:tab/>
        <w:t>Արտադրական պրոցեսի մշակումը:</w:t>
      </w:r>
    </w:p>
    <w:p w14:paraId="3004BA01"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Р.2.4.</w:t>
      </w:r>
      <w:r w:rsidRPr="003B2786">
        <w:rPr>
          <w:rFonts w:ascii="Sylfaen" w:hAnsi="Sylfaen"/>
          <w:sz w:val="24"/>
          <w:szCs w:val="24"/>
        </w:rPr>
        <w:tab/>
        <w:t>Փաթեթավորման (խցանափակման) համակարգը:</w:t>
      </w:r>
    </w:p>
    <w:p w14:paraId="406081A5"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Р.2.5.</w:t>
      </w:r>
      <w:r w:rsidRPr="003B2786">
        <w:rPr>
          <w:rFonts w:ascii="Sylfaen" w:hAnsi="Sylfaen"/>
          <w:sz w:val="24"/>
          <w:szCs w:val="24"/>
        </w:rPr>
        <w:tab/>
        <w:t>Միկրոկենսաբանական բնութագրերը:</w:t>
      </w:r>
    </w:p>
    <w:p w14:paraId="515A6325"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Р.2.6.</w:t>
      </w:r>
      <w:r w:rsidRPr="003B2786">
        <w:rPr>
          <w:rFonts w:ascii="Sylfaen" w:hAnsi="Sylfaen"/>
          <w:sz w:val="24"/>
          <w:szCs w:val="24"/>
        </w:rPr>
        <w:tab/>
        <w:t>Համատեղելիությունը:</w:t>
      </w:r>
    </w:p>
    <w:p w14:paraId="139A51DE" w14:textId="77777777" w:rsidR="008C76E0" w:rsidRPr="003B2786" w:rsidRDefault="008C76E0" w:rsidP="00473371">
      <w:pPr>
        <w:spacing w:after="160" w:line="360" w:lineRule="auto"/>
        <w:ind w:firstLine="567"/>
        <w:jc w:val="center"/>
        <w:rPr>
          <w:rFonts w:ascii="Sylfaen" w:hAnsi="Sylfaen"/>
          <w:sz w:val="24"/>
          <w:szCs w:val="24"/>
        </w:rPr>
      </w:pPr>
    </w:p>
    <w:p w14:paraId="224379CE"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Դեղապատրաստուկի բաղադրիչները</w:t>
      </w:r>
    </w:p>
    <w:p w14:paraId="11A4AA9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ԱԴԲ-ի համար հարկ է նշել, թե արդյոք հայտատուի կողմից որոշված են պացիենտի համար կլինիկորեն նշանակալի ֆիզիկաքիմիական հատկությունները: </w:t>
      </w:r>
    </w:p>
    <w:p w14:paraId="7531BCD2"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տվյալ հատկությունները պատշաճ կերպով արտացոլված են մասնագրում </w:t>
      </w:r>
      <w:r w:rsidR="00C54D75">
        <w:rPr>
          <w:rFonts w:ascii="Sylfaen" w:hAnsi="Sylfaen"/>
          <w:sz w:val="24"/>
          <w:szCs w:val="24"/>
        </w:rPr>
        <w:t>և</w:t>
      </w:r>
      <w:r w:rsidRPr="003B2786">
        <w:rPr>
          <w:rFonts w:ascii="Sylfaen" w:hAnsi="Sylfaen"/>
          <w:sz w:val="24"/>
          <w:szCs w:val="24"/>
        </w:rPr>
        <w:t xml:space="preserve"> արդյոք պատշաճ հսկողություն է իրականացվում դրանց նկատմամբ:</w:t>
      </w:r>
    </w:p>
    <w:p w14:paraId="1025AD3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Նշել, թե ինչի հիման վրա է հայտատուն որոշել արժեքների թույլատրելի նորմերը:</w:t>
      </w:r>
    </w:p>
    <w:p w14:paraId="1071EFAB" w14:textId="77777777" w:rsidR="008C76E0" w:rsidRPr="003B2786" w:rsidRDefault="008C76E0" w:rsidP="002A6A4C">
      <w:pPr>
        <w:spacing w:after="160" w:line="336" w:lineRule="auto"/>
        <w:ind w:firstLine="567"/>
        <w:jc w:val="both"/>
        <w:rPr>
          <w:rFonts w:ascii="Sylfaen" w:hAnsi="Sylfaen"/>
          <w:sz w:val="24"/>
          <w:szCs w:val="24"/>
        </w:rPr>
      </w:pPr>
      <w:r w:rsidRPr="003B2786">
        <w:rPr>
          <w:rFonts w:ascii="Sylfaen" w:hAnsi="Sylfaen"/>
          <w:sz w:val="24"/>
          <w:szCs w:val="24"/>
        </w:rPr>
        <w:t xml:space="preserve">Նշել ԱԴԲ-ի որակի այն ցուցանիշները, որոնք կարող են ազդել դեղապատրաստուկի որակի կրիտիկական ցուցանիշների վրա: Այդ ցուցանիշները կարող են որոշվել փորձառական (էմպիրիկ) կամ համակարգված գնահատման եղանակով՝ ռիսկերի գնահատման մեթոդների </w:t>
      </w:r>
      <w:r w:rsidR="00C54D75">
        <w:rPr>
          <w:rFonts w:ascii="Sylfaen" w:hAnsi="Sylfaen"/>
          <w:sz w:val="24"/>
          <w:szCs w:val="24"/>
        </w:rPr>
        <w:t>և</w:t>
      </w:r>
      <w:r w:rsidRPr="003B2786">
        <w:rPr>
          <w:rFonts w:ascii="Sylfaen" w:hAnsi="Sylfaen"/>
          <w:sz w:val="24"/>
          <w:szCs w:val="24"/>
        </w:rPr>
        <w:t xml:space="preserve"> վիճակագրության հիման վրա պլանավորված փորձարկումների կիրառման օգնությամբ: Համակարգված գնահատման դեպքում տե՛ս սույն փաստաթղթի թիվ 3 հավելվածը:</w:t>
      </w:r>
    </w:p>
    <w:p w14:paraId="7E0435C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Որոշել հնարավոր կրիտիկական պարամետրերը հսկողությունից հանելու հիմնավորման ընդունելիությունը:</w:t>
      </w:r>
    </w:p>
    <w:p w14:paraId="02911301" w14:textId="77777777" w:rsidR="008C76E0"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Արդյոք հիմնավորված է կենդանական կամ մարդկային ծագման նյութերի օգտագործումը:</w:t>
      </w:r>
    </w:p>
    <w:p w14:paraId="1292C7E3" w14:textId="77777777" w:rsidR="008C76E0" w:rsidRPr="003B2786" w:rsidRDefault="008C76E0" w:rsidP="00473371">
      <w:pPr>
        <w:spacing w:after="160" w:line="360" w:lineRule="auto"/>
        <w:ind w:right="-1" w:firstLine="567"/>
        <w:jc w:val="both"/>
        <w:rPr>
          <w:rFonts w:ascii="Sylfaen" w:hAnsi="Sylfaen"/>
          <w:sz w:val="24"/>
          <w:szCs w:val="24"/>
        </w:rPr>
      </w:pPr>
    </w:p>
    <w:p w14:paraId="240AFDA0"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Օժանդակ նյութեր</w:t>
      </w:r>
    </w:p>
    <w:p w14:paraId="54B0A96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Արդյոք դեղապատրաստուկի հատկությունների վրա ազդեցության առումով առկա են կար</w:t>
      </w:r>
      <w:r w:rsidR="00C54D75">
        <w:rPr>
          <w:rFonts w:ascii="Sylfaen" w:hAnsi="Sylfaen"/>
          <w:sz w:val="24"/>
          <w:szCs w:val="24"/>
        </w:rPr>
        <w:t>և</w:t>
      </w:r>
      <w:r w:rsidRPr="003B2786">
        <w:rPr>
          <w:rFonts w:ascii="Sylfaen" w:hAnsi="Sylfaen"/>
          <w:sz w:val="24"/>
          <w:szCs w:val="24"/>
        </w:rPr>
        <w:t>որ, նոր կամ ոչ ստանդարտ օժանդակ նյութեր:</w:t>
      </w:r>
    </w:p>
    <w:p w14:paraId="185FE32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Հարկ է նշել հայտատուի կողմից առանցքային օժանդակ նյութերի ընտրությունը </w:t>
      </w:r>
      <w:r w:rsidR="00C54D75">
        <w:rPr>
          <w:rFonts w:ascii="Sylfaen" w:hAnsi="Sylfaen"/>
          <w:sz w:val="24"/>
          <w:szCs w:val="24"/>
        </w:rPr>
        <w:t>և</w:t>
      </w:r>
      <w:r w:rsidRPr="003B2786">
        <w:rPr>
          <w:rFonts w:ascii="Sylfaen" w:hAnsi="Sylfaen"/>
          <w:sz w:val="24"/>
          <w:szCs w:val="24"/>
        </w:rPr>
        <w:t xml:space="preserve"> դրանց գործառույթները, օրինակ, որոնք ազդում են ձերբազատման, ձերբազատման տեղի կամ ԱԴԲ-ի դեղակինետիկայի վրա: Որոշ դեպքերում (օրինակ՝ ուլտրաձայնային հետազոտությունների անցկացման համար գազի դիսպերսիա), երբ դեղաձ</w:t>
      </w:r>
      <w:r w:rsidR="00C54D75">
        <w:rPr>
          <w:rFonts w:ascii="Sylfaen" w:hAnsi="Sylfaen"/>
          <w:sz w:val="24"/>
          <w:szCs w:val="24"/>
        </w:rPr>
        <w:t>և</w:t>
      </w:r>
      <w:r w:rsidRPr="003B2786">
        <w:rPr>
          <w:rFonts w:ascii="Sylfaen" w:hAnsi="Sylfaen"/>
          <w:sz w:val="24"/>
          <w:szCs w:val="24"/>
        </w:rPr>
        <w:t>ի ամբողջ համալիրով կամ համակարգով որոշվում է պատրաստուկի կլինիկական արդյունավետությունը, դրանք ենթակա են մանրակրկիտ ուսումնասիրության:</w:t>
      </w:r>
    </w:p>
    <w:p w14:paraId="319A505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հիմնավորված է օգտագործված օժանդակ նյութերի (կոնսերվանտներ, բուֆերային լուծույթներ </w:t>
      </w:r>
      <w:r w:rsidR="00C54D75">
        <w:rPr>
          <w:rFonts w:ascii="Sylfaen" w:hAnsi="Sylfaen"/>
          <w:sz w:val="24"/>
          <w:szCs w:val="24"/>
        </w:rPr>
        <w:t>և</w:t>
      </w:r>
      <w:r w:rsidRPr="003B2786">
        <w:rPr>
          <w:rFonts w:ascii="Sylfaen" w:hAnsi="Sylfaen"/>
          <w:sz w:val="24"/>
          <w:szCs w:val="24"/>
        </w:rPr>
        <w:t xml:space="preserve"> այլն) քանակը:</w:t>
      </w:r>
    </w:p>
    <w:p w14:paraId="08091F8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Նշել ԱԴԲ-ի որակի այն ցուցանիշները, որոնք կարող են ազդել դեղապատրաստուկի որակի կրիտիկական ցուցանիշների վրա: Այդ ցուցանիշները կարող են որոշվել փորձառական կամ համակարգված գնահատման եղանակով՝ ռիսկերի գնահատման մեթոդների </w:t>
      </w:r>
      <w:r w:rsidR="00C54D75">
        <w:rPr>
          <w:rFonts w:ascii="Sylfaen" w:hAnsi="Sylfaen"/>
          <w:sz w:val="24"/>
          <w:szCs w:val="24"/>
        </w:rPr>
        <w:t>և</w:t>
      </w:r>
      <w:r w:rsidRPr="003B2786">
        <w:rPr>
          <w:rFonts w:ascii="Sylfaen" w:hAnsi="Sylfaen"/>
          <w:sz w:val="24"/>
          <w:szCs w:val="24"/>
        </w:rPr>
        <w:t xml:space="preserve"> վիճակագրության հիման վրա պլանավորված փորձարկումների կիրառման օգնությամբ: Համակարգված գնահատման դեպքում (սույն փաստաթղթի թիվ 3 հավելված):</w:t>
      </w:r>
    </w:p>
    <w:p w14:paraId="610A620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Նա</w:t>
      </w:r>
      <w:r w:rsidR="00C54D75">
        <w:rPr>
          <w:rFonts w:ascii="Sylfaen" w:hAnsi="Sylfaen"/>
          <w:sz w:val="24"/>
          <w:szCs w:val="24"/>
        </w:rPr>
        <w:t>և</w:t>
      </w:r>
      <w:r w:rsidRPr="003B2786">
        <w:rPr>
          <w:rFonts w:ascii="Sylfaen" w:hAnsi="Sylfaen"/>
          <w:sz w:val="24"/>
          <w:szCs w:val="24"/>
        </w:rPr>
        <w:t xml:space="preserve"> հարկ է հաշվի առնել այն տեղեկությունները, որոնք պարունակվում են սույն հաշվետվության 4-րդ բաժնում (Եվրասիական տնտեսական հանձնաժողովի կողմից հաստատվող՝ Բժշկական կիրառման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4 հավելված, մոդուլ 3.2.A.3՝ «Նոր օժանդակ </w:t>
      </w:r>
      <w:r w:rsidRPr="003B2786">
        <w:rPr>
          <w:rFonts w:ascii="Sylfaen" w:hAnsi="Sylfaen"/>
          <w:sz w:val="24"/>
          <w:szCs w:val="24"/>
        </w:rPr>
        <w:lastRenderedPageBreak/>
        <w:t xml:space="preserve">նյութեր»), որտեղ բերված է հենց այդ օժանդակ նյութի առավել մանրամասն գնահատականը: Հարկ է ուշադրություն դարձնել այն հանգամանքին, որ Միության շրջանակներում կամ անդամ պետությունների տարածքում գրանցված դեղապատրաստուկներում չպարունակվող նոր օժանդակ նյութերը կարող են դիտարկվել որպես նոր ԱԴԲ-ներ, ինչը հանգեցնում է համապատասխան տվյալները, այսինքն՝ արտադրության </w:t>
      </w:r>
      <w:r w:rsidR="00C54D75">
        <w:rPr>
          <w:rFonts w:ascii="Sylfaen" w:hAnsi="Sylfaen"/>
          <w:sz w:val="24"/>
          <w:szCs w:val="24"/>
        </w:rPr>
        <w:t>և</w:t>
      </w:r>
      <w:r w:rsidRPr="003B2786">
        <w:rPr>
          <w:rFonts w:ascii="Sylfaen" w:hAnsi="Sylfaen"/>
          <w:sz w:val="24"/>
          <w:szCs w:val="24"/>
        </w:rPr>
        <w:t xml:space="preserve"> հսկողության նկարագրության, թունաբանական հետազոտություններին արված հղումների ներկայացման </w:t>
      </w:r>
      <w:r w:rsidR="00C54D75">
        <w:rPr>
          <w:rFonts w:ascii="Sylfaen" w:hAnsi="Sylfaen"/>
          <w:sz w:val="24"/>
          <w:szCs w:val="24"/>
        </w:rPr>
        <w:t>և</w:t>
      </w:r>
      <w:r w:rsidRPr="003B2786">
        <w:rPr>
          <w:rFonts w:ascii="Sylfaen" w:hAnsi="Sylfaen"/>
          <w:sz w:val="24"/>
          <w:szCs w:val="24"/>
        </w:rPr>
        <w:t xml:space="preserve"> այլնի մասով տվյալները ամբողջ ծավալով ներկայացնելու պահանջների կիրառմանը:</w:t>
      </w:r>
    </w:p>
    <w:p w14:paraId="66601317" w14:textId="77777777" w:rsidR="008C76E0" w:rsidRPr="003B2786" w:rsidRDefault="008C76E0" w:rsidP="00473371">
      <w:pPr>
        <w:spacing w:after="160" w:line="360" w:lineRule="auto"/>
        <w:ind w:right="-1" w:firstLine="567"/>
        <w:jc w:val="center"/>
        <w:rPr>
          <w:rFonts w:ascii="Sylfaen" w:hAnsi="Sylfaen"/>
          <w:sz w:val="24"/>
          <w:szCs w:val="24"/>
        </w:rPr>
      </w:pPr>
    </w:p>
    <w:p w14:paraId="0EC9440F"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Դեղապատրաստուկ</w:t>
      </w:r>
    </w:p>
    <w:p w14:paraId="5A4499BC"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Դեղաձ</w:t>
      </w:r>
      <w:r w:rsidR="00C54D75">
        <w:rPr>
          <w:rFonts w:ascii="Sylfaen" w:hAnsi="Sylfaen"/>
          <w:sz w:val="24"/>
          <w:szCs w:val="24"/>
        </w:rPr>
        <w:t>և</w:t>
      </w:r>
      <w:r w:rsidRPr="003B2786">
        <w:rPr>
          <w:rFonts w:ascii="Sylfaen" w:hAnsi="Sylfaen"/>
          <w:sz w:val="24"/>
          <w:szCs w:val="24"/>
        </w:rPr>
        <w:t>ի մշակումը. գնահատել պատրաստուկի՝ հայտատուի կողմից ներկայացված նպատակային պրոֆիլը, այսինքն՝ որակական այն բնութագրերի ցանկը, որոնք պատրաստուկը պետք է ունենա հայտագրված որակի ապահովման համար՝ հաշվի առնելով անվտանգությունն ու արդյունավետությունը: Նշել, թե արդյոք դեղաձ</w:t>
      </w:r>
      <w:r w:rsidR="00C54D75">
        <w:rPr>
          <w:rFonts w:ascii="Sylfaen" w:hAnsi="Sylfaen"/>
          <w:sz w:val="24"/>
          <w:szCs w:val="24"/>
        </w:rPr>
        <w:t>և</w:t>
      </w:r>
      <w:r w:rsidRPr="003B2786">
        <w:rPr>
          <w:rFonts w:ascii="Sylfaen" w:hAnsi="Sylfaen"/>
          <w:sz w:val="24"/>
          <w:szCs w:val="24"/>
        </w:rPr>
        <w:t xml:space="preserve">ի մշակումը հաստատվել է կլինիկական հետազոտություններով: Եթե գրանցման համար հայտագրված դեղապատրաստուկի </w:t>
      </w:r>
      <w:r w:rsidR="00C54D75">
        <w:rPr>
          <w:rFonts w:ascii="Sylfaen" w:hAnsi="Sylfaen"/>
          <w:sz w:val="24"/>
          <w:szCs w:val="24"/>
        </w:rPr>
        <w:t>և</w:t>
      </w:r>
      <w:r w:rsidRPr="003B2786">
        <w:rPr>
          <w:rFonts w:ascii="Sylfaen" w:hAnsi="Sylfaen"/>
          <w:sz w:val="24"/>
          <w:szCs w:val="24"/>
        </w:rPr>
        <w:t xml:space="preserve"> կլինիկական հետազոտություններում օգտագործված պատրաստուկի բաղադրությունները տարբերվում են, անհրաժեշտ է գնահատել դրանց կենսահամարժեքությունը: Հարկ է մեկնաբանել դեղապատրաստուկի որակական բնութագրերում հնարավոր տարբերությունները (օրինակ՝ խառնուկների </w:t>
      </w:r>
      <w:r w:rsidR="00C54D75">
        <w:rPr>
          <w:rFonts w:ascii="Sylfaen" w:hAnsi="Sylfaen"/>
          <w:sz w:val="24"/>
          <w:szCs w:val="24"/>
        </w:rPr>
        <w:t>և</w:t>
      </w:r>
      <w:r w:rsidRPr="003B2786">
        <w:rPr>
          <w:rFonts w:ascii="Sylfaen" w:hAnsi="Sylfaen"/>
          <w:sz w:val="24"/>
          <w:szCs w:val="24"/>
        </w:rPr>
        <w:t xml:space="preserve"> լուծելիության պրոֆիլները)՝ դեղաչափերի մեջ տարբերությունների առկայության կամ դեղաձ</w:t>
      </w:r>
      <w:r w:rsidR="00C54D75">
        <w:rPr>
          <w:rFonts w:ascii="Sylfaen" w:hAnsi="Sylfaen"/>
          <w:sz w:val="24"/>
          <w:szCs w:val="24"/>
        </w:rPr>
        <w:t>և</w:t>
      </w:r>
      <w:r w:rsidRPr="003B2786">
        <w:rPr>
          <w:rFonts w:ascii="Sylfaen" w:hAnsi="Sylfaen"/>
          <w:sz w:val="24"/>
          <w:szCs w:val="24"/>
        </w:rPr>
        <w:t xml:space="preserve">երի դեղաչափման սանդղակի ընդլայնման դեպքում: Անհրաժեշտ է մեկնաբանել լուծելիության փորձարկումների մեթոդիկայի մշակումը, փոփոխությունների նկարագրումը, որակյալ </w:t>
      </w:r>
      <w:r w:rsidR="00C54D75">
        <w:rPr>
          <w:rFonts w:ascii="Sylfaen" w:hAnsi="Sylfaen"/>
          <w:sz w:val="24"/>
          <w:szCs w:val="24"/>
        </w:rPr>
        <w:t>և</w:t>
      </w:r>
      <w:r w:rsidRPr="003B2786">
        <w:rPr>
          <w:rFonts w:ascii="Sylfaen" w:hAnsi="Sylfaen"/>
          <w:sz w:val="24"/>
          <w:szCs w:val="24"/>
        </w:rPr>
        <w:t xml:space="preserve"> անորակ դեղապատրաստուկի միջ</w:t>
      </w:r>
      <w:r w:rsidR="00C54D75">
        <w:rPr>
          <w:rFonts w:ascii="Sylfaen" w:hAnsi="Sylfaen"/>
          <w:sz w:val="24"/>
          <w:szCs w:val="24"/>
        </w:rPr>
        <w:t>և</w:t>
      </w:r>
      <w:r w:rsidRPr="003B2786">
        <w:rPr>
          <w:rFonts w:ascii="Sylfaen" w:hAnsi="Sylfaen"/>
          <w:sz w:val="24"/>
          <w:szCs w:val="24"/>
        </w:rPr>
        <w:t xml:space="preserve"> տարբերություններ ի հայտ բերելու` մեթոդիկայի հնարավորության հաստատումը (մեթոդիկայի տարբերակիչ հատկություններ): Կիրառելիության դեպքում հարկ է նշել</w:t>
      </w:r>
      <w:r w:rsidRPr="003B2786">
        <w:rPr>
          <w:rFonts w:ascii="Sylfaen" w:hAnsi="Sylfaen"/>
          <w:b/>
          <w:sz w:val="24"/>
          <w:szCs w:val="24"/>
        </w:rPr>
        <w:t xml:space="preserve"> </w:t>
      </w:r>
      <w:r w:rsidRPr="003B2786">
        <w:rPr>
          <w:rFonts w:ascii="Sylfaen" w:hAnsi="Sylfaen"/>
          <w:sz w:val="24"/>
          <w:szCs w:val="24"/>
        </w:rPr>
        <w:t>in vitro-in vivo</w:t>
      </w:r>
      <w:r w:rsidRPr="003B2786">
        <w:rPr>
          <w:rFonts w:ascii="Sylfaen" w:hAnsi="Sylfaen"/>
          <w:b/>
          <w:sz w:val="24"/>
          <w:szCs w:val="24"/>
        </w:rPr>
        <w:t xml:space="preserve"> </w:t>
      </w:r>
      <w:r w:rsidRPr="003B2786">
        <w:rPr>
          <w:rFonts w:ascii="Sylfaen" w:hAnsi="Sylfaen"/>
          <w:sz w:val="24"/>
          <w:szCs w:val="24"/>
        </w:rPr>
        <w:t xml:space="preserve">համահարաբերակցությունը որոշելու մասով հետազոտությունների արդյունքները: Համապատասխան դեպքերում հարկ է հատուկ ուշադրություն </w:t>
      </w:r>
      <w:r w:rsidRPr="003B2786">
        <w:rPr>
          <w:rFonts w:ascii="Sylfaen" w:hAnsi="Sylfaen"/>
          <w:sz w:val="24"/>
          <w:szCs w:val="24"/>
        </w:rPr>
        <w:lastRenderedPageBreak/>
        <w:t xml:space="preserve">դարձնել 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համար դեղապատրաստուկի ավելի վաղ մշակված բաղադրություններին </w:t>
      </w:r>
      <w:r w:rsidR="00C54D75">
        <w:rPr>
          <w:rFonts w:ascii="Sylfaen" w:hAnsi="Sylfaen"/>
          <w:sz w:val="24"/>
          <w:szCs w:val="24"/>
        </w:rPr>
        <w:t>և</w:t>
      </w:r>
      <w:r w:rsidRPr="003B2786">
        <w:rPr>
          <w:rFonts w:ascii="Sylfaen" w:hAnsi="Sylfaen"/>
          <w:sz w:val="24"/>
          <w:szCs w:val="24"/>
        </w:rPr>
        <w:t xml:space="preserve"> մեկնաբանել տվյալ հետազոտություններից ստացված արդյունքները: Կիրառելիության դեպքում անհրաժեշտ է բերել մանկական դեղաձ</w:t>
      </w:r>
      <w:r w:rsidR="00C54D75">
        <w:rPr>
          <w:rFonts w:ascii="Sylfaen" w:hAnsi="Sylfaen"/>
          <w:sz w:val="24"/>
          <w:szCs w:val="24"/>
        </w:rPr>
        <w:t>և</w:t>
      </w:r>
      <w:r w:rsidRPr="003B2786">
        <w:rPr>
          <w:rFonts w:ascii="Sylfaen" w:hAnsi="Sylfaen"/>
          <w:sz w:val="24"/>
          <w:szCs w:val="24"/>
        </w:rPr>
        <w:t>ի մշակման մասին լրացուցիչ տեղեկություններ, այդ թվում՝ տեղեկություններ՝ թիրախային տարիքային խմբի մասին, եթե այդպիսի մշակում անց է կացվել:</w:t>
      </w:r>
    </w:p>
    <w:p w14:paraId="14CABA8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Արտադրական ավելցուկները: Անհրաժեշտ է գնահատել ավելցուկների հիմնավորվածությունը:</w:t>
      </w:r>
    </w:p>
    <w:p w14:paraId="4062C93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Ֆիզիկաքիմիական </w:t>
      </w:r>
      <w:r w:rsidR="00C54D75">
        <w:rPr>
          <w:rFonts w:ascii="Sylfaen" w:hAnsi="Sylfaen"/>
          <w:sz w:val="24"/>
          <w:szCs w:val="24"/>
        </w:rPr>
        <w:t>և</w:t>
      </w:r>
      <w:r w:rsidRPr="003B2786">
        <w:rPr>
          <w:rFonts w:ascii="Sylfaen" w:hAnsi="Sylfaen"/>
          <w:sz w:val="24"/>
          <w:szCs w:val="24"/>
        </w:rPr>
        <w:t xml:space="preserve"> կենսաբանական հատկությունները: Անհրաժեշտ է գնահատել որակի կրիտիկական ցուցանիշների սահմանման </w:t>
      </w:r>
      <w:r w:rsidR="00C54D75">
        <w:rPr>
          <w:rFonts w:ascii="Sylfaen" w:hAnsi="Sylfaen"/>
          <w:sz w:val="24"/>
          <w:szCs w:val="24"/>
        </w:rPr>
        <w:t>և</w:t>
      </w:r>
      <w:r w:rsidRPr="003B2786">
        <w:rPr>
          <w:rFonts w:ascii="Sylfaen" w:hAnsi="Sylfaen"/>
          <w:sz w:val="24"/>
          <w:szCs w:val="24"/>
        </w:rPr>
        <w:t xml:space="preserve"> հսկողության ճշգրտությունը:</w:t>
      </w:r>
    </w:p>
    <w:p w14:paraId="28CD828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հաշվի առնել, որ գրանցման դոսյեի 3-րդ մոդուլում բերված է պատրաստուկի հատկության վրա ազդող պարամետրերի համապատասխան ցանկը (եթե կիրառելի է): Օրինակ՝ դեղահաբերի համար կարող է պահանջվել մասնիկների չափսերի (դիսպերսության) </w:t>
      </w:r>
      <w:r w:rsidR="00C54D75">
        <w:rPr>
          <w:rFonts w:ascii="Sylfaen" w:hAnsi="Sylfaen"/>
          <w:sz w:val="24"/>
          <w:szCs w:val="24"/>
        </w:rPr>
        <w:t>և</w:t>
      </w:r>
      <w:r w:rsidRPr="003B2786">
        <w:rPr>
          <w:rFonts w:ascii="Sylfaen" w:hAnsi="Sylfaen"/>
          <w:sz w:val="24"/>
          <w:szCs w:val="24"/>
        </w:rPr>
        <w:t xml:space="preserve"> ջրում ցածր լուծելիությամբ ԱԴԲ-ի բազմաձ</w:t>
      </w:r>
      <w:r w:rsidR="00C54D75">
        <w:rPr>
          <w:rFonts w:ascii="Sylfaen" w:hAnsi="Sylfaen"/>
          <w:sz w:val="24"/>
          <w:szCs w:val="24"/>
        </w:rPr>
        <w:t>և</w:t>
      </w:r>
      <w:r w:rsidRPr="003B2786">
        <w:rPr>
          <w:rFonts w:ascii="Sylfaen" w:hAnsi="Sylfaen"/>
          <w:sz w:val="24"/>
          <w:szCs w:val="24"/>
        </w:rPr>
        <w:t xml:space="preserve">ության գնահատականը՝ լուծելիության </w:t>
      </w:r>
      <w:r w:rsidR="00C54D75">
        <w:rPr>
          <w:rFonts w:ascii="Sylfaen" w:hAnsi="Sylfaen"/>
          <w:sz w:val="24"/>
          <w:szCs w:val="24"/>
        </w:rPr>
        <w:t>և</w:t>
      </w:r>
      <w:r w:rsidRPr="003B2786">
        <w:rPr>
          <w:rFonts w:ascii="Sylfaen" w:hAnsi="Sylfaen"/>
          <w:sz w:val="24"/>
          <w:szCs w:val="24"/>
        </w:rPr>
        <w:t xml:space="preserve"> կենսամատչելիության վրա դրանց ազդեցության տեսանկյունից: Տվյալ օրինակում լուծելիության պրոֆիլը՝ կախված pH-ից, նույնպես կարող է լուծելիության փորձարկման մեթոդաբանության ընտրության վրա ազդող նշանակալի բազային տեղեկատվություն լինել:</w:t>
      </w:r>
    </w:p>
    <w:p w14:paraId="6F15E03E" w14:textId="77777777" w:rsidR="008C76E0" w:rsidRPr="003B2786" w:rsidRDefault="008C76E0" w:rsidP="00473371">
      <w:pPr>
        <w:spacing w:after="160" w:line="360" w:lineRule="auto"/>
        <w:ind w:firstLine="567"/>
        <w:jc w:val="both"/>
        <w:rPr>
          <w:rFonts w:ascii="Sylfaen" w:hAnsi="Sylfaen"/>
          <w:sz w:val="24"/>
          <w:szCs w:val="24"/>
        </w:rPr>
      </w:pPr>
    </w:p>
    <w:p w14:paraId="35488AE2" w14:textId="77777777" w:rsidR="008C76E0" w:rsidRPr="003B2786" w:rsidRDefault="008C76E0" w:rsidP="00473371">
      <w:pPr>
        <w:spacing w:after="160" w:line="360" w:lineRule="auto"/>
        <w:ind w:right="-1" w:firstLine="567"/>
        <w:jc w:val="center"/>
        <w:rPr>
          <w:rFonts w:ascii="Sylfaen" w:hAnsi="Sylfaen"/>
          <w:sz w:val="24"/>
          <w:szCs w:val="24"/>
        </w:rPr>
      </w:pPr>
      <w:r w:rsidRPr="003B2786">
        <w:rPr>
          <w:rFonts w:ascii="Sylfaen" w:hAnsi="Sylfaen"/>
          <w:sz w:val="24"/>
          <w:szCs w:val="24"/>
        </w:rPr>
        <w:t>Արտադրական պրոցեսի մշակումը:</w:t>
      </w:r>
    </w:p>
    <w:p w14:paraId="3B04CA5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Եթե պատրաստուկի արտադրության պրոցեսում ֆիզիկաքիմիական հատկությունները փոփոխվում են (օրինակ՝ բազմաձ</w:t>
      </w:r>
      <w:r w:rsidR="00C54D75">
        <w:rPr>
          <w:rFonts w:ascii="Sylfaen" w:hAnsi="Sylfaen"/>
          <w:sz w:val="24"/>
          <w:szCs w:val="24"/>
        </w:rPr>
        <w:t>և</w:t>
      </w:r>
      <w:r w:rsidRPr="003B2786">
        <w:rPr>
          <w:rFonts w:ascii="Sylfaen" w:hAnsi="Sylfaen"/>
          <w:sz w:val="24"/>
          <w:szCs w:val="24"/>
        </w:rPr>
        <w:t>ությունը), հարկ է համոզվել ԱԴԲ-ի հետ անցկացված հետազոտությունների արդյունքների վալիդության մեջ:</w:t>
      </w:r>
    </w:p>
    <w:p w14:paraId="41D3DF1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արտացոլել արտադրության պրոցեսի ընտրության հիմնավորվածությունը: Անհրաժեշտ է արտացոլել, թե արդյոք սահմանված են </w:t>
      </w:r>
      <w:r w:rsidRPr="003B2786">
        <w:rPr>
          <w:rFonts w:ascii="Sylfaen" w:hAnsi="Sylfaen"/>
          <w:sz w:val="24"/>
          <w:szCs w:val="24"/>
        </w:rPr>
        <w:lastRenderedPageBreak/>
        <w:t xml:space="preserve">պրոցեսի այն կրիտիկական պարամետրերը, որոնք նշանակալի են դրա հետագա վալիդացման համար: Անհրաժեշտ է արտացոլել, թե արդյոք սահմանված են կլինիկական հետազոտություններում գրանցվող </w:t>
      </w:r>
      <w:r w:rsidR="00C54D75">
        <w:rPr>
          <w:rFonts w:ascii="Sylfaen" w:hAnsi="Sylfaen"/>
          <w:sz w:val="24"/>
          <w:szCs w:val="24"/>
        </w:rPr>
        <w:t>և</w:t>
      </w:r>
      <w:r w:rsidRPr="003B2786">
        <w:rPr>
          <w:rFonts w:ascii="Sylfaen" w:hAnsi="Sylfaen"/>
          <w:sz w:val="24"/>
          <w:szCs w:val="24"/>
        </w:rPr>
        <w:t xml:space="preserve"> օգտագործվող դեղապատրաստուկի արտադրության պրոցեսների մեջ այն տարբերությունները, որոնք նշանակալի են դրա հետագա վալիդացման համար: Անհրաժեշտ է գնահատել, թե արդյոք արտադրության պրոցեսը փոխհատուցում է նյութերի որակի ցուցանիշների փոփոխականությունը:</w:t>
      </w:r>
    </w:p>
    <w:p w14:paraId="78238ED6"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 xml:space="preserve">Հարկ է փորձառական կամ համակարգված գնահատականի հիման վրա իրականացնել պրոցեսի կրիտիկական պարամետրերի նույնականացում՝ օգտագործելով ռիսկի գնահատման մեթոդաբանությունը </w:t>
      </w:r>
      <w:r w:rsidR="00C54D75">
        <w:rPr>
          <w:rFonts w:ascii="Sylfaen" w:hAnsi="Sylfaen"/>
          <w:sz w:val="24"/>
          <w:szCs w:val="24"/>
        </w:rPr>
        <w:t>և</w:t>
      </w:r>
      <w:r w:rsidRPr="003B2786">
        <w:rPr>
          <w:rFonts w:ascii="Sylfaen" w:hAnsi="Sylfaen"/>
          <w:sz w:val="24"/>
          <w:szCs w:val="24"/>
        </w:rPr>
        <w:t xml:space="preserve"> վիճակագրական մոդելավորումը: Վերջին դեպքում հարկ է առաջնորդվել մաթեմատիկական վիճակագրության համապատասխան ուղեցույցներով:</w:t>
      </w:r>
    </w:p>
    <w:p w14:paraId="072B9B23"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 xml:space="preserve">Փաթեթավորման </w:t>
      </w:r>
      <w:r w:rsidR="00C54D75">
        <w:rPr>
          <w:rFonts w:ascii="Sylfaen" w:hAnsi="Sylfaen"/>
          <w:sz w:val="24"/>
          <w:szCs w:val="24"/>
        </w:rPr>
        <w:t>և</w:t>
      </w:r>
      <w:r w:rsidRPr="003B2786">
        <w:rPr>
          <w:rFonts w:ascii="Sylfaen" w:hAnsi="Sylfaen"/>
          <w:sz w:val="24"/>
          <w:szCs w:val="24"/>
        </w:rPr>
        <w:t xml:space="preserve"> խցանափակման համակարգը:</w:t>
      </w:r>
    </w:p>
    <w:p w14:paraId="2EEB36B4" w14:textId="77777777" w:rsidR="008C76E0" w:rsidRPr="003B2786" w:rsidRDefault="008C76E0" w:rsidP="002A6A4C">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գնահատել, թե արդյոք փաթեթավորման </w:t>
      </w:r>
      <w:r w:rsidR="00C54D75">
        <w:rPr>
          <w:rFonts w:ascii="Sylfaen" w:hAnsi="Sylfaen"/>
          <w:sz w:val="24"/>
          <w:szCs w:val="24"/>
        </w:rPr>
        <w:t>և</w:t>
      </w:r>
      <w:r w:rsidRPr="003B2786">
        <w:rPr>
          <w:rFonts w:ascii="Sylfaen" w:hAnsi="Sylfaen"/>
          <w:sz w:val="24"/>
          <w:szCs w:val="24"/>
        </w:rPr>
        <w:t xml:space="preserve"> խցանափակման համար նյութերի ընտրությունն ապահովում է պատրաստուկի կայունությունը </w:t>
      </w:r>
      <w:r w:rsidR="00C54D75">
        <w:rPr>
          <w:rFonts w:ascii="Sylfaen" w:hAnsi="Sylfaen"/>
          <w:sz w:val="24"/>
          <w:szCs w:val="24"/>
        </w:rPr>
        <w:t>և</w:t>
      </w:r>
      <w:r w:rsidRPr="003B2786">
        <w:rPr>
          <w:rFonts w:ascii="Sylfaen" w:hAnsi="Sylfaen"/>
          <w:sz w:val="24"/>
          <w:szCs w:val="24"/>
        </w:rPr>
        <w:t xml:space="preserve"> պացիենտների թիրախային պոպուլյացիայի շրջանակում կիրառումը (օրինակ՝ տարեց անձանց մոտ, երեխաներից պաշտպանության գործառույթի առկայությունը):</w:t>
      </w:r>
    </w:p>
    <w:p w14:paraId="109E5895" w14:textId="77777777" w:rsidR="008C76E0" w:rsidRPr="003B2786" w:rsidRDefault="008C76E0" w:rsidP="002A6A4C">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գնահատել փաթեթվածքի </w:t>
      </w:r>
      <w:r w:rsidR="00C54D75">
        <w:rPr>
          <w:rFonts w:ascii="Sylfaen" w:hAnsi="Sylfaen"/>
          <w:sz w:val="24"/>
          <w:szCs w:val="24"/>
        </w:rPr>
        <w:t>և</w:t>
      </w:r>
      <w:r w:rsidRPr="003B2786">
        <w:rPr>
          <w:rFonts w:ascii="Sylfaen" w:hAnsi="Sylfaen"/>
          <w:sz w:val="24"/>
          <w:szCs w:val="24"/>
        </w:rPr>
        <w:t xml:space="preserve"> խցանափակման տեխնիկական այն հատկությունները, որոնց հաշվին ապահովվում է պացիենտների կողմից, օրինակ՝ քթի ցողաշիթերի (սփրեյների), ներշնչակների, նախապես լցված ներարկիչների օգտագործման հարմարությունը: </w:t>
      </w:r>
    </w:p>
    <w:p w14:paraId="25B900A8" w14:textId="77777777" w:rsidR="008C76E0" w:rsidRPr="003B2786" w:rsidRDefault="008C76E0" w:rsidP="002A6A4C">
      <w:pPr>
        <w:spacing w:after="160" w:line="336" w:lineRule="auto"/>
        <w:ind w:right="-1" w:firstLine="567"/>
        <w:jc w:val="both"/>
        <w:rPr>
          <w:rFonts w:ascii="Sylfaen" w:hAnsi="Sylfaen"/>
          <w:sz w:val="24"/>
          <w:szCs w:val="24"/>
        </w:rPr>
      </w:pPr>
      <w:r w:rsidRPr="003B2786">
        <w:rPr>
          <w:rFonts w:ascii="Sylfaen" w:hAnsi="Sylfaen"/>
          <w:sz w:val="24"/>
          <w:szCs w:val="24"/>
        </w:rPr>
        <w:t xml:space="preserve">Միկրոկենսաբանական </w:t>
      </w:r>
      <w:r w:rsidR="00C54D75">
        <w:rPr>
          <w:rFonts w:ascii="Sylfaen" w:hAnsi="Sylfaen"/>
          <w:sz w:val="24"/>
          <w:szCs w:val="24"/>
        </w:rPr>
        <w:t>և</w:t>
      </w:r>
      <w:r w:rsidRPr="003B2786">
        <w:rPr>
          <w:rFonts w:ascii="Sylfaen" w:hAnsi="Sylfaen"/>
          <w:sz w:val="24"/>
          <w:szCs w:val="24"/>
        </w:rPr>
        <w:t xml:space="preserve"> այլ բնութագրեր. անհրաժեշտ է արտացոլել, թե արդյոք հիմնավորված է հատուկ օժանդակ նյութերի, օրինակ՝ կոնսերվանտների </w:t>
      </w:r>
      <w:r w:rsidR="00C54D75">
        <w:rPr>
          <w:rFonts w:ascii="Sylfaen" w:hAnsi="Sylfaen"/>
          <w:sz w:val="24"/>
          <w:szCs w:val="24"/>
        </w:rPr>
        <w:t>և</w:t>
      </w:r>
      <w:r w:rsidRPr="003B2786">
        <w:rPr>
          <w:rFonts w:ascii="Sylfaen" w:hAnsi="Sylfaen"/>
          <w:sz w:val="24"/>
          <w:szCs w:val="24"/>
        </w:rPr>
        <w:t xml:space="preserve"> հակաօքսիդիչների օգտագործումը՝ հաշվի առնելով դրանց կոնցենտրացիաներն (պարունակությունը) ու հատկությունները:</w:t>
      </w:r>
    </w:p>
    <w:p w14:paraId="455AED2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Համատեղելիությունը:</w:t>
      </w:r>
    </w:p>
    <w:p w14:paraId="4C49770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Անհրաժեշտ է գնահատել բժշկական կիրառման հրահանգում </w:t>
      </w:r>
      <w:r w:rsidR="00C54D75">
        <w:rPr>
          <w:rFonts w:ascii="Sylfaen" w:hAnsi="Sylfaen"/>
          <w:sz w:val="24"/>
          <w:szCs w:val="24"/>
        </w:rPr>
        <w:t>և</w:t>
      </w:r>
      <w:r w:rsidRPr="003B2786">
        <w:rPr>
          <w:rFonts w:ascii="Sylfaen" w:hAnsi="Sylfaen"/>
          <w:sz w:val="24"/>
          <w:szCs w:val="24"/>
        </w:rPr>
        <w:t xml:space="preserve"> ԴԸԲ-ում դեղագործական համատեղելիության </w:t>
      </w:r>
      <w:r w:rsidR="00C54D75">
        <w:rPr>
          <w:rFonts w:ascii="Sylfaen" w:hAnsi="Sylfaen"/>
          <w:sz w:val="24"/>
          <w:szCs w:val="24"/>
        </w:rPr>
        <w:t>և</w:t>
      </w:r>
      <w:r w:rsidRPr="003B2786">
        <w:rPr>
          <w:rFonts w:ascii="Sylfaen" w:hAnsi="Sylfaen"/>
          <w:sz w:val="24"/>
          <w:szCs w:val="24"/>
        </w:rPr>
        <w:t xml:space="preserve"> անհամատեղելիության մասով շարադրված տվյալների համապատասխանությունը անցկացված փաստացի հետազոտություններին:</w:t>
      </w:r>
    </w:p>
    <w:p w14:paraId="3968B478"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4.3.</w:t>
      </w:r>
      <w:r>
        <w:rPr>
          <w:rFonts w:ascii="Sylfaen" w:hAnsi="Sylfaen"/>
          <w:sz w:val="24"/>
          <w:szCs w:val="24"/>
        </w:rPr>
        <w:tab/>
      </w:r>
      <w:r w:rsidRPr="003B2786">
        <w:rPr>
          <w:rFonts w:ascii="Sylfaen" w:hAnsi="Sylfaen"/>
          <w:sz w:val="24"/>
          <w:szCs w:val="24"/>
        </w:rPr>
        <w:t>Դեղապատրաստուկի արտադրության պրոցեսը (մոդուլ 3.2.P.3)</w:t>
      </w:r>
    </w:p>
    <w:p w14:paraId="00E0206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արտացոլվում են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փորձաքննության արդյունքները՝</w:t>
      </w:r>
    </w:p>
    <w:p w14:paraId="31481431"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Р.3.1.</w:t>
      </w:r>
      <w:r w:rsidRPr="003B2786">
        <w:rPr>
          <w:rFonts w:ascii="Sylfaen" w:hAnsi="Sylfaen"/>
          <w:sz w:val="24"/>
          <w:szCs w:val="24"/>
        </w:rPr>
        <w:tab/>
        <w:t>Արտադրողը (արտադրողները)։</w:t>
      </w:r>
    </w:p>
    <w:p w14:paraId="353B708C"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Р.3.2.</w:t>
      </w:r>
      <w:r w:rsidRPr="003B2786">
        <w:rPr>
          <w:rFonts w:ascii="Sylfaen" w:hAnsi="Sylfaen"/>
          <w:sz w:val="24"/>
          <w:szCs w:val="24"/>
        </w:rPr>
        <w:tab/>
        <w:t>Սերիայի բանաձ</w:t>
      </w:r>
      <w:r w:rsidR="00C54D75">
        <w:rPr>
          <w:rFonts w:ascii="Sylfaen" w:hAnsi="Sylfaen"/>
          <w:sz w:val="24"/>
          <w:szCs w:val="24"/>
        </w:rPr>
        <w:t>և</w:t>
      </w:r>
      <w:r w:rsidRPr="003B2786">
        <w:rPr>
          <w:rFonts w:ascii="Sylfaen" w:hAnsi="Sylfaen"/>
          <w:sz w:val="24"/>
          <w:szCs w:val="24"/>
        </w:rPr>
        <w:t>ը (արտադրական բաղադրագիրը):</w:t>
      </w:r>
    </w:p>
    <w:p w14:paraId="44597A8C"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Р.3.3.</w:t>
      </w:r>
      <w:r w:rsidRPr="003B2786">
        <w:rPr>
          <w:rFonts w:ascii="Sylfaen" w:hAnsi="Sylfaen"/>
          <w:sz w:val="24"/>
          <w:szCs w:val="24"/>
        </w:rPr>
        <w:tab/>
        <w:t>Արտադրական պրոցեսի նկարագրությունն ու հսկողությունը:</w:t>
      </w:r>
    </w:p>
    <w:p w14:paraId="37BF1A39" w14:textId="77777777" w:rsidR="008C76E0" w:rsidRPr="003B2786" w:rsidRDefault="008C76E0" w:rsidP="001F0952">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Р.3.4.</w:t>
      </w:r>
      <w:r w:rsidRPr="003B2786">
        <w:rPr>
          <w:rFonts w:ascii="Sylfaen" w:hAnsi="Sylfaen"/>
          <w:sz w:val="24"/>
          <w:szCs w:val="24"/>
        </w:rPr>
        <w:tab/>
        <w:t xml:space="preserve">Կրիտիկական փուլերի </w:t>
      </w:r>
      <w:r w:rsidR="00C54D75">
        <w:rPr>
          <w:rFonts w:ascii="Sylfaen" w:hAnsi="Sylfaen"/>
          <w:sz w:val="24"/>
          <w:szCs w:val="24"/>
        </w:rPr>
        <w:t>և</w:t>
      </w:r>
      <w:r w:rsidRPr="003B2786">
        <w:rPr>
          <w:rFonts w:ascii="Sylfaen" w:hAnsi="Sylfaen"/>
          <w:sz w:val="24"/>
          <w:szCs w:val="24"/>
        </w:rPr>
        <w:t xml:space="preserve"> միջանկյալ արտադրանքի հսկողությունը:</w:t>
      </w:r>
    </w:p>
    <w:p w14:paraId="395DD845" w14:textId="77777777" w:rsidR="008C76E0" w:rsidRPr="003B2786" w:rsidRDefault="008C76E0" w:rsidP="001F0952">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Р.3.5.</w:t>
      </w:r>
      <w:r w:rsidRPr="003B2786">
        <w:rPr>
          <w:rFonts w:ascii="Sylfaen" w:hAnsi="Sylfaen"/>
          <w:sz w:val="24"/>
          <w:szCs w:val="24"/>
        </w:rPr>
        <w:tab/>
        <w:t xml:space="preserve">Արտադրական պրոցեսի վալիդացումը </w:t>
      </w:r>
      <w:r w:rsidR="00C54D75">
        <w:rPr>
          <w:rFonts w:ascii="Sylfaen" w:hAnsi="Sylfaen"/>
          <w:sz w:val="24"/>
          <w:szCs w:val="24"/>
        </w:rPr>
        <w:t>և</w:t>
      </w:r>
      <w:r w:rsidRPr="003B2786">
        <w:rPr>
          <w:rFonts w:ascii="Sylfaen" w:hAnsi="Sylfaen"/>
          <w:sz w:val="24"/>
          <w:szCs w:val="24"/>
        </w:rPr>
        <w:t xml:space="preserve"> (կամ) գնահատումը:</w:t>
      </w:r>
    </w:p>
    <w:p w14:paraId="603EA78E"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Անհրաժեշտ է նշել յուրաքանչյուր արտադրողի, այդ թվում՝ արտադրությանը </w:t>
      </w:r>
      <w:r w:rsidR="00C54D75">
        <w:rPr>
          <w:rFonts w:ascii="Sylfaen" w:hAnsi="Sylfaen"/>
          <w:sz w:val="24"/>
          <w:szCs w:val="24"/>
        </w:rPr>
        <w:t>և</w:t>
      </w:r>
      <w:r w:rsidRPr="003B2786">
        <w:rPr>
          <w:rFonts w:ascii="Sylfaen" w:hAnsi="Sylfaen"/>
          <w:sz w:val="24"/>
          <w:szCs w:val="24"/>
        </w:rPr>
        <w:t xml:space="preserve"> փորձարկումների անցկացմանը մասնակցող՝ առաջարկվող յուրաքանչյուր արտադրական հարթակի կամ օբյեկտի կապալառուների (պայմանագրային արտադրությունների) անվանումը, հասցեն ու պարտավորությունները:</w:t>
      </w:r>
    </w:p>
    <w:p w14:paraId="5EAEE048"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 xml:space="preserve">Արտադրության պրոցեսի </w:t>
      </w:r>
      <w:r w:rsidR="00C54D75">
        <w:rPr>
          <w:rFonts w:ascii="Sylfaen" w:hAnsi="Sylfaen"/>
          <w:sz w:val="24"/>
          <w:szCs w:val="24"/>
        </w:rPr>
        <w:t>և</w:t>
      </w:r>
      <w:r w:rsidRPr="003B2786">
        <w:rPr>
          <w:rFonts w:ascii="Sylfaen" w:hAnsi="Sylfaen"/>
          <w:sz w:val="24"/>
          <w:szCs w:val="24"/>
        </w:rPr>
        <w:t xml:space="preserve"> դրա հսկողության նկարագրությունը՝ բլոկ-սխեման (նախընտրելի է այն ներառել հաշվետվության հիմնական մասում, հավելվածի տեսքով առդնելու փոխարեն)՝ նշելով կրիտիկական փուլերը:</w:t>
      </w:r>
    </w:p>
    <w:p w14:paraId="75DF00FF"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նշել, թե արդյոք հայտատուն նախատեսել է նյութերի որակի կրիտիկական ցուցանիշների </w:t>
      </w:r>
      <w:r w:rsidR="00C54D75">
        <w:rPr>
          <w:rFonts w:ascii="Sylfaen" w:hAnsi="Sylfaen"/>
          <w:sz w:val="24"/>
          <w:szCs w:val="24"/>
        </w:rPr>
        <w:t>և</w:t>
      </w:r>
      <w:r w:rsidRPr="003B2786">
        <w:rPr>
          <w:rFonts w:ascii="Sylfaen" w:hAnsi="Sylfaen"/>
          <w:sz w:val="24"/>
          <w:szCs w:val="24"/>
        </w:rPr>
        <w:t xml:space="preserve"> պրոցեսի կրիտիկական պարամետրերի մոնիթորինգ իրական ժամանակի ռեժիմում: Անհրաժեշտ է գնահատել, արդյոք հսկողության միջոցները նվազեցնում են դեղաձ</w:t>
      </w:r>
      <w:r w:rsidR="00C54D75">
        <w:rPr>
          <w:rFonts w:ascii="Sylfaen" w:hAnsi="Sylfaen"/>
          <w:sz w:val="24"/>
          <w:szCs w:val="24"/>
        </w:rPr>
        <w:t>և</w:t>
      </w:r>
      <w:r w:rsidRPr="003B2786">
        <w:rPr>
          <w:rFonts w:ascii="Sylfaen" w:hAnsi="Sylfaen"/>
          <w:sz w:val="24"/>
          <w:szCs w:val="24"/>
        </w:rPr>
        <w:t xml:space="preserve">ի մշակման </w:t>
      </w:r>
      <w:r w:rsidR="00C54D75">
        <w:rPr>
          <w:rFonts w:ascii="Sylfaen" w:hAnsi="Sylfaen"/>
          <w:sz w:val="24"/>
          <w:szCs w:val="24"/>
        </w:rPr>
        <w:t>և</w:t>
      </w:r>
      <w:r w:rsidRPr="003B2786">
        <w:rPr>
          <w:rFonts w:ascii="Sylfaen" w:hAnsi="Sylfaen"/>
          <w:sz w:val="24"/>
          <w:szCs w:val="24"/>
        </w:rPr>
        <w:t xml:space="preserve"> արտադրության պրոցեսի ընթացքում ի հայտ բերած ռիսկերը:</w:t>
      </w:r>
    </w:p>
    <w:p w14:paraId="0736247C"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նշել, թե արդյոք նախատեսված են հետադարձ կապի միջոցներ, որոնք թույլ են տալիս ճշգրտել արտադրության պրոցեսի պայմանները՝ </w:t>
      </w:r>
      <w:r w:rsidRPr="003B2786">
        <w:rPr>
          <w:rFonts w:ascii="Sylfaen" w:hAnsi="Sylfaen"/>
          <w:sz w:val="24"/>
          <w:szCs w:val="24"/>
        </w:rPr>
        <w:lastRenderedPageBreak/>
        <w:t>հայտնաբերված փոփոխականության փոխհատուցման նպատակով:</w:t>
      </w:r>
    </w:p>
    <w:p w14:paraId="4322679D"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նշել, թե արդյոք առաջարկվում է նախագծային դաշտ (դիզայնի ոլորտ): Անհրաժեշտ է նշել, թե արդյոք սահմանված է որակի կրիտիկական ցուցանիշների՝ մուտքային տեխնոլոգիական պարամետրերից (նյութերի որակի </w:t>
      </w:r>
      <w:r w:rsidR="00C54D75">
        <w:rPr>
          <w:rFonts w:ascii="Sylfaen" w:hAnsi="Sylfaen"/>
          <w:sz w:val="24"/>
          <w:szCs w:val="24"/>
        </w:rPr>
        <w:t>և</w:t>
      </w:r>
      <w:r w:rsidRPr="003B2786">
        <w:rPr>
          <w:rFonts w:ascii="Sylfaen" w:hAnsi="Sylfaen"/>
          <w:sz w:val="24"/>
          <w:szCs w:val="24"/>
        </w:rPr>
        <w:t xml:space="preserve"> արտադրության պրոցեսի պարամետրերի ցուցանիշներից) կախվածությունը բազմաչափ մոդելի շրջանակում: Եթե առաջարկվել է նախագծային դաշտ, հարկ է անդրադառնալ սույն փաստաթղթի թիվ 3 հավելվածին:</w:t>
      </w:r>
    </w:p>
    <w:p w14:paraId="19EDBF3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pacing w:val="-6"/>
          <w:sz w:val="24"/>
          <w:szCs w:val="24"/>
        </w:rPr>
        <w:t>Եթե դեղապատրաստուկը բաղկացած է օժանդակ նյութերից զերծ</w:t>
      </w:r>
      <w:r w:rsidRPr="003B2786">
        <w:rPr>
          <w:rFonts w:ascii="Sylfaen" w:hAnsi="Sylfaen"/>
          <w:sz w:val="24"/>
          <w:szCs w:val="24"/>
        </w:rPr>
        <w:t xml:space="preserve"> ԱԴԲ-ներից, այն արտադրողների </w:t>
      </w:r>
      <w:r w:rsidR="00C54D75">
        <w:rPr>
          <w:rFonts w:ascii="Sylfaen" w:hAnsi="Sylfaen"/>
          <w:sz w:val="24"/>
          <w:szCs w:val="24"/>
        </w:rPr>
        <w:t>և</w:t>
      </w:r>
      <w:r w:rsidRPr="003B2786">
        <w:rPr>
          <w:rFonts w:ascii="Sylfaen" w:hAnsi="Sylfaen"/>
          <w:sz w:val="24"/>
          <w:szCs w:val="24"/>
        </w:rPr>
        <w:t xml:space="preserve"> նրանց լիցենզավորման մասին տեղեկությունները </w:t>
      </w:r>
      <w:r w:rsidR="00C54D75">
        <w:rPr>
          <w:rFonts w:ascii="Sylfaen" w:hAnsi="Sylfaen"/>
          <w:sz w:val="24"/>
          <w:szCs w:val="24"/>
        </w:rPr>
        <w:t>և</w:t>
      </w:r>
      <w:r w:rsidRPr="003B2786">
        <w:rPr>
          <w:rFonts w:ascii="Sylfaen" w:hAnsi="Sylfaen"/>
          <w:sz w:val="24"/>
          <w:szCs w:val="24"/>
        </w:rPr>
        <w:t>ս հարկ է նշել տվյալ բաժնում:</w:t>
      </w:r>
    </w:p>
    <w:p w14:paraId="50CD57E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Եթե առաջարկվել են մի քանի տարբեր չափերի արդյունաբերական սերիաներ կամ սերիաների խառնում կամ ենթասերիաների օգտագործում, անհրաժեշտ է գնահատել դրանց ընդունելիությունը: Անհրաժեշտ է գնահատել այն սերիաների չափերը, որոնց վերաբերյալ ներկայացվել են տվյալներ:</w:t>
      </w:r>
    </w:p>
    <w:p w14:paraId="70B21839"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Անհրաժեշտ է որոշել այն մասնագիտացված պրոցեսների առկայությունը, որոնց համար կարող է պահանջվել տեսչական ստուգում (տե՛ս սույն հաշվետվության նախաբանը):</w:t>
      </w:r>
    </w:p>
    <w:p w14:paraId="7B5844B4"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համոզվել, որ մեկ տեխնոլոգիական փուլից մյուսին անցնելու ժամանակը, պահպանման </w:t>
      </w:r>
      <w:r w:rsidR="00C54D75">
        <w:rPr>
          <w:rFonts w:ascii="Sylfaen" w:hAnsi="Sylfaen"/>
          <w:sz w:val="24"/>
          <w:szCs w:val="24"/>
        </w:rPr>
        <w:t>և</w:t>
      </w:r>
      <w:r w:rsidRPr="003B2786">
        <w:rPr>
          <w:rFonts w:ascii="Sylfaen" w:hAnsi="Sylfaen"/>
          <w:sz w:val="24"/>
          <w:szCs w:val="24"/>
        </w:rPr>
        <w:t xml:space="preserve"> (կամ) փոխադրման պայմանները հիմնավորված </w:t>
      </w:r>
      <w:r w:rsidR="00C54D75">
        <w:rPr>
          <w:rFonts w:ascii="Sylfaen" w:hAnsi="Sylfaen"/>
          <w:sz w:val="24"/>
          <w:szCs w:val="24"/>
        </w:rPr>
        <w:t>և</w:t>
      </w:r>
      <w:r w:rsidRPr="003B2786">
        <w:rPr>
          <w:rFonts w:ascii="Sylfaen" w:hAnsi="Sylfaen"/>
          <w:sz w:val="24"/>
          <w:szCs w:val="24"/>
        </w:rPr>
        <w:t xml:space="preserve"> վալիդացված են:</w:t>
      </w:r>
    </w:p>
    <w:p w14:paraId="0450B34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Տվյալ բաժնում հարկ է գնահատել պրոցեսի վալիդացման մասին տեղեկությունները դոսյեում ներառելու անհրաժեշտությունը (այսինքն՝ արդյոք գրանցումից առաջ տվյալ տեղեկությունները ներկայացնելն անհրաժեշտ է): Այս տեղեկությունները, որպես կանոն, պահանջվում են ոչ ստանդարտ մեթոդների (պրոցեսների) օգտագործման դեպքում: Ստանդարտ պրոցեսների մասով անհրաժեշտ է գնահատել գրանցման դոսյեի 3.2.R բաժնում ներառված արտադրության պրոցեսի վալիդացման սխեման:</w:t>
      </w:r>
    </w:p>
    <w:p w14:paraId="26FAE823"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Արտադրության պրոցեսի շարունակական ստուգում առաջարկվելու դեպքում անհրաժեշտ է գնահատել մշակման գծով բավարար տվյալների </w:t>
      </w:r>
      <w:r w:rsidR="00C54D75">
        <w:rPr>
          <w:rFonts w:ascii="Sylfaen" w:hAnsi="Sylfaen"/>
          <w:sz w:val="24"/>
          <w:szCs w:val="24"/>
        </w:rPr>
        <w:t>և</w:t>
      </w:r>
      <w:r w:rsidRPr="003B2786">
        <w:rPr>
          <w:rFonts w:ascii="Sylfaen" w:hAnsi="Sylfaen"/>
          <w:sz w:val="24"/>
          <w:szCs w:val="24"/>
        </w:rPr>
        <w:t xml:space="preserve"> հսկողության ռազմավարության բավարար աստիճանի առկայությունը, որոնք թույլ են տալիս իրական ժամանակում արտադրության պրոցեսի կրիտիկական պարամետրերի </w:t>
      </w:r>
      <w:r w:rsidR="00C54D75">
        <w:rPr>
          <w:rFonts w:ascii="Sylfaen" w:hAnsi="Sylfaen"/>
          <w:sz w:val="24"/>
          <w:szCs w:val="24"/>
        </w:rPr>
        <w:t>և</w:t>
      </w:r>
      <w:r w:rsidRPr="003B2786">
        <w:rPr>
          <w:rFonts w:ascii="Sylfaen" w:hAnsi="Sylfaen"/>
          <w:sz w:val="24"/>
          <w:szCs w:val="24"/>
        </w:rPr>
        <w:t xml:space="preserve"> նյութերի որակի կրիտիկական ցուցանիշների մոնիթորինգ իրականացնել:</w:t>
      </w:r>
    </w:p>
    <w:p w14:paraId="02A860C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Տվյալ բաժնում անհրաժեշտ է լիարժեք գնահատել </w:t>
      </w:r>
      <w:r w:rsidR="00C54D75">
        <w:rPr>
          <w:rFonts w:ascii="Sylfaen" w:hAnsi="Sylfaen"/>
          <w:sz w:val="24"/>
          <w:szCs w:val="24"/>
        </w:rPr>
        <w:t>և</w:t>
      </w:r>
      <w:r w:rsidRPr="003B2786">
        <w:rPr>
          <w:rFonts w:ascii="Sylfaen" w:hAnsi="Sylfaen"/>
          <w:sz w:val="24"/>
          <w:szCs w:val="24"/>
        </w:rPr>
        <w:t xml:space="preserve"> մեկնաբանել ըստ պարամետրերի բացթողման բոլոր հարցումները՝ առդնելով GMP (ՊԱԳ) տեսուչների մեկնաբանությունները (եթե կիրառելի է)՝ հաշվի առնելով Միության համապատասխան ձեռնարկը:</w:t>
      </w:r>
    </w:p>
    <w:p w14:paraId="109598DF"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Կիրառելի դեպքերում կարող է պահանջվել կողմնակի ագենտների փոխանցման տեսանկյունից պատրաստուկի անվտանգության գնահատում, որը հարկ է ներառել А.2 հավելվածի մեջ: Տվյալ գնահատականն առավել կիրառելի է կենսատեխնոլոգիական (կենսաբանական) պատրաստուկների նկատմամբ:</w:t>
      </w:r>
    </w:p>
    <w:p w14:paraId="5616700A" w14:textId="77777777" w:rsidR="008C76E0" w:rsidRPr="003B2786" w:rsidRDefault="008C76E0" w:rsidP="00473371">
      <w:pPr>
        <w:spacing w:after="160" w:line="360" w:lineRule="auto"/>
        <w:ind w:right="-1" w:firstLine="567"/>
        <w:jc w:val="both"/>
        <w:outlineLvl w:val="0"/>
        <w:rPr>
          <w:rFonts w:ascii="Sylfaen" w:hAnsi="Sylfaen"/>
          <w:sz w:val="24"/>
          <w:szCs w:val="24"/>
        </w:rPr>
      </w:pPr>
      <w:r w:rsidRPr="003B2786">
        <w:rPr>
          <w:rFonts w:ascii="Sylfaen" w:hAnsi="Sylfaen"/>
          <w:sz w:val="24"/>
          <w:szCs w:val="24"/>
        </w:rPr>
        <w:t>4.4.</w:t>
      </w:r>
      <w:r>
        <w:rPr>
          <w:rFonts w:ascii="Sylfaen" w:hAnsi="Sylfaen"/>
          <w:sz w:val="24"/>
          <w:szCs w:val="24"/>
        </w:rPr>
        <w:tab/>
      </w:r>
      <w:r w:rsidRPr="003B2786">
        <w:rPr>
          <w:rFonts w:ascii="Sylfaen" w:hAnsi="Sylfaen"/>
          <w:sz w:val="24"/>
          <w:szCs w:val="24"/>
        </w:rPr>
        <w:t>Օժանդակ նյութերի որակի հսկողությունը (մոդուլ 3.2.Р.4)</w:t>
      </w:r>
    </w:p>
    <w:p w14:paraId="35D515FC"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արտացոլվում են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փորձաքննության արդյունքները՝</w:t>
      </w:r>
    </w:p>
    <w:p w14:paraId="4AB94308"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Р.4.1.</w:t>
      </w:r>
      <w:r w:rsidRPr="003B2786">
        <w:rPr>
          <w:rFonts w:ascii="Sylfaen" w:hAnsi="Sylfaen"/>
          <w:sz w:val="24"/>
          <w:szCs w:val="24"/>
        </w:rPr>
        <w:tab/>
        <w:t>Մասնագիրը։</w:t>
      </w:r>
    </w:p>
    <w:p w14:paraId="404D659E"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Р.4.2.</w:t>
      </w:r>
      <w:r w:rsidRPr="003B2786">
        <w:rPr>
          <w:rFonts w:ascii="Sylfaen" w:hAnsi="Sylfaen"/>
          <w:sz w:val="24"/>
          <w:szCs w:val="24"/>
        </w:rPr>
        <w:tab/>
        <w:t>Վերլուծական մեթոդիկաները։</w:t>
      </w:r>
    </w:p>
    <w:p w14:paraId="744044D3"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Р.4.3.</w:t>
      </w:r>
      <w:r w:rsidRPr="003B2786">
        <w:rPr>
          <w:rFonts w:ascii="Sylfaen" w:hAnsi="Sylfaen"/>
          <w:sz w:val="24"/>
          <w:szCs w:val="24"/>
        </w:rPr>
        <w:tab/>
        <w:t>Վերլուծական մեթոդիկաների վալիդացումը։</w:t>
      </w:r>
    </w:p>
    <w:p w14:paraId="609D381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Р.4.4.</w:t>
      </w:r>
      <w:r w:rsidRPr="003B2786">
        <w:rPr>
          <w:rFonts w:ascii="Sylfaen" w:hAnsi="Sylfaen"/>
          <w:sz w:val="24"/>
          <w:szCs w:val="24"/>
        </w:rPr>
        <w:tab/>
        <w:t>Մասնագրերի հիմնավորումը:</w:t>
      </w:r>
    </w:p>
    <w:p w14:paraId="0A7E3B8E"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Р.4.5.</w:t>
      </w:r>
      <w:r w:rsidRPr="003B2786">
        <w:rPr>
          <w:rFonts w:ascii="Sylfaen" w:hAnsi="Sylfaen"/>
          <w:sz w:val="24"/>
          <w:szCs w:val="24"/>
        </w:rPr>
        <w:tab/>
        <w:t>Մարդկային կամ կենդանական ծագման օժանդակ նյութերը:</w:t>
      </w:r>
    </w:p>
    <w:p w14:paraId="27BF5E99"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Р.4.6.</w:t>
      </w:r>
      <w:r w:rsidRPr="003B2786">
        <w:rPr>
          <w:rFonts w:ascii="Sylfaen" w:hAnsi="Sylfaen"/>
          <w:sz w:val="24"/>
          <w:szCs w:val="24"/>
        </w:rPr>
        <w:tab/>
        <w:t>Նոր օժանդակ նյութերը:</w:t>
      </w:r>
    </w:p>
    <w:p w14:paraId="739CED4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Միության դեղագրքի հոդվածի առկայության ժամանակ դեպքերի մեծամասնության պարագայում բավարար է բերել համառոտ բնութագիր:</w:t>
      </w:r>
    </w:p>
    <w:p w14:paraId="66475A2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Միության դեղագրքի հոդվածի բացակայության ժամանակ անհրաժեշտ է գնահատել առաջարկվող մասնագրի հիմնավորվածությունը:</w:t>
      </w:r>
    </w:p>
    <w:p w14:paraId="5A5ADEE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գնահատել, թե արդյոք մասնագրերը </w:t>
      </w:r>
      <w:r w:rsidR="00C54D75">
        <w:rPr>
          <w:rFonts w:ascii="Sylfaen" w:hAnsi="Sylfaen"/>
          <w:sz w:val="24"/>
          <w:szCs w:val="24"/>
        </w:rPr>
        <w:t>և</w:t>
      </w:r>
      <w:r w:rsidRPr="003B2786">
        <w:rPr>
          <w:rFonts w:ascii="Sylfaen" w:hAnsi="Sylfaen"/>
          <w:sz w:val="24"/>
          <w:szCs w:val="24"/>
        </w:rPr>
        <w:t xml:space="preserve"> փորձարկումները պատշաճ կերպով արտացոլում են պատրաստուկի դեղագործական-տեխնոլոգիական հատկությունները: Այն առավել մեծ չափով կիրառելի է մատակարարման նոր համակարգերի համար, որոնց որոշ բաղադրիչներ ունեն հատուկ գործառույթ </w:t>
      </w:r>
      <w:r w:rsidR="00C54D75">
        <w:rPr>
          <w:rFonts w:ascii="Sylfaen" w:hAnsi="Sylfaen"/>
          <w:sz w:val="24"/>
          <w:szCs w:val="24"/>
        </w:rPr>
        <w:t>և</w:t>
      </w:r>
      <w:r w:rsidRPr="003B2786">
        <w:rPr>
          <w:rFonts w:ascii="Sylfaen" w:hAnsi="Sylfaen"/>
          <w:sz w:val="24"/>
          <w:szCs w:val="24"/>
        </w:rPr>
        <w:t xml:space="preserve"> պահանջում են առավել մանրամասն նկարագրություն </w:t>
      </w:r>
      <w:r w:rsidR="00C54D75">
        <w:rPr>
          <w:rFonts w:ascii="Sylfaen" w:hAnsi="Sylfaen"/>
          <w:sz w:val="24"/>
          <w:szCs w:val="24"/>
        </w:rPr>
        <w:t>և</w:t>
      </w:r>
      <w:r w:rsidRPr="003B2786">
        <w:rPr>
          <w:rFonts w:ascii="Sylfaen" w:hAnsi="Sylfaen"/>
          <w:sz w:val="24"/>
          <w:szCs w:val="24"/>
        </w:rPr>
        <w:t xml:space="preserve"> հսկողություն, հատկապես՝ դեղագործական-տեխնոլոգիական հատկությունների փորձարկումների մասով:</w:t>
      </w:r>
    </w:p>
    <w:p w14:paraId="6B259E4D" w14:textId="77777777" w:rsidR="008C76E0"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Դեղապատրաստուկի արտադրության մեջ օգտագործվող կենսաբանական նյութերի մասով (օրինակ` արյան կամ պլազմայի այնպիսի ածանցյալի, ինչպիսին մարդու ալբումինն է) անհրաժեշտ է գնահատել աղբյուրը, արտադրությունը, հատկությունների նկարագրությունը </w:t>
      </w:r>
      <w:r w:rsidR="00C54D75">
        <w:rPr>
          <w:rFonts w:ascii="Sylfaen" w:hAnsi="Sylfaen"/>
          <w:sz w:val="24"/>
          <w:szCs w:val="24"/>
        </w:rPr>
        <w:t>և</w:t>
      </w:r>
      <w:r w:rsidRPr="003B2786">
        <w:rPr>
          <w:rFonts w:ascii="Sylfaen" w:hAnsi="Sylfaen"/>
          <w:sz w:val="24"/>
          <w:szCs w:val="24"/>
        </w:rPr>
        <w:t xml:space="preserve"> հսկողությունը: Դեղապատրաստուկների արտադրության մեջ պլազմայից ստացված պատրաստուկների, օրինակ՝ մարդու ալբումինի յուրաքանչյուր օգտագործման դեպքում դրանք պետք է համապատասխանեն Միության ձեռնարկի՝ պլազմայից ստացված դեղապատրաստուկներին ներկայացվող պահանջներին </w:t>
      </w:r>
      <w:r w:rsidR="00C54D75">
        <w:rPr>
          <w:rFonts w:ascii="Sylfaen" w:hAnsi="Sylfaen"/>
          <w:sz w:val="24"/>
          <w:szCs w:val="24"/>
        </w:rPr>
        <w:t>և</w:t>
      </w:r>
      <w:r w:rsidRPr="003B2786">
        <w:rPr>
          <w:rFonts w:ascii="Sylfaen" w:hAnsi="Sylfaen"/>
          <w:sz w:val="24"/>
          <w:szCs w:val="24"/>
        </w:rPr>
        <w:t xml:space="preserve"> ինչպես ալբումինի դեղապատրաստուկների դեպքում, պետք է ունենան փաստաթղթեր՝ ներառելով դոնացիայի ծագումը, որակը </w:t>
      </w:r>
      <w:r w:rsidR="00C54D75">
        <w:rPr>
          <w:rFonts w:ascii="Sylfaen" w:hAnsi="Sylfaen"/>
          <w:sz w:val="24"/>
          <w:szCs w:val="24"/>
        </w:rPr>
        <w:t>և</w:t>
      </w:r>
      <w:r w:rsidRPr="003B2786">
        <w:rPr>
          <w:rFonts w:ascii="Sylfaen" w:hAnsi="Sylfaen"/>
          <w:sz w:val="24"/>
          <w:szCs w:val="24"/>
        </w:rPr>
        <w:t xml:space="preserve"> մասնագրերը:</w:t>
      </w:r>
    </w:p>
    <w:p w14:paraId="1D36E922"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Անհրաժեշտ է հղում բերել գրանցման դոսյեի՝ օժանդակ նյութերի կողմնակի ագենտներին (վիրուսային անվտանգությանը) վերաբերող А2 բաժնին, անհրաժեշտ է պատասխանել այն բոլոր հարցերին, որոնք կապված են փոխանցվող սպունգանման էնցեֆալոպաթիայի (ՓՍԷ) փոխանցման ռիսկի հետ:</w:t>
      </w:r>
    </w:p>
    <w:p w14:paraId="5E9A8C40"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Հարկ է նշել, թե արդյոք պատրաստուկի բաղադրության մեջ առկա են օժանդակ նյութեր, որոնք կարելի է գնահատել որպես սկզբունքորեն նոր կամ դեղագործական շուկայի համար, ընդհանուր առմամբ, ոչ ստանդարտ նյութեր (դեղապատրաստուկի հատկությունների վրա ազդելու մասով), </w:t>
      </w:r>
      <w:r w:rsidR="00C54D75">
        <w:rPr>
          <w:rFonts w:ascii="Sylfaen" w:hAnsi="Sylfaen"/>
          <w:sz w:val="24"/>
          <w:szCs w:val="24"/>
        </w:rPr>
        <w:t>և</w:t>
      </w:r>
      <w:r w:rsidRPr="003B2786">
        <w:rPr>
          <w:rFonts w:ascii="Sylfaen" w:hAnsi="Sylfaen"/>
          <w:sz w:val="24"/>
          <w:szCs w:val="24"/>
        </w:rPr>
        <w:t xml:space="preserve"> այդպիսի նոր օժանդակ նյութերի՝ արտադրության մասով մանրամասն գնահատականի </w:t>
      </w:r>
      <w:r w:rsidR="00C54D75">
        <w:rPr>
          <w:rFonts w:ascii="Sylfaen" w:hAnsi="Sylfaen"/>
          <w:sz w:val="24"/>
          <w:szCs w:val="24"/>
        </w:rPr>
        <w:t>և</w:t>
      </w:r>
      <w:r w:rsidRPr="003B2786">
        <w:rPr>
          <w:rFonts w:ascii="Sylfaen" w:hAnsi="Sylfaen"/>
          <w:sz w:val="24"/>
          <w:szCs w:val="24"/>
        </w:rPr>
        <w:t xml:space="preserve"> </w:t>
      </w:r>
      <w:r w:rsidRPr="003B2786">
        <w:rPr>
          <w:rFonts w:ascii="Sylfaen" w:hAnsi="Sylfaen"/>
          <w:sz w:val="24"/>
          <w:szCs w:val="24"/>
        </w:rPr>
        <w:lastRenderedPageBreak/>
        <w:t>թունաբանական գնահատականի արդյունքները պետք է արտացոլված լինեն առանձին-առանձին:</w:t>
      </w:r>
    </w:p>
    <w:p w14:paraId="6A03575A" w14:textId="77777777" w:rsidR="008C76E0" w:rsidRPr="003B2786" w:rsidRDefault="008C76E0" w:rsidP="00473371">
      <w:pPr>
        <w:spacing w:after="160" w:line="360" w:lineRule="auto"/>
        <w:ind w:right="565" w:firstLine="567"/>
        <w:jc w:val="both"/>
        <w:outlineLvl w:val="0"/>
        <w:rPr>
          <w:rFonts w:ascii="Sylfaen" w:hAnsi="Sylfaen"/>
          <w:sz w:val="24"/>
          <w:szCs w:val="24"/>
        </w:rPr>
      </w:pPr>
      <w:r w:rsidRPr="003B2786">
        <w:rPr>
          <w:rFonts w:ascii="Sylfaen" w:hAnsi="Sylfaen"/>
          <w:sz w:val="24"/>
          <w:szCs w:val="24"/>
        </w:rPr>
        <w:t>4.5.</w:t>
      </w:r>
      <w:r>
        <w:rPr>
          <w:rFonts w:ascii="Sylfaen" w:hAnsi="Sylfaen"/>
          <w:sz w:val="24"/>
          <w:szCs w:val="24"/>
        </w:rPr>
        <w:tab/>
      </w:r>
      <w:r w:rsidRPr="003B2786">
        <w:rPr>
          <w:rFonts w:ascii="Sylfaen" w:hAnsi="Sylfaen"/>
          <w:sz w:val="24"/>
          <w:szCs w:val="24"/>
        </w:rPr>
        <w:t>Դեղապատրաստուկի որակի հսկողությունը (մոդուլ 3.2.Р.5)</w:t>
      </w:r>
    </w:p>
    <w:p w14:paraId="1D3B0B5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արտացոլվում են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փորձաքննության արդյունքները՝</w:t>
      </w:r>
    </w:p>
    <w:p w14:paraId="7D2DB9F3"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Р.5.1.</w:t>
      </w:r>
      <w:r w:rsidRPr="003B2786">
        <w:rPr>
          <w:rFonts w:ascii="Sylfaen" w:hAnsi="Sylfaen"/>
          <w:sz w:val="24"/>
          <w:szCs w:val="24"/>
        </w:rPr>
        <w:tab/>
        <w:t>Մասնագրերը։</w:t>
      </w:r>
    </w:p>
    <w:p w14:paraId="5E43A0D4"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Р.5.2.</w:t>
      </w:r>
      <w:r w:rsidRPr="003B2786">
        <w:rPr>
          <w:rFonts w:ascii="Sylfaen" w:hAnsi="Sylfaen"/>
          <w:sz w:val="24"/>
          <w:szCs w:val="24"/>
        </w:rPr>
        <w:tab/>
        <w:t>Վերլուծական մեթոդիկաները։</w:t>
      </w:r>
    </w:p>
    <w:p w14:paraId="637DC11A"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Р.5.3.</w:t>
      </w:r>
      <w:r w:rsidRPr="003B2786">
        <w:rPr>
          <w:rFonts w:ascii="Sylfaen" w:hAnsi="Sylfaen"/>
          <w:sz w:val="24"/>
          <w:szCs w:val="24"/>
        </w:rPr>
        <w:tab/>
        <w:t>Վերլուծական մեթոդիկաների վալիդացումը։</w:t>
      </w:r>
    </w:p>
    <w:p w14:paraId="6A65E559"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Р.5.4.</w:t>
      </w:r>
      <w:r w:rsidRPr="003B2786">
        <w:rPr>
          <w:rFonts w:ascii="Sylfaen" w:hAnsi="Sylfaen"/>
          <w:sz w:val="24"/>
          <w:szCs w:val="24"/>
        </w:rPr>
        <w:tab/>
        <w:t>Սերիաների վերլուծության արդյունքները:</w:t>
      </w:r>
    </w:p>
    <w:p w14:paraId="621C7E8B"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Р.5.5.</w:t>
      </w:r>
      <w:r w:rsidRPr="003B2786">
        <w:rPr>
          <w:rFonts w:ascii="Sylfaen" w:hAnsi="Sylfaen"/>
          <w:sz w:val="24"/>
          <w:szCs w:val="24"/>
        </w:rPr>
        <w:tab/>
        <w:t>Խառնուկների բնութագրերը:</w:t>
      </w:r>
    </w:p>
    <w:p w14:paraId="7A2F73F5"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Р.5.6.</w:t>
      </w:r>
      <w:r w:rsidRPr="003B2786">
        <w:rPr>
          <w:rFonts w:ascii="Sylfaen" w:hAnsi="Sylfaen"/>
          <w:sz w:val="24"/>
          <w:szCs w:val="24"/>
        </w:rPr>
        <w:tab/>
        <w:t>Մասնագրերի հիմնավորումները:</w:t>
      </w:r>
    </w:p>
    <w:p w14:paraId="0980799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Մասնագիրը. անհրաժեշտ է աղյուսակային տեսքով ներկայացնել բացթողման մասնագրերը </w:t>
      </w:r>
      <w:r w:rsidR="00C54D75">
        <w:rPr>
          <w:rFonts w:ascii="Sylfaen" w:hAnsi="Sylfaen"/>
          <w:sz w:val="24"/>
          <w:szCs w:val="24"/>
        </w:rPr>
        <w:t>և</w:t>
      </w:r>
      <w:r w:rsidRPr="003B2786">
        <w:rPr>
          <w:rFonts w:ascii="Sylfaen" w:hAnsi="Sylfaen"/>
          <w:sz w:val="24"/>
          <w:szCs w:val="24"/>
        </w:rPr>
        <w:t xml:space="preserve"> մինչ</w:t>
      </w:r>
      <w:r w:rsidR="00C54D75">
        <w:rPr>
          <w:rFonts w:ascii="Sylfaen" w:hAnsi="Sylfaen"/>
          <w:sz w:val="24"/>
          <w:szCs w:val="24"/>
        </w:rPr>
        <w:t>և</w:t>
      </w:r>
      <w:r w:rsidRPr="003B2786">
        <w:rPr>
          <w:rFonts w:ascii="Sylfaen" w:hAnsi="Sylfaen"/>
          <w:sz w:val="24"/>
          <w:szCs w:val="24"/>
        </w:rPr>
        <w:t xml:space="preserve"> պիտանելիության ժամկետի (պահպանության ժամկետի) ավարտը գործող մասնագրերը՝ դրանք մեկը մյուսի հետ համեմատելով </w:t>
      </w:r>
      <w:r w:rsidR="00C54D75">
        <w:rPr>
          <w:rFonts w:ascii="Sylfaen" w:hAnsi="Sylfaen"/>
          <w:sz w:val="24"/>
          <w:szCs w:val="24"/>
        </w:rPr>
        <w:t>և</w:t>
      </w:r>
      <w:r w:rsidRPr="003B2786">
        <w:rPr>
          <w:rFonts w:ascii="Sylfaen" w:hAnsi="Sylfaen"/>
          <w:sz w:val="24"/>
          <w:szCs w:val="24"/>
        </w:rPr>
        <w:t xml:space="preserve"> օգտագործված մեթոդին արված համառոտ հղումով:</w:t>
      </w:r>
    </w:p>
    <w:p w14:paraId="20C45105"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Եթե առաջարկված է բացթողում ըստ պարամետրերի՝ իրական ժամանակի ռեժիմում հսկողությամբ, պետք է նշել, թե արդյոք հայտատուն հաստատել է պատրաստուկի բնութագրերի </w:t>
      </w:r>
      <w:r w:rsidR="00C54D75">
        <w:rPr>
          <w:rFonts w:ascii="Sylfaen" w:hAnsi="Sylfaen"/>
          <w:sz w:val="24"/>
          <w:szCs w:val="24"/>
        </w:rPr>
        <w:t>և</w:t>
      </w:r>
      <w:r w:rsidRPr="003B2786">
        <w:rPr>
          <w:rFonts w:ascii="Sylfaen" w:hAnsi="Sylfaen"/>
          <w:sz w:val="24"/>
          <w:szCs w:val="24"/>
        </w:rPr>
        <w:t xml:space="preserve"> դրա արտադրության պրոցեսի խորը ըմբռնումը: Անհրաժեշտ է նշել, թե արդյոք հայտատուն նախատեսել է արտադրության պրոցեսի այնպիսի կրիտիկական պարամետրերի </w:t>
      </w:r>
      <w:r w:rsidR="00C54D75">
        <w:rPr>
          <w:rFonts w:ascii="Sylfaen" w:hAnsi="Sylfaen"/>
          <w:sz w:val="24"/>
          <w:szCs w:val="24"/>
        </w:rPr>
        <w:t>և</w:t>
      </w:r>
      <w:r w:rsidRPr="003B2786">
        <w:rPr>
          <w:rFonts w:ascii="Sylfaen" w:hAnsi="Sylfaen"/>
          <w:sz w:val="24"/>
          <w:szCs w:val="24"/>
        </w:rPr>
        <w:t xml:space="preserve"> նյութերի որակի այնպիսի կրիտիկական ցուցանիշների պատշաճ հսկողություն, որոնցով կհիմնավորվեր իրական ժամանակի ռեժիմում հսկողությամբ ըստ պարամետրերի բացթողումը: Անհրաժեշտ է գնահատել, թե արդյոք հայտատուի կողմից հաշվի են առնվել արտադրական միջավայրի գործոնները վերջնական արտադրանքի փորձարկման ժամանակ ստացված սերիաների </w:t>
      </w:r>
      <w:r w:rsidR="00C54D75">
        <w:rPr>
          <w:rFonts w:ascii="Sylfaen" w:hAnsi="Sylfaen"/>
          <w:sz w:val="24"/>
          <w:szCs w:val="24"/>
        </w:rPr>
        <w:t>և</w:t>
      </w:r>
      <w:r w:rsidRPr="003B2786">
        <w:rPr>
          <w:rFonts w:ascii="Sylfaen" w:hAnsi="Sylfaen"/>
          <w:sz w:val="24"/>
          <w:szCs w:val="24"/>
        </w:rPr>
        <w:t xml:space="preserve"> իրական ժամանակում փորձարկումների ժամանակ ստացված սերիաների վերլուծության արդյունքների համեմատություն </w:t>
      </w:r>
      <w:r w:rsidRPr="003B2786">
        <w:rPr>
          <w:rFonts w:ascii="Sylfaen" w:hAnsi="Sylfaen"/>
          <w:sz w:val="24"/>
          <w:szCs w:val="24"/>
        </w:rPr>
        <w:lastRenderedPageBreak/>
        <w:t xml:space="preserve">անցկացնելիս: Անհրաժեշտ է նշել, թե արդյոք ներառված է տարվա ընթացքում իրական ժամանակի ռեժիմում պատրաստի պատրաստուկի հսկողությամբ՝ ըստ պարամետրերի բացթողման արդյունքների </w:t>
      </w:r>
      <w:r w:rsidR="00C54D75">
        <w:rPr>
          <w:rFonts w:ascii="Sylfaen" w:hAnsi="Sylfaen"/>
          <w:sz w:val="24"/>
          <w:szCs w:val="24"/>
        </w:rPr>
        <w:t>և</w:t>
      </w:r>
      <w:r w:rsidRPr="003B2786">
        <w:rPr>
          <w:rFonts w:ascii="Sylfaen" w:hAnsi="Sylfaen"/>
          <w:sz w:val="24"/>
          <w:szCs w:val="24"/>
        </w:rPr>
        <w:t xml:space="preserve"> իրական ժամանակի ռեժիմում բավարար թվով սերիաների հսկողությամբ՝ ըստ պարամետրերի բացթողման արդյունքների համեմատումը նախատեսող սխեմա: Եթե դեղապատրաստուկի որակի ցուցանիշների կանխատեսման կամ արտադրության պրոցեսի «հոսքագծում» մոնիթորինգի նպատակով օգտագործվել են բազմաչափ մոդելներ, հարկ է անդրադառնալ սույն փաստաթղթի թիվ 3 հավելվածին:</w:t>
      </w:r>
    </w:p>
    <w:p w14:paraId="2665002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Մասնագրման ռեզյումեն, կար</w:t>
      </w:r>
      <w:r w:rsidR="00C54D75">
        <w:rPr>
          <w:rFonts w:ascii="Sylfaen" w:hAnsi="Sylfaen"/>
          <w:sz w:val="24"/>
          <w:szCs w:val="24"/>
        </w:rPr>
        <w:t>և</w:t>
      </w:r>
      <w:r w:rsidRPr="003B2786">
        <w:rPr>
          <w:rFonts w:ascii="Sylfaen" w:hAnsi="Sylfaen"/>
          <w:sz w:val="24"/>
          <w:szCs w:val="24"/>
        </w:rPr>
        <w:t>որ փորձարկումները, որոնք հատկապես առնչվում են կենսամատչելիությանը կամ արդյունավետությանը (օրինակ՝ լուծելիությունը, մասնիկների չափսերը, բազմաձ</w:t>
      </w:r>
      <w:r w:rsidR="00C54D75">
        <w:rPr>
          <w:rFonts w:ascii="Sylfaen" w:hAnsi="Sylfaen"/>
          <w:sz w:val="24"/>
          <w:szCs w:val="24"/>
        </w:rPr>
        <w:t>և</w:t>
      </w:r>
      <w:r w:rsidRPr="003B2786">
        <w:rPr>
          <w:rFonts w:ascii="Sylfaen" w:hAnsi="Sylfaen"/>
          <w:sz w:val="24"/>
          <w:szCs w:val="24"/>
        </w:rPr>
        <w:t xml:space="preserve">ությունը, եթե կիրառելի է) </w:t>
      </w:r>
      <w:r w:rsidR="00C54D75">
        <w:rPr>
          <w:rFonts w:ascii="Sylfaen" w:hAnsi="Sylfaen"/>
          <w:sz w:val="24"/>
          <w:szCs w:val="24"/>
        </w:rPr>
        <w:t>և</w:t>
      </w:r>
      <w:r w:rsidRPr="003B2786">
        <w:rPr>
          <w:rFonts w:ascii="Sylfaen" w:hAnsi="Sylfaen"/>
          <w:sz w:val="24"/>
          <w:szCs w:val="24"/>
        </w:rPr>
        <w:t xml:space="preserve"> անվտանգությանը (խառնուկները, մանրէազերծությունը, պիրոգենները կամ բակտերիալ էնդոտոքսինները </w:t>
      </w:r>
      <w:r w:rsidR="00C54D75">
        <w:rPr>
          <w:rFonts w:ascii="Sylfaen" w:hAnsi="Sylfaen"/>
          <w:sz w:val="24"/>
          <w:szCs w:val="24"/>
        </w:rPr>
        <w:t>և</w:t>
      </w:r>
      <w:r w:rsidRPr="003B2786">
        <w:rPr>
          <w:rFonts w:ascii="Sylfaen" w:hAnsi="Sylfaen"/>
          <w:sz w:val="24"/>
          <w:szCs w:val="24"/>
        </w:rPr>
        <w:t xml:space="preserve"> այլն՝ մանրէազերծ պատրաստուկների համար): Հարկ է գնահատել բացթողման մասնագրի ընդհանուր նշանակալիությունը՝ հաշվի առնելով արտադրության մեթոդը </w:t>
      </w:r>
      <w:r w:rsidR="00C54D75">
        <w:rPr>
          <w:rFonts w:ascii="Sylfaen" w:hAnsi="Sylfaen"/>
          <w:sz w:val="24"/>
          <w:szCs w:val="24"/>
        </w:rPr>
        <w:t>և</w:t>
      </w:r>
      <w:r w:rsidRPr="003B2786">
        <w:rPr>
          <w:rFonts w:ascii="Sylfaen" w:hAnsi="Sylfaen"/>
          <w:sz w:val="24"/>
          <w:szCs w:val="24"/>
        </w:rPr>
        <w:t xml:space="preserve"> կլինիկական կիրառումը, ներմուծման եղանակները </w:t>
      </w:r>
      <w:r w:rsidR="00C54D75">
        <w:rPr>
          <w:rFonts w:ascii="Sylfaen" w:hAnsi="Sylfaen"/>
          <w:sz w:val="24"/>
          <w:szCs w:val="24"/>
        </w:rPr>
        <w:t>և</w:t>
      </w:r>
      <w:r w:rsidRPr="003B2786">
        <w:rPr>
          <w:rFonts w:ascii="Sylfaen" w:hAnsi="Sylfaen"/>
          <w:sz w:val="24"/>
          <w:szCs w:val="24"/>
        </w:rPr>
        <w:t xml:space="preserve"> այլն:</w:t>
      </w:r>
    </w:p>
    <w:p w14:paraId="0BC317F5" w14:textId="77777777" w:rsidR="008C76E0" w:rsidRPr="003B2786" w:rsidRDefault="008C76E0" w:rsidP="00473371">
      <w:pPr>
        <w:spacing w:after="160" w:line="384" w:lineRule="auto"/>
        <w:ind w:firstLine="567"/>
        <w:jc w:val="both"/>
        <w:rPr>
          <w:rFonts w:ascii="Sylfaen" w:hAnsi="Sylfaen"/>
          <w:sz w:val="24"/>
          <w:szCs w:val="24"/>
        </w:rPr>
      </w:pPr>
      <w:r w:rsidRPr="00C0450A">
        <w:rPr>
          <w:rFonts w:ascii="Sylfaen" w:hAnsi="Sylfaen"/>
          <w:spacing w:val="-6"/>
          <w:sz w:val="24"/>
          <w:szCs w:val="24"/>
        </w:rPr>
        <w:t xml:space="preserve">Վերլուծական մեթոդիկաների վալիդացումը. անհրաժեշտ է գնահատել Միության համապատասախան ձեռնարկի պահանջներին </w:t>
      </w:r>
      <w:r w:rsidRPr="003B2786">
        <w:rPr>
          <w:rFonts w:ascii="Sylfaen" w:hAnsi="Sylfaen"/>
          <w:sz w:val="24"/>
          <w:szCs w:val="24"/>
        </w:rPr>
        <w:t>համապատասխանությունը՝ նշելով շեղումները, եթե այդպիսիք առկա են: Տվյալ բաժնում (Р.5) անհրաժեշտ է գնահատել բոլոր վերլուծական մեթոդիկաները, որոնք նկարագրված են ինչպես բացթողման, այնպես էլ պիտանելիության ժամկետի մասնագրում:</w:t>
      </w:r>
    </w:p>
    <w:p w14:paraId="567AD24B"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Անհրաժեշտ է համոզվել, որ դեղապատրաստուկի վերաբերյալ մասնագրում խառնուկների փորձարկումների օբյեկտ են համարվում քայքայման այն արգասիքները, որոնք առաջացել են արտադրության, ինչպես նա</w:t>
      </w:r>
      <w:r w:rsidR="00C54D75">
        <w:rPr>
          <w:rFonts w:ascii="Sylfaen" w:hAnsi="Sylfaen"/>
          <w:sz w:val="24"/>
          <w:szCs w:val="24"/>
        </w:rPr>
        <w:t>և</w:t>
      </w:r>
      <w:r w:rsidRPr="003B2786">
        <w:rPr>
          <w:rFonts w:ascii="Sylfaen" w:hAnsi="Sylfaen"/>
          <w:sz w:val="24"/>
          <w:szCs w:val="24"/>
        </w:rPr>
        <w:t xml:space="preserve"> պահպանման ընթացքում, իսկ դեղագործական նյութից առաջ եկող ոչ տեխնոլոգիական խառնուկները, եթե դրանք ենթակա են դեղագործական բաղադրամասի մակարդակով հսկողության, </w:t>
      </w:r>
      <w:r w:rsidR="00C54D75">
        <w:rPr>
          <w:rFonts w:ascii="Sylfaen" w:hAnsi="Sylfaen"/>
          <w:sz w:val="24"/>
          <w:szCs w:val="24"/>
        </w:rPr>
        <w:t>և</w:t>
      </w:r>
      <w:r w:rsidRPr="003B2786">
        <w:rPr>
          <w:rFonts w:ascii="Sylfaen" w:hAnsi="Sylfaen"/>
          <w:sz w:val="24"/>
          <w:szCs w:val="24"/>
        </w:rPr>
        <w:t xml:space="preserve"> դրանց պրոֆիլը դեղապատրաստուկի պահպանման ժամանակ չի փոփոխվում:</w:t>
      </w:r>
    </w:p>
    <w:p w14:paraId="40E25B3E"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lastRenderedPageBreak/>
        <w:t xml:space="preserve">Սերիաների վերլուծության արձանագրությունները (n = </w:t>
      </w:r>
      <w:r w:rsidRPr="003B2786">
        <w:rPr>
          <w:rStyle w:val="Bodytext295pt"/>
          <w:rFonts w:ascii="Sylfaen" w:eastAsiaTheme="minorHAnsi" w:hAnsi="Sylfaen"/>
          <w:b w:val="0"/>
          <w:sz w:val="24"/>
          <w:szCs w:val="24"/>
        </w:rPr>
        <w:t>«նշել քանակը»)</w:t>
      </w:r>
      <w:r w:rsidRPr="003B2786">
        <w:rPr>
          <w:rFonts w:ascii="Sylfaen" w:hAnsi="Sylfaen"/>
          <w:b/>
          <w:sz w:val="24"/>
          <w:szCs w:val="24"/>
        </w:rPr>
        <w:t>՝</w:t>
      </w:r>
    </w:p>
    <w:p w14:paraId="46D324C0"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 xml:space="preserve">անհրաժեշտ է գնահատել, թե արդյոք ստացված արդյունքներով հաստատվում են դեղապատրաստուկի միատիպությունը </w:t>
      </w:r>
      <w:r w:rsidR="00C54D75">
        <w:rPr>
          <w:rFonts w:ascii="Sylfaen" w:hAnsi="Sylfaen"/>
          <w:sz w:val="24"/>
          <w:szCs w:val="24"/>
        </w:rPr>
        <w:t>և</w:t>
      </w:r>
      <w:r w:rsidRPr="003B2786">
        <w:rPr>
          <w:rFonts w:ascii="Sylfaen" w:hAnsi="Sylfaen"/>
          <w:sz w:val="24"/>
          <w:szCs w:val="24"/>
        </w:rPr>
        <w:t xml:space="preserve"> համասեռությունը: Անհրաժեշտ է գնահատել, թե արդյոք արտադրության պրոցեսները վերահսկելի են:</w:t>
      </w:r>
    </w:p>
    <w:p w14:paraId="2D35C1AD"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Ռադիոդեղագործական պատրաստուկների դեպքում անհրաժեշտ է գնահատել «սառը» վերականգնվող հավաքածուների ռադիոքիմիական մաքրությունը, եթե կիրառելի է:</w:t>
      </w:r>
    </w:p>
    <w:p w14:paraId="0253E13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Կենսատեխնոլոգիական դեղապատրաստուկների դեպքում ԱԴԲ-ի մասնագրում նկարագրված կրիտիկական տարրերը շատ դեպքերում կիրառելի են նա</w:t>
      </w:r>
      <w:r w:rsidR="00C54D75">
        <w:rPr>
          <w:rFonts w:ascii="Sylfaen" w:hAnsi="Sylfaen"/>
          <w:sz w:val="24"/>
          <w:szCs w:val="24"/>
        </w:rPr>
        <w:t>և</w:t>
      </w:r>
      <w:r w:rsidRPr="003B2786">
        <w:rPr>
          <w:rFonts w:ascii="Sylfaen" w:hAnsi="Sylfaen"/>
          <w:sz w:val="24"/>
          <w:szCs w:val="24"/>
        </w:rPr>
        <w:t xml:space="preserve"> դեղապատրաստուկի համար:</w:t>
      </w:r>
    </w:p>
    <w:p w14:paraId="66F3CCE0" w14:textId="77777777" w:rsidR="008C76E0" w:rsidRPr="003B2786" w:rsidRDefault="008C76E0" w:rsidP="00473371">
      <w:pPr>
        <w:spacing w:after="160" w:line="384" w:lineRule="auto"/>
        <w:ind w:right="-1" w:firstLine="567"/>
        <w:jc w:val="both"/>
        <w:rPr>
          <w:rFonts w:ascii="Sylfaen" w:hAnsi="Sylfaen" w:cs="TimesNewRomanPSMT"/>
          <w:sz w:val="24"/>
          <w:szCs w:val="24"/>
        </w:rPr>
      </w:pPr>
      <w:r>
        <w:rPr>
          <w:rFonts w:ascii="Sylfaen" w:hAnsi="Sylfaen"/>
          <w:sz w:val="24"/>
          <w:szCs w:val="24"/>
        </w:rPr>
        <w:t>4.6.</w:t>
      </w:r>
      <w:r>
        <w:rPr>
          <w:rFonts w:ascii="Sylfaen" w:hAnsi="Sylfaen"/>
          <w:sz w:val="24"/>
          <w:szCs w:val="24"/>
        </w:rPr>
        <w:tab/>
      </w:r>
      <w:r w:rsidRPr="003B2786">
        <w:rPr>
          <w:rFonts w:ascii="Sylfaen" w:hAnsi="Sylfaen"/>
          <w:sz w:val="24"/>
          <w:szCs w:val="24"/>
        </w:rPr>
        <w:t xml:space="preserve">Ստանդարտ նմուշները </w:t>
      </w:r>
      <w:r w:rsidR="00C54D75">
        <w:rPr>
          <w:rFonts w:ascii="Sylfaen" w:hAnsi="Sylfaen"/>
          <w:sz w:val="24"/>
          <w:szCs w:val="24"/>
        </w:rPr>
        <w:t>և</w:t>
      </w:r>
      <w:r w:rsidRPr="003B2786">
        <w:rPr>
          <w:rFonts w:ascii="Sylfaen" w:hAnsi="Sylfaen"/>
          <w:sz w:val="24"/>
          <w:szCs w:val="24"/>
        </w:rPr>
        <w:t xml:space="preserve"> նյութերը (մոդուլ 3.2.P.6)</w:t>
      </w:r>
    </w:p>
    <w:p w14:paraId="32079BAC"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Կիրառելիության դեպքում բաժինը լրացվում է՝ հաշվի առնելով գրանցման դոսյեի S.5 մոդուլում ներառված տեղեկատվությունը:</w:t>
      </w:r>
    </w:p>
    <w:p w14:paraId="68EBEE59" w14:textId="77777777" w:rsidR="00473371" w:rsidRPr="00E15E7D" w:rsidRDefault="00473371">
      <w:pPr>
        <w:widowControl/>
        <w:rPr>
          <w:rFonts w:ascii="Sylfaen" w:hAnsi="Sylfaen"/>
          <w:sz w:val="24"/>
          <w:szCs w:val="24"/>
        </w:rPr>
      </w:pPr>
    </w:p>
    <w:p w14:paraId="3E23B681"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Նոր կամ հայտնի քիմիական միացությունները:</w:t>
      </w:r>
    </w:p>
    <w:p w14:paraId="7B1D5B7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Նշել, թե արդյոք հասանելի են հիմնական դեղագրքերի ստանդարտ նմուշները՝ Եվրասիական տնտեսական հանձնաժողովի կողմից հաստատվող՝ Եվրասիական տնտեսական միության անդամ պետությունների դեղագրքերի ներդաշնակեցման հայեցակարգին համապատասխան:</w:t>
      </w:r>
    </w:p>
    <w:p w14:paraId="304AAD9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Կենսաբանական դեղապատրաստուկի մասով անհրաժեշտ է աղյուսակային տեսքով ներկայացնել ռեֆերենտ</w:t>
      </w:r>
      <w:r w:rsidRPr="003B2786" w:rsidDel="008C67E8">
        <w:rPr>
          <w:rFonts w:ascii="Sylfaen" w:hAnsi="Sylfaen"/>
          <w:sz w:val="24"/>
          <w:szCs w:val="24"/>
        </w:rPr>
        <w:t xml:space="preserve"> </w:t>
      </w:r>
      <w:r w:rsidRPr="003B2786">
        <w:rPr>
          <w:rFonts w:ascii="Sylfaen" w:hAnsi="Sylfaen"/>
          <w:sz w:val="24"/>
          <w:szCs w:val="24"/>
        </w:rPr>
        <w:t>դեղապատրաստուկի մասին հետ</w:t>
      </w:r>
      <w:r w:rsidR="00C54D75">
        <w:rPr>
          <w:rFonts w:ascii="Sylfaen" w:hAnsi="Sylfaen"/>
          <w:sz w:val="24"/>
          <w:szCs w:val="24"/>
        </w:rPr>
        <w:t>և</w:t>
      </w:r>
      <w:r w:rsidRPr="003B2786">
        <w:rPr>
          <w:rFonts w:ascii="Sylfaen" w:hAnsi="Sylfaen"/>
          <w:sz w:val="24"/>
          <w:szCs w:val="24"/>
        </w:rPr>
        <w:t>յալ տեղեկությունները՝ անվանումը, դոզավորումը, դեղաձ</w:t>
      </w:r>
      <w:r w:rsidR="00C54D75">
        <w:rPr>
          <w:rFonts w:ascii="Sylfaen" w:hAnsi="Sylfaen"/>
          <w:sz w:val="24"/>
          <w:szCs w:val="24"/>
        </w:rPr>
        <w:t>և</w:t>
      </w:r>
      <w:r w:rsidRPr="003B2786">
        <w:rPr>
          <w:rFonts w:ascii="Sylfaen" w:hAnsi="Sylfaen"/>
          <w:sz w:val="24"/>
          <w:szCs w:val="24"/>
        </w:rPr>
        <w:t xml:space="preserve">ը, գրանցման հավաստագրի իրավատերը, համադրելիության հետազոտություններում օգտագործված սերիաների համարները </w:t>
      </w:r>
      <w:r w:rsidR="00C54D75">
        <w:rPr>
          <w:rFonts w:ascii="Sylfaen" w:hAnsi="Sylfaen"/>
          <w:sz w:val="24"/>
          <w:szCs w:val="24"/>
        </w:rPr>
        <w:t>և</w:t>
      </w:r>
      <w:r w:rsidRPr="003B2786">
        <w:rPr>
          <w:rFonts w:ascii="Sylfaen" w:hAnsi="Sylfaen"/>
          <w:sz w:val="24"/>
          <w:szCs w:val="24"/>
        </w:rPr>
        <w:t xml:space="preserve"> ծագման երկիրը (ռեֆերենտ</w:t>
      </w:r>
      <w:r w:rsidRPr="003B2786" w:rsidDel="008C67E8">
        <w:rPr>
          <w:rFonts w:ascii="Sylfaen" w:hAnsi="Sylfaen"/>
          <w:sz w:val="24"/>
          <w:szCs w:val="24"/>
        </w:rPr>
        <w:t xml:space="preserve"> </w:t>
      </w:r>
      <w:r w:rsidRPr="003B2786">
        <w:rPr>
          <w:rFonts w:ascii="Sylfaen" w:hAnsi="Sylfaen"/>
          <w:sz w:val="24"/>
          <w:szCs w:val="24"/>
        </w:rPr>
        <w:t xml:space="preserve">դեղապատրաստուկը պետք է արտադրված լինի լավ կարգավորվող </w:t>
      </w:r>
      <w:r w:rsidRPr="003B2786">
        <w:rPr>
          <w:rFonts w:ascii="Sylfaen" w:hAnsi="Sylfaen"/>
          <w:sz w:val="24"/>
          <w:szCs w:val="24"/>
        </w:rPr>
        <w:lastRenderedPageBreak/>
        <w:t>դեղագործական շուկայով երկրներում):</w:t>
      </w:r>
    </w:p>
    <w:p w14:paraId="3BF226BD" w14:textId="77777777" w:rsidR="008C76E0" w:rsidRPr="003B2786" w:rsidRDefault="008C76E0" w:rsidP="00473371">
      <w:pPr>
        <w:spacing w:after="160" w:line="360" w:lineRule="auto"/>
        <w:ind w:firstLine="567"/>
        <w:jc w:val="both"/>
        <w:outlineLvl w:val="0"/>
        <w:rPr>
          <w:rFonts w:ascii="Sylfaen" w:hAnsi="Sylfaen"/>
          <w:sz w:val="24"/>
          <w:szCs w:val="24"/>
        </w:rPr>
      </w:pPr>
      <w:r w:rsidRPr="003B2786">
        <w:rPr>
          <w:rFonts w:ascii="Sylfaen" w:hAnsi="Sylfaen"/>
          <w:sz w:val="24"/>
          <w:szCs w:val="24"/>
        </w:rPr>
        <w:t>4.7.</w:t>
      </w:r>
      <w:r>
        <w:rPr>
          <w:rFonts w:ascii="Sylfaen" w:hAnsi="Sylfaen"/>
          <w:sz w:val="24"/>
          <w:szCs w:val="24"/>
        </w:rPr>
        <w:tab/>
      </w:r>
      <w:r w:rsidRPr="003B2786">
        <w:rPr>
          <w:rFonts w:ascii="Sylfaen" w:hAnsi="Sylfaen"/>
          <w:sz w:val="24"/>
          <w:szCs w:val="24"/>
        </w:rPr>
        <w:t>Փաթեթավորման (խցանափակման) համակարգը (մոդուլ 3.2.Р.7)</w:t>
      </w:r>
    </w:p>
    <w:p w14:paraId="53C4F2E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գնահատել կոնտեյների </w:t>
      </w:r>
      <w:r w:rsidR="00C54D75">
        <w:rPr>
          <w:rFonts w:ascii="Sylfaen" w:hAnsi="Sylfaen"/>
          <w:sz w:val="24"/>
          <w:szCs w:val="24"/>
        </w:rPr>
        <w:t>և</w:t>
      </w:r>
      <w:r w:rsidRPr="003B2786">
        <w:rPr>
          <w:rFonts w:ascii="Sylfaen" w:hAnsi="Sylfaen"/>
          <w:sz w:val="24"/>
          <w:szCs w:val="24"/>
        </w:rPr>
        <w:t xml:space="preserve"> խցանափակման ընտրության հիմնավորումը՝ հաշվի առնելով դեղապատրաստուկի ֆիզիկական </w:t>
      </w:r>
      <w:r w:rsidR="00C54D75">
        <w:rPr>
          <w:rFonts w:ascii="Sylfaen" w:hAnsi="Sylfaen"/>
          <w:sz w:val="24"/>
          <w:szCs w:val="24"/>
        </w:rPr>
        <w:t>և</w:t>
      </w:r>
      <w:r w:rsidRPr="003B2786">
        <w:rPr>
          <w:rFonts w:ascii="Sylfaen" w:hAnsi="Sylfaen"/>
          <w:sz w:val="24"/>
          <w:szCs w:val="24"/>
        </w:rPr>
        <w:t xml:space="preserve"> քիմիական հատկությունները:</w:t>
      </w:r>
    </w:p>
    <w:p w14:paraId="45A87F3C"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գնահատել մանրէային կոնտամինացիայից բավարար պաշտպանություն ապահովելու՝ փաթեթավորման </w:t>
      </w:r>
      <w:r w:rsidR="00C54D75">
        <w:rPr>
          <w:rFonts w:ascii="Sylfaen" w:hAnsi="Sylfaen"/>
          <w:sz w:val="24"/>
          <w:szCs w:val="24"/>
        </w:rPr>
        <w:t>և</w:t>
      </w:r>
      <w:r w:rsidRPr="003B2786">
        <w:rPr>
          <w:rFonts w:ascii="Sylfaen" w:hAnsi="Sylfaen"/>
          <w:sz w:val="24"/>
          <w:szCs w:val="24"/>
        </w:rPr>
        <w:t xml:space="preserve"> խցանափակման հնարավորությունը:</w:t>
      </w:r>
    </w:p>
    <w:p w14:paraId="6C25F46A"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Անհրաժեշտ է համոզվել, որ ընթացիկ պահպանման համար առաջարկվող կոնտեյներները համընկնում են պիտանելիության ժամկետի հիմնավորման համար անցկացված՝ կայունության հետազոտություններում օգտագործված կոնտեյներների հետ (գրանցման դոսյեի 3.2.Р.8 բաժին):</w:t>
      </w:r>
    </w:p>
    <w:p w14:paraId="071E7BA0" w14:textId="77777777" w:rsidR="008C76E0" w:rsidRPr="003B2786" w:rsidRDefault="008C76E0" w:rsidP="00473371">
      <w:pPr>
        <w:spacing w:after="160" w:line="336" w:lineRule="auto"/>
        <w:ind w:right="-1" w:firstLine="567"/>
        <w:jc w:val="both"/>
        <w:rPr>
          <w:rFonts w:ascii="Sylfaen" w:hAnsi="Sylfaen"/>
          <w:sz w:val="24"/>
          <w:szCs w:val="24"/>
        </w:rPr>
      </w:pPr>
    </w:p>
    <w:p w14:paraId="37795901" w14:textId="77777777" w:rsidR="008C76E0" w:rsidRPr="003B2786" w:rsidRDefault="008C76E0" w:rsidP="00473371">
      <w:pPr>
        <w:spacing w:after="160" w:line="336" w:lineRule="auto"/>
        <w:ind w:right="-1"/>
        <w:jc w:val="center"/>
        <w:outlineLvl w:val="0"/>
        <w:rPr>
          <w:rFonts w:ascii="Sylfaen" w:hAnsi="Sylfaen"/>
          <w:sz w:val="24"/>
          <w:szCs w:val="24"/>
        </w:rPr>
      </w:pPr>
      <w:r w:rsidRPr="003B2786">
        <w:rPr>
          <w:rFonts w:ascii="Sylfaen" w:hAnsi="Sylfaen"/>
          <w:sz w:val="24"/>
          <w:szCs w:val="24"/>
        </w:rPr>
        <w:t>4.8. Կայունությունը (մոդուլ 3.2.Р.8)</w:t>
      </w:r>
    </w:p>
    <w:p w14:paraId="455857D3" w14:textId="77777777" w:rsidR="008C76E0" w:rsidRPr="003B2786" w:rsidRDefault="008C76E0" w:rsidP="00473371">
      <w:pPr>
        <w:spacing w:after="160" w:line="336" w:lineRule="auto"/>
        <w:ind w:right="-1" w:firstLine="567"/>
        <w:jc w:val="both"/>
        <w:rPr>
          <w:rFonts w:ascii="Sylfaen" w:hAnsi="Sylfaen"/>
          <w:sz w:val="24"/>
          <w:szCs w:val="24"/>
        </w:rPr>
      </w:pPr>
      <w:r w:rsidRPr="003B2786">
        <w:rPr>
          <w:rFonts w:ascii="Sylfaen" w:hAnsi="Sylfaen"/>
          <w:sz w:val="24"/>
          <w:szCs w:val="24"/>
        </w:rPr>
        <w:t>Տվյալ բաժնում արտացոլվում են գրանցման դոսյեի հետ</w:t>
      </w:r>
      <w:r w:rsidR="00C54D75">
        <w:rPr>
          <w:rFonts w:ascii="Sylfaen" w:hAnsi="Sylfaen"/>
          <w:sz w:val="24"/>
          <w:szCs w:val="24"/>
        </w:rPr>
        <w:t>և</w:t>
      </w:r>
      <w:r w:rsidRPr="003B2786">
        <w:rPr>
          <w:rFonts w:ascii="Sylfaen" w:hAnsi="Sylfaen"/>
          <w:sz w:val="24"/>
          <w:szCs w:val="24"/>
        </w:rPr>
        <w:t>յալ բաժիններում նշված տեղեկությունների փորձաքննության արդյունքները՝</w:t>
      </w:r>
    </w:p>
    <w:p w14:paraId="692E1909"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Р.8.1.</w:t>
      </w:r>
      <w:r w:rsidRPr="003B2786">
        <w:rPr>
          <w:rFonts w:ascii="Sylfaen" w:hAnsi="Sylfaen"/>
          <w:sz w:val="24"/>
          <w:szCs w:val="24"/>
        </w:rPr>
        <w:tab/>
        <w:t xml:space="preserve">Կայունության փորձարկումների վերաբերյալ ռեզյումեն </w:t>
      </w:r>
      <w:r w:rsidR="00C54D75">
        <w:rPr>
          <w:rFonts w:ascii="Sylfaen" w:hAnsi="Sylfaen"/>
          <w:sz w:val="24"/>
          <w:szCs w:val="24"/>
        </w:rPr>
        <w:t>և</w:t>
      </w:r>
      <w:r w:rsidRPr="003B2786">
        <w:rPr>
          <w:rFonts w:ascii="Sylfaen" w:hAnsi="Sylfaen"/>
          <w:sz w:val="24"/>
          <w:szCs w:val="24"/>
        </w:rPr>
        <w:t xml:space="preserve"> կայունության վերաբերյալ եզրակացությունը:</w:t>
      </w:r>
    </w:p>
    <w:p w14:paraId="288350E0" w14:textId="77777777" w:rsidR="008C76E0" w:rsidRPr="003B2786" w:rsidRDefault="008C76E0" w:rsidP="001F0952">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Р.8.2.</w:t>
      </w:r>
      <w:r w:rsidRPr="003B2786">
        <w:rPr>
          <w:rFonts w:ascii="Sylfaen" w:hAnsi="Sylfaen"/>
          <w:sz w:val="24"/>
          <w:szCs w:val="24"/>
        </w:rPr>
        <w:tab/>
        <w:t xml:space="preserve">Կայունության հետգրանցումային փորձարկումների ծրագիրը </w:t>
      </w:r>
      <w:r w:rsidR="00C54D75">
        <w:rPr>
          <w:rFonts w:ascii="Sylfaen" w:hAnsi="Sylfaen"/>
          <w:sz w:val="24"/>
          <w:szCs w:val="24"/>
        </w:rPr>
        <w:t>և</w:t>
      </w:r>
      <w:r w:rsidRPr="003B2786">
        <w:rPr>
          <w:rFonts w:ascii="Sylfaen" w:hAnsi="Sylfaen"/>
          <w:sz w:val="24"/>
          <w:szCs w:val="24"/>
        </w:rPr>
        <w:t xml:space="preserve"> կայունության ուսումնասիրության մասով պարտավորությունները:</w:t>
      </w:r>
    </w:p>
    <w:p w14:paraId="50C27CB6" w14:textId="77777777" w:rsidR="008C76E0" w:rsidRPr="003B2786" w:rsidRDefault="008C76E0" w:rsidP="001F0952">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Р.8.3.</w:t>
      </w:r>
      <w:r w:rsidRPr="003B2786">
        <w:rPr>
          <w:rFonts w:ascii="Sylfaen" w:hAnsi="Sylfaen"/>
          <w:sz w:val="24"/>
          <w:szCs w:val="24"/>
        </w:rPr>
        <w:tab/>
        <w:t>Կայունության փորձարկումների տվյալները:</w:t>
      </w:r>
    </w:p>
    <w:p w14:paraId="50373C11"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 xml:space="preserve">Հարկ է նշել, թե արդյոք հետազոտություններն անցկացվել են Միության գործող ձեռնարկներին համապատասխան: Անհրաժեշտ է ընդգծել շեղումների առկայությունը </w:t>
      </w:r>
      <w:r w:rsidR="00C54D75">
        <w:rPr>
          <w:rFonts w:ascii="Sylfaen" w:hAnsi="Sylfaen"/>
          <w:sz w:val="24"/>
          <w:szCs w:val="24"/>
        </w:rPr>
        <w:t>և</w:t>
      </w:r>
      <w:r w:rsidRPr="003B2786">
        <w:rPr>
          <w:rFonts w:ascii="Sylfaen" w:hAnsi="Sylfaen"/>
          <w:sz w:val="24"/>
          <w:szCs w:val="24"/>
        </w:rPr>
        <w:t xml:space="preserve"> դրանց հիմնավորվածությունը:</w:t>
      </w:r>
    </w:p>
    <w:p w14:paraId="72082BD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մեկնաբանել կայունության հետգրանցումային փորձարկումների ծրագրի բավարար լինելը մասնավորապես որոշվող </w:t>
      </w:r>
      <w:r w:rsidRPr="003B2786">
        <w:rPr>
          <w:rFonts w:ascii="Sylfaen" w:hAnsi="Sylfaen"/>
          <w:sz w:val="24"/>
          <w:szCs w:val="24"/>
        </w:rPr>
        <w:lastRenderedPageBreak/>
        <w:t xml:space="preserve">պարամետրերի մասով: Անհրաժեշտ է գնահատել ծայրահեղ տարբերակների (բրեքեթինգի) հետազոտության </w:t>
      </w:r>
      <w:r w:rsidR="00C54D75">
        <w:rPr>
          <w:rFonts w:ascii="Sylfaen" w:hAnsi="Sylfaen"/>
          <w:sz w:val="24"/>
          <w:szCs w:val="24"/>
        </w:rPr>
        <w:t>և</w:t>
      </w:r>
      <w:r w:rsidRPr="003B2786">
        <w:rPr>
          <w:rFonts w:ascii="Sylfaen" w:hAnsi="Sylfaen"/>
          <w:sz w:val="24"/>
          <w:szCs w:val="24"/>
        </w:rPr>
        <w:t xml:space="preserve"> մատրիցային մեթոդի (խմբավորման կամ մատրիցավորման մեթոդի) ընդունելիությունը:</w:t>
      </w:r>
    </w:p>
    <w:p w14:paraId="3E87DFB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նշել, թե արդյոք օգտագործված մեթոդիկաները համապատասխանում են Р.5-ում նկարագրված մեթոդիկաներին: Անհրաժեշտ է համոզվել, որ դրանք վալիդացված են </w:t>
      </w:r>
      <w:r w:rsidR="00C54D75">
        <w:rPr>
          <w:rFonts w:ascii="Sylfaen" w:hAnsi="Sylfaen"/>
          <w:sz w:val="24"/>
          <w:szCs w:val="24"/>
        </w:rPr>
        <w:t>և</w:t>
      </w:r>
      <w:r w:rsidRPr="003B2786">
        <w:rPr>
          <w:rFonts w:ascii="Sylfaen" w:hAnsi="Sylfaen"/>
          <w:sz w:val="24"/>
          <w:szCs w:val="24"/>
        </w:rPr>
        <w:t xml:space="preserve"> թույլ են տալիս գնահատել դեղապատրաստուկի կայունությունը:</w:t>
      </w:r>
    </w:p>
    <w:p w14:paraId="7D9EDAF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համոզվել, որ կայունության հետազոտություններում օգտագործված կոնտեյներները համընկնում են ընթացիկ պահպանման համար առաջարկված կոնտեյներների հետ:</w:t>
      </w:r>
    </w:p>
    <w:p w14:paraId="5243A50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Անհրաժեշտ է ուշադրություն դարձնել այն հանգամանքին, որ ԱԴԲ-ում որակավորված խառնուկները միշտ չէ, որ ներառում են քայքայման արգասիքներ, որոնք առաջանում են դեղապատրաստուկում կամ դրա արտադրության պրոցեսում: Բացի այդ, պահպանման ընթացքում կարող են փոփոխվել նա</w:t>
      </w:r>
      <w:r w:rsidR="00C54D75">
        <w:rPr>
          <w:rFonts w:ascii="Sylfaen" w:hAnsi="Sylfaen"/>
          <w:sz w:val="24"/>
          <w:szCs w:val="24"/>
        </w:rPr>
        <w:t>և</w:t>
      </w:r>
      <w:r w:rsidRPr="003B2786">
        <w:rPr>
          <w:rFonts w:ascii="Sylfaen" w:hAnsi="Sylfaen"/>
          <w:sz w:val="24"/>
          <w:szCs w:val="24"/>
        </w:rPr>
        <w:t xml:space="preserve"> պատրաստուկի այլ բնութագրեր, ինչը պահանջում է հիմնավորման գնահատում՝ հաշվի առնելով 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արդյունքները:</w:t>
      </w:r>
    </w:p>
    <w:p w14:paraId="081FC3DC" w14:textId="77777777" w:rsidR="008C76E0" w:rsidRDefault="008C76E0" w:rsidP="00473371">
      <w:pPr>
        <w:spacing w:after="160" w:line="360" w:lineRule="auto"/>
        <w:ind w:firstLine="567"/>
        <w:jc w:val="both"/>
        <w:outlineLvl w:val="0"/>
        <w:rPr>
          <w:rFonts w:ascii="Sylfaen" w:hAnsi="Sylfaen"/>
          <w:sz w:val="24"/>
          <w:szCs w:val="24"/>
        </w:rPr>
      </w:pPr>
      <w:r w:rsidRPr="003B2786">
        <w:rPr>
          <w:rFonts w:ascii="Sylfaen" w:hAnsi="Sylfaen"/>
          <w:sz w:val="24"/>
          <w:szCs w:val="24"/>
        </w:rPr>
        <w:t xml:space="preserve">Անհրաժեշտ է համոզվել առաջարկվող պիտանելիության ժամկետի բավարար լինելու </w:t>
      </w:r>
      <w:r w:rsidR="00C54D75">
        <w:rPr>
          <w:rFonts w:ascii="Sylfaen" w:hAnsi="Sylfaen"/>
          <w:sz w:val="24"/>
          <w:szCs w:val="24"/>
        </w:rPr>
        <w:t>և</w:t>
      </w:r>
      <w:r w:rsidRPr="003B2786">
        <w:rPr>
          <w:rFonts w:ascii="Sylfaen" w:hAnsi="Sylfaen"/>
          <w:sz w:val="24"/>
          <w:szCs w:val="24"/>
        </w:rPr>
        <w:t xml:space="preserve"> պահպանման պայմանների ընդունելիության մեջ:</w:t>
      </w:r>
    </w:p>
    <w:p w14:paraId="45A9841F"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Կիրառման համար պատրաստ դեղապատրաստուկի կայունությունը:</w:t>
      </w:r>
    </w:p>
    <w:p w14:paraId="133E71C1"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Նա</w:t>
      </w:r>
      <w:r w:rsidR="00C54D75">
        <w:rPr>
          <w:rFonts w:ascii="Sylfaen" w:hAnsi="Sylfaen"/>
          <w:sz w:val="24"/>
          <w:szCs w:val="24"/>
        </w:rPr>
        <w:t>և</w:t>
      </w:r>
      <w:r w:rsidRPr="003B2786">
        <w:rPr>
          <w:rFonts w:ascii="Sylfaen" w:hAnsi="Sylfaen"/>
          <w:sz w:val="24"/>
          <w:szCs w:val="24"/>
        </w:rPr>
        <w:t xml:space="preserve"> անհրաժեշտ է գնահատել կայունությունը՝ բացելուց հետո </w:t>
      </w:r>
      <w:r w:rsidR="00C54D75">
        <w:rPr>
          <w:rFonts w:ascii="Sylfaen" w:hAnsi="Sylfaen"/>
          <w:sz w:val="24"/>
          <w:szCs w:val="24"/>
        </w:rPr>
        <w:t>և</w:t>
      </w:r>
      <w:r w:rsidRPr="003B2786">
        <w:rPr>
          <w:rFonts w:ascii="Sylfaen" w:hAnsi="Sylfaen"/>
          <w:sz w:val="24"/>
          <w:szCs w:val="24"/>
        </w:rPr>
        <w:t xml:space="preserve"> կիրառման ընթացքում, օրինակ՝ նոսրացման համար խտանյութերի համար պահանջվում է գնահատել կայունությունը նոսրացումից հետո </w:t>
      </w:r>
      <w:r w:rsidR="00C54D75">
        <w:rPr>
          <w:rFonts w:ascii="Sylfaen" w:hAnsi="Sylfaen"/>
          <w:sz w:val="24"/>
          <w:szCs w:val="24"/>
        </w:rPr>
        <w:t>և</w:t>
      </w:r>
      <w:r w:rsidRPr="003B2786">
        <w:rPr>
          <w:rFonts w:ascii="Sylfaen" w:hAnsi="Sylfaen"/>
          <w:sz w:val="24"/>
          <w:szCs w:val="24"/>
        </w:rPr>
        <w:t xml:space="preserve"> ներմուծման ընթացքում, ներմուծման համար նախատեսված հասանելի բժշկական արտադրատեսակների հետ համատեղելիությունը </w:t>
      </w:r>
      <w:r w:rsidR="00C54D75">
        <w:rPr>
          <w:rFonts w:ascii="Sylfaen" w:hAnsi="Sylfaen"/>
          <w:sz w:val="24"/>
          <w:szCs w:val="24"/>
        </w:rPr>
        <w:t>և</w:t>
      </w:r>
      <w:r w:rsidRPr="003B2786">
        <w:rPr>
          <w:rFonts w:ascii="Sylfaen" w:hAnsi="Sylfaen"/>
          <w:sz w:val="24"/>
          <w:szCs w:val="24"/>
        </w:rPr>
        <w:t xml:space="preserve"> այլն: Հարկ է գնահատել կիրառության համար պատրաստ դեղապատրաստուկի պիտանելիության ժամկետի </w:t>
      </w:r>
      <w:r w:rsidR="00C54D75">
        <w:rPr>
          <w:rFonts w:ascii="Sylfaen" w:hAnsi="Sylfaen"/>
          <w:sz w:val="24"/>
          <w:szCs w:val="24"/>
        </w:rPr>
        <w:t>և</w:t>
      </w:r>
      <w:r w:rsidRPr="003B2786">
        <w:rPr>
          <w:rFonts w:ascii="Sylfaen" w:hAnsi="Sylfaen"/>
          <w:sz w:val="24"/>
          <w:szCs w:val="24"/>
        </w:rPr>
        <w:t xml:space="preserve"> պահպանման պայմանների որոշման անհրաժեշտությունը: Անհրաժեշտ է գնահատել մշակողի </w:t>
      </w:r>
      <w:r w:rsidRPr="003B2786">
        <w:rPr>
          <w:rFonts w:ascii="Sylfaen" w:hAnsi="Sylfaen"/>
          <w:sz w:val="24"/>
          <w:szCs w:val="24"/>
        </w:rPr>
        <w:lastRenderedPageBreak/>
        <w:t>հանձնարարականների համապատասխանությունը Միության գործող ձեռնարկներին: Դրանց անհամապատասխանության դեպքում անհրաժեշտ է գնահատել շեղումների հիմնավորվածությունը:</w:t>
      </w:r>
    </w:p>
    <w:p w14:paraId="5D9EC07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Ռադիոդեղագործական պատրաստուկների համար տվյալ բաժնում թույլատրվում է բերել օգտագործողների կողմից «սառը» հավաքածուների վերականգնման մեթոդների գնահատականը, ինչպես նա</w:t>
      </w:r>
      <w:r w:rsidR="00C54D75">
        <w:rPr>
          <w:rFonts w:ascii="Sylfaen" w:hAnsi="Sylfaen"/>
          <w:sz w:val="24"/>
          <w:szCs w:val="24"/>
        </w:rPr>
        <w:t>և</w:t>
      </w:r>
      <w:r w:rsidRPr="003B2786">
        <w:rPr>
          <w:rFonts w:ascii="Sylfaen" w:hAnsi="Sylfaen"/>
          <w:sz w:val="24"/>
          <w:szCs w:val="24"/>
        </w:rPr>
        <w:t xml:space="preserve"> վերականգնումից հետո՝ դրանց կայունության գնահատականը:</w:t>
      </w:r>
    </w:p>
    <w:p w14:paraId="2E49AC42" w14:textId="77777777" w:rsidR="008C76E0" w:rsidRPr="003B2786" w:rsidRDefault="008C76E0" w:rsidP="00473371">
      <w:pPr>
        <w:spacing w:after="160" w:line="360" w:lineRule="auto"/>
        <w:ind w:right="-1" w:firstLine="567"/>
        <w:rPr>
          <w:rFonts w:ascii="Sylfaen" w:hAnsi="Sylfaen"/>
          <w:sz w:val="24"/>
          <w:szCs w:val="24"/>
        </w:rPr>
      </w:pPr>
      <w:r w:rsidRPr="003B2786">
        <w:rPr>
          <w:rFonts w:ascii="Sylfaen" w:hAnsi="Sylfaen"/>
          <w:sz w:val="24"/>
          <w:szCs w:val="24"/>
        </w:rPr>
        <w:t>Ընդհանուր տեղեկություններ:</w:t>
      </w:r>
    </w:p>
    <w:p w14:paraId="5B62277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գնահատել, թե արդյոք ԴԸԲ-ում </w:t>
      </w:r>
      <w:r w:rsidR="00C54D75">
        <w:rPr>
          <w:rFonts w:ascii="Sylfaen" w:hAnsi="Sylfaen"/>
          <w:sz w:val="24"/>
          <w:szCs w:val="24"/>
        </w:rPr>
        <w:t>և</w:t>
      </w:r>
      <w:r w:rsidRPr="003B2786">
        <w:rPr>
          <w:rFonts w:ascii="Sylfaen" w:hAnsi="Sylfaen"/>
          <w:sz w:val="24"/>
          <w:szCs w:val="24"/>
        </w:rPr>
        <w:t xml:space="preserve"> ներդիր թերթիկում վերը նշվածն ամբողջությամբ արտացոլված է պատշաճ կերպով: Անհրաժեշտ է եզրակացություն անել ԴԸԲ-ում նշված բոլոր պիտանելիության ժամկետների </w:t>
      </w:r>
      <w:r w:rsidR="00C54D75">
        <w:rPr>
          <w:rFonts w:ascii="Sylfaen" w:hAnsi="Sylfaen"/>
          <w:sz w:val="24"/>
          <w:szCs w:val="24"/>
        </w:rPr>
        <w:t>և</w:t>
      </w:r>
      <w:r w:rsidRPr="003B2786">
        <w:rPr>
          <w:rFonts w:ascii="Sylfaen" w:hAnsi="Sylfaen"/>
          <w:sz w:val="24"/>
          <w:szCs w:val="24"/>
        </w:rPr>
        <w:t xml:space="preserve"> պահպանման պայմանների հիմնավորվածության մասին:</w:t>
      </w:r>
    </w:p>
    <w:p w14:paraId="5F909848" w14:textId="77777777" w:rsidR="008C76E0" w:rsidRPr="003B2786" w:rsidRDefault="008C76E0" w:rsidP="00473371">
      <w:pPr>
        <w:spacing w:after="160" w:line="360" w:lineRule="auto"/>
        <w:ind w:right="-1" w:firstLine="567"/>
        <w:jc w:val="both"/>
        <w:rPr>
          <w:rFonts w:ascii="Sylfaen" w:hAnsi="Sylfaen"/>
          <w:sz w:val="24"/>
          <w:szCs w:val="24"/>
        </w:rPr>
      </w:pPr>
    </w:p>
    <w:p w14:paraId="492EE7C2"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5. Հավելվածները (Մոդուլ 3.2.А)</w:t>
      </w:r>
    </w:p>
    <w:p w14:paraId="277DE302"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А. 1.</w:t>
      </w:r>
      <w:r w:rsidRPr="003B2786">
        <w:rPr>
          <w:rFonts w:ascii="Sylfaen" w:hAnsi="Sylfaen"/>
          <w:sz w:val="24"/>
          <w:szCs w:val="24"/>
        </w:rPr>
        <w:tab/>
        <w:t xml:space="preserve">Արտադրական տարածքները </w:t>
      </w:r>
      <w:r w:rsidR="00C54D75">
        <w:rPr>
          <w:rFonts w:ascii="Sylfaen" w:hAnsi="Sylfaen"/>
          <w:sz w:val="24"/>
          <w:szCs w:val="24"/>
        </w:rPr>
        <w:t>և</w:t>
      </w:r>
      <w:r w:rsidRPr="003B2786">
        <w:rPr>
          <w:rFonts w:ascii="Sylfaen" w:hAnsi="Sylfaen"/>
          <w:sz w:val="24"/>
          <w:szCs w:val="24"/>
        </w:rPr>
        <w:t xml:space="preserve"> սարքավորումները:</w:t>
      </w:r>
    </w:p>
    <w:p w14:paraId="237A7BED"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А.2.</w:t>
      </w:r>
      <w:r w:rsidRPr="003B2786">
        <w:rPr>
          <w:rFonts w:ascii="Sylfaen" w:hAnsi="Sylfaen"/>
          <w:sz w:val="24"/>
          <w:szCs w:val="24"/>
        </w:rPr>
        <w:tab/>
        <w:t>Կողմնակի ագենտների մասով անվտանգության գնահատականը:</w:t>
      </w:r>
    </w:p>
    <w:p w14:paraId="2CF0EF6B"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А.2.1.</w:t>
      </w:r>
      <w:r w:rsidRPr="003B2786">
        <w:rPr>
          <w:rFonts w:ascii="Sylfaen" w:hAnsi="Sylfaen"/>
          <w:sz w:val="24"/>
          <w:szCs w:val="24"/>
        </w:rPr>
        <w:tab/>
        <w:t>Ոչ վիրուսային կողմնակի նյութեր:</w:t>
      </w:r>
    </w:p>
    <w:p w14:paraId="321D97D1" w14:textId="77777777" w:rsidR="008C76E0" w:rsidRPr="003B2786" w:rsidRDefault="008C76E0" w:rsidP="001F0952">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А.2.1.1.</w:t>
      </w:r>
      <w:r w:rsidRPr="003B2786">
        <w:rPr>
          <w:rFonts w:ascii="Sylfaen" w:hAnsi="Sylfaen"/>
          <w:sz w:val="24"/>
          <w:szCs w:val="24"/>
        </w:rPr>
        <w:tab/>
        <w:t xml:space="preserve">Միկոպլազմայի, բակտերիաների </w:t>
      </w:r>
      <w:r w:rsidR="00C54D75">
        <w:rPr>
          <w:rFonts w:ascii="Sylfaen" w:hAnsi="Sylfaen"/>
          <w:sz w:val="24"/>
          <w:szCs w:val="24"/>
        </w:rPr>
        <w:t>և</w:t>
      </w:r>
      <w:r w:rsidRPr="003B2786">
        <w:rPr>
          <w:rFonts w:ascii="Sylfaen" w:hAnsi="Sylfaen"/>
          <w:sz w:val="24"/>
          <w:szCs w:val="24"/>
        </w:rPr>
        <w:t xml:space="preserve"> սնկերի հսկողությունը:</w:t>
      </w:r>
    </w:p>
    <w:p w14:paraId="3455EC64" w14:textId="77777777" w:rsidR="008C76E0" w:rsidRPr="003B2786" w:rsidRDefault="008C76E0" w:rsidP="001F0952">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А.2.1.2.</w:t>
      </w:r>
      <w:r w:rsidRPr="003B2786">
        <w:rPr>
          <w:rFonts w:ascii="Sylfaen" w:hAnsi="Sylfaen"/>
          <w:sz w:val="24"/>
          <w:szCs w:val="24"/>
        </w:rPr>
        <w:tab/>
        <w:t>Կենդանիների փոխանցվող սպունգանման էնցեֆալոպաթիայով կոնտամինացիայի ռիսկը:</w:t>
      </w:r>
    </w:p>
    <w:p w14:paraId="5F5A8C65" w14:textId="77777777" w:rsidR="008C76E0" w:rsidRPr="003B2786" w:rsidRDefault="008C76E0" w:rsidP="001F0952">
      <w:pPr>
        <w:tabs>
          <w:tab w:val="left" w:pos="1134"/>
        </w:tabs>
        <w:spacing w:after="160" w:line="336" w:lineRule="auto"/>
        <w:ind w:right="-1" w:firstLine="567"/>
        <w:jc w:val="both"/>
        <w:rPr>
          <w:rFonts w:ascii="Sylfaen" w:hAnsi="Sylfaen"/>
          <w:sz w:val="24"/>
          <w:szCs w:val="24"/>
        </w:rPr>
      </w:pPr>
      <w:r w:rsidRPr="003B2786">
        <w:rPr>
          <w:rFonts w:ascii="Sylfaen" w:hAnsi="Sylfaen"/>
          <w:sz w:val="24"/>
          <w:szCs w:val="24"/>
        </w:rPr>
        <w:t>1.1.</w:t>
      </w:r>
      <w:r w:rsidRPr="003B2786">
        <w:rPr>
          <w:rFonts w:ascii="Sylfaen" w:hAnsi="Sylfaen"/>
          <w:sz w:val="24"/>
          <w:szCs w:val="24"/>
        </w:rPr>
        <w:tab/>
        <w:t xml:space="preserve">Միկոպլազմայի, բակտերիաների </w:t>
      </w:r>
      <w:r w:rsidR="00C54D75">
        <w:rPr>
          <w:rFonts w:ascii="Sylfaen" w:hAnsi="Sylfaen"/>
          <w:sz w:val="24"/>
          <w:szCs w:val="24"/>
        </w:rPr>
        <w:t>և</w:t>
      </w:r>
      <w:r w:rsidRPr="003B2786">
        <w:rPr>
          <w:rFonts w:ascii="Sylfaen" w:hAnsi="Sylfaen"/>
          <w:sz w:val="24"/>
          <w:szCs w:val="24"/>
        </w:rPr>
        <w:t xml:space="preserve"> սնկերի պարունակության հսկողությունը:</w:t>
      </w:r>
    </w:p>
    <w:p w14:paraId="2FC8F741"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Անհրաժեշտ է ներկայացնել խաչաձ</w:t>
      </w:r>
      <w:r w:rsidR="00C54D75">
        <w:rPr>
          <w:rFonts w:ascii="Sylfaen" w:hAnsi="Sylfaen"/>
          <w:sz w:val="24"/>
          <w:szCs w:val="24"/>
        </w:rPr>
        <w:t>և</w:t>
      </w:r>
      <w:r w:rsidRPr="003B2786">
        <w:rPr>
          <w:rFonts w:ascii="Sylfaen" w:hAnsi="Sylfaen"/>
          <w:sz w:val="24"/>
          <w:szCs w:val="24"/>
        </w:rPr>
        <w:t xml:space="preserve"> հղումներ փորձագիտական հաշվետվության մյուս մասերին (արտադրության պրոցեսը </w:t>
      </w:r>
      <w:r w:rsidR="00C54D75">
        <w:rPr>
          <w:rFonts w:ascii="Sylfaen" w:hAnsi="Sylfaen"/>
          <w:sz w:val="24"/>
          <w:szCs w:val="24"/>
        </w:rPr>
        <w:t>և</w:t>
      </w:r>
      <w:r w:rsidRPr="003B2786">
        <w:rPr>
          <w:rFonts w:ascii="Sylfaen" w:hAnsi="Sylfaen"/>
          <w:sz w:val="24"/>
          <w:szCs w:val="24"/>
        </w:rPr>
        <w:t xml:space="preserve"> այլն):</w:t>
      </w:r>
    </w:p>
    <w:p w14:paraId="4BC2360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Միկոպլազմայի, բակտերիաների </w:t>
      </w:r>
      <w:r w:rsidR="00C54D75">
        <w:rPr>
          <w:rFonts w:ascii="Sylfaen" w:hAnsi="Sylfaen"/>
          <w:sz w:val="24"/>
          <w:szCs w:val="24"/>
        </w:rPr>
        <w:t>և</w:t>
      </w:r>
      <w:r w:rsidRPr="003B2786">
        <w:rPr>
          <w:rFonts w:ascii="Sylfaen" w:hAnsi="Sylfaen"/>
          <w:sz w:val="24"/>
          <w:szCs w:val="24"/>
        </w:rPr>
        <w:t xml:space="preserve"> սնկերի պարունակության </w:t>
      </w:r>
      <w:r w:rsidRPr="003B2786">
        <w:rPr>
          <w:rFonts w:ascii="Sylfaen" w:hAnsi="Sylfaen"/>
          <w:sz w:val="24"/>
          <w:szCs w:val="24"/>
        </w:rPr>
        <w:lastRenderedPageBreak/>
        <w:t>փորձարկումների համար ոչ դեղագրքային մեթոդների օգտագործման դեպքում անհրաժեշտ է անցկացնել դրանց գնահատումը:</w:t>
      </w:r>
    </w:p>
    <w:p w14:paraId="74A08ED3"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Եթե որոշ ռեակտիվների կամ նյութերի մասով առաջացել են մանրէազերծության հետ կապված խնդիրներ, անհրաժեշտ է մանրամասն գնահատում անցկացնել:</w:t>
      </w:r>
    </w:p>
    <w:p w14:paraId="4E942964" w14:textId="77777777" w:rsidR="008C76E0" w:rsidRPr="003B2786" w:rsidRDefault="008C76E0" w:rsidP="00473371">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1.2.</w:t>
      </w:r>
      <w:r w:rsidRPr="003B2786">
        <w:rPr>
          <w:rFonts w:ascii="Sylfaen" w:hAnsi="Sylfaen"/>
          <w:sz w:val="24"/>
          <w:szCs w:val="24"/>
        </w:rPr>
        <w:tab/>
        <w:t>Կենդանիների փոխանցվող սպունգանման էնցեֆալոպաթիայի փոխանցման ռիսկը:</w:t>
      </w:r>
    </w:p>
    <w:p w14:paraId="2504BB2B" w14:textId="77777777" w:rsidR="008C76E0" w:rsidRPr="003B2786" w:rsidRDefault="008C76E0" w:rsidP="00473371">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սպունգանման էնցեֆալոպաթիայի հարուցիչների փոխանցման ռիսկի նվազեցման ձեռնարկում հիշատակված նյութերը թվարկել Միության դեղագրքի համաձայն (տե՛ս, աղյուսակ А-ն) </w:t>
      </w:r>
      <w:r w:rsidR="00C54D75">
        <w:rPr>
          <w:rFonts w:ascii="Sylfaen" w:hAnsi="Sylfaen"/>
          <w:sz w:val="24"/>
          <w:szCs w:val="24"/>
        </w:rPr>
        <w:t>և</w:t>
      </w:r>
      <w:r w:rsidRPr="003B2786">
        <w:rPr>
          <w:rFonts w:ascii="Sylfaen" w:hAnsi="Sylfaen"/>
          <w:sz w:val="24"/>
          <w:szCs w:val="24"/>
        </w:rPr>
        <w:t xml:space="preserve"> գնահատել հայտատուի կողմից ՓՍԷ ագենտների հսկողությանը ներկայացվող պահանջների պահպանումը (СЕР-սերտիֆիկատ կամ գիտական փաստաթղթեր): Նպատակահարմար է առավել կար</w:t>
      </w:r>
      <w:r w:rsidR="00C54D75">
        <w:rPr>
          <w:rFonts w:ascii="Sylfaen" w:hAnsi="Sylfaen"/>
          <w:sz w:val="24"/>
          <w:szCs w:val="24"/>
        </w:rPr>
        <w:t>և</w:t>
      </w:r>
      <w:r w:rsidRPr="003B2786">
        <w:rPr>
          <w:rFonts w:ascii="Sylfaen" w:hAnsi="Sylfaen"/>
          <w:sz w:val="24"/>
          <w:szCs w:val="24"/>
        </w:rPr>
        <w:t>որ տեղեկատվության ռեզյումեն ներկայացնել աղյուսակային տեսքով:</w:t>
      </w:r>
    </w:p>
    <w:p w14:paraId="418D324B" w14:textId="77777777" w:rsidR="008C76E0" w:rsidRPr="003B2786" w:rsidRDefault="008C76E0" w:rsidP="00473371">
      <w:pPr>
        <w:spacing w:after="160" w:line="336" w:lineRule="auto"/>
        <w:ind w:right="-1" w:firstLine="567"/>
        <w:jc w:val="both"/>
        <w:rPr>
          <w:rFonts w:ascii="Sylfaen" w:hAnsi="Sylfaen"/>
          <w:sz w:val="24"/>
          <w:szCs w:val="24"/>
        </w:rPr>
      </w:pPr>
      <w:r w:rsidRPr="003B2786">
        <w:rPr>
          <w:rFonts w:ascii="Sylfaen" w:hAnsi="Sylfaen"/>
          <w:sz w:val="24"/>
          <w:szCs w:val="24"/>
        </w:rPr>
        <w:t>Անհրաժեշտ է Միության դեղագրքի համաձայն գնահատել կենդանիների սպունգանման էնցեֆալոպաթիայի հարուցիչների փոխանցման ռիսկի նվազեցման ձեռնարկի պահանջներին համապատասխանությունը հաստատող փաստաթղթերը, եթե կիրառելի է:</w:t>
      </w:r>
    </w:p>
    <w:p w14:paraId="60CF40A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Եզրակացությունը:</w:t>
      </w:r>
    </w:p>
    <w:p w14:paraId="09EF7B72"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А.2.2.</w:t>
      </w:r>
      <w:r w:rsidRPr="003B2786">
        <w:rPr>
          <w:rFonts w:ascii="Sylfaen" w:hAnsi="Sylfaen"/>
          <w:sz w:val="24"/>
          <w:szCs w:val="24"/>
        </w:rPr>
        <w:tab/>
        <w:t>Կողմնակի վիրուսներ:</w:t>
      </w:r>
    </w:p>
    <w:p w14:paraId="435F69CE"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2.1.</w:t>
      </w:r>
      <w:r w:rsidRPr="003B2786">
        <w:rPr>
          <w:rFonts w:ascii="Sylfaen" w:hAnsi="Sylfaen"/>
          <w:sz w:val="24"/>
          <w:szCs w:val="24"/>
        </w:rPr>
        <w:tab/>
        <w:t>Կենսաբանական ծագման նյութերի առկայությունը սահմանելու դեպքում հարկ է կատարել հետ</w:t>
      </w:r>
      <w:r w:rsidR="00C54D75">
        <w:rPr>
          <w:rFonts w:ascii="Sylfaen" w:hAnsi="Sylfaen"/>
          <w:sz w:val="24"/>
          <w:szCs w:val="24"/>
        </w:rPr>
        <w:t>և</w:t>
      </w:r>
      <w:r w:rsidRPr="003B2786">
        <w:rPr>
          <w:rFonts w:ascii="Sylfaen" w:hAnsi="Sylfaen"/>
          <w:sz w:val="24"/>
          <w:szCs w:val="24"/>
        </w:rPr>
        <w:t>յալ ասպեկտների վերլուծությունը:</w:t>
      </w:r>
    </w:p>
    <w:p w14:paraId="3E6ACFD0"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Փորձագիտական հաշվետվությունը. հնարավոր վիրուսային կոնտամինացիայի տեսանկյունից, նյութերի բնութագրերի ռեզյումեի հետ միասին պետք է պարունակի դեղապատրաստուկի արտադրության պրոցեսում օգտագործված կամ դրանց հետ առնչվող կենսաբանական ծագման նյութերի համառոտ նկարագրությունը կամ ցանկը: Անհրաժեշտ է ուշադրություն դարձնել </w:t>
      </w:r>
      <w:r w:rsidRPr="003B2786">
        <w:rPr>
          <w:rFonts w:ascii="Sylfaen" w:hAnsi="Sylfaen"/>
          <w:sz w:val="24"/>
          <w:szCs w:val="24"/>
        </w:rPr>
        <w:lastRenderedPageBreak/>
        <w:t>արտադրության մեջ ուղղակի կամ անուղղակի կերպով օգտագործված բջջային սուբստրատների, ռեակտիվների (օրինակ՝ աֆինային քրոմատոգրաֆիայի համար նյութեր), ինչպես նա</w:t>
      </w:r>
      <w:r w:rsidR="00C54D75">
        <w:rPr>
          <w:rFonts w:ascii="Sylfaen" w:hAnsi="Sylfaen"/>
          <w:sz w:val="24"/>
          <w:szCs w:val="24"/>
        </w:rPr>
        <w:t>և</w:t>
      </w:r>
      <w:r w:rsidRPr="003B2786">
        <w:rPr>
          <w:rFonts w:ascii="Sylfaen" w:hAnsi="Sylfaen"/>
          <w:sz w:val="24"/>
          <w:szCs w:val="24"/>
        </w:rPr>
        <w:t xml:space="preserve"> օժանդակ նյութերի վրա: Որոշ տվյալներ կարող են պարունակվել գրանցման դոսյեի 3.2.S.2.3՝ «Նյութերի որակի հսկողություն» բաժնում </w:t>
      </w:r>
      <w:r w:rsidR="00C54D75">
        <w:rPr>
          <w:rFonts w:ascii="Sylfaen" w:hAnsi="Sylfaen"/>
          <w:sz w:val="24"/>
          <w:szCs w:val="24"/>
        </w:rPr>
        <w:t>և</w:t>
      </w:r>
      <w:r w:rsidRPr="003B2786">
        <w:rPr>
          <w:rFonts w:ascii="Sylfaen" w:hAnsi="Sylfaen"/>
          <w:sz w:val="24"/>
          <w:szCs w:val="24"/>
        </w:rPr>
        <w:t xml:space="preserve"> 3.2.Р.4.5՝ «Մարդկային կամ կենդանական ծագման օժանդակ նյութեր» բաժնում:</w:t>
      </w:r>
    </w:p>
    <w:p w14:paraId="22B33F72"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2.2.</w:t>
      </w:r>
      <w:r w:rsidRPr="003B2786">
        <w:rPr>
          <w:rFonts w:ascii="Sylfaen" w:hAnsi="Sylfaen"/>
          <w:sz w:val="24"/>
          <w:szCs w:val="24"/>
        </w:rPr>
        <w:tab/>
        <w:t xml:space="preserve">Ելանյութերի </w:t>
      </w:r>
      <w:r w:rsidR="00C54D75">
        <w:rPr>
          <w:rFonts w:ascii="Sylfaen" w:hAnsi="Sylfaen"/>
          <w:sz w:val="24"/>
          <w:szCs w:val="24"/>
        </w:rPr>
        <w:t>և</w:t>
      </w:r>
      <w:r w:rsidRPr="003B2786">
        <w:rPr>
          <w:rFonts w:ascii="Sylfaen" w:hAnsi="Sylfaen"/>
          <w:sz w:val="24"/>
          <w:szCs w:val="24"/>
        </w:rPr>
        <w:t xml:space="preserve"> հումքի փորձարկումը:</w:t>
      </w:r>
    </w:p>
    <w:p w14:paraId="5195CCEF" w14:textId="77777777" w:rsidR="008C76E0" w:rsidRPr="003B2786" w:rsidRDefault="008C76E0" w:rsidP="001F0952">
      <w:pPr>
        <w:spacing w:after="160" w:line="336" w:lineRule="auto"/>
        <w:ind w:right="-1" w:firstLine="567"/>
        <w:jc w:val="both"/>
        <w:rPr>
          <w:rFonts w:ascii="Sylfaen" w:hAnsi="Sylfaen"/>
          <w:sz w:val="24"/>
          <w:szCs w:val="24"/>
        </w:rPr>
      </w:pPr>
      <w:r w:rsidRPr="003B2786">
        <w:rPr>
          <w:rFonts w:ascii="Sylfaen" w:hAnsi="Sylfaen"/>
          <w:sz w:val="24"/>
          <w:szCs w:val="24"/>
        </w:rPr>
        <w:t xml:space="preserve">Բջջային գծերի բնութագիրը: Անցկացված փորձարկումների արդյունքներն անհրաժեշտ է գրանցել աղյուսակում: Աղյուսակը պետք է արտացոլի, թե ինչպիսի փորձարկումներ են անցկացվել </w:t>
      </w:r>
      <w:r w:rsidR="00C54D75">
        <w:rPr>
          <w:rFonts w:ascii="Sylfaen" w:hAnsi="Sylfaen"/>
          <w:sz w:val="24"/>
          <w:szCs w:val="24"/>
        </w:rPr>
        <w:t>և</w:t>
      </w:r>
      <w:r w:rsidRPr="003B2786">
        <w:rPr>
          <w:rFonts w:ascii="Sylfaen" w:hAnsi="Sylfaen"/>
          <w:sz w:val="24"/>
          <w:szCs w:val="24"/>
        </w:rPr>
        <w:t xml:space="preserve"> ինչ բջիջների վրա (բջիջների գլխավոր բանկ, բջիջների աշխատանքային բանկ, հետարտադրական բջիջներ): Անհրաժեշտ է նշել կողմնակի վիրուսների մասով in vitro հետազոտությունների համար օգտագործված բջջային գծերը, մկների </w:t>
      </w:r>
      <w:r w:rsidR="00C54D75">
        <w:rPr>
          <w:rFonts w:ascii="Sylfaen" w:hAnsi="Sylfaen"/>
          <w:sz w:val="24"/>
          <w:szCs w:val="24"/>
        </w:rPr>
        <w:t>և</w:t>
      </w:r>
      <w:r w:rsidRPr="003B2786">
        <w:rPr>
          <w:rFonts w:ascii="Sylfaen" w:hAnsi="Sylfaen"/>
          <w:sz w:val="24"/>
          <w:szCs w:val="24"/>
        </w:rPr>
        <w:t xml:space="preserve"> գերմանամկների հակամարմինների արտադրանքի փորձարկումների համար մանրամասն նկարագրություն չի պահանջվում, in vivo հետազոտությունների արդյունքները նկարագրելիս անհրաժեշտ է նշել կենդանիների տեսակները, </w:t>
      </w:r>
      <w:r w:rsidR="00C54D75">
        <w:rPr>
          <w:rFonts w:ascii="Sylfaen" w:hAnsi="Sylfaen"/>
          <w:sz w:val="24"/>
          <w:szCs w:val="24"/>
        </w:rPr>
        <w:t>և</w:t>
      </w:r>
      <w:r w:rsidRPr="003B2786">
        <w:rPr>
          <w:rFonts w:ascii="Sylfaen" w:hAnsi="Sylfaen"/>
          <w:sz w:val="24"/>
          <w:szCs w:val="24"/>
        </w:rPr>
        <w:t xml:space="preserve"> եթե նշանակալի է, ներմուծման ուղին: Անհրաժեշտ է նշել, թե արդյոք կողմնակի վիրուսների առկայության մասով ուսումնասիրվել են չմշակված, չբաժնեծրարված պատրաստուկի երեք սերիաներ: </w:t>
      </w:r>
    </w:p>
    <w:p w14:paraId="7AE3C277"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Պլազմայի ածանցյալների դեպքում անհրաժեշտ է հղում բերել պլազմայի մաստեր-ֆայլին կամ դրանում պարունակվող տվյալների փորձաքննության արդյունքներին:</w:t>
      </w:r>
    </w:p>
    <w:p w14:paraId="0EA840AD"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 xml:space="preserve">Փորձագիտական հաշվետվության մեջ անհրաժեշտ է լուսաբանել դոնորների, դոնորային հյուսվածքների </w:t>
      </w:r>
      <w:r w:rsidR="00C54D75">
        <w:rPr>
          <w:rFonts w:ascii="Sylfaen" w:hAnsi="Sylfaen"/>
          <w:sz w:val="24"/>
          <w:szCs w:val="24"/>
        </w:rPr>
        <w:t>և</w:t>
      </w:r>
      <w:r w:rsidRPr="003B2786">
        <w:rPr>
          <w:rFonts w:ascii="Sylfaen" w:hAnsi="Sylfaen"/>
          <w:sz w:val="24"/>
          <w:szCs w:val="24"/>
        </w:rPr>
        <w:t xml:space="preserve"> բջիջների բանկերի նկատմամբ հսկողության միջոցները (մարդու հյուսվածքներից ստացված պատրաստուկների մասով):</w:t>
      </w:r>
    </w:p>
    <w:p w14:paraId="67C5E09F" w14:textId="77777777" w:rsidR="008C76E0" w:rsidRPr="003B2786" w:rsidRDefault="008C76E0" w:rsidP="001F0952">
      <w:pPr>
        <w:spacing w:after="160" w:line="336" w:lineRule="auto"/>
        <w:ind w:firstLine="567"/>
        <w:jc w:val="both"/>
        <w:rPr>
          <w:rFonts w:ascii="Sylfaen" w:hAnsi="Sylfaen"/>
          <w:sz w:val="24"/>
          <w:szCs w:val="24"/>
        </w:rPr>
      </w:pPr>
      <w:r w:rsidRPr="003B2786">
        <w:rPr>
          <w:rFonts w:ascii="Sylfaen" w:hAnsi="Sylfaen"/>
          <w:sz w:val="24"/>
          <w:szCs w:val="24"/>
        </w:rPr>
        <w:t xml:space="preserve">Պատվաստանյութերի դեպքում անհրաժեշտ է նշել, թե արդյոք անցկացվել են Միության դեղագրքով </w:t>
      </w:r>
      <w:r w:rsidR="00C54D75">
        <w:rPr>
          <w:rFonts w:ascii="Sylfaen" w:hAnsi="Sylfaen"/>
          <w:sz w:val="24"/>
          <w:szCs w:val="24"/>
        </w:rPr>
        <w:t>և</w:t>
      </w:r>
      <w:r w:rsidRPr="003B2786">
        <w:rPr>
          <w:rFonts w:ascii="Sylfaen" w:hAnsi="Sylfaen"/>
          <w:sz w:val="24"/>
          <w:szCs w:val="24"/>
        </w:rPr>
        <w:t xml:space="preserve"> ԱՀԿ-ի հանձնարարականներով նախատեսված բոլոր փորձարկումները </w:t>
      </w:r>
      <w:r w:rsidR="00C54D75">
        <w:rPr>
          <w:rFonts w:ascii="Sylfaen" w:hAnsi="Sylfaen"/>
          <w:sz w:val="24"/>
          <w:szCs w:val="24"/>
        </w:rPr>
        <w:t>և</w:t>
      </w:r>
      <w:r w:rsidRPr="003B2786">
        <w:rPr>
          <w:rFonts w:ascii="Sylfaen" w:hAnsi="Sylfaen"/>
          <w:sz w:val="24"/>
          <w:szCs w:val="24"/>
        </w:rPr>
        <w:t xml:space="preserve"> ստուգիչ միջոցառումները՝ սպեցիֆիկ </w:t>
      </w:r>
      <w:r w:rsidR="00C54D75">
        <w:rPr>
          <w:rFonts w:ascii="Sylfaen" w:hAnsi="Sylfaen"/>
          <w:sz w:val="24"/>
          <w:szCs w:val="24"/>
        </w:rPr>
        <w:t>և</w:t>
      </w:r>
      <w:r w:rsidRPr="003B2786">
        <w:rPr>
          <w:rFonts w:ascii="Sylfaen" w:hAnsi="Sylfaen"/>
          <w:sz w:val="24"/>
          <w:szCs w:val="24"/>
        </w:rPr>
        <w:t xml:space="preserve"> ոչ սպեցիֆիկ կողմնակի ագենտներով կոնտամինացիան չթույլատրելու նպատակով:</w:t>
      </w:r>
    </w:p>
    <w:p w14:paraId="2D47214F"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 xml:space="preserve">2.1 կետում ներկայացված տեղեկատվության հիման վրա անհրաժեշտ է </w:t>
      </w:r>
      <w:r w:rsidRPr="003B2786">
        <w:rPr>
          <w:rFonts w:ascii="Sylfaen" w:hAnsi="Sylfaen"/>
          <w:sz w:val="24"/>
          <w:szCs w:val="24"/>
        </w:rPr>
        <w:lastRenderedPageBreak/>
        <w:t>գնահատել, թե արդյոք հայտատուն վիրուսային կոնտամինացիայի մասով պատշաճ ուսումնասիրություն է անցկացրել:</w:t>
      </w:r>
    </w:p>
    <w:p w14:paraId="1CD59C9B"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2.3.</w:t>
      </w:r>
      <w:r w:rsidRPr="003B2786">
        <w:rPr>
          <w:rFonts w:ascii="Sylfaen" w:hAnsi="Sylfaen"/>
          <w:sz w:val="24"/>
          <w:szCs w:val="24"/>
        </w:rPr>
        <w:tab/>
        <w:t>Չմշակված, չբաժնեծրարված արտադրանքի ընթացիկ փորձարկումները (եթե կիրառելի է):</w:t>
      </w:r>
    </w:p>
    <w:p w14:paraId="49E5B60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Բջիջներից ստացված պատրաստուկների դեպքում անհրաժեշտ է նշել, թե արդյոք պահանջվում է չմշակված, չբաժնեծրարված արտադրանքի ընթացիկ փորձարկումների անցկացում: Անհրաժեշտ է գնահատել փորձարկումների ռեժիմի ընդունելիությունն ու բավարար լինելը:</w:t>
      </w:r>
    </w:p>
    <w:p w14:paraId="0C8534F0"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2.2</w:t>
      </w:r>
      <w:r>
        <w:rPr>
          <w:rFonts w:ascii="Sylfaen" w:hAnsi="Sylfaen"/>
          <w:sz w:val="24"/>
          <w:szCs w:val="24"/>
        </w:rPr>
        <w:t>.</w:t>
      </w:r>
      <w:r>
        <w:rPr>
          <w:rFonts w:ascii="Sylfaen" w:hAnsi="Sylfaen"/>
          <w:sz w:val="24"/>
          <w:szCs w:val="24"/>
        </w:rPr>
        <w:tab/>
      </w:r>
      <w:r w:rsidRPr="003B2786">
        <w:rPr>
          <w:rFonts w:ascii="Sylfaen" w:hAnsi="Sylfaen"/>
          <w:sz w:val="24"/>
          <w:szCs w:val="24"/>
        </w:rPr>
        <w:t>կետում ներկայացված տեղեկատվության հիման վրա անհրաժեշտ է գնահատել, թե արդյոք հայտատուն մշակել է ընթացիկ փորձարկումների պատշաճ ռազմավարություն:</w:t>
      </w:r>
    </w:p>
    <w:p w14:paraId="6D4CA178"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2.4.</w:t>
      </w:r>
      <w:r w:rsidRPr="003B2786">
        <w:rPr>
          <w:rFonts w:ascii="Sylfaen" w:hAnsi="Sylfaen"/>
          <w:sz w:val="24"/>
          <w:szCs w:val="24"/>
        </w:rPr>
        <w:tab/>
        <w:t>Մաքրված, չբաժնեծրարված արտադրանքի փորձարկումները (եթե</w:t>
      </w:r>
      <w:r>
        <w:rPr>
          <w:rFonts w:ascii="Sylfaen" w:hAnsi="Sylfaen"/>
          <w:sz w:val="24"/>
          <w:szCs w:val="24"/>
        </w:rPr>
        <w:t> </w:t>
      </w:r>
      <w:r w:rsidRPr="003B2786">
        <w:rPr>
          <w:rFonts w:ascii="Sylfaen" w:hAnsi="Sylfaen"/>
          <w:sz w:val="24"/>
          <w:szCs w:val="24"/>
        </w:rPr>
        <w:t>կիրառելի է):</w:t>
      </w:r>
    </w:p>
    <w:p w14:paraId="2FDB60F8" w14:textId="77777777" w:rsidR="008C76E0" w:rsidRPr="003B2786" w:rsidRDefault="008C76E0" w:rsidP="001F0952">
      <w:pPr>
        <w:tabs>
          <w:tab w:val="left" w:pos="1418"/>
        </w:tabs>
        <w:spacing w:after="160" w:line="384" w:lineRule="auto"/>
        <w:ind w:right="-1" w:firstLine="567"/>
        <w:jc w:val="both"/>
        <w:rPr>
          <w:rFonts w:ascii="Sylfaen" w:hAnsi="Sylfaen"/>
          <w:sz w:val="24"/>
          <w:szCs w:val="24"/>
        </w:rPr>
      </w:pPr>
      <w:r w:rsidRPr="003B2786">
        <w:rPr>
          <w:rFonts w:ascii="Sylfaen" w:hAnsi="Sylfaen"/>
          <w:sz w:val="24"/>
          <w:szCs w:val="24"/>
        </w:rPr>
        <w:t xml:space="preserve">Անհրաժեշտ է նշել, թե արդյոք հայտատուն ներկայացրել է մաքրված, չբաժնեծրարված արտադրանքի ընթացիկ </w:t>
      </w:r>
      <w:r w:rsidR="00C54D75">
        <w:rPr>
          <w:rFonts w:ascii="Sylfaen" w:hAnsi="Sylfaen"/>
          <w:sz w:val="24"/>
          <w:szCs w:val="24"/>
        </w:rPr>
        <w:t>և</w:t>
      </w:r>
      <w:r w:rsidRPr="003B2786">
        <w:rPr>
          <w:rFonts w:ascii="Sylfaen" w:hAnsi="Sylfaen"/>
          <w:sz w:val="24"/>
          <w:szCs w:val="24"/>
        </w:rPr>
        <w:t xml:space="preserve"> ոչ ընթացիկ հսկողության բավարար չափով հիմնավորված ռեժիմ: </w:t>
      </w:r>
    </w:p>
    <w:p w14:paraId="0E23E4FC" w14:textId="77777777" w:rsidR="008C76E0" w:rsidRPr="003B2786" w:rsidRDefault="008C76E0" w:rsidP="001F0952">
      <w:pPr>
        <w:tabs>
          <w:tab w:val="left" w:pos="1134"/>
        </w:tabs>
        <w:spacing w:after="160" w:line="384" w:lineRule="auto"/>
        <w:ind w:right="-1" w:firstLine="567"/>
        <w:jc w:val="both"/>
        <w:rPr>
          <w:rFonts w:ascii="Sylfaen" w:hAnsi="Sylfaen"/>
          <w:sz w:val="24"/>
          <w:szCs w:val="24"/>
        </w:rPr>
      </w:pPr>
      <w:r w:rsidRPr="003B2786">
        <w:rPr>
          <w:rFonts w:ascii="Sylfaen" w:hAnsi="Sylfaen"/>
          <w:sz w:val="24"/>
          <w:szCs w:val="24"/>
        </w:rPr>
        <w:t>2.5.</w:t>
      </w:r>
      <w:r w:rsidRPr="003B2786">
        <w:rPr>
          <w:rFonts w:ascii="Sylfaen" w:hAnsi="Sylfaen"/>
          <w:sz w:val="24"/>
          <w:szCs w:val="24"/>
        </w:rPr>
        <w:tab/>
        <w:t>Վիրուսներից մաքրման հետազոտությունները՝</w:t>
      </w:r>
    </w:p>
    <w:p w14:paraId="121457B0" w14:textId="77777777" w:rsidR="008C76E0" w:rsidRPr="003B2786" w:rsidRDefault="008C76E0" w:rsidP="001F0952">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Անհրաժեշտ է բերել հետազոտության բովանդակային պլանի վերաբերյալ ընդհանուր տեղեկություններ:</w:t>
      </w:r>
    </w:p>
    <w:p w14:paraId="3174C0FF"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Հարկ է գնահատել պատրաստուկի՝ վիրուսներից մաքրման անհրաժեշտությունը:</w:t>
      </w:r>
    </w:p>
    <w:p w14:paraId="671CCA1B"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 xml:space="preserve">Անհրաժեշտ է գնահատել վիրուսներից մաքրման համար արտադրության պրոցեսի փուլերի ճշգրտությունը </w:t>
      </w:r>
      <w:r w:rsidR="00C54D75">
        <w:rPr>
          <w:rFonts w:ascii="Sylfaen" w:hAnsi="Sylfaen"/>
          <w:sz w:val="24"/>
          <w:szCs w:val="24"/>
        </w:rPr>
        <w:t>և</w:t>
      </w:r>
      <w:r w:rsidRPr="003B2786">
        <w:rPr>
          <w:rFonts w:ascii="Sylfaen" w:hAnsi="Sylfaen"/>
          <w:sz w:val="24"/>
          <w:szCs w:val="24"/>
        </w:rPr>
        <w:t xml:space="preserve"> բավարարությունը:</w:t>
      </w:r>
    </w:p>
    <w:p w14:paraId="568254FC"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Անհրաժեշտ է գնահատել վիրուսների ընտրության ճշգրտությունը:</w:t>
      </w:r>
    </w:p>
    <w:p w14:paraId="610325F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գնահատել անցկացված հետազոտությունների </w:t>
      </w:r>
      <w:r w:rsidRPr="003B2786">
        <w:rPr>
          <w:rFonts w:ascii="Sylfaen" w:hAnsi="Sylfaen"/>
          <w:sz w:val="24"/>
          <w:szCs w:val="24"/>
        </w:rPr>
        <w:lastRenderedPageBreak/>
        <w:t>համապատասխանությունը Միության համապատասխան ձեռնարկների հանձնարարականներին:</w:t>
      </w:r>
    </w:p>
    <w:p w14:paraId="50D3FCBF" w14:textId="77777777" w:rsidR="008C76E0" w:rsidRPr="003B2786" w:rsidRDefault="008C76E0" w:rsidP="0047337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2.5.1</w:t>
      </w:r>
      <w:r w:rsidRPr="003B2786">
        <w:rPr>
          <w:rFonts w:ascii="Sylfaen" w:hAnsi="Sylfaen"/>
          <w:sz w:val="24"/>
          <w:szCs w:val="24"/>
        </w:rPr>
        <w:tab/>
        <w:t>Արտադրության տարբեր փուլերին համապատասխան՝ ուսումնասիրության ենթարկված վալիդացման հետազոտությունների գնահատումը:</w:t>
      </w:r>
    </w:p>
    <w:p w14:paraId="6F9415EF"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1)</w:t>
      </w:r>
      <w:r w:rsidRPr="003B2786">
        <w:rPr>
          <w:rFonts w:ascii="Sylfaen" w:hAnsi="Sylfaen"/>
          <w:sz w:val="24"/>
          <w:szCs w:val="24"/>
        </w:rPr>
        <w:tab/>
        <w:t>Անհրաժեշտ է գնահատել լաբորատոր պայմաններում արտադրության արդյունաբերական պրոցեսի վերարտադրելիության աստիճանը:</w:t>
      </w:r>
    </w:p>
    <w:p w14:paraId="1F1A56E8"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Անհրաժեշտ է գնահատել, թե արդյոք համեմատվել են արտադրության պրոցեսի կար</w:t>
      </w:r>
      <w:r w:rsidR="00C54D75">
        <w:rPr>
          <w:rFonts w:ascii="Sylfaen" w:hAnsi="Sylfaen"/>
          <w:sz w:val="24"/>
          <w:szCs w:val="24"/>
        </w:rPr>
        <w:t>և</w:t>
      </w:r>
      <w:r w:rsidRPr="003B2786">
        <w:rPr>
          <w:rFonts w:ascii="Sylfaen" w:hAnsi="Sylfaen"/>
          <w:sz w:val="24"/>
          <w:szCs w:val="24"/>
        </w:rPr>
        <w:t xml:space="preserve">որ պարամետրերը </w:t>
      </w:r>
      <w:r w:rsidR="00C54D75">
        <w:rPr>
          <w:rFonts w:ascii="Sylfaen" w:hAnsi="Sylfaen"/>
          <w:sz w:val="24"/>
          <w:szCs w:val="24"/>
        </w:rPr>
        <w:t>և</w:t>
      </w:r>
      <w:r w:rsidRPr="003B2786">
        <w:rPr>
          <w:rFonts w:ascii="Sylfaen" w:hAnsi="Sylfaen"/>
          <w:sz w:val="24"/>
          <w:szCs w:val="24"/>
        </w:rPr>
        <w:t xml:space="preserve"> արդյոք դրանք պատշաճ կերպով վերականգնվել են ապախոշորացնելիս (արտադրության պրոցեսի մասշտաբի փոքրացում մինչ</w:t>
      </w:r>
      <w:r w:rsidR="00C54D75">
        <w:rPr>
          <w:rFonts w:ascii="Sylfaen" w:hAnsi="Sylfaen"/>
          <w:sz w:val="24"/>
          <w:szCs w:val="24"/>
        </w:rPr>
        <w:t>և</w:t>
      </w:r>
      <w:r w:rsidRPr="003B2786">
        <w:rPr>
          <w:rFonts w:ascii="Sylfaen" w:hAnsi="Sylfaen"/>
          <w:sz w:val="24"/>
          <w:szCs w:val="24"/>
        </w:rPr>
        <w:t xml:space="preserve"> լաբորատորայինը):</w:t>
      </w:r>
    </w:p>
    <w:p w14:paraId="5084B71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Անհրաժեշտ է գնահատել, թե արդյոք ապախոշորացումը հաստատվել է օգտագործված միջանկյալ արտադրանքի կամ ֆրակցիաների վերլուծության արդյունքներով:</w:t>
      </w:r>
    </w:p>
    <w:p w14:paraId="0E7162D3" w14:textId="77777777" w:rsidR="008C76E0" w:rsidRPr="00815736" w:rsidRDefault="008C76E0" w:rsidP="00473371">
      <w:pPr>
        <w:spacing w:after="160" w:line="360" w:lineRule="auto"/>
        <w:ind w:firstLine="567"/>
        <w:jc w:val="both"/>
        <w:rPr>
          <w:rFonts w:ascii="Sylfaen" w:hAnsi="Sylfaen"/>
          <w:spacing w:val="-6"/>
          <w:sz w:val="24"/>
          <w:szCs w:val="24"/>
        </w:rPr>
      </w:pPr>
      <w:r w:rsidRPr="00815736">
        <w:rPr>
          <w:rFonts w:ascii="Sylfaen" w:hAnsi="Sylfaen"/>
          <w:spacing w:val="-6"/>
          <w:sz w:val="24"/>
          <w:szCs w:val="24"/>
        </w:rPr>
        <w:t>Քրոմատոգրաֆիական փուլերն օգտագործելիս անհրաժեշտ է գնահատել պարամետրերի համադրելիությունը (շերտի բարձրությունը, բեռնվածքը, մշակման, բեռնման բոլոր փուլերում հոսքի արագությունը, էլյուցիայի պրոֆիլները):</w:t>
      </w:r>
    </w:p>
    <w:p w14:paraId="2EE8EE3A"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Անհրաժեշտ է գնահատել, թե արդյոք անցկացվում է վիրուսների առկայության մասով՝ հետէլյուցիոն (լվացման) ֆրակցիայի ստուգում, ինչպես նա</w:t>
      </w:r>
      <w:r w:rsidR="00C54D75">
        <w:rPr>
          <w:rFonts w:ascii="Sylfaen" w:hAnsi="Sylfaen"/>
          <w:sz w:val="24"/>
          <w:szCs w:val="24"/>
        </w:rPr>
        <w:t>և</w:t>
      </w:r>
      <w:r w:rsidRPr="003B2786">
        <w:rPr>
          <w:rFonts w:ascii="Sylfaen" w:hAnsi="Sylfaen"/>
          <w:sz w:val="24"/>
          <w:szCs w:val="24"/>
        </w:rPr>
        <w:t xml:space="preserve"> մեծ քանակությամբ աղի պարունակությամբ ֆրակցիայի ստուգում, եթե կիրառելի է: Անհրաժեշտ է նշել, թե արդյոք յուրաքանչյուր քրոմատոգրաֆիական պարբերաշրջանի համար ներկայացվել են պարամետրերը:</w:t>
      </w:r>
    </w:p>
    <w:p w14:paraId="3907FC0A" w14:textId="77777777" w:rsidR="008C76E0" w:rsidRPr="00E15E7D"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 xml:space="preserve">Եթե առաջարկվում է սյունակների կրկնակի օգտագործում, անհրաժեշտ է նշել, թե արդյոք ռեգեներացման </w:t>
      </w:r>
      <w:r w:rsidR="00C54D75">
        <w:rPr>
          <w:rFonts w:ascii="Sylfaen" w:hAnsi="Sylfaen"/>
          <w:sz w:val="24"/>
          <w:szCs w:val="24"/>
        </w:rPr>
        <w:t>և</w:t>
      </w:r>
      <w:r w:rsidRPr="003B2786">
        <w:rPr>
          <w:rFonts w:ascii="Sylfaen" w:hAnsi="Sylfaen"/>
          <w:sz w:val="24"/>
          <w:szCs w:val="24"/>
        </w:rPr>
        <w:t xml:space="preserve"> սյունակների կրկնակի օգտագործման պայմանները նկարագրված </w:t>
      </w:r>
      <w:r w:rsidR="00C54D75">
        <w:rPr>
          <w:rFonts w:ascii="Sylfaen" w:hAnsi="Sylfaen"/>
          <w:sz w:val="24"/>
          <w:szCs w:val="24"/>
        </w:rPr>
        <w:t>և</w:t>
      </w:r>
      <w:r w:rsidRPr="003B2786">
        <w:rPr>
          <w:rFonts w:ascii="Sylfaen" w:hAnsi="Sylfaen"/>
          <w:sz w:val="24"/>
          <w:szCs w:val="24"/>
        </w:rPr>
        <w:t xml:space="preserve"> վալիդացված են</w:t>
      </w:r>
      <w:r w:rsidR="001F0952">
        <w:rPr>
          <w:rFonts w:ascii="Sylfaen" w:hAnsi="Sylfaen"/>
          <w:sz w:val="24"/>
          <w:szCs w:val="24"/>
        </w:rPr>
        <w:t>:</w:t>
      </w:r>
    </w:p>
    <w:p w14:paraId="025CE4BA"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 xml:space="preserve">Եթե նախատեսված են ֆիլտրացման փուլեր, անհրաժեշտ է նշել, թե արդյոք </w:t>
      </w:r>
      <w:r w:rsidRPr="003B2786">
        <w:rPr>
          <w:rFonts w:ascii="Sylfaen" w:hAnsi="Sylfaen"/>
          <w:sz w:val="24"/>
          <w:szCs w:val="24"/>
        </w:rPr>
        <w:lastRenderedPageBreak/>
        <w:t>պարամետրերը (ֆիլտրացնող մակեր</w:t>
      </w:r>
      <w:r w:rsidR="00C54D75">
        <w:rPr>
          <w:rFonts w:ascii="Sylfaen" w:hAnsi="Sylfaen"/>
          <w:sz w:val="24"/>
          <w:szCs w:val="24"/>
        </w:rPr>
        <w:t>և</w:t>
      </w:r>
      <w:r w:rsidRPr="003B2786">
        <w:rPr>
          <w:rFonts w:ascii="Sylfaen" w:hAnsi="Sylfaen"/>
          <w:sz w:val="24"/>
          <w:szCs w:val="24"/>
        </w:rPr>
        <w:t xml:space="preserve">ույթի, հոսքի կամ ճնշման </w:t>
      </w:r>
      <w:r w:rsidR="00C54D75">
        <w:rPr>
          <w:rFonts w:ascii="Sylfaen" w:hAnsi="Sylfaen"/>
          <w:sz w:val="24"/>
          <w:szCs w:val="24"/>
        </w:rPr>
        <w:t>և</w:t>
      </w:r>
      <w:r w:rsidRPr="003B2786">
        <w:rPr>
          <w:rFonts w:ascii="Sylfaen" w:hAnsi="Sylfaen"/>
          <w:sz w:val="24"/>
          <w:szCs w:val="24"/>
        </w:rPr>
        <w:t xml:space="preserve"> (կամ) տրանսմեմբրանային ճնշման արագության նկատմամբ ծավալի հարաբերակցությունը) նույնական են արտադրության արդյունաբերական պրոցեսի պարամետրերի հետ: Անհրաժեշտ է գնահատել, թե արդյոք մաքրման հետազոտությունները բավարար չափով արտացոլում են արտադրության ընթացքում ֆիլտրացման պրոցեսի տարբեր փուլերը (ֆիլտրացում </w:t>
      </w:r>
      <w:r w:rsidR="00C54D75">
        <w:rPr>
          <w:rFonts w:ascii="Sylfaen" w:hAnsi="Sylfaen"/>
          <w:sz w:val="24"/>
          <w:szCs w:val="24"/>
        </w:rPr>
        <w:t>և</w:t>
      </w:r>
      <w:r w:rsidRPr="003B2786">
        <w:rPr>
          <w:rFonts w:ascii="Sylfaen" w:hAnsi="Sylfaen"/>
          <w:sz w:val="24"/>
          <w:szCs w:val="24"/>
        </w:rPr>
        <w:t xml:space="preserve"> (կամ) ուլտրաֆիլտրացում կամ պատրաստուկի լվացում), ինչպես նա</w:t>
      </w:r>
      <w:r w:rsidR="00C54D75">
        <w:rPr>
          <w:rFonts w:ascii="Sylfaen" w:hAnsi="Sylfaen"/>
          <w:sz w:val="24"/>
          <w:szCs w:val="24"/>
        </w:rPr>
        <w:t>և</w:t>
      </w:r>
      <w:r w:rsidRPr="003B2786">
        <w:rPr>
          <w:rFonts w:ascii="Sylfaen" w:hAnsi="Sylfaen"/>
          <w:sz w:val="24"/>
          <w:szCs w:val="24"/>
        </w:rPr>
        <w:t xml:space="preserve"> այդ փուլերի ուսումնասիրության բավարար լինելը:</w:t>
      </w:r>
    </w:p>
    <w:p w14:paraId="40BF65EC"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թվարկել թերությունները:</w:t>
      </w:r>
    </w:p>
    <w:p w14:paraId="09B5EAFA" w14:textId="77777777" w:rsidR="008C76E0" w:rsidRPr="003B2786" w:rsidRDefault="008C76E0" w:rsidP="00473371">
      <w:pPr>
        <w:tabs>
          <w:tab w:val="left" w:pos="1134"/>
        </w:tabs>
        <w:spacing w:after="160" w:line="360" w:lineRule="auto"/>
        <w:ind w:right="-1" w:firstLine="567"/>
        <w:jc w:val="both"/>
        <w:outlineLvl w:val="0"/>
        <w:rPr>
          <w:rFonts w:ascii="Sylfaen" w:hAnsi="Sylfaen"/>
          <w:sz w:val="24"/>
          <w:szCs w:val="24"/>
        </w:rPr>
      </w:pPr>
      <w:r w:rsidRPr="003B2786">
        <w:rPr>
          <w:rFonts w:ascii="Sylfaen" w:hAnsi="Sylfaen"/>
          <w:sz w:val="24"/>
          <w:szCs w:val="24"/>
        </w:rPr>
        <w:t>2)</w:t>
      </w:r>
      <w:r w:rsidRPr="003B2786">
        <w:rPr>
          <w:rFonts w:ascii="Sylfaen" w:hAnsi="Sylfaen"/>
          <w:sz w:val="24"/>
          <w:szCs w:val="24"/>
        </w:rPr>
        <w:tab/>
        <w:t>Անհրաժեշտ է գնահատել վիրուսներից մաքրման փորձերի արդյունքների համոզիչ լինելը:</w:t>
      </w:r>
    </w:p>
    <w:p w14:paraId="230433F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որոշել, թե արդյոք ստուգվել է ուսումնասիրվող նյութի ցիտոտոքսիկության հնարավորությունը, ինչպես նա</w:t>
      </w:r>
      <w:r w:rsidR="00C54D75">
        <w:rPr>
          <w:rFonts w:ascii="Sylfaen" w:hAnsi="Sylfaen"/>
          <w:sz w:val="24"/>
          <w:szCs w:val="24"/>
        </w:rPr>
        <w:t>և</w:t>
      </w:r>
      <w:r w:rsidRPr="003B2786">
        <w:rPr>
          <w:rFonts w:ascii="Sylfaen" w:hAnsi="Sylfaen"/>
          <w:sz w:val="24"/>
          <w:szCs w:val="24"/>
        </w:rPr>
        <w:t xml:space="preserve"> որոշել վիրուսների հետ կապված փորձարկումների արդյունքների վրա աղավաղող ազդեցությունը:</w:t>
      </w:r>
    </w:p>
    <w:p w14:paraId="73496416" w14:textId="77777777" w:rsidR="008C76E0" w:rsidRPr="003B2786" w:rsidRDefault="008C76E0" w:rsidP="001F0952">
      <w:pPr>
        <w:spacing w:after="160" w:line="384" w:lineRule="auto"/>
        <w:ind w:firstLine="567"/>
        <w:jc w:val="both"/>
        <w:rPr>
          <w:rFonts w:ascii="Sylfaen" w:hAnsi="Sylfaen"/>
          <w:sz w:val="24"/>
          <w:szCs w:val="24"/>
        </w:rPr>
      </w:pPr>
      <w:r w:rsidRPr="003B2786">
        <w:rPr>
          <w:rFonts w:ascii="Sylfaen" w:hAnsi="Sylfaen"/>
          <w:sz w:val="24"/>
          <w:szCs w:val="24"/>
        </w:rPr>
        <w:t xml:space="preserve">Եթե ֆիլտրացիոն պրոցեսները գնահատվել են հայտատուի կողմից, անհրաժեշտ է որոշել, թե արդյոք հայտատուն անցկացրել է վիրուսային ագրեգատների հետ կապված փորձարկումներ </w:t>
      </w:r>
      <w:r w:rsidR="00C54D75">
        <w:rPr>
          <w:rFonts w:ascii="Sylfaen" w:hAnsi="Sylfaen"/>
          <w:sz w:val="24"/>
          <w:szCs w:val="24"/>
        </w:rPr>
        <w:t>և</w:t>
      </w:r>
      <w:r w:rsidRPr="003B2786">
        <w:rPr>
          <w:rFonts w:ascii="Sylfaen" w:hAnsi="Sylfaen"/>
          <w:sz w:val="24"/>
          <w:szCs w:val="24"/>
        </w:rPr>
        <w:t xml:space="preserve"> արդյոք դրանց որոշման համար օգտագործվել են համապատասխան մեթոդիկաներ:</w:t>
      </w:r>
    </w:p>
    <w:p w14:paraId="6191A164" w14:textId="77777777" w:rsidR="008C76E0" w:rsidRPr="003B2786" w:rsidRDefault="008C76E0" w:rsidP="001F0952">
      <w:pPr>
        <w:spacing w:after="160" w:line="384" w:lineRule="auto"/>
        <w:ind w:right="-1" w:firstLine="567"/>
        <w:jc w:val="both"/>
        <w:rPr>
          <w:rFonts w:ascii="Sylfaen" w:hAnsi="Sylfaen"/>
          <w:sz w:val="24"/>
          <w:szCs w:val="24"/>
        </w:rPr>
      </w:pPr>
      <w:r w:rsidRPr="003B2786">
        <w:rPr>
          <w:rFonts w:ascii="Sylfaen" w:hAnsi="Sylfaen"/>
          <w:sz w:val="24"/>
          <w:szCs w:val="24"/>
        </w:rPr>
        <w:t xml:space="preserve">Անհրաժեշտ է նշել, թե արդյոք ներկայացված են առաջնային տվյալները </w:t>
      </w:r>
      <w:r w:rsidR="00C54D75">
        <w:rPr>
          <w:rFonts w:ascii="Sylfaen" w:hAnsi="Sylfaen"/>
          <w:sz w:val="24"/>
          <w:szCs w:val="24"/>
        </w:rPr>
        <w:t>և</w:t>
      </w:r>
      <w:r w:rsidRPr="003B2786">
        <w:rPr>
          <w:rFonts w:ascii="Sylfaen" w:hAnsi="Sylfaen"/>
          <w:sz w:val="24"/>
          <w:szCs w:val="24"/>
        </w:rPr>
        <w:t xml:space="preserve"> արդյոք դրանք հաշվի են առնվել վիրուսային ծանրաբեռնվածության պարունակության կրճատման գործոնները հաշվարկելիս: </w:t>
      </w:r>
    </w:p>
    <w:p w14:paraId="2AE96DD8" w14:textId="77777777" w:rsidR="008C76E0" w:rsidRPr="003B2786" w:rsidRDefault="008C76E0" w:rsidP="001F0952">
      <w:pPr>
        <w:spacing w:after="160" w:line="384" w:lineRule="auto"/>
        <w:ind w:right="-1" w:firstLine="567"/>
        <w:jc w:val="both"/>
        <w:rPr>
          <w:rFonts w:ascii="Sylfaen" w:hAnsi="Sylfaen"/>
          <w:sz w:val="24"/>
          <w:szCs w:val="24"/>
        </w:rPr>
      </w:pPr>
      <w:r w:rsidRPr="003B2786">
        <w:rPr>
          <w:rFonts w:ascii="Sylfaen" w:hAnsi="Sylfaen"/>
          <w:sz w:val="24"/>
          <w:szCs w:val="24"/>
        </w:rPr>
        <w:t>Անհրաժեշտ է թվարկել թերությունները:</w:t>
      </w:r>
    </w:p>
    <w:p w14:paraId="5827BC40" w14:textId="77777777" w:rsidR="008C76E0" w:rsidRPr="003B2786" w:rsidRDefault="008C76E0" w:rsidP="001F0952">
      <w:pPr>
        <w:tabs>
          <w:tab w:val="left" w:pos="1134"/>
        </w:tabs>
        <w:spacing w:after="160" w:line="384" w:lineRule="auto"/>
        <w:ind w:right="-1" w:firstLine="567"/>
        <w:jc w:val="both"/>
        <w:outlineLvl w:val="0"/>
        <w:rPr>
          <w:rFonts w:ascii="Sylfaen" w:hAnsi="Sylfaen"/>
          <w:sz w:val="24"/>
          <w:szCs w:val="24"/>
        </w:rPr>
      </w:pPr>
      <w:r w:rsidRPr="003B2786">
        <w:rPr>
          <w:rFonts w:ascii="Sylfaen" w:hAnsi="Sylfaen"/>
          <w:sz w:val="24"/>
          <w:szCs w:val="24"/>
        </w:rPr>
        <w:t>3)</w:t>
      </w:r>
      <w:r w:rsidRPr="003B2786">
        <w:rPr>
          <w:rFonts w:ascii="Sylfaen" w:hAnsi="Sylfaen"/>
          <w:sz w:val="24"/>
          <w:szCs w:val="24"/>
        </w:rPr>
        <w:tab/>
        <w:t>Վիրուսային ծանրաբեռնվածության պարունակության կրճատման հայտագրված գործոնների գնահատումը (R</w:t>
      </w:r>
      <w:r w:rsidRPr="003B2786">
        <w:rPr>
          <w:rFonts w:ascii="Sylfaen" w:hAnsi="Sylfaen"/>
          <w:sz w:val="24"/>
          <w:szCs w:val="24"/>
          <w:vertAlign w:val="subscript"/>
        </w:rPr>
        <w:t>f</w:t>
      </w:r>
      <w:r w:rsidRPr="003B2786">
        <w:rPr>
          <w:rFonts w:ascii="Sylfaen" w:hAnsi="Sylfaen"/>
          <w:sz w:val="24"/>
          <w:szCs w:val="24"/>
        </w:rPr>
        <w:t>):</w:t>
      </w:r>
    </w:p>
    <w:p w14:paraId="076DD9B7" w14:textId="77777777" w:rsidR="008C76E0" w:rsidRPr="003B2786" w:rsidRDefault="008C76E0" w:rsidP="001F0952">
      <w:pPr>
        <w:spacing w:after="160" w:line="384" w:lineRule="auto"/>
        <w:ind w:right="-1" w:firstLine="567"/>
        <w:jc w:val="both"/>
        <w:rPr>
          <w:rFonts w:ascii="Sylfaen" w:hAnsi="Sylfaen"/>
          <w:sz w:val="24"/>
          <w:szCs w:val="24"/>
        </w:rPr>
      </w:pPr>
      <w:r w:rsidRPr="003B2786">
        <w:rPr>
          <w:rFonts w:ascii="Sylfaen" w:hAnsi="Sylfaen"/>
          <w:sz w:val="24"/>
          <w:szCs w:val="24"/>
        </w:rPr>
        <w:t>Անհրաժեշտ է գնահատել, թե որքանով են համոզիչ հայտագրված R</w:t>
      </w:r>
      <w:r w:rsidRPr="003B2786">
        <w:rPr>
          <w:rFonts w:ascii="Sylfaen" w:hAnsi="Sylfaen"/>
          <w:sz w:val="24"/>
          <w:szCs w:val="24"/>
          <w:vertAlign w:val="subscript"/>
        </w:rPr>
        <w:t xml:space="preserve">f </w:t>
      </w:r>
      <w:r w:rsidRPr="003B2786">
        <w:rPr>
          <w:rFonts w:ascii="Sylfaen" w:hAnsi="Sylfaen"/>
          <w:sz w:val="24"/>
          <w:szCs w:val="24"/>
        </w:rPr>
        <w:lastRenderedPageBreak/>
        <w:t xml:space="preserve">արժեքները, </w:t>
      </w:r>
      <w:r w:rsidR="00C54D75">
        <w:rPr>
          <w:rFonts w:ascii="Sylfaen" w:hAnsi="Sylfaen"/>
          <w:sz w:val="24"/>
          <w:szCs w:val="24"/>
        </w:rPr>
        <w:t>և</w:t>
      </w:r>
      <w:r w:rsidRPr="003B2786">
        <w:rPr>
          <w:rFonts w:ascii="Sylfaen" w:hAnsi="Sylfaen"/>
          <w:sz w:val="24"/>
          <w:szCs w:val="24"/>
        </w:rPr>
        <w:t xml:space="preserve"> արդյոք դրանք հաստատվել են փորձարկումների արդյունքներով:</w:t>
      </w:r>
    </w:p>
    <w:p w14:paraId="1C45FBA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ներկայացնել վիրուսային ծանրաբեռնվածության պարունակության կրճատման գործոններ պարունակող աղյուսակ (ճշգրտված արժեքները, եթե պահանջվում է):</w:t>
      </w:r>
    </w:p>
    <w:p w14:paraId="43D3012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Անհրաժեշտ է նշել, թե արդյոք ուսումնասիրվել է արտադրական փուլի կայունությունը (արտադրական պրոցեսի կար</w:t>
      </w:r>
      <w:r w:rsidR="00C54D75">
        <w:rPr>
          <w:rFonts w:ascii="Sylfaen" w:hAnsi="Sylfaen"/>
          <w:sz w:val="24"/>
          <w:szCs w:val="24"/>
        </w:rPr>
        <w:t>և</w:t>
      </w:r>
      <w:r w:rsidRPr="003B2786">
        <w:rPr>
          <w:rFonts w:ascii="Sylfaen" w:hAnsi="Sylfaen"/>
          <w:sz w:val="24"/>
          <w:szCs w:val="24"/>
        </w:rPr>
        <w:t>որ պարամետրերի ազդեցությունը):</w:t>
      </w:r>
    </w:p>
    <w:p w14:paraId="10E09282" w14:textId="77777777" w:rsidR="008C76E0" w:rsidRPr="003B2786" w:rsidRDefault="008C76E0" w:rsidP="00473371">
      <w:pPr>
        <w:spacing w:after="160" w:line="384" w:lineRule="auto"/>
        <w:ind w:firstLine="567"/>
        <w:jc w:val="both"/>
        <w:rPr>
          <w:rFonts w:ascii="Sylfaen" w:hAnsi="Sylfaen"/>
          <w:sz w:val="24"/>
          <w:szCs w:val="24"/>
        </w:rPr>
      </w:pPr>
      <w:r w:rsidRPr="003B2786">
        <w:rPr>
          <w:rFonts w:ascii="Sylfaen" w:hAnsi="Sylfaen"/>
          <w:sz w:val="24"/>
          <w:szCs w:val="24"/>
        </w:rPr>
        <w:t xml:space="preserve">Անհրաժեշտ է գնահատել, թե արդյոք հաստատվել է, որ վիրուսներից մաքրման վալիդացված փուլերը ունակ են վերացնելու էապես ավելի մեծ թվով վիրուսներ, քան դրանք հնարավոր է, որ պարունակվեն չմաքրված, չբաժնեծրարված արտադրանքում, որն ըստ քանակի համարժեք է դեղապատրաստուկի մեկ դեղաչափին: </w:t>
      </w:r>
    </w:p>
    <w:p w14:paraId="12614E6F" w14:textId="77777777" w:rsidR="008C76E0" w:rsidRPr="003B2786" w:rsidRDefault="008C76E0" w:rsidP="00473371">
      <w:pPr>
        <w:tabs>
          <w:tab w:val="left" w:pos="1701"/>
        </w:tabs>
        <w:spacing w:after="160" w:line="384" w:lineRule="auto"/>
        <w:ind w:right="-1" w:firstLine="567"/>
        <w:jc w:val="both"/>
        <w:rPr>
          <w:rFonts w:ascii="Sylfaen" w:hAnsi="Sylfaen"/>
          <w:sz w:val="24"/>
          <w:szCs w:val="24"/>
        </w:rPr>
      </w:pPr>
      <w:r w:rsidRPr="003B2786">
        <w:rPr>
          <w:rFonts w:ascii="Sylfaen" w:hAnsi="Sylfaen"/>
          <w:sz w:val="24"/>
          <w:szCs w:val="24"/>
        </w:rPr>
        <w:t>А.2.2.5</w:t>
      </w:r>
      <w:r w:rsidRPr="003B2786">
        <w:rPr>
          <w:rFonts w:ascii="Sylfaen" w:eastAsia="MS Mincho" w:hAnsi="MS Mincho" w:cs="MS Mincho"/>
          <w:sz w:val="24"/>
          <w:szCs w:val="24"/>
        </w:rPr>
        <w:t>․</w:t>
      </w:r>
      <w:r w:rsidRPr="003B2786">
        <w:rPr>
          <w:rFonts w:ascii="Sylfaen" w:eastAsia="MS Mincho" w:hAnsi="Sylfaen" w:cs="MS Mincho"/>
          <w:sz w:val="24"/>
          <w:szCs w:val="24"/>
        </w:rPr>
        <w:tab/>
      </w:r>
      <w:r w:rsidRPr="003B2786">
        <w:rPr>
          <w:rFonts w:ascii="Sylfaen" w:hAnsi="Sylfaen"/>
          <w:sz w:val="24"/>
          <w:szCs w:val="24"/>
        </w:rPr>
        <w:t>բաժնի ռեզյումե:</w:t>
      </w:r>
    </w:p>
    <w:p w14:paraId="3A0ABD8F"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Անհրաժեշտ է ներկայացնել ամբողջ պրոցեսի վիրուսային ծանրաբեռնվածության պարունակության կրճատման գործոնների աղյուսակը (ճշգրտված արժեքները, եթե պահանջվում է):</w:t>
      </w:r>
    </w:p>
    <w:p w14:paraId="4916EA7E"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Անհրաժեշտ է ներկայացնել գնահատման արդյունքների ռեզյումեն:</w:t>
      </w:r>
    </w:p>
    <w:p w14:paraId="0F2ED1EC" w14:textId="77777777" w:rsidR="008C76E0" w:rsidRPr="003B2786" w:rsidRDefault="008C76E0" w:rsidP="00473371">
      <w:pPr>
        <w:tabs>
          <w:tab w:val="left" w:pos="1701"/>
        </w:tabs>
        <w:spacing w:after="160" w:line="384" w:lineRule="auto"/>
        <w:ind w:right="-1" w:firstLine="567"/>
        <w:jc w:val="both"/>
        <w:rPr>
          <w:rFonts w:ascii="Sylfaen" w:hAnsi="Sylfaen"/>
          <w:sz w:val="24"/>
          <w:szCs w:val="24"/>
        </w:rPr>
      </w:pPr>
      <w:r w:rsidRPr="003B2786">
        <w:rPr>
          <w:rFonts w:ascii="Sylfaen" w:hAnsi="Sylfaen"/>
          <w:sz w:val="24"/>
          <w:szCs w:val="24"/>
        </w:rPr>
        <w:t>А.2.3.</w:t>
      </w:r>
      <w:r w:rsidRPr="003B2786">
        <w:rPr>
          <w:rFonts w:ascii="Sylfaen" w:hAnsi="Sylfaen"/>
          <w:sz w:val="24"/>
          <w:szCs w:val="24"/>
        </w:rPr>
        <w:tab/>
        <w:t>5.2 կետի եզրակացությունը:</w:t>
      </w:r>
    </w:p>
    <w:p w14:paraId="1237FEAA" w14:textId="77777777" w:rsidR="008C76E0" w:rsidRPr="003B2786" w:rsidRDefault="008C76E0" w:rsidP="00473371">
      <w:pPr>
        <w:spacing w:after="160" w:line="384" w:lineRule="auto"/>
        <w:ind w:right="-1" w:firstLine="567"/>
        <w:jc w:val="both"/>
        <w:rPr>
          <w:rFonts w:ascii="Sylfaen" w:hAnsi="Sylfaen"/>
          <w:sz w:val="24"/>
          <w:szCs w:val="24"/>
        </w:rPr>
      </w:pPr>
      <w:r w:rsidRPr="003B2786">
        <w:rPr>
          <w:rFonts w:ascii="Sylfaen" w:hAnsi="Sylfaen"/>
          <w:sz w:val="24"/>
          <w:szCs w:val="24"/>
        </w:rPr>
        <w:t xml:space="preserve">Անհրաժեշտ է ներկայացնել ամփոփիչ ռեզյումե </w:t>
      </w:r>
      <w:r w:rsidR="00C54D75">
        <w:rPr>
          <w:rFonts w:ascii="Sylfaen" w:hAnsi="Sylfaen"/>
          <w:sz w:val="24"/>
          <w:szCs w:val="24"/>
        </w:rPr>
        <w:t>և</w:t>
      </w:r>
      <w:r w:rsidRPr="003B2786">
        <w:rPr>
          <w:rFonts w:ascii="Sylfaen" w:hAnsi="Sylfaen"/>
          <w:sz w:val="24"/>
          <w:szCs w:val="24"/>
        </w:rPr>
        <w:t xml:space="preserve"> եզրակացություն՝</w:t>
      </w:r>
    </w:p>
    <w:p w14:paraId="09316E8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մանրէազերծության (միկոպլազմային, բակտերային, սնկային),</w:t>
      </w:r>
    </w:p>
    <w:p w14:paraId="48697E9E"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ՓՍԷ-ի մասով անվտանգության,</w:t>
      </w:r>
    </w:p>
    <w:p w14:paraId="122B43E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վիրուսային անվտանգության վերաբերյալ:</w:t>
      </w:r>
    </w:p>
    <w:p w14:paraId="20D79F00" w14:textId="77777777" w:rsidR="008C76E0" w:rsidRPr="003B2786" w:rsidRDefault="008C76E0" w:rsidP="00473371">
      <w:pPr>
        <w:spacing w:after="160" w:line="360" w:lineRule="auto"/>
        <w:ind w:right="-1" w:firstLine="567"/>
        <w:jc w:val="both"/>
        <w:rPr>
          <w:rFonts w:ascii="Sylfaen" w:hAnsi="Sylfaen"/>
          <w:sz w:val="24"/>
          <w:szCs w:val="24"/>
        </w:rPr>
      </w:pPr>
    </w:p>
    <w:p w14:paraId="0AFB8670"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А.3.</w:t>
      </w:r>
      <w:r>
        <w:rPr>
          <w:rFonts w:ascii="Sylfaen" w:hAnsi="Sylfaen"/>
          <w:sz w:val="24"/>
          <w:szCs w:val="24"/>
        </w:rPr>
        <w:tab/>
      </w:r>
      <w:r w:rsidRPr="003B2786">
        <w:rPr>
          <w:rFonts w:ascii="Sylfaen" w:hAnsi="Sylfaen"/>
          <w:sz w:val="24"/>
          <w:szCs w:val="24"/>
        </w:rPr>
        <w:t>Նոր օժանդակ նյութեր</w:t>
      </w:r>
    </w:p>
    <w:p w14:paraId="6E613C7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Հարկ է ուշադրություն դարձնել այն հանգամանքին, որ Միության շրջանակներում կամ Միության անդամ պետությունների տարածքում գրանցված դեղապատրաստուկներում չպարունակվող նոր օժանդակ նյութերը կարող են դիտարկվել որպես նոր ԱԴԲ-ներ, ինչը հանգեցնում է համապատասխան տվյալները, այսինքն՝ արտադրության </w:t>
      </w:r>
      <w:r w:rsidR="00C54D75">
        <w:rPr>
          <w:rFonts w:ascii="Sylfaen" w:hAnsi="Sylfaen"/>
          <w:sz w:val="24"/>
          <w:szCs w:val="24"/>
        </w:rPr>
        <w:t>և</w:t>
      </w:r>
      <w:r w:rsidRPr="003B2786">
        <w:rPr>
          <w:rFonts w:ascii="Sylfaen" w:hAnsi="Sylfaen"/>
          <w:sz w:val="24"/>
          <w:szCs w:val="24"/>
        </w:rPr>
        <w:t xml:space="preserve"> հսկողության նկարագրության, թունաբանական հետազոտություններին արված հղումների ներկայացման </w:t>
      </w:r>
      <w:r w:rsidR="00C54D75">
        <w:rPr>
          <w:rFonts w:ascii="Sylfaen" w:hAnsi="Sylfaen"/>
          <w:sz w:val="24"/>
          <w:szCs w:val="24"/>
        </w:rPr>
        <w:t>և</w:t>
      </w:r>
      <w:r w:rsidRPr="003B2786">
        <w:rPr>
          <w:rFonts w:ascii="Sylfaen" w:hAnsi="Sylfaen"/>
          <w:sz w:val="24"/>
          <w:szCs w:val="24"/>
        </w:rPr>
        <w:t xml:space="preserve"> այլնի մասով տվյալները ամբողջ ծավալով ներկայացնելու պահանջների կիրառմանը: Տվյալ բաժնում անհրաժեշտ է գնահատել այդպիսի նոր օժանդակ նյութերի մանրամասն ուսումնասիրության արդյունքները:</w:t>
      </w:r>
    </w:p>
    <w:p w14:paraId="2358BF60" w14:textId="77777777" w:rsidR="008C76E0" w:rsidRPr="003B2786" w:rsidRDefault="008C76E0" w:rsidP="00473371">
      <w:pPr>
        <w:spacing w:after="160" w:line="360" w:lineRule="auto"/>
        <w:ind w:right="-1" w:firstLine="567"/>
        <w:jc w:val="both"/>
        <w:rPr>
          <w:rFonts w:ascii="Sylfaen" w:hAnsi="Sylfaen"/>
          <w:sz w:val="24"/>
          <w:szCs w:val="24"/>
        </w:rPr>
      </w:pPr>
    </w:p>
    <w:p w14:paraId="1EB29753"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t>6. Տարածաշրջանային տեղեկատվություն</w:t>
      </w:r>
    </w:p>
    <w:p w14:paraId="44640FA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Դեղապատրաստուկի արտադրության պրոցեսի վալիդացման սխեման:</w:t>
      </w:r>
    </w:p>
    <w:p w14:paraId="4DB8BACD"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Բժշկական արտադրատեսակներին առնչվող հարցերը:</w:t>
      </w:r>
    </w:p>
    <w:p w14:paraId="42E33B77" w14:textId="77777777" w:rsidR="008C76E0"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Եթե դեղապատրաստուկի բացթողման ձ</w:t>
      </w:r>
      <w:r w:rsidR="00C54D75">
        <w:rPr>
          <w:rFonts w:ascii="Sylfaen" w:hAnsi="Sylfaen"/>
          <w:sz w:val="24"/>
          <w:szCs w:val="24"/>
        </w:rPr>
        <w:t>և</w:t>
      </w:r>
      <w:r w:rsidRPr="003B2786">
        <w:rPr>
          <w:rFonts w:ascii="Sylfaen" w:hAnsi="Sylfaen"/>
          <w:sz w:val="24"/>
          <w:szCs w:val="24"/>
        </w:rPr>
        <w:t xml:space="preserve">ը ներառում է բժշկական արտադրատեսակներ հանդիսացող բաղադրիչներ (օրինակ՝ ասեղներ, կաթետերներ (փողաձողեր) </w:t>
      </w:r>
      <w:r w:rsidR="00C54D75">
        <w:rPr>
          <w:rFonts w:ascii="Sylfaen" w:hAnsi="Sylfaen"/>
          <w:sz w:val="24"/>
          <w:szCs w:val="24"/>
        </w:rPr>
        <w:t>և</w:t>
      </w:r>
      <w:r w:rsidRPr="003B2786">
        <w:rPr>
          <w:rFonts w:ascii="Sylfaen" w:hAnsi="Sylfaen"/>
          <w:sz w:val="24"/>
          <w:szCs w:val="24"/>
        </w:rPr>
        <w:t xml:space="preserve"> այլն), անհրաժեշտ է արտացոլել բժշկական արտադրատեսակի գրանցման մասին տեղեկությունները: Հակառակ դեպքում որպես մեկ միասնական ամբողջություն դիտարկվող դեղապատրաստուկի փորձաքննությունն ավարտելու նպատակով դեղամիջոցների շրջանառության ոլորտում լիազորված մարմինը պետք է դիմի բժշկական արտադրատեսակների շրջանառության ոլորտում լիազորված մարմնին, որպեսզի անհրաժեշտության դեպքում համոզվի Միության օրենսդրության պահանջներին այդպիսի բժշկական արտադրատեսակի համապատասխանության մեջ: Բացի այդ, այնպիսի դեպքերում, երբ արտադրատեսակը բարդ կառուցվածք ունի </w:t>
      </w:r>
      <w:r w:rsidR="00C54D75">
        <w:rPr>
          <w:rFonts w:ascii="Sylfaen" w:hAnsi="Sylfaen"/>
          <w:sz w:val="24"/>
          <w:szCs w:val="24"/>
        </w:rPr>
        <w:t>և</w:t>
      </w:r>
      <w:r w:rsidRPr="003B2786">
        <w:rPr>
          <w:rFonts w:ascii="Sylfaen" w:hAnsi="Sylfaen"/>
          <w:sz w:val="24"/>
          <w:szCs w:val="24"/>
        </w:rPr>
        <w:t xml:space="preserve"> իրենից կարող է ներկայացնել մատակարարման համալիր համակարգ (օրինակ՝ բացթողման ձ</w:t>
      </w:r>
      <w:r w:rsidR="00C54D75">
        <w:rPr>
          <w:rFonts w:ascii="Sylfaen" w:hAnsi="Sylfaen"/>
          <w:sz w:val="24"/>
          <w:szCs w:val="24"/>
        </w:rPr>
        <w:t>և</w:t>
      </w:r>
      <w:r w:rsidRPr="003B2786">
        <w:rPr>
          <w:rFonts w:ascii="Sylfaen" w:hAnsi="Sylfaen"/>
          <w:sz w:val="24"/>
          <w:szCs w:val="24"/>
        </w:rPr>
        <w:t>ում ներառված՝ մատակարարման տրանսդերմալ իոնոֆորետիկ համակարգը), նա</w:t>
      </w:r>
      <w:r w:rsidR="00C54D75">
        <w:rPr>
          <w:rFonts w:ascii="Sylfaen" w:hAnsi="Sylfaen"/>
          <w:sz w:val="24"/>
          <w:szCs w:val="24"/>
        </w:rPr>
        <w:t>և</w:t>
      </w:r>
      <w:r w:rsidRPr="003B2786">
        <w:rPr>
          <w:rFonts w:ascii="Sylfaen" w:hAnsi="Sylfaen"/>
          <w:sz w:val="24"/>
          <w:szCs w:val="24"/>
        </w:rPr>
        <w:t xml:space="preserve"> պահանջվում է բժշկական արտադրատեսակի վերաբերյալ փորձագիտական հաշվետվություն՝ ամբողջական դեղապատրաստուկի կլինիկական բնութագրերի </w:t>
      </w:r>
      <w:r w:rsidRPr="003B2786">
        <w:rPr>
          <w:rFonts w:ascii="Sylfaen" w:hAnsi="Sylfaen"/>
          <w:sz w:val="24"/>
          <w:szCs w:val="24"/>
        </w:rPr>
        <w:lastRenderedPageBreak/>
        <w:t>տեսանկյունից:</w:t>
      </w:r>
    </w:p>
    <w:p w14:paraId="226D1AC6" w14:textId="77777777" w:rsidR="008C76E0" w:rsidRPr="003B2786" w:rsidRDefault="008C76E0" w:rsidP="00473371">
      <w:pPr>
        <w:spacing w:after="160" w:line="360" w:lineRule="auto"/>
        <w:jc w:val="center"/>
        <w:rPr>
          <w:rFonts w:ascii="Sylfaen" w:hAnsi="Sylfaen"/>
          <w:sz w:val="24"/>
          <w:szCs w:val="24"/>
        </w:rPr>
      </w:pPr>
    </w:p>
    <w:p w14:paraId="4EA8EFE7" w14:textId="77777777" w:rsidR="008C76E0" w:rsidRPr="003B2786" w:rsidRDefault="008C76E0" w:rsidP="00473371">
      <w:pPr>
        <w:spacing w:after="160" w:line="360" w:lineRule="auto"/>
        <w:ind w:right="-1" w:firstLine="567"/>
        <w:jc w:val="center"/>
        <w:rPr>
          <w:rFonts w:ascii="Sylfaen" w:hAnsi="Sylfaen"/>
          <w:sz w:val="24"/>
          <w:szCs w:val="24"/>
        </w:rPr>
      </w:pPr>
      <w:r w:rsidRPr="003B2786">
        <w:rPr>
          <w:rFonts w:ascii="Sylfaen" w:hAnsi="Sylfaen"/>
          <w:sz w:val="24"/>
          <w:szCs w:val="24"/>
        </w:rPr>
        <w:t>ՓՍԷ-ի փոխանցման ռիսկին առնչվող հարցերը:</w:t>
      </w:r>
    </w:p>
    <w:p w14:paraId="42083FD1" w14:textId="77777777" w:rsidR="008C76E0" w:rsidRPr="003B2786" w:rsidRDefault="008C76E0" w:rsidP="00473371">
      <w:pPr>
        <w:spacing w:after="160" w:line="360" w:lineRule="auto"/>
        <w:ind w:right="-1"/>
        <w:jc w:val="center"/>
        <w:rPr>
          <w:rFonts w:ascii="Sylfaen" w:hAnsi="Sylfaen"/>
          <w:sz w:val="24"/>
          <w:szCs w:val="24"/>
        </w:rPr>
      </w:pPr>
    </w:p>
    <w:p w14:paraId="51851907"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t xml:space="preserve">7. Փորձագետի դիտողությունները՝ դեղապատրաստուկի ընդհանուր բնութագրի, բժշկական կիրառման հրահանգի (ներդիր թերթիկի) </w:t>
      </w:r>
      <w:r w:rsidR="00C54D75">
        <w:rPr>
          <w:rFonts w:ascii="Sylfaen" w:hAnsi="Sylfaen"/>
          <w:sz w:val="24"/>
          <w:szCs w:val="24"/>
        </w:rPr>
        <w:t>և</w:t>
      </w:r>
      <w:r w:rsidRPr="003B2786">
        <w:rPr>
          <w:rFonts w:ascii="Sylfaen" w:hAnsi="Sylfaen"/>
          <w:sz w:val="24"/>
          <w:szCs w:val="24"/>
        </w:rPr>
        <w:t xml:space="preserve"> դեղապատրաստուկի մականշվածքի հետ կապված</w:t>
      </w:r>
    </w:p>
    <w:p w14:paraId="7A1E1527"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8. Փորձագետի ընդհանուր եզրակացությունը որակի վերաբերյալ:</w:t>
      </w:r>
    </w:p>
    <w:p w14:paraId="6F1E83C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Տվյալ բաժնի պարունակությունը կարելի է կրկնել փորձագիտական հաշվետվության «Ամփոփիչ մոդուլում»:</w:t>
      </w:r>
    </w:p>
    <w:p w14:paraId="00B2915C"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Սրա հետ կապված՝ կարող է պահանջվել ինքնուրույն </w:t>
      </w:r>
      <w:r w:rsidR="00C54D75">
        <w:rPr>
          <w:rFonts w:ascii="Sylfaen" w:hAnsi="Sylfaen"/>
          <w:sz w:val="24"/>
          <w:szCs w:val="24"/>
        </w:rPr>
        <w:t>և</w:t>
      </w:r>
      <w:r w:rsidRPr="003B2786">
        <w:rPr>
          <w:rFonts w:ascii="Sylfaen" w:hAnsi="Sylfaen"/>
          <w:sz w:val="24"/>
          <w:szCs w:val="24"/>
        </w:rPr>
        <w:t xml:space="preserve"> նպատակային մշակում, որպեսզի հաշվետվությունն օգտագործողը կարողանա համակողմանիորեն գնահատել փորձաքննության արդյունքները՝ օգուտ-ռիսկ հարաբերակցության լիարժեք գնահատման նպատակով:</w:t>
      </w:r>
    </w:p>
    <w:p w14:paraId="5D7F3A15"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Օգուտ-ռիսկ հարաբերակցության վրա ազդող որակի ասպեկտների համար անհրաժեշտ է նշել որակի այն բոլոր ասպեկտները (ինչպես ԱԴԲ-ի, այնպես էլ դեղապատրաստուկի), որոնք կարող են ազդել օգուտ-ռիսկ հարաբերակցության վրա: </w:t>
      </w:r>
    </w:p>
    <w:p w14:paraId="74E4124A"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Կիրառելիության դեպքում անհրաժեշտ է բերել մանկական դեղաձ</w:t>
      </w:r>
      <w:r w:rsidR="00C54D75">
        <w:rPr>
          <w:rFonts w:ascii="Sylfaen" w:hAnsi="Sylfaen"/>
          <w:sz w:val="24"/>
          <w:szCs w:val="24"/>
        </w:rPr>
        <w:t>և</w:t>
      </w:r>
      <w:r w:rsidRPr="003B2786">
        <w:rPr>
          <w:rFonts w:ascii="Sylfaen" w:hAnsi="Sylfaen"/>
          <w:sz w:val="24"/>
          <w:szCs w:val="24"/>
        </w:rPr>
        <w:t>ի մշակման մասին լրացուցիչ տեղեկություններ, այդ թվում՝ տեղեկություններ՝ թիրախային տարիքային խմբի մասին, եթե այդպիսի խումբ կազմվել է:</w:t>
      </w:r>
    </w:p>
    <w:p w14:paraId="6C9EA44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Որպես այլընտրանք, տվյալ բաժնում թույլատրվում է նշել միայն հիմնական եզրահանգումները, </w:t>
      </w:r>
      <w:r w:rsidR="00C54D75">
        <w:rPr>
          <w:rFonts w:ascii="Sylfaen" w:hAnsi="Sylfaen"/>
          <w:sz w:val="24"/>
          <w:szCs w:val="24"/>
        </w:rPr>
        <w:t>և</w:t>
      </w:r>
      <w:r w:rsidRPr="003B2786">
        <w:rPr>
          <w:rFonts w:ascii="Sylfaen" w:hAnsi="Sylfaen"/>
          <w:sz w:val="24"/>
          <w:szCs w:val="24"/>
        </w:rPr>
        <w:t xml:space="preserve"> այս դեպքում «Ամփոփիչ մոդուլի» տեքստը պետք է մշակել առանձին:</w:t>
      </w:r>
    </w:p>
    <w:p w14:paraId="1D123541"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pacing w:val="-6"/>
          <w:sz w:val="24"/>
          <w:szCs w:val="24"/>
        </w:rPr>
        <w:t xml:space="preserve">Անհրաժեշտ է առանձնացնել գրանցման դոսյեի որակի ընդհանուր ռեզյումեի բոլոր այն բաժինները (մոդուլ 2.3), որոնց հետ փորձագետը համաձայն է կամ </w:t>
      </w:r>
      <w:r w:rsidRPr="003B2786">
        <w:rPr>
          <w:rFonts w:ascii="Sylfaen" w:hAnsi="Sylfaen"/>
          <w:spacing w:val="-6"/>
          <w:sz w:val="24"/>
          <w:szCs w:val="24"/>
        </w:rPr>
        <w:lastRenderedPageBreak/>
        <w:t>համաձայն չէ: Մանկական դեղաձ</w:t>
      </w:r>
      <w:r w:rsidR="00C54D75">
        <w:rPr>
          <w:rFonts w:ascii="Sylfaen" w:hAnsi="Sylfaen"/>
          <w:spacing w:val="-6"/>
          <w:sz w:val="24"/>
          <w:szCs w:val="24"/>
        </w:rPr>
        <w:t>և</w:t>
      </w:r>
      <w:r w:rsidRPr="003B2786">
        <w:rPr>
          <w:rFonts w:ascii="Sylfaen" w:hAnsi="Sylfaen"/>
          <w:spacing w:val="-6"/>
          <w:sz w:val="24"/>
          <w:szCs w:val="24"/>
        </w:rPr>
        <w:t>ի դեպքում անհրաժեշտ է նշել, թե արդյոք պահանջվում է մանկաբուժության մեջ կիրառման համար դեղապատրաստուկների փորձաքննություն իրականացնող ազգային լիազորված մարմինների կամ կազմակերպությունների</w:t>
      </w:r>
      <w:r w:rsidRPr="003B2786">
        <w:rPr>
          <w:rFonts w:ascii="Sylfaen" w:hAnsi="Sylfaen"/>
          <w:sz w:val="24"/>
          <w:szCs w:val="24"/>
        </w:rPr>
        <w:t xml:space="preserve"> փորձագետների առանձին եզրակացությունը: </w:t>
      </w:r>
    </w:p>
    <w:p w14:paraId="5E91CE43" w14:textId="77777777" w:rsidR="008C76E0" w:rsidRPr="003B2786" w:rsidRDefault="008C76E0" w:rsidP="00473371">
      <w:pPr>
        <w:spacing w:after="160" w:line="360" w:lineRule="auto"/>
        <w:ind w:right="-1" w:firstLine="567"/>
        <w:jc w:val="center"/>
        <w:rPr>
          <w:rFonts w:ascii="Sylfaen" w:hAnsi="Sylfaen"/>
          <w:sz w:val="24"/>
          <w:szCs w:val="24"/>
        </w:rPr>
      </w:pPr>
    </w:p>
    <w:p w14:paraId="1AA2BD67"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t>9. Փորձագետի դիտողությունների ցանկը</w:t>
      </w:r>
    </w:p>
    <w:p w14:paraId="7048E2D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Դիտողությունների դասակարգումը.</w:t>
      </w:r>
    </w:p>
    <w:p w14:paraId="37327A4A" w14:textId="77777777" w:rsidR="008C76E0" w:rsidRPr="003B2786" w:rsidRDefault="008C76E0" w:rsidP="009C4732">
      <w:pPr>
        <w:spacing w:after="160" w:line="384" w:lineRule="auto"/>
        <w:ind w:firstLine="567"/>
        <w:jc w:val="both"/>
        <w:rPr>
          <w:rFonts w:ascii="Sylfaen" w:hAnsi="Sylfaen"/>
          <w:sz w:val="24"/>
          <w:szCs w:val="24"/>
        </w:rPr>
      </w:pPr>
      <w:r w:rsidRPr="003B2786">
        <w:rPr>
          <w:rFonts w:ascii="Sylfaen" w:hAnsi="Sylfaen"/>
          <w:sz w:val="24"/>
          <w:szCs w:val="24"/>
        </w:rPr>
        <w:t xml:space="preserve">«կրիտիկական դիտողություններ». այդպիսի դիտողություններն անհնարին են դարձնում դեղապատրաստուկի գրանցումը: Մեկ կրիտիկական դիտողությունը տեսականորեն կարող է ներառել մի քանի հարցեր, այդ դեպքում հարկավոր է օգտագործել չհամարակալված ցուցակներ </w:t>
      </w:r>
      <w:r w:rsidR="00C54D75">
        <w:rPr>
          <w:rFonts w:ascii="Sylfaen" w:hAnsi="Sylfaen"/>
          <w:sz w:val="24"/>
          <w:szCs w:val="24"/>
        </w:rPr>
        <w:t>և</w:t>
      </w:r>
      <w:r w:rsidRPr="003B2786">
        <w:rPr>
          <w:rFonts w:ascii="Sylfaen" w:hAnsi="Sylfaen"/>
          <w:sz w:val="24"/>
          <w:szCs w:val="24"/>
        </w:rPr>
        <w:t xml:space="preserve"> ենթավերնագրեր: Կրիտիկական դիտողությունը պետք է հասկանալի </w:t>
      </w:r>
      <w:r w:rsidR="00C54D75">
        <w:rPr>
          <w:rFonts w:ascii="Sylfaen" w:hAnsi="Sylfaen"/>
          <w:sz w:val="24"/>
          <w:szCs w:val="24"/>
        </w:rPr>
        <w:t>և</w:t>
      </w:r>
      <w:r w:rsidRPr="003B2786">
        <w:rPr>
          <w:rFonts w:ascii="Sylfaen" w:hAnsi="Sylfaen"/>
          <w:sz w:val="24"/>
          <w:szCs w:val="24"/>
        </w:rPr>
        <w:t xml:space="preserve"> հստակ շարադրված լինի: Դրա համար կարող են պահանջվել մանրամասն մեկնաբանություններ՝ Միության համապատասխան նորմատիվ իրավական ակտերին </w:t>
      </w:r>
      <w:r w:rsidR="00C54D75">
        <w:rPr>
          <w:rFonts w:ascii="Sylfaen" w:hAnsi="Sylfaen"/>
          <w:sz w:val="24"/>
          <w:szCs w:val="24"/>
        </w:rPr>
        <w:t>և</w:t>
      </w:r>
      <w:r w:rsidRPr="003B2786">
        <w:rPr>
          <w:rFonts w:ascii="Sylfaen" w:hAnsi="Sylfaen"/>
          <w:sz w:val="24"/>
          <w:szCs w:val="24"/>
        </w:rPr>
        <w:t xml:space="preserve"> հանձնարարականներին (ձեռնարկներին) արված հղումներով:</w:t>
      </w:r>
    </w:p>
    <w:p w14:paraId="268A4738" w14:textId="77777777" w:rsidR="008C76E0" w:rsidRPr="003B2786" w:rsidRDefault="008C76E0" w:rsidP="009C4732">
      <w:pPr>
        <w:spacing w:after="160" w:line="384" w:lineRule="auto"/>
        <w:ind w:firstLine="567"/>
        <w:jc w:val="both"/>
        <w:rPr>
          <w:rFonts w:ascii="Sylfaen" w:hAnsi="Sylfaen"/>
          <w:sz w:val="24"/>
          <w:szCs w:val="24"/>
        </w:rPr>
      </w:pPr>
      <w:r w:rsidRPr="003B2786">
        <w:rPr>
          <w:rFonts w:ascii="Sylfaen" w:hAnsi="Sylfaen"/>
          <w:sz w:val="24"/>
          <w:szCs w:val="24"/>
        </w:rPr>
        <w:t xml:space="preserve">Հնարավորության դեպքում դիտողությունը պետք է ներառի հայտատուից ակնկալվող պատասխանի </w:t>
      </w:r>
      <w:r w:rsidR="00C54D75">
        <w:rPr>
          <w:rFonts w:ascii="Sylfaen" w:hAnsi="Sylfaen"/>
          <w:sz w:val="24"/>
          <w:szCs w:val="24"/>
        </w:rPr>
        <w:t>և</w:t>
      </w:r>
      <w:r w:rsidRPr="003B2786">
        <w:rPr>
          <w:rFonts w:ascii="Sylfaen" w:hAnsi="Sylfaen"/>
          <w:sz w:val="24"/>
          <w:szCs w:val="24"/>
        </w:rPr>
        <w:t xml:space="preserve"> (կամ) միջոցառումների վերաբերյալ պարզաբանումներ,</w:t>
      </w:r>
    </w:p>
    <w:p w14:paraId="21DAFD1F" w14:textId="77777777" w:rsidR="008C76E0" w:rsidRPr="003B2786" w:rsidRDefault="008C76E0" w:rsidP="009C4732">
      <w:pPr>
        <w:spacing w:after="160" w:line="384" w:lineRule="auto"/>
        <w:ind w:firstLine="567"/>
        <w:jc w:val="both"/>
        <w:rPr>
          <w:rFonts w:ascii="Sylfaen" w:hAnsi="Sylfaen"/>
          <w:sz w:val="24"/>
          <w:szCs w:val="24"/>
        </w:rPr>
      </w:pPr>
      <w:r w:rsidRPr="003B2786">
        <w:rPr>
          <w:rFonts w:ascii="Sylfaen" w:hAnsi="Sylfaen"/>
          <w:sz w:val="24"/>
          <w:szCs w:val="24"/>
        </w:rPr>
        <w:t xml:space="preserve">«ոչ էական (այլ) դիտողություններ». այդպիսի դիտողությունները կարող են ազդել հայտատուի կողմից առաջարկված գրանցման պայմանների </w:t>
      </w:r>
      <w:r w:rsidR="00C54D75">
        <w:rPr>
          <w:rFonts w:ascii="Sylfaen" w:hAnsi="Sylfaen"/>
          <w:sz w:val="24"/>
          <w:szCs w:val="24"/>
        </w:rPr>
        <w:t>և</w:t>
      </w:r>
      <w:r w:rsidRPr="003B2786">
        <w:rPr>
          <w:rFonts w:ascii="Sylfaen" w:hAnsi="Sylfaen"/>
          <w:sz w:val="24"/>
          <w:szCs w:val="24"/>
        </w:rPr>
        <w:t xml:space="preserve"> դեղապատրաստուկի վերաբերյալ տեղեկատվության վրա (օրինակ՝ ԴԸԲ, ներդիր թերթիկ, մականշվածք): Ոչ էական (այլ) դիտողություններով վերհանված թերություններն անհրաժեշտ է վերացնել մինչ</w:t>
      </w:r>
      <w:r w:rsidR="00C54D75">
        <w:rPr>
          <w:rFonts w:ascii="Sylfaen" w:hAnsi="Sylfaen"/>
          <w:sz w:val="24"/>
          <w:szCs w:val="24"/>
        </w:rPr>
        <w:t>և</w:t>
      </w:r>
      <w:r w:rsidRPr="003B2786">
        <w:rPr>
          <w:rFonts w:ascii="Sylfaen" w:hAnsi="Sylfaen"/>
          <w:sz w:val="24"/>
          <w:szCs w:val="24"/>
        </w:rPr>
        <w:t xml:space="preserve"> գրանցման հավաստագիր ստանալը, հակառակ դեպքում գրանցումը կարող է մերժվել:</w:t>
      </w:r>
    </w:p>
    <w:p w14:paraId="692D569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Առարկությունների </w:t>
      </w:r>
      <w:r w:rsidR="00C54D75">
        <w:rPr>
          <w:rFonts w:ascii="Sylfaen" w:hAnsi="Sylfaen"/>
          <w:sz w:val="24"/>
          <w:szCs w:val="24"/>
        </w:rPr>
        <w:t>և</w:t>
      </w:r>
      <w:r w:rsidRPr="003B2786">
        <w:rPr>
          <w:rFonts w:ascii="Sylfaen" w:hAnsi="Sylfaen"/>
          <w:sz w:val="24"/>
          <w:szCs w:val="24"/>
        </w:rPr>
        <w:t xml:space="preserve"> հանձնարարականների բանաքաղման նպատակով դիտողությունների ցանկը կազմելիս հարկ է օգտագործել փորձագիտական </w:t>
      </w:r>
      <w:r w:rsidRPr="003B2786">
        <w:rPr>
          <w:rFonts w:ascii="Sylfaen" w:hAnsi="Sylfaen"/>
          <w:sz w:val="24"/>
          <w:szCs w:val="24"/>
        </w:rPr>
        <w:lastRenderedPageBreak/>
        <w:t>հաշվետվության ենթավերնագրերն ու վերնագրերը:</w:t>
      </w:r>
    </w:p>
    <w:p w14:paraId="0B5EDD6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Դիտողությունների տվյալ ցանկն անհրաժեշտ է կրկնել փորձագիտական հաշվետվության «Ամփոփիչ մոդուլում»:</w:t>
      </w:r>
    </w:p>
    <w:p w14:paraId="515FB0DF" w14:textId="77777777" w:rsidR="008C76E0" w:rsidRPr="003B2786" w:rsidRDefault="008C76E0" w:rsidP="00473371">
      <w:pPr>
        <w:spacing w:after="160" w:line="360" w:lineRule="auto"/>
        <w:ind w:firstLine="567"/>
        <w:jc w:val="both"/>
        <w:rPr>
          <w:rFonts w:ascii="Sylfaen" w:hAnsi="Sylfaen"/>
          <w:sz w:val="24"/>
          <w:szCs w:val="24"/>
        </w:rPr>
      </w:pPr>
    </w:p>
    <w:p w14:paraId="5F1144A9"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Որակի ասպեկտները</w:t>
      </w:r>
    </w:p>
    <w:p w14:paraId="3483E59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Կրիտիկական դիտողությունները:</w:t>
      </w:r>
    </w:p>
    <w:p w14:paraId="430B44F8"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ԱԴԲ-ն (միայն հայտատուի կողմից ներկայացված լրացուցիչ տվյալների մասով):</w:t>
      </w:r>
    </w:p>
    <w:p w14:paraId="2261AEA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ԱԴԲ-ն (ԱԴԲՄՖ-ի իրավատիրոջ կողմից ներկայացված մաստեր-ֆայլի մասը)</w:t>
      </w:r>
    </w:p>
    <w:p w14:paraId="1875AD8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Ծանոթագրություններ.</w:t>
      </w:r>
    </w:p>
    <w:p w14:paraId="758F2015" w14:textId="77777777" w:rsidR="008C76E0" w:rsidRPr="003B2786" w:rsidRDefault="008C76E0" w:rsidP="009C4732">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 xml:space="preserve">ԱԴԲՄՖ-ի օգտագործման </w:t>
      </w:r>
      <w:r w:rsidR="00C54D75">
        <w:rPr>
          <w:rFonts w:ascii="Sylfaen" w:hAnsi="Sylfaen"/>
          <w:sz w:val="24"/>
          <w:szCs w:val="24"/>
        </w:rPr>
        <w:t>և</w:t>
      </w:r>
      <w:r w:rsidRPr="003B2786">
        <w:rPr>
          <w:rFonts w:ascii="Sylfaen" w:hAnsi="Sylfaen"/>
          <w:sz w:val="24"/>
          <w:szCs w:val="24"/>
        </w:rPr>
        <w:t xml:space="preserve"> ԱԴԲՄՖ-ի փակ մասի փորձաքննության արդյունքների հիման վրա՝ հանրային առողջության համար հավանական լուրջ ռիսկերի հայտնաբերման դեպքում անհրաժեշտ է կատարել հետ</w:t>
      </w:r>
      <w:r w:rsidR="00C54D75">
        <w:rPr>
          <w:rFonts w:ascii="Sylfaen" w:hAnsi="Sylfaen"/>
          <w:sz w:val="24"/>
          <w:szCs w:val="24"/>
        </w:rPr>
        <w:t>և</w:t>
      </w:r>
      <w:r w:rsidRPr="003B2786">
        <w:rPr>
          <w:rFonts w:ascii="Sylfaen" w:hAnsi="Sylfaen"/>
          <w:sz w:val="24"/>
          <w:szCs w:val="24"/>
        </w:rPr>
        <w:t>յալ նշումը՝ «ԱԴԲՄՖ-ի փակ մասում հայտնաբերված՝ հանրային առողջության համար հավանական լուրջ ռիսկերի մասին տեղեկատվությունը բերվում է ԱԴԲՄՖ-ի առանձին փորձագիտական հաշվետվությունում»:</w:t>
      </w:r>
    </w:p>
    <w:p w14:paraId="0ECEB221" w14:textId="77777777" w:rsidR="008C76E0" w:rsidRPr="003B2786" w:rsidRDefault="008C76E0" w:rsidP="001F0952">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 xml:space="preserve">Անհրաժեշտ է ԱԴԲՄՖ-ի փակ մասում բերել լրացուցիչ կրիտիկական դիտողություններ՝ դրանց առկայության դեպքում: Դրանք մանրամասն կուսումնասիրվեն որակի ասպեկտների կրիտիկական գնահատման վերաբերյալ փորձագիտական հաշվետվության հիմնական մասի հավելվածում (տե՛ս Եվրասիական տնտեսական միության շրջանակներում դեղապատրաստուկների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8 հավելվածը):</w:t>
      </w:r>
    </w:p>
    <w:p w14:paraId="2A94501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Դեղապատրաստուկը:</w:t>
      </w:r>
    </w:p>
    <w:p w14:paraId="16D058DF"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Այլ դիտողություններ</w:t>
      </w:r>
    </w:p>
    <w:p w14:paraId="51EE1B6F"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ԱԴԲ-ն (միայն հայտատուի կողմից ներկայացված լրացուցիչ տվյալների մասով):</w:t>
      </w:r>
    </w:p>
    <w:p w14:paraId="369F428C"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ԱԴԲՄՖ-ի փակ մասում բերել լրացուցիչ կրիտիկական դիտողություններ՝ դրանց առկայության դեպքում: Դրանք մանրամասն կուսումնասիրվեն որակի ասպեկտների կրիտիկական գնահատման վերաբերյալ փորձագիտական հաշվետվության հիմնական մասի հավելվածում: </w:t>
      </w:r>
    </w:p>
    <w:p w14:paraId="16C8CAC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Ծանոթագրություն (եթե կիրառելի է)։ Նշել հետ</w:t>
      </w:r>
      <w:r w:rsidR="00C54D75">
        <w:rPr>
          <w:rFonts w:ascii="Sylfaen" w:hAnsi="Sylfaen"/>
          <w:sz w:val="24"/>
          <w:szCs w:val="24"/>
        </w:rPr>
        <w:t>և</w:t>
      </w:r>
      <w:r w:rsidRPr="003B2786">
        <w:rPr>
          <w:rFonts w:ascii="Sylfaen" w:hAnsi="Sylfaen"/>
          <w:sz w:val="24"/>
          <w:szCs w:val="24"/>
        </w:rPr>
        <w:t>յալը՝ «ԱԴԲՄՖ-ի փակ մասի այլ դիտողությունների մասին տեղեկատվությունը բերվել է ԱԴԲՄՖ-ի կրիտիկական գնահատականի վերաբերյալ առանձին փորձագիտական հաշվետվությունում»:</w:t>
      </w:r>
    </w:p>
    <w:p w14:paraId="3019016D"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Դեղապատրաստուկը:</w:t>
      </w:r>
    </w:p>
    <w:p w14:paraId="4A587C1A" w14:textId="77777777" w:rsidR="008C76E0" w:rsidRPr="003B2786" w:rsidRDefault="008C76E0" w:rsidP="00473371">
      <w:pPr>
        <w:spacing w:after="160" w:line="360" w:lineRule="auto"/>
        <w:ind w:firstLine="567"/>
        <w:jc w:val="center"/>
        <w:rPr>
          <w:rFonts w:ascii="Sylfaen" w:hAnsi="Sylfaen"/>
          <w:sz w:val="24"/>
          <w:szCs w:val="24"/>
        </w:rPr>
      </w:pPr>
    </w:p>
    <w:p w14:paraId="3F9DD28D"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Հանձնարարականները</w:t>
      </w:r>
    </w:p>
    <w:p w14:paraId="24A354A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Բաժինը պարունակում է փորձագետի այն դիտողությունները (պայմանները), որոնք չեն խոչընդոտում դեղապատրաստուկի գրանցմանը, կարող են հաշվի առնվել պատրաստուկի գրանցումից հետո </w:t>
      </w:r>
      <w:r w:rsidR="00C54D75">
        <w:rPr>
          <w:rFonts w:ascii="Sylfaen" w:hAnsi="Sylfaen"/>
          <w:sz w:val="24"/>
          <w:szCs w:val="24"/>
        </w:rPr>
        <w:t>և</w:t>
      </w:r>
      <w:r w:rsidRPr="003B2786">
        <w:rPr>
          <w:rFonts w:ascii="Sylfaen" w:hAnsi="Sylfaen"/>
          <w:sz w:val="24"/>
          <w:szCs w:val="24"/>
        </w:rPr>
        <w:t xml:space="preserve"> ներառվել են (փոփոխվել են) փոփոխությունների կատարման ընթացակարգի շրջանակներում:</w:t>
      </w:r>
    </w:p>
    <w:p w14:paraId="28F32D96" w14:textId="77777777" w:rsidR="008C76E0" w:rsidRPr="003B2786" w:rsidRDefault="008C76E0" w:rsidP="00473371">
      <w:pPr>
        <w:spacing w:after="160" w:line="360" w:lineRule="auto"/>
        <w:ind w:right="-1"/>
        <w:jc w:val="center"/>
        <w:rPr>
          <w:rFonts w:ascii="Sylfaen" w:hAnsi="Sylfaen"/>
          <w:sz w:val="24"/>
          <w:szCs w:val="24"/>
        </w:rPr>
      </w:pPr>
      <w:r w:rsidRPr="003B2786">
        <w:rPr>
          <w:rFonts w:ascii="Sylfaen" w:hAnsi="Sylfaen"/>
          <w:sz w:val="24"/>
          <w:szCs w:val="24"/>
        </w:rPr>
        <w:t>10. Թիվ 1 հավելված (եթե կիրառելի է)</w:t>
      </w:r>
    </w:p>
    <w:p w14:paraId="14289FB2" w14:textId="77777777" w:rsidR="008C76E0" w:rsidRPr="003B2786" w:rsidRDefault="008C76E0" w:rsidP="00473371">
      <w:pPr>
        <w:spacing w:after="160" w:line="360" w:lineRule="auto"/>
        <w:ind w:right="-1" w:firstLine="567"/>
        <w:jc w:val="both"/>
        <w:outlineLvl w:val="0"/>
        <w:rPr>
          <w:rFonts w:ascii="Sylfaen" w:hAnsi="Sylfaen"/>
          <w:sz w:val="24"/>
          <w:szCs w:val="24"/>
        </w:rPr>
      </w:pPr>
      <w:r w:rsidRPr="003B2786">
        <w:rPr>
          <w:rFonts w:ascii="Sylfaen" w:hAnsi="Sylfaen"/>
          <w:sz w:val="24"/>
          <w:szCs w:val="24"/>
        </w:rPr>
        <w:t>ԱԴԲՄՖ</w:t>
      </w:r>
    </w:p>
    <w:p w14:paraId="75833F1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Կրիտիկական գնահատման վերաբերյալ փորձագիտական հաշվետվությունն առանձին փաստաթղթում:</w:t>
      </w:r>
    </w:p>
    <w:p w14:paraId="47181D83" w14:textId="77777777" w:rsidR="008C76E0" w:rsidRPr="003B2786" w:rsidRDefault="008C76E0" w:rsidP="00473371">
      <w:pPr>
        <w:spacing w:after="160" w:line="360" w:lineRule="auto"/>
        <w:ind w:firstLine="567"/>
        <w:jc w:val="center"/>
        <w:rPr>
          <w:rFonts w:ascii="Sylfaen" w:hAnsi="Sylfaen"/>
          <w:sz w:val="24"/>
          <w:szCs w:val="24"/>
        </w:rPr>
      </w:pPr>
    </w:p>
    <w:p w14:paraId="03310170"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t xml:space="preserve">11. Թիվ 2 հավելված: Նախագծային դաշտը (դիզայնի ոլորտը) </w:t>
      </w:r>
      <w:r w:rsidR="00C54D75">
        <w:rPr>
          <w:rFonts w:ascii="Sylfaen" w:hAnsi="Sylfaen"/>
          <w:sz w:val="24"/>
          <w:szCs w:val="24"/>
        </w:rPr>
        <w:t>և</w:t>
      </w:r>
      <w:r w:rsidRPr="003B2786">
        <w:rPr>
          <w:rFonts w:ascii="Sylfaen" w:hAnsi="Sylfaen"/>
          <w:sz w:val="24"/>
          <w:szCs w:val="24"/>
        </w:rPr>
        <w:t xml:space="preserve"> փոփոխությունների կառավարման արձանագրությունները </w:t>
      </w:r>
      <w:r w:rsidRPr="003B2786">
        <w:rPr>
          <w:rFonts w:ascii="Sylfaen" w:hAnsi="Sylfaen"/>
          <w:sz w:val="24"/>
          <w:szCs w:val="24"/>
        </w:rPr>
        <w:br/>
        <w:t>(եթե կիրառելի է)</w:t>
      </w:r>
    </w:p>
    <w:p w14:paraId="0A10C6CF" w14:textId="77777777" w:rsidR="008C76E0" w:rsidRPr="003B2786" w:rsidRDefault="008C76E0" w:rsidP="009C4732">
      <w:pPr>
        <w:spacing w:after="160" w:line="336" w:lineRule="auto"/>
        <w:ind w:right="-1" w:firstLine="567"/>
        <w:jc w:val="both"/>
        <w:rPr>
          <w:rFonts w:ascii="Sylfaen" w:hAnsi="Sylfaen"/>
          <w:sz w:val="24"/>
          <w:szCs w:val="24"/>
        </w:rPr>
      </w:pPr>
      <w:r w:rsidRPr="003B2786">
        <w:rPr>
          <w:rFonts w:ascii="Sylfaen" w:hAnsi="Sylfaen"/>
          <w:sz w:val="24"/>
          <w:szCs w:val="24"/>
        </w:rPr>
        <w:lastRenderedPageBreak/>
        <w:t xml:space="preserve">Սույն հավելվածի նպատակն է լուսաբանել այն հարցերը, որոնք պետք է արտացոլվեն Միության համապատասխան ձեռնարկների համատեքստում օգտագործվող՝ ռիսկերի </w:t>
      </w:r>
      <w:r w:rsidR="00C54D75">
        <w:rPr>
          <w:rFonts w:ascii="Sylfaen" w:hAnsi="Sylfaen"/>
          <w:sz w:val="24"/>
          <w:szCs w:val="24"/>
        </w:rPr>
        <w:t>և</w:t>
      </w:r>
      <w:r w:rsidRPr="003B2786">
        <w:rPr>
          <w:rFonts w:ascii="Sylfaen" w:hAnsi="Sylfaen"/>
          <w:sz w:val="24"/>
          <w:szCs w:val="24"/>
        </w:rPr>
        <w:t xml:space="preserve"> վիճակագրական գործիքների գնահատման մեթոդների վերլուծության գնահատման մասին հաշվետվության մեջ: Փորձագետներին առաջարկվում է ծանոթանալ տվյալ հավելվածի բովանդակությանը՝ հաշվի առնելով Միության այդ բոլոր ձեռնարկները:</w:t>
      </w:r>
    </w:p>
    <w:p w14:paraId="40A7B19E" w14:textId="77777777" w:rsidR="008C76E0" w:rsidRPr="003B2786" w:rsidRDefault="008C76E0" w:rsidP="009C4732">
      <w:pPr>
        <w:tabs>
          <w:tab w:val="left" w:pos="1134"/>
        </w:tabs>
        <w:spacing w:after="160" w:line="336" w:lineRule="auto"/>
        <w:ind w:right="-1"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Ռիսկերի գնահատման մեթոդաբանություն</w:t>
      </w:r>
    </w:p>
    <w:p w14:paraId="7C55D0A1" w14:textId="77777777" w:rsidR="008C76E0" w:rsidRPr="003B2786" w:rsidRDefault="008C76E0" w:rsidP="009C4732">
      <w:pPr>
        <w:tabs>
          <w:tab w:val="left" w:pos="1418"/>
        </w:tabs>
        <w:spacing w:after="160" w:line="336" w:lineRule="auto"/>
        <w:ind w:firstLine="567"/>
        <w:jc w:val="both"/>
        <w:rPr>
          <w:rFonts w:ascii="Sylfaen" w:hAnsi="Sylfaen"/>
          <w:sz w:val="24"/>
          <w:szCs w:val="24"/>
        </w:rPr>
      </w:pPr>
      <w:r w:rsidRPr="003B2786">
        <w:rPr>
          <w:rFonts w:ascii="Sylfaen" w:hAnsi="Sylfaen"/>
          <w:sz w:val="24"/>
          <w:szCs w:val="24"/>
        </w:rPr>
        <w:t xml:space="preserve">Ռիսկերի գնահատման գործիքները կարող են օգտագործվել շատ իրավիճակներում: Օրինակ՝ դրանք կարելի է օգտագործել նյութերի որակի ցուցանիշների </w:t>
      </w:r>
      <w:r w:rsidR="00C54D75">
        <w:rPr>
          <w:rFonts w:ascii="Sylfaen" w:hAnsi="Sylfaen"/>
          <w:sz w:val="24"/>
          <w:szCs w:val="24"/>
        </w:rPr>
        <w:t>և</w:t>
      </w:r>
      <w:r w:rsidRPr="003B2786">
        <w:rPr>
          <w:rFonts w:ascii="Sylfaen" w:hAnsi="Sylfaen"/>
          <w:sz w:val="24"/>
          <w:szCs w:val="24"/>
        </w:rPr>
        <w:t xml:space="preserve"> (կամ) պրոցեսի պարամետրերի գնահատման </w:t>
      </w:r>
      <w:r w:rsidR="00C54D75">
        <w:rPr>
          <w:rFonts w:ascii="Sylfaen" w:hAnsi="Sylfaen"/>
          <w:sz w:val="24"/>
          <w:szCs w:val="24"/>
        </w:rPr>
        <w:t>և</w:t>
      </w:r>
      <w:r w:rsidRPr="003B2786">
        <w:rPr>
          <w:rFonts w:ascii="Sylfaen" w:hAnsi="Sylfaen"/>
          <w:sz w:val="24"/>
          <w:szCs w:val="24"/>
        </w:rPr>
        <w:t xml:space="preserve"> ընտրության համար, որոնք պետք է գտնվեն թույլատրելի նորմերի սահմաններում՝ դեղապատրաստուկի պահանջվող որակն ապահովելու համար: Այդպիսի գործիքներ կարող են նա</w:t>
      </w:r>
      <w:r w:rsidR="00C54D75">
        <w:rPr>
          <w:rFonts w:ascii="Sylfaen" w:hAnsi="Sylfaen"/>
          <w:sz w:val="24"/>
          <w:szCs w:val="24"/>
        </w:rPr>
        <w:t>և</w:t>
      </w:r>
      <w:r w:rsidRPr="003B2786">
        <w:rPr>
          <w:rFonts w:ascii="Sylfaen" w:hAnsi="Sylfaen"/>
          <w:sz w:val="24"/>
          <w:szCs w:val="24"/>
        </w:rPr>
        <w:t xml:space="preserve"> օգտագործվել պրոցեսի այնպիսի պարամետրերի ընտրության համար, որոնք, ելնելով ավելի վաղ ստացված փորձից </w:t>
      </w:r>
      <w:r w:rsidR="00C54D75">
        <w:rPr>
          <w:rFonts w:ascii="Sylfaen" w:hAnsi="Sylfaen"/>
          <w:sz w:val="24"/>
          <w:szCs w:val="24"/>
        </w:rPr>
        <w:t>և</w:t>
      </w:r>
      <w:r w:rsidRPr="003B2786">
        <w:rPr>
          <w:rFonts w:ascii="Sylfaen" w:hAnsi="Sylfaen"/>
          <w:sz w:val="24"/>
          <w:szCs w:val="24"/>
        </w:rPr>
        <w:t xml:space="preserve"> փորձագիտական տվյալներից, հնարավոր է, որ ազդեն դեղապատրաստուկի որակի վրա:</w:t>
      </w:r>
    </w:p>
    <w:p w14:paraId="0331A408" w14:textId="77777777" w:rsidR="008C76E0" w:rsidRPr="003B2786" w:rsidRDefault="008C76E0" w:rsidP="009C4732">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գնահատել, թե արդյոք ներկայացված են որակի բոլոր կրիտիկական ցուցանիշների </w:t>
      </w:r>
      <w:r w:rsidR="00C54D75">
        <w:rPr>
          <w:rFonts w:ascii="Sylfaen" w:hAnsi="Sylfaen"/>
          <w:sz w:val="24"/>
          <w:szCs w:val="24"/>
        </w:rPr>
        <w:t>և</w:t>
      </w:r>
      <w:r w:rsidRPr="003B2786">
        <w:rPr>
          <w:rFonts w:ascii="Sylfaen" w:hAnsi="Sylfaen"/>
          <w:sz w:val="24"/>
          <w:szCs w:val="24"/>
        </w:rPr>
        <w:t xml:space="preserve"> պրոցեսի պարամետրերի վերաբերյալ համառոտ տվյալները, որոնք, ելնելով ավելի վաղ ստացված փորձից </w:t>
      </w:r>
      <w:r w:rsidR="00C54D75">
        <w:rPr>
          <w:rFonts w:ascii="Sylfaen" w:hAnsi="Sylfaen"/>
          <w:sz w:val="24"/>
          <w:szCs w:val="24"/>
        </w:rPr>
        <w:t>և</w:t>
      </w:r>
      <w:r w:rsidRPr="003B2786">
        <w:rPr>
          <w:rFonts w:ascii="Sylfaen" w:hAnsi="Sylfaen"/>
          <w:sz w:val="24"/>
          <w:szCs w:val="24"/>
        </w:rPr>
        <w:t xml:space="preserve"> (կամ) փորձագիտական տվյալներից, կարող են ազդել դեղապատրաստուկի որակի վրա:</w:t>
      </w:r>
    </w:p>
    <w:p w14:paraId="226E7DF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Խափանումների պատճառների </w:t>
      </w:r>
      <w:r w:rsidR="00C54D75">
        <w:rPr>
          <w:rFonts w:ascii="Sylfaen" w:hAnsi="Sylfaen"/>
          <w:sz w:val="24"/>
          <w:szCs w:val="24"/>
        </w:rPr>
        <w:t>և</w:t>
      </w:r>
      <w:r w:rsidRPr="003B2786">
        <w:rPr>
          <w:rFonts w:ascii="Sylfaen" w:hAnsi="Sylfaen"/>
          <w:sz w:val="24"/>
          <w:szCs w:val="24"/>
        </w:rPr>
        <w:t xml:space="preserve"> հետ</w:t>
      </w:r>
      <w:r w:rsidR="00C54D75">
        <w:rPr>
          <w:rFonts w:ascii="Sylfaen" w:hAnsi="Sylfaen"/>
          <w:sz w:val="24"/>
          <w:szCs w:val="24"/>
        </w:rPr>
        <w:t>և</w:t>
      </w:r>
      <w:r w:rsidRPr="003B2786">
        <w:rPr>
          <w:rFonts w:ascii="Sylfaen" w:hAnsi="Sylfaen"/>
          <w:sz w:val="24"/>
          <w:szCs w:val="24"/>
        </w:rPr>
        <w:t xml:space="preserve">անքների վերլուծության մասով անհրաժեշտ է գնահատել՝ </w:t>
      </w:r>
    </w:p>
    <w:p w14:paraId="03E3CD1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ռիսկի բոլոր նշանակալի գործոններն են ներառվել: Օրինակ, դեղապատրաստուկի համար ռիսկի հայտնի գործոնները (օրինակ՝ քայքայումը, լուծելիությունը </w:t>
      </w:r>
      <w:r w:rsidR="00C54D75">
        <w:rPr>
          <w:rFonts w:ascii="Sylfaen" w:hAnsi="Sylfaen"/>
          <w:sz w:val="24"/>
          <w:szCs w:val="24"/>
        </w:rPr>
        <w:t>և</w:t>
      </w:r>
      <w:r w:rsidRPr="003B2786">
        <w:rPr>
          <w:rFonts w:ascii="Sylfaen" w:hAnsi="Sylfaen"/>
          <w:sz w:val="24"/>
          <w:szCs w:val="24"/>
        </w:rPr>
        <w:t xml:space="preserve"> այլն),</w:t>
      </w:r>
    </w:p>
    <w:p w14:paraId="553EEF93"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հաշվի է առնված առանձին գործողությունների </w:t>
      </w:r>
      <w:r w:rsidR="00C54D75">
        <w:rPr>
          <w:rFonts w:ascii="Sylfaen" w:hAnsi="Sylfaen"/>
          <w:sz w:val="24"/>
          <w:szCs w:val="24"/>
        </w:rPr>
        <w:t>և</w:t>
      </w:r>
      <w:r w:rsidRPr="003B2786">
        <w:rPr>
          <w:rFonts w:ascii="Sylfaen" w:hAnsi="Sylfaen"/>
          <w:sz w:val="24"/>
          <w:szCs w:val="24"/>
        </w:rPr>
        <w:t xml:space="preserve"> նյութերի հատկությունների արդյունավետությունը,</w:t>
      </w:r>
    </w:p>
    <w:p w14:paraId="6A79B18B"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հայտատուն բացատրել է, թե ինչպես է կատարվում ռիսկերի </w:t>
      </w:r>
      <w:r w:rsidRPr="003B2786">
        <w:rPr>
          <w:rFonts w:ascii="Sylfaen" w:hAnsi="Sylfaen"/>
          <w:sz w:val="24"/>
          <w:szCs w:val="24"/>
        </w:rPr>
        <w:lastRenderedPageBreak/>
        <w:t>դասակարգումն ու հաշվառումը,</w:t>
      </w:r>
    </w:p>
    <w:p w14:paraId="599D04DA"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արդյոք հայտատուն հիմնավորել է սահմանային արժեք սահմանելու կարգը, որպեսզի ընտրի, թե որ պարամետրերն են հետագայում ենթակա վերլուծության,</w:t>
      </w:r>
    </w:p>
    <w:p w14:paraId="77CFF37D" w14:textId="77777777" w:rsidR="008C76E0" w:rsidRPr="003B2786" w:rsidRDefault="008C76E0" w:rsidP="00473371">
      <w:pPr>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արդյոք դուք համաձայն եք ռիսկերի դասակարգման առաջարկվող սխեմայի հետ,</w:t>
      </w:r>
    </w:p>
    <w:p w14:paraId="7FBCE982"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համապատասխանում է արդյոք խափանումների պատճառների </w:t>
      </w:r>
      <w:r w:rsidR="00C54D75">
        <w:rPr>
          <w:rFonts w:ascii="Sylfaen" w:hAnsi="Sylfaen"/>
          <w:sz w:val="24"/>
          <w:szCs w:val="24"/>
        </w:rPr>
        <w:t>և</w:t>
      </w:r>
      <w:r w:rsidRPr="003B2786">
        <w:rPr>
          <w:rFonts w:ascii="Sylfaen" w:hAnsi="Sylfaen"/>
          <w:sz w:val="24"/>
          <w:szCs w:val="24"/>
        </w:rPr>
        <w:t xml:space="preserve"> հետ</w:t>
      </w:r>
      <w:r w:rsidR="00C54D75">
        <w:rPr>
          <w:rFonts w:ascii="Sylfaen" w:hAnsi="Sylfaen"/>
          <w:sz w:val="24"/>
          <w:szCs w:val="24"/>
        </w:rPr>
        <w:t>և</w:t>
      </w:r>
      <w:r w:rsidRPr="003B2786">
        <w:rPr>
          <w:rFonts w:ascii="Sylfaen" w:hAnsi="Sylfaen"/>
          <w:sz w:val="24"/>
          <w:szCs w:val="24"/>
        </w:rPr>
        <w:t>անքների վերլուծության արդյունքը ժամանակակից գիտական գիտելիքներին: Եթե ոչ, արդյոք հիմնավորված է այդպիսի արդյունքի ընդունելիությունը,</w:t>
      </w:r>
    </w:p>
    <w:p w14:paraId="0D571E09"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արդյոք հայտնաբերված ռիսկերը կառավարվում են ըստ նախագծային դաշտի (դիզայնի ոլորտի) կամ հսկողության առաջարկվող ռազմավարության:</w:t>
      </w:r>
    </w:p>
    <w:p w14:paraId="6227F1D8"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Նախագծմանն առնչվող գիտափորձերը:</w:t>
      </w:r>
    </w:p>
    <w:p w14:paraId="3175DC9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Նախագծմանն առնչվող գիտափորձերն իրենցից ներկայացնում են փորձարարական գործունեության իրականացման ռազմավարություն, որի շրջանակներում միաժամանակ տարատեսակվում են ուսումնասիրվող բոլոր գործոնները՝ մանրամասն կազմված մաթեմատիկական արձանագրություններին համապատասխան: Նպատակն է պլանավորել ռեպրեզենտատիվ </w:t>
      </w:r>
      <w:r w:rsidR="00C54D75">
        <w:rPr>
          <w:rFonts w:ascii="Sylfaen" w:hAnsi="Sylfaen"/>
          <w:sz w:val="24"/>
          <w:szCs w:val="24"/>
        </w:rPr>
        <w:t>և</w:t>
      </w:r>
      <w:r w:rsidRPr="003B2786">
        <w:rPr>
          <w:rFonts w:ascii="Sylfaen" w:hAnsi="Sylfaen"/>
          <w:sz w:val="24"/>
          <w:szCs w:val="24"/>
        </w:rPr>
        <w:t xml:space="preserve"> տեղեկատվական գիտափորձեր, որոնք թույլ կտան նվազագույն փորձերի միջոցով ստանալ առավելագույն տեղեկատվություն: Փորձարարական գործունեության իրականացման շրջանակներում ուսումնասիրության ենթակա գործոնները հիմնվում են ռիսկերի գնահատականի վրա: Մշակման վաղ էտապներում կատարված փորձարարական գործունեության վիճակագրական ամբողջական գնահատականը (օրինակ՝ սկրինինգի համար), անհրաժեշտ միջոց չի համարվում: Գործոնների </w:t>
      </w:r>
      <w:r w:rsidR="00C54D75">
        <w:rPr>
          <w:rFonts w:ascii="Sylfaen" w:hAnsi="Sylfaen"/>
          <w:sz w:val="24"/>
          <w:szCs w:val="24"/>
        </w:rPr>
        <w:t>և</w:t>
      </w:r>
      <w:r w:rsidRPr="003B2786">
        <w:rPr>
          <w:rFonts w:ascii="Sylfaen" w:hAnsi="Sylfaen"/>
          <w:sz w:val="24"/>
          <w:szCs w:val="24"/>
        </w:rPr>
        <w:t xml:space="preserve"> ուսումնասիրված մակարդակների, ինչպես նա</w:t>
      </w:r>
      <w:r w:rsidR="00C54D75">
        <w:rPr>
          <w:rFonts w:ascii="Sylfaen" w:hAnsi="Sylfaen"/>
          <w:sz w:val="24"/>
          <w:szCs w:val="24"/>
        </w:rPr>
        <w:t>և</w:t>
      </w:r>
      <w:r w:rsidRPr="003B2786">
        <w:rPr>
          <w:rFonts w:ascii="Sylfaen" w:hAnsi="Sylfaen"/>
          <w:sz w:val="24"/>
          <w:szCs w:val="24"/>
        </w:rPr>
        <w:t xml:space="preserve"> եզրակացությունների բառային նկարագրությունը միանգամայն բավարար է համարվում:</w:t>
      </w:r>
    </w:p>
    <w:p w14:paraId="119D3127"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Սակայն որակի կրիտիկական ցուցանիշների, պրոցեսի </w:t>
      </w:r>
      <w:r w:rsidR="00C54D75">
        <w:rPr>
          <w:rFonts w:ascii="Sylfaen" w:hAnsi="Sylfaen"/>
          <w:sz w:val="24"/>
          <w:szCs w:val="24"/>
        </w:rPr>
        <w:t>և</w:t>
      </w:r>
      <w:r w:rsidRPr="003B2786">
        <w:rPr>
          <w:rFonts w:ascii="Sylfaen" w:hAnsi="Sylfaen"/>
          <w:sz w:val="24"/>
          <w:szCs w:val="24"/>
        </w:rPr>
        <w:t xml:space="preserve"> (կամ) նախագծային </w:t>
      </w:r>
      <w:r w:rsidRPr="003B2786">
        <w:rPr>
          <w:rFonts w:ascii="Sylfaen" w:hAnsi="Sylfaen"/>
          <w:sz w:val="24"/>
          <w:szCs w:val="24"/>
        </w:rPr>
        <w:lastRenderedPageBreak/>
        <w:t>դաշտի (դիզայնի ոլորտի) կրիտիկական պարամետրերի սահմանմանն ուղղված՝ նախագծմանն առնչվող գիտափորձերի դեպքում պետք է ուսումնասիրվեն հետ</w:t>
      </w:r>
      <w:r w:rsidR="00C54D75">
        <w:rPr>
          <w:rFonts w:ascii="Sylfaen" w:hAnsi="Sylfaen"/>
          <w:sz w:val="24"/>
          <w:szCs w:val="24"/>
        </w:rPr>
        <w:t>և</w:t>
      </w:r>
      <w:r w:rsidRPr="003B2786">
        <w:rPr>
          <w:rFonts w:ascii="Sylfaen" w:hAnsi="Sylfaen"/>
          <w:sz w:val="24"/>
          <w:szCs w:val="24"/>
        </w:rPr>
        <w:t>յալ տվյալները՝</w:t>
      </w:r>
    </w:p>
    <w:p w14:paraId="56736EE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օգտագործված՝ նախագծմանն առնչվող գիտափորձի տարատեսակը </w:t>
      </w:r>
      <w:r w:rsidR="00C54D75">
        <w:rPr>
          <w:rFonts w:ascii="Sylfaen" w:hAnsi="Sylfaen"/>
          <w:sz w:val="24"/>
          <w:szCs w:val="24"/>
        </w:rPr>
        <w:t>և</w:t>
      </w:r>
      <w:r w:rsidRPr="003B2786">
        <w:rPr>
          <w:rFonts w:ascii="Sylfaen" w:hAnsi="Sylfaen"/>
          <w:sz w:val="24"/>
          <w:szCs w:val="24"/>
        </w:rPr>
        <w:t xml:space="preserve"> դրա պիտանելիության հիմնավորումը (օրինակ՝ որոշ սկրինինգային սխեմաներ հարմար չեն, քանի որ թույլ չեն տալիս որոշել փոխազդեցությունը): Պետք է նշվի նախագծմանն առնչվող գիտափորձ արժանահավատությունը (փորձարարական սխալն այն պատասխաններում եղած տարբերությունների համեմատ, որոնք պետք է արտացոլվեն),</w:t>
      </w:r>
    </w:p>
    <w:p w14:paraId="25723D3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ուսումնասիրվող գործոնները </w:t>
      </w:r>
      <w:r w:rsidR="00C54D75">
        <w:rPr>
          <w:rFonts w:ascii="Sylfaen" w:hAnsi="Sylfaen"/>
          <w:sz w:val="24"/>
          <w:szCs w:val="24"/>
        </w:rPr>
        <w:t>և</w:t>
      </w:r>
      <w:r w:rsidRPr="003B2786">
        <w:rPr>
          <w:rFonts w:ascii="Sylfaen" w:hAnsi="Sylfaen"/>
          <w:sz w:val="24"/>
          <w:szCs w:val="24"/>
        </w:rPr>
        <w:t xml:space="preserve"> դրանց ընդգրկույթները (հնարավորության դեպքում՝ աղյուսակային ձ</w:t>
      </w:r>
      <w:r w:rsidR="00C54D75">
        <w:rPr>
          <w:rFonts w:ascii="Sylfaen" w:hAnsi="Sylfaen"/>
          <w:sz w:val="24"/>
          <w:szCs w:val="24"/>
        </w:rPr>
        <w:t>և</w:t>
      </w:r>
      <w:r w:rsidRPr="003B2786">
        <w:rPr>
          <w:rFonts w:ascii="Sylfaen" w:hAnsi="Sylfaen"/>
          <w:sz w:val="24"/>
          <w:szCs w:val="24"/>
        </w:rPr>
        <w:t>աչափով),</w:t>
      </w:r>
    </w:p>
    <w:p w14:paraId="2AA2D0F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պլանավորված փորձերի ցանկը՝ հետազոտության խմբաքանակի ու համարի </w:t>
      </w:r>
      <w:r w:rsidR="00C54D75">
        <w:rPr>
          <w:rFonts w:ascii="Sylfaen" w:hAnsi="Sylfaen"/>
          <w:sz w:val="24"/>
          <w:szCs w:val="24"/>
        </w:rPr>
        <w:t>և</w:t>
      </w:r>
      <w:r w:rsidRPr="003B2786">
        <w:rPr>
          <w:rFonts w:ascii="Sylfaen" w:hAnsi="Sylfaen"/>
          <w:sz w:val="24"/>
          <w:szCs w:val="24"/>
        </w:rPr>
        <w:t xml:space="preserve"> յուրաքանչյուր փորձում արտադրանքի խմբաքանակի չափի հստակ նշումով: Անհրաժեշտ է նշել կրկնակի փորձերի քանակը,</w:t>
      </w:r>
    </w:p>
    <w:p w14:paraId="4336EB0B" w14:textId="77777777" w:rsidR="008C76E0" w:rsidRPr="003B2786" w:rsidRDefault="008C76E0" w:rsidP="00473371">
      <w:pPr>
        <w:spacing w:after="160" w:line="360" w:lineRule="auto"/>
        <w:ind w:right="-1" w:firstLine="567"/>
        <w:jc w:val="both"/>
        <w:rPr>
          <w:rFonts w:ascii="Sylfaen" w:hAnsi="Sylfaen"/>
          <w:spacing w:val="-6"/>
          <w:sz w:val="24"/>
          <w:szCs w:val="24"/>
        </w:rPr>
      </w:pPr>
      <w:r w:rsidRPr="003B2786">
        <w:rPr>
          <w:rFonts w:ascii="Sylfaen" w:hAnsi="Sylfaen"/>
          <w:spacing w:val="-6"/>
          <w:sz w:val="24"/>
          <w:szCs w:val="24"/>
        </w:rPr>
        <w:t xml:space="preserve">տվյալների գնահատման համար օգտագործվող վերլուծական մեթոդներին հղումը </w:t>
      </w:r>
      <w:r w:rsidR="00C54D75">
        <w:rPr>
          <w:rFonts w:ascii="Sylfaen" w:hAnsi="Sylfaen"/>
          <w:spacing w:val="-6"/>
          <w:sz w:val="24"/>
          <w:szCs w:val="24"/>
        </w:rPr>
        <w:t>և</w:t>
      </w:r>
      <w:r w:rsidRPr="003B2786">
        <w:rPr>
          <w:rFonts w:ascii="Sylfaen" w:hAnsi="Sylfaen"/>
          <w:spacing w:val="-6"/>
          <w:sz w:val="24"/>
          <w:szCs w:val="24"/>
        </w:rPr>
        <w:t xml:space="preserve"> ենթադրյալ օգտագործման համար դրանց պիտանելիության ցուցադրումը,</w:t>
      </w:r>
    </w:p>
    <w:p w14:paraId="2CE3ED00" w14:textId="77777777" w:rsidR="008C76E0" w:rsidRPr="003B2786" w:rsidRDefault="008C76E0" w:rsidP="00015767">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ներկայացնել վիճակագրական արդյունքներ (օրինակ՝ Պարետոյի դիագրամները կամ ազդեցությունների </w:t>
      </w:r>
      <w:r w:rsidR="00C54D75">
        <w:rPr>
          <w:rFonts w:ascii="Sylfaen" w:hAnsi="Sylfaen"/>
          <w:sz w:val="24"/>
          <w:szCs w:val="24"/>
        </w:rPr>
        <w:t>և</w:t>
      </w:r>
      <w:r w:rsidRPr="003B2786">
        <w:rPr>
          <w:rFonts w:ascii="Sylfaen" w:hAnsi="Sylfaen"/>
          <w:sz w:val="24"/>
          <w:szCs w:val="24"/>
        </w:rPr>
        <w:t xml:space="preserve"> փոխազդեցությունների մասշտաբների պարզ ցանկը), որոնք արտացոլում են հետազոտության ժամանակ գործոնների հարաբերական նշանակալիությունը, ինչպես նա</w:t>
      </w:r>
      <w:r w:rsidR="00C54D75">
        <w:rPr>
          <w:rFonts w:ascii="Sylfaen" w:hAnsi="Sylfaen"/>
          <w:sz w:val="24"/>
          <w:szCs w:val="24"/>
        </w:rPr>
        <w:t>և</w:t>
      </w:r>
      <w:r w:rsidRPr="003B2786">
        <w:rPr>
          <w:rFonts w:ascii="Sylfaen" w:hAnsi="Sylfaen"/>
          <w:sz w:val="24"/>
          <w:szCs w:val="24"/>
        </w:rPr>
        <w:t xml:space="preserve"> դրանց միջ</w:t>
      </w:r>
      <w:r w:rsidR="00C54D75">
        <w:rPr>
          <w:rFonts w:ascii="Sylfaen" w:hAnsi="Sylfaen"/>
          <w:sz w:val="24"/>
          <w:szCs w:val="24"/>
        </w:rPr>
        <w:t>և</w:t>
      </w:r>
      <w:r w:rsidRPr="003B2786">
        <w:rPr>
          <w:rFonts w:ascii="Sylfaen" w:hAnsi="Sylfaen"/>
          <w:sz w:val="24"/>
          <w:szCs w:val="24"/>
        </w:rPr>
        <w:t xml:space="preserve"> փոխազդեցությունը (ըստ կիրառելիության):</w:t>
      </w:r>
    </w:p>
    <w:p w14:paraId="3F07D0F9" w14:textId="77777777" w:rsidR="008C76E0" w:rsidRPr="003B2786" w:rsidRDefault="008C76E0" w:rsidP="00015767">
      <w:pPr>
        <w:spacing w:after="160" w:line="336" w:lineRule="auto"/>
        <w:ind w:firstLine="567"/>
        <w:jc w:val="both"/>
        <w:rPr>
          <w:rFonts w:ascii="Sylfaen" w:hAnsi="Sylfaen"/>
          <w:sz w:val="24"/>
          <w:szCs w:val="24"/>
        </w:rPr>
      </w:pPr>
      <w:r w:rsidRPr="003B2786">
        <w:rPr>
          <w:rFonts w:ascii="Sylfaen" w:hAnsi="Sylfaen"/>
          <w:sz w:val="24"/>
          <w:szCs w:val="24"/>
        </w:rPr>
        <w:t xml:space="preserve">Համոզվեք, որ փորձարարական հետազոտության հիման վրա արված կանխատեսումները մասշտաբների (սարքավորում) հարաբերակցություններում համադրելի են հետազոտվող ընդգրկույթների </w:t>
      </w:r>
      <w:r w:rsidR="00C54D75">
        <w:rPr>
          <w:rFonts w:ascii="Sylfaen" w:hAnsi="Sylfaen"/>
          <w:sz w:val="24"/>
          <w:szCs w:val="24"/>
        </w:rPr>
        <w:t>և</w:t>
      </w:r>
      <w:r w:rsidRPr="003B2786">
        <w:rPr>
          <w:rFonts w:ascii="Sylfaen" w:hAnsi="Sylfaen"/>
          <w:sz w:val="24"/>
          <w:szCs w:val="24"/>
        </w:rPr>
        <w:t xml:space="preserve"> տարբերությունների հետ: </w:t>
      </w:r>
    </w:p>
    <w:p w14:paraId="29E8AE3C" w14:textId="77777777" w:rsidR="008C76E0" w:rsidRPr="003B2786" w:rsidRDefault="008C76E0" w:rsidP="00015767">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3.</w:t>
      </w:r>
      <w:r w:rsidRPr="003B2786">
        <w:rPr>
          <w:rFonts w:ascii="Sylfaen" w:hAnsi="Sylfaen"/>
          <w:sz w:val="24"/>
          <w:szCs w:val="24"/>
        </w:rPr>
        <w:tab/>
        <w:t>Տվյալների բազմապարամետրային վերլուծություն (MVDA)՝ պրոցեսների բազմապարամետրային վիճակագրական վերահսկողության համար (MSPC):</w:t>
      </w:r>
    </w:p>
    <w:p w14:paraId="5E70FC1A"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Տվյալների բազմապարամետրային վերլուծությունը (MVDA), այդ թվում՝ հիմնական բաղադրիչների վերլուծությունը (РСА) </w:t>
      </w:r>
      <w:r w:rsidR="00C54D75">
        <w:rPr>
          <w:rFonts w:ascii="Sylfaen" w:hAnsi="Sylfaen"/>
          <w:sz w:val="24"/>
          <w:szCs w:val="24"/>
        </w:rPr>
        <w:t>և</w:t>
      </w:r>
      <w:r w:rsidRPr="003B2786">
        <w:rPr>
          <w:rFonts w:ascii="Sylfaen" w:hAnsi="Sylfaen"/>
          <w:sz w:val="24"/>
          <w:szCs w:val="24"/>
        </w:rPr>
        <w:t xml:space="preserve"> մասնակի ամենափոքր քառակուսիների հիման վրա վերլուծությունը (PLS) կարող են օգտագործվել դեղագործական պրոցեսների մոդելավորման համար: Հիմնական բաղադրիչների վերլուծությունը հաճախ օգտագործվում է տվյալների ամփոփման համար, օրինակ՝ դիտարկված տվյալների համախմբում խմբերի </w:t>
      </w:r>
      <w:r w:rsidR="00C54D75">
        <w:rPr>
          <w:rFonts w:ascii="Sylfaen" w:hAnsi="Sylfaen"/>
          <w:sz w:val="24"/>
          <w:szCs w:val="24"/>
        </w:rPr>
        <w:t>և</w:t>
      </w:r>
      <w:r w:rsidRPr="003B2786">
        <w:rPr>
          <w:rFonts w:ascii="Sylfaen" w:hAnsi="Sylfaen"/>
          <w:sz w:val="24"/>
          <w:szCs w:val="24"/>
        </w:rPr>
        <w:t xml:space="preserve"> միտումների հայտնաբերման, փոփոխականների </w:t>
      </w:r>
      <w:r w:rsidR="00C54D75">
        <w:rPr>
          <w:rFonts w:ascii="Sylfaen" w:hAnsi="Sylfaen"/>
          <w:sz w:val="24"/>
          <w:szCs w:val="24"/>
        </w:rPr>
        <w:t>և</w:t>
      </w:r>
      <w:r w:rsidRPr="003B2786">
        <w:rPr>
          <w:rFonts w:ascii="Sylfaen" w:hAnsi="Sylfaen"/>
          <w:sz w:val="24"/>
          <w:szCs w:val="24"/>
        </w:rPr>
        <w:t xml:space="preserve"> դիտարկումների ու փոփոխականների փոխկապակցվածության գնահատման համար: Մինչդեռ մասնակի ամենափոքր քառակուսիների վրա հիմնված վերլուծությունն օգտագործվում է ելքի </w:t>
      </w:r>
      <w:r w:rsidR="00C54D75">
        <w:rPr>
          <w:rFonts w:ascii="Sylfaen" w:hAnsi="Sylfaen"/>
          <w:sz w:val="24"/>
          <w:szCs w:val="24"/>
        </w:rPr>
        <w:t>և</w:t>
      </w:r>
      <w:r w:rsidRPr="003B2786">
        <w:rPr>
          <w:rFonts w:ascii="Sylfaen" w:hAnsi="Sylfaen"/>
          <w:sz w:val="24"/>
          <w:szCs w:val="24"/>
        </w:rPr>
        <w:t xml:space="preserve"> մուտքի փոփոխականների միջ</w:t>
      </w:r>
      <w:r w:rsidR="00C54D75">
        <w:rPr>
          <w:rFonts w:ascii="Sylfaen" w:hAnsi="Sylfaen"/>
          <w:sz w:val="24"/>
          <w:szCs w:val="24"/>
        </w:rPr>
        <w:t>և</w:t>
      </w:r>
      <w:r w:rsidRPr="003B2786">
        <w:rPr>
          <w:rFonts w:ascii="Sylfaen" w:hAnsi="Sylfaen"/>
          <w:sz w:val="24"/>
          <w:szCs w:val="24"/>
        </w:rPr>
        <w:t xml:space="preserve"> կապ սահմանելու համար՝ մեկ կամ մի քանի բաղադրիչների կանխատեսման նպատակով: Հարցերը, որոնք պետք է հաշվի առնվեն պրոցեսների բազմապարամետրային վիճակագրական վերահսկողության համար՝ տվյալների բազմապարամետրային վերլուծության մոդելն օգտագործելիս, ներառում են հետ</w:t>
      </w:r>
      <w:r w:rsidR="00C54D75">
        <w:rPr>
          <w:rFonts w:ascii="Sylfaen" w:hAnsi="Sylfaen"/>
          <w:sz w:val="24"/>
          <w:szCs w:val="24"/>
        </w:rPr>
        <w:t>և</w:t>
      </w:r>
      <w:r w:rsidRPr="003B2786">
        <w:rPr>
          <w:rFonts w:ascii="Sylfaen" w:hAnsi="Sylfaen"/>
          <w:sz w:val="24"/>
          <w:szCs w:val="24"/>
        </w:rPr>
        <w:t xml:space="preserve">յալը՝ </w:t>
      </w:r>
    </w:p>
    <w:p w14:paraId="2F845626"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սպեկտրային վերլուծության համար փորձանմուշների պատրաստման մեթոդը </w:t>
      </w:r>
      <w:r w:rsidR="00C54D75">
        <w:rPr>
          <w:rFonts w:ascii="Sylfaen" w:hAnsi="Sylfaen"/>
          <w:sz w:val="24"/>
          <w:szCs w:val="24"/>
        </w:rPr>
        <w:t>և</w:t>
      </w:r>
      <w:r w:rsidRPr="003B2786">
        <w:rPr>
          <w:rFonts w:ascii="Sylfaen" w:hAnsi="Sylfaen"/>
          <w:sz w:val="24"/>
          <w:szCs w:val="24"/>
        </w:rPr>
        <w:t xml:space="preserve"> նմուշների վերլուծության համար օգտագործվող չափանմուշային վերլուծության մեթոդը համապատասխանում են նպատակային նշանակությանը: Առցանց հսկողության կամ արտադրական հոսքագծում հսկողության համար, որտեղ չկա ընտրանք, ինչպիսին է ընտրանքի կրկնելիությունը </w:t>
      </w:r>
      <w:r w:rsidR="00C54D75">
        <w:rPr>
          <w:rFonts w:ascii="Sylfaen" w:hAnsi="Sylfaen"/>
          <w:sz w:val="24"/>
          <w:szCs w:val="24"/>
        </w:rPr>
        <w:t>և</w:t>
      </w:r>
      <w:r w:rsidRPr="003B2786">
        <w:rPr>
          <w:rFonts w:ascii="Sylfaen" w:hAnsi="Sylfaen"/>
          <w:sz w:val="24"/>
          <w:szCs w:val="24"/>
        </w:rPr>
        <w:t xml:space="preserve"> վերարտադրելիությունը վերլուծական մեթոդիկայի հետ զուգակցությամբ,</w:t>
      </w:r>
    </w:p>
    <w:p w14:paraId="02E9CE71"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վալիդացման (նախապատրաստման) տվյալների համախմբերը </w:t>
      </w:r>
      <w:r w:rsidR="00C54D75">
        <w:rPr>
          <w:rFonts w:ascii="Sylfaen" w:hAnsi="Sylfaen"/>
          <w:sz w:val="24"/>
          <w:szCs w:val="24"/>
        </w:rPr>
        <w:t>և</w:t>
      </w:r>
      <w:r w:rsidRPr="003B2786">
        <w:rPr>
          <w:rFonts w:ascii="Sylfaen" w:hAnsi="Sylfaen"/>
          <w:sz w:val="24"/>
          <w:szCs w:val="24"/>
        </w:rPr>
        <w:t xml:space="preserve"> (փորձարկումների) ստուգաճշտումը վկայում են պրոցեսի կանխատեսելի փոփոխականության մասին: Արդյոք ցուցադրված է մոդելի կիրառելիությունը՝ նախագծային պարամետրերի տարածությամբ թույլատրվող փոփոխությունների ամբողջ ընդրկույթի սահմաններում: Դա արտացոլելու բարդության դեպքում կարող են օգտագործվել ռիսկի գնահատման արդյունքները: Ռիսկի բոլոր կար</w:t>
      </w:r>
      <w:r w:rsidR="00C54D75">
        <w:rPr>
          <w:rFonts w:ascii="Sylfaen" w:hAnsi="Sylfaen"/>
          <w:sz w:val="24"/>
          <w:szCs w:val="24"/>
        </w:rPr>
        <w:t>և</w:t>
      </w:r>
      <w:r w:rsidRPr="003B2786">
        <w:rPr>
          <w:rFonts w:ascii="Sylfaen" w:hAnsi="Sylfaen"/>
          <w:sz w:val="24"/>
          <w:szCs w:val="24"/>
        </w:rPr>
        <w:t xml:space="preserve">որ գործոնների ազդեցությունը պետք է ստուգվի, </w:t>
      </w:r>
      <w:r w:rsidR="00C54D75">
        <w:rPr>
          <w:rFonts w:ascii="Sylfaen" w:hAnsi="Sylfaen"/>
          <w:sz w:val="24"/>
          <w:szCs w:val="24"/>
        </w:rPr>
        <w:t>և</w:t>
      </w:r>
      <w:r w:rsidRPr="003B2786">
        <w:rPr>
          <w:rFonts w:ascii="Sylfaen" w:hAnsi="Sylfaen"/>
          <w:sz w:val="24"/>
          <w:szCs w:val="24"/>
        </w:rPr>
        <w:t xml:space="preserve"> դրանք պետք է ներառվեն ստուգաճշտման, վալիդացման </w:t>
      </w:r>
      <w:r w:rsidR="00C54D75">
        <w:rPr>
          <w:rFonts w:ascii="Sylfaen" w:hAnsi="Sylfaen"/>
          <w:sz w:val="24"/>
          <w:szCs w:val="24"/>
        </w:rPr>
        <w:t>և</w:t>
      </w:r>
      <w:r w:rsidRPr="003B2786">
        <w:rPr>
          <w:rFonts w:ascii="Sylfaen" w:hAnsi="Sylfaen"/>
          <w:sz w:val="24"/>
          <w:szCs w:val="24"/>
        </w:rPr>
        <w:t xml:space="preserve"> փորձարկումների ծրագրերում,</w:t>
      </w:r>
    </w:p>
    <w:p w14:paraId="5EA1885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lastRenderedPageBreak/>
        <w:t>արդյոք ստուգաճշտման (փորձարկումների) ծրագրերի փոփոխականությունը հավաստիորեն արտահայտում է վալիդացման (նախապատրաստման) փոփոխվող պարամետրերի մեծ մասը,</w:t>
      </w:r>
    </w:p>
    <w:p w14:paraId="75F8296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տվյալների ելքային համախմբում հայտնաբերվել են կտրուկ տարբերվող նշանակություններ, </w:t>
      </w:r>
      <w:r w:rsidR="00C54D75">
        <w:rPr>
          <w:rFonts w:ascii="Sylfaen" w:hAnsi="Sylfaen"/>
          <w:sz w:val="24"/>
          <w:szCs w:val="24"/>
        </w:rPr>
        <w:t>և</w:t>
      </w:r>
      <w:r w:rsidRPr="003B2786">
        <w:rPr>
          <w:rFonts w:ascii="Sylfaen" w:hAnsi="Sylfaen"/>
          <w:sz w:val="24"/>
          <w:szCs w:val="24"/>
        </w:rPr>
        <w:t xml:space="preserve"> եթե այո, արդյոք իրապես հիմնավորված է այդ տվյալների օգտագործումից հրաժարվելը: Ուշադրություն դարձրեք, որ եթե մոդելի մշակման համար օգտագործվող տվյալների համախումբը ձ</w:t>
      </w:r>
      <w:r w:rsidR="00C54D75">
        <w:rPr>
          <w:rFonts w:ascii="Sylfaen" w:hAnsi="Sylfaen"/>
          <w:sz w:val="24"/>
          <w:szCs w:val="24"/>
        </w:rPr>
        <w:t>և</w:t>
      </w:r>
      <w:r w:rsidRPr="003B2786">
        <w:rPr>
          <w:rFonts w:ascii="Sylfaen" w:hAnsi="Sylfaen"/>
          <w:sz w:val="24"/>
          <w:szCs w:val="24"/>
        </w:rPr>
        <w:t>ավորվում է փորձարարական տվյալների հիման վրա, տվյալների օգտագործումից հրաժարվելը կարող է հետահայաց տվյալների համեմատ ավելի մեծ ազդեցություն ունենալ մոդելի կանխատեսող ունակության վրա,</w:t>
      </w:r>
    </w:p>
    <w:p w14:paraId="4C5A37CD"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տվյալների նախնական մշակմանն առնչվող տեղեկատվությունը (առկայության դեպքում) պատշաճ կերպով է նկարագրված </w:t>
      </w:r>
      <w:r w:rsidR="00C54D75">
        <w:rPr>
          <w:rFonts w:ascii="Sylfaen" w:hAnsi="Sylfaen"/>
          <w:sz w:val="24"/>
          <w:szCs w:val="24"/>
        </w:rPr>
        <w:t>և</w:t>
      </w:r>
      <w:r w:rsidRPr="003B2786">
        <w:rPr>
          <w:rFonts w:ascii="Sylfaen" w:hAnsi="Sylfaen"/>
          <w:sz w:val="24"/>
          <w:szCs w:val="24"/>
        </w:rPr>
        <w:t xml:space="preserve"> արդյոք հետ</w:t>
      </w:r>
      <w:r w:rsidR="00C54D75">
        <w:rPr>
          <w:rFonts w:ascii="Sylfaen" w:hAnsi="Sylfaen"/>
          <w:sz w:val="24"/>
          <w:szCs w:val="24"/>
        </w:rPr>
        <w:t>և</w:t>
      </w:r>
      <w:r w:rsidRPr="003B2786">
        <w:rPr>
          <w:rFonts w:ascii="Sylfaen" w:hAnsi="Sylfaen"/>
          <w:sz w:val="24"/>
          <w:szCs w:val="24"/>
        </w:rPr>
        <w:t xml:space="preserve">ողականորեն է կիրառվում տվյալների այն բոլոր համախմբերի համար, որոնք օգտագործվում են մոդելի ստեղծման, օպտիմիզացման </w:t>
      </w:r>
      <w:r w:rsidR="00C54D75">
        <w:rPr>
          <w:rFonts w:ascii="Sylfaen" w:hAnsi="Sylfaen"/>
          <w:sz w:val="24"/>
          <w:szCs w:val="24"/>
        </w:rPr>
        <w:t>և</w:t>
      </w:r>
      <w:r w:rsidRPr="003B2786">
        <w:rPr>
          <w:rFonts w:ascii="Sylfaen" w:hAnsi="Sylfaen"/>
          <w:sz w:val="24"/>
          <w:szCs w:val="24"/>
        </w:rPr>
        <w:t xml:space="preserve"> վալիդացման համար,</w:t>
      </w:r>
    </w:p>
    <w:p w14:paraId="3C1BA165"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արդյոք պատշաճ կերպով են նկարագրված մոդելավորման մեթոդները՝ տվյալների բազմապարամետրային վերլուծության հիման վրա, այդ թվում՝ ընտրված ալգորիթմի ընտրության համառոտ հիմնավորումը,</w:t>
      </w:r>
    </w:p>
    <w:p w14:paraId="0B0B6514"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դուք համաձայն եք մոդելներում ներառված փոփոխականների ընտրության հետ: Համեմատեք ռիսկի գնահատման արդյունքների հետ: Արդյոք առկա են մոդելում չներառված վարիացիաների համապատասխան աղբյուրները, </w:t>
      </w:r>
      <w:r w:rsidR="00C54D75">
        <w:rPr>
          <w:rFonts w:ascii="Sylfaen" w:hAnsi="Sylfaen"/>
          <w:sz w:val="24"/>
          <w:szCs w:val="24"/>
        </w:rPr>
        <w:t>և</w:t>
      </w:r>
      <w:r w:rsidRPr="003B2786">
        <w:rPr>
          <w:rFonts w:ascii="Sylfaen" w:hAnsi="Sylfaen"/>
          <w:sz w:val="24"/>
          <w:szCs w:val="24"/>
        </w:rPr>
        <w:t xml:space="preserve"> եթե այո, արդյոք տվյալ գործողությունը հիմնավորված է, </w:t>
      </w:r>
    </w:p>
    <w:p w14:paraId="4F316B62"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PLS-մոդելների դեպքում՝ արդյոք PLS-մոդելը համապատասխանում է նպատակային նշանակությանը: Արդյոք մոդելի բարդության մակարդակն ամենաօպտիմալ տարբերակն է: Ծանոթագրություն՝ PLS-մոդելի բարդությունը սովորաբար համապատասխանում է PLS-ի (գաղտնի) գործոնների քանակին, որոնք հանգեցնում են ամենացածր մակարդակի խաչաձ</w:t>
      </w:r>
      <w:r w:rsidR="00C54D75">
        <w:rPr>
          <w:rFonts w:ascii="Sylfaen" w:hAnsi="Sylfaen"/>
          <w:sz w:val="24"/>
          <w:szCs w:val="24"/>
        </w:rPr>
        <w:t>և</w:t>
      </w:r>
      <w:r w:rsidRPr="003B2786">
        <w:rPr>
          <w:rFonts w:ascii="Sylfaen" w:hAnsi="Sylfaen"/>
          <w:sz w:val="24"/>
          <w:szCs w:val="24"/>
        </w:rPr>
        <w:t xml:space="preserve"> վալիդացման միջին քառակուսային շեղման: Մոդելի բարդությունը (մոդելի կառուցման համար </w:t>
      </w:r>
      <w:r w:rsidRPr="003B2786">
        <w:rPr>
          <w:rFonts w:ascii="Sylfaen" w:hAnsi="Sylfaen"/>
          <w:sz w:val="24"/>
          <w:szCs w:val="24"/>
        </w:rPr>
        <w:lastRenderedPageBreak/>
        <w:t>օգտագործվող PLS գործոնների քանակը) պետք է ցուցադրվի գծապատկերով, որն արտահայտում է յուրաքանչյուր փոփոխականի ռեգրեսիայի գործակիցները,</w:t>
      </w:r>
    </w:p>
    <w:p w14:paraId="35F1748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 xml:space="preserve">կարող են արդյոք մոդելում փոփոխականների բաժնային հարաբերակցությունները (բարձր/ցածր) բացատրվել գոյություն ունեցող գիտական գիտելիքներով կամ այդպիսի փոփոխականների </w:t>
      </w:r>
      <w:r w:rsidR="00C54D75">
        <w:rPr>
          <w:rFonts w:ascii="Sylfaen" w:hAnsi="Sylfaen"/>
          <w:sz w:val="24"/>
          <w:szCs w:val="24"/>
        </w:rPr>
        <w:t>և</w:t>
      </w:r>
      <w:r w:rsidRPr="003B2786">
        <w:rPr>
          <w:rFonts w:ascii="Sylfaen" w:hAnsi="Sylfaen"/>
          <w:sz w:val="24"/>
          <w:szCs w:val="24"/>
        </w:rPr>
        <w:t xml:space="preserve"> (կամ) արտադրական պրոցեսի հիմնավորմամբ, </w:t>
      </w:r>
    </w:p>
    <w:p w14:paraId="0B0F53E8"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վիճակագրորեն գնահատվել է MVDA-մոդելը՝ պիտանելիության </w:t>
      </w:r>
      <w:r w:rsidR="00C54D75">
        <w:rPr>
          <w:rFonts w:ascii="Sylfaen" w:hAnsi="Sylfaen"/>
          <w:sz w:val="24"/>
          <w:szCs w:val="24"/>
        </w:rPr>
        <w:t>և</w:t>
      </w:r>
      <w:r w:rsidRPr="003B2786">
        <w:rPr>
          <w:rFonts w:ascii="Sylfaen" w:hAnsi="Sylfaen"/>
          <w:sz w:val="24"/>
          <w:szCs w:val="24"/>
        </w:rPr>
        <w:t xml:space="preserve"> կանխատեսման ունակության մասով: Կանխատեսման ստանդարտ սխալը պետք է դիտարկվի չափանմուշային վերլուծական մեթոդի հետ ճշգրիտ համեմատության մեջ,</w:t>
      </w:r>
    </w:p>
    <w:p w14:paraId="661292F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արտադրանքի ամբողջ կենսական պարբերաշրջանի համար առաջարկվել է մոդելի ստուգման սխեմա: Արդյոք որոշվել է, թե ինչ չափանիշներ կծառայեն որպես մոդելի թարմացման անհրաժեշտությունը պայմանավորող գործոններ, </w:t>
      </w:r>
      <w:r w:rsidR="00C54D75">
        <w:rPr>
          <w:rFonts w:ascii="Sylfaen" w:hAnsi="Sylfaen"/>
          <w:sz w:val="24"/>
          <w:szCs w:val="24"/>
        </w:rPr>
        <w:t>և</w:t>
      </w:r>
      <w:r w:rsidRPr="003B2786">
        <w:rPr>
          <w:rFonts w:ascii="Sylfaen" w:hAnsi="Sylfaen"/>
          <w:sz w:val="24"/>
          <w:szCs w:val="24"/>
        </w:rPr>
        <w:t xml:space="preserve"> արդյոք այդ չափանիշները համարժեք են:</w:t>
      </w:r>
    </w:p>
    <w:p w14:paraId="719DFE73" w14:textId="77777777" w:rsidR="008C76E0" w:rsidRPr="003B2786" w:rsidRDefault="008C76E0" w:rsidP="00473371">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4.</w:t>
      </w:r>
      <w:r w:rsidRPr="003B2786">
        <w:rPr>
          <w:rFonts w:ascii="Sylfaen" w:hAnsi="Sylfaen"/>
          <w:sz w:val="24"/>
          <w:szCs w:val="24"/>
        </w:rPr>
        <w:tab/>
        <w:t>Նախագծային պարամետրերի տարածությունը (DS):</w:t>
      </w:r>
    </w:p>
    <w:p w14:paraId="55377C5C" w14:textId="77777777" w:rsidR="008C76E0" w:rsidRPr="003B2786" w:rsidRDefault="008C76E0" w:rsidP="0047337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Նախագծային պարամետրերի տարածությունն առաջարկելիս դիտարկման ենթակա ասպեկտները ներառում են հետ</w:t>
      </w:r>
      <w:r w:rsidR="00C54D75">
        <w:rPr>
          <w:rFonts w:ascii="Sylfaen" w:hAnsi="Sylfaen"/>
          <w:sz w:val="24"/>
          <w:szCs w:val="24"/>
        </w:rPr>
        <w:t>և</w:t>
      </w:r>
      <w:r w:rsidRPr="003B2786">
        <w:rPr>
          <w:rFonts w:ascii="Sylfaen" w:hAnsi="Sylfaen"/>
          <w:sz w:val="24"/>
          <w:szCs w:val="24"/>
        </w:rPr>
        <w:t>յալը՝</w:t>
      </w:r>
    </w:p>
    <w:p w14:paraId="4CAAB58E"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հայտատուն ներկայացրել է նախագծային պարամետրերի առաջարկվող տարածության կիրառելիությունը հաստատող բավարար տվյալներ (ռիսկերի գնահատական, փորձարարական տվյալներ, վիճակագրորեն գնահատված </w:t>
      </w:r>
      <w:r w:rsidR="00C54D75">
        <w:rPr>
          <w:rFonts w:ascii="Sylfaen" w:hAnsi="Sylfaen"/>
          <w:sz w:val="24"/>
          <w:szCs w:val="24"/>
        </w:rPr>
        <w:t>և</w:t>
      </w:r>
      <w:r w:rsidRPr="003B2786">
        <w:rPr>
          <w:rFonts w:ascii="Sylfaen" w:hAnsi="Sylfaen"/>
          <w:sz w:val="24"/>
          <w:szCs w:val="24"/>
        </w:rPr>
        <w:t xml:space="preserve"> ամբողջությամբ ստուգված մոդելներ),</w:t>
      </w:r>
    </w:p>
    <w:p w14:paraId="4C03E426"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լաբորատորիայում կամ փորձարարական հիմունքներով նախագծային պարամետրերի տարածության մշակման մեջ՝ արդյոք հայտատուն, մասշտաբավորման գործակիցների կիրառման կամ անկախ փորձերի միջոցով ցուցադրել է արդյունաբերական մասշտաբում օգտագործման համար դրա կիրառելիությունը, կամ արդյոք պարամետրերի՝ մասշտաբից կախված չլինելը ցուցադրվել է այլ կերպ: Մասշտաբավորման գործակիցները կարող են </w:t>
      </w:r>
      <w:r w:rsidRPr="003B2786">
        <w:rPr>
          <w:rFonts w:ascii="Sylfaen" w:hAnsi="Sylfaen"/>
          <w:sz w:val="24"/>
          <w:szCs w:val="24"/>
        </w:rPr>
        <w:lastRenderedPageBreak/>
        <w:t xml:space="preserve">օգտագործվել տարբեր աղբյուրներից կամ անցյալի փորձի արդյունքում ստացված տվյալների հիման վրա: Արդյոք հայտատուն դիտարկել է արտադրության մասշտաբների ընդլայնման շրջանակներում հնարավոր ռիսկերը </w:t>
      </w:r>
      <w:r w:rsidR="00C54D75">
        <w:rPr>
          <w:rFonts w:ascii="Sylfaen" w:hAnsi="Sylfaen"/>
          <w:sz w:val="24"/>
          <w:szCs w:val="24"/>
        </w:rPr>
        <w:t>և</w:t>
      </w:r>
      <w:r w:rsidRPr="003B2786">
        <w:rPr>
          <w:rFonts w:ascii="Sylfaen" w:hAnsi="Sylfaen"/>
          <w:sz w:val="24"/>
          <w:szCs w:val="24"/>
        </w:rPr>
        <w:t xml:space="preserve"> արդյոք օգտագործվում է այդպիսի ռիսկերի կառավարման համար նախատեսված վերահսկողության ռազմավարությունը,</w:t>
      </w:r>
    </w:p>
    <w:p w14:paraId="4C545E4B"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հայտատուն նախագծային պարամետրերի տարածությունը մշակելիս հաշվի է առել որակի բոլոր կրիտիկական ասպեկտները (տե՛ս փորձարարական գործունեության ռիսկերի </w:t>
      </w:r>
      <w:r w:rsidR="00C54D75">
        <w:rPr>
          <w:rFonts w:ascii="Sylfaen" w:hAnsi="Sylfaen"/>
          <w:sz w:val="24"/>
          <w:szCs w:val="24"/>
        </w:rPr>
        <w:t>և</w:t>
      </w:r>
      <w:r w:rsidRPr="003B2786">
        <w:rPr>
          <w:rFonts w:ascii="Sylfaen" w:hAnsi="Sylfaen"/>
          <w:sz w:val="24"/>
          <w:szCs w:val="24"/>
        </w:rPr>
        <w:t xml:space="preserve"> արդյունքների գնահատականը), </w:t>
      </w:r>
    </w:p>
    <w:p w14:paraId="5BB250F1" w14:textId="77777777" w:rsidR="008C76E0" w:rsidRPr="003B2786"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 xml:space="preserve">արդյոք վերահսկողության ռազմավարությունը նախագծային պարամետրերի առաջարկվող տարածության հարցում որպես լրացուցիչ օժանդակող գործոն է ծառայում, </w:t>
      </w:r>
    </w:p>
    <w:p w14:paraId="62D80464" w14:textId="77777777" w:rsidR="008C76E0" w:rsidRPr="00E15E7D" w:rsidRDefault="008C76E0" w:rsidP="00473371">
      <w:pPr>
        <w:spacing w:after="160" w:line="360" w:lineRule="auto"/>
        <w:ind w:firstLine="567"/>
        <w:jc w:val="both"/>
        <w:rPr>
          <w:rFonts w:ascii="Sylfaen" w:hAnsi="Sylfaen"/>
          <w:sz w:val="24"/>
          <w:szCs w:val="24"/>
        </w:rPr>
      </w:pPr>
      <w:r w:rsidRPr="003B2786">
        <w:rPr>
          <w:rFonts w:ascii="Sylfaen" w:hAnsi="Sylfaen"/>
          <w:sz w:val="24"/>
          <w:szCs w:val="24"/>
        </w:rPr>
        <w:t>արդյոք բոլոր կրիտիկական պարամետրերն են հայտնաբերվել նախագծային պարամետրերի տարածության իրականացման շրջանակներում: Եթե ոչ, արդյոք այդ առումով առկա է համապատասխան հիմնավորում:</w:t>
      </w:r>
    </w:p>
    <w:p w14:paraId="142D5E2D" w14:textId="77777777" w:rsidR="008E1F21" w:rsidRPr="00E15E7D" w:rsidRDefault="008E1F21">
      <w:pPr>
        <w:widowControl/>
        <w:rPr>
          <w:rFonts w:ascii="Sylfaen" w:hAnsi="Sylfaen"/>
          <w:sz w:val="24"/>
          <w:szCs w:val="24"/>
        </w:rPr>
      </w:pPr>
    </w:p>
    <w:p w14:paraId="2B82A2C4" w14:textId="77777777" w:rsidR="008C76E0" w:rsidRPr="003B2786" w:rsidRDefault="008C76E0" w:rsidP="00473371">
      <w:pPr>
        <w:spacing w:after="160" w:line="360" w:lineRule="auto"/>
        <w:ind w:left="567" w:right="565"/>
        <w:jc w:val="center"/>
        <w:rPr>
          <w:rFonts w:ascii="Sylfaen" w:hAnsi="Sylfaen"/>
          <w:sz w:val="24"/>
          <w:szCs w:val="24"/>
        </w:rPr>
      </w:pPr>
      <w:r w:rsidRPr="003B2786">
        <w:rPr>
          <w:rFonts w:ascii="Sylfaen" w:hAnsi="Sylfaen"/>
          <w:sz w:val="24"/>
          <w:szCs w:val="24"/>
        </w:rPr>
        <w:t xml:space="preserve">12. Թիվ 3 հավելված. Դիզայնի ոլորտը </w:t>
      </w:r>
      <w:r w:rsidR="00C54D75">
        <w:rPr>
          <w:rFonts w:ascii="Sylfaen" w:hAnsi="Sylfaen"/>
          <w:sz w:val="24"/>
          <w:szCs w:val="24"/>
        </w:rPr>
        <w:t>և</w:t>
      </w:r>
      <w:r w:rsidRPr="003B2786">
        <w:rPr>
          <w:rFonts w:ascii="Sylfaen" w:hAnsi="Sylfaen"/>
          <w:sz w:val="24"/>
          <w:szCs w:val="24"/>
        </w:rPr>
        <w:t xml:space="preserve"> փոփոխությունների կառավարման արձանագրությունները (եթե կիրառելի է)</w:t>
      </w:r>
    </w:p>
    <w:p w14:paraId="4DAAF871" w14:textId="77777777" w:rsidR="008C76E0" w:rsidRPr="003B2786"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Սույն հավելվածն իրենից ներկայացնում է հաշվետվության հիմնական բաժնից արված քաղվածք, որի նպատակն է դոսյեում համաձայնեցված բոլոր այն ասպեկտների համառոտ ամփոփումը, որոնք անհրաժեշտ են կարգավորիչ գործունեության հետգրանցումային ճկունությունն ապահովելու համար: Հավելվածը փոփոխություններ կատարելու հետգրանցումային հայտերի գնահատման համար որպես հիմք կարող է օգտագործվել տեսուչների կողմից:</w:t>
      </w:r>
    </w:p>
    <w:p w14:paraId="3309EC94" w14:textId="77777777" w:rsidR="008C76E0" w:rsidRPr="003B2786" w:rsidRDefault="008C76E0" w:rsidP="00473371">
      <w:pPr>
        <w:spacing w:after="160" w:line="360" w:lineRule="auto"/>
        <w:ind w:firstLine="567"/>
        <w:jc w:val="center"/>
        <w:rPr>
          <w:rFonts w:ascii="Sylfaen" w:hAnsi="Sylfaen"/>
          <w:sz w:val="24"/>
          <w:szCs w:val="24"/>
        </w:rPr>
      </w:pPr>
    </w:p>
    <w:p w14:paraId="1EC5C854" w14:textId="77777777" w:rsidR="008C76E0" w:rsidRPr="003B2786" w:rsidRDefault="008C76E0" w:rsidP="00473371">
      <w:pPr>
        <w:spacing w:after="160" w:line="360" w:lineRule="auto"/>
        <w:ind w:right="-1"/>
        <w:jc w:val="center"/>
        <w:outlineLvl w:val="0"/>
        <w:rPr>
          <w:rFonts w:ascii="Sylfaen" w:hAnsi="Sylfaen"/>
          <w:sz w:val="24"/>
          <w:szCs w:val="24"/>
        </w:rPr>
      </w:pPr>
      <w:r w:rsidRPr="003B2786">
        <w:rPr>
          <w:rFonts w:ascii="Sylfaen" w:hAnsi="Sylfaen"/>
          <w:sz w:val="24"/>
          <w:szCs w:val="24"/>
        </w:rPr>
        <w:t>1. Ակտիվ դեղագործական բաղադրամասը</w:t>
      </w:r>
    </w:p>
    <w:p w14:paraId="24A2FAD6"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1.1</w:t>
      </w:r>
      <w:r w:rsidRPr="003B2786">
        <w:rPr>
          <w:rFonts w:ascii="Sylfaen" w:hAnsi="Sylfaen"/>
          <w:sz w:val="24"/>
          <w:szCs w:val="24"/>
        </w:rPr>
        <w:tab/>
        <w:t xml:space="preserve">ԱԴԲ-ի համար դիզայնի ոլորտը: </w:t>
      </w:r>
    </w:p>
    <w:p w14:paraId="1B7D9FB0"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Դիզայնի ոլորտի ներկայացումը (բնութագրերը </w:t>
      </w:r>
      <w:r w:rsidR="00C54D75">
        <w:rPr>
          <w:rFonts w:ascii="Sylfaen" w:hAnsi="Sylfaen"/>
          <w:sz w:val="24"/>
          <w:szCs w:val="24"/>
        </w:rPr>
        <w:t>և</w:t>
      </w:r>
      <w:r w:rsidRPr="003B2786">
        <w:rPr>
          <w:rFonts w:ascii="Sylfaen" w:hAnsi="Sylfaen"/>
          <w:sz w:val="24"/>
          <w:szCs w:val="24"/>
        </w:rPr>
        <w:t xml:space="preserve"> դրանց փոփոխությունների համապատասխան ընդգրկույթները)՝ աղյուսակային ձ</w:t>
      </w:r>
      <w:r w:rsidR="00C54D75">
        <w:rPr>
          <w:rFonts w:ascii="Sylfaen" w:hAnsi="Sylfaen"/>
          <w:sz w:val="24"/>
          <w:szCs w:val="24"/>
        </w:rPr>
        <w:t>և</w:t>
      </w:r>
      <w:r w:rsidRPr="003B2786">
        <w:rPr>
          <w:rFonts w:ascii="Sylfaen" w:hAnsi="Sylfaen"/>
          <w:sz w:val="24"/>
          <w:szCs w:val="24"/>
        </w:rPr>
        <w:t>աչափով:</w:t>
      </w:r>
    </w:p>
    <w:p w14:paraId="3D63E267" w14:textId="77777777" w:rsidR="008C76E0" w:rsidRPr="00C317F8" w:rsidRDefault="008C76E0" w:rsidP="00473371">
      <w:pPr>
        <w:tabs>
          <w:tab w:val="left" w:pos="1134"/>
        </w:tabs>
        <w:spacing w:after="160" w:line="360" w:lineRule="auto"/>
        <w:ind w:right="-1" w:firstLine="567"/>
        <w:jc w:val="both"/>
        <w:rPr>
          <w:rFonts w:ascii="Sylfaen" w:hAnsi="Sylfaen"/>
          <w:spacing w:val="-6"/>
          <w:sz w:val="24"/>
          <w:szCs w:val="24"/>
        </w:rPr>
      </w:pPr>
      <w:r w:rsidRPr="003B2786">
        <w:rPr>
          <w:rFonts w:ascii="Sylfaen" w:hAnsi="Sylfaen"/>
          <w:sz w:val="24"/>
          <w:szCs w:val="24"/>
        </w:rPr>
        <w:t>1.2.</w:t>
      </w:r>
      <w:r w:rsidRPr="003B2786">
        <w:rPr>
          <w:rFonts w:ascii="Sylfaen" w:hAnsi="Sylfaen"/>
          <w:sz w:val="24"/>
          <w:szCs w:val="24"/>
        </w:rPr>
        <w:tab/>
      </w:r>
      <w:r w:rsidRPr="00C317F8">
        <w:rPr>
          <w:rFonts w:ascii="Sylfaen" w:hAnsi="Sylfaen"/>
          <w:spacing w:val="-6"/>
          <w:sz w:val="24"/>
          <w:szCs w:val="24"/>
        </w:rPr>
        <w:t>Փոփոխությունների կառավարման արձանագրությունները՝ ԱԴԲ-ի համար:</w:t>
      </w:r>
    </w:p>
    <w:p w14:paraId="3BF15D7D"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Համաձայնեցված արձանագրության մեջ ներառված փոփոխությունների նկարագրությունը, ինչպես նա</w:t>
      </w:r>
      <w:r w:rsidR="00C54D75">
        <w:rPr>
          <w:rFonts w:ascii="Sylfaen" w:hAnsi="Sylfaen"/>
          <w:sz w:val="24"/>
          <w:szCs w:val="24"/>
        </w:rPr>
        <w:t>և</w:t>
      </w:r>
      <w:r w:rsidRPr="003B2786">
        <w:rPr>
          <w:rFonts w:ascii="Sylfaen" w:hAnsi="Sylfaen"/>
          <w:sz w:val="24"/>
          <w:szCs w:val="24"/>
        </w:rPr>
        <w:t xml:space="preserve"> փոփոխությունների ներդրման հաշվետվության համար՝ համաձայնեցված վարիացիաների կատեգորիաները:</w:t>
      </w:r>
    </w:p>
    <w:p w14:paraId="359C569C" w14:textId="77777777" w:rsidR="008C76E0" w:rsidRPr="003B2786" w:rsidRDefault="008C76E0" w:rsidP="00473371">
      <w:pPr>
        <w:tabs>
          <w:tab w:val="left" w:pos="1134"/>
        </w:tabs>
        <w:spacing w:after="160" w:line="360" w:lineRule="auto"/>
        <w:ind w:firstLine="567"/>
        <w:jc w:val="center"/>
        <w:rPr>
          <w:rFonts w:ascii="Sylfaen" w:hAnsi="Sylfaen"/>
          <w:sz w:val="24"/>
          <w:szCs w:val="24"/>
        </w:rPr>
      </w:pPr>
    </w:p>
    <w:p w14:paraId="49B35C1D" w14:textId="77777777" w:rsidR="008C76E0" w:rsidRPr="003B2786" w:rsidRDefault="008C76E0" w:rsidP="00473371">
      <w:pPr>
        <w:spacing w:after="160" w:line="360" w:lineRule="auto"/>
        <w:ind w:right="-1"/>
        <w:jc w:val="center"/>
        <w:outlineLvl w:val="0"/>
        <w:rPr>
          <w:rFonts w:ascii="Sylfaen" w:hAnsi="Sylfaen"/>
          <w:sz w:val="24"/>
          <w:szCs w:val="24"/>
        </w:rPr>
      </w:pPr>
      <w:r w:rsidRPr="003B2786">
        <w:rPr>
          <w:rFonts w:ascii="Sylfaen" w:hAnsi="Sylfaen"/>
          <w:sz w:val="24"/>
          <w:szCs w:val="24"/>
        </w:rPr>
        <w:t>2. Դեղապատրաստուկը</w:t>
      </w:r>
    </w:p>
    <w:p w14:paraId="00E19C48"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2.1.</w:t>
      </w:r>
      <w:r w:rsidRPr="003B2786">
        <w:rPr>
          <w:rFonts w:ascii="Sylfaen" w:hAnsi="Sylfaen"/>
          <w:sz w:val="24"/>
          <w:szCs w:val="24"/>
        </w:rPr>
        <w:tab/>
        <w:t>Դեղապատրաստուկի դիզայնի ոլորտը:</w:t>
      </w:r>
    </w:p>
    <w:p w14:paraId="6A351E2A"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 xml:space="preserve">Դիզայնի ոլորտի ներկայացումը (բնութագրերը </w:t>
      </w:r>
      <w:r w:rsidR="00C54D75">
        <w:rPr>
          <w:rFonts w:ascii="Sylfaen" w:hAnsi="Sylfaen"/>
          <w:sz w:val="24"/>
          <w:szCs w:val="24"/>
        </w:rPr>
        <w:t>և</w:t>
      </w:r>
      <w:r w:rsidRPr="003B2786">
        <w:rPr>
          <w:rFonts w:ascii="Sylfaen" w:hAnsi="Sylfaen"/>
          <w:sz w:val="24"/>
          <w:szCs w:val="24"/>
        </w:rPr>
        <w:t xml:space="preserve"> դրանց փոփոխությունների համապատասխան ընդգրկույթները)՝ աղյուսակային ձ</w:t>
      </w:r>
      <w:r w:rsidR="00C54D75">
        <w:rPr>
          <w:rFonts w:ascii="Sylfaen" w:hAnsi="Sylfaen"/>
          <w:sz w:val="24"/>
          <w:szCs w:val="24"/>
        </w:rPr>
        <w:t>և</w:t>
      </w:r>
      <w:r w:rsidRPr="003B2786">
        <w:rPr>
          <w:rFonts w:ascii="Sylfaen" w:hAnsi="Sylfaen"/>
          <w:sz w:val="24"/>
          <w:szCs w:val="24"/>
        </w:rPr>
        <w:t>աչափով:</w:t>
      </w:r>
    </w:p>
    <w:p w14:paraId="12D33151" w14:textId="77777777" w:rsidR="008C76E0" w:rsidRPr="003B2786" w:rsidRDefault="008C76E0" w:rsidP="0047337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2.2.</w:t>
      </w:r>
      <w:r w:rsidRPr="003B2786">
        <w:rPr>
          <w:rFonts w:ascii="Sylfaen" w:hAnsi="Sylfaen"/>
          <w:sz w:val="24"/>
          <w:szCs w:val="24"/>
        </w:rPr>
        <w:tab/>
        <w:t xml:space="preserve">Դեղապատրաստուկի համար փոփոխությունների կառավարման արձանագրությունները: </w:t>
      </w:r>
    </w:p>
    <w:p w14:paraId="4B179943" w14:textId="77777777" w:rsidR="008C76E0" w:rsidRDefault="008C76E0" w:rsidP="00473371">
      <w:pPr>
        <w:spacing w:after="160" w:line="360" w:lineRule="auto"/>
        <w:ind w:right="-1" w:firstLine="567"/>
        <w:jc w:val="both"/>
        <w:rPr>
          <w:rFonts w:ascii="Sylfaen" w:hAnsi="Sylfaen"/>
          <w:sz w:val="24"/>
          <w:szCs w:val="24"/>
        </w:rPr>
      </w:pPr>
      <w:r w:rsidRPr="003B2786">
        <w:rPr>
          <w:rFonts w:ascii="Sylfaen" w:hAnsi="Sylfaen"/>
          <w:sz w:val="24"/>
          <w:szCs w:val="24"/>
        </w:rPr>
        <w:t>Համաձայնեցված արձանագրության մեջ ներառված փոփոխությունների նկարագրությունը, ինչպես նա</w:t>
      </w:r>
      <w:r w:rsidR="00C54D75">
        <w:rPr>
          <w:rFonts w:ascii="Sylfaen" w:hAnsi="Sylfaen"/>
          <w:sz w:val="24"/>
          <w:szCs w:val="24"/>
        </w:rPr>
        <w:t>և</w:t>
      </w:r>
      <w:r w:rsidRPr="003B2786">
        <w:rPr>
          <w:rFonts w:ascii="Sylfaen" w:hAnsi="Sylfaen"/>
          <w:sz w:val="24"/>
          <w:szCs w:val="24"/>
        </w:rPr>
        <w:t xml:space="preserve"> փոփոխությունների ներդրման հաշվետվության համար՝ համաձայնեցված վարիացիաների կատեգորիաները:</w:t>
      </w:r>
    </w:p>
    <w:p w14:paraId="635F78F4" w14:textId="77777777" w:rsidR="008C76E0" w:rsidRDefault="008C76E0" w:rsidP="008C76E0">
      <w:pPr>
        <w:ind w:right="-1" w:firstLine="567"/>
        <w:jc w:val="center"/>
        <w:rPr>
          <w:rFonts w:ascii="Sylfaen" w:hAnsi="Sylfaen"/>
          <w:sz w:val="24"/>
          <w:szCs w:val="24"/>
        </w:rPr>
      </w:pPr>
      <w:r>
        <w:rPr>
          <w:rFonts w:ascii="Sylfaen" w:hAnsi="Sylfaen"/>
          <w:sz w:val="24"/>
          <w:szCs w:val="24"/>
        </w:rPr>
        <w:t>—————————</w:t>
      </w:r>
    </w:p>
    <w:p w14:paraId="60B00BC5" w14:textId="77777777" w:rsidR="00015767" w:rsidRPr="00E15E7D" w:rsidRDefault="00015767" w:rsidP="008C76E0">
      <w:pPr>
        <w:ind w:right="-1" w:firstLine="567"/>
        <w:jc w:val="both"/>
        <w:rPr>
          <w:rFonts w:ascii="Sylfaen" w:hAnsi="Sylfaen"/>
          <w:sz w:val="24"/>
          <w:szCs w:val="24"/>
        </w:rPr>
      </w:pPr>
    </w:p>
    <w:p w14:paraId="5CC06A51" w14:textId="77777777" w:rsidR="00015767" w:rsidRPr="00E15E7D" w:rsidRDefault="00015767" w:rsidP="008C76E0">
      <w:pPr>
        <w:ind w:right="-1" w:firstLine="567"/>
        <w:jc w:val="both"/>
        <w:rPr>
          <w:rFonts w:ascii="Sylfaen" w:hAnsi="Sylfaen"/>
          <w:sz w:val="24"/>
          <w:szCs w:val="24"/>
        </w:rPr>
        <w:sectPr w:rsidR="00015767" w:rsidRPr="00E15E7D" w:rsidSect="00015767">
          <w:pgSz w:w="11906" w:h="16838" w:code="9"/>
          <w:pgMar w:top="1418" w:right="1418" w:bottom="1418" w:left="1418" w:header="709" w:footer="709" w:gutter="0"/>
          <w:pgNumType w:start="1"/>
          <w:cols w:space="708"/>
          <w:titlePg/>
          <w:docGrid w:linePitch="360"/>
        </w:sectPr>
      </w:pPr>
    </w:p>
    <w:p w14:paraId="5CBB98E4" w14:textId="77777777" w:rsidR="008C76E0" w:rsidRPr="003B2786" w:rsidRDefault="008C76E0" w:rsidP="008E1F21">
      <w:pPr>
        <w:spacing w:after="160" w:line="360" w:lineRule="auto"/>
        <w:ind w:left="4536" w:right="-1"/>
        <w:jc w:val="center"/>
        <w:rPr>
          <w:rFonts w:ascii="Sylfaen" w:hAnsi="Sylfaen"/>
          <w:sz w:val="24"/>
          <w:szCs w:val="24"/>
        </w:rPr>
      </w:pPr>
      <w:r w:rsidRPr="003B2786">
        <w:rPr>
          <w:rFonts w:ascii="Sylfaen" w:hAnsi="Sylfaen"/>
          <w:sz w:val="24"/>
          <w:szCs w:val="24"/>
        </w:rPr>
        <w:lastRenderedPageBreak/>
        <w:t>ՀԱՎԵԼՎԱԾ ԹԻՎ 15</w:t>
      </w:r>
    </w:p>
    <w:p w14:paraId="23E53926" w14:textId="77777777" w:rsidR="008C76E0" w:rsidRPr="003B2786" w:rsidRDefault="008C76E0" w:rsidP="008E1F21">
      <w:pPr>
        <w:spacing w:after="160" w:line="360" w:lineRule="auto"/>
        <w:ind w:left="4536" w:right="-1"/>
        <w:jc w:val="center"/>
        <w:rPr>
          <w:rFonts w:ascii="Sylfaen" w:hAnsi="Sylfaen"/>
          <w:sz w:val="24"/>
          <w:szCs w:val="24"/>
        </w:rPr>
      </w:pPr>
      <w:r w:rsidRPr="003B2786">
        <w:rPr>
          <w:rFonts w:ascii="Sylfaen" w:hAnsi="Sylfaen"/>
          <w:sz w:val="24"/>
          <w:szCs w:val="24"/>
        </w:rPr>
        <w:t xml:space="preserve">Բժշկական կիրառման դեղապատրաստուկների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w:t>
      </w:r>
    </w:p>
    <w:p w14:paraId="2BCE23DF" w14:textId="77777777" w:rsidR="008C76E0" w:rsidRPr="003B2786" w:rsidRDefault="008C76E0" w:rsidP="008E1F21">
      <w:pPr>
        <w:spacing w:after="160" w:line="360" w:lineRule="auto"/>
        <w:ind w:right="-1"/>
        <w:jc w:val="center"/>
        <w:rPr>
          <w:rFonts w:ascii="Sylfaen" w:hAnsi="Sylfaen"/>
          <w:sz w:val="24"/>
          <w:szCs w:val="24"/>
        </w:rPr>
      </w:pPr>
    </w:p>
    <w:p w14:paraId="1E42FD47" w14:textId="77777777" w:rsidR="008C76E0" w:rsidRPr="008C76E0" w:rsidRDefault="008C76E0" w:rsidP="008E1F21">
      <w:pPr>
        <w:pStyle w:val="Heading10"/>
        <w:shd w:val="clear" w:color="auto" w:fill="auto"/>
        <w:spacing w:before="0" w:after="160" w:line="360" w:lineRule="auto"/>
        <w:ind w:left="567" w:right="706"/>
        <w:outlineLvl w:val="9"/>
        <w:rPr>
          <w:rFonts w:ascii="Sylfaen" w:hAnsi="Sylfaen"/>
          <w:b w:val="0"/>
          <w:sz w:val="24"/>
          <w:szCs w:val="24"/>
          <w:lang w:val="hy-AM"/>
        </w:rPr>
      </w:pPr>
      <w:bookmarkStart w:id="9" w:name="bookmark10"/>
      <w:r w:rsidRPr="00F07160">
        <w:rPr>
          <w:rStyle w:val="Heading1Spacing2pt"/>
          <w:rFonts w:ascii="Sylfaen" w:hAnsi="Sylfaen"/>
          <w:b/>
          <w:spacing w:val="0"/>
          <w:sz w:val="24"/>
          <w:szCs w:val="24"/>
        </w:rPr>
        <w:t>ՑՈՒՑՈՒՄՆԵՐ</w:t>
      </w:r>
      <w:bookmarkEnd w:id="9"/>
    </w:p>
    <w:p w14:paraId="0AFB496A" w14:textId="77777777" w:rsidR="008C76E0" w:rsidRPr="008C76E0" w:rsidRDefault="008C76E0" w:rsidP="008E1F21">
      <w:pPr>
        <w:pStyle w:val="Bodytext130"/>
        <w:shd w:val="clear" w:color="auto" w:fill="auto"/>
        <w:spacing w:after="160" w:line="360" w:lineRule="auto"/>
        <w:ind w:left="567" w:right="565"/>
        <w:rPr>
          <w:rFonts w:ascii="Sylfaen" w:hAnsi="Sylfaen"/>
          <w:sz w:val="24"/>
          <w:szCs w:val="24"/>
          <w:lang w:val="hy-AM"/>
        </w:rPr>
      </w:pPr>
      <w:r w:rsidRPr="008C76E0">
        <w:rPr>
          <w:rFonts w:ascii="Sylfaen" w:hAnsi="Sylfaen"/>
          <w:sz w:val="24"/>
          <w:szCs w:val="24"/>
          <w:lang w:val="hy-AM"/>
        </w:rPr>
        <w:t xml:space="preserve">կլինիկական հետազոտությունների գնահատման վերաբերյալ փորձագիտական հաշվետվություն </w:t>
      </w:r>
      <w:bookmarkStart w:id="10" w:name="bookmark11"/>
      <w:r w:rsidRPr="008C76E0">
        <w:rPr>
          <w:rFonts w:ascii="Sylfaen" w:hAnsi="Sylfaen"/>
          <w:sz w:val="24"/>
          <w:szCs w:val="24"/>
          <w:lang w:val="hy-AM"/>
        </w:rPr>
        <w:t>կազմելու</w:t>
      </w:r>
      <w:bookmarkEnd w:id="10"/>
    </w:p>
    <w:p w14:paraId="653C18F5" w14:textId="77777777" w:rsidR="008C76E0" w:rsidRPr="008C76E0" w:rsidRDefault="008C76E0" w:rsidP="008E1F21">
      <w:pPr>
        <w:pStyle w:val="Bodytext130"/>
        <w:shd w:val="clear" w:color="auto" w:fill="auto"/>
        <w:spacing w:after="160" w:line="360" w:lineRule="auto"/>
        <w:ind w:left="567" w:right="706"/>
        <w:rPr>
          <w:rFonts w:ascii="Sylfaen" w:hAnsi="Sylfaen"/>
          <w:sz w:val="24"/>
          <w:szCs w:val="24"/>
          <w:lang w:val="hy-AM"/>
        </w:rPr>
      </w:pPr>
    </w:p>
    <w:p w14:paraId="4D966AB6" w14:textId="77777777" w:rsidR="008C76E0" w:rsidRPr="003B2786" w:rsidRDefault="008C76E0" w:rsidP="008E1F21">
      <w:pPr>
        <w:spacing w:after="160" w:line="360" w:lineRule="auto"/>
        <w:ind w:left="567" w:right="706"/>
        <w:jc w:val="center"/>
        <w:rPr>
          <w:rFonts w:ascii="Sylfaen" w:hAnsi="Sylfaen"/>
          <w:sz w:val="24"/>
          <w:szCs w:val="24"/>
        </w:rPr>
      </w:pPr>
      <w:r w:rsidRPr="003B2786">
        <w:rPr>
          <w:rFonts w:ascii="Sylfaen" w:hAnsi="Sylfaen"/>
          <w:sz w:val="24"/>
          <w:szCs w:val="24"/>
        </w:rPr>
        <w:t>I. Ընդհանուր ցուցումներ</w:t>
      </w:r>
    </w:p>
    <w:p w14:paraId="1E889DB0"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Փորձագետի՝ կլինիկական հետազոտությունների գնահատման վերաբերյալ հաշվետվության (այսուհետ՝ հաշվետվություն) վրա աշխատելիս անհրաժեշտ է հաշվի առնել հետ</w:t>
      </w:r>
      <w:r w:rsidR="00C54D75">
        <w:rPr>
          <w:rFonts w:ascii="Sylfaen" w:hAnsi="Sylfaen"/>
          <w:sz w:val="24"/>
          <w:szCs w:val="24"/>
        </w:rPr>
        <w:t>և</w:t>
      </w:r>
      <w:r w:rsidRPr="003B2786">
        <w:rPr>
          <w:rFonts w:ascii="Sylfaen" w:hAnsi="Sylfaen"/>
          <w:sz w:val="24"/>
          <w:szCs w:val="24"/>
        </w:rPr>
        <w:t>յալ ասպեկտները՝</w:t>
      </w:r>
    </w:p>
    <w:p w14:paraId="7A162D0B" w14:textId="77777777" w:rsidR="008C76E0" w:rsidRPr="003B2786" w:rsidRDefault="008C76E0" w:rsidP="009C58BE">
      <w:pPr>
        <w:spacing w:after="160" w:line="384" w:lineRule="auto"/>
        <w:ind w:firstLine="567"/>
        <w:jc w:val="both"/>
        <w:rPr>
          <w:rFonts w:ascii="Sylfaen" w:hAnsi="Sylfaen"/>
          <w:sz w:val="24"/>
          <w:szCs w:val="24"/>
        </w:rPr>
      </w:pPr>
      <w:r w:rsidRPr="003B2786">
        <w:rPr>
          <w:rFonts w:ascii="Sylfaen" w:hAnsi="Sylfaen"/>
          <w:sz w:val="24"/>
          <w:szCs w:val="24"/>
        </w:rPr>
        <w:t xml:space="preserve">հաշվետվությունը պետք է լինի բավականչափ մանրամասնեցված՝ Եվրասիական տնտեսական միության անդամ պետությունների (այսուհետ համապատասխանաբար՝ Միություն, անդամ պետություններ) լիազորված մարմինների </w:t>
      </w:r>
      <w:r w:rsidR="00C54D75">
        <w:rPr>
          <w:rFonts w:ascii="Sylfaen" w:hAnsi="Sylfaen"/>
          <w:sz w:val="24"/>
          <w:szCs w:val="24"/>
        </w:rPr>
        <w:t>և</w:t>
      </w:r>
      <w:r w:rsidRPr="003B2786">
        <w:rPr>
          <w:rFonts w:ascii="Sylfaen" w:hAnsi="Sylfaen"/>
          <w:sz w:val="24"/>
          <w:szCs w:val="24"/>
        </w:rPr>
        <w:t xml:space="preserve"> կազմակերպությունների այլ փորձագետների կողմից դրա կրկնակի գնահատում կատարելու հնարավորության համար,</w:t>
      </w:r>
    </w:p>
    <w:p w14:paraId="3FCB0378" w14:textId="77777777" w:rsidR="008C76E0" w:rsidRPr="003B2786" w:rsidRDefault="008C76E0" w:rsidP="009C58BE">
      <w:pPr>
        <w:spacing w:after="160" w:line="384" w:lineRule="auto"/>
        <w:ind w:firstLine="567"/>
        <w:jc w:val="both"/>
        <w:rPr>
          <w:rFonts w:ascii="Sylfaen" w:hAnsi="Sylfaen"/>
          <w:sz w:val="24"/>
          <w:szCs w:val="24"/>
        </w:rPr>
      </w:pPr>
      <w:r w:rsidRPr="003B2786">
        <w:rPr>
          <w:rFonts w:ascii="Sylfaen" w:hAnsi="Sylfaen"/>
          <w:spacing w:val="-6"/>
          <w:sz w:val="24"/>
          <w:szCs w:val="24"/>
        </w:rPr>
        <w:t xml:space="preserve">խորհուրդ է տրվում օգտագործել աղյուսակներ (գրաֆիկներ, պատկերներ). օրինակները, որոնք անհրաժեշտության դեպքում կարելի է օգտագործել, բերված են համաձայն Եվրասիական տնտեսական հանձնաժողովի կողմից հաստատվող՝ Բժշկական կիրառման դեղապատրաստուկների գրանցման </w:t>
      </w:r>
      <w:r w:rsidR="00C54D75">
        <w:rPr>
          <w:rFonts w:ascii="Sylfaen" w:hAnsi="Sylfaen"/>
          <w:spacing w:val="-6"/>
          <w:sz w:val="24"/>
          <w:szCs w:val="24"/>
        </w:rPr>
        <w:t>և</w:t>
      </w:r>
      <w:r w:rsidRPr="003B2786">
        <w:rPr>
          <w:rFonts w:ascii="Sylfaen" w:hAnsi="Sylfaen"/>
          <w:spacing w:val="-6"/>
          <w:sz w:val="24"/>
          <w:szCs w:val="24"/>
        </w:rPr>
        <w:t xml:space="preserve"> փորձաքննության կանոնների (այսուհետ՝ Կանոններ) թիվ 7 հավելվածի ձ</w:t>
      </w:r>
      <w:r w:rsidR="00C54D75">
        <w:rPr>
          <w:rFonts w:ascii="Sylfaen" w:hAnsi="Sylfaen"/>
          <w:spacing w:val="-6"/>
          <w:sz w:val="24"/>
          <w:szCs w:val="24"/>
        </w:rPr>
        <w:t>և</w:t>
      </w:r>
      <w:r w:rsidRPr="003B2786">
        <w:rPr>
          <w:rFonts w:ascii="Sylfaen" w:hAnsi="Sylfaen"/>
          <w:spacing w:val="-6"/>
          <w:sz w:val="24"/>
          <w:szCs w:val="24"/>
        </w:rPr>
        <w:t>ի: Հաշվետվության մեջ կարելի է ներառել</w:t>
      </w:r>
      <w:r w:rsidRPr="003B2786">
        <w:rPr>
          <w:rFonts w:ascii="Sylfaen" w:hAnsi="Sylfaen"/>
          <w:sz w:val="24"/>
          <w:szCs w:val="24"/>
        </w:rPr>
        <w:t xml:space="preserve"> նա</w:t>
      </w:r>
      <w:r w:rsidR="00C54D75">
        <w:rPr>
          <w:rFonts w:ascii="Sylfaen" w:hAnsi="Sylfaen"/>
          <w:sz w:val="24"/>
          <w:szCs w:val="24"/>
        </w:rPr>
        <w:t>և</w:t>
      </w:r>
      <w:r w:rsidRPr="003B2786">
        <w:rPr>
          <w:rFonts w:ascii="Sylfaen" w:hAnsi="Sylfaen"/>
          <w:sz w:val="24"/>
          <w:szCs w:val="24"/>
        </w:rPr>
        <w:t xml:space="preserve"> դոսյեից վերցված աղյուսակներ: Ընդ որում, հարկավոր է համապատասխան տողատակի ծանոթագրություններ կատարել,</w:t>
      </w:r>
    </w:p>
    <w:p w14:paraId="6A50F1D3"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lastRenderedPageBreak/>
        <w:t>հաշվետվության մեջ ներկայացված ցանկացած տեղեկատվության աղբյուրը, օրինակ՝ դոսյեի կոնկրետ մասերը (օրինակ՝ հետազոտությունների ամփոփագիր, ռեզյումե, արձանագրություններ) հստակ նշելու համար հաշվետվության տեքստում անհրաժեշտ է օգտագործել խաչաձ</w:t>
      </w:r>
      <w:r w:rsidR="00C54D75">
        <w:rPr>
          <w:rFonts w:ascii="Sylfaen" w:hAnsi="Sylfaen"/>
          <w:sz w:val="24"/>
          <w:szCs w:val="24"/>
        </w:rPr>
        <w:t>և</w:t>
      </w:r>
      <w:r w:rsidRPr="003B2786">
        <w:rPr>
          <w:rFonts w:ascii="Sylfaen" w:hAnsi="Sylfaen"/>
          <w:sz w:val="24"/>
          <w:szCs w:val="24"/>
        </w:rPr>
        <w:t xml:space="preserve"> հղումներ, հղումներ՝ օգտագործված գրականությանը կամ այլ աղբյուրներին, </w:t>
      </w:r>
    </w:p>
    <w:p w14:paraId="3E5A26A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հղումներ՝ գաղտնի </w:t>
      </w:r>
      <w:r w:rsidR="00C54D75">
        <w:rPr>
          <w:rFonts w:ascii="Sylfaen" w:hAnsi="Sylfaen"/>
          <w:sz w:val="24"/>
          <w:szCs w:val="24"/>
        </w:rPr>
        <w:t>և</w:t>
      </w:r>
      <w:r w:rsidRPr="003B2786">
        <w:rPr>
          <w:rFonts w:ascii="Sylfaen" w:hAnsi="Sylfaen"/>
          <w:sz w:val="24"/>
          <w:szCs w:val="24"/>
        </w:rPr>
        <w:t xml:space="preserve"> հայտատուի իմացության համար չնախատեսված տեղեկատվությանը (օրինակ՝ հղումներ՝ այլ դեղապատրաստուկի գնահատման մասին հաշվետվությանը), պետք է հստակ նշված լինեն որպես «Գաղտնի տեղեկատվություն» </w:t>
      </w:r>
      <w:r w:rsidR="00C54D75">
        <w:rPr>
          <w:rFonts w:ascii="Sylfaen" w:hAnsi="Sylfaen"/>
          <w:sz w:val="24"/>
          <w:szCs w:val="24"/>
        </w:rPr>
        <w:t>և</w:t>
      </w:r>
      <w:r w:rsidRPr="003B2786">
        <w:rPr>
          <w:rFonts w:ascii="Sylfaen" w:hAnsi="Sylfaen"/>
          <w:sz w:val="24"/>
          <w:szCs w:val="24"/>
        </w:rPr>
        <w:t xml:space="preserve"> առանձնացվեն դեղին ֆոնով: Այս բաժինները պետք է հանվեն հաշվետվությունից նախքան այն հայտատուին ուղարկելը, </w:t>
      </w:r>
    </w:p>
    <w:p w14:paraId="238AEB28"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հապավումների </w:t>
      </w:r>
      <w:r w:rsidR="00C54D75">
        <w:rPr>
          <w:rFonts w:ascii="Sylfaen" w:hAnsi="Sylfaen"/>
          <w:sz w:val="24"/>
          <w:szCs w:val="24"/>
        </w:rPr>
        <w:t>և</w:t>
      </w:r>
      <w:r w:rsidRPr="003B2786">
        <w:rPr>
          <w:rFonts w:ascii="Sylfaen" w:hAnsi="Sylfaen"/>
          <w:sz w:val="24"/>
          <w:szCs w:val="24"/>
        </w:rPr>
        <w:t xml:space="preserve"> հղումների ցանկը ներառելու համար հաշվետվության ձ</w:t>
      </w:r>
      <w:r w:rsidR="00C54D75">
        <w:rPr>
          <w:rFonts w:ascii="Sylfaen" w:hAnsi="Sylfaen"/>
          <w:sz w:val="24"/>
          <w:szCs w:val="24"/>
        </w:rPr>
        <w:t>և</w:t>
      </w:r>
      <w:r w:rsidRPr="003B2786">
        <w:rPr>
          <w:rFonts w:ascii="Sylfaen" w:hAnsi="Sylfaen"/>
          <w:sz w:val="24"/>
          <w:szCs w:val="24"/>
        </w:rPr>
        <w:t>անմուշին ավելացվել է առանձին էջ, որը լրացվում է ըստ անհրաժեշտության,</w:t>
      </w:r>
    </w:p>
    <w:p w14:paraId="236C205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հիմնական տեքստը կազմելու համար առաջարկվող տառատեսակը՝ Times New Roman, տառաչափ 11,</w:t>
      </w:r>
    </w:p>
    <w:p w14:paraId="062290E4"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հաշվետվությունը կազմելիս հարկավոր է առաջնորդվել դեղապատրաստուկների արդյունավետության </w:t>
      </w:r>
      <w:r w:rsidR="00C54D75">
        <w:rPr>
          <w:rFonts w:ascii="Sylfaen" w:hAnsi="Sylfaen"/>
          <w:sz w:val="24"/>
          <w:szCs w:val="24"/>
        </w:rPr>
        <w:t>և</w:t>
      </w:r>
      <w:r w:rsidRPr="003B2786">
        <w:rPr>
          <w:rFonts w:ascii="Sylfaen" w:hAnsi="Sylfaen"/>
          <w:sz w:val="24"/>
          <w:szCs w:val="24"/>
        </w:rPr>
        <w:t xml:space="preserve"> անվտանգության գնահատման վերաբերյալ կիրառելի այլ փաստաթղթերով:</w:t>
      </w:r>
    </w:p>
    <w:p w14:paraId="771D2D07" w14:textId="77777777" w:rsidR="008C76E0" w:rsidRPr="003B2786" w:rsidRDefault="008C76E0" w:rsidP="008E1F21">
      <w:pPr>
        <w:spacing w:after="160" w:line="360" w:lineRule="auto"/>
        <w:ind w:left="567" w:right="565"/>
        <w:jc w:val="both"/>
        <w:rPr>
          <w:rFonts w:ascii="Sylfaen" w:hAnsi="Sylfaen"/>
          <w:sz w:val="24"/>
          <w:szCs w:val="24"/>
        </w:rPr>
      </w:pPr>
    </w:p>
    <w:p w14:paraId="35555A35" w14:textId="77777777" w:rsidR="008C76E0" w:rsidRPr="003B2786" w:rsidRDefault="008C76E0" w:rsidP="008E1F21">
      <w:pPr>
        <w:spacing w:after="160" w:line="360" w:lineRule="auto"/>
        <w:ind w:left="567" w:right="565"/>
        <w:jc w:val="center"/>
        <w:rPr>
          <w:rFonts w:ascii="Sylfaen" w:hAnsi="Sylfaen"/>
          <w:sz w:val="24"/>
          <w:szCs w:val="24"/>
        </w:rPr>
      </w:pPr>
      <w:r w:rsidRPr="003B2786">
        <w:rPr>
          <w:rFonts w:ascii="Sylfaen" w:hAnsi="Sylfaen"/>
          <w:sz w:val="24"/>
          <w:szCs w:val="24"/>
        </w:rPr>
        <w:t>II. Կլինիկական ասպեկտների կրիտիկական գնահատում</w:t>
      </w:r>
    </w:p>
    <w:p w14:paraId="2672760D"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Հաշվետվության յուրաքանչյուր բաժնում պետք է համառոտ շարադրվեն գրանցման դոսյեի 5-րդ մոդուլում ներկայացված տվյալները՝ հաշվի առնելով գրանցման դոսյեի 4-րդ մոդուլի փոխկապակցված հարցերը:</w:t>
      </w:r>
    </w:p>
    <w:p w14:paraId="10279F8D"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Հաշվետվության յուրաքանչյուր հիմնական բաժին պետք է պարունակի Կանոնների թիվ 1 հավելվածին համապատասխան ներկայացված տվյալներ: Յուրաքանչյուր բաժնում նկարագրվող հետազոտությունների տեսակները պետք է նշվեն պարբերությունների (կետերի, բաժինների) բոլոր համարներով, ինչպես նշված է Կանոնների թիվ 1 հավելվածում: Հիմնական </w:t>
      </w:r>
      <w:r w:rsidR="00C54D75">
        <w:rPr>
          <w:rFonts w:ascii="Sylfaen" w:hAnsi="Sylfaen"/>
          <w:sz w:val="24"/>
          <w:szCs w:val="24"/>
        </w:rPr>
        <w:t>և</w:t>
      </w:r>
      <w:r w:rsidRPr="003B2786">
        <w:rPr>
          <w:rFonts w:ascii="Sylfaen" w:hAnsi="Sylfaen"/>
          <w:sz w:val="24"/>
          <w:szCs w:val="24"/>
        </w:rPr>
        <w:t xml:space="preserve"> օժանդակ արդյունքներն </w:t>
      </w:r>
      <w:r w:rsidRPr="003B2786">
        <w:rPr>
          <w:rFonts w:ascii="Sylfaen" w:hAnsi="Sylfaen"/>
          <w:sz w:val="24"/>
          <w:szCs w:val="24"/>
        </w:rPr>
        <w:lastRenderedPageBreak/>
        <w:t>առանձնացնելուց հետո հետազոտությունների յուրաքանչյուր տարատեսակի մասով անհրաժեշտ է գնահատել՝ արդյոք հիմնական արդյունքները ներկայացված են անցկացված կլինիկական հետազոտությունների վերաբերյալ սեփական հաշվետվություններով («սկզբնական տվյալներ»), մատենագիտական հղումներով, դրանց համակցություններով, թե այդպիսի տվյալները բացակայում են:</w:t>
      </w:r>
    </w:p>
    <w:p w14:paraId="5B209AFE"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Եթե հայտատուն օգտագործում է տվյալներ գիտական հրապարակումներից, կամ այդպիսի տվյալները կիրառվում են հաշվետվության համատեքստում, ապա անհրաժեշտ է նշել հղումներ, որոնք թույլ են տալիս հստակ նույնականացնել յուրաքանչյուր հրապարակում: Հարկ է դիտարկել գրականության ցանկ կազմելու հնարավորությունը, եթե հաշվետվության մեջ օգտագործվում են մեծ թվով հղումներ: Անհրաժեշտության դեպքում հարկավոր է ճշգրիտ ձ</w:t>
      </w:r>
      <w:r w:rsidR="00C54D75">
        <w:rPr>
          <w:rFonts w:ascii="Sylfaen" w:hAnsi="Sylfaen"/>
          <w:sz w:val="24"/>
          <w:szCs w:val="24"/>
        </w:rPr>
        <w:t>և</w:t>
      </w:r>
      <w:r w:rsidRPr="003B2786">
        <w:rPr>
          <w:rFonts w:ascii="Sylfaen" w:hAnsi="Sylfaen"/>
          <w:sz w:val="24"/>
          <w:szCs w:val="24"/>
        </w:rPr>
        <w:t>ակերպել հրապարակման վերաբերյալ փորձագետի կարծիքը (օրինակ՝ եթե հոդվածն օգտագործվում է ոչ միայն որպես հղում տվյալներին, այլ նա</w:t>
      </w:r>
      <w:r w:rsidR="00C54D75">
        <w:rPr>
          <w:rFonts w:ascii="Sylfaen" w:hAnsi="Sylfaen"/>
          <w:sz w:val="24"/>
          <w:szCs w:val="24"/>
        </w:rPr>
        <w:t>և</w:t>
      </w:r>
      <w:r w:rsidRPr="003B2786">
        <w:rPr>
          <w:rFonts w:ascii="Sylfaen" w:hAnsi="Sylfaen"/>
          <w:sz w:val="24"/>
          <w:szCs w:val="24"/>
        </w:rPr>
        <w:t xml:space="preserve"> քննարկման համատեքստում):</w:t>
      </w:r>
    </w:p>
    <w:p w14:paraId="0CE6FA03" w14:textId="77777777" w:rsidR="008C76E0" w:rsidRPr="003B2786" w:rsidRDefault="008C76E0" w:rsidP="009C58BE">
      <w:pPr>
        <w:spacing w:after="160" w:line="384" w:lineRule="auto"/>
        <w:ind w:firstLine="567"/>
        <w:jc w:val="both"/>
        <w:rPr>
          <w:rFonts w:ascii="Sylfaen" w:hAnsi="Sylfaen"/>
          <w:sz w:val="24"/>
          <w:szCs w:val="24"/>
        </w:rPr>
      </w:pPr>
      <w:r w:rsidRPr="003B2786">
        <w:rPr>
          <w:rFonts w:ascii="Sylfaen" w:hAnsi="Sylfaen"/>
          <w:sz w:val="24"/>
          <w:szCs w:val="24"/>
        </w:rPr>
        <w:t>Հարկավոր է գնահատել որ</w:t>
      </w:r>
      <w:r w:rsidR="00C54D75">
        <w:rPr>
          <w:rFonts w:ascii="Sylfaen" w:hAnsi="Sylfaen"/>
          <w:sz w:val="24"/>
          <w:szCs w:val="24"/>
        </w:rPr>
        <w:t>և</w:t>
      </w:r>
      <w:r w:rsidRPr="003B2786">
        <w:rPr>
          <w:rFonts w:ascii="Sylfaen" w:hAnsi="Sylfaen"/>
          <w:sz w:val="24"/>
          <w:szCs w:val="24"/>
        </w:rPr>
        <w:t>է պահանջի չհամապատասխանելու հիմնավորումների ընդունելիության աստիճանը: Մասնավորապես, պետք է հիմնավորվի նախակլինիկական (կլինիկական) հետազոտությունների որոշակի տվյալների բացակայությունը կամ հիմնական հետազոտությունների սկզբնական տվյալները իրենցով մասնակի կամ ամբողջապես փոխարինող մատենագիտական հղումների օգտագործումը: Հետագա ցուցումները տե՛ս «Անվտանգության, որակի, արդյունավետության գնահատում» մեթոդական փաստաթղթում (ձ</w:t>
      </w:r>
      <w:r w:rsidR="00C54D75">
        <w:rPr>
          <w:rFonts w:ascii="Sylfaen" w:hAnsi="Sylfaen"/>
          <w:sz w:val="24"/>
          <w:szCs w:val="24"/>
        </w:rPr>
        <w:t>և</w:t>
      </w:r>
      <w:r w:rsidRPr="003B2786">
        <w:rPr>
          <w:rFonts w:ascii="Sylfaen" w:hAnsi="Sylfaen"/>
          <w:sz w:val="24"/>
          <w:szCs w:val="24"/>
        </w:rPr>
        <w:t>անմուշում):</w:t>
      </w:r>
    </w:p>
    <w:p w14:paraId="1412029C" w14:textId="77777777" w:rsidR="008C76E0" w:rsidRPr="003B2786" w:rsidRDefault="008C76E0" w:rsidP="009C58BE">
      <w:pPr>
        <w:spacing w:after="160" w:line="384" w:lineRule="auto"/>
        <w:ind w:firstLine="567"/>
        <w:jc w:val="center"/>
        <w:rPr>
          <w:rFonts w:ascii="Sylfaen" w:hAnsi="Sylfaen"/>
          <w:sz w:val="24"/>
          <w:szCs w:val="24"/>
        </w:rPr>
      </w:pPr>
    </w:p>
    <w:p w14:paraId="11FAD305" w14:textId="77777777" w:rsidR="008C76E0" w:rsidRPr="003B2786" w:rsidRDefault="008C76E0" w:rsidP="008E1F21">
      <w:pPr>
        <w:tabs>
          <w:tab w:val="left" w:pos="1418"/>
        </w:tabs>
        <w:spacing w:after="160" w:line="360" w:lineRule="auto"/>
        <w:ind w:firstLine="567"/>
        <w:jc w:val="center"/>
        <w:rPr>
          <w:rFonts w:ascii="Sylfaen" w:hAnsi="Sylfaen"/>
          <w:sz w:val="24"/>
          <w:szCs w:val="24"/>
        </w:rPr>
      </w:pPr>
      <w:r w:rsidRPr="003B2786">
        <w:rPr>
          <w:rFonts w:ascii="Sylfaen" w:hAnsi="Sylfaen"/>
          <w:sz w:val="24"/>
          <w:szCs w:val="24"/>
        </w:rPr>
        <w:t>1. Ներածություն:</w:t>
      </w:r>
    </w:p>
    <w:p w14:paraId="5E7E3112" w14:textId="77777777" w:rsidR="008C76E0" w:rsidRPr="003B2786" w:rsidRDefault="008C76E0" w:rsidP="008E1F21">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1.1.</w:t>
      </w:r>
      <w:r w:rsidRPr="003B2786">
        <w:rPr>
          <w:rFonts w:ascii="Sylfaen" w:hAnsi="Sylfaen"/>
          <w:sz w:val="24"/>
          <w:szCs w:val="24"/>
        </w:rPr>
        <w:tab/>
        <w:t xml:space="preserve">Հայտի տեսակը </w:t>
      </w:r>
      <w:r w:rsidR="00C54D75">
        <w:rPr>
          <w:rFonts w:ascii="Sylfaen" w:hAnsi="Sylfaen"/>
          <w:sz w:val="24"/>
          <w:szCs w:val="24"/>
        </w:rPr>
        <w:t>և</w:t>
      </w:r>
      <w:r w:rsidRPr="003B2786">
        <w:rPr>
          <w:rFonts w:ascii="Sylfaen" w:hAnsi="Sylfaen"/>
          <w:sz w:val="24"/>
          <w:szCs w:val="24"/>
        </w:rPr>
        <w:t xml:space="preserve"> մշակման ասպեկտները:</w:t>
      </w:r>
    </w:p>
    <w:p w14:paraId="2A2D599B"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1.1.1.</w:t>
      </w:r>
      <w:r w:rsidRPr="003B2786">
        <w:rPr>
          <w:rFonts w:ascii="Sylfaen" w:hAnsi="Sylfaen"/>
          <w:sz w:val="24"/>
          <w:szCs w:val="24"/>
        </w:rPr>
        <w:tab/>
        <w:t>Հայտի տեսակը:</w:t>
      </w:r>
    </w:p>
    <w:p w14:paraId="28D34F86"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Նշե՛ք գրանցման հայտի տեսակը (հղում հայտի իրավական հիմնավորմանը), օրինակ՝ օրիգինալ դեղապատրաստուկի հայտ, սեփական </w:t>
      </w:r>
      <w:r w:rsidR="00C54D75">
        <w:rPr>
          <w:rFonts w:ascii="Sylfaen" w:hAnsi="Sylfaen"/>
          <w:sz w:val="24"/>
          <w:szCs w:val="24"/>
        </w:rPr>
        <w:t>և</w:t>
      </w:r>
      <w:r w:rsidRPr="003B2786">
        <w:rPr>
          <w:rFonts w:ascii="Sylfaen" w:hAnsi="Sylfaen"/>
          <w:sz w:val="24"/>
          <w:szCs w:val="24"/>
        </w:rPr>
        <w:t xml:space="preserve"> կողմնակի տվյալների բանաքաղության վրա հիմնված հայտ, համընդհանուր կիրառման վրա հիմնված հայտ, կենսաբանական պատրաստուկի հայտ </w:t>
      </w:r>
      <w:r w:rsidR="00C54D75">
        <w:rPr>
          <w:rFonts w:ascii="Sylfaen" w:hAnsi="Sylfaen"/>
          <w:sz w:val="24"/>
          <w:szCs w:val="24"/>
        </w:rPr>
        <w:t>և</w:t>
      </w:r>
      <w:r w:rsidRPr="003B2786">
        <w:rPr>
          <w:rFonts w:ascii="Sylfaen" w:hAnsi="Sylfaen"/>
          <w:sz w:val="24"/>
          <w:szCs w:val="24"/>
        </w:rPr>
        <w:t xml:space="preserve"> այլն, ինչպես նա</w:t>
      </w:r>
      <w:r w:rsidR="00C54D75">
        <w:rPr>
          <w:rFonts w:ascii="Sylfaen" w:hAnsi="Sylfaen"/>
          <w:sz w:val="24"/>
          <w:szCs w:val="24"/>
        </w:rPr>
        <w:t>և</w:t>
      </w:r>
      <w:r w:rsidRPr="003B2786">
        <w:rPr>
          <w:rFonts w:ascii="Sylfaen" w:hAnsi="Sylfaen"/>
          <w:sz w:val="24"/>
          <w:szCs w:val="24"/>
        </w:rPr>
        <w:t xml:space="preserve"> ճշտե՛ք որոշակի հետազոտություններից հրաժարվելու կամ օրիգինալ հետազոտությունները գրական աղբյուրներից ստացված տվյալներով փոխարինելու համար ընդունելի հիմնավորումների առկայությունը: Եթե որ</w:t>
      </w:r>
      <w:r w:rsidR="00C54D75">
        <w:rPr>
          <w:rFonts w:ascii="Sylfaen" w:hAnsi="Sylfaen"/>
          <w:sz w:val="24"/>
          <w:szCs w:val="24"/>
        </w:rPr>
        <w:t>և</w:t>
      </w:r>
      <w:r w:rsidRPr="003B2786">
        <w:rPr>
          <w:rFonts w:ascii="Sylfaen" w:hAnsi="Sylfaen"/>
          <w:sz w:val="24"/>
          <w:szCs w:val="24"/>
        </w:rPr>
        <w:t>է հետազոտություն գոյություն ունի միայն հրապարակման ձ</w:t>
      </w:r>
      <w:r w:rsidR="00C54D75">
        <w:rPr>
          <w:rFonts w:ascii="Sylfaen" w:hAnsi="Sylfaen"/>
          <w:sz w:val="24"/>
          <w:szCs w:val="24"/>
        </w:rPr>
        <w:t>և</w:t>
      </w:r>
      <w:r w:rsidRPr="003B2786">
        <w:rPr>
          <w:rFonts w:ascii="Sylfaen" w:hAnsi="Sylfaen"/>
          <w:sz w:val="24"/>
          <w:szCs w:val="24"/>
        </w:rPr>
        <w:t>ով, ապա կար</w:t>
      </w:r>
      <w:r w:rsidR="00C54D75">
        <w:rPr>
          <w:rFonts w:ascii="Sylfaen" w:hAnsi="Sylfaen"/>
          <w:sz w:val="24"/>
          <w:szCs w:val="24"/>
        </w:rPr>
        <w:t>և</w:t>
      </w:r>
      <w:r w:rsidRPr="003B2786">
        <w:rPr>
          <w:rFonts w:ascii="Sylfaen" w:hAnsi="Sylfaen"/>
          <w:sz w:val="24"/>
          <w:szCs w:val="24"/>
        </w:rPr>
        <w:t>որ է ճշտել, թե արդյոք այն ունի բավարար որակ առավել կրիտիկական տվյալների համակողմանի վերլուծություն անցկացնելու հնարավորության համար:</w:t>
      </w:r>
    </w:p>
    <w:p w14:paraId="4D9E94B5"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Հարկավոր է նշել նա</w:t>
      </w:r>
      <w:r w:rsidR="00C54D75">
        <w:rPr>
          <w:rFonts w:ascii="Sylfaen" w:hAnsi="Sylfaen"/>
          <w:sz w:val="24"/>
          <w:szCs w:val="24"/>
        </w:rPr>
        <w:t>և</w:t>
      </w:r>
      <w:r w:rsidRPr="003B2786">
        <w:rPr>
          <w:rFonts w:ascii="Sylfaen" w:hAnsi="Sylfaen"/>
          <w:sz w:val="24"/>
          <w:szCs w:val="24"/>
        </w:rPr>
        <w:t xml:space="preserve">, որ գրանցման հայտ ներկայացնելիս հայտատուն, հատուկ պայմաններ ներկայացնելով կամ բացառիկ դեպքի չափորոշչի կիրառումը հաշվի առնելով, գրանցում է պահանջել (կամ նշել, որ գրանցման այդպիսի տարբերակներն առաջարկվում են հենց փորձագետի կողմից): Հայտի </w:t>
      </w:r>
      <w:r w:rsidR="00C54D75">
        <w:rPr>
          <w:rFonts w:ascii="Sylfaen" w:hAnsi="Sylfaen"/>
          <w:sz w:val="24"/>
          <w:szCs w:val="24"/>
        </w:rPr>
        <w:t>և</w:t>
      </w:r>
      <w:r w:rsidRPr="003B2786">
        <w:rPr>
          <w:rFonts w:ascii="Sylfaen" w:hAnsi="Sylfaen"/>
          <w:sz w:val="24"/>
          <w:szCs w:val="24"/>
        </w:rPr>
        <w:t xml:space="preserve"> գրանցման դոսյեի՝ կիրառվող չափորոշիչներին համապատասխանելու վերաբերյալ եզրակացությունը սույն հաշվետվության անքակտելի մասն է:</w:t>
      </w:r>
    </w:p>
    <w:p w14:paraId="57BBB31A" w14:textId="77777777" w:rsidR="008C76E0" w:rsidRPr="003B2786" w:rsidRDefault="008C76E0" w:rsidP="00F97BCA">
      <w:pPr>
        <w:spacing w:after="160" w:line="336" w:lineRule="auto"/>
        <w:ind w:firstLine="567"/>
        <w:jc w:val="both"/>
        <w:rPr>
          <w:rFonts w:ascii="Sylfaen" w:hAnsi="Sylfaen"/>
          <w:sz w:val="24"/>
          <w:szCs w:val="24"/>
        </w:rPr>
      </w:pPr>
      <w:r w:rsidRPr="003B2786">
        <w:rPr>
          <w:rFonts w:ascii="Sylfaen" w:hAnsi="Sylfaen"/>
          <w:sz w:val="24"/>
          <w:szCs w:val="24"/>
        </w:rPr>
        <w:t>Պայմանական գրանցման մասով փորձագետը պետք է գնահատի հայտատուի կողմից առաջարկված հիմքերի հիմնավորվածության աստիճանը՝ Կանոններին համապատասխան: Հարկավոր է ուշադրություն դարձնել հետ</w:t>
      </w:r>
      <w:r w:rsidR="00C54D75">
        <w:rPr>
          <w:rFonts w:ascii="Sylfaen" w:hAnsi="Sylfaen"/>
          <w:sz w:val="24"/>
          <w:szCs w:val="24"/>
        </w:rPr>
        <w:t>և</w:t>
      </w:r>
      <w:r w:rsidRPr="003B2786">
        <w:rPr>
          <w:rFonts w:ascii="Sylfaen" w:hAnsi="Sylfaen"/>
          <w:sz w:val="24"/>
          <w:szCs w:val="24"/>
        </w:rPr>
        <w:t xml:space="preserve">յալին՝ դեղապատրաստուկի կիրառմանը լուրջ (կյանքին սպառնացող) հիվանդության բուժման համար, դրա կիրառմանը կյանքին սպառնացող </w:t>
      </w:r>
      <w:r w:rsidR="00C54D75">
        <w:rPr>
          <w:rFonts w:ascii="Sylfaen" w:hAnsi="Sylfaen"/>
          <w:sz w:val="24"/>
          <w:szCs w:val="24"/>
        </w:rPr>
        <w:t>և</w:t>
      </w:r>
      <w:r w:rsidRPr="003B2786">
        <w:rPr>
          <w:rFonts w:ascii="Sylfaen" w:hAnsi="Sylfaen"/>
          <w:sz w:val="24"/>
          <w:szCs w:val="24"/>
        </w:rPr>
        <w:t xml:space="preserve"> անհետաձգելի օգնություն պահանջող հիվանդությունների դեպքում, դեղապատրաստուկն ունի ընդգծված ազդեցություն կյանքին սպառնացող (հաշմանդամության հանգեցնող) հազվադեպ հիվանդությունների դեպքում </w:t>
      </w:r>
      <w:r w:rsidR="00C54D75">
        <w:rPr>
          <w:rFonts w:ascii="Sylfaen" w:hAnsi="Sylfaen"/>
          <w:sz w:val="24"/>
          <w:szCs w:val="24"/>
        </w:rPr>
        <w:t>և</w:t>
      </w:r>
      <w:r w:rsidRPr="003B2786">
        <w:rPr>
          <w:rFonts w:ascii="Sylfaen" w:hAnsi="Sylfaen"/>
          <w:sz w:val="24"/>
          <w:szCs w:val="24"/>
        </w:rPr>
        <w:t xml:space="preserve"> ունի օգուտ-ռիսկ դրական հարաբերակցություն: Ընդ որում, հարկավոր է հաշվի առնել բժշկական անհրաժեշտությունը </w:t>
      </w:r>
      <w:r w:rsidR="00C54D75">
        <w:rPr>
          <w:rFonts w:ascii="Sylfaen" w:hAnsi="Sylfaen"/>
          <w:sz w:val="24"/>
          <w:szCs w:val="24"/>
        </w:rPr>
        <w:t>և</w:t>
      </w:r>
      <w:r w:rsidRPr="003B2786">
        <w:rPr>
          <w:rFonts w:ascii="Sylfaen" w:hAnsi="Sylfaen"/>
          <w:sz w:val="24"/>
          <w:szCs w:val="24"/>
        </w:rPr>
        <w:t xml:space="preserve"> այն փաստը, թե արդյոք տվյալ դեղապատրաստուկի լայն կիրառման փաստը կգերազանցի առկա ռիսկերը: Պայմանական գրանցումը թույլատրվում է մինչ հաջորդ հետագա հետազոտությունների արդյունքները ստանալը օգուտ-ռիսկ հարաբերակցության դրական գնահատականի պայմանով:</w:t>
      </w:r>
    </w:p>
    <w:p w14:paraId="56D2D3F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lastRenderedPageBreak/>
        <w:t>Անհրաժեշտ է մեկնաբանել դեղապատրաստուկի գրանցումից հետո այդպիսի հետազոտություններ անցկացնելու նպատակահարմարությունը:</w:t>
      </w:r>
    </w:p>
    <w:p w14:paraId="711BB886"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Բացառիկ դեպքերում գրանցման հնարավորությունը դիտարկելիս փորձագետը պետք է գնահատի հայտատուի կողմից ներկայացված հիմքերի հիմնավորվածությունը: Բացառիկ դեպքերում գրանցման թույլտվություն տալը չի նախատեսում արդյունավետության </w:t>
      </w:r>
      <w:r w:rsidR="00C54D75">
        <w:rPr>
          <w:rFonts w:ascii="Sylfaen" w:hAnsi="Sylfaen"/>
          <w:sz w:val="24"/>
          <w:szCs w:val="24"/>
        </w:rPr>
        <w:t>և</w:t>
      </w:r>
      <w:r w:rsidRPr="003B2786">
        <w:rPr>
          <w:rFonts w:ascii="Sylfaen" w:hAnsi="Sylfaen"/>
          <w:sz w:val="24"/>
          <w:szCs w:val="24"/>
        </w:rPr>
        <w:t xml:space="preserve"> անվտանգության վերաբերյալ հայտատուի կողմից սպառիչ տվյալներ պարտադիր ներկայացնելու հնարավորություն: Այդ իսկ պատճառով հարկավոր է մեկնաբանել սույն հայտի կար</w:t>
      </w:r>
      <w:r w:rsidR="00C54D75">
        <w:rPr>
          <w:rFonts w:ascii="Sylfaen" w:hAnsi="Sylfaen"/>
          <w:sz w:val="24"/>
          <w:szCs w:val="24"/>
        </w:rPr>
        <w:t>և</w:t>
      </w:r>
      <w:r w:rsidRPr="003B2786">
        <w:rPr>
          <w:rFonts w:ascii="Sylfaen" w:hAnsi="Sylfaen"/>
          <w:sz w:val="24"/>
          <w:szCs w:val="24"/>
        </w:rPr>
        <w:t xml:space="preserve">որ ասպեկտները (հիվանդության հազվադեպություն, էթիկական ասպեկտներ, պատրաստուկի գիտական ուսումասիրվածության փուլ) </w:t>
      </w:r>
      <w:r w:rsidR="00C54D75">
        <w:rPr>
          <w:rFonts w:ascii="Sylfaen" w:hAnsi="Sylfaen"/>
          <w:sz w:val="24"/>
          <w:szCs w:val="24"/>
        </w:rPr>
        <w:t>և</w:t>
      </w:r>
      <w:r w:rsidRPr="003B2786">
        <w:rPr>
          <w:rFonts w:ascii="Sylfaen" w:hAnsi="Sylfaen"/>
          <w:sz w:val="24"/>
          <w:szCs w:val="24"/>
        </w:rPr>
        <w:t xml:space="preserve"> կոնկրետ պարտավորությունների (գործընթացների) տեսակները, որոնց կատարումը կարող է պահանջվել գրանցման հավաստագրի իրավատիրոջից հետգրանցումային ժամանակահատվածում:</w:t>
      </w:r>
    </w:p>
    <w:p w14:paraId="4F82D32E"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1.1.2.</w:t>
      </w:r>
      <w:r w:rsidRPr="003B2786">
        <w:rPr>
          <w:rFonts w:ascii="Sylfaen" w:hAnsi="Sylfaen"/>
          <w:sz w:val="24"/>
          <w:szCs w:val="24"/>
        </w:rPr>
        <w:tab/>
        <w:t>Կենսահամանման (կենսանման) դեղապատրաստուկներ:</w:t>
      </w:r>
    </w:p>
    <w:p w14:paraId="68EC7821"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«Կենսահամատեղելիության հետազոտության» առանձին դեպքերում փորձագետից կարող է պահանջվել նկարագրել ընկերության կողմից ընտրված մշակման ռազմավարությունը՝ դրա վերլուծությամբ </w:t>
      </w:r>
      <w:r w:rsidR="00C54D75">
        <w:rPr>
          <w:rFonts w:ascii="Sylfaen" w:hAnsi="Sylfaen"/>
          <w:sz w:val="24"/>
          <w:szCs w:val="24"/>
        </w:rPr>
        <w:t>և</w:t>
      </w:r>
      <w:r w:rsidRPr="003B2786">
        <w:rPr>
          <w:rFonts w:ascii="Sylfaen" w:hAnsi="Sylfaen"/>
          <w:sz w:val="24"/>
          <w:szCs w:val="24"/>
        </w:rPr>
        <w:t xml:space="preserve"> հիմնավորվածության գնահատմամբ՝ հաշվի առնելով Եվրասիական տնտեսական հանձնաժողովի կողմից հաստատվող՝ Եվրասիական տնտեսական միության շրջանակներում Կենսաբանական դեղամիջոցների հետազոտության կանոնները:</w:t>
      </w:r>
    </w:p>
    <w:p w14:paraId="52C983D2"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Կենսահամանման (կենսանման) դեղապատրաստուկների գրանցման դոսյեների փորձաքննության մասով հարկավոր է առաջնորդվել Կանոնների թիվ 1 հավելվածով </w:t>
      </w:r>
      <w:r w:rsidR="00C54D75">
        <w:rPr>
          <w:rFonts w:ascii="Sylfaen" w:hAnsi="Sylfaen"/>
          <w:sz w:val="24"/>
          <w:szCs w:val="24"/>
        </w:rPr>
        <w:t>և</w:t>
      </w:r>
      <w:r w:rsidRPr="003B2786">
        <w:rPr>
          <w:rFonts w:ascii="Sylfaen" w:hAnsi="Sylfaen"/>
          <w:sz w:val="24"/>
          <w:szCs w:val="24"/>
        </w:rPr>
        <w:t xml:space="preserve"> Եվրասիական տնտեսական հանձնաժողովի կողմից հաստատվող՝ Եվրասիական տնտեսական միության շրջանակներում Կենսաբանական դեղամիջոցների հետազոտության կանոններով:</w:t>
      </w:r>
    </w:p>
    <w:p w14:paraId="17D2F678"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ուշադրություն դարձնել դեղապատրաստուկի </w:t>
      </w:r>
      <w:r w:rsidR="00C54D75">
        <w:rPr>
          <w:rFonts w:ascii="Sylfaen" w:hAnsi="Sylfaen"/>
          <w:sz w:val="24"/>
          <w:szCs w:val="24"/>
        </w:rPr>
        <w:t>և</w:t>
      </w:r>
      <w:r w:rsidRPr="003B2786">
        <w:rPr>
          <w:rFonts w:ascii="Sylfaen" w:hAnsi="Sylfaen"/>
          <w:sz w:val="24"/>
          <w:szCs w:val="24"/>
        </w:rPr>
        <w:t xml:space="preserve"> ակտիվ դեղագործական բաղադրամասի որակի ասպեկտներին (գրանցման դոսյեի 3-րդ մոդուլ): Անհրաժեշտ է ներկայացնել ծավալուն համեմատական գնահատական, </w:t>
      </w:r>
      <w:r w:rsidRPr="003B2786">
        <w:rPr>
          <w:rFonts w:ascii="Sylfaen" w:hAnsi="Sylfaen"/>
          <w:sz w:val="24"/>
          <w:szCs w:val="24"/>
        </w:rPr>
        <w:lastRenderedPageBreak/>
        <w:t xml:space="preserve">որպեսզի հաստատվի, որ կիրառման համար արդեն թույլատրված կենսահամանման </w:t>
      </w:r>
      <w:r w:rsidR="00C54D75">
        <w:rPr>
          <w:rFonts w:ascii="Sylfaen" w:hAnsi="Sylfaen"/>
          <w:sz w:val="24"/>
          <w:szCs w:val="24"/>
        </w:rPr>
        <w:t>և</w:t>
      </w:r>
      <w:r w:rsidRPr="003B2786">
        <w:rPr>
          <w:rFonts w:ascii="Sylfaen" w:hAnsi="Sylfaen"/>
          <w:sz w:val="24"/>
          <w:szCs w:val="24"/>
        </w:rPr>
        <w:t xml:space="preserve"> ռեֆերենտ պատրաստուկներն ունեն 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համանման բնութագրեր:</w:t>
      </w:r>
    </w:p>
    <w:p w14:paraId="134611A5"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Գրանցված ռեֆերենտ պատրաստուկում ԱԴԲ-ի խտության (պարունակության) վերաբերյալ աղյուսակի տեսքով մանրամասն տեղեկատվությունը (դրա առ</w:t>
      </w:r>
      <w:r w:rsidR="00C54D75">
        <w:rPr>
          <w:rFonts w:ascii="Sylfaen" w:hAnsi="Sylfaen"/>
          <w:sz w:val="24"/>
          <w:szCs w:val="24"/>
        </w:rPr>
        <w:t>և</w:t>
      </w:r>
      <w:r w:rsidRPr="003B2786">
        <w:rPr>
          <w:rFonts w:ascii="Sylfaen" w:hAnsi="Sylfaen"/>
          <w:sz w:val="24"/>
          <w:szCs w:val="24"/>
        </w:rPr>
        <w:t>տրային անվանման, դեղաձ</w:t>
      </w:r>
      <w:r w:rsidR="00C54D75">
        <w:rPr>
          <w:rFonts w:ascii="Sylfaen" w:hAnsi="Sylfaen"/>
          <w:sz w:val="24"/>
          <w:szCs w:val="24"/>
        </w:rPr>
        <w:t>և</w:t>
      </w:r>
      <w:r w:rsidRPr="003B2786">
        <w:rPr>
          <w:rFonts w:ascii="Sylfaen" w:hAnsi="Sylfaen"/>
          <w:sz w:val="24"/>
          <w:szCs w:val="24"/>
        </w:rPr>
        <w:t>ի, գրանցման հավաստագրի իրավատիրոջ, Միությունում գրանցման հավաստագրի տրամադրման ամսաթվի նշմամբ), ինչպես նա</w:t>
      </w:r>
      <w:r w:rsidR="00C54D75">
        <w:rPr>
          <w:rFonts w:ascii="Sylfaen" w:hAnsi="Sylfaen"/>
          <w:sz w:val="24"/>
          <w:szCs w:val="24"/>
        </w:rPr>
        <w:t>և</w:t>
      </w:r>
      <w:r w:rsidRPr="003B2786">
        <w:rPr>
          <w:rFonts w:ascii="Sylfaen" w:hAnsi="Sylfaen"/>
          <w:sz w:val="24"/>
          <w:szCs w:val="24"/>
        </w:rPr>
        <w:t xml:space="preserve"> մանրամասն տեղեկատվությունը (օրինակ՝ սերիայի համար </w:t>
      </w:r>
      <w:r w:rsidR="00C54D75">
        <w:rPr>
          <w:rFonts w:ascii="Sylfaen" w:hAnsi="Sylfaen"/>
          <w:sz w:val="24"/>
          <w:szCs w:val="24"/>
        </w:rPr>
        <w:t>և</w:t>
      </w:r>
      <w:r w:rsidRPr="003B2786">
        <w:rPr>
          <w:rFonts w:ascii="Sylfaen" w:hAnsi="Sylfaen"/>
          <w:sz w:val="24"/>
          <w:szCs w:val="24"/>
        </w:rPr>
        <w:t xml:space="preserve"> արտադրության երկիր) այն դեղապատրաստուկի սերիայի վերաբերյալ, որն օգտագործվում է համեմատական գնահատման ժամանակ (որակի մասնագրի հիմնական ցուցանիշներ, 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տվյալներ), կարող են վերլուծվել փորձագետի կողմից՝ հիմնված որակի ասպեկտների վերաբերյալ փորձագիտական հաշվետվությունից ստացված տեղեկատվության վրա (գրանցման դոսյեի 3-րդ մոդուլի գնահատում): </w:t>
      </w:r>
    </w:p>
    <w:p w14:paraId="021F9553"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1.1.3.</w:t>
      </w:r>
      <w:r w:rsidRPr="003B2786">
        <w:rPr>
          <w:rFonts w:ascii="Sylfaen" w:hAnsi="Sylfaen"/>
          <w:sz w:val="24"/>
          <w:szCs w:val="24"/>
        </w:rPr>
        <w:tab/>
        <w:t>Մշակման ասպեկտները:</w:t>
      </w:r>
    </w:p>
    <w:p w14:paraId="10B05557"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Նկարագրե՛ք կլինիկական հետազոտությունների մշակման ծրագիրը առաջարկվող կիրառման ցուցումների </w:t>
      </w:r>
      <w:r w:rsidR="00C54D75">
        <w:rPr>
          <w:rFonts w:ascii="Sylfaen" w:hAnsi="Sylfaen"/>
          <w:sz w:val="24"/>
          <w:szCs w:val="24"/>
        </w:rPr>
        <w:t>և</w:t>
      </w:r>
      <w:r w:rsidRPr="003B2786">
        <w:rPr>
          <w:rFonts w:ascii="Sylfaen" w:hAnsi="Sylfaen"/>
          <w:sz w:val="24"/>
          <w:szCs w:val="24"/>
        </w:rPr>
        <w:t xml:space="preserve"> դոզավորման ռեժիմի տեսանկյունից (նշե՛ք, թե արդյոք գոյություն ունեն երեխաների շրջանում կիրառման ցուցումներ): Նշե՛ք, թե արդյոք անցկացված հետազոտությունների ծավալը համապատասխանում է Միության հանձնարարականներին </w:t>
      </w:r>
      <w:r w:rsidR="00C54D75">
        <w:rPr>
          <w:rFonts w:ascii="Sylfaen" w:hAnsi="Sylfaen"/>
          <w:sz w:val="24"/>
          <w:szCs w:val="24"/>
        </w:rPr>
        <w:t>և</w:t>
      </w:r>
      <w:r w:rsidRPr="003B2786">
        <w:rPr>
          <w:rFonts w:ascii="Sylfaen" w:hAnsi="Sylfaen"/>
          <w:sz w:val="24"/>
          <w:szCs w:val="24"/>
        </w:rPr>
        <w:t xml:space="preserve"> անդամ պետության օրենսդրության պահանջներին:</w:t>
      </w:r>
    </w:p>
    <w:p w14:paraId="57C6A952"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Նշել, թե արդյոք դեղապատրաստուկների փորձաքննություն իրականացնող ազգային լիազորված մարմինների </w:t>
      </w:r>
      <w:r w:rsidR="00C54D75">
        <w:rPr>
          <w:rFonts w:ascii="Sylfaen" w:hAnsi="Sylfaen"/>
          <w:sz w:val="24"/>
          <w:szCs w:val="24"/>
        </w:rPr>
        <w:t>և</w:t>
      </w:r>
      <w:r w:rsidRPr="003B2786">
        <w:rPr>
          <w:rFonts w:ascii="Sylfaen" w:hAnsi="Sylfaen"/>
          <w:sz w:val="24"/>
          <w:szCs w:val="24"/>
        </w:rPr>
        <w:t xml:space="preserve"> կազմակերպությունների հետ համաձայնեցվել է երեխաների շրջանում պատրաստուկի հետազոտության պլանը (ինչպես հետաձգմամբ, այնպես էլ առանց դրա) կամ կոնկրետ պատրաստուկի համար այդ պլանը մերժելը (կամ այդ մերժումը տարածվո՞ւմ է դեղերի ամբողջ դասի վրա): Համառոտ նկարագրե՛ք նախակլինիկական հետազոտությունների </w:t>
      </w:r>
      <w:r w:rsidRPr="003B2786">
        <w:rPr>
          <w:rFonts w:ascii="Sylfaen" w:hAnsi="Sylfaen"/>
          <w:sz w:val="24"/>
          <w:szCs w:val="24"/>
        </w:rPr>
        <w:lastRenderedPageBreak/>
        <w:t xml:space="preserve">մասով երեխաների շրջանում պատրաստուկի հետազոտության պլանին ներկայացվող պայմաններն ու հիմնական պահանջները (այնտեղ, որտեղ դա հնարավոր է) </w:t>
      </w:r>
      <w:r w:rsidR="00C54D75">
        <w:rPr>
          <w:rFonts w:ascii="Sylfaen" w:hAnsi="Sylfaen"/>
          <w:sz w:val="24"/>
          <w:szCs w:val="24"/>
        </w:rPr>
        <w:t>և</w:t>
      </w:r>
      <w:r w:rsidRPr="003B2786">
        <w:rPr>
          <w:rFonts w:ascii="Sylfaen" w:hAnsi="Sylfaen"/>
          <w:sz w:val="24"/>
          <w:szCs w:val="24"/>
        </w:rPr>
        <w:t xml:space="preserve"> ներկայացրե՛ք կլինիկական հետազոտությունների ընթացիկ կարգավիճակի վերաբերյալ համապատասխան տեղեկատվություն (ավարտված հետազոտություններ, շարունակվող հետազոտություններ </w:t>
      </w:r>
      <w:r w:rsidR="00C54D75">
        <w:rPr>
          <w:rFonts w:ascii="Sylfaen" w:hAnsi="Sylfaen"/>
          <w:sz w:val="24"/>
          <w:szCs w:val="24"/>
        </w:rPr>
        <w:t>և</w:t>
      </w:r>
      <w:r w:rsidRPr="003B2786">
        <w:rPr>
          <w:rFonts w:ascii="Sylfaen" w:hAnsi="Sylfaen"/>
          <w:sz w:val="24"/>
          <w:szCs w:val="24"/>
        </w:rPr>
        <w:t xml:space="preserve"> այլն):</w:t>
      </w:r>
    </w:p>
    <w:p w14:paraId="7B5AA0E7"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Նշե՛ք, թե արդյոք անց է կացվել կլինիկական մշակում՝ բնակչության այլ հատուկ խմբերի համար, օրինակ՝ հաշվի առնելով տարիքային աստիճանավորումը, սեռային </w:t>
      </w:r>
      <w:r w:rsidR="00C54D75">
        <w:rPr>
          <w:rFonts w:ascii="Sylfaen" w:hAnsi="Sylfaen"/>
          <w:sz w:val="24"/>
          <w:szCs w:val="24"/>
        </w:rPr>
        <w:t>և</w:t>
      </w:r>
      <w:r w:rsidRPr="003B2786">
        <w:rPr>
          <w:rFonts w:ascii="Sylfaen" w:hAnsi="Sylfaen"/>
          <w:sz w:val="24"/>
          <w:szCs w:val="24"/>
        </w:rPr>
        <w:t xml:space="preserve"> էթնիկ պատկանելիությունը: Անհրաժեշտության դեպքում նշե՛ք հետազոտությունների մեջ ներգրավված առողջ կամավորների (պացիենտների) (տղամարդկանց, կանանց) թիվը </w:t>
      </w:r>
      <w:r w:rsidR="00C54D75">
        <w:rPr>
          <w:rFonts w:ascii="Sylfaen" w:hAnsi="Sylfaen"/>
          <w:sz w:val="24"/>
          <w:szCs w:val="24"/>
        </w:rPr>
        <w:t>և</w:t>
      </w:r>
      <w:r w:rsidRPr="003B2786">
        <w:rPr>
          <w:rFonts w:ascii="Sylfaen" w:hAnsi="Sylfaen"/>
          <w:sz w:val="24"/>
          <w:szCs w:val="24"/>
        </w:rPr>
        <w:t xml:space="preserve"> բնութագրերը (անհրաժեշտության դեպքում տե՛ս բաժին 3.1-ը՝ հաշվետվության մեջ ավելի ծավալուն այնպիսի աղյուսակ ներառելու վերաբերյալ մանրամասն տեղեկատվություն ստանալու համար, որը պետք է համապատասխանի գրանցման դոսյեի 2.7.3.1 աղյուսակին):</w:t>
      </w:r>
    </w:p>
    <w:p w14:paraId="5EDBB042"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Հայտնե՛ք, թե արդյոք հայտատուն ստացել է գիտական խորհրդատվություն կամ աջակցություն արձանագրությունը կազմելիս (եթե այո, ապա երբ), նկարագրե՛ք խնդրահարույց հարցերը </w:t>
      </w:r>
      <w:r w:rsidR="00C54D75">
        <w:rPr>
          <w:rFonts w:ascii="Sylfaen" w:hAnsi="Sylfaen"/>
          <w:sz w:val="24"/>
          <w:szCs w:val="24"/>
        </w:rPr>
        <w:t>և</w:t>
      </w:r>
      <w:r w:rsidRPr="003B2786">
        <w:rPr>
          <w:rFonts w:ascii="Sylfaen" w:hAnsi="Sylfaen"/>
          <w:sz w:val="24"/>
          <w:szCs w:val="24"/>
        </w:rPr>
        <w:t xml:space="preserve"> նշե՛ք, թե արդյոք հայտատուն օգտագործել է ստացված հանձնարարականները:</w:t>
      </w:r>
    </w:p>
    <w:p w14:paraId="2D05B503"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Նշե՛ք, թե արդյոք դեղին տրվել է հազվադեպ կիրառվող («որբ») պատրաստուկի կարգավիճակ (եթե այո, ապա երբ): Անհրաժեշտության դեպքում հայտնե՛ք ազդեցության նման մեխանիզմ ունեցող պատրաստուկների մասով սույն որոշման մասին:</w:t>
      </w:r>
    </w:p>
    <w:p w14:paraId="4EFDF02F" w14:textId="77777777" w:rsidR="008C76E0" w:rsidRPr="003B2786" w:rsidRDefault="008C76E0" w:rsidP="00F97BCA">
      <w:pPr>
        <w:spacing w:after="160" w:line="384" w:lineRule="auto"/>
        <w:ind w:firstLine="567"/>
        <w:jc w:val="both"/>
        <w:rPr>
          <w:rFonts w:ascii="Sylfaen" w:hAnsi="Sylfaen"/>
          <w:sz w:val="24"/>
          <w:szCs w:val="24"/>
        </w:rPr>
      </w:pPr>
      <w:r w:rsidRPr="003B2786">
        <w:rPr>
          <w:rFonts w:ascii="Sylfaen" w:hAnsi="Sylfaen"/>
          <w:sz w:val="24"/>
          <w:szCs w:val="24"/>
        </w:rPr>
        <w:t>Դեղապատրաստուկի մշակման վերաբերյալ ներկայացված տվյալները բացառիկ դեպքերում կարող են սահմանափակվել պայմանական գրանցման կամ գրանցման նկատմամբ կիրառվող չափորոշիչներով: Այդ չափորոշիչներին համապատասխանության գնահատումը պետք է հաշվետվության պարտադիր մասը կազմի:</w:t>
      </w:r>
    </w:p>
    <w:p w14:paraId="7EF40879" w14:textId="77777777" w:rsidR="008C76E0" w:rsidRPr="003B2786" w:rsidRDefault="008C76E0" w:rsidP="00F97BCA">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lastRenderedPageBreak/>
        <w:t>1.2.</w:t>
      </w:r>
      <w:r w:rsidRPr="003B2786">
        <w:rPr>
          <w:rFonts w:ascii="Sylfaen" w:hAnsi="Sylfaen"/>
          <w:sz w:val="24"/>
          <w:szCs w:val="24"/>
        </w:rPr>
        <w:tab/>
        <w:t>Եվրասիական տնտեսական հանձնաժողովի կողմից հաստատվող՝ Եվրասիական տնտեսական միության Պատշաճ կլինիկական գործունեության կանոնների պահպանումը:</w:t>
      </w:r>
    </w:p>
    <w:p w14:paraId="72F5FC25"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Հաշվետվության տվյալ բաժնում </w:t>
      </w:r>
      <w:r w:rsidR="00C54D75">
        <w:rPr>
          <w:rFonts w:ascii="Sylfaen" w:hAnsi="Sylfaen"/>
          <w:sz w:val="24"/>
          <w:szCs w:val="24"/>
        </w:rPr>
        <w:t>և</w:t>
      </w:r>
      <w:r w:rsidRPr="003B2786">
        <w:rPr>
          <w:rFonts w:ascii="Sylfaen" w:hAnsi="Sylfaen"/>
          <w:sz w:val="24"/>
          <w:szCs w:val="24"/>
        </w:rPr>
        <w:t xml:space="preserve"> բաժին 3.1-ում, ինչպես նա</w:t>
      </w:r>
      <w:r w:rsidR="00C54D75">
        <w:rPr>
          <w:rFonts w:ascii="Sylfaen" w:hAnsi="Sylfaen"/>
          <w:sz w:val="24"/>
          <w:szCs w:val="24"/>
        </w:rPr>
        <w:t>և</w:t>
      </w:r>
      <w:r w:rsidRPr="003B2786">
        <w:rPr>
          <w:rFonts w:ascii="Sylfaen" w:hAnsi="Sylfaen"/>
          <w:sz w:val="24"/>
          <w:szCs w:val="24"/>
        </w:rPr>
        <w:t xml:space="preserve"> «Ընդհանուր նկարագրություն» մոդուլում անհրաժեշտ է արտացոլել Եվրասիական տնտեսական հանձնաժողովի կողմից հաստատվող՝ Եվրասիական տնտեսական միության Պատշաճ կլինիկական գործունեության կանոնների պահանջներին համապատասխանության հարցերը:</w:t>
      </w:r>
    </w:p>
    <w:p w14:paraId="61D710C0"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անհրաժեշտ է դիտարկել՝</w:t>
      </w:r>
    </w:p>
    <w:p w14:paraId="12AA7297"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բոլոր կասկածները, որոնք առաջացել են Եվրասիական տնտեսական հանձնաժողովի կողմից հաստատվող՝ Եվրասիական տնտեսական միության Պատշաճ կլինիկական գործունեության կանոնների պահպանման վերաբերյալ փորձաքննություն անցկացնելու ընթացքում, </w:t>
      </w:r>
      <w:r w:rsidR="00C54D75">
        <w:rPr>
          <w:rFonts w:ascii="Sylfaen" w:hAnsi="Sylfaen"/>
          <w:sz w:val="24"/>
          <w:szCs w:val="24"/>
        </w:rPr>
        <w:t>և</w:t>
      </w:r>
      <w:r w:rsidRPr="003B2786">
        <w:rPr>
          <w:rFonts w:ascii="Sylfaen" w:hAnsi="Sylfaen"/>
          <w:sz w:val="24"/>
          <w:szCs w:val="24"/>
        </w:rPr>
        <w:t xml:space="preserve"> դրանց հետ կապված կարգավորող </w:t>
      </w:r>
      <w:r w:rsidR="00C54D75">
        <w:rPr>
          <w:rFonts w:ascii="Sylfaen" w:hAnsi="Sylfaen"/>
          <w:sz w:val="24"/>
          <w:szCs w:val="24"/>
        </w:rPr>
        <w:t>և</w:t>
      </w:r>
      <w:r w:rsidRPr="003B2786">
        <w:rPr>
          <w:rFonts w:ascii="Sylfaen" w:hAnsi="Sylfaen"/>
          <w:sz w:val="24"/>
          <w:szCs w:val="24"/>
        </w:rPr>
        <w:t xml:space="preserve"> էթիկական պահանջների (ճիշտ տվյալներ, արձանագրության պահպանում </w:t>
      </w:r>
      <w:r w:rsidR="00C54D75">
        <w:rPr>
          <w:rFonts w:ascii="Sylfaen" w:hAnsi="Sylfaen"/>
          <w:sz w:val="24"/>
          <w:szCs w:val="24"/>
        </w:rPr>
        <w:t>և</w:t>
      </w:r>
      <w:r w:rsidRPr="003B2786">
        <w:rPr>
          <w:rFonts w:ascii="Sylfaen" w:hAnsi="Sylfaen"/>
          <w:sz w:val="24"/>
          <w:szCs w:val="24"/>
        </w:rPr>
        <w:t xml:space="preserve"> էթիկական ասպեկտների պահպանում) հետ,</w:t>
      </w:r>
    </w:p>
    <w:p w14:paraId="2FFAC05B"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կլինիկական հետազոտությունների՝ Եվրասիական տնտեսական հանձնաժողովի կողմից հաստատվող՝ Եվրասիական տնտեսական միության Պատշաճ կլինիկական գործունեության կանոններով նախատեսված էթիկական չափորոշիչների պահպանման հայտարարագիրը կամ դրա համարժեքը,</w:t>
      </w:r>
    </w:p>
    <w:p w14:paraId="41B2310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Եվրասիական տնտեսական հանձնաժողովի կողմից հաստատվող՝ Եվրասիական տնտեսական միության Պատշաճ կլինիկական գործունեության կանոններին համապատասխանության մասով տեսչական ստուգում անցկացնելու նպատակահարմարությունը՝ ելնելով Կանոններում ներկայացված ցուցումներից:</w:t>
      </w:r>
    </w:p>
    <w:p w14:paraId="6C10E9A8"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Տեսչական ստուգում անցկացնելու անհրաժեշտության վերաբերյալ որոշումը կայացվում է Կանոններում ներկայացված կրիտիկական գործոնների համակցության հիման վրա՝ հաշվի առնելով ողջ գրանցման դոսյեի գնահատականը: Կրիտիկական գործոնների ցանկը սպառիչ չէ, յուրաքանչյուր </w:t>
      </w:r>
      <w:r w:rsidRPr="003B2786">
        <w:rPr>
          <w:rFonts w:ascii="Sylfaen" w:hAnsi="Sylfaen"/>
          <w:sz w:val="24"/>
          <w:szCs w:val="24"/>
        </w:rPr>
        <w:lastRenderedPageBreak/>
        <w:t>գործոնի նշանակալիությունը Եվրասիական տնտեսական հանձնաժողովի կողմից հաստատվող՝ Եվրասիական տնտեսական միության Պատշաճ կլինիկական գործունեության կանոններին համապատասխանության արտապլանային տեսչական ստուգում անցկացնելու վերաբերյալ որոշում կայացնելու մասով կարող է էականորեն տարբերվել՝ կախված մի շարք գործոններից:</w:t>
      </w:r>
    </w:p>
    <w:p w14:paraId="5FE0D0BC"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Եվրասիական տնտեսական հանձնաժողովի կողմից հաստատվող՝ Եվրասիական տնտեսական միության Պատշաճ կլինիկական գործունեության կանոնների պահանջներին համապատասխանության մասով տեսչական ստուգում անցկացնելու վերաբերյալ հարցման համար անհրաժեշտ է՝</w:t>
      </w:r>
    </w:p>
    <w:p w14:paraId="4EB49C21"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դիմել ազգային դեղագործական տեսչություն,</w:t>
      </w:r>
    </w:p>
    <w:p w14:paraId="01D6840B"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տեսչության հետ միասին որոշել տեսչական ստուգում անցկացնելու հետ առնչություն ունեցող հետազոտությունները, օբյեկտներն ու սպեցիֆիկ հարցերը կամ խնդիրները,</w:t>
      </w:r>
    </w:p>
    <w:p w14:paraId="1D945C9C"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պատրաստել տեսչական ստուգում անցկացնելու վերաբերյալ պաշտոնական հարցում, որը ներկայացվում է տեսուչների քննությանը </w:t>
      </w:r>
      <w:r w:rsidR="00C54D75">
        <w:rPr>
          <w:rFonts w:ascii="Sylfaen" w:hAnsi="Sylfaen"/>
          <w:sz w:val="24"/>
          <w:szCs w:val="24"/>
        </w:rPr>
        <w:t>և</w:t>
      </w:r>
      <w:r w:rsidRPr="003B2786">
        <w:rPr>
          <w:rFonts w:ascii="Sylfaen" w:hAnsi="Sylfaen"/>
          <w:sz w:val="24"/>
          <w:szCs w:val="24"/>
        </w:rPr>
        <w:t xml:space="preserve"> անդամ պետությունների լիազորված տեսչական կազմակերպությունների հետ հետագա համաձայնեցմանը, որից հետո հարցումը հաստատվում է լիազորված մարմինների կողմից </w:t>
      </w:r>
      <w:r w:rsidR="00C54D75">
        <w:rPr>
          <w:rFonts w:ascii="Sylfaen" w:hAnsi="Sylfaen"/>
          <w:sz w:val="24"/>
          <w:szCs w:val="24"/>
        </w:rPr>
        <w:t>և</w:t>
      </w:r>
      <w:r w:rsidRPr="003B2786">
        <w:rPr>
          <w:rFonts w:ascii="Sylfaen" w:hAnsi="Sylfaen"/>
          <w:sz w:val="24"/>
          <w:szCs w:val="24"/>
        </w:rPr>
        <w:t xml:space="preserve"> ներառվում է տեսչական ստուգումների պլանի մեջ (90 կամ 120 օր): </w:t>
      </w:r>
    </w:p>
    <w:p w14:paraId="5FB19281"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Տեսչական ստուգում անցկացնելու անհրաժեշտությունը պայմանավորող գործոնների վերաբերյալ մանրամասն տեղեկատվությունը բերված է Կանոններում </w:t>
      </w:r>
      <w:r w:rsidR="00C54D75">
        <w:rPr>
          <w:rFonts w:ascii="Sylfaen" w:hAnsi="Sylfaen"/>
          <w:sz w:val="24"/>
          <w:szCs w:val="24"/>
        </w:rPr>
        <w:t>և</w:t>
      </w:r>
      <w:r w:rsidRPr="003B2786">
        <w:rPr>
          <w:rFonts w:ascii="Sylfaen" w:hAnsi="Sylfaen"/>
          <w:sz w:val="24"/>
          <w:szCs w:val="24"/>
        </w:rPr>
        <w:t xml:space="preserve"> Եվրասիական տնտեսական միության Դեղագործական տեսչական ստուգումների անցկացման կանոններում:</w:t>
      </w:r>
    </w:p>
    <w:p w14:paraId="3A4E5ACC" w14:textId="77777777" w:rsidR="008C76E0" w:rsidRPr="003B2786" w:rsidRDefault="008C76E0" w:rsidP="008E1F2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1.3.</w:t>
      </w:r>
      <w:r w:rsidRPr="003B2786">
        <w:rPr>
          <w:rFonts w:ascii="Sylfaen" w:hAnsi="Sylfaen"/>
          <w:sz w:val="24"/>
          <w:szCs w:val="24"/>
        </w:rPr>
        <w:tab/>
        <w:t>Հազվադեպ կիրառվող («որբ») դեղապատրաստուկների դասին պատկանելու վերաբերյալ տվյալները:</w:t>
      </w:r>
    </w:p>
    <w:p w14:paraId="6AFE0838"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Հարկավոր է նշել, եթե կապված պատրաստուկի կիրառման ցուցումների հետ դրան կարող է տրվել հազվադեպ կիրառվող («որբ») պատրաստուկի կարգավիճակ: Հարկավոր է նշել որպես այդպիսին դրա կիրառման ցուցումները </w:t>
      </w:r>
      <w:r w:rsidR="00C54D75">
        <w:rPr>
          <w:rFonts w:ascii="Sylfaen" w:hAnsi="Sylfaen"/>
          <w:sz w:val="24"/>
          <w:szCs w:val="24"/>
        </w:rPr>
        <w:t>և</w:t>
      </w:r>
      <w:r w:rsidRPr="003B2786">
        <w:rPr>
          <w:rFonts w:ascii="Sylfaen" w:hAnsi="Sylfaen"/>
          <w:sz w:val="24"/>
          <w:szCs w:val="24"/>
        </w:rPr>
        <w:t xml:space="preserve"> տվյալ </w:t>
      </w:r>
      <w:r w:rsidRPr="003B2786">
        <w:rPr>
          <w:rFonts w:ascii="Sylfaen" w:hAnsi="Sylfaen"/>
          <w:sz w:val="24"/>
          <w:szCs w:val="24"/>
        </w:rPr>
        <w:lastRenderedPageBreak/>
        <w:t>պատրաստուկով բուժման ենթակա հիվանդության տարածվածությունը (ըստ անդամ պետությունների պաշտոնական վիճակագրության տվյալների կամ անդամ պետություններում հաստատված հազվադեպ հանդիպող («որբ») հիվանդությունների պաշտոնական ցանկերի):</w:t>
      </w:r>
    </w:p>
    <w:p w14:paraId="2E8E2A74"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Համապատասխան դեպքերում հարկավոր է բերել սույն ձ</w:t>
      </w:r>
      <w:r w:rsidR="00C54D75">
        <w:rPr>
          <w:rFonts w:ascii="Sylfaen" w:hAnsi="Sylfaen"/>
          <w:sz w:val="24"/>
          <w:szCs w:val="24"/>
        </w:rPr>
        <w:t>և</w:t>
      </w:r>
      <w:r w:rsidRPr="003B2786">
        <w:rPr>
          <w:rFonts w:ascii="Sylfaen" w:hAnsi="Sylfaen"/>
          <w:sz w:val="24"/>
          <w:szCs w:val="24"/>
        </w:rPr>
        <w:t xml:space="preserve">ակերպումը՝ «Համաձայն տվյալների (նշել աղբյուրը)՝ </w:t>
      </w:r>
    </w:p>
    <w:p w14:paraId="1EFF8360"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հիվանդության (նշել հիվանդությունը) տարածվածությունը անդամ պետությունում (նշել պետությունը) կազմում է (թիվը) 10 000 մարդու հաշվով»:</w:t>
      </w:r>
    </w:p>
    <w:p w14:paraId="4B5FCE8B" w14:textId="77777777" w:rsidR="008C76E0" w:rsidRPr="003B2786" w:rsidRDefault="008C76E0" w:rsidP="008E1F21">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Փորձագետը պետք է հատուկ ուշադրություն դարձնի հազվադեպ կիրառվող («որբ») պատրաստուկի հայտի վերլուծությանը՝ հաշվի առնելով հիվանդության հազվադեպության աստիճանը </w:t>
      </w:r>
      <w:r w:rsidR="00C54D75">
        <w:rPr>
          <w:rFonts w:ascii="Sylfaen" w:hAnsi="Sylfaen"/>
          <w:sz w:val="24"/>
          <w:szCs w:val="24"/>
        </w:rPr>
        <w:t>և</w:t>
      </w:r>
      <w:r w:rsidRPr="003B2786">
        <w:rPr>
          <w:rFonts w:ascii="Sylfaen" w:hAnsi="Sylfaen"/>
          <w:sz w:val="24"/>
          <w:szCs w:val="24"/>
        </w:rPr>
        <w:t xml:space="preserve"> հայտատուի կողմից առաջարկվող կիրառման ցուցումները: </w:t>
      </w:r>
    </w:p>
    <w:p w14:paraId="35838E14" w14:textId="77777777" w:rsidR="008C76E0" w:rsidRPr="003B2786" w:rsidRDefault="008C76E0" w:rsidP="008E1F21">
      <w:pPr>
        <w:tabs>
          <w:tab w:val="left" w:pos="1418"/>
        </w:tabs>
        <w:spacing w:after="160" w:line="360" w:lineRule="auto"/>
        <w:ind w:right="-1" w:firstLine="567"/>
        <w:jc w:val="center"/>
        <w:rPr>
          <w:rFonts w:ascii="Sylfaen" w:hAnsi="Sylfaen"/>
          <w:sz w:val="24"/>
          <w:szCs w:val="24"/>
        </w:rPr>
      </w:pPr>
    </w:p>
    <w:p w14:paraId="12EE581B" w14:textId="77777777" w:rsidR="008C76E0" w:rsidRPr="003B2786" w:rsidRDefault="008C76E0" w:rsidP="008E1F21">
      <w:pPr>
        <w:tabs>
          <w:tab w:val="left" w:pos="1418"/>
        </w:tabs>
        <w:spacing w:after="160" w:line="360" w:lineRule="auto"/>
        <w:ind w:right="-1" w:firstLine="567"/>
        <w:jc w:val="center"/>
        <w:rPr>
          <w:rFonts w:ascii="Sylfaen" w:hAnsi="Sylfaen"/>
          <w:sz w:val="24"/>
          <w:szCs w:val="24"/>
        </w:rPr>
      </w:pPr>
      <w:r w:rsidRPr="003B2786">
        <w:rPr>
          <w:rFonts w:ascii="Sylfaen" w:hAnsi="Sylfaen"/>
          <w:sz w:val="24"/>
          <w:szCs w:val="24"/>
        </w:rPr>
        <w:t>2. Կլինիկական դեղաբանություն:</w:t>
      </w:r>
    </w:p>
    <w:p w14:paraId="5CB6B82F" w14:textId="77777777" w:rsidR="008C76E0" w:rsidRPr="003B2786" w:rsidRDefault="008C76E0" w:rsidP="008E1F2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2.1.</w:t>
      </w:r>
      <w:r w:rsidRPr="003B2786">
        <w:rPr>
          <w:rFonts w:ascii="Sylfaen" w:hAnsi="Sylfaen"/>
          <w:sz w:val="24"/>
          <w:szCs w:val="24"/>
        </w:rPr>
        <w:tab/>
        <w:t>Դեղակինետիկա:</w:t>
      </w:r>
    </w:p>
    <w:p w14:paraId="68C4BBA3"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2.1.1.</w:t>
      </w:r>
      <w:r w:rsidRPr="003B2786">
        <w:rPr>
          <w:rFonts w:ascii="Sylfaen" w:hAnsi="Sylfaen"/>
          <w:sz w:val="24"/>
          <w:szCs w:val="24"/>
        </w:rPr>
        <w:tab/>
        <w:t>Ներածություն:</w:t>
      </w:r>
    </w:p>
    <w:p w14:paraId="5E5F50E0"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Անհրաժեշտ է ներկայացնել համառոտ տեղեկատու տեղեկատվություն՝ հետազոտության բովանդակային պլանի (օրինակ՝ խաչաձ</w:t>
      </w:r>
      <w:r w:rsidR="00C54D75">
        <w:rPr>
          <w:rFonts w:ascii="Sylfaen" w:hAnsi="Sylfaen"/>
          <w:sz w:val="24"/>
          <w:szCs w:val="24"/>
        </w:rPr>
        <w:t>և</w:t>
      </w:r>
      <w:r w:rsidRPr="003B2786">
        <w:rPr>
          <w:rFonts w:ascii="Sylfaen" w:hAnsi="Sylfaen"/>
          <w:sz w:val="24"/>
          <w:szCs w:val="24"/>
        </w:rPr>
        <w:t xml:space="preserve"> կլնիկական հետազոտություն (դեղակինետիկայի հետազոտություն) բնակչության կոնկրետ խմբի շրջանում), տարբեր հետազոտությունների մեջ ներգրավված պացիենտների (առողջ կամավորների) թվի </w:t>
      </w:r>
      <w:r w:rsidR="00C54D75">
        <w:rPr>
          <w:rFonts w:ascii="Sylfaen" w:hAnsi="Sylfaen"/>
          <w:sz w:val="24"/>
          <w:szCs w:val="24"/>
        </w:rPr>
        <w:t>և</w:t>
      </w:r>
      <w:r w:rsidRPr="003B2786">
        <w:rPr>
          <w:rFonts w:ascii="Sylfaen" w:hAnsi="Sylfaen"/>
          <w:sz w:val="24"/>
          <w:szCs w:val="24"/>
        </w:rPr>
        <w:t xml:space="preserve"> բնութագրերի վերաբերյալ՝ օգտագործվող վալիդացված կենսավերլուծական մեթոդիկաների համառոտ նկարագրությամբ: Որպես կանոն, գնահատելիս օգտագործվում են առողջ կամավորների, ինչպես նա</w:t>
      </w:r>
      <w:r w:rsidR="00C54D75">
        <w:rPr>
          <w:rFonts w:ascii="Sylfaen" w:hAnsi="Sylfaen"/>
          <w:sz w:val="24"/>
          <w:szCs w:val="24"/>
        </w:rPr>
        <w:t>և</w:t>
      </w:r>
      <w:r w:rsidRPr="003B2786">
        <w:rPr>
          <w:rFonts w:ascii="Sylfaen" w:hAnsi="Sylfaen"/>
          <w:sz w:val="24"/>
          <w:szCs w:val="24"/>
        </w:rPr>
        <w:t xml:space="preserve"> պացիենտների շրջանում դեղակինետիկայի տվյալները:</w:t>
      </w:r>
    </w:p>
    <w:p w14:paraId="09AE9A76"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Մեկնաբանե՛ք տվյալ կոնկրետ պատրաստուկի նկատմամբ պահանջները (օրինակ՝ նոր քիմիական միացության մասով՝ դեղակինետիկայի վերաբերյալ </w:t>
      </w:r>
      <w:r w:rsidRPr="003B2786">
        <w:rPr>
          <w:rFonts w:ascii="Sylfaen" w:hAnsi="Sylfaen"/>
          <w:sz w:val="24"/>
          <w:szCs w:val="24"/>
        </w:rPr>
        <w:lastRenderedPageBreak/>
        <w:t>փաստաթղթերի ամբողջական փաթեթը), ինչպես նա</w:t>
      </w:r>
      <w:r w:rsidR="00C54D75">
        <w:rPr>
          <w:rFonts w:ascii="Sylfaen" w:hAnsi="Sylfaen"/>
          <w:sz w:val="24"/>
          <w:szCs w:val="24"/>
        </w:rPr>
        <w:t>և</w:t>
      </w:r>
      <w:r w:rsidRPr="003B2786">
        <w:rPr>
          <w:rFonts w:ascii="Sylfaen" w:hAnsi="Sylfaen"/>
          <w:sz w:val="24"/>
          <w:szCs w:val="24"/>
        </w:rPr>
        <w:t xml:space="preserve"> կլինիկական ամփոփագրի որակը (մասնագետի եզրակացությունը 2-րդ մոդուլում է) </w:t>
      </w:r>
      <w:r w:rsidR="00C54D75">
        <w:rPr>
          <w:rFonts w:ascii="Sylfaen" w:hAnsi="Sylfaen"/>
          <w:sz w:val="24"/>
          <w:szCs w:val="24"/>
        </w:rPr>
        <w:t>և</w:t>
      </w:r>
      <w:r w:rsidRPr="003B2786">
        <w:rPr>
          <w:rFonts w:ascii="Sylfaen" w:hAnsi="Sylfaen"/>
          <w:sz w:val="24"/>
          <w:szCs w:val="24"/>
        </w:rPr>
        <w:t xml:space="preserve"> դեղապատրաստուկի դեղակինետիկ հետազոտությունների համապատասխանությունը Եվրասիական տնտեսական հանձնաժողովի կողմից հաստատվող՝ Եվրասիական տնտեսական միության Պատշաճ կլինիկական գործունեության կանոններին:</w:t>
      </w:r>
    </w:p>
    <w:p w14:paraId="0A6868BA"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Մասնավորապես, հարկավոր է նշել երեխաների (ինչպես նա</w:t>
      </w:r>
      <w:r w:rsidR="00C54D75">
        <w:rPr>
          <w:rFonts w:ascii="Sylfaen" w:hAnsi="Sylfaen"/>
          <w:sz w:val="24"/>
          <w:szCs w:val="24"/>
        </w:rPr>
        <w:t>և</w:t>
      </w:r>
      <w:r w:rsidRPr="003B2786">
        <w:rPr>
          <w:rFonts w:ascii="Sylfaen" w:hAnsi="Sylfaen"/>
          <w:sz w:val="24"/>
          <w:szCs w:val="24"/>
        </w:rPr>
        <w:t xml:space="preserve"> բնակչության հատուկ խմբերի) շրջանում պատրաստուկի դեղակինետիկ հետազոտության արդյունքների առկայությունը:</w:t>
      </w:r>
    </w:p>
    <w:p w14:paraId="62866276"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Հաշվետվության յուրաքանչյուր բաժին </w:t>
      </w:r>
      <w:r w:rsidR="00C54D75">
        <w:rPr>
          <w:rFonts w:ascii="Sylfaen" w:hAnsi="Sylfaen"/>
          <w:sz w:val="24"/>
          <w:szCs w:val="24"/>
        </w:rPr>
        <w:t>և</w:t>
      </w:r>
      <w:r w:rsidRPr="003B2786">
        <w:rPr>
          <w:rFonts w:ascii="Sylfaen" w:hAnsi="Sylfaen"/>
          <w:sz w:val="24"/>
          <w:szCs w:val="24"/>
        </w:rPr>
        <w:t xml:space="preserve"> ենթաբաժին պետք է պարունակի 2 կետ՝</w:t>
      </w:r>
    </w:p>
    <w:p w14:paraId="587C403A" w14:textId="77777777" w:rsidR="008C76E0" w:rsidRPr="003B2786" w:rsidRDefault="008C76E0" w:rsidP="008E1F2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ա)</w:t>
      </w:r>
      <w:r w:rsidRPr="003B2786">
        <w:rPr>
          <w:rFonts w:ascii="Sylfaen" w:hAnsi="Sylfaen"/>
          <w:sz w:val="24"/>
          <w:szCs w:val="24"/>
        </w:rPr>
        <w:tab/>
      </w:r>
      <w:r w:rsidRPr="003B2786">
        <w:rPr>
          <w:rFonts w:ascii="Sylfaen" w:hAnsi="Sylfaen"/>
          <w:spacing w:val="-6"/>
          <w:sz w:val="24"/>
          <w:szCs w:val="24"/>
        </w:rPr>
        <w:t>հետազոտության փորձարարական արդյունքները (ԳԴ-ի 5.3.1, 5.3.2, 5.3.3 մոդուլների համապատասխան ենթաբաժինների տվյալները, ինչպես նա</w:t>
      </w:r>
      <w:r w:rsidR="00C54D75">
        <w:rPr>
          <w:rFonts w:ascii="Sylfaen" w:hAnsi="Sylfaen"/>
          <w:spacing w:val="-6"/>
          <w:sz w:val="24"/>
          <w:szCs w:val="24"/>
        </w:rPr>
        <w:t>և</w:t>
      </w:r>
      <w:r w:rsidRPr="003B2786">
        <w:rPr>
          <w:rFonts w:ascii="Sylfaen" w:hAnsi="Sylfaen"/>
          <w:spacing w:val="-6"/>
          <w:sz w:val="24"/>
          <w:szCs w:val="24"/>
        </w:rPr>
        <w:t xml:space="preserve"> 5.3.4 մոդուլում պարունակվող ՖԿ/ՖԴ հետազոտությունների տվյալները), նախընտրելի է աղյուսակի տեսքով</w:t>
      </w:r>
      <w:r w:rsidRPr="003B2786">
        <w:rPr>
          <w:rFonts w:ascii="Sylfaen" w:hAnsi="Sylfaen"/>
          <w:sz w:val="24"/>
          <w:szCs w:val="24"/>
        </w:rPr>
        <w:t xml:space="preserve"> (կլինիկական հետազոտությունների ամփոփագրերին (2.7 մոդուլ), առանձին հաշվետվություններին կամ 2-րդ մոդուլի աղյուսակին հղմամբ), </w:t>
      </w:r>
    </w:p>
    <w:p w14:paraId="31B8D879" w14:textId="77777777" w:rsidR="008C76E0" w:rsidRPr="003B2786" w:rsidRDefault="008C76E0" w:rsidP="00F97BCA">
      <w:pPr>
        <w:tabs>
          <w:tab w:val="left" w:pos="1134"/>
        </w:tabs>
        <w:spacing w:after="160" w:line="336" w:lineRule="auto"/>
        <w:ind w:right="-1" w:firstLine="567"/>
        <w:jc w:val="both"/>
        <w:rPr>
          <w:rFonts w:ascii="Sylfaen" w:hAnsi="Sylfaen"/>
          <w:sz w:val="24"/>
          <w:szCs w:val="24"/>
        </w:rPr>
      </w:pPr>
      <w:r w:rsidRPr="003B2786">
        <w:rPr>
          <w:rFonts w:ascii="Sylfaen" w:hAnsi="Sylfaen"/>
          <w:sz w:val="24"/>
          <w:szCs w:val="24"/>
        </w:rPr>
        <w:t>բ)</w:t>
      </w:r>
      <w:r w:rsidRPr="003B2786">
        <w:rPr>
          <w:rFonts w:ascii="Sylfaen" w:hAnsi="Sylfaen"/>
          <w:sz w:val="24"/>
          <w:szCs w:val="24"/>
        </w:rPr>
        <w:tab/>
        <w:t xml:space="preserve">փորձագետի դիտողությունները՝ դրանց անհրաժեշտության դեպքում: </w:t>
      </w:r>
    </w:p>
    <w:p w14:paraId="1B5566E9" w14:textId="77777777" w:rsidR="008C76E0" w:rsidRPr="003B2786" w:rsidRDefault="008C76E0" w:rsidP="00F97BCA">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Պատրաստուկի հետազոտված տարբեր դեղակինետիկ պարամետրերը սույն բաժնում կարող են ներառվել մեկ ընդհանուր ամփոփ աղյուսակում: Պատրաստուկի տարբեր դեղակինետիկ պարամետրերի վերաբերյալ մեկնաբանությունները կարող են պարունակել խաչաձ</w:t>
      </w:r>
      <w:r w:rsidR="00C54D75">
        <w:rPr>
          <w:rFonts w:ascii="Sylfaen" w:hAnsi="Sylfaen"/>
          <w:sz w:val="24"/>
          <w:szCs w:val="24"/>
        </w:rPr>
        <w:t>և</w:t>
      </w:r>
      <w:r w:rsidRPr="003B2786">
        <w:rPr>
          <w:rFonts w:ascii="Sylfaen" w:hAnsi="Sylfaen"/>
          <w:sz w:val="24"/>
          <w:szCs w:val="24"/>
        </w:rPr>
        <w:t xml:space="preserve"> հղումներ տվյալ աղյուսակին:</w:t>
      </w:r>
    </w:p>
    <w:p w14:paraId="3659C107" w14:textId="77777777" w:rsidR="008C76E0" w:rsidRPr="003B2786" w:rsidRDefault="008C76E0" w:rsidP="00F97BCA">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Կախված հավելվածի տեսակից՝ «Դեղակինետիկա» բաժնի ենթավերնագրերը կարող են հանվել կամ փոփոխվել՝ կախված հանգամանքներից:</w:t>
      </w:r>
    </w:p>
    <w:p w14:paraId="2C4EEEDA" w14:textId="77777777" w:rsidR="008C76E0" w:rsidRPr="003B2786" w:rsidRDefault="008C76E0" w:rsidP="00F97BCA">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 xml:space="preserve">Կենսահամանման (կենսանման) դեղապատրաստուկների գրանցման դոսյեների փորձաքննության մասով հարկավոր է առաջնորդվել Կանոնների թիվ 1 հավելվածով </w:t>
      </w:r>
      <w:r w:rsidR="00C54D75">
        <w:rPr>
          <w:rFonts w:ascii="Sylfaen" w:hAnsi="Sylfaen"/>
          <w:sz w:val="24"/>
          <w:szCs w:val="24"/>
        </w:rPr>
        <w:t>և</w:t>
      </w:r>
      <w:r w:rsidRPr="003B2786">
        <w:rPr>
          <w:rFonts w:ascii="Sylfaen" w:hAnsi="Sylfaen"/>
          <w:sz w:val="24"/>
          <w:szCs w:val="24"/>
        </w:rPr>
        <w:t xml:space="preserve"> Եվրասիական տնտեսական հանձնաժողովի կողմից հաստատվող՝ Կենսաբանական դեղամիջոցների հետազոտության կանոններով:</w:t>
      </w:r>
    </w:p>
    <w:p w14:paraId="6B2DFBB5"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Կլինիկական համադրելիության գնահատումը փուլային ընթացակարգ է, որը պետք է սկսվի դեղակինետիկայի (ՖԿ-ի) </w:t>
      </w:r>
      <w:r w:rsidR="00C54D75">
        <w:rPr>
          <w:rFonts w:ascii="Sylfaen" w:hAnsi="Sylfaen"/>
          <w:sz w:val="24"/>
          <w:szCs w:val="24"/>
        </w:rPr>
        <w:t>և</w:t>
      </w:r>
      <w:r w:rsidRPr="003B2786">
        <w:rPr>
          <w:rFonts w:ascii="Sylfaen" w:hAnsi="Sylfaen"/>
          <w:sz w:val="24"/>
          <w:szCs w:val="24"/>
        </w:rPr>
        <w:t xml:space="preserve"> դեղադինամիկայի (ՖԴ-ի) համեմատական հետազոտություններից </w:t>
      </w:r>
      <w:r w:rsidR="00C54D75">
        <w:rPr>
          <w:rFonts w:ascii="Sylfaen" w:hAnsi="Sylfaen"/>
          <w:sz w:val="24"/>
          <w:szCs w:val="24"/>
        </w:rPr>
        <w:t>և</w:t>
      </w:r>
      <w:r w:rsidRPr="003B2786">
        <w:rPr>
          <w:rFonts w:ascii="Sylfaen" w:hAnsi="Sylfaen"/>
          <w:sz w:val="24"/>
          <w:szCs w:val="24"/>
        </w:rPr>
        <w:t xml:space="preserve"> ավարտվի արդյունավետության համեմատական կլինիկական հետազոտություններով՝ Միության տարածքում գրանցված ընտրված ռեֆերենտ</w:t>
      </w:r>
      <w:r w:rsidRPr="003B2786" w:rsidDel="008C67E8">
        <w:rPr>
          <w:rFonts w:ascii="Sylfaen" w:hAnsi="Sylfaen"/>
          <w:sz w:val="24"/>
          <w:szCs w:val="24"/>
        </w:rPr>
        <w:t xml:space="preserve"> </w:t>
      </w:r>
      <w:r w:rsidRPr="003B2786">
        <w:rPr>
          <w:rFonts w:ascii="Sylfaen" w:hAnsi="Sylfaen"/>
          <w:sz w:val="24"/>
          <w:szCs w:val="24"/>
        </w:rPr>
        <w:t xml:space="preserve">դեղապատրաստուկի օգտագործմամբ: </w:t>
      </w:r>
    </w:p>
    <w:p w14:paraId="5E1E38C7"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Որոշակի դեպքերում (օրինակ՝ օրիգինալ պատրաստուկի լրացուցիչ դեղաձ</w:t>
      </w:r>
      <w:r w:rsidR="00C54D75">
        <w:rPr>
          <w:rFonts w:ascii="Sylfaen" w:hAnsi="Sylfaen"/>
          <w:sz w:val="24"/>
          <w:szCs w:val="24"/>
        </w:rPr>
        <w:t>և</w:t>
      </w:r>
      <w:r w:rsidRPr="003B2786">
        <w:rPr>
          <w:rFonts w:ascii="Sylfaen" w:hAnsi="Sylfaen"/>
          <w:sz w:val="24"/>
          <w:szCs w:val="24"/>
        </w:rPr>
        <w:t>ը գրանցելիս) բավական կլինի ներկայացնել պատրաստուկների ՖԿ/ՖԴ-ի հետազոտության տվյալները՝ դրանց թերապ</w:t>
      </w:r>
      <w:r w:rsidR="00C54D75">
        <w:rPr>
          <w:rFonts w:ascii="Sylfaen" w:hAnsi="Sylfaen"/>
          <w:sz w:val="24"/>
          <w:szCs w:val="24"/>
        </w:rPr>
        <w:t>և</w:t>
      </w:r>
      <w:r w:rsidRPr="003B2786">
        <w:rPr>
          <w:rFonts w:ascii="Sylfaen" w:hAnsi="Sylfaen"/>
          <w:sz w:val="24"/>
          <w:szCs w:val="24"/>
        </w:rPr>
        <w:t>տիկ կենսահամարժեքությունը հաստատելու համար:</w:t>
      </w:r>
    </w:p>
    <w:p w14:paraId="48750508"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2.1.2.</w:t>
      </w:r>
      <w:r w:rsidRPr="003B2786">
        <w:rPr>
          <w:rFonts w:ascii="Sylfaen" w:hAnsi="Sylfaen"/>
          <w:sz w:val="24"/>
          <w:szCs w:val="24"/>
        </w:rPr>
        <w:tab/>
        <w:t>Մեթոդները:</w:t>
      </w:r>
    </w:p>
    <w:p w14:paraId="4C4EDC79"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2.1.2.1.</w:t>
      </w:r>
      <w:r w:rsidRPr="003B2786">
        <w:rPr>
          <w:rFonts w:ascii="Sylfaen" w:hAnsi="Sylfaen"/>
          <w:sz w:val="24"/>
          <w:szCs w:val="24"/>
        </w:rPr>
        <w:tab/>
        <w:t>Վերլուծական մեթոդներն ու մեթոդիկաները:</w:t>
      </w:r>
    </w:p>
    <w:p w14:paraId="086CDC43"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Օգտագործվող վերլուծական մեթոդների համառոտ նկարագրությունը՝ շեշտը դնելով վերլուծության վալիդացման արդյունավետության </w:t>
      </w:r>
      <w:r w:rsidR="00C54D75">
        <w:rPr>
          <w:rFonts w:ascii="Sylfaen" w:hAnsi="Sylfaen"/>
          <w:sz w:val="24"/>
          <w:szCs w:val="24"/>
        </w:rPr>
        <w:t>և</w:t>
      </w:r>
      <w:r w:rsidRPr="003B2786">
        <w:rPr>
          <w:rFonts w:ascii="Sylfaen" w:hAnsi="Sylfaen"/>
          <w:sz w:val="24"/>
          <w:szCs w:val="24"/>
        </w:rPr>
        <w:t xml:space="preserve"> որակի հսկողության բնութագրերի վրա:</w:t>
      </w:r>
    </w:p>
    <w:p w14:paraId="534AA2B2"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2.1.2.2.</w:t>
      </w:r>
      <w:r w:rsidRPr="003B2786">
        <w:rPr>
          <w:rFonts w:ascii="Sylfaen" w:hAnsi="Sylfaen"/>
          <w:sz w:val="24"/>
          <w:szCs w:val="24"/>
        </w:rPr>
        <w:tab/>
        <w:t>Դեղակինետիկ տվյալների վերլուծությունը:</w:t>
      </w:r>
    </w:p>
    <w:p w14:paraId="715074E2"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Դեղակինետիկայի վերլուծության մեթոդների համառոտ նկարագրությունը: </w:t>
      </w:r>
    </w:p>
    <w:p w14:paraId="36A0E35C"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2.1.2.3.</w:t>
      </w:r>
      <w:r w:rsidRPr="003B2786">
        <w:rPr>
          <w:rFonts w:ascii="Sylfaen" w:hAnsi="Sylfaen"/>
          <w:sz w:val="24"/>
          <w:szCs w:val="24"/>
        </w:rPr>
        <w:tab/>
        <w:t>Վիճակագրական վերլուծությունը:</w:t>
      </w:r>
    </w:p>
    <w:p w14:paraId="553F1191"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Վիճակագրական վերլուծության մեթոդների համառոտ նկարագրությունը:</w:t>
      </w:r>
    </w:p>
    <w:p w14:paraId="6F91DD03"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2.1.3.</w:t>
      </w:r>
      <w:r w:rsidRPr="003B2786">
        <w:rPr>
          <w:rFonts w:ascii="Sylfaen" w:hAnsi="Sylfaen"/>
          <w:sz w:val="24"/>
          <w:szCs w:val="24"/>
        </w:rPr>
        <w:tab/>
        <w:t>Կլանումը:</w:t>
      </w:r>
    </w:p>
    <w:p w14:paraId="49D8A729" w14:textId="77777777" w:rsidR="008C76E0" w:rsidRPr="003B2786" w:rsidRDefault="008C76E0" w:rsidP="008E1F21">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 xml:space="preserve">Գրանցման դոսյեի 5.3.1-5.3.3 մոդուլներում (անհրաժեշտության դեպքում, որտեղ կիրառելի է) հարկավոր է աղյուսակի տեսքով արտացոլել հետազոտությունների տվյալները (օրինակ՝ ներծծման արագությունը </w:t>
      </w:r>
      <w:r w:rsidR="00C54D75">
        <w:rPr>
          <w:rFonts w:ascii="Sylfaen" w:hAnsi="Sylfaen"/>
          <w:sz w:val="24"/>
          <w:szCs w:val="24"/>
        </w:rPr>
        <w:t>և</w:t>
      </w:r>
      <w:r w:rsidRPr="003B2786">
        <w:rPr>
          <w:rFonts w:ascii="Sylfaen" w:hAnsi="Sylfaen"/>
          <w:sz w:val="24"/>
          <w:szCs w:val="24"/>
        </w:rPr>
        <w:t xml:space="preserve"> աստիճանը, ակտիվ փոխադրող սպիտակուցների մասնակցությունը ներծծման գործընթացին): </w:t>
      </w:r>
    </w:p>
    <w:p w14:paraId="1791BF77"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2.1.3.1.</w:t>
      </w:r>
      <w:r w:rsidRPr="003B2786">
        <w:rPr>
          <w:rFonts w:ascii="Sylfaen" w:hAnsi="Sylfaen"/>
          <w:sz w:val="24"/>
          <w:szCs w:val="24"/>
        </w:rPr>
        <w:tab/>
        <w:t>Կենսամատչելիությունը:</w:t>
      </w:r>
    </w:p>
    <w:p w14:paraId="4D6AFD77" w14:textId="77777777" w:rsidR="008C76E0" w:rsidRPr="003B2786" w:rsidRDefault="008C76E0" w:rsidP="008E1F21">
      <w:pPr>
        <w:tabs>
          <w:tab w:val="left" w:pos="1560"/>
          <w:tab w:val="left" w:pos="1701"/>
        </w:tabs>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Գրանցման դոսյեի 5.3.1.1 մոդուլի տվյալներն արտացոլում են կենսադեղագործական հետազոտությունների վերաբերյալ հաշվետվությունների տվյալները: Բացարձակ </w:t>
      </w:r>
      <w:r w:rsidR="00C54D75">
        <w:rPr>
          <w:rFonts w:ascii="Sylfaen" w:hAnsi="Sylfaen"/>
          <w:sz w:val="24"/>
          <w:szCs w:val="24"/>
        </w:rPr>
        <w:t>և</w:t>
      </w:r>
      <w:r w:rsidRPr="003B2786">
        <w:rPr>
          <w:rFonts w:ascii="Sylfaen" w:hAnsi="Sylfaen"/>
          <w:sz w:val="24"/>
          <w:szCs w:val="24"/>
        </w:rPr>
        <w:t xml:space="preserve"> հարաբերական կենսամատչելիություն:</w:t>
      </w:r>
    </w:p>
    <w:p w14:paraId="1C8A91C7" w14:textId="77777777" w:rsidR="008C76E0" w:rsidRPr="003B2786" w:rsidRDefault="008C76E0" w:rsidP="008E1F21">
      <w:pPr>
        <w:tabs>
          <w:tab w:val="left" w:pos="1560"/>
          <w:tab w:val="left" w:pos="1701"/>
        </w:tabs>
        <w:spacing w:after="160" w:line="360" w:lineRule="auto"/>
        <w:ind w:firstLine="567"/>
        <w:jc w:val="both"/>
        <w:rPr>
          <w:rFonts w:ascii="Sylfaen" w:hAnsi="Sylfaen"/>
          <w:sz w:val="24"/>
          <w:szCs w:val="24"/>
        </w:rPr>
      </w:pPr>
      <w:r w:rsidRPr="003B2786">
        <w:rPr>
          <w:rFonts w:ascii="Sylfaen" w:hAnsi="Sylfaen"/>
          <w:sz w:val="24"/>
          <w:szCs w:val="24"/>
        </w:rPr>
        <w:t>Փորձագետի մեկնաբանությունը՝ գնահատման վերաբերյալ:</w:t>
      </w:r>
    </w:p>
    <w:p w14:paraId="0B074714"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2.1.3.2.</w:t>
      </w:r>
      <w:r w:rsidRPr="003B2786">
        <w:rPr>
          <w:rFonts w:ascii="Sylfaen" w:hAnsi="Sylfaen"/>
          <w:sz w:val="24"/>
          <w:szCs w:val="24"/>
        </w:rPr>
        <w:tab/>
        <w:t>Կենսահամարժեքությունը:</w:t>
      </w:r>
    </w:p>
    <w:p w14:paraId="313E7E31"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Կլինիկական հետազոտություններում օգտագործվող դեղաձ</w:t>
      </w:r>
      <w:r w:rsidR="00C54D75">
        <w:rPr>
          <w:rFonts w:ascii="Sylfaen" w:hAnsi="Sylfaen"/>
          <w:sz w:val="24"/>
          <w:szCs w:val="24"/>
        </w:rPr>
        <w:t>և</w:t>
      </w:r>
      <w:r w:rsidRPr="003B2786">
        <w:rPr>
          <w:rFonts w:ascii="Sylfaen" w:hAnsi="Sylfaen"/>
          <w:sz w:val="24"/>
          <w:szCs w:val="24"/>
        </w:rPr>
        <w:t xml:space="preserve">երի կենսահամարժեքության </w:t>
      </w:r>
      <w:r w:rsidR="00C54D75">
        <w:rPr>
          <w:rFonts w:ascii="Sylfaen" w:hAnsi="Sylfaen"/>
          <w:sz w:val="24"/>
          <w:szCs w:val="24"/>
        </w:rPr>
        <w:t>և</w:t>
      </w:r>
      <w:r w:rsidRPr="003B2786">
        <w:rPr>
          <w:rFonts w:ascii="Sylfaen" w:hAnsi="Sylfaen"/>
          <w:sz w:val="24"/>
          <w:szCs w:val="24"/>
        </w:rPr>
        <w:t xml:space="preserve"> շուկայում իրացման ենթակա վերջնական դեղաձ</w:t>
      </w:r>
      <w:r w:rsidR="00C54D75">
        <w:rPr>
          <w:rFonts w:ascii="Sylfaen" w:hAnsi="Sylfaen"/>
          <w:sz w:val="24"/>
          <w:szCs w:val="24"/>
        </w:rPr>
        <w:t>և</w:t>
      </w:r>
      <w:r w:rsidRPr="003B2786">
        <w:rPr>
          <w:rFonts w:ascii="Sylfaen" w:hAnsi="Sylfaen"/>
          <w:sz w:val="24"/>
          <w:szCs w:val="24"/>
        </w:rPr>
        <w:t xml:space="preserve">ի հետազոտությունների տվյալները: </w:t>
      </w:r>
    </w:p>
    <w:p w14:paraId="457BF2EB" w14:textId="77777777" w:rsidR="008C76E0" w:rsidRPr="003B2786" w:rsidRDefault="008C76E0" w:rsidP="00262653">
      <w:pPr>
        <w:tabs>
          <w:tab w:val="left" w:pos="1560"/>
        </w:tabs>
        <w:spacing w:after="160" w:line="384" w:lineRule="auto"/>
        <w:ind w:right="-1" w:firstLine="567"/>
        <w:jc w:val="both"/>
        <w:rPr>
          <w:rFonts w:ascii="Sylfaen" w:hAnsi="Sylfaen"/>
          <w:sz w:val="24"/>
          <w:szCs w:val="24"/>
        </w:rPr>
      </w:pPr>
      <w:r w:rsidRPr="003B2786">
        <w:rPr>
          <w:rFonts w:ascii="Sylfaen" w:hAnsi="Sylfaen"/>
          <w:sz w:val="24"/>
          <w:szCs w:val="24"/>
        </w:rPr>
        <w:t xml:space="preserve">Հարկավոր է հղում կատարել մշակման փուլում արտադրական փոփոխությունների </w:t>
      </w:r>
      <w:r w:rsidR="00C54D75">
        <w:rPr>
          <w:rFonts w:ascii="Sylfaen" w:hAnsi="Sylfaen"/>
          <w:sz w:val="24"/>
          <w:szCs w:val="24"/>
        </w:rPr>
        <w:t>և</w:t>
      </w:r>
      <w:r w:rsidRPr="003B2786">
        <w:rPr>
          <w:rFonts w:ascii="Sylfaen" w:hAnsi="Sylfaen"/>
          <w:sz w:val="24"/>
          <w:szCs w:val="24"/>
        </w:rPr>
        <w:t xml:space="preserve"> կլինիկական փորձարկումների համար նախատեսված դեղաձ</w:t>
      </w:r>
      <w:r w:rsidR="00C54D75">
        <w:rPr>
          <w:rFonts w:ascii="Sylfaen" w:hAnsi="Sylfaen"/>
          <w:sz w:val="24"/>
          <w:szCs w:val="24"/>
        </w:rPr>
        <w:t>և</w:t>
      </w:r>
      <w:r w:rsidRPr="003B2786">
        <w:rPr>
          <w:rFonts w:ascii="Sylfaen" w:hAnsi="Sylfaen"/>
          <w:sz w:val="24"/>
          <w:szCs w:val="24"/>
        </w:rPr>
        <w:t xml:space="preserve">երի </w:t>
      </w:r>
      <w:r w:rsidR="00C54D75">
        <w:rPr>
          <w:rFonts w:ascii="Sylfaen" w:hAnsi="Sylfaen"/>
          <w:sz w:val="24"/>
          <w:szCs w:val="24"/>
        </w:rPr>
        <w:t>և</w:t>
      </w:r>
      <w:r w:rsidRPr="003B2786">
        <w:rPr>
          <w:rFonts w:ascii="Sylfaen" w:hAnsi="Sylfaen"/>
          <w:sz w:val="24"/>
          <w:szCs w:val="24"/>
        </w:rPr>
        <w:t xml:space="preserve"> շուկայում իրացման համար նախատեսված պատրաստի արտադրանքի միջ</w:t>
      </w:r>
      <w:r w:rsidR="00C54D75">
        <w:rPr>
          <w:rFonts w:ascii="Sylfaen" w:hAnsi="Sylfaen"/>
          <w:sz w:val="24"/>
          <w:szCs w:val="24"/>
        </w:rPr>
        <w:t>և</w:t>
      </w:r>
      <w:r w:rsidRPr="003B2786">
        <w:rPr>
          <w:rFonts w:ascii="Sylfaen" w:hAnsi="Sylfaen"/>
          <w:sz w:val="24"/>
          <w:szCs w:val="24"/>
        </w:rPr>
        <w:t xml:space="preserve"> փոփոխությունների հիմնավորման վերաբերյալ համարժեքության վերլուծության համար անցկացված կենսահամարժեքության հետազոտություններին:</w:t>
      </w:r>
    </w:p>
    <w:p w14:paraId="3F230866" w14:textId="77777777" w:rsidR="008C76E0" w:rsidRPr="003B2786" w:rsidRDefault="008C76E0" w:rsidP="00262653">
      <w:pPr>
        <w:tabs>
          <w:tab w:val="left" w:pos="1560"/>
        </w:tabs>
        <w:spacing w:after="160" w:line="384" w:lineRule="auto"/>
        <w:ind w:firstLine="567"/>
        <w:jc w:val="both"/>
        <w:rPr>
          <w:rFonts w:ascii="Sylfaen" w:hAnsi="Sylfaen"/>
          <w:sz w:val="24"/>
          <w:szCs w:val="24"/>
        </w:rPr>
      </w:pPr>
      <w:r w:rsidRPr="003B2786">
        <w:rPr>
          <w:rFonts w:ascii="Sylfaen" w:hAnsi="Sylfaen"/>
          <w:sz w:val="24"/>
          <w:szCs w:val="24"/>
        </w:rPr>
        <w:t>Կենսաբանական կամ կենսատեխնոլոգիական պատրաստուկների մասով սույն բաժնում պետք է նա</w:t>
      </w:r>
      <w:r w:rsidR="00C54D75">
        <w:rPr>
          <w:rFonts w:ascii="Sylfaen" w:hAnsi="Sylfaen"/>
          <w:sz w:val="24"/>
          <w:szCs w:val="24"/>
        </w:rPr>
        <w:t>և</w:t>
      </w:r>
      <w:r w:rsidRPr="003B2786">
        <w:rPr>
          <w:rFonts w:ascii="Sylfaen" w:hAnsi="Sylfaen"/>
          <w:sz w:val="24"/>
          <w:szCs w:val="24"/>
        </w:rPr>
        <w:t xml:space="preserve"> պարունակվեն խաչաձ</w:t>
      </w:r>
      <w:r w:rsidR="00C54D75">
        <w:rPr>
          <w:rFonts w:ascii="Sylfaen" w:hAnsi="Sylfaen"/>
          <w:sz w:val="24"/>
          <w:szCs w:val="24"/>
        </w:rPr>
        <w:t>և</w:t>
      </w:r>
      <w:r w:rsidRPr="003B2786">
        <w:rPr>
          <w:rFonts w:ascii="Sylfaen" w:hAnsi="Sylfaen"/>
          <w:sz w:val="24"/>
          <w:szCs w:val="24"/>
        </w:rPr>
        <w:t xml:space="preserve"> հղումներ նախակլինիկական </w:t>
      </w:r>
      <w:r w:rsidR="00C54D75">
        <w:rPr>
          <w:rFonts w:ascii="Sylfaen" w:hAnsi="Sylfaen"/>
          <w:sz w:val="24"/>
          <w:szCs w:val="24"/>
        </w:rPr>
        <w:t>և</w:t>
      </w:r>
      <w:r w:rsidRPr="003B2786">
        <w:rPr>
          <w:rFonts w:ascii="Sylfaen" w:hAnsi="Sylfaen"/>
          <w:sz w:val="24"/>
          <w:szCs w:val="24"/>
        </w:rPr>
        <w:t xml:space="preserve"> գործառնական վերլուծության տվյալներին: </w:t>
      </w:r>
    </w:p>
    <w:p w14:paraId="3E060187" w14:textId="77777777" w:rsidR="008C76E0" w:rsidRPr="003B2786" w:rsidRDefault="008C76E0" w:rsidP="00262653">
      <w:pPr>
        <w:tabs>
          <w:tab w:val="left" w:pos="1560"/>
        </w:tabs>
        <w:spacing w:after="160" w:line="384" w:lineRule="auto"/>
        <w:ind w:firstLine="567"/>
        <w:jc w:val="both"/>
        <w:rPr>
          <w:rFonts w:ascii="Sylfaen" w:hAnsi="Sylfaen"/>
          <w:sz w:val="24"/>
          <w:szCs w:val="24"/>
        </w:rPr>
      </w:pPr>
      <w:r w:rsidRPr="003B2786">
        <w:rPr>
          <w:rFonts w:ascii="Sylfaen" w:hAnsi="Sylfaen"/>
          <w:sz w:val="24"/>
          <w:szCs w:val="24"/>
        </w:rPr>
        <w:t xml:space="preserve">ՖԿ-ի՝ կենսաբանորեն համանման դեղամիջոցի </w:t>
      </w:r>
      <w:r w:rsidR="00C54D75">
        <w:rPr>
          <w:rFonts w:ascii="Sylfaen" w:hAnsi="Sylfaen"/>
          <w:sz w:val="24"/>
          <w:szCs w:val="24"/>
        </w:rPr>
        <w:t>և</w:t>
      </w:r>
      <w:r w:rsidRPr="003B2786">
        <w:rPr>
          <w:rFonts w:ascii="Sylfaen" w:hAnsi="Sylfaen"/>
          <w:sz w:val="24"/>
          <w:szCs w:val="24"/>
        </w:rPr>
        <w:t xml:space="preserve"> չափանմուշային պատրաստուկի ՖԿ-ների առանցքային պարամետրերի համարժեքության աստիճանի մասին վկայող համեմատական հետազոտություններն ընդհանուր համեմատական գնահատման անքակտելի մասն են:</w:t>
      </w:r>
    </w:p>
    <w:p w14:paraId="07757508" w14:textId="77777777" w:rsidR="008C76E0" w:rsidRPr="003B2786" w:rsidRDefault="008C76E0" w:rsidP="00262653">
      <w:pPr>
        <w:tabs>
          <w:tab w:val="left" w:pos="1560"/>
        </w:tabs>
        <w:spacing w:after="160" w:line="384" w:lineRule="auto"/>
        <w:ind w:firstLine="567"/>
        <w:jc w:val="both"/>
        <w:rPr>
          <w:rFonts w:ascii="Sylfaen" w:hAnsi="Sylfaen"/>
          <w:sz w:val="24"/>
          <w:szCs w:val="24"/>
        </w:rPr>
      </w:pPr>
      <w:r w:rsidRPr="003B2786">
        <w:rPr>
          <w:rFonts w:ascii="Sylfaen" w:hAnsi="Sylfaen"/>
          <w:sz w:val="24"/>
          <w:szCs w:val="24"/>
        </w:rPr>
        <w:t>Պետք է նշվի (կլինիկական փորձարկումներում օգտագործված) պատրաստուկի անունը՝ Միության տարածքում պատրաստուկի իրացման թույլտվության վերաբերյալ պարզաբանմամբ:</w:t>
      </w:r>
    </w:p>
    <w:p w14:paraId="40177758"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2.1.4.</w:t>
      </w:r>
      <w:r w:rsidRPr="003B2786">
        <w:rPr>
          <w:rFonts w:ascii="Sylfaen" w:hAnsi="Sylfaen"/>
          <w:sz w:val="24"/>
          <w:szCs w:val="24"/>
        </w:rPr>
        <w:tab/>
        <w:t>Բաշխումը:</w:t>
      </w:r>
    </w:p>
    <w:p w14:paraId="5F4A30BA"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Բաշխման ծավալը, սպիտակուցների հետ կապակցման տվյալները՝ լաբորատոր </w:t>
      </w:r>
      <w:r w:rsidR="00C54D75">
        <w:rPr>
          <w:rFonts w:ascii="Sylfaen" w:hAnsi="Sylfaen"/>
          <w:sz w:val="24"/>
          <w:szCs w:val="24"/>
        </w:rPr>
        <w:t>և</w:t>
      </w:r>
      <w:r w:rsidRPr="003B2786">
        <w:rPr>
          <w:rFonts w:ascii="Sylfaen" w:hAnsi="Sylfaen"/>
          <w:sz w:val="24"/>
          <w:szCs w:val="24"/>
        </w:rPr>
        <w:t xml:space="preserve"> բնականոն պայմաններում անալիզի դեպքում, տեղեկություններ՝ հյուսվածքներում բաշխման վերաբերյալ, ինչպես նա</w:t>
      </w:r>
      <w:r w:rsidR="00C54D75">
        <w:rPr>
          <w:rFonts w:ascii="Sylfaen" w:hAnsi="Sylfaen"/>
          <w:sz w:val="24"/>
          <w:szCs w:val="24"/>
        </w:rPr>
        <w:t>և</w:t>
      </w:r>
      <w:r w:rsidRPr="003B2786">
        <w:rPr>
          <w:rFonts w:ascii="Sylfaen" w:hAnsi="Sylfaen"/>
          <w:sz w:val="24"/>
          <w:szCs w:val="24"/>
        </w:rPr>
        <w:t xml:space="preserve"> էրիթրոցիտների քանակի հաշվարկի տվյալները:</w:t>
      </w:r>
    </w:p>
    <w:p w14:paraId="3C3C2D88"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2.1.5.</w:t>
      </w:r>
      <w:r w:rsidRPr="003B2786">
        <w:rPr>
          <w:rFonts w:ascii="Sylfaen" w:hAnsi="Sylfaen"/>
          <w:sz w:val="24"/>
          <w:szCs w:val="24"/>
        </w:rPr>
        <w:tab/>
        <w:t>Վերացումը:</w:t>
      </w:r>
    </w:p>
    <w:p w14:paraId="6BAB8BB3"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Օրգանիզմից դուրսբերման ճանապարհը (նյութափոխանակություն, դուրսբերում՝ ռենալ (երիկամային) կամ բիլիար (լեղատար) ուղիներով), կլիրենսը, կիսատրոհման ժամանակահատվածը:</w:t>
      </w:r>
    </w:p>
    <w:p w14:paraId="2F1B554E"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2.1.5.1.</w:t>
      </w:r>
      <w:r w:rsidRPr="003B2786">
        <w:rPr>
          <w:rFonts w:ascii="Sylfaen" w:hAnsi="Sylfaen"/>
          <w:sz w:val="24"/>
          <w:szCs w:val="24"/>
        </w:rPr>
        <w:tab/>
        <w:t>Արտազատումը:</w:t>
      </w:r>
    </w:p>
    <w:p w14:paraId="46A44DCE"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Օրգանիզմից արգասիքի արտազատման ուղիները: Օրգանիզմից անփոփոխ տեսքով արտազատվող արգասիքի մասնաբաժինը: Ակտիվ փոխադրող սպիտակուցների մասնակցությունը երիկամային ճանապարհով արգասիքներն արտազատելիս:</w:t>
      </w:r>
    </w:p>
    <w:p w14:paraId="2849A1B8"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2.1.5.2.</w:t>
      </w:r>
      <w:r w:rsidRPr="003B2786">
        <w:rPr>
          <w:rFonts w:ascii="Sylfaen" w:hAnsi="Sylfaen"/>
          <w:sz w:val="24"/>
          <w:szCs w:val="24"/>
        </w:rPr>
        <w:tab/>
        <w:t>Մետաբոլիզմը:</w:t>
      </w:r>
    </w:p>
    <w:p w14:paraId="2BCDC711"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 xml:space="preserve">Մետաբոլիտների նույնականացումը, մետաբոլիզմի աստիճանը, մետաբոլիզմի ուղիները, մետաբոլիզմին մասնակցող ֆերմենտները: Մետաբոլիտների մասնակցությունը դեղի ազդեցությանը: Լաբորատոր </w:t>
      </w:r>
      <w:r w:rsidR="00C54D75">
        <w:rPr>
          <w:rFonts w:ascii="Sylfaen" w:hAnsi="Sylfaen"/>
          <w:sz w:val="24"/>
          <w:szCs w:val="24"/>
        </w:rPr>
        <w:t>և</w:t>
      </w:r>
      <w:r w:rsidRPr="003B2786">
        <w:rPr>
          <w:rFonts w:ascii="Sylfaen" w:hAnsi="Sylfaen"/>
          <w:sz w:val="24"/>
          <w:szCs w:val="24"/>
        </w:rPr>
        <w:t xml:space="preserve"> բնական պայմաններում հետազոտությունների տվյալները:</w:t>
      </w:r>
    </w:p>
    <w:p w14:paraId="105AABFF"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2.1.5.3.</w:t>
      </w:r>
      <w:r w:rsidRPr="003B2786">
        <w:rPr>
          <w:rFonts w:ascii="Sylfaen" w:hAnsi="Sylfaen"/>
          <w:sz w:val="24"/>
          <w:szCs w:val="24"/>
        </w:rPr>
        <w:tab/>
        <w:t>Փոխադարձ փոխակերպումները:</w:t>
      </w:r>
    </w:p>
    <w:p w14:paraId="018520CB"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Արդի քիրալային նյութերի առումով:</w:t>
      </w:r>
    </w:p>
    <w:p w14:paraId="6B47C656"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2.1.5.4.</w:t>
      </w:r>
      <w:r w:rsidRPr="003B2786">
        <w:rPr>
          <w:rFonts w:ascii="Sylfaen" w:hAnsi="Sylfaen"/>
          <w:sz w:val="24"/>
          <w:szCs w:val="24"/>
        </w:rPr>
        <w:tab/>
        <w:t>Մետաբոլիտների դեղակինետիկան:</w:t>
      </w:r>
    </w:p>
    <w:p w14:paraId="3B90D318"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Ակտիվ մետաբոլիտների </w:t>
      </w:r>
      <w:r w:rsidR="00C54D75">
        <w:rPr>
          <w:rFonts w:ascii="Sylfaen" w:hAnsi="Sylfaen"/>
          <w:sz w:val="24"/>
          <w:szCs w:val="24"/>
        </w:rPr>
        <w:t>և</w:t>
      </w:r>
      <w:r w:rsidRPr="003B2786">
        <w:rPr>
          <w:rFonts w:ascii="Sylfaen" w:hAnsi="Sylfaen"/>
          <w:sz w:val="24"/>
          <w:szCs w:val="24"/>
        </w:rPr>
        <w:t xml:space="preserve"> առկայության դեպքում՝ ոչ ակտիվ մետաբոլիտների դեղակինետիկային վերաբերող տեղեկատվություն:</w:t>
      </w:r>
    </w:p>
    <w:p w14:paraId="3DFF1CDB"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2.1.5.5.</w:t>
      </w:r>
      <w:r w:rsidRPr="003B2786">
        <w:rPr>
          <w:rFonts w:ascii="Sylfaen" w:hAnsi="Sylfaen"/>
          <w:sz w:val="24"/>
          <w:szCs w:val="24"/>
        </w:rPr>
        <w:tab/>
        <w:t>Հնարավոր գենետիկական պոլիմորֆիզմի հետ</w:t>
      </w:r>
      <w:r w:rsidR="00C54D75">
        <w:rPr>
          <w:rFonts w:ascii="Sylfaen" w:hAnsi="Sylfaen"/>
          <w:sz w:val="24"/>
          <w:szCs w:val="24"/>
        </w:rPr>
        <w:t>և</w:t>
      </w:r>
      <w:r w:rsidRPr="003B2786">
        <w:rPr>
          <w:rFonts w:ascii="Sylfaen" w:hAnsi="Sylfaen"/>
          <w:sz w:val="24"/>
          <w:szCs w:val="24"/>
        </w:rPr>
        <w:t>անքները:</w:t>
      </w:r>
    </w:p>
    <w:p w14:paraId="7F02CEED"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Հետ</w:t>
      </w:r>
      <w:r w:rsidR="00C54D75">
        <w:rPr>
          <w:rFonts w:ascii="Sylfaen" w:hAnsi="Sylfaen"/>
          <w:sz w:val="24"/>
          <w:szCs w:val="24"/>
        </w:rPr>
        <w:t>և</w:t>
      </w:r>
      <w:r w:rsidRPr="003B2786">
        <w:rPr>
          <w:rFonts w:ascii="Sylfaen" w:hAnsi="Sylfaen"/>
          <w:sz w:val="24"/>
          <w:szCs w:val="24"/>
        </w:rPr>
        <w:t>անքների գնահատումը, եթե նյութափոխանակությանը մասնակցում են</w:t>
      </w:r>
    </w:p>
    <w:p w14:paraId="29C96458" w14:textId="77777777" w:rsidR="008C76E0" w:rsidRPr="003B2786" w:rsidRDefault="008C76E0" w:rsidP="008E1F21">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ֆերմենտների պոլիմորֆ ձ</w:t>
      </w:r>
      <w:r w:rsidR="00C54D75">
        <w:rPr>
          <w:rFonts w:ascii="Sylfaen" w:hAnsi="Sylfaen"/>
          <w:sz w:val="24"/>
          <w:szCs w:val="24"/>
        </w:rPr>
        <w:t>և</w:t>
      </w:r>
      <w:r w:rsidRPr="003B2786">
        <w:rPr>
          <w:rFonts w:ascii="Sylfaen" w:hAnsi="Sylfaen"/>
          <w:sz w:val="24"/>
          <w:szCs w:val="24"/>
        </w:rPr>
        <w:t xml:space="preserve">երը (օրինակ՝ CYP2D6-ի, CYP2C19-ի, </w:t>
      </w:r>
      <w:r>
        <w:rPr>
          <w:rFonts w:ascii="Sylfaen" w:hAnsi="Sylfaen"/>
          <w:sz w:val="24"/>
          <w:szCs w:val="24"/>
        </w:rPr>
        <w:br/>
      </w:r>
      <w:r w:rsidRPr="003B2786">
        <w:rPr>
          <w:rFonts w:ascii="Sylfaen" w:hAnsi="Sylfaen"/>
          <w:sz w:val="24"/>
          <w:szCs w:val="24"/>
        </w:rPr>
        <w:t xml:space="preserve">N-ացետիլի): </w:t>
      </w:r>
    </w:p>
    <w:p w14:paraId="2E1B3C64"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2.1.6.</w:t>
      </w:r>
      <w:r w:rsidRPr="003B2786">
        <w:rPr>
          <w:rFonts w:ascii="Sylfaen" w:hAnsi="Sylfaen"/>
          <w:sz w:val="24"/>
          <w:szCs w:val="24"/>
        </w:rPr>
        <w:tab/>
        <w:t xml:space="preserve">Դեղաչափերի համամասնությունը </w:t>
      </w:r>
      <w:r w:rsidR="00C54D75">
        <w:rPr>
          <w:rFonts w:ascii="Sylfaen" w:hAnsi="Sylfaen"/>
          <w:sz w:val="24"/>
          <w:szCs w:val="24"/>
        </w:rPr>
        <w:t>և</w:t>
      </w:r>
      <w:r w:rsidRPr="003B2786">
        <w:rPr>
          <w:rFonts w:ascii="Sylfaen" w:hAnsi="Sylfaen"/>
          <w:sz w:val="24"/>
          <w:szCs w:val="24"/>
        </w:rPr>
        <w:t xml:space="preserve"> ժամանակավոր կախվածությունը:</w:t>
      </w:r>
    </w:p>
    <w:p w14:paraId="65E8998C"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2.1.6.1.</w:t>
      </w:r>
      <w:r w:rsidRPr="003B2786">
        <w:rPr>
          <w:rFonts w:ascii="Sylfaen" w:hAnsi="Sylfaen"/>
          <w:sz w:val="24"/>
          <w:szCs w:val="24"/>
        </w:rPr>
        <w:tab/>
        <w:t>Դեղաչափի համամասնությունը:</w:t>
      </w:r>
    </w:p>
    <w:p w14:paraId="27578C2B"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Դեղաչափի համամասնությունը դեղաչափի մեկանգամյա ներմուծումից հետո </w:t>
      </w:r>
      <w:r w:rsidR="00C54D75">
        <w:rPr>
          <w:rFonts w:ascii="Sylfaen" w:hAnsi="Sylfaen"/>
          <w:sz w:val="24"/>
          <w:szCs w:val="24"/>
        </w:rPr>
        <w:t>և</w:t>
      </w:r>
      <w:r w:rsidRPr="003B2786">
        <w:rPr>
          <w:rFonts w:ascii="Sylfaen" w:hAnsi="Sylfaen"/>
          <w:sz w:val="24"/>
          <w:szCs w:val="24"/>
        </w:rPr>
        <w:t xml:space="preserve"> հավասարակշիռ խտությունում:</w:t>
      </w:r>
    </w:p>
    <w:p w14:paraId="64A90E35"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2.1.6.2.</w:t>
      </w:r>
      <w:r w:rsidRPr="003B2786">
        <w:rPr>
          <w:rFonts w:ascii="Sylfaen" w:hAnsi="Sylfaen"/>
          <w:sz w:val="24"/>
          <w:szCs w:val="24"/>
        </w:rPr>
        <w:tab/>
        <w:t>Ժամանակավոր կախվածությունը:</w:t>
      </w:r>
    </w:p>
    <w:p w14:paraId="4492F71F"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Համակարգային ազդեցությունը թերապ</w:t>
      </w:r>
      <w:r w:rsidR="00C54D75">
        <w:rPr>
          <w:rFonts w:ascii="Sylfaen" w:hAnsi="Sylfaen"/>
          <w:sz w:val="24"/>
          <w:szCs w:val="24"/>
        </w:rPr>
        <w:t>և</w:t>
      </w:r>
      <w:r w:rsidRPr="003B2786">
        <w:rPr>
          <w:rFonts w:ascii="Sylfaen" w:hAnsi="Sylfaen"/>
          <w:sz w:val="24"/>
          <w:szCs w:val="24"/>
        </w:rPr>
        <w:t xml:space="preserve">տիկ դեղաչափի մեկանգամյա </w:t>
      </w:r>
      <w:r w:rsidR="00C54D75">
        <w:rPr>
          <w:rFonts w:ascii="Sylfaen" w:hAnsi="Sylfaen"/>
          <w:sz w:val="24"/>
          <w:szCs w:val="24"/>
        </w:rPr>
        <w:t>և</w:t>
      </w:r>
      <w:r w:rsidRPr="003B2786">
        <w:rPr>
          <w:rFonts w:ascii="Sylfaen" w:hAnsi="Sylfaen"/>
          <w:sz w:val="24"/>
          <w:szCs w:val="24"/>
        </w:rPr>
        <w:t xml:space="preserve"> բազմակի ներմուծումից հետո </w:t>
      </w:r>
      <w:r w:rsidR="00C54D75">
        <w:rPr>
          <w:rFonts w:ascii="Sylfaen" w:hAnsi="Sylfaen"/>
          <w:sz w:val="24"/>
          <w:szCs w:val="24"/>
        </w:rPr>
        <w:t>և</w:t>
      </w:r>
      <w:r w:rsidRPr="003B2786">
        <w:rPr>
          <w:rFonts w:ascii="Sylfaen" w:hAnsi="Sylfaen"/>
          <w:sz w:val="24"/>
          <w:szCs w:val="24"/>
        </w:rPr>
        <w:t xml:space="preserve"> ժամանակավոր կախվածության գնահատումը:</w:t>
      </w:r>
    </w:p>
    <w:p w14:paraId="551F415E"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2.1.7.</w:t>
      </w:r>
      <w:r w:rsidRPr="003B2786">
        <w:rPr>
          <w:rFonts w:ascii="Sylfaen" w:hAnsi="Sylfaen"/>
          <w:sz w:val="24"/>
          <w:szCs w:val="24"/>
        </w:rPr>
        <w:tab/>
        <w:t xml:space="preserve">Ներանհատական </w:t>
      </w:r>
      <w:r w:rsidR="00C54D75">
        <w:rPr>
          <w:rFonts w:ascii="Sylfaen" w:hAnsi="Sylfaen"/>
          <w:sz w:val="24"/>
          <w:szCs w:val="24"/>
        </w:rPr>
        <w:t>և</w:t>
      </w:r>
      <w:r w:rsidRPr="003B2786">
        <w:rPr>
          <w:rFonts w:ascii="Sylfaen" w:hAnsi="Sylfaen"/>
          <w:sz w:val="24"/>
          <w:szCs w:val="24"/>
        </w:rPr>
        <w:t xml:space="preserve"> միջանհատական փոփոխականությունը:</w:t>
      </w:r>
    </w:p>
    <w:p w14:paraId="2B1B9C93"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 xml:space="preserve">Դեղակինետիկայի պարամետրերի ներանհատական </w:t>
      </w:r>
      <w:r w:rsidR="00C54D75">
        <w:rPr>
          <w:rFonts w:ascii="Sylfaen" w:hAnsi="Sylfaen"/>
          <w:sz w:val="24"/>
          <w:szCs w:val="24"/>
        </w:rPr>
        <w:t>և</w:t>
      </w:r>
      <w:r w:rsidRPr="003B2786">
        <w:rPr>
          <w:rFonts w:ascii="Sylfaen" w:hAnsi="Sylfaen"/>
          <w:sz w:val="24"/>
          <w:szCs w:val="24"/>
        </w:rPr>
        <w:t xml:space="preserve"> միջանհատական փոփոխականության տվյալները (նախընտրելի է բնակչության թիրախային խմբի շրջանում): Ներանհատական </w:t>
      </w:r>
      <w:r w:rsidR="00C54D75">
        <w:rPr>
          <w:rFonts w:ascii="Sylfaen" w:hAnsi="Sylfaen"/>
          <w:sz w:val="24"/>
          <w:szCs w:val="24"/>
        </w:rPr>
        <w:t>և</w:t>
      </w:r>
      <w:r w:rsidRPr="003B2786">
        <w:rPr>
          <w:rFonts w:ascii="Sylfaen" w:hAnsi="Sylfaen"/>
          <w:sz w:val="24"/>
          <w:szCs w:val="24"/>
        </w:rPr>
        <w:t xml:space="preserve"> միջանհատական փոփոխականության տվյալները կարելի է վերցնել բնակչության շրջանում դեղակինետիկայի վերլուծությունների ամփոփ արդյունքներից:</w:t>
      </w:r>
    </w:p>
    <w:p w14:paraId="5D527CAE"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2.1.8.</w:t>
      </w:r>
      <w:r w:rsidRPr="003B2786">
        <w:rPr>
          <w:rFonts w:ascii="Sylfaen" w:hAnsi="Sylfaen"/>
          <w:sz w:val="24"/>
          <w:szCs w:val="24"/>
        </w:rPr>
        <w:tab/>
        <w:t>Դեղակինետիկան թիրախային պոպուլյացիայի շրջանում:</w:t>
      </w:r>
    </w:p>
    <w:p w14:paraId="408611C7"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Ելակետային միացության </w:t>
      </w:r>
      <w:r w:rsidR="00C54D75">
        <w:rPr>
          <w:rFonts w:ascii="Sylfaen" w:hAnsi="Sylfaen"/>
          <w:sz w:val="24"/>
          <w:szCs w:val="24"/>
        </w:rPr>
        <w:t>և</w:t>
      </w:r>
      <w:r w:rsidRPr="003B2786">
        <w:rPr>
          <w:rFonts w:ascii="Sylfaen" w:hAnsi="Sylfaen"/>
          <w:sz w:val="24"/>
          <w:szCs w:val="24"/>
        </w:rPr>
        <w:t xml:space="preserve"> բնակչության թիրախային խմբի շրջանում ակտիվ մետաբոլիտների ՖԿ-ի վերաբերյալ հասանելի տվյալներ՝ հատուկ ուշադրություն դարձնելով առողջ կամավորների շրջանում տարբերությունների, այդ թվում՝ պացիենտների շրջանում փոփոխականության վրա: Բնակչության շրջանում պատրաստուկի ՖԿ-ի տվյալները, եթե այդպիսիք կան: </w:t>
      </w:r>
    </w:p>
    <w:p w14:paraId="7264CEB7"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Կախված տեղեկատվության ծավալից՝ բովանդակության մեջ կարող են ներառվել մի քանի ենթավերնագրեր:</w:t>
      </w:r>
    </w:p>
    <w:p w14:paraId="205B3101"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Եթե ՖԿ-ի տվյալները հիմնականում ստացվել են բնակչության թիրախային խմբի, այլ ոչ թե առողջ կամավորների շրջանում հետազոտության ժամանակ, </w:t>
      </w:r>
      <w:r w:rsidRPr="003B2786">
        <w:rPr>
          <w:rFonts w:ascii="Sylfaen" w:hAnsi="Sylfaen"/>
          <w:sz w:val="24"/>
          <w:szCs w:val="24"/>
        </w:rPr>
        <w:lastRenderedPageBreak/>
        <w:t>տվյալ բաժինն անհրաժեշտ է հանել, իսկ բնակչության թիրախային խմբի շրջանում պատրաստուկի դեղակինետիկայի վերաբերյալ տվյալներն անհրաժեշտ է ներկայացնել վեր</w:t>
      </w:r>
      <w:r w:rsidR="00C54D75">
        <w:rPr>
          <w:rFonts w:ascii="Sylfaen" w:hAnsi="Sylfaen"/>
          <w:sz w:val="24"/>
          <w:szCs w:val="24"/>
        </w:rPr>
        <w:t>և</w:t>
      </w:r>
      <w:r w:rsidRPr="003B2786">
        <w:rPr>
          <w:rFonts w:ascii="Sylfaen" w:hAnsi="Sylfaen"/>
          <w:sz w:val="24"/>
          <w:szCs w:val="24"/>
        </w:rPr>
        <w:t>ում:</w:t>
      </w:r>
    </w:p>
    <w:p w14:paraId="6573A3D7"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2.1.9.</w:t>
      </w:r>
      <w:r w:rsidRPr="003B2786">
        <w:rPr>
          <w:rFonts w:ascii="Sylfaen" w:hAnsi="Sylfaen"/>
          <w:sz w:val="24"/>
          <w:szCs w:val="24"/>
        </w:rPr>
        <w:tab/>
        <w:t>Բնակչության հատուկ խմբերը:</w:t>
      </w:r>
    </w:p>
    <w:p w14:paraId="20615CF4"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Պետք է վերլուծել բնակչության հատուկ խմբերի շրջանում ելակետային դեղամիջոցի </w:t>
      </w:r>
      <w:r w:rsidR="00C54D75">
        <w:rPr>
          <w:rFonts w:ascii="Sylfaen" w:hAnsi="Sylfaen"/>
          <w:sz w:val="24"/>
          <w:szCs w:val="24"/>
        </w:rPr>
        <w:t>և</w:t>
      </w:r>
      <w:r w:rsidRPr="003B2786">
        <w:rPr>
          <w:rFonts w:ascii="Sylfaen" w:hAnsi="Sylfaen"/>
          <w:sz w:val="24"/>
          <w:szCs w:val="24"/>
        </w:rPr>
        <w:t xml:space="preserve"> ակտիվ մետաբոլիտների ՖԿ-ի հասանելի տվյալները:</w:t>
      </w:r>
    </w:p>
    <w:p w14:paraId="5237BB0E"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Տվյալներ՝ գրանցման դոսյեի՝ ՖԿ-ի ներքին գործոնի հետազոտության վերաբերյալ հաշվետվության 5.3.3.3 մոդուլից, ինչպես նա</w:t>
      </w:r>
      <w:r w:rsidR="00C54D75">
        <w:rPr>
          <w:rFonts w:ascii="Sylfaen" w:hAnsi="Sylfaen"/>
          <w:sz w:val="24"/>
          <w:szCs w:val="24"/>
        </w:rPr>
        <w:t>և</w:t>
      </w:r>
      <w:r w:rsidRPr="003B2786">
        <w:rPr>
          <w:rFonts w:ascii="Sylfaen" w:hAnsi="Sylfaen"/>
          <w:sz w:val="24"/>
          <w:szCs w:val="24"/>
        </w:rPr>
        <w:t xml:space="preserve"> գրանցման դոսյեի՝ բնակչության շրջանում ՖԿ-ի հետազոտության վերաբերյալ հաշվետվության 5.3.3.5 մոդուլից (տվյալները պետք է ներկայացվեն նախորդ բաժինների նման </w:t>
      </w:r>
      <w:r w:rsidR="00C54D75">
        <w:rPr>
          <w:rFonts w:ascii="Sylfaen" w:hAnsi="Sylfaen"/>
          <w:sz w:val="24"/>
          <w:szCs w:val="24"/>
        </w:rPr>
        <w:t>և</w:t>
      </w:r>
      <w:r w:rsidRPr="003B2786">
        <w:rPr>
          <w:rFonts w:ascii="Sylfaen" w:hAnsi="Sylfaen"/>
          <w:sz w:val="24"/>
          <w:szCs w:val="24"/>
        </w:rPr>
        <w:t xml:space="preserve"> կարող են ներառվել մեկ ընդհանուր ամփոփ աղյուսակում):</w:t>
      </w:r>
    </w:p>
    <w:p w14:paraId="3F0FEDB0"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Այստեղ կարող են արտացոլվել տարբեր հետազոտությունների տվյալների ամփոփիչ վերլուծության արդյունքները, որոնք կարող են նպաստել դեղակինետիկայի տարբերությունները հասկանալուն՝ նշելով հնարավոր հետ</w:t>
      </w:r>
      <w:r w:rsidR="00C54D75">
        <w:rPr>
          <w:rFonts w:ascii="Sylfaen" w:hAnsi="Sylfaen"/>
          <w:sz w:val="24"/>
          <w:szCs w:val="24"/>
        </w:rPr>
        <w:t>և</w:t>
      </w:r>
      <w:r w:rsidRPr="003B2786">
        <w:rPr>
          <w:rFonts w:ascii="Sylfaen" w:hAnsi="Sylfaen"/>
          <w:sz w:val="24"/>
          <w:szCs w:val="24"/>
        </w:rPr>
        <w:t xml:space="preserve">անքների մասին հայտարարությունները: Տվյալ փոփոխությունները կարող են կապված լինել արտաքին կամ ներքին գործոնների հետ, ինչպիսիք են տարիքը, սեռը, ռասան, ծխելը, մետաբոլիկ պոլիմորֆիզմը, երիկամների ֆունկցիաները </w:t>
      </w:r>
      <w:r w:rsidR="00C54D75">
        <w:rPr>
          <w:rFonts w:ascii="Sylfaen" w:hAnsi="Sylfaen"/>
          <w:sz w:val="24"/>
          <w:szCs w:val="24"/>
        </w:rPr>
        <w:t>և</w:t>
      </w:r>
      <w:r w:rsidRPr="003B2786">
        <w:rPr>
          <w:rFonts w:ascii="Sylfaen" w:hAnsi="Sylfaen"/>
          <w:sz w:val="24"/>
          <w:szCs w:val="24"/>
        </w:rPr>
        <w:t xml:space="preserve"> երիկամային անբավարարությունը: Մետաբոլիկ պոլիմորֆիզմի հետ կապված տարբերակները պետք է նկարագրել </w:t>
      </w:r>
      <w:r w:rsidR="00C54D75">
        <w:rPr>
          <w:rFonts w:ascii="Sylfaen" w:hAnsi="Sylfaen"/>
          <w:sz w:val="24"/>
          <w:szCs w:val="24"/>
        </w:rPr>
        <w:t>և</w:t>
      </w:r>
      <w:r w:rsidRPr="003B2786">
        <w:rPr>
          <w:rFonts w:ascii="Sylfaen" w:hAnsi="Sylfaen"/>
          <w:sz w:val="24"/>
          <w:szCs w:val="24"/>
        </w:rPr>
        <w:t xml:space="preserve"> մեկնաբանել վեր</w:t>
      </w:r>
      <w:r w:rsidR="00C54D75">
        <w:rPr>
          <w:rFonts w:ascii="Sylfaen" w:hAnsi="Sylfaen"/>
          <w:sz w:val="24"/>
          <w:szCs w:val="24"/>
        </w:rPr>
        <w:t>և</w:t>
      </w:r>
      <w:r w:rsidRPr="003B2786">
        <w:rPr>
          <w:rFonts w:ascii="Sylfaen" w:hAnsi="Sylfaen"/>
          <w:sz w:val="24"/>
          <w:szCs w:val="24"/>
        </w:rPr>
        <w:t xml:space="preserve">ում՝ «Օրգանիզմից դուրսբերումը» կետում: Կախված հանգամանքներից՝ մանկական բնակչության մասով կարող են ներառվել մոդելավորման </w:t>
      </w:r>
      <w:r w:rsidR="00C54D75">
        <w:rPr>
          <w:rFonts w:ascii="Sylfaen" w:hAnsi="Sylfaen"/>
          <w:sz w:val="24"/>
          <w:szCs w:val="24"/>
        </w:rPr>
        <w:t>և</w:t>
      </w:r>
      <w:r w:rsidRPr="003B2786">
        <w:rPr>
          <w:rFonts w:ascii="Sylfaen" w:hAnsi="Sylfaen"/>
          <w:sz w:val="24"/>
          <w:szCs w:val="24"/>
        </w:rPr>
        <w:t xml:space="preserve"> սիմուլյացիայի տվյալները:</w:t>
      </w:r>
    </w:p>
    <w:p w14:paraId="611E5E77" w14:textId="77777777" w:rsidR="008C76E0" w:rsidRPr="003B2786" w:rsidRDefault="008C76E0" w:rsidP="00262653">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2.1.9.1.</w:t>
      </w:r>
      <w:r w:rsidRPr="003B2786">
        <w:rPr>
          <w:rFonts w:ascii="Sylfaen" w:hAnsi="Sylfaen"/>
          <w:sz w:val="24"/>
          <w:szCs w:val="24"/>
        </w:rPr>
        <w:tab/>
        <w:t>Տարեց մարդիկ:</w:t>
      </w:r>
    </w:p>
    <w:p w14:paraId="651AD9CA" w14:textId="77777777" w:rsidR="008C76E0" w:rsidRPr="003B2786" w:rsidRDefault="008C76E0" w:rsidP="00262653">
      <w:pPr>
        <w:tabs>
          <w:tab w:val="left" w:pos="1560"/>
        </w:tabs>
        <w:spacing w:after="160" w:line="384" w:lineRule="auto"/>
        <w:ind w:firstLine="567"/>
        <w:jc w:val="both"/>
        <w:rPr>
          <w:rFonts w:ascii="Sylfaen" w:hAnsi="Sylfaen"/>
          <w:sz w:val="24"/>
          <w:szCs w:val="24"/>
        </w:rPr>
      </w:pPr>
      <w:r w:rsidRPr="003B2786">
        <w:rPr>
          <w:rFonts w:ascii="Sylfaen" w:hAnsi="Sylfaen"/>
          <w:sz w:val="24"/>
          <w:szCs w:val="24"/>
        </w:rPr>
        <w:t xml:space="preserve">Եթե նշված տվյալները հնարավոր չէ վերցնել հայտի նյութերից կամ հայտատուի կողմից հայտնած տարբեր տարիքային շեմերի դեպքում, ապա 120-րդ օրը ներկայացվող հաշվետվության հարցերի ցանկում առաջարկվում է ավելացնել հարցի տեսքով աղյուսակ: </w:t>
      </w:r>
    </w:p>
    <w:p w14:paraId="5221FD10"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lastRenderedPageBreak/>
        <w:t xml:space="preserve">Եթե հիվանդությունը տարածված է տարեց անձանց շրջանում, ապա պետք է ներկայացնել տարեց անձանց շրջանում ՖԿ-ի հետազոտությունների </w:t>
      </w:r>
      <w:r w:rsidR="00C54D75">
        <w:rPr>
          <w:rFonts w:ascii="Sylfaen" w:hAnsi="Sylfaen"/>
          <w:sz w:val="24"/>
          <w:szCs w:val="24"/>
        </w:rPr>
        <w:t>և</w:t>
      </w:r>
      <w:r w:rsidRPr="003B2786">
        <w:rPr>
          <w:rFonts w:ascii="Sylfaen" w:hAnsi="Sylfaen"/>
          <w:sz w:val="24"/>
          <w:szCs w:val="24"/>
        </w:rPr>
        <w:t xml:space="preserve"> պատահական ընտրանքի վերահսկվող կլինիկական հետազոտությունների որ</w:t>
      </w:r>
      <w:r w:rsidR="00C54D75">
        <w:rPr>
          <w:rFonts w:ascii="Sylfaen" w:hAnsi="Sylfaen"/>
          <w:sz w:val="24"/>
          <w:szCs w:val="24"/>
        </w:rPr>
        <w:t>և</w:t>
      </w:r>
      <w:r w:rsidRPr="003B2786">
        <w:rPr>
          <w:rFonts w:ascii="Sylfaen" w:hAnsi="Sylfaen"/>
          <w:sz w:val="24"/>
          <w:szCs w:val="24"/>
        </w:rPr>
        <w:t xml:space="preserve">է կոնկրետ տվյալ կամ հաստատել այդպիսի հետազոտություններ չանցկացնելու փաստը: </w:t>
      </w:r>
    </w:p>
    <w:p w14:paraId="7CF6311D"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Տարեց մարդկանց շրջանում ՖԿ-ի փոփոխության հավանականության դեպքում, օրինակ՝ կապված երիկամների ֆունկցիայի խանգարման հետ, հարկավոր է մեկնաբանել դեղաչափը ճշտելու անհրաժեշտությունը: </w:t>
      </w:r>
    </w:p>
    <w:p w14:paraId="0BC731BB"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2.1.9.2.</w:t>
      </w:r>
      <w:r w:rsidRPr="003B2786">
        <w:rPr>
          <w:rFonts w:ascii="Sylfaen" w:hAnsi="Sylfaen"/>
          <w:sz w:val="24"/>
          <w:szCs w:val="24"/>
        </w:rPr>
        <w:tab/>
        <w:t>Երեխաները:</w:t>
      </w:r>
    </w:p>
    <w:p w14:paraId="73CB80B6"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Ներկայացվում են փորձագետի ընդհանուր մեկնաբանությունները՝ բնակչության առանձին խմբերի շրջանում դեղակինետիկայի վերաբերյալ:</w:t>
      </w:r>
    </w:p>
    <w:p w14:paraId="6115C5A5"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 xml:space="preserve">Նշվում է, թե արդյոք բավարար չափով է նկարագրված ելակետային պատրաստուկի </w:t>
      </w:r>
      <w:r w:rsidR="00C54D75">
        <w:rPr>
          <w:rFonts w:ascii="Sylfaen" w:hAnsi="Sylfaen"/>
          <w:sz w:val="24"/>
          <w:szCs w:val="24"/>
        </w:rPr>
        <w:t>և</w:t>
      </w:r>
      <w:r w:rsidRPr="003B2786">
        <w:rPr>
          <w:rFonts w:ascii="Sylfaen" w:hAnsi="Sylfaen"/>
          <w:sz w:val="24"/>
          <w:szCs w:val="24"/>
        </w:rPr>
        <w:t xml:space="preserve"> ակտիվ մետաբոլիտների դեղակինետիկան բնակչության հատուկ խմբերի շրջանում:</w:t>
      </w:r>
    </w:p>
    <w:p w14:paraId="1B4C2AC7"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 xml:space="preserve">Արդյո՞ք բժշկական կիրառման դեղապատրաստուկի ընդհանուր բնութագրում ներառված է բավականաչափ տեղեկատվություն՝ բնակչության հատուկ խմբերի շրջանում դեղակինետիկայի վերաբերյալ, </w:t>
      </w:r>
      <w:r w:rsidR="00C54D75">
        <w:rPr>
          <w:rFonts w:ascii="Sylfaen" w:hAnsi="Sylfaen"/>
          <w:sz w:val="24"/>
          <w:szCs w:val="24"/>
        </w:rPr>
        <w:t>և</w:t>
      </w:r>
      <w:r w:rsidRPr="003B2786">
        <w:rPr>
          <w:rFonts w:ascii="Sylfaen" w:hAnsi="Sylfaen"/>
          <w:sz w:val="24"/>
          <w:szCs w:val="24"/>
        </w:rPr>
        <w:t xml:space="preserve"> արդյոք արտացոլված է տեղեկատվության հնարավոր բացակայությունը (սահմանափակումներ, նախազգուշական միջոցներ, դեղաչափի ճշտումներ): </w:t>
      </w:r>
    </w:p>
    <w:p w14:paraId="5411D3FB"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Կար</w:t>
      </w:r>
      <w:r w:rsidR="00C54D75">
        <w:rPr>
          <w:rFonts w:ascii="Sylfaen" w:hAnsi="Sylfaen"/>
          <w:sz w:val="24"/>
          <w:szCs w:val="24"/>
        </w:rPr>
        <w:t>և</w:t>
      </w:r>
      <w:r w:rsidRPr="003B2786">
        <w:rPr>
          <w:rFonts w:ascii="Sylfaen" w:hAnsi="Sylfaen"/>
          <w:sz w:val="24"/>
          <w:szCs w:val="24"/>
        </w:rPr>
        <w:t xml:space="preserve">որ է հաշվի առնել ՖԿ/ՖԴ հարաբերակցությունը բնակչության հատուկ խմբերի համար սահմանափակումների, նախազգուշական միջոցների, դեղաչափի ճշտման անհրաժեշտությունը գնահատելիս: Անհրաժեշտ է հաշվի առնել խտություն-ազդեցություն </w:t>
      </w:r>
      <w:r w:rsidR="00C54D75">
        <w:rPr>
          <w:rFonts w:ascii="Sylfaen" w:hAnsi="Sylfaen"/>
          <w:sz w:val="24"/>
          <w:szCs w:val="24"/>
        </w:rPr>
        <w:t>և</w:t>
      </w:r>
      <w:r w:rsidRPr="003B2786">
        <w:rPr>
          <w:rFonts w:ascii="Sylfaen" w:hAnsi="Sylfaen"/>
          <w:sz w:val="24"/>
          <w:szCs w:val="24"/>
        </w:rPr>
        <w:t xml:space="preserve"> խտություն-անցանկալի ազդեցություն հարաբերակցությունները:</w:t>
      </w:r>
    </w:p>
    <w:p w14:paraId="4AFE2D28" w14:textId="77777777" w:rsidR="008C76E0" w:rsidRPr="003B2786" w:rsidRDefault="008C76E0" w:rsidP="00262653">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2.1.10.</w:t>
      </w:r>
      <w:r w:rsidRPr="003B2786">
        <w:rPr>
          <w:rFonts w:ascii="Sylfaen" w:hAnsi="Sylfaen"/>
          <w:sz w:val="24"/>
          <w:szCs w:val="24"/>
        </w:rPr>
        <w:tab/>
        <w:t>Փոխազդեցությունները:</w:t>
      </w:r>
    </w:p>
    <w:p w14:paraId="141743BB"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Հետազոտության արդյունքների կրիտիկական ներկայացումը:</w:t>
      </w:r>
    </w:p>
    <w:p w14:paraId="5B8E1B7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Տվյալների առկայության դեպքում պետք է ներկայացնել դեղերի փոխազդեցությունների վերաբերյալ մեկնաբանություններ (տվյալները պետք է ներկայացվեն նախորդ բաժինների նման </w:t>
      </w:r>
      <w:r w:rsidR="00C54D75">
        <w:rPr>
          <w:rFonts w:ascii="Sylfaen" w:hAnsi="Sylfaen"/>
          <w:sz w:val="24"/>
          <w:szCs w:val="24"/>
        </w:rPr>
        <w:t>և</w:t>
      </w:r>
      <w:r w:rsidRPr="003B2786">
        <w:rPr>
          <w:rFonts w:ascii="Sylfaen" w:hAnsi="Sylfaen"/>
          <w:sz w:val="24"/>
          <w:szCs w:val="24"/>
        </w:rPr>
        <w:t xml:space="preserve"> կարող են ներառվել մեկ ընդհանուր ամփոփ աղյուսակում):</w:t>
      </w:r>
    </w:p>
    <w:p w14:paraId="75C1CAAC"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2.1.10.1.</w:t>
      </w:r>
      <w:r w:rsidRPr="003B2786">
        <w:rPr>
          <w:rFonts w:ascii="Sylfaen" w:hAnsi="Sylfaen"/>
          <w:sz w:val="24"/>
          <w:szCs w:val="24"/>
        </w:rPr>
        <w:tab/>
        <w:t>Լաբորատոր պայմաններում:</w:t>
      </w:r>
    </w:p>
    <w:p w14:paraId="26892C23"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Տվյալներ՝ գրանցման հավաստագրի 5.3.2՝ Մարդկային ծագման կենսանյութերի օգտագործմամբ հետազոտություններ լաբորատոր պայմաններում մոդուլից:</w:t>
      </w:r>
    </w:p>
    <w:p w14:paraId="776EF3BB"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2.1.10.2.</w:t>
      </w:r>
      <w:r w:rsidRPr="003B2786">
        <w:rPr>
          <w:rFonts w:ascii="Sylfaen" w:hAnsi="Sylfaen"/>
          <w:sz w:val="24"/>
          <w:szCs w:val="24"/>
        </w:rPr>
        <w:tab/>
        <w:t>Բնական պայմաններում:</w:t>
      </w:r>
    </w:p>
    <w:p w14:paraId="768955E6"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Տվյալներ՝ գրանցման հավաստագրի 5.3.3.4՝ ՖԿ-ի ներքին գործոնի հետազոտության վերաբերյալ հաշվետվություն մոդուլից:</w:t>
      </w:r>
    </w:p>
    <w:p w14:paraId="0DB15A42" w14:textId="77777777" w:rsidR="008C76E0" w:rsidRPr="003B2786" w:rsidRDefault="008C76E0" w:rsidP="008E1F21">
      <w:pPr>
        <w:pStyle w:val="ListParagraph"/>
        <w:numPr>
          <w:ilvl w:val="3"/>
          <w:numId w:val="4"/>
        </w:numPr>
        <w:tabs>
          <w:tab w:val="left" w:pos="1701"/>
        </w:tabs>
        <w:spacing w:after="160" w:line="360" w:lineRule="auto"/>
        <w:ind w:left="0" w:firstLine="567"/>
        <w:contextualSpacing w:val="0"/>
        <w:jc w:val="both"/>
        <w:rPr>
          <w:rFonts w:ascii="Sylfaen" w:hAnsi="Sylfaen"/>
          <w:sz w:val="24"/>
          <w:szCs w:val="24"/>
        </w:rPr>
      </w:pPr>
      <w:r w:rsidRPr="003B2786">
        <w:rPr>
          <w:rFonts w:ascii="Sylfaen" w:hAnsi="Sylfaen" w:cs="Arial"/>
          <w:sz w:val="24"/>
          <w:szCs w:val="24"/>
        </w:rPr>
        <w:t>Փորձագետի</w:t>
      </w:r>
      <w:r w:rsidRPr="003B2786">
        <w:rPr>
          <w:rFonts w:ascii="Sylfaen" w:hAnsi="Sylfaen"/>
          <w:sz w:val="24"/>
          <w:szCs w:val="24"/>
        </w:rPr>
        <w:t xml:space="preserve"> ընդհանուր մեկնաբանությունները՝ փոխազդեցության ասպեկտների վերաբերյալ:</w:t>
      </w:r>
    </w:p>
    <w:p w14:paraId="67E059A2"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Փոխազդեցության անցկացված հետազոտություններին վերաբերող մեկնաբանությունները:</w:t>
      </w:r>
    </w:p>
    <w:p w14:paraId="24DB9CE1"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Արդյո՞ք անցկացված հետազոտություններից համապատասխան եզրահանգումներ են արվել:</w:t>
      </w:r>
    </w:p>
    <w:p w14:paraId="181E3557"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Դեղամիջոցի համառոտ բնութագրում ներառված փոխազդեցությունների մասին տեղեկատվության վերաբերյալ մեկնաբանություններ (սահմանափակումներ, նախազգուշական միջոցներ, դեղաչափի ճշտում): Կար</w:t>
      </w:r>
      <w:r w:rsidR="00C54D75">
        <w:rPr>
          <w:rFonts w:ascii="Sylfaen" w:hAnsi="Sylfaen"/>
          <w:sz w:val="24"/>
          <w:szCs w:val="24"/>
        </w:rPr>
        <w:t>և</w:t>
      </w:r>
      <w:r w:rsidRPr="003B2786">
        <w:rPr>
          <w:rFonts w:ascii="Sylfaen" w:hAnsi="Sylfaen"/>
          <w:sz w:val="24"/>
          <w:szCs w:val="24"/>
        </w:rPr>
        <w:t xml:space="preserve">որ է հաշվի առնել ՖԿ/ՖԴ հարաբերակցությունն այլ դեղամիջոցների հետ համատեղ նշանակման դեպքում՝ սահմանափակումները, նախազգուշական միջոցները, դեղաչափի ճշտման անհրաժեշտությունը գնահատելիս: Անհրաժեշտ է հաշվի առնել խտություն-ազդեցություն </w:t>
      </w:r>
      <w:r w:rsidR="00C54D75">
        <w:rPr>
          <w:rFonts w:ascii="Sylfaen" w:hAnsi="Sylfaen"/>
          <w:sz w:val="24"/>
          <w:szCs w:val="24"/>
        </w:rPr>
        <w:t>և</w:t>
      </w:r>
      <w:r w:rsidRPr="003B2786">
        <w:rPr>
          <w:rFonts w:ascii="Sylfaen" w:hAnsi="Sylfaen"/>
          <w:sz w:val="24"/>
          <w:szCs w:val="24"/>
        </w:rPr>
        <w:t xml:space="preserve"> խտություն-անցանկալի ազդեցություն հարաբերակցությունները:</w:t>
      </w:r>
    </w:p>
    <w:p w14:paraId="59F0F6A9"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lastRenderedPageBreak/>
        <w:t>Հնարավոր այն փոխազդեցությունների հայտնաբերումը, օրինակ՝ ֆերմենտների (փոխանցողների) արգելակումը կամ ինդուկցիան (մակածումը), որոնք չեն ուսումնասիրվել լաբորատոր կամ բնական պայմաններում փոխազդեցության հետազոտություններում:</w:t>
      </w:r>
    </w:p>
    <w:p w14:paraId="0C33AA1C"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Ներծծման մակարդակում չուսումնասիրված հնարավոր փոխազդեցությունների հայտնաբերում:</w:t>
      </w:r>
    </w:p>
    <w:p w14:paraId="35119930"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2.1.11.</w:t>
      </w:r>
      <w:r w:rsidRPr="003B2786">
        <w:rPr>
          <w:rFonts w:ascii="Sylfaen" w:hAnsi="Sylfaen"/>
          <w:sz w:val="24"/>
          <w:szCs w:val="24"/>
        </w:rPr>
        <w:tab/>
        <w:t>Անվտանգության գնահատման համար նշանակալի ազդեցությունը:</w:t>
      </w:r>
    </w:p>
    <w:p w14:paraId="7F2E95EF"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Ընդհանրացրե՛ք հավասարակշիռ խտության պայմաններում թիրախային պոպուլյացիայի շրջանում, ինչպես նա</w:t>
      </w:r>
      <w:r w:rsidR="00C54D75">
        <w:rPr>
          <w:rFonts w:ascii="Sylfaen" w:hAnsi="Sylfaen"/>
          <w:sz w:val="24"/>
          <w:szCs w:val="24"/>
        </w:rPr>
        <w:t>և</w:t>
      </w:r>
      <w:r w:rsidRPr="003B2786">
        <w:rPr>
          <w:rFonts w:ascii="Sylfaen" w:hAnsi="Sylfaen"/>
          <w:sz w:val="24"/>
          <w:szCs w:val="24"/>
        </w:rPr>
        <w:t xml:space="preserve"> անվտանգության մակարդակի նախակլինիկական գնահատման մեջ հետագայում օգտագործելու համար անվտանգության բարձր մակարդակ ունեցող բնակչության որոշակի խմբերի շրջանում անվտանգության պլանավորվող մակարդակի տվյալները:</w:t>
      </w:r>
    </w:p>
    <w:p w14:paraId="393AE750"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2.1.12.</w:t>
      </w:r>
      <w:r w:rsidRPr="003B2786">
        <w:rPr>
          <w:rFonts w:ascii="Sylfaen" w:hAnsi="Sylfaen"/>
          <w:sz w:val="24"/>
          <w:szCs w:val="24"/>
        </w:rPr>
        <w:tab/>
        <w:t>Փորձագետի ընդհանուր եզրակացությունը՝ դեղակինետիկայի վերաբերյալ:</w:t>
      </w:r>
    </w:p>
    <w:p w14:paraId="23C8BAB6"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Այս կետի բովանդակությունը կարող է տեղափոխվել «Անվտանգության, որակի, արդյունավետության գնահատում» փորձագիտական մոդուլ:</w:t>
      </w:r>
    </w:p>
    <w:p w14:paraId="66AF9901"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 xml:space="preserve">Սրա հետ կապված կարող է պահանջվել առանձին </w:t>
      </w:r>
      <w:r w:rsidR="00C54D75">
        <w:rPr>
          <w:rFonts w:ascii="Sylfaen" w:hAnsi="Sylfaen"/>
          <w:sz w:val="24"/>
          <w:szCs w:val="24"/>
        </w:rPr>
        <w:t>և</w:t>
      </w:r>
      <w:r w:rsidRPr="003B2786">
        <w:rPr>
          <w:rFonts w:ascii="Sylfaen" w:hAnsi="Sylfaen"/>
          <w:sz w:val="24"/>
          <w:szCs w:val="24"/>
        </w:rPr>
        <w:t xml:space="preserve"> խորացված վերլուծության անցկացում՝ պատրաստուկի օգուտ-ռիսկ հարաբերակցությունն առավել պատշաճ գնահատելու համար համապատասխան տվյալներին փորձագետի համակողմանի հասանելիությունն ապահովելու նպատակով:</w:t>
      </w:r>
    </w:p>
    <w:p w14:paraId="798DA0BD"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Այս բաժնում գնահատման մասով փորձագետը պետք է առանձնացնի զեկույցի տարբեր բաժիններում նկարագրված կար</w:t>
      </w:r>
      <w:r w:rsidR="00C54D75">
        <w:rPr>
          <w:rFonts w:ascii="Sylfaen" w:hAnsi="Sylfaen"/>
          <w:sz w:val="24"/>
          <w:szCs w:val="24"/>
        </w:rPr>
        <w:t>և</w:t>
      </w:r>
      <w:r w:rsidRPr="003B2786">
        <w:rPr>
          <w:rFonts w:ascii="Sylfaen" w:hAnsi="Sylfaen"/>
          <w:sz w:val="24"/>
          <w:szCs w:val="24"/>
        </w:rPr>
        <w:t>որագույն հարցերը (ներծծում, բաշխում, օրգանիզմից դուրսբերում), ինչպես նա</w:t>
      </w:r>
      <w:r w:rsidR="00C54D75">
        <w:rPr>
          <w:rFonts w:ascii="Sylfaen" w:hAnsi="Sylfaen"/>
          <w:sz w:val="24"/>
          <w:szCs w:val="24"/>
        </w:rPr>
        <w:t>և</w:t>
      </w:r>
      <w:r w:rsidRPr="003B2786">
        <w:rPr>
          <w:rFonts w:ascii="Sylfaen" w:hAnsi="Sylfaen"/>
          <w:sz w:val="24"/>
          <w:szCs w:val="24"/>
        </w:rPr>
        <w:t xml:space="preserve"> եզրակացություն ներկայացնի դեղակինետիկ փաստաթղթերի որակի վերաբերյալ՝ հատուկ ուշադրություն դարձնելով հայտնաբերված թերություններին: </w:t>
      </w:r>
    </w:p>
    <w:p w14:paraId="495C69A5"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Բացի այդ, տվյալ բաժնում դեղապատրաստուկի համառոտ բնութագրի մեջ պետք է բերվի դեղակինետիկ տեղեկատվության շարադրանքի բնույթի գնահատումը, </w:t>
      </w:r>
      <w:r w:rsidR="00C54D75">
        <w:rPr>
          <w:rFonts w:ascii="Sylfaen" w:hAnsi="Sylfaen"/>
          <w:sz w:val="24"/>
          <w:szCs w:val="24"/>
        </w:rPr>
        <w:t>և</w:t>
      </w:r>
      <w:r w:rsidRPr="003B2786">
        <w:rPr>
          <w:rFonts w:ascii="Sylfaen" w:hAnsi="Sylfaen"/>
          <w:sz w:val="24"/>
          <w:szCs w:val="24"/>
        </w:rPr>
        <w:t xml:space="preserve"> հատկապես պետք է պարունակվեն պատշաճ հիմնավորմամբ հայտարարություններ՝ ներկայացված դեղապատրաստուկի համառոտ բնութագրի համապատասխան բաժիններում: Գնահատման մասով փորձագետը պետք է մեկնաբանի բավականաչափ տեղեկատվության </w:t>
      </w:r>
      <w:r w:rsidR="00C54D75">
        <w:rPr>
          <w:rFonts w:ascii="Sylfaen" w:hAnsi="Sylfaen"/>
          <w:sz w:val="24"/>
          <w:szCs w:val="24"/>
        </w:rPr>
        <w:t>և</w:t>
      </w:r>
      <w:r w:rsidRPr="003B2786">
        <w:rPr>
          <w:rFonts w:ascii="Sylfaen" w:hAnsi="Sylfaen"/>
          <w:sz w:val="24"/>
          <w:szCs w:val="24"/>
        </w:rPr>
        <w:t xml:space="preserve"> (կամ) դեղապատրաստուկի ընդհանուր բնութագրում նախազգուշական միջոցների (սահմանափակումների) վերաբերյալ տեղեկությունների առկայությունը կամ բացակայությունը պացիենտների որոշակի խմբերի վերաբերյալ տեղեկատվության (երիկամային (լյարդի) անբավարարություն, երեխաներ, տարեց մարդիկ </w:t>
      </w:r>
      <w:r w:rsidR="00C54D75">
        <w:rPr>
          <w:rFonts w:ascii="Sylfaen" w:hAnsi="Sylfaen"/>
          <w:sz w:val="24"/>
          <w:szCs w:val="24"/>
        </w:rPr>
        <w:t>և</w:t>
      </w:r>
      <w:r w:rsidRPr="003B2786">
        <w:rPr>
          <w:rFonts w:ascii="Sylfaen" w:hAnsi="Sylfaen"/>
          <w:sz w:val="24"/>
          <w:szCs w:val="24"/>
        </w:rPr>
        <w:t xml:space="preserve"> այլն) բացակայության դեպքում:</w:t>
      </w:r>
    </w:p>
    <w:p w14:paraId="794DC9DC"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Որպես այլընտրանք այս բաժնում կարելի է ուղղակի ձ</w:t>
      </w:r>
      <w:r w:rsidR="00C54D75">
        <w:rPr>
          <w:rFonts w:ascii="Sylfaen" w:hAnsi="Sylfaen"/>
          <w:sz w:val="24"/>
          <w:szCs w:val="24"/>
        </w:rPr>
        <w:t>և</w:t>
      </w:r>
      <w:r w:rsidRPr="003B2786">
        <w:rPr>
          <w:rFonts w:ascii="Sylfaen" w:hAnsi="Sylfaen"/>
          <w:sz w:val="24"/>
          <w:szCs w:val="24"/>
        </w:rPr>
        <w:t xml:space="preserve">ակերպել հիմնական եզրահանգումները, </w:t>
      </w:r>
      <w:r w:rsidR="00C54D75">
        <w:rPr>
          <w:rFonts w:ascii="Sylfaen" w:hAnsi="Sylfaen"/>
          <w:sz w:val="24"/>
          <w:szCs w:val="24"/>
        </w:rPr>
        <w:t>և</w:t>
      </w:r>
      <w:r w:rsidRPr="003B2786">
        <w:rPr>
          <w:rFonts w:ascii="Sylfaen" w:hAnsi="Sylfaen"/>
          <w:sz w:val="24"/>
          <w:szCs w:val="24"/>
        </w:rPr>
        <w:t xml:space="preserve"> այդ դեպքում «Ամփոփիչ մոդուլի» տեքստն անհրաժեշտ կլինի մշակել առանձին:</w:t>
      </w:r>
    </w:p>
    <w:p w14:paraId="384604D8" w14:textId="77777777" w:rsidR="008C76E0" w:rsidRPr="003B2786" w:rsidRDefault="008C76E0" w:rsidP="008E1F21">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Ներկայացված դոսյեի մեջ առանձնացրե՛ք «Կլինիկական ամփոփում» բաժնի բովանդակության հետ համապատասխանության (անհամապատասխանության) ցանկացած ոլորտ:</w:t>
      </w:r>
    </w:p>
    <w:p w14:paraId="71349920" w14:textId="77777777" w:rsidR="008C76E0" w:rsidRPr="003B2786" w:rsidRDefault="008C76E0" w:rsidP="008E1F21">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2.2.</w:t>
      </w:r>
      <w:r w:rsidRPr="003B2786">
        <w:rPr>
          <w:rFonts w:ascii="Sylfaen" w:hAnsi="Sylfaen"/>
          <w:sz w:val="24"/>
          <w:szCs w:val="24"/>
        </w:rPr>
        <w:tab/>
        <w:t>Դեղադինամիկան:</w:t>
      </w:r>
    </w:p>
    <w:p w14:paraId="09E3457B"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2.2.1.</w:t>
      </w:r>
      <w:r w:rsidRPr="003B2786">
        <w:rPr>
          <w:rFonts w:ascii="Sylfaen" w:hAnsi="Sylfaen"/>
          <w:sz w:val="24"/>
          <w:szCs w:val="24"/>
        </w:rPr>
        <w:tab/>
        <w:t>Ներածությունը:</w:t>
      </w:r>
    </w:p>
    <w:p w14:paraId="6EED460A"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Համառոտ տեղեկություններ՝ անցկացված հետազոտությունների վերաբերյալ, առողջ կամավորների (պացիենտների) բնութագիրը, հետազոտության կառուցվածքը </w:t>
      </w:r>
      <w:r w:rsidR="00C54D75">
        <w:rPr>
          <w:rFonts w:ascii="Sylfaen" w:hAnsi="Sylfaen"/>
          <w:sz w:val="24"/>
          <w:szCs w:val="24"/>
        </w:rPr>
        <w:t>և</w:t>
      </w:r>
      <w:r w:rsidRPr="003B2786">
        <w:rPr>
          <w:rFonts w:ascii="Sylfaen" w:hAnsi="Sylfaen"/>
          <w:sz w:val="24"/>
          <w:szCs w:val="24"/>
        </w:rPr>
        <w:t xml:space="preserve"> կլինիկական արդյունավետության կետերի վերաբերյալ տեղեկություններ: </w:t>
      </w:r>
    </w:p>
    <w:p w14:paraId="1FA4DCFB"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pacing w:val="6"/>
          <w:sz w:val="24"/>
          <w:szCs w:val="24"/>
        </w:rPr>
        <w:t xml:space="preserve">Կենսահամանման (կենսանման) պատրաստուկների մասով պետք է կատարել հետազոտվող </w:t>
      </w:r>
      <w:r w:rsidR="00C54D75">
        <w:rPr>
          <w:rFonts w:ascii="Sylfaen" w:hAnsi="Sylfaen"/>
          <w:spacing w:val="6"/>
          <w:sz w:val="24"/>
          <w:szCs w:val="24"/>
        </w:rPr>
        <w:t>և</w:t>
      </w:r>
      <w:r w:rsidRPr="003B2786">
        <w:rPr>
          <w:rFonts w:ascii="Sylfaen" w:hAnsi="Sylfaen"/>
          <w:spacing w:val="6"/>
          <w:sz w:val="24"/>
          <w:szCs w:val="24"/>
        </w:rPr>
        <w:t xml:space="preserve"> չափանմուշային պատրաստուկի դեղադինամիկ ազդեցության համեմատական գնահատում բնակչության այն խմբերի շրջանում, որոնց բնութագրերը թույլ են տալիս լավագույնս հայտնաբերել </w:t>
      </w:r>
      <w:r w:rsidRPr="003B2786">
        <w:rPr>
          <w:rFonts w:ascii="Sylfaen" w:hAnsi="Sylfaen"/>
          <w:spacing w:val="6"/>
          <w:sz w:val="24"/>
          <w:szCs w:val="24"/>
        </w:rPr>
        <w:lastRenderedPageBreak/>
        <w:t xml:space="preserve">տարբերությունները: Անհրաժեշտ է բերել հետազոտությունների կառուցվածքի </w:t>
      </w:r>
      <w:r w:rsidR="00C54D75">
        <w:rPr>
          <w:rFonts w:ascii="Sylfaen" w:hAnsi="Sylfaen"/>
          <w:spacing w:val="6"/>
          <w:sz w:val="24"/>
          <w:szCs w:val="24"/>
        </w:rPr>
        <w:t>և</w:t>
      </w:r>
      <w:r w:rsidRPr="003B2786">
        <w:rPr>
          <w:rFonts w:ascii="Sylfaen" w:hAnsi="Sylfaen"/>
          <w:spacing w:val="6"/>
          <w:sz w:val="24"/>
          <w:szCs w:val="24"/>
        </w:rPr>
        <w:t xml:space="preserve"> տ</w:t>
      </w:r>
      <w:r w:rsidR="00C54D75">
        <w:rPr>
          <w:rFonts w:ascii="Sylfaen" w:hAnsi="Sylfaen"/>
          <w:spacing w:val="6"/>
          <w:sz w:val="24"/>
          <w:szCs w:val="24"/>
        </w:rPr>
        <w:t>և</w:t>
      </w:r>
      <w:r w:rsidRPr="003B2786">
        <w:rPr>
          <w:rFonts w:ascii="Sylfaen" w:hAnsi="Sylfaen"/>
          <w:spacing w:val="6"/>
          <w:sz w:val="24"/>
          <w:szCs w:val="24"/>
        </w:rPr>
        <w:t xml:space="preserve">ողության հիմնավորումը: ՖԿ/ՖԴ-ի համակցված հետազոտությունները կարող են լինել օգտագործված միջոցի քանակի </w:t>
      </w:r>
      <w:r w:rsidR="00C54D75">
        <w:rPr>
          <w:rFonts w:ascii="Sylfaen" w:hAnsi="Sylfaen"/>
          <w:spacing w:val="6"/>
          <w:sz w:val="24"/>
          <w:szCs w:val="24"/>
        </w:rPr>
        <w:t>և</w:t>
      </w:r>
      <w:r w:rsidRPr="003B2786">
        <w:rPr>
          <w:rFonts w:ascii="Sylfaen" w:hAnsi="Sylfaen"/>
          <w:spacing w:val="6"/>
          <w:sz w:val="24"/>
          <w:szCs w:val="24"/>
        </w:rPr>
        <w:t xml:space="preserve"> ազդեցության</w:t>
      </w:r>
      <w:r w:rsidRPr="003B2786">
        <w:rPr>
          <w:rFonts w:ascii="Sylfaen" w:hAnsi="Sylfaen"/>
          <w:sz w:val="24"/>
          <w:szCs w:val="24"/>
        </w:rPr>
        <w:t xml:space="preserve"> միջ</w:t>
      </w:r>
      <w:r w:rsidR="00C54D75">
        <w:rPr>
          <w:rFonts w:ascii="Sylfaen" w:hAnsi="Sylfaen"/>
          <w:sz w:val="24"/>
          <w:szCs w:val="24"/>
        </w:rPr>
        <w:t>և</w:t>
      </w:r>
      <w:r w:rsidRPr="003B2786">
        <w:rPr>
          <w:rFonts w:ascii="Sylfaen" w:hAnsi="Sylfaen"/>
          <w:sz w:val="24"/>
          <w:szCs w:val="24"/>
        </w:rPr>
        <w:t xml:space="preserve"> փոխկապակցվածության վերաբերյալ անհրաժեշտ տեղեկատվության աղբյուր: Ընտրված դեղաչափի ցուցանիշները պետք է արտացոլվեն «դեղաչափ-ազդեցության» կորի ուռուցիկ մասում: Կարող են օգտակար լինել 1-ից ավելի դեղաչափի օգտագործմամբ հետազոտությունների տվյալները: Եթե ՖԿ/ՖԴ-ի հետազոտություններն օգտագործվում են կենսաբանական դեղապատրաստուկների նմանությունը ապացուցելու նպատակով, ապա անհրաժեշտ է պարտադիր հետազոտել դեղաչափերի թույլատրելի տիրույթը, որպեսզի ցույց տրվի անալիզի զգայունությունը: ՖԿ-ի </w:t>
      </w:r>
      <w:r w:rsidR="00C54D75">
        <w:rPr>
          <w:rFonts w:ascii="Sylfaen" w:hAnsi="Sylfaen"/>
          <w:sz w:val="24"/>
          <w:szCs w:val="24"/>
        </w:rPr>
        <w:t>և</w:t>
      </w:r>
      <w:r w:rsidRPr="003B2786">
        <w:rPr>
          <w:rFonts w:ascii="Sylfaen" w:hAnsi="Sylfaen"/>
          <w:sz w:val="24"/>
          <w:szCs w:val="24"/>
        </w:rPr>
        <w:t xml:space="preserve"> ՖԴ-ի պարամետրերի համարժեքությունը որոշող սահմանները պետք է որոշվեն </w:t>
      </w:r>
      <w:r w:rsidR="00C54D75">
        <w:rPr>
          <w:rFonts w:ascii="Sylfaen" w:hAnsi="Sylfaen"/>
          <w:sz w:val="24"/>
          <w:szCs w:val="24"/>
        </w:rPr>
        <w:t>և</w:t>
      </w:r>
      <w:r w:rsidRPr="003B2786">
        <w:rPr>
          <w:rFonts w:ascii="Sylfaen" w:hAnsi="Sylfaen"/>
          <w:sz w:val="24"/>
          <w:szCs w:val="24"/>
        </w:rPr>
        <w:t xml:space="preserve"> հիմնավորվեն նախապես:</w:t>
      </w:r>
    </w:p>
    <w:p w14:paraId="12BE39AA" w14:textId="77777777" w:rsidR="008C76E0" w:rsidRPr="003B2786" w:rsidRDefault="008C76E0" w:rsidP="008E1F21">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2.2.2.</w:t>
      </w:r>
      <w:r w:rsidRPr="003B2786">
        <w:rPr>
          <w:rFonts w:ascii="Sylfaen" w:hAnsi="Sylfaen"/>
          <w:sz w:val="24"/>
          <w:szCs w:val="24"/>
        </w:rPr>
        <w:tab/>
        <w:t>Ազդեցության մեխանիզմը:</w:t>
      </w:r>
    </w:p>
    <w:p w14:paraId="26B6F63E"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Կարելի է նկարագրել դեղադինամիկ ազդեցության ռեժիմը կլինիկական տեսակետից ցանկալի առաջնային ֆիզիոլոգիական (թերապ</w:t>
      </w:r>
      <w:r w:rsidR="00C54D75">
        <w:rPr>
          <w:rFonts w:ascii="Sylfaen" w:hAnsi="Sylfaen"/>
          <w:sz w:val="24"/>
          <w:szCs w:val="24"/>
        </w:rPr>
        <w:t>և</w:t>
      </w:r>
      <w:r w:rsidRPr="003B2786">
        <w:rPr>
          <w:rFonts w:ascii="Sylfaen" w:hAnsi="Sylfaen"/>
          <w:sz w:val="24"/>
          <w:szCs w:val="24"/>
        </w:rPr>
        <w:t>տիկ) ազդեցությունների նկատմամբ (առաջնային դեղադինամիկ ազդեցություն): Տվյալ բաժնում կամ ստորին բաժիններում նույնպես կարելի է մեկնաբանել ՖԴ-ի ընտրված կենսանշիչների (բիոմարկերների) արդիականությունը:</w:t>
      </w:r>
    </w:p>
    <w:p w14:paraId="541166F0"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Բացի այդ, հաշվի առնելով հետազոտվող նյութի բնույթը՝ անհրաժեշտ է մեկնաբանել պատրաստուկի հնարավոր երկրորդային դեղադինամիկ ազդեցությունները:</w:t>
      </w:r>
    </w:p>
    <w:p w14:paraId="3AA6EACA" w14:textId="77777777" w:rsidR="008C76E0" w:rsidRPr="003B2786" w:rsidRDefault="008C76E0" w:rsidP="008E1F21">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2.2.3.</w:t>
      </w:r>
      <w:r w:rsidRPr="003B2786">
        <w:rPr>
          <w:rFonts w:ascii="Sylfaen" w:hAnsi="Sylfaen"/>
          <w:sz w:val="24"/>
          <w:szCs w:val="24"/>
        </w:rPr>
        <w:tab/>
        <w:t>Առաջնային դեղաբանությունը:</w:t>
      </w:r>
    </w:p>
    <w:p w14:paraId="308A2CE9"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Անհրաժեշտ է անցկացնել օգտագործվող կենսանշիչների արդիականության կրիտիկական գնահատում:</w:t>
      </w:r>
    </w:p>
    <w:p w14:paraId="3FE9C534"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Հարկավոր է նա</w:t>
      </w:r>
      <w:r w:rsidR="00C54D75">
        <w:rPr>
          <w:rFonts w:ascii="Sylfaen" w:hAnsi="Sylfaen"/>
          <w:sz w:val="24"/>
          <w:szCs w:val="24"/>
        </w:rPr>
        <w:t>և</w:t>
      </w:r>
      <w:r w:rsidRPr="003B2786">
        <w:rPr>
          <w:rFonts w:ascii="Sylfaen" w:hAnsi="Sylfaen"/>
          <w:sz w:val="24"/>
          <w:szCs w:val="24"/>
        </w:rPr>
        <w:t xml:space="preserve"> բերել ազդեցության մեխանիզմի, «դեղաչափ-ազդեցություն» կախվածության, այդ թվում՝ պատրաստուկի ազդեցության ժամանակահատվածի </w:t>
      </w:r>
      <w:r w:rsidRPr="003B2786">
        <w:rPr>
          <w:rFonts w:ascii="Sylfaen" w:hAnsi="Sylfaen"/>
          <w:sz w:val="24"/>
          <w:szCs w:val="24"/>
        </w:rPr>
        <w:lastRenderedPageBreak/>
        <w:t>նկարագրությունը, ինչպես նա</w:t>
      </w:r>
      <w:r w:rsidR="00C54D75">
        <w:rPr>
          <w:rFonts w:ascii="Sylfaen" w:hAnsi="Sylfaen"/>
          <w:sz w:val="24"/>
          <w:szCs w:val="24"/>
        </w:rPr>
        <w:t>և</w:t>
      </w:r>
      <w:r w:rsidRPr="003B2786">
        <w:rPr>
          <w:rFonts w:ascii="Sylfaen" w:hAnsi="Sylfaen"/>
          <w:sz w:val="24"/>
          <w:szCs w:val="24"/>
        </w:rPr>
        <w:t xml:space="preserve"> դոզավորման ռեժիմի հիմնավորումը:</w:t>
      </w:r>
    </w:p>
    <w:p w14:paraId="063F3E93"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Հատկապես կար</w:t>
      </w:r>
      <w:r w:rsidR="00C54D75">
        <w:rPr>
          <w:rFonts w:ascii="Sylfaen" w:hAnsi="Sylfaen"/>
          <w:sz w:val="24"/>
          <w:szCs w:val="24"/>
        </w:rPr>
        <w:t>և</w:t>
      </w:r>
      <w:r w:rsidRPr="003B2786">
        <w:rPr>
          <w:rFonts w:ascii="Sylfaen" w:hAnsi="Sylfaen"/>
          <w:sz w:val="24"/>
          <w:szCs w:val="24"/>
        </w:rPr>
        <w:t>որ է բերել դեղաչափերի որոշման մասով սկզբնական հետազոտությունների նկարագրությունը:</w:t>
      </w:r>
    </w:p>
    <w:p w14:paraId="43504958" w14:textId="77777777" w:rsidR="008C76E0" w:rsidRPr="003B2786" w:rsidRDefault="008C76E0" w:rsidP="008E1F21">
      <w:pPr>
        <w:spacing w:after="160" w:line="360" w:lineRule="auto"/>
        <w:ind w:firstLine="567"/>
        <w:jc w:val="both"/>
        <w:rPr>
          <w:rFonts w:ascii="Sylfaen" w:hAnsi="Sylfaen"/>
          <w:sz w:val="24"/>
          <w:szCs w:val="24"/>
        </w:rPr>
      </w:pPr>
      <w:r w:rsidRPr="003B2786">
        <w:rPr>
          <w:rFonts w:ascii="Sylfaen" w:hAnsi="Sylfaen"/>
          <w:sz w:val="24"/>
          <w:szCs w:val="24"/>
        </w:rPr>
        <w:t xml:space="preserve">Վերոնշյալ տեղեկատվության շարադրման նպատակը դոզավորումը բարձրացնելու դեպքում, արդյունավետության </w:t>
      </w:r>
      <w:r w:rsidR="00C54D75">
        <w:rPr>
          <w:rFonts w:ascii="Sylfaen" w:hAnsi="Sylfaen"/>
          <w:sz w:val="24"/>
          <w:szCs w:val="24"/>
        </w:rPr>
        <w:t>և</w:t>
      </w:r>
      <w:r w:rsidRPr="003B2786">
        <w:rPr>
          <w:rFonts w:ascii="Sylfaen" w:hAnsi="Sylfaen"/>
          <w:sz w:val="24"/>
          <w:szCs w:val="24"/>
        </w:rPr>
        <w:t xml:space="preserve"> տանելիության պարամետրերի հիման վրա, «դեղաչափ-ազդեցություն» կախվածությունը հաստատող հետազոտությունների համար դեղաչափի ընտրության նկարագրությունն է: Նպատակը թերապ</w:t>
      </w:r>
      <w:r w:rsidR="00C54D75">
        <w:rPr>
          <w:rFonts w:ascii="Sylfaen" w:hAnsi="Sylfaen"/>
          <w:sz w:val="24"/>
          <w:szCs w:val="24"/>
        </w:rPr>
        <w:t>և</w:t>
      </w:r>
      <w:r w:rsidRPr="003B2786">
        <w:rPr>
          <w:rFonts w:ascii="Sylfaen" w:hAnsi="Sylfaen"/>
          <w:sz w:val="24"/>
          <w:szCs w:val="24"/>
        </w:rPr>
        <w:t xml:space="preserve">տիկ տիրույթի նախնական ուսումնասիրությունը </w:t>
      </w:r>
      <w:r w:rsidR="00C54D75">
        <w:rPr>
          <w:rFonts w:ascii="Sylfaen" w:hAnsi="Sylfaen"/>
          <w:sz w:val="24"/>
          <w:szCs w:val="24"/>
        </w:rPr>
        <w:t>և</w:t>
      </w:r>
      <w:r w:rsidRPr="003B2786">
        <w:rPr>
          <w:rFonts w:ascii="Sylfaen" w:hAnsi="Sylfaen"/>
          <w:sz w:val="24"/>
          <w:szCs w:val="24"/>
        </w:rPr>
        <w:t xml:space="preserve"> պատրաստուկի դեղաչափի նկատմամբ ռեակցիայի որոշումն է:</w:t>
      </w:r>
    </w:p>
    <w:p w14:paraId="7A1A9ACB"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Նկարագրե՛ք պատրաստուկի նկատմամբ ՖԴ ռեակցիաների որ</w:t>
      </w:r>
      <w:r w:rsidR="00C54D75">
        <w:rPr>
          <w:rFonts w:ascii="Sylfaen" w:hAnsi="Sylfaen"/>
          <w:sz w:val="24"/>
          <w:szCs w:val="24"/>
        </w:rPr>
        <w:t>և</w:t>
      </w:r>
      <w:r w:rsidRPr="003B2786">
        <w:rPr>
          <w:rFonts w:ascii="Sylfaen" w:hAnsi="Sylfaen"/>
          <w:sz w:val="24"/>
          <w:szCs w:val="24"/>
        </w:rPr>
        <w:t>է գենետիկ տարբերություն, ինչպես նա</w:t>
      </w:r>
      <w:r w:rsidR="00C54D75">
        <w:rPr>
          <w:rFonts w:ascii="Sylfaen" w:hAnsi="Sylfaen"/>
          <w:sz w:val="24"/>
          <w:szCs w:val="24"/>
        </w:rPr>
        <w:t>և</w:t>
      </w:r>
      <w:r w:rsidRPr="003B2786">
        <w:rPr>
          <w:rFonts w:ascii="Sylfaen" w:hAnsi="Sylfaen"/>
          <w:sz w:val="24"/>
          <w:szCs w:val="24"/>
        </w:rPr>
        <w:t xml:space="preserve"> երեխաների շրջանում հնարավոր տարբերությունները (օրինակ՝ հասունացման հետ</w:t>
      </w:r>
      <w:r w:rsidR="00C54D75">
        <w:rPr>
          <w:rFonts w:ascii="Sylfaen" w:hAnsi="Sylfaen"/>
          <w:sz w:val="24"/>
          <w:szCs w:val="24"/>
        </w:rPr>
        <w:t>և</w:t>
      </w:r>
      <w:r w:rsidRPr="003B2786">
        <w:rPr>
          <w:rFonts w:ascii="Sylfaen" w:hAnsi="Sylfaen"/>
          <w:sz w:val="24"/>
          <w:szCs w:val="24"/>
        </w:rPr>
        <w:t>անքով):</w:t>
      </w:r>
    </w:p>
    <w:p w14:paraId="69B1582D" w14:textId="77777777" w:rsidR="008C76E0" w:rsidRPr="003B2786" w:rsidRDefault="008C76E0" w:rsidP="008E1F21">
      <w:pPr>
        <w:spacing w:after="160" w:line="360" w:lineRule="auto"/>
        <w:ind w:right="-1" w:firstLine="567"/>
        <w:jc w:val="both"/>
        <w:rPr>
          <w:rFonts w:ascii="Sylfaen" w:hAnsi="Sylfaen"/>
          <w:sz w:val="24"/>
          <w:szCs w:val="24"/>
        </w:rPr>
      </w:pPr>
      <w:r w:rsidRPr="003B2786">
        <w:rPr>
          <w:rFonts w:ascii="Sylfaen" w:hAnsi="Sylfaen"/>
          <w:sz w:val="24"/>
          <w:szCs w:val="24"/>
        </w:rPr>
        <w:t xml:space="preserve">Տվյալ բաժնում կարող են նկարագրվել հատուկ հետազոտությունների (օրինակ՝ իմունոգենության հետազոտությունների </w:t>
      </w:r>
      <w:r w:rsidR="00C54D75">
        <w:rPr>
          <w:rFonts w:ascii="Sylfaen" w:hAnsi="Sylfaen"/>
          <w:sz w:val="24"/>
          <w:szCs w:val="24"/>
        </w:rPr>
        <w:t>և</w:t>
      </w:r>
      <w:r w:rsidRPr="003B2786">
        <w:rPr>
          <w:rFonts w:ascii="Sylfaen" w:hAnsi="Sylfaen"/>
          <w:sz w:val="24"/>
          <w:szCs w:val="24"/>
        </w:rPr>
        <w:t xml:space="preserve"> մանրէաբանական հետազոտությունների) արդյունքները:</w:t>
      </w:r>
    </w:p>
    <w:p w14:paraId="5390AF0E"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2.2.4.</w:t>
      </w:r>
      <w:r w:rsidRPr="003B2786">
        <w:rPr>
          <w:rFonts w:ascii="Sylfaen" w:hAnsi="Sylfaen"/>
          <w:sz w:val="24"/>
          <w:szCs w:val="24"/>
        </w:rPr>
        <w:tab/>
        <w:t>Երկրորդային դեղաբանությունը:</w:t>
      </w:r>
    </w:p>
    <w:p w14:paraId="70989DD3" w14:textId="77777777" w:rsidR="008C76E0" w:rsidRPr="003B2786" w:rsidRDefault="008C76E0" w:rsidP="00262653">
      <w:pPr>
        <w:spacing w:after="160" w:line="384" w:lineRule="auto"/>
        <w:ind w:firstLine="567"/>
        <w:jc w:val="both"/>
        <w:rPr>
          <w:rFonts w:ascii="Sylfaen" w:hAnsi="Sylfaen"/>
          <w:sz w:val="24"/>
          <w:szCs w:val="24"/>
        </w:rPr>
      </w:pPr>
      <w:r w:rsidRPr="003B2786">
        <w:rPr>
          <w:rFonts w:ascii="Sylfaen" w:hAnsi="Sylfaen"/>
          <w:sz w:val="24"/>
          <w:szCs w:val="24"/>
        </w:rPr>
        <w:t xml:space="preserve">Ուսումնասիրե՛ք երկրորդային դեղաբանության ցուցանիշները (կիրառման ցուցումների մասով): Կլինիկական արդյունավետության դինամիկ վերջնակետերով համապատասխան հետազոտությունների անցկացման շրջանակներում առողջ կամավորների շրջանում երկրորդային դեղաբանության նկատմամբ տանելիության ընդհանուր բնութագրերը, օրինակ՝ զարկերակային ճնշումը 24-ժամյա ժամանակահատվածում, կենսաքիմիական ցուցանիշները, վիրուսային ծանրաբեռնվածության մակարդակը, ԷՍԳ-ն, ԷԷԳ-ն </w:t>
      </w:r>
      <w:r w:rsidR="00C54D75">
        <w:rPr>
          <w:rFonts w:ascii="Sylfaen" w:hAnsi="Sylfaen"/>
          <w:sz w:val="24"/>
          <w:szCs w:val="24"/>
        </w:rPr>
        <w:t>և</w:t>
      </w:r>
      <w:r w:rsidRPr="003B2786">
        <w:rPr>
          <w:rFonts w:ascii="Sylfaen" w:hAnsi="Sylfaen"/>
          <w:sz w:val="24"/>
          <w:szCs w:val="24"/>
        </w:rPr>
        <w:t xml:space="preserve"> այլն: </w:t>
      </w:r>
    </w:p>
    <w:p w14:paraId="29EB9D84" w14:textId="77777777" w:rsidR="008C76E0" w:rsidRPr="003B2786" w:rsidRDefault="008C76E0" w:rsidP="00262653">
      <w:pPr>
        <w:tabs>
          <w:tab w:val="left" w:pos="1701"/>
        </w:tabs>
        <w:spacing w:after="160" w:line="384" w:lineRule="auto"/>
        <w:ind w:right="-1" w:firstLine="567"/>
        <w:jc w:val="both"/>
        <w:rPr>
          <w:rFonts w:ascii="Sylfaen" w:hAnsi="Sylfaen"/>
          <w:sz w:val="24"/>
          <w:szCs w:val="24"/>
        </w:rPr>
      </w:pPr>
      <w:r w:rsidRPr="003B2786">
        <w:rPr>
          <w:rFonts w:ascii="Sylfaen" w:hAnsi="Sylfaen"/>
          <w:sz w:val="24"/>
          <w:szCs w:val="24"/>
        </w:rPr>
        <w:t>2.2.5.</w:t>
      </w:r>
      <w:r w:rsidRPr="003B2786">
        <w:rPr>
          <w:rFonts w:ascii="Sylfaen" w:hAnsi="Sylfaen"/>
          <w:sz w:val="24"/>
          <w:szCs w:val="24"/>
        </w:rPr>
        <w:tab/>
        <w:t xml:space="preserve">Պլազմայում խտության </w:t>
      </w:r>
      <w:r w:rsidR="00C54D75">
        <w:rPr>
          <w:rFonts w:ascii="Sylfaen" w:hAnsi="Sylfaen"/>
          <w:sz w:val="24"/>
          <w:szCs w:val="24"/>
        </w:rPr>
        <w:t>և</w:t>
      </w:r>
      <w:r w:rsidRPr="003B2786">
        <w:rPr>
          <w:rFonts w:ascii="Sylfaen" w:hAnsi="Sylfaen"/>
          <w:sz w:val="24"/>
          <w:szCs w:val="24"/>
        </w:rPr>
        <w:t xml:space="preserve"> ազդեցության միջ</w:t>
      </w:r>
      <w:r w:rsidR="00C54D75">
        <w:rPr>
          <w:rFonts w:ascii="Sylfaen" w:hAnsi="Sylfaen"/>
          <w:sz w:val="24"/>
          <w:szCs w:val="24"/>
        </w:rPr>
        <w:t>և</w:t>
      </w:r>
      <w:r w:rsidRPr="003B2786">
        <w:rPr>
          <w:rFonts w:ascii="Sylfaen" w:hAnsi="Sylfaen"/>
          <w:sz w:val="24"/>
          <w:szCs w:val="24"/>
        </w:rPr>
        <w:t xml:space="preserve"> փոխկապակցվածությունը:</w:t>
      </w:r>
    </w:p>
    <w:p w14:paraId="4F06A027" w14:textId="77777777" w:rsidR="008C76E0" w:rsidRPr="003B2786" w:rsidRDefault="008C76E0" w:rsidP="00262653">
      <w:pPr>
        <w:spacing w:after="160" w:line="384" w:lineRule="auto"/>
        <w:ind w:right="-1" w:firstLine="567"/>
        <w:jc w:val="both"/>
        <w:rPr>
          <w:rFonts w:ascii="Sylfaen" w:hAnsi="Sylfaen"/>
          <w:sz w:val="24"/>
          <w:szCs w:val="24"/>
        </w:rPr>
      </w:pPr>
      <w:r w:rsidRPr="003B2786">
        <w:rPr>
          <w:rFonts w:ascii="Sylfaen" w:hAnsi="Sylfaen"/>
          <w:sz w:val="24"/>
          <w:szCs w:val="24"/>
        </w:rPr>
        <w:t xml:space="preserve">Գրանցման դոսյեի 5.3.4 մոդուլից ստացված տվյալները առողջ կամավորների </w:t>
      </w:r>
      <w:r w:rsidR="00C54D75">
        <w:rPr>
          <w:rFonts w:ascii="Sylfaen" w:hAnsi="Sylfaen"/>
          <w:sz w:val="24"/>
          <w:szCs w:val="24"/>
        </w:rPr>
        <w:lastRenderedPageBreak/>
        <w:t>և</w:t>
      </w:r>
      <w:r w:rsidRPr="003B2786">
        <w:rPr>
          <w:rFonts w:ascii="Sylfaen" w:hAnsi="Sylfaen"/>
          <w:sz w:val="24"/>
          <w:szCs w:val="24"/>
        </w:rPr>
        <w:t xml:space="preserve"> պացիենտների շրջանում ՖԿ/ՖԴ-ի վերաբերյալ:</w:t>
      </w:r>
    </w:p>
    <w:p w14:paraId="4C3AD1C8"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«Խտությունը պլազմայում-ազդեցություն» հարաբերակցության ցուցանիշը՝ բաժանած «դեղաչափ-ազդեցություն» հարաբերակցության ցուցանիշի </w:t>
      </w:r>
      <w:r w:rsidR="00C54D75">
        <w:rPr>
          <w:rFonts w:ascii="Sylfaen" w:hAnsi="Sylfaen"/>
          <w:sz w:val="24"/>
          <w:szCs w:val="24"/>
        </w:rPr>
        <w:t>և</w:t>
      </w:r>
      <w:r w:rsidRPr="003B2786">
        <w:rPr>
          <w:rFonts w:ascii="Sylfaen" w:hAnsi="Sylfaen"/>
          <w:sz w:val="24"/>
          <w:szCs w:val="24"/>
        </w:rPr>
        <w:t xml:space="preserve"> «ազդեցություն-խտություն» հարաբերակցության ցուցանիշի՝ հատուկ ուշադրություն դարձնելով ազդեցության սկզբին </w:t>
      </w:r>
      <w:r w:rsidR="00C54D75">
        <w:rPr>
          <w:rFonts w:ascii="Sylfaen" w:hAnsi="Sylfaen"/>
          <w:sz w:val="24"/>
          <w:szCs w:val="24"/>
        </w:rPr>
        <w:t>և</w:t>
      </w:r>
      <w:r w:rsidRPr="003B2786">
        <w:rPr>
          <w:rFonts w:ascii="Sylfaen" w:hAnsi="Sylfaen"/>
          <w:sz w:val="24"/>
          <w:szCs w:val="24"/>
        </w:rPr>
        <w:t xml:space="preserve"> ավարտին:</w:t>
      </w:r>
    </w:p>
    <w:p w14:paraId="078EC8CA" w14:textId="77777777" w:rsidR="008C76E0" w:rsidRPr="003B2786" w:rsidRDefault="008C76E0" w:rsidP="00262653">
      <w:pPr>
        <w:spacing w:after="160" w:line="336" w:lineRule="auto"/>
        <w:ind w:firstLine="567"/>
        <w:jc w:val="both"/>
        <w:rPr>
          <w:rFonts w:ascii="Sylfaen" w:hAnsi="Sylfaen"/>
          <w:sz w:val="24"/>
          <w:szCs w:val="24"/>
        </w:rPr>
      </w:pPr>
      <w:r w:rsidRPr="003B2786">
        <w:rPr>
          <w:rFonts w:ascii="Sylfaen" w:hAnsi="Sylfaen"/>
          <w:sz w:val="24"/>
          <w:szCs w:val="24"/>
        </w:rPr>
        <w:t>Առկայության դեպքում ՖԴ-ի հետ առնչություն ունեցող ՖԿ-ի տվյալները նույնպես կարող են նկարագրվել այստեղ՝ ՖԿ/ՖԴ-ում փոփոխությունների աղբյուրների վերաբերյալ տեղեկատվություն հաղորդելու նպատակով:</w:t>
      </w:r>
    </w:p>
    <w:p w14:paraId="0BB9ACC7" w14:textId="77777777" w:rsidR="008C76E0" w:rsidRPr="003B2786" w:rsidRDefault="008C76E0" w:rsidP="00262653">
      <w:pPr>
        <w:spacing w:after="160" w:line="336" w:lineRule="auto"/>
        <w:ind w:firstLine="567"/>
        <w:jc w:val="both"/>
        <w:rPr>
          <w:rFonts w:ascii="Sylfaen" w:hAnsi="Sylfaen"/>
          <w:sz w:val="24"/>
          <w:szCs w:val="24"/>
        </w:rPr>
      </w:pPr>
      <w:r w:rsidRPr="003B2786">
        <w:rPr>
          <w:rFonts w:ascii="Sylfaen" w:hAnsi="Sylfaen"/>
          <w:sz w:val="24"/>
          <w:szCs w:val="24"/>
        </w:rPr>
        <w:t xml:space="preserve">Դեղաչափի (խտության, ազդեցության) հարաբերակցության ցուցանիշները բնակչության դեղակինետիկ սքրինինգից հետո, օրինակ, նույնպես կարող են նկարագրվել «Կլինիկական արդյունավետություն, «դեղաչափ-ազդեցություն» կախվածության հետազոտություններ» բաժնում, եթե արդյունքները հիմնավորում են արդյունավետության </w:t>
      </w:r>
      <w:r w:rsidR="00C54D75">
        <w:rPr>
          <w:rFonts w:ascii="Sylfaen" w:hAnsi="Sylfaen"/>
          <w:sz w:val="24"/>
          <w:szCs w:val="24"/>
        </w:rPr>
        <w:t>և</w:t>
      </w:r>
      <w:r w:rsidRPr="003B2786">
        <w:rPr>
          <w:rFonts w:ascii="Sylfaen" w:hAnsi="Sylfaen"/>
          <w:sz w:val="24"/>
          <w:szCs w:val="24"/>
        </w:rPr>
        <w:t xml:space="preserve"> անվտանգության վերաբերյալ հայտարարությունը:</w:t>
      </w:r>
    </w:p>
    <w:p w14:paraId="6D25F507" w14:textId="77777777" w:rsidR="008C76E0" w:rsidRPr="003B2786" w:rsidRDefault="008C76E0" w:rsidP="00262653">
      <w:pPr>
        <w:spacing w:after="160" w:line="336" w:lineRule="auto"/>
        <w:ind w:firstLine="567"/>
        <w:jc w:val="both"/>
        <w:rPr>
          <w:rFonts w:ascii="Sylfaen" w:hAnsi="Sylfaen"/>
          <w:sz w:val="24"/>
          <w:szCs w:val="24"/>
        </w:rPr>
      </w:pPr>
      <w:r w:rsidRPr="003B2786">
        <w:rPr>
          <w:rFonts w:ascii="Sylfaen" w:hAnsi="Sylfaen"/>
          <w:sz w:val="24"/>
          <w:szCs w:val="24"/>
        </w:rPr>
        <w:t xml:space="preserve">Սկզբունքորեն տվյալ բաժնում </w:t>
      </w:r>
      <w:r w:rsidR="00C54D75">
        <w:rPr>
          <w:rFonts w:ascii="Sylfaen" w:hAnsi="Sylfaen"/>
          <w:sz w:val="24"/>
          <w:szCs w:val="24"/>
        </w:rPr>
        <w:t>և</w:t>
      </w:r>
      <w:r w:rsidRPr="003B2786">
        <w:rPr>
          <w:rFonts w:ascii="Sylfaen" w:hAnsi="Sylfaen"/>
          <w:sz w:val="24"/>
          <w:szCs w:val="24"/>
        </w:rPr>
        <w:t xml:space="preserve"> «Դեղակինետիկա» բաժնում կարելի է արտացոլել տարբեր հետազոտությունների տվյալների ամփոփիչ վերլուծության արդյունքները, որոնք կարող են հեշտացնել պատրաստուկի ՖԿ/ՖԴ-ի տարբերությունները հասկանալը: </w:t>
      </w:r>
    </w:p>
    <w:p w14:paraId="64360A39" w14:textId="77777777" w:rsidR="008C76E0" w:rsidRPr="003B2786" w:rsidRDefault="008C76E0" w:rsidP="00262653">
      <w:pPr>
        <w:spacing w:after="160" w:line="336" w:lineRule="auto"/>
        <w:ind w:right="-1" w:firstLine="567"/>
        <w:jc w:val="both"/>
        <w:rPr>
          <w:rFonts w:ascii="Sylfaen" w:hAnsi="Sylfaen"/>
          <w:sz w:val="24"/>
          <w:szCs w:val="24"/>
        </w:rPr>
      </w:pPr>
      <w:r w:rsidRPr="003B2786">
        <w:rPr>
          <w:rFonts w:ascii="Sylfaen" w:hAnsi="Sylfaen"/>
          <w:sz w:val="24"/>
          <w:szCs w:val="24"/>
        </w:rPr>
        <w:t>Անհրաժեշտ է կատարել օգտագործվող կենսանշիչների ընտրության կրիտիկական գնահատում:</w:t>
      </w:r>
    </w:p>
    <w:p w14:paraId="08331024" w14:textId="77777777" w:rsidR="008C76E0" w:rsidRPr="003B2786" w:rsidRDefault="008C76E0" w:rsidP="00262653">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2.2.8.</w:t>
      </w:r>
      <w:r w:rsidRPr="003B2786">
        <w:rPr>
          <w:rFonts w:ascii="Sylfaen" w:hAnsi="Sylfaen"/>
          <w:sz w:val="24"/>
          <w:szCs w:val="24"/>
        </w:rPr>
        <w:tab/>
        <w:t>Փորձագետի ընդհանուր եզրակացությունը՝ դեղադինամիկայի վերաբերյալ:</w:t>
      </w:r>
    </w:p>
    <w:p w14:paraId="29FEE9FB" w14:textId="77777777" w:rsidR="008C76E0" w:rsidRPr="003B2786" w:rsidRDefault="008C76E0" w:rsidP="00262653">
      <w:pPr>
        <w:spacing w:after="160" w:line="336" w:lineRule="auto"/>
        <w:ind w:firstLine="567"/>
        <w:jc w:val="both"/>
        <w:rPr>
          <w:rFonts w:ascii="Sylfaen" w:hAnsi="Sylfaen"/>
          <w:sz w:val="24"/>
          <w:szCs w:val="24"/>
        </w:rPr>
      </w:pPr>
      <w:r w:rsidRPr="003B2786">
        <w:rPr>
          <w:rFonts w:ascii="Sylfaen" w:hAnsi="Sylfaen"/>
          <w:sz w:val="24"/>
          <w:szCs w:val="24"/>
        </w:rPr>
        <w:t>Այս կետի բովանդակությունը կարող է տեղափոխվել հաշվետվության «Ամփոփիչ մոդուլ»:</w:t>
      </w:r>
    </w:p>
    <w:p w14:paraId="3362FECD" w14:textId="77777777" w:rsidR="008C76E0" w:rsidRPr="003B2786" w:rsidRDefault="008C76E0" w:rsidP="00262653">
      <w:pPr>
        <w:spacing w:after="160" w:line="336" w:lineRule="auto"/>
        <w:ind w:firstLine="567"/>
        <w:jc w:val="both"/>
        <w:rPr>
          <w:rFonts w:ascii="Sylfaen" w:hAnsi="Sylfaen"/>
          <w:sz w:val="24"/>
          <w:szCs w:val="24"/>
        </w:rPr>
      </w:pPr>
      <w:r w:rsidRPr="003B2786">
        <w:rPr>
          <w:rFonts w:ascii="Sylfaen" w:hAnsi="Sylfaen"/>
          <w:sz w:val="24"/>
          <w:szCs w:val="24"/>
        </w:rPr>
        <w:t xml:space="preserve">Սրա հետ կապված կարող է պահանջվել առանձին </w:t>
      </w:r>
      <w:r w:rsidR="00C54D75">
        <w:rPr>
          <w:rFonts w:ascii="Sylfaen" w:hAnsi="Sylfaen"/>
          <w:sz w:val="24"/>
          <w:szCs w:val="24"/>
        </w:rPr>
        <w:t>և</w:t>
      </w:r>
      <w:r w:rsidRPr="003B2786">
        <w:rPr>
          <w:rFonts w:ascii="Sylfaen" w:hAnsi="Sylfaen"/>
          <w:sz w:val="24"/>
          <w:szCs w:val="24"/>
        </w:rPr>
        <w:t xml:space="preserve"> խորացված վերլուծության անցկացում՝ պատրաստուկի օգուտ-ռիսկ հարաբերակցությունն առավել պատշաճ գնահատելու համար համապատասխան տվյալներին համակողմանի հասանելիությունն ապահովելու նպատակով:</w:t>
      </w:r>
    </w:p>
    <w:p w14:paraId="77D5D64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Այս բաժնում գնահատման մասով փորձագետը պետք է առանձնացնի </w:t>
      </w:r>
      <w:r w:rsidRPr="003B2786">
        <w:rPr>
          <w:rFonts w:ascii="Sylfaen" w:hAnsi="Sylfaen"/>
          <w:sz w:val="24"/>
          <w:szCs w:val="24"/>
        </w:rPr>
        <w:lastRenderedPageBreak/>
        <w:t>զեկույցի տարբեր բաժիններում նկարագրված կար</w:t>
      </w:r>
      <w:r w:rsidR="00C54D75">
        <w:rPr>
          <w:rFonts w:ascii="Sylfaen" w:hAnsi="Sylfaen"/>
          <w:sz w:val="24"/>
          <w:szCs w:val="24"/>
        </w:rPr>
        <w:t>և</w:t>
      </w:r>
      <w:r w:rsidRPr="003B2786">
        <w:rPr>
          <w:rFonts w:ascii="Sylfaen" w:hAnsi="Sylfaen"/>
          <w:sz w:val="24"/>
          <w:szCs w:val="24"/>
        </w:rPr>
        <w:t>որագույն հարցերը (ներծծում, բաշխում, օրգանիզմից դուրսբերում), ինչպես նա</w:t>
      </w:r>
      <w:r w:rsidR="00C54D75">
        <w:rPr>
          <w:rFonts w:ascii="Sylfaen" w:hAnsi="Sylfaen"/>
          <w:sz w:val="24"/>
          <w:szCs w:val="24"/>
        </w:rPr>
        <w:t>և</w:t>
      </w:r>
      <w:r w:rsidRPr="003B2786">
        <w:rPr>
          <w:rFonts w:ascii="Sylfaen" w:hAnsi="Sylfaen"/>
          <w:sz w:val="24"/>
          <w:szCs w:val="24"/>
        </w:rPr>
        <w:t xml:space="preserve"> եզրակացություն ներկայացնի դեղադինամիկայի մասով փաստաթղթերի որակի վերաբերյալ՝ հատուկ ուշադրություն դարձնելով հայտնաբերված թերություններին:</w:t>
      </w:r>
    </w:p>
    <w:p w14:paraId="618AAA3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Որպես այլընտրանք, այս բաժնում կարելի է ուղղակի ձ</w:t>
      </w:r>
      <w:r w:rsidR="00C54D75">
        <w:rPr>
          <w:rFonts w:ascii="Sylfaen" w:hAnsi="Sylfaen"/>
          <w:sz w:val="24"/>
          <w:szCs w:val="24"/>
        </w:rPr>
        <w:t>և</w:t>
      </w:r>
      <w:r w:rsidRPr="003B2786">
        <w:rPr>
          <w:rFonts w:ascii="Sylfaen" w:hAnsi="Sylfaen"/>
          <w:sz w:val="24"/>
          <w:szCs w:val="24"/>
        </w:rPr>
        <w:t xml:space="preserve">ակերպել հիմնական եզրահանգումները, </w:t>
      </w:r>
      <w:r w:rsidR="00C54D75">
        <w:rPr>
          <w:rFonts w:ascii="Sylfaen" w:hAnsi="Sylfaen"/>
          <w:sz w:val="24"/>
          <w:szCs w:val="24"/>
        </w:rPr>
        <w:t>և</w:t>
      </w:r>
      <w:r w:rsidRPr="003B2786">
        <w:rPr>
          <w:rFonts w:ascii="Sylfaen" w:hAnsi="Sylfaen"/>
          <w:sz w:val="24"/>
          <w:szCs w:val="24"/>
        </w:rPr>
        <w:t xml:space="preserve"> այդ դեպքում «Անվտանգության, որակի, արդյունավետության գնահատում» մոդուլի տեքստն անհրաժեշտ կլինի մշակել առանձին:</w:t>
      </w:r>
    </w:p>
    <w:p w14:paraId="1FB148B7"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Ներկայացված դոսյեում առանձնացրե՛ք «Կլինիկական ամփոփում» բաժնի բովանդակության հետ համապատասխանության (անհամապատասխանության) ցանկացած ոլորտ </w:t>
      </w:r>
      <w:r w:rsidR="00C54D75">
        <w:rPr>
          <w:rFonts w:ascii="Sylfaen" w:hAnsi="Sylfaen"/>
          <w:sz w:val="24"/>
          <w:szCs w:val="24"/>
        </w:rPr>
        <w:t>և</w:t>
      </w:r>
      <w:r w:rsidRPr="003B2786">
        <w:rPr>
          <w:rFonts w:ascii="Sylfaen" w:hAnsi="Sylfaen"/>
          <w:sz w:val="24"/>
          <w:szCs w:val="24"/>
        </w:rPr>
        <w:t xml:space="preserve"> մեկնաբանե՛ք բժշկական կիրառման դեղամիջոցի ընդհանուր բնութագրի կիրառելիությունը:</w:t>
      </w:r>
    </w:p>
    <w:p w14:paraId="6F3F5F8E"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p>
    <w:p w14:paraId="6D41CAF0" w14:textId="77777777" w:rsidR="008C76E0" w:rsidRPr="003B2786" w:rsidRDefault="008C76E0" w:rsidP="00262653">
      <w:pPr>
        <w:spacing w:after="160" w:line="360" w:lineRule="auto"/>
        <w:ind w:right="-1" w:firstLine="567"/>
        <w:jc w:val="center"/>
        <w:rPr>
          <w:rFonts w:ascii="Sylfaen" w:hAnsi="Sylfaen"/>
          <w:sz w:val="24"/>
          <w:szCs w:val="24"/>
        </w:rPr>
      </w:pPr>
      <w:r w:rsidRPr="003B2786">
        <w:rPr>
          <w:rFonts w:ascii="Sylfaen" w:hAnsi="Sylfaen"/>
          <w:sz w:val="24"/>
          <w:szCs w:val="24"/>
        </w:rPr>
        <w:t>3. Կլինիկական արդյունավետությունը:</w:t>
      </w:r>
    </w:p>
    <w:p w14:paraId="101338E0"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3.1.</w:t>
      </w:r>
      <w:r w:rsidRPr="003B2786">
        <w:rPr>
          <w:rFonts w:ascii="Sylfaen" w:hAnsi="Sylfaen"/>
          <w:sz w:val="24"/>
          <w:szCs w:val="24"/>
        </w:rPr>
        <w:tab/>
        <w:t>Ընդհանուր ձեռնարկը:</w:t>
      </w:r>
    </w:p>
    <w:p w14:paraId="4C799B34" w14:textId="77777777" w:rsidR="008C76E0" w:rsidRPr="003B2786" w:rsidRDefault="008C76E0" w:rsidP="007467C7">
      <w:pPr>
        <w:spacing w:after="160" w:line="336" w:lineRule="auto"/>
        <w:ind w:firstLine="567"/>
        <w:jc w:val="both"/>
        <w:rPr>
          <w:rFonts w:ascii="Sylfaen" w:hAnsi="Sylfaen"/>
          <w:sz w:val="24"/>
          <w:szCs w:val="24"/>
        </w:rPr>
      </w:pPr>
      <w:r w:rsidRPr="003B2786">
        <w:rPr>
          <w:rFonts w:ascii="Sylfaen" w:hAnsi="Sylfaen"/>
          <w:sz w:val="24"/>
          <w:szCs w:val="24"/>
        </w:rPr>
        <w:t xml:space="preserve">Հաշվետվությունը պետք է պարունակի ռեֆերենտ պետության </w:t>
      </w:r>
      <w:r w:rsidR="00C54D75">
        <w:rPr>
          <w:rFonts w:ascii="Sylfaen" w:hAnsi="Sylfaen"/>
          <w:sz w:val="24"/>
          <w:szCs w:val="24"/>
        </w:rPr>
        <w:t>և</w:t>
      </w:r>
      <w:r w:rsidRPr="003B2786">
        <w:rPr>
          <w:rFonts w:ascii="Sylfaen" w:hAnsi="Sylfaen"/>
          <w:sz w:val="24"/>
          <w:szCs w:val="24"/>
        </w:rPr>
        <w:t xml:space="preserve"> ճանաչման պետության լիազորված փորձագիտական կազմակերպության այլ փորձագետների կողմից կրկնակի գնահատման համար բավարար ծավալով մանրամասն տեղեկություններ:</w:t>
      </w:r>
    </w:p>
    <w:p w14:paraId="7043EBB6" w14:textId="77777777" w:rsidR="008C76E0" w:rsidRPr="003B2786" w:rsidRDefault="008C76E0" w:rsidP="007467C7">
      <w:pPr>
        <w:spacing w:after="160" w:line="336" w:lineRule="auto"/>
        <w:ind w:firstLine="567"/>
        <w:jc w:val="both"/>
        <w:rPr>
          <w:rFonts w:ascii="Sylfaen" w:hAnsi="Sylfaen"/>
          <w:sz w:val="24"/>
          <w:szCs w:val="24"/>
        </w:rPr>
      </w:pPr>
      <w:r w:rsidRPr="003B2786">
        <w:rPr>
          <w:rFonts w:ascii="Sylfaen" w:hAnsi="Sylfaen"/>
          <w:sz w:val="24"/>
          <w:szCs w:val="24"/>
        </w:rPr>
        <w:t>Թե</w:t>
      </w:r>
      <w:r w:rsidR="00C54D75">
        <w:rPr>
          <w:rFonts w:ascii="Sylfaen" w:hAnsi="Sylfaen"/>
          <w:sz w:val="24"/>
          <w:szCs w:val="24"/>
        </w:rPr>
        <w:t>և</w:t>
      </w:r>
      <w:r w:rsidRPr="003B2786">
        <w:rPr>
          <w:rFonts w:ascii="Sylfaen" w:hAnsi="Sylfaen"/>
          <w:sz w:val="24"/>
          <w:szCs w:val="24"/>
        </w:rPr>
        <w:t xml:space="preserve"> սույն հաշվետվությունը պետք է ներառի անհրաժեշտ տեղեկություններ, որոնք թույլ են տալիս հասկանալ գրանցման դոսյեի բովանդակությունը, առաջարկվում է ուշադրությունը կենտրոնացնել հայտատուի համար հարցերը մշակելու հիմք հանդիսացող թերությունների վերաբերյալ էական եզրահանգումների </w:t>
      </w:r>
      <w:r w:rsidR="00C54D75">
        <w:rPr>
          <w:rFonts w:ascii="Sylfaen" w:hAnsi="Sylfaen"/>
          <w:sz w:val="24"/>
          <w:szCs w:val="24"/>
        </w:rPr>
        <w:t>և</w:t>
      </w:r>
      <w:r w:rsidRPr="003B2786">
        <w:rPr>
          <w:rFonts w:ascii="Sylfaen" w:hAnsi="Sylfaen"/>
          <w:sz w:val="24"/>
          <w:szCs w:val="24"/>
        </w:rPr>
        <w:t xml:space="preserve"> տեղեկությունների վրա՝ օգուտ-ռիսկ հարաբերակցության հետագա ուսումնասիրության </w:t>
      </w:r>
      <w:r w:rsidR="00C54D75">
        <w:rPr>
          <w:rFonts w:ascii="Sylfaen" w:hAnsi="Sylfaen"/>
          <w:sz w:val="24"/>
          <w:szCs w:val="24"/>
        </w:rPr>
        <w:t>և</w:t>
      </w:r>
      <w:r w:rsidRPr="003B2786">
        <w:rPr>
          <w:rFonts w:ascii="Sylfaen" w:hAnsi="Sylfaen"/>
          <w:sz w:val="24"/>
          <w:szCs w:val="24"/>
        </w:rPr>
        <w:t xml:space="preserve"> Եվրասիական տնտեսական հանձնաժողովին կից Փորձագիտական կոմիտեի կողմից հանձնարարականների մշակման համար արդյունքների քննարկմամբ (մեկնաբանությամբ):</w:t>
      </w:r>
    </w:p>
    <w:p w14:paraId="78B68C71"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Գրանցման դոսյեում հայտատուի դոսյեից («Ամփոփում» </w:t>
      </w:r>
      <w:r w:rsidR="00C54D75">
        <w:rPr>
          <w:rFonts w:ascii="Sylfaen" w:hAnsi="Sylfaen"/>
          <w:sz w:val="24"/>
          <w:szCs w:val="24"/>
        </w:rPr>
        <w:t>և</w:t>
      </w:r>
      <w:r w:rsidRPr="003B2786">
        <w:rPr>
          <w:rFonts w:ascii="Sylfaen" w:hAnsi="Sylfaen"/>
          <w:sz w:val="24"/>
          <w:szCs w:val="24"/>
        </w:rPr>
        <w:t xml:space="preserve"> «Համառոտ ամփոփ տեղեկատվություն» մասեր) չկանոնակարգված պատճենումն անթույլատրելի է:</w:t>
      </w:r>
    </w:p>
    <w:p w14:paraId="0E36B77A"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Այսպիսով, անհրաժեշտ է հետ</w:t>
      </w:r>
      <w:r w:rsidR="00C54D75">
        <w:rPr>
          <w:rFonts w:ascii="Sylfaen" w:hAnsi="Sylfaen"/>
          <w:sz w:val="24"/>
          <w:szCs w:val="24"/>
        </w:rPr>
        <w:t>և</w:t>
      </w:r>
      <w:r w:rsidRPr="003B2786">
        <w:rPr>
          <w:rFonts w:ascii="Sylfaen" w:hAnsi="Sylfaen"/>
          <w:sz w:val="24"/>
          <w:szCs w:val="24"/>
        </w:rPr>
        <w:t xml:space="preserve">ել առանձին հետազոտությունների համառոտ նկարագրությանը (դրական </w:t>
      </w:r>
      <w:r w:rsidR="00C54D75">
        <w:rPr>
          <w:rFonts w:ascii="Sylfaen" w:hAnsi="Sylfaen"/>
          <w:sz w:val="24"/>
          <w:szCs w:val="24"/>
        </w:rPr>
        <w:t>և</w:t>
      </w:r>
      <w:r w:rsidRPr="003B2786">
        <w:rPr>
          <w:rFonts w:ascii="Sylfaen" w:hAnsi="Sylfaen"/>
          <w:sz w:val="24"/>
          <w:szCs w:val="24"/>
        </w:rPr>
        <w:t xml:space="preserve"> բացասական եզրահանգումները հավասարակշռված ներկայացնելու համար):</w:t>
      </w:r>
    </w:p>
    <w:p w14:paraId="6429708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 է սահմանազատել (նա</w:t>
      </w:r>
      <w:r w:rsidR="00C54D75">
        <w:rPr>
          <w:rFonts w:ascii="Sylfaen" w:hAnsi="Sylfaen"/>
          <w:sz w:val="24"/>
          <w:szCs w:val="24"/>
        </w:rPr>
        <w:t>և</w:t>
      </w:r>
      <w:r w:rsidRPr="003B2786">
        <w:rPr>
          <w:rFonts w:ascii="Sylfaen" w:hAnsi="Sylfaen"/>
          <w:sz w:val="24"/>
          <w:szCs w:val="24"/>
        </w:rPr>
        <w:t xml:space="preserve"> մեկնաբանություններում) բազային կլինիկական հետազոտությունները </w:t>
      </w:r>
      <w:r w:rsidR="00C54D75">
        <w:rPr>
          <w:rFonts w:ascii="Sylfaen" w:hAnsi="Sylfaen"/>
          <w:sz w:val="24"/>
          <w:szCs w:val="24"/>
        </w:rPr>
        <w:t>և</w:t>
      </w:r>
      <w:r w:rsidRPr="003B2786">
        <w:rPr>
          <w:rFonts w:ascii="Sylfaen" w:hAnsi="Sylfaen"/>
          <w:sz w:val="24"/>
          <w:szCs w:val="24"/>
        </w:rPr>
        <w:t xml:space="preserve"> լրացուցիչ փորձարկումները՝ ելնելով յուրաքանչյուր առանձին հետազոտության նշանակալիության վերաբերյալ եզրակացությունից (հարկավոր է թվարկել բոլոր հետազոտությունները՝ հնարավորության դեպքում հղում կատարելով ամփոփ տվյալների աղյուսակներին):</w:t>
      </w:r>
    </w:p>
    <w:p w14:paraId="24CDCCA6"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Նախընտրելի է աղյուսակների (գրաֆիկների, պատկերների) (բայց ոչ ծավալուն տեքստային նկարագրությունների) օգտագործումը:</w:t>
      </w:r>
    </w:p>
    <w:p w14:paraId="0630B03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ապահովել ներկայացված տվյալների </w:t>
      </w:r>
      <w:r w:rsidR="00C54D75">
        <w:rPr>
          <w:rFonts w:ascii="Sylfaen" w:hAnsi="Sylfaen"/>
          <w:sz w:val="24"/>
          <w:szCs w:val="24"/>
        </w:rPr>
        <w:t>և</w:t>
      </w:r>
      <w:r w:rsidRPr="003B2786">
        <w:rPr>
          <w:rFonts w:ascii="Sylfaen" w:hAnsi="Sylfaen"/>
          <w:sz w:val="24"/>
          <w:szCs w:val="24"/>
        </w:rPr>
        <w:t xml:space="preserve"> գնահատման մասով փորձագետի մեկնաբանության հստակ բաժանումը:</w:t>
      </w:r>
    </w:p>
    <w:p w14:paraId="14E59C8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Կրիտիկական գնահատումը (օրինակ՝ արդյունքների կիրառելիության վերաբերյալ մեկնաբանությունները </w:t>
      </w:r>
      <w:r w:rsidR="00C54D75">
        <w:rPr>
          <w:rFonts w:ascii="Sylfaen" w:hAnsi="Sylfaen"/>
          <w:sz w:val="24"/>
          <w:szCs w:val="24"/>
        </w:rPr>
        <w:t>և</w:t>
      </w:r>
      <w:r w:rsidRPr="003B2786">
        <w:rPr>
          <w:rFonts w:ascii="Sylfaen" w:hAnsi="Sylfaen"/>
          <w:sz w:val="24"/>
          <w:szCs w:val="24"/>
        </w:rPr>
        <w:t xml:space="preserve"> տվյալների մեկնաբանությունները, եզրահանգումները) պետք է ներկայացվի «Գնահատման մասով փորձագետի մեկնաբանությունները» բաժնի յուրաքանչյուր ենթաբաժնի վերջում: «Լուրջ նկատողություն» բառակապակցությունը (տե՛ս հարցերի առաջարկված ցանկը) կարող է օգտագործվել հարցերի ցանկին խաչաձ</w:t>
      </w:r>
      <w:r w:rsidR="00C54D75">
        <w:rPr>
          <w:rFonts w:ascii="Sylfaen" w:hAnsi="Sylfaen"/>
          <w:sz w:val="24"/>
          <w:szCs w:val="24"/>
        </w:rPr>
        <w:t>և</w:t>
      </w:r>
      <w:r w:rsidRPr="003B2786">
        <w:rPr>
          <w:rFonts w:ascii="Sylfaen" w:hAnsi="Sylfaen"/>
          <w:sz w:val="24"/>
          <w:szCs w:val="24"/>
        </w:rPr>
        <w:t xml:space="preserve"> հղումների անհրաժեշտության դեպքում:</w:t>
      </w:r>
    </w:p>
    <w:p w14:paraId="47B3B44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Հաշվետվության մեջ հարկավոր է նշել լրացուցիչ փորձաքննություն անցկացնելու անհրաժեշտությունը (օրինակ՝ որոշ չլուծված կլինիկական հարցերի լուծման համար հանդիպում գիտական խորհրդատուների խմբի հետ կամ դեղազգոնության հարցերի հետագա գնահատման անհրաժեշտություն): </w:t>
      </w:r>
    </w:p>
    <w:p w14:paraId="5416CBB9"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lastRenderedPageBreak/>
        <w:t>Հաշվետվության մեջ պետք է ընդգծվեն դեղամիջոցի համառոտ բնութագրում արտացոլման ենթակա եզրահանգումները:</w:t>
      </w:r>
    </w:p>
    <w:p w14:paraId="09925532" w14:textId="77777777" w:rsidR="008C76E0" w:rsidRPr="003B2786" w:rsidRDefault="008C76E0" w:rsidP="00262653">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3.2.</w:t>
      </w:r>
      <w:r w:rsidRPr="003B2786">
        <w:rPr>
          <w:rFonts w:ascii="Sylfaen" w:hAnsi="Sylfaen"/>
          <w:sz w:val="24"/>
          <w:szCs w:val="24"/>
        </w:rPr>
        <w:tab/>
        <w:t>Ներածությունը:</w:t>
      </w:r>
    </w:p>
    <w:p w14:paraId="4DDB2299"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Օգտագործե՛ք համառոտ ներածական՝ ներկայացված տվյալների ընդհանուր առանձնահատկությունների </w:t>
      </w:r>
      <w:r w:rsidR="00C54D75">
        <w:rPr>
          <w:rFonts w:ascii="Sylfaen" w:hAnsi="Sylfaen"/>
          <w:sz w:val="24"/>
          <w:szCs w:val="24"/>
        </w:rPr>
        <w:t>և</w:t>
      </w:r>
      <w:r w:rsidRPr="003B2786">
        <w:rPr>
          <w:rFonts w:ascii="Sylfaen" w:hAnsi="Sylfaen"/>
          <w:sz w:val="24"/>
          <w:szCs w:val="24"/>
        </w:rPr>
        <w:t xml:space="preserve"> կիրառման հայտագրված ցուցման վերաբերյալ:</w:t>
      </w:r>
    </w:p>
    <w:p w14:paraId="6ACB33B4"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Ներածության մեջ պետք է ներառվի համապատասխան կլինիկական հետազոտությունների աղյուսակային ամփոփումը, հետազոտության համարը, հետազոտության բովանդակային պլանը </w:t>
      </w:r>
      <w:r w:rsidR="00C54D75">
        <w:rPr>
          <w:rFonts w:ascii="Sylfaen" w:hAnsi="Sylfaen"/>
          <w:sz w:val="24"/>
          <w:szCs w:val="24"/>
        </w:rPr>
        <w:t>և</w:t>
      </w:r>
      <w:r w:rsidRPr="003B2786">
        <w:rPr>
          <w:rFonts w:ascii="Sylfaen" w:hAnsi="Sylfaen"/>
          <w:sz w:val="24"/>
          <w:szCs w:val="24"/>
        </w:rPr>
        <w:t xml:space="preserve"> բուժման խմբերում պացիենտների թիվը, բուժման խմբերի ելակետային բնութագրերը (օրինակ՝ տարիք, սեռ </w:t>
      </w:r>
      <w:r w:rsidR="00C54D75">
        <w:rPr>
          <w:rFonts w:ascii="Sylfaen" w:hAnsi="Sylfaen"/>
          <w:sz w:val="24"/>
          <w:szCs w:val="24"/>
        </w:rPr>
        <w:t>և</w:t>
      </w:r>
      <w:r w:rsidRPr="003B2786">
        <w:rPr>
          <w:rFonts w:ascii="Sylfaen" w:hAnsi="Sylfaen"/>
          <w:sz w:val="24"/>
          <w:szCs w:val="24"/>
        </w:rPr>
        <w:t xml:space="preserve"> հիվանդության ծանրություն), արդյունավետության պարամետրերը </w:t>
      </w:r>
      <w:r w:rsidR="00C54D75">
        <w:rPr>
          <w:rFonts w:ascii="Sylfaen" w:hAnsi="Sylfaen"/>
          <w:sz w:val="24"/>
          <w:szCs w:val="24"/>
        </w:rPr>
        <w:t>և</w:t>
      </w:r>
      <w:r w:rsidRPr="003B2786">
        <w:rPr>
          <w:rFonts w:ascii="Sylfaen" w:hAnsi="Sylfaen"/>
          <w:sz w:val="24"/>
          <w:szCs w:val="24"/>
        </w:rPr>
        <w:t xml:space="preserve"> արդյունավետության արդյունքները: Տվյալ աղյուսակը պետք է կազմվի գրանցման դոսյեի 2.7.3.1 աղյուսակին համապատասխան՝ կիրառելիության դեպքում:</w:t>
      </w:r>
    </w:p>
    <w:p w14:paraId="108B5E5B"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Կիրառման ցուցումների մասով պետք է նկարագրվի հետազոտության փորձը բնակչության հատուկ խմբերի շրջանում՝ ի լրումն 3.3 բաժնում նշվածի:</w:t>
      </w:r>
    </w:p>
    <w:p w14:paraId="4DAF7424"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Եթե կիրառելի է, պետք է ներկայացվեն տեղեկություններ՝ կլինիկական արդյունավետության մասով գիտական առաջարկությունների վերաբերյալ (հայտագրված </w:t>
      </w:r>
      <w:r w:rsidR="00C54D75">
        <w:rPr>
          <w:rFonts w:ascii="Sylfaen" w:hAnsi="Sylfaen"/>
          <w:sz w:val="24"/>
          <w:szCs w:val="24"/>
        </w:rPr>
        <w:t>և</w:t>
      </w:r>
      <w:r w:rsidRPr="003B2786">
        <w:rPr>
          <w:rFonts w:ascii="Sylfaen" w:hAnsi="Sylfaen"/>
          <w:sz w:val="24"/>
          <w:szCs w:val="24"/>
        </w:rPr>
        <w:t xml:space="preserve"> ներկայացված առաջարկությունների մանրամասն տվյալներով</w:t>
      </w:r>
      <w:r w:rsidR="007467C7" w:rsidRPr="007467C7">
        <w:rPr>
          <w:rFonts w:ascii="Sylfaen" w:hAnsi="Sylfaen"/>
          <w:sz w:val="24"/>
          <w:szCs w:val="24"/>
        </w:rPr>
        <w:t> </w:t>
      </w:r>
      <w:r w:rsidRPr="003B2786">
        <w:rPr>
          <w:rFonts w:ascii="Sylfaen" w:hAnsi="Sylfaen"/>
          <w:sz w:val="24"/>
          <w:szCs w:val="24"/>
        </w:rPr>
        <w:t>կետ):</w:t>
      </w:r>
    </w:p>
    <w:p w14:paraId="5F0773ED"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Ներածության մեջ պետք է ներառվի Միության պատշաճ կլինիկական գործունեության կանոնների պահպանման վերջնական գնահատում</w:t>
      </w:r>
    </w:p>
    <w:p w14:paraId="3BF725B0"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(ենթակա է ընդգրկման 1.2՝ «Պատշաճ կլինիկական գործունեության ասպեկտներ» կետում </w:t>
      </w:r>
      <w:r w:rsidR="00C54D75">
        <w:rPr>
          <w:rFonts w:ascii="Sylfaen" w:hAnsi="Sylfaen"/>
          <w:sz w:val="24"/>
          <w:szCs w:val="24"/>
        </w:rPr>
        <w:t>և</w:t>
      </w:r>
      <w:r w:rsidRPr="003B2786">
        <w:rPr>
          <w:rFonts w:ascii="Sylfaen" w:hAnsi="Sylfaen"/>
          <w:sz w:val="24"/>
          <w:szCs w:val="24"/>
        </w:rPr>
        <w:t xml:space="preserve"> «Ամփոփիչ մոդուլ»-ում),</w:t>
      </w:r>
    </w:p>
    <w:p w14:paraId="136D9B92" w14:textId="77777777" w:rsidR="008C76E0" w:rsidRPr="003B2786" w:rsidRDefault="008C76E0" w:rsidP="00262653">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3.3.</w:t>
      </w:r>
      <w:r w:rsidRPr="003B2786">
        <w:rPr>
          <w:rFonts w:ascii="Sylfaen" w:hAnsi="Sylfaen"/>
          <w:sz w:val="24"/>
          <w:szCs w:val="24"/>
        </w:rPr>
        <w:tab/>
        <w:t xml:space="preserve">«Դեղաչափ-ազդեցություն» կախվածության հետազոտությունները </w:t>
      </w:r>
      <w:r w:rsidR="00C54D75">
        <w:rPr>
          <w:rFonts w:ascii="Sylfaen" w:hAnsi="Sylfaen"/>
          <w:sz w:val="24"/>
          <w:szCs w:val="24"/>
        </w:rPr>
        <w:t>և</w:t>
      </w:r>
      <w:r w:rsidRPr="003B2786">
        <w:rPr>
          <w:rFonts w:ascii="Sylfaen" w:hAnsi="Sylfaen"/>
          <w:sz w:val="24"/>
          <w:szCs w:val="24"/>
        </w:rPr>
        <w:t xml:space="preserve"> հիմնական կլինիկական հետազոտությունները:</w:t>
      </w:r>
    </w:p>
    <w:p w14:paraId="6EF5E037"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Հիմնական հետազոտությունների անցկացման համար պատրաստուկի դեղաչափի ընտրության հիմնավորմանը պետք է տրվի գնահատական: Այստեղ </w:t>
      </w:r>
      <w:r w:rsidRPr="003B2786">
        <w:rPr>
          <w:rFonts w:ascii="Sylfaen" w:hAnsi="Sylfaen"/>
          <w:sz w:val="24"/>
          <w:szCs w:val="24"/>
        </w:rPr>
        <w:lastRenderedPageBreak/>
        <w:t>կարող են ներկայացվել մանրամասն տեղեկություններ կամ հղում՝ «Կլինիկական դեղաբանություն» բաժնին:</w:t>
      </w:r>
    </w:p>
    <w:p w14:paraId="69A79650"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Համառոտ նկարագրություն (եթե ներկայացված չէ այլ տեղում)՝ հաշվի առնելով (անհրաժեշտության դեպքում) հետազոտվող դեղաչափերի ներմուծման ռեժիմը, մեծությունները, տիրույթը, կլինիկական արդյունավետության սուռոգատ կետերի ընտրության հիմնավորումը </w:t>
      </w:r>
      <w:r w:rsidR="00C54D75">
        <w:rPr>
          <w:rFonts w:ascii="Sylfaen" w:hAnsi="Sylfaen"/>
          <w:sz w:val="24"/>
          <w:szCs w:val="24"/>
        </w:rPr>
        <w:t>և</w:t>
      </w:r>
      <w:r w:rsidRPr="003B2786">
        <w:rPr>
          <w:rFonts w:ascii="Sylfaen" w:hAnsi="Sylfaen"/>
          <w:sz w:val="24"/>
          <w:szCs w:val="24"/>
        </w:rPr>
        <w:t xml:space="preserve"> արդյունքները, որոնք արտացոլում են ազդեցությունը՝ արդյունավետության վերաբերյալ նախնական տվյալների, դոզավորման մեծության (ռեժիմի) վերաբերյալ առաջարկությունների վրա:</w:t>
      </w:r>
    </w:p>
    <w:p w14:paraId="5D3E707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Պետք է ներկայացնել ՖԿ/ՖԴ-ի վերլուծության առավել համապատասխան մեթոդների նկարագրությունը </w:t>
      </w:r>
      <w:r w:rsidR="00C54D75">
        <w:rPr>
          <w:rFonts w:ascii="Sylfaen" w:hAnsi="Sylfaen"/>
          <w:sz w:val="24"/>
          <w:szCs w:val="24"/>
        </w:rPr>
        <w:t>և</w:t>
      </w:r>
      <w:r w:rsidRPr="003B2786">
        <w:rPr>
          <w:rFonts w:ascii="Sylfaen" w:hAnsi="Sylfaen"/>
          <w:sz w:val="24"/>
          <w:szCs w:val="24"/>
        </w:rPr>
        <w:t xml:space="preserve"> դրանց արդյունքները, ինչպես նա</w:t>
      </w:r>
      <w:r w:rsidR="00C54D75">
        <w:rPr>
          <w:rFonts w:ascii="Sylfaen" w:hAnsi="Sylfaen"/>
          <w:sz w:val="24"/>
          <w:szCs w:val="24"/>
        </w:rPr>
        <w:t>և</w:t>
      </w:r>
      <w:r w:rsidRPr="003B2786">
        <w:rPr>
          <w:rFonts w:ascii="Sylfaen" w:hAnsi="Sylfaen"/>
          <w:sz w:val="24"/>
          <w:szCs w:val="24"/>
        </w:rPr>
        <w:t xml:space="preserve"> բնակչության շրջանում ՖԿ-ի վերաբերյալ տվյալներ՝ մանրամասն տեղեկատվություն ստանալու համար համապատասխան բաժիններին հղումների նշմամբ: </w:t>
      </w:r>
    </w:p>
    <w:p w14:paraId="3F6DC400"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3.4.</w:t>
      </w:r>
      <w:r w:rsidRPr="003B2786">
        <w:rPr>
          <w:rFonts w:ascii="Sylfaen" w:hAnsi="Sylfaen"/>
          <w:sz w:val="24"/>
          <w:szCs w:val="24"/>
        </w:rPr>
        <w:tab/>
        <w:t>Հիմնական հետազոտությունները:</w:t>
      </w:r>
    </w:p>
    <w:p w14:paraId="7104F902"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Տեքստում նույնականացվող յուրաքանչյուր հետազոտության վերաբերյալ (օրինակ՝ ըստ արձանագրության համարի) անհրաժեշտ է ներկայացնել </w:t>
      </w:r>
      <w:r w:rsidR="00C54D75">
        <w:rPr>
          <w:rFonts w:ascii="Sylfaen" w:hAnsi="Sylfaen"/>
          <w:sz w:val="24"/>
          <w:szCs w:val="24"/>
        </w:rPr>
        <w:t>և</w:t>
      </w:r>
      <w:r w:rsidRPr="003B2786">
        <w:rPr>
          <w:rFonts w:ascii="Sylfaen" w:hAnsi="Sylfaen"/>
          <w:sz w:val="24"/>
          <w:szCs w:val="24"/>
        </w:rPr>
        <w:t xml:space="preserve"> մեկնաբանել համապատասխան մեթոդները </w:t>
      </w:r>
      <w:r w:rsidR="00C54D75">
        <w:rPr>
          <w:rFonts w:ascii="Sylfaen" w:hAnsi="Sylfaen"/>
          <w:sz w:val="24"/>
          <w:szCs w:val="24"/>
        </w:rPr>
        <w:t>և</w:t>
      </w:r>
      <w:r w:rsidRPr="003B2786">
        <w:rPr>
          <w:rFonts w:ascii="Sylfaen" w:hAnsi="Sylfaen"/>
          <w:sz w:val="24"/>
          <w:szCs w:val="24"/>
        </w:rPr>
        <w:t xml:space="preserve"> արդյունքները: Առաջարկվում է ներառել աղյուսակների բովանդակության մեջ: </w:t>
      </w:r>
    </w:p>
    <w:p w14:paraId="66D1A6B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Փորձարկումների մեթոդների նկարագրության, արդյունքների </w:t>
      </w:r>
      <w:r w:rsidR="00C54D75">
        <w:rPr>
          <w:rFonts w:ascii="Sylfaen" w:hAnsi="Sylfaen"/>
          <w:sz w:val="24"/>
          <w:szCs w:val="24"/>
        </w:rPr>
        <w:t>և</w:t>
      </w:r>
      <w:r w:rsidRPr="003B2786">
        <w:rPr>
          <w:rFonts w:ascii="Sylfaen" w:hAnsi="Sylfaen"/>
          <w:sz w:val="24"/>
          <w:szCs w:val="24"/>
        </w:rPr>
        <w:t xml:space="preserve"> մեկնաբանության վերաբերյալ մանրամասն հարցաթերթիկը ներկայացված է ձ</w:t>
      </w:r>
      <w:r w:rsidR="00C54D75">
        <w:rPr>
          <w:rFonts w:ascii="Sylfaen" w:hAnsi="Sylfaen"/>
          <w:sz w:val="24"/>
          <w:szCs w:val="24"/>
        </w:rPr>
        <w:t>և</w:t>
      </w:r>
      <w:r w:rsidRPr="003B2786">
        <w:rPr>
          <w:rFonts w:ascii="Sylfaen" w:hAnsi="Sylfaen"/>
          <w:sz w:val="24"/>
          <w:szCs w:val="24"/>
        </w:rPr>
        <w:t xml:space="preserve">անմուշում: Տվյալ հարցաթերթիկը պարտադիր չէ, այն ծառայում է որպես հաշվետվության մեջ ներառվելիք ենթադրյալ հարցերի կարգավորված ցանկի աղբյուր: Յուրաքանչյուր հարցի արդիականությունը </w:t>
      </w:r>
      <w:r w:rsidR="00C54D75">
        <w:rPr>
          <w:rFonts w:ascii="Sylfaen" w:hAnsi="Sylfaen"/>
          <w:sz w:val="24"/>
          <w:szCs w:val="24"/>
        </w:rPr>
        <w:t>և</w:t>
      </w:r>
      <w:r w:rsidRPr="003B2786">
        <w:rPr>
          <w:rFonts w:ascii="Sylfaen" w:hAnsi="Sylfaen"/>
          <w:sz w:val="24"/>
          <w:szCs w:val="24"/>
        </w:rPr>
        <w:t xml:space="preserve"> (անհրաժեշտության դեպքում) տեղեկությունների մանրամասնեցման պահանջվող մակարդակը հարկավոր է ուսումնասիրել անհատական կարգով:</w:t>
      </w:r>
    </w:p>
    <w:p w14:paraId="13F62815"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Անհրաժեշտության դեպքում հարկավոր է բովանդակության մեջ ներառել կրիտիկական դիտողություններ: </w:t>
      </w:r>
    </w:p>
    <w:p w14:paraId="656C606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Հետազոտության նույնականացումը </w:t>
      </w:r>
      <w:r w:rsidR="00C54D75">
        <w:rPr>
          <w:rFonts w:ascii="Sylfaen" w:hAnsi="Sylfaen"/>
          <w:sz w:val="24"/>
          <w:szCs w:val="24"/>
        </w:rPr>
        <w:t>և</w:t>
      </w:r>
      <w:r w:rsidRPr="003B2786">
        <w:rPr>
          <w:rFonts w:ascii="Sylfaen" w:hAnsi="Sylfaen"/>
          <w:sz w:val="24"/>
          <w:szCs w:val="24"/>
        </w:rPr>
        <w:t xml:space="preserve"> նկարագրությունը:</w:t>
      </w:r>
    </w:p>
    <w:p w14:paraId="09BC3BA6"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Հարկավոր է նշել հետազոտության համարը </w:t>
      </w:r>
      <w:r w:rsidR="00C54D75">
        <w:rPr>
          <w:rFonts w:ascii="Sylfaen" w:hAnsi="Sylfaen"/>
          <w:sz w:val="24"/>
          <w:szCs w:val="24"/>
        </w:rPr>
        <w:t>և</w:t>
      </w:r>
      <w:r w:rsidRPr="003B2786">
        <w:rPr>
          <w:rFonts w:ascii="Sylfaen" w:hAnsi="Sylfaen"/>
          <w:sz w:val="24"/>
          <w:szCs w:val="24"/>
        </w:rPr>
        <w:t xml:space="preserve"> անվանումը: Հենց այստեղ էլ պետք է նշվի ըստ բուժման խմբերի մասնակիցների բաշխման կարգը (օրինակ՝ պատահական բաշխում, պատահական ընտրանք, կամ պատահական ընտրանքի բաժանում):</w:t>
      </w:r>
    </w:p>
    <w:p w14:paraId="1549010F"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Մեթոդների վերաբերյալ տեղեկությունները </w:t>
      </w:r>
      <w:r w:rsidR="00C54D75">
        <w:rPr>
          <w:rFonts w:ascii="Sylfaen" w:hAnsi="Sylfaen"/>
          <w:sz w:val="24"/>
          <w:szCs w:val="24"/>
        </w:rPr>
        <w:t>և</w:t>
      </w:r>
      <w:r w:rsidRPr="003B2786">
        <w:rPr>
          <w:rFonts w:ascii="Sylfaen" w:hAnsi="Sylfaen"/>
          <w:sz w:val="24"/>
          <w:szCs w:val="24"/>
        </w:rPr>
        <w:t xml:space="preserve"> արդյունքները կարող են ներկայացվել համատեղ կամ յուրաքանչյուր փորձարկման համար առանձին (կախված հետազոտությունների տեսակից </w:t>
      </w:r>
      <w:r w:rsidR="00C54D75">
        <w:rPr>
          <w:rFonts w:ascii="Sylfaen" w:hAnsi="Sylfaen"/>
          <w:sz w:val="24"/>
          <w:szCs w:val="24"/>
        </w:rPr>
        <w:t>և</w:t>
      </w:r>
      <w:r w:rsidRPr="003B2786">
        <w:rPr>
          <w:rFonts w:ascii="Sylfaen" w:hAnsi="Sylfaen"/>
          <w:sz w:val="24"/>
          <w:szCs w:val="24"/>
        </w:rPr>
        <w:t xml:space="preserve"> նման բնութագրերից):</w:t>
      </w:r>
    </w:p>
    <w:p w14:paraId="2CBA674E"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w:t>
      </w:r>
      <w:r w:rsidRPr="003B2786">
        <w:rPr>
          <w:rFonts w:ascii="Sylfaen" w:hAnsi="Sylfaen"/>
          <w:sz w:val="24"/>
          <w:szCs w:val="24"/>
        </w:rPr>
        <w:tab/>
        <w:t>Մեթոդները:</w:t>
      </w:r>
    </w:p>
    <w:p w14:paraId="0619E06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Յուրաքանչյուր կոնկրետ դեպքի համար անհրաժեշտ է հետ</w:t>
      </w:r>
      <w:r w:rsidR="00C54D75">
        <w:rPr>
          <w:rFonts w:ascii="Sylfaen" w:hAnsi="Sylfaen"/>
          <w:sz w:val="24"/>
          <w:szCs w:val="24"/>
        </w:rPr>
        <w:t>և</w:t>
      </w:r>
      <w:r w:rsidRPr="003B2786">
        <w:rPr>
          <w:rFonts w:ascii="Sylfaen" w:hAnsi="Sylfaen"/>
          <w:sz w:val="24"/>
          <w:szCs w:val="24"/>
        </w:rPr>
        <w:t>ել առավել կար</w:t>
      </w:r>
      <w:r w:rsidR="00C54D75">
        <w:rPr>
          <w:rFonts w:ascii="Sylfaen" w:hAnsi="Sylfaen"/>
          <w:sz w:val="24"/>
          <w:szCs w:val="24"/>
        </w:rPr>
        <w:t>և</w:t>
      </w:r>
      <w:r w:rsidRPr="003B2786">
        <w:rPr>
          <w:rFonts w:ascii="Sylfaen" w:hAnsi="Sylfaen"/>
          <w:sz w:val="24"/>
          <w:szCs w:val="24"/>
        </w:rPr>
        <w:t>որ կետերին (տե՛ս մակնշված ցանկը):</w:t>
      </w:r>
    </w:p>
    <w:p w14:paraId="29C354D8"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3.4.1.1.</w:t>
      </w:r>
      <w:r w:rsidRPr="003B2786">
        <w:rPr>
          <w:rFonts w:ascii="Sylfaen" w:hAnsi="Sylfaen"/>
          <w:sz w:val="24"/>
          <w:szCs w:val="24"/>
        </w:rPr>
        <w:tab/>
        <w:t>Հետազոտության մասնակիցները:</w:t>
      </w:r>
    </w:p>
    <w:p w14:paraId="459AB27E"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Ներառելու (չներառելու) չափորոշիչները, վայրերը (օրինակ՝ տարածաշրջանները, որտեղ տեղակայված են եղել մասնակիցների հավաքագրման վայրերը) </w:t>
      </w:r>
      <w:r w:rsidR="00C54D75">
        <w:rPr>
          <w:rFonts w:ascii="Sylfaen" w:hAnsi="Sylfaen"/>
          <w:sz w:val="24"/>
          <w:szCs w:val="24"/>
        </w:rPr>
        <w:t>և</w:t>
      </w:r>
      <w:r w:rsidRPr="003B2786">
        <w:rPr>
          <w:rFonts w:ascii="Sylfaen" w:hAnsi="Sylfaen"/>
          <w:sz w:val="24"/>
          <w:szCs w:val="24"/>
        </w:rPr>
        <w:t xml:space="preserve"> պայմանները (մասնակիցների հավաքագրման վայրերի տեսակը, օրինակ՝ հիվանդանոցի (բաժանմունքի) տեսակը), որտեղ կատարվել է տվյալների հավաքագրումը:</w:t>
      </w:r>
    </w:p>
    <w:p w14:paraId="5ABE6550"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3.4.1.2.</w:t>
      </w:r>
      <w:r w:rsidRPr="003B2786">
        <w:rPr>
          <w:rFonts w:ascii="Sylfaen" w:hAnsi="Sylfaen"/>
          <w:sz w:val="24"/>
          <w:szCs w:val="24"/>
        </w:rPr>
        <w:tab/>
        <w:t>Բուժումը:</w:t>
      </w:r>
    </w:p>
    <w:p w14:paraId="55418A3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Բաժնում պետք է յուրաքանչյուր խմբի համար ներկայացվի մանրամասն տեղեկատվություն՝ բուժման (կամ այլ միջամտությունների), ինչպես նա</w:t>
      </w:r>
      <w:r w:rsidR="00C54D75">
        <w:rPr>
          <w:rFonts w:ascii="Sylfaen" w:hAnsi="Sylfaen"/>
          <w:sz w:val="24"/>
          <w:szCs w:val="24"/>
        </w:rPr>
        <w:t>և</w:t>
      </w:r>
      <w:r w:rsidRPr="003B2786">
        <w:rPr>
          <w:rFonts w:ascii="Sylfaen" w:hAnsi="Sylfaen"/>
          <w:sz w:val="24"/>
          <w:szCs w:val="24"/>
        </w:rPr>
        <w:t xml:space="preserve"> պատրաստուկի ներմուծման կարգի </w:t>
      </w:r>
      <w:r w:rsidR="00C54D75">
        <w:rPr>
          <w:rFonts w:ascii="Sylfaen" w:hAnsi="Sylfaen"/>
          <w:sz w:val="24"/>
          <w:szCs w:val="24"/>
        </w:rPr>
        <w:t>և</w:t>
      </w:r>
      <w:r w:rsidRPr="003B2786">
        <w:rPr>
          <w:rFonts w:ascii="Sylfaen" w:hAnsi="Sylfaen"/>
          <w:sz w:val="24"/>
          <w:szCs w:val="24"/>
        </w:rPr>
        <w:t xml:space="preserve"> ժամի վերաբերյալ:</w:t>
      </w:r>
    </w:p>
    <w:p w14:paraId="4E609695"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3.4.1.3.</w:t>
      </w:r>
      <w:r w:rsidRPr="003B2786">
        <w:rPr>
          <w:rFonts w:ascii="Sylfaen" w:hAnsi="Sylfaen"/>
          <w:sz w:val="24"/>
          <w:szCs w:val="24"/>
        </w:rPr>
        <w:tab/>
        <w:t>Նպատակները:</w:t>
      </w:r>
    </w:p>
    <w:p w14:paraId="6A7D9ED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Կոնկրետ նպատակները </w:t>
      </w:r>
      <w:r w:rsidR="00C54D75">
        <w:rPr>
          <w:rFonts w:ascii="Sylfaen" w:hAnsi="Sylfaen"/>
          <w:sz w:val="24"/>
          <w:szCs w:val="24"/>
        </w:rPr>
        <w:t>և</w:t>
      </w:r>
      <w:r w:rsidRPr="003B2786">
        <w:rPr>
          <w:rFonts w:ascii="Sylfaen" w:hAnsi="Sylfaen"/>
          <w:sz w:val="24"/>
          <w:szCs w:val="24"/>
        </w:rPr>
        <w:t xml:space="preserve"> հիպոթեզները, նշվում է վիճակագրական հիպոթեզը (օրինակ՝ կլինիկական արդյունավետության առաջնային կետ(եր)ի համար առավելությունը, համարժեքությունը կամ ոչ պակաս արդյունավետությունը </w:t>
      </w:r>
      <w:r w:rsidR="00C54D75">
        <w:rPr>
          <w:rFonts w:ascii="Sylfaen" w:hAnsi="Sylfaen"/>
          <w:sz w:val="24"/>
          <w:szCs w:val="24"/>
        </w:rPr>
        <w:t>և</w:t>
      </w:r>
      <w:r w:rsidRPr="003B2786">
        <w:rPr>
          <w:rFonts w:ascii="Sylfaen" w:hAnsi="Sylfaen"/>
          <w:sz w:val="24"/>
          <w:szCs w:val="24"/>
        </w:rPr>
        <w:t xml:space="preserve"> ազդեցության ակնկալվող ծավալի հավանականության կամ թույլատրելի սխալի ցուցանիշի որ</w:t>
      </w:r>
      <w:r w:rsidR="00C54D75">
        <w:rPr>
          <w:rFonts w:ascii="Sylfaen" w:hAnsi="Sylfaen"/>
          <w:sz w:val="24"/>
          <w:szCs w:val="24"/>
        </w:rPr>
        <w:t>և</w:t>
      </w:r>
      <w:r w:rsidRPr="003B2786">
        <w:rPr>
          <w:rFonts w:ascii="Sylfaen" w:hAnsi="Sylfaen"/>
          <w:sz w:val="24"/>
          <w:szCs w:val="24"/>
        </w:rPr>
        <w:t>է հիմնավորում):</w:t>
      </w:r>
    </w:p>
    <w:p w14:paraId="70441165"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3.4.1.4.</w:t>
      </w:r>
      <w:r w:rsidRPr="003B2786">
        <w:rPr>
          <w:rFonts w:ascii="Sylfaen" w:hAnsi="Sylfaen"/>
          <w:sz w:val="24"/>
          <w:szCs w:val="24"/>
        </w:rPr>
        <w:tab/>
        <w:t>Կլինիկական արդյունավետության արդյունքները (կետերը):</w:t>
      </w:r>
    </w:p>
    <w:p w14:paraId="7E5C47B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Բաժնում պետք է լինեն հստակ սահմանված առաջնային </w:t>
      </w:r>
      <w:r w:rsidR="00C54D75">
        <w:rPr>
          <w:rFonts w:ascii="Sylfaen" w:hAnsi="Sylfaen"/>
          <w:sz w:val="24"/>
          <w:szCs w:val="24"/>
        </w:rPr>
        <w:t>և</w:t>
      </w:r>
      <w:r w:rsidRPr="003B2786">
        <w:rPr>
          <w:rFonts w:ascii="Sylfaen" w:hAnsi="Sylfaen"/>
          <w:sz w:val="24"/>
          <w:szCs w:val="24"/>
        </w:rPr>
        <w:t xml:space="preserve"> երկրորդային ելքային ցուցանիշներ </w:t>
      </w:r>
      <w:r w:rsidR="00C54D75">
        <w:rPr>
          <w:rFonts w:ascii="Sylfaen" w:hAnsi="Sylfaen"/>
          <w:sz w:val="24"/>
          <w:szCs w:val="24"/>
        </w:rPr>
        <w:t>և</w:t>
      </w:r>
      <w:r w:rsidRPr="003B2786">
        <w:rPr>
          <w:rFonts w:ascii="Sylfaen" w:hAnsi="Sylfaen"/>
          <w:sz w:val="24"/>
          <w:szCs w:val="24"/>
        </w:rPr>
        <w:t xml:space="preserve"> կիրառելիության դեպքում՝ չափումների որակը բարձրացնելու համար օգտագործվող ցանկացած մեթոդ (օրինակ՝ բազմակի դիտարկումներ, գնահատման մասով փորձագետների վերապատրաստում, կենտրոնացված (անկախ) ամփոփումներ):</w:t>
      </w:r>
    </w:p>
    <w:p w14:paraId="3538841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Անհրաժեշտության դեպքում կենտրոնացե՛ք կլինիկական արդյունավետության առավել կար</w:t>
      </w:r>
      <w:r w:rsidR="00C54D75">
        <w:rPr>
          <w:rFonts w:ascii="Sylfaen" w:hAnsi="Sylfaen"/>
          <w:sz w:val="24"/>
          <w:szCs w:val="24"/>
        </w:rPr>
        <w:t>և</w:t>
      </w:r>
      <w:r w:rsidRPr="003B2786">
        <w:rPr>
          <w:rFonts w:ascii="Sylfaen" w:hAnsi="Sylfaen"/>
          <w:sz w:val="24"/>
          <w:szCs w:val="24"/>
        </w:rPr>
        <w:t>որ երկրորդային կետերի վրա: Կիրառելիության դեպքում շարադրե՛ք հայտատուի կողմից ներկայացված հիմնավորումները՝ հօգուտ կլինիկական արդյունավետության որ</w:t>
      </w:r>
      <w:r w:rsidR="00C54D75">
        <w:rPr>
          <w:rFonts w:ascii="Sylfaen" w:hAnsi="Sylfaen"/>
          <w:sz w:val="24"/>
          <w:szCs w:val="24"/>
        </w:rPr>
        <w:t>և</w:t>
      </w:r>
      <w:r w:rsidRPr="003B2786">
        <w:rPr>
          <w:rFonts w:ascii="Sylfaen" w:hAnsi="Sylfaen"/>
          <w:sz w:val="24"/>
          <w:szCs w:val="24"/>
        </w:rPr>
        <w:t>է սուռոգատ կետի ընտրության:</w:t>
      </w:r>
    </w:p>
    <w:p w14:paraId="54310268"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Անհրաժեշտ է մեկնաբանել կլինիկական արդյունավետության ցանկացած սուռոգատ կետի ընտրության հիմնավորվածությունը:</w:t>
      </w:r>
    </w:p>
    <w:p w14:paraId="7736409F" w14:textId="77777777" w:rsidR="008C76E0" w:rsidRPr="003B2786" w:rsidRDefault="008C76E0" w:rsidP="00262653">
      <w:pPr>
        <w:tabs>
          <w:tab w:val="left" w:pos="1560"/>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Կլինիկական արդյունավետության վերոնշյալ կետերի կլինիկական նշանակալիության վերաբերյալ անհրաժեշտ է ներկայացնել համառոտ մեկնաբանություններ:</w:t>
      </w:r>
    </w:p>
    <w:p w14:paraId="775A02BA" w14:textId="77777777" w:rsidR="008C76E0" w:rsidRPr="003B2786" w:rsidRDefault="008C76E0" w:rsidP="007467C7">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3.4.1.5.</w:t>
      </w:r>
      <w:r w:rsidRPr="003B2786">
        <w:rPr>
          <w:rFonts w:ascii="Sylfaen" w:hAnsi="Sylfaen"/>
          <w:sz w:val="24"/>
          <w:szCs w:val="24"/>
        </w:rPr>
        <w:tab/>
        <w:t>Ընտրանքի չափը:</w:t>
      </w:r>
    </w:p>
    <w:p w14:paraId="53279A39" w14:textId="77777777" w:rsidR="008C76E0" w:rsidRPr="003B2786" w:rsidRDefault="008C76E0" w:rsidP="007467C7">
      <w:pPr>
        <w:spacing w:after="160" w:line="384" w:lineRule="auto"/>
        <w:ind w:firstLine="567"/>
        <w:jc w:val="both"/>
        <w:rPr>
          <w:rFonts w:ascii="Sylfaen" w:hAnsi="Sylfaen"/>
          <w:sz w:val="24"/>
          <w:szCs w:val="24"/>
        </w:rPr>
      </w:pPr>
      <w:r w:rsidRPr="003B2786">
        <w:rPr>
          <w:rFonts w:ascii="Sylfaen" w:hAnsi="Sylfaen"/>
          <w:sz w:val="24"/>
          <w:szCs w:val="24"/>
        </w:rPr>
        <w:t xml:space="preserve">Անհրաժեշտ է ներկայացնել ընտրանքի չափը որոշելու կարգը </w:t>
      </w:r>
      <w:r w:rsidR="00C54D75">
        <w:rPr>
          <w:rFonts w:ascii="Sylfaen" w:hAnsi="Sylfaen"/>
          <w:sz w:val="24"/>
          <w:szCs w:val="24"/>
        </w:rPr>
        <w:t>և</w:t>
      </w:r>
      <w:r w:rsidRPr="003B2786">
        <w:rPr>
          <w:rFonts w:ascii="Sylfaen" w:hAnsi="Sylfaen"/>
          <w:sz w:val="24"/>
          <w:szCs w:val="24"/>
        </w:rPr>
        <w:t xml:space="preserve"> կիրառելիության դեպքում՝ ցանկացած միջանկյալ վերլուծության </w:t>
      </w:r>
      <w:r w:rsidR="00C54D75">
        <w:rPr>
          <w:rFonts w:ascii="Sylfaen" w:hAnsi="Sylfaen"/>
          <w:sz w:val="24"/>
          <w:szCs w:val="24"/>
        </w:rPr>
        <w:t>և</w:t>
      </w:r>
      <w:r w:rsidRPr="003B2786">
        <w:rPr>
          <w:rFonts w:ascii="Sylfaen" w:hAnsi="Sylfaen"/>
          <w:sz w:val="24"/>
          <w:szCs w:val="24"/>
        </w:rPr>
        <w:t xml:space="preserve"> դրա դադարեցման կանոնների նկարագրությունը:</w:t>
      </w:r>
    </w:p>
    <w:p w14:paraId="315451E7" w14:textId="77777777" w:rsidR="008C76E0" w:rsidRPr="003B2786" w:rsidRDefault="008C76E0" w:rsidP="007467C7">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3.4.1.6.</w:t>
      </w:r>
      <w:r w:rsidRPr="003B2786">
        <w:rPr>
          <w:rFonts w:ascii="Sylfaen" w:hAnsi="Sylfaen"/>
          <w:sz w:val="24"/>
          <w:szCs w:val="24"/>
        </w:rPr>
        <w:tab/>
        <w:t>Պատահական ընտրանք:</w:t>
      </w:r>
    </w:p>
    <w:p w14:paraId="0AD6D28E" w14:textId="77777777" w:rsidR="008C76E0" w:rsidRPr="003B2786" w:rsidRDefault="008C76E0" w:rsidP="007467C7">
      <w:pPr>
        <w:spacing w:after="160" w:line="384" w:lineRule="auto"/>
        <w:ind w:firstLine="567"/>
        <w:jc w:val="both"/>
        <w:rPr>
          <w:rFonts w:ascii="Sylfaen" w:hAnsi="Sylfaen"/>
          <w:sz w:val="24"/>
          <w:szCs w:val="24"/>
        </w:rPr>
      </w:pPr>
      <w:r w:rsidRPr="003B2786">
        <w:rPr>
          <w:rFonts w:ascii="Sylfaen" w:hAnsi="Sylfaen"/>
          <w:sz w:val="24"/>
          <w:szCs w:val="24"/>
        </w:rPr>
        <w:t>Պատահական ընտրանքով բաշխման հետ</w:t>
      </w:r>
      <w:r w:rsidR="00C54D75">
        <w:rPr>
          <w:rFonts w:ascii="Sylfaen" w:hAnsi="Sylfaen"/>
          <w:sz w:val="24"/>
          <w:szCs w:val="24"/>
        </w:rPr>
        <w:t>և</w:t>
      </w:r>
      <w:r w:rsidRPr="003B2786">
        <w:rPr>
          <w:rFonts w:ascii="Sylfaen" w:hAnsi="Sylfaen"/>
          <w:sz w:val="24"/>
          <w:szCs w:val="24"/>
        </w:rPr>
        <w:t xml:space="preserve">ողականությունն ապահովելու համար օգտագործվող մեթոդները </w:t>
      </w:r>
      <w:r w:rsidR="00C54D75">
        <w:rPr>
          <w:rFonts w:ascii="Sylfaen" w:hAnsi="Sylfaen"/>
          <w:sz w:val="24"/>
          <w:szCs w:val="24"/>
        </w:rPr>
        <w:t>և</w:t>
      </w:r>
      <w:r w:rsidRPr="003B2786">
        <w:rPr>
          <w:rFonts w:ascii="Sylfaen" w:hAnsi="Sylfaen"/>
          <w:sz w:val="24"/>
          <w:szCs w:val="24"/>
        </w:rPr>
        <w:t xml:space="preserve"> դրա իրագործման համար ստրատիֆիկացման չափորոշիչները:</w:t>
      </w:r>
    </w:p>
    <w:p w14:paraId="6E583792" w14:textId="77777777" w:rsidR="008C76E0" w:rsidRPr="003B2786" w:rsidRDefault="008C76E0" w:rsidP="007467C7">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3.4.1.7.</w:t>
      </w:r>
      <w:r w:rsidRPr="003B2786">
        <w:rPr>
          <w:rFonts w:ascii="Sylfaen" w:hAnsi="Sylfaen"/>
          <w:sz w:val="24"/>
          <w:szCs w:val="24"/>
        </w:rPr>
        <w:tab/>
        <w:t>Տվյալների անանունության ապահովումը («կուրացումը»):</w:t>
      </w:r>
    </w:p>
    <w:p w14:paraId="4958DFC3" w14:textId="77777777" w:rsidR="008C76E0" w:rsidRPr="003B2786" w:rsidRDefault="008C76E0" w:rsidP="007467C7">
      <w:pPr>
        <w:spacing w:after="160" w:line="384" w:lineRule="auto"/>
        <w:ind w:firstLine="567"/>
        <w:jc w:val="both"/>
        <w:rPr>
          <w:rFonts w:ascii="Sylfaen" w:hAnsi="Sylfaen"/>
          <w:sz w:val="24"/>
          <w:szCs w:val="24"/>
        </w:rPr>
      </w:pPr>
      <w:r w:rsidRPr="003B2786">
        <w:rPr>
          <w:rFonts w:ascii="Sylfaen" w:hAnsi="Sylfaen"/>
          <w:sz w:val="24"/>
          <w:szCs w:val="24"/>
        </w:rPr>
        <w:lastRenderedPageBreak/>
        <w:t xml:space="preserve">Անկախ հետազոտությանը մասնակցելուց՝ միջամտությունն ապահոված անձինք </w:t>
      </w:r>
      <w:r w:rsidR="00C54D75">
        <w:rPr>
          <w:rFonts w:ascii="Sylfaen" w:hAnsi="Sylfaen"/>
          <w:sz w:val="24"/>
          <w:szCs w:val="24"/>
        </w:rPr>
        <w:t>և</w:t>
      </w:r>
      <w:r w:rsidRPr="003B2786">
        <w:rPr>
          <w:rFonts w:ascii="Sylfaen" w:hAnsi="Sylfaen"/>
          <w:sz w:val="24"/>
          <w:szCs w:val="24"/>
        </w:rPr>
        <w:t xml:space="preserve"> ելքը գնահատած անձինք իմացել են խմբային բաշխման մասին: Եթե ոչ, ապա ինչպե՞ս է գնահատվել «կուրացման» հաջողությունը:</w:t>
      </w:r>
    </w:p>
    <w:p w14:paraId="718D2244"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3.4.1.8.</w:t>
      </w:r>
      <w:r w:rsidRPr="003B2786">
        <w:rPr>
          <w:rFonts w:ascii="Sylfaen" w:hAnsi="Sylfaen"/>
          <w:sz w:val="24"/>
          <w:szCs w:val="24"/>
        </w:rPr>
        <w:tab/>
        <w:t>Վիճակագրական մեթոդները:</w:t>
      </w:r>
    </w:p>
    <w:p w14:paraId="4E687028"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Խմբերի՝ ըստ կլինիկական արդյունավետության առաջնային կետերի համեմատության համար օգտագործվող վիճակագրական մեթոդները (ներառյալ՝ հիմնական վերլուծության համար բնակչության խմբերի որոշումը, սխալների հավանականությունը, բազմաքանակության ճշտումը, օգտագործվող վիճակագրական մեթոդների հակիրճ նկարագրությունը, միջանկյալ վերլուծությունները), լրացուցիչ վերլուծությունների մեթոդները (օրինակ՝ ենթախմբերի վերլուծությունը </w:t>
      </w:r>
      <w:r w:rsidR="00C54D75">
        <w:rPr>
          <w:rFonts w:ascii="Sylfaen" w:hAnsi="Sylfaen"/>
          <w:sz w:val="24"/>
          <w:szCs w:val="24"/>
        </w:rPr>
        <w:t>և</w:t>
      </w:r>
      <w:r w:rsidRPr="003B2786">
        <w:rPr>
          <w:rFonts w:ascii="Sylfaen" w:hAnsi="Sylfaen"/>
          <w:sz w:val="24"/>
          <w:szCs w:val="24"/>
        </w:rPr>
        <w:t xml:space="preserve"> ճշտված վերլուծությունները):</w:t>
      </w:r>
    </w:p>
    <w:p w14:paraId="17A38646"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Վիճակագրական վերլուծության պլանի ընդունելիությունը:</w:t>
      </w:r>
    </w:p>
    <w:p w14:paraId="7762F9CD"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Վիճակագրական վերլուծության նախապես տրված պլանից որ</w:t>
      </w:r>
      <w:r w:rsidR="00C54D75">
        <w:rPr>
          <w:rFonts w:ascii="Sylfaen" w:hAnsi="Sylfaen"/>
          <w:sz w:val="24"/>
          <w:szCs w:val="24"/>
        </w:rPr>
        <w:t>և</w:t>
      </w:r>
      <w:r w:rsidRPr="003B2786">
        <w:rPr>
          <w:rFonts w:ascii="Sylfaen" w:hAnsi="Sylfaen"/>
          <w:sz w:val="24"/>
          <w:szCs w:val="24"/>
        </w:rPr>
        <w:t>է շեղում անհրաժեշտ է մեկնաբանել:</w:t>
      </w:r>
    </w:p>
    <w:p w14:paraId="2B162D87"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w:t>
      </w:r>
      <w:r w:rsidRPr="003B2786">
        <w:rPr>
          <w:rFonts w:ascii="Sylfaen" w:hAnsi="Sylfaen"/>
          <w:sz w:val="24"/>
          <w:szCs w:val="24"/>
        </w:rPr>
        <w:tab/>
        <w:t>Արդյունքները:</w:t>
      </w:r>
    </w:p>
    <w:p w14:paraId="0CDD57D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Յուրաքանչյուր կոնկրետ դեպքի համար անհրաժեշտ է հետ</w:t>
      </w:r>
      <w:r w:rsidR="00C54D75">
        <w:rPr>
          <w:rFonts w:ascii="Sylfaen" w:hAnsi="Sylfaen"/>
          <w:sz w:val="24"/>
          <w:szCs w:val="24"/>
        </w:rPr>
        <w:t>և</w:t>
      </w:r>
      <w:r w:rsidRPr="003B2786">
        <w:rPr>
          <w:rFonts w:ascii="Sylfaen" w:hAnsi="Sylfaen"/>
          <w:sz w:val="24"/>
          <w:szCs w:val="24"/>
        </w:rPr>
        <w:t>ել առավել կար</w:t>
      </w:r>
      <w:r w:rsidR="00C54D75">
        <w:rPr>
          <w:rFonts w:ascii="Sylfaen" w:hAnsi="Sylfaen"/>
          <w:sz w:val="24"/>
          <w:szCs w:val="24"/>
        </w:rPr>
        <w:t>և</w:t>
      </w:r>
      <w:r w:rsidRPr="003B2786">
        <w:rPr>
          <w:rFonts w:ascii="Sylfaen" w:hAnsi="Sylfaen"/>
          <w:sz w:val="24"/>
          <w:szCs w:val="24"/>
        </w:rPr>
        <w:t>որ կետերին (տե՛ս մակնշված ցանկը):</w:t>
      </w:r>
    </w:p>
    <w:p w14:paraId="22802ECC"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3.4.2.1.</w:t>
      </w:r>
      <w:r w:rsidRPr="003B2786">
        <w:rPr>
          <w:rFonts w:ascii="Sylfaen" w:hAnsi="Sylfaen"/>
          <w:sz w:val="24"/>
          <w:szCs w:val="24"/>
        </w:rPr>
        <w:tab/>
        <w:t xml:space="preserve">Հետազոտության մեջ մասնակիցների բաշխման սխեման </w:t>
      </w:r>
    </w:p>
    <w:p w14:paraId="2A901177" w14:textId="77777777" w:rsidR="008C76E0" w:rsidRPr="003B2786" w:rsidRDefault="008C76E0" w:rsidP="0092500F">
      <w:pPr>
        <w:spacing w:after="160" w:line="384" w:lineRule="auto"/>
        <w:ind w:right="-1" w:firstLine="567"/>
        <w:jc w:val="both"/>
        <w:rPr>
          <w:rFonts w:ascii="Sylfaen" w:hAnsi="Sylfaen"/>
          <w:sz w:val="24"/>
          <w:szCs w:val="24"/>
        </w:rPr>
      </w:pPr>
      <w:r w:rsidRPr="003B2786">
        <w:rPr>
          <w:rFonts w:ascii="Sylfaen" w:hAnsi="Sylfaen"/>
          <w:sz w:val="24"/>
          <w:szCs w:val="24"/>
        </w:rPr>
        <w:t>Անհրաժեշտ է նկարագրել մասնակիցների կողմից հետազոտության բոլոր փուլերն անցնելու կարգը (հնարավորության դեպքում օգտագործել ստոր</w:t>
      </w:r>
      <w:r w:rsidR="00C54D75">
        <w:rPr>
          <w:rFonts w:ascii="Sylfaen" w:hAnsi="Sylfaen"/>
          <w:sz w:val="24"/>
          <w:szCs w:val="24"/>
        </w:rPr>
        <w:t>և</w:t>
      </w:r>
      <w:r w:rsidRPr="003B2786">
        <w:rPr>
          <w:rFonts w:ascii="Sylfaen" w:hAnsi="Sylfaen"/>
          <w:sz w:val="24"/>
          <w:szCs w:val="24"/>
        </w:rPr>
        <w:t xml:space="preserve"> նշված դիագրամը (կամ որպես այլընտրանք օգտագործել աղյուսակը)):</w:t>
      </w:r>
    </w:p>
    <w:p w14:paraId="73FAD566" w14:textId="77777777" w:rsidR="008C76E0" w:rsidRPr="003B2786" w:rsidRDefault="008C76E0" w:rsidP="0092500F">
      <w:pPr>
        <w:spacing w:after="160" w:line="384" w:lineRule="auto"/>
        <w:ind w:right="-1" w:firstLine="567"/>
        <w:jc w:val="both"/>
        <w:rPr>
          <w:rFonts w:ascii="Sylfaen" w:hAnsi="Sylfaen"/>
          <w:sz w:val="24"/>
          <w:szCs w:val="24"/>
        </w:rPr>
      </w:pPr>
      <w:r w:rsidRPr="003B2786">
        <w:rPr>
          <w:rFonts w:ascii="Sylfaen" w:hAnsi="Sylfaen"/>
          <w:sz w:val="24"/>
          <w:szCs w:val="24"/>
        </w:rPr>
        <w:t xml:space="preserve">Մասնավորապես, յուրաքանչյուր խմբի համար անհրաժեշտ է նշել խմբերում պատահական կարգով բաշխված մասնակիցների թիվը, որոնք ստացել են նշանակված բուժումը, կատարել են հետազոտության արձանագրության պահանջները </w:t>
      </w:r>
      <w:r w:rsidR="00C54D75">
        <w:rPr>
          <w:rFonts w:ascii="Sylfaen" w:hAnsi="Sylfaen"/>
          <w:sz w:val="24"/>
          <w:szCs w:val="24"/>
        </w:rPr>
        <w:t>և</w:t>
      </w:r>
      <w:r w:rsidRPr="003B2786">
        <w:rPr>
          <w:rFonts w:ascii="Sylfaen" w:hAnsi="Sylfaen"/>
          <w:sz w:val="24"/>
          <w:szCs w:val="24"/>
        </w:rPr>
        <w:t xml:space="preserve"> հանձնել առաջնային ելքի որոշման անալիզներ, օրինակ՝</w:t>
      </w:r>
    </w:p>
    <w:p w14:paraId="78D99BB8" w14:textId="77777777" w:rsidR="008C76E0" w:rsidRPr="003B2786" w:rsidRDefault="008C76E0" w:rsidP="0092500F">
      <w:pPr>
        <w:spacing w:after="160" w:line="384" w:lineRule="auto"/>
        <w:ind w:firstLine="567"/>
        <w:jc w:val="both"/>
        <w:rPr>
          <w:rFonts w:ascii="Sylfaen" w:hAnsi="Sylfaen"/>
          <w:sz w:val="24"/>
          <w:szCs w:val="24"/>
        </w:rPr>
      </w:pPr>
      <w:r w:rsidRPr="003B2786">
        <w:rPr>
          <w:rFonts w:ascii="Sylfaen" w:hAnsi="Sylfaen"/>
          <w:sz w:val="24"/>
          <w:szCs w:val="24"/>
        </w:rPr>
        <w:lastRenderedPageBreak/>
        <w:t>հետազոտության մեջ ներառելը (սքրինինգ անցած սուբյեկտների թիվը, պատահական ընտրանքի սուբյեկտների թիվը, հետազոտությունից հանված սուբյեկտների թիվը՝ նշելով հետազոտությանը մասնակցելու համար սուբյեկտների հավաքագրման պատճառը, ամսաթիվը, ժամանակահատվածները),</w:t>
      </w:r>
    </w:p>
    <w:p w14:paraId="4F37D0D0"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բաշխումը (ըստ ազդեցության խմբերի՝ պատահական ընտրանքի սուբյեկտների թիվը, նշանակված բուժումն սկսած սուբյեկտների թիվը, նշանակված բուժումը չսկսած սուբյեկտների թիվը՝ նշելով պատճառները),</w:t>
      </w:r>
    </w:p>
    <w:p w14:paraId="2B5295DA"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 xml:space="preserve">հսկողությունը բուժումն անցնելուց հետո (ըստ ազդեցության խմբերի՝ բուժումն անցնելուց հետո հսկողություն չանցած սուբյեկտների թիվը՝ նշելով պատճառները, բուժումն ընդհատելու դեպքերի քանակն ըստ արձանագրության, հսկողության ժամանակահատվածը), </w:t>
      </w:r>
    </w:p>
    <w:p w14:paraId="1A4BA151"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վերլուծությունը (կլինիկական արդյունավետության առաջնային կետերը որոշելու վերլուծության խմբում ընդգրկված սուբյեկտների թիվը, հանված սուբյեկտների թիվը՝ նշելով պատճառները):</w:t>
      </w:r>
    </w:p>
    <w:p w14:paraId="62786116"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 է ներկայացնել պլանավորված հետազոտությունների արձանագրությունից շեղումների վերաբերյալ տեղեկություններ՝ նշելով պատճառները:</w:t>
      </w:r>
    </w:p>
    <w:p w14:paraId="3F317FD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բուժումից ազատվելու </w:t>
      </w:r>
      <w:r w:rsidR="00C54D75">
        <w:rPr>
          <w:rFonts w:ascii="Sylfaen" w:hAnsi="Sylfaen"/>
          <w:sz w:val="24"/>
          <w:szCs w:val="24"/>
        </w:rPr>
        <w:t>և</w:t>
      </w:r>
      <w:r w:rsidRPr="003B2786">
        <w:rPr>
          <w:rFonts w:ascii="Sylfaen" w:hAnsi="Sylfaen"/>
          <w:sz w:val="24"/>
          <w:szCs w:val="24"/>
        </w:rPr>
        <w:t xml:space="preserve"> հետազոտությունից վաղ դուրս գալու չափորոշիչների նկարագրությունը, եթե այդ տեղեկությունները կնպաստեն արդյունքների մեկնաբանությունը հասկանալուն:</w:t>
      </w:r>
    </w:p>
    <w:p w14:paraId="6901C500"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3.4.2.2.</w:t>
      </w:r>
      <w:r w:rsidRPr="003B2786">
        <w:rPr>
          <w:rFonts w:ascii="Sylfaen" w:hAnsi="Sylfaen"/>
          <w:sz w:val="24"/>
          <w:szCs w:val="24"/>
        </w:rPr>
        <w:tab/>
        <w:t>Մանակիցների հավաքագրումը:</w:t>
      </w:r>
    </w:p>
    <w:p w14:paraId="03EF7AC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Հավաքագրման </w:t>
      </w:r>
      <w:r w:rsidR="00C54D75">
        <w:rPr>
          <w:rFonts w:ascii="Sylfaen" w:hAnsi="Sylfaen"/>
          <w:sz w:val="24"/>
          <w:szCs w:val="24"/>
        </w:rPr>
        <w:t>և</w:t>
      </w:r>
      <w:r w:rsidRPr="003B2786">
        <w:rPr>
          <w:rFonts w:ascii="Sylfaen" w:hAnsi="Sylfaen"/>
          <w:sz w:val="24"/>
          <w:szCs w:val="24"/>
        </w:rPr>
        <w:t xml:space="preserve"> բուժումն անցկացնելուց հետո հսկողության ամսաթվերը:</w:t>
      </w:r>
    </w:p>
    <w:p w14:paraId="1546D03C"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3.4.2.3.</w:t>
      </w:r>
      <w:r w:rsidRPr="003B2786">
        <w:rPr>
          <w:rFonts w:ascii="Sylfaen" w:hAnsi="Sylfaen"/>
          <w:sz w:val="24"/>
          <w:szCs w:val="24"/>
        </w:rPr>
        <w:tab/>
        <w:t>Հետազոտության անցկացումը:</w:t>
      </w:r>
    </w:p>
    <w:p w14:paraId="58AF456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նշել, թե արդյոք արձանագրությունում էական փոփոխություններ են մտցվել (եթե դա նկարագրված չէ վիճակագրական վերլուծության բաժնում): Կիրառելիության դեպքում անհրաժեշտ է ներկայացնել </w:t>
      </w:r>
      <w:r w:rsidRPr="003B2786">
        <w:rPr>
          <w:rFonts w:ascii="Sylfaen" w:hAnsi="Sylfaen"/>
          <w:sz w:val="24"/>
          <w:szCs w:val="24"/>
        </w:rPr>
        <w:lastRenderedPageBreak/>
        <w:t xml:space="preserve">արձանագրության </w:t>
      </w:r>
      <w:r w:rsidR="00C54D75">
        <w:rPr>
          <w:rFonts w:ascii="Sylfaen" w:hAnsi="Sylfaen"/>
          <w:sz w:val="24"/>
          <w:szCs w:val="24"/>
        </w:rPr>
        <w:t>և</w:t>
      </w:r>
      <w:r w:rsidRPr="003B2786">
        <w:rPr>
          <w:rFonts w:ascii="Sylfaen" w:hAnsi="Sylfaen"/>
          <w:sz w:val="24"/>
          <w:szCs w:val="24"/>
        </w:rPr>
        <w:t xml:space="preserve"> Միության պատշաճ կլինիկական գործունեության կանոնների պահպանման մասով ստուգման արդյունքների վերաբերյալ տեղեկություններ:</w:t>
      </w:r>
    </w:p>
    <w:p w14:paraId="570604FD" w14:textId="77777777" w:rsidR="008C76E0" w:rsidRPr="003B2786" w:rsidRDefault="008C76E0" w:rsidP="00262653">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3.4.2.4.</w:t>
      </w:r>
      <w:r w:rsidRPr="003B2786">
        <w:rPr>
          <w:rFonts w:ascii="Sylfaen" w:hAnsi="Sylfaen"/>
          <w:sz w:val="24"/>
          <w:szCs w:val="24"/>
        </w:rPr>
        <w:tab/>
        <w:t>Ելակետային տվյալներ:</w:t>
      </w:r>
    </w:p>
    <w:p w14:paraId="1CFA3AD3"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Յուրաքանչյուր խմբի ժողովրդագրական </w:t>
      </w:r>
      <w:r w:rsidR="00C54D75">
        <w:rPr>
          <w:rFonts w:ascii="Sylfaen" w:hAnsi="Sylfaen"/>
          <w:sz w:val="24"/>
          <w:szCs w:val="24"/>
        </w:rPr>
        <w:t>և</w:t>
      </w:r>
      <w:r w:rsidRPr="003B2786">
        <w:rPr>
          <w:rFonts w:ascii="Sylfaen" w:hAnsi="Sylfaen"/>
          <w:sz w:val="24"/>
          <w:szCs w:val="24"/>
        </w:rPr>
        <w:t xml:space="preserve"> կլինիկական ելակետային բնութագրերը:</w:t>
      </w:r>
    </w:p>
    <w:p w14:paraId="46AF6D1F"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Մասնավորապես, ըստ ազդեցության բոլոր խմբերի՝ անհրաժեշտ է ներկայացնել բնութագրերի անհամաչափության մասին վկայող տեղեկություններ: </w:t>
      </w:r>
    </w:p>
    <w:p w14:paraId="52FA0824"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Անհրաժեշտ է մեկնաբանել, թե ինչպես են բնակչության հետազոտվող խմբի բնութագրերն արտացոլում պատրաստուկի կիրառման ենթադրյալ ցուցումը (կամ հետաձգել մեկնաբանությունները մինչ դրանք ընդհանուր եզրահանգումների մեջ ներառելը):</w:t>
      </w:r>
    </w:p>
    <w:p w14:paraId="5D172AAA"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 է մեկնաբանել ազդեցության խմբերի միջ</w:t>
      </w:r>
      <w:r w:rsidR="00C54D75">
        <w:rPr>
          <w:rFonts w:ascii="Sylfaen" w:hAnsi="Sylfaen"/>
          <w:sz w:val="24"/>
          <w:szCs w:val="24"/>
        </w:rPr>
        <w:t>և</w:t>
      </w:r>
      <w:r w:rsidRPr="003B2786">
        <w:rPr>
          <w:rFonts w:ascii="Sylfaen" w:hAnsi="Sylfaen"/>
          <w:sz w:val="24"/>
          <w:szCs w:val="24"/>
        </w:rPr>
        <w:t xml:space="preserve"> նմանությունները </w:t>
      </w:r>
      <w:r w:rsidR="00C54D75">
        <w:rPr>
          <w:rFonts w:ascii="Sylfaen" w:hAnsi="Sylfaen"/>
          <w:sz w:val="24"/>
          <w:szCs w:val="24"/>
        </w:rPr>
        <w:t>և</w:t>
      </w:r>
      <w:r w:rsidRPr="003B2786">
        <w:rPr>
          <w:rFonts w:ascii="Sylfaen" w:hAnsi="Sylfaen"/>
          <w:sz w:val="24"/>
          <w:szCs w:val="24"/>
        </w:rPr>
        <w:t xml:space="preserve"> տարբերությունները (եթե կիրառելի է):</w:t>
      </w:r>
    </w:p>
    <w:p w14:paraId="5CCC909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Անհրաժեշտության դեպքում ներկայացվում են բուժման նկատմամբ մասնակիցների հակվածության վերաբերյալ մեկնաբանություններ:</w:t>
      </w:r>
    </w:p>
    <w:p w14:paraId="2ED348EC"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3.4.2.5.</w:t>
      </w:r>
      <w:r w:rsidRPr="003B2786">
        <w:rPr>
          <w:rFonts w:ascii="Sylfaen" w:hAnsi="Sylfaen"/>
          <w:sz w:val="24"/>
          <w:szCs w:val="24"/>
        </w:rPr>
        <w:tab/>
        <w:t>Վերլուծված ընտրանքը:</w:t>
      </w:r>
    </w:p>
    <w:p w14:paraId="7AA1405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 է նշել յուրաքանչյուր վերլուծության մեջ ներառված մասնակիցների թիվը (հայտարարը) յուրաքանչյուր խմբում, ինչպես նա</w:t>
      </w:r>
      <w:r w:rsidR="00C54D75">
        <w:rPr>
          <w:rFonts w:ascii="Sylfaen" w:hAnsi="Sylfaen"/>
          <w:sz w:val="24"/>
          <w:szCs w:val="24"/>
        </w:rPr>
        <w:t>և</w:t>
      </w:r>
      <w:r w:rsidRPr="003B2786">
        <w:rPr>
          <w:rFonts w:ascii="Sylfaen" w:hAnsi="Sylfaen"/>
          <w:sz w:val="24"/>
          <w:szCs w:val="24"/>
        </w:rPr>
        <w:t>՝ արդյոք վերլուծությանը մասնակցելը պայմանավորված է եղել «բուժման նկատմամբ հակվածությամբ»: Հնարավորության դեպքում արդյունքները ներկայացվում են բացարձակ թվերով (օրինակ՝ 10/20, բայց ոչ 50%):</w:t>
      </w:r>
    </w:p>
    <w:p w14:paraId="172DB202"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3.4.2.6.</w:t>
      </w:r>
      <w:r w:rsidRPr="003B2786">
        <w:rPr>
          <w:rFonts w:ascii="Sylfaen" w:hAnsi="Sylfaen"/>
          <w:sz w:val="24"/>
          <w:szCs w:val="24"/>
        </w:rPr>
        <w:tab/>
        <w:t>Ելքերն ու գնահատումը:</w:t>
      </w:r>
    </w:p>
    <w:p w14:paraId="4F12A1F6"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ներկայացնել յուրաքանչյուր խմբի սուբյեկտների շրջանում յուրաքանչյուր առաջնային </w:t>
      </w:r>
      <w:r w:rsidR="00C54D75">
        <w:rPr>
          <w:rFonts w:ascii="Sylfaen" w:hAnsi="Sylfaen"/>
          <w:sz w:val="24"/>
          <w:szCs w:val="24"/>
        </w:rPr>
        <w:t>և</w:t>
      </w:r>
      <w:r w:rsidRPr="003B2786">
        <w:rPr>
          <w:rFonts w:ascii="Sylfaen" w:hAnsi="Sylfaen"/>
          <w:sz w:val="24"/>
          <w:szCs w:val="24"/>
        </w:rPr>
        <w:t xml:space="preserve"> երկրորդային ելքի վերաբերյալ արդյունքների համառոտ ամփոփում՝ հաշվարկային ճշգրտությամբ (օրինակ՝ 95% CI): </w:t>
      </w:r>
    </w:p>
    <w:p w14:paraId="18DC2CC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Անհրաժեշտ է նկարագրել դիտվող ազդեցության կլինիկական նշանակությունը, քանի որ դա կարող է հատկապես կար</w:t>
      </w:r>
      <w:r w:rsidR="00C54D75">
        <w:rPr>
          <w:rFonts w:ascii="Sylfaen" w:hAnsi="Sylfaen"/>
          <w:sz w:val="24"/>
          <w:szCs w:val="24"/>
        </w:rPr>
        <w:t>և</w:t>
      </w:r>
      <w:r w:rsidRPr="003B2786">
        <w:rPr>
          <w:rFonts w:ascii="Sylfaen" w:hAnsi="Sylfaen"/>
          <w:sz w:val="24"/>
          <w:szCs w:val="24"/>
        </w:rPr>
        <w:t>որ լինել օգուտ-ռիսկ հարաբերության գնահատման համար:</w:t>
      </w:r>
    </w:p>
    <w:p w14:paraId="51AF13BA" w14:textId="77777777" w:rsidR="008C76E0" w:rsidRPr="003B2786" w:rsidRDefault="008C76E0" w:rsidP="00262653">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3.4.2.7.</w:t>
      </w:r>
      <w:r w:rsidRPr="003B2786">
        <w:rPr>
          <w:rFonts w:ascii="Sylfaen" w:hAnsi="Sylfaen"/>
          <w:sz w:val="24"/>
          <w:szCs w:val="24"/>
        </w:rPr>
        <w:tab/>
        <w:t>Լրացուցիչ վերլուծությունները:</w:t>
      </w:r>
    </w:p>
    <w:p w14:paraId="4494B850"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մեկնաբանել անցկացված մի շարք վերլուծությունների վերաբերյալ ներկայացված տեղեկությունները՝ ներառյալ ենթախմբային վերլուծությունը </w:t>
      </w:r>
      <w:r w:rsidR="00C54D75">
        <w:rPr>
          <w:rFonts w:ascii="Sylfaen" w:hAnsi="Sylfaen"/>
          <w:sz w:val="24"/>
          <w:szCs w:val="24"/>
        </w:rPr>
        <w:t>և</w:t>
      </w:r>
      <w:r w:rsidRPr="003B2786">
        <w:rPr>
          <w:rFonts w:ascii="Sylfaen" w:hAnsi="Sylfaen"/>
          <w:sz w:val="24"/>
          <w:szCs w:val="24"/>
        </w:rPr>
        <w:t xml:space="preserve"> շտկված վերլուծությունները, ինչպես նա</w:t>
      </w:r>
      <w:r w:rsidR="00C54D75">
        <w:rPr>
          <w:rFonts w:ascii="Sylfaen" w:hAnsi="Sylfaen"/>
          <w:sz w:val="24"/>
          <w:szCs w:val="24"/>
        </w:rPr>
        <w:t>և</w:t>
      </w:r>
      <w:r w:rsidRPr="003B2786">
        <w:rPr>
          <w:rFonts w:ascii="Sylfaen" w:hAnsi="Sylfaen"/>
          <w:sz w:val="24"/>
          <w:szCs w:val="24"/>
        </w:rPr>
        <w:t xml:space="preserve"> ծրագրված </w:t>
      </w:r>
      <w:r w:rsidR="00C54D75">
        <w:rPr>
          <w:rFonts w:ascii="Sylfaen" w:hAnsi="Sylfaen"/>
          <w:sz w:val="24"/>
          <w:szCs w:val="24"/>
        </w:rPr>
        <w:t>և</w:t>
      </w:r>
      <w:r w:rsidRPr="003B2786">
        <w:rPr>
          <w:rFonts w:ascii="Sylfaen" w:hAnsi="Sylfaen"/>
          <w:sz w:val="24"/>
          <w:szCs w:val="24"/>
        </w:rPr>
        <w:t xml:space="preserve"> ամփոփիչ վերլուծությունները (ստացված արդյունքների վերաբերյալ ենթախմբային վերլուծությունները </w:t>
      </w:r>
      <w:r w:rsidR="00C54D75">
        <w:rPr>
          <w:rFonts w:ascii="Sylfaen" w:hAnsi="Sylfaen"/>
          <w:sz w:val="24"/>
          <w:szCs w:val="24"/>
        </w:rPr>
        <w:t>և</w:t>
      </w:r>
      <w:r w:rsidRPr="003B2786">
        <w:rPr>
          <w:rFonts w:ascii="Sylfaen" w:hAnsi="Sylfaen"/>
          <w:sz w:val="24"/>
          <w:szCs w:val="24"/>
        </w:rPr>
        <w:t xml:space="preserve"> այլ վերլուծություններ):</w:t>
      </w:r>
    </w:p>
    <w:p w14:paraId="186FA490"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Կարող է պահանջվել վերլուծության ընտրության հիմնավորումների շարադրում:</w:t>
      </w:r>
    </w:p>
    <w:p w14:paraId="0E08F771" w14:textId="77777777" w:rsidR="008C76E0" w:rsidRPr="003B2786" w:rsidRDefault="008C76E0" w:rsidP="00262653">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3.4.2.8.</w:t>
      </w:r>
      <w:r w:rsidRPr="003B2786">
        <w:rPr>
          <w:rFonts w:ascii="Sylfaen" w:hAnsi="Sylfaen"/>
          <w:sz w:val="24"/>
          <w:szCs w:val="24"/>
        </w:rPr>
        <w:tab/>
        <w:t>Արդյունավետության հիմնական արդյունքների համառոտ ամփոփումը:</w:t>
      </w:r>
    </w:p>
    <w:p w14:paraId="09095656" w14:textId="77777777" w:rsidR="008C76E0" w:rsidRPr="003B2786" w:rsidRDefault="008C76E0" w:rsidP="0092500F">
      <w:pPr>
        <w:spacing w:after="160" w:line="384" w:lineRule="auto"/>
        <w:ind w:firstLine="567"/>
        <w:jc w:val="both"/>
        <w:rPr>
          <w:rFonts w:ascii="Sylfaen" w:hAnsi="Sylfaen"/>
          <w:sz w:val="24"/>
          <w:szCs w:val="24"/>
        </w:rPr>
      </w:pPr>
      <w:r w:rsidRPr="003B2786">
        <w:rPr>
          <w:rFonts w:ascii="Sylfaen" w:hAnsi="Sylfaen"/>
          <w:sz w:val="24"/>
          <w:szCs w:val="24"/>
        </w:rPr>
        <w:t>Հարկավոր է ընդհանրացնել (աղյուսակային ձ</w:t>
      </w:r>
      <w:r w:rsidR="00C54D75">
        <w:rPr>
          <w:rFonts w:ascii="Sylfaen" w:hAnsi="Sylfaen"/>
          <w:sz w:val="24"/>
          <w:szCs w:val="24"/>
        </w:rPr>
        <w:t>և</w:t>
      </w:r>
      <w:r w:rsidRPr="003B2786">
        <w:rPr>
          <w:rFonts w:ascii="Sylfaen" w:hAnsi="Sylfaen"/>
          <w:sz w:val="24"/>
          <w:szCs w:val="24"/>
        </w:rPr>
        <w:t>ով) արդյունավետության հիմնական հետազոտության արդյունքներն արտացոլող առավել արդիական տեղեկատվությունը: Տվյալ ընդհանրացված տեղեկությունները պետք է հարմարեցվեն արդյունավետության վերաբերյալ եզրակացություն կազմելու համար անդամ պետությունների լիազորված փորձագիտական կազմակերպությունների կողմից օգտագործված տվյալների ամբողջությանը: Այսպիսով, կար</w:t>
      </w:r>
      <w:r w:rsidR="00C54D75">
        <w:rPr>
          <w:rFonts w:ascii="Sylfaen" w:hAnsi="Sylfaen"/>
          <w:sz w:val="24"/>
          <w:szCs w:val="24"/>
        </w:rPr>
        <w:t>և</w:t>
      </w:r>
      <w:r w:rsidRPr="003B2786">
        <w:rPr>
          <w:rFonts w:ascii="Sylfaen" w:hAnsi="Sylfaen"/>
          <w:sz w:val="24"/>
          <w:szCs w:val="24"/>
        </w:rPr>
        <w:t xml:space="preserve">որ է արտացոլել առավել նշանակալից համարվող վերլուծության արդյունքները (նախընտրելի է ընդհանուր ընտրանքի </w:t>
      </w:r>
      <w:r w:rsidR="00C54D75">
        <w:rPr>
          <w:rFonts w:ascii="Sylfaen" w:hAnsi="Sylfaen"/>
          <w:sz w:val="24"/>
          <w:szCs w:val="24"/>
        </w:rPr>
        <w:t>և</w:t>
      </w:r>
      <w:r w:rsidRPr="003B2786">
        <w:rPr>
          <w:rFonts w:ascii="Sylfaen" w:hAnsi="Sylfaen"/>
          <w:sz w:val="24"/>
          <w:szCs w:val="24"/>
        </w:rPr>
        <w:t xml:space="preserve"> համաձայն արձանագրության՝ հետազոտության մեջ իրենց մասնակցությունն ավարտած պացիենտների խմբի վերլուծությունը, սակայն հնարավոր է նա</w:t>
      </w:r>
      <w:r w:rsidR="00C54D75">
        <w:rPr>
          <w:rFonts w:ascii="Sylfaen" w:hAnsi="Sylfaen"/>
          <w:sz w:val="24"/>
          <w:szCs w:val="24"/>
        </w:rPr>
        <w:t>և</w:t>
      </w:r>
      <w:r w:rsidRPr="003B2786">
        <w:rPr>
          <w:rFonts w:ascii="Sylfaen" w:hAnsi="Sylfaen"/>
          <w:sz w:val="24"/>
          <w:szCs w:val="24"/>
        </w:rPr>
        <w:t xml:space="preserve"> կլինիկորեն սահմանված ենթախմբային վերլուծություն (նախապես ծրագրված վերլուծություն կամ վերլուծություն՝ ըստ արդյունքների, </w:t>
      </w:r>
      <w:r w:rsidR="00C54D75">
        <w:rPr>
          <w:rFonts w:ascii="Sylfaen" w:hAnsi="Sylfaen"/>
          <w:sz w:val="24"/>
          <w:szCs w:val="24"/>
        </w:rPr>
        <w:t>և</w:t>
      </w:r>
      <w:r w:rsidRPr="003B2786">
        <w:rPr>
          <w:rFonts w:ascii="Sylfaen" w:hAnsi="Sylfaen"/>
          <w:sz w:val="24"/>
          <w:szCs w:val="24"/>
        </w:rPr>
        <w:t xml:space="preserve"> այլն)): Նախապես ծրագրված առաջնային վերլուծության տվյալները պետք է ամեն դեպքում ներկայացվեն:</w:t>
      </w:r>
    </w:p>
    <w:p w14:paraId="4641E221" w14:textId="77777777" w:rsidR="008C76E0" w:rsidRPr="003B2786" w:rsidRDefault="008C76E0" w:rsidP="0092500F">
      <w:pPr>
        <w:spacing w:after="160" w:line="384" w:lineRule="auto"/>
        <w:ind w:firstLine="567"/>
        <w:jc w:val="both"/>
        <w:rPr>
          <w:rFonts w:ascii="Sylfaen" w:hAnsi="Sylfaen"/>
          <w:sz w:val="24"/>
          <w:szCs w:val="24"/>
        </w:rPr>
      </w:pPr>
      <w:r w:rsidRPr="003B2786">
        <w:rPr>
          <w:rFonts w:ascii="Sylfaen" w:hAnsi="Sylfaen"/>
          <w:sz w:val="24"/>
          <w:szCs w:val="24"/>
        </w:rPr>
        <w:lastRenderedPageBreak/>
        <w:t>Կոնկրետ հետազոտությունների տվյալներն արտացոլելու համար անհրաժեշտ է օգտագործել ստանդարտ ձ</w:t>
      </w:r>
      <w:r w:rsidR="00C54D75">
        <w:rPr>
          <w:rFonts w:ascii="Sylfaen" w:hAnsi="Sylfaen"/>
          <w:sz w:val="24"/>
          <w:szCs w:val="24"/>
        </w:rPr>
        <w:t>և</w:t>
      </w:r>
      <w:r w:rsidRPr="003B2786">
        <w:rPr>
          <w:rFonts w:ascii="Sylfaen" w:hAnsi="Sylfaen"/>
          <w:sz w:val="24"/>
          <w:szCs w:val="24"/>
        </w:rPr>
        <w:t>ի հետ</w:t>
      </w:r>
      <w:r w:rsidR="00C54D75">
        <w:rPr>
          <w:rFonts w:ascii="Sylfaen" w:hAnsi="Sylfaen"/>
          <w:sz w:val="24"/>
          <w:szCs w:val="24"/>
        </w:rPr>
        <w:t>և</w:t>
      </w:r>
      <w:r w:rsidRPr="003B2786">
        <w:rPr>
          <w:rFonts w:ascii="Sylfaen" w:hAnsi="Sylfaen"/>
          <w:sz w:val="24"/>
          <w:szCs w:val="24"/>
        </w:rPr>
        <w:t xml:space="preserve">յալ աղյուսակը: Մանրամասնեցման մակարդակը պետք է ապահովի հետագա մեկնաբանության </w:t>
      </w:r>
      <w:r w:rsidR="00C54D75">
        <w:rPr>
          <w:rFonts w:ascii="Sylfaen" w:hAnsi="Sylfaen"/>
          <w:sz w:val="24"/>
          <w:szCs w:val="24"/>
        </w:rPr>
        <w:t>և</w:t>
      </w:r>
      <w:r w:rsidRPr="003B2786">
        <w:rPr>
          <w:rFonts w:ascii="Sylfaen" w:hAnsi="Sylfaen"/>
          <w:sz w:val="24"/>
          <w:szCs w:val="24"/>
        </w:rPr>
        <w:t xml:space="preserve"> պատրաստուկի օգուտի վերաբերյալ եզրակացության, ինչպես նա</w:t>
      </w:r>
      <w:r w:rsidR="00C54D75">
        <w:rPr>
          <w:rFonts w:ascii="Sylfaen" w:hAnsi="Sylfaen"/>
          <w:sz w:val="24"/>
          <w:szCs w:val="24"/>
        </w:rPr>
        <w:t>և</w:t>
      </w:r>
      <w:r w:rsidRPr="003B2786">
        <w:rPr>
          <w:rFonts w:ascii="Sylfaen" w:hAnsi="Sylfaen"/>
          <w:sz w:val="24"/>
          <w:szCs w:val="24"/>
        </w:rPr>
        <w:t xml:space="preserve"> օգուտ-ռիսկ հարաբերակցության ամփոփման համար տվյալների օգտագործման հնարավորությունը: Բուժման խմբերի տվյալները, ինչպես նա</w:t>
      </w:r>
      <w:r w:rsidR="00C54D75">
        <w:rPr>
          <w:rFonts w:ascii="Sylfaen" w:hAnsi="Sylfaen"/>
          <w:sz w:val="24"/>
          <w:szCs w:val="24"/>
        </w:rPr>
        <w:t>և</w:t>
      </w:r>
      <w:r w:rsidRPr="003B2786">
        <w:rPr>
          <w:rFonts w:ascii="Sylfaen" w:hAnsi="Sylfaen"/>
          <w:sz w:val="24"/>
          <w:szCs w:val="24"/>
        </w:rPr>
        <w:t xml:space="preserve"> տարբեր սուբյեկտների ամբողջության վերաբերյալ տեղեկությունները, որոնք ենթակա են վերլուծության, պետք է ներկայացվեն առանձին վանդակներով (օրինակ՝ արձանագրության համաձայն՝ հետազոտության մեջ մասնակցությունն ավարտած պացիենտների ընդհանուր ընտրանքը </w:t>
      </w:r>
      <w:r w:rsidR="00C54D75">
        <w:rPr>
          <w:rFonts w:ascii="Sylfaen" w:hAnsi="Sylfaen"/>
          <w:sz w:val="24"/>
          <w:szCs w:val="24"/>
        </w:rPr>
        <w:t>և</w:t>
      </w:r>
      <w:r w:rsidRPr="003B2786">
        <w:rPr>
          <w:rFonts w:ascii="Sylfaen" w:hAnsi="Sylfaen"/>
          <w:sz w:val="24"/>
          <w:szCs w:val="24"/>
        </w:rPr>
        <w:t xml:space="preserve"> խումբը): Հեռացման պատճառները պետք է ընդհանրացվեն:</w:t>
      </w:r>
    </w:p>
    <w:p w14:paraId="688CF15D" w14:textId="77777777" w:rsidR="008C76E0" w:rsidRPr="003B2786" w:rsidRDefault="008C76E0" w:rsidP="0092500F">
      <w:pPr>
        <w:spacing w:after="160" w:line="384" w:lineRule="auto"/>
        <w:ind w:firstLine="567"/>
        <w:jc w:val="both"/>
        <w:rPr>
          <w:rFonts w:ascii="Sylfaen" w:hAnsi="Sylfaen"/>
          <w:sz w:val="24"/>
          <w:szCs w:val="24"/>
        </w:rPr>
      </w:pPr>
      <w:r w:rsidRPr="003B2786">
        <w:rPr>
          <w:rFonts w:ascii="Sylfaen" w:hAnsi="Sylfaen"/>
          <w:sz w:val="24"/>
          <w:szCs w:val="24"/>
        </w:rPr>
        <w:t xml:space="preserve">Տարբեր հիմնական փորձարկումների տվյալները պետք է ներկայացվեն առանձին աղյուսակներով: Բացի տվյալ աղյուսակներից՝ այս բաժնում լրացուցիչ տեքստի ներառում չի նախատեսվում: Տվյալ փորձարկումների մանրամասն նկարագրությունը՝ բովանդակային պլանի կառուցվածքի </w:t>
      </w:r>
      <w:r w:rsidR="00C54D75">
        <w:rPr>
          <w:rFonts w:ascii="Sylfaen" w:hAnsi="Sylfaen"/>
          <w:sz w:val="24"/>
          <w:szCs w:val="24"/>
        </w:rPr>
        <w:t>և</w:t>
      </w:r>
      <w:r w:rsidRPr="003B2786">
        <w:rPr>
          <w:rFonts w:ascii="Sylfaen" w:hAnsi="Sylfaen"/>
          <w:sz w:val="24"/>
          <w:szCs w:val="24"/>
        </w:rPr>
        <w:t xml:space="preserve"> հարաբերակցությունների հաշվարկի վերաբերյալ կոնկրետ տեղեկատվությամբ, ներկայացվում է մյուս բաժիններում: Անվտանգության վերաբերյալ տվյալները ենթակա են արտացոլման «Կլինիկական անվտանգություն» բաժնում:</w:t>
      </w:r>
    </w:p>
    <w:p w14:paraId="021473C6"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3.5.</w:t>
      </w:r>
      <w:r w:rsidRPr="003B2786">
        <w:rPr>
          <w:rFonts w:ascii="Sylfaen" w:hAnsi="Sylfaen"/>
          <w:sz w:val="24"/>
          <w:szCs w:val="24"/>
        </w:rPr>
        <w:tab/>
        <w:t>Կլինիկական հետազոտությունները բնակչության հատուկ խմբերի շրջանում:</w:t>
      </w:r>
    </w:p>
    <w:p w14:paraId="65AA377D" w14:textId="77777777" w:rsidR="008C76E0" w:rsidRPr="003B2786" w:rsidRDefault="008C76E0" w:rsidP="0092500F">
      <w:pPr>
        <w:spacing w:after="160" w:line="384" w:lineRule="auto"/>
        <w:ind w:firstLine="567"/>
        <w:jc w:val="both"/>
        <w:rPr>
          <w:rFonts w:ascii="Sylfaen" w:hAnsi="Sylfaen"/>
          <w:sz w:val="24"/>
          <w:szCs w:val="24"/>
        </w:rPr>
      </w:pPr>
      <w:r w:rsidRPr="003B2786">
        <w:rPr>
          <w:rFonts w:ascii="Sylfaen" w:hAnsi="Sylfaen"/>
          <w:sz w:val="24"/>
          <w:szCs w:val="24"/>
        </w:rPr>
        <w:t xml:space="preserve">Տվյալ բաժնում հարկավոր է նկարագրել հատուկ հետազոտությունները (օրինակ՝ երեխաների, տարեց մարդկանց </w:t>
      </w:r>
      <w:r w:rsidR="00C54D75">
        <w:rPr>
          <w:rFonts w:ascii="Sylfaen" w:hAnsi="Sylfaen"/>
          <w:sz w:val="24"/>
          <w:szCs w:val="24"/>
        </w:rPr>
        <w:t>և</w:t>
      </w:r>
      <w:r w:rsidRPr="003B2786">
        <w:rPr>
          <w:rFonts w:ascii="Sylfaen" w:hAnsi="Sylfaen"/>
          <w:sz w:val="24"/>
          <w:szCs w:val="24"/>
        </w:rPr>
        <w:t xml:space="preserve"> երիկամային կամ լյարդի անբավարարությամբ տառապող սուբյեկտների շրջանում): Տվյալ հետազոտություններն անհրաժեշտ է նկարագրել հիմնական հետազոտությունների վերաբերյալ առաջարկությունների համաձայն՝ ներառյալ դեղաչափերի ճշտման վերաբերյալ նկատառումները: </w:t>
      </w:r>
    </w:p>
    <w:p w14:paraId="4E1F97F8"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lastRenderedPageBreak/>
        <w:t>3.6.</w:t>
      </w:r>
      <w:r w:rsidRPr="003B2786">
        <w:rPr>
          <w:rFonts w:ascii="Sylfaen" w:hAnsi="Sylfaen"/>
          <w:sz w:val="24"/>
          <w:szCs w:val="24"/>
        </w:rPr>
        <w:tab/>
        <w:t xml:space="preserve">Փորձարկումների անցկացման շրջանակներում կատարվող վերլուծությունը (ամփոփ վերլուծություն </w:t>
      </w:r>
      <w:r w:rsidR="00C54D75">
        <w:rPr>
          <w:rFonts w:ascii="Sylfaen" w:hAnsi="Sylfaen"/>
          <w:sz w:val="24"/>
          <w:szCs w:val="24"/>
        </w:rPr>
        <w:t>և</w:t>
      </w:r>
      <w:r w:rsidRPr="003B2786">
        <w:rPr>
          <w:rFonts w:ascii="Sylfaen" w:hAnsi="Sylfaen"/>
          <w:sz w:val="24"/>
          <w:szCs w:val="24"/>
        </w:rPr>
        <w:t xml:space="preserve"> մետա-վերլուծություն):</w:t>
      </w:r>
    </w:p>
    <w:p w14:paraId="2D15E29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Տվյալ բաժնում պետք է նշել տվյալ վերլուծությունների չափորոշիչները՝ ներառյալ ամփոփիչ վերլուծությունը տվյալների ողջ բազայով՝ հաշվի առնելով ազդեցության տարբեր մոդիֆիկատորները (սեռը, տարիքը, պատրատուկի ազդեցությունն ուղեկցող հիվանդությունների վրա, ծխելը </w:t>
      </w:r>
      <w:r w:rsidR="00C54D75">
        <w:rPr>
          <w:rFonts w:ascii="Sylfaen" w:hAnsi="Sylfaen"/>
          <w:sz w:val="24"/>
          <w:szCs w:val="24"/>
        </w:rPr>
        <w:t>և</w:t>
      </w:r>
      <w:r w:rsidRPr="003B2786">
        <w:rPr>
          <w:rFonts w:ascii="Sylfaen" w:hAnsi="Sylfaen"/>
          <w:sz w:val="24"/>
          <w:szCs w:val="24"/>
        </w:rPr>
        <w:t xml:space="preserve"> այլն):</w:t>
      </w:r>
    </w:p>
    <w:p w14:paraId="3BA3222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Կարող է նա</w:t>
      </w:r>
      <w:r w:rsidR="00C54D75">
        <w:rPr>
          <w:rFonts w:ascii="Sylfaen" w:hAnsi="Sylfaen"/>
          <w:sz w:val="24"/>
          <w:szCs w:val="24"/>
        </w:rPr>
        <w:t>և</w:t>
      </w:r>
      <w:r w:rsidRPr="003B2786">
        <w:rPr>
          <w:rFonts w:ascii="Sylfaen" w:hAnsi="Sylfaen"/>
          <w:sz w:val="24"/>
          <w:szCs w:val="24"/>
        </w:rPr>
        <w:t xml:space="preserve"> պահանջվել բնակչության հատուկ խմբերի շրջանում «դեղաչափ-ազդեցություն» հարաբերակցության ամփոփում (քաշը, կրեատինինի կլիրենսը </w:t>
      </w:r>
      <w:r w:rsidR="00C54D75">
        <w:rPr>
          <w:rFonts w:ascii="Sylfaen" w:hAnsi="Sylfaen"/>
          <w:sz w:val="24"/>
          <w:szCs w:val="24"/>
        </w:rPr>
        <w:t>և</w:t>
      </w:r>
      <w:r w:rsidRPr="003B2786">
        <w:rPr>
          <w:rFonts w:ascii="Sylfaen" w:hAnsi="Sylfaen"/>
          <w:sz w:val="24"/>
          <w:szCs w:val="24"/>
        </w:rPr>
        <w:t xml:space="preserve"> այլն):</w:t>
      </w:r>
    </w:p>
    <w:p w14:paraId="7C624E2A"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3.7.</w:t>
      </w:r>
      <w:r w:rsidRPr="003B2786">
        <w:rPr>
          <w:rFonts w:ascii="Sylfaen" w:hAnsi="Sylfaen"/>
          <w:sz w:val="24"/>
          <w:szCs w:val="24"/>
        </w:rPr>
        <w:tab/>
        <w:t>Լրացուցիչ հետազոտությունները:</w:t>
      </w:r>
    </w:p>
    <w:p w14:paraId="625DA83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Լրացուցիչ հետազոտությունները ենթակա են համառոտ ամփոփման՝ կումուլյատիվ մոտեցման կիրառմամբ: Կենսադեղագործական պատրաստուկների վերաբերյալ հարկավոր է նշել հակամարմինների առաջացումը </w:t>
      </w:r>
      <w:r w:rsidR="00C54D75">
        <w:rPr>
          <w:rFonts w:ascii="Sylfaen" w:hAnsi="Sylfaen"/>
          <w:sz w:val="24"/>
          <w:szCs w:val="24"/>
        </w:rPr>
        <w:t>և</w:t>
      </w:r>
      <w:r w:rsidRPr="003B2786">
        <w:rPr>
          <w:rFonts w:ascii="Sylfaen" w:hAnsi="Sylfaen"/>
          <w:sz w:val="24"/>
          <w:szCs w:val="24"/>
        </w:rPr>
        <w:t xml:space="preserve"> համապատասխան ազդեցությունն արդյունավետության վրա (օրինակ՝ տեղեկություններ՝ չեզոքացնող հակամարմինների վերաբերյալ):</w:t>
      </w:r>
    </w:p>
    <w:p w14:paraId="3E0AB1FA"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3.8.</w:t>
      </w:r>
      <w:r w:rsidRPr="003B2786">
        <w:rPr>
          <w:rFonts w:ascii="Sylfaen" w:hAnsi="Sylfaen"/>
          <w:sz w:val="24"/>
          <w:szCs w:val="24"/>
        </w:rPr>
        <w:tab/>
        <w:t>Փորձագետի ընդհանուր եզրակացությունը՝ կլինիկական արդյունավետության գնահատման վերաբերյալ:</w:t>
      </w:r>
    </w:p>
    <w:p w14:paraId="3B5A8A8E"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3.8.1.</w:t>
      </w:r>
      <w:r w:rsidRPr="003B2786">
        <w:rPr>
          <w:rFonts w:ascii="Sylfaen" w:hAnsi="Sylfaen"/>
          <w:sz w:val="24"/>
          <w:szCs w:val="24"/>
        </w:rPr>
        <w:tab/>
        <w:t>Կլինիկական արդյունավետության վերաբերյալ եզրահանգումները:</w:t>
      </w:r>
    </w:p>
    <w:p w14:paraId="1B822F0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Արդյունքների քննարկումը հաճախ կրիտիկական գնահատման հաշվետվության առավել կար</w:t>
      </w:r>
      <w:r w:rsidR="00C54D75">
        <w:rPr>
          <w:rFonts w:ascii="Sylfaen" w:hAnsi="Sylfaen"/>
          <w:sz w:val="24"/>
          <w:szCs w:val="24"/>
        </w:rPr>
        <w:t>և</w:t>
      </w:r>
      <w:r w:rsidRPr="003B2786">
        <w:rPr>
          <w:rFonts w:ascii="Sylfaen" w:hAnsi="Sylfaen"/>
          <w:sz w:val="24"/>
          <w:szCs w:val="24"/>
        </w:rPr>
        <w:t xml:space="preserve">որ մասն է: Կառուցվածքի տեսանկյունից եզրահանգումների քննարկումը պետք է սկզբունքորեն համապատասխանի արդյունքների շարադրման վերը նկարագրված սխեմային: </w:t>
      </w:r>
    </w:p>
    <w:p w14:paraId="6C53A172"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ապահովել շարադրանքի առավելագույն ճշգրտությունը </w:t>
      </w:r>
      <w:r w:rsidR="00C54D75">
        <w:rPr>
          <w:rFonts w:ascii="Sylfaen" w:hAnsi="Sylfaen"/>
          <w:sz w:val="24"/>
          <w:szCs w:val="24"/>
        </w:rPr>
        <w:t>և</w:t>
      </w:r>
      <w:r w:rsidRPr="003B2786">
        <w:rPr>
          <w:rFonts w:ascii="Sylfaen" w:hAnsi="Sylfaen"/>
          <w:sz w:val="24"/>
          <w:szCs w:val="24"/>
        </w:rPr>
        <w:t xml:space="preserve"> համառոտությունը (արդյունքների քննարկումը հաճախ բնութագրվում է ընդարձակ արտահայտություններով </w:t>
      </w:r>
      <w:r w:rsidR="00C54D75">
        <w:rPr>
          <w:rFonts w:ascii="Sylfaen" w:hAnsi="Sylfaen"/>
          <w:sz w:val="24"/>
          <w:szCs w:val="24"/>
        </w:rPr>
        <w:t>և</w:t>
      </w:r>
      <w:r w:rsidRPr="003B2786">
        <w:rPr>
          <w:rFonts w:ascii="Sylfaen" w:hAnsi="Sylfaen"/>
          <w:sz w:val="24"/>
          <w:szCs w:val="24"/>
        </w:rPr>
        <w:t xml:space="preserve"> բազմաբառությամբ, սակայն տվյալների իրական իմաստը չի հասցվում կարդացողին): </w:t>
      </w:r>
    </w:p>
    <w:p w14:paraId="5F657432"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Յուրաքանչյուր բաժնի վերաբերյալ արդյունքները քննարկելիս քննության են ենթակա հետ</w:t>
      </w:r>
      <w:r w:rsidR="00C54D75">
        <w:rPr>
          <w:rFonts w:ascii="Sylfaen" w:hAnsi="Sylfaen"/>
          <w:sz w:val="24"/>
          <w:szCs w:val="24"/>
        </w:rPr>
        <w:t>և</w:t>
      </w:r>
      <w:r w:rsidRPr="003B2786">
        <w:rPr>
          <w:rFonts w:ascii="Sylfaen" w:hAnsi="Sylfaen"/>
          <w:sz w:val="24"/>
          <w:szCs w:val="24"/>
        </w:rPr>
        <w:t>յալ հարցերը՝</w:t>
      </w:r>
    </w:p>
    <w:p w14:paraId="52277DA7"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առավել կար</w:t>
      </w:r>
      <w:r w:rsidR="00C54D75">
        <w:rPr>
          <w:rFonts w:ascii="Sylfaen" w:hAnsi="Sylfaen"/>
          <w:sz w:val="24"/>
          <w:szCs w:val="24"/>
        </w:rPr>
        <w:t>և</w:t>
      </w:r>
      <w:r w:rsidRPr="003B2786">
        <w:rPr>
          <w:rFonts w:ascii="Sylfaen" w:hAnsi="Sylfaen"/>
          <w:sz w:val="24"/>
          <w:szCs w:val="24"/>
        </w:rPr>
        <w:t xml:space="preserve">որ եզրահանգումները </w:t>
      </w:r>
      <w:r w:rsidR="00C54D75">
        <w:rPr>
          <w:rFonts w:ascii="Sylfaen" w:hAnsi="Sylfaen"/>
          <w:sz w:val="24"/>
          <w:szCs w:val="24"/>
        </w:rPr>
        <w:t>և</w:t>
      </w:r>
      <w:r w:rsidRPr="003B2786">
        <w:rPr>
          <w:rFonts w:ascii="Sylfaen" w:hAnsi="Sylfaen"/>
          <w:sz w:val="24"/>
          <w:szCs w:val="24"/>
        </w:rPr>
        <w:t xml:space="preserve"> վեր</w:t>
      </w:r>
      <w:r w:rsidR="00C54D75">
        <w:rPr>
          <w:rFonts w:ascii="Sylfaen" w:hAnsi="Sylfaen"/>
          <w:sz w:val="24"/>
          <w:szCs w:val="24"/>
        </w:rPr>
        <w:t>և</w:t>
      </w:r>
      <w:r w:rsidRPr="003B2786">
        <w:rPr>
          <w:rFonts w:ascii="Sylfaen" w:hAnsi="Sylfaen"/>
          <w:sz w:val="24"/>
          <w:szCs w:val="24"/>
        </w:rPr>
        <w:t>ում նկարագրված թերությունները (արդյունքների վերաշարադրում չի թույլատրվում), արդյունքների համաձայնեցվածության ամփոփումը, յուրաքանչյուր եզրակացության առկա փաստարկների ընդհանրացումը,</w:t>
      </w:r>
    </w:p>
    <w:p w14:paraId="500C413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ներկայացված տվյալների համապատասխանությունը (անհամապատասխանությունը) նախատեսված պահանջներին (իրավական հիմքը, ղեկավար սկզբունքները, գիտական առաջարկությունները),</w:t>
      </w:r>
    </w:p>
    <w:p w14:paraId="012DC042"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ծագած հիմնական հարցերը, ինչ ծավալով դրանք պետք է լուծվեն, </w:t>
      </w:r>
    </w:p>
    <w:p w14:paraId="5335541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Եվրասիական տնտեսական հանձնաժողովին կից Փորձագիտական կոմիտեի քննությանը ենթակա կար</w:t>
      </w:r>
      <w:r w:rsidR="00C54D75">
        <w:rPr>
          <w:rFonts w:ascii="Sylfaen" w:hAnsi="Sylfaen"/>
          <w:sz w:val="24"/>
          <w:szCs w:val="24"/>
        </w:rPr>
        <w:t>և</w:t>
      </w:r>
      <w:r w:rsidRPr="003B2786">
        <w:rPr>
          <w:rFonts w:ascii="Sylfaen" w:hAnsi="Sylfaen"/>
          <w:sz w:val="24"/>
          <w:szCs w:val="24"/>
        </w:rPr>
        <w:t>որ հարցերը:</w:t>
      </w:r>
    </w:p>
    <w:p w14:paraId="3FE774A2"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Հետազոտության </w:t>
      </w:r>
      <w:r w:rsidR="00C54D75">
        <w:rPr>
          <w:rFonts w:ascii="Sylfaen" w:hAnsi="Sylfaen"/>
          <w:sz w:val="24"/>
          <w:szCs w:val="24"/>
        </w:rPr>
        <w:t>և</w:t>
      </w:r>
      <w:r w:rsidRPr="003B2786">
        <w:rPr>
          <w:rFonts w:ascii="Sylfaen" w:hAnsi="Sylfaen"/>
          <w:sz w:val="24"/>
          <w:szCs w:val="24"/>
        </w:rPr>
        <w:t xml:space="preserve">՛ բովանդակային պլանը, </w:t>
      </w:r>
      <w:r w:rsidR="00C54D75">
        <w:rPr>
          <w:rFonts w:ascii="Sylfaen" w:hAnsi="Sylfaen"/>
          <w:sz w:val="24"/>
          <w:szCs w:val="24"/>
        </w:rPr>
        <w:t>և</w:t>
      </w:r>
      <w:r w:rsidRPr="003B2786">
        <w:rPr>
          <w:rFonts w:ascii="Sylfaen" w:hAnsi="Sylfaen"/>
          <w:sz w:val="24"/>
          <w:szCs w:val="24"/>
        </w:rPr>
        <w:t>՛ արդյունքները ենթակա են կրիտիկական ամփոփման: Անհրաժեշտ է ներկայացնել միանշանակ եզրակացություն՝ առանցքային տարրերի վերաբերյալ (օրինակ՝ կոմպարատորների (համեմատիչների), կլինիկական արդյունավետության կետերի ընտրությունը, ինչպես նա</w:t>
      </w:r>
      <w:r w:rsidR="00C54D75">
        <w:rPr>
          <w:rFonts w:ascii="Sylfaen" w:hAnsi="Sylfaen"/>
          <w:sz w:val="24"/>
          <w:szCs w:val="24"/>
        </w:rPr>
        <w:t>և</w:t>
      </w:r>
      <w:r w:rsidRPr="003B2786">
        <w:rPr>
          <w:rFonts w:ascii="Sylfaen" w:hAnsi="Sylfaen"/>
          <w:sz w:val="24"/>
          <w:szCs w:val="24"/>
        </w:rPr>
        <w:t xml:space="preserve"> տվյալների պակասի վերաբերյալ): Հաջորդիվ բերվում է արդյունքների այդպիսի քննարկման շրջանակներում քննության ենթակա հնարավոր ասպեկտների ընտրությունը:</w:t>
      </w:r>
    </w:p>
    <w:p w14:paraId="2D724956" w14:textId="77777777" w:rsidR="008C76E0" w:rsidRPr="003B2786" w:rsidRDefault="008C76E0" w:rsidP="00262653">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3.8.2.</w:t>
      </w:r>
      <w:r w:rsidRPr="003B2786">
        <w:rPr>
          <w:rFonts w:ascii="Sylfaen" w:hAnsi="Sylfaen"/>
          <w:sz w:val="24"/>
          <w:szCs w:val="24"/>
        </w:rPr>
        <w:tab/>
        <w:t xml:space="preserve">Կլինիկական հետազոտությունների բովանդակային պլանը </w:t>
      </w:r>
      <w:r w:rsidR="00C54D75">
        <w:rPr>
          <w:rFonts w:ascii="Sylfaen" w:hAnsi="Sylfaen"/>
          <w:sz w:val="24"/>
          <w:szCs w:val="24"/>
        </w:rPr>
        <w:t>և</w:t>
      </w:r>
      <w:r w:rsidRPr="003B2786">
        <w:rPr>
          <w:rFonts w:ascii="Sylfaen" w:hAnsi="Sylfaen"/>
          <w:sz w:val="24"/>
          <w:szCs w:val="24"/>
        </w:rPr>
        <w:t xml:space="preserve"> անցկացումը:</w:t>
      </w:r>
    </w:p>
    <w:p w14:paraId="147443F5"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հետազոտությունների բովանդակային պլանը համապատասխանում</w:t>
      </w:r>
      <w:r>
        <w:rPr>
          <w:rFonts w:ascii="Sylfaen" w:hAnsi="Sylfaen"/>
          <w:sz w:val="24"/>
          <w:szCs w:val="24"/>
        </w:rPr>
        <w:t> </w:t>
      </w:r>
      <w:r w:rsidRPr="003B2786">
        <w:rPr>
          <w:rFonts w:ascii="Sylfaen" w:hAnsi="Sylfaen"/>
          <w:sz w:val="24"/>
          <w:szCs w:val="24"/>
        </w:rPr>
        <w:t xml:space="preserve">է նախատեսված պահանջներին (ակտիվ պատրաստուկի միջոցով վերահսկվող ազդեցության պատահական ընտրանքի հետազոտություններ </w:t>
      </w:r>
      <w:r w:rsidR="00C54D75">
        <w:rPr>
          <w:rFonts w:ascii="Sylfaen" w:hAnsi="Sylfaen"/>
          <w:sz w:val="24"/>
          <w:szCs w:val="24"/>
        </w:rPr>
        <w:t>և</w:t>
      </w:r>
      <w:r w:rsidRPr="003B2786">
        <w:rPr>
          <w:rFonts w:ascii="Sylfaen" w:hAnsi="Sylfaen"/>
          <w:sz w:val="24"/>
          <w:szCs w:val="24"/>
        </w:rPr>
        <w:t xml:space="preserve"> վերահսկվող ազդեցությամբ պլացեբոյի հետազոտություններ): Եթե ոչ, ապա ինչպիսի՞ք են հիմնավորումները, </w:t>
      </w:r>
      <w:r w:rsidR="00C54D75">
        <w:rPr>
          <w:rFonts w:ascii="Sylfaen" w:hAnsi="Sylfaen"/>
          <w:sz w:val="24"/>
          <w:szCs w:val="24"/>
        </w:rPr>
        <w:t>և</w:t>
      </w:r>
      <w:r w:rsidRPr="003B2786">
        <w:rPr>
          <w:rFonts w:ascii="Sylfaen" w:hAnsi="Sylfaen"/>
          <w:sz w:val="24"/>
          <w:szCs w:val="24"/>
        </w:rPr>
        <w:t xml:space="preserve"> արդյո՞ք դրանք ընդունելի են: </w:t>
      </w:r>
    </w:p>
    <w:p w14:paraId="4B5FCE11"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Արդյո՞ք հիվանդների հետազոտվող խումբն ընտրվել է պատշաճ կերպով (ներգրավելու (չներգրավելու) չափորոշիչների վերաբերյալ մեկնաբանություններ): </w:t>
      </w:r>
    </w:p>
    <w:p w14:paraId="357147A1"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կիրառելի է ռեֆերենտ պատրաստուկը: Համեմատման ակտիվ պատրաստուկի օգտագործման դեպքում անհրաժեշտ է մեկնաբանել արդիականությունը՝ կապված Միությունում հաստատված բուժման տարբերակների հետ:</w:t>
      </w:r>
    </w:p>
    <w:p w14:paraId="55D5C314"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Ինչպիսի՞ն է կլինիկական արդյունավետության կետերի ընտրության նպատակահարմարության կրիտիկական գնահատականը, ինչպես նա</w:t>
      </w:r>
      <w:r w:rsidR="00C54D75">
        <w:rPr>
          <w:rFonts w:ascii="Sylfaen" w:hAnsi="Sylfaen"/>
          <w:sz w:val="24"/>
          <w:szCs w:val="24"/>
        </w:rPr>
        <w:t>և</w:t>
      </w:r>
      <w:r w:rsidRPr="003B2786">
        <w:rPr>
          <w:rFonts w:ascii="Sylfaen" w:hAnsi="Sylfaen"/>
          <w:sz w:val="24"/>
          <w:szCs w:val="24"/>
        </w:rPr>
        <w:t xml:space="preserve"> հետազոտության տ</w:t>
      </w:r>
      <w:r w:rsidR="00C54D75">
        <w:rPr>
          <w:rFonts w:ascii="Sylfaen" w:hAnsi="Sylfaen"/>
          <w:sz w:val="24"/>
          <w:szCs w:val="24"/>
        </w:rPr>
        <w:t>և</w:t>
      </w:r>
      <w:r w:rsidRPr="003B2786">
        <w:rPr>
          <w:rFonts w:ascii="Sylfaen" w:hAnsi="Sylfaen"/>
          <w:sz w:val="24"/>
          <w:szCs w:val="24"/>
        </w:rPr>
        <w:t xml:space="preserve">ողությունը՝ հաշվի առնելով կարգավորող ձեռնարկը (գիտական առաջարկությունները): Բավակա՞ն է արդյոք սուռոգատ մարկերների (նշիչների) տեղեկատվականությունը կլինիկական արդյունավետության ֆիքսված կետերի փոխարինման համար: Ինչպիսի՞ն է համակցված վերջնակետի </w:t>
      </w:r>
      <w:r w:rsidR="00C54D75">
        <w:rPr>
          <w:rFonts w:ascii="Sylfaen" w:hAnsi="Sylfaen"/>
          <w:sz w:val="24"/>
          <w:szCs w:val="24"/>
        </w:rPr>
        <w:t>և</w:t>
      </w:r>
      <w:r w:rsidRPr="003B2786">
        <w:rPr>
          <w:rFonts w:ascii="Sylfaen" w:hAnsi="Sylfaen"/>
          <w:sz w:val="24"/>
          <w:szCs w:val="24"/>
        </w:rPr>
        <w:t xml:space="preserve"> դրա կիրառման ոլորտների ընդունելիությունը:</w:t>
      </w:r>
    </w:p>
    <w:p w14:paraId="04A9BD12" w14:textId="77777777" w:rsidR="008C76E0" w:rsidRPr="003B2786" w:rsidRDefault="008C76E0" w:rsidP="0092500F">
      <w:pPr>
        <w:spacing w:after="160" w:line="336" w:lineRule="auto"/>
        <w:ind w:firstLine="567"/>
        <w:jc w:val="both"/>
        <w:rPr>
          <w:rFonts w:ascii="Sylfaen" w:hAnsi="Sylfaen"/>
          <w:sz w:val="24"/>
          <w:szCs w:val="24"/>
        </w:rPr>
      </w:pPr>
      <w:r w:rsidRPr="003B2786">
        <w:rPr>
          <w:rFonts w:ascii="Sylfaen" w:hAnsi="Sylfaen"/>
          <w:sz w:val="24"/>
          <w:szCs w:val="24"/>
        </w:rPr>
        <w:t xml:space="preserve">Կախված հանգամանքներից՝ մեթոդների կիրառելիությունը, դրանց կիրառման, հիմնական հետազոտությունների արդյունքների վերլուծության </w:t>
      </w:r>
      <w:r w:rsidR="00C54D75">
        <w:rPr>
          <w:rFonts w:ascii="Sylfaen" w:hAnsi="Sylfaen"/>
          <w:sz w:val="24"/>
          <w:szCs w:val="24"/>
        </w:rPr>
        <w:t>և</w:t>
      </w:r>
      <w:r w:rsidRPr="003B2786">
        <w:rPr>
          <w:rFonts w:ascii="Sylfaen" w:hAnsi="Sylfaen"/>
          <w:sz w:val="24"/>
          <w:szCs w:val="24"/>
        </w:rPr>
        <w:t xml:space="preserve"> ներկայացման նպատակահարմարությունը: Անհրաժեշտ է մեկնաբանել հետազոտության բովանդակային պլանի հետ կապված հատուկ խնդիրները:</w:t>
      </w:r>
    </w:p>
    <w:p w14:paraId="7EC7171B" w14:textId="77777777" w:rsidR="008C76E0" w:rsidRPr="003B2786" w:rsidRDefault="008C76E0" w:rsidP="0092500F">
      <w:pPr>
        <w:spacing w:after="160" w:line="336" w:lineRule="auto"/>
        <w:ind w:firstLine="567"/>
        <w:jc w:val="both"/>
        <w:rPr>
          <w:rFonts w:ascii="Sylfaen" w:hAnsi="Sylfaen"/>
          <w:sz w:val="24"/>
          <w:szCs w:val="24"/>
        </w:rPr>
      </w:pPr>
      <w:r w:rsidRPr="003B2786">
        <w:rPr>
          <w:rFonts w:ascii="Sylfaen" w:hAnsi="Sylfaen"/>
          <w:sz w:val="24"/>
          <w:szCs w:val="24"/>
        </w:rPr>
        <w:t>Արդյո՞ք բովանդակային պլանը համապատասխանում է օրենսդրության պահանջներին, գործող ղեկավար սկզբունքներին, գիտական առաջարկություններին:</w:t>
      </w:r>
    </w:p>
    <w:p w14:paraId="36CE5029" w14:textId="77777777" w:rsidR="008C76E0" w:rsidRPr="003B2786" w:rsidRDefault="008C76E0" w:rsidP="0092500F">
      <w:pPr>
        <w:spacing w:after="160" w:line="336" w:lineRule="auto"/>
        <w:ind w:right="-1" w:firstLine="567"/>
        <w:jc w:val="both"/>
        <w:rPr>
          <w:rFonts w:ascii="Sylfaen" w:hAnsi="Sylfaen"/>
          <w:sz w:val="24"/>
          <w:szCs w:val="24"/>
        </w:rPr>
      </w:pPr>
      <w:r w:rsidRPr="003B2786">
        <w:rPr>
          <w:rFonts w:ascii="Sylfaen" w:hAnsi="Sylfaen"/>
          <w:sz w:val="24"/>
          <w:szCs w:val="24"/>
        </w:rPr>
        <w:t>Ինչպիսի՞ն են Միության պատշաճ կլինիկական գործունեության կանոնների պահպանման մասով ցանկացած տեսչական ստուգման հետ</w:t>
      </w:r>
      <w:r w:rsidR="00C54D75">
        <w:rPr>
          <w:rFonts w:ascii="Sylfaen" w:hAnsi="Sylfaen"/>
          <w:sz w:val="24"/>
          <w:szCs w:val="24"/>
        </w:rPr>
        <w:t>և</w:t>
      </w:r>
      <w:r w:rsidRPr="003B2786">
        <w:rPr>
          <w:rFonts w:ascii="Sylfaen" w:hAnsi="Sylfaen"/>
          <w:sz w:val="24"/>
          <w:szCs w:val="24"/>
        </w:rPr>
        <w:t xml:space="preserve">անքները: </w:t>
      </w:r>
    </w:p>
    <w:p w14:paraId="23E5F75C" w14:textId="77777777" w:rsidR="008C76E0" w:rsidRPr="003B2786" w:rsidRDefault="008C76E0" w:rsidP="0092500F">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3.8.3.</w:t>
      </w:r>
      <w:r w:rsidRPr="003B2786">
        <w:rPr>
          <w:rFonts w:ascii="Sylfaen" w:hAnsi="Sylfaen"/>
          <w:sz w:val="24"/>
          <w:szCs w:val="24"/>
        </w:rPr>
        <w:tab/>
        <w:t xml:space="preserve">Արդյունավետության վերաբերյալ տվյալները </w:t>
      </w:r>
      <w:r w:rsidR="00C54D75">
        <w:rPr>
          <w:rFonts w:ascii="Sylfaen" w:hAnsi="Sylfaen"/>
          <w:sz w:val="24"/>
          <w:szCs w:val="24"/>
        </w:rPr>
        <w:t>և</w:t>
      </w:r>
      <w:r w:rsidRPr="003B2786">
        <w:rPr>
          <w:rFonts w:ascii="Sylfaen" w:hAnsi="Sylfaen"/>
          <w:sz w:val="24"/>
          <w:szCs w:val="24"/>
        </w:rPr>
        <w:t xml:space="preserve"> լրացուցիչ վերլուծությունները:</w:t>
      </w:r>
    </w:p>
    <w:p w14:paraId="484F3C51" w14:textId="77777777" w:rsidR="008C76E0" w:rsidRPr="003B2786" w:rsidRDefault="008C76E0" w:rsidP="0092500F">
      <w:pPr>
        <w:spacing w:after="160" w:line="336" w:lineRule="auto"/>
        <w:ind w:firstLine="567"/>
        <w:jc w:val="both"/>
        <w:rPr>
          <w:rFonts w:ascii="Sylfaen" w:hAnsi="Sylfaen"/>
          <w:sz w:val="24"/>
          <w:szCs w:val="24"/>
        </w:rPr>
      </w:pPr>
      <w:r w:rsidRPr="003B2786">
        <w:rPr>
          <w:rFonts w:ascii="Sylfaen" w:hAnsi="Sylfaen"/>
          <w:sz w:val="24"/>
          <w:szCs w:val="24"/>
        </w:rPr>
        <w:t xml:space="preserve">Ազդեցության մեծությունը </w:t>
      </w:r>
      <w:r w:rsidR="00C54D75">
        <w:rPr>
          <w:rFonts w:ascii="Sylfaen" w:hAnsi="Sylfaen"/>
          <w:sz w:val="24"/>
          <w:szCs w:val="24"/>
        </w:rPr>
        <w:t>և</w:t>
      </w:r>
      <w:r w:rsidRPr="003B2786">
        <w:rPr>
          <w:rFonts w:ascii="Sylfaen" w:hAnsi="Sylfaen"/>
          <w:sz w:val="24"/>
          <w:szCs w:val="24"/>
        </w:rPr>
        <w:t xml:space="preserve"> կլինիկական նշանակալիությունը: Պետք է նկարագրվի դիտվող ազդեցության կլինիկական նշանակալիությունը, քանի որ դա կարող է հատկապես կար</w:t>
      </w:r>
      <w:r w:rsidR="00C54D75">
        <w:rPr>
          <w:rFonts w:ascii="Sylfaen" w:hAnsi="Sylfaen"/>
          <w:sz w:val="24"/>
          <w:szCs w:val="24"/>
        </w:rPr>
        <w:t>և</w:t>
      </w:r>
      <w:r w:rsidRPr="003B2786">
        <w:rPr>
          <w:rFonts w:ascii="Sylfaen" w:hAnsi="Sylfaen"/>
          <w:sz w:val="24"/>
          <w:szCs w:val="24"/>
        </w:rPr>
        <w:t>որ լինել օգուտ-ռիսկ հարաբերակցության ամփոփման համար:</w:t>
      </w:r>
    </w:p>
    <w:p w14:paraId="22C9DC9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Ինչպիսի՞ք են հիմնական եզրահանգումները (կամ անորորշությունները): Ինչպիսի՞ առանցքային եզրահանգումներ (կամ անորորշություններ) պետք է մտնեն օգուտ-ռիսկ հարաբերակցության ամփոփման մեջ:</w:t>
      </w:r>
    </w:p>
    <w:p w14:paraId="3520A60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Փորձնական արդյունքների ընդհանրացման հնարավորությունը (համապատասխանության աստիճանը): Արդյո՞ք արդյունքները հաստատում են կիրառման հայտագրված ցուցումները:</w:t>
      </w:r>
    </w:p>
    <w:p w14:paraId="408D7F0E"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Արդյո՞ք պահանջվում է որ</w:t>
      </w:r>
      <w:r w:rsidR="00C54D75">
        <w:rPr>
          <w:rFonts w:ascii="Sylfaen" w:hAnsi="Sylfaen"/>
          <w:sz w:val="24"/>
          <w:szCs w:val="24"/>
        </w:rPr>
        <w:t>և</w:t>
      </w:r>
      <w:r w:rsidRPr="003B2786">
        <w:rPr>
          <w:rFonts w:ascii="Sylfaen" w:hAnsi="Sylfaen"/>
          <w:sz w:val="24"/>
          <w:szCs w:val="24"/>
        </w:rPr>
        <w:t xml:space="preserve">է լրացուցիչ վերլուծության անցկացում, </w:t>
      </w:r>
      <w:r w:rsidR="00C54D75">
        <w:rPr>
          <w:rFonts w:ascii="Sylfaen" w:hAnsi="Sylfaen"/>
          <w:sz w:val="24"/>
          <w:szCs w:val="24"/>
        </w:rPr>
        <w:t>և</w:t>
      </w:r>
      <w:r w:rsidRPr="003B2786">
        <w:rPr>
          <w:rFonts w:ascii="Sylfaen" w:hAnsi="Sylfaen"/>
          <w:sz w:val="24"/>
          <w:szCs w:val="24"/>
        </w:rPr>
        <w:t xml:space="preserve"> ինչպիսի՞ք են դրա անցկացման վերաբերյալ հարցման պատճառները: </w:t>
      </w:r>
    </w:p>
    <w:p w14:paraId="0F501E3F" w14:textId="77777777" w:rsidR="008C76E0" w:rsidRPr="003B2786" w:rsidRDefault="008C76E0" w:rsidP="0092500F">
      <w:pPr>
        <w:tabs>
          <w:tab w:val="left" w:pos="1560"/>
        </w:tabs>
        <w:spacing w:after="160" w:line="336" w:lineRule="auto"/>
        <w:ind w:right="-1" w:firstLine="567"/>
        <w:jc w:val="both"/>
        <w:rPr>
          <w:rFonts w:ascii="Sylfaen" w:hAnsi="Sylfaen"/>
          <w:sz w:val="24"/>
          <w:szCs w:val="24"/>
        </w:rPr>
      </w:pPr>
      <w:r w:rsidRPr="003B2786">
        <w:rPr>
          <w:rFonts w:ascii="Sylfaen" w:hAnsi="Sylfaen"/>
          <w:sz w:val="24"/>
          <w:szCs w:val="24"/>
        </w:rPr>
        <w:t>Եթե ենթախմբերի վերլուծությունների տվյալներն ունեն հատուկ նշանակություն՝ արդյունավետության ընդհանուր գնահատման համար, ապա դա պետք է բացատրվի:</w:t>
      </w:r>
    </w:p>
    <w:p w14:paraId="0FA5086B" w14:textId="77777777" w:rsidR="008C76E0" w:rsidRPr="003B2786" w:rsidRDefault="008C76E0" w:rsidP="0092500F">
      <w:pPr>
        <w:tabs>
          <w:tab w:val="left" w:pos="1560"/>
        </w:tabs>
        <w:spacing w:after="160" w:line="336" w:lineRule="auto"/>
        <w:ind w:right="-1" w:firstLine="567"/>
        <w:jc w:val="both"/>
        <w:rPr>
          <w:rFonts w:ascii="Sylfaen" w:hAnsi="Sylfaen"/>
          <w:sz w:val="24"/>
          <w:szCs w:val="24"/>
        </w:rPr>
      </w:pPr>
      <w:r w:rsidRPr="003B2786">
        <w:rPr>
          <w:rFonts w:ascii="Sylfaen" w:hAnsi="Sylfaen"/>
          <w:sz w:val="24"/>
          <w:szCs w:val="24"/>
        </w:rPr>
        <w:t xml:space="preserve">Ինչպիսի՞ հիմնական հարցեր են բարձրացվել գնահատման ընթացքում (լուրջ առարկություններ </w:t>
      </w:r>
      <w:r w:rsidR="00C54D75">
        <w:rPr>
          <w:rFonts w:ascii="Sylfaen" w:hAnsi="Sylfaen"/>
          <w:sz w:val="24"/>
          <w:szCs w:val="24"/>
        </w:rPr>
        <w:t>և</w:t>
      </w:r>
      <w:r w:rsidRPr="003B2786">
        <w:rPr>
          <w:rFonts w:ascii="Sylfaen" w:hAnsi="Sylfaen"/>
          <w:sz w:val="24"/>
          <w:szCs w:val="24"/>
        </w:rPr>
        <w:t xml:space="preserve"> այլ խնդրահարույց հարցեր):</w:t>
      </w:r>
    </w:p>
    <w:p w14:paraId="4940A6D2" w14:textId="77777777" w:rsidR="008C76E0" w:rsidRPr="003B2786" w:rsidRDefault="008C76E0" w:rsidP="0092500F">
      <w:pPr>
        <w:tabs>
          <w:tab w:val="left" w:pos="1560"/>
        </w:tabs>
        <w:spacing w:after="160" w:line="336" w:lineRule="auto"/>
        <w:ind w:right="-1" w:firstLine="567"/>
        <w:jc w:val="both"/>
        <w:rPr>
          <w:rFonts w:ascii="Sylfaen" w:hAnsi="Sylfaen"/>
          <w:sz w:val="24"/>
          <w:szCs w:val="24"/>
        </w:rPr>
      </w:pPr>
      <w:r w:rsidRPr="003B2786">
        <w:rPr>
          <w:rFonts w:ascii="Sylfaen" w:hAnsi="Sylfaen"/>
          <w:sz w:val="24"/>
          <w:szCs w:val="24"/>
        </w:rPr>
        <w:t>Անհրաժեշտ է մեկնաբանել որոշակի հետազոտություններ անցկացնելուց հրաժարվելու կամ սկզբնական հետազոտությունները գիտական աղբյուրներից ստացված տեղեկություններով փոխարինելու որ</w:t>
      </w:r>
      <w:r w:rsidR="00C54D75">
        <w:rPr>
          <w:rFonts w:ascii="Sylfaen" w:hAnsi="Sylfaen"/>
          <w:sz w:val="24"/>
          <w:szCs w:val="24"/>
        </w:rPr>
        <w:t>և</w:t>
      </w:r>
      <w:r w:rsidRPr="003B2786">
        <w:rPr>
          <w:rFonts w:ascii="Sylfaen" w:hAnsi="Sylfaen"/>
          <w:sz w:val="24"/>
          <w:szCs w:val="24"/>
        </w:rPr>
        <w:t>է հիմնավորում:</w:t>
      </w:r>
    </w:p>
    <w:p w14:paraId="504C97BC" w14:textId="77777777" w:rsidR="008C76E0" w:rsidRPr="003B2786" w:rsidRDefault="008C76E0" w:rsidP="0092500F">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 xml:space="preserve">Անհրաժեշտ է նշել պացիենտների որոշակի խմբերի (երեխաներ, տարեց մարդիկ, մանկածնության ունակ կանայք </w:t>
      </w:r>
      <w:r w:rsidR="00C54D75">
        <w:rPr>
          <w:rFonts w:ascii="Sylfaen" w:hAnsi="Sylfaen"/>
          <w:sz w:val="24"/>
          <w:szCs w:val="24"/>
        </w:rPr>
        <w:t>և</w:t>
      </w:r>
      <w:r w:rsidRPr="003B2786">
        <w:rPr>
          <w:rFonts w:ascii="Sylfaen" w:hAnsi="Sylfaen"/>
          <w:sz w:val="24"/>
          <w:szCs w:val="24"/>
        </w:rPr>
        <w:t xml:space="preserve"> այլն) վերաբերյալ տեղեկատվության անբավարարությունը՝ բժշկական կիրառման դեղապատրաստուկի ընդհանուր բնութագրի 4.4 բաժնի հայտարարությունը հաստատելու համար, </w:t>
      </w:r>
      <w:r w:rsidR="00C54D75">
        <w:rPr>
          <w:rFonts w:ascii="Sylfaen" w:hAnsi="Sylfaen"/>
          <w:sz w:val="24"/>
          <w:szCs w:val="24"/>
        </w:rPr>
        <w:t>և</w:t>
      </w:r>
      <w:r w:rsidRPr="003B2786">
        <w:rPr>
          <w:rFonts w:ascii="Sylfaen" w:hAnsi="Sylfaen"/>
          <w:sz w:val="24"/>
          <w:szCs w:val="24"/>
        </w:rPr>
        <w:t xml:space="preserve"> նա</w:t>
      </w:r>
      <w:r w:rsidR="00C54D75">
        <w:rPr>
          <w:rFonts w:ascii="Sylfaen" w:hAnsi="Sylfaen"/>
          <w:sz w:val="24"/>
          <w:szCs w:val="24"/>
        </w:rPr>
        <w:t>և</w:t>
      </w:r>
      <w:r w:rsidRPr="003B2786">
        <w:rPr>
          <w:rFonts w:ascii="Sylfaen" w:hAnsi="Sylfaen"/>
          <w:sz w:val="24"/>
          <w:szCs w:val="24"/>
        </w:rPr>
        <w:t xml:space="preserve"> տվյալ տեղեկություններն ընդհանուր եզրակացության մեջ ընդգծել՝ լիազորված փորձագիտական կազմակերպության կողմից հետագա հետազոտություն անցկացնելու առաջարկի դեպքում:</w:t>
      </w:r>
    </w:p>
    <w:p w14:paraId="2565F226" w14:textId="77777777" w:rsidR="008C76E0" w:rsidRPr="003B2786" w:rsidRDefault="008C76E0" w:rsidP="0092500F">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Ինչպիսի՞ տվյալներ են հաստատում երեխաների շրջանում կիրառման հնարավորությունը:</w:t>
      </w:r>
    </w:p>
    <w:p w14:paraId="53075007" w14:textId="77777777" w:rsidR="008C76E0" w:rsidRPr="003B2786" w:rsidRDefault="008C76E0" w:rsidP="0092500F">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Կենսահամանման-կենսանման պատրաստուկների մասով անհրաժեշտ է նշել հետազոտության ստացված արդյունքների համեմատական բնութագիրն ընտրված չափանմուշային դեղապատրաստուկի հետ:</w:t>
      </w:r>
    </w:p>
    <w:p w14:paraId="5A960D89"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Ինչպիսի՞ եզրահանգումներ (կամ տեղեկատվության բացակայության վերաբերյալ տեղեկություններ) են արտացոլված բժշկական կիրառման դեղապատրաստուկի ընդհանուր բնութագրում: Անհրաժեշտ է հավաստիանալ տվյալների (հատկապես՝ 5.1 բաժնի տվյալների)՝ բժշկական կիրառման դեղապատրաստուկի ընդհանուր բնութագրում նշված տեղեկությունների հետ համապատասխանության մեջ </w:t>
      </w:r>
      <w:r w:rsidR="00C54D75">
        <w:rPr>
          <w:rFonts w:ascii="Sylfaen" w:hAnsi="Sylfaen"/>
          <w:sz w:val="24"/>
          <w:szCs w:val="24"/>
        </w:rPr>
        <w:t>և</w:t>
      </w:r>
      <w:r w:rsidRPr="003B2786">
        <w:rPr>
          <w:rFonts w:ascii="Sylfaen" w:hAnsi="Sylfaen"/>
          <w:sz w:val="24"/>
          <w:szCs w:val="24"/>
        </w:rPr>
        <w:t xml:space="preserve"> նրանում, որ բժշկական կիրառման դեղապատրաստուկի ընդհանուր բնութագրի ողջ տեղեկատվությունն անցել է պատշաճ փորձաքննություն </w:t>
      </w:r>
      <w:r w:rsidR="00C54D75">
        <w:rPr>
          <w:rFonts w:ascii="Sylfaen" w:hAnsi="Sylfaen"/>
          <w:sz w:val="24"/>
          <w:szCs w:val="24"/>
        </w:rPr>
        <w:t>և</w:t>
      </w:r>
      <w:r w:rsidRPr="003B2786">
        <w:rPr>
          <w:rFonts w:ascii="Sylfaen" w:hAnsi="Sylfaen"/>
          <w:sz w:val="24"/>
          <w:szCs w:val="24"/>
        </w:rPr>
        <w:t xml:space="preserve"> գիտական վերլուծություն: </w:t>
      </w:r>
    </w:p>
    <w:p w14:paraId="49921750"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Անհրաժեշտ է նշել գրանցման հավաստագիրը տրամադրելուց հետո հաստատման ենթակա որ</w:t>
      </w:r>
      <w:r w:rsidR="00C54D75">
        <w:rPr>
          <w:rFonts w:ascii="Sylfaen" w:hAnsi="Sylfaen"/>
          <w:sz w:val="24"/>
          <w:szCs w:val="24"/>
        </w:rPr>
        <w:t>և</w:t>
      </w:r>
      <w:r w:rsidRPr="003B2786">
        <w:rPr>
          <w:rFonts w:ascii="Sylfaen" w:hAnsi="Sylfaen"/>
          <w:sz w:val="24"/>
          <w:szCs w:val="24"/>
        </w:rPr>
        <w:t xml:space="preserve">է չհաստատված տվյալի առկայությունը, </w:t>
      </w:r>
      <w:r w:rsidR="00C54D75">
        <w:rPr>
          <w:rFonts w:ascii="Sylfaen" w:hAnsi="Sylfaen"/>
          <w:sz w:val="24"/>
          <w:szCs w:val="24"/>
        </w:rPr>
        <w:t>և</w:t>
      </w:r>
      <w:r w:rsidRPr="003B2786">
        <w:rPr>
          <w:rFonts w:ascii="Sylfaen" w:hAnsi="Sylfaen"/>
          <w:sz w:val="24"/>
          <w:szCs w:val="24"/>
        </w:rPr>
        <w:t xml:space="preserve"> արդյո՞ք դա արտացոլվել է բժշկական կիրառման դեղապատրաստուկի ընդհանուր բնութագրում:</w:t>
      </w:r>
    </w:p>
    <w:p w14:paraId="04952A0A"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3.8.4.</w:t>
      </w:r>
      <w:r w:rsidRPr="003B2786">
        <w:rPr>
          <w:rFonts w:ascii="Sylfaen" w:hAnsi="Sylfaen"/>
          <w:sz w:val="24"/>
          <w:szCs w:val="24"/>
        </w:rPr>
        <w:tab/>
        <w:t>Կլինիկական արդյունավետության վերաբերյալ եզրահանգումները:</w:t>
      </w:r>
    </w:p>
    <w:p w14:paraId="697A6A2B"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Տվյալ բաժնում պետք է ներկայացվեն համառոտ եզրահանգումներ, որոնք կարելի է անել կլինիկական արդյունավետության հետազոտության վերաբերյալ փաստաթղթերի ուսումնասիրման հիման վրա:</w:t>
      </w:r>
    </w:p>
    <w:p w14:paraId="1847D7BA" w14:textId="77777777" w:rsidR="008C76E0" w:rsidRPr="003B2786" w:rsidRDefault="008C76E0" w:rsidP="00262653">
      <w:pPr>
        <w:tabs>
          <w:tab w:val="left" w:pos="1560"/>
        </w:tabs>
        <w:spacing w:after="160" w:line="360" w:lineRule="auto"/>
        <w:ind w:firstLine="567"/>
        <w:jc w:val="both"/>
        <w:rPr>
          <w:rFonts w:ascii="Sylfaen" w:hAnsi="Sylfaen"/>
          <w:sz w:val="24"/>
          <w:szCs w:val="24"/>
        </w:rPr>
      </w:pPr>
    </w:p>
    <w:p w14:paraId="172BC7D3" w14:textId="77777777" w:rsidR="008C76E0" w:rsidRPr="003B2786" w:rsidRDefault="008C76E0" w:rsidP="00262653">
      <w:pPr>
        <w:spacing w:after="160" w:line="360" w:lineRule="auto"/>
        <w:ind w:right="-1" w:firstLine="567"/>
        <w:jc w:val="center"/>
        <w:rPr>
          <w:rFonts w:ascii="Sylfaen" w:hAnsi="Sylfaen"/>
          <w:sz w:val="24"/>
          <w:szCs w:val="24"/>
        </w:rPr>
      </w:pPr>
      <w:r w:rsidRPr="003B2786">
        <w:rPr>
          <w:rFonts w:ascii="Sylfaen" w:hAnsi="Sylfaen"/>
          <w:sz w:val="24"/>
          <w:szCs w:val="24"/>
        </w:rPr>
        <w:t>4. Կլինիկական անվտանգությունը:</w:t>
      </w:r>
    </w:p>
    <w:p w14:paraId="059DA78C"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Անվտանգության վերաբերյալ տեղեկությունները պետք է ներառեն տվյալ հետազոտությանը մասնակցած բոլոր պացիենտների վերաբերյալ տվյալներն ամբողջ ծավալով, </w:t>
      </w:r>
      <w:r w:rsidR="00C54D75">
        <w:rPr>
          <w:rFonts w:ascii="Sylfaen" w:hAnsi="Sylfaen"/>
          <w:sz w:val="24"/>
          <w:szCs w:val="24"/>
        </w:rPr>
        <w:t>և</w:t>
      </w:r>
      <w:r w:rsidRPr="003B2786">
        <w:rPr>
          <w:rFonts w:ascii="Sylfaen" w:hAnsi="Sylfaen"/>
          <w:sz w:val="24"/>
          <w:szCs w:val="24"/>
        </w:rPr>
        <w:t xml:space="preserve"> այդ տվյալները պետք է ներկայացվեն որպես միասնական վերլուծության արդյունքներ: Դրա հետ մեկտեղ պետք է նկարագրել </w:t>
      </w:r>
      <w:r w:rsidR="00C54D75">
        <w:rPr>
          <w:rFonts w:ascii="Sylfaen" w:hAnsi="Sylfaen"/>
          <w:sz w:val="24"/>
          <w:szCs w:val="24"/>
        </w:rPr>
        <w:t>և</w:t>
      </w:r>
      <w:r w:rsidRPr="003B2786">
        <w:rPr>
          <w:rFonts w:ascii="Sylfaen" w:hAnsi="Sylfaen"/>
          <w:sz w:val="24"/>
          <w:szCs w:val="24"/>
        </w:rPr>
        <w:t xml:space="preserve"> բացատրություն տալ կլինիկական անվտանգության հետազոտման հետ կապված սպեցիֆիկ առանձնահատկություններին:</w:t>
      </w:r>
    </w:p>
    <w:p w14:paraId="0C315AB0"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Անհրաժեշտ է նշել նախակլինիկական հետազոտությունների ժամանակ հայտնաբերված խնդրահարույց հարցերը, որոնք կարող են բացասաբար ազդել </w:t>
      </w:r>
      <w:r w:rsidRPr="003B2786">
        <w:rPr>
          <w:rFonts w:ascii="Sylfaen" w:hAnsi="Sylfaen"/>
          <w:sz w:val="24"/>
          <w:szCs w:val="24"/>
        </w:rPr>
        <w:lastRenderedPageBreak/>
        <w:t>մարդու կողմից պատրաստուկի կիրառման վրա (օրինակ՝ թունավորությունը, կենդանիների օրգանիզմում չառաջացող, սակայն մարդու օրգանիզմում արտադրվող մետաբոլիտները), ինչպես նա</w:t>
      </w:r>
      <w:r w:rsidR="00C54D75">
        <w:rPr>
          <w:rFonts w:ascii="Sylfaen" w:hAnsi="Sylfaen"/>
          <w:sz w:val="24"/>
          <w:szCs w:val="24"/>
        </w:rPr>
        <w:t>և</w:t>
      </w:r>
      <w:r w:rsidRPr="003B2786">
        <w:rPr>
          <w:rFonts w:ascii="Sylfaen" w:hAnsi="Sylfaen"/>
          <w:sz w:val="24"/>
          <w:szCs w:val="24"/>
        </w:rPr>
        <w:t xml:space="preserve"> նման հարցերը դեղադինամիկ հետազոտությունների ժամանակ:</w:t>
      </w:r>
    </w:p>
    <w:p w14:paraId="5C70C796"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4.1.</w:t>
      </w:r>
      <w:r w:rsidRPr="003B2786">
        <w:rPr>
          <w:rFonts w:ascii="Sylfaen" w:hAnsi="Sylfaen"/>
          <w:sz w:val="24"/>
          <w:szCs w:val="24"/>
        </w:rPr>
        <w:tab/>
        <w:t>Ներածությունը:</w:t>
      </w:r>
    </w:p>
    <w:p w14:paraId="6DA5A16D"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4.1.1.</w:t>
      </w:r>
      <w:r w:rsidRPr="003B2786">
        <w:rPr>
          <w:rFonts w:ascii="Sylfaen" w:hAnsi="Sylfaen"/>
          <w:sz w:val="24"/>
          <w:szCs w:val="24"/>
        </w:rPr>
        <w:tab/>
        <w:t>Ներկայացված տվյալների ընդհանուր առանձնահատկությունների վերաբերյալ համառոտ ներածական:</w:t>
      </w:r>
    </w:p>
    <w:p w14:paraId="062ECDEF"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Կլինիկական անվտանգության գնահատման արդյունքների մեջ կենսահամանման-կենսանման պատրաստուկների վերաբերյալ պետք է առանձնացվեն չափանմուշային պատրաստուկի </w:t>
      </w:r>
      <w:r w:rsidR="00C54D75">
        <w:rPr>
          <w:rFonts w:ascii="Sylfaen" w:hAnsi="Sylfaen"/>
          <w:sz w:val="24"/>
          <w:szCs w:val="24"/>
        </w:rPr>
        <w:t>և</w:t>
      </w:r>
      <w:r w:rsidRPr="003B2786">
        <w:rPr>
          <w:rFonts w:ascii="Sylfaen" w:hAnsi="Sylfaen"/>
          <w:sz w:val="24"/>
          <w:szCs w:val="24"/>
        </w:rPr>
        <w:t xml:space="preserve"> կենսահամանման-կենսանման պատրաստուկի անվտանգության պրոֆիլների միջ</w:t>
      </w:r>
      <w:r w:rsidR="00C54D75">
        <w:rPr>
          <w:rFonts w:ascii="Sylfaen" w:hAnsi="Sylfaen"/>
          <w:sz w:val="24"/>
          <w:szCs w:val="24"/>
        </w:rPr>
        <w:t>և</w:t>
      </w:r>
      <w:r w:rsidRPr="003B2786">
        <w:rPr>
          <w:rFonts w:ascii="Sylfaen" w:hAnsi="Sylfaen"/>
          <w:sz w:val="24"/>
          <w:szCs w:val="24"/>
        </w:rPr>
        <w:t xml:space="preserve"> պոտենցիալ նշանակություն ունեցող ցանկացած կլինիկական տարբերություն: </w:t>
      </w:r>
    </w:p>
    <w:p w14:paraId="4C9EFCB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Հատուկ ուշադրություն պետք է դարձնել իմունոգենության ասպեկտներին (օրինակ՝ հակամարմինների արտադրմանը </w:t>
      </w:r>
      <w:r w:rsidR="00C54D75">
        <w:rPr>
          <w:rFonts w:ascii="Sylfaen" w:hAnsi="Sylfaen"/>
          <w:sz w:val="24"/>
          <w:szCs w:val="24"/>
        </w:rPr>
        <w:t>և</w:t>
      </w:r>
      <w:r w:rsidRPr="003B2786">
        <w:rPr>
          <w:rFonts w:ascii="Sylfaen" w:hAnsi="Sylfaen"/>
          <w:sz w:val="24"/>
          <w:szCs w:val="24"/>
        </w:rPr>
        <w:t xml:space="preserve"> բնութագրերին): Բացի այդ, պետք է ուսումնասիրվի վաճառքի թույլտվություն տրամադրելուց հետո հետմարկետինգային հսկողության կամ դեղազգոնության շրջանակներում մոնիթորինգի ցանկացած արդյունք (տե՛ս Եվրասիական տնտեսական հանձնաժողովի կողմից հաստատվող՝ Եվրասիական տնտեսական միության շրջանակներում Կենսաբանական դեղամիջոցների հետազոտության կանոնները):</w:t>
      </w:r>
    </w:p>
    <w:p w14:paraId="0A5145AF"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4.2.</w:t>
      </w:r>
      <w:r w:rsidRPr="003B2786">
        <w:rPr>
          <w:rFonts w:ascii="Sylfaen" w:hAnsi="Sylfaen"/>
          <w:sz w:val="24"/>
          <w:szCs w:val="24"/>
        </w:rPr>
        <w:tab/>
        <w:t>Դեղանյութի ազդեցությունը պացիենտի վրա:</w:t>
      </w:r>
    </w:p>
    <w:p w14:paraId="6AEAF83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թվարկել կլինիկական հետազոտությունները, որոնց արդյունքները վկայում են դեղապատրաստուկի անվտանգության մասին (առաջարկվում է օգտագործել ամփոփ աղյուսակներ): </w:t>
      </w:r>
    </w:p>
    <w:p w14:paraId="5340D47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Պետք է նշվի տվյալների հավաքագրման ավարտի ամսաթիվը:</w:t>
      </w:r>
    </w:p>
    <w:p w14:paraId="79245A9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Հետազոտության մեջ ներառված պացիենտների </w:t>
      </w:r>
      <w:r w:rsidR="00C54D75">
        <w:rPr>
          <w:rFonts w:ascii="Sylfaen" w:hAnsi="Sylfaen"/>
          <w:sz w:val="24"/>
          <w:szCs w:val="24"/>
        </w:rPr>
        <w:t>և</w:t>
      </w:r>
      <w:r w:rsidRPr="003B2786">
        <w:rPr>
          <w:rFonts w:ascii="Sylfaen" w:hAnsi="Sylfaen"/>
          <w:sz w:val="24"/>
          <w:szCs w:val="24"/>
        </w:rPr>
        <w:t xml:space="preserve"> առողջ փորձարկվողների թիվը </w:t>
      </w:r>
      <w:r w:rsidR="00C54D75">
        <w:rPr>
          <w:rFonts w:ascii="Sylfaen" w:hAnsi="Sylfaen"/>
          <w:sz w:val="24"/>
          <w:szCs w:val="24"/>
        </w:rPr>
        <w:t>և</w:t>
      </w:r>
      <w:r w:rsidRPr="003B2786">
        <w:rPr>
          <w:rFonts w:ascii="Sylfaen" w:hAnsi="Sylfaen"/>
          <w:sz w:val="24"/>
          <w:szCs w:val="24"/>
        </w:rPr>
        <w:t xml:space="preserve"> բնութագրերը (տարիք, հետազոտության փուլ (հիվանդության ծանրություն)) </w:t>
      </w:r>
      <w:r w:rsidR="00C54D75">
        <w:rPr>
          <w:rFonts w:ascii="Sylfaen" w:hAnsi="Sylfaen"/>
          <w:sz w:val="24"/>
          <w:szCs w:val="24"/>
        </w:rPr>
        <w:t>և</w:t>
      </w:r>
      <w:r w:rsidRPr="003B2786">
        <w:rPr>
          <w:rFonts w:ascii="Sylfaen" w:hAnsi="Sylfaen"/>
          <w:sz w:val="24"/>
          <w:szCs w:val="24"/>
        </w:rPr>
        <w:t xml:space="preserve"> առողջ փորձարկվողներինը (տվյալները կարող են ներառվել </w:t>
      </w:r>
      <w:r w:rsidRPr="003B2786">
        <w:rPr>
          <w:rFonts w:ascii="Sylfaen" w:hAnsi="Sylfaen"/>
          <w:sz w:val="24"/>
          <w:szCs w:val="24"/>
        </w:rPr>
        <w:lastRenderedPageBreak/>
        <w:t xml:space="preserve">ամփոփ աղյուսակում): Տվյալների բազայի չափը 6-րդ </w:t>
      </w:r>
      <w:r w:rsidR="00C54D75">
        <w:rPr>
          <w:rFonts w:ascii="Sylfaen" w:hAnsi="Sylfaen"/>
          <w:sz w:val="24"/>
          <w:szCs w:val="24"/>
        </w:rPr>
        <w:t>և</w:t>
      </w:r>
      <w:r w:rsidRPr="003B2786">
        <w:rPr>
          <w:rFonts w:ascii="Sylfaen" w:hAnsi="Sylfaen"/>
          <w:sz w:val="24"/>
          <w:szCs w:val="24"/>
        </w:rPr>
        <w:t xml:space="preserve"> 12-րդ ամիսների դրությամբ, եթե խոսքը գնում է երկարատ</w:t>
      </w:r>
      <w:r w:rsidR="00C54D75">
        <w:rPr>
          <w:rFonts w:ascii="Sylfaen" w:hAnsi="Sylfaen"/>
          <w:sz w:val="24"/>
          <w:szCs w:val="24"/>
        </w:rPr>
        <w:t>և</w:t>
      </w:r>
      <w:r w:rsidRPr="003B2786">
        <w:rPr>
          <w:rFonts w:ascii="Sylfaen" w:hAnsi="Sylfaen"/>
          <w:sz w:val="24"/>
          <w:szCs w:val="24"/>
        </w:rPr>
        <w:t xml:space="preserve"> բուժման մասին:</w:t>
      </w:r>
    </w:p>
    <w:p w14:paraId="02B4EA0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Մասնավորապես, ըստ օգտագործման չափի </w:t>
      </w:r>
      <w:r w:rsidR="00C54D75">
        <w:rPr>
          <w:rFonts w:ascii="Sylfaen" w:hAnsi="Sylfaen"/>
          <w:sz w:val="24"/>
          <w:szCs w:val="24"/>
        </w:rPr>
        <w:t>և</w:t>
      </w:r>
      <w:r w:rsidRPr="003B2786">
        <w:rPr>
          <w:rFonts w:ascii="Sylfaen" w:hAnsi="Sylfaen"/>
          <w:sz w:val="24"/>
          <w:szCs w:val="24"/>
        </w:rPr>
        <w:t xml:space="preserve"> անհրաժեշտության դեպքում անհրաժեշտ է ըստ տարիքային խմբերի նշել անվտանգության մասով տվյալների բազան հիվանդ երեխաների շրջանում կիրառման դեպքում: </w:t>
      </w:r>
    </w:p>
    <w:p w14:paraId="718353AD"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Ընդհանուր առմամբ դա վերաբերում է տվյալներին, որոնք ստացվել են բուժման չընդհատվող ծրագրով հետազոտության 6-րդ </w:t>
      </w:r>
      <w:r w:rsidR="00C54D75">
        <w:rPr>
          <w:rFonts w:ascii="Sylfaen" w:hAnsi="Sylfaen"/>
          <w:sz w:val="24"/>
          <w:szCs w:val="24"/>
        </w:rPr>
        <w:t>և</w:t>
      </w:r>
      <w:r w:rsidRPr="003B2786">
        <w:rPr>
          <w:rFonts w:ascii="Sylfaen" w:hAnsi="Sylfaen"/>
          <w:sz w:val="24"/>
          <w:szCs w:val="24"/>
        </w:rPr>
        <w:t xml:space="preserve"> 12-րդ ամիսների դրությամբ, կամ ընդհատումներով բուժման ծրագրով հետազոտության տվյալներին: </w:t>
      </w:r>
    </w:p>
    <w:p w14:paraId="562E1015"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t>12 ամիսը գերազանցող ժամանակահատվածում անհրաժեշտ է ներկայացնել բուժման վերաբերյալ ցանկացած տեղեկատվություն:</w:t>
      </w:r>
    </w:p>
    <w:p w14:paraId="402BC65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Սուբյեկտների առաջարկվող թիրախային խմբի մասով անվտանգության վերաբերյալ տվյալների բազայում անհրաժեշտ է կատարել ցանկացած սահմանափակման ամփոփում: </w:t>
      </w:r>
    </w:p>
    <w:p w14:paraId="6A64500B"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4.3.</w:t>
      </w:r>
      <w:r w:rsidRPr="003B2786">
        <w:rPr>
          <w:rFonts w:ascii="Sylfaen" w:hAnsi="Sylfaen"/>
          <w:sz w:val="24"/>
          <w:szCs w:val="24"/>
        </w:rPr>
        <w:tab/>
        <w:t>Անցանկալի եր</w:t>
      </w:r>
      <w:r w:rsidR="00C54D75">
        <w:rPr>
          <w:rFonts w:ascii="Sylfaen" w:hAnsi="Sylfaen"/>
          <w:sz w:val="24"/>
          <w:szCs w:val="24"/>
        </w:rPr>
        <w:t>և</w:t>
      </w:r>
      <w:r w:rsidRPr="003B2786">
        <w:rPr>
          <w:rFonts w:ascii="Sylfaen" w:hAnsi="Sylfaen"/>
          <w:sz w:val="24"/>
          <w:szCs w:val="24"/>
        </w:rPr>
        <w:t>ույթները:</w:t>
      </w:r>
    </w:p>
    <w:p w14:paraId="255F936F"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Արդյունքները՝ ներառյալ բոլոր անցանկալի կողմնակի եր</w:t>
      </w:r>
      <w:r w:rsidR="00C54D75">
        <w:rPr>
          <w:rFonts w:ascii="Sylfaen" w:hAnsi="Sylfaen"/>
          <w:sz w:val="24"/>
          <w:szCs w:val="24"/>
        </w:rPr>
        <w:t>և</w:t>
      </w:r>
      <w:r w:rsidRPr="003B2786">
        <w:rPr>
          <w:rFonts w:ascii="Sylfaen" w:hAnsi="Sylfaen"/>
          <w:sz w:val="24"/>
          <w:szCs w:val="24"/>
        </w:rPr>
        <w:t>ույթների ծանրության աստիճանի վերաբերյալ տվյալները պետք է ներկայացվեն օրգան- համակարգերի դասակարգմանը (SOC) (նախընտրելի եզրույթներ) համապատասխան: Անհրաժեշտ է ամփոփ աղյուսակի տվյալները ներկայացնել գրանցման դոսյեում ներառված համանման աղյուսակում (2.7.4.3)՝ վիճակագրական վերլուծության հետ միասին:</w:t>
      </w:r>
    </w:p>
    <w:p w14:paraId="5EA7D034"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Բոլոր դեպքերում անհրաժեշտ է ներկայացնել անցանկալի եր</w:t>
      </w:r>
      <w:r w:rsidR="00C54D75">
        <w:rPr>
          <w:rFonts w:ascii="Sylfaen" w:hAnsi="Sylfaen"/>
          <w:sz w:val="24"/>
          <w:szCs w:val="24"/>
        </w:rPr>
        <w:t>և</w:t>
      </w:r>
      <w:r w:rsidRPr="003B2786">
        <w:rPr>
          <w:rFonts w:ascii="Sylfaen" w:hAnsi="Sylfaen"/>
          <w:sz w:val="24"/>
          <w:szCs w:val="24"/>
        </w:rPr>
        <w:t xml:space="preserve">ույթների </w:t>
      </w:r>
      <w:r w:rsidR="00C54D75">
        <w:rPr>
          <w:rFonts w:ascii="Sylfaen" w:hAnsi="Sylfaen"/>
          <w:sz w:val="24"/>
          <w:szCs w:val="24"/>
        </w:rPr>
        <w:t>և</w:t>
      </w:r>
      <w:r w:rsidRPr="003B2786">
        <w:rPr>
          <w:rFonts w:ascii="Sylfaen" w:hAnsi="Sylfaen"/>
          <w:sz w:val="24"/>
          <w:szCs w:val="24"/>
        </w:rPr>
        <w:t xml:space="preserve"> ռեակցիաների (նշելով պատճառահետ</w:t>
      </w:r>
      <w:r w:rsidR="00C54D75">
        <w:rPr>
          <w:rFonts w:ascii="Sylfaen" w:hAnsi="Sylfaen"/>
          <w:sz w:val="24"/>
          <w:szCs w:val="24"/>
        </w:rPr>
        <w:t>և</w:t>
      </w:r>
      <w:r w:rsidRPr="003B2786">
        <w:rPr>
          <w:rFonts w:ascii="Sylfaen" w:hAnsi="Sylfaen"/>
          <w:sz w:val="24"/>
          <w:szCs w:val="24"/>
        </w:rPr>
        <w:t xml:space="preserve">անքային կապը) </w:t>
      </w:r>
      <w:r w:rsidR="00C54D75">
        <w:rPr>
          <w:rFonts w:ascii="Sylfaen" w:hAnsi="Sylfaen"/>
          <w:sz w:val="24"/>
          <w:szCs w:val="24"/>
        </w:rPr>
        <w:t>և</w:t>
      </w:r>
      <w:r w:rsidRPr="003B2786">
        <w:rPr>
          <w:rFonts w:ascii="Sylfaen" w:hAnsi="Sylfaen"/>
          <w:sz w:val="24"/>
          <w:szCs w:val="24"/>
        </w:rPr>
        <w:t xml:space="preserve"> այլ փոփոխականների միջ</w:t>
      </w:r>
      <w:r w:rsidR="00C54D75">
        <w:rPr>
          <w:rFonts w:ascii="Sylfaen" w:hAnsi="Sylfaen"/>
          <w:sz w:val="24"/>
          <w:szCs w:val="24"/>
        </w:rPr>
        <w:t>և</w:t>
      </w:r>
      <w:r w:rsidRPr="003B2786">
        <w:rPr>
          <w:rFonts w:ascii="Sylfaen" w:hAnsi="Sylfaen"/>
          <w:sz w:val="24"/>
          <w:szCs w:val="24"/>
        </w:rPr>
        <w:t xml:space="preserve"> հարաբերության ամփոփման տվյալները: </w:t>
      </w:r>
    </w:p>
    <w:p w14:paraId="66EB54A6"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Այդպիսի փոփոխականներ կարող են լինել հետ</w:t>
      </w:r>
      <w:r w:rsidR="00C54D75">
        <w:rPr>
          <w:rFonts w:ascii="Sylfaen" w:hAnsi="Sylfaen"/>
          <w:sz w:val="24"/>
          <w:szCs w:val="24"/>
        </w:rPr>
        <w:t>և</w:t>
      </w:r>
      <w:r w:rsidRPr="003B2786">
        <w:rPr>
          <w:rFonts w:ascii="Sylfaen" w:hAnsi="Sylfaen"/>
          <w:sz w:val="24"/>
          <w:szCs w:val="24"/>
        </w:rPr>
        <w:t>յալները՝</w:t>
      </w:r>
    </w:p>
    <w:p w14:paraId="6D1B4483"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բուժման տ</w:t>
      </w:r>
      <w:r w:rsidR="00C54D75">
        <w:rPr>
          <w:rFonts w:ascii="Sylfaen" w:hAnsi="Sylfaen"/>
          <w:sz w:val="24"/>
          <w:szCs w:val="24"/>
        </w:rPr>
        <w:t>և</w:t>
      </w:r>
      <w:r w:rsidRPr="003B2786">
        <w:rPr>
          <w:rFonts w:ascii="Sylfaen" w:hAnsi="Sylfaen"/>
          <w:sz w:val="24"/>
          <w:szCs w:val="24"/>
        </w:rPr>
        <w:t>ողությունը,</w:t>
      </w:r>
    </w:p>
    <w:p w14:paraId="4A20381F"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դոզավորման ռեժիմը </w:t>
      </w:r>
      <w:r w:rsidR="00C54D75">
        <w:rPr>
          <w:rFonts w:ascii="Sylfaen" w:hAnsi="Sylfaen"/>
          <w:sz w:val="24"/>
          <w:szCs w:val="24"/>
        </w:rPr>
        <w:t>և</w:t>
      </w:r>
      <w:r w:rsidRPr="003B2786">
        <w:rPr>
          <w:rFonts w:ascii="Sylfaen" w:hAnsi="Sylfaen"/>
          <w:sz w:val="24"/>
          <w:szCs w:val="24"/>
        </w:rPr>
        <w:t xml:space="preserve"> ժամանակահատվածները,</w:t>
      </w:r>
    </w:p>
    <w:p w14:paraId="5115D1B5"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ընդհանուր թունավորությունը </w:t>
      </w:r>
      <w:r w:rsidR="00C54D75">
        <w:rPr>
          <w:rFonts w:ascii="Sylfaen" w:hAnsi="Sylfaen"/>
          <w:sz w:val="24"/>
          <w:szCs w:val="24"/>
        </w:rPr>
        <w:t>և</w:t>
      </w:r>
      <w:r w:rsidRPr="003B2786">
        <w:rPr>
          <w:rFonts w:ascii="Sylfaen" w:hAnsi="Sylfaen"/>
          <w:sz w:val="24"/>
          <w:szCs w:val="24"/>
        </w:rPr>
        <w:t xml:space="preserve"> ներմուծված դեղաչափով պայմանավորված թունավորությունը, </w:t>
      </w:r>
    </w:p>
    <w:p w14:paraId="4D1ADB6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անհրաժեշտության դեպքում ուղեկցող դեղապատրաստուկները:</w:t>
      </w:r>
    </w:p>
    <w:p w14:paraId="1A60DA2A" w14:textId="77777777" w:rsidR="008C76E0" w:rsidRPr="00B46DD3" w:rsidRDefault="008C76E0" w:rsidP="00262653">
      <w:pPr>
        <w:spacing w:after="160" w:line="360" w:lineRule="auto"/>
        <w:ind w:right="-1" w:firstLine="567"/>
        <w:jc w:val="both"/>
        <w:rPr>
          <w:rFonts w:ascii="Sylfaen" w:hAnsi="Sylfaen"/>
          <w:spacing w:val="-6"/>
          <w:sz w:val="24"/>
          <w:szCs w:val="24"/>
        </w:rPr>
      </w:pPr>
      <w:r w:rsidRPr="00B46DD3">
        <w:rPr>
          <w:rFonts w:ascii="Sylfaen" w:hAnsi="Sylfaen"/>
          <w:spacing w:val="-6"/>
          <w:sz w:val="24"/>
          <w:szCs w:val="24"/>
        </w:rPr>
        <w:t>Եր</w:t>
      </w:r>
      <w:r w:rsidR="00C54D75">
        <w:rPr>
          <w:rFonts w:ascii="Sylfaen" w:hAnsi="Sylfaen"/>
          <w:spacing w:val="-6"/>
          <w:sz w:val="24"/>
          <w:szCs w:val="24"/>
        </w:rPr>
        <w:t>և</w:t>
      </w:r>
      <w:r w:rsidRPr="00B46DD3">
        <w:rPr>
          <w:rFonts w:ascii="Sylfaen" w:hAnsi="Sylfaen"/>
          <w:spacing w:val="-6"/>
          <w:sz w:val="24"/>
          <w:szCs w:val="24"/>
        </w:rPr>
        <w:t xml:space="preserve">ույթի դարձելիության </w:t>
      </w:r>
      <w:r w:rsidR="00C54D75">
        <w:rPr>
          <w:rFonts w:ascii="Sylfaen" w:hAnsi="Sylfaen"/>
          <w:spacing w:val="-6"/>
          <w:sz w:val="24"/>
          <w:szCs w:val="24"/>
        </w:rPr>
        <w:t>և</w:t>
      </w:r>
      <w:r w:rsidRPr="00B46DD3">
        <w:rPr>
          <w:rFonts w:ascii="Sylfaen" w:hAnsi="Sylfaen"/>
          <w:spacing w:val="-6"/>
          <w:sz w:val="24"/>
          <w:szCs w:val="24"/>
        </w:rPr>
        <w:t xml:space="preserve"> նախակլինիկական տվյալների հաստատման վերաբերյալ մեկնաբանությունները ներկայացվում են անհրաժեշտության դեպքում:</w:t>
      </w:r>
    </w:p>
    <w:p w14:paraId="109E308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Անհրաժեշտ է նշել արտադրության (որակի) արդիական ասպեկտների հետ հնարավոր կապը (օրինակ՝ հակածին միացությունների մասով):</w:t>
      </w:r>
    </w:p>
    <w:p w14:paraId="1FB7CE5C"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Կենսահամանման-կենսանման պատրաստուկների մասով գրանցման դոսյեի փորձաքննության դեպքում, նույնիսկ արդյունավետության տվյալների համադրելիության վկայությունների առկայության դեպքում կենսահամանման-կենսանման պատրաստուկի մոտ կարող է դիտվել անվտանգության տարբերվող պրոֆիլ (անցանկալի ռեակցիաների բնույթի, լրջության աստիճանի կամ զարգացման հաճախակիության տեսանկյունից): Պետք է ստացվեն մի շարք պացիենտների շրջանում անվտանգության հետազոտության նախագրանցումային տվյալները, ինչպես նա</w:t>
      </w:r>
      <w:r w:rsidR="00C54D75">
        <w:rPr>
          <w:rFonts w:ascii="Sylfaen" w:hAnsi="Sylfaen"/>
          <w:sz w:val="24"/>
          <w:szCs w:val="24"/>
        </w:rPr>
        <w:t>և</w:t>
      </w:r>
      <w:r w:rsidRPr="003B2786">
        <w:rPr>
          <w:rFonts w:ascii="Sylfaen" w:hAnsi="Sylfaen"/>
          <w:sz w:val="24"/>
          <w:szCs w:val="24"/>
        </w:rPr>
        <w:t xml:space="preserve"> շարունակական բուժմամբ հետազոտության տվյալները, որոնք բավական են հետազոտվող </w:t>
      </w:r>
      <w:r w:rsidR="00C54D75">
        <w:rPr>
          <w:rFonts w:ascii="Sylfaen" w:hAnsi="Sylfaen"/>
          <w:sz w:val="24"/>
          <w:szCs w:val="24"/>
        </w:rPr>
        <w:t>և</w:t>
      </w:r>
      <w:r w:rsidRPr="003B2786">
        <w:rPr>
          <w:rFonts w:ascii="Sylfaen" w:hAnsi="Sylfaen"/>
          <w:sz w:val="24"/>
          <w:szCs w:val="24"/>
        </w:rPr>
        <w:t xml:space="preserve"> չափանմուշային պատրաստուկների անցանկալի եր</w:t>
      </w:r>
      <w:r w:rsidR="00C54D75">
        <w:rPr>
          <w:rFonts w:ascii="Sylfaen" w:hAnsi="Sylfaen"/>
          <w:sz w:val="24"/>
          <w:szCs w:val="24"/>
        </w:rPr>
        <w:t>և</w:t>
      </w:r>
      <w:r w:rsidRPr="003B2786">
        <w:rPr>
          <w:rFonts w:ascii="Sylfaen" w:hAnsi="Sylfaen"/>
          <w:sz w:val="24"/>
          <w:szCs w:val="24"/>
        </w:rPr>
        <w:t xml:space="preserve">ույթների պրոֆիլների համադրելիության ամփոփման համար: Հարկավոր է հատուկ ուշադրություն դարձնել տիպերի, ծանրության աստիճանների </w:t>
      </w:r>
      <w:r w:rsidR="00C54D75">
        <w:rPr>
          <w:rFonts w:ascii="Sylfaen" w:hAnsi="Sylfaen"/>
          <w:sz w:val="24"/>
          <w:szCs w:val="24"/>
        </w:rPr>
        <w:t>և</w:t>
      </w:r>
      <w:r w:rsidRPr="003B2786">
        <w:rPr>
          <w:rFonts w:ascii="Sylfaen" w:hAnsi="Sylfaen"/>
          <w:sz w:val="24"/>
          <w:szCs w:val="24"/>
        </w:rPr>
        <w:t xml:space="preserve"> ընդհանուր կողմնակի այն ռեակցիների առաջացման հաճախակիության համեմատությանը, որոնք դիտվել են կենսահամանման-կենսանման պատրաստուկը </w:t>
      </w:r>
      <w:r w:rsidR="00C54D75">
        <w:rPr>
          <w:rFonts w:ascii="Sylfaen" w:hAnsi="Sylfaen"/>
          <w:sz w:val="24"/>
          <w:szCs w:val="24"/>
        </w:rPr>
        <w:t>և</w:t>
      </w:r>
      <w:r w:rsidRPr="003B2786">
        <w:rPr>
          <w:rFonts w:ascii="Sylfaen" w:hAnsi="Sylfaen"/>
          <w:sz w:val="24"/>
          <w:szCs w:val="24"/>
        </w:rPr>
        <w:t xml:space="preserve"> չափանմուշային դեղապատրաստուկը կիրառելիս: </w:t>
      </w:r>
    </w:p>
    <w:p w14:paraId="69745ECF" w14:textId="77777777" w:rsidR="008C76E0" w:rsidRPr="003B2786" w:rsidRDefault="008C76E0" w:rsidP="00262653">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4.4.</w:t>
      </w:r>
      <w:r w:rsidRPr="003B2786">
        <w:rPr>
          <w:rFonts w:ascii="Sylfaen" w:hAnsi="Sylfaen"/>
          <w:sz w:val="24"/>
          <w:szCs w:val="24"/>
        </w:rPr>
        <w:tab/>
        <w:t>Լուրջ անցանկալի եր</w:t>
      </w:r>
      <w:r w:rsidR="00C54D75">
        <w:rPr>
          <w:rFonts w:ascii="Sylfaen" w:hAnsi="Sylfaen"/>
          <w:sz w:val="24"/>
          <w:szCs w:val="24"/>
        </w:rPr>
        <w:t>և</w:t>
      </w:r>
      <w:r w:rsidRPr="003B2786">
        <w:rPr>
          <w:rFonts w:ascii="Sylfaen" w:hAnsi="Sylfaen"/>
          <w:sz w:val="24"/>
          <w:szCs w:val="24"/>
        </w:rPr>
        <w:t xml:space="preserve">ույթները </w:t>
      </w:r>
      <w:r w:rsidR="00C54D75">
        <w:rPr>
          <w:rFonts w:ascii="Sylfaen" w:hAnsi="Sylfaen"/>
          <w:sz w:val="24"/>
          <w:szCs w:val="24"/>
        </w:rPr>
        <w:t>և</w:t>
      </w:r>
      <w:r w:rsidRPr="003B2786">
        <w:rPr>
          <w:rFonts w:ascii="Sylfaen" w:hAnsi="Sylfaen"/>
          <w:sz w:val="24"/>
          <w:szCs w:val="24"/>
        </w:rPr>
        <w:t xml:space="preserve"> մահացու ելքը:</w:t>
      </w:r>
    </w:p>
    <w:p w14:paraId="30661EA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Անվտանգության ընդհանուր պրոֆիլի ամփոփումից հետո անհրաժեշտ է անցկացնել լուրջ անցանկալի եր</w:t>
      </w:r>
      <w:r w:rsidR="00C54D75">
        <w:rPr>
          <w:rFonts w:ascii="Sylfaen" w:hAnsi="Sylfaen"/>
          <w:sz w:val="24"/>
          <w:szCs w:val="24"/>
        </w:rPr>
        <w:t>և</w:t>
      </w:r>
      <w:r w:rsidRPr="003B2786">
        <w:rPr>
          <w:rFonts w:ascii="Sylfaen" w:hAnsi="Sylfaen"/>
          <w:sz w:val="24"/>
          <w:szCs w:val="24"/>
        </w:rPr>
        <w:t>ույթների առանձին վերլուծություն:</w:t>
      </w:r>
    </w:p>
    <w:p w14:paraId="58B33613"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Արդյունքները պետք է ներկայացվեն օրգան- համակարգերի դասակարգմանը (SOC) (նախընտրելի եզրույթներ) համապատասխան՝ ներառյալ անցանկալի </w:t>
      </w:r>
      <w:r w:rsidRPr="003B2786">
        <w:rPr>
          <w:rFonts w:ascii="Sylfaen" w:hAnsi="Sylfaen"/>
          <w:sz w:val="24"/>
          <w:szCs w:val="24"/>
        </w:rPr>
        <w:lastRenderedPageBreak/>
        <w:t>եր</w:t>
      </w:r>
      <w:r w:rsidR="00C54D75">
        <w:rPr>
          <w:rFonts w:ascii="Sylfaen" w:hAnsi="Sylfaen"/>
          <w:sz w:val="24"/>
          <w:szCs w:val="24"/>
        </w:rPr>
        <w:t>և</w:t>
      </w:r>
      <w:r w:rsidRPr="003B2786">
        <w:rPr>
          <w:rFonts w:ascii="Sylfaen" w:hAnsi="Sylfaen"/>
          <w:sz w:val="24"/>
          <w:szCs w:val="24"/>
        </w:rPr>
        <w:t xml:space="preserve">ույթների ծանրության աստիճանի վերաբերյալ տվյալները: Անհրաժեշտ է ամփոփ աղյուսակի տվյալները ներկայացնել գրանցման դոսյեում ներառված համանման աղյուսակի մեջ (2.7.4.3 </w:t>
      </w:r>
      <w:r w:rsidR="00C54D75">
        <w:rPr>
          <w:rFonts w:ascii="Sylfaen" w:hAnsi="Sylfaen"/>
          <w:sz w:val="24"/>
          <w:szCs w:val="24"/>
        </w:rPr>
        <w:t>և</w:t>
      </w:r>
      <w:r w:rsidRPr="003B2786">
        <w:rPr>
          <w:rFonts w:ascii="Sylfaen" w:hAnsi="Sylfaen"/>
          <w:sz w:val="24"/>
          <w:szCs w:val="24"/>
        </w:rPr>
        <w:t xml:space="preserve"> 2.7.4.6):</w:t>
      </w:r>
    </w:p>
    <w:p w14:paraId="6E2E5A54"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Բոլոր դեպքերում անհրաժեշտ է անցկացնել լուրջ անցանկալի եր</w:t>
      </w:r>
      <w:r w:rsidR="00C54D75">
        <w:rPr>
          <w:rFonts w:ascii="Sylfaen" w:hAnsi="Sylfaen"/>
          <w:sz w:val="24"/>
          <w:szCs w:val="24"/>
        </w:rPr>
        <w:t>և</w:t>
      </w:r>
      <w:r w:rsidRPr="003B2786">
        <w:rPr>
          <w:rFonts w:ascii="Sylfaen" w:hAnsi="Sylfaen"/>
          <w:sz w:val="24"/>
          <w:szCs w:val="24"/>
        </w:rPr>
        <w:t xml:space="preserve">ույթների (մահվան ելքով դեպքերի) </w:t>
      </w:r>
      <w:r w:rsidR="00C54D75">
        <w:rPr>
          <w:rFonts w:ascii="Sylfaen" w:hAnsi="Sylfaen"/>
          <w:sz w:val="24"/>
          <w:szCs w:val="24"/>
        </w:rPr>
        <w:t>և</w:t>
      </w:r>
      <w:r w:rsidRPr="003B2786">
        <w:rPr>
          <w:rFonts w:ascii="Sylfaen" w:hAnsi="Sylfaen"/>
          <w:sz w:val="24"/>
          <w:szCs w:val="24"/>
        </w:rPr>
        <w:t xml:space="preserve"> այլ փոփոխականների միջ</w:t>
      </w:r>
      <w:r w:rsidR="00C54D75">
        <w:rPr>
          <w:rFonts w:ascii="Sylfaen" w:hAnsi="Sylfaen"/>
          <w:sz w:val="24"/>
          <w:szCs w:val="24"/>
        </w:rPr>
        <w:t>և</w:t>
      </w:r>
      <w:r w:rsidRPr="003B2786">
        <w:rPr>
          <w:rFonts w:ascii="Sylfaen" w:hAnsi="Sylfaen"/>
          <w:sz w:val="24"/>
          <w:szCs w:val="24"/>
        </w:rPr>
        <w:t xml:space="preserve"> հարաբերությունների ամփոփում:</w:t>
      </w:r>
    </w:p>
    <w:p w14:paraId="034C4A25"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Այդպիսի փոփոխականներ կարող են լինել հետ</w:t>
      </w:r>
      <w:r w:rsidR="00C54D75">
        <w:rPr>
          <w:rFonts w:ascii="Sylfaen" w:hAnsi="Sylfaen"/>
          <w:sz w:val="24"/>
          <w:szCs w:val="24"/>
        </w:rPr>
        <w:t>և</w:t>
      </w:r>
      <w:r w:rsidRPr="003B2786">
        <w:rPr>
          <w:rFonts w:ascii="Sylfaen" w:hAnsi="Sylfaen"/>
          <w:sz w:val="24"/>
          <w:szCs w:val="24"/>
        </w:rPr>
        <w:t>յալները՝</w:t>
      </w:r>
    </w:p>
    <w:p w14:paraId="20C52A36"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բուժման տ</w:t>
      </w:r>
      <w:r w:rsidR="00C54D75">
        <w:rPr>
          <w:rFonts w:ascii="Sylfaen" w:hAnsi="Sylfaen"/>
          <w:sz w:val="24"/>
          <w:szCs w:val="24"/>
        </w:rPr>
        <w:t>և</w:t>
      </w:r>
      <w:r w:rsidRPr="003B2786">
        <w:rPr>
          <w:rFonts w:ascii="Sylfaen" w:hAnsi="Sylfaen"/>
          <w:sz w:val="24"/>
          <w:szCs w:val="24"/>
        </w:rPr>
        <w:t>ողությունը,</w:t>
      </w:r>
    </w:p>
    <w:p w14:paraId="46F11902"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 xml:space="preserve">դոզավորման ռեժիմը </w:t>
      </w:r>
      <w:r w:rsidR="00C54D75">
        <w:rPr>
          <w:rFonts w:ascii="Sylfaen" w:hAnsi="Sylfaen"/>
          <w:sz w:val="24"/>
          <w:szCs w:val="24"/>
        </w:rPr>
        <w:t>և</w:t>
      </w:r>
      <w:r w:rsidRPr="003B2786">
        <w:rPr>
          <w:rFonts w:ascii="Sylfaen" w:hAnsi="Sylfaen"/>
          <w:sz w:val="24"/>
          <w:szCs w:val="24"/>
        </w:rPr>
        <w:t xml:space="preserve"> ժամանակահատվածները,</w:t>
      </w:r>
    </w:p>
    <w:p w14:paraId="2A5945D5"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 xml:space="preserve">ընդհանուր թունավորությունը </w:t>
      </w:r>
      <w:r w:rsidR="00C54D75">
        <w:rPr>
          <w:rFonts w:ascii="Sylfaen" w:hAnsi="Sylfaen"/>
          <w:sz w:val="24"/>
          <w:szCs w:val="24"/>
        </w:rPr>
        <w:t>և</w:t>
      </w:r>
      <w:r w:rsidRPr="003B2786">
        <w:rPr>
          <w:rFonts w:ascii="Sylfaen" w:hAnsi="Sylfaen"/>
          <w:sz w:val="24"/>
          <w:szCs w:val="24"/>
        </w:rPr>
        <w:t xml:space="preserve"> ներմուծված դոզայով պայմանավորված թունավորությունը,</w:t>
      </w:r>
    </w:p>
    <w:p w14:paraId="3DD8C9A1" w14:textId="77777777" w:rsidR="008C76E0" w:rsidRPr="003B2786" w:rsidRDefault="008C76E0" w:rsidP="00262653">
      <w:pPr>
        <w:tabs>
          <w:tab w:val="left" w:pos="1560"/>
        </w:tabs>
        <w:spacing w:after="160" w:line="360" w:lineRule="auto"/>
        <w:ind w:firstLine="567"/>
        <w:jc w:val="both"/>
        <w:rPr>
          <w:rFonts w:ascii="Sylfaen" w:hAnsi="Sylfaen"/>
          <w:sz w:val="24"/>
          <w:szCs w:val="24"/>
        </w:rPr>
      </w:pPr>
      <w:r w:rsidRPr="003B2786">
        <w:rPr>
          <w:rFonts w:ascii="Sylfaen" w:hAnsi="Sylfaen"/>
          <w:sz w:val="24"/>
          <w:szCs w:val="24"/>
        </w:rPr>
        <w:t>ուղեկցող դեղապատրաստուկները՝ անհրաժեշտության դեպքում,</w:t>
      </w:r>
    </w:p>
    <w:p w14:paraId="40BC09B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եր</w:t>
      </w:r>
      <w:r w:rsidR="00C54D75">
        <w:rPr>
          <w:rFonts w:ascii="Sylfaen" w:hAnsi="Sylfaen"/>
          <w:sz w:val="24"/>
          <w:szCs w:val="24"/>
        </w:rPr>
        <w:t>և</w:t>
      </w:r>
      <w:r w:rsidRPr="003B2786">
        <w:rPr>
          <w:rFonts w:ascii="Sylfaen" w:hAnsi="Sylfaen"/>
          <w:sz w:val="24"/>
          <w:szCs w:val="24"/>
        </w:rPr>
        <w:t>ույթի (բացառությամբ մահվան ելքի) դարձելիությունը (ելքը):</w:t>
      </w:r>
    </w:p>
    <w:p w14:paraId="08CE9937"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4.5.</w:t>
      </w:r>
      <w:r w:rsidRPr="003B2786">
        <w:rPr>
          <w:rFonts w:ascii="Sylfaen" w:hAnsi="Sylfaen"/>
          <w:sz w:val="24"/>
          <w:szCs w:val="24"/>
        </w:rPr>
        <w:tab/>
        <w:t>Լաբորատոր հետազոտությունների տվյալները:</w:t>
      </w:r>
    </w:p>
    <w:p w14:paraId="78D888A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Եթե հիվանդությունը հաճախ է հանդիպում տարեց հասակում, պետք է ներկայացվի անվտանգության մասին տեղեկատվություն՝ հատուկ տարեց մարդկանց վերաբերյալ, կամ էլ ընդգծվի դրա բացակայության փաստը:</w:t>
      </w:r>
    </w:p>
    <w:p w14:paraId="25FE646D"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Տարեց մարդկանց վերաբերյալ տվյալները գնահատելիս հարկավոր է դիտարկել ոչ միայն հետազոտության մեջ ներառված պացիենտների թիվը, այլ նա</w:t>
      </w:r>
      <w:r w:rsidR="00C54D75">
        <w:rPr>
          <w:rFonts w:ascii="Sylfaen" w:hAnsi="Sylfaen"/>
          <w:sz w:val="24"/>
          <w:szCs w:val="24"/>
        </w:rPr>
        <w:t>և</w:t>
      </w:r>
      <w:r w:rsidRPr="003B2786">
        <w:rPr>
          <w:rFonts w:ascii="Sylfaen" w:hAnsi="Sylfaen"/>
          <w:sz w:val="24"/>
          <w:szCs w:val="24"/>
        </w:rPr>
        <w:t xml:space="preserve"> օգուտ-ռիսկ հարաբերակցության ամփոփման արդյունքները, քանի որ պետք</w:t>
      </w:r>
      <w:r w:rsidRPr="003B2786">
        <w:rPr>
          <w:rFonts w:ascii="Sylfaen" w:hAnsi="Sylfaen"/>
          <w:b/>
          <w:sz w:val="24"/>
          <w:szCs w:val="24"/>
        </w:rPr>
        <w:t> </w:t>
      </w:r>
      <w:r w:rsidRPr="003B2786">
        <w:rPr>
          <w:rFonts w:ascii="Sylfaen" w:hAnsi="Sylfaen"/>
          <w:sz w:val="24"/>
          <w:szCs w:val="24"/>
        </w:rPr>
        <w:t xml:space="preserve">է ուշադրություն դարձնել կոնկրետ հավանական ռիսկերին (օրինակ՝ ազդեցությունը մտավոր գործունեության, սրտանոթային համակարգի, երիկամների </w:t>
      </w:r>
      <w:r w:rsidR="00C54D75">
        <w:rPr>
          <w:rFonts w:ascii="Sylfaen" w:hAnsi="Sylfaen"/>
          <w:sz w:val="24"/>
          <w:szCs w:val="24"/>
        </w:rPr>
        <w:t>և</w:t>
      </w:r>
      <w:r w:rsidRPr="003B2786">
        <w:rPr>
          <w:rFonts w:ascii="Sylfaen" w:hAnsi="Sylfaen"/>
          <w:sz w:val="24"/>
          <w:szCs w:val="24"/>
        </w:rPr>
        <w:t xml:space="preserve"> լյարդի ֆունկցիաների վրա): Օգուտ-ռիսկ հարաբերակցությունը ամփոփելիս հարկավոր է ուշադրություն դարձնել տարեց մարդկանց շրջանում ուղեկցող հիվանդությունների տարածվածությանը </w:t>
      </w:r>
      <w:r w:rsidR="00C54D75">
        <w:rPr>
          <w:rFonts w:ascii="Sylfaen" w:hAnsi="Sylfaen"/>
          <w:sz w:val="24"/>
          <w:szCs w:val="24"/>
        </w:rPr>
        <w:t>և</w:t>
      </w:r>
      <w:r w:rsidRPr="003B2786">
        <w:rPr>
          <w:rFonts w:ascii="Sylfaen" w:hAnsi="Sylfaen"/>
          <w:sz w:val="24"/>
          <w:szCs w:val="24"/>
        </w:rPr>
        <w:t xml:space="preserve"> ծանրությանը, հարկավոր է նա</w:t>
      </w:r>
      <w:r w:rsidR="00C54D75">
        <w:rPr>
          <w:rFonts w:ascii="Sylfaen" w:hAnsi="Sylfaen"/>
          <w:sz w:val="24"/>
          <w:szCs w:val="24"/>
        </w:rPr>
        <w:t>և</w:t>
      </w:r>
      <w:r w:rsidRPr="003B2786">
        <w:rPr>
          <w:rFonts w:ascii="Sylfaen" w:hAnsi="Sylfaen"/>
          <w:sz w:val="24"/>
          <w:szCs w:val="24"/>
        </w:rPr>
        <w:t xml:space="preserve"> կատարել զուգահեռ դեղաթերապիայի վերաբերյալ առկա տեղեկատվության </w:t>
      </w:r>
      <w:r w:rsidRPr="003B2786">
        <w:rPr>
          <w:rFonts w:ascii="Sylfaen" w:hAnsi="Sylfaen"/>
          <w:sz w:val="24"/>
          <w:szCs w:val="24"/>
        </w:rPr>
        <w:lastRenderedPageBreak/>
        <w:t>ամփոփում, հատկապես եթե գոյություն ունի այլ դեղապատրաստուկների միաժամանակյա ներմուծման ֆոնին անբարենպաստ եր</w:t>
      </w:r>
      <w:r w:rsidR="00C54D75">
        <w:rPr>
          <w:rFonts w:ascii="Sylfaen" w:hAnsi="Sylfaen"/>
          <w:sz w:val="24"/>
          <w:szCs w:val="24"/>
        </w:rPr>
        <w:t>և</w:t>
      </w:r>
      <w:r w:rsidRPr="003B2786">
        <w:rPr>
          <w:rFonts w:ascii="Sylfaen" w:hAnsi="Sylfaen"/>
          <w:sz w:val="24"/>
          <w:szCs w:val="24"/>
        </w:rPr>
        <w:t xml:space="preserve">ույթների ազդեցության ուժեղացման հավանականություն: </w:t>
      </w:r>
    </w:p>
    <w:p w14:paraId="2B5F7EA5"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Խորհուրդ է տրվում լրացնել անցանկալի եր</w:t>
      </w:r>
      <w:r w:rsidR="00C54D75">
        <w:rPr>
          <w:rFonts w:ascii="Sylfaen" w:hAnsi="Sylfaen"/>
          <w:sz w:val="24"/>
          <w:szCs w:val="24"/>
        </w:rPr>
        <w:t>և</w:t>
      </w:r>
      <w:r w:rsidRPr="003B2786">
        <w:rPr>
          <w:rFonts w:ascii="Sylfaen" w:hAnsi="Sylfaen"/>
          <w:sz w:val="24"/>
          <w:szCs w:val="24"/>
        </w:rPr>
        <w:t xml:space="preserve">ույթների վերաբերյալ տեղեկությունների ամփոփ աղյուսակը, ինչպես նշված է սույն Կանոնների թիվ 7 հավելվածի համապատասխան բաժնում: Եթե տվյալ աղյուսակը կազմել հնարավոր չէ, խորհուրդ է տրվում կրիտիկական գնահատման 120-րդ օրը կազմվող հարցերի ցանկում ավելացնել հարցի տեսքով աղյուսակ: </w:t>
      </w:r>
    </w:p>
    <w:p w14:paraId="098A39A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Սույն բաժնում արված ցանկացած հայտարարություն պետք է արտացոլվի դեղագործական պատրաստուկի վերաբերյալ տեղեկատվության մեջ: </w:t>
      </w:r>
    </w:p>
    <w:p w14:paraId="16D1F6D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pacing w:val="-6"/>
          <w:sz w:val="24"/>
          <w:szCs w:val="24"/>
        </w:rPr>
        <w:t>Անհրաժեշտ է մուտքագրել (պլացեբոյով վերահսկվող ազդեցության (</w:t>
      </w:r>
      <w:r w:rsidRPr="003B2786">
        <w:rPr>
          <w:rFonts w:ascii="Sylfaen" w:hAnsi="Sylfaen"/>
          <w:sz w:val="24"/>
          <w:szCs w:val="24"/>
        </w:rPr>
        <w:t xml:space="preserve">ռեֆերենտ </w:t>
      </w:r>
      <w:r w:rsidRPr="003B2786">
        <w:rPr>
          <w:rFonts w:ascii="Sylfaen" w:hAnsi="Sylfaen"/>
          <w:spacing w:val="-6"/>
          <w:sz w:val="24"/>
          <w:szCs w:val="24"/>
        </w:rPr>
        <w:t>պատրաստուկով վերահսկվող ազդեցության) տվյալների հետ համեմատության մեջ) կլինիկապես նշանակալի շեղումները (օրինակ՝ պացիենտների 10%-ի մոտ հեմոգլոբինի մակարդակի նվազեցումը</w:t>
      </w:r>
      <w:r w:rsidRPr="003B2786">
        <w:rPr>
          <w:rFonts w:ascii="Sylfaen" w:hAnsi="Sylfaen"/>
          <w:sz w:val="24"/>
          <w:szCs w:val="24"/>
        </w:rPr>
        <w:t xml:space="preserve"> 2 գ/դլ-ով 20-շաբաթյա ներգործության ընթացքում):</w:t>
      </w:r>
    </w:p>
    <w:p w14:paraId="0FF63FD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Պետք է նշվի վերադարձը ցուցանիշների նորմալ մակարդակին: Տվյալ տեղեկատվությունը կարող է ներառվել աղյուսակի մեջ:</w:t>
      </w:r>
    </w:p>
    <w:p w14:paraId="74FAD58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Այն պացիենտների մասին տեղեկությունները, որոնց շրջանում գրանցվել է ստանդարտ շեղումը 3 անգամ գերազանցող շեղումներ, պետք է նշվեն առանձին: </w:t>
      </w:r>
    </w:p>
    <w:p w14:paraId="55DE29AE" w14:textId="77777777" w:rsidR="008C76E0" w:rsidRPr="003B2786" w:rsidRDefault="008C76E0" w:rsidP="0092500F">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4.6.</w:t>
      </w:r>
      <w:r w:rsidRPr="003B2786">
        <w:rPr>
          <w:rFonts w:ascii="Sylfaen" w:hAnsi="Sylfaen"/>
          <w:sz w:val="24"/>
          <w:szCs w:val="24"/>
        </w:rPr>
        <w:tab/>
        <w:t>Պատրաստուկի կիրառման անվտանգությունը բնակչության հատուկ խմբերի շրջանում:</w:t>
      </w:r>
    </w:p>
    <w:p w14:paraId="46F1D473" w14:textId="77777777" w:rsidR="008C76E0" w:rsidRPr="003B2786" w:rsidRDefault="008C76E0" w:rsidP="0092500F">
      <w:pPr>
        <w:tabs>
          <w:tab w:val="left" w:pos="1560"/>
        </w:tabs>
        <w:spacing w:after="160" w:line="336" w:lineRule="auto"/>
        <w:ind w:firstLine="567"/>
        <w:jc w:val="both"/>
        <w:rPr>
          <w:rFonts w:ascii="Sylfaen" w:hAnsi="Sylfaen"/>
          <w:sz w:val="24"/>
          <w:szCs w:val="24"/>
        </w:rPr>
      </w:pPr>
      <w:r w:rsidRPr="003B2786">
        <w:rPr>
          <w:rFonts w:ascii="Sylfaen" w:hAnsi="Sylfaen"/>
          <w:sz w:val="24"/>
          <w:szCs w:val="24"/>
        </w:rPr>
        <w:t xml:space="preserve">Նախակլինիկական </w:t>
      </w:r>
      <w:r w:rsidR="00C54D75">
        <w:rPr>
          <w:rFonts w:ascii="Sylfaen" w:hAnsi="Sylfaen"/>
          <w:sz w:val="24"/>
          <w:szCs w:val="24"/>
        </w:rPr>
        <w:t>և</w:t>
      </w:r>
      <w:r w:rsidRPr="003B2786">
        <w:rPr>
          <w:rFonts w:ascii="Sylfaen" w:hAnsi="Sylfaen"/>
          <w:sz w:val="24"/>
          <w:szCs w:val="24"/>
        </w:rPr>
        <w:t xml:space="preserve"> կլինիկական հետազոտությունների արդյունքներով ստացված առկա ողջ տեղեկատվության համառոտ ռեզյումեն՝ բժշկական կիրառման դեղապատրաստուկի ընդհանուր բնութագրում շարադրված կոնկրետ հայտարարությունները հիմնավորելու համար (օրինակ՝ գենդերային տարբերությունները, հղի կանանց շրջանում կիրառման ռիսկը, ակնկալվող կամ դիտվող ազդեցությունը երեխաների (համապատասխան տարիքային խմբերում), տարեց մարդկանց շրջանում </w:t>
      </w:r>
      <w:r w:rsidR="00C54D75">
        <w:rPr>
          <w:rFonts w:ascii="Sylfaen" w:hAnsi="Sylfaen"/>
          <w:sz w:val="24"/>
          <w:szCs w:val="24"/>
        </w:rPr>
        <w:t>և</w:t>
      </w:r>
      <w:r w:rsidRPr="003B2786">
        <w:rPr>
          <w:rFonts w:ascii="Sylfaen" w:hAnsi="Sylfaen"/>
          <w:sz w:val="24"/>
          <w:szCs w:val="24"/>
        </w:rPr>
        <w:t xml:space="preserve"> այլն):</w:t>
      </w:r>
    </w:p>
    <w:p w14:paraId="46700A42" w14:textId="77777777" w:rsidR="008C76E0" w:rsidRPr="003B2786" w:rsidRDefault="008C76E0" w:rsidP="00262653">
      <w:pPr>
        <w:tabs>
          <w:tab w:val="left" w:pos="1560"/>
        </w:tabs>
        <w:spacing w:after="160" w:line="360" w:lineRule="auto"/>
        <w:ind w:right="-1" w:firstLine="567"/>
        <w:jc w:val="both"/>
        <w:rPr>
          <w:rFonts w:ascii="Sylfaen" w:hAnsi="Sylfaen"/>
          <w:sz w:val="24"/>
          <w:szCs w:val="24"/>
        </w:rPr>
      </w:pPr>
      <w:r w:rsidRPr="003B2786">
        <w:rPr>
          <w:rFonts w:ascii="Sylfaen" w:hAnsi="Sylfaen"/>
          <w:sz w:val="24"/>
          <w:szCs w:val="24"/>
        </w:rPr>
        <w:lastRenderedPageBreak/>
        <w:t>Ձ</w:t>
      </w:r>
      <w:r w:rsidR="00C54D75">
        <w:rPr>
          <w:rFonts w:ascii="Sylfaen" w:hAnsi="Sylfaen"/>
          <w:sz w:val="24"/>
          <w:szCs w:val="24"/>
        </w:rPr>
        <w:t>և</w:t>
      </w:r>
      <w:r w:rsidRPr="003B2786">
        <w:rPr>
          <w:rFonts w:ascii="Sylfaen" w:hAnsi="Sylfaen"/>
          <w:sz w:val="24"/>
          <w:szCs w:val="24"/>
        </w:rPr>
        <w:t>ակերպումը պետք է լինի համառոտ, իսկ հիմնական տեղեկատվության շրջանակներից դուրս եկող մանրամասն տեղեկություններն անհրաժեշտ է նշել միայն կրիտիկական գնահատման համար դրանց արդիականության դեպքում:</w:t>
      </w:r>
    </w:p>
    <w:p w14:paraId="53464E95"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4.7.</w:t>
      </w:r>
      <w:r w:rsidRPr="003B2786">
        <w:rPr>
          <w:rFonts w:ascii="Sylfaen" w:hAnsi="Sylfaen"/>
          <w:sz w:val="24"/>
          <w:szCs w:val="24"/>
        </w:rPr>
        <w:tab/>
        <w:t>Իմունաբանական եր</w:t>
      </w:r>
      <w:r w:rsidR="00C54D75">
        <w:rPr>
          <w:rFonts w:ascii="Sylfaen" w:hAnsi="Sylfaen"/>
          <w:sz w:val="24"/>
          <w:szCs w:val="24"/>
        </w:rPr>
        <w:t>և</w:t>
      </w:r>
      <w:r w:rsidRPr="003B2786">
        <w:rPr>
          <w:rFonts w:ascii="Sylfaen" w:hAnsi="Sylfaen"/>
          <w:sz w:val="24"/>
          <w:szCs w:val="24"/>
        </w:rPr>
        <w:t>ույթները:</w:t>
      </w:r>
    </w:p>
    <w:p w14:paraId="4B418458"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Անվտանգության ամփոփման համատեքստում հարկավոր է ընդգծել հակամարմինների առաջացումը (օրինակ՝ չեզոքացնող հակամարմիններ, աուտոհակամարմիններ, տեսակային հակամարմիններ (օրինակ՝ НАМА (մարդու հակամկնային հակամարմիններ) НАНА (հումանիզացված հակամարմնի համար մարդկային իմունոգլոբուլին)) մոնոկլոնալ հակամարմինների արտադրման դեպքում: Անհրաժեշտ է մեկնաբանել վերլուծության արդիականությունը (օգտակարությունը):</w:t>
      </w:r>
    </w:p>
    <w:p w14:paraId="2B7EF21F"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4.8.</w:t>
      </w:r>
      <w:r w:rsidRPr="003B2786">
        <w:rPr>
          <w:rFonts w:ascii="Sylfaen" w:hAnsi="Sylfaen"/>
          <w:sz w:val="24"/>
          <w:szCs w:val="24"/>
        </w:rPr>
        <w:tab/>
        <w:t xml:space="preserve">Անվտանգությունը դեղային </w:t>
      </w:r>
      <w:r w:rsidR="00C54D75">
        <w:rPr>
          <w:rFonts w:ascii="Sylfaen" w:hAnsi="Sylfaen"/>
          <w:sz w:val="24"/>
          <w:szCs w:val="24"/>
        </w:rPr>
        <w:t>և</w:t>
      </w:r>
      <w:r w:rsidRPr="003B2786">
        <w:rPr>
          <w:rFonts w:ascii="Sylfaen" w:hAnsi="Sylfaen"/>
          <w:sz w:val="24"/>
          <w:szCs w:val="24"/>
        </w:rPr>
        <w:t xml:space="preserve"> այլ փոխազդեցությունների ժամանակ:</w:t>
      </w:r>
    </w:p>
    <w:p w14:paraId="401B540C" w14:textId="77777777" w:rsidR="008C76E0" w:rsidRPr="003B2786" w:rsidRDefault="008C76E0" w:rsidP="002C4B5D">
      <w:pPr>
        <w:spacing w:after="160" w:line="336" w:lineRule="auto"/>
        <w:ind w:firstLine="567"/>
        <w:jc w:val="both"/>
        <w:rPr>
          <w:rFonts w:ascii="Sylfaen" w:hAnsi="Sylfaen"/>
          <w:sz w:val="24"/>
          <w:szCs w:val="24"/>
        </w:rPr>
      </w:pPr>
      <w:r w:rsidRPr="003B2786">
        <w:rPr>
          <w:rFonts w:ascii="Sylfaen" w:hAnsi="Sylfaen"/>
          <w:sz w:val="24"/>
          <w:szCs w:val="24"/>
        </w:rPr>
        <w:t xml:space="preserve">Այս բաժնում պետք է նշվեն դեղակինետիկ </w:t>
      </w:r>
      <w:r w:rsidR="00C54D75">
        <w:rPr>
          <w:rFonts w:ascii="Sylfaen" w:hAnsi="Sylfaen"/>
          <w:sz w:val="24"/>
          <w:szCs w:val="24"/>
        </w:rPr>
        <w:t>և</w:t>
      </w:r>
      <w:r w:rsidRPr="003B2786">
        <w:rPr>
          <w:rFonts w:ascii="Sylfaen" w:hAnsi="Sylfaen"/>
          <w:sz w:val="24"/>
          <w:szCs w:val="24"/>
        </w:rPr>
        <w:t xml:space="preserve"> դեղադինամիկ փոխազդեցության՝ անվտանգությանն անմիջականորեն առնչվող տվյալները: Պետք է նա</w:t>
      </w:r>
      <w:r w:rsidR="00C54D75">
        <w:rPr>
          <w:rFonts w:ascii="Sylfaen" w:hAnsi="Sylfaen"/>
          <w:sz w:val="24"/>
          <w:szCs w:val="24"/>
        </w:rPr>
        <w:t>և</w:t>
      </w:r>
      <w:r w:rsidRPr="003B2786">
        <w:rPr>
          <w:rFonts w:ascii="Sylfaen" w:hAnsi="Sylfaen"/>
          <w:sz w:val="24"/>
          <w:szCs w:val="24"/>
        </w:rPr>
        <w:t xml:space="preserve"> քննվեն անվտանգության համապատասխան կլինիկական հետազոտությունների տվյալներն այլ պատրաստուկների միաժամանակյա կիրառման դեպքում:</w:t>
      </w:r>
    </w:p>
    <w:p w14:paraId="73742074" w14:textId="77777777" w:rsidR="008C76E0" w:rsidRPr="003B2786" w:rsidRDefault="008C76E0" w:rsidP="002C4B5D">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4.9.</w:t>
      </w:r>
      <w:r w:rsidRPr="003B2786">
        <w:rPr>
          <w:rFonts w:ascii="Sylfaen" w:hAnsi="Sylfaen"/>
          <w:sz w:val="24"/>
          <w:szCs w:val="24"/>
        </w:rPr>
        <w:tab/>
        <w:t>Անցանկալի եր</w:t>
      </w:r>
      <w:r w:rsidR="00C54D75">
        <w:rPr>
          <w:rFonts w:ascii="Sylfaen" w:hAnsi="Sylfaen"/>
          <w:sz w:val="24"/>
          <w:szCs w:val="24"/>
        </w:rPr>
        <w:t>և</w:t>
      </w:r>
      <w:r w:rsidRPr="003B2786">
        <w:rPr>
          <w:rFonts w:ascii="Sylfaen" w:hAnsi="Sylfaen"/>
          <w:sz w:val="24"/>
          <w:szCs w:val="24"/>
        </w:rPr>
        <w:t>ույթների պատճառով հետազոտությունից դուրս գալը:</w:t>
      </w:r>
    </w:p>
    <w:p w14:paraId="490E0903" w14:textId="77777777" w:rsidR="008C76E0" w:rsidRPr="003B2786" w:rsidRDefault="008C76E0" w:rsidP="002C4B5D">
      <w:pPr>
        <w:spacing w:after="160" w:line="336" w:lineRule="auto"/>
        <w:ind w:firstLine="567"/>
        <w:jc w:val="both"/>
        <w:rPr>
          <w:rFonts w:ascii="Sylfaen" w:hAnsi="Sylfaen"/>
          <w:sz w:val="24"/>
          <w:szCs w:val="24"/>
        </w:rPr>
      </w:pPr>
      <w:r w:rsidRPr="003B2786">
        <w:rPr>
          <w:rFonts w:ascii="Sylfaen" w:hAnsi="Sylfaen"/>
          <w:sz w:val="24"/>
          <w:szCs w:val="24"/>
        </w:rPr>
        <w:t>Համառոտ տվյալներ՝ գրանցման դոսյեի աղյուսակին (2.7.4.5) խաչաձ</w:t>
      </w:r>
      <w:r w:rsidR="00C54D75">
        <w:rPr>
          <w:rFonts w:ascii="Sylfaen" w:hAnsi="Sylfaen"/>
          <w:sz w:val="24"/>
          <w:szCs w:val="24"/>
        </w:rPr>
        <w:t>և</w:t>
      </w:r>
      <w:r w:rsidRPr="003B2786">
        <w:rPr>
          <w:rFonts w:ascii="Sylfaen" w:hAnsi="Sylfaen"/>
          <w:sz w:val="24"/>
          <w:szCs w:val="24"/>
        </w:rPr>
        <w:t xml:space="preserve"> հղումների հնարավոր նշմամբ:</w:t>
      </w:r>
    </w:p>
    <w:p w14:paraId="3A7C9022" w14:textId="77777777" w:rsidR="008C76E0" w:rsidRPr="003B2786" w:rsidRDefault="008C76E0" w:rsidP="002C4B5D">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4.10.</w:t>
      </w:r>
      <w:r w:rsidRPr="003B2786">
        <w:rPr>
          <w:rFonts w:ascii="Sylfaen" w:hAnsi="Sylfaen"/>
          <w:sz w:val="24"/>
          <w:szCs w:val="24"/>
        </w:rPr>
        <w:tab/>
        <w:t>Հետազոտությունները պատրաստուկի՝ շուկա դուրս գալուց հետո:</w:t>
      </w:r>
    </w:p>
    <w:p w14:paraId="57B22C3C" w14:textId="77777777" w:rsidR="008C76E0" w:rsidRPr="003B2786" w:rsidRDefault="008C76E0" w:rsidP="002C4B5D">
      <w:pPr>
        <w:spacing w:after="160" w:line="336" w:lineRule="auto"/>
        <w:ind w:firstLine="567"/>
        <w:jc w:val="both"/>
        <w:rPr>
          <w:rFonts w:ascii="Sylfaen" w:hAnsi="Sylfaen"/>
          <w:sz w:val="24"/>
          <w:szCs w:val="24"/>
        </w:rPr>
      </w:pPr>
      <w:r w:rsidRPr="003B2786">
        <w:rPr>
          <w:rFonts w:ascii="Sylfaen" w:hAnsi="Sylfaen"/>
          <w:sz w:val="24"/>
          <w:szCs w:val="24"/>
        </w:rPr>
        <w:t>Պետք է ընդգծվի պատրաստուկի՝ շուկա դուրս գալուց հետո հետազոտությունների վերաբերյալ նոր տեղեկատվությունը:</w:t>
      </w:r>
    </w:p>
    <w:p w14:paraId="6957E95D" w14:textId="77777777" w:rsidR="008C76E0" w:rsidRPr="003B2786" w:rsidRDefault="008C76E0" w:rsidP="002C4B5D">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4.11.</w:t>
      </w:r>
      <w:r w:rsidRPr="003B2786">
        <w:rPr>
          <w:rFonts w:ascii="Sylfaen" w:hAnsi="Sylfaen"/>
          <w:sz w:val="24"/>
          <w:szCs w:val="24"/>
        </w:rPr>
        <w:tab/>
        <w:t>Փորձագետի ընդհանուր եզրակացությունը՝ կլինիկական անվտանգության գնահատման վերաբերյալ:</w:t>
      </w:r>
    </w:p>
    <w:p w14:paraId="6CA08061" w14:textId="77777777" w:rsidR="008C76E0" w:rsidRPr="003B2786" w:rsidRDefault="008C76E0" w:rsidP="002C4B5D">
      <w:pPr>
        <w:tabs>
          <w:tab w:val="left" w:pos="1701"/>
        </w:tabs>
        <w:spacing w:after="160" w:line="336" w:lineRule="auto"/>
        <w:ind w:right="-1" w:firstLine="567"/>
        <w:jc w:val="both"/>
        <w:rPr>
          <w:rFonts w:ascii="Sylfaen" w:hAnsi="Sylfaen"/>
          <w:sz w:val="24"/>
          <w:szCs w:val="24"/>
        </w:rPr>
      </w:pPr>
      <w:r w:rsidRPr="003B2786">
        <w:rPr>
          <w:rFonts w:ascii="Sylfaen" w:hAnsi="Sylfaen"/>
          <w:sz w:val="24"/>
          <w:szCs w:val="24"/>
        </w:rPr>
        <w:t>4.11.1.</w:t>
      </w:r>
      <w:r w:rsidRPr="003B2786">
        <w:rPr>
          <w:rFonts w:ascii="Sylfaen" w:hAnsi="Sylfaen"/>
          <w:sz w:val="24"/>
          <w:szCs w:val="24"/>
        </w:rPr>
        <w:tab/>
        <w:t>Կլինիկական արդյունավետության վերաբերյալ եզրահանգումները:</w:t>
      </w:r>
    </w:p>
    <w:p w14:paraId="646A0325"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Արդյունքների քննարկումը հաճախ կրիտիկական գնահատման մասով հաշվետվության առավել կար</w:t>
      </w:r>
      <w:r w:rsidR="00C54D75">
        <w:rPr>
          <w:rFonts w:ascii="Sylfaen" w:hAnsi="Sylfaen"/>
          <w:sz w:val="24"/>
          <w:szCs w:val="24"/>
        </w:rPr>
        <w:t>և</w:t>
      </w:r>
      <w:r w:rsidRPr="003B2786">
        <w:rPr>
          <w:rFonts w:ascii="Sylfaen" w:hAnsi="Sylfaen"/>
          <w:sz w:val="24"/>
          <w:szCs w:val="24"/>
        </w:rPr>
        <w:t>որ մասն է: Կառուցվածքի տեսանկյունից եզրահանգումների քննարկումը պետք է սկզբունքորեն համապատասխանի արդյունքների շարադրման վերը նկարագրված սխեմային:</w:t>
      </w:r>
    </w:p>
    <w:p w14:paraId="520790A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ապահովել շարադրանքի առավելագույն ճշգրտությունը </w:t>
      </w:r>
      <w:r w:rsidR="00C54D75">
        <w:rPr>
          <w:rFonts w:ascii="Sylfaen" w:hAnsi="Sylfaen"/>
          <w:sz w:val="24"/>
          <w:szCs w:val="24"/>
        </w:rPr>
        <w:t>և</w:t>
      </w:r>
      <w:r w:rsidRPr="003B2786">
        <w:rPr>
          <w:rFonts w:ascii="Sylfaen" w:hAnsi="Sylfaen"/>
          <w:sz w:val="24"/>
          <w:szCs w:val="24"/>
        </w:rPr>
        <w:t xml:space="preserve"> համառոտությունը (արդյունքների քննարկումը հաճախ բնութագրվում է ընդարձակ արտահայտություններով </w:t>
      </w:r>
      <w:r w:rsidR="00C54D75">
        <w:rPr>
          <w:rFonts w:ascii="Sylfaen" w:hAnsi="Sylfaen"/>
          <w:sz w:val="24"/>
          <w:szCs w:val="24"/>
        </w:rPr>
        <w:t>և</w:t>
      </w:r>
      <w:r w:rsidRPr="003B2786">
        <w:rPr>
          <w:rFonts w:ascii="Sylfaen" w:hAnsi="Sylfaen"/>
          <w:sz w:val="24"/>
          <w:szCs w:val="24"/>
        </w:rPr>
        <w:t xml:space="preserve"> բազմաբառությամբ, սակայն տվյալների իրական իմաստը չի հասցվում կարդացողին):</w:t>
      </w:r>
    </w:p>
    <w:p w14:paraId="074584A8"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Յուրաքանչյուր բաժնի վերաբերյալ արդյունքները քննարկելիս դիտարկման են ենթակա հետ</w:t>
      </w:r>
      <w:r w:rsidR="00C54D75">
        <w:rPr>
          <w:rFonts w:ascii="Sylfaen" w:hAnsi="Sylfaen"/>
          <w:sz w:val="24"/>
          <w:szCs w:val="24"/>
        </w:rPr>
        <w:t>և</w:t>
      </w:r>
      <w:r w:rsidRPr="003B2786">
        <w:rPr>
          <w:rFonts w:ascii="Sylfaen" w:hAnsi="Sylfaen"/>
          <w:sz w:val="24"/>
          <w:szCs w:val="24"/>
        </w:rPr>
        <w:t>յալ հարցերը՝</w:t>
      </w:r>
    </w:p>
    <w:p w14:paraId="10FECBAB"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վեր</w:t>
      </w:r>
      <w:r w:rsidR="00C54D75">
        <w:rPr>
          <w:rFonts w:ascii="Sylfaen" w:hAnsi="Sylfaen"/>
          <w:sz w:val="24"/>
          <w:szCs w:val="24"/>
        </w:rPr>
        <w:t>և</w:t>
      </w:r>
      <w:r w:rsidRPr="003B2786">
        <w:rPr>
          <w:rFonts w:ascii="Sylfaen" w:hAnsi="Sylfaen"/>
          <w:sz w:val="24"/>
          <w:szCs w:val="24"/>
        </w:rPr>
        <w:t>ում շարադրված առավել կար</w:t>
      </w:r>
      <w:r w:rsidR="00C54D75">
        <w:rPr>
          <w:rFonts w:ascii="Sylfaen" w:hAnsi="Sylfaen"/>
          <w:sz w:val="24"/>
          <w:szCs w:val="24"/>
        </w:rPr>
        <w:t>և</w:t>
      </w:r>
      <w:r w:rsidRPr="003B2786">
        <w:rPr>
          <w:rFonts w:ascii="Sylfaen" w:hAnsi="Sylfaen"/>
          <w:sz w:val="24"/>
          <w:szCs w:val="24"/>
        </w:rPr>
        <w:t xml:space="preserve">որ եզրահանգումները </w:t>
      </w:r>
      <w:r w:rsidR="00C54D75">
        <w:rPr>
          <w:rFonts w:ascii="Sylfaen" w:hAnsi="Sylfaen"/>
          <w:sz w:val="24"/>
          <w:szCs w:val="24"/>
        </w:rPr>
        <w:t>և</w:t>
      </w:r>
      <w:r w:rsidRPr="003B2786">
        <w:rPr>
          <w:rFonts w:ascii="Sylfaen" w:hAnsi="Sylfaen"/>
          <w:sz w:val="24"/>
          <w:szCs w:val="24"/>
        </w:rPr>
        <w:t xml:space="preserve"> թերությունները (արդյունքների վերաշարադրում չի թույլատրվում): Անհրաժեշտ է ներկայացնել արդյունքների համաձայնեցվածության ամփոփումը </w:t>
      </w:r>
      <w:r w:rsidR="00C54D75">
        <w:rPr>
          <w:rFonts w:ascii="Sylfaen" w:hAnsi="Sylfaen"/>
          <w:sz w:val="24"/>
          <w:szCs w:val="24"/>
        </w:rPr>
        <w:t>և</w:t>
      </w:r>
      <w:r w:rsidRPr="003B2786">
        <w:rPr>
          <w:rFonts w:ascii="Sylfaen" w:hAnsi="Sylfaen"/>
          <w:sz w:val="24"/>
          <w:szCs w:val="24"/>
        </w:rPr>
        <w:t xml:space="preserve"> ընդհանրացնել յուրաքանչյուր եզրակացության առկա եզրահանգումները,</w:t>
      </w:r>
    </w:p>
    <w:p w14:paraId="19D82029"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 xml:space="preserve">ներկայացված տվյալների համապատասխանությունը (անհամապատասխանությունը) առկա պահանջներին, </w:t>
      </w:r>
    </w:p>
    <w:p w14:paraId="135691D9"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 xml:space="preserve">ծագած հիմնական հարցերը, </w:t>
      </w:r>
      <w:r w:rsidR="00C54D75">
        <w:rPr>
          <w:rFonts w:ascii="Sylfaen" w:hAnsi="Sylfaen"/>
          <w:sz w:val="24"/>
          <w:szCs w:val="24"/>
        </w:rPr>
        <w:t>և</w:t>
      </w:r>
      <w:r w:rsidRPr="003B2786">
        <w:rPr>
          <w:rFonts w:ascii="Sylfaen" w:hAnsi="Sylfaen"/>
          <w:sz w:val="24"/>
          <w:szCs w:val="24"/>
        </w:rPr>
        <w:t xml:space="preserve"> ինչ ծավալով դրանք պետք է լուծվեն,</w:t>
      </w:r>
    </w:p>
    <w:p w14:paraId="7B25FA36"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քննարկման ենթակա կար</w:t>
      </w:r>
      <w:r w:rsidR="00C54D75">
        <w:rPr>
          <w:rFonts w:ascii="Sylfaen" w:hAnsi="Sylfaen"/>
          <w:sz w:val="24"/>
          <w:szCs w:val="24"/>
        </w:rPr>
        <w:t>և</w:t>
      </w:r>
      <w:r w:rsidRPr="003B2786">
        <w:rPr>
          <w:rFonts w:ascii="Sylfaen" w:hAnsi="Sylfaen"/>
          <w:sz w:val="24"/>
          <w:szCs w:val="24"/>
        </w:rPr>
        <w:t xml:space="preserve">որ հարցերը, որոնք ենթակա են անդամ պետության լիազորված փորձագիտական կազմակերպության փորձագետների ընդլայնված կազմի կողմից քննման, </w:t>
      </w:r>
    </w:p>
    <w:p w14:paraId="7AFCD549"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 xml:space="preserve">ինչպիսի տեղեկատվություն պետք է արտացոլվի բժշկական կիրառման դեղապատրաստուկի ընդհանուր բնութագրում </w:t>
      </w:r>
      <w:r w:rsidR="00C54D75">
        <w:rPr>
          <w:rFonts w:ascii="Sylfaen" w:hAnsi="Sylfaen"/>
          <w:sz w:val="24"/>
          <w:szCs w:val="24"/>
        </w:rPr>
        <w:t>և</w:t>
      </w:r>
      <w:r w:rsidRPr="003B2786">
        <w:rPr>
          <w:rFonts w:ascii="Sylfaen" w:hAnsi="Sylfaen"/>
          <w:sz w:val="24"/>
          <w:szCs w:val="24"/>
        </w:rPr>
        <w:t xml:space="preserve"> եզրակացությունում,</w:t>
      </w:r>
    </w:p>
    <w:p w14:paraId="508F5278"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ինչպիսի առանցքային եզրահանգումներ (կամ անորորշություններ) պետք է մտնեն օգուտ-ռիսկ հարաբերակցության ամփոփման մեջ:</w:t>
      </w:r>
    </w:p>
    <w:p w14:paraId="255BB6AA" w14:textId="77777777" w:rsidR="008C76E0" w:rsidRPr="003B2786" w:rsidRDefault="008C76E0" w:rsidP="002C4B5D">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4.11.1.1.</w:t>
      </w:r>
      <w:r w:rsidRPr="003B2786">
        <w:rPr>
          <w:rFonts w:ascii="Sylfaen" w:hAnsi="Sylfaen"/>
          <w:sz w:val="24"/>
          <w:szCs w:val="24"/>
        </w:rPr>
        <w:tab/>
        <w:t>Քննարկման համար կոնկրետ հարցեր:</w:t>
      </w:r>
    </w:p>
    <w:p w14:paraId="4A7B4EE8" w14:textId="77777777" w:rsidR="008C76E0" w:rsidRPr="003B2786" w:rsidRDefault="008C76E0" w:rsidP="002C4B5D">
      <w:pPr>
        <w:spacing w:after="160" w:line="360" w:lineRule="auto"/>
        <w:ind w:firstLine="567"/>
        <w:jc w:val="both"/>
        <w:rPr>
          <w:rFonts w:ascii="Sylfaen" w:hAnsi="Sylfaen"/>
          <w:sz w:val="24"/>
          <w:szCs w:val="24"/>
        </w:rPr>
      </w:pPr>
      <w:r w:rsidRPr="003B2786">
        <w:rPr>
          <w:rFonts w:ascii="Sylfaen" w:hAnsi="Sylfaen"/>
          <w:sz w:val="24"/>
          <w:szCs w:val="24"/>
        </w:rPr>
        <w:lastRenderedPageBreak/>
        <w:t>Դեղապատրաստուկի ազդեցությունը պացիենտի վրա` բնակչության առաջարկվող թիրախային խմբի վերաբերյալ անվտանգության մասով տվյալների բազայում որ</w:t>
      </w:r>
      <w:r w:rsidR="00C54D75">
        <w:rPr>
          <w:rFonts w:ascii="Sylfaen" w:hAnsi="Sylfaen"/>
          <w:sz w:val="24"/>
          <w:szCs w:val="24"/>
        </w:rPr>
        <w:t>և</w:t>
      </w:r>
      <w:r w:rsidRPr="003B2786">
        <w:rPr>
          <w:rFonts w:ascii="Sylfaen" w:hAnsi="Sylfaen"/>
          <w:sz w:val="24"/>
          <w:szCs w:val="24"/>
        </w:rPr>
        <w:t>է սահմանափակման նկարագրություն:</w:t>
      </w:r>
    </w:p>
    <w:p w14:paraId="778EE821"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Ինչպիսի եզրահանգումներ (կամ տեղեկատվության բացակայության վերաբերյալ տեղեկություններ) են արտացոլված բժշկական կիրառման դեղապատրաստուկի ընդհանուր բնութագրում: Անհրաժեշտ է համոզվել բժշկական կիրառման դեղապատրաստուկի համառոտ բնութագրում նշված տեղեկություններին տվյալների համապատասխանության մեջ (օրինակ՝ կախված հանգամանքներից՝ 4.3 «Հակացուցումներ», 4.4 «Հատուկ նշումներ», 4.7 «Ազդեցությունն ավտոմեքենա վարելու </w:t>
      </w:r>
      <w:r w:rsidR="00C54D75">
        <w:rPr>
          <w:rFonts w:ascii="Sylfaen" w:hAnsi="Sylfaen"/>
          <w:sz w:val="24"/>
          <w:szCs w:val="24"/>
        </w:rPr>
        <w:t>և</w:t>
      </w:r>
      <w:r w:rsidRPr="003B2786">
        <w:rPr>
          <w:rFonts w:ascii="Sylfaen" w:hAnsi="Sylfaen"/>
          <w:sz w:val="24"/>
          <w:szCs w:val="24"/>
        </w:rPr>
        <w:t xml:space="preserve"> մեխանիկական միջոցներ օգտագործելու ունակության վրա», 4.8 «Անցանկալի ազդեցությունները», 4.9 «Գերդոզավորումը» բաժինները) </w:t>
      </w:r>
      <w:r w:rsidR="00C54D75">
        <w:rPr>
          <w:rFonts w:ascii="Sylfaen" w:hAnsi="Sylfaen"/>
          <w:sz w:val="24"/>
          <w:szCs w:val="24"/>
        </w:rPr>
        <w:t>և</w:t>
      </w:r>
      <w:r w:rsidRPr="003B2786">
        <w:rPr>
          <w:rFonts w:ascii="Sylfaen" w:hAnsi="Sylfaen"/>
          <w:sz w:val="24"/>
          <w:szCs w:val="24"/>
        </w:rPr>
        <w:t xml:space="preserve"> այդ թվում, որ բժշկական կիրառման դեղապատրաստուկի համառոտ բնութագրի ողջ տեղեկատվությունը ենթարկվել է պատշաճ փորձաքննության </w:t>
      </w:r>
      <w:r w:rsidR="00C54D75">
        <w:rPr>
          <w:rFonts w:ascii="Sylfaen" w:hAnsi="Sylfaen"/>
          <w:sz w:val="24"/>
          <w:szCs w:val="24"/>
        </w:rPr>
        <w:t>և</w:t>
      </w:r>
      <w:r w:rsidRPr="003B2786">
        <w:rPr>
          <w:rFonts w:ascii="Sylfaen" w:hAnsi="Sylfaen"/>
          <w:sz w:val="24"/>
          <w:szCs w:val="24"/>
        </w:rPr>
        <w:t xml:space="preserve"> գիտական վերլուծության:</w:t>
      </w:r>
    </w:p>
    <w:p w14:paraId="406C2FA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Դեղապատրաստուկի անվտանգության պրոֆիլի </w:t>
      </w:r>
      <w:r w:rsidR="00C54D75">
        <w:rPr>
          <w:rFonts w:ascii="Sylfaen" w:hAnsi="Sylfaen"/>
          <w:sz w:val="24"/>
          <w:szCs w:val="24"/>
        </w:rPr>
        <w:t>և</w:t>
      </w:r>
      <w:r w:rsidRPr="003B2786">
        <w:rPr>
          <w:rFonts w:ascii="Sylfaen" w:hAnsi="Sylfaen"/>
          <w:sz w:val="24"/>
          <w:szCs w:val="24"/>
        </w:rPr>
        <w:t xml:space="preserve"> անվտանգության ուսումնասիրված աստիճանի նկարագրությունը:</w:t>
      </w:r>
    </w:p>
    <w:p w14:paraId="116BEDD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Անվտանգության պրոֆիլի համապատասխանությունը հետազոտությունների նախակլինիկական փուլում կանխատեսված անվտանգության պրոֆիլին </w:t>
      </w:r>
      <w:r w:rsidR="00C54D75">
        <w:rPr>
          <w:rFonts w:ascii="Sylfaen" w:hAnsi="Sylfaen"/>
          <w:sz w:val="24"/>
          <w:szCs w:val="24"/>
        </w:rPr>
        <w:t>և</w:t>
      </w:r>
      <w:r w:rsidRPr="003B2786">
        <w:rPr>
          <w:rFonts w:ascii="Sylfaen" w:hAnsi="Sylfaen"/>
          <w:sz w:val="24"/>
          <w:szCs w:val="24"/>
        </w:rPr>
        <w:t xml:space="preserve"> ազդեցությունների հայտնի դասերին:</w:t>
      </w:r>
    </w:p>
    <w:p w14:paraId="7490D78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Կիրառելի դեպքերում անհրաժեշտ է նկարագրել անվտանգության համապատասխան ասպեկտները, որոնք սպեցիֆիկ են երեխաների շրջանում պատրաստուկն ըստ տարիքային խմբերի կիրառելու համար ՝ այդ տվյալների </w:t>
      </w:r>
      <w:r w:rsidR="00C54D75">
        <w:rPr>
          <w:rFonts w:ascii="Sylfaen" w:hAnsi="Sylfaen"/>
          <w:sz w:val="24"/>
          <w:szCs w:val="24"/>
        </w:rPr>
        <w:t>և</w:t>
      </w:r>
      <w:r w:rsidRPr="003B2786">
        <w:rPr>
          <w:rFonts w:ascii="Sylfaen" w:hAnsi="Sylfaen"/>
          <w:sz w:val="24"/>
          <w:szCs w:val="24"/>
        </w:rPr>
        <w:t xml:space="preserve"> դեղապատրաստուկի համառոտ բնութագրում ներկայացված առաջարկությունների փոխկապակցվածության նշմամբ: Արդյոք առկա են որ</w:t>
      </w:r>
      <w:r w:rsidR="00C54D75">
        <w:rPr>
          <w:rFonts w:ascii="Sylfaen" w:hAnsi="Sylfaen"/>
          <w:sz w:val="24"/>
          <w:szCs w:val="24"/>
        </w:rPr>
        <w:t>և</w:t>
      </w:r>
      <w:r w:rsidRPr="003B2786">
        <w:rPr>
          <w:rFonts w:ascii="Sylfaen" w:hAnsi="Sylfaen"/>
          <w:sz w:val="24"/>
          <w:szCs w:val="24"/>
        </w:rPr>
        <w:t xml:space="preserve">է կոնկրետ (լուրջ) անցանկալի կողմնակի ռեակցիաներ </w:t>
      </w:r>
      <w:r w:rsidR="00C54D75">
        <w:rPr>
          <w:rFonts w:ascii="Sylfaen" w:hAnsi="Sylfaen"/>
          <w:sz w:val="24"/>
          <w:szCs w:val="24"/>
        </w:rPr>
        <w:t>և</w:t>
      </w:r>
      <w:r w:rsidRPr="003B2786">
        <w:rPr>
          <w:rFonts w:ascii="Sylfaen" w:hAnsi="Sylfaen"/>
          <w:sz w:val="24"/>
          <w:szCs w:val="24"/>
        </w:rPr>
        <w:t xml:space="preserve"> (կամ) մոնիթորինգի նկատմամբ պահանջներ:</w:t>
      </w:r>
    </w:p>
    <w:p w14:paraId="73A84DBF"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երկարաժամկետ հետազոտության տվյալները բավարար են: Արդյոք առկա են գրանցման հավաստագիրը տրամադրելուց հետո հաստատման ենթակա </w:t>
      </w:r>
      <w:r w:rsidRPr="003B2786">
        <w:rPr>
          <w:rFonts w:ascii="Sylfaen" w:hAnsi="Sylfaen"/>
          <w:sz w:val="24"/>
          <w:szCs w:val="24"/>
        </w:rPr>
        <w:lastRenderedPageBreak/>
        <w:t>որ</w:t>
      </w:r>
      <w:r w:rsidR="00C54D75">
        <w:rPr>
          <w:rFonts w:ascii="Sylfaen" w:hAnsi="Sylfaen"/>
          <w:sz w:val="24"/>
          <w:szCs w:val="24"/>
        </w:rPr>
        <w:t>և</w:t>
      </w:r>
      <w:r w:rsidRPr="003B2786">
        <w:rPr>
          <w:rFonts w:ascii="Sylfaen" w:hAnsi="Sylfaen"/>
          <w:sz w:val="24"/>
          <w:szCs w:val="24"/>
        </w:rPr>
        <w:t xml:space="preserve">է չհաստատված տվյալներ, </w:t>
      </w:r>
      <w:r w:rsidR="00C54D75">
        <w:rPr>
          <w:rFonts w:ascii="Sylfaen" w:hAnsi="Sylfaen"/>
          <w:sz w:val="24"/>
          <w:szCs w:val="24"/>
        </w:rPr>
        <w:t>և</w:t>
      </w:r>
      <w:r w:rsidRPr="003B2786">
        <w:rPr>
          <w:rFonts w:ascii="Sylfaen" w:hAnsi="Sylfaen"/>
          <w:sz w:val="24"/>
          <w:szCs w:val="24"/>
        </w:rPr>
        <w:t xml:space="preserve"> արդյոք դա արտացոլված է բժշկական կիրառման դեղապատրաստուկի ընդհանուր բնութագրում: Արդյոք կա լրացուցիչ հետազոտությունների (հսկողական միջոցառումների) անցկացման անհրաժեշտություն գրանցման հավաստագիրը տրամադրելուց հետո:</w:t>
      </w:r>
    </w:p>
    <w:p w14:paraId="1ABB8928"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Կենսահամանման-կենսանման պատրաստուկների մասով միանշանակ անհրաժեշտ է արտացոլել հետազոտության ստացված տվյալներն ընտրված չափանմուշային դեղապատրաստուկի հետ համեմատելու բնութագիրը:</w:t>
      </w:r>
    </w:p>
    <w:p w14:paraId="2789853F" w14:textId="77777777" w:rsidR="008C76E0" w:rsidRPr="003B2786" w:rsidRDefault="008C76E0" w:rsidP="00262653">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4.11.2.</w:t>
      </w:r>
      <w:r w:rsidRPr="003B2786">
        <w:rPr>
          <w:rFonts w:ascii="Sylfaen" w:hAnsi="Sylfaen"/>
          <w:sz w:val="24"/>
          <w:szCs w:val="24"/>
        </w:rPr>
        <w:tab/>
        <w:t>Կլինիկական անվտանգության վերաբերյալ եզրահանգումները:</w:t>
      </w:r>
    </w:p>
    <w:p w14:paraId="61C980D3"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Տվյալ բաժնում պետք է ներկայացվեն հակիրճ եզրահանգումներ, որոնք հնարավոր է անել կլինիկական անվտանգության վերաբերյալ փաստաթղթերի քննման հիման վրա (օրինակ՝ դեղամիջոցի նկատմամբ առավել հաճախակի հանդիպող անբարենպաստ ռեակցիաները </w:t>
      </w:r>
      <w:r w:rsidR="00C54D75">
        <w:rPr>
          <w:rFonts w:ascii="Sylfaen" w:hAnsi="Sylfaen"/>
          <w:sz w:val="24"/>
          <w:szCs w:val="24"/>
        </w:rPr>
        <w:t>և</w:t>
      </w:r>
      <w:r w:rsidRPr="003B2786">
        <w:rPr>
          <w:rFonts w:ascii="Sylfaen" w:hAnsi="Sylfaen"/>
          <w:sz w:val="24"/>
          <w:szCs w:val="24"/>
        </w:rPr>
        <w:t xml:space="preserve"> անվտանգությանը վերաբերող այլ էական հարցեր):</w:t>
      </w:r>
    </w:p>
    <w:p w14:paraId="0A600EAC"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5.</w:t>
      </w:r>
      <w:r w:rsidRPr="003B2786">
        <w:rPr>
          <w:rFonts w:ascii="Sylfaen" w:hAnsi="Sylfaen"/>
          <w:sz w:val="24"/>
          <w:szCs w:val="24"/>
        </w:rPr>
        <w:tab/>
        <w:t>Դեղազգոնությունը:</w:t>
      </w:r>
    </w:p>
    <w:p w14:paraId="221FA52B"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5.1.</w:t>
      </w:r>
      <w:r w:rsidRPr="003B2786">
        <w:rPr>
          <w:rFonts w:ascii="Sylfaen" w:hAnsi="Sylfaen"/>
          <w:sz w:val="24"/>
          <w:szCs w:val="24"/>
        </w:rPr>
        <w:tab/>
        <w:t>Դեղազգոնության համակարգը:</w:t>
      </w:r>
    </w:p>
    <w:p w14:paraId="33101D71"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Գրանցման հավաստագրի ապագա իրավատերը պետք է ապահովի դեղազգոնության համակարգի առկայությունը </w:t>
      </w:r>
      <w:r w:rsidR="00C54D75">
        <w:rPr>
          <w:rFonts w:ascii="Sylfaen" w:hAnsi="Sylfaen"/>
          <w:sz w:val="24"/>
          <w:szCs w:val="24"/>
        </w:rPr>
        <w:t>և</w:t>
      </w:r>
      <w:r w:rsidRPr="003B2786">
        <w:rPr>
          <w:rFonts w:ascii="Sylfaen" w:hAnsi="Sylfaen"/>
          <w:sz w:val="24"/>
          <w:szCs w:val="24"/>
        </w:rPr>
        <w:t xml:space="preserve"> պատշաճ աշխատանքը մինչ արտադրանքի շուկայահանումը </w:t>
      </w:r>
      <w:r w:rsidR="00C54D75">
        <w:rPr>
          <w:rFonts w:ascii="Sylfaen" w:hAnsi="Sylfaen"/>
          <w:sz w:val="24"/>
          <w:szCs w:val="24"/>
        </w:rPr>
        <w:t>և</w:t>
      </w:r>
      <w:r w:rsidRPr="003B2786">
        <w:rPr>
          <w:rFonts w:ascii="Sylfaen" w:hAnsi="Sylfaen"/>
          <w:sz w:val="24"/>
          <w:szCs w:val="24"/>
        </w:rPr>
        <w:t xml:space="preserve"> դրա վաճառքի ողջ ժամանակահատվածում: </w:t>
      </w:r>
    </w:p>
    <w:p w14:paraId="0C464215" w14:textId="77777777" w:rsidR="008C76E0" w:rsidRPr="003B2786" w:rsidRDefault="008C76E0" w:rsidP="002C4B5D">
      <w:pPr>
        <w:spacing w:after="160" w:line="384" w:lineRule="auto"/>
        <w:ind w:firstLine="567"/>
        <w:jc w:val="both"/>
        <w:rPr>
          <w:rFonts w:ascii="Sylfaen" w:hAnsi="Sylfaen"/>
          <w:sz w:val="24"/>
          <w:szCs w:val="24"/>
        </w:rPr>
      </w:pPr>
      <w:r w:rsidRPr="003B2786">
        <w:rPr>
          <w:rFonts w:ascii="Sylfaen" w:hAnsi="Sylfaen"/>
          <w:sz w:val="24"/>
          <w:szCs w:val="24"/>
        </w:rPr>
        <w:t xml:space="preserve">Հայտատուն ներկայացնում է փաստաթղթեր, որոնցում ներկայացված է դեղազգոնության համակարգի մանրամասն նկարագրությունը, </w:t>
      </w:r>
      <w:r w:rsidR="00C54D75">
        <w:rPr>
          <w:rFonts w:ascii="Sylfaen" w:hAnsi="Sylfaen"/>
          <w:sz w:val="24"/>
          <w:szCs w:val="24"/>
        </w:rPr>
        <w:t>և</w:t>
      </w:r>
      <w:r w:rsidRPr="003B2786">
        <w:rPr>
          <w:rFonts w:ascii="Sylfaen" w:hAnsi="Sylfaen"/>
          <w:sz w:val="24"/>
          <w:szCs w:val="24"/>
        </w:rPr>
        <w:t xml:space="preserve"> հայտատուի </w:t>
      </w:r>
      <w:r w:rsidR="00C54D75">
        <w:rPr>
          <w:rFonts w:ascii="Sylfaen" w:hAnsi="Sylfaen"/>
          <w:sz w:val="24"/>
          <w:szCs w:val="24"/>
        </w:rPr>
        <w:t>և</w:t>
      </w:r>
      <w:r w:rsidRPr="003B2786">
        <w:rPr>
          <w:rFonts w:ascii="Sylfaen" w:hAnsi="Sylfaen"/>
          <w:sz w:val="24"/>
          <w:szCs w:val="24"/>
        </w:rPr>
        <w:t xml:space="preserve"> դեղազգոնության մասով որակավորված մասնագետի կողմից ստորագրված հայտ՝ նշելով, որ հայտատուն օգտվում է դեղազգոնության համար պատասխանատու որակավորված մասնագետի ծառայություններից </w:t>
      </w:r>
      <w:r w:rsidR="00C54D75">
        <w:rPr>
          <w:rFonts w:ascii="Sylfaen" w:hAnsi="Sylfaen"/>
          <w:sz w:val="24"/>
          <w:szCs w:val="24"/>
        </w:rPr>
        <w:t>և</w:t>
      </w:r>
      <w:r w:rsidRPr="003B2786">
        <w:rPr>
          <w:rFonts w:ascii="Sylfaen" w:hAnsi="Sylfaen"/>
          <w:sz w:val="24"/>
          <w:szCs w:val="24"/>
        </w:rPr>
        <w:t xml:space="preserve"> իր տրամադրության տակ ունի անհրաժեշտ միջոցներ՝ որ</w:t>
      </w:r>
      <w:r w:rsidR="00C54D75">
        <w:rPr>
          <w:rFonts w:ascii="Sylfaen" w:hAnsi="Sylfaen"/>
          <w:sz w:val="24"/>
          <w:szCs w:val="24"/>
        </w:rPr>
        <w:t>և</w:t>
      </w:r>
      <w:r w:rsidRPr="003B2786">
        <w:rPr>
          <w:rFonts w:ascii="Sylfaen" w:hAnsi="Sylfaen"/>
          <w:sz w:val="24"/>
          <w:szCs w:val="24"/>
        </w:rPr>
        <w:t>է անցանկալի ռեակցիաների մասին ծանուցելու համար, որոնք կարող են հայտնաբերվել կա՛մ անդամ պետություններում, կա՛մ երրորդ երկրներում:</w:t>
      </w:r>
    </w:p>
    <w:p w14:paraId="7E61E4C9" w14:textId="77777777" w:rsidR="008C76E0" w:rsidRPr="003B2786" w:rsidRDefault="008C76E0" w:rsidP="002C4B5D">
      <w:pPr>
        <w:tabs>
          <w:tab w:val="left" w:pos="1701"/>
        </w:tabs>
        <w:spacing w:after="160" w:line="384" w:lineRule="auto"/>
        <w:ind w:right="-1" w:firstLine="567"/>
        <w:jc w:val="both"/>
        <w:rPr>
          <w:rFonts w:ascii="Sylfaen" w:hAnsi="Sylfaen"/>
          <w:sz w:val="24"/>
          <w:szCs w:val="24"/>
        </w:rPr>
      </w:pPr>
      <w:r w:rsidRPr="003B2786">
        <w:rPr>
          <w:rFonts w:ascii="Sylfaen" w:hAnsi="Sylfaen"/>
          <w:sz w:val="24"/>
          <w:szCs w:val="24"/>
        </w:rPr>
        <w:lastRenderedPageBreak/>
        <w:t>5.1.1.</w:t>
      </w:r>
      <w:r w:rsidRPr="003B2786">
        <w:rPr>
          <w:rFonts w:ascii="Sylfaen" w:hAnsi="Sylfaen"/>
          <w:sz w:val="24"/>
          <w:szCs w:val="24"/>
        </w:rPr>
        <w:tab/>
        <w:t>Գնահատման մասով փորձագետի կողմից քննարկման ենթակա առանցքային հարցերը:</w:t>
      </w:r>
    </w:p>
    <w:p w14:paraId="0C92E5F7"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ներկայացված են համակարգի՝ Միության պատշաճ դեղազգոնության գործունեության կանոնների մեջ նշված տարբեր տարրերը </w:t>
      </w:r>
      <w:r w:rsidR="00C54D75">
        <w:rPr>
          <w:rFonts w:ascii="Sylfaen" w:hAnsi="Sylfaen"/>
          <w:sz w:val="24"/>
          <w:szCs w:val="24"/>
        </w:rPr>
        <w:t>և</w:t>
      </w:r>
      <w:r w:rsidRPr="003B2786">
        <w:rPr>
          <w:rFonts w:ascii="Sylfaen" w:hAnsi="Sylfaen"/>
          <w:sz w:val="24"/>
          <w:szCs w:val="24"/>
        </w:rPr>
        <w:t xml:space="preserve"> եթե ոչ, ապա որքանո՞վ է հիմնավորված դրանց բացակայությունը: Արդյո՞ք համակարգի բացակայող տարրերը կամ տարրերը, որոնք նշված են որպես ներդրման համար պլանավորված (ենթակա ներդրման մինչ արտադրանքի շուկայահանումը), քննվել են պատշաճ կարգով, </w:t>
      </w:r>
      <w:r w:rsidR="00C54D75">
        <w:rPr>
          <w:rFonts w:ascii="Sylfaen" w:hAnsi="Sylfaen"/>
          <w:sz w:val="24"/>
          <w:szCs w:val="24"/>
        </w:rPr>
        <w:t>և</w:t>
      </w:r>
      <w:r w:rsidRPr="003B2786">
        <w:rPr>
          <w:rFonts w:ascii="Sylfaen" w:hAnsi="Sylfaen"/>
          <w:sz w:val="24"/>
          <w:szCs w:val="24"/>
        </w:rPr>
        <w:t xml:space="preserve"> արդյո՞ք դրանք ենթակա են հետագա հսկողական միջոցառումների օբյեկտների ցանկում ներառման (որքանով են իրական տվյալ պարտավորությունները):</w:t>
      </w:r>
    </w:p>
    <w:p w14:paraId="7A8CDA6B"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Արդյո՞ք տվյալ արտադրանքը առաջին արտադրանքն է, որն ընկերությունը պլանավորում է շուկայահանել, </w:t>
      </w:r>
      <w:r w:rsidR="00C54D75">
        <w:rPr>
          <w:rFonts w:ascii="Sylfaen" w:hAnsi="Sylfaen"/>
          <w:sz w:val="24"/>
          <w:szCs w:val="24"/>
        </w:rPr>
        <w:t>և</w:t>
      </w:r>
      <w:r w:rsidRPr="003B2786">
        <w:rPr>
          <w:rFonts w:ascii="Sylfaen" w:hAnsi="Sylfaen"/>
          <w:sz w:val="24"/>
          <w:szCs w:val="24"/>
        </w:rPr>
        <w:t xml:space="preserve"> ինչպիսի՞ն է դրա պատրաստ լինելու աստիճանը: Եթե դա առաջին արտադրանքը չէ, արդյոք առկա են տեղեկություններ, որոնք վերաբերում են անվտանգության վերաբերյալ անհատական հաշվետվություններում կամ այլ պատրաստուկների կիրառման անվտանության վերաբերյալ պարբերական հաշվետվություններում անհրաժեշտ նորմերը պահպանելու խնդրահարույց հարցերին (այլ կերպ ասած՝ արդյոք ընկերության կողմից կիրառվող համակարգում առկա են ոչ պատշաճ գործունեության նշաններ): </w:t>
      </w:r>
    </w:p>
    <w:p w14:paraId="08A422B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առկա են դեղազգոնության համակարգի նախորդ տեսչական ստուգումների՝ մասնավորապես խնդիրների առկայության մասին վկայող տվյալները, կամ այդ տվյալները բացակայում են (որպես կանոն, դա կիրառելի է մոտ ապագայի համար, սակայն ժամանակի ընթացքում կորցնում է իր արդիականությունը):</w:t>
      </w:r>
    </w:p>
    <w:p w14:paraId="1BD4E3C2"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Կարելի՞ է արդյոք դեղազգոնության նկարագրված համակարգի մասին դատել որպես համակարգ, որն ունակ է տվյալ պատրաստուկի մասով կատարել անվտանգության վերաբերյալ հաշվետվությունների կանխատեսվող ծավալի մշակում, թե այն թվում է «չափազանց փոքրամասշտաբ»՝ նման մշակում </w:t>
      </w:r>
      <w:r w:rsidRPr="003B2786">
        <w:rPr>
          <w:rFonts w:ascii="Sylfaen" w:hAnsi="Sylfaen"/>
          <w:sz w:val="24"/>
          <w:szCs w:val="24"/>
        </w:rPr>
        <w:lastRenderedPageBreak/>
        <w:t>ապահովելու համար: Արդյո՞ք պատրաստուկը գրանցման հավաստագրի իրավատիրոջ նախորդ պատրաստուկների համեմատ բնութագրվում է օգուտ-ռիսկ հարաբերակցության ավելի բարձր ցուցանիշով:</w:t>
      </w:r>
    </w:p>
    <w:p w14:paraId="51324711"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Արդյո՞ք ընկերության գործունեության կազմակերպումը ներառում է ենթակապալառուների </w:t>
      </w:r>
      <w:r w:rsidR="00C54D75">
        <w:rPr>
          <w:rFonts w:ascii="Sylfaen" w:hAnsi="Sylfaen"/>
          <w:sz w:val="24"/>
          <w:szCs w:val="24"/>
        </w:rPr>
        <w:t>և</w:t>
      </w:r>
      <w:r w:rsidRPr="003B2786">
        <w:rPr>
          <w:rFonts w:ascii="Sylfaen" w:hAnsi="Sylfaen"/>
          <w:sz w:val="24"/>
          <w:szCs w:val="24"/>
        </w:rPr>
        <w:t xml:space="preserve"> լիցենզավորման գծով գործընկերների </w:t>
      </w:r>
      <w:r w:rsidR="00C54D75">
        <w:rPr>
          <w:rFonts w:ascii="Sylfaen" w:hAnsi="Sylfaen"/>
          <w:sz w:val="24"/>
          <w:szCs w:val="24"/>
        </w:rPr>
        <w:t>և</w:t>
      </w:r>
      <w:r w:rsidRPr="003B2786">
        <w:rPr>
          <w:rFonts w:ascii="Sylfaen" w:hAnsi="Sylfaen"/>
          <w:sz w:val="24"/>
          <w:szCs w:val="24"/>
        </w:rPr>
        <w:t xml:space="preserve"> այլնի բարդ համալիր, այսինքն՝ բազմաթիվ ստորաբաժանումներով համակարգ (հաճախ դրանք կազմակերպչական գործընթացի ամենաթույլ կողմերն են):</w:t>
      </w:r>
    </w:p>
    <w:p w14:paraId="10DD3CDB"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ընկերությունը վերջերս ենթարկվել է միաձուլման:</w:t>
      </w:r>
    </w:p>
    <w:p w14:paraId="127463B2"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լիցենզիոն գործունեությունը բնութագրվում է պատրաստուկի բարձր սպեցիֆիկությամբ (ինչը ենթադրում է ստուգումների բացակայություն, նույնիսկ եթե խոսքը գնում է լավ կազմակերպված ընկերությունների (ենթակապալառուների) մասին):</w:t>
      </w:r>
    </w:p>
    <w:p w14:paraId="162157BE"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տվյալ տեղեկատվությունը գոյություն ունեցող համակարգի նկարագրություն է, թե համակարգի, որի ներդնումը պլանավորվում է պատրաստուկը շուկայում իրացնելու համար թույլտվություն տալիս (դա, ամենայն հավանականությամբ, կիրառելի կլինի առաջին կամ բոլորովին նոր արտադրանքների կամ էլ տարբեր լիցենզիոն համաձայնագրերի նկատմամբ):</w:t>
      </w:r>
    </w:p>
    <w:p w14:paraId="182FD0B8"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տվյալ նկարագրությունը զգալի փոփոխություն է գոյություն ունեցող համակարգում:</w:t>
      </w:r>
    </w:p>
    <w:p w14:paraId="7D66DB43"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Արդյո՞ք ենթակապալառուների շրջանում կազմակերպվել է որակավորված մասնագետի աշխատանքը: Եթե այո, ապա կա՞ն արդյոք ինչ-որ նշաններ, որ տվյալ ենթակապալառուն ազդում է դեղազգոնության համակարգի վրա:</w:t>
      </w:r>
    </w:p>
    <w:p w14:paraId="6DF690EC"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Կա՞ արդյոք այլ տեղեկատվություն, որը կասկածի տակ է դնում նկարագրված համակարգի համապատասխանությունն առկա պահանջներին (օրինակ՝ այլ մարմիններից ստացված տեղեկատվություն, կոնկրետ ենթակապալառուի, ծրագրային ապահովման հետ կապված հայտնի խնդիրներ </w:t>
      </w:r>
      <w:r w:rsidR="00C54D75">
        <w:rPr>
          <w:rFonts w:ascii="Sylfaen" w:hAnsi="Sylfaen"/>
          <w:sz w:val="24"/>
          <w:szCs w:val="24"/>
        </w:rPr>
        <w:t>և</w:t>
      </w:r>
      <w:r w:rsidRPr="003B2786">
        <w:rPr>
          <w:rFonts w:ascii="Sylfaen" w:hAnsi="Sylfaen"/>
          <w:sz w:val="24"/>
          <w:szCs w:val="24"/>
        </w:rPr>
        <w:t xml:space="preserve"> այլն):</w:t>
      </w:r>
    </w:p>
    <w:p w14:paraId="2722AA0B"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Արդյո՞ք պատրաստուկը շուկա բաց թողնելուց անմիջապես հետո </w:t>
      </w:r>
      <w:r w:rsidRPr="003B2786">
        <w:rPr>
          <w:rFonts w:ascii="Sylfaen" w:hAnsi="Sylfaen"/>
          <w:sz w:val="24"/>
          <w:szCs w:val="24"/>
        </w:rPr>
        <w:lastRenderedPageBreak/>
        <w:t xml:space="preserve">առաջարկվել է դեղազգոնության համակարգի տեսչական ստուգում՝ նշված անհամապատասխանություններից մի քանիսը վերացնելու նպատակով: </w:t>
      </w:r>
    </w:p>
    <w:p w14:paraId="77E228A8"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Առաջացող այլ հարցեր:</w:t>
      </w:r>
    </w:p>
    <w:p w14:paraId="3A3EABDE"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Հաշվետվության բովանդակության մեջ կարող են ներառվել հետ</w:t>
      </w:r>
      <w:r w:rsidR="00C54D75">
        <w:rPr>
          <w:rFonts w:ascii="Sylfaen" w:hAnsi="Sylfaen"/>
          <w:sz w:val="24"/>
          <w:szCs w:val="24"/>
        </w:rPr>
        <w:t>և</w:t>
      </w:r>
      <w:r w:rsidRPr="003B2786">
        <w:rPr>
          <w:rFonts w:ascii="Sylfaen" w:hAnsi="Sylfaen"/>
          <w:sz w:val="24"/>
          <w:szCs w:val="24"/>
        </w:rPr>
        <w:t>յալ հայտերը՝</w:t>
      </w:r>
    </w:p>
    <w:p w14:paraId="115440C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հայտատուն ներկայացրել է փաստաթղթեր, որոնցում շարադրված է դեղազգոնության համակարգի մանրամասն նկարագրությունը: Դեղազգոնության հայտ՝ ստորագրված հայտատուի </w:t>
      </w:r>
      <w:r w:rsidR="00C54D75">
        <w:rPr>
          <w:rFonts w:ascii="Sylfaen" w:hAnsi="Sylfaen"/>
          <w:sz w:val="24"/>
          <w:szCs w:val="24"/>
        </w:rPr>
        <w:t>և</w:t>
      </w:r>
      <w:r w:rsidRPr="003B2786">
        <w:rPr>
          <w:rFonts w:ascii="Sylfaen" w:hAnsi="Sylfaen"/>
          <w:sz w:val="24"/>
          <w:szCs w:val="24"/>
        </w:rPr>
        <w:t xml:space="preserve"> լիազորված անձի կողմից, ընդ որում, դրանում նշված է, որ հայտատուին տրամադրվում են դեղազգոնության համար պատասխանատու լիազորված անձի ծառայությունները, </w:t>
      </w:r>
      <w:r w:rsidR="00C54D75">
        <w:rPr>
          <w:rFonts w:ascii="Sylfaen" w:hAnsi="Sylfaen"/>
          <w:sz w:val="24"/>
          <w:szCs w:val="24"/>
        </w:rPr>
        <w:t>և</w:t>
      </w:r>
      <w:r w:rsidRPr="003B2786">
        <w:rPr>
          <w:rFonts w:ascii="Sylfaen" w:hAnsi="Sylfaen"/>
          <w:sz w:val="24"/>
          <w:szCs w:val="24"/>
        </w:rPr>
        <w:t xml:space="preserve"> տրամադրվել են անհրաժեշտ միջոցներ՝ անդամ պետություններում կամ երրորդ երկրում առաջացող ցանկացած անցանկալի ռեակցիայի մասին ծանուցելու համար,</w:t>
      </w:r>
    </w:p>
    <w:p w14:paraId="68463064"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փորձագետը համարում է, որ դեղազգոնության համակարգը, որը նկարագրված է հայտատուի կողմից, բավարարում է պահանջներին </w:t>
      </w:r>
      <w:r w:rsidR="00C54D75">
        <w:rPr>
          <w:rFonts w:ascii="Sylfaen" w:hAnsi="Sylfaen"/>
          <w:sz w:val="24"/>
          <w:szCs w:val="24"/>
        </w:rPr>
        <w:t>և</w:t>
      </w:r>
      <w:r w:rsidRPr="003B2786">
        <w:rPr>
          <w:rFonts w:ascii="Sylfaen" w:hAnsi="Sylfaen"/>
          <w:sz w:val="24"/>
          <w:szCs w:val="24"/>
        </w:rPr>
        <w:t xml:space="preserve"> համապատասխան ապացույց է առ այն, որ հայտատուին տրամադրվում են դեղազգոնության համար պատասխանատու լիազորված անձի ծառայությունները, </w:t>
      </w:r>
      <w:r w:rsidR="00C54D75">
        <w:rPr>
          <w:rFonts w:ascii="Sylfaen" w:hAnsi="Sylfaen"/>
          <w:sz w:val="24"/>
          <w:szCs w:val="24"/>
        </w:rPr>
        <w:t>և</w:t>
      </w:r>
      <w:r w:rsidRPr="003B2786">
        <w:rPr>
          <w:rFonts w:ascii="Sylfaen" w:hAnsi="Sylfaen"/>
          <w:sz w:val="24"/>
          <w:szCs w:val="24"/>
        </w:rPr>
        <w:t xml:space="preserve"> առկա են անհրաժեշտ միջոցներ՝ անդամ պետություններում կամ երրորդ երկրում առաջացող ցանկացած ենթադրյալ անցանկալի ռեակցիայի մասին ծանուցելու համար: Եթե դեղազգոնության համակարգի նկարագրության մեջ կան չլուծված հարցեր, որոնք պետք է լուծել </w:t>
      </w:r>
      <w:r w:rsidR="00C54D75">
        <w:rPr>
          <w:rFonts w:ascii="Sylfaen" w:hAnsi="Sylfaen"/>
          <w:sz w:val="24"/>
          <w:szCs w:val="24"/>
        </w:rPr>
        <w:t>և</w:t>
      </w:r>
      <w:r w:rsidRPr="003B2786">
        <w:rPr>
          <w:rFonts w:ascii="Sylfaen" w:hAnsi="Sylfaen"/>
          <w:sz w:val="24"/>
          <w:szCs w:val="24"/>
        </w:rPr>
        <w:t xml:space="preserve"> կատարել մինչ դեղապատրաստուկը շուկայում իրացնելու համար բաց թողնելը, ապա դրանք պետք է հարցերի ցանկում նշվեն որպես հարցեր </w:t>
      </w:r>
      <w:r w:rsidR="00C54D75">
        <w:rPr>
          <w:rFonts w:ascii="Sylfaen" w:hAnsi="Sylfaen"/>
          <w:sz w:val="24"/>
          <w:szCs w:val="24"/>
        </w:rPr>
        <w:t>և</w:t>
      </w:r>
      <w:r w:rsidRPr="003B2786">
        <w:rPr>
          <w:rFonts w:ascii="Sylfaen" w:hAnsi="Sylfaen"/>
          <w:sz w:val="24"/>
          <w:szCs w:val="24"/>
        </w:rPr>
        <w:t xml:space="preserve"> (կամ) որպես հետագա հսկողական միջոցառումներ «Անվտանգության, որակի </w:t>
      </w:r>
      <w:r w:rsidR="00C54D75">
        <w:rPr>
          <w:rFonts w:ascii="Sylfaen" w:hAnsi="Sylfaen"/>
          <w:sz w:val="24"/>
          <w:szCs w:val="24"/>
        </w:rPr>
        <w:t>և</w:t>
      </w:r>
      <w:r w:rsidRPr="003B2786">
        <w:rPr>
          <w:rFonts w:ascii="Sylfaen" w:hAnsi="Sylfaen"/>
          <w:sz w:val="24"/>
          <w:szCs w:val="24"/>
        </w:rPr>
        <w:t xml:space="preserve"> արդյունավետության գնահատում» ամփոփ փորձագիտական հաշվետվության մոդուլում: Դեղազգոնության համակարգի նկարագրության մեջ թերություններ հայտնաբերելիս կամ որակավորված մասնագետի </w:t>
      </w:r>
      <w:r w:rsidR="00C54D75">
        <w:rPr>
          <w:rFonts w:ascii="Sylfaen" w:hAnsi="Sylfaen"/>
          <w:sz w:val="24"/>
          <w:szCs w:val="24"/>
        </w:rPr>
        <w:t>և</w:t>
      </w:r>
      <w:r w:rsidRPr="003B2786">
        <w:rPr>
          <w:rFonts w:ascii="Sylfaen" w:hAnsi="Sylfaen"/>
          <w:sz w:val="24"/>
          <w:szCs w:val="24"/>
        </w:rPr>
        <w:t xml:space="preserve"> կողմնակի ռեակցիաների մասին հաղորդելու միջոցների բացակայության դեպքում, կախված թերությունների լրջությունից, հաշվետվության մեջ պետք է ներառվի հետ</w:t>
      </w:r>
      <w:r w:rsidR="00C54D75">
        <w:rPr>
          <w:rFonts w:ascii="Sylfaen" w:hAnsi="Sylfaen"/>
          <w:sz w:val="24"/>
          <w:szCs w:val="24"/>
        </w:rPr>
        <w:t>և</w:t>
      </w:r>
      <w:r w:rsidRPr="003B2786">
        <w:rPr>
          <w:rFonts w:ascii="Sylfaen" w:hAnsi="Sylfaen"/>
          <w:sz w:val="24"/>
          <w:szCs w:val="24"/>
        </w:rPr>
        <w:t>յալ կետերից մեկը՝</w:t>
      </w:r>
    </w:p>
    <w:p w14:paraId="67BB5035"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փորձագետը համարում է, որ հայտատուի կողմից նկարագրված դեղազգոնության համակարգն ունի հետ</w:t>
      </w:r>
      <w:r w:rsidR="00C54D75">
        <w:rPr>
          <w:rFonts w:ascii="Sylfaen" w:hAnsi="Sylfaen"/>
          <w:sz w:val="24"/>
          <w:szCs w:val="24"/>
        </w:rPr>
        <w:t>և</w:t>
      </w:r>
      <w:r w:rsidRPr="003B2786">
        <w:rPr>
          <w:rFonts w:ascii="Sylfaen" w:hAnsi="Sylfaen"/>
          <w:sz w:val="24"/>
          <w:szCs w:val="24"/>
        </w:rPr>
        <w:t>յալ թերությունները, այսուհետ՝ թերությունների ցանկ,</w:t>
      </w:r>
    </w:p>
    <w:p w14:paraId="1800DFF7"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հաշվի առնելով, որ թերությունները վերացվում են նախքան հայտատուի կողմից դեղապատրաստուկը շուկա դուրս բերելը՝ լիազորված փորձագիտական կազմակերպությունը կարող է համարել, որ դեղազգոնության համակարգը կհամապատասխանի պահանջներին: Նախքան պատրաստուկի շուկա մուտք գործելը հայտատուն պետք է ներկայացնի համոզիչ տվյալներ առ այն, որ դեղազգոնության համակարգը ընդունված է </w:t>
      </w:r>
      <w:r w:rsidR="00C54D75">
        <w:rPr>
          <w:rFonts w:ascii="Sylfaen" w:hAnsi="Sylfaen"/>
          <w:sz w:val="24"/>
          <w:szCs w:val="24"/>
        </w:rPr>
        <w:t>և</w:t>
      </w:r>
      <w:r w:rsidRPr="003B2786">
        <w:rPr>
          <w:rFonts w:ascii="Sylfaen" w:hAnsi="Sylfaen"/>
          <w:sz w:val="24"/>
          <w:szCs w:val="24"/>
        </w:rPr>
        <w:t xml:space="preserve"> գործում է:</w:t>
      </w:r>
    </w:p>
    <w:p w14:paraId="749CD0FB" w14:textId="77777777" w:rsidR="008C76E0" w:rsidRPr="003B2786" w:rsidRDefault="008C76E0" w:rsidP="00262653">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5.2.</w:t>
      </w:r>
      <w:r w:rsidRPr="003B2786">
        <w:rPr>
          <w:rFonts w:ascii="Sylfaen" w:hAnsi="Sylfaen"/>
          <w:sz w:val="24"/>
          <w:szCs w:val="24"/>
        </w:rPr>
        <w:tab/>
        <w:t>Ռիսկերի կառավարման պլանը:</w:t>
      </w:r>
    </w:p>
    <w:p w14:paraId="3F0A2D9C"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Փորձագետը պետք է 80-րդ օրը կատարի հայտի առաջին ընդհանուր գնահատումը՝ ռիսկերի կառավարման պլանում որ</w:t>
      </w:r>
      <w:r w:rsidR="00C54D75">
        <w:rPr>
          <w:rFonts w:ascii="Sylfaen" w:hAnsi="Sylfaen"/>
          <w:sz w:val="24"/>
          <w:szCs w:val="24"/>
        </w:rPr>
        <w:t>և</w:t>
      </w:r>
      <w:r w:rsidRPr="003B2786">
        <w:rPr>
          <w:rFonts w:ascii="Sylfaen" w:hAnsi="Sylfaen"/>
          <w:sz w:val="24"/>
          <w:szCs w:val="24"/>
        </w:rPr>
        <w:t xml:space="preserve">է լուրջ խնդրահարույց հարց հայտնաբերելու համար: Օգնություն ցուցաբերելու </w:t>
      </w:r>
      <w:r w:rsidR="00C54D75">
        <w:rPr>
          <w:rFonts w:ascii="Sylfaen" w:hAnsi="Sylfaen"/>
          <w:sz w:val="24"/>
          <w:szCs w:val="24"/>
        </w:rPr>
        <w:t>և</w:t>
      </w:r>
      <w:r w:rsidRPr="003B2786">
        <w:rPr>
          <w:rFonts w:ascii="Sylfaen" w:hAnsi="Sylfaen"/>
          <w:sz w:val="24"/>
          <w:szCs w:val="24"/>
        </w:rPr>
        <w:t xml:space="preserve"> առաջարկություններ ներկայացնելու համար փորձագետին կարող է հատկացվել դեղազգոնության բնագավառի մասնագետ (դոսյեի կրիտիկական գնահատման գործընթացում սահմանված որ</w:t>
      </w:r>
      <w:r w:rsidR="00C54D75">
        <w:rPr>
          <w:rFonts w:ascii="Sylfaen" w:hAnsi="Sylfaen"/>
          <w:sz w:val="24"/>
          <w:szCs w:val="24"/>
        </w:rPr>
        <w:t>և</w:t>
      </w:r>
      <w:r w:rsidRPr="003B2786">
        <w:rPr>
          <w:rFonts w:ascii="Sylfaen" w:hAnsi="Sylfaen"/>
          <w:sz w:val="24"/>
          <w:szCs w:val="24"/>
        </w:rPr>
        <w:t xml:space="preserve">է կոնկրետ հարց </w:t>
      </w:r>
      <w:r w:rsidR="00C54D75">
        <w:rPr>
          <w:rFonts w:ascii="Sylfaen" w:hAnsi="Sylfaen"/>
          <w:sz w:val="24"/>
          <w:szCs w:val="24"/>
        </w:rPr>
        <w:t>և</w:t>
      </w:r>
      <w:r w:rsidRPr="003B2786">
        <w:rPr>
          <w:rFonts w:ascii="Sylfaen" w:hAnsi="Sylfaen"/>
          <w:sz w:val="24"/>
          <w:szCs w:val="24"/>
        </w:rPr>
        <w:t xml:space="preserve"> խնդիր, որը կարող է ազդել ռիսկերի կառավարման պլանի վրա): Այստեղ մտնում են նախակլինիկական անվտանգության վերաբերյալ որոշակի եզրահանգումները, կլինիկական դեղաբանության մասով դոսյեի անբավարարությունը, կլինիկական փորձարկումների տվյալներից հայտնաբերված անվտանգության հնարավոր ռիսկերը </w:t>
      </w:r>
      <w:r w:rsidR="00C54D75">
        <w:rPr>
          <w:rFonts w:ascii="Sylfaen" w:hAnsi="Sylfaen"/>
          <w:sz w:val="24"/>
          <w:szCs w:val="24"/>
        </w:rPr>
        <w:t>և</w:t>
      </w:r>
      <w:r w:rsidRPr="003B2786">
        <w:rPr>
          <w:rFonts w:ascii="Sylfaen" w:hAnsi="Sylfaen"/>
          <w:sz w:val="24"/>
          <w:szCs w:val="24"/>
        </w:rPr>
        <w:t xml:space="preserve"> այլն: Այս փուլում հատկապես կար</w:t>
      </w:r>
      <w:r w:rsidR="00C54D75">
        <w:rPr>
          <w:rFonts w:ascii="Sylfaen" w:hAnsi="Sylfaen"/>
          <w:sz w:val="24"/>
          <w:szCs w:val="24"/>
        </w:rPr>
        <w:t>և</w:t>
      </w:r>
      <w:r w:rsidRPr="003B2786">
        <w:rPr>
          <w:rFonts w:ascii="Sylfaen" w:hAnsi="Sylfaen"/>
          <w:sz w:val="24"/>
          <w:szCs w:val="24"/>
        </w:rPr>
        <w:t>որ է անվտանգության խնդիրները (կար</w:t>
      </w:r>
      <w:r w:rsidR="00C54D75">
        <w:rPr>
          <w:rFonts w:ascii="Sylfaen" w:hAnsi="Sylfaen"/>
          <w:sz w:val="24"/>
          <w:szCs w:val="24"/>
        </w:rPr>
        <w:t>և</w:t>
      </w:r>
      <w:r w:rsidRPr="003B2786">
        <w:rPr>
          <w:rFonts w:ascii="Sylfaen" w:hAnsi="Sylfaen"/>
          <w:sz w:val="24"/>
          <w:szCs w:val="24"/>
        </w:rPr>
        <w:t>որ հայտնաբերված ռիսկերը, կար</w:t>
      </w:r>
      <w:r w:rsidR="00C54D75">
        <w:rPr>
          <w:rFonts w:ascii="Sylfaen" w:hAnsi="Sylfaen"/>
          <w:sz w:val="24"/>
          <w:szCs w:val="24"/>
        </w:rPr>
        <w:t>և</w:t>
      </w:r>
      <w:r w:rsidRPr="003B2786">
        <w:rPr>
          <w:rFonts w:ascii="Sylfaen" w:hAnsi="Sylfaen"/>
          <w:sz w:val="24"/>
          <w:szCs w:val="24"/>
        </w:rPr>
        <w:t>որ հավանական ռիսկերը, կար</w:t>
      </w:r>
      <w:r w:rsidR="00C54D75">
        <w:rPr>
          <w:rFonts w:ascii="Sylfaen" w:hAnsi="Sylfaen"/>
          <w:sz w:val="24"/>
          <w:szCs w:val="24"/>
        </w:rPr>
        <w:t>և</w:t>
      </w:r>
      <w:r w:rsidRPr="003B2786">
        <w:rPr>
          <w:rFonts w:ascii="Sylfaen" w:hAnsi="Sylfaen"/>
          <w:sz w:val="24"/>
          <w:szCs w:val="24"/>
        </w:rPr>
        <w:t xml:space="preserve">որ պակասող տեղեկատվությունը) նույնականացնելը: Սա առավել </w:t>
      </w:r>
      <w:r w:rsidR="00C54D75">
        <w:rPr>
          <w:rFonts w:ascii="Sylfaen" w:hAnsi="Sylfaen"/>
          <w:sz w:val="24"/>
          <w:szCs w:val="24"/>
        </w:rPr>
        <w:t>և</w:t>
      </w:r>
      <w:r w:rsidRPr="003B2786">
        <w:rPr>
          <w:rFonts w:ascii="Sylfaen" w:hAnsi="Sylfaen"/>
          <w:sz w:val="24"/>
          <w:szCs w:val="24"/>
        </w:rPr>
        <w:t>ս կար</w:t>
      </w:r>
      <w:r w:rsidR="00C54D75">
        <w:rPr>
          <w:rFonts w:ascii="Sylfaen" w:hAnsi="Sylfaen"/>
          <w:sz w:val="24"/>
          <w:szCs w:val="24"/>
        </w:rPr>
        <w:t>և</w:t>
      </w:r>
      <w:r w:rsidRPr="003B2786">
        <w:rPr>
          <w:rFonts w:ascii="Sylfaen" w:hAnsi="Sylfaen"/>
          <w:sz w:val="24"/>
          <w:szCs w:val="24"/>
        </w:rPr>
        <w:t xml:space="preserve">որ է, եթե տվյալ հարցերը դոսյեում չեն նկարագրվել հայտատուի կողմից </w:t>
      </w:r>
      <w:r w:rsidR="00C54D75">
        <w:rPr>
          <w:rFonts w:ascii="Sylfaen" w:hAnsi="Sylfaen"/>
          <w:sz w:val="24"/>
          <w:szCs w:val="24"/>
        </w:rPr>
        <w:t>և</w:t>
      </w:r>
      <w:r w:rsidRPr="003B2786">
        <w:rPr>
          <w:rFonts w:ascii="Sylfaen" w:hAnsi="Sylfaen"/>
          <w:sz w:val="24"/>
          <w:szCs w:val="24"/>
        </w:rPr>
        <w:t xml:space="preserve"> հետ</w:t>
      </w:r>
      <w:r w:rsidR="00C54D75">
        <w:rPr>
          <w:rFonts w:ascii="Sylfaen" w:hAnsi="Sylfaen"/>
          <w:sz w:val="24"/>
          <w:szCs w:val="24"/>
        </w:rPr>
        <w:t>և</w:t>
      </w:r>
      <w:r w:rsidRPr="003B2786">
        <w:rPr>
          <w:rFonts w:ascii="Sylfaen" w:hAnsi="Sylfaen"/>
          <w:sz w:val="24"/>
          <w:szCs w:val="24"/>
        </w:rPr>
        <w:t>աբար հազիվ թե արտացոլվեն ռիսկերի կառավարման պլանում:</w:t>
      </w:r>
    </w:p>
    <w:p w14:paraId="0484A067"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Ստացված առաջարկությունները ներառվում են գրանցման հայտ ներկայացնելուց հետո ներկայացվող հարցերի ցանկի նախագծում: Կար</w:t>
      </w:r>
      <w:r w:rsidR="00C54D75">
        <w:rPr>
          <w:rFonts w:ascii="Sylfaen" w:hAnsi="Sylfaen"/>
          <w:sz w:val="24"/>
          <w:szCs w:val="24"/>
        </w:rPr>
        <w:t>և</w:t>
      </w:r>
      <w:r w:rsidRPr="003B2786">
        <w:rPr>
          <w:rFonts w:ascii="Sylfaen" w:hAnsi="Sylfaen"/>
          <w:sz w:val="24"/>
          <w:szCs w:val="24"/>
        </w:rPr>
        <w:t xml:space="preserve">որ է նշել, որ տվյալ առաջարկությունները կարող են պարունակել ռիսկերի կառավարման </w:t>
      </w:r>
      <w:r w:rsidRPr="003B2786">
        <w:rPr>
          <w:rFonts w:ascii="Sylfaen" w:hAnsi="Sylfaen"/>
          <w:sz w:val="24"/>
          <w:szCs w:val="24"/>
        </w:rPr>
        <w:lastRenderedPageBreak/>
        <w:t>պլանի մասով առաջարկվող հարցեր, որոնք ենթակա են հարցերի ցանկում ավելացման:</w:t>
      </w:r>
    </w:p>
    <w:p w14:paraId="6F0A440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 է թվարկել հարցերը </w:t>
      </w:r>
      <w:r w:rsidR="00C54D75">
        <w:rPr>
          <w:rFonts w:ascii="Sylfaen" w:hAnsi="Sylfaen"/>
          <w:sz w:val="24"/>
          <w:szCs w:val="24"/>
        </w:rPr>
        <w:t>և</w:t>
      </w:r>
      <w:r w:rsidRPr="003B2786">
        <w:rPr>
          <w:rFonts w:ascii="Sylfaen" w:hAnsi="Sylfaen"/>
          <w:sz w:val="24"/>
          <w:szCs w:val="24"/>
        </w:rPr>
        <w:t xml:space="preserve"> խնդիրները, որոնք հայտնաբերվել են հայտի ընդհանուր գնահատման գործընթացում </w:t>
      </w:r>
      <w:r w:rsidR="00C54D75">
        <w:rPr>
          <w:rFonts w:ascii="Sylfaen" w:hAnsi="Sylfaen"/>
          <w:sz w:val="24"/>
          <w:szCs w:val="24"/>
        </w:rPr>
        <w:t>և</w:t>
      </w:r>
      <w:r w:rsidRPr="003B2786">
        <w:rPr>
          <w:rFonts w:ascii="Sylfaen" w:hAnsi="Sylfaen"/>
          <w:sz w:val="24"/>
          <w:szCs w:val="24"/>
        </w:rPr>
        <w:t xml:space="preserve"> ենթակա են քննման ռիսկերի կառավարման պլանը գնահատելիս:</w:t>
      </w:r>
    </w:p>
    <w:p w14:paraId="77E03AEC"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6.</w:t>
      </w:r>
      <w:r w:rsidRPr="003B2786">
        <w:rPr>
          <w:rFonts w:ascii="Sylfaen" w:hAnsi="Sylfaen"/>
          <w:sz w:val="24"/>
          <w:szCs w:val="24"/>
        </w:rPr>
        <w:tab/>
        <w:t>Օգտագործված գրականության ցանկը:</w:t>
      </w:r>
    </w:p>
    <w:p w14:paraId="7041581B"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7.</w:t>
      </w:r>
      <w:r w:rsidRPr="003B2786">
        <w:rPr>
          <w:rFonts w:ascii="Sylfaen" w:hAnsi="Sylfaen"/>
          <w:sz w:val="24"/>
          <w:szCs w:val="24"/>
        </w:rPr>
        <w:tab/>
        <w:t>Փորձագետի կողմից առաջարկված հարցերի ցանկը:</w:t>
      </w:r>
    </w:p>
    <w:p w14:paraId="15DE0510"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7.1.</w:t>
      </w:r>
      <w:r w:rsidRPr="003B2786">
        <w:rPr>
          <w:rFonts w:ascii="Sylfaen" w:hAnsi="Sylfaen"/>
          <w:sz w:val="24"/>
          <w:szCs w:val="24"/>
        </w:rPr>
        <w:tab/>
        <w:t>Դիտողությունների դասակարգումը՝</w:t>
      </w:r>
    </w:p>
    <w:p w14:paraId="0174F708"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«կրիտիկական դիտողություններ»՝ դիտողություններ, որոնք անհնարին են դարձնում դեղապատրաստուկի գրանցումը: Մեկ կրիտիկական դիտողությունը տեսականորեն կարող է ներառել մի քանի հարցեր. այդ դեպքում հարկավոր է օգտագործել չհամարակալված ցանկեր </w:t>
      </w:r>
      <w:r w:rsidR="00C54D75">
        <w:rPr>
          <w:rFonts w:ascii="Sylfaen" w:hAnsi="Sylfaen"/>
          <w:sz w:val="24"/>
          <w:szCs w:val="24"/>
        </w:rPr>
        <w:t>և</w:t>
      </w:r>
      <w:r w:rsidRPr="003B2786">
        <w:rPr>
          <w:rFonts w:ascii="Sylfaen" w:hAnsi="Sylfaen"/>
          <w:sz w:val="24"/>
          <w:szCs w:val="24"/>
        </w:rPr>
        <w:t xml:space="preserve"> ենթավերնագրեր: Կրիտիկական դիտողությունը պետք է հասկանալի </w:t>
      </w:r>
      <w:r w:rsidR="00C54D75">
        <w:rPr>
          <w:rFonts w:ascii="Sylfaen" w:hAnsi="Sylfaen"/>
          <w:sz w:val="24"/>
          <w:szCs w:val="24"/>
        </w:rPr>
        <w:t>և</w:t>
      </w:r>
      <w:r w:rsidRPr="003B2786">
        <w:rPr>
          <w:rFonts w:ascii="Sylfaen" w:hAnsi="Sylfaen"/>
          <w:sz w:val="24"/>
          <w:szCs w:val="24"/>
        </w:rPr>
        <w:t xml:space="preserve"> հստակ շարադրված լինի: Դրա համար կարող են պահանջվել մանրամասն մեկնաբանություններ՝ համապատասխան նորմատիվ իրավական ակտերին </w:t>
      </w:r>
      <w:r w:rsidR="00C54D75">
        <w:rPr>
          <w:rFonts w:ascii="Sylfaen" w:hAnsi="Sylfaen"/>
          <w:sz w:val="24"/>
          <w:szCs w:val="24"/>
        </w:rPr>
        <w:t>և</w:t>
      </w:r>
      <w:r w:rsidRPr="003B2786">
        <w:rPr>
          <w:rFonts w:ascii="Sylfaen" w:hAnsi="Sylfaen"/>
          <w:sz w:val="24"/>
          <w:szCs w:val="24"/>
        </w:rPr>
        <w:t xml:space="preserve"> հանձնարարականներին (ձեռնարկներին) հղումներով: Հնարավորության դեպքում դիտողությունը պետք է ներառի հայտատուից ակնկալվող պատասխանի (միջոցների) վերաբերյալ պարզաբանումներ,</w:t>
      </w:r>
    </w:p>
    <w:p w14:paraId="7F359491"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«այլ դիտողություններ»՝ դիտողություններ, որոնք կարող են ազդել հայտատուի կողմից առաջարկված գրանցման պայմանների </w:t>
      </w:r>
      <w:r w:rsidR="00C54D75">
        <w:rPr>
          <w:rFonts w:ascii="Sylfaen" w:hAnsi="Sylfaen"/>
          <w:sz w:val="24"/>
          <w:szCs w:val="24"/>
        </w:rPr>
        <w:t>և</w:t>
      </w:r>
      <w:r w:rsidRPr="003B2786">
        <w:rPr>
          <w:rFonts w:ascii="Sylfaen" w:hAnsi="Sylfaen"/>
          <w:sz w:val="24"/>
          <w:szCs w:val="24"/>
        </w:rPr>
        <w:t xml:space="preserve"> դեղապատրաստուկի վերաբերյալ տեղեկատվության վրա (բժշկական կիրառման դեղապատրաստուկի ընդհանուր բնութագիր, ներդիր թերթիկ, մականշվածք): Այլ դիտողություններ անհրաժեշտ է վերացնել նախագրանցումային փուլում, հակառակ դեպքում գրանցումը կարող է մերժվել:</w:t>
      </w:r>
    </w:p>
    <w:p w14:paraId="45917464"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Շահագրգիռ խմբերի առարկությունների </w:t>
      </w:r>
      <w:r w:rsidR="00C54D75">
        <w:rPr>
          <w:rFonts w:ascii="Sylfaen" w:hAnsi="Sylfaen"/>
          <w:sz w:val="24"/>
          <w:szCs w:val="24"/>
        </w:rPr>
        <w:t>և</w:t>
      </w:r>
      <w:r w:rsidRPr="003B2786">
        <w:rPr>
          <w:rFonts w:ascii="Sylfaen" w:hAnsi="Sylfaen"/>
          <w:sz w:val="24"/>
          <w:szCs w:val="24"/>
        </w:rPr>
        <w:t xml:space="preserve"> հանձնարարականների բանաքաղման նպատակով ցանկը կազմելիս, ընդհանուր առմամբ, անհրաժեշտ է օգտագործել ենթավերնագրեր: </w:t>
      </w:r>
    </w:p>
    <w:p w14:paraId="782AED20"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lastRenderedPageBreak/>
        <w:t>Դիտողությունների ցանկն անհրաժեշտ է երկտակել փորձագիտական հաշվետվության «Ամփոփիչ մոդուլում»,</w:t>
      </w:r>
    </w:p>
    <w:p w14:paraId="21D7EBCC"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«առաջարկություններ»՝ առաջարկություններ, որոնք պարունակում են փորձագետի դիտողությունները (պայմանները), որոնք չեն խոչընդոտում դեղապատրաստուկի գրանցմանը </w:t>
      </w:r>
      <w:r w:rsidR="00C54D75">
        <w:rPr>
          <w:rFonts w:ascii="Sylfaen" w:hAnsi="Sylfaen"/>
          <w:sz w:val="24"/>
          <w:szCs w:val="24"/>
        </w:rPr>
        <w:t>և</w:t>
      </w:r>
      <w:r w:rsidRPr="003B2786">
        <w:rPr>
          <w:rFonts w:ascii="Sylfaen" w:hAnsi="Sylfaen"/>
          <w:sz w:val="24"/>
          <w:szCs w:val="24"/>
        </w:rPr>
        <w:t xml:space="preserve"> կարող են հաշվի առնվել պատրաստուկի գրանցումից հետո, ներառվել (փոփոխվել) փոփոխությունների կատարման ընթացակարգի շրջանակներում:</w:t>
      </w:r>
    </w:p>
    <w:p w14:paraId="737DBEA8" w14:textId="77777777" w:rsidR="008C76E0" w:rsidRPr="003B2786" w:rsidRDefault="008C76E0" w:rsidP="00262653">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8.</w:t>
      </w:r>
      <w:r w:rsidRPr="003B2786">
        <w:rPr>
          <w:rFonts w:ascii="Sylfaen" w:hAnsi="Sylfaen"/>
          <w:sz w:val="24"/>
          <w:szCs w:val="24"/>
        </w:rPr>
        <w:tab/>
        <w:t xml:space="preserve">Փորձագետի կողմից առաջարկվող պայմանները, որոնք պետք է կատարել հայտատուի կողմից գրանցման հավաստագիրը ստանալուց </w:t>
      </w:r>
      <w:r w:rsidR="00C54D75">
        <w:rPr>
          <w:rFonts w:ascii="Sylfaen" w:hAnsi="Sylfaen"/>
          <w:sz w:val="24"/>
          <w:szCs w:val="24"/>
        </w:rPr>
        <w:t>և</w:t>
      </w:r>
      <w:r w:rsidRPr="003B2786">
        <w:rPr>
          <w:rFonts w:ascii="Sylfaen" w:hAnsi="Sylfaen"/>
          <w:sz w:val="24"/>
          <w:szCs w:val="24"/>
        </w:rPr>
        <w:t xml:space="preserve"> բժշկական կիրառման դեղապատրաստուկի ընդհանուր բնութագիրը հաստատելուց հետո՝</w:t>
      </w:r>
    </w:p>
    <w:p w14:paraId="3A083329"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տվյալ բաժնում պարունակվող տեղեկությունները նույնպես պետք է հատուկ ուսումնասիրվեն ամփոփիչ փորձագիտական հաշվետվության «Անվտանգության, որակի, արդյունավետության գնահատում» մոդուլի համապատասխան բաժնում (օրինակ՝ կոնկրետ դիտողություններ՝ արտադրանքի վերաբերյալ տեղեկատվության մասով):</w:t>
      </w:r>
    </w:p>
    <w:p w14:paraId="679F76BF" w14:textId="77777777" w:rsidR="008C76E0" w:rsidRPr="003B2786" w:rsidRDefault="008C76E0" w:rsidP="00262653">
      <w:pPr>
        <w:spacing w:after="160" w:line="360" w:lineRule="auto"/>
        <w:ind w:right="-1" w:firstLine="567"/>
        <w:jc w:val="both"/>
        <w:rPr>
          <w:rFonts w:ascii="Sylfaen" w:hAnsi="Sylfaen"/>
          <w:sz w:val="24"/>
          <w:szCs w:val="24"/>
        </w:rPr>
      </w:pPr>
      <w:r w:rsidRPr="003B2786">
        <w:rPr>
          <w:rFonts w:ascii="Sylfaen" w:hAnsi="Sylfaen"/>
          <w:sz w:val="24"/>
          <w:szCs w:val="24"/>
        </w:rPr>
        <w:t xml:space="preserve">«Խորհրդատվություններ օգտագործողների հետ»՝ դեղապատրաստուկի բժշկական կիրառման հրահանգի ընթեռնելիության հետ կապված՝ հայտատուն պետք է ներկայացնի դեղապատրաստուկի բժշկական կիրառման հրահանգի ընթեռնելիության մասով պացիենտների թիրախային խմբերի մասնակցությամբ անցկացված գնահատման արդյունքները (տե՛ս «Խորհրդատվություններ օգտագործողների հետ»), կամ հիմնավորի նման խորհրդատվություններ անցկացնելուց հրաժարվելը («օգտագործողների հետ խորհրդատվության» պահանջների վերաբերյալ լրացուցիչ տեղեկատվություն ստանալու, դրա արդյունքները ներկայացնելու </w:t>
      </w:r>
      <w:r w:rsidR="00C54D75">
        <w:rPr>
          <w:rFonts w:ascii="Sylfaen" w:hAnsi="Sylfaen"/>
          <w:sz w:val="24"/>
          <w:szCs w:val="24"/>
        </w:rPr>
        <w:t>և</w:t>
      </w:r>
      <w:r w:rsidRPr="003B2786">
        <w:rPr>
          <w:rFonts w:ascii="Sylfaen" w:hAnsi="Sylfaen"/>
          <w:sz w:val="24"/>
          <w:szCs w:val="24"/>
        </w:rPr>
        <w:t xml:space="preserve"> գնահատելու համար տե՛ս Միության մարմինների համապատասխան ակտերը):</w:t>
      </w:r>
    </w:p>
    <w:p w14:paraId="6B9B68D5"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Բոլոր դեպքերում անհրաժեշտ է սահմանել </w:t>
      </w:r>
      <w:r w:rsidR="00C54D75">
        <w:rPr>
          <w:rFonts w:ascii="Sylfaen" w:hAnsi="Sylfaen"/>
          <w:sz w:val="24"/>
          <w:szCs w:val="24"/>
        </w:rPr>
        <w:t>և</w:t>
      </w:r>
      <w:r w:rsidRPr="003B2786">
        <w:rPr>
          <w:rFonts w:ascii="Sylfaen" w:hAnsi="Sylfaen"/>
          <w:sz w:val="24"/>
          <w:szCs w:val="24"/>
        </w:rPr>
        <w:t xml:space="preserve"> նշել (տե՛ս «Ամփոփում»), թե արդյոք փաստացի անցկացվել կամ նախատեսվել են «խորհրդատվություններ </w:t>
      </w:r>
      <w:r w:rsidRPr="003B2786">
        <w:rPr>
          <w:rFonts w:ascii="Sylfaen" w:hAnsi="Sylfaen"/>
          <w:sz w:val="24"/>
          <w:szCs w:val="24"/>
        </w:rPr>
        <w:lastRenderedPageBreak/>
        <w:t xml:space="preserve">օգտագործողների հետ» դեղամիջոցի բժշկական կիրառման հրահանգի ընթեռնելիության վերաբերյալ, կամ էլ սահմանել </w:t>
      </w:r>
      <w:r w:rsidR="00C54D75">
        <w:rPr>
          <w:rFonts w:ascii="Sylfaen" w:hAnsi="Sylfaen"/>
          <w:sz w:val="24"/>
          <w:szCs w:val="24"/>
        </w:rPr>
        <w:t>և</w:t>
      </w:r>
      <w:r w:rsidRPr="003B2786">
        <w:rPr>
          <w:rFonts w:ascii="Sylfaen" w:hAnsi="Sylfaen"/>
          <w:sz w:val="24"/>
          <w:szCs w:val="24"/>
        </w:rPr>
        <w:t xml:space="preserve"> նշել այդպիսի խորհրդատվություններ անցկացնելուց հրաժարվելու հիմնավորվածությունը:</w:t>
      </w:r>
    </w:p>
    <w:p w14:paraId="44119F5A" w14:textId="77777777" w:rsidR="008C76E0" w:rsidRPr="003B2786"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 xml:space="preserve">Դեղապատրաստուկի բժշկական կիրառման հրահանգի ընթեռնելիության վերաբերյալ «օգտագործողների հետ խորհրդատվություն» անցկացնելու </w:t>
      </w:r>
      <w:r w:rsidR="00C54D75">
        <w:rPr>
          <w:rFonts w:ascii="Sylfaen" w:hAnsi="Sylfaen"/>
          <w:sz w:val="24"/>
          <w:szCs w:val="24"/>
        </w:rPr>
        <w:t>և</w:t>
      </w:r>
      <w:r w:rsidRPr="003B2786">
        <w:rPr>
          <w:rFonts w:ascii="Sylfaen" w:hAnsi="Sylfaen"/>
          <w:sz w:val="24"/>
          <w:szCs w:val="24"/>
        </w:rPr>
        <w:t xml:space="preserve"> դրա արդյունքները հայտի մեջ ներառելու դեպքում փորձագետները պետք է գնահատում անցկացնելու մասին իրենց հաշվետվություններում, ինչպես նա</w:t>
      </w:r>
      <w:r w:rsidR="00C54D75">
        <w:rPr>
          <w:rFonts w:ascii="Sylfaen" w:hAnsi="Sylfaen"/>
          <w:sz w:val="24"/>
          <w:szCs w:val="24"/>
        </w:rPr>
        <w:t>և</w:t>
      </w:r>
      <w:r w:rsidRPr="003B2786">
        <w:rPr>
          <w:rFonts w:ascii="Sylfaen" w:hAnsi="Sylfaen"/>
          <w:sz w:val="24"/>
          <w:szCs w:val="24"/>
        </w:rPr>
        <w:t xml:space="preserve"> բժշկական կիրառման հրահանգի ընդհանուր ընթեռնելիության վերաբերյալ եզրակացության մեջ ներառեն «օգտագործողների հետ խորհրդատվության» արդյունքների գնահատումը: </w:t>
      </w:r>
    </w:p>
    <w:p w14:paraId="731B0FCA" w14:textId="77777777" w:rsidR="008C76E0" w:rsidRDefault="008C76E0" w:rsidP="00262653">
      <w:pPr>
        <w:spacing w:after="160" w:line="360" w:lineRule="auto"/>
        <w:ind w:firstLine="567"/>
        <w:jc w:val="both"/>
        <w:rPr>
          <w:rFonts w:ascii="Sylfaen" w:hAnsi="Sylfaen"/>
          <w:sz w:val="24"/>
          <w:szCs w:val="24"/>
        </w:rPr>
      </w:pPr>
      <w:r w:rsidRPr="003B2786">
        <w:rPr>
          <w:rFonts w:ascii="Sylfaen" w:hAnsi="Sylfaen"/>
          <w:sz w:val="24"/>
          <w:szCs w:val="24"/>
        </w:rPr>
        <w:t>Ցանկացած հնարավոր անհամապատասխանություն կամ դիտողություն (հարց) պետք է ներառվի հարցերի ցանկում:</w:t>
      </w:r>
    </w:p>
    <w:p w14:paraId="7039BF40" w14:textId="77777777" w:rsidR="008C76E0" w:rsidRDefault="008C76E0" w:rsidP="00262653">
      <w:pPr>
        <w:spacing w:after="160" w:line="360" w:lineRule="auto"/>
        <w:ind w:firstLine="567"/>
        <w:jc w:val="both"/>
        <w:rPr>
          <w:rFonts w:ascii="Sylfaen" w:hAnsi="Sylfaen"/>
          <w:sz w:val="24"/>
          <w:szCs w:val="24"/>
        </w:rPr>
      </w:pPr>
    </w:p>
    <w:p w14:paraId="726AF8A7" w14:textId="77777777" w:rsidR="008C76E0" w:rsidRPr="003B2786" w:rsidRDefault="008C76E0" w:rsidP="008C76E0">
      <w:pPr>
        <w:ind w:firstLine="567"/>
        <w:jc w:val="center"/>
        <w:rPr>
          <w:rFonts w:ascii="Sylfaen" w:eastAsia="Times New Roman" w:hAnsi="Sylfaen" w:cs="Times New Roman"/>
          <w:sz w:val="24"/>
          <w:szCs w:val="24"/>
        </w:rPr>
      </w:pPr>
      <w:r>
        <w:rPr>
          <w:rFonts w:ascii="Sylfaen" w:hAnsi="Sylfaen"/>
          <w:sz w:val="24"/>
          <w:szCs w:val="24"/>
        </w:rPr>
        <w:t>——————————</w:t>
      </w:r>
    </w:p>
    <w:p w14:paraId="0CD208FF" w14:textId="77777777" w:rsidR="002C4B5D" w:rsidRPr="00E15E7D" w:rsidRDefault="002C4B5D" w:rsidP="008C76E0">
      <w:pPr>
        <w:jc w:val="center"/>
        <w:rPr>
          <w:rFonts w:ascii="Sylfaen" w:hAnsi="Sylfaen"/>
          <w:sz w:val="24"/>
          <w:szCs w:val="24"/>
        </w:rPr>
      </w:pPr>
    </w:p>
    <w:p w14:paraId="70AFC885" w14:textId="77777777" w:rsidR="009211E1" w:rsidRPr="00E15E7D" w:rsidRDefault="009211E1" w:rsidP="008C76E0">
      <w:pPr>
        <w:jc w:val="center"/>
        <w:rPr>
          <w:rFonts w:ascii="Sylfaen" w:hAnsi="Sylfaen"/>
          <w:sz w:val="24"/>
          <w:szCs w:val="24"/>
        </w:rPr>
        <w:sectPr w:rsidR="009211E1" w:rsidRPr="00E15E7D" w:rsidSect="00015767">
          <w:pgSz w:w="11906" w:h="16838" w:code="9"/>
          <w:pgMar w:top="1418" w:right="1418" w:bottom="1418" w:left="1418" w:header="709" w:footer="709" w:gutter="0"/>
          <w:pgNumType w:start="1"/>
          <w:cols w:space="708"/>
          <w:titlePg/>
          <w:docGrid w:linePitch="360"/>
        </w:sectPr>
      </w:pPr>
    </w:p>
    <w:p w14:paraId="22AC84C3" w14:textId="77777777" w:rsidR="008C76E0" w:rsidRPr="003B2786" w:rsidRDefault="008C76E0" w:rsidP="00B70A34">
      <w:pPr>
        <w:spacing w:after="160" w:line="360" w:lineRule="auto"/>
        <w:ind w:left="4111" w:right="-1"/>
        <w:jc w:val="center"/>
        <w:outlineLvl w:val="0"/>
        <w:rPr>
          <w:rFonts w:ascii="Sylfaen" w:hAnsi="Sylfaen"/>
          <w:sz w:val="24"/>
          <w:szCs w:val="24"/>
        </w:rPr>
      </w:pPr>
      <w:r w:rsidRPr="003B2786">
        <w:rPr>
          <w:rFonts w:ascii="Sylfaen" w:hAnsi="Sylfaen"/>
          <w:sz w:val="24"/>
          <w:szCs w:val="24"/>
        </w:rPr>
        <w:lastRenderedPageBreak/>
        <w:t>ՀԱՎԵԼՎԱԾ ԹԻՎ 16</w:t>
      </w:r>
    </w:p>
    <w:p w14:paraId="4F6DFCCA" w14:textId="77777777" w:rsidR="008C76E0" w:rsidRPr="003B2786" w:rsidRDefault="008C76E0" w:rsidP="00B70A34">
      <w:pPr>
        <w:spacing w:after="160" w:line="360" w:lineRule="auto"/>
        <w:ind w:left="4111" w:right="-1"/>
        <w:jc w:val="center"/>
        <w:rPr>
          <w:rFonts w:ascii="Sylfaen" w:hAnsi="Sylfaen"/>
          <w:sz w:val="24"/>
          <w:szCs w:val="24"/>
        </w:rPr>
      </w:pPr>
      <w:r w:rsidRPr="003B2786">
        <w:rPr>
          <w:rFonts w:ascii="Sylfaen" w:hAnsi="Sylfaen"/>
          <w:sz w:val="24"/>
          <w:szCs w:val="24"/>
        </w:rPr>
        <w:t xml:space="preserve">Բժշկական կիրառման համար նախատեսված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w:t>
      </w:r>
    </w:p>
    <w:p w14:paraId="4987A3F4" w14:textId="77777777" w:rsidR="008C76E0" w:rsidRPr="003B2786" w:rsidRDefault="008C76E0" w:rsidP="00B70A34">
      <w:pPr>
        <w:spacing w:after="160" w:line="360" w:lineRule="auto"/>
        <w:ind w:left="5103" w:right="-1"/>
        <w:rPr>
          <w:rFonts w:ascii="Sylfaen" w:hAnsi="Sylfaen"/>
          <w:sz w:val="24"/>
          <w:szCs w:val="24"/>
        </w:rPr>
      </w:pPr>
    </w:p>
    <w:p w14:paraId="73A9A7EC" w14:textId="77777777" w:rsidR="008C76E0" w:rsidRPr="000237F1" w:rsidRDefault="008C76E0" w:rsidP="00B70A34">
      <w:pPr>
        <w:spacing w:after="160" w:line="360" w:lineRule="auto"/>
        <w:ind w:right="-1"/>
        <w:jc w:val="center"/>
        <w:outlineLvl w:val="0"/>
        <w:rPr>
          <w:rFonts w:ascii="Sylfaen" w:hAnsi="Sylfaen"/>
          <w:b/>
          <w:sz w:val="24"/>
          <w:szCs w:val="24"/>
        </w:rPr>
      </w:pPr>
      <w:r w:rsidRPr="000237F1">
        <w:rPr>
          <w:rFonts w:ascii="Sylfaen" w:hAnsi="Sylfaen"/>
          <w:b/>
          <w:sz w:val="24"/>
          <w:szCs w:val="24"/>
        </w:rPr>
        <w:t>ՁԵՎ</w:t>
      </w:r>
    </w:p>
    <w:p w14:paraId="4E9BF23C" w14:textId="77777777" w:rsidR="008C76E0" w:rsidRPr="008C76E0" w:rsidRDefault="008C76E0" w:rsidP="00B70A34">
      <w:pPr>
        <w:pStyle w:val="Bodytext130"/>
        <w:shd w:val="clear" w:color="auto" w:fill="auto"/>
        <w:spacing w:after="160" w:line="360" w:lineRule="auto"/>
        <w:ind w:left="567" w:right="565"/>
        <w:rPr>
          <w:rFonts w:ascii="Sylfaen" w:hAnsi="Sylfaen"/>
          <w:sz w:val="24"/>
          <w:szCs w:val="24"/>
          <w:lang w:val="hy-AM"/>
        </w:rPr>
      </w:pPr>
      <w:r w:rsidRPr="008C76E0">
        <w:rPr>
          <w:rFonts w:ascii="Sylfaen" w:hAnsi="Sylfaen"/>
          <w:sz w:val="24"/>
          <w:szCs w:val="24"/>
          <w:lang w:val="hy-AM"/>
        </w:rPr>
        <w:t xml:space="preserve">անվտանգության, արդյունավետության </w:t>
      </w:r>
      <w:r w:rsidR="00C54D75">
        <w:rPr>
          <w:rFonts w:ascii="Sylfaen" w:hAnsi="Sylfaen"/>
          <w:sz w:val="24"/>
          <w:szCs w:val="24"/>
          <w:lang w:val="hy-AM"/>
        </w:rPr>
        <w:t>և</w:t>
      </w:r>
      <w:r w:rsidRPr="008C76E0">
        <w:rPr>
          <w:rFonts w:ascii="Sylfaen" w:hAnsi="Sylfaen"/>
          <w:sz w:val="24"/>
          <w:szCs w:val="24"/>
          <w:lang w:val="hy-AM"/>
        </w:rPr>
        <w:t xml:space="preserve"> որակի գնահատման վերաբերյալ փորձագիտական հաշվետվության</w:t>
      </w:r>
    </w:p>
    <w:p w14:paraId="4FA8B80B" w14:textId="77777777" w:rsidR="008C76E0" w:rsidRPr="003B2786" w:rsidRDefault="008C76E0" w:rsidP="00B70A34">
      <w:pPr>
        <w:spacing w:after="160" w:line="360" w:lineRule="auto"/>
        <w:ind w:left="567" w:right="565"/>
        <w:jc w:val="right"/>
        <w:rPr>
          <w:rFonts w:ascii="Sylfaen" w:hAnsi="Sylfaen"/>
          <w:sz w:val="24"/>
          <w:szCs w:val="24"/>
        </w:rPr>
      </w:pPr>
      <w:r w:rsidRPr="003B2786">
        <w:rPr>
          <w:rFonts w:ascii="Sylfaen" w:hAnsi="Sylfaen"/>
          <w:sz w:val="24"/>
          <w:szCs w:val="24"/>
        </w:rPr>
        <w:t>(ձ</w:t>
      </w:r>
      <w:r w:rsidR="00C54D75">
        <w:rPr>
          <w:rFonts w:ascii="Sylfaen" w:hAnsi="Sylfaen"/>
          <w:sz w:val="24"/>
          <w:szCs w:val="24"/>
        </w:rPr>
        <w:t>և</w:t>
      </w:r>
      <w:r w:rsidRPr="003B2786">
        <w:rPr>
          <w:rFonts w:ascii="Sylfaen" w:hAnsi="Sylfaen"/>
          <w:sz w:val="24"/>
          <w:szCs w:val="24"/>
        </w:rPr>
        <w:t>)</w:t>
      </w:r>
    </w:p>
    <w:p w14:paraId="16A96C71" w14:textId="77777777" w:rsidR="008C76E0" w:rsidRPr="003B2786" w:rsidRDefault="008C76E0" w:rsidP="00B70A34">
      <w:pPr>
        <w:spacing w:after="160" w:line="360" w:lineRule="auto"/>
        <w:ind w:left="567" w:right="565"/>
        <w:jc w:val="center"/>
        <w:rPr>
          <w:rFonts w:ascii="Sylfaen" w:hAnsi="Sylfaen"/>
          <w:sz w:val="24"/>
          <w:szCs w:val="24"/>
        </w:rPr>
      </w:pPr>
      <w:r w:rsidRPr="003B2786">
        <w:rPr>
          <w:rFonts w:ascii="Sylfaen" w:hAnsi="Sylfaen"/>
          <w:sz w:val="24"/>
          <w:szCs w:val="24"/>
        </w:rPr>
        <w:t xml:space="preserve">Անվտանգության, արդյունավետության </w:t>
      </w:r>
      <w:r w:rsidR="00C54D75">
        <w:rPr>
          <w:rFonts w:ascii="Sylfaen" w:hAnsi="Sylfaen"/>
          <w:sz w:val="24"/>
          <w:szCs w:val="24"/>
        </w:rPr>
        <w:t>և</w:t>
      </w:r>
      <w:r w:rsidRPr="003B2786">
        <w:rPr>
          <w:rFonts w:ascii="Sylfaen" w:hAnsi="Sylfaen"/>
          <w:sz w:val="24"/>
          <w:szCs w:val="24"/>
        </w:rPr>
        <w:t xml:space="preserve"> որակի գնահատման վերաբերյալ փորձագիտական հաշվետվություն</w:t>
      </w:r>
    </w:p>
    <w:p w14:paraId="7CB1FAD9" w14:textId="77777777" w:rsidR="008C76E0" w:rsidRPr="003B2786" w:rsidRDefault="008C76E0" w:rsidP="00B70A34">
      <w:pPr>
        <w:spacing w:after="160" w:line="360" w:lineRule="auto"/>
        <w:ind w:left="567" w:right="565"/>
        <w:jc w:val="center"/>
        <w:rPr>
          <w:rFonts w:ascii="Sylfaen" w:hAnsi="Sylfaen"/>
          <w:sz w:val="24"/>
          <w:szCs w:val="24"/>
        </w:rPr>
      </w:pPr>
    </w:p>
    <w:p w14:paraId="52F141D4" w14:textId="77777777" w:rsidR="008C76E0" w:rsidRPr="003B2786" w:rsidRDefault="008C76E0" w:rsidP="00B70A34">
      <w:pPr>
        <w:spacing w:after="160" w:line="360" w:lineRule="auto"/>
        <w:ind w:right="-1"/>
        <w:jc w:val="center"/>
        <w:rPr>
          <w:rFonts w:ascii="Sylfaen" w:hAnsi="Sylfaen"/>
          <w:sz w:val="24"/>
          <w:szCs w:val="24"/>
        </w:rPr>
      </w:pPr>
      <w:r w:rsidRPr="003B2786">
        <w:rPr>
          <w:rFonts w:ascii="Sylfaen" w:hAnsi="Sylfaen"/>
          <w:sz w:val="24"/>
          <w:szCs w:val="24"/>
        </w:rPr>
        <w:t>ԱՄՓՈՓԱԳԻՐ</w:t>
      </w:r>
    </w:p>
    <w:p w14:paraId="0C774A8B" w14:textId="77777777" w:rsidR="008C76E0" w:rsidRPr="003B2786" w:rsidRDefault="008C76E0" w:rsidP="00B70A34">
      <w:pPr>
        <w:spacing w:after="160" w:line="360" w:lineRule="auto"/>
        <w:ind w:right="-1"/>
        <w:jc w:val="center"/>
        <w:rPr>
          <w:rFonts w:ascii="Sylfaen" w:hAnsi="Sylfaen"/>
          <w:sz w:val="24"/>
          <w:szCs w:val="24"/>
        </w:rPr>
      </w:pPr>
      <w:r w:rsidRPr="003B2786">
        <w:rPr>
          <w:rFonts w:ascii="Sylfaen" w:hAnsi="Sylfaen"/>
          <w:sz w:val="24"/>
          <w:szCs w:val="24"/>
        </w:rPr>
        <w:t>[Առ</w:t>
      </w:r>
      <w:r w:rsidR="00C54D75">
        <w:rPr>
          <w:rFonts w:ascii="Sylfaen" w:hAnsi="Sylfaen"/>
          <w:sz w:val="24"/>
          <w:szCs w:val="24"/>
        </w:rPr>
        <w:t>և</w:t>
      </w:r>
      <w:r w:rsidRPr="003B2786">
        <w:rPr>
          <w:rFonts w:ascii="Sylfaen" w:hAnsi="Sylfaen"/>
          <w:sz w:val="24"/>
          <w:szCs w:val="24"/>
        </w:rPr>
        <w:t>տրային անվանումը]</w:t>
      </w:r>
    </w:p>
    <w:p w14:paraId="577378E2" w14:textId="77777777" w:rsidR="008C76E0" w:rsidRPr="003B2786" w:rsidRDefault="008C76E0" w:rsidP="00B70A34">
      <w:pPr>
        <w:spacing w:after="160" w:line="360" w:lineRule="auto"/>
        <w:jc w:val="center"/>
        <w:rPr>
          <w:rFonts w:ascii="Sylfaen" w:hAnsi="Sylfaen"/>
          <w:sz w:val="24"/>
          <w:szCs w:val="24"/>
        </w:rPr>
      </w:pPr>
      <w:r w:rsidRPr="003B2786">
        <w:rPr>
          <w:rFonts w:ascii="Sylfaen" w:hAnsi="Sylfaen"/>
          <w:sz w:val="24"/>
          <w:szCs w:val="24"/>
        </w:rPr>
        <w:t>____________________________</w:t>
      </w:r>
    </w:p>
    <w:p w14:paraId="03F14D66" w14:textId="77777777" w:rsidR="008C76E0" w:rsidRPr="008C76E0" w:rsidRDefault="008C76E0" w:rsidP="00B70A34">
      <w:pPr>
        <w:pStyle w:val="Bodytext70"/>
        <w:shd w:val="clear" w:color="auto" w:fill="auto"/>
        <w:spacing w:before="0" w:after="160" w:line="360" w:lineRule="auto"/>
        <w:jc w:val="center"/>
        <w:rPr>
          <w:rFonts w:ascii="Sylfaen" w:hAnsi="Sylfaen"/>
          <w:b w:val="0"/>
          <w:sz w:val="20"/>
          <w:szCs w:val="20"/>
          <w:lang w:val="hy-AM"/>
        </w:rPr>
      </w:pPr>
      <w:r w:rsidRPr="008C76E0">
        <w:rPr>
          <w:rFonts w:ascii="Sylfaen" w:hAnsi="Sylfaen"/>
          <w:b w:val="0"/>
          <w:sz w:val="20"/>
          <w:szCs w:val="20"/>
          <w:lang w:val="hy-AM"/>
        </w:rPr>
        <w:t>(Ակտիվ նյութը)</w:t>
      </w:r>
    </w:p>
    <w:p w14:paraId="5B32E69E" w14:textId="77777777" w:rsidR="008C76E0" w:rsidRPr="008C76E0" w:rsidRDefault="008C76E0" w:rsidP="00B70A34">
      <w:pPr>
        <w:pStyle w:val="Bodytext70"/>
        <w:shd w:val="clear" w:color="auto" w:fill="auto"/>
        <w:spacing w:before="0" w:after="160" w:line="360" w:lineRule="auto"/>
        <w:jc w:val="center"/>
        <w:rPr>
          <w:rFonts w:ascii="Sylfaen" w:hAnsi="Sylfaen"/>
          <w:b w:val="0"/>
          <w:sz w:val="20"/>
          <w:szCs w:val="20"/>
          <w:lang w:val="hy-AM"/>
        </w:rPr>
      </w:pPr>
    </w:p>
    <w:p w14:paraId="4AC62DD0" w14:textId="77777777" w:rsidR="008C76E0" w:rsidRPr="008C76E0" w:rsidRDefault="008C76E0" w:rsidP="00B70A34">
      <w:pPr>
        <w:pStyle w:val="Bodytext70"/>
        <w:shd w:val="clear" w:color="auto" w:fill="auto"/>
        <w:spacing w:before="0" w:after="160" w:line="360" w:lineRule="auto"/>
        <w:ind w:right="-1"/>
        <w:jc w:val="center"/>
        <w:rPr>
          <w:rFonts w:ascii="Sylfaen" w:hAnsi="Sylfaen"/>
          <w:b w:val="0"/>
          <w:sz w:val="24"/>
          <w:szCs w:val="24"/>
          <w:lang w:val="hy-AM"/>
        </w:rPr>
      </w:pPr>
      <w:r w:rsidRPr="008C76E0">
        <w:rPr>
          <w:rFonts w:ascii="Sylfaen" w:hAnsi="Sylfaen"/>
          <w:b w:val="0"/>
          <w:sz w:val="24"/>
          <w:szCs w:val="24"/>
          <w:lang w:val="hy-AM"/>
        </w:rPr>
        <w:t>_______________________________</w:t>
      </w:r>
    </w:p>
    <w:p w14:paraId="2FD86C6A" w14:textId="77777777" w:rsidR="008C76E0" w:rsidRPr="003B2786" w:rsidRDefault="008C76E0" w:rsidP="00B70A34">
      <w:pPr>
        <w:spacing w:after="160" w:line="360" w:lineRule="auto"/>
        <w:ind w:left="2694" w:right="-1"/>
        <w:rPr>
          <w:rFonts w:ascii="Sylfaen" w:hAnsi="Sylfaen"/>
          <w:sz w:val="24"/>
          <w:szCs w:val="24"/>
        </w:rPr>
      </w:pPr>
      <w:r w:rsidRPr="003B2786">
        <w:rPr>
          <w:rFonts w:ascii="Sylfaen" w:hAnsi="Sylfaen"/>
          <w:sz w:val="24"/>
          <w:szCs w:val="24"/>
        </w:rPr>
        <w:t>Հայտ թիվ ________ ամսաթիվ ____________</w:t>
      </w:r>
    </w:p>
    <w:p w14:paraId="1CC3EEE9" w14:textId="77777777" w:rsidR="008C76E0" w:rsidRPr="003B2786" w:rsidRDefault="008C76E0" w:rsidP="00B70A34">
      <w:pPr>
        <w:spacing w:after="160" w:line="360" w:lineRule="auto"/>
        <w:ind w:left="2694" w:right="-1"/>
        <w:rPr>
          <w:rFonts w:ascii="Sylfaen" w:hAnsi="Sylfaen"/>
          <w:sz w:val="24"/>
          <w:szCs w:val="24"/>
        </w:rPr>
      </w:pPr>
      <w:r w:rsidRPr="003B2786">
        <w:rPr>
          <w:rFonts w:ascii="Sylfaen" w:hAnsi="Sylfaen"/>
          <w:sz w:val="24"/>
          <w:szCs w:val="24"/>
        </w:rPr>
        <w:t>Հայտատու _______________</w:t>
      </w:r>
    </w:p>
    <w:p w14:paraId="23B1104D" w14:textId="77777777" w:rsidR="008C76E0" w:rsidRPr="003B2786" w:rsidRDefault="008C76E0" w:rsidP="00B70A34">
      <w:pPr>
        <w:spacing w:after="160" w:line="360" w:lineRule="auto"/>
        <w:ind w:left="2694" w:right="-1"/>
        <w:rPr>
          <w:rFonts w:ascii="Sylfaen" w:hAnsi="Sylfaen"/>
          <w:sz w:val="24"/>
          <w:szCs w:val="24"/>
        </w:rPr>
      </w:pPr>
      <w:r w:rsidRPr="003B2786">
        <w:rPr>
          <w:rFonts w:ascii="Sylfaen" w:hAnsi="Sylfaen"/>
          <w:sz w:val="24"/>
          <w:szCs w:val="24"/>
        </w:rPr>
        <w:t>Հաշվետվության ամսաթիվը ___________</w:t>
      </w:r>
    </w:p>
    <w:p w14:paraId="5ACB2187" w14:textId="77777777" w:rsidR="008C76E0" w:rsidRPr="003B2786" w:rsidRDefault="008C76E0" w:rsidP="00B70A34">
      <w:pPr>
        <w:spacing w:after="160" w:line="360" w:lineRule="auto"/>
        <w:ind w:left="2694" w:right="-1"/>
        <w:rPr>
          <w:rFonts w:ascii="Sylfaen" w:hAnsi="Sylfaen"/>
          <w:sz w:val="24"/>
          <w:szCs w:val="24"/>
        </w:rPr>
      </w:pPr>
    </w:p>
    <w:p w14:paraId="3DD223CA" w14:textId="77777777" w:rsidR="009211E1" w:rsidRDefault="009211E1" w:rsidP="00B70A34">
      <w:pPr>
        <w:widowControl/>
        <w:spacing w:after="160" w:line="360" w:lineRule="auto"/>
        <w:rPr>
          <w:rFonts w:ascii="Sylfaen" w:eastAsia="Times New Roman" w:hAnsi="Sylfaen" w:cs="Times New Roman"/>
          <w:sz w:val="24"/>
          <w:szCs w:val="24"/>
        </w:rPr>
        <w:sectPr w:rsidR="009211E1" w:rsidSect="009211E1">
          <w:footerReference w:type="default" r:id="rId24"/>
          <w:footerReference w:type="first" r:id="rId25"/>
          <w:pgSz w:w="11906" w:h="16838" w:code="9"/>
          <w:pgMar w:top="1418" w:right="1418" w:bottom="1418" w:left="1418" w:header="709" w:footer="709" w:gutter="0"/>
          <w:pgNumType w:start="1"/>
          <w:cols w:space="708"/>
          <w:titlePg/>
          <w:docGrid w:linePitch="360"/>
        </w:sectPr>
      </w:pPr>
    </w:p>
    <w:tbl>
      <w:tblPr>
        <w:tblOverlap w:val="never"/>
        <w:tblW w:w="9788" w:type="dxa"/>
        <w:jc w:val="center"/>
        <w:tblLayout w:type="fixed"/>
        <w:tblCellMar>
          <w:left w:w="10" w:type="dxa"/>
          <w:right w:w="10" w:type="dxa"/>
        </w:tblCellMar>
        <w:tblLook w:val="04A0" w:firstRow="1" w:lastRow="0" w:firstColumn="1" w:lastColumn="0" w:noHBand="0" w:noVBand="1"/>
      </w:tblPr>
      <w:tblGrid>
        <w:gridCol w:w="688"/>
        <w:gridCol w:w="8526"/>
        <w:gridCol w:w="574"/>
      </w:tblGrid>
      <w:tr w:rsidR="008C76E0" w:rsidRPr="003B2786" w14:paraId="12C5057A" w14:textId="77777777" w:rsidTr="008C76E0">
        <w:trPr>
          <w:trHeight w:val="420"/>
          <w:jc w:val="center"/>
        </w:trPr>
        <w:tc>
          <w:tcPr>
            <w:tcW w:w="9214" w:type="dxa"/>
            <w:gridSpan w:val="2"/>
            <w:shd w:val="clear" w:color="auto" w:fill="FFFFFF"/>
          </w:tcPr>
          <w:p w14:paraId="41B3DDDD" w14:textId="77777777" w:rsidR="008C76E0" w:rsidRPr="00FA2E29"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FA2E29">
              <w:rPr>
                <w:rStyle w:val="Bodytext295pt"/>
                <w:rFonts w:ascii="Sylfaen" w:hAnsi="Sylfaen"/>
                <w:sz w:val="24"/>
                <w:szCs w:val="24"/>
              </w:rPr>
              <w:lastRenderedPageBreak/>
              <w:t>ԲՈՎԱՆԴԱԿՈՒԹՅՈՒՆ</w:t>
            </w:r>
          </w:p>
        </w:tc>
        <w:tc>
          <w:tcPr>
            <w:tcW w:w="574" w:type="dxa"/>
            <w:shd w:val="clear" w:color="auto" w:fill="FFFFFF"/>
          </w:tcPr>
          <w:p w14:paraId="2C534D30" w14:textId="77777777" w:rsidR="008C76E0" w:rsidRPr="003B2786" w:rsidRDefault="008C76E0" w:rsidP="008C76E0">
            <w:pPr>
              <w:spacing w:after="120" w:line="240" w:lineRule="auto"/>
              <w:ind w:right="-19"/>
              <w:jc w:val="center"/>
              <w:rPr>
                <w:rFonts w:ascii="Sylfaen" w:hAnsi="Sylfaen"/>
                <w:b/>
                <w:sz w:val="24"/>
                <w:szCs w:val="24"/>
                <w:highlight w:val="yellow"/>
              </w:rPr>
            </w:pPr>
          </w:p>
        </w:tc>
      </w:tr>
      <w:tr w:rsidR="008C76E0" w:rsidRPr="003B2786" w14:paraId="7652D390" w14:textId="77777777" w:rsidTr="008C76E0">
        <w:trPr>
          <w:trHeight w:val="753"/>
          <w:jc w:val="center"/>
        </w:trPr>
        <w:tc>
          <w:tcPr>
            <w:tcW w:w="688" w:type="dxa"/>
            <w:shd w:val="clear" w:color="auto" w:fill="FFFFFF"/>
            <w:vAlign w:val="bottom"/>
          </w:tcPr>
          <w:p w14:paraId="2B6FE766"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w:t>
            </w:r>
          </w:p>
        </w:tc>
        <w:tc>
          <w:tcPr>
            <w:tcW w:w="8526" w:type="dxa"/>
            <w:shd w:val="clear" w:color="auto" w:fill="FFFFFF"/>
            <w:vAlign w:val="bottom"/>
          </w:tcPr>
          <w:p w14:paraId="7F0CF1DE"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Հանձնարարական</w:t>
            </w:r>
          </w:p>
        </w:tc>
        <w:tc>
          <w:tcPr>
            <w:tcW w:w="574" w:type="dxa"/>
            <w:shd w:val="clear" w:color="auto" w:fill="FFFFFF"/>
            <w:vAlign w:val="bottom"/>
          </w:tcPr>
          <w:p w14:paraId="2EA7CC3C" w14:textId="77777777" w:rsidR="008C76E0" w:rsidRPr="00FA2E29" w:rsidRDefault="009211E1" w:rsidP="008C76E0">
            <w:pPr>
              <w:pStyle w:val="Bodytext180"/>
              <w:shd w:val="clear" w:color="auto" w:fill="auto"/>
              <w:spacing w:before="0" w:after="120" w:line="240" w:lineRule="auto"/>
              <w:ind w:right="-19" w:firstLine="0"/>
              <w:jc w:val="center"/>
              <w:rPr>
                <w:rFonts w:ascii="Sylfaen" w:hAnsi="Sylfaen"/>
                <w:b w:val="0"/>
                <w:sz w:val="24"/>
                <w:szCs w:val="24"/>
              </w:rPr>
            </w:pPr>
            <w:r w:rsidRPr="00FA2E29">
              <w:rPr>
                <w:rStyle w:val="Bodytext295pt"/>
                <w:rFonts w:ascii="Sylfaen" w:hAnsi="Sylfaen"/>
                <w:sz w:val="24"/>
                <w:szCs w:val="24"/>
                <w:lang w:val="en-US"/>
              </w:rPr>
              <w:t>4</w:t>
            </w:r>
          </w:p>
        </w:tc>
      </w:tr>
      <w:tr w:rsidR="008C76E0" w:rsidRPr="003B2786" w14:paraId="6F988D9F" w14:textId="77777777" w:rsidTr="008C76E0">
        <w:trPr>
          <w:trHeight w:val="567"/>
          <w:jc w:val="center"/>
        </w:trPr>
        <w:tc>
          <w:tcPr>
            <w:tcW w:w="688" w:type="dxa"/>
            <w:shd w:val="clear" w:color="auto" w:fill="FFFFFF"/>
            <w:vAlign w:val="bottom"/>
          </w:tcPr>
          <w:p w14:paraId="628B3D3D"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w:t>
            </w:r>
          </w:p>
        </w:tc>
        <w:tc>
          <w:tcPr>
            <w:tcW w:w="8526" w:type="dxa"/>
            <w:shd w:val="clear" w:color="auto" w:fill="FFFFFF"/>
            <w:vAlign w:val="bottom"/>
          </w:tcPr>
          <w:p w14:paraId="12B925CE"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Բացատրագիր</w:t>
            </w:r>
          </w:p>
        </w:tc>
        <w:tc>
          <w:tcPr>
            <w:tcW w:w="574" w:type="dxa"/>
            <w:shd w:val="clear" w:color="auto" w:fill="FFFFFF"/>
            <w:vAlign w:val="bottom"/>
          </w:tcPr>
          <w:p w14:paraId="63EBFEBD" w14:textId="77777777" w:rsidR="008C76E0" w:rsidRPr="00FA2E29" w:rsidRDefault="009211E1" w:rsidP="009211E1">
            <w:pPr>
              <w:pStyle w:val="Bodytext180"/>
              <w:shd w:val="clear" w:color="auto" w:fill="auto"/>
              <w:spacing w:before="0" w:after="120" w:line="240" w:lineRule="auto"/>
              <w:ind w:right="-19" w:firstLine="0"/>
              <w:jc w:val="center"/>
              <w:rPr>
                <w:rFonts w:ascii="Sylfaen" w:hAnsi="Sylfaen"/>
                <w:b w:val="0"/>
                <w:sz w:val="24"/>
                <w:szCs w:val="24"/>
              </w:rPr>
            </w:pPr>
            <w:r w:rsidRPr="00FA2E29">
              <w:rPr>
                <w:rStyle w:val="Bodytext295pt"/>
                <w:rFonts w:ascii="Sylfaen" w:hAnsi="Sylfaen"/>
                <w:sz w:val="24"/>
                <w:szCs w:val="24"/>
                <w:lang w:val="en-US"/>
              </w:rPr>
              <w:t>4</w:t>
            </w:r>
          </w:p>
        </w:tc>
      </w:tr>
      <w:tr w:rsidR="008C76E0" w:rsidRPr="003B2786" w14:paraId="014BD4C7" w14:textId="77777777" w:rsidTr="008C76E0">
        <w:trPr>
          <w:trHeight w:val="553"/>
          <w:jc w:val="center"/>
        </w:trPr>
        <w:tc>
          <w:tcPr>
            <w:tcW w:w="688" w:type="dxa"/>
            <w:shd w:val="clear" w:color="auto" w:fill="FFFFFF"/>
          </w:tcPr>
          <w:p w14:paraId="4A7DFB5B"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 1.</w:t>
            </w:r>
          </w:p>
        </w:tc>
        <w:tc>
          <w:tcPr>
            <w:tcW w:w="8526" w:type="dxa"/>
            <w:shd w:val="clear" w:color="auto" w:fill="FFFFFF"/>
          </w:tcPr>
          <w:p w14:paraId="5E20AFCB"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Խնդիրների առաջադրում</w:t>
            </w:r>
          </w:p>
        </w:tc>
        <w:tc>
          <w:tcPr>
            <w:tcW w:w="574" w:type="dxa"/>
            <w:shd w:val="clear" w:color="auto" w:fill="FFFFFF"/>
          </w:tcPr>
          <w:p w14:paraId="2704E181" w14:textId="77777777" w:rsidR="008C76E0" w:rsidRPr="00FA2E29" w:rsidRDefault="009211E1" w:rsidP="008C76E0">
            <w:pPr>
              <w:pStyle w:val="Bodytext180"/>
              <w:shd w:val="clear" w:color="auto" w:fill="auto"/>
              <w:spacing w:before="0" w:after="120" w:line="240" w:lineRule="auto"/>
              <w:ind w:right="-19" w:firstLine="0"/>
              <w:jc w:val="center"/>
              <w:rPr>
                <w:rFonts w:ascii="Sylfaen" w:hAnsi="Sylfaen"/>
                <w:b w:val="0"/>
                <w:sz w:val="24"/>
                <w:szCs w:val="24"/>
              </w:rPr>
            </w:pPr>
            <w:r w:rsidRPr="00FA2E29">
              <w:rPr>
                <w:rStyle w:val="Bodytext295pt"/>
                <w:rFonts w:ascii="Sylfaen" w:hAnsi="Sylfaen"/>
                <w:sz w:val="24"/>
                <w:szCs w:val="24"/>
                <w:lang w:val="en-US"/>
              </w:rPr>
              <w:t>4</w:t>
            </w:r>
          </w:p>
        </w:tc>
      </w:tr>
      <w:tr w:rsidR="008C76E0" w:rsidRPr="003B2786" w14:paraId="011B8608" w14:textId="77777777" w:rsidTr="008C76E0">
        <w:trPr>
          <w:trHeight w:val="567"/>
          <w:jc w:val="center"/>
        </w:trPr>
        <w:tc>
          <w:tcPr>
            <w:tcW w:w="688" w:type="dxa"/>
            <w:shd w:val="clear" w:color="auto" w:fill="FFFFFF"/>
          </w:tcPr>
          <w:p w14:paraId="552E91A3"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II.2.</w:t>
            </w:r>
          </w:p>
        </w:tc>
        <w:tc>
          <w:tcPr>
            <w:tcW w:w="8526" w:type="dxa"/>
            <w:shd w:val="clear" w:color="auto" w:fill="FFFFFF"/>
          </w:tcPr>
          <w:p w14:paraId="7695EEA8"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Պատրաստուկի մասին</w:t>
            </w:r>
          </w:p>
        </w:tc>
        <w:tc>
          <w:tcPr>
            <w:tcW w:w="574" w:type="dxa"/>
            <w:shd w:val="clear" w:color="auto" w:fill="FFFFFF"/>
          </w:tcPr>
          <w:p w14:paraId="70F1A388" w14:textId="77777777" w:rsidR="008C76E0" w:rsidRPr="00FA2E29" w:rsidRDefault="009211E1" w:rsidP="008C76E0">
            <w:pPr>
              <w:pStyle w:val="Bodytext180"/>
              <w:shd w:val="clear" w:color="auto" w:fill="auto"/>
              <w:spacing w:before="0" w:after="120" w:line="240" w:lineRule="auto"/>
              <w:ind w:right="-19" w:firstLine="0"/>
              <w:jc w:val="center"/>
              <w:rPr>
                <w:rFonts w:ascii="Sylfaen" w:hAnsi="Sylfaen"/>
                <w:b w:val="0"/>
                <w:sz w:val="24"/>
                <w:szCs w:val="24"/>
              </w:rPr>
            </w:pPr>
            <w:r w:rsidRPr="00FA2E29">
              <w:rPr>
                <w:rStyle w:val="Bodytext295pt"/>
                <w:rFonts w:ascii="Sylfaen" w:hAnsi="Sylfaen"/>
                <w:sz w:val="24"/>
                <w:szCs w:val="24"/>
                <w:lang w:val="en-US"/>
              </w:rPr>
              <w:t>4</w:t>
            </w:r>
          </w:p>
        </w:tc>
      </w:tr>
      <w:tr w:rsidR="008C76E0" w:rsidRPr="003B2786" w14:paraId="3CF792E6" w14:textId="77777777" w:rsidTr="008C76E0">
        <w:trPr>
          <w:trHeight w:val="529"/>
          <w:jc w:val="center"/>
        </w:trPr>
        <w:tc>
          <w:tcPr>
            <w:tcW w:w="688" w:type="dxa"/>
            <w:shd w:val="clear" w:color="auto" w:fill="FFFFFF"/>
          </w:tcPr>
          <w:p w14:paraId="17F18A7F"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II.З.</w:t>
            </w:r>
          </w:p>
        </w:tc>
        <w:tc>
          <w:tcPr>
            <w:tcW w:w="8526" w:type="dxa"/>
            <w:shd w:val="clear" w:color="auto" w:fill="FFFFFF"/>
          </w:tcPr>
          <w:p w14:paraId="285AD659"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Ներկայացված դոսյեի վերաբերյալ ընդհանուր դիտողություններ</w:t>
            </w:r>
          </w:p>
        </w:tc>
        <w:tc>
          <w:tcPr>
            <w:tcW w:w="574" w:type="dxa"/>
            <w:shd w:val="clear" w:color="auto" w:fill="FFFFFF"/>
          </w:tcPr>
          <w:p w14:paraId="3FDDD9C1" w14:textId="77777777" w:rsidR="008C76E0" w:rsidRPr="00FA2E29" w:rsidRDefault="009211E1" w:rsidP="008C76E0">
            <w:pPr>
              <w:pStyle w:val="Bodytext180"/>
              <w:shd w:val="clear" w:color="auto" w:fill="auto"/>
              <w:spacing w:before="0" w:after="120" w:line="240" w:lineRule="auto"/>
              <w:ind w:right="-19" w:firstLine="0"/>
              <w:jc w:val="center"/>
              <w:rPr>
                <w:rFonts w:ascii="Sylfaen" w:hAnsi="Sylfaen"/>
                <w:b w:val="0"/>
                <w:sz w:val="24"/>
                <w:szCs w:val="24"/>
              </w:rPr>
            </w:pPr>
            <w:r w:rsidRPr="00FA2E29">
              <w:rPr>
                <w:rStyle w:val="Bodytext295pt"/>
                <w:rFonts w:ascii="Sylfaen" w:hAnsi="Sylfaen"/>
                <w:sz w:val="24"/>
                <w:szCs w:val="24"/>
                <w:lang w:val="en-US"/>
              </w:rPr>
              <w:t>4</w:t>
            </w:r>
          </w:p>
        </w:tc>
      </w:tr>
      <w:tr w:rsidR="008C76E0" w:rsidRPr="003B2786" w14:paraId="34216F23" w14:textId="77777777" w:rsidTr="008C76E0">
        <w:trPr>
          <w:trHeight w:val="1836"/>
          <w:jc w:val="center"/>
        </w:trPr>
        <w:tc>
          <w:tcPr>
            <w:tcW w:w="688" w:type="dxa"/>
            <w:shd w:val="clear" w:color="auto" w:fill="FFFFFF"/>
          </w:tcPr>
          <w:p w14:paraId="00CB522F"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II.4.</w:t>
            </w:r>
          </w:p>
        </w:tc>
        <w:tc>
          <w:tcPr>
            <w:tcW w:w="8526" w:type="dxa"/>
            <w:shd w:val="clear" w:color="auto" w:fill="FFFFFF"/>
          </w:tcPr>
          <w:p w14:paraId="131C7346"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 xml:space="preserve">Պատշաճ արտադրական գործունեության (GMP), պատշաճ լաբորատոր գործունեության (GLP), պատշաճ կլինիկական գործունեության (GCP) պահանջների կատարման </w:t>
            </w:r>
            <w:r w:rsidR="00C54D75">
              <w:rPr>
                <w:rStyle w:val="Bodytext295pt"/>
                <w:rFonts w:ascii="Sylfaen" w:hAnsi="Sylfaen"/>
                <w:sz w:val="24"/>
                <w:szCs w:val="24"/>
              </w:rPr>
              <w:t>և</w:t>
            </w:r>
            <w:r w:rsidRPr="00FA2E29">
              <w:rPr>
                <w:rStyle w:val="Bodytext295pt"/>
                <w:rFonts w:ascii="Sylfaen" w:hAnsi="Sylfaen"/>
                <w:sz w:val="24"/>
                <w:szCs w:val="24"/>
              </w:rPr>
              <w:t xml:space="preserve"> էթիկայի համաձայնեցված սկզբունքների պահպանման վերաբերյալ ընդհանուր դիտողություններ</w:t>
            </w:r>
          </w:p>
        </w:tc>
        <w:tc>
          <w:tcPr>
            <w:tcW w:w="574" w:type="dxa"/>
            <w:shd w:val="clear" w:color="auto" w:fill="FFFFFF"/>
          </w:tcPr>
          <w:p w14:paraId="457EFFA0" w14:textId="77777777" w:rsidR="008C76E0" w:rsidRPr="00FA2E29" w:rsidRDefault="009211E1" w:rsidP="008C76E0">
            <w:pPr>
              <w:spacing w:after="120" w:line="240" w:lineRule="auto"/>
              <w:ind w:right="-19"/>
              <w:jc w:val="center"/>
              <w:rPr>
                <w:rFonts w:ascii="Sylfaen" w:hAnsi="Sylfaen"/>
                <w:sz w:val="24"/>
                <w:szCs w:val="24"/>
                <w:lang w:val="en-US"/>
              </w:rPr>
            </w:pPr>
            <w:r w:rsidRPr="00FA2E29">
              <w:rPr>
                <w:rFonts w:ascii="Sylfaen" w:hAnsi="Sylfaen"/>
                <w:sz w:val="24"/>
                <w:szCs w:val="24"/>
                <w:lang w:val="en-US"/>
              </w:rPr>
              <w:t>5</w:t>
            </w:r>
          </w:p>
        </w:tc>
      </w:tr>
      <w:tr w:rsidR="008C76E0" w:rsidRPr="003B2786" w14:paraId="35E22463" w14:textId="77777777" w:rsidTr="008C76E0">
        <w:trPr>
          <w:trHeight w:val="567"/>
          <w:jc w:val="center"/>
        </w:trPr>
        <w:tc>
          <w:tcPr>
            <w:tcW w:w="688" w:type="dxa"/>
            <w:shd w:val="clear" w:color="auto" w:fill="FFFFFF"/>
          </w:tcPr>
          <w:p w14:paraId="01B150F5"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III.</w:t>
            </w:r>
          </w:p>
        </w:tc>
        <w:tc>
          <w:tcPr>
            <w:tcW w:w="8526" w:type="dxa"/>
            <w:shd w:val="clear" w:color="auto" w:fill="FFFFFF"/>
          </w:tcPr>
          <w:p w14:paraId="0A7B862C"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 xml:space="preserve">Գիտական ակնարկ </w:t>
            </w:r>
            <w:r w:rsidR="00C54D75">
              <w:rPr>
                <w:rStyle w:val="Bodytext295pt"/>
                <w:rFonts w:ascii="Sylfaen" w:hAnsi="Sylfaen"/>
                <w:sz w:val="24"/>
                <w:szCs w:val="24"/>
              </w:rPr>
              <w:t>և</w:t>
            </w:r>
            <w:r w:rsidRPr="00FA2E29">
              <w:rPr>
                <w:rStyle w:val="Bodytext295pt"/>
                <w:rFonts w:ascii="Sylfaen" w:hAnsi="Sylfaen"/>
                <w:sz w:val="24"/>
                <w:szCs w:val="24"/>
              </w:rPr>
              <w:t xml:space="preserve"> քննարկում</w:t>
            </w:r>
          </w:p>
        </w:tc>
        <w:tc>
          <w:tcPr>
            <w:tcW w:w="574" w:type="dxa"/>
            <w:shd w:val="clear" w:color="auto" w:fill="FFFFFF"/>
            <w:vAlign w:val="bottom"/>
          </w:tcPr>
          <w:p w14:paraId="3FD6FE2F" w14:textId="77777777" w:rsidR="008C76E0" w:rsidRPr="00FA2E29" w:rsidRDefault="009211E1" w:rsidP="008C76E0">
            <w:pPr>
              <w:pStyle w:val="Bodytext180"/>
              <w:shd w:val="clear" w:color="auto" w:fill="auto"/>
              <w:spacing w:before="0" w:after="120" w:line="240" w:lineRule="auto"/>
              <w:ind w:right="-19" w:firstLine="0"/>
              <w:jc w:val="center"/>
              <w:rPr>
                <w:rFonts w:ascii="Sylfaen" w:hAnsi="Sylfaen"/>
                <w:b w:val="0"/>
                <w:sz w:val="24"/>
                <w:szCs w:val="24"/>
              </w:rPr>
            </w:pPr>
            <w:r w:rsidRPr="00FA2E29">
              <w:rPr>
                <w:rFonts w:ascii="Sylfaen" w:hAnsi="Sylfaen"/>
                <w:b w:val="0"/>
                <w:sz w:val="24"/>
                <w:szCs w:val="24"/>
              </w:rPr>
              <w:t>6</w:t>
            </w:r>
          </w:p>
        </w:tc>
      </w:tr>
      <w:tr w:rsidR="008C76E0" w:rsidRPr="003B2786" w14:paraId="4CC393A3" w14:textId="77777777" w:rsidTr="008C76E0">
        <w:trPr>
          <w:trHeight w:val="567"/>
          <w:jc w:val="center"/>
        </w:trPr>
        <w:tc>
          <w:tcPr>
            <w:tcW w:w="688" w:type="dxa"/>
            <w:shd w:val="clear" w:color="auto" w:fill="FFFFFF"/>
          </w:tcPr>
          <w:p w14:paraId="3F9AB3EB"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III.1.</w:t>
            </w:r>
          </w:p>
        </w:tc>
        <w:tc>
          <w:tcPr>
            <w:tcW w:w="8526" w:type="dxa"/>
            <w:shd w:val="clear" w:color="auto" w:fill="FFFFFF"/>
          </w:tcPr>
          <w:p w14:paraId="2CF522ED" w14:textId="77777777" w:rsidR="008C76E0" w:rsidRPr="00FA2E29"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FA2E29">
              <w:rPr>
                <w:rStyle w:val="Bodytext295pt"/>
                <w:rFonts w:ascii="Sylfaen" w:hAnsi="Sylfaen"/>
                <w:sz w:val="24"/>
                <w:szCs w:val="24"/>
              </w:rPr>
              <w:t>Որակի ասպեկտները</w:t>
            </w:r>
          </w:p>
        </w:tc>
        <w:tc>
          <w:tcPr>
            <w:tcW w:w="574" w:type="dxa"/>
            <w:shd w:val="clear" w:color="auto" w:fill="FFFFFF"/>
          </w:tcPr>
          <w:p w14:paraId="5349AECB" w14:textId="77777777" w:rsidR="008C76E0" w:rsidRPr="00FA2E29" w:rsidRDefault="009211E1"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Fonts w:ascii="Sylfaen" w:hAnsi="Sylfaen"/>
                <w:b w:val="0"/>
                <w:sz w:val="24"/>
                <w:szCs w:val="24"/>
              </w:rPr>
              <w:t>7</w:t>
            </w:r>
          </w:p>
        </w:tc>
      </w:tr>
      <w:tr w:rsidR="008C76E0" w:rsidRPr="003B2786" w14:paraId="10139B9C" w14:textId="77777777" w:rsidTr="008C76E0">
        <w:trPr>
          <w:trHeight w:val="567"/>
          <w:jc w:val="center"/>
        </w:trPr>
        <w:tc>
          <w:tcPr>
            <w:tcW w:w="688" w:type="dxa"/>
            <w:shd w:val="clear" w:color="auto" w:fill="FFFFFF"/>
          </w:tcPr>
          <w:p w14:paraId="0603B1A7"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III.2.</w:t>
            </w:r>
          </w:p>
        </w:tc>
        <w:tc>
          <w:tcPr>
            <w:tcW w:w="8526" w:type="dxa"/>
            <w:shd w:val="clear" w:color="auto" w:fill="FFFFFF"/>
          </w:tcPr>
          <w:p w14:paraId="56C31A8D"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Նախակլինիկական ասպեկտները</w:t>
            </w:r>
          </w:p>
        </w:tc>
        <w:tc>
          <w:tcPr>
            <w:tcW w:w="574" w:type="dxa"/>
            <w:shd w:val="clear" w:color="auto" w:fill="FFFFFF"/>
            <w:vAlign w:val="bottom"/>
          </w:tcPr>
          <w:p w14:paraId="15DE669F" w14:textId="77777777" w:rsidR="008C76E0" w:rsidRPr="00FA2E29" w:rsidRDefault="009211E1"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Fonts w:ascii="Sylfaen" w:hAnsi="Sylfaen"/>
                <w:b w:val="0"/>
                <w:sz w:val="24"/>
                <w:szCs w:val="24"/>
              </w:rPr>
              <w:t>9</w:t>
            </w:r>
          </w:p>
        </w:tc>
      </w:tr>
      <w:tr w:rsidR="008C76E0" w:rsidRPr="003B2786" w14:paraId="52E432DD" w14:textId="77777777" w:rsidTr="008C76E0">
        <w:trPr>
          <w:trHeight w:val="553"/>
          <w:jc w:val="center"/>
        </w:trPr>
        <w:tc>
          <w:tcPr>
            <w:tcW w:w="688" w:type="dxa"/>
            <w:shd w:val="clear" w:color="auto" w:fill="FFFFFF"/>
          </w:tcPr>
          <w:p w14:paraId="5B456BD7"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Ш.З.</w:t>
            </w:r>
          </w:p>
        </w:tc>
        <w:tc>
          <w:tcPr>
            <w:tcW w:w="8526" w:type="dxa"/>
            <w:shd w:val="clear" w:color="auto" w:fill="FFFFFF"/>
          </w:tcPr>
          <w:p w14:paraId="1146EB7A"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Կլինիկական ասպեկտները</w:t>
            </w:r>
          </w:p>
        </w:tc>
        <w:tc>
          <w:tcPr>
            <w:tcW w:w="574" w:type="dxa"/>
            <w:shd w:val="clear" w:color="auto" w:fill="FFFFFF"/>
            <w:vAlign w:val="bottom"/>
          </w:tcPr>
          <w:p w14:paraId="68C46F06" w14:textId="77777777" w:rsidR="008C76E0" w:rsidRPr="00FA2E29" w:rsidRDefault="009211E1"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Fonts w:ascii="Sylfaen" w:hAnsi="Sylfaen"/>
                <w:b w:val="0"/>
                <w:sz w:val="24"/>
                <w:szCs w:val="24"/>
              </w:rPr>
              <w:t>9</w:t>
            </w:r>
          </w:p>
        </w:tc>
      </w:tr>
      <w:tr w:rsidR="008C76E0" w:rsidRPr="003B2786" w14:paraId="6C54649A" w14:textId="77777777" w:rsidTr="008C76E0">
        <w:trPr>
          <w:trHeight w:val="567"/>
          <w:jc w:val="center"/>
        </w:trPr>
        <w:tc>
          <w:tcPr>
            <w:tcW w:w="688" w:type="dxa"/>
            <w:shd w:val="clear" w:color="auto" w:fill="FFFFFF"/>
          </w:tcPr>
          <w:p w14:paraId="17802187"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IV.</w:t>
            </w:r>
          </w:p>
        </w:tc>
        <w:tc>
          <w:tcPr>
            <w:tcW w:w="8526" w:type="dxa"/>
            <w:shd w:val="clear" w:color="auto" w:fill="FFFFFF"/>
          </w:tcPr>
          <w:p w14:paraId="2992F855"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 xml:space="preserve">Օգուտ </w:t>
            </w:r>
            <w:r w:rsidR="00C54D75">
              <w:rPr>
                <w:rStyle w:val="Bodytext295pt"/>
                <w:rFonts w:ascii="Sylfaen" w:hAnsi="Sylfaen"/>
                <w:sz w:val="24"/>
                <w:szCs w:val="24"/>
              </w:rPr>
              <w:t>և</w:t>
            </w:r>
            <w:r w:rsidRPr="00FA2E29">
              <w:rPr>
                <w:rStyle w:val="Bodytext295pt"/>
                <w:rFonts w:ascii="Sylfaen" w:hAnsi="Sylfaen"/>
                <w:sz w:val="24"/>
                <w:szCs w:val="24"/>
              </w:rPr>
              <w:t xml:space="preserve"> ռիսկ հարաբերակցության գնահատումը</w:t>
            </w:r>
          </w:p>
        </w:tc>
        <w:tc>
          <w:tcPr>
            <w:tcW w:w="574" w:type="dxa"/>
            <w:shd w:val="clear" w:color="auto" w:fill="FFFFFF"/>
            <w:vAlign w:val="bottom"/>
          </w:tcPr>
          <w:p w14:paraId="064DA8E1" w14:textId="77777777" w:rsidR="008C76E0" w:rsidRPr="00FA2E29" w:rsidRDefault="009211E1"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Fonts w:ascii="Sylfaen" w:hAnsi="Sylfaen"/>
                <w:b w:val="0"/>
                <w:sz w:val="24"/>
                <w:szCs w:val="24"/>
              </w:rPr>
              <w:t>11</w:t>
            </w:r>
          </w:p>
        </w:tc>
      </w:tr>
      <w:tr w:rsidR="008C76E0" w:rsidRPr="003B2786" w14:paraId="17C6BC69" w14:textId="77777777" w:rsidTr="008C76E0">
        <w:trPr>
          <w:trHeight w:val="985"/>
          <w:jc w:val="center"/>
        </w:trPr>
        <w:tc>
          <w:tcPr>
            <w:tcW w:w="688" w:type="dxa"/>
            <w:shd w:val="clear" w:color="auto" w:fill="FFFFFF"/>
          </w:tcPr>
          <w:p w14:paraId="7CA44FDE"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w:t>
            </w:r>
          </w:p>
        </w:tc>
        <w:tc>
          <w:tcPr>
            <w:tcW w:w="8526" w:type="dxa"/>
            <w:shd w:val="clear" w:color="auto" w:fill="FFFFFF"/>
          </w:tcPr>
          <w:p w14:paraId="4698F574"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 xml:space="preserve">Գրանցման հավաստագրի տրամադրման առաջարկվող պայմանները </w:t>
            </w:r>
            <w:r w:rsidR="00C54D75">
              <w:rPr>
                <w:rStyle w:val="Bodytext295pt"/>
                <w:rFonts w:ascii="Sylfaen" w:hAnsi="Sylfaen"/>
                <w:sz w:val="24"/>
                <w:szCs w:val="24"/>
              </w:rPr>
              <w:t>և</w:t>
            </w:r>
            <w:r w:rsidRPr="00FA2E29">
              <w:rPr>
                <w:rStyle w:val="Bodytext295pt"/>
                <w:rFonts w:ascii="Sylfaen" w:hAnsi="Sylfaen"/>
                <w:sz w:val="24"/>
                <w:szCs w:val="24"/>
              </w:rPr>
              <w:t xml:space="preserve"> պատրաստուկի վերաբերյալ տեղեկատվությունը</w:t>
            </w:r>
          </w:p>
        </w:tc>
        <w:tc>
          <w:tcPr>
            <w:tcW w:w="574" w:type="dxa"/>
            <w:shd w:val="clear" w:color="auto" w:fill="FFFFFF"/>
            <w:vAlign w:val="center"/>
          </w:tcPr>
          <w:p w14:paraId="750D3C14" w14:textId="77777777" w:rsidR="008C76E0" w:rsidRPr="00FA2E29" w:rsidRDefault="008C76E0"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Style w:val="Bodytext295pt"/>
                <w:rFonts w:ascii="Sylfaen" w:hAnsi="Sylfaen"/>
                <w:sz w:val="24"/>
                <w:szCs w:val="24"/>
                <w:lang w:val="en-US"/>
              </w:rPr>
              <w:t>13</w:t>
            </w:r>
          </w:p>
        </w:tc>
      </w:tr>
      <w:tr w:rsidR="008C76E0" w:rsidRPr="003B2786" w14:paraId="42CD3AE7" w14:textId="77777777" w:rsidTr="008C76E0">
        <w:trPr>
          <w:trHeight w:val="567"/>
          <w:jc w:val="center"/>
        </w:trPr>
        <w:tc>
          <w:tcPr>
            <w:tcW w:w="688" w:type="dxa"/>
            <w:shd w:val="clear" w:color="auto" w:fill="FFFFFF"/>
          </w:tcPr>
          <w:p w14:paraId="3E36C669"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V.1.</w:t>
            </w:r>
          </w:p>
        </w:tc>
        <w:tc>
          <w:tcPr>
            <w:tcW w:w="8526" w:type="dxa"/>
            <w:shd w:val="clear" w:color="auto" w:fill="FFFFFF"/>
          </w:tcPr>
          <w:p w14:paraId="566681CF"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Գրանցման հավաստագրի տրամադրման պայմանները</w:t>
            </w:r>
          </w:p>
        </w:tc>
        <w:tc>
          <w:tcPr>
            <w:tcW w:w="574" w:type="dxa"/>
            <w:shd w:val="clear" w:color="auto" w:fill="FFFFFF"/>
            <w:vAlign w:val="bottom"/>
          </w:tcPr>
          <w:p w14:paraId="358ECFF8" w14:textId="77777777" w:rsidR="008C76E0" w:rsidRPr="00FA2E29" w:rsidRDefault="008C76E0"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Style w:val="Bodytext295pt"/>
                <w:rFonts w:ascii="Sylfaen" w:hAnsi="Sylfaen"/>
                <w:sz w:val="24"/>
                <w:szCs w:val="24"/>
                <w:lang w:val="en-US"/>
              </w:rPr>
              <w:t>13</w:t>
            </w:r>
          </w:p>
        </w:tc>
      </w:tr>
      <w:tr w:rsidR="008C76E0" w:rsidRPr="003B2786" w14:paraId="57A4E760" w14:textId="77777777" w:rsidTr="008C76E0">
        <w:trPr>
          <w:trHeight w:val="567"/>
          <w:jc w:val="center"/>
        </w:trPr>
        <w:tc>
          <w:tcPr>
            <w:tcW w:w="688" w:type="dxa"/>
            <w:shd w:val="clear" w:color="auto" w:fill="FFFFFF"/>
          </w:tcPr>
          <w:p w14:paraId="565999A4"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V.2.</w:t>
            </w:r>
          </w:p>
        </w:tc>
        <w:tc>
          <w:tcPr>
            <w:tcW w:w="8526" w:type="dxa"/>
            <w:shd w:val="clear" w:color="auto" w:fill="FFFFFF"/>
          </w:tcPr>
          <w:p w14:paraId="46680DBB"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Դեղապատրաստուկի ընդհանուր բնութագիրը</w:t>
            </w:r>
          </w:p>
        </w:tc>
        <w:tc>
          <w:tcPr>
            <w:tcW w:w="574" w:type="dxa"/>
            <w:shd w:val="clear" w:color="auto" w:fill="FFFFFF"/>
            <w:vAlign w:val="bottom"/>
          </w:tcPr>
          <w:p w14:paraId="20E3A104" w14:textId="77777777" w:rsidR="008C76E0" w:rsidRPr="00FA2E29" w:rsidRDefault="008C76E0"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Style w:val="Bodytext295pt"/>
                <w:rFonts w:ascii="Sylfaen" w:hAnsi="Sylfaen"/>
                <w:sz w:val="24"/>
                <w:szCs w:val="24"/>
                <w:lang w:val="en-US"/>
              </w:rPr>
              <w:t>14</w:t>
            </w:r>
          </w:p>
        </w:tc>
      </w:tr>
      <w:tr w:rsidR="008C76E0" w:rsidRPr="003B2786" w14:paraId="2CCC4BC3" w14:textId="77777777" w:rsidTr="008C76E0">
        <w:trPr>
          <w:trHeight w:val="567"/>
          <w:jc w:val="center"/>
        </w:trPr>
        <w:tc>
          <w:tcPr>
            <w:tcW w:w="688" w:type="dxa"/>
            <w:shd w:val="clear" w:color="auto" w:fill="FFFFFF"/>
          </w:tcPr>
          <w:p w14:paraId="6C4D2E4E"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V.3.</w:t>
            </w:r>
          </w:p>
        </w:tc>
        <w:tc>
          <w:tcPr>
            <w:tcW w:w="8526" w:type="dxa"/>
            <w:shd w:val="clear" w:color="auto" w:fill="FFFFFF"/>
          </w:tcPr>
          <w:p w14:paraId="67F65DC5"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 xml:space="preserve">Ներդիր թերթիկը </w:t>
            </w:r>
            <w:r w:rsidR="00C54D75">
              <w:rPr>
                <w:rStyle w:val="Bodytext295pt"/>
                <w:rFonts w:ascii="Sylfaen" w:hAnsi="Sylfaen"/>
                <w:sz w:val="24"/>
                <w:szCs w:val="24"/>
              </w:rPr>
              <w:t>և</w:t>
            </w:r>
            <w:r w:rsidRPr="00FA2E29">
              <w:rPr>
                <w:rStyle w:val="Bodytext295pt"/>
                <w:rFonts w:ascii="Sylfaen" w:hAnsi="Sylfaen"/>
                <w:sz w:val="24"/>
                <w:szCs w:val="24"/>
              </w:rPr>
              <w:t xml:space="preserve"> օգտատերերի թեստավորումը</w:t>
            </w:r>
          </w:p>
        </w:tc>
        <w:tc>
          <w:tcPr>
            <w:tcW w:w="574" w:type="dxa"/>
            <w:shd w:val="clear" w:color="auto" w:fill="FFFFFF"/>
            <w:vAlign w:val="bottom"/>
          </w:tcPr>
          <w:p w14:paraId="71783D15" w14:textId="77777777" w:rsidR="008C76E0" w:rsidRPr="00FA2E29" w:rsidRDefault="008C76E0"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Style w:val="Bodytext295pt"/>
                <w:rFonts w:ascii="Sylfaen" w:hAnsi="Sylfaen"/>
                <w:sz w:val="24"/>
                <w:szCs w:val="24"/>
                <w:lang w:val="en-US"/>
              </w:rPr>
              <w:t>14</w:t>
            </w:r>
          </w:p>
        </w:tc>
      </w:tr>
      <w:tr w:rsidR="008C76E0" w:rsidRPr="003B2786" w14:paraId="1ACE7FDF" w14:textId="77777777" w:rsidTr="008C76E0">
        <w:trPr>
          <w:trHeight w:val="567"/>
          <w:jc w:val="center"/>
        </w:trPr>
        <w:tc>
          <w:tcPr>
            <w:tcW w:w="688" w:type="dxa"/>
            <w:shd w:val="clear" w:color="auto" w:fill="FFFFFF"/>
          </w:tcPr>
          <w:p w14:paraId="34833881"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V.4.</w:t>
            </w:r>
          </w:p>
        </w:tc>
        <w:tc>
          <w:tcPr>
            <w:tcW w:w="8526" w:type="dxa"/>
            <w:shd w:val="clear" w:color="auto" w:fill="FFFFFF"/>
          </w:tcPr>
          <w:p w14:paraId="291B7D57" w14:textId="77777777" w:rsidR="008C76E0" w:rsidRPr="00FA2E29" w:rsidRDefault="008C76E0"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Մակնշումը</w:t>
            </w:r>
          </w:p>
        </w:tc>
        <w:tc>
          <w:tcPr>
            <w:tcW w:w="574" w:type="dxa"/>
            <w:shd w:val="clear" w:color="auto" w:fill="FFFFFF"/>
            <w:vAlign w:val="bottom"/>
          </w:tcPr>
          <w:p w14:paraId="1EA4293B" w14:textId="77777777" w:rsidR="008C76E0" w:rsidRPr="00FA2E29" w:rsidRDefault="008C76E0" w:rsidP="008C76E0">
            <w:pPr>
              <w:pStyle w:val="Bodytext180"/>
              <w:shd w:val="clear" w:color="auto" w:fill="auto"/>
              <w:spacing w:before="0" w:after="120" w:line="240" w:lineRule="auto"/>
              <w:ind w:right="-19" w:firstLine="0"/>
              <w:jc w:val="center"/>
              <w:outlineLvl w:val="0"/>
              <w:rPr>
                <w:rFonts w:ascii="Sylfaen" w:hAnsi="Sylfaen"/>
                <w:b w:val="0"/>
                <w:sz w:val="24"/>
                <w:szCs w:val="24"/>
              </w:rPr>
            </w:pPr>
            <w:r w:rsidRPr="00FA2E29">
              <w:rPr>
                <w:rStyle w:val="Bodytext295pt"/>
                <w:rFonts w:ascii="Sylfaen" w:hAnsi="Sylfaen"/>
                <w:sz w:val="24"/>
                <w:szCs w:val="24"/>
                <w:lang w:val="en-US"/>
              </w:rPr>
              <w:t>14</w:t>
            </w:r>
          </w:p>
        </w:tc>
      </w:tr>
      <w:tr w:rsidR="00FA2E29" w:rsidRPr="003B2786" w14:paraId="5F5D5C42" w14:textId="77777777" w:rsidTr="008C76E0">
        <w:trPr>
          <w:trHeight w:val="1403"/>
          <w:jc w:val="center"/>
        </w:trPr>
        <w:tc>
          <w:tcPr>
            <w:tcW w:w="688" w:type="dxa"/>
            <w:shd w:val="clear" w:color="auto" w:fill="FFFFFF"/>
          </w:tcPr>
          <w:p w14:paraId="7F0C53C4" w14:textId="77777777" w:rsidR="00FA2E29" w:rsidRPr="00FA2E29" w:rsidRDefault="00FA2E29" w:rsidP="008C76E0">
            <w:pPr>
              <w:pStyle w:val="Bodytext180"/>
              <w:shd w:val="clear" w:color="auto" w:fill="auto"/>
              <w:spacing w:before="0" w:after="120" w:line="240" w:lineRule="auto"/>
              <w:ind w:firstLine="0"/>
              <w:jc w:val="both"/>
              <w:outlineLvl w:val="0"/>
              <w:rPr>
                <w:rFonts w:ascii="Sylfaen" w:hAnsi="Sylfaen"/>
                <w:b w:val="0"/>
                <w:sz w:val="24"/>
                <w:szCs w:val="24"/>
              </w:rPr>
            </w:pPr>
            <w:r w:rsidRPr="00FA2E29">
              <w:rPr>
                <w:rStyle w:val="Bodytext295pt"/>
                <w:rFonts w:ascii="Sylfaen" w:hAnsi="Sylfaen"/>
                <w:sz w:val="24"/>
                <w:szCs w:val="24"/>
              </w:rPr>
              <w:t>VI.</w:t>
            </w:r>
          </w:p>
        </w:tc>
        <w:tc>
          <w:tcPr>
            <w:tcW w:w="8526" w:type="dxa"/>
            <w:vMerge w:val="restart"/>
            <w:shd w:val="clear" w:color="auto" w:fill="FFFFFF"/>
          </w:tcPr>
          <w:p w14:paraId="16F68A88" w14:textId="77777777" w:rsidR="00FA2E29" w:rsidRPr="00FA2E29" w:rsidRDefault="00FA2E29" w:rsidP="00FA2E29">
            <w:pPr>
              <w:pStyle w:val="Bodytext180"/>
              <w:shd w:val="clear" w:color="auto" w:fill="auto"/>
              <w:spacing w:before="0" w:after="120" w:line="240" w:lineRule="auto"/>
              <w:ind w:firstLine="0"/>
              <w:jc w:val="both"/>
              <w:outlineLvl w:val="0"/>
              <w:rPr>
                <w:rFonts w:ascii="Sylfaen" w:hAnsi="Sylfaen"/>
                <w:b w:val="0"/>
                <w:sz w:val="24"/>
                <w:szCs w:val="24"/>
                <w:lang w:val="hy-AM"/>
              </w:rPr>
            </w:pPr>
            <w:r w:rsidRPr="00FA2E29">
              <w:rPr>
                <w:rStyle w:val="Bodytext295pt"/>
                <w:rFonts w:ascii="Sylfaen" w:hAnsi="Sylfaen"/>
                <w:sz w:val="24"/>
                <w:szCs w:val="24"/>
              </w:rPr>
              <w:t xml:space="preserve">Հավելված. Օգտատերերի թեստավորման արդյունքների վերլուծության համար նախատեսված փաստաթղթերի </w:t>
            </w:r>
            <w:r w:rsidR="00C54D75">
              <w:rPr>
                <w:rStyle w:val="Bodytext295pt"/>
                <w:rFonts w:ascii="Sylfaen" w:hAnsi="Sylfaen"/>
                <w:sz w:val="24"/>
                <w:szCs w:val="24"/>
              </w:rPr>
              <w:t>և</w:t>
            </w:r>
            <w:r w:rsidRPr="00FA2E29">
              <w:rPr>
                <w:rStyle w:val="Bodytext295pt"/>
                <w:rFonts w:ascii="Sylfaen" w:hAnsi="Sylfaen"/>
                <w:sz w:val="24"/>
                <w:szCs w:val="24"/>
              </w:rPr>
              <w:t xml:space="preserve"> ստուգաթերթերի որակի ստուգման վերաբերյալ ուղեցույցը: Գրանցման հավաստագրի տրամադրման պայմանները</w:t>
            </w:r>
          </w:p>
        </w:tc>
        <w:tc>
          <w:tcPr>
            <w:tcW w:w="574" w:type="dxa"/>
            <w:vMerge w:val="restart"/>
            <w:shd w:val="clear" w:color="auto" w:fill="FFFFFF"/>
          </w:tcPr>
          <w:p w14:paraId="0B2D2E7E" w14:textId="77777777" w:rsidR="00FA2E29" w:rsidRPr="00FA2E29" w:rsidRDefault="00FA2E29" w:rsidP="008C76E0">
            <w:pPr>
              <w:spacing w:after="120" w:line="240" w:lineRule="auto"/>
              <w:ind w:right="-19"/>
              <w:jc w:val="center"/>
              <w:rPr>
                <w:rFonts w:ascii="Sylfaen" w:hAnsi="Sylfaen"/>
                <w:sz w:val="24"/>
                <w:szCs w:val="24"/>
                <w:lang w:val="en-US"/>
              </w:rPr>
            </w:pPr>
            <w:r w:rsidRPr="00FA2E29">
              <w:rPr>
                <w:rFonts w:ascii="Sylfaen" w:hAnsi="Sylfaen"/>
                <w:sz w:val="24"/>
                <w:szCs w:val="24"/>
                <w:lang w:val="en-US"/>
              </w:rPr>
              <w:t>14</w:t>
            </w:r>
          </w:p>
        </w:tc>
      </w:tr>
      <w:tr w:rsidR="00FA2E29" w:rsidRPr="003B2786" w14:paraId="6D6476B5" w14:textId="77777777" w:rsidTr="008C76E0">
        <w:trPr>
          <w:trHeight w:val="567"/>
          <w:jc w:val="center"/>
        </w:trPr>
        <w:tc>
          <w:tcPr>
            <w:tcW w:w="688" w:type="dxa"/>
            <w:shd w:val="clear" w:color="auto" w:fill="FFFFFF"/>
          </w:tcPr>
          <w:p w14:paraId="1BA92A91" w14:textId="77777777" w:rsidR="00FA2E29" w:rsidRPr="003B2786" w:rsidRDefault="00FA2E29" w:rsidP="008C76E0">
            <w:pPr>
              <w:spacing w:after="120" w:line="240" w:lineRule="auto"/>
              <w:jc w:val="both"/>
              <w:rPr>
                <w:rFonts w:ascii="Sylfaen" w:hAnsi="Sylfaen"/>
                <w:sz w:val="24"/>
                <w:szCs w:val="24"/>
                <w:highlight w:val="yellow"/>
              </w:rPr>
            </w:pPr>
          </w:p>
        </w:tc>
        <w:tc>
          <w:tcPr>
            <w:tcW w:w="8526" w:type="dxa"/>
            <w:vMerge/>
            <w:shd w:val="clear" w:color="auto" w:fill="FFFFFF"/>
          </w:tcPr>
          <w:p w14:paraId="43D2C74E" w14:textId="77777777" w:rsidR="00FA2E29" w:rsidRPr="003B2786" w:rsidRDefault="00FA2E29" w:rsidP="008C76E0">
            <w:pPr>
              <w:pStyle w:val="Bodytext180"/>
              <w:shd w:val="clear" w:color="auto" w:fill="auto"/>
              <w:spacing w:before="0" w:after="120" w:line="240" w:lineRule="auto"/>
              <w:ind w:firstLine="0"/>
              <w:jc w:val="both"/>
              <w:rPr>
                <w:rFonts w:ascii="Sylfaen" w:hAnsi="Sylfaen"/>
                <w:b w:val="0"/>
                <w:sz w:val="24"/>
                <w:szCs w:val="24"/>
                <w:highlight w:val="yellow"/>
              </w:rPr>
            </w:pPr>
          </w:p>
        </w:tc>
        <w:tc>
          <w:tcPr>
            <w:tcW w:w="574" w:type="dxa"/>
            <w:vMerge/>
            <w:shd w:val="clear" w:color="auto" w:fill="FFFFFF"/>
            <w:vAlign w:val="bottom"/>
          </w:tcPr>
          <w:p w14:paraId="0834D1E2" w14:textId="77777777" w:rsidR="00FA2E29" w:rsidRPr="003B2786" w:rsidRDefault="00FA2E29" w:rsidP="008C76E0">
            <w:pPr>
              <w:pStyle w:val="Bodytext180"/>
              <w:shd w:val="clear" w:color="auto" w:fill="auto"/>
              <w:spacing w:before="0" w:after="120" w:line="240" w:lineRule="auto"/>
              <w:ind w:right="-19" w:firstLine="0"/>
              <w:jc w:val="center"/>
              <w:rPr>
                <w:rFonts w:ascii="Sylfaen" w:hAnsi="Sylfaen"/>
                <w:b w:val="0"/>
                <w:sz w:val="24"/>
                <w:szCs w:val="24"/>
              </w:rPr>
            </w:pPr>
          </w:p>
        </w:tc>
      </w:tr>
    </w:tbl>
    <w:p w14:paraId="422AF304" w14:textId="77777777" w:rsidR="008C76E0" w:rsidRPr="003B2786" w:rsidRDefault="008C76E0" w:rsidP="008C76E0">
      <w:pPr>
        <w:ind w:right="-1"/>
        <w:jc w:val="both"/>
        <w:rPr>
          <w:rFonts w:ascii="Sylfaen" w:hAnsi="Sylfaen"/>
          <w:sz w:val="24"/>
          <w:szCs w:val="24"/>
        </w:rPr>
      </w:pPr>
    </w:p>
    <w:tbl>
      <w:tblPr>
        <w:tblOverlap w:val="never"/>
        <w:tblW w:w="10120" w:type="dxa"/>
        <w:jc w:val="center"/>
        <w:tblLayout w:type="fixed"/>
        <w:tblCellMar>
          <w:left w:w="10" w:type="dxa"/>
          <w:right w:w="10" w:type="dxa"/>
        </w:tblCellMar>
        <w:tblLook w:val="04A0" w:firstRow="1" w:lastRow="0" w:firstColumn="1" w:lastColumn="0" w:noHBand="0" w:noVBand="1"/>
      </w:tblPr>
      <w:tblGrid>
        <w:gridCol w:w="5927"/>
        <w:gridCol w:w="4193"/>
      </w:tblGrid>
      <w:tr w:rsidR="008C76E0" w:rsidRPr="003B2786" w14:paraId="65B94F12" w14:textId="77777777" w:rsidTr="009211E1">
        <w:trPr>
          <w:trHeight w:val="763"/>
          <w:jc w:val="center"/>
        </w:trPr>
        <w:tc>
          <w:tcPr>
            <w:tcW w:w="10120" w:type="dxa"/>
            <w:gridSpan w:val="2"/>
            <w:shd w:val="clear" w:color="auto" w:fill="FFFFFF"/>
            <w:vAlign w:val="center"/>
          </w:tcPr>
          <w:p w14:paraId="04B9C4A3" w14:textId="77777777" w:rsidR="008C76E0" w:rsidRPr="003B2786"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3B2786">
              <w:rPr>
                <w:rStyle w:val="Bodytext295pt"/>
                <w:rFonts w:ascii="Sylfaen" w:hAnsi="Sylfaen"/>
                <w:sz w:val="24"/>
                <w:szCs w:val="24"/>
              </w:rPr>
              <w:lastRenderedPageBreak/>
              <w:t>ՏԻՏՂՈՍԱԹԵՐԹ</w:t>
            </w:r>
          </w:p>
        </w:tc>
      </w:tr>
      <w:tr w:rsidR="008C76E0" w:rsidRPr="003B2786" w14:paraId="3F7DABDA" w14:textId="77777777" w:rsidTr="009211E1">
        <w:trPr>
          <w:jc w:val="center"/>
        </w:trPr>
        <w:tc>
          <w:tcPr>
            <w:tcW w:w="5927" w:type="dxa"/>
            <w:tcBorders>
              <w:top w:val="single" w:sz="4" w:space="0" w:color="auto"/>
              <w:left w:val="single" w:sz="4" w:space="0" w:color="auto"/>
            </w:tcBorders>
            <w:shd w:val="clear" w:color="auto" w:fill="FFFFFF"/>
          </w:tcPr>
          <w:p w14:paraId="111B45AD" w14:textId="77777777" w:rsidR="008C76E0" w:rsidRPr="003B2786" w:rsidRDefault="008C76E0" w:rsidP="008C76E0">
            <w:pPr>
              <w:pStyle w:val="Bodytext180"/>
              <w:shd w:val="clear" w:color="auto" w:fill="auto"/>
              <w:spacing w:before="0" w:line="240" w:lineRule="auto"/>
              <w:ind w:left="104" w:firstLine="0"/>
              <w:rPr>
                <w:rFonts w:ascii="Sylfaen" w:hAnsi="Sylfaen"/>
                <w:b w:val="0"/>
                <w:sz w:val="24"/>
                <w:szCs w:val="24"/>
              </w:rPr>
            </w:pPr>
            <w:r w:rsidRPr="003B2786">
              <w:rPr>
                <w:rStyle w:val="Bodytext1811pt"/>
                <w:rFonts w:ascii="Sylfaen" w:hAnsi="Sylfaen"/>
                <w:sz w:val="24"/>
                <w:szCs w:val="24"/>
              </w:rPr>
              <w:t>Առ</w:t>
            </w:r>
            <w:r w:rsidR="00C54D75">
              <w:rPr>
                <w:rStyle w:val="Bodytext1811pt"/>
                <w:rFonts w:ascii="Sylfaen" w:hAnsi="Sylfaen"/>
                <w:sz w:val="24"/>
                <w:szCs w:val="24"/>
              </w:rPr>
              <w:t>և</w:t>
            </w:r>
            <w:r w:rsidRPr="003B2786">
              <w:rPr>
                <w:rStyle w:val="Bodytext1811pt"/>
                <w:rFonts w:ascii="Sylfaen" w:hAnsi="Sylfaen"/>
                <w:sz w:val="24"/>
                <w:szCs w:val="24"/>
              </w:rPr>
              <w:t>տրային անվանումը ռեֆերենտ պետությունում</w:t>
            </w:r>
          </w:p>
        </w:tc>
        <w:tc>
          <w:tcPr>
            <w:tcW w:w="4193" w:type="dxa"/>
            <w:tcBorders>
              <w:top w:val="single" w:sz="4" w:space="0" w:color="auto"/>
              <w:left w:val="single" w:sz="4" w:space="0" w:color="auto"/>
              <w:right w:val="single" w:sz="4" w:space="0" w:color="auto"/>
            </w:tcBorders>
            <w:shd w:val="clear" w:color="auto" w:fill="FFFFFF"/>
          </w:tcPr>
          <w:p w14:paraId="5E4CB30C" w14:textId="77777777" w:rsidR="008C76E0" w:rsidRPr="003B2786" w:rsidRDefault="008C76E0" w:rsidP="008C76E0">
            <w:pPr>
              <w:spacing w:after="120" w:line="240" w:lineRule="auto"/>
              <w:rPr>
                <w:rFonts w:ascii="Sylfaen" w:hAnsi="Sylfaen"/>
                <w:sz w:val="24"/>
                <w:szCs w:val="24"/>
              </w:rPr>
            </w:pPr>
          </w:p>
        </w:tc>
      </w:tr>
      <w:tr w:rsidR="008C76E0" w:rsidRPr="003B2786" w14:paraId="2C9CD1F3" w14:textId="77777777" w:rsidTr="009211E1">
        <w:trPr>
          <w:jc w:val="center"/>
        </w:trPr>
        <w:tc>
          <w:tcPr>
            <w:tcW w:w="5927" w:type="dxa"/>
            <w:tcBorders>
              <w:top w:val="single" w:sz="4" w:space="0" w:color="auto"/>
              <w:left w:val="single" w:sz="4" w:space="0" w:color="auto"/>
            </w:tcBorders>
            <w:shd w:val="clear" w:color="auto" w:fill="FFFFFF"/>
          </w:tcPr>
          <w:p w14:paraId="53369187" w14:textId="77777777" w:rsidR="008C76E0" w:rsidRPr="008C76E0" w:rsidRDefault="008C76E0" w:rsidP="008C76E0">
            <w:pPr>
              <w:pStyle w:val="Bodytext180"/>
              <w:shd w:val="clear" w:color="auto" w:fill="auto"/>
              <w:spacing w:before="0" w:line="240" w:lineRule="auto"/>
              <w:ind w:left="104" w:firstLine="0"/>
              <w:rPr>
                <w:rFonts w:ascii="Sylfaen" w:hAnsi="Sylfaen"/>
                <w:b w:val="0"/>
                <w:sz w:val="24"/>
                <w:szCs w:val="24"/>
                <w:lang w:val="hy-AM"/>
              </w:rPr>
            </w:pPr>
            <w:r w:rsidRPr="003B2786">
              <w:rPr>
                <w:rStyle w:val="Bodytext1811pt"/>
                <w:rFonts w:ascii="Sylfaen" w:hAnsi="Sylfaen"/>
                <w:sz w:val="24"/>
                <w:szCs w:val="24"/>
              </w:rPr>
              <w:t>Ակտիվ նյութի ՄՉԱ (կամ համընդհանուր անվանումը)</w:t>
            </w:r>
          </w:p>
        </w:tc>
        <w:tc>
          <w:tcPr>
            <w:tcW w:w="4193" w:type="dxa"/>
            <w:tcBorders>
              <w:top w:val="single" w:sz="4" w:space="0" w:color="auto"/>
              <w:left w:val="single" w:sz="4" w:space="0" w:color="auto"/>
              <w:right w:val="single" w:sz="4" w:space="0" w:color="auto"/>
            </w:tcBorders>
            <w:shd w:val="clear" w:color="auto" w:fill="FFFFFF"/>
          </w:tcPr>
          <w:p w14:paraId="6F79BEE2" w14:textId="77777777" w:rsidR="008C76E0" w:rsidRPr="003B2786" w:rsidRDefault="008C76E0" w:rsidP="008C76E0">
            <w:pPr>
              <w:spacing w:after="120" w:line="240" w:lineRule="auto"/>
              <w:rPr>
                <w:rFonts w:ascii="Sylfaen" w:hAnsi="Sylfaen"/>
                <w:sz w:val="24"/>
                <w:szCs w:val="24"/>
              </w:rPr>
            </w:pPr>
          </w:p>
        </w:tc>
      </w:tr>
      <w:tr w:rsidR="008C76E0" w:rsidRPr="003B2786" w14:paraId="5068B33A" w14:textId="77777777" w:rsidTr="009211E1">
        <w:trPr>
          <w:jc w:val="center"/>
        </w:trPr>
        <w:tc>
          <w:tcPr>
            <w:tcW w:w="5927" w:type="dxa"/>
            <w:tcBorders>
              <w:top w:val="single" w:sz="4" w:space="0" w:color="auto"/>
              <w:left w:val="single" w:sz="4" w:space="0" w:color="auto"/>
            </w:tcBorders>
            <w:shd w:val="clear" w:color="auto" w:fill="FFFFFF"/>
          </w:tcPr>
          <w:p w14:paraId="172F15D8" w14:textId="77777777" w:rsidR="008C76E0" w:rsidRPr="008C76E0" w:rsidRDefault="008C76E0" w:rsidP="008C76E0">
            <w:pPr>
              <w:pStyle w:val="Bodytext180"/>
              <w:shd w:val="clear" w:color="auto" w:fill="auto"/>
              <w:spacing w:before="0" w:line="240" w:lineRule="auto"/>
              <w:ind w:left="104" w:firstLine="0"/>
              <w:rPr>
                <w:rFonts w:ascii="Sylfaen" w:hAnsi="Sylfaen"/>
                <w:b w:val="0"/>
                <w:sz w:val="24"/>
                <w:szCs w:val="24"/>
                <w:lang w:val="hy-AM"/>
              </w:rPr>
            </w:pPr>
            <w:r w:rsidRPr="003B2786">
              <w:rPr>
                <w:rStyle w:val="Bodytext1811pt"/>
                <w:rFonts w:ascii="Sylfaen" w:hAnsi="Sylfaen"/>
                <w:sz w:val="24"/>
                <w:szCs w:val="24"/>
              </w:rPr>
              <w:t>Դեղաթերապ</w:t>
            </w:r>
            <w:r w:rsidR="00C54D75">
              <w:rPr>
                <w:rStyle w:val="Bodytext1811pt"/>
                <w:rFonts w:ascii="Sylfaen" w:hAnsi="Sylfaen"/>
                <w:sz w:val="24"/>
                <w:szCs w:val="24"/>
              </w:rPr>
              <w:t>և</w:t>
            </w:r>
            <w:r w:rsidRPr="003B2786">
              <w:rPr>
                <w:rStyle w:val="Bodytext1811pt"/>
                <w:rFonts w:ascii="Sylfaen" w:hAnsi="Sylfaen"/>
                <w:sz w:val="24"/>
                <w:szCs w:val="24"/>
              </w:rPr>
              <w:t>տիկ խումբը (ԱԲՔ (ATХ) ծածկագիրը)</w:t>
            </w:r>
          </w:p>
        </w:tc>
        <w:tc>
          <w:tcPr>
            <w:tcW w:w="4193" w:type="dxa"/>
            <w:tcBorders>
              <w:top w:val="single" w:sz="4" w:space="0" w:color="auto"/>
              <w:left w:val="single" w:sz="4" w:space="0" w:color="auto"/>
              <w:right w:val="single" w:sz="4" w:space="0" w:color="auto"/>
            </w:tcBorders>
            <w:shd w:val="clear" w:color="auto" w:fill="FFFFFF"/>
          </w:tcPr>
          <w:p w14:paraId="0465CCA6" w14:textId="77777777" w:rsidR="008C76E0" w:rsidRPr="003B2786" w:rsidRDefault="008C76E0" w:rsidP="008C76E0">
            <w:pPr>
              <w:spacing w:after="120" w:line="240" w:lineRule="auto"/>
              <w:rPr>
                <w:rFonts w:ascii="Sylfaen" w:hAnsi="Sylfaen"/>
                <w:sz w:val="24"/>
                <w:szCs w:val="24"/>
              </w:rPr>
            </w:pPr>
          </w:p>
        </w:tc>
      </w:tr>
      <w:tr w:rsidR="008C76E0" w:rsidRPr="003B2786" w14:paraId="0B1B53D6" w14:textId="77777777" w:rsidTr="009211E1">
        <w:trPr>
          <w:jc w:val="center"/>
        </w:trPr>
        <w:tc>
          <w:tcPr>
            <w:tcW w:w="5927" w:type="dxa"/>
            <w:tcBorders>
              <w:top w:val="single" w:sz="4" w:space="0" w:color="auto"/>
              <w:left w:val="single" w:sz="4" w:space="0" w:color="auto"/>
            </w:tcBorders>
            <w:shd w:val="clear" w:color="auto" w:fill="FFFFFF"/>
          </w:tcPr>
          <w:p w14:paraId="5BB09761" w14:textId="77777777" w:rsidR="008C76E0" w:rsidRPr="008C76E0" w:rsidRDefault="008C76E0" w:rsidP="008C76E0">
            <w:pPr>
              <w:pStyle w:val="Bodytext180"/>
              <w:shd w:val="clear" w:color="auto" w:fill="auto"/>
              <w:spacing w:before="0" w:line="240" w:lineRule="auto"/>
              <w:ind w:left="104" w:firstLine="0"/>
              <w:rPr>
                <w:rFonts w:ascii="Sylfaen" w:hAnsi="Sylfaen"/>
                <w:b w:val="0"/>
                <w:sz w:val="24"/>
                <w:szCs w:val="24"/>
                <w:lang w:val="hy-AM"/>
              </w:rPr>
            </w:pPr>
            <w:r w:rsidRPr="003B2786">
              <w:rPr>
                <w:rStyle w:val="Bodytext1811pt"/>
                <w:rFonts w:ascii="Sylfaen" w:hAnsi="Sylfaen"/>
                <w:sz w:val="24"/>
                <w:szCs w:val="24"/>
              </w:rPr>
              <w:t>Բացթողման ձ</w:t>
            </w:r>
            <w:r w:rsidR="00C54D75">
              <w:rPr>
                <w:rStyle w:val="Bodytext1811pt"/>
                <w:rFonts w:ascii="Sylfaen" w:hAnsi="Sylfaen"/>
                <w:sz w:val="24"/>
                <w:szCs w:val="24"/>
              </w:rPr>
              <w:t>և</w:t>
            </w:r>
            <w:r w:rsidRPr="003B2786">
              <w:rPr>
                <w:rStyle w:val="Bodytext1811pt"/>
                <w:rFonts w:ascii="Sylfaen" w:hAnsi="Sylfaen"/>
                <w:sz w:val="24"/>
                <w:szCs w:val="24"/>
              </w:rPr>
              <w:t>ը (ձ</w:t>
            </w:r>
            <w:r w:rsidR="00C54D75">
              <w:rPr>
                <w:rStyle w:val="Bodytext1811pt"/>
                <w:rFonts w:ascii="Sylfaen" w:hAnsi="Sylfaen"/>
                <w:sz w:val="24"/>
                <w:szCs w:val="24"/>
              </w:rPr>
              <w:t>և</w:t>
            </w:r>
            <w:r w:rsidRPr="003B2786">
              <w:rPr>
                <w:rStyle w:val="Bodytext1811pt"/>
                <w:rFonts w:ascii="Sylfaen" w:hAnsi="Sylfaen"/>
                <w:sz w:val="24"/>
                <w:szCs w:val="24"/>
              </w:rPr>
              <w:t xml:space="preserve">երը) </w:t>
            </w:r>
            <w:r w:rsidR="00C54D75">
              <w:rPr>
                <w:rStyle w:val="Bodytext1811pt"/>
                <w:rFonts w:ascii="Sylfaen" w:hAnsi="Sylfaen"/>
                <w:sz w:val="24"/>
                <w:szCs w:val="24"/>
              </w:rPr>
              <w:t>և</w:t>
            </w:r>
            <w:r w:rsidRPr="003B2786">
              <w:rPr>
                <w:rStyle w:val="Bodytext1811pt"/>
                <w:rFonts w:ascii="Sylfaen" w:hAnsi="Sylfaen"/>
                <w:sz w:val="24"/>
                <w:szCs w:val="24"/>
              </w:rPr>
              <w:t xml:space="preserve"> դոզան (դոզաները)</w:t>
            </w:r>
          </w:p>
        </w:tc>
        <w:tc>
          <w:tcPr>
            <w:tcW w:w="4193" w:type="dxa"/>
            <w:tcBorders>
              <w:top w:val="single" w:sz="4" w:space="0" w:color="auto"/>
              <w:left w:val="single" w:sz="4" w:space="0" w:color="auto"/>
              <w:right w:val="single" w:sz="4" w:space="0" w:color="auto"/>
            </w:tcBorders>
            <w:shd w:val="clear" w:color="auto" w:fill="FFFFFF"/>
          </w:tcPr>
          <w:p w14:paraId="20AC3FE1" w14:textId="77777777" w:rsidR="008C76E0" w:rsidRPr="003B2786" w:rsidRDefault="008C76E0" w:rsidP="008C76E0">
            <w:pPr>
              <w:spacing w:after="120" w:line="240" w:lineRule="auto"/>
              <w:rPr>
                <w:rFonts w:ascii="Sylfaen" w:hAnsi="Sylfaen"/>
                <w:sz w:val="24"/>
                <w:szCs w:val="24"/>
              </w:rPr>
            </w:pPr>
          </w:p>
        </w:tc>
      </w:tr>
      <w:tr w:rsidR="008C76E0" w:rsidRPr="003B2786" w14:paraId="658139E1" w14:textId="77777777" w:rsidTr="009211E1">
        <w:trPr>
          <w:jc w:val="center"/>
        </w:trPr>
        <w:tc>
          <w:tcPr>
            <w:tcW w:w="5927" w:type="dxa"/>
            <w:tcBorders>
              <w:top w:val="single" w:sz="4" w:space="0" w:color="auto"/>
              <w:left w:val="single" w:sz="4" w:space="0" w:color="auto"/>
            </w:tcBorders>
            <w:shd w:val="clear" w:color="auto" w:fill="FFFFFF"/>
          </w:tcPr>
          <w:p w14:paraId="326BFBF4" w14:textId="77777777" w:rsidR="008C76E0" w:rsidRPr="003B2786" w:rsidRDefault="008C76E0" w:rsidP="008C76E0">
            <w:pPr>
              <w:pStyle w:val="Bodytext180"/>
              <w:shd w:val="clear" w:color="auto" w:fill="auto"/>
              <w:spacing w:before="0" w:after="120" w:line="240" w:lineRule="auto"/>
              <w:ind w:left="104" w:firstLine="0"/>
              <w:rPr>
                <w:rFonts w:ascii="Sylfaen" w:hAnsi="Sylfaen"/>
                <w:b w:val="0"/>
                <w:sz w:val="24"/>
                <w:szCs w:val="24"/>
              </w:rPr>
            </w:pPr>
            <w:r w:rsidRPr="003B2786">
              <w:rPr>
                <w:rStyle w:val="Bodytext1811pt"/>
                <w:rFonts w:ascii="Sylfaen" w:hAnsi="Sylfaen"/>
                <w:sz w:val="24"/>
                <w:szCs w:val="24"/>
              </w:rPr>
              <w:t>Գրանցման համարը</w:t>
            </w:r>
          </w:p>
        </w:tc>
        <w:tc>
          <w:tcPr>
            <w:tcW w:w="4193" w:type="dxa"/>
            <w:tcBorders>
              <w:top w:val="single" w:sz="4" w:space="0" w:color="auto"/>
              <w:left w:val="single" w:sz="4" w:space="0" w:color="auto"/>
              <w:right w:val="single" w:sz="4" w:space="0" w:color="auto"/>
            </w:tcBorders>
            <w:shd w:val="clear" w:color="auto" w:fill="FFFFFF"/>
          </w:tcPr>
          <w:p w14:paraId="73AD96DB" w14:textId="77777777" w:rsidR="008C76E0" w:rsidRPr="003B2786" w:rsidRDefault="008C76E0" w:rsidP="008C76E0">
            <w:pPr>
              <w:spacing w:after="120" w:line="240" w:lineRule="auto"/>
              <w:rPr>
                <w:rFonts w:ascii="Sylfaen" w:hAnsi="Sylfaen"/>
                <w:sz w:val="24"/>
                <w:szCs w:val="24"/>
              </w:rPr>
            </w:pPr>
          </w:p>
        </w:tc>
      </w:tr>
      <w:tr w:rsidR="008C76E0" w:rsidRPr="003B2786" w14:paraId="64F81117" w14:textId="77777777" w:rsidTr="009211E1">
        <w:trPr>
          <w:jc w:val="center"/>
        </w:trPr>
        <w:tc>
          <w:tcPr>
            <w:tcW w:w="5927" w:type="dxa"/>
            <w:tcBorders>
              <w:top w:val="single" w:sz="4" w:space="0" w:color="auto"/>
              <w:left w:val="single" w:sz="4" w:space="0" w:color="auto"/>
            </w:tcBorders>
            <w:shd w:val="clear" w:color="auto" w:fill="FFFFFF"/>
          </w:tcPr>
          <w:p w14:paraId="2996635A" w14:textId="77777777" w:rsidR="008C76E0" w:rsidRPr="003B2786" w:rsidRDefault="008C76E0" w:rsidP="008C76E0">
            <w:pPr>
              <w:pStyle w:val="Bodytext180"/>
              <w:shd w:val="clear" w:color="auto" w:fill="auto"/>
              <w:spacing w:before="0" w:after="120" w:line="240" w:lineRule="auto"/>
              <w:ind w:left="104" w:firstLine="0"/>
              <w:rPr>
                <w:rFonts w:ascii="Sylfaen" w:hAnsi="Sylfaen"/>
                <w:b w:val="0"/>
                <w:sz w:val="24"/>
                <w:szCs w:val="24"/>
              </w:rPr>
            </w:pPr>
            <w:r w:rsidRPr="003B2786">
              <w:rPr>
                <w:rStyle w:val="Bodytext1811pt"/>
                <w:rFonts w:ascii="Sylfaen" w:hAnsi="Sylfaen"/>
                <w:sz w:val="24"/>
                <w:szCs w:val="24"/>
              </w:rPr>
              <w:t>Ռեֆերենտ պետությունը</w:t>
            </w:r>
          </w:p>
        </w:tc>
        <w:tc>
          <w:tcPr>
            <w:tcW w:w="4193" w:type="dxa"/>
            <w:tcBorders>
              <w:top w:val="single" w:sz="4" w:space="0" w:color="auto"/>
              <w:left w:val="single" w:sz="4" w:space="0" w:color="auto"/>
              <w:right w:val="single" w:sz="4" w:space="0" w:color="auto"/>
            </w:tcBorders>
            <w:shd w:val="clear" w:color="auto" w:fill="FFFFFF"/>
          </w:tcPr>
          <w:p w14:paraId="096E3BC8" w14:textId="77777777" w:rsidR="008C76E0" w:rsidRPr="003B2786" w:rsidRDefault="008C76E0" w:rsidP="008C76E0">
            <w:pPr>
              <w:spacing w:after="120" w:line="240" w:lineRule="auto"/>
              <w:rPr>
                <w:rFonts w:ascii="Sylfaen" w:hAnsi="Sylfaen"/>
                <w:sz w:val="24"/>
                <w:szCs w:val="24"/>
              </w:rPr>
            </w:pPr>
          </w:p>
        </w:tc>
      </w:tr>
      <w:tr w:rsidR="008C76E0" w:rsidRPr="003B2786" w14:paraId="5F4C5818" w14:textId="77777777" w:rsidTr="009211E1">
        <w:trPr>
          <w:jc w:val="center"/>
        </w:trPr>
        <w:tc>
          <w:tcPr>
            <w:tcW w:w="5927" w:type="dxa"/>
            <w:tcBorders>
              <w:top w:val="single" w:sz="4" w:space="0" w:color="auto"/>
              <w:left w:val="single" w:sz="4" w:space="0" w:color="auto"/>
            </w:tcBorders>
            <w:shd w:val="clear" w:color="auto" w:fill="FFFFFF"/>
          </w:tcPr>
          <w:p w14:paraId="1BB48A5B" w14:textId="77777777" w:rsidR="008C76E0" w:rsidRPr="003B2786" w:rsidRDefault="008C76E0" w:rsidP="008C76E0">
            <w:pPr>
              <w:pStyle w:val="Bodytext180"/>
              <w:shd w:val="clear" w:color="auto" w:fill="auto"/>
              <w:spacing w:before="0" w:after="120" w:line="240" w:lineRule="auto"/>
              <w:ind w:left="104" w:firstLine="0"/>
              <w:rPr>
                <w:rFonts w:ascii="Sylfaen" w:hAnsi="Sylfaen"/>
                <w:b w:val="0"/>
                <w:sz w:val="24"/>
                <w:szCs w:val="24"/>
              </w:rPr>
            </w:pPr>
            <w:r w:rsidRPr="003B2786">
              <w:rPr>
                <w:rStyle w:val="Bodytext1811pt"/>
                <w:rFonts w:ascii="Sylfaen" w:hAnsi="Sylfaen"/>
                <w:sz w:val="24"/>
                <w:szCs w:val="24"/>
              </w:rPr>
              <w:t>Ճանաչման պետությունը</w:t>
            </w:r>
          </w:p>
        </w:tc>
        <w:tc>
          <w:tcPr>
            <w:tcW w:w="4193" w:type="dxa"/>
            <w:tcBorders>
              <w:top w:val="single" w:sz="4" w:space="0" w:color="auto"/>
              <w:left w:val="single" w:sz="4" w:space="0" w:color="auto"/>
              <w:right w:val="single" w:sz="4" w:space="0" w:color="auto"/>
            </w:tcBorders>
            <w:shd w:val="clear" w:color="auto" w:fill="FFFFFF"/>
          </w:tcPr>
          <w:p w14:paraId="782C8738" w14:textId="77777777" w:rsidR="008C76E0" w:rsidRPr="003B2786" w:rsidRDefault="008C76E0" w:rsidP="008C76E0">
            <w:pPr>
              <w:spacing w:after="120" w:line="240" w:lineRule="auto"/>
              <w:rPr>
                <w:rFonts w:ascii="Sylfaen" w:hAnsi="Sylfaen"/>
                <w:sz w:val="24"/>
                <w:szCs w:val="24"/>
              </w:rPr>
            </w:pPr>
          </w:p>
        </w:tc>
      </w:tr>
      <w:tr w:rsidR="008C76E0" w:rsidRPr="003B2786" w14:paraId="3E738DA6" w14:textId="77777777" w:rsidTr="009211E1">
        <w:trPr>
          <w:jc w:val="center"/>
        </w:trPr>
        <w:tc>
          <w:tcPr>
            <w:tcW w:w="5927" w:type="dxa"/>
            <w:tcBorders>
              <w:top w:val="single" w:sz="4" w:space="0" w:color="auto"/>
              <w:left w:val="single" w:sz="4" w:space="0" w:color="auto"/>
            </w:tcBorders>
            <w:shd w:val="clear" w:color="auto" w:fill="FFFFFF"/>
          </w:tcPr>
          <w:p w14:paraId="0EDC682A" w14:textId="77777777" w:rsidR="008C76E0" w:rsidRPr="008C76E0" w:rsidRDefault="008C76E0" w:rsidP="008C76E0">
            <w:pPr>
              <w:pStyle w:val="Bodytext180"/>
              <w:shd w:val="clear" w:color="auto" w:fill="auto"/>
              <w:spacing w:before="0" w:after="120" w:line="240" w:lineRule="auto"/>
              <w:ind w:left="104" w:firstLine="0"/>
              <w:rPr>
                <w:rFonts w:ascii="Sylfaen" w:hAnsi="Sylfaen"/>
                <w:b w:val="0"/>
                <w:sz w:val="24"/>
                <w:szCs w:val="24"/>
                <w:lang w:val="hy-AM"/>
              </w:rPr>
            </w:pPr>
            <w:r w:rsidRPr="003B2786">
              <w:rPr>
                <w:rStyle w:val="Bodytext1811pt"/>
                <w:rFonts w:ascii="Sylfaen" w:hAnsi="Sylfaen"/>
                <w:sz w:val="24"/>
                <w:szCs w:val="24"/>
              </w:rPr>
              <w:t xml:space="preserve">Գրանցման հավաստագրի տիրապետողի (իրավատիրոջ)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հասցեն ճանաչման պետություններում</w:t>
            </w:r>
          </w:p>
        </w:tc>
        <w:tc>
          <w:tcPr>
            <w:tcW w:w="4193" w:type="dxa"/>
            <w:tcBorders>
              <w:top w:val="single" w:sz="4" w:space="0" w:color="auto"/>
              <w:left w:val="single" w:sz="4" w:space="0" w:color="auto"/>
              <w:right w:val="single" w:sz="4" w:space="0" w:color="auto"/>
            </w:tcBorders>
            <w:shd w:val="clear" w:color="auto" w:fill="FFFFFF"/>
          </w:tcPr>
          <w:p w14:paraId="3894C5C3" w14:textId="77777777" w:rsidR="008C76E0" w:rsidRPr="003B2786" w:rsidRDefault="008C76E0" w:rsidP="008C76E0">
            <w:pPr>
              <w:spacing w:after="120" w:line="240" w:lineRule="auto"/>
              <w:rPr>
                <w:rFonts w:ascii="Sylfaen" w:hAnsi="Sylfaen"/>
                <w:sz w:val="24"/>
                <w:szCs w:val="24"/>
              </w:rPr>
            </w:pPr>
          </w:p>
        </w:tc>
      </w:tr>
      <w:tr w:rsidR="008C76E0" w:rsidRPr="003B2786" w14:paraId="2D154276" w14:textId="77777777" w:rsidTr="009211E1">
        <w:trPr>
          <w:jc w:val="center"/>
        </w:trPr>
        <w:tc>
          <w:tcPr>
            <w:tcW w:w="5927" w:type="dxa"/>
            <w:tcBorders>
              <w:top w:val="single" w:sz="4" w:space="0" w:color="auto"/>
              <w:left w:val="single" w:sz="4" w:space="0" w:color="auto"/>
            </w:tcBorders>
            <w:shd w:val="clear" w:color="auto" w:fill="FFFFFF"/>
          </w:tcPr>
          <w:p w14:paraId="720E01E7" w14:textId="77777777" w:rsidR="008C76E0" w:rsidRPr="008C76E0" w:rsidRDefault="008C76E0" w:rsidP="008C76E0">
            <w:pPr>
              <w:pStyle w:val="Bodytext180"/>
              <w:shd w:val="clear" w:color="auto" w:fill="auto"/>
              <w:spacing w:before="0" w:after="120" w:line="240" w:lineRule="auto"/>
              <w:ind w:left="104" w:firstLine="0"/>
              <w:rPr>
                <w:rFonts w:ascii="Sylfaen" w:hAnsi="Sylfaen"/>
                <w:b w:val="0"/>
                <w:sz w:val="24"/>
                <w:szCs w:val="24"/>
                <w:lang w:val="hy-AM"/>
              </w:rPr>
            </w:pPr>
            <w:r w:rsidRPr="003B2786">
              <w:rPr>
                <w:rStyle w:val="Bodytext1811pt"/>
                <w:rFonts w:ascii="Sylfaen" w:hAnsi="Sylfaen"/>
                <w:sz w:val="24"/>
                <w:szCs w:val="24"/>
              </w:rPr>
              <w:t>Բացթողման դոզավորված ձ</w:t>
            </w:r>
            <w:r w:rsidR="00C54D75">
              <w:rPr>
                <w:rStyle w:val="Bodytext1811pt"/>
                <w:rFonts w:ascii="Sylfaen" w:hAnsi="Sylfaen"/>
                <w:sz w:val="24"/>
                <w:szCs w:val="24"/>
              </w:rPr>
              <w:t>և</w:t>
            </w:r>
            <w:r w:rsidRPr="003B2786">
              <w:rPr>
                <w:rStyle w:val="Bodytext1811pt"/>
                <w:rFonts w:ascii="Sylfaen" w:hAnsi="Sylfaen"/>
                <w:sz w:val="24"/>
                <w:szCs w:val="24"/>
              </w:rPr>
              <w:t xml:space="preserve">ն արտադրողի (արտադրողների)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հասցեն</w:t>
            </w:r>
          </w:p>
        </w:tc>
        <w:tc>
          <w:tcPr>
            <w:tcW w:w="4193" w:type="dxa"/>
            <w:tcBorders>
              <w:top w:val="single" w:sz="4" w:space="0" w:color="auto"/>
              <w:left w:val="single" w:sz="4" w:space="0" w:color="auto"/>
              <w:right w:val="single" w:sz="4" w:space="0" w:color="auto"/>
            </w:tcBorders>
            <w:shd w:val="clear" w:color="auto" w:fill="FFFFFF"/>
          </w:tcPr>
          <w:p w14:paraId="1E6BEAA3" w14:textId="77777777" w:rsidR="008C76E0" w:rsidRPr="003B2786" w:rsidRDefault="008C76E0" w:rsidP="008C76E0">
            <w:pPr>
              <w:spacing w:after="120" w:line="240" w:lineRule="auto"/>
              <w:rPr>
                <w:rFonts w:ascii="Sylfaen" w:hAnsi="Sylfaen"/>
                <w:sz w:val="24"/>
                <w:szCs w:val="24"/>
              </w:rPr>
            </w:pPr>
          </w:p>
        </w:tc>
      </w:tr>
      <w:tr w:rsidR="008C76E0" w:rsidRPr="003B2786" w14:paraId="14F90708" w14:textId="77777777" w:rsidTr="009211E1">
        <w:trPr>
          <w:jc w:val="center"/>
        </w:trPr>
        <w:tc>
          <w:tcPr>
            <w:tcW w:w="5927" w:type="dxa"/>
            <w:tcBorders>
              <w:left w:val="single" w:sz="4" w:space="0" w:color="auto"/>
            </w:tcBorders>
            <w:shd w:val="clear" w:color="auto" w:fill="FFFFFF"/>
          </w:tcPr>
          <w:p w14:paraId="23A37B24" w14:textId="77777777" w:rsidR="008C76E0" w:rsidRPr="008C76E0" w:rsidRDefault="008C76E0" w:rsidP="008C76E0">
            <w:pPr>
              <w:pStyle w:val="Bodytext180"/>
              <w:shd w:val="clear" w:color="auto" w:fill="auto"/>
              <w:spacing w:before="0" w:line="240" w:lineRule="auto"/>
              <w:ind w:left="104" w:firstLine="0"/>
              <w:rPr>
                <w:rFonts w:ascii="Sylfaen" w:hAnsi="Sylfaen"/>
                <w:b w:val="0"/>
                <w:sz w:val="24"/>
                <w:szCs w:val="24"/>
                <w:lang w:val="hy-AM"/>
              </w:rPr>
            </w:pPr>
            <w:r w:rsidRPr="003B2786">
              <w:rPr>
                <w:rStyle w:val="Bodytext1811pt"/>
                <w:rFonts w:ascii="Sylfaen" w:hAnsi="Sylfaen"/>
                <w:sz w:val="24"/>
                <w:szCs w:val="24"/>
              </w:rPr>
              <w:t xml:space="preserve">Եվրասիական տնտեսական միության տարածքում սերիան շրջանառության մեջ դնելու համար պատասխանատու արտադրողի (արտադրողների)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հասցեն</w:t>
            </w:r>
          </w:p>
        </w:tc>
        <w:tc>
          <w:tcPr>
            <w:tcW w:w="4193" w:type="dxa"/>
            <w:tcBorders>
              <w:left w:val="single" w:sz="4" w:space="0" w:color="auto"/>
              <w:right w:val="single" w:sz="4" w:space="0" w:color="auto"/>
            </w:tcBorders>
            <w:shd w:val="clear" w:color="auto" w:fill="FFFFFF"/>
          </w:tcPr>
          <w:p w14:paraId="51B7D87D" w14:textId="77777777" w:rsidR="008C76E0" w:rsidRPr="003B2786" w:rsidRDefault="008C76E0" w:rsidP="008C76E0">
            <w:pPr>
              <w:spacing w:after="120" w:line="240" w:lineRule="auto"/>
              <w:rPr>
                <w:rFonts w:ascii="Sylfaen" w:hAnsi="Sylfaen"/>
                <w:sz w:val="24"/>
                <w:szCs w:val="24"/>
              </w:rPr>
            </w:pPr>
          </w:p>
        </w:tc>
      </w:tr>
      <w:tr w:rsidR="008C76E0" w:rsidRPr="003B2786" w14:paraId="2B667D06" w14:textId="77777777" w:rsidTr="009211E1">
        <w:trPr>
          <w:jc w:val="center"/>
        </w:trPr>
        <w:tc>
          <w:tcPr>
            <w:tcW w:w="5927" w:type="dxa"/>
            <w:tcBorders>
              <w:top w:val="single" w:sz="4" w:space="0" w:color="auto"/>
              <w:left w:val="single" w:sz="4" w:space="0" w:color="auto"/>
            </w:tcBorders>
            <w:shd w:val="clear" w:color="auto" w:fill="FFFFFF"/>
          </w:tcPr>
          <w:p w14:paraId="308F8CA8" w14:textId="77777777" w:rsidR="008C76E0" w:rsidRPr="003B2786" w:rsidRDefault="008C76E0" w:rsidP="008C76E0">
            <w:pPr>
              <w:pStyle w:val="Bodytext180"/>
              <w:shd w:val="clear" w:color="auto" w:fill="auto"/>
              <w:spacing w:before="0" w:after="120" w:line="240" w:lineRule="auto"/>
              <w:ind w:left="104" w:firstLine="0"/>
              <w:rPr>
                <w:rFonts w:ascii="Sylfaen" w:hAnsi="Sylfaen"/>
                <w:b w:val="0"/>
                <w:sz w:val="24"/>
                <w:szCs w:val="24"/>
              </w:rPr>
            </w:pPr>
            <w:r w:rsidRPr="003B2786">
              <w:rPr>
                <w:rStyle w:val="Bodytext1811pt"/>
                <w:rFonts w:ascii="Sylfaen" w:hAnsi="Sylfaen"/>
                <w:sz w:val="24"/>
                <w:szCs w:val="24"/>
              </w:rPr>
              <w:t>Առաջին գրանցման հավաստագրի ամսաթիվը</w:t>
            </w:r>
          </w:p>
        </w:tc>
        <w:tc>
          <w:tcPr>
            <w:tcW w:w="4193" w:type="dxa"/>
            <w:tcBorders>
              <w:top w:val="single" w:sz="4" w:space="0" w:color="auto"/>
              <w:left w:val="single" w:sz="4" w:space="0" w:color="auto"/>
              <w:right w:val="single" w:sz="4" w:space="0" w:color="auto"/>
            </w:tcBorders>
            <w:shd w:val="clear" w:color="auto" w:fill="FFFFFF"/>
          </w:tcPr>
          <w:p w14:paraId="0E13DF34" w14:textId="77777777" w:rsidR="008C76E0" w:rsidRPr="003B2786" w:rsidRDefault="008C76E0" w:rsidP="008C76E0">
            <w:pPr>
              <w:spacing w:after="120" w:line="240" w:lineRule="auto"/>
              <w:rPr>
                <w:rFonts w:ascii="Sylfaen" w:hAnsi="Sylfaen"/>
                <w:sz w:val="24"/>
                <w:szCs w:val="24"/>
              </w:rPr>
            </w:pPr>
          </w:p>
        </w:tc>
      </w:tr>
      <w:tr w:rsidR="008C76E0" w:rsidRPr="003B2786" w14:paraId="0D6F06AE" w14:textId="77777777" w:rsidTr="009211E1">
        <w:trPr>
          <w:jc w:val="center"/>
        </w:trPr>
        <w:tc>
          <w:tcPr>
            <w:tcW w:w="5927" w:type="dxa"/>
            <w:tcBorders>
              <w:top w:val="single" w:sz="4" w:space="0" w:color="auto"/>
              <w:left w:val="single" w:sz="4" w:space="0" w:color="auto"/>
            </w:tcBorders>
            <w:shd w:val="clear" w:color="auto" w:fill="FFFFFF"/>
          </w:tcPr>
          <w:p w14:paraId="15D70C53" w14:textId="77777777" w:rsidR="008C76E0" w:rsidRPr="008C76E0" w:rsidRDefault="008C76E0" w:rsidP="008C76E0">
            <w:pPr>
              <w:pStyle w:val="Bodytext180"/>
              <w:shd w:val="clear" w:color="auto" w:fill="auto"/>
              <w:spacing w:before="0" w:after="120" w:line="240" w:lineRule="auto"/>
              <w:ind w:left="104" w:firstLine="0"/>
              <w:rPr>
                <w:rFonts w:ascii="Sylfaen" w:hAnsi="Sylfaen"/>
                <w:b w:val="0"/>
                <w:sz w:val="24"/>
                <w:szCs w:val="24"/>
                <w:lang w:val="hy-AM"/>
              </w:rPr>
            </w:pPr>
            <w:r w:rsidRPr="003B2786">
              <w:rPr>
                <w:rStyle w:val="Bodytext1811pt"/>
                <w:rFonts w:ascii="Sylfaen" w:hAnsi="Sylfaen"/>
                <w:sz w:val="24"/>
                <w:szCs w:val="24"/>
              </w:rPr>
              <w:t>Գրանցման հավաստագրի համարը (համարները) ճանաչման պետություններում</w:t>
            </w:r>
          </w:p>
        </w:tc>
        <w:tc>
          <w:tcPr>
            <w:tcW w:w="4193" w:type="dxa"/>
            <w:tcBorders>
              <w:top w:val="single" w:sz="4" w:space="0" w:color="auto"/>
              <w:left w:val="single" w:sz="4" w:space="0" w:color="auto"/>
              <w:right w:val="single" w:sz="4" w:space="0" w:color="auto"/>
            </w:tcBorders>
            <w:shd w:val="clear" w:color="auto" w:fill="FFFFFF"/>
          </w:tcPr>
          <w:p w14:paraId="76008804" w14:textId="77777777" w:rsidR="008C76E0" w:rsidRPr="003B2786" w:rsidRDefault="008C76E0" w:rsidP="008C76E0">
            <w:pPr>
              <w:spacing w:after="120" w:line="240" w:lineRule="auto"/>
              <w:rPr>
                <w:rFonts w:ascii="Sylfaen" w:hAnsi="Sylfaen"/>
                <w:sz w:val="24"/>
                <w:szCs w:val="24"/>
              </w:rPr>
            </w:pPr>
          </w:p>
        </w:tc>
      </w:tr>
      <w:tr w:rsidR="008C76E0" w:rsidRPr="003B2786" w14:paraId="7719E2C9" w14:textId="77777777" w:rsidTr="009211E1">
        <w:trPr>
          <w:jc w:val="center"/>
        </w:trPr>
        <w:tc>
          <w:tcPr>
            <w:tcW w:w="5927" w:type="dxa"/>
            <w:tcBorders>
              <w:top w:val="single" w:sz="4" w:space="0" w:color="auto"/>
              <w:left w:val="single" w:sz="4" w:space="0" w:color="auto"/>
            </w:tcBorders>
            <w:shd w:val="clear" w:color="auto" w:fill="FFFFFF"/>
          </w:tcPr>
          <w:p w14:paraId="775FF32F" w14:textId="77777777" w:rsidR="008C76E0" w:rsidRPr="003B2786" w:rsidRDefault="008C76E0" w:rsidP="008C76E0">
            <w:pPr>
              <w:pStyle w:val="Bodytext180"/>
              <w:shd w:val="clear" w:color="auto" w:fill="auto"/>
              <w:spacing w:before="0" w:after="120" w:line="240" w:lineRule="auto"/>
              <w:ind w:left="104" w:firstLine="0"/>
              <w:rPr>
                <w:rFonts w:ascii="Sylfaen" w:hAnsi="Sylfaen"/>
                <w:b w:val="0"/>
                <w:sz w:val="24"/>
                <w:szCs w:val="24"/>
              </w:rPr>
            </w:pPr>
            <w:r w:rsidRPr="003B2786">
              <w:rPr>
                <w:rStyle w:val="Bodytext1811pt"/>
                <w:rFonts w:ascii="Sylfaen" w:hAnsi="Sylfaen"/>
                <w:sz w:val="24"/>
                <w:szCs w:val="24"/>
              </w:rPr>
              <w:t xml:space="preserve">Կոնտակտային անձը ճանաչման պետությունում </w:t>
            </w:r>
          </w:p>
        </w:tc>
        <w:tc>
          <w:tcPr>
            <w:tcW w:w="4193" w:type="dxa"/>
            <w:tcBorders>
              <w:top w:val="single" w:sz="4" w:space="0" w:color="auto"/>
              <w:left w:val="single" w:sz="4" w:space="0" w:color="auto"/>
              <w:right w:val="single" w:sz="4" w:space="0" w:color="auto"/>
            </w:tcBorders>
            <w:shd w:val="clear" w:color="auto" w:fill="FFFFFF"/>
          </w:tcPr>
          <w:p w14:paraId="37015832" w14:textId="77777777" w:rsidR="008C76E0" w:rsidRPr="003B2786" w:rsidRDefault="008C76E0" w:rsidP="008C76E0">
            <w:pPr>
              <w:pStyle w:val="Bodytext180"/>
              <w:shd w:val="clear" w:color="auto" w:fill="auto"/>
              <w:spacing w:before="0" w:line="240" w:lineRule="auto"/>
              <w:ind w:left="102" w:firstLine="0"/>
              <w:rPr>
                <w:rFonts w:ascii="Sylfaen" w:hAnsi="Sylfaen"/>
                <w:b w:val="0"/>
                <w:sz w:val="24"/>
                <w:szCs w:val="24"/>
              </w:rPr>
            </w:pPr>
            <w:r w:rsidRPr="003B2786">
              <w:rPr>
                <w:rStyle w:val="Bodytext1811pt"/>
                <w:rFonts w:ascii="Sylfaen" w:hAnsi="Sylfaen"/>
                <w:sz w:val="24"/>
                <w:szCs w:val="24"/>
              </w:rPr>
              <w:t>Ա.Ա.Հ.</w:t>
            </w:r>
          </w:p>
          <w:p w14:paraId="49A15566" w14:textId="77777777" w:rsidR="008C76E0" w:rsidRPr="003B2786" w:rsidRDefault="008C76E0" w:rsidP="008C76E0">
            <w:pPr>
              <w:pStyle w:val="Bodytext180"/>
              <w:shd w:val="clear" w:color="auto" w:fill="auto"/>
              <w:spacing w:before="0" w:line="240" w:lineRule="auto"/>
              <w:ind w:left="102" w:firstLine="0"/>
              <w:rPr>
                <w:rFonts w:ascii="Sylfaen" w:hAnsi="Sylfaen"/>
                <w:b w:val="0"/>
                <w:sz w:val="24"/>
                <w:szCs w:val="24"/>
              </w:rPr>
            </w:pPr>
            <w:r w:rsidRPr="003B2786">
              <w:rPr>
                <w:rStyle w:val="Bodytext1811pt"/>
                <w:rFonts w:ascii="Sylfaen" w:hAnsi="Sylfaen"/>
                <w:sz w:val="24"/>
                <w:szCs w:val="24"/>
              </w:rPr>
              <w:t>Հեռ.՝</w:t>
            </w:r>
          </w:p>
          <w:p w14:paraId="4D55FEB9" w14:textId="77777777" w:rsidR="008C76E0" w:rsidRPr="003B2786" w:rsidRDefault="008C76E0" w:rsidP="008C76E0">
            <w:pPr>
              <w:pStyle w:val="Bodytext180"/>
              <w:shd w:val="clear" w:color="auto" w:fill="auto"/>
              <w:spacing w:before="0" w:line="240" w:lineRule="auto"/>
              <w:ind w:left="102" w:firstLine="0"/>
              <w:rPr>
                <w:rFonts w:ascii="Sylfaen" w:hAnsi="Sylfaen"/>
                <w:b w:val="0"/>
                <w:sz w:val="24"/>
                <w:szCs w:val="24"/>
              </w:rPr>
            </w:pPr>
            <w:r w:rsidRPr="003B2786">
              <w:rPr>
                <w:rStyle w:val="Bodytext1811pt"/>
                <w:rFonts w:ascii="Sylfaen" w:hAnsi="Sylfaen"/>
                <w:sz w:val="24"/>
                <w:szCs w:val="24"/>
              </w:rPr>
              <w:t>Էլ. փոստ՝</w:t>
            </w:r>
          </w:p>
        </w:tc>
      </w:tr>
      <w:tr w:rsidR="008C76E0" w:rsidRPr="003B2786" w14:paraId="7FD264F3" w14:textId="77777777" w:rsidTr="009211E1">
        <w:trPr>
          <w:jc w:val="center"/>
        </w:trPr>
        <w:tc>
          <w:tcPr>
            <w:tcW w:w="5927" w:type="dxa"/>
            <w:tcBorders>
              <w:top w:val="single" w:sz="4" w:space="0" w:color="auto"/>
              <w:left w:val="single" w:sz="4" w:space="0" w:color="auto"/>
              <w:bottom w:val="single" w:sz="4" w:space="0" w:color="auto"/>
            </w:tcBorders>
            <w:shd w:val="clear" w:color="auto" w:fill="FFFFFF"/>
          </w:tcPr>
          <w:p w14:paraId="371E2238" w14:textId="77777777" w:rsidR="008C76E0" w:rsidRPr="008C76E0" w:rsidRDefault="008C76E0" w:rsidP="008C76E0">
            <w:pPr>
              <w:pStyle w:val="Bodytext180"/>
              <w:shd w:val="clear" w:color="auto" w:fill="auto"/>
              <w:spacing w:before="0" w:after="120" w:line="240" w:lineRule="auto"/>
              <w:ind w:left="104" w:firstLine="0"/>
              <w:rPr>
                <w:rFonts w:ascii="Sylfaen" w:hAnsi="Sylfaen"/>
                <w:b w:val="0"/>
                <w:sz w:val="24"/>
                <w:szCs w:val="24"/>
                <w:lang w:val="hy-AM"/>
              </w:rPr>
            </w:pPr>
            <w:r w:rsidRPr="003B2786">
              <w:rPr>
                <w:rStyle w:val="Bodytext1811pt"/>
                <w:rFonts w:ascii="Sylfaen" w:hAnsi="Sylfaen"/>
                <w:sz w:val="24"/>
                <w:szCs w:val="24"/>
              </w:rPr>
              <w:t>Գնահատում անցկացնող փորձագետների Ա.Ա.Հ.-ն</w:t>
            </w:r>
          </w:p>
        </w:tc>
        <w:tc>
          <w:tcPr>
            <w:tcW w:w="4193" w:type="dxa"/>
            <w:tcBorders>
              <w:top w:val="single" w:sz="4" w:space="0" w:color="auto"/>
              <w:left w:val="single" w:sz="4" w:space="0" w:color="auto"/>
              <w:bottom w:val="single" w:sz="4" w:space="0" w:color="auto"/>
              <w:right w:val="single" w:sz="4" w:space="0" w:color="auto"/>
            </w:tcBorders>
            <w:shd w:val="clear" w:color="auto" w:fill="FFFFFF"/>
          </w:tcPr>
          <w:p w14:paraId="1A139916"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Որակ՝</w:t>
            </w:r>
          </w:p>
          <w:p w14:paraId="7CE49331"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Ա.Ա.Հ.</w:t>
            </w:r>
          </w:p>
          <w:p w14:paraId="67EFB376"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Հեռ.՝</w:t>
            </w:r>
          </w:p>
          <w:p w14:paraId="71C4AF06"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Էլ. փոստ՝</w:t>
            </w:r>
          </w:p>
          <w:p w14:paraId="217B6E5F"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Նախակլինիկական գնահատում՝ Ա.Ա.Հ.</w:t>
            </w:r>
          </w:p>
          <w:p w14:paraId="1745E94A"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Հեռ.՝</w:t>
            </w:r>
          </w:p>
          <w:p w14:paraId="701366E4"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Էլ. փոստ՝</w:t>
            </w:r>
          </w:p>
          <w:p w14:paraId="335F1CB5" w14:textId="77777777" w:rsidR="008C76E0" w:rsidRPr="003B2786" w:rsidRDefault="008C76E0" w:rsidP="008C76E0">
            <w:pPr>
              <w:pStyle w:val="Bodytext180"/>
              <w:shd w:val="clear" w:color="auto" w:fill="auto"/>
              <w:spacing w:before="0" w:line="240" w:lineRule="auto"/>
              <w:ind w:left="102" w:firstLine="0"/>
              <w:rPr>
                <w:rStyle w:val="Bodytext1811pt"/>
                <w:rFonts w:ascii="Sylfaen" w:hAnsi="Sylfaen"/>
                <w:sz w:val="24"/>
                <w:szCs w:val="24"/>
              </w:rPr>
            </w:pPr>
            <w:r w:rsidRPr="003B2786">
              <w:rPr>
                <w:rStyle w:val="Bodytext1811pt"/>
                <w:rFonts w:ascii="Sylfaen" w:hAnsi="Sylfaen"/>
                <w:sz w:val="24"/>
                <w:szCs w:val="24"/>
              </w:rPr>
              <w:t xml:space="preserve">Կլինիկական գնահատում՝ </w:t>
            </w:r>
          </w:p>
          <w:p w14:paraId="62DD2A89"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Ա.Ա.Հ.</w:t>
            </w:r>
          </w:p>
          <w:p w14:paraId="59B5C15B"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Հեռ.՝</w:t>
            </w:r>
          </w:p>
          <w:p w14:paraId="2CC79601" w14:textId="77777777" w:rsidR="008C76E0" w:rsidRPr="008C76E0" w:rsidRDefault="008C76E0" w:rsidP="008C76E0">
            <w:pPr>
              <w:pStyle w:val="Bodytext180"/>
              <w:shd w:val="clear" w:color="auto" w:fill="auto"/>
              <w:spacing w:before="0" w:line="240" w:lineRule="auto"/>
              <w:ind w:left="102" w:firstLine="0"/>
              <w:rPr>
                <w:rFonts w:ascii="Sylfaen" w:hAnsi="Sylfaen"/>
                <w:b w:val="0"/>
                <w:sz w:val="24"/>
                <w:szCs w:val="24"/>
                <w:lang w:val="hy-AM"/>
              </w:rPr>
            </w:pPr>
            <w:r w:rsidRPr="003B2786">
              <w:rPr>
                <w:rStyle w:val="Bodytext1811pt"/>
                <w:rFonts w:ascii="Sylfaen" w:hAnsi="Sylfaen"/>
                <w:sz w:val="24"/>
                <w:szCs w:val="24"/>
              </w:rPr>
              <w:t>Էլ. փոստ՝</w:t>
            </w:r>
          </w:p>
        </w:tc>
      </w:tr>
    </w:tbl>
    <w:p w14:paraId="4577AE25" w14:textId="77777777" w:rsidR="008C76E0" w:rsidRPr="003B2786" w:rsidRDefault="008C76E0" w:rsidP="008C76E0">
      <w:pPr>
        <w:rPr>
          <w:rFonts w:ascii="Sylfaen" w:hAnsi="Sylfaen"/>
          <w:sz w:val="24"/>
          <w:szCs w:val="24"/>
        </w:rPr>
      </w:pPr>
      <w:r w:rsidRPr="003B2786">
        <w:rPr>
          <w:rFonts w:ascii="Sylfaen" w:hAnsi="Sylfaen"/>
          <w:sz w:val="24"/>
          <w:szCs w:val="24"/>
        </w:rPr>
        <w:br w:type="page"/>
      </w:r>
    </w:p>
    <w:p w14:paraId="1B60A2A0" w14:textId="77777777" w:rsidR="008C76E0" w:rsidRPr="003B2786" w:rsidRDefault="008C76E0" w:rsidP="00390DAC">
      <w:pPr>
        <w:tabs>
          <w:tab w:val="left" w:pos="1134"/>
        </w:tabs>
        <w:spacing w:after="160" w:line="360" w:lineRule="auto"/>
        <w:ind w:right="-1" w:firstLine="567"/>
        <w:rPr>
          <w:rFonts w:ascii="Sylfaen" w:hAnsi="Sylfaen"/>
          <w:sz w:val="24"/>
          <w:szCs w:val="24"/>
        </w:rPr>
      </w:pPr>
      <w:r w:rsidRPr="003B2786">
        <w:rPr>
          <w:rFonts w:ascii="Sylfaen" w:hAnsi="Sylfaen"/>
          <w:sz w:val="24"/>
          <w:szCs w:val="24"/>
        </w:rPr>
        <w:lastRenderedPageBreak/>
        <w:t>I.</w:t>
      </w:r>
      <w:r w:rsidRPr="003B2786">
        <w:rPr>
          <w:rFonts w:ascii="Sylfaen" w:hAnsi="Sylfaen"/>
          <w:sz w:val="24"/>
          <w:szCs w:val="24"/>
        </w:rPr>
        <w:tab/>
        <w:t>Հանձնարարական</w:t>
      </w:r>
    </w:p>
    <w:p w14:paraId="654B9E27" w14:textId="77777777" w:rsidR="008C76E0" w:rsidRPr="003B2786" w:rsidRDefault="008C76E0" w:rsidP="00390DAC">
      <w:pPr>
        <w:tabs>
          <w:tab w:val="left" w:pos="851"/>
        </w:tabs>
        <w:spacing w:after="160" w:line="360" w:lineRule="auto"/>
        <w:ind w:right="-1" w:firstLine="567"/>
        <w:jc w:val="both"/>
        <w:rPr>
          <w:rFonts w:ascii="Sylfaen" w:hAnsi="Sylfaen"/>
          <w:sz w:val="24"/>
          <w:szCs w:val="24"/>
        </w:rPr>
      </w:pPr>
      <w:r w:rsidRPr="003B2786">
        <w:rPr>
          <w:rFonts w:ascii="Sylfaen" w:hAnsi="Sylfaen"/>
          <w:sz w:val="24"/>
          <w:szCs w:val="24"/>
        </w:rPr>
        <w:t xml:space="preserve">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վերաբերյալ տվյալների վերլուծության հիման վրա` ճանաչման պետությունը հնարավոր է համարել &lt;ցուցումը&gt; բուժման համար &lt;դեղապատրաստուկի անվանումը&gt; վերաբերյալ հայտի հաստատումը: Երկրում դեղապատրաստուկի իրացման համար գրանցման հավաստագիրը տրվել է &lt;ամսաթիվը&gt;:</w:t>
      </w:r>
    </w:p>
    <w:p w14:paraId="20FF29B1" w14:textId="77777777" w:rsidR="008C76E0" w:rsidRPr="003B2786" w:rsidRDefault="008C76E0" w:rsidP="00390DAC">
      <w:pPr>
        <w:pStyle w:val="Bodytext180"/>
        <w:shd w:val="clear" w:color="auto" w:fill="auto"/>
        <w:tabs>
          <w:tab w:val="left" w:pos="1134"/>
        </w:tabs>
        <w:spacing w:before="0" w:after="160" w:line="360" w:lineRule="auto"/>
        <w:ind w:right="-1" w:firstLine="567"/>
        <w:jc w:val="both"/>
        <w:rPr>
          <w:rStyle w:val="Bodytext295pt"/>
          <w:rFonts w:ascii="Sylfaen" w:hAnsi="Sylfaen"/>
          <w:i/>
          <w:sz w:val="24"/>
          <w:szCs w:val="24"/>
        </w:rPr>
      </w:pPr>
      <w:r w:rsidRPr="003B2786">
        <w:rPr>
          <w:rStyle w:val="Bodytext295pt"/>
          <w:rFonts w:ascii="Sylfaen" w:hAnsi="Sylfaen"/>
          <w:sz w:val="24"/>
          <w:szCs w:val="24"/>
        </w:rPr>
        <w:t>II.</w:t>
      </w:r>
      <w:r w:rsidRPr="003B2786">
        <w:rPr>
          <w:rStyle w:val="Bodytext295pt"/>
          <w:rFonts w:ascii="Sylfaen" w:hAnsi="Sylfaen"/>
          <w:sz w:val="24"/>
          <w:szCs w:val="24"/>
        </w:rPr>
        <w:tab/>
        <w:t xml:space="preserve">Բացատրագիր </w:t>
      </w:r>
    </w:p>
    <w:p w14:paraId="77EF37E0" w14:textId="77777777" w:rsidR="008C76E0" w:rsidRPr="003B2786" w:rsidRDefault="008C76E0" w:rsidP="00390DAC">
      <w:pPr>
        <w:tabs>
          <w:tab w:val="left" w:pos="1134"/>
        </w:tabs>
        <w:spacing w:after="160" w:line="360" w:lineRule="auto"/>
        <w:ind w:firstLine="567"/>
        <w:rPr>
          <w:rStyle w:val="Bodytext295pt"/>
          <w:rFonts w:ascii="Sylfaen" w:eastAsia="MS Mincho" w:hAnsi="Sylfaen"/>
          <w:b w:val="0"/>
          <w:i/>
          <w:sz w:val="24"/>
          <w:szCs w:val="24"/>
        </w:rPr>
      </w:pPr>
      <w:r w:rsidRPr="003B2786">
        <w:rPr>
          <w:rStyle w:val="Bodytext295pt"/>
          <w:rFonts w:ascii="Sylfaen" w:eastAsia="MS Mincho" w:hAnsi="Sylfaen"/>
          <w:b w:val="0"/>
          <w:sz w:val="24"/>
          <w:szCs w:val="24"/>
        </w:rPr>
        <w:t>II.1.</w:t>
      </w:r>
      <w:r w:rsidRPr="003B2786">
        <w:rPr>
          <w:rStyle w:val="Bodytext295pt"/>
          <w:rFonts w:ascii="Sylfaen" w:eastAsia="MS Mincho" w:hAnsi="Sylfaen"/>
          <w:b w:val="0"/>
          <w:sz w:val="24"/>
          <w:szCs w:val="24"/>
        </w:rPr>
        <w:tab/>
        <w:t>Խնդիրների առաջադրում</w:t>
      </w:r>
    </w:p>
    <w:tbl>
      <w:tblPr>
        <w:tblOverlap w:val="never"/>
        <w:tblW w:w="901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015"/>
      </w:tblGrid>
      <w:tr w:rsidR="008C76E0" w:rsidRPr="003B2786" w14:paraId="00C9214A" w14:textId="77777777" w:rsidTr="008C76E0">
        <w:trPr>
          <w:trHeight w:val="1791"/>
          <w:jc w:val="center"/>
        </w:trPr>
        <w:tc>
          <w:tcPr>
            <w:tcW w:w="9015" w:type="dxa"/>
            <w:shd w:val="clear" w:color="auto" w:fill="FFFFFF"/>
            <w:vAlign w:val="bottom"/>
          </w:tcPr>
          <w:p w14:paraId="2F3F7EA4" w14:textId="77777777" w:rsidR="008C76E0" w:rsidRPr="008C76E0" w:rsidRDefault="008C76E0" w:rsidP="00390DAC">
            <w:pPr>
              <w:pStyle w:val="Bodytext180"/>
              <w:shd w:val="clear" w:color="auto" w:fill="auto"/>
              <w:tabs>
                <w:tab w:val="left" w:pos="851"/>
              </w:tabs>
              <w:spacing w:before="0" w:after="160" w:line="360" w:lineRule="auto"/>
              <w:ind w:right="-1" w:firstLine="536"/>
              <w:jc w:val="both"/>
              <w:rPr>
                <w:rFonts w:ascii="Sylfaen" w:hAnsi="Sylfaen"/>
                <w:sz w:val="24"/>
                <w:szCs w:val="24"/>
                <w:lang w:val="hy-AM"/>
              </w:rPr>
            </w:pPr>
            <w:r w:rsidRPr="003B2786">
              <w:rPr>
                <w:rStyle w:val="Bodytext1811pt"/>
                <w:rFonts w:ascii="Sylfaen" w:hAnsi="Sylfaen"/>
                <w:spacing w:val="-2"/>
                <w:sz w:val="24"/>
                <w:szCs w:val="24"/>
              </w:rPr>
              <w:t>Դեղապատրաստուկի վերաբերյալ հիմնավորում. համաճարակաբանությունը</w:t>
            </w:r>
            <w:r w:rsidRPr="003B2786">
              <w:rPr>
                <w:rStyle w:val="Bodytext1811pt"/>
                <w:rFonts w:ascii="Sylfaen" w:hAnsi="Sylfaen"/>
                <w:sz w:val="24"/>
                <w:szCs w:val="24"/>
              </w:rPr>
              <w:t xml:space="preserve">, հիվանդության ընթացքի առանձնահատկությունները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ընթացիկ թերապիան:</w:t>
            </w:r>
          </w:p>
          <w:p w14:paraId="31EA3391" w14:textId="77777777" w:rsidR="008C76E0" w:rsidRPr="008C76E0" w:rsidRDefault="008C76E0" w:rsidP="00390DAC">
            <w:pPr>
              <w:pStyle w:val="Bodytext180"/>
              <w:shd w:val="clear" w:color="auto" w:fill="auto"/>
              <w:tabs>
                <w:tab w:val="left" w:pos="851"/>
              </w:tabs>
              <w:spacing w:before="0" w:after="160" w:line="360" w:lineRule="auto"/>
              <w:ind w:firstLine="555"/>
              <w:jc w:val="both"/>
              <w:rPr>
                <w:rFonts w:ascii="Sylfaen" w:hAnsi="Sylfaen"/>
                <w:i/>
                <w:spacing w:val="-10"/>
                <w:sz w:val="24"/>
                <w:szCs w:val="24"/>
                <w:lang w:val="hy-AM"/>
              </w:rPr>
            </w:pPr>
            <w:r w:rsidRPr="003B2786">
              <w:rPr>
                <w:rStyle w:val="Bodytext295pt"/>
                <w:rFonts w:ascii="Sylfaen" w:hAnsi="Sylfaen"/>
                <w:i/>
                <w:sz w:val="24"/>
                <w:szCs w:val="24"/>
              </w:rPr>
              <w:t>Ծանոթագրություն. տվյալ բաժինը կիրառելի չէ ջեներիկի համար հայտերի նկատմամբ:</w:t>
            </w:r>
          </w:p>
        </w:tc>
      </w:tr>
    </w:tbl>
    <w:p w14:paraId="3F0EBEAB" w14:textId="77777777" w:rsidR="008C76E0" w:rsidRPr="003B2786" w:rsidRDefault="008C76E0" w:rsidP="00390DAC">
      <w:pPr>
        <w:tabs>
          <w:tab w:val="left" w:pos="1134"/>
        </w:tabs>
        <w:spacing w:after="160" w:line="360" w:lineRule="auto"/>
        <w:ind w:firstLine="567"/>
        <w:rPr>
          <w:rStyle w:val="Bodytext295pt"/>
          <w:rFonts w:ascii="Sylfaen" w:eastAsia="MS Mincho" w:hAnsi="Sylfaen"/>
          <w:b w:val="0"/>
          <w:i/>
          <w:sz w:val="24"/>
          <w:szCs w:val="24"/>
        </w:rPr>
      </w:pPr>
      <w:r w:rsidRPr="003B2786">
        <w:rPr>
          <w:rStyle w:val="Bodytext295pt"/>
          <w:rFonts w:ascii="Sylfaen" w:eastAsia="MS Mincho" w:hAnsi="Sylfaen"/>
          <w:b w:val="0"/>
          <w:sz w:val="24"/>
          <w:szCs w:val="24"/>
        </w:rPr>
        <w:t>II.2.</w:t>
      </w:r>
      <w:r w:rsidRPr="003B2786">
        <w:rPr>
          <w:rStyle w:val="Bodytext295pt"/>
          <w:rFonts w:ascii="Sylfaen" w:eastAsia="MS Mincho" w:hAnsi="Sylfaen"/>
          <w:b w:val="0"/>
          <w:sz w:val="24"/>
          <w:szCs w:val="24"/>
        </w:rPr>
        <w:tab/>
        <w:t>Պատրաստուկի մասին</w:t>
      </w:r>
    </w:p>
    <w:tbl>
      <w:tblPr>
        <w:tblOverlap w:val="never"/>
        <w:tblW w:w="9000"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000"/>
      </w:tblGrid>
      <w:tr w:rsidR="008C76E0" w:rsidRPr="003B2786" w14:paraId="1F3FB30E" w14:textId="77777777" w:rsidTr="008C76E0">
        <w:trPr>
          <w:trHeight w:val="2981"/>
          <w:jc w:val="center"/>
        </w:trPr>
        <w:tc>
          <w:tcPr>
            <w:tcW w:w="9000" w:type="dxa"/>
            <w:shd w:val="clear" w:color="auto" w:fill="FFFFFF"/>
            <w:vAlign w:val="bottom"/>
          </w:tcPr>
          <w:p w14:paraId="33B57519" w14:textId="77777777" w:rsidR="008C76E0" w:rsidRPr="008C76E0" w:rsidRDefault="008C76E0" w:rsidP="00B02202">
            <w:pPr>
              <w:pStyle w:val="Bodytext180"/>
              <w:shd w:val="clear" w:color="auto" w:fill="auto"/>
              <w:tabs>
                <w:tab w:val="left" w:pos="851"/>
              </w:tabs>
              <w:spacing w:before="0" w:after="160" w:line="336" w:lineRule="auto"/>
              <w:ind w:firstLine="539"/>
              <w:jc w:val="both"/>
              <w:rPr>
                <w:rFonts w:ascii="Sylfaen" w:hAnsi="Sylfaen"/>
                <w:b w:val="0"/>
                <w:sz w:val="24"/>
                <w:szCs w:val="24"/>
                <w:lang w:val="hy-AM"/>
              </w:rPr>
            </w:pPr>
            <w:r w:rsidRPr="003B2786">
              <w:rPr>
                <w:rStyle w:val="Bodytext1811pt"/>
                <w:rFonts w:ascii="Sylfaen" w:hAnsi="Sylfaen"/>
                <w:sz w:val="24"/>
                <w:szCs w:val="24"/>
              </w:rPr>
              <w:t>Ազդեցության մեխանիզմը:</w:t>
            </w:r>
          </w:p>
          <w:p w14:paraId="535A1041" w14:textId="77777777" w:rsidR="008C76E0" w:rsidRPr="008C76E0" w:rsidRDefault="008C76E0" w:rsidP="00B02202">
            <w:pPr>
              <w:pStyle w:val="Bodytext180"/>
              <w:shd w:val="clear" w:color="auto" w:fill="auto"/>
              <w:tabs>
                <w:tab w:val="left" w:pos="851"/>
              </w:tabs>
              <w:spacing w:before="0" w:after="160" w:line="336" w:lineRule="auto"/>
              <w:ind w:firstLine="539"/>
              <w:jc w:val="both"/>
              <w:rPr>
                <w:rFonts w:ascii="Sylfaen" w:hAnsi="Sylfaen"/>
                <w:b w:val="0"/>
                <w:sz w:val="24"/>
                <w:szCs w:val="24"/>
                <w:lang w:val="hy-AM"/>
              </w:rPr>
            </w:pPr>
            <w:r w:rsidRPr="003B2786">
              <w:rPr>
                <w:rStyle w:val="Bodytext1811pt"/>
                <w:rFonts w:ascii="Sylfaen" w:hAnsi="Sylfaen"/>
                <w:sz w:val="24"/>
                <w:szCs w:val="24"/>
              </w:rPr>
              <w:t>Դեղաբանական դասակարգումը:</w:t>
            </w:r>
          </w:p>
          <w:p w14:paraId="412E7517" w14:textId="77777777" w:rsidR="008C76E0" w:rsidRPr="008C76E0" w:rsidRDefault="008C76E0" w:rsidP="00B02202">
            <w:pPr>
              <w:pStyle w:val="Bodytext180"/>
              <w:shd w:val="clear" w:color="auto" w:fill="auto"/>
              <w:tabs>
                <w:tab w:val="left" w:pos="851"/>
              </w:tabs>
              <w:spacing w:before="0" w:after="160" w:line="336" w:lineRule="auto"/>
              <w:ind w:firstLine="539"/>
              <w:jc w:val="both"/>
              <w:rPr>
                <w:rFonts w:ascii="Sylfaen" w:hAnsi="Sylfaen"/>
                <w:b w:val="0"/>
                <w:sz w:val="24"/>
                <w:szCs w:val="24"/>
                <w:lang w:val="hy-AM"/>
              </w:rPr>
            </w:pPr>
            <w:r w:rsidRPr="003B2786">
              <w:rPr>
                <w:rStyle w:val="Bodytext1811pt"/>
                <w:rFonts w:ascii="Sylfaen" w:hAnsi="Sylfaen"/>
                <w:sz w:val="24"/>
                <w:szCs w:val="24"/>
              </w:rPr>
              <w:t xml:space="preserve">Կիրառման վերաբերյալ հայտագրված ցուցումները </w:t>
            </w:r>
            <w:r w:rsidR="00C54D75">
              <w:rPr>
                <w:rStyle w:val="Bodytext1811pt"/>
                <w:rFonts w:ascii="Sylfaen" w:hAnsi="Sylfaen"/>
                <w:sz w:val="24"/>
                <w:szCs w:val="24"/>
              </w:rPr>
              <w:t>և</w:t>
            </w:r>
            <w:r w:rsidRPr="003B2786">
              <w:rPr>
                <w:rStyle w:val="Bodytext1811pt"/>
                <w:rFonts w:ascii="Sylfaen" w:hAnsi="Sylfaen"/>
                <w:sz w:val="24"/>
                <w:szCs w:val="24"/>
              </w:rPr>
              <w:t xml:space="preserve"> </w:t>
            </w:r>
            <w:r w:rsidRPr="008C76E0">
              <w:rPr>
                <w:rFonts w:ascii="Sylfaen" w:hAnsi="Sylfaen"/>
                <w:b w:val="0"/>
                <w:sz w:val="24"/>
                <w:szCs w:val="24"/>
                <w:lang w:val="hy-AM"/>
              </w:rPr>
              <w:t>հանձնարարականները</w:t>
            </w:r>
            <w:r w:rsidRPr="008C76E0">
              <w:rPr>
                <w:rFonts w:ascii="Sylfaen" w:hAnsi="Sylfaen"/>
                <w:sz w:val="24"/>
                <w:szCs w:val="24"/>
                <w:lang w:val="hy-AM"/>
              </w:rPr>
              <w:t xml:space="preserve"> </w:t>
            </w:r>
            <w:r w:rsidRPr="003B2786">
              <w:rPr>
                <w:rStyle w:val="Bodytext1811pt"/>
                <w:rFonts w:ascii="Sylfaen" w:hAnsi="Sylfaen"/>
                <w:sz w:val="24"/>
                <w:szCs w:val="24"/>
              </w:rPr>
              <w:t>(այդ թվում՝ հնարավոր ռիսկերի կառավարման ռազմավարությունը) ու դոզան:</w:t>
            </w:r>
          </w:p>
          <w:p w14:paraId="2E4EC747" w14:textId="77777777" w:rsidR="008C76E0" w:rsidRPr="008C76E0" w:rsidRDefault="008C76E0" w:rsidP="00B02202">
            <w:pPr>
              <w:pStyle w:val="Bodytext180"/>
              <w:shd w:val="clear" w:color="auto" w:fill="auto"/>
              <w:tabs>
                <w:tab w:val="left" w:pos="851"/>
              </w:tabs>
              <w:spacing w:before="0" w:after="160" w:line="336" w:lineRule="auto"/>
              <w:ind w:firstLine="539"/>
              <w:jc w:val="both"/>
              <w:rPr>
                <w:rFonts w:ascii="Sylfaen" w:hAnsi="Sylfaen"/>
                <w:b w:val="0"/>
                <w:sz w:val="24"/>
                <w:szCs w:val="24"/>
                <w:lang w:val="hy-AM"/>
              </w:rPr>
            </w:pPr>
            <w:r w:rsidRPr="003B2786">
              <w:rPr>
                <w:rStyle w:val="Bodytext1811pt"/>
                <w:rFonts w:ascii="Sylfaen" w:hAnsi="Sylfaen"/>
                <w:sz w:val="24"/>
                <w:szCs w:val="24"/>
              </w:rPr>
              <w:t xml:space="preserve">Հատուկ դեղաբանական ասպեկտները (առկայության դեպքում) (օրինակ՝ ներմուծման նոր եղանակ </w:t>
            </w:r>
            <w:r w:rsidR="00C54D75">
              <w:rPr>
                <w:rStyle w:val="Bodytext1811pt"/>
                <w:rFonts w:ascii="Sylfaen" w:hAnsi="Sylfaen"/>
                <w:sz w:val="24"/>
                <w:szCs w:val="24"/>
              </w:rPr>
              <w:t>և</w:t>
            </w:r>
            <w:r w:rsidRPr="003B2786">
              <w:rPr>
                <w:rStyle w:val="Bodytext1811pt"/>
                <w:rFonts w:ascii="Sylfaen" w:hAnsi="Sylfaen"/>
                <w:sz w:val="24"/>
                <w:szCs w:val="24"/>
              </w:rPr>
              <w:t xml:space="preserve"> այլն):</w:t>
            </w:r>
          </w:p>
        </w:tc>
      </w:tr>
    </w:tbl>
    <w:p w14:paraId="69C4E5C4" w14:textId="77777777" w:rsidR="008C76E0" w:rsidRPr="003B2786" w:rsidRDefault="008C76E0" w:rsidP="00B02202">
      <w:pPr>
        <w:tabs>
          <w:tab w:val="left" w:pos="1134"/>
        </w:tabs>
        <w:spacing w:after="160" w:line="336" w:lineRule="auto"/>
        <w:ind w:firstLine="567"/>
        <w:rPr>
          <w:rFonts w:ascii="Sylfaen" w:hAnsi="Sylfaen"/>
          <w:b/>
          <w:sz w:val="24"/>
          <w:szCs w:val="24"/>
        </w:rPr>
      </w:pPr>
      <w:r w:rsidRPr="003B2786">
        <w:rPr>
          <w:rStyle w:val="Bodytext295pt"/>
          <w:rFonts w:ascii="Sylfaen" w:eastAsia="MS Mincho" w:hAnsi="Sylfaen"/>
          <w:b w:val="0"/>
          <w:sz w:val="24"/>
          <w:szCs w:val="24"/>
        </w:rPr>
        <w:t>II.3.</w:t>
      </w:r>
      <w:r w:rsidRPr="003B2786">
        <w:rPr>
          <w:rStyle w:val="Bodytext295pt"/>
          <w:rFonts w:ascii="Sylfaen" w:eastAsia="MS Mincho" w:hAnsi="Sylfaen"/>
          <w:b w:val="0"/>
          <w:sz w:val="24"/>
          <w:szCs w:val="24"/>
        </w:rPr>
        <w:tab/>
        <w:t>Ներկայացված դոսյեի վերաբերյալ ընդհանուր դիտողություններ</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2"/>
      </w:tblGrid>
      <w:tr w:rsidR="008C76E0" w:rsidRPr="003B2786" w14:paraId="2E028792" w14:textId="77777777" w:rsidTr="008C76E0">
        <w:tc>
          <w:tcPr>
            <w:tcW w:w="9072" w:type="dxa"/>
          </w:tcPr>
          <w:p w14:paraId="41AF8D8F" w14:textId="77777777" w:rsidR="008C76E0" w:rsidRPr="008C76E0" w:rsidRDefault="008C76E0" w:rsidP="00B02202">
            <w:pPr>
              <w:pStyle w:val="Bodytext180"/>
              <w:shd w:val="clear" w:color="auto" w:fill="auto"/>
              <w:spacing w:before="0" w:after="160" w:line="336" w:lineRule="auto"/>
              <w:ind w:firstLine="539"/>
              <w:jc w:val="both"/>
              <w:rPr>
                <w:rFonts w:ascii="Sylfaen" w:hAnsi="Sylfaen"/>
                <w:b w:val="0"/>
                <w:sz w:val="24"/>
                <w:szCs w:val="24"/>
                <w:lang w:val="hy-AM"/>
              </w:rPr>
            </w:pPr>
            <w:r w:rsidRPr="003B2786">
              <w:rPr>
                <w:rStyle w:val="Bodytext1811pt"/>
                <w:rFonts w:ascii="Sylfaen" w:hAnsi="Sylfaen"/>
                <w:sz w:val="24"/>
                <w:szCs w:val="24"/>
              </w:rPr>
              <w:t>Նշե՛ք գրանցման հավաստագիր ստանալու համար հայտի տեսակը, ներառյալ՝ հայտի իրավական հիմքին արված հղումը:</w:t>
            </w:r>
          </w:p>
          <w:p w14:paraId="06D67C5F" w14:textId="77777777" w:rsidR="008C76E0" w:rsidRPr="008C76E0" w:rsidRDefault="008C76E0" w:rsidP="00B02202">
            <w:pPr>
              <w:pStyle w:val="Bodytext180"/>
              <w:shd w:val="clear" w:color="auto" w:fill="auto"/>
              <w:spacing w:before="0" w:after="160" w:line="336" w:lineRule="auto"/>
              <w:ind w:firstLine="539"/>
              <w:jc w:val="both"/>
              <w:rPr>
                <w:rFonts w:ascii="Sylfaen" w:hAnsi="Sylfaen"/>
                <w:b w:val="0"/>
                <w:spacing w:val="-6"/>
                <w:sz w:val="24"/>
                <w:szCs w:val="24"/>
                <w:lang w:val="hy-AM"/>
              </w:rPr>
            </w:pPr>
            <w:r w:rsidRPr="003B2786">
              <w:rPr>
                <w:rStyle w:val="Bodytext1811pt"/>
                <w:rFonts w:ascii="Sylfaen" w:hAnsi="Sylfaen"/>
                <w:spacing w:val="-6"/>
                <w:sz w:val="24"/>
                <w:szCs w:val="24"/>
              </w:rPr>
              <w:t>Եթե նպատակահարմար է, մասնավորեցրե՛ք դոսյեի առանցքային ասպեկտները:</w:t>
            </w:r>
          </w:p>
          <w:p w14:paraId="6D6DFEAF" w14:textId="77777777" w:rsidR="008C76E0" w:rsidRPr="008C76E0" w:rsidRDefault="008C76E0" w:rsidP="00390DAC">
            <w:pPr>
              <w:pStyle w:val="Bodytext180"/>
              <w:shd w:val="clear" w:color="auto" w:fill="auto"/>
              <w:spacing w:before="0" w:after="160" w:line="360" w:lineRule="auto"/>
              <w:ind w:firstLine="536"/>
              <w:jc w:val="both"/>
              <w:rPr>
                <w:rFonts w:ascii="Sylfaen" w:hAnsi="Sylfaen"/>
                <w:b w:val="0"/>
                <w:sz w:val="24"/>
                <w:szCs w:val="24"/>
                <w:lang w:val="hy-AM"/>
              </w:rPr>
            </w:pPr>
            <w:r w:rsidRPr="003B2786">
              <w:rPr>
                <w:rStyle w:val="Bodytext1811pt"/>
                <w:rFonts w:ascii="Sylfaen" w:hAnsi="Sylfaen"/>
                <w:sz w:val="24"/>
                <w:szCs w:val="24"/>
              </w:rPr>
              <w:t>Նշե՛ք՝ արդյոք ակտիվ նյութը համարվում է նոր, թե՝ ոչ:</w:t>
            </w:r>
          </w:p>
          <w:p w14:paraId="2FD065ED" w14:textId="77777777" w:rsidR="008C76E0" w:rsidRPr="008C76E0" w:rsidRDefault="008C76E0" w:rsidP="00B02202">
            <w:pPr>
              <w:pStyle w:val="Bodytext180"/>
              <w:shd w:val="clear" w:color="auto" w:fill="auto"/>
              <w:spacing w:before="0" w:after="160" w:line="384" w:lineRule="auto"/>
              <w:ind w:firstLine="536"/>
              <w:jc w:val="both"/>
              <w:rPr>
                <w:rFonts w:ascii="Sylfaen" w:hAnsi="Sylfaen"/>
                <w:b w:val="0"/>
                <w:sz w:val="24"/>
                <w:szCs w:val="24"/>
                <w:lang w:val="hy-AM"/>
              </w:rPr>
            </w:pPr>
            <w:r w:rsidRPr="003B2786">
              <w:rPr>
                <w:rStyle w:val="Bodytext1811pt"/>
                <w:rFonts w:ascii="Sylfaen" w:hAnsi="Sylfaen"/>
                <w:sz w:val="24"/>
                <w:szCs w:val="24"/>
              </w:rPr>
              <w:lastRenderedPageBreak/>
              <w:t xml:space="preserve">Եվրասիական տնտեսական միության տարածքում գրանցման </w:t>
            </w:r>
            <w:r w:rsidR="00C54D75">
              <w:rPr>
                <w:rStyle w:val="Bodytext1811pt"/>
                <w:rFonts w:ascii="Sylfaen" w:hAnsi="Sylfaen"/>
                <w:sz w:val="24"/>
                <w:szCs w:val="24"/>
              </w:rPr>
              <w:t>և</w:t>
            </w:r>
            <w:r w:rsidRPr="003B2786">
              <w:rPr>
                <w:rStyle w:val="Bodytext1811pt"/>
                <w:rFonts w:ascii="Sylfaen" w:hAnsi="Sylfaen"/>
                <w:sz w:val="24"/>
                <w:szCs w:val="24"/>
              </w:rPr>
              <w:t xml:space="preserve"> փորձաքննության կանոնների թիվ 1 հավելվածի 14.4 </w:t>
            </w:r>
            <w:r w:rsidR="00C54D75">
              <w:rPr>
                <w:rStyle w:val="Bodytext1811pt"/>
                <w:rFonts w:ascii="Sylfaen" w:hAnsi="Sylfaen"/>
                <w:sz w:val="24"/>
                <w:szCs w:val="24"/>
              </w:rPr>
              <w:t>և</w:t>
            </w:r>
            <w:r w:rsidRPr="003B2786">
              <w:rPr>
                <w:rStyle w:val="Bodytext1811pt"/>
                <w:rFonts w:ascii="Sylfaen" w:hAnsi="Sylfaen"/>
                <w:sz w:val="24"/>
                <w:szCs w:val="24"/>
              </w:rPr>
              <w:t xml:space="preserve"> 15.2 բաժինների (պարզեցված դոսյե) հիման վրա ներկայացվող հայտերի համար. տվյալ բաժնում անհրաժեշտ է ներկայացնել 1.5.1 մոդուլի փաստաթուղթն այն հիմքերի </w:t>
            </w:r>
            <w:r w:rsidR="00C54D75">
              <w:rPr>
                <w:rStyle w:val="Bodytext1811pt"/>
                <w:rFonts w:ascii="Sylfaen" w:hAnsi="Sylfaen"/>
                <w:sz w:val="24"/>
                <w:szCs w:val="24"/>
              </w:rPr>
              <w:t>և</w:t>
            </w:r>
            <w:r w:rsidRPr="003B2786">
              <w:rPr>
                <w:rStyle w:val="Bodytext1811pt"/>
                <w:rFonts w:ascii="Sylfaen" w:hAnsi="Sylfaen"/>
                <w:sz w:val="24"/>
                <w:szCs w:val="24"/>
              </w:rPr>
              <w:t xml:space="preserve"> փաստերի հակիրճ նկարագրությամբ, որոնք օգտագործվում են դեղապատրաստուկի բաղադրության մեջ մտնող նյութերի կիրառության լավ ուսումնասիրված լինելու, անվտանգության ընդունելի մակարդակ </w:t>
            </w:r>
            <w:r w:rsidR="00C54D75">
              <w:rPr>
                <w:rStyle w:val="Bodytext1811pt"/>
                <w:rFonts w:ascii="Sylfaen" w:hAnsi="Sylfaen"/>
                <w:sz w:val="24"/>
                <w:szCs w:val="24"/>
              </w:rPr>
              <w:t>և</w:t>
            </w:r>
            <w:r w:rsidRPr="003B2786">
              <w:rPr>
                <w:rStyle w:val="Bodytext1811pt"/>
                <w:rFonts w:ascii="Sylfaen" w:hAnsi="Sylfaen"/>
                <w:sz w:val="24"/>
                <w:szCs w:val="24"/>
              </w:rPr>
              <w:t xml:space="preserve"> ճանաչված արդյունավետություն ունենալու հանգամանքը ցույց տալու համար: Անհրաժեշտ</w:t>
            </w:r>
            <w:r w:rsidR="005A381A" w:rsidRPr="005A381A">
              <w:rPr>
                <w:rStyle w:val="Bodytext1811pt"/>
                <w:rFonts w:ascii="Sylfaen" w:hAnsi="Sylfaen"/>
                <w:sz w:val="24"/>
                <w:szCs w:val="24"/>
              </w:rPr>
              <w:t> </w:t>
            </w:r>
            <w:r w:rsidRPr="003B2786">
              <w:rPr>
                <w:rStyle w:val="Bodytext1811pt"/>
                <w:rFonts w:ascii="Sylfaen" w:hAnsi="Sylfaen"/>
                <w:sz w:val="24"/>
                <w:szCs w:val="24"/>
              </w:rPr>
              <w:t>է բերել երկրում սովորաբար անցկացվող որոշ հետազոտություններից հրաժարվելու հանգամանքի թույլատրելիության հստակ գիտական հիմնավորում:</w:t>
            </w:r>
          </w:p>
          <w:p w14:paraId="68E313BB" w14:textId="77777777" w:rsidR="008C76E0" w:rsidRPr="008C76E0" w:rsidRDefault="008C76E0" w:rsidP="00B02202">
            <w:pPr>
              <w:pStyle w:val="Bodytext180"/>
              <w:shd w:val="clear" w:color="auto" w:fill="auto"/>
              <w:spacing w:before="0" w:after="160" w:line="384" w:lineRule="auto"/>
              <w:ind w:firstLine="536"/>
              <w:jc w:val="both"/>
              <w:rPr>
                <w:rFonts w:ascii="Sylfaen" w:hAnsi="Sylfaen"/>
                <w:b w:val="0"/>
                <w:sz w:val="24"/>
                <w:szCs w:val="24"/>
                <w:lang w:val="hy-AM"/>
              </w:rPr>
            </w:pPr>
            <w:r w:rsidRPr="003B2786">
              <w:rPr>
                <w:rStyle w:val="Bodytext1811pt"/>
                <w:rFonts w:ascii="Sylfaen" w:hAnsi="Sylfaen"/>
                <w:sz w:val="24"/>
                <w:szCs w:val="24"/>
              </w:rPr>
              <w:t xml:space="preserve">Վերարտադրված դեղապատրաստուկների համար ներկայացվող հայտերի համար. տվյալ բաժնում անհրաժեշտ է ներկայացնել 1.5.2 մոդուլի փաստաթուղթն այն հիմքերի </w:t>
            </w:r>
            <w:r w:rsidR="00C54D75">
              <w:rPr>
                <w:rStyle w:val="Bodytext1811pt"/>
                <w:rFonts w:ascii="Sylfaen" w:hAnsi="Sylfaen"/>
                <w:sz w:val="24"/>
                <w:szCs w:val="24"/>
              </w:rPr>
              <w:t>և</w:t>
            </w:r>
            <w:r w:rsidRPr="003B2786">
              <w:rPr>
                <w:rStyle w:val="Bodytext1811pt"/>
                <w:rFonts w:ascii="Sylfaen" w:hAnsi="Sylfaen"/>
                <w:sz w:val="24"/>
                <w:szCs w:val="24"/>
              </w:rPr>
              <w:t xml:space="preserve"> փաստերի հակիրճ նկարագրությամբ, որոնք օգտագործվում են դեղապատրաստուկի՝ գրանցված օրիգինալ պատրաստուկին գործնականում համարժեք լինելու հանգամանքը ցույց տալու համար:</w:t>
            </w:r>
          </w:p>
          <w:p w14:paraId="6A78D695" w14:textId="77777777" w:rsidR="008C76E0" w:rsidRPr="008C76E0" w:rsidRDefault="008C76E0" w:rsidP="00B02202">
            <w:pPr>
              <w:pStyle w:val="Bodytext180"/>
              <w:shd w:val="clear" w:color="auto" w:fill="auto"/>
              <w:spacing w:before="0" w:after="160" w:line="384" w:lineRule="auto"/>
              <w:ind w:firstLine="548"/>
              <w:jc w:val="both"/>
              <w:rPr>
                <w:rFonts w:ascii="Sylfaen" w:hAnsi="Sylfaen"/>
                <w:b w:val="0"/>
                <w:sz w:val="24"/>
                <w:szCs w:val="24"/>
                <w:lang w:val="hy-AM"/>
              </w:rPr>
            </w:pPr>
            <w:r w:rsidRPr="003B2786">
              <w:rPr>
                <w:rStyle w:val="Bodytext1811pt"/>
                <w:rFonts w:ascii="Sylfaen" w:hAnsi="Sylfaen"/>
                <w:sz w:val="24"/>
                <w:szCs w:val="24"/>
              </w:rPr>
              <w:t>Նշե՛ք՝ արդյոք հայտատուն ներկայացրել է ռիսկերի կառավարման  պլանը (կիրառելիության դեպքում):</w:t>
            </w:r>
          </w:p>
          <w:p w14:paraId="38CCF051" w14:textId="77777777" w:rsidR="008C76E0" w:rsidRPr="008C76E0" w:rsidRDefault="008C76E0" w:rsidP="00B02202">
            <w:pPr>
              <w:pStyle w:val="Bodytext180"/>
              <w:shd w:val="clear" w:color="auto" w:fill="auto"/>
              <w:spacing w:before="0" w:after="160" w:line="360" w:lineRule="auto"/>
              <w:ind w:firstLine="550"/>
              <w:jc w:val="both"/>
              <w:rPr>
                <w:rFonts w:ascii="Sylfaen" w:hAnsi="Sylfaen"/>
                <w:b w:val="0"/>
                <w:sz w:val="24"/>
                <w:szCs w:val="24"/>
                <w:lang w:val="hy-AM"/>
              </w:rPr>
            </w:pPr>
            <w:r w:rsidRPr="003B2786">
              <w:rPr>
                <w:rStyle w:val="Bodytext1811pt"/>
                <w:rFonts w:ascii="Sylfaen" w:hAnsi="Sylfaen"/>
                <w:sz w:val="24"/>
                <w:szCs w:val="24"/>
              </w:rPr>
              <w:t xml:space="preserve">Ներկայացրե՛ք պատրաստուկի կլինիկական մշակման ծրագիրը </w:t>
            </w:r>
            <w:r w:rsidR="00C54D75">
              <w:rPr>
                <w:rStyle w:val="Bodytext1811pt"/>
                <w:rFonts w:ascii="Sylfaen" w:hAnsi="Sylfaen"/>
                <w:sz w:val="24"/>
                <w:szCs w:val="24"/>
              </w:rPr>
              <w:t>և</w:t>
            </w:r>
            <w:r w:rsidRPr="003B2786">
              <w:rPr>
                <w:rStyle w:val="Bodytext1811pt"/>
                <w:rFonts w:ascii="Sylfaen" w:hAnsi="Sylfaen"/>
                <w:sz w:val="24"/>
                <w:szCs w:val="24"/>
              </w:rPr>
              <w:t xml:space="preserve"> համապատասխան մեկնաբանություններ կատարեք կիրառման ու դոզայի վերաբերյալ առաջարկված ցուցումների տեսանկյունից (կիրառելիության դեպքում):</w:t>
            </w:r>
          </w:p>
          <w:p w14:paraId="292C1344" w14:textId="77777777" w:rsidR="008C76E0" w:rsidRPr="008C76E0" w:rsidRDefault="008C76E0" w:rsidP="00B02202">
            <w:pPr>
              <w:pStyle w:val="Bodytext180"/>
              <w:shd w:val="clear" w:color="auto" w:fill="auto"/>
              <w:spacing w:before="0" w:after="160" w:line="360" w:lineRule="auto"/>
              <w:ind w:firstLine="550"/>
              <w:jc w:val="both"/>
              <w:rPr>
                <w:rFonts w:ascii="Sylfaen" w:hAnsi="Sylfaen"/>
                <w:b w:val="0"/>
                <w:sz w:val="24"/>
                <w:szCs w:val="24"/>
                <w:lang w:val="hy-AM"/>
              </w:rPr>
            </w:pPr>
            <w:r w:rsidRPr="003B2786">
              <w:rPr>
                <w:rStyle w:val="Bodytext1811pt"/>
                <w:rFonts w:ascii="Sylfaen" w:hAnsi="Sylfaen"/>
                <w:sz w:val="24"/>
                <w:szCs w:val="24"/>
              </w:rPr>
              <w:t>Նշե՛ք՝ անցկացվել է արդյոք գիտական խորհրդատվություն (եթե այո, ապա</w:t>
            </w:r>
            <w:r w:rsidR="009E569B" w:rsidRPr="009E569B">
              <w:rPr>
                <w:rStyle w:val="Bodytext1811pt"/>
                <w:rFonts w:ascii="Sylfaen" w:hAnsi="Sylfaen"/>
                <w:sz w:val="24"/>
                <w:szCs w:val="24"/>
              </w:rPr>
              <w:t> </w:t>
            </w:r>
            <w:r w:rsidRPr="003B2786">
              <w:rPr>
                <w:rStyle w:val="Bodytext1811pt"/>
                <w:rFonts w:ascii="Sylfaen" w:hAnsi="Sylfaen"/>
                <w:sz w:val="24"/>
                <w:szCs w:val="24"/>
              </w:rPr>
              <w:t>ե՞րբ),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արդյո՞ք հայտատուն կատարել է իրեն տրված հանձնարարականները: </w:t>
            </w:r>
          </w:p>
          <w:p w14:paraId="1AEBE841" w14:textId="77777777" w:rsidR="008C76E0" w:rsidRPr="008C76E0" w:rsidRDefault="008C76E0" w:rsidP="00390DAC">
            <w:pPr>
              <w:pStyle w:val="Bodytext180"/>
              <w:shd w:val="clear" w:color="auto" w:fill="auto"/>
              <w:spacing w:before="0" w:after="160" w:line="360" w:lineRule="auto"/>
              <w:ind w:firstLine="548"/>
              <w:jc w:val="both"/>
              <w:rPr>
                <w:rFonts w:ascii="Sylfaen" w:hAnsi="Sylfaen"/>
                <w:b w:val="0"/>
                <w:sz w:val="24"/>
                <w:szCs w:val="24"/>
                <w:lang w:val="hy-AM"/>
              </w:rPr>
            </w:pPr>
            <w:r w:rsidRPr="003B2786">
              <w:rPr>
                <w:rStyle w:val="Bodytext1811pt"/>
                <w:rFonts w:ascii="Sylfaen" w:hAnsi="Sylfaen"/>
                <w:sz w:val="24"/>
                <w:szCs w:val="24"/>
              </w:rPr>
              <w:t xml:space="preserve">Նշե՛ք՝ արդյոք հայտատուն կատարել է Եվրասիական տնտեսական </w:t>
            </w:r>
            <w:r w:rsidRPr="003B2786">
              <w:rPr>
                <w:rStyle w:val="Bodytext1811pt"/>
                <w:rFonts w:ascii="Sylfaen" w:hAnsi="Sylfaen"/>
                <w:sz w:val="24"/>
                <w:szCs w:val="24"/>
              </w:rPr>
              <w:lastRenderedPageBreak/>
              <w:t>միության (այսուհետ՝ ԵԱՏՄ) մարմինների ակտերի պահանջները:</w:t>
            </w:r>
          </w:p>
          <w:p w14:paraId="6739C334" w14:textId="77777777" w:rsidR="008C76E0" w:rsidRPr="008C76E0" w:rsidRDefault="008C76E0" w:rsidP="00390DAC">
            <w:pPr>
              <w:pStyle w:val="Bodytext180"/>
              <w:shd w:val="clear" w:color="auto" w:fill="auto"/>
              <w:spacing w:before="0" w:after="160" w:line="360" w:lineRule="auto"/>
              <w:ind w:firstLine="548"/>
              <w:jc w:val="both"/>
              <w:rPr>
                <w:rFonts w:ascii="Sylfaen" w:hAnsi="Sylfaen"/>
                <w:sz w:val="24"/>
                <w:szCs w:val="24"/>
                <w:lang w:val="hy-AM"/>
              </w:rPr>
            </w:pPr>
            <w:r w:rsidRPr="003B2786">
              <w:rPr>
                <w:rStyle w:val="Bodytext1811pt"/>
                <w:rFonts w:ascii="Sylfaen" w:hAnsi="Sylfaen"/>
                <w:sz w:val="24"/>
                <w:szCs w:val="24"/>
              </w:rPr>
              <w:t>Նշե՛ք մանկաբուժության ոլորտում,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այլ հատուկ պոպուլյացիաներում (տարեց մարդիկ, տղամարդիկ, կանայք, էթնիկ փոքրամասնություններ) առկայությունը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դրանցում կիրառությունը մշակելու անհրաժեշտությունը:</w:t>
            </w:r>
          </w:p>
        </w:tc>
      </w:tr>
    </w:tbl>
    <w:p w14:paraId="3217B22C" w14:textId="77777777" w:rsidR="008C76E0" w:rsidRPr="003B2786" w:rsidRDefault="008C76E0" w:rsidP="00390DAC">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lastRenderedPageBreak/>
        <w:t>II.4.</w:t>
      </w:r>
      <w:r w:rsidRPr="003B2786">
        <w:rPr>
          <w:rFonts w:ascii="Sylfaen" w:hAnsi="Sylfaen"/>
          <w:sz w:val="24"/>
          <w:szCs w:val="24"/>
        </w:rPr>
        <w:tab/>
        <w:t xml:space="preserve">Պատշաճ արտադրական գործունեության (GMP), պատշաճ լաբորատոր գործունեության (GLP), պատշաճ կլինիկական գործունեության (GCP) պահանջների կատարման </w:t>
      </w:r>
      <w:r w:rsidR="00C54D75">
        <w:rPr>
          <w:rFonts w:ascii="Sylfaen" w:hAnsi="Sylfaen"/>
          <w:sz w:val="24"/>
          <w:szCs w:val="24"/>
        </w:rPr>
        <w:t>և</w:t>
      </w:r>
      <w:r w:rsidRPr="003B2786">
        <w:rPr>
          <w:rFonts w:ascii="Sylfaen" w:hAnsi="Sylfaen"/>
          <w:sz w:val="24"/>
          <w:szCs w:val="24"/>
        </w:rPr>
        <w:t xml:space="preserve"> համաձայնեցված էթնիկ սկզբունքների պահպանման վերաբերյալ ընդհանուր դիտողությունները</w:t>
      </w:r>
    </w:p>
    <w:p w14:paraId="521B1C6C" w14:textId="77777777" w:rsidR="008C76E0" w:rsidRPr="008C76E0" w:rsidRDefault="008C76E0" w:rsidP="00390DAC">
      <w:pPr>
        <w:pStyle w:val="Bodytext70"/>
        <w:shd w:val="clear" w:color="auto" w:fill="auto"/>
        <w:spacing w:before="0"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«Ճանաչման պետության կողմից հաստատվել է տվյալ պատրաստուկի մասով պատշաճ արտադրական գործունեության (GMP) ընդունված ստանդարտների պահպանումը` դրա արտադրության </w:t>
      </w:r>
      <w:r w:rsidR="00C54D75">
        <w:rPr>
          <w:rFonts w:ascii="Sylfaen" w:hAnsi="Sylfaen"/>
          <w:b w:val="0"/>
          <w:sz w:val="24"/>
          <w:szCs w:val="24"/>
          <w:lang w:val="hy-AM"/>
        </w:rPr>
        <w:t>և</w:t>
      </w:r>
      <w:r w:rsidRPr="008C76E0">
        <w:rPr>
          <w:rFonts w:ascii="Sylfaen" w:hAnsi="Sylfaen"/>
          <w:b w:val="0"/>
          <w:sz w:val="24"/>
          <w:szCs w:val="24"/>
          <w:lang w:val="hy-AM"/>
        </w:rPr>
        <w:t xml:space="preserve"> փաթեթավորման համար պատասխանատու բոլոր տեղամասերում՝ «բացառությամբ ... Անհրաժեշտ է տեսչական ստուգում անցկացնել տվյալ տեղամասում, քանի որ</w:t>
      </w:r>
      <w:r w:rsidRPr="003B2786">
        <w:rPr>
          <w:rStyle w:val="Bodytext295pt"/>
          <w:rFonts w:ascii="Sylfaen" w:hAnsi="Sylfaen"/>
          <w:sz w:val="24"/>
          <w:szCs w:val="24"/>
        </w:rPr>
        <w:t>»՝</w:t>
      </w:r>
    </w:p>
    <w:p w14:paraId="751E3E49"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«Ճանաչման ... պետությունների տարածքում արտադրամասերի համար ընդունվել են արտադրության թույլտվությունների գործող պատճենները, որոնք տրվել են իրավասու տեսչական մարմինների կողմից՝ ի հաստատումն այդ տեղամասերում GMP-ի ընդունված ստանդարտների պահպանման»,</w:t>
      </w:r>
    </w:p>
    <w:p w14:paraId="24487BAB"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արտադրամասերի համար ընդունվել են բավարար տեսչական ստուգումների հաշվետվությունների արդյունքներով GMP-ին համապատասխանության գործող սերտիֆիկատների, շտկող գործողությունների արդյունքներով անհամապատասխանությունների վերացման վերաբերյալ կամ իրավասու տեսչական մարմինների (կամ այն երկրների, որոնց հետ Միությունը համաձայնագիր է կնքել իրենց տարածքներում փոխադարձ ճանաչման մասին) կողմից ուղարկված տեղեկատվության փոխանակման վերաբերյալ նամակների օրինակները՝ ի հաստատումն այդպիսի արտադրամասերում GMP -ի ընդունված  ստանդարտների պահպանման»:</w:t>
      </w:r>
    </w:p>
    <w:tbl>
      <w:tblPr>
        <w:tblOverlap w:val="never"/>
        <w:tblW w:w="9576" w:type="dxa"/>
        <w:jc w:val="center"/>
        <w:tblLayout w:type="fixed"/>
        <w:tblCellMar>
          <w:left w:w="10" w:type="dxa"/>
          <w:right w:w="10" w:type="dxa"/>
        </w:tblCellMar>
        <w:tblLook w:val="04A0" w:firstRow="1" w:lastRow="0" w:firstColumn="1" w:lastColumn="0" w:noHBand="0" w:noVBand="1"/>
      </w:tblPr>
      <w:tblGrid>
        <w:gridCol w:w="9576"/>
      </w:tblGrid>
      <w:tr w:rsidR="008C76E0" w:rsidRPr="003B2786" w14:paraId="719185C8" w14:textId="77777777" w:rsidTr="008C76E0">
        <w:trPr>
          <w:jc w:val="center"/>
        </w:trPr>
        <w:tc>
          <w:tcPr>
            <w:tcW w:w="9576" w:type="dxa"/>
            <w:tcBorders>
              <w:top w:val="single" w:sz="4" w:space="0" w:color="auto"/>
              <w:left w:val="single" w:sz="4" w:space="0" w:color="auto"/>
              <w:right w:val="single" w:sz="4" w:space="0" w:color="auto"/>
            </w:tcBorders>
            <w:shd w:val="clear" w:color="auto" w:fill="FFFFFF"/>
          </w:tcPr>
          <w:p w14:paraId="0BBD206C"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lastRenderedPageBreak/>
              <w:t>Նշե՛ք այն, ինչ նպատակահարմար է՝ նախնական գնահատման մոդուլների դրույթներին համապատասխան:</w:t>
            </w:r>
          </w:p>
        </w:tc>
      </w:tr>
      <w:tr w:rsidR="008C76E0" w:rsidRPr="003B2786" w14:paraId="2BA5815E" w14:textId="77777777" w:rsidTr="008C76E0">
        <w:trPr>
          <w:trHeight w:val="1685"/>
          <w:jc w:val="center"/>
        </w:trPr>
        <w:tc>
          <w:tcPr>
            <w:tcW w:w="9576" w:type="dxa"/>
            <w:tcBorders>
              <w:left w:val="single" w:sz="4" w:space="0" w:color="auto"/>
              <w:right w:val="single" w:sz="4" w:space="0" w:color="auto"/>
            </w:tcBorders>
            <w:shd w:val="clear" w:color="auto" w:fill="FFFFFF"/>
            <w:vAlign w:val="center"/>
          </w:tcPr>
          <w:p w14:paraId="76C62C7C"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Հարկ է առանձին նշել, թե արդյոք անհրաժեշտություն կա որ</w:t>
            </w:r>
            <w:r w:rsidR="00C54D75">
              <w:rPr>
                <w:rStyle w:val="Bodytext1811pt"/>
                <w:rFonts w:ascii="Sylfaen" w:hAnsi="Sylfaen"/>
                <w:sz w:val="24"/>
                <w:szCs w:val="24"/>
              </w:rPr>
              <w:t>և</w:t>
            </w:r>
            <w:r w:rsidRPr="003B2786">
              <w:rPr>
                <w:rStyle w:val="Bodytext1811pt"/>
                <w:rFonts w:ascii="Sylfaen" w:hAnsi="Sylfaen"/>
                <w:sz w:val="24"/>
                <w:szCs w:val="24"/>
              </w:rPr>
              <w:t xml:space="preserve">է տեսչական ստուգում անցկացնելու (եթե այո, ապա՝ պատշաճ արտադրական գործունեության, պատշաճ լաբորատոր գործունեության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պատշաճ կլինիկական գործունեության հատկապես ո՞ր մասով):</w:t>
            </w:r>
          </w:p>
        </w:tc>
      </w:tr>
      <w:tr w:rsidR="008C76E0" w:rsidRPr="003B2786" w14:paraId="2383072D" w14:textId="77777777" w:rsidTr="008C76E0">
        <w:trPr>
          <w:trHeight w:val="2143"/>
          <w:jc w:val="center"/>
        </w:trPr>
        <w:tc>
          <w:tcPr>
            <w:tcW w:w="9576" w:type="dxa"/>
            <w:tcBorders>
              <w:left w:val="single" w:sz="4" w:space="0" w:color="auto"/>
              <w:right w:val="single" w:sz="4" w:space="0" w:color="auto"/>
            </w:tcBorders>
            <w:shd w:val="clear" w:color="auto" w:fill="FFFFFF"/>
            <w:vAlign w:val="center"/>
          </w:tcPr>
          <w:p w14:paraId="0760B16B"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 xml:space="preserve">Մեկ կամ ավելի տեսչական ստուգում անցկացնելու անհրաժեշտության դեպքում որակի, նախակլինիկական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կլինիկական փորձարկումների վերաբերյալ համապատասխան հաշվետվություններում ներկայացրե՛ք Պատշաճ արտադրական գործունեության, Պատշաճ լաբորատոր գործունեության կամ Պատշաճ կլինիկական գործունեության վերաբերյալ բաժիններում մանրամասն տեղեկատվությանն արված հղումը:</w:t>
            </w:r>
          </w:p>
        </w:tc>
      </w:tr>
      <w:tr w:rsidR="008C76E0" w:rsidRPr="003B2786" w14:paraId="2E0A99ED" w14:textId="77777777" w:rsidTr="008C76E0">
        <w:trPr>
          <w:trHeight w:val="1014"/>
          <w:jc w:val="center"/>
        </w:trPr>
        <w:tc>
          <w:tcPr>
            <w:tcW w:w="9576" w:type="dxa"/>
            <w:tcBorders>
              <w:left w:val="single" w:sz="4" w:space="0" w:color="auto"/>
              <w:right w:val="single" w:sz="4" w:space="0" w:color="auto"/>
            </w:tcBorders>
            <w:shd w:val="clear" w:color="auto" w:fill="FFFFFF"/>
            <w:vAlign w:val="bottom"/>
          </w:tcPr>
          <w:p w14:paraId="74B710C0"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 xml:space="preserve">Տեսչական ստուգումներ անցկացնելու կարիքն անհրաժեշտ է նշել սույն փաստաթղթի III </w:t>
            </w:r>
            <w:r w:rsidR="00C54D75">
              <w:rPr>
                <w:rStyle w:val="Bodytext1811pt"/>
                <w:rFonts w:ascii="Sylfaen" w:hAnsi="Sylfaen"/>
                <w:sz w:val="24"/>
                <w:szCs w:val="24"/>
              </w:rPr>
              <w:t>և</w:t>
            </w:r>
            <w:r w:rsidRPr="003B2786">
              <w:rPr>
                <w:rStyle w:val="Bodytext1811pt"/>
                <w:rFonts w:ascii="Sylfaen" w:hAnsi="Sylfaen"/>
                <w:sz w:val="24"/>
                <w:szCs w:val="24"/>
              </w:rPr>
              <w:t xml:space="preserve"> V բաժինների համապատասխան մասերում:</w:t>
            </w:r>
          </w:p>
        </w:tc>
      </w:tr>
      <w:tr w:rsidR="008C76E0" w:rsidRPr="003B2786" w14:paraId="467959A8" w14:textId="77777777" w:rsidTr="008C76E0">
        <w:trPr>
          <w:jc w:val="center"/>
        </w:trPr>
        <w:tc>
          <w:tcPr>
            <w:tcW w:w="9576" w:type="dxa"/>
            <w:tcBorders>
              <w:top w:val="single" w:sz="4" w:space="0" w:color="auto"/>
            </w:tcBorders>
            <w:shd w:val="clear" w:color="auto" w:fill="FFFFFF"/>
            <w:vAlign w:val="center"/>
          </w:tcPr>
          <w:p w14:paraId="67BFDC75" w14:textId="77777777" w:rsidR="008C76E0" w:rsidRPr="008C76E0" w:rsidRDefault="008C76E0" w:rsidP="00390DAC">
            <w:pPr>
              <w:pStyle w:val="Bodytext180"/>
              <w:shd w:val="clear" w:color="auto" w:fill="auto"/>
              <w:spacing w:before="0" w:after="160" w:line="360" w:lineRule="auto"/>
              <w:ind w:left="45" w:right="74" w:firstLine="482"/>
              <w:jc w:val="both"/>
              <w:rPr>
                <w:rFonts w:ascii="Sylfaen" w:hAnsi="Sylfaen"/>
                <w:b w:val="0"/>
                <w:i/>
                <w:sz w:val="24"/>
                <w:szCs w:val="24"/>
                <w:lang w:val="hy-AM"/>
              </w:rPr>
            </w:pPr>
            <w:r w:rsidRPr="003B2786">
              <w:rPr>
                <w:rStyle w:val="Bodytext295pt"/>
                <w:rFonts w:ascii="Sylfaen" w:hAnsi="Sylfaen"/>
                <w:sz w:val="24"/>
                <w:szCs w:val="24"/>
              </w:rPr>
              <w:t>III.</w:t>
            </w:r>
            <w:r w:rsidRPr="003B2786">
              <w:rPr>
                <w:rStyle w:val="Bodytext295pt"/>
                <w:rFonts w:ascii="Sylfaen" w:hAnsi="Sylfaen"/>
                <w:sz w:val="24"/>
                <w:szCs w:val="24"/>
              </w:rPr>
              <w:tab/>
              <w:t xml:space="preserve">Գիտական ակնարկ </w:t>
            </w:r>
            <w:r w:rsidR="00C54D75">
              <w:rPr>
                <w:rStyle w:val="Bodytext295pt"/>
                <w:rFonts w:ascii="Sylfaen" w:hAnsi="Sylfaen"/>
                <w:sz w:val="24"/>
                <w:szCs w:val="24"/>
              </w:rPr>
              <w:t>և</w:t>
            </w:r>
            <w:r w:rsidRPr="003B2786">
              <w:rPr>
                <w:rStyle w:val="Bodytext295pt"/>
                <w:rFonts w:ascii="Sylfaen" w:hAnsi="Sylfaen"/>
                <w:sz w:val="24"/>
                <w:szCs w:val="24"/>
              </w:rPr>
              <w:t xml:space="preserve"> քննարկում</w:t>
            </w:r>
          </w:p>
        </w:tc>
      </w:tr>
      <w:tr w:rsidR="008C76E0" w:rsidRPr="003B2786" w14:paraId="711A7D74" w14:textId="77777777" w:rsidTr="008C76E0">
        <w:trPr>
          <w:trHeight w:val="2570"/>
          <w:jc w:val="center"/>
        </w:trPr>
        <w:tc>
          <w:tcPr>
            <w:tcW w:w="9576" w:type="dxa"/>
            <w:tcBorders>
              <w:top w:val="single" w:sz="4" w:space="0" w:color="auto"/>
              <w:left w:val="single" w:sz="4" w:space="0" w:color="auto"/>
              <w:right w:val="single" w:sz="4" w:space="0" w:color="auto"/>
            </w:tcBorders>
            <w:shd w:val="clear" w:color="auto" w:fill="FFFFFF"/>
          </w:tcPr>
          <w:p w14:paraId="3871641D"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 xml:space="preserve">Տվյալ բաժնում կարող է օգտագործվել թիվ 6-8 հավելվածներով նախատեսված «... գնահատման փորձագետների ընդհանուր եզրակացությունները» պարբերություններից վերցված տեղեկատվությունը: Համապատասխան պարբերությունները ներկայացված են թիվ 6-8 հավելվածների համապատասխան մասերի վերջում: Գնահատման փորձագետը կարող է հետագայում իր հայեցողությամբ պատճենել </w:t>
            </w:r>
            <w:r w:rsidR="00C54D75">
              <w:rPr>
                <w:rStyle w:val="Bodytext1811pt"/>
                <w:rFonts w:ascii="Sylfaen" w:hAnsi="Sylfaen"/>
                <w:sz w:val="24"/>
                <w:szCs w:val="24"/>
              </w:rPr>
              <w:t>և</w:t>
            </w:r>
            <w:r w:rsidRPr="003B2786">
              <w:rPr>
                <w:rStyle w:val="Bodytext1811pt"/>
                <w:rFonts w:ascii="Sylfaen" w:hAnsi="Sylfaen"/>
                <w:sz w:val="24"/>
                <w:szCs w:val="24"/>
              </w:rPr>
              <w:t xml:space="preserve"> ավելացնել կամ ներգրել այդ պարբերությունները համապատասխան վերնագրերի ներքո:</w:t>
            </w:r>
          </w:p>
        </w:tc>
      </w:tr>
      <w:tr w:rsidR="008C76E0" w:rsidRPr="003B2786" w14:paraId="17C1B556" w14:textId="77777777" w:rsidTr="008C76E0">
        <w:trPr>
          <w:trHeight w:val="1895"/>
          <w:jc w:val="center"/>
        </w:trPr>
        <w:tc>
          <w:tcPr>
            <w:tcW w:w="9576" w:type="dxa"/>
            <w:tcBorders>
              <w:left w:val="single" w:sz="4" w:space="0" w:color="auto"/>
              <w:right w:val="single" w:sz="4" w:space="0" w:color="auto"/>
            </w:tcBorders>
            <w:shd w:val="clear" w:color="auto" w:fill="FFFFFF"/>
            <w:vAlign w:val="center"/>
          </w:tcPr>
          <w:p w14:paraId="204BD1F0"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Ցանկացած դեպքում անհրաժեշտ է հստակ առանձնացնել նախնական գնահատման յուրաքանչյուր մասի առնչությամբ կատարված բոլոր կար</w:t>
            </w:r>
            <w:r w:rsidR="00C54D75">
              <w:rPr>
                <w:rStyle w:val="Bodytext1811pt"/>
                <w:rFonts w:ascii="Sylfaen" w:hAnsi="Sylfaen"/>
                <w:sz w:val="24"/>
                <w:szCs w:val="24"/>
              </w:rPr>
              <w:t>և</w:t>
            </w:r>
            <w:r w:rsidRPr="003B2786">
              <w:rPr>
                <w:rStyle w:val="Bodytext1811pt"/>
                <w:rFonts w:ascii="Sylfaen" w:hAnsi="Sylfaen"/>
                <w:sz w:val="24"/>
                <w:szCs w:val="24"/>
              </w:rPr>
              <w:t xml:space="preserve">որ բացահայտումները, դիտարկել օգուտ </w:t>
            </w:r>
            <w:r w:rsidR="00C54D75">
              <w:rPr>
                <w:rStyle w:val="Bodytext1811pt"/>
                <w:rFonts w:ascii="Sylfaen" w:hAnsi="Sylfaen"/>
                <w:sz w:val="24"/>
                <w:szCs w:val="24"/>
              </w:rPr>
              <w:t>և</w:t>
            </w:r>
            <w:r w:rsidRPr="003B2786">
              <w:rPr>
                <w:rStyle w:val="Bodytext1811pt"/>
                <w:rFonts w:ascii="Sylfaen" w:hAnsi="Sylfaen"/>
                <w:sz w:val="24"/>
                <w:szCs w:val="24"/>
              </w:rPr>
              <w:t xml:space="preserve"> ռիսկ հարաբերակցության գնահատման հիմքերը, ճանաչման պետության </w:t>
            </w:r>
            <w:r w:rsidRPr="008C76E0">
              <w:rPr>
                <w:rFonts w:ascii="Sylfaen" w:hAnsi="Sylfaen"/>
                <w:b w:val="0"/>
                <w:sz w:val="24"/>
                <w:szCs w:val="24"/>
                <w:lang w:val="hy-AM"/>
              </w:rPr>
              <w:t>հանձնարարականները</w:t>
            </w:r>
            <w:r w:rsidRPr="003B2786">
              <w:rPr>
                <w:rStyle w:val="Bodytext1811pt"/>
                <w:rFonts w:ascii="Sylfaen" w:hAnsi="Sylfaen"/>
                <w:sz w:val="24"/>
                <w:szCs w:val="24"/>
              </w:rPr>
              <w:t>,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հայտատուին առաջադրված հարցերը:</w:t>
            </w:r>
          </w:p>
        </w:tc>
      </w:tr>
      <w:tr w:rsidR="008C76E0" w:rsidRPr="003B2786" w14:paraId="788EF00D" w14:textId="77777777" w:rsidTr="008C76E0">
        <w:trPr>
          <w:trHeight w:val="1335"/>
          <w:jc w:val="center"/>
        </w:trPr>
        <w:tc>
          <w:tcPr>
            <w:tcW w:w="9576" w:type="dxa"/>
            <w:tcBorders>
              <w:left w:val="single" w:sz="4" w:space="0" w:color="auto"/>
              <w:right w:val="single" w:sz="4" w:space="0" w:color="auto"/>
            </w:tcBorders>
            <w:shd w:val="clear" w:color="auto" w:fill="FFFFFF"/>
            <w:vAlign w:val="center"/>
          </w:tcPr>
          <w:p w14:paraId="7D567337"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lastRenderedPageBreak/>
              <w:t>Անհրաժեշտ է բավականին մանրամասն շարադրել տվյալ գլուխը՝ դեղապատրաստուկի գնահատման վերաբերյալ հրապարակային հաշվետվություն կազմելու նպատակով այն հետագայում օգտագործելու համար:</w:t>
            </w:r>
          </w:p>
        </w:tc>
      </w:tr>
      <w:tr w:rsidR="008C76E0" w:rsidRPr="003B2786" w14:paraId="61F2EF1B" w14:textId="77777777" w:rsidTr="008C76E0">
        <w:trPr>
          <w:trHeight w:val="3850"/>
          <w:jc w:val="center"/>
        </w:trPr>
        <w:tc>
          <w:tcPr>
            <w:tcW w:w="9576" w:type="dxa"/>
            <w:tcBorders>
              <w:left w:val="single" w:sz="4" w:space="0" w:color="auto"/>
              <w:right w:val="single" w:sz="4" w:space="0" w:color="auto"/>
            </w:tcBorders>
            <w:shd w:val="clear" w:color="auto" w:fill="FFFFFF"/>
            <w:vAlign w:val="bottom"/>
          </w:tcPr>
          <w:p w14:paraId="1E9C124B"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Վերարտադրված դեղամիջոցների հայտերի համար.</w:t>
            </w:r>
          </w:p>
          <w:p w14:paraId="64768C8E"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Ռեֆերենտ պատրաստուկ օգտագործվելու դեպքում ռեֆերենտ պետությունն անհրաժեշտ է, որ հստակ նշի, թե արդյոք տվյալ պատրաստուկի կիրառության վերաբերյալ հիմնավորումը հիմնված է սեփական նյութերի, թե Միության այլ անդամ պետության (այսուհետ՝ անդամ պետություն) հարցմամբ ներկայացված տվյալների վրա:</w:t>
            </w:r>
          </w:p>
          <w:p w14:paraId="32FAFE1A" w14:textId="77777777" w:rsidR="008C76E0" w:rsidRPr="008C76E0" w:rsidRDefault="008C76E0" w:rsidP="00390DAC">
            <w:pPr>
              <w:pStyle w:val="Bodytext180"/>
              <w:shd w:val="clear" w:color="auto" w:fill="auto"/>
              <w:spacing w:before="0" w:after="160" w:line="360" w:lineRule="auto"/>
              <w:ind w:left="45" w:right="74" w:firstLine="527"/>
              <w:jc w:val="both"/>
              <w:rPr>
                <w:rFonts w:ascii="Sylfaen" w:hAnsi="Sylfaen"/>
                <w:b w:val="0"/>
                <w:sz w:val="24"/>
                <w:szCs w:val="24"/>
                <w:lang w:val="hy-AM"/>
              </w:rPr>
            </w:pPr>
            <w:r w:rsidRPr="003B2786">
              <w:rPr>
                <w:rStyle w:val="Bodytext1811pt"/>
                <w:rFonts w:ascii="Sylfaen" w:hAnsi="Sylfaen"/>
                <w:sz w:val="24"/>
                <w:szCs w:val="24"/>
              </w:rPr>
              <w:t>Եթե վերարտադրված դեղապատրաստուկի ընդհանուր բնութագիրը տարբերվում է օրիգինալ պատրաստուկի համառոտ բնութագրից, ապա գնահատման վերաբերյալ հաշվետվությունը պետք է ներառի համապատասխան փոփոխությունները հիմնավորող տվյալներ:</w:t>
            </w:r>
          </w:p>
        </w:tc>
      </w:tr>
      <w:tr w:rsidR="008C76E0" w:rsidRPr="003B2786" w14:paraId="0597288F" w14:textId="77777777" w:rsidTr="008C76E0">
        <w:trPr>
          <w:jc w:val="center"/>
        </w:trPr>
        <w:tc>
          <w:tcPr>
            <w:tcW w:w="9576" w:type="dxa"/>
            <w:tcBorders>
              <w:left w:val="single" w:sz="4" w:space="0" w:color="auto"/>
              <w:bottom w:val="single" w:sz="4" w:space="0" w:color="auto"/>
              <w:right w:val="single" w:sz="4" w:space="0" w:color="auto"/>
            </w:tcBorders>
            <w:shd w:val="clear" w:color="auto" w:fill="FFFFFF"/>
            <w:vAlign w:val="bottom"/>
          </w:tcPr>
          <w:p w14:paraId="3FCBB979" w14:textId="77777777" w:rsidR="008C76E0" w:rsidRPr="003B2786" w:rsidRDefault="008C76E0" w:rsidP="00390DAC">
            <w:pPr>
              <w:pStyle w:val="Bodytext80"/>
              <w:shd w:val="clear" w:color="auto" w:fill="auto"/>
              <w:spacing w:before="0" w:after="160" w:line="360" w:lineRule="auto"/>
              <w:ind w:left="45" w:right="74" w:firstLine="527"/>
              <w:jc w:val="both"/>
              <w:rPr>
                <w:rStyle w:val="Bodytext1811pt"/>
                <w:rFonts w:ascii="Sylfaen" w:hAnsi="Sylfaen"/>
                <w:sz w:val="24"/>
                <w:szCs w:val="24"/>
              </w:rPr>
            </w:pPr>
            <w:r w:rsidRPr="008C76E0">
              <w:rPr>
                <w:rStyle w:val="Bodytext8Exact"/>
                <w:rFonts w:ascii="Sylfaen" w:hAnsi="Sylfaen"/>
                <w:sz w:val="24"/>
                <w:szCs w:val="24"/>
                <w:lang w:val="hy-AM"/>
              </w:rPr>
              <w:t>Եթե ռեֆերենտ դեղապատրաստուկի ընդհանուր բնութագիրը հաստատվել է Միությունում, ապա այլ բան նշված չլինելու դեպքում դեղապատրաստուկի այդ ընդհանուր բնութագիրն անհրաժեշտ է օգտագործել մի</w:t>
            </w:r>
            <w:r w:rsidR="00C54D75">
              <w:rPr>
                <w:rStyle w:val="Bodytext8Exact"/>
                <w:rFonts w:ascii="Sylfaen" w:hAnsi="Sylfaen"/>
                <w:sz w:val="24"/>
                <w:szCs w:val="24"/>
                <w:lang w:val="hy-AM"/>
              </w:rPr>
              <w:t>և</w:t>
            </w:r>
            <w:r w:rsidRPr="008C76E0">
              <w:rPr>
                <w:rStyle w:val="Bodytext8Exact"/>
                <w:rFonts w:ascii="Sylfaen" w:hAnsi="Sylfaen"/>
                <w:sz w:val="24"/>
                <w:szCs w:val="24"/>
                <w:lang w:val="hy-AM"/>
              </w:rPr>
              <w:t>նույն ակտիվ նյութն ու բացթողման ձ</w:t>
            </w:r>
            <w:r w:rsidR="00C54D75">
              <w:rPr>
                <w:rStyle w:val="Bodytext8Exact"/>
                <w:rFonts w:ascii="Sylfaen" w:hAnsi="Sylfaen"/>
                <w:sz w:val="24"/>
                <w:szCs w:val="24"/>
                <w:lang w:val="hy-AM"/>
              </w:rPr>
              <w:t>և</w:t>
            </w:r>
            <w:r w:rsidRPr="008C76E0">
              <w:rPr>
                <w:rStyle w:val="Bodytext8Exact"/>
                <w:rFonts w:ascii="Sylfaen" w:hAnsi="Sylfaen"/>
                <w:sz w:val="24"/>
                <w:szCs w:val="24"/>
                <w:lang w:val="hy-AM"/>
              </w:rPr>
              <w:t>ն ունեցող դեղապատրաստուկների համար:</w:t>
            </w:r>
          </w:p>
        </w:tc>
      </w:tr>
    </w:tbl>
    <w:p w14:paraId="12FBA203" w14:textId="77777777" w:rsidR="008C76E0" w:rsidRPr="003B2786" w:rsidRDefault="008C76E0" w:rsidP="00390DAC">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III.1.</w:t>
      </w:r>
      <w:r w:rsidRPr="003B2786">
        <w:rPr>
          <w:rFonts w:ascii="Sylfaen" w:hAnsi="Sylfaen"/>
          <w:sz w:val="24"/>
          <w:szCs w:val="24"/>
        </w:rPr>
        <w:tab/>
        <w:t xml:space="preserve">Որակի ասպեկտները </w:t>
      </w:r>
    </w:p>
    <w:p w14:paraId="5A82F912"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Դեղանյութը</w:t>
      </w:r>
    </w:p>
    <w:p w14:paraId="6D9A1947" w14:textId="77777777" w:rsidR="008C76E0" w:rsidRPr="008C76E0" w:rsidRDefault="008C76E0" w:rsidP="009211E1">
      <w:pPr>
        <w:pStyle w:val="Bodytext70"/>
        <w:shd w:val="clear" w:color="auto" w:fill="auto"/>
        <w:spacing w:before="0" w:after="160" w:line="336" w:lineRule="auto"/>
        <w:ind w:firstLine="567"/>
        <w:rPr>
          <w:rFonts w:ascii="Sylfaen" w:hAnsi="Sylfaen"/>
          <w:b w:val="0"/>
          <w:sz w:val="24"/>
          <w:szCs w:val="24"/>
          <w:lang w:val="hy-AM"/>
        </w:rPr>
      </w:pPr>
      <w:r w:rsidRPr="008C76E0">
        <w:rPr>
          <w:rFonts w:ascii="Sylfaen" w:hAnsi="Sylfaen"/>
          <w:b w:val="0"/>
          <w:sz w:val="24"/>
          <w:szCs w:val="24"/>
          <w:lang w:val="hy-AM"/>
        </w:rPr>
        <w:t xml:space="preserve">««Դեղապատրաստուկի անվանումը» մասով քիմիադեղագործական փաստաթղթերը </w:t>
      </w:r>
      <w:r w:rsidR="00C54D75">
        <w:rPr>
          <w:rFonts w:ascii="Sylfaen" w:hAnsi="Sylfaen"/>
          <w:b w:val="0"/>
          <w:sz w:val="24"/>
          <w:szCs w:val="24"/>
          <w:lang w:val="hy-AM"/>
        </w:rPr>
        <w:t>և</w:t>
      </w:r>
      <w:r w:rsidRPr="008C76E0">
        <w:rPr>
          <w:rFonts w:ascii="Sylfaen" w:hAnsi="Sylfaen"/>
          <w:b w:val="0"/>
          <w:sz w:val="24"/>
          <w:szCs w:val="24"/>
          <w:lang w:val="hy-AM"/>
        </w:rPr>
        <w:t xml:space="preserve"> որակի վերաբերյալ ընդհանուր ռեզյումեն գործող նորմատիվ պահանջների տեսանկյունից ունեն ընդունելի որակ»:</w:t>
      </w:r>
    </w:p>
    <w:p w14:paraId="4BC8AEA8" w14:textId="77777777" w:rsidR="008C76E0" w:rsidRPr="008C76E0" w:rsidRDefault="008C76E0" w:rsidP="009211E1">
      <w:pPr>
        <w:pStyle w:val="Bodytext70"/>
        <w:shd w:val="clear" w:color="auto" w:fill="auto"/>
        <w:spacing w:before="0" w:after="160" w:line="336" w:lineRule="auto"/>
        <w:ind w:firstLine="567"/>
        <w:rPr>
          <w:rFonts w:ascii="Sylfaen" w:hAnsi="Sylfaen"/>
          <w:b w:val="0"/>
          <w:sz w:val="24"/>
          <w:szCs w:val="24"/>
          <w:lang w:val="hy-AM"/>
        </w:rPr>
      </w:pPr>
      <w:r w:rsidRPr="008C76E0">
        <w:rPr>
          <w:rFonts w:ascii="Sylfaen" w:hAnsi="Sylfaen"/>
          <w:b w:val="0"/>
          <w:sz w:val="24"/>
          <w:szCs w:val="24"/>
          <w:lang w:val="hy-AM"/>
        </w:rPr>
        <w:t xml:space="preserve">«Դեղապատրաստուկի ստուգիչ թեստերը </w:t>
      </w:r>
      <w:r w:rsidR="00C54D75">
        <w:rPr>
          <w:rFonts w:ascii="Sylfaen" w:hAnsi="Sylfaen"/>
          <w:b w:val="0"/>
          <w:sz w:val="24"/>
          <w:szCs w:val="24"/>
          <w:lang w:val="hy-AM"/>
        </w:rPr>
        <w:t>և</w:t>
      </w:r>
      <w:r w:rsidRPr="008C76E0">
        <w:rPr>
          <w:rFonts w:ascii="Sylfaen" w:hAnsi="Sylfaen"/>
          <w:b w:val="0"/>
          <w:sz w:val="24"/>
          <w:szCs w:val="24"/>
          <w:lang w:val="hy-AM"/>
        </w:rPr>
        <w:t xml:space="preserve"> մասնագրերը կազմված են պատշաճ ձ</w:t>
      </w:r>
      <w:r w:rsidR="00C54D75">
        <w:rPr>
          <w:rFonts w:ascii="Sylfaen" w:hAnsi="Sylfaen"/>
          <w:b w:val="0"/>
          <w:sz w:val="24"/>
          <w:szCs w:val="24"/>
          <w:lang w:val="hy-AM"/>
        </w:rPr>
        <w:t>և</w:t>
      </w:r>
      <w:r w:rsidRPr="008C76E0">
        <w:rPr>
          <w:rFonts w:ascii="Sylfaen" w:hAnsi="Sylfaen"/>
          <w:b w:val="0"/>
          <w:sz w:val="24"/>
          <w:szCs w:val="24"/>
          <w:lang w:val="hy-AM"/>
        </w:rPr>
        <w:t>ով»:</w:t>
      </w:r>
    </w:p>
    <w:p w14:paraId="6CE1323A" w14:textId="77777777" w:rsidR="008C76E0" w:rsidRPr="008C76E0" w:rsidRDefault="008C76E0" w:rsidP="009211E1">
      <w:pPr>
        <w:pStyle w:val="Bodytext70"/>
        <w:shd w:val="clear" w:color="auto" w:fill="auto"/>
        <w:spacing w:before="0" w:after="160" w:line="336" w:lineRule="auto"/>
        <w:ind w:firstLine="567"/>
        <w:rPr>
          <w:rFonts w:ascii="Sylfaen" w:hAnsi="Sylfaen"/>
          <w:b w:val="0"/>
          <w:sz w:val="24"/>
          <w:szCs w:val="24"/>
          <w:lang w:val="hy-AM"/>
        </w:rPr>
      </w:pPr>
      <w:r w:rsidRPr="008C76E0">
        <w:rPr>
          <w:rFonts w:ascii="Sylfaen" w:hAnsi="Sylfaen"/>
          <w:b w:val="0"/>
          <w:sz w:val="24"/>
          <w:szCs w:val="24"/>
          <w:lang w:val="hy-AM"/>
        </w:rPr>
        <w:t>«Դեղանյութի մասով անցկացվել են կայունության փորձարկումներ: Որ</w:t>
      </w:r>
      <w:r w:rsidR="00C54D75">
        <w:rPr>
          <w:rFonts w:ascii="Sylfaen" w:hAnsi="Sylfaen"/>
          <w:b w:val="0"/>
          <w:sz w:val="24"/>
          <w:szCs w:val="24"/>
          <w:lang w:val="hy-AM"/>
        </w:rPr>
        <w:t>և</w:t>
      </w:r>
      <w:r w:rsidRPr="008C76E0">
        <w:rPr>
          <w:rFonts w:ascii="Sylfaen" w:hAnsi="Sylfaen"/>
          <w:b w:val="0"/>
          <w:sz w:val="24"/>
          <w:szCs w:val="24"/>
          <w:lang w:val="hy-AM"/>
        </w:rPr>
        <w:t xml:space="preserve">է պարամետրի զգալի փոփոխություններ չեն հայտնաբերվել: Կրկնակի փորձարկումներ անցկացնելու առաջարկվող ժամկետը </w:t>
      </w:r>
      <w:r w:rsidRPr="003B2786">
        <w:rPr>
          <w:rStyle w:val="Bodytext295pt"/>
          <w:rFonts w:ascii="Sylfaen" w:hAnsi="Sylfaen"/>
          <w:sz w:val="24"/>
          <w:szCs w:val="24"/>
        </w:rPr>
        <w:t xml:space="preserve">«...» </w:t>
      </w:r>
      <w:r w:rsidRPr="008C76E0">
        <w:rPr>
          <w:rFonts w:ascii="Sylfaen" w:hAnsi="Sylfaen"/>
          <w:b w:val="0"/>
          <w:sz w:val="24"/>
          <w:szCs w:val="24"/>
          <w:lang w:val="hy-AM"/>
        </w:rPr>
        <w:t>հիմնավորված է»:</w:t>
      </w:r>
    </w:p>
    <w:p w14:paraId="1650DB0D"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lastRenderedPageBreak/>
        <w:t>Դեղապատրաստուկը</w:t>
      </w:r>
    </w:p>
    <w:p w14:paraId="36F03E7E"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xml:space="preserve">«Նկարագրված է պատրաստուկի մշակումը, հիմնավորված է օժանդակ նյութերի ընտրությունը </w:t>
      </w:r>
      <w:r w:rsidR="00C54D75">
        <w:rPr>
          <w:rFonts w:ascii="Sylfaen" w:hAnsi="Sylfaen"/>
          <w:b w:val="0"/>
          <w:sz w:val="24"/>
          <w:szCs w:val="24"/>
          <w:lang w:val="hy-AM"/>
        </w:rPr>
        <w:t>և</w:t>
      </w:r>
      <w:r w:rsidRPr="008C76E0">
        <w:rPr>
          <w:rFonts w:ascii="Sylfaen" w:hAnsi="Sylfaen"/>
          <w:b w:val="0"/>
          <w:sz w:val="24"/>
          <w:szCs w:val="24"/>
          <w:lang w:val="hy-AM"/>
        </w:rPr>
        <w:t xml:space="preserve"> պարզաբանվել են դրանց ֆունկցիաները»:</w:t>
      </w:r>
    </w:p>
    <w:p w14:paraId="399A272A"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«Պատրաստուկի մասնագրերն ընդգրկում են տվյալ դեղապատրաստուկի համար նախատեսված համապատասխան պարամետրերը: Ներկայացվել է վերլուծական մեթոդիկաների վալիդացումը: Անցկացվել է խմբաքանակների վերլուծություն՝ ըստ «համարը» սերիաների: Խմբաքանակի վերլուծության արդյունքների համաձայն՝ պատրաստի պատրաստուկները համապատասխանում են առաջարկված մասնագրերի պահանջներին»:</w:t>
      </w:r>
    </w:p>
    <w:p w14:paraId="69DD435B"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xml:space="preserve">«Կայունության փորձարկումների ընթացքում պայմանները համապատասխանում են Ներդաշնակեցման միջազգային համաժողովի (ICH)՝ կայունության փորձարկումների անցկացման կանոններին: Դեղանյութի ստուգիչ թեստերը </w:t>
      </w:r>
      <w:r w:rsidR="00C54D75">
        <w:rPr>
          <w:rFonts w:ascii="Sylfaen" w:hAnsi="Sylfaen"/>
          <w:b w:val="0"/>
          <w:sz w:val="24"/>
          <w:szCs w:val="24"/>
          <w:lang w:val="hy-AM"/>
        </w:rPr>
        <w:t>և</w:t>
      </w:r>
      <w:r w:rsidRPr="008C76E0">
        <w:rPr>
          <w:rFonts w:ascii="Sylfaen" w:hAnsi="Sylfaen"/>
          <w:b w:val="0"/>
          <w:sz w:val="24"/>
          <w:szCs w:val="24"/>
          <w:lang w:val="hy-AM"/>
        </w:rPr>
        <w:t xml:space="preserve"> մասնագրերը կազմված են պատշաճ ձ</w:t>
      </w:r>
      <w:r w:rsidR="00C54D75">
        <w:rPr>
          <w:rFonts w:ascii="Sylfaen" w:hAnsi="Sylfaen"/>
          <w:b w:val="0"/>
          <w:sz w:val="24"/>
          <w:szCs w:val="24"/>
          <w:lang w:val="hy-AM"/>
        </w:rPr>
        <w:t>և</w:t>
      </w:r>
      <w:r w:rsidRPr="008C76E0">
        <w:rPr>
          <w:rFonts w:ascii="Sylfaen" w:hAnsi="Sylfaen"/>
          <w:b w:val="0"/>
          <w:sz w:val="24"/>
          <w:szCs w:val="24"/>
          <w:lang w:val="hy-AM"/>
        </w:rPr>
        <w:t>ով»:</w:t>
      </w:r>
    </w:p>
    <w:p w14:paraId="686DF6BD"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Դեղապատրաստուկի համար «նշել պահպանման պայմանները» դեպքում «քանակը» ամիսների ընթացքում պահպանման առաջարկվող ժամկետը համարվում է ընդունելի»:</w:t>
      </w:r>
    </w:p>
    <w:tbl>
      <w:tblPr>
        <w:tblOverlap w:val="never"/>
        <w:tblW w:w="9619" w:type="dxa"/>
        <w:jc w:val="center"/>
        <w:tblLayout w:type="fixed"/>
        <w:tblCellMar>
          <w:left w:w="10" w:type="dxa"/>
          <w:right w:w="10" w:type="dxa"/>
        </w:tblCellMar>
        <w:tblLook w:val="04A0" w:firstRow="1" w:lastRow="0" w:firstColumn="1" w:lastColumn="0" w:noHBand="0" w:noVBand="1"/>
      </w:tblPr>
      <w:tblGrid>
        <w:gridCol w:w="9619"/>
      </w:tblGrid>
      <w:tr w:rsidR="008C76E0" w:rsidRPr="003B2786" w14:paraId="09E6A188" w14:textId="77777777" w:rsidTr="008C76E0">
        <w:trPr>
          <w:jc w:val="center"/>
        </w:trPr>
        <w:tc>
          <w:tcPr>
            <w:tcW w:w="9619" w:type="dxa"/>
            <w:tcBorders>
              <w:top w:val="single" w:sz="4" w:space="0" w:color="auto"/>
              <w:left w:val="single" w:sz="4" w:space="0" w:color="auto"/>
              <w:bottom w:val="single" w:sz="4" w:space="0" w:color="auto"/>
              <w:right w:val="single" w:sz="4" w:space="0" w:color="auto"/>
            </w:tcBorders>
            <w:shd w:val="clear" w:color="auto" w:fill="FFFFFF"/>
            <w:vAlign w:val="bottom"/>
          </w:tcPr>
          <w:p w14:paraId="5D9F9417"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Նշե՛ք այն, ինչ նպատակահարմար է՝ նախնական գնահատման մոդուլների դրույթներին համապատասխան:</w:t>
            </w:r>
          </w:p>
          <w:p w14:paraId="4E01119E"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Կարելի է ավելացնել հետ</w:t>
            </w:r>
            <w:r w:rsidR="00C54D75">
              <w:rPr>
                <w:rStyle w:val="Bodytext1811pt"/>
                <w:rFonts w:ascii="Sylfaen" w:hAnsi="Sylfaen"/>
                <w:sz w:val="24"/>
                <w:szCs w:val="24"/>
              </w:rPr>
              <w:t>և</w:t>
            </w:r>
            <w:r w:rsidRPr="003B2786">
              <w:rPr>
                <w:rStyle w:val="Bodytext1811pt"/>
                <w:rFonts w:ascii="Sylfaen" w:hAnsi="Sylfaen"/>
                <w:sz w:val="24"/>
                <w:szCs w:val="24"/>
              </w:rPr>
              <w:t>յալ տեղեկատվությունը.</w:t>
            </w:r>
          </w:p>
          <w:p w14:paraId="1A0DBD62" w14:textId="77777777" w:rsidR="008C76E0" w:rsidRPr="008C76E0" w:rsidRDefault="008C76E0" w:rsidP="00390DAC">
            <w:pPr>
              <w:pStyle w:val="Bodytext180"/>
              <w:shd w:val="clear" w:color="auto" w:fill="auto"/>
              <w:tabs>
                <w:tab w:val="left" w:pos="1107"/>
              </w:tabs>
              <w:spacing w:before="0" w:after="160" w:line="360" w:lineRule="auto"/>
              <w:ind w:left="110" w:right="40" w:firstLine="426"/>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b w:val="0"/>
                <w:sz w:val="24"/>
                <w:szCs w:val="24"/>
                <w:lang w:val="hy-AM"/>
              </w:rPr>
              <w:tab/>
            </w:r>
            <w:r w:rsidRPr="003B2786">
              <w:rPr>
                <w:rStyle w:val="Bodytext1811pt"/>
                <w:rFonts w:ascii="Sylfaen" w:hAnsi="Sylfaen"/>
                <w:sz w:val="24"/>
                <w:szCs w:val="24"/>
              </w:rPr>
              <w:t>լուծելիության մասով փորձարկումների արդյունքների վերաբերյալ ընդհանուր տեղեկատվությունը,</w:t>
            </w:r>
          </w:p>
          <w:p w14:paraId="1C270A0F" w14:textId="77777777" w:rsidR="008C76E0" w:rsidRPr="003B2786" w:rsidRDefault="008C76E0" w:rsidP="00390DAC">
            <w:pPr>
              <w:pStyle w:val="Bodytext180"/>
              <w:shd w:val="clear" w:color="auto" w:fill="auto"/>
              <w:tabs>
                <w:tab w:val="left" w:pos="1107"/>
              </w:tabs>
              <w:spacing w:before="0" w:after="160" w:line="360" w:lineRule="auto"/>
              <w:ind w:left="110" w:right="40" w:firstLine="426"/>
              <w:jc w:val="both"/>
              <w:rPr>
                <w:rStyle w:val="Bodytext1811pt"/>
                <w:rFonts w:ascii="Sylfaen" w:hAnsi="Sylfaen"/>
                <w:sz w:val="24"/>
                <w:szCs w:val="24"/>
              </w:rPr>
            </w:pPr>
            <w:r w:rsidRPr="008C76E0">
              <w:rPr>
                <w:rFonts w:ascii="Sylfaen" w:hAnsi="Sylfaen"/>
                <w:b w:val="0"/>
                <w:sz w:val="24"/>
                <w:szCs w:val="24"/>
                <w:lang w:val="hy-AM"/>
              </w:rPr>
              <w:t>-</w:t>
            </w:r>
            <w:r w:rsidRPr="008C76E0">
              <w:rPr>
                <w:rFonts w:ascii="Sylfaen" w:hAnsi="Sylfaen"/>
                <w:sz w:val="24"/>
                <w:szCs w:val="24"/>
                <w:lang w:val="hy-AM"/>
              </w:rPr>
              <w:tab/>
            </w:r>
            <w:r w:rsidRPr="003B2786">
              <w:rPr>
                <w:rStyle w:val="Bodytext1811pt"/>
                <w:rFonts w:ascii="Sylfaen" w:hAnsi="Sylfaen"/>
                <w:sz w:val="24"/>
                <w:szCs w:val="24"/>
              </w:rPr>
              <w:t xml:space="preserve">հայտն այն մասին, որ օգտագործված ակտիվ բաղադրիչները </w:t>
            </w:r>
            <w:r w:rsidR="00C54D75">
              <w:rPr>
                <w:rStyle w:val="Bodytext1811pt"/>
                <w:rFonts w:ascii="Sylfaen" w:hAnsi="Sylfaen"/>
                <w:sz w:val="24"/>
                <w:szCs w:val="24"/>
              </w:rPr>
              <w:t>և</w:t>
            </w:r>
            <w:r w:rsidRPr="003B2786">
              <w:rPr>
                <w:rStyle w:val="Bodytext1811pt"/>
                <w:rFonts w:ascii="Sylfaen" w:hAnsi="Sylfaen"/>
                <w:sz w:val="24"/>
                <w:szCs w:val="24"/>
              </w:rPr>
              <w:t xml:space="preserve"> օժանդակ նյութերը քաջ հայտնի են </w:t>
            </w:r>
            <w:r w:rsidR="00C54D75">
              <w:rPr>
                <w:rStyle w:val="Bodytext1811pt"/>
                <w:rFonts w:ascii="Sylfaen" w:hAnsi="Sylfaen"/>
                <w:sz w:val="24"/>
                <w:szCs w:val="24"/>
              </w:rPr>
              <w:t>և</w:t>
            </w:r>
            <w:r w:rsidRPr="003B2786">
              <w:rPr>
                <w:rStyle w:val="Bodytext1811pt"/>
                <w:rFonts w:ascii="Sylfaen" w:hAnsi="Sylfaen"/>
                <w:sz w:val="24"/>
                <w:szCs w:val="24"/>
              </w:rPr>
              <w:t xml:space="preserve"> ունեն դեղագրքային պատշաճ որակ, </w:t>
            </w:r>
          </w:p>
          <w:p w14:paraId="20B9906E" w14:textId="77777777" w:rsidR="008C76E0" w:rsidRPr="008C76E0" w:rsidRDefault="008C76E0" w:rsidP="00390DAC">
            <w:pPr>
              <w:pStyle w:val="Bodytext180"/>
              <w:shd w:val="clear" w:color="auto" w:fill="auto"/>
              <w:tabs>
                <w:tab w:val="left" w:pos="1107"/>
              </w:tabs>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w:t>
            </w:r>
            <w:r w:rsidRPr="003B2786">
              <w:rPr>
                <w:rStyle w:val="Bodytext1811pt"/>
                <w:rFonts w:ascii="Sylfaen" w:hAnsi="Sylfaen"/>
                <w:sz w:val="24"/>
                <w:szCs w:val="24"/>
              </w:rPr>
              <w:tab/>
              <w:t xml:space="preserve">Դեղամիջոցների </w:t>
            </w:r>
            <w:r w:rsidR="00C54D75">
              <w:rPr>
                <w:rStyle w:val="Bodytext1811pt"/>
                <w:rFonts w:ascii="Sylfaen" w:hAnsi="Sylfaen"/>
                <w:sz w:val="24"/>
                <w:szCs w:val="24"/>
              </w:rPr>
              <w:t>և</w:t>
            </w:r>
            <w:r w:rsidRPr="003B2786">
              <w:rPr>
                <w:rStyle w:val="Bodytext1811pt"/>
                <w:rFonts w:ascii="Sylfaen" w:hAnsi="Sylfaen"/>
                <w:sz w:val="24"/>
                <w:szCs w:val="24"/>
              </w:rPr>
              <w:t xml:space="preserve"> առողջապահության (EDQM) որակի հարցերով Եվրոպայի ղեկավարության կողմից տրված ակտիվ նյութի կայունության հավաստագրի մասին հայտ:</w:t>
            </w:r>
          </w:p>
        </w:tc>
      </w:tr>
      <w:tr w:rsidR="008C76E0" w:rsidRPr="003B2786" w14:paraId="0B9A8011" w14:textId="77777777" w:rsidTr="008C76E0">
        <w:trPr>
          <w:jc w:val="center"/>
        </w:trPr>
        <w:tc>
          <w:tcPr>
            <w:tcW w:w="9619" w:type="dxa"/>
            <w:tcBorders>
              <w:top w:val="single" w:sz="4" w:space="0" w:color="auto"/>
            </w:tcBorders>
            <w:shd w:val="clear" w:color="auto" w:fill="FFFFFF"/>
            <w:vAlign w:val="bottom"/>
          </w:tcPr>
          <w:p w14:paraId="6FCFA283" w14:textId="77777777" w:rsidR="008C76E0" w:rsidRPr="003B2786" w:rsidRDefault="008C76E0" w:rsidP="00390DAC">
            <w:pPr>
              <w:pStyle w:val="Bodytext180"/>
              <w:shd w:val="clear" w:color="auto" w:fill="auto"/>
              <w:spacing w:before="0" w:after="160" w:line="360" w:lineRule="auto"/>
              <w:ind w:left="108" w:right="40" w:firstLine="425"/>
              <w:jc w:val="both"/>
              <w:rPr>
                <w:rFonts w:ascii="Sylfaen" w:hAnsi="Sylfaen"/>
                <w:b w:val="0"/>
                <w:bCs w:val="0"/>
                <w:i/>
                <w:iCs/>
                <w:color w:val="000000"/>
                <w:sz w:val="24"/>
                <w:szCs w:val="24"/>
                <w:shd w:val="clear" w:color="auto" w:fill="FFFFFF"/>
              </w:rPr>
            </w:pPr>
            <w:r w:rsidRPr="003B2786">
              <w:rPr>
                <w:rStyle w:val="Bodytext295pt"/>
                <w:rFonts w:ascii="Sylfaen" w:hAnsi="Sylfaen"/>
                <w:sz w:val="24"/>
                <w:szCs w:val="24"/>
              </w:rPr>
              <w:lastRenderedPageBreak/>
              <w:t>III.2.</w:t>
            </w:r>
            <w:r w:rsidRPr="003B2786">
              <w:rPr>
                <w:rStyle w:val="Bodytext295pt"/>
                <w:rFonts w:ascii="Sylfaen" w:hAnsi="Sylfaen"/>
                <w:sz w:val="24"/>
                <w:szCs w:val="24"/>
                <w:lang w:val="en-US"/>
              </w:rPr>
              <w:tab/>
            </w:r>
            <w:r w:rsidRPr="003B2786">
              <w:rPr>
                <w:rStyle w:val="Bodytext295pt"/>
                <w:rFonts w:ascii="Sylfaen" w:hAnsi="Sylfaen"/>
                <w:sz w:val="24"/>
                <w:szCs w:val="24"/>
              </w:rPr>
              <w:t>Նախակլինիկական ասպեկտները</w:t>
            </w:r>
          </w:p>
        </w:tc>
      </w:tr>
      <w:tr w:rsidR="008C76E0" w:rsidRPr="003B2786" w14:paraId="60A73207" w14:textId="77777777" w:rsidTr="008C76E0">
        <w:trPr>
          <w:jc w:val="center"/>
        </w:trPr>
        <w:tc>
          <w:tcPr>
            <w:tcW w:w="9619" w:type="dxa"/>
            <w:tcBorders>
              <w:top w:val="single" w:sz="4" w:space="0" w:color="auto"/>
              <w:left w:val="single" w:sz="4" w:space="0" w:color="auto"/>
              <w:right w:val="single" w:sz="4" w:space="0" w:color="auto"/>
            </w:tcBorders>
            <w:shd w:val="clear" w:color="auto" w:fill="FFFFFF"/>
          </w:tcPr>
          <w:p w14:paraId="412FC50C"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Վերարտադրված պատրաստուկի վերաբերյալ հայտում խոսքը, որպես կանոն, առկա նյութերի մասին է: Նախակլինիկական գնահատում անցկացնելիս անհրաժեշտ</w:t>
            </w:r>
            <w:r>
              <w:rPr>
                <w:rStyle w:val="Bodytext1811pt"/>
                <w:rFonts w:ascii="Sylfaen" w:hAnsi="Sylfaen"/>
                <w:sz w:val="24"/>
                <w:szCs w:val="24"/>
              </w:rPr>
              <w:t> </w:t>
            </w:r>
            <w:r w:rsidRPr="003B2786">
              <w:rPr>
                <w:rStyle w:val="Bodytext1811pt"/>
                <w:rFonts w:ascii="Sylfaen" w:hAnsi="Sylfaen"/>
                <w:sz w:val="24"/>
                <w:szCs w:val="24"/>
              </w:rPr>
              <w:t>է ուշադրությունը կենտրոնացնել նոր տեղեկատվության վրա: Թույլատրվում է նախակլինիկական գնահատում չանցկացնել միայն այն դեպքերում, երբ պատրաստուկը կարելի է դասել թե՛ ռեֆերենտ պետությունում, թե՛ ճանաչման պետությունում լավ ուսումնասիրված կատեգորիայի շարքին,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նախակլինիկական հետազոտությունների արդյունքների վերաբերյալ նոր տվյալների բացակայության դեպքում: Սակայն ԴՊԸԲ-ի վրա ազդելու ունակ նախակլինիկական հետազոտությունների նոր տվյալների ի հայտ գալու ժամանակ (օրինակ՝ հղիության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կրծքով կերակրման, QT միջակայքի նկատմամբ </w:t>
            </w:r>
            <w:r w:rsidR="00C54D75">
              <w:rPr>
                <w:rStyle w:val="Bodytext1811pt"/>
                <w:rFonts w:ascii="Sylfaen" w:hAnsi="Sylfaen"/>
                <w:sz w:val="24"/>
                <w:szCs w:val="24"/>
              </w:rPr>
              <w:t>և</w:t>
            </w:r>
            <w:r w:rsidRPr="003B2786">
              <w:rPr>
                <w:rStyle w:val="Bodytext1811pt"/>
                <w:rFonts w:ascii="Sylfaen" w:hAnsi="Sylfaen"/>
                <w:sz w:val="24"/>
                <w:szCs w:val="24"/>
              </w:rPr>
              <w:t xml:space="preserve"> այլն) պետք է անցկացնել նոր նախակլինիկական գնահատում:</w:t>
            </w:r>
          </w:p>
        </w:tc>
      </w:tr>
      <w:tr w:rsidR="008C76E0" w:rsidRPr="003B2786" w14:paraId="21F20077" w14:textId="77777777" w:rsidTr="008C76E0">
        <w:trPr>
          <w:jc w:val="center"/>
        </w:trPr>
        <w:tc>
          <w:tcPr>
            <w:tcW w:w="9619" w:type="dxa"/>
            <w:tcBorders>
              <w:left w:val="single" w:sz="4" w:space="0" w:color="auto"/>
              <w:right w:val="single" w:sz="4" w:space="0" w:color="auto"/>
            </w:tcBorders>
            <w:shd w:val="clear" w:color="auto" w:fill="FFFFFF"/>
            <w:vAlign w:val="bottom"/>
          </w:tcPr>
          <w:p w14:paraId="09371A20"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«Մատենագիտական» հայտեր՝ «ոչ ամբողջական դոյսեի» հայտեր: Այստեղ անհրաժեշտ է ուսումնասիրել նախակլինիկական հետազոտությունների տվյալները: Գնահատման վերաբերյալ հաշվետվության մեջ անհրաժեշտ է նշել, թե արդյոք ներկայացված հետազոտությունները (գրական հրապարակումները) որ</w:t>
            </w:r>
            <w:r w:rsidR="00C54D75">
              <w:rPr>
                <w:rStyle w:val="Bodytext1811pt"/>
                <w:rFonts w:ascii="Sylfaen" w:hAnsi="Sylfaen"/>
                <w:sz w:val="24"/>
                <w:szCs w:val="24"/>
              </w:rPr>
              <w:t>և</w:t>
            </w:r>
            <w:r w:rsidRPr="003B2786">
              <w:rPr>
                <w:rStyle w:val="Bodytext1811pt"/>
                <w:rFonts w:ascii="Sylfaen" w:hAnsi="Sylfaen"/>
                <w:sz w:val="24"/>
                <w:szCs w:val="24"/>
              </w:rPr>
              <w:t>է նշանակություն ունեն դեղապատրաստուկի համար: Եթե որոշ հետազոտություններ չեն անցկացվել, ապա անհրաժեշտ է ներկայացնել այդ հետազոտություններից հրաժարվելու հստակ գիտական հիմնավորումը՝ ելնելով թիվ 1 հավելվածով նախատեսված «լավ ուսումնասիրված բժշկական կիրառման» չափանիշներից:</w:t>
            </w:r>
          </w:p>
        </w:tc>
      </w:tr>
      <w:tr w:rsidR="008C76E0" w:rsidRPr="003B2786" w14:paraId="4E93D7E0" w14:textId="77777777" w:rsidTr="008C76E0">
        <w:trPr>
          <w:trHeight w:val="738"/>
          <w:jc w:val="center"/>
        </w:trPr>
        <w:tc>
          <w:tcPr>
            <w:tcW w:w="9619" w:type="dxa"/>
            <w:tcBorders>
              <w:top w:val="single" w:sz="4" w:space="0" w:color="auto"/>
            </w:tcBorders>
            <w:shd w:val="clear" w:color="auto" w:fill="FFFFFF"/>
            <w:vAlign w:val="bottom"/>
          </w:tcPr>
          <w:p w14:paraId="5C08899B" w14:textId="77777777" w:rsidR="008C76E0" w:rsidRPr="003B2786" w:rsidRDefault="008C76E0" w:rsidP="00390DAC">
            <w:pPr>
              <w:pStyle w:val="Bodytext180"/>
              <w:shd w:val="clear" w:color="auto" w:fill="auto"/>
              <w:spacing w:before="0" w:after="160" w:line="360" w:lineRule="auto"/>
              <w:ind w:left="110" w:right="40" w:firstLine="426"/>
              <w:jc w:val="both"/>
              <w:rPr>
                <w:rFonts w:ascii="Sylfaen" w:hAnsi="Sylfaen"/>
                <w:b w:val="0"/>
                <w:sz w:val="24"/>
                <w:szCs w:val="24"/>
              </w:rPr>
            </w:pPr>
            <w:r w:rsidRPr="003B2786">
              <w:rPr>
                <w:rStyle w:val="Bodytext295pt"/>
                <w:rFonts w:ascii="Sylfaen" w:hAnsi="Sylfaen"/>
                <w:sz w:val="24"/>
                <w:szCs w:val="24"/>
              </w:rPr>
              <w:t>Դեղաբանություն</w:t>
            </w:r>
          </w:p>
        </w:tc>
      </w:tr>
      <w:tr w:rsidR="008C76E0" w:rsidRPr="003B2786" w14:paraId="1DE81192" w14:textId="77777777" w:rsidTr="008C76E0">
        <w:trPr>
          <w:trHeight w:val="636"/>
          <w:jc w:val="center"/>
        </w:trPr>
        <w:tc>
          <w:tcPr>
            <w:tcW w:w="9619" w:type="dxa"/>
            <w:shd w:val="clear" w:color="auto" w:fill="FFFFFF"/>
            <w:vAlign w:val="center"/>
          </w:tcPr>
          <w:p w14:paraId="18CD7AAE" w14:textId="77777777" w:rsidR="008C76E0" w:rsidRPr="003B2786" w:rsidRDefault="008C76E0" w:rsidP="00390DAC">
            <w:pPr>
              <w:pStyle w:val="Bodytext180"/>
              <w:shd w:val="clear" w:color="auto" w:fill="auto"/>
              <w:spacing w:before="0" w:after="160" w:line="360" w:lineRule="auto"/>
              <w:ind w:left="110" w:right="40" w:firstLine="426"/>
              <w:jc w:val="both"/>
              <w:rPr>
                <w:rFonts w:ascii="Sylfaen" w:hAnsi="Sylfaen"/>
                <w:b w:val="0"/>
                <w:sz w:val="24"/>
                <w:szCs w:val="24"/>
              </w:rPr>
            </w:pPr>
            <w:r w:rsidRPr="003B2786">
              <w:rPr>
                <w:rStyle w:val="Bodytext295pt"/>
                <w:rFonts w:ascii="Sylfaen" w:hAnsi="Sylfaen"/>
                <w:sz w:val="24"/>
                <w:szCs w:val="24"/>
              </w:rPr>
              <w:t>Դեղակինետիկա</w:t>
            </w:r>
          </w:p>
        </w:tc>
      </w:tr>
      <w:tr w:rsidR="008C76E0" w:rsidRPr="003B2786" w14:paraId="1A789373" w14:textId="77777777" w:rsidTr="008C76E0">
        <w:trPr>
          <w:trHeight w:val="818"/>
          <w:jc w:val="center"/>
        </w:trPr>
        <w:tc>
          <w:tcPr>
            <w:tcW w:w="9619" w:type="dxa"/>
            <w:shd w:val="clear" w:color="auto" w:fill="FFFFFF"/>
            <w:vAlign w:val="center"/>
          </w:tcPr>
          <w:p w14:paraId="6AF6D5E5" w14:textId="77777777" w:rsidR="008C76E0" w:rsidRPr="003B2786" w:rsidRDefault="008C76E0" w:rsidP="00390DAC">
            <w:pPr>
              <w:pStyle w:val="Bodytext180"/>
              <w:shd w:val="clear" w:color="auto" w:fill="auto"/>
              <w:spacing w:before="0" w:after="160" w:line="360" w:lineRule="auto"/>
              <w:ind w:left="110" w:right="40" w:firstLine="426"/>
              <w:jc w:val="both"/>
              <w:rPr>
                <w:rFonts w:ascii="Sylfaen" w:hAnsi="Sylfaen"/>
                <w:b w:val="0"/>
                <w:sz w:val="24"/>
                <w:szCs w:val="24"/>
              </w:rPr>
            </w:pPr>
            <w:r w:rsidRPr="003B2786">
              <w:rPr>
                <w:rStyle w:val="Bodytext295pt"/>
                <w:rFonts w:ascii="Sylfaen" w:hAnsi="Sylfaen"/>
                <w:sz w:val="24"/>
                <w:szCs w:val="24"/>
              </w:rPr>
              <w:t>Տոքսիկոլոգիա</w:t>
            </w:r>
          </w:p>
        </w:tc>
      </w:tr>
      <w:tr w:rsidR="008C76E0" w:rsidRPr="003B2786" w14:paraId="65151A12" w14:textId="77777777" w:rsidTr="008C76E0">
        <w:trPr>
          <w:jc w:val="center"/>
        </w:trPr>
        <w:tc>
          <w:tcPr>
            <w:tcW w:w="9619" w:type="dxa"/>
            <w:shd w:val="clear" w:color="auto" w:fill="FFFFFF"/>
          </w:tcPr>
          <w:p w14:paraId="1EBD73ED" w14:textId="77777777" w:rsidR="008C76E0" w:rsidRPr="003B2786" w:rsidRDefault="008C76E0" w:rsidP="00390DAC">
            <w:pPr>
              <w:pStyle w:val="Bodytext180"/>
              <w:shd w:val="clear" w:color="auto" w:fill="auto"/>
              <w:spacing w:before="0" w:after="160" w:line="360" w:lineRule="auto"/>
              <w:ind w:right="40" w:firstLine="537"/>
              <w:jc w:val="both"/>
              <w:rPr>
                <w:rFonts w:ascii="Sylfaen" w:hAnsi="Sylfaen"/>
                <w:i/>
                <w:sz w:val="24"/>
                <w:szCs w:val="24"/>
              </w:rPr>
            </w:pPr>
            <w:r w:rsidRPr="003B2786">
              <w:rPr>
                <w:rStyle w:val="Bodytext295pt"/>
                <w:rFonts w:ascii="Sylfaen" w:hAnsi="Sylfaen"/>
                <w:sz w:val="24"/>
                <w:szCs w:val="24"/>
              </w:rPr>
              <w:t>III.3.</w:t>
            </w:r>
            <w:r w:rsidRPr="003B2786">
              <w:rPr>
                <w:rStyle w:val="Bodytext295pt"/>
                <w:rFonts w:ascii="Sylfaen" w:hAnsi="Sylfaen"/>
                <w:sz w:val="24"/>
                <w:szCs w:val="24"/>
                <w:lang w:val="en-US"/>
              </w:rPr>
              <w:tab/>
            </w:r>
            <w:r w:rsidRPr="003B2786">
              <w:rPr>
                <w:rStyle w:val="Bodytext295pt"/>
                <w:rFonts w:ascii="Sylfaen" w:hAnsi="Sylfaen"/>
                <w:sz w:val="24"/>
                <w:szCs w:val="24"/>
              </w:rPr>
              <w:t>Կլինիկական ասպեկտները</w:t>
            </w:r>
          </w:p>
        </w:tc>
      </w:tr>
      <w:tr w:rsidR="008C76E0" w:rsidRPr="003B2786" w14:paraId="024381C3" w14:textId="77777777" w:rsidTr="008C76E0">
        <w:trPr>
          <w:jc w:val="center"/>
        </w:trPr>
        <w:tc>
          <w:tcPr>
            <w:tcW w:w="9619" w:type="dxa"/>
            <w:tcBorders>
              <w:top w:val="single" w:sz="4" w:space="0" w:color="auto"/>
              <w:left w:val="single" w:sz="4" w:space="0" w:color="auto"/>
              <w:right w:val="single" w:sz="4" w:space="0" w:color="auto"/>
            </w:tcBorders>
            <w:shd w:val="clear" w:color="auto" w:fill="FFFFFF"/>
          </w:tcPr>
          <w:p w14:paraId="75960F9C"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Վերարտադրված պատրաստուկների վերաբերյալ հայտ.</w:t>
            </w:r>
          </w:p>
          <w:p w14:paraId="18E1C32B"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 xml:space="preserve">Համակարգային ազդեցության դեղամիջոցների համար տվյալ բաժնում պետք է </w:t>
            </w:r>
            <w:r w:rsidRPr="003B2786">
              <w:rPr>
                <w:rStyle w:val="Bodytext1811pt"/>
                <w:rFonts w:ascii="Sylfaen" w:hAnsi="Sylfaen"/>
                <w:sz w:val="24"/>
                <w:szCs w:val="24"/>
              </w:rPr>
              <w:lastRenderedPageBreak/>
              <w:t>լուսաբանել կենսահամարժեքության հետազոտությունների անցկացման անհրաժեշտությունը կամ ներկայացնել այդ հետազոտությունների նշանակության բացակայության կամ անհրաժեշտության համապատասխան հիմնավորումը: Այստեղ պետք է ընդհանրացնել այդ հետազոտությունների գնահատման վերաբերյալ եզրակացությունները,</w:t>
            </w:r>
          </w:p>
          <w:p w14:paraId="280906E3"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 xml:space="preserve">գաղտնի հավելվածում (հայտատուի համար բացահայտման ենթակա չէ) անհրաժեշտ է նշել կենսահամարժեքության հետազոտություններում օգտագործված ռեֆերենտ պատրաստուկի ամբողջական բաղադրությունը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մասնագիրը, որպեսզի շահագրգիռ անդամ պետությունները կարողանան համեմատություն անցկացնել իրենց տարածքում իրացման համար թույլատրված պատրաստուկների վերաբերյալ տվյալների հետ:</w:t>
            </w:r>
          </w:p>
          <w:p w14:paraId="7D5A0A21"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Այստեղ անհրաժեշտ է ներկայացնել ռեֆերենտ պատրաստուկի օգտագործման հիմնավորումը:</w:t>
            </w:r>
          </w:p>
        </w:tc>
      </w:tr>
      <w:tr w:rsidR="008C76E0" w:rsidRPr="003B2786" w14:paraId="6099D7A5" w14:textId="77777777" w:rsidTr="008C76E0">
        <w:trPr>
          <w:jc w:val="center"/>
        </w:trPr>
        <w:tc>
          <w:tcPr>
            <w:tcW w:w="9619" w:type="dxa"/>
            <w:tcBorders>
              <w:left w:val="single" w:sz="4" w:space="0" w:color="auto"/>
              <w:bottom w:val="single" w:sz="4" w:space="0" w:color="auto"/>
              <w:right w:val="single" w:sz="4" w:space="0" w:color="auto"/>
            </w:tcBorders>
            <w:shd w:val="clear" w:color="auto" w:fill="FFFFFF"/>
            <w:vAlign w:val="bottom"/>
          </w:tcPr>
          <w:p w14:paraId="72D5CD5C" w14:textId="77777777" w:rsidR="008C76E0" w:rsidRPr="003B2786" w:rsidRDefault="008C76E0" w:rsidP="00390DAC">
            <w:pPr>
              <w:pStyle w:val="Bodytext180"/>
              <w:shd w:val="clear" w:color="auto" w:fill="auto"/>
              <w:spacing w:before="0" w:after="160" w:line="360" w:lineRule="auto"/>
              <w:ind w:left="110" w:right="40" w:firstLine="426"/>
              <w:jc w:val="both"/>
              <w:rPr>
                <w:rStyle w:val="Bodytext1811pt"/>
                <w:rFonts w:ascii="Sylfaen" w:hAnsi="Sylfaen"/>
                <w:sz w:val="24"/>
                <w:szCs w:val="24"/>
              </w:rPr>
            </w:pPr>
            <w:r w:rsidRPr="003B2786">
              <w:rPr>
                <w:rStyle w:val="Bodytext1811pt"/>
                <w:rFonts w:ascii="Sylfaen" w:hAnsi="Sylfaen"/>
                <w:sz w:val="24"/>
                <w:szCs w:val="24"/>
              </w:rPr>
              <w:lastRenderedPageBreak/>
              <w:t>Եթե ԴՊԸԲ-ն տարբերվում է համեմատության համար օգտագործվող օրիգինալ պատրաստուկից, ապա գնահատման վերաբերյալ հաշվետվությունը պետք է ներառի համապատասխան փոփոխությունները հիմնավորող տվյալները:</w:t>
            </w:r>
          </w:p>
          <w:p w14:paraId="0F34331F" w14:textId="77777777" w:rsidR="008C76E0" w:rsidRPr="008C76E0" w:rsidRDefault="008C76E0" w:rsidP="00390DAC">
            <w:pPr>
              <w:pStyle w:val="Bodytext180"/>
              <w:shd w:val="clear" w:color="auto" w:fill="auto"/>
              <w:spacing w:before="0" w:after="160" w:line="360" w:lineRule="auto"/>
              <w:ind w:left="110" w:right="40" w:firstLine="426"/>
              <w:jc w:val="both"/>
              <w:rPr>
                <w:rFonts w:ascii="Sylfaen" w:hAnsi="Sylfaen"/>
                <w:b w:val="0"/>
                <w:sz w:val="24"/>
                <w:szCs w:val="24"/>
                <w:lang w:val="hy-AM"/>
              </w:rPr>
            </w:pPr>
            <w:r w:rsidRPr="003B2786">
              <w:rPr>
                <w:rStyle w:val="Bodytext1811pt"/>
                <w:rFonts w:ascii="Sylfaen" w:hAnsi="Sylfaen"/>
                <w:sz w:val="24"/>
                <w:szCs w:val="24"/>
              </w:rPr>
              <w:t>«Մատենագիտական» հայտեր՝ «ոչ ամբողջական դոսյեի» հայտեր: Այստեղ անհրաժեշտ է ուսումնասիրել կլինիկական հետազոտությունների տվյալները:</w:t>
            </w:r>
          </w:p>
        </w:tc>
      </w:tr>
    </w:tbl>
    <w:p w14:paraId="08F2B54E" w14:textId="77777777" w:rsidR="008C76E0" w:rsidRPr="003B2786" w:rsidRDefault="008C76E0" w:rsidP="00390DAC">
      <w:pPr>
        <w:spacing w:after="160" w:line="360" w:lineRule="auto"/>
        <w:ind w:right="-1"/>
        <w:jc w:val="both"/>
        <w:rPr>
          <w:rFonts w:ascii="Sylfaen" w:hAnsi="Sylfaen"/>
          <w:sz w:val="24"/>
          <w:szCs w:val="24"/>
        </w:rPr>
      </w:pPr>
    </w:p>
    <w:p w14:paraId="62221513"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 xml:space="preserve">Դեղակինետիկա </w:t>
      </w:r>
    </w:p>
    <w:p w14:paraId="508F6C64"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 xml:space="preserve">Դեղադինամիկա </w:t>
      </w:r>
    </w:p>
    <w:p w14:paraId="293E2726"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 xml:space="preserve">Կլինիկական արդյունավետություն </w:t>
      </w:r>
    </w:p>
    <w:p w14:paraId="5070A915"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 xml:space="preserve">Կլինիկական անվտանգություն </w:t>
      </w:r>
    </w:p>
    <w:p w14:paraId="0D136106"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Դեղազգոնության համակարգ</w:t>
      </w:r>
    </w:p>
    <w:p w14:paraId="3B7DE737"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xml:space="preserve">«Հայտատուն (գրանցման հավաստագրի ենթադրյալ ապագա տիրապետողը) ներկայացրել է հայտատուի (գրանցման հավաստագրի ենթադրյալ ապագա </w:t>
      </w:r>
      <w:r w:rsidRPr="008C76E0">
        <w:rPr>
          <w:rFonts w:ascii="Sylfaen" w:hAnsi="Sylfaen"/>
          <w:b w:val="0"/>
          <w:sz w:val="24"/>
          <w:szCs w:val="24"/>
          <w:lang w:val="hy-AM"/>
        </w:rPr>
        <w:lastRenderedPageBreak/>
        <w:t xml:space="preserve">տիրապետողի) դեղազգոնության համակարգի վերաբերյալ բացատրագիրը (IA/&lt;Х&gt; տիպի փոփոխություն): </w:t>
      </w:r>
      <w:r w:rsidRPr="003B2786">
        <w:rPr>
          <w:rStyle w:val="Bodytext1811pt"/>
          <w:rFonts w:ascii="Sylfaen" w:hAnsi="Sylfaen"/>
          <w:sz w:val="24"/>
          <w:szCs w:val="24"/>
        </w:rPr>
        <w:t>Ռեֆերենտ</w:t>
      </w:r>
      <w:r w:rsidRPr="008C76E0">
        <w:rPr>
          <w:rFonts w:ascii="Sylfaen" w:hAnsi="Sylfaen"/>
          <w:b w:val="0"/>
          <w:sz w:val="24"/>
          <w:szCs w:val="24"/>
          <w:lang w:val="hy-AM"/>
        </w:rPr>
        <w:t xml:space="preserve"> պետությունը բացատրագիրն ընդունելի է համարում, եթե դեղազգոնության համակարգի վերաբերյալ դոսյեն լիովին համապատասխանում է դեղազգոնության պատշաճ գործունեության վերաբերյալ մոդուլով նախատեսված պահանջներին»:</w:t>
      </w:r>
    </w:p>
    <w:p w14:paraId="681C001F"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Ռիսկերի կառավարման պլանը</w:t>
      </w:r>
    </w:p>
    <w:p w14:paraId="153D889F"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 xml:space="preserve">Ավելացրե՛ք դեղազգոնության </w:t>
      </w:r>
      <w:r w:rsidR="00C54D75">
        <w:rPr>
          <w:rFonts w:ascii="Sylfaen" w:hAnsi="Sylfaen"/>
          <w:sz w:val="24"/>
          <w:szCs w:val="24"/>
        </w:rPr>
        <w:t>և</w:t>
      </w:r>
      <w:r w:rsidRPr="003B2786">
        <w:rPr>
          <w:rFonts w:ascii="Sylfaen" w:hAnsi="Sylfaen"/>
          <w:sz w:val="24"/>
          <w:szCs w:val="24"/>
        </w:rPr>
        <w:t xml:space="preserve"> վտանգավոր գործոնների հետ կապված ռիսկերի նվազեցման ոլորտում առաջարկվող միջոցառումների ամփոփիչ աղյուսակը (աղյուսակները):</w:t>
      </w:r>
    </w:p>
    <w:p w14:paraId="74AEE9B1"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«Հաստատվել է ռիսկերի կառավարման պլանը»</w:t>
      </w:r>
    </w:p>
    <w:p w14:paraId="75481266"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Եթե ռիսկերի կառավարման պլանը ներկայացվել է ավելի վաղ օգտագործված ձ</w:t>
      </w:r>
      <w:r w:rsidR="00C54D75">
        <w:rPr>
          <w:rFonts w:ascii="Sylfaen" w:hAnsi="Sylfaen"/>
          <w:sz w:val="24"/>
          <w:szCs w:val="24"/>
        </w:rPr>
        <w:t>և</w:t>
      </w:r>
      <w:r w:rsidRPr="003B2786">
        <w:rPr>
          <w:rFonts w:ascii="Sylfaen" w:hAnsi="Sylfaen"/>
          <w:sz w:val="24"/>
          <w:szCs w:val="24"/>
        </w:rPr>
        <w:t>աչափով, ապա այն պետք է ներկայացնել նոր ձ</w:t>
      </w:r>
      <w:r w:rsidR="00C54D75">
        <w:rPr>
          <w:rFonts w:ascii="Sylfaen" w:hAnsi="Sylfaen"/>
          <w:sz w:val="24"/>
          <w:szCs w:val="24"/>
        </w:rPr>
        <w:t>և</w:t>
      </w:r>
      <w:r w:rsidRPr="003B2786">
        <w:rPr>
          <w:rFonts w:ascii="Sylfaen" w:hAnsi="Sylfaen"/>
          <w:sz w:val="24"/>
          <w:szCs w:val="24"/>
        </w:rPr>
        <w:t>աչափով գործընթացի 60-րդ օրը՝ դեղապատրաստուկի նկատմամբ անցանկալի ռեակցիաների վերաբերյալ տվյալների հետ համատեղ:</w:t>
      </w:r>
    </w:p>
    <w:p w14:paraId="68F6D0DB"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Դեղամիջոցի անվտանգության վերաբերյալ պարբերաբար թարմացվող հաշվետվությունը</w:t>
      </w:r>
    </w:p>
    <w:p w14:paraId="5FB760DC"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«Գրանցման հավաստագրի տիրապետողը պետք է տվյալ պատրաստուկի համար անվտանգության վերաբերյալ պարբերաբար թարմացվող առաջին հաշվետվությունը ներկայացնի դրա գրանցումից հետո</w:t>
      </w:r>
      <w:r w:rsidRPr="008C76E0">
        <w:rPr>
          <w:rFonts w:ascii="Sylfaen" w:hAnsi="Sylfaen"/>
          <w:sz w:val="24"/>
          <w:szCs w:val="24"/>
          <w:lang w:val="hy-AM"/>
        </w:rPr>
        <w:t xml:space="preserve">՝ </w:t>
      </w:r>
      <w:r w:rsidRPr="008C76E0">
        <w:rPr>
          <w:rStyle w:val="Bodytext7Spacing1pt"/>
          <w:rFonts w:ascii="Sylfaen" w:hAnsi="Sylfaen"/>
          <w:sz w:val="24"/>
          <w:szCs w:val="24"/>
          <w:lang w:val="hy-AM"/>
        </w:rPr>
        <w:t>{хх}</w:t>
      </w:r>
      <w:r w:rsidRPr="008C76E0">
        <w:rPr>
          <w:rFonts w:ascii="Sylfaen" w:hAnsi="Sylfaen"/>
          <w:b w:val="0"/>
          <w:sz w:val="24"/>
          <w:szCs w:val="24"/>
          <w:lang w:val="hy-AM"/>
        </w:rPr>
        <w:t xml:space="preserve"> ամսվա ընթացքում</w:t>
      </w:r>
      <w:r w:rsidRPr="008C76E0">
        <w:rPr>
          <w:rFonts w:ascii="Sylfaen" w:hAnsi="Sylfaen"/>
          <w:sz w:val="24"/>
          <w:szCs w:val="24"/>
          <w:lang w:val="hy-AM"/>
        </w:rPr>
        <w:t>:</w:t>
      </w:r>
    </w:p>
    <w:p w14:paraId="190BC911" w14:textId="77777777" w:rsidR="008C76E0" w:rsidRPr="008C76E0" w:rsidRDefault="008C76E0" w:rsidP="00390DAC">
      <w:pPr>
        <w:pStyle w:val="Bodytext140"/>
        <w:shd w:val="clear" w:color="auto" w:fill="auto"/>
        <w:spacing w:before="0" w:after="160" w:line="360" w:lineRule="auto"/>
        <w:ind w:right="-1" w:firstLine="567"/>
        <w:jc w:val="both"/>
        <w:rPr>
          <w:rFonts w:ascii="Sylfaen" w:hAnsi="Sylfaen"/>
          <w:sz w:val="24"/>
          <w:szCs w:val="24"/>
          <w:lang w:val="hy-AM"/>
        </w:rPr>
      </w:pPr>
      <w:r w:rsidRPr="008C76E0">
        <w:rPr>
          <w:rFonts w:ascii="Sylfaen" w:hAnsi="Sylfaen"/>
          <w:sz w:val="24"/>
          <w:szCs w:val="24"/>
          <w:lang w:val="hy-AM"/>
        </w:rPr>
        <w:t>Գրանցման հավաստագրի տիրապետողը հետագայում պետք է ներկայացնի տվյալ պատրաստուկի համար անվտանգության վերաբերյալ պարբերաբար թարմացվող հաշվետվություններ»:</w:t>
      </w:r>
    </w:p>
    <w:p w14:paraId="742D4F4A" w14:textId="77777777" w:rsidR="008C76E0" w:rsidRPr="003B2786" w:rsidRDefault="008C76E0" w:rsidP="00390DAC">
      <w:pPr>
        <w:tabs>
          <w:tab w:val="left" w:pos="851"/>
        </w:tabs>
        <w:spacing w:after="160" w:line="360" w:lineRule="auto"/>
        <w:ind w:right="-1"/>
        <w:jc w:val="both"/>
        <w:rPr>
          <w:rFonts w:ascii="Sylfaen" w:hAnsi="Sylfaen"/>
          <w:sz w:val="24"/>
          <w:szCs w:val="24"/>
        </w:rPr>
      </w:pPr>
      <w:r w:rsidRPr="003B2786">
        <w:rPr>
          <w:rFonts w:ascii="Sylfaen" w:hAnsi="Sylfaen"/>
          <w:sz w:val="24"/>
          <w:szCs w:val="24"/>
        </w:rPr>
        <w:t>IV.</w:t>
      </w:r>
      <w:r w:rsidRPr="003B2786">
        <w:rPr>
          <w:rFonts w:ascii="Sylfaen" w:hAnsi="Sylfaen"/>
          <w:sz w:val="24"/>
          <w:szCs w:val="24"/>
        </w:rPr>
        <w:tab/>
        <w:t xml:space="preserve">Օգուտ </w:t>
      </w:r>
      <w:r w:rsidR="00C54D75">
        <w:rPr>
          <w:rFonts w:ascii="Sylfaen" w:hAnsi="Sylfaen"/>
          <w:sz w:val="24"/>
          <w:szCs w:val="24"/>
        </w:rPr>
        <w:t>և</w:t>
      </w:r>
      <w:r w:rsidRPr="003B2786">
        <w:rPr>
          <w:rFonts w:ascii="Sylfaen" w:hAnsi="Sylfaen"/>
          <w:sz w:val="24"/>
          <w:szCs w:val="24"/>
        </w:rPr>
        <w:t xml:space="preserve"> ռիսկ հարաբերակցության գնահատումը</w:t>
      </w:r>
    </w:p>
    <w:tbl>
      <w:tblPr>
        <w:tblOverlap w:val="never"/>
        <w:tblW w:w="9678" w:type="dxa"/>
        <w:jc w:val="center"/>
        <w:tblLayout w:type="fixed"/>
        <w:tblCellMar>
          <w:left w:w="10" w:type="dxa"/>
          <w:right w:w="10" w:type="dxa"/>
        </w:tblCellMar>
        <w:tblLook w:val="04A0" w:firstRow="1" w:lastRow="0" w:firstColumn="1" w:lastColumn="0" w:noHBand="0" w:noVBand="1"/>
      </w:tblPr>
      <w:tblGrid>
        <w:gridCol w:w="9678"/>
      </w:tblGrid>
      <w:tr w:rsidR="008C76E0" w:rsidRPr="003B2786" w14:paraId="1FB67B79" w14:textId="77777777" w:rsidTr="008C76E0">
        <w:trPr>
          <w:trHeight w:val="1604"/>
          <w:jc w:val="center"/>
        </w:trPr>
        <w:tc>
          <w:tcPr>
            <w:tcW w:w="9678" w:type="dxa"/>
            <w:tcBorders>
              <w:top w:val="single" w:sz="4" w:space="0" w:color="auto"/>
              <w:left w:val="single" w:sz="4" w:space="0" w:color="auto"/>
              <w:right w:val="single" w:sz="4" w:space="0" w:color="auto"/>
            </w:tcBorders>
            <w:shd w:val="clear" w:color="auto" w:fill="FFFFFF"/>
          </w:tcPr>
          <w:p w14:paraId="0947B9FB" w14:textId="77777777" w:rsidR="008C76E0" w:rsidRPr="008C76E0" w:rsidRDefault="008C76E0" w:rsidP="002509A3">
            <w:pPr>
              <w:pStyle w:val="Bodytext180"/>
              <w:shd w:val="clear" w:color="auto" w:fill="auto"/>
              <w:spacing w:before="0" w:after="160" w:line="360" w:lineRule="auto"/>
              <w:ind w:left="56" w:right="97" w:firstLine="522"/>
              <w:jc w:val="both"/>
              <w:rPr>
                <w:rFonts w:ascii="Sylfaen" w:hAnsi="Sylfaen"/>
                <w:b w:val="0"/>
                <w:sz w:val="24"/>
                <w:szCs w:val="24"/>
                <w:lang w:val="hy-AM"/>
              </w:rPr>
            </w:pPr>
            <w:r w:rsidRPr="003B2786">
              <w:rPr>
                <w:rStyle w:val="Bodytext1811pt"/>
                <w:rFonts w:ascii="Sylfaen" w:hAnsi="Sylfaen"/>
                <w:sz w:val="24"/>
                <w:szCs w:val="24"/>
              </w:rPr>
              <w:t xml:space="preserve">Ընդհանրացրե՛ք գնահատման վերաբերյալ հիմնական եզրակացությունները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հարցերը (մանրամասն տեղեկատվությունը պետք է համապատասխանաբար ներկայացվի որակի, արդյունավետության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անվտանգության վերաբերյալ հիմնական </w:t>
            </w:r>
            <w:r w:rsidRPr="003B2786">
              <w:rPr>
                <w:rStyle w:val="Bodytext1811pt"/>
                <w:rFonts w:ascii="Sylfaen" w:hAnsi="Sylfaen"/>
                <w:sz w:val="24"/>
                <w:szCs w:val="24"/>
              </w:rPr>
              <w:lastRenderedPageBreak/>
              <w:t xml:space="preserve">բաժիններում): Որոշակի պոպուլյացիաների համար օգուտ </w:t>
            </w:r>
            <w:r w:rsidR="00C54D75">
              <w:rPr>
                <w:rStyle w:val="Bodytext1811pt"/>
                <w:rFonts w:ascii="Sylfaen" w:hAnsi="Sylfaen"/>
                <w:sz w:val="24"/>
                <w:szCs w:val="24"/>
              </w:rPr>
              <w:t>և</w:t>
            </w:r>
            <w:r w:rsidRPr="003B2786">
              <w:rPr>
                <w:rStyle w:val="Bodytext1811pt"/>
                <w:rFonts w:ascii="Sylfaen" w:hAnsi="Sylfaen"/>
                <w:sz w:val="24"/>
                <w:szCs w:val="24"/>
              </w:rPr>
              <w:t xml:space="preserve"> ռիսկ հարաբերակցությունը դիտարկելիս ինտեգրե՛ք այդ ասպեկտները:</w:t>
            </w:r>
          </w:p>
        </w:tc>
      </w:tr>
      <w:tr w:rsidR="008C76E0" w:rsidRPr="003B2786" w14:paraId="6D80026F" w14:textId="77777777" w:rsidTr="008C76E0">
        <w:trPr>
          <w:trHeight w:val="1600"/>
          <w:jc w:val="center"/>
        </w:trPr>
        <w:tc>
          <w:tcPr>
            <w:tcW w:w="9678" w:type="dxa"/>
            <w:tcBorders>
              <w:left w:val="single" w:sz="4" w:space="0" w:color="auto"/>
              <w:right w:val="single" w:sz="4" w:space="0" w:color="auto"/>
            </w:tcBorders>
            <w:shd w:val="clear" w:color="auto" w:fill="FFFFFF"/>
          </w:tcPr>
          <w:p w14:paraId="36AB87A8" w14:textId="77777777" w:rsidR="008C76E0" w:rsidRPr="008C76E0" w:rsidRDefault="008C76E0" w:rsidP="00390DAC">
            <w:pPr>
              <w:pStyle w:val="Bodytext180"/>
              <w:spacing w:before="0" w:after="160" w:line="360" w:lineRule="auto"/>
              <w:ind w:left="56" w:right="97" w:firstLine="522"/>
              <w:jc w:val="both"/>
              <w:rPr>
                <w:rFonts w:ascii="Sylfaen" w:hAnsi="Sylfaen"/>
                <w:b w:val="0"/>
                <w:sz w:val="24"/>
                <w:szCs w:val="24"/>
                <w:lang w:val="hy-AM"/>
              </w:rPr>
            </w:pPr>
            <w:r w:rsidRPr="003B2786">
              <w:rPr>
                <w:rStyle w:val="Bodytext1811pt"/>
                <w:rFonts w:ascii="Sylfaen" w:hAnsi="Sylfaen"/>
                <w:sz w:val="24"/>
                <w:szCs w:val="24"/>
              </w:rPr>
              <w:lastRenderedPageBreak/>
              <w:t xml:space="preserve">Ընդգրկե՛ք նախակլինիկական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կլինիկական անվտանգության վերաբերյալ տվյալները գրանցումից հետո հետգրանցումային ժամանակահատվածում սահմանված պարտավորությունների մեջ,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դիտարկե՛ք ռիսկերի կառավարման ցանկացած ասպեկտ, որը կարող է ազդեցություն ունենալ օգուտ </w:t>
            </w:r>
            <w:r w:rsidR="00C54D75">
              <w:rPr>
                <w:rStyle w:val="Bodytext1811pt"/>
                <w:rFonts w:ascii="Sylfaen" w:hAnsi="Sylfaen"/>
                <w:sz w:val="24"/>
                <w:szCs w:val="24"/>
              </w:rPr>
              <w:t>և</w:t>
            </w:r>
            <w:r w:rsidRPr="003B2786">
              <w:rPr>
                <w:rStyle w:val="Bodytext1811pt"/>
                <w:rFonts w:ascii="Sylfaen" w:hAnsi="Sylfaen"/>
                <w:sz w:val="24"/>
                <w:szCs w:val="24"/>
              </w:rPr>
              <w:t xml:space="preserve"> ռիսկ հարաբերակցության գնահատման վրա:</w:t>
            </w:r>
          </w:p>
        </w:tc>
      </w:tr>
      <w:tr w:rsidR="008C76E0" w:rsidRPr="003B2786" w14:paraId="504C027D" w14:textId="77777777" w:rsidTr="008C76E0">
        <w:trPr>
          <w:trHeight w:val="1027"/>
          <w:jc w:val="center"/>
        </w:trPr>
        <w:tc>
          <w:tcPr>
            <w:tcW w:w="9678" w:type="dxa"/>
            <w:tcBorders>
              <w:left w:val="single" w:sz="4" w:space="0" w:color="auto"/>
              <w:right w:val="single" w:sz="4" w:space="0" w:color="auto"/>
            </w:tcBorders>
            <w:shd w:val="clear" w:color="auto" w:fill="FFFFFF"/>
          </w:tcPr>
          <w:p w14:paraId="62EA4453" w14:textId="77777777" w:rsidR="008C76E0" w:rsidRPr="008C76E0" w:rsidRDefault="008C76E0" w:rsidP="00B02202">
            <w:pPr>
              <w:pStyle w:val="Bodytext180"/>
              <w:shd w:val="clear" w:color="auto" w:fill="auto"/>
              <w:spacing w:before="0" w:after="160" w:line="384" w:lineRule="auto"/>
              <w:ind w:left="56" w:right="96" w:firstLine="522"/>
              <w:rPr>
                <w:rFonts w:ascii="Sylfaen" w:hAnsi="Sylfaen"/>
                <w:b w:val="0"/>
                <w:sz w:val="24"/>
                <w:szCs w:val="24"/>
                <w:lang w:val="hy-AM"/>
              </w:rPr>
            </w:pPr>
            <w:r w:rsidRPr="003B2786">
              <w:rPr>
                <w:rStyle w:val="Bodytext1811pt"/>
                <w:rFonts w:ascii="Sylfaen" w:hAnsi="Sylfaen"/>
                <w:sz w:val="24"/>
                <w:szCs w:val="24"/>
              </w:rPr>
              <w:t xml:space="preserve">Օգուտ </w:t>
            </w:r>
            <w:r w:rsidR="00C54D75">
              <w:rPr>
                <w:rStyle w:val="Bodytext1811pt"/>
                <w:rFonts w:ascii="Sylfaen" w:hAnsi="Sylfaen"/>
                <w:sz w:val="24"/>
                <w:szCs w:val="24"/>
              </w:rPr>
              <w:t>և</w:t>
            </w:r>
            <w:r w:rsidRPr="003B2786">
              <w:rPr>
                <w:rStyle w:val="Bodytext1811pt"/>
                <w:rFonts w:ascii="Sylfaen" w:hAnsi="Sylfaen"/>
                <w:sz w:val="24"/>
                <w:szCs w:val="24"/>
              </w:rPr>
              <w:t xml:space="preserve"> ռիսկ հարաբերակցության գնահատման մեջ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ընդգրկել հետ</w:t>
            </w:r>
            <w:r w:rsidR="00C54D75">
              <w:rPr>
                <w:rStyle w:val="Bodytext1811pt"/>
                <w:rFonts w:ascii="Sylfaen" w:hAnsi="Sylfaen"/>
                <w:sz w:val="24"/>
                <w:szCs w:val="24"/>
              </w:rPr>
              <w:t>և</w:t>
            </w:r>
            <w:r w:rsidRPr="003B2786">
              <w:rPr>
                <w:rStyle w:val="Bodytext1811pt"/>
                <w:rFonts w:ascii="Sylfaen" w:hAnsi="Sylfaen"/>
                <w:sz w:val="24"/>
                <w:szCs w:val="24"/>
              </w:rPr>
              <w:t>յալ ասպեկտները՝ կիրառելիության դեպքում (վերցված են գրանցման դոսյեից՝ ընդհանուր տեխնիկական փաստաթղթի ձ</w:t>
            </w:r>
            <w:r w:rsidR="00C54D75">
              <w:rPr>
                <w:rStyle w:val="Bodytext1811pt"/>
                <w:rFonts w:ascii="Sylfaen" w:hAnsi="Sylfaen"/>
                <w:sz w:val="24"/>
                <w:szCs w:val="24"/>
              </w:rPr>
              <w:t>և</w:t>
            </w:r>
            <w:r w:rsidRPr="003B2786">
              <w:rPr>
                <w:rStyle w:val="Bodytext1811pt"/>
                <w:rFonts w:ascii="Sylfaen" w:hAnsi="Sylfaen"/>
                <w:sz w:val="24"/>
                <w:szCs w:val="24"/>
              </w:rPr>
              <w:t>աչափով).</w:t>
            </w:r>
          </w:p>
        </w:tc>
      </w:tr>
      <w:tr w:rsidR="008C76E0" w:rsidRPr="003B2786" w14:paraId="4B0650BE" w14:textId="77777777" w:rsidTr="008C76E0">
        <w:trPr>
          <w:trHeight w:val="1209"/>
          <w:jc w:val="center"/>
        </w:trPr>
        <w:tc>
          <w:tcPr>
            <w:tcW w:w="9678" w:type="dxa"/>
            <w:tcBorders>
              <w:left w:val="single" w:sz="4" w:space="0" w:color="auto"/>
              <w:right w:val="single" w:sz="4" w:space="0" w:color="auto"/>
            </w:tcBorders>
            <w:shd w:val="clear" w:color="auto" w:fill="FFFFFF"/>
          </w:tcPr>
          <w:p w14:paraId="0F084330" w14:textId="77777777" w:rsidR="008C76E0" w:rsidRPr="008C76E0" w:rsidRDefault="008C76E0" w:rsidP="00B02202">
            <w:pPr>
              <w:pStyle w:val="Bodytext180"/>
              <w:shd w:val="clear" w:color="auto" w:fill="auto"/>
              <w:tabs>
                <w:tab w:val="left" w:pos="1140"/>
              </w:tabs>
              <w:spacing w:before="0" w:after="160" w:line="384" w:lineRule="auto"/>
              <w:ind w:left="1089" w:right="96" w:hanging="511"/>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Եվրասիական տնտեսական հանձնաժողովի </w:t>
            </w:r>
            <w:r w:rsidR="00C54D75">
              <w:rPr>
                <w:rStyle w:val="Bodytext1811pt"/>
                <w:rFonts w:ascii="Sylfaen" w:hAnsi="Sylfaen"/>
                <w:sz w:val="24"/>
                <w:szCs w:val="24"/>
              </w:rPr>
              <w:t>և</w:t>
            </w:r>
            <w:r w:rsidRPr="003B2786">
              <w:rPr>
                <w:rStyle w:val="Bodytext1811pt"/>
                <w:rFonts w:ascii="Sylfaen" w:hAnsi="Sylfaen"/>
                <w:sz w:val="24"/>
                <w:szCs w:val="24"/>
              </w:rPr>
              <w:t xml:space="preserve"> Եվրասիական տնտեսական հանձնաժողովին կից Փորձագիտական կոմիտեի ուղեցուցային փաստաթղթերի պահանջի կատարում:</w:t>
            </w:r>
          </w:p>
        </w:tc>
      </w:tr>
      <w:tr w:rsidR="008C76E0" w:rsidRPr="003B2786" w14:paraId="1AD84F8B" w14:textId="77777777" w:rsidTr="008C76E0">
        <w:trPr>
          <w:jc w:val="center"/>
        </w:trPr>
        <w:tc>
          <w:tcPr>
            <w:tcW w:w="9678" w:type="dxa"/>
            <w:tcBorders>
              <w:left w:val="single" w:sz="4" w:space="0" w:color="auto"/>
              <w:right w:val="single" w:sz="4" w:space="0" w:color="auto"/>
            </w:tcBorders>
            <w:shd w:val="clear" w:color="auto" w:fill="FFFFFF"/>
          </w:tcPr>
          <w:p w14:paraId="4C546DBA" w14:textId="77777777" w:rsidR="008C76E0" w:rsidRPr="008C76E0" w:rsidRDefault="008C76E0" w:rsidP="00B02202">
            <w:pPr>
              <w:pStyle w:val="Bodytext180"/>
              <w:shd w:val="clear" w:color="auto" w:fill="auto"/>
              <w:tabs>
                <w:tab w:val="left" w:pos="1140"/>
              </w:tabs>
              <w:spacing w:before="0" w:after="160" w:line="384" w:lineRule="auto"/>
              <w:ind w:left="1088" w:right="96" w:hanging="51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Օպտիմալ դոզայի </w:t>
            </w:r>
            <w:r w:rsidR="00C54D75">
              <w:rPr>
                <w:rStyle w:val="Bodytext1811pt"/>
                <w:rFonts w:ascii="Sylfaen" w:hAnsi="Sylfaen"/>
                <w:sz w:val="24"/>
                <w:szCs w:val="24"/>
              </w:rPr>
              <w:t>և</w:t>
            </w:r>
            <w:r w:rsidRPr="003B2786">
              <w:rPr>
                <w:rStyle w:val="Bodytext1811pt"/>
                <w:rFonts w:ascii="Sylfaen" w:hAnsi="Sylfaen"/>
                <w:sz w:val="24"/>
                <w:szCs w:val="24"/>
              </w:rPr>
              <w:t xml:space="preserve"> դոզավորման ռեժիմի տիրույթը:</w:t>
            </w:r>
          </w:p>
          <w:p w14:paraId="5E025734" w14:textId="77777777" w:rsidR="008C76E0" w:rsidRPr="008C76E0" w:rsidRDefault="008C76E0" w:rsidP="00B02202">
            <w:pPr>
              <w:pStyle w:val="Bodytext180"/>
              <w:shd w:val="clear" w:color="auto" w:fill="auto"/>
              <w:tabs>
                <w:tab w:val="left" w:pos="1140"/>
              </w:tabs>
              <w:spacing w:before="0" w:after="160" w:line="384" w:lineRule="auto"/>
              <w:ind w:left="1088" w:right="96" w:hanging="51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Ենթապոպուլյացիաներում արդյունավետությունը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անվտանգությունը (օրինակ՝ որոշակի տարիքի, սեռի, ռասայական պատկանելիության, օրգանների աշխատանքի աստիճանով, հիվանդության ծանրությամբ </w:t>
            </w:r>
            <w:r w:rsidR="00C54D75">
              <w:rPr>
                <w:rStyle w:val="Bodytext1811pt"/>
                <w:rFonts w:ascii="Sylfaen" w:hAnsi="Sylfaen"/>
                <w:sz w:val="24"/>
                <w:szCs w:val="24"/>
              </w:rPr>
              <w:t>և</w:t>
            </w:r>
            <w:r w:rsidRPr="003B2786">
              <w:rPr>
                <w:rStyle w:val="Bodytext1811pt"/>
                <w:rFonts w:ascii="Sylfaen" w:hAnsi="Sylfaen"/>
                <w:sz w:val="24"/>
                <w:szCs w:val="24"/>
              </w:rPr>
              <w:t xml:space="preserve"> գենետիկական բազմաձ</w:t>
            </w:r>
            <w:r w:rsidR="00C54D75">
              <w:rPr>
                <w:rStyle w:val="Bodytext1811pt"/>
                <w:rFonts w:ascii="Sylfaen" w:hAnsi="Sylfaen"/>
                <w:sz w:val="24"/>
                <w:szCs w:val="24"/>
              </w:rPr>
              <w:t>և</w:t>
            </w:r>
            <w:r w:rsidRPr="003B2786">
              <w:rPr>
                <w:rStyle w:val="Bodytext1811pt"/>
                <w:rFonts w:ascii="Sylfaen" w:hAnsi="Sylfaen"/>
                <w:sz w:val="24"/>
                <w:szCs w:val="24"/>
              </w:rPr>
              <w:t>ությամբ պացիենտների համար):</w:t>
            </w:r>
          </w:p>
        </w:tc>
      </w:tr>
      <w:tr w:rsidR="008C76E0" w:rsidRPr="003B2786" w14:paraId="5137AD09" w14:textId="77777777" w:rsidTr="008C76E0">
        <w:trPr>
          <w:jc w:val="center"/>
        </w:trPr>
        <w:tc>
          <w:tcPr>
            <w:tcW w:w="9678" w:type="dxa"/>
            <w:tcBorders>
              <w:left w:val="single" w:sz="4" w:space="0" w:color="auto"/>
              <w:right w:val="single" w:sz="4" w:space="0" w:color="auto"/>
            </w:tcBorders>
            <w:shd w:val="clear" w:color="auto" w:fill="FFFFFF"/>
          </w:tcPr>
          <w:p w14:paraId="77703F51" w14:textId="77777777" w:rsidR="008C76E0" w:rsidRPr="008C76E0" w:rsidRDefault="008C76E0" w:rsidP="00B02202">
            <w:pPr>
              <w:pStyle w:val="Bodytext180"/>
              <w:shd w:val="clear" w:color="auto" w:fill="auto"/>
              <w:tabs>
                <w:tab w:val="left" w:pos="1140"/>
              </w:tabs>
              <w:spacing w:before="0" w:after="160" w:line="384" w:lineRule="auto"/>
              <w:ind w:left="1088" w:right="96" w:hanging="51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Դեղերի փոխազդեցության հայտնի </w:t>
            </w:r>
            <w:r w:rsidR="00C54D75">
              <w:rPr>
                <w:rStyle w:val="Bodytext1811pt"/>
                <w:rFonts w:ascii="Sylfaen" w:hAnsi="Sylfaen"/>
                <w:sz w:val="24"/>
                <w:szCs w:val="24"/>
              </w:rPr>
              <w:t>և</w:t>
            </w:r>
            <w:r w:rsidRPr="003B2786">
              <w:rPr>
                <w:rStyle w:val="Bodytext1811pt"/>
                <w:rFonts w:ascii="Sylfaen" w:hAnsi="Sylfaen"/>
                <w:sz w:val="24"/>
                <w:szCs w:val="24"/>
              </w:rPr>
              <w:t xml:space="preserve"> հնարավոր մեխանիզմները:</w:t>
            </w:r>
          </w:p>
          <w:p w14:paraId="2839ECA1" w14:textId="77777777" w:rsidR="008C76E0" w:rsidRPr="008C76E0" w:rsidRDefault="008C76E0" w:rsidP="00B02202">
            <w:pPr>
              <w:pStyle w:val="Bodytext180"/>
              <w:tabs>
                <w:tab w:val="left" w:pos="1140"/>
              </w:tabs>
              <w:spacing w:before="0" w:after="160" w:line="384" w:lineRule="auto"/>
              <w:ind w:left="1088" w:right="96" w:hanging="51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Անվտանգության «ազդանշաններ», որոնք կապված են, օրինակ՝ քաղցկեղածին ազդեցության, տերատոգեն ազդեցության, QT միջակայքի երկարացման կամ հեպատոտոքսիկության վերաբերյալ կասկածների հետ:</w:t>
            </w:r>
          </w:p>
        </w:tc>
      </w:tr>
      <w:tr w:rsidR="008C76E0" w:rsidRPr="003B2786" w14:paraId="7EBF6E62" w14:textId="77777777" w:rsidTr="008C76E0">
        <w:trPr>
          <w:jc w:val="center"/>
        </w:trPr>
        <w:tc>
          <w:tcPr>
            <w:tcW w:w="9678" w:type="dxa"/>
            <w:tcBorders>
              <w:left w:val="single" w:sz="4" w:space="0" w:color="auto"/>
              <w:right w:val="single" w:sz="4" w:space="0" w:color="auto"/>
            </w:tcBorders>
            <w:shd w:val="clear" w:color="auto" w:fill="FFFFFF"/>
            <w:vAlign w:val="bottom"/>
          </w:tcPr>
          <w:p w14:paraId="5FF61639" w14:textId="77777777" w:rsidR="008C76E0" w:rsidRPr="008C76E0" w:rsidRDefault="008C76E0" w:rsidP="00390DAC">
            <w:pPr>
              <w:pStyle w:val="Bodytext180"/>
              <w:shd w:val="clear" w:color="auto" w:fill="auto"/>
              <w:tabs>
                <w:tab w:val="left" w:pos="1140"/>
              </w:tabs>
              <w:spacing w:before="0" w:after="160" w:line="360" w:lineRule="auto"/>
              <w:ind w:left="1089" w:right="97" w:hanging="511"/>
              <w:jc w:val="both"/>
              <w:rPr>
                <w:rFonts w:ascii="Sylfaen" w:hAnsi="Sylfaen"/>
                <w:b w:val="0"/>
                <w:sz w:val="24"/>
                <w:szCs w:val="24"/>
                <w:lang w:val="hy-AM"/>
              </w:rPr>
            </w:pPr>
            <w:r w:rsidRPr="003B2786">
              <w:rPr>
                <w:rStyle w:val="Bodytext1811pt"/>
                <w:rFonts w:ascii="Sylfaen" w:hAnsi="Sylfaen"/>
                <w:sz w:val="24"/>
                <w:szCs w:val="24"/>
              </w:rPr>
              <w:t>6.</w:t>
            </w:r>
            <w:r w:rsidRPr="003B2786">
              <w:rPr>
                <w:rStyle w:val="Bodytext1811pt"/>
                <w:rFonts w:ascii="Sylfaen" w:hAnsi="Sylfaen"/>
                <w:sz w:val="24"/>
                <w:szCs w:val="24"/>
              </w:rPr>
              <w:tab/>
              <w:t>Արդյունավետ ազդեցության համար փոխնակ վերջնակետերի օգտագործումն այն դեպքում, երբ թունավորությունը լուրջ է:</w:t>
            </w:r>
          </w:p>
        </w:tc>
      </w:tr>
      <w:tr w:rsidR="008C76E0" w:rsidRPr="003B2786" w14:paraId="27650860" w14:textId="77777777" w:rsidTr="008C76E0">
        <w:trPr>
          <w:trHeight w:val="2048"/>
          <w:jc w:val="center"/>
        </w:trPr>
        <w:tc>
          <w:tcPr>
            <w:tcW w:w="9678" w:type="dxa"/>
            <w:tcBorders>
              <w:left w:val="single" w:sz="4" w:space="0" w:color="auto"/>
              <w:right w:val="single" w:sz="4" w:space="0" w:color="auto"/>
            </w:tcBorders>
            <w:shd w:val="clear" w:color="auto" w:fill="FFFFFF"/>
          </w:tcPr>
          <w:p w14:paraId="10FA921A" w14:textId="77777777" w:rsidR="008C76E0" w:rsidRPr="008C76E0" w:rsidRDefault="008C76E0" w:rsidP="00390DAC">
            <w:pPr>
              <w:pStyle w:val="Bodytext180"/>
              <w:shd w:val="clear" w:color="auto" w:fill="auto"/>
              <w:tabs>
                <w:tab w:val="left" w:pos="1140"/>
              </w:tabs>
              <w:spacing w:before="0" w:after="160" w:line="360" w:lineRule="auto"/>
              <w:ind w:left="1089" w:right="97" w:hanging="511"/>
              <w:jc w:val="both"/>
              <w:rPr>
                <w:rFonts w:ascii="Sylfaen" w:hAnsi="Sylfaen"/>
                <w:b w:val="0"/>
                <w:sz w:val="24"/>
                <w:szCs w:val="24"/>
                <w:lang w:val="hy-AM"/>
              </w:rPr>
            </w:pPr>
            <w:r w:rsidRPr="008C76E0">
              <w:rPr>
                <w:rFonts w:ascii="Sylfaen" w:hAnsi="Sylfaen"/>
                <w:b w:val="0"/>
                <w:sz w:val="24"/>
                <w:szCs w:val="24"/>
                <w:lang w:val="hy-AM"/>
              </w:rPr>
              <w:lastRenderedPageBreak/>
              <w:t>7.</w:t>
            </w:r>
            <w:r w:rsidRPr="008C76E0">
              <w:rPr>
                <w:rFonts w:ascii="Sylfaen" w:hAnsi="Sylfaen"/>
                <w:b w:val="0"/>
                <w:sz w:val="24"/>
                <w:szCs w:val="24"/>
                <w:lang w:val="hy-AM"/>
              </w:rPr>
              <w:tab/>
            </w:r>
            <w:r w:rsidRPr="003B2786">
              <w:rPr>
                <w:rStyle w:val="Bodytext1811pt"/>
                <w:rFonts w:ascii="Sylfaen" w:hAnsi="Sylfaen"/>
                <w:sz w:val="24"/>
                <w:szCs w:val="24"/>
              </w:rPr>
              <w:t>Դեղազգոնության պլանում անվտանգության վերաբերյալ բոլոր հարցերի ուսումնասիրության ստուգումը (այն ներկայացված լինելու դեպքում):</w:t>
            </w:r>
          </w:p>
          <w:p w14:paraId="77C3A384" w14:textId="77777777" w:rsidR="008C76E0" w:rsidRPr="008C76E0" w:rsidRDefault="008C76E0" w:rsidP="00390DAC">
            <w:pPr>
              <w:pStyle w:val="Bodytext180"/>
              <w:shd w:val="clear" w:color="auto" w:fill="auto"/>
              <w:tabs>
                <w:tab w:val="left" w:pos="1140"/>
              </w:tabs>
              <w:spacing w:before="0" w:after="160" w:line="360" w:lineRule="auto"/>
              <w:ind w:left="1089" w:right="97" w:hanging="511"/>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 xml:space="preserve">Պատրաստուկի անվտանգ </w:t>
            </w:r>
            <w:r w:rsidR="00C54D75">
              <w:rPr>
                <w:rStyle w:val="Bodytext1811pt"/>
                <w:rFonts w:ascii="Sylfaen" w:hAnsi="Sylfaen"/>
                <w:sz w:val="24"/>
                <w:szCs w:val="24"/>
              </w:rPr>
              <w:t>և</w:t>
            </w:r>
            <w:r w:rsidRPr="003B2786">
              <w:rPr>
                <w:rStyle w:val="Bodytext1811pt"/>
                <w:rFonts w:ascii="Sylfaen" w:hAnsi="Sylfaen"/>
                <w:sz w:val="24"/>
                <w:szCs w:val="24"/>
              </w:rPr>
              <w:t xml:space="preserve"> (կամ) արդյունավետ կիրառումը հնարավոր դժվարություններ է ենթադրում կառավարման նկատմամբ հատուկ բժշկական փորձաքննություն կամ պացիենտների ուսուցում նախատեսող մոտեցումներ ընտրելիս:</w:t>
            </w:r>
          </w:p>
        </w:tc>
      </w:tr>
      <w:tr w:rsidR="008C76E0" w:rsidRPr="003B2786" w14:paraId="77340B92" w14:textId="77777777" w:rsidTr="008C76E0">
        <w:trPr>
          <w:jc w:val="center"/>
        </w:trPr>
        <w:tc>
          <w:tcPr>
            <w:tcW w:w="9678" w:type="dxa"/>
            <w:tcBorders>
              <w:left w:val="single" w:sz="4" w:space="0" w:color="auto"/>
              <w:right w:val="single" w:sz="4" w:space="0" w:color="auto"/>
            </w:tcBorders>
            <w:shd w:val="clear" w:color="auto" w:fill="FFFFFF"/>
          </w:tcPr>
          <w:p w14:paraId="69FF0372" w14:textId="77777777" w:rsidR="008C76E0" w:rsidRPr="008C76E0" w:rsidRDefault="008C76E0" w:rsidP="00390DAC">
            <w:pPr>
              <w:pStyle w:val="Bodytext180"/>
              <w:shd w:val="clear" w:color="auto" w:fill="auto"/>
              <w:tabs>
                <w:tab w:val="left" w:pos="1140"/>
              </w:tabs>
              <w:spacing w:before="0" w:after="160" w:line="360" w:lineRule="auto"/>
              <w:ind w:left="1089" w:right="97" w:hanging="511"/>
              <w:jc w:val="both"/>
              <w:rPr>
                <w:rFonts w:ascii="Sylfaen" w:hAnsi="Sylfaen"/>
                <w:b w:val="0"/>
                <w:sz w:val="24"/>
                <w:szCs w:val="24"/>
                <w:lang w:val="hy-AM"/>
              </w:rPr>
            </w:pPr>
            <w:r w:rsidRPr="003B2786">
              <w:rPr>
                <w:rStyle w:val="Bodytext1811pt"/>
                <w:rFonts w:ascii="Sylfaen" w:hAnsi="Sylfaen"/>
                <w:sz w:val="24"/>
                <w:szCs w:val="24"/>
              </w:rPr>
              <w:t>9.</w:t>
            </w:r>
            <w:r w:rsidRPr="003B2786">
              <w:rPr>
                <w:rStyle w:val="Bodytext1811pt"/>
                <w:rFonts w:ascii="Sylfaen" w:hAnsi="Sylfaen"/>
                <w:sz w:val="24"/>
                <w:szCs w:val="24"/>
              </w:rPr>
              <w:tab/>
              <w:t>Գրանցման հավաստագրի տրամադրման պայմաններում պատրաստուկի վերաբերյալ տեղեկատվության, հետագա հսկողական միջոցառումների կազմում կամ ռիսկերի կառավարման պլանում ռիսկերն ու անորոշությունները հաշվի առնելու հանգամանքի ստուգում:</w:t>
            </w:r>
          </w:p>
        </w:tc>
      </w:tr>
      <w:tr w:rsidR="008C76E0" w:rsidRPr="003B2786" w14:paraId="5B51D138" w14:textId="77777777" w:rsidTr="008C76E0">
        <w:trPr>
          <w:jc w:val="center"/>
        </w:trPr>
        <w:tc>
          <w:tcPr>
            <w:tcW w:w="9678" w:type="dxa"/>
            <w:tcBorders>
              <w:left w:val="single" w:sz="4" w:space="0" w:color="auto"/>
              <w:right w:val="single" w:sz="4" w:space="0" w:color="auto"/>
            </w:tcBorders>
            <w:shd w:val="clear" w:color="auto" w:fill="FFFFFF"/>
          </w:tcPr>
          <w:p w14:paraId="22ACD41B" w14:textId="77777777" w:rsidR="008C76E0" w:rsidRPr="008C76E0" w:rsidRDefault="008C76E0" w:rsidP="00390DAC">
            <w:pPr>
              <w:pStyle w:val="Bodytext180"/>
              <w:shd w:val="clear" w:color="auto" w:fill="auto"/>
              <w:tabs>
                <w:tab w:val="left" w:pos="1140"/>
              </w:tabs>
              <w:spacing w:before="0" w:after="160" w:line="360" w:lineRule="auto"/>
              <w:ind w:left="1089" w:right="97" w:hanging="511"/>
              <w:jc w:val="both"/>
              <w:rPr>
                <w:rFonts w:ascii="Sylfaen" w:hAnsi="Sylfaen"/>
                <w:b w:val="0"/>
                <w:sz w:val="24"/>
                <w:szCs w:val="24"/>
                <w:lang w:val="hy-AM"/>
              </w:rPr>
            </w:pPr>
            <w:r w:rsidRPr="003B2786">
              <w:rPr>
                <w:rStyle w:val="Bodytext1811pt"/>
                <w:rFonts w:ascii="Sylfaen" w:hAnsi="Sylfaen"/>
                <w:sz w:val="24"/>
                <w:szCs w:val="24"/>
              </w:rPr>
              <w:t>10.</w:t>
            </w:r>
            <w:r w:rsidRPr="003B2786">
              <w:rPr>
                <w:rStyle w:val="Bodytext1811pt"/>
                <w:rFonts w:ascii="Sylfaen" w:hAnsi="Sylfaen"/>
                <w:sz w:val="24"/>
                <w:szCs w:val="24"/>
              </w:rPr>
              <w:tab/>
              <w:t xml:space="preserve">Բուժման պատշաճ, ճանաչված սխեմայի (եթե այդպիսին առկա է) համեմատությամբ պատրաստուկի կիրառությունից ստացված օգուտի </w:t>
            </w:r>
            <w:r w:rsidR="00C54D75">
              <w:rPr>
                <w:rStyle w:val="Bodytext1811pt"/>
                <w:rFonts w:ascii="Sylfaen" w:hAnsi="Sylfaen"/>
                <w:sz w:val="24"/>
                <w:szCs w:val="24"/>
              </w:rPr>
              <w:t>և</w:t>
            </w:r>
            <w:r w:rsidRPr="003B2786">
              <w:rPr>
                <w:rStyle w:val="Bodytext1811pt"/>
                <w:rFonts w:ascii="Sylfaen" w:hAnsi="Sylfaen"/>
                <w:sz w:val="24"/>
                <w:szCs w:val="24"/>
              </w:rPr>
              <w:t xml:space="preserve"> ռիսկի հարաբերակցության բնութագրման համար բավարար տեղեկատվության առկայության ստուգում: Ենթակա է համապատասխան կարգով ուսումնասիրության:</w:t>
            </w:r>
          </w:p>
        </w:tc>
      </w:tr>
      <w:tr w:rsidR="008C76E0" w:rsidRPr="003B2786" w14:paraId="25D3B5DB" w14:textId="77777777" w:rsidTr="008C76E0">
        <w:trPr>
          <w:jc w:val="center"/>
        </w:trPr>
        <w:tc>
          <w:tcPr>
            <w:tcW w:w="9678" w:type="dxa"/>
            <w:tcBorders>
              <w:left w:val="single" w:sz="4" w:space="0" w:color="auto"/>
              <w:right w:val="single" w:sz="4" w:space="0" w:color="auto"/>
            </w:tcBorders>
            <w:shd w:val="clear" w:color="auto" w:fill="FFFFFF"/>
            <w:vAlign w:val="bottom"/>
          </w:tcPr>
          <w:p w14:paraId="6CD44122" w14:textId="77777777" w:rsidR="008C76E0" w:rsidRPr="008C76E0" w:rsidRDefault="008C76E0" w:rsidP="00390DAC">
            <w:pPr>
              <w:pStyle w:val="Bodytext180"/>
              <w:shd w:val="clear" w:color="auto" w:fill="auto"/>
              <w:spacing w:before="0" w:after="160" w:line="360" w:lineRule="auto"/>
              <w:ind w:left="56" w:right="97" w:firstLine="522"/>
              <w:jc w:val="both"/>
              <w:rPr>
                <w:rFonts w:ascii="Sylfaen" w:hAnsi="Sylfaen"/>
                <w:b w:val="0"/>
                <w:sz w:val="24"/>
                <w:szCs w:val="24"/>
                <w:lang w:val="hy-AM"/>
              </w:rPr>
            </w:pPr>
            <w:r w:rsidRPr="003B2786">
              <w:rPr>
                <w:rStyle w:val="Bodytext1811pt"/>
                <w:rFonts w:ascii="Sylfaen" w:hAnsi="Sylfaen"/>
                <w:sz w:val="24"/>
                <w:szCs w:val="24"/>
              </w:rPr>
              <w:t>Բացի այդ, անհրաժեշտ է ուսումնասիրել երեխաների վերաբերյալ տվյալները կամ զարգացման ցանկացած պլան՝ կապված մանկաբուժության ոլորտում կիրառման հետ:</w:t>
            </w:r>
          </w:p>
        </w:tc>
      </w:tr>
      <w:tr w:rsidR="008C76E0" w:rsidRPr="003B2786" w14:paraId="4A2676CD" w14:textId="77777777" w:rsidTr="008C76E0">
        <w:trPr>
          <w:trHeight w:val="1293"/>
          <w:jc w:val="center"/>
        </w:trPr>
        <w:tc>
          <w:tcPr>
            <w:tcW w:w="9678" w:type="dxa"/>
            <w:tcBorders>
              <w:left w:val="single" w:sz="4" w:space="0" w:color="auto"/>
              <w:bottom w:val="single" w:sz="4" w:space="0" w:color="auto"/>
              <w:right w:val="single" w:sz="4" w:space="0" w:color="auto"/>
            </w:tcBorders>
            <w:shd w:val="clear" w:color="auto" w:fill="FFFFFF"/>
          </w:tcPr>
          <w:p w14:paraId="45F459D1" w14:textId="77777777" w:rsidR="008C76E0" w:rsidRPr="008C76E0" w:rsidRDefault="008C76E0" w:rsidP="00390DAC">
            <w:pPr>
              <w:pStyle w:val="Bodytext180"/>
              <w:shd w:val="clear" w:color="auto" w:fill="auto"/>
              <w:spacing w:before="0" w:after="160" w:line="360" w:lineRule="auto"/>
              <w:ind w:left="56" w:right="97" w:firstLine="522"/>
              <w:rPr>
                <w:rFonts w:ascii="Sylfaen" w:hAnsi="Sylfaen"/>
                <w:b w:val="0"/>
                <w:sz w:val="24"/>
                <w:szCs w:val="24"/>
                <w:lang w:val="hy-AM"/>
              </w:rPr>
            </w:pPr>
            <w:r w:rsidRPr="003B2786">
              <w:rPr>
                <w:rStyle w:val="Bodytext1811pt"/>
                <w:rFonts w:ascii="Sylfaen" w:hAnsi="Sylfaen"/>
                <w:sz w:val="24"/>
                <w:szCs w:val="24"/>
              </w:rPr>
              <w:t xml:space="preserve">Տեղին լինելու դեպքում տվյալ բաժնում անհրաժեշտ է ներառել վերարտադրված պատրաստուկի վերաբերյալ հայտի համար կենսահամարժեքության գնահատման տեղեկատվությունը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 Անհրաժեշտ է պարզաբանել ռեֆերենտ պատրաստուկի ընտրությունը:</w:t>
            </w:r>
          </w:p>
        </w:tc>
      </w:tr>
      <w:tr w:rsidR="008C76E0" w:rsidRPr="003B2786" w14:paraId="786D3475" w14:textId="77777777" w:rsidTr="008C76E0">
        <w:trPr>
          <w:trHeight w:val="794"/>
          <w:jc w:val="center"/>
        </w:trPr>
        <w:tc>
          <w:tcPr>
            <w:tcW w:w="9678" w:type="dxa"/>
            <w:tcBorders>
              <w:top w:val="single" w:sz="4" w:space="0" w:color="auto"/>
            </w:tcBorders>
            <w:shd w:val="clear" w:color="auto" w:fill="FFFFFF"/>
          </w:tcPr>
          <w:p w14:paraId="40A86213" w14:textId="77777777" w:rsidR="008C76E0" w:rsidRPr="00B02202" w:rsidRDefault="008C76E0" w:rsidP="00390DAC">
            <w:pPr>
              <w:pStyle w:val="Bodytext180"/>
              <w:shd w:val="clear" w:color="auto" w:fill="auto"/>
              <w:spacing w:before="0" w:after="160" w:line="360" w:lineRule="auto"/>
              <w:ind w:left="57" w:right="96" w:firstLine="521"/>
              <w:jc w:val="both"/>
              <w:rPr>
                <w:rStyle w:val="Bodytext295pt"/>
                <w:rFonts w:ascii="Sylfaen" w:hAnsi="Sylfaen"/>
                <w:sz w:val="24"/>
                <w:szCs w:val="24"/>
              </w:rPr>
            </w:pPr>
            <w:r w:rsidRPr="003B2786">
              <w:rPr>
                <w:rStyle w:val="Bodytext295pt"/>
                <w:rFonts w:ascii="Sylfaen" w:hAnsi="Sylfaen"/>
                <w:sz w:val="24"/>
                <w:szCs w:val="24"/>
              </w:rPr>
              <w:t>V.</w:t>
            </w:r>
            <w:r w:rsidRPr="003B2786">
              <w:rPr>
                <w:rStyle w:val="Bodytext295pt"/>
                <w:rFonts w:ascii="Sylfaen" w:hAnsi="Sylfaen"/>
                <w:sz w:val="24"/>
                <w:szCs w:val="24"/>
              </w:rPr>
              <w:tab/>
              <w:t xml:space="preserve">Գրանցման հավաստագրի տրամադրման առաջարկվող պայմանները </w:t>
            </w:r>
            <w:r w:rsidR="00C54D75">
              <w:rPr>
                <w:rStyle w:val="Bodytext295pt"/>
                <w:rFonts w:ascii="Sylfaen" w:hAnsi="Sylfaen"/>
                <w:sz w:val="24"/>
                <w:szCs w:val="24"/>
              </w:rPr>
              <w:t>և</w:t>
            </w:r>
            <w:r w:rsidRPr="003B2786">
              <w:rPr>
                <w:rStyle w:val="Bodytext295pt"/>
                <w:rFonts w:ascii="Sylfaen" w:hAnsi="Sylfaen"/>
                <w:sz w:val="24"/>
                <w:szCs w:val="24"/>
              </w:rPr>
              <w:t xml:space="preserve"> պատրաստուկի վերաբերյալ </w:t>
            </w:r>
            <w:r w:rsidR="00B02202">
              <w:rPr>
                <w:rStyle w:val="Bodytext295pt"/>
                <w:rFonts w:ascii="Sylfaen" w:hAnsi="Sylfaen"/>
                <w:sz w:val="24"/>
                <w:szCs w:val="24"/>
              </w:rPr>
              <w:t>տեղեկատվությունը՝</w:t>
            </w:r>
          </w:p>
          <w:p w14:paraId="16C7574F" w14:textId="77777777" w:rsidR="00B02202" w:rsidRPr="00B02202" w:rsidRDefault="00B02202" w:rsidP="00390DAC">
            <w:pPr>
              <w:pStyle w:val="Bodytext180"/>
              <w:shd w:val="clear" w:color="auto" w:fill="auto"/>
              <w:spacing w:before="0" w:after="160" w:line="360" w:lineRule="auto"/>
              <w:ind w:left="57" w:right="96" w:firstLine="521"/>
              <w:jc w:val="both"/>
              <w:rPr>
                <w:rFonts w:ascii="Sylfaen" w:hAnsi="Sylfaen"/>
                <w:i/>
                <w:sz w:val="24"/>
                <w:szCs w:val="24"/>
                <w:lang w:val="hy-AM"/>
              </w:rPr>
            </w:pPr>
          </w:p>
        </w:tc>
      </w:tr>
      <w:tr w:rsidR="008C76E0" w:rsidRPr="003B2786" w14:paraId="75A8580C" w14:textId="77777777" w:rsidTr="008C76E0">
        <w:trPr>
          <w:jc w:val="center"/>
        </w:trPr>
        <w:tc>
          <w:tcPr>
            <w:tcW w:w="9678" w:type="dxa"/>
            <w:shd w:val="clear" w:color="auto" w:fill="FFFFFF"/>
            <w:vAlign w:val="center"/>
          </w:tcPr>
          <w:p w14:paraId="108266A4" w14:textId="77777777" w:rsidR="008C76E0" w:rsidRPr="008C76E0" w:rsidRDefault="008C76E0" w:rsidP="00390DAC">
            <w:pPr>
              <w:pStyle w:val="Bodytext180"/>
              <w:shd w:val="clear" w:color="auto" w:fill="auto"/>
              <w:spacing w:before="0" w:after="160" w:line="360" w:lineRule="auto"/>
              <w:ind w:left="57" w:right="96" w:firstLine="521"/>
              <w:jc w:val="both"/>
              <w:rPr>
                <w:rFonts w:ascii="Sylfaen" w:hAnsi="Sylfaen"/>
                <w:i/>
                <w:sz w:val="24"/>
                <w:szCs w:val="24"/>
                <w:lang w:val="hy-AM"/>
              </w:rPr>
            </w:pPr>
            <w:r w:rsidRPr="003B2786">
              <w:rPr>
                <w:rStyle w:val="Bodytext295pt"/>
                <w:rFonts w:ascii="Sylfaen" w:hAnsi="Sylfaen"/>
                <w:sz w:val="24"/>
                <w:szCs w:val="24"/>
              </w:rPr>
              <w:t>V.1.</w:t>
            </w:r>
            <w:r w:rsidRPr="003B2786">
              <w:rPr>
                <w:rStyle w:val="Bodytext295pt"/>
                <w:rFonts w:ascii="Sylfaen" w:hAnsi="Sylfaen"/>
                <w:sz w:val="24"/>
                <w:szCs w:val="24"/>
              </w:rPr>
              <w:tab/>
              <w:t>Գրանցման հավաստագրի տրամադրման պայմանները</w:t>
            </w:r>
          </w:p>
        </w:tc>
      </w:tr>
      <w:tr w:rsidR="008C76E0" w:rsidRPr="003B2786" w14:paraId="743D36A4" w14:textId="77777777" w:rsidTr="008C76E0">
        <w:trPr>
          <w:trHeight w:val="454"/>
          <w:jc w:val="center"/>
        </w:trPr>
        <w:tc>
          <w:tcPr>
            <w:tcW w:w="9678" w:type="dxa"/>
            <w:shd w:val="clear" w:color="auto" w:fill="FFFFFF"/>
            <w:vAlign w:val="bottom"/>
          </w:tcPr>
          <w:p w14:paraId="5646C695" w14:textId="77777777" w:rsidR="008C76E0" w:rsidRPr="003B2786" w:rsidRDefault="008C76E0" w:rsidP="00390DAC">
            <w:pPr>
              <w:pStyle w:val="Bodytext180"/>
              <w:shd w:val="clear" w:color="auto" w:fill="auto"/>
              <w:spacing w:before="0" w:after="160" w:line="360" w:lineRule="auto"/>
              <w:ind w:left="57" w:right="96" w:firstLine="521"/>
              <w:jc w:val="both"/>
              <w:rPr>
                <w:rFonts w:ascii="Sylfaen" w:hAnsi="Sylfaen"/>
                <w:i/>
                <w:sz w:val="24"/>
                <w:szCs w:val="24"/>
              </w:rPr>
            </w:pPr>
            <w:r w:rsidRPr="003B2786">
              <w:rPr>
                <w:rStyle w:val="Bodytext295pt"/>
                <w:rFonts w:ascii="Sylfaen" w:hAnsi="Sylfaen"/>
                <w:sz w:val="24"/>
                <w:szCs w:val="24"/>
              </w:rPr>
              <w:t>Իրավական կարգավիճակը</w:t>
            </w:r>
          </w:p>
        </w:tc>
      </w:tr>
      <w:tr w:rsidR="008C76E0" w:rsidRPr="003B2786" w14:paraId="4768DBD2" w14:textId="77777777" w:rsidTr="008C76E0">
        <w:trPr>
          <w:jc w:val="center"/>
        </w:trPr>
        <w:tc>
          <w:tcPr>
            <w:tcW w:w="9678" w:type="dxa"/>
            <w:tcBorders>
              <w:top w:val="single" w:sz="4" w:space="0" w:color="auto"/>
              <w:left w:val="single" w:sz="4" w:space="0" w:color="auto"/>
              <w:right w:val="single" w:sz="4" w:space="0" w:color="auto"/>
            </w:tcBorders>
            <w:shd w:val="clear" w:color="auto" w:fill="FFFFFF"/>
            <w:vAlign w:val="bottom"/>
          </w:tcPr>
          <w:p w14:paraId="6B661CB9" w14:textId="77777777" w:rsidR="008C76E0" w:rsidRPr="008C76E0" w:rsidRDefault="008C76E0" w:rsidP="00390DAC">
            <w:pPr>
              <w:pStyle w:val="Bodytext180"/>
              <w:shd w:val="clear" w:color="auto" w:fill="auto"/>
              <w:spacing w:before="0" w:after="160" w:line="360" w:lineRule="auto"/>
              <w:ind w:left="56" w:right="97" w:firstLine="0"/>
              <w:jc w:val="both"/>
              <w:rPr>
                <w:rFonts w:ascii="Sylfaen" w:hAnsi="Sylfaen"/>
                <w:b w:val="0"/>
                <w:i/>
                <w:sz w:val="24"/>
                <w:szCs w:val="24"/>
                <w:lang w:val="hy-AM"/>
              </w:rPr>
            </w:pPr>
            <w:r w:rsidRPr="003B2786">
              <w:rPr>
                <w:rStyle w:val="Bodytext295pt"/>
                <w:rFonts w:ascii="Sylfaen" w:hAnsi="Sylfaen"/>
                <w:sz w:val="24"/>
                <w:szCs w:val="24"/>
              </w:rPr>
              <w:lastRenderedPageBreak/>
              <w:t xml:space="preserve">Անհրաժեշտ է </w:t>
            </w:r>
            <w:r w:rsidRPr="003B2786">
              <w:rPr>
                <w:rStyle w:val="Bodytext1811pt"/>
                <w:rFonts w:ascii="Sylfaen" w:hAnsi="Sylfaen"/>
                <w:sz w:val="24"/>
                <w:szCs w:val="24"/>
              </w:rPr>
              <w:t>ռեֆերենտ</w:t>
            </w:r>
            <w:r w:rsidRPr="003B2786">
              <w:rPr>
                <w:rStyle w:val="Bodytext295pt"/>
                <w:rFonts w:ascii="Sylfaen" w:hAnsi="Sylfaen"/>
                <w:sz w:val="24"/>
                <w:szCs w:val="24"/>
              </w:rPr>
              <w:t xml:space="preserve"> պետության՝ դեղապատրաստուկի բացթողման առաջարկվող կարգի վերաբերյալ եզրակացությունը:</w:t>
            </w:r>
          </w:p>
        </w:tc>
      </w:tr>
      <w:tr w:rsidR="008C76E0" w:rsidRPr="003B2786" w14:paraId="6BB41F2E" w14:textId="77777777" w:rsidTr="008C76E0">
        <w:trPr>
          <w:trHeight w:val="693"/>
          <w:jc w:val="center"/>
        </w:trPr>
        <w:tc>
          <w:tcPr>
            <w:tcW w:w="9678" w:type="dxa"/>
            <w:tcBorders>
              <w:top w:val="single" w:sz="4" w:space="0" w:color="auto"/>
            </w:tcBorders>
            <w:shd w:val="clear" w:color="auto" w:fill="FFFFFF"/>
            <w:vAlign w:val="center"/>
          </w:tcPr>
          <w:p w14:paraId="1CC5CF73" w14:textId="77777777" w:rsidR="008C76E0" w:rsidRPr="003B2786" w:rsidRDefault="008C76E0" w:rsidP="00390DAC">
            <w:pPr>
              <w:pStyle w:val="Bodytext180"/>
              <w:shd w:val="clear" w:color="auto" w:fill="auto"/>
              <w:spacing w:before="0" w:after="160" w:line="360" w:lineRule="auto"/>
              <w:ind w:left="57" w:right="96" w:firstLine="522"/>
              <w:jc w:val="both"/>
              <w:rPr>
                <w:rFonts w:ascii="Sylfaen" w:hAnsi="Sylfaen"/>
                <w:b w:val="0"/>
                <w:i/>
                <w:sz w:val="24"/>
                <w:szCs w:val="24"/>
              </w:rPr>
            </w:pPr>
            <w:r w:rsidRPr="003B2786">
              <w:rPr>
                <w:rStyle w:val="Bodytext295pt"/>
                <w:rFonts w:ascii="Sylfaen" w:hAnsi="Sylfaen"/>
                <w:sz w:val="24"/>
                <w:szCs w:val="24"/>
              </w:rPr>
              <w:t>Հետագա հսկողության միջոցները</w:t>
            </w:r>
          </w:p>
        </w:tc>
      </w:tr>
      <w:tr w:rsidR="008C76E0" w:rsidRPr="003B2786" w14:paraId="0DC57978" w14:textId="77777777" w:rsidTr="008C76E0">
        <w:trPr>
          <w:jc w:val="center"/>
        </w:trPr>
        <w:tc>
          <w:tcPr>
            <w:tcW w:w="9678" w:type="dxa"/>
            <w:shd w:val="clear" w:color="auto" w:fill="FFFFFF"/>
            <w:vAlign w:val="center"/>
          </w:tcPr>
          <w:p w14:paraId="781D0E96" w14:textId="77777777" w:rsidR="008C76E0" w:rsidRPr="003B2786" w:rsidRDefault="008C76E0" w:rsidP="00390DAC">
            <w:pPr>
              <w:pStyle w:val="Bodytext180"/>
              <w:shd w:val="clear" w:color="auto" w:fill="auto"/>
              <w:spacing w:before="0" w:after="160" w:line="360" w:lineRule="auto"/>
              <w:ind w:left="57" w:right="96" w:firstLine="522"/>
              <w:jc w:val="both"/>
              <w:rPr>
                <w:rFonts w:ascii="Sylfaen" w:hAnsi="Sylfaen"/>
                <w:b w:val="0"/>
                <w:i/>
                <w:sz w:val="24"/>
                <w:szCs w:val="24"/>
              </w:rPr>
            </w:pPr>
            <w:r w:rsidRPr="003B2786">
              <w:rPr>
                <w:rStyle w:val="Bodytext295pt"/>
                <w:rFonts w:ascii="Sylfaen" w:hAnsi="Sylfaen"/>
                <w:sz w:val="24"/>
                <w:szCs w:val="24"/>
              </w:rPr>
              <w:t>Հատուկ պարտավորությունները</w:t>
            </w:r>
          </w:p>
        </w:tc>
      </w:tr>
      <w:tr w:rsidR="008C76E0" w:rsidRPr="003B2786" w14:paraId="67533865" w14:textId="77777777" w:rsidTr="008C76E0">
        <w:trPr>
          <w:jc w:val="center"/>
        </w:trPr>
        <w:tc>
          <w:tcPr>
            <w:tcW w:w="9678" w:type="dxa"/>
            <w:shd w:val="clear" w:color="auto" w:fill="FFFFFF"/>
            <w:vAlign w:val="center"/>
          </w:tcPr>
          <w:p w14:paraId="6BD1B680" w14:textId="77777777" w:rsidR="008C76E0" w:rsidRPr="008C76E0" w:rsidRDefault="008C76E0" w:rsidP="00390DAC">
            <w:pPr>
              <w:pStyle w:val="Bodytext180"/>
              <w:shd w:val="clear" w:color="auto" w:fill="auto"/>
              <w:spacing w:before="0" w:after="160" w:line="360" w:lineRule="auto"/>
              <w:ind w:left="57" w:right="96" w:firstLine="522"/>
              <w:jc w:val="both"/>
              <w:rPr>
                <w:rFonts w:ascii="Sylfaen" w:hAnsi="Sylfaen"/>
                <w:b w:val="0"/>
                <w:i/>
                <w:sz w:val="24"/>
                <w:szCs w:val="24"/>
                <w:lang w:val="hy-AM"/>
              </w:rPr>
            </w:pPr>
            <w:r w:rsidRPr="003B2786">
              <w:rPr>
                <w:rStyle w:val="Bodytext295pt"/>
                <w:rFonts w:ascii="Sylfaen" w:hAnsi="Sylfaen"/>
                <w:sz w:val="24"/>
                <w:szCs w:val="24"/>
              </w:rPr>
              <w:t>Սույն բաժնում անհրաժեշտ է նշել գրանցման հավաստագրի տրամադրման պայմանները (կիրառելիության դեպքում).</w:t>
            </w:r>
          </w:p>
        </w:tc>
      </w:tr>
      <w:tr w:rsidR="008C76E0" w:rsidRPr="003B2786" w14:paraId="779E91D4" w14:textId="77777777" w:rsidTr="008C76E0">
        <w:trPr>
          <w:jc w:val="center"/>
        </w:trPr>
        <w:tc>
          <w:tcPr>
            <w:tcW w:w="9678" w:type="dxa"/>
            <w:shd w:val="clear" w:color="auto" w:fill="FFFFFF"/>
          </w:tcPr>
          <w:p w14:paraId="7EA76A1B" w14:textId="77777777" w:rsidR="008C76E0" w:rsidRPr="003B2786" w:rsidRDefault="008C76E0" w:rsidP="00390DAC">
            <w:pPr>
              <w:pStyle w:val="Bodytext180"/>
              <w:shd w:val="clear" w:color="auto" w:fill="auto"/>
              <w:tabs>
                <w:tab w:val="left" w:pos="1145"/>
              </w:tabs>
              <w:spacing w:before="0" w:after="160" w:line="360" w:lineRule="auto"/>
              <w:ind w:left="57" w:right="96" w:firstLine="522"/>
              <w:jc w:val="both"/>
              <w:rPr>
                <w:rFonts w:ascii="Sylfaen" w:hAnsi="Sylfaen"/>
                <w:b w:val="0"/>
                <w:i/>
                <w:sz w:val="24"/>
                <w:szCs w:val="24"/>
              </w:rPr>
            </w:pPr>
            <w:r w:rsidRPr="003B2786">
              <w:rPr>
                <w:rStyle w:val="Bodytext295pt"/>
                <w:rFonts w:ascii="Sylfaen" w:hAnsi="Sylfaen"/>
                <w:sz w:val="24"/>
                <w:szCs w:val="24"/>
              </w:rPr>
              <w:t>V.2.</w:t>
            </w:r>
            <w:r w:rsidRPr="003B2786">
              <w:rPr>
                <w:rStyle w:val="Bodytext295pt"/>
                <w:rFonts w:ascii="Sylfaen" w:hAnsi="Sylfaen"/>
                <w:sz w:val="24"/>
                <w:szCs w:val="24"/>
              </w:rPr>
              <w:tab/>
              <w:t>Դեղապատրաստուկի ընդհանուր բնութագիրը</w:t>
            </w:r>
          </w:p>
        </w:tc>
      </w:tr>
      <w:tr w:rsidR="008C76E0" w:rsidRPr="003B2786" w14:paraId="4B741C78" w14:textId="77777777" w:rsidTr="008C76E0">
        <w:trPr>
          <w:jc w:val="center"/>
        </w:trPr>
        <w:tc>
          <w:tcPr>
            <w:tcW w:w="9678" w:type="dxa"/>
            <w:shd w:val="clear" w:color="auto" w:fill="FFFFFF"/>
          </w:tcPr>
          <w:p w14:paraId="194D7452" w14:textId="77777777" w:rsidR="008C76E0" w:rsidRPr="008C76E0" w:rsidRDefault="008C76E0" w:rsidP="00390DAC">
            <w:pPr>
              <w:pStyle w:val="Bodytext180"/>
              <w:shd w:val="clear" w:color="auto" w:fill="auto"/>
              <w:tabs>
                <w:tab w:val="left" w:pos="1145"/>
              </w:tabs>
              <w:spacing w:before="0" w:after="160" w:line="360" w:lineRule="auto"/>
              <w:ind w:left="57" w:right="96" w:firstLine="522"/>
              <w:jc w:val="both"/>
              <w:rPr>
                <w:rFonts w:ascii="Sylfaen" w:hAnsi="Sylfaen"/>
                <w:b w:val="0"/>
                <w:i/>
                <w:sz w:val="24"/>
                <w:szCs w:val="24"/>
                <w:lang w:val="hy-AM"/>
              </w:rPr>
            </w:pPr>
            <w:r w:rsidRPr="003B2786">
              <w:rPr>
                <w:rStyle w:val="Bodytext295pt"/>
                <w:rFonts w:ascii="Sylfaen" w:hAnsi="Sylfaen"/>
                <w:sz w:val="24"/>
                <w:szCs w:val="24"/>
              </w:rPr>
              <w:t>V.3.</w:t>
            </w:r>
            <w:r w:rsidRPr="003B2786">
              <w:rPr>
                <w:rStyle w:val="Bodytext295pt"/>
                <w:rFonts w:ascii="Sylfaen" w:hAnsi="Sylfaen"/>
                <w:sz w:val="24"/>
                <w:szCs w:val="24"/>
              </w:rPr>
              <w:tab/>
              <w:t xml:space="preserve">Ներդիր թերթիկը </w:t>
            </w:r>
            <w:r w:rsidR="00C54D75">
              <w:rPr>
                <w:rStyle w:val="Bodytext295pt"/>
                <w:rFonts w:ascii="Sylfaen" w:hAnsi="Sylfaen"/>
                <w:sz w:val="24"/>
                <w:szCs w:val="24"/>
              </w:rPr>
              <w:t>և</w:t>
            </w:r>
            <w:r w:rsidRPr="003B2786">
              <w:rPr>
                <w:rStyle w:val="Bodytext295pt"/>
                <w:rFonts w:ascii="Sylfaen" w:hAnsi="Sylfaen"/>
                <w:sz w:val="24"/>
                <w:szCs w:val="24"/>
              </w:rPr>
              <w:t xml:space="preserve"> օգտատերերի թեստավորումը</w:t>
            </w:r>
          </w:p>
        </w:tc>
      </w:tr>
      <w:tr w:rsidR="008C76E0" w:rsidRPr="003B2786" w14:paraId="64B36643" w14:textId="77777777" w:rsidTr="008C76E0">
        <w:trPr>
          <w:jc w:val="center"/>
        </w:trPr>
        <w:tc>
          <w:tcPr>
            <w:tcW w:w="9678" w:type="dxa"/>
            <w:shd w:val="clear" w:color="auto" w:fill="FFFFFF"/>
            <w:vAlign w:val="center"/>
          </w:tcPr>
          <w:p w14:paraId="407507A7" w14:textId="77777777" w:rsidR="008C76E0" w:rsidRPr="003B2786" w:rsidRDefault="008C76E0" w:rsidP="00390DAC">
            <w:pPr>
              <w:pStyle w:val="Bodytext180"/>
              <w:shd w:val="clear" w:color="auto" w:fill="auto"/>
              <w:tabs>
                <w:tab w:val="left" w:pos="1712"/>
              </w:tabs>
              <w:spacing w:before="0" w:after="160" w:line="360" w:lineRule="auto"/>
              <w:ind w:left="57" w:right="96" w:firstLine="522"/>
              <w:jc w:val="both"/>
              <w:rPr>
                <w:rFonts w:ascii="Sylfaen" w:hAnsi="Sylfaen"/>
                <w:b w:val="0"/>
                <w:i/>
                <w:sz w:val="24"/>
                <w:szCs w:val="24"/>
              </w:rPr>
            </w:pPr>
            <w:r w:rsidRPr="003B2786">
              <w:rPr>
                <w:rStyle w:val="Bodytext295pt"/>
                <w:rFonts w:ascii="Sylfaen" w:hAnsi="Sylfaen"/>
                <w:sz w:val="24"/>
                <w:szCs w:val="24"/>
              </w:rPr>
              <w:t>V.3.1.</w:t>
            </w:r>
            <w:r w:rsidRPr="003B2786">
              <w:rPr>
                <w:rStyle w:val="Bodytext295pt"/>
                <w:rFonts w:ascii="Sylfaen" w:hAnsi="Sylfaen"/>
                <w:sz w:val="24"/>
                <w:szCs w:val="24"/>
              </w:rPr>
              <w:tab/>
              <w:t>Ներդիր թերթիկը</w:t>
            </w:r>
          </w:p>
        </w:tc>
      </w:tr>
      <w:tr w:rsidR="008C76E0" w:rsidRPr="003B2786" w14:paraId="75CFFB98" w14:textId="77777777" w:rsidTr="008C76E0">
        <w:trPr>
          <w:jc w:val="center"/>
        </w:trPr>
        <w:tc>
          <w:tcPr>
            <w:tcW w:w="9678" w:type="dxa"/>
            <w:shd w:val="clear" w:color="auto" w:fill="FFFFFF"/>
            <w:vAlign w:val="center"/>
          </w:tcPr>
          <w:p w14:paraId="5166F4F3" w14:textId="77777777" w:rsidR="008C76E0" w:rsidRPr="003B2786" w:rsidRDefault="008C76E0" w:rsidP="00390DAC">
            <w:pPr>
              <w:pStyle w:val="Bodytext180"/>
              <w:shd w:val="clear" w:color="auto" w:fill="auto"/>
              <w:tabs>
                <w:tab w:val="left" w:pos="1712"/>
              </w:tabs>
              <w:spacing w:before="0" w:after="160" w:line="360" w:lineRule="auto"/>
              <w:ind w:left="57" w:right="96" w:firstLine="522"/>
              <w:jc w:val="both"/>
              <w:rPr>
                <w:rFonts w:ascii="Sylfaen" w:hAnsi="Sylfaen"/>
                <w:b w:val="0"/>
                <w:i/>
                <w:sz w:val="24"/>
                <w:szCs w:val="24"/>
              </w:rPr>
            </w:pPr>
            <w:r w:rsidRPr="003B2786">
              <w:rPr>
                <w:rStyle w:val="Bodytext295pt"/>
                <w:rFonts w:ascii="Sylfaen" w:hAnsi="Sylfaen"/>
                <w:sz w:val="24"/>
                <w:szCs w:val="24"/>
              </w:rPr>
              <w:t>V.3.2.</w:t>
            </w:r>
            <w:r w:rsidRPr="003B2786">
              <w:rPr>
                <w:rStyle w:val="Bodytext295pt"/>
                <w:rFonts w:ascii="Sylfaen" w:hAnsi="Sylfaen"/>
                <w:sz w:val="24"/>
                <w:szCs w:val="24"/>
              </w:rPr>
              <w:tab/>
              <w:t>Օգտատերերի թեստավորման գնահատումը</w:t>
            </w:r>
          </w:p>
        </w:tc>
      </w:tr>
      <w:tr w:rsidR="008C76E0" w:rsidRPr="003B2786" w14:paraId="18557E27" w14:textId="77777777" w:rsidTr="008C76E0">
        <w:trPr>
          <w:jc w:val="center"/>
        </w:trPr>
        <w:tc>
          <w:tcPr>
            <w:tcW w:w="9678" w:type="dxa"/>
            <w:tcBorders>
              <w:top w:val="single" w:sz="4" w:space="0" w:color="auto"/>
              <w:left w:val="single" w:sz="4" w:space="0" w:color="auto"/>
              <w:right w:val="single" w:sz="4" w:space="0" w:color="auto"/>
            </w:tcBorders>
            <w:shd w:val="clear" w:color="auto" w:fill="FFFFFF"/>
            <w:vAlign w:val="bottom"/>
          </w:tcPr>
          <w:p w14:paraId="46F3F6F2" w14:textId="77777777" w:rsidR="008C76E0" w:rsidRPr="008C76E0" w:rsidRDefault="008C76E0" w:rsidP="00390DAC">
            <w:pPr>
              <w:pStyle w:val="Bodytext180"/>
              <w:shd w:val="clear" w:color="auto" w:fill="auto"/>
              <w:spacing w:before="0" w:after="160" w:line="360" w:lineRule="auto"/>
              <w:ind w:left="57" w:right="96" w:firstLine="522"/>
              <w:jc w:val="both"/>
              <w:rPr>
                <w:rFonts w:ascii="Sylfaen" w:hAnsi="Sylfaen"/>
                <w:b w:val="0"/>
                <w:sz w:val="24"/>
                <w:szCs w:val="24"/>
                <w:lang w:val="hy-AM"/>
              </w:rPr>
            </w:pPr>
            <w:r w:rsidRPr="003B2786">
              <w:rPr>
                <w:rStyle w:val="Bodytext1811pt"/>
                <w:rFonts w:ascii="Sylfaen" w:hAnsi="Sylfaen"/>
                <w:sz w:val="24"/>
                <w:szCs w:val="24"/>
              </w:rPr>
              <w:t xml:space="preserve">Ռեֆերենտ պետությունում անհրաժեշտ է ներառել օգտատերերի թեստավորման գնահատումը (առկայության դեպքում)՝ օգտատերերի թեստավորման արդյունքների վերլուծության համար կիրառելով </w:t>
            </w:r>
            <w:r w:rsidRPr="003B2786">
              <w:rPr>
                <w:rStyle w:val="Bodytext295pt"/>
                <w:rFonts w:ascii="Sylfaen" w:hAnsi="Sylfaen"/>
                <w:sz w:val="24"/>
                <w:szCs w:val="24"/>
              </w:rPr>
              <w:t xml:space="preserve">Դեղապատրաստուկների բժշկական կիրառման հրահանգին </w:t>
            </w:r>
            <w:r w:rsidR="00C54D75">
              <w:rPr>
                <w:rStyle w:val="Bodytext295pt"/>
                <w:rFonts w:ascii="Sylfaen" w:hAnsi="Sylfaen"/>
                <w:sz w:val="24"/>
                <w:szCs w:val="24"/>
              </w:rPr>
              <w:t>և</w:t>
            </w:r>
            <w:r w:rsidRPr="003B2786">
              <w:rPr>
                <w:rStyle w:val="Bodytext295pt"/>
                <w:rFonts w:ascii="Sylfaen" w:hAnsi="Sylfaen"/>
                <w:sz w:val="24"/>
                <w:szCs w:val="24"/>
              </w:rPr>
              <w:t xml:space="preserve"> բժշկական կիրառման դեղապատրաստուկների ընդհանուր բնութագրին </w:t>
            </w:r>
            <w:r w:rsidRPr="003B2786">
              <w:rPr>
                <w:rStyle w:val="Bodytext1811pt"/>
                <w:rFonts w:ascii="Sylfaen" w:hAnsi="Sylfaen"/>
                <w:sz w:val="24"/>
                <w:szCs w:val="24"/>
              </w:rPr>
              <w:t xml:space="preserve">ու ստուգաթերթին </w:t>
            </w:r>
            <w:r w:rsidRPr="003B2786">
              <w:rPr>
                <w:rStyle w:val="Bodytext295pt"/>
                <w:rFonts w:ascii="Sylfaen" w:hAnsi="Sylfaen"/>
                <w:sz w:val="24"/>
                <w:szCs w:val="24"/>
              </w:rPr>
              <w:t>ներկայացվող պահանջների հավելվածը</w:t>
            </w:r>
            <w:r w:rsidRPr="003B2786">
              <w:rPr>
                <w:rStyle w:val="Bodytext1811pt"/>
                <w:rFonts w:ascii="Sylfaen" w:hAnsi="Sylfaen"/>
                <w:sz w:val="24"/>
                <w:szCs w:val="24"/>
              </w:rPr>
              <w:t>: Հակառակ դեպքում անհրաժեշտ է նշել, թե արդյոք նախատեսված է օգտատերերի թեստավորումը, կամ ներկայացնել դրա բացակայության ընդունելի լինելու հիմնավորումը:</w:t>
            </w:r>
          </w:p>
        </w:tc>
      </w:tr>
      <w:tr w:rsidR="008C76E0" w:rsidRPr="003B2786" w14:paraId="701C70E8" w14:textId="77777777" w:rsidTr="008C76E0">
        <w:trPr>
          <w:jc w:val="center"/>
        </w:trPr>
        <w:tc>
          <w:tcPr>
            <w:tcW w:w="9678" w:type="dxa"/>
            <w:tcBorders>
              <w:top w:val="single" w:sz="4" w:space="0" w:color="auto"/>
            </w:tcBorders>
            <w:shd w:val="clear" w:color="auto" w:fill="FFFFFF"/>
            <w:vAlign w:val="center"/>
          </w:tcPr>
          <w:p w14:paraId="22D568A6" w14:textId="77777777" w:rsidR="008C76E0" w:rsidRPr="008C76E0" w:rsidRDefault="008C76E0" w:rsidP="00390DAC">
            <w:pPr>
              <w:pStyle w:val="Bodytext180"/>
              <w:shd w:val="clear" w:color="auto" w:fill="auto"/>
              <w:spacing w:before="0" w:after="160" w:line="360" w:lineRule="auto"/>
              <w:ind w:left="56" w:right="97" w:firstLine="522"/>
              <w:jc w:val="both"/>
              <w:rPr>
                <w:rFonts w:ascii="Sylfaen" w:hAnsi="Sylfaen"/>
                <w:b w:val="0"/>
                <w:sz w:val="24"/>
                <w:szCs w:val="24"/>
                <w:lang w:val="hy-AM"/>
              </w:rPr>
            </w:pPr>
            <w:r w:rsidRPr="003B2786">
              <w:rPr>
                <w:rStyle w:val="Bodytext295pt"/>
                <w:rFonts w:ascii="Sylfaen" w:hAnsi="Sylfaen"/>
                <w:sz w:val="24"/>
                <w:szCs w:val="24"/>
              </w:rPr>
              <w:t xml:space="preserve">«Օգտատերերի թեստավորման գնահատումը ներկայացված է օգտատերերի թեստավորման արդյունքների վերլուծության համար փաստաթղթերի </w:t>
            </w:r>
            <w:r w:rsidR="00C54D75">
              <w:rPr>
                <w:rStyle w:val="Bodytext295pt"/>
                <w:rFonts w:ascii="Sylfaen" w:hAnsi="Sylfaen"/>
                <w:sz w:val="24"/>
                <w:szCs w:val="24"/>
              </w:rPr>
              <w:t>և</w:t>
            </w:r>
            <w:r w:rsidRPr="003B2786">
              <w:rPr>
                <w:rStyle w:val="Bodytext295pt"/>
                <w:rFonts w:ascii="Sylfaen" w:hAnsi="Sylfaen"/>
                <w:sz w:val="24"/>
                <w:szCs w:val="24"/>
              </w:rPr>
              <w:t xml:space="preserve"> ստուգաթերթի որակի ստուգման վերաբերյալ կից ներկայացվող ուղեցույցում». կամ «Կարող է հաստատվել գրանցման հավաստագրի գործողության դադարեցման ժամանակահատվածի ընթացքում բժշկական կիրառման ցուցումների դյուրընթեռնելիության մասով թեստ անցկացնելու հայտատուի պարտավորությունը»:</w:t>
            </w:r>
          </w:p>
        </w:tc>
      </w:tr>
      <w:tr w:rsidR="008C76E0" w:rsidRPr="003B2786" w14:paraId="27A3EA13" w14:textId="77777777" w:rsidTr="008C76E0">
        <w:trPr>
          <w:trHeight w:val="317"/>
          <w:jc w:val="center"/>
        </w:trPr>
        <w:tc>
          <w:tcPr>
            <w:tcW w:w="9678" w:type="dxa"/>
            <w:shd w:val="clear" w:color="auto" w:fill="FFFFFF"/>
            <w:vAlign w:val="bottom"/>
          </w:tcPr>
          <w:p w14:paraId="0E2474DD" w14:textId="77777777" w:rsidR="008C76E0" w:rsidRPr="003B2786" w:rsidRDefault="008C76E0" w:rsidP="00390DAC">
            <w:pPr>
              <w:pStyle w:val="Bodytext180"/>
              <w:shd w:val="clear" w:color="auto" w:fill="auto"/>
              <w:tabs>
                <w:tab w:val="left" w:pos="1145"/>
              </w:tabs>
              <w:spacing w:before="0" w:after="160" w:line="360" w:lineRule="auto"/>
              <w:ind w:left="57" w:right="96" w:firstLine="522"/>
              <w:jc w:val="both"/>
              <w:rPr>
                <w:rFonts w:ascii="Sylfaen" w:hAnsi="Sylfaen"/>
                <w:i/>
                <w:sz w:val="24"/>
                <w:szCs w:val="24"/>
              </w:rPr>
            </w:pPr>
            <w:r w:rsidRPr="003B2786">
              <w:rPr>
                <w:rStyle w:val="Bodytext295pt"/>
                <w:rFonts w:ascii="Sylfaen" w:hAnsi="Sylfaen"/>
                <w:sz w:val="24"/>
                <w:szCs w:val="24"/>
              </w:rPr>
              <w:t>V.4.</w:t>
            </w:r>
            <w:r w:rsidRPr="003B2786">
              <w:rPr>
                <w:rStyle w:val="Bodytext295pt"/>
                <w:rFonts w:ascii="Sylfaen" w:hAnsi="Sylfaen"/>
                <w:sz w:val="24"/>
                <w:szCs w:val="24"/>
              </w:rPr>
              <w:tab/>
              <w:t>Մակնշումը</w:t>
            </w:r>
          </w:p>
        </w:tc>
      </w:tr>
    </w:tbl>
    <w:p w14:paraId="56579FAF" w14:textId="77777777" w:rsidR="008C76E0" w:rsidRPr="003B2786" w:rsidRDefault="008C76E0" w:rsidP="00390DAC">
      <w:pPr>
        <w:tabs>
          <w:tab w:val="left" w:pos="1134"/>
        </w:tabs>
        <w:spacing w:after="160" w:line="360" w:lineRule="auto"/>
        <w:ind w:left="56" w:right="-1" w:firstLine="511"/>
        <w:jc w:val="both"/>
        <w:rPr>
          <w:rFonts w:ascii="Sylfaen" w:hAnsi="Sylfaen"/>
          <w:sz w:val="24"/>
          <w:szCs w:val="24"/>
        </w:rPr>
      </w:pPr>
      <w:r w:rsidRPr="003B2786">
        <w:rPr>
          <w:rFonts w:ascii="Sylfaen" w:hAnsi="Sylfaen"/>
          <w:sz w:val="24"/>
          <w:szCs w:val="24"/>
        </w:rPr>
        <w:t>VI.</w:t>
      </w:r>
      <w:r w:rsidRPr="003B2786">
        <w:rPr>
          <w:rFonts w:ascii="Sylfaen" w:hAnsi="Sylfaen"/>
          <w:sz w:val="24"/>
          <w:szCs w:val="24"/>
        </w:rPr>
        <w:tab/>
        <w:t xml:space="preserve">Հավելված. Օգտատերերի թեստավորման արդյունքների վերլուծության </w:t>
      </w:r>
      <w:r w:rsidRPr="003B2786">
        <w:rPr>
          <w:rFonts w:ascii="Sylfaen" w:hAnsi="Sylfaen"/>
          <w:sz w:val="24"/>
          <w:szCs w:val="24"/>
        </w:rPr>
        <w:lastRenderedPageBreak/>
        <w:t xml:space="preserve">համար փաստաթղթերի </w:t>
      </w:r>
      <w:r w:rsidR="00C54D75">
        <w:rPr>
          <w:rFonts w:ascii="Sylfaen" w:hAnsi="Sylfaen"/>
          <w:sz w:val="24"/>
          <w:szCs w:val="24"/>
        </w:rPr>
        <w:t>և</w:t>
      </w:r>
      <w:r w:rsidRPr="003B2786">
        <w:rPr>
          <w:rFonts w:ascii="Sylfaen" w:hAnsi="Sylfaen"/>
          <w:sz w:val="24"/>
          <w:szCs w:val="24"/>
        </w:rPr>
        <w:t xml:space="preserve"> ստուգաթերթերի որակի ստուգման վերաբերյալ ուղեցույց</w:t>
      </w:r>
    </w:p>
    <w:p w14:paraId="7A95F308" w14:textId="77777777" w:rsidR="008C76E0" w:rsidRPr="008C76E0" w:rsidRDefault="008C76E0" w:rsidP="00390DAC">
      <w:pPr>
        <w:pStyle w:val="Bodytext70"/>
        <w:shd w:val="clear" w:color="auto" w:fill="auto"/>
        <w:spacing w:before="0" w:after="160" w:line="360" w:lineRule="auto"/>
        <w:ind w:right="-1" w:firstLine="567"/>
        <w:rPr>
          <w:rFonts w:ascii="Sylfaen" w:hAnsi="Sylfaen"/>
          <w:b w:val="0"/>
          <w:sz w:val="24"/>
          <w:szCs w:val="24"/>
          <w:lang w:val="hy-AM"/>
        </w:rPr>
      </w:pPr>
      <w:r w:rsidRPr="008C76E0">
        <w:rPr>
          <w:rFonts w:ascii="Sylfaen" w:hAnsi="Sylfaen"/>
          <w:b w:val="0"/>
          <w:sz w:val="24"/>
          <w:szCs w:val="24"/>
          <w:lang w:val="hy-AM"/>
        </w:rPr>
        <w:t xml:space="preserve">Սույն ուղեցույցը մշակվել է ընթեռնելիության թեստավորման մեթոդի վրա հիմնված օգտատերերի թեստավորման հաշվետվությունների գնահատման կարգի վերաբերյալ գործնական տեղեկատվություն ներկայացնելու նպատակով: Սա չի բացառում վերոնշյալից տարբերվող այլ մեթոդների վրա հիմնված օգտատերերի թեստավորման հաշվետվությունների ներկայացումը </w:t>
      </w:r>
      <w:r w:rsidR="00C54D75">
        <w:rPr>
          <w:rFonts w:ascii="Sylfaen" w:hAnsi="Sylfaen"/>
          <w:b w:val="0"/>
          <w:sz w:val="24"/>
          <w:szCs w:val="24"/>
          <w:lang w:val="hy-AM"/>
        </w:rPr>
        <w:t>և</w:t>
      </w:r>
      <w:r w:rsidRPr="008C76E0">
        <w:rPr>
          <w:rFonts w:ascii="Sylfaen" w:hAnsi="Sylfaen"/>
          <w:b w:val="0"/>
          <w:sz w:val="24"/>
          <w:szCs w:val="24"/>
          <w:lang w:val="hy-AM"/>
        </w:rPr>
        <w:t xml:space="preserve"> գնահատումը:</w:t>
      </w:r>
    </w:p>
    <w:tbl>
      <w:tblPr>
        <w:tblOverlap w:val="never"/>
        <w:tblW w:w="9629" w:type="dxa"/>
        <w:jc w:val="center"/>
        <w:tblLayout w:type="fixed"/>
        <w:tblCellMar>
          <w:left w:w="10" w:type="dxa"/>
          <w:right w:w="10" w:type="dxa"/>
        </w:tblCellMar>
        <w:tblLook w:val="04A0" w:firstRow="1" w:lastRow="0" w:firstColumn="1" w:lastColumn="0" w:noHBand="0" w:noVBand="1"/>
      </w:tblPr>
      <w:tblGrid>
        <w:gridCol w:w="4656"/>
        <w:gridCol w:w="4973"/>
      </w:tblGrid>
      <w:tr w:rsidR="008C76E0" w:rsidRPr="003B2786" w14:paraId="4CEE2A55" w14:textId="77777777" w:rsidTr="008C76E0">
        <w:trPr>
          <w:trHeight w:val="665"/>
          <w:jc w:val="center"/>
        </w:trPr>
        <w:tc>
          <w:tcPr>
            <w:tcW w:w="9629" w:type="dxa"/>
            <w:gridSpan w:val="2"/>
            <w:shd w:val="clear" w:color="auto" w:fill="FFFFFF"/>
          </w:tcPr>
          <w:p w14:paraId="659980C6" w14:textId="77777777" w:rsidR="008C76E0" w:rsidRPr="003B2786" w:rsidRDefault="008C76E0" w:rsidP="00390DAC">
            <w:pPr>
              <w:pStyle w:val="Bodytext180"/>
              <w:shd w:val="clear" w:color="auto" w:fill="auto"/>
              <w:spacing w:before="0" w:after="160" w:line="360" w:lineRule="auto"/>
              <w:ind w:firstLine="0"/>
              <w:jc w:val="center"/>
              <w:rPr>
                <w:rFonts w:ascii="Sylfaen" w:hAnsi="Sylfaen"/>
                <w:b w:val="0"/>
                <w:sz w:val="24"/>
                <w:szCs w:val="24"/>
              </w:rPr>
            </w:pPr>
            <w:r w:rsidRPr="003B2786">
              <w:rPr>
                <w:rStyle w:val="Bodytext295pt"/>
                <w:rFonts w:ascii="Sylfaen" w:hAnsi="Sylfaen"/>
                <w:sz w:val="24"/>
                <w:szCs w:val="24"/>
              </w:rPr>
              <w:t>ՊԱՏՐԱՍՏՈՒԿԻ ՄԱՍԻՆ ՏԵՂԵԿԱՏՎՈՒԹՅՈՒՆԸ</w:t>
            </w:r>
          </w:p>
        </w:tc>
      </w:tr>
      <w:tr w:rsidR="008C76E0" w:rsidRPr="003B2786" w14:paraId="122D2367" w14:textId="77777777" w:rsidTr="008C76E0">
        <w:trPr>
          <w:jc w:val="center"/>
        </w:trPr>
        <w:tc>
          <w:tcPr>
            <w:tcW w:w="4656" w:type="dxa"/>
            <w:tcBorders>
              <w:top w:val="single" w:sz="4" w:space="0" w:color="auto"/>
              <w:left w:val="single" w:sz="4" w:space="0" w:color="auto"/>
            </w:tcBorders>
            <w:shd w:val="clear" w:color="auto" w:fill="FFFFFF"/>
            <w:vAlign w:val="bottom"/>
          </w:tcPr>
          <w:p w14:paraId="67DAE920" w14:textId="77777777" w:rsidR="008C76E0" w:rsidRPr="003B2786" w:rsidRDefault="008C76E0" w:rsidP="00390DAC">
            <w:pPr>
              <w:pStyle w:val="Bodytext180"/>
              <w:shd w:val="clear" w:color="auto" w:fill="auto"/>
              <w:spacing w:before="0" w:after="160" w:line="360" w:lineRule="auto"/>
              <w:ind w:left="128" w:firstLine="0"/>
              <w:rPr>
                <w:rFonts w:ascii="Sylfaen" w:hAnsi="Sylfaen"/>
                <w:b w:val="0"/>
                <w:sz w:val="24"/>
                <w:szCs w:val="24"/>
              </w:rPr>
            </w:pPr>
            <w:r w:rsidRPr="003B2786">
              <w:rPr>
                <w:rStyle w:val="Bodytext295pt"/>
                <w:rFonts w:ascii="Sylfaen" w:hAnsi="Sylfaen"/>
                <w:sz w:val="24"/>
                <w:szCs w:val="24"/>
              </w:rPr>
              <w:t>Դեղապատրաստուկի անվանումը</w:t>
            </w:r>
          </w:p>
        </w:tc>
        <w:tc>
          <w:tcPr>
            <w:tcW w:w="4973" w:type="dxa"/>
            <w:tcBorders>
              <w:top w:val="single" w:sz="4" w:space="0" w:color="auto"/>
              <w:left w:val="single" w:sz="4" w:space="0" w:color="auto"/>
              <w:right w:val="single" w:sz="4" w:space="0" w:color="auto"/>
            </w:tcBorders>
            <w:shd w:val="clear" w:color="auto" w:fill="FFFFFF"/>
          </w:tcPr>
          <w:p w14:paraId="542E6031" w14:textId="77777777" w:rsidR="008C76E0" w:rsidRPr="003B2786" w:rsidRDefault="008C76E0" w:rsidP="00390DAC">
            <w:pPr>
              <w:spacing w:after="160" w:line="360" w:lineRule="auto"/>
              <w:jc w:val="both"/>
              <w:rPr>
                <w:rFonts w:ascii="Sylfaen" w:hAnsi="Sylfaen"/>
                <w:sz w:val="24"/>
                <w:szCs w:val="24"/>
              </w:rPr>
            </w:pPr>
          </w:p>
        </w:tc>
      </w:tr>
      <w:tr w:rsidR="008C76E0" w:rsidRPr="003B2786" w14:paraId="2EA8F3DC" w14:textId="77777777" w:rsidTr="008C76E0">
        <w:trPr>
          <w:jc w:val="center"/>
        </w:trPr>
        <w:tc>
          <w:tcPr>
            <w:tcW w:w="4656" w:type="dxa"/>
            <w:tcBorders>
              <w:top w:val="single" w:sz="4" w:space="0" w:color="auto"/>
              <w:left w:val="single" w:sz="4" w:space="0" w:color="auto"/>
            </w:tcBorders>
            <w:shd w:val="clear" w:color="auto" w:fill="FFFFFF"/>
            <w:vAlign w:val="bottom"/>
          </w:tcPr>
          <w:p w14:paraId="68B3D399" w14:textId="77777777" w:rsidR="008C76E0" w:rsidRPr="003B2786" w:rsidRDefault="008C76E0" w:rsidP="00390DAC">
            <w:pPr>
              <w:pStyle w:val="Bodytext180"/>
              <w:shd w:val="clear" w:color="auto" w:fill="auto"/>
              <w:spacing w:before="0" w:after="160" w:line="360" w:lineRule="auto"/>
              <w:ind w:left="128" w:firstLine="0"/>
              <w:rPr>
                <w:rFonts w:ascii="Sylfaen" w:hAnsi="Sylfaen"/>
                <w:b w:val="0"/>
                <w:sz w:val="24"/>
                <w:szCs w:val="24"/>
              </w:rPr>
            </w:pPr>
            <w:r w:rsidRPr="003B2786">
              <w:rPr>
                <w:rStyle w:val="Bodytext295pt"/>
                <w:rFonts w:ascii="Sylfaen" w:hAnsi="Sylfaen"/>
                <w:sz w:val="24"/>
                <w:szCs w:val="24"/>
              </w:rPr>
              <w:t xml:space="preserve">Հայտատուի անվանումը </w:t>
            </w:r>
            <w:r w:rsidR="00C54D75">
              <w:rPr>
                <w:rStyle w:val="Bodytext295pt"/>
                <w:rFonts w:ascii="Sylfaen" w:hAnsi="Sylfaen"/>
                <w:sz w:val="24"/>
                <w:szCs w:val="24"/>
              </w:rPr>
              <w:t>և</w:t>
            </w:r>
            <w:r w:rsidRPr="003B2786">
              <w:rPr>
                <w:rStyle w:val="Bodytext295pt"/>
                <w:rFonts w:ascii="Sylfaen" w:hAnsi="Sylfaen"/>
                <w:sz w:val="24"/>
                <w:szCs w:val="24"/>
              </w:rPr>
              <w:t xml:space="preserve"> հասցեն</w:t>
            </w:r>
          </w:p>
        </w:tc>
        <w:tc>
          <w:tcPr>
            <w:tcW w:w="4973" w:type="dxa"/>
            <w:tcBorders>
              <w:top w:val="single" w:sz="4" w:space="0" w:color="auto"/>
              <w:left w:val="single" w:sz="4" w:space="0" w:color="auto"/>
              <w:right w:val="single" w:sz="4" w:space="0" w:color="auto"/>
            </w:tcBorders>
            <w:shd w:val="clear" w:color="auto" w:fill="FFFFFF"/>
          </w:tcPr>
          <w:p w14:paraId="55C982BA" w14:textId="77777777" w:rsidR="008C76E0" w:rsidRPr="003B2786" w:rsidRDefault="008C76E0" w:rsidP="00390DAC">
            <w:pPr>
              <w:spacing w:after="160" w:line="360" w:lineRule="auto"/>
              <w:jc w:val="both"/>
              <w:rPr>
                <w:rFonts w:ascii="Sylfaen" w:hAnsi="Sylfaen"/>
                <w:sz w:val="24"/>
                <w:szCs w:val="24"/>
              </w:rPr>
            </w:pPr>
          </w:p>
        </w:tc>
      </w:tr>
      <w:tr w:rsidR="008C76E0" w:rsidRPr="003B2786" w14:paraId="5CF8E5DE" w14:textId="77777777" w:rsidTr="008C76E0">
        <w:trPr>
          <w:jc w:val="center"/>
        </w:trPr>
        <w:tc>
          <w:tcPr>
            <w:tcW w:w="4656" w:type="dxa"/>
            <w:tcBorders>
              <w:top w:val="single" w:sz="4" w:space="0" w:color="auto"/>
              <w:left w:val="single" w:sz="4" w:space="0" w:color="auto"/>
            </w:tcBorders>
            <w:shd w:val="clear" w:color="auto" w:fill="FFFFFF"/>
            <w:vAlign w:val="bottom"/>
          </w:tcPr>
          <w:p w14:paraId="22A0140B" w14:textId="77777777" w:rsidR="008C76E0" w:rsidRPr="008C76E0" w:rsidRDefault="008C76E0" w:rsidP="00390DAC">
            <w:pPr>
              <w:pStyle w:val="Bodytext180"/>
              <w:shd w:val="clear" w:color="auto" w:fill="auto"/>
              <w:spacing w:before="0" w:after="160" w:line="360" w:lineRule="auto"/>
              <w:ind w:left="128" w:firstLine="0"/>
              <w:rPr>
                <w:rFonts w:ascii="Sylfaen" w:hAnsi="Sylfaen"/>
                <w:b w:val="0"/>
                <w:sz w:val="24"/>
                <w:szCs w:val="24"/>
                <w:lang w:val="hy-AM"/>
              </w:rPr>
            </w:pPr>
            <w:r w:rsidRPr="003B2786">
              <w:rPr>
                <w:rStyle w:val="Bodytext295pt"/>
                <w:rFonts w:ascii="Sylfaen" w:hAnsi="Sylfaen"/>
                <w:sz w:val="24"/>
                <w:szCs w:val="24"/>
              </w:rPr>
              <w:t>Օգտատերերի թեստավորում անցկացնող ընկերության անվանումը</w:t>
            </w:r>
          </w:p>
        </w:tc>
        <w:tc>
          <w:tcPr>
            <w:tcW w:w="4973" w:type="dxa"/>
            <w:tcBorders>
              <w:top w:val="single" w:sz="4" w:space="0" w:color="auto"/>
              <w:left w:val="single" w:sz="4" w:space="0" w:color="auto"/>
              <w:right w:val="single" w:sz="4" w:space="0" w:color="auto"/>
            </w:tcBorders>
            <w:shd w:val="clear" w:color="auto" w:fill="FFFFFF"/>
          </w:tcPr>
          <w:p w14:paraId="722DAAA8" w14:textId="77777777" w:rsidR="008C76E0" w:rsidRPr="003B2786" w:rsidRDefault="008C76E0" w:rsidP="00390DAC">
            <w:pPr>
              <w:spacing w:after="160" w:line="360" w:lineRule="auto"/>
              <w:jc w:val="both"/>
              <w:rPr>
                <w:rFonts w:ascii="Sylfaen" w:hAnsi="Sylfaen"/>
                <w:sz w:val="24"/>
                <w:szCs w:val="24"/>
              </w:rPr>
            </w:pPr>
          </w:p>
        </w:tc>
      </w:tr>
      <w:tr w:rsidR="008C76E0" w:rsidRPr="003B2786" w14:paraId="60AE7235" w14:textId="77777777" w:rsidTr="008C76E0">
        <w:trPr>
          <w:jc w:val="center"/>
        </w:trPr>
        <w:tc>
          <w:tcPr>
            <w:tcW w:w="4656" w:type="dxa"/>
            <w:tcBorders>
              <w:top w:val="single" w:sz="4" w:space="0" w:color="auto"/>
              <w:left w:val="single" w:sz="4" w:space="0" w:color="auto"/>
            </w:tcBorders>
            <w:shd w:val="clear" w:color="auto" w:fill="FFFFFF"/>
            <w:vAlign w:val="bottom"/>
          </w:tcPr>
          <w:p w14:paraId="539752C9" w14:textId="77777777" w:rsidR="008C76E0" w:rsidRPr="008C76E0" w:rsidRDefault="008C76E0" w:rsidP="00390DAC">
            <w:pPr>
              <w:pStyle w:val="Bodytext180"/>
              <w:shd w:val="clear" w:color="auto" w:fill="auto"/>
              <w:spacing w:before="0" w:after="160" w:line="360" w:lineRule="auto"/>
              <w:ind w:left="128" w:firstLine="0"/>
              <w:rPr>
                <w:rFonts w:ascii="Sylfaen" w:hAnsi="Sylfaen"/>
                <w:b w:val="0"/>
                <w:sz w:val="24"/>
                <w:szCs w:val="24"/>
                <w:lang w:val="hy-AM"/>
              </w:rPr>
            </w:pPr>
            <w:r w:rsidRPr="003B2786">
              <w:rPr>
                <w:rStyle w:val="Bodytext295pt"/>
                <w:rFonts w:ascii="Sylfaen" w:hAnsi="Sylfaen"/>
                <w:sz w:val="24"/>
                <w:szCs w:val="24"/>
              </w:rPr>
              <w:t>Գրանցման հավաստագիր ստանալու հայտի տիպը</w:t>
            </w:r>
          </w:p>
        </w:tc>
        <w:tc>
          <w:tcPr>
            <w:tcW w:w="4973" w:type="dxa"/>
            <w:tcBorders>
              <w:top w:val="single" w:sz="4" w:space="0" w:color="auto"/>
              <w:left w:val="single" w:sz="4" w:space="0" w:color="auto"/>
              <w:right w:val="single" w:sz="4" w:space="0" w:color="auto"/>
            </w:tcBorders>
            <w:shd w:val="clear" w:color="auto" w:fill="FFFFFF"/>
          </w:tcPr>
          <w:p w14:paraId="6F4FBA64" w14:textId="77777777" w:rsidR="008C76E0" w:rsidRPr="003B2786" w:rsidRDefault="008C76E0" w:rsidP="00390DAC">
            <w:pPr>
              <w:spacing w:after="160" w:line="360" w:lineRule="auto"/>
              <w:jc w:val="both"/>
              <w:rPr>
                <w:rFonts w:ascii="Sylfaen" w:hAnsi="Sylfaen"/>
                <w:sz w:val="24"/>
                <w:szCs w:val="24"/>
              </w:rPr>
            </w:pPr>
          </w:p>
        </w:tc>
      </w:tr>
      <w:tr w:rsidR="008C76E0" w:rsidRPr="003B2786" w14:paraId="02A04181" w14:textId="77777777" w:rsidTr="008C76E0">
        <w:trPr>
          <w:jc w:val="center"/>
        </w:trPr>
        <w:tc>
          <w:tcPr>
            <w:tcW w:w="4656" w:type="dxa"/>
            <w:tcBorders>
              <w:top w:val="single" w:sz="4" w:space="0" w:color="auto"/>
              <w:left w:val="single" w:sz="4" w:space="0" w:color="auto"/>
            </w:tcBorders>
            <w:shd w:val="clear" w:color="auto" w:fill="FFFFFF"/>
            <w:vAlign w:val="bottom"/>
          </w:tcPr>
          <w:p w14:paraId="1F603A0A" w14:textId="77777777" w:rsidR="008C76E0" w:rsidRPr="003B2786" w:rsidRDefault="008C76E0" w:rsidP="00390DAC">
            <w:pPr>
              <w:pStyle w:val="Bodytext180"/>
              <w:shd w:val="clear" w:color="auto" w:fill="auto"/>
              <w:spacing w:before="0" w:after="160" w:line="360" w:lineRule="auto"/>
              <w:ind w:left="128" w:firstLine="0"/>
              <w:rPr>
                <w:rFonts w:ascii="Sylfaen" w:hAnsi="Sylfaen"/>
                <w:b w:val="0"/>
                <w:sz w:val="24"/>
                <w:szCs w:val="24"/>
              </w:rPr>
            </w:pPr>
            <w:r w:rsidRPr="003B2786">
              <w:rPr>
                <w:rStyle w:val="Bodytext295pt"/>
                <w:rFonts w:ascii="Sylfaen" w:hAnsi="Sylfaen"/>
                <w:sz w:val="24"/>
                <w:szCs w:val="24"/>
              </w:rPr>
              <w:t>ՄՉԱ</w:t>
            </w:r>
          </w:p>
        </w:tc>
        <w:tc>
          <w:tcPr>
            <w:tcW w:w="4973" w:type="dxa"/>
            <w:tcBorders>
              <w:top w:val="single" w:sz="4" w:space="0" w:color="auto"/>
              <w:left w:val="single" w:sz="4" w:space="0" w:color="auto"/>
              <w:right w:val="single" w:sz="4" w:space="0" w:color="auto"/>
            </w:tcBorders>
            <w:shd w:val="clear" w:color="auto" w:fill="FFFFFF"/>
          </w:tcPr>
          <w:p w14:paraId="499F62DB" w14:textId="77777777" w:rsidR="008C76E0" w:rsidRPr="003B2786" w:rsidRDefault="008C76E0" w:rsidP="00390DAC">
            <w:pPr>
              <w:spacing w:after="160" w:line="360" w:lineRule="auto"/>
              <w:jc w:val="both"/>
              <w:rPr>
                <w:rFonts w:ascii="Sylfaen" w:hAnsi="Sylfaen"/>
                <w:sz w:val="24"/>
                <w:szCs w:val="24"/>
              </w:rPr>
            </w:pPr>
          </w:p>
        </w:tc>
      </w:tr>
      <w:tr w:rsidR="008C76E0" w:rsidRPr="003B2786" w14:paraId="6918130D" w14:textId="77777777" w:rsidTr="008C76E0">
        <w:trPr>
          <w:jc w:val="center"/>
        </w:trPr>
        <w:tc>
          <w:tcPr>
            <w:tcW w:w="4656" w:type="dxa"/>
            <w:tcBorders>
              <w:top w:val="single" w:sz="4" w:space="0" w:color="auto"/>
              <w:left w:val="single" w:sz="4" w:space="0" w:color="auto"/>
            </w:tcBorders>
            <w:shd w:val="clear" w:color="auto" w:fill="FFFFFF"/>
            <w:vAlign w:val="bottom"/>
          </w:tcPr>
          <w:p w14:paraId="58FDB273" w14:textId="77777777" w:rsidR="008C76E0" w:rsidRPr="008C76E0" w:rsidRDefault="008C76E0" w:rsidP="00390DAC">
            <w:pPr>
              <w:pStyle w:val="Bodytext180"/>
              <w:shd w:val="clear" w:color="auto" w:fill="auto"/>
              <w:spacing w:before="0" w:after="160" w:line="360" w:lineRule="auto"/>
              <w:ind w:left="128" w:firstLine="0"/>
              <w:rPr>
                <w:rFonts w:ascii="Sylfaen" w:hAnsi="Sylfaen"/>
                <w:b w:val="0"/>
                <w:sz w:val="24"/>
                <w:szCs w:val="24"/>
                <w:lang w:val="hy-AM"/>
              </w:rPr>
            </w:pPr>
            <w:r w:rsidRPr="003B2786">
              <w:rPr>
                <w:rStyle w:val="Bodytext295pt"/>
                <w:rFonts w:ascii="Sylfaen" w:hAnsi="Sylfaen"/>
                <w:sz w:val="24"/>
                <w:szCs w:val="24"/>
              </w:rPr>
              <w:t>Դեղաթերապ</w:t>
            </w:r>
            <w:r w:rsidR="00C54D75">
              <w:rPr>
                <w:rStyle w:val="Bodytext295pt"/>
                <w:rFonts w:ascii="Sylfaen" w:hAnsi="Sylfaen"/>
                <w:sz w:val="24"/>
                <w:szCs w:val="24"/>
              </w:rPr>
              <w:t>և</w:t>
            </w:r>
            <w:r w:rsidRPr="003B2786">
              <w:rPr>
                <w:rStyle w:val="Bodytext295pt"/>
                <w:rFonts w:ascii="Sylfaen" w:hAnsi="Sylfaen"/>
                <w:sz w:val="24"/>
                <w:szCs w:val="24"/>
              </w:rPr>
              <w:t>տիկ խումբը (ԱԲՔ (ATХ) ծածկագիրը)</w:t>
            </w:r>
          </w:p>
        </w:tc>
        <w:tc>
          <w:tcPr>
            <w:tcW w:w="4973" w:type="dxa"/>
            <w:tcBorders>
              <w:top w:val="single" w:sz="4" w:space="0" w:color="auto"/>
              <w:left w:val="single" w:sz="4" w:space="0" w:color="auto"/>
              <w:right w:val="single" w:sz="4" w:space="0" w:color="auto"/>
            </w:tcBorders>
            <w:shd w:val="clear" w:color="auto" w:fill="FFFFFF"/>
          </w:tcPr>
          <w:p w14:paraId="17B3D5A7" w14:textId="77777777" w:rsidR="008C76E0" w:rsidRPr="003B2786" w:rsidRDefault="008C76E0" w:rsidP="00390DAC">
            <w:pPr>
              <w:spacing w:after="160" w:line="360" w:lineRule="auto"/>
              <w:jc w:val="both"/>
              <w:rPr>
                <w:rFonts w:ascii="Sylfaen" w:hAnsi="Sylfaen"/>
                <w:sz w:val="24"/>
                <w:szCs w:val="24"/>
              </w:rPr>
            </w:pPr>
          </w:p>
        </w:tc>
      </w:tr>
      <w:tr w:rsidR="008C76E0" w:rsidRPr="003B2786" w14:paraId="7027D56C" w14:textId="77777777" w:rsidTr="008C76E0">
        <w:trPr>
          <w:jc w:val="center"/>
        </w:trPr>
        <w:tc>
          <w:tcPr>
            <w:tcW w:w="4656" w:type="dxa"/>
            <w:tcBorders>
              <w:top w:val="single" w:sz="4" w:space="0" w:color="auto"/>
              <w:left w:val="single" w:sz="4" w:space="0" w:color="auto"/>
              <w:bottom w:val="single" w:sz="4" w:space="0" w:color="auto"/>
            </w:tcBorders>
            <w:shd w:val="clear" w:color="auto" w:fill="FFFFFF"/>
            <w:vAlign w:val="bottom"/>
          </w:tcPr>
          <w:p w14:paraId="5B9FBA14" w14:textId="77777777" w:rsidR="008C76E0" w:rsidRPr="003B2786" w:rsidRDefault="008C76E0" w:rsidP="00390DAC">
            <w:pPr>
              <w:pStyle w:val="Bodytext180"/>
              <w:shd w:val="clear" w:color="auto" w:fill="auto"/>
              <w:spacing w:before="0" w:after="160" w:line="360" w:lineRule="auto"/>
              <w:ind w:left="128" w:firstLine="0"/>
              <w:rPr>
                <w:rFonts w:ascii="Sylfaen" w:hAnsi="Sylfaen"/>
                <w:b w:val="0"/>
                <w:sz w:val="24"/>
                <w:szCs w:val="24"/>
              </w:rPr>
            </w:pPr>
            <w:r w:rsidRPr="003B2786">
              <w:rPr>
                <w:rStyle w:val="Bodytext295pt"/>
                <w:rFonts w:ascii="Sylfaen" w:hAnsi="Sylfaen"/>
                <w:sz w:val="24"/>
                <w:szCs w:val="24"/>
              </w:rPr>
              <w:t>Թերապ</w:t>
            </w:r>
            <w:r w:rsidR="00C54D75">
              <w:rPr>
                <w:rStyle w:val="Bodytext295pt"/>
                <w:rFonts w:ascii="Sylfaen" w:hAnsi="Sylfaen"/>
                <w:sz w:val="24"/>
                <w:szCs w:val="24"/>
              </w:rPr>
              <w:t>և</w:t>
            </w:r>
            <w:r w:rsidRPr="003B2786">
              <w:rPr>
                <w:rStyle w:val="Bodytext295pt"/>
                <w:rFonts w:ascii="Sylfaen" w:hAnsi="Sylfaen"/>
                <w:sz w:val="24"/>
                <w:szCs w:val="24"/>
              </w:rPr>
              <w:t>տիկ ցուցումները</w:t>
            </w:r>
          </w:p>
        </w:tc>
        <w:tc>
          <w:tcPr>
            <w:tcW w:w="4973" w:type="dxa"/>
            <w:tcBorders>
              <w:top w:val="single" w:sz="4" w:space="0" w:color="auto"/>
              <w:left w:val="single" w:sz="4" w:space="0" w:color="auto"/>
              <w:bottom w:val="single" w:sz="4" w:space="0" w:color="auto"/>
              <w:right w:val="single" w:sz="4" w:space="0" w:color="auto"/>
            </w:tcBorders>
            <w:shd w:val="clear" w:color="auto" w:fill="FFFFFF"/>
          </w:tcPr>
          <w:p w14:paraId="19B281BC" w14:textId="77777777" w:rsidR="008C76E0" w:rsidRPr="003B2786" w:rsidRDefault="008C76E0" w:rsidP="00390DAC">
            <w:pPr>
              <w:spacing w:after="160" w:line="360" w:lineRule="auto"/>
              <w:jc w:val="both"/>
              <w:rPr>
                <w:rFonts w:ascii="Sylfaen" w:hAnsi="Sylfaen"/>
                <w:sz w:val="24"/>
                <w:szCs w:val="24"/>
              </w:rPr>
            </w:pPr>
          </w:p>
        </w:tc>
      </w:tr>
    </w:tbl>
    <w:p w14:paraId="43337F0E"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10"/>
        <w:gridCol w:w="2266"/>
      </w:tblGrid>
      <w:tr w:rsidR="008C76E0" w:rsidRPr="003B2786" w14:paraId="2C7448A3" w14:textId="77777777" w:rsidTr="008C76E0">
        <w:trPr>
          <w:jc w:val="center"/>
        </w:trPr>
        <w:tc>
          <w:tcPr>
            <w:tcW w:w="7310" w:type="dxa"/>
            <w:shd w:val="clear" w:color="auto" w:fill="FFFFFF"/>
            <w:vAlign w:val="bottom"/>
          </w:tcPr>
          <w:p w14:paraId="299E0871" w14:textId="77777777" w:rsidR="008C76E0" w:rsidRPr="008C76E0" w:rsidRDefault="008C76E0" w:rsidP="00390DAC">
            <w:pPr>
              <w:pStyle w:val="Bodytext180"/>
              <w:shd w:val="clear" w:color="auto" w:fill="auto"/>
              <w:spacing w:before="0" w:after="160" w:line="360" w:lineRule="auto"/>
              <w:ind w:right="-1" w:firstLine="527"/>
              <w:jc w:val="both"/>
              <w:rPr>
                <w:rFonts w:ascii="Sylfaen" w:hAnsi="Sylfaen"/>
                <w:b w:val="0"/>
                <w:i/>
                <w:sz w:val="24"/>
                <w:szCs w:val="24"/>
                <w:lang w:val="hy-AM"/>
              </w:rPr>
            </w:pPr>
            <w:r w:rsidRPr="003B2786">
              <w:rPr>
                <w:rStyle w:val="Bodytext295pt"/>
                <w:rFonts w:ascii="Sylfaen" w:hAnsi="Sylfaen"/>
                <w:sz w:val="24"/>
                <w:szCs w:val="24"/>
              </w:rPr>
              <w:t>Ներկայացվել է օգտատերերի թեստավորման ամբողջական հաշվետվությունը</w:t>
            </w:r>
          </w:p>
        </w:tc>
        <w:tc>
          <w:tcPr>
            <w:tcW w:w="2266" w:type="dxa"/>
            <w:shd w:val="clear" w:color="auto" w:fill="FFFFFF"/>
          </w:tcPr>
          <w:p w14:paraId="2EB68E0D" w14:textId="77777777" w:rsidR="008C76E0" w:rsidRPr="003B2786" w:rsidRDefault="008C76E0" w:rsidP="00390DAC">
            <w:pPr>
              <w:pStyle w:val="Bodytext180"/>
              <w:shd w:val="clear" w:color="auto" w:fill="auto"/>
              <w:spacing w:before="0" w:after="160" w:line="360" w:lineRule="auto"/>
              <w:ind w:right="-1" w:firstLine="0"/>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28FF4242" w14:textId="77777777" w:rsidTr="008C76E0">
        <w:trPr>
          <w:jc w:val="center"/>
        </w:trPr>
        <w:tc>
          <w:tcPr>
            <w:tcW w:w="7310" w:type="dxa"/>
            <w:shd w:val="clear" w:color="auto" w:fill="FFFFFF"/>
          </w:tcPr>
          <w:p w14:paraId="04136CBC" w14:textId="77777777" w:rsidR="008C76E0" w:rsidRPr="003B2786" w:rsidRDefault="008C76E0" w:rsidP="00390DAC">
            <w:pPr>
              <w:pStyle w:val="Bodytext180"/>
              <w:shd w:val="clear" w:color="auto" w:fill="auto"/>
              <w:spacing w:before="0" w:after="160" w:line="360" w:lineRule="auto"/>
              <w:ind w:right="-1" w:firstLine="527"/>
              <w:jc w:val="both"/>
              <w:rPr>
                <w:rFonts w:ascii="Sylfaen" w:hAnsi="Sylfaen"/>
                <w:b w:val="0"/>
                <w:i/>
                <w:sz w:val="24"/>
                <w:szCs w:val="24"/>
              </w:rPr>
            </w:pPr>
            <w:r w:rsidRPr="003B2786">
              <w:rPr>
                <w:rStyle w:val="Bodytext295pt"/>
                <w:rFonts w:ascii="Sylfaen" w:hAnsi="Sylfaen"/>
                <w:sz w:val="24"/>
                <w:szCs w:val="24"/>
              </w:rPr>
              <w:t>Ներկայացվել է ամփոփ հաշվետվությունը</w:t>
            </w:r>
          </w:p>
        </w:tc>
        <w:tc>
          <w:tcPr>
            <w:tcW w:w="2266" w:type="dxa"/>
            <w:shd w:val="clear" w:color="auto" w:fill="FFFFFF"/>
          </w:tcPr>
          <w:p w14:paraId="783F21C4" w14:textId="77777777" w:rsidR="008C76E0" w:rsidRPr="003B2786" w:rsidRDefault="008C76E0" w:rsidP="00390DAC">
            <w:pPr>
              <w:pStyle w:val="Bodytext180"/>
              <w:shd w:val="clear" w:color="auto" w:fill="auto"/>
              <w:spacing w:before="0" w:after="160" w:line="360" w:lineRule="auto"/>
              <w:ind w:right="-1" w:firstLine="0"/>
              <w:jc w:val="both"/>
              <w:rPr>
                <w:rFonts w:ascii="Sylfaen" w:hAnsi="Sylfaen"/>
                <w:b w:val="0"/>
                <w:i/>
                <w:sz w:val="24"/>
                <w:szCs w:val="24"/>
              </w:rPr>
            </w:pPr>
            <w:r w:rsidRPr="003B2786">
              <w:rPr>
                <w:rStyle w:val="Bodytext295pt"/>
                <w:rFonts w:ascii="Sylfaen" w:hAnsi="Sylfaen"/>
                <w:sz w:val="24"/>
                <w:szCs w:val="24"/>
              </w:rPr>
              <w:t>□ այո □ ոչ</w:t>
            </w:r>
          </w:p>
        </w:tc>
      </w:tr>
    </w:tbl>
    <w:p w14:paraId="639DA0BC"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t>Ամփոփ հաշվետվության դեպքում բազմակի օժանդակ հետազոտությունները սկզբունքորեն անընդունելի են:</w:t>
      </w:r>
    </w:p>
    <w:p w14:paraId="312C466E" w14:textId="77777777" w:rsidR="008C76E0" w:rsidRPr="003B2786" w:rsidRDefault="008C76E0" w:rsidP="00390DAC">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Սակայն մեկ պատրաստուկի համար թույլատրվում է օժանդակ հետազոտությունների 3 գործընթաց (օրինակ՝ առաջինը՝ գիտական բովանդակության մասով, երկրորդը՝ արտադրատեսակի մասով </w:t>
      </w:r>
      <w:r w:rsidR="00C54D75">
        <w:rPr>
          <w:rFonts w:ascii="Sylfaen" w:hAnsi="Sylfaen"/>
          <w:sz w:val="24"/>
          <w:szCs w:val="24"/>
        </w:rPr>
        <w:t>և</w:t>
      </w:r>
      <w:r w:rsidRPr="003B2786">
        <w:rPr>
          <w:rFonts w:ascii="Sylfaen" w:hAnsi="Sylfaen"/>
          <w:sz w:val="24"/>
          <w:szCs w:val="24"/>
        </w:rPr>
        <w:t xml:space="preserve"> վերջինը՝ ներդիր թերթիկի կազմման մանրակերտի մասով):</w:t>
      </w:r>
    </w:p>
    <w:p w14:paraId="0A96C6A7" w14:textId="77777777" w:rsidR="008C76E0" w:rsidRPr="003B2786" w:rsidRDefault="008C76E0" w:rsidP="00390DAC">
      <w:pPr>
        <w:spacing w:after="160" w:line="360" w:lineRule="auto"/>
        <w:ind w:left="567" w:right="-1"/>
        <w:jc w:val="both"/>
        <w:rPr>
          <w:rFonts w:ascii="Sylfaen" w:hAnsi="Sylfaen"/>
          <w:sz w:val="24"/>
          <w:szCs w:val="24"/>
        </w:rPr>
      </w:pPr>
      <w:r w:rsidRPr="003B2786">
        <w:rPr>
          <w:rFonts w:ascii="Sylfaen" w:hAnsi="Sylfaen"/>
          <w:sz w:val="24"/>
          <w:szCs w:val="24"/>
        </w:rPr>
        <w:t>Հիմնավորումից ելնելով՝ կապող թեստավորման հիմքերը.</w:t>
      </w:r>
    </w:p>
    <w:p w14:paraId="554F9C3B" w14:textId="77777777" w:rsidR="008C76E0" w:rsidRPr="003B2786" w:rsidRDefault="008C76E0" w:rsidP="00390DAC">
      <w:pPr>
        <w:tabs>
          <w:tab w:val="left" w:pos="1134"/>
        </w:tabs>
        <w:spacing w:after="160" w:line="360" w:lineRule="auto"/>
        <w:ind w:left="567" w:right="-1"/>
        <w:jc w:val="both"/>
        <w:rPr>
          <w:rFonts w:ascii="Sylfaen" w:hAnsi="Sylfaen"/>
          <w:sz w:val="24"/>
          <w:szCs w:val="24"/>
        </w:rPr>
      </w:pPr>
      <w:r w:rsidRPr="003B2786">
        <w:rPr>
          <w:rFonts w:ascii="Sylfaen" w:hAnsi="Sylfaen"/>
          <w:sz w:val="24"/>
          <w:szCs w:val="24"/>
        </w:rPr>
        <w:t>□</w:t>
      </w:r>
      <w:r w:rsidRPr="003B2786">
        <w:rPr>
          <w:rFonts w:ascii="Sylfaen" w:hAnsi="Sylfaen"/>
          <w:sz w:val="24"/>
          <w:szCs w:val="24"/>
        </w:rPr>
        <w:tab/>
        <w:t>ներմուծման մի</w:t>
      </w:r>
      <w:r w:rsidR="00C54D75">
        <w:rPr>
          <w:rFonts w:ascii="Sylfaen" w:hAnsi="Sylfaen"/>
          <w:sz w:val="24"/>
          <w:szCs w:val="24"/>
        </w:rPr>
        <w:t>և</w:t>
      </w:r>
      <w:r w:rsidRPr="003B2786">
        <w:rPr>
          <w:rFonts w:ascii="Sylfaen" w:hAnsi="Sylfaen"/>
          <w:sz w:val="24"/>
          <w:szCs w:val="24"/>
        </w:rPr>
        <w:t>նույն եղանակի համար լրացումներ</w:t>
      </w:r>
    </w:p>
    <w:p w14:paraId="6A2959AC" w14:textId="77777777" w:rsidR="008C76E0" w:rsidRPr="003B2786" w:rsidRDefault="008C76E0" w:rsidP="00390DAC">
      <w:pPr>
        <w:tabs>
          <w:tab w:val="left" w:pos="1134"/>
        </w:tabs>
        <w:spacing w:after="160" w:line="360" w:lineRule="auto"/>
        <w:ind w:left="567" w:right="-1"/>
        <w:jc w:val="both"/>
        <w:rPr>
          <w:rFonts w:ascii="Sylfaen" w:hAnsi="Sylfaen"/>
          <w:sz w:val="24"/>
          <w:szCs w:val="24"/>
        </w:rPr>
      </w:pPr>
      <w:r w:rsidRPr="003B2786">
        <w:rPr>
          <w:rFonts w:ascii="Sylfaen" w:hAnsi="Sylfaen"/>
          <w:sz w:val="24"/>
          <w:szCs w:val="24"/>
        </w:rPr>
        <w:t>□</w:t>
      </w:r>
      <w:r w:rsidRPr="003B2786">
        <w:rPr>
          <w:rFonts w:ascii="Sylfaen" w:hAnsi="Sylfaen"/>
          <w:sz w:val="24"/>
          <w:szCs w:val="24"/>
        </w:rPr>
        <w:tab/>
        <w:t>մի</w:t>
      </w:r>
      <w:r w:rsidR="00C54D75">
        <w:rPr>
          <w:rFonts w:ascii="Sylfaen" w:hAnsi="Sylfaen"/>
          <w:sz w:val="24"/>
          <w:szCs w:val="24"/>
        </w:rPr>
        <w:t>և</w:t>
      </w:r>
      <w:r w:rsidRPr="003B2786">
        <w:rPr>
          <w:rFonts w:ascii="Sylfaen" w:hAnsi="Sylfaen"/>
          <w:sz w:val="24"/>
          <w:szCs w:val="24"/>
        </w:rPr>
        <w:t>նույն դասի դեղապատրաստուկի թեստին հղում</w:t>
      </w:r>
    </w:p>
    <w:p w14:paraId="4F621E4F" w14:textId="77777777" w:rsidR="008C76E0" w:rsidRPr="003B2786" w:rsidRDefault="008C76E0" w:rsidP="00390DAC">
      <w:pPr>
        <w:tabs>
          <w:tab w:val="left" w:pos="1134"/>
        </w:tabs>
        <w:spacing w:after="160" w:line="360" w:lineRule="auto"/>
        <w:ind w:left="567" w:right="-1"/>
        <w:jc w:val="both"/>
        <w:rPr>
          <w:rFonts w:ascii="Sylfaen" w:hAnsi="Sylfaen"/>
          <w:sz w:val="24"/>
          <w:szCs w:val="24"/>
        </w:rPr>
      </w:pPr>
      <w:r w:rsidRPr="003B2786">
        <w:rPr>
          <w:rFonts w:ascii="Sylfaen" w:hAnsi="Sylfaen"/>
          <w:sz w:val="24"/>
          <w:szCs w:val="24"/>
        </w:rPr>
        <w:t>□</w:t>
      </w:r>
      <w:r w:rsidRPr="003B2786">
        <w:rPr>
          <w:rFonts w:ascii="Sylfaen" w:hAnsi="Sylfaen"/>
          <w:sz w:val="24"/>
          <w:szCs w:val="24"/>
        </w:rPr>
        <w:tab/>
        <w:t>անվտանգության հետ կապված մի</w:t>
      </w:r>
      <w:r w:rsidR="00C54D75">
        <w:rPr>
          <w:rFonts w:ascii="Sylfaen" w:hAnsi="Sylfaen"/>
          <w:sz w:val="24"/>
          <w:szCs w:val="24"/>
        </w:rPr>
        <w:t>և</w:t>
      </w:r>
      <w:r w:rsidRPr="003B2786">
        <w:rPr>
          <w:rFonts w:ascii="Sylfaen" w:hAnsi="Sylfaen"/>
          <w:sz w:val="24"/>
          <w:szCs w:val="24"/>
        </w:rPr>
        <w:t>նույն հարցերով թեստին հղում</w:t>
      </w:r>
    </w:p>
    <w:p w14:paraId="02319C16" w14:textId="77777777" w:rsidR="008C76E0" w:rsidRPr="003B2786" w:rsidRDefault="008C76E0" w:rsidP="00390DAC">
      <w:pPr>
        <w:tabs>
          <w:tab w:val="left" w:pos="1134"/>
        </w:tabs>
        <w:spacing w:after="160" w:line="360" w:lineRule="auto"/>
        <w:ind w:left="567" w:right="-1"/>
        <w:jc w:val="both"/>
        <w:rPr>
          <w:rStyle w:val="Bodytext295pt"/>
          <w:rFonts w:ascii="Sylfaen" w:eastAsiaTheme="minorHAnsi" w:hAnsi="Sylfaen"/>
          <w:b w:val="0"/>
          <w:sz w:val="24"/>
          <w:szCs w:val="24"/>
        </w:rPr>
      </w:pPr>
      <w:r w:rsidRPr="003B2786">
        <w:rPr>
          <w:rStyle w:val="Bodytext295pt"/>
          <w:rFonts w:ascii="Sylfaen" w:eastAsiaTheme="minorHAnsi" w:hAnsi="Sylfaen"/>
          <w:sz w:val="24"/>
          <w:szCs w:val="24"/>
        </w:rPr>
        <w:t>□</w:t>
      </w:r>
      <w:r w:rsidRPr="003B2786">
        <w:rPr>
          <w:rStyle w:val="Bodytext295pt"/>
          <w:rFonts w:ascii="Sylfaen" w:eastAsiaTheme="minorHAnsi" w:hAnsi="Sylfaen"/>
          <w:sz w:val="24"/>
          <w:szCs w:val="24"/>
        </w:rPr>
        <w:tab/>
      </w:r>
      <w:r w:rsidRPr="003B2786">
        <w:rPr>
          <w:rStyle w:val="Bodytext295pt"/>
          <w:rFonts w:ascii="Sylfaen" w:eastAsiaTheme="minorHAnsi" w:hAnsi="Sylfaen"/>
          <w:b w:val="0"/>
          <w:sz w:val="24"/>
          <w:szCs w:val="24"/>
        </w:rPr>
        <w:t xml:space="preserve">այլ </w:t>
      </w:r>
      <w:r w:rsidRPr="003B2786">
        <w:rPr>
          <w:rStyle w:val="Bodytext295pt"/>
          <w:rFonts w:ascii="Sylfaen" w:eastAsiaTheme="minorHAnsi" w:hAnsi="Sylfaen"/>
          <w:sz w:val="24"/>
          <w:szCs w:val="24"/>
        </w:rPr>
        <w:t>__________________________________________________________</w:t>
      </w:r>
    </w:p>
    <w:tbl>
      <w:tblPr>
        <w:tblOverlap w:val="never"/>
        <w:tblW w:w="9648" w:type="dxa"/>
        <w:jc w:val="center"/>
        <w:tblLayout w:type="fixed"/>
        <w:tblCellMar>
          <w:left w:w="10" w:type="dxa"/>
          <w:right w:w="10" w:type="dxa"/>
        </w:tblCellMar>
        <w:tblLook w:val="04A0" w:firstRow="1" w:lastRow="0" w:firstColumn="1" w:lastColumn="0" w:noHBand="0" w:noVBand="1"/>
      </w:tblPr>
      <w:tblGrid>
        <w:gridCol w:w="7930"/>
        <w:gridCol w:w="1718"/>
      </w:tblGrid>
      <w:tr w:rsidR="008C76E0" w:rsidRPr="003B2786" w14:paraId="1E8E424E" w14:textId="77777777" w:rsidTr="008C76E0">
        <w:trPr>
          <w:jc w:val="center"/>
        </w:trPr>
        <w:tc>
          <w:tcPr>
            <w:tcW w:w="7930" w:type="dxa"/>
            <w:shd w:val="clear" w:color="auto" w:fill="FFFFFF"/>
          </w:tcPr>
          <w:p w14:paraId="443DB43C" w14:textId="77777777" w:rsidR="008C76E0" w:rsidRPr="008C76E0" w:rsidRDefault="008C76E0" w:rsidP="00390DAC">
            <w:pPr>
              <w:pStyle w:val="Bodytext180"/>
              <w:shd w:val="clear" w:color="auto" w:fill="auto"/>
              <w:spacing w:before="0" w:after="160" w:line="360" w:lineRule="auto"/>
              <w:ind w:left="-5" w:right="-1" w:firstLine="568"/>
              <w:rPr>
                <w:rFonts w:ascii="Sylfaen" w:hAnsi="Sylfaen"/>
                <w:b w:val="0"/>
                <w:sz w:val="24"/>
                <w:szCs w:val="24"/>
                <w:lang w:val="hy-AM"/>
              </w:rPr>
            </w:pPr>
            <w:r w:rsidRPr="003B2786">
              <w:rPr>
                <w:rStyle w:val="Bodytext295pt"/>
                <w:rFonts w:ascii="Sylfaen" w:hAnsi="Sylfaen"/>
                <w:sz w:val="24"/>
                <w:szCs w:val="24"/>
              </w:rPr>
              <w:t>Արդյո՞ք կապող թեստավորման հիմնավորումն ընդունելի է: (Եթե չի ներկայացվել օգտատերերի թեստավորման ամբողջական հաշվետվություն կամ ամփոփ հաշվետվություն, ապա անհրաժեշտ է ներկայացնել հիմնավորումը:)</w:t>
            </w:r>
          </w:p>
        </w:tc>
        <w:tc>
          <w:tcPr>
            <w:tcW w:w="1718" w:type="dxa"/>
            <w:shd w:val="clear" w:color="auto" w:fill="FFFFFF"/>
          </w:tcPr>
          <w:p w14:paraId="0E383D24" w14:textId="77777777" w:rsidR="008C76E0" w:rsidRPr="003B2786" w:rsidRDefault="008C76E0" w:rsidP="00390DAC">
            <w:pPr>
              <w:pStyle w:val="Bodytext180"/>
              <w:shd w:val="clear" w:color="auto" w:fill="auto"/>
              <w:spacing w:before="0" w:after="160" w:line="360" w:lineRule="auto"/>
              <w:ind w:left="-5" w:right="-1" w:firstLine="568"/>
              <w:rPr>
                <w:rFonts w:ascii="Sylfaen" w:hAnsi="Sylfaen"/>
                <w:b w:val="0"/>
                <w:sz w:val="24"/>
                <w:szCs w:val="24"/>
              </w:rPr>
            </w:pPr>
            <w:r w:rsidRPr="003B2786">
              <w:rPr>
                <w:rStyle w:val="Bodytext295pt"/>
                <w:rFonts w:ascii="Sylfaen" w:hAnsi="Sylfaen"/>
                <w:sz w:val="24"/>
                <w:szCs w:val="24"/>
              </w:rPr>
              <w:t>□ այո □ ոչ</w:t>
            </w:r>
          </w:p>
        </w:tc>
      </w:tr>
      <w:tr w:rsidR="008C76E0" w:rsidRPr="003B2786" w14:paraId="63309566" w14:textId="77777777" w:rsidTr="008C76E0">
        <w:trPr>
          <w:jc w:val="center"/>
        </w:trPr>
        <w:tc>
          <w:tcPr>
            <w:tcW w:w="7930" w:type="dxa"/>
            <w:shd w:val="clear" w:color="auto" w:fill="FFFFFF"/>
          </w:tcPr>
          <w:p w14:paraId="529274F7" w14:textId="77777777" w:rsidR="008C76E0" w:rsidRPr="008C76E0" w:rsidRDefault="008C76E0" w:rsidP="00390DAC">
            <w:pPr>
              <w:pStyle w:val="Bodytext180"/>
              <w:shd w:val="clear" w:color="auto" w:fill="auto"/>
              <w:spacing w:before="0" w:after="160" w:line="360" w:lineRule="auto"/>
              <w:ind w:left="-5" w:right="-1" w:firstLine="568"/>
              <w:rPr>
                <w:rFonts w:ascii="Sylfaen" w:hAnsi="Sylfaen"/>
                <w:b w:val="0"/>
                <w:sz w:val="24"/>
                <w:szCs w:val="24"/>
                <w:lang w:val="hy-AM"/>
              </w:rPr>
            </w:pPr>
            <w:r w:rsidRPr="003B2786">
              <w:rPr>
                <w:rStyle w:val="Bodytext295pt"/>
                <w:rFonts w:ascii="Sylfaen" w:hAnsi="Sylfaen"/>
                <w:sz w:val="24"/>
                <w:szCs w:val="24"/>
              </w:rPr>
              <w:t>Արդյո՞ք հաշվետվություն չներկայացնելու հիմնավորումն ընդունելի է: (Օգտատերերի թեստավորման բացակայության ընդունելի հիմնավորում չհամարվող պատճառների օրինակները ներկայացված են ստոր</w:t>
            </w:r>
            <w:r w:rsidR="00C54D75">
              <w:rPr>
                <w:rStyle w:val="Bodytext295pt"/>
                <w:rFonts w:ascii="Sylfaen" w:hAnsi="Sylfaen"/>
                <w:sz w:val="24"/>
                <w:szCs w:val="24"/>
              </w:rPr>
              <w:t>և</w:t>
            </w:r>
            <w:r w:rsidRPr="003B2786">
              <w:rPr>
                <w:rStyle w:val="Bodytext295pt"/>
                <w:rFonts w:ascii="Sylfaen" w:hAnsi="Sylfaen"/>
                <w:sz w:val="24"/>
                <w:szCs w:val="24"/>
              </w:rPr>
              <w:t>.</w:t>
            </w:r>
          </w:p>
        </w:tc>
        <w:tc>
          <w:tcPr>
            <w:tcW w:w="1718" w:type="dxa"/>
            <w:shd w:val="clear" w:color="auto" w:fill="FFFFFF"/>
          </w:tcPr>
          <w:p w14:paraId="579DFE46" w14:textId="77777777" w:rsidR="008C76E0" w:rsidRPr="003B2786" w:rsidRDefault="008C76E0" w:rsidP="00390DAC">
            <w:pPr>
              <w:pStyle w:val="Bodytext180"/>
              <w:shd w:val="clear" w:color="auto" w:fill="auto"/>
              <w:spacing w:before="0" w:after="160" w:line="360" w:lineRule="auto"/>
              <w:ind w:left="-5" w:right="-1" w:firstLine="568"/>
              <w:rPr>
                <w:rFonts w:ascii="Sylfaen" w:hAnsi="Sylfaen"/>
                <w:b w:val="0"/>
                <w:sz w:val="24"/>
                <w:szCs w:val="24"/>
              </w:rPr>
            </w:pPr>
            <w:r w:rsidRPr="003B2786">
              <w:rPr>
                <w:rStyle w:val="Bodytext295pt"/>
                <w:rFonts w:ascii="Sylfaen" w:hAnsi="Sylfaen"/>
                <w:sz w:val="24"/>
                <w:szCs w:val="24"/>
              </w:rPr>
              <w:t>□ այո □ ոչ</w:t>
            </w:r>
          </w:p>
        </w:tc>
      </w:tr>
      <w:tr w:rsidR="008C76E0" w:rsidRPr="003B2786" w14:paraId="0FB58A89" w14:textId="77777777" w:rsidTr="008C76E0">
        <w:trPr>
          <w:jc w:val="center"/>
        </w:trPr>
        <w:tc>
          <w:tcPr>
            <w:tcW w:w="9648" w:type="dxa"/>
            <w:gridSpan w:val="2"/>
            <w:shd w:val="clear" w:color="auto" w:fill="FFFFFF"/>
          </w:tcPr>
          <w:p w14:paraId="59E05F51" w14:textId="77777777" w:rsidR="008C76E0" w:rsidRPr="008C76E0" w:rsidRDefault="008C76E0" w:rsidP="00390DAC">
            <w:pPr>
              <w:pStyle w:val="Bodytext180"/>
              <w:shd w:val="clear" w:color="auto" w:fill="auto"/>
              <w:spacing w:before="0" w:after="160" w:line="360" w:lineRule="auto"/>
              <w:ind w:left="-5" w:right="-1" w:firstLine="568"/>
              <w:rPr>
                <w:rFonts w:ascii="Sylfaen" w:hAnsi="Sylfaen"/>
                <w:b w:val="0"/>
                <w:sz w:val="24"/>
                <w:szCs w:val="24"/>
                <w:lang w:val="hy-AM"/>
              </w:rPr>
            </w:pPr>
            <w:r w:rsidRPr="003B2786">
              <w:rPr>
                <w:rStyle w:val="Bodytext295pt"/>
                <w:rFonts w:ascii="Sylfaen" w:hAnsi="Sylfaen"/>
                <w:sz w:val="24"/>
                <w:szCs w:val="24"/>
              </w:rPr>
              <w:t>ներմուծում միայն հիվանդանոցային պայմաններում, ներմուծում միայն բժշկական ոլորտի մասնագետի կողմից, որակի ստուգման վերաբերյալ փաստաթղթերի ձ</w:t>
            </w:r>
            <w:r w:rsidR="00C54D75">
              <w:rPr>
                <w:rStyle w:val="Bodytext295pt"/>
                <w:rFonts w:ascii="Sylfaen" w:hAnsi="Sylfaen"/>
                <w:sz w:val="24"/>
                <w:szCs w:val="24"/>
              </w:rPr>
              <w:t>և</w:t>
            </w:r>
            <w:r w:rsidRPr="003B2786">
              <w:rPr>
                <w:rStyle w:val="Bodytext295pt"/>
                <w:rFonts w:ascii="Sylfaen" w:hAnsi="Sylfaen"/>
                <w:sz w:val="24"/>
                <w:szCs w:val="24"/>
              </w:rPr>
              <w:t>անմուշներին համապատասխանություն, տ</w:t>
            </w:r>
            <w:r w:rsidR="00C54D75">
              <w:rPr>
                <w:rStyle w:val="Bodytext295pt"/>
                <w:rFonts w:ascii="Sylfaen" w:hAnsi="Sylfaen"/>
                <w:sz w:val="24"/>
                <w:szCs w:val="24"/>
              </w:rPr>
              <w:t>և</w:t>
            </w:r>
            <w:r w:rsidRPr="003B2786">
              <w:rPr>
                <w:rStyle w:val="Bodytext295pt"/>
                <w:rFonts w:ascii="Sylfaen" w:hAnsi="Sylfaen"/>
                <w:sz w:val="24"/>
                <w:szCs w:val="24"/>
              </w:rPr>
              <w:t>ական ժամանակ պատրաստուկի կիրառության ուսումնասիրություն:</w:t>
            </w:r>
          </w:p>
        </w:tc>
      </w:tr>
    </w:tbl>
    <w:p w14:paraId="429050A8" w14:textId="77777777" w:rsidR="008C76E0" w:rsidRPr="008C76E0" w:rsidRDefault="008C76E0" w:rsidP="00390DAC">
      <w:pPr>
        <w:pStyle w:val="Tablecaption40"/>
        <w:shd w:val="clear" w:color="auto" w:fill="auto"/>
        <w:spacing w:after="160" w:line="360" w:lineRule="auto"/>
        <w:ind w:right="-1" w:firstLine="567"/>
        <w:jc w:val="both"/>
        <w:rPr>
          <w:rFonts w:ascii="Sylfaen" w:hAnsi="Sylfaen"/>
          <w:b w:val="0"/>
          <w:sz w:val="24"/>
          <w:szCs w:val="24"/>
          <w:lang w:val="hy-AM"/>
        </w:rPr>
      </w:pPr>
      <w:r w:rsidRPr="00D06AA6">
        <w:rPr>
          <w:rStyle w:val="Bodytext295pt"/>
          <w:rFonts w:ascii="Sylfaen" w:hAnsi="Sylfaen"/>
          <w:i w:val="0"/>
          <w:sz w:val="24"/>
          <w:szCs w:val="24"/>
        </w:rPr>
        <w:t xml:space="preserve">Պատճառները </w:t>
      </w:r>
      <w:r w:rsidRPr="008C76E0">
        <w:rPr>
          <w:rFonts w:ascii="Sylfaen" w:hAnsi="Sylfaen"/>
          <w:b w:val="0"/>
          <w:sz w:val="24"/>
          <w:szCs w:val="24"/>
          <w:lang w:val="hy-AM"/>
        </w:rPr>
        <w:t>[ամփոփ հաշվետվության ընդունելի լինելու կամ չլինելու վերաբերյալ փորձագետների կարծիքները՝ հիմնավորման (ամփոփ հաշվետվության) գնահատումը]</w:t>
      </w:r>
    </w:p>
    <w:p w14:paraId="35732149" w14:textId="77777777" w:rsidR="008C76E0" w:rsidRPr="003B2786" w:rsidRDefault="008C76E0" w:rsidP="00390DAC">
      <w:pPr>
        <w:spacing w:after="160" w:line="360" w:lineRule="auto"/>
        <w:jc w:val="center"/>
        <w:rPr>
          <w:rFonts w:ascii="Sylfaen" w:hAnsi="Sylfaen"/>
          <w:spacing w:val="-26"/>
          <w:sz w:val="24"/>
          <w:szCs w:val="24"/>
          <w:lang w:val="en-US"/>
        </w:rPr>
      </w:pPr>
      <w:r w:rsidRPr="003B2786">
        <w:rPr>
          <w:rFonts w:ascii="Sylfaen" w:hAnsi="Sylfaen"/>
          <w:spacing w:val="-26"/>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B2786">
        <w:rPr>
          <w:rFonts w:ascii="Sylfaen" w:hAnsi="Sylfaen"/>
          <w:spacing w:val="-26"/>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D0C8B6" w14:textId="77777777" w:rsidR="008C76E0" w:rsidRPr="003B2786" w:rsidRDefault="008C76E0" w:rsidP="00390DAC">
      <w:pPr>
        <w:spacing w:after="160" w:line="360" w:lineRule="auto"/>
        <w:jc w:val="both"/>
        <w:rPr>
          <w:rFonts w:ascii="Sylfaen" w:hAnsi="Sylfaen"/>
          <w:spacing w:val="-26"/>
          <w:sz w:val="24"/>
          <w:szCs w:val="24"/>
          <w:lang w:val="en-US"/>
        </w:rPr>
      </w:pPr>
    </w:p>
    <w:tbl>
      <w:tblPr>
        <w:tblOverlap w:val="never"/>
        <w:tblW w:w="9581" w:type="dxa"/>
        <w:jc w:val="center"/>
        <w:tblLayout w:type="fixed"/>
        <w:tblCellMar>
          <w:left w:w="10" w:type="dxa"/>
          <w:right w:w="10" w:type="dxa"/>
        </w:tblCellMar>
        <w:tblLook w:val="04A0" w:firstRow="1" w:lastRow="0" w:firstColumn="1" w:lastColumn="0" w:noHBand="0" w:noVBand="1"/>
      </w:tblPr>
      <w:tblGrid>
        <w:gridCol w:w="7426"/>
        <w:gridCol w:w="467"/>
        <w:gridCol w:w="57"/>
        <w:gridCol w:w="1621"/>
        <w:gridCol w:w="10"/>
      </w:tblGrid>
      <w:tr w:rsidR="008C76E0" w:rsidRPr="003B2786" w14:paraId="63877223" w14:textId="77777777" w:rsidTr="008C76E0">
        <w:trPr>
          <w:jc w:val="center"/>
        </w:trPr>
        <w:tc>
          <w:tcPr>
            <w:tcW w:w="9581" w:type="dxa"/>
            <w:gridSpan w:val="5"/>
            <w:shd w:val="clear" w:color="auto" w:fill="FFFFFF"/>
            <w:vAlign w:val="bottom"/>
          </w:tcPr>
          <w:p w14:paraId="10B0A3C5" w14:textId="77777777" w:rsidR="008C76E0" w:rsidRPr="003B2786" w:rsidRDefault="008C76E0" w:rsidP="00390DAC">
            <w:pPr>
              <w:pStyle w:val="Bodytext180"/>
              <w:shd w:val="clear" w:color="auto" w:fill="auto"/>
              <w:tabs>
                <w:tab w:val="left" w:pos="846"/>
              </w:tabs>
              <w:spacing w:before="0" w:after="160" w:line="360" w:lineRule="auto"/>
              <w:ind w:left="63" w:right="137" w:firstLine="0"/>
              <w:jc w:val="center"/>
              <w:rPr>
                <w:rFonts w:ascii="Sylfaen" w:hAnsi="Sylfaen"/>
                <w:b w:val="0"/>
                <w:i/>
                <w:sz w:val="24"/>
                <w:szCs w:val="24"/>
              </w:rPr>
            </w:pPr>
            <w:r w:rsidRPr="003B2786">
              <w:rPr>
                <w:rStyle w:val="Bodytext295pt"/>
                <w:rFonts w:ascii="Sylfaen" w:hAnsi="Sylfaen"/>
                <w:sz w:val="24"/>
                <w:szCs w:val="24"/>
              </w:rPr>
              <w:t>1.ՏԵԽՆԻԿԱԿԱՆ ԳՆԱՀԱՏՈՒՄԸ</w:t>
            </w:r>
          </w:p>
        </w:tc>
      </w:tr>
      <w:tr w:rsidR="008C76E0" w:rsidRPr="003B2786" w14:paraId="57CC3973" w14:textId="77777777" w:rsidTr="008C76E0">
        <w:trPr>
          <w:jc w:val="center"/>
        </w:trPr>
        <w:tc>
          <w:tcPr>
            <w:tcW w:w="9581" w:type="dxa"/>
            <w:gridSpan w:val="5"/>
            <w:shd w:val="clear" w:color="auto" w:fill="FFFFFF"/>
            <w:vAlign w:val="bottom"/>
          </w:tcPr>
          <w:p w14:paraId="5E32A40C" w14:textId="77777777" w:rsidR="008C76E0" w:rsidRPr="003B2786" w:rsidRDefault="008C76E0" w:rsidP="00390DAC">
            <w:pPr>
              <w:pStyle w:val="Bodytext180"/>
              <w:shd w:val="clear" w:color="auto" w:fill="auto"/>
              <w:tabs>
                <w:tab w:val="left" w:pos="1097"/>
              </w:tabs>
              <w:spacing w:before="0" w:after="160" w:line="360" w:lineRule="auto"/>
              <w:ind w:left="63" w:right="137" w:firstLine="467"/>
              <w:jc w:val="both"/>
              <w:rPr>
                <w:rFonts w:ascii="Sylfaen" w:hAnsi="Sylfaen"/>
                <w:b w:val="0"/>
                <w:i/>
                <w:sz w:val="24"/>
                <w:szCs w:val="24"/>
              </w:rPr>
            </w:pPr>
            <w:r w:rsidRPr="003B2786">
              <w:rPr>
                <w:rStyle w:val="Bodytext295pt"/>
                <w:rFonts w:ascii="Sylfaen" w:hAnsi="Sylfaen"/>
                <w:sz w:val="24"/>
                <w:szCs w:val="24"/>
              </w:rPr>
              <w:t>1.1.</w:t>
            </w:r>
            <w:r w:rsidRPr="003B2786">
              <w:rPr>
                <w:rStyle w:val="Bodytext295pt"/>
                <w:rFonts w:ascii="Sylfaen" w:hAnsi="Sylfaen"/>
                <w:sz w:val="24"/>
                <w:szCs w:val="24"/>
              </w:rPr>
              <w:tab/>
              <w:t>Հավաքագրումը</w:t>
            </w:r>
          </w:p>
        </w:tc>
      </w:tr>
      <w:tr w:rsidR="008C76E0" w:rsidRPr="003B2786" w14:paraId="55B01491" w14:textId="77777777" w:rsidTr="008C76E0">
        <w:trPr>
          <w:jc w:val="center"/>
        </w:trPr>
        <w:tc>
          <w:tcPr>
            <w:tcW w:w="7893" w:type="dxa"/>
            <w:gridSpan w:val="2"/>
            <w:shd w:val="clear" w:color="auto" w:fill="FFFFFF"/>
            <w:vAlign w:val="bottom"/>
          </w:tcPr>
          <w:p w14:paraId="50C4C97E" w14:textId="77777777" w:rsidR="008C76E0" w:rsidRPr="008C76E0" w:rsidRDefault="008C76E0" w:rsidP="00390DAC">
            <w:pPr>
              <w:pStyle w:val="Bodytext180"/>
              <w:shd w:val="clear" w:color="auto" w:fill="auto"/>
              <w:tabs>
                <w:tab w:val="left" w:pos="1097"/>
              </w:tabs>
              <w:spacing w:before="0" w:after="160" w:line="360" w:lineRule="auto"/>
              <w:ind w:left="63" w:right="137" w:firstLine="467"/>
              <w:jc w:val="both"/>
              <w:rPr>
                <w:rFonts w:ascii="Sylfaen" w:hAnsi="Sylfaen"/>
                <w:b w:val="0"/>
                <w:i/>
                <w:sz w:val="24"/>
                <w:szCs w:val="24"/>
                <w:lang w:val="hy-AM"/>
              </w:rPr>
            </w:pPr>
            <w:r w:rsidRPr="003B2786">
              <w:rPr>
                <w:rStyle w:val="Bodytext295pt"/>
                <w:rFonts w:ascii="Sylfaen" w:hAnsi="Sylfaen"/>
                <w:sz w:val="24"/>
                <w:szCs w:val="24"/>
              </w:rPr>
              <w:t xml:space="preserve">Արդյո՞ք ընդունելի է հարցմանը մասնակցած պոպուլյացիան: </w:t>
            </w:r>
          </w:p>
        </w:tc>
        <w:tc>
          <w:tcPr>
            <w:tcW w:w="1688" w:type="dxa"/>
            <w:gridSpan w:val="3"/>
            <w:shd w:val="clear" w:color="auto" w:fill="FFFFFF"/>
            <w:vAlign w:val="bottom"/>
          </w:tcPr>
          <w:p w14:paraId="2872C303" w14:textId="77777777" w:rsidR="008C76E0" w:rsidRPr="003B2786" w:rsidRDefault="008C76E0" w:rsidP="00390DAC">
            <w:pPr>
              <w:pStyle w:val="Bodytext180"/>
              <w:shd w:val="clear" w:color="auto" w:fill="auto"/>
              <w:tabs>
                <w:tab w:val="left" w:pos="1097"/>
              </w:tabs>
              <w:spacing w:before="0" w:after="160" w:line="360" w:lineRule="auto"/>
              <w:ind w:left="63" w:right="137" w:firstLine="467"/>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4DD6AD28" w14:textId="77777777" w:rsidTr="008C76E0">
        <w:trPr>
          <w:jc w:val="center"/>
        </w:trPr>
        <w:tc>
          <w:tcPr>
            <w:tcW w:w="9581" w:type="dxa"/>
            <w:gridSpan w:val="5"/>
            <w:shd w:val="clear" w:color="auto" w:fill="FFFFFF"/>
            <w:vAlign w:val="center"/>
          </w:tcPr>
          <w:p w14:paraId="5F11EDA5" w14:textId="77777777" w:rsidR="008C76E0" w:rsidRPr="003B2786" w:rsidRDefault="008C76E0" w:rsidP="00390DAC">
            <w:pPr>
              <w:pStyle w:val="Bodytext180"/>
              <w:shd w:val="clear" w:color="auto" w:fill="auto"/>
              <w:tabs>
                <w:tab w:val="left" w:pos="1097"/>
              </w:tabs>
              <w:spacing w:before="0" w:after="160" w:line="360" w:lineRule="auto"/>
              <w:ind w:left="63" w:right="137" w:firstLine="467"/>
              <w:jc w:val="both"/>
              <w:rPr>
                <w:rFonts w:ascii="Sylfaen" w:hAnsi="Sylfaen"/>
                <w:b w:val="0"/>
                <w:i/>
                <w:spacing w:val="-6"/>
                <w:sz w:val="24"/>
                <w:szCs w:val="24"/>
              </w:rPr>
            </w:pPr>
            <w:r w:rsidRPr="003B2786">
              <w:rPr>
                <w:rStyle w:val="Bodytext295pt"/>
                <w:rFonts w:ascii="Sylfaen" w:hAnsi="Sylfaen"/>
                <w:spacing w:val="-6"/>
                <w:sz w:val="24"/>
                <w:szCs w:val="24"/>
              </w:rPr>
              <w:t>Մեկնաբանություններ (լրացուցիչ տեղեկատվ</w:t>
            </w:r>
            <w:r>
              <w:rPr>
                <w:rStyle w:val="Bodytext295pt"/>
                <w:rFonts w:ascii="Sylfaen" w:hAnsi="Sylfaen"/>
                <w:spacing w:val="-6"/>
                <w:sz w:val="24"/>
                <w:szCs w:val="24"/>
              </w:rPr>
              <w:t>ություն) ___________________</w:t>
            </w:r>
            <w:r w:rsidRPr="003B2786">
              <w:rPr>
                <w:rStyle w:val="Bodytext295pt"/>
                <w:rFonts w:ascii="Sylfaen" w:hAnsi="Sylfaen"/>
                <w:spacing w:val="-6"/>
                <w:sz w:val="24"/>
                <w:szCs w:val="24"/>
              </w:rPr>
              <w:t>_________</w:t>
            </w:r>
          </w:p>
        </w:tc>
      </w:tr>
      <w:tr w:rsidR="008C76E0" w:rsidRPr="003B2786" w14:paraId="5F2C726D" w14:textId="77777777" w:rsidTr="008C76E0">
        <w:trPr>
          <w:jc w:val="center"/>
        </w:trPr>
        <w:tc>
          <w:tcPr>
            <w:tcW w:w="958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FBDA5AF" w14:textId="77777777" w:rsidR="008C76E0" w:rsidRPr="008C76E0" w:rsidRDefault="008C76E0" w:rsidP="00390DAC">
            <w:pPr>
              <w:pStyle w:val="Bodytext180"/>
              <w:shd w:val="clear" w:color="auto" w:fill="auto"/>
              <w:spacing w:before="0" w:after="160" w:line="360" w:lineRule="auto"/>
              <w:ind w:left="62" w:right="136" w:firstLine="0"/>
              <w:jc w:val="center"/>
              <w:rPr>
                <w:rFonts w:ascii="Sylfaen" w:hAnsi="Sylfaen"/>
                <w:sz w:val="24"/>
                <w:szCs w:val="24"/>
                <w:lang w:val="hy-AM"/>
              </w:rPr>
            </w:pPr>
            <w:r w:rsidRPr="003B2786">
              <w:rPr>
                <w:rStyle w:val="Bodytext1811pt"/>
                <w:rFonts w:ascii="Sylfaen" w:hAnsi="Sylfaen"/>
                <w:sz w:val="24"/>
                <w:szCs w:val="24"/>
              </w:rPr>
              <w:t>Հավաքագրման հետ կապված կանոնները</w:t>
            </w:r>
          </w:p>
          <w:p w14:paraId="6989EF5B" w14:textId="77777777" w:rsidR="008C76E0" w:rsidRPr="00E15E7D" w:rsidRDefault="008C76E0" w:rsidP="00390DAC">
            <w:pPr>
              <w:pStyle w:val="Bodytext180"/>
              <w:shd w:val="clear" w:color="auto" w:fill="auto"/>
              <w:spacing w:before="0" w:after="160" w:line="360" w:lineRule="auto"/>
              <w:ind w:left="62" w:right="136" w:firstLine="529"/>
              <w:jc w:val="both"/>
              <w:rPr>
                <w:rStyle w:val="Bodytext1811pt"/>
                <w:rFonts w:ascii="Sylfaen" w:hAnsi="Sylfaen"/>
                <w:sz w:val="24"/>
                <w:szCs w:val="24"/>
              </w:rPr>
            </w:pPr>
            <w:r w:rsidRPr="003B2786">
              <w:rPr>
                <w:rStyle w:val="Bodytext1811pt"/>
                <w:rFonts w:ascii="Sylfaen" w:hAnsi="Sylfaen"/>
                <w:sz w:val="24"/>
                <w:szCs w:val="24"/>
              </w:rPr>
              <w:t>Հավաքագրման մեթոդները գնահատելիս անհրաժեշտ է հաշվ</w:t>
            </w:r>
            <w:r w:rsidR="002509A3">
              <w:rPr>
                <w:rStyle w:val="Bodytext1811pt"/>
                <w:rFonts w:ascii="Sylfaen" w:hAnsi="Sylfaen"/>
                <w:sz w:val="24"/>
                <w:szCs w:val="24"/>
              </w:rPr>
              <w:t>ի առնել հետ</w:t>
            </w:r>
            <w:r w:rsidR="00C54D75">
              <w:rPr>
                <w:rStyle w:val="Bodytext1811pt"/>
                <w:rFonts w:ascii="Sylfaen" w:hAnsi="Sylfaen"/>
                <w:sz w:val="24"/>
                <w:szCs w:val="24"/>
              </w:rPr>
              <w:t>և</w:t>
            </w:r>
            <w:r w:rsidR="002509A3">
              <w:rPr>
                <w:rStyle w:val="Bodytext1811pt"/>
                <w:rFonts w:ascii="Sylfaen" w:hAnsi="Sylfaen"/>
                <w:sz w:val="24"/>
                <w:szCs w:val="24"/>
              </w:rPr>
              <w:t>յալ հանգամանքները.</w:t>
            </w:r>
          </w:p>
          <w:p w14:paraId="6BB06C85"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i/>
                <w:sz w:val="24"/>
                <w:szCs w:val="24"/>
                <w:lang w:val="hy-AM"/>
              </w:rPr>
            </w:pPr>
            <w:r w:rsidRPr="003B2786">
              <w:rPr>
                <w:rStyle w:val="Bodytext295pt"/>
                <w:rFonts w:ascii="Sylfaen" w:hAnsi="Sylfaen"/>
                <w:i/>
                <w:sz w:val="24"/>
                <w:szCs w:val="24"/>
              </w:rPr>
              <w:t xml:space="preserve">արդյո՞ք լավ է սահմանված հավաքագրման մեթոդը: Արդյո՞ք ակնհայտ է, որ թեստն անցնող անձանց խումբը կազմելիս լուրջ մոտեցում է ցուցաբերվել (օրինակ՝ այնպիսի պարամետրերի տեսանկյունից, ինչպիսիք են սեռը, տարիքը, կրթությունը, դեղապատրաստուկների հետ կապված փորձը, գանգատների վերաբերյալ առկա տեղեկատվությունը </w:t>
            </w:r>
            <w:r w:rsidR="00C54D75">
              <w:rPr>
                <w:rStyle w:val="Bodytext295pt"/>
                <w:rFonts w:ascii="Sylfaen" w:hAnsi="Sylfaen"/>
                <w:i/>
                <w:sz w:val="24"/>
                <w:szCs w:val="24"/>
              </w:rPr>
              <w:t>և</w:t>
            </w:r>
            <w:r w:rsidRPr="003B2786">
              <w:rPr>
                <w:rStyle w:val="Bodytext295pt"/>
                <w:rFonts w:ascii="Sylfaen" w:hAnsi="Sylfaen"/>
                <w:i/>
                <w:sz w:val="24"/>
                <w:szCs w:val="24"/>
              </w:rPr>
              <w:t xml:space="preserve"> այլն),</w:t>
            </w:r>
          </w:p>
          <w:p w14:paraId="6A400AD2"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i/>
                <w:sz w:val="24"/>
                <w:szCs w:val="24"/>
                <w:lang w:val="hy-AM"/>
              </w:rPr>
            </w:pPr>
            <w:r w:rsidRPr="003B2786">
              <w:rPr>
                <w:rStyle w:val="Bodytext295pt"/>
                <w:rFonts w:ascii="Sylfaen" w:hAnsi="Sylfaen"/>
                <w:i/>
                <w:sz w:val="24"/>
                <w:szCs w:val="24"/>
              </w:rPr>
              <w:t>ինչպե՞ս է անցկացվել թեստն անցնող անձանց խմբի հավաքագրումը. «պարզամիտ» օգտատերեր կամ պացիենտներ, պացիենտներ կամ հիվանդներին խնամող մասնագետներ,</w:t>
            </w:r>
          </w:p>
          <w:p w14:paraId="35EC18B2" w14:textId="77777777" w:rsidR="008C76E0" w:rsidRPr="003B2786" w:rsidRDefault="008C76E0" w:rsidP="00390DAC">
            <w:pPr>
              <w:pStyle w:val="Bodytext180"/>
              <w:shd w:val="clear" w:color="auto" w:fill="auto"/>
              <w:spacing w:before="0" w:after="160" w:line="360" w:lineRule="auto"/>
              <w:ind w:left="62" w:right="136" w:firstLine="529"/>
              <w:jc w:val="both"/>
              <w:rPr>
                <w:rStyle w:val="Bodytext295pt"/>
                <w:rFonts w:ascii="Sylfaen" w:hAnsi="Sylfaen"/>
                <w:bCs/>
                <w:i/>
                <w:sz w:val="24"/>
                <w:szCs w:val="24"/>
              </w:rPr>
            </w:pPr>
            <w:r w:rsidRPr="003B2786">
              <w:rPr>
                <w:rStyle w:val="Bodytext295pt"/>
                <w:rFonts w:ascii="Sylfaen" w:hAnsi="Sylfaen"/>
                <w:i/>
                <w:sz w:val="24"/>
                <w:szCs w:val="24"/>
              </w:rPr>
              <w:t>արդյո՞ք պարզ է թեստավորման թեստին (փուլերին) մասնակցած մարդկանց թիվը,</w:t>
            </w:r>
          </w:p>
          <w:p w14:paraId="3D7C288D"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sz w:val="24"/>
                <w:szCs w:val="24"/>
                <w:lang w:val="hy-AM"/>
              </w:rPr>
            </w:pPr>
            <w:r w:rsidRPr="003B2786">
              <w:rPr>
                <w:rStyle w:val="Bodytext295pt"/>
                <w:rFonts w:ascii="Sylfaen" w:hAnsi="Sylfaen"/>
                <w:i/>
                <w:sz w:val="24"/>
                <w:szCs w:val="24"/>
              </w:rPr>
              <w:t>մարդկանց թիվը բավարար է (բժշկական կիրառման ուղեցույցը (ներդիր թերթիկը) (այսուհետ՝ ԲԿՈՒ (ՆԹ)) անհրաժեշտ է թեստավորել առնվազն 2 փուլով՝ յուրաքանչյուրի դեպքում 10 անձի մասնակցությամբ):</w:t>
            </w:r>
          </w:p>
        </w:tc>
      </w:tr>
      <w:tr w:rsidR="008C76E0" w:rsidRPr="003B2786" w14:paraId="6272BDE6" w14:textId="77777777" w:rsidTr="008C76E0">
        <w:trPr>
          <w:jc w:val="center"/>
        </w:trPr>
        <w:tc>
          <w:tcPr>
            <w:tcW w:w="7426" w:type="dxa"/>
            <w:tcBorders>
              <w:top w:val="single" w:sz="4" w:space="0" w:color="auto"/>
            </w:tcBorders>
            <w:shd w:val="clear" w:color="auto" w:fill="FFFFFF"/>
            <w:vAlign w:val="center"/>
          </w:tcPr>
          <w:p w14:paraId="472EAB32" w14:textId="77777777" w:rsidR="008C76E0" w:rsidRPr="003B2786" w:rsidRDefault="008C76E0" w:rsidP="00390DAC">
            <w:pPr>
              <w:pStyle w:val="Bodytext180"/>
              <w:shd w:val="clear" w:color="auto" w:fill="auto"/>
              <w:tabs>
                <w:tab w:val="left" w:pos="833"/>
              </w:tabs>
              <w:spacing w:before="0" w:after="160" w:line="360" w:lineRule="auto"/>
              <w:ind w:left="62" w:right="136" w:firstLine="0"/>
              <w:jc w:val="both"/>
              <w:rPr>
                <w:rFonts w:ascii="Sylfaen" w:hAnsi="Sylfaen"/>
                <w:sz w:val="24"/>
                <w:szCs w:val="24"/>
              </w:rPr>
            </w:pPr>
            <w:r w:rsidRPr="003B2786">
              <w:rPr>
                <w:rStyle w:val="Bodytext295pt"/>
                <w:rFonts w:ascii="Sylfaen" w:hAnsi="Sylfaen"/>
                <w:sz w:val="24"/>
                <w:szCs w:val="24"/>
              </w:rPr>
              <w:t>1.2.</w:t>
            </w:r>
            <w:r w:rsidRPr="003B2786">
              <w:rPr>
                <w:rStyle w:val="Bodytext295pt"/>
                <w:rFonts w:ascii="Sylfaen" w:hAnsi="Sylfaen"/>
                <w:sz w:val="24"/>
                <w:szCs w:val="24"/>
              </w:rPr>
              <w:tab/>
              <w:t>Հարցաշարը</w:t>
            </w:r>
          </w:p>
        </w:tc>
        <w:tc>
          <w:tcPr>
            <w:tcW w:w="2155" w:type="dxa"/>
            <w:gridSpan w:val="4"/>
            <w:tcBorders>
              <w:top w:val="single" w:sz="4" w:space="0" w:color="auto"/>
            </w:tcBorders>
            <w:shd w:val="clear" w:color="auto" w:fill="FFFFFF"/>
          </w:tcPr>
          <w:p w14:paraId="646A70B5" w14:textId="77777777" w:rsidR="008C76E0" w:rsidRPr="003B2786" w:rsidRDefault="008C76E0" w:rsidP="00390DAC">
            <w:pPr>
              <w:spacing w:after="160" w:line="360" w:lineRule="auto"/>
              <w:ind w:left="62" w:right="136"/>
              <w:jc w:val="both"/>
              <w:rPr>
                <w:rFonts w:ascii="Sylfaen" w:hAnsi="Sylfaen"/>
                <w:sz w:val="24"/>
                <w:szCs w:val="24"/>
              </w:rPr>
            </w:pPr>
          </w:p>
        </w:tc>
      </w:tr>
      <w:tr w:rsidR="008C76E0" w:rsidRPr="003B2786" w14:paraId="3CFA3285" w14:textId="77777777" w:rsidTr="008C76E0">
        <w:trPr>
          <w:jc w:val="center"/>
        </w:trPr>
        <w:tc>
          <w:tcPr>
            <w:tcW w:w="7426" w:type="dxa"/>
            <w:shd w:val="clear" w:color="auto" w:fill="FFFFFF"/>
            <w:vAlign w:val="bottom"/>
          </w:tcPr>
          <w:p w14:paraId="66EBFAD7" w14:textId="77777777" w:rsidR="008C76E0" w:rsidRPr="008C76E0" w:rsidRDefault="008C76E0" w:rsidP="00390DAC">
            <w:pPr>
              <w:pStyle w:val="Bodytext180"/>
              <w:shd w:val="clear" w:color="auto" w:fill="auto"/>
              <w:spacing w:before="0" w:after="160" w:line="360" w:lineRule="auto"/>
              <w:ind w:left="62" w:right="136" w:firstLine="468"/>
              <w:jc w:val="both"/>
              <w:rPr>
                <w:rFonts w:ascii="Sylfaen" w:hAnsi="Sylfaen"/>
                <w:b w:val="0"/>
                <w:i/>
                <w:sz w:val="24"/>
                <w:szCs w:val="24"/>
                <w:lang w:val="hy-AM"/>
              </w:rPr>
            </w:pPr>
            <w:r w:rsidRPr="003B2786">
              <w:rPr>
                <w:rStyle w:val="Bodytext295pt"/>
                <w:rFonts w:ascii="Sylfaen" w:hAnsi="Sylfaen"/>
                <w:sz w:val="24"/>
                <w:szCs w:val="24"/>
              </w:rPr>
              <w:t>Արդյո՞ք _______ հարցերի թիվը բավարար է:</w:t>
            </w:r>
          </w:p>
        </w:tc>
        <w:tc>
          <w:tcPr>
            <w:tcW w:w="2155" w:type="dxa"/>
            <w:gridSpan w:val="4"/>
            <w:shd w:val="clear" w:color="auto" w:fill="FFFFFF"/>
            <w:vAlign w:val="bottom"/>
          </w:tcPr>
          <w:p w14:paraId="06030597" w14:textId="77777777" w:rsidR="008C76E0" w:rsidRPr="003B2786" w:rsidRDefault="008C76E0" w:rsidP="00390DAC">
            <w:pPr>
              <w:pStyle w:val="Bodytext180"/>
              <w:shd w:val="clear" w:color="auto" w:fill="auto"/>
              <w:spacing w:before="0" w:after="160" w:line="360" w:lineRule="auto"/>
              <w:ind w:left="62" w:right="136" w:firstLine="468"/>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79C081F2" w14:textId="77777777" w:rsidTr="008C76E0">
        <w:trPr>
          <w:jc w:val="center"/>
        </w:trPr>
        <w:tc>
          <w:tcPr>
            <w:tcW w:w="7426" w:type="dxa"/>
            <w:shd w:val="clear" w:color="auto" w:fill="FFFFFF"/>
          </w:tcPr>
          <w:p w14:paraId="6570E8CA" w14:textId="77777777" w:rsidR="008C76E0" w:rsidRPr="008C76E0" w:rsidRDefault="008C76E0" w:rsidP="00390DAC">
            <w:pPr>
              <w:pStyle w:val="Bodytext180"/>
              <w:shd w:val="clear" w:color="auto" w:fill="auto"/>
              <w:spacing w:before="0" w:after="160" w:line="360" w:lineRule="auto"/>
              <w:ind w:left="62" w:right="136" w:firstLine="468"/>
              <w:jc w:val="both"/>
              <w:rPr>
                <w:rFonts w:ascii="Sylfaen" w:hAnsi="Sylfaen"/>
                <w:b w:val="0"/>
                <w:i/>
                <w:sz w:val="24"/>
                <w:szCs w:val="24"/>
                <w:lang w:val="hy-AM"/>
              </w:rPr>
            </w:pPr>
            <w:r w:rsidRPr="003B2786">
              <w:rPr>
                <w:rStyle w:val="Bodytext295pt"/>
                <w:rFonts w:ascii="Sylfaen" w:hAnsi="Sylfaen"/>
                <w:sz w:val="24"/>
                <w:szCs w:val="24"/>
              </w:rPr>
              <w:lastRenderedPageBreak/>
              <w:t>Արդյո՞ք հարցերը ներառում են դեղանյութի կար</w:t>
            </w:r>
            <w:r w:rsidR="00C54D75">
              <w:rPr>
                <w:rStyle w:val="Bodytext295pt"/>
                <w:rFonts w:ascii="Sylfaen" w:hAnsi="Sylfaen"/>
                <w:sz w:val="24"/>
                <w:szCs w:val="24"/>
              </w:rPr>
              <w:t>և</w:t>
            </w:r>
            <w:r w:rsidRPr="003B2786">
              <w:rPr>
                <w:rStyle w:val="Bodytext295pt"/>
                <w:rFonts w:ascii="Sylfaen" w:hAnsi="Sylfaen"/>
                <w:sz w:val="24"/>
                <w:szCs w:val="24"/>
              </w:rPr>
              <w:t>որ ասպեկտները (անվտանգությունը):</w:t>
            </w:r>
          </w:p>
        </w:tc>
        <w:tc>
          <w:tcPr>
            <w:tcW w:w="2155" w:type="dxa"/>
            <w:gridSpan w:val="4"/>
            <w:shd w:val="clear" w:color="auto" w:fill="FFFFFF"/>
            <w:vAlign w:val="bottom"/>
          </w:tcPr>
          <w:p w14:paraId="379F6A5F" w14:textId="77777777" w:rsidR="008C76E0" w:rsidRPr="003B2786" w:rsidRDefault="008C76E0" w:rsidP="00390DAC">
            <w:pPr>
              <w:pStyle w:val="Bodytext180"/>
              <w:shd w:val="clear" w:color="auto" w:fill="auto"/>
              <w:spacing w:before="0" w:after="160" w:line="360" w:lineRule="auto"/>
              <w:ind w:left="62" w:right="136" w:firstLine="468"/>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3F6EF04E" w14:textId="77777777" w:rsidTr="008C76E0">
        <w:trPr>
          <w:gridAfter w:val="1"/>
          <w:wAfter w:w="10" w:type="dxa"/>
          <w:jc w:val="center"/>
        </w:trPr>
        <w:tc>
          <w:tcPr>
            <w:tcW w:w="9571" w:type="dxa"/>
            <w:gridSpan w:val="4"/>
            <w:shd w:val="clear" w:color="auto" w:fill="FFFFFF"/>
          </w:tcPr>
          <w:p w14:paraId="69460D09" w14:textId="77777777" w:rsidR="008C76E0" w:rsidRPr="003B2786" w:rsidRDefault="008C76E0" w:rsidP="00390DAC">
            <w:pPr>
              <w:pStyle w:val="Bodytext180"/>
              <w:shd w:val="clear" w:color="auto" w:fill="auto"/>
              <w:spacing w:before="0" w:after="160" w:line="360" w:lineRule="auto"/>
              <w:ind w:left="62" w:right="136" w:firstLine="468"/>
              <w:jc w:val="both"/>
              <w:rPr>
                <w:rFonts w:ascii="Sylfaen" w:hAnsi="Sylfaen"/>
                <w:b w:val="0"/>
                <w:i/>
                <w:spacing w:val="-6"/>
                <w:sz w:val="24"/>
                <w:szCs w:val="24"/>
              </w:rPr>
            </w:pPr>
            <w:r w:rsidRPr="003B2786">
              <w:rPr>
                <w:rStyle w:val="Bodytext295pt"/>
                <w:rFonts w:ascii="Sylfaen" w:hAnsi="Sylfaen"/>
                <w:spacing w:val="-6"/>
                <w:sz w:val="24"/>
                <w:szCs w:val="24"/>
              </w:rPr>
              <w:t>Մեկնաբանություններ (լրացուցիչ տեղեկատվությո</w:t>
            </w:r>
            <w:r>
              <w:rPr>
                <w:rStyle w:val="Bodytext295pt"/>
                <w:rFonts w:ascii="Sylfaen" w:hAnsi="Sylfaen"/>
                <w:spacing w:val="-6"/>
                <w:sz w:val="24"/>
                <w:szCs w:val="24"/>
              </w:rPr>
              <w:t>ւն) _____________________</w:t>
            </w:r>
            <w:r w:rsidRPr="003B2786">
              <w:rPr>
                <w:rStyle w:val="Bodytext295pt"/>
                <w:rFonts w:ascii="Sylfaen" w:hAnsi="Sylfaen"/>
                <w:spacing w:val="-6"/>
                <w:sz w:val="24"/>
                <w:szCs w:val="24"/>
              </w:rPr>
              <w:t>_____</w:t>
            </w:r>
          </w:p>
        </w:tc>
      </w:tr>
      <w:tr w:rsidR="008C76E0" w:rsidRPr="003B2786" w14:paraId="5C87C4BC" w14:textId="77777777" w:rsidTr="008C76E0">
        <w:trPr>
          <w:gridAfter w:val="1"/>
          <w:wAfter w:w="10" w:type="dxa"/>
          <w:jc w:val="center"/>
        </w:trPr>
        <w:tc>
          <w:tcPr>
            <w:tcW w:w="9571" w:type="dxa"/>
            <w:gridSpan w:val="4"/>
            <w:tcBorders>
              <w:top w:val="single" w:sz="4" w:space="0" w:color="auto"/>
              <w:left w:val="single" w:sz="4" w:space="0" w:color="auto"/>
              <w:right w:val="single" w:sz="4" w:space="0" w:color="auto"/>
            </w:tcBorders>
            <w:shd w:val="clear" w:color="auto" w:fill="FFFFFF"/>
            <w:vAlign w:val="bottom"/>
          </w:tcPr>
          <w:p w14:paraId="1E05B89B" w14:textId="77777777" w:rsidR="008C76E0" w:rsidRPr="003B2786" w:rsidRDefault="008C76E0" w:rsidP="00390DAC">
            <w:pPr>
              <w:pStyle w:val="Bodytext180"/>
              <w:shd w:val="clear" w:color="auto" w:fill="auto"/>
              <w:spacing w:before="0" w:after="160" w:line="360" w:lineRule="auto"/>
              <w:ind w:left="62" w:right="136" w:firstLine="0"/>
              <w:jc w:val="center"/>
              <w:rPr>
                <w:rFonts w:ascii="Sylfaen" w:hAnsi="Sylfaen"/>
                <w:b w:val="0"/>
                <w:sz w:val="24"/>
                <w:szCs w:val="24"/>
              </w:rPr>
            </w:pPr>
            <w:r w:rsidRPr="003B2786">
              <w:rPr>
                <w:rStyle w:val="Bodytext1811pt"/>
                <w:rFonts w:ascii="Sylfaen" w:hAnsi="Sylfaen"/>
                <w:sz w:val="24"/>
                <w:szCs w:val="24"/>
              </w:rPr>
              <w:t>Հարցաշարի հետ կապված կանոնները</w:t>
            </w:r>
          </w:p>
        </w:tc>
      </w:tr>
      <w:tr w:rsidR="008C76E0" w:rsidRPr="003B2786" w14:paraId="2F917239" w14:textId="77777777" w:rsidTr="008C76E0">
        <w:trPr>
          <w:gridAfter w:val="1"/>
          <w:wAfter w:w="10" w:type="dxa"/>
          <w:jc w:val="center"/>
        </w:trPr>
        <w:tc>
          <w:tcPr>
            <w:tcW w:w="9571" w:type="dxa"/>
            <w:gridSpan w:val="4"/>
            <w:tcBorders>
              <w:left w:val="single" w:sz="4" w:space="0" w:color="auto"/>
              <w:right w:val="single" w:sz="4" w:space="0" w:color="auto"/>
            </w:tcBorders>
            <w:shd w:val="clear" w:color="auto" w:fill="FFFFFF"/>
          </w:tcPr>
          <w:p w14:paraId="5F934380" w14:textId="77777777" w:rsidR="008C76E0" w:rsidRPr="008C76E0" w:rsidRDefault="008C76E0" w:rsidP="00390DAC">
            <w:pPr>
              <w:pStyle w:val="Bodytext180"/>
              <w:shd w:val="clear" w:color="auto" w:fill="auto"/>
              <w:spacing w:before="0" w:after="160" w:line="360" w:lineRule="auto"/>
              <w:ind w:left="62" w:right="136" w:firstLine="468"/>
              <w:jc w:val="both"/>
              <w:rPr>
                <w:rFonts w:ascii="Sylfaen" w:hAnsi="Sylfaen"/>
                <w:b w:val="0"/>
                <w:sz w:val="24"/>
                <w:szCs w:val="24"/>
                <w:lang w:val="hy-AM"/>
              </w:rPr>
            </w:pPr>
            <w:r w:rsidRPr="003B2786">
              <w:rPr>
                <w:rStyle w:val="Bodytext1811pt"/>
                <w:rFonts w:ascii="Sylfaen" w:hAnsi="Sylfaen"/>
                <w:sz w:val="24"/>
                <w:szCs w:val="24"/>
              </w:rPr>
              <w:t>Հարցաշարը գնահատելիս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յալ հանգամանքները.</w:t>
            </w:r>
          </w:p>
        </w:tc>
      </w:tr>
      <w:tr w:rsidR="008C76E0" w:rsidRPr="003B2786" w14:paraId="3E540379" w14:textId="77777777" w:rsidTr="008C76E0">
        <w:trPr>
          <w:gridAfter w:val="1"/>
          <w:wAfter w:w="10" w:type="dxa"/>
          <w:jc w:val="center"/>
        </w:trPr>
        <w:tc>
          <w:tcPr>
            <w:tcW w:w="9571" w:type="dxa"/>
            <w:gridSpan w:val="4"/>
            <w:tcBorders>
              <w:left w:val="single" w:sz="4" w:space="0" w:color="auto"/>
              <w:right w:val="single" w:sz="4" w:space="0" w:color="auto"/>
            </w:tcBorders>
            <w:shd w:val="clear" w:color="auto" w:fill="FFFFFF"/>
          </w:tcPr>
          <w:p w14:paraId="79D7BDAF"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t xml:space="preserve">արդյո՞ք հայտատուն ներկայացրել է անվտանգ կիրառման վերաբերյալ հիմնական տեղեկատվությունը, արդյո՞ք հարցերը ներառում են հիմնական տեղեկատվությունը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հետ</w:t>
            </w:r>
            <w:r w:rsidR="00C54D75">
              <w:rPr>
                <w:rStyle w:val="Bodytext1811pt"/>
                <w:rFonts w:ascii="Sylfaen" w:hAnsi="Sylfaen"/>
                <w:sz w:val="24"/>
                <w:szCs w:val="24"/>
              </w:rPr>
              <w:t>և</w:t>
            </w:r>
            <w:r w:rsidRPr="003B2786">
              <w:rPr>
                <w:rStyle w:val="Bodytext1811pt"/>
                <w:rFonts w:ascii="Sylfaen" w:hAnsi="Sylfaen"/>
                <w:sz w:val="24"/>
                <w:szCs w:val="24"/>
              </w:rPr>
              <w:t>յալ ասպեկտները. ներդիր թերթիկի վերաբերյալ ընդհանուր տպավորությունը,</w:t>
            </w:r>
          </w:p>
          <w:p w14:paraId="6494DFA1"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t xml:space="preserve">ԲԿՈՒ-ի (ՆԹ-ի) «ախտորոշիչ» մասը (այսինքն՝ ԲԿՈՒ-ի (ՆԹ-ի) յուրաքանչյուր մասում մասնակցի՝ որոշակի տեղեկատվություն արագ </w:t>
            </w:r>
            <w:r w:rsidR="00C54D75">
              <w:rPr>
                <w:rStyle w:val="Bodytext1811pt"/>
                <w:rFonts w:ascii="Sylfaen" w:hAnsi="Sylfaen"/>
                <w:sz w:val="24"/>
                <w:szCs w:val="24"/>
              </w:rPr>
              <w:t>և</w:t>
            </w:r>
            <w:r w:rsidRPr="003B2786">
              <w:rPr>
                <w:rStyle w:val="Bodytext1811pt"/>
                <w:rFonts w:ascii="Sylfaen" w:hAnsi="Sylfaen"/>
                <w:sz w:val="24"/>
                <w:szCs w:val="24"/>
              </w:rPr>
              <w:t xml:space="preserve"> հեշտ գտնելու կարողության,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այդ տեղեկատվությունը ճիշտ հասկանալու կարողության ստուգմանն ուղղված հարցեր. հարցաշարում հիմնական ուշադրությունը պետք է կենտրոնացնել դեղապատրաստուկի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ճիշտ կիրառման,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մասնակիցների կողմից անվտանգ կիրառումն ապահովելու վերաբերյալ տեղեկատվությունը հասկանալու վրա, այսինքն՝ պետք է ապահովել անվտանգության վերաբերյալ առանցքային հարցերի ուսումնասիրությունը),</w:t>
            </w:r>
          </w:p>
        </w:tc>
      </w:tr>
      <w:tr w:rsidR="008C76E0" w:rsidRPr="003B2786" w14:paraId="400762DD" w14:textId="77777777" w:rsidTr="008C76E0">
        <w:trPr>
          <w:gridAfter w:val="1"/>
          <w:wAfter w:w="10" w:type="dxa"/>
          <w:jc w:val="center"/>
        </w:trPr>
        <w:tc>
          <w:tcPr>
            <w:tcW w:w="9571" w:type="dxa"/>
            <w:gridSpan w:val="4"/>
            <w:tcBorders>
              <w:left w:val="single" w:sz="4" w:space="0" w:color="auto"/>
              <w:right w:val="single" w:sz="4" w:space="0" w:color="auto"/>
            </w:tcBorders>
            <w:shd w:val="clear" w:color="auto" w:fill="FFFFFF"/>
            <w:vAlign w:val="bottom"/>
          </w:tcPr>
          <w:p w14:paraId="38160695" w14:textId="77777777" w:rsidR="008C76E0" w:rsidRPr="008C76E0" w:rsidRDefault="008C76E0" w:rsidP="00390DAC">
            <w:pPr>
              <w:pStyle w:val="Bodytext180"/>
              <w:numPr>
                <w:ilvl w:val="0"/>
                <w:numId w:val="9"/>
              </w:numPr>
              <w:shd w:val="clear" w:color="auto" w:fill="auto"/>
              <w:spacing w:before="0" w:after="160" w:line="360" w:lineRule="auto"/>
              <w:ind w:left="62" w:right="136"/>
              <w:jc w:val="both"/>
              <w:rPr>
                <w:rFonts w:ascii="Sylfaen" w:hAnsi="Sylfaen"/>
                <w:b w:val="0"/>
                <w:sz w:val="24"/>
                <w:szCs w:val="24"/>
                <w:lang w:val="hy-AM"/>
              </w:rPr>
            </w:pPr>
            <w:r w:rsidRPr="003B2786">
              <w:rPr>
                <w:rStyle w:val="Bodytext1811pt"/>
                <w:rFonts w:ascii="Sylfaen" w:hAnsi="Sylfaen"/>
                <w:sz w:val="24"/>
                <w:szCs w:val="24"/>
              </w:rPr>
              <w:t xml:space="preserve">ԲԿՈՒ-ի (ՆԹ-ի) բովանդակային պլանը </w:t>
            </w:r>
            <w:r w:rsidR="00C54D75">
              <w:rPr>
                <w:rStyle w:val="Bodytext1811pt"/>
                <w:rFonts w:ascii="Sylfaen" w:hAnsi="Sylfaen"/>
                <w:sz w:val="24"/>
                <w:szCs w:val="24"/>
              </w:rPr>
              <w:t>և</w:t>
            </w:r>
            <w:r w:rsidRPr="003B2786">
              <w:rPr>
                <w:rStyle w:val="Bodytext1811pt"/>
                <w:rFonts w:ascii="Sylfaen" w:hAnsi="Sylfaen"/>
                <w:sz w:val="24"/>
                <w:szCs w:val="24"/>
              </w:rPr>
              <w:t xml:space="preserve"> մանրակերտը,</w:t>
            </w:r>
          </w:p>
        </w:tc>
      </w:tr>
      <w:tr w:rsidR="008C76E0" w:rsidRPr="003B2786" w14:paraId="21D7E889" w14:textId="77777777" w:rsidTr="008C76E0">
        <w:trPr>
          <w:gridAfter w:val="1"/>
          <w:wAfter w:w="10" w:type="dxa"/>
          <w:jc w:val="center"/>
        </w:trPr>
        <w:tc>
          <w:tcPr>
            <w:tcW w:w="9571" w:type="dxa"/>
            <w:gridSpan w:val="4"/>
            <w:tcBorders>
              <w:left w:val="single" w:sz="4" w:space="0" w:color="auto"/>
              <w:right w:val="single" w:sz="4" w:space="0" w:color="auto"/>
            </w:tcBorders>
            <w:shd w:val="clear" w:color="auto" w:fill="FFFFFF"/>
          </w:tcPr>
          <w:p w14:paraId="76687EDD"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t>արդյո՞ք հարցերի քանակը բավարար է, (չափազանց քիչ կամ չափազանց շատ, օրինակ՝ 12-15),</w:t>
            </w:r>
          </w:p>
        </w:tc>
      </w:tr>
      <w:tr w:rsidR="008C76E0" w:rsidRPr="003B2786" w14:paraId="794CAEE1" w14:textId="77777777" w:rsidTr="008C76E0">
        <w:trPr>
          <w:gridAfter w:val="1"/>
          <w:wAfter w:w="10" w:type="dxa"/>
          <w:jc w:val="center"/>
        </w:trPr>
        <w:tc>
          <w:tcPr>
            <w:tcW w:w="9571" w:type="dxa"/>
            <w:gridSpan w:val="4"/>
            <w:tcBorders>
              <w:left w:val="single" w:sz="4" w:space="0" w:color="auto"/>
              <w:right w:val="single" w:sz="4" w:space="0" w:color="auto"/>
            </w:tcBorders>
            <w:shd w:val="clear" w:color="auto" w:fill="FFFFFF"/>
            <w:vAlign w:val="bottom"/>
          </w:tcPr>
          <w:p w14:paraId="73009A2C"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t>արդյոք հարցերում դիտարկվում է «շարադրման» ասպեկտները, կարո՞ղ են արդյոք ռեսպոնդենտները հեշտությամբ հասկանալ իրենց ընթերցած տեքստը,</w:t>
            </w:r>
          </w:p>
          <w:p w14:paraId="792771FB"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t xml:space="preserve">արդյո՞ք հարցերը ենթադրում են ծավալուն կամ կանխորոշված պատասխան: Ռեսպոնդենտներին հարցում անելիս հարկ է խուսափել ակնհայտ պատասխաններով փակ հարցերից, որոնք մեծացնում են դրական արդյունքներ </w:t>
            </w:r>
            <w:r w:rsidRPr="003B2786">
              <w:rPr>
                <w:rStyle w:val="Bodytext1811pt"/>
                <w:rFonts w:ascii="Sylfaen" w:hAnsi="Sylfaen"/>
                <w:sz w:val="24"/>
                <w:szCs w:val="24"/>
              </w:rPr>
              <w:lastRenderedPageBreak/>
              <w:t xml:space="preserve">ստանալու հավանականությունը: Պացիենտների կողմից ԲԿՈՒ-ի (ՆԹ-ի) օգտագործումը ցուցադրելու համար անհրաժեշտ է </w:t>
            </w:r>
          </w:p>
        </w:tc>
      </w:tr>
      <w:tr w:rsidR="008C76E0" w:rsidRPr="003B2786" w14:paraId="14321CFE" w14:textId="77777777" w:rsidTr="008C76E0">
        <w:trPr>
          <w:gridAfter w:val="1"/>
          <w:wAfter w:w="10" w:type="dxa"/>
          <w:jc w:val="center"/>
        </w:trPr>
        <w:tc>
          <w:tcPr>
            <w:tcW w:w="9571" w:type="dxa"/>
            <w:gridSpan w:val="4"/>
            <w:tcBorders>
              <w:left w:val="single" w:sz="4" w:space="0" w:color="auto"/>
              <w:bottom w:val="single" w:sz="4" w:space="0" w:color="auto"/>
              <w:right w:val="single" w:sz="4" w:space="0" w:color="auto"/>
            </w:tcBorders>
            <w:shd w:val="clear" w:color="auto" w:fill="FFFFFF"/>
          </w:tcPr>
          <w:p w14:paraId="0DDDE1F5" w14:textId="77777777" w:rsidR="008C76E0" w:rsidRPr="008C76E0" w:rsidRDefault="008C76E0" w:rsidP="00390DAC">
            <w:pPr>
              <w:pStyle w:val="Bodytext180"/>
              <w:shd w:val="clear" w:color="auto" w:fill="auto"/>
              <w:spacing w:before="0" w:after="160" w:line="360" w:lineRule="auto"/>
              <w:ind w:left="62" w:right="136" w:firstLine="529"/>
              <w:jc w:val="both"/>
              <w:rPr>
                <w:rFonts w:ascii="Sylfaen" w:hAnsi="Sylfaen"/>
                <w:b w:val="0"/>
                <w:sz w:val="24"/>
                <w:szCs w:val="24"/>
                <w:lang w:val="hy-AM"/>
              </w:rPr>
            </w:pPr>
            <w:r w:rsidRPr="003B2786">
              <w:rPr>
                <w:rStyle w:val="Bodytext1811pt"/>
                <w:rFonts w:ascii="Sylfaen" w:hAnsi="Sylfaen"/>
                <w:sz w:val="24"/>
                <w:szCs w:val="24"/>
              </w:rPr>
              <w:lastRenderedPageBreak/>
              <w:t xml:space="preserve">օգտագործել բաց հարցեր, որոնք հուշող չեն </w:t>
            </w:r>
            <w:r w:rsidR="00C54D75">
              <w:rPr>
                <w:rStyle w:val="Bodytext1811pt"/>
                <w:rFonts w:ascii="Sylfaen" w:hAnsi="Sylfaen"/>
                <w:sz w:val="24"/>
                <w:szCs w:val="24"/>
              </w:rPr>
              <w:t>և</w:t>
            </w:r>
            <w:r w:rsidRPr="003B2786">
              <w:rPr>
                <w:rStyle w:val="Bodytext1811pt"/>
                <w:rFonts w:ascii="Sylfaen" w:hAnsi="Sylfaen"/>
                <w:sz w:val="24"/>
                <w:szCs w:val="24"/>
              </w:rPr>
              <w:t xml:space="preserve"> ունեն պատահական դասավորվածություն:  Հարկ է խուսափել ինքնագնահատման տարր ենթադրող հարցերից (օրինակ՝ «ըստ Ձեզ», «արդյո՞ք հասկանալի է X պարբերությունը»): Անհրաժեշտ է օգտագործել ծավալուն պատասխան պահանջող հարցեր (օրինակ՝ «որո՞նք են տվյալ դեղապատրաստուկը կիրառելիս կողմնակի ազդեցությունները»):</w:t>
            </w:r>
          </w:p>
        </w:tc>
      </w:tr>
      <w:tr w:rsidR="008C76E0" w:rsidRPr="003B2786" w14:paraId="459E72C1" w14:textId="77777777" w:rsidTr="008C76E0">
        <w:trPr>
          <w:gridAfter w:val="1"/>
          <w:wAfter w:w="10" w:type="dxa"/>
          <w:jc w:val="center"/>
        </w:trPr>
        <w:tc>
          <w:tcPr>
            <w:tcW w:w="9571" w:type="dxa"/>
            <w:gridSpan w:val="4"/>
            <w:tcBorders>
              <w:top w:val="single" w:sz="4" w:space="0" w:color="auto"/>
            </w:tcBorders>
            <w:shd w:val="clear" w:color="auto" w:fill="FFFFFF"/>
            <w:vAlign w:val="center"/>
          </w:tcPr>
          <w:p w14:paraId="618EFD76" w14:textId="77777777" w:rsidR="008C76E0" w:rsidRPr="003B2786" w:rsidRDefault="008C76E0" w:rsidP="00390DAC">
            <w:pPr>
              <w:pStyle w:val="Bodytext180"/>
              <w:shd w:val="clear" w:color="auto" w:fill="auto"/>
              <w:tabs>
                <w:tab w:val="left" w:pos="859"/>
              </w:tabs>
              <w:spacing w:before="0" w:after="160" w:line="360" w:lineRule="auto"/>
              <w:ind w:left="63" w:right="137" w:firstLine="0"/>
              <w:jc w:val="both"/>
              <w:rPr>
                <w:rFonts w:ascii="Sylfaen" w:hAnsi="Sylfaen"/>
                <w:b w:val="0"/>
                <w:i/>
                <w:sz w:val="24"/>
                <w:szCs w:val="24"/>
              </w:rPr>
            </w:pPr>
            <w:r w:rsidRPr="003B2786">
              <w:rPr>
                <w:rStyle w:val="Bodytext295pt"/>
                <w:rFonts w:ascii="Sylfaen" w:hAnsi="Sylfaen"/>
                <w:sz w:val="24"/>
                <w:szCs w:val="24"/>
              </w:rPr>
              <w:t>1.3.</w:t>
            </w:r>
            <w:r w:rsidRPr="003B2786">
              <w:rPr>
                <w:rStyle w:val="Bodytext295pt"/>
                <w:rFonts w:ascii="Sylfaen" w:hAnsi="Sylfaen"/>
                <w:sz w:val="24"/>
                <w:szCs w:val="24"/>
              </w:rPr>
              <w:tab/>
              <w:t>Ժամանակային ասպեկտները</w:t>
            </w:r>
          </w:p>
        </w:tc>
      </w:tr>
      <w:tr w:rsidR="008C76E0" w:rsidRPr="003B2786" w14:paraId="1C5ABDA3" w14:textId="77777777" w:rsidTr="008C76E0">
        <w:trPr>
          <w:gridAfter w:val="1"/>
          <w:wAfter w:w="10" w:type="dxa"/>
          <w:jc w:val="center"/>
        </w:trPr>
        <w:tc>
          <w:tcPr>
            <w:tcW w:w="7950" w:type="dxa"/>
            <w:gridSpan w:val="3"/>
            <w:shd w:val="clear" w:color="auto" w:fill="FFFFFF"/>
            <w:vAlign w:val="center"/>
          </w:tcPr>
          <w:p w14:paraId="6AA53C9D" w14:textId="77777777" w:rsidR="008C76E0" w:rsidRPr="008C76E0" w:rsidRDefault="008C76E0" w:rsidP="00390DAC">
            <w:pPr>
              <w:pStyle w:val="Bodytext180"/>
              <w:shd w:val="clear" w:color="auto" w:fill="auto"/>
              <w:spacing w:before="0" w:after="160" w:line="360" w:lineRule="auto"/>
              <w:ind w:left="63" w:right="137" w:firstLine="0"/>
              <w:jc w:val="both"/>
              <w:rPr>
                <w:rFonts w:ascii="Sylfaen" w:hAnsi="Sylfaen"/>
                <w:b w:val="0"/>
                <w:i/>
                <w:sz w:val="24"/>
                <w:szCs w:val="24"/>
                <w:lang w:val="hy-AM"/>
              </w:rPr>
            </w:pPr>
            <w:r w:rsidRPr="003B2786">
              <w:rPr>
                <w:rStyle w:val="Bodytext295pt"/>
                <w:rFonts w:ascii="Sylfaen" w:hAnsi="Sylfaen"/>
                <w:sz w:val="24"/>
                <w:szCs w:val="24"/>
              </w:rPr>
              <w:t>Արդյո՞ք հարցերին պատասխանելու համար տրված ժամանակն ընդունելի է: Արդյո՞ք հարցազրույցի տ</w:t>
            </w:r>
            <w:r w:rsidR="00C54D75">
              <w:rPr>
                <w:rStyle w:val="Bodytext295pt"/>
                <w:rFonts w:ascii="Sylfaen" w:hAnsi="Sylfaen"/>
                <w:sz w:val="24"/>
                <w:szCs w:val="24"/>
              </w:rPr>
              <w:t>և</w:t>
            </w:r>
            <w:r w:rsidRPr="003B2786">
              <w:rPr>
                <w:rStyle w:val="Bodytext295pt"/>
                <w:rFonts w:ascii="Sylfaen" w:hAnsi="Sylfaen"/>
                <w:sz w:val="24"/>
                <w:szCs w:val="24"/>
              </w:rPr>
              <w:t xml:space="preserve">ողությունն ընդունելի է: </w:t>
            </w:r>
          </w:p>
        </w:tc>
        <w:tc>
          <w:tcPr>
            <w:tcW w:w="1621" w:type="dxa"/>
            <w:shd w:val="clear" w:color="auto" w:fill="FFFFFF"/>
            <w:vAlign w:val="center"/>
          </w:tcPr>
          <w:p w14:paraId="60133F74" w14:textId="77777777" w:rsidR="008C76E0" w:rsidRPr="003B2786" w:rsidRDefault="008C76E0" w:rsidP="00390DAC">
            <w:pPr>
              <w:pStyle w:val="Bodytext180"/>
              <w:shd w:val="clear" w:color="auto" w:fill="auto"/>
              <w:spacing w:before="0" w:after="160" w:line="360" w:lineRule="auto"/>
              <w:ind w:left="63" w:right="137" w:firstLine="0"/>
              <w:jc w:val="both"/>
              <w:rPr>
                <w:rStyle w:val="Bodytext295pt"/>
                <w:rFonts w:ascii="Sylfaen" w:hAnsi="Sylfaen"/>
                <w:i/>
                <w:sz w:val="24"/>
                <w:szCs w:val="24"/>
              </w:rPr>
            </w:pPr>
            <w:r w:rsidRPr="003B2786">
              <w:rPr>
                <w:rStyle w:val="Bodytext295pt"/>
                <w:rFonts w:ascii="Sylfaen" w:hAnsi="Sylfaen"/>
                <w:sz w:val="24"/>
                <w:szCs w:val="24"/>
              </w:rPr>
              <w:t>□ այո □ ոչ</w:t>
            </w:r>
          </w:p>
          <w:p w14:paraId="5D763EF9" w14:textId="77777777" w:rsidR="008C76E0" w:rsidRPr="003B2786" w:rsidRDefault="008C76E0" w:rsidP="00390DAC">
            <w:pPr>
              <w:pStyle w:val="Bodytext180"/>
              <w:shd w:val="clear" w:color="auto" w:fill="auto"/>
              <w:spacing w:before="0" w:after="160" w:line="360" w:lineRule="auto"/>
              <w:ind w:left="63" w:right="137" w:firstLine="0"/>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3EDAB516" w14:textId="77777777" w:rsidTr="008C76E0">
        <w:trPr>
          <w:gridAfter w:val="1"/>
          <w:wAfter w:w="10" w:type="dxa"/>
          <w:jc w:val="center"/>
        </w:trPr>
        <w:tc>
          <w:tcPr>
            <w:tcW w:w="9571" w:type="dxa"/>
            <w:gridSpan w:val="4"/>
            <w:shd w:val="clear" w:color="auto" w:fill="FFFFFF"/>
            <w:vAlign w:val="bottom"/>
          </w:tcPr>
          <w:p w14:paraId="6029CE42" w14:textId="77777777" w:rsidR="008C76E0" w:rsidRPr="003B2786" w:rsidRDefault="008C76E0" w:rsidP="00390DAC">
            <w:pPr>
              <w:pStyle w:val="Bodytext180"/>
              <w:shd w:val="clear" w:color="auto" w:fill="auto"/>
              <w:spacing w:before="0" w:after="160" w:line="360" w:lineRule="auto"/>
              <w:ind w:left="63" w:right="137" w:firstLine="0"/>
              <w:jc w:val="both"/>
              <w:rPr>
                <w:rFonts w:ascii="Sylfaen" w:hAnsi="Sylfaen"/>
                <w:b w:val="0"/>
                <w:i/>
                <w:spacing w:val="-6"/>
                <w:sz w:val="24"/>
                <w:szCs w:val="24"/>
              </w:rPr>
            </w:pPr>
            <w:r w:rsidRPr="003B2786">
              <w:rPr>
                <w:rStyle w:val="Bodytext295pt"/>
                <w:rFonts w:ascii="Sylfaen" w:hAnsi="Sylfaen"/>
                <w:spacing w:val="-6"/>
                <w:sz w:val="24"/>
                <w:szCs w:val="24"/>
              </w:rPr>
              <w:t>Մեկնաբանություններ (լրացուցիչ տեղեկատվություն) ________________________________</w:t>
            </w:r>
          </w:p>
        </w:tc>
      </w:tr>
    </w:tbl>
    <w:p w14:paraId="6761D12D" w14:textId="77777777" w:rsidR="008C76E0" w:rsidRPr="003B2786" w:rsidRDefault="008C76E0" w:rsidP="00390DAC">
      <w:pPr>
        <w:spacing w:after="160" w:line="360" w:lineRule="auto"/>
        <w:ind w:right="-1"/>
        <w:jc w:val="both"/>
        <w:rPr>
          <w:rFonts w:ascii="Sylfaen" w:hAnsi="Sylfaen"/>
          <w:sz w:val="24"/>
          <w:szCs w:val="24"/>
        </w:rPr>
      </w:pPr>
    </w:p>
    <w:tbl>
      <w:tblPr>
        <w:tblW w:w="9621" w:type="dxa"/>
        <w:tblInd w:w="-176" w:type="dxa"/>
        <w:tblLook w:val="04A0" w:firstRow="1" w:lastRow="0" w:firstColumn="1" w:lastColumn="0" w:noHBand="0" w:noVBand="1"/>
      </w:tblPr>
      <w:tblGrid>
        <w:gridCol w:w="9621"/>
      </w:tblGrid>
      <w:tr w:rsidR="008C76E0" w:rsidRPr="003B2786" w14:paraId="36D78C3C" w14:textId="77777777" w:rsidTr="008C76E0">
        <w:tc>
          <w:tcPr>
            <w:tcW w:w="9621" w:type="dxa"/>
            <w:tcBorders>
              <w:top w:val="single" w:sz="4" w:space="0" w:color="auto"/>
              <w:left w:val="single" w:sz="4" w:space="0" w:color="auto"/>
              <w:bottom w:val="single" w:sz="4" w:space="0" w:color="auto"/>
              <w:right w:val="single" w:sz="4" w:space="0" w:color="auto"/>
            </w:tcBorders>
          </w:tcPr>
          <w:p w14:paraId="2EA2906D" w14:textId="77777777" w:rsidR="008C76E0" w:rsidRPr="008C76E0" w:rsidRDefault="008C76E0" w:rsidP="00390DAC">
            <w:pPr>
              <w:pStyle w:val="Bodytext80"/>
              <w:shd w:val="clear" w:color="auto" w:fill="auto"/>
              <w:spacing w:before="0" w:after="160" w:line="360" w:lineRule="auto"/>
              <w:rPr>
                <w:rFonts w:ascii="Sylfaen" w:hAnsi="Sylfaen"/>
                <w:b w:val="0"/>
                <w:sz w:val="24"/>
                <w:szCs w:val="24"/>
                <w:lang w:val="hy-AM"/>
              </w:rPr>
            </w:pPr>
            <w:r w:rsidRPr="008C76E0">
              <w:rPr>
                <w:rFonts w:ascii="Sylfaen" w:hAnsi="Sylfaen"/>
                <w:b w:val="0"/>
                <w:sz w:val="24"/>
                <w:szCs w:val="24"/>
                <w:lang w:val="hy-AM"/>
              </w:rPr>
              <w:t>Ժամանակային ասպեկտների հետ կապված կանոնները</w:t>
            </w:r>
          </w:p>
          <w:p w14:paraId="2D8B80B6" w14:textId="77777777" w:rsidR="008C76E0" w:rsidRPr="008C76E0" w:rsidRDefault="008C76E0" w:rsidP="00390DAC">
            <w:pPr>
              <w:pStyle w:val="Bodytext80"/>
              <w:shd w:val="clear" w:color="auto" w:fill="auto"/>
              <w:spacing w:before="0" w:after="160" w:line="360" w:lineRule="auto"/>
              <w:ind w:firstLine="708"/>
              <w:jc w:val="both"/>
              <w:rPr>
                <w:rFonts w:ascii="Sylfaen" w:hAnsi="Sylfaen"/>
                <w:b w:val="0"/>
                <w:sz w:val="24"/>
                <w:szCs w:val="24"/>
                <w:lang w:val="hy-AM"/>
              </w:rPr>
            </w:pPr>
            <w:r w:rsidRPr="008C76E0">
              <w:rPr>
                <w:rFonts w:ascii="Sylfaen" w:hAnsi="Sylfaen"/>
                <w:b w:val="0"/>
                <w:sz w:val="24"/>
                <w:szCs w:val="24"/>
                <w:lang w:val="hy-AM"/>
              </w:rPr>
              <w:t>Ժամանակային ասպեկտները գնահատելիս անհրաժեշտ է հաշվի առնել հետ</w:t>
            </w:r>
            <w:r w:rsidR="00C54D75">
              <w:rPr>
                <w:rFonts w:ascii="Sylfaen" w:hAnsi="Sylfaen"/>
                <w:b w:val="0"/>
                <w:sz w:val="24"/>
                <w:szCs w:val="24"/>
                <w:lang w:val="hy-AM"/>
              </w:rPr>
              <w:t>և</w:t>
            </w:r>
            <w:r w:rsidRPr="008C76E0">
              <w:rPr>
                <w:rFonts w:ascii="Sylfaen" w:hAnsi="Sylfaen"/>
                <w:b w:val="0"/>
                <w:sz w:val="24"/>
                <w:szCs w:val="24"/>
                <w:lang w:val="hy-AM"/>
              </w:rPr>
              <w:t xml:space="preserve">յալ հանգամանքները. </w:t>
            </w:r>
          </w:p>
          <w:p w14:paraId="5BD59B29" w14:textId="77777777" w:rsidR="008C76E0" w:rsidRPr="008C76E0" w:rsidRDefault="008C76E0" w:rsidP="00390DAC">
            <w:pPr>
              <w:pStyle w:val="Bodytext80"/>
              <w:shd w:val="clear" w:color="auto" w:fill="auto"/>
              <w:spacing w:before="0" w:after="160" w:line="360" w:lineRule="auto"/>
              <w:ind w:firstLine="708"/>
              <w:jc w:val="both"/>
              <w:rPr>
                <w:rFonts w:ascii="Sylfaen" w:hAnsi="Sylfaen"/>
                <w:i/>
                <w:sz w:val="24"/>
                <w:szCs w:val="24"/>
                <w:lang w:val="hy-AM"/>
              </w:rPr>
            </w:pPr>
            <w:r w:rsidRPr="003B2786">
              <w:rPr>
                <w:rStyle w:val="Bodytext295pt"/>
                <w:rFonts w:ascii="Sylfaen" w:hAnsi="Sylfaen"/>
                <w:i/>
                <w:sz w:val="24"/>
                <w:szCs w:val="24"/>
              </w:rPr>
              <w:t>արդյո՞ք պարզ է, որքա՞ն է տ</w:t>
            </w:r>
            <w:r w:rsidR="00C54D75">
              <w:rPr>
                <w:rStyle w:val="Bodytext295pt"/>
                <w:rFonts w:ascii="Sylfaen" w:hAnsi="Sylfaen"/>
                <w:i/>
                <w:sz w:val="24"/>
                <w:szCs w:val="24"/>
              </w:rPr>
              <w:t>և</w:t>
            </w:r>
            <w:r w:rsidRPr="003B2786">
              <w:rPr>
                <w:rStyle w:val="Bodytext295pt"/>
                <w:rFonts w:ascii="Sylfaen" w:hAnsi="Sylfaen"/>
                <w:i/>
                <w:sz w:val="24"/>
                <w:szCs w:val="24"/>
              </w:rPr>
              <w:t>ել թեստը,</w:t>
            </w:r>
          </w:p>
          <w:p w14:paraId="2CAE53F4" w14:textId="77777777" w:rsidR="008C76E0" w:rsidRPr="008C76E0" w:rsidRDefault="008C76E0" w:rsidP="00390DAC">
            <w:pPr>
              <w:pStyle w:val="Bodytext90"/>
              <w:shd w:val="clear" w:color="auto" w:fill="auto"/>
              <w:spacing w:after="160" w:line="360" w:lineRule="auto"/>
              <w:ind w:firstLine="708"/>
              <w:rPr>
                <w:rFonts w:ascii="Sylfaen" w:hAnsi="Sylfaen"/>
                <w:sz w:val="24"/>
                <w:szCs w:val="24"/>
                <w:lang w:val="hy-AM"/>
              </w:rPr>
            </w:pPr>
            <w:r w:rsidRPr="008C76E0">
              <w:rPr>
                <w:rFonts w:ascii="Sylfaen" w:hAnsi="Sylfaen"/>
                <w:b w:val="0"/>
                <w:sz w:val="24"/>
                <w:szCs w:val="24"/>
                <w:lang w:val="hy-AM"/>
              </w:rPr>
              <w:t>արդյո՞ք հարցերին պատասխանելու համար ռեսպոնդենտներին տրված ժամանակը համապատասխան է: Որքա՞ն է տ</w:t>
            </w:r>
            <w:r w:rsidR="00C54D75">
              <w:rPr>
                <w:rFonts w:ascii="Sylfaen" w:hAnsi="Sylfaen"/>
                <w:b w:val="0"/>
                <w:sz w:val="24"/>
                <w:szCs w:val="24"/>
                <w:lang w:val="hy-AM"/>
              </w:rPr>
              <w:t>և</w:t>
            </w:r>
            <w:r w:rsidRPr="008C76E0">
              <w:rPr>
                <w:rFonts w:ascii="Sylfaen" w:hAnsi="Sylfaen"/>
                <w:b w:val="0"/>
                <w:sz w:val="24"/>
                <w:szCs w:val="24"/>
                <w:lang w:val="hy-AM"/>
              </w:rPr>
              <w:t>ել հարցազրույցը: [Մասնակիցներին հոգնեցնելուց խուսափելու համար անհրաժեշտ է թեստը մշակել այնպես, որ նրա տ</w:t>
            </w:r>
            <w:r w:rsidR="00C54D75">
              <w:rPr>
                <w:rFonts w:ascii="Sylfaen" w:hAnsi="Sylfaen"/>
                <w:b w:val="0"/>
                <w:sz w:val="24"/>
                <w:szCs w:val="24"/>
                <w:lang w:val="hy-AM"/>
              </w:rPr>
              <w:t>և</w:t>
            </w:r>
            <w:r w:rsidRPr="008C76E0">
              <w:rPr>
                <w:rFonts w:ascii="Sylfaen" w:hAnsi="Sylfaen"/>
                <w:b w:val="0"/>
                <w:sz w:val="24"/>
                <w:szCs w:val="24"/>
                <w:lang w:val="hy-AM"/>
              </w:rPr>
              <w:t>ողությունը չգերազանցի 45 րոպեն:]</w:t>
            </w:r>
          </w:p>
        </w:tc>
      </w:tr>
    </w:tbl>
    <w:p w14:paraId="062BB669" w14:textId="77777777" w:rsidR="008C76E0" w:rsidRPr="003B2786" w:rsidRDefault="008C76E0" w:rsidP="00390DAC">
      <w:pPr>
        <w:tabs>
          <w:tab w:val="left" w:pos="1134"/>
          <w:tab w:val="left" w:pos="4906"/>
        </w:tabs>
        <w:spacing w:after="160" w:line="360" w:lineRule="auto"/>
        <w:ind w:right="-1" w:firstLine="567"/>
        <w:jc w:val="both"/>
        <w:outlineLvl w:val="0"/>
        <w:rPr>
          <w:rFonts w:ascii="Sylfaen" w:hAnsi="Sylfaen"/>
          <w:sz w:val="24"/>
          <w:szCs w:val="24"/>
        </w:rPr>
      </w:pPr>
      <w:r w:rsidRPr="003B2786">
        <w:rPr>
          <w:rFonts w:ascii="Sylfaen" w:hAnsi="Sylfaen"/>
          <w:sz w:val="24"/>
          <w:szCs w:val="24"/>
        </w:rPr>
        <w:t>1.4.</w:t>
      </w:r>
      <w:r w:rsidRPr="003B2786">
        <w:rPr>
          <w:rFonts w:ascii="Sylfaen" w:hAnsi="Sylfaen"/>
          <w:sz w:val="24"/>
          <w:szCs w:val="24"/>
        </w:rPr>
        <w:tab/>
        <w:t>Պրոցեդուրային ասպեկտները</w:t>
      </w:r>
      <w:r>
        <w:rPr>
          <w:rFonts w:ascii="Sylfaen" w:hAnsi="Sylfaen"/>
          <w:sz w:val="24"/>
          <w:szCs w:val="24"/>
        </w:rPr>
        <w:tab/>
      </w:r>
    </w:p>
    <w:p w14:paraId="5601A11A" w14:textId="77777777" w:rsidR="008C76E0" w:rsidRPr="003B2786" w:rsidRDefault="008C76E0" w:rsidP="00390DAC">
      <w:pPr>
        <w:tabs>
          <w:tab w:val="left" w:pos="1134"/>
        </w:tabs>
        <w:spacing w:after="160" w:line="360" w:lineRule="auto"/>
        <w:ind w:right="-1" w:firstLine="567"/>
        <w:jc w:val="both"/>
        <w:rPr>
          <w:rFonts w:ascii="Sylfaen" w:hAnsi="Sylfaen"/>
          <w:spacing w:val="-8"/>
          <w:sz w:val="24"/>
          <w:szCs w:val="24"/>
        </w:rPr>
      </w:pPr>
      <w:r w:rsidRPr="003B2786">
        <w:rPr>
          <w:rFonts w:ascii="Sylfaen" w:hAnsi="Sylfaen"/>
          <w:spacing w:val="-8"/>
          <w:sz w:val="24"/>
          <w:szCs w:val="24"/>
        </w:rPr>
        <w:t>Թեստավորման փուլերը, ներառյալ՝ փորձնական փուլը</w:t>
      </w:r>
      <w:r>
        <w:rPr>
          <w:rFonts w:ascii="Sylfaen" w:hAnsi="Sylfaen"/>
          <w:spacing w:val="-8"/>
          <w:sz w:val="24"/>
          <w:szCs w:val="24"/>
        </w:rPr>
        <w:t xml:space="preserve"> _______</w:t>
      </w:r>
      <w:r w:rsidRPr="003B2786">
        <w:rPr>
          <w:rFonts w:ascii="Sylfaen" w:hAnsi="Sylfaen"/>
          <w:spacing w:val="-8"/>
          <w:sz w:val="24"/>
          <w:szCs w:val="24"/>
        </w:rPr>
        <w:t>_______________</w:t>
      </w:r>
    </w:p>
    <w:p w14:paraId="178E3CD0" w14:textId="77777777" w:rsidR="008C76E0" w:rsidRPr="003B2786" w:rsidRDefault="008C76E0" w:rsidP="00390DAC">
      <w:pPr>
        <w:spacing w:after="160" w:line="360" w:lineRule="auto"/>
        <w:ind w:right="-1" w:firstLine="567"/>
        <w:jc w:val="both"/>
        <w:rPr>
          <w:rFonts w:ascii="Sylfaen" w:hAnsi="Sylfaen"/>
          <w:spacing w:val="-8"/>
          <w:sz w:val="24"/>
          <w:szCs w:val="24"/>
        </w:rPr>
      </w:pPr>
      <w:r w:rsidRPr="003B2786">
        <w:rPr>
          <w:rFonts w:ascii="Sylfaen" w:hAnsi="Sylfaen"/>
          <w:spacing w:val="-8"/>
          <w:sz w:val="24"/>
          <w:szCs w:val="24"/>
        </w:rPr>
        <w:t>Մեկնաբանություններ (լրացուցիչ տեղեկատվություն</w:t>
      </w:r>
      <w:r>
        <w:rPr>
          <w:rFonts w:ascii="Sylfaen" w:hAnsi="Sylfaen"/>
          <w:spacing w:val="-8"/>
          <w:sz w:val="24"/>
          <w:szCs w:val="24"/>
        </w:rPr>
        <w:t>) _</w:t>
      </w:r>
      <w:r w:rsidRPr="003B2786">
        <w:rPr>
          <w:rFonts w:ascii="Sylfaen" w:hAnsi="Sylfaen"/>
          <w:spacing w:val="-8"/>
          <w:sz w:val="24"/>
          <w:szCs w:val="24"/>
        </w:rPr>
        <w:t>____________________</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6"/>
      </w:tblGrid>
      <w:tr w:rsidR="008C76E0" w:rsidRPr="003B2786" w14:paraId="102360DC" w14:textId="77777777" w:rsidTr="005C0EAA">
        <w:tc>
          <w:tcPr>
            <w:tcW w:w="9286" w:type="dxa"/>
          </w:tcPr>
          <w:p w14:paraId="46BFAD49" w14:textId="77777777" w:rsidR="008C76E0" w:rsidRPr="003B2786" w:rsidRDefault="008C76E0" w:rsidP="00390DAC">
            <w:pPr>
              <w:pStyle w:val="Bodytext90"/>
              <w:shd w:val="clear" w:color="auto" w:fill="auto"/>
              <w:spacing w:after="160" w:line="360" w:lineRule="auto"/>
              <w:jc w:val="center"/>
              <w:rPr>
                <w:rStyle w:val="Bodytext295pt"/>
                <w:rFonts w:ascii="Sylfaen" w:hAnsi="Sylfaen"/>
                <w:sz w:val="24"/>
                <w:szCs w:val="24"/>
              </w:rPr>
            </w:pPr>
            <w:r w:rsidRPr="003B2786">
              <w:rPr>
                <w:rStyle w:val="Bodytext295pt"/>
                <w:rFonts w:ascii="Sylfaen" w:hAnsi="Sylfaen"/>
                <w:sz w:val="24"/>
                <w:szCs w:val="24"/>
              </w:rPr>
              <w:t>Պրոցեդուրային ասպեկտների հետ կապված կանոնները</w:t>
            </w:r>
          </w:p>
          <w:p w14:paraId="4267AC6D" w14:textId="77777777" w:rsidR="008C76E0" w:rsidRPr="003B2786" w:rsidRDefault="008C76E0" w:rsidP="00390DAC">
            <w:pPr>
              <w:pStyle w:val="Bodytext90"/>
              <w:shd w:val="clear" w:color="auto" w:fill="auto"/>
              <w:spacing w:after="160" w:line="360" w:lineRule="auto"/>
              <w:ind w:firstLine="567"/>
              <w:rPr>
                <w:rStyle w:val="Bodytext295pt"/>
                <w:rFonts w:ascii="Sylfaen" w:hAnsi="Sylfaen"/>
                <w:sz w:val="24"/>
                <w:szCs w:val="24"/>
              </w:rPr>
            </w:pPr>
            <w:r w:rsidRPr="003B2786">
              <w:rPr>
                <w:rStyle w:val="Bodytext295pt"/>
                <w:rFonts w:ascii="Sylfaen" w:hAnsi="Sylfaen"/>
                <w:sz w:val="24"/>
                <w:szCs w:val="24"/>
              </w:rPr>
              <w:lastRenderedPageBreak/>
              <w:t>Պրոցեդուրային ասպեկտները գնահատելիս անհրաժեշտ է հաշվի առնել հետ</w:t>
            </w:r>
            <w:r w:rsidR="00C54D75">
              <w:rPr>
                <w:rStyle w:val="Bodytext295pt"/>
                <w:rFonts w:ascii="Sylfaen" w:hAnsi="Sylfaen"/>
                <w:sz w:val="24"/>
                <w:szCs w:val="24"/>
              </w:rPr>
              <w:t>և</w:t>
            </w:r>
            <w:r w:rsidRPr="003B2786">
              <w:rPr>
                <w:rStyle w:val="Bodytext295pt"/>
                <w:rFonts w:ascii="Sylfaen" w:hAnsi="Sylfaen"/>
                <w:sz w:val="24"/>
                <w:szCs w:val="24"/>
              </w:rPr>
              <w:t xml:space="preserve">յալ հանգամանքները. </w:t>
            </w:r>
          </w:p>
          <w:p w14:paraId="1E4EA273" w14:textId="77777777" w:rsidR="008C76E0" w:rsidRPr="008C76E0" w:rsidRDefault="008C76E0" w:rsidP="00390DAC">
            <w:pPr>
              <w:pStyle w:val="Bodytext90"/>
              <w:shd w:val="clear" w:color="auto" w:fill="auto"/>
              <w:spacing w:after="160" w:line="360" w:lineRule="auto"/>
              <w:ind w:firstLine="567"/>
              <w:rPr>
                <w:rFonts w:ascii="Sylfaen" w:hAnsi="Sylfaen"/>
                <w:b w:val="0"/>
                <w:sz w:val="24"/>
                <w:szCs w:val="24"/>
                <w:lang w:val="hy-AM"/>
              </w:rPr>
            </w:pPr>
            <w:r w:rsidRPr="008C76E0">
              <w:rPr>
                <w:rFonts w:ascii="Sylfaen" w:hAnsi="Sylfaen"/>
                <w:b w:val="0"/>
                <w:sz w:val="24"/>
                <w:szCs w:val="24"/>
                <w:lang w:val="hy-AM"/>
              </w:rPr>
              <w:t xml:space="preserve">արդյո՞ք թեստը բաղկացած է տարբեր փուլերից: (Անհրաժեշտ է նվազագույնը երկու փուլ՝ յուրաքանչյուրում 10 անձի մասնակցությամբ, քանի որ սա ինտերակտիվ գործընթաց է, հաջողության հասնելու չափանիշները կատարելու համար հնարավոր է պահանջվի անցկացնել ավելի շատ փուլեր, նախապես կարելի է անցկացնել փորձնական թեստ (3-6 անձի մասնակցությամբ)՝ համոզվելու համար, որ հարցերը հասկանալի են, </w:t>
            </w:r>
            <w:r w:rsidR="00C54D75">
              <w:rPr>
                <w:rFonts w:ascii="Sylfaen" w:hAnsi="Sylfaen"/>
                <w:b w:val="0"/>
                <w:sz w:val="24"/>
                <w:szCs w:val="24"/>
                <w:lang w:val="hy-AM"/>
              </w:rPr>
              <w:t>և</w:t>
            </w:r>
            <w:r w:rsidRPr="008C76E0">
              <w:rPr>
                <w:rFonts w:ascii="Sylfaen" w:hAnsi="Sylfaen"/>
                <w:b w:val="0"/>
                <w:sz w:val="24"/>
                <w:szCs w:val="24"/>
                <w:lang w:val="hy-AM"/>
              </w:rPr>
              <w:t xml:space="preserve"> մինչ</w:t>
            </w:r>
            <w:r w:rsidR="00C54D75">
              <w:rPr>
                <w:rFonts w:ascii="Sylfaen" w:hAnsi="Sylfaen"/>
                <w:b w:val="0"/>
                <w:sz w:val="24"/>
                <w:szCs w:val="24"/>
                <w:lang w:val="hy-AM"/>
              </w:rPr>
              <w:t>և</w:t>
            </w:r>
            <w:r w:rsidRPr="008C76E0">
              <w:rPr>
                <w:rFonts w:ascii="Sylfaen" w:hAnsi="Sylfaen"/>
                <w:b w:val="0"/>
                <w:sz w:val="24"/>
                <w:szCs w:val="24"/>
                <w:lang w:val="hy-AM"/>
              </w:rPr>
              <w:t xml:space="preserve"> թեստավորման սկիզբը վերացվել են հիմնական անհամապատասխանությունները: ԲԿՈՒ-ում (ՆԹ-ում) փոփոխություններ կատարելուց հետո անհրաժեշտ է փորձարկել 10 անձի մասնակցությամբ: Սակայն առանձին դեպքերում թեստավորման մեկ փուլը նույնպես կարող է համարվել բավարար </w:t>
            </w:r>
            <w:r w:rsidR="00C54D75">
              <w:rPr>
                <w:rFonts w:ascii="Sylfaen" w:hAnsi="Sylfaen"/>
                <w:b w:val="0"/>
                <w:sz w:val="24"/>
                <w:szCs w:val="24"/>
                <w:lang w:val="hy-AM"/>
              </w:rPr>
              <w:t>և</w:t>
            </w:r>
            <w:r w:rsidRPr="008C76E0">
              <w:rPr>
                <w:rFonts w:ascii="Sylfaen" w:hAnsi="Sylfaen"/>
                <w:b w:val="0"/>
                <w:sz w:val="24"/>
                <w:szCs w:val="24"/>
                <w:lang w:val="hy-AM"/>
              </w:rPr>
              <w:t xml:space="preserve"> ընդունելի):</w:t>
            </w:r>
          </w:p>
          <w:p w14:paraId="49BAC8E1" w14:textId="77777777" w:rsidR="008C76E0" w:rsidRPr="008C76E0" w:rsidRDefault="008C76E0" w:rsidP="00390DAC">
            <w:pPr>
              <w:pStyle w:val="Bodytext80"/>
              <w:shd w:val="clear" w:color="auto" w:fill="auto"/>
              <w:spacing w:before="0" w:after="160" w:line="360" w:lineRule="auto"/>
              <w:ind w:firstLine="567"/>
              <w:jc w:val="both"/>
              <w:rPr>
                <w:rFonts w:ascii="Sylfaen" w:hAnsi="Sylfaen"/>
                <w:b w:val="0"/>
                <w:sz w:val="24"/>
                <w:szCs w:val="24"/>
                <w:u w:val="single"/>
                <w:lang w:val="hy-AM"/>
              </w:rPr>
            </w:pPr>
            <w:r w:rsidRPr="008C76E0">
              <w:rPr>
                <w:rFonts w:ascii="Sylfaen" w:hAnsi="Sylfaen"/>
                <w:b w:val="0"/>
                <w:sz w:val="24"/>
                <w:szCs w:val="24"/>
                <w:u w:val="single"/>
                <w:lang w:val="hy-AM"/>
              </w:rPr>
              <w:t xml:space="preserve">Վերը նկարագրված մեթոդի համար թեստավորման բավարար արդյունք է այն իրավիճակը, երբ գրագետ չափահաս մարդկանց 90 </w:t>
            </w:r>
            <w:r w:rsidRPr="003B2786">
              <w:rPr>
                <w:rStyle w:val="Bodytext295pt"/>
                <w:rFonts w:ascii="Sylfaen" w:hAnsi="Sylfaen"/>
                <w:sz w:val="24"/>
                <w:szCs w:val="24"/>
                <w:u w:val="single"/>
              </w:rPr>
              <w:t>%-ը</w:t>
            </w:r>
            <w:r w:rsidRPr="008C76E0">
              <w:rPr>
                <w:rFonts w:ascii="Sylfaen" w:hAnsi="Sylfaen"/>
                <w:b w:val="0"/>
                <w:sz w:val="24"/>
                <w:szCs w:val="24"/>
                <w:u w:val="single"/>
                <w:lang w:val="hy-AM"/>
              </w:rPr>
              <w:t xml:space="preserve"> կարող են ԲԿՈՒ-ում (ՆԹ-ում) գտնել պահանջված տեղեկատվությունը, ընդ որում, նրանց 90 </w:t>
            </w:r>
            <w:r w:rsidRPr="003B2786">
              <w:rPr>
                <w:rStyle w:val="Bodytext295pt"/>
                <w:rFonts w:ascii="Sylfaen" w:hAnsi="Sylfaen"/>
                <w:sz w:val="24"/>
                <w:szCs w:val="24"/>
                <w:u w:val="single"/>
              </w:rPr>
              <w:t>%-ը</w:t>
            </w:r>
            <w:r w:rsidRPr="008C76E0">
              <w:rPr>
                <w:rFonts w:ascii="Sylfaen" w:hAnsi="Sylfaen"/>
                <w:b w:val="0"/>
                <w:sz w:val="24"/>
                <w:szCs w:val="24"/>
                <w:u w:val="single"/>
                <w:lang w:val="hy-AM"/>
              </w:rPr>
              <w:t xml:space="preserve">  կարող է ցուցաբերել այդ տեղեկատվությունը հասկանալու կարողություն, այսինքն՝ մասնակիցների առնվազն 81 %-ը յուրաքանչյուր հարցին տալիս է ճիշտ պատասխան.</w:t>
            </w:r>
          </w:p>
          <w:p w14:paraId="1DB934EF" w14:textId="77777777" w:rsidR="008C76E0" w:rsidRPr="008C76E0" w:rsidRDefault="008C76E0" w:rsidP="00390DAC">
            <w:pPr>
              <w:pStyle w:val="Bodytext90"/>
              <w:shd w:val="clear" w:color="auto" w:fill="auto"/>
              <w:spacing w:after="160" w:line="360" w:lineRule="auto"/>
              <w:ind w:firstLine="567"/>
              <w:rPr>
                <w:rFonts w:ascii="Sylfaen" w:hAnsi="Sylfaen"/>
                <w:b w:val="0"/>
                <w:sz w:val="24"/>
                <w:szCs w:val="24"/>
                <w:lang w:val="hy-AM"/>
              </w:rPr>
            </w:pPr>
            <w:r w:rsidRPr="008C76E0">
              <w:rPr>
                <w:rFonts w:ascii="Sylfaen" w:hAnsi="Sylfaen"/>
                <w:b w:val="0"/>
                <w:sz w:val="24"/>
                <w:szCs w:val="24"/>
                <w:lang w:val="hy-AM"/>
              </w:rPr>
              <w:t>առավելագույն մակարդակի ընթեռնելիություն ապահովելու համար թեստավորման փուլերի միջ</w:t>
            </w:r>
            <w:r w:rsidR="00C54D75">
              <w:rPr>
                <w:rFonts w:ascii="Sylfaen" w:hAnsi="Sylfaen"/>
                <w:b w:val="0"/>
                <w:sz w:val="24"/>
                <w:szCs w:val="24"/>
                <w:lang w:val="hy-AM"/>
              </w:rPr>
              <w:t>և</w:t>
            </w:r>
            <w:r w:rsidRPr="008C76E0">
              <w:rPr>
                <w:rFonts w:ascii="Sylfaen" w:hAnsi="Sylfaen"/>
                <w:b w:val="0"/>
                <w:sz w:val="24"/>
                <w:szCs w:val="24"/>
                <w:lang w:val="hy-AM"/>
              </w:rPr>
              <w:t xml:space="preserve"> ընկած ժամանակահատվածում արդյո՞ք օգտագործվում են փոփոխություններ կատարելու փուլեր.</w:t>
            </w:r>
          </w:p>
          <w:p w14:paraId="65307C74" w14:textId="77777777" w:rsidR="008C76E0" w:rsidRPr="008C76E0" w:rsidRDefault="008C76E0" w:rsidP="00390DAC">
            <w:pPr>
              <w:pStyle w:val="Bodytext90"/>
              <w:shd w:val="clear" w:color="auto" w:fill="auto"/>
              <w:spacing w:after="160" w:line="360" w:lineRule="auto"/>
              <w:ind w:firstLine="567"/>
              <w:rPr>
                <w:rFonts w:ascii="Sylfaen" w:hAnsi="Sylfaen"/>
                <w:b w:val="0"/>
                <w:sz w:val="24"/>
                <w:szCs w:val="24"/>
                <w:lang w:val="hy-AM"/>
              </w:rPr>
            </w:pPr>
            <w:r w:rsidRPr="008C76E0">
              <w:rPr>
                <w:rFonts w:ascii="Sylfaen" w:hAnsi="Sylfaen"/>
                <w:b w:val="0"/>
                <w:sz w:val="24"/>
                <w:szCs w:val="24"/>
                <w:lang w:val="hy-AM"/>
              </w:rPr>
              <w:t>հարցազրուցավարներն արդյո՞ք օգտագործում են սցենարներ կամ անմիջական ցուցադրություն (օրինակ՝ թեստավորման արդյունավետությունը բարձրացնելու համար՝ նպատակահարմար լինելու դեպքում):</w:t>
            </w:r>
          </w:p>
        </w:tc>
      </w:tr>
    </w:tbl>
    <w:p w14:paraId="38478EEC"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9552" w:type="dxa"/>
        <w:jc w:val="center"/>
        <w:tblLayout w:type="fixed"/>
        <w:tblCellMar>
          <w:left w:w="10" w:type="dxa"/>
          <w:right w:w="10" w:type="dxa"/>
        </w:tblCellMar>
        <w:tblLook w:val="04A0" w:firstRow="1" w:lastRow="0" w:firstColumn="1" w:lastColumn="0" w:noHBand="0" w:noVBand="1"/>
      </w:tblPr>
      <w:tblGrid>
        <w:gridCol w:w="7930"/>
        <w:gridCol w:w="1622"/>
      </w:tblGrid>
      <w:tr w:rsidR="008C76E0" w:rsidRPr="003B2786" w14:paraId="15F2BED3" w14:textId="77777777" w:rsidTr="008C76E0">
        <w:trPr>
          <w:jc w:val="center"/>
        </w:trPr>
        <w:tc>
          <w:tcPr>
            <w:tcW w:w="9552" w:type="dxa"/>
            <w:gridSpan w:val="2"/>
            <w:shd w:val="clear" w:color="auto" w:fill="FFFFFF"/>
          </w:tcPr>
          <w:p w14:paraId="2C42B3A6" w14:textId="77777777" w:rsidR="008C76E0" w:rsidRPr="003B2786" w:rsidRDefault="008C76E0" w:rsidP="00390DAC">
            <w:pPr>
              <w:pStyle w:val="Bodytext180"/>
              <w:shd w:val="clear" w:color="auto" w:fill="auto"/>
              <w:tabs>
                <w:tab w:val="left" w:pos="1113"/>
              </w:tabs>
              <w:spacing w:before="0" w:after="160" w:line="360" w:lineRule="auto"/>
              <w:ind w:left="77" w:right="62" w:firstLine="438"/>
              <w:jc w:val="both"/>
              <w:rPr>
                <w:rFonts w:ascii="Sylfaen" w:hAnsi="Sylfaen"/>
                <w:b w:val="0"/>
                <w:i/>
                <w:sz w:val="24"/>
                <w:szCs w:val="24"/>
              </w:rPr>
            </w:pPr>
            <w:r w:rsidRPr="003B2786">
              <w:rPr>
                <w:rStyle w:val="Bodytext295pt"/>
                <w:rFonts w:ascii="Sylfaen" w:hAnsi="Sylfaen"/>
                <w:sz w:val="24"/>
                <w:szCs w:val="24"/>
              </w:rPr>
              <w:t>1.5.</w:t>
            </w:r>
            <w:r w:rsidRPr="003B2786">
              <w:rPr>
                <w:rStyle w:val="Bodytext295pt"/>
                <w:rFonts w:ascii="Sylfaen" w:hAnsi="Sylfaen"/>
                <w:sz w:val="24"/>
                <w:szCs w:val="24"/>
              </w:rPr>
              <w:tab/>
              <w:t>Հարցազրույցի ասպեկտները</w:t>
            </w:r>
          </w:p>
        </w:tc>
      </w:tr>
      <w:tr w:rsidR="008C76E0" w:rsidRPr="003B2786" w14:paraId="72113309" w14:textId="77777777" w:rsidTr="008C76E0">
        <w:trPr>
          <w:trHeight w:val="1419"/>
          <w:jc w:val="center"/>
        </w:trPr>
        <w:tc>
          <w:tcPr>
            <w:tcW w:w="7930" w:type="dxa"/>
            <w:shd w:val="clear" w:color="auto" w:fill="FFFFFF"/>
            <w:vAlign w:val="center"/>
          </w:tcPr>
          <w:p w14:paraId="1C8F5E20" w14:textId="77777777" w:rsidR="008C76E0" w:rsidRPr="008C76E0" w:rsidRDefault="008C76E0" w:rsidP="00390DAC">
            <w:pPr>
              <w:pStyle w:val="Bodytext180"/>
              <w:shd w:val="clear" w:color="auto" w:fill="auto"/>
              <w:tabs>
                <w:tab w:val="left" w:pos="1113"/>
              </w:tabs>
              <w:spacing w:before="0" w:after="160" w:line="360" w:lineRule="auto"/>
              <w:ind w:left="77" w:right="62" w:firstLine="438"/>
              <w:jc w:val="both"/>
              <w:rPr>
                <w:rFonts w:ascii="Sylfaen" w:hAnsi="Sylfaen"/>
                <w:b w:val="0"/>
                <w:i/>
                <w:sz w:val="24"/>
                <w:szCs w:val="24"/>
                <w:lang w:val="hy-AM"/>
              </w:rPr>
            </w:pPr>
            <w:r w:rsidRPr="003B2786">
              <w:rPr>
                <w:rStyle w:val="Bodytext295pt"/>
                <w:rFonts w:ascii="Sylfaen" w:hAnsi="Sylfaen"/>
                <w:sz w:val="24"/>
                <w:szCs w:val="24"/>
              </w:rPr>
              <w:lastRenderedPageBreak/>
              <w:t>Արդյո՞ք հարցազրույցն անցկացվել է կառուցվածքավորված եղանակով (կազմակերպված):</w:t>
            </w:r>
          </w:p>
        </w:tc>
        <w:tc>
          <w:tcPr>
            <w:tcW w:w="1622" w:type="dxa"/>
            <w:shd w:val="clear" w:color="auto" w:fill="FFFFFF"/>
            <w:vAlign w:val="center"/>
          </w:tcPr>
          <w:p w14:paraId="431AB150" w14:textId="77777777" w:rsidR="008C76E0" w:rsidRPr="003B2786" w:rsidRDefault="008C76E0" w:rsidP="00390DAC">
            <w:pPr>
              <w:pStyle w:val="Bodytext180"/>
              <w:shd w:val="clear" w:color="auto" w:fill="auto"/>
              <w:tabs>
                <w:tab w:val="left" w:pos="1113"/>
              </w:tabs>
              <w:spacing w:before="0" w:after="160" w:line="360" w:lineRule="auto"/>
              <w:ind w:left="77" w:right="62" w:firstLine="438"/>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5CB3D628" w14:textId="77777777" w:rsidTr="008C76E0">
        <w:trPr>
          <w:jc w:val="center"/>
        </w:trPr>
        <w:tc>
          <w:tcPr>
            <w:tcW w:w="9552" w:type="dxa"/>
            <w:gridSpan w:val="2"/>
            <w:shd w:val="clear" w:color="auto" w:fill="FFFFFF"/>
            <w:vAlign w:val="center"/>
          </w:tcPr>
          <w:p w14:paraId="18DFCC78" w14:textId="77777777" w:rsidR="008C76E0" w:rsidRPr="003B2786" w:rsidRDefault="008C76E0" w:rsidP="00390DAC">
            <w:pPr>
              <w:pStyle w:val="Bodytext180"/>
              <w:shd w:val="clear" w:color="auto" w:fill="auto"/>
              <w:tabs>
                <w:tab w:val="left" w:pos="1113"/>
              </w:tabs>
              <w:spacing w:before="0" w:after="160" w:line="360" w:lineRule="auto"/>
              <w:ind w:left="77" w:right="62" w:firstLine="438"/>
              <w:rPr>
                <w:rFonts w:ascii="Sylfaen" w:hAnsi="Sylfaen"/>
                <w:b w:val="0"/>
                <w:i/>
                <w:spacing w:val="-6"/>
                <w:sz w:val="24"/>
                <w:szCs w:val="24"/>
              </w:rPr>
            </w:pPr>
            <w:r w:rsidRPr="003B2786">
              <w:rPr>
                <w:rStyle w:val="Bodytext295pt"/>
                <w:rFonts w:ascii="Sylfaen" w:hAnsi="Sylfaen"/>
                <w:spacing w:val="-6"/>
                <w:sz w:val="24"/>
                <w:szCs w:val="24"/>
              </w:rPr>
              <w:t>Մեկնաբանություններ (լրացուցիչ տ</w:t>
            </w:r>
            <w:r>
              <w:rPr>
                <w:rStyle w:val="Bodytext295pt"/>
                <w:rFonts w:ascii="Sylfaen" w:hAnsi="Sylfaen"/>
                <w:spacing w:val="-6"/>
                <w:sz w:val="24"/>
                <w:szCs w:val="24"/>
              </w:rPr>
              <w:t>եղեկատվություն) _________</w:t>
            </w:r>
            <w:r w:rsidRPr="003B2786">
              <w:rPr>
                <w:rStyle w:val="Bodytext295pt"/>
                <w:rFonts w:ascii="Sylfaen" w:hAnsi="Sylfaen"/>
                <w:spacing w:val="-6"/>
                <w:sz w:val="24"/>
                <w:szCs w:val="24"/>
              </w:rPr>
              <w:t>_______</w:t>
            </w:r>
            <w:r w:rsidRPr="003B2786">
              <w:rPr>
                <w:rStyle w:val="Bodytext295pt"/>
                <w:rFonts w:ascii="Sylfaen" w:hAnsi="Sylfaen"/>
                <w:spacing w:val="-6"/>
                <w:sz w:val="24"/>
                <w:szCs w:val="24"/>
                <w:lang w:val="en-US"/>
              </w:rPr>
              <w:t>__</w:t>
            </w:r>
            <w:r w:rsidRPr="003B2786">
              <w:rPr>
                <w:rStyle w:val="Bodytext295pt"/>
                <w:rFonts w:ascii="Sylfaen" w:hAnsi="Sylfaen"/>
                <w:spacing w:val="-6"/>
                <w:sz w:val="24"/>
                <w:szCs w:val="24"/>
              </w:rPr>
              <w:t>________</w:t>
            </w:r>
          </w:p>
        </w:tc>
      </w:tr>
      <w:tr w:rsidR="008C76E0" w:rsidRPr="003B2786" w14:paraId="404C4DF5" w14:textId="77777777" w:rsidTr="008C76E0">
        <w:trPr>
          <w:jc w:val="center"/>
        </w:trPr>
        <w:tc>
          <w:tcPr>
            <w:tcW w:w="955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A2BB011" w14:textId="77777777" w:rsidR="008C76E0" w:rsidRPr="003B2786" w:rsidRDefault="008C76E0" w:rsidP="00390DAC">
            <w:pPr>
              <w:pStyle w:val="Bodytext180"/>
              <w:shd w:val="clear" w:color="auto" w:fill="auto"/>
              <w:spacing w:before="0" w:after="160" w:line="360" w:lineRule="auto"/>
              <w:ind w:left="77" w:right="62" w:firstLine="0"/>
              <w:jc w:val="center"/>
              <w:rPr>
                <w:rStyle w:val="Bodytext1811pt"/>
                <w:rFonts w:ascii="Sylfaen" w:hAnsi="Sylfaen"/>
                <w:sz w:val="24"/>
                <w:szCs w:val="24"/>
              </w:rPr>
            </w:pPr>
            <w:r w:rsidRPr="003B2786">
              <w:rPr>
                <w:rStyle w:val="Bodytext1811pt"/>
                <w:rFonts w:ascii="Sylfaen" w:hAnsi="Sylfaen"/>
                <w:sz w:val="24"/>
                <w:szCs w:val="24"/>
              </w:rPr>
              <w:t>Հարցազրույցի ասպեկտների հետ կապված կանոնները</w:t>
            </w:r>
          </w:p>
          <w:p w14:paraId="790E7FD2" w14:textId="77777777" w:rsidR="008C76E0" w:rsidRPr="005C0EAA" w:rsidRDefault="008C76E0" w:rsidP="00390DAC">
            <w:pPr>
              <w:pStyle w:val="Bodytext180"/>
              <w:shd w:val="clear" w:color="auto" w:fill="auto"/>
              <w:spacing w:before="0" w:after="160" w:line="360" w:lineRule="auto"/>
              <w:ind w:left="79" w:right="62" w:firstLine="516"/>
              <w:jc w:val="both"/>
              <w:rPr>
                <w:rStyle w:val="Bodytext1811pt"/>
                <w:rFonts w:ascii="Sylfaen" w:hAnsi="Sylfaen"/>
                <w:sz w:val="24"/>
                <w:szCs w:val="24"/>
              </w:rPr>
            </w:pPr>
            <w:r w:rsidRPr="003B2786">
              <w:rPr>
                <w:rStyle w:val="Bodytext1811pt"/>
                <w:rFonts w:ascii="Sylfaen" w:hAnsi="Sylfaen"/>
                <w:sz w:val="24"/>
                <w:szCs w:val="24"/>
              </w:rPr>
              <w:t>Հարցազրույցի ասպեկտները գնահատելիս անհրաժեշտ է հաշվի առն</w:t>
            </w:r>
            <w:r w:rsidR="005C0EAA">
              <w:rPr>
                <w:rStyle w:val="Bodytext1811pt"/>
                <w:rFonts w:ascii="Sylfaen" w:hAnsi="Sylfaen"/>
                <w:sz w:val="24"/>
                <w:szCs w:val="24"/>
              </w:rPr>
              <w:t>ել հետ</w:t>
            </w:r>
            <w:r w:rsidR="00C54D75">
              <w:rPr>
                <w:rStyle w:val="Bodytext1811pt"/>
                <w:rFonts w:ascii="Sylfaen" w:hAnsi="Sylfaen"/>
                <w:sz w:val="24"/>
                <w:szCs w:val="24"/>
              </w:rPr>
              <w:t>և</w:t>
            </w:r>
            <w:r w:rsidR="005C0EAA">
              <w:rPr>
                <w:rStyle w:val="Bodytext1811pt"/>
                <w:rFonts w:ascii="Sylfaen" w:hAnsi="Sylfaen"/>
                <w:sz w:val="24"/>
                <w:szCs w:val="24"/>
              </w:rPr>
              <w:t>յալ հանգամանքները.</w:t>
            </w:r>
          </w:p>
          <w:p w14:paraId="3C4AA109" w14:textId="77777777" w:rsidR="008C76E0" w:rsidRPr="003B2786" w:rsidRDefault="008C76E0" w:rsidP="00390DAC">
            <w:pPr>
              <w:pStyle w:val="Bodytext180"/>
              <w:shd w:val="clear" w:color="auto" w:fill="auto"/>
              <w:spacing w:before="0" w:after="160" w:line="360" w:lineRule="auto"/>
              <w:ind w:left="79" w:right="62" w:firstLine="516"/>
              <w:jc w:val="both"/>
              <w:rPr>
                <w:rStyle w:val="Bodytext295pt"/>
                <w:rFonts w:ascii="Sylfaen" w:hAnsi="Sylfaen"/>
                <w:bCs/>
                <w:i/>
                <w:sz w:val="24"/>
                <w:szCs w:val="24"/>
              </w:rPr>
            </w:pPr>
            <w:r w:rsidRPr="003B2786">
              <w:rPr>
                <w:rStyle w:val="Bodytext295pt"/>
                <w:rFonts w:ascii="Sylfaen" w:hAnsi="Sylfaen"/>
                <w:i/>
                <w:sz w:val="24"/>
                <w:szCs w:val="24"/>
              </w:rPr>
              <w:t xml:space="preserve">թեստն անցկացնող անձին (անձանց) տրվել է (են) հստակ ցուցումներ (օրինակ՝ այն հանգամանքի հետ կապված, թե ինչպե՞ս սպառողների թեստավորումից ստանալ շատ տեղեկատվություն, արդյո՞ք թույլատրելի կամ անթույլատրելի է օգնություն ցուցաբերելը </w:t>
            </w:r>
            <w:r w:rsidR="00C54D75">
              <w:rPr>
                <w:rStyle w:val="Bodytext295pt"/>
                <w:rFonts w:ascii="Sylfaen" w:hAnsi="Sylfaen"/>
                <w:i/>
                <w:sz w:val="24"/>
                <w:szCs w:val="24"/>
              </w:rPr>
              <w:t>և</w:t>
            </w:r>
            <w:r w:rsidRPr="003B2786">
              <w:rPr>
                <w:rStyle w:val="Bodytext295pt"/>
                <w:rFonts w:ascii="Sylfaen" w:hAnsi="Sylfaen"/>
                <w:i/>
                <w:sz w:val="24"/>
                <w:szCs w:val="24"/>
              </w:rPr>
              <w:t xml:space="preserve"> այլն).</w:t>
            </w:r>
          </w:p>
          <w:p w14:paraId="1610B8F4" w14:textId="77777777" w:rsidR="008C76E0" w:rsidRPr="008C76E0" w:rsidRDefault="008C76E0" w:rsidP="00390DAC">
            <w:pPr>
              <w:pStyle w:val="Bodytext180"/>
              <w:shd w:val="clear" w:color="auto" w:fill="auto"/>
              <w:spacing w:before="0" w:after="160" w:line="360" w:lineRule="auto"/>
              <w:ind w:left="79" w:right="62" w:firstLine="516"/>
              <w:jc w:val="both"/>
              <w:rPr>
                <w:rFonts w:ascii="Sylfaen" w:hAnsi="Sylfaen"/>
                <w:i/>
                <w:sz w:val="24"/>
                <w:szCs w:val="24"/>
                <w:lang w:val="hy-AM"/>
              </w:rPr>
            </w:pPr>
            <w:r w:rsidRPr="003B2786">
              <w:rPr>
                <w:rStyle w:val="Bodytext295pt"/>
                <w:rFonts w:ascii="Sylfaen" w:hAnsi="Sylfaen"/>
                <w:i/>
                <w:sz w:val="24"/>
                <w:szCs w:val="24"/>
              </w:rPr>
              <w:t>արդյո՞ք հարցազրույց անցկացնող անձանց թույլատրվում է ռեսպոնդենտներին ցույց տալ, թե ներդիր թերթիկում որտեղ կարելի է գտնել բժշկական պատրաստուկի վերաբերյալ անհրաժեշտ տեղեկատվությունը.</w:t>
            </w:r>
          </w:p>
          <w:p w14:paraId="1A942496" w14:textId="77777777" w:rsidR="008C76E0" w:rsidRPr="008C76E0" w:rsidRDefault="008C76E0" w:rsidP="00390DAC">
            <w:pPr>
              <w:pStyle w:val="Bodytext180"/>
              <w:shd w:val="clear" w:color="auto" w:fill="auto"/>
              <w:spacing w:before="0" w:after="160" w:line="360" w:lineRule="auto"/>
              <w:ind w:left="79" w:right="62" w:firstLine="516"/>
              <w:jc w:val="both"/>
              <w:rPr>
                <w:rFonts w:ascii="Sylfaen" w:hAnsi="Sylfaen"/>
                <w:sz w:val="24"/>
                <w:szCs w:val="24"/>
                <w:lang w:val="hy-AM"/>
              </w:rPr>
            </w:pPr>
            <w:r w:rsidRPr="003B2786">
              <w:rPr>
                <w:rStyle w:val="Bodytext295pt"/>
                <w:rFonts w:ascii="Sylfaen" w:hAnsi="Sylfaen"/>
                <w:i/>
                <w:sz w:val="24"/>
                <w:szCs w:val="24"/>
              </w:rPr>
              <w:t>արդյո՞ք նրանք ռեսպոնդենտներին առաջարկում են պատասխանել իրենց բառերով՝ չապավինելով հիշողությանը:</w:t>
            </w:r>
          </w:p>
        </w:tc>
      </w:tr>
    </w:tbl>
    <w:p w14:paraId="4A578413"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9560" w:type="dxa"/>
        <w:jc w:val="center"/>
        <w:tblLayout w:type="fixed"/>
        <w:tblCellMar>
          <w:left w:w="10" w:type="dxa"/>
          <w:right w:w="10" w:type="dxa"/>
        </w:tblCellMar>
        <w:tblLook w:val="04A0" w:firstRow="1" w:lastRow="0" w:firstColumn="1" w:lastColumn="0" w:noHBand="0" w:noVBand="1"/>
      </w:tblPr>
      <w:tblGrid>
        <w:gridCol w:w="7659"/>
        <w:gridCol w:w="1901"/>
      </w:tblGrid>
      <w:tr w:rsidR="008C76E0" w:rsidRPr="003B2786" w14:paraId="3A4E65E3" w14:textId="77777777" w:rsidTr="008C76E0">
        <w:trPr>
          <w:jc w:val="center"/>
        </w:trPr>
        <w:tc>
          <w:tcPr>
            <w:tcW w:w="9560" w:type="dxa"/>
            <w:gridSpan w:val="2"/>
            <w:shd w:val="clear" w:color="auto" w:fill="FFFFFF"/>
          </w:tcPr>
          <w:p w14:paraId="1A729F1A" w14:textId="77777777" w:rsidR="008C76E0" w:rsidRPr="003B2786"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rPr>
            </w:pPr>
            <w:r w:rsidRPr="003B2786">
              <w:rPr>
                <w:rStyle w:val="Bodytext295pt"/>
                <w:rFonts w:ascii="Sylfaen" w:hAnsi="Sylfaen"/>
                <w:sz w:val="24"/>
                <w:szCs w:val="24"/>
              </w:rPr>
              <w:t>2.</w:t>
            </w:r>
            <w:r w:rsidRPr="003B2786">
              <w:rPr>
                <w:rStyle w:val="Bodytext295pt"/>
                <w:rFonts w:ascii="Sylfaen" w:hAnsi="Sylfaen"/>
                <w:sz w:val="24"/>
                <w:szCs w:val="24"/>
              </w:rPr>
              <w:tab/>
              <w:t>Պատասխանների գնահատումը</w:t>
            </w:r>
          </w:p>
        </w:tc>
      </w:tr>
      <w:tr w:rsidR="008C76E0" w:rsidRPr="003B2786" w14:paraId="72E0F8A0" w14:textId="77777777" w:rsidTr="008C76E0">
        <w:trPr>
          <w:jc w:val="center"/>
        </w:trPr>
        <w:tc>
          <w:tcPr>
            <w:tcW w:w="9560" w:type="dxa"/>
            <w:gridSpan w:val="2"/>
            <w:shd w:val="clear" w:color="auto" w:fill="FFFFFF"/>
            <w:vAlign w:val="center"/>
          </w:tcPr>
          <w:p w14:paraId="6CA78D34" w14:textId="77777777" w:rsidR="008C76E0" w:rsidRPr="003B2786"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rPr>
            </w:pPr>
            <w:r w:rsidRPr="003B2786">
              <w:rPr>
                <w:rStyle w:val="Bodytext295pt"/>
                <w:rFonts w:ascii="Sylfaen" w:hAnsi="Sylfaen"/>
                <w:sz w:val="24"/>
                <w:szCs w:val="24"/>
              </w:rPr>
              <w:t>2.1</w:t>
            </w:r>
            <w:r w:rsidRPr="003B2786">
              <w:rPr>
                <w:rStyle w:val="Bodytext295pt"/>
                <w:rFonts w:ascii="Sylfaen" w:hAnsi="Sylfaen"/>
                <w:sz w:val="24"/>
                <w:szCs w:val="24"/>
                <w:lang w:val="en-US"/>
              </w:rPr>
              <w:t>.</w:t>
            </w:r>
            <w:r w:rsidRPr="003B2786">
              <w:rPr>
                <w:rStyle w:val="Bodytext295pt"/>
                <w:rFonts w:ascii="Sylfaen" w:hAnsi="Sylfaen"/>
                <w:sz w:val="24"/>
                <w:szCs w:val="24"/>
                <w:lang w:val="en-US"/>
              </w:rPr>
              <w:tab/>
            </w:r>
            <w:r w:rsidRPr="003B2786">
              <w:rPr>
                <w:rStyle w:val="Bodytext295pt"/>
                <w:rFonts w:ascii="Sylfaen" w:hAnsi="Sylfaen"/>
                <w:sz w:val="24"/>
                <w:szCs w:val="24"/>
              </w:rPr>
              <w:t>Գնահատման համակարգը</w:t>
            </w:r>
          </w:p>
        </w:tc>
      </w:tr>
      <w:tr w:rsidR="008C76E0" w:rsidRPr="003B2786" w14:paraId="4380D4B3" w14:textId="77777777" w:rsidTr="008C76E0">
        <w:trPr>
          <w:jc w:val="center"/>
        </w:trPr>
        <w:tc>
          <w:tcPr>
            <w:tcW w:w="7659" w:type="dxa"/>
            <w:shd w:val="clear" w:color="auto" w:fill="FFFFFF"/>
            <w:vAlign w:val="bottom"/>
          </w:tcPr>
          <w:p w14:paraId="3BAF1254" w14:textId="77777777" w:rsidR="008C76E0" w:rsidRPr="008C76E0"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lang w:val="hy-AM"/>
              </w:rPr>
            </w:pPr>
            <w:r w:rsidRPr="003B2786">
              <w:rPr>
                <w:rStyle w:val="Bodytext295pt"/>
                <w:rFonts w:ascii="Sylfaen" w:hAnsi="Sylfaen"/>
                <w:sz w:val="24"/>
                <w:szCs w:val="24"/>
              </w:rPr>
              <w:t>Արդյո՞ք որակական գնահատումն ընդունելի է:</w:t>
            </w:r>
          </w:p>
        </w:tc>
        <w:tc>
          <w:tcPr>
            <w:tcW w:w="1901" w:type="dxa"/>
            <w:shd w:val="clear" w:color="auto" w:fill="FFFFFF"/>
            <w:vAlign w:val="bottom"/>
          </w:tcPr>
          <w:p w14:paraId="465EF243" w14:textId="77777777" w:rsidR="008C76E0" w:rsidRPr="003B2786"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7F9E7423" w14:textId="77777777" w:rsidTr="008C76E0">
        <w:trPr>
          <w:jc w:val="center"/>
        </w:trPr>
        <w:tc>
          <w:tcPr>
            <w:tcW w:w="7659" w:type="dxa"/>
            <w:shd w:val="clear" w:color="auto" w:fill="FFFFFF"/>
          </w:tcPr>
          <w:p w14:paraId="406CA122" w14:textId="77777777" w:rsidR="008C76E0" w:rsidRPr="008C76E0"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lang w:val="hy-AM"/>
              </w:rPr>
            </w:pPr>
            <w:r w:rsidRPr="003B2786">
              <w:rPr>
                <w:rStyle w:val="Bodytext295pt"/>
                <w:rFonts w:ascii="Sylfaen" w:hAnsi="Sylfaen"/>
                <w:sz w:val="24"/>
                <w:szCs w:val="24"/>
              </w:rPr>
              <w:t>Արդյո՞ք գնահատման մեթոդաբանությունը համապատասխանում է նվազագույն պահանջներին:</w:t>
            </w:r>
          </w:p>
        </w:tc>
        <w:tc>
          <w:tcPr>
            <w:tcW w:w="1901" w:type="dxa"/>
            <w:shd w:val="clear" w:color="auto" w:fill="FFFFFF"/>
          </w:tcPr>
          <w:p w14:paraId="226E617B" w14:textId="77777777" w:rsidR="008C76E0" w:rsidRPr="003B2786"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5F095A99" w14:textId="77777777" w:rsidTr="008C76E0">
        <w:trPr>
          <w:jc w:val="center"/>
        </w:trPr>
        <w:tc>
          <w:tcPr>
            <w:tcW w:w="9560" w:type="dxa"/>
            <w:gridSpan w:val="2"/>
            <w:shd w:val="clear" w:color="auto" w:fill="FFFFFF"/>
          </w:tcPr>
          <w:p w14:paraId="7CDA555A" w14:textId="77777777" w:rsidR="008C76E0" w:rsidRPr="003B2786" w:rsidRDefault="008C76E0" w:rsidP="00390DAC">
            <w:pPr>
              <w:pStyle w:val="Bodytext180"/>
              <w:shd w:val="clear" w:color="auto" w:fill="auto"/>
              <w:tabs>
                <w:tab w:val="left" w:pos="1117"/>
              </w:tabs>
              <w:spacing w:before="0" w:after="160" w:line="360" w:lineRule="auto"/>
              <w:ind w:left="67" w:right="38" w:firstLine="518"/>
              <w:jc w:val="both"/>
              <w:rPr>
                <w:rFonts w:ascii="Sylfaen" w:hAnsi="Sylfaen"/>
                <w:b w:val="0"/>
                <w:i/>
                <w:spacing w:val="-8"/>
                <w:sz w:val="24"/>
                <w:szCs w:val="24"/>
              </w:rPr>
            </w:pPr>
            <w:r w:rsidRPr="003B2786">
              <w:rPr>
                <w:rStyle w:val="Bodytext295pt"/>
                <w:rFonts w:ascii="Sylfaen" w:hAnsi="Sylfaen"/>
                <w:spacing w:val="-8"/>
                <w:sz w:val="24"/>
                <w:szCs w:val="24"/>
              </w:rPr>
              <w:t>Մեկնաբանություններ (լրացուցիչ տեղեկ</w:t>
            </w:r>
            <w:r>
              <w:rPr>
                <w:rStyle w:val="Bodytext295pt"/>
                <w:rFonts w:ascii="Sylfaen" w:hAnsi="Sylfaen"/>
                <w:spacing w:val="-8"/>
                <w:sz w:val="24"/>
                <w:szCs w:val="24"/>
              </w:rPr>
              <w:t>ատվություն) __________</w:t>
            </w:r>
            <w:r w:rsidRPr="003B2786">
              <w:rPr>
                <w:rStyle w:val="Bodytext295pt"/>
                <w:rFonts w:ascii="Sylfaen" w:hAnsi="Sylfaen"/>
                <w:spacing w:val="-8"/>
                <w:sz w:val="24"/>
                <w:szCs w:val="24"/>
              </w:rPr>
              <w:t>______________</w:t>
            </w:r>
          </w:p>
        </w:tc>
      </w:tr>
    </w:tbl>
    <w:p w14:paraId="04E597FF"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27"/>
        <w:gridCol w:w="1939"/>
      </w:tblGrid>
      <w:tr w:rsidR="008C76E0" w:rsidRPr="003B2786" w14:paraId="07CFC1C5" w14:textId="77777777" w:rsidTr="008C76E0">
        <w:trPr>
          <w:trHeight w:val="5057"/>
          <w:jc w:val="center"/>
        </w:trPr>
        <w:tc>
          <w:tcPr>
            <w:tcW w:w="9566" w:type="dxa"/>
            <w:gridSpan w:val="2"/>
            <w:tcBorders>
              <w:top w:val="single" w:sz="4" w:space="0" w:color="auto"/>
              <w:left w:val="single" w:sz="4" w:space="0" w:color="auto"/>
              <w:right w:val="single" w:sz="4" w:space="0" w:color="auto"/>
            </w:tcBorders>
            <w:shd w:val="clear" w:color="auto" w:fill="FFFFFF"/>
            <w:vAlign w:val="center"/>
          </w:tcPr>
          <w:p w14:paraId="7704C123" w14:textId="77777777" w:rsidR="008C76E0" w:rsidRPr="003B2786" w:rsidRDefault="008C76E0" w:rsidP="00390DAC">
            <w:pPr>
              <w:pStyle w:val="Bodytext180"/>
              <w:shd w:val="clear" w:color="auto" w:fill="auto"/>
              <w:spacing w:before="0" w:after="160" w:line="360" w:lineRule="auto"/>
              <w:ind w:right="27" w:firstLine="0"/>
              <w:jc w:val="center"/>
              <w:rPr>
                <w:rStyle w:val="Bodytext1811pt"/>
                <w:rFonts w:ascii="Sylfaen" w:hAnsi="Sylfaen"/>
                <w:sz w:val="24"/>
                <w:szCs w:val="24"/>
              </w:rPr>
            </w:pPr>
            <w:r w:rsidRPr="003B2786">
              <w:rPr>
                <w:rStyle w:val="Bodytext1811pt"/>
                <w:rFonts w:ascii="Sylfaen" w:hAnsi="Sylfaen"/>
                <w:sz w:val="24"/>
                <w:szCs w:val="24"/>
              </w:rPr>
              <w:lastRenderedPageBreak/>
              <w:t>Գնահատման համակարգի հետ կապված կանոնները</w:t>
            </w:r>
          </w:p>
          <w:p w14:paraId="0C726211" w14:textId="77777777" w:rsidR="008C76E0" w:rsidRPr="008C76E0" w:rsidRDefault="008C76E0" w:rsidP="00390DAC">
            <w:pPr>
              <w:pStyle w:val="Bodytext180"/>
              <w:shd w:val="clear" w:color="auto" w:fill="auto"/>
              <w:spacing w:before="0" w:after="160" w:line="360" w:lineRule="auto"/>
              <w:ind w:right="27" w:firstLine="522"/>
              <w:rPr>
                <w:rFonts w:ascii="Sylfaen" w:hAnsi="Sylfaen"/>
                <w:b w:val="0"/>
                <w:sz w:val="24"/>
                <w:szCs w:val="24"/>
                <w:lang w:val="hy-AM"/>
              </w:rPr>
            </w:pPr>
            <w:r w:rsidRPr="003B2786">
              <w:rPr>
                <w:rStyle w:val="Bodytext1811pt"/>
                <w:rFonts w:ascii="Sylfaen" w:hAnsi="Sylfaen"/>
                <w:sz w:val="24"/>
                <w:szCs w:val="24"/>
              </w:rPr>
              <w:t>Գնահատման համակարգը վերլուծելիս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յալ հանգամանքները.</w:t>
            </w:r>
          </w:p>
          <w:p w14:paraId="1B28CD84" w14:textId="77777777" w:rsidR="008C76E0" w:rsidRPr="008C76E0" w:rsidRDefault="002E713A" w:rsidP="00390DAC">
            <w:pPr>
              <w:pStyle w:val="Bodytext180"/>
              <w:shd w:val="clear" w:color="auto" w:fill="auto"/>
              <w:tabs>
                <w:tab w:val="left" w:pos="1089"/>
              </w:tabs>
              <w:spacing w:before="0" w:after="160" w:line="360" w:lineRule="auto"/>
              <w:ind w:right="27" w:firstLine="522"/>
              <w:rPr>
                <w:rFonts w:ascii="Sylfaen" w:hAnsi="Sylfaen"/>
                <w:i/>
                <w:sz w:val="24"/>
                <w:szCs w:val="24"/>
                <w:lang w:val="hy-AM"/>
              </w:rPr>
            </w:pPr>
            <w:r w:rsidRPr="003B2786">
              <w:rPr>
                <w:rStyle w:val="Bodytext295pt"/>
                <w:rFonts w:ascii="Sylfaen" w:hAnsi="Sylfaen"/>
                <w:i/>
                <w:sz w:val="24"/>
                <w:szCs w:val="24"/>
              </w:rPr>
              <w:t>=&gt;</w:t>
            </w:r>
            <w:r w:rsidR="008C76E0" w:rsidRPr="003B2786">
              <w:rPr>
                <w:rStyle w:val="Bodytext1811pt"/>
                <w:rFonts w:ascii="Sylfaen" w:hAnsi="Sylfaen"/>
                <w:i/>
                <w:sz w:val="24"/>
                <w:szCs w:val="24"/>
              </w:rPr>
              <w:tab/>
            </w:r>
            <w:r w:rsidR="008C76E0" w:rsidRPr="003B2786">
              <w:rPr>
                <w:rStyle w:val="Bodytext295pt"/>
                <w:rFonts w:ascii="Sylfaen" w:hAnsi="Sylfaen"/>
                <w:i/>
                <w:sz w:val="24"/>
                <w:szCs w:val="24"/>
              </w:rPr>
              <w:t>գնահատումը հիմնված է 3 հիմնական ոլորտները ներառող ստուգաթերթի վրա. ռեսպոնդենտները կարողացել են՝</w:t>
            </w:r>
          </w:p>
          <w:p w14:paraId="0761024B" w14:textId="77777777" w:rsidR="008C76E0" w:rsidRPr="008C76E0" w:rsidRDefault="008C76E0" w:rsidP="00390DAC">
            <w:pPr>
              <w:pStyle w:val="Bodytext180"/>
              <w:shd w:val="clear" w:color="auto" w:fill="auto"/>
              <w:tabs>
                <w:tab w:val="left" w:pos="1089"/>
              </w:tabs>
              <w:spacing w:before="0" w:after="160" w:line="360" w:lineRule="auto"/>
              <w:ind w:right="27" w:firstLine="522"/>
              <w:rPr>
                <w:rFonts w:ascii="Sylfaen" w:hAnsi="Sylfaen"/>
                <w:i/>
                <w:sz w:val="24"/>
                <w:szCs w:val="24"/>
                <w:lang w:val="hy-AM"/>
              </w:rPr>
            </w:pPr>
            <w:r w:rsidRPr="003B2786">
              <w:rPr>
                <w:rStyle w:val="Bodytext295pt"/>
                <w:rFonts w:ascii="Sylfaen" w:hAnsi="Sylfaen"/>
                <w:i/>
                <w:sz w:val="24"/>
                <w:szCs w:val="24"/>
              </w:rPr>
              <w:t>=&gt;</w:t>
            </w:r>
            <w:r w:rsidRPr="003B2786">
              <w:rPr>
                <w:rStyle w:val="Bodytext295pt"/>
                <w:rFonts w:ascii="Sylfaen" w:hAnsi="Sylfaen"/>
                <w:i/>
                <w:sz w:val="24"/>
                <w:szCs w:val="24"/>
              </w:rPr>
              <w:tab/>
              <w:t>գտնել տեղեկատվությունը (օրինակ՝ ռեսպոնդենտը կարող է հեշտությամբ գտնել դոզայի վերաբերյալ տեղեկատվությունը),</w:t>
            </w:r>
          </w:p>
          <w:p w14:paraId="2FA1B9B5" w14:textId="77777777" w:rsidR="008C76E0" w:rsidRPr="008C76E0" w:rsidRDefault="008C76E0" w:rsidP="00390DAC">
            <w:pPr>
              <w:pStyle w:val="Bodytext180"/>
              <w:shd w:val="clear" w:color="auto" w:fill="auto"/>
              <w:tabs>
                <w:tab w:val="left" w:pos="1089"/>
              </w:tabs>
              <w:spacing w:before="0" w:after="160" w:line="360" w:lineRule="auto"/>
              <w:ind w:right="27" w:firstLine="522"/>
              <w:rPr>
                <w:rFonts w:ascii="Sylfaen" w:hAnsi="Sylfaen"/>
                <w:i/>
                <w:sz w:val="24"/>
                <w:szCs w:val="24"/>
                <w:lang w:val="hy-AM"/>
              </w:rPr>
            </w:pPr>
            <w:r w:rsidRPr="003B2786">
              <w:rPr>
                <w:rStyle w:val="Bodytext295pt"/>
                <w:rFonts w:ascii="Sylfaen" w:hAnsi="Sylfaen"/>
                <w:i/>
                <w:sz w:val="24"/>
                <w:szCs w:val="24"/>
              </w:rPr>
              <w:t>=&gt;</w:t>
            </w:r>
            <w:r w:rsidRPr="003B2786">
              <w:rPr>
                <w:rStyle w:val="Bodytext295pt"/>
                <w:rFonts w:ascii="Sylfaen" w:hAnsi="Sylfaen"/>
                <w:i/>
                <w:sz w:val="24"/>
                <w:szCs w:val="24"/>
              </w:rPr>
              <w:tab/>
              <w:t xml:space="preserve">հասկանալ տեղեկատվությունը (օրինակ՝ ռեսպոնդենտը կարող է իր բառերով պատմել, թե ինչպիսին պետք է լինի ճիշտ դոզան </w:t>
            </w:r>
            <w:r w:rsidR="00C54D75">
              <w:rPr>
                <w:rStyle w:val="Bodytext295pt"/>
                <w:rFonts w:ascii="Sylfaen" w:hAnsi="Sylfaen"/>
                <w:i/>
                <w:sz w:val="24"/>
                <w:szCs w:val="24"/>
              </w:rPr>
              <w:t>և</w:t>
            </w:r>
            <w:r w:rsidRPr="003B2786">
              <w:rPr>
                <w:rStyle w:val="Bodytext295pt"/>
                <w:rFonts w:ascii="Sylfaen" w:hAnsi="Sylfaen"/>
                <w:i/>
                <w:sz w:val="24"/>
                <w:szCs w:val="24"/>
              </w:rPr>
              <w:t xml:space="preserve"> ինչպես պետք է ընդունել պատրաստուկը),</w:t>
            </w:r>
          </w:p>
          <w:p w14:paraId="6A5E3303" w14:textId="77777777" w:rsidR="008C76E0" w:rsidRPr="003B2786" w:rsidRDefault="008C76E0" w:rsidP="00390DAC">
            <w:pPr>
              <w:pStyle w:val="Bodytext180"/>
              <w:shd w:val="clear" w:color="auto" w:fill="auto"/>
              <w:tabs>
                <w:tab w:val="left" w:pos="1089"/>
              </w:tabs>
              <w:spacing w:before="0" w:after="160" w:line="360" w:lineRule="auto"/>
              <w:ind w:right="27" w:firstLine="522"/>
              <w:rPr>
                <w:rStyle w:val="Bodytext295pt"/>
                <w:rFonts w:ascii="Sylfaen" w:hAnsi="Sylfaen"/>
                <w:i/>
                <w:sz w:val="24"/>
                <w:szCs w:val="24"/>
              </w:rPr>
            </w:pPr>
            <w:r w:rsidRPr="003B2786">
              <w:rPr>
                <w:rStyle w:val="Bodytext295pt"/>
                <w:rFonts w:ascii="Sylfaen" w:hAnsi="Sylfaen"/>
                <w:i/>
                <w:sz w:val="24"/>
                <w:szCs w:val="24"/>
              </w:rPr>
              <w:t>=&gt;</w:t>
            </w:r>
            <w:r w:rsidRPr="003B2786">
              <w:rPr>
                <w:rStyle w:val="Bodytext295pt"/>
                <w:rFonts w:ascii="Sylfaen" w:hAnsi="Sylfaen"/>
                <w:i/>
                <w:sz w:val="24"/>
                <w:szCs w:val="24"/>
              </w:rPr>
              <w:tab/>
              <w:t xml:space="preserve">կիրառել տեղեկատվությունը (օրինակ՝ «պատկերացրեք, որ Դուք հայտնվել եք X իրավիճակում, </w:t>
            </w:r>
            <w:r w:rsidR="00C54D75">
              <w:rPr>
                <w:rStyle w:val="Bodytext295pt"/>
                <w:rFonts w:ascii="Sylfaen" w:hAnsi="Sylfaen"/>
                <w:i/>
                <w:sz w:val="24"/>
                <w:szCs w:val="24"/>
              </w:rPr>
              <w:t>և</w:t>
            </w:r>
            <w:r w:rsidRPr="003B2786">
              <w:rPr>
                <w:rStyle w:val="Bodytext295pt"/>
                <w:rFonts w:ascii="Sylfaen" w:hAnsi="Sylfaen"/>
                <w:i/>
                <w:sz w:val="24"/>
                <w:szCs w:val="24"/>
              </w:rPr>
              <w:t xml:space="preserve"> տեղի է ունեցել Y, ի՞նչ պետք է անեք»):</w:t>
            </w:r>
          </w:p>
          <w:p w14:paraId="3AD7E743" w14:textId="77777777" w:rsidR="008C76E0" w:rsidRPr="008C76E0" w:rsidRDefault="008C76E0" w:rsidP="00390DAC">
            <w:pPr>
              <w:pStyle w:val="Bodytext180"/>
              <w:shd w:val="clear" w:color="auto" w:fill="auto"/>
              <w:spacing w:before="0" w:after="160" w:line="360" w:lineRule="auto"/>
              <w:ind w:right="27" w:firstLine="522"/>
              <w:rPr>
                <w:rFonts w:ascii="Sylfaen" w:hAnsi="Sylfaen"/>
                <w:b w:val="0"/>
                <w:sz w:val="24"/>
                <w:szCs w:val="24"/>
                <w:lang w:val="hy-AM"/>
              </w:rPr>
            </w:pPr>
          </w:p>
        </w:tc>
      </w:tr>
      <w:tr w:rsidR="008C76E0" w:rsidRPr="003B2786" w14:paraId="42092390" w14:textId="77777777" w:rsidTr="008C76E0">
        <w:trPr>
          <w:jc w:val="center"/>
        </w:trPr>
        <w:tc>
          <w:tcPr>
            <w:tcW w:w="9566" w:type="dxa"/>
            <w:gridSpan w:val="2"/>
            <w:tcBorders>
              <w:top w:val="single" w:sz="4" w:space="0" w:color="auto"/>
            </w:tcBorders>
            <w:shd w:val="clear" w:color="auto" w:fill="FFFFFF"/>
            <w:vAlign w:val="bottom"/>
          </w:tcPr>
          <w:p w14:paraId="48496088" w14:textId="77777777" w:rsidR="008C76E0" w:rsidRPr="003B2786" w:rsidRDefault="008C76E0" w:rsidP="00390DAC">
            <w:pPr>
              <w:pStyle w:val="Bodytext180"/>
              <w:shd w:val="clear" w:color="auto" w:fill="auto"/>
              <w:tabs>
                <w:tab w:val="left" w:pos="1089"/>
              </w:tabs>
              <w:spacing w:before="0" w:after="160" w:line="360" w:lineRule="auto"/>
              <w:ind w:firstLine="590"/>
              <w:jc w:val="both"/>
              <w:rPr>
                <w:rFonts w:ascii="Sylfaen" w:hAnsi="Sylfaen"/>
                <w:b w:val="0"/>
                <w:i/>
                <w:sz w:val="24"/>
                <w:szCs w:val="24"/>
              </w:rPr>
            </w:pPr>
            <w:r w:rsidRPr="003B2786">
              <w:rPr>
                <w:rStyle w:val="Bodytext295pt"/>
                <w:rFonts w:ascii="Sylfaen" w:hAnsi="Sylfaen"/>
                <w:sz w:val="24"/>
                <w:szCs w:val="24"/>
              </w:rPr>
              <w:t>2.2.</w:t>
            </w:r>
            <w:r w:rsidRPr="003B2786">
              <w:rPr>
                <w:rStyle w:val="Bodytext295pt"/>
                <w:rFonts w:ascii="Sylfaen" w:hAnsi="Sylfaen"/>
                <w:sz w:val="24"/>
                <w:szCs w:val="24"/>
              </w:rPr>
              <w:tab/>
              <w:t>Հարցերի վարկանիշի համակարգը</w:t>
            </w:r>
          </w:p>
        </w:tc>
      </w:tr>
      <w:tr w:rsidR="008C76E0" w:rsidRPr="003B2786" w14:paraId="14A7C257" w14:textId="77777777" w:rsidTr="008C76E0">
        <w:trPr>
          <w:jc w:val="center"/>
        </w:trPr>
        <w:tc>
          <w:tcPr>
            <w:tcW w:w="7627" w:type="dxa"/>
            <w:shd w:val="clear" w:color="auto" w:fill="FFFFFF"/>
            <w:vAlign w:val="center"/>
          </w:tcPr>
          <w:p w14:paraId="73A62333" w14:textId="77777777" w:rsidR="008C76E0" w:rsidRPr="008C76E0" w:rsidRDefault="008C76E0" w:rsidP="00390DAC">
            <w:pPr>
              <w:pStyle w:val="Bodytext180"/>
              <w:shd w:val="clear" w:color="auto" w:fill="auto"/>
              <w:spacing w:before="0" w:after="160" w:line="360" w:lineRule="auto"/>
              <w:ind w:firstLine="590"/>
              <w:jc w:val="both"/>
              <w:rPr>
                <w:rFonts w:ascii="Sylfaen" w:hAnsi="Sylfaen"/>
                <w:b w:val="0"/>
                <w:i/>
                <w:sz w:val="24"/>
                <w:szCs w:val="24"/>
                <w:lang w:val="hy-AM"/>
              </w:rPr>
            </w:pPr>
            <w:r w:rsidRPr="003B2786">
              <w:rPr>
                <w:rStyle w:val="Bodytext295pt"/>
                <w:rFonts w:ascii="Sylfaen" w:hAnsi="Sylfaen"/>
                <w:sz w:val="24"/>
                <w:szCs w:val="24"/>
              </w:rPr>
              <w:t>Արդյո՞ք ընդունելի է պատասխանների քանակական գնահատումը:</w:t>
            </w:r>
          </w:p>
        </w:tc>
        <w:tc>
          <w:tcPr>
            <w:tcW w:w="1939" w:type="dxa"/>
            <w:shd w:val="clear" w:color="auto" w:fill="FFFFFF"/>
            <w:vAlign w:val="center"/>
          </w:tcPr>
          <w:p w14:paraId="47A15E34" w14:textId="77777777" w:rsidR="008C76E0" w:rsidRPr="003B2786" w:rsidRDefault="008C76E0" w:rsidP="00390DAC">
            <w:pPr>
              <w:pStyle w:val="Bodytext180"/>
              <w:shd w:val="clear" w:color="auto" w:fill="auto"/>
              <w:spacing w:before="0" w:after="160" w:line="360" w:lineRule="auto"/>
              <w:ind w:firstLine="590"/>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17F574F2" w14:textId="77777777" w:rsidTr="008C76E0">
        <w:trPr>
          <w:jc w:val="center"/>
        </w:trPr>
        <w:tc>
          <w:tcPr>
            <w:tcW w:w="9566" w:type="dxa"/>
            <w:gridSpan w:val="2"/>
            <w:shd w:val="clear" w:color="auto" w:fill="FFFFFF"/>
            <w:vAlign w:val="bottom"/>
          </w:tcPr>
          <w:p w14:paraId="02D74818" w14:textId="77777777" w:rsidR="008C76E0" w:rsidRPr="003B2786" w:rsidRDefault="008C76E0" w:rsidP="00390DAC">
            <w:pPr>
              <w:pStyle w:val="Bodytext180"/>
              <w:shd w:val="clear" w:color="auto" w:fill="auto"/>
              <w:spacing w:before="0" w:after="160" w:line="360" w:lineRule="auto"/>
              <w:ind w:firstLine="590"/>
              <w:jc w:val="both"/>
              <w:rPr>
                <w:rFonts w:ascii="Sylfaen" w:hAnsi="Sylfaen"/>
                <w:b w:val="0"/>
                <w:i/>
                <w:sz w:val="24"/>
                <w:szCs w:val="24"/>
              </w:rPr>
            </w:pPr>
            <w:r w:rsidRPr="003B2786">
              <w:rPr>
                <w:rStyle w:val="Bodytext295pt"/>
                <w:rFonts w:ascii="Sylfaen" w:hAnsi="Sylfaen"/>
                <w:sz w:val="24"/>
                <w:szCs w:val="24"/>
              </w:rPr>
              <w:t>Մեկնաբանություններ (լրացուցիչ տեղեկատվություն)</w:t>
            </w:r>
          </w:p>
        </w:tc>
      </w:tr>
    </w:tbl>
    <w:p w14:paraId="3E94328C"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9609" w:type="dxa"/>
        <w:jc w:val="center"/>
        <w:tblLayout w:type="fixed"/>
        <w:tblCellMar>
          <w:left w:w="10" w:type="dxa"/>
          <w:right w:w="10" w:type="dxa"/>
        </w:tblCellMar>
        <w:tblLook w:val="04A0" w:firstRow="1" w:lastRow="0" w:firstColumn="1" w:lastColumn="0" w:noHBand="0" w:noVBand="1"/>
      </w:tblPr>
      <w:tblGrid>
        <w:gridCol w:w="7783"/>
        <w:gridCol w:w="1826"/>
      </w:tblGrid>
      <w:tr w:rsidR="008C76E0" w:rsidRPr="003B2786" w14:paraId="416C0A9C" w14:textId="77777777" w:rsidTr="008C76E0">
        <w:trPr>
          <w:trHeight w:val="2471"/>
          <w:jc w:val="center"/>
        </w:trPr>
        <w:tc>
          <w:tcPr>
            <w:tcW w:w="9609" w:type="dxa"/>
            <w:gridSpan w:val="2"/>
            <w:tcBorders>
              <w:top w:val="single" w:sz="4" w:space="0" w:color="auto"/>
              <w:left w:val="single" w:sz="4" w:space="0" w:color="auto"/>
              <w:right w:val="single" w:sz="4" w:space="0" w:color="auto"/>
            </w:tcBorders>
            <w:shd w:val="clear" w:color="auto" w:fill="FFFFFF"/>
          </w:tcPr>
          <w:p w14:paraId="5663EC0A" w14:textId="77777777" w:rsidR="008C76E0" w:rsidRPr="003B2786" w:rsidRDefault="008C76E0" w:rsidP="00390DAC">
            <w:pPr>
              <w:pStyle w:val="Bodytext180"/>
              <w:shd w:val="clear" w:color="auto" w:fill="auto"/>
              <w:spacing w:before="0" w:after="160" w:line="360" w:lineRule="auto"/>
              <w:ind w:firstLine="544"/>
              <w:jc w:val="center"/>
              <w:rPr>
                <w:rStyle w:val="Bodytext1811pt"/>
                <w:rFonts w:ascii="Sylfaen" w:hAnsi="Sylfaen"/>
                <w:sz w:val="24"/>
                <w:szCs w:val="24"/>
              </w:rPr>
            </w:pPr>
            <w:r w:rsidRPr="003B2786">
              <w:rPr>
                <w:rStyle w:val="Bodytext1811pt"/>
                <w:rFonts w:ascii="Sylfaen" w:hAnsi="Sylfaen"/>
                <w:sz w:val="24"/>
                <w:szCs w:val="24"/>
              </w:rPr>
              <w:t>Հարցերի վարկանիշի համակարգի հետ կապված կանոնները</w:t>
            </w:r>
          </w:p>
          <w:p w14:paraId="52632AE7" w14:textId="77777777" w:rsidR="008C76E0" w:rsidRPr="008C76E0" w:rsidRDefault="008C76E0" w:rsidP="00390DAC">
            <w:pPr>
              <w:pStyle w:val="Bodytext180"/>
              <w:shd w:val="clear" w:color="auto" w:fill="auto"/>
              <w:spacing w:before="0" w:after="160" w:line="360" w:lineRule="auto"/>
              <w:ind w:firstLine="544"/>
              <w:jc w:val="both"/>
              <w:rPr>
                <w:rFonts w:ascii="Sylfaen" w:hAnsi="Sylfaen"/>
                <w:b w:val="0"/>
                <w:sz w:val="24"/>
                <w:szCs w:val="24"/>
                <w:lang w:val="hy-AM"/>
              </w:rPr>
            </w:pPr>
            <w:r w:rsidRPr="003B2786">
              <w:rPr>
                <w:rStyle w:val="Bodytext1811pt"/>
                <w:rFonts w:ascii="Sylfaen" w:hAnsi="Sylfaen"/>
                <w:sz w:val="24"/>
                <w:szCs w:val="24"/>
              </w:rPr>
              <w:t>Հարցերի վարկանիշի համակարգը գնահատելիս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յալ հանգամանքները.</w:t>
            </w:r>
          </w:p>
          <w:p w14:paraId="4171AFA4" w14:textId="77777777" w:rsidR="008C76E0" w:rsidRPr="008C76E0" w:rsidRDefault="008C76E0" w:rsidP="00390DAC">
            <w:pPr>
              <w:pStyle w:val="Bodytext180"/>
              <w:shd w:val="clear" w:color="auto" w:fill="auto"/>
              <w:spacing w:before="0" w:after="160" w:line="360" w:lineRule="auto"/>
              <w:ind w:firstLine="544"/>
              <w:jc w:val="both"/>
              <w:rPr>
                <w:rFonts w:ascii="Sylfaen" w:hAnsi="Sylfaen"/>
                <w:sz w:val="24"/>
                <w:szCs w:val="24"/>
                <w:lang w:val="hy-AM"/>
              </w:rPr>
            </w:pPr>
            <w:r w:rsidRPr="003B2786">
              <w:rPr>
                <w:rStyle w:val="Bodytext295pt"/>
                <w:rFonts w:ascii="Sylfaen" w:hAnsi="Sylfaen"/>
                <w:spacing w:val="-6"/>
                <w:sz w:val="24"/>
                <w:szCs w:val="24"/>
              </w:rPr>
              <w:t>Ինչպե՞ս են գնահատվում պատասխանները: Օրինակ՝ 1= չկա պատասխան, 2= սխալ պատասխան, 3= թերի պատասխան, 4</w:t>
            </w:r>
            <w:r w:rsidRPr="003B2786">
              <w:rPr>
                <w:rStyle w:val="Bodytext1811pt"/>
                <w:rFonts w:ascii="Sylfaen" w:hAnsi="Sylfaen"/>
                <w:spacing w:val="-6"/>
                <w:sz w:val="24"/>
                <w:szCs w:val="24"/>
              </w:rPr>
              <w:t xml:space="preserve">= </w:t>
            </w:r>
            <w:r w:rsidRPr="003B2786">
              <w:rPr>
                <w:rStyle w:val="Bodytext295pt"/>
                <w:rFonts w:ascii="Sylfaen" w:hAnsi="Sylfaen"/>
                <w:spacing w:val="-6"/>
                <w:sz w:val="24"/>
                <w:szCs w:val="24"/>
              </w:rPr>
              <w:t xml:space="preserve">բազմանշանակ պատասխան, 5= ամբողջական </w:t>
            </w:r>
            <w:r w:rsidR="00C54D75">
              <w:rPr>
                <w:rStyle w:val="Bodytext295pt"/>
                <w:rFonts w:ascii="Sylfaen" w:hAnsi="Sylfaen"/>
                <w:spacing w:val="-6"/>
                <w:sz w:val="24"/>
                <w:szCs w:val="24"/>
              </w:rPr>
              <w:t>և</w:t>
            </w:r>
            <w:r w:rsidRPr="003B2786">
              <w:rPr>
                <w:rStyle w:val="Bodytext295pt"/>
                <w:rFonts w:ascii="Sylfaen" w:hAnsi="Sylfaen"/>
                <w:spacing w:val="-6"/>
                <w:sz w:val="24"/>
                <w:szCs w:val="24"/>
              </w:rPr>
              <w:t xml:space="preserve"> ճիշտ պատասխան</w:t>
            </w:r>
            <w:r w:rsidRPr="003B2786">
              <w:rPr>
                <w:rStyle w:val="Bodytext295pt"/>
                <w:rFonts w:ascii="Sylfaen" w:hAnsi="Sylfaen"/>
                <w:sz w:val="24"/>
                <w:szCs w:val="24"/>
              </w:rPr>
              <w:t>:</w:t>
            </w:r>
          </w:p>
        </w:tc>
      </w:tr>
      <w:tr w:rsidR="008C76E0" w:rsidRPr="003B2786" w14:paraId="6C2D2103" w14:textId="77777777" w:rsidTr="008C76E0">
        <w:trPr>
          <w:trHeight w:val="692"/>
          <w:jc w:val="center"/>
        </w:trPr>
        <w:tc>
          <w:tcPr>
            <w:tcW w:w="9609" w:type="dxa"/>
            <w:gridSpan w:val="2"/>
            <w:tcBorders>
              <w:top w:val="single" w:sz="4" w:space="0" w:color="auto"/>
            </w:tcBorders>
            <w:shd w:val="clear" w:color="auto" w:fill="FFFFFF"/>
            <w:vAlign w:val="center"/>
          </w:tcPr>
          <w:p w14:paraId="68DFC8F4" w14:textId="77777777" w:rsidR="008C76E0" w:rsidRPr="003B2786" w:rsidRDefault="008C76E0" w:rsidP="002E713A">
            <w:pPr>
              <w:pStyle w:val="Bodytext180"/>
              <w:shd w:val="clear" w:color="auto" w:fill="auto"/>
              <w:tabs>
                <w:tab w:val="left" w:pos="1129"/>
              </w:tabs>
              <w:spacing w:before="0" w:after="160" w:line="360" w:lineRule="auto"/>
              <w:ind w:right="-1" w:firstLine="544"/>
              <w:jc w:val="both"/>
              <w:rPr>
                <w:rFonts w:ascii="Sylfaen" w:hAnsi="Sylfaen"/>
                <w:b w:val="0"/>
                <w:i/>
                <w:sz w:val="24"/>
                <w:szCs w:val="24"/>
              </w:rPr>
            </w:pPr>
            <w:r w:rsidRPr="003B2786">
              <w:rPr>
                <w:rStyle w:val="Bodytext295pt"/>
                <w:rFonts w:ascii="Sylfaen" w:hAnsi="Sylfaen"/>
                <w:sz w:val="24"/>
                <w:szCs w:val="24"/>
              </w:rPr>
              <w:t>3.</w:t>
            </w:r>
            <w:r w:rsidRPr="003B2786">
              <w:rPr>
                <w:rStyle w:val="Bodytext295pt"/>
                <w:rFonts w:ascii="Sylfaen" w:hAnsi="Sylfaen"/>
                <w:sz w:val="24"/>
                <w:szCs w:val="24"/>
              </w:rPr>
              <w:tab/>
              <w:t>Տվյալների մշակումը</w:t>
            </w:r>
          </w:p>
        </w:tc>
      </w:tr>
      <w:tr w:rsidR="008C76E0" w:rsidRPr="003B2786" w14:paraId="28B47757" w14:textId="77777777" w:rsidTr="008C76E0">
        <w:trPr>
          <w:trHeight w:val="1219"/>
          <w:jc w:val="center"/>
        </w:trPr>
        <w:tc>
          <w:tcPr>
            <w:tcW w:w="7783" w:type="dxa"/>
            <w:shd w:val="clear" w:color="auto" w:fill="FFFFFF"/>
            <w:vAlign w:val="center"/>
          </w:tcPr>
          <w:p w14:paraId="1A587145" w14:textId="77777777" w:rsidR="008C76E0" w:rsidRPr="008C76E0" w:rsidRDefault="008C76E0" w:rsidP="00390DAC">
            <w:pPr>
              <w:pStyle w:val="Bodytext180"/>
              <w:shd w:val="clear" w:color="auto" w:fill="auto"/>
              <w:spacing w:before="0" w:after="160" w:line="360" w:lineRule="auto"/>
              <w:ind w:right="-1" w:firstLine="544"/>
              <w:jc w:val="both"/>
              <w:rPr>
                <w:rFonts w:ascii="Sylfaen" w:hAnsi="Sylfaen"/>
                <w:b w:val="0"/>
                <w:i/>
                <w:sz w:val="24"/>
                <w:szCs w:val="24"/>
                <w:lang w:val="hy-AM"/>
              </w:rPr>
            </w:pPr>
            <w:r w:rsidRPr="003B2786">
              <w:rPr>
                <w:rStyle w:val="Bodytext295pt"/>
                <w:rFonts w:ascii="Sylfaen" w:hAnsi="Sylfaen"/>
                <w:sz w:val="24"/>
                <w:szCs w:val="24"/>
              </w:rPr>
              <w:lastRenderedPageBreak/>
              <w:t>Արդյո՞ք տվյալները պատշաճ ձ</w:t>
            </w:r>
            <w:r w:rsidR="00C54D75">
              <w:rPr>
                <w:rStyle w:val="Bodytext295pt"/>
                <w:rFonts w:ascii="Sylfaen" w:hAnsi="Sylfaen"/>
                <w:sz w:val="24"/>
                <w:szCs w:val="24"/>
              </w:rPr>
              <w:t>և</w:t>
            </w:r>
            <w:r w:rsidRPr="003B2786">
              <w:rPr>
                <w:rStyle w:val="Bodytext295pt"/>
                <w:rFonts w:ascii="Sylfaen" w:hAnsi="Sylfaen"/>
                <w:sz w:val="24"/>
                <w:szCs w:val="24"/>
              </w:rPr>
              <w:t xml:space="preserve">ով գրանցվում </w:t>
            </w:r>
            <w:r w:rsidR="00C54D75">
              <w:rPr>
                <w:rStyle w:val="Bodytext295pt"/>
                <w:rFonts w:ascii="Sylfaen" w:hAnsi="Sylfaen"/>
                <w:sz w:val="24"/>
                <w:szCs w:val="24"/>
              </w:rPr>
              <w:t>և</w:t>
            </w:r>
            <w:r w:rsidRPr="003B2786">
              <w:rPr>
                <w:rStyle w:val="Bodytext295pt"/>
                <w:rFonts w:ascii="Sylfaen" w:hAnsi="Sylfaen"/>
                <w:sz w:val="24"/>
                <w:szCs w:val="24"/>
              </w:rPr>
              <w:t xml:space="preserve"> փաստաթղթավորվում են:</w:t>
            </w:r>
          </w:p>
        </w:tc>
        <w:tc>
          <w:tcPr>
            <w:tcW w:w="1826" w:type="dxa"/>
            <w:shd w:val="clear" w:color="auto" w:fill="FFFFFF"/>
          </w:tcPr>
          <w:p w14:paraId="4DFE1D3C" w14:textId="77777777" w:rsidR="008C76E0" w:rsidRPr="003B2786" w:rsidRDefault="008C76E0" w:rsidP="00390DAC">
            <w:pPr>
              <w:pStyle w:val="Bodytext180"/>
              <w:shd w:val="clear" w:color="auto" w:fill="auto"/>
              <w:spacing w:before="0" w:after="160" w:line="360" w:lineRule="auto"/>
              <w:ind w:right="-1" w:firstLine="544"/>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44C118BA" w14:textId="77777777" w:rsidTr="008C76E0">
        <w:trPr>
          <w:trHeight w:val="1154"/>
          <w:jc w:val="center"/>
        </w:trPr>
        <w:tc>
          <w:tcPr>
            <w:tcW w:w="9609" w:type="dxa"/>
            <w:gridSpan w:val="2"/>
            <w:tcBorders>
              <w:bottom w:val="single" w:sz="4" w:space="0" w:color="auto"/>
            </w:tcBorders>
            <w:shd w:val="clear" w:color="auto" w:fill="FFFFFF"/>
          </w:tcPr>
          <w:p w14:paraId="2E5317B4" w14:textId="77777777" w:rsidR="008C76E0" w:rsidRPr="003B2786" w:rsidRDefault="008C76E0" w:rsidP="00390DAC">
            <w:pPr>
              <w:pStyle w:val="Bodytext180"/>
              <w:shd w:val="clear" w:color="auto" w:fill="auto"/>
              <w:spacing w:before="0" w:after="160" w:line="360" w:lineRule="auto"/>
              <w:ind w:right="-1" w:firstLine="544"/>
              <w:jc w:val="center"/>
              <w:rPr>
                <w:rFonts w:ascii="Sylfaen" w:hAnsi="Sylfaen"/>
                <w:b w:val="0"/>
                <w:bCs w:val="0"/>
                <w:iCs/>
                <w:color w:val="000000"/>
                <w:spacing w:val="-6"/>
                <w:sz w:val="24"/>
                <w:szCs w:val="24"/>
                <w:shd w:val="clear" w:color="auto" w:fill="FFFFFF"/>
              </w:rPr>
            </w:pPr>
            <w:r w:rsidRPr="003B2786">
              <w:rPr>
                <w:rStyle w:val="Bodytext295pt"/>
                <w:rFonts w:ascii="Sylfaen" w:hAnsi="Sylfaen"/>
                <w:spacing w:val="-6"/>
                <w:sz w:val="24"/>
                <w:szCs w:val="24"/>
              </w:rPr>
              <w:t>Մեկնաբանություններ (լրացո</w:t>
            </w:r>
            <w:r>
              <w:rPr>
                <w:rStyle w:val="Bodytext295pt"/>
                <w:rFonts w:ascii="Sylfaen" w:hAnsi="Sylfaen"/>
                <w:spacing w:val="-6"/>
                <w:sz w:val="24"/>
                <w:szCs w:val="24"/>
              </w:rPr>
              <w:t>ւցիչ տեղեկատվություն) ____</w:t>
            </w:r>
            <w:r w:rsidRPr="003B2786">
              <w:rPr>
                <w:rStyle w:val="Bodytext295pt"/>
                <w:rFonts w:ascii="Sylfaen" w:hAnsi="Sylfaen"/>
                <w:spacing w:val="-6"/>
                <w:sz w:val="24"/>
                <w:szCs w:val="24"/>
              </w:rPr>
              <w:t>________________________</w:t>
            </w:r>
          </w:p>
        </w:tc>
      </w:tr>
      <w:tr w:rsidR="008C76E0" w:rsidRPr="003B2786" w14:paraId="74B7B193" w14:textId="77777777" w:rsidTr="008C76E0">
        <w:trPr>
          <w:trHeight w:val="478"/>
          <w:jc w:val="center"/>
        </w:trPr>
        <w:tc>
          <w:tcPr>
            <w:tcW w:w="9609" w:type="dxa"/>
            <w:gridSpan w:val="2"/>
            <w:tcBorders>
              <w:top w:val="single" w:sz="4" w:space="0" w:color="auto"/>
              <w:left w:val="single" w:sz="4" w:space="0" w:color="auto"/>
              <w:right w:val="single" w:sz="4" w:space="0" w:color="auto"/>
            </w:tcBorders>
            <w:shd w:val="clear" w:color="auto" w:fill="FFFFFF"/>
          </w:tcPr>
          <w:p w14:paraId="3EDE6439" w14:textId="77777777" w:rsidR="008C76E0" w:rsidRPr="008C76E0" w:rsidRDefault="008C76E0" w:rsidP="00390DAC">
            <w:pPr>
              <w:pStyle w:val="Bodytext180"/>
              <w:shd w:val="clear" w:color="auto" w:fill="auto"/>
              <w:spacing w:before="0" w:after="160" w:line="360" w:lineRule="auto"/>
              <w:ind w:firstLine="0"/>
              <w:jc w:val="center"/>
              <w:rPr>
                <w:rFonts w:ascii="Sylfaen" w:hAnsi="Sylfaen"/>
                <w:b w:val="0"/>
                <w:sz w:val="24"/>
                <w:szCs w:val="24"/>
                <w:lang w:val="hy-AM"/>
              </w:rPr>
            </w:pPr>
            <w:r w:rsidRPr="003B2786">
              <w:rPr>
                <w:rStyle w:val="Bodytext1811pt"/>
                <w:rFonts w:ascii="Sylfaen" w:hAnsi="Sylfaen"/>
                <w:sz w:val="24"/>
                <w:szCs w:val="24"/>
              </w:rPr>
              <w:t>Տվյալների մշակման հետ կապված կանոնները</w:t>
            </w:r>
          </w:p>
        </w:tc>
      </w:tr>
      <w:tr w:rsidR="008C76E0" w:rsidRPr="003B2786" w14:paraId="54A9F5F2" w14:textId="77777777" w:rsidTr="008C76E0">
        <w:trPr>
          <w:trHeight w:val="4247"/>
          <w:jc w:val="center"/>
        </w:trPr>
        <w:tc>
          <w:tcPr>
            <w:tcW w:w="9609" w:type="dxa"/>
            <w:gridSpan w:val="2"/>
            <w:tcBorders>
              <w:left w:val="single" w:sz="4" w:space="0" w:color="auto"/>
              <w:bottom w:val="single" w:sz="4" w:space="0" w:color="auto"/>
              <w:right w:val="single" w:sz="4" w:space="0" w:color="auto"/>
            </w:tcBorders>
            <w:shd w:val="clear" w:color="auto" w:fill="FFFFFF"/>
          </w:tcPr>
          <w:p w14:paraId="4624508F" w14:textId="77777777" w:rsidR="008C76E0" w:rsidRPr="003B2786" w:rsidRDefault="008C76E0" w:rsidP="00390DAC">
            <w:pPr>
              <w:pStyle w:val="Bodytext180"/>
              <w:shd w:val="clear" w:color="auto" w:fill="auto"/>
              <w:spacing w:before="0" w:after="160" w:line="360" w:lineRule="auto"/>
              <w:ind w:firstLine="543"/>
              <w:jc w:val="both"/>
              <w:rPr>
                <w:rStyle w:val="Bodytext1811pt"/>
                <w:rFonts w:ascii="Sylfaen" w:hAnsi="Sylfaen"/>
                <w:sz w:val="24"/>
                <w:szCs w:val="24"/>
              </w:rPr>
            </w:pPr>
            <w:r w:rsidRPr="003B2786">
              <w:rPr>
                <w:rStyle w:val="Bodytext1811pt"/>
                <w:rFonts w:ascii="Sylfaen" w:hAnsi="Sylfaen"/>
                <w:sz w:val="24"/>
                <w:szCs w:val="24"/>
              </w:rPr>
              <w:t>Տվյալների մշակումը գնահատելիս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հանգամանքները. </w:t>
            </w:r>
          </w:p>
          <w:p w14:paraId="7A335709" w14:textId="77777777" w:rsidR="008C76E0" w:rsidRPr="008C76E0" w:rsidRDefault="008C76E0" w:rsidP="00390DAC">
            <w:pPr>
              <w:pStyle w:val="Bodytext180"/>
              <w:shd w:val="clear" w:color="auto" w:fill="auto"/>
              <w:spacing w:before="0" w:after="160" w:line="360" w:lineRule="auto"/>
              <w:ind w:firstLine="543"/>
              <w:jc w:val="both"/>
              <w:rPr>
                <w:rFonts w:ascii="Sylfaen" w:hAnsi="Sylfaen"/>
                <w:i/>
                <w:sz w:val="24"/>
                <w:szCs w:val="24"/>
                <w:lang w:val="hy-AM"/>
              </w:rPr>
            </w:pPr>
            <w:r w:rsidRPr="003B2786">
              <w:rPr>
                <w:rStyle w:val="Bodytext295pt"/>
                <w:rFonts w:ascii="Sylfaen" w:hAnsi="Sylfaen"/>
                <w:i/>
                <w:sz w:val="24"/>
                <w:szCs w:val="24"/>
              </w:rPr>
              <w:t>տվյալների գրանցումն իրականացվում է հասկանալի ձ</w:t>
            </w:r>
            <w:r w:rsidR="00C54D75">
              <w:rPr>
                <w:rStyle w:val="Bodytext295pt"/>
                <w:rFonts w:ascii="Sylfaen" w:hAnsi="Sylfaen"/>
                <w:i/>
                <w:sz w:val="24"/>
                <w:szCs w:val="24"/>
              </w:rPr>
              <w:t>և</w:t>
            </w:r>
            <w:r w:rsidRPr="003B2786">
              <w:rPr>
                <w:rStyle w:val="Bodytext295pt"/>
                <w:rFonts w:ascii="Sylfaen" w:hAnsi="Sylfaen"/>
                <w:i/>
                <w:sz w:val="24"/>
                <w:szCs w:val="24"/>
              </w:rPr>
              <w:t>ով,</w:t>
            </w:r>
          </w:p>
          <w:p w14:paraId="1E9EF35A" w14:textId="77777777" w:rsidR="008C76E0" w:rsidRPr="008C76E0" w:rsidRDefault="008C76E0" w:rsidP="00390DAC">
            <w:pPr>
              <w:pStyle w:val="Bodytext180"/>
              <w:shd w:val="clear" w:color="auto" w:fill="auto"/>
              <w:spacing w:before="0" w:after="160" w:line="360" w:lineRule="auto"/>
              <w:ind w:firstLine="543"/>
              <w:jc w:val="both"/>
              <w:rPr>
                <w:rFonts w:ascii="Sylfaen" w:hAnsi="Sylfaen"/>
                <w:i/>
                <w:sz w:val="24"/>
                <w:szCs w:val="24"/>
                <w:lang w:val="hy-AM"/>
              </w:rPr>
            </w:pPr>
            <w:r w:rsidRPr="003B2786">
              <w:rPr>
                <w:rStyle w:val="Bodytext295pt"/>
                <w:rFonts w:ascii="Sylfaen" w:hAnsi="Sylfaen"/>
                <w:i/>
                <w:sz w:val="24"/>
                <w:szCs w:val="24"/>
              </w:rPr>
              <w:t>տվյալների գրանցման եղանակը գոհացուցիչ է,</w:t>
            </w:r>
          </w:p>
          <w:p w14:paraId="52EA7991" w14:textId="77777777" w:rsidR="008C76E0" w:rsidRPr="008C76E0" w:rsidRDefault="008C76E0" w:rsidP="00390DAC">
            <w:pPr>
              <w:pStyle w:val="Bodytext180"/>
              <w:shd w:val="clear" w:color="auto" w:fill="auto"/>
              <w:spacing w:before="0" w:after="160" w:line="360" w:lineRule="auto"/>
              <w:ind w:firstLine="543"/>
              <w:jc w:val="both"/>
              <w:rPr>
                <w:rFonts w:ascii="Sylfaen" w:hAnsi="Sylfaen"/>
                <w:i/>
                <w:sz w:val="24"/>
                <w:szCs w:val="24"/>
                <w:lang w:val="hy-AM"/>
              </w:rPr>
            </w:pPr>
            <w:r w:rsidRPr="003B2786">
              <w:rPr>
                <w:rStyle w:val="Bodytext295pt"/>
                <w:rFonts w:ascii="Sylfaen" w:hAnsi="Sylfaen"/>
                <w:i/>
                <w:sz w:val="24"/>
                <w:szCs w:val="24"/>
              </w:rPr>
              <w:t>տվյալները մշակվել են բավարար չափով (օրինակ՝ հասկանալի՞ է, թե ինչպես են բանավոր պատասխանները վերափոխվել պատասխանների տարբեր կատեգորիաների),</w:t>
            </w:r>
          </w:p>
          <w:p w14:paraId="0846A086" w14:textId="77777777" w:rsidR="008C76E0" w:rsidRPr="008C76E0" w:rsidRDefault="008C76E0" w:rsidP="00390DAC">
            <w:pPr>
              <w:pStyle w:val="Bodytext180"/>
              <w:shd w:val="clear" w:color="auto" w:fill="auto"/>
              <w:spacing w:before="0" w:after="160" w:line="360" w:lineRule="auto"/>
              <w:ind w:firstLine="543"/>
              <w:jc w:val="both"/>
              <w:rPr>
                <w:rFonts w:ascii="Sylfaen" w:hAnsi="Sylfaen"/>
                <w:i/>
                <w:sz w:val="24"/>
                <w:szCs w:val="24"/>
                <w:lang w:val="hy-AM"/>
              </w:rPr>
            </w:pPr>
            <w:r w:rsidRPr="003B2786">
              <w:rPr>
                <w:rStyle w:val="Bodytext295pt"/>
                <w:rFonts w:ascii="Sylfaen" w:hAnsi="Sylfaen"/>
                <w:i/>
                <w:sz w:val="24"/>
                <w:szCs w:val="24"/>
              </w:rPr>
              <w:t>փորձագետին ներկայացվել են պացիենտների թեստավորման ընթացքում (թեստավորման տարբեր փուլերում) օգտագործված ներդիր թերթիկները,</w:t>
            </w:r>
          </w:p>
          <w:p w14:paraId="1888D6ED" w14:textId="77777777" w:rsidR="008C76E0" w:rsidRPr="008C76E0" w:rsidRDefault="008C76E0" w:rsidP="00390DAC">
            <w:pPr>
              <w:pStyle w:val="Bodytext180"/>
              <w:shd w:val="clear" w:color="auto" w:fill="auto"/>
              <w:spacing w:before="0" w:after="160" w:line="360" w:lineRule="auto"/>
              <w:ind w:firstLine="543"/>
              <w:jc w:val="both"/>
              <w:rPr>
                <w:rFonts w:ascii="Sylfaen" w:hAnsi="Sylfaen"/>
                <w:b w:val="0"/>
                <w:sz w:val="24"/>
                <w:szCs w:val="24"/>
                <w:lang w:val="hy-AM"/>
              </w:rPr>
            </w:pPr>
            <w:r w:rsidRPr="003B2786">
              <w:rPr>
                <w:rStyle w:val="Bodytext295pt"/>
                <w:rFonts w:ascii="Sylfaen" w:hAnsi="Sylfaen"/>
                <w:i/>
                <w:sz w:val="24"/>
                <w:szCs w:val="24"/>
              </w:rPr>
              <w:t xml:space="preserve">պարզաբանվել (հիմնավորվել) են ԲԿՈՒ-ում (ՆԹ-ում) կատարված փոփոխությունները:  Պարզ է, թե թեստի մասնակիցների դիտողություններից որոնք չեն արժանացել ուշադրության </w:t>
            </w:r>
            <w:r w:rsidR="00C54D75">
              <w:rPr>
                <w:rStyle w:val="Bodytext295pt"/>
                <w:rFonts w:ascii="Sylfaen" w:hAnsi="Sylfaen"/>
                <w:i/>
                <w:sz w:val="24"/>
                <w:szCs w:val="24"/>
              </w:rPr>
              <w:t>և</w:t>
            </w:r>
            <w:r w:rsidRPr="003B2786">
              <w:rPr>
                <w:rStyle w:val="Bodytext295pt"/>
                <w:rFonts w:ascii="Sylfaen" w:hAnsi="Sylfaen"/>
                <w:i/>
                <w:sz w:val="24"/>
                <w:szCs w:val="24"/>
              </w:rPr>
              <w:t xml:space="preserve"> ինչու:</w:t>
            </w:r>
          </w:p>
        </w:tc>
      </w:tr>
    </w:tbl>
    <w:p w14:paraId="174D396E"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9571" w:type="dxa"/>
        <w:jc w:val="center"/>
        <w:tblLayout w:type="fixed"/>
        <w:tblCellMar>
          <w:left w:w="10" w:type="dxa"/>
          <w:right w:w="10" w:type="dxa"/>
        </w:tblCellMar>
        <w:tblLook w:val="04A0" w:firstRow="1" w:lastRow="0" w:firstColumn="1" w:lastColumn="0" w:noHBand="0" w:noVBand="1"/>
      </w:tblPr>
      <w:tblGrid>
        <w:gridCol w:w="7752"/>
        <w:gridCol w:w="1819"/>
      </w:tblGrid>
      <w:tr w:rsidR="008C76E0" w:rsidRPr="003B2786" w14:paraId="2200707D" w14:textId="77777777" w:rsidTr="008C76E0">
        <w:trPr>
          <w:jc w:val="center"/>
        </w:trPr>
        <w:tc>
          <w:tcPr>
            <w:tcW w:w="9571" w:type="dxa"/>
            <w:gridSpan w:val="2"/>
            <w:shd w:val="clear" w:color="auto" w:fill="FFFFFF"/>
            <w:vAlign w:val="bottom"/>
          </w:tcPr>
          <w:p w14:paraId="08A0F5C0"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center"/>
              <w:rPr>
                <w:rFonts w:ascii="Sylfaen" w:hAnsi="Sylfaen"/>
                <w:b w:val="0"/>
                <w:sz w:val="24"/>
                <w:szCs w:val="24"/>
              </w:rPr>
            </w:pPr>
            <w:r w:rsidRPr="003B2786">
              <w:rPr>
                <w:rStyle w:val="Bodytext295pt"/>
                <w:rFonts w:ascii="Sylfaen" w:hAnsi="Sylfaen"/>
                <w:sz w:val="24"/>
                <w:szCs w:val="24"/>
              </w:rPr>
              <w:t>4.</w:t>
            </w:r>
            <w:r w:rsidRPr="003B2786">
              <w:rPr>
                <w:rStyle w:val="Bodytext295pt"/>
                <w:rFonts w:ascii="Sylfaen" w:hAnsi="Sylfaen"/>
                <w:sz w:val="24"/>
                <w:szCs w:val="24"/>
              </w:rPr>
              <w:tab/>
              <w:t>Որակի ասպեկտները</w:t>
            </w:r>
          </w:p>
        </w:tc>
      </w:tr>
      <w:tr w:rsidR="008C76E0" w:rsidRPr="003B2786" w14:paraId="35F590A1" w14:textId="77777777" w:rsidTr="008C76E0">
        <w:trPr>
          <w:jc w:val="center"/>
        </w:trPr>
        <w:tc>
          <w:tcPr>
            <w:tcW w:w="9571" w:type="dxa"/>
            <w:gridSpan w:val="2"/>
            <w:shd w:val="clear" w:color="auto" w:fill="FFFFFF"/>
            <w:vAlign w:val="bottom"/>
          </w:tcPr>
          <w:p w14:paraId="05E8258F" w14:textId="77777777" w:rsidR="008C76E0" w:rsidRPr="003B2786" w:rsidRDefault="008C76E0" w:rsidP="00390DAC">
            <w:pPr>
              <w:pStyle w:val="Bodytext180"/>
              <w:shd w:val="clear" w:color="auto" w:fill="auto"/>
              <w:tabs>
                <w:tab w:val="left" w:pos="1092"/>
              </w:tabs>
              <w:spacing w:before="0" w:after="160" w:line="360" w:lineRule="auto"/>
              <w:ind w:right="44" w:firstLine="525"/>
              <w:jc w:val="both"/>
              <w:rPr>
                <w:rFonts w:ascii="Sylfaen" w:hAnsi="Sylfaen"/>
                <w:b w:val="0"/>
                <w:sz w:val="24"/>
                <w:szCs w:val="24"/>
              </w:rPr>
            </w:pPr>
            <w:r w:rsidRPr="003B2786">
              <w:rPr>
                <w:rStyle w:val="Bodytext295pt"/>
                <w:rFonts w:ascii="Sylfaen" w:hAnsi="Sylfaen"/>
                <w:sz w:val="24"/>
                <w:szCs w:val="24"/>
              </w:rPr>
              <w:t>4.1.</w:t>
            </w:r>
            <w:r w:rsidRPr="003B2786">
              <w:rPr>
                <w:rStyle w:val="Bodytext295pt"/>
                <w:rFonts w:ascii="Sylfaen" w:hAnsi="Sylfaen"/>
                <w:sz w:val="24"/>
                <w:szCs w:val="24"/>
                <w:lang w:val="en-US"/>
              </w:rPr>
              <w:tab/>
            </w:r>
            <w:r w:rsidRPr="003B2786">
              <w:rPr>
                <w:rStyle w:val="Bodytext295pt"/>
                <w:rFonts w:ascii="Sylfaen" w:hAnsi="Sylfaen"/>
                <w:sz w:val="24"/>
                <w:szCs w:val="24"/>
              </w:rPr>
              <w:t>Ախտորոշիչ հարցերի գնահատումը</w:t>
            </w:r>
          </w:p>
        </w:tc>
      </w:tr>
      <w:tr w:rsidR="008C76E0" w:rsidRPr="003B2786" w14:paraId="18C683D5" w14:textId="77777777" w:rsidTr="008C76E0">
        <w:trPr>
          <w:jc w:val="center"/>
        </w:trPr>
        <w:tc>
          <w:tcPr>
            <w:tcW w:w="7752" w:type="dxa"/>
            <w:shd w:val="clear" w:color="auto" w:fill="FFFFFF"/>
            <w:vAlign w:val="bottom"/>
          </w:tcPr>
          <w:p w14:paraId="28BA3460" w14:textId="77777777" w:rsidR="008C76E0" w:rsidRPr="00E15E7D" w:rsidRDefault="008C76E0" w:rsidP="00F63625">
            <w:pPr>
              <w:spacing w:after="160" w:line="360" w:lineRule="auto"/>
              <w:ind w:firstLine="525"/>
              <w:jc w:val="both"/>
              <w:rPr>
                <w:rStyle w:val="Bodytext295pt"/>
                <w:rFonts w:ascii="Sylfaen" w:eastAsiaTheme="minorHAnsi" w:hAnsi="Sylfaen"/>
                <w:sz w:val="24"/>
                <w:szCs w:val="24"/>
              </w:rPr>
            </w:pPr>
            <w:r w:rsidRPr="003D4CBB">
              <w:rPr>
                <w:rStyle w:val="Bodytext295pt"/>
                <w:rFonts w:ascii="Sylfaen" w:eastAsiaTheme="minorHAnsi" w:hAnsi="Sylfaen"/>
                <w:b w:val="0"/>
                <w:sz w:val="24"/>
                <w:szCs w:val="24"/>
              </w:rPr>
              <w:t>Արդյո՞ք մեթոդաբանությունը համապատասխանում է</w:t>
            </w:r>
            <w:r w:rsidRPr="003B2786">
              <w:rPr>
                <w:rStyle w:val="Bodytext295pt"/>
                <w:rFonts w:ascii="Sylfaen" w:eastAsiaTheme="minorHAnsi" w:hAnsi="Sylfaen"/>
                <w:sz w:val="24"/>
                <w:szCs w:val="24"/>
              </w:rPr>
              <w:t xml:space="preserve"> </w:t>
            </w:r>
            <w:r w:rsidRPr="003B2786">
              <w:rPr>
                <w:rStyle w:val="Bodytext295pt"/>
                <w:rFonts w:ascii="Sylfaen" w:eastAsiaTheme="minorHAnsi" w:hAnsi="Sylfaen"/>
                <w:b w:val="0"/>
                <w:bCs w:val="0"/>
                <w:sz w:val="24"/>
                <w:szCs w:val="24"/>
              </w:rPr>
              <w:t xml:space="preserve">Դեղապատրաստուկների բժշկական կիրառման հրահանգին </w:t>
            </w:r>
            <w:r w:rsidR="00C54D75">
              <w:rPr>
                <w:rStyle w:val="Bodytext295pt"/>
                <w:rFonts w:ascii="Sylfaen" w:eastAsiaTheme="minorHAnsi" w:hAnsi="Sylfaen"/>
                <w:b w:val="0"/>
                <w:bCs w:val="0"/>
                <w:sz w:val="24"/>
                <w:szCs w:val="24"/>
              </w:rPr>
              <w:t>և</w:t>
            </w:r>
            <w:r w:rsidRPr="003B2786">
              <w:rPr>
                <w:rStyle w:val="Bodytext295pt"/>
                <w:rFonts w:ascii="Sylfaen" w:eastAsiaTheme="minorHAnsi" w:hAnsi="Sylfaen"/>
                <w:b w:val="0"/>
                <w:bCs w:val="0"/>
                <w:sz w:val="24"/>
                <w:szCs w:val="24"/>
              </w:rPr>
              <w:t xml:space="preserve"> բժշկական կիրառման դեղապատրաստուկների ընդհանուր բնութագրին ներկայացվող պահանջների հավելվածին</w:t>
            </w:r>
            <w:r w:rsidRPr="003B2786">
              <w:rPr>
                <w:rStyle w:val="Bodytext295pt"/>
                <w:rFonts w:ascii="Sylfaen" w:eastAsiaTheme="minorHAnsi" w:hAnsi="Sylfaen"/>
                <w:sz w:val="24"/>
                <w:szCs w:val="24"/>
              </w:rPr>
              <w:t>:</w:t>
            </w:r>
          </w:p>
          <w:p w14:paraId="0A781015" w14:textId="77777777" w:rsidR="002E713A" w:rsidRPr="00E15E7D" w:rsidRDefault="002E713A" w:rsidP="00390DAC">
            <w:pPr>
              <w:spacing w:after="160" w:line="360" w:lineRule="auto"/>
              <w:ind w:firstLine="525"/>
              <w:rPr>
                <w:rFonts w:ascii="Sylfaen" w:hAnsi="Sylfaen"/>
                <w:sz w:val="24"/>
                <w:szCs w:val="24"/>
              </w:rPr>
            </w:pPr>
          </w:p>
        </w:tc>
        <w:tc>
          <w:tcPr>
            <w:tcW w:w="1819" w:type="dxa"/>
            <w:shd w:val="clear" w:color="auto" w:fill="FFFFFF"/>
            <w:vAlign w:val="bottom"/>
          </w:tcPr>
          <w:p w14:paraId="3B0DBADD" w14:textId="77777777" w:rsidR="008C76E0" w:rsidRPr="002E713A"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314C9D32" w14:textId="77777777" w:rsidTr="008C76E0">
        <w:trPr>
          <w:jc w:val="center"/>
        </w:trPr>
        <w:tc>
          <w:tcPr>
            <w:tcW w:w="7752" w:type="dxa"/>
            <w:shd w:val="clear" w:color="auto" w:fill="FFFFFF"/>
          </w:tcPr>
          <w:p w14:paraId="12BC4A2A" w14:textId="77777777" w:rsidR="008C76E0" w:rsidRPr="008C76E0" w:rsidRDefault="008C76E0" w:rsidP="00390DAC">
            <w:pPr>
              <w:pStyle w:val="Bodytext180"/>
              <w:shd w:val="clear" w:color="auto" w:fill="auto"/>
              <w:tabs>
                <w:tab w:val="left" w:pos="840"/>
              </w:tabs>
              <w:spacing w:before="0" w:after="160" w:line="360" w:lineRule="auto"/>
              <w:ind w:left="100" w:right="44" w:firstLine="525"/>
              <w:jc w:val="both"/>
              <w:rPr>
                <w:rFonts w:ascii="Sylfaen" w:hAnsi="Sylfaen"/>
                <w:b w:val="0"/>
                <w:sz w:val="24"/>
                <w:szCs w:val="24"/>
                <w:lang w:val="hy-AM"/>
              </w:rPr>
            </w:pPr>
            <w:r w:rsidRPr="003B2786">
              <w:rPr>
                <w:rStyle w:val="Bodytext295pt"/>
                <w:rFonts w:ascii="Sylfaen" w:hAnsi="Sylfaen"/>
                <w:sz w:val="24"/>
                <w:szCs w:val="24"/>
              </w:rPr>
              <w:lastRenderedPageBreak/>
              <w:t>Ընդհանուր առմամբ, յուրաքանչյուր պատասխան համապատասխանո՞ւմ է ճիշտ պատասխանների 81 % չափանիշին:</w:t>
            </w:r>
          </w:p>
        </w:tc>
        <w:tc>
          <w:tcPr>
            <w:tcW w:w="1819" w:type="dxa"/>
            <w:shd w:val="clear" w:color="auto" w:fill="FFFFFF"/>
            <w:vAlign w:val="bottom"/>
          </w:tcPr>
          <w:p w14:paraId="5C75E12F"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5ACB607D" w14:textId="77777777" w:rsidTr="008C76E0">
        <w:trPr>
          <w:jc w:val="center"/>
        </w:trPr>
        <w:tc>
          <w:tcPr>
            <w:tcW w:w="9571" w:type="dxa"/>
            <w:gridSpan w:val="2"/>
            <w:shd w:val="clear" w:color="auto" w:fill="FFFFFF"/>
          </w:tcPr>
          <w:p w14:paraId="633747D3" w14:textId="77777777" w:rsidR="008C76E0" w:rsidRPr="003B2786" w:rsidRDefault="008C76E0" w:rsidP="00390DAC">
            <w:pPr>
              <w:pStyle w:val="Bodytext180"/>
              <w:shd w:val="clear" w:color="auto" w:fill="auto"/>
              <w:tabs>
                <w:tab w:val="left" w:pos="840"/>
              </w:tabs>
              <w:spacing w:before="0" w:after="160" w:line="360" w:lineRule="auto"/>
              <w:ind w:left="100" w:right="44" w:firstLine="525"/>
              <w:jc w:val="both"/>
              <w:rPr>
                <w:rFonts w:ascii="Sylfaen" w:hAnsi="Sylfaen"/>
                <w:b w:val="0"/>
                <w:spacing w:val="-6"/>
                <w:sz w:val="24"/>
                <w:szCs w:val="24"/>
              </w:rPr>
            </w:pPr>
            <w:r w:rsidRPr="003B2786">
              <w:rPr>
                <w:rStyle w:val="Bodytext295pt"/>
                <w:rFonts w:ascii="Sylfaen" w:hAnsi="Sylfaen"/>
                <w:spacing w:val="-6"/>
                <w:sz w:val="24"/>
                <w:szCs w:val="24"/>
              </w:rPr>
              <w:t>Մեկնաբանություններ (լրացուցիչ տեղեկատվությ</w:t>
            </w:r>
            <w:r>
              <w:rPr>
                <w:rStyle w:val="Bodytext295pt"/>
                <w:rFonts w:ascii="Sylfaen" w:hAnsi="Sylfaen"/>
                <w:spacing w:val="-6"/>
                <w:sz w:val="24"/>
                <w:szCs w:val="24"/>
              </w:rPr>
              <w:t>ուն) _____________</w:t>
            </w:r>
            <w:r w:rsidRPr="003B2786">
              <w:rPr>
                <w:rStyle w:val="Bodytext295pt"/>
                <w:rFonts w:ascii="Sylfaen" w:hAnsi="Sylfaen"/>
                <w:spacing w:val="-6"/>
                <w:sz w:val="24"/>
                <w:szCs w:val="24"/>
              </w:rPr>
              <w:t>______</w:t>
            </w:r>
          </w:p>
        </w:tc>
      </w:tr>
      <w:tr w:rsidR="008C76E0" w:rsidRPr="003B2786" w14:paraId="35B4A47E" w14:textId="77777777" w:rsidTr="008C76E0">
        <w:trPr>
          <w:jc w:val="center"/>
        </w:trPr>
        <w:tc>
          <w:tcPr>
            <w:tcW w:w="9571" w:type="dxa"/>
            <w:gridSpan w:val="2"/>
            <w:shd w:val="clear" w:color="auto" w:fill="FFFFFF"/>
            <w:vAlign w:val="center"/>
          </w:tcPr>
          <w:p w14:paraId="47417865" w14:textId="77777777" w:rsidR="008C76E0" w:rsidRPr="008C76E0" w:rsidRDefault="008C76E0" w:rsidP="00390DAC">
            <w:pPr>
              <w:pStyle w:val="Bodytext180"/>
              <w:shd w:val="clear" w:color="auto" w:fill="auto"/>
              <w:tabs>
                <w:tab w:val="left" w:pos="1092"/>
              </w:tabs>
              <w:spacing w:before="0" w:after="160" w:line="360" w:lineRule="auto"/>
              <w:ind w:right="44" w:firstLine="525"/>
              <w:jc w:val="both"/>
              <w:rPr>
                <w:rFonts w:ascii="Sylfaen" w:hAnsi="Sylfaen"/>
                <w:b w:val="0"/>
                <w:sz w:val="24"/>
                <w:szCs w:val="24"/>
                <w:lang w:val="hy-AM"/>
              </w:rPr>
            </w:pPr>
            <w:r w:rsidRPr="003B2786">
              <w:rPr>
                <w:rStyle w:val="Bodytext295pt"/>
                <w:rFonts w:ascii="Sylfaen" w:hAnsi="Sylfaen"/>
                <w:sz w:val="24"/>
                <w:szCs w:val="24"/>
              </w:rPr>
              <w:t>4.2.</w:t>
            </w:r>
            <w:r w:rsidRPr="003B2786">
              <w:rPr>
                <w:rStyle w:val="Bodytext295pt"/>
                <w:rFonts w:ascii="Sylfaen" w:hAnsi="Sylfaen"/>
                <w:sz w:val="24"/>
                <w:szCs w:val="24"/>
              </w:rPr>
              <w:tab/>
              <w:t xml:space="preserve">Մանրակերտի </w:t>
            </w:r>
            <w:r w:rsidR="00C54D75">
              <w:rPr>
                <w:rStyle w:val="Bodytext295pt"/>
                <w:rFonts w:ascii="Sylfaen" w:hAnsi="Sylfaen"/>
                <w:sz w:val="24"/>
                <w:szCs w:val="24"/>
              </w:rPr>
              <w:t>և</w:t>
            </w:r>
            <w:r w:rsidRPr="003B2786">
              <w:rPr>
                <w:rStyle w:val="Bodytext295pt"/>
                <w:rFonts w:ascii="Sylfaen" w:hAnsi="Sylfaen"/>
                <w:sz w:val="24"/>
                <w:szCs w:val="24"/>
              </w:rPr>
              <w:t xml:space="preserve"> բովանդակային պլանի գնահատումը</w:t>
            </w:r>
          </w:p>
        </w:tc>
      </w:tr>
      <w:tr w:rsidR="008C76E0" w:rsidRPr="003B2786" w14:paraId="01551D9A" w14:textId="77777777" w:rsidTr="008C76E0">
        <w:trPr>
          <w:jc w:val="center"/>
        </w:trPr>
        <w:tc>
          <w:tcPr>
            <w:tcW w:w="7752" w:type="dxa"/>
            <w:shd w:val="clear" w:color="auto" w:fill="FFFFFF"/>
            <w:vAlign w:val="bottom"/>
          </w:tcPr>
          <w:p w14:paraId="6E173B87" w14:textId="77777777" w:rsidR="008C76E0" w:rsidRPr="008C76E0" w:rsidRDefault="008C76E0" w:rsidP="00390DAC">
            <w:pPr>
              <w:pStyle w:val="Bodytext180"/>
              <w:shd w:val="clear" w:color="auto" w:fill="auto"/>
              <w:tabs>
                <w:tab w:val="left" w:pos="840"/>
              </w:tabs>
              <w:spacing w:before="0" w:after="160" w:line="360" w:lineRule="auto"/>
              <w:ind w:left="100" w:right="44" w:firstLine="525"/>
              <w:jc w:val="both"/>
              <w:rPr>
                <w:rFonts w:ascii="Sylfaen" w:hAnsi="Sylfaen"/>
                <w:b w:val="0"/>
                <w:sz w:val="24"/>
                <w:szCs w:val="24"/>
                <w:lang w:val="hy-AM"/>
              </w:rPr>
            </w:pPr>
            <w:r w:rsidRPr="003B2786">
              <w:rPr>
                <w:rStyle w:val="Bodytext295pt"/>
                <w:rFonts w:ascii="Sylfaen" w:hAnsi="Sylfaen"/>
                <w:spacing w:val="-6"/>
                <w:sz w:val="24"/>
                <w:szCs w:val="24"/>
              </w:rPr>
              <w:t xml:space="preserve">Արդյո՞ք պահպանվել են Դեղապատրաստուկների բժշկական կիրառման հրահանգին </w:t>
            </w:r>
            <w:r w:rsidR="00C54D75">
              <w:rPr>
                <w:rStyle w:val="Bodytext295pt"/>
                <w:rFonts w:ascii="Sylfaen" w:hAnsi="Sylfaen"/>
                <w:spacing w:val="-6"/>
                <w:sz w:val="24"/>
                <w:szCs w:val="24"/>
              </w:rPr>
              <w:t>և</w:t>
            </w:r>
            <w:r w:rsidRPr="003B2786">
              <w:rPr>
                <w:rStyle w:val="Bodytext295pt"/>
                <w:rFonts w:ascii="Sylfaen" w:hAnsi="Sylfaen"/>
                <w:spacing w:val="-6"/>
                <w:sz w:val="24"/>
                <w:szCs w:val="24"/>
              </w:rPr>
              <w:t xml:space="preserve"> բժշկական կիրառման դեղապատրաստուկների ընդհանուր բնութագրին ներկայացվող պահանջների հավելվածում նշված բովանդակային պլանի ընդհանուր</w:t>
            </w:r>
            <w:r w:rsidRPr="003B2786">
              <w:rPr>
                <w:rStyle w:val="Bodytext295pt"/>
                <w:rFonts w:ascii="Sylfaen" w:hAnsi="Sylfaen"/>
                <w:sz w:val="24"/>
                <w:szCs w:val="24"/>
              </w:rPr>
              <w:t xml:space="preserve"> սկզբունքները:</w:t>
            </w:r>
          </w:p>
        </w:tc>
        <w:tc>
          <w:tcPr>
            <w:tcW w:w="1819" w:type="dxa"/>
            <w:shd w:val="clear" w:color="auto" w:fill="FFFFFF"/>
            <w:vAlign w:val="bottom"/>
          </w:tcPr>
          <w:p w14:paraId="0C53AE5F"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1CA8964C" w14:textId="77777777" w:rsidTr="008C76E0">
        <w:trPr>
          <w:jc w:val="center"/>
        </w:trPr>
        <w:tc>
          <w:tcPr>
            <w:tcW w:w="7752" w:type="dxa"/>
            <w:shd w:val="clear" w:color="auto" w:fill="FFFFFF"/>
            <w:vAlign w:val="bottom"/>
          </w:tcPr>
          <w:p w14:paraId="395D3B11" w14:textId="77777777" w:rsidR="008C76E0" w:rsidRPr="008C76E0"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lang w:val="hy-AM"/>
              </w:rPr>
            </w:pPr>
            <w:r w:rsidRPr="003B2786">
              <w:rPr>
                <w:rStyle w:val="Bodytext295pt"/>
                <w:rFonts w:ascii="Sylfaen" w:hAnsi="Sylfaen"/>
                <w:sz w:val="24"/>
                <w:szCs w:val="24"/>
              </w:rPr>
              <w:t>Արդյո՞ք տեքստը շարադրված է պացիենտներին հասկանալի լեզվով:</w:t>
            </w:r>
          </w:p>
        </w:tc>
        <w:tc>
          <w:tcPr>
            <w:tcW w:w="1819" w:type="dxa"/>
            <w:shd w:val="clear" w:color="auto" w:fill="FFFFFF"/>
            <w:vAlign w:val="bottom"/>
          </w:tcPr>
          <w:p w14:paraId="48AFD5C4"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73FA2BAD" w14:textId="77777777" w:rsidTr="008C76E0">
        <w:trPr>
          <w:jc w:val="center"/>
        </w:trPr>
        <w:tc>
          <w:tcPr>
            <w:tcW w:w="7752" w:type="dxa"/>
            <w:shd w:val="clear" w:color="auto" w:fill="FFFFFF"/>
            <w:vAlign w:val="bottom"/>
          </w:tcPr>
          <w:p w14:paraId="0A9AB023" w14:textId="77777777" w:rsidR="008C76E0" w:rsidRPr="008C76E0"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lang w:val="hy-AM"/>
              </w:rPr>
            </w:pPr>
            <w:r w:rsidRPr="003B2786">
              <w:rPr>
                <w:rStyle w:val="Bodytext295pt"/>
                <w:rFonts w:ascii="Sylfaen" w:hAnsi="Sylfaen"/>
                <w:sz w:val="24"/>
                <w:szCs w:val="24"/>
              </w:rPr>
              <w:t>Արդյո՞ք հեշտ է կողմնորոշվել մանրակերտի միջոցով:</w:t>
            </w:r>
          </w:p>
        </w:tc>
        <w:tc>
          <w:tcPr>
            <w:tcW w:w="1819" w:type="dxa"/>
            <w:shd w:val="clear" w:color="auto" w:fill="FFFFFF"/>
            <w:vAlign w:val="bottom"/>
          </w:tcPr>
          <w:p w14:paraId="6B63EFFA"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13AC2F41" w14:textId="77777777" w:rsidTr="008C76E0">
        <w:trPr>
          <w:jc w:val="center"/>
        </w:trPr>
        <w:tc>
          <w:tcPr>
            <w:tcW w:w="7752" w:type="dxa"/>
            <w:shd w:val="clear" w:color="auto" w:fill="FFFFFF"/>
          </w:tcPr>
          <w:p w14:paraId="5F6A6E60" w14:textId="77777777" w:rsidR="008C76E0" w:rsidRPr="008C76E0"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lang w:val="hy-AM"/>
              </w:rPr>
            </w:pPr>
            <w:r w:rsidRPr="003B2786">
              <w:rPr>
                <w:rStyle w:val="Bodytext295pt"/>
                <w:rFonts w:ascii="Sylfaen" w:hAnsi="Sylfaen"/>
                <w:sz w:val="24"/>
                <w:szCs w:val="24"/>
              </w:rPr>
              <w:t>Արդյո՞ք ընդունելի է սխեմաների կիրառումը:</w:t>
            </w:r>
          </w:p>
        </w:tc>
        <w:tc>
          <w:tcPr>
            <w:tcW w:w="1819" w:type="dxa"/>
            <w:shd w:val="clear" w:color="auto" w:fill="FFFFFF"/>
          </w:tcPr>
          <w:p w14:paraId="111953B0" w14:textId="77777777" w:rsidR="008C76E0" w:rsidRPr="003B2786"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z w:val="24"/>
                <w:szCs w:val="24"/>
              </w:rPr>
            </w:pPr>
            <w:r w:rsidRPr="003B2786">
              <w:rPr>
                <w:rStyle w:val="Bodytext295pt"/>
                <w:rFonts w:ascii="Sylfaen" w:hAnsi="Sylfaen"/>
                <w:sz w:val="24"/>
                <w:szCs w:val="24"/>
              </w:rPr>
              <w:t>□ այո □ ոչ</w:t>
            </w:r>
          </w:p>
        </w:tc>
      </w:tr>
      <w:tr w:rsidR="008C76E0" w:rsidRPr="003B2786" w14:paraId="67490A64" w14:textId="77777777" w:rsidTr="008C76E0">
        <w:trPr>
          <w:jc w:val="center"/>
        </w:trPr>
        <w:tc>
          <w:tcPr>
            <w:tcW w:w="9571" w:type="dxa"/>
            <w:gridSpan w:val="2"/>
            <w:shd w:val="clear" w:color="auto" w:fill="FFFFFF"/>
            <w:vAlign w:val="center"/>
          </w:tcPr>
          <w:p w14:paraId="4F9D7973" w14:textId="77777777" w:rsidR="008C76E0" w:rsidRPr="00CB552F" w:rsidRDefault="008C76E0" w:rsidP="00390DAC">
            <w:pPr>
              <w:pStyle w:val="Bodytext180"/>
              <w:shd w:val="clear" w:color="auto" w:fill="auto"/>
              <w:tabs>
                <w:tab w:val="left" w:pos="840"/>
              </w:tabs>
              <w:spacing w:before="0" w:after="160" w:line="360" w:lineRule="auto"/>
              <w:ind w:left="100" w:right="44" w:firstLine="0"/>
              <w:jc w:val="both"/>
              <w:rPr>
                <w:rFonts w:ascii="Sylfaen" w:hAnsi="Sylfaen"/>
                <w:b w:val="0"/>
                <w:spacing w:val="-4"/>
                <w:sz w:val="24"/>
                <w:szCs w:val="24"/>
              </w:rPr>
            </w:pPr>
            <w:r w:rsidRPr="003B2786">
              <w:rPr>
                <w:rStyle w:val="Bodytext295pt"/>
                <w:rFonts w:ascii="Sylfaen" w:hAnsi="Sylfaen"/>
                <w:spacing w:val="-4"/>
                <w:sz w:val="24"/>
                <w:szCs w:val="24"/>
              </w:rPr>
              <w:t>Մեկնաբանություններ (լրացուցիչ տեղեկատվությ</w:t>
            </w:r>
            <w:r w:rsidR="00CB552F">
              <w:rPr>
                <w:rStyle w:val="Bodytext295pt"/>
                <w:rFonts w:ascii="Sylfaen" w:hAnsi="Sylfaen"/>
                <w:spacing w:val="-4"/>
                <w:sz w:val="24"/>
                <w:szCs w:val="24"/>
              </w:rPr>
              <w:t>ուն)</w:t>
            </w:r>
            <w:r w:rsidRPr="003B2786">
              <w:rPr>
                <w:rStyle w:val="Bodytext295pt"/>
                <w:rFonts w:ascii="Sylfaen" w:hAnsi="Sylfaen"/>
                <w:spacing w:val="-4"/>
                <w:sz w:val="24"/>
                <w:szCs w:val="24"/>
              </w:rPr>
              <w:t>_____________________________</w:t>
            </w:r>
          </w:p>
        </w:tc>
      </w:tr>
    </w:tbl>
    <w:p w14:paraId="78208175" w14:textId="77777777" w:rsidR="008C76E0" w:rsidRPr="003B2786" w:rsidRDefault="008C76E0" w:rsidP="00390DAC">
      <w:pPr>
        <w:spacing w:after="160" w:line="360" w:lineRule="auto"/>
        <w:ind w:right="-1"/>
        <w:jc w:val="both"/>
        <w:rPr>
          <w:rFonts w:ascii="Sylfaen" w:hAnsi="Sylfaen"/>
          <w:sz w:val="24"/>
          <w:szCs w:val="24"/>
        </w:rPr>
      </w:pPr>
    </w:p>
    <w:tbl>
      <w:tblPr>
        <w:tblOverlap w:val="never"/>
        <w:tblW w:w="9581" w:type="dxa"/>
        <w:jc w:val="center"/>
        <w:tblLayout w:type="fixed"/>
        <w:tblCellMar>
          <w:left w:w="10" w:type="dxa"/>
          <w:right w:w="10" w:type="dxa"/>
        </w:tblCellMar>
        <w:tblLook w:val="04A0" w:firstRow="1" w:lastRow="0" w:firstColumn="1" w:lastColumn="0" w:noHBand="0" w:noVBand="1"/>
      </w:tblPr>
      <w:tblGrid>
        <w:gridCol w:w="9581"/>
      </w:tblGrid>
      <w:tr w:rsidR="008C76E0" w:rsidRPr="003B2786" w14:paraId="093AF03B" w14:textId="77777777" w:rsidTr="008C76E0">
        <w:trPr>
          <w:jc w:val="center"/>
        </w:trPr>
        <w:tc>
          <w:tcPr>
            <w:tcW w:w="9581" w:type="dxa"/>
            <w:tcBorders>
              <w:top w:val="single" w:sz="4" w:space="0" w:color="auto"/>
              <w:left w:val="single" w:sz="4" w:space="0" w:color="auto"/>
              <w:right w:val="single" w:sz="4" w:space="0" w:color="auto"/>
            </w:tcBorders>
            <w:shd w:val="clear" w:color="auto" w:fill="FFFFFF"/>
            <w:vAlign w:val="bottom"/>
          </w:tcPr>
          <w:p w14:paraId="12134B42" w14:textId="77777777" w:rsidR="008C76E0" w:rsidRPr="008C76E0" w:rsidRDefault="008C76E0" w:rsidP="00390DAC">
            <w:pPr>
              <w:pStyle w:val="Bodytext180"/>
              <w:shd w:val="clear" w:color="auto" w:fill="auto"/>
              <w:spacing w:before="0" w:after="160" w:line="360" w:lineRule="auto"/>
              <w:ind w:left="62" w:right="79" w:firstLine="0"/>
              <w:jc w:val="center"/>
              <w:rPr>
                <w:rFonts w:ascii="Sylfaen" w:hAnsi="Sylfaen"/>
                <w:b w:val="0"/>
                <w:sz w:val="24"/>
                <w:szCs w:val="24"/>
                <w:lang w:val="hy-AM"/>
              </w:rPr>
            </w:pPr>
            <w:r w:rsidRPr="003B2786">
              <w:rPr>
                <w:rStyle w:val="Bodytext1811pt"/>
                <w:rFonts w:ascii="Sylfaen" w:hAnsi="Sylfaen"/>
                <w:sz w:val="24"/>
                <w:szCs w:val="24"/>
              </w:rPr>
              <w:t>Որակի ասպեկտների հետ կապված կանոնները</w:t>
            </w:r>
          </w:p>
        </w:tc>
      </w:tr>
      <w:tr w:rsidR="008C76E0" w:rsidRPr="003B2786" w14:paraId="25324C69" w14:textId="77777777" w:rsidTr="008C76E0">
        <w:trPr>
          <w:jc w:val="center"/>
        </w:trPr>
        <w:tc>
          <w:tcPr>
            <w:tcW w:w="9581" w:type="dxa"/>
            <w:tcBorders>
              <w:left w:val="single" w:sz="4" w:space="0" w:color="auto"/>
              <w:right w:val="single" w:sz="4" w:space="0" w:color="auto"/>
            </w:tcBorders>
            <w:shd w:val="clear" w:color="auto" w:fill="FFFFFF"/>
          </w:tcPr>
          <w:p w14:paraId="351EC553"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b w:val="0"/>
                <w:sz w:val="24"/>
                <w:szCs w:val="24"/>
                <w:lang w:val="hy-AM"/>
              </w:rPr>
            </w:pPr>
            <w:r w:rsidRPr="003B2786">
              <w:rPr>
                <w:rStyle w:val="Bodytext1811pt"/>
                <w:rFonts w:ascii="Sylfaen" w:hAnsi="Sylfaen"/>
                <w:sz w:val="24"/>
                <w:szCs w:val="24"/>
              </w:rPr>
              <w:t>Որակի ասպեկտները գնահատելիս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յալ հանգամանքները.</w:t>
            </w:r>
          </w:p>
          <w:p w14:paraId="7884DC56"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b w:val="0"/>
                <w:i/>
                <w:sz w:val="24"/>
                <w:szCs w:val="24"/>
                <w:lang w:val="hy-AM"/>
              </w:rPr>
            </w:pPr>
            <w:r w:rsidRPr="003B2786">
              <w:rPr>
                <w:rStyle w:val="Bodytext295pt"/>
                <w:rFonts w:ascii="Sylfaen" w:hAnsi="Sylfaen"/>
                <w:i/>
                <w:sz w:val="24"/>
                <w:szCs w:val="24"/>
              </w:rPr>
              <w:t>արդյո՞ք ամբողջական է հաշվետվությունը,</w:t>
            </w:r>
          </w:p>
          <w:p w14:paraId="1C05D19F"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b w:val="0"/>
                <w:i/>
                <w:sz w:val="24"/>
                <w:szCs w:val="24"/>
                <w:lang w:val="hy-AM"/>
              </w:rPr>
            </w:pPr>
            <w:r w:rsidRPr="003B2786">
              <w:rPr>
                <w:rStyle w:val="Bodytext295pt"/>
                <w:rFonts w:ascii="Sylfaen" w:hAnsi="Sylfaen"/>
                <w:i/>
                <w:sz w:val="24"/>
                <w:szCs w:val="24"/>
              </w:rPr>
              <w:t xml:space="preserve">հաշվետվության մեջ արդյո՞ք հստակ սահմանազատված են քանակական </w:t>
            </w:r>
            <w:r w:rsidR="00C54D75">
              <w:rPr>
                <w:rStyle w:val="Bodytext295pt"/>
                <w:rFonts w:ascii="Sylfaen" w:hAnsi="Sylfaen"/>
                <w:i/>
                <w:sz w:val="24"/>
                <w:szCs w:val="24"/>
              </w:rPr>
              <w:t>և</w:t>
            </w:r>
            <w:r w:rsidRPr="003B2786">
              <w:rPr>
                <w:rStyle w:val="Bodytext295pt"/>
                <w:rFonts w:ascii="Sylfaen" w:hAnsi="Sylfaen"/>
                <w:i/>
                <w:sz w:val="24"/>
                <w:szCs w:val="24"/>
              </w:rPr>
              <w:t xml:space="preserve"> որակական արդյունքները,</w:t>
            </w:r>
          </w:p>
          <w:p w14:paraId="26477656"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b w:val="0"/>
                <w:i/>
                <w:sz w:val="24"/>
                <w:szCs w:val="24"/>
                <w:lang w:val="hy-AM"/>
              </w:rPr>
            </w:pPr>
            <w:r w:rsidRPr="003B2786">
              <w:rPr>
                <w:rStyle w:val="Bodytext295pt"/>
                <w:rFonts w:ascii="Sylfaen" w:hAnsi="Sylfaen"/>
                <w:i/>
                <w:sz w:val="24"/>
                <w:szCs w:val="24"/>
              </w:rPr>
              <w:t xml:space="preserve">արդյո՞ք հստակ նշված է դեղապատրաստուկի </w:t>
            </w:r>
            <w:r w:rsidR="00C54D75">
              <w:rPr>
                <w:rStyle w:val="Bodytext295pt"/>
                <w:rFonts w:ascii="Sylfaen" w:hAnsi="Sylfaen"/>
                <w:i/>
                <w:sz w:val="24"/>
                <w:szCs w:val="24"/>
              </w:rPr>
              <w:t>և</w:t>
            </w:r>
            <w:r w:rsidRPr="003B2786">
              <w:rPr>
                <w:rStyle w:val="Bodytext295pt"/>
                <w:rFonts w:ascii="Sylfaen" w:hAnsi="Sylfaen"/>
                <w:i/>
                <w:sz w:val="24"/>
                <w:szCs w:val="24"/>
              </w:rPr>
              <w:t xml:space="preserve"> համապատասխան ընկերության անվանումը,</w:t>
            </w:r>
          </w:p>
          <w:p w14:paraId="1E939637"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հիմք ընդունելով Միության կանոնները՝ արդյո՞ք ըստ «ախտորոշիչ» հարցերի հավաքվել են բավարար քանակությամբ բալեր (տե՛ս 1.2 կետը),</w:t>
            </w:r>
          </w:p>
          <w:p w14:paraId="1EF66EB6" w14:textId="77777777" w:rsidR="008C76E0" w:rsidRPr="00E15E7D" w:rsidRDefault="008C76E0" w:rsidP="00390DAC">
            <w:pPr>
              <w:pStyle w:val="Bodytext180"/>
              <w:shd w:val="clear" w:color="auto" w:fill="auto"/>
              <w:spacing w:before="0" w:after="160" w:line="360" w:lineRule="auto"/>
              <w:ind w:left="62" w:right="79" w:firstLine="532"/>
              <w:jc w:val="both"/>
              <w:rPr>
                <w:rStyle w:val="Bodytext295pt"/>
                <w:rFonts w:ascii="Sylfaen" w:hAnsi="Sylfaen"/>
                <w:i/>
                <w:sz w:val="24"/>
                <w:szCs w:val="24"/>
              </w:rPr>
            </w:pPr>
            <w:r w:rsidRPr="003B2786">
              <w:rPr>
                <w:rStyle w:val="Bodytext295pt"/>
                <w:rFonts w:ascii="Sylfaen" w:hAnsi="Sylfaen"/>
                <w:i/>
                <w:sz w:val="24"/>
                <w:szCs w:val="24"/>
              </w:rPr>
              <w:lastRenderedPageBreak/>
              <w:t xml:space="preserve">արդյո՞ք ռեսպոնդենտները ներդիր թերթիկի մանրակերտը </w:t>
            </w:r>
            <w:r w:rsidR="00C54D75">
              <w:rPr>
                <w:rStyle w:val="Bodytext295pt"/>
                <w:rFonts w:ascii="Sylfaen" w:hAnsi="Sylfaen"/>
                <w:i/>
                <w:sz w:val="24"/>
                <w:szCs w:val="24"/>
              </w:rPr>
              <w:t>և</w:t>
            </w:r>
            <w:r w:rsidRPr="003B2786">
              <w:rPr>
                <w:rStyle w:val="Bodytext295pt"/>
                <w:rFonts w:ascii="Sylfaen" w:hAnsi="Sylfaen"/>
                <w:i/>
                <w:sz w:val="24"/>
                <w:szCs w:val="24"/>
              </w:rPr>
              <w:t xml:space="preserve"> բովանդակ</w:t>
            </w:r>
            <w:r w:rsidR="00CB552F">
              <w:rPr>
                <w:rStyle w:val="Bodytext295pt"/>
                <w:rFonts w:ascii="Sylfaen" w:hAnsi="Sylfaen"/>
                <w:i/>
                <w:sz w:val="24"/>
                <w:szCs w:val="24"/>
              </w:rPr>
              <w:t>ային պլանը բավարար են համարում:</w:t>
            </w:r>
          </w:p>
          <w:p w14:paraId="6F01EE77"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Անհրաժեշտ է հատուկ ուշադրություն դարձնել հետ</w:t>
            </w:r>
            <w:r w:rsidR="00C54D75">
              <w:rPr>
                <w:rStyle w:val="Bodytext295pt"/>
                <w:rFonts w:ascii="Sylfaen" w:hAnsi="Sylfaen"/>
                <w:i/>
                <w:sz w:val="24"/>
                <w:szCs w:val="24"/>
              </w:rPr>
              <w:t>և</w:t>
            </w:r>
            <w:r w:rsidRPr="003B2786">
              <w:rPr>
                <w:rStyle w:val="Bodytext295pt"/>
                <w:rFonts w:ascii="Sylfaen" w:hAnsi="Sylfaen"/>
                <w:i/>
                <w:sz w:val="24"/>
                <w:szCs w:val="24"/>
              </w:rPr>
              <w:t>յալ հարցերին.</w:t>
            </w:r>
          </w:p>
          <w:p w14:paraId="38264DD5"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շարադրման ոճը (լեզվի պարզությունը, նախադասությունների հակիրճ լինելը, ենթակետերի օգտագործումը),</w:t>
            </w:r>
          </w:p>
          <w:p w14:paraId="3084AEEF"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 xml:space="preserve">տառատեսակի լրակազմը (տառատեսակի չափը, շեղատառի, ընդգծման, փոքրատառերի </w:t>
            </w:r>
            <w:r w:rsidR="00C54D75">
              <w:rPr>
                <w:rStyle w:val="Bodytext295pt"/>
                <w:rFonts w:ascii="Sylfaen" w:hAnsi="Sylfaen"/>
                <w:i/>
                <w:sz w:val="24"/>
                <w:szCs w:val="24"/>
              </w:rPr>
              <w:t>և</w:t>
            </w:r>
            <w:r w:rsidRPr="003B2786">
              <w:rPr>
                <w:rStyle w:val="Bodytext295pt"/>
                <w:rFonts w:ascii="Sylfaen" w:hAnsi="Sylfaen"/>
                <w:i/>
                <w:sz w:val="24"/>
                <w:szCs w:val="24"/>
              </w:rPr>
              <w:t xml:space="preserve"> մեծատառերի օգտագործումը),</w:t>
            </w:r>
          </w:p>
          <w:p w14:paraId="6D37D665"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մանրակերտը (հեռավորությունը, ազատ հատվածը, ցայտագունությունը, տեքստի հավասարեցումը դեպի ձախ եզրագիծը, սյունակները),</w:t>
            </w:r>
          </w:p>
          <w:p w14:paraId="1228DD27" w14:textId="77777777" w:rsidR="008C76E0" w:rsidRPr="003B2786" w:rsidRDefault="008C76E0" w:rsidP="00390DAC">
            <w:pPr>
              <w:pStyle w:val="Bodytext180"/>
              <w:shd w:val="clear" w:color="auto" w:fill="auto"/>
              <w:spacing w:before="0" w:after="160" w:line="360" w:lineRule="auto"/>
              <w:ind w:left="62" w:right="79" w:firstLine="532"/>
              <w:jc w:val="both"/>
              <w:rPr>
                <w:rStyle w:val="Bodytext295pt"/>
                <w:rFonts w:ascii="Sylfaen" w:hAnsi="Sylfaen"/>
                <w:i/>
                <w:sz w:val="24"/>
                <w:szCs w:val="24"/>
              </w:rPr>
            </w:pPr>
            <w:r w:rsidRPr="003B2786">
              <w:rPr>
                <w:rStyle w:val="Bodytext295pt"/>
                <w:rFonts w:ascii="Sylfaen" w:hAnsi="Sylfaen"/>
                <w:i/>
                <w:sz w:val="24"/>
                <w:szCs w:val="24"/>
              </w:rPr>
              <w:t xml:space="preserve">վերնագրերը (միանման դիրքը, ընդգծումը), </w:t>
            </w:r>
          </w:p>
          <w:p w14:paraId="44B8C968"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գույնի օգտագործումը (ընթացիկ, համապատասխան ցայտագունությունը):</w:t>
            </w:r>
          </w:p>
          <w:p w14:paraId="00136304"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i/>
                <w:sz w:val="24"/>
                <w:szCs w:val="24"/>
                <w:lang w:val="hy-AM"/>
              </w:rPr>
            </w:pPr>
            <w:r w:rsidRPr="003B2786">
              <w:rPr>
                <w:rStyle w:val="Bodytext295pt"/>
                <w:rFonts w:ascii="Sylfaen" w:hAnsi="Sylfaen"/>
                <w:i/>
                <w:sz w:val="24"/>
                <w:szCs w:val="24"/>
              </w:rPr>
              <w:t>Անհրաժեշտ է անցկացնել պատկերագրերի օգտատիրական թեստավորում, քանի որ, ինչպես հայտնի է, պացիենտները դրանցում լավ չեն կողմնորոշվում</w:t>
            </w:r>
          </w:p>
          <w:p w14:paraId="02CA47D4" w14:textId="77777777" w:rsidR="008C76E0" w:rsidRPr="008C76E0" w:rsidRDefault="008C76E0" w:rsidP="00390DAC">
            <w:pPr>
              <w:pStyle w:val="Bodytext180"/>
              <w:shd w:val="clear" w:color="auto" w:fill="auto"/>
              <w:spacing w:before="0" w:after="160" w:line="360" w:lineRule="auto"/>
              <w:ind w:left="62" w:right="79" w:firstLine="532"/>
              <w:jc w:val="both"/>
              <w:rPr>
                <w:rFonts w:ascii="Sylfaen" w:hAnsi="Sylfaen"/>
                <w:sz w:val="24"/>
                <w:szCs w:val="24"/>
                <w:lang w:val="hy-AM"/>
              </w:rPr>
            </w:pPr>
            <w:r w:rsidRPr="003B2786">
              <w:rPr>
                <w:rStyle w:val="Bodytext295pt"/>
                <w:rFonts w:ascii="Sylfaen" w:hAnsi="Sylfaen"/>
                <w:i/>
                <w:sz w:val="24"/>
                <w:szCs w:val="24"/>
              </w:rPr>
              <w:t xml:space="preserve">արդյո՞ք ռեսպոնդենտները բախվում են դժվարությունների՝ ԲԿՈՒ-ում (ՆԹ-ում) ներկայացված տեղեկատվություն փնտրելիս </w:t>
            </w:r>
            <w:r w:rsidR="00C54D75">
              <w:rPr>
                <w:rStyle w:val="Bodytext295pt"/>
                <w:rFonts w:ascii="Sylfaen" w:hAnsi="Sylfaen"/>
                <w:i/>
                <w:sz w:val="24"/>
                <w:szCs w:val="24"/>
              </w:rPr>
              <w:t>և</w:t>
            </w:r>
            <w:r w:rsidRPr="003B2786">
              <w:rPr>
                <w:rStyle w:val="Bodytext295pt"/>
                <w:rFonts w:ascii="Sylfaen" w:hAnsi="Sylfaen"/>
                <w:i/>
                <w:sz w:val="24"/>
                <w:szCs w:val="24"/>
              </w:rPr>
              <w:t xml:space="preserve"> ճիշտ կիրառելիս (տեղին լինելու դեպքում):</w:t>
            </w:r>
          </w:p>
        </w:tc>
      </w:tr>
    </w:tbl>
    <w:p w14:paraId="15AA28B7" w14:textId="77777777" w:rsidR="008C76E0" w:rsidRPr="003B2786" w:rsidRDefault="008C76E0" w:rsidP="002E713A">
      <w:pPr>
        <w:spacing w:after="160" w:line="336" w:lineRule="auto"/>
        <w:jc w:val="both"/>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52"/>
        <w:gridCol w:w="1742"/>
      </w:tblGrid>
      <w:tr w:rsidR="008C76E0" w:rsidRPr="003B2786" w14:paraId="67D66FCB" w14:textId="77777777" w:rsidTr="008C76E0">
        <w:trPr>
          <w:jc w:val="center"/>
        </w:trPr>
        <w:tc>
          <w:tcPr>
            <w:tcW w:w="9494" w:type="dxa"/>
            <w:gridSpan w:val="2"/>
            <w:shd w:val="clear" w:color="auto" w:fill="FFFFFF"/>
          </w:tcPr>
          <w:p w14:paraId="3BE8AA34" w14:textId="77777777" w:rsidR="008C76E0" w:rsidRPr="003B2786" w:rsidRDefault="008C76E0" w:rsidP="002E713A">
            <w:pPr>
              <w:pStyle w:val="Bodytext180"/>
              <w:shd w:val="clear" w:color="auto" w:fill="auto"/>
              <w:tabs>
                <w:tab w:val="left" w:pos="1112"/>
              </w:tabs>
              <w:spacing w:before="0" w:after="160" w:line="336" w:lineRule="auto"/>
              <w:ind w:firstLine="552"/>
              <w:jc w:val="both"/>
              <w:rPr>
                <w:rFonts w:ascii="Sylfaen" w:hAnsi="Sylfaen"/>
                <w:i/>
                <w:sz w:val="24"/>
                <w:szCs w:val="24"/>
              </w:rPr>
            </w:pPr>
            <w:r w:rsidRPr="003B2786">
              <w:rPr>
                <w:rStyle w:val="Bodytext295pt"/>
                <w:rFonts w:ascii="Sylfaen" w:hAnsi="Sylfaen"/>
                <w:sz w:val="24"/>
                <w:szCs w:val="24"/>
              </w:rPr>
              <w:t>5.</w:t>
            </w:r>
            <w:r w:rsidRPr="003B2786">
              <w:rPr>
                <w:rStyle w:val="Bodytext295pt"/>
                <w:rFonts w:ascii="Sylfaen" w:hAnsi="Sylfaen"/>
                <w:sz w:val="24"/>
                <w:szCs w:val="24"/>
              </w:rPr>
              <w:tab/>
              <w:t>Ախտորոշման/ գնահատման որակը</w:t>
            </w:r>
          </w:p>
        </w:tc>
      </w:tr>
      <w:tr w:rsidR="008C76E0" w:rsidRPr="003B2786" w14:paraId="5CD23DC9" w14:textId="77777777" w:rsidTr="008C76E0">
        <w:trPr>
          <w:jc w:val="center"/>
        </w:trPr>
        <w:tc>
          <w:tcPr>
            <w:tcW w:w="7752" w:type="dxa"/>
            <w:shd w:val="clear" w:color="auto" w:fill="FFFFFF"/>
            <w:vAlign w:val="bottom"/>
          </w:tcPr>
          <w:p w14:paraId="288BB5F5" w14:textId="77777777" w:rsidR="008C76E0" w:rsidRPr="008C76E0" w:rsidRDefault="008C76E0" w:rsidP="002E713A">
            <w:pPr>
              <w:pStyle w:val="Bodytext180"/>
              <w:shd w:val="clear" w:color="auto" w:fill="auto"/>
              <w:spacing w:before="0" w:after="160" w:line="336" w:lineRule="auto"/>
              <w:ind w:firstLine="552"/>
              <w:jc w:val="both"/>
              <w:rPr>
                <w:rFonts w:ascii="Sylfaen" w:hAnsi="Sylfaen"/>
                <w:i/>
                <w:sz w:val="24"/>
                <w:szCs w:val="24"/>
                <w:lang w:val="hy-AM"/>
              </w:rPr>
            </w:pPr>
            <w:r w:rsidRPr="003B2786">
              <w:rPr>
                <w:rStyle w:val="Bodytext295pt"/>
                <w:rFonts w:ascii="Sylfaen" w:hAnsi="Sylfaen"/>
                <w:sz w:val="24"/>
                <w:szCs w:val="24"/>
              </w:rPr>
              <w:t>Արդյո՞ք ԲԿՈՒ-ում (ՆԹ-ում) ի հայտ է բերվել որ</w:t>
            </w:r>
            <w:r w:rsidR="00C54D75">
              <w:rPr>
                <w:rStyle w:val="Bodytext295pt"/>
                <w:rFonts w:ascii="Sylfaen" w:hAnsi="Sylfaen"/>
                <w:sz w:val="24"/>
                <w:szCs w:val="24"/>
              </w:rPr>
              <w:t>և</w:t>
            </w:r>
            <w:r w:rsidRPr="003B2786">
              <w:rPr>
                <w:rStyle w:val="Bodytext295pt"/>
                <w:rFonts w:ascii="Sylfaen" w:hAnsi="Sylfaen"/>
                <w:sz w:val="24"/>
                <w:szCs w:val="24"/>
              </w:rPr>
              <w:t>է թույլ կողմ:</w:t>
            </w:r>
          </w:p>
        </w:tc>
        <w:tc>
          <w:tcPr>
            <w:tcW w:w="1742" w:type="dxa"/>
            <w:shd w:val="clear" w:color="auto" w:fill="FFFFFF"/>
            <w:vAlign w:val="bottom"/>
          </w:tcPr>
          <w:p w14:paraId="12D05179" w14:textId="77777777" w:rsidR="008C76E0" w:rsidRPr="003B2786" w:rsidRDefault="008C76E0" w:rsidP="002E713A">
            <w:pPr>
              <w:pStyle w:val="Bodytext180"/>
              <w:shd w:val="clear" w:color="auto" w:fill="auto"/>
              <w:spacing w:before="0" w:after="160" w:line="336" w:lineRule="auto"/>
              <w:ind w:firstLine="552"/>
              <w:jc w:val="both"/>
              <w:rPr>
                <w:rFonts w:ascii="Sylfaen" w:hAnsi="Sylfaen"/>
                <w:i/>
                <w:sz w:val="24"/>
                <w:szCs w:val="24"/>
              </w:rPr>
            </w:pPr>
            <w:r w:rsidRPr="003B2786">
              <w:rPr>
                <w:rStyle w:val="Bodytext295pt"/>
                <w:rFonts w:ascii="Sylfaen" w:hAnsi="Sylfaen"/>
                <w:sz w:val="24"/>
                <w:szCs w:val="24"/>
              </w:rPr>
              <w:t>□ այո □ ոչ</w:t>
            </w:r>
          </w:p>
        </w:tc>
      </w:tr>
      <w:tr w:rsidR="008C76E0" w:rsidRPr="003B2786" w14:paraId="1330D333" w14:textId="77777777" w:rsidTr="008C76E0">
        <w:trPr>
          <w:jc w:val="center"/>
        </w:trPr>
        <w:tc>
          <w:tcPr>
            <w:tcW w:w="7752" w:type="dxa"/>
            <w:shd w:val="clear" w:color="auto" w:fill="FFFFFF"/>
          </w:tcPr>
          <w:p w14:paraId="08993605" w14:textId="77777777" w:rsidR="008C76E0" w:rsidRPr="008C76E0" w:rsidRDefault="008C76E0" w:rsidP="002E713A">
            <w:pPr>
              <w:pStyle w:val="Bodytext180"/>
              <w:shd w:val="clear" w:color="auto" w:fill="auto"/>
              <w:spacing w:before="0" w:after="160" w:line="336" w:lineRule="auto"/>
              <w:ind w:firstLine="552"/>
              <w:jc w:val="both"/>
              <w:rPr>
                <w:rFonts w:ascii="Sylfaen" w:hAnsi="Sylfaen"/>
                <w:i/>
                <w:sz w:val="24"/>
                <w:szCs w:val="24"/>
                <w:lang w:val="hy-AM"/>
              </w:rPr>
            </w:pPr>
            <w:r w:rsidRPr="003B2786">
              <w:rPr>
                <w:rStyle w:val="Bodytext295pt"/>
                <w:rFonts w:ascii="Sylfaen" w:hAnsi="Sylfaen"/>
                <w:sz w:val="24"/>
                <w:szCs w:val="24"/>
              </w:rPr>
              <w:t>Արդյո՞ք պատշաճ ձ</w:t>
            </w:r>
            <w:r w:rsidR="00C54D75">
              <w:rPr>
                <w:rStyle w:val="Bodytext295pt"/>
                <w:rFonts w:ascii="Sylfaen" w:hAnsi="Sylfaen"/>
                <w:sz w:val="24"/>
                <w:szCs w:val="24"/>
              </w:rPr>
              <w:t>և</w:t>
            </w:r>
            <w:r w:rsidRPr="003B2786">
              <w:rPr>
                <w:rStyle w:val="Bodytext295pt"/>
                <w:rFonts w:ascii="Sylfaen" w:hAnsi="Sylfaen"/>
                <w:sz w:val="24"/>
                <w:szCs w:val="24"/>
              </w:rPr>
              <w:t>ով վերացվել են թույլ կողմերը:</w:t>
            </w:r>
          </w:p>
        </w:tc>
        <w:tc>
          <w:tcPr>
            <w:tcW w:w="1742" w:type="dxa"/>
            <w:shd w:val="clear" w:color="auto" w:fill="FFFFFF"/>
          </w:tcPr>
          <w:p w14:paraId="78BA03CD" w14:textId="77777777" w:rsidR="008C76E0" w:rsidRPr="003B2786" w:rsidRDefault="008C76E0" w:rsidP="002E713A">
            <w:pPr>
              <w:pStyle w:val="Bodytext180"/>
              <w:shd w:val="clear" w:color="auto" w:fill="auto"/>
              <w:spacing w:before="0" w:after="160" w:line="336" w:lineRule="auto"/>
              <w:ind w:firstLine="552"/>
              <w:jc w:val="both"/>
              <w:rPr>
                <w:rFonts w:ascii="Sylfaen" w:hAnsi="Sylfaen"/>
                <w:i/>
                <w:sz w:val="24"/>
                <w:szCs w:val="24"/>
              </w:rPr>
            </w:pPr>
            <w:r w:rsidRPr="003B2786">
              <w:rPr>
                <w:rStyle w:val="Bodytext295pt"/>
                <w:rFonts w:ascii="Sylfaen" w:hAnsi="Sylfaen"/>
                <w:sz w:val="24"/>
                <w:szCs w:val="24"/>
              </w:rPr>
              <w:t>□ այո □ ոչ</w:t>
            </w:r>
          </w:p>
        </w:tc>
      </w:tr>
      <w:tr w:rsidR="008C76E0" w:rsidRPr="003B2786" w14:paraId="02808550" w14:textId="77777777" w:rsidTr="008C76E0">
        <w:trPr>
          <w:jc w:val="center"/>
        </w:trPr>
        <w:tc>
          <w:tcPr>
            <w:tcW w:w="9494" w:type="dxa"/>
            <w:gridSpan w:val="2"/>
            <w:shd w:val="clear" w:color="auto" w:fill="FFFFFF"/>
          </w:tcPr>
          <w:p w14:paraId="53230B97" w14:textId="77777777" w:rsidR="008C76E0" w:rsidRPr="003B2786" w:rsidRDefault="008C76E0" w:rsidP="002E713A">
            <w:pPr>
              <w:pStyle w:val="Bodytext180"/>
              <w:shd w:val="clear" w:color="auto" w:fill="auto"/>
              <w:spacing w:before="0" w:after="160" w:line="336" w:lineRule="auto"/>
              <w:ind w:firstLine="552"/>
              <w:jc w:val="both"/>
              <w:rPr>
                <w:rFonts w:ascii="Sylfaen" w:hAnsi="Sylfaen"/>
                <w:i/>
                <w:spacing w:val="-4"/>
                <w:sz w:val="24"/>
                <w:szCs w:val="24"/>
              </w:rPr>
            </w:pPr>
            <w:r w:rsidRPr="003B2786">
              <w:rPr>
                <w:rStyle w:val="Bodytext295pt"/>
                <w:rFonts w:ascii="Sylfaen" w:hAnsi="Sylfaen"/>
                <w:spacing w:val="-4"/>
                <w:sz w:val="24"/>
                <w:szCs w:val="24"/>
              </w:rPr>
              <w:t>Մեկնաբանություններ (լրացուցիչ տեղեկատվություն) ________________</w:t>
            </w:r>
            <w:r>
              <w:rPr>
                <w:rStyle w:val="Bodytext295pt"/>
                <w:rFonts w:ascii="Sylfaen" w:hAnsi="Sylfaen"/>
                <w:spacing w:val="-4"/>
                <w:sz w:val="24"/>
                <w:szCs w:val="24"/>
              </w:rPr>
              <w:t>_____</w:t>
            </w:r>
            <w:r w:rsidRPr="003B2786">
              <w:rPr>
                <w:rStyle w:val="Bodytext295pt"/>
                <w:rFonts w:ascii="Sylfaen" w:hAnsi="Sylfaen"/>
                <w:spacing w:val="-4"/>
                <w:sz w:val="24"/>
                <w:szCs w:val="24"/>
              </w:rPr>
              <w:t>__</w:t>
            </w:r>
          </w:p>
        </w:tc>
      </w:tr>
    </w:tbl>
    <w:p w14:paraId="1786FF4B" w14:textId="77777777" w:rsidR="008C76E0" w:rsidRPr="003B2786" w:rsidRDefault="008C76E0" w:rsidP="00390DAC">
      <w:pPr>
        <w:spacing w:after="160" w:line="360" w:lineRule="auto"/>
        <w:jc w:val="both"/>
        <w:rPr>
          <w:rFonts w:ascii="Sylfaen" w:hAnsi="Sylfaen"/>
          <w:sz w:val="24"/>
          <w:szCs w:val="24"/>
        </w:rPr>
      </w:pPr>
    </w:p>
    <w:tbl>
      <w:tblPr>
        <w:tblOverlap w:val="never"/>
        <w:tblW w:w="9562" w:type="dxa"/>
        <w:jc w:val="center"/>
        <w:tblLayout w:type="fixed"/>
        <w:tblCellMar>
          <w:left w:w="10" w:type="dxa"/>
          <w:right w:w="10" w:type="dxa"/>
        </w:tblCellMar>
        <w:tblLook w:val="04A0" w:firstRow="1" w:lastRow="0" w:firstColumn="1" w:lastColumn="0" w:noHBand="0" w:noVBand="1"/>
      </w:tblPr>
      <w:tblGrid>
        <w:gridCol w:w="11"/>
        <w:gridCol w:w="6229"/>
        <w:gridCol w:w="11"/>
        <w:gridCol w:w="3311"/>
      </w:tblGrid>
      <w:tr w:rsidR="008C76E0" w:rsidRPr="003B2786" w14:paraId="47127A14" w14:textId="77777777" w:rsidTr="008C76E0">
        <w:trPr>
          <w:jc w:val="center"/>
        </w:trPr>
        <w:tc>
          <w:tcPr>
            <w:tcW w:w="956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0FCA0B0" w14:textId="77777777" w:rsidR="008C76E0" w:rsidRPr="008C76E0" w:rsidRDefault="008C76E0" w:rsidP="00390DAC">
            <w:pPr>
              <w:pStyle w:val="Bodytext180"/>
              <w:shd w:val="clear" w:color="auto" w:fill="auto"/>
              <w:spacing w:before="0" w:after="160" w:line="360" w:lineRule="auto"/>
              <w:ind w:right="91" w:firstLine="0"/>
              <w:jc w:val="center"/>
              <w:rPr>
                <w:rFonts w:ascii="Sylfaen" w:hAnsi="Sylfaen"/>
                <w:b w:val="0"/>
                <w:sz w:val="24"/>
                <w:szCs w:val="24"/>
                <w:lang w:val="hy-AM"/>
              </w:rPr>
            </w:pPr>
            <w:r w:rsidRPr="003B2786">
              <w:rPr>
                <w:rStyle w:val="Bodytext1811pt"/>
                <w:rFonts w:ascii="Sylfaen" w:hAnsi="Sylfaen"/>
                <w:sz w:val="24"/>
                <w:szCs w:val="24"/>
              </w:rPr>
              <w:t>Ախտորոշման (գնահատման) որակի հետ կապված կանոնները</w:t>
            </w:r>
          </w:p>
          <w:p w14:paraId="66AD5282"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b w:val="0"/>
                <w:sz w:val="24"/>
                <w:szCs w:val="24"/>
                <w:lang w:val="hy-AM"/>
              </w:rPr>
            </w:pPr>
            <w:r w:rsidRPr="003B2786">
              <w:rPr>
                <w:rStyle w:val="Bodytext1811pt"/>
                <w:rFonts w:ascii="Sylfaen" w:hAnsi="Sylfaen"/>
                <w:sz w:val="24"/>
                <w:szCs w:val="24"/>
              </w:rPr>
              <w:t>Ախտորոշման (գնահատման) որակի ասպեկտները գնահատելիս անհրաժեշտ է հաշվի առնել հետ</w:t>
            </w:r>
            <w:r w:rsidR="00C54D75">
              <w:rPr>
                <w:rStyle w:val="Bodytext1811pt"/>
                <w:rFonts w:ascii="Sylfaen" w:hAnsi="Sylfaen"/>
                <w:sz w:val="24"/>
                <w:szCs w:val="24"/>
              </w:rPr>
              <w:t>և</w:t>
            </w:r>
            <w:r w:rsidRPr="003B2786">
              <w:rPr>
                <w:rStyle w:val="Bodytext1811pt"/>
                <w:rFonts w:ascii="Sylfaen" w:hAnsi="Sylfaen"/>
                <w:sz w:val="24"/>
                <w:szCs w:val="24"/>
              </w:rPr>
              <w:t>յալ հանգամանքները.</w:t>
            </w:r>
          </w:p>
          <w:p w14:paraId="22432583"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lastRenderedPageBreak/>
              <w:t>արդյո՞ք արդյունքները հարաբերակցվում են տեքստի փաստացի մասերի հետ (հնարավորության սահմաններում),</w:t>
            </w:r>
          </w:p>
          <w:p w14:paraId="0502D5BB"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t>արդյո՞ք փորձ արվել է պարզաբանելու այն, որ ընթերցողների խնդիրներն ի հայտ են գալիս՝ այդ մասերին հատուկ որոշ առանձնահատկություններով պայմանավորված (օրինակ՝ ինչ-որ բան դժվար էր գտնել անհաջող ընտրված վերնագրի պատճառով, կամ հատվածն անհասկանալի էր՝ կրկնակի ժխտման ձ</w:t>
            </w:r>
            <w:r w:rsidR="00C54D75">
              <w:rPr>
                <w:rStyle w:val="Bodytext295pt"/>
                <w:rFonts w:ascii="Sylfaen" w:hAnsi="Sylfaen"/>
                <w:i/>
                <w:sz w:val="24"/>
                <w:szCs w:val="24"/>
              </w:rPr>
              <w:t>և</w:t>
            </w:r>
            <w:r w:rsidRPr="003B2786">
              <w:rPr>
                <w:rStyle w:val="Bodytext295pt"/>
                <w:rFonts w:ascii="Sylfaen" w:hAnsi="Sylfaen"/>
                <w:i/>
                <w:sz w:val="24"/>
                <w:szCs w:val="24"/>
              </w:rPr>
              <w:t>ն օգտագործելու պատճառով, կամ որոշակի տեղեկատվություն դժվար էր ճիշտ կիրառել՝ որոշ եզրույթների անհասկանալի նշանակության պատճառով),</w:t>
            </w:r>
          </w:p>
          <w:p w14:paraId="58CE10D1"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t>երկրորդ փուլից հետո վերանայում կատարվե՞լ է արդյոք,</w:t>
            </w:r>
          </w:p>
          <w:p w14:paraId="7468105E"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t xml:space="preserve">արդյո՞ք հստակ որոշվել </w:t>
            </w:r>
            <w:r w:rsidR="00C54D75">
              <w:rPr>
                <w:rStyle w:val="Bodytext295pt"/>
                <w:rFonts w:ascii="Sylfaen" w:hAnsi="Sylfaen"/>
                <w:i/>
                <w:sz w:val="24"/>
                <w:szCs w:val="24"/>
              </w:rPr>
              <w:t>և</w:t>
            </w:r>
            <w:r w:rsidRPr="003B2786">
              <w:rPr>
                <w:rStyle w:val="Bodytext295pt"/>
                <w:rFonts w:ascii="Sylfaen" w:hAnsi="Sylfaen"/>
                <w:i/>
                <w:sz w:val="24"/>
                <w:szCs w:val="24"/>
              </w:rPr>
              <w:t xml:space="preserve"> պատշաճ ձ</w:t>
            </w:r>
            <w:r w:rsidR="00C54D75">
              <w:rPr>
                <w:rStyle w:val="Bodytext295pt"/>
                <w:rFonts w:ascii="Sylfaen" w:hAnsi="Sylfaen"/>
                <w:i/>
                <w:sz w:val="24"/>
                <w:szCs w:val="24"/>
              </w:rPr>
              <w:t>և</w:t>
            </w:r>
            <w:r w:rsidRPr="003B2786">
              <w:rPr>
                <w:rStyle w:val="Bodytext295pt"/>
                <w:rFonts w:ascii="Sylfaen" w:hAnsi="Sylfaen"/>
                <w:i/>
                <w:sz w:val="24"/>
                <w:szCs w:val="24"/>
              </w:rPr>
              <w:t xml:space="preserve">ով վերացվել են առաջին փուլի արդյունքներով պայմանավորված թույլ կողմերը (օրինակ՝ այն հարցերը, որոնցից ստացվել են ցածր բալեր, արդյո՞ք հիմք են դարձել ԲԿՈՒ-ում (ՆԹ-ում) փոփոխությունների </w:t>
            </w:r>
            <w:r w:rsidR="00C54D75">
              <w:rPr>
                <w:rStyle w:val="Bodytext295pt"/>
                <w:rFonts w:ascii="Sylfaen" w:hAnsi="Sylfaen"/>
                <w:i/>
                <w:sz w:val="24"/>
                <w:szCs w:val="24"/>
              </w:rPr>
              <w:t>և</w:t>
            </w:r>
            <w:r w:rsidRPr="003B2786">
              <w:rPr>
                <w:rStyle w:val="Bodytext295pt"/>
                <w:rFonts w:ascii="Sylfaen" w:hAnsi="Sylfaen"/>
                <w:i/>
                <w:sz w:val="24"/>
                <w:szCs w:val="24"/>
              </w:rPr>
              <w:t xml:space="preserve"> ոճաբանական փոփոխություններ կատարելու համար՝ նպատակ ունենալով բարելավել ընթեռնելիությունը կամ բացառել ավելորդ ու շփոթություն առաջացնող տեղեկատվությունը),</w:t>
            </w:r>
          </w:p>
          <w:p w14:paraId="5748DC4F"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t xml:space="preserve">արդյո՞ք հասկանալի է, թե որ հատվածներն են վերանայվել, ինչպե՞ս է դա արվել </w:t>
            </w:r>
            <w:r w:rsidR="00C54D75">
              <w:rPr>
                <w:rStyle w:val="Bodytext295pt"/>
                <w:rFonts w:ascii="Sylfaen" w:hAnsi="Sylfaen"/>
                <w:i/>
                <w:sz w:val="24"/>
                <w:szCs w:val="24"/>
              </w:rPr>
              <w:t>և</w:t>
            </w:r>
            <w:r w:rsidRPr="003B2786">
              <w:rPr>
                <w:rStyle w:val="Bodytext295pt"/>
                <w:rFonts w:ascii="Sylfaen" w:hAnsi="Sylfaen"/>
                <w:i/>
                <w:sz w:val="24"/>
                <w:szCs w:val="24"/>
              </w:rPr>
              <w:t xml:space="preserve"> առաջին փուլի արդյունքներով պայմանավորված ինչպիսի՞ դիտարկումների հիման վրա,</w:t>
            </w:r>
          </w:p>
          <w:p w14:paraId="2138ADC6"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i/>
                <w:sz w:val="24"/>
                <w:szCs w:val="24"/>
                <w:lang w:val="hy-AM"/>
              </w:rPr>
            </w:pPr>
            <w:r w:rsidRPr="003B2786">
              <w:rPr>
                <w:rStyle w:val="Bodytext295pt"/>
                <w:rFonts w:ascii="Sylfaen" w:hAnsi="Sylfaen"/>
                <w:i/>
                <w:sz w:val="24"/>
                <w:szCs w:val="24"/>
              </w:rPr>
              <w:t xml:space="preserve">արդյո՞ք հասկանալի է, թե ինչ դիտարկումների մասին է խոսքը, </w:t>
            </w:r>
            <w:r w:rsidR="00C54D75">
              <w:rPr>
                <w:rStyle w:val="Bodytext295pt"/>
                <w:rFonts w:ascii="Sylfaen" w:hAnsi="Sylfaen"/>
                <w:i/>
                <w:sz w:val="24"/>
                <w:szCs w:val="24"/>
              </w:rPr>
              <w:t>և</w:t>
            </w:r>
            <w:r w:rsidRPr="003B2786">
              <w:rPr>
                <w:rStyle w:val="Bodytext295pt"/>
                <w:rFonts w:ascii="Sylfaen" w:hAnsi="Sylfaen"/>
                <w:i/>
                <w:sz w:val="24"/>
                <w:szCs w:val="24"/>
              </w:rPr>
              <w:t xml:space="preserve"> ինչո՞ւ են դրանք անտեսվել վերանայումն իրականացնելիս,</w:t>
            </w:r>
          </w:p>
          <w:p w14:paraId="166F4E10" w14:textId="77777777" w:rsidR="008C76E0" w:rsidRPr="008C76E0" w:rsidRDefault="008C76E0" w:rsidP="00390DAC">
            <w:pPr>
              <w:pStyle w:val="Bodytext180"/>
              <w:shd w:val="clear" w:color="auto" w:fill="auto"/>
              <w:spacing w:before="0" w:after="160" w:line="360" w:lineRule="auto"/>
              <w:ind w:right="91" w:firstLine="558"/>
              <w:jc w:val="both"/>
              <w:rPr>
                <w:rFonts w:ascii="Sylfaen" w:hAnsi="Sylfaen"/>
                <w:b w:val="0"/>
                <w:sz w:val="24"/>
                <w:szCs w:val="24"/>
                <w:lang w:val="hy-AM"/>
              </w:rPr>
            </w:pPr>
            <w:r w:rsidRPr="003B2786">
              <w:rPr>
                <w:rStyle w:val="Bodytext295pt"/>
                <w:rFonts w:ascii="Sylfaen" w:hAnsi="Sylfaen"/>
                <w:i/>
                <w:sz w:val="24"/>
                <w:szCs w:val="24"/>
              </w:rPr>
              <w:t>իրականում արդյո՞ք փորձարկված փոփոխություններով բարելավվել է ընթեռնելիությունը</w:t>
            </w:r>
            <w:r w:rsidRPr="003B2786">
              <w:rPr>
                <w:rStyle w:val="Bodytext295pt"/>
                <w:rFonts w:ascii="Sylfaen" w:hAnsi="Sylfaen"/>
                <w:b/>
                <w:i/>
                <w:sz w:val="24"/>
                <w:szCs w:val="24"/>
              </w:rPr>
              <w:t>:</w:t>
            </w:r>
          </w:p>
        </w:tc>
      </w:tr>
      <w:tr w:rsidR="008C76E0" w:rsidRPr="003B2786" w14:paraId="4149203B" w14:textId="77777777" w:rsidTr="008C76E0">
        <w:trPr>
          <w:jc w:val="center"/>
        </w:trPr>
        <w:tc>
          <w:tcPr>
            <w:tcW w:w="9562" w:type="dxa"/>
            <w:gridSpan w:val="4"/>
            <w:tcBorders>
              <w:top w:val="single" w:sz="4" w:space="0" w:color="auto"/>
            </w:tcBorders>
            <w:shd w:val="clear" w:color="auto" w:fill="FFFFFF"/>
            <w:vAlign w:val="center"/>
          </w:tcPr>
          <w:p w14:paraId="2AE228EF" w14:textId="77777777" w:rsidR="008C76E0" w:rsidRPr="003B2786" w:rsidRDefault="008C76E0" w:rsidP="00390DAC">
            <w:pPr>
              <w:pStyle w:val="Bodytext180"/>
              <w:shd w:val="clear" w:color="auto" w:fill="auto"/>
              <w:tabs>
                <w:tab w:val="left" w:pos="1118"/>
              </w:tabs>
              <w:spacing w:before="0" w:after="160" w:line="360" w:lineRule="auto"/>
              <w:ind w:firstLine="628"/>
              <w:jc w:val="both"/>
              <w:rPr>
                <w:rFonts w:ascii="Sylfaen" w:hAnsi="Sylfaen"/>
                <w:b w:val="0"/>
                <w:i/>
                <w:sz w:val="24"/>
                <w:szCs w:val="24"/>
              </w:rPr>
            </w:pPr>
            <w:r w:rsidRPr="003B2786">
              <w:rPr>
                <w:rStyle w:val="Bodytext295pt"/>
                <w:rFonts w:ascii="Sylfaen" w:hAnsi="Sylfaen"/>
                <w:sz w:val="24"/>
                <w:szCs w:val="24"/>
              </w:rPr>
              <w:lastRenderedPageBreak/>
              <w:t>6.</w:t>
            </w:r>
            <w:r w:rsidRPr="003B2786">
              <w:rPr>
                <w:rStyle w:val="Bodytext295pt"/>
                <w:rFonts w:ascii="Sylfaen" w:hAnsi="Sylfaen"/>
                <w:sz w:val="24"/>
                <w:szCs w:val="24"/>
              </w:rPr>
              <w:tab/>
              <w:t>Եզրակացությունը</w:t>
            </w:r>
          </w:p>
        </w:tc>
      </w:tr>
      <w:tr w:rsidR="008C76E0" w:rsidRPr="003B2786" w14:paraId="5AF8F70A" w14:textId="77777777" w:rsidTr="008C76E0">
        <w:trPr>
          <w:jc w:val="center"/>
        </w:trPr>
        <w:tc>
          <w:tcPr>
            <w:tcW w:w="6240" w:type="dxa"/>
            <w:gridSpan w:val="2"/>
            <w:shd w:val="clear" w:color="auto" w:fill="FFFFFF"/>
            <w:vAlign w:val="bottom"/>
          </w:tcPr>
          <w:p w14:paraId="2D66553F" w14:textId="77777777" w:rsidR="008C76E0" w:rsidRPr="008C76E0" w:rsidRDefault="008C76E0" w:rsidP="00390DAC">
            <w:pPr>
              <w:pStyle w:val="Bodytext180"/>
              <w:shd w:val="clear" w:color="auto" w:fill="auto"/>
              <w:spacing w:before="0" w:after="160" w:line="360" w:lineRule="auto"/>
              <w:ind w:firstLine="509"/>
              <w:jc w:val="both"/>
              <w:rPr>
                <w:rFonts w:ascii="Sylfaen" w:hAnsi="Sylfaen"/>
                <w:b w:val="0"/>
                <w:i/>
                <w:sz w:val="24"/>
                <w:szCs w:val="24"/>
                <w:lang w:val="hy-AM"/>
              </w:rPr>
            </w:pPr>
            <w:r w:rsidRPr="003B2786">
              <w:rPr>
                <w:rStyle w:val="Bodytext295pt"/>
                <w:rFonts w:ascii="Sylfaen" w:hAnsi="Sylfaen"/>
                <w:sz w:val="24"/>
                <w:szCs w:val="24"/>
              </w:rPr>
              <w:t>Արդյո՞ք կատարվել են օգտատիրական թեստավորման գլխավոր խնդիրները:</w:t>
            </w:r>
          </w:p>
        </w:tc>
        <w:tc>
          <w:tcPr>
            <w:tcW w:w="3322" w:type="dxa"/>
            <w:gridSpan w:val="2"/>
            <w:shd w:val="clear" w:color="auto" w:fill="FFFFFF"/>
            <w:vAlign w:val="center"/>
          </w:tcPr>
          <w:p w14:paraId="49E1153F"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3983A045" w14:textId="77777777" w:rsidTr="008C76E0">
        <w:trPr>
          <w:jc w:val="center"/>
        </w:trPr>
        <w:tc>
          <w:tcPr>
            <w:tcW w:w="6240" w:type="dxa"/>
            <w:gridSpan w:val="2"/>
            <w:shd w:val="clear" w:color="auto" w:fill="FFFFFF"/>
          </w:tcPr>
          <w:p w14:paraId="1C2A1CB7" w14:textId="77777777" w:rsidR="008C76E0" w:rsidRPr="007F6CA3" w:rsidRDefault="008C76E0" w:rsidP="00390DAC">
            <w:pPr>
              <w:pStyle w:val="Bodytext180"/>
              <w:shd w:val="clear" w:color="auto" w:fill="auto"/>
              <w:spacing w:before="0" w:after="160" w:line="360" w:lineRule="auto"/>
              <w:ind w:firstLine="509"/>
              <w:jc w:val="both"/>
              <w:rPr>
                <w:rStyle w:val="Bodytext295pt"/>
                <w:rFonts w:ascii="Sylfaen" w:hAnsi="Sylfaen"/>
                <w:sz w:val="24"/>
                <w:szCs w:val="24"/>
              </w:rPr>
            </w:pPr>
            <w:r w:rsidRPr="003B2786">
              <w:rPr>
                <w:rStyle w:val="Bodytext295pt"/>
                <w:rFonts w:ascii="Sylfaen" w:hAnsi="Sylfaen"/>
                <w:sz w:val="24"/>
                <w:szCs w:val="24"/>
              </w:rPr>
              <w:t>Արդյո՞ք հայտատուի եզրակացությունը ճիշտ է:</w:t>
            </w:r>
          </w:p>
          <w:p w14:paraId="169C6968" w14:textId="77777777" w:rsidR="007F6CA3" w:rsidRPr="007F6CA3" w:rsidRDefault="007F6CA3" w:rsidP="00390DAC">
            <w:pPr>
              <w:pStyle w:val="Bodytext180"/>
              <w:shd w:val="clear" w:color="auto" w:fill="auto"/>
              <w:spacing w:before="0" w:after="160" w:line="360" w:lineRule="auto"/>
              <w:ind w:firstLine="509"/>
              <w:jc w:val="both"/>
              <w:rPr>
                <w:rFonts w:ascii="Sylfaen" w:hAnsi="Sylfaen"/>
                <w:b w:val="0"/>
                <w:i/>
                <w:sz w:val="24"/>
                <w:szCs w:val="24"/>
                <w:lang w:val="hy-AM"/>
              </w:rPr>
            </w:pPr>
          </w:p>
        </w:tc>
        <w:tc>
          <w:tcPr>
            <w:tcW w:w="3322" w:type="dxa"/>
            <w:gridSpan w:val="2"/>
            <w:shd w:val="clear" w:color="auto" w:fill="FFFFFF"/>
          </w:tcPr>
          <w:p w14:paraId="098474DB"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i/>
                <w:sz w:val="24"/>
                <w:szCs w:val="24"/>
              </w:rPr>
            </w:pPr>
            <w:r w:rsidRPr="003B2786">
              <w:rPr>
                <w:rStyle w:val="Bodytext295pt"/>
                <w:rFonts w:ascii="Sylfaen" w:hAnsi="Sylfaen"/>
                <w:sz w:val="24"/>
                <w:szCs w:val="24"/>
              </w:rPr>
              <w:t>□ այո □ ոչ</w:t>
            </w:r>
          </w:p>
        </w:tc>
      </w:tr>
      <w:tr w:rsidR="008C76E0" w:rsidRPr="003B2786" w14:paraId="03F17FE1" w14:textId="77777777" w:rsidTr="008C76E0">
        <w:trPr>
          <w:gridBefore w:val="1"/>
          <w:wBefore w:w="11" w:type="dxa"/>
          <w:jc w:val="center"/>
        </w:trPr>
        <w:tc>
          <w:tcPr>
            <w:tcW w:w="6240" w:type="dxa"/>
            <w:gridSpan w:val="2"/>
            <w:shd w:val="clear" w:color="auto" w:fill="FFFFFF"/>
          </w:tcPr>
          <w:p w14:paraId="09A83F13"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i/>
                <w:sz w:val="24"/>
                <w:szCs w:val="24"/>
              </w:rPr>
            </w:pPr>
            <w:r w:rsidRPr="003B2786">
              <w:rPr>
                <w:rStyle w:val="Bodytext295pt"/>
                <w:rFonts w:ascii="Sylfaen" w:hAnsi="Sylfaen"/>
                <w:sz w:val="24"/>
                <w:szCs w:val="24"/>
              </w:rPr>
              <w:lastRenderedPageBreak/>
              <w:t>Մեթոդաբանության վերաբերյալ ընդհանուր տպավորությունը</w:t>
            </w:r>
          </w:p>
        </w:tc>
        <w:tc>
          <w:tcPr>
            <w:tcW w:w="3311" w:type="dxa"/>
            <w:shd w:val="clear" w:color="auto" w:fill="FFFFFF"/>
            <w:vAlign w:val="bottom"/>
          </w:tcPr>
          <w:p w14:paraId="168884BC"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sz w:val="24"/>
                <w:szCs w:val="24"/>
              </w:rPr>
            </w:pPr>
            <w:r w:rsidRPr="003B2786">
              <w:rPr>
                <w:rFonts w:ascii="Sylfaen" w:hAnsi="Sylfaen"/>
                <w:b w:val="0"/>
                <w:sz w:val="24"/>
                <w:szCs w:val="24"/>
              </w:rPr>
              <w:t>□</w:t>
            </w:r>
            <w:r w:rsidRPr="003B2786">
              <w:rPr>
                <w:rFonts w:ascii="Sylfaen" w:hAnsi="Sylfaen"/>
                <w:sz w:val="24"/>
                <w:szCs w:val="24"/>
              </w:rPr>
              <w:t xml:space="preserve"> </w:t>
            </w:r>
            <w:r w:rsidRPr="003B2786">
              <w:rPr>
                <w:rStyle w:val="Bodytext295pt"/>
                <w:rFonts w:ascii="Sylfaen" w:hAnsi="Sylfaen"/>
                <w:sz w:val="24"/>
                <w:szCs w:val="24"/>
              </w:rPr>
              <w:t>դրական</w:t>
            </w:r>
          </w:p>
          <w:p w14:paraId="0E58E90E"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sz w:val="24"/>
                <w:szCs w:val="24"/>
              </w:rPr>
            </w:pPr>
            <w:r w:rsidRPr="003B2786">
              <w:rPr>
                <w:rFonts w:ascii="Sylfaen" w:hAnsi="Sylfaen"/>
                <w:b w:val="0"/>
                <w:sz w:val="24"/>
                <w:szCs w:val="24"/>
              </w:rPr>
              <w:t>□</w:t>
            </w:r>
            <w:r w:rsidRPr="003B2786">
              <w:rPr>
                <w:rFonts w:ascii="Sylfaen" w:hAnsi="Sylfaen"/>
                <w:sz w:val="24"/>
                <w:szCs w:val="24"/>
              </w:rPr>
              <w:t xml:space="preserve"> </w:t>
            </w:r>
            <w:r w:rsidRPr="003B2786">
              <w:rPr>
                <w:rStyle w:val="Bodytext295pt"/>
                <w:rFonts w:ascii="Sylfaen" w:hAnsi="Sylfaen"/>
                <w:sz w:val="24"/>
                <w:szCs w:val="24"/>
              </w:rPr>
              <w:t>բացասական</w:t>
            </w:r>
          </w:p>
        </w:tc>
      </w:tr>
      <w:tr w:rsidR="008C76E0" w:rsidRPr="003B2786" w14:paraId="6923A4BD" w14:textId="77777777" w:rsidTr="008C76E0">
        <w:trPr>
          <w:gridBefore w:val="1"/>
          <w:wBefore w:w="11" w:type="dxa"/>
          <w:jc w:val="center"/>
        </w:trPr>
        <w:tc>
          <w:tcPr>
            <w:tcW w:w="6240" w:type="dxa"/>
            <w:gridSpan w:val="2"/>
            <w:shd w:val="clear" w:color="auto" w:fill="FFFFFF"/>
          </w:tcPr>
          <w:p w14:paraId="62C37A48" w14:textId="77777777" w:rsidR="008C76E0" w:rsidRPr="008C76E0" w:rsidRDefault="008C76E0" w:rsidP="00390DAC">
            <w:pPr>
              <w:pStyle w:val="Bodytext180"/>
              <w:shd w:val="clear" w:color="auto" w:fill="auto"/>
              <w:spacing w:before="0" w:after="160" w:line="360" w:lineRule="auto"/>
              <w:ind w:firstLine="509"/>
              <w:jc w:val="both"/>
              <w:rPr>
                <w:rFonts w:ascii="Sylfaen" w:hAnsi="Sylfaen"/>
                <w:b w:val="0"/>
                <w:i/>
                <w:sz w:val="24"/>
                <w:szCs w:val="24"/>
                <w:lang w:val="hy-AM"/>
              </w:rPr>
            </w:pPr>
            <w:r w:rsidRPr="003B2786">
              <w:rPr>
                <w:rStyle w:val="Bodytext295pt"/>
                <w:rFonts w:ascii="Sylfaen" w:hAnsi="Sylfaen"/>
                <w:sz w:val="24"/>
                <w:szCs w:val="24"/>
              </w:rPr>
              <w:t>Ներդիր թերթիկի կառուցվածքի վերաբերյալ ընդհանուր տպավորությունը</w:t>
            </w:r>
          </w:p>
        </w:tc>
        <w:tc>
          <w:tcPr>
            <w:tcW w:w="3311" w:type="dxa"/>
            <w:shd w:val="clear" w:color="auto" w:fill="FFFFFF"/>
          </w:tcPr>
          <w:p w14:paraId="0037080F"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sz w:val="24"/>
                <w:szCs w:val="24"/>
              </w:rPr>
            </w:pPr>
            <w:r w:rsidRPr="003B2786">
              <w:rPr>
                <w:rFonts w:ascii="Sylfaen" w:hAnsi="Sylfaen"/>
                <w:b w:val="0"/>
                <w:sz w:val="24"/>
                <w:szCs w:val="24"/>
              </w:rPr>
              <w:t>□</w:t>
            </w:r>
            <w:r w:rsidRPr="003B2786">
              <w:rPr>
                <w:rFonts w:ascii="Sylfaen" w:hAnsi="Sylfaen"/>
                <w:sz w:val="24"/>
                <w:szCs w:val="24"/>
              </w:rPr>
              <w:t xml:space="preserve"> </w:t>
            </w:r>
            <w:r w:rsidRPr="003B2786">
              <w:rPr>
                <w:rStyle w:val="Bodytext295pt"/>
                <w:rFonts w:ascii="Sylfaen" w:hAnsi="Sylfaen"/>
                <w:sz w:val="24"/>
                <w:szCs w:val="24"/>
              </w:rPr>
              <w:t>դրական</w:t>
            </w:r>
          </w:p>
          <w:p w14:paraId="5A3CCA24" w14:textId="77777777" w:rsidR="008C76E0" w:rsidRPr="003B2786" w:rsidRDefault="008C76E0" w:rsidP="00390DAC">
            <w:pPr>
              <w:pStyle w:val="Bodytext180"/>
              <w:shd w:val="clear" w:color="auto" w:fill="auto"/>
              <w:spacing w:before="0" w:after="160" w:line="360" w:lineRule="auto"/>
              <w:ind w:firstLine="509"/>
              <w:jc w:val="both"/>
              <w:rPr>
                <w:rFonts w:ascii="Sylfaen" w:hAnsi="Sylfaen"/>
                <w:b w:val="0"/>
                <w:sz w:val="24"/>
                <w:szCs w:val="24"/>
              </w:rPr>
            </w:pPr>
            <w:r w:rsidRPr="003B2786">
              <w:rPr>
                <w:rFonts w:ascii="Sylfaen" w:hAnsi="Sylfaen"/>
                <w:b w:val="0"/>
                <w:sz w:val="24"/>
                <w:szCs w:val="24"/>
              </w:rPr>
              <w:t>□</w:t>
            </w:r>
            <w:r w:rsidRPr="003B2786">
              <w:rPr>
                <w:rFonts w:ascii="Sylfaen" w:hAnsi="Sylfaen"/>
                <w:sz w:val="24"/>
                <w:szCs w:val="24"/>
              </w:rPr>
              <w:t xml:space="preserve"> </w:t>
            </w:r>
            <w:r w:rsidRPr="003B2786">
              <w:rPr>
                <w:rStyle w:val="Bodytext295pt"/>
                <w:rFonts w:ascii="Sylfaen" w:hAnsi="Sylfaen"/>
                <w:sz w:val="24"/>
                <w:szCs w:val="24"/>
              </w:rPr>
              <w:t>բացասական</w:t>
            </w:r>
          </w:p>
        </w:tc>
      </w:tr>
      <w:tr w:rsidR="008C76E0" w:rsidRPr="003B2786" w14:paraId="511F63FA" w14:textId="77777777" w:rsidTr="008C76E0">
        <w:trPr>
          <w:gridBefore w:val="1"/>
          <w:wBefore w:w="11" w:type="dxa"/>
          <w:jc w:val="center"/>
        </w:trPr>
        <w:tc>
          <w:tcPr>
            <w:tcW w:w="9551" w:type="dxa"/>
            <w:gridSpan w:val="3"/>
            <w:shd w:val="clear" w:color="auto" w:fill="FFFFFF"/>
          </w:tcPr>
          <w:p w14:paraId="1773D0D6" w14:textId="77777777" w:rsidR="008C76E0" w:rsidRPr="003B2786" w:rsidRDefault="008C76E0" w:rsidP="00390DAC">
            <w:pPr>
              <w:pStyle w:val="Bodytext180"/>
              <w:shd w:val="clear" w:color="auto" w:fill="auto"/>
              <w:spacing w:before="0" w:after="160" w:line="360" w:lineRule="auto"/>
              <w:ind w:firstLine="0"/>
              <w:rPr>
                <w:rFonts w:ascii="Sylfaen" w:hAnsi="Sylfaen"/>
                <w:b w:val="0"/>
                <w:i/>
                <w:sz w:val="24"/>
                <w:szCs w:val="24"/>
              </w:rPr>
            </w:pPr>
            <w:r w:rsidRPr="003B2786">
              <w:rPr>
                <w:rStyle w:val="Bodytext295pt"/>
                <w:rFonts w:ascii="Sylfaen" w:hAnsi="Sylfaen"/>
                <w:sz w:val="24"/>
                <w:szCs w:val="24"/>
              </w:rPr>
              <w:t>ԵԶՐԱԿԱՑՈՒԹՅՈՒՆ (ՌԵԶՅՈՒՄԵ)</w:t>
            </w:r>
            <w:r>
              <w:rPr>
                <w:rStyle w:val="Bodytext295pt"/>
                <w:rFonts w:ascii="Sylfaen" w:hAnsi="Sylfaen"/>
                <w:sz w:val="24"/>
                <w:szCs w:val="24"/>
              </w:rPr>
              <w:t xml:space="preserve"> </w:t>
            </w:r>
            <w:r w:rsidRPr="003B2786">
              <w:rPr>
                <w:rStyle w:val="Bodytext295pt"/>
                <w:rFonts w:ascii="Sylfaen" w:hAnsi="Sylfaen"/>
                <w:sz w:val="24"/>
                <w:szCs w:val="24"/>
              </w:rPr>
              <w:t>______________________</w:t>
            </w:r>
            <w:r>
              <w:rPr>
                <w:rStyle w:val="Bodytext295pt"/>
                <w:rFonts w:ascii="Sylfaen" w:hAnsi="Sylfaen"/>
                <w:sz w:val="24"/>
                <w:szCs w:val="24"/>
                <w:lang w:val="en-US"/>
              </w:rPr>
              <w:t>____</w:t>
            </w:r>
            <w:r w:rsidRPr="003B2786">
              <w:rPr>
                <w:rStyle w:val="Bodytext295pt"/>
                <w:rFonts w:ascii="Sylfaen" w:hAnsi="Sylfaen"/>
                <w:sz w:val="24"/>
                <w:szCs w:val="24"/>
              </w:rPr>
              <w:t>___</w:t>
            </w:r>
            <w:r>
              <w:rPr>
                <w:rStyle w:val="Bodytext295pt"/>
                <w:rFonts w:ascii="Sylfaen" w:hAnsi="Sylfaen"/>
                <w:sz w:val="24"/>
                <w:szCs w:val="24"/>
                <w:lang w:val="en-US"/>
              </w:rPr>
              <w:t>_______________</w:t>
            </w:r>
            <w:r w:rsidRPr="003B2786">
              <w:rPr>
                <w:rStyle w:val="Bodytext295pt"/>
                <w:rFonts w:ascii="Sylfaen" w:hAnsi="Sylfaen"/>
                <w:sz w:val="24"/>
                <w:szCs w:val="24"/>
                <w:lang w:val="en-US"/>
              </w:rPr>
              <w:t>__</w:t>
            </w:r>
            <w:r>
              <w:rPr>
                <w:rStyle w:val="Bodytext295pt"/>
                <w:rFonts w:ascii="Sylfaen" w:hAnsi="Sylfaen"/>
                <w:sz w:val="24"/>
                <w:szCs w:val="24"/>
                <w:lang w:val="en-US"/>
              </w:rPr>
              <w:t xml:space="preserve">_____ </w:t>
            </w:r>
            <w:r w:rsidRPr="003B2786">
              <w:rPr>
                <w:rStyle w:val="Bodytext295pt"/>
                <w:rFonts w:ascii="Sylfaen" w:hAnsi="Sylfaen"/>
                <w:sz w:val="24"/>
                <w:szCs w:val="24"/>
                <w:lang w:val="en-US"/>
              </w:rPr>
              <w:t>________________________________________________________________________________________________________________________________________________________________________________________________________</w:t>
            </w:r>
            <w:r>
              <w:rPr>
                <w:rStyle w:val="Bodytext295pt"/>
                <w:rFonts w:ascii="Sylfaen" w:hAnsi="Sylfaen"/>
                <w:sz w:val="24"/>
                <w:szCs w:val="24"/>
                <w:lang w:val="en-US"/>
              </w:rPr>
              <w:t>______________________________</w:t>
            </w:r>
            <w:r w:rsidRPr="003B2786">
              <w:rPr>
                <w:rStyle w:val="Bodytext295pt"/>
                <w:rFonts w:ascii="Sylfaen" w:hAnsi="Sylfaen"/>
                <w:sz w:val="24"/>
                <w:szCs w:val="24"/>
                <w:lang w:val="en-US"/>
              </w:rPr>
              <w:t>____________________________</w:t>
            </w:r>
          </w:p>
        </w:tc>
      </w:tr>
    </w:tbl>
    <w:p w14:paraId="3C4B5D8A" w14:textId="77777777" w:rsidR="008C76E0" w:rsidRPr="003B2786" w:rsidRDefault="008C76E0" w:rsidP="00390DAC">
      <w:pPr>
        <w:spacing w:after="160" w:line="360" w:lineRule="auto"/>
        <w:ind w:right="-1"/>
        <w:jc w:val="both"/>
        <w:rPr>
          <w:rFonts w:ascii="Sylfaen" w:hAnsi="Sylfaen"/>
          <w:sz w:val="24"/>
          <w:szCs w:val="24"/>
          <w:lang w:val="en-US"/>
        </w:rPr>
      </w:pPr>
    </w:p>
    <w:tbl>
      <w:tblPr>
        <w:tblStyle w:val="TableGrid"/>
        <w:tblW w:w="9561" w:type="dxa"/>
        <w:tblInd w:w="-130" w:type="dxa"/>
        <w:tblLook w:val="04A0" w:firstRow="1" w:lastRow="0" w:firstColumn="1" w:lastColumn="0" w:noHBand="0" w:noVBand="1"/>
      </w:tblPr>
      <w:tblGrid>
        <w:gridCol w:w="9561"/>
      </w:tblGrid>
      <w:tr w:rsidR="008C76E0" w:rsidRPr="003B2786" w14:paraId="5275D1AD" w14:textId="77777777" w:rsidTr="008C76E0">
        <w:tc>
          <w:tcPr>
            <w:tcW w:w="9561" w:type="dxa"/>
          </w:tcPr>
          <w:p w14:paraId="32504A4E" w14:textId="77777777" w:rsidR="008C76E0" w:rsidRPr="003B2786" w:rsidRDefault="008C76E0" w:rsidP="00390DAC">
            <w:pPr>
              <w:pStyle w:val="Bodytext80"/>
              <w:shd w:val="clear" w:color="auto" w:fill="auto"/>
              <w:spacing w:before="0" w:after="160" w:line="360" w:lineRule="auto"/>
              <w:outlineLvl w:val="0"/>
              <w:rPr>
                <w:rFonts w:ascii="Sylfaen" w:hAnsi="Sylfaen"/>
                <w:b w:val="0"/>
                <w:sz w:val="24"/>
                <w:szCs w:val="24"/>
              </w:rPr>
            </w:pPr>
            <w:r w:rsidRPr="003B2786">
              <w:rPr>
                <w:rFonts w:ascii="Sylfaen" w:hAnsi="Sylfaen"/>
                <w:b w:val="0"/>
                <w:sz w:val="24"/>
                <w:szCs w:val="24"/>
              </w:rPr>
              <w:t>Թեստավորման արդյունքների հիման վրա եզրակացության հետ կապված կանոնները</w:t>
            </w:r>
          </w:p>
          <w:p w14:paraId="4D3F5DA3"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Style w:val="Bodytext295pt"/>
                <w:rFonts w:ascii="Sylfaen" w:hAnsi="Sylfaen"/>
                <w:sz w:val="24"/>
                <w:szCs w:val="24"/>
              </w:rPr>
              <w:t xml:space="preserve">Տվյալ բաժնում անհրաժեշտ է շարադրել անցկացված օգտատիրական թեստավորման </w:t>
            </w:r>
            <w:r w:rsidR="00C54D75">
              <w:rPr>
                <w:rStyle w:val="Bodytext295pt"/>
                <w:rFonts w:ascii="Sylfaen" w:hAnsi="Sylfaen"/>
                <w:sz w:val="24"/>
                <w:szCs w:val="24"/>
              </w:rPr>
              <w:t>և</w:t>
            </w:r>
            <w:r w:rsidRPr="003B2786">
              <w:rPr>
                <w:rStyle w:val="Bodytext295pt"/>
                <w:rFonts w:ascii="Sylfaen" w:hAnsi="Sylfaen"/>
                <w:sz w:val="24"/>
                <w:szCs w:val="24"/>
              </w:rPr>
              <w:t xml:space="preserve"> ԲԿՈՒ-ի (ՆԹ-ի) ընթեռնելիության (որակի) վերաբերյալ ընդհանուր կարծիքը</w:t>
            </w:r>
            <w:r w:rsidRPr="003B2786">
              <w:rPr>
                <w:rFonts w:ascii="Sylfaen" w:hAnsi="Sylfaen"/>
                <w:sz w:val="24"/>
                <w:szCs w:val="24"/>
              </w:rPr>
              <w:t xml:space="preserve"> </w:t>
            </w:r>
            <w:r w:rsidRPr="003B2786">
              <w:rPr>
                <w:rFonts w:ascii="Sylfaen" w:hAnsi="Sylfaen"/>
                <w:b w:val="0"/>
                <w:sz w:val="24"/>
                <w:szCs w:val="24"/>
              </w:rPr>
              <w:t>[ամփոփիչ հաշվետվության մեջ օգտագործելու համար օգտատիրական թեստավորման արդյունքների գնահատման վերաբերյալ հաշվետվության ամբողջական տեքստը կարող է ավելացվել տեղեկատվական նպատակներով]</w:t>
            </w:r>
          </w:p>
          <w:p w14:paraId="12F8251D" w14:textId="77777777" w:rsidR="008C76E0" w:rsidRPr="003B2786" w:rsidRDefault="008C76E0" w:rsidP="00390DAC">
            <w:pPr>
              <w:pStyle w:val="Bodytext80"/>
              <w:shd w:val="clear" w:color="auto" w:fill="auto"/>
              <w:spacing w:before="0" w:after="160" w:line="360" w:lineRule="auto"/>
              <w:ind w:firstLine="567"/>
              <w:jc w:val="both"/>
              <w:rPr>
                <w:rFonts w:ascii="Sylfaen" w:hAnsi="Sylfaen"/>
                <w:b w:val="0"/>
                <w:sz w:val="24"/>
                <w:szCs w:val="24"/>
              </w:rPr>
            </w:pPr>
            <w:r w:rsidRPr="003B2786">
              <w:rPr>
                <w:rFonts w:ascii="Sylfaen" w:hAnsi="Sylfaen"/>
                <w:b w:val="0"/>
                <w:sz w:val="24"/>
                <w:szCs w:val="24"/>
              </w:rPr>
              <w:t>Եզրակացությունը պատրաստելիս անհրաժեշտ է հաշվի առնել հետ</w:t>
            </w:r>
            <w:r w:rsidR="00C54D75">
              <w:rPr>
                <w:rFonts w:ascii="Sylfaen" w:hAnsi="Sylfaen"/>
                <w:b w:val="0"/>
                <w:sz w:val="24"/>
                <w:szCs w:val="24"/>
              </w:rPr>
              <w:t>և</w:t>
            </w:r>
            <w:r w:rsidRPr="003B2786">
              <w:rPr>
                <w:rFonts w:ascii="Sylfaen" w:hAnsi="Sylfaen"/>
                <w:b w:val="0"/>
                <w:sz w:val="24"/>
                <w:szCs w:val="24"/>
              </w:rPr>
              <w:t>յալ հանգամանքները.</w:t>
            </w:r>
          </w:p>
          <w:p w14:paraId="54B4766B"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Խնդիրները.</w:t>
            </w:r>
          </w:p>
          <w:p w14:paraId="2A2FB925"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 xml:space="preserve">ԲԿՈՒ-ի (ՆԹ-ի) վերջնական տարբերակում արտացոլել պացիենտների թեստավորման արդյունքներն ու հաշվի առնել նրանց կարիքները՝ նրանց կողմից դեղապատրաստուկի անվտանգ </w:t>
            </w:r>
            <w:r w:rsidR="00C54D75">
              <w:rPr>
                <w:rFonts w:ascii="Sylfaen" w:hAnsi="Sylfaen"/>
                <w:b w:val="0"/>
                <w:sz w:val="24"/>
                <w:szCs w:val="24"/>
              </w:rPr>
              <w:t>և</w:t>
            </w:r>
            <w:r w:rsidRPr="003B2786">
              <w:rPr>
                <w:rFonts w:ascii="Sylfaen" w:hAnsi="Sylfaen"/>
                <w:b w:val="0"/>
                <w:sz w:val="24"/>
                <w:szCs w:val="24"/>
              </w:rPr>
              <w:t xml:space="preserve"> արդյունավետ օգտագործման նպատակով,</w:t>
            </w:r>
          </w:p>
          <w:p w14:paraId="03DE84DB"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անցկացնել ԲԿՈՒ-ի (ՆԹ-ի) ընթեռնելիության գնահատում,</w:t>
            </w:r>
          </w:p>
          <w:p w14:paraId="0A9B72D2"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 xml:space="preserve">ի հայտ բերել տեղեկատվության շարադրման </w:t>
            </w:r>
            <w:r w:rsidR="00C54D75">
              <w:rPr>
                <w:rFonts w:ascii="Sylfaen" w:hAnsi="Sylfaen"/>
                <w:b w:val="0"/>
                <w:sz w:val="24"/>
                <w:szCs w:val="24"/>
              </w:rPr>
              <w:t>և</w:t>
            </w:r>
            <w:r w:rsidRPr="003B2786">
              <w:rPr>
                <w:rFonts w:ascii="Sylfaen" w:hAnsi="Sylfaen"/>
                <w:b w:val="0"/>
                <w:sz w:val="24"/>
                <w:szCs w:val="24"/>
              </w:rPr>
              <w:t xml:space="preserve"> բովանդակության հետ կապված խնդիրները,</w:t>
            </w:r>
          </w:p>
          <w:p w14:paraId="08908AAE"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lastRenderedPageBreak/>
              <w:t>նկարագրել ներդիր թերթիկում կատարվող հնարավոր փոփոխությունները՝ դրանց ընթեռնելիությունը բարելավելու նպատակով:</w:t>
            </w:r>
          </w:p>
          <w:p w14:paraId="2C24E504"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Հաշվետվությունից պետք է պարզ լինի, թե թեստի որ արդյունքների վրա է հիմնված այս կամ այն եզրակացությունը:</w:t>
            </w:r>
          </w:p>
          <w:p w14:paraId="1E729FF3"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Անհրաժեշտ է վերլուծել, թե արդյո՞ք թեստավորման եզրակացությունները համապատասխանում են արդյունքներին կամ հաշվի առնելով փաստացի արդյունքները՝  ներկայացնում են չափազանց բարենպաստ իրավիճակ:</w:t>
            </w:r>
          </w:p>
          <w:p w14:paraId="2E6EEA6C"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 xml:space="preserve">Հարկ է վերլուծել, թե որքան պարզ, հակիրճ, լավ </w:t>
            </w:r>
            <w:r w:rsidR="00C54D75">
              <w:rPr>
                <w:rFonts w:ascii="Sylfaen" w:hAnsi="Sylfaen"/>
                <w:b w:val="0"/>
                <w:sz w:val="24"/>
                <w:szCs w:val="24"/>
              </w:rPr>
              <w:t>և</w:t>
            </w:r>
            <w:r w:rsidRPr="003B2786">
              <w:rPr>
                <w:rFonts w:ascii="Sylfaen" w:hAnsi="Sylfaen"/>
                <w:b w:val="0"/>
                <w:sz w:val="24"/>
                <w:szCs w:val="24"/>
              </w:rPr>
              <w:t xml:space="preserve"> կառուցվածքավորված են շարադրված եզրակացությունները:</w:t>
            </w:r>
          </w:p>
          <w:p w14:paraId="7023ED19" w14:textId="77777777" w:rsidR="008C76E0" w:rsidRPr="003B2786" w:rsidRDefault="008C76E0" w:rsidP="00390DAC">
            <w:pPr>
              <w:pStyle w:val="Bodytext90"/>
              <w:shd w:val="clear" w:color="auto" w:fill="auto"/>
              <w:spacing w:after="160" w:line="360" w:lineRule="auto"/>
              <w:ind w:firstLine="567"/>
              <w:rPr>
                <w:rFonts w:ascii="Sylfaen" w:hAnsi="Sylfaen"/>
                <w:b w:val="0"/>
                <w:sz w:val="24"/>
                <w:szCs w:val="24"/>
              </w:rPr>
            </w:pPr>
            <w:r w:rsidRPr="003B2786">
              <w:rPr>
                <w:rFonts w:ascii="Sylfaen" w:hAnsi="Sylfaen"/>
                <w:b w:val="0"/>
                <w:sz w:val="24"/>
                <w:szCs w:val="24"/>
              </w:rPr>
              <w:t xml:space="preserve">Հարկ է նշել՝ արդյո՞ք հաշվի են առնվել պացիենտների առաջարկությունները </w:t>
            </w:r>
            <w:r w:rsidR="00C54D75">
              <w:rPr>
                <w:rFonts w:ascii="Sylfaen" w:hAnsi="Sylfaen"/>
                <w:b w:val="0"/>
                <w:sz w:val="24"/>
                <w:szCs w:val="24"/>
              </w:rPr>
              <w:t>և</w:t>
            </w:r>
            <w:r w:rsidRPr="003B2786">
              <w:rPr>
                <w:rFonts w:ascii="Sylfaen" w:hAnsi="Sylfaen"/>
                <w:b w:val="0"/>
                <w:sz w:val="24"/>
                <w:szCs w:val="24"/>
              </w:rPr>
              <w:t xml:space="preserve"> եզրակացությունները՝ ներդիր թերթիկի տեքստը վերանայելիս:</w:t>
            </w:r>
          </w:p>
          <w:p w14:paraId="2D4BDD4E" w14:textId="77777777" w:rsidR="008C76E0" w:rsidRPr="003B2786" w:rsidRDefault="008C76E0" w:rsidP="00390DAC">
            <w:pPr>
              <w:spacing w:after="160" w:line="360" w:lineRule="auto"/>
              <w:jc w:val="both"/>
              <w:rPr>
                <w:rFonts w:ascii="Sylfaen" w:hAnsi="Sylfaen"/>
                <w:sz w:val="24"/>
                <w:szCs w:val="24"/>
              </w:rPr>
            </w:pPr>
          </w:p>
        </w:tc>
      </w:tr>
    </w:tbl>
    <w:p w14:paraId="0CF9B99C" w14:textId="77777777" w:rsidR="0075661F" w:rsidRDefault="0075661F" w:rsidP="008C76E0">
      <w:pPr>
        <w:ind w:right="-1"/>
        <w:jc w:val="both"/>
        <w:rPr>
          <w:rFonts w:ascii="Sylfaen" w:hAnsi="Sylfaen"/>
          <w:sz w:val="24"/>
          <w:szCs w:val="24"/>
        </w:rPr>
        <w:sectPr w:rsidR="0075661F" w:rsidSect="009211E1">
          <w:pgSz w:w="11906" w:h="16838" w:code="9"/>
          <w:pgMar w:top="1418" w:right="1418" w:bottom="1418" w:left="1418" w:header="709" w:footer="709" w:gutter="0"/>
          <w:pgNumType w:start="1"/>
          <w:cols w:space="708"/>
          <w:titlePg/>
          <w:docGrid w:linePitch="360"/>
        </w:sectPr>
      </w:pPr>
    </w:p>
    <w:p w14:paraId="63524E64" w14:textId="77777777" w:rsidR="008C76E0" w:rsidRPr="003B2786" w:rsidRDefault="008C76E0" w:rsidP="007F6CA3">
      <w:pPr>
        <w:spacing w:after="160" w:line="360" w:lineRule="auto"/>
        <w:ind w:left="4253" w:right="-1"/>
        <w:jc w:val="center"/>
        <w:outlineLvl w:val="0"/>
        <w:rPr>
          <w:rFonts w:ascii="Sylfaen" w:hAnsi="Sylfaen"/>
          <w:sz w:val="24"/>
          <w:szCs w:val="24"/>
        </w:rPr>
      </w:pPr>
      <w:r w:rsidRPr="003B2786">
        <w:rPr>
          <w:rFonts w:ascii="Sylfaen" w:hAnsi="Sylfaen"/>
          <w:sz w:val="24"/>
          <w:szCs w:val="24"/>
        </w:rPr>
        <w:lastRenderedPageBreak/>
        <w:t>ՀԱՎԵԼՎԱԾ ԹԻՎ 17</w:t>
      </w:r>
    </w:p>
    <w:p w14:paraId="67963F6C" w14:textId="77777777" w:rsidR="008C76E0" w:rsidRPr="003B2786" w:rsidRDefault="008C76E0" w:rsidP="007F6CA3">
      <w:pPr>
        <w:spacing w:after="160" w:line="360" w:lineRule="auto"/>
        <w:ind w:left="4253" w:right="-1"/>
        <w:jc w:val="center"/>
        <w:rPr>
          <w:rFonts w:ascii="Sylfaen" w:hAnsi="Sylfaen"/>
          <w:sz w:val="24"/>
          <w:szCs w:val="24"/>
        </w:rPr>
      </w:pPr>
      <w:r w:rsidRPr="003B2786">
        <w:rPr>
          <w:rFonts w:ascii="Sylfaen" w:hAnsi="Sylfaen"/>
          <w:sz w:val="24"/>
          <w:szCs w:val="24"/>
        </w:rPr>
        <w:t xml:space="preserve">Բժշկական կիրառման համար նախատեսված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w:t>
      </w:r>
    </w:p>
    <w:p w14:paraId="0A0BFE0F" w14:textId="77777777" w:rsidR="008C76E0" w:rsidRPr="003B2786" w:rsidRDefault="008C76E0" w:rsidP="007F6CA3">
      <w:pPr>
        <w:spacing w:after="160" w:line="360" w:lineRule="auto"/>
        <w:ind w:left="5103"/>
        <w:rPr>
          <w:rFonts w:ascii="Sylfaen" w:hAnsi="Sylfaen"/>
          <w:sz w:val="24"/>
          <w:szCs w:val="24"/>
        </w:rPr>
      </w:pPr>
    </w:p>
    <w:p w14:paraId="091E478A" w14:textId="77777777" w:rsidR="008C76E0" w:rsidRPr="008C76E0" w:rsidRDefault="008C76E0" w:rsidP="007F6CA3">
      <w:pPr>
        <w:pStyle w:val="Heading130"/>
        <w:shd w:val="clear" w:color="auto" w:fill="auto"/>
        <w:spacing w:before="0" w:after="160" w:line="360" w:lineRule="auto"/>
        <w:ind w:left="567" w:right="567"/>
        <w:rPr>
          <w:rFonts w:ascii="Sylfaen" w:hAnsi="Sylfaen"/>
          <w:b/>
          <w:sz w:val="24"/>
          <w:szCs w:val="24"/>
          <w:lang w:val="hy-AM"/>
        </w:rPr>
      </w:pPr>
      <w:bookmarkStart w:id="11" w:name="bookmark12"/>
      <w:r w:rsidRPr="008C76E0">
        <w:rPr>
          <w:rStyle w:val="Heading13Spacing1pt"/>
          <w:rFonts w:ascii="Sylfaen" w:hAnsi="Sylfaen"/>
          <w:b/>
          <w:sz w:val="24"/>
          <w:szCs w:val="24"/>
          <w:lang w:val="hy-AM"/>
        </w:rPr>
        <w:t>ՁԵՎ</w:t>
      </w:r>
      <w:bookmarkEnd w:id="11"/>
    </w:p>
    <w:p w14:paraId="69AB348C" w14:textId="77777777" w:rsidR="008C76E0" w:rsidRPr="003B2786" w:rsidRDefault="008C76E0" w:rsidP="007F6CA3">
      <w:pPr>
        <w:spacing w:after="160" w:line="360" w:lineRule="auto"/>
        <w:ind w:left="567" w:right="566"/>
        <w:jc w:val="center"/>
        <w:rPr>
          <w:rFonts w:ascii="Sylfaen" w:hAnsi="Sylfaen"/>
          <w:b/>
          <w:sz w:val="24"/>
          <w:szCs w:val="24"/>
        </w:rPr>
      </w:pPr>
      <w:r w:rsidRPr="003B2786">
        <w:rPr>
          <w:rFonts w:ascii="Sylfaen" w:hAnsi="Sylfaen"/>
          <w:b/>
          <w:sz w:val="24"/>
          <w:szCs w:val="24"/>
        </w:rPr>
        <w:t>բժշկական կիրառման համար նախատեսված դեղապատրաստուկի գրանցման հավաստագրի</w:t>
      </w:r>
    </w:p>
    <w:p w14:paraId="680BE0A2" w14:textId="77777777" w:rsidR="008C76E0" w:rsidRPr="003B2786" w:rsidRDefault="008C76E0" w:rsidP="007F6CA3">
      <w:pPr>
        <w:spacing w:after="160" w:line="360" w:lineRule="auto"/>
        <w:ind w:right="-1"/>
        <w:jc w:val="right"/>
        <w:rPr>
          <w:rFonts w:ascii="Sylfaen" w:hAnsi="Sylfaen"/>
          <w:sz w:val="24"/>
          <w:szCs w:val="24"/>
        </w:rPr>
      </w:pPr>
      <w:r w:rsidRPr="003B2786">
        <w:rPr>
          <w:rFonts w:ascii="Sylfaen" w:hAnsi="Sylfaen"/>
          <w:sz w:val="24"/>
          <w:szCs w:val="24"/>
        </w:rPr>
        <w:t>(ձ</w:t>
      </w:r>
      <w:r w:rsidR="00C54D75">
        <w:rPr>
          <w:rFonts w:ascii="Sylfaen" w:hAnsi="Sylfaen"/>
          <w:sz w:val="24"/>
          <w:szCs w:val="24"/>
        </w:rPr>
        <w:t>և</w:t>
      </w:r>
      <w:r w:rsidRPr="003B2786">
        <w:rPr>
          <w:rFonts w:ascii="Sylfaen" w:hAnsi="Sylfaen"/>
          <w:sz w:val="24"/>
          <w:szCs w:val="24"/>
        </w:rPr>
        <w:t>)</w:t>
      </w:r>
    </w:p>
    <w:p w14:paraId="2AB597C5" w14:textId="77777777" w:rsidR="008C76E0" w:rsidRPr="003B2786" w:rsidRDefault="008C76E0" w:rsidP="007F6CA3">
      <w:pPr>
        <w:spacing w:after="160" w:line="360" w:lineRule="auto"/>
        <w:ind w:right="-1"/>
        <w:jc w:val="center"/>
        <w:rPr>
          <w:rFonts w:ascii="Sylfaen" w:hAnsi="Sylfaen"/>
          <w:sz w:val="24"/>
          <w:szCs w:val="24"/>
        </w:rPr>
      </w:pPr>
      <w:r w:rsidRPr="003B2786">
        <w:rPr>
          <w:rFonts w:ascii="Sylfaen" w:hAnsi="Sylfaen"/>
          <w:sz w:val="24"/>
          <w:szCs w:val="24"/>
        </w:rPr>
        <w:t>ԳՐԱՆՑՄԱՆ ՀԱՎԱՍՏԱԳԻՐ</w:t>
      </w:r>
    </w:p>
    <w:p w14:paraId="138C3025" w14:textId="77777777" w:rsidR="008C76E0" w:rsidRPr="003B2786" w:rsidRDefault="008C76E0" w:rsidP="007F6CA3">
      <w:pPr>
        <w:spacing w:after="160" w:line="360" w:lineRule="auto"/>
        <w:ind w:right="-1"/>
        <w:jc w:val="center"/>
        <w:rPr>
          <w:rFonts w:ascii="Sylfaen" w:hAnsi="Sylfaen"/>
          <w:sz w:val="24"/>
          <w:szCs w:val="24"/>
        </w:rPr>
      </w:pPr>
      <w:r w:rsidRPr="003B2786">
        <w:rPr>
          <w:rFonts w:ascii="Sylfaen" w:hAnsi="Sylfaen"/>
          <w:sz w:val="24"/>
          <w:szCs w:val="24"/>
        </w:rPr>
        <w:t>բժշկական կիրառման համար նախատեսված դեղապատրաստուկի</w:t>
      </w:r>
    </w:p>
    <w:p w14:paraId="041FAB2D" w14:textId="77777777" w:rsidR="008C76E0" w:rsidRPr="003B2786" w:rsidRDefault="008C76E0" w:rsidP="007F6CA3">
      <w:pPr>
        <w:spacing w:after="160" w:line="360" w:lineRule="auto"/>
        <w:jc w:val="center"/>
        <w:rPr>
          <w:rFonts w:ascii="Sylfaen" w:hAnsi="Sylfaen"/>
          <w:sz w:val="24"/>
          <w:szCs w:val="24"/>
        </w:rPr>
      </w:pPr>
    </w:p>
    <w:p w14:paraId="4DF68582" w14:textId="77777777" w:rsidR="008C76E0" w:rsidRPr="003B2786" w:rsidRDefault="008C76E0" w:rsidP="007F6CA3">
      <w:pPr>
        <w:spacing w:after="160" w:line="360" w:lineRule="auto"/>
        <w:ind w:right="-1"/>
        <w:jc w:val="center"/>
        <w:outlineLvl w:val="0"/>
        <w:rPr>
          <w:rFonts w:ascii="Sylfaen" w:hAnsi="Sylfaen"/>
          <w:sz w:val="24"/>
          <w:szCs w:val="24"/>
        </w:rPr>
      </w:pPr>
      <w:r w:rsidRPr="003B2786">
        <w:rPr>
          <w:rFonts w:ascii="Sylfaen" w:hAnsi="Sylfaen"/>
          <w:sz w:val="24"/>
          <w:szCs w:val="24"/>
        </w:rPr>
        <w:t>ԴՊ-թիվ (XXXXXX)-(YY-ZZ)</w:t>
      </w:r>
    </w:p>
    <w:p w14:paraId="056CB3DB" w14:textId="77777777" w:rsidR="008C76E0" w:rsidRPr="003B2786" w:rsidRDefault="008C76E0" w:rsidP="007F6CA3">
      <w:pPr>
        <w:spacing w:after="160" w:line="360" w:lineRule="auto"/>
        <w:jc w:val="center"/>
        <w:outlineLvl w:val="0"/>
        <w:rPr>
          <w:rFonts w:ascii="Sylfaen" w:hAnsi="Sylfaen"/>
          <w:sz w:val="24"/>
          <w:szCs w:val="24"/>
        </w:rPr>
      </w:pPr>
      <w:r w:rsidRPr="003B2786">
        <w:rPr>
          <w:rFonts w:ascii="Sylfaen" w:hAnsi="Sylfaen"/>
          <w:sz w:val="24"/>
          <w:szCs w:val="24"/>
        </w:rPr>
        <w:t>____________________________________</w:t>
      </w:r>
    </w:p>
    <w:p w14:paraId="363C940D" w14:textId="77777777" w:rsidR="008C76E0" w:rsidRPr="008C76E0" w:rsidRDefault="008C76E0" w:rsidP="007F6CA3">
      <w:pPr>
        <w:pStyle w:val="Bodytext40"/>
        <w:shd w:val="clear" w:color="auto" w:fill="auto"/>
        <w:spacing w:before="0" w:after="160" w:line="360" w:lineRule="auto"/>
        <w:rPr>
          <w:rFonts w:ascii="Sylfaen" w:hAnsi="Sylfaen"/>
          <w:b w:val="0"/>
          <w:sz w:val="20"/>
          <w:szCs w:val="20"/>
          <w:lang w:val="hy-AM"/>
        </w:rPr>
      </w:pPr>
      <w:r w:rsidRPr="008C76E0">
        <w:rPr>
          <w:rFonts w:ascii="Sylfaen" w:hAnsi="Sylfaen"/>
          <w:b w:val="0"/>
          <w:sz w:val="24"/>
          <w:szCs w:val="24"/>
          <w:lang w:val="hy-AM"/>
        </w:rPr>
        <w:t>(</w:t>
      </w:r>
      <w:r w:rsidRPr="008C76E0">
        <w:rPr>
          <w:rFonts w:ascii="Sylfaen" w:hAnsi="Sylfaen"/>
          <w:b w:val="0"/>
          <w:sz w:val="20"/>
          <w:szCs w:val="20"/>
          <w:lang w:val="hy-AM"/>
        </w:rPr>
        <w:t>գրանցման հավաստագրի համարը)</w:t>
      </w:r>
    </w:p>
    <w:p w14:paraId="4D08991A" w14:textId="77777777" w:rsidR="008C76E0" w:rsidRPr="008C76E0" w:rsidRDefault="008C76E0" w:rsidP="007F6CA3">
      <w:pPr>
        <w:pStyle w:val="Bodytext40"/>
        <w:shd w:val="clear" w:color="auto" w:fill="auto"/>
        <w:spacing w:before="0" w:after="160" w:line="360" w:lineRule="auto"/>
        <w:rPr>
          <w:rFonts w:ascii="Sylfaen" w:hAnsi="Sylfaen"/>
          <w:b w:val="0"/>
          <w:sz w:val="24"/>
          <w:szCs w:val="24"/>
          <w:lang w:val="hy-AM"/>
        </w:rPr>
      </w:pPr>
    </w:p>
    <w:p w14:paraId="5DE6673D" w14:textId="77777777" w:rsidR="008C76E0" w:rsidRPr="003B2786" w:rsidRDefault="008C76E0" w:rsidP="007F6CA3">
      <w:pPr>
        <w:spacing w:after="160" w:line="360" w:lineRule="auto"/>
        <w:ind w:right="-1" w:firstLine="567"/>
        <w:jc w:val="both"/>
        <w:rPr>
          <w:rFonts w:ascii="Sylfaen" w:hAnsi="Sylfaen"/>
          <w:sz w:val="24"/>
          <w:szCs w:val="24"/>
        </w:rPr>
      </w:pPr>
      <w:r w:rsidRPr="003B2786">
        <w:rPr>
          <w:rFonts w:ascii="Sylfaen" w:hAnsi="Sylfaen"/>
          <w:sz w:val="24"/>
          <w:szCs w:val="24"/>
        </w:rPr>
        <w:t xml:space="preserve">Բժշկական կիրառման համար նախատեսված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կանոններին համապատասխան՝ սույն գրանցման հավաստագիրը տրվել է.</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3"/>
        <w:gridCol w:w="6048"/>
        <w:gridCol w:w="3134"/>
      </w:tblGrid>
      <w:tr w:rsidR="008C76E0" w:rsidRPr="003B2786" w14:paraId="07E31565" w14:textId="77777777" w:rsidTr="008C76E0">
        <w:trPr>
          <w:jc w:val="center"/>
        </w:trPr>
        <w:tc>
          <w:tcPr>
            <w:tcW w:w="403" w:type="dxa"/>
            <w:tcBorders>
              <w:top w:val="single" w:sz="4" w:space="0" w:color="auto"/>
              <w:left w:val="single" w:sz="4" w:space="0" w:color="auto"/>
            </w:tcBorders>
            <w:shd w:val="clear" w:color="auto" w:fill="FFFFFF"/>
            <w:vAlign w:val="center"/>
          </w:tcPr>
          <w:p w14:paraId="6B13857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1</w:t>
            </w:r>
          </w:p>
        </w:tc>
        <w:tc>
          <w:tcPr>
            <w:tcW w:w="6048" w:type="dxa"/>
            <w:tcBorders>
              <w:top w:val="single" w:sz="4" w:space="0" w:color="auto"/>
              <w:left w:val="single" w:sz="4" w:space="0" w:color="auto"/>
            </w:tcBorders>
            <w:shd w:val="clear" w:color="auto" w:fill="FFFFFF"/>
            <w:vAlign w:val="bottom"/>
          </w:tcPr>
          <w:p w14:paraId="66F44587"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Գրանցման հավաստագրի իրավատիրոջ անվանումը.</w:t>
            </w:r>
          </w:p>
        </w:tc>
        <w:tc>
          <w:tcPr>
            <w:tcW w:w="3134" w:type="dxa"/>
            <w:tcBorders>
              <w:top w:val="single" w:sz="4" w:space="0" w:color="auto"/>
              <w:left w:val="single" w:sz="4" w:space="0" w:color="auto"/>
              <w:right w:val="single" w:sz="4" w:space="0" w:color="auto"/>
            </w:tcBorders>
            <w:shd w:val="clear" w:color="auto" w:fill="FFFFFF"/>
          </w:tcPr>
          <w:p w14:paraId="441C2C7A" w14:textId="77777777" w:rsidR="008C76E0" w:rsidRPr="003B2786" w:rsidRDefault="008C76E0" w:rsidP="008C76E0">
            <w:pPr>
              <w:spacing w:after="120" w:line="240" w:lineRule="auto"/>
              <w:jc w:val="both"/>
              <w:rPr>
                <w:rFonts w:ascii="Sylfaen" w:hAnsi="Sylfaen"/>
                <w:sz w:val="24"/>
                <w:szCs w:val="24"/>
              </w:rPr>
            </w:pPr>
          </w:p>
        </w:tc>
      </w:tr>
      <w:tr w:rsidR="008C76E0" w:rsidRPr="003B2786" w14:paraId="1BFFFF00" w14:textId="77777777" w:rsidTr="008C76E0">
        <w:trPr>
          <w:jc w:val="center"/>
        </w:trPr>
        <w:tc>
          <w:tcPr>
            <w:tcW w:w="403" w:type="dxa"/>
            <w:tcBorders>
              <w:top w:val="single" w:sz="4" w:space="0" w:color="auto"/>
              <w:left w:val="single" w:sz="4" w:space="0" w:color="auto"/>
            </w:tcBorders>
            <w:shd w:val="clear" w:color="auto" w:fill="FFFFFF"/>
            <w:vAlign w:val="center"/>
          </w:tcPr>
          <w:p w14:paraId="2DB88BB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2</w:t>
            </w:r>
          </w:p>
        </w:tc>
        <w:tc>
          <w:tcPr>
            <w:tcW w:w="6048" w:type="dxa"/>
            <w:tcBorders>
              <w:top w:val="single" w:sz="4" w:space="0" w:color="auto"/>
              <w:left w:val="single" w:sz="4" w:space="0" w:color="auto"/>
            </w:tcBorders>
            <w:shd w:val="clear" w:color="auto" w:fill="FFFFFF"/>
            <w:vAlign w:val="bottom"/>
          </w:tcPr>
          <w:p w14:paraId="1BD41ADC"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Գրանցման հավաստագրի  իրավատիրոջ հասցեն.</w:t>
            </w:r>
          </w:p>
        </w:tc>
        <w:tc>
          <w:tcPr>
            <w:tcW w:w="3134" w:type="dxa"/>
            <w:tcBorders>
              <w:top w:val="single" w:sz="4" w:space="0" w:color="auto"/>
              <w:left w:val="single" w:sz="4" w:space="0" w:color="auto"/>
              <w:right w:val="single" w:sz="4" w:space="0" w:color="auto"/>
            </w:tcBorders>
            <w:shd w:val="clear" w:color="auto" w:fill="FFFFFF"/>
          </w:tcPr>
          <w:p w14:paraId="331732AE" w14:textId="77777777" w:rsidR="008C76E0" w:rsidRPr="003B2786" w:rsidRDefault="008C76E0" w:rsidP="008C76E0">
            <w:pPr>
              <w:spacing w:after="120" w:line="240" w:lineRule="auto"/>
              <w:jc w:val="both"/>
              <w:rPr>
                <w:rFonts w:ascii="Sylfaen" w:hAnsi="Sylfaen"/>
                <w:sz w:val="24"/>
                <w:szCs w:val="24"/>
              </w:rPr>
            </w:pPr>
          </w:p>
        </w:tc>
      </w:tr>
      <w:tr w:rsidR="008C76E0" w:rsidRPr="003B2786" w14:paraId="561F4DDD" w14:textId="77777777" w:rsidTr="008C76E0">
        <w:trPr>
          <w:jc w:val="center"/>
        </w:trPr>
        <w:tc>
          <w:tcPr>
            <w:tcW w:w="403" w:type="dxa"/>
            <w:tcBorders>
              <w:top w:val="single" w:sz="4" w:space="0" w:color="auto"/>
              <w:left w:val="single" w:sz="4" w:space="0" w:color="auto"/>
            </w:tcBorders>
            <w:shd w:val="clear" w:color="auto" w:fill="FFFFFF"/>
            <w:vAlign w:val="bottom"/>
          </w:tcPr>
          <w:p w14:paraId="46E668E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3</w:t>
            </w:r>
          </w:p>
        </w:tc>
        <w:tc>
          <w:tcPr>
            <w:tcW w:w="6048" w:type="dxa"/>
            <w:tcBorders>
              <w:top w:val="single" w:sz="4" w:space="0" w:color="auto"/>
              <w:left w:val="single" w:sz="4" w:space="0" w:color="auto"/>
            </w:tcBorders>
            <w:shd w:val="clear" w:color="auto" w:fill="FFFFFF"/>
            <w:vAlign w:val="bottom"/>
          </w:tcPr>
          <w:p w14:paraId="1053782E"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Գրանցման ամսաթիվը.</w:t>
            </w:r>
          </w:p>
        </w:tc>
        <w:tc>
          <w:tcPr>
            <w:tcW w:w="3134" w:type="dxa"/>
            <w:tcBorders>
              <w:top w:val="single" w:sz="4" w:space="0" w:color="auto"/>
              <w:left w:val="single" w:sz="4" w:space="0" w:color="auto"/>
              <w:right w:val="single" w:sz="4" w:space="0" w:color="auto"/>
            </w:tcBorders>
            <w:shd w:val="clear" w:color="auto" w:fill="FFFFFF"/>
          </w:tcPr>
          <w:p w14:paraId="6D3645C3" w14:textId="77777777" w:rsidR="008C76E0" w:rsidRPr="003B2786" w:rsidRDefault="008C76E0" w:rsidP="008C76E0">
            <w:pPr>
              <w:spacing w:after="120" w:line="240" w:lineRule="auto"/>
              <w:jc w:val="both"/>
              <w:rPr>
                <w:rFonts w:ascii="Sylfaen" w:hAnsi="Sylfaen"/>
                <w:sz w:val="24"/>
                <w:szCs w:val="24"/>
              </w:rPr>
            </w:pPr>
          </w:p>
        </w:tc>
      </w:tr>
      <w:tr w:rsidR="008C76E0" w:rsidRPr="003B2786" w14:paraId="2E2DB6FB" w14:textId="77777777" w:rsidTr="008C76E0">
        <w:trPr>
          <w:jc w:val="center"/>
        </w:trPr>
        <w:tc>
          <w:tcPr>
            <w:tcW w:w="403" w:type="dxa"/>
            <w:tcBorders>
              <w:top w:val="single" w:sz="4" w:space="0" w:color="auto"/>
              <w:left w:val="single" w:sz="4" w:space="0" w:color="auto"/>
            </w:tcBorders>
            <w:shd w:val="clear" w:color="auto" w:fill="FFFFFF"/>
          </w:tcPr>
          <w:p w14:paraId="09FAF33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4</w:t>
            </w:r>
          </w:p>
        </w:tc>
        <w:tc>
          <w:tcPr>
            <w:tcW w:w="6048" w:type="dxa"/>
            <w:tcBorders>
              <w:top w:val="single" w:sz="4" w:space="0" w:color="auto"/>
              <w:left w:val="single" w:sz="4" w:space="0" w:color="auto"/>
            </w:tcBorders>
            <w:shd w:val="clear" w:color="auto" w:fill="FFFFFF"/>
            <w:vAlign w:val="bottom"/>
          </w:tcPr>
          <w:p w14:paraId="7B51A6AC"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Գրանցման հավաստագրի գործողության ժամկետը լրանալու ամսաթիվը.</w:t>
            </w:r>
          </w:p>
        </w:tc>
        <w:tc>
          <w:tcPr>
            <w:tcW w:w="3134" w:type="dxa"/>
            <w:tcBorders>
              <w:top w:val="single" w:sz="4" w:space="0" w:color="auto"/>
              <w:left w:val="single" w:sz="4" w:space="0" w:color="auto"/>
              <w:right w:val="single" w:sz="4" w:space="0" w:color="auto"/>
            </w:tcBorders>
            <w:shd w:val="clear" w:color="auto" w:fill="FFFFFF"/>
          </w:tcPr>
          <w:p w14:paraId="067413F1" w14:textId="77777777" w:rsidR="008C76E0" w:rsidRPr="003B2786" w:rsidRDefault="008C76E0" w:rsidP="008C76E0">
            <w:pPr>
              <w:spacing w:after="120" w:line="240" w:lineRule="auto"/>
              <w:jc w:val="both"/>
              <w:rPr>
                <w:rFonts w:ascii="Sylfaen" w:hAnsi="Sylfaen"/>
                <w:sz w:val="24"/>
                <w:szCs w:val="24"/>
              </w:rPr>
            </w:pPr>
          </w:p>
        </w:tc>
      </w:tr>
      <w:tr w:rsidR="008C76E0" w:rsidRPr="003B2786" w14:paraId="08469640" w14:textId="77777777" w:rsidTr="008C76E0">
        <w:trPr>
          <w:jc w:val="center"/>
        </w:trPr>
        <w:tc>
          <w:tcPr>
            <w:tcW w:w="403" w:type="dxa"/>
            <w:tcBorders>
              <w:top w:val="single" w:sz="4" w:space="0" w:color="auto"/>
              <w:left w:val="single" w:sz="4" w:space="0" w:color="auto"/>
            </w:tcBorders>
            <w:shd w:val="clear" w:color="auto" w:fill="FFFFFF"/>
          </w:tcPr>
          <w:p w14:paraId="2AD1780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5</w:t>
            </w:r>
          </w:p>
        </w:tc>
        <w:tc>
          <w:tcPr>
            <w:tcW w:w="6048" w:type="dxa"/>
            <w:tcBorders>
              <w:top w:val="single" w:sz="4" w:space="0" w:color="auto"/>
              <w:left w:val="single" w:sz="4" w:space="0" w:color="auto"/>
            </w:tcBorders>
            <w:shd w:val="clear" w:color="auto" w:fill="FFFFFF"/>
            <w:vAlign w:val="bottom"/>
          </w:tcPr>
          <w:p w14:paraId="40F66AE7"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Գրանցումը (վերագրանցումը) հաստատելու ամսաթիվը.</w:t>
            </w:r>
          </w:p>
        </w:tc>
        <w:tc>
          <w:tcPr>
            <w:tcW w:w="3134" w:type="dxa"/>
            <w:tcBorders>
              <w:top w:val="single" w:sz="4" w:space="0" w:color="auto"/>
              <w:left w:val="single" w:sz="4" w:space="0" w:color="auto"/>
              <w:right w:val="single" w:sz="4" w:space="0" w:color="auto"/>
            </w:tcBorders>
            <w:shd w:val="clear" w:color="auto" w:fill="FFFFFF"/>
          </w:tcPr>
          <w:p w14:paraId="486FE8E6" w14:textId="77777777" w:rsidR="008C76E0" w:rsidRPr="003B2786" w:rsidRDefault="008C76E0" w:rsidP="008C76E0">
            <w:pPr>
              <w:spacing w:after="120" w:line="240" w:lineRule="auto"/>
              <w:jc w:val="both"/>
              <w:rPr>
                <w:rFonts w:ascii="Sylfaen" w:hAnsi="Sylfaen"/>
                <w:sz w:val="24"/>
                <w:szCs w:val="24"/>
              </w:rPr>
            </w:pPr>
          </w:p>
        </w:tc>
      </w:tr>
      <w:tr w:rsidR="008C76E0" w:rsidRPr="003B2786" w14:paraId="0A6BD7A9" w14:textId="77777777" w:rsidTr="008C76E0">
        <w:trPr>
          <w:jc w:val="center"/>
        </w:trPr>
        <w:tc>
          <w:tcPr>
            <w:tcW w:w="403" w:type="dxa"/>
            <w:tcBorders>
              <w:top w:val="single" w:sz="4" w:space="0" w:color="auto"/>
              <w:left w:val="single" w:sz="4" w:space="0" w:color="auto"/>
            </w:tcBorders>
            <w:shd w:val="clear" w:color="auto" w:fill="FFFFFF"/>
            <w:vAlign w:val="center"/>
          </w:tcPr>
          <w:p w14:paraId="16FECEC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lastRenderedPageBreak/>
              <w:t>6</w:t>
            </w:r>
          </w:p>
        </w:tc>
        <w:tc>
          <w:tcPr>
            <w:tcW w:w="6048" w:type="dxa"/>
            <w:tcBorders>
              <w:top w:val="single" w:sz="4" w:space="0" w:color="auto"/>
              <w:left w:val="single" w:sz="4" w:space="0" w:color="auto"/>
            </w:tcBorders>
            <w:shd w:val="clear" w:color="auto" w:fill="FFFFFF"/>
            <w:vAlign w:val="bottom"/>
          </w:tcPr>
          <w:p w14:paraId="48502EC4"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295pt"/>
                <w:rFonts w:ascii="Sylfaen" w:hAnsi="Sylfaen"/>
                <w:sz w:val="24"/>
                <w:szCs w:val="24"/>
              </w:rPr>
              <w:t>Գրանցման հավաստագրում փոփոխություններ կատարելու (վերաձ</w:t>
            </w:r>
            <w:r w:rsidR="00C54D75">
              <w:rPr>
                <w:rStyle w:val="Bodytext295pt"/>
                <w:rFonts w:ascii="Sylfaen" w:hAnsi="Sylfaen"/>
                <w:sz w:val="24"/>
                <w:szCs w:val="24"/>
              </w:rPr>
              <w:t>և</w:t>
            </w:r>
            <w:r w:rsidRPr="003B2786">
              <w:rPr>
                <w:rStyle w:val="Bodytext295pt"/>
                <w:rFonts w:ascii="Sylfaen" w:hAnsi="Sylfaen"/>
                <w:sz w:val="24"/>
                <w:szCs w:val="24"/>
              </w:rPr>
              <w:t>ակերպելու) ամսաթիվը.</w:t>
            </w:r>
          </w:p>
        </w:tc>
        <w:tc>
          <w:tcPr>
            <w:tcW w:w="3134" w:type="dxa"/>
            <w:tcBorders>
              <w:top w:val="single" w:sz="4" w:space="0" w:color="auto"/>
              <w:left w:val="single" w:sz="4" w:space="0" w:color="auto"/>
              <w:right w:val="single" w:sz="4" w:space="0" w:color="auto"/>
            </w:tcBorders>
            <w:shd w:val="clear" w:color="auto" w:fill="FFFFFF"/>
          </w:tcPr>
          <w:p w14:paraId="471EFA0E" w14:textId="77777777" w:rsidR="008C76E0" w:rsidRPr="003B2786" w:rsidRDefault="008C76E0" w:rsidP="008C76E0">
            <w:pPr>
              <w:spacing w:after="120" w:line="240" w:lineRule="auto"/>
              <w:jc w:val="both"/>
              <w:rPr>
                <w:rFonts w:ascii="Sylfaen" w:hAnsi="Sylfaen"/>
                <w:sz w:val="24"/>
                <w:szCs w:val="24"/>
              </w:rPr>
            </w:pPr>
          </w:p>
        </w:tc>
      </w:tr>
      <w:tr w:rsidR="008C76E0" w:rsidRPr="003B2786" w14:paraId="43BDC16F" w14:textId="77777777" w:rsidTr="008C76E0">
        <w:trPr>
          <w:jc w:val="center"/>
        </w:trPr>
        <w:tc>
          <w:tcPr>
            <w:tcW w:w="403" w:type="dxa"/>
            <w:tcBorders>
              <w:top w:val="single" w:sz="4" w:space="0" w:color="auto"/>
              <w:left w:val="single" w:sz="4" w:space="0" w:color="auto"/>
              <w:bottom w:val="single" w:sz="4" w:space="0" w:color="auto"/>
            </w:tcBorders>
            <w:shd w:val="clear" w:color="auto" w:fill="FFFFFF"/>
            <w:vAlign w:val="bottom"/>
          </w:tcPr>
          <w:p w14:paraId="663D297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7</w:t>
            </w:r>
          </w:p>
        </w:tc>
        <w:tc>
          <w:tcPr>
            <w:tcW w:w="6048" w:type="dxa"/>
            <w:tcBorders>
              <w:top w:val="single" w:sz="4" w:space="0" w:color="auto"/>
              <w:left w:val="single" w:sz="4" w:space="0" w:color="auto"/>
              <w:bottom w:val="single" w:sz="4" w:space="0" w:color="auto"/>
            </w:tcBorders>
            <w:shd w:val="clear" w:color="auto" w:fill="FFFFFF"/>
            <w:vAlign w:val="bottom"/>
          </w:tcPr>
          <w:p w14:paraId="536B8C9F" w14:textId="77777777" w:rsidR="008C76E0" w:rsidRPr="003B2786" w:rsidRDefault="008C76E0" w:rsidP="008C76E0">
            <w:pPr>
              <w:pStyle w:val="Bodytext180"/>
              <w:shd w:val="clear" w:color="auto" w:fill="auto"/>
              <w:spacing w:before="0" w:after="120" w:line="240" w:lineRule="auto"/>
              <w:ind w:left="129" w:firstLine="0"/>
              <w:rPr>
                <w:rFonts w:ascii="Sylfaen" w:hAnsi="Sylfaen"/>
                <w:b w:val="0"/>
                <w:i/>
                <w:sz w:val="24"/>
                <w:szCs w:val="24"/>
              </w:rPr>
            </w:pPr>
            <w:r w:rsidRPr="003B2786">
              <w:rPr>
                <w:rStyle w:val="Bodytext1811pt"/>
                <w:rFonts w:ascii="Sylfaen" w:hAnsi="Sylfaen"/>
                <w:sz w:val="24"/>
                <w:szCs w:val="24"/>
              </w:rPr>
              <w:t>Ռեֆերենտ</w:t>
            </w:r>
            <w:r w:rsidRPr="003B2786">
              <w:rPr>
                <w:rStyle w:val="Bodytext295pt"/>
                <w:rFonts w:ascii="Sylfaen" w:hAnsi="Sylfaen"/>
                <w:sz w:val="24"/>
                <w:szCs w:val="24"/>
              </w:rPr>
              <w:t xml:space="preserve"> պետությունում գրանցման ամսաթիվը.</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14:paraId="5FFE8EEB" w14:textId="77777777" w:rsidR="008C76E0" w:rsidRPr="003B2786" w:rsidRDefault="008C76E0" w:rsidP="008C76E0">
            <w:pPr>
              <w:spacing w:after="120" w:line="240" w:lineRule="auto"/>
              <w:jc w:val="both"/>
              <w:rPr>
                <w:rFonts w:ascii="Sylfaen" w:hAnsi="Sylfaen"/>
                <w:sz w:val="24"/>
                <w:szCs w:val="24"/>
              </w:rPr>
            </w:pPr>
          </w:p>
        </w:tc>
      </w:tr>
    </w:tbl>
    <w:p w14:paraId="61B2A706" w14:textId="77777777" w:rsidR="008C76E0" w:rsidRPr="003B2786" w:rsidRDefault="00C54D75" w:rsidP="008C76E0">
      <w:pPr>
        <w:pBdr>
          <w:bottom w:val="single" w:sz="6" w:space="1" w:color="auto"/>
        </w:pBdr>
        <w:jc w:val="both"/>
        <w:rPr>
          <w:rFonts w:ascii="Sylfaen" w:hAnsi="Sylfaen"/>
          <w:sz w:val="24"/>
          <w:szCs w:val="24"/>
        </w:rPr>
      </w:pPr>
      <w:r>
        <w:rPr>
          <w:rFonts w:ascii="Sylfaen" w:hAnsi="Sylfaen"/>
          <w:sz w:val="24"/>
          <w:szCs w:val="24"/>
        </w:rPr>
        <w:t>և</w:t>
      </w:r>
      <w:r w:rsidR="008C76E0" w:rsidRPr="003B2786">
        <w:rPr>
          <w:rFonts w:ascii="Sylfaen" w:hAnsi="Sylfaen"/>
          <w:sz w:val="24"/>
          <w:szCs w:val="24"/>
        </w:rPr>
        <w:t xml:space="preserve"> հաստատում է, որ դեղապատրաստուկը գրանցված է </w:t>
      </w:r>
      <w:r>
        <w:rPr>
          <w:rFonts w:ascii="Sylfaen" w:hAnsi="Sylfaen"/>
          <w:sz w:val="24"/>
          <w:szCs w:val="24"/>
        </w:rPr>
        <w:t>և</w:t>
      </w:r>
      <w:r w:rsidR="008C76E0" w:rsidRPr="003B2786">
        <w:rPr>
          <w:rFonts w:ascii="Sylfaen" w:hAnsi="Sylfaen"/>
          <w:sz w:val="24"/>
          <w:szCs w:val="24"/>
        </w:rPr>
        <w:t xml:space="preserve"> թույլատրված է </w:t>
      </w:r>
    </w:p>
    <w:p w14:paraId="1DBE7A02" w14:textId="77777777" w:rsidR="008C76E0" w:rsidRPr="00B65002" w:rsidRDefault="008C76E0" w:rsidP="008C76E0">
      <w:pPr>
        <w:spacing w:after="0"/>
        <w:jc w:val="center"/>
        <w:rPr>
          <w:rFonts w:ascii="Sylfaen" w:hAnsi="Sylfaen"/>
          <w:sz w:val="20"/>
          <w:szCs w:val="20"/>
        </w:rPr>
      </w:pPr>
      <w:r w:rsidRPr="00B65002">
        <w:rPr>
          <w:rFonts w:ascii="Sylfaen" w:hAnsi="Sylfaen"/>
          <w:sz w:val="20"/>
          <w:szCs w:val="20"/>
        </w:rPr>
        <w:t>(Եվրասիական տնտեսական միության անդամ պետություն) տարածքում բժշկական նպատակներով կիրառման</w:t>
      </w:r>
    </w:p>
    <w:p w14:paraId="2F5B56A0" w14:textId="77777777" w:rsidR="008C76E0" w:rsidRPr="003B2786" w:rsidRDefault="008C76E0" w:rsidP="008C76E0">
      <w:pPr>
        <w:spacing w:after="120" w:line="240" w:lineRule="auto"/>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4392"/>
        <w:gridCol w:w="1954"/>
        <w:gridCol w:w="552"/>
        <w:gridCol w:w="2165"/>
      </w:tblGrid>
      <w:tr w:rsidR="008C76E0" w:rsidRPr="003B2786" w14:paraId="333EE341" w14:textId="77777777" w:rsidTr="008C76E0">
        <w:trPr>
          <w:jc w:val="center"/>
        </w:trPr>
        <w:tc>
          <w:tcPr>
            <w:tcW w:w="9586" w:type="dxa"/>
            <w:gridSpan w:val="5"/>
            <w:shd w:val="clear" w:color="auto" w:fill="FFFFFF"/>
          </w:tcPr>
          <w:p w14:paraId="5E16FEEE" w14:textId="77777777" w:rsidR="008C76E0" w:rsidRPr="003B2786"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3B2786">
              <w:rPr>
                <w:rStyle w:val="Bodytext295pt"/>
                <w:rFonts w:ascii="Sylfaen" w:hAnsi="Sylfaen"/>
                <w:sz w:val="24"/>
                <w:szCs w:val="24"/>
              </w:rPr>
              <w:t>Գրանցված դեղապատրաստուկի վերաբերյալ տեղեկատվությունը</w:t>
            </w:r>
          </w:p>
        </w:tc>
      </w:tr>
      <w:tr w:rsidR="008C76E0" w:rsidRPr="003B2786" w14:paraId="01549871" w14:textId="77777777" w:rsidTr="008C76E0">
        <w:trPr>
          <w:jc w:val="center"/>
        </w:trPr>
        <w:tc>
          <w:tcPr>
            <w:tcW w:w="523" w:type="dxa"/>
            <w:tcBorders>
              <w:top w:val="single" w:sz="4" w:space="0" w:color="auto"/>
              <w:left w:val="single" w:sz="4" w:space="0" w:color="auto"/>
            </w:tcBorders>
            <w:shd w:val="clear" w:color="auto" w:fill="FFFFFF"/>
            <w:vAlign w:val="bottom"/>
          </w:tcPr>
          <w:p w14:paraId="0EA0F29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8</w:t>
            </w:r>
          </w:p>
        </w:tc>
        <w:tc>
          <w:tcPr>
            <w:tcW w:w="6898" w:type="dxa"/>
            <w:gridSpan w:val="3"/>
            <w:tcBorders>
              <w:top w:val="single" w:sz="4" w:space="0" w:color="auto"/>
              <w:left w:val="single" w:sz="4" w:space="0" w:color="auto"/>
            </w:tcBorders>
            <w:shd w:val="clear" w:color="auto" w:fill="FFFFFF"/>
            <w:vAlign w:val="bottom"/>
          </w:tcPr>
          <w:p w14:paraId="4F86F9EC"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Դեղապատրաստուկի առ</w:t>
            </w:r>
            <w:r w:rsidR="00C54D75">
              <w:rPr>
                <w:rStyle w:val="Bodytext295pt"/>
                <w:rFonts w:ascii="Sylfaen" w:hAnsi="Sylfaen"/>
                <w:sz w:val="24"/>
                <w:szCs w:val="24"/>
              </w:rPr>
              <w:t>և</w:t>
            </w:r>
            <w:r w:rsidRPr="003B2786">
              <w:rPr>
                <w:rStyle w:val="Bodytext295pt"/>
                <w:rFonts w:ascii="Sylfaen" w:hAnsi="Sylfaen"/>
                <w:sz w:val="24"/>
                <w:szCs w:val="24"/>
              </w:rPr>
              <w:t>տրային անվանումը.</w:t>
            </w:r>
          </w:p>
        </w:tc>
        <w:tc>
          <w:tcPr>
            <w:tcW w:w="2165" w:type="dxa"/>
            <w:tcBorders>
              <w:top w:val="single" w:sz="4" w:space="0" w:color="auto"/>
              <w:left w:val="single" w:sz="4" w:space="0" w:color="auto"/>
              <w:right w:val="single" w:sz="4" w:space="0" w:color="auto"/>
            </w:tcBorders>
            <w:shd w:val="clear" w:color="auto" w:fill="FFFFFF"/>
          </w:tcPr>
          <w:p w14:paraId="082EAAA1" w14:textId="77777777" w:rsidR="008C76E0" w:rsidRPr="003B2786" w:rsidRDefault="008C76E0" w:rsidP="008C76E0">
            <w:pPr>
              <w:spacing w:after="120" w:line="240" w:lineRule="auto"/>
              <w:jc w:val="both"/>
              <w:rPr>
                <w:rFonts w:ascii="Sylfaen" w:hAnsi="Sylfaen"/>
                <w:sz w:val="24"/>
                <w:szCs w:val="24"/>
              </w:rPr>
            </w:pPr>
          </w:p>
        </w:tc>
      </w:tr>
      <w:tr w:rsidR="008C76E0" w:rsidRPr="003B2786" w14:paraId="7D8E1DB6" w14:textId="77777777" w:rsidTr="008C76E0">
        <w:trPr>
          <w:jc w:val="center"/>
        </w:trPr>
        <w:tc>
          <w:tcPr>
            <w:tcW w:w="523" w:type="dxa"/>
            <w:tcBorders>
              <w:top w:val="single" w:sz="4" w:space="0" w:color="auto"/>
              <w:left w:val="single" w:sz="4" w:space="0" w:color="auto"/>
            </w:tcBorders>
            <w:shd w:val="clear" w:color="auto" w:fill="FFFFFF"/>
          </w:tcPr>
          <w:p w14:paraId="2568D22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9</w:t>
            </w:r>
          </w:p>
        </w:tc>
        <w:tc>
          <w:tcPr>
            <w:tcW w:w="6898" w:type="dxa"/>
            <w:gridSpan w:val="3"/>
            <w:tcBorders>
              <w:top w:val="single" w:sz="4" w:space="0" w:color="auto"/>
              <w:left w:val="single" w:sz="4" w:space="0" w:color="auto"/>
            </w:tcBorders>
            <w:shd w:val="clear" w:color="auto" w:fill="FFFFFF"/>
            <w:vAlign w:val="bottom"/>
          </w:tcPr>
          <w:p w14:paraId="41524D33"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Միջազգային չարտոնագրված անվանումը (ՄՉԱ) կամ համընդհանուր (խմբային) անվանումը կամ ակտիվ դեղագործական բաղադրամասի քիմիական անվանումը (ՄՉԱ-ի բացակայության դեպքում).</w:t>
            </w:r>
          </w:p>
        </w:tc>
        <w:tc>
          <w:tcPr>
            <w:tcW w:w="2165" w:type="dxa"/>
            <w:tcBorders>
              <w:top w:val="single" w:sz="4" w:space="0" w:color="auto"/>
              <w:left w:val="single" w:sz="4" w:space="0" w:color="auto"/>
              <w:right w:val="single" w:sz="4" w:space="0" w:color="auto"/>
            </w:tcBorders>
            <w:shd w:val="clear" w:color="auto" w:fill="FFFFFF"/>
          </w:tcPr>
          <w:p w14:paraId="0D68839F" w14:textId="77777777" w:rsidR="008C76E0" w:rsidRPr="003B2786" w:rsidRDefault="008C76E0" w:rsidP="008C76E0">
            <w:pPr>
              <w:spacing w:after="120" w:line="240" w:lineRule="auto"/>
              <w:jc w:val="both"/>
              <w:rPr>
                <w:rFonts w:ascii="Sylfaen" w:hAnsi="Sylfaen"/>
                <w:sz w:val="24"/>
                <w:szCs w:val="24"/>
              </w:rPr>
            </w:pPr>
          </w:p>
        </w:tc>
      </w:tr>
      <w:tr w:rsidR="008C76E0" w:rsidRPr="003B2786" w14:paraId="2D860FCF" w14:textId="77777777" w:rsidTr="008C76E0">
        <w:trPr>
          <w:jc w:val="center"/>
        </w:trPr>
        <w:tc>
          <w:tcPr>
            <w:tcW w:w="523" w:type="dxa"/>
            <w:tcBorders>
              <w:top w:val="single" w:sz="4" w:space="0" w:color="auto"/>
              <w:left w:val="single" w:sz="4" w:space="0" w:color="auto"/>
            </w:tcBorders>
            <w:shd w:val="clear" w:color="auto" w:fill="FFFFFF"/>
            <w:vAlign w:val="bottom"/>
          </w:tcPr>
          <w:p w14:paraId="5016BCB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10</w:t>
            </w:r>
          </w:p>
        </w:tc>
        <w:tc>
          <w:tcPr>
            <w:tcW w:w="6898" w:type="dxa"/>
            <w:gridSpan w:val="3"/>
            <w:tcBorders>
              <w:top w:val="single" w:sz="4" w:space="0" w:color="auto"/>
              <w:left w:val="single" w:sz="4" w:space="0" w:color="auto"/>
            </w:tcBorders>
            <w:shd w:val="clear" w:color="auto" w:fill="FFFFFF"/>
            <w:vAlign w:val="bottom"/>
          </w:tcPr>
          <w:p w14:paraId="13536E9D"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Դեղաձ</w:t>
            </w:r>
            <w:r w:rsidR="00C54D75">
              <w:rPr>
                <w:rStyle w:val="Bodytext295pt"/>
                <w:rFonts w:ascii="Sylfaen" w:hAnsi="Sylfaen"/>
                <w:sz w:val="24"/>
                <w:szCs w:val="24"/>
              </w:rPr>
              <w:t>և</w:t>
            </w:r>
            <w:r w:rsidRPr="003B2786">
              <w:rPr>
                <w:rStyle w:val="Bodytext295pt"/>
                <w:rFonts w:ascii="Sylfaen" w:hAnsi="Sylfaen"/>
                <w:sz w:val="24"/>
                <w:szCs w:val="24"/>
              </w:rPr>
              <w:t>ը.</w:t>
            </w:r>
          </w:p>
        </w:tc>
        <w:tc>
          <w:tcPr>
            <w:tcW w:w="2165" w:type="dxa"/>
            <w:tcBorders>
              <w:top w:val="single" w:sz="4" w:space="0" w:color="auto"/>
              <w:left w:val="single" w:sz="4" w:space="0" w:color="auto"/>
              <w:right w:val="single" w:sz="4" w:space="0" w:color="auto"/>
            </w:tcBorders>
            <w:shd w:val="clear" w:color="auto" w:fill="FFFFFF"/>
          </w:tcPr>
          <w:p w14:paraId="02C7293F" w14:textId="77777777" w:rsidR="008C76E0" w:rsidRPr="003B2786" w:rsidRDefault="008C76E0" w:rsidP="008C76E0">
            <w:pPr>
              <w:spacing w:after="120" w:line="240" w:lineRule="auto"/>
              <w:jc w:val="both"/>
              <w:rPr>
                <w:rFonts w:ascii="Sylfaen" w:hAnsi="Sylfaen"/>
                <w:sz w:val="24"/>
                <w:szCs w:val="24"/>
              </w:rPr>
            </w:pPr>
          </w:p>
        </w:tc>
      </w:tr>
      <w:tr w:rsidR="008C76E0" w:rsidRPr="003B2786" w14:paraId="431FB4CA" w14:textId="77777777" w:rsidTr="008C76E0">
        <w:trPr>
          <w:jc w:val="center"/>
        </w:trPr>
        <w:tc>
          <w:tcPr>
            <w:tcW w:w="523" w:type="dxa"/>
            <w:tcBorders>
              <w:top w:val="single" w:sz="4" w:space="0" w:color="auto"/>
              <w:left w:val="single" w:sz="4" w:space="0" w:color="auto"/>
            </w:tcBorders>
            <w:shd w:val="clear" w:color="auto" w:fill="FFFFFF"/>
            <w:vAlign w:val="bottom"/>
          </w:tcPr>
          <w:p w14:paraId="0B193B5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11</w:t>
            </w:r>
          </w:p>
        </w:tc>
        <w:tc>
          <w:tcPr>
            <w:tcW w:w="6898" w:type="dxa"/>
            <w:gridSpan w:val="3"/>
            <w:tcBorders>
              <w:top w:val="single" w:sz="4" w:space="0" w:color="auto"/>
              <w:left w:val="single" w:sz="4" w:space="0" w:color="auto"/>
            </w:tcBorders>
            <w:shd w:val="clear" w:color="auto" w:fill="FFFFFF"/>
            <w:vAlign w:val="bottom"/>
          </w:tcPr>
          <w:p w14:paraId="6206397E"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Դոզան (դոզաները).</w:t>
            </w:r>
          </w:p>
        </w:tc>
        <w:tc>
          <w:tcPr>
            <w:tcW w:w="2165" w:type="dxa"/>
            <w:tcBorders>
              <w:top w:val="single" w:sz="4" w:space="0" w:color="auto"/>
              <w:left w:val="single" w:sz="4" w:space="0" w:color="auto"/>
              <w:right w:val="single" w:sz="4" w:space="0" w:color="auto"/>
            </w:tcBorders>
            <w:shd w:val="clear" w:color="auto" w:fill="FFFFFF"/>
          </w:tcPr>
          <w:p w14:paraId="23D87C27" w14:textId="77777777" w:rsidR="008C76E0" w:rsidRPr="003B2786" w:rsidRDefault="008C76E0" w:rsidP="008C76E0">
            <w:pPr>
              <w:spacing w:after="120" w:line="240" w:lineRule="auto"/>
              <w:jc w:val="both"/>
              <w:rPr>
                <w:rFonts w:ascii="Sylfaen" w:hAnsi="Sylfaen"/>
                <w:sz w:val="24"/>
                <w:szCs w:val="24"/>
              </w:rPr>
            </w:pPr>
          </w:p>
        </w:tc>
      </w:tr>
      <w:tr w:rsidR="008C76E0" w:rsidRPr="003B2786" w14:paraId="74A9C1F1" w14:textId="77777777" w:rsidTr="008C76E0">
        <w:trPr>
          <w:jc w:val="center"/>
        </w:trPr>
        <w:tc>
          <w:tcPr>
            <w:tcW w:w="523" w:type="dxa"/>
            <w:tcBorders>
              <w:top w:val="single" w:sz="4" w:space="0" w:color="auto"/>
              <w:left w:val="single" w:sz="4" w:space="0" w:color="auto"/>
            </w:tcBorders>
            <w:shd w:val="clear" w:color="auto" w:fill="FFFFFF"/>
            <w:vAlign w:val="bottom"/>
          </w:tcPr>
          <w:p w14:paraId="3267944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12</w:t>
            </w:r>
          </w:p>
        </w:tc>
        <w:tc>
          <w:tcPr>
            <w:tcW w:w="6898" w:type="dxa"/>
            <w:gridSpan w:val="3"/>
            <w:tcBorders>
              <w:top w:val="single" w:sz="4" w:space="0" w:color="auto"/>
              <w:left w:val="single" w:sz="4" w:space="0" w:color="auto"/>
            </w:tcBorders>
            <w:shd w:val="clear" w:color="auto" w:fill="FFFFFF"/>
            <w:vAlign w:val="bottom"/>
          </w:tcPr>
          <w:p w14:paraId="4AB155E4"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Բացթողման ձ</w:t>
            </w:r>
            <w:r w:rsidR="00C54D75">
              <w:rPr>
                <w:rStyle w:val="Bodytext295pt"/>
                <w:rFonts w:ascii="Sylfaen" w:hAnsi="Sylfaen"/>
                <w:sz w:val="24"/>
                <w:szCs w:val="24"/>
              </w:rPr>
              <w:t>և</w:t>
            </w:r>
            <w:r w:rsidRPr="003B2786">
              <w:rPr>
                <w:rStyle w:val="Bodytext295pt"/>
                <w:rFonts w:ascii="Sylfaen" w:hAnsi="Sylfaen"/>
                <w:sz w:val="24"/>
                <w:szCs w:val="24"/>
              </w:rPr>
              <w:t>ը (ձ</w:t>
            </w:r>
            <w:r w:rsidR="00C54D75">
              <w:rPr>
                <w:rStyle w:val="Bodytext295pt"/>
                <w:rFonts w:ascii="Sylfaen" w:hAnsi="Sylfaen"/>
                <w:sz w:val="24"/>
                <w:szCs w:val="24"/>
              </w:rPr>
              <w:t>և</w:t>
            </w:r>
            <w:r w:rsidRPr="003B2786">
              <w:rPr>
                <w:rStyle w:val="Bodytext295pt"/>
                <w:rFonts w:ascii="Sylfaen" w:hAnsi="Sylfaen"/>
                <w:sz w:val="24"/>
                <w:szCs w:val="24"/>
              </w:rPr>
              <w:t>երը).</w:t>
            </w:r>
          </w:p>
        </w:tc>
        <w:tc>
          <w:tcPr>
            <w:tcW w:w="2165" w:type="dxa"/>
            <w:tcBorders>
              <w:top w:val="single" w:sz="4" w:space="0" w:color="auto"/>
              <w:left w:val="single" w:sz="4" w:space="0" w:color="auto"/>
              <w:right w:val="single" w:sz="4" w:space="0" w:color="auto"/>
            </w:tcBorders>
            <w:shd w:val="clear" w:color="auto" w:fill="FFFFFF"/>
          </w:tcPr>
          <w:p w14:paraId="1038F8B4" w14:textId="77777777" w:rsidR="008C76E0" w:rsidRPr="003B2786" w:rsidRDefault="008C76E0" w:rsidP="008C76E0">
            <w:pPr>
              <w:spacing w:after="120" w:line="240" w:lineRule="auto"/>
              <w:jc w:val="both"/>
              <w:rPr>
                <w:rFonts w:ascii="Sylfaen" w:hAnsi="Sylfaen"/>
                <w:sz w:val="24"/>
                <w:szCs w:val="24"/>
              </w:rPr>
            </w:pPr>
          </w:p>
        </w:tc>
      </w:tr>
      <w:tr w:rsidR="008C76E0" w:rsidRPr="003B2786" w14:paraId="73A8F470" w14:textId="77777777" w:rsidTr="008C76E0">
        <w:trPr>
          <w:jc w:val="center"/>
        </w:trPr>
        <w:tc>
          <w:tcPr>
            <w:tcW w:w="523" w:type="dxa"/>
            <w:tcBorders>
              <w:top w:val="single" w:sz="4" w:space="0" w:color="auto"/>
              <w:left w:val="single" w:sz="4" w:space="0" w:color="auto"/>
            </w:tcBorders>
            <w:shd w:val="clear" w:color="auto" w:fill="FFFFFF"/>
            <w:vAlign w:val="bottom"/>
          </w:tcPr>
          <w:p w14:paraId="2F822F5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13</w:t>
            </w:r>
          </w:p>
        </w:tc>
        <w:tc>
          <w:tcPr>
            <w:tcW w:w="6898" w:type="dxa"/>
            <w:gridSpan w:val="3"/>
            <w:tcBorders>
              <w:top w:val="single" w:sz="4" w:space="0" w:color="auto"/>
              <w:left w:val="single" w:sz="4" w:space="0" w:color="auto"/>
            </w:tcBorders>
            <w:shd w:val="clear" w:color="auto" w:fill="FFFFFF"/>
            <w:vAlign w:val="bottom"/>
          </w:tcPr>
          <w:p w14:paraId="305FE385" w14:textId="77777777" w:rsidR="008C76E0" w:rsidRPr="003B2786" w:rsidRDefault="008C76E0" w:rsidP="008C76E0">
            <w:pPr>
              <w:pStyle w:val="Bodytext180"/>
              <w:shd w:val="clear" w:color="auto" w:fill="auto"/>
              <w:spacing w:before="0" w:after="120" w:line="240" w:lineRule="auto"/>
              <w:ind w:left="61" w:right="69" w:firstLine="0"/>
              <w:rPr>
                <w:rFonts w:ascii="Sylfaen" w:hAnsi="Sylfaen"/>
                <w:b w:val="0"/>
                <w:sz w:val="24"/>
                <w:szCs w:val="24"/>
              </w:rPr>
            </w:pPr>
            <w:r w:rsidRPr="003B2786">
              <w:rPr>
                <w:rStyle w:val="Bodytext295pt"/>
                <w:rFonts w:ascii="Sylfaen" w:hAnsi="Sylfaen"/>
                <w:sz w:val="24"/>
                <w:szCs w:val="24"/>
              </w:rPr>
              <w:t>Դեղապատրաստուկի բաղադրությունը.</w:t>
            </w:r>
          </w:p>
        </w:tc>
        <w:tc>
          <w:tcPr>
            <w:tcW w:w="2165" w:type="dxa"/>
            <w:tcBorders>
              <w:top w:val="single" w:sz="4" w:space="0" w:color="auto"/>
              <w:left w:val="single" w:sz="4" w:space="0" w:color="auto"/>
              <w:right w:val="single" w:sz="4" w:space="0" w:color="auto"/>
            </w:tcBorders>
            <w:shd w:val="clear" w:color="auto" w:fill="FFFFFF"/>
          </w:tcPr>
          <w:p w14:paraId="69A82BE6" w14:textId="77777777" w:rsidR="008C76E0" w:rsidRPr="003B2786" w:rsidRDefault="008C76E0" w:rsidP="008C76E0">
            <w:pPr>
              <w:spacing w:after="120" w:line="240" w:lineRule="auto"/>
              <w:jc w:val="both"/>
              <w:rPr>
                <w:rFonts w:ascii="Sylfaen" w:hAnsi="Sylfaen"/>
                <w:sz w:val="24"/>
                <w:szCs w:val="24"/>
              </w:rPr>
            </w:pPr>
          </w:p>
        </w:tc>
      </w:tr>
      <w:tr w:rsidR="008C76E0" w:rsidRPr="003B2786" w14:paraId="76293344" w14:textId="77777777" w:rsidTr="008C76E0">
        <w:trPr>
          <w:jc w:val="center"/>
        </w:trPr>
        <w:tc>
          <w:tcPr>
            <w:tcW w:w="9586" w:type="dxa"/>
            <w:gridSpan w:val="5"/>
            <w:tcBorders>
              <w:top w:val="single" w:sz="4" w:space="0" w:color="auto"/>
            </w:tcBorders>
            <w:shd w:val="clear" w:color="auto" w:fill="FFFFFF"/>
            <w:vAlign w:val="center"/>
          </w:tcPr>
          <w:p w14:paraId="33B65D61" w14:textId="77777777" w:rsidR="008C76E0" w:rsidRPr="008C76E0" w:rsidRDefault="008C76E0" w:rsidP="008C76E0">
            <w:pPr>
              <w:pStyle w:val="Bodytext180"/>
              <w:shd w:val="clear" w:color="auto" w:fill="auto"/>
              <w:spacing w:before="0" w:after="160" w:line="360" w:lineRule="auto"/>
              <w:ind w:left="532" w:right="529" w:firstLine="0"/>
              <w:jc w:val="center"/>
              <w:rPr>
                <w:rFonts w:ascii="Sylfaen" w:hAnsi="Sylfaen"/>
                <w:b w:val="0"/>
                <w:sz w:val="24"/>
                <w:szCs w:val="24"/>
                <w:lang w:val="hy-AM"/>
              </w:rPr>
            </w:pPr>
            <w:r w:rsidRPr="003B2786">
              <w:rPr>
                <w:rStyle w:val="Bodytext295pt"/>
                <w:rFonts w:ascii="Sylfaen" w:hAnsi="Sylfaen"/>
                <w:sz w:val="24"/>
                <w:szCs w:val="24"/>
              </w:rPr>
              <w:t xml:space="preserve">Դեղապատրաստուկն արտադրողի մասին տեղեկատվությունը (դեղապատրաստուկի արտադրության մաս կազմող արտադրական հարթակների անվանումները </w:t>
            </w:r>
            <w:r w:rsidR="00C54D75">
              <w:rPr>
                <w:rStyle w:val="Bodytext295pt"/>
                <w:rFonts w:ascii="Sylfaen" w:hAnsi="Sylfaen"/>
                <w:sz w:val="24"/>
                <w:szCs w:val="24"/>
              </w:rPr>
              <w:t>և</w:t>
            </w:r>
            <w:r w:rsidRPr="003B2786">
              <w:rPr>
                <w:rStyle w:val="Bodytext295pt"/>
                <w:rFonts w:ascii="Sylfaen" w:hAnsi="Sylfaen"/>
                <w:sz w:val="24"/>
                <w:szCs w:val="24"/>
              </w:rPr>
              <w:t xml:space="preserve"> հասցեները)</w:t>
            </w:r>
          </w:p>
        </w:tc>
      </w:tr>
      <w:tr w:rsidR="008C76E0" w:rsidRPr="003B2786" w14:paraId="34622AF2" w14:textId="77777777" w:rsidTr="008C76E0">
        <w:trPr>
          <w:jc w:val="center"/>
        </w:trPr>
        <w:tc>
          <w:tcPr>
            <w:tcW w:w="523" w:type="dxa"/>
            <w:tcBorders>
              <w:top w:val="single" w:sz="4" w:space="0" w:color="auto"/>
              <w:left w:val="single" w:sz="4" w:space="0" w:color="auto"/>
            </w:tcBorders>
            <w:shd w:val="clear" w:color="auto" w:fill="FFFFFF"/>
          </w:tcPr>
          <w:p w14:paraId="25A0C086"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Թիվ</w:t>
            </w:r>
          </w:p>
        </w:tc>
        <w:tc>
          <w:tcPr>
            <w:tcW w:w="4392" w:type="dxa"/>
            <w:tcBorders>
              <w:top w:val="single" w:sz="4" w:space="0" w:color="auto"/>
              <w:left w:val="single" w:sz="4" w:space="0" w:color="auto"/>
            </w:tcBorders>
            <w:shd w:val="clear" w:color="auto" w:fill="FFFFFF"/>
            <w:vAlign w:val="bottom"/>
          </w:tcPr>
          <w:p w14:paraId="2306A23C" w14:textId="77777777" w:rsidR="008C76E0" w:rsidRPr="003B2786" w:rsidRDefault="008C76E0" w:rsidP="008C76E0">
            <w:pPr>
              <w:pStyle w:val="Bodytext180"/>
              <w:shd w:val="clear" w:color="auto" w:fill="auto"/>
              <w:spacing w:before="0" w:after="120" w:line="360" w:lineRule="auto"/>
              <w:ind w:left="61" w:right="69" w:firstLine="0"/>
              <w:jc w:val="center"/>
              <w:rPr>
                <w:rFonts w:ascii="Sylfaen" w:hAnsi="Sylfaen"/>
                <w:b w:val="0"/>
                <w:sz w:val="24"/>
                <w:szCs w:val="24"/>
              </w:rPr>
            </w:pPr>
            <w:r w:rsidRPr="003B2786">
              <w:rPr>
                <w:rStyle w:val="Bodytext295pt"/>
                <w:rFonts w:ascii="Sylfaen" w:hAnsi="Sylfaen"/>
                <w:sz w:val="24"/>
                <w:szCs w:val="24"/>
              </w:rPr>
              <w:t>Արտադրության ընթացաշրջանը (արտադրության գործընթացի բոլոր մասնակիցները)</w:t>
            </w:r>
          </w:p>
        </w:tc>
        <w:tc>
          <w:tcPr>
            <w:tcW w:w="1954" w:type="dxa"/>
            <w:tcBorders>
              <w:top w:val="single" w:sz="4" w:space="0" w:color="auto"/>
              <w:left w:val="single" w:sz="4" w:space="0" w:color="auto"/>
            </w:tcBorders>
            <w:shd w:val="clear" w:color="auto" w:fill="FFFFFF"/>
          </w:tcPr>
          <w:p w14:paraId="508A8B32"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Կազմակերպության անվանումը</w:t>
            </w:r>
          </w:p>
        </w:tc>
        <w:tc>
          <w:tcPr>
            <w:tcW w:w="2717" w:type="dxa"/>
            <w:gridSpan w:val="2"/>
            <w:tcBorders>
              <w:top w:val="single" w:sz="4" w:space="0" w:color="auto"/>
              <w:left w:val="single" w:sz="4" w:space="0" w:color="auto"/>
              <w:right w:val="single" w:sz="4" w:space="0" w:color="auto"/>
            </w:tcBorders>
            <w:shd w:val="clear" w:color="auto" w:fill="FFFFFF"/>
          </w:tcPr>
          <w:p w14:paraId="6E0AEE3A"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Արտադրական հարթակի հասցեն</w:t>
            </w:r>
          </w:p>
        </w:tc>
      </w:tr>
      <w:tr w:rsidR="008C76E0" w:rsidRPr="003B2786" w14:paraId="4438873A" w14:textId="77777777" w:rsidTr="008C76E0">
        <w:trPr>
          <w:jc w:val="center"/>
        </w:trPr>
        <w:tc>
          <w:tcPr>
            <w:tcW w:w="523" w:type="dxa"/>
            <w:tcBorders>
              <w:top w:val="single" w:sz="4" w:space="0" w:color="auto"/>
              <w:left w:val="single" w:sz="4" w:space="0" w:color="auto"/>
            </w:tcBorders>
            <w:shd w:val="clear" w:color="auto" w:fill="FFFFFF"/>
            <w:vAlign w:val="center"/>
          </w:tcPr>
          <w:p w14:paraId="351653C4"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1</w:t>
            </w:r>
          </w:p>
        </w:tc>
        <w:tc>
          <w:tcPr>
            <w:tcW w:w="4392" w:type="dxa"/>
            <w:tcBorders>
              <w:top w:val="single" w:sz="4" w:space="0" w:color="auto"/>
              <w:left w:val="single" w:sz="4" w:space="0" w:color="auto"/>
            </w:tcBorders>
            <w:shd w:val="clear" w:color="auto" w:fill="FFFFFF"/>
            <w:vAlign w:val="bottom"/>
          </w:tcPr>
          <w:p w14:paraId="3498557A" w14:textId="77777777" w:rsidR="008C76E0" w:rsidRPr="003B2786" w:rsidRDefault="008C76E0" w:rsidP="008C76E0">
            <w:pPr>
              <w:pStyle w:val="Bodytext180"/>
              <w:shd w:val="clear" w:color="auto" w:fill="auto"/>
              <w:spacing w:before="0" w:after="120" w:line="360" w:lineRule="auto"/>
              <w:ind w:left="61" w:right="69" w:firstLine="0"/>
              <w:rPr>
                <w:rFonts w:ascii="Sylfaen" w:hAnsi="Sylfaen"/>
                <w:b w:val="0"/>
                <w:sz w:val="24"/>
                <w:szCs w:val="24"/>
              </w:rPr>
            </w:pPr>
            <w:r w:rsidRPr="003B2786">
              <w:rPr>
                <w:rStyle w:val="Bodytext295pt"/>
                <w:rFonts w:ascii="Sylfaen" w:hAnsi="Sylfaen"/>
                <w:sz w:val="24"/>
                <w:szCs w:val="24"/>
              </w:rPr>
              <w:t>Պատրաստի դեղաձ</w:t>
            </w:r>
            <w:r w:rsidR="00C54D75">
              <w:rPr>
                <w:rStyle w:val="Bodytext295pt"/>
                <w:rFonts w:ascii="Sylfaen" w:hAnsi="Sylfaen"/>
                <w:sz w:val="24"/>
                <w:szCs w:val="24"/>
              </w:rPr>
              <w:t>և</w:t>
            </w:r>
            <w:r w:rsidRPr="003B2786">
              <w:rPr>
                <w:rStyle w:val="Bodytext295pt"/>
                <w:rFonts w:ascii="Sylfaen" w:hAnsi="Sylfaen"/>
                <w:sz w:val="24"/>
                <w:szCs w:val="24"/>
              </w:rPr>
              <w:t>ի արտադրությունը</w:t>
            </w:r>
          </w:p>
        </w:tc>
        <w:tc>
          <w:tcPr>
            <w:tcW w:w="1954" w:type="dxa"/>
            <w:tcBorders>
              <w:top w:val="single" w:sz="4" w:space="0" w:color="auto"/>
              <w:left w:val="single" w:sz="4" w:space="0" w:color="auto"/>
            </w:tcBorders>
            <w:shd w:val="clear" w:color="auto" w:fill="FFFFFF"/>
          </w:tcPr>
          <w:p w14:paraId="531409E7" w14:textId="77777777" w:rsidR="008C76E0" w:rsidRPr="003B2786" w:rsidRDefault="008C76E0" w:rsidP="008C76E0">
            <w:pPr>
              <w:spacing w:after="120"/>
              <w:jc w:val="both"/>
              <w:rPr>
                <w:rFonts w:ascii="Sylfaen" w:hAnsi="Sylfaen"/>
                <w:sz w:val="24"/>
                <w:szCs w:val="24"/>
              </w:rPr>
            </w:pPr>
          </w:p>
        </w:tc>
        <w:tc>
          <w:tcPr>
            <w:tcW w:w="2717" w:type="dxa"/>
            <w:gridSpan w:val="2"/>
            <w:tcBorders>
              <w:top w:val="single" w:sz="4" w:space="0" w:color="auto"/>
              <w:left w:val="single" w:sz="4" w:space="0" w:color="auto"/>
              <w:right w:val="single" w:sz="4" w:space="0" w:color="auto"/>
            </w:tcBorders>
            <w:shd w:val="clear" w:color="auto" w:fill="FFFFFF"/>
          </w:tcPr>
          <w:p w14:paraId="42CCC1ED" w14:textId="77777777" w:rsidR="008C76E0" w:rsidRPr="003B2786" w:rsidRDefault="008C76E0" w:rsidP="008C76E0">
            <w:pPr>
              <w:spacing w:after="120"/>
              <w:jc w:val="both"/>
              <w:rPr>
                <w:rFonts w:ascii="Sylfaen" w:hAnsi="Sylfaen"/>
                <w:sz w:val="24"/>
                <w:szCs w:val="24"/>
              </w:rPr>
            </w:pPr>
          </w:p>
        </w:tc>
      </w:tr>
      <w:tr w:rsidR="008C76E0" w:rsidRPr="003B2786" w14:paraId="6090E1EC" w14:textId="77777777" w:rsidTr="008C76E0">
        <w:trPr>
          <w:jc w:val="center"/>
        </w:trPr>
        <w:tc>
          <w:tcPr>
            <w:tcW w:w="523" w:type="dxa"/>
            <w:tcBorders>
              <w:top w:val="single" w:sz="4" w:space="0" w:color="auto"/>
              <w:left w:val="single" w:sz="4" w:space="0" w:color="auto"/>
            </w:tcBorders>
            <w:shd w:val="clear" w:color="auto" w:fill="FFFFFF"/>
            <w:vAlign w:val="bottom"/>
          </w:tcPr>
          <w:p w14:paraId="47A885A6"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2</w:t>
            </w:r>
          </w:p>
        </w:tc>
        <w:tc>
          <w:tcPr>
            <w:tcW w:w="4392" w:type="dxa"/>
            <w:tcBorders>
              <w:top w:val="single" w:sz="4" w:space="0" w:color="auto"/>
              <w:left w:val="single" w:sz="4" w:space="0" w:color="auto"/>
            </w:tcBorders>
            <w:shd w:val="clear" w:color="auto" w:fill="FFFFFF"/>
            <w:vAlign w:val="bottom"/>
          </w:tcPr>
          <w:p w14:paraId="271C1962" w14:textId="77777777" w:rsidR="008C76E0" w:rsidRPr="003B2786" w:rsidRDefault="008C76E0" w:rsidP="008C76E0">
            <w:pPr>
              <w:pStyle w:val="Bodytext180"/>
              <w:shd w:val="clear" w:color="auto" w:fill="auto"/>
              <w:spacing w:before="0" w:after="120" w:line="360" w:lineRule="auto"/>
              <w:ind w:left="61" w:right="69" w:firstLine="0"/>
              <w:rPr>
                <w:rFonts w:ascii="Sylfaen" w:hAnsi="Sylfaen"/>
                <w:b w:val="0"/>
                <w:sz w:val="24"/>
                <w:szCs w:val="24"/>
              </w:rPr>
            </w:pPr>
            <w:r w:rsidRPr="003B2786">
              <w:rPr>
                <w:rStyle w:val="Bodytext295pt"/>
                <w:rFonts w:ascii="Sylfaen" w:hAnsi="Sylfaen"/>
                <w:sz w:val="24"/>
                <w:szCs w:val="24"/>
              </w:rPr>
              <w:t>Առաջնային փաթեթվածքը</w:t>
            </w:r>
          </w:p>
        </w:tc>
        <w:tc>
          <w:tcPr>
            <w:tcW w:w="1954" w:type="dxa"/>
            <w:tcBorders>
              <w:top w:val="single" w:sz="4" w:space="0" w:color="auto"/>
              <w:left w:val="single" w:sz="4" w:space="0" w:color="auto"/>
            </w:tcBorders>
            <w:shd w:val="clear" w:color="auto" w:fill="FFFFFF"/>
          </w:tcPr>
          <w:p w14:paraId="7C06838A" w14:textId="77777777" w:rsidR="008C76E0" w:rsidRPr="003B2786" w:rsidRDefault="008C76E0" w:rsidP="008C76E0">
            <w:pPr>
              <w:spacing w:after="120"/>
              <w:jc w:val="both"/>
              <w:rPr>
                <w:rFonts w:ascii="Sylfaen" w:hAnsi="Sylfaen"/>
                <w:sz w:val="24"/>
                <w:szCs w:val="24"/>
              </w:rPr>
            </w:pPr>
          </w:p>
        </w:tc>
        <w:tc>
          <w:tcPr>
            <w:tcW w:w="2717" w:type="dxa"/>
            <w:gridSpan w:val="2"/>
            <w:tcBorders>
              <w:top w:val="single" w:sz="4" w:space="0" w:color="auto"/>
              <w:left w:val="single" w:sz="4" w:space="0" w:color="auto"/>
              <w:right w:val="single" w:sz="4" w:space="0" w:color="auto"/>
            </w:tcBorders>
            <w:shd w:val="clear" w:color="auto" w:fill="FFFFFF"/>
          </w:tcPr>
          <w:p w14:paraId="20F13527" w14:textId="77777777" w:rsidR="008C76E0" w:rsidRPr="003B2786" w:rsidRDefault="008C76E0" w:rsidP="008C76E0">
            <w:pPr>
              <w:spacing w:after="120"/>
              <w:jc w:val="both"/>
              <w:rPr>
                <w:rFonts w:ascii="Sylfaen" w:hAnsi="Sylfaen"/>
                <w:sz w:val="24"/>
                <w:szCs w:val="24"/>
              </w:rPr>
            </w:pPr>
          </w:p>
        </w:tc>
      </w:tr>
      <w:tr w:rsidR="008C76E0" w:rsidRPr="003B2786" w14:paraId="684ACF30" w14:textId="77777777" w:rsidTr="008C76E0">
        <w:trPr>
          <w:jc w:val="center"/>
        </w:trPr>
        <w:tc>
          <w:tcPr>
            <w:tcW w:w="523" w:type="dxa"/>
            <w:tcBorders>
              <w:top w:val="single" w:sz="4" w:space="0" w:color="auto"/>
              <w:left w:val="single" w:sz="4" w:space="0" w:color="auto"/>
            </w:tcBorders>
            <w:shd w:val="clear" w:color="auto" w:fill="FFFFFF"/>
            <w:vAlign w:val="bottom"/>
          </w:tcPr>
          <w:p w14:paraId="313802E3"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3</w:t>
            </w:r>
          </w:p>
        </w:tc>
        <w:tc>
          <w:tcPr>
            <w:tcW w:w="4392" w:type="dxa"/>
            <w:tcBorders>
              <w:top w:val="single" w:sz="4" w:space="0" w:color="auto"/>
              <w:left w:val="single" w:sz="4" w:space="0" w:color="auto"/>
            </w:tcBorders>
            <w:shd w:val="clear" w:color="auto" w:fill="FFFFFF"/>
            <w:vAlign w:val="bottom"/>
          </w:tcPr>
          <w:p w14:paraId="4CD3845F" w14:textId="77777777" w:rsidR="008C76E0" w:rsidRPr="003B2786" w:rsidRDefault="008C76E0" w:rsidP="008C76E0">
            <w:pPr>
              <w:pStyle w:val="Bodytext180"/>
              <w:shd w:val="clear" w:color="auto" w:fill="auto"/>
              <w:spacing w:before="0" w:after="120" w:line="360" w:lineRule="auto"/>
              <w:ind w:left="61" w:right="69" w:firstLine="0"/>
              <w:rPr>
                <w:rFonts w:ascii="Sylfaen" w:hAnsi="Sylfaen"/>
                <w:b w:val="0"/>
                <w:sz w:val="24"/>
                <w:szCs w:val="24"/>
              </w:rPr>
            </w:pPr>
            <w:r w:rsidRPr="003B2786">
              <w:rPr>
                <w:rStyle w:val="Bodytext295pt"/>
                <w:rFonts w:ascii="Sylfaen" w:hAnsi="Sylfaen"/>
                <w:sz w:val="24"/>
                <w:szCs w:val="24"/>
              </w:rPr>
              <w:t>Երկրորդային փաթեթվածքը</w:t>
            </w:r>
          </w:p>
        </w:tc>
        <w:tc>
          <w:tcPr>
            <w:tcW w:w="1954" w:type="dxa"/>
            <w:tcBorders>
              <w:top w:val="single" w:sz="4" w:space="0" w:color="auto"/>
              <w:left w:val="single" w:sz="4" w:space="0" w:color="auto"/>
            </w:tcBorders>
            <w:shd w:val="clear" w:color="auto" w:fill="FFFFFF"/>
          </w:tcPr>
          <w:p w14:paraId="698A1C68" w14:textId="77777777" w:rsidR="008C76E0" w:rsidRPr="003B2786" w:rsidRDefault="008C76E0" w:rsidP="008C76E0">
            <w:pPr>
              <w:spacing w:after="120"/>
              <w:jc w:val="both"/>
              <w:rPr>
                <w:rFonts w:ascii="Sylfaen" w:hAnsi="Sylfaen"/>
                <w:sz w:val="24"/>
                <w:szCs w:val="24"/>
              </w:rPr>
            </w:pPr>
          </w:p>
        </w:tc>
        <w:tc>
          <w:tcPr>
            <w:tcW w:w="2717" w:type="dxa"/>
            <w:gridSpan w:val="2"/>
            <w:tcBorders>
              <w:top w:val="single" w:sz="4" w:space="0" w:color="auto"/>
              <w:left w:val="single" w:sz="4" w:space="0" w:color="auto"/>
              <w:right w:val="single" w:sz="4" w:space="0" w:color="auto"/>
            </w:tcBorders>
            <w:shd w:val="clear" w:color="auto" w:fill="FFFFFF"/>
          </w:tcPr>
          <w:p w14:paraId="7270B132" w14:textId="77777777" w:rsidR="008C76E0" w:rsidRPr="003B2786" w:rsidRDefault="008C76E0" w:rsidP="008C76E0">
            <w:pPr>
              <w:spacing w:after="120"/>
              <w:jc w:val="both"/>
              <w:rPr>
                <w:rFonts w:ascii="Sylfaen" w:hAnsi="Sylfaen"/>
                <w:sz w:val="24"/>
                <w:szCs w:val="24"/>
              </w:rPr>
            </w:pPr>
          </w:p>
        </w:tc>
      </w:tr>
      <w:tr w:rsidR="008C76E0" w:rsidRPr="003B2786" w14:paraId="697B25DD" w14:textId="77777777" w:rsidTr="008C76E0">
        <w:trPr>
          <w:jc w:val="center"/>
        </w:trPr>
        <w:tc>
          <w:tcPr>
            <w:tcW w:w="523" w:type="dxa"/>
            <w:tcBorders>
              <w:top w:val="single" w:sz="4" w:space="0" w:color="auto"/>
              <w:left w:val="single" w:sz="4" w:space="0" w:color="auto"/>
              <w:bottom w:val="single" w:sz="4" w:space="0" w:color="auto"/>
            </w:tcBorders>
            <w:shd w:val="clear" w:color="auto" w:fill="FFFFFF"/>
          </w:tcPr>
          <w:p w14:paraId="18FB4061" w14:textId="77777777" w:rsidR="008C76E0" w:rsidRPr="003B2786" w:rsidRDefault="008C76E0" w:rsidP="008C76E0">
            <w:pPr>
              <w:pStyle w:val="Bodytext180"/>
              <w:shd w:val="clear" w:color="auto" w:fill="auto"/>
              <w:spacing w:before="0" w:after="120" w:line="360" w:lineRule="auto"/>
              <w:ind w:firstLine="0"/>
              <w:jc w:val="center"/>
              <w:rPr>
                <w:rFonts w:ascii="Sylfaen" w:hAnsi="Sylfaen"/>
                <w:b w:val="0"/>
                <w:sz w:val="24"/>
                <w:szCs w:val="24"/>
              </w:rPr>
            </w:pPr>
            <w:r w:rsidRPr="003B2786">
              <w:rPr>
                <w:rStyle w:val="Bodytext295pt"/>
                <w:rFonts w:ascii="Sylfaen" w:hAnsi="Sylfaen"/>
                <w:sz w:val="24"/>
                <w:szCs w:val="24"/>
              </w:rPr>
              <w:t>4</w:t>
            </w:r>
          </w:p>
        </w:tc>
        <w:tc>
          <w:tcPr>
            <w:tcW w:w="4392" w:type="dxa"/>
            <w:tcBorders>
              <w:top w:val="single" w:sz="4" w:space="0" w:color="auto"/>
              <w:left w:val="single" w:sz="4" w:space="0" w:color="auto"/>
              <w:bottom w:val="single" w:sz="4" w:space="0" w:color="auto"/>
            </w:tcBorders>
            <w:shd w:val="clear" w:color="auto" w:fill="FFFFFF"/>
            <w:vAlign w:val="bottom"/>
          </w:tcPr>
          <w:p w14:paraId="79E177D7" w14:textId="77777777" w:rsidR="008C76E0" w:rsidRPr="003B2786" w:rsidRDefault="008C76E0" w:rsidP="008C76E0">
            <w:pPr>
              <w:pStyle w:val="Bodytext180"/>
              <w:shd w:val="clear" w:color="auto" w:fill="auto"/>
              <w:spacing w:before="0" w:after="120" w:line="360" w:lineRule="auto"/>
              <w:ind w:left="9" w:firstLine="0"/>
              <w:rPr>
                <w:rFonts w:ascii="Sylfaen" w:hAnsi="Sylfaen"/>
                <w:b w:val="0"/>
                <w:sz w:val="24"/>
                <w:szCs w:val="24"/>
              </w:rPr>
            </w:pPr>
            <w:r w:rsidRPr="003B2786">
              <w:rPr>
                <w:rStyle w:val="Bodytext295pt"/>
                <w:rFonts w:ascii="Sylfaen" w:hAnsi="Sylfaen"/>
                <w:sz w:val="24"/>
                <w:szCs w:val="24"/>
              </w:rPr>
              <w:t>Բացթողման որակի վերահսկումը</w:t>
            </w:r>
          </w:p>
        </w:tc>
        <w:tc>
          <w:tcPr>
            <w:tcW w:w="1954" w:type="dxa"/>
            <w:tcBorders>
              <w:top w:val="single" w:sz="4" w:space="0" w:color="auto"/>
              <w:left w:val="single" w:sz="4" w:space="0" w:color="auto"/>
              <w:bottom w:val="single" w:sz="4" w:space="0" w:color="auto"/>
            </w:tcBorders>
            <w:shd w:val="clear" w:color="auto" w:fill="FFFFFF"/>
          </w:tcPr>
          <w:p w14:paraId="59BF728F" w14:textId="77777777" w:rsidR="008C76E0" w:rsidRPr="003B2786" w:rsidRDefault="008C76E0" w:rsidP="008C76E0">
            <w:pPr>
              <w:spacing w:after="120"/>
              <w:jc w:val="both"/>
              <w:rPr>
                <w:rFonts w:ascii="Sylfaen" w:hAnsi="Sylfaen"/>
                <w:sz w:val="24"/>
                <w:szCs w:val="24"/>
              </w:rPr>
            </w:pPr>
          </w:p>
        </w:tc>
        <w:tc>
          <w:tcPr>
            <w:tcW w:w="2717" w:type="dxa"/>
            <w:gridSpan w:val="2"/>
            <w:tcBorders>
              <w:top w:val="single" w:sz="4" w:space="0" w:color="auto"/>
              <w:left w:val="single" w:sz="4" w:space="0" w:color="auto"/>
              <w:bottom w:val="single" w:sz="4" w:space="0" w:color="auto"/>
              <w:right w:val="single" w:sz="4" w:space="0" w:color="auto"/>
            </w:tcBorders>
            <w:shd w:val="clear" w:color="auto" w:fill="FFFFFF"/>
          </w:tcPr>
          <w:p w14:paraId="209AB0BE" w14:textId="77777777" w:rsidR="008C76E0" w:rsidRPr="003B2786" w:rsidRDefault="008C76E0" w:rsidP="008C76E0">
            <w:pPr>
              <w:spacing w:after="120"/>
              <w:jc w:val="both"/>
              <w:rPr>
                <w:rFonts w:ascii="Sylfaen" w:hAnsi="Sylfaen"/>
                <w:sz w:val="24"/>
                <w:szCs w:val="24"/>
              </w:rPr>
            </w:pPr>
          </w:p>
        </w:tc>
      </w:tr>
    </w:tbl>
    <w:p w14:paraId="34687C02" w14:textId="77777777" w:rsidR="008C76E0" w:rsidRDefault="008C76E0" w:rsidP="008C76E0">
      <w:pPr>
        <w:pStyle w:val="Tablecaption30"/>
        <w:shd w:val="clear" w:color="auto" w:fill="auto"/>
        <w:spacing w:after="160" w:line="360" w:lineRule="auto"/>
        <w:ind w:right="-1"/>
        <w:jc w:val="both"/>
        <w:rPr>
          <w:rFonts w:ascii="Sylfaen" w:hAnsi="Sylfaen"/>
          <w:sz w:val="24"/>
          <w:szCs w:val="24"/>
        </w:rPr>
      </w:pPr>
      <w:r w:rsidRPr="003B2786">
        <w:rPr>
          <w:rFonts w:ascii="Sylfaen" w:hAnsi="Sylfaen"/>
          <w:sz w:val="24"/>
          <w:szCs w:val="24"/>
        </w:rPr>
        <w:t>Հավելված ___ թերթ</w:t>
      </w:r>
    </w:p>
    <w:p w14:paraId="276A21B5" w14:textId="77777777" w:rsidR="007F6CA3" w:rsidRPr="003B2786" w:rsidRDefault="007F6CA3" w:rsidP="008C76E0">
      <w:pPr>
        <w:pStyle w:val="Tablecaption30"/>
        <w:shd w:val="clear" w:color="auto" w:fill="auto"/>
        <w:spacing w:after="160" w:line="360" w:lineRule="auto"/>
        <w:ind w:right="-1"/>
        <w:jc w:val="both"/>
        <w:rPr>
          <w:rFonts w:ascii="Sylfaen" w:hAnsi="Sylfaen"/>
          <w:sz w:val="24"/>
          <w:szCs w:val="24"/>
        </w:rPr>
      </w:pPr>
    </w:p>
    <w:tbl>
      <w:tblPr>
        <w:tblOverlap w:val="never"/>
        <w:tblW w:w="9111" w:type="dxa"/>
        <w:jc w:val="center"/>
        <w:tblLayout w:type="fixed"/>
        <w:tblCellMar>
          <w:left w:w="10" w:type="dxa"/>
          <w:right w:w="10" w:type="dxa"/>
        </w:tblCellMar>
        <w:tblLook w:val="04A0" w:firstRow="1" w:lastRow="0" w:firstColumn="1" w:lastColumn="0" w:noHBand="0" w:noVBand="1"/>
      </w:tblPr>
      <w:tblGrid>
        <w:gridCol w:w="5429"/>
        <w:gridCol w:w="2104"/>
        <w:gridCol w:w="1578"/>
      </w:tblGrid>
      <w:tr w:rsidR="008C76E0" w:rsidRPr="003B2786" w14:paraId="657C734B" w14:textId="77777777" w:rsidTr="008C76E0">
        <w:trPr>
          <w:jc w:val="center"/>
        </w:trPr>
        <w:tc>
          <w:tcPr>
            <w:tcW w:w="5429" w:type="dxa"/>
            <w:shd w:val="clear" w:color="auto" w:fill="FFFFFF"/>
            <w:vAlign w:val="bottom"/>
          </w:tcPr>
          <w:p w14:paraId="2D9BF373" w14:textId="77777777" w:rsidR="008C76E0" w:rsidRPr="003B2786" w:rsidRDefault="008C76E0" w:rsidP="008C76E0">
            <w:pPr>
              <w:pStyle w:val="Bodytext180"/>
              <w:shd w:val="clear" w:color="auto" w:fill="auto"/>
              <w:spacing w:before="0" w:after="160" w:line="360" w:lineRule="auto"/>
              <w:ind w:firstLine="0"/>
              <w:jc w:val="center"/>
              <w:rPr>
                <w:rStyle w:val="Bodytext295pt"/>
                <w:rFonts w:ascii="Sylfaen" w:hAnsi="Sylfaen"/>
                <w:sz w:val="24"/>
                <w:szCs w:val="24"/>
              </w:rPr>
            </w:pPr>
            <w:r w:rsidRPr="003B2786">
              <w:rPr>
                <w:rStyle w:val="Bodytext295pt"/>
                <w:rFonts w:ascii="Sylfaen" w:hAnsi="Sylfaen"/>
                <w:sz w:val="24"/>
                <w:szCs w:val="24"/>
              </w:rPr>
              <w:lastRenderedPageBreak/>
              <w:t xml:space="preserve">Լիազորված մարմնի ղեկավարը </w:t>
            </w:r>
          </w:p>
          <w:p w14:paraId="52D73C52" w14:textId="77777777" w:rsidR="008C76E0" w:rsidRPr="003B2786" w:rsidRDefault="008C76E0" w:rsidP="008C76E0">
            <w:pPr>
              <w:pStyle w:val="Bodytext180"/>
              <w:shd w:val="clear" w:color="auto" w:fill="auto"/>
              <w:spacing w:before="0" w:after="160" w:line="360" w:lineRule="auto"/>
              <w:ind w:firstLine="0"/>
              <w:jc w:val="center"/>
              <w:rPr>
                <w:rFonts w:ascii="Sylfaen" w:hAnsi="Sylfaen"/>
                <w:b w:val="0"/>
                <w:sz w:val="24"/>
                <w:szCs w:val="24"/>
              </w:rPr>
            </w:pPr>
            <w:r w:rsidRPr="003B2786">
              <w:rPr>
                <w:rStyle w:val="Bodytext295pt"/>
                <w:rFonts w:ascii="Sylfaen" w:hAnsi="Sylfaen"/>
                <w:sz w:val="24"/>
                <w:szCs w:val="24"/>
              </w:rPr>
              <w:t>(կամ լիազոր անձը)</w:t>
            </w:r>
          </w:p>
        </w:tc>
        <w:tc>
          <w:tcPr>
            <w:tcW w:w="2104" w:type="dxa"/>
            <w:shd w:val="clear" w:color="auto" w:fill="FFFFFF"/>
          </w:tcPr>
          <w:p w14:paraId="263202D0" w14:textId="77777777" w:rsidR="008C76E0" w:rsidRPr="003B2786"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3B2786">
              <w:rPr>
                <w:rStyle w:val="Bodytext295pt"/>
                <w:rFonts w:ascii="Sylfaen" w:hAnsi="Sylfaen"/>
                <w:sz w:val="24"/>
                <w:szCs w:val="24"/>
              </w:rPr>
              <w:t>Ստորագրությունը</w:t>
            </w:r>
          </w:p>
        </w:tc>
        <w:tc>
          <w:tcPr>
            <w:tcW w:w="1578" w:type="dxa"/>
            <w:shd w:val="clear" w:color="auto" w:fill="FFFFFF"/>
          </w:tcPr>
          <w:p w14:paraId="67A2A40D" w14:textId="77777777" w:rsidR="008C76E0" w:rsidRPr="003B2786"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3B2786">
              <w:rPr>
                <w:rStyle w:val="Bodytext295pt"/>
                <w:rFonts w:ascii="Sylfaen" w:hAnsi="Sylfaen"/>
                <w:sz w:val="24"/>
                <w:szCs w:val="24"/>
              </w:rPr>
              <w:t>Կ.Տ.</w:t>
            </w:r>
          </w:p>
        </w:tc>
      </w:tr>
    </w:tbl>
    <w:p w14:paraId="725FE5A6" w14:textId="77777777" w:rsidR="008C76E0" w:rsidRPr="003B2786" w:rsidRDefault="008C76E0" w:rsidP="008C76E0">
      <w:pPr>
        <w:ind w:right="-1"/>
        <w:jc w:val="both"/>
        <w:rPr>
          <w:rFonts w:ascii="Sylfaen" w:eastAsia="Times New Roman" w:hAnsi="Sylfaen" w:cs="Times New Roman"/>
          <w:sz w:val="24"/>
          <w:szCs w:val="24"/>
        </w:rPr>
      </w:pPr>
      <w:r w:rsidRPr="003B2786">
        <w:rPr>
          <w:rFonts w:ascii="Sylfaen" w:hAnsi="Sylfaen"/>
          <w:sz w:val="24"/>
          <w:szCs w:val="24"/>
        </w:rPr>
        <w:br w:type="page"/>
      </w:r>
    </w:p>
    <w:p w14:paraId="63FA169A" w14:textId="77777777" w:rsidR="008C76E0" w:rsidRPr="003B2786" w:rsidRDefault="008C76E0" w:rsidP="008C76E0">
      <w:pPr>
        <w:ind w:left="4253" w:right="-1"/>
        <w:jc w:val="center"/>
        <w:rPr>
          <w:rFonts w:ascii="Sylfaen" w:hAnsi="Sylfaen"/>
          <w:sz w:val="24"/>
          <w:szCs w:val="24"/>
        </w:rPr>
      </w:pPr>
      <w:r w:rsidRPr="003B2786">
        <w:rPr>
          <w:rFonts w:ascii="Sylfaen" w:hAnsi="Sylfaen"/>
          <w:sz w:val="24"/>
          <w:szCs w:val="24"/>
        </w:rPr>
        <w:lastRenderedPageBreak/>
        <w:t>(բժշկական կիրառման համար նախատեսված դեղապատրաստուկի գրանցման հավաստագրի հավելվածի ձ</w:t>
      </w:r>
      <w:r w:rsidR="00C54D75">
        <w:rPr>
          <w:rFonts w:ascii="Sylfaen" w:hAnsi="Sylfaen"/>
          <w:sz w:val="24"/>
          <w:szCs w:val="24"/>
        </w:rPr>
        <w:t>և</w:t>
      </w:r>
      <w:r w:rsidRPr="003B2786">
        <w:rPr>
          <w:rFonts w:ascii="Sylfaen" w:hAnsi="Sylfaen"/>
          <w:sz w:val="24"/>
          <w:szCs w:val="24"/>
        </w:rPr>
        <w:t>ը)</w:t>
      </w:r>
    </w:p>
    <w:p w14:paraId="0C41F12F" w14:textId="77777777" w:rsidR="008C76E0" w:rsidRPr="003B2786" w:rsidRDefault="008C76E0" w:rsidP="008C76E0">
      <w:pPr>
        <w:ind w:left="4253" w:right="-1"/>
        <w:jc w:val="center"/>
        <w:rPr>
          <w:rFonts w:ascii="Sylfaen" w:hAnsi="Sylfaen"/>
          <w:sz w:val="24"/>
          <w:szCs w:val="24"/>
        </w:rPr>
      </w:pPr>
    </w:p>
    <w:p w14:paraId="58CE4661" w14:textId="77777777" w:rsidR="008C76E0" w:rsidRPr="003B2786" w:rsidRDefault="008C76E0" w:rsidP="008C76E0">
      <w:pPr>
        <w:ind w:left="4253" w:right="-1"/>
        <w:jc w:val="center"/>
        <w:outlineLvl w:val="0"/>
        <w:rPr>
          <w:rFonts w:ascii="Sylfaen" w:hAnsi="Sylfaen"/>
          <w:sz w:val="24"/>
          <w:szCs w:val="24"/>
        </w:rPr>
      </w:pPr>
      <w:r w:rsidRPr="003B2786">
        <w:rPr>
          <w:rFonts w:ascii="Sylfaen" w:hAnsi="Sylfaen"/>
          <w:sz w:val="24"/>
          <w:szCs w:val="24"/>
        </w:rPr>
        <w:t>Հավելված ___</w:t>
      </w:r>
    </w:p>
    <w:p w14:paraId="7C6EDAD1" w14:textId="77777777" w:rsidR="008C76E0" w:rsidRPr="003B2786" w:rsidRDefault="008C76E0" w:rsidP="008C76E0">
      <w:pPr>
        <w:ind w:left="4253" w:right="-1"/>
        <w:jc w:val="center"/>
        <w:rPr>
          <w:rFonts w:ascii="Sylfaen" w:hAnsi="Sylfaen"/>
          <w:sz w:val="24"/>
          <w:szCs w:val="24"/>
        </w:rPr>
      </w:pPr>
      <w:r w:rsidRPr="003B2786">
        <w:rPr>
          <w:rFonts w:ascii="Sylfaen" w:hAnsi="Sylfaen"/>
          <w:sz w:val="24"/>
          <w:szCs w:val="24"/>
        </w:rPr>
        <w:t>բժշկական կիրառման համար նախատեսված դեղապատրաստուկի թիվ</w:t>
      </w:r>
      <w:r>
        <w:rPr>
          <w:rFonts w:ascii="Sylfaen" w:hAnsi="Sylfaen"/>
          <w:sz w:val="24"/>
          <w:szCs w:val="24"/>
        </w:rPr>
        <w:t> </w:t>
      </w:r>
      <w:r w:rsidRPr="003B2786">
        <w:rPr>
          <w:rFonts w:ascii="Sylfaen" w:hAnsi="Sylfaen"/>
          <w:sz w:val="24"/>
          <w:szCs w:val="24"/>
        </w:rPr>
        <w:t>___ գրանցման հավաստագրի</w:t>
      </w:r>
    </w:p>
    <w:p w14:paraId="43CD6D20" w14:textId="77777777" w:rsidR="008C76E0" w:rsidRPr="003B2786" w:rsidRDefault="008C76E0" w:rsidP="008C76E0">
      <w:pPr>
        <w:ind w:left="4536" w:right="-1"/>
        <w:rPr>
          <w:rFonts w:ascii="Sylfaen" w:hAnsi="Sylfaen"/>
          <w:sz w:val="24"/>
          <w:szCs w:val="24"/>
        </w:rPr>
      </w:pPr>
    </w:p>
    <w:p w14:paraId="3AE03F5D" w14:textId="77777777" w:rsidR="008C76E0" w:rsidRPr="003B2786" w:rsidRDefault="008C76E0" w:rsidP="008C76E0">
      <w:pPr>
        <w:ind w:right="-1"/>
        <w:jc w:val="center"/>
        <w:outlineLvl w:val="0"/>
        <w:rPr>
          <w:rFonts w:ascii="Sylfaen" w:hAnsi="Sylfaen"/>
          <w:sz w:val="24"/>
          <w:szCs w:val="24"/>
        </w:rPr>
      </w:pPr>
      <w:r w:rsidRPr="003B2786">
        <w:rPr>
          <w:rFonts w:ascii="Sylfaen" w:hAnsi="Sylfaen"/>
          <w:sz w:val="24"/>
          <w:szCs w:val="24"/>
        </w:rPr>
        <w:t>Դեղապատրաստուկի գրանցման հատուկ պայմանները</w:t>
      </w:r>
    </w:p>
    <w:tbl>
      <w:tblPr>
        <w:tblOverlap w:val="never"/>
        <w:tblW w:w="9401" w:type="dxa"/>
        <w:jc w:val="center"/>
        <w:tblLayout w:type="fixed"/>
        <w:tblCellMar>
          <w:left w:w="10" w:type="dxa"/>
          <w:right w:w="10" w:type="dxa"/>
        </w:tblCellMar>
        <w:tblLook w:val="04A0" w:firstRow="1" w:lastRow="0" w:firstColumn="1" w:lastColumn="0" w:noHBand="0" w:noVBand="1"/>
      </w:tblPr>
      <w:tblGrid>
        <w:gridCol w:w="3262"/>
        <w:gridCol w:w="2761"/>
        <w:gridCol w:w="3378"/>
      </w:tblGrid>
      <w:tr w:rsidR="008C76E0" w:rsidRPr="003B2786" w14:paraId="6C734747" w14:textId="77777777" w:rsidTr="008C76E0">
        <w:trPr>
          <w:trHeight w:val="3612"/>
          <w:jc w:val="center"/>
        </w:trPr>
        <w:tc>
          <w:tcPr>
            <w:tcW w:w="3262" w:type="dxa"/>
            <w:tcBorders>
              <w:top w:val="single" w:sz="4" w:space="0" w:color="auto"/>
              <w:left w:val="single" w:sz="4" w:space="0" w:color="auto"/>
              <w:bottom w:val="single" w:sz="4" w:space="0" w:color="auto"/>
            </w:tcBorders>
            <w:shd w:val="clear" w:color="auto" w:fill="FFFFFF"/>
            <w:vAlign w:val="center"/>
          </w:tcPr>
          <w:p w14:paraId="47EBAB5A"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295pt"/>
                <w:rFonts w:ascii="Sylfaen" w:hAnsi="Sylfaen"/>
                <w:sz w:val="24"/>
                <w:szCs w:val="24"/>
              </w:rPr>
              <w:t>Դեղապատրաստուկի կիրառման ահմանափակումները՝ սահմանված դեղապատրաստուկի գրանցման ընթացքում</w:t>
            </w:r>
          </w:p>
        </w:tc>
        <w:tc>
          <w:tcPr>
            <w:tcW w:w="2761" w:type="dxa"/>
            <w:tcBorders>
              <w:top w:val="single" w:sz="4" w:space="0" w:color="auto"/>
              <w:left w:val="single" w:sz="4" w:space="0" w:color="auto"/>
              <w:bottom w:val="single" w:sz="4" w:space="0" w:color="auto"/>
            </w:tcBorders>
            <w:shd w:val="clear" w:color="auto" w:fill="FFFFFF"/>
            <w:vAlign w:val="center"/>
          </w:tcPr>
          <w:p w14:paraId="371969FF"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295pt"/>
                <w:rFonts w:ascii="Sylfaen" w:hAnsi="Sylfaen"/>
                <w:sz w:val="24"/>
                <w:szCs w:val="24"/>
              </w:rPr>
              <w:t>Գրանցման հավաստագրի իրավատիրոջ՝ «պայմաններում գրանցման» շրջանակներում կատարման ենթակա պարտավորությունները</w:t>
            </w:r>
          </w:p>
        </w:tc>
        <w:tc>
          <w:tcPr>
            <w:tcW w:w="3378" w:type="dxa"/>
            <w:tcBorders>
              <w:top w:val="single" w:sz="4" w:space="0" w:color="auto"/>
              <w:left w:val="single" w:sz="4" w:space="0" w:color="auto"/>
              <w:bottom w:val="single" w:sz="4" w:space="0" w:color="auto"/>
              <w:right w:val="single" w:sz="4" w:space="0" w:color="auto"/>
            </w:tcBorders>
            <w:shd w:val="clear" w:color="auto" w:fill="FFFFFF"/>
            <w:vAlign w:val="center"/>
          </w:tcPr>
          <w:p w14:paraId="65042E5B"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295pt"/>
                <w:rFonts w:ascii="Sylfaen" w:hAnsi="Sylfaen"/>
                <w:sz w:val="24"/>
                <w:szCs w:val="24"/>
              </w:rPr>
              <w:t xml:space="preserve">Գրանցման հավաստագրի իրավատիրոջ համար պարտավորությունների կատարման </w:t>
            </w:r>
            <w:r w:rsidR="00C54D75">
              <w:rPr>
                <w:rStyle w:val="Bodytext295pt"/>
                <w:rFonts w:ascii="Sylfaen" w:hAnsi="Sylfaen"/>
                <w:sz w:val="24"/>
                <w:szCs w:val="24"/>
              </w:rPr>
              <w:t>և</w:t>
            </w:r>
            <w:r w:rsidRPr="003B2786">
              <w:rPr>
                <w:rStyle w:val="Bodytext295pt"/>
                <w:rFonts w:ascii="Sylfaen" w:hAnsi="Sylfaen"/>
                <w:sz w:val="24"/>
                <w:szCs w:val="24"/>
              </w:rPr>
              <w:t xml:space="preserve"> դրված սահմանափակումների՝ դեղապատրաստուկի գրանցման ժամանակ սահմանված ժամկետները</w:t>
            </w:r>
          </w:p>
        </w:tc>
      </w:tr>
    </w:tbl>
    <w:p w14:paraId="1D82500D" w14:textId="77777777" w:rsidR="008C76E0" w:rsidRPr="003B2786" w:rsidRDefault="008C76E0" w:rsidP="008C76E0">
      <w:pPr>
        <w:ind w:right="-1"/>
        <w:jc w:val="both"/>
        <w:rPr>
          <w:rFonts w:ascii="Sylfaen" w:hAnsi="Sylfaen"/>
          <w:sz w:val="24"/>
          <w:szCs w:val="24"/>
        </w:rPr>
      </w:pPr>
    </w:p>
    <w:tbl>
      <w:tblPr>
        <w:tblOverlap w:val="never"/>
        <w:tblW w:w="9288" w:type="dxa"/>
        <w:jc w:val="center"/>
        <w:tblLayout w:type="fixed"/>
        <w:tblCellMar>
          <w:left w:w="10" w:type="dxa"/>
          <w:right w:w="10" w:type="dxa"/>
        </w:tblCellMar>
        <w:tblLook w:val="04A0" w:firstRow="1" w:lastRow="0" w:firstColumn="1" w:lastColumn="0" w:noHBand="0" w:noVBand="1"/>
      </w:tblPr>
      <w:tblGrid>
        <w:gridCol w:w="5587"/>
        <w:gridCol w:w="2123"/>
        <w:gridCol w:w="1578"/>
      </w:tblGrid>
      <w:tr w:rsidR="008C76E0" w:rsidRPr="003B2786" w14:paraId="6939B974" w14:textId="77777777" w:rsidTr="008C76E0">
        <w:trPr>
          <w:jc w:val="center"/>
        </w:trPr>
        <w:tc>
          <w:tcPr>
            <w:tcW w:w="5587" w:type="dxa"/>
            <w:shd w:val="clear" w:color="auto" w:fill="FFFFFF"/>
          </w:tcPr>
          <w:p w14:paraId="2B45D3DF" w14:textId="77777777" w:rsidR="008C76E0" w:rsidRPr="003B2786" w:rsidRDefault="008C76E0" w:rsidP="008C76E0">
            <w:pPr>
              <w:pStyle w:val="Bodytext180"/>
              <w:shd w:val="clear" w:color="auto" w:fill="auto"/>
              <w:spacing w:before="0" w:after="160" w:line="360" w:lineRule="auto"/>
              <w:ind w:firstLine="0"/>
              <w:jc w:val="center"/>
              <w:rPr>
                <w:rStyle w:val="Bodytext295pt"/>
                <w:rFonts w:ascii="Sylfaen" w:hAnsi="Sylfaen"/>
                <w:sz w:val="24"/>
                <w:szCs w:val="24"/>
              </w:rPr>
            </w:pPr>
            <w:r w:rsidRPr="003B2786">
              <w:rPr>
                <w:rStyle w:val="Bodytext295pt"/>
                <w:rFonts w:ascii="Sylfaen" w:hAnsi="Sylfaen"/>
                <w:sz w:val="24"/>
                <w:szCs w:val="24"/>
              </w:rPr>
              <w:t xml:space="preserve">Լիազորված մարմնի ղեկավարը </w:t>
            </w:r>
          </w:p>
          <w:p w14:paraId="30DDE0FD" w14:textId="77777777" w:rsidR="008C76E0" w:rsidRPr="008C76E0" w:rsidRDefault="008C76E0" w:rsidP="008C76E0">
            <w:pPr>
              <w:pStyle w:val="Bodytext180"/>
              <w:shd w:val="clear" w:color="auto" w:fill="auto"/>
              <w:spacing w:before="0" w:after="160" w:line="360" w:lineRule="auto"/>
              <w:ind w:firstLine="0"/>
              <w:jc w:val="center"/>
              <w:rPr>
                <w:rFonts w:ascii="Sylfaen" w:hAnsi="Sylfaen"/>
                <w:b w:val="0"/>
                <w:sz w:val="24"/>
                <w:szCs w:val="24"/>
                <w:lang w:val="hy-AM"/>
              </w:rPr>
            </w:pPr>
            <w:r w:rsidRPr="003B2786">
              <w:rPr>
                <w:rStyle w:val="Bodytext295pt"/>
                <w:rFonts w:ascii="Sylfaen" w:hAnsi="Sylfaen"/>
                <w:sz w:val="24"/>
                <w:szCs w:val="24"/>
              </w:rPr>
              <w:t>(կամ լիազոր անձը)</w:t>
            </w:r>
          </w:p>
        </w:tc>
        <w:tc>
          <w:tcPr>
            <w:tcW w:w="2123" w:type="dxa"/>
            <w:shd w:val="clear" w:color="auto" w:fill="FFFFFF"/>
          </w:tcPr>
          <w:p w14:paraId="4B0D0E9E" w14:textId="77777777" w:rsidR="008C76E0" w:rsidRPr="003B2786"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3B2786">
              <w:rPr>
                <w:rStyle w:val="Bodytext295pt"/>
                <w:rFonts w:ascii="Sylfaen" w:hAnsi="Sylfaen"/>
                <w:sz w:val="24"/>
                <w:szCs w:val="24"/>
              </w:rPr>
              <w:t>Ստորագրությունը</w:t>
            </w:r>
          </w:p>
        </w:tc>
        <w:tc>
          <w:tcPr>
            <w:tcW w:w="1578" w:type="dxa"/>
            <w:shd w:val="clear" w:color="auto" w:fill="FFFFFF"/>
          </w:tcPr>
          <w:p w14:paraId="4EF6B2E4" w14:textId="77777777" w:rsidR="008C76E0" w:rsidRPr="003B2786" w:rsidRDefault="008C76E0" w:rsidP="008C76E0">
            <w:pPr>
              <w:pStyle w:val="Bodytext180"/>
              <w:shd w:val="clear" w:color="auto" w:fill="auto"/>
              <w:spacing w:before="0" w:after="160" w:line="360" w:lineRule="auto"/>
              <w:ind w:right="-1" w:firstLine="0"/>
              <w:jc w:val="center"/>
              <w:rPr>
                <w:rFonts w:ascii="Sylfaen" w:hAnsi="Sylfaen"/>
                <w:b w:val="0"/>
                <w:sz w:val="24"/>
                <w:szCs w:val="24"/>
              </w:rPr>
            </w:pPr>
            <w:r w:rsidRPr="003B2786">
              <w:rPr>
                <w:rStyle w:val="Bodytext295pt"/>
                <w:rFonts w:ascii="Sylfaen" w:hAnsi="Sylfaen"/>
                <w:sz w:val="24"/>
                <w:szCs w:val="24"/>
              </w:rPr>
              <w:t>Կ.Տ.</w:t>
            </w:r>
          </w:p>
        </w:tc>
      </w:tr>
    </w:tbl>
    <w:p w14:paraId="668C952B" w14:textId="77777777" w:rsidR="008C76E0" w:rsidRPr="003B2786" w:rsidRDefault="008C76E0" w:rsidP="008C76E0">
      <w:pPr>
        <w:ind w:right="-1"/>
        <w:jc w:val="both"/>
        <w:rPr>
          <w:rFonts w:ascii="Sylfaen" w:hAnsi="Sylfaen"/>
          <w:sz w:val="24"/>
          <w:szCs w:val="24"/>
        </w:rPr>
      </w:pPr>
      <w:r w:rsidRPr="003B2786">
        <w:rPr>
          <w:rFonts w:ascii="Sylfaen" w:hAnsi="Sylfaen"/>
          <w:sz w:val="24"/>
          <w:szCs w:val="24"/>
        </w:rPr>
        <w:br w:type="page"/>
      </w:r>
    </w:p>
    <w:p w14:paraId="3A438064" w14:textId="77777777" w:rsidR="008C76E0" w:rsidRPr="00C25344" w:rsidRDefault="008C76E0" w:rsidP="00A37C9C">
      <w:pPr>
        <w:pStyle w:val="Heading10"/>
        <w:shd w:val="clear" w:color="auto" w:fill="auto"/>
        <w:spacing w:before="0" w:after="160" w:line="360" w:lineRule="auto"/>
        <w:ind w:left="567" w:right="566"/>
        <w:rPr>
          <w:rFonts w:ascii="Sylfaen" w:hAnsi="Sylfaen"/>
          <w:b w:val="0"/>
          <w:sz w:val="24"/>
          <w:szCs w:val="24"/>
        </w:rPr>
      </w:pPr>
      <w:bookmarkStart w:id="12" w:name="bookmark13"/>
      <w:r w:rsidRPr="00C25344">
        <w:rPr>
          <w:rStyle w:val="Heading1Spacing3pt"/>
          <w:rFonts w:ascii="Sylfaen" w:hAnsi="Sylfaen"/>
          <w:b/>
          <w:sz w:val="24"/>
          <w:szCs w:val="24"/>
        </w:rPr>
        <w:lastRenderedPageBreak/>
        <w:t>ԿԱՆՈՆՆԵՐ</w:t>
      </w:r>
      <w:bookmarkEnd w:id="12"/>
    </w:p>
    <w:p w14:paraId="4AA15A23" w14:textId="77777777" w:rsidR="008C76E0" w:rsidRPr="003B2786" w:rsidRDefault="008C76E0" w:rsidP="00A37C9C">
      <w:pPr>
        <w:pStyle w:val="Bodytext130"/>
        <w:shd w:val="clear" w:color="auto" w:fill="auto"/>
        <w:spacing w:after="160" w:line="360" w:lineRule="auto"/>
        <w:ind w:left="567" w:right="566"/>
        <w:rPr>
          <w:rFonts w:ascii="Sylfaen" w:hAnsi="Sylfaen"/>
          <w:sz w:val="24"/>
          <w:szCs w:val="24"/>
        </w:rPr>
      </w:pPr>
      <w:r w:rsidRPr="003B2786">
        <w:rPr>
          <w:rFonts w:ascii="Sylfaen" w:hAnsi="Sylfaen"/>
          <w:sz w:val="24"/>
          <w:szCs w:val="24"/>
        </w:rPr>
        <w:t>բժշկական կիրառման համար նախատեսված դեղապատրաստուկի գրանցման հավաստագրի լրացման</w:t>
      </w:r>
    </w:p>
    <w:p w14:paraId="2B0BDA71" w14:textId="77777777" w:rsidR="008C76E0" w:rsidRPr="003B2786" w:rsidRDefault="008C76E0" w:rsidP="00A37C9C">
      <w:pPr>
        <w:pStyle w:val="Bodytext130"/>
        <w:shd w:val="clear" w:color="auto" w:fill="auto"/>
        <w:spacing w:after="160" w:line="360" w:lineRule="auto"/>
        <w:rPr>
          <w:rFonts w:ascii="Sylfaen" w:hAnsi="Sylfaen"/>
          <w:sz w:val="24"/>
          <w:szCs w:val="24"/>
        </w:rPr>
      </w:pPr>
    </w:p>
    <w:p w14:paraId="00C7DFD8" w14:textId="77777777" w:rsidR="008C76E0" w:rsidRPr="003B2786" w:rsidRDefault="008C76E0" w:rsidP="00A37C9C">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Գրանցման հավաստագիրը՝ Եվրասիական տնտեսական միության շրջանակներում բժշկական կիրառման համար նախատեսված դեղապատրաստուկի գրանցման փաստը հաստատող փաստաթուղթը (այսուհետ համապատասխանաբար՝ Միություն, փաստաթուղթ), լրացվում է Միության շրջանակներում բժշկական կիրառման համար նախատեսված դեղապատրաստուկի գրանցումն իրականացրած Միության անդամ պետության լիազորված մարմնի կողմից՝ սույն կանոններին համապատասխան (այսուհետ համապատասխանաբար՝ անդամ պետություն, լիազորված մարմին), միասնական ձ</w:t>
      </w:r>
      <w:r w:rsidR="00C54D75">
        <w:rPr>
          <w:rFonts w:ascii="Sylfaen" w:hAnsi="Sylfaen"/>
          <w:sz w:val="24"/>
          <w:szCs w:val="24"/>
        </w:rPr>
        <w:t>և</w:t>
      </w:r>
      <w:r w:rsidRPr="003B2786">
        <w:rPr>
          <w:rFonts w:ascii="Sylfaen" w:hAnsi="Sylfaen"/>
          <w:sz w:val="24"/>
          <w:szCs w:val="24"/>
        </w:rPr>
        <w:t>ով:</w:t>
      </w:r>
    </w:p>
    <w:p w14:paraId="0EE31D31" w14:textId="77777777" w:rsidR="008C76E0" w:rsidRPr="003B2786" w:rsidRDefault="008C76E0" w:rsidP="00A37C9C">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 xml:space="preserve">Գրանցման հավաստագիրը լրացվում է ռուսերենով՝ օգտագործելով էլեկտրոնային տպիչ սարքեր, </w:t>
      </w:r>
      <w:r w:rsidR="00C54D75">
        <w:rPr>
          <w:rFonts w:ascii="Sylfaen" w:hAnsi="Sylfaen"/>
          <w:sz w:val="24"/>
          <w:szCs w:val="24"/>
        </w:rPr>
        <w:t>և</w:t>
      </w:r>
      <w:r w:rsidRPr="003B2786">
        <w:rPr>
          <w:rFonts w:ascii="Sylfaen" w:hAnsi="Sylfaen"/>
          <w:sz w:val="24"/>
          <w:szCs w:val="24"/>
        </w:rPr>
        <w:t xml:space="preserve"> անդամ պետությունների օրենսդրության մեջ պահանջի առկայության դեպքում՝ այն անդամ պետության պետական լեզվով, որտեղ գտնվում է այդ փաստաթուղթը ձ</w:t>
      </w:r>
      <w:r w:rsidR="00C54D75">
        <w:rPr>
          <w:rFonts w:ascii="Sylfaen" w:hAnsi="Sylfaen"/>
          <w:sz w:val="24"/>
          <w:szCs w:val="24"/>
        </w:rPr>
        <w:t>և</w:t>
      </w:r>
      <w:r w:rsidRPr="003B2786">
        <w:rPr>
          <w:rFonts w:ascii="Sylfaen" w:hAnsi="Sylfaen"/>
          <w:sz w:val="24"/>
          <w:szCs w:val="24"/>
        </w:rPr>
        <w:t xml:space="preserve">ակերպած լիազորված մարմինը: Նշված փաստաթղթերը ռուսերենով </w:t>
      </w:r>
      <w:r w:rsidR="00C54D75">
        <w:rPr>
          <w:rFonts w:ascii="Sylfaen" w:hAnsi="Sylfaen"/>
          <w:sz w:val="24"/>
          <w:szCs w:val="24"/>
        </w:rPr>
        <w:t>և</w:t>
      </w:r>
      <w:r w:rsidRPr="003B2786">
        <w:rPr>
          <w:rFonts w:ascii="Sylfaen" w:hAnsi="Sylfaen"/>
          <w:sz w:val="24"/>
          <w:szCs w:val="24"/>
        </w:rPr>
        <w:t xml:space="preserve"> անդամ պետություններից մեկի պետական լեզվով կազմելու դեպքում նման փաստաթղթերը լրացվում են երկկողմանի ձ</w:t>
      </w:r>
      <w:r w:rsidR="00C54D75">
        <w:rPr>
          <w:rFonts w:ascii="Sylfaen" w:hAnsi="Sylfaen"/>
          <w:sz w:val="24"/>
          <w:szCs w:val="24"/>
        </w:rPr>
        <w:t>և</w:t>
      </w:r>
      <w:r w:rsidRPr="003B2786">
        <w:rPr>
          <w:rFonts w:ascii="Sylfaen" w:hAnsi="Sylfaen"/>
          <w:sz w:val="24"/>
          <w:szCs w:val="24"/>
        </w:rPr>
        <w:t>աթղթերի վրա, որոնցից յուրաքանչյուր կողմը համապատասխանում է լեզուներից մեկին:</w:t>
      </w:r>
    </w:p>
    <w:p w14:paraId="39E38B5D" w14:textId="77777777" w:rsidR="008C76E0" w:rsidRPr="003B2786" w:rsidRDefault="008C76E0" w:rsidP="00A37C9C">
      <w:pPr>
        <w:spacing w:after="160" w:line="336" w:lineRule="auto"/>
        <w:ind w:firstLine="567"/>
        <w:jc w:val="both"/>
        <w:rPr>
          <w:rFonts w:ascii="Sylfaen" w:hAnsi="Sylfaen"/>
          <w:sz w:val="24"/>
          <w:szCs w:val="24"/>
        </w:rPr>
      </w:pPr>
      <w:r w:rsidRPr="003B2786">
        <w:rPr>
          <w:rFonts w:ascii="Sylfaen" w:hAnsi="Sylfaen"/>
          <w:sz w:val="24"/>
          <w:szCs w:val="24"/>
        </w:rPr>
        <w:t>Գրանցման փաստաթուղթը դասվում է խիստ հաշվետվության փաստաթղթերի շարքին, ձ</w:t>
      </w:r>
      <w:r w:rsidR="00C54D75">
        <w:rPr>
          <w:rFonts w:ascii="Sylfaen" w:hAnsi="Sylfaen"/>
          <w:sz w:val="24"/>
          <w:szCs w:val="24"/>
        </w:rPr>
        <w:t>և</w:t>
      </w:r>
      <w:r w:rsidRPr="003B2786">
        <w:rPr>
          <w:rFonts w:ascii="Sylfaen" w:hAnsi="Sylfaen"/>
          <w:sz w:val="24"/>
          <w:szCs w:val="24"/>
        </w:rPr>
        <w:t>աթուղթը պետք է պատրաստված լինի տպագրական եղանակով, ունենա համապատասխան անդամ պետության օրենսդրությանը համապատասխան պաշտպանության աստիճաններ:</w:t>
      </w:r>
    </w:p>
    <w:p w14:paraId="6966345B" w14:textId="77777777" w:rsidR="008C76E0" w:rsidRPr="003B2786" w:rsidRDefault="008C76E0" w:rsidP="00A37C9C">
      <w:pPr>
        <w:spacing w:after="160" w:line="336" w:lineRule="auto"/>
        <w:ind w:firstLine="567"/>
        <w:jc w:val="both"/>
        <w:rPr>
          <w:rFonts w:ascii="Sylfaen" w:hAnsi="Sylfaen"/>
          <w:sz w:val="24"/>
          <w:szCs w:val="24"/>
        </w:rPr>
      </w:pPr>
      <w:r w:rsidRPr="003B2786">
        <w:rPr>
          <w:rFonts w:ascii="Sylfaen" w:hAnsi="Sylfaen"/>
          <w:sz w:val="24"/>
          <w:szCs w:val="24"/>
        </w:rPr>
        <w:t xml:space="preserve">Անհրաժեշտության դեպքում արտադրողի անվանումը, նրա գտնվելու վայրը (իրավաբանական հասցեն), գրանցման հավաստագրի իրավատիրոջ անվանումը </w:t>
      </w:r>
      <w:r w:rsidR="00C54D75">
        <w:rPr>
          <w:rFonts w:ascii="Sylfaen" w:hAnsi="Sylfaen"/>
          <w:sz w:val="24"/>
          <w:szCs w:val="24"/>
        </w:rPr>
        <w:t>և</w:t>
      </w:r>
      <w:r w:rsidRPr="003B2786">
        <w:rPr>
          <w:rFonts w:ascii="Sylfaen" w:hAnsi="Sylfaen"/>
          <w:sz w:val="24"/>
          <w:szCs w:val="24"/>
        </w:rPr>
        <w:t xml:space="preserve"> իրավաբանական հասցեն կարող են նշված (կրկնօրինակված) լինել՝ օգտագործելով լատինական այբուբենի տառերը:</w:t>
      </w:r>
    </w:p>
    <w:p w14:paraId="10F366D2"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lastRenderedPageBreak/>
        <w:t>3.</w:t>
      </w:r>
      <w:r w:rsidRPr="003B2786">
        <w:rPr>
          <w:rFonts w:ascii="Sylfaen" w:hAnsi="Sylfaen"/>
          <w:sz w:val="24"/>
          <w:szCs w:val="24"/>
        </w:rPr>
        <w:tab/>
        <w:t>Գրանցման հավաստագրի համարը ձ</w:t>
      </w:r>
      <w:r w:rsidR="00C54D75">
        <w:rPr>
          <w:rFonts w:ascii="Sylfaen" w:hAnsi="Sylfaen"/>
          <w:sz w:val="24"/>
          <w:szCs w:val="24"/>
        </w:rPr>
        <w:t>և</w:t>
      </w:r>
      <w:r w:rsidRPr="003B2786">
        <w:rPr>
          <w:rFonts w:ascii="Sylfaen" w:hAnsi="Sylfaen"/>
          <w:sz w:val="24"/>
          <w:szCs w:val="24"/>
        </w:rPr>
        <w:t>ավորվում է հետ</w:t>
      </w:r>
      <w:r w:rsidR="00C54D75">
        <w:rPr>
          <w:rFonts w:ascii="Sylfaen" w:hAnsi="Sylfaen"/>
          <w:sz w:val="24"/>
          <w:szCs w:val="24"/>
        </w:rPr>
        <w:t>և</w:t>
      </w:r>
      <w:r w:rsidRPr="003B2786">
        <w:rPr>
          <w:rFonts w:ascii="Sylfaen" w:hAnsi="Sylfaen"/>
          <w:sz w:val="24"/>
          <w:szCs w:val="24"/>
        </w:rPr>
        <w:t>յալ կարգով՝</w:t>
      </w:r>
    </w:p>
    <w:p w14:paraId="64BC3F02"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ԴՊ-թիվ (XXXXXX)-(YY-ZZ), որտեղ՝</w:t>
      </w:r>
    </w:p>
    <w:p w14:paraId="24CA1CD3" w14:textId="77777777" w:rsidR="008C76E0" w:rsidRPr="003B2786" w:rsidRDefault="008C76E0" w:rsidP="00A37C9C">
      <w:pPr>
        <w:tabs>
          <w:tab w:val="left" w:pos="1134"/>
        </w:tabs>
        <w:spacing w:after="160" w:line="360" w:lineRule="auto"/>
        <w:ind w:left="567" w:right="-1" w:firstLine="567"/>
        <w:jc w:val="both"/>
        <w:rPr>
          <w:rFonts w:ascii="Sylfaen" w:hAnsi="Sylfaen"/>
          <w:sz w:val="24"/>
          <w:szCs w:val="24"/>
        </w:rPr>
      </w:pPr>
      <w:r w:rsidRPr="003B2786">
        <w:rPr>
          <w:rFonts w:ascii="Sylfaen" w:hAnsi="Sylfaen"/>
          <w:sz w:val="24"/>
          <w:szCs w:val="24"/>
        </w:rPr>
        <w:t>«ԴՊ» դիրքը դեղապատրաստուկն է,</w:t>
      </w:r>
    </w:p>
    <w:p w14:paraId="78C0901C" w14:textId="77777777" w:rsidR="008C76E0" w:rsidRPr="003B2786" w:rsidRDefault="008C76E0" w:rsidP="00A37C9C">
      <w:pPr>
        <w:tabs>
          <w:tab w:val="left" w:pos="1134"/>
        </w:tabs>
        <w:spacing w:after="160" w:line="360" w:lineRule="auto"/>
        <w:ind w:left="567" w:right="-1" w:firstLine="567"/>
        <w:jc w:val="both"/>
        <w:rPr>
          <w:rFonts w:ascii="Sylfaen" w:hAnsi="Sylfaen"/>
          <w:sz w:val="24"/>
          <w:szCs w:val="24"/>
        </w:rPr>
      </w:pPr>
      <w:r w:rsidRPr="003B2786">
        <w:rPr>
          <w:rFonts w:ascii="Sylfaen" w:hAnsi="Sylfaen"/>
          <w:sz w:val="24"/>
          <w:szCs w:val="24"/>
        </w:rPr>
        <w:t>«թիվ (ХХХХХХ)» դիրքը՝ գրանցման հավաստագրի՝ գրանցման անդամ պետության կողմից տրված միասնական վեցանիշ հերթական համարը (տրվում է ավտոմատ կերպով՝ Միության շրջանակներում գրանցված դեղամիջոցների միասնական ռեեստրից),</w:t>
      </w:r>
    </w:p>
    <w:p w14:paraId="0E656AA0" w14:textId="77777777" w:rsidR="008C76E0" w:rsidRPr="003B2786" w:rsidRDefault="008C76E0" w:rsidP="00A37C9C">
      <w:pPr>
        <w:tabs>
          <w:tab w:val="left" w:pos="1134"/>
        </w:tabs>
        <w:spacing w:after="160" w:line="360" w:lineRule="auto"/>
        <w:ind w:left="567" w:right="-1" w:firstLine="567"/>
        <w:jc w:val="both"/>
        <w:rPr>
          <w:rFonts w:ascii="Sylfaen" w:hAnsi="Sylfaen"/>
          <w:sz w:val="24"/>
          <w:szCs w:val="24"/>
        </w:rPr>
      </w:pPr>
      <w:r w:rsidRPr="003B2786">
        <w:rPr>
          <w:rFonts w:ascii="Sylfaen" w:hAnsi="Sylfaen"/>
          <w:sz w:val="24"/>
          <w:szCs w:val="24"/>
        </w:rPr>
        <w:t xml:space="preserve">«YY» դիրքը՝ դեղապատրաստուկի փորձաքննության </w:t>
      </w:r>
      <w:r w:rsidR="00C54D75">
        <w:rPr>
          <w:rFonts w:ascii="Sylfaen" w:hAnsi="Sylfaen"/>
          <w:sz w:val="24"/>
          <w:szCs w:val="24"/>
        </w:rPr>
        <w:t>և</w:t>
      </w:r>
      <w:r w:rsidRPr="003B2786">
        <w:rPr>
          <w:rFonts w:ascii="Sylfaen" w:hAnsi="Sylfaen"/>
          <w:sz w:val="24"/>
          <w:szCs w:val="24"/>
        </w:rPr>
        <w:t xml:space="preserve"> գրանցման ընթացքում անդամ պետության կարգավիճակը («ՌՊ»՝ ռեֆերենտ պետությունը, «ՃՊ»՝ ճանաչման պետությունը), </w:t>
      </w:r>
    </w:p>
    <w:p w14:paraId="63B837B1" w14:textId="77777777" w:rsidR="008C76E0" w:rsidRPr="003B2786" w:rsidRDefault="008C76E0" w:rsidP="00A37C9C">
      <w:pPr>
        <w:tabs>
          <w:tab w:val="left" w:pos="1134"/>
        </w:tabs>
        <w:spacing w:after="160" w:line="360" w:lineRule="auto"/>
        <w:ind w:left="567" w:firstLine="567"/>
        <w:jc w:val="both"/>
        <w:rPr>
          <w:rFonts w:ascii="Sylfaen" w:hAnsi="Sylfaen"/>
          <w:sz w:val="24"/>
          <w:szCs w:val="24"/>
        </w:rPr>
      </w:pPr>
      <w:r w:rsidRPr="003B2786">
        <w:rPr>
          <w:rFonts w:ascii="Sylfaen" w:hAnsi="Sylfaen"/>
          <w:sz w:val="24"/>
          <w:szCs w:val="24"/>
        </w:rPr>
        <w:t xml:space="preserve">«ZZ» դիրքը՝ անդամ պետության երկտառանի ծածկագիրը (ISO 3166-1-2013 միջազգային ստանդարտին համապատասխան՝ «Երկրների անվանումների </w:t>
      </w:r>
      <w:r w:rsidR="00C54D75">
        <w:rPr>
          <w:rFonts w:ascii="Sylfaen" w:hAnsi="Sylfaen"/>
          <w:sz w:val="24"/>
          <w:szCs w:val="24"/>
        </w:rPr>
        <w:t>և</w:t>
      </w:r>
      <w:r w:rsidRPr="003B2786">
        <w:rPr>
          <w:rFonts w:ascii="Sylfaen" w:hAnsi="Sylfaen"/>
          <w:sz w:val="24"/>
          <w:szCs w:val="24"/>
        </w:rPr>
        <w:t xml:space="preserve"> դրանց վարչատարածքային միավորների բաժանումը ներկայացնելու ծածկագրերը: Մաս 1. Երկրների ծածկագրեր»: Հայաստանի Հանրապետություն՝ AM, Բելառուսի Հանրապետություն՝ BY, Ղազախստանի Հանրապետություն՝ КZ, Ղրղզստանի Հանրապետություն՝ KG, Ռուսաստանի Դաշնություն՝ RU):</w:t>
      </w:r>
    </w:p>
    <w:p w14:paraId="2D3D6AA7"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w:t>
      </w:r>
      <w:r w:rsidRPr="003B2786">
        <w:rPr>
          <w:rFonts w:ascii="Sylfaen" w:hAnsi="Sylfaen"/>
          <w:sz w:val="24"/>
          <w:szCs w:val="24"/>
        </w:rPr>
        <w:tab/>
        <w:t>1-ին դաշտում նշվում է գրանցման հավատագրի իրավատիրոջ լրիվ անվանումը:</w:t>
      </w:r>
    </w:p>
    <w:p w14:paraId="28314AFB" w14:textId="77777777" w:rsidR="008C76E0" w:rsidRPr="003B2786" w:rsidRDefault="008C76E0" w:rsidP="00A37C9C">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5.</w:t>
      </w:r>
      <w:r w:rsidRPr="003B2786">
        <w:rPr>
          <w:rFonts w:ascii="Sylfaen" w:hAnsi="Sylfaen"/>
          <w:sz w:val="24"/>
          <w:szCs w:val="24"/>
        </w:rPr>
        <w:tab/>
        <w:t>2-րդ դաշտում նշվում է գրանցման հավաստագրի իրավատիրոջ իրավաբանական հասցեն՝ ներառյալ երկիրը:</w:t>
      </w:r>
    </w:p>
    <w:p w14:paraId="06164F83" w14:textId="77777777" w:rsidR="008C76E0" w:rsidRPr="003B2786" w:rsidRDefault="008C76E0" w:rsidP="00A37C9C">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6.</w:t>
      </w:r>
      <w:r w:rsidRPr="003B2786">
        <w:rPr>
          <w:rFonts w:ascii="Sylfaen" w:hAnsi="Sylfaen"/>
          <w:sz w:val="24"/>
          <w:szCs w:val="24"/>
        </w:rPr>
        <w:tab/>
        <w:t>3-րդ դաշտում նշվում է գրանցման ամսաթիվը՝ օր/ամիս/տարի ձ</w:t>
      </w:r>
      <w:r w:rsidR="00C54D75">
        <w:rPr>
          <w:rFonts w:ascii="Sylfaen" w:hAnsi="Sylfaen"/>
          <w:sz w:val="24"/>
          <w:szCs w:val="24"/>
        </w:rPr>
        <w:t>և</w:t>
      </w:r>
      <w:r w:rsidRPr="003B2786">
        <w:rPr>
          <w:rFonts w:ascii="Sylfaen" w:hAnsi="Sylfaen"/>
          <w:sz w:val="24"/>
          <w:szCs w:val="24"/>
        </w:rPr>
        <w:t>աչափով, որը լիազորված անձի կողմից դեղապատրաստուկի գրանցման մասին որոշում կայացնելու ամսաթիվն է:</w:t>
      </w:r>
    </w:p>
    <w:p w14:paraId="20F4FD47" w14:textId="77777777" w:rsidR="008C76E0" w:rsidRPr="003B2786" w:rsidRDefault="008C76E0" w:rsidP="00A37C9C">
      <w:pPr>
        <w:tabs>
          <w:tab w:val="left" w:pos="1134"/>
        </w:tabs>
        <w:spacing w:after="160" w:line="336" w:lineRule="auto"/>
        <w:ind w:firstLine="567"/>
        <w:jc w:val="both"/>
        <w:rPr>
          <w:rFonts w:ascii="Sylfaen" w:hAnsi="Sylfaen"/>
          <w:sz w:val="24"/>
          <w:szCs w:val="24"/>
        </w:rPr>
      </w:pPr>
      <w:r w:rsidRPr="003B2786">
        <w:rPr>
          <w:rFonts w:ascii="Sylfaen" w:hAnsi="Sylfaen"/>
          <w:sz w:val="24"/>
          <w:szCs w:val="24"/>
        </w:rPr>
        <w:t>7.</w:t>
      </w:r>
      <w:r w:rsidRPr="003B2786">
        <w:rPr>
          <w:rFonts w:ascii="Sylfaen" w:hAnsi="Sylfaen"/>
          <w:sz w:val="24"/>
          <w:szCs w:val="24"/>
        </w:rPr>
        <w:tab/>
        <w:t>4-րդ դաշտում նշվում է գրանցման հավաստագրի գործողության ժամկետը լրանալու ամսաթիվը՝ օր/ամիս/տարի ձ</w:t>
      </w:r>
      <w:r w:rsidR="00C54D75">
        <w:rPr>
          <w:rFonts w:ascii="Sylfaen" w:hAnsi="Sylfaen"/>
          <w:sz w:val="24"/>
          <w:szCs w:val="24"/>
        </w:rPr>
        <w:t>և</w:t>
      </w:r>
      <w:r w:rsidRPr="003B2786">
        <w:rPr>
          <w:rFonts w:ascii="Sylfaen" w:hAnsi="Sylfaen"/>
          <w:sz w:val="24"/>
          <w:szCs w:val="24"/>
        </w:rPr>
        <w:t xml:space="preserve">աչափով, որը հաշվարկվում է ռեֆերենտ պետության կողմից դեղապատրաստուկը գրանցելու ամսաթվից: </w:t>
      </w:r>
    </w:p>
    <w:p w14:paraId="71A55878"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lastRenderedPageBreak/>
        <w:t>8.</w:t>
      </w:r>
      <w:r w:rsidRPr="003B2786">
        <w:rPr>
          <w:rFonts w:ascii="Sylfaen" w:hAnsi="Sylfaen"/>
          <w:sz w:val="24"/>
          <w:szCs w:val="24"/>
        </w:rPr>
        <w:tab/>
        <w:t>5-րդ դաշտում նշվում է գրանցումը (վերագրանցումը) հաստատելու ամսաթիվը՝ օր/ամիս/տարի ձ</w:t>
      </w:r>
      <w:r w:rsidR="00C54D75">
        <w:rPr>
          <w:rFonts w:ascii="Sylfaen" w:hAnsi="Sylfaen"/>
          <w:sz w:val="24"/>
          <w:szCs w:val="24"/>
        </w:rPr>
        <w:t>և</w:t>
      </w:r>
      <w:r w:rsidRPr="003B2786">
        <w:rPr>
          <w:rFonts w:ascii="Sylfaen" w:hAnsi="Sylfaen"/>
          <w:sz w:val="24"/>
          <w:szCs w:val="24"/>
        </w:rPr>
        <w:t>աչափով, որը հաշվարկվում է ռեֆերենտ պետության կողմից դեղապատրաստուկը գրանցելու ամսաթվից:</w:t>
      </w:r>
    </w:p>
    <w:p w14:paraId="6F3FDEF7"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9.</w:t>
      </w:r>
      <w:r w:rsidRPr="003B2786">
        <w:rPr>
          <w:rFonts w:ascii="Sylfaen" w:hAnsi="Sylfaen"/>
          <w:sz w:val="24"/>
          <w:szCs w:val="24"/>
        </w:rPr>
        <w:tab/>
        <w:t>6-րդ դաշտում նշվում է գրանցման հավաստագրում փոփոխություններ կատարելու (վերաձ</w:t>
      </w:r>
      <w:r w:rsidR="00C54D75">
        <w:rPr>
          <w:rFonts w:ascii="Sylfaen" w:hAnsi="Sylfaen"/>
          <w:sz w:val="24"/>
          <w:szCs w:val="24"/>
        </w:rPr>
        <w:t>և</w:t>
      </w:r>
      <w:r w:rsidRPr="003B2786">
        <w:rPr>
          <w:rFonts w:ascii="Sylfaen" w:hAnsi="Sylfaen"/>
          <w:sz w:val="24"/>
          <w:szCs w:val="24"/>
        </w:rPr>
        <w:t>ակերպելու) ամսաթիվը՝ օր/ամիս/տարի ձ</w:t>
      </w:r>
      <w:r w:rsidR="00C54D75">
        <w:rPr>
          <w:rFonts w:ascii="Sylfaen" w:hAnsi="Sylfaen"/>
          <w:sz w:val="24"/>
          <w:szCs w:val="24"/>
        </w:rPr>
        <w:t>և</w:t>
      </w:r>
      <w:r w:rsidRPr="003B2786">
        <w:rPr>
          <w:rFonts w:ascii="Sylfaen" w:hAnsi="Sylfaen"/>
          <w:sz w:val="24"/>
          <w:szCs w:val="24"/>
        </w:rPr>
        <w:t>աչափով:</w:t>
      </w:r>
    </w:p>
    <w:p w14:paraId="00598ED0"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10.</w:t>
      </w:r>
      <w:r w:rsidRPr="003B2786">
        <w:rPr>
          <w:rFonts w:ascii="Sylfaen" w:hAnsi="Sylfaen"/>
          <w:sz w:val="24"/>
          <w:szCs w:val="24"/>
        </w:rPr>
        <w:tab/>
        <w:t>7-րդ դաշտում նշվում է ռեֆերենտ պետությունում դեղապատրաստուկի գրանցման ամսաթիվը:</w:t>
      </w:r>
    </w:p>
    <w:p w14:paraId="06C87664"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11.</w:t>
      </w:r>
      <w:r w:rsidRPr="003B2786">
        <w:rPr>
          <w:rFonts w:ascii="Sylfaen" w:hAnsi="Sylfaen"/>
          <w:sz w:val="24"/>
          <w:szCs w:val="24"/>
        </w:rPr>
        <w:tab/>
        <w:t>Ենթաղյուսակային տողերը լրացվում են՝ նշելով այն անդամ պետության անվանումը, որի տարածքում թույլատրված է տվյալ դեղապատրաստուկի բժշկական կիրառումը:</w:t>
      </w:r>
    </w:p>
    <w:p w14:paraId="53728FFA"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12.</w:t>
      </w:r>
      <w:r w:rsidRPr="003B2786">
        <w:rPr>
          <w:rFonts w:ascii="Sylfaen" w:hAnsi="Sylfaen"/>
          <w:sz w:val="24"/>
          <w:szCs w:val="24"/>
        </w:rPr>
        <w:tab/>
        <w:t>8-րդ դաշտում նշվում է դեղապատրաստուկի առ</w:t>
      </w:r>
      <w:r w:rsidR="00C54D75">
        <w:rPr>
          <w:rFonts w:ascii="Sylfaen" w:hAnsi="Sylfaen"/>
          <w:sz w:val="24"/>
          <w:szCs w:val="24"/>
        </w:rPr>
        <w:t>և</w:t>
      </w:r>
      <w:r w:rsidRPr="003B2786">
        <w:rPr>
          <w:rFonts w:ascii="Sylfaen" w:hAnsi="Sylfaen"/>
          <w:sz w:val="24"/>
          <w:szCs w:val="24"/>
        </w:rPr>
        <w:t xml:space="preserve">տրային անվանումը՝ դեղապատրաստուկների բժշկական կիրառման հրահանգին </w:t>
      </w:r>
      <w:r w:rsidR="00C54D75">
        <w:rPr>
          <w:rFonts w:ascii="Sylfaen" w:hAnsi="Sylfaen"/>
          <w:sz w:val="24"/>
          <w:szCs w:val="24"/>
        </w:rPr>
        <w:t>և</w:t>
      </w:r>
      <w:r w:rsidRPr="003B2786">
        <w:rPr>
          <w:rFonts w:ascii="Sylfaen" w:hAnsi="Sylfaen"/>
          <w:sz w:val="24"/>
          <w:szCs w:val="24"/>
        </w:rPr>
        <w:t xml:space="preserve"> բժշկական կիրառման համար նախատեսված դեղապատրաստուկների ընդհանուր բնութագրի պահանջներին համապատասխան, որոնք հաստատվում են Եվրասիական տնտեսական հանձնաժողովի կողմից:</w:t>
      </w:r>
    </w:p>
    <w:p w14:paraId="6D0A5422"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13.</w:t>
      </w:r>
      <w:r w:rsidRPr="003B2786">
        <w:rPr>
          <w:rFonts w:ascii="Sylfaen" w:hAnsi="Sylfaen"/>
          <w:sz w:val="24"/>
          <w:szCs w:val="24"/>
        </w:rPr>
        <w:tab/>
        <w:t xml:space="preserve">9-րդ դաշտում նշվում է ակտիվ դեղագործական բաղադրամասի միջազգային չարտոնագրված անվանումը (այսուհետ՝ ՄՉԱ), ՄՉԱ-ի բացակայության դեպքում օգտագործվում է համընդհանուր (խմբայնացված) անվանումը, իսկ դրանց բացակայության դեպքում՝ անվանումը՝ ԻՅուՊԱԿ-ի (IUPAC) </w:t>
      </w:r>
      <w:r w:rsidRPr="003B2786">
        <w:rPr>
          <w:rFonts w:ascii="Sylfaen" w:hAnsi="Sylfaen"/>
          <w:spacing w:val="-6"/>
          <w:sz w:val="24"/>
          <w:szCs w:val="24"/>
        </w:rPr>
        <w:t xml:space="preserve">քիմիական անվանացանկի համաձայն: Համակցված դեղապատրաստուկների համար օգտագործվում է համապատասխան համընդհանուր (խմբայնացված) անվանումը, որը այբբենական կարգով կներկայացնի ՄՉԱ-ի թվարկումը </w:t>
      </w:r>
      <w:r w:rsidR="00C54D75">
        <w:rPr>
          <w:rFonts w:ascii="Sylfaen" w:hAnsi="Sylfaen"/>
          <w:spacing w:val="-6"/>
          <w:sz w:val="24"/>
          <w:szCs w:val="24"/>
        </w:rPr>
        <w:t>և</w:t>
      </w:r>
      <w:r w:rsidRPr="003B2786">
        <w:rPr>
          <w:rFonts w:ascii="Sylfaen" w:hAnsi="Sylfaen"/>
          <w:spacing w:val="-6"/>
          <w:sz w:val="24"/>
          <w:szCs w:val="24"/>
        </w:rPr>
        <w:t xml:space="preserve"> (կամ) խմբայնացված անվանումները՝ «+» նշանով: Այն դեպքում, երբ մեկ կամ մի քանի ակտիվ բաղադրիչների դեղագործական ակտիվությամբ ուղղակիորեն պայմանավորված չէ դեղապատրաստուկի դեղագործական էֆեկտը, այլ հանդես է գալիս որպես օժանդակ, ապա այդ բաղադրիչի (բաղադրիչների) անվանումը համընդհանուր (խմբայնացված) անվանման վերջում նշվում է քառակուսի փակագծերում՝ անկախ</w:t>
      </w:r>
      <w:r w:rsidRPr="003B2786">
        <w:rPr>
          <w:rFonts w:ascii="Sylfaen" w:hAnsi="Sylfaen"/>
          <w:sz w:val="24"/>
          <w:szCs w:val="24"/>
        </w:rPr>
        <w:t xml:space="preserve"> այբբենական կարգից:</w:t>
      </w:r>
    </w:p>
    <w:p w14:paraId="404A839A" w14:textId="77777777" w:rsidR="008C76E0" w:rsidRPr="003B2786" w:rsidRDefault="008C76E0" w:rsidP="00A37C9C">
      <w:pPr>
        <w:spacing w:after="160" w:line="360" w:lineRule="auto"/>
        <w:ind w:right="-1" w:firstLine="567"/>
        <w:jc w:val="both"/>
        <w:rPr>
          <w:rFonts w:ascii="Sylfaen" w:hAnsi="Sylfaen"/>
          <w:sz w:val="24"/>
          <w:szCs w:val="24"/>
        </w:rPr>
      </w:pPr>
      <w:r w:rsidRPr="003B2786">
        <w:rPr>
          <w:rFonts w:ascii="Sylfaen" w:hAnsi="Sylfaen"/>
          <w:sz w:val="24"/>
          <w:szCs w:val="24"/>
        </w:rPr>
        <w:lastRenderedPageBreak/>
        <w:t>14.</w:t>
      </w:r>
      <w:r w:rsidRPr="003B2786">
        <w:rPr>
          <w:rFonts w:ascii="Sylfaen" w:hAnsi="Sylfaen"/>
          <w:sz w:val="24"/>
          <w:szCs w:val="24"/>
        </w:rPr>
        <w:tab/>
        <w:t>10-րդ դաշտում նշվում է դեղաձ</w:t>
      </w:r>
      <w:r w:rsidR="00C54D75">
        <w:rPr>
          <w:rFonts w:ascii="Sylfaen" w:hAnsi="Sylfaen"/>
          <w:sz w:val="24"/>
          <w:szCs w:val="24"/>
        </w:rPr>
        <w:t>և</w:t>
      </w:r>
      <w:r w:rsidRPr="003B2786">
        <w:rPr>
          <w:rFonts w:ascii="Sylfaen" w:hAnsi="Sylfaen"/>
          <w:sz w:val="24"/>
          <w:szCs w:val="24"/>
        </w:rPr>
        <w:t>ի անվանումը՝ առաջնորդվելով Միության դեղաձ</w:t>
      </w:r>
      <w:r w:rsidR="00C54D75">
        <w:rPr>
          <w:rFonts w:ascii="Sylfaen" w:hAnsi="Sylfaen"/>
          <w:sz w:val="24"/>
          <w:szCs w:val="24"/>
        </w:rPr>
        <w:t>և</w:t>
      </w:r>
      <w:r w:rsidRPr="003B2786">
        <w:rPr>
          <w:rFonts w:ascii="Sylfaen" w:hAnsi="Sylfaen"/>
          <w:sz w:val="24"/>
          <w:szCs w:val="24"/>
        </w:rPr>
        <w:t>երի անվանացանկով, հավաքակազմերի (լրակազմերի) համար նշվում է հավաքակազմի (լրակազմի) բաղադրիչներից յուրաքանչյուրի դեղաձ</w:t>
      </w:r>
      <w:r w:rsidR="00C54D75">
        <w:rPr>
          <w:rFonts w:ascii="Sylfaen" w:hAnsi="Sylfaen"/>
          <w:sz w:val="24"/>
          <w:szCs w:val="24"/>
        </w:rPr>
        <w:t>և</w:t>
      </w:r>
      <w:r w:rsidRPr="003B2786">
        <w:rPr>
          <w:rFonts w:ascii="Sylfaen" w:hAnsi="Sylfaen"/>
          <w:sz w:val="24"/>
          <w:szCs w:val="24"/>
        </w:rPr>
        <w:t>ի անվանումը:</w:t>
      </w:r>
    </w:p>
    <w:p w14:paraId="05A7907A" w14:textId="77777777" w:rsidR="008C76E0" w:rsidRPr="003B2786" w:rsidRDefault="008C76E0" w:rsidP="00A37C9C">
      <w:pPr>
        <w:tabs>
          <w:tab w:val="left" w:pos="1276"/>
        </w:tabs>
        <w:spacing w:after="160" w:line="360" w:lineRule="auto"/>
        <w:ind w:right="-1" w:firstLine="567"/>
        <w:jc w:val="both"/>
        <w:rPr>
          <w:rFonts w:ascii="Sylfaen" w:hAnsi="Sylfaen"/>
          <w:sz w:val="24"/>
          <w:szCs w:val="24"/>
        </w:rPr>
      </w:pPr>
      <w:r w:rsidRPr="003B2786">
        <w:rPr>
          <w:rFonts w:ascii="Sylfaen" w:hAnsi="Sylfaen"/>
          <w:sz w:val="24"/>
          <w:szCs w:val="24"/>
        </w:rPr>
        <w:t>15.</w:t>
      </w:r>
      <w:r w:rsidRPr="003B2786">
        <w:rPr>
          <w:rFonts w:ascii="Sylfaen" w:hAnsi="Sylfaen"/>
          <w:sz w:val="24"/>
          <w:szCs w:val="24"/>
        </w:rPr>
        <w:tab/>
        <w:t>11-րդ դաշտում նշվում է դեղաձ</w:t>
      </w:r>
      <w:r w:rsidR="00C54D75">
        <w:rPr>
          <w:rFonts w:ascii="Sylfaen" w:hAnsi="Sylfaen"/>
          <w:sz w:val="24"/>
          <w:szCs w:val="24"/>
        </w:rPr>
        <w:t>և</w:t>
      </w:r>
      <w:r w:rsidRPr="003B2786">
        <w:rPr>
          <w:rFonts w:ascii="Sylfaen" w:hAnsi="Sylfaen"/>
          <w:sz w:val="24"/>
          <w:szCs w:val="24"/>
        </w:rPr>
        <w:t>ի յուրաքանչյուր միավորի դոզան: Համակցված դեղապատրաստուկների համար դեղաձ</w:t>
      </w:r>
      <w:r w:rsidR="00C54D75">
        <w:rPr>
          <w:rFonts w:ascii="Sylfaen" w:hAnsi="Sylfaen"/>
          <w:sz w:val="24"/>
          <w:szCs w:val="24"/>
        </w:rPr>
        <w:t>և</w:t>
      </w:r>
      <w:r w:rsidRPr="003B2786">
        <w:rPr>
          <w:rFonts w:ascii="Sylfaen" w:hAnsi="Sylfaen"/>
          <w:sz w:val="24"/>
          <w:szCs w:val="24"/>
        </w:rPr>
        <w:t>ի յուրաքանչյուր բաղադրիչի դոզան նշվում է</w:t>
      </w:r>
      <w:r w:rsidR="003F7A44">
        <w:rPr>
          <w:rFonts w:ascii="Sylfaen" w:hAnsi="Sylfaen"/>
          <w:sz w:val="24"/>
          <w:szCs w:val="24"/>
        </w:rPr>
        <w:t xml:space="preserve"> «+» </w:t>
      </w:r>
      <w:r w:rsidRPr="003B2786">
        <w:rPr>
          <w:rFonts w:ascii="Sylfaen" w:hAnsi="Sylfaen"/>
          <w:sz w:val="24"/>
          <w:szCs w:val="24"/>
        </w:rPr>
        <w:t>նշանով՝ համընդհանուր (խմբայնացված) անվանմանը համապատասխան կարգով: Դոզայի (դոզաների) նշումը պետք է համընկնի դեղապատրաստուկի որակի վերաբերյալ նորմատիվ փաստաթղթում ներկայացված տեղեկությունների հետ:</w:t>
      </w:r>
    </w:p>
    <w:p w14:paraId="085E5085" w14:textId="77777777" w:rsidR="008C76E0" w:rsidRPr="003B2786" w:rsidRDefault="008C76E0" w:rsidP="00A37C9C">
      <w:pPr>
        <w:tabs>
          <w:tab w:val="left" w:pos="1276"/>
        </w:tabs>
        <w:spacing w:after="160" w:line="360" w:lineRule="auto"/>
        <w:ind w:right="-1" w:firstLine="567"/>
        <w:jc w:val="both"/>
        <w:rPr>
          <w:rFonts w:ascii="Sylfaen" w:hAnsi="Sylfaen"/>
          <w:sz w:val="24"/>
          <w:szCs w:val="24"/>
        </w:rPr>
      </w:pPr>
      <w:r w:rsidRPr="003B2786">
        <w:rPr>
          <w:rFonts w:ascii="Sylfaen" w:hAnsi="Sylfaen"/>
          <w:sz w:val="24"/>
          <w:szCs w:val="24"/>
        </w:rPr>
        <w:t>16.</w:t>
      </w:r>
      <w:r w:rsidRPr="003B2786">
        <w:rPr>
          <w:rFonts w:ascii="Sylfaen" w:hAnsi="Sylfaen"/>
          <w:sz w:val="24"/>
          <w:szCs w:val="24"/>
        </w:rPr>
        <w:tab/>
        <w:t>12-րդ դաշտում նշվում է դեղապատրաստուկի բացթողման ձ</w:t>
      </w:r>
      <w:r w:rsidR="00C54D75">
        <w:rPr>
          <w:rFonts w:ascii="Sylfaen" w:hAnsi="Sylfaen"/>
          <w:sz w:val="24"/>
          <w:szCs w:val="24"/>
        </w:rPr>
        <w:t>և</w:t>
      </w:r>
      <w:r w:rsidRPr="003B2786">
        <w:rPr>
          <w:rFonts w:ascii="Sylfaen" w:hAnsi="Sylfaen"/>
          <w:sz w:val="24"/>
          <w:szCs w:val="24"/>
        </w:rPr>
        <w:t xml:space="preserve">ը՝ նշելով առաջնային </w:t>
      </w:r>
      <w:r w:rsidR="00C54D75">
        <w:rPr>
          <w:rFonts w:ascii="Sylfaen" w:hAnsi="Sylfaen"/>
          <w:sz w:val="24"/>
          <w:szCs w:val="24"/>
        </w:rPr>
        <w:t>և</w:t>
      </w:r>
      <w:r w:rsidRPr="003B2786">
        <w:rPr>
          <w:rFonts w:ascii="Sylfaen" w:hAnsi="Sylfaen"/>
          <w:sz w:val="24"/>
          <w:szCs w:val="24"/>
        </w:rPr>
        <w:t xml:space="preserve"> երկրորդային փաթեթվածքի տեսակը, </w:t>
      </w:r>
      <w:r w:rsidR="00C54D75">
        <w:rPr>
          <w:rFonts w:ascii="Sylfaen" w:hAnsi="Sylfaen"/>
          <w:sz w:val="24"/>
          <w:szCs w:val="24"/>
        </w:rPr>
        <w:t>և</w:t>
      </w:r>
      <w:r w:rsidRPr="003B2786">
        <w:rPr>
          <w:rFonts w:ascii="Sylfaen" w:hAnsi="Sylfaen"/>
          <w:sz w:val="24"/>
          <w:szCs w:val="24"/>
        </w:rPr>
        <w:t xml:space="preserve"> դրանցում՝ դեղաձ</w:t>
      </w:r>
      <w:r w:rsidR="00C54D75">
        <w:rPr>
          <w:rFonts w:ascii="Sylfaen" w:hAnsi="Sylfaen"/>
          <w:sz w:val="24"/>
          <w:szCs w:val="24"/>
        </w:rPr>
        <w:t>և</w:t>
      </w:r>
      <w:r w:rsidRPr="003B2786">
        <w:rPr>
          <w:rFonts w:ascii="Sylfaen" w:hAnsi="Sylfaen"/>
          <w:sz w:val="24"/>
          <w:szCs w:val="24"/>
        </w:rPr>
        <w:t>ի, ինչպես նա</w:t>
      </w:r>
      <w:r w:rsidR="00C54D75">
        <w:rPr>
          <w:rFonts w:ascii="Sylfaen" w:hAnsi="Sylfaen"/>
          <w:sz w:val="24"/>
          <w:szCs w:val="24"/>
        </w:rPr>
        <w:t>և</w:t>
      </w:r>
      <w:r w:rsidRPr="003B2786">
        <w:rPr>
          <w:rFonts w:ascii="Sylfaen" w:hAnsi="Sylfaen"/>
          <w:sz w:val="24"/>
          <w:szCs w:val="24"/>
        </w:rPr>
        <w:t xml:space="preserve"> կոմպլեկտայնության քանակը (դոզայի թիվը): Նշումները պետք է համընկնեն դեղապատրաստուկի որակի վերաբերյալ նորմատիվ փաստաթղթում ներկայացված տեղեկատվության հետ:</w:t>
      </w:r>
    </w:p>
    <w:p w14:paraId="2543BAA3" w14:textId="77777777" w:rsidR="008C76E0" w:rsidRPr="003B2786" w:rsidRDefault="008C76E0" w:rsidP="00A37C9C">
      <w:pPr>
        <w:tabs>
          <w:tab w:val="left" w:pos="1276"/>
        </w:tabs>
        <w:spacing w:after="160" w:line="360" w:lineRule="auto"/>
        <w:ind w:right="-1" w:firstLine="567"/>
        <w:jc w:val="both"/>
        <w:rPr>
          <w:rFonts w:ascii="Sylfaen" w:hAnsi="Sylfaen"/>
          <w:sz w:val="24"/>
          <w:szCs w:val="24"/>
        </w:rPr>
      </w:pPr>
      <w:r w:rsidRPr="003B2786">
        <w:rPr>
          <w:rFonts w:ascii="Sylfaen" w:hAnsi="Sylfaen"/>
          <w:sz w:val="24"/>
          <w:szCs w:val="24"/>
        </w:rPr>
        <w:t>17.</w:t>
      </w:r>
      <w:r w:rsidRPr="003B2786">
        <w:rPr>
          <w:rFonts w:ascii="Sylfaen" w:hAnsi="Sylfaen"/>
          <w:sz w:val="24"/>
          <w:szCs w:val="24"/>
        </w:rPr>
        <w:tab/>
        <w:t xml:space="preserve">13-րդ դաշտում ներկայացվում են դեղապատրաստուկի բաղադրությունը՝ նշելով ակտիվ դեղագործական բաղադրամասի քանակական պարունակությունը, </w:t>
      </w:r>
      <w:r w:rsidR="00C54D75">
        <w:rPr>
          <w:rFonts w:ascii="Sylfaen" w:hAnsi="Sylfaen"/>
          <w:sz w:val="24"/>
          <w:szCs w:val="24"/>
        </w:rPr>
        <w:t>և</w:t>
      </w:r>
      <w:r w:rsidRPr="003B2786">
        <w:rPr>
          <w:rFonts w:ascii="Sylfaen" w:hAnsi="Sylfaen"/>
          <w:sz w:val="24"/>
          <w:szCs w:val="24"/>
        </w:rPr>
        <w:t xml:space="preserve"> օժանդակ նյութերի որակական բաղադրության թվարկումը: Նշումը պետք է համընկնի դեղապատրաստուկի վերաբերյալ նորմատիվ փաստաթղթում ներկայացված տեղեկությունների հետ:</w:t>
      </w:r>
    </w:p>
    <w:p w14:paraId="325BBB29" w14:textId="77777777" w:rsidR="008C76E0" w:rsidRPr="003B2786" w:rsidRDefault="008C76E0" w:rsidP="00A37C9C">
      <w:pPr>
        <w:tabs>
          <w:tab w:val="left" w:pos="1276"/>
        </w:tabs>
        <w:spacing w:after="160" w:line="360" w:lineRule="auto"/>
        <w:ind w:right="-1" w:firstLine="567"/>
        <w:jc w:val="both"/>
        <w:rPr>
          <w:rFonts w:ascii="Sylfaen" w:hAnsi="Sylfaen"/>
          <w:sz w:val="24"/>
          <w:szCs w:val="24"/>
        </w:rPr>
      </w:pPr>
      <w:r w:rsidRPr="003B2786">
        <w:rPr>
          <w:rFonts w:ascii="Sylfaen" w:hAnsi="Sylfaen"/>
          <w:sz w:val="24"/>
          <w:szCs w:val="24"/>
        </w:rPr>
        <w:t>18.</w:t>
      </w:r>
      <w:r w:rsidRPr="003B2786">
        <w:rPr>
          <w:rFonts w:ascii="Sylfaen" w:hAnsi="Sylfaen"/>
          <w:sz w:val="24"/>
          <w:szCs w:val="24"/>
        </w:rPr>
        <w:tab/>
        <w:t xml:space="preserve">14-րդ դաշտում նշվում է դեղապատրաստուկի պիտանիության ժամկետը՝ համապատասխան ժամանակահատվածի տեսքով՝ տառաթվային եղանակով (1 տարի, 2 տարի, 3 տարի </w:t>
      </w:r>
      <w:r w:rsidR="00C54D75">
        <w:rPr>
          <w:rFonts w:ascii="Sylfaen" w:hAnsi="Sylfaen"/>
          <w:sz w:val="24"/>
          <w:szCs w:val="24"/>
        </w:rPr>
        <w:t>և</w:t>
      </w:r>
      <w:r w:rsidRPr="003B2786">
        <w:rPr>
          <w:rFonts w:ascii="Sylfaen" w:hAnsi="Sylfaen"/>
          <w:sz w:val="24"/>
          <w:szCs w:val="24"/>
        </w:rPr>
        <w:t xml:space="preserve"> այլն): Պիտանիության ժամկետի նշումը պետք է համընկնի դեղապատրաստուկի որակի վերաբերյալ նորմատիվ փաստաթղթում ներկայացված տեղեկությունների հետ:</w:t>
      </w:r>
    </w:p>
    <w:p w14:paraId="0427D35D" w14:textId="77777777" w:rsidR="008C76E0" w:rsidRPr="003B2786" w:rsidRDefault="008C76E0" w:rsidP="00A37C9C">
      <w:pPr>
        <w:tabs>
          <w:tab w:val="left" w:pos="1276"/>
        </w:tabs>
        <w:spacing w:after="160" w:line="360" w:lineRule="auto"/>
        <w:ind w:right="-1" w:firstLine="567"/>
        <w:jc w:val="both"/>
        <w:rPr>
          <w:rFonts w:ascii="Sylfaen" w:hAnsi="Sylfaen"/>
          <w:sz w:val="24"/>
          <w:szCs w:val="24"/>
        </w:rPr>
      </w:pPr>
      <w:r w:rsidRPr="003B2786">
        <w:rPr>
          <w:rFonts w:ascii="Sylfaen" w:hAnsi="Sylfaen"/>
          <w:sz w:val="24"/>
          <w:szCs w:val="24"/>
        </w:rPr>
        <w:t>19.</w:t>
      </w:r>
      <w:r w:rsidRPr="003B2786">
        <w:rPr>
          <w:rFonts w:ascii="Sylfaen" w:hAnsi="Sylfaen"/>
          <w:sz w:val="24"/>
          <w:szCs w:val="24"/>
        </w:rPr>
        <w:tab/>
        <w:t xml:space="preserve">«Դեղապատրաստուկն արտադրողի մասին տեղեկատվություն (դեղապատրաստուկի արտադրության գործընթացի մաս կազմող արտադրական հարթակների անվանումը </w:t>
      </w:r>
      <w:r w:rsidR="00C54D75">
        <w:rPr>
          <w:rFonts w:ascii="Sylfaen" w:hAnsi="Sylfaen"/>
          <w:sz w:val="24"/>
          <w:szCs w:val="24"/>
        </w:rPr>
        <w:t>և</w:t>
      </w:r>
      <w:r w:rsidRPr="003B2786">
        <w:rPr>
          <w:rFonts w:ascii="Sylfaen" w:hAnsi="Sylfaen"/>
          <w:sz w:val="24"/>
          <w:szCs w:val="24"/>
        </w:rPr>
        <w:t xml:space="preserve"> հասցեն)» աղյուսակը լրացվում է՝ նշելով գրանցման </w:t>
      </w:r>
      <w:r w:rsidRPr="003B2786">
        <w:rPr>
          <w:rFonts w:ascii="Sylfaen" w:hAnsi="Sylfaen"/>
          <w:sz w:val="24"/>
          <w:szCs w:val="24"/>
        </w:rPr>
        <w:lastRenderedPageBreak/>
        <w:t>դոսյեի «Դեղապատրաստուկի արտադրության գործընթացը» 3.2.P.3 բաժնում նշված տեղեկություններին համապատասխան արտադրական հարթակներից յուրաքանչյուրի գտնվելու վայրի փաստացի հասցեն:</w:t>
      </w:r>
    </w:p>
    <w:p w14:paraId="06E4447F" w14:textId="77777777" w:rsidR="008C76E0" w:rsidRPr="003B2786" w:rsidRDefault="008C76E0" w:rsidP="00A37C9C">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 xml:space="preserve">Աղյուսակը պետք է ներառի արտադրական հարթակների վերաբերյալ տեղեկատվությունը՝ դեղապատրաստուկի արտադրության ամբողջ ցիկլի ընթացքում՝ ներառյալ լուծիչների, ջրիկացուցիչների </w:t>
      </w:r>
      <w:r w:rsidR="00C54D75">
        <w:rPr>
          <w:rFonts w:ascii="Sylfaen" w:hAnsi="Sylfaen"/>
          <w:sz w:val="24"/>
          <w:szCs w:val="24"/>
        </w:rPr>
        <w:t>և</w:t>
      </w:r>
      <w:r w:rsidRPr="003B2786">
        <w:rPr>
          <w:rFonts w:ascii="Sylfaen" w:hAnsi="Sylfaen"/>
          <w:sz w:val="24"/>
          <w:szCs w:val="24"/>
        </w:rPr>
        <w:t xml:space="preserve"> պատրաստի դեղապատրաստուկի ստացումն ապահովող արտադրական գործընթացի այլ մասնակիցների արտադրության մաս կազմող արտադրական հարթակները: Այդ արտադրական հարթակների վերաբերյալ տեղեկատվությունը մուտքագրվում է համապատասխան դաշտերում՝ արտադրական ցիկլի յուրաքանչյուր ընթացաշրջանի ներքո:</w:t>
      </w:r>
    </w:p>
    <w:p w14:paraId="7E2467F7" w14:textId="77777777" w:rsidR="008C76E0" w:rsidRPr="003B2786" w:rsidRDefault="008C76E0" w:rsidP="00A37C9C">
      <w:pPr>
        <w:spacing w:after="160" w:line="360" w:lineRule="auto"/>
        <w:ind w:right="-1" w:firstLine="567"/>
        <w:jc w:val="both"/>
        <w:rPr>
          <w:rFonts w:ascii="Sylfaen" w:hAnsi="Sylfaen"/>
          <w:sz w:val="24"/>
          <w:szCs w:val="24"/>
        </w:rPr>
      </w:pPr>
      <w:r w:rsidRPr="003B2786">
        <w:rPr>
          <w:rFonts w:ascii="Sylfaen" w:hAnsi="Sylfaen"/>
          <w:sz w:val="24"/>
          <w:szCs w:val="24"/>
        </w:rPr>
        <w:t>Աղյուսակի յուրաքանչյուր դաշտում նշվում են արտադրական ցիկլի տվյալ ընթացաշրջանի հետ կապված գործընթացի բոլոր մասնակիցները: Եթե դեղապատրաստուկի արտադրության մեջ արտադրական գործընթացի որ</w:t>
      </w:r>
      <w:r w:rsidR="00C54D75">
        <w:rPr>
          <w:rFonts w:ascii="Sylfaen" w:hAnsi="Sylfaen"/>
          <w:sz w:val="24"/>
          <w:szCs w:val="24"/>
        </w:rPr>
        <w:t>և</w:t>
      </w:r>
      <w:r w:rsidRPr="003B2786">
        <w:rPr>
          <w:rFonts w:ascii="Sylfaen" w:hAnsi="Sylfaen"/>
          <w:sz w:val="24"/>
          <w:szCs w:val="24"/>
        </w:rPr>
        <w:t>է ընթացաշրջանի մաս են կազմում մի քանի արտադրական հարթակներ, ապա գրանցման հավաստագրի ձ</w:t>
      </w:r>
      <w:r w:rsidR="00C54D75">
        <w:rPr>
          <w:rFonts w:ascii="Sylfaen" w:hAnsi="Sylfaen"/>
          <w:sz w:val="24"/>
          <w:szCs w:val="24"/>
        </w:rPr>
        <w:t>և</w:t>
      </w:r>
      <w:r w:rsidRPr="003B2786">
        <w:rPr>
          <w:rFonts w:ascii="Sylfaen" w:hAnsi="Sylfaen"/>
          <w:sz w:val="24"/>
          <w:szCs w:val="24"/>
        </w:rPr>
        <w:t>ում՝ աղյուսակի մեջ, տողեր են ավելացվում արտադրական գործընթացի մասնակիցների թվին համապատասխան քանակով:</w:t>
      </w:r>
    </w:p>
    <w:p w14:paraId="55B578E6" w14:textId="77777777" w:rsidR="008C76E0" w:rsidRPr="003B2786" w:rsidRDefault="008C76E0" w:rsidP="00A37C9C">
      <w:pPr>
        <w:spacing w:after="160" w:line="360" w:lineRule="auto"/>
        <w:ind w:right="-1" w:firstLine="567"/>
        <w:jc w:val="both"/>
        <w:rPr>
          <w:rFonts w:ascii="Sylfaen" w:hAnsi="Sylfaen"/>
          <w:sz w:val="24"/>
          <w:szCs w:val="24"/>
        </w:rPr>
      </w:pPr>
      <w:r w:rsidRPr="003B2786">
        <w:rPr>
          <w:rFonts w:ascii="Sylfaen" w:hAnsi="Sylfaen"/>
          <w:sz w:val="24"/>
          <w:szCs w:val="24"/>
        </w:rPr>
        <w:t>20.</w:t>
      </w:r>
      <w:r w:rsidRPr="003B2786">
        <w:rPr>
          <w:rFonts w:ascii="Sylfaen" w:hAnsi="Sylfaen"/>
          <w:sz w:val="24"/>
          <w:szCs w:val="24"/>
        </w:rPr>
        <w:tab/>
        <w:t xml:space="preserve">Գրանցման հավաստագրի հավելվածում դեղապատրաստուկի գրանցման հատուկ պայմանների առկայության դեպքում ներկայացվում է «Դեղապատրաստուկի գրանցման հատուկ պայմանները» աղյուսակը (լրացվում է գրանցման հավաստագրի առանձին հավելվածում): Աղյուսակի ձախ դաշտում նշվում են դեղապատրաստուկի կիրառման համար սահմանափակումները, կենտրոնական դաշտում՝ լրացուցիչ պարտավորությունները, որոնք հարկ է կատարել գրանցման հավաստագրի իրավատիրոջ կողմից, աջ դաշտում՝ պարտավորությունների կատարման </w:t>
      </w:r>
      <w:r w:rsidR="00C54D75">
        <w:rPr>
          <w:rFonts w:ascii="Sylfaen" w:hAnsi="Sylfaen"/>
          <w:sz w:val="24"/>
          <w:szCs w:val="24"/>
        </w:rPr>
        <w:t>և</w:t>
      </w:r>
      <w:r w:rsidRPr="003B2786">
        <w:rPr>
          <w:rFonts w:ascii="Sylfaen" w:hAnsi="Sylfaen"/>
          <w:sz w:val="24"/>
          <w:szCs w:val="24"/>
        </w:rPr>
        <w:t xml:space="preserve"> դրված սահմանափակումների ժամկետը՝ օր/ամիս/տարի ձ</w:t>
      </w:r>
      <w:r w:rsidR="00C54D75">
        <w:rPr>
          <w:rFonts w:ascii="Sylfaen" w:hAnsi="Sylfaen"/>
          <w:sz w:val="24"/>
          <w:szCs w:val="24"/>
        </w:rPr>
        <w:t>և</w:t>
      </w:r>
      <w:r w:rsidRPr="003B2786">
        <w:rPr>
          <w:rFonts w:ascii="Sylfaen" w:hAnsi="Sylfaen"/>
          <w:sz w:val="24"/>
          <w:szCs w:val="24"/>
        </w:rPr>
        <w:t>աչափով:</w:t>
      </w:r>
    </w:p>
    <w:p w14:paraId="2DEBE74C" w14:textId="77777777" w:rsidR="008C76E0" w:rsidRPr="003B2786" w:rsidRDefault="008C76E0" w:rsidP="00A37C9C">
      <w:pPr>
        <w:spacing w:after="160" w:line="360" w:lineRule="auto"/>
        <w:ind w:right="-1" w:firstLine="567"/>
        <w:jc w:val="both"/>
        <w:rPr>
          <w:rFonts w:ascii="Sylfaen" w:hAnsi="Sylfaen"/>
          <w:sz w:val="24"/>
          <w:szCs w:val="24"/>
        </w:rPr>
      </w:pPr>
      <w:r w:rsidRPr="003B2786">
        <w:rPr>
          <w:rFonts w:ascii="Sylfaen" w:hAnsi="Sylfaen"/>
          <w:sz w:val="24"/>
          <w:szCs w:val="24"/>
        </w:rPr>
        <w:t xml:space="preserve">Հավելվածը գրանցման հավաստագրի անքակտելի մասն է: Հավելվածի յուրաքանչյուր թերթ պետք է համարակալված լինի, դրա վրա դրվում է գրանցման </w:t>
      </w:r>
      <w:r w:rsidRPr="003B2786">
        <w:rPr>
          <w:rFonts w:ascii="Sylfaen" w:hAnsi="Sylfaen"/>
          <w:sz w:val="24"/>
          <w:szCs w:val="24"/>
        </w:rPr>
        <w:lastRenderedPageBreak/>
        <w:t>հավաստագրի գրանցման համարը, գրանցման հավաստագիր տրամադրած լիազորված մարմնի ղեկավարի (լիազորված անձի) պաշտոնը, ստորագրությունը, ազգանունը, անունը, հայրանունը, յուրաքանչյուր թերթ վավերացվում է լիազորված մարմնի կնիքով:</w:t>
      </w:r>
    </w:p>
    <w:p w14:paraId="4E151CFC" w14:textId="77777777" w:rsidR="008C76E0" w:rsidRDefault="008C76E0" w:rsidP="00A37C9C">
      <w:pPr>
        <w:spacing w:after="160" w:line="360" w:lineRule="auto"/>
        <w:ind w:right="-1" w:firstLine="567"/>
        <w:jc w:val="both"/>
        <w:rPr>
          <w:rFonts w:ascii="Sylfaen" w:hAnsi="Sylfaen"/>
          <w:sz w:val="24"/>
          <w:szCs w:val="24"/>
        </w:rPr>
      </w:pPr>
      <w:r w:rsidRPr="003B2786">
        <w:rPr>
          <w:rFonts w:ascii="Sylfaen" w:hAnsi="Sylfaen"/>
          <w:sz w:val="24"/>
          <w:szCs w:val="24"/>
        </w:rPr>
        <w:t>21.</w:t>
      </w:r>
      <w:r w:rsidRPr="003B2786">
        <w:rPr>
          <w:rFonts w:ascii="Sylfaen" w:hAnsi="Sylfaen"/>
          <w:sz w:val="24"/>
          <w:szCs w:val="24"/>
        </w:rPr>
        <w:tab/>
        <w:t>«Լիազորված մարմնի ղեկավարը, ստորագրությունը, կնիքը» դաշտը լրացվում է անձամբ, ստորագրության փոխարեն ֆաքսիմիլեի գործածում չի թույլատրվում:</w:t>
      </w:r>
    </w:p>
    <w:p w14:paraId="1B05C93D" w14:textId="77777777" w:rsidR="008C76E0" w:rsidRPr="003B2786" w:rsidRDefault="008C76E0" w:rsidP="00A37C9C">
      <w:pPr>
        <w:spacing w:after="160" w:line="360" w:lineRule="auto"/>
        <w:ind w:right="-1" w:firstLine="567"/>
        <w:jc w:val="both"/>
        <w:rPr>
          <w:rFonts w:ascii="Sylfaen" w:hAnsi="Sylfaen"/>
          <w:sz w:val="24"/>
          <w:szCs w:val="24"/>
        </w:rPr>
      </w:pPr>
    </w:p>
    <w:p w14:paraId="4805ECE5" w14:textId="77777777" w:rsidR="008C76E0" w:rsidRDefault="008C76E0" w:rsidP="00A37C9C">
      <w:pPr>
        <w:spacing w:after="160" w:line="360" w:lineRule="auto"/>
        <w:ind w:right="-1"/>
        <w:jc w:val="center"/>
        <w:rPr>
          <w:rFonts w:ascii="Sylfaen" w:hAnsi="Sylfaen"/>
          <w:sz w:val="24"/>
          <w:szCs w:val="24"/>
        </w:rPr>
      </w:pPr>
      <w:r>
        <w:rPr>
          <w:rFonts w:ascii="Sylfaen" w:hAnsi="Sylfaen"/>
          <w:sz w:val="24"/>
          <w:szCs w:val="24"/>
        </w:rPr>
        <w:t>—————————</w:t>
      </w:r>
    </w:p>
    <w:p w14:paraId="265DEED3" w14:textId="77777777" w:rsidR="003F7A44" w:rsidRPr="00E15E7D" w:rsidRDefault="003F7A44" w:rsidP="008C76E0">
      <w:pPr>
        <w:ind w:left="3969" w:right="-1"/>
        <w:jc w:val="center"/>
        <w:rPr>
          <w:rFonts w:ascii="Sylfaen" w:hAnsi="Sylfaen"/>
          <w:sz w:val="24"/>
          <w:szCs w:val="24"/>
        </w:rPr>
      </w:pPr>
    </w:p>
    <w:p w14:paraId="7C9FE220" w14:textId="77777777" w:rsidR="003F7A44" w:rsidRPr="00E15E7D" w:rsidRDefault="003F7A44" w:rsidP="008C76E0">
      <w:pPr>
        <w:ind w:left="3969" w:right="-1"/>
        <w:jc w:val="center"/>
        <w:rPr>
          <w:rFonts w:ascii="Sylfaen" w:hAnsi="Sylfaen"/>
          <w:sz w:val="24"/>
          <w:szCs w:val="24"/>
        </w:rPr>
        <w:sectPr w:rsidR="003F7A44" w:rsidRPr="00E15E7D" w:rsidSect="0075661F">
          <w:pgSz w:w="11906" w:h="16838" w:code="9"/>
          <w:pgMar w:top="1418" w:right="1418" w:bottom="1418" w:left="1418" w:header="709" w:footer="709" w:gutter="0"/>
          <w:pgNumType w:start="1"/>
          <w:cols w:space="708"/>
          <w:titlePg/>
          <w:docGrid w:linePitch="360"/>
        </w:sectPr>
      </w:pPr>
    </w:p>
    <w:p w14:paraId="1CB2DEC9" w14:textId="77777777" w:rsidR="008C76E0" w:rsidRPr="003B2786" w:rsidRDefault="008C76E0" w:rsidP="003F7A44">
      <w:pPr>
        <w:spacing w:after="160" w:line="360" w:lineRule="auto"/>
        <w:ind w:left="3969"/>
        <w:jc w:val="center"/>
        <w:rPr>
          <w:rFonts w:ascii="Sylfaen" w:hAnsi="Sylfaen"/>
          <w:sz w:val="24"/>
          <w:szCs w:val="24"/>
        </w:rPr>
      </w:pPr>
      <w:r w:rsidRPr="003B2786">
        <w:rPr>
          <w:rFonts w:ascii="Sylfaen" w:hAnsi="Sylfaen"/>
          <w:sz w:val="24"/>
          <w:szCs w:val="24"/>
        </w:rPr>
        <w:lastRenderedPageBreak/>
        <w:t>ՀԱՎԵԼՎԱԾ ԹԻՎ 18</w:t>
      </w:r>
    </w:p>
    <w:p w14:paraId="151993EC" w14:textId="77777777" w:rsidR="008C76E0" w:rsidRPr="003B2786" w:rsidRDefault="008C76E0" w:rsidP="003F7A44">
      <w:pPr>
        <w:spacing w:after="160" w:line="360" w:lineRule="auto"/>
        <w:ind w:left="3969"/>
        <w:jc w:val="center"/>
        <w:rPr>
          <w:rFonts w:ascii="Sylfaen" w:hAnsi="Sylfaen"/>
          <w:sz w:val="24"/>
          <w:szCs w:val="24"/>
        </w:rPr>
      </w:pPr>
      <w:r w:rsidRPr="003B2786">
        <w:rPr>
          <w:rFonts w:ascii="Sylfaen" w:hAnsi="Sylfaen"/>
          <w:sz w:val="24"/>
          <w:szCs w:val="24"/>
        </w:rPr>
        <w:t xml:space="preserve">բժշկական կիրառման համար նախատեսված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w:t>
      </w:r>
    </w:p>
    <w:p w14:paraId="114C827A" w14:textId="77777777" w:rsidR="008C76E0" w:rsidRPr="003B2786" w:rsidRDefault="008C76E0" w:rsidP="003F7A44">
      <w:pPr>
        <w:spacing w:after="160" w:line="360" w:lineRule="auto"/>
        <w:ind w:left="5103"/>
        <w:rPr>
          <w:rFonts w:ascii="Sylfaen" w:hAnsi="Sylfaen"/>
          <w:sz w:val="24"/>
          <w:szCs w:val="24"/>
        </w:rPr>
      </w:pPr>
    </w:p>
    <w:p w14:paraId="3F364F92" w14:textId="77777777" w:rsidR="008C76E0" w:rsidRPr="008C76E0" w:rsidRDefault="008C76E0" w:rsidP="003F7A44">
      <w:pPr>
        <w:pStyle w:val="Bodytext130"/>
        <w:shd w:val="clear" w:color="auto" w:fill="auto"/>
        <w:spacing w:after="160" w:line="360" w:lineRule="auto"/>
        <w:rPr>
          <w:rFonts w:ascii="Sylfaen" w:hAnsi="Sylfaen"/>
          <w:sz w:val="24"/>
          <w:szCs w:val="24"/>
          <w:lang w:val="hy-AM"/>
        </w:rPr>
      </w:pPr>
      <w:bookmarkStart w:id="13" w:name="bookmark14"/>
      <w:r w:rsidRPr="008C76E0">
        <w:rPr>
          <w:rFonts w:ascii="Sylfaen" w:hAnsi="Sylfaen"/>
          <w:sz w:val="24"/>
          <w:szCs w:val="24"/>
          <w:lang w:val="hy-AM"/>
        </w:rPr>
        <w:t>ՁԵՎ</w:t>
      </w:r>
      <w:bookmarkEnd w:id="13"/>
    </w:p>
    <w:p w14:paraId="2197784C" w14:textId="77777777" w:rsidR="008C76E0" w:rsidRPr="008C76E0" w:rsidRDefault="008C76E0" w:rsidP="003F7A44">
      <w:pPr>
        <w:pStyle w:val="Bodytext130"/>
        <w:shd w:val="clear" w:color="auto" w:fill="auto"/>
        <w:spacing w:after="160" w:line="360" w:lineRule="auto"/>
        <w:rPr>
          <w:rFonts w:ascii="Sylfaen" w:hAnsi="Sylfaen"/>
          <w:sz w:val="24"/>
          <w:szCs w:val="24"/>
          <w:lang w:val="hy-AM"/>
        </w:rPr>
      </w:pPr>
      <w:r w:rsidRPr="008C76E0">
        <w:rPr>
          <w:rFonts w:ascii="Sylfaen" w:hAnsi="Sylfaen"/>
          <w:sz w:val="24"/>
          <w:szCs w:val="24"/>
          <w:lang w:val="hy-AM"/>
        </w:rPr>
        <w:t>ճանաչման պետության կողմից արված դիտողությունների</w:t>
      </w:r>
    </w:p>
    <w:p w14:paraId="4AEEB06F" w14:textId="77777777" w:rsidR="008C76E0" w:rsidRPr="003B2786" w:rsidRDefault="008C76E0" w:rsidP="003F7A44">
      <w:pPr>
        <w:spacing w:after="160" w:line="360" w:lineRule="auto"/>
        <w:jc w:val="right"/>
        <w:rPr>
          <w:rFonts w:ascii="Sylfaen" w:hAnsi="Sylfaen"/>
          <w:sz w:val="24"/>
          <w:szCs w:val="24"/>
        </w:rPr>
      </w:pPr>
      <w:r w:rsidRPr="003B2786">
        <w:rPr>
          <w:rFonts w:ascii="Sylfaen" w:hAnsi="Sylfaen"/>
          <w:sz w:val="24"/>
          <w:szCs w:val="24"/>
        </w:rPr>
        <w:t>(ձ</w:t>
      </w:r>
      <w:r w:rsidR="00C54D75">
        <w:rPr>
          <w:rFonts w:ascii="Sylfaen" w:hAnsi="Sylfaen"/>
          <w:sz w:val="24"/>
          <w:szCs w:val="24"/>
        </w:rPr>
        <w:t>և</w:t>
      </w:r>
      <w:r w:rsidRPr="003B2786">
        <w:rPr>
          <w:rFonts w:ascii="Sylfaen" w:hAnsi="Sylfaen"/>
          <w:sz w:val="24"/>
          <w:szCs w:val="24"/>
        </w:rPr>
        <w:t>)</w:t>
      </w:r>
    </w:p>
    <w:p w14:paraId="41F36E56" w14:textId="77777777" w:rsidR="008C76E0" w:rsidRPr="003B2786" w:rsidRDefault="008C76E0" w:rsidP="003F7A44">
      <w:pPr>
        <w:spacing w:after="160" w:line="360" w:lineRule="auto"/>
        <w:jc w:val="center"/>
        <w:rPr>
          <w:rFonts w:ascii="Sylfaen" w:hAnsi="Sylfaen"/>
          <w:sz w:val="24"/>
          <w:szCs w:val="24"/>
        </w:rPr>
      </w:pPr>
      <w:r w:rsidRPr="003B2786">
        <w:rPr>
          <w:rFonts w:ascii="Sylfaen" w:hAnsi="Sylfaen"/>
          <w:sz w:val="24"/>
          <w:szCs w:val="24"/>
        </w:rPr>
        <w:t>Ճանաչման պետության կողմից արված դիտողությունները</w:t>
      </w:r>
    </w:p>
    <w:tbl>
      <w:tblPr>
        <w:tblOverlap w:val="never"/>
        <w:tblW w:w="9836" w:type="dxa"/>
        <w:jc w:val="center"/>
        <w:tblLayout w:type="fixed"/>
        <w:tblCellMar>
          <w:left w:w="10" w:type="dxa"/>
          <w:right w:w="10" w:type="dxa"/>
        </w:tblCellMar>
        <w:tblLook w:val="04A0" w:firstRow="1" w:lastRow="0" w:firstColumn="1" w:lastColumn="0" w:noHBand="0" w:noVBand="1"/>
      </w:tblPr>
      <w:tblGrid>
        <w:gridCol w:w="3069"/>
        <w:gridCol w:w="789"/>
        <w:gridCol w:w="5978"/>
      </w:tblGrid>
      <w:tr w:rsidR="008C76E0" w:rsidRPr="003B2786" w14:paraId="330CE8B0" w14:textId="77777777" w:rsidTr="008C76E0">
        <w:trPr>
          <w:trHeight w:val="1005"/>
          <w:jc w:val="center"/>
        </w:trPr>
        <w:tc>
          <w:tcPr>
            <w:tcW w:w="3069" w:type="dxa"/>
            <w:shd w:val="clear" w:color="auto" w:fill="FFFFFF"/>
          </w:tcPr>
          <w:p w14:paraId="32DCB52E" w14:textId="77777777" w:rsidR="008C76E0" w:rsidRPr="003B2786" w:rsidRDefault="008C76E0" w:rsidP="008C76E0">
            <w:pPr>
              <w:pStyle w:val="Bodytext180"/>
              <w:shd w:val="clear" w:color="auto" w:fill="auto"/>
              <w:spacing w:before="0" w:after="160" w:line="240" w:lineRule="auto"/>
              <w:ind w:right="-1" w:firstLine="0"/>
              <w:jc w:val="center"/>
              <w:rPr>
                <w:rFonts w:ascii="Sylfaen" w:hAnsi="Sylfaen"/>
                <w:b w:val="0"/>
                <w:sz w:val="24"/>
                <w:szCs w:val="24"/>
              </w:rPr>
            </w:pPr>
            <w:r w:rsidRPr="003B2786">
              <w:rPr>
                <w:rStyle w:val="Bodytext295pt"/>
                <w:rFonts w:ascii="Sylfaen" w:hAnsi="Sylfaen"/>
                <w:sz w:val="24"/>
                <w:szCs w:val="24"/>
              </w:rPr>
              <w:t xml:space="preserve">Ընթացակարգի </w:t>
            </w:r>
            <w:r>
              <w:rPr>
                <w:rStyle w:val="Bodytext295pt"/>
                <w:rFonts w:ascii="Sylfaen" w:hAnsi="Sylfaen"/>
                <w:sz w:val="24"/>
                <w:szCs w:val="24"/>
              </w:rPr>
              <w:br/>
            </w:r>
            <w:r w:rsidRPr="003B2786">
              <w:rPr>
                <w:rStyle w:val="Bodytext295pt"/>
                <w:rFonts w:ascii="Sylfaen" w:hAnsi="Sylfaen"/>
                <w:sz w:val="24"/>
                <w:szCs w:val="24"/>
              </w:rPr>
              <w:t>տեսակը</w:t>
            </w:r>
          </w:p>
        </w:tc>
        <w:tc>
          <w:tcPr>
            <w:tcW w:w="6767" w:type="dxa"/>
            <w:gridSpan w:val="2"/>
            <w:shd w:val="clear" w:color="auto" w:fill="FFFFFF"/>
          </w:tcPr>
          <w:p w14:paraId="581F7AAE" w14:textId="77777777" w:rsidR="008C76E0" w:rsidRPr="003B2786" w:rsidRDefault="008C76E0" w:rsidP="008C76E0">
            <w:pPr>
              <w:pStyle w:val="Bodytext180"/>
              <w:shd w:val="clear" w:color="auto" w:fill="auto"/>
              <w:spacing w:before="0" w:after="160" w:line="240" w:lineRule="auto"/>
              <w:ind w:right="-1" w:firstLine="616"/>
              <w:jc w:val="both"/>
              <w:rPr>
                <w:rFonts w:ascii="Sylfaen" w:hAnsi="Sylfaen"/>
                <w:b w:val="0"/>
                <w:sz w:val="24"/>
                <w:szCs w:val="24"/>
              </w:rPr>
            </w:pPr>
            <w:r w:rsidRPr="003B2786">
              <w:rPr>
                <w:rFonts w:ascii="Sylfaen" w:hAnsi="Sylfaen"/>
                <w:b w:val="0"/>
                <w:sz w:val="24"/>
                <w:szCs w:val="24"/>
              </w:rPr>
              <w:t>□</w:t>
            </w:r>
            <w:r w:rsidRPr="003B2786">
              <w:rPr>
                <w:rFonts w:ascii="Sylfaen" w:hAnsi="Sylfaen"/>
                <w:b w:val="0"/>
                <w:sz w:val="24"/>
                <w:szCs w:val="24"/>
              </w:rPr>
              <w:tab/>
            </w:r>
            <w:r w:rsidRPr="003B2786">
              <w:rPr>
                <w:rStyle w:val="Bodytext295pt"/>
                <w:rFonts w:ascii="Sylfaen" w:hAnsi="Sylfaen"/>
                <w:sz w:val="24"/>
                <w:szCs w:val="24"/>
              </w:rPr>
              <w:t>Փոխադարձ ճանաչման ընթացակարգ</w:t>
            </w:r>
          </w:p>
          <w:p w14:paraId="4AB23E4D" w14:textId="77777777" w:rsidR="008C76E0" w:rsidRPr="003B2786" w:rsidRDefault="008C76E0" w:rsidP="008C76E0">
            <w:pPr>
              <w:pStyle w:val="Bodytext180"/>
              <w:shd w:val="clear" w:color="auto" w:fill="auto"/>
              <w:spacing w:before="0" w:after="160" w:line="240" w:lineRule="auto"/>
              <w:ind w:right="-1" w:firstLine="616"/>
              <w:jc w:val="both"/>
              <w:rPr>
                <w:rFonts w:ascii="Sylfaen" w:hAnsi="Sylfaen"/>
                <w:b w:val="0"/>
                <w:sz w:val="24"/>
                <w:szCs w:val="24"/>
              </w:rPr>
            </w:pPr>
            <w:r w:rsidRPr="003B2786">
              <w:rPr>
                <w:rFonts w:ascii="Sylfaen" w:hAnsi="Sylfaen"/>
                <w:b w:val="0"/>
                <w:sz w:val="24"/>
                <w:szCs w:val="24"/>
              </w:rPr>
              <w:t>□</w:t>
            </w:r>
            <w:r w:rsidRPr="003B2786">
              <w:rPr>
                <w:rFonts w:ascii="Sylfaen" w:hAnsi="Sylfaen"/>
                <w:b w:val="0"/>
                <w:sz w:val="24"/>
                <w:szCs w:val="24"/>
              </w:rPr>
              <w:tab/>
            </w:r>
            <w:r w:rsidRPr="003B2786">
              <w:rPr>
                <w:rStyle w:val="Bodytext295pt"/>
                <w:rFonts w:ascii="Sylfaen" w:hAnsi="Sylfaen"/>
                <w:sz w:val="24"/>
                <w:szCs w:val="24"/>
              </w:rPr>
              <w:t>ապակենտրոնացված ընթացակարգ</w:t>
            </w:r>
          </w:p>
        </w:tc>
      </w:tr>
      <w:tr w:rsidR="008C76E0" w:rsidRPr="003B2786" w14:paraId="3E85430D" w14:textId="77777777" w:rsidTr="008C76E0">
        <w:trPr>
          <w:trHeight w:val="494"/>
          <w:jc w:val="center"/>
        </w:trPr>
        <w:tc>
          <w:tcPr>
            <w:tcW w:w="3858" w:type="dxa"/>
            <w:gridSpan w:val="2"/>
            <w:vMerge w:val="restart"/>
            <w:shd w:val="clear" w:color="auto" w:fill="FFFFFF"/>
          </w:tcPr>
          <w:p w14:paraId="1147842D" w14:textId="77777777" w:rsidR="008C76E0" w:rsidRPr="003B2786" w:rsidRDefault="008C76E0" w:rsidP="008C76E0">
            <w:pPr>
              <w:pStyle w:val="Bodytext180"/>
              <w:shd w:val="clear" w:color="auto" w:fill="auto"/>
              <w:tabs>
                <w:tab w:val="left" w:pos="1102"/>
              </w:tabs>
              <w:spacing w:before="0" w:after="160" w:line="240" w:lineRule="auto"/>
              <w:ind w:right="-1" w:firstLine="616"/>
              <w:jc w:val="both"/>
              <w:rPr>
                <w:rFonts w:ascii="Sylfaen" w:hAnsi="Sylfaen"/>
                <w:b w:val="0"/>
                <w:sz w:val="24"/>
                <w:szCs w:val="24"/>
              </w:rPr>
            </w:pPr>
            <w:r w:rsidRPr="003B2786">
              <w:rPr>
                <w:rFonts w:ascii="Sylfaen" w:hAnsi="Sylfaen"/>
                <w:b w:val="0"/>
                <w:sz w:val="24"/>
                <w:szCs w:val="24"/>
              </w:rPr>
              <w:t>1.</w:t>
            </w:r>
            <w:r w:rsidRPr="003B2786">
              <w:rPr>
                <w:rFonts w:ascii="Sylfaen" w:hAnsi="Sylfaen"/>
                <w:b w:val="0"/>
                <w:sz w:val="24"/>
                <w:szCs w:val="24"/>
              </w:rPr>
              <w:tab/>
            </w:r>
            <w:r w:rsidRPr="003B2786">
              <w:rPr>
                <w:rStyle w:val="Bodytext295pt"/>
                <w:rFonts w:ascii="Sylfaen" w:hAnsi="Sylfaen"/>
                <w:sz w:val="24"/>
                <w:szCs w:val="24"/>
              </w:rPr>
              <w:t>Օր</w:t>
            </w:r>
          </w:p>
          <w:p w14:paraId="7FA67CD3" w14:textId="77777777" w:rsidR="008C76E0" w:rsidRPr="003B2786" w:rsidRDefault="008C76E0" w:rsidP="008C76E0">
            <w:pPr>
              <w:pStyle w:val="Bodytext180"/>
              <w:shd w:val="clear" w:color="auto" w:fill="auto"/>
              <w:tabs>
                <w:tab w:val="left" w:pos="1102"/>
              </w:tabs>
              <w:spacing w:before="0" w:after="160" w:line="240" w:lineRule="auto"/>
              <w:ind w:right="-1" w:firstLine="616"/>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t>Դ</w:t>
            </w:r>
            <w:r w:rsidRPr="003B2786">
              <w:rPr>
                <w:rStyle w:val="Bodytext295pt"/>
                <w:rFonts w:ascii="Sylfaen" w:hAnsi="Sylfaen"/>
                <w:sz w:val="24"/>
                <w:szCs w:val="24"/>
              </w:rPr>
              <w:t xml:space="preserve">իտողություններ </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14:paraId="310F999F"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5B87B9D3" w14:textId="77777777" w:rsidTr="008C76E0">
        <w:trPr>
          <w:trHeight w:val="152"/>
          <w:jc w:val="center"/>
        </w:trPr>
        <w:tc>
          <w:tcPr>
            <w:tcW w:w="3858" w:type="dxa"/>
            <w:gridSpan w:val="2"/>
            <w:vMerge/>
            <w:tcBorders>
              <w:top w:val="single" w:sz="4" w:space="0" w:color="auto"/>
            </w:tcBorders>
            <w:shd w:val="clear" w:color="auto" w:fill="FFFFFF"/>
          </w:tcPr>
          <w:p w14:paraId="196A1ED8" w14:textId="77777777" w:rsidR="008C76E0" w:rsidRPr="003B2786" w:rsidRDefault="008C76E0" w:rsidP="008C76E0">
            <w:pPr>
              <w:spacing w:line="240" w:lineRule="auto"/>
              <w:ind w:right="-1" w:firstLine="616"/>
              <w:jc w:val="both"/>
              <w:rPr>
                <w:rFonts w:ascii="Sylfaen" w:hAnsi="Sylfaen"/>
                <w:sz w:val="24"/>
                <w:szCs w:val="24"/>
              </w:rPr>
            </w:pPr>
          </w:p>
        </w:tc>
        <w:tc>
          <w:tcPr>
            <w:tcW w:w="5978" w:type="dxa"/>
            <w:tcBorders>
              <w:top w:val="single" w:sz="4" w:space="0" w:color="auto"/>
              <w:left w:val="single" w:sz="4" w:space="0" w:color="auto"/>
              <w:bottom w:val="single" w:sz="4" w:space="0" w:color="auto"/>
              <w:right w:val="single" w:sz="4" w:space="0" w:color="auto"/>
            </w:tcBorders>
            <w:shd w:val="clear" w:color="auto" w:fill="FFFFFF"/>
          </w:tcPr>
          <w:p w14:paraId="172E0522" w14:textId="77777777" w:rsidR="008C76E0" w:rsidRPr="003B2786" w:rsidRDefault="008C76E0" w:rsidP="008C76E0">
            <w:pPr>
              <w:tabs>
                <w:tab w:val="left" w:pos="667"/>
              </w:tabs>
              <w:spacing w:line="240" w:lineRule="auto"/>
              <w:ind w:right="187" w:firstLine="616"/>
              <w:jc w:val="right"/>
              <w:rPr>
                <w:rFonts w:ascii="Sylfaen" w:hAnsi="Sylfaen"/>
                <w:i/>
                <w:sz w:val="24"/>
                <w:szCs w:val="24"/>
              </w:rPr>
            </w:pPr>
            <w:r w:rsidRPr="003B2786">
              <w:rPr>
                <w:rFonts w:ascii="Sylfaen" w:hAnsi="Sylfaen"/>
                <w:i/>
                <w:sz w:val="24"/>
                <w:szCs w:val="24"/>
              </w:rPr>
              <w:t>կողմից</w:t>
            </w:r>
          </w:p>
        </w:tc>
      </w:tr>
      <w:tr w:rsidR="008C76E0" w:rsidRPr="003B2786" w14:paraId="2CB54704" w14:textId="77777777" w:rsidTr="008C76E0">
        <w:trPr>
          <w:trHeight w:val="494"/>
          <w:jc w:val="center"/>
        </w:trPr>
        <w:tc>
          <w:tcPr>
            <w:tcW w:w="9836" w:type="dxa"/>
            <w:gridSpan w:val="3"/>
            <w:shd w:val="clear" w:color="auto" w:fill="FFFFFF"/>
          </w:tcPr>
          <w:p w14:paraId="00F0B0A4"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117C362D" w14:textId="77777777" w:rsidTr="008C76E0">
        <w:trPr>
          <w:trHeight w:val="494"/>
          <w:jc w:val="center"/>
        </w:trPr>
        <w:tc>
          <w:tcPr>
            <w:tcW w:w="3858" w:type="dxa"/>
            <w:gridSpan w:val="2"/>
            <w:shd w:val="clear" w:color="auto" w:fill="FFFFFF"/>
          </w:tcPr>
          <w:p w14:paraId="41722A36" w14:textId="77777777" w:rsidR="008C76E0" w:rsidRPr="003B2786" w:rsidRDefault="008C76E0" w:rsidP="008C76E0">
            <w:pPr>
              <w:pStyle w:val="Bodytext180"/>
              <w:shd w:val="clear" w:color="auto" w:fill="auto"/>
              <w:spacing w:before="0" w:after="160" w:line="240" w:lineRule="auto"/>
              <w:ind w:right="72" w:firstLine="616"/>
              <w:jc w:val="right"/>
              <w:rPr>
                <w:rFonts w:ascii="Sylfaen" w:hAnsi="Sylfaen"/>
                <w:b w:val="0"/>
                <w:sz w:val="24"/>
                <w:szCs w:val="24"/>
              </w:rPr>
            </w:pPr>
            <w:r w:rsidRPr="003B2786">
              <w:rPr>
                <w:rStyle w:val="Bodytext295pt"/>
                <w:rFonts w:ascii="Sylfaen" w:hAnsi="Sylfaen"/>
                <w:sz w:val="24"/>
                <w:szCs w:val="24"/>
              </w:rPr>
              <w:t>Հայտ թիվ</w:t>
            </w:r>
          </w:p>
        </w:tc>
        <w:tc>
          <w:tcPr>
            <w:tcW w:w="5978" w:type="dxa"/>
            <w:tcBorders>
              <w:top w:val="single" w:sz="4" w:space="0" w:color="auto"/>
              <w:left w:val="single" w:sz="4" w:space="0" w:color="auto"/>
            </w:tcBorders>
            <w:shd w:val="clear" w:color="auto" w:fill="FFFFFF"/>
          </w:tcPr>
          <w:p w14:paraId="53CA4314"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2895A48E" w14:textId="77777777" w:rsidTr="008C76E0">
        <w:trPr>
          <w:trHeight w:val="494"/>
          <w:jc w:val="center"/>
        </w:trPr>
        <w:tc>
          <w:tcPr>
            <w:tcW w:w="3858" w:type="dxa"/>
            <w:gridSpan w:val="2"/>
            <w:shd w:val="clear" w:color="auto" w:fill="FFFFFF"/>
            <w:vAlign w:val="bottom"/>
          </w:tcPr>
          <w:p w14:paraId="65372301" w14:textId="77777777" w:rsidR="008C76E0" w:rsidRPr="003B2786" w:rsidRDefault="008C76E0" w:rsidP="008C76E0">
            <w:pPr>
              <w:pStyle w:val="Bodytext180"/>
              <w:shd w:val="clear" w:color="auto" w:fill="auto"/>
              <w:spacing w:before="0" w:after="160" w:line="240" w:lineRule="auto"/>
              <w:ind w:right="72" w:firstLine="616"/>
              <w:jc w:val="right"/>
              <w:rPr>
                <w:rFonts w:ascii="Sylfaen" w:hAnsi="Sylfaen"/>
                <w:b w:val="0"/>
                <w:sz w:val="24"/>
                <w:szCs w:val="24"/>
              </w:rPr>
            </w:pPr>
            <w:r w:rsidRPr="003B2786">
              <w:rPr>
                <w:rStyle w:val="Bodytext295pt"/>
                <w:rFonts w:ascii="Sylfaen" w:hAnsi="Sylfaen"/>
                <w:sz w:val="24"/>
                <w:szCs w:val="24"/>
              </w:rPr>
              <w:t>Ամսաթիվը</w:t>
            </w:r>
          </w:p>
        </w:tc>
        <w:tc>
          <w:tcPr>
            <w:tcW w:w="5978" w:type="dxa"/>
            <w:tcBorders>
              <w:top w:val="single" w:sz="4" w:space="0" w:color="auto"/>
              <w:left w:val="single" w:sz="4" w:space="0" w:color="auto"/>
            </w:tcBorders>
            <w:shd w:val="clear" w:color="auto" w:fill="FFFFFF"/>
          </w:tcPr>
          <w:p w14:paraId="0F46C238"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3BA17765" w14:textId="77777777" w:rsidTr="008C76E0">
        <w:trPr>
          <w:trHeight w:val="829"/>
          <w:jc w:val="center"/>
        </w:trPr>
        <w:tc>
          <w:tcPr>
            <w:tcW w:w="3858" w:type="dxa"/>
            <w:gridSpan w:val="2"/>
            <w:shd w:val="clear" w:color="auto" w:fill="FFFFFF"/>
            <w:vAlign w:val="bottom"/>
          </w:tcPr>
          <w:p w14:paraId="0FD696A2" w14:textId="77777777" w:rsidR="008C76E0" w:rsidRPr="003B2786" w:rsidRDefault="008C76E0" w:rsidP="008C76E0">
            <w:pPr>
              <w:pStyle w:val="Bodytext180"/>
              <w:shd w:val="clear" w:color="auto" w:fill="auto"/>
              <w:spacing w:before="0" w:after="160" w:line="240" w:lineRule="auto"/>
              <w:ind w:right="72" w:firstLine="616"/>
              <w:jc w:val="right"/>
              <w:rPr>
                <w:rFonts w:ascii="Sylfaen" w:hAnsi="Sylfaen"/>
                <w:b w:val="0"/>
                <w:sz w:val="24"/>
                <w:szCs w:val="24"/>
              </w:rPr>
            </w:pPr>
            <w:r w:rsidRPr="003B2786">
              <w:rPr>
                <w:rStyle w:val="Bodytext295pt"/>
                <w:rFonts w:ascii="Sylfaen" w:hAnsi="Sylfaen"/>
                <w:sz w:val="24"/>
                <w:szCs w:val="24"/>
              </w:rPr>
              <w:t>Դեղապատրաստուկի անվանումը</w:t>
            </w:r>
          </w:p>
        </w:tc>
        <w:tc>
          <w:tcPr>
            <w:tcW w:w="5978" w:type="dxa"/>
            <w:tcBorders>
              <w:top w:val="single" w:sz="4" w:space="0" w:color="auto"/>
              <w:left w:val="single" w:sz="4" w:space="0" w:color="auto"/>
            </w:tcBorders>
            <w:shd w:val="clear" w:color="auto" w:fill="FFFFFF"/>
          </w:tcPr>
          <w:p w14:paraId="365D7D6C"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75468C5D" w14:textId="77777777" w:rsidTr="008C76E0">
        <w:trPr>
          <w:trHeight w:val="829"/>
          <w:jc w:val="center"/>
        </w:trPr>
        <w:tc>
          <w:tcPr>
            <w:tcW w:w="3858" w:type="dxa"/>
            <w:gridSpan w:val="2"/>
            <w:shd w:val="clear" w:color="auto" w:fill="FFFFFF"/>
            <w:vAlign w:val="bottom"/>
          </w:tcPr>
          <w:p w14:paraId="3C6E2B65" w14:textId="77777777" w:rsidR="008C76E0" w:rsidRPr="003B2786" w:rsidRDefault="008C76E0" w:rsidP="008C76E0">
            <w:pPr>
              <w:pStyle w:val="Bodytext180"/>
              <w:shd w:val="clear" w:color="auto" w:fill="auto"/>
              <w:spacing w:before="0" w:after="160" w:line="240" w:lineRule="auto"/>
              <w:ind w:right="72" w:firstLine="616"/>
              <w:jc w:val="right"/>
              <w:rPr>
                <w:rFonts w:ascii="Sylfaen" w:hAnsi="Sylfaen"/>
                <w:b w:val="0"/>
                <w:sz w:val="24"/>
                <w:szCs w:val="24"/>
              </w:rPr>
            </w:pPr>
            <w:r w:rsidRPr="003B2786">
              <w:rPr>
                <w:rStyle w:val="Bodytext295pt"/>
                <w:rFonts w:ascii="Sylfaen" w:hAnsi="Sylfaen"/>
                <w:sz w:val="24"/>
                <w:szCs w:val="24"/>
              </w:rPr>
              <w:t>Ակտիվ դեղագործական բաղադրամասը (բաղադրամասերը)</w:t>
            </w:r>
          </w:p>
        </w:tc>
        <w:tc>
          <w:tcPr>
            <w:tcW w:w="5978" w:type="dxa"/>
            <w:tcBorders>
              <w:top w:val="single" w:sz="4" w:space="0" w:color="auto"/>
              <w:left w:val="single" w:sz="4" w:space="0" w:color="auto"/>
            </w:tcBorders>
            <w:shd w:val="clear" w:color="auto" w:fill="FFFFFF"/>
          </w:tcPr>
          <w:p w14:paraId="69838307"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35ECA6CF" w14:textId="77777777" w:rsidTr="008C76E0">
        <w:trPr>
          <w:trHeight w:val="829"/>
          <w:jc w:val="center"/>
        </w:trPr>
        <w:tc>
          <w:tcPr>
            <w:tcW w:w="3858" w:type="dxa"/>
            <w:gridSpan w:val="2"/>
            <w:shd w:val="clear" w:color="auto" w:fill="FFFFFF"/>
            <w:vAlign w:val="bottom"/>
          </w:tcPr>
          <w:p w14:paraId="2E83D069" w14:textId="77777777" w:rsidR="008C76E0" w:rsidRPr="008C76E0" w:rsidRDefault="008C76E0" w:rsidP="008C76E0">
            <w:pPr>
              <w:pStyle w:val="Bodytext180"/>
              <w:shd w:val="clear" w:color="auto" w:fill="auto"/>
              <w:spacing w:before="0" w:after="160" w:line="240" w:lineRule="auto"/>
              <w:ind w:right="72" w:firstLine="616"/>
              <w:jc w:val="right"/>
              <w:rPr>
                <w:rFonts w:ascii="Sylfaen" w:hAnsi="Sylfaen"/>
                <w:b w:val="0"/>
                <w:sz w:val="24"/>
                <w:szCs w:val="24"/>
                <w:lang w:val="hy-AM"/>
              </w:rPr>
            </w:pPr>
            <w:r w:rsidRPr="003B2786">
              <w:rPr>
                <w:rStyle w:val="Bodytext295pt"/>
                <w:rFonts w:ascii="Sylfaen" w:hAnsi="Sylfaen"/>
                <w:sz w:val="24"/>
                <w:szCs w:val="24"/>
              </w:rPr>
              <w:t xml:space="preserve">Դոզան (դոզաները) </w:t>
            </w:r>
            <w:r w:rsidR="00C54D75">
              <w:rPr>
                <w:rStyle w:val="Bodytext295pt"/>
                <w:rFonts w:ascii="Sylfaen" w:hAnsi="Sylfaen"/>
                <w:sz w:val="24"/>
                <w:szCs w:val="24"/>
              </w:rPr>
              <w:t>և</w:t>
            </w:r>
            <w:r w:rsidRPr="003B2786">
              <w:rPr>
                <w:rStyle w:val="Bodytext295pt"/>
                <w:rFonts w:ascii="Sylfaen" w:hAnsi="Sylfaen"/>
                <w:sz w:val="24"/>
                <w:szCs w:val="24"/>
              </w:rPr>
              <w:t xml:space="preserve"> խտանյութը (խտանյութերը)</w:t>
            </w:r>
          </w:p>
        </w:tc>
        <w:tc>
          <w:tcPr>
            <w:tcW w:w="5978" w:type="dxa"/>
            <w:tcBorders>
              <w:top w:val="single" w:sz="4" w:space="0" w:color="auto"/>
              <w:left w:val="single" w:sz="4" w:space="0" w:color="auto"/>
            </w:tcBorders>
            <w:shd w:val="clear" w:color="auto" w:fill="FFFFFF"/>
          </w:tcPr>
          <w:p w14:paraId="11DF131B"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56F6B472" w14:textId="77777777" w:rsidTr="008C76E0">
        <w:trPr>
          <w:trHeight w:val="494"/>
          <w:jc w:val="center"/>
        </w:trPr>
        <w:tc>
          <w:tcPr>
            <w:tcW w:w="3858" w:type="dxa"/>
            <w:gridSpan w:val="2"/>
            <w:shd w:val="clear" w:color="auto" w:fill="FFFFFF"/>
            <w:vAlign w:val="bottom"/>
          </w:tcPr>
          <w:p w14:paraId="52C82F49" w14:textId="77777777" w:rsidR="008C76E0" w:rsidRPr="003B2786" w:rsidRDefault="008C76E0" w:rsidP="008C76E0">
            <w:pPr>
              <w:pStyle w:val="Bodytext180"/>
              <w:shd w:val="clear" w:color="auto" w:fill="auto"/>
              <w:spacing w:before="0" w:after="160" w:line="240" w:lineRule="auto"/>
              <w:ind w:right="72" w:firstLine="616"/>
              <w:jc w:val="right"/>
              <w:rPr>
                <w:rFonts w:ascii="Sylfaen" w:hAnsi="Sylfaen"/>
                <w:b w:val="0"/>
                <w:sz w:val="24"/>
                <w:szCs w:val="24"/>
              </w:rPr>
            </w:pPr>
            <w:r w:rsidRPr="003B2786">
              <w:rPr>
                <w:rStyle w:val="Bodytext295pt"/>
                <w:rFonts w:ascii="Sylfaen" w:hAnsi="Sylfaen"/>
                <w:sz w:val="24"/>
                <w:szCs w:val="24"/>
              </w:rPr>
              <w:t>Դեղաձ</w:t>
            </w:r>
            <w:r w:rsidR="00C54D75">
              <w:rPr>
                <w:rStyle w:val="Bodytext295pt"/>
                <w:rFonts w:ascii="Sylfaen" w:hAnsi="Sylfaen"/>
                <w:sz w:val="24"/>
                <w:szCs w:val="24"/>
              </w:rPr>
              <w:t>և</w:t>
            </w:r>
            <w:r w:rsidRPr="003B2786">
              <w:rPr>
                <w:rStyle w:val="Bodytext295pt"/>
                <w:rFonts w:ascii="Sylfaen" w:hAnsi="Sylfaen"/>
                <w:sz w:val="24"/>
                <w:szCs w:val="24"/>
              </w:rPr>
              <w:t>ը</w:t>
            </w:r>
          </w:p>
        </w:tc>
        <w:tc>
          <w:tcPr>
            <w:tcW w:w="5978" w:type="dxa"/>
            <w:tcBorders>
              <w:top w:val="single" w:sz="4" w:space="0" w:color="auto"/>
              <w:left w:val="single" w:sz="4" w:space="0" w:color="auto"/>
            </w:tcBorders>
            <w:shd w:val="clear" w:color="auto" w:fill="FFFFFF"/>
          </w:tcPr>
          <w:p w14:paraId="64CAE66C" w14:textId="77777777" w:rsidR="008C76E0" w:rsidRPr="003B2786" w:rsidRDefault="008C76E0" w:rsidP="008C76E0">
            <w:pPr>
              <w:spacing w:line="240" w:lineRule="auto"/>
              <w:ind w:right="-1" w:firstLine="616"/>
              <w:jc w:val="both"/>
              <w:rPr>
                <w:rFonts w:ascii="Sylfaen" w:hAnsi="Sylfaen"/>
                <w:sz w:val="24"/>
                <w:szCs w:val="24"/>
              </w:rPr>
            </w:pPr>
          </w:p>
        </w:tc>
      </w:tr>
      <w:tr w:rsidR="008C76E0" w:rsidRPr="003B2786" w14:paraId="2488D675" w14:textId="77777777" w:rsidTr="008C76E0">
        <w:trPr>
          <w:trHeight w:val="494"/>
          <w:jc w:val="center"/>
        </w:trPr>
        <w:tc>
          <w:tcPr>
            <w:tcW w:w="3858" w:type="dxa"/>
            <w:gridSpan w:val="2"/>
            <w:shd w:val="clear" w:color="auto" w:fill="FFFFFF"/>
            <w:vAlign w:val="bottom"/>
          </w:tcPr>
          <w:p w14:paraId="517552E1" w14:textId="77777777" w:rsidR="008C76E0" w:rsidRPr="003B2786" w:rsidRDefault="008C76E0" w:rsidP="008C76E0">
            <w:pPr>
              <w:pStyle w:val="Bodytext180"/>
              <w:shd w:val="clear" w:color="auto" w:fill="auto"/>
              <w:spacing w:before="0" w:after="160" w:line="240" w:lineRule="auto"/>
              <w:ind w:right="72" w:firstLine="0"/>
              <w:jc w:val="right"/>
              <w:rPr>
                <w:rFonts w:ascii="Sylfaen" w:hAnsi="Sylfaen"/>
                <w:b w:val="0"/>
                <w:sz w:val="24"/>
                <w:szCs w:val="24"/>
              </w:rPr>
            </w:pPr>
            <w:r w:rsidRPr="003B2786">
              <w:rPr>
                <w:rStyle w:val="Bodytext295pt"/>
                <w:rFonts w:ascii="Sylfaen" w:hAnsi="Sylfaen"/>
                <w:sz w:val="24"/>
                <w:szCs w:val="24"/>
              </w:rPr>
              <w:t>Բացթողման ձ</w:t>
            </w:r>
            <w:r w:rsidR="00C54D75">
              <w:rPr>
                <w:rStyle w:val="Bodytext295pt"/>
                <w:rFonts w:ascii="Sylfaen" w:hAnsi="Sylfaen"/>
                <w:sz w:val="24"/>
                <w:szCs w:val="24"/>
              </w:rPr>
              <w:t>և</w:t>
            </w:r>
            <w:r w:rsidRPr="003B2786">
              <w:rPr>
                <w:rStyle w:val="Bodytext295pt"/>
                <w:rFonts w:ascii="Sylfaen" w:hAnsi="Sylfaen"/>
                <w:sz w:val="24"/>
                <w:szCs w:val="24"/>
              </w:rPr>
              <w:t>ը</w:t>
            </w:r>
          </w:p>
        </w:tc>
        <w:tc>
          <w:tcPr>
            <w:tcW w:w="5978" w:type="dxa"/>
            <w:tcBorders>
              <w:top w:val="single" w:sz="4" w:space="0" w:color="auto"/>
              <w:left w:val="single" w:sz="4" w:space="0" w:color="auto"/>
            </w:tcBorders>
            <w:shd w:val="clear" w:color="auto" w:fill="FFFFFF"/>
          </w:tcPr>
          <w:p w14:paraId="1CF956EF" w14:textId="77777777" w:rsidR="008C76E0" w:rsidRPr="003B2786" w:rsidRDefault="008C76E0" w:rsidP="008C76E0">
            <w:pPr>
              <w:spacing w:line="240" w:lineRule="auto"/>
              <w:ind w:right="-1"/>
              <w:jc w:val="both"/>
              <w:rPr>
                <w:rFonts w:ascii="Sylfaen" w:hAnsi="Sylfaen"/>
                <w:sz w:val="24"/>
                <w:szCs w:val="24"/>
              </w:rPr>
            </w:pPr>
          </w:p>
        </w:tc>
      </w:tr>
      <w:tr w:rsidR="008C76E0" w:rsidRPr="003B2786" w14:paraId="1D4C75A7" w14:textId="77777777" w:rsidTr="008C76E0">
        <w:trPr>
          <w:trHeight w:val="847"/>
          <w:jc w:val="center"/>
        </w:trPr>
        <w:tc>
          <w:tcPr>
            <w:tcW w:w="3858" w:type="dxa"/>
            <w:gridSpan w:val="2"/>
            <w:shd w:val="clear" w:color="auto" w:fill="FFFFFF"/>
            <w:vAlign w:val="bottom"/>
          </w:tcPr>
          <w:p w14:paraId="309812DB" w14:textId="77777777" w:rsidR="008C76E0" w:rsidRPr="003B2786" w:rsidRDefault="008C76E0" w:rsidP="008C76E0">
            <w:pPr>
              <w:pStyle w:val="Bodytext180"/>
              <w:shd w:val="clear" w:color="auto" w:fill="auto"/>
              <w:spacing w:before="0" w:after="160" w:line="240" w:lineRule="auto"/>
              <w:ind w:right="72" w:firstLine="0"/>
              <w:jc w:val="right"/>
              <w:rPr>
                <w:rFonts w:ascii="Sylfaen" w:hAnsi="Sylfaen"/>
                <w:b w:val="0"/>
                <w:sz w:val="24"/>
                <w:szCs w:val="24"/>
              </w:rPr>
            </w:pPr>
            <w:r w:rsidRPr="003B2786">
              <w:rPr>
                <w:rStyle w:val="Bodytext295pt"/>
                <w:rFonts w:ascii="Sylfaen" w:hAnsi="Sylfaen"/>
                <w:sz w:val="24"/>
                <w:szCs w:val="24"/>
              </w:rPr>
              <w:t>Հայտատու (հայտատուի ներկայացուցիչ)</w:t>
            </w:r>
          </w:p>
        </w:tc>
        <w:tc>
          <w:tcPr>
            <w:tcW w:w="5978" w:type="dxa"/>
            <w:tcBorders>
              <w:top w:val="single" w:sz="4" w:space="0" w:color="auto"/>
              <w:left w:val="single" w:sz="4" w:space="0" w:color="auto"/>
              <w:bottom w:val="single" w:sz="4" w:space="0" w:color="auto"/>
            </w:tcBorders>
            <w:shd w:val="clear" w:color="auto" w:fill="FFFFFF"/>
          </w:tcPr>
          <w:p w14:paraId="551838EB" w14:textId="77777777" w:rsidR="008C76E0" w:rsidRPr="003B2786" w:rsidRDefault="008C76E0" w:rsidP="008C76E0">
            <w:pPr>
              <w:spacing w:line="240" w:lineRule="auto"/>
              <w:ind w:right="-1"/>
              <w:jc w:val="both"/>
              <w:rPr>
                <w:rFonts w:ascii="Sylfaen" w:hAnsi="Sylfaen"/>
                <w:sz w:val="24"/>
                <w:szCs w:val="24"/>
              </w:rPr>
            </w:pPr>
          </w:p>
        </w:tc>
      </w:tr>
    </w:tbl>
    <w:p w14:paraId="194A38D3" w14:textId="77777777" w:rsidR="008C76E0" w:rsidRPr="003B2786" w:rsidRDefault="008C76E0" w:rsidP="008C76E0">
      <w:pPr>
        <w:ind w:right="-1"/>
        <w:jc w:val="both"/>
        <w:rPr>
          <w:rFonts w:ascii="Sylfaen" w:hAnsi="Sylfaen"/>
          <w:sz w:val="24"/>
          <w:szCs w:val="24"/>
        </w:rPr>
      </w:pPr>
    </w:p>
    <w:p w14:paraId="4F72B01F" w14:textId="77777777" w:rsidR="008C76E0" w:rsidRPr="003B2786" w:rsidRDefault="008C76E0" w:rsidP="00590510">
      <w:pPr>
        <w:spacing w:after="160" w:line="360" w:lineRule="auto"/>
        <w:ind w:firstLine="426"/>
        <w:jc w:val="both"/>
        <w:rPr>
          <w:rFonts w:ascii="Sylfaen" w:hAnsi="Sylfaen"/>
          <w:sz w:val="24"/>
          <w:szCs w:val="24"/>
        </w:rPr>
      </w:pPr>
      <w:r w:rsidRPr="003B2786">
        <w:rPr>
          <w:rStyle w:val="Bodytext295pt"/>
          <w:rFonts w:ascii="Sylfaen" w:eastAsiaTheme="minorHAnsi" w:hAnsi="Sylfaen"/>
          <w:b w:val="0"/>
          <w:sz w:val="24"/>
          <w:szCs w:val="24"/>
        </w:rPr>
        <w:lastRenderedPageBreak/>
        <w:t>«</w:t>
      </w:r>
      <w:r w:rsidRPr="003B2786">
        <w:rPr>
          <w:rStyle w:val="Bodytext295pt"/>
          <w:rFonts w:ascii="Sylfaen" w:eastAsiaTheme="minorHAnsi" w:hAnsi="Sylfaen"/>
          <w:b w:val="0"/>
          <w:i/>
          <w:sz w:val="24"/>
          <w:szCs w:val="24"/>
          <w:u w:val="single"/>
        </w:rPr>
        <w:t>Միության անդամ պետությունը</w:t>
      </w:r>
      <w:r w:rsidRPr="003B2786">
        <w:rPr>
          <w:rStyle w:val="Bodytext295pt"/>
          <w:rFonts w:ascii="Sylfaen" w:eastAsiaTheme="minorHAnsi" w:hAnsi="Sylfaen"/>
          <w:b w:val="0"/>
          <w:sz w:val="24"/>
          <w:szCs w:val="24"/>
        </w:rPr>
        <w:t>»</w:t>
      </w:r>
      <w:r w:rsidRPr="003B2786">
        <w:rPr>
          <w:rFonts w:ascii="Sylfaen" w:hAnsi="Sylfaen"/>
          <w:sz w:val="24"/>
          <w:szCs w:val="24"/>
        </w:rPr>
        <w:t xml:space="preserve"> համաձայն է ռեֆերենտ պետության ընդհանուր եզրակացության հետ </w:t>
      </w:r>
      <w:r w:rsidR="00C54D75">
        <w:rPr>
          <w:rFonts w:ascii="Sylfaen" w:hAnsi="Sylfaen"/>
          <w:sz w:val="24"/>
          <w:szCs w:val="24"/>
        </w:rPr>
        <w:t>և</w:t>
      </w:r>
      <w:r w:rsidRPr="003B2786">
        <w:rPr>
          <w:rFonts w:ascii="Sylfaen" w:hAnsi="Sylfaen"/>
          <w:sz w:val="24"/>
          <w:szCs w:val="24"/>
        </w:rPr>
        <w:t xml:space="preserve"> պատրաստ է տրամադրել գրանցման հավաստագիր՝ </w:t>
      </w:r>
      <w:r w:rsidRPr="003B2786">
        <w:rPr>
          <w:rStyle w:val="Bodytext295pt"/>
          <w:rFonts w:ascii="Sylfaen" w:eastAsiaTheme="minorHAnsi" w:hAnsi="Sylfaen"/>
          <w:b w:val="0"/>
          <w:sz w:val="24"/>
          <w:szCs w:val="24"/>
        </w:rPr>
        <w:t>«</w:t>
      </w:r>
      <w:r w:rsidRPr="003B2786">
        <w:rPr>
          <w:rStyle w:val="Bodytext295pt"/>
          <w:rFonts w:ascii="Sylfaen" w:eastAsiaTheme="minorHAnsi" w:hAnsi="Sylfaen"/>
          <w:b w:val="0"/>
          <w:i/>
          <w:sz w:val="24"/>
          <w:szCs w:val="24"/>
          <w:u w:val="single"/>
        </w:rPr>
        <w:t>գրանցման հայտագրված դեղապատրաստուկի</w:t>
      </w:r>
      <w:r w:rsidRPr="003B2786">
        <w:rPr>
          <w:rStyle w:val="Bodytext295pt"/>
          <w:rFonts w:ascii="Sylfaen" w:eastAsiaTheme="minorHAnsi" w:hAnsi="Sylfaen"/>
          <w:b w:val="0"/>
          <w:sz w:val="24"/>
          <w:szCs w:val="24"/>
        </w:rPr>
        <w:t>»</w:t>
      </w:r>
      <w:r w:rsidRPr="003B2786">
        <w:rPr>
          <w:rFonts w:ascii="Sylfaen" w:hAnsi="Sylfaen"/>
          <w:sz w:val="24"/>
          <w:szCs w:val="24"/>
        </w:rPr>
        <w:t xml:space="preserve"> համար.</w:t>
      </w:r>
    </w:p>
    <w:p w14:paraId="7DDB7B50" w14:textId="77777777" w:rsidR="008C76E0" w:rsidRPr="008C76E0" w:rsidRDefault="008C76E0" w:rsidP="00590510">
      <w:pPr>
        <w:pStyle w:val="Bodytext70"/>
        <w:shd w:val="clear" w:color="auto" w:fill="auto"/>
        <w:spacing w:before="0" w:after="160" w:line="360" w:lineRule="auto"/>
        <w:ind w:firstLine="426"/>
        <w:rPr>
          <w:rFonts w:ascii="Sylfaen" w:hAnsi="Sylfaen"/>
          <w:b w:val="0"/>
          <w:sz w:val="24"/>
          <w:szCs w:val="24"/>
          <w:lang w:val="hy-AM"/>
        </w:rPr>
      </w:pPr>
      <w:r w:rsidRPr="008C76E0">
        <w:rPr>
          <w:rFonts w:ascii="Sylfaen" w:hAnsi="Sylfaen"/>
          <w:b w:val="0"/>
          <w:sz w:val="24"/>
          <w:szCs w:val="24"/>
          <w:lang w:val="hy-AM"/>
        </w:rPr>
        <w:t xml:space="preserve">կամ՝ </w:t>
      </w:r>
    </w:p>
    <w:p w14:paraId="68169509" w14:textId="77777777" w:rsidR="008C76E0" w:rsidRDefault="008C76E0" w:rsidP="00590510">
      <w:pPr>
        <w:spacing w:after="160" w:line="360" w:lineRule="auto"/>
        <w:ind w:firstLine="426"/>
        <w:jc w:val="both"/>
        <w:rPr>
          <w:rFonts w:ascii="Sylfaen" w:hAnsi="Sylfaen"/>
          <w:sz w:val="24"/>
          <w:szCs w:val="24"/>
        </w:rPr>
      </w:pPr>
      <w:r w:rsidRPr="003B2786">
        <w:rPr>
          <w:rStyle w:val="Bodytext295pt"/>
          <w:rFonts w:ascii="Sylfaen" w:eastAsiaTheme="minorHAnsi" w:hAnsi="Sylfaen"/>
          <w:b w:val="0"/>
          <w:sz w:val="24"/>
          <w:szCs w:val="24"/>
        </w:rPr>
        <w:t>«Միության անդամ պետությունը»</w:t>
      </w:r>
      <w:r w:rsidRPr="003B2786">
        <w:rPr>
          <w:rFonts w:ascii="Sylfaen" w:hAnsi="Sylfaen"/>
          <w:sz w:val="24"/>
          <w:szCs w:val="24"/>
        </w:rPr>
        <w:t xml:space="preserve"> համարում է, որ տվյալ պատրաստուկի կիրառությունը կապված է բնակչության առողջության հնարավոր լուրջ ռիսկի հետ </w:t>
      </w:r>
      <w:r w:rsidR="00C54D75">
        <w:rPr>
          <w:rFonts w:ascii="Sylfaen" w:hAnsi="Sylfaen"/>
          <w:sz w:val="24"/>
          <w:szCs w:val="24"/>
        </w:rPr>
        <w:t>և</w:t>
      </w:r>
      <w:r w:rsidRPr="003B2786">
        <w:rPr>
          <w:rFonts w:ascii="Sylfaen" w:hAnsi="Sylfaen"/>
          <w:sz w:val="24"/>
          <w:szCs w:val="24"/>
        </w:rPr>
        <w:t xml:space="preserve"> ներկայումս պատրաստ չէ տալ գրանցման հավաստագիր:</w:t>
      </w:r>
    </w:p>
    <w:p w14:paraId="4560668A" w14:textId="77777777" w:rsidR="008C76E0" w:rsidRPr="003B2786" w:rsidRDefault="008C76E0" w:rsidP="00590510">
      <w:pPr>
        <w:spacing w:after="160" w:line="360" w:lineRule="auto"/>
        <w:ind w:firstLine="426"/>
        <w:jc w:val="both"/>
        <w:rPr>
          <w:rFonts w:ascii="Sylfaen" w:hAnsi="Sylfaen"/>
          <w:sz w:val="24"/>
          <w:szCs w:val="24"/>
        </w:rPr>
      </w:pPr>
    </w:p>
    <w:p w14:paraId="1E4AA808" w14:textId="77777777" w:rsidR="008C76E0" w:rsidRPr="003B2786" w:rsidRDefault="008C76E0" w:rsidP="00590510">
      <w:pPr>
        <w:tabs>
          <w:tab w:val="left" w:pos="1134"/>
        </w:tabs>
        <w:spacing w:after="160" w:line="360" w:lineRule="auto"/>
        <w:ind w:firstLine="426"/>
        <w:jc w:val="center"/>
        <w:outlineLvl w:val="0"/>
        <w:rPr>
          <w:rFonts w:ascii="Sylfaen" w:hAnsi="Sylfaen"/>
          <w:sz w:val="24"/>
          <w:szCs w:val="24"/>
        </w:rPr>
      </w:pPr>
      <w:r>
        <w:rPr>
          <w:rFonts w:ascii="Sylfaen" w:hAnsi="Sylfaen"/>
          <w:sz w:val="24"/>
          <w:szCs w:val="24"/>
        </w:rPr>
        <w:t>2.</w:t>
      </w:r>
      <w:r w:rsidRPr="003B2786">
        <w:rPr>
          <w:rFonts w:ascii="Sylfaen" w:hAnsi="Sylfaen"/>
          <w:sz w:val="24"/>
          <w:szCs w:val="24"/>
        </w:rPr>
        <w:t>Բնակչության առողջության համար հնարավոր լուրջ ռիսկը</w:t>
      </w:r>
    </w:p>
    <w:p w14:paraId="311D03F6" w14:textId="77777777" w:rsidR="008C76E0" w:rsidRPr="003B2786" w:rsidRDefault="008C76E0" w:rsidP="00590510">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2.1.</w:t>
      </w:r>
      <w:r w:rsidRPr="003B2786">
        <w:rPr>
          <w:rFonts w:ascii="Sylfaen" w:hAnsi="Sylfaen"/>
          <w:sz w:val="24"/>
          <w:szCs w:val="24"/>
        </w:rPr>
        <w:tab/>
        <w:t xml:space="preserve">Դեղապատրաստուկի ընդհանուր բնութագիրը, բժշկական կիրառման հրահանգը (ներդիր թերթիկը) </w:t>
      </w:r>
      <w:r w:rsidR="00C54D75">
        <w:rPr>
          <w:rFonts w:ascii="Sylfaen" w:hAnsi="Sylfaen"/>
          <w:sz w:val="24"/>
          <w:szCs w:val="24"/>
        </w:rPr>
        <w:t>և</w:t>
      </w:r>
      <w:r w:rsidRPr="003B2786">
        <w:rPr>
          <w:rFonts w:ascii="Sylfaen" w:hAnsi="Sylfaen"/>
          <w:sz w:val="24"/>
          <w:szCs w:val="24"/>
        </w:rPr>
        <w:t xml:space="preserve"> մակնշումը</w:t>
      </w:r>
    </w:p>
    <w:tbl>
      <w:tblPr>
        <w:tblOverlap w:val="never"/>
        <w:tblW w:w="9271" w:type="dxa"/>
        <w:jc w:val="center"/>
        <w:tblLayout w:type="fixed"/>
        <w:tblCellMar>
          <w:left w:w="10" w:type="dxa"/>
          <w:right w:w="10" w:type="dxa"/>
        </w:tblCellMar>
        <w:tblLook w:val="04A0" w:firstRow="1" w:lastRow="0" w:firstColumn="1" w:lastColumn="0" w:noHBand="0" w:noVBand="1"/>
      </w:tblPr>
      <w:tblGrid>
        <w:gridCol w:w="9271"/>
      </w:tblGrid>
      <w:tr w:rsidR="008C76E0" w:rsidRPr="003B2786" w14:paraId="15DF3255" w14:textId="77777777" w:rsidTr="008C76E0">
        <w:trPr>
          <w:trHeight w:val="1507"/>
          <w:jc w:val="center"/>
        </w:trPr>
        <w:tc>
          <w:tcPr>
            <w:tcW w:w="9271" w:type="dxa"/>
            <w:tcBorders>
              <w:top w:val="single" w:sz="4" w:space="0" w:color="auto"/>
              <w:left w:val="single" w:sz="4" w:space="0" w:color="auto"/>
              <w:right w:val="single" w:sz="4" w:space="0" w:color="auto"/>
            </w:tcBorders>
            <w:shd w:val="clear" w:color="auto" w:fill="FFFFFF"/>
            <w:vAlign w:val="bottom"/>
          </w:tcPr>
          <w:p w14:paraId="412DD207"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 xml:space="preserve">Մանրամասնեցված առարկություններ՝ հիմնավորումներով </w:t>
            </w:r>
            <w:r w:rsidR="00C54D75">
              <w:rPr>
                <w:rStyle w:val="Bodytext295pt"/>
                <w:rFonts w:ascii="Sylfaen" w:hAnsi="Sylfaen"/>
                <w:sz w:val="24"/>
                <w:szCs w:val="24"/>
              </w:rPr>
              <w:t>և</w:t>
            </w:r>
            <w:r w:rsidRPr="003B2786">
              <w:rPr>
                <w:rStyle w:val="Bodytext295pt"/>
                <w:rFonts w:ascii="Sylfaen" w:hAnsi="Sylfaen"/>
                <w:sz w:val="24"/>
                <w:szCs w:val="24"/>
              </w:rPr>
              <w:t xml:space="preserve"> գրանցման դոսյեի էջերին, նորմատիվ փաստաթղթերին, գիտական ձեռնարկներին, հրապարակումներին, ձ</w:t>
            </w:r>
            <w:r w:rsidR="00C54D75">
              <w:rPr>
                <w:rStyle w:val="Bodytext295pt"/>
                <w:rFonts w:ascii="Sylfaen" w:hAnsi="Sylfaen"/>
                <w:sz w:val="24"/>
                <w:szCs w:val="24"/>
              </w:rPr>
              <w:t>և</w:t>
            </w:r>
            <w:r w:rsidRPr="003B2786">
              <w:rPr>
                <w:rStyle w:val="Bodytext295pt"/>
                <w:rFonts w:ascii="Sylfaen" w:hAnsi="Sylfaen"/>
                <w:sz w:val="24"/>
                <w:szCs w:val="24"/>
              </w:rPr>
              <w:t>ին կցվող փորձագիտական եզրակացություններին արված խաչաձ</w:t>
            </w:r>
            <w:r w:rsidR="00C54D75">
              <w:rPr>
                <w:rStyle w:val="Bodytext295pt"/>
                <w:rFonts w:ascii="Sylfaen" w:hAnsi="Sylfaen"/>
                <w:sz w:val="24"/>
                <w:szCs w:val="24"/>
              </w:rPr>
              <w:t>և</w:t>
            </w:r>
            <w:r w:rsidRPr="003B2786">
              <w:rPr>
                <w:rStyle w:val="Bodytext295pt"/>
                <w:rFonts w:ascii="Sylfaen" w:hAnsi="Sylfaen"/>
                <w:sz w:val="24"/>
                <w:szCs w:val="24"/>
              </w:rPr>
              <w:t xml:space="preserve"> հղումներով</w:t>
            </w:r>
          </w:p>
        </w:tc>
      </w:tr>
      <w:tr w:rsidR="008C76E0" w:rsidRPr="003B2786" w14:paraId="7F0EA4F9" w14:textId="77777777" w:rsidTr="008C76E0">
        <w:trPr>
          <w:trHeight w:val="542"/>
          <w:jc w:val="center"/>
        </w:trPr>
        <w:tc>
          <w:tcPr>
            <w:tcW w:w="9271" w:type="dxa"/>
            <w:tcBorders>
              <w:top w:val="single" w:sz="4" w:space="0" w:color="auto"/>
            </w:tcBorders>
            <w:shd w:val="clear" w:color="auto" w:fill="FFFFFF"/>
            <w:vAlign w:val="center"/>
          </w:tcPr>
          <w:p w14:paraId="2E9AADEA" w14:textId="77777777" w:rsidR="008C76E0" w:rsidRPr="003B2786" w:rsidRDefault="008C76E0" w:rsidP="00590510">
            <w:pPr>
              <w:pStyle w:val="Bodytext180"/>
              <w:shd w:val="clear" w:color="auto" w:fill="auto"/>
              <w:tabs>
                <w:tab w:val="left" w:pos="1084"/>
              </w:tabs>
              <w:spacing w:before="0" w:after="160" w:line="360" w:lineRule="auto"/>
              <w:ind w:firstLine="567"/>
              <w:jc w:val="both"/>
              <w:rPr>
                <w:rFonts w:ascii="Sylfaen" w:hAnsi="Sylfaen"/>
                <w:b w:val="0"/>
                <w:sz w:val="24"/>
                <w:szCs w:val="24"/>
              </w:rPr>
            </w:pPr>
            <w:r w:rsidRPr="003B2786">
              <w:rPr>
                <w:rStyle w:val="Bodytext295pt"/>
                <w:rFonts w:ascii="Sylfaen" w:hAnsi="Sylfaen"/>
                <w:sz w:val="24"/>
                <w:szCs w:val="24"/>
              </w:rPr>
              <w:t>2.2.</w:t>
            </w:r>
            <w:r w:rsidRPr="003B2786">
              <w:rPr>
                <w:rStyle w:val="Bodytext295pt"/>
                <w:rFonts w:ascii="Sylfaen" w:hAnsi="Sylfaen"/>
                <w:sz w:val="24"/>
                <w:szCs w:val="24"/>
              </w:rPr>
              <w:tab/>
              <w:t>Մոդուլ 3. «Որակը»</w:t>
            </w:r>
          </w:p>
        </w:tc>
      </w:tr>
      <w:tr w:rsidR="008C76E0" w:rsidRPr="003B2786" w14:paraId="61981C73" w14:textId="77777777" w:rsidTr="008C76E0">
        <w:trPr>
          <w:trHeight w:val="1423"/>
          <w:jc w:val="center"/>
        </w:trPr>
        <w:tc>
          <w:tcPr>
            <w:tcW w:w="9271" w:type="dxa"/>
            <w:tcBorders>
              <w:top w:val="single" w:sz="4" w:space="0" w:color="auto"/>
              <w:left w:val="single" w:sz="4" w:space="0" w:color="auto"/>
              <w:right w:val="single" w:sz="4" w:space="0" w:color="auto"/>
            </w:tcBorders>
            <w:shd w:val="clear" w:color="auto" w:fill="FFFFFF"/>
            <w:vAlign w:val="bottom"/>
          </w:tcPr>
          <w:p w14:paraId="6FDBE2C9"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 xml:space="preserve">Մանրամասնեցված առարկություններ՝ հիմնավորումներով </w:t>
            </w:r>
            <w:r w:rsidR="00C54D75">
              <w:rPr>
                <w:rStyle w:val="Bodytext295pt"/>
                <w:rFonts w:ascii="Sylfaen" w:hAnsi="Sylfaen"/>
                <w:sz w:val="24"/>
                <w:szCs w:val="24"/>
              </w:rPr>
              <w:t>և</w:t>
            </w:r>
            <w:r w:rsidRPr="003B2786">
              <w:rPr>
                <w:rStyle w:val="Bodytext295pt"/>
                <w:rFonts w:ascii="Sylfaen" w:hAnsi="Sylfaen"/>
                <w:sz w:val="24"/>
                <w:szCs w:val="24"/>
              </w:rPr>
              <w:t xml:space="preserve"> գրանցման դոսյեի էջերին, նորմատիվ փաստաթղթերին, գիտական ձեռնարկներին, հրապարակումներին, ձ</w:t>
            </w:r>
            <w:r w:rsidR="00C54D75">
              <w:rPr>
                <w:rStyle w:val="Bodytext295pt"/>
                <w:rFonts w:ascii="Sylfaen" w:hAnsi="Sylfaen"/>
                <w:sz w:val="24"/>
                <w:szCs w:val="24"/>
              </w:rPr>
              <w:t>և</w:t>
            </w:r>
            <w:r w:rsidRPr="003B2786">
              <w:rPr>
                <w:rStyle w:val="Bodytext295pt"/>
                <w:rFonts w:ascii="Sylfaen" w:hAnsi="Sylfaen"/>
                <w:sz w:val="24"/>
                <w:szCs w:val="24"/>
              </w:rPr>
              <w:t>ին կցվող փորձագիտական եզրակացություններին արված խաչաձ</w:t>
            </w:r>
            <w:r w:rsidR="00C54D75">
              <w:rPr>
                <w:rStyle w:val="Bodytext295pt"/>
                <w:rFonts w:ascii="Sylfaen" w:hAnsi="Sylfaen"/>
                <w:sz w:val="24"/>
                <w:szCs w:val="24"/>
              </w:rPr>
              <w:t>և</w:t>
            </w:r>
            <w:r w:rsidRPr="003B2786">
              <w:rPr>
                <w:rStyle w:val="Bodytext295pt"/>
                <w:rFonts w:ascii="Sylfaen" w:hAnsi="Sylfaen"/>
                <w:sz w:val="24"/>
                <w:szCs w:val="24"/>
              </w:rPr>
              <w:t xml:space="preserve"> հղումներով</w:t>
            </w:r>
          </w:p>
        </w:tc>
      </w:tr>
      <w:tr w:rsidR="008C76E0" w:rsidRPr="003B2786" w14:paraId="3D83997C" w14:textId="77777777" w:rsidTr="008C76E0">
        <w:trPr>
          <w:jc w:val="center"/>
        </w:trPr>
        <w:tc>
          <w:tcPr>
            <w:tcW w:w="9271" w:type="dxa"/>
            <w:tcBorders>
              <w:top w:val="single" w:sz="4" w:space="0" w:color="auto"/>
            </w:tcBorders>
            <w:shd w:val="clear" w:color="auto" w:fill="FFFFFF"/>
            <w:vAlign w:val="center"/>
          </w:tcPr>
          <w:p w14:paraId="2388431E" w14:textId="77777777" w:rsidR="008C76E0" w:rsidRPr="003B2786"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i/>
                <w:sz w:val="24"/>
                <w:szCs w:val="24"/>
              </w:rPr>
            </w:pPr>
            <w:r w:rsidRPr="003B2786">
              <w:rPr>
                <w:rStyle w:val="Bodytext295pt"/>
                <w:rFonts w:ascii="Sylfaen" w:hAnsi="Sylfaen"/>
                <w:sz w:val="24"/>
                <w:szCs w:val="24"/>
              </w:rPr>
              <w:t>2.3.</w:t>
            </w:r>
            <w:r w:rsidRPr="003B2786">
              <w:rPr>
                <w:rStyle w:val="Bodytext295pt"/>
                <w:rFonts w:ascii="Sylfaen" w:hAnsi="Sylfaen"/>
                <w:sz w:val="24"/>
                <w:szCs w:val="24"/>
              </w:rPr>
              <w:tab/>
              <w:t>Մոդուլ 4. «Նախակլինիկական հետազոտությունները»</w:t>
            </w:r>
          </w:p>
        </w:tc>
      </w:tr>
      <w:tr w:rsidR="008C76E0" w:rsidRPr="003B2786" w14:paraId="3A4A37BE" w14:textId="77777777" w:rsidTr="008C76E0">
        <w:trPr>
          <w:trHeight w:val="1423"/>
          <w:jc w:val="center"/>
        </w:trPr>
        <w:tc>
          <w:tcPr>
            <w:tcW w:w="9271" w:type="dxa"/>
            <w:tcBorders>
              <w:top w:val="single" w:sz="4" w:space="0" w:color="auto"/>
              <w:left w:val="single" w:sz="4" w:space="0" w:color="auto"/>
              <w:right w:val="single" w:sz="4" w:space="0" w:color="auto"/>
            </w:tcBorders>
            <w:shd w:val="clear" w:color="auto" w:fill="FFFFFF"/>
            <w:vAlign w:val="bottom"/>
          </w:tcPr>
          <w:p w14:paraId="7CA3FDBD"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 xml:space="preserve">Մանրամասնեցված առարկություններ՝ հիմնավորումներով </w:t>
            </w:r>
            <w:r w:rsidR="00C54D75">
              <w:rPr>
                <w:rStyle w:val="Bodytext295pt"/>
                <w:rFonts w:ascii="Sylfaen" w:hAnsi="Sylfaen"/>
                <w:sz w:val="24"/>
                <w:szCs w:val="24"/>
              </w:rPr>
              <w:t>և</w:t>
            </w:r>
            <w:r w:rsidRPr="003B2786">
              <w:rPr>
                <w:rStyle w:val="Bodytext295pt"/>
                <w:rFonts w:ascii="Sylfaen" w:hAnsi="Sylfaen"/>
                <w:sz w:val="24"/>
                <w:szCs w:val="24"/>
              </w:rPr>
              <w:t xml:space="preserve"> գրանցման դոսյեի էջերին, նորմատիվ փաստաթղթերին, գիտական ձեռնարկներին, հրապարակումներին, ձ</w:t>
            </w:r>
            <w:r w:rsidR="00C54D75">
              <w:rPr>
                <w:rStyle w:val="Bodytext295pt"/>
                <w:rFonts w:ascii="Sylfaen" w:hAnsi="Sylfaen"/>
                <w:sz w:val="24"/>
                <w:szCs w:val="24"/>
              </w:rPr>
              <w:t>և</w:t>
            </w:r>
            <w:r w:rsidRPr="003B2786">
              <w:rPr>
                <w:rStyle w:val="Bodytext295pt"/>
                <w:rFonts w:ascii="Sylfaen" w:hAnsi="Sylfaen"/>
                <w:sz w:val="24"/>
                <w:szCs w:val="24"/>
              </w:rPr>
              <w:t>ին կցվող փորձագիտական եզրակացություններին արված խաչաձ</w:t>
            </w:r>
            <w:r w:rsidR="00C54D75">
              <w:rPr>
                <w:rStyle w:val="Bodytext295pt"/>
                <w:rFonts w:ascii="Sylfaen" w:hAnsi="Sylfaen"/>
                <w:sz w:val="24"/>
                <w:szCs w:val="24"/>
              </w:rPr>
              <w:t>և</w:t>
            </w:r>
            <w:r w:rsidRPr="003B2786">
              <w:rPr>
                <w:rStyle w:val="Bodytext295pt"/>
                <w:rFonts w:ascii="Sylfaen" w:hAnsi="Sylfaen"/>
                <w:sz w:val="24"/>
                <w:szCs w:val="24"/>
              </w:rPr>
              <w:t xml:space="preserve"> հղումներով</w:t>
            </w:r>
          </w:p>
        </w:tc>
      </w:tr>
    </w:tbl>
    <w:p w14:paraId="4C494612" w14:textId="77777777" w:rsidR="00513389" w:rsidRDefault="00513389">
      <w:pPr>
        <w:sectPr w:rsidR="00513389" w:rsidSect="003F7A44">
          <w:pgSz w:w="11906" w:h="16838" w:code="9"/>
          <w:pgMar w:top="1418" w:right="1418" w:bottom="1418" w:left="1418" w:header="709" w:footer="709" w:gutter="0"/>
          <w:pgNumType w:start="1"/>
          <w:cols w:space="708"/>
          <w:titlePg/>
          <w:docGrid w:linePitch="360"/>
        </w:sectPr>
      </w:pPr>
    </w:p>
    <w:tbl>
      <w:tblPr>
        <w:tblOverlap w:val="never"/>
        <w:tblW w:w="9271" w:type="dxa"/>
        <w:jc w:val="center"/>
        <w:tblLayout w:type="fixed"/>
        <w:tblCellMar>
          <w:left w:w="10" w:type="dxa"/>
          <w:right w:w="10" w:type="dxa"/>
        </w:tblCellMar>
        <w:tblLook w:val="04A0" w:firstRow="1" w:lastRow="0" w:firstColumn="1" w:lastColumn="0" w:noHBand="0" w:noVBand="1"/>
      </w:tblPr>
      <w:tblGrid>
        <w:gridCol w:w="9271"/>
      </w:tblGrid>
      <w:tr w:rsidR="008C76E0" w:rsidRPr="003B2786" w14:paraId="7626D3C3" w14:textId="77777777" w:rsidTr="008C76E0">
        <w:trPr>
          <w:jc w:val="center"/>
        </w:trPr>
        <w:tc>
          <w:tcPr>
            <w:tcW w:w="9271" w:type="dxa"/>
            <w:tcBorders>
              <w:top w:val="single" w:sz="4" w:space="0" w:color="auto"/>
            </w:tcBorders>
            <w:shd w:val="clear" w:color="auto" w:fill="FFFFFF"/>
            <w:vAlign w:val="bottom"/>
          </w:tcPr>
          <w:p w14:paraId="3211F668" w14:textId="77777777" w:rsidR="008C76E0" w:rsidRPr="003B2786"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i/>
                <w:sz w:val="24"/>
                <w:szCs w:val="24"/>
              </w:rPr>
            </w:pPr>
            <w:r w:rsidRPr="003B2786">
              <w:rPr>
                <w:rStyle w:val="Bodytext295pt"/>
                <w:rFonts w:ascii="Sylfaen" w:hAnsi="Sylfaen"/>
                <w:sz w:val="24"/>
                <w:szCs w:val="24"/>
              </w:rPr>
              <w:lastRenderedPageBreak/>
              <w:t>2.4.</w:t>
            </w:r>
            <w:r w:rsidRPr="003B2786">
              <w:rPr>
                <w:rStyle w:val="Bodytext295pt"/>
                <w:rFonts w:ascii="Sylfaen" w:hAnsi="Sylfaen"/>
                <w:sz w:val="24"/>
                <w:szCs w:val="24"/>
              </w:rPr>
              <w:tab/>
              <w:t>Մոդուլ 5. «Կլինիկական հետազոտությունները»</w:t>
            </w:r>
          </w:p>
        </w:tc>
      </w:tr>
      <w:tr w:rsidR="008C76E0" w:rsidRPr="003B2786" w14:paraId="17494CC0" w14:textId="77777777" w:rsidTr="008C76E0">
        <w:trPr>
          <w:trHeight w:val="1521"/>
          <w:jc w:val="center"/>
        </w:trPr>
        <w:tc>
          <w:tcPr>
            <w:tcW w:w="9271" w:type="dxa"/>
            <w:tcBorders>
              <w:top w:val="single" w:sz="4" w:space="0" w:color="auto"/>
              <w:left w:val="single" w:sz="4" w:space="0" w:color="auto"/>
              <w:right w:val="single" w:sz="4" w:space="0" w:color="auto"/>
            </w:tcBorders>
            <w:shd w:val="clear" w:color="auto" w:fill="FFFFFF"/>
          </w:tcPr>
          <w:p w14:paraId="4A96D3D4" w14:textId="77777777" w:rsidR="008C76E0" w:rsidRPr="008C76E0" w:rsidRDefault="008C76E0" w:rsidP="00590510">
            <w:pPr>
              <w:pStyle w:val="Bodytext180"/>
              <w:tabs>
                <w:tab w:val="left" w:pos="1084"/>
              </w:tabs>
              <w:spacing w:before="0" w:after="160" w:line="360" w:lineRule="auto"/>
              <w:ind w:firstLine="567"/>
              <w:rPr>
                <w:rFonts w:ascii="Sylfaen" w:hAnsi="Sylfaen"/>
                <w:b w:val="0"/>
                <w:sz w:val="24"/>
                <w:szCs w:val="24"/>
                <w:lang w:val="hy-AM"/>
              </w:rPr>
            </w:pPr>
            <w:r w:rsidRPr="003B2786">
              <w:rPr>
                <w:rStyle w:val="Bodytext295pt"/>
                <w:rFonts w:ascii="Sylfaen" w:hAnsi="Sylfaen"/>
                <w:sz w:val="24"/>
                <w:szCs w:val="24"/>
              </w:rPr>
              <w:t xml:space="preserve">Մանրամասնեցված առարկություններ՝ հիմնավորումներով </w:t>
            </w:r>
            <w:r w:rsidR="00C54D75">
              <w:rPr>
                <w:rStyle w:val="Bodytext295pt"/>
                <w:rFonts w:ascii="Sylfaen" w:hAnsi="Sylfaen"/>
                <w:sz w:val="24"/>
                <w:szCs w:val="24"/>
              </w:rPr>
              <w:t>և</w:t>
            </w:r>
            <w:r w:rsidRPr="003B2786">
              <w:rPr>
                <w:rStyle w:val="Bodytext295pt"/>
                <w:rFonts w:ascii="Sylfaen" w:hAnsi="Sylfaen"/>
                <w:sz w:val="24"/>
                <w:szCs w:val="24"/>
              </w:rPr>
              <w:t xml:space="preserve"> գրանցման դոսյեի էջերին, նորմատիվ փաստաթղթերին, գիտական ձեռնարկներին, հրապարակումներին, ձ</w:t>
            </w:r>
            <w:r w:rsidR="00C54D75">
              <w:rPr>
                <w:rStyle w:val="Bodytext295pt"/>
                <w:rFonts w:ascii="Sylfaen" w:hAnsi="Sylfaen"/>
                <w:sz w:val="24"/>
                <w:szCs w:val="24"/>
              </w:rPr>
              <w:t>և</w:t>
            </w:r>
            <w:r w:rsidRPr="003B2786">
              <w:rPr>
                <w:rStyle w:val="Bodytext295pt"/>
                <w:rFonts w:ascii="Sylfaen" w:hAnsi="Sylfaen"/>
                <w:sz w:val="24"/>
                <w:szCs w:val="24"/>
              </w:rPr>
              <w:t>ին կցվող փորձագիտական եզրակացություններին արված խաչաձ</w:t>
            </w:r>
            <w:r w:rsidR="00C54D75">
              <w:rPr>
                <w:rStyle w:val="Bodytext295pt"/>
                <w:rFonts w:ascii="Sylfaen" w:hAnsi="Sylfaen"/>
                <w:sz w:val="24"/>
                <w:szCs w:val="24"/>
              </w:rPr>
              <w:t>և</w:t>
            </w:r>
            <w:r w:rsidRPr="003B2786">
              <w:rPr>
                <w:rStyle w:val="Bodytext295pt"/>
                <w:rFonts w:ascii="Sylfaen" w:hAnsi="Sylfaen"/>
                <w:sz w:val="24"/>
                <w:szCs w:val="24"/>
              </w:rPr>
              <w:t xml:space="preserve"> հղումներով</w:t>
            </w:r>
          </w:p>
        </w:tc>
      </w:tr>
      <w:tr w:rsidR="008C76E0" w:rsidRPr="003B2786" w14:paraId="3DA222C4" w14:textId="77777777" w:rsidTr="008C76E0">
        <w:trPr>
          <w:jc w:val="center"/>
        </w:trPr>
        <w:tc>
          <w:tcPr>
            <w:tcW w:w="9271" w:type="dxa"/>
            <w:tcBorders>
              <w:top w:val="single" w:sz="4" w:space="0" w:color="auto"/>
            </w:tcBorders>
            <w:shd w:val="clear" w:color="auto" w:fill="FFFFFF"/>
            <w:vAlign w:val="center"/>
          </w:tcPr>
          <w:p w14:paraId="72122854" w14:textId="77777777" w:rsidR="008C76E0" w:rsidRPr="003B2786" w:rsidRDefault="008C76E0" w:rsidP="00590510">
            <w:pPr>
              <w:pStyle w:val="Bodytext180"/>
              <w:shd w:val="clear" w:color="auto" w:fill="auto"/>
              <w:tabs>
                <w:tab w:val="left" w:pos="1084"/>
              </w:tabs>
              <w:spacing w:before="0" w:after="160" w:line="360" w:lineRule="auto"/>
              <w:ind w:firstLine="567"/>
              <w:jc w:val="center"/>
              <w:rPr>
                <w:rFonts w:ascii="Sylfaen" w:hAnsi="Sylfaen"/>
                <w:b w:val="0"/>
                <w:i/>
                <w:sz w:val="24"/>
                <w:szCs w:val="24"/>
              </w:rPr>
            </w:pPr>
            <w:r>
              <w:rPr>
                <w:rStyle w:val="Bodytext295pt"/>
                <w:rFonts w:ascii="Sylfaen" w:hAnsi="Sylfaen"/>
                <w:sz w:val="24"/>
                <w:szCs w:val="24"/>
              </w:rPr>
              <w:t>3.</w:t>
            </w:r>
            <w:r w:rsidRPr="003B2786">
              <w:rPr>
                <w:rStyle w:val="Bodytext295pt"/>
                <w:rFonts w:ascii="Sylfaen" w:hAnsi="Sylfaen"/>
                <w:sz w:val="24"/>
                <w:szCs w:val="24"/>
              </w:rPr>
              <w:t>Պատասխանի համար դիտողությունները</w:t>
            </w:r>
          </w:p>
        </w:tc>
      </w:tr>
      <w:tr w:rsidR="008C76E0" w:rsidRPr="003B2786" w14:paraId="30F1B94F" w14:textId="77777777" w:rsidTr="008C76E0">
        <w:trPr>
          <w:jc w:val="center"/>
        </w:trPr>
        <w:tc>
          <w:tcPr>
            <w:tcW w:w="9271" w:type="dxa"/>
            <w:shd w:val="clear" w:color="auto" w:fill="FFFFFF"/>
            <w:vAlign w:val="center"/>
          </w:tcPr>
          <w:p w14:paraId="101C839C" w14:textId="77777777" w:rsidR="008C76E0" w:rsidRPr="00E15E7D" w:rsidRDefault="008C76E0" w:rsidP="00513389">
            <w:pPr>
              <w:pStyle w:val="Bodytext180"/>
              <w:shd w:val="clear" w:color="auto" w:fill="auto"/>
              <w:tabs>
                <w:tab w:val="left" w:pos="1084"/>
              </w:tabs>
              <w:spacing w:before="0" w:after="160" w:line="360" w:lineRule="auto"/>
              <w:ind w:firstLine="567"/>
              <w:jc w:val="both"/>
              <w:rPr>
                <w:rFonts w:ascii="Sylfaen" w:hAnsi="Sylfaen"/>
                <w:b w:val="0"/>
                <w:i/>
                <w:sz w:val="24"/>
                <w:szCs w:val="24"/>
                <w:lang w:val="hy-AM"/>
              </w:rPr>
            </w:pPr>
            <w:r w:rsidRPr="003B2786">
              <w:rPr>
                <w:rStyle w:val="Bodytext295pt"/>
                <w:rFonts w:ascii="Sylfaen" w:hAnsi="Sylfaen"/>
                <w:sz w:val="24"/>
                <w:szCs w:val="24"/>
              </w:rPr>
              <w:t>3.1.</w:t>
            </w:r>
            <w:r w:rsidRPr="003B2786">
              <w:rPr>
                <w:rStyle w:val="Bodytext295pt"/>
                <w:rFonts w:ascii="Sylfaen" w:hAnsi="Sylfaen"/>
                <w:sz w:val="24"/>
                <w:szCs w:val="24"/>
              </w:rPr>
              <w:tab/>
              <w:t xml:space="preserve">Մոդուլ 1. «Հայտին, դեղապատրաստուկի ընդհանուր բնութագրին, բժշկական կիրառման հրահանգին (ներդիր թերթիկին) </w:t>
            </w:r>
            <w:r w:rsidR="00C54D75">
              <w:rPr>
                <w:rStyle w:val="Bodytext295pt"/>
                <w:rFonts w:ascii="Sylfaen" w:hAnsi="Sylfaen"/>
                <w:sz w:val="24"/>
                <w:szCs w:val="24"/>
              </w:rPr>
              <w:t>և</w:t>
            </w:r>
            <w:r w:rsidRPr="003B2786">
              <w:rPr>
                <w:rStyle w:val="Bodytext295pt"/>
                <w:rFonts w:ascii="Sylfaen" w:hAnsi="Sylfaen"/>
                <w:sz w:val="24"/>
                <w:szCs w:val="24"/>
              </w:rPr>
              <w:t xml:space="preserve"> մակնշմանը (ներառյալ պատրաստուկի անվանումը) առնչվող դիտողությունները»</w:t>
            </w:r>
            <w:r w:rsidR="00513389">
              <w:rPr>
                <w:rStyle w:val="FootnoteReference"/>
                <w:rFonts w:ascii="Sylfaen" w:hAnsi="Sylfaen"/>
                <w:b w:val="0"/>
                <w:bCs w:val="0"/>
                <w:color w:val="000000"/>
                <w:spacing w:val="-10"/>
                <w:sz w:val="24"/>
                <w:szCs w:val="24"/>
                <w:lang w:val="hy-AM" w:eastAsia="hy-AM" w:bidi="hy-AM"/>
              </w:rPr>
              <w:footnoteReference w:id="42"/>
            </w:r>
          </w:p>
        </w:tc>
      </w:tr>
      <w:tr w:rsidR="008C76E0" w:rsidRPr="003B2786" w14:paraId="0845290C" w14:textId="77777777" w:rsidTr="008C76E0">
        <w:trPr>
          <w:trHeight w:val="1240"/>
          <w:jc w:val="center"/>
        </w:trPr>
        <w:tc>
          <w:tcPr>
            <w:tcW w:w="9271" w:type="dxa"/>
            <w:tcBorders>
              <w:top w:val="single" w:sz="4" w:space="0" w:color="auto"/>
              <w:left w:val="single" w:sz="4" w:space="0" w:color="auto"/>
              <w:right w:val="single" w:sz="4" w:space="0" w:color="auto"/>
            </w:tcBorders>
            <w:shd w:val="clear" w:color="auto" w:fill="FFFFFF"/>
            <w:vAlign w:val="bottom"/>
          </w:tcPr>
          <w:p w14:paraId="445EEA09"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Ներկայացնել պատասխանի համար դիտողությունների ցանկը՝ բաժանելով դրանք հետ</w:t>
            </w:r>
            <w:r w:rsidR="00C54D75">
              <w:rPr>
                <w:rStyle w:val="Bodytext295pt"/>
                <w:rFonts w:ascii="Sylfaen" w:hAnsi="Sylfaen"/>
                <w:sz w:val="24"/>
                <w:szCs w:val="24"/>
              </w:rPr>
              <w:t>և</w:t>
            </w:r>
            <w:r w:rsidRPr="003B2786">
              <w:rPr>
                <w:rStyle w:val="Bodytext295pt"/>
                <w:rFonts w:ascii="Sylfaen" w:hAnsi="Sylfaen"/>
                <w:sz w:val="24"/>
                <w:szCs w:val="24"/>
              </w:rPr>
              <w:t xml:space="preserve">յալ խմբերի. քննադատական դիտողություններ </w:t>
            </w:r>
            <w:r w:rsidR="00C54D75">
              <w:rPr>
                <w:rStyle w:val="Bodytext295pt"/>
                <w:rFonts w:ascii="Sylfaen" w:hAnsi="Sylfaen"/>
                <w:sz w:val="24"/>
                <w:szCs w:val="24"/>
              </w:rPr>
              <w:t>և</w:t>
            </w:r>
            <w:r w:rsidRPr="003B2786">
              <w:rPr>
                <w:rStyle w:val="Bodytext295pt"/>
                <w:rFonts w:ascii="Sylfaen" w:hAnsi="Sylfaen"/>
                <w:sz w:val="24"/>
                <w:szCs w:val="24"/>
              </w:rPr>
              <w:t xml:space="preserve"> այլ դիտողություններ:</w:t>
            </w:r>
          </w:p>
        </w:tc>
      </w:tr>
      <w:tr w:rsidR="008C76E0" w:rsidRPr="003B2786" w14:paraId="3DFC5376" w14:textId="77777777" w:rsidTr="008C76E0">
        <w:trPr>
          <w:jc w:val="center"/>
        </w:trPr>
        <w:tc>
          <w:tcPr>
            <w:tcW w:w="9271" w:type="dxa"/>
            <w:tcBorders>
              <w:top w:val="single" w:sz="4" w:space="0" w:color="auto"/>
            </w:tcBorders>
            <w:shd w:val="clear" w:color="auto" w:fill="FFFFFF"/>
            <w:vAlign w:val="center"/>
          </w:tcPr>
          <w:p w14:paraId="604479AA" w14:textId="77777777" w:rsidR="008C76E0" w:rsidRPr="003B2786" w:rsidRDefault="008C76E0" w:rsidP="00590510">
            <w:pPr>
              <w:pStyle w:val="Bodytext180"/>
              <w:shd w:val="clear" w:color="auto" w:fill="auto"/>
              <w:tabs>
                <w:tab w:val="left" w:pos="1084"/>
              </w:tabs>
              <w:spacing w:before="0" w:after="160" w:line="360" w:lineRule="auto"/>
              <w:ind w:firstLine="567"/>
              <w:jc w:val="both"/>
              <w:rPr>
                <w:rFonts w:ascii="Sylfaen" w:hAnsi="Sylfaen"/>
                <w:b w:val="0"/>
                <w:i/>
                <w:sz w:val="24"/>
                <w:szCs w:val="24"/>
              </w:rPr>
            </w:pPr>
            <w:r w:rsidRPr="003B2786">
              <w:rPr>
                <w:rStyle w:val="Bodytext295pt"/>
                <w:rFonts w:ascii="Sylfaen" w:hAnsi="Sylfaen"/>
                <w:sz w:val="24"/>
                <w:szCs w:val="24"/>
              </w:rPr>
              <w:t>3.2.</w:t>
            </w:r>
            <w:r w:rsidRPr="003B2786">
              <w:rPr>
                <w:rStyle w:val="Bodytext295pt"/>
                <w:rFonts w:ascii="Sylfaen" w:hAnsi="Sylfaen"/>
                <w:sz w:val="24"/>
                <w:szCs w:val="24"/>
              </w:rPr>
              <w:tab/>
              <w:t>Մոդուլ 3. «Որակը»</w:t>
            </w:r>
          </w:p>
        </w:tc>
      </w:tr>
      <w:tr w:rsidR="008C76E0" w:rsidRPr="003B2786" w14:paraId="5F8B7C26" w14:textId="77777777" w:rsidTr="008C76E0">
        <w:trPr>
          <w:trHeight w:val="1195"/>
          <w:jc w:val="center"/>
        </w:trPr>
        <w:tc>
          <w:tcPr>
            <w:tcW w:w="9271" w:type="dxa"/>
            <w:tcBorders>
              <w:top w:val="single" w:sz="4" w:space="0" w:color="auto"/>
              <w:left w:val="single" w:sz="4" w:space="0" w:color="auto"/>
              <w:right w:val="single" w:sz="4" w:space="0" w:color="auto"/>
            </w:tcBorders>
            <w:shd w:val="clear" w:color="auto" w:fill="FFFFFF"/>
            <w:vAlign w:val="bottom"/>
          </w:tcPr>
          <w:p w14:paraId="141AB481"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Ներկայացնել պատասխանի համար դիտողությունների ցանկը՝ բաժանելով դրանք հետ</w:t>
            </w:r>
            <w:r w:rsidR="00C54D75">
              <w:rPr>
                <w:rStyle w:val="Bodytext295pt"/>
                <w:rFonts w:ascii="Sylfaen" w:hAnsi="Sylfaen"/>
                <w:sz w:val="24"/>
                <w:szCs w:val="24"/>
              </w:rPr>
              <w:t>և</w:t>
            </w:r>
            <w:r w:rsidRPr="003B2786">
              <w:rPr>
                <w:rStyle w:val="Bodytext295pt"/>
                <w:rFonts w:ascii="Sylfaen" w:hAnsi="Sylfaen"/>
                <w:sz w:val="24"/>
                <w:szCs w:val="24"/>
              </w:rPr>
              <w:t xml:space="preserve">յալ խմբերի. քննադատական դիտողություններ </w:t>
            </w:r>
            <w:r w:rsidR="00C54D75">
              <w:rPr>
                <w:rStyle w:val="Bodytext295pt"/>
                <w:rFonts w:ascii="Sylfaen" w:hAnsi="Sylfaen"/>
                <w:sz w:val="24"/>
                <w:szCs w:val="24"/>
              </w:rPr>
              <w:t>և</w:t>
            </w:r>
            <w:r w:rsidRPr="003B2786">
              <w:rPr>
                <w:rStyle w:val="Bodytext295pt"/>
                <w:rFonts w:ascii="Sylfaen" w:hAnsi="Sylfaen"/>
                <w:sz w:val="24"/>
                <w:szCs w:val="24"/>
              </w:rPr>
              <w:t xml:space="preserve"> այլ դիտողություններ:</w:t>
            </w:r>
          </w:p>
        </w:tc>
      </w:tr>
      <w:tr w:rsidR="008C76E0" w:rsidRPr="003B2786" w14:paraId="353B1F1D" w14:textId="77777777" w:rsidTr="008C76E0">
        <w:trPr>
          <w:jc w:val="center"/>
        </w:trPr>
        <w:tc>
          <w:tcPr>
            <w:tcW w:w="9271" w:type="dxa"/>
            <w:tcBorders>
              <w:top w:val="single" w:sz="4" w:space="0" w:color="auto"/>
            </w:tcBorders>
            <w:shd w:val="clear" w:color="auto" w:fill="FFFFFF"/>
            <w:vAlign w:val="bottom"/>
          </w:tcPr>
          <w:p w14:paraId="05269BFE" w14:textId="77777777" w:rsidR="008C76E0" w:rsidRPr="003B2786" w:rsidRDefault="008C76E0" w:rsidP="00590510">
            <w:pPr>
              <w:pStyle w:val="Bodytext180"/>
              <w:shd w:val="clear" w:color="auto" w:fill="auto"/>
              <w:tabs>
                <w:tab w:val="left" w:pos="1084"/>
              </w:tabs>
              <w:spacing w:before="0" w:after="160" w:line="360" w:lineRule="auto"/>
              <w:ind w:firstLine="567"/>
              <w:jc w:val="both"/>
              <w:rPr>
                <w:rFonts w:ascii="Sylfaen" w:hAnsi="Sylfaen"/>
                <w:b w:val="0"/>
                <w:sz w:val="24"/>
                <w:szCs w:val="24"/>
              </w:rPr>
            </w:pPr>
            <w:r w:rsidRPr="003B2786">
              <w:rPr>
                <w:rStyle w:val="Bodytext295pt"/>
                <w:rFonts w:ascii="Sylfaen" w:hAnsi="Sylfaen"/>
                <w:sz w:val="24"/>
                <w:szCs w:val="24"/>
              </w:rPr>
              <w:t>3.3.</w:t>
            </w:r>
            <w:r w:rsidRPr="003B2786">
              <w:rPr>
                <w:rStyle w:val="Bodytext295pt"/>
                <w:rFonts w:ascii="Sylfaen" w:hAnsi="Sylfaen"/>
                <w:sz w:val="24"/>
                <w:szCs w:val="24"/>
              </w:rPr>
              <w:tab/>
              <w:t>Մոդուլ 4. «Նախակլինիկական հետազոտությունները»</w:t>
            </w:r>
          </w:p>
        </w:tc>
      </w:tr>
      <w:tr w:rsidR="008C76E0" w:rsidRPr="003B2786" w14:paraId="0EB04596" w14:textId="77777777" w:rsidTr="008C76E0">
        <w:trPr>
          <w:trHeight w:val="1179"/>
          <w:jc w:val="center"/>
        </w:trPr>
        <w:tc>
          <w:tcPr>
            <w:tcW w:w="9271" w:type="dxa"/>
            <w:tcBorders>
              <w:top w:val="single" w:sz="4" w:space="0" w:color="auto"/>
              <w:left w:val="single" w:sz="4" w:space="0" w:color="auto"/>
              <w:right w:val="single" w:sz="4" w:space="0" w:color="auto"/>
            </w:tcBorders>
            <w:shd w:val="clear" w:color="auto" w:fill="FFFFFF"/>
            <w:vAlign w:val="bottom"/>
          </w:tcPr>
          <w:p w14:paraId="38256C15"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Ներկայացնել պատասխանի համար դիտողությունների ցանկը՝ բաժանելով դրանք հետ</w:t>
            </w:r>
            <w:r w:rsidR="00C54D75">
              <w:rPr>
                <w:rStyle w:val="Bodytext295pt"/>
                <w:rFonts w:ascii="Sylfaen" w:hAnsi="Sylfaen"/>
                <w:sz w:val="24"/>
                <w:szCs w:val="24"/>
              </w:rPr>
              <w:t>և</w:t>
            </w:r>
            <w:r w:rsidRPr="003B2786">
              <w:rPr>
                <w:rStyle w:val="Bodytext295pt"/>
                <w:rFonts w:ascii="Sylfaen" w:hAnsi="Sylfaen"/>
                <w:sz w:val="24"/>
                <w:szCs w:val="24"/>
              </w:rPr>
              <w:t xml:space="preserve">յալ խմբերի. քննադատական դիտողություններ </w:t>
            </w:r>
            <w:r w:rsidR="00C54D75">
              <w:rPr>
                <w:rStyle w:val="Bodytext295pt"/>
                <w:rFonts w:ascii="Sylfaen" w:hAnsi="Sylfaen"/>
                <w:sz w:val="24"/>
                <w:szCs w:val="24"/>
              </w:rPr>
              <w:t>և</w:t>
            </w:r>
            <w:r w:rsidRPr="003B2786">
              <w:rPr>
                <w:rStyle w:val="Bodytext295pt"/>
                <w:rFonts w:ascii="Sylfaen" w:hAnsi="Sylfaen"/>
                <w:sz w:val="24"/>
                <w:szCs w:val="24"/>
              </w:rPr>
              <w:t xml:space="preserve"> այլ դիտողություններ:</w:t>
            </w:r>
          </w:p>
        </w:tc>
      </w:tr>
      <w:tr w:rsidR="008C76E0" w:rsidRPr="003B2786" w14:paraId="57C4AD55" w14:textId="77777777" w:rsidTr="008C76E0">
        <w:trPr>
          <w:jc w:val="center"/>
        </w:trPr>
        <w:tc>
          <w:tcPr>
            <w:tcW w:w="9271" w:type="dxa"/>
            <w:tcBorders>
              <w:top w:val="single" w:sz="4" w:space="0" w:color="auto"/>
            </w:tcBorders>
            <w:shd w:val="clear" w:color="auto" w:fill="FFFFFF"/>
            <w:vAlign w:val="center"/>
          </w:tcPr>
          <w:p w14:paraId="1B6A4ACF" w14:textId="77777777" w:rsidR="008C76E0" w:rsidRPr="003B2786" w:rsidRDefault="008C76E0" w:rsidP="00590510">
            <w:pPr>
              <w:pStyle w:val="Bodytext180"/>
              <w:shd w:val="clear" w:color="auto" w:fill="auto"/>
              <w:tabs>
                <w:tab w:val="left" w:pos="1084"/>
              </w:tabs>
              <w:spacing w:before="0" w:after="160" w:line="360" w:lineRule="auto"/>
              <w:ind w:firstLine="567"/>
              <w:jc w:val="both"/>
              <w:rPr>
                <w:rFonts w:ascii="Sylfaen" w:hAnsi="Sylfaen"/>
                <w:b w:val="0"/>
                <w:i/>
                <w:sz w:val="24"/>
                <w:szCs w:val="24"/>
              </w:rPr>
            </w:pPr>
            <w:r w:rsidRPr="003B2786">
              <w:rPr>
                <w:rStyle w:val="Bodytext295pt"/>
                <w:rFonts w:ascii="Sylfaen" w:hAnsi="Sylfaen"/>
                <w:sz w:val="24"/>
                <w:szCs w:val="24"/>
              </w:rPr>
              <w:t>3.4.</w:t>
            </w:r>
            <w:r w:rsidRPr="003B2786">
              <w:rPr>
                <w:rStyle w:val="Bodytext295pt"/>
                <w:rFonts w:ascii="Sylfaen" w:hAnsi="Sylfaen"/>
                <w:sz w:val="24"/>
                <w:szCs w:val="24"/>
              </w:rPr>
              <w:tab/>
              <w:t>Մոդուլ 5. «Կլինիկական հետազոտությունները»</w:t>
            </w:r>
          </w:p>
        </w:tc>
      </w:tr>
      <w:tr w:rsidR="008C76E0" w:rsidRPr="003B2786" w14:paraId="6FF3B67A" w14:textId="77777777" w:rsidTr="008C76E0">
        <w:trPr>
          <w:trHeight w:val="1192"/>
          <w:jc w:val="center"/>
        </w:trPr>
        <w:tc>
          <w:tcPr>
            <w:tcW w:w="9271" w:type="dxa"/>
            <w:tcBorders>
              <w:top w:val="single" w:sz="4" w:space="0" w:color="auto"/>
              <w:left w:val="single" w:sz="4" w:space="0" w:color="auto"/>
              <w:bottom w:val="single" w:sz="4" w:space="0" w:color="auto"/>
              <w:right w:val="single" w:sz="4" w:space="0" w:color="auto"/>
            </w:tcBorders>
            <w:shd w:val="clear" w:color="auto" w:fill="FFFFFF"/>
            <w:vAlign w:val="bottom"/>
          </w:tcPr>
          <w:p w14:paraId="2F3A7052" w14:textId="77777777" w:rsidR="008C76E0" w:rsidRPr="008C76E0" w:rsidRDefault="008C76E0" w:rsidP="00590510">
            <w:pPr>
              <w:pStyle w:val="Bodytext180"/>
              <w:shd w:val="clear" w:color="auto" w:fill="auto"/>
              <w:tabs>
                <w:tab w:val="left" w:pos="1084"/>
              </w:tabs>
              <w:spacing w:before="0" w:after="160" w:line="360" w:lineRule="auto"/>
              <w:ind w:right="-1" w:firstLine="567"/>
              <w:jc w:val="both"/>
              <w:rPr>
                <w:rFonts w:ascii="Sylfaen" w:hAnsi="Sylfaen"/>
                <w:b w:val="0"/>
                <w:sz w:val="24"/>
                <w:szCs w:val="24"/>
                <w:lang w:val="hy-AM"/>
              </w:rPr>
            </w:pPr>
            <w:r w:rsidRPr="003B2786">
              <w:rPr>
                <w:rStyle w:val="Bodytext295pt"/>
                <w:rFonts w:ascii="Sylfaen" w:hAnsi="Sylfaen"/>
                <w:sz w:val="24"/>
                <w:szCs w:val="24"/>
              </w:rPr>
              <w:t>Ներկայացնել պատասխանի համար դիտողությունների ցանկը՝ բաժանելով դրանք հետ</w:t>
            </w:r>
            <w:r w:rsidR="00C54D75">
              <w:rPr>
                <w:rStyle w:val="Bodytext295pt"/>
                <w:rFonts w:ascii="Sylfaen" w:hAnsi="Sylfaen"/>
                <w:sz w:val="24"/>
                <w:szCs w:val="24"/>
              </w:rPr>
              <w:t>և</w:t>
            </w:r>
            <w:r w:rsidRPr="003B2786">
              <w:rPr>
                <w:rStyle w:val="Bodytext295pt"/>
                <w:rFonts w:ascii="Sylfaen" w:hAnsi="Sylfaen"/>
                <w:sz w:val="24"/>
                <w:szCs w:val="24"/>
              </w:rPr>
              <w:t xml:space="preserve">յալ խմբերի. քննադատական դիտողություններ </w:t>
            </w:r>
            <w:r w:rsidR="00C54D75">
              <w:rPr>
                <w:rStyle w:val="Bodytext295pt"/>
                <w:rFonts w:ascii="Sylfaen" w:hAnsi="Sylfaen"/>
                <w:sz w:val="24"/>
                <w:szCs w:val="24"/>
              </w:rPr>
              <w:t>և</w:t>
            </w:r>
            <w:r w:rsidRPr="003B2786">
              <w:rPr>
                <w:rStyle w:val="Bodytext295pt"/>
                <w:rFonts w:ascii="Sylfaen" w:hAnsi="Sylfaen"/>
                <w:sz w:val="24"/>
                <w:szCs w:val="24"/>
              </w:rPr>
              <w:t xml:space="preserve"> այլ դիտողություններ</w:t>
            </w:r>
          </w:p>
        </w:tc>
      </w:tr>
    </w:tbl>
    <w:p w14:paraId="73AC6B77" w14:textId="77777777" w:rsidR="008C76E0" w:rsidRPr="003B2786" w:rsidRDefault="008C76E0" w:rsidP="008C76E0">
      <w:pPr>
        <w:tabs>
          <w:tab w:val="left" w:pos="851"/>
        </w:tabs>
        <w:jc w:val="both"/>
        <w:rPr>
          <w:rFonts w:ascii="Sylfaen" w:hAnsi="Sylfaen"/>
          <w:sz w:val="24"/>
          <w:szCs w:val="24"/>
        </w:rPr>
      </w:pPr>
    </w:p>
    <w:tbl>
      <w:tblPr>
        <w:tblOverlap w:val="never"/>
        <w:tblW w:w="9493" w:type="dxa"/>
        <w:jc w:val="center"/>
        <w:tblLayout w:type="fixed"/>
        <w:tblCellMar>
          <w:left w:w="10" w:type="dxa"/>
          <w:right w:w="10" w:type="dxa"/>
        </w:tblCellMar>
        <w:tblLook w:val="04A0" w:firstRow="1" w:lastRow="0" w:firstColumn="1" w:lastColumn="0" w:noHBand="0" w:noVBand="1"/>
      </w:tblPr>
      <w:tblGrid>
        <w:gridCol w:w="3944"/>
        <w:gridCol w:w="5549"/>
      </w:tblGrid>
      <w:tr w:rsidR="008C76E0" w:rsidRPr="003B2786" w14:paraId="590BE35C" w14:textId="77777777" w:rsidTr="008C76E0">
        <w:trPr>
          <w:trHeight w:val="2887"/>
          <w:jc w:val="center"/>
        </w:trPr>
        <w:tc>
          <w:tcPr>
            <w:tcW w:w="9493" w:type="dxa"/>
            <w:gridSpan w:val="2"/>
            <w:shd w:val="clear" w:color="auto" w:fill="FFFFFF"/>
          </w:tcPr>
          <w:p w14:paraId="38A3ABE4" w14:textId="77777777" w:rsidR="008C76E0" w:rsidRPr="008C76E0" w:rsidRDefault="008C76E0" w:rsidP="008C76E0">
            <w:pPr>
              <w:pStyle w:val="Bodytext180"/>
              <w:shd w:val="clear" w:color="auto" w:fill="auto"/>
              <w:tabs>
                <w:tab w:val="left" w:pos="1102"/>
              </w:tabs>
              <w:spacing w:before="0" w:after="160" w:line="360" w:lineRule="auto"/>
              <w:ind w:left="60" w:right="-1" w:firstLine="568"/>
              <w:jc w:val="center"/>
              <w:rPr>
                <w:rFonts w:ascii="Sylfaen" w:hAnsi="Sylfaen"/>
                <w:b w:val="0"/>
                <w:i/>
                <w:sz w:val="24"/>
                <w:szCs w:val="24"/>
                <w:lang w:val="hy-AM"/>
              </w:rPr>
            </w:pPr>
            <w:r>
              <w:rPr>
                <w:rStyle w:val="Bodytext295pt"/>
                <w:rFonts w:ascii="Sylfaen" w:hAnsi="Sylfaen"/>
                <w:sz w:val="24"/>
                <w:szCs w:val="24"/>
              </w:rPr>
              <w:lastRenderedPageBreak/>
              <w:t>4.</w:t>
            </w:r>
            <w:r w:rsidRPr="003B2786">
              <w:rPr>
                <w:rStyle w:val="Bodytext295pt"/>
                <w:rFonts w:ascii="Sylfaen" w:hAnsi="Sylfaen"/>
                <w:sz w:val="24"/>
                <w:szCs w:val="24"/>
              </w:rPr>
              <w:t>Հայտատուի համար տեղեկատվությունը</w:t>
            </w:r>
          </w:p>
          <w:p w14:paraId="7A0626D0" w14:textId="77777777" w:rsidR="008C76E0" w:rsidRPr="008C76E0" w:rsidRDefault="008C76E0" w:rsidP="008C76E0">
            <w:pPr>
              <w:pStyle w:val="Bodytext180"/>
              <w:shd w:val="clear" w:color="auto" w:fill="auto"/>
              <w:spacing w:before="0" w:after="160" w:line="360" w:lineRule="auto"/>
              <w:ind w:left="60" w:right="125" w:firstLine="568"/>
              <w:jc w:val="both"/>
              <w:rPr>
                <w:rFonts w:ascii="Sylfaen" w:hAnsi="Sylfaen"/>
                <w:b w:val="0"/>
                <w:i/>
                <w:sz w:val="24"/>
                <w:szCs w:val="24"/>
                <w:lang w:val="hy-AM"/>
              </w:rPr>
            </w:pPr>
            <w:r w:rsidRPr="003B2786">
              <w:rPr>
                <w:rStyle w:val="Bodytext295pt"/>
                <w:rFonts w:ascii="Sylfaen" w:hAnsi="Sylfaen"/>
                <w:sz w:val="24"/>
                <w:szCs w:val="24"/>
              </w:rPr>
              <w:t>Ուշադրությո՛ւն. Էլեկտրոնային փոստով ուղարկվող ցանկացած պատասխան անհրաժեշտ է ուղարկել մեր ընդհանուր էլեկտրոնային հասցեին՝      @      , այլ ոչ թե ցանկացած անձնական օգտագործման հասցեի: Էլեկտրոնային հաղորդագրության առավելագույն ծավալը 2 Մբ է: Անհրաժեշտ է նա</w:t>
            </w:r>
            <w:r w:rsidR="00C54D75">
              <w:rPr>
                <w:rStyle w:val="Bodytext295pt"/>
                <w:rFonts w:ascii="Sylfaen" w:hAnsi="Sylfaen"/>
                <w:sz w:val="24"/>
                <w:szCs w:val="24"/>
              </w:rPr>
              <w:t>և</w:t>
            </w:r>
            <w:r w:rsidRPr="003B2786">
              <w:rPr>
                <w:rStyle w:val="Bodytext295pt"/>
                <w:rFonts w:ascii="Sylfaen" w:hAnsi="Sylfaen"/>
                <w:sz w:val="24"/>
                <w:szCs w:val="24"/>
              </w:rPr>
              <w:t xml:space="preserve">  թղթային կրիչով օրինակն ուղարկել հետ</w:t>
            </w:r>
            <w:r w:rsidR="00C54D75">
              <w:rPr>
                <w:rStyle w:val="Bodytext295pt"/>
                <w:rFonts w:ascii="Sylfaen" w:hAnsi="Sylfaen"/>
                <w:sz w:val="24"/>
                <w:szCs w:val="24"/>
              </w:rPr>
              <w:t>և</w:t>
            </w:r>
            <w:r w:rsidRPr="003B2786">
              <w:rPr>
                <w:rStyle w:val="Bodytext295pt"/>
                <w:rFonts w:ascii="Sylfaen" w:hAnsi="Sylfaen"/>
                <w:sz w:val="24"/>
                <w:szCs w:val="24"/>
              </w:rPr>
              <w:t>յալ հասցեով՝ «հասցե»</w:t>
            </w:r>
            <w:r w:rsidRPr="003B2786">
              <w:rPr>
                <w:rStyle w:val="FootnoteReference"/>
                <w:rFonts w:ascii="Sylfaen" w:hAnsi="Sylfaen"/>
                <w:b w:val="0"/>
                <w:i/>
                <w:sz w:val="24"/>
                <w:szCs w:val="24"/>
              </w:rPr>
              <w:footnoteReference w:id="43"/>
            </w:r>
            <w:r w:rsidRPr="003B2786">
              <w:rPr>
                <w:rStyle w:val="Bodytext295pt"/>
                <w:rFonts w:ascii="Sylfaen" w:hAnsi="Sylfaen"/>
                <w:sz w:val="24"/>
                <w:szCs w:val="24"/>
              </w:rPr>
              <w:t>:</w:t>
            </w:r>
          </w:p>
        </w:tc>
      </w:tr>
      <w:tr w:rsidR="008C76E0" w:rsidRPr="003B2786" w14:paraId="20F48FCE" w14:textId="77777777" w:rsidTr="008C76E0">
        <w:trPr>
          <w:trHeight w:val="772"/>
          <w:jc w:val="center"/>
        </w:trPr>
        <w:tc>
          <w:tcPr>
            <w:tcW w:w="3944" w:type="dxa"/>
            <w:shd w:val="clear" w:color="auto" w:fill="FFFFFF"/>
          </w:tcPr>
          <w:p w14:paraId="381E2C8B" w14:textId="77777777" w:rsidR="008C76E0" w:rsidRPr="008C76E0" w:rsidRDefault="008C76E0" w:rsidP="008C76E0">
            <w:pPr>
              <w:pStyle w:val="Bodytext180"/>
              <w:shd w:val="clear" w:color="auto" w:fill="auto"/>
              <w:tabs>
                <w:tab w:val="left" w:pos="851"/>
              </w:tabs>
              <w:spacing w:before="0" w:after="160" w:line="360" w:lineRule="auto"/>
              <w:ind w:left="344" w:right="104" w:firstLine="0"/>
              <w:jc w:val="both"/>
              <w:rPr>
                <w:rFonts w:ascii="Sylfaen" w:hAnsi="Sylfaen"/>
                <w:b w:val="0"/>
                <w:sz w:val="24"/>
                <w:szCs w:val="24"/>
                <w:lang w:val="hy-AM"/>
              </w:rPr>
            </w:pPr>
            <w:r w:rsidRPr="003B2786">
              <w:rPr>
                <w:rStyle w:val="Bodytext295pt"/>
                <w:rFonts w:ascii="Sylfaen" w:hAnsi="Sylfaen"/>
                <w:sz w:val="24"/>
                <w:szCs w:val="24"/>
              </w:rPr>
              <w:t>Անդամ պետությունում ծրագրի ղեկավարի, կոնտակտային անձի Ա.Ա.Հ.-ն</w:t>
            </w:r>
          </w:p>
        </w:tc>
        <w:tc>
          <w:tcPr>
            <w:tcW w:w="5549" w:type="dxa"/>
            <w:shd w:val="clear" w:color="auto" w:fill="FFFFFF"/>
            <w:vAlign w:val="center"/>
          </w:tcPr>
          <w:p w14:paraId="789FAE74" w14:textId="77777777" w:rsidR="008C76E0" w:rsidRPr="003B2786" w:rsidRDefault="008C76E0" w:rsidP="008C76E0">
            <w:pPr>
              <w:pStyle w:val="Bodytext180"/>
              <w:shd w:val="clear" w:color="auto" w:fill="auto"/>
              <w:tabs>
                <w:tab w:val="left" w:pos="851"/>
              </w:tabs>
              <w:spacing w:before="0" w:after="160" w:line="360" w:lineRule="auto"/>
              <w:ind w:left="344" w:right="907" w:firstLine="0"/>
              <w:rPr>
                <w:rFonts w:ascii="Sylfaen" w:hAnsi="Sylfaen"/>
                <w:b w:val="0"/>
                <w:sz w:val="24"/>
                <w:szCs w:val="24"/>
              </w:rPr>
            </w:pPr>
            <w:r w:rsidRPr="003B2786">
              <w:rPr>
                <w:rFonts w:ascii="Sylfaen" w:hAnsi="Sylfaen"/>
                <w:b w:val="0"/>
                <w:noProof/>
                <w:sz w:val="24"/>
                <w:szCs w:val="24"/>
              </w:rPr>
              <w:drawing>
                <wp:inline distT="0" distB="0" distL="0" distR="0" wp14:anchorId="49FA009C" wp14:editId="16F64467">
                  <wp:extent cx="295275" cy="666750"/>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295275" cy="666750"/>
                          </a:xfrm>
                          <a:prstGeom prst="rect">
                            <a:avLst/>
                          </a:prstGeom>
                          <a:noFill/>
                          <a:ln w="9525">
                            <a:noFill/>
                            <a:miter lim="800000"/>
                            <a:headEnd/>
                            <a:tailEnd/>
                          </a:ln>
                        </pic:spPr>
                      </pic:pic>
                    </a:graphicData>
                  </a:graphic>
                </wp:inline>
              </w:drawing>
            </w:r>
          </w:p>
        </w:tc>
      </w:tr>
      <w:tr w:rsidR="008C76E0" w:rsidRPr="003B2786" w14:paraId="10A8DA4E" w14:textId="77777777" w:rsidTr="008C76E0">
        <w:trPr>
          <w:jc w:val="center"/>
        </w:trPr>
        <w:tc>
          <w:tcPr>
            <w:tcW w:w="9493" w:type="dxa"/>
            <w:gridSpan w:val="2"/>
            <w:shd w:val="clear" w:color="auto" w:fill="FFFFFF"/>
            <w:vAlign w:val="center"/>
          </w:tcPr>
          <w:p w14:paraId="613D8875" w14:textId="77777777" w:rsidR="008C76E0" w:rsidRPr="008C76E0" w:rsidRDefault="008C76E0" w:rsidP="008C76E0">
            <w:pPr>
              <w:pStyle w:val="Bodytext180"/>
              <w:shd w:val="clear" w:color="auto" w:fill="auto"/>
              <w:spacing w:before="0" w:after="160" w:line="360" w:lineRule="auto"/>
              <w:ind w:left="344" w:right="-1" w:firstLine="0"/>
              <w:jc w:val="both"/>
              <w:rPr>
                <w:rFonts w:ascii="Sylfaen" w:hAnsi="Sylfaen"/>
                <w:b w:val="0"/>
                <w:sz w:val="24"/>
                <w:szCs w:val="24"/>
                <w:lang w:val="hy-AM"/>
              </w:rPr>
            </w:pPr>
            <w:r w:rsidRPr="003B2786">
              <w:rPr>
                <w:rStyle w:val="Bodytext295pt"/>
                <w:rFonts w:ascii="Sylfaen" w:hAnsi="Sylfaen"/>
                <w:sz w:val="24"/>
                <w:szCs w:val="24"/>
              </w:rPr>
              <w:t>Գնահատման փորձագետների Ա.Ա.Հ.-ն (կիրառելիության դեպքում).</w:t>
            </w:r>
          </w:p>
        </w:tc>
      </w:tr>
      <w:tr w:rsidR="008C76E0" w:rsidRPr="003B2786" w14:paraId="06F895A2" w14:textId="77777777" w:rsidTr="008C76E0">
        <w:trPr>
          <w:jc w:val="center"/>
        </w:trPr>
        <w:tc>
          <w:tcPr>
            <w:tcW w:w="3944" w:type="dxa"/>
            <w:shd w:val="clear" w:color="auto" w:fill="FFFFFF"/>
          </w:tcPr>
          <w:p w14:paraId="38CBA818" w14:textId="77777777" w:rsidR="008C76E0" w:rsidRPr="003B2786" w:rsidRDefault="008C76E0" w:rsidP="008C76E0">
            <w:pPr>
              <w:pStyle w:val="Bodytext180"/>
              <w:shd w:val="clear" w:color="auto" w:fill="auto"/>
              <w:spacing w:before="0" w:after="160" w:line="360" w:lineRule="auto"/>
              <w:ind w:left="344" w:right="-1" w:firstLine="0"/>
              <w:jc w:val="both"/>
              <w:rPr>
                <w:rStyle w:val="Bodytext295pt"/>
                <w:rFonts w:ascii="Sylfaen" w:hAnsi="Sylfaen"/>
                <w:sz w:val="24"/>
                <w:szCs w:val="24"/>
              </w:rPr>
            </w:pPr>
            <w:r w:rsidRPr="003B2786">
              <w:rPr>
                <w:rStyle w:val="Bodytext295pt"/>
                <w:rFonts w:ascii="Sylfaen" w:hAnsi="Sylfaen"/>
                <w:sz w:val="24"/>
                <w:szCs w:val="24"/>
              </w:rPr>
              <w:t>Որակը (Մոդուլ 3).</w:t>
            </w:r>
          </w:p>
          <w:p w14:paraId="77FC7EAD" w14:textId="77777777" w:rsidR="008C76E0" w:rsidRPr="003B2786" w:rsidRDefault="008C76E0" w:rsidP="008C76E0">
            <w:pPr>
              <w:pStyle w:val="Bodytext180"/>
              <w:shd w:val="clear" w:color="auto" w:fill="auto"/>
              <w:spacing w:before="0" w:after="160" w:line="360" w:lineRule="auto"/>
              <w:ind w:left="344" w:right="-1" w:firstLine="0"/>
              <w:jc w:val="both"/>
              <w:rPr>
                <w:rStyle w:val="Bodytext295pt"/>
                <w:rFonts w:ascii="Sylfaen" w:hAnsi="Sylfaen"/>
                <w:sz w:val="24"/>
                <w:szCs w:val="24"/>
              </w:rPr>
            </w:pPr>
          </w:p>
          <w:p w14:paraId="2C94AA82" w14:textId="77777777" w:rsidR="008C76E0" w:rsidRPr="003B2786" w:rsidRDefault="008C76E0" w:rsidP="008C76E0">
            <w:pPr>
              <w:pStyle w:val="Bodytext180"/>
              <w:shd w:val="clear" w:color="auto" w:fill="auto"/>
              <w:spacing w:before="0" w:after="160" w:line="360" w:lineRule="auto"/>
              <w:ind w:left="344" w:right="-1" w:firstLine="0"/>
              <w:jc w:val="both"/>
              <w:rPr>
                <w:rFonts w:ascii="Sylfaen" w:hAnsi="Sylfaen"/>
                <w:b w:val="0"/>
                <w:sz w:val="24"/>
                <w:szCs w:val="24"/>
              </w:rPr>
            </w:pPr>
            <w:r w:rsidRPr="003B2786">
              <w:rPr>
                <w:rFonts w:ascii="Sylfaen" w:hAnsi="Sylfaen"/>
                <w:noProof/>
                <w:sz w:val="24"/>
                <w:szCs w:val="24"/>
              </w:rPr>
              <w:drawing>
                <wp:inline distT="0" distB="0" distL="0" distR="0" wp14:anchorId="00AAF432" wp14:editId="3966CE4C">
                  <wp:extent cx="257175" cy="647700"/>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257175" cy="647700"/>
                          </a:xfrm>
                          <a:prstGeom prst="rect">
                            <a:avLst/>
                          </a:prstGeom>
                          <a:noFill/>
                          <a:ln w="9525">
                            <a:noFill/>
                            <a:miter lim="800000"/>
                            <a:headEnd/>
                            <a:tailEnd/>
                          </a:ln>
                        </pic:spPr>
                      </pic:pic>
                    </a:graphicData>
                  </a:graphic>
                </wp:inline>
              </w:drawing>
            </w:r>
          </w:p>
        </w:tc>
        <w:tc>
          <w:tcPr>
            <w:tcW w:w="5549" w:type="dxa"/>
            <w:shd w:val="clear" w:color="auto" w:fill="FFFFFF"/>
            <w:vAlign w:val="center"/>
          </w:tcPr>
          <w:p w14:paraId="5E5E1A36" w14:textId="77777777" w:rsidR="008C76E0" w:rsidRPr="003B2786" w:rsidRDefault="008C76E0" w:rsidP="008C76E0">
            <w:pPr>
              <w:pStyle w:val="Bodytext180"/>
              <w:shd w:val="clear" w:color="auto" w:fill="auto"/>
              <w:spacing w:before="0" w:after="160" w:line="360" w:lineRule="auto"/>
              <w:ind w:left="344" w:right="-1" w:firstLine="0"/>
              <w:jc w:val="both"/>
              <w:rPr>
                <w:rStyle w:val="Bodytext295pt"/>
                <w:rFonts w:ascii="Sylfaen" w:hAnsi="Sylfaen"/>
                <w:sz w:val="24"/>
                <w:szCs w:val="24"/>
              </w:rPr>
            </w:pPr>
            <w:r w:rsidRPr="003B2786">
              <w:rPr>
                <w:rStyle w:val="Bodytext295pt"/>
                <w:rFonts w:ascii="Sylfaen" w:hAnsi="Sylfaen"/>
                <w:sz w:val="24"/>
                <w:szCs w:val="24"/>
              </w:rPr>
              <w:t>Կլինիկական հետազոտությունները (Մոդուլ 5). Դեղակինետիկա</w:t>
            </w:r>
          </w:p>
          <w:p w14:paraId="5B20736A" w14:textId="77777777" w:rsidR="008C76E0" w:rsidRPr="003B2786" w:rsidRDefault="008C76E0" w:rsidP="008C76E0">
            <w:pPr>
              <w:pStyle w:val="Bodytext180"/>
              <w:shd w:val="clear" w:color="auto" w:fill="auto"/>
              <w:spacing w:before="0" w:after="160" w:line="360" w:lineRule="auto"/>
              <w:ind w:left="344" w:right="-1" w:firstLine="0"/>
              <w:jc w:val="both"/>
              <w:rPr>
                <w:rFonts w:ascii="Sylfaen" w:hAnsi="Sylfaen"/>
                <w:b w:val="0"/>
                <w:sz w:val="24"/>
                <w:szCs w:val="24"/>
              </w:rPr>
            </w:pPr>
            <w:r w:rsidRPr="003B2786">
              <w:rPr>
                <w:rFonts w:ascii="Sylfaen" w:hAnsi="Sylfaen"/>
                <w:b w:val="0"/>
                <w:noProof/>
                <w:sz w:val="24"/>
                <w:szCs w:val="24"/>
              </w:rPr>
              <w:drawing>
                <wp:inline distT="0" distB="0" distL="0" distR="0" wp14:anchorId="380512ED" wp14:editId="35B3E0D2">
                  <wp:extent cx="295275" cy="666750"/>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295275" cy="666750"/>
                          </a:xfrm>
                          <a:prstGeom prst="rect">
                            <a:avLst/>
                          </a:prstGeom>
                          <a:noFill/>
                          <a:ln w="9525">
                            <a:noFill/>
                            <a:miter lim="800000"/>
                            <a:headEnd/>
                            <a:tailEnd/>
                          </a:ln>
                        </pic:spPr>
                      </pic:pic>
                    </a:graphicData>
                  </a:graphic>
                </wp:inline>
              </w:drawing>
            </w:r>
          </w:p>
        </w:tc>
      </w:tr>
      <w:tr w:rsidR="008C76E0" w:rsidRPr="003B2786" w14:paraId="3DD451A0" w14:textId="77777777" w:rsidTr="008C76E0">
        <w:trPr>
          <w:jc w:val="center"/>
        </w:trPr>
        <w:tc>
          <w:tcPr>
            <w:tcW w:w="3944" w:type="dxa"/>
            <w:shd w:val="clear" w:color="auto" w:fill="FFFFFF"/>
            <w:vAlign w:val="center"/>
          </w:tcPr>
          <w:p w14:paraId="09911F74" w14:textId="77777777" w:rsidR="008C76E0" w:rsidRPr="003B2786" w:rsidRDefault="008C76E0" w:rsidP="008C76E0">
            <w:pPr>
              <w:pStyle w:val="Bodytext180"/>
              <w:shd w:val="clear" w:color="auto" w:fill="auto"/>
              <w:spacing w:before="0" w:after="160" w:line="360" w:lineRule="auto"/>
              <w:ind w:left="344" w:right="-1" w:firstLine="0"/>
              <w:jc w:val="both"/>
              <w:rPr>
                <w:rStyle w:val="Bodytext295pt"/>
                <w:rFonts w:ascii="Sylfaen" w:hAnsi="Sylfaen"/>
                <w:sz w:val="24"/>
                <w:szCs w:val="24"/>
              </w:rPr>
            </w:pPr>
            <w:r w:rsidRPr="003B2786">
              <w:rPr>
                <w:rStyle w:val="Bodytext295pt"/>
                <w:rFonts w:ascii="Sylfaen" w:hAnsi="Sylfaen"/>
                <w:sz w:val="24"/>
                <w:szCs w:val="24"/>
              </w:rPr>
              <w:t>Նախակլինիկական հետազոտությունները (Մոդուլ 4).</w:t>
            </w:r>
          </w:p>
          <w:p w14:paraId="1F705014" w14:textId="77777777" w:rsidR="008C76E0" w:rsidRPr="003B2786" w:rsidRDefault="008C76E0" w:rsidP="008C76E0">
            <w:pPr>
              <w:pStyle w:val="Bodytext180"/>
              <w:shd w:val="clear" w:color="auto" w:fill="auto"/>
              <w:spacing w:before="0" w:after="160" w:line="360" w:lineRule="auto"/>
              <w:ind w:left="344" w:right="-1" w:firstLine="0"/>
              <w:jc w:val="both"/>
              <w:rPr>
                <w:rFonts w:ascii="Sylfaen" w:hAnsi="Sylfaen"/>
                <w:b w:val="0"/>
                <w:sz w:val="24"/>
                <w:szCs w:val="24"/>
              </w:rPr>
            </w:pPr>
            <w:r w:rsidRPr="003B2786">
              <w:rPr>
                <w:rFonts w:ascii="Sylfaen" w:hAnsi="Sylfaen"/>
                <w:b w:val="0"/>
                <w:noProof/>
                <w:sz w:val="24"/>
                <w:szCs w:val="24"/>
              </w:rPr>
              <w:drawing>
                <wp:inline distT="0" distB="0" distL="0" distR="0" wp14:anchorId="50C4A025" wp14:editId="22408CB3">
                  <wp:extent cx="295275" cy="666750"/>
                  <wp:effectExtent l="1905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295275" cy="666750"/>
                          </a:xfrm>
                          <a:prstGeom prst="rect">
                            <a:avLst/>
                          </a:prstGeom>
                          <a:noFill/>
                          <a:ln w="9525">
                            <a:noFill/>
                            <a:miter lim="800000"/>
                            <a:headEnd/>
                            <a:tailEnd/>
                          </a:ln>
                        </pic:spPr>
                      </pic:pic>
                    </a:graphicData>
                  </a:graphic>
                </wp:inline>
              </w:drawing>
            </w:r>
          </w:p>
        </w:tc>
        <w:tc>
          <w:tcPr>
            <w:tcW w:w="5549" w:type="dxa"/>
            <w:shd w:val="clear" w:color="auto" w:fill="FFFFFF"/>
          </w:tcPr>
          <w:p w14:paraId="32BCC5D1" w14:textId="77777777" w:rsidR="008C76E0" w:rsidRPr="003B2786" w:rsidRDefault="008C76E0" w:rsidP="008C76E0">
            <w:pPr>
              <w:pStyle w:val="Bodytext180"/>
              <w:shd w:val="clear" w:color="auto" w:fill="auto"/>
              <w:spacing w:before="0" w:after="160" w:line="360" w:lineRule="auto"/>
              <w:ind w:left="344" w:right="-1" w:firstLine="0"/>
              <w:rPr>
                <w:rStyle w:val="Bodytext295pt"/>
                <w:rFonts w:ascii="Sylfaen" w:hAnsi="Sylfaen"/>
                <w:sz w:val="24"/>
                <w:szCs w:val="24"/>
              </w:rPr>
            </w:pPr>
            <w:r w:rsidRPr="003B2786">
              <w:rPr>
                <w:rStyle w:val="Bodytext295pt"/>
                <w:rFonts w:ascii="Sylfaen" w:hAnsi="Sylfaen"/>
                <w:sz w:val="24"/>
                <w:szCs w:val="24"/>
              </w:rPr>
              <w:t xml:space="preserve">Արդյունավետությունը </w:t>
            </w:r>
            <w:r w:rsidR="00C54D75">
              <w:rPr>
                <w:rStyle w:val="Bodytext295pt"/>
                <w:rFonts w:ascii="Sylfaen" w:hAnsi="Sylfaen"/>
                <w:sz w:val="24"/>
                <w:szCs w:val="24"/>
              </w:rPr>
              <w:t>և</w:t>
            </w:r>
            <w:r w:rsidRPr="003B2786">
              <w:rPr>
                <w:rStyle w:val="Bodytext295pt"/>
                <w:rFonts w:ascii="Sylfaen" w:hAnsi="Sylfaen"/>
                <w:sz w:val="24"/>
                <w:szCs w:val="24"/>
              </w:rPr>
              <w:t xml:space="preserve"> անվտանգությունը</w:t>
            </w:r>
          </w:p>
          <w:p w14:paraId="0EFD9F65" w14:textId="77777777" w:rsidR="008C76E0" w:rsidRPr="003B2786" w:rsidRDefault="008C76E0" w:rsidP="008C76E0">
            <w:pPr>
              <w:pStyle w:val="Bodytext180"/>
              <w:shd w:val="clear" w:color="auto" w:fill="auto"/>
              <w:spacing w:before="0" w:after="160" w:line="360" w:lineRule="auto"/>
              <w:ind w:left="344" w:right="-1" w:firstLine="0"/>
              <w:rPr>
                <w:rStyle w:val="Bodytext295pt"/>
                <w:rFonts w:ascii="Sylfaen" w:hAnsi="Sylfaen"/>
                <w:sz w:val="24"/>
                <w:szCs w:val="24"/>
              </w:rPr>
            </w:pPr>
          </w:p>
          <w:p w14:paraId="32D8AF92" w14:textId="77777777" w:rsidR="008C76E0" w:rsidRPr="003B2786" w:rsidRDefault="008C76E0" w:rsidP="008C76E0">
            <w:pPr>
              <w:pStyle w:val="Bodytext180"/>
              <w:shd w:val="clear" w:color="auto" w:fill="auto"/>
              <w:spacing w:before="0" w:after="160" w:line="360" w:lineRule="auto"/>
              <w:ind w:left="344" w:right="-1" w:firstLine="0"/>
              <w:rPr>
                <w:rFonts w:ascii="Sylfaen" w:hAnsi="Sylfaen"/>
                <w:b w:val="0"/>
                <w:sz w:val="24"/>
                <w:szCs w:val="24"/>
              </w:rPr>
            </w:pPr>
            <w:r w:rsidRPr="003B2786">
              <w:rPr>
                <w:rFonts w:ascii="Sylfaen" w:hAnsi="Sylfaen"/>
                <w:b w:val="0"/>
                <w:noProof/>
                <w:sz w:val="24"/>
                <w:szCs w:val="24"/>
              </w:rPr>
              <w:drawing>
                <wp:inline distT="0" distB="0" distL="0" distR="0" wp14:anchorId="21628007" wp14:editId="5AD64D94">
                  <wp:extent cx="295275" cy="666750"/>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295275" cy="666750"/>
                          </a:xfrm>
                          <a:prstGeom prst="rect">
                            <a:avLst/>
                          </a:prstGeom>
                          <a:noFill/>
                          <a:ln w="9525">
                            <a:noFill/>
                            <a:miter lim="800000"/>
                            <a:headEnd/>
                            <a:tailEnd/>
                          </a:ln>
                        </pic:spPr>
                      </pic:pic>
                    </a:graphicData>
                  </a:graphic>
                </wp:inline>
              </w:drawing>
            </w:r>
          </w:p>
        </w:tc>
      </w:tr>
    </w:tbl>
    <w:p w14:paraId="154C3BF2" w14:textId="77777777" w:rsidR="008C76E0" w:rsidRPr="003B2786" w:rsidRDefault="008C76E0" w:rsidP="008C76E0">
      <w:pPr>
        <w:ind w:right="-1"/>
        <w:jc w:val="both"/>
        <w:rPr>
          <w:rFonts w:ascii="Sylfaen" w:hAnsi="Sylfaen"/>
          <w:sz w:val="24"/>
          <w:szCs w:val="24"/>
        </w:rPr>
      </w:pPr>
    </w:p>
    <w:p w14:paraId="28A47E12" w14:textId="77777777" w:rsidR="00F8005E" w:rsidRDefault="00F8005E" w:rsidP="008C76E0">
      <w:pPr>
        <w:ind w:right="-1"/>
        <w:jc w:val="both"/>
        <w:rPr>
          <w:rFonts w:ascii="Sylfaen" w:hAnsi="Sylfaen"/>
          <w:sz w:val="24"/>
          <w:szCs w:val="24"/>
        </w:rPr>
        <w:sectPr w:rsidR="00F8005E" w:rsidSect="00F8005E">
          <w:pgSz w:w="11907" w:h="16839" w:code="9"/>
          <w:pgMar w:top="1418" w:right="1418" w:bottom="1418" w:left="1418" w:header="709" w:footer="709" w:gutter="0"/>
          <w:cols w:space="708"/>
          <w:docGrid w:linePitch="360"/>
        </w:sectPr>
      </w:pPr>
    </w:p>
    <w:p w14:paraId="49853322" w14:textId="77777777" w:rsidR="008C76E0" w:rsidRPr="003B2786" w:rsidRDefault="008C76E0" w:rsidP="00593820">
      <w:pPr>
        <w:spacing w:after="160" w:line="360" w:lineRule="auto"/>
        <w:ind w:left="4395" w:right="-1"/>
        <w:jc w:val="center"/>
        <w:outlineLvl w:val="0"/>
        <w:rPr>
          <w:rFonts w:ascii="Sylfaen" w:hAnsi="Sylfaen"/>
          <w:sz w:val="24"/>
          <w:szCs w:val="24"/>
        </w:rPr>
      </w:pPr>
      <w:r w:rsidRPr="003B2786">
        <w:rPr>
          <w:rFonts w:ascii="Sylfaen" w:hAnsi="Sylfaen"/>
          <w:sz w:val="24"/>
          <w:szCs w:val="24"/>
        </w:rPr>
        <w:lastRenderedPageBreak/>
        <w:t>ՀԱՎԵԼՎԱԾ ԹԻՎ 19</w:t>
      </w:r>
    </w:p>
    <w:p w14:paraId="16077AD8" w14:textId="77777777" w:rsidR="008C76E0" w:rsidRPr="003B2786" w:rsidRDefault="008C76E0" w:rsidP="00593820">
      <w:pPr>
        <w:spacing w:after="160" w:line="360" w:lineRule="auto"/>
        <w:ind w:left="4395" w:right="-1"/>
        <w:jc w:val="center"/>
        <w:rPr>
          <w:rFonts w:ascii="Sylfaen" w:hAnsi="Sylfaen"/>
          <w:sz w:val="24"/>
          <w:szCs w:val="24"/>
        </w:rPr>
      </w:pPr>
      <w:r w:rsidRPr="003B2786">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w:t>
      </w:r>
    </w:p>
    <w:p w14:paraId="38005BA1" w14:textId="77777777" w:rsidR="008C76E0" w:rsidRPr="003B2786" w:rsidRDefault="008C76E0" w:rsidP="00593820">
      <w:pPr>
        <w:spacing w:after="160" w:line="360" w:lineRule="auto"/>
        <w:ind w:left="5103" w:right="-1"/>
        <w:rPr>
          <w:rFonts w:ascii="Sylfaen" w:hAnsi="Sylfaen"/>
          <w:sz w:val="24"/>
          <w:szCs w:val="24"/>
        </w:rPr>
      </w:pPr>
    </w:p>
    <w:p w14:paraId="00C7FAF2" w14:textId="77777777" w:rsidR="008C76E0" w:rsidRPr="008C76E0" w:rsidRDefault="008C76E0" w:rsidP="00593820">
      <w:pPr>
        <w:pStyle w:val="Heading10"/>
        <w:shd w:val="clear" w:color="auto" w:fill="auto"/>
        <w:spacing w:before="0" w:after="160" w:line="360" w:lineRule="auto"/>
        <w:ind w:left="567" w:right="566"/>
        <w:rPr>
          <w:rFonts w:ascii="Sylfaen" w:hAnsi="Sylfaen"/>
          <w:sz w:val="24"/>
          <w:szCs w:val="24"/>
          <w:lang w:val="hy-AM"/>
        </w:rPr>
      </w:pPr>
      <w:bookmarkStart w:id="14" w:name="bookmark15"/>
      <w:r w:rsidRPr="008C76E0">
        <w:rPr>
          <w:rFonts w:ascii="Sylfaen" w:hAnsi="Sylfaen"/>
          <w:sz w:val="24"/>
          <w:szCs w:val="24"/>
          <w:lang w:val="hy-AM"/>
        </w:rPr>
        <w:t>ԿԱՆՈՆՆԵՐ</w:t>
      </w:r>
      <w:bookmarkEnd w:id="14"/>
    </w:p>
    <w:p w14:paraId="12F2C605" w14:textId="77777777" w:rsidR="008C76E0" w:rsidRPr="008C76E0" w:rsidRDefault="008C76E0" w:rsidP="00593820">
      <w:pPr>
        <w:pStyle w:val="Bodytext130"/>
        <w:shd w:val="clear" w:color="auto" w:fill="auto"/>
        <w:spacing w:after="160" w:line="360" w:lineRule="auto"/>
        <w:ind w:left="567" w:right="566"/>
        <w:rPr>
          <w:rFonts w:ascii="Sylfaen" w:hAnsi="Sylfaen"/>
          <w:sz w:val="24"/>
          <w:szCs w:val="24"/>
          <w:lang w:val="hy-AM"/>
        </w:rPr>
      </w:pPr>
      <w:r w:rsidRPr="008C76E0">
        <w:rPr>
          <w:rFonts w:ascii="Sylfaen" w:hAnsi="Sylfaen"/>
          <w:sz w:val="24"/>
          <w:szCs w:val="24"/>
          <w:lang w:val="hy-AM"/>
        </w:rPr>
        <w:t>բժշկական կիրառման գրանցված դեղապատրաստուկի գրանցման դոսյեի մեջ փոփոխություններ կատարելու</w:t>
      </w:r>
    </w:p>
    <w:p w14:paraId="06A378D3" w14:textId="77777777" w:rsidR="008C76E0" w:rsidRPr="008C76E0" w:rsidRDefault="008C76E0" w:rsidP="00593820">
      <w:pPr>
        <w:pStyle w:val="Bodytext130"/>
        <w:shd w:val="clear" w:color="auto" w:fill="auto"/>
        <w:spacing w:after="160" w:line="360" w:lineRule="auto"/>
        <w:ind w:right="-1"/>
        <w:rPr>
          <w:rFonts w:ascii="Sylfaen" w:hAnsi="Sylfaen"/>
          <w:sz w:val="24"/>
          <w:szCs w:val="24"/>
          <w:lang w:val="hy-AM"/>
        </w:rPr>
      </w:pPr>
    </w:p>
    <w:p w14:paraId="485EEED0" w14:textId="77777777" w:rsidR="008C76E0" w:rsidRPr="003B2786" w:rsidRDefault="008C76E0" w:rsidP="00593820">
      <w:pPr>
        <w:tabs>
          <w:tab w:val="left" w:pos="1701"/>
        </w:tabs>
        <w:spacing w:after="160" w:line="360" w:lineRule="auto"/>
        <w:ind w:right="-1"/>
        <w:jc w:val="center"/>
        <w:outlineLvl w:val="0"/>
        <w:rPr>
          <w:rFonts w:ascii="Sylfaen" w:hAnsi="Sylfaen"/>
          <w:sz w:val="24"/>
          <w:szCs w:val="24"/>
        </w:rPr>
      </w:pPr>
      <w:r w:rsidRPr="003B2786">
        <w:rPr>
          <w:rFonts w:ascii="Sylfaen" w:hAnsi="Sylfaen"/>
          <w:sz w:val="24"/>
          <w:szCs w:val="24"/>
        </w:rPr>
        <w:t>I. Ընդհանուր դրույթներ</w:t>
      </w:r>
    </w:p>
    <w:p w14:paraId="7CFC6D93" w14:textId="77777777" w:rsidR="008C76E0" w:rsidRPr="003B2786" w:rsidRDefault="008C76E0" w:rsidP="00593820">
      <w:pPr>
        <w:tabs>
          <w:tab w:val="left" w:pos="1701"/>
        </w:tabs>
        <w:spacing w:after="160" w:line="360" w:lineRule="auto"/>
        <w:ind w:right="-1"/>
        <w:jc w:val="center"/>
        <w:rPr>
          <w:rFonts w:ascii="Sylfaen" w:hAnsi="Sylfaen"/>
          <w:sz w:val="24"/>
          <w:szCs w:val="24"/>
        </w:rPr>
      </w:pPr>
      <w:r w:rsidRPr="003B2786">
        <w:rPr>
          <w:rFonts w:ascii="Sylfaen" w:hAnsi="Sylfaen"/>
          <w:sz w:val="24"/>
          <w:szCs w:val="24"/>
        </w:rPr>
        <w:t xml:space="preserve">1.1. Առարկան </w:t>
      </w:r>
      <w:r w:rsidR="00C54D75">
        <w:rPr>
          <w:rFonts w:ascii="Sylfaen" w:hAnsi="Sylfaen"/>
          <w:sz w:val="24"/>
          <w:szCs w:val="24"/>
        </w:rPr>
        <w:t>և</w:t>
      </w:r>
      <w:r w:rsidRPr="003B2786">
        <w:rPr>
          <w:rFonts w:ascii="Sylfaen" w:hAnsi="Sylfaen"/>
          <w:sz w:val="24"/>
          <w:szCs w:val="24"/>
        </w:rPr>
        <w:t xml:space="preserve"> կիրառության ոլորտը</w:t>
      </w:r>
    </w:p>
    <w:p w14:paraId="7B0497F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1.1.1.</w:t>
      </w:r>
      <w:r w:rsidRPr="003B2786">
        <w:rPr>
          <w:rFonts w:ascii="Sylfaen" w:hAnsi="Sylfaen"/>
          <w:sz w:val="24"/>
          <w:szCs w:val="24"/>
        </w:rPr>
        <w:tab/>
        <w:t xml:space="preserve">Սույն հավելվածով սահմանվում է Բժշկական կիրառման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կանոններին (այսուհետ՝ Դեղամիջոցների գրանցման կանոններ) համապատասխան Եվրասիական տնտեսական միությունում (այսուհետ՝ Միություն) գրանցված կամ Միության իրավունքի մաս կազմող ակտերի պահանջներին համապատասխանեցման ընթացակարգին ենթարկվող՝ Բժշկական կիրառման դեղապատրաստուկների գրանցման դոսյեի մեջ փոփոխություններ կատարելու կարգը (այսուհետ՝ փոփոխություններ կատարելը):</w:t>
      </w:r>
    </w:p>
    <w:p w14:paraId="7A479ADA"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1.1.2.</w:t>
      </w:r>
      <w:r w:rsidRPr="003B2786">
        <w:rPr>
          <w:rFonts w:ascii="Sylfaen" w:hAnsi="Sylfaen"/>
          <w:sz w:val="24"/>
          <w:szCs w:val="24"/>
        </w:rPr>
        <w:tab/>
        <w:t>Սույն հավելվածը չի տարածվում գրանցման հավաստագրի մեկ իրավատիրոջից (այսուհետ՝ իրավատեր) մյուսին գրանցման հավաստագրերի փոխանցման վրա:</w:t>
      </w:r>
    </w:p>
    <w:p w14:paraId="280C8439"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1.1.3.</w:t>
      </w:r>
      <w:r w:rsidRPr="003B2786">
        <w:rPr>
          <w:rFonts w:ascii="Sylfaen" w:hAnsi="Sylfaen"/>
          <w:sz w:val="24"/>
          <w:szCs w:val="24"/>
        </w:rPr>
        <w:tab/>
        <w:t xml:space="preserve">Սույն հավելվածի II բաժինը կիրառվում է դեղապատրաստուկների` փոխադարձ ճանաչման ընթացակարգի </w:t>
      </w:r>
      <w:r w:rsidR="00C54D75">
        <w:rPr>
          <w:rFonts w:ascii="Sylfaen" w:hAnsi="Sylfaen"/>
          <w:sz w:val="24"/>
          <w:szCs w:val="24"/>
        </w:rPr>
        <w:t>և</w:t>
      </w:r>
      <w:r w:rsidRPr="003B2786">
        <w:rPr>
          <w:rFonts w:ascii="Sylfaen" w:hAnsi="Sylfaen"/>
          <w:sz w:val="24"/>
          <w:szCs w:val="24"/>
        </w:rPr>
        <w:t xml:space="preserve"> գրանցման ապակենտրոնացված ընթացակարգի շրջանակներում Դեղամիջոցների գրանցման կանոնների V.II </w:t>
      </w:r>
      <w:r w:rsidR="00C54D75">
        <w:rPr>
          <w:rFonts w:ascii="Sylfaen" w:hAnsi="Sylfaen"/>
          <w:sz w:val="24"/>
          <w:szCs w:val="24"/>
        </w:rPr>
        <w:t>և</w:t>
      </w:r>
      <w:r w:rsidRPr="003B2786">
        <w:rPr>
          <w:rFonts w:ascii="Sylfaen" w:hAnsi="Sylfaen"/>
          <w:sz w:val="24"/>
          <w:szCs w:val="24"/>
        </w:rPr>
        <w:t xml:space="preserve"> VI բաժիններին համապատասխան իրականացված գրանցման </w:t>
      </w:r>
      <w:r w:rsidRPr="003B2786">
        <w:rPr>
          <w:rFonts w:ascii="Sylfaen" w:hAnsi="Sylfaen"/>
          <w:sz w:val="24"/>
          <w:szCs w:val="24"/>
        </w:rPr>
        <w:lastRenderedPageBreak/>
        <w:t>պայմանների (այսուհետ՝ գրանցման պայմաններ) փոփոխությունների, ինչպես նա</w:t>
      </w:r>
      <w:r w:rsidR="00C54D75">
        <w:rPr>
          <w:rFonts w:ascii="Sylfaen" w:hAnsi="Sylfaen"/>
          <w:sz w:val="24"/>
          <w:szCs w:val="24"/>
        </w:rPr>
        <w:t>և</w:t>
      </w:r>
      <w:r w:rsidRPr="003B2786">
        <w:rPr>
          <w:rFonts w:ascii="Sylfaen" w:hAnsi="Sylfaen"/>
          <w:sz w:val="24"/>
          <w:szCs w:val="24"/>
        </w:rPr>
        <w:t xml:space="preserve"> այն դեղապատրաստուկների գրանցման պայմանների փոփոխությունների նկատմամբ, որոնք գրանցված են Միության մի քանի անդամ պետություններում (այսուհետ՝ անդամ պետություններ) </w:t>
      </w:r>
      <w:r w:rsidR="00C54D75">
        <w:rPr>
          <w:rFonts w:ascii="Sylfaen" w:hAnsi="Sylfaen"/>
          <w:sz w:val="24"/>
          <w:szCs w:val="24"/>
        </w:rPr>
        <w:t>և</w:t>
      </w:r>
      <w:r w:rsidRPr="003B2786">
        <w:rPr>
          <w:rFonts w:ascii="Sylfaen" w:hAnsi="Sylfaen"/>
          <w:sz w:val="24"/>
          <w:szCs w:val="24"/>
        </w:rPr>
        <w:t xml:space="preserve"> Դեղամիջոցների գրանցման կանոնների XIII բաժնի համաձայն անցել են (անցնում են) համապատասխանեցման ընթացակարգը: </w:t>
      </w:r>
    </w:p>
    <w:p w14:paraId="03394F42"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1.1.4.</w:t>
      </w:r>
      <w:r w:rsidRPr="003B2786">
        <w:rPr>
          <w:rFonts w:ascii="Sylfaen" w:hAnsi="Sylfaen"/>
          <w:sz w:val="24"/>
          <w:szCs w:val="24"/>
        </w:rPr>
        <w:tab/>
        <w:t>Սույն հավելվածի III բաժինը կիրառվում է բացառապես Դեղամիջոցների գրանցման կանոնների V.I բաժնին համապատասխան մեկ անդամ պետությունում (ռեֆերենտ պետությունում) գրանցված դեղապատրաստուկների գրանցման պայմանների փոփոխությունների, ինչպես նա</w:t>
      </w:r>
      <w:r w:rsidR="00C54D75">
        <w:rPr>
          <w:rFonts w:ascii="Sylfaen" w:hAnsi="Sylfaen"/>
          <w:sz w:val="24"/>
          <w:szCs w:val="24"/>
        </w:rPr>
        <w:t>և</w:t>
      </w:r>
      <w:r w:rsidRPr="003B2786">
        <w:rPr>
          <w:rFonts w:ascii="Sylfaen" w:hAnsi="Sylfaen"/>
          <w:sz w:val="24"/>
          <w:szCs w:val="24"/>
        </w:rPr>
        <w:t xml:space="preserve"> այն դեղապատրաստուկների գրանցման պայմանների փոփոխությունների նկատմամբ, որոնք գրանցված են մեկ անդամ պետությունում </w:t>
      </w:r>
      <w:r w:rsidR="00C54D75">
        <w:rPr>
          <w:rFonts w:ascii="Sylfaen" w:hAnsi="Sylfaen"/>
          <w:sz w:val="24"/>
          <w:szCs w:val="24"/>
        </w:rPr>
        <w:t>և</w:t>
      </w:r>
      <w:r w:rsidRPr="003B2786">
        <w:rPr>
          <w:rFonts w:ascii="Sylfaen" w:hAnsi="Sylfaen"/>
          <w:sz w:val="24"/>
          <w:szCs w:val="24"/>
        </w:rPr>
        <w:t xml:space="preserve"> Դեղամիջոցների գրանցման կանոնների XIII բաժնի համաձայն անցել են (անցնում են) համապատասխանեցման ընթացակարգը: </w:t>
      </w:r>
    </w:p>
    <w:p w14:paraId="48A25491"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1.1.5.</w:t>
      </w:r>
      <w:r w:rsidRPr="003B2786">
        <w:rPr>
          <w:rFonts w:ascii="Sylfaen" w:hAnsi="Sylfaen"/>
          <w:sz w:val="24"/>
          <w:szCs w:val="24"/>
        </w:rPr>
        <w:tab/>
        <w:t xml:space="preserve">Սույն հավելվածի IV բաժինը կիրառվում է սույն հավելվածի 1.1.3 </w:t>
      </w:r>
      <w:r w:rsidR="00C54D75">
        <w:rPr>
          <w:rFonts w:ascii="Sylfaen" w:hAnsi="Sylfaen"/>
          <w:sz w:val="24"/>
          <w:szCs w:val="24"/>
        </w:rPr>
        <w:t>և</w:t>
      </w:r>
      <w:r w:rsidRPr="003B2786">
        <w:rPr>
          <w:rFonts w:ascii="Sylfaen" w:hAnsi="Sylfaen"/>
          <w:sz w:val="24"/>
          <w:szCs w:val="24"/>
        </w:rPr>
        <w:t xml:space="preserve"> 1.1.4 ենթակետերում նշված գրանցման պայմանների փոփոխությունների նկատմամբ:</w:t>
      </w:r>
    </w:p>
    <w:p w14:paraId="1693245C" w14:textId="77777777" w:rsidR="008C76E0" w:rsidRPr="003B2786" w:rsidRDefault="008C76E0" w:rsidP="006817C8">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1.1.6.</w:t>
      </w:r>
      <w:r w:rsidRPr="003B2786">
        <w:rPr>
          <w:rFonts w:ascii="Sylfaen" w:hAnsi="Sylfaen"/>
          <w:sz w:val="24"/>
          <w:szCs w:val="24"/>
        </w:rPr>
        <w:tab/>
        <w:t>Բժշկական կիրառման գրանցված դեղապատրաստուկի գրանցման դոսյեի մեջ փոփոխություններ կատարելիս դեղապատրաստուկի փորձաքննություն անցկացնելու կանոնները ներկայացված են Դեղամիջոցների գրանցման կանոնների թիվ 20 հավելվածում:</w:t>
      </w:r>
    </w:p>
    <w:p w14:paraId="25E69432" w14:textId="77777777" w:rsidR="008C76E0" w:rsidRPr="003B2786" w:rsidRDefault="008C76E0" w:rsidP="006817C8">
      <w:pPr>
        <w:tabs>
          <w:tab w:val="left" w:pos="1134"/>
        </w:tabs>
        <w:spacing w:after="160" w:line="384" w:lineRule="auto"/>
        <w:ind w:firstLine="567"/>
        <w:rPr>
          <w:rFonts w:ascii="Sylfaen" w:hAnsi="Sylfaen"/>
          <w:sz w:val="24"/>
          <w:szCs w:val="24"/>
        </w:rPr>
      </w:pPr>
      <w:r w:rsidRPr="003B2786">
        <w:rPr>
          <w:rFonts w:ascii="Sylfaen" w:hAnsi="Sylfaen"/>
          <w:sz w:val="24"/>
          <w:szCs w:val="24"/>
        </w:rPr>
        <w:t>1.2.</w:t>
      </w:r>
      <w:r>
        <w:rPr>
          <w:rFonts w:ascii="Sylfaen" w:hAnsi="Sylfaen"/>
          <w:sz w:val="24"/>
          <w:szCs w:val="24"/>
        </w:rPr>
        <w:tab/>
      </w:r>
      <w:r w:rsidRPr="003B2786">
        <w:rPr>
          <w:rFonts w:ascii="Sylfaen" w:hAnsi="Sylfaen"/>
          <w:sz w:val="24"/>
          <w:szCs w:val="24"/>
        </w:rPr>
        <w:t>Սահմանումները</w:t>
      </w:r>
    </w:p>
    <w:p w14:paraId="19D0138A" w14:textId="77777777" w:rsidR="008C76E0" w:rsidRPr="003B2786" w:rsidRDefault="008C76E0" w:rsidP="006817C8">
      <w:pPr>
        <w:tabs>
          <w:tab w:val="left" w:pos="993"/>
          <w:tab w:val="left" w:pos="1701"/>
        </w:tabs>
        <w:spacing w:after="160" w:line="384" w:lineRule="auto"/>
        <w:ind w:firstLine="567"/>
        <w:jc w:val="both"/>
        <w:rPr>
          <w:rFonts w:ascii="Sylfaen" w:hAnsi="Sylfaen"/>
          <w:sz w:val="24"/>
          <w:szCs w:val="24"/>
        </w:rPr>
      </w:pPr>
      <w:r w:rsidRPr="003B2786">
        <w:rPr>
          <w:rFonts w:ascii="Sylfaen" w:hAnsi="Sylfaen"/>
          <w:sz w:val="24"/>
          <w:szCs w:val="24"/>
        </w:rPr>
        <w:t>Սույն հավելվածի նպատակներով օգտագործվում են հասկացություններ, որոնք ունեն հետ</w:t>
      </w:r>
      <w:r w:rsidR="00C54D75">
        <w:rPr>
          <w:rFonts w:ascii="Sylfaen" w:hAnsi="Sylfaen"/>
          <w:sz w:val="24"/>
          <w:szCs w:val="24"/>
        </w:rPr>
        <w:t>և</w:t>
      </w:r>
      <w:r w:rsidRPr="003B2786">
        <w:rPr>
          <w:rFonts w:ascii="Sylfaen" w:hAnsi="Sylfaen"/>
          <w:sz w:val="24"/>
          <w:szCs w:val="24"/>
        </w:rPr>
        <w:t>յալ իմաստը՝</w:t>
      </w:r>
    </w:p>
    <w:p w14:paraId="5E8A52A6" w14:textId="77777777" w:rsidR="008C76E0" w:rsidRPr="003B2786" w:rsidRDefault="008C76E0" w:rsidP="006817C8">
      <w:pPr>
        <w:tabs>
          <w:tab w:val="left" w:pos="993"/>
          <w:tab w:val="left" w:pos="1701"/>
        </w:tabs>
        <w:spacing w:after="160" w:line="384" w:lineRule="auto"/>
        <w:ind w:firstLine="567"/>
        <w:jc w:val="both"/>
        <w:rPr>
          <w:rFonts w:ascii="Sylfaen" w:hAnsi="Sylfaen"/>
          <w:sz w:val="24"/>
          <w:szCs w:val="24"/>
        </w:rPr>
      </w:pPr>
      <w:r w:rsidRPr="003B2786">
        <w:rPr>
          <w:rFonts w:ascii="Sylfaen" w:hAnsi="Sylfaen"/>
          <w:sz w:val="24"/>
          <w:szCs w:val="24"/>
        </w:rPr>
        <w:t>«շահագրգիռ անդամ պետություն»՝ անդամ պետություն, որի լիազորված մարմինը գրանցել է դիտարկվող դեղապատրաստուկը.</w:t>
      </w:r>
    </w:p>
    <w:p w14:paraId="7B918903"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lastRenderedPageBreak/>
        <w:t>«II տիպի էական փոփոխություն»՝ փոփոխություն, որը, չլինելով նոր գրանցում պահանջող փոփոխություն, կարող է էական ազդեցություն ունենալ գրանցված դեղապատրաստուկի որակի, անվտանգության կամ արդյունավետության վրա.</w:t>
      </w:r>
    </w:p>
    <w:p w14:paraId="194228B6"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 xml:space="preserve">«նոր գրանցում պահանջող փոփոխություն» կամ «գրանցման ընդլայնում»՝ փոփոխություններ, որոնք թվարկված են I լրացման մեջ </w:t>
      </w:r>
      <w:r w:rsidR="00C54D75">
        <w:rPr>
          <w:rFonts w:ascii="Sylfaen" w:hAnsi="Sylfaen"/>
          <w:sz w:val="24"/>
          <w:szCs w:val="24"/>
        </w:rPr>
        <w:t>և</w:t>
      </w:r>
      <w:r w:rsidRPr="003B2786">
        <w:rPr>
          <w:rFonts w:ascii="Sylfaen" w:hAnsi="Sylfaen"/>
          <w:sz w:val="24"/>
          <w:szCs w:val="24"/>
        </w:rPr>
        <w:t xml:space="preserve"> բավարարում են դրա մեջ նկարագրված պայմաններին.</w:t>
      </w:r>
    </w:p>
    <w:p w14:paraId="1A2081E5"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դեղապատրաստուկի «գրանցման պայմանների փոփոխություն» կամ «գրանցման դոսյեի փոփոխություն» նշանակում է հետ</w:t>
      </w:r>
      <w:r w:rsidR="00C54D75">
        <w:rPr>
          <w:rFonts w:ascii="Sylfaen" w:hAnsi="Sylfaen"/>
          <w:sz w:val="24"/>
          <w:szCs w:val="24"/>
        </w:rPr>
        <w:t>և</w:t>
      </w:r>
      <w:r w:rsidRPr="003B2786">
        <w:rPr>
          <w:rFonts w:ascii="Sylfaen" w:hAnsi="Sylfaen"/>
          <w:sz w:val="24"/>
          <w:szCs w:val="24"/>
        </w:rPr>
        <w:t>յալների ցանկացած փոփոխություն՝</w:t>
      </w:r>
    </w:p>
    <w:p w14:paraId="6C23F55F"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 xml:space="preserve">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1 հավելվածում նշված փաստաթղթերի </w:t>
      </w:r>
      <w:r w:rsidR="00C54D75">
        <w:rPr>
          <w:rFonts w:ascii="Sylfaen" w:hAnsi="Sylfaen"/>
          <w:sz w:val="24"/>
          <w:szCs w:val="24"/>
        </w:rPr>
        <w:t>և</w:t>
      </w:r>
      <w:r w:rsidRPr="003B2786">
        <w:rPr>
          <w:rFonts w:ascii="Sylfaen" w:hAnsi="Sylfaen"/>
          <w:sz w:val="24"/>
          <w:szCs w:val="24"/>
        </w:rPr>
        <w:t xml:space="preserve"> տվյալների.</w:t>
      </w:r>
    </w:p>
    <w:p w14:paraId="3A892CC8"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 xml:space="preserve">բժշկական կիրառման դեղապատրաստուկի գրանցման մասին որոշում կայացնելու պայմանների, ներառյալ՝ դեղապատրաստուկի ընդհանուր բնութագիրը </w:t>
      </w:r>
      <w:r w:rsidR="00C54D75">
        <w:rPr>
          <w:rFonts w:ascii="Sylfaen" w:hAnsi="Sylfaen"/>
          <w:sz w:val="24"/>
          <w:szCs w:val="24"/>
        </w:rPr>
        <w:t>և</w:t>
      </w:r>
      <w:r w:rsidRPr="003B2786">
        <w:rPr>
          <w:rFonts w:ascii="Sylfaen" w:hAnsi="Sylfaen"/>
          <w:sz w:val="24"/>
          <w:szCs w:val="24"/>
        </w:rPr>
        <w:t xml:space="preserve"> ցանկացած պայման, պարտավորություն կամ սահմանափակում, որը ազդում է դեղապատրաստուկի գրանցման վրա, կամ մականշվածքի կամ ներդիր թերթիկի փոփոխություններ, որոնք պայմանավորված են դեղապատրաստուկի ընդհանուր բնութագրի փոփոխությամբ.</w:t>
      </w:r>
    </w:p>
    <w:p w14:paraId="3B87C475"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 xml:space="preserve">«IA տիպի ոչ էական փոփոխություն»՝ փոփոխություն, որը գրանցված դեղապատրաստուկի 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վրա նվազագույն ազդեցություն է ունենում կամ որ</w:t>
      </w:r>
      <w:r w:rsidR="00C54D75">
        <w:rPr>
          <w:rFonts w:ascii="Sylfaen" w:hAnsi="Sylfaen"/>
          <w:sz w:val="24"/>
          <w:szCs w:val="24"/>
        </w:rPr>
        <w:t>և</w:t>
      </w:r>
      <w:r w:rsidRPr="003B2786">
        <w:rPr>
          <w:rFonts w:ascii="Sylfaen" w:hAnsi="Sylfaen"/>
          <w:sz w:val="24"/>
          <w:szCs w:val="24"/>
        </w:rPr>
        <w:t>է ազդեցություն չի ունենում.</w:t>
      </w:r>
    </w:p>
    <w:p w14:paraId="62888123"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 xml:space="preserve">«IB տիպի ոչ էական փոփոխություն»՝ փոփոխություն, որի վրա չեն տարածվում IA, II տիպերի փոփոխությունների սահմանումները </w:t>
      </w:r>
      <w:r w:rsidR="00C54D75">
        <w:rPr>
          <w:rFonts w:ascii="Sylfaen" w:hAnsi="Sylfaen"/>
          <w:sz w:val="24"/>
          <w:szCs w:val="24"/>
        </w:rPr>
        <w:t>և</w:t>
      </w:r>
      <w:r w:rsidRPr="003B2786">
        <w:rPr>
          <w:rFonts w:ascii="Sylfaen" w:hAnsi="Sylfaen"/>
          <w:sz w:val="24"/>
          <w:szCs w:val="24"/>
        </w:rPr>
        <w:t xml:space="preserve"> գրանցման ընդլայնումները.</w:t>
      </w:r>
    </w:p>
    <w:p w14:paraId="29CF043E"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t>«անվտանգության նպատակով անհետաձգելի սահմանափակում»՝ դեղապատրաստուկի անվտանգ կիրառման վերաբերյալ նոր տեղեկությունների ի հայտ գալու հետ կապված գրանցման պայմանների միջանկյալ փոփոխություն.</w:t>
      </w:r>
    </w:p>
    <w:p w14:paraId="05E280EA" w14:textId="77777777" w:rsidR="008C76E0" w:rsidRPr="003B2786" w:rsidRDefault="008C76E0" w:rsidP="00593820">
      <w:pPr>
        <w:tabs>
          <w:tab w:val="left" w:pos="993"/>
        </w:tabs>
        <w:spacing w:after="160" w:line="360" w:lineRule="auto"/>
        <w:ind w:right="-1" w:firstLine="567"/>
        <w:jc w:val="both"/>
        <w:rPr>
          <w:rFonts w:ascii="Sylfaen" w:hAnsi="Sylfaen"/>
          <w:sz w:val="24"/>
          <w:szCs w:val="24"/>
        </w:rPr>
      </w:pPr>
      <w:r w:rsidRPr="003B2786">
        <w:rPr>
          <w:rFonts w:ascii="Sylfaen" w:hAnsi="Sylfaen"/>
          <w:sz w:val="24"/>
          <w:szCs w:val="24"/>
        </w:rPr>
        <w:lastRenderedPageBreak/>
        <w:t>«համապատասխան մարմին»՝ յուրաքանչյուր շահագրգիռ անդամ պետության լիազորված մարմին (փորձագիտական կազմակերպություն):</w:t>
      </w:r>
    </w:p>
    <w:p w14:paraId="5D7841EF"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1.3.</w:t>
      </w:r>
      <w:r>
        <w:rPr>
          <w:rFonts w:ascii="Sylfaen" w:hAnsi="Sylfaen"/>
          <w:sz w:val="24"/>
          <w:szCs w:val="24"/>
        </w:rPr>
        <w:tab/>
      </w:r>
      <w:r w:rsidRPr="003B2786">
        <w:rPr>
          <w:rFonts w:ascii="Sylfaen" w:hAnsi="Sylfaen"/>
          <w:sz w:val="24"/>
          <w:szCs w:val="24"/>
        </w:rPr>
        <w:t>Փոփոխությունների դասակարգումը</w:t>
      </w:r>
    </w:p>
    <w:p w14:paraId="69865F1D"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1.3.1.</w:t>
      </w:r>
      <w:r w:rsidRPr="003B2786">
        <w:rPr>
          <w:rFonts w:ascii="Sylfaen" w:hAnsi="Sylfaen"/>
          <w:sz w:val="24"/>
          <w:szCs w:val="24"/>
        </w:rPr>
        <w:tab/>
        <w:t>Դեղապատրաստուկի գրանցման ընդլայնում չհանդիսացող յուրաքանչյուր փոփոխության նկատմամբ կիրառվում է II լրացման մեջ սահմանված դասակարգումը:</w:t>
      </w:r>
    </w:p>
    <w:p w14:paraId="62FBCDF3"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1.3.2.</w:t>
      </w:r>
      <w:r w:rsidRPr="003B2786">
        <w:rPr>
          <w:rFonts w:ascii="Sylfaen" w:hAnsi="Sylfaen"/>
          <w:sz w:val="24"/>
          <w:szCs w:val="24"/>
        </w:rPr>
        <w:tab/>
        <w:t xml:space="preserve">Այն փոփոխությունը, որը չի հանդիսանում դեղապատրաստուկի գրանցման ընդլայնում, </w:t>
      </w:r>
      <w:r w:rsidR="00C54D75">
        <w:rPr>
          <w:rFonts w:ascii="Sylfaen" w:hAnsi="Sylfaen"/>
          <w:sz w:val="24"/>
          <w:szCs w:val="24"/>
        </w:rPr>
        <w:t>և</w:t>
      </w:r>
      <w:r w:rsidRPr="003B2786">
        <w:rPr>
          <w:rFonts w:ascii="Sylfaen" w:hAnsi="Sylfaen"/>
          <w:sz w:val="24"/>
          <w:szCs w:val="24"/>
        </w:rPr>
        <w:t xml:space="preserve"> որի դասակարգային պատկանելությունը հնարավոր չէ որոշել՝ կիրառելով սույն հավելվածի դրույթները </w:t>
      </w:r>
      <w:r w:rsidR="00C54D75">
        <w:rPr>
          <w:rFonts w:ascii="Sylfaen" w:hAnsi="Sylfaen"/>
          <w:sz w:val="24"/>
          <w:szCs w:val="24"/>
        </w:rPr>
        <w:t>և</w:t>
      </w:r>
      <w:r w:rsidRPr="003B2786">
        <w:rPr>
          <w:rFonts w:ascii="Sylfaen" w:hAnsi="Sylfaen"/>
          <w:sz w:val="24"/>
          <w:szCs w:val="24"/>
        </w:rPr>
        <w:t xml:space="preserve"> հաշվի առնելով 1.5 կետի համաձայն կազմված առաջարկությունները, ինքնաբերաբար հանդես է գալիս որպես IB տիպի փոփոխություն:</w:t>
      </w:r>
    </w:p>
    <w:p w14:paraId="7118CB20"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1.3.3.</w:t>
      </w:r>
      <w:r w:rsidRPr="003B2786">
        <w:rPr>
          <w:rFonts w:ascii="Sylfaen" w:hAnsi="Sylfaen"/>
          <w:sz w:val="24"/>
          <w:szCs w:val="24"/>
        </w:rPr>
        <w:tab/>
        <w:t xml:space="preserve">1.3.2 ենթակետից բացառելու կարգով այն փոփոխությունը, որը չի հանդիսանում դեղապատրաստուկի գրանցման ընդլայնում, </w:t>
      </w:r>
      <w:r w:rsidR="00C54D75">
        <w:rPr>
          <w:rFonts w:ascii="Sylfaen" w:hAnsi="Sylfaen"/>
          <w:sz w:val="24"/>
          <w:szCs w:val="24"/>
        </w:rPr>
        <w:t>և</w:t>
      </w:r>
      <w:r w:rsidRPr="003B2786">
        <w:rPr>
          <w:rFonts w:ascii="Sylfaen" w:hAnsi="Sylfaen"/>
          <w:sz w:val="24"/>
          <w:szCs w:val="24"/>
        </w:rPr>
        <w:t xml:space="preserve"> որի դասակարգային պատկանելությունը հնարավոր չէ որոշել՝ կիրառելով սույն հավելվածով սահմանված կանոնները, հանդես է գալիս որպես II տիպի էական փոփոխություն հետ</w:t>
      </w:r>
      <w:r w:rsidR="00C54D75">
        <w:rPr>
          <w:rFonts w:ascii="Sylfaen" w:hAnsi="Sylfaen"/>
          <w:sz w:val="24"/>
          <w:szCs w:val="24"/>
        </w:rPr>
        <w:t>և</w:t>
      </w:r>
      <w:r w:rsidRPr="003B2786">
        <w:rPr>
          <w:rFonts w:ascii="Sylfaen" w:hAnsi="Sylfaen"/>
          <w:sz w:val="24"/>
          <w:szCs w:val="24"/>
        </w:rPr>
        <w:t>յալ դեպքերում՝</w:t>
      </w:r>
    </w:p>
    <w:p w14:paraId="5F358163"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փոփոխություն կատարելու հայտ ներկայացնելիս՝ հայտատուի հարցմամբ.</w:t>
      </w:r>
    </w:p>
    <w:p w14:paraId="22B1890F"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եթե ռեֆերենտ պետության լիազորված մարմինը (փորձագիտական կազմակերպությունը) ճանաչման պետությունների լիազորված մարմինների (փորձագիտական կազմակերպությունների) հետ խորհրդակցելուց հետո կամ ռեֆերենտ պետության լիազորված մարմինը (փորձագիտական կազմակերպությունը) դեղապատրաստուկը միայն այդ անդամ պետությունում գրանցելիս համապատասխանաբար 2.2.2 կամ 3.2.2 ենթակետերին համապատասխան </w:t>
      </w:r>
      <w:r w:rsidR="00C54D75">
        <w:rPr>
          <w:rFonts w:ascii="Sylfaen" w:hAnsi="Sylfaen"/>
          <w:sz w:val="24"/>
          <w:szCs w:val="24"/>
        </w:rPr>
        <w:t>և</w:t>
      </w:r>
      <w:r w:rsidRPr="003B2786">
        <w:rPr>
          <w:rFonts w:ascii="Sylfaen" w:hAnsi="Sylfaen"/>
          <w:sz w:val="24"/>
          <w:szCs w:val="24"/>
        </w:rPr>
        <w:t xml:space="preserve"> սույն հավելվածի 1.5 կետը հաշվի առնելով ծանուցումը գնահատելուց հետո ընդունում է որոշում այն մասին, որ փոփոխությունը էական ազդեցություն է ունենում գրանցված դեղապատրաստուկի որակի, անվտանգության կամ արդյունավետության վրա: </w:t>
      </w:r>
    </w:p>
    <w:p w14:paraId="0FE3D2FA"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1.3.4.</w:t>
      </w:r>
      <w:r w:rsidRPr="003B2786">
        <w:rPr>
          <w:rFonts w:ascii="Sylfaen" w:hAnsi="Sylfaen"/>
          <w:sz w:val="24"/>
          <w:szCs w:val="24"/>
        </w:rPr>
        <w:tab/>
        <w:t>Փոփոխությունների մանրամասն դասակարգումը ներկայացվում է V լրացման մեջ:</w:t>
      </w:r>
    </w:p>
    <w:p w14:paraId="32218216" w14:textId="77777777" w:rsidR="008C76E0" w:rsidRPr="003B2786" w:rsidRDefault="008C76E0" w:rsidP="00593820">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1.4.</w:t>
      </w:r>
      <w:r>
        <w:rPr>
          <w:rFonts w:ascii="Sylfaen" w:hAnsi="Sylfaen"/>
          <w:sz w:val="24"/>
          <w:szCs w:val="24"/>
        </w:rPr>
        <w:tab/>
      </w:r>
      <w:r w:rsidRPr="003B2786">
        <w:rPr>
          <w:rFonts w:ascii="Sylfaen" w:hAnsi="Sylfaen"/>
          <w:sz w:val="24"/>
          <w:szCs w:val="24"/>
        </w:rPr>
        <w:t>Փոփոխություններ կատարելը</w:t>
      </w:r>
    </w:p>
    <w:p w14:paraId="4A88417C"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1.4.1.</w:t>
      </w:r>
      <w:r w:rsidRPr="003B2786">
        <w:rPr>
          <w:rFonts w:ascii="Sylfaen" w:hAnsi="Sylfaen"/>
          <w:sz w:val="24"/>
          <w:szCs w:val="24"/>
        </w:rPr>
        <w:tab/>
        <w:t>Եվրասիական տնտեսական հանձնաժողովը (այսուհետ՝ Հանձնաժողով) պարտավոր է պարբերաբար փոփոխություններ կատարել սույն հավելվածի մեջ՝ արդի գիտական տվյալներին համապատասխան:</w:t>
      </w:r>
    </w:p>
    <w:p w14:paraId="6845146D"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1.5.</w:t>
      </w:r>
      <w:r w:rsidRPr="003B2786">
        <w:rPr>
          <w:rFonts w:ascii="Sylfaen" w:hAnsi="Sylfaen"/>
          <w:sz w:val="24"/>
          <w:szCs w:val="24"/>
        </w:rPr>
        <w:tab/>
        <w:t>Չդասակարգված փոփոխությունների վերաբերյալ առաջարկություններ</w:t>
      </w:r>
    </w:p>
    <w:p w14:paraId="3D2D8665"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1.5.1.</w:t>
      </w:r>
      <w:r w:rsidRPr="003B2786">
        <w:rPr>
          <w:rFonts w:ascii="Sylfaen" w:hAnsi="Sylfaen"/>
          <w:sz w:val="24"/>
          <w:szCs w:val="24"/>
        </w:rPr>
        <w:tab/>
        <w:t>Նախքան այնպիսի փոփոխության կատարման հայտ ներկայացնելը, որի դասակարգումը սույն հավելվածում բացակայում է, հայտատուն իրավունք ունի ռեֆերենտ պետության լիազորված մարմնից (փորձագիտական կազմակերպությունից) փոփոխության դասակարգման վերաբերյալ առաջարկություն պահանջելու:</w:t>
      </w:r>
    </w:p>
    <w:p w14:paraId="1689A0A5" w14:textId="77777777" w:rsidR="008C76E0" w:rsidRPr="003B2786" w:rsidRDefault="008C76E0" w:rsidP="006817C8">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1.5.2.</w:t>
      </w:r>
      <w:r w:rsidRPr="003B2786">
        <w:rPr>
          <w:rFonts w:ascii="Sylfaen" w:hAnsi="Sylfaen"/>
          <w:sz w:val="24"/>
          <w:szCs w:val="24"/>
        </w:rPr>
        <w:tab/>
        <w:t xml:space="preserve">1.5.1 ենթակետում հիշատակված առաջարկությունը չպետք է հակասի սույն հավելվածին: Անհրաժեշտ է, որ ռեֆերենտ պետության լիազորված մարմինը (փորձագիտական կազմակերպությունը) հայտատուի կողմից հայտն ստանալուց հետո՝ 45 օրացուցային օրվա ընթացքում, էլեկտրոնային </w:t>
      </w:r>
      <w:r w:rsidR="00C54D75">
        <w:rPr>
          <w:rFonts w:ascii="Sylfaen" w:hAnsi="Sylfaen"/>
          <w:sz w:val="24"/>
          <w:szCs w:val="24"/>
        </w:rPr>
        <w:t>և</w:t>
      </w:r>
      <w:r w:rsidRPr="003B2786">
        <w:rPr>
          <w:rFonts w:ascii="Sylfaen" w:hAnsi="Sylfaen"/>
          <w:sz w:val="24"/>
          <w:szCs w:val="24"/>
        </w:rPr>
        <w:t xml:space="preserve"> (կամ) թղթային եղանակով առաջարկությունն ուղարկի հայտատուին, մյուս անդամ պետություններ </w:t>
      </w:r>
      <w:r w:rsidR="00C54D75">
        <w:rPr>
          <w:rFonts w:ascii="Sylfaen" w:hAnsi="Sylfaen"/>
          <w:sz w:val="24"/>
          <w:szCs w:val="24"/>
        </w:rPr>
        <w:t>և</w:t>
      </w:r>
      <w:r w:rsidRPr="003B2786">
        <w:rPr>
          <w:rFonts w:ascii="Sylfaen" w:hAnsi="Sylfaen"/>
          <w:sz w:val="24"/>
          <w:szCs w:val="24"/>
        </w:rPr>
        <w:t xml:space="preserve"> Հանձնաժողովին կից Դեղամիջոցների հարցերով փորձագիտական կոմիտե (այսուհետ՝ Փորձագիտական կոմիտե): Նշված ժամկետը կարող է երկարաձգվել </w:t>
      </w:r>
      <w:r w:rsidR="00C54D75">
        <w:rPr>
          <w:rFonts w:ascii="Sylfaen" w:hAnsi="Sylfaen"/>
          <w:sz w:val="24"/>
          <w:szCs w:val="24"/>
        </w:rPr>
        <w:t>և</w:t>
      </w:r>
      <w:r w:rsidRPr="003B2786">
        <w:rPr>
          <w:rFonts w:ascii="Sylfaen" w:hAnsi="Sylfaen"/>
          <w:sz w:val="24"/>
          <w:szCs w:val="24"/>
        </w:rPr>
        <w:t>ս 45 օրացուցային օրով, եթե ռեֆերենտ պետության լիազորված մարմինը (փորձագիտական կազմակերպությունը) անհրաժեշտ համարի խորհրդակցել Փորձագիտական կոմիտեի հետ:</w:t>
      </w:r>
    </w:p>
    <w:p w14:paraId="38E48626" w14:textId="77777777" w:rsidR="008C76E0" w:rsidRPr="003B2786" w:rsidRDefault="008C76E0" w:rsidP="006817C8">
      <w:pPr>
        <w:tabs>
          <w:tab w:val="left" w:pos="1701"/>
        </w:tabs>
        <w:spacing w:after="160" w:line="336" w:lineRule="auto"/>
        <w:ind w:firstLine="567"/>
        <w:jc w:val="both"/>
        <w:rPr>
          <w:rFonts w:ascii="Sylfaen" w:hAnsi="Sylfaen"/>
          <w:sz w:val="24"/>
          <w:szCs w:val="24"/>
        </w:rPr>
      </w:pPr>
      <w:r w:rsidRPr="003B2786">
        <w:rPr>
          <w:rFonts w:ascii="Sylfaen" w:hAnsi="Sylfaen"/>
          <w:sz w:val="24"/>
          <w:szCs w:val="24"/>
        </w:rPr>
        <w:t>1.5.3.</w:t>
      </w:r>
      <w:r w:rsidRPr="003B2786">
        <w:rPr>
          <w:rFonts w:ascii="Sylfaen" w:hAnsi="Sylfaen"/>
          <w:sz w:val="24"/>
          <w:szCs w:val="24"/>
        </w:rPr>
        <w:tab/>
        <w:t>Նախքան այն փոփոխության փորձաքննությունը, որի դասակարգումը բացակայում է սույն հավելվածում, շահագրգիռ անդամ պետության լիազորված մարմինը (փորձագիտական կազմակերպությունը) իրավունք ունի Փորձագիտական կոմիտեից այդպիսի փոփոխության վերաբերյալ առաջարկություն պահանջելու:</w:t>
      </w:r>
    </w:p>
    <w:p w14:paraId="31FB4017"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1.5.4.</w:t>
      </w:r>
      <w:r w:rsidRPr="003B2786">
        <w:rPr>
          <w:rFonts w:ascii="Sylfaen" w:hAnsi="Sylfaen"/>
          <w:sz w:val="24"/>
          <w:szCs w:val="24"/>
        </w:rPr>
        <w:tab/>
        <w:t xml:space="preserve">1.5.3 կետում հիշատակված առաջարկությունը չպետք է հակասի սույն հավելվածին: Անհրաժեշտ է, որ Փորձագիտական կոմիտեն այն ներկայացնի շահագրգիռ լիազորված մարմնի (փորձագիտական կազմակերպության) կողմից հարցումն ստանալուց հետո՝ 45 օրացուցային օրվա ընթացքում, </w:t>
      </w:r>
      <w:r w:rsidR="00C54D75">
        <w:rPr>
          <w:rFonts w:ascii="Sylfaen" w:hAnsi="Sylfaen"/>
          <w:sz w:val="24"/>
          <w:szCs w:val="24"/>
        </w:rPr>
        <w:t>և</w:t>
      </w:r>
      <w:r w:rsidRPr="003B2786">
        <w:rPr>
          <w:rFonts w:ascii="Sylfaen" w:hAnsi="Sylfaen"/>
          <w:sz w:val="24"/>
          <w:szCs w:val="24"/>
        </w:rPr>
        <w:t xml:space="preserve"> ուղարկի հայտատուին ու անդամ պետությունների համապատասխան լիազորված մարմիններ:</w:t>
      </w:r>
    </w:p>
    <w:p w14:paraId="0ED6757F"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1.5.5.</w:t>
      </w:r>
      <w:r w:rsidRPr="003B2786">
        <w:rPr>
          <w:rFonts w:ascii="Sylfaen" w:hAnsi="Sylfaen"/>
          <w:sz w:val="24"/>
          <w:szCs w:val="24"/>
        </w:rPr>
        <w:tab/>
        <w:t xml:space="preserve">1.5.1 </w:t>
      </w:r>
      <w:r w:rsidR="00C54D75">
        <w:rPr>
          <w:rFonts w:ascii="Sylfaen" w:hAnsi="Sylfaen"/>
          <w:sz w:val="24"/>
          <w:szCs w:val="24"/>
        </w:rPr>
        <w:t>և</w:t>
      </w:r>
      <w:r w:rsidRPr="003B2786">
        <w:rPr>
          <w:rFonts w:ascii="Sylfaen" w:hAnsi="Sylfaen"/>
          <w:sz w:val="24"/>
          <w:szCs w:val="24"/>
        </w:rPr>
        <w:t xml:space="preserve"> 1.5.3 ենթակետերին համապատասխան լիազորված մարմինների (փորձագիտական կազմակերպությունների) </w:t>
      </w:r>
      <w:r w:rsidR="00C54D75">
        <w:rPr>
          <w:rFonts w:ascii="Sylfaen" w:hAnsi="Sylfaen"/>
          <w:sz w:val="24"/>
          <w:szCs w:val="24"/>
        </w:rPr>
        <w:t>և</w:t>
      </w:r>
      <w:r w:rsidRPr="003B2786">
        <w:rPr>
          <w:rFonts w:ascii="Sylfaen" w:hAnsi="Sylfaen"/>
          <w:sz w:val="24"/>
          <w:szCs w:val="24"/>
        </w:rPr>
        <w:t xml:space="preserve"> Փորձագիտական կոմիտեի կողմից պատրաստված առաջարկությունների համաձայնեցումն ապահովելու նպատակով Հանձնաժողովը պետք է այդպիսի առաջարկությունները հրապարակի «Ինտերնետ» տեղեկատվական-հեռահաղորդակցական ցանցում՝ պաշտոնական կայքում՝ նախապես հեռացնելով գաղտնի բնույթ ունեցող բոլոր տեղեկությունները:</w:t>
      </w:r>
    </w:p>
    <w:p w14:paraId="54663305" w14:textId="77777777" w:rsidR="008C76E0" w:rsidRPr="003B2786" w:rsidRDefault="008C76E0" w:rsidP="00593820">
      <w:pPr>
        <w:tabs>
          <w:tab w:val="left" w:pos="1134"/>
        </w:tabs>
        <w:spacing w:after="160" w:line="360" w:lineRule="auto"/>
        <w:ind w:right="566" w:firstLine="567"/>
        <w:jc w:val="both"/>
        <w:rPr>
          <w:rFonts w:ascii="Sylfaen" w:hAnsi="Sylfaen"/>
          <w:sz w:val="24"/>
          <w:szCs w:val="24"/>
        </w:rPr>
      </w:pPr>
      <w:r w:rsidRPr="003B2786">
        <w:rPr>
          <w:rFonts w:ascii="Sylfaen" w:hAnsi="Sylfaen"/>
          <w:sz w:val="24"/>
          <w:szCs w:val="24"/>
        </w:rPr>
        <w:t>1.6.</w:t>
      </w:r>
      <w:r>
        <w:rPr>
          <w:rFonts w:ascii="Sylfaen" w:hAnsi="Sylfaen"/>
          <w:sz w:val="24"/>
          <w:szCs w:val="24"/>
        </w:rPr>
        <w:tab/>
      </w:r>
      <w:r w:rsidRPr="003B2786">
        <w:rPr>
          <w:rFonts w:ascii="Sylfaen" w:hAnsi="Sylfaen"/>
          <w:sz w:val="24"/>
          <w:szCs w:val="24"/>
        </w:rPr>
        <w:t>Փոփոխություններ, որոնք հանգեցնում են դեղապատրաստուկի մասին տեղեկատվության վերանայման</w:t>
      </w:r>
    </w:p>
    <w:p w14:paraId="6FC03542"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1.6.1.</w:t>
      </w:r>
      <w:r w:rsidRPr="003B2786">
        <w:rPr>
          <w:rFonts w:ascii="Sylfaen" w:hAnsi="Sylfaen"/>
          <w:sz w:val="24"/>
          <w:szCs w:val="24"/>
        </w:rPr>
        <w:tab/>
        <w:t>Եթե փոփոխությունը հանգեցնում է դեղապատրաստուկի ընդհանուր բնութագրի, մականշվածքի կամ ներդիր թերթիկի, ինչպես նա</w:t>
      </w:r>
      <w:r w:rsidR="00C54D75">
        <w:rPr>
          <w:rFonts w:ascii="Sylfaen" w:hAnsi="Sylfaen"/>
          <w:sz w:val="24"/>
          <w:szCs w:val="24"/>
        </w:rPr>
        <w:t>և</w:t>
      </w:r>
      <w:r w:rsidRPr="003B2786">
        <w:rPr>
          <w:rFonts w:ascii="Sylfaen" w:hAnsi="Sylfaen"/>
          <w:sz w:val="24"/>
          <w:szCs w:val="24"/>
        </w:rPr>
        <w:t xml:space="preserve"> որակի նորմատիվ փաստաթղթի վերանայման կամ դեղապատրաստուկի գրանցման հավաստագրի մեջ տեղեկատվության փոփոխության, ապա այդպիսի վերանայումը համարվում է այդ փոփոխության մաս:</w:t>
      </w:r>
    </w:p>
    <w:p w14:paraId="3BC81B24" w14:textId="77777777" w:rsidR="008C76E0" w:rsidRPr="003B2786" w:rsidRDefault="008C76E0" w:rsidP="00593820">
      <w:pPr>
        <w:spacing w:after="160" w:line="360" w:lineRule="auto"/>
        <w:ind w:right="-1" w:firstLine="567"/>
        <w:jc w:val="both"/>
        <w:rPr>
          <w:rFonts w:ascii="Sylfaen" w:hAnsi="Sylfaen"/>
          <w:sz w:val="24"/>
          <w:szCs w:val="24"/>
        </w:rPr>
      </w:pPr>
      <w:r w:rsidRPr="003B2786">
        <w:rPr>
          <w:rFonts w:ascii="Sylfaen" w:hAnsi="Sylfaen"/>
          <w:sz w:val="24"/>
          <w:szCs w:val="24"/>
        </w:rPr>
        <w:t>1.7.</w:t>
      </w:r>
      <w:r>
        <w:rPr>
          <w:rFonts w:ascii="Sylfaen" w:hAnsi="Sylfaen"/>
          <w:sz w:val="24"/>
          <w:szCs w:val="24"/>
        </w:rPr>
        <w:tab/>
      </w:r>
      <w:r w:rsidRPr="003B2786">
        <w:rPr>
          <w:rFonts w:ascii="Sylfaen" w:hAnsi="Sylfaen"/>
          <w:sz w:val="24"/>
          <w:szCs w:val="24"/>
        </w:rPr>
        <w:t>Փոփոխությունների խմբավորումը</w:t>
      </w:r>
    </w:p>
    <w:p w14:paraId="06C5F8C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1.7.1.</w:t>
      </w:r>
      <w:r w:rsidRPr="003B2786">
        <w:rPr>
          <w:rFonts w:ascii="Sylfaen" w:hAnsi="Sylfaen"/>
          <w:sz w:val="24"/>
          <w:szCs w:val="24"/>
        </w:rPr>
        <w:tab/>
        <w:t>Մի քանի փոփոխությունների մասին ծանուցելու կամ փոփոխություններ կատարելու մի քանի հայտեր ներկայացնելու դեպքում համապատասխանաբար սույն հավելվածի II բաժնին կամ 4.1.1 ենթակետին համապատասխան յուրաքանչյուր փոփոխության առնչությամբ անհրաժեշտ է ներկայացնել առանձին ծանուցում կամ բժշկական կիրառման գրանցված դեղապատրաստուկի գրանցման դոսյեի մեջ փոփոխություններ կատարելու դոսյե (այսուհետ՝ փոփոխության դոսյե):</w:t>
      </w:r>
    </w:p>
    <w:p w14:paraId="73E62683"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1.7.2.</w:t>
      </w:r>
      <w:r w:rsidRPr="003B2786">
        <w:rPr>
          <w:rFonts w:ascii="Sylfaen" w:hAnsi="Sylfaen"/>
          <w:sz w:val="24"/>
          <w:szCs w:val="24"/>
        </w:rPr>
        <w:tab/>
        <w:t>Սույն հավելվածի 1.7.1 ենթակետից բացառելու կարգով կիրառվում են հետ</w:t>
      </w:r>
      <w:r w:rsidR="00C54D75">
        <w:rPr>
          <w:rFonts w:ascii="Sylfaen" w:hAnsi="Sylfaen"/>
          <w:sz w:val="24"/>
          <w:szCs w:val="24"/>
        </w:rPr>
        <w:t>և</w:t>
      </w:r>
      <w:r w:rsidRPr="003B2786">
        <w:rPr>
          <w:rFonts w:ascii="Sylfaen" w:hAnsi="Sylfaen"/>
          <w:sz w:val="24"/>
          <w:szCs w:val="24"/>
        </w:rPr>
        <w:t>յալ կանոնները՝</w:t>
      </w:r>
    </w:p>
    <w:p w14:paraId="5F605438" w14:textId="77777777" w:rsidR="008C76E0" w:rsidRPr="003B2786" w:rsidRDefault="008C76E0" w:rsidP="00593820">
      <w:pPr>
        <w:spacing w:after="160" w:line="360" w:lineRule="auto"/>
        <w:ind w:firstLine="567"/>
        <w:jc w:val="both"/>
        <w:rPr>
          <w:rFonts w:ascii="Sylfaen" w:hAnsi="Sylfaen"/>
          <w:sz w:val="24"/>
          <w:szCs w:val="24"/>
        </w:rPr>
      </w:pPr>
      <w:r w:rsidRPr="003B2786">
        <w:rPr>
          <w:rFonts w:ascii="Sylfaen" w:hAnsi="Sylfaen"/>
          <w:sz w:val="24"/>
          <w:szCs w:val="24"/>
        </w:rPr>
        <w:t>մեկ կամ ավելի այն դեղապատրաստուկների գրանցման պայմանների՝ IA տիպի միանման ոչ էական փոփոխությունների մասին միաժամանակ ծանուցելու դեպքում, որոնց իրավատերը մի</w:t>
      </w:r>
      <w:r w:rsidR="00C54D75">
        <w:rPr>
          <w:rFonts w:ascii="Sylfaen" w:hAnsi="Sylfaen"/>
          <w:sz w:val="24"/>
          <w:szCs w:val="24"/>
        </w:rPr>
        <w:t>և</w:t>
      </w:r>
      <w:r w:rsidRPr="003B2786">
        <w:rPr>
          <w:rFonts w:ascii="Sylfaen" w:hAnsi="Sylfaen"/>
          <w:sz w:val="24"/>
          <w:szCs w:val="24"/>
        </w:rPr>
        <w:t>նույն կազմակերպությունն է, թույլատրվում է բոլոր այդպիսի փոփոխությունները ներառել սույն հավելվածի 2.1 կետում կամ 3.1 կետում նշված՝ փոփոխությունների կատարման մասին ծանուցման (հայտի) մեջ.</w:t>
      </w:r>
    </w:p>
    <w:p w14:paraId="0D8BC017" w14:textId="77777777" w:rsidR="008C76E0" w:rsidRPr="003B2786" w:rsidRDefault="008C76E0" w:rsidP="00593820">
      <w:pPr>
        <w:spacing w:after="160" w:line="360" w:lineRule="auto"/>
        <w:ind w:firstLine="567"/>
        <w:jc w:val="both"/>
        <w:rPr>
          <w:rFonts w:ascii="Sylfaen" w:hAnsi="Sylfaen"/>
          <w:sz w:val="24"/>
          <w:szCs w:val="24"/>
        </w:rPr>
      </w:pPr>
      <w:r w:rsidRPr="003B2786">
        <w:rPr>
          <w:rFonts w:ascii="Sylfaen" w:hAnsi="Sylfaen"/>
          <w:sz w:val="24"/>
          <w:szCs w:val="24"/>
        </w:rPr>
        <w:t>մի</w:t>
      </w:r>
      <w:r w:rsidR="00C54D75">
        <w:rPr>
          <w:rFonts w:ascii="Sylfaen" w:hAnsi="Sylfaen"/>
          <w:sz w:val="24"/>
          <w:szCs w:val="24"/>
        </w:rPr>
        <w:t>և</w:t>
      </w:r>
      <w:r w:rsidRPr="003B2786">
        <w:rPr>
          <w:rFonts w:ascii="Sylfaen" w:hAnsi="Sylfaen"/>
          <w:sz w:val="24"/>
          <w:szCs w:val="24"/>
        </w:rPr>
        <w:t>նույն դեղապատրաստուկի գրանցման պայմանների մի քանի փոփոխությունների մասին միաժամանակ ծանուցելու դեպքում թույլատրվում է բոլոր այդպիսի փոփոխությունները ներառել փոփոխությունների կատարման մասին 1 ծանուցման մեջ (կից ներկայացնելով համապատասխան փաստաթղթերը), եթե III լրացման մեջ թվարկված պայմաններից որ</w:t>
      </w:r>
      <w:r w:rsidR="00C54D75">
        <w:rPr>
          <w:rFonts w:ascii="Sylfaen" w:hAnsi="Sylfaen"/>
          <w:sz w:val="24"/>
          <w:szCs w:val="24"/>
        </w:rPr>
        <w:t>և</w:t>
      </w:r>
      <w:r w:rsidRPr="003B2786">
        <w:rPr>
          <w:rFonts w:ascii="Sylfaen" w:hAnsi="Sylfaen"/>
          <w:sz w:val="24"/>
          <w:szCs w:val="24"/>
        </w:rPr>
        <w:t>է մեկը տարածվում է բոլոր դիտարկվող փոփոխությունների վրա.</w:t>
      </w:r>
    </w:p>
    <w:p w14:paraId="4554DA5E" w14:textId="77777777" w:rsidR="008C76E0" w:rsidRPr="003B2786" w:rsidRDefault="008C76E0" w:rsidP="00593820">
      <w:pPr>
        <w:spacing w:after="160" w:line="360" w:lineRule="auto"/>
        <w:ind w:firstLine="567"/>
        <w:jc w:val="both"/>
        <w:rPr>
          <w:rFonts w:ascii="Sylfaen" w:hAnsi="Sylfaen"/>
          <w:sz w:val="24"/>
          <w:szCs w:val="24"/>
        </w:rPr>
      </w:pPr>
      <w:r w:rsidRPr="003B2786">
        <w:rPr>
          <w:rFonts w:ascii="Sylfaen" w:hAnsi="Sylfaen"/>
          <w:sz w:val="24"/>
          <w:szCs w:val="24"/>
        </w:rPr>
        <w:t>մի</w:t>
      </w:r>
      <w:r w:rsidR="00C54D75">
        <w:rPr>
          <w:rFonts w:ascii="Sylfaen" w:hAnsi="Sylfaen"/>
          <w:sz w:val="24"/>
          <w:szCs w:val="24"/>
        </w:rPr>
        <w:t>և</w:t>
      </w:r>
      <w:r w:rsidRPr="003B2786">
        <w:rPr>
          <w:rFonts w:ascii="Sylfaen" w:hAnsi="Sylfaen"/>
          <w:sz w:val="24"/>
          <w:szCs w:val="24"/>
        </w:rPr>
        <w:t>նույն դեղապատրաստուկի գրանցման պայմանների մի քանի այն փոփոխությունների մասին միաժամանակ ծանուցելու դեպքում, որոնց վրա չի տարածվում III լրացման մեջ թվարկված պայմաններից որ</w:t>
      </w:r>
      <w:r w:rsidR="00C54D75">
        <w:rPr>
          <w:rFonts w:ascii="Sylfaen" w:hAnsi="Sylfaen"/>
          <w:sz w:val="24"/>
          <w:szCs w:val="24"/>
        </w:rPr>
        <w:t>և</w:t>
      </w:r>
      <w:r w:rsidRPr="003B2786">
        <w:rPr>
          <w:rFonts w:ascii="Sylfaen" w:hAnsi="Sylfaen"/>
          <w:sz w:val="24"/>
          <w:szCs w:val="24"/>
        </w:rPr>
        <w:t>է մեկը, թույլատրվում է բոլոր այդպիսի փոփոխությունները ներառել 1 ծանուցման մեջ (կից ներկայացնելով համապատասխան փաստաթղթերը), եթե ճանաչման շահագրգիռ պետությունների լիազորված մարմինների (փորձագիտական կազմակերպությունների) հետ խորհրդակցելուց հետո (անհրաժեշտության դեպքում) ռեֆերենտ պետության լիազորված մարմինը (փորձագիտական կազմակերպությունը) այդպիսի ծանուցմանը համաձայնություն է տալիս:</w:t>
      </w:r>
    </w:p>
    <w:p w14:paraId="634A21D6"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1.7.3.</w:t>
      </w:r>
      <w:r w:rsidRPr="003B2786">
        <w:rPr>
          <w:rFonts w:ascii="Sylfaen" w:hAnsi="Sylfaen"/>
          <w:sz w:val="24"/>
          <w:szCs w:val="24"/>
        </w:rPr>
        <w:tab/>
        <w:t xml:space="preserve">Սույն հավելվածի 1.7.2 ենթակետի երրորդ </w:t>
      </w:r>
      <w:r w:rsidR="00C54D75">
        <w:rPr>
          <w:rFonts w:ascii="Sylfaen" w:hAnsi="Sylfaen"/>
          <w:sz w:val="24"/>
          <w:szCs w:val="24"/>
        </w:rPr>
        <w:t>և</w:t>
      </w:r>
      <w:r w:rsidRPr="003B2786">
        <w:rPr>
          <w:rFonts w:ascii="Sylfaen" w:hAnsi="Sylfaen"/>
          <w:sz w:val="24"/>
          <w:szCs w:val="24"/>
        </w:rPr>
        <w:t xml:space="preserve"> չորրոդ պարբերություններում նշված ծանուցումը (կից ներկայացնելով համապատասխան փաստաթղթերը) պետք է կատարվի հետ</w:t>
      </w:r>
      <w:r w:rsidR="00C54D75">
        <w:rPr>
          <w:rFonts w:ascii="Sylfaen" w:hAnsi="Sylfaen"/>
          <w:sz w:val="24"/>
          <w:szCs w:val="24"/>
        </w:rPr>
        <w:t>և</w:t>
      </w:r>
      <w:r w:rsidRPr="003B2786">
        <w:rPr>
          <w:rFonts w:ascii="Sylfaen" w:hAnsi="Sylfaen"/>
          <w:sz w:val="24"/>
          <w:szCs w:val="24"/>
        </w:rPr>
        <w:t xml:space="preserve">յալ եղանակով՝ սույն հավելվածի 2.2 կետին համապատասխան փոփոխությունների կատարման մասին միասնական ծանուցում, եթե փոփոխություններից առնվազն մեկը IB տիպի ոչ էական փոփոխություն է, </w:t>
      </w:r>
      <w:r w:rsidR="00C54D75">
        <w:rPr>
          <w:rFonts w:ascii="Sylfaen" w:hAnsi="Sylfaen"/>
          <w:sz w:val="24"/>
          <w:szCs w:val="24"/>
        </w:rPr>
        <w:t>և</w:t>
      </w:r>
      <w:r w:rsidRPr="003B2786">
        <w:rPr>
          <w:rFonts w:ascii="Sylfaen" w:hAnsi="Sylfaen"/>
          <w:sz w:val="24"/>
          <w:szCs w:val="24"/>
        </w:rPr>
        <w:t xml:space="preserve"> բոլոր փոփոխությունները ոչ էական են. </w:t>
      </w:r>
    </w:p>
    <w:p w14:paraId="2E00F8D8" w14:textId="77777777" w:rsidR="008C76E0" w:rsidRPr="003B2786" w:rsidRDefault="008C76E0" w:rsidP="00593820">
      <w:pPr>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սույն հավելվածի 2.3 կետին համապատասխան փոփոխությունների կատարման միասնական հայտ, եթե փոփոխություններից առնվազն մեկը II տիպի էական փոփոխություն է, </w:t>
      </w:r>
      <w:r w:rsidR="00C54D75">
        <w:rPr>
          <w:rFonts w:ascii="Sylfaen" w:hAnsi="Sylfaen"/>
          <w:sz w:val="24"/>
          <w:szCs w:val="24"/>
        </w:rPr>
        <w:t>և</w:t>
      </w:r>
      <w:r w:rsidRPr="003B2786">
        <w:rPr>
          <w:rFonts w:ascii="Sylfaen" w:hAnsi="Sylfaen"/>
          <w:sz w:val="24"/>
          <w:szCs w:val="24"/>
        </w:rPr>
        <w:t xml:space="preserve"> փոփոխություններից ոչ մեկը հանդես չի գալիս որպես գրանցման ընդլայնում.</w:t>
      </w:r>
    </w:p>
    <w:p w14:paraId="765731BC" w14:textId="77777777" w:rsidR="008C76E0" w:rsidRPr="003B2786" w:rsidRDefault="008C76E0" w:rsidP="00593820">
      <w:pPr>
        <w:spacing w:after="160" w:line="360" w:lineRule="auto"/>
        <w:ind w:right="-1" w:firstLine="567"/>
        <w:jc w:val="both"/>
        <w:rPr>
          <w:rFonts w:ascii="Sylfaen" w:hAnsi="Sylfaen"/>
          <w:sz w:val="24"/>
          <w:szCs w:val="24"/>
        </w:rPr>
      </w:pPr>
      <w:r w:rsidRPr="003B2786">
        <w:rPr>
          <w:rFonts w:ascii="Sylfaen" w:hAnsi="Sylfaen"/>
          <w:sz w:val="24"/>
          <w:szCs w:val="24"/>
        </w:rPr>
        <w:t>սույն հավելվածի 4.1.1 կետին համապատասխան փոփոխությունների կատարման միասնական հայտ, եթե փոփոխություններից առնվազն մեկը հանդես է գալիս որպես գրանցման ընդլայնում:</w:t>
      </w:r>
    </w:p>
    <w:p w14:paraId="0A1BED24" w14:textId="77777777" w:rsidR="008C76E0" w:rsidRPr="003B2786" w:rsidRDefault="008C76E0" w:rsidP="00593820">
      <w:pPr>
        <w:spacing w:after="160" w:line="360" w:lineRule="auto"/>
        <w:ind w:right="-1" w:firstLine="567"/>
        <w:jc w:val="both"/>
        <w:outlineLvl w:val="0"/>
        <w:rPr>
          <w:rFonts w:ascii="Sylfaen" w:hAnsi="Sylfaen"/>
          <w:sz w:val="24"/>
          <w:szCs w:val="24"/>
        </w:rPr>
      </w:pPr>
    </w:p>
    <w:p w14:paraId="6C652AA8" w14:textId="77777777" w:rsidR="008C76E0" w:rsidRPr="003B2786" w:rsidRDefault="008C76E0" w:rsidP="00593820">
      <w:pPr>
        <w:spacing w:after="160" w:line="360" w:lineRule="auto"/>
        <w:ind w:left="567" w:right="849"/>
        <w:jc w:val="center"/>
        <w:outlineLvl w:val="0"/>
        <w:rPr>
          <w:rFonts w:ascii="Sylfaen" w:hAnsi="Sylfaen"/>
          <w:sz w:val="24"/>
          <w:szCs w:val="24"/>
        </w:rPr>
      </w:pPr>
      <w:r w:rsidRPr="003B2786">
        <w:rPr>
          <w:rFonts w:ascii="Sylfaen" w:hAnsi="Sylfaen"/>
          <w:sz w:val="24"/>
          <w:szCs w:val="24"/>
        </w:rPr>
        <w:t xml:space="preserve">II. Մեկից ավելի անդամ պետություններում գրանցված դեղապատրաստուկների գրանցման դոսյեի մեջ </w:t>
      </w:r>
      <w:r w:rsidRPr="003B2786">
        <w:rPr>
          <w:rFonts w:ascii="Sylfaen" w:hAnsi="Sylfaen"/>
          <w:sz w:val="24"/>
          <w:szCs w:val="24"/>
        </w:rPr>
        <w:br/>
        <w:t>փոփոխություններ կատարելը</w:t>
      </w:r>
    </w:p>
    <w:p w14:paraId="00227229" w14:textId="77777777" w:rsidR="008C76E0" w:rsidRPr="003B2786" w:rsidRDefault="008C76E0" w:rsidP="00593820">
      <w:pPr>
        <w:spacing w:after="160" w:line="360" w:lineRule="auto"/>
        <w:ind w:right="-1" w:firstLine="567"/>
        <w:jc w:val="center"/>
        <w:outlineLvl w:val="0"/>
        <w:rPr>
          <w:rFonts w:ascii="Sylfaen" w:hAnsi="Sylfaen"/>
          <w:sz w:val="24"/>
          <w:szCs w:val="24"/>
        </w:rPr>
      </w:pPr>
    </w:p>
    <w:p w14:paraId="44823D93"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2.1. IA տիպի ոչ էական փոփոխություններ կատարելու մասին ծանուցման ընթացակարգը</w:t>
      </w:r>
    </w:p>
    <w:p w14:paraId="53811076"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2.1.1.</w:t>
      </w:r>
      <w:r w:rsidRPr="003B2786">
        <w:rPr>
          <w:rFonts w:ascii="Sylfaen" w:hAnsi="Sylfaen"/>
          <w:sz w:val="24"/>
          <w:szCs w:val="24"/>
        </w:rPr>
        <w:tab/>
        <w:t xml:space="preserve">IA տիպի ոչ էական փոփոխություն կատարելու դեպքում 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միաժամանակ համապատասխան բոլոր մարմիններ (փորձագիտական կազմակերպություններ) է ներկայացնում փոփոխությունների կատարման հայտը`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2 հավելվածի համաձայն, կամ փոփոխությունների կատարման դիմաց վճարի (տուրքի) վճարումը հաստատող փաստաթղթերը՝ անդամ պետությունների օրենսդրությանը համապատասխան սահմանված դեպքերում </w:t>
      </w:r>
      <w:r w:rsidR="00C54D75">
        <w:rPr>
          <w:rFonts w:ascii="Sylfaen" w:hAnsi="Sylfaen"/>
          <w:sz w:val="24"/>
          <w:szCs w:val="24"/>
        </w:rPr>
        <w:t>և</w:t>
      </w:r>
      <w:r w:rsidRPr="003B2786">
        <w:rPr>
          <w:rFonts w:ascii="Sylfaen" w:hAnsi="Sylfaen"/>
          <w:sz w:val="24"/>
          <w:szCs w:val="24"/>
        </w:rPr>
        <w:t xml:space="preserve"> կարգով:</w:t>
      </w:r>
    </w:p>
    <w:p w14:paraId="196161DA"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Հայտատուն ռեֆերենտ պետության լիազորված մարմին (փորձագիտական կազմակերպություն) է ներկայացնում փոփոխության՝ IV լրացման մեջ թվարկված տարրերը պարունակող դոսյեն (ծանուցումը): Այդպիսի ծանուցումն անհրաժեշտ է ներկայացնել փոփոխությունների իրագործման օրվանից 365 օրացուցային օրվա (12 ամսվա) ընթացքում՝ բացառությամբ սույն հավելվածի 1.6 կետին </w:t>
      </w:r>
      <w:r w:rsidRPr="003B2786">
        <w:rPr>
          <w:rFonts w:ascii="Sylfaen" w:hAnsi="Sylfaen"/>
          <w:sz w:val="24"/>
          <w:szCs w:val="24"/>
        </w:rPr>
        <w:lastRenderedPageBreak/>
        <w:t>համապատասխան դեղապատրաստուկի մասին տեղեկատվության վերանայման հանգեցնող փոփոխությունների, որոնց առնչությամբ համապատասխան հայտն անհրաժեշտ է ներկայացնել նախքան փոփոխության իրագործումը:</w:t>
      </w:r>
    </w:p>
    <w:p w14:paraId="47F399A6"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2.1.2.</w:t>
      </w:r>
      <w:r w:rsidRPr="003B2786">
        <w:rPr>
          <w:rFonts w:ascii="Sylfaen" w:hAnsi="Sylfaen"/>
          <w:sz w:val="24"/>
          <w:szCs w:val="24"/>
        </w:rPr>
        <w:tab/>
        <w:t>Դիտարկվող դեղապատրաստուկը անընդհատ հսկելու նպատակով անհապաղ ծանուցում պահանջող ոչ էական փոփոխությունների առնչությամբ ծանուցումն անհրաժեշտ է ներկայացնել փոփոխությունն իրագործելուց անմիջապես հետո:</w:t>
      </w:r>
    </w:p>
    <w:p w14:paraId="675A4AA5"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2.1.3.</w:t>
      </w:r>
      <w:r w:rsidRPr="003B2786">
        <w:rPr>
          <w:rFonts w:ascii="Sylfaen" w:hAnsi="Sylfaen"/>
          <w:sz w:val="24"/>
          <w:szCs w:val="24"/>
        </w:rPr>
        <w:tab/>
        <w:t xml:space="preserve">Ռեֆերենտ պետության լիազորված մարմինը (փորձագիտական կազմակերպությունը) ճանաչման պետությունների համար ինտեգրված համակարգի միջոցով ապահովում է փոփոխության դոսյեի (ծանուցման) հասանելիությունը ոչ ուշ, քան ներկայացված փաստաթղթերի ամբողջականությունը, լրակազմությունը </w:t>
      </w:r>
      <w:r w:rsidR="00C54D75">
        <w:rPr>
          <w:rFonts w:ascii="Sylfaen" w:hAnsi="Sylfaen"/>
          <w:sz w:val="24"/>
          <w:szCs w:val="24"/>
        </w:rPr>
        <w:t>և</w:t>
      </w:r>
      <w:r w:rsidRPr="003B2786">
        <w:rPr>
          <w:rFonts w:ascii="Sylfaen" w:hAnsi="Sylfaen"/>
          <w:sz w:val="24"/>
          <w:szCs w:val="24"/>
        </w:rPr>
        <w:t xml:space="preserve"> ձ</w:t>
      </w:r>
      <w:r w:rsidR="00C54D75">
        <w:rPr>
          <w:rFonts w:ascii="Sylfaen" w:hAnsi="Sylfaen"/>
          <w:sz w:val="24"/>
          <w:szCs w:val="24"/>
        </w:rPr>
        <w:t>և</w:t>
      </w:r>
      <w:r w:rsidRPr="003B2786">
        <w:rPr>
          <w:rFonts w:ascii="Sylfaen" w:hAnsi="Sylfaen"/>
          <w:sz w:val="24"/>
          <w:szCs w:val="24"/>
        </w:rPr>
        <w:t>ակերպման ճշտությունը գնահատելուց հետո՝ փոփոխությունների կատարման հայտը ներկայացնելու օրվանից 5 աշխատանքային օրվա ընթացքում:</w:t>
      </w:r>
    </w:p>
    <w:p w14:paraId="0DEE97E0"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Ծանուցումն ստանալու օրվանից 30 օրացուցային օրվա ընթացքում համապատասխան մարմինները պետք է ձեռնարկեն սույն հավելվածի 2.4 կետում նշված միջոցները:</w:t>
      </w:r>
    </w:p>
    <w:p w14:paraId="1545307D"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Այն դեպքում, երբ սույն հավելվածի 1.6 կետին համապատասխան փոփոխությունները հանգեցնում են դեղապատրաստուկի մասին տեղեկատվության վերանայման, համապատասխան լիազորված մարմինները, միասնական ռեեստրի ձ</w:t>
      </w:r>
      <w:r w:rsidR="00C54D75">
        <w:rPr>
          <w:rFonts w:ascii="Sylfaen" w:hAnsi="Sylfaen"/>
          <w:sz w:val="24"/>
          <w:szCs w:val="24"/>
        </w:rPr>
        <w:t>և</w:t>
      </w:r>
      <w:r w:rsidRPr="003B2786">
        <w:rPr>
          <w:rFonts w:ascii="Sylfaen" w:hAnsi="Sylfaen"/>
          <w:sz w:val="24"/>
          <w:szCs w:val="24"/>
        </w:rPr>
        <w:t xml:space="preserve">ավորման </w:t>
      </w:r>
      <w:r w:rsidR="00C54D75">
        <w:rPr>
          <w:rFonts w:ascii="Sylfaen" w:hAnsi="Sylfaen"/>
          <w:sz w:val="24"/>
          <w:szCs w:val="24"/>
        </w:rPr>
        <w:t>և</w:t>
      </w:r>
      <w:r w:rsidRPr="003B2786">
        <w:rPr>
          <w:rFonts w:ascii="Sylfaen" w:hAnsi="Sylfaen"/>
          <w:sz w:val="24"/>
          <w:szCs w:val="24"/>
        </w:rPr>
        <w:t xml:space="preserve"> վարման կարգին համապատասխան, 2.1.3 ենթակետում նշված ժամկետից ոչ ուշ, քան 10 աշխատանքային օրվա ընթացքում փոփոխությունների կատարման մասին տեղեկությունները տեղադրում են Միության գրանցված դեղամիջոցների միասնական ռեեստրում (այսուհետ՝ միասնական ռեեստր)՝ կից ներկայացնելով 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են տրամադրում դեղապատրաստուկի փոփոխված ընդհանուր </w:t>
      </w:r>
      <w:r w:rsidRPr="003B2786">
        <w:rPr>
          <w:rFonts w:ascii="Sylfaen" w:hAnsi="Sylfaen"/>
          <w:sz w:val="24"/>
          <w:szCs w:val="24"/>
        </w:rPr>
        <w:lastRenderedPageBreak/>
        <w:t>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1A61E329"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Համապատասխան լիազորված մարմինները (փորձագիտական կազմակերպությունները) իրավունք ունեն մինչ</w:t>
      </w:r>
      <w:r w:rsidR="00C54D75">
        <w:rPr>
          <w:rFonts w:ascii="Sylfaen" w:hAnsi="Sylfaen"/>
          <w:sz w:val="24"/>
          <w:szCs w:val="24"/>
        </w:rPr>
        <w:t>և</w:t>
      </w:r>
      <w:r w:rsidRPr="003B2786">
        <w:rPr>
          <w:rFonts w:ascii="Sylfaen" w:hAnsi="Sylfaen"/>
          <w:sz w:val="24"/>
          <w:szCs w:val="24"/>
        </w:rPr>
        <w:t xml:space="preserve"> 90 օրացուցային օր երկարաձգելու սույն կետի առաջին, երկրորդ </w:t>
      </w:r>
      <w:r w:rsidR="00C54D75">
        <w:rPr>
          <w:rFonts w:ascii="Sylfaen" w:hAnsi="Sylfaen"/>
          <w:sz w:val="24"/>
          <w:szCs w:val="24"/>
        </w:rPr>
        <w:t>և</w:t>
      </w:r>
      <w:r w:rsidRPr="003B2786">
        <w:rPr>
          <w:rFonts w:ascii="Sylfaen" w:hAnsi="Sylfaen"/>
          <w:sz w:val="24"/>
          <w:szCs w:val="24"/>
        </w:rPr>
        <w:t xml:space="preserve"> երրորդ պարբերություններում նշված ժամկետն ամբողջությամբ այն դեպքում, երբ սույն հավելվածի 1.7.2 </w:t>
      </w:r>
      <w:r w:rsidR="00C54D75">
        <w:rPr>
          <w:rFonts w:ascii="Sylfaen" w:hAnsi="Sylfaen"/>
          <w:sz w:val="24"/>
          <w:szCs w:val="24"/>
        </w:rPr>
        <w:t>և</w:t>
      </w:r>
      <w:r w:rsidRPr="003B2786">
        <w:rPr>
          <w:rFonts w:ascii="Sylfaen" w:hAnsi="Sylfaen"/>
          <w:sz w:val="24"/>
          <w:szCs w:val="24"/>
        </w:rPr>
        <w:t xml:space="preserve"> 1.7.3 ենթակետերի համաձայն՝ հայտատուն ներկայացրել է բազմաթիվ խմբային փոփոխություններ:</w:t>
      </w:r>
    </w:p>
    <w:p w14:paraId="385454C4" w14:textId="77777777" w:rsidR="008C76E0" w:rsidRPr="003B2786" w:rsidRDefault="008C76E0" w:rsidP="00593820">
      <w:pPr>
        <w:spacing w:after="160" w:line="360" w:lineRule="auto"/>
        <w:ind w:right="-1" w:firstLine="567"/>
        <w:jc w:val="both"/>
        <w:rPr>
          <w:rFonts w:ascii="Sylfaen" w:hAnsi="Sylfaen"/>
          <w:sz w:val="24"/>
          <w:szCs w:val="24"/>
        </w:rPr>
      </w:pPr>
    </w:p>
    <w:p w14:paraId="1644B7E0"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 xml:space="preserve">2.2. IB տիպի ոչ էական փոփոխությունների մասին </w:t>
      </w:r>
      <w:r w:rsidRPr="003B2786">
        <w:rPr>
          <w:rFonts w:ascii="Sylfaen" w:hAnsi="Sylfaen"/>
          <w:sz w:val="24"/>
          <w:szCs w:val="24"/>
        </w:rPr>
        <w:br/>
        <w:t>ծանուցման ընթացակարգը</w:t>
      </w:r>
    </w:p>
    <w:p w14:paraId="654EC997"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2.2.1.</w:t>
      </w:r>
      <w:r w:rsidRPr="003B2786">
        <w:rPr>
          <w:rFonts w:ascii="Sylfaen" w:hAnsi="Sylfaen"/>
          <w:sz w:val="24"/>
          <w:szCs w:val="24"/>
        </w:rPr>
        <w:tab/>
        <w:t xml:space="preserve">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միաժամանակ համապատասխան բոլոր լիազորված մարմիններ (փորձագիտական կազմակերպություններ) է ներկայացնում փոփոխությունների կատարման հայտը` Կանոնների թիվ 2 հավելվածին համապատասխան, կամ փոփոխությունների կատարման դիմաց վճարի (տուրքի) վճարումը հաստատող փաստաթղթերը՝ անդամ պետությունների օրենսդրությանը համապատասխան սահմանված դեպքերում </w:t>
      </w:r>
      <w:r w:rsidR="00C54D75">
        <w:rPr>
          <w:rFonts w:ascii="Sylfaen" w:hAnsi="Sylfaen"/>
          <w:sz w:val="24"/>
          <w:szCs w:val="24"/>
        </w:rPr>
        <w:t>և</w:t>
      </w:r>
      <w:r w:rsidRPr="003B2786">
        <w:rPr>
          <w:rFonts w:ascii="Sylfaen" w:hAnsi="Sylfaen"/>
          <w:sz w:val="24"/>
          <w:szCs w:val="24"/>
        </w:rPr>
        <w:t xml:space="preserve"> կարգով:</w:t>
      </w:r>
    </w:p>
    <w:p w14:paraId="1A988F0F"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Հայտատուն ռեֆերենտ պետության լիազորված մարմին (փորձագիտական կազմակերպություն) է ներկայացնում փոփոխության՝ IV լրացման մեջ թվարկված տարրերը պարունակող դոսյեն (ծանուցումը):</w:t>
      </w:r>
    </w:p>
    <w:p w14:paraId="69B4E6D2"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2.2.2.</w:t>
      </w:r>
      <w:r w:rsidRPr="003B2786">
        <w:rPr>
          <w:rFonts w:ascii="Sylfaen" w:hAnsi="Sylfaen"/>
          <w:sz w:val="24"/>
          <w:szCs w:val="24"/>
        </w:rPr>
        <w:tab/>
        <w:t xml:space="preserve">Ռեֆերենտ պետության լիազորված մարմինը (փորձագիտական կազմակերպությունը) ճանաչման պետությունների համապատասխան մարմինների համար ապահովում է փոփոխությունների կատարման դոսյեի (ծանուցման) հասանելիությունը ոչ ուշ, քան ներկայացված փաստաթղթերի ամբողջականությունը, լրակազմությունը </w:t>
      </w:r>
      <w:r w:rsidR="00C54D75">
        <w:rPr>
          <w:rFonts w:ascii="Sylfaen" w:hAnsi="Sylfaen"/>
          <w:sz w:val="24"/>
          <w:szCs w:val="24"/>
        </w:rPr>
        <w:t>և</w:t>
      </w:r>
      <w:r w:rsidRPr="003B2786">
        <w:rPr>
          <w:rFonts w:ascii="Sylfaen" w:hAnsi="Sylfaen"/>
          <w:sz w:val="24"/>
          <w:szCs w:val="24"/>
        </w:rPr>
        <w:t xml:space="preserve"> ձ</w:t>
      </w:r>
      <w:r w:rsidR="00C54D75">
        <w:rPr>
          <w:rFonts w:ascii="Sylfaen" w:hAnsi="Sylfaen"/>
          <w:sz w:val="24"/>
          <w:szCs w:val="24"/>
        </w:rPr>
        <w:t>և</w:t>
      </w:r>
      <w:r w:rsidRPr="003B2786">
        <w:rPr>
          <w:rFonts w:ascii="Sylfaen" w:hAnsi="Sylfaen"/>
          <w:sz w:val="24"/>
          <w:szCs w:val="24"/>
        </w:rPr>
        <w:t xml:space="preserve">ակերպման ճշտությունը </w:t>
      </w:r>
      <w:r w:rsidRPr="003B2786">
        <w:rPr>
          <w:rFonts w:ascii="Sylfaen" w:hAnsi="Sylfaen"/>
          <w:sz w:val="24"/>
          <w:szCs w:val="24"/>
        </w:rPr>
        <w:lastRenderedPageBreak/>
        <w:t xml:space="preserve">գնահատելուց հետո՝ փոփոխությունների կատարման հայտը ներկայացնելու օրվանից 5 աշխատանքային օրվա ընթացքում՝ օգտագործելով Միության Արտաքին </w:t>
      </w:r>
      <w:r w:rsidR="00C54D75">
        <w:rPr>
          <w:rFonts w:ascii="Sylfaen" w:hAnsi="Sylfaen"/>
          <w:sz w:val="24"/>
          <w:szCs w:val="24"/>
        </w:rPr>
        <w:t>և</w:t>
      </w:r>
      <w:r w:rsidRPr="003B2786">
        <w:rPr>
          <w:rFonts w:ascii="Sylfaen" w:hAnsi="Sylfaen"/>
          <w:sz w:val="24"/>
          <w:szCs w:val="24"/>
        </w:rPr>
        <w:t xml:space="preserve"> փոխադարձ առ</w:t>
      </w:r>
      <w:r w:rsidR="00C54D75">
        <w:rPr>
          <w:rFonts w:ascii="Sylfaen" w:hAnsi="Sylfaen"/>
          <w:sz w:val="24"/>
          <w:szCs w:val="24"/>
        </w:rPr>
        <w:t>և</w:t>
      </w:r>
      <w:r w:rsidRPr="003B2786">
        <w:rPr>
          <w:rFonts w:ascii="Sylfaen" w:hAnsi="Sylfaen"/>
          <w:sz w:val="24"/>
          <w:szCs w:val="24"/>
        </w:rPr>
        <w:t>տրի ինտեգրված տեղեկատվական համակարգի (այսուհետ՝ ինտեգրված համակարգ) միջոցները:</w:t>
      </w:r>
    </w:p>
    <w:p w14:paraId="5C080537" w14:textId="77777777" w:rsidR="008C76E0" w:rsidRPr="003B2786" w:rsidRDefault="008C76E0" w:rsidP="00593820">
      <w:pPr>
        <w:tabs>
          <w:tab w:val="left" w:pos="1701"/>
        </w:tabs>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 xml:space="preserve">Եթե ծանուցումը բավարարում է սույն հավելվածի 2.2.1 ենթակետով սահմանված պահանջները, ապա </w:t>
      </w:r>
      <w:r w:rsidRPr="003B2786">
        <w:rPr>
          <w:rFonts w:ascii="Sylfaen" w:hAnsi="Sylfaen"/>
          <w:sz w:val="24"/>
          <w:szCs w:val="24"/>
        </w:rPr>
        <w:t>ռեֆերենտ</w:t>
      </w:r>
      <w:r w:rsidRPr="003B2786">
        <w:rPr>
          <w:rFonts w:ascii="Sylfaen" w:hAnsi="Sylfaen"/>
          <w:spacing w:val="-4"/>
          <w:sz w:val="24"/>
          <w:szCs w:val="24"/>
        </w:rPr>
        <w:t xml:space="preserve"> պետության լիազորված մարմինը (փորձագիտական կազմակերպությունը) 30 օրացուցային օրվա ընթացքում հաստատում է վավեր ծանուցման ստացումը՝ անհրաժեշտության դեպքում խորհրդակցելով ճանաչման պետությունների համապատասխան մարմինների հետ:</w:t>
      </w:r>
    </w:p>
    <w:p w14:paraId="3ABD03A5"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2.2.3.</w:t>
      </w:r>
      <w:r w:rsidRPr="003B2786">
        <w:rPr>
          <w:rFonts w:ascii="Sylfaen" w:hAnsi="Sylfaen"/>
          <w:sz w:val="24"/>
          <w:szCs w:val="24"/>
        </w:rPr>
        <w:tab/>
        <w:t xml:space="preserve">Եթե ծանուցումն ստանալու օրվանից 30 օրացուցային oրվա ընթացքում ռեֆերենտ պետության լիազորված մարմինը (փորձագիտական կազմակերպությունը) էլեկտրոնային կամ թղթային եղանակով հայտատուին չի ուղարկում ծանուցումն ընդունելու </w:t>
      </w:r>
      <w:r w:rsidR="00C54D75">
        <w:rPr>
          <w:rFonts w:ascii="Sylfaen" w:hAnsi="Sylfaen"/>
          <w:sz w:val="24"/>
          <w:szCs w:val="24"/>
        </w:rPr>
        <w:t>և</w:t>
      </w:r>
      <w:r w:rsidRPr="003B2786">
        <w:rPr>
          <w:rFonts w:ascii="Sylfaen" w:hAnsi="Sylfaen"/>
          <w:sz w:val="24"/>
          <w:szCs w:val="24"/>
        </w:rPr>
        <w:t xml:space="preserve"> գրանցման դոսյեի մեջ տվյալ փոփոխությունը կատարելու անհնարինության մասին եզրակացությունները, ապա ծանուցումը ճանաչվում է բոլոր համապատասխան մարմինների կողմից ընդունված (հաստատված):</w:t>
      </w:r>
    </w:p>
    <w:p w14:paraId="0041A3AB" w14:textId="77777777" w:rsidR="008C76E0" w:rsidRPr="003B2786" w:rsidRDefault="008C76E0" w:rsidP="00593820">
      <w:pPr>
        <w:tabs>
          <w:tab w:val="left" w:pos="1701"/>
        </w:tabs>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2.2.4.</w:t>
      </w:r>
      <w:r w:rsidRPr="003B2786">
        <w:rPr>
          <w:rFonts w:ascii="Sylfaen" w:hAnsi="Sylfaen"/>
          <w:spacing w:val="-4"/>
          <w:sz w:val="24"/>
          <w:szCs w:val="24"/>
        </w:rPr>
        <w:tab/>
        <w:t xml:space="preserve">Եթե </w:t>
      </w:r>
      <w:r w:rsidRPr="003B2786">
        <w:rPr>
          <w:rFonts w:ascii="Sylfaen" w:hAnsi="Sylfaen"/>
          <w:sz w:val="24"/>
          <w:szCs w:val="24"/>
        </w:rPr>
        <w:t>ռեֆերենտ</w:t>
      </w:r>
      <w:r w:rsidRPr="003B2786">
        <w:rPr>
          <w:rFonts w:ascii="Sylfaen" w:hAnsi="Sylfaen"/>
          <w:spacing w:val="-4"/>
          <w:sz w:val="24"/>
          <w:szCs w:val="24"/>
        </w:rPr>
        <w:t xml:space="preserve"> պետության լիազորված մարմինը (փորձագիտական կազմակերպությունը) ընդունում է ծանուցումը հաստատելու (ընդունելու) մասին դրական որոշում, ապա </w:t>
      </w:r>
      <w:r w:rsidRPr="003B2786">
        <w:rPr>
          <w:rFonts w:ascii="Sylfaen" w:hAnsi="Sylfaen"/>
          <w:sz w:val="24"/>
          <w:szCs w:val="24"/>
        </w:rPr>
        <w:t>ռեֆերենտ</w:t>
      </w:r>
      <w:r w:rsidRPr="003B2786" w:rsidDel="00CC7E6B">
        <w:rPr>
          <w:rFonts w:ascii="Sylfaen" w:hAnsi="Sylfaen"/>
          <w:spacing w:val="-4"/>
          <w:sz w:val="24"/>
          <w:szCs w:val="24"/>
        </w:rPr>
        <w:t xml:space="preserve"> </w:t>
      </w:r>
      <w:r w:rsidRPr="003B2786">
        <w:rPr>
          <w:rFonts w:ascii="Sylfaen" w:hAnsi="Sylfaen"/>
          <w:spacing w:val="-4"/>
          <w:sz w:val="24"/>
          <w:szCs w:val="24"/>
        </w:rPr>
        <w:t>պետության լիազորված մարմինը (փորձագիտական կազմակերպությունը) ձեռնարկում է սույն հավելվածի 2.4 կետում նշված միջոցները:</w:t>
      </w:r>
    </w:p>
    <w:p w14:paraId="7130789D"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Այն դեպքում, երբ սույն հավելվածի 1.6 կետի համաձայն փոփոխությունները հանգեցնում են դեղապատրաստուկի մասին տեղեկատվության վերանայման, համապատասխան լիազորված մարմինները (փորձագիտական կազմակերպությունները), միասնական ռեեստրի ձ</w:t>
      </w:r>
      <w:r w:rsidR="00C54D75">
        <w:rPr>
          <w:rFonts w:ascii="Sylfaen" w:hAnsi="Sylfaen"/>
          <w:sz w:val="24"/>
          <w:szCs w:val="24"/>
        </w:rPr>
        <w:t>և</w:t>
      </w:r>
      <w:r w:rsidRPr="003B2786">
        <w:rPr>
          <w:rFonts w:ascii="Sylfaen" w:hAnsi="Sylfaen"/>
          <w:sz w:val="24"/>
          <w:szCs w:val="24"/>
        </w:rPr>
        <w:t xml:space="preserve">ավորման </w:t>
      </w:r>
      <w:r w:rsidR="00C54D75">
        <w:rPr>
          <w:rFonts w:ascii="Sylfaen" w:hAnsi="Sylfaen"/>
          <w:sz w:val="24"/>
          <w:szCs w:val="24"/>
        </w:rPr>
        <w:t>և</w:t>
      </w:r>
      <w:r w:rsidRPr="003B2786">
        <w:rPr>
          <w:rFonts w:ascii="Sylfaen" w:hAnsi="Sylfaen"/>
          <w:sz w:val="24"/>
          <w:szCs w:val="24"/>
        </w:rPr>
        <w:t xml:space="preserve"> վարման կարգին համապատասխան, 2.2.3 ենթակետում նշված ժամկետից ոչ ուշ, քան 10 աշխատանքային օրվա ընթացքում փոփոխությունների կատարման մասին տեղեկությունները տեղադրում են միասնական ռեեստրում՝ կից ներկայացնելով </w:t>
      </w:r>
      <w:r w:rsidRPr="003B2786">
        <w:rPr>
          <w:rFonts w:ascii="Sylfaen" w:hAnsi="Sylfaen"/>
          <w:sz w:val="24"/>
          <w:szCs w:val="24"/>
        </w:rPr>
        <w:lastRenderedPageBreak/>
        <w:t xml:space="preserve">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են տրամադրում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6B90004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Համապատասխան լիազորված մարմինները (փորձագիտական կազմակերպությունները) իրավունք ունեն մինչ</w:t>
      </w:r>
      <w:r w:rsidR="00C54D75">
        <w:rPr>
          <w:rFonts w:ascii="Sylfaen" w:hAnsi="Sylfaen"/>
          <w:sz w:val="24"/>
          <w:szCs w:val="24"/>
        </w:rPr>
        <w:t>և</w:t>
      </w:r>
      <w:r w:rsidRPr="003B2786">
        <w:rPr>
          <w:rFonts w:ascii="Sylfaen" w:hAnsi="Sylfaen"/>
          <w:sz w:val="24"/>
          <w:szCs w:val="24"/>
        </w:rPr>
        <w:t xml:space="preserve"> 90 օրացուցային օր երկարաձգելու 2.2.3-2.2.4 ենթակետերում նշված ժամկետն ամբողջությամբ այն դեպքում, երբ սույն հավելվածի 1.7.2 </w:t>
      </w:r>
      <w:r w:rsidR="00C54D75">
        <w:rPr>
          <w:rFonts w:ascii="Sylfaen" w:hAnsi="Sylfaen"/>
          <w:sz w:val="24"/>
          <w:szCs w:val="24"/>
        </w:rPr>
        <w:t>և</w:t>
      </w:r>
      <w:r w:rsidRPr="003B2786">
        <w:rPr>
          <w:rFonts w:ascii="Sylfaen" w:hAnsi="Sylfaen"/>
          <w:sz w:val="24"/>
          <w:szCs w:val="24"/>
        </w:rPr>
        <w:t xml:space="preserve"> 1.7.3 ենթակետերի համաձայն հայտատուն ներկայացրել է բազմաթիվ խմբային փոփոխություններ:</w:t>
      </w:r>
    </w:p>
    <w:p w14:paraId="0E681CA2"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2.2.5.</w:t>
      </w:r>
      <w:r w:rsidRPr="003B2786">
        <w:rPr>
          <w:rFonts w:ascii="Sylfaen" w:hAnsi="Sylfaen"/>
          <w:sz w:val="24"/>
          <w:szCs w:val="24"/>
        </w:rPr>
        <w:tab/>
        <w:t>Եթե ռեֆերենտ</w:t>
      </w:r>
      <w:r w:rsidRPr="003B2786" w:rsidDel="00CC7E6B">
        <w:rPr>
          <w:rFonts w:ascii="Sylfaen" w:hAnsi="Sylfaen"/>
          <w:sz w:val="24"/>
          <w:szCs w:val="24"/>
        </w:rPr>
        <w:t xml:space="preserve"> </w:t>
      </w:r>
      <w:r w:rsidRPr="003B2786">
        <w:rPr>
          <w:rFonts w:ascii="Sylfaen" w:hAnsi="Sylfaen"/>
          <w:sz w:val="24"/>
          <w:szCs w:val="24"/>
        </w:rPr>
        <w:t>պետության լիազորված մարմնի (փորձագիտական կազմակերպության) եզրակացության համաձայն փոփոխությունների կատարման մասին հայտատուի ծանուցումը չի կարող ընդունվել (հաստատվել), ապա ռեֆերենտ</w:t>
      </w:r>
      <w:r w:rsidRPr="003B2786" w:rsidDel="00CC7E6B">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սույն հավելվածի 2.2.3 ենթակետի համաձայն, պետք է էլեկտրոնային կամ թղթային եղանակով այդ մասին ծանուցի հայտատուին </w:t>
      </w:r>
      <w:r w:rsidR="00C54D75">
        <w:rPr>
          <w:rFonts w:ascii="Sylfaen" w:hAnsi="Sylfaen"/>
          <w:sz w:val="24"/>
          <w:szCs w:val="24"/>
        </w:rPr>
        <w:t>և</w:t>
      </w:r>
      <w:r w:rsidRPr="003B2786">
        <w:rPr>
          <w:rFonts w:ascii="Sylfaen" w:hAnsi="Sylfaen"/>
          <w:sz w:val="24"/>
          <w:szCs w:val="24"/>
        </w:rPr>
        <w:t xml:space="preserve"> ճանաչման պետությունների համապատասխան մարմիններին՝ նշելով բացասական եզրակացության հիմքերը:</w:t>
      </w:r>
    </w:p>
    <w:p w14:paraId="4B1F2F2B"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2.2.6.</w:t>
      </w:r>
      <w:r w:rsidRPr="003B2786">
        <w:rPr>
          <w:rFonts w:ascii="Sylfaen" w:hAnsi="Sylfaen"/>
          <w:sz w:val="24"/>
          <w:szCs w:val="24"/>
        </w:rPr>
        <w:tab/>
        <w:t>Բացասական եզրակացություն ստանալու օրվանից 30 օրացուցային օրվա ընթացքում հայտատուն իրավունք ունի փոփոխության լրացված դոսյեն (ծանուցումը) կրկին ներկայացնելու ռեֆերենտ</w:t>
      </w:r>
      <w:r w:rsidRPr="003B2786" w:rsidDel="00CC7E6B">
        <w:rPr>
          <w:rFonts w:ascii="Sylfaen" w:hAnsi="Sylfaen"/>
          <w:sz w:val="24"/>
          <w:szCs w:val="24"/>
        </w:rPr>
        <w:t xml:space="preserve"> </w:t>
      </w:r>
      <w:r w:rsidRPr="003B2786">
        <w:rPr>
          <w:rFonts w:ascii="Sylfaen" w:hAnsi="Sylfaen"/>
          <w:sz w:val="24"/>
          <w:szCs w:val="24"/>
        </w:rPr>
        <w:t>պետության լիազորված մարմին (փորձագիտական կազմակերպություն)՝ սույն հավելվածի 2.2.5 ենթակետում նշված եզրակացությանը համապատասխան:</w:t>
      </w:r>
    </w:p>
    <w:p w14:paraId="066166E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Ռեֆերենտ</w:t>
      </w:r>
      <w:r w:rsidRPr="003B2786" w:rsidDel="00CC7E6B">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փոփոխությունների կատարման լրացված դոսյեն (ծանուցումը) ներկայացնում է ճանաչման պետությունների համապատասխան մարմիններ ոչ ուշ, քան ներկայացված նյութերի լրակազմությունն ու </w:t>
      </w:r>
      <w:r w:rsidRPr="003B2786">
        <w:rPr>
          <w:rFonts w:ascii="Sylfaen" w:hAnsi="Sylfaen"/>
          <w:sz w:val="24"/>
          <w:szCs w:val="24"/>
        </w:rPr>
        <w:lastRenderedPageBreak/>
        <w:t>ամբողջականությունը գնահատելուց հետո՝ ռեֆերենտ</w:t>
      </w:r>
      <w:r w:rsidRPr="003B2786" w:rsidDel="004F2F4D">
        <w:rPr>
          <w:rFonts w:ascii="Sylfaen" w:hAnsi="Sylfaen"/>
          <w:sz w:val="24"/>
          <w:szCs w:val="24"/>
        </w:rPr>
        <w:t xml:space="preserve"> </w:t>
      </w:r>
      <w:r w:rsidRPr="003B2786">
        <w:rPr>
          <w:rFonts w:ascii="Sylfaen" w:hAnsi="Sylfaen"/>
          <w:sz w:val="24"/>
          <w:szCs w:val="24"/>
        </w:rPr>
        <w:t>պետություն լրացված ծանուցում ներկայացնելու օրվանից 5 աշխատանքային օրվա ընթացքում՝ օգտագործելով ինտեգրված համակարգի միջոցները:</w:t>
      </w:r>
    </w:p>
    <w:p w14:paraId="61B677E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2.2.7.</w:t>
      </w:r>
      <w:r w:rsidRPr="003B2786">
        <w:rPr>
          <w:rFonts w:ascii="Sylfaen" w:hAnsi="Sylfaen"/>
          <w:sz w:val="24"/>
          <w:szCs w:val="24"/>
        </w:rPr>
        <w:tab/>
        <w:t xml:space="preserve">Եթե հայտատուն սույն հավելվածի 2.2.6 ենթակետին համապատասխան չի ներկայացնում լրացված ծանուցում, ապա ծանուցումը ճանաչվում է բոլոր լիազորված մարմինների (փորձագիտական կազմակերպությունների) կողմից մերժված, </w:t>
      </w:r>
      <w:r w:rsidR="00C54D75">
        <w:rPr>
          <w:rFonts w:ascii="Sylfaen" w:hAnsi="Sylfaen"/>
          <w:sz w:val="24"/>
          <w:szCs w:val="24"/>
        </w:rPr>
        <w:t>և</w:t>
      </w:r>
      <w:r w:rsidRPr="003B2786">
        <w:rPr>
          <w:rFonts w:ascii="Sylfaen" w:hAnsi="Sylfaen"/>
          <w:sz w:val="24"/>
          <w:szCs w:val="24"/>
        </w:rPr>
        <w:t xml:space="preserve"> կիրառվում են սույն հավելվածի 2.4 կետում նշված միջոցները:</w:t>
      </w:r>
    </w:p>
    <w:p w14:paraId="3023932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2.2.8.</w:t>
      </w:r>
      <w:r w:rsidRPr="003B2786">
        <w:rPr>
          <w:rFonts w:ascii="Sylfaen" w:hAnsi="Sylfaen"/>
          <w:sz w:val="24"/>
          <w:szCs w:val="24"/>
        </w:rPr>
        <w:tab/>
        <w:t>Լրացված ծանուցում ներկայացնելիս ռեֆերենտ</w:t>
      </w:r>
      <w:r w:rsidRPr="003B2786" w:rsidDel="00113EEA">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պետք է ոչ ուշ, քան այն ստանալու օրվանից 30 օրացուցային օրվա ընթացքում ուսումնասիրի նորից ներկայացված փաստաթղթերը </w:t>
      </w:r>
      <w:r w:rsidR="00C54D75">
        <w:rPr>
          <w:rFonts w:ascii="Sylfaen" w:hAnsi="Sylfaen"/>
          <w:sz w:val="24"/>
          <w:szCs w:val="24"/>
        </w:rPr>
        <w:t>և</w:t>
      </w:r>
      <w:r w:rsidRPr="003B2786">
        <w:rPr>
          <w:rFonts w:ascii="Sylfaen" w:hAnsi="Sylfaen"/>
          <w:sz w:val="24"/>
          <w:szCs w:val="24"/>
        </w:rPr>
        <w:t xml:space="preserve"> տվյալները, ինչից հետո կիրառվում են սույն հավելվածի 2.2.4 ենթակետում նշված միջոցները: </w:t>
      </w:r>
    </w:p>
    <w:p w14:paraId="5FD1AAD1"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pacing w:val="-4"/>
          <w:sz w:val="24"/>
          <w:szCs w:val="24"/>
        </w:rPr>
        <w:t>Այն դեպքում, երբ սույն հավելվածի 1.6 կետին համապատասխան փոփոխությունները հանգեցնում են դեղապատրաստուկի մասին տեղեկատվության վերանայման, համապատասխան լիազորված մարմինները (փորձագիտական կազմակերպությունները), միասնական ռեեստրի ձ</w:t>
      </w:r>
      <w:r w:rsidR="00C54D75">
        <w:rPr>
          <w:rFonts w:ascii="Sylfaen" w:hAnsi="Sylfaen"/>
          <w:spacing w:val="-4"/>
          <w:sz w:val="24"/>
          <w:szCs w:val="24"/>
        </w:rPr>
        <w:t>և</w:t>
      </w:r>
      <w:r w:rsidRPr="003B2786">
        <w:rPr>
          <w:rFonts w:ascii="Sylfaen" w:hAnsi="Sylfaen"/>
          <w:spacing w:val="-4"/>
          <w:sz w:val="24"/>
          <w:szCs w:val="24"/>
        </w:rPr>
        <w:t xml:space="preserve">ավորման </w:t>
      </w:r>
      <w:r w:rsidR="00C54D75">
        <w:rPr>
          <w:rFonts w:ascii="Sylfaen" w:hAnsi="Sylfaen"/>
          <w:spacing w:val="-4"/>
          <w:sz w:val="24"/>
          <w:szCs w:val="24"/>
        </w:rPr>
        <w:t>և</w:t>
      </w:r>
      <w:r w:rsidRPr="003B2786">
        <w:rPr>
          <w:rFonts w:ascii="Sylfaen" w:hAnsi="Sylfaen"/>
          <w:spacing w:val="-4"/>
          <w:sz w:val="24"/>
          <w:szCs w:val="24"/>
        </w:rPr>
        <w:t xml:space="preserve"> վարման կարգին համապատասխան, 2.2.8 ենթակետում նշված ժամկետից ոչ ուշ, քան 10 աշխատանքային օրվա ընթացքում փոփոխությունների կատարման մասին տեղեկությունները տեղադրում են միասնական ռեեստրում՝ կից ներկայացնելով դեղապատրաստուկի փոփոխված </w:t>
      </w:r>
      <w:r w:rsidR="00C54D75">
        <w:rPr>
          <w:rFonts w:ascii="Sylfaen" w:hAnsi="Sylfaen"/>
          <w:spacing w:val="-4"/>
          <w:sz w:val="24"/>
          <w:szCs w:val="24"/>
        </w:rPr>
        <w:t>և</w:t>
      </w:r>
      <w:r w:rsidRPr="003B2786">
        <w:rPr>
          <w:rFonts w:ascii="Sylfaen" w:hAnsi="Sylfaen"/>
          <w:spacing w:val="-4"/>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pacing w:val="-4"/>
          <w:sz w:val="24"/>
          <w:szCs w:val="24"/>
        </w:rPr>
        <w:t>և</w:t>
      </w:r>
      <w:r w:rsidRPr="003B2786">
        <w:rPr>
          <w:rFonts w:ascii="Sylfaen" w:hAnsi="Sylfaen"/>
          <w:spacing w:val="-4"/>
          <w:sz w:val="24"/>
          <w:szCs w:val="24"/>
        </w:rPr>
        <w:t xml:space="preserve"> հայտատուին են ներկայացնում դեղապատրաստուկի փոփոխված ընդհանուր բնութագիրը</w:t>
      </w:r>
      <w:r w:rsidRPr="003B2786">
        <w:rPr>
          <w:rFonts w:ascii="Sylfaen" w:hAnsi="Sylfaen"/>
          <w:sz w:val="24"/>
          <w:szCs w:val="24"/>
        </w:rPr>
        <w:t>, բժշկական կիրառման հրահանգը, փաթեթվածքների մանրակերտերը, որակի նորմատիվ փաստաթուղթը, գրանցման հավաստագիրը (անհրաժեշտության դեպքում):</w:t>
      </w:r>
    </w:p>
    <w:p w14:paraId="0992F7BC"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Համապատասխան լիազորված մարմինները (փորձագիտական կազմակերպությունները) իրավունք ունեն մինչ</w:t>
      </w:r>
      <w:r w:rsidR="00C54D75">
        <w:rPr>
          <w:rFonts w:ascii="Sylfaen" w:hAnsi="Sylfaen"/>
          <w:sz w:val="24"/>
          <w:szCs w:val="24"/>
        </w:rPr>
        <w:t>և</w:t>
      </w:r>
      <w:r w:rsidRPr="003B2786">
        <w:rPr>
          <w:rFonts w:ascii="Sylfaen" w:hAnsi="Sylfaen"/>
          <w:sz w:val="24"/>
          <w:szCs w:val="24"/>
        </w:rPr>
        <w:t xml:space="preserve"> 90 օրացուցային օր </w:t>
      </w:r>
      <w:r w:rsidRPr="003B2786">
        <w:rPr>
          <w:rFonts w:ascii="Sylfaen" w:hAnsi="Sylfaen"/>
          <w:sz w:val="24"/>
          <w:szCs w:val="24"/>
        </w:rPr>
        <w:lastRenderedPageBreak/>
        <w:t xml:space="preserve">երկարաձգելու սույն կետի առաջին </w:t>
      </w:r>
      <w:r w:rsidR="00C54D75">
        <w:rPr>
          <w:rFonts w:ascii="Sylfaen" w:hAnsi="Sylfaen"/>
          <w:sz w:val="24"/>
          <w:szCs w:val="24"/>
        </w:rPr>
        <w:t>և</w:t>
      </w:r>
      <w:r w:rsidRPr="003B2786">
        <w:rPr>
          <w:rFonts w:ascii="Sylfaen" w:hAnsi="Sylfaen"/>
          <w:sz w:val="24"/>
          <w:szCs w:val="24"/>
        </w:rPr>
        <w:t xml:space="preserve"> երկրորդ պարբերություններում նշված ժամկետն ամբողջությամբ այն դեպքում, երբ սույն հավելվածի 1.7.2 </w:t>
      </w:r>
      <w:r w:rsidR="00C54D75">
        <w:rPr>
          <w:rFonts w:ascii="Sylfaen" w:hAnsi="Sylfaen"/>
          <w:sz w:val="24"/>
          <w:szCs w:val="24"/>
        </w:rPr>
        <w:t>և</w:t>
      </w:r>
      <w:r w:rsidRPr="003B2786">
        <w:rPr>
          <w:rFonts w:ascii="Sylfaen" w:hAnsi="Sylfaen"/>
          <w:sz w:val="24"/>
          <w:szCs w:val="24"/>
        </w:rPr>
        <w:t xml:space="preserve"> 1.7.3 ենթակետերին համապատասխան՝ հայտատուն ներկայացրել է բազմաթիվ խմբային փոփոխություններ:</w:t>
      </w:r>
    </w:p>
    <w:p w14:paraId="663698A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2.2.9.</w:t>
      </w:r>
      <w:r w:rsidRPr="003B2786">
        <w:rPr>
          <w:rFonts w:ascii="Sylfaen" w:hAnsi="Sylfaen"/>
          <w:sz w:val="24"/>
          <w:szCs w:val="24"/>
        </w:rPr>
        <w:tab/>
        <w:t xml:space="preserve">Սույն հավելվածի 2.2.1-2.2.8 ենթակետերի դրույթները չեն կիրառվում, եթե IB տիպի փոփոխության վերաբերյալ հարցումը ներկայացված է II տիպի փոփոխություն ներառող </w:t>
      </w:r>
      <w:r w:rsidR="00C54D75">
        <w:rPr>
          <w:rFonts w:ascii="Sylfaen" w:hAnsi="Sylfaen"/>
          <w:sz w:val="24"/>
          <w:szCs w:val="24"/>
        </w:rPr>
        <w:t>և</w:t>
      </w:r>
      <w:r w:rsidRPr="003B2786">
        <w:rPr>
          <w:rFonts w:ascii="Sylfaen" w:hAnsi="Sylfaen"/>
          <w:sz w:val="24"/>
          <w:szCs w:val="24"/>
        </w:rPr>
        <w:t xml:space="preserve"> գրանցման ընդլայնում չպարունակող փոփոխությունների խմբի կազմում: Այդ դեպքում կիրառվում է սույն հավելվածի 2.3 կետով նախատեսված՝ փոփոխությունների փորձաքննության ընթացակարգը:</w:t>
      </w:r>
    </w:p>
    <w:p w14:paraId="578BF339"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2.2.10</w:t>
      </w:r>
      <w:r w:rsidRPr="003B2786">
        <w:rPr>
          <w:rFonts w:ascii="Sylfaen" w:hAnsi="Sylfaen"/>
          <w:spacing w:val="-4"/>
          <w:sz w:val="24"/>
          <w:szCs w:val="24"/>
        </w:rPr>
        <w:t>.</w:t>
      </w:r>
      <w:r w:rsidRPr="003B2786">
        <w:rPr>
          <w:rFonts w:ascii="Sylfaen" w:hAnsi="Sylfaen"/>
          <w:spacing w:val="-4"/>
          <w:sz w:val="24"/>
          <w:szCs w:val="24"/>
        </w:rPr>
        <w:tab/>
        <w:t>Սույն հավելվածի 2.2.1-2.2.8 ենթակետերի դրույթները չեն կիրառվում, եթե IB տիպի փոփոխության վերաբերյալ հարցումը ներկայացված է գրանցման ընդլայնում ներառող փոփոխությունների խմբի կազմում: Այդ դեպքում կիրառվում է սույն հավելվածի 4.1.1 ենթակետով</w:t>
      </w:r>
      <w:r w:rsidRPr="003B2786">
        <w:rPr>
          <w:rFonts w:ascii="Sylfaen" w:hAnsi="Sylfaen"/>
          <w:sz w:val="24"/>
          <w:szCs w:val="24"/>
        </w:rPr>
        <w:t xml:space="preserve"> նախատեսված ընթացակարգը:</w:t>
      </w:r>
    </w:p>
    <w:p w14:paraId="2EFEAB66" w14:textId="77777777" w:rsidR="008C76E0" w:rsidRPr="003B2786" w:rsidRDefault="008C76E0" w:rsidP="00593820">
      <w:pPr>
        <w:spacing w:after="160" w:line="360" w:lineRule="auto"/>
        <w:ind w:right="-1" w:firstLine="567"/>
        <w:jc w:val="center"/>
        <w:rPr>
          <w:rFonts w:ascii="Sylfaen" w:hAnsi="Sylfaen"/>
          <w:sz w:val="24"/>
          <w:szCs w:val="24"/>
        </w:rPr>
      </w:pPr>
    </w:p>
    <w:p w14:paraId="7B022BC9"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 xml:space="preserve">2.3. II տիպի էական փոփոխությունների </w:t>
      </w:r>
      <w:r w:rsidRPr="003B2786">
        <w:rPr>
          <w:rFonts w:ascii="Sylfaen" w:hAnsi="Sylfaen"/>
          <w:sz w:val="24"/>
          <w:szCs w:val="24"/>
        </w:rPr>
        <w:br/>
        <w:t>փորձաքննության ընթացակարգը</w:t>
      </w:r>
    </w:p>
    <w:p w14:paraId="1D56C604" w14:textId="77777777" w:rsidR="008C76E0" w:rsidRPr="003B2786" w:rsidRDefault="008C76E0" w:rsidP="006817C8">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2.3.1.</w:t>
      </w:r>
      <w:r w:rsidRPr="003B2786">
        <w:rPr>
          <w:rFonts w:ascii="Sylfaen" w:hAnsi="Sylfaen"/>
          <w:sz w:val="24"/>
          <w:szCs w:val="24"/>
        </w:rPr>
        <w:tab/>
        <w:t xml:space="preserve">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միաժամանակ համապատասխան բոլոր մարմիններ (փորձագիտական կազմակերպություններ) է ներկայացնում փոփոխությունների կատարման հայտը`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2 հավելվածի համաձայն, </w:t>
      </w:r>
      <w:r w:rsidR="00C54D75">
        <w:rPr>
          <w:rFonts w:ascii="Sylfaen" w:hAnsi="Sylfaen"/>
          <w:sz w:val="24"/>
          <w:szCs w:val="24"/>
        </w:rPr>
        <w:t>և</w:t>
      </w:r>
      <w:r w:rsidRPr="003B2786">
        <w:rPr>
          <w:rFonts w:ascii="Sylfaen" w:hAnsi="Sylfaen"/>
          <w:sz w:val="24"/>
          <w:szCs w:val="24"/>
        </w:rPr>
        <w:t xml:space="preserve"> փոփոխությունների կատարման դիմաց վճարի (տուրքի) վճարը հաստատող փաստաթղթերը՝ անդամ պետությունների օրենսդրությանը համապատասխան հաստատված դեպքերում </w:t>
      </w:r>
      <w:r w:rsidR="00C54D75">
        <w:rPr>
          <w:rFonts w:ascii="Sylfaen" w:hAnsi="Sylfaen"/>
          <w:sz w:val="24"/>
          <w:szCs w:val="24"/>
        </w:rPr>
        <w:t>և</w:t>
      </w:r>
      <w:r w:rsidRPr="003B2786">
        <w:rPr>
          <w:rFonts w:ascii="Sylfaen" w:hAnsi="Sylfaen"/>
          <w:sz w:val="24"/>
          <w:szCs w:val="24"/>
        </w:rPr>
        <w:t xml:space="preserve"> կարգով:</w:t>
      </w:r>
    </w:p>
    <w:p w14:paraId="24F75502" w14:textId="77777777" w:rsidR="008C76E0" w:rsidRPr="003B2786" w:rsidRDefault="008C76E0" w:rsidP="006817C8">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Հայտատուն ռեֆերենտ</w:t>
      </w:r>
      <w:r w:rsidRPr="003B2786" w:rsidDel="00113EEA">
        <w:rPr>
          <w:rFonts w:ascii="Sylfaen" w:hAnsi="Sylfaen"/>
          <w:sz w:val="24"/>
          <w:szCs w:val="24"/>
        </w:rPr>
        <w:t xml:space="preserve"> </w:t>
      </w:r>
      <w:r w:rsidRPr="003B2786">
        <w:rPr>
          <w:rFonts w:ascii="Sylfaen" w:hAnsi="Sylfaen"/>
          <w:sz w:val="24"/>
          <w:szCs w:val="24"/>
        </w:rPr>
        <w:t>պետության լիազորված մարմին (փորձագիտական կազմակերպություն) է ներկայացնում IV լրացման մեջ թվարկված տարրերը պարունակող՝ փոփոխության դոսյեն (ծանուցումը):</w:t>
      </w:r>
    </w:p>
    <w:p w14:paraId="3F84E121"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Անհրաժեշտության դեպքում </w:t>
      </w:r>
      <w:r w:rsidR="00C54D75">
        <w:rPr>
          <w:rFonts w:ascii="Sylfaen" w:hAnsi="Sylfaen"/>
          <w:sz w:val="24"/>
          <w:szCs w:val="24"/>
        </w:rPr>
        <w:t>և</w:t>
      </w:r>
      <w:r w:rsidRPr="003B2786">
        <w:rPr>
          <w:rFonts w:ascii="Sylfaen" w:hAnsi="Sylfaen"/>
          <w:sz w:val="24"/>
          <w:szCs w:val="24"/>
        </w:rPr>
        <w:t xml:space="preserve"> փորձագիտական կազմակերպության հետ համաձայնեցնելով՝ հայտատուն ռեֆերենտ</w:t>
      </w:r>
      <w:r w:rsidRPr="003B2786" w:rsidDel="00113EEA">
        <w:rPr>
          <w:rFonts w:ascii="Sylfaen" w:hAnsi="Sylfaen"/>
          <w:sz w:val="24"/>
          <w:szCs w:val="24"/>
        </w:rPr>
        <w:t xml:space="preserve"> </w:t>
      </w:r>
      <w:r w:rsidRPr="003B2786">
        <w:rPr>
          <w:rFonts w:ascii="Sylfaen" w:hAnsi="Sylfaen"/>
          <w:sz w:val="24"/>
          <w:szCs w:val="24"/>
        </w:rPr>
        <w:t xml:space="preserve">պետության լիազորված մարմին (փորձագիտական կազմակերպություն) է ներկայացնում դեղապատրաստուկների նմուշները, ակտիվ դեղագործական բաղադրամասերի </w:t>
      </w:r>
      <w:r w:rsidR="00C54D75">
        <w:rPr>
          <w:rFonts w:ascii="Sylfaen" w:hAnsi="Sylfaen"/>
          <w:sz w:val="24"/>
          <w:szCs w:val="24"/>
        </w:rPr>
        <w:t>և</w:t>
      </w:r>
      <w:r w:rsidRPr="003B2786">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3B2786">
        <w:rPr>
          <w:rFonts w:ascii="Sylfaen" w:hAnsi="Sylfaen"/>
          <w:sz w:val="24"/>
          <w:szCs w:val="24"/>
        </w:rPr>
        <w:t xml:space="preserve"> լաբորատոր փորձարկումներ անցկացնելու համար անհրաժեշտ նյութերը:</w:t>
      </w:r>
    </w:p>
    <w:p w14:paraId="67BD79B1"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2.3.2.</w:t>
      </w:r>
      <w:r w:rsidRPr="003B2786">
        <w:rPr>
          <w:rFonts w:ascii="Sylfaen" w:hAnsi="Sylfaen"/>
          <w:sz w:val="24"/>
          <w:szCs w:val="24"/>
        </w:rPr>
        <w:tab/>
        <w:t>Ռեֆերենտ</w:t>
      </w:r>
      <w:r w:rsidRPr="003B2786" w:rsidDel="00113EEA">
        <w:rPr>
          <w:rFonts w:ascii="Sylfaen" w:hAnsi="Sylfaen"/>
          <w:sz w:val="24"/>
          <w:szCs w:val="24"/>
        </w:rPr>
        <w:t xml:space="preserve"> </w:t>
      </w:r>
      <w:r w:rsidRPr="003B2786">
        <w:rPr>
          <w:rFonts w:ascii="Sylfaen" w:hAnsi="Sylfaen"/>
          <w:sz w:val="24"/>
          <w:szCs w:val="24"/>
        </w:rPr>
        <w:t xml:space="preserve">պետության լիազորված մարմնի (փորձագիտական կազմակերպության) դիտողությունների հիման վրա գրանցման դոսյեի պակասող նյութերը ներկայացնելու համար հայտատուին տրամադրվում է 90 օրացուցային օրվանից ոչ ավելի, որը չի մտնում դեղապատրաստուկի փորձաքննության </w:t>
      </w:r>
      <w:r w:rsidR="00C54D75">
        <w:rPr>
          <w:rFonts w:ascii="Sylfaen" w:hAnsi="Sylfaen"/>
          <w:sz w:val="24"/>
          <w:szCs w:val="24"/>
        </w:rPr>
        <w:t>և</w:t>
      </w:r>
      <w:r w:rsidRPr="003B2786">
        <w:rPr>
          <w:rFonts w:ascii="Sylfaen" w:hAnsi="Sylfaen"/>
          <w:sz w:val="24"/>
          <w:szCs w:val="24"/>
        </w:rPr>
        <w:t xml:space="preserve"> փոփոխությունների կատարման ընթացակարգի ժամկետի մեջ։</w:t>
      </w:r>
    </w:p>
    <w:p w14:paraId="6AF258CF"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Ռեֆերենտ պետության լիազորված մարմնի (փորձագիտական կազմակերպության) դիտողությունների հիման վրա նյութերը չներկայացնելու </w:t>
      </w:r>
      <w:r w:rsidR="00C54D75">
        <w:rPr>
          <w:rFonts w:ascii="Sylfaen" w:hAnsi="Sylfaen"/>
          <w:sz w:val="24"/>
          <w:szCs w:val="24"/>
        </w:rPr>
        <w:t>և</w:t>
      </w:r>
      <w:r w:rsidRPr="003B2786">
        <w:rPr>
          <w:rFonts w:ascii="Sylfaen" w:hAnsi="Sylfaen"/>
          <w:sz w:val="24"/>
          <w:szCs w:val="24"/>
        </w:rPr>
        <w:t xml:space="preserve"> (կամ) անդամ պետության օրենսդրությամբ սահմանված դեպքերում </w:t>
      </w:r>
      <w:r w:rsidR="00C54D75">
        <w:rPr>
          <w:rFonts w:ascii="Sylfaen" w:hAnsi="Sylfaen"/>
          <w:sz w:val="24"/>
          <w:szCs w:val="24"/>
        </w:rPr>
        <w:t>և</w:t>
      </w:r>
      <w:r w:rsidRPr="003B2786">
        <w:rPr>
          <w:rFonts w:ascii="Sylfaen" w:hAnsi="Sylfaen"/>
          <w:sz w:val="24"/>
          <w:szCs w:val="24"/>
        </w:rPr>
        <w:t xml:space="preserve"> կարգով փոփոխություններ կատարելու դիմաց վճարի (տուրքի) վճարումը չհաստատելու դեպքում ռեֆերենտ պետության լիազորված մարմինը (փորձագիտական կազմակերպությունը) մերժում է գրանցման դոսյեի մեջ փոփոխություններ կատարելու հայտը։</w:t>
      </w:r>
    </w:p>
    <w:p w14:paraId="6E45F169"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Ռեֆերենտ</w:t>
      </w:r>
      <w:r w:rsidRPr="003B2786" w:rsidDel="00B61669">
        <w:rPr>
          <w:rFonts w:ascii="Sylfaen" w:hAnsi="Sylfaen"/>
          <w:spacing w:val="-4"/>
          <w:sz w:val="24"/>
          <w:szCs w:val="24"/>
        </w:rPr>
        <w:t xml:space="preserve"> </w:t>
      </w:r>
      <w:r w:rsidRPr="003B2786">
        <w:rPr>
          <w:rFonts w:ascii="Sylfaen" w:hAnsi="Sylfaen"/>
          <w:spacing w:val="-4"/>
          <w:sz w:val="24"/>
          <w:szCs w:val="24"/>
        </w:rPr>
        <w:t>պետության լիազորված մարմինը (փորձագիտական կազմակերպությունը), ինտեգրված համակարգի միջոցներն օգտագործելով, ճանաչման պետությունների համապատասխան մարմինների համար ապահովում է փոփոխության դոսյեի հասանելիությունը ոչ ուշ, քան ներկայացված փաստաթղթերի ամբողջականությունը</w:t>
      </w:r>
      <w:r w:rsidRPr="003B2786">
        <w:rPr>
          <w:rFonts w:ascii="Sylfaen" w:hAnsi="Sylfaen"/>
          <w:sz w:val="24"/>
          <w:szCs w:val="24"/>
        </w:rPr>
        <w:t xml:space="preserve">, լրակազմությունը </w:t>
      </w:r>
      <w:r w:rsidR="00C54D75">
        <w:rPr>
          <w:rFonts w:ascii="Sylfaen" w:hAnsi="Sylfaen"/>
          <w:sz w:val="24"/>
          <w:szCs w:val="24"/>
        </w:rPr>
        <w:t>և</w:t>
      </w:r>
      <w:r w:rsidRPr="003B2786">
        <w:rPr>
          <w:rFonts w:ascii="Sylfaen" w:hAnsi="Sylfaen"/>
          <w:sz w:val="24"/>
          <w:szCs w:val="24"/>
        </w:rPr>
        <w:t xml:space="preserve"> ձ</w:t>
      </w:r>
      <w:r w:rsidR="00C54D75">
        <w:rPr>
          <w:rFonts w:ascii="Sylfaen" w:hAnsi="Sylfaen"/>
          <w:sz w:val="24"/>
          <w:szCs w:val="24"/>
        </w:rPr>
        <w:t>և</w:t>
      </w:r>
      <w:r w:rsidRPr="003B2786">
        <w:rPr>
          <w:rFonts w:ascii="Sylfaen" w:hAnsi="Sylfaen"/>
          <w:sz w:val="24"/>
          <w:szCs w:val="24"/>
        </w:rPr>
        <w:t>ակերպման ճշտությունը գնահատելուց հետո՝ փոփոխությունների կատարման հայտը ռեֆերենտ</w:t>
      </w:r>
      <w:r w:rsidRPr="003B2786" w:rsidDel="00B61669">
        <w:rPr>
          <w:rFonts w:ascii="Sylfaen" w:hAnsi="Sylfaen"/>
          <w:sz w:val="24"/>
          <w:szCs w:val="24"/>
        </w:rPr>
        <w:t xml:space="preserve"> </w:t>
      </w:r>
      <w:r w:rsidRPr="003B2786">
        <w:rPr>
          <w:rFonts w:ascii="Sylfaen" w:hAnsi="Sylfaen"/>
          <w:sz w:val="24"/>
          <w:szCs w:val="24"/>
        </w:rPr>
        <w:t>պետություն ներկայացնելու օրվանից 14 աշխատանքային օրվա ընթացքում՝ սույն հավելվածի 2.3.1 ենթակետին համապատասխան:</w:t>
      </w:r>
    </w:p>
    <w:p w14:paraId="0C4B3EDC" w14:textId="77777777" w:rsidR="008C76E0" w:rsidRPr="003B2786" w:rsidRDefault="008C76E0" w:rsidP="00593820">
      <w:pPr>
        <w:tabs>
          <w:tab w:val="left" w:pos="1418"/>
        </w:tabs>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 xml:space="preserve">Անհրաժեշտության դեպքում </w:t>
      </w:r>
      <w:r w:rsidRPr="003B2786">
        <w:rPr>
          <w:rFonts w:ascii="Sylfaen" w:hAnsi="Sylfaen"/>
          <w:sz w:val="24"/>
          <w:szCs w:val="24"/>
        </w:rPr>
        <w:t>ռեֆերենտ</w:t>
      </w:r>
      <w:r w:rsidRPr="003B2786" w:rsidDel="00B61669">
        <w:rPr>
          <w:rFonts w:ascii="Sylfaen" w:hAnsi="Sylfaen"/>
          <w:spacing w:val="-4"/>
          <w:sz w:val="24"/>
          <w:szCs w:val="24"/>
        </w:rPr>
        <w:t xml:space="preserve"> </w:t>
      </w:r>
      <w:r w:rsidRPr="003B2786">
        <w:rPr>
          <w:rFonts w:ascii="Sylfaen" w:hAnsi="Sylfaen"/>
          <w:spacing w:val="-4"/>
          <w:sz w:val="24"/>
          <w:szCs w:val="24"/>
        </w:rPr>
        <w:t xml:space="preserve">պետության </w:t>
      </w:r>
      <w:r w:rsidR="00C54D75">
        <w:rPr>
          <w:rFonts w:ascii="Sylfaen" w:hAnsi="Sylfaen"/>
          <w:spacing w:val="-4"/>
          <w:sz w:val="24"/>
          <w:szCs w:val="24"/>
        </w:rPr>
        <w:t>և</w:t>
      </w:r>
      <w:r w:rsidRPr="003B2786">
        <w:rPr>
          <w:rFonts w:ascii="Sylfaen" w:hAnsi="Sylfaen"/>
          <w:spacing w:val="-4"/>
          <w:sz w:val="24"/>
          <w:szCs w:val="24"/>
        </w:rPr>
        <w:t xml:space="preserve"> ճանաչման պետությունների լիազորված մարմինների (փորձագիտական </w:t>
      </w:r>
      <w:r w:rsidRPr="003B2786">
        <w:rPr>
          <w:rFonts w:ascii="Sylfaen" w:hAnsi="Sylfaen"/>
          <w:spacing w:val="-4"/>
          <w:sz w:val="24"/>
          <w:szCs w:val="24"/>
        </w:rPr>
        <w:lastRenderedPageBreak/>
        <w:t>կազմակերպությունների) միջ</w:t>
      </w:r>
      <w:r w:rsidR="00C54D75">
        <w:rPr>
          <w:rFonts w:ascii="Sylfaen" w:hAnsi="Sylfaen"/>
          <w:spacing w:val="-4"/>
          <w:sz w:val="24"/>
          <w:szCs w:val="24"/>
        </w:rPr>
        <w:t>և</w:t>
      </w:r>
      <w:r w:rsidRPr="003B2786">
        <w:rPr>
          <w:rFonts w:ascii="Sylfaen" w:hAnsi="Sylfaen"/>
          <w:spacing w:val="-4"/>
          <w:sz w:val="24"/>
          <w:szCs w:val="24"/>
        </w:rPr>
        <w:t xml:space="preserve"> գրավոր խորհրդատվություններն իրականացվում են էլեկտրոնային եղանակով՝ ինտեգրված համակարգի միջոցների օգտագործմամբ։</w:t>
      </w:r>
    </w:p>
    <w:p w14:paraId="3DB73F2F"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2.3.3.</w:t>
      </w:r>
      <w:r w:rsidRPr="003B2786">
        <w:rPr>
          <w:rFonts w:ascii="Sylfaen" w:hAnsi="Sylfaen"/>
          <w:sz w:val="24"/>
          <w:szCs w:val="24"/>
        </w:rPr>
        <w:tab/>
        <w:t>Փոփոխությունների կատարման հայտն ստանալու օրվանից 60 օրացուցային օրվա ընթացքում ռեֆերենտ</w:t>
      </w:r>
      <w:r w:rsidRPr="003B2786" w:rsidDel="00B61669">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պետք է պատրաստի գնահատման վերաբերյալ փորձագիտական հաշվետվության նախագիծ </w:t>
      </w:r>
      <w:r w:rsidR="00C54D75">
        <w:rPr>
          <w:rFonts w:ascii="Sylfaen" w:hAnsi="Sylfaen"/>
          <w:sz w:val="24"/>
          <w:szCs w:val="24"/>
        </w:rPr>
        <w:t>և</w:t>
      </w:r>
      <w:r w:rsidRPr="003B2786">
        <w:rPr>
          <w:rFonts w:ascii="Sylfaen" w:hAnsi="Sylfaen"/>
          <w:sz w:val="24"/>
          <w:szCs w:val="24"/>
        </w:rPr>
        <w:t xml:space="preserve"> փոփոխությունների կատարման հայտի մասին որոշման նախագիծ, որոնք պետք է նշված ժամկետում թղթային </w:t>
      </w:r>
      <w:r w:rsidR="00C54D75">
        <w:rPr>
          <w:rFonts w:ascii="Sylfaen" w:hAnsi="Sylfaen"/>
          <w:sz w:val="24"/>
          <w:szCs w:val="24"/>
        </w:rPr>
        <w:t>և</w:t>
      </w:r>
      <w:r w:rsidRPr="003B2786">
        <w:rPr>
          <w:rFonts w:ascii="Sylfaen" w:hAnsi="Sylfaen"/>
          <w:sz w:val="24"/>
          <w:szCs w:val="24"/>
        </w:rPr>
        <w:t xml:space="preserve"> (կամ) էլեկտրոնային եղանակով ուղարկվեն ճանաչման պետությունների համապատասխան մարմիններ:</w:t>
      </w:r>
    </w:p>
    <w:p w14:paraId="39FFCFEE"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2.3.4.</w:t>
      </w:r>
      <w:r w:rsidRPr="003B2786">
        <w:rPr>
          <w:rFonts w:ascii="Sylfaen" w:hAnsi="Sylfaen"/>
          <w:sz w:val="24"/>
          <w:szCs w:val="24"/>
        </w:rPr>
        <w:tab/>
        <w:t>Ռեֆերենտ</w:t>
      </w:r>
      <w:r w:rsidRPr="003B2786" w:rsidDel="00B61669">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իրավունք ունի կրճատելու սույն հավելվածի 2.3.3 ենթակետում նշված ժամկետը՝ հաշվի առնելով հարցի հրատապությունը, կամ այն երկարաձգելու մինչ</w:t>
      </w:r>
      <w:r w:rsidR="00C54D75">
        <w:rPr>
          <w:rFonts w:ascii="Sylfaen" w:hAnsi="Sylfaen"/>
          <w:sz w:val="24"/>
          <w:szCs w:val="24"/>
        </w:rPr>
        <w:t>և</w:t>
      </w:r>
      <w:r w:rsidRPr="003B2786">
        <w:rPr>
          <w:rFonts w:ascii="Sylfaen" w:hAnsi="Sylfaen"/>
          <w:sz w:val="24"/>
          <w:szCs w:val="24"/>
        </w:rPr>
        <w:t xml:space="preserve"> 90 օրացուցային օր՝ կիրառման հաստատված ցուցումների ձ</w:t>
      </w:r>
      <w:r w:rsidR="00C54D75">
        <w:rPr>
          <w:rFonts w:ascii="Sylfaen" w:hAnsi="Sylfaen"/>
          <w:sz w:val="24"/>
          <w:szCs w:val="24"/>
        </w:rPr>
        <w:t>և</w:t>
      </w:r>
      <w:r w:rsidRPr="003B2786">
        <w:rPr>
          <w:rFonts w:ascii="Sylfaen" w:hAnsi="Sylfaen"/>
          <w:sz w:val="24"/>
          <w:szCs w:val="24"/>
        </w:rPr>
        <w:t>ափոխման կամ կիրառման նոր ցուցումներ ներառելու հիմքում ընկած փոփոխություններով կամ փոփոխությունների խմբով պայմանավորված՝ սույն հավելվածի 1.7.2 ենթակետի «գ» կետին համապատասխան:</w:t>
      </w:r>
    </w:p>
    <w:p w14:paraId="25D8BFD8"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2.3.5.</w:t>
      </w:r>
      <w:r w:rsidRPr="003B2786">
        <w:rPr>
          <w:rFonts w:ascii="Sylfaen" w:hAnsi="Sylfaen"/>
          <w:sz w:val="24"/>
          <w:szCs w:val="24"/>
        </w:rPr>
        <w:tab/>
        <w:t xml:space="preserve">2.3.3 </w:t>
      </w:r>
      <w:r w:rsidR="00C54D75">
        <w:rPr>
          <w:rFonts w:ascii="Sylfaen" w:hAnsi="Sylfaen"/>
          <w:sz w:val="24"/>
          <w:szCs w:val="24"/>
        </w:rPr>
        <w:t>և</w:t>
      </w:r>
      <w:r w:rsidRPr="003B2786">
        <w:rPr>
          <w:rFonts w:ascii="Sylfaen" w:hAnsi="Sylfaen"/>
          <w:sz w:val="24"/>
          <w:szCs w:val="24"/>
        </w:rPr>
        <w:t xml:space="preserve"> 2.3.4 ենթակետերում հիշատակված ժամկետի ընթացքում ռեֆերենտ</w:t>
      </w:r>
      <w:r w:rsidRPr="003B2786" w:rsidDel="00B61669">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իրավունք ունի այն պակասող լրացուցիչ տեղեկատվության, անհրաժեշտ պարզաբանումների կամ ներկայացված փաստաթղթերի </w:t>
      </w:r>
      <w:r w:rsidR="00C54D75">
        <w:rPr>
          <w:rFonts w:ascii="Sylfaen" w:hAnsi="Sylfaen"/>
          <w:sz w:val="24"/>
          <w:szCs w:val="24"/>
        </w:rPr>
        <w:t>և</w:t>
      </w:r>
      <w:r w:rsidRPr="003B2786">
        <w:rPr>
          <w:rFonts w:ascii="Sylfaen" w:hAnsi="Sylfaen"/>
          <w:sz w:val="24"/>
          <w:szCs w:val="24"/>
        </w:rPr>
        <w:t xml:space="preserve"> գրանցման դոսյեի տվյալների ճշտումների մասին հայտատուին գրավոր </w:t>
      </w:r>
      <w:r w:rsidR="00C54D75">
        <w:rPr>
          <w:rFonts w:ascii="Sylfaen" w:hAnsi="Sylfaen"/>
          <w:sz w:val="24"/>
          <w:szCs w:val="24"/>
        </w:rPr>
        <w:t>և</w:t>
      </w:r>
      <w:r w:rsidRPr="003B2786">
        <w:rPr>
          <w:rFonts w:ascii="Sylfaen" w:hAnsi="Sylfaen"/>
          <w:sz w:val="24"/>
          <w:szCs w:val="24"/>
        </w:rPr>
        <w:t xml:space="preserve"> (կամ) էլեկտրոնային եղանակով հարցում (այդ թվում՝ դեղապատրաստուկի ընդհանուր բնութագրում, բժշկական կիրառման հրահանգում, դեղապատրաստուկի փաթեթվածքի մանրակերտում, որակի նորմատիվ փաստաթղթերում կամ գրանցման դոսյեի այլ փաստաթղթերում փոփոխություններ կատարելու առաջարկություններ) ուղարկելու:</w:t>
      </w:r>
    </w:p>
    <w:p w14:paraId="074487E8"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Ռեֆերենտ</w:t>
      </w:r>
      <w:r w:rsidRPr="003B2786" w:rsidDel="00B61669">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հայտատուին ուղղված հարցումների օրինակն ուղարկում է </w:t>
      </w:r>
      <w:r w:rsidRPr="003B2786">
        <w:rPr>
          <w:rFonts w:ascii="Sylfaen" w:hAnsi="Sylfaen"/>
          <w:sz w:val="24"/>
          <w:szCs w:val="24"/>
        </w:rPr>
        <w:lastRenderedPageBreak/>
        <w:t xml:space="preserve">ճանաչման պետությունների համապատասխան մարմիններ՝ համաձայն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6-8 հավելվածների ձ</w:t>
      </w:r>
      <w:r w:rsidR="00C54D75">
        <w:rPr>
          <w:rFonts w:ascii="Sylfaen" w:hAnsi="Sylfaen"/>
          <w:sz w:val="24"/>
          <w:szCs w:val="24"/>
        </w:rPr>
        <w:t>և</w:t>
      </w:r>
      <w:r w:rsidRPr="003B2786">
        <w:rPr>
          <w:rFonts w:ascii="Sylfaen" w:hAnsi="Sylfaen"/>
          <w:sz w:val="24"/>
          <w:szCs w:val="24"/>
        </w:rPr>
        <w:t>ի:</w:t>
      </w:r>
    </w:p>
    <w:p w14:paraId="6B1E78DD"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Նշված հարցման պատասխանը հայտատուի կողմից ներկայացնելու ժամկետը չպետք է գերազանցի 90 օրացուցային օրը:</w:t>
      </w:r>
    </w:p>
    <w:p w14:paraId="0B0FAF39"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Հայտատուի կողմից լիազորված մարմնի կամ փորձագիտական կազմակերպության հարցմամբ փաստաթղթերը ներկայացնելու ժամանակը չի մտնում փորձաքննությունն ու փոփոխությունների կատարման ընթացակարգն իրականացնելու ժամկետի մեջ:</w:t>
      </w:r>
    </w:p>
    <w:p w14:paraId="73C1D7C6"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Հարցված փաստաթղթերը </w:t>
      </w:r>
      <w:r w:rsidR="00C54D75">
        <w:rPr>
          <w:rFonts w:ascii="Sylfaen" w:hAnsi="Sylfaen"/>
          <w:sz w:val="24"/>
          <w:szCs w:val="24"/>
        </w:rPr>
        <w:t>և</w:t>
      </w:r>
      <w:r w:rsidRPr="003B2786">
        <w:rPr>
          <w:rFonts w:ascii="Sylfaen" w:hAnsi="Sylfaen"/>
          <w:sz w:val="24"/>
          <w:szCs w:val="24"/>
        </w:rPr>
        <w:t xml:space="preserve"> տվյալները սահմանված ժամկետում հայտատուի կողմից չներկայացնելու դեպքում փորձաքննությունը </w:t>
      </w:r>
      <w:r w:rsidR="00C54D75">
        <w:rPr>
          <w:rFonts w:ascii="Sylfaen" w:hAnsi="Sylfaen"/>
          <w:sz w:val="24"/>
          <w:szCs w:val="24"/>
        </w:rPr>
        <w:t>և</w:t>
      </w:r>
      <w:r w:rsidRPr="003B2786">
        <w:rPr>
          <w:rFonts w:ascii="Sylfaen" w:hAnsi="Sylfaen"/>
          <w:sz w:val="24"/>
          <w:szCs w:val="24"/>
        </w:rPr>
        <w:t xml:space="preserve"> փոփոխությունների կատարման ընթացակարգը դադարեցվում են: Կայացրած որոշման մասին ռեֆերենտ</w:t>
      </w:r>
      <w:r w:rsidRPr="003B2786" w:rsidDel="00FA0ABC">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այդ որոշումը կայացնելու օրվանից 10 աշխատանքային օրվա ընթացքում գրավոր </w:t>
      </w:r>
      <w:r w:rsidR="00C54D75">
        <w:rPr>
          <w:rFonts w:ascii="Sylfaen" w:hAnsi="Sylfaen"/>
          <w:sz w:val="24"/>
          <w:szCs w:val="24"/>
        </w:rPr>
        <w:t>և</w:t>
      </w:r>
      <w:r w:rsidRPr="003B2786">
        <w:rPr>
          <w:rFonts w:ascii="Sylfaen" w:hAnsi="Sylfaen"/>
          <w:sz w:val="24"/>
          <w:szCs w:val="24"/>
        </w:rPr>
        <w:t xml:space="preserve"> էլեկտրոնային եղանակով տեղեկացնում է հայտատուին </w:t>
      </w:r>
      <w:r w:rsidR="00C54D75">
        <w:rPr>
          <w:rFonts w:ascii="Sylfaen" w:hAnsi="Sylfaen"/>
          <w:sz w:val="24"/>
          <w:szCs w:val="24"/>
        </w:rPr>
        <w:t>և</w:t>
      </w:r>
      <w:r w:rsidRPr="003B2786">
        <w:rPr>
          <w:rFonts w:ascii="Sylfaen" w:hAnsi="Sylfaen"/>
          <w:sz w:val="24"/>
          <w:szCs w:val="24"/>
        </w:rPr>
        <w:t xml:space="preserve"> ճանաչման պետությունների համապատասխան մարմիններին:</w:t>
      </w:r>
    </w:p>
    <w:p w14:paraId="6E7FBE5D"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2.3.6.</w:t>
      </w:r>
      <w:r w:rsidRPr="003B2786">
        <w:rPr>
          <w:rFonts w:ascii="Sylfaen" w:hAnsi="Sylfaen"/>
          <w:sz w:val="24"/>
          <w:szCs w:val="24"/>
        </w:rPr>
        <w:tab/>
        <w:t xml:space="preserve">Չսահմանափակելով սույն հավելվածի 2.6 կետի դրույթները </w:t>
      </w:r>
      <w:r w:rsidR="00C54D75">
        <w:rPr>
          <w:rFonts w:ascii="Sylfaen" w:hAnsi="Sylfaen"/>
          <w:sz w:val="24"/>
          <w:szCs w:val="24"/>
        </w:rPr>
        <w:t>և</w:t>
      </w:r>
      <w:r w:rsidRPr="003B2786">
        <w:rPr>
          <w:rFonts w:ascii="Sylfaen" w:hAnsi="Sylfaen"/>
          <w:sz w:val="24"/>
          <w:szCs w:val="24"/>
        </w:rPr>
        <w:t xml:space="preserve"> սույն հավելվածի 2.3.3 ու 2.3.4 ենթակետերում նշված գնահատման վերաբերյալ փորձագիտական հաշվետվության նախագիծը </w:t>
      </w:r>
      <w:r w:rsidR="00C54D75">
        <w:rPr>
          <w:rFonts w:ascii="Sylfaen" w:hAnsi="Sylfaen"/>
          <w:sz w:val="24"/>
          <w:szCs w:val="24"/>
        </w:rPr>
        <w:t>և</w:t>
      </w:r>
      <w:r w:rsidRPr="003B2786">
        <w:rPr>
          <w:rFonts w:ascii="Sylfaen" w:hAnsi="Sylfaen"/>
          <w:sz w:val="24"/>
          <w:szCs w:val="24"/>
        </w:rPr>
        <w:t xml:space="preserve"> որոշման նախագիծն ստանալու օրվանից 30 </w:t>
      </w:r>
      <w:r w:rsidRPr="003B2786">
        <w:rPr>
          <w:rFonts w:ascii="Sylfaen" w:hAnsi="Sylfaen"/>
          <w:spacing w:val="-4"/>
          <w:sz w:val="24"/>
          <w:szCs w:val="24"/>
        </w:rPr>
        <w:t xml:space="preserve">օրացուցային օրվա ընթացքում ճանաչման պետությունների լիազորված մարմինները (փորձագիտական կազմակերպությունները) կայացնում են </w:t>
      </w:r>
      <w:r w:rsidRPr="003B2786">
        <w:rPr>
          <w:rFonts w:ascii="Sylfaen" w:hAnsi="Sylfaen"/>
          <w:sz w:val="24"/>
          <w:szCs w:val="24"/>
        </w:rPr>
        <w:t>ռեֆերենտ</w:t>
      </w:r>
      <w:r w:rsidRPr="003B2786" w:rsidDel="00FA0ABC">
        <w:rPr>
          <w:rFonts w:ascii="Sylfaen" w:hAnsi="Sylfaen"/>
          <w:spacing w:val="-4"/>
          <w:sz w:val="24"/>
          <w:szCs w:val="24"/>
        </w:rPr>
        <w:t xml:space="preserve"> </w:t>
      </w:r>
      <w:r w:rsidRPr="003B2786">
        <w:rPr>
          <w:rFonts w:ascii="Sylfaen" w:hAnsi="Sylfaen"/>
          <w:spacing w:val="-4"/>
          <w:sz w:val="24"/>
          <w:szCs w:val="24"/>
        </w:rPr>
        <w:t>պետության փորձագիտական կազմակերպության կողմից պատրաստված՝ գնահատման վերաբերյալ</w:t>
      </w:r>
      <w:r w:rsidRPr="003B2786">
        <w:rPr>
          <w:rFonts w:ascii="Sylfaen" w:hAnsi="Sylfaen"/>
          <w:sz w:val="24"/>
          <w:szCs w:val="24"/>
        </w:rPr>
        <w:t xml:space="preserve"> փորձագիտական հաշվետվությունն ընդունելու կամ չընդունելու մասին որոշում </w:t>
      </w:r>
      <w:r w:rsidR="00C54D75">
        <w:rPr>
          <w:rFonts w:ascii="Sylfaen" w:hAnsi="Sylfaen"/>
          <w:sz w:val="24"/>
          <w:szCs w:val="24"/>
        </w:rPr>
        <w:t>և</w:t>
      </w:r>
      <w:r w:rsidRPr="003B2786">
        <w:rPr>
          <w:rFonts w:ascii="Sylfaen" w:hAnsi="Sylfaen"/>
          <w:sz w:val="24"/>
          <w:szCs w:val="24"/>
        </w:rPr>
        <w:t xml:space="preserve"> այդ մասին ծանուցում են ռեֆերենտ</w:t>
      </w:r>
      <w:r w:rsidRPr="003B2786" w:rsidDel="00FA0ABC">
        <w:rPr>
          <w:rFonts w:ascii="Sylfaen" w:hAnsi="Sylfaen"/>
          <w:sz w:val="24"/>
          <w:szCs w:val="24"/>
        </w:rPr>
        <w:t xml:space="preserve"> </w:t>
      </w:r>
      <w:r w:rsidRPr="003B2786">
        <w:rPr>
          <w:rFonts w:ascii="Sylfaen" w:hAnsi="Sylfaen"/>
          <w:sz w:val="24"/>
          <w:szCs w:val="24"/>
        </w:rPr>
        <w:t>պետության լիազորված մարմնին (փորձագիտական կազմակերպությանը):</w:t>
      </w:r>
    </w:p>
    <w:p w14:paraId="35B6E44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Ճանաչման պետության լիազորված մարմինը (փորձագիտական կազմակերպությունը) անհրաժեշտության դեպքում՝ ոչ ուշ, քան գնահատման վերաբերյալ հաշվետվության նախագծին հասանելիություն ստանալու օրվանից 20 </w:t>
      </w:r>
      <w:r w:rsidRPr="003B2786">
        <w:rPr>
          <w:rFonts w:ascii="Sylfaen" w:hAnsi="Sylfaen"/>
          <w:sz w:val="24"/>
          <w:szCs w:val="24"/>
        </w:rPr>
        <w:lastRenderedPageBreak/>
        <w:t xml:space="preserve">օրացուցային օրվա ընթացքում, հարցում է ուղարկում հայտատուին </w:t>
      </w:r>
      <w:r w:rsidR="00C54D75">
        <w:rPr>
          <w:rFonts w:ascii="Sylfaen" w:hAnsi="Sylfaen"/>
          <w:sz w:val="24"/>
          <w:szCs w:val="24"/>
        </w:rPr>
        <w:t>և</w:t>
      </w:r>
      <w:r w:rsidRPr="003B2786">
        <w:rPr>
          <w:rFonts w:ascii="Sylfaen" w:hAnsi="Sylfaen"/>
          <w:sz w:val="24"/>
          <w:szCs w:val="24"/>
        </w:rPr>
        <w:t xml:space="preserve"> ռեֆերենտ</w:t>
      </w:r>
      <w:r w:rsidRPr="003B2786" w:rsidDel="00FA0ABC">
        <w:rPr>
          <w:rFonts w:ascii="Sylfaen" w:hAnsi="Sylfaen"/>
          <w:sz w:val="24"/>
          <w:szCs w:val="24"/>
        </w:rPr>
        <w:t xml:space="preserve"> </w:t>
      </w:r>
      <w:r w:rsidRPr="003B2786">
        <w:rPr>
          <w:rFonts w:ascii="Sylfaen" w:hAnsi="Sylfaen"/>
          <w:sz w:val="24"/>
          <w:szCs w:val="24"/>
        </w:rPr>
        <w:t xml:space="preserve">պետության լիազորված մարմին (փորձագիտական կազմակերպություն)՝ համաձայն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18 հավելվածով սահմանված ձ</w:t>
      </w:r>
      <w:r w:rsidR="00C54D75">
        <w:rPr>
          <w:rFonts w:ascii="Sylfaen" w:hAnsi="Sylfaen"/>
          <w:sz w:val="24"/>
          <w:szCs w:val="24"/>
        </w:rPr>
        <w:t>և</w:t>
      </w:r>
      <w:r w:rsidRPr="003B2786">
        <w:rPr>
          <w:rFonts w:ascii="Sylfaen" w:hAnsi="Sylfaen"/>
          <w:sz w:val="24"/>
          <w:szCs w:val="24"/>
        </w:rPr>
        <w:t>ի։</w:t>
      </w:r>
    </w:p>
    <w:p w14:paraId="44615B2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Հայտատուն 90 օրացուցային օրը չգերազանցող ժամկետում ճանաչման պետությունների </w:t>
      </w:r>
      <w:r w:rsidR="00C54D75">
        <w:rPr>
          <w:rFonts w:ascii="Sylfaen" w:hAnsi="Sylfaen"/>
          <w:sz w:val="24"/>
          <w:szCs w:val="24"/>
        </w:rPr>
        <w:t>և</w:t>
      </w:r>
      <w:r w:rsidRPr="003B2786">
        <w:rPr>
          <w:rFonts w:ascii="Sylfaen" w:hAnsi="Sylfaen"/>
          <w:sz w:val="24"/>
          <w:szCs w:val="24"/>
        </w:rPr>
        <w:t xml:space="preserve"> ռեֆերենտ</w:t>
      </w:r>
      <w:r w:rsidRPr="003B2786" w:rsidDel="00FA0ABC">
        <w:rPr>
          <w:rFonts w:ascii="Sylfaen" w:hAnsi="Sylfaen"/>
          <w:sz w:val="24"/>
          <w:szCs w:val="24"/>
        </w:rPr>
        <w:t xml:space="preserve"> </w:t>
      </w:r>
      <w:r w:rsidRPr="003B2786">
        <w:rPr>
          <w:rFonts w:ascii="Sylfaen" w:hAnsi="Sylfaen"/>
          <w:sz w:val="24"/>
          <w:szCs w:val="24"/>
        </w:rPr>
        <w:t xml:space="preserve">պետության լիազորված մարմին (փորձագիտական կազմակերպություն) է ուղարկում հարցման պատասխանը։ Հարցմանը հայտատուի պատասխանի ժամկետը չի ներառվում դեղապատրաստուկի փորձաքննություն անցկացնելու </w:t>
      </w:r>
      <w:r w:rsidR="00C54D75">
        <w:rPr>
          <w:rFonts w:ascii="Sylfaen" w:hAnsi="Sylfaen"/>
          <w:sz w:val="24"/>
          <w:szCs w:val="24"/>
        </w:rPr>
        <w:t>և</w:t>
      </w:r>
      <w:r w:rsidRPr="003B2786">
        <w:rPr>
          <w:rFonts w:ascii="Sylfaen" w:hAnsi="Sylfaen"/>
          <w:sz w:val="24"/>
          <w:szCs w:val="24"/>
        </w:rPr>
        <w:t xml:space="preserve"> գրանցման դոսյեի մեջ փոփոխությունների կատարման ընթացակարգի ընդհանուր ժամկետի մեջ։</w:t>
      </w:r>
    </w:p>
    <w:p w14:paraId="65F3BB31"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Ճանաչման պետության լիազորված մարմնի (փորձագիտական կազմակերպության) կողմից հարցված փաստաթղթերն ու տվյալները հայտատուի կողմից չներկայացվելու դեպքում ճանաչման տվյալ պետությունում դեղապատրաստուկի փորձաքննությունն ու փոփոխությունների կատարման ընթացակարգը դադարեցվում են:</w:t>
      </w:r>
    </w:p>
    <w:p w14:paraId="52612B94"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Լիազորված մարմնի (փորձագիտական կազմակերպության) կայացրած որոշման մասին հայտատուն տեղեկացվում է էլեկտրոնային </w:t>
      </w:r>
      <w:r w:rsidR="00C54D75">
        <w:rPr>
          <w:rFonts w:ascii="Sylfaen" w:hAnsi="Sylfaen"/>
          <w:sz w:val="24"/>
          <w:szCs w:val="24"/>
        </w:rPr>
        <w:t>և</w:t>
      </w:r>
      <w:r w:rsidRPr="003B2786">
        <w:rPr>
          <w:rFonts w:ascii="Sylfaen" w:hAnsi="Sylfaen"/>
          <w:sz w:val="24"/>
          <w:szCs w:val="24"/>
        </w:rPr>
        <w:t xml:space="preserve"> թղթային եղանակով այդ որոշման ընդունման օրվանից 10 աշխատանքային օրվա ընթացքում:</w:t>
      </w:r>
    </w:p>
    <w:p w14:paraId="74D1B25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2.3.7.</w:t>
      </w:r>
      <w:r w:rsidRPr="003B2786">
        <w:rPr>
          <w:rFonts w:ascii="Sylfaen" w:hAnsi="Sylfaen"/>
          <w:sz w:val="24"/>
          <w:szCs w:val="24"/>
        </w:rPr>
        <w:tab/>
        <w:t>Եթե ճանաչման պետությունների լիազորված մարմինը (փորձագիտական կազմակերպությունը) 2.3.6 ենթակետի առաջին պարբերության մեջ նշված ժամկետի ընթացքում չի ուղարկում ռեֆերենտ</w:t>
      </w:r>
      <w:r w:rsidRPr="003B2786" w:rsidDel="00FA0ABC">
        <w:rPr>
          <w:rFonts w:ascii="Sylfaen" w:hAnsi="Sylfaen"/>
          <w:sz w:val="24"/>
          <w:szCs w:val="24"/>
        </w:rPr>
        <w:t xml:space="preserve"> </w:t>
      </w:r>
      <w:r w:rsidRPr="003B2786">
        <w:rPr>
          <w:rFonts w:ascii="Sylfaen" w:hAnsi="Sylfaen"/>
          <w:sz w:val="24"/>
          <w:szCs w:val="24"/>
        </w:rPr>
        <w:t>պետության փորձագիտական կազմակերպության կողմից պատրաստված՝ գնահատման վերաբերյալ փորձագիտական հաշվետվությունն ընդունելու անհնարինության մասին եզրակացությունը, ապա որոշումը պետք է դիտարկվի որպես այդ լիազորված մարմնի (փորձագիտական կազմակերպության) կողմից ընդունված:</w:t>
      </w:r>
    </w:p>
    <w:p w14:paraId="2BB4A5A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2.3.8.</w:t>
      </w:r>
      <w:r w:rsidRPr="003B2786">
        <w:rPr>
          <w:rFonts w:ascii="Sylfaen" w:hAnsi="Sylfaen"/>
          <w:sz w:val="24"/>
          <w:szCs w:val="24"/>
        </w:rPr>
        <w:tab/>
        <w:t xml:space="preserve">Եթե սույն հավելվածի 2.3.7 ենթակետում հիշատակված որոշումը, սույն հավելվածի 2.3.6 </w:t>
      </w:r>
      <w:r w:rsidR="00C54D75">
        <w:rPr>
          <w:rFonts w:ascii="Sylfaen" w:hAnsi="Sylfaen"/>
          <w:sz w:val="24"/>
          <w:szCs w:val="24"/>
        </w:rPr>
        <w:t>և</w:t>
      </w:r>
      <w:r w:rsidRPr="003B2786">
        <w:rPr>
          <w:rFonts w:ascii="Sylfaen" w:hAnsi="Sylfaen"/>
          <w:sz w:val="24"/>
          <w:szCs w:val="24"/>
        </w:rPr>
        <w:t xml:space="preserve"> 2.3.7 ենթակետերին համապատասխան, ընդունվում է բոլոր լիազորված մարմինների կողմից, ապա ձեռնարկվում են սույն հավելվածի </w:t>
      </w:r>
      <w:r w:rsidRPr="003B2786">
        <w:rPr>
          <w:rFonts w:ascii="Sylfaen" w:hAnsi="Sylfaen"/>
          <w:sz w:val="24"/>
          <w:szCs w:val="24"/>
        </w:rPr>
        <w:lastRenderedPageBreak/>
        <w:t>2.4 կետում նշված միջոցները:</w:t>
      </w:r>
    </w:p>
    <w:p w14:paraId="4C44BC7B"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Այն դեպքում, երբ սույն հավելվածի 1.6 կետի համաձայն փոփոխությունները հանգեցնում են դեղապատրաստուկի մասին տեղեկատվության վերանայման, լիազորված մարմինները փոփոխությունը հաստատելու մասին որոշում կայացնելուց հետո՝ 10 աշխատանքային օրվա ընթացքում, փոփոխությունների կատարման մասին տեղեկությունները տեղադրում են միասնական ռեեստրում՝ կից ներկայացնելով 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են հանձնում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03FFA456"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Լիազորված մարմիններն իրավունք ունեն մինչ</w:t>
      </w:r>
      <w:r w:rsidR="00C54D75">
        <w:rPr>
          <w:rFonts w:ascii="Sylfaen" w:hAnsi="Sylfaen"/>
          <w:sz w:val="24"/>
          <w:szCs w:val="24"/>
        </w:rPr>
        <w:t>և</w:t>
      </w:r>
      <w:r w:rsidRPr="003B2786">
        <w:rPr>
          <w:rFonts w:ascii="Sylfaen" w:hAnsi="Sylfaen"/>
          <w:sz w:val="24"/>
          <w:szCs w:val="24"/>
        </w:rPr>
        <w:t xml:space="preserve"> 30 օրացուցային օր երկարաձգելու սույն կետի առաջին պարբերության մեջ նշված ժամկետն այն դեպքում, երբ հայտատուն ներկայացրել է խմբային փոփոխություններ՝ համաձայն սույն հավելվածի 1.7.2 </w:t>
      </w:r>
      <w:r w:rsidR="00C54D75">
        <w:rPr>
          <w:rFonts w:ascii="Sylfaen" w:hAnsi="Sylfaen"/>
          <w:sz w:val="24"/>
          <w:szCs w:val="24"/>
        </w:rPr>
        <w:t>և</w:t>
      </w:r>
      <w:r w:rsidRPr="003B2786">
        <w:rPr>
          <w:rFonts w:ascii="Sylfaen" w:hAnsi="Sylfaen"/>
          <w:sz w:val="24"/>
          <w:szCs w:val="24"/>
        </w:rPr>
        <w:t xml:space="preserve"> 1.7.3 կետերի:</w:t>
      </w:r>
    </w:p>
    <w:p w14:paraId="01502F11"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2.3.9.</w:t>
      </w:r>
      <w:r w:rsidRPr="003B2786">
        <w:rPr>
          <w:rFonts w:ascii="Sylfaen" w:hAnsi="Sylfaen"/>
          <w:sz w:val="24"/>
          <w:szCs w:val="24"/>
        </w:rPr>
        <w:tab/>
        <w:t>Սույն բաժինը չի կիրառվում, եթե II տիպի փոփոխության վերաբերյալ հարցումը ներկայացված է փոփոխությունների՝ դեղապատրաստուկի գրանցման ընդլայնում ներառող խմբի կազմում: Այդ դեպքում կիրառվում է 4.1.1 ենթակետով նախատեսված ընթացակարգը:</w:t>
      </w:r>
    </w:p>
    <w:p w14:paraId="7C2A5F03"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2.4.</w:t>
      </w:r>
      <w:r w:rsidRPr="003B2786">
        <w:rPr>
          <w:rFonts w:ascii="Sylfaen" w:hAnsi="Sylfaen"/>
          <w:sz w:val="24"/>
          <w:szCs w:val="24"/>
        </w:rPr>
        <w:tab/>
        <w:t>Սույն հավելվածի 2.3-2.5 կետերով նախատեսված ընթացակարգերը եզրափակելու համար անհրաժեշտ միջոցները</w:t>
      </w:r>
    </w:p>
    <w:p w14:paraId="008BED02"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2.4.1.</w:t>
      </w:r>
      <w:r w:rsidRPr="003B2786">
        <w:rPr>
          <w:rFonts w:ascii="Sylfaen" w:hAnsi="Sylfaen"/>
          <w:sz w:val="24"/>
          <w:szCs w:val="24"/>
        </w:rPr>
        <w:tab/>
        <w:t>Վկայակոչելով սույն կետը՝ ռեֆերենտ</w:t>
      </w:r>
      <w:r w:rsidRPr="003B2786" w:rsidDel="00FA0ABC">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պետք է ձեռնարկի հետ</w:t>
      </w:r>
      <w:r w:rsidR="00C54D75">
        <w:rPr>
          <w:rFonts w:ascii="Sylfaen" w:hAnsi="Sylfaen"/>
          <w:sz w:val="24"/>
          <w:szCs w:val="24"/>
        </w:rPr>
        <w:t>և</w:t>
      </w:r>
      <w:r w:rsidRPr="003B2786">
        <w:rPr>
          <w:rFonts w:ascii="Sylfaen" w:hAnsi="Sylfaen"/>
          <w:sz w:val="24"/>
          <w:szCs w:val="24"/>
        </w:rPr>
        <w:t>յալ միջոցները՝</w:t>
      </w:r>
    </w:p>
    <w:p w14:paraId="13100892"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 xml:space="preserve">հայտատուին </w:t>
      </w:r>
      <w:r w:rsidR="00C54D75">
        <w:rPr>
          <w:rFonts w:ascii="Sylfaen" w:hAnsi="Sylfaen"/>
          <w:sz w:val="24"/>
          <w:szCs w:val="24"/>
        </w:rPr>
        <w:t>և</w:t>
      </w:r>
      <w:r w:rsidRPr="003B2786">
        <w:rPr>
          <w:rFonts w:ascii="Sylfaen" w:hAnsi="Sylfaen"/>
          <w:sz w:val="24"/>
          <w:szCs w:val="24"/>
        </w:rPr>
        <w:t xml:space="preserve"> ճանաչման պետությունների համապատասխան մարմիններին ծանուցի փոփոխությունը հաստատելու կամ մերժելու մասին.</w:t>
      </w:r>
    </w:p>
    <w:p w14:paraId="69258E46"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փոփոխությունը մերժելու դեպքում հայտատուին </w:t>
      </w:r>
      <w:r w:rsidR="00C54D75">
        <w:rPr>
          <w:rFonts w:ascii="Sylfaen" w:hAnsi="Sylfaen"/>
          <w:sz w:val="24"/>
          <w:szCs w:val="24"/>
        </w:rPr>
        <w:t>և</w:t>
      </w:r>
      <w:r w:rsidRPr="003B2786">
        <w:rPr>
          <w:rFonts w:ascii="Sylfaen" w:hAnsi="Sylfaen"/>
          <w:sz w:val="24"/>
          <w:szCs w:val="24"/>
        </w:rPr>
        <w:t xml:space="preserve"> ճանաչման պետությունների համապատասխան մարմիններին ծանուցի այդպիսի որոշման հիմքերի մասին.</w:t>
      </w:r>
    </w:p>
    <w:p w14:paraId="60CFF279"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հայտատուին </w:t>
      </w:r>
      <w:r w:rsidR="00C54D75">
        <w:rPr>
          <w:rFonts w:ascii="Sylfaen" w:hAnsi="Sylfaen"/>
          <w:sz w:val="24"/>
          <w:szCs w:val="24"/>
        </w:rPr>
        <w:t>և</w:t>
      </w:r>
      <w:r w:rsidRPr="003B2786">
        <w:rPr>
          <w:rFonts w:ascii="Sylfaen" w:hAnsi="Sylfaen"/>
          <w:sz w:val="24"/>
          <w:szCs w:val="24"/>
        </w:rPr>
        <w:t xml:space="preserve"> ճանաչման պետությունների համապատասխան մարմիններին ծանուցի դեղապատրաստուկի գրանցման մասին որոշման ընդունման պայմանների, ներառյալ՝ դեղապատրաստուկի ընդհանուր բնութագրի </w:t>
      </w:r>
      <w:r w:rsidR="00C54D75">
        <w:rPr>
          <w:rFonts w:ascii="Sylfaen" w:hAnsi="Sylfaen"/>
          <w:sz w:val="24"/>
          <w:szCs w:val="24"/>
        </w:rPr>
        <w:t>և</w:t>
      </w:r>
      <w:r w:rsidRPr="003B2786">
        <w:rPr>
          <w:rFonts w:ascii="Sylfaen" w:hAnsi="Sylfaen"/>
          <w:sz w:val="24"/>
          <w:szCs w:val="24"/>
        </w:rPr>
        <w:t xml:space="preserve"> ցանկացած այնպիսի պայմանի, պարտավորության կամ սահմանափակման փոփոխության անհրաժեշտության մասին, որն ազդեցություն է ունենում դեղապատրաստուկի գրանցման կամ փոփոխություն կատարելու հետ կապված դեղապատրաստուկի ընդհանուր բնութագրի փոփոխությամբ պայմանավորված՝ մակնշման կամ ներդիր թերթիկի փոփոխությունների վրա:</w:t>
      </w:r>
    </w:p>
    <w:p w14:paraId="249608CA"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2.4.2.</w:t>
      </w:r>
      <w:r w:rsidRPr="003B2786">
        <w:rPr>
          <w:rFonts w:ascii="Sylfaen" w:hAnsi="Sylfaen"/>
          <w:sz w:val="24"/>
          <w:szCs w:val="24"/>
        </w:rPr>
        <w:tab/>
        <w:t xml:space="preserve">Վկայակոչելով սույն կետը՝ յուրաքանչյուր լիազորված մարմին անհրաժեշտության դեպքում </w:t>
      </w:r>
      <w:r w:rsidR="00C54D75">
        <w:rPr>
          <w:rFonts w:ascii="Sylfaen" w:hAnsi="Sylfaen"/>
          <w:sz w:val="24"/>
          <w:szCs w:val="24"/>
        </w:rPr>
        <w:t>և</w:t>
      </w:r>
      <w:r w:rsidRPr="003B2786">
        <w:rPr>
          <w:rFonts w:ascii="Sylfaen" w:hAnsi="Sylfaen"/>
          <w:sz w:val="24"/>
          <w:szCs w:val="24"/>
        </w:rPr>
        <w:t xml:space="preserve"> սույն հավելվածի 4.2.1 ենթակետով սահմանված առավելագույն ժամկետի ընթացքում (բացառությամբ սույն հավելվածի 1.6 կետին համապատասխան դեղապատրաստուկի մասին տեղեկատվության վերանայման հանգեցրած փոփոխությունների) պետք է փոփոխի գրանցման մասին որոշումը՝ ընդունված փոփոխությանը համապատասխան: </w:t>
      </w:r>
    </w:p>
    <w:p w14:paraId="2ADBF863"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p>
    <w:p w14:paraId="53D4C0FC" w14:textId="77777777" w:rsidR="008C76E0" w:rsidRPr="003B2786" w:rsidRDefault="008C76E0" w:rsidP="00593820">
      <w:pPr>
        <w:tabs>
          <w:tab w:val="left" w:pos="1701"/>
        </w:tabs>
        <w:spacing w:after="160" w:line="360" w:lineRule="auto"/>
        <w:ind w:right="-1"/>
        <w:jc w:val="center"/>
        <w:rPr>
          <w:rFonts w:ascii="Sylfaen" w:hAnsi="Sylfaen"/>
          <w:sz w:val="24"/>
          <w:szCs w:val="24"/>
        </w:rPr>
      </w:pPr>
      <w:r w:rsidRPr="003B2786">
        <w:rPr>
          <w:rFonts w:ascii="Sylfaen" w:hAnsi="Sylfaen"/>
          <w:sz w:val="24"/>
          <w:szCs w:val="24"/>
        </w:rPr>
        <w:t>2.5. Քննարկումը Փորձագիտական կոմիտեում</w:t>
      </w:r>
    </w:p>
    <w:p w14:paraId="23FC6747"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2.5.1.</w:t>
      </w:r>
      <w:r w:rsidRPr="003B2786">
        <w:rPr>
          <w:rFonts w:ascii="Sylfaen" w:hAnsi="Sylfaen"/>
          <w:sz w:val="24"/>
          <w:szCs w:val="24"/>
        </w:rPr>
        <w:tab/>
        <w:t>Եթե մեկ կամ մի քանի ճանաչման պետությունների լիազորված մարմինների կողմից ուղարկվել է ռեֆերենտ</w:t>
      </w:r>
      <w:r w:rsidRPr="003B2786" w:rsidDel="00FA0ABC">
        <w:rPr>
          <w:rFonts w:ascii="Sylfaen" w:hAnsi="Sylfaen"/>
          <w:sz w:val="24"/>
          <w:szCs w:val="24"/>
        </w:rPr>
        <w:t xml:space="preserve"> </w:t>
      </w:r>
      <w:r w:rsidRPr="003B2786">
        <w:rPr>
          <w:rFonts w:ascii="Sylfaen" w:hAnsi="Sylfaen"/>
          <w:sz w:val="24"/>
          <w:szCs w:val="24"/>
        </w:rPr>
        <w:t xml:space="preserve">պետության փորձագիտական կազմակերպության կողմից պատրաստված՝ գնահատման վերաբերյալ փորձագիտական հաշվետվությունն ընդունելու անհնարինության մասին եզրակացություն՝ սույն հավելվածի 4.1.2.9 ենթակետին </w:t>
      </w:r>
      <w:r w:rsidR="00C54D75">
        <w:rPr>
          <w:rFonts w:ascii="Sylfaen" w:hAnsi="Sylfaen"/>
          <w:sz w:val="24"/>
          <w:szCs w:val="24"/>
        </w:rPr>
        <w:t>և</w:t>
      </w:r>
      <w:r w:rsidRPr="003B2786">
        <w:rPr>
          <w:rFonts w:ascii="Sylfaen" w:hAnsi="Sylfaen"/>
          <w:sz w:val="24"/>
          <w:szCs w:val="24"/>
        </w:rPr>
        <w:t xml:space="preserve"> 2.3.6-2.3.7 ենթակետերին համապատասխան, ապա ճանաչման պետությունների լիազորված մարմինների կողմից այդպիսի եզրակացություն ուղարկելու օրվանից 60 օրացուցային օրը </w:t>
      </w:r>
      <w:r w:rsidRPr="003B2786">
        <w:rPr>
          <w:rFonts w:ascii="Sylfaen" w:hAnsi="Sylfaen"/>
          <w:spacing w:val="-4"/>
          <w:sz w:val="24"/>
          <w:szCs w:val="24"/>
        </w:rPr>
        <w:t>չգերազանցող ժամկետում Փորձագիտական կազմակերպությունն իրականացնում է տարաձայնությունների</w:t>
      </w:r>
      <w:r w:rsidRPr="003B2786">
        <w:rPr>
          <w:rFonts w:ascii="Sylfaen" w:hAnsi="Sylfaen"/>
          <w:sz w:val="24"/>
          <w:szCs w:val="24"/>
        </w:rPr>
        <w:t xml:space="preserve"> կարգավորման ընթացակարգ՝ Հանձնաժողովի որոշմամբ </w:t>
      </w:r>
      <w:r w:rsidRPr="003B2786">
        <w:rPr>
          <w:rFonts w:ascii="Sylfaen" w:hAnsi="Sylfaen"/>
          <w:sz w:val="24"/>
          <w:szCs w:val="24"/>
        </w:rPr>
        <w:lastRenderedPageBreak/>
        <w:t xml:space="preserve">հաստատված կարգին համապատասխան: </w:t>
      </w:r>
    </w:p>
    <w:p w14:paraId="2512DF91"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2.5.2.</w:t>
      </w:r>
      <w:r w:rsidRPr="003B2786">
        <w:rPr>
          <w:rFonts w:ascii="Sylfaen" w:hAnsi="Sylfaen"/>
          <w:sz w:val="24"/>
          <w:szCs w:val="24"/>
        </w:rPr>
        <w:tab/>
        <w:t>Ռեֆերենտ</w:t>
      </w:r>
      <w:r w:rsidRPr="003B2786" w:rsidDel="00FA0ABC">
        <w:rPr>
          <w:rFonts w:ascii="Sylfaen" w:hAnsi="Sylfaen"/>
          <w:sz w:val="24"/>
          <w:szCs w:val="24"/>
        </w:rPr>
        <w:t xml:space="preserve"> </w:t>
      </w:r>
      <w:r w:rsidRPr="003B2786">
        <w:rPr>
          <w:rFonts w:ascii="Sylfaen" w:hAnsi="Sylfaen"/>
          <w:sz w:val="24"/>
          <w:szCs w:val="24"/>
        </w:rPr>
        <w:t xml:space="preserve">պետության </w:t>
      </w:r>
      <w:r w:rsidR="00C54D75">
        <w:rPr>
          <w:rFonts w:ascii="Sylfaen" w:hAnsi="Sylfaen"/>
          <w:sz w:val="24"/>
          <w:szCs w:val="24"/>
        </w:rPr>
        <w:t>և</w:t>
      </w:r>
      <w:r w:rsidRPr="003B2786">
        <w:rPr>
          <w:rFonts w:ascii="Sylfaen" w:hAnsi="Sylfaen"/>
          <w:sz w:val="24"/>
          <w:szCs w:val="24"/>
        </w:rPr>
        <w:t xml:space="preserve"> ճանաչման համապատասխան պետությունների լիազորված մարմինը մերժում է փոփոխություններ կատարելը, եթե դեղապատրաստուկի փորձաքննության արդյունքներով </w:t>
      </w:r>
      <w:r w:rsidR="00C54D75">
        <w:rPr>
          <w:rFonts w:ascii="Sylfaen" w:hAnsi="Sylfaen"/>
          <w:sz w:val="24"/>
          <w:szCs w:val="24"/>
        </w:rPr>
        <w:t>և</w:t>
      </w:r>
      <w:r w:rsidRPr="003B2786">
        <w:rPr>
          <w:rFonts w:ascii="Sylfaen" w:hAnsi="Sylfaen"/>
          <w:sz w:val="24"/>
          <w:szCs w:val="24"/>
        </w:rPr>
        <w:t xml:space="preserve"> Փորձագիտական կոմիտեում տարաձայնությունների կարգավորման ընթացակարգն իրականացնելուց հետո Փորձագիտական կոմիտեի կողմից ընդունվել է դեղապատրաստուկի գրանցման դոսյեի մեջ փոփոխություններ կատարելը մերժելու մասին առաջարկություն:</w:t>
      </w:r>
    </w:p>
    <w:p w14:paraId="6017902C" w14:textId="77777777" w:rsidR="008C76E0" w:rsidRPr="003B2786" w:rsidRDefault="008C76E0" w:rsidP="00593820">
      <w:pPr>
        <w:tabs>
          <w:tab w:val="left" w:pos="1418"/>
        </w:tabs>
        <w:spacing w:after="160" w:line="360" w:lineRule="auto"/>
        <w:ind w:right="-1" w:firstLine="567"/>
        <w:jc w:val="center"/>
        <w:rPr>
          <w:rFonts w:ascii="Sylfaen" w:hAnsi="Sylfaen"/>
          <w:sz w:val="24"/>
          <w:szCs w:val="24"/>
        </w:rPr>
      </w:pPr>
    </w:p>
    <w:p w14:paraId="0302C14E" w14:textId="77777777" w:rsidR="008C76E0" w:rsidRPr="00C50FD1" w:rsidRDefault="008C76E0" w:rsidP="00593820">
      <w:pPr>
        <w:spacing w:after="160" w:line="360" w:lineRule="auto"/>
        <w:ind w:left="567" w:right="566"/>
        <w:jc w:val="center"/>
        <w:outlineLvl w:val="0"/>
        <w:rPr>
          <w:rFonts w:ascii="Sylfaen" w:hAnsi="Sylfaen"/>
          <w:sz w:val="24"/>
          <w:szCs w:val="24"/>
        </w:rPr>
      </w:pPr>
      <w:r w:rsidRPr="003B2786">
        <w:rPr>
          <w:rFonts w:ascii="Sylfaen" w:hAnsi="Sylfaen"/>
          <w:sz w:val="24"/>
          <w:szCs w:val="24"/>
        </w:rPr>
        <w:t xml:space="preserve">III. Ազգային ընթացակարգով գրանցված դեղապատրաստուկների գրանցման դոսյեի մեջ փոփոխություններ կատարելը </w:t>
      </w:r>
      <w:r w:rsidRPr="003B2786">
        <w:rPr>
          <w:rFonts w:ascii="Sylfaen" w:hAnsi="Sylfaen"/>
          <w:sz w:val="24"/>
          <w:szCs w:val="24"/>
        </w:rPr>
        <w:br/>
        <w:t>(միայն ռեֆերենտ</w:t>
      </w:r>
      <w:r w:rsidRPr="003B2786" w:rsidDel="00E61B3B">
        <w:rPr>
          <w:rFonts w:ascii="Sylfaen" w:hAnsi="Sylfaen"/>
          <w:sz w:val="24"/>
          <w:szCs w:val="24"/>
        </w:rPr>
        <w:t xml:space="preserve"> </w:t>
      </w:r>
      <w:r w:rsidRPr="003B2786">
        <w:rPr>
          <w:rFonts w:ascii="Sylfaen" w:hAnsi="Sylfaen"/>
          <w:sz w:val="24"/>
          <w:szCs w:val="24"/>
        </w:rPr>
        <w:t>պետությունում)</w:t>
      </w:r>
    </w:p>
    <w:p w14:paraId="1BBE6E3B" w14:textId="77777777" w:rsidR="008C76E0" w:rsidRPr="00C50FD1" w:rsidRDefault="008C76E0" w:rsidP="00593820">
      <w:pPr>
        <w:spacing w:after="160" w:line="360" w:lineRule="auto"/>
        <w:ind w:left="567" w:right="566"/>
        <w:jc w:val="center"/>
        <w:outlineLvl w:val="0"/>
        <w:rPr>
          <w:rFonts w:ascii="Sylfaen" w:hAnsi="Sylfaen"/>
          <w:sz w:val="24"/>
          <w:szCs w:val="24"/>
        </w:rPr>
      </w:pPr>
    </w:p>
    <w:p w14:paraId="73979D4F" w14:textId="77777777" w:rsidR="008C76E0" w:rsidRPr="003B2786" w:rsidRDefault="008C76E0" w:rsidP="00593820">
      <w:pPr>
        <w:tabs>
          <w:tab w:val="left" w:pos="1418"/>
        </w:tabs>
        <w:spacing w:after="160" w:line="360" w:lineRule="auto"/>
        <w:ind w:left="567" w:right="565"/>
        <w:jc w:val="center"/>
        <w:rPr>
          <w:rFonts w:ascii="Sylfaen" w:hAnsi="Sylfaen"/>
          <w:sz w:val="24"/>
          <w:szCs w:val="24"/>
        </w:rPr>
      </w:pPr>
      <w:r>
        <w:rPr>
          <w:rFonts w:ascii="Sylfaen" w:hAnsi="Sylfaen"/>
          <w:sz w:val="24"/>
          <w:szCs w:val="24"/>
        </w:rPr>
        <w:t>3.1.</w:t>
      </w:r>
      <w:r w:rsidRPr="003B2786">
        <w:rPr>
          <w:rFonts w:ascii="Sylfaen" w:hAnsi="Sylfaen"/>
          <w:sz w:val="24"/>
          <w:szCs w:val="24"/>
        </w:rPr>
        <w:t>IA տիպի ոչ էական փոփոխություններ կատարելու մասին ծանուցելու ընթացակարգը։</w:t>
      </w:r>
    </w:p>
    <w:p w14:paraId="1A7AC24F"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3.1.1.</w:t>
      </w:r>
      <w:r w:rsidRPr="003B2786">
        <w:rPr>
          <w:rFonts w:ascii="Sylfaen" w:hAnsi="Sylfaen"/>
          <w:sz w:val="24"/>
          <w:szCs w:val="24"/>
        </w:rPr>
        <w:tab/>
        <w:t xml:space="preserve">IA տիպի ոչ էական փոփոխություն կատարելու դեպքում 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համապատասխան լիազորված մարմին (փորձագիտական կազմակերպություն) է ներկայացնում փոփոխությունների կատարման հայտը`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2 հավելվածի համաձայն, կամ փոփոխությունների կատարման դիմաց վճարի (տուրքի) վճարումը հաստատող փաստաթղթերը՝ անդամ պետությունների օրենսդրությանը համապատասխան հաստատված դեպքերում </w:t>
      </w:r>
      <w:r w:rsidR="00C54D75">
        <w:rPr>
          <w:rFonts w:ascii="Sylfaen" w:hAnsi="Sylfaen"/>
          <w:sz w:val="24"/>
          <w:szCs w:val="24"/>
        </w:rPr>
        <w:t>և</w:t>
      </w:r>
      <w:r w:rsidRPr="003B2786">
        <w:rPr>
          <w:rFonts w:ascii="Sylfaen" w:hAnsi="Sylfaen"/>
          <w:sz w:val="24"/>
          <w:szCs w:val="24"/>
        </w:rPr>
        <w:t xml:space="preserve"> կարգով, ինչպես նա</w:t>
      </w:r>
      <w:r w:rsidR="00C54D75">
        <w:rPr>
          <w:rFonts w:ascii="Sylfaen" w:hAnsi="Sylfaen"/>
          <w:sz w:val="24"/>
          <w:szCs w:val="24"/>
        </w:rPr>
        <w:t>և</w:t>
      </w:r>
      <w:r w:rsidRPr="003B2786">
        <w:rPr>
          <w:rFonts w:ascii="Sylfaen" w:hAnsi="Sylfaen"/>
          <w:sz w:val="24"/>
          <w:szCs w:val="24"/>
        </w:rPr>
        <w:t xml:space="preserve"> IV լրացման մեջ նշված տարրերը պարունակող փոփոխության դոսյեն (ծանուցումը): Այդպիսի ծանուցումն անհրաժեշտ է ներկայացնել փոփոխություններն իրագործելուց հետո՝ 365 օրացուցային օրվա (12 ամսվա) ընթացքում՝ բացառությամբ սույն հավելվածի 1.6 կետի համաձայն դեղապատրաստուկի մասին տեղեկատվության վերանայման </w:t>
      </w:r>
      <w:r w:rsidRPr="003B2786">
        <w:rPr>
          <w:rFonts w:ascii="Sylfaen" w:hAnsi="Sylfaen"/>
          <w:sz w:val="24"/>
          <w:szCs w:val="24"/>
        </w:rPr>
        <w:lastRenderedPageBreak/>
        <w:t>հանգեցրած փոփոխությունների, որոնց մասով համապատասխան հայտն անհրաժեշտ է ներկայացնել նախքան փոփոխության իրագործումը:</w:t>
      </w:r>
    </w:p>
    <w:p w14:paraId="727D05AC"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3.1.2.</w:t>
      </w:r>
      <w:r w:rsidRPr="003B2786">
        <w:rPr>
          <w:rFonts w:ascii="Sylfaen" w:hAnsi="Sylfaen"/>
          <w:sz w:val="24"/>
          <w:szCs w:val="24"/>
        </w:rPr>
        <w:tab/>
        <w:t>Դիտարկվող դեղապատրաստուկի անընդհատ հսկողության նպատակով անհապաղ ծանուցում պահանջող ոչ էական փոփոխությունների առնչությամբ ծանուցումն անհրաժեշտ է ներկայացնել փոփոխություններն իրագործելուց անմիջապես հետո:</w:t>
      </w:r>
    </w:p>
    <w:p w14:paraId="414F816F"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3.1.3.</w:t>
      </w:r>
      <w:r w:rsidRPr="003B2786">
        <w:rPr>
          <w:rFonts w:ascii="Sylfaen" w:hAnsi="Sylfaen"/>
          <w:sz w:val="24"/>
          <w:szCs w:val="24"/>
        </w:rPr>
        <w:tab/>
        <w:t>Ծանուցումն ստանալու օրվանից 30 օրացուցային օրվա ընթացքում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ձեռնարկում է սույն հավելվածի 3.5 բաժնում նշված միջոցները:</w:t>
      </w:r>
    </w:p>
    <w:p w14:paraId="2225532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Այն դեպքում, երբ սույն հավելվածի 1.6 բաժնի համաձայն փոփոխությունները հանգեցնում են դեղապատրաստուկի մասին տեղեկատվության վերանայման,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З.1.З ենթակետում նշված ժամկետից ոչ ուշ, քան 10 աշխատանքային օրվա ընթացքում, միասնական ռեեստրի ձ</w:t>
      </w:r>
      <w:r w:rsidR="00C54D75">
        <w:rPr>
          <w:rFonts w:ascii="Sylfaen" w:hAnsi="Sylfaen"/>
          <w:sz w:val="24"/>
          <w:szCs w:val="24"/>
        </w:rPr>
        <w:t>և</w:t>
      </w:r>
      <w:r w:rsidRPr="003B2786">
        <w:rPr>
          <w:rFonts w:ascii="Sylfaen" w:hAnsi="Sylfaen"/>
          <w:sz w:val="24"/>
          <w:szCs w:val="24"/>
        </w:rPr>
        <w:t xml:space="preserve">ավորման </w:t>
      </w:r>
      <w:r w:rsidR="00C54D75">
        <w:rPr>
          <w:rFonts w:ascii="Sylfaen" w:hAnsi="Sylfaen"/>
          <w:sz w:val="24"/>
          <w:szCs w:val="24"/>
        </w:rPr>
        <w:t>և</w:t>
      </w:r>
      <w:r w:rsidRPr="003B2786">
        <w:rPr>
          <w:rFonts w:ascii="Sylfaen" w:hAnsi="Sylfaen"/>
          <w:sz w:val="24"/>
          <w:szCs w:val="24"/>
        </w:rPr>
        <w:t xml:space="preserve"> վարման կարգին համապատասխան, փոփոխությունների կատարման մասին տեղեկությունները տեղադրում է միասնական ռեեստրում՝ կից ներկայացնելով 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է ներկայացնում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0CF47C47" w14:textId="77777777" w:rsidR="008C76E0" w:rsidRPr="00C50FD1"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իրավունք ունի մինչ</w:t>
      </w:r>
      <w:r w:rsidR="00C54D75">
        <w:rPr>
          <w:rFonts w:ascii="Sylfaen" w:hAnsi="Sylfaen"/>
          <w:sz w:val="24"/>
          <w:szCs w:val="24"/>
        </w:rPr>
        <w:t>և</w:t>
      </w:r>
      <w:r w:rsidRPr="003B2786">
        <w:rPr>
          <w:rFonts w:ascii="Sylfaen" w:hAnsi="Sylfaen"/>
          <w:sz w:val="24"/>
          <w:szCs w:val="24"/>
        </w:rPr>
        <w:t xml:space="preserve"> 90 օրացուցային օր երկարաձգելու սույն ենթակետի առաջին </w:t>
      </w:r>
      <w:r w:rsidR="00C54D75">
        <w:rPr>
          <w:rFonts w:ascii="Sylfaen" w:hAnsi="Sylfaen"/>
          <w:sz w:val="24"/>
          <w:szCs w:val="24"/>
        </w:rPr>
        <w:t>և</w:t>
      </w:r>
      <w:r w:rsidRPr="003B2786">
        <w:rPr>
          <w:rFonts w:ascii="Sylfaen" w:hAnsi="Sylfaen"/>
          <w:sz w:val="24"/>
          <w:szCs w:val="24"/>
        </w:rPr>
        <w:t xml:space="preserve"> երկրորդ պարբերություններում նշված ժամկետն ամբողջությամբ այն դեպքում, երբ սույն հավելվածի 1.7.2 </w:t>
      </w:r>
      <w:r w:rsidR="00C54D75">
        <w:rPr>
          <w:rFonts w:ascii="Sylfaen" w:hAnsi="Sylfaen"/>
          <w:sz w:val="24"/>
          <w:szCs w:val="24"/>
        </w:rPr>
        <w:t>և</w:t>
      </w:r>
      <w:r w:rsidRPr="003B2786">
        <w:rPr>
          <w:rFonts w:ascii="Sylfaen" w:hAnsi="Sylfaen"/>
          <w:sz w:val="24"/>
          <w:szCs w:val="24"/>
        </w:rPr>
        <w:t xml:space="preserve"> 1.7.3 կետերի համաձայն՝ հայտատուն ներկայացրել է բազմաթիվ խմբային փոփոխություններ:</w:t>
      </w:r>
    </w:p>
    <w:p w14:paraId="1A50799A" w14:textId="77777777" w:rsidR="008C76E0" w:rsidRPr="00C50FD1" w:rsidRDefault="008C76E0" w:rsidP="00593820">
      <w:pPr>
        <w:tabs>
          <w:tab w:val="left" w:pos="1418"/>
        </w:tabs>
        <w:spacing w:after="160" w:line="360" w:lineRule="auto"/>
        <w:ind w:right="-1" w:firstLine="567"/>
        <w:jc w:val="both"/>
        <w:rPr>
          <w:rFonts w:ascii="Sylfaen" w:hAnsi="Sylfaen"/>
          <w:sz w:val="24"/>
          <w:szCs w:val="24"/>
        </w:rPr>
      </w:pPr>
    </w:p>
    <w:p w14:paraId="1C55B934"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 xml:space="preserve">3.2. IB տիպի ոչ էական փոփոխությունների մասին </w:t>
      </w:r>
      <w:r w:rsidRPr="003B2786">
        <w:rPr>
          <w:rFonts w:ascii="Sylfaen" w:hAnsi="Sylfaen"/>
          <w:sz w:val="24"/>
          <w:szCs w:val="24"/>
        </w:rPr>
        <w:br/>
        <w:t>ծանուցման ընթացակարգը</w:t>
      </w:r>
    </w:p>
    <w:p w14:paraId="1FAEB278"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3.2.1.</w:t>
      </w:r>
      <w:r w:rsidRPr="003B2786">
        <w:rPr>
          <w:rFonts w:ascii="Sylfaen" w:hAnsi="Sylfaen"/>
          <w:sz w:val="24"/>
          <w:szCs w:val="24"/>
        </w:rPr>
        <w:tab/>
        <w:t xml:space="preserve">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համապատասխան լիազորված մարմին (փորձագիտական կազմակերպություն) է ներկայացնում փոփոխությունների կատարման հայտը`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կանոնների թիվ 2 հավելվածի համաձայն, կամ փոփոխությունների կատարման դիմաց վճարի (տուրքի) վճարումը հաստատող փաստաթղթերը՝ անդամ պետության օրենսդրությանը համապատասխան հաստատված դեպքերում </w:t>
      </w:r>
      <w:r w:rsidR="00C54D75">
        <w:rPr>
          <w:rFonts w:ascii="Sylfaen" w:hAnsi="Sylfaen"/>
          <w:sz w:val="24"/>
          <w:szCs w:val="24"/>
        </w:rPr>
        <w:t>և</w:t>
      </w:r>
      <w:r w:rsidRPr="003B2786">
        <w:rPr>
          <w:rFonts w:ascii="Sylfaen" w:hAnsi="Sylfaen"/>
          <w:sz w:val="24"/>
          <w:szCs w:val="24"/>
        </w:rPr>
        <w:t xml:space="preserve"> կարգով, ինչպես նա</w:t>
      </w:r>
      <w:r w:rsidR="00C54D75">
        <w:rPr>
          <w:rFonts w:ascii="Sylfaen" w:hAnsi="Sylfaen"/>
          <w:sz w:val="24"/>
          <w:szCs w:val="24"/>
        </w:rPr>
        <w:t>և</w:t>
      </w:r>
      <w:r w:rsidRPr="003B2786">
        <w:rPr>
          <w:rFonts w:ascii="Sylfaen" w:hAnsi="Sylfaen"/>
          <w:sz w:val="24"/>
          <w:szCs w:val="24"/>
        </w:rPr>
        <w:t xml:space="preserve"> փոփոխության՝ IV լրացման մեջ նշված տարրերը պարունակող դոսյեն (ծանուցումը):</w:t>
      </w:r>
    </w:p>
    <w:p w14:paraId="0C017060"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3.2.2.</w:t>
      </w:r>
      <w:r w:rsidRPr="003B2786">
        <w:rPr>
          <w:rFonts w:ascii="Sylfaen" w:hAnsi="Sylfaen"/>
          <w:sz w:val="24"/>
          <w:szCs w:val="24"/>
        </w:rPr>
        <w:tab/>
        <w:t>Ռեֆերենտ</w:t>
      </w:r>
      <w:r w:rsidRPr="003B2786" w:rsidDel="00E61B3B">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ոչ ուշ, քան փոփոխությունների կատարման հայտը ներկայացնելու օրվանից 5 աշխատանքային օրվա ընթացքում անցկացնում է ներկայացված փաստաթղթերի ամբողջականության, լրակազմության </w:t>
      </w:r>
      <w:r w:rsidR="00C54D75">
        <w:rPr>
          <w:rFonts w:ascii="Sylfaen" w:hAnsi="Sylfaen"/>
          <w:sz w:val="24"/>
          <w:szCs w:val="24"/>
        </w:rPr>
        <w:t>և</w:t>
      </w:r>
      <w:r w:rsidRPr="003B2786">
        <w:rPr>
          <w:rFonts w:ascii="Sylfaen" w:hAnsi="Sylfaen"/>
          <w:sz w:val="24"/>
          <w:szCs w:val="24"/>
        </w:rPr>
        <w:t xml:space="preserve"> ձ</w:t>
      </w:r>
      <w:r w:rsidR="00C54D75">
        <w:rPr>
          <w:rFonts w:ascii="Sylfaen" w:hAnsi="Sylfaen"/>
          <w:sz w:val="24"/>
          <w:szCs w:val="24"/>
        </w:rPr>
        <w:t>և</w:t>
      </w:r>
      <w:r w:rsidRPr="003B2786">
        <w:rPr>
          <w:rFonts w:ascii="Sylfaen" w:hAnsi="Sylfaen"/>
          <w:sz w:val="24"/>
          <w:szCs w:val="24"/>
        </w:rPr>
        <w:t>ակերպման ճշտության գնահատում՝ սույն հավելվածի 3.2.1 ենթակետին համապատասխան։</w:t>
      </w:r>
    </w:p>
    <w:p w14:paraId="2E40D0FE"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Եթե ծանուցումը բավարարում է սույն հավելվածի 3.2.1 կետով սահմանված պահանջներին, ապա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հաջորդ 30 օրացուցային օրվա ընթացքում հաստատում է վավեր ծանուցման ստացումը:</w:t>
      </w:r>
    </w:p>
    <w:p w14:paraId="079E6A02"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3.2.3.</w:t>
      </w:r>
      <w:r w:rsidRPr="003B2786">
        <w:rPr>
          <w:rFonts w:ascii="Sylfaen" w:hAnsi="Sylfaen"/>
          <w:sz w:val="24"/>
          <w:szCs w:val="24"/>
        </w:rPr>
        <w:tab/>
        <w:t xml:space="preserve">Եթե ծանուցումն ստանալու օրվանից 30 օրացուցային oրվա ընթացքում լիազորված մարմինը (փորձագիտական կազմակերպությունը) էլեկտրոնային կամ թղթային եղանակով հայտատուին չի ուղարկում ծանուցումն ընդունելու </w:t>
      </w:r>
      <w:r w:rsidR="00C54D75">
        <w:rPr>
          <w:rFonts w:ascii="Sylfaen" w:hAnsi="Sylfaen"/>
          <w:sz w:val="24"/>
          <w:szCs w:val="24"/>
        </w:rPr>
        <w:t>և</w:t>
      </w:r>
      <w:r w:rsidRPr="003B2786">
        <w:rPr>
          <w:rFonts w:ascii="Sylfaen" w:hAnsi="Sylfaen"/>
          <w:sz w:val="24"/>
          <w:szCs w:val="24"/>
        </w:rPr>
        <w:t xml:space="preserve"> գրանցման դոսյեի մեջ տվյալ փոփոխությունը կատարելու անհնարինության մասին եզրակացությունը, ապա եզրակացությունը ճանաչվում է լիազորված մարմնի կողմից ընդունված (հաստատված):</w:t>
      </w:r>
    </w:p>
    <w:p w14:paraId="63557803"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lastRenderedPageBreak/>
        <w:t>3.2.4.</w:t>
      </w:r>
      <w:r w:rsidRPr="003B2786">
        <w:rPr>
          <w:rFonts w:ascii="Sylfaen" w:hAnsi="Sylfaen"/>
          <w:sz w:val="24"/>
          <w:szCs w:val="24"/>
        </w:rPr>
        <w:tab/>
        <w:t>Եթե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ընդունում է ծանուցումը հաստատելու մասին դրական որոշում, ապա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ձեռնարկում է սույն հավելվածի 3.5 կետում նշված միջոցները:</w:t>
      </w:r>
    </w:p>
    <w:p w14:paraId="60E9E826"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Այն դեպքում, երբ սույն հավելվածի 1.6 կետի համաձայն փոփոխությունները հանգեցնում են դեղապատրաստուկի մասին տեղեկատվության վերանայման,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սույն հավելվածի 3.2.3 ենթակետում նշված ժամկետից ոչ ուշ, քան 10 աշխատանքային օրվա ընթացքում, միասնական ռեեստրի ձ</w:t>
      </w:r>
      <w:r w:rsidR="00C54D75">
        <w:rPr>
          <w:rFonts w:ascii="Sylfaen" w:hAnsi="Sylfaen"/>
          <w:sz w:val="24"/>
          <w:szCs w:val="24"/>
        </w:rPr>
        <w:t>և</w:t>
      </w:r>
      <w:r w:rsidRPr="003B2786">
        <w:rPr>
          <w:rFonts w:ascii="Sylfaen" w:hAnsi="Sylfaen"/>
          <w:sz w:val="24"/>
          <w:szCs w:val="24"/>
        </w:rPr>
        <w:t xml:space="preserve">ավորման </w:t>
      </w:r>
      <w:r w:rsidR="00C54D75">
        <w:rPr>
          <w:rFonts w:ascii="Sylfaen" w:hAnsi="Sylfaen"/>
          <w:sz w:val="24"/>
          <w:szCs w:val="24"/>
        </w:rPr>
        <w:t>և</w:t>
      </w:r>
      <w:r w:rsidRPr="003B2786">
        <w:rPr>
          <w:rFonts w:ascii="Sylfaen" w:hAnsi="Sylfaen"/>
          <w:sz w:val="24"/>
          <w:szCs w:val="24"/>
        </w:rPr>
        <w:t xml:space="preserve"> վարման կարգին համապատասխան, փոփոխությունների կատարման մասին տեղեկությունները տեղադրում է միասնական ռեեստրում՝ կից ներկայացնելով 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է հանձնում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087BEA93"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իրավունք ունի մինչ</w:t>
      </w:r>
      <w:r w:rsidR="00C54D75">
        <w:rPr>
          <w:rFonts w:ascii="Sylfaen" w:hAnsi="Sylfaen"/>
          <w:sz w:val="24"/>
          <w:szCs w:val="24"/>
        </w:rPr>
        <w:t>և</w:t>
      </w:r>
      <w:r w:rsidRPr="003B2786">
        <w:rPr>
          <w:rFonts w:ascii="Sylfaen" w:hAnsi="Sylfaen"/>
          <w:sz w:val="24"/>
          <w:szCs w:val="24"/>
        </w:rPr>
        <w:t xml:space="preserve"> 90 օրացուցային օր երկարաձգելու սույն հավելվածի 3.2.3 </w:t>
      </w:r>
      <w:r w:rsidR="00C54D75">
        <w:rPr>
          <w:rFonts w:ascii="Sylfaen" w:hAnsi="Sylfaen"/>
          <w:sz w:val="24"/>
          <w:szCs w:val="24"/>
        </w:rPr>
        <w:t>և</w:t>
      </w:r>
      <w:r w:rsidRPr="003B2786">
        <w:rPr>
          <w:rFonts w:ascii="Sylfaen" w:hAnsi="Sylfaen"/>
          <w:sz w:val="24"/>
          <w:szCs w:val="24"/>
        </w:rPr>
        <w:t xml:space="preserve"> 3.2.4 ենթակետերում նշված ժամկետն ամբողջությամբ այն դեպքում, երբ սույն հավելվածի 1.7.2 </w:t>
      </w:r>
      <w:r w:rsidR="00C54D75">
        <w:rPr>
          <w:rFonts w:ascii="Sylfaen" w:hAnsi="Sylfaen"/>
          <w:sz w:val="24"/>
          <w:szCs w:val="24"/>
        </w:rPr>
        <w:t>և</w:t>
      </w:r>
      <w:r w:rsidRPr="003B2786">
        <w:rPr>
          <w:rFonts w:ascii="Sylfaen" w:hAnsi="Sylfaen"/>
          <w:sz w:val="24"/>
          <w:szCs w:val="24"/>
        </w:rPr>
        <w:t xml:space="preserve"> 1.7.3 ենթակետերի համաձայն՝ հայտատուն ներկայացրել է բազմաթիվ խմբային փոփոխություններ:</w:t>
      </w:r>
    </w:p>
    <w:p w14:paraId="14E2CB0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3.2.5.</w:t>
      </w:r>
      <w:r w:rsidRPr="003B2786">
        <w:rPr>
          <w:rFonts w:ascii="Sylfaen" w:hAnsi="Sylfaen"/>
          <w:sz w:val="24"/>
          <w:szCs w:val="24"/>
        </w:rPr>
        <w:tab/>
        <w:t>Եթե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մարմնի (փորձագիտական կազմակերպության) եզրակացության համաձայն՝ փոփոխությունների կատարման մասին հայտատուի ծանուցումը չի կարող հաստատվել, ապա ռեֆերենտ</w:t>
      </w:r>
      <w:r w:rsidRPr="003B2786" w:rsidDel="00E61B3B">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սույն հավելվածի 3.2.3 ենթակետի համաձայն, էլեկտրոնային կամ թղթային եղանակով դրա մասին ծանուցում է հայտատուին </w:t>
      </w:r>
      <w:r w:rsidR="00C54D75">
        <w:rPr>
          <w:rFonts w:ascii="Sylfaen" w:hAnsi="Sylfaen"/>
          <w:sz w:val="24"/>
          <w:szCs w:val="24"/>
        </w:rPr>
        <w:t>և</w:t>
      </w:r>
      <w:r w:rsidRPr="003B2786">
        <w:rPr>
          <w:rFonts w:ascii="Sylfaen" w:hAnsi="Sylfaen"/>
          <w:sz w:val="24"/>
          <w:szCs w:val="24"/>
        </w:rPr>
        <w:t xml:space="preserve"> ճանաչման պետության </w:t>
      </w:r>
      <w:r w:rsidRPr="003B2786">
        <w:rPr>
          <w:rFonts w:ascii="Sylfaen" w:hAnsi="Sylfaen"/>
          <w:sz w:val="24"/>
          <w:szCs w:val="24"/>
        </w:rPr>
        <w:lastRenderedPageBreak/>
        <w:t>համապատասխան մարմիններին՝ նշելով բացասական եզրակացության հիմքերը:</w:t>
      </w:r>
    </w:p>
    <w:p w14:paraId="5B941CF7"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3.2.6.</w:t>
      </w:r>
      <w:r w:rsidRPr="003B2786">
        <w:rPr>
          <w:rFonts w:ascii="Sylfaen" w:hAnsi="Sylfaen"/>
          <w:sz w:val="24"/>
          <w:szCs w:val="24"/>
        </w:rPr>
        <w:tab/>
        <w:t>Բացասական եզրակացություն ստանալու օրվանից 30 օրացուցային օրվա ընթացքում հայտատուն իրավունք ունի փոփոխության լրացված դոսյեն կրկին ներկայացնելու 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 (փորձագիտական կազմակերպություն)՝ սույն հավելվածի 3.2.5 ենթակետում նշված եզրակացությանը համապատասխան:</w:t>
      </w:r>
    </w:p>
    <w:p w14:paraId="5C2823DE"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3.2.7.</w:t>
      </w:r>
      <w:r w:rsidRPr="003B2786">
        <w:rPr>
          <w:rFonts w:ascii="Sylfaen" w:hAnsi="Sylfaen"/>
          <w:sz w:val="24"/>
          <w:szCs w:val="24"/>
        </w:rPr>
        <w:tab/>
        <w:t>Եթե հայտատուն սույն հավելվածի 3.2.6 կետին համապատասխան չի ներկայացնում լրացված ծանուցում, ապա ծանուցումը ճանաչվում է մերժված:</w:t>
      </w:r>
    </w:p>
    <w:p w14:paraId="0AF4EA52"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3.2.8.</w:t>
      </w:r>
      <w:r w:rsidRPr="003B2786">
        <w:rPr>
          <w:rFonts w:ascii="Sylfaen" w:hAnsi="Sylfaen"/>
          <w:sz w:val="24"/>
          <w:szCs w:val="24"/>
        </w:rPr>
        <w:tab/>
        <w:t>Լրացված ծանուցում ներկայացնելիս ռեֆերենտ</w:t>
      </w:r>
      <w:r w:rsidRPr="003B2786" w:rsidDel="00E61B3B">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ուսումնասիրում է նորից ներկայացված փաստաթղթերը </w:t>
      </w:r>
      <w:r w:rsidR="00C54D75">
        <w:rPr>
          <w:rFonts w:ascii="Sylfaen" w:hAnsi="Sylfaen"/>
          <w:sz w:val="24"/>
          <w:szCs w:val="24"/>
        </w:rPr>
        <w:t>և</w:t>
      </w:r>
      <w:r w:rsidRPr="003B2786">
        <w:rPr>
          <w:rFonts w:ascii="Sylfaen" w:hAnsi="Sylfaen"/>
          <w:sz w:val="24"/>
          <w:szCs w:val="24"/>
        </w:rPr>
        <w:t xml:space="preserve"> տվյալները ոչ ուշ, քան այն ստանալու օրվանից 30 աշխատանքային օրվա ընթացքում, ինչից հետո կիրառվում են սույն հավելվածի 3.5 կետում նշված միջոցները:</w:t>
      </w:r>
    </w:p>
    <w:p w14:paraId="70CE0A20"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3.2.9.</w:t>
      </w:r>
      <w:r w:rsidRPr="003B2786">
        <w:rPr>
          <w:rFonts w:ascii="Sylfaen" w:hAnsi="Sylfaen"/>
          <w:sz w:val="24"/>
          <w:szCs w:val="24"/>
        </w:rPr>
        <w:tab/>
        <w:t xml:space="preserve">Սույն կետը չի կիրառվում, եթե IB տիպի փոփոխության վերաբերյալ հարցումը ներկայացված է II տիպի փոփոխություն ներառող </w:t>
      </w:r>
      <w:r w:rsidR="00C54D75">
        <w:rPr>
          <w:rFonts w:ascii="Sylfaen" w:hAnsi="Sylfaen"/>
          <w:sz w:val="24"/>
          <w:szCs w:val="24"/>
        </w:rPr>
        <w:t>և</w:t>
      </w:r>
      <w:r w:rsidRPr="003B2786">
        <w:rPr>
          <w:rFonts w:ascii="Sylfaen" w:hAnsi="Sylfaen"/>
          <w:sz w:val="24"/>
          <w:szCs w:val="24"/>
        </w:rPr>
        <w:t xml:space="preserve"> գրանցման ընդլայնում չպարունակող փոփոխությունների խմբի կազմում: Այդ դեպքում կիրառվում է սույն հավելվածի 3.3 կետով նախատեսված` փոփոխությունների փորձաքննության ընթացակարգը:</w:t>
      </w:r>
    </w:p>
    <w:p w14:paraId="2B6772A0"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3.2.10.</w:t>
      </w:r>
      <w:r w:rsidRPr="003B2786">
        <w:rPr>
          <w:rFonts w:ascii="Sylfaen" w:hAnsi="Sylfaen"/>
          <w:sz w:val="24"/>
          <w:szCs w:val="24"/>
        </w:rPr>
        <w:tab/>
        <w:t>Սույն կետը չի կիրառվում, եթե IB տիպի փոփոխության վերաբերյալ հարցումը ներկայացված է գրանցման ընդլայնում ներառող փոփոխությունների խմբի կազմում: Այդ դեպքում կիրառվում է սույն հավելվածի 4.1.1 ենթակետով նախատեսված ընթացակարգը:</w:t>
      </w:r>
    </w:p>
    <w:p w14:paraId="3AA5277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p>
    <w:p w14:paraId="6CE8A533"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 xml:space="preserve">3.3. II տիպի էական փոփոխությունների </w:t>
      </w:r>
      <w:r w:rsidRPr="003B2786">
        <w:rPr>
          <w:rFonts w:ascii="Sylfaen" w:hAnsi="Sylfaen"/>
          <w:sz w:val="24"/>
          <w:szCs w:val="24"/>
        </w:rPr>
        <w:br/>
        <w:t>փորձաքննության ընթացակարգը</w:t>
      </w:r>
    </w:p>
    <w:p w14:paraId="3416779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3.3.1.</w:t>
      </w:r>
      <w:r w:rsidRPr="003B2786">
        <w:rPr>
          <w:rFonts w:ascii="Sylfaen" w:hAnsi="Sylfaen"/>
          <w:sz w:val="24"/>
          <w:szCs w:val="24"/>
        </w:rPr>
        <w:tab/>
        <w:t xml:space="preserve">Հայտատուն թղթային </w:t>
      </w:r>
      <w:r w:rsidR="00C54D75">
        <w:rPr>
          <w:rFonts w:ascii="Sylfaen" w:hAnsi="Sylfaen"/>
          <w:sz w:val="24"/>
          <w:szCs w:val="24"/>
        </w:rPr>
        <w:t>և</w:t>
      </w:r>
      <w:r w:rsidRPr="003B2786">
        <w:rPr>
          <w:rFonts w:ascii="Sylfaen" w:hAnsi="Sylfaen"/>
          <w:sz w:val="24"/>
          <w:szCs w:val="24"/>
        </w:rPr>
        <w:t xml:space="preserve"> (կամ) էլեկտրոնային կրիչի միջոցով ռեֆերենտ</w:t>
      </w:r>
      <w:r w:rsidRPr="003B2786" w:rsidDel="00E61B3B">
        <w:rPr>
          <w:rFonts w:ascii="Sylfaen" w:hAnsi="Sylfaen"/>
          <w:sz w:val="24"/>
          <w:szCs w:val="24"/>
        </w:rPr>
        <w:t xml:space="preserve"> </w:t>
      </w:r>
      <w:r w:rsidRPr="003B2786">
        <w:rPr>
          <w:rFonts w:ascii="Sylfaen" w:hAnsi="Sylfaen"/>
          <w:sz w:val="24"/>
          <w:szCs w:val="24"/>
        </w:rPr>
        <w:t xml:space="preserve">պետության լիազորված մարմին (փորձագիտական </w:t>
      </w:r>
      <w:r w:rsidRPr="003B2786">
        <w:rPr>
          <w:rFonts w:ascii="Sylfaen" w:hAnsi="Sylfaen"/>
          <w:sz w:val="24"/>
          <w:szCs w:val="24"/>
        </w:rPr>
        <w:lastRenderedPageBreak/>
        <w:t xml:space="preserve">կազմակերպություն) է ներկայացնում փոփոխությունների կատարման հայտը` Դեղամիջոցների գրանցման կանոնների թիվ 2 հավելվածի համաձայն, կամ փոփոխությունների կատարման դիմաց վճարի (տուրքի) վճարումը հաստատող փաստաթղթերը՝ անդամ պետության օրենսդրությանը համապատասխան հաստատված դեպքերում </w:t>
      </w:r>
      <w:r w:rsidR="00C54D75">
        <w:rPr>
          <w:rFonts w:ascii="Sylfaen" w:hAnsi="Sylfaen"/>
          <w:sz w:val="24"/>
          <w:szCs w:val="24"/>
        </w:rPr>
        <w:t>և</w:t>
      </w:r>
      <w:r w:rsidRPr="003B2786">
        <w:rPr>
          <w:rFonts w:ascii="Sylfaen" w:hAnsi="Sylfaen"/>
          <w:sz w:val="24"/>
          <w:szCs w:val="24"/>
        </w:rPr>
        <w:t xml:space="preserve"> կարգով, ինչպես նա</w:t>
      </w:r>
      <w:r w:rsidR="00C54D75">
        <w:rPr>
          <w:rFonts w:ascii="Sylfaen" w:hAnsi="Sylfaen"/>
          <w:sz w:val="24"/>
          <w:szCs w:val="24"/>
        </w:rPr>
        <w:t>և</w:t>
      </w:r>
      <w:r w:rsidRPr="003B2786">
        <w:rPr>
          <w:rFonts w:ascii="Sylfaen" w:hAnsi="Sylfaen"/>
          <w:sz w:val="24"/>
          <w:szCs w:val="24"/>
        </w:rPr>
        <w:t xml:space="preserve"> IV լրացման մեջ նշված տարրերը պարունակող՝ փոփոխության դոսյեն:</w:t>
      </w:r>
    </w:p>
    <w:p w14:paraId="5CF76CA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 xml:space="preserve">Անհրաժեշտության դեպքում </w:t>
      </w:r>
      <w:r w:rsidR="00C54D75">
        <w:rPr>
          <w:rFonts w:ascii="Sylfaen" w:hAnsi="Sylfaen"/>
          <w:sz w:val="24"/>
          <w:szCs w:val="24"/>
        </w:rPr>
        <w:t>և</w:t>
      </w:r>
      <w:r w:rsidRPr="003B2786">
        <w:rPr>
          <w:rFonts w:ascii="Sylfaen" w:hAnsi="Sylfaen"/>
          <w:sz w:val="24"/>
          <w:szCs w:val="24"/>
        </w:rPr>
        <w:t xml:space="preserve"> փորձագիտական կազմակերպության հետ համաձայնեցնելով՝ հայտատուն ռեֆերենտ</w:t>
      </w:r>
      <w:r w:rsidRPr="003B2786" w:rsidDel="00E61B3B">
        <w:rPr>
          <w:rFonts w:ascii="Sylfaen" w:hAnsi="Sylfaen"/>
          <w:sz w:val="24"/>
          <w:szCs w:val="24"/>
        </w:rPr>
        <w:t xml:space="preserve"> </w:t>
      </w:r>
      <w:r w:rsidRPr="003B2786">
        <w:rPr>
          <w:rFonts w:ascii="Sylfaen" w:hAnsi="Sylfaen"/>
          <w:sz w:val="24"/>
          <w:szCs w:val="24"/>
        </w:rPr>
        <w:t xml:space="preserve">պետության լիազորված մարմին (փորձագիտական կազմակերպություն) է ներկայացնում դեղապատրաստուկների նմուշները, ակտիվ դեղագործական բաղադրամասերի </w:t>
      </w:r>
      <w:r w:rsidR="00C54D75">
        <w:rPr>
          <w:rFonts w:ascii="Sylfaen" w:hAnsi="Sylfaen"/>
          <w:sz w:val="24"/>
          <w:szCs w:val="24"/>
        </w:rPr>
        <w:t>և</w:t>
      </w:r>
      <w:r w:rsidRPr="003B2786">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3B2786">
        <w:rPr>
          <w:rFonts w:ascii="Sylfaen" w:hAnsi="Sylfaen"/>
          <w:sz w:val="24"/>
          <w:szCs w:val="24"/>
        </w:rPr>
        <w:t xml:space="preserve"> լաբորատոր փորձարկումներ անցկացնելու համար անհրաժեշտ նյութերը:</w:t>
      </w:r>
    </w:p>
    <w:p w14:paraId="1B10C386"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3.3.2.</w:t>
      </w:r>
      <w:r w:rsidRPr="003B2786">
        <w:rPr>
          <w:rFonts w:ascii="Sylfaen" w:hAnsi="Sylfaen"/>
          <w:sz w:val="24"/>
          <w:szCs w:val="24"/>
        </w:rPr>
        <w:tab/>
        <w:t>Ռեֆերենտ</w:t>
      </w:r>
      <w:r w:rsidRPr="003B2786" w:rsidDel="00E61B3B">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ոչ ուշ, քան փոփոխությունների կատարման հայտը ռեֆերենտ</w:t>
      </w:r>
      <w:r w:rsidRPr="003B2786" w:rsidDel="0093344B">
        <w:rPr>
          <w:rFonts w:ascii="Sylfaen" w:hAnsi="Sylfaen"/>
          <w:sz w:val="24"/>
          <w:szCs w:val="24"/>
        </w:rPr>
        <w:t xml:space="preserve"> </w:t>
      </w:r>
      <w:r w:rsidRPr="003B2786">
        <w:rPr>
          <w:rFonts w:ascii="Sylfaen" w:hAnsi="Sylfaen"/>
          <w:sz w:val="24"/>
          <w:szCs w:val="24"/>
        </w:rPr>
        <w:t xml:space="preserve">պետություն ներկայացնելու օրվանից 14 աշխատանքային օրվա ընթացքում իրականացնում է ներկայացված փաստաթղթերի ամբողջականության, լրակազմության </w:t>
      </w:r>
      <w:r w:rsidR="00C54D75">
        <w:rPr>
          <w:rFonts w:ascii="Sylfaen" w:hAnsi="Sylfaen"/>
          <w:sz w:val="24"/>
          <w:szCs w:val="24"/>
        </w:rPr>
        <w:t>և</w:t>
      </w:r>
      <w:r w:rsidRPr="003B2786">
        <w:rPr>
          <w:rFonts w:ascii="Sylfaen" w:hAnsi="Sylfaen"/>
          <w:sz w:val="24"/>
          <w:szCs w:val="24"/>
        </w:rPr>
        <w:t xml:space="preserve"> ձ</w:t>
      </w:r>
      <w:r w:rsidR="00C54D75">
        <w:rPr>
          <w:rFonts w:ascii="Sylfaen" w:hAnsi="Sylfaen"/>
          <w:sz w:val="24"/>
          <w:szCs w:val="24"/>
        </w:rPr>
        <w:t>և</w:t>
      </w:r>
      <w:r w:rsidRPr="003B2786">
        <w:rPr>
          <w:rFonts w:ascii="Sylfaen" w:hAnsi="Sylfaen"/>
          <w:sz w:val="24"/>
          <w:szCs w:val="24"/>
        </w:rPr>
        <w:t>ակերպման ճշտության գնահատում՝ սույն հավելվածի 3.3.1 ենթակետին համապատասխան։</w:t>
      </w:r>
    </w:p>
    <w:p w14:paraId="6D29B8A1"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Եթե հայտը բավարարում է սույն հավելվածի 3.3.1 ենթակետով սահմանված պահանջները, ապա լիազորված մարմինը (փորձագիտական կազմակերպությունը) հաստատում է վավեր հայտի ստացումը:</w:t>
      </w:r>
    </w:p>
    <w:p w14:paraId="749CE73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93344B">
        <w:rPr>
          <w:rFonts w:ascii="Sylfaen" w:hAnsi="Sylfaen"/>
          <w:sz w:val="24"/>
          <w:szCs w:val="24"/>
        </w:rPr>
        <w:t xml:space="preserve"> </w:t>
      </w:r>
      <w:r w:rsidRPr="003B2786">
        <w:rPr>
          <w:rFonts w:ascii="Sylfaen" w:hAnsi="Sylfaen"/>
          <w:sz w:val="24"/>
          <w:szCs w:val="24"/>
        </w:rPr>
        <w:t xml:space="preserve">պետության լիազորված մարմնի (փորձագիտական կազմակերպության) դիտողությունների հիման վրա գրանցման դոսյեի պակասող նյութերը ներկայացնելու համար հայտատուին տրամադրվում է 90 օրացուցային օրվանից ոչ ավելի, որը չի մտնում դեղապատրաստուկի փորձաքննության </w:t>
      </w:r>
      <w:r w:rsidR="00C54D75">
        <w:rPr>
          <w:rFonts w:ascii="Sylfaen" w:hAnsi="Sylfaen"/>
          <w:sz w:val="24"/>
          <w:szCs w:val="24"/>
        </w:rPr>
        <w:t>և</w:t>
      </w:r>
      <w:r w:rsidRPr="003B2786">
        <w:rPr>
          <w:rFonts w:ascii="Sylfaen" w:hAnsi="Sylfaen"/>
          <w:sz w:val="24"/>
          <w:szCs w:val="24"/>
        </w:rPr>
        <w:t xml:space="preserve"> փոփոխությունների կատարման ընթացակարգի ժամկետի մեջ։</w:t>
      </w:r>
    </w:p>
    <w:p w14:paraId="425FAE41"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93344B">
        <w:rPr>
          <w:rFonts w:ascii="Sylfaen" w:hAnsi="Sylfaen"/>
          <w:sz w:val="24"/>
          <w:szCs w:val="24"/>
        </w:rPr>
        <w:t xml:space="preserve"> </w:t>
      </w:r>
      <w:r w:rsidRPr="003B2786">
        <w:rPr>
          <w:rFonts w:ascii="Sylfaen" w:hAnsi="Sylfaen"/>
          <w:sz w:val="24"/>
          <w:szCs w:val="24"/>
        </w:rPr>
        <w:t xml:space="preserve">պետության լիազորված մարմնի (փորձագիտական կազմակերպության) դիտողությունների հիման վրա նյութերը չներկայացնելու </w:t>
      </w:r>
      <w:r w:rsidR="00C54D75">
        <w:rPr>
          <w:rFonts w:ascii="Sylfaen" w:hAnsi="Sylfaen"/>
          <w:sz w:val="24"/>
          <w:szCs w:val="24"/>
        </w:rPr>
        <w:t>և</w:t>
      </w:r>
      <w:r w:rsidRPr="003B2786">
        <w:rPr>
          <w:rFonts w:ascii="Sylfaen" w:hAnsi="Sylfaen"/>
          <w:sz w:val="24"/>
          <w:szCs w:val="24"/>
        </w:rPr>
        <w:t xml:space="preserve"> </w:t>
      </w:r>
      <w:r w:rsidRPr="003B2786">
        <w:rPr>
          <w:rFonts w:ascii="Sylfaen" w:hAnsi="Sylfaen"/>
          <w:sz w:val="24"/>
          <w:szCs w:val="24"/>
        </w:rPr>
        <w:lastRenderedPageBreak/>
        <w:t xml:space="preserve">(կամ) անդամ պետության օրենսդրությամբ սահմանված դեպքերում </w:t>
      </w:r>
      <w:r w:rsidR="00C54D75">
        <w:rPr>
          <w:rFonts w:ascii="Sylfaen" w:hAnsi="Sylfaen"/>
          <w:sz w:val="24"/>
          <w:szCs w:val="24"/>
        </w:rPr>
        <w:t>և</w:t>
      </w:r>
      <w:r w:rsidRPr="003B2786">
        <w:rPr>
          <w:rFonts w:ascii="Sylfaen" w:hAnsi="Sylfaen"/>
          <w:sz w:val="24"/>
          <w:szCs w:val="24"/>
        </w:rPr>
        <w:t xml:space="preserve"> կարգով փոփոխություններ կատարելու դիմաց վճարի (տուրքի) վճարումը չհաստատելու դեպքում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մարմինը (փորձագիտական կազմակերպությունը) մերժում է գրանցման դոսյեի մեջ փոփոխություններ կատարելու հայտը։</w:t>
      </w:r>
    </w:p>
    <w:p w14:paraId="6BACDC23"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3.3.3.</w:t>
      </w:r>
      <w:r w:rsidRPr="003B2786">
        <w:rPr>
          <w:rFonts w:ascii="Sylfaen" w:hAnsi="Sylfaen"/>
          <w:sz w:val="24"/>
          <w:szCs w:val="24"/>
        </w:rPr>
        <w:tab/>
        <w:t xml:space="preserve">Սույն հավելվածի 3.3.1 ենթակետում նշված՝ փոփոխությունների կատարման վավեր հայտը ստանալու օրվանից ոչ ուշ, քան 60 օրացուցային օրվա ընթացքում լիազորված մարմինը (փորձագիտական կազմակերպությունը) պետք է ավարտի դեղամիջոցի փորձաքննությունը </w:t>
      </w:r>
      <w:r w:rsidR="00C54D75">
        <w:rPr>
          <w:rFonts w:ascii="Sylfaen" w:hAnsi="Sylfaen"/>
          <w:sz w:val="24"/>
          <w:szCs w:val="24"/>
        </w:rPr>
        <w:t>և</w:t>
      </w:r>
      <w:r w:rsidRPr="003B2786">
        <w:rPr>
          <w:rFonts w:ascii="Sylfaen" w:hAnsi="Sylfaen"/>
          <w:sz w:val="24"/>
          <w:szCs w:val="24"/>
        </w:rPr>
        <w:t xml:space="preserve"> պատրաստի գնահատման վերաբերյալ փորձագիտական հաշվետվություն:</w:t>
      </w:r>
    </w:p>
    <w:p w14:paraId="61861376"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3.3.4.</w:t>
      </w:r>
      <w:r w:rsidRPr="003B2786">
        <w:rPr>
          <w:rFonts w:ascii="Sylfaen" w:hAnsi="Sylfaen"/>
          <w:sz w:val="24"/>
          <w:szCs w:val="24"/>
        </w:rPr>
        <w:tab/>
        <w:t>Լիազորված մարմինը (փորձագիտական կազմակերպությունը) իրավունք ունի կրճատելու սույն հավելվածի 3.3.3 ենթակետում նշված ժամկետը՝ հաշվի առնելով հարցի հրատապությունը, կամ այն երկարաձգելու մինչ</w:t>
      </w:r>
      <w:r w:rsidR="00C54D75">
        <w:rPr>
          <w:rFonts w:ascii="Sylfaen" w:hAnsi="Sylfaen"/>
          <w:sz w:val="24"/>
          <w:szCs w:val="24"/>
        </w:rPr>
        <w:t>և</w:t>
      </w:r>
      <w:r w:rsidRPr="003B2786">
        <w:rPr>
          <w:rFonts w:ascii="Sylfaen" w:hAnsi="Sylfaen"/>
          <w:sz w:val="24"/>
          <w:szCs w:val="24"/>
        </w:rPr>
        <w:t xml:space="preserve"> 90 օրացուցային օր՝ կիրառման հաստատված ցուցումների ձ</w:t>
      </w:r>
      <w:r w:rsidR="00C54D75">
        <w:rPr>
          <w:rFonts w:ascii="Sylfaen" w:hAnsi="Sylfaen"/>
          <w:sz w:val="24"/>
          <w:szCs w:val="24"/>
        </w:rPr>
        <w:t>և</w:t>
      </w:r>
      <w:r w:rsidRPr="003B2786">
        <w:rPr>
          <w:rFonts w:ascii="Sylfaen" w:hAnsi="Sylfaen"/>
          <w:sz w:val="24"/>
          <w:szCs w:val="24"/>
        </w:rPr>
        <w:t>ափոխման կամ կիրառման նոր ցուցումներ ներառելու հիմքում ընկած փոփոխություններով կամ փոփոխությունների խմբով պայմանավորված՝ սույն հավելվածի 3.4.2 ենթակետի երրորդ պարբերությանը համապատասխան:</w:t>
      </w:r>
    </w:p>
    <w:p w14:paraId="6FA593AB"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3.3.5.</w:t>
      </w:r>
      <w:r w:rsidRPr="003B2786">
        <w:rPr>
          <w:rFonts w:ascii="Sylfaen" w:hAnsi="Sylfaen"/>
          <w:sz w:val="24"/>
          <w:szCs w:val="24"/>
        </w:rPr>
        <w:tab/>
        <w:t>I լրացման 2-րդ բաժնում թվարկված փոփոխությունների մասով սույն հավելվածի 3.3.3 ենթակետում նշված փորձաքննության ժամկետը կազմում է 90 օրացուցային օրվանից ոչ ավելի:</w:t>
      </w:r>
    </w:p>
    <w:p w14:paraId="3E1F065A"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3.3.6.</w:t>
      </w:r>
      <w:r w:rsidRPr="003B2786">
        <w:rPr>
          <w:rFonts w:ascii="Sylfaen" w:hAnsi="Sylfaen"/>
          <w:sz w:val="24"/>
          <w:szCs w:val="24"/>
        </w:rPr>
        <w:tab/>
        <w:t xml:space="preserve">Սույն հավելվածի 3.3.3-3.3.5 ենթակետերում նշված ժամկետի ընթացքում լիազորված մարմինը (փորձագիտական կազմակերպությունը) իրավունք ունի այն պակասող լրացուցիչ տեղեկատվության, անհրաժեշտ պարզաբանումների կամ ներկայացված փաստաթղթերի </w:t>
      </w:r>
      <w:r w:rsidR="00C54D75">
        <w:rPr>
          <w:rFonts w:ascii="Sylfaen" w:hAnsi="Sylfaen"/>
          <w:sz w:val="24"/>
          <w:szCs w:val="24"/>
        </w:rPr>
        <w:t>և</w:t>
      </w:r>
      <w:r w:rsidRPr="003B2786">
        <w:rPr>
          <w:rFonts w:ascii="Sylfaen" w:hAnsi="Sylfaen"/>
          <w:sz w:val="24"/>
          <w:szCs w:val="24"/>
        </w:rPr>
        <w:t xml:space="preserve"> գրանցման դոսյեի տվյալների ճշտումների մասին հայտատուին գրավոր </w:t>
      </w:r>
      <w:r w:rsidR="00C54D75">
        <w:rPr>
          <w:rFonts w:ascii="Sylfaen" w:hAnsi="Sylfaen"/>
          <w:sz w:val="24"/>
          <w:szCs w:val="24"/>
        </w:rPr>
        <w:t>և</w:t>
      </w:r>
      <w:r w:rsidRPr="003B2786">
        <w:rPr>
          <w:rFonts w:ascii="Sylfaen" w:hAnsi="Sylfaen"/>
          <w:sz w:val="24"/>
          <w:szCs w:val="24"/>
        </w:rPr>
        <w:t xml:space="preserve"> (կամ) էլեկտրոնային եղանակով հարցում (այդ թվում՝ դեղապատրաստուկի ընդհանուր բնութագրում, բժշկական կիրառման հրահանգում, դեղապատրաստուկի փաթեթվածքի մանրակերտերում, որակի նորմատիվ փաստաթղթում կամ գրանցման դոսյեի այլ </w:t>
      </w:r>
      <w:r w:rsidRPr="003B2786">
        <w:rPr>
          <w:rFonts w:ascii="Sylfaen" w:hAnsi="Sylfaen"/>
          <w:sz w:val="24"/>
          <w:szCs w:val="24"/>
        </w:rPr>
        <w:lastRenderedPageBreak/>
        <w:t>փաստաթղթերում փոփոխություններ կատարելու մասին առաջարկություններ) ուղարկելու:</w:t>
      </w:r>
    </w:p>
    <w:p w14:paraId="47436EA8"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Նշված հարցման պատասխանը հայտատուի կողմից ներկայացնելու ժամկետը չպետք է գերազանցի 90 օրացուցային օրը:</w:t>
      </w:r>
    </w:p>
    <w:p w14:paraId="00F8F335"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Հայտատուի կողմից լիազորված մարմնի կամ փորձագիտական կազմակերպության հարցմամբ փաստաթղթերը ներկայացնելու ժամանակը չի մտնում փորձաքննությունն ու փոփոխությունների կատարման ընթացակարգն իրականացնելու ժամկետի մեջ:</w:t>
      </w:r>
    </w:p>
    <w:p w14:paraId="6996F95D"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Հարցված փաստաթղթերը </w:t>
      </w:r>
      <w:r w:rsidR="00C54D75">
        <w:rPr>
          <w:rFonts w:ascii="Sylfaen" w:hAnsi="Sylfaen"/>
          <w:sz w:val="24"/>
          <w:szCs w:val="24"/>
        </w:rPr>
        <w:t>և</w:t>
      </w:r>
      <w:r w:rsidRPr="003B2786">
        <w:rPr>
          <w:rFonts w:ascii="Sylfaen" w:hAnsi="Sylfaen"/>
          <w:sz w:val="24"/>
          <w:szCs w:val="24"/>
        </w:rPr>
        <w:t xml:space="preserve"> տվյալները սահմանված ժամկետում հայտատուի կողմից չներկայացնելու դեպքում փորձաքննությունը </w:t>
      </w:r>
      <w:r w:rsidR="00C54D75">
        <w:rPr>
          <w:rFonts w:ascii="Sylfaen" w:hAnsi="Sylfaen"/>
          <w:sz w:val="24"/>
          <w:szCs w:val="24"/>
        </w:rPr>
        <w:t>և</w:t>
      </w:r>
      <w:r w:rsidRPr="003B2786">
        <w:rPr>
          <w:rFonts w:ascii="Sylfaen" w:hAnsi="Sylfaen"/>
          <w:sz w:val="24"/>
          <w:szCs w:val="24"/>
        </w:rPr>
        <w:t xml:space="preserve"> փոփոխությունների կատարման ընթացակարգը դադարեցվում են: Կայացրած որոշման մասին ռեֆերենտ</w:t>
      </w:r>
      <w:r w:rsidRPr="003B2786" w:rsidDel="00233C52">
        <w:rPr>
          <w:rFonts w:ascii="Sylfaen" w:hAnsi="Sylfaen"/>
          <w:sz w:val="24"/>
          <w:szCs w:val="24"/>
        </w:rPr>
        <w:t xml:space="preserve"> </w:t>
      </w:r>
      <w:r w:rsidRPr="003B2786">
        <w:rPr>
          <w:rFonts w:ascii="Sylfaen" w:hAnsi="Sylfaen"/>
          <w:sz w:val="24"/>
          <w:szCs w:val="24"/>
        </w:rPr>
        <w:t xml:space="preserve">պետության լիազորված մարմինը (փորձագիտական կազմակերպությունը) այդ որոշումը կայացնելու օրվանից 10 աշխատանքային օրվա ընթացքում գրավոր </w:t>
      </w:r>
      <w:r w:rsidR="00C54D75">
        <w:rPr>
          <w:rFonts w:ascii="Sylfaen" w:hAnsi="Sylfaen"/>
          <w:sz w:val="24"/>
          <w:szCs w:val="24"/>
        </w:rPr>
        <w:t>և</w:t>
      </w:r>
      <w:r w:rsidRPr="003B2786">
        <w:rPr>
          <w:rFonts w:ascii="Sylfaen" w:hAnsi="Sylfaen"/>
          <w:sz w:val="24"/>
          <w:szCs w:val="24"/>
        </w:rPr>
        <w:t xml:space="preserve"> էլեկտրոնային եղանակով տեղեկացնում է հայտատուին:</w:t>
      </w:r>
    </w:p>
    <w:p w14:paraId="5FE95F11"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3.3.7.</w:t>
      </w:r>
      <w:r w:rsidRPr="003B2786">
        <w:rPr>
          <w:rFonts w:ascii="Sylfaen" w:hAnsi="Sylfaen"/>
          <w:sz w:val="24"/>
          <w:szCs w:val="24"/>
        </w:rPr>
        <w:tab/>
        <w:t>Փորձաքննությունն ավարտելու օրվանից 10 աշխատանքային օրվա ընթացքում ձեռնարկվում են սույն հավելվածի 3.5 կետում նշված միջոցները:</w:t>
      </w:r>
    </w:p>
    <w:p w14:paraId="16F10544"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Այն դեպքում, երբ սույն հավելվածի 1.6 կետի համաձայն փոփոխությունները հանգեցնում են դեղապատրաստուկի մասին տեղեկատվության վերանայման, ռեֆերենտ</w:t>
      </w:r>
      <w:r w:rsidRPr="003B2786" w:rsidDel="00233C52">
        <w:rPr>
          <w:rFonts w:ascii="Sylfaen" w:hAnsi="Sylfaen"/>
          <w:sz w:val="24"/>
          <w:szCs w:val="24"/>
        </w:rPr>
        <w:t xml:space="preserve"> </w:t>
      </w:r>
      <w:r w:rsidRPr="003B2786">
        <w:rPr>
          <w:rFonts w:ascii="Sylfaen" w:hAnsi="Sylfaen"/>
          <w:sz w:val="24"/>
          <w:szCs w:val="24"/>
        </w:rPr>
        <w:t xml:space="preserve">պետության լիազորված մարմինը փորձաքննությունն ավարտելու օրվանից 10 աշխատանքային օրվա ընթացքում փոփոխությունների կատարման մասին տեղեկությունները տեղադրում է միասնական ռեեստրում՝ կից ներկայացնելով դեղապատրաստուկի փոփոխված </w:t>
      </w:r>
      <w:r w:rsidR="00C54D75">
        <w:rPr>
          <w:rFonts w:ascii="Sylfaen" w:hAnsi="Sylfaen"/>
          <w:sz w:val="24"/>
          <w:szCs w:val="24"/>
        </w:rPr>
        <w:t>և</w:t>
      </w:r>
      <w:r w:rsidRPr="003B2786">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ինչպես նա</w:t>
      </w:r>
      <w:r w:rsidR="00C54D75">
        <w:rPr>
          <w:rFonts w:ascii="Sylfaen" w:hAnsi="Sylfaen"/>
          <w:sz w:val="24"/>
          <w:szCs w:val="24"/>
        </w:rPr>
        <w:t>և</w:t>
      </w:r>
      <w:r w:rsidRPr="003B2786">
        <w:rPr>
          <w:rFonts w:ascii="Sylfaen" w:hAnsi="Sylfaen"/>
          <w:sz w:val="24"/>
          <w:szCs w:val="24"/>
        </w:rPr>
        <w:t xml:space="preserve"> հայտատուին է տրամադրում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w:t>
      </w:r>
      <w:r w:rsidRPr="003B2786">
        <w:rPr>
          <w:rFonts w:ascii="Sylfaen" w:hAnsi="Sylfaen"/>
          <w:sz w:val="24"/>
          <w:szCs w:val="24"/>
        </w:rPr>
        <w:lastRenderedPageBreak/>
        <w:t>դեպքում):</w:t>
      </w:r>
    </w:p>
    <w:p w14:paraId="3763BF5F"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Լիազորված մարմինն իրավունք ունի մինչ</w:t>
      </w:r>
      <w:r w:rsidR="00C54D75">
        <w:rPr>
          <w:rFonts w:ascii="Sylfaen" w:hAnsi="Sylfaen"/>
          <w:sz w:val="24"/>
          <w:szCs w:val="24"/>
        </w:rPr>
        <w:t>և</w:t>
      </w:r>
      <w:r w:rsidRPr="003B2786">
        <w:rPr>
          <w:rFonts w:ascii="Sylfaen" w:hAnsi="Sylfaen"/>
          <w:sz w:val="24"/>
          <w:szCs w:val="24"/>
        </w:rPr>
        <w:t xml:space="preserve"> 30 օրացուցային օր երկարաձգելու սույն ենթակետի երկրորդ պարբերության մեջ նշված ժամկետն այն դեպքում, երբ հայտատուն ներկայացրել է խմբային փոփոխություններ՝ համաձայն սույն հավելվածի 1.7.2 </w:t>
      </w:r>
      <w:r w:rsidR="00C54D75">
        <w:rPr>
          <w:rFonts w:ascii="Sylfaen" w:hAnsi="Sylfaen"/>
          <w:sz w:val="24"/>
          <w:szCs w:val="24"/>
        </w:rPr>
        <w:t>և</w:t>
      </w:r>
      <w:r w:rsidRPr="003B2786">
        <w:rPr>
          <w:rFonts w:ascii="Sylfaen" w:hAnsi="Sylfaen"/>
          <w:sz w:val="24"/>
          <w:szCs w:val="24"/>
        </w:rPr>
        <w:t xml:space="preserve"> 1.7.3 կետերի:</w:t>
      </w:r>
    </w:p>
    <w:p w14:paraId="08B165CC"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3.3.8.</w:t>
      </w:r>
      <w:r w:rsidRPr="003B2786">
        <w:rPr>
          <w:rFonts w:ascii="Sylfaen" w:hAnsi="Sylfaen"/>
          <w:sz w:val="24"/>
          <w:szCs w:val="24"/>
        </w:rPr>
        <w:tab/>
        <w:t>Սույն բաժինը չի կիրառվում, եթե II տիպի փոփոխության վերաբերյալ հարցումը ներկայացված է դեղապատրաստուկի գրանցման ընդլայնում ներառող՝ փոփոխությունների խմբի կազմում: Այդ դեպքում կիրառվում է 4.1.1 ենթակետով նախատեսված ընթացակարգը:</w:t>
      </w:r>
    </w:p>
    <w:p w14:paraId="189B0520" w14:textId="77777777" w:rsidR="008C76E0" w:rsidRPr="003B2786" w:rsidRDefault="008C76E0" w:rsidP="00593820">
      <w:pPr>
        <w:tabs>
          <w:tab w:val="left" w:pos="1418"/>
        </w:tabs>
        <w:spacing w:after="160" w:line="360" w:lineRule="auto"/>
        <w:ind w:firstLine="567"/>
        <w:jc w:val="both"/>
        <w:rPr>
          <w:rFonts w:ascii="Sylfaen" w:hAnsi="Sylfaen"/>
          <w:sz w:val="24"/>
          <w:szCs w:val="24"/>
        </w:rPr>
      </w:pPr>
    </w:p>
    <w:p w14:paraId="0E205114"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3.4. Բացառապես ռեֆերենտ</w:t>
      </w:r>
      <w:r w:rsidRPr="003B2786" w:rsidDel="00233C52">
        <w:rPr>
          <w:rFonts w:ascii="Sylfaen" w:hAnsi="Sylfaen"/>
          <w:sz w:val="24"/>
          <w:szCs w:val="24"/>
        </w:rPr>
        <w:t xml:space="preserve"> </w:t>
      </w:r>
      <w:r w:rsidRPr="003B2786">
        <w:rPr>
          <w:rFonts w:ascii="Sylfaen" w:hAnsi="Sylfaen"/>
          <w:sz w:val="24"/>
          <w:szCs w:val="24"/>
        </w:rPr>
        <w:t>պետությունում գրանցված դեղապատրաստուկների գրանցման դոսյեի մեջ կատարվող փոփոխությունների խմբավորումը</w:t>
      </w:r>
    </w:p>
    <w:p w14:paraId="08D32571"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3.4.1.</w:t>
      </w:r>
      <w:r w:rsidRPr="003B2786">
        <w:rPr>
          <w:rFonts w:ascii="Sylfaen" w:hAnsi="Sylfaen"/>
          <w:sz w:val="24"/>
          <w:szCs w:val="24"/>
        </w:rPr>
        <w:tab/>
        <w:t>Մի քանի փոփոխությունների մասին ծանուցելիս կամ փոփոխությունների կատարման մի քանի հայտ ներկայացնելիս անհրաժեշտ է յուրաքանչյուր փոփոխության մասով ներկայացնել առանձին ծանուցում կամ փոփոխության դոսյե՝ սույն հավելվածի 3.1, 3.2, 3.3 կետերին կամ սույն հավելվածի 4.1.1 ենթակետին համապատասխան:</w:t>
      </w:r>
    </w:p>
    <w:p w14:paraId="275003DE"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3.4.2.</w:t>
      </w:r>
      <w:r w:rsidRPr="003B2786">
        <w:rPr>
          <w:rFonts w:ascii="Sylfaen" w:hAnsi="Sylfaen"/>
          <w:sz w:val="24"/>
          <w:szCs w:val="24"/>
        </w:rPr>
        <w:tab/>
        <w:t>Սույն հավելվածի 3.4.1 կետից բացառման կարգով կիրառվում է հետ</w:t>
      </w:r>
      <w:r w:rsidR="00C54D75">
        <w:rPr>
          <w:rFonts w:ascii="Sylfaen" w:hAnsi="Sylfaen"/>
          <w:sz w:val="24"/>
          <w:szCs w:val="24"/>
        </w:rPr>
        <w:t>և</w:t>
      </w:r>
      <w:r w:rsidRPr="003B2786">
        <w:rPr>
          <w:rFonts w:ascii="Sylfaen" w:hAnsi="Sylfaen"/>
          <w:sz w:val="24"/>
          <w:szCs w:val="24"/>
        </w:rPr>
        <w:t>յալը՝</w:t>
      </w:r>
    </w:p>
    <w:p w14:paraId="43B12EBE"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մեկ կամ ավելի այն դեղապատրաստուկների գրանցման պայմանների՝ IA տիպի միանման ոչ էական փոփոխությունների մասին մի</w:t>
      </w:r>
      <w:r w:rsidR="00C54D75">
        <w:rPr>
          <w:rFonts w:ascii="Sylfaen" w:hAnsi="Sylfaen"/>
          <w:sz w:val="24"/>
          <w:szCs w:val="24"/>
        </w:rPr>
        <w:t>և</w:t>
      </w:r>
      <w:r w:rsidRPr="003B2786">
        <w:rPr>
          <w:rFonts w:ascii="Sylfaen" w:hAnsi="Sylfaen"/>
          <w:sz w:val="24"/>
          <w:szCs w:val="24"/>
        </w:rPr>
        <w:t xml:space="preserve">նույն լիազորված մարմնին (փորձագիտական կազմակերպությանը) միաժամանակ ծանուցելու դեպքում, որոնց իրավատերը մեկ կազմակերպություն է, թույլատրվում է բոլոր այդպիսի փոփոխությունները ներառել փոփոխությունների կատարման մեկ հայտի մեջ </w:t>
      </w:r>
      <w:r w:rsidR="00C54D75">
        <w:rPr>
          <w:rFonts w:ascii="Sylfaen" w:hAnsi="Sylfaen"/>
          <w:sz w:val="24"/>
          <w:szCs w:val="24"/>
        </w:rPr>
        <w:t>և</w:t>
      </w:r>
      <w:r w:rsidRPr="003B2786">
        <w:rPr>
          <w:rFonts w:ascii="Sylfaen" w:hAnsi="Sylfaen"/>
          <w:sz w:val="24"/>
          <w:szCs w:val="24"/>
        </w:rPr>
        <w:t xml:space="preserve"> սույն հավելվածի 3.1 կետում նշված ծանուցման մեջ.</w:t>
      </w:r>
    </w:p>
    <w:p w14:paraId="7F5B19B8"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մի</w:t>
      </w:r>
      <w:r w:rsidR="00C54D75">
        <w:rPr>
          <w:rFonts w:ascii="Sylfaen" w:hAnsi="Sylfaen"/>
          <w:sz w:val="24"/>
          <w:szCs w:val="24"/>
        </w:rPr>
        <w:t>և</w:t>
      </w:r>
      <w:r w:rsidRPr="003B2786">
        <w:rPr>
          <w:rFonts w:ascii="Sylfaen" w:hAnsi="Sylfaen"/>
          <w:sz w:val="24"/>
          <w:szCs w:val="24"/>
        </w:rPr>
        <w:t xml:space="preserve">նույն դեղապատրաստուկի գրանցման պայմանների մի քանի </w:t>
      </w:r>
      <w:r w:rsidRPr="003B2786">
        <w:rPr>
          <w:rFonts w:ascii="Sylfaen" w:hAnsi="Sylfaen"/>
          <w:sz w:val="24"/>
          <w:szCs w:val="24"/>
        </w:rPr>
        <w:lastRenderedPageBreak/>
        <w:t>փոփոխությունների մասին միաժամանակ մի</w:t>
      </w:r>
      <w:r w:rsidR="00C54D75">
        <w:rPr>
          <w:rFonts w:ascii="Sylfaen" w:hAnsi="Sylfaen"/>
          <w:sz w:val="24"/>
          <w:szCs w:val="24"/>
        </w:rPr>
        <w:t>և</w:t>
      </w:r>
      <w:r w:rsidRPr="003B2786">
        <w:rPr>
          <w:rFonts w:ascii="Sylfaen" w:hAnsi="Sylfaen"/>
          <w:sz w:val="24"/>
          <w:szCs w:val="24"/>
        </w:rPr>
        <w:t>նույն լիազորված մարմնին (փորձագիտական կազմակերպությանը) ծանուցելու դեպքում թույլատրվում է բոլոր այդպիսի փոփոխությունները ներառել փոփոխությունների կատարման մեկ դոսյեի մեջ, եթե III լրացման մեջ թվարկված պայմաններից որ</w:t>
      </w:r>
      <w:r w:rsidR="00C54D75">
        <w:rPr>
          <w:rFonts w:ascii="Sylfaen" w:hAnsi="Sylfaen"/>
          <w:sz w:val="24"/>
          <w:szCs w:val="24"/>
        </w:rPr>
        <w:t>և</w:t>
      </w:r>
      <w:r w:rsidRPr="003B2786">
        <w:rPr>
          <w:rFonts w:ascii="Sylfaen" w:hAnsi="Sylfaen"/>
          <w:sz w:val="24"/>
          <w:szCs w:val="24"/>
        </w:rPr>
        <w:t>է մեկը տարածվում է բոլոր դիտարկվող փոփոխությունների վրա.</w:t>
      </w:r>
    </w:p>
    <w:p w14:paraId="64F69ADB" w14:textId="77777777" w:rsidR="008C76E0" w:rsidRPr="003B2786" w:rsidRDefault="008C76E0" w:rsidP="00945A7B">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մի</w:t>
      </w:r>
      <w:r w:rsidR="00C54D75">
        <w:rPr>
          <w:rFonts w:ascii="Sylfaen" w:hAnsi="Sylfaen"/>
          <w:sz w:val="24"/>
          <w:szCs w:val="24"/>
        </w:rPr>
        <w:t>և</w:t>
      </w:r>
      <w:r w:rsidRPr="003B2786">
        <w:rPr>
          <w:rFonts w:ascii="Sylfaen" w:hAnsi="Sylfaen"/>
          <w:sz w:val="24"/>
          <w:szCs w:val="24"/>
        </w:rPr>
        <w:t>նույն այն դեղապատրաստուկի գրանցման պայմանների փոփոխությունների մասին մի</w:t>
      </w:r>
      <w:r w:rsidR="00C54D75">
        <w:rPr>
          <w:rFonts w:ascii="Sylfaen" w:hAnsi="Sylfaen"/>
          <w:sz w:val="24"/>
          <w:szCs w:val="24"/>
        </w:rPr>
        <w:t>և</w:t>
      </w:r>
      <w:r w:rsidRPr="003B2786">
        <w:rPr>
          <w:rFonts w:ascii="Sylfaen" w:hAnsi="Sylfaen"/>
          <w:sz w:val="24"/>
          <w:szCs w:val="24"/>
        </w:rPr>
        <w:t>նույն լիազորված մարմնին (փորձագիտական կազմակերպությանը) միաժամանակ ծանուցելու դեպքում, որի իրավատերը սույն ենթակետում թվարկված պայմաններին չբավարարող մեկ կազմակերպություն է, թույլատրվում է լիազորված մարմնի (փորձագիտական կազմակերպության) համաձայնությամբ բոլոր այդպիսի փոփոխությունները ներառել փոփոխության մեկ դոսյեի մեջ:</w:t>
      </w:r>
    </w:p>
    <w:p w14:paraId="639FBCDE" w14:textId="77777777" w:rsidR="008C76E0" w:rsidRPr="003B2786" w:rsidRDefault="008C76E0" w:rsidP="00945A7B">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3.4.3.</w:t>
      </w:r>
      <w:r w:rsidRPr="003B2786">
        <w:rPr>
          <w:rFonts w:ascii="Sylfaen" w:hAnsi="Sylfaen"/>
          <w:sz w:val="24"/>
          <w:szCs w:val="24"/>
        </w:rPr>
        <w:tab/>
        <w:t xml:space="preserve">Սույն հավելվածի 3.4.2 ենթակետի երկրորդ </w:t>
      </w:r>
      <w:r w:rsidR="00C54D75">
        <w:rPr>
          <w:rFonts w:ascii="Sylfaen" w:hAnsi="Sylfaen"/>
          <w:sz w:val="24"/>
          <w:szCs w:val="24"/>
        </w:rPr>
        <w:t>և</w:t>
      </w:r>
      <w:r w:rsidRPr="003B2786">
        <w:rPr>
          <w:rFonts w:ascii="Sylfaen" w:hAnsi="Sylfaen"/>
          <w:sz w:val="24"/>
          <w:szCs w:val="24"/>
        </w:rPr>
        <w:t xml:space="preserve"> երրորդ պարբերություններին համապատասխան՝ փաստաթղթերի տրամադրումն իրականացվում է հետ</w:t>
      </w:r>
      <w:r w:rsidR="00C54D75">
        <w:rPr>
          <w:rFonts w:ascii="Sylfaen" w:hAnsi="Sylfaen"/>
          <w:sz w:val="24"/>
          <w:szCs w:val="24"/>
        </w:rPr>
        <w:t>և</w:t>
      </w:r>
      <w:r w:rsidRPr="003B2786">
        <w:rPr>
          <w:rFonts w:ascii="Sylfaen" w:hAnsi="Sylfaen"/>
          <w:sz w:val="24"/>
          <w:szCs w:val="24"/>
        </w:rPr>
        <w:t>յալ եղանակով՝</w:t>
      </w:r>
    </w:p>
    <w:p w14:paraId="021D6D6A" w14:textId="77777777" w:rsidR="008C76E0" w:rsidRPr="003B2786" w:rsidRDefault="008C76E0" w:rsidP="00945A7B">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 xml:space="preserve">սույն հավելվածի 3.2 կետին համապատասխան միասնական ծանուցում (փոփոխության դոսյե), եթե փոփոխություններից առնվազն մեկը IB տիպի ոչ էական փոփոխություն է, </w:t>
      </w:r>
      <w:r w:rsidR="00C54D75">
        <w:rPr>
          <w:rFonts w:ascii="Sylfaen" w:hAnsi="Sylfaen"/>
          <w:sz w:val="24"/>
          <w:szCs w:val="24"/>
        </w:rPr>
        <w:t>և</w:t>
      </w:r>
      <w:r w:rsidRPr="003B2786">
        <w:rPr>
          <w:rFonts w:ascii="Sylfaen" w:hAnsi="Sylfaen"/>
          <w:sz w:val="24"/>
          <w:szCs w:val="24"/>
        </w:rPr>
        <w:t xml:space="preserve"> բոլոր փոփոխությունները ոչ էական են.</w:t>
      </w:r>
    </w:p>
    <w:p w14:paraId="3DFB2A0A" w14:textId="77777777" w:rsidR="008C76E0" w:rsidRPr="003B2786" w:rsidRDefault="008C76E0" w:rsidP="00945A7B">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 xml:space="preserve">սույն հավելվածի 3.3 կետին համապատասխան փոփոխությունների կատարման միասնական հայտ, եթե փոփոխություններից առնվազն մեկը II տիպի էական փոփոխություն է, </w:t>
      </w:r>
      <w:r w:rsidR="00C54D75">
        <w:rPr>
          <w:rFonts w:ascii="Sylfaen" w:hAnsi="Sylfaen"/>
          <w:sz w:val="24"/>
          <w:szCs w:val="24"/>
        </w:rPr>
        <w:t>և</w:t>
      </w:r>
      <w:r w:rsidRPr="003B2786">
        <w:rPr>
          <w:rFonts w:ascii="Sylfaen" w:hAnsi="Sylfaen"/>
          <w:sz w:val="24"/>
          <w:szCs w:val="24"/>
        </w:rPr>
        <w:t xml:space="preserve"> փոփոխություններից ոչ մեկը որպես գրանցման ընդլայնում հանդես չի գալիս.</w:t>
      </w:r>
    </w:p>
    <w:p w14:paraId="678893C1"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սույն հավելվածի 4.1.1 կետին համապատասխան փոփոխությունների կատարման միասնական հայտ, եթե փոփոխություններից առնվազն մեկը հանդես է գալիս որպես գրանցման ընդլայնում:</w:t>
      </w:r>
    </w:p>
    <w:p w14:paraId="7D9946F3" w14:textId="77777777" w:rsidR="008C76E0" w:rsidRPr="003B2786" w:rsidRDefault="008C76E0" w:rsidP="00593820">
      <w:pPr>
        <w:spacing w:after="160" w:line="360" w:lineRule="auto"/>
        <w:ind w:right="-1" w:firstLine="567"/>
        <w:jc w:val="both"/>
        <w:rPr>
          <w:rFonts w:ascii="Sylfaen" w:hAnsi="Sylfaen"/>
          <w:sz w:val="24"/>
          <w:szCs w:val="24"/>
        </w:rPr>
      </w:pPr>
    </w:p>
    <w:p w14:paraId="7C43D16F"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lastRenderedPageBreak/>
        <w:t>3.5. Սույն հավելվածի 3.1-3.3 կետերով նախատեսված ընթացակարգերի եզրափակման համար անհրաժեշտ միջոցները</w:t>
      </w:r>
    </w:p>
    <w:p w14:paraId="50C68496" w14:textId="77777777" w:rsidR="008C76E0" w:rsidRPr="003B2786" w:rsidRDefault="008C76E0" w:rsidP="00593820">
      <w:pPr>
        <w:tabs>
          <w:tab w:val="left" w:pos="1701"/>
        </w:tabs>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3.5.1.</w:t>
      </w:r>
      <w:r w:rsidRPr="003B2786">
        <w:rPr>
          <w:rFonts w:ascii="Sylfaen" w:hAnsi="Sylfaen"/>
          <w:spacing w:val="-4"/>
          <w:sz w:val="24"/>
          <w:szCs w:val="24"/>
        </w:rPr>
        <w:tab/>
        <w:t xml:space="preserve">Վկայակոչելով սույն բաժինը՝ </w:t>
      </w:r>
      <w:r w:rsidRPr="003B2786">
        <w:rPr>
          <w:rFonts w:ascii="Sylfaen" w:hAnsi="Sylfaen"/>
          <w:sz w:val="24"/>
          <w:szCs w:val="24"/>
        </w:rPr>
        <w:t>ռեֆերենտ</w:t>
      </w:r>
      <w:r w:rsidRPr="003B2786" w:rsidDel="00233C52">
        <w:rPr>
          <w:rFonts w:ascii="Sylfaen" w:hAnsi="Sylfaen"/>
          <w:spacing w:val="-4"/>
          <w:sz w:val="24"/>
          <w:szCs w:val="24"/>
        </w:rPr>
        <w:t xml:space="preserve"> </w:t>
      </w:r>
      <w:r w:rsidRPr="003B2786">
        <w:rPr>
          <w:rFonts w:ascii="Sylfaen" w:hAnsi="Sylfaen"/>
          <w:spacing w:val="-4"/>
          <w:sz w:val="24"/>
          <w:szCs w:val="24"/>
        </w:rPr>
        <w:t>պետության լիազորված մարմինը (փորձագիտական կազմակերպությունը) պետք է ձեռնարկի հետ</w:t>
      </w:r>
      <w:r w:rsidR="00C54D75">
        <w:rPr>
          <w:rFonts w:ascii="Sylfaen" w:hAnsi="Sylfaen"/>
          <w:spacing w:val="-4"/>
          <w:sz w:val="24"/>
          <w:szCs w:val="24"/>
        </w:rPr>
        <w:t>և</w:t>
      </w:r>
      <w:r w:rsidRPr="003B2786">
        <w:rPr>
          <w:rFonts w:ascii="Sylfaen" w:hAnsi="Sylfaen"/>
          <w:spacing w:val="-4"/>
          <w:sz w:val="24"/>
          <w:szCs w:val="24"/>
        </w:rPr>
        <w:t>յալ միջոցները՝</w:t>
      </w:r>
    </w:p>
    <w:p w14:paraId="6AD952AB"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հայտատուին ծանուցի փոփոխությունն ընդունելու (հաստատելու) կամ հաստատումը մերժելու մասին.</w:t>
      </w:r>
    </w:p>
    <w:p w14:paraId="2E4564B5"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փոփոխության հաստատումը մերժելու դեպքում հայտատուին ծանուցի այդպիսի որոշման հիմքերի մասին.</w:t>
      </w:r>
    </w:p>
    <w:p w14:paraId="37352D86"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անհրաժեշտության դեպքում սույն հավելվածի 4.2.1 ենթակետով սահմանված առավելագույն ժամկետներում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մարմինը պետք է փոփոխություններ կատարի 1.2.1 ենթակետի «բ» կետում նշված՝ գրանցման մասին որոշման մեջ՝ ընդունված փոփոխությանը համապատասխան:</w:t>
      </w:r>
    </w:p>
    <w:p w14:paraId="0E20493F" w14:textId="77777777" w:rsidR="008C76E0" w:rsidRPr="003B2786" w:rsidRDefault="008C76E0" w:rsidP="00593820">
      <w:pPr>
        <w:spacing w:after="160" w:line="360" w:lineRule="auto"/>
        <w:ind w:right="-1"/>
        <w:outlineLvl w:val="0"/>
        <w:rPr>
          <w:rFonts w:ascii="Sylfaen" w:hAnsi="Sylfaen"/>
          <w:sz w:val="24"/>
          <w:szCs w:val="24"/>
        </w:rPr>
      </w:pPr>
    </w:p>
    <w:p w14:paraId="07A6A804" w14:textId="77777777" w:rsidR="008C76E0" w:rsidRPr="003B2786" w:rsidRDefault="008C76E0" w:rsidP="00593820">
      <w:pPr>
        <w:spacing w:after="160" w:line="360" w:lineRule="auto"/>
        <w:ind w:right="-1"/>
        <w:jc w:val="center"/>
        <w:outlineLvl w:val="0"/>
        <w:rPr>
          <w:rFonts w:ascii="Sylfaen" w:hAnsi="Sylfaen"/>
          <w:sz w:val="24"/>
          <w:szCs w:val="24"/>
        </w:rPr>
      </w:pPr>
      <w:r w:rsidRPr="003B2786">
        <w:rPr>
          <w:rFonts w:ascii="Sylfaen" w:hAnsi="Sylfaen"/>
          <w:sz w:val="24"/>
          <w:szCs w:val="24"/>
        </w:rPr>
        <w:t>IV. Այլ ասպեկտներ</w:t>
      </w:r>
    </w:p>
    <w:p w14:paraId="1F8868CA" w14:textId="77777777" w:rsidR="008C76E0" w:rsidRPr="003B2786" w:rsidRDefault="008C76E0" w:rsidP="00593820">
      <w:pPr>
        <w:spacing w:after="160" w:line="360" w:lineRule="auto"/>
        <w:ind w:right="-1"/>
        <w:jc w:val="center"/>
        <w:rPr>
          <w:rFonts w:ascii="Sylfaen" w:hAnsi="Sylfaen"/>
          <w:sz w:val="24"/>
          <w:szCs w:val="24"/>
        </w:rPr>
      </w:pPr>
      <w:r w:rsidRPr="003B2786">
        <w:rPr>
          <w:rFonts w:ascii="Sylfaen" w:hAnsi="Sylfaen"/>
          <w:sz w:val="24"/>
          <w:szCs w:val="24"/>
        </w:rPr>
        <w:t>4.1. Հատուկ ընթացակարգեր</w:t>
      </w:r>
    </w:p>
    <w:p w14:paraId="4F28BDDC"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4.1.1.</w:t>
      </w:r>
      <w:r w:rsidRPr="003B2786">
        <w:rPr>
          <w:rFonts w:ascii="Sylfaen" w:hAnsi="Sylfaen"/>
          <w:sz w:val="24"/>
          <w:szCs w:val="24"/>
        </w:rPr>
        <w:tab/>
        <w:t>Գրանցման ընդլայնում։</w:t>
      </w:r>
    </w:p>
    <w:p w14:paraId="69088EC4"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Գրանցման ընդլայնման մասին հայտը պետք է ենթարկվի փորձաքննության՝ դեղապատրաստուկի գրանցման </w:t>
      </w:r>
      <w:r w:rsidR="00C54D75">
        <w:rPr>
          <w:rFonts w:ascii="Sylfaen" w:hAnsi="Sylfaen"/>
          <w:sz w:val="24"/>
          <w:szCs w:val="24"/>
        </w:rPr>
        <w:t>և</w:t>
      </w:r>
      <w:r w:rsidRPr="003B2786">
        <w:rPr>
          <w:rFonts w:ascii="Sylfaen" w:hAnsi="Sylfaen"/>
          <w:sz w:val="24"/>
          <w:szCs w:val="24"/>
        </w:rPr>
        <w:t xml:space="preserve"> փորձաքննության այն նույն ընթացակարգին համապատասխան, ինչին որ առաջնային գրանցումը, որին այն վերաբերում է Դեղամիջոցների գրանցման կանոնների V </w:t>
      </w:r>
      <w:r w:rsidR="00C54D75">
        <w:rPr>
          <w:rFonts w:ascii="Sylfaen" w:hAnsi="Sylfaen"/>
          <w:sz w:val="24"/>
          <w:szCs w:val="24"/>
        </w:rPr>
        <w:t>և</w:t>
      </w:r>
      <w:r w:rsidRPr="003B2786">
        <w:rPr>
          <w:rFonts w:ascii="Sylfaen" w:hAnsi="Sylfaen"/>
          <w:sz w:val="24"/>
          <w:szCs w:val="24"/>
        </w:rPr>
        <w:t xml:space="preserve"> VI բաժիններին համապատասխան:</w:t>
      </w:r>
    </w:p>
    <w:p w14:paraId="0859D9FC"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Գրանցման ընդլայնումը պետք է իրականացվի գրանցման այն ընթացակարգին համապատասխան, ինչին որ դեղապատրաստուկի գրանցման մասին առաջնային հայտը, որին այն վերաբերում է, կամ պետք է ներառվի նույն գրանցման դոսյեի մեջ: </w:t>
      </w:r>
    </w:p>
    <w:p w14:paraId="7A0C57C8"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4.1.2.</w:t>
      </w:r>
      <w:r w:rsidRPr="003B2786">
        <w:rPr>
          <w:rFonts w:ascii="Sylfaen" w:hAnsi="Sylfaen"/>
          <w:sz w:val="24"/>
          <w:szCs w:val="24"/>
        </w:rPr>
        <w:tab/>
        <w:t>Պարտականությունների բաշխման ընթացակարգը։</w:t>
      </w:r>
    </w:p>
    <w:p w14:paraId="46909F8C"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lastRenderedPageBreak/>
        <w:t xml:space="preserve">Սույն հավելվածի 1.7.1 ենթակետից </w:t>
      </w:r>
      <w:r w:rsidR="00C54D75">
        <w:rPr>
          <w:rFonts w:ascii="Sylfaen" w:hAnsi="Sylfaen"/>
          <w:sz w:val="24"/>
          <w:szCs w:val="24"/>
        </w:rPr>
        <w:t>և</w:t>
      </w:r>
      <w:r w:rsidRPr="003B2786">
        <w:rPr>
          <w:rFonts w:ascii="Sylfaen" w:hAnsi="Sylfaen"/>
          <w:sz w:val="24"/>
          <w:szCs w:val="24"/>
        </w:rPr>
        <w:t xml:space="preserve"> 2.2 ու 2.3 կետերից բացառման կարգով, եթե IB տիպի ոչ էական փոփոխությունը, II տիպի էական փոփոխությունը կամ սույն հավելվածի 1.7.2 ենթակետի երրորդ պարբերությամբ նախատեսված դեպքերում այն փոփոխությունների խումբը, որոնցով չի նախատեսվում գրանցման ընդլայնում, վերաբերում են դեղապատրաստուկների մի քանի գրանցման դոսյեների, որոնք պատկանում են մի</w:t>
      </w:r>
      <w:r w:rsidR="00C54D75">
        <w:rPr>
          <w:rFonts w:ascii="Sylfaen" w:hAnsi="Sylfaen"/>
          <w:sz w:val="24"/>
          <w:szCs w:val="24"/>
        </w:rPr>
        <w:t>և</w:t>
      </w:r>
      <w:r w:rsidRPr="003B2786">
        <w:rPr>
          <w:rFonts w:ascii="Sylfaen" w:hAnsi="Sylfaen"/>
          <w:sz w:val="24"/>
          <w:szCs w:val="24"/>
        </w:rPr>
        <w:t>նույն իրավատիրոջը, ապա այդպիսի գրանցման հավաստագրերի իրավատերն իրավունք ունի հետ</w:t>
      </w:r>
      <w:r w:rsidR="00C54D75">
        <w:rPr>
          <w:rFonts w:ascii="Sylfaen" w:hAnsi="Sylfaen"/>
          <w:sz w:val="24"/>
          <w:szCs w:val="24"/>
        </w:rPr>
        <w:t>և</w:t>
      </w:r>
      <w:r w:rsidRPr="003B2786">
        <w:rPr>
          <w:rFonts w:ascii="Sylfaen" w:hAnsi="Sylfaen"/>
          <w:sz w:val="24"/>
          <w:szCs w:val="24"/>
        </w:rPr>
        <w:t>ելու սույն ենթակետով սահմանված ընթացակարգին:</w:t>
      </w:r>
    </w:p>
    <w:p w14:paraId="35459C7F"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Սույն ենթակետի նպատակներով «ռեֆերենտ մարմին» ասելով հասկանում ենք շահագրգիռ անդամ պետության լիազորված մարմին, որը նշանակվել է Փորձագիտական կոմիտեի կողմից՝ հաշվի առնելով իրավատիրոջ առաջարկությունները: </w:t>
      </w:r>
    </w:p>
    <w:p w14:paraId="4A91776C"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Հայտատուն միաժամանակ բոլոր համապատասխան մարմիններին է ներկայացնում փոփոխությունների կատարման հայտ, որը պարունակում է IV լրացման մեջ թվարկված տարրերը՝ առաջարկող ռեֆերենտ մարմնի նշմամբ: </w:t>
      </w:r>
    </w:p>
    <w:p w14:paraId="499F486B"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Եթե փոփոխությունների կատարման հայտը բավարարում է նշված պահանջներին, ապա Փորձագիտական կոմիտեն նշանակում է ռեֆերենտ</w:t>
      </w:r>
      <w:r w:rsidRPr="003B2786" w:rsidDel="00F27E2E">
        <w:rPr>
          <w:rFonts w:ascii="Sylfaen" w:hAnsi="Sylfaen"/>
          <w:sz w:val="24"/>
          <w:szCs w:val="24"/>
        </w:rPr>
        <w:t xml:space="preserve"> </w:t>
      </w:r>
      <w:r w:rsidRPr="003B2786">
        <w:rPr>
          <w:rFonts w:ascii="Sylfaen" w:hAnsi="Sylfaen"/>
          <w:sz w:val="24"/>
          <w:szCs w:val="24"/>
        </w:rPr>
        <w:t xml:space="preserve">մարմին, </w:t>
      </w:r>
      <w:r w:rsidR="00C54D75">
        <w:rPr>
          <w:rFonts w:ascii="Sylfaen" w:hAnsi="Sylfaen"/>
          <w:sz w:val="24"/>
          <w:szCs w:val="24"/>
        </w:rPr>
        <w:t>և</w:t>
      </w:r>
      <w:r w:rsidRPr="003B2786">
        <w:rPr>
          <w:rFonts w:ascii="Sylfaen" w:hAnsi="Sylfaen"/>
          <w:sz w:val="24"/>
          <w:szCs w:val="24"/>
        </w:rPr>
        <w:t xml:space="preserve"> այդ մարմինը պետք է հաստատի փոփոխությունների կատարման վավեր հայտի ստացումը:</w:t>
      </w:r>
    </w:p>
    <w:p w14:paraId="7EAA1712"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Եթե ընտրված ռեֆերենտ</w:t>
      </w:r>
      <w:r w:rsidRPr="003B2786" w:rsidDel="00F27E2E">
        <w:rPr>
          <w:rFonts w:ascii="Sylfaen" w:hAnsi="Sylfaen"/>
          <w:sz w:val="24"/>
          <w:szCs w:val="24"/>
        </w:rPr>
        <w:t xml:space="preserve"> </w:t>
      </w:r>
      <w:r w:rsidRPr="003B2786">
        <w:rPr>
          <w:rFonts w:ascii="Sylfaen" w:hAnsi="Sylfaen"/>
          <w:sz w:val="24"/>
          <w:szCs w:val="24"/>
        </w:rPr>
        <w:t>մարմինը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մարմինն է, որը չի գրանցել հայտում ներառված բոլոր դեղապատրաստուկները, ապա Փորձագիտական կոմիտեն իրավունք ունի դիմելու այլ համապատասխան մարմնի՝ փոփոխությունների կատարման այդպիսի հայտի փորձաքննության գործում ռեֆերենտ</w:t>
      </w:r>
      <w:r w:rsidRPr="003B2786" w:rsidDel="00F27E2E">
        <w:rPr>
          <w:rFonts w:ascii="Sylfaen" w:hAnsi="Sylfaen"/>
          <w:sz w:val="24"/>
          <w:szCs w:val="24"/>
        </w:rPr>
        <w:t xml:space="preserve"> </w:t>
      </w:r>
      <w:r w:rsidRPr="003B2786">
        <w:rPr>
          <w:rFonts w:ascii="Sylfaen" w:hAnsi="Sylfaen"/>
          <w:sz w:val="24"/>
          <w:szCs w:val="24"/>
        </w:rPr>
        <w:t xml:space="preserve">մարմնին օժանդակելու համար: </w:t>
      </w:r>
    </w:p>
    <w:p w14:paraId="5E440473"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IB տիպի ոչ էական փոփոխությունների </w:t>
      </w:r>
      <w:r w:rsidR="00C54D75">
        <w:rPr>
          <w:rFonts w:ascii="Sylfaen" w:hAnsi="Sylfaen"/>
          <w:sz w:val="24"/>
          <w:szCs w:val="24"/>
        </w:rPr>
        <w:t>և</w:t>
      </w:r>
      <w:r w:rsidRPr="003B2786">
        <w:rPr>
          <w:rFonts w:ascii="Sylfaen" w:hAnsi="Sylfaen"/>
          <w:sz w:val="24"/>
          <w:szCs w:val="24"/>
        </w:rPr>
        <w:t xml:space="preserve"> II տիպի էական փոփոխությունների դեպքում ռեֆերենտ</w:t>
      </w:r>
      <w:r w:rsidRPr="003B2786" w:rsidDel="00F27E2E">
        <w:rPr>
          <w:rFonts w:ascii="Sylfaen" w:hAnsi="Sylfaen"/>
          <w:sz w:val="24"/>
          <w:szCs w:val="24"/>
        </w:rPr>
        <w:t xml:space="preserve"> </w:t>
      </w:r>
      <w:r w:rsidRPr="003B2786">
        <w:rPr>
          <w:rFonts w:ascii="Sylfaen" w:hAnsi="Sylfaen"/>
          <w:sz w:val="24"/>
          <w:szCs w:val="24"/>
        </w:rPr>
        <w:t xml:space="preserve">մարմինը փոփոխությունների կատարման վավեր հայտի ստացումը հաստատելու օրվանից 60 օրացուցային օրվա ընթացքում եզրակացություն է կազմում փոփոխությունների կատարման </w:t>
      </w:r>
      <w:r w:rsidRPr="003B2786">
        <w:rPr>
          <w:rFonts w:ascii="Sylfaen" w:hAnsi="Sylfaen"/>
          <w:sz w:val="24"/>
          <w:szCs w:val="24"/>
        </w:rPr>
        <w:lastRenderedPageBreak/>
        <w:t>վավեր հայտի վերաբերյալ:</w:t>
      </w:r>
    </w:p>
    <w:p w14:paraId="726B93CE"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Ռեֆերենտ</w:t>
      </w:r>
      <w:r w:rsidRPr="003B2786" w:rsidDel="00F27E2E">
        <w:rPr>
          <w:rFonts w:ascii="Sylfaen" w:hAnsi="Sylfaen"/>
          <w:sz w:val="24"/>
          <w:szCs w:val="24"/>
        </w:rPr>
        <w:t xml:space="preserve"> </w:t>
      </w:r>
      <w:r w:rsidRPr="003B2786">
        <w:rPr>
          <w:rFonts w:ascii="Sylfaen" w:hAnsi="Sylfaen"/>
          <w:sz w:val="24"/>
          <w:szCs w:val="24"/>
        </w:rPr>
        <w:t>մարմինն իրավունք ունի կրճատելու նշված ժամկետը՝ հաշվի առնելով հարցի հրատապությունը, կամ այն երկարաձգելու մինչ</w:t>
      </w:r>
      <w:r w:rsidR="00C54D75">
        <w:rPr>
          <w:rFonts w:ascii="Sylfaen" w:hAnsi="Sylfaen"/>
          <w:sz w:val="24"/>
          <w:szCs w:val="24"/>
        </w:rPr>
        <w:t>և</w:t>
      </w:r>
      <w:r w:rsidRPr="003B2786">
        <w:rPr>
          <w:rFonts w:ascii="Sylfaen" w:hAnsi="Sylfaen"/>
          <w:sz w:val="24"/>
          <w:szCs w:val="24"/>
        </w:rPr>
        <w:t xml:space="preserve"> 90 օրացուցային օր՝ կիրառման հաստատված ցուցումների ձ</w:t>
      </w:r>
      <w:r w:rsidR="00C54D75">
        <w:rPr>
          <w:rFonts w:ascii="Sylfaen" w:hAnsi="Sylfaen"/>
          <w:sz w:val="24"/>
          <w:szCs w:val="24"/>
        </w:rPr>
        <w:t>և</w:t>
      </w:r>
      <w:r w:rsidRPr="003B2786">
        <w:rPr>
          <w:rFonts w:ascii="Sylfaen" w:hAnsi="Sylfaen"/>
          <w:sz w:val="24"/>
          <w:szCs w:val="24"/>
        </w:rPr>
        <w:t xml:space="preserve">ափոխման առումով փոփոխություններ կատարելու կամ կիրառման նոր ցուցումներ ներառելու առնչությամբ: </w:t>
      </w:r>
    </w:p>
    <w:p w14:paraId="2412327C"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Նշված ժամկետի ընթացքում ռեֆերենտ</w:t>
      </w:r>
      <w:r w:rsidRPr="003B2786" w:rsidDel="00F27E2E">
        <w:rPr>
          <w:rFonts w:ascii="Sylfaen" w:hAnsi="Sylfaen"/>
          <w:sz w:val="24"/>
          <w:szCs w:val="24"/>
        </w:rPr>
        <w:t xml:space="preserve"> </w:t>
      </w:r>
      <w:r w:rsidRPr="003B2786">
        <w:rPr>
          <w:rFonts w:ascii="Sylfaen" w:hAnsi="Sylfaen"/>
          <w:sz w:val="24"/>
          <w:szCs w:val="24"/>
        </w:rPr>
        <w:t>մարմինն իրավունք ունի հայտատուից պահանջելու, որ վերջինս այդ ռեֆերենտ</w:t>
      </w:r>
      <w:r w:rsidRPr="003B2786" w:rsidDel="00F27E2E">
        <w:rPr>
          <w:rFonts w:ascii="Sylfaen" w:hAnsi="Sylfaen"/>
          <w:sz w:val="24"/>
          <w:szCs w:val="24"/>
        </w:rPr>
        <w:t xml:space="preserve"> </w:t>
      </w:r>
      <w:r w:rsidRPr="003B2786">
        <w:rPr>
          <w:rFonts w:ascii="Sylfaen" w:hAnsi="Sylfaen"/>
          <w:sz w:val="24"/>
          <w:szCs w:val="24"/>
        </w:rPr>
        <w:t>մարմնի կողմից սահմանված ժամկետներում տրամադրի լրացուցիչ տվյալներ: Այդ դեպքում՝</w:t>
      </w:r>
    </w:p>
    <w:p w14:paraId="69278135"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F27E2E">
        <w:rPr>
          <w:rFonts w:ascii="Sylfaen" w:hAnsi="Sylfaen"/>
          <w:sz w:val="24"/>
          <w:szCs w:val="24"/>
        </w:rPr>
        <w:t xml:space="preserve"> </w:t>
      </w:r>
      <w:r w:rsidRPr="003B2786">
        <w:rPr>
          <w:rFonts w:ascii="Sylfaen" w:hAnsi="Sylfaen"/>
          <w:sz w:val="24"/>
          <w:szCs w:val="24"/>
        </w:rPr>
        <w:t xml:space="preserve">մարմինը պետք է լրացուցիչ տեղեկությունների՝ իր հարցման մասին ծանուցի մնացած համապատասխան մարմիններին. </w:t>
      </w:r>
    </w:p>
    <w:p w14:paraId="2B94B701"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մինչ</w:t>
      </w:r>
      <w:r w:rsidR="00C54D75">
        <w:rPr>
          <w:rFonts w:ascii="Sylfaen" w:hAnsi="Sylfaen"/>
          <w:sz w:val="24"/>
          <w:szCs w:val="24"/>
        </w:rPr>
        <w:t>և</w:t>
      </w:r>
      <w:r w:rsidRPr="003B2786">
        <w:rPr>
          <w:rFonts w:ascii="Sylfaen" w:hAnsi="Sylfaen"/>
          <w:sz w:val="24"/>
          <w:szCs w:val="24"/>
        </w:rPr>
        <w:t xml:space="preserve"> այդպիսի լրացուցիչ տեղեկություններ ներկայացնելը ընթացակարգը կասեցվում է.</w:t>
      </w:r>
    </w:p>
    <w:p w14:paraId="033D78A9"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233C52">
        <w:rPr>
          <w:rFonts w:ascii="Sylfaen" w:hAnsi="Sylfaen"/>
          <w:sz w:val="24"/>
          <w:szCs w:val="24"/>
        </w:rPr>
        <w:t xml:space="preserve"> </w:t>
      </w:r>
      <w:r w:rsidRPr="003B2786">
        <w:rPr>
          <w:rFonts w:ascii="Sylfaen" w:hAnsi="Sylfaen"/>
          <w:sz w:val="24"/>
          <w:szCs w:val="24"/>
        </w:rPr>
        <w:t>պետությունն իրավունք ունի երկարաձգելու սահմանված ժամկետը:</w:t>
      </w:r>
    </w:p>
    <w:p w14:paraId="684A8FF5"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Ռեֆերենտ</w:t>
      </w:r>
      <w:r w:rsidRPr="003B2786" w:rsidDel="00F27E2E">
        <w:rPr>
          <w:rFonts w:ascii="Sylfaen" w:hAnsi="Sylfaen"/>
          <w:sz w:val="24"/>
          <w:szCs w:val="24"/>
        </w:rPr>
        <w:t xml:space="preserve"> </w:t>
      </w:r>
      <w:r w:rsidRPr="003B2786">
        <w:rPr>
          <w:rFonts w:ascii="Sylfaen" w:hAnsi="Sylfaen"/>
          <w:sz w:val="24"/>
          <w:szCs w:val="24"/>
        </w:rPr>
        <w:t xml:space="preserve">մարմինը վավեր հայտի մասին իր եզրակացությունը պետք է ուղարկի հայտատուին </w:t>
      </w:r>
      <w:r w:rsidR="00C54D75">
        <w:rPr>
          <w:rFonts w:ascii="Sylfaen" w:hAnsi="Sylfaen"/>
          <w:sz w:val="24"/>
          <w:szCs w:val="24"/>
        </w:rPr>
        <w:t>և</w:t>
      </w:r>
      <w:r w:rsidRPr="003B2786">
        <w:rPr>
          <w:rFonts w:ascii="Sylfaen" w:hAnsi="Sylfaen"/>
          <w:sz w:val="24"/>
          <w:szCs w:val="24"/>
        </w:rPr>
        <w:t xml:space="preserve"> մյուս լիազորված մարմիններին, </w:t>
      </w:r>
      <w:r w:rsidR="00C54D75">
        <w:rPr>
          <w:rFonts w:ascii="Sylfaen" w:hAnsi="Sylfaen"/>
          <w:sz w:val="24"/>
          <w:szCs w:val="24"/>
        </w:rPr>
        <w:t>և</w:t>
      </w:r>
      <w:r w:rsidRPr="003B2786">
        <w:rPr>
          <w:rFonts w:ascii="Sylfaen" w:hAnsi="Sylfaen"/>
          <w:sz w:val="24"/>
          <w:szCs w:val="24"/>
        </w:rPr>
        <w:t xml:space="preserve"> եզրակացությունն ստանալու օրվանից 30 օրացուցային օրվա ընթացքում համապատասխան մարմինները պետք է հաստատեն այդ եզրակացությունը, ծանուցեն ռեֆերենտ</w:t>
      </w:r>
      <w:r w:rsidRPr="003B2786" w:rsidDel="00F27E2E">
        <w:rPr>
          <w:rFonts w:ascii="Sylfaen" w:hAnsi="Sylfaen"/>
          <w:sz w:val="24"/>
          <w:szCs w:val="24"/>
        </w:rPr>
        <w:t xml:space="preserve"> </w:t>
      </w:r>
      <w:r w:rsidRPr="003B2786">
        <w:rPr>
          <w:rFonts w:ascii="Sylfaen" w:hAnsi="Sylfaen"/>
          <w:sz w:val="24"/>
          <w:szCs w:val="24"/>
        </w:rPr>
        <w:t xml:space="preserve">մարմնին </w:t>
      </w:r>
      <w:r w:rsidR="00C54D75">
        <w:rPr>
          <w:rFonts w:ascii="Sylfaen" w:hAnsi="Sylfaen"/>
          <w:sz w:val="24"/>
          <w:szCs w:val="24"/>
        </w:rPr>
        <w:t>և</w:t>
      </w:r>
      <w:r w:rsidRPr="003B2786">
        <w:rPr>
          <w:rFonts w:ascii="Sylfaen" w:hAnsi="Sylfaen"/>
          <w:sz w:val="24"/>
          <w:szCs w:val="24"/>
        </w:rPr>
        <w:t xml:space="preserve"> համապատասխան ձ</w:t>
      </w:r>
      <w:r w:rsidR="00C54D75">
        <w:rPr>
          <w:rFonts w:ascii="Sylfaen" w:hAnsi="Sylfaen"/>
          <w:sz w:val="24"/>
          <w:szCs w:val="24"/>
        </w:rPr>
        <w:t>և</w:t>
      </w:r>
      <w:r w:rsidRPr="003B2786">
        <w:rPr>
          <w:rFonts w:ascii="Sylfaen" w:hAnsi="Sylfaen"/>
          <w:sz w:val="24"/>
          <w:szCs w:val="24"/>
        </w:rPr>
        <w:t xml:space="preserve">ով փոփոխեն դիտարկվող գրանցման դոսյեները: </w:t>
      </w:r>
    </w:p>
    <w:p w14:paraId="0F819C6D"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Փոփոխությունների կատարման հայտի վալիդության վավերացման </w:t>
      </w:r>
      <w:r w:rsidR="00C54D75">
        <w:rPr>
          <w:rFonts w:ascii="Sylfaen" w:hAnsi="Sylfaen"/>
          <w:sz w:val="24"/>
          <w:szCs w:val="24"/>
        </w:rPr>
        <w:t>և</w:t>
      </w:r>
      <w:r w:rsidRPr="003B2786">
        <w:rPr>
          <w:rFonts w:ascii="Sylfaen" w:hAnsi="Sylfaen"/>
          <w:sz w:val="24"/>
          <w:szCs w:val="24"/>
        </w:rPr>
        <w:t xml:space="preserve"> փոփոխությունների կատարման հայտի վերաբերյալ եզրակացություն կազմելու նպատակով շահագրգիռ պետությունները ռեֆերենտ</w:t>
      </w:r>
      <w:r w:rsidRPr="003B2786" w:rsidDel="00F27E2E">
        <w:rPr>
          <w:rFonts w:ascii="Sylfaen" w:hAnsi="Sylfaen"/>
          <w:sz w:val="24"/>
          <w:szCs w:val="24"/>
        </w:rPr>
        <w:t xml:space="preserve"> </w:t>
      </w:r>
      <w:r w:rsidRPr="003B2786">
        <w:rPr>
          <w:rFonts w:ascii="Sylfaen" w:hAnsi="Sylfaen"/>
          <w:sz w:val="24"/>
          <w:szCs w:val="24"/>
        </w:rPr>
        <w:t>մարմնի հարցմամբ պետք է ներկայացնեն տեղեկություններ, որոնք վերաբերում են գրանցման դոսյեների մեջ ներառված փոփոխություններին:</w:t>
      </w:r>
    </w:p>
    <w:p w14:paraId="7A5AB3B9"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4.1.3.</w:t>
      </w:r>
      <w:r w:rsidRPr="003B2786">
        <w:rPr>
          <w:rFonts w:ascii="Sylfaen" w:hAnsi="Sylfaen"/>
          <w:sz w:val="24"/>
          <w:szCs w:val="24"/>
        </w:rPr>
        <w:tab/>
        <w:t>Գրիպի համավարակային իրավիճակ։</w:t>
      </w:r>
    </w:p>
    <w:p w14:paraId="04ADADE8"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lastRenderedPageBreak/>
        <w:t xml:space="preserve">I, II </w:t>
      </w:r>
      <w:r w:rsidR="00C54D75">
        <w:rPr>
          <w:rFonts w:ascii="Sylfaen" w:hAnsi="Sylfaen"/>
          <w:sz w:val="24"/>
          <w:szCs w:val="24"/>
        </w:rPr>
        <w:t>և</w:t>
      </w:r>
      <w:r w:rsidRPr="003B2786">
        <w:rPr>
          <w:rFonts w:ascii="Sylfaen" w:hAnsi="Sylfaen"/>
          <w:sz w:val="24"/>
          <w:szCs w:val="24"/>
        </w:rPr>
        <w:t xml:space="preserve"> III բաժիններից բացառման կարգով Առողջապահության համաշխարհային կազմակերպության կամ Միության կողմից գրիպի համավարակային իրավիճակի ճանաչման դեպքում լիազորված մարմիններն իրավունք ունեն բացառման կարգով ժամանակավորապես ընդունելու մարդու մոտ գրիպի կանխարգելման համար նախատեսված պատվաստանյութի գրանցման պայմանների փոփոխություններ՝ որոշակի նախակլինիկական կամ կլինիկական տվյալների բացակայության դեպքում: </w:t>
      </w:r>
    </w:p>
    <w:p w14:paraId="15F54DC3"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Սույն հավելվածի 1-ին մասի համաձայն փոփոխությունն ընդունելու դեպքում հայտատուն պետք է համապատասխան մարմնի կողմից հաստատված առավելագույն ժամկետում տրամադրի բացակայող նախակլինիկական </w:t>
      </w:r>
      <w:r w:rsidR="00C54D75">
        <w:rPr>
          <w:rFonts w:ascii="Sylfaen" w:hAnsi="Sylfaen"/>
          <w:sz w:val="24"/>
          <w:szCs w:val="24"/>
        </w:rPr>
        <w:t>և</w:t>
      </w:r>
      <w:r w:rsidRPr="003B2786">
        <w:rPr>
          <w:rFonts w:ascii="Sylfaen" w:hAnsi="Sylfaen"/>
          <w:sz w:val="24"/>
          <w:szCs w:val="24"/>
        </w:rPr>
        <w:t xml:space="preserve"> կլինիկական տվյալները: </w:t>
      </w:r>
    </w:p>
    <w:p w14:paraId="7EB4F951" w14:textId="77777777" w:rsidR="008C76E0" w:rsidRPr="003B2786" w:rsidRDefault="008C76E0" w:rsidP="00593820">
      <w:pPr>
        <w:tabs>
          <w:tab w:val="left" w:pos="1701"/>
        </w:tabs>
        <w:spacing w:after="160" w:line="360" w:lineRule="auto"/>
        <w:ind w:firstLine="567"/>
        <w:jc w:val="both"/>
        <w:rPr>
          <w:rFonts w:ascii="Sylfaen" w:hAnsi="Sylfaen"/>
          <w:sz w:val="24"/>
          <w:szCs w:val="24"/>
        </w:rPr>
      </w:pPr>
      <w:r w:rsidRPr="003B2786">
        <w:rPr>
          <w:rFonts w:ascii="Sylfaen" w:hAnsi="Sylfaen"/>
          <w:sz w:val="24"/>
          <w:szCs w:val="24"/>
        </w:rPr>
        <w:t>4.1.4.</w:t>
      </w:r>
      <w:r w:rsidRPr="003B2786">
        <w:rPr>
          <w:rFonts w:ascii="Sylfaen" w:hAnsi="Sylfaen"/>
          <w:sz w:val="24"/>
          <w:szCs w:val="24"/>
        </w:rPr>
        <w:tab/>
        <w:t>Անվտանգության մասով անհետաձգելի սահմանափակումները։</w:t>
      </w:r>
    </w:p>
    <w:p w14:paraId="7FCDA390" w14:textId="77777777" w:rsidR="008C76E0" w:rsidRPr="003B2786" w:rsidRDefault="008C76E0" w:rsidP="00945A7B">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Եթե բժշկական կիրառման դեղապատրաստուկներով պայմանավորված բնակչության առողջության համար ռիսկի առաջացման դեպքում իրավատերն իր սեփական նախաձեռնությամբ դնում է անվտանգության մասով անհետաձգելի սահմանափակումներ, ապա նա պետք է այդ մասին անհապաղ ծանուցի անդամ պետությունների համապատասխան բոլոր մարմիններին:</w:t>
      </w:r>
    </w:p>
    <w:p w14:paraId="0F08D75B" w14:textId="77777777" w:rsidR="008C76E0" w:rsidRPr="003B2786" w:rsidRDefault="008C76E0" w:rsidP="00945A7B">
      <w:pPr>
        <w:tabs>
          <w:tab w:val="left" w:pos="1418"/>
        </w:tabs>
        <w:spacing w:after="160" w:line="384" w:lineRule="auto"/>
        <w:ind w:right="-1" w:firstLine="567"/>
        <w:jc w:val="both"/>
        <w:rPr>
          <w:rFonts w:ascii="Sylfaen" w:hAnsi="Sylfaen"/>
          <w:sz w:val="24"/>
          <w:szCs w:val="24"/>
        </w:rPr>
      </w:pPr>
      <w:r w:rsidRPr="003B2786">
        <w:rPr>
          <w:rFonts w:ascii="Sylfaen" w:hAnsi="Sylfaen"/>
          <w:sz w:val="24"/>
          <w:szCs w:val="24"/>
        </w:rPr>
        <w:t>Եթե նշված տեղեկություններն ստանալուց հետո՝ 24 ժամվա ընթացքում, լիազորված մարմինը առարկություն չի ուղարկում, ապա անվտանգության մասով անհետաձգելի սահմանափակումները համարվում են ընդունված:</w:t>
      </w:r>
    </w:p>
    <w:p w14:paraId="613A8444"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Բժշկական կիրառման դեղապատրաստուկներով պայմանավորված հանրային առողջության համար ռիսկի առաջացման դեպքում համապատասխան մարմիններն իրավունք ունեն իրավատիրոջ նկատմամբ կիրառելու անվտանգության մասով անհետաձգելի սահմանափակումներ:</w:t>
      </w:r>
    </w:p>
    <w:p w14:paraId="1CF1061D"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Իրավատիրոջ կողմից անվտանգության մասով անհետաձգելի սահմանափակում մտցնելու կամ համապատասխան մարմնի կողմից այն դնելու դեպքում իրավատերը պետք է այդպիսի սահմանափակումը կիրառել սկսելու </w:t>
      </w:r>
      <w:r w:rsidRPr="003B2786">
        <w:rPr>
          <w:rFonts w:ascii="Sylfaen" w:hAnsi="Sylfaen"/>
          <w:sz w:val="24"/>
          <w:szCs w:val="24"/>
        </w:rPr>
        <w:lastRenderedPageBreak/>
        <w:t>օրվանից 14 աշխատանքային օրվա ընթացքում լիազորված մարմնի (փորձագիտական կազմակերպության) գրանցման դոսյեի փոփոխության մասին համապատասխան հայտ ներկայացնի:</w:t>
      </w:r>
    </w:p>
    <w:p w14:paraId="65843F1B" w14:textId="77777777" w:rsidR="008C76E0" w:rsidRPr="003B2786" w:rsidRDefault="008C76E0" w:rsidP="00593820">
      <w:pPr>
        <w:spacing w:after="160" w:line="360" w:lineRule="auto"/>
        <w:ind w:right="-1" w:firstLine="567"/>
        <w:jc w:val="both"/>
        <w:rPr>
          <w:rFonts w:ascii="Sylfaen" w:hAnsi="Sylfaen"/>
          <w:sz w:val="24"/>
          <w:szCs w:val="24"/>
        </w:rPr>
      </w:pPr>
    </w:p>
    <w:p w14:paraId="1D75CDF8" w14:textId="77777777" w:rsidR="008C76E0" w:rsidRPr="003B2786" w:rsidRDefault="008C76E0" w:rsidP="00593820">
      <w:pPr>
        <w:spacing w:after="160" w:line="360" w:lineRule="auto"/>
        <w:ind w:left="567" w:right="566"/>
        <w:jc w:val="center"/>
        <w:rPr>
          <w:rFonts w:ascii="Sylfaen" w:hAnsi="Sylfaen"/>
          <w:sz w:val="24"/>
          <w:szCs w:val="24"/>
        </w:rPr>
      </w:pPr>
      <w:r w:rsidRPr="003B2786">
        <w:rPr>
          <w:rFonts w:ascii="Sylfaen" w:hAnsi="Sylfaen"/>
          <w:sz w:val="24"/>
          <w:szCs w:val="24"/>
        </w:rPr>
        <w:t xml:space="preserve">4.2. Դեղապատրաստուկի գրանցման փոփոխությունը </w:t>
      </w:r>
      <w:r w:rsidRPr="003B2786">
        <w:rPr>
          <w:rFonts w:ascii="Sylfaen" w:hAnsi="Sylfaen"/>
          <w:sz w:val="24"/>
          <w:szCs w:val="24"/>
        </w:rPr>
        <w:br/>
      </w:r>
      <w:r w:rsidR="00C54D75">
        <w:rPr>
          <w:rFonts w:ascii="Sylfaen" w:hAnsi="Sylfaen"/>
          <w:sz w:val="24"/>
          <w:szCs w:val="24"/>
        </w:rPr>
        <w:t>և</w:t>
      </w:r>
      <w:r w:rsidRPr="003B2786">
        <w:rPr>
          <w:rFonts w:ascii="Sylfaen" w:hAnsi="Sylfaen"/>
          <w:sz w:val="24"/>
          <w:szCs w:val="24"/>
        </w:rPr>
        <w:t xml:space="preserve"> դրա իրագործումը</w:t>
      </w:r>
    </w:p>
    <w:p w14:paraId="4B6B70CB"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4.2.1.</w:t>
      </w:r>
      <w:r w:rsidRPr="003B2786">
        <w:rPr>
          <w:rFonts w:ascii="Sylfaen" w:hAnsi="Sylfaen"/>
          <w:sz w:val="24"/>
          <w:szCs w:val="24"/>
        </w:rPr>
        <w:tab/>
        <w:t>Դեղապատրաստուկի գրանցման փոփոխությունը։</w:t>
      </w:r>
    </w:p>
    <w:p w14:paraId="73D30372"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Սույն հավելվածի II </w:t>
      </w:r>
      <w:r w:rsidR="00C54D75">
        <w:rPr>
          <w:rFonts w:ascii="Sylfaen" w:hAnsi="Sylfaen"/>
          <w:sz w:val="24"/>
          <w:szCs w:val="24"/>
        </w:rPr>
        <w:t>և</w:t>
      </w:r>
      <w:r w:rsidRPr="003B2786">
        <w:rPr>
          <w:rFonts w:ascii="Sylfaen" w:hAnsi="Sylfaen"/>
          <w:sz w:val="24"/>
          <w:szCs w:val="24"/>
        </w:rPr>
        <w:t xml:space="preserve"> III բաժիններով նախատեսված ընթացակարգերի արդյունքներով դեղապատրաստուկի գրանցման փոփոխությունը պետք է իրականացվի՝ </w:t>
      </w:r>
    </w:p>
    <w:p w14:paraId="0138153E" w14:textId="77777777" w:rsidR="008C76E0" w:rsidRPr="003B2786" w:rsidRDefault="008C76E0" w:rsidP="00593820">
      <w:pPr>
        <w:tabs>
          <w:tab w:val="left" w:pos="1418"/>
        </w:tabs>
        <w:spacing w:after="160" w:line="360" w:lineRule="auto"/>
        <w:ind w:right="-1" w:firstLine="567"/>
        <w:jc w:val="both"/>
        <w:rPr>
          <w:rFonts w:ascii="Sylfaen" w:hAnsi="Sylfaen"/>
          <w:spacing w:val="-4"/>
          <w:sz w:val="24"/>
          <w:szCs w:val="24"/>
        </w:rPr>
      </w:pPr>
      <w:r w:rsidRPr="003B2786">
        <w:rPr>
          <w:rFonts w:ascii="Sylfaen" w:hAnsi="Sylfaen"/>
          <w:spacing w:val="-4"/>
          <w:sz w:val="24"/>
          <w:szCs w:val="24"/>
        </w:rPr>
        <w:t xml:space="preserve">սույն հավելվածի 2.4.1 ենթակետի 4-րդ պարբերության </w:t>
      </w:r>
      <w:r w:rsidR="00C54D75">
        <w:rPr>
          <w:rFonts w:ascii="Sylfaen" w:hAnsi="Sylfaen"/>
          <w:spacing w:val="-4"/>
          <w:sz w:val="24"/>
          <w:szCs w:val="24"/>
        </w:rPr>
        <w:t>և</w:t>
      </w:r>
      <w:r w:rsidRPr="003B2786">
        <w:rPr>
          <w:rFonts w:ascii="Sylfaen" w:hAnsi="Sylfaen"/>
          <w:spacing w:val="-4"/>
          <w:sz w:val="24"/>
          <w:szCs w:val="24"/>
        </w:rPr>
        <w:t xml:space="preserve"> 3.5.1 ենթակետի 2-րդ պարբերության մեջ նշված տեղեկություններն ստանալուց հետո՝ 60 օրացուցային օրվա ընթացքում՝ II տիպի էական փոփոխությունների դեպքում դեղապատրաստուկի գրանցման դոսյեի փոփոխության համար անհրաժեշտ փաստաթղթերի ամբողջական փաթեթն անդամ պետությունների լիազորված մարմիններին (փորձագիտական կազմակերպություններին) տրամադրելու պայմանով.</w:t>
      </w:r>
    </w:p>
    <w:p w14:paraId="5F93A37E"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մյուս դեպքերում՝ 2.4.1 կետի 4-րդ պարբերության </w:t>
      </w:r>
      <w:r w:rsidR="00C54D75">
        <w:rPr>
          <w:rFonts w:ascii="Sylfaen" w:hAnsi="Sylfaen"/>
          <w:sz w:val="24"/>
          <w:szCs w:val="24"/>
        </w:rPr>
        <w:t>և</w:t>
      </w:r>
      <w:r w:rsidRPr="003B2786">
        <w:rPr>
          <w:rFonts w:ascii="Sylfaen" w:hAnsi="Sylfaen"/>
          <w:sz w:val="24"/>
          <w:szCs w:val="24"/>
        </w:rPr>
        <w:t xml:space="preserve"> 3.5.1 կետի 2-րդ պարբերության մեջ նշված տեղեկություններն ստանալուց հետո՝ 180 օրացուցային օրվա ընթացքում՝ գրանցման դոսյեի փոփոխության համար անհրաժեշտ փաստաթղթերը շահագրգիռ անդամ պետությունների լիազորված մարմիններին (փորձագիտական կազմակերպությունների) տրամադրելու պայմանով:</w:t>
      </w:r>
    </w:p>
    <w:p w14:paraId="3DF40CEA"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Սույն հավելվածի II, III </w:t>
      </w:r>
      <w:r w:rsidR="00C54D75">
        <w:rPr>
          <w:rFonts w:ascii="Sylfaen" w:hAnsi="Sylfaen"/>
          <w:sz w:val="24"/>
          <w:szCs w:val="24"/>
        </w:rPr>
        <w:t>և</w:t>
      </w:r>
      <w:r w:rsidRPr="003B2786">
        <w:rPr>
          <w:rFonts w:ascii="Sylfaen" w:hAnsi="Sylfaen"/>
          <w:sz w:val="24"/>
          <w:szCs w:val="24"/>
        </w:rPr>
        <w:t xml:space="preserve"> IV բաժիններով նախատեսված ընթացակարգերից մեկի հետ</w:t>
      </w:r>
      <w:r w:rsidR="00C54D75">
        <w:rPr>
          <w:rFonts w:ascii="Sylfaen" w:hAnsi="Sylfaen"/>
          <w:sz w:val="24"/>
          <w:szCs w:val="24"/>
        </w:rPr>
        <w:t>և</w:t>
      </w:r>
      <w:r w:rsidRPr="003B2786">
        <w:rPr>
          <w:rFonts w:ascii="Sylfaen" w:hAnsi="Sylfaen"/>
          <w:sz w:val="24"/>
          <w:szCs w:val="24"/>
        </w:rPr>
        <w:t>անքով դեղապատրաստուկի գրանցման մասին որոշման փոփոխության դեպքում անդամ պետության համապատասխան մարմինը պետք է գրանցման փոփոխության մասին անհապաղ ծանուցի հայտատուին:</w:t>
      </w:r>
    </w:p>
    <w:p w14:paraId="56A040C7"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4.2.2.</w:t>
      </w:r>
      <w:r w:rsidRPr="003B2786">
        <w:rPr>
          <w:rFonts w:ascii="Sylfaen" w:hAnsi="Sylfaen"/>
          <w:sz w:val="24"/>
          <w:szCs w:val="24"/>
        </w:rPr>
        <w:tab/>
        <w:t>Փոփոխությունների իրագործումը։</w:t>
      </w:r>
    </w:p>
    <w:p w14:paraId="5CE1EEFA"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lastRenderedPageBreak/>
        <w:t>IA տիպի ոչ էական փոփոխությունների իրագործումը թույլատրվում է ցանկացած ժամանակ՝ մինչ</w:t>
      </w:r>
      <w:r w:rsidR="00C54D75">
        <w:rPr>
          <w:rFonts w:ascii="Sylfaen" w:hAnsi="Sylfaen"/>
          <w:sz w:val="24"/>
          <w:szCs w:val="24"/>
        </w:rPr>
        <w:t>և</w:t>
      </w:r>
      <w:r w:rsidRPr="003B2786">
        <w:rPr>
          <w:rFonts w:ascii="Sylfaen" w:hAnsi="Sylfaen"/>
          <w:sz w:val="24"/>
          <w:szCs w:val="24"/>
        </w:rPr>
        <w:t xml:space="preserve"> սույն հավելվածի 2.1 </w:t>
      </w:r>
      <w:r w:rsidR="00C54D75">
        <w:rPr>
          <w:rFonts w:ascii="Sylfaen" w:hAnsi="Sylfaen"/>
          <w:sz w:val="24"/>
          <w:szCs w:val="24"/>
        </w:rPr>
        <w:t>և</w:t>
      </w:r>
      <w:r w:rsidRPr="003B2786">
        <w:rPr>
          <w:rFonts w:ascii="Sylfaen" w:hAnsi="Sylfaen"/>
          <w:sz w:val="24"/>
          <w:szCs w:val="24"/>
        </w:rPr>
        <w:t xml:space="preserve"> 3.1 կետերով նախատեսված ընթացակարգի եզրափակումը:</w:t>
      </w:r>
    </w:p>
    <w:p w14:paraId="6299E11B"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Եթե մեկ կամ մի քանի IA տիպի ոչ էական փոփոխություններին առնչվող ծանուցումը մերժվել է, ապա սույն հավելվածի 2.4.1 կետի 2-րդ պարբերության </w:t>
      </w:r>
      <w:r w:rsidR="00C54D75">
        <w:rPr>
          <w:rFonts w:ascii="Sylfaen" w:hAnsi="Sylfaen"/>
          <w:sz w:val="24"/>
          <w:szCs w:val="24"/>
        </w:rPr>
        <w:t>և</w:t>
      </w:r>
      <w:r w:rsidRPr="003B2786">
        <w:rPr>
          <w:rFonts w:ascii="Sylfaen" w:hAnsi="Sylfaen"/>
          <w:sz w:val="24"/>
          <w:szCs w:val="24"/>
        </w:rPr>
        <w:t xml:space="preserve"> 3.5.1 կետի 2-րդ պարբերության մեջ հիշատակված տեղեկություններն ստանալուց անմիջապես հետո հայտատուն պետք է դադարեցնի դիտարկվող փոփոխություններն իրագործելը:</w:t>
      </w:r>
    </w:p>
    <w:p w14:paraId="445DC56A"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IB տիպի ոչ էական փոփոխությունների իրագործումը թույլատրվում է միայն հետ</w:t>
      </w:r>
      <w:r w:rsidR="00C54D75">
        <w:rPr>
          <w:rFonts w:ascii="Sylfaen" w:hAnsi="Sylfaen"/>
          <w:sz w:val="24"/>
          <w:szCs w:val="24"/>
        </w:rPr>
        <w:t>և</w:t>
      </w:r>
      <w:r w:rsidRPr="003B2786">
        <w:rPr>
          <w:rFonts w:ascii="Sylfaen" w:hAnsi="Sylfaen"/>
          <w:sz w:val="24"/>
          <w:szCs w:val="24"/>
        </w:rPr>
        <w:t>յալ դեպքերում՝</w:t>
      </w:r>
    </w:p>
    <w:p w14:paraId="5C6B4FF8"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II բաժնով նախատեսված ընթացակարգերին համապատասխան՝ հայտատուի կողմից ներկայացված փոփոխությունների համար՝ ոչ շուտ, քան 2.2 կետի համաձայն լիազորված մարմնի (փորձագիտական կազմակերպության) կողմից ծանուցումն ընդունված լինելու մասին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մարմնի (փորձագիտական կազմակերպության) կողմից հայտատուին ծանուցելուց հետո, կամ եթե ծանուցումը համարվում է ընդունված՝ համաձայն 2.2.3 ենթակետի.</w:t>
      </w:r>
    </w:p>
    <w:p w14:paraId="1BE7BC7B"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III բաժնով նախատեսված ընթացակարգերին համապատասխան՝ հայտատուի կողմից ներկայացված փոփոխությունների համար՝ ոչ շուտ, քան 3.2 կետի համաձայն լիազորված մարմնի (փորձագիտական կազմակերպության) կողմից ծանուցումն ընդունված լինելու մասին համապատասխան մարմնի կողմից հայտատուին ծանուցելուց հետո, կամ եթե ծանուցումը համարվում է ընդունված՝ համաձայն 3.2.3 ենթակետի.</w:t>
      </w:r>
    </w:p>
    <w:p w14:paraId="243676EE" w14:textId="77777777" w:rsidR="008C76E0" w:rsidRPr="003B2786" w:rsidRDefault="008C76E0" w:rsidP="00593820">
      <w:pPr>
        <w:tabs>
          <w:tab w:val="left" w:pos="1701"/>
        </w:tabs>
        <w:spacing w:after="160" w:line="360" w:lineRule="auto"/>
        <w:ind w:right="-1" w:firstLine="567"/>
        <w:jc w:val="both"/>
        <w:rPr>
          <w:rFonts w:ascii="Sylfaen" w:hAnsi="Sylfaen"/>
          <w:sz w:val="24"/>
          <w:szCs w:val="24"/>
        </w:rPr>
      </w:pPr>
      <w:r w:rsidRPr="003B2786">
        <w:rPr>
          <w:rFonts w:ascii="Sylfaen" w:hAnsi="Sylfaen"/>
          <w:sz w:val="24"/>
          <w:szCs w:val="24"/>
        </w:rPr>
        <w:t>4.2.1</w:t>
      </w:r>
      <w:r w:rsidRPr="003B2786">
        <w:rPr>
          <w:rFonts w:ascii="Sylfaen" w:hAnsi="Sylfaen"/>
          <w:sz w:val="24"/>
          <w:szCs w:val="24"/>
        </w:rPr>
        <w:tab/>
        <w:t>ենթակետով նախատեսված ընթացակարգին համապատասխան՝ հայտատուի կողմից ներկայացված փոփոխությունների համար՝ ոչ շուտ, քան ռեֆերենտ</w:t>
      </w:r>
      <w:r w:rsidRPr="003B2786" w:rsidDel="00F27E2E">
        <w:rPr>
          <w:rFonts w:ascii="Sylfaen" w:hAnsi="Sylfaen"/>
          <w:sz w:val="24"/>
          <w:szCs w:val="24"/>
        </w:rPr>
        <w:t xml:space="preserve"> </w:t>
      </w:r>
      <w:r w:rsidRPr="003B2786">
        <w:rPr>
          <w:rFonts w:ascii="Sylfaen" w:hAnsi="Sylfaen"/>
          <w:sz w:val="24"/>
          <w:szCs w:val="24"/>
        </w:rPr>
        <w:t xml:space="preserve">մարմնի կողմից հայտատուին եզրակացության դրական լինելու մասին ծանուցելուց հետո: </w:t>
      </w:r>
    </w:p>
    <w:p w14:paraId="587D3D6F"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Դեղապատրաստուկի մասին տեղեկատվության վերանայմանը հանգեցնող </w:t>
      </w:r>
      <w:r w:rsidRPr="003B2786">
        <w:rPr>
          <w:rFonts w:ascii="Sylfaen" w:hAnsi="Sylfaen"/>
          <w:sz w:val="24"/>
          <w:szCs w:val="24"/>
        </w:rPr>
        <w:lastRenderedPageBreak/>
        <w:t>ցանկացած փոփոխության իրագործում թույլատրվում է գրանցման դոսյեի մեջ փոփոխություններ կատարելուց հետո` համաձայն սույն հավելվածի 1.6 կետի:</w:t>
      </w:r>
    </w:p>
    <w:p w14:paraId="57AAB546"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II տիպի էական փոփոխությունների իրագործումը թույլատրվում է միայն հետ</w:t>
      </w:r>
      <w:r w:rsidR="00C54D75">
        <w:rPr>
          <w:rFonts w:ascii="Sylfaen" w:hAnsi="Sylfaen"/>
          <w:sz w:val="24"/>
          <w:szCs w:val="24"/>
        </w:rPr>
        <w:t>և</w:t>
      </w:r>
      <w:r w:rsidRPr="003B2786">
        <w:rPr>
          <w:rFonts w:ascii="Sylfaen" w:hAnsi="Sylfaen"/>
          <w:sz w:val="24"/>
          <w:szCs w:val="24"/>
        </w:rPr>
        <w:t>յալ դեպքերում՝</w:t>
      </w:r>
    </w:p>
    <w:p w14:paraId="4AF91220" w14:textId="77777777" w:rsidR="008C76E0" w:rsidRPr="003B2786" w:rsidRDefault="008C76E0" w:rsidP="00945A7B">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II բաժնով նախատեսված ընթացակարգերին համապատասխան՝ հայտատուի կողմից ներկայացված փոփոխությունների համար՝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մարմնի (փորձագիտական կազմակերպության) կողմից հայտատուին այն մասին ծանուցելու օրվանից 30 օրացուցային օրվա ընթացքում, որ 2.3 կետի համաձայն փոփոխությունն ընդունվել է այն պայմանով, որ դեղապատրաստուկի գրանցման դոսյեի փոփոխության համար անհրաժեշտ փաստաթղթերը ներկայացվեն շահագրգիռ անդամ պետությունների համապատասխան մարմիններ: Եթե 2.6 կետին համապատասխան մեկնարկվել է համաձայնեցման ընթացակարգը, ապա հայտատուն մինչ</w:t>
      </w:r>
      <w:r w:rsidR="00C54D75">
        <w:rPr>
          <w:rFonts w:ascii="Sylfaen" w:hAnsi="Sylfaen"/>
          <w:sz w:val="24"/>
          <w:szCs w:val="24"/>
        </w:rPr>
        <w:t>և</w:t>
      </w:r>
      <w:r w:rsidRPr="003B2786">
        <w:rPr>
          <w:rFonts w:ascii="Sylfaen" w:hAnsi="Sylfaen"/>
          <w:sz w:val="24"/>
          <w:szCs w:val="24"/>
        </w:rPr>
        <w:t xml:space="preserve"> դիտարկվող փոփոխության առնչությամբ համաձայնեցման ընթացակարգի եզրափակումը չպետք է իրագործի փոփոխությունները.</w:t>
      </w:r>
    </w:p>
    <w:p w14:paraId="50392B58" w14:textId="77777777" w:rsidR="008C76E0" w:rsidRPr="003B2786" w:rsidRDefault="008C76E0" w:rsidP="00945A7B">
      <w:pPr>
        <w:tabs>
          <w:tab w:val="left" w:pos="1418"/>
        </w:tabs>
        <w:spacing w:after="160" w:line="384" w:lineRule="auto"/>
        <w:ind w:firstLine="567"/>
        <w:jc w:val="both"/>
        <w:rPr>
          <w:rFonts w:ascii="Sylfaen" w:hAnsi="Sylfaen"/>
          <w:sz w:val="24"/>
          <w:szCs w:val="24"/>
        </w:rPr>
      </w:pPr>
      <w:r w:rsidRPr="003B2786">
        <w:rPr>
          <w:rFonts w:ascii="Sylfaen" w:hAnsi="Sylfaen"/>
          <w:sz w:val="24"/>
          <w:szCs w:val="24"/>
        </w:rPr>
        <w:t>III բաժնով նախատեսված ընթացակարգերին համապատասխան՝ հայտատուի կողմից ներկայացված փոփոխությունների համար՝ համապատասխան մարմնի կողմից հայտատուին այն մասին ծանուցելուց հետո, որ փոփոխությունն ընդունվել է համաձայն 3.3 կետի.</w:t>
      </w:r>
    </w:p>
    <w:p w14:paraId="3C40A104" w14:textId="77777777" w:rsidR="008C76E0" w:rsidRPr="003B2786" w:rsidRDefault="008C76E0" w:rsidP="00945A7B">
      <w:pPr>
        <w:tabs>
          <w:tab w:val="left" w:pos="1701"/>
        </w:tabs>
        <w:spacing w:after="160" w:line="384" w:lineRule="auto"/>
        <w:ind w:firstLine="567"/>
        <w:jc w:val="both"/>
        <w:rPr>
          <w:rFonts w:ascii="Sylfaen" w:hAnsi="Sylfaen"/>
          <w:sz w:val="24"/>
          <w:szCs w:val="24"/>
        </w:rPr>
      </w:pPr>
      <w:r w:rsidRPr="003B2786">
        <w:rPr>
          <w:rFonts w:ascii="Sylfaen" w:hAnsi="Sylfaen"/>
          <w:sz w:val="24"/>
          <w:szCs w:val="24"/>
        </w:rPr>
        <w:t>4.1.2</w:t>
      </w:r>
      <w:r w:rsidRPr="003B2786">
        <w:rPr>
          <w:rFonts w:ascii="Sylfaen" w:hAnsi="Sylfaen"/>
          <w:sz w:val="24"/>
          <w:szCs w:val="24"/>
        </w:rPr>
        <w:tab/>
        <w:t>ենթակետով նախատեսված ընթացակարգին համապատասխան՝ հայտատուի կողմից ներկայացված փոփոխությունների համար՝ ռեֆերենտ</w:t>
      </w:r>
      <w:r w:rsidRPr="003B2786" w:rsidDel="00F27E2E">
        <w:rPr>
          <w:rFonts w:ascii="Sylfaen" w:hAnsi="Sylfaen"/>
          <w:sz w:val="24"/>
          <w:szCs w:val="24"/>
        </w:rPr>
        <w:t xml:space="preserve"> </w:t>
      </w:r>
      <w:r w:rsidRPr="003B2786">
        <w:rPr>
          <w:rFonts w:ascii="Sylfaen" w:hAnsi="Sylfaen"/>
          <w:sz w:val="24"/>
          <w:szCs w:val="24"/>
        </w:rPr>
        <w:t xml:space="preserve">մարմնի կողմից հայտատուին այն մասին ծանուցելու օրվանից 30 օրացուցային օրվա ընթացքում, որ եզրակացությունը դրական է այն պայմանով, որ դեղապատրաստուկի գրանցման դոսյեի փոփոխության համար անհրաժեշտ փաստաթղթերը ներկայացվեն շահագրգիռ անդամ պետություններ, եթե 2.6 կետին համապատասխան չի սկսվել համաձայնեցման ընթացակարգը: Եթե 2.6 կետին համապատասխան սկսվել է համաձայնեցման ընթացակարգը, ապա հայտատուն </w:t>
      </w:r>
      <w:r w:rsidRPr="003B2786">
        <w:rPr>
          <w:rFonts w:ascii="Sylfaen" w:hAnsi="Sylfaen"/>
          <w:sz w:val="24"/>
          <w:szCs w:val="24"/>
        </w:rPr>
        <w:lastRenderedPageBreak/>
        <w:t>չպետք է մինչ</w:t>
      </w:r>
      <w:r w:rsidR="00C54D75">
        <w:rPr>
          <w:rFonts w:ascii="Sylfaen" w:hAnsi="Sylfaen"/>
          <w:sz w:val="24"/>
          <w:szCs w:val="24"/>
        </w:rPr>
        <w:t>և</w:t>
      </w:r>
      <w:r w:rsidRPr="003B2786">
        <w:rPr>
          <w:rFonts w:ascii="Sylfaen" w:hAnsi="Sylfaen"/>
          <w:sz w:val="24"/>
          <w:szCs w:val="24"/>
        </w:rPr>
        <w:t xml:space="preserve"> փոփոխությունն ընդունելու վերաբերյալ համաձայնեցման ընթացակարգի եզրափակումն իրագործի փոփոխությունը:</w:t>
      </w:r>
    </w:p>
    <w:p w14:paraId="166DEC53"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Դեղապատրաստուկի մասին տեղեկատվության վերանայմանը հանգեցնող ցանկացած փոփոխության իրագործում թույլատրվում է գրանցման դոսյեի մեջ փոփոխություններ կատարելուց հետո` համաձայն սույն փաստաթղթի 1.6 կետի:</w:t>
      </w:r>
    </w:p>
    <w:p w14:paraId="120FE5C6" w14:textId="77777777" w:rsidR="008C76E0" w:rsidRPr="003B2786" w:rsidRDefault="008C76E0" w:rsidP="00593820">
      <w:pPr>
        <w:tabs>
          <w:tab w:val="left" w:pos="1418"/>
        </w:tabs>
        <w:spacing w:after="160" w:line="360" w:lineRule="auto"/>
        <w:ind w:firstLine="567"/>
        <w:jc w:val="both"/>
        <w:rPr>
          <w:rFonts w:ascii="Sylfaen" w:hAnsi="Sylfaen"/>
          <w:sz w:val="24"/>
          <w:szCs w:val="24"/>
        </w:rPr>
      </w:pPr>
      <w:r w:rsidRPr="003B2786">
        <w:rPr>
          <w:rFonts w:ascii="Sylfaen" w:hAnsi="Sylfaen"/>
          <w:sz w:val="24"/>
          <w:szCs w:val="24"/>
        </w:rPr>
        <w:t xml:space="preserve">Դեղապատրաստուկների գրանցման ընդլայնման իրագործումը թույլատրվում է միայն համապատասխան լիազորված մարմնի կողմից գրանցման մասին որոշումը փոխելուց </w:t>
      </w:r>
      <w:r w:rsidR="00C54D75">
        <w:rPr>
          <w:rFonts w:ascii="Sylfaen" w:hAnsi="Sylfaen"/>
          <w:sz w:val="24"/>
          <w:szCs w:val="24"/>
        </w:rPr>
        <w:t>և</w:t>
      </w:r>
      <w:r w:rsidRPr="003B2786">
        <w:rPr>
          <w:rFonts w:ascii="Sylfaen" w:hAnsi="Sylfaen"/>
          <w:sz w:val="24"/>
          <w:szCs w:val="24"/>
        </w:rPr>
        <w:t xml:space="preserve"> դրա մասին համապատասխանաբար հայտատուին ծանուցելուց հետո:</w:t>
      </w:r>
    </w:p>
    <w:p w14:paraId="06EEAA8F"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Անվտանգության մասով անհետաձգելի սահմանափակումների </w:t>
      </w:r>
      <w:r w:rsidR="00C54D75">
        <w:rPr>
          <w:rFonts w:ascii="Sylfaen" w:hAnsi="Sylfaen"/>
          <w:sz w:val="24"/>
          <w:szCs w:val="24"/>
        </w:rPr>
        <w:t>և</w:t>
      </w:r>
      <w:r w:rsidRPr="003B2786">
        <w:rPr>
          <w:rFonts w:ascii="Sylfaen" w:hAnsi="Sylfaen"/>
          <w:sz w:val="24"/>
          <w:szCs w:val="24"/>
        </w:rPr>
        <w:t xml:space="preserve"> անվտանգության հարցերին առնչվող փոփոխությունների իրագործումը թույլատրվում է հայտատուի </w:t>
      </w:r>
      <w:r w:rsidR="00C54D75">
        <w:rPr>
          <w:rFonts w:ascii="Sylfaen" w:hAnsi="Sylfaen"/>
          <w:sz w:val="24"/>
          <w:szCs w:val="24"/>
        </w:rPr>
        <w:t>և</w:t>
      </w:r>
      <w:r w:rsidRPr="003B2786">
        <w:rPr>
          <w:rFonts w:ascii="Sylfaen" w:hAnsi="Sylfaen"/>
          <w:sz w:val="24"/>
          <w:szCs w:val="24"/>
        </w:rPr>
        <w:t xml:space="preserve"> համապատասխան մարմնի միջ</w:t>
      </w:r>
      <w:r w:rsidR="00C54D75">
        <w:rPr>
          <w:rFonts w:ascii="Sylfaen" w:hAnsi="Sylfaen"/>
          <w:sz w:val="24"/>
          <w:szCs w:val="24"/>
        </w:rPr>
        <w:t>և</w:t>
      </w:r>
      <w:r w:rsidRPr="003B2786">
        <w:rPr>
          <w:rFonts w:ascii="Sylfaen" w:hAnsi="Sylfaen"/>
          <w:sz w:val="24"/>
          <w:szCs w:val="24"/>
        </w:rPr>
        <w:t xml:space="preserve"> համաձայնեցված ժամկետներում:</w:t>
      </w:r>
    </w:p>
    <w:p w14:paraId="0D11EA52" w14:textId="77777777" w:rsidR="008C76E0" w:rsidRPr="003B2786" w:rsidRDefault="008C76E0" w:rsidP="00593820">
      <w:pPr>
        <w:tabs>
          <w:tab w:val="left" w:pos="1418"/>
        </w:tabs>
        <w:spacing w:after="160" w:line="360" w:lineRule="auto"/>
        <w:ind w:right="-1" w:firstLine="567"/>
        <w:jc w:val="both"/>
        <w:rPr>
          <w:rFonts w:ascii="Sylfaen" w:hAnsi="Sylfaen"/>
          <w:sz w:val="24"/>
          <w:szCs w:val="24"/>
        </w:rPr>
      </w:pPr>
      <w:r w:rsidRPr="003B2786">
        <w:rPr>
          <w:rFonts w:ascii="Sylfaen" w:hAnsi="Sylfaen"/>
          <w:sz w:val="24"/>
          <w:szCs w:val="24"/>
        </w:rPr>
        <w:t xml:space="preserve">Բացառման կարգով անվտանգության մասով անհետաձգելի սահմանափակումների </w:t>
      </w:r>
      <w:r w:rsidR="00C54D75">
        <w:rPr>
          <w:rFonts w:ascii="Sylfaen" w:hAnsi="Sylfaen"/>
          <w:sz w:val="24"/>
          <w:szCs w:val="24"/>
        </w:rPr>
        <w:t>և</w:t>
      </w:r>
      <w:r w:rsidRPr="003B2786">
        <w:rPr>
          <w:rFonts w:ascii="Sylfaen" w:hAnsi="Sylfaen"/>
          <w:sz w:val="24"/>
          <w:szCs w:val="24"/>
        </w:rPr>
        <w:t xml:space="preserve"> անվտանգության հարցերին առնչվող փոփոխությունների իրագործումը թույլատրվում է մնացած համապատասխան մարմինների հետ խորհրդակցելուց հետո՝ իրավատիրոջ (հայտատուի) </w:t>
      </w:r>
      <w:r w:rsidR="00C54D75">
        <w:rPr>
          <w:rFonts w:ascii="Sylfaen" w:hAnsi="Sylfaen"/>
          <w:sz w:val="24"/>
          <w:szCs w:val="24"/>
        </w:rPr>
        <w:t>և</w:t>
      </w:r>
      <w:r w:rsidRPr="003B2786">
        <w:rPr>
          <w:rFonts w:ascii="Sylfaen" w:hAnsi="Sylfaen"/>
          <w:sz w:val="24"/>
          <w:szCs w:val="24"/>
        </w:rPr>
        <w:t xml:space="preserve"> ռեֆերենտ</w:t>
      </w:r>
      <w:r w:rsidRPr="003B2786" w:rsidDel="00233C52">
        <w:rPr>
          <w:rFonts w:ascii="Sylfaen" w:hAnsi="Sylfaen"/>
          <w:sz w:val="24"/>
          <w:szCs w:val="24"/>
        </w:rPr>
        <w:t xml:space="preserve"> </w:t>
      </w:r>
      <w:r w:rsidRPr="003B2786">
        <w:rPr>
          <w:rFonts w:ascii="Sylfaen" w:hAnsi="Sylfaen"/>
          <w:sz w:val="24"/>
          <w:szCs w:val="24"/>
        </w:rPr>
        <w:t>պետության լիազորված մարմնի միջ</w:t>
      </w:r>
      <w:r w:rsidR="00C54D75">
        <w:rPr>
          <w:rFonts w:ascii="Sylfaen" w:hAnsi="Sylfaen"/>
          <w:sz w:val="24"/>
          <w:szCs w:val="24"/>
        </w:rPr>
        <w:t>և</w:t>
      </w:r>
      <w:r w:rsidRPr="003B2786">
        <w:rPr>
          <w:rFonts w:ascii="Sylfaen" w:hAnsi="Sylfaen"/>
          <w:sz w:val="24"/>
          <w:szCs w:val="24"/>
        </w:rPr>
        <w:t xml:space="preserve"> համաձայնեցված ժամկետում:</w:t>
      </w:r>
    </w:p>
    <w:p w14:paraId="03571260" w14:textId="77777777" w:rsidR="008C76E0" w:rsidRPr="003B2786" w:rsidRDefault="008C76E0" w:rsidP="00593820">
      <w:pPr>
        <w:spacing w:after="160" w:line="360" w:lineRule="auto"/>
        <w:ind w:right="-1" w:firstLine="567"/>
        <w:jc w:val="both"/>
        <w:rPr>
          <w:rFonts w:ascii="Sylfaen" w:hAnsi="Sylfaen"/>
          <w:sz w:val="24"/>
          <w:szCs w:val="24"/>
        </w:rPr>
      </w:pPr>
    </w:p>
    <w:p w14:paraId="3E68A466" w14:textId="77777777" w:rsidR="008C76E0" w:rsidRPr="003B2786" w:rsidRDefault="008C76E0" w:rsidP="00593820">
      <w:pPr>
        <w:spacing w:after="160" w:line="360" w:lineRule="auto"/>
        <w:ind w:right="-1"/>
        <w:jc w:val="center"/>
        <w:outlineLvl w:val="0"/>
        <w:rPr>
          <w:rFonts w:ascii="Sylfaen" w:hAnsi="Sylfaen"/>
          <w:sz w:val="24"/>
          <w:szCs w:val="24"/>
        </w:rPr>
      </w:pPr>
      <w:r w:rsidRPr="003B2786">
        <w:rPr>
          <w:rFonts w:ascii="Sylfaen" w:hAnsi="Sylfaen"/>
          <w:sz w:val="24"/>
          <w:szCs w:val="24"/>
        </w:rPr>
        <w:t>V. Եզրափակիչ դրույթներ</w:t>
      </w:r>
    </w:p>
    <w:p w14:paraId="4F77A762" w14:textId="77777777" w:rsidR="008C76E0" w:rsidRPr="003B2786" w:rsidRDefault="008C76E0" w:rsidP="00593820">
      <w:pPr>
        <w:spacing w:after="160" w:line="360" w:lineRule="auto"/>
        <w:ind w:right="-1"/>
        <w:jc w:val="center"/>
        <w:outlineLvl w:val="0"/>
        <w:rPr>
          <w:rFonts w:ascii="Sylfaen" w:hAnsi="Sylfaen"/>
          <w:sz w:val="24"/>
          <w:szCs w:val="24"/>
        </w:rPr>
      </w:pPr>
    </w:p>
    <w:p w14:paraId="3C5D3BA2" w14:textId="77777777" w:rsidR="008C76E0" w:rsidRPr="003B2786" w:rsidRDefault="008C76E0" w:rsidP="00593820">
      <w:pPr>
        <w:spacing w:after="160" w:line="360" w:lineRule="auto"/>
        <w:ind w:right="-1"/>
        <w:jc w:val="center"/>
        <w:rPr>
          <w:rFonts w:ascii="Sylfaen" w:hAnsi="Sylfaen"/>
          <w:sz w:val="24"/>
          <w:szCs w:val="24"/>
        </w:rPr>
      </w:pPr>
      <w:r w:rsidRPr="003B2786">
        <w:rPr>
          <w:rFonts w:ascii="Sylfaen" w:hAnsi="Sylfaen"/>
          <w:sz w:val="24"/>
          <w:szCs w:val="24"/>
        </w:rPr>
        <w:t>5.1. Շարունակական մոնիթորինգ</w:t>
      </w:r>
    </w:p>
    <w:p w14:paraId="5FC5984E" w14:textId="77777777" w:rsidR="008C76E0" w:rsidRPr="003B2786" w:rsidRDefault="008C76E0" w:rsidP="00593820">
      <w:pPr>
        <w:spacing w:after="160" w:line="360" w:lineRule="auto"/>
        <w:ind w:right="-1" w:firstLine="567"/>
        <w:jc w:val="both"/>
        <w:rPr>
          <w:rFonts w:ascii="Sylfaen" w:hAnsi="Sylfaen"/>
          <w:sz w:val="24"/>
          <w:szCs w:val="24"/>
        </w:rPr>
      </w:pPr>
      <w:r w:rsidRPr="003B2786">
        <w:rPr>
          <w:rFonts w:ascii="Sylfaen" w:hAnsi="Sylfaen"/>
          <w:sz w:val="24"/>
          <w:szCs w:val="24"/>
        </w:rPr>
        <w:t>Համապատասխան մարմնի հարցմամբ հայտատուն պետք է անմիջապես ներկայացնի որոշակի փոփոխության իրագործմանը վերաբերող բոլոր տեղեկությունները:</w:t>
      </w:r>
    </w:p>
    <w:p w14:paraId="3A70DC1A" w14:textId="77777777" w:rsidR="008C76E0" w:rsidRPr="003B2786" w:rsidRDefault="008C76E0" w:rsidP="00593820">
      <w:pPr>
        <w:spacing w:after="160" w:line="360" w:lineRule="auto"/>
        <w:ind w:right="-1" w:firstLine="567"/>
        <w:jc w:val="both"/>
        <w:rPr>
          <w:rFonts w:ascii="Sylfaen" w:hAnsi="Sylfaen"/>
          <w:sz w:val="24"/>
          <w:szCs w:val="24"/>
        </w:rPr>
      </w:pPr>
    </w:p>
    <w:p w14:paraId="16B89D47" w14:textId="77777777" w:rsidR="008C76E0" w:rsidRPr="003B2786" w:rsidRDefault="008C76E0" w:rsidP="00593820">
      <w:pPr>
        <w:spacing w:after="160" w:line="360" w:lineRule="auto"/>
        <w:ind w:right="-1"/>
        <w:jc w:val="center"/>
        <w:rPr>
          <w:rFonts w:ascii="Sylfaen" w:hAnsi="Sylfaen"/>
          <w:sz w:val="24"/>
          <w:szCs w:val="24"/>
        </w:rPr>
      </w:pPr>
      <w:r w:rsidRPr="003B2786">
        <w:rPr>
          <w:rFonts w:ascii="Sylfaen" w:hAnsi="Sylfaen"/>
          <w:sz w:val="24"/>
          <w:szCs w:val="24"/>
        </w:rPr>
        <w:lastRenderedPageBreak/>
        <w:t>5.2.Սույն փաստաթղթի վերանայումը</w:t>
      </w:r>
    </w:p>
    <w:p w14:paraId="43765960" w14:textId="77777777" w:rsidR="008C76E0" w:rsidRPr="003B2786" w:rsidRDefault="008C76E0" w:rsidP="00593820">
      <w:pPr>
        <w:spacing w:after="160" w:line="360" w:lineRule="auto"/>
        <w:ind w:right="-1" w:firstLine="567"/>
        <w:jc w:val="both"/>
        <w:rPr>
          <w:rFonts w:ascii="Sylfaen" w:hAnsi="Sylfaen"/>
          <w:sz w:val="24"/>
          <w:szCs w:val="24"/>
        </w:rPr>
      </w:pPr>
      <w:r w:rsidRPr="003B2786">
        <w:rPr>
          <w:rFonts w:ascii="Sylfaen" w:hAnsi="Sylfaen"/>
          <w:sz w:val="24"/>
          <w:szCs w:val="24"/>
        </w:rPr>
        <w:t xml:space="preserve">Ոչ ուշ, քան Բժշկական կիրառման դեղամիջոցների գրանցման </w:t>
      </w:r>
      <w:r w:rsidR="00C54D75">
        <w:rPr>
          <w:rFonts w:ascii="Sylfaen" w:hAnsi="Sylfaen"/>
          <w:sz w:val="24"/>
          <w:szCs w:val="24"/>
        </w:rPr>
        <w:t>և</w:t>
      </w:r>
      <w:r w:rsidRPr="003B2786">
        <w:rPr>
          <w:rFonts w:ascii="Sylfaen" w:hAnsi="Sylfaen"/>
          <w:sz w:val="24"/>
          <w:szCs w:val="24"/>
        </w:rPr>
        <w:t xml:space="preserve"> փորձաքննության կանոններն ուժի մեջ մտնելու օրվանից 5 տարի հետո Դեղամիջոցների հարցերով փորձագիտական կոմիտեն պետք է գնահատի փոփոխությունների դասակարգման մասով սույն փաստաթղթի կիրառելիությունը ժամանակակից գիտական տվյալների հիման վրա արդիական վիճակը պահպանելու համար այնպիսի անհրաժեշտ փոփոխություններ առաջարկելու նպատակով, որոնք ուղղված են I </w:t>
      </w:r>
      <w:r w:rsidR="00C54D75">
        <w:rPr>
          <w:rFonts w:ascii="Sylfaen" w:hAnsi="Sylfaen"/>
          <w:sz w:val="24"/>
          <w:szCs w:val="24"/>
        </w:rPr>
        <w:t>և</w:t>
      </w:r>
      <w:r w:rsidRPr="003B2786">
        <w:rPr>
          <w:rFonts w:ascii="Sylfaen" w:hAnsi="Sylfaen"/>
          <w:sz w:val="24"/>
          <w:szCs w:val="24"/>
        </w:rPr>
        <w:t xml:space="preserve"> II լրացումների հարմարեցմանը:</w:t>
      </w:r>
    </w:p>
    <w:p w14:paraId="2E4F94A3" w14:textId="77777777" w:rsidR="008C76E0" w:rsidRPr="003B2786" w:rsidRDefault="008C76E0" w:rsidP="00593820">
      <w:pPr>
        <w:spacing w:after="160" w:line="360" w:lineRule="auto"/>
        <w:ind w:right="-1"/>
        <w:jc w:val="both"/>
        <w:rPr>
          <w:rFonts w:ascii="Sylfaen" w:eastAsia="Times New Roman" w:hAnsi="Sylfaen" w:cs="Times New Roman"/>
          <w:sz w:val="24"/>
          <w:szCs w:val="24"/>
        </w:rPr>
      </w:pPr>
      <w:r w:rsidRPr="003B2786">
        <w:rPr>
          <w:rFonts w:ascii="Sylfaen" w:hAnsi="Sylfaen"/>
          <w:sz w:val="24"/>
          <w:szCs w:val="24"/>
        </w:rPr>
        <w:br w:type="page"/>
      </w:r>
    </w:p>
    <w:p w14:paraId="3E06061C" w14:textId="77777777" w:rsidR="008C76E0" w:rsidRPr="003B2786" w:rsidRDefault="008C76E0" w:rsidP="00945A7B">
      <w:pPr>
        <w:spacing w:after="160" w:line="360" w:lineRule="auto"/>
        <w:ind w:right="-1"/>
        <w:jc w:val="center"/>
        <w:outlineLvl w:val="0"/>
        <w:rPr>
          <w:rFonts w:ascii="Sylfaen" w:hAnsi="Sylfaen"/>
          <w:sz w:val="24"/>
          <w:szCs w:val="24"/>
        </w:rPr>
      </w:pPr>
      <w:r w:rsidRPr="003B2786">
        <w:rPr>
          <w:rFonts w:ascii="Sylfaen" w:hAnsi="Sylfaen"/>
          <w:sz w:val="24"/>
          <w:szCs w:val="24"/>
        </w:rPr>
        <w:lastRenderedPageBreak/>
        <w:t>Լրացում I</w:t>
      </w:r>
    </w:p>
    <w:p w14:paraId="0825324C" w14:textId="77777777" w:rsidR="008C76E0" w:rsidRPr="003B2786" w:rsidRDefault="008C76E0" w:rsidP="00945A7B">
      <w:pPr>
        <w:spacing w:after="160" w:line="360" w:lineRule="auto"/>
        <w:ind w:right="-1"/>
        <w:jc w:val="center"/>
        <w:outlineLvl w:val="0"/>
        <w:rPr>
          <w:rFonts w:ascii="Sylfaen" w:hAnsi="Sylfaen"/>
          <w:sz w:val="24"/>
          <w:szCs w:val="24"/>
        </w:rPr>
      </w:pPr>
      <w:r w:rsidRPr="003B2786">
        <w:rPr>
          <w:rFonts w:ascii="Sylfaen" w:hAnsi="Sylfaen"/>
          <w:sz w:val="24"/>
          <w:szCs w:val="24"/>
        </w:rPr>
        <w:t>Գրանցման ընդլայնումը</w:t>
      </w:r>
    </w:p>
    <w:p w14:paraId="16074416"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Ակտիվ դեղագործական բաղադրամասերի փոփոխությունները՝</w:t>
      </w:r>
    </w:p>
    <w:p w14:paraId="2FCBB57E"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ա)</w:t>
      </w:r>
      <w:r w:rsidRPr="003B2786">
        <w:rPr>
          <w:rFonts w:ascii="Sylfaen" w:hAnsi="Sylfaen"/>
          <w:sz w:val="24"/>
          <w:szCs w:val="24"/>
        </w:rPr>
        <w:tab/>
        <w:t>քիմիական սինթեզի եղանակով ստացված ակտիվ դեղագործական բաղադրամասերի փոխարինումն այլ աղով (եթերով, համալիրով, ածանցյալով) ազդող նյութի մոլեկուլի մի</w:t>
      </w:r>
      <w:r w:rsidR="00C54D75">
        <w:rPr>
          <w:rFonts w:ascii="Sylfaen" w:hAnsi="Sylfaen"/>
          <w:sz w:val="24"/>
          <w:szCs w:val="24"/>
        </w:rPr>
        <w:t>և</w:t>
      </w:r>
      <w:r w:rsidRPr="003B2786">
        <w:rPr>
          <w:rFonts w:ascii="Sylfaen" w:hAnsi="Sylfaen"/>
          <w:sz w:val="24"/>
          <w:szCs w:val="24"/>
        </w:rPr>
        <w:t xml:space="preserve">նույն ակտիվ մասով՝ արդյունավետության </w:t>
      </w:r>
      <w:r w:rsidR="00C54D75">
        <w:rPr>
          <w:rFonts w:ascii="Sylfaen" w:hAnsi="Sylfaen"/>
          <w:sz w:val="24"/>
          <w:szCs w:val="24"/>
        </w:rPr>
        <w:t>և</w:t>
      </w:r>
      <w:r w:rsidRPr="003B2786">
        <w:rPr>
          <w:rFonts w:ascii="Sylfaen" w:hAnsi="Sylfaen"/>
          <w:sz w:val="24"/>
          <w:szCs w:val="24"/>
        </w:rPr>
        <w:t xml:space="preserve"> (կամ) անվտանգության մեջ էական տարբերությունների բացակայության դեպքում.</w:t>
      </w:r>
    </w:p>
    <w:p w14:paraId="34FE70C6"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բ)</w:t>
      </w:r>
      <w:r w:rsidRPr="003B2786">
        <w:rPr>
          <w:rFonts w:ascii="Sylfaen" w:hAnsi="Sylfaen"/>
          <w:sz w:val="24"/>
          <w:szCs w:val="24"/>
        </w:rPr>
        <w:tab/>
        <w:t xml:space="preserve">ակտիվ դեղագործական բաղադրամասի փոխարինումն այլ իզոմերով, իզոմերների այլ խառնուրդով, առանձին իզոմերների խառնուրդով (օրինակ՝ ռացեմատի փոխարինումը միակ էնանտիոմերով)՝ արդյունավետության </w:t>
      </w:r>
      <w:r w:rsidR="00C54D75">
        <w:rPr>
          <w:rFonts w:ascii="Sylfaen" w:hAnsi="Sylfaen"/>
          <w:sz w:val="24"/>
          <w:szCs w:val="24"/>
        </w:rPr>
        <w:t>և</w:t>
      </w:r>
      <w:r w:rsidRPr="003B2786">
        <w:rPr>
          <w:rFonts w:ascii="Sylfaen" w:hAnsi="Sylfaen"/>
          <w:sz w:val="24"/>
          <w:szCs w:val="24"/>
        </w:rPr>
        <w:t xml:space="preserve"> (կամ) անվտանգության մեջ էական տարբերությունների բացակայության դեպքում.</w:t>
      </w:r>
    </w:p>
    <w:p w14:paraId="20393925"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գ)</w:t>
      </w:r>
      <w:r w:rsidRPr="003B2786">
        <w:rPr>
          <w:rFonts w:ascii="Sylfaen" w:hAnsi="Sylfaen"/>
          <w:sz w:val="24"/>
          <w:szCs w:val="24"/>
        </w:rPr>
        <w:tab/>
        <w:t>ակտիվ կենսաբանական դեղագործական բաղադրամասի փոխարինումը մեկ այլ՝ փոքր-ինչ փոփոխված մոլեկուլային կառուցվածքով` արդյունավետության (կամ) անվտանգության մեջ էական տարբերությունների բացակայության դեպքում՝ բացառությամբ մարդու մոտ գրիպի կանխարգելման համար նախատեսված սեզոնային, նախահամավարակային կամ համավարակային պատվաստանյութի ակտիվ դեղագործական բաղադրամասի փոփոխությունների.</w:t>
      </w:r>
    </w:p>
    <w:p w14:paraId="4E51F26B"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դ)</w:t>
      </w:r>
      <w:r w:rsidRPr="003B2786">
        <w:rPr>
          <w:rFonts w:ascii="Sylfaen" w:hAnsi="Sylfaen"/>
          <w:sz w:val="24"/>
          <w:szCs w:val="24"/>
        </w:rPr>
        <w:tab/>
        <w:t>հակածին կամ ելանյութ ստանալու համար օգտագործվող վեկտորի ձ</w:t>
      </w:r>
      <w:r w:rsidR="00C54D75">
        <w:rPr>
          <w:rFonts w:ascii="Sylfaen" w:hAnsi="Sylfaen"/>
          <w:sz w:val="24"/>
          <w:szCs w:val="24"/>
        </w:rPr>
        <w:t>և</w:t>
      </w:r>
      <w:r w:rsidRPr="003B2786">
        <w:rPr>
          <w:rFonts w:ascii="Sylfaen" w:hAnsi="Sylfaen"/>
          <w:sz w:val="24"/>
          <w:szCs w:val="24"/>
        </w:rPr>
        <w:t xml:space="preserve">ափոխությունները՝ ներառյալ այլ աղբյուրի բջիջների նոր գլխավոր բանկը՝ արդյունավետության </w:t>
      </w:r>
      <w:r w:rsidR="00C54D75">
        <w:rPr>
          <w:rFonts w:ascii="Sylfaen" w:hAnsi="Sylfaen"/>
          <w:sz w:val="24"/>
          <w:szCs w:val="24"/>
        </w:rPr>
        <w:t>և</w:t>
      </w:r>
      <w:r w:rsidRPr="003B2786">
        <w:rPr>
          <w:rFonts w:ascii="Sylfaen" w:hAnsi="Sylfaen"/>
          <w:sz w:val="24"/>
          <w:szCs w:val="24"/>
        </w:rPr>
        <w:t xml:space="preserve"> (կամ) անվտանգության մեջ էական տարբերությունների բացակայության դեպքում.</w:t>
      </w:r>
    </w:p>
    <w:p w14:paraId="38CDD2A1"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ե)</w:t>
      </w:r>
      <w:r w:rsidRPr="003B2786">
        <w:rPr>
          <w:rFonts w:ascii="Sylfaen" w:hAnsi="Sylfaen"/>
          <w:sz w:val="24"/>
          <w:szCs w:val="24"/>
        </w:rPr>
        <w:tab/>
        <w:t xml:space="preserve">նոր լիգանդը կամ ռադիոդեղագործական դեղապատրաստուկի կապման մեխանիզմը` արդյունավետության </w:t>
      </w:r>
      <w:r w:rsidR="00C54D75">
        <w:rPr>
          <w:rFonts w:ascii="Sylfaen" w:hAnsi="Sylfaen"/>
          <w:sz w:val="24"/>
          <w:szCs w:val="24"/>
        </w:rPr>
        <w:t>և</w:t>
      </w:r>
      <w:r w:rsidRPr="003B2786">
        <w:rPr>
          <w:rFonts w:ascii="Sylfaen" w:hAnsi="Sylfaen"/>
          <w:sz w:val="24"/>
          <w:szCs w:val="24"/>
        </w:rPr>
        <w:t xml:space="preserve"> (կամ) անվտանգության մեջ էական տարբերությունների բացակայության դեպքում.</w:t>
      </w:r>
    </w:p>
    <w:p w14:paraId="4B164992"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զ)</w:t>
      </w:r>
      <w:r w:rsidRPr="003B2786">
        <w:rPr>
          <w:rFonts w:ascii="Sylfaen" w:hAnsi="Sylfaen"/>
          <w:sz w:val="24"/>
          <w:szCs w:val="24"/>
        </w:rPr>
        <w:tab/>
        <w:t xml:space="preserve">լուծահանող նյութի (էքստրագենտի) կամ բուսական հումքի </w:t>
      </w:r>
      <w:r w:rsidR="00C54D75">
        <w:rPr>
          <w:rFonts w:ascii="Sylfaen" w:hAnsi="Sylfaen"/>
          <w:sz w:val="24"/>
          <w:szCs w:val="24"/>
        </w:rPr>
        <w:t>և</w:t>
      </w:r>
      <w:r w:rsidRPr="003B2786">
        <w:rPr>
          <w:rFonts w:ascii="Sylfaen" w:hAnsi="Sylfaen"/>
          <w:sz w:val="24"/>
          <w:szCs w:val="24"/>
        </w:rPr>
        <w:t xml:space="preserve"> բուսական դեղագործական բաղադրամասի միջ</w:t>
      </w:r>
      <w:r w:rsidR="00C54D75">
        <w:rPr>
          <w:rFonts w:ascii="Sylfaen" w:hAnsi="Sylfaen"/>
          <w:sz w:val="24"/>
          <w:szCs w:val="24"/>
        </w:rPr>
        <w:t>և</w:t>
      </w:r>
      <w:r w:rsidRPr="003B2786">
        <w:rPr>
          <w:rFonts w:ascii="Sylfaen" w:hAnsi="Sylfaen"/>
          <w:sz w:val="24"/>
          <w:szCs w:val="24"/>
        </w:rPr>
        <w:t xml:space="preserve"> հարաբերակցության փոփոխությունը՝ </w:t>
      </w:r>
      <w:r w:rsidRPr="003B2786">
        <w:rPr>
          <w:rFonts w:ascii="Sylfaen" w:hAnsi="Sylfaen"/>
          <w:sz w:val="24"/>
          <w:szCs w:val="24"/>
        </w:rPr>
        <w:lastRenderedPageBreak/>
        <w:t xml:space="preserve">արդյունավետության </w:t>
      </w:r>
      <w:r w:rsidR="00C54D75">
        <w:rPr>
          <w:rFonts w:ascii="Sylfaen" w:hAnsi="Sylfaen"/>
          <w:sz w:val="24"/>
          <w:szCs w:val="24"/>
        </w:rPr>
        <w:t>և</w:t>
      </w:r>
      <w:r w:rsidRPr="003B2786">
        <w:rPr>
          <w:rFonts w:ascii="Sylfaen" w:hAnsi="Sylfaen"/>
          <w:sz w:val="24"/>
          <w:szCs w:val="24"/>
        </w:rPr>
        <w:t xml:space="preserve"> (կամ) անվտանգության մեջ էական տարբերությունների բացակայության դեպքում:</w:t>
      </w:r>
    </w:p>
    <w:p w14:paraId="31115323"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Դեղաչափի, դեղաձ</w:t>
      </w:r>
      <w:r w:rsidR="00C54D75">
        <w:rPr>
          <w:rFonts w:ascii="Sylfaen" w:hAnsi="Sylfaen"/>
          <w:sz w:val="24"/>
          <w:szCs w:val="24"/>
        </w:rPr>
        <w:t>և</w:t>
      </w:r>
      <w:r w:rsidRPr="003B2786">
        <w:rPr>
          <w:rFonts w:ascii="Sylfaen" w:hAnsi="Sylfaen"/>
          <w:sz w:val="24"/>
          <w:szCs w:val="24"/>
        </w:rPr>
        <w:t>ի կամ ներմուծման եղանակի փոփոխությունները՝</w:t>
      </w:r>
    </w:p>
    <w:p w14:paraId="00AF2B2D"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ա)</w:t>
      </w:r>
      <w:r w:rsidRPr="003B2786">
        <w:rPr>
          <w:rFonts w:ascii="Sylfaen" w:hAnsi="Sylfaen"/>
          <w:sz w:val="24"/>
          <w:szCs w:val="24"/>
        </w:rPr>
        <w:tab/>
        <w:t>կենսամատչելիության փոփոխություն.</w:t>
      </w:r>
    </w:p>
    <w:p w14:paraId="5B181F6F"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բ)</w:t>
      </w:r>
      <w:r w:rsidRPr="003B2786">
        <w:rPr>
          <w:rFonts w:ascii="Sylfaen" w:hAnsi="Sylfaen"/>
          <w:sz w:val="24"/>
          <w:szCs w:val="24"/>
        </w:rPr>
        <w:tab/>
        <w:t>դեղակինետիկայի, օրինակ՝ ձերբազատման արագության փոփոխություն.</w:t>
      </w:r>
    </w:p>
    <w:p w14:paraId="477AC71B"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գ)</w:t>
      </w:r>
      <w:r w:rsidRPr="003B2786">
        <w:rPr>
          <w:rFonts w:ascii="Sylfaen" w:hAnsi="Sylfaen"/>
          <w:sz w:val="24"/>
          <w:szCs w:val="24"/>
        </w:rPr>
        <w:tab/>
        <w:t>դեղաչափի փոփոխություն կամ նոր դեղաչափի (ակտիվության) ավելացում.</w:t>
      </w:r>
    </w:p>
    <w:p w14:paraId="4C353DAF"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դ)</w:t>
      </w:r>
      <w:r w:rsidRPr="003B2786">
        <w:rPr>
          <w:rFonts w:ascii="Sylfaen" w:hAnsi="Sylfaen"/>
          <w:sz w:val="24"/>
          <w:szCs w:val="24"/>
        </w:rPr>
        <w:tab/>
        <w:t>դեղաձ</w:t>
      </w:r>
      <w:r w:rsidR="00C54D75">
        <w:rPr>
          <w:rFonts w:ascii="Sylfaen" w:hAnsi="Sylfaen"/>
          <w:sz w:val="24"/>
          <w:szCs w:val="24"/>
        </w:rPr>
        <w:t>և</w:t>
      </w:r>
      <w:r w:rsidRPr="003B2786">
        <w:rPr>
          <w:rFonts w:ascii="Sylfaen" w:hAnsi="Sylfaen"/>
          <w:sz w:val="24"/>
          <w:szCs w:val="24"/>
        </w:rPr>
        <w:t>ի փոփոխություն կամ նոր դեղաձ</w:t>
      </w:r>
      <w:r w:rsidR="00C54D75">
        <w:rPr>
          <w:rFonts w:ascii="Sylfaen" w:hAnsi="Sylfaen"/>
          <w:sz w:val="24"/>
          <w:szCs w:val="24"/>
        </w:rPr>
        <w:t>և</w:t>
      </w:r>
      <w:r w:rsidRPr="003B2786">
        <w:rPr>
          <w:rFonts w:ascii="Sylfaen" w:hAnsi="Sylfaen"/>
          <w:sz w:val="24"/>
          <w:szCs w:val="24"/>
        </w:rPr>
        <w:t>ի ավելացում.</w:t>
      </w:r>
    </w:p>
    <w:p w14:paraId="318C4B7A"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ե)</w:t>
      </w:r>
      <w:r w:rsidRPr="003B2786">
        <w:rPr>
          <w:rFonts w:ascii="Sylfaen" w:hAnsi="Sylfaen"/>
          <w:sz w:val="24"/>
          <w:szCs w:val="24"/>
        </w:rPr>
        <w:tab/>
        <w:t xml:space="preserve">ներմուծման եղանակի փոփոխություն կամ նոր եղանակի ավելացում (պարէնտերալ ներմուծման դեպքում հարկավոր է տարբերակել ներզարկերակային, ներերակային, ներմկանային, ենթամաշկային </w:t>
      </w:r>
      <w:r w:rsidR="00C54D75">
        <w:rPr>
          <w:rFonts w:ascii="Sylfaen" w:hAnsi="Sylfaen"/>
          <w:sz w:val="24"/>
          <w:szCs w:val="24"/>
        </w:rPr>
        <w:t>և</w:t>
      </w:r>
      <w:r w:rsidRPr="003B2786">
        <w:rPr>
          <w:rFonts w:ascii="Sylfaen" w:hAnsi="Sylfaen"/>
          <w:sz w:val="24"/>
          <w:szCs w:val="24"/>
        </w:rPr>
        <w:t xml:space="preserve"> ներմուծման այլ եղանակներ):</w:t>
      </w:r>
    </w:p>
    <w:p w14:paraId="6E38462F" w14:textId="77777777" w:rsidR="008C76E0" w:rsidRPr="003B2786" w:rsidRDefault="008C76E0" w:rsidP="008C76E0">
      <w:pPr>
        <w:ind w:right="-1"/>
        <w:jc w:val="both"/>
        <w:rPr>
          <w:rFonts w:ascii="Sylfaen" w:eastAsia="Times New Roman" w:hAnsi="Sylfaen" w:cs="Times New Roman"/>
          <w:sz w:val="24"/>
          <w:szCs w:val="24"/>
        </w:rPr>
      </w:pPr>
      <w:r w:rsidRPr="003B2786">
        <w:rPr>
          <w:rFonts w:ascii="Sylfaen" w:hAnsi="Sylfaen"/>
          <w:sz w:val="24"/>
          <w:szCs w:val="24"/>
        </w:rPr>
        <w:br w:type="page"/>
      </w:r>
    </w:p>
    <w:p w14:paraId="7FE9621F" w14:textId="77777777" w:rsidR="008C76E0" w:rsidRPr="003B2786" w:rsidRDefault="008C76E0" w:rsidP="00945A7B">
      <w:pPr>
        <w:spacing w:after="160" w:line="360" w:lineRule="auto"/>
        <w:jc w:val="center"/>
        <w:outlineLvl w:val="0"/>
        <w:rPr>
          <w:rFonts w:ascii="Sylfaen" w:hAnsi="Sylfaen"/>
          <w:sz w:val="24"/>
          <w:szCs w:val="24"/>
        </w:rPr>
      </w:pPr>
      <w:r w:rsidRPr="003B2786">
        <w:rPr>
          <w:rFonts w:ascii="Sylfaen" w:hAnsi="Sylfaen"/>
          <w:sz w:val="24"/>
          <w:szCs w:val="24"/>
        </w:rPr>
        <w:lastRenderedPageBreak/>
        <w:t>Լրացում II</w:t>
      </w:r>
    </w:p>
    <w:p w14:paraId="37663294" w14:textId="77777777" w:rsidR="008C76E0" w:rsidRPr="003B2786" w:rsidRDefault="008C76E0" w:rsidP="00945A7B">
      <w:pPr>
        <w:spacing w:after="160" w:line="360" w:lineRule="auto"/>
        <w:jc w:val="center"/>
        <w:outlineLvl w:val="0"/>
        <w:rPr>
          <w:rFonts w:ascii="Sylfaen" w:hAnsi="Sylfaen"/>
          <w:sz w:val="24"/>
          <w:szCs w:val="24"/>
        </w:rPr>
      </w:pPr>
      <w:r w:rsidRPr="003B2786">
        <w:rPr>
          <w:rFonts w:ascii="Sylfaen" w:hAnsi="Sylfaen"/>
          <w:sz w:val="24"/>
          <w:szCs w:val="24"/>
        </w:rPr>
        <w:t>Փոփոխությունների դասակարգումը</w:t>
      </w:r>
    </w:p>
    <w:p w14:paraId="66AF2038"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Հարկավոր է որպես IA տիպի ոչ էական փոփոխություն դասակարգել հետ</w:t>
      </w:r>
      <w:r w:rsidR="00C54D75">
        <w:rPr>
          <w:rFonts w:ascii="Sylfaen" w:hAnsi="Sylfaen"/>
          <w:sz w:val="24"/>
          <w:szCs w:val="24"/>
        </w:rPr>
        <w:t>և</w:t>
      </w:r>
      <w:r w:rsidRPr="003B2786">
        <w:rPr>
          <w:rFonts w:ascii="Sylfaen" w:hAnsi="Sylfaen"/>
          <w:sz w:val="24"/>
          <w:szCs w:val="24"/>
        </w:rPr>
        <w:t>յալ փոփոխությունները.</w:t>
      </w:r>
    </w:p>
    <w:p w14:paraId="6773F6FB"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ա)</w:t>
      </w:r>
      <w:r w:rsidRPr="003B2786">
        <w:rPr>
          <w:rFonts w:ascii="Sylfaen" w:hAnsi="Sylfaen"/>
          <w:sz w:val="24"/>
          <w:szCs w:val="24"/>
        </w:rPr>
        <w:tab/>
        <w:t>բացառապես վարչական բնույթի փոփոխություններ, որոնք վերաբերում են հետ</w:t>
      </w:r>
      <w:r w:rsidR="00C54D75">
        <w:rPr>
          <w:rFonts w:ascii="Sylfaen" w:hAnsi="Sylfaen"/>
          <w:sz w:val="24"/>
          <w:szCs w:val="24"/>
        </w:rPr>
        <w:t>և</w:t>
      </w:r>
      <w:r w:rsidRPr="003B2786">
        <w:rPr>
          <w:rFonts w:ascii="Sylfaen" w:hAnsi="Sylfaen"/>
          <w:sz w:val="24"/>
          <w:szCs w:val="24"/>
        </w:rPr>
        <w:t>յալի անվանմանն ու կոնտակտային տվյալներին՝</w:t>
      </w:r>
    </w:p>
    <w:p w14:paraId="66D6F7F0" w14:textId="77777777" w:rsidR="008C76E0" w:rsidRPr="003B2786" w:rsidRDefault="008C76E0" w:rsidP="00945A7B">
      <w:pPr>
        <w:tabs>
          <w:tab w:val="left" w:pos="993"/>
        </w:tabs>
        <w:spacing w:after="160" w:line="360" w:lineRule="auto"/>
        <w:ind w:firstLine="567"/>
        <w:jc w:val="both"/>
        <w:rPr>
          <w:rFonts w:ascii="Sylfaen" w:hAnsi="Sylfaen"/>
          <w:sz w:val="24"/>
          <w:szCs w:val="24"/>
        </w:rPr>
      </w:pPr>
      <w:r w:rsidRPr="003B2786">
        <w:rPr>
          <w:rFonts w:ascii="Sylfaen" w:hAnsi="Sylfaen"/>
          <w:sz w:val="24"/>
          <w:szCs w:val="24"/>
        </w:rPr>
        <w:t xml:space="preserve">իրավատիրոջ, հայտատուի, իրավատիրոջ ներկայացուցչի </w:t>
      </w:r>
      <w:r w:rsidR="00C54D75">
        <w:rPr>
          <w:rFonts w:ascii="Sylfaen" w:hAnsi="Sylfaen"/>
          <w:sz w:val="24"/>
          <w:szCs w:val="24"/>
        </w:rPr>
        <w:t>և</w:t>
      </w:r>
      <w:r w:rsidRPr="003B2786">
        <w:rPr>
          <w:rFonts w:ascii="Sylfaen" w:hAnsi="Sylfaen"/>
          <w:sz w:val="24"/>
          <w:szCs w:val="24"/>
        </w:rPr>
        <w:t xml:space="preserve"> այլն.</w:t>
      </w:r>
    </w:p>
    <w:p w14:paraId="5FF29C96" w14:textId="77777777" w:rsidR="008C76E0" w:rsidRPr="003B2786" w:rsidRDefault="008C76E0" w:rsidP="00945A7B">
      <w:pPr>
        <w:tabs>
          <w:tab w:val="left" w:pos="993"/>
        </w:tabs>
        <w:spacing w:after="160" w:line="360" w:lineRule="auto"/>
        <w:ind w:firstLine="567"/>
        <w:jc w:val="both"/>
        <w:rPr>
          <w:rFonts w:ascii="Sylfaen" w:hAnsi="Sylfaen"/>
          <w:sz w:val="24"/>
          <w:szCs w:val="24"/>
        </w:rPr>
      </w:pPr>
      <w:r w:rsidRPr="003B2786">
        <w:rPr>
          <w:rFonts w:ascii="Sylfaen" w:hAnsi="Sylfaen"/>
          <w:sz w:val="24"/>
          <w:szCs w:val="24"/>
        </w:rPr>
        <w:t xml:space="preserve">արտադրության գործընթացում օգտագործվող կամ դեղապատրաստուկի մեջ պարունակվող ցանկացած ելանյութի, ռեակտիվի, միջանկյալ արտադրանքի, ակտիվ դեղագործական բաղադրամասի արտադրողի կամ մատակարարի. </w:t>
      </w:r>
    </w:p>
    <w:p w14:paraId="796DFDA1"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բ)</w:t>
      </w:r>
      <w:r w:rsidRPr="003B2786">
        <w:rPr>
          <w:rFonts w:ascii="Sylfaen" w:hAnsi="Sylfaen"/>
          <w:sz w:val="24"/>
          <w:szCs w:val="24"/>
        </w:rPr>
        <w:tab/>
        <w:t>որ</w:t>
      </w:r>
      <w:r w:rsidR="00C54D75">
        <w:rPr>
          <w:rFonts w:ascii="Sylfaen" w:hAnsi="Sylfaen"/>
          <w:sz w:val="24"/>
          <w:szCs w:val="24"/>
        </w:rPr>
        <w:t>և</w:t>
      </w:r>
      <w:r w:rsidRPr="003B2786">
        <w:rPr>
          <w:rFonts w:ascii="Sylfaen" w:hAnsi="Sylfaen"/>
          <w:sz w:val="24"/>
          <w:szCs w:val="24"/>
        </w:rPr>
        <w:t>է արտադրական հարթակի, այդ թվում՝ ակտիվ դեղագործական բաղադրամասի, միջանկյալ արտադրանքի կամ դեղապատրաստուկի, փաթեթավորողի, սերիայի բացթողման համար պատասխանատու արտադրողի, բացթողման որակի հսկողություն իրականացնող արտադրական հարթակի բացառման հիմքում ընկած փոփոխություններ.</w:t>
      </w:r>
    </w:p>
    <w:p w14:paraId="0BA81336"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գ)</w:t>
      </w:r>
      <w:r w:rsidRPr="003B2786">
        <w:rPr>
          <w:rFonts w:ascii="Sylfaen" w:hAnsi="Sylfaen"/>
          <w:sz w:val="24"/>
          <w:szCs w:val="24"/>
        </w:rPr>
        <w:tab/>
        <w:t xml:space="preserve">հաստատված ֆիզիկաքիմիական վերլուծական մեթոդիկաների ոչ էական փոփոխություն հանդիսացող փոփոխություններ, եթե հաստատված է, որ թարմացված մեթոդիկան առնվազն համարժեք է նախկինում օգտագործված մեթոդիկային, անցկացվել է պատշաճ վալիդացում, </w:t>
      </w:r>
      <w:r w:rsidR="00C54D75">
        <w:rPr>
          <w:rFonts w:ascii="Sylfaen" w:hAnsi="Sylfaen"/>
          <w:sz w:val="24"/>
          <w:szCs w:val="24"/>
        </w:rPr>
        <w:t>և</w:t>
      </w:r>
      <w:r w:rsidRPr="003B2786">
        <w:rPr>
          <w:rFonts w:ascii="Sylfaen" w:hAnsi="Sylfaen"/>
          <w:sz w:val="24"/>
          <w:szCs w:val="24"/>
        </w:rPr>
        <w:t xml:space="preserve"> դրա արդյունքները վկայում են այն մասին, որ թարմացված վերլուծական մեթոդիկան առնվազն համարժեք է նախորդին (փոխարինվողին).</w:t>
      </w:r>
    </w:p>
    <w:p w14:paraId="49F5ACB3"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դ)</w:t>
      </w:r>
      <w:r w:rsidRPr="003B2786">
        <w:rPr>
          <w:rFonts w:ascii="Sylfaen" w:hAnsi="Sylfaen"/>
          <w:sz w:val="24"/>
          <w:szCs w:val="24"/>
        </w:rPr>
        <w:tab/>
        <w:t xml:space="preserve">ակտիվ դեղագործական բաղադրամասի կամ օժանդակ նյութի մասնագրերի կամ դեղապատրաստուկի որակի նորմատիվ փաստաթղթի փոփոխություն հանդիսացող փոփոխություններ, որոնք իրականացվել են Միության դեղագրքի կամ անդամ պետության դեղագրքի համապատասխան թարմացված հոդվածին համապատասխանություն ապահովելու նպատակով, </w:t>
      </w:r>
    </w:p>
    <w:p w14:paraId="70EF1DB3"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lastRenderedPageBreak/>
        <w:t>եթե փոփոխությունն իրականացվել է բացառապես դեղագրքի պահանջներին համապատասխանությունն ապահովելու նպատակով, իսկ արտադրանքի մասնագրերի (որակի նորմատիվ փաստաթղթի) պարամետրերը չեն փոփոխվում.</w:t>
      </w:r>
    </w:p>
    <w:p w14:paraId="20535198"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ե)</w:t>
      </w:r>
      <w:r w:rsidRPr="003B2786">
        <w:rPr>
          <w:rFonts w:ascii="Sylfaen" w:hAnsi="Sylfaen"/>
          <w:sz w:val="24"/>
          <w:szCs w:val="24"/>
        </w:rPr>
        <w:tab/>
        <w:t>դեղապատրաստուկին չհպվող փաթեթավորման նյութի փոփոխում հանդիսացող փոփոխություններ, որոնք չեն ազդում դեղապատրաստուկի առաքման, կիրառման, անվտանգության կամ կայունության վրա.</w:t>
      </w:r>
    </w:p>
    <w:p w14:paraId="376DE78C"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զ)</w:t>
      </w:r>
      <w:r w:rsidRPr="003B2786">
        <w:rPr>
          <w:rFonts w:ascii="Sylfaen" w:hAnsi="Sylfaen"/>
          <w:sz w:val="24"/>
          <w:szCs w:val="24"/>
        </w:rPr>
        <w:tab/>
        <w:t>մասնագրի կամ որակի նորմատիվ փաստաթղթի ընդունելիության չափանիշների խստացում հանդիսացող փոփոխություններ, եթե այդպիսի փոփոխությունները մասնագրի (որակի նորմատիվ փաստաթղթի) ընդունելիության չափանիշների վերլուծության նպատակով նախկինում անցկացված փորձաքննությունների արդյունքներով ընդունված որ</w:t>
      </w:r>
      <w:r w:rsidR="00C54D75">
        <w:rPr>
          <w:rFonts w:ascii="Sylfaen" w:hAnsi="Sylfaen"/>
          <w:sz w:val="24"/>
          <w:szCs w:val="24"/>
        </w:rPr>
        <w:t>և</w:t>
      </w:r>
      <w:r w:rsidRPr="003B2786">
        <w:rPr>
          <w:rFonts w:ascii="Sylfaen" w:hAnsi="Sylfaen"/>
          <w:sz w:val="24"/>
          <w:szCs w:val="24"/>
        </w:rPr>
        <w:t>է պարտավորության կամ արտադրության ընթացքում առաջացած անսպասելի իրավիճակի հետ</w:t>
      </w:r>
      <w:r w:rsidR="00C54D75">
        <w:rPr>
          <w:rFonts w:ascii="Sylfaen" w:hAnsi="Sylfaen"/>
          <w:sz w:val="24"/>
          <w:szCs w:val="24"/>
        </w:rPr>
        <w:t>և</w:t>
      </w:r>
      <w:r w:rsidRPr="003B2786">
        <w:rPr>
          <w:rFonts w:ascii="Sylfaen" w:hAnsi="Sylfaen"/>
          <w:sz w:val="24"/>
          <w:szCs w:val="24"/>
        </w:rPr>
        <w:t>անք չեն:</w:t>
      </w:r>
    </w:p>
    <w:p w14:paraId="0E58A999"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Հետ</w:t>
      </w:r>
      <w:r w:rsidR="00C54D75">
        <w:rPr>
          <w:rFonts w:ascii="Sylfaen" w:hAnsi="Sylfaen"/>
          <w:sz w:val="24"/>
          <w:szCs w:val="24"/>
        </w:rPr>
        <w:t>և</w:t>
      </w:r>
      <w:r w:rsidRPr="003B2786">
        <w:rPr>
          <w:rFonts w:ascii="Sylfaen" w:hAnsi="Sylfaen"/>
          <w:sz w:val="24"/>
          <w:szCs w:val="24"/>
        </w:rPr>
        <w:t>յալ փոփոխությունները հարկավոր է դասակարգել որպես II տիպի էական փոփոխություններ՝</w:t>
      </w:r>
    </w:p>
    <w:p w14:paraId="7A6F0DD9"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ա)</w:t>
      </w:r>
      <w:r w:rsidRPr="003B2786">
        <w:rPr>
          <w:rFonts w:ascii="Sylfaen" w:hAnsi="Sylfaen"/>
          <w:sz w:val="24"/>
          <w:szCs w:val="24"/>
        </w:rPr>
        <w:tab/>
        <w:t>կիրառման նոր ցուցում ավելացնելու կամ առկա ցուցումը ձ</w:t>
      </w:r>
      <w:r w:rsidR="00C54D75">
        <w:rPr>
          <w:rFonts w:ascii="Sylfaen" w:hAnsi="Sylfaen"/>
          <w:sz w:val="24"/>
          <w:szCs w:val="24"/>
        </w:rPr>
        <w:t>և</w:t>
      </w:r>
      <w:r w:rsidRPr="003B2786">
        <w:rPr>
          <w:rFonts w:ascii="Sylfaen" w:hAnsi="Sylfaen"/>
          <w:sz w:val="24"/>
          <w:szCs w:val="24"/>
        </w:rPr>
        <w:t>ափոխելու հիմքում ընկած փոփոխություններ.</w:t>
      </w:r>
    </w:p>
    <w:p w14:paraId="117331AD"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բ)</w:t>
      </w:r>
      <w:r w:rsidRPr="003B2786">
        <w:rPr>
          <w:rFonts w:ascii="Sylfaen" w:hAnsi="Sylfaen"/>
          <w:sz w:val="24"/>
          <w:szCs w:val="24"/>
        </w:rPr>
        <w:tab/>
        <w:t>դեղապատրաստուկի ընդհանուր բնութագրի էական ձ</w:t>
      </w:r>
      <w:r w:rsidR="00C54D75">
        <w:rPr>
          <w:rFonts w:ascii="Sylfaen" w:hAnsi="Sylfaen"/>
          <w:sz w:val="24"/>
          <w:szCs w:val="24"/>
        </w:rPr>
        <w:t>և</w:t>
      </w:r>
      <w:r w:rsidRPr="003B2786">
        <w:rPr>
          <w:rFonts w:ascii="Sylfaen" w:hAnsi="Sylfaen"/>
          <w:sz w:val="24"/>
          <w:szCs w:val="24"/>
        </w:rPr>
        <w:t>ափոխություն հանդիսացող փոփոխություններ՝ ելնելով հատկապես նախակլինիկական կամ կլինիկական հետազոտությունների որակի, արդյունքների վերաբերյալ նոր տվյալներից, դեղազգոնության տվյալներից.</w:t>
      </w:r>
    </w:p>
    <w:p w14:paraId="0B45666F"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գ)</w:t>
      </w:r>
      <w:r w:rsidRPr="003B2786">
        <w:rPr>
          <w:rFonts w:ascii="Sylfaen" w:hAnsi="Sylfaen"/>
          <w:sz w:val="24"/>
          <w:szCs w:val="24"/>
        </w:rPr>
        <w:tab/>
        <w:t>հաստատված մասնագրերի (որակի նորմատիվ փաստաթղթի) ընդունելիության տիրույթը, սահմանները կամ չափանիշները գերազանցող փոփոխություն հանդիսացող փոփոխություններ.</w:t>
      </w:r>
    </w:p>
    <w:p w14:paraId="007766BA"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դ)</w:t>
      </w:r>
      <w:r w:rsidRPr="003B2786">
        <w:rPr>
          <w:rFonts w:ascii="Sylfaen" w:hAnsi="Sylfaen"/>
          <w:sz w:val="24"/>
          <w:szCs w:val="24"/>
        </w:rPr>
        <w:tab/>
        <w:t xml:space="preserve">ակտիվ դեղագործական բաղադրամասի կամ դեղապատրաստուկի խառնուկների արտադրության գործընթացի, բաղադրության, մասնագրերի (որակի նորմատիվ փաստաթղթի) կամ պրոֆիլի փոփոխություն հանդիսացող </w:t>
      </w:r>
      <w:r w:rsidRPr="003B2786">
        <w:rPr>
          <w:rFonts w:ascii="Sylfaen" w:hAnsi="Sylfaen"/>
          <w:sz w:val="24"/>
          <w:szCs w:val="24"/>
        </w:rPr>
        <w:lastRenderedPageBreak/>
        <w:t>փոփոխություններ, որոնք էականորեն կարող են ազդել դեղապատրաստուկի որակի, անվտանգության կամ արդյունավետության վրա.</w:t>
      </w:r>
    </w:p>
    <w:p w14:paraId="7FAC9C19"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ե)</w:t>
      </w:r>
      <w:r w:rsidRPr="003B2786">
        <w:rPr>
          <w:rFonts w:ascii="Sylfaen" w:hAnsi="Sylfaen"/>
          <w:sz w:val="24"/>
          <w:szCs w:val="24"/>
        </w:rPr>
        <w:tab/>
        <w:t>կենսաբանական դեղապատրաստուկի ակտիվ դեղագործական բաղադրամասի արտադրության գործընթացի կամ արտադրական հարթակների ձ</w:t>
      </w:r>
      <w:r w:rsidR="00C54D75">
        <w:rPr>
          <w:rFonts w:ascii="Sylfaen" w:hAnsi="Sylfaen"/>
          <w:sz w:val="24"/>
          <w:szCs w:val="24"/>
        </w:rPr>
        <w:t>և</w:t>
      </w:r>
      <w:r w:rsidRPr="003B2786">
        <w:rPr>
          <w:rFonts w:ascii="Sylfaen" w:hAnsi="Sylfaen"/>
          <w:sz w:val="24"/>
          <w:szCs w:val="24"/>
        </w:rPr>
        <w:t>ափոխություն հանդիսացող փոփոխություններ.</w:t>
      </w:r>
    </w:p>
    <w:p w14:paraId="1BED6392"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զ)</w:t>
      </w:r>
      <w:r w:rsidRPr="003B2786">
        <w:rPr>
          <w:rFonts w:ascii="Sylfaen" w:hAnsi="Sylfaen"/>
          <w:sz w:val="24"/>
          <w:szCs w:val="24"/>
        </w:rPr>
        <w:tab/>
        <w:t>նոր նախագծային դաշտի ներդրում կամ նախկինում հաստատված նախագծային դաշտի ընդլայնում հանդիսացող փոփոխություններ, եթե նախագծային դաշտը մշակվել է Միության համապատասխան ձեռնարկների կամ միջազգային գիտական ձեռնարկների հիման վրա.</w:t>
      </w:r>
    </w:p>
    <w:p w14:paraId="7D119A0C"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է)</w:t>
      </w:r>
      <w:r w:rsidRPr="003B2786">
        <w:rPr>
          <w:rFonts w:ascii="Sylfaen" w:hAnsi="Sylfaen"/>
          <w:sz w:val="24"/>
          <w:szCs w:val="24"/>
        </w:rPr>
        <w:tab/>
        <w:t>մարդու մոտ գրիպի կանխարգելման համար նախատեսված սեզոնային, նախահամավարակային կամ համավարակային պատվաստանյութերի ակտիվ դեղագործական բաղադրամասի փոփոխություն հանդիսացող փոփոխություններ։</w:t>
      </w:r>
    </w:p>
    <w:p w14:paraId="274FBF8A" w14:textId="77777777" w:rsidR="008C76E0" w:rsidRPr="003B2786" w:rsidRDefault="008C76E0" w:rsidP="008C76E0">
      <w:pPr>
        <w:rPr>
          <w:rFonts w:ascii="Sylfaen" w:eastAsia="Times New Roman" w:hAnsi="Sylfaen" w:cs="Times New Roman"/>
          <w:sz w:val="24"/>
          <w:szCs w:val="24"/>
        </w:rPr>
      </w:pPr>
      <w:r w:rsidRPr="003B2786">
        <w:rPr>
          <w:rFonts w:ascii="Sylfaen" w:hAnsi="Sylfaen"/>
          <w:sz w:val="24"/>
          <w:szCs w:val="24"/>
        </w:rPr>
        <w:br w:type="page"/>
      </w:r>
    </w:p>
    <w:p w14:paraId="3973CA4E" w14:textId="77777777" w:rsidR="008C76E0" w:rsidRPr="003B2786" w:rsidRDefault="008C76E0" w:rsidP="00945A7B">
      <w:pPr>
        <w:spacing w:after="160" w:line="360" w:lineRule="auto"/>
        <w:ind w:left="567" w:right="565"/>
        <w:jc w:val="center"/>
        <w:rPr>
          <w:rFonts w:ascii="Sylfaen" w:hAnsi="Sylfaen"/>
          <w:sz w:val="24"/>
          <w:szCs w:val="24"/>
        </w:rPr>
      </w:pPr>
      <w:r w:rsidRPr="003B2786">
        <w:rPr>
          <w:rFonts w:ascii="Sylfaen" w:hAnsi="Sylfaen"/>
          <w:sz w:val="24"/>
          <w:szCs w:val="24"/>
        </w:rPr>
        <w:lastRenderedPageBreak/>
        <w:t>Լրացում III</w:t>
      </w:r>
    </w:p>
    <w:p w14:paraId="2A24DC84" w14:textId="77777777" w:rsidR="008C76E0" w:rsidRPr="003B2786" w:rsidRDefault="008C76E0" w:rsidP="00945A7B">
      <w:pPr>
        <w:tabs>
          <w:tab w:val="left" w:pos="8789"/>
        </w:tabs>
        <w:spacing w:after="160" w:line="360" w:lineRule="auto"/>
        <w:ind w:left="567" w:right="565" w:firstLine="567"/>
        <w:jc w:val="center"/>
        <w:rPr>
          <w:rFonts w:ascii="Sylfaen" w:hAnsi="Sylfaen"/>
          <w:sz w:val="24"/>
          <w:szCs w:val="24"/>
        </w:rPr>
      </w:pPr>
      <w:r w:rsidRPr="003B2786">
        <w:rPr>
          <w:rFonts w:ascii="Sylfaen" w:hAnsi="Sylfaen"/>
          <w:sz w:val="24"/>
          <w:szCs w:val="24"/>
        </w:rPr>
        <w:t xml:space="preserve">Սույն փաստաթղթի 1.7.2 կետի երրորդ պարբերության </w:t>
      </w:r>
      <w:r w:rsidR="00C54D75">
        <w:rPr>
          <w:rFonts w:ascii="Sylfaen" w:hAnsi="Sylfaen"/>
          <w:sz w:val="24"/>
          <w:szCs w:val="24"/>
        </w:rPr>
        <w:t>և</w:t>
      </w:r>
      <w:r w:rsidRPr="003B2786">
        <w:rPr>
          <w:rFonts w:ascii="Sylfaen" w:hAnsi="Sylfaen"/>
          <w:sz w:val="24"/>
          <w:szCs w:val="24"/>
        </w:rPr>
        <w:t xml:space="preserve"> 3.4.2 կետի երրորդ պարբերության մեջ նկարագրված փոփոխությունների խմբավորման դեպքերը</w:t>
      </w:r>
    </w:p>
    <w:p w14:paraId="632C870C"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Խմբի փոփոխություններից մեկը գրանցման ընդլայնումն է:</w:t>
      </w:r>
    </w:p>
    <w:p w14:paraId="3E45C20F"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Խմբի փոփոխություններից մեկը II տիպի էական փոփոխություն է. խմբի մնացած փոփոխությունները այդպիսի II տիպի էական փոփոխության հետ</w:t>
      </w:r>
      <w:r w:rsidR="00C54D75">
        <w:rPr>
          <w:rFonts w:ascii="Sylfaen" w:hAnsi="Sylfaen"/>
          <w:sz w:val="24"/>
          <w:szCs w:val="24"/>
        </w:rPr>
        <w:t>և</w:t>
      </w:r>
      <w:r w:rsidRPr="003B2786">
        <w:rPr>
          <w:rFonts w:ascii="Sylfaen" w:hAnsi="Sylfaen"/>
          <w:sz w:val="24"/>
          <w:szCs w:val="24"/>
        </w:rPr>
        <w:t>անք են:</w:t>
      </w:r>
    </w:p>
    <w:p w14:paraId="1532861B" w14:textId="77777777" w:rsidR="008C76E0" w:rsidRPr="003B2786" w:rsidRDefault="008C76E0" w:rsidP="00945A7B">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3.</w:t>
      </w:r>
      <w:r w:rsidRPr="003B2786">
        <w:rPr>
          <w:rFonts w:ascii="Sylfaen" w:hAnsi="Sylfaen"/>
          <w:sz w:val="24"/>
          <w:szCs w:val="24"/>
        </w:rPr>
        <w:tab/>
        <w:t>Խմբի փոփոխություններից մեկը IB տիպի ոչ էական փոփոխություն է. խմբի մնացած փոփոխությունները այդպիսի IB տիպի ոչ էական փոփոխության հետ</w:t>
      </w:r>
      <w:r w:rsidR="00C54D75">
        <w:rPr>
          <w:rFonts w:ascii="Sylfaen" w:hAnsi="Sylfaen"/>
          <w:sz w:val="24"/>
          <w:szCs w:val="24"/>
        </w:rPr>
        <w:t>և</w:t>
      </w:r>
      <w:r w:rsidRPr="003B2786">
        <w:rPr>
          <w:rFonts w:ascii="Sylfaen" w:hAnsi="Sylfaen"/>
          <w:sz w:val="24"/>
          <w:szCs w:val="24"/>
        </w:rPr>
        <w:t>անք են:</w:t>
      </w:r>
    </w:p>
    <w:p w14:paraId="4E4F6651" w14:textId="77777777" w:rsidR="008C76E0" w:rsidRPr="003B2786" w:rsidRDefault="008C76E0" w:rsidP="00945A7B">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4.</w:t>
      </w:r>
      <w:r w:rsidRPr="003B2786">
        <w:rPr>
          <w:rFonts w:ascii="Sylfaen" w:hAnsi="Sylfaen"/>
          <w:sz w:val="24"/>
          <w:szCs w:val="24"/>
        </w:rPr>
        <w:tab/>
        <w:t>Խմբի բոլոր փոփոխությունները բացառապես դեղապատրաստուկի ընդհանուր բնութագրի, մականշվածքի կամ ներդիր թերթիկի վարչական բնույթի փոփոխություններ են:</w:t>
      </w:r>
    </w:p>
    <w:p w14:paraId="57150738" w14:textId="77777777" w:rsidR="008C76E0" w:rsidRPr="003B2786" w:rsidRDefault="008C76E0" w:rsidP="00945A7B">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5.</w:t>
      </w:r>
      <w:r w:rsidRPr="003B2786">
        <w:rPr>
          <w:rFonts w:ascii="Sylfaen" w:hAnsi="Sylfaen"/>
          <w:sz w:val="24"/>
          <w:szCs w:val="24"/>
        </w:rPr>
        <w:tab/>
        <w:t>Խմբի բոլոր փոփոխությունները ակտիվ դեղագործական բաղադրամասի մաստեր ֆայլի, պատվաստանյութային հակածինի կամ պլազմայի մաստեր ֆայլի փոփոխություններ են:</w:t>
      </w:r>
    </w:p>
    <w:p w14:paraId="5CC2C85B" w14:textId="77777777" w:rsidR="008C76E0" w:rsidRPr="003B2786" w:rsidRDefault="008C76E0" w:rsidP="00945A7B">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6.</w:t>
      </w:r>
      <w:r w:rsidRPr="003B2786">
        <w:rPr>
          <w:rFonts w:ascii="Sylfaen" w:hAnsi="Sylfaen"/>
          <w:sz w:val="24"/>
          <w:szCs w:val="24"/>
        </w:rPr>
        <w:tab/>
        <w:t xml:space="preserve">Խմբի բոլոր փոփոխությունները կազմում են այն ծրագրի մասը, որն ուղղված է դիտարկվող դեղապատրաստուկի կամ դրա ակտիվ դեղագործական բաղադրամասերի արտադրական գործընթացի </w:t>
      </w:r>
      <w:r w:rsidR="00C54D75">
        <w:rPr>
          <w:rFonts w:ascii="Sylfaen" w:hAnsi="Sylfaen"/>
          <w:sz w:val="24"/>
          <w:szCs w:val="24"/>
        </w:rPr>
        <w:t>և</w:t>
      </w:r>
      <w:r w:rsidRPr="003B2786">
        <w:rPr>
          <w:rFonts w:ascii="Sylfaen" w:hAnsi="Sylfaen"/>
          <w:sz w:val="24"/>
          <w:szCs w:val="24"/>
        </w:rPr>
        <w:t xml:space="preserve"> որակի բարելավմանը:</w:t>
      </w:r>
    </w:p>
    <w:p w14:paraId="378D432B" w14:textId="77777777" w:rsidR="008C76E0" w:rsidRPr="003B2786" w:rsidRDefault="008C76E0" w:rsidP="00945A7B">
      <w:pPr>
        <w:tabs>
          <w:tab w:val="left" w:pos="1134"/>
        </w:tabs>
        <w:spacing w:after="160" w:line="384" w:lineRule="auto"/>
        <w:ind w:firstLine="567"/>
        <w:jc w:val="both"/>
        <w:rPr>
          <w:rFonts w:ascii="Sylfaen" w:hAnsi="Sylfaen"/>
          <w:sz w:val="24"/>
          <w:szCs w:val="24"/>
        </w:rPr>
      </w:pPr>
      <w:r w:rsidRPr="003B2786">
        <w:rPr>
          <w:rFonts w:ascii="Sylfaen" w:hAnsi="Sylfaen"/>
          <w:sz w:val="24"/>
          <w:szCs w:val="24"/>
        </w:rPr>
        <w:t>7.</w:t>
      </w:r>
      <w:r w:rsidRPr="003B2786">
        <w:rPr>
          <w:rFonts w:ascii="Sylfaen" w:hAnsi="Sylfaen"/>
          <w:sz w:val="24"/>
          <w:szCs w:val="24"/>
        </w:rPr>
        <w:tab/>
        <w:t>Խմբի բոլոր փոփոխություններն այնպիսի փոփոխություններ են, որոնք ազդում են մարդու մոտ գրիպի համավարակի կանխարգելման համար նախատեսված պատվաստանյութի որակի վրա:</w:t>
      </w:r>
    </w:p>
    <w:p w14:paraId="4156A8FB"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t>8.</w:t>
      </w:r>
      <w:r w:rsidRPr="003B2786">
        <w:rPr>
          <w:rFonts w:ascii="Sylfaen" w:hAnsi="Sylfaen"/>
          <w:sz w:val="24"/>
          <w:szCs w:val="24"/>
        </w:rPr>
        <w:tab/>
        <w:t>Խմբի բոլոր փոփոխությունները դեղազգոնության համակարգի փոփոխություններ են:</w:t>
      </w:r>
    </w:p>
    <w:p w14:paraId="349D6F4A" w14:textId="77777777" w:rsidR="008C76E0" w:rsidRPr="003B2786" w:rsidRDefault="008C76E0" w:rsidP="00945A7B">
      <w:pPr>
        <w:tabs>
          <w:tab w:val="left" w:pos="1134"/>
        </w:tabs>
        <w:spacing w:after="160" w:line="360" w:lineRule="auto"/>
        <w:ind w:firstLine="567"/>
        <w:jc w:val="both"/>
        <w:rPr>
          <w:rFonts w:ascii="Sylfaen" w:hAnsi="Sylfaen"/>
          <w:sz w:val="24"/>
          <w:szCs w:val="24"/>
        </w:rPr>
      </w:pPr>
      <w:r w:rsidRPr="003B2786">
        <w:rPr>
          <w:rFonts w:ascii="Sylfaen" w:hAnsi="Sylfaen"/>
          <w:sz w:val="24"/>
          <w:szCs w:val="24"/>
        </w:rPr>
        <w:lastRenderedPageBreak/>
        <w:t>9.</w:t>
      </w:r>
      <w:r w:rsidRPr="003B2786">
        <w:rPr>
          <w:rFonts w:ascii="Sylfaen" w:hAnsi="Sylfaen"/>
          <w:sz w:val="24"/>
          <w:szCs w:val="24"/>
        </w:rPr>
        <w:tab/>
        <w:t>Խմբի բոլոր փոփոխությունները անվտանգության մասով որոշակի անհետաձգելի սահմանափակման հետ</w:t>
      </w:r>
      <w:r w:rsidR="00C54D75">
        <w:rPr>
          <w:rFonts w:ascii="Sylfaen" w:hAnsi="Sylfaen"/>
          <w:sz w:val="24"/>
          <w:szCs w:val="24"/>
        </w:rPr>
        <w:t>և</w:t>
      </w:r>
      <w:r w:rsidRPr="003B2786">
        <w:rPr>
          <w:rFonts w:ascii="Sylfaen" w:hAnsi="Sylfaen"/>
          <w:sz w:val="24"/>
          <w:szCs w:val="24"/>
        </w:rPr>
        <w:t xml:space="preserve">անքն են </w:t>
      </w:r>
      <w:r w:rsidR="00C54D75">
        <w:rPr>
          <w:rFonts w:ascii="Sylfaen" w:hAnsi="Sylfaen"/>
          <w:sz w:val="24"/>
          <w:szCs w:val="24"/>
        </w:rPr>
        <w:t>և</w:t>
      </w:r>
      <w:r w:rsidRPr="003B2786">
        <w:rPr>
          <w:rFonts w:ascii="Sylfaen" w:hAnsi="Sylfaen"/>
          <w:sz w:val="24"/>
          <w:szCs w:val="24"/>
        </w:rPr>
        <w:t xml:space="preserve"> ներկայացված են սույն փաստաթղթի 4.1.4 կետին համապատասխան:</w:t>
      </w:r>
    </w:p>
    <w:p w14:paraId="16C33603"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10.</w:t>
      </w:r>
      <w:r w:rsidRPr="003B2786">
        <w:rPr>
          <w:rFonts w:ascii="Sylfaen" w:hAnsi="Sylfaen"/>
          <w:sz w:val="24"/>
          <w:szCs w:val="24"/>
        </w:rPr>
        <w:tab/>
        <w:t>Խմբի բոլոր փոփոխությունները վերաբերում են դեղապատրաստուկի ընդհանուր բնութագրի, մականշվածքի կամ ներդիր թերթիկի մեջ որոշակի դասի տեղեկությունների ուղղմանը (օրինակ՝ դասի համար սպեցիֆիկ նախազգուշացման ավելացում):</w:t>
      </w:r>
    </w:p>
    <w:p w14:paraId="59FBD98B"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11.</w:t>
      </w:r>
      <w:r w:rsidRPr="003B2786">
        <w:rPr>
          <w:rFonts w:ascii="Sylfaen" w:hAnsi="Sylfaen"/>
          <w:sz w:val="24"/>
          <w:szCs w:val="24"/>
        </w:rPr>
        <w:tab/>
        <w:t>Խմբի բոլոր փոփոխությունները անվտանգության վերաբերյալ որոշակի պարբերական հաշվետվության փորձաքննության հետ</w:t>
      </w:r>
      <w:r w:rsidR="00C54D75">
        <w:rPr>
          <w:rFonts w:ascii="Sylfaen" w:hAnsi="Sylfaen"/>
          <w:sz w:val="24"/>
          <w:szCs w:val="24"/>
        </w:rPr>
        <w:t>և</w:t>
      </w:r>
      <w:r w:rsidRPr="003B2786">
        <w:rPr>
          <w:rFonts w:ascii="Sylfaen" w:hAnsi="Sylfaen"/>
          <w:sz w:val="24"/>
          <w:szCs w:val="24"/>
        </w:rPr>
        <w:t>անք են:</w:t>
      </w:r>
    </w:p>
    <w:p w14:paraId="2DD59C23"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12.</w:t>
      </w:r>
      <w:r w:rsidRPr="003B2786">
        <w:rPr>
          <w:rFonts w:ascii="Sylfaen" w:hAnsi="Sylfaen"/>
          <w:sz w:val="24"/>
          <w:szCs w:val="24"/>
        </w:rPr>
        <w:tab/>
        <w:t>Խմբի բոլոր փոփոխությունները իրավատիրոջ վերահսկողության ներքո անցկացվող հետգրանցումային հետազոտության հետ</w:t>
      </w:r>
      <w:r w:rsidR="00C54D75">
        <w:rPr>
          <w:rFonts w:ascii="Sylfaen" w:hAnsi="Sylfaen"/>
          <w:sz w:val="24"/>
          <w:szCs w:val="24"/>
        </w:rPr>
        <w:t>և</w:t>
      </w:r>
      <w:r w:rsidRPr="003B2786">
        <w:rPr>
          <w:rFonts w:ascii="Sylfaen" w:hAnsi="Sylfaen"/>
          <w:sz w:val="24"/>
          <w:szCs w:val="24"/>
        </w:rPr>
        <w:t>անք են:</w:t>
      </w:r>
    </w:p>
    <w:p w14:paraId="76D3C11B"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13.</w:t>
      </w:r>
      <w:r w:rsidRPr="003B2786">
        <w:rPr>
          <w:rFonts w:ascii="Sylfaen" w:hAnsi="Sylfaen"/>
          <w:sz w:val="24"/>
          <w:szCs w:val="24"/>
        </w:rPr>
        <w:tab/>
        <w:t>Խմբի բոլոր փոփոխությունները գրանցման ժամանակ անդամ պետության լիազորված մարմնի կողմից դրված պարտավորության հետ</w:t>
      </w:r>
      <w:r w:rsidR="00C54D75">
        <w:rPr>
          <w:rFonts w:ascii="Sylfaen" w:hAnsi="Sylfaen"/>
          <w:sz w:val="24"/>
          <w:szCs w:val="24"/>
        </w:rPr>
        <w:t>և</w:t>
      </w:r>
      <w:r w:rsidRPr="003B2786">
        <w:rPr>
          <w:rFonts w:ascii="Sylfaen" w:hAnsi="Sylfaen"/>
          <w:sz w:val="24"/>
          <w:szCs w:val="24"/>
        </w:rPr>
        <w:t>անք են:</w:t>
      </w:r>
    </w:p>
    <w:p w14:paraId="34A41335"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14.</w:t>
      </w:r>
      <w:r w:rsidRPr="003B2786">
        <w:rPr>
          <w:rFonts w:ascii="Sylfaen" w:hAnsi="Sylfaen"/>
          <w:sz w:val="24"/>
          <w:szCs w:val="24"/>
        </w:rPr>
        <w:tab/>
        <w:t>Խմբի բոլոր փոփոխությունները պայմաններով գրանցման հետ</w:t>
      </w:r>
      <w:r w:rsidR="00C54D75">
        <w:rPr>
          <w:rFonts w:ascii="Sylfaen" w:hAnsi="Sylfaen"/>
          <w:sz w:val="24"/>
          <w:szCs w:val="24"/>
        </w:rPr>
        <w:t>և</w:t>
      </w:r>
      <w:r w:rsidRPr="003B2786">
        <w:rPr>
          <w:rFonts w:ascii="Sylfaen" w:hAnsi="Sylfaen"/>
          <w:sz w:val="24"/>
          <w:szCs w:val="24"/>
        </w:rPr>
        <w:t>անք են:</w:t>
      </w:r>
    </w:p>
    <w:p w14:paraId="1581AF66" w14:textId="77777777" w:rsidR="008C76E0" w:rsidRPr="003B2786" w:rsidRDefault="008C76E0" w:rsidP="00945A7B">
      <w:pPr>
        <w:spacing w:after="160" w:line="360" w:lineRule="auto"/>
        <w:rPr>
          <w:rFonts w:ascii="Sylfaen" w:eastAsia="Times New Roman" w:hAnsi="Sylfaen" w:cs="Times New Roman"/>
          <w:sz w:val="24"/>
          <w:szCs w:val="24"/>
        </w:rPr>
      </w:pPr>
      <w:r w:rsidRPr="003B2786">
        <w:rPr>
          <w:rFonts w:ascii="Sylfaen" w:hAnsi="Sylfaen"/>
          <w:sz w:val="24"/>
          <w:szCs w:val="24"/>
        </w:rPr>
        <w:br w:type="page"/>
      </w:r>
    </w:p>
    <w:p w14:paraId="2B32990C" w14:textId="77777777" w:rsidR="008C76E0" w:rsidRPr="003B2786" w:rsidRDefault="008C76E0" w:rsidP="00945A7B">
      <w:pPr>
        <w:spacing w:after="160" w:line="360" w:lineRule="auto"/>
        <w:ind w:left="567" w:right="566"/>
        <w:jc w:val="center"/>
        <w:rPr>
          <w:rFonts w:ascii="Sylfaen" w:hAnsi="Sylfaen"/>
          <w:sz w:val="24"/>
          <w:szCs w:val="24"/>
        </w:rPr>
      </w:pPr>
      <w:r w:rsidRPr="003B2786">
        <w:rPr>
          <w:rFonts w:ascii="Sylfaen" w:hAnsi="Sylfaen"/>
          <w:sz w:val="24"/>
          <w:szCs w:val="24"/>
        </w:rPr>
        <w:lastRenderedPageBreak/>
        <w:t>Լրացում IV</w:t>
      </w:r>
    </w:p>
    <w:p w14:paraId="4F2635A7" w14:textId="77777777" w:rsidR="008C76E0" w:rsidRPr="003B2786" w:rsidRDefault="008C76E0" w:rsidP="00945A7B">
      <w:pPr>
        <w:spacing w:after="160" w:line="360" w:lineRule="auto"/>
        <w:ind w:left="567" w:right="566"/>
        <w:jc w:val="center"/>
        <w:rPr>
          <w:rFonts w:ascii="Sylfaen" w:hAnsi="Sylfaen"/>
          <w:sz w:val="24"/>
          <w:szCs w:val="24"/>
        </w:rPr>
      </w:pPr>
      <w:r w:rsidRPr="003B2786">
        <w:rPr>
          <w:rFonts w:ascii="Sylfaen" w:hAnsi="Sylfaen"/>
          <w:sz w:val="24"/>
          <w:szCs w:val="24"/>
        </w:rPr>
        <w:t>Դեղապատրաստուկի գրանցման դոսյեի մեջ փոփոխություններ կատարելու նպատակով հայտատուի կողմից ներկայացվող փաստաթղթերը (փոփոխության դոսյեն)</w:t>
      </w:r>
    </w:p>
    <w:p w14:paraId="07E52EC6"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1.</w:t>
      </w:r>
      <w:r w:rsidRPr="003B2786">
        <w:rPr>
          <w:rFonts w:ascii="Sylfaen" w:hAnsi="Sylfaen"/>
          <w:sz w:val="24"/>
          <w:szCs w:val="24"/>
        </w:rPr>
        <w:tab/>
        <w:t>Ծանուցման կամ փոփոխությունների կատարման հայտի մեջ ներառված բոլոր գրանցման դոսյեների ցանկը։</w:t>
      </w:r>
    </w:p>
    <w:p w14:paraId="7E401301"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2.</w:t>
      </w:r>
      <w:r w:rsidRPr="003B2786">
        <w:rPr>
          <w:rFonts w:ascii="Sylfaen" w:hAnsi="Sylfaen"/>
          <w:sz w:val="24"/>
          <w:szCs w:val="24"/>
        </w:rPr>
        <w:tab/>
        <w:t>Ներկայացված բոլոր փոփոխությունների նկարագրությունը, ներառյալ՝</w:t>
      </w:r>
    </w:p>
    <w:p w14:paraId="7B260C97"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IA տիպի ոչ էական փոփոխությունների դեպքում նկարագրված յուրաքանչյուր փոփոխության իրագործման ամսաթիվը.</w:t>
      </w:r>
    </w:p>
    <w:p w14:paraId="7DBDE72D"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 xml:space="preserve">անհապաղ ծանուցում չպահանջող IA տիպի ոչ էական փոփոխությունների դեպքում վերջին 365 օրացուցային օրվա (12 ամիս) ընթացքում իրագործված IA տիպի բոլոր այն ոչ էական փոփոխությունների նկարագրությունը, որոնց մասին նախկինում ծանուցումներ չեն ներկայացվել: </w:t>
      </w:r>
    </w:p>
    <w:p w14:paraId="795A9FF5"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3.</w:t>
      </w:r>
      <w:r w:rsidRPr="003B2786">
        <w:rPr>
          <w:rFonts w:ascii="Sylfaen" w:hAnsi="Sylfaen"/>
          <w:sz w:val="24"/>
          <w:szCs w:val="24"/>
        </w:rPr>
        <w:tab/>
        <w:t xml:space="preserve">Համապատասխան փոփոխության վերաբերյալ սույն փաստաթղթի V լրացման մեջ նշված բոլոր անհրաժեշտ փաստաթղթերը։ Փաստաթղթերը ռուսերենից տարբեր՝ այլ լեզվով ներկայացվելու դեպքում ներկայացվում է դրանց նույնական թարգմանությունը ռուսերենով: </w:t>
      </w:r>
    </w:p>
    <w:p w14:paraId="24B76886"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4.</w:t>
      </w:r>
      <w:r w:rsidRPr="003B2786">
        <w:rPr>
          <w:rFonts w:ascii="Sylfaen" w:hAnsi="Sylfaen"/>
          <w:sz w:val="24"/>
          <w:szCs w:val="24"/>
        </w:rPr>
        <w:tab/>
        <w:t>Փոփոխությունների միջ</w:t>
      </w:r>
      <w:r w:rsidR="00C54D75">
        <w:rPr>
          <w:rFonts w:ascii="Sylfaen" w:hAnsi="Sylfaen"/>
          <w:sz w:val="24"/>
          <w:szCs w:val="24"/>
        </w:rPr>
        <w:t>և</w:t>
      </w:r>
      <w:r w:rsidRPr="003B2786">
        <w:rPr>
          <w:rFonts w:ascii="Sylfaen" w:hAnsi="Sylfaen"/>
          <w:sz w:val="24"/>
          <w:szCs w:val="24"/>
        </w:rPr>
        <w:t xml:space="preserve"> փոխադարձ կապի նկարագրությունը, եթե փոփոխությունը հանգեցնում է դեղապատրաստուկի մի</w:t>
      </w:r>
      <w:r w:rsidR="00C54D75">
        <w:rPr>
          <w:rFonts w:ascii="Sylfaen" w:hAnsi="Sylfaen"/>
          <w:sz w:val="24"/>
          <w:szCs w:val="24"/>
        </w:rPr>
        <w:t>և</w:t>
      </w:r>
      <w:r w:rsidRPr="003B2786">
        <w:rPr>
          <w:rFonts w:ascii="Sylfaen" w:hAnsi="Sylfaen"/>
          <w:sz w:val="24"/>
          <w:szCs w:val="24"/>
        </w:rPr>
        <w:t>նույն գրանցման պայմանների փոփոխության կամ դրանց այլ փոփոխությունների հետ</w:t>
      </w:r>
      <w:r w:rsidR="00C54D75">
        <w:rPr>
          <w:rFonts w:ascii="Sylfaen" w:hAnsi="Sylfaen"/>
          <w:sz w:val="24"/>
          <w:szCs w:val="24"/>
        </w:rPr>
        <w:t>և</w:t>
      </w:r>
      <w:r w:rsidRPr="003B2786">
        <w:rPr>
          <w:rFonts w:ascii="Sylfaen" w:hAnsi="Sylfaen"/>
          <w:sz w:val="24"/>
          <w:szCs w:val="24"/>
        </w:rPr>
        <w:t xml:space="preserve">անք է: </w:t>
      </w:r>
    </w:p>
    <w:p w14:paraId="2B31B386"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5.</w:t>
      </w:r>
      <w:r w:rsidRPr="003B2786">
        <w:rPr>
          <w:rFonts w:ascii="Sylfaen" w:hAnsi="Sylfaen"/>
          <w:sz w:val="24"/>
          <w:szCs w:val="24"/>
        </w:rPr>
        <w:tab/>
        <w:t>Անդամ պետության օրենսդրությանը համապատասխան՝ դեղապատրաստուկի գրանցման դոսյեի մեջ փոփոխություններ կատարելու դիմաց վճարի (տուրքի) վճարումը հաստատող փաստաթղթերը։</w:t>
      </w:r>
    </w:p>
    <w:p w14:paraId="2CC0E32A" w14:textId="77777777" w:rsidR="008C76E0" w:rsidRPr="003B2786" w:rsidRDefault="008C76E0" w:rsidP="00945A7B">
      <w:pPr>
        <w:tabs>
          <w:tab w:val="left" w:pos="1134"/>
        </w:tabs>
        <w:spacing w:after="160" w:line="360" w:lineRule="auto"/>
        <w:ind w:right="-1" w:firstLine="567"/>
        <w:jc w:val="both"/>
        <w:rPr>
          <w:rFonts w:ascii="Sylfaen" w:hAnsi="Sylfaen"/>
          <w:sz w:val="24"/>
          <w:szCs w:val="24"/>
        </w:rPr>
      </w:pPr>
      <w:r w:rsidRPr="003B2786">
        <w:rPr>
          <w:rFonts w:ascii="Sylfaen" w:hAnsi="Sylfaen"/>
          <w:sz w:val="24"/>
          <w:szCs w:val="24"/>
        </w:rPr>
        <w:t>6.</w:t>
      </w:r>
      <w:r w:rsidRPr="003B2786">
        <w:rPr>
          <w:rFonts w:ascii="Sylfaen" w:hAnsi="Sylfaen"/>
          <w:sz w:val="24"/>
          <w:szCs w:val="24"/>
        </w:rPr>
        <w:tab/>
        <w:t>Շահագրգիռ անդամ պետությունների ցանկը՝ նշելով ռեֆերենտ</w:t>
      </w:r>
      <w:r w:rsidRPr="003B2786" w:rsidDel="000835CF">
        <w:rPr>
          <w:rFonts w:ascii="Sylfaen" w:hAnsi="Sylfaen"/>
          <w:sz w:val="24"/>
          <w:szCs w:val="24"/>
        </w:rPr>
        <w:t xml:space="preserve"> </w:t>
      </w:r>
      <w:r w:rsidRPr="003B2786">
        <w:rPr>
          <w:rFonts w:ascii="Sylfaen" w:hAnsi="Sylfaen"/>
          <w:sz w:val="24"/>
          <w:szCs w:val="24"/>
        </w:rPr>
        <w:t>պետությունը, եթե կիրառելի է:</w:t>
      </w:r>
    </w:p>
    <w:p w14:paraId="7ED780AB" w14:textId="77777777" w:rsidR="008C76E0" w:rsidRPr="003B2786" w:rsidRDefault="008C76E0" w:rsidP="00945A7B">
      <w:pPr>
        <w:widowControl/>
        <w:spacing w:after="160" w:line="360" w:lineRule="auto"/>
        <w:rPr>
          <w:rFonts w:ascii="Sylfaen" w:eastAsia="Times New Roman" w:hAnsi="Sylfaen" w:cs="Times New Roman"/>
          <w:sz w:val="24"/>
          <w:szCs w:val="24"/>
        </w:rPr>
      </w:pPr>
      <w:r w:rsidRPr="003B2786">
        <w:rPr>
          <w:rFonts w:ascii="Sylfaen" w:eastAsia="Times New Roman" w:hAnsi="Sylfaen" w:cs="Times New Roman"/>
          <w:sz w:val="24"/>
          <w:szCs w:val="24"/>
        </w:rPr>
        <w:br w:type="page"/>
      </w:r>
    </w:p>
    <w:p w14:paraId="2C702C17" w14:textId="77777777" w:rsidR="008C76E0" w:rsidRPr="003B2786" w:rsidRDefault="008C76E0" w:rsidP="00945A7B">
      <w:pPr>
        <w:spacing w:after="160" w:line="360" w:lineRule="auto"/>
        <w:ind w:left="567" w:right="571"/>
        <w:jc w:val="center"/>
        <w:rPr>
          <w:rFonts w:ascii="Sylfaen" w:hAnsi="Sylfaen"/>
          <w:sz w:val="24"/>
          <w:szCs w:val="24"/>
        </w:rPr>
      </w:pPr>
      <w:r w:rsidRPr="003B2786">
        <w:rPr>
          <w:rFonts w:ascii="Sylfaen" w:hAnsi="Sylfaen"/>
          <w:sz w:val="24"/>
          <w:szCs w:val="24"/>
        </w:rPr>
        <w:lastRenderedPageBreak/>
        <w:t>Լրացում V</w:t>
      </w:r>
    </w:p>
    <w:p w14:paraId="66582D85" w14:textId="77777777" w:rsidR="008C76E0" w:rsidRPr="003B2786" w:rsidRDefault="008C76E0" w:rsidP="00945A7B">
      <w:pPr>
        <w:spacing w:after="160" w:line="360" w:lineRule="auto"/>
        <w:ind w:left="567" w:right="571"/>
        <w:jc w:val="center"/>
        <w:rPr>
          <w:rFonts w:ascii="Sylfaen" w:hAnsi="Sylfaen"/>
          <w:sz w:val="24"/>
          <w:szCs w:val="24"/>
        </w:rPr>
      </w:pPr>
      <w:r w:rsidRPr="003B2786">
        <w:rPr>
          <w:rFonts w:ascii="Sylfaen" w:hAnsi="Sylfaen"/>
          <w:sz w:val="24"/>
          <w:szCs w:val="24"/>
        </w:rPr>
        <w:t xml:space="preserve">Դեղապատրաստուկի գրանցման դոսյեում </w:t>
      </w:r>
      <w:r w:rsidRPr="003B2786">
        <w:rPr>
          <w:rFonts w:ascii="Sylfaen" w:hAnsi="Sylfaen"/>
          <w:sz w:val="24"/>
          <w:szCs w:val="24"/>
        </w:rPr>
        <w:br/>
        <w:t>փոփոխությունների դասակարգումը</w:t>
      </w:r>
    </w:p>
    <w:p w14:paraId="5FD725E0"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Դեղապատրաստուկների գրանցման դոսյեում փոփոխությունները դասակարգվում են փոփոխությունների սույն լրացմանը համապատասխան պայմանավորված՝</w:t>
      </w:r>
    </w:p>
    <w:p w14:paraId="5BD4E50E"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վարչական փոփոխություններով, </w:t>
      </w:r>
    </w:p>
    <w:p w14:paraId="11642C65"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որակի հետ կապված փոփոխություններով,</w:t>
      </w:r>
    </w:p>
    <w:p w14:paraId="4B07DE28"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անվտանգության, արդյունավետության </w:t>
      </w:r>
      <w:r w:rsidR="00C54D75">
        <w:rPr>
          <w:rFonts w:ascii="Sylfaen" w:hAnsi="Sylfaen"/>
          <w:sz w:val="24"/>
          <w:szCs w:val="24"/>
        </w:rPr>
        <w:t>և</w:t>
      </w:r>
      <w:r w:rsidRPr="003B2786">
        <w:rPr>
          <w:rFonts w:ascii="Sylfaen" w:hAnsi="Sylfaen"/>
          <w:sz w:val="24"/>
          <w:szCs w:val="24"/>
        </w:rPr>
        <w:t xml:space="preserve"> դեղազգոնության հետ կապված փոփոխություններով, պլազմայի մաստեր-ֆայլերի (ՊՄՖ) </w:t>
      </w:r>
      <w:r w:rsidR="00C54D75">
        <w:rPr>
          <w:rFonts w:ascii="Sylfaen" w:hAnsi="Sylfaen"/>
          <w:sz w:val="24"/>
          <w:szCs w:val="24"/>
        </w:rPr>
        <w:t>և</w:t>
      </w:r>
      <w:r w:rsidRPr="003B2786">
        <w:rPr>
          <w:rFonts w:ascii="Sylfaen" w:hAnsi="Sylfaen"/>
          <w:sz w:val="24"/>
          <w:szCs w:val="24"/>
        </w:rPr>
        <w:t xml:space="preserve"> պատվաստանյութային հակածնի մաստեր-ֆայլերի (ՊՀՄՖ) որոշակի փոփոխություններով:</w:t>
      </w:r>
    </w:p>
    <w:p w14:paraId="07E2789B"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Սույն լրացման առանձին փոփոխությունները դասակարգելիս դիտարկվող փոփոխությունը հարկավոր է ծածկագրել՝ օգտագործելով հետ</w:t>
      </w:r>
      <w:r w:rsidR="00C54D75">
        <w:rPr>
          <w:rFonts w:ascii="Sylfaen" w:hAnsi="Sylfaen"/>
          <w:sz w:val="24"/>
          <w:szCs w:val="24"/>
        </w:rPr>
        <w:t>և</w:t>
      </w:r>
      <w:r w:rsidRPr="003B2786">
        <w:rPr>
          <w:rFonts w:ascii="Sylfaen" w:hAnsi="Sylfaen"/>
          <w:sz w:val="24"/>
          <w:szCs w:val="24"/>
        </w:rPr>
        <w:t>յալ կառուցվածքը՝</w:t>
      </w:r>
    </w:p>
    <w:p w14:paraId="16397E25"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X.N.x.n. («փոփոխության ծածկագիըը»), որտեղ՝</w:t>
      </w:r>
    </w:p>
    <w:p w14:paraId="36A90EE2"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X-ը ցույց է տալիս լրացման այն բաժնի մեծատառը, որը պարունակում է փոփոխությունը (օրինակ` «Ա», «Բ», «Գ» կամ «Դ»),</w:t>
      </w:r>
    </w:p>
    <w:p w14:paraId="0EACCBD9"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N-ն ցույց է տալիս բաժնի այն ենթաբաժնի հռոմեական թիվը, որը պարունակում է փոփոխությունը (օրինակ՝ I, II, III </w:t>
      </w:r>
      <w:r w:rsidR="00C54D75">
        <w:rPr>
          <w:rFonts w:ascii="Sylfaen" w:hAnsi="Sylfaen"/>
          <w:sz w:val="24"/>
          <w:szCs w:val="24"/>
        </w:rPr>
        <w:t>և</w:t>
      </w:r>
      <w:r w:rsidRPr="003B2786">
        <w:rPr>
          <w:rFonts w:ascii="Sylfaen" w:hAnsi="Sylfaen"/>
          <w:sz w:val="24"/>
          <w:szCs w:val="24"/>
        </w:rPr>
        <w:t xml:space="preserve"> այլն),</w:t>
      </w:r>
    </w:p>
    <w:p w14:paraId="1614EBD9"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x-ը ցույց է տալիս ենթաբաժնի այն կետի տառը, որը պարունակում է փոփոխությունը (օրինակ` «ա», «բ», «գ» </w:t>
      </w:r>
      <w:r w:rsidR="00C54D75">
        <w:rPr>
          <w:rFonts w:ascii="Sylfaen" w:hAnsi="Sylfaen"/>
          <w:sz w:val="24"/>
          <w:szCs w:val="24"/>
        </w:rPr>
        <w:t>և</w:t>
      </w:r>
      <w:r w:rsidRPr="003B2786">
        <w:rPr>
          <w:rFonts w:ascii="Sylfaen" w:hAnsi="Sylfaen"/>
          <w:sz w:val="24"/>
          <w:szCs w:val="24"/>
        </w:rPr>
        <w:t xml:space="preserve"> այլն),</w:t>
      </w:r>
    </w:p>
    <w:p w14:paraId="3BA89729"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n-ը ցույց է տալիս այն ենթակետի թիվը, որը լրացման մեջ տրվել է առանձին փոփոխությանը (օրինակ՝ 1, 2, 3 </w:t>
      </w:r>
      <w:r w:rsidR="00C54D75">
        <w:rPr>
          <w:rFonts w:ascii="Sylfaen" w:hAnsi="Sylfaen"/>
          <w:sz w:val="24"/>
          <w:szCs w:val="24"/>
        </w:rPr>
        <w:t>և</w:t>
      </w:r>
      <w:r w:rsidRPr="003B2786">
        <w:rPr>
          <w:rFonts w:ascii="Sylfaen" w:hAnsi="Sylfaen"/>
          <w:sz w:val="24"/>
          <w:szCs w:val="24"/>
        </w:rPr>
        <w:t xml:space="preserve"> այլն):</w:t>
      </w:r>
    </w:p>
    <w:p w14:paraId="4DBBC3A1"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Սույն լրացման յուրաքանչյուր բաժին պարունակում է՝</w:t>
      </w:r>
    </w:p>
    <w:p w14:paraId="374CD91F" w14:textId="77777777" w:rsidR="008C76E0" w:rsidRPr="003B2786" w:rsidRDefault="008C76E0" w:rsidP="00945A7B">
      <w:pPr>
        <w:spacing w:after="160" w:line="360" w:lineRule="auto"/>
        <w:ind w:right="-1" w:firstLine="567"/>
        <w:jc w:val="both"/>
        <w:rPr>
          <w:rFonts w:ascii="Sylfaen" w:hAnsi="Sylfaen"/>
          <w:sz w:val="24"/>
          <w:szCs w:val="24"/>
        </w:rPr>
      </w:pPr>
      <w:r w:rsidRPr="003B2786">
        <w:rPr>
          <w:rFonts w:ascii="Sylfaen" w:hAnsi="Sylfaen"/>
          <w:sz w:val="24"/>
          <w:szCs w:val="24"/>
        </w:rPr>
        <w:t xml:space="preserve">այն փոփոխությունների ցանկը, որոնք դասակարգվում են որպես IA տիպի ոչ </w:t>
      </w:r>
      <w:r w:rsidRPr="003B2786">
        <w:rPr>
          <w:rFonts w:ascii="Sylfaen" w:hAnsi="Sylfaen"/>
          <w:sz w:val="24"/>
          <w:szCs w:val="24"/>
        </w:rPr>
        <w:lastRenderedPageBreak/>
        <w:t xml:space="preserve">էական փոփոխություններ </w:t>
      </w:r>
      <w:r w:rsidR="00C54D75">
        <w:rPr>
          <w:rFonts w:ascii="Sylfaen" w:hAnsi="Sylfaen"/>
          <w:sz w:val="24"/>
          <w:szCs w:val="24"/>
        </w:rPr>
        <w:t>և</w:t>
      </w:r>
      <w:r w:rsidRPr="003B2786">
        <w:rPr>
          <w:rFonts w:ascii="Sylfaen" w:hAnsi="Sylfaen"/>
          <w:sz w:val="24"/>
          <w:szCs w:val="24"/>
        </w:rPr>
        <w:t xml:space="preserve"> II տիպի էական փոփոխություններ՝ սույն փաստաթղթի 1.2 կետի </w:t>
      </w:r>
      <w:r w:rsidR="00C54D75">
        <w:rPr>
          <w:rFonts w:ascii="Sylfaen" w:hAnsi="Sylfaen"/>
          <w:sz w:val="24"/>
          <w:szCs w:val="24"/>
        </w:rPr>
        <w:t>և</w:t>
      </w:r>
      <w:r w:rsidRPr="003B2786">
        <w:rPr>
          <w:rFonts w:ascii="Sylfaen" w:hAnsi="Sylfaen"/>
          <w:sz w:val="24"/>
          <w:szCs w:val="24"/>
        </w:rPr>
        <w:t xml:space="preserve"> սույն փաստաթղթի II լրացման սահմանումներին համապատասխան: Դրանում նա</w:t>
      </w:r>
      <w:r w:rsidR="00C54D75">
        <w:rPr>
          <w:rFonts w:ascii="Sylfaen" w:hAnsi="Sylfaen"/>
          <w:sz w:val="24"/>
          <w:szCs w:val="24"/>
        </w:rPr>
        <w:t>և</w:t>
      </w:r>
      <w:r w:rsidRPr="003B2786">
        <w:rPr>
          <w:rFonts w:ascii="Sylfaen" w:hAnsi="Sylfaen"/>
          <w:sz w:val="24"/>
          <w:szCs w:val="24"/>
        </w:rPr>
        <w:t xml:space="preserve"> նշվում է, թե IA տիպի փոփոխություններից որոնք են սույն Հավելվածի 2.1.2 </w:t>
      </w:r>
      <w:r w:rsidR="00C54D75">
        <w:rPr>
          <w:rFonts w:ascii="Sylfaen" w:hAnsi="Sylfaen"/>
          <w:sz w:val="24"/>
          <w:szCs w:val="24"/>
        </w:rPr>
        <w:t>և</w:t>
      </w:r>
      <w:r w:rsidRPr="003B2786">
        <w:rPr>
          <w:rFonts w:ascii="Sylfaen" w:hAnsi="Sylfaen"/>
          <w:sz w:val="24"/>
          <w:szCs w:val="24"/>
        </w:rPr>
        <w:t xml:space="preserve"> 3.1.2 ենթակետերի համաձայն պահանջում անհապաղ ծանուցում.</w:t>
      </w:r>
    </w:p>
    <w:p w14:paraId="1A3247BD"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այն օրինակների ցանկը, որոնք անհրաժեշտ է դիտարկել որպես IB տիպի ոչ էական փոփոխություններ: </w:t>
      </w:r>
    </w:p>
    <w:p w14:paraId="15F6F075"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Սույն փաստաթղթի 1.3 կետի համաձայն՝ այս </w:t>
      </w:r>
      <w:r w:rsidRPr="003B2786">
        <w:rPr>
          <w:rFonts w:ascii="Sylfaen" w:hAnsi="Sylfaen"/>
          <w:sz w:val="24"/>
          <w:szCs w:val="24"/>
        </w:rPr>
        <w:tab/>
        <w:t>կատեգորիան տրվում է ինքնաբերաբար: Սույն լրացումն այս առումով նախատեսված չէ փոփոխությունների այդպիսի կատեգորիայի սպառիչ ցանկը սահմանելու համար:</w:t>
      </w:r>
    </w:p>
    <w:p w14:paraId="3D738754"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V լրացման մեջ գրանցման ընդլայնումները չեն դիտարկվում, քանի որ դրանք պատշաճ կերպով նկարագրված են սույն փաստաթղթի I լրացման մեջ: Սույն փաստաթղթի I լրացման մեջ նկարագրված բոլոր փոփոխությունները հարկավոր է դիտարկել որպես գրանցման ընդլայնումներ: Մյուս բոլոր փոփոխությունները չպետք է մեկնաբանվեն որպես այդպիսիք:</w:t>
      </w:r>
    </w:p>
    <w:p w14:paraId="141B7EA8"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Եթե IA տիպի ոչ էական փոփոխությունների առնչությամբ սույն լրացման մեջ սահմանված պայմաններից մեկը կամ մի քանիսը չեն պահպանվում, այդպիսի փոփոխությունը կարելի է ներկայացնել որպես IB տիպի փոփոխություն («IB տիպի ինքնաբերական փոփոխություն»), եթե սույն լրացման կամ սույն փաստաթղթի 1.5 կետի համաձայն կազմված առաջարկության մեջ այդպիսի փոփոխությունը չի մեկնաբանվում որպես II տիպի փոփոխություն, կամ եթե հայտատուն չհամարի, որ փոփոխությունները կարող են ազդեցություն ունենալ դեղապատրաստուկի 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վրա:</w:t>
      </w:r>
    </w:p>
    <w:p w14:paraId="7DD69E09"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Եթե լիազորված մարմինը փոփոխություններ կատարելու մասին հայտն ուսումնասիրելիս համարի, որ որպես IB տիպի ինքնաբերական փոփոխություն ներկայացված փոփոխությունը կարող է զգալի ազդեցություն ունենալ դեղապատրաստուկի 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վրա, նա իրավունք ունի հայտատուից պահանջել փոփոխություններ կատարելու մասին </w:t>
      </w:r>
      <w:r w:rsidRPr="003B2786">
        <w:rPr>
          <w:rFonts w:ascii="Sylfaen" w:hAnsi="Sylfaen"/>
          <w:sz w:val="24"/>
          <w:szCs w:val="24"/>
        </w:rPr>
        <w:lastRenderedPageBreak/>
        <w:t xml:space="preserve">հայտը փոփոխել </w:t>
      </w:r>
      <w:r w:rsidR="00C54D75">
        <w:rPr>
          <w:rFonts w:ascii="Sylfaen" w:hAnsi="Sylfaen"/>
          <w:sz w:val="24"/>
          <w:szCs w:val="24"/>
        </w:rPr>
        <w:t>և</w:t>
      </w:r>
      <w:r w:rsidRPr="003B2786">
        <w:rPr>
          <w:rFonts w:ascii="Sylfaen" w:hAnsi="Sylfaen"/>
          <w:sz w:val="24"/>
          <w:szCs w:val="24"/>
        </w:rPr>
        <w:t xml:space="preserve"> ներկայացնել փաստաթղթեր, որոնցով հաստատվում է տվյալ փոփոխությունը </w:t>
      </w:r>
      <w:r w:rsidR="00C54D75">
        <w:rPr>
          <w:rFonts w:ascii="Sylfaen" w:hAnsi="Sylfaen"/>
          <w:sz w:val="24"/>
          <w:szCs w:val="24"/>
        </w:rPr>
        <w:t>և</w:t>
      </w:r>
      <w:r w:rsidRPr="003B2786">
        <w:rPr>
          <w:rFonts w:ascii="Sylfaen" w:hAnsi="Sylfaen"/>
          <w:sz w:val="24"/>
          <w:szCs w:val="24"/>
        </w:rPr>
        <w:t xml:space="preserve"> դրա վերագրումը II տիպի փոփոխության դասին:</w:t>
      </w:r>
    </w:p>
    <w:p w14:paraId="2D79C984"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Սույն լրացման նպատակներով «փորձարկման ընթացակարգ» (test procedure) եզրույթն ունի նույն իմաստը, ինչ որ «վերլուծական մեթոդիկա»-ն (analytical procedure), իսկ «սահմաններ» (limits) եզրույթը՝ «ընդունելիության չափանիշներ»-ը (acceptance criteria): «Մասնագրի պարամետր» ասելով՝ հասկանում ենք որակի ցուցանիշ, որի առնչությամբ սահմանվում են վերլուծական մեթոդիկան </w:t>
      </w:r>
      <w:r w:rsidR="00C54D75">
        <w:rPr>
          <w:rFonts w:ascii="Sylfaen" w:hAnsi="Sylfaen"/>
          <w:sz w:val="24"/>
          <w:szCs w:val="24"/>
        </w:rPr>
        <w:t>և</w:t>
      </w:r>
      <w:r w:rsidRPr="003B2786">
        <w:rPr>
          <w:rFonts w:ascii="Sylfaen" w:hAnsi="Sylfaen"/>
          <w:sz w:val="24"/>
          <w:szCs w:val="24"/>
        </w:rPr>
        <w:t xml:space="preserve"> ընդունելիության չափանիշները, ինչպես օրինակ՝ ջրի քանակական որոշումը, իսկությունն ու պարունակությունը: Այսպիսով, մասնագրի պարամետրի ավելացումը կամ բացառումը ներառում է համապատասխան վերլուծական մեթոդիկան </w:t>
      </w:r>
      <w:r w:rsidR="00C54D75">
        <w:rPr>
          <w:rFonts w:ascii="Sylfaen" w:hAnsi="Sylfaen"/>
          <w:sz w:val="24"/>
          <w:szCs w:val="24"/>
        </w:rPr>
        <w:t>և</w:t>
      </w:r>
      <w:r w:rsidRPr="003B2786">
        <w:rPr>
          <w:rFonts w:ascii="Sylfaen" w:hAnsi="Sylfaen"/>
          <w:sz w:val="24"/>
          <w:szCs w:val="24"/>
        </w:rPr>
        <w:t xml:space="preserve"> ընդունելիության չափանիշները:</w:t>
      </w:r>
    </w:p>
    <w:p w14:paraId="34348560"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Եթե մի</w:t>
      </w:r>
      <w:r w:rsidR="00C54D75">
        <w:rPr>
          <w:rFonts w:ascii="Sylfaen" w:hAnsi="Sylfaen"/>
          <w:sz w:val="24"/>
          <w:szCs w:val="24"/>
        </w:rPr>
        <w:t>և</w:t>
      </w:r>
      <w:r w:rsidRPr="003B2786">
        <w:rPr>
          <w:rFonts w:ascii="Sylfaen" w:hAnsi="Sylfaen"/>
          <w:sz w:val="24"/>
          <w:szCs w:val="24"/>
        </w:rPr>
        <w:t>նույն ժամանակ տեղի է ունենում մի քանի ոչ էական փոփոխություն (օրինակ`մի</w:t>
      </w:r>
      <w:r w:rsidR="00C54D75">
        <w:rPr>
          <w:rFonts w:ascii="Sylfaen" w:hAnsi="Sylfaen"/>
          <w:sz w:val="24"/>
          <w:szCs w:val="24"/>
        </w:rPr>
        <w:t>և</w:t>
      </w:r>
      <w:r w:rsidRPr="003B2786">
        <w:rPr>
          <w:rFonts w:ascii="Sylfaen" w:hAnsi="Sylfaen"/>
          <w:sz w:val="24"/>
          <w:szCs w:val="24"/>
        </w:rPr>
        <w:t xml:space="preserve">նույն մեթոդի, գործընթացի կամ նյութի), կամ զգալիորեն թարմացվում են ակտիվ դեղագործական բաղադրամասի կամ դեղապատրաստուկի որակի մասին տեղեկությունները, ապա դասակարգման պատշաճ կատեգորիա ընտրելիս հայտատուն պետք է հաշվի առնի այդպիսի փոփոխությունների ամբողջական ազդեցությունը դեղապատրաստուկի որակի, անվտանգության </w:t>
      </w:r>
      <w:r w:rsidR="00C54D75">
        <w:rPr>
          <w:rFonts w:ascii="Sylfaen" w:hAnsi="Sylfaen"/>
          <w:sz w:val="24"/>
          <w:szCs w:val="24"/>
        </w:rPr>
        <w:t>և</w:t>
      </w:r>
      <w:r w:rsidRPr="003B2786">
        <w:rPr>
          <w:rFonts w:ascii="Sylfaen" w:hAnsi="Sylfaen"/>
          <w:sz w:val="24"/>
          <w:szCs w:val="24"/>
        </w:rPr>
        <w:t xml:space="preserve"> արդյունավետության վրա </w:t>
      </w:r>
      <w:r w:rsidR="00C54D75">
        <w:rPr>
          <w:rFonts w:ascii="Sylfaen" w:hAnsi="Sylfaen"/>
          <w:sz w:val="24"/>
          <w:szCs w:val="24"/>
        </w:rPr>
        <w:t>և</w:t>
      </w:r>
      <w:r w:rsidRPr="003B2786">
        <w:rPr>
          <w:rFonts w:ascii="Sylfaen" w:hAnsi="Sylfaen"/>
          <w:sz w:val="24"/>
          <w:szCs w:val="24"/>
        </w:rPr>
        <w:t xml:space="preserve"> դրանք ներկայացնի համապատասխան ձ</w:t>
      </w:r>
      <w:r w:rsidR="00C54D75">
        <w:rPr>
          <w:rFonts w:ascii="Sylfaen" w:hAnsi="Sylfaen"/>
          <w:sz w:val="24"/>
          <w:szCs w:val="24"/>
        </w:rPr>
        <w:t>և</w:t>
      </w:r>
      <w:r w:rsidRPr="003B2786">
        <w:rPr>
          <w:rFonts w:ascii="Sylfaen" w:hAnsi="Sylfaen"/>
          <w:sz w:val="24"/>
          <w:szCs w:val="24"/>
        </w:rPr>
        <w:t>ով:</w:t>
      </w:r>
    </w:p>
    <w:p w14:paraId="5DED8519"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IB </w:t>
      </w:r>
      <w:r w:rsidR="00C54D75">
        <w:rPr>
          <w:rFonts w:ascii="Sylfaen" w:hAnsi="Sylfaen"/>
          <w:sz w:val="24"/>
          <w:szCs w:val="24"/>
        </w:rPr>
        <w:t>և</w:t>
      </w:r>
      <w:r w:rsidRPr="003B2786">
        <w:rPr>
          <w:rFonts w:ascii="Sylfaen" w:hAnsi="Sylfaen"/>
          <w:sz w:val="24"/>
          <w:szCs w:val="24"/>
        </w:rPr>
        <w:t xml:space="preserve"> II տիպի փոփոխությունների կատարումը հիմնավորող փաստաթղթերը պայմանավորված են այդպիսի փոփոխությունների բնույթով:</w:t>
      </w:r>
    </w:p>
    <w:p w14:paraId="7C17E605"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Բացի այդ, եթե փոփոխությունը պահանջում է դեղապատրաստուկի ընդհանուր բնութագրի, մականշվածքի կամ ներդիր թերթիկի վերանայում («տեղեկատվություն դեղապատրաստուկի մասին» եզրույթի ներքո միավորվող), ապա այդ հանգամանքը դիտարկվում է որպես այդպիսի փոփոխության մաս: Այս դեպքում դեղապատրաստուկի մասին թարմացված տեղեկատվությունը հարկավոր է ներկայացնել որպես դոսյեի մաս՝ անդամ պետությունների պետական լեզուներով կատարված թարգմանության հետ միասին, անդամ </w:t>
      </w:r>
      <w:r w:rsidRPr="003B2786">
        <w:rPr>
          <w:rFonts w:ascii="Sylfaen" w:hAnsi="Sylfaen"/>
          <w:sz w:val="24"/>
          <w:szCs w:val="24"/>
        </w:rPr>
        <w:lastRenderedPageBreak/>
        <w:t>պետությունների օրենսդրությունում համապատասխան պահանջի առկայության դեպքում: Փաթեթվածքի մանրակերտերը հարկավոր է ներկայացնել ռեֆերենտ</w:t>
      </w:r>
      <w:r w:rsidRPr="003B2786" w:rsidDel="000835CF">
        <w:rPr>
          <w:rFonts w:ascii="Sylfaen" w:hAnsi="Sylfaen"/>
          <w:sz w:val="24"/>
          <w:szCs w:val="24"/>
        </w:rPr>
        <w:t xml:space="preserve"> </w:t>
      </w:r>
      <w:r w:rsidRPr="003B2786">
        <w:rPr>
          <w:rFonts w:ascii="Sylfaen" w:hAnsi="Sylfaen"/>
          <w:sz w:val="24"/>
          <w:szCs w:val="24"/>
        </w:rPr>
        <w:t>պետության կամ համապատասխանաբար ճանաչման պետության լիազորված մարմին (փորձագիտական կազմակերպություն):</w:t>
      </w:r>
    </w:p>
    <w:p w14:paraId="3BE05B22"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Միության դեղագրքի կամ այդ անդամ պետության դեղագրքի թարմացված հոդվածի մասին չի պահանջվում ծանուցել անդամ պետությունների լիազորված մարմիններին, եթե գրանցված դեղապատրաստուկի դոսյեում հղում է կատարվում գործող խմբագրությանը: Հայտատուներին հարկավոր է հիշել, որ թարմացված հոդվածին համապատասխանեցումը պետք է իրականացվի դրա հրապարակման օրվանից 180 օրացուցային օրվա ընթացքում:</w:t>
      </w:r>
    </w:p>
    <w:p w14:paraId="2914F102"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 xml:space="preserve">Սույն լրացման Դ բաժնում ներկայացված է ՊՄՖ-ին </w:t>
      </w:r>
      <w:r w:rsidR="00C54D75">
        <w:rPr>
          <w:rFonts w:ascii="Sylfaen" w:hAnsi="Sylfaen"/>
          <w:sz w:val="24"/>
          <w:szCs w:val="24"/>
        </w:rPr>
        <w:t>և</w:t>
      </w:r>
      <w:r w:rsidRPr="003B2786">
        <w:rPr>
          <w:rFonts w:ascii="Sylfaen" w:hAnsi="Sylfaen"/>
          <w:sz w:val="24"/>
          <w:szCs w:val="24"/>
        </w:rPr>
        <w:t xml:space="preserve"> ՊՀՄՖ-ին բնորոշ փոփոխությունների ցանկը: Այդպիսի փոփոխությունների փորձաքննությունից հետո ցանկացած հիշատակված գրանցման դոսյե ենթակա է թարմացման՝ սույն լրացման Բ.V ենթաբաժնին համապատասխան: Եթե պլազմայից ստացված դեղապատրաստուկի համար որպես ելանյութ օգտագործված՝ մարդու պլազմայի մասին փաստաթղթերը չեն ներկայացվել որպես ՊՄՖ, ապա գրանցման դոսյեում նկարագրված այդպիսի ելանյութի փոփոխությունները նույնպես պետք է մշակվեն՝ սույն լրացմանը համապատասխան:</w:t>
      </w:r>
    </w:p>
    <w:p w14:paraId="236EA269"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Հաշվի առնելով հատուկ ցուցումների բացակայությունը՝ սույն լրացման մեջ դեղապատրաստուկի գրանցման դոսյեի փոփոխություններին արված հղումները ենթադրում են ավելացում, փոխարինում կամ բացառում: Եթե գրանցման դոսյեի ուղղումները խմբագրական բնույթի փոփոխություններ են, ապա այդպիսի փոփոխություններն ընդհանուր առմամբ հարկավոր չէ ներկայացնել որպես առանձին փոփոխության կատարում, այլ թույլատրվում է դրանք ներառել գրանցման դոսյեի համապատասխան մասի փոփոխությունների մեջ:</w:t>
      </w:r>
    </w:p>
    <w:p w14:paraId="665950F6" w14:textId="77777777" w:rsidR="008C76E0" w:rsidRPr="003B2786" w:rsidRDefault="008C76E0" w:rsidP="00945A7B">
      <w:pPr>
        <w:spacing w:after="160" w:line="360" w:lineRule="auto"/>
        <w:ind w:firstLine="567"/>
        <w:jc w:val="both"/>
        <w:rPr>
          <w:rFonts w:ascii="Sylfaen" w:hAnsi="Sylfaen"/>
          <w:sz w:val="24"/>
          <w:szCs w:val="24"/>
        </w:rPr>
      </w:pPr>
      <w:r w:rsidRPr="003B2786">
        <w:rPr>
          <w:rFonts w:ascii="Sylfaen" w:hAnsi="Sylfaen"/>
          <w:sz w:val="24"/>
          <w:szCs w:val="24"/>
        </w:rPr>
        <w:t>Այդ դեպքերում հայտի ձ</w:t>
      </w:r>
      <w:r w:rsidR="00C54D75">
        <w:rPr>
          <w:rFonts w:ascii="Sylfaen" w:hAnsi="Sylfaen"/>
          <w:sz w:val="24"/>
          <w:szCs w:val="24"/>
        </w:rPr>
        <w:t>և</w:t>
      </w:r>
      <w:r w:rsidRPr="003B2786">
        <w:rPr>
          <w:rFonts w:ascii="Sylfaen" w:hAnsi="Sylfaen"/>
          <w:sz w:val="24"/>
          <w:szCs w:val="24"/>
        </w:rPr>
        <w:t xml:space="preserve">ում անհրաժեշտ է հստակ նշել այնպիսի փոփոխություններ, ինչպիսիք են խմբագրական բնույթի ուղղումները, </w:t>
      </w:r>
      <w:r w:rsidR="00C54D75">
        <w:rPr>
          <w:rFonts w:ascii="Sylfaen" w:hAnsi="Sylfaen"/>
          <w:sz w:val="24"/>
          <w:szCs w:val="24"/>
        </w:rPr>
        <w:t>և</w:t>
      </w:r>
      <w:r w:rsidRPr="003B2786">
        <w:rPr>
          <w:rFonts w:ascii="Sylfaen" w:hAnsi="Sylfaen"/>
          <w:sz w:val="24"/>
          <w:szCs w:val="24"/>
        </w:rPr>
        <w:t xml:space="preserve"> ներկայացնել երաշխիքային նամակ, որով հաստատվում է, որ ներկայացված </w:t>
      </w:r>
      <w:r w:rsidRPr="003B2786">
        <w:rPr>
          <w:rFonts w:ascii="Sylfaen" w:hAnsi="Sylfaen"/>
          <w:sz w:val="24"/>
          <w:szCs w:val="24"/>
        </w:rPr>
        <w:lastRenderedPageBreak/>
        <w:t xml:space="preserve">խմբագրական բնույթի ուղղումները չեն ազդում ներկայացված փոփոխության դասակարգման տիպի փոփոխության վրա: Հայտատուի կողմից ներկայացվող խմբագրական բնույթի ուղղումները թույլ են տալիս հանել հնացած կամ ավելորդ տեքստը, բայց ոչ մասնագրի պարամետրերը </w:t>
      </w:r>
      <w:r w:rsidR="00C54D75">
        <w:rPr>
          <w:rFonts w:ascii="Sylfaen" w:hAnsi="Sylfaen"/>
          <w:sz w:val="24"/>
          <w:szCs w:val="24"/>
        </w:rPr>
        <w:t>և</w:t>
      </w:r>
      <w:r w:rsidRPr="003B2786">
        <w:rPr>
          <w:rFonts w:ascii="Sylfaen" w:hAnsi="Sylfaen"/>
          <w:sz w:val="24"/>
          <w:szCs w:val="24"/>
        </w:rPr>
        <w:t xml:space="preserve"> արտադրության նկարագրությունները:</w:t>
      </w:r>
    </w:p>
    <w:p w14:paraId="0B83DDC3" w14:textId="77777777" w:rsidR="008C76E0" w:rsidRPr="006D1911" w:rsidRDefault="008C76E0" w:rsidP="008C76E0">
      <w:pPr>
        <w:ind w:right="-1"/>
        <w:jc w:val="both"/>
        <w:rPr>
          <w:rFonts w:ascii="Sylfaen" w:hAnsi="Sylfaen"/>
          <w:sz w:val="24"/>
          <w:szCs w:val="24"/>
        </w:rPr>
      </w:pPr>
    </w:p>
    <w:tbl>
      <w:tblPr>
        <w:tblOverlap w:val="never"/>
        <w:tblW w:w="10313" w:type="dxa"/>
        <w:jc w:val="center"/>
        <w:tblLayout w:type="fixed"/>
        <w:tblCellMar>
          <w:left w:w="10" w:type="dxa"/>
          <w:right w:w="10" w:type="dxa"/>
        </w:tblCellMar>
        <w:tblLook w:val="04A0" w:firstRow="1" w:lastRow="0" w:firstColumn="1" w:lastColumn="0" w:noHBand="0" w:noVBand="1"/>
      </w:tblPr>
      <w:tblGrid>
        <w:gridCol w:w="2320"/>
        <w:gridCol w:w="2482"/>
        <w:gridCol w:w="1662"/>
        <w:gridCol w:w="1816"/>
        <w:gridCol w:w="201"/>
        <w:gridCol w:w="1832"/>
      </w:tblGrid>
      <w:tr w:rsidR="008C76E0" w:rsidRPr="003B2786" w14:paraId="7CB39793" w14:textId="77777777" w:rsidTr="008C76E0">
        <w:trPr>
          <w:jc w:val="center"/>
        </w:trPr>
        <w:tc>
          <w:tcPr>
            <w:tcW w:w="10313" w:type="dxa"/>
            <w:gridSpan w:val="6"/>
            <w:shd w:val="clear" w:color="auto" w:fill="FFFFFF"/>
          </w:tcPr>
          <w:p w14:paraId="5CDF46F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Ա.Վարչական փոփոխություններ</w:t>
            </w:r>
          </w:p>
        </w:tc>
      </w:tr>
      <w:tr w:rsidR="008C76E0" w:rsidRPr="003B2786" w14:paraId="527381CF" w14:textId="77777777" w:rsidTr="008C76E0">
        <w:trPr>
          <w:jc w:val="center"/>
        </w:trPr>
        <w:tc>
          <w:tcPr>
            <w:tcW w:w="4802" w:type="dxa"/>
            <w:gridSpan w:val="2"/>
            <w:tcBorders>
              <w:top w:val="single" w:sz="4" w:space="0" w:color="auto"/>
              <w:left w:val="single" w:sz="4" w:space="0" w:color="auto"/>
            </w:tcBorders>
            <w:shd w:val="clear" w:color="auto" w:fill="FFFFFF"/>
          </w:tcPr>
          <w:p w14:paraId="10CAD4AC" w14:textId="77777777" w:rsidR="008C76E0" w:rsidRPr="008C76E0" w:rsidRDefault="008C76E0" w:rsidP="008C76E0">
            <w:pPr>
              <w:pStyle w:val="Bodytext180"/>
              <w:shd w:val="clear" w:color="auto" w:fill="auto"/>
              <w:spacing w:before="0" w:after="120" w:line="240" w:lineRule="auto"/>
              <w:ind w:right="180" w:firstLine="0"/>
              <w:jc w:val="both"/>
              <w:rPr>
                <w:rFonts w:ascii="Sylfaen" w:hAnsi="Sylfaen"/>
                <w:b w:val="0"/>
                <w:sz w:val="24"/>
                <w:szCs w:val="24"/>
                <w:lang w:val="hy-AM"/>
              </w:rPr>
            </w:pPr>
            <w:r w:rsidRPr="003B2786">
              <w:rPr>
                <w:rStyle w:val="Bodytext1811pt"/>
                <w:rFonts w:ascii="Sylfaen" w:hAnsi="Sylfaen"/>
                <w:sz w:val="24"/>
                <w:szCs w:val="24"/>
              </w:rPr>
              <w:t>Ա.1.</w:t>
            </w:r>
            <w:r w:rsidRPr="003B2786">
              <w:rPr>
                <w:rStyle w:val="Bodytext1811pt"/>
                <w:rFonts w:ascii="Sylfaen" w:hAnsi="Sylfaen"/>
                <w:sz w:val="24"/>
                <w:szCs w:val="24"/>
              </w:rPr>
              <w:tab/>
              <w:t xml:space="preserve">Գրանցման հավաստագրի իրավատիրոջ անվանման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հասցեի փոփոխություն</w:t>
            </w:r>
          </w:p>
        </w:tc>
        <w:tc>
          <w:tcPr>
            <w:tcW w:w="1662" w:type="dxa"/>
            <w:tcBorders>
              <w:top w:val="single" w:sz="4" w:space="0" w:color="auto"/>
              <w:left w:val="single" w:sz="4" w:space="0" w:color="auto"/>
            </w:tcBorders>
            <w:shd w:val="clear" w:color="auto" w:fill="FFFFFF"/>
          </w:tcPr>
          <w:p w14:paraId="504D7E1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816" w:type="dxa"/>
            <w:tcBorders>
              <w:top w:val="single" w:sz="4" w:space="0" w:color="auto"/>
              <w:left w:val="single" w:sz="4" w:space="0" w:color="auto"/>
            </w:tcBorders>
            <w:shd w:val="clear" w:color="auto" w:fill="FFFFFF"/>
          </w:tcPr>
          <w:p w14:paraId="47EBD7C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33" w:type="dxa"/>
            <w:gridSpan w:val="2"/>
            <w:tcBorders>
              <w:top w:val="single" w:sz="4" w:space="0" w:color="auto"/>
              <w:left w:val="single" w:sz="4" w:space="0" w:color="auto"/>
              <w:right w:val="single" w:sz="4" w:space="0" w:color="auto"/>
            </w:tcBorders>
            <w:shd w:val="clear" w:color="auto" w:fill="FFFFFF"/>
          </w:tcPr>
          <w:p w14:paraId="3DC1E4C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64E57BC" w14:textId="77777777" w:rsidTr="008C76E0">
        <w:trPr>
          <w:trHeight w:val="307"/>
          <w:jc w:val="center"/>
        </w:trPr>
        <w:tc>
          <w:tcPr>
            <w:tcW w:w="4802" w:type="dxa"/>
            <w:gridSpan w:val="2"/>
            <w:tcBorders>
              <w:top w:val="single" w:sz="4" w:space="0" w:color="auto"/>
              <w:left w:val="single" w:sz="4" w:space="0" w:color="auto"/>
            </w:tcBorders>
            <w:shd w:val="clear" w:color="auto" w:fill="FFFFFF"/>
          </w:tcPr>
          <w:p w14:paraId="3447CD46" w14:textId="77777777" w:rsidR="008C76E0" w:rsidRPr="003B2786" w:rsidRDefault="008C76E0" w:rsidP="008C76E0">
            <w:pPr>
              <w:spacing w:after="120" w:line="240" w:lineRule="auto"/>
              <w:jc w:val="center"/>
              <w:rPr>
                <w:rFonts w:ascii="Sylfaen" w:hAnsi="Sylfaen"/>
                <w:sz w:val="24"/>
                <w:szCs w:val="24"/>
              </w:rPr>
            </w:pPr>
          </w:p>
        </w:tc>
        <w:tc>
          <w:tcPr>
            <w:tcW w:w="1662" w:type="dxa"/>
            <w:tcBorders>
              <w:top w:val="single" w:sz="4" w:space="0" w:color="auto"/>
              <w:left w:val="single" w:sz="4" w:space="0" w:color="auto"/>
            </w:tcBorders>
            <w:shd w:val="clear" w:color="auto" w:fill="FFFFFF"/>
          </w:tcPr>
          <w:p w14:paraId="419ABF8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816" w:type="dxa"/>
            <w:tcBorders>
              <w:top w:val="single" w:sz="4" w:space="0" w:color="auto"/>
              <w:left w:val="single" w:sz="4" w:space="0" w:color="auto"/>
            </w:tcBorders>
            <w:shd w:val="clear" w:color="auto" w:fill="FFFFFF"/>
          </w:tcPr>
          <w:p w14:paraId="68B3B59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1,2</w:t>
            </w:r>
          </w:p>
        </w:tc>
        <w:tc>
          <w:tcPr>
            <w:tcW w:w="2033" w:type="dxa"/>
            <w:gridSpan w:val="2"/>
            <w:tcBorders>
              <w:top w:val="single" w:sz="4" w:space="0" w:color="auto"/>
              <w:left w:val="single" w:sz="4" w:space="0" w:color="auto"/>
              <w:right w:val="single" w:sz="4" w:space="0" w:color="auto"/>
            </w:tcBorders>
            <w:shd w:val="clear" w:color="auto" w:fill="FFFFFF"/>
          </w:tcPr>
          <w:p w14:paraId="5149C66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5EF0C8A"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56887EBE" w14:textId="77777777" w:rsidR="008C76E0" w:rsidRPr="003B2786" w:rsidRDefault="008C76E0" w:rsidP="008C76E0">
            <w:pPr>
              <w:pStyle w:val="Bodytext180"/>
              <w:shd w:val="clear" w:color="auto" w:fill="auto"/>
              <w:spacing w:before="0" w:after="120" w:line="240" w:lineRule="auto"/>
              <w:ind w:firstLine="0"/>
              <w:rPr>
                <w:rFonts w:ascii="Sylfaen" w:hAnsi="Sylfaen"/>
                <w:b w:val="0"/>
                <w:sz w:val="24"/>
                <w:szCs w:val="24"/>
              </w:rPr>
            </w:pPr>
            <w:r w:rsidRPr="003B2786">
              <w:rPr>
                <w:rStyle w:val="Bodytext1811pt"/>
                <w:rFonts w:ascii="Sylfaen" w:hAnsi="Sylfaen"/>
                <w:sz w:val="24"/>
                <w:szCs w:val="24"/>
              </w:rPr>
              <w:t>Պայմանները</w:t>
            </w:r>
          </w:p>
          <w:p w14:paraId="4D7328BF" w14:textId="77777777" w:rsidR="008C76E0" w:rsidRPr="003B2786" w:rsidRDefault="008C76E0" w:rsidP="008C76E0">
            <w:pPr>
              <w:pStyle w:val="Bodytext180"/>
              <w:numPr>
                <w:ilvl w:val="0"/>
                <w:numId w:val="11"/>
              </w:numPr>
              <w:shd w:val="clear" w:color="auto" w:fill="auto"/>
              <w:spacing w:before="0" w:after="120" w:line="240" w:lineRule="auto"/>
              <w:ind w:left="616" w:hanging="568"/>
              <w:rPr>
                <w:rFonts w:ascii="Sylfaen" w:hAnsi="Sylfaen"/>
                <w:b w:val="0"/>
                <w:sz w:val="24"/>
                <w:szCs w:val="24"/>
              </w:rPr>
            </w:pPr>
            <w:r w:rsidRPr="003B2786">
              <w:rPr>
                <w:rStyle w:val="Bodytext1811pt"/>
                <w:rFonts w:ascii="Sylfaen" w:hAnsi="Sylfaen"/>
                <w:sz w:val="24"/>
                <w:szCs w:val="24"/>
              </w:rPr>
              <w:t>Գրանցման հավաստագրի իրավատերը պետք է շարունակի մնալ մի</w:t>
            </w:r>
            <w:r w:rsidR="00C54D75">
              <w:rPr>
                <w:rStyle w:val="Bodytext1811pt"/>
                <w:rFonts w:ascii="Sylfaen" w:hAnsi="Sylfaen"/>
                <w:sz w:val="24"/>
                <w:szCs w:val="24"/>
              </w:rPr>
              <w:t>և</w:t>
            </w:r>
            <w:r w:rsidRPr="003B2786">
              <w:rPr>
                <w:rStyle w:val="Bodytext1811pt"/>
                <w:rFonts w:ascii="Sylfaen" w:hAnsi="Sylfaen"/>
                <w:sz w:val="24"/>
                <w:szCs w:val="24"/>
              </w:rPr>
              <w:t>նույն իրավաբանական անձը:</w:t>
            </w:r>
          </w:p>
        </w:tc>
      </w:tr>
      <w:tr w:rsidR="008C76E0" w:rsidRPr="003B2786" w14:paraId="0F11ADC5"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4EC0EC37" w14:textId="77777777" w:rsidR="008C76E0" w:rsidRPr="008C76E0" w:rsidRDefault="008C76E0" w:rsidP="008C76E0">
            <w:pPr>
              <w:pStyle w:val="Bodytext180"/>
              <w:shd w:val="clear" w:color="auto" w:fill="auto"/>
              <w:spacing w:before="0" w:after="120" w:line="240" w:lineRule="auto"/>
              <w:ind w:firstLine="0"/>
              <w:rPr>
                <w:rFonts w:ascii="Sylfaen" w:hAnsi="Sylfaen"/>
                <w:b w:val="0"/>
                <w:sz w:val="24"/>
                <w:szCs w:val="24"/>
                <w:lang w:val="hy-AM"/>
              </w:rPr>
            </w:pPr>
            <w:r w:rsidRPr="003B2786">
              <w:rPr>
                <w:rStyle w:val="Bodytext1811pt"/>
                <w:rFonts w:ascii="Sylfaen" w:hAnsi="Sylfaen"/>
                <w:sz w:val="24"/>
                <w:szCs w:val="24"/>
              </w:rPr>
              <w:t>Փաստաթղթերը</w:t>
            </w:r>
          </w:p>
          <w:p w14:paraId="5A32CAE7" w14:textId="77777777" w:rsidR="008C76E0" w:rsidRPr="008C76E0" w:rsidRDefault="008C76E0" w:rsidP="008C76E0">
            <w:pPr>
              <w:pStyle w:val="Bodytext180"/>
              <w:shd w:val="clear" w:color="auto" w:fill="auto"/>
              <w:spacing w:before="0" w:after="120" w:line="240" w:lineRule="auto"/>
              <w:ind w:left="566" w:hanging="566"/>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Փաստաթուղթ համապատասխան լիազորված մարմնի (օրինակ՝ հարկային մարմնի) կողմից, որում նշված է նոր անվանումը կամ հասցեն:</w:t>
            </w:r>
          </w:p>
          <w:p w14:paraId="699EE059" w14:textId="77777777" w:rsidR="008C76E0" w:rsidRPr="003B2786" w:rsidRDefault="008C76E0" w:rsidP="008C76E0">
            <w:pPr>
              <w:pStyle w:val="Bodytext180"/>
              <w:shd w:val="clear" w:color="auto" w:fill="auto"/>
              <w:spacing w:before="0" w:after="120" w:line="240" w:lineRule="auto"/>
              <w:ind w:left="566" w:hanging="566"/>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162FF9C9" w14:textId="77777777" w:rsidTr="008C76E0">
        <w:trPr>
          <w:jc w:val="center"/>
        </w:trPr>
        <w:tc>
          <w:tcPr>
            <w:tcW w:w="4802" w:type="dxa"/>
            <w:gridSpan w:val="2"/>
            <w:tcBorders>
              <w:top w:val="single" w:sz="4" w:space="0" w:color="auto"/>
              <w:left w:val="single" w:sz="4" w:space="0" w:color="auto"/>
            </w:tcBorders>
            <w:shd w:val="clear" w:color="auto" w:fill="FFFFFF"/>
          </w:tcPr>
          <w:p w14:paraId="34442693"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1811pt"/>
                <w:rFonts w:ascii="Sylfaen" w:hAnsi="Sylfaen"/>
                <w:sz w:val="24"/>
                <w:szCs w:val="24"/>
              </w:rPr>
              <w:t>Ա.2.</w:t>
            </w:r>
            <w:r w:rsidRPr="003B2786">
              <w:rPr>
                <w:rStyle w:val="Bodytext1811pt"/>
                <w:rFonts w:ascii="Sylfaen" w:hAnsi="Sylfaen"/>
                <w:sz w:val="24"/>
                <w:szCs w:val="24"/>
              </w:rPr>
              <w:tab/>
              <w:t>Դեղապատրաստուկի (առ</w:t>
            </w:r>
            <w:r w:rsidR="00C54D75">
              <w:rPr>
                <w:rStyle w:val="Bodytext1811pt"/>
                <w:rFonts w:ascii="Sylfaen" w:hAnsi="Sylfaen"/>
                <w:sz w:val="24"/>
                <w:szCs w:val="24"/>
              </w:rPr>
              <w:t>և</w:t>
            </w:r>
            <w:r w:rsidRPr="003B2786">
              <w:rPr>
                <w:rStyle w:val="Bodytext1811pt"/>
                <w:rFonts w:ascii="Sylfaen" w:hAnsi="Sylfaen"/>
                <w:sz w:val="24"/>
                <w:szCs w:val="24"/>
              </w:rPr>
              <w:t>տրային) անվանման փոփոխությունը</w:t>
            </w:r>
          </w:p>
        </w:tc>
        <w:tc>
          <w:tcPr>
            <w:tcW w:w="1662" w:type="dxa"/>
            <w:tcBorders>
              <w:top w:val="single" w:sz="4" w:space="0" w:color="auto"/>
              <w:left w:val="single" w:sz="4" w:space="0" w:color="auto"/>
            </w:tcBorders>
            <w:shd w:val="clear" w:color="auto" w:fill="FFFFFF"/>
          </w:tcPr>
          <w:p w14:paraId="35889E3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816" w:type="dxa"/>
            <w:tcBorders>
              <w:top w:val="single" w:sz="4" w:space="0" w:color="auto"/>
              <w:left w:val="single" w:sz="4" w:space="0" w:color="auto"/>
            </w:tcBorders>
            <w:shd w:val="clear" w:color="auto" w:fill="FFFFFF"/>
          </w:tcPr>
          <w:p w14:paraId="552B2C8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33" w:type="dxa"/>
            <w:gridSpan w:val="2"/>
            <w:tcBorders>
              <w:top w:val="single" w:sz="4" w:space="0" w:color="auto"/>
              <w:left w:val="single" w:sz="4" w:space="0" w:color="auto"/>
              <w:right w:val="single" w:sz="4" w:space="0" w:color="auto"/>
            </w:tcBorders>
            <w:shd w:val="clear" w:color="auto" w:fill="FFFFFF"/>
          </w:tcPr>
          <w:p w14:paraId="7459055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7AF3D8D" w14:textId="77777777" w:rsidTr="008C76E0">
        <w:trPr>
          <w:jc w:val="center"/>
        </w:trPr>
        <w:tc>
          <w:tcPr>
            <w:tcW w:w="4802" w:type="dxa"/>
            <w:gridSpan w:val="2"/>
            <w:tcBorders>
              <w:top w:val="single" w:sz="4" w:space="0" w:color="auto"/>
              <w:left w:val="single" w:sz="4" w:space="0" w:color="auto"/>
            </w:tcBorders>
            <w:shd w:val="clear" w:color="auto" w:fill="FFFFFF"/>
          </w:tcPr>
          <w:p w14:paraId="498E59A1" w14:textId="77777777" w:rsidR="008C76E0" w:rsidRPr="008C76E0" w:rsidRDefault="008C76E0" w:rsidP="008C76E0">
            <w:pPr>
              <w:pStyle w:val="Bodytext180"/>
              <w:shd w:val="clear" w:color="auto" w:fill="auto"/>
              <w:tabs>
                <w:tab w:val="left" w:pos="55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Եվրասիական տնտեսական միության շրջանակներում դեղապատրաստուկների գրանցման </w:t>
            </w:r>
            <w:r w:rsidR="00C54D75">
              <w:rPr>
                <w:rStyle w:val="Bodytext1811pt"/>
                <w:rFonts w:ascii="Sylfaen" w:hAnsi="Sylfaen"/>
                <w:sz w:val="24"/>
                <w:szCs w:val="24"/>
              </w:rPr>
              <w:t>և</w:t>
            </w:r>
            <w:r w:rsidRPr="003B2786">
              <w:rPr>
                <w:rStyle w:val="Bodytext1811pt"/>
                <w:rFonts w:ascii="Sylfaen" w:hAnsi="Sylfaen"/>
                <w:sz w:val="24"/>
                <w:szCs w:val="24"/>
              </w:rPr>
              <w:t xml:space="preserve"> փորձաքննության կանոններին համապատասխան գրանցված դեղապատրաստուկներ</w:t>
            </w:r>
          </w:p>
        </w:tc>
        <w:tc>
          <w:tcPr>
            <w:tcW w:w="1662" w:type="dxa"/>
            <w:tcBorders>
              <w:top w:val="single" w:sz="4" w:space="0" w:color="auto"/>
              <w:left w:val="single" w:sz="4" w:space="0" w:color="auto"/>
            </w:tcBorders>
            <w:shd w:val="clear" w:color="auto" w:fill="FFFFFF"/>
          </w:tcPr>
          <w:p w14:paraId="7511458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1</w:t>
            </w:r>
          </w:p>
        </w:tc>
        <w:tc>
          <w:tcPr>
            <w:tcW w:w="1816" w:type="dxa"/>
            <w:tcBorders>
              <w:top w:val="single" w:sz="4" w:space="0" w:color="auto"/>
              <w:left w:val="single" w:sz="4" w:space="0" w:color="auto"/>
            </w:tcBorders>
            <w:shd w:val="clear" w:color="auto" w:fill="FFFFFF"/>
          </w:tcPr>
          <w:p w14:paraId="32A48C2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1,2</w:t>
            </w:r>
          </w:p>
        </w:tc>
        <w:tc>
          <w:tcPr>
            <w:tcW w:w="2033" w:type="dxa"/>
            <w:gridSpan w:val="2"/>
            <w:tcBorders>
              <w:top w:val="single" w:sz="4" w:space="0" w:color="auto"/>
              <w:left w:val="single" w:sz="4" w:space="0" w:color="auto"/>
              <w:right w:val="single" w:sz="4" w:space="0" w:color="auto"/>
            </w:tcBorders>
            <w:shd w:val="clear" w:color="auto" w:fill="FFFFFF"/>
          </w:tcPr>
          <w:p w14:paraId="6DA0AA3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79DD5FA0" w14:textId="77777777" w:rsidTr="008C76E0">
        <w:trPr>
          <w:jc w:val="center"/>
        </w:trPr>
        <w:tc>
          <w:tcPr>
            <w:tcW w:w="4802" w:type="dxa"/>
            <w:gridSpan w:val="2"/>
            <w:tcBorders>
              <w:top w:val="single" w:sz="4" w:space="0" w:color="auto"/>
              <w:left w:val="single" w:sz="4" w:space="0" w:color="auto"/>
            </w:tcBorders>
            <w:shd w:val="clear" w:color="auto" w:fill="FFFFFF"/>
          </w:tcPr>
          <w:p w14:paraId="28D912FB" w14:textId="77777777" w:rsidR="008C76E0" w:rsidRPr="008C76E0" w:rsidRDefault="008C76E0" w:rsidP="008C76E0">
            <w:pPr>
              <w:pStyle w:val="Bodytext180"/>
              <w:shd w:val="clear" w:color="auto" w:fill="auto"/>
              <w:tabs>
                <w:tab w:val="left" w:pos="559"/>
              </w:tabs>
              <w:spacing w:before="0" w:after="120" w:line="240" w:lineRule="auto"/>
              <w:ind w:left="41" w:right="62" w:firstLine="0"/>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Ազգային ընթացակարգով գրանցված դեղապատրաստուկներ (գրանցումը՝ միայն ռեֆերենտ պետությունում) </w:t>
            </w:r>
          </w:p>
        </w:tc>
        <w:tc>
          <w:tcPr>
            <w:tcW w:w="1662" w:type="dxa"/>
            <w:tcBorders>
              <w:top w:val="single" w:sz="4" w:space="0" w:color="auto"/>
              <w:left w:val="single" w:sz="4" w:space="0" w:color="auto"/>
            </w:tcBorders>
            <w:shd w:val="clear" w:color="auto" w:fill="FFFFFF"/>
          </w:tcPr>
          <w:p w14:paraId="2AB9E8F9" w14:textId="77777777" w:rsidR="008C76E0" w:rsidRPr="003B2786" w:rsidRDefault="008C76E0" w:rsidP="008C76E0">
            <w:pPr>
              <w:spacing w:after="120" w:line="240" w:lineRule="auto"/>
              <w:jc w:val="center"/>
              <w:rPr>
                <w:rFonts w:ascii="Sylfaen" w:hAnsi="Sylfaen"/>
                <w:sz w:val="24"/>
                <w:szCs w:val="24"/>
              </w:rPr>
            </w:pPr>
          </w:p>
        </w:tc>
        <w:tc>
          <w:tcPr>
            <w:tcW w:w="1816" w:type="dxa"/>
            <w:tcBorders>
              <w:top w:val="single" w:sz="4" w:space="0" w:color="auto"/>
              <w:left w:val="single" w:sz="4" w:space="0" w:color="auto"/>
            </w:tcBorders>
            <w:shd w:val="clear" w:color="auto" w:fill="FFFFFF"/>
          </w:tcPr>
          <w:p w14:paraId="392B5E5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2</w:t>
            </w:r>
          </w:p>
        </w:tc>
        <w:tc>
          <w:tcPr>
            <w:tcW w:w="2033" w:type="dxa"/>
            <w:gridSpan w:val="2"/>
            <w:tcBorders>
              <w:top w:val="single" w:sz="4" w:space="0" w:color="auto"/>
              <w:left w:val="single" w:sz="4" w:space="0" w:color="auto"/>
              <w:right w:val="single" w:sz="4" w:space="0" w:color="auto"/>
            </w:tcBorders>
            <w:shd w:val="clear" w:color="auto" w:fill="FFFFFF"/>
          </w:tcPr>
          <w:p w14:paraId="4FD001A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3F0CFFD"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3CAA8126" w14:textId="77777777" w:rsidR="008C76E0" w:rsidRPr="003B2786" w:rsidRDefault="008C76E0" w:rsidP="008C76E0">
            <w:pPr>
              <w:pStyle w:val="Bodytext180"/>
              <w:shd w:val="clear" w:color="auto" w:fill="auto"/>
              <w:tabs>
                <w:tab w:val="left" w:pos="574"/>
              </w:tabs>
              <w:spacing w:before="0" w:after="120" w:line="240" w:lineRule="auto"/>
              <w:ind w:left="633" w:hanging="633"/>
              <w:rPr>
                <w:rFonts w:ascii="Sylfaen" w:hAnsi="Sylfaen"/>
                <w:b w:val="0"/>
                <w:sz w:val="24"/>
                <w:szCs w:val="24"/>
              </w:rPr>
            </w:pPr>
            <w:r w:rsidRPr="003B2786">
              <w:rPr>
                <w:rStyle w:val="Bodytext1811pt"/>
                <w:rFonts w:ascii="Sylfaen" w:hAnsi="Sylfaen"/>
                <w:sz w:val="24"/>
                <w:szCs w:val="24"/>
              </w:rPr>
              <w:t>Պայմանները</w:t>
            </w:r>
          </w:p>
          <w:p w14:paraId="74296ABD" w14:textId="77777777" w:rsidR="008C76E0" w:rsidRPr="003B2786" w:rsidRDefault="008C76E0" w:rsidP="008C76E0">
            <w:pPr>
              <w:pStyle w:val="Bodytext180"/>
              <w:numPr>
                <w:ilvl w:val="0"/>
                <w:numId w:val="12"/>
              </w:numPr>
              <w:shd w:val="clear" w:color="auto" w:fill="auto"/>
              <w:tabs>
                <w:tab w:val="left" w:pos="574"/>
              </w:tabs>
              <w:spacing w:before="0" w:after="120" w:line="240" w:lineRule="auto"/>
              <w:ind w:left="633" w:hanging="633"/>
              <w:rPr>
                <w:rFonts w:ascii="Sylfaen" w:hAnsi="Sylfaen"/>
                <w:b w:val="0"/>
                <w:sz w:val="24"/>
                <w:szCs w:val="24"/>
              </w:rPr>
            </w:pPr>
            <w:r w:rsidRPr="003B2786">
              <w:rPr>
                <w:rStyle w:val="Bodytext1811pt"/>
                <w:rFonts w:ascii="Sylfaen" w:hAnsi="Sylfaen"/>
                <w:sz w:val="24"/>
                <w:szCs w:val="24"/>
              </w:rPr>
              <w:t>Նոր անվանման ընդունելիության հաստատումը ռեֆերենտ պետության կողմից</w:t>
            </w:r>
          </w:p>
        </w:tc>
      </w:tr>
      <w:tr w:rsidR="008C76E0" w:rsidRPr="003B2786" w14:paraId="35C23D4F"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78681C83" w14:textId="77777777" w:rsidR="008C76E0" w:rsidRPr="008C76E0" w:rsidRDefault="008C76E0" w:rsidP="008C76E0">
            <w:pPr>
              <w:pStyle w:val="Bodytext180"/>
              <w:shd w:val="clear" w:color="auto" w:fill="auto"/>
              <w:tabs>
                <w:tab w:val="left" w:pos="574"/>
              </w:tabs>
              <w:spacing w:before="0" w:after="120" w:line="240" w:lineRule="auto"/>
              <w:ind w:left="633" w:hanging="633"/>
              <w:rPr>
                <w:rFonts w:ascii="Sylfaen" w:hAnsi="Sylfaen"/>
                <w:b w:val="0"/>
                <w:sz w:val="24"/>
                <w:szCs w:val="24"/>
                <w:lang w:val="hy-AM"/>
              </w:rPr>
            </w:pPr>
            <w:r w:rsidRPr="003B2786">
              <w:rPr>
                <w:rStyle w:val="Bodytext1811pt"/>
                <w:rFonts w:ascii="Sylfaen" w:hAnsi="Sylfaen"/>
                <w:sz w:val="24"/>
                <w:szCs w:val="24"/>
              </w:rPr>
              <w:t>Փաստաթղթերը</w:t>
            </w:r>
          </w:p>
          <w:p w14:paraId="4D1AB451" w14:textId="77777777" w:rsidR="008C76E0" w:rsidRPr="008C76E0" w:rsidRDefault="008C76E0" w:rsidP="008C76E0">
            <w:pPr>
              <w:pStyle w:val="Bodytext180"/>
              <w:shd w:val="clear" w:color="auto" w:fill="auto"/>
              <w:tabs>
                <w:tab w:val="left" w:pos="574"/>
              </w:tabs>
              <w:spacing w:before="0" w:after="120" w:line="240" w:lineRule="auto"/>
              <w:ind w:left="633" w:hanging="633"/>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Ռեֆերենտ պետության՝ նոր (առ</w:t>
            </w:r>
            <w:r w:rsidR="00C54D75">
              <w:rPr>
                <w:rStyle w:val="Bodytext1811pt"/>
                <w:rFonts w:ascii="Sylfaen" w:hAnsi="Sylfaen"/>
                <w:sz w:val="24"/>
                <w:szCs w:val="24"/>
              </w:rPr>
              <w:t>և</w:t>
            </w:r>
            <w:r w:rsidRPr="003B2786">
              <w:rPr>
                <w:rStyle w:val="Bodytext1811pt"/>
                <w:rFonts w:ascii="Sylfaen" w:hAnsi="Sylfaen"/>
                <w:sz w:val="24"/>
                <w:szCs w:val="24"/>
              </w:rPr>
              <w:t>տրային) անվանման ընդունելիության մասին նամակի պատճենը:</w:t>
            </w:r>
          </w:p>
          <w:p w14:paraId="14846277" w14:textId="77777777" w:rsidR="008C76E0" w:rsidRPr="003B2786" w:rsidRDefault="008C76E0" w:rsidP="008C76E0">
            <w:pPr>
              <w:pStyle w:val="Bodytext180"/>
              <w:shd w:val="clear" w:color="auto" w:fill="auto"/>
              <w:tabs>
                <w:tab w:val="left" w:pos="574"/>
              </w:tabs>
              <w:spacing w:before="0" w:after="120" w:line="240" w:lineRule="auto"/>
              <w:ind w:left="633" w:hanging="633"/>
              <w:rPr>
                <w:rFonts w:ascii="Sylfaen" w:hAnsi="Sylfaen"/>
                <w:b w:val="0"/>
                <w:sz w:val="24"/>
                <w:szCs w:val="24"/>
              </w:rPr>
            </w:pPr>
            <w:r w:rsidRPr="003B2786">
              <w:rPr>
                <w:rFonts w:ascii="Sylfaen" w:hAnsi="Sylfaen"/>
                <w:b w:val="0"/>
                <w:sz w:val="24"/>
                <w:szCs w:val="24"/>
              </w:rPr>
              <w:lastRenderedPageBreak/>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2567CA5C" w14:textId="77777777" w:rsidTr="008C76E0">
        <w:trPr>
          <w:jc w:val="center"/>
        </w:trPr>
        <w:tc>
          <w:tcPr>
            <w:tcW w:w="4802" w:type="dxa"/>
            <w:gridSpan w:val="2"/>
            <w:tcBorders>
              <w:top w:val="single" w:sz="4" w:space="0" w:color="auto"/>
              <w:left w:val="single" w:sz="4" w:space="0" w:color="auto"/>
            </w:tcBorders>
            <w:shd w:val="clear" w:color="auto" w:fill="FFFFFF"/>
          </w:tcPr>
          <w:p w14:paraId="77B6BD83" w14:textId="77777777" w:rsidR="008C76E0" w:rsidRPr="008C76E0" w:rsidRDefault="008C76E0" w:rsidP="008C76E0">
            <w:pPr>
              <w:pStyle w:val="Bodytext180"/>
              <w:shd w:val="clear" w:color="auto" w:fill="auto"/>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lastRenderedPageBreak/>
              <w:t>Ա.З. Ակտիվ դեղագործական բաղադրամասի կամ օժանդակ նյութի անվանման փոփոխությունը</w:t>
            </w:r>
          </w:p>
        </w:tc>
        <w:tc>
          <w:tcPr>
            <w:tcW w:w="1662" w:type="dxa"/>
            <w:tcBorders>
              <w:top w:val="single" w:sz="4" w:space="0" w:color="auto"/>
              <w:left w:val="single" w:sz="4" w:space="0" w:color="auto"/>
            </w:tcBorders>
            <w:shd w:val="clear" w:color="auto" w:fill="FFFFFF"/>
          </w:tcPr>
          <w:p w14:paraId="3891452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816" w:type="dxa"/>
            <w:tcBorders>
              <w:top w:val="single" w:sz="4" w:space="0" w:color="auto"/>
              <w:left w:val="single" w:sz="4" w:space="0" w:color="auto"/>
            </w:tcBorders>
            <w:shd w:val="clear" w:color="auto" w:fill="FFFFFF"/>
          </w:tcPr>
          <w:p w14:paraId="3817891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33" w:type="dxa"/>
            <w:gridSpan w:val="2"/>
            <w:tcBorders>
              <w:top w:val="single" w:sz="4" w:space="0" w:color="auto"/>
              <w:left w:val="single" w:sz="4" w:space="0" w:color="auto"/>
              <w:right w:val="single" w:sz="4" w:space="0" w:color="auto"/>
            </w:tcBorders>
            <w:shd w:val="clear" w:color="auto" w:fill="FFFFFF"/>
          </w:tcPr>
          <w:p w14:paraId="79F41F7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1829AA1" w14:textId="77777777" w:rsidTr="008C76E0">
        <w:trPr>
          <w:jc w:val="center"/>
        </w:trPr>
        <w:tc>
          <w:tcPr>
            <w:tcW w:w="4802" w:type="dxa"/>
            <w:gridSpan w:val="2"/>
            <w:tcBorders>
              <w:top w:val="single" w:sz="4" w:space="0" w:color="auto"/>
              <w:left w:val="single" w:sz="4" w:space="0" w:color="auto"/>
            </w:tcBorders>
            <w:shd w:val="clear" w:color="auto" w:fill="FFFFFF"/>
          </w:tcPr>
          <w:p w14:paraId="19CAF2D5" w14:textId="77777777" w:rsidR="008C76E0" w:rsidRPr="003B2786" w:rsidRDefault="008C76E0" w:rsidP="008C76E0">
            <w:pPr>
              <w:spacing w:after="120" w:line="240" w:lineRule="auto"/>
              <w:jc w:val="both"/>
              <w:rPr>
                <w:rFonts w:ascii="Sylfaen" w:hAnsi="Sylfaen"/>
                <w:sz w:val="24"/>
                <w:szCs w:val="24"/>
              </w:rPr>
            </w:pPr>
          </w:p>
        </w:tc>
        <w:tc>
          <w:tcPr>
            <w:tcW w:w="1662" w:type="dxa"/>
            <w:tcBorders>
              <w:top w:val="single" w:sz="4" w:space="0" w:color="auto"/>
              <w:left w:val="single" w:sz="4" w:space="0" w:color="auto"/>
            </w:tcBorders>
            <w:shd w:val="clear" w:color="auto" w:fill="FFFFFF"/>
          </w:tcPr>
          <w:p w14:paraId="19D28CD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1,2</w:t>
            </w:r>
          </w:p>
        </w:tc>
        <w:tc>
          <w:tcPr>
            <w:tcW w:w="1816" w:type="dxa"/>
            <w:tcBorders>
              <w:top w:val="single" w:sz="4" w:space="0" w:color="auto"/>
              <w:left w:val="single" w:sz="4" w:space="0" w:color="auto"/>
            </w:tcBorders>
            <w:shd w:val="clear" w:color="auto" w:fill="FFFFFF"/>
          </w:tcPr>
          <w:p w14:paraId="3D71646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5pt"/>
                <w:rFonts w:ascii="Sylfaen" w:hAnsi="Sylfaen"/>
                <w:sz w:val="24"/>
                <w:szCs w:val="24"/>
              </w:rPr>
              <w:t>1,2</w:t>
            </w:r>
          </w:p>
        </w:tc>
        <w:tc>
          <w:tcPr>
            <w:tcW w:w="2033" w:type="dxa"/>
            <w:gridSpan w:val="2"/>
            <w:tcBorders>
              <w:top w:val="single" w:sz="4" w:space="0" w:color="auto"/>
              <w:left w:val="single" w:sz="4" w:space="0" w:color="auto"/>
              <w:right w:val="single" w:sz="4" w:space="0" w:color="auto"/>
            </w:tcBorders>
            <w:shd w:val="clear" w:color="auto" w:fill="FFFFFF"/>
          </w:tcPr>
          <w:p w14:paraId="42249C0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9A71DD1"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5A72BD0C" w14:textId="77777777" w:rsidR="008C76E0" w:rsidRPr="003B2786" w:rsidRDefault="008C76E0" w:rsidP="008C76E0">
            <w:pPr>
              <w:pStyle w:val="Bodytext180"/>
              <w:shd w:val="clear" w:color="auto" w:fill="auto"/>
              <w:spacing w:before="0" w:after="120" w:line="240" w:lineRule="auto"/>
              <w:ind w:firstLine="0"/>
              <w:rPr>
                <w:rFonts w:ascii="Sylfaen" w:hAnsi="Sylfaen"/>
                <w:b w:val="0"/>
                <w:sz w:val="24"/>
                <w:szCs w:val="24"/>
              </w:rPr>
            </w:pPr>
            <w:r w:rsidRPr="003B2786">
              <w:rPr>
                <w:rStyle w:val="Bodytext1811pt"/>
                <w:rFonts w:ascii="Sylfaen" w:hAnsi="Sylfaen"/>
                <w:sz w:val="24"/>
                <w:szCs w:val="24"/>
              </w:rPr>
              <w:t>Պայմանները</w:t>
            </w:r>
          </w:p>
          <w:p w14:paraId="7ECB55CA" w14:textId="77777777" w:rsidR="008C76E0" w:rsidRPr="003B2786" w:rsidRDefault="008C76E0" w:rsidP="008C76E0">
            <w:pPr>
              <w:pStyle w:val="Bodytext180"/>
              <w:numPr>
                <w:ilvl w:val="0"/>
                <w:numId w:val="13"/>
              </w:numPr>
              <w:shd w:val="clear" w:color="auto" w:fill="auto"/>
              <w:spacing w:before="0" w:after="120" w:line="240" w:lineRule="auto"/>
              <w:rPr>
                <w:rFonts w:ascii="Sylfaen" w:hAnsi="Sylfaen"/>
                <w:b w:val="0"/>
                <w:sz w:val="24"/>
                <w:szCs w:val="24"/>
              </w:rPr>
            </w:pPr>
            <w:r w:rsidRPr="003B2786">
              <w:rPr>
                <w:rStyle w:val="Bodytext1811pt"/>
                <w:rFonts w:ascii="Sylfaen" w:hAnsi="Sylfaen"/>
                <w:sz w:val="24"/>
                <w:szCs w:val="24"/>
              </w:rPr>
              <w:t>Դեղագործական բաղադրամասը (օժանդակ նյութը) չի փոփոխվում:</w:t>
            </w:r>
          </w:p>
        </w:tc>
      </w:tr>
      <w:tr w:rsidR="008C76E0" w:rsidRPr="003B2786" w14:paraId="3F2D1B35"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7B2FC971" w14:textId="77777777" w:rsidR="008C76E0" w:rsidRPr="008C76E0" w:rsidRDefault="008C76E0" w:rsidP="008C76E0">
            <w:pPr>
              <w:pStyle w:val="Bodytext180"/>
              <w:shd w:val="clear" w:color="auto" w:fill="auto"/>
              <w:spacing w:before="0" w:after="120" w:line="240" w:lineRule="auto"/>
              <w:ind w:left="633" w:hanging="633"/>
              <w:rPr>
                <w:rFonts w:ascii="Sylfaen" w:hAnsi="Sylfaen"/>
                <w:b w:val="0"/>
                <w:sz w:val="24"/>
                <w:szCs w:val="24"/>
                <w:lang w:val="hy-AM"/>
              </w:rPr>
            </w:pPr>
            <w:r w:rsidRPr="003B2786">
              <w:rPr>
                <w:rStyle w:val="Bodytext1811pt"/>
                <w:rFonts w:ascii="Sylfaen" w:hAnsi="Sylfaen"/>
                <w:sz w:val="24"/>
                <w:szCs w:val="24"/>
              </w:rPr>
              <w:t>Փաստաթղթերը</w:t>
            </w:r>
          </w:p>
          <w:p w14:paraId="734FF12E" w14:textId="77777777" w:rsidR="008C76E0" w:rsidRPr="008C76E0" w:rsidRDefault="008C76E0" w:rsidP="008C76E0">
            <w:pPr>
              <w:pStyle w:val="Bodytext180"/>
              <w:shd w:val="clear" w:color="auto" w:fill="auto"/>
              <w:spacing w:before="0" w:after="120" w:line="240" w:lineRule="auto"/>
              <w:ind w:left="633" w:right="187" w:hanging="633"/>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ԱՀԿ-ի հաստատման վկայագիրը կամ ՄՉԱ-ի ցանկի պատճենը: Եթե կիրառելի է՝ այն փաստի հաստատումը, որ փոփոխությունը համապատասխանում է Միության դեղագրքին: Հայտարարագիր առ այն, որ բուսական ծագման դեղաբուսական պատրաստուկների անվանումները համապատասխանում են Միության փաստաթղթերին:</w:t>
            </w:r>
          </w:p>
          <w:p w14:paraId="5CE458BC" w14:textId="77777777" w:rsidR="008C76E0" w:rsidRPr="003B2786" w:rsidRDefault="008C76E0" w:rsidP="008C76E0">
            <w:pPr>
              <w:pStyle w:val="Bodytext180"/>
              <w:shd w:val="clear" w:color="auto" w:fill="auto"/>
              <w:spacing w:before="0" w:after="120" w:line="240" w:lineRule="auto"/>
              <w:ind w:left="633" w:hanging="633"/>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3E6C571B" w14:textId="77777777" w:rsidTr="008C76E0">
        <w:trPr>
          <w:jc w:val="center"/>
        </w:trPr>
        <w:tc>
          <w:tcPr>
            <w:tcW w:w="4802" w:type="dxa"/>
            <w:gridSpan w:val="2"/>
            <w:tcBorders>
              <w:top w:val="single" w:sz="4" w:space="0" w:color="auto"/>
              <w:left w:val="single" w:sz="4" w:space="0" w:color="auto"/>
              <w:bottom w:val="single" w:sz="4" w:space="0" w:color="auto"/>
            </w:tcBorders>
            <w:shd w:val="clear" w:color="auto" w:fill="FFFFFF"/>
          </w:tcPr>
          <w:p w14:paraId="4079A435" w14:textId="77777777" w:rsidR="008C76E0" w:rsidRPr="008C76E0" w:rsidRDefault="008C76E0" w:rsidP="008C76E0">
            <w:pPr>
              <w:pStyle w:val="Bodytext180"/>
              <w:shd w:val="clear" w:color="auto" w:fill="auto"/>
              <w:spacing w:before="0" w:after="120" w:line="240" w:lineRule="auto"/>
              <w:ind w:left="65" w:right="204" w:firstLine="0"/>
              <w:jc w:val="both"/>
              <w:rPr>
                <w:rFonts w:ascii="Sylfaen" w:hAnsi="Sylfaen"/>
                <w:b w:val="0"/>
                <w:sz w:val="24"/>
                <w:szCs w:val="24"/>
                <w:lang w:val="hy-AM"/>
              </w:rPr>
            </w:pPr>
            <w:r w:rsidRPr="003B2786">
              <w:rPr>
                <w:rStyle w:val="Bodytext1811pt"/>
                <w:rFonts w:ascii="Sylfaen" w:hAnsi="Sylfaen"/>
                <w:sz w:val="24"/>
                <w:szCs w:val="24"/>
              </w:rPr>
              <w:t>Ա.4.</w:t>
            </w:r>
            <w:r w:rsidRPr="003B2786">
              <w:rPr>
                <w:rStyle w:val="Bodytext1811pt"/>
                <w:rFonts w:ascii="Sylfaen" w:hAnsi="Sylfaen"/>
                <w:sz w:val="24"/>
                <w:szCs w:val="24"/>
              </w:rPr>
              <w:tab/>
              <w:t>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անձանց անվանման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հասցեի փոփոխությունը՝ արտադրողը (ներառյալ`եթե կիրառելի են, որակի հսկողության հարթակները) կամ ԱԴԲՄՖ-ի իրավատերը կամ ակտիվ դեղագործական բաղադրամասի արտադրության մեջ օգտագործվող ակտիվ դեղագործական բաղադրամասի, ելանյութերի, ռեակտիվների կամ միջանկյալ արտադրանքի մատակարարը (եթե նշված է տեխնիկական դոսյեում), եթե գրանցման դոսյեում բացակայում են Ph. Eur.-ին համապատասխանության կամ նոր օժանդակ նյութի արտադրողի հավաստագրերը (եթե նշված է տեխնիկական դոսյեում)</w:t>
            </w:r>
          </w:p>
        </w:tc>
        <w:tc>
          <w:tcPr>
            <w:tcW w:w="1662" w:type="dxa"/>
            <w:tcBorders>
              <w:top w:val="single" w:sz="4" w:space="0" w:color="auto"/>
              <w:left w:val="single" w:sz="4" w:space="0" w:color="auto"/>
              <w:bottom w:val="single" w:sz="4" w:space="0" w:color="auto"/>
            </w:tcBorders>
            <w:shd w:val="clear" w:color="auto" w:fill="FFFFFF"/>
          </w:tcPr>
          <w:p w14:paraId="159D6AE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816" w:type="dxa"/>
            <w:tcBorders>
              <w:top w:val="single" w:sz="4" w:space="0" w:color="auto"/>
              <w:left w:val="single" w:sz="4" w:space="0" w:color="auto"/>
              <w:bottom w:val="single" w:sz="4" w:space="0" w:color="auto"/>
            </w:tcBorders>
            <w:shd w:val="clear" w:color="auto" w:fill="FFFFFF"/>
          </w:tcPr>
          <w:p w14:paraId="531C18F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33" w:type="dxa"/>
            <w:gridSpan w:val="2"/>
            <w:tcBorders>
              <w:top w:val="single" w:sz="4" w:space="0" w:color="auto"/>
              <w:left w:val="single" w:sz="4" w:space="0" w:color="auto"/>
              <w:bottom w:val="single" w:sz="4" w:space="0" w:color="auto"/>
              <w:right w:val="single" w:sz="4" w:space="0" w:color="auto"/>
            </w:tcBorders>
            <w:shd w:val="clear" w:color="auto" w:fill="FFFFFF"/>
          </w:tcPr>
          <w:p w14:paraId="77F6497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C2F5550" w14:textId="77777777" w:rsidTr="008C76E0">
        <w:trPr>
          <w:trHeight w:val="263"/>
          <w:jc w:val="center"/>
        </w:trPr>
        <w:tc>
          <w:tcPr>
            <w:tcW w:w="4802" w:type="dxa"/>
            <w:gridSpan w:val="2"/>
            <w:tcBorders>
              <w:top w:val="single" w:sz="4" w:space="0" w:color="auto"/>
              <w:left w:val="single" w:sz="4" w:space="0" w:color="auto"/>
            </w:tcBorders>
            <w:shd w:val="clear" w:color="auto" w:fill="FFFFFF"/>
          </w:tcPr>
          <w:p w14:paraId="5D5685BE" w14:textId="77777777" w:rsidR="008C76E0" w:rsidRPr="003B2786" w:rsidRDefault="008C76E0" w:rsidP="008C76E0">
            <w:pPr>
              <w:pStyle w:val="Bodytext180"/>
              <w:shd w:val="clear" w:color="auto" w:fill="auto"/>
              <w:spacing w:before="0" w:after="120" w:line="240" w:lineRule="auto"/>
              <w:ind w:left="65" w:right="204" w:firstLine="0"/>
              <w:jc w:val="both"/>
              <w:rPr>
                <w:rFonts w:ascii="Sylfaen" w:hAnsi="Sylfaen"/>
                <w:b w:val="0"/>
                <w:sz w:val="24"/>
                <w:szCs w:val="24"/>
              </w:rPr>
            </w:pPr>
          </w:p>
        </w:tc>
        <w:tc>
          <w:tcPr>
            <w:tcW w:w="1662" w:type="dxa"/>
            <w:tcBorders>
              <w:top w:val="single" w:sz="4" w:space="0" w:color="auto"/>
              <w:left w:val="single" w:sz="4" w:space="0" w:color="auto"/>
            </w:tcBorders>
            <w:shd w:val="clear" w:color="auto" w:fill="FFFFFF"/>
          </w:tcPr>
          <w:p w14:paraId="5B55A92E" w14:textId="77777777" w:rsidR="008C76E0" w:rsidRPr="003B2786" w:rsidRDefault="008C76E0" w:rsidP="008C76E0">
            <w:pPr>
              <w:spacing w:after="120" w:line="240" w:lineRule="auto"/>
              <w:jc w:val="center"/>
              <w:rPr>
                <w:rFonts w:ascii="Sylfaen" w:hAnsi="Sylfaen"/>
                <w:sz w:val="24"/>
                <w:szCs w:val="24"/>
              </w:rPr>
            </w:pPr>
          </w:p>
        </w:tc>
        <w:tc>
          <w:tcPr>
            <w:tcW w:w="1816" w:type="dxa"/>
            <w:tcBorders>
              <w:top w:val="single" w:sz="4" w:space="0" w:color="auto"/>
              <w:left w:val="single" w:sz="4" w:space="0" w:color="auto"/>
            </w:tcBorders>
            <w:shd w:val="clear" w:color="auto" w:fill="FFFFFF"/>
          </w:tcPr>
          <w:p w14:paraId="00483DC7" w14:textId="77777777" w:rsidR="008C76E0" w:rsidRPr="003B2786" w:rsidRDefault="008C76E0" w:rsidP="008C76E0">
            <w:pPr>
              <w:spacing w:after="120" w:line="240" w:lineRule="auto"/>
              <w:jc w:val="center"/>
              <w:rPr>
                <w:rFonts w:ascii="Sylfaen" w:hAnsi="Sylfaen"/>
                <w:sz w:val="24"/>
                <w:szCs w:val="24"/>
              </w:rPr>
            </w:pPr>
          </w:p>
        </w:tc>
        <w:tc>
          <w:tcPr>
            <w:tcW w:w="2033" w:type="dxa"/>
            <w:gridSpan w:val="2"/>
            <w:tcBorders>
              <w:top w:val="single" w:sz="4" w:space="0" w:color="auto"/>
              <w:left w:val="single" w:sz="4" w:space="0" w:color="auto"/>
              <w:right w:val="single" w:sz="4" w:space="0" w:color="auto"/>
            </w:tcBorders>
            <w:shd w:val="clear" w:color="auto" w:fill="FFFFFF"/>
          </w:tcPr>
          <w:p w14:paraId="6E76BCA1" w14:textId="77777777" w:rsidR="008C76E0" w:rsidRPr="003B2786" w:rsidRDefault="008C76E0" w:rsidP="008C76E0">
            <w:pPr>
              <w:spacing w:after="120" w:line="240" w:lineRule="auto"/>
              <w:jc w:val="center"/>
              <w:rPr>
                <w:rFonts w:ascii="Sylfaen" w:hAnsi="Sylfaen"/>
                <w:sz w:val="24"/>
                <w:szCs w:val="24"/>
              </w:rPr>
            </w:pPr>
          </w:p>
        </w:tc>
      </w:tr>
      <w:tr w:rsidR="008C76E0" w:rsidRPr="003B2786" w14:paraId="1D046447" w14:textId="77777777" w:rsidTr="008C76E0">
        <w:trPr>
          <w:jc w:val="center"/>
        </w:trPr>
        <w:tc>
          <w:tcPr>
            <w:tcW w:w="4802" w:type="dxa"/>
            <w:gridSpan w:val="2"/>
            <w:tcBorders>
              <w:top w:val="single" w:sz="4" w:space="0" w:color="auto"/>
              <w:left w:val="single" w:sz="4" w:space="0" w:color="auto"/>
            </w:tcBorders>
            <w:shd w:val="clear" w:color="auto" w:fill="FFFFFF"/>
          </w:tcPr>
          <w:p w14:paraId="1EE8CAC9" w14:textId="77777777" w:rsidR="008C76E0" w:rsidRPr="003B2786" w:rsidRDefault="008C76E0" w:rsidP="008C76E0">
            <w:pPr>
              <w:spacing w:after="120" w:line="240" w:lineRule="auto"/>
              <w:jc w:val="both"/>
              <w:rPr>
                <w:rFonts w:ascii="Sylfaen" w:hAnsi="Sylfaen"/>
                <w:sz w:val="24"/>
                <w:szCs w:val="24"/>
              </w:rPr>
            </w:pPr>
          </w:p>
        </w:tc>
        <w:tc>
          <w:tcPr>
            <w:tcW w:w="1662" w:type="dxa"/>
            <w:tcBorders>
              <w:top w:val="single" w:sz="4" w:space="0" w:color="auto"/>
              <w:left w:val="single" w:sz="4" w:space="0" w:color="auto"/>
            </w:tcBorders>
            <w:shd w:val="clear" w:color="auto" w:fill="FFFFFF"/>
          </w:tcPr>
          <w:p w14:paraId="63B849F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816" w:type="dxa"/>
            <w:tcBorders>
              <w:top w:val="single" w:sz="4" w:space="0" w:color="auto"/>
              <w:left w:val="single" w:sz="4" w:space="0" w:color="auto"/>
            </w:tcBorders>
            <w:shd w:val="clear" w:color="auto" w:fill="FFFFFF"/>
          </w:tcPr>
          <w:p w14:paraId="2FFBB8B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1,2,3</w:t>
            </w:r>
          </w:p>
        </w:tc>
        <w:tc>
          <w:tcPr>
            <w:tcW w:w="2033" w:type="dxa"/>
            <w:gridSpan w:val="2"/>
            <w:tcBorders>
              <w:top w:val="single" w:sz="4" w:space="0" w:color="auto"/>
              <w:left w:val="single" w:sz="4" w:space="0" w:color="auto"/>
              <w:right w:val="single" w:sz="4" w:space="0" w:color="auto"/>
            </w:tcBorders>
            <w:shd w:val="clear" w:color="auto" w:fill="FFFFFF"/>
          </w:tcPr>
          <w:p w14:paraId="66E93E3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9B5C4FB"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4C87B648"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1811pt"/>
                <w:rFonts w:ascii="Sylfaen" w:hAnsi="Sylfaen"/>
                <w:sz w:val="24"/>
                <w:szCs w:val="24"/>
              </w:rPr>
              <w:t>Պայմանները</w:t>
            </w:r>
          </w:p>
          <w:p w14:paraId="0D68D4BB" w14:textId="77777777" w:rsidR="008C76E0" w:rsidRPr="008C76E0" w:rsidRDefault="008C76E0" w:rsidP="008C76E0">
            <w:pPr>
              <w:pStyle w:val="Bodytext180"/>
              <w:shd w:val="clear" w:color="auto" w:fill="auto"/>
              <w:spacing w:before="0" w:after="120" w:line="240" w:lineRule="auto"/>
              <w:ind w:firstLine="0"/>
              <w:jc w:val="center"/>
              <w:rPr>
                <w:rFonts w:ascii="Sylfaen" w:hAnsi="Sylfaen"/>
                <w:b w:val="0"/>
                <w:sz w:val="24"/>
                <w:szCs w:val="24"/>
                <w:lang w:val="hy-AM"/>
              </w:rPr>
            </w:pPr>
            <w:r w:rsidRPr="003B2786">
              <w:rPr>
                <w:rStyle w:val="Bodytext1811pt"/>
                <w:rFonts w:ascii="Sylfaen" w:hAnsi="Sylfaen"/>
                <w:sz w:val="24"/>
                <w:szCs w:val="24"/>
              </w:rPr>
              <w:t xml:space="preserve">1. Արտադրական հարթակը </w:t>
            </w:r>
            <w:r w:rsidR="00C54D75">
              <w:rPr>
                <w:rStyle w:val="Bodytext1811pt"/>
                <w:rFonts w:ascii="Sylfaen" w:hAnsi="Sylfaen"/>
                <w:sz w:val="24"/>
                <w:szCs w:val="24"/>
              </w:rPr>
              <w:t>և</w:t>
            </w:r>
            <w:r w:rsidRPr="003B2786">
              <w:rPr>
                <w:rStyle w:val="Bodytext1811pt"/>
                <w:rFonts w:ascii="Sylfaen" w:hAnsi="Sylfaen"/>
                <w:sz w:val="24"/>
                <w:szCs w:val="24"/>
              </w:rPr>
              <w:t xml:space="preserve"> արտադրական գործառնություններից </w:t>
            </w:r>
            <w:r w:rsidR="00C54D75">
              <w:rPr>
                <w:rStyle w:val="Bodytext1811pt"/>
                <w:rFonts w:ascii="Sylfaen" w:hAnsi="Sylfaen"/>
                <w:sz w:val="24"/>
                <w:szCs w:val="24"/>
              </w:rPr>
              <w:t>և</w:t>
            </w:r>
            <w:r w:rsidRPr="003B2786">
              <w:rPr>
                <w:rStyle w:val="Bodytext1811pt"/>
                <w:rFonts w:ascii="Sylfaen" w:hAnsi="Sylfaen"/>
                <w:sz w:val="24"/>
                <w:szCs w:val="24"/>
              </w:rPr>
              <w:t xml:space="preserve"> ոչ մեկը չեն փոփոխվում:</w:t>
            </w:r>
          </w:p>
        </w:tc>
      </w:tr>
      <w:tr w:rsidR="008C76E0" w:rsidRPr="003B2786" w14:paraId="486BE7C4"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1D5289C2" w14:textId="77777777" w:rsidR="008C76E0" w:rsidRPr="008C76E0" w:rsidRDefault="008C76E0" w:rsidP="008C76E0">
            <w:pPr>
              <w:pStyle w:val="Bodytext180"/>
              <w:shd w:val="clear" w:color="auto" w:fill="auto"/>
              <w:spacing w:before="0" w:line="240" w:lineRule="auto"/>
              <w:ind w:firstLine="0"/>
              <w:jc w:val="center"/>
              <w:rPr>
                <w:rFonts w:ascii="Sylfaen" w:hAnsi="Sylfaen"/>
                <w:b w:val="0"/>
                <w:sz w:val="24"/>
                <w:szCs w:val="24"/>
                <w:lang w:val="hy-AM"/>
              </w:rPr>
            </w:pPr>
            <w:r w:rsidRPr="003B2786">
              <w:rPr>
                <w:rStyle w:val="Bodytext1811pt"/>
                <w:rFonts w:ascii="Sylfaen" w:hAnsi="Sylfaen"/>
                <w:sz w:val="24"/>
                <w:szCs w:val="24"/>
              </w:rPr>
              <w:t>Փաստաթղթերը</w:t>
            </w:r>
          </w:p>
          <w:p w14:paraId="027B9047" w14:textId="77777777" w:rsidR="008C76E0" w:rsidRPr="008C76E0" w:rsidRDefault="008C76E0" w:rsidP="008C76E0">
            <w:pPr>
              <w:pStyle w:val="Bodytext180"/>
              <w:shd w:val="clear" w:color="auto" w:fill="auto"/>
              <w:spacing w:before="0" w:line="240" w:lineRule="auto"/>
              <w:ind w:firstLine="0"/>
              <w:jc w:val="center"/>
              <w:rPr>
                <w:rFonts w:ascii="Sylfaen" w:hAnsi="Sylfaen"/>
                <w:b w:val="0"/>
                <w:sz w:val="24"/>
                <w:szCs w:val="24"/>
                <w:lang w:val="hy-AM"/>
              </w:rPr>
            </w:pPr>
            <w:r w:rsidRPr="008C76E0">
              <w:rPr>
                <w:rFonts w:ascii="Sylfaen" w:hAnsi="Sylfaen"/>
                <w:b w:val="0"/>
                <w:sz w:val="24"/>
                <w:szCs w:val="24"/>
                <w:lang w:val="hy-AM"/>
              </w:rPr>
              <w:t xml:space="preserve">1. </w:t>
            </w:r>
            <w:r w:rsidRPr="003B2786">
              <w:rPr>
                <w:rStyle w:val="Bodytext1811pt"/>
                <w:rFonts w:ascii="Sylfaen" w:hAnsi="Sylfaen"/>
                <w:sz w:val="24"/>
                <w:szCs w:val="24"/>
              </w:rPr>
              <w:t xml:space="preserve">Պաշտոնական փաստաթուղթ լիազորված մարմնի (օրինակ՝ հարկային մարմնի) կողմից, որում նշված է նոր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հասցեն:</w:t>
            </w:r>
          </w:p>
          <w:p w14:paraId="595A9B21" w14:textId="77777777" w:rsidR="008C76E0" w:rsidRPr="008C76E0" w:rsidRDefault="008C76E0" w:rsidP="008C76E0">
            <w:pPr>
              <w:pStyle w:val="Bodytext180"/>
              <w:shd w:val="clear" w:color="auto" w:fill="auto"/>
              <w:spacing w:before="0" w:line="240" w:lineRule="auto"/>
              <w:ind w:firstLine="0"/>
              <w:jc w:val="center"/>
              <w:rPr>
                <w:rFonts w:ascii="Sylfaen" w:hAnsi="Sylfaen"/>
                <w:b w:val="0"/>
                <w:sz w:val="24"/>
                <w:szCs w:val="24"/>
                <w:lang w:val="hy-AM"/>
              </w:rPr>
            </w:pPr>
            <w:r w:rsidRPr="008C76E0">
              <w:rPr>
                <w:rFonts w:ascii="Sylfaen" w:hAnsi="Sylfaen"/>
                <w:b w:val="0"/>
                <w:sz w:val="24"/>
                <w:szCs w:val="24"/>
                <w:lang w:val="hy-AM"/>
              </w:rPr>
              <w:lastRenderedPageBreak/>
              <w:t xml:space="preserve">2. </w:t>
            </w:r>
            <w:r w:rsidRPr="003B2786">
              <w:rPr>
                <w:rStyle w:val="Bodytext1811pt"/>
                <w:rFonts w:ascii="Sylfaen" w:hAnsi="Sylfaen"/>
                <w:sz w:val="24"/>
                <w:szCs w:val="24"/>
              </w:rPr>
              <w:t>Դոսյեի համապատասխան բաժնում ուղղում կատարելը</w:t>
            </w:r>
          </w:p>
          <w:p w14:paraId="03FE28B2" w14:textId="77777777" w:rsidR="008C76E0" w:rsidRPr="008C76E0" w:rsidRDefault="008C76E0" w:rsidP="008C76E0">
            <w:pPr>
              <w:pStyle w:val="Bodytext180"/>
              <w:shd w:val="clear" w:color="auto" w:fill="auto"/>
              <w:spacing w:before="0" w:line="240" w:lineRule="auto"/>
              <w:ind w:firstLine="0"/>
              <w:jc w:val="center"/>
              <w:rPr>
                <w:rFonts w:ascii="Sylfaen" w:hAnsi="Sylfaen"/>
                <w:b w:val="0"/>
                <w:sz w:val="24"/>
                <w:szCs w:val="24"/>
                <w:lang w:val="hy-AM"/>
              </w:rPr>
            </w:pPr>
            <w:r w:rsidRPr="008C76E0">
              <w:rPr>
                <w:rFonts w:ascii="Sylfaen" w:hAnsi="Sylfaen"/>
                <w:b w:val="0"/>
                <w:sz w:val="24"/>
                <w:szCs w:val="24"/>
                <w:lang w:val="hy-AM"/>
              </w:rPr>
              <w:t xml:space="preserve">3. </w:t>
            </w:r>
            <w:r w:rsidRPr="003B2786">
              <w:rPr>
                <w:rStyle w:val="Bodytext1811pt"/>
                <w:rFonts w:ascii="Sylfaen" w:hAnsi="Sylfaen"/>
                <w:sz w:val="24"/>
                <w:szCs w:val="24"/>
              </w:rPr>
              <w:t>Ակտիվ դեղագործական բաղադրամասի մաստեր-ֆայլի (ԱԴԲՄՖ-ի) իրավատիրոջ անվանումը փոփոխելիս թարմացված «հասանելիության թույլտվություն»:</w:t>
            </w:r>
          </w:p>
        </w:tc>
      </w:tr>
      <w:tr w:rsidR="008C76E0" w:rsidRPr="003B2786" w14:paraId="2A34FFCE" w14:textId="77777777" w:rsidTr="008C76E0">
        <w:trPr>
          <w:jc w:val="center"/>
        </w:trPr>
        <w:tc>
          <w:tcPr>
            <w:tcW w:w="4802" w:type="dxa"/>
            <w:gridSpan w:val="2"/>
            <w:tcBorders>
              <w:top w:val="single" w:sz="4" w:space="0" w:color="auto"/>
              <w:left w:val="single" w:sz="4" w:space="0" w:color="auto"/>
            </w:tcBorders>
            <w:shd w:val="clear" w:color="auto" w:fill="FFFFFF"/>
          </w:tcPr>
          <w:p w14:paraId="6EA71F65" w14:textId="77777777" w:rsidR="008C76E0" w:rsidRPr="008C76E0" w:rsidRDefault="008C76E0" w:rsidP="008C76E0">
            <w:pPr>
              <w:pStyle w:val="Bodytext180"/>
              <w:shd w:val="clear" w:color="auto" w:fill="auto"/>
              <w:tabs>
                <w:tab w:val="left" w:pos="633"/>
              </w:tabs>
              <w:spacing w:before="0" w:after="120" w:line="240" w:lineRule="auto"/>
              <w:ind w:left="65" w:right="204" w:firstLine="0"/>
              <w:jc w:val="both"/>
              <w:rPr>
                <w:rFonts w:ascii="Sylfaen" w:hAnsi="Sylfaen"/>
                <w:b w:val="0"/>
                <w:sz w:val="24"/>
                <w:szCs w:val="24"/>
                <w:lang w:val="hy-AM"/>
              </w:rPr>
            </w:pPr>
            <w:r w:rsidRPr="003B2786">
              <w:rPr>
                <w:rStyle w:val="Bodytext1811pt"/>
                <w:rFonts w:ascii="Sylfaen" w:hAnsi="Sylfaen"/>
                <w:sz w:val="24"/>
                <w:szCs w:val="24"/>
              </w:rPr>
              <w:lastRenderedPageBreak/>
              <w:t>Ա.5.</w:t>
            </w:r>
            <w:r w:rsidRPr="003B2786">
              <w:rPr>
                <w:rStyle w:val="Bodytext1811pt"/>
                <w:rFonts w:ascii="Sylfaen" w:hAnsi="Sylfaen"/>
                <w:sz w:val="24"/>
                <w:szCs w:val="24"/>
              </w:rPr>
              <w:tab/>
              <w:t xml:space="preserve">Դեղապատրաստուկ արտադրողի, ներառյալ՝ բացթողման հարթակների </w:t>
            </w:r>
            <w:r w:rsidR="00C54D75">
              <w:rPr>
                <w:rStyle w:val="Bodytext1811pt"/>
                <w:rFonts w:ascii="Sylfaen" w:hAnsi="Sylfaen"/>
                <w:sz w:val="24"/>
                <w:szCs w:val="24"/>
              </w:rPr>
              <w:t>և</w:t>
            </w:r>
            <w:r w:rsidRPr="003B2786">
              <w:rPr>
                <w:rStyle w:val="Bodytext1811pt"/>
                <w:rFonts w:ascii="Sylfaen" w:hAnsi="Sylfaen"/>
                <w:sz w:val="24"/>
                <w:szCs w:val="24"/>
              </w:rPr>
              <w:t xml:space="preserve"> որակի հսկողության հարթակների անվանման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հասցեի փոփոխությունը</w:t>
            </w:r>
          </w:p>
        </w:tc>
        <w:tc>
          <w:tcPr>
            <w:tcW w:w="1662" w:type="dxa"/>
            <w:tcBorders>
              <w:top w:val="single" w:sz="4" w:space="0" w:color="auto"/>
              <w:left w:val="single" w:sz="4" w:space="0" w:color="auto"/>
            </w:tcBorders>
            <w:shd w:val="clear" w:color="auto" w:fill="FFFFFF"/>
          </w:tcPr>
          <w:p w14:paraId="1C6C53B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tcBorders>
            <w:shd w:val="clear" w:color="auto" w:fill="FFFFFF"/>
          </w:tcPr>
          <w:p w14:paraId="02D3534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002F1B3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A30D309" w14:textId="77777777" w:rsidTr="008C76E0">
        <w:trPr>
          <w:jc w:val="center"/>
        </w:trPr>
        <w:tc>
          <w:tcPr>
            <w:tcW w:w="4802" w:type="dxa"/>
            <w:gridSpan w:val="2"/>
            <w:tcBorders>
              <w:top w:val="single" w:sz="4" w:space="0" w:color="auto"/>
              <w:left w:val="single" w:sz="4" w:space="0" w:color="auto"/>
            </w:tcBorders>
            <w:shd w:val="clear" w:color="auto" w:fill="FFFFFF"/>
          </w:tcPr>
          <w:p w14:paraId="4E4649FC" w14:textId="77777777" w:rsidR="008C76E0" w:rsidRPr="008C76E0" w:rsidRDefault="008C76E0" w:rsidP="008C76E0">
            <w:pPr>
              <w:pStyle w:val="Bodytext180"/>
              <w:shd w:val="clear" w:color="auto" w:fill="auto"/>
              <w:tabs>
                <w:tab w:val="left" w:pos="633"/>
              </w:tabs>
              <w:spacing w:before="0" w:line="240" w:lineRule="auto"/>
              <w:ind w:left="65" w:right="204"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գործողությունները, որոնց համար պատասխանատու է արտադրողը (ներմուծողը), ներառում են սերիաների բացթողումը:</w:t>
            </w:r>
          </w:p>
        </w:tc>
        <w:tc>
          <w:tcPr>
            <w:tcW w:w="1662" w:type="dxa"/>
            <w:tcBorders>
              <w:top w:val="single" w:sz="4" w:space="0" w:color="auto"/>
              <w:left w:val="single" w:sz="4" w:space="0" w:color="auto"/>
            </w:tcBorders>
            <w:shd w:val="clear" w:color="auto" w:fill="FFFFFF"/>
          </w:tcPr>
          <w:p w14:paraId="7991356A"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2017" w:type="dxa"/>
            <w:gridSpan w:val="2"/>
            <w:tcBorders>
              <w:top w:val="single" w:sz="4" w:space="0" w:color="auto"/>
              <w:left w:val="single" w:sz="4" w:space="0" w:color="auto"/>
            </w:tcBorders>
            <w:shd w:val="clear" w:color="auto" w:fill="FFFFFF"/>
          </w:tcPr>
          <w:p w14:paraId="52BB20C9"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832" w:type="dxa"/>
            <w:tcBorders>
              <w:top w:val="single" w:sz="4" w:space="0" w:color="auto"/>
              <w:left w:val="single" w:sz="4" w:space="0" w:color="auto"/>
              <w:right w:val="single" w:sz="4" w:space="0" w:color="auto"/>
            </w:tcBorders>
            <w:shd w:val="clear" w:color="auto" w:fill="FFFFFF"/>
          </w:tcPr>
          <w:p w14:paraId="6FE5B3D5"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022D9C14" w14:textId="77777777" w:rsidTr="008C76E0">
        <w:trPr>
          <w:jc w:val="center"/>
        </w:trPr>
        <w:tc>
          <w:tcPr>
            <w:tcW w:w="4802" w:type="dxa"/>
            <w:gridSpan w:val="2"/>
            <w:tcBorders>
              <w:top w:val="single" w:sz="4" w:space="0" w:color="auto"/>
              <w:left w:val="single" w:sz="4" w:space="0" w:color="auto"/>
            </w:tcBorders>
            <w:shd w:val="clear" w:color="auto" w:fill="FFFFFF"/>
          </w:tcPr>
          <w:p w14:paraId="1E1CE666" w14:textId="77777777" w:rsidR="008C76E0" w:rsidRPr="008C76E0" w:rsidRDefault="008C76E0" w:rsidP="008C76E0">
            <w:pPr>
              <w:pStyle w:val="Bodytext180"/>
              <w:shd w:val="clear" w:color="auto" w:fill="auto"/>
              <w:tabs>
                <w:tab w:val="left" w:pos="633"/>
              </w:tabs>
              <w:spacing w:before="0" w:line="240" w:lineRule="auto"/>
              <w:ind w:left="65" w:right="204"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գործողությունները, որոնց համար պատասխանատու է արտադրողը (ներմուծողը), չեն ներառում սերիաների բացթողում:</w:t>
            </w:r>
          </w:p>
        </w:tc>
        <w:tc>
          <w:tcPr>
            <w:tcW w:w="1662" w:type="dxa"/>
            <w:tcBorders>
              <w:top w:val="single" w:sz="4" w:space="0" w:color="auto"/>
              <w:left w:val="single" w:sz="4" w:space="0" w:color="auto"/>
            </w:tcBorders>
            <w:shd w:val="clear" w:color="auto" w:fill="FFFFFF"/>
          </w:tcPr>
          <w:p w14:paraId="55BFA0A2"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2017" w:type="dxa"/>
            <w:gridSpan w:val="2"/>
            <w:tcBorders>
              <w:top w:val="single" w:sz="4" w:space="0" w:color="auto"/>
              <w:left w:val="single" w:sz="4" w:space="0" w:color="auto"/>
            </w:tcBorders>
            <w:shd w:val="clear" w:color="auto" w:fill="FFFFFF"/>
          </w:tcPr>
          <w:p w14:paraId="33824EEE"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832" w:type="dxa"/>
            <w:tcBorders>
              <w:top w:val="single" w:sz="4" w:space="0" w:color="auto"/>
              <w:left w:val="single" w:sz="4" w:space="0" w:color="auto"/>
              <w:right w:val="single" w:sz="4" w:space="0" w:color="auto"/>
            </w:tcBorders>
            <w:shd w:val="clear" w:color="auto" w:fill="FFFFFF"/>
          </w:tcPr>
          <w:p w14:paraId="291ABF67"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9A79418"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2AC94D96" w14:textId="77777777" w:rsidR="008C76E0" w:rsidRPr="008C76E0" w:rsidRDefault="008C76E0" w:rsidP="008C76E0">
            <w:pPr>
              <w:pStyle w:val="Bodytext180"/>
              <w:shd w:val="clear" w:color="auto" w:fill="auto"/>
              <w:spacing w:before="0" w:after="120" w:line="240" w:lineRule="auto"/>
              <w:ind w:left="491" w:right="187" w:hanging="491"/>
              <w:rPr>
                <w:rFonts w:ascii="Sylfaen" w:hAnsi="Sylfaen"/>
                <w:b w:val="0"/>
                <w:sz w:val="24"/>
                <w:szCs w:val="24"/>
                <w:lang w:val="hy-AM"/>
              </w:rPr>
            </w:pPr>
            <w:r w:rsidRPr="003B2786">
              <w:rPr>
                <w:rStyle w:val="Bodytext1811pt"/>
                <w:rFonts w:ascii="Sylfaen" w:hAnsi="Sylfaen"/>
                <w:sz w:val="24"/>
                <w:szCs w:val="24"/>
              </w:rPr>
              <w:t>Պայմանները</w:t>
            </w:r>
          </w:p>
          <w:p w14:paraId="07B22E51" w14:textId="77777777" w:rsidR="008C76E0" w:rsidRPr="008C76E0" w:rsidRDefault="008C76E0" w:rsidP="008C76E0">
            <w:pPr>
              <w:pStyle w:val="Bodytext180"/>
              <w:shd w:val="clear" w:color="auto" w:fill="auto"/>
              <w:spacing w:before="0" w:after="120" w:line="240" w:lineRule="auto"/>
              <w:ind w:left="491" w:right="187" w:hanging="491"/>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Արտադրական հարթակը, որի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հասցեն փոփոխվում են, իսկ արտադրության գործընթացներից </w:t>
            </w:r>
            <w:r w:rsidR="00C54D75">
              <w:rPr>
                <w:rStyle w:val="Bodytext1811pt"/>
                <w:rFonts w:ascii="Sylfaen" w:hAnsi="Sylfaen"/>
                <w:sz w:val="24"/>
                <w:szCs w:val="24"/>
              </w:rPr>
              <w:t>և</w:t>
            </w:r>
            <w:r w:rsidRPr="003B2786">
              <w:rPr>
                <w:rStyle w:val="Bodytext1811pt"/>
                <w:rFonts w:ascii="Sylfaen" w:hAnsi="Sylfaen"/>
                <w:sz w:val="24"/>
                <w:szCs w:val="24"/>
              </w:rPr>
              <w:t xml:space="preserve"> ոչ մեկը չի փոփոխվում:</w:t>
            </w:r>
          </w:p>
        </w:tc>
      </w:tr>
      <w:tr w:rsidR="008C76E0" w:rsidRPr="003B2786" w14:paraId="70800BB5"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0CE93F2E" w14:textId="77777777" w:rsidR="008C76E0" w:rsidRPr="008C76E0" w:rsidRDefault="008C76E0" w:rsidP="008C76E0">
            <w:pPr>
              <w:pStyle w:val="Bodytext180"/>
              <w:shd w:val="clear" w:color="auto" w:fill="auto"/>
              <w:spacing w:before="0" w:after="120" w:line="240" w:lineRule="auto"/>
              <w:ind w:left="491" w:right="187" w:hanging="491"/>
              <w:rPr>
                <w:rFonts w:ascii="Sylfaen" w:hAnsi="Sylfaen"/>
                <w:b w:val="0"/>
                <w:sz w:val="24"/>
                <w:szCs w:val="24"/>
                <w:lang w:val="hy-AM"/>
              </w:rPr>
            </w:pPr>
            <w:r w:rsidRPr="003B2786">
              <w:rPr>
                <w:rStyle w:val="Bodytext1811pt"/>
                <w:rFonts w:ascii="Sylfaen" w:hAnsi="Sylfaen"/>
                <w:sz w:val="24"/>
                <w:szCs w:val="24"/>
              </w:rPr>
              <w:t>Փաստաթղթերը</w:t>
            </w:r>
          </w:p>
          <w:p w14:paraId="6B296EBF" w14:textId="77777777" w:rsidR="008C76E0" w:rsidRPr="008C76E0" w:rsidRDefault="008C76E0" w:rsidP="008C76E0">
            <w:pPr>
              <w:pStyle w:val="Bodytext180"/>
              <w:shd w:val="clear" w:color="auto" w:fill="auto"/>
              <w:spacing w:before="0" w:after="120" w:line="240" w:lineRule="auto"/>
              <w:ind w:left="491" w:right="187" w:hanging="491"/>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Արտադրությանն ուղղված թույլտվության (առկայության դեպքում) պատճենը կամ համապատասխան լիազորված մարմնի (օրինակ՝ հարկային մարմնի) պաշտոնական փաստաթուղթը, որում հիշատակվում է նոր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հասցեն:</w:t>
            </w:r>
          </w:p>
          <w:p w14:paraId="2F8A8794" w14:textId="77777777" w:rsidR="008C76E0" w:rsidRPr="008C76E0" w:rsidRDefault="008C76E0" w:rsidP="008C76E0">
            <w:pPr>
              <w:pStyle w:val="Bodytext180"/>
              <w:shd w:val="clear" w:color="auto" w:fill="auto"/>
              <w:spacing w:before="0" w:after="120" w:line="240" w:lineRule="auto"/>
              <w:ind w:left="491" w:right="187" w:hanging="491"/>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Եթե կիրառելի է՝ դոսյեի համապատասխան բաժնում ուղղում կատարելը, ներառյալ՝ դեղապատրաստուկի մասին վերանայված տեղեկատվությունը:</w:t>
            </w:r>
          </w:p>
        </w:tc>
      </w:tr>
      <w:tr w:rsidR="008C76E0" w:rsidRPr="003B2786" w14:paraId="0212E148" w14:textId="77777777" w:rsidTr="008C76E0">
        <w:trPr>
          <w:jc w:val="center"/>
        </w:trPr>
        <w:tc>
          <w:tcPr>
            <w:tcW w:w="4802" w:type="dxa"/>
            <w:gridSpan w:val="2"/>
            <w:tcBorders>
              <w:top w:val="single" w:sz="4" w:space="0" w:color="auto"/>
              <w:left w:val="single" w:sz="4" w:space="0" w:color="auto"/>
            </w:tcBorders>
            <w:shd w:val="clear" w:color="auto" w:fill="FFFFFF"/>
          </w:tcPr>
          <w:p w14:paraId="7B4E21E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Ա.6. ԱԲՔ ծածկագրի փոփոխությունը</w:t>
            </w:r>
          </w:p>
        </w:tc>
        <w:tc>
          <w:tcPr>
            <w:tcW w:w="1662" w:type="dxa"/>
            <w:tcBorders>
              <w:top w:val="single" w:sz="4" w:space="0" w:color="auto"/>
              <w:left w:val="single" w:sz="4" w:space="0" w:color="auto"/>
            </w:tcBorders>
            <w:shd w:val="clear" w:color="auto" w:fill="FFFFFF"/>
          </w:tcPr>
          <w:p w14:paraId="7F7689C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tcBorders>
            <w:shd w:val="clear" w:color="auto" w:fill="FFFFFF"/>
          </w:tcPr>
          <w:p w14:paraId="01909DC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24022A0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426F929" w14:textId="77777777" w:rsidTr="008C76E0">
        <w:trPr>
          <w:jc w:val="center"/>
        </w:trPr>
        <w:tc>
          <w:tcPr>
            <w:tcW w:w="4802" w:type="dxa"/>
            <w:gridSpan w:val="2"/>
            <w:tcBorders>
              <w:top w:val="single" w:sz="4" w:space="0" w:color="auto"/>
              <w:left w:val="single" w:sz="4" w:space="0" w:color="auto"/>
            </w:tcBorders>
            <w:shd w:val="clear" w:color="auto" w:fill="FFFFFF"/>
          </w:tcPr>
          <w:p w14:paraId="29592F82" w14:textId="77777777" w:rsidR="008C76E0" w:rsidRPr="003B2786" w:rsidRDefault="008C76E0" w:rsidP="008C76E0">
            <w:pPr>
              <w:spacing w:after="120" w:line="240" w:lineRule="auto"/>
              <w:jc w:val="center"/>
              <w:rPr>
                <w:rFonts w:ascii="Sylfaen" w:hAnsi="Sylfaen"/>
                <w:sz w:val="24"/>
                <w:szCs w:val="24"/>
              </w:rPr>
            </w:pPr>
          </w:p>
        </w:tc>
        <w:tc>
          <w:tcPr>
            <w:tcW w:w="1662" w:type="dxa"/>
            <w:tcBorders>
              <w:top w:val="single" w:sz="4" w:space="0" w:color="auto"/>
              <w:left w:val="single" w:sz="4" w:space="0" w:color="auto"/>
            </w:tcBorders>
            <w:shd w:val="clear" w:color="auto" w:fill="FFFFFF"/>
          </w:tcPr>
          <w:p w14:paraId="5D804DB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2017" w:type="dxa"/>
            <w:gridSpan w:val="2"/>
            <w:tcBorders>
              <w:top w:val="single" w:sz="4" w:space="0" w:color="auto"/>
              <w:left w:val="single" w:sz="4" w:space="0" w:color="auto"/>
            </w:tcBorders>
            <w:shd w:val="clear" w:color="auto" w:fill="FFFFFF"/>
          </w:tcPr>
          <w:p w14:paraId="1E32DA5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832" w:type="dxa"/>
            <w:tcBorders>
              <w:top w:val="single" w:sz="4" w:space="0" w:color="auto"/>
              <w:left w:val="single" w:sz="4" w:space="0" w:color="auto"/>
              <w:right w:val="single" w:sz="4" w:space="0" w:color="auto"/>
            </w:tcBorders>
            <w:shd w:val="clear" w:color="auto" w:fill="FFFFFF"/>
          </w:tcPr>
          <w:p w14:paraId="1FEDE2E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F13FC36"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66315EAD"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Պայմանները</w:t>
            </w:r>
          </w:p>
          <w:p w14:paraId="0F0A0950" w14:textId="77777777" w:rsidR="008C76E0" w:rsidRPr="003B2786" w:rsidRDefault="008C76E0" w:rsidP="008C76E0">
            <w:pPr>
              <w:pStyle w:val="Bodytext180"/>
              <w:numPr>
                <w:ilvl w:val="0"/>
                <w:numId w:val="14"/>
              </w:numPr>
              <w:shd w:val="clear" w:color="auto" w:fill="auto"/>
              <w:spacing w:before="0" w:after="120" w:line="240" w:lineRule="auto"/>
              <w:ind w:left="633" w:hanging="633"/>
              <w:jc w:val="both"/>
              <w:rPr>
                <w:rFonts w:ascii="Sylfaen" w:hAnsi="Sylfaen"/>
                <w:b w:val="0"/>
                <w:sz w:val="24"/>
                <w:szCs w:val="24"/>
              </w:rPr>
            </w:pPr>
            <w:r w:rsidRPr="003B2786">
              <w:rPr>
                <w:rStyle w:val="Bodytext1811pt"/>
                <w:rFonts w:ascii="Sylfaen" w:hAnsi="Sylfaen"/>
                <w:sz w:val="24"/>
                <w:szCs w:val="24"/>
              </w:rPr>
              <w:t>ԱԲՔ ծածկագրի փոփոխությունը ԱՀԿ-ի կողմից հաստատման կամ փոփոխման հետ</w:t>
            </w:r>
            <w:r w:rsidR="00C54D75">
              <w:rPr>
                <w:rStyle w:val="Bodytext1811pt"/>
                <w:rFonts w:ascii="Sylfaen" w:hAnsi="Sylfaen"/>
                <w:sz w:val="24"/>
                <w:szCs w:val="24"/>
              </w:rPr>
              <w:t>և</w:t>
            </w:r>
            <w:r w:rsidRPr="003B2786">
              <w:rPr>
                <w:rStyle w:val="Bodytext1811pt"/>
                <w:rFonts w:ascii="Sylfaen" w:hAnsi="Sylfaen"/>
                <w:sz w:val="24"/>
                <w:szCs w:val="24"/>
              </w:rPr>
              <w:t>անքով</w:t>
            </w:r>
          </w:p>
        </w:tc>
      </w:tr>
      <w:tr w:rsidR="008C76E0" w:rsidRPr="003B2786" w14:paraId="2B952A34"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0CBF554C"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338087F" w14:textId="77777777" w:rsidR="008C76E0" w:rsidRPr="008C76E0" w:rsidRDefault="008C76E0" w:rsidP="008C76E0">
            <w:pPr>
              <w:pStyle w:val="Bodytext180"/>
              <w:shd w:val="clear" w:color="auto" w:fill="auto"/>
              <w:spacing w:before="0" w:after="120" w:line="240" w:lineRule="auto"/>
              <w:ind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Հաստատման մասին (ԱՀԿ-ի) վկայագիրը կամ ԱԲՔ ծածկագրերի ցանկի պատճենը:</w:t>
            </w:r>
          </w:p>
          <w:p w14:paraId="37AAB958"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4A7F3F5F" w14:textId="77777777" w:rsidTr="008C76E0">
        <w:trPr>
          <w:jc w:val="center"/>
        </w:trPr>
        <w:tc>
          <w:tcPr>
            <w:tcW w:w="4802" w:type="dxa"/>
            <w:gridSpan w:val="2"/>
            <w:tcBorders>
              <w:top w:val="single" w:sz="4" w:space="0" w:color="auto"/>
              <w:left w:val="single" w:sz="4" w:space="0" w:color="auto"/>
              <w:bottom w:val="single" w:sz="4" w:space="0" w:color="auto"/>
            </w:tcBorders>
            <w:shd w:val="clear" w:color="auto" w:fill="FFFFFF"/>
            <w:vAlign w:val="bottom"/>
          </w:tcPr>
          <w:p w14:paraId="1480E070" w14:textId="77777777" w:rsidR="008C76E0" w:rsidRPr="008C76E0" w:rsidRDefault="008C76E0" w:rsidP="008C76E0">
            <w:pPr>
              <w:pStyle w:val="Bodytext180"/>
              <w:shd w:val="clear" w:color="auto" w:fill="auto"/>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Ա.7.</w:t>
            </w:r>
            <w:r w:rsidRPr="003B2786">
              <w:rPr>
                <w:rStyle w:val="Bodytext1811pt"/>
                <w:rFonts w:ascii="Sylfaen" w:hAnsi="Sylfaen"/>
                <w:sz w:val="24"/>
                <w:szCs w:val="24"/>
              </w:rPr>
              <w:tab/>
              <w:t xml:space="preserve">Արտադրական հարթակի բացառումը (այդ թվում՝ ակտիվ դեղագործական բաղադրամասի, միջանկյալ արտադրանքի, </w:t>
            </w:r>
            <w:r w:rsidRPr="003B2786">
              <w:rPr>
                <w:rStyle w:val="Bodytext1811pt"/>
                <w:rFonts w:ascii="Sylfaen" w:hAnsi="Sylfaen"/>
                <w:sz w:val="24"/>
                <w:szCs w:val="24"/>
              </w:rPr>
              <w:lastRenderedPageBreak/>
              <w:t xml:space="preserve">դեղապատրաստուկի, փաթեթավորողի, սերիայի բացթողման </w:t>
            </w:r>
            <w:r w:rsidR="00C54D75">
              <w:rPr>
                <w:rStyle w:val="Bodytext1811pt"/>
                <w:rFonts w:ascii="Sylfaen" w:hAnsi="Sylfaen"/>
                <w:sz w:val="24"/>
                <w:szCs w:val="24"/>
              </w:rPr>
              <w:t>և</w:t>
            </w:r>
            <w:r w:rsidRPr="003B2786">
              <w:rPr>
                <w:rStyle w:val="Bodytext1811pt"/>
                <w:rFonts w:ascii="Sylfaen" w:hAnsi="Sylfaen"/>
                <w:sz w:val="24"/>
                <w:szCs w:val="24"/>
              </w:rPr>
              <w:t xml:space="preserve"> սերիաների որակի հսկողության համար պատասխանատու արտադրողի կամ ելանյութի, ռեակտիվի կամ օժանդակ նյութի մատակարարի համար (եթե նշված են դոսյեում))</w:t>
            </w:r>
          </w:p>
        </w:tc>
        <w:tc>
          <w:tcPr>
            <w:tcW w:w="1662" w:type="dxa"/>
            <w:tcBorders>
              <w:top w:val="single" w:sz="4" w:space="0" w:color="auto"/>
              <w:left w:val="single" w:sz="4" w:space="0" w:color="auto"/>
              <w:bottom w:val="single" w:sz="4" w:space="0" w:color="auto"/>
            </w:tcBorders>
            <w:shd w:val="clear" w:color="auto" w:fill="FFFFFF"/>
          </w:tcPr>
          <w:p w14:paraId="2F2EF07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2017" w:type="dxa"/>
            <w:gridSpan w:val="2"/>
            <w:tcBorders>
              <w:top w:val="single" w:sz="4" w:space="0" w:color="auto"/>
              <w:left w:val="single" w:sz="4" w:space="0" w:color="auto"/>
              <w:bottom w:val="single" w:sz="4" w:space="0" w:color="auto"/>
            </w:tcBorders>
            <w:shd w:val="clear" w:color="auto" w:fill="FFFFFF"/>
          </w:tcPr>
          <w:p w14:paraId="36CC05E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4C0A843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F37EE21" w14:textId="77777777" w:rsidTr="008C76E0">
        <w:trPr>
          <w:jc w:val="center"/>
        </w:trPr>
        <w:tc>
          <w:tcPr>
            <w:tcW w:w="4802" w:type="dxa"/>
            <w:gridSpan w:val="2"/>
            <w:tcBorders>
              <w:top w:val="single" w:sz="4" w:space="0" w:color="auto"/>
              <w:left w:val="single" w:sz="4" w:space="0" w:color="auto"/>
            </w:tcBorders>
            <w:shd w:val="clear" w:color="auto" w:fill="FFFFFF"/>
          </w:tcPr>
          <w:p w14:paraId="0EAEEFFD" w14:textId="77777777" w:rsidR="008C76E0" w:rsidRPr="003B2786" w:rsidRDefault="008C76E0" w:rsidP="008C76E0">
            <w:pPr>
              <w:spacing w:after="120" w:line="240" w:lineRule="auto"/>
              <w:jc w:val="both"/>
              <w:rPr>
                <w:rFonts w:ascii="Sylfaen" w:hAnsi="Sylfaen"/>
                <w:sz w:val="24"/>
                <w:szCs w:val="24"/>
              </w:rPr>
            </w:pPr>
          </w:p>
        </w:tc>
        <w:tc>
          <w:tcPr>
            <w:tcW w:w="1662" w:type="dxa"/>
            <w:tcBorders>
              <w:top w:val="single" w:sz="4" w:space="0" w:color="auto"/>
              <w:left w:val="single" w:sz="4" w:space="0" w:color="auto"/>
            </w:tcBorders>
            <w:shd w:val="clear" w:color="auto" w:fill="FFFFFF"/>
          </w:tcPr>
          <w:p w14:paraId="6839738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2017" w:type="dxa"/>
            <w:gridSpan w:val="2"/>
            <w:tcBorders>
              <w:top w:val="single" w:sz="4" w:space="0" w:color="auto"/>
              <w:left w:val="single" w:sz="4" w:space="0" w:color="auto"/>
            </w:tcBorders>
            <w:shd w:val="clear" w:color="auto" w:fill="FFFFFF"/>
          </w:tcPr>
          <w:p w14:paraId="7F12123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832" w:type="dxa"/>
            <w:tcBorders>
              <w:top w:val="single" w:sz="4" w:space="0" w:color="auto"/>
              <w:left w:val="single" w:sz="4" w:space="0" w:color="auto"/>
              <w:right w:val="single" w:sz="4" w:space="0" w:color="auto"/>
            </w:tcBorders>
            <w:shd w:val="clear" w:color="auto" w:fill="FFFFFF"/>
          </w:tcPr>
          <w:p w14:paraId="7351410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75A389D"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6FB719F6" w14:textId="77777777" w:rsidR="008C76E0" w:rsidRPr="008C76E0" w:rsidRDefault="008C76E0" w:rsidP="008C76E0">
            <w:pPr>
              <w:pStyle w:val="Bodytext180"/>
              <w:shd w:val="clear" w:color="auto" w:fill="auto"/>
              <w:tabs>
                <w:tab w:val="left" w:pos="557"/>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E6BF87D" w14:textId="77777777" w:rsidR="008C76E0" w:rsidRPr="008C76E0" w:rsidRDefault="008C76E0" w:rsidP="008C76E0">
            <w:pPr>
              <w:pStyle w:val="Bodytext180"/>
              <w:shd w:val="clear" w:color="auto" w:fill="auto"/>
              <w:tabs>
                <w:tab w:val="left" w:pos="557"/>
                <w:tab w:val="left" w:pos="609"/>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Նախկինում հաստատված արտադրական հարթակներից (արտադրողներից) պետք է մնա առնվազն 1-ը, որն իրականացնում է այն նույն գործառույթները, ինչ որ բացառման ենթակա հարթակները: Եթե կիրառելի է, Միության շրջանակներում մնում է առնվազն մեկ արտադրող, որը պատասխանատու է սերիաների բացթողման համար </w:t>
            </w:r>
            <w:r w:rsidR="00C54D75">
              <w:rPr>
                <w:rStyle w:val="Bodytext1811pt"/>
                <w:rFonts w:ascii="Sylfaen" w:hAnsi="Sylfaen"/>
                <w:sz w:val="24"/>
                <w:szCs w:val="24"/>
              </w:rPr>
              <w:t>և</w:t>
            </w:r>
            <w:r w:rsidRPr="003B2786">
              <w:rPr>
                <w:rStyle w:val="Bodytext1811pt"/>
                <w:rFonts w:ascii="Sylfaen" w:hAnsi="Sylfaen"/>
                <w:sz w:val="24"/>
                <w:szCs w:val="24"/>
              </w:rPr>
              <w:t xml:space="preserve"> կարող է հավաստագրել արտադրանքի փորձարկումը՝ Միության շրջանակներում սերիաների բացթողման նպատակով:</w:t>
            </w:r>
          </w:p>
          <w:p w14:paraId="6F28B2A4" w14:textId="77777777" w:rsidR="008C76E0" w:rsidRPr="008C76E0" w:rsidRDefault="008C76E0" w:rsidP="008C76E0">
            <w:pPr>
              <w:pStyle w:val="Bodytext180"/>
              <w:shd w:val="clear" w:color="auto" w:fill="auto"/>
              <w:tabs>
                <w:tab w:val="left" w:pos="557"/>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Բացառումը չպետք է լինի արտադրության կրիտիկական թերությունների հետ</w:t>
            </w:r>
            <w:r w:rsidR="00C54D75">
              <w:rPr>
                <w:rStyle w:val="Bodytext1811pt"/>
                <w:rFonts w:ascii="Sylfaen" w:hAnsi="Sylfaen"/>
                <w:sz w:val="24"/>
                <w:szCs w:val="24"/>
              </w:rPr>
              <w:t>և</w:t>
            </w:r>
            <w:r w:rsidRPr="003B2786">
              <w:rPr>
                <w:rStyle w:val="Bodytext1811pt"/>
                <w:rFonts w:ascii="Sylfaen" w:hAnsi="Sylfaen"/>
                <w:sz w:val="24"/>
                <w:szCs w:val="24"/>
              </w:rPr>
              <w:t>անք:</w:t>
            </w:r>
          </w:p>
        </w:tc>
      </w:tr>
      <w:tr w:rsidR="008C76E0" w:rsidRPr="003B2786" w14:paraId="0A1ACAEE"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2B3A9C67" w14:textId="77777777" w:rsidR="008C76E0" w:rsidRPr="008C76E0" w:rsidRDefault="008C76E0" w:rsidP="008C76E0">
            <w:pPr>
              <w:pStyle w:val="Bodytext180"/>
              <w:shd w:val="clear" w:color="auto" w:fill="auto"/>
              <w:tabs>
                <w:tab w:val="left" w:pos="557"/>
              </w:tabs>
              <w:spacing w:before="0" w:after="120" w:line="240" w:lineRule="auto"/>
              <w:ind w:right="45"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28EEC32" w14:textId="77777777" w:rsidR="008C76E0" w:rsidRPr="008C76E0" w:rsidRDefault="008C76E0" w:rsidP="008C76E0">
            <w:pPr>
              <w:pStyle w:val="Bodytext180"/>
              <w:shd w:val="clear" w:color="auto" w:fill="auto"/>
              <w:tabs>
                <w:tab w:val="left" w:pos="557"/>
              </w:tabs>
              <w:spacing w:before="0" w:after="120" w:line="240" w:lineRule="auto"/>
              <w:ind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ում անհրաժեշտ է հստակ նշել գրանցման հայտի ձ</w:t>
            </w:r>
            <w:r w:rsidR="00C54D75">
              <w:rPr>
                <w:rStyle w:val="Bodytext1811pt"/>
                <w:rFonts w:ascii="Sylfaen" w:hAnsi="Sylfaen"/>
                <w:sz w:val="24"/>
                <w:szCs w:val="24"/>
              </w:rPr>
              <w:t>և</w:t>
            </w:r>
            <w:r w:rsidRPr="003B2786">
              <w:rPr>
                <w:rStyle w:val="Bodytext1811pt"/>
                <w:rFonts w:ascii="Sylfaen" w:hAnsi="Sylfaen"/>
                <w:sz w:val="24"/>
                <w:szCs w:val="24"/>
              </w:rPr>
              <w:t xml:space="preserve">ի 2.5 բաժնում թվարկված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արտադրողներին:</w:t>
            </w:r>
          </w:p>
          <w:p w14:paraId="4007E64C" w14:textId="77777777" w:rsidR="008C76E0" w:rsidRPr="008C76E0" w:rsidRDefault="008C76E0" w:rsidP="008C76E0">
            <w:pPr>
              <w:pStyle w:val="Bodytext180"/>
              <w:shd w:val="clear" w:color="auto" w:fill="auto"/>
              <w:tabs>
                <w:tab w:val="left" w:pos="557"/>
              </w:tabs>
              <w:spacing w:before="0" w:after="120" w:line="240" w:lineRule="auto"/>
              <w:ind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 ներառյալ՝ դեղապատրաստուկի մասին վերանայված տեղեկատվությունը:</w:t>
            </w:r>
          </w:p>
        </w:tc>
      </w:tr>
      <w:tr w:rsidR="008C76E0" w:rsidRPr="003B2786" w14:paraId="58D33468"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0E7C45C" w14:textId="77777777" w:rsidR="008C76E0" w:rsidRPr="008C76E0" w:rsidRDefault="008C76E0" w:rsidP="008C76E0">
            <w:pPr>
              <w:pStyle w:val="Bodytext180"/>
              <w:shd w:val="clear" w:color="auto" w:fill="auto"/>
              <w:tabs>
                <w:tab w:val="left" w:pos="572"/>
              </w:tabs>
              <w:spacing w:before="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Ա.8.</w:t>
            </w:r>
            <w:r w:rsidRPr="003B2786">
              <w:rPr>
                <w:rStyle w:val="Bodytext1811pt"/>
                <w:rFonts w:ascii="Sylfaen" w:hAnsi="Sylfaen"/>
                <w:sz w:val="24"/>
                <w:szCs w:val="24"/>
              </w:rPr>
              <w:tab/>
              <w:t>Աուդիտի ամսաթվի փոփոխությունները՝ պատշաճ արտադրական գործունեության կանոններին ակտիվ դեղագործական բաղադրամաս արտադրողի համապատասխանության վերիֆիկացման համար</w:t>
            </w:r>
          </w:p>
        </w:tc>
        <w:tc>
          <w:tcPr>
            <w:tcW w:w="1662" w:type="dxa"/>
            <w:tcBorders>
              <w:top w:val="single" w:sz="4" w:space="0" w:color="auto"/>
              <w:left w:val="single" w:sz="4" w:space="0" w:color="auto"/>
            </w:tcBorders>
            <w:shd w:val="clear" w:color="auto" w:fill="FFFFFF"/>
          </w:tcPr>
          <w:p w14:paraId="1664C43B"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tcBorders>
            <w:shd w:val="clear" w:color="auto" w:fill="FFFFFF"/>
          </w:tcPr>
          <w:p w14:paraId="32C8D7DD"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5E0DF740"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035ACE9" w14:textId="77777777" w:rsidTr="008C76E0">
        <w:trPr>
          <w:jc w:val="center"/>
        </w:trPr>
        <w:tc>
          <w:tcPr>
            <w:tcW w:w="4802" w:type="dxa"/>
            <w:gridSpan w:val="2"/>
            <w:tcBorders>
              <w:top w:val="single" w:sz="4" w:space="0" w:color="auto"/>
              <w:left w:val="single" w:sz="4" w:space="0" w:color="auto"/>
            </w:tcBorders>
            <w:shd w:val="clear" w:color="auto" w:fill="FFFFFF"/>
          </w:tcPr>
          <w:p w14:paraId="398E51AC" w14:textId="77777777" w:rsidR="008C76E0" w:rsidRPr="003B2786" w:rsidRDefault="008C76E0" w:rsidP="008C76E0">
            <w:pPr>
              <w:spacing w:after="0" w:line="240" w:lineRule="auto"/>
              <w:ind w:right="62"/>
              <w:jc w:val="both"/>
              <w:rPr>
                <w:rFonts w:ascii="Sylfaen" w:hAnsi="Sylfaen"/>
                <w:sz w:val="24"/>
                <w:szCs w:val="24"/>
              </w:rPr>
            </w:pPr>
          </w:p>
        </w:tc>
        <w:tc>
          <w:tcPr>
            <w:tcW w:w="1662" w:type="dxa"/>
            <w:tcBorders>
              <w:top w:val="single" w:sz="4" w:space="0" w:color="auto"/>
              <w:left w:val="single" w:sz="4" w:space="0" w:color="auto"/>
            </w:tcBorders>
            <w:shd w:val="clear" w:color="auto" w:fill="FFFFFF"/>
          </w:tcPr>
          <w:p w14:paraId="23E00FCC"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65CAD68E"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3195F06F" w14:textId="77777777" w:rsidR="008C76E0" w:rsidRPr="003B2786" w:rsidRDefault="008C76E0" w:rsidP="008C76E0">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5538A73"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tcPr>
          <w:p w14:paraId="063757A4" w14:textId="77777777" w:rsidR="008C76E0" w:rsidRPr="008C76E0" w:rsidRDefault="008C76E0" w:rsidP="008C76E0">
            <w:pPr>
              <w:pStyle w:val="Bodytext180"/>
              <w:shd w:val="clear" w:color="auto" w:fill="auto"/>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429DEC3" w14:textId="77777777" w:rsidR="008C76E0" w:rsidRPr="008C76E0" w:rsidRDefault="008C76E0" w:rsidP="008C76E0">
            <w:pPr>
              <w:pStyle w:val="Bodytext180"/>
              <w:shd w:val="clear" w:color="auto" w:fill="auto"/>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Դեղապատրաստուկ արտադրողի գրավոր հաստատումը, որը նշում է պարունակում պատշաճ արտադրական գործունեության կանոններին ակտիվ դեղագործական բաղադրամասի արտադրող համապատասխանության վերիֆիկացման մասին:</w:t>
            </w:r>
          </w:p>
        </w:tc>
      </w:tr>
      <w:tr w:rsidR="008C76E0" w:rsidRPr="003B2786" w14:paraId="0C150416" w14:textId="77777777" w:rsidTr="008C76E0">
        <w:trPr>
          <w:jc w:val="center"/>
        </w:trPr>
        <w:tc>
          <w:tcPr>
            <w:tcW w:w="10313" w:type="dxa"/>
            <w:gridSpan w:val="6"/>
            <w:tcBorders>
              <w:top w:val="single" w:sz="4" w:space="0" w:color="auto"/>
            </w:tcBorders>
            <w:shd w:val="clear" w:color="auto" w:fill="FFFFFF"/>
            <w:vAlign w:val="bottom"/>
          </w:tcPr>
          <w:p w14:paraId="10F32CAE" w14:textId="77777777" w:rsidR="008C76E0" w:rsidRPr="008C76E0" w:rsidRDefault="008C76E0" w:rsidP="008C76E0">
            <w:pPr>
              <w:pStyle w:val="Bodytext180"/>
              <w:shd w:val="clear" w:color="auto" w:fill="auto"/>
              <w:tabs>
                <w:tab w:val="left" w:pos="677"/>
              </w:tabs>
              <w:spacing w:before="0" w:after="120" w:line="240" w:lineRule="auto"/>
              <w:ind w:right="62" w:firstLine="0"/>
              <w:jc w:val="both"/>
              <w:rPr>
                <w:rFonts w:ascii="Sylfaen" w:hAnsi="Sylfaen"/>
                <w:sz w:val="24"/>
                <w:szCs w:val="24"/>
                <w:lang w:val="hy-AM"/>
              </w:rPr>
            </w:pPr>
            <w:r w:rsidRPr="003B2786">
              <w:rPr>
                <w:rStyle w:val="Bodytext1815pt"/>
                <w:rFonts w:ascii="Sylfaen" w:hAnsi="Sylfaen"/>
                <w:sz w:val="24"/>
                <w:szCs w:val="24"/>
              </w:rPr>
              <w:t xml:space="preserve">Բ. </w:t>
            </w:r>
            <w:r w:rsidRPr="003B2786">
              <w:rPr>
                <w:rStyle w:val="Bodytext1815pt"/>
                <w:rFonts w:ascii="Sylfaen" w:hAnsi="Sylfaen"/>
                <w:sz w:val="24"/>
                <w:szCs w:val="24"/>
              </w:rPr>
              <w:tab/>
              <w:t>Որակի փոփոխությունները</w:t>
            </w:r>
          </w:p>
          <w:p w14:paraId="5C05CCF3" w14:textId="77777777" w:rsidR="008C76E0" w:rsidRPr="008C76E0" w:rsidRDefault="008C76E0" w:rsidP="008C76E0">
            <w:pPr>
              <w:pStyle w:val="Bodytext180"/>
              <w:shd w:val="clear" w:color="auto" w:fill="auto"/>
              <w:tabs>
                <w:tab w:val="left" w:pos="677"/>
              </w:tabs>
              <w:spacing w:before="0" w:after="120" w:line="240" w:lineRule="auto"/>
              <w:ind w:right="62" w:firstLine="0"/>
              <w:jc w:val="both"/>
              <w:rPr>
                <w:rFonts w:ascii="Sylfaen" w:hAnsi="Sylfaen"/>
                <w:sz w:val="24"/>
                <w:szCs w:val="24"/>
                <w:lang w:val="hy-AM"/>
              </w:rPr>
            </w:pPr>
            <w:r w:rsidRPr="003B2786">
              <w:rPr>
                <w:rStyle w:val="Bodytext1815pt"/>
                <w:rFonts w:ascii="Sylfaen" w:hAnsi="Sylfaen"/>
                <w:sz w:val="24"/>
                <w:szCs w:val="24"/>
              </w:rPr>
              <w:t>Բ.I.</w:t>
            </w:r>
            <w:r w:rsidRPr="003B2786">
              <w:rPr>
                <w:rStyle w:val="Bodytext1815pt"/>
                <w:rFonts w:ascii="Sylfaen" w:hAnsi="Sylfaen"/>
                <w:sz w:val="24"/>
                <w:szCs w:val="24"/>
              </w:rPr>
              <w:tab/>
              <w:t>Ակտիվ դեղագործական բաղադրամասը</w:t>
            </w:r>
          </w:p>
          <w:p w14:paraId="659479E4" w14:textId="77777777" w:rsidR="008C76E0" w:rsidRPr="003B2786" w:rsidRDefault="008C76E0" w:rsidP="008C76E0">
            <w:pPr>
              <w:pStyle w:val="Bodytext180"/>
              <w:shd w:val="clear" w:color="auto" w:fill="auto"/>
              <w:tabs>
                <w:tab w:val="left" w:pos="677"/>
              </w:tabs>
              <w:spacing w:before="0" w:after="120" w:line="240" w:lineRule="auto"/>
              <w:ind w:right="62" w:firstLine="0"/>
              <w:jc w:val="both"/>
              <w:rPr>
                <w:rFonts w:ascii="Sylfaen" w:hAnsi="Sylfaen"/>
                <w:sz w:val="24"/>
                <w:szCs w:val="24"/>
              </w:rPr>
            </w:pPr>
            <w:r w:rsidRPr="003B2786">
              <w:rPr>
                <w:rStyle w:val="Bodytext1815pt"/>
                <w:rFonts w:ascii="Sylfaen" w:hAnsi="Sylfaen"/>
                <w:sz w:val="24"/>
                <w:szCs w:val="24"/>
              </w:rPr>
              <w:t>Բ.I.</w:t>
            </w:r>
            <w:r w:rsidRPr="003B2786">
              <w:rPr>
                <w:rStyle w:val="Bodytext1815pt"/>
                <w:rFonts w:ascii="Sylfaen" w:hAnsi="Sylfaen"/>
                <w:sz w:val="24"/>
                <w:szCs w:val="24"/>
              </w:rPr>
              <w:tab/>
              <w:t>ա)</w:t>
            </w:r>
            <w:r w:rsidRPr="003B2786">
              <w:rPr>
                <w:rStyle w:val="Bodytext1815pt"/>
                <w:rFonts w:ascii="Sylfaen" w:hAnsi="Sylfaen"/>
                <w:sz w:val="24"/>
                <w:szCs w:val="24"/>
              </w:rPr>
              <w:tab/>
              <w:t>Արտադրությունը</w:t>
            </w:r>
          </w:p>
        </w:tc>
      </w:tr>
      <w:tr w:rsidR="008C76E0" w:rsidRPr="003B2786" w14:paraId="60E1004F"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1D4A74D2" w14:textId="77777777" w:rsidR="008C76E0" w:rsidRPr="008C76E0" w:rsidRDefault="008C76E0" w:rsidP="008C76E0">
            <w:pPr>
              <w:pStyle w:val="Bodytext180"/>
              <w:shd w:val="clear" w:color="auto" w:fill="auto"/>
              <w:tabs>
                <w:tab w:val="left" w:pos="67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Բ.I.</w:t>
            </w:r>
            <w:r w:rsidRPr="003B2786">
              <w:rPr>
                <w:rStyle w:val="Bodytext1811pt"/>
                <w:rFonts w:ascii="Sylfaen" w:hAnsi="Sylfaen"/>
                <w:sz w:val="24"/>
                <w:szCs w:val="24"/>
              </w:rPr>
              <w:tab/>
              <w:t>ա.1.</w:t>
            </w:r>
            <w:r w:rsidRPr="003B2786">
              <w:rPr>
                <w:rStyle w:val="Bodytext1811pt"/>
                <w:rFonts w:ascii="Sylfaen" w:hAnsi="Sylfaen"/>
                <w:sz w:val="24"/>
                <w:szCs w:val="24"/>
              </w:rPr>
              <w:tab/>
              <w:t xml:space="preserve">Ակտիվ դեղագործական բաղադրամասի արտադրության գործընթացում օգտագործվող ելանյութ (ռեակտիվի, միջանկյալ արտադրանք) արտադրողի փոփոխությունը կամ ակտիվ </w:t>
            </w:r>
            <w:r w:rsidRPr="003B2786">
              <w:rPr>
                <w:rStyle w:val="Bodytext1811pt"/>
                <w:rFonts w:ascii="Sylfaen" w:hAnsi="Sylfaen"/>
                <w:sz w:val="24"/>
                <w:szCs w:val="24"/>
              </w:rPr>
              <w:lastRenderedPageBreak/>
              <w:t>դեղագործական բաղադրամաս արտադրողի (ներառյալ, եթե կիրառելի են, ակտիվ դեղագործական բաղադրամասի որակի հսկողության հարթակների) փոփոխությունը, եթե գրանցման դոսյեում բացակայում է Եվրոպական դեղագրքին համապատասխանության սերտիֆիկատը:</w:t>
            </w:r>
          </w:p>
        </w:tc>
        <w:tc>
          <w:tcPr>
            <w:tcW w:w="1662" w:type="dxa"/>
            <w:tcBorders>
              <w:top w:val="single" w:sz="4" w:space="0" w:color="auto"/>
              <w:left w:val="single" w:sz="4" w:space="0" w:color="auto"/>
            </w:tcBorders>
            <w:shd w:val="clear" w:color="auto" w:fill="FFFFFF"/>
          </w:tcPr>
          <w:p w14:paraId="4C7051F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2017" w:type="dxa"/>
            <w:gridSpan w:val="2"/>
            <w:tcBorders>
              <w:top w:val="single" w:sz="4" w:space="0" w:color="auto"/>
              <w:left w:val="single" w:sz="4" w:space="0" w:color="auto"/>
            </w:tcBorders>
            <w:shd w:val="clear" w:color="auto" w:fill="FFFFFF"/>
          </w:tcPr>
          <w:p w14:paraId="0C04402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1A1CE09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DA456E6"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32D5AF6A" w14:textId="77777777" w:rsidR="008C76E0" w:rsidRPr="008C76E0" w:rsidRDefault="008C76E0" w:rsidP="008C76E0">
            <w:pPr>
              <w:pStyle w:val="Bodytext180"/>
              <w:shd w:val="clear" w:color="auto" w:fill="auto"/>
              <w:tabs>
                <w:tab w:val="left" w:pos="57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առաջարկվող արտադրողը պատկանում է մի</w:t>
            </w:r>
            <w:r w:rsidR="00C54D75">
              <w:rPr>
                <w:rStyle w:val="Bodytext1811pt"/>
                <w:rFonts w:ascii="Sylfaen" w:hAnsi="Sylfaen"/>
                <w:sz w:val="24"/>
                <w:szCs w:val="24"/>
              </w:rPr>
              <w:t>և</w:t>
            </w:r>
            <w:r w:rsidRPr="003B2786">
              <w:rPr>
                <w:rStyle w:val="Bodytext1811pt"/>
                <w:rFonts w:ascii="Sylfaen" w:hAnsi="Sylfaen"/>
                <w:sz w:val="24"/>
                <w:szCs w:val="24"/>
              </w:rPr>
              <w:t>նույն դեղագործական խմբին, ինչ որ հաստատված արտադրողը</w:t>
            </w:r>
          </w:p>
        </w:tc>
        <w:tc>
          <w:tcPr>
            <w:tcW w:w="1662" w:type="dxa"/>
            <w:tcBorders>
              <w:top w:val="single" w:sz="4" w:space="0" w:color="auto"/>
              <w:left w:val="single" w:sz="4" w:space="0" w:color="auto"/>
            </w:tcBorders>
            <w:shd w:val="clear" w:color="auto" w:fill="FFFFFF"/>
          </w:tcPr>
          <w:p w14:paraId="4AB751B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2017" w:type="dxa"/>
            <w:gridSpan w:val="2"/>
            <w:tcBorders>
              <w:top w:val="single" w:sz="4" w:space="0" w:color="auto"/>
              <w:left w:val="single" w:sz="4" w:space="0" w:color="auto"/>
            </w:tcBorders>
            <w:shd w:val="clear" w:color="auto" w:fill="FFFFFF"/>
          </w:tcPr>
          <w:p w14:paraId="75C7D6D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1, 2, 3, 4, 5, 6, 7</w:t>
            </w:r>
          </w:p>
        </w:tc>
        <w:tc>
          <w:tcPr>
            <w:tcW w:w="1832" w:type="dxa"/>
            <w:tcBorders>
              <w:top w:val="single" w:sz="4" w:space="0" w:color="auto"/>
              <w:left w:val="single" w:sz="4" w:space="0" w:color="auto"/>
              <w:right w:val="single" w:sz="4" w:space="0" w:color="auto"/>
            </w:tcBorders>
            <w:shd w:val="clear" w:color="auto" w:fill="FFFFFF"/>
          </w:tcPr>
          <w:p w14:paraId="0E8ACB4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473ABFE9" w14:textId="77777777" w:rsidTr="008C76E0">
        <w:trPr>
          <w:jc w:val="center"/>
        </w:trPr>
        <w:tc>
          <w:tcPr>
            <w:tcW w:w="4802" w:type="dxa"/>
            <w:gridSpan w:val="2"/>
            <w:tcBorders>
              <w:top w:val="single" w:sz="4" w:space="0" w:color="auto"/>
              <w:left w:val="single" w:sz="4" w:space="0" w:color="auto"/>
            </w:tcBorders>
            <w:shd w:val="clear" w:color="auto" w:fill="FFFFFF"/>
          </w:tcPr>
          <w:p w14:paraId="24A6B10A"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ԱԴԲՄՖ-ով հիմնավորված ակտիվ դեղագործական բաղադրամասի նոր արտադրող ավելացնելը</w:t>
            </w:r>
          </w:p>
        </w:tc>
        <w:tc>
          <w:tcPr>
            <w:tcW w:w="1662" w:type="dxa"/>
            <w:tcBorders>
              <w:top w:val="single" w:sz="4" w:space="0" w:color="auto"/>
              <w:left w:val="single" w:sz="4" w:space="0" w:color="auto"/>
            </w:tcBorders>
            <w:shd w:val="clear" w:color="auto" w:fill="FFFFFF"/>
          </w:tcPr>
          <w:p w14:paraId="29E28D4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73536D1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628C9B9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795355B" w14:textId="77777777" w:rsidTr="008C76E0">
        <w:trPr>
          <w:jc w:val="center"/>
        </w:trPr>
        <w:tc>
          <w:tcPr>
            <w:tcW w:w="4802" w:type="dxa"/>
            <w:gridSpan w:val="2"/>
            <w:tcBorders>
              <w:top w:val="single" w:sz="4" w:space="0" w:color="auto"/>
              <w:left w:val="single" w:sz="4" w:space="0" w:color="auto"/>
              <w:bottom w:val="single" w:sz="4" w:space="0" w:color="auto"/>
            </w:tcBorders>
            <w:shd w:val="clear" w:color="auto" w:fill="FFFFFF"/>
            <w:vAlign w:val="bottom"/>
          </w:tcPr>
          <w:p w14:paraId="33E11A5F" w14:textId="77777777" w:rsidR="008C76E0" w:rsidRPr="008C76E0" w:rsidRDefault="008C76E0" w:rsidP="008C76E0">
            <w:pPr>
              <w:pStyle w:val="Bodytext180"/>
              <w:shd w:val="clear" w:color="auto" w:fill="auto"/>
              <w:tabs>
                <w:tab w:val="left" w:pos="58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առաջարկվող արտադրողն օգտագործում է սինթեզման կտրուկ տարբերվող եղանակ կամ արտադրության այնպիսի պայմաններ, որոնք կարող են փոփոխել ակտիվ դեղագործական բաղադրամասի որակի այնպիսի կար</w:t>
            </w:r>
            <w:r w:rsidR="00C54D75">
              <w:rPr>
                <w:rStyle w:val="Bodytext1811pt"/>
                <w:rFonts w:ascii="Sylfaen" w:hAnsi="Sylfaen"/>
                <w:sz w:val="24"/>
                <w:szCs w:val="24"/>
              </w:rPr>
              <w:t>և</w:t>
            </w:r>
            <w:r w:rsidRPr="003B2786">
              <w:rPr>
                <w:rStyle w:val="Bodytext1811pt"/>
                <w:rFonts w:ascii="Sylfaen" w:hAnsi="Sylfaen"/>
                <w:sz w:val="24"/>
                <w:szCs w:val="24"/>
              </w:rPr>
              <w:t xml:space="preserve">որ ցուցանիշներ, ինչպիսիք են խառնուկների՝ որակավորում պահանջող 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քանակական պրոֆիլը կամ կենսամատչելիության վրա ազդող ֆիզիկաքիմիական հատկությունները</w:t>
            </w:r>
          </w:p>
        </w:tc>
        <w:tc>
          <w:tcPr>
            <w:tcW w:w="1662" w:type="dxa"/>
            <w:tcBorders>
              <w:top w:val="single" w:sz="4" w:space="0" w:color="auto"/>
              <w:left w:val="single" w:sz="4" w:space="0" w:color="auto"/>
              <w:bottom w:val="single" w:sz="4" w:space="0" w:color="auto"/>
            </w:tcBorders>
            <w:shd w:val="clear" w:color="auto" w:fill="FFFFFF"/>
          </w:tcPr>
          <w:p w14:paraId="5DBD885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bottom w:val="single" w:sz="4" w:space="0" w:color="auto"/>
            </w:tcBorders>
            <w:shd w:val="clear" w:color="auto" w:fill="FFFFFF"/>
          </w:tcPr>
          <w:p w14:paraId="4B24B65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5A750D8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A937507"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122CD62D"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 xml:space="preserve">վիրուսային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ՏՍԷ-ի ռիսկի գնահատում պահանջող նյութի նոր արտադրողը</w:t>
            </w:r>
          </w:p>
        </w:tc>
        <w:tc>
          <w:tcPr>
            <w:tcW w:w="1662" w:type="dxa"/>
            <w:tcBorders>
              <w:top w:val="single" w:sz="4" w:space="0" w:color="auto"/>
              <w:left w:val="single" w:sz="4" w:space="0" w:color="auto"/>
            </w:tcBorders>
            <w:shd w:val="clear" w:color="auto" w:fill="FFFFFF"/>
          </w:tcPr>
          <w:p w14:paraId="5D21485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60E0790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1E9022C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C487F04"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25FD589F"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փոփոխությունը վերաբերում է կենսաբանական ակտիվ դեղագործական բաղադրամասին կամ կենսաբանական (իմունաբանական) դեղապատրաստուկի արտադրության մեջ օգտագործվող ելանյութին (ռեակտիվին, միջանկյալ արտադրանքին)</w:t>
            </w:r>
          </w:p>
        </w:tc>
        <w:tc>
          <w:tcPr>
            <w:tcW w:w="1662" w:type="dxa"/>
            <w:tcBorders>
              <w:top w:val="single" w:sz="4" w:space="0" w:color="auto"/>
              <w:left w:val="single" w:sz="4" w:space="0" w:color="auto"/>
            </w:tcBorders>
            <w:shd w:val="clear" w:color="auto" w:fill="FFFFFF"/>
          </w:tcPr>
          <w:p w14:paraId="033DA5C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6F0C965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50F1189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76FE226" w14:textId="77777777" w:rsidTr="008C76E0">
        <w:trPr>
          <w:trHeight w:val="2177"/>
          <w:jc w:val="center"/>
        </w:trPr>
        <w:tc>
          <w:tcPr>
            <w:tcW w:w="4802" w:type="dxa"/>
            <w:gridSpan w:val="2"/>
            <w:tcBorders>
              <w:top w:val="single" w:sz="4" w:space="0" w:color="auto"/>
              <w:left w:val="single" w:sz="4" w:space="0" w:color="auto"/>
            </w:tcBorders>
            <w:shd w:val="clear" w:color="auto" w:fill="FFFFFF"/>
            <w:vAlign w:val="bottom"/>
          </w:tcPr>
          <w:p w14:paraId="143D9E76" w14:textId="77777777" w:rsidR="008C76E0" w:rsidRPr="008C76E0" w:rsidRDefault="008C76E0" w:rsidP="008C76E0">
            <w:pPr>
              <w:pStyle w:val="Bodytext180"/>
              <w:shd w:val="clear" w:color="auto" w:fill="auto"/>
              <w:tabs>
                <w:tab w:val="left" w:pos="602"/>
              </w:tabs>
              <w:spacing w:before="0" w:after="120" w:line="240" w:lineRule="auto"/>
              <w:ind w:left="40" w:right="62"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ակտիվ դեղագործական բաղադրամասի որակի հսկողության կարգի փոփոխությունը. այն հարթակի փոխարինումը կամ ավելացումը, որտեղ իրականացվում է սերիաների հսկողությունը (փորձարկումը)</w:t>
            </w:r>
          </w:p>
        </w:tc>
        <w:tc>
          <w:tcPr>
            <w:tcW w:w="1662" w:type="dxa"/>
            <w:tcBorders>
              <w:top w:val="single" w:sz="4" w:space="0" w:color="auto"/>
              <w:left w:val="single" w:sz="4" w:space="0" w:color="auto"/>
            </w:tcBorders>
            <w:shd w:val="clear" w:color="auto" w:fill="FFFFFF"/>
          </w:tcPr>
          <w:p w14:paraId="1AF4DED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2, 4</w:t>
            </w:r>
          </w:p>
        </w:tc>
        <w:tc>
          <w:tcPr>
            <w:tcW w:w="2017" w:type="dxa"/>
            <w:gridSpan w:val="2"/>
            <w:tcBorders>
              <w:top w:val="single" w:sz="4" w:space="0" w:color="auto"/>
              <w:left w:val="single" w:sz="4" w:space="0" w:color="auto"/>
            </w:tcBorders>
            <w:shd w:val="clear" w:color="auto" w:fill="FFFFFF"/>
          </w:tcPr>
          <w:p w14:paraId="3F1502D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1, 5</w:t>
            </w:r>
          </w:p>
        </w:tc>
        <w:tc>
          <w:tcPr>
            <w:tcW w:w="1832" w:type="dxa"/>
            <w:tcBorders>
              <w:top w:val="single" w:sz="4" w:space="0" w:color="auto"/>
              <w:left w:val="single" w:sz="4" w:space="0" w:color="auto"/>
              <w:right w:val="single" w:sz="4" w:space="0" w:color="auto"/>
            </w:tcBorders>
            <w:shd w:val="clear" w:color="auto" w:fill="FFFFFF"/>
          </w:tcPr>
          <w:p w14:paraId="241AE92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67F2EFD"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5A43A93D" w14:textId="77777777" w:rsidR="008C76E0" w:rsidRPr="008C76E0" w:rsidRDefault="008C76E0" w:rsidP="008C76E0">
            <w:pPr>
              <w:pStyle w:val="Bodytext180"/>
              <w:shd w:val="clear" w:color="auto" w:fill="auto"/>
              <w:tabs>
                <w:tab w:val="left" w:pos="602"/>
              </w:tabs>
              <w:spacing w:before="0" w:after="120" w:line="240" w:lineRule="auto"/>
              <w:ind w:left="40" w:right="62" w:firstLine="0"/>
              <w:jc w:val="both"/>
              <w:rPr>
                <w:rFonts w:ascii="Sylfaen" w:hAnsi="Sylfaen"/>
                <w:b w:val="0"/>
                <w:sz w:val="24"/>
                <w:szCs w:val="24"/>
                <w:lang w:val="hy-AM"/>
              </w:rPr>
            </w:pPr>
            <w:r w:rsidRPr="003B2786">
              <w:rPr>
                <w:rStyle w:val="Bodytext1811pt"/>
                <w:rFonts w:ascii="Sylfaen" w:hAnsi="Sylfaen"/>
                <w:sz w:val="24"/>
                <w:szCs w:val="24"/>
              </w:rPr>
              <w:lastRenderedPageBreak/>
              <w:t>է)</w:t>
            </w:r>
            <w:r w:rsidRPr="003B2786">
              <w:rPr>
                <w:rStyle w:val="Bodytext1811pt"/>
                <w:rFonts w:ascii="Sylfaen" w:hAnsi="Sylfaen"/>
                <w:sz w:val="24"/>
                <w:szCs w:val="24"/>
              </w:rPr>
              <w:tab/>
              <w:t xml:space="preserve">ակտիվ դեղագործական բաղադրամասի նոր արտադրողի ավելացումը, որը չունի ԱԴԲՄՖ, </w:t>
            </w:r>
            <w:r w:rsidR="00C54D75">
              <w:rPr>
                <w:rStyle w:val="Bodytext1811pt"/>
                <w:rFonts w:ascii="Sylfaen" w:hAnsi="Sylfaen"/>
                <w:sz w:val="24"/>
                <w:szCs w:val="24"/>
              </w:rPr>
              <w:t>և</w:t>
            </w:r>
            <w:r w:rsidRPr="003B2786">
              <w:rPr>
                <w:rStyle w:val="Bodytext1811pt"/>
                <w:rFonts w:ascii="Sylfaen" w:hAnsi="Sylfaen"/>
                <w:sz w:val="24"/>
                <w:szCs w:val="24"/>
              </w:rPr>
              <w:t xml:space="preserve"> որի մասով պահանջվում է դոսյեի ակտիվ դեղագործական բաղադրամասին վերաբերող համապատասխան բաժնի էական թարմացում</w:t>
            </w:r>
          </w:p>
        </w:tc>
        <w:tc>
          <w:tcPr>
            <w:tcW w:w="1662" w:type="dxa"/>
            <w:tcBorders>
              <w:top w:val="single" w:sz="4" w:space="0" w:color="auto"/>
              <w:left w:val="single" w:sz="4" w:space="0" w:color="auto"/>
            </w:tcBorders>
            <w:shd w:val="clear" w:color="auto" w:fill="FFFFFF"/>
          </w:tcPr>
          <w:p w14:paraId="70C0766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228B472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543669A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6A24538"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183A7029"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ը)</w:t>
            </w:r>
            <w:r w:rsidRPr="003B2786">
              <w:rPr>
                <w:rStyle w:val="Bodytext1811pt"/>
                <w:rFonts w:ascii="Sylfaen" w:hAnsi="Sylfaen"/>
                <w:sz w:val="24"/>
                <w:szCs w:val="24"/>
              </w:rPr>
              <w:tab/>
            </w:r>
            <w:r w:rsidRPr="003B2786">
              <w:rPr>
                <w:rStyle w:val="Bodytext1811pt"/>
                <w:rFonts w:ascii="Sylfaen" w:hAnsi="Sylfaen"/>
                <w:spacing w:val="4"/>
                <w:sz w:val="24"/>
                <w:szCs w:val="24"/>
              </w:rPr>
              <w:t>Միության դեղագրքի մեթոդի կիրառմամբ ակտիվ դեղագործական բաղադրամասի մանրէազերծման այլընտրանքային հարթակի ընդգրկումը</w:t>
            </w:r>
          </w:p>
        </w:tc>
        <w:tc>
          <w:tcPr>
            <w:tcW w:w="1662" w:type="dxa"/>
            <w:tcBorders>
              <w:top w:val="single" w:sz="4" w:space="0" w:color="auto"/>
              <w:left w:val="single" w:sz="4" w:space="0" w:color="auto"/>
            </w:tcBorders>
            <w:shd w:val="clear" w:color="auto" w:fill="FFFFFF"/>
          </w:tcPr>
          <w:p w14:paraId="14ED9CF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7AABF29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1, 2, 4, 5, 8</w:t>
            </w:r>
          </w:p>
        </w:tc>
        <w:tc>
          <w:tcPr>
            <w:tcW w:w="1832" w:type="dxa"/>
            <w:tcBorders>
              <w:top w:val="single" w:sz="4" w:space="0" w:color="auto"/>
              <w:left w:val="single" w:sz="4" w:space="0" w:color="auto"/>
              <w:right w:val="single" w:sz="4" w:space="0" w:color="auto"/>
            </w:tcBorders>
            <w:shd w:val="clear" w:color="auto" w:fill="FFFFFF"/>
          </w:tcPr>
          <w:p w14:paraId="3187826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84F8AA7"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0A4637BC"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թ)</w:t>
            </w:r>
            <w:r w:rsidRPr="003B2786">
              <w:rPr>
                <w:rStyle w:val="Bodytext1811pt"/>
                <w:rFonts w:ascii="Sylfaen" w:hAnsi="Sylfaen"/>
                <w:sz w:val="24"/>
                <w:szCs w:val="24"/>
              </w:rPr>
              <w:tab/>
              <w:t>միկրոնիզացման նոր հարթակի ավելացումը</w:t>
            </w:r>
          </w:p>
        </w:tc>
        <w:tc>
          <w:tcPr>
            <w:tcW w:w="1662" w:type="dxa"/>
            <w:tcBorders>
              <w:top w:val="single" w:sz="4" w:space="0" w:color="auto"/>
              <w:left w:val="single" w:sz="4" w:space="0" w:color="auto"/>
            </w:tcBorders>
            <w:shd w:val="clear" w:color="auto" w:fill="FFFFFF"/>
          </w:tcPr>
          <w:p w14:paraId="42D4D83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2, 5</w:t>
            </w:r>
          </w:p>
        </w:tc>
        <w:tc>
          <w:tcPr>
            <w:tcW w:w="2017" w:type="dxa"/>
            <w:gridSpan w:val="2"/>
            <w:tcBorders>
              <w:top w:val="single" w:sz="4" w:space="0" w:color="auto"/>
              <w:left w:val="single" w:sz="4" w:space="0" w:color="auto"/>
            </w:tcBorders>
            <w:shd w:val="clear" w:color="auto" w:fill="FFFFFF"/>
          </w:tcPr>
          <w:p w14:paraId="7A77F3F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1, 4, 5, 6</w:t>
            </w:r>
          </w:p>
        </w:tc>
        <w:tc>
          <w:tcPr>
            <w:tcW w:w="1832" w:type="dxa"/>
            <w:tcBorders>
              <w:top w:val="single" w:sz="4" w:space="0" w:color="auto"/>
              <w:left w:val="single" w:sz="4" w:space="0" w:color="auto"/>
              <w:right w:val="single" w:sz="4" w:space="0" w:color="auto"/>
            </w:tcBorders>
            <w:shd w:val="clear" w:color="auto" w:fill="FFFFFF"/>
          </w:tcPr>
          <w:p w14:paraId="66D8700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36528BB"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3E86D9AC" w14:textId="77777777" w:rsidR="008C76E0" w:rsidRPr="008C76E0" w:rsidRDefault="008C76E0" w:rsidP="008C76E0">
            <w:pPr>
              <w:pStyle w:val="Bodytext180"/>
              <w:shd w:val="clear" w:color="auto" w:fill="auto"/>
              <w:tabs>
                <w:tab w:val="left" w:pos="60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ժ)</w:t>
            </w:r>
            <w:r w:rsidRPr="003B2786">
              <w:rPr>
                <w:rStyle w:val="Bodytext1811pt"/>
                <w:rFonts w:ascii="Sylfaen" w:hAnsi="Sylfaen"/>
                <w:sz w:val="24"/>
                <w:szCs w:val="24"/>
              </w:rPr>
              <w:tab/>
              <w:t>կենսաբանական ակտիվ դեղագործական բաղադրամասի որակի հսկողության մասով փորձարկումների վերաբերյալ համաձայնությունների փոփոխությունները, այն հարթակի փոխարինումը կամ ընդգրկումը, որտեղ իրականացվում է սերիաների հսկողությունը (փորձարկումները), ներառյալ՝ կենսաբանական (իմունաբանական, իմունաքիմիական) մեթոդը</w:t>
            </w:r>
          </w:p>
        </w:tc>
        <w:tc>
          <w:tcPr>
            <w:tcW w:w="1662" w:type="dxa"/>
            <w:tcBorders>
              <w:top w:val="single" w:sz="4" w:space="0" w:color="auto"/>
              <w:left w:val="single" w:sz="4" w:space="0" w:color="auto"/>
            </w:tcBorders>
            <w:shd w:val="clear" w:color="auto" w:fill="FFFFFF"/>
          </w:tcPr>
          <w:p w14:paraId="56596D6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3FC6108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2C7519A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7AF6F33"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7AD84F58" w14:textId="77777777" w:rsidR="008C76E0" w:rsidRPr="008C76E0" w:rsidRDefault="008C76E0" w:rsidP="008C76E0">
            <w:pPr>
              <w:pStyle w:val="Bodytext180"/>
              <w:shd w:val="clear" w:color="auto" w:fill="auto"/>
              <w:tabs>
                <w:tab w:val="left" w:pos="55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ժա)</w:t>
            </w:r>
            <w:r w:rsidRPr="003B2786">
              <w:rPr>
                <w:rStyle w:val="Bodytext1811pt"/>
                <w:rFonts w:ascii="Sylfaen" w:hAnsi="Sylfaen"/>
                <w:sz w:val="24"/>
                <w:szCs w:val="24"/>
              </w:rPr>
              <w:tab/>
              <w:t xml:space="preserve">բջիջների գլխավոր բանկի </w:t>
            </w:r>
            <w:r w:rsidR="00C54D75">
              <w:rPr>
                <w:rStyle w:val="Bodytext1811pt"/>
                <w:rFonts w:ascii="Sylfaen" w:hAnsi="Sylfaen"/>
                <w:sz w:val="24"/>
                <w:szCs w:val="24"/>
              </w:rPr>
              <w:t>և</w:t>
            </w:r>
            <w:r w:rsidRPr="003B2786">
              <w:rPr>
                <w:rStyle w:val="Bodytext1811pt"/>
                <w:rFonts w:ascii="Sylfaen" w:hAnsi="Sylfaen"/>
                <w:sz w:val="24"/>
                <w:szCs w:val="24"/>
              </w:rPr>
              <w:t xml:space="preserve"> (կամ) բջիջների աշխատանքային բանկերի պահպանման նոր հարթակը</w:t>
            </w:r>
          </w:p>
        </w:tc>
        <w:tc>
          <w:tcPr>
            <w:tcW w:w="1662" w:type="dxa"/>
            <w:tcBorders>
              <w:top w:val="single" w:sz="4" w:space="0" w:color="auto"/>
              <w:left w:val="single" w:sz="4" w:space="0" w:color="auto"/>
            </w:tcBorders>
            <w:shd w:val="clear" w:color="auto" w:fill="FFFFFF"/>
          </w:tcPr>
          <w:p w14:paraId="5768D2C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6B6A5CF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1, 5</w:t>
            </w:r>
          </w:p>
        </w:tc>
        <w:tc>
          <w:tcPr>
            <w:tcW w:w="1832" w:type="dxa"/>
            <w:tcBorders>
              <w:top w:val="single" w:sz="4" w:space="0" w:color="auto"/>
              <w:left w:val="single" w:sz="4" w:space="0" w:color="auto"/>
              <w:right w:val="single" w:sz="4" w:space="0" w:color="auto"/>
            </w:tcBorders>
            <w:shd w:val="clear" w:color="auto" w:fill="FFFFFF"/>
          </w:tcPr>
          <w:p w14:paraId="6A7DD05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F5EF5DD" w14:textId="77777777" w:rsidTr="008C76E0">
        <w:trPr>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2049FB8E" w14:textId="77777777" w:rsidR="008C76E0" w:rsidRPr="003B2786" w:rsidRDefault="008C76E0" w:rsidP="008C76E0">
            <w:pPr>
              <w:pStyle w:val="Bodytext180"/>
              <w:shd w:val="clear" w:color="auto" w:fill="auto"/>
              <w:tabs>
                <w:tab w:val="left" w:pos="572"/>
              </w:tabs>
              <w:spacing w:before="0" w:after="120" w:line="240" w:lineRule="auto"/>
              <w:ind w:left="40" w:right="187" w:firstLine="0"/>
              <w:jc w:val="both"/>
              <w:rPr>
                <w:rFonts w:ascii="Sylfaen" w:hAnsi="Sylfaen"/>
                <w:b w:val="0"/>
                <w:sz w:val="24"/>
                <w:szCs w:val="24"/>
              </w:rPr>
            </w:pPr>
            <w:r w:rsidRPr="003B2786">
              <w:rPr>
                <w:rStyle w:val="Bodytext1811pt"/>
                <w:rFonts w:ascii="Sylfaen" w:hAnsi="Sylfaen"/>
                <w:sz w:val="24"/>
                <w:szCs w:val="24"/>
              </w:rPr>
              <w:t>Պայմանները</w:t>
            </w:r>
          </w:p>
          <w:p w14:paraId="51442C29" w14:textId="77777777" w:rsidR="008C76E0" w:rsidRPr="003B2786" w:rsidRDefault="008C76E0" w:rsidP="008C76E0">
            <w:pPr>
              <w:pStyle w:val="Bodytext180"/>
              <w:numPr>
                <w:ilvl w:val="0"/>
                <w:numId w:val="15"/>
              </w:numPr>
              <w:shd w:val="clear" w:color="auto" w:fill="auto"/>
              <w:tabs>
                <w:tab w:val="left" w:pos="572"/>
              </w:tabs>
              <w:spacing w:before="0" w:after="120" w:line="240" w:lineRule="auto"/>
              <w:ind w:left="40" w:right="187" w:firstLine="0"/>
              <w:jc w:val="both"/>
              <w:rPr>
                <w:rFonts w:ascii="Sylfaen" w:hAnsi="Sylfaen"/>
                <w:b w:val="0"/>
                <w:sz w:val="24"/>
                <w:szCs w:val="24"/>
              </w:rPr>
            </w:pPr>
            <w:r w:rsidRPr="003B2786">
              <w:rPr>
                <w:rStyle w:val="Bodytext1811pt"/>
                <w:rFonts w:ascii="Sylfaen" w:hAnsi="Sylfaen"/>
                <w:sz w:val="24"/>
                <w:szCs w:val="24"/>
              </w:rPr>
              <w:t xml:space="preserve">Ելանյութերի </w:t>
            </w:r>
            <w:r w:rsidR="00C54D75">
              <w:rPr>
                <w:rStyle w:val="Bodytext1811pt"/>
                <w:rFonts w:ascii="Sylfaen" w:hAnsi="Sylfaen"/>
                <w:sz w:val="24"/>
                <w:szCs w:val="24"/>
              </w:rPr>
              <w:t>և</w:t>
            </w:r>
            <w:r w:rsidRPr="003B2786">
              <w:rPr>
                <w:rStyle w:val="Bodytext1811pt"/>
                <w:rFonts w:ascii="Sylfaen" w:hAnsi="Sylfaen"/>
                <w:sz w:val="24"/>
                <w:szCs w:val="24"/>
              </w:rPr>
              <w:t xml:space="preserve"> ռեակտիվների մասնագրերը (ներառյալ՝ ներարտադրական հսկողությունները, բոլոր նյութերի վերլուծության մեթոդները) նույնական են նախկինում հաստատվածների հետ: Մասնագրերը (ներառյալ՝ ներարտադրական հսկողությունը, բոլոր նյութերի վերլուծության մեթոդները), պատրաստման եղանակները (ներառյալ`սերիայի չափը) </w:t>
            </w:r>
            <w:r w:rsidR="00C54D75">
              <w:rPr>
                <w:rStyle w:val="Bodytext1811pt"/>
                <w:rFonts w:ascii="Sylfaen" w:hAnsi="Sylfaen"/>
                <w:sz w:val="24"/>
                <w:szCs w:val="24"/>
              </w:rPr>
              <w:t>և</w:t>
            </w:r>
            <w:r w:rsidRPr="003B2786">
              <w:rPr>
                <w:rStyle w:val="Bodytext1811pt"/>
                <w:rFonts w:ascii="Sylfaen" w:hAnsi="Sylfaen"/>
                <w:sz w:val="24"/>
                <w:szCs w:val="24"/>
              </w:rPr>
              <w:t xml:space="preserve"> միջանկյալ արտադրանքի </w:t>
            </w:r>
            <w:r w:rsidR="00C54D75">
              <w:rPr>
                <w:rStyle w:val="Bodytext1811pt"/>
                <w:rFonts w:ascii="Sylfaen" w:hAnsi="Sylfaen"/>
                <w:sz w:val="24"/>
                <w:szCs w:val="24"/>
              </w:rPr>
              <w:t>և</w:t>
            </w:r>
            <w:r w:rsidRPr="003B2786">
              <w:rPr>
                <w:rStyle w:val="Bodytext1811pt"/>
                <w:rFonts w:ascii="Sylfaen" w:hAnsi="Sylfaen"/>
                <w:sz w:val="24"/>
                <w:szCs w:val="24"/>
              </w:rPr>
              <w:t xml:space="preserve"> ակտիվ դեղագործական բաղադրամասերի սինթեզման մանրամասն եղանակը նույնական են նախկինում հաստատվածների հետ:</w:t>
            </w:r>
          </w:p>
        </w:tc>
      </w:tr>
      <w:tr w:rsidR="008C76E0" w:rsidRPr="003B2786" w14:paraId="0E400802"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390AF860" w14:textId="77777777" w:rsidR="008C76E0" w:rsidRPr="008C76E0" w:rsidRDefault="008C76E0" w:rsidP="008C76E0">
            <w:pPr>
              <w:pStyle w:val="Bodytext180"/>
              <w:shd w:val="clear" w:color="auto" w:fill="auto"/>
              <w:tabs>
                <w:tab w:val="left" w:pos="572"/>
              </w:tabs>
              <w:spacing w:before="0" w:after="12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կենսաբանական (իմունաբանական) կամ մանրէազերծ չէ:</w:t>
            </w:r>
          </w:p>
          <w:p w14:paraId="74E75396" w14:textId="77777777" w:rsidR="008C76E0" w:rsidRPr="008C76E0" w:rsidRDefault="008C76E0" w:rsidP="008C76E0">
            <w:pPr>
              <w:pStyle w:val="Bodytext180"/>
              <w:shd w:val="clear" w:color="auto" w:fill="auto"/>
              <w:tabs>
                <w:tab w:val="left" w:pos="572"/>
              </w:tabs>
              <w:spacing w:before="0" w:after="12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Եթե արտադրության գործընթացում օգտագործվում են մարդկային կամ կենդանական ծագման նյութեր, արտադրողը չի ընդգրկում նոր մատակարար, որի առնչությամբ պահանջվում է վիրուսային անվտանգության գնահատում </w:t>
            </w:r>
            <w:r w:rsidR="00C54D75">
              <w:rPr>
                <w:rStyle w:val="Bodytext1811pt"/>
                <w:rFonts w:ascii="Sylfaen" w:hAnsi="Sylfaen"/>
                <w:sz w:val="24"/>
                <w:szCs w:val="24"/>
              </w:rPr>
              <w:t>և</w:t>
            </w:r>
            <w:r w:rsidRPr="003B2786">
              <w:rPr>
                <w:rStyle w:val="Bodytext1811pt"/>
                <w:rFonts w:ascii="Sylfaen" w:hAnsi="Sylfaen"/>
                <w:sz w:val="24"/>
                <w:szCs w:val="24"/>
              </w:rPr>
              <w:t xml:space="preserve"> համապատասխանություն Միության դեղագրքին՝ կենդանիների սպունգանման էնցեֆալոպատիայի՝ բժշկական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անասնաբուժական կիրառման համար նախատեսված դեղապատրաստուկների միջոցով </w:t>
            </w:r>
            <w:r w:rsidRPr="003B2786">
              <w:rPr>
                <w:rStyle w:val="Bodytext1811pt"/>
                <w:rFonts w:ascii="Sylfaen" w:hAnsi="Sylfaen"/>
                <w:sz w:val="24"/>
                <w:szCs w:val="24"/>
              </w:rPr>
              <w:lastRenderedPageBreak/>
              <w:t>փոխանցման ռիսկի նվազեցման մասով:</w:t>
            </w:r>
          </w:p>
          <w:p w14:paraId="697EA417" w14:textId="77777777" w:rsidR="008C76E0" w:rsidRPr="008C76E0" w:rsidRDefault="008C76E0" w:rsidP="008C76E0">
            <w:pPr>
              <w:pStyle w:val="Bodytext180"/>
              <w:shd w:val="clear" w:color="auto" w:fill="auto"/>
              <w:tabs>
                <w:tab w:val="left" w:pos="572"/>
              </w:tabs>
              <w:spacing w:before="0" w:after="12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Մեթոդի փոխանցումը հին հարթակից նորին կատարվել է հաջողությամբ:</w:t>
            </w:r>
          </w:p>
          <w:p w14:paraId="3A69F746" w14:textId="77777777" w:rsidR="008C76E0" w:rsidRPr="008C76E0" w:rsidRDefault="008C76E0" w:rsidP="008C76E0">
            <w:pPr>
              <w:pStyle w:val="Bodytext180"/>
              <w:shd w:val="clear" w:color="auto" w:fill="auto"/>
              <w:tabs>
                <w:tab w:val="left" w:pos="572"/>
              </w:tabs>
              <w:spacing w:before="0" w:after="12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Ակտիվ դեղագործական բաղադրամասի մասնիկների չափերին վերաբերող մասնագիրը </w:t>
            </w:r>
            <w:r w:rsidR="00C54D75">
              <w:rPr>
                <w:rStyle w:val="Bodytext1811pt"/>
                <w:rFonts w:ascii="Sylfaen" w:hAnsi="Sylfaen"/>
                <w:sz w:val="24"/>
                <w:szCs w:val="24"/>
              </w:rPr>
              <w:t>և</w:t>
            </w:r>
            <w:r w:rsidRPr="003B2786">
              <w:rPr>
                <w:rStyle w:val="Bodytext1811pt"/>
                <w:rFonts w:ascii="Sylfaen" w:hAnsi="Sylfaen"/>
                <w:sz w:val="24"/>
                <w:szCs w:val="24"/>
              </w:rPr>
              <w:t xml:space="preserve"> համապատասխան վերլուծական մեթոդը չեն փոփոխվում:</w:t>
            </w:r>
          </w:p>
        </w:tc>
      </w:tr>
      <w:tr w:rsidR="008C76E0" w:rsidRPr="003B2786" w14:paraId="4E5B81DB"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497FE475" w14:textId="77777777" w:rsidR="008C76E0" w:rsidRPr="006D1911" w:rsidRDefault="008C76E0" w:rsidP="008C76E0">
            <w:pPr>
              <w:pStyle w:val="Bodytext180"/>
              <w:shd w:val="clear" w:color="auto" w:fill="auto"/>
              <w:tabs>
                <w:tab w:val="left" w:pos="572"/>
              </w:tabs>
              <w:spacing w:before="0" w:after="120" w:line="240" w:lineRule="auto"/>
              <w:ind w:left="41" w:right="187" w:firstLine="0"/>
              <w:jc w:val="both"/>
              <w:rPr>
                <w:rStyle w:val="Bodytext1811pt"/>
                <w:rFonts w:ascii="Sylfaen" w:hAnsi="Sylfaen"/>
                <w:sz w:val="24"/>
                <w:szCs w:val="24"/>
              </w:rPr>
            </w:pPr>
          </w:p>
          <w:p w14:paraId="4A6C2B07"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2BB932C"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pacing w:val="-4"/>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pacing w:val="-4"/>
                <w:sz w:val="24"/>
                <w:szCs w:val="24"/>
              </w:rPr>
              <w:t>Դոսյեի համապատասխան բաժնում (բաժիններում) ուղղում կատարելը, եթե կիրառելի է:</w:t>
            </w:r>
          </w:p>
          <w:p w14:paraId="6109BA7A"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Գրանցման հավաստագրի իրավատիրոջ կամ համապատասխանաբար ԱԴԲՄՖ-ի իրավատիրոջ հայտարարագիրն առ այն, որ սինթեզման եղանակի որակի հսկողության ընթացակարգերը (կամ (համապատասխանաբար) դեղաբուսական պատրաստուկների համար՝ պատրաստման մեթոդի, աշխարհագրական աղբյուրի, բուսական դեղագործական բաղադրամասի արտադրության)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xml:space="preserve"> ելանյութի (ռեակտիվի, միջանկյալ արտադրանքի) մասնագրերը ակտիվ դեղագործական բաղադրամասի արտադրության գործընթացում (եթե կիրառելի է) չեն տարբերվում նախկինում հաստատվածներից:</w:t>
            </w:r>
          </w:p>
          <w:p w14:paraId="4D43BCB3"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Կա՛մ նյութի ցանկացած նոր աղբյուրի համար ՏՍԷ-ի մասով Եվրոպական դեղագրքին համապատասխանության սերտիֆիկատը, կա՛մ (եթե կիրառելի է) փաստաթղթային հավաստումն առ այն, որ ՏՍԷ-ի ռիսկի ենթարկված նյութի աղբյուրը նախկինում հետազոտվել է լիազորված մարմնի կողմից,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հաստատվել է դրա համապատասխանությունը Միության դեղագրքին՝ կենդանիների սպունգանման էնցեֆալոպատիայի՝ բժշկական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անասնաբուժական կիրառման համար նախատեսված դեղապատրաստուկների միջոցով փոխանցման ռիսկի նվազեցման մասով: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տեղեկությունները՝ արտադրողի անվանումը, այն կենդանիների </w:t>
            </w:r>
            <w:r w:rsidR="00C54D75">
              <w:rPr>
                <w:rStyle w:val="Bodytext1811pt"/>
                <w:rFonts w:ascii="Sylfaen" w:hAnsi="Sylfaen"/>
                <w:sz w:val="24"/>
                <w:szCs w:val="24"/>
              </w:rPr>
              <w:t>և</w:t>
            </w:r>
            <w:r w:rsidRPr="003B2786">
              <w:rPr>
                <w:rStyle w:val="Bodytext1811pt"/>
                <w:rFonts w:ascii="Sylfaen" w:hAnsi="Sylfaen"/>
                <w:sz w:val="24"/>
                <w:szCs w:val="24"/>
              </w:rPr>
              <w:t xml:space="preserve"> հյուսվածքի տեսակը, որոնցից ստացվել է նյութը, կենդանիների ծագման երկիրը, անցյալում նյութի օգտագործումն ու ընդունելիությունը:</w:t>
            </w:r>
          </w:p>
          <w:p w14:paraId="3AAB0BD3"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արտադրողներից (հարթակներից) ակտիվ դեղագործական բաղադրամասի սերիաների, առնվազն երկու սերիայի (առնվազն փորձարարաարդյունաբերական)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w:t>
            </w:r>
          </w:p>
          <w:p w14:paraId="4EF16D9A"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 xml:space="preserve">ում անհրաժեշտ է հստակ նշել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արտադրողներին, ինչպես նշված է դիմումի ձ</w:t>
            </w:r>
            <w:r w:rsidR="00C54D75">
              <w:rPr>
                <w:rStyle w:val="Bodytext1811pt"/>
                <w:rFonts w:ascii="Sylfaen" w:hAnsi="Sylfaen"/>
                <w:sz w:val="24"/>
                <w:szCs w:val="24"/>
              </w:rPr>
              <w:t>և</w:t>
            </w:r>
            <w:r w:rsidRPr="003B2786">
              <w:rPr>
                <w:rStyle w:val="Bodytext1811pt"/>
                <w:rFonts w:ascii="Sylfaen" w:hAnsi="Sylfaen"/>
                <w:sz w:val="24"/>
                <w:szCs w:val="24"/>
              </w:rPr>
              <w:t>ի 2.5 բաժնում:</w:t>
            </w:r>
          </w:p>
          <w:p w14:paraId="1F067F85"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Եթե ակտիվ դեղագործական բաղադրամասն օգտագործվում է որպես ելանյութ, դիմումի մեջ նշված՝ արտադրության լիցենզիայի յուրաքանչյուր իրավատիրոջ որակավորված անձի (ՈԱ) </w:t>
            </w:r>
            <w:r w:rsidR="00C54D75">
              <w:rPr>
                <w:rStyle w:val="Bodytext1811pt"/>
                <w:rFonts w:ascii="Sylfaen" w:hAnsi="Sylfaen"/>
                <w:sz w:val="24"/>
                <w:szCs w:val="24"/>
              </w:rPr>
              <w:t>և</w:t>
            </w:r>
            <w:r w:rsidRPr="003B2786">
              <w:rPr>
                <w:rStyle w:val="Bodytext1811pt"/>
                <w:rFonts w:ascii="Sylfaen" w:hAnsi="Sylfaen"/>
                <w:sz w:val="24"/>
                <w:szCs w:val="24"/>
              </w:rPr>
              <w:t xml:space="preserve"> դիմումի մեջ որպես սերիաների բացթողման համար պատասխանատու նշված՝ արտադրության լիցենզիայի յուրաքանչյուր իրավատիրոջ որակավորված անձի (ՈԱ) հայտարարագիրը: Հայտարարագրերում անհրաժեշտ է նշել, որ դիմումի մեջ նշված՝ ակտիվ դեղագործական բաղադրամաս արտադրողը (արտադրողները) իր (իրենց) գործունեությունն իրականացնում է (են)՝ ելանյութերի մասով Միության պատշաճ արտադրական գործունեության կանոններին համապատասխան: Որոշակի հանգամանքներում թույլատրվում է ներկայացնել 1 հայտարարագիր (տե՛ս Բ.II.բ.1 </w:t>
            </w:r>
            <w:r w:rsidRPr="003B2786">
              <w:rPr>
                <w:rStyle w:val="Bodytext1811pt"/>
                <w:rFonts w:ascii="Sylfaen" w:hAnsi="Sylfaen"/>
                <w:sz w:val="24"/>
                <w:szCs w:val="24"/>
              </w:rPr>
              <w:lastRenderedPageBreak/>
              <w:t>փոփոխության վերաբերյալ ծանոթագրությունը):</w:t>
            </w:r>
          </w:p>
          <w:p w14:paraId="5756CB3C" w14:textId="77777777" w:rsidR="008C76E0" w:rsidRPr="008C76E0" w:rsidRDefault="008C76E0" w:rsidP="008C76E0">
            <w:pPr>
              <w:pStyle w:val="Bodytext180"/>
              <w:shd w:val="clear" w:color="auto" w:fill="auto"/>
              <w:tabs>
                <w:tab w:val="left" w:pos="572"/>
              </w:tabs>
              <w:spacing w:before="0" w:after="14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Ակտիվ դեղագործական բաղադրամաս արտադրողի պարտավորությունն է (անհրաժեշտության դեպքում) տեղեկացնել ԳՀ-ի իրավատիրոջն ակտիվ դեղագործական բաղադրամասի արտադրության գործընթացի, մասնագրերի </w:t>
            </w:r>
            <w:r w:rsidR="00C54D75">
              <w:rPr>
                <w:rStyle w:val="Bodytext1811pt"/>
                <w:rFonts w:ascii="Sylfaen" w:hAnsi="Sylfaen"/>
                <w:sz w:val="24"/>
                <w:szCs w:val="24"/>
              </w:rPr>
              <w:t>և</w:t>
            </w:r>
            <w:r w:rsidRPr="003B2786">
              <w:rPr>
                <w:rStyle w:val="Bodytext1811pt"/>
                <w:rFonts w:ascii="Sylfaen" w:hAnsi="Sylfaen"/>
                <w:sz w:val="24"/>
                <w:szCs w:val="24"/>
              </w:rPr>
              <w:t xml:space="preserve"> վերլուծական մեթոդիկաների ցանկացած փոփոխության մասին:</w:t>
            </w:r>
          </w:p>
          <w:p w14:paraId="37BFA64C"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Հաստատում առ այն, որ առաջարկվող հարթակը պատշաճ կերպով լիցենզավորված է դիտարկվող դեղաձ</w:t>
            </w:r>
            <w:r w:rsidR="00C54D75">
              <w:rPr>
                <w:rStyle w:val="Bodytext1811pt"/>
                <w:rFonts w:ascii="Sylfaen" w:hAnsi="Sylfaen"/>
                <w:sz w:val="24"/>
                <w:szCs w:val="24"/>
              </w:rPr>
              <w:t>և</w:t>
            </w:r>
            <w:r w:rsidRPr="003B2786">
              <w:rPr>
                <w:rStyle w:val="Bodytext1811pt"/>
                <w:rFonts w:ascii="Sylfaen" w:hAnsi="Sylfaen"/>
                <w:sz w:val="24"/>
                <w:szCs w:val="24"/>
              </w:rPr>
              <w:t>ի, դեղապատրաստուկի կամ արտադրական գործառնությունների մասով:</w:t>
            </w:r>
          </w:p>
        </w:tc>
      </w:tr>
      <w:tr w:rsidR="008C76E0" w:rsidRPr="003B2786" w14:paraId="6A8D0E71" w14:textId="77777777" w:rsidTr="008C76E0">
        <w:trPr>
          <w:jc w:val="center"/>
        </w:trPr>
        <w:tc>
          <w:tcPr>
            <w:tcW w:w="4802" w:type="dxa"/>
            <w:gridSpan w:val="2"/>
            <w:tcBorders>
              <w:top w:val="single" w:sz="4" w:space="0" w:color="auto"/>
              <w:left w:val="single" w:sz="4" w:space="0" w:color="auto"/>
              <w:bottom w:val="single" w:sz="4" w:space="0" w:color="auto"/>
            </w:tcBorders>
            <w:shd w:val="clear" w:color="auto" w:fill="FFFFFF"/>
          </w:tcPr>
          <w:p w14:paraId="27919D01" w14:textId="77777777" w:rsidR="008C76E0" w:rsidRPr="008C76E0" w:rsidRDefault="008C76E0" w:rsidP="008C76E0">
            <w:pPr>
              <w:pStyle w:val="Bodytext180"/>
              <w:shd w:val="clear" w:color="auto" w:fill="auto"/>
              <w:tabs>
                <w:tab w:val="left" w:pos="1034"/>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lastRenderedPageBreak/>
              <w:t>Բ.I.ա.2.</w:t>
            </w:r>
            <w:r w:rsidRPr="003B2786">
              <w:rPr>
                <w:rStyle w:val="Bodytext1811pt"/>
                <w:rFonts w:ascii="Sylfaen" w:hAnsi="Sylfaen"/>
                <w:sz w:val="24"/>
                <w:szCs w:val="24"/>
              </w:rPr>
              <w:tab/>
              <w:t>Ակտիվ դեղագործական բաղադրամասի արտադրության գործընթացի փոփոխությունները</w:t>
            </w:r>
          </w:p>
        </w:tc>
        <w:tc>
          <w:tcPr>
            <w:tcW w:w="1662" w:type="dxa"/>
            <w:tcBorders>
              <w:top w:val="single" w:sz="4" w:space="0" w:color="auto"/>
              <w:left w:val="single" w:sz="4" w:space="0" w:color="auto"/>
              <w:bottom w:val="single" w:sz="4" w:space="0" w:color="auto"/>
            </w:tcBorders>
            <w:shd w:val="clear" w:color="auto" w:fill="FFFFFF"/>
          </w:tcPr>
          <w:p w14:paraId="1840FF2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bottom w:val="single" w:sz="4" w:space="0" w:color="auto"/>
            </w:tcBorders>
            <w:shd w:val="clear" w:color="auto" w:fill="FFFFFF"/>
          </w:tcPr>
          <w:p w14:paraId="1089B2E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bottom w:val="single" w:sz="4" w:space="0" w:color="auto"/>
              <w:right w:val="single" w:sz="4" w:space="0" w:color="auto"/>
            </w:tcBorders>
            <w:shd w:val="clear" w:color="auto" w:fill="FFFFFF"/>
          </w:tcPr>
          <w:p w14:paraId="0DA0BD5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D292538"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07002B5" w14:textId="77777777" w:rsidR="008C76E0" w:rsidRPr="008C76E0" w:rsidRDefault="008C76E0" w:rsidP="008C76E0">
            <w:pPr>
              <w:pStyle w:val="Bodytext180"/>
              <w:shd w:val="clear" w:color="auto" w:fill="auto"/>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ակտիվ դեղագործական բաղադրամասի արտադրության գործընթացի ոչ էական փոփոխությունը</w:t>
            </w:r>
          </w:p>
        </w:tc>
        <w:tc>
          <w:tcPr>
            <w:tcW w:w="1662" w:type="dxa"/>
            <w:tcBorders>
              <w:top w:val="single" w:sz="4" w:space="0" w:color="auto"/>
              <w:left w:val="single" w:sz="4" w:space="0" w:color="auto"/>
            </w:tcBorders>
            <w:shd w:val="clear" w:color="auto" w:fill="FFFFFF"/>
          </w:tcPr>
          <w:p w14:paraId="2424A4A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1, 2, 3, 4, 5, 6, 7</w:t>
            </w:r>
          </w:p>
        </w:tc>
        <w:tc>
          <w:tcPr>
            <w:tcW w:w="2017" w:type="dxa"/>
            <w:gridSpan w:val="2"/>
            <w:tcBorders>
              <w:top w:val="single" w:sz="4" w:space="0" w:color="auto"/>
              <w:left w:val="single" w:sz="4" w:space="0" w:color="auto"/>
            </w:tcBorders>
            <w:shd w:val="clear" w:color="auto" w:fill="FFFFFF"/>
          </w:tcPr>
          <w:p w14:paraId="2CCE99A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832" w:type="dxa"/>
            <w:tcBorders>
              <w:top w:val="single" w:sz="4" w:space="0" w:color="auto"/>
              <w:left w:val="single" w:sz="4" w:space="0" w:color="auto"/>
              <w:right w:val="single" w:sz="4" w:space="0" w:color="auto"/>
            </w:tcBorders>
            <w:shd w:val="clear" w:color="auto" w:fill="FFFFFF"/>
          </w:tcPr>
          <w:p w14:paraId="0CE876F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8495541"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3E85AB5D" w14:textId="77777777" w:rsidR="008C76E0" w:rsidRPr="008C76E0" w:rsidRDefault="008C76E0" w:rsidP="008C76E0">
            <w:pPr>
              <w:pStyle w:val="Bodytext180"/>
              <w:shd w:val="clear" w:color="auto" w:fill="auto"/>
              <w:tabs>
                <w:tab w:val="left" w:pos="57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ակտիվ դեղագործական բաղադրամասի արտադրության գործընթացի զգալի փոփոխությունը, որը կարող է էական ազդեցություն ունենալ դեղապատրաստուկի որակի,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արդյունավետության վրա</w:t>
            </w:r>
          </w:p>
        </w:tc>
        <w:tc>
          <w:tcPr>
            <w:tcW w:w="1662" w:type="dxa"/>
            <w:tcBorders>
              <w:top w:val="single" w:sz="4" w:space="0" w:color="auto"/>
              <w:left w:val="single" w:sz="4" w:space="0" w:color="auto"/>
            </w:tcBorders>
            <w:shd w:val="clear" w:color="auto" w:fill="FFFFFF"/>
          </w:tcPr>
          <w:p w14:paraId="290BD65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462AB35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6F2F652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40BF18C"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0058534B" w14:textId="77777777" w:rsidR="008C76E0" w:rsidRPr="008C76E0" w:rsidRDefault="008C76E0" w:rsidP="008C76E0">
            <w:pPr>
              <w:pStyle w:val="Bodytext180"/>
              <w:shd w:val="clear" w:color="auto" w:fill="auto"/>
              <w:tabs>
                <w:tab w:val="left" w:pos="57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փոփոխությունը վերաբերում է կենսաբանական (իմունաբանական) սուբստանցիային կամ քիմիական սինթեզի միջոցով ստացված այլ նյութի օգտագործմանն այն կենսաբանական (իմունաբանական) դեղապատրաստուկի արտադրության մեջ, որը կարող է էական ազդեցություն ունենալ դեղապատրաստուկի որակի,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արդյունավետության վրա, </w:t>
            </w:r>
            <w:r w:rsidR="00C54D75">
              <w:rPr>
                <w:rStyle w:val="Bodytext1811pt"/>
                <w:rFonts w:ascii="Sylfaen" w:hAnsi="Sylfaen"/>
                <w:sz w:val="24"/>
                <w:szCs w:val="24"/>
              </w:rPr>
              <w:t>և</w:t>
            </w:r>
            <w:r w:rsidRPr="003B2786">
              <w:rPr>
                <w:rStyle w:val="Bodytext1811pt"/>
                <w:rFonts w:ascii="Sylfaen" w:hAnsi="Sylfaen"/>
                <w:sz w:val="24"/>
                <w:szCs w:val="24"/>
              </w:rPr>
              <w:t xml:space="preserve"> այն կապված չէ արձանագրության հետ</w:t>
            </w:r>
          </w:p>
        </w:tc>
        <w:tc>
          <w:tcPr>
            <w:tcW w:w="1662" w:type="dxa"/>
            <w:tcBorders>
              <w:top w:val="single" w:sz="4" w:space="0" w:color="auto"/>
              <w:left w:val="single" w:sz="4" w:space="0" w:color="auto"/>
            </w:tcBorders>
            <w:shd w:val="clear" w:color="auto" w:fill="FFFFFF"/>
          </w:tcPr>
          <w:p w14:paraId="57800BF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66579A2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49C2DFA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E85F72C"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693E71CE" w14:textId="77777777" w:rsidR="008C76E0" w:rsidRPr="008C76E0" w:rsidRDefault="008C76E0" w:rsidP="008C76E0">
            <w:pPr>
              <w:pStyle w:val="Bodytext180"/>
              <w:shd w:val="clear" w:color="auto" w:fill="auto"/>
              <w:tabs>
                <w:tab w:val="left" w:pos="57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փոփոխությունը վերաբերում է դեղաբուսական պատրաստուկին, մասնավորապես՝ աշխարհագրական աղբյուրին, արտադրության կամ պատրաստման եղանակին</w:t>
            </w:r>
          </w:p>
        </w:tc>
        <w:tc>
          <w:tcPr>
            <w:tcW w:w="1662" w:type="dxa"/>
            <w:tcBorders>
              <w:top w:val="single" w:sz="4" w:space="0" w:color="auto"/>
              <w:left w:val="single" w:sz="4" w:space="0" w:color="auto"/>
            </w:tcBorders>
            <w:shd w:val="clear" w:color="auto" w:fill="FFFFFF"/>
          </w:tcPr>
          <w:p w14:paraId="1BA0E5E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06A057E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505957B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D200B4B" w14:textId="77777777" w:rsidTr="008C76E0">
        <w:trPr>
          <w:jc w:val="center"/>
        </w:trPr>
        <w:tc>
          <w:tcPr>
            <w:tcW w:w="4802" w:type="dxa"/>
            <w:gridSpan w:val="2"/>
            <w:tcBorders>
              <w:top w:val="single" w:sz="4" w:space="0" w:color="auto"/>
              <w:left w:val="single" w:sz="4" w:space="0" w:color="auto"/>
            </w:tcBorders>
            <w:shd w:val="clear" w:color="auto" w:fill="FFFFFF"/>
          </w:tcPr>
          <w:p w14:paraId="44680C9B" w14:textId="77777777" w:rsidR="008C76E0" w:rsidRPr="008C76E0" w:rsidRDefault="008C76E0" w:rsidP="008C76E0">
            <w:pPr>
              <w:pStyle w:val="Bodytext180"/>
              <w:shd w:val="clear" w:color="auto" w:fill="auto"/>
              <w:tabs>
                <w:tab w:val="left" w:pos="57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ԱԴԲՄՖ-ի փակ մասի ոչ էական փոփոխությունը</w:t>
            </w:r>
          </w:p>
        </w:tc>
        <w:tc>
          <w:tcPr>
            <w:tcW w:w="1662" w:type="dxa"/>
            <w:tcBorders>
              <w:top w:val="single" w:sz="4" w:space="0" w:color="auto"/>
              <w:left w:val="single" w:sz="4" w:space="0" w:color="auto"/>
            </w:tcBorders>
            <w:shd w:val="clear" w:color="auto" w:fill="FFFFFF"/>
          </w:tcPr>
          <w:p w14:paraId="66B863E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4ADEA88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1832" w:type="dxa"/>
            <w:tcBorders>
              <w:top w:val="single" w:sz="4" w:space="0" w:color="auto"/>
              <w:left w:val="single" w:sz="4" w:space="0" w:color="auto"/>
              <w:right w:val="single" w:sz="4" w:space="0" w:color="auto"/>
            </w:tcBorders>
            <w:shd w:val="clear" w:color="auto" w:fill="FFFFFF"/>
          </w:tcPr>
          <w:p w14:paraId="5AF53C8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161681B"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215E0694" w14:textId="77777777" w:rsidR="008C76E0" w:rsidRPr="008C76E0" w:rsidRDefault="008C76E0" w:rsidP="008C76E0">
            <w:pPr>
              <w:pStyle w:val="Bodytext180"/>
              <w:shd w:val="clear" w:color="auto" w:fill="auto"/>
              <w:spacing w:before="0" w:after="120" w:line="240" w:lineRule="auto"/>
              <w:ind w:left="41" w:right="88" w:firstLine="0"/>
              <w:jc w:val="both"/>
              <w:rPr>
                <w:rFonts w:ascii="Sylfaen" w:hAnsi="Sylfaen"/>
                <w:b w:val="0"/>
                <w:sz w:val="24"/>
                <w:szCs w:val="24"/>
                <w:lang w:val="hy-AM"/>
              </w:rPr>
            </w:pPr>
            <w:r w:rsidRPr="003B2786">
              <w:rPr>
                <w:rStyle w:val="Bodytext1811pt"/>
                <w:rFonts w:ascii="Sylfaen" w:hAnsi="Sylfaen"/>
                <w:sz w:val="24"/>
                <w:szCs w:val="24"/>
              </w:rPr>
              <w:lastRenderedPageBreak/>
              <w:t>Պայմանները</w:t>
            </w:r>
          </w:p>
          <w:p w14:paraId="2F2F1670"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Խառնուկների որակական կամ քանակական պրոֆիլի կամ ֆիզիկաքիմիական հատկությունների անցանկալի փոփոխությունը բացակայում է:</w:t>
            </w:r>
          </w:p>
          <w:p w14:paraId="3C7C82C8"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Սինթեզման եղանակը մնում է նույնը, այսինքն՝ միջանկյալ արտադրանքը չի փոփոխվում, </w:t>
            </w:r>
            <w:r w:rsidR="00C54D75">
              <w:rPr>
                <w:rStyle w:val="Bodytext1811pt"/>
                <w:rFonts w:ascii="Sylfaen" w:hAnsi="Sylfaen"/>
                <w:sz w:val="24"/>
                <w:szCs w:val="24"/>
              </w:rPr>
              <w:t>և</w:t>
            </w:r>
            <w:r w:rsidRPr="003B2786">
              <w:rPr>
                <w:rStyle w:val="Bodytext1811pt"/>
                <w:rFonts w:ascii="Sylfaen" w:hAnsi="Sylfaen"/>
                <w:sz w:val="24"/>
                <w:szCs w:val="24"/>
              </w:rPr>
              <w:t xml:space="preserve"> գործընթացում նոր ռեակտիվներ, կատալիզատորներ կամ լուծիչներ չեն ներմուծվում: Դեղաբուսական պատրաստուկների աշխարհագրական աղբյուրը, բուսական հումքի պատրաստումը </w:t>
            </w:r>
            <w:r w:rsidR="00C54D75">
              <w:rPr>
                <w:rStyle w:val="Bodytext1811pt"/>
                <w:rFonts w:ascii="Sylfaen" w:hAnsi="Sylfaen"/>
                <w:sz w:val="24"/>
                <w:szCs w:val="24"/>
              </w:rPr>
              <w:t>և</w:t>
            </w:r>
            <w:r w:rsidRPr="003B2786">
              <w:rPr>
                <w:rStyle w:val="Bodytext1811pt"/>
                <w:rFonts w:ascii="Sylfaen" w:hAnsi="Sylfaen"/>
                <w:sz w:val="24"/>
                <w:szCs w:val="24"/>
              </w:rPr>
              <w:t xml:space="preserve"> արտադրության եղանակը չեն փոփոխվում:</w:t>
            </w:r>
          </w:p>
          <w:p w14:paraId="0FB2000F"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xml:space="preserve"> միջանկյալ արտադրանքի մասնագրերը չեն փոփոխվում:</w:t>
            </w:r>
          </w:p>
          <w:p w14:paraId="3AB90B47"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Փոփոխությունն ամբողջությամբ նկարագրվում է ԱԴԲՄՖ-ի բաց մասում («հայտատուի» մասում) (եթե կիրառելի է):</w:t>
            </w:r>
          </w:p>
          <w:p w14:paraId="67F275BD"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կենսաբանական (իմունաբանական) սուբստանցիա չէ:</w:t>
            </w:r>
          </w:p>
          <w:p w14:paraId="5B9BB06C"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դեղաբուսական պատրաստուկի աշխարհագրական աղբյուրին, արտադրության կամ պատրաստման եղանակին:</w:t>
            </w:r>
          </w:p>
          <w:p w14:paraId="7ECBF420" w14:textId="77777777" w:rsidR="008C76E0" w:rsidRPr="008C76E0" w:rsidRDefault="008C76E0" w:rsidP="008C76E0">
            <w:pPr>
              <w:pStyle w:val="Bodytext180"/>
              <w:shd w:val="clear" w:color="auto" w:fill="auto"/>
              <w:tabs>
                <w:tab w:val="left" w:pos="609"/>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ԱԴԲՄՖ-ի փակ մասին:</w:t>
            </w:r>
          </w:p>
        </w:tc>
      </w:tr>
      <w:tr w:rsidR="008C76E0" w:rsidRPr="003B2786" w14:paraId="1AF550EE" w14:textId="77777777" w:rsidTr="008C76E0">
        <w:trPr>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FFFFFF"/>
          </w:tcPr>
          <w:p w14:paraId="40E3D702" w14:textId="77777777" w:rsidR="008C76E0" w:rsidRPr="008C76E0" w:rsidRDefault="008C76E0" w:rsidP="008C76E0">
            <w:pPr>
              <w:pStyle w:val="Bodytext180"/>
              <w:shd w:val="clear" w:color="auto" w:fill="auto"/>
              <w:spacing w:before="0" w:after="120" w:line="240" w:lineRule="auto"/>
              <w:ind w:left="41" w:right="88"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FBC43A9" w14:textId="77777777" w:rsidR="008C76E0" w:rsidRPr="008C76E0" w:rsidRDefault="008C76E0" w:rsidP="008C76E0">
            <w:pPr>
              <w:pStyle w:val="Bodytext180"/>
              <w:shd w:val="clear" w:color="auto" w:fill="auto"/>
              <w:tabs>
                <w:tab w:val="left" w:pos="587"/>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Դոսյեի համապատասխան բաժնում (բաժիններում) ուղղում կատարելը, ներառյալ՝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նոր գործընթացների ուղղակի համեմատությունը։</w:t>
            </w:r>
          </w:p>
          <w:p w14:paraId="747CA5B9" w14:textId="77777777" w:rsidR="008C76E0" w:rsidRPr="008C76E0" w:rsidRDefault="008C76E0" w:rsidP="008C76E0">
            <w:pPr>
              <w:pStyle w:val="Bodytext180"/>
              <w:shd w:val="clear" w:color="auto" w:fill="auto"/>
              <w:tabs>
                <w:tab w:val="left" w:pos="587"/>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Հաստատված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գործընթացների միջոցով արտադրված սերիաների, առնվազն 2 սերիայի (առնվազն փորձարարաարդյունաբերական)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w:t>
            </w:r>
          </w:p>
          <w:p w14:paraId="6CEEA9CF" w14:textId="77777777" w:rsidR="008C76E0" w:rsidRPr="008C76E0" w:rsidRDefault="008C76E0" w:rsidP="008C76E0">
            <w:pPr>
              <w:pStyle w:val="Bodytext180"/>
              <w:shd w:val="clear" w:color="auto" w:fill="auto"/>
              <w:tabs>
                <w:tab w:val="left" w:pos="587"/>
              </w:tabs>
              <w:spacing w:before="0" w:after="120" w:line="240" w:lineRule="auto"/>
              <w:ind w:left="41" w:right="88"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բաղադրամասի հաստատված մասնագրերի պատճենները:</w:t>
            </w:r>
          </w:p>
        </w:tc>
      </w:tr>
      <w:tr w:rsidR="008C76E0" w:rsidRPr="003B2786" w14:paraId="206A5FCB"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502E6F23" w14:textId="77777777" w:rsidR="008C76E0" w:rsidRPr="008C76E0" w:rsidRDefault="008C76E0" w:rsidP="008C76E0">
            <w:pPr>
              <w:pStyle w:val="Bodytext180"/>
              <w:shd w:val="clear" w:color="auto" w:fill="auto"/>
              <w:tabs>
                <w:tab w:val="left" w:pos="602"/>
              </w:tabs>
              <w:spacing w:before="0" w:after="120" w:line="240" w:lineRule="auto"/>
              <w:ind w:left="41" w:right="88"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 xml:space="preserve">Գրանցման հավաստագրի իրավատիրոջ կամ համապատասխանաբար ԱԴԲՄՖ-ի իրավատիրոջ հայտարարագիրն առ այն, որ խառնուկների 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քանակական պրոֆիլի կամ ֆիզիկաքիմիական հատկությունների փոփոխությունը բացակայում է, </w:t>
            </w:r>
            <w:r w:rsidR="00C54D75">
              <w:rPr>
                <w:rStyle w:val="Bodytext1811pt"/>
                <w:rFonts w:ascii="Sylfaen" w:hAnsi="Sylfaen"/>
                <w:sz w:val="24"/>
                <w:szCs w:val="24"/>
              </w:rPr>
              <w:t>և</w:t>
            </w:r>
            <w:r w:rsidRPr="003B2786">
              <w:rPr>
                <w:rStyle w:val="Bodytext1811pt"/>
                <w:rFonts w:ascii="Sylfaen" w:hAnsi="Sylfaen"/>
                <w:sz w:val="24"/>
                <w:szCs w:val="24"/>
              </w:rPr>
              <w:t xml:space="preserve"> սինթեզման եղանակը, 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xml:space="preserve"> միջանկյալ արտադրանքի մասնագրերը չեն փոփոխվում:</w:t>
            </w:r>
          </w:p>
        </w:tc>
      </w:tr>
      <w:tr w:rsidR="008C76E0" w:rsidRPr="003B2786" w14:paraId="6485158A" w14:textId="77777777" w:rsidTr="008C76E0">
        <w:trPr>
          <w:jc w:val="center"/>
        </w:trPr>
        <w:tc>
          <w:tcPr>
            <w:tcW w:w="2320" w:type="dxa"/>
            <w:tcBorders>
              <w:top w:val="single" w:sz="4" w:space="0" w:color="auto"/>
              <w:left w:val="single" w:sz="4" w:space="0" w:color="auto"/>
            </w:tcBorders>
            <w:shd w:val="clear" w:color="auto" w:fill="FFFFFF"/>
          </w:tcPr>
          <w:p w14:paraId="2BE9AC90" w14:textId="77777777" w:rsidR="008C76E0" w:rsidRPr="003B2786" w:rsidRDefault="008C76E0" w:rsidP="008C76E0">
            <w:pPr>
              <w:pStyle w:val="Bodytext180"/>
              <w:shd w:val="clear" w:color="auto" w:fill="auto"/>
              <w:spacing w:before="0" w:after="120" w:line="240" w:lineRule="auto"/>
              <w:ind w:left="41" w:right="88" w:firstLine="0"/>
              <w:jc w:val="both"/>
              <w:rPr>
                <w:rFonts w:ascii="Sylfaen" w:hAnsi="Sylfaen"/>
                <w:b w:val="0"/>
                <w:sz w:val="24"/>
                <w:szCs w:val="24"/>
              </w:rPr>
            </w:pPr>
            <w:r w:rsidRPr="003B2786">
              <w:rPr>
                <w:rStyle w:val="Bodytext295pt"/>
                <w:rFonts w:ascii="Sylfaen" w:hAnsi="Sylfaen"/>
                <w:sz w:val="24"/>
                <w:szCs w:val="24"/>
              </w:rPr>
              <w:t>Ծանոթագրություն</w:t>
            </w:r>
          </w:p>
        </w:tc>
        <w:tc>
          <w:tcPr>
            <w:tcW w:w="7993" w:type="dxa"/>
            <w:gridSpan w:val="5"/>
            <w:tcBorders>
              <w:top w:val="single" w:sz="4" w:space="0" w:color="auto"/>
              <w:left w:val="single" w:sz="4" w:space="0" w:color="auto"/>
              <w:right w:val="single" w:sz="4" w:space="0" w:color="auto"/>
            </w:tcBorders>
            <w:shd w:val="clear" w:color="auto" w:fill="FFFFFF"/>
            <w:vAlign w:val="bottom"/>
          </w:tcPr>
          <w:p w14:paraId="3E8DE488" w14:textId="77777777" w:rsidR="008C76E0" w:rsidRPr="003B2786" w:rsidRDefault="008C76E0" w:rsidP="008C76E0">
            <w:pPr>
              <w:pStyle w:val="Bodytext180"/>
              <w:shd w:val="clear" w:color="auto" w:fill="auto"/>
              <w:spacing w:before="0" w:after="120" w:line="240" w:lineRule="auto"/>
              <w:ind w:left="41" w:right="88" w:firstLine="0"/>
              <w:jc w:val="both"/>
              <w:rPr>
                <w:rFonts w:ascii="Sylfaen" w:hAnsi="Sylfaen"/>
                <w:b w:val="0"/>
                <w:sz w:val="24"/>
                <w:szCs w:val="24"/>
              </w:rPr>
            </w:pPr>
            <w:r w:rsidRPr="003B2786">
              <w:rPr>
                <w:rStyle w:val="Bodytext1811pt"/>
                <w:rFonts w:ascii="Sylfaen" w:hAnsi="Sylfaen"/>
                <w:sz w:val="24"/>
                <w:szCs w:val="24"/>
              </w:rPr>
              <w:t>Քիմիական սինթեզման միջոցով ստացված ակտիվ դեղագործական բաղադրամասերի զգալի փոփոխություններ ասելով՝ պետք է ենթադրել սինթեզման եղանակի կամ արտադրության պայմանների այնպիսի փոփոխություններ, որոնք կարող են փոփոխել ակտիվ դեղագործական բաղադրամասի որակի այնպիսի կար</w:t>
            </w:r>
            <w:r w:rsidR="00C54D75">
              <w:rPr>
                <w:rStyle w:val="Bodytext1811pt"/>
                <w:rFonts w:ascii="Sylfaen" w:hAnsi="Sylfaen"/>
                <w:sz w:val="24"/>
                <w:szCs w:val="24"/>
              </w:rPr>
              <w:t>և</w:t>
            </w:r>
            <w:r w:rsidRPr="003B2786">
              <w:rPr>
                <w:rStyle w:val="Bodytext1811pt"/>
                <w:rFonts w:ascii="Sylfaen" w:hAnsi="Sylfaen"/>
                <w:sz w:val="24"/>
                <w:szCs w:val="24"/>
              </w:rPr>
              <w:t xml:space="preserve">որ ցուցանիշներ, ինչպիսիք են խառնուկների՝ որակավորում պահանջող 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քանակական պրոֆիլը կամ կենսամատչելիության վրա ազդող ֆիզիկաքիմիական հատկությունները:</w:t>
            </w:r>
          </w:p>
        </w:tc>
      </w:tr>
      <w:tr w:rsidR="008C76E0" w:rsidRPr="003B2786" w14:paraId="411D4A78"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60982AB2" w14:textId="77777777" w:rsidR="008C76E0" w:rsidRPr="008C76E0" w:rsidRDefault="008C76E0" w:rsidP="008C76E0">
            <w:pPr>
              <w:pStyle w:val="Bodytext180"/>
              <w:shd w:val="clear" w:color="auto" w:fill="auto"/>
              <w:tabs>
                <w:tab w:val="left" w:pos="109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Բ.I.ա.З.</w:t>
            </w:r>
            <w:r w:rsidRPr="003B2786">
              <w:rPr>
                <w:rStyle w:val="Bodytext1811pt"/>
                <w:rFonts w:ascii="Sylfaen" w:hAnsi="Sylfaen"/>
                <w:sz w:val="24"/>
                <w:szCs w:val="24"/>
              </w:rPr>
              <w:tab/>
              <w:t xml:space="preserve">Ակտիվ դեղագործական բաղադրամասի կամ ակտիվ </w:t>
            </w:r>
            <w:r w:rsidRPr="003B2786">
              <w:rPr>
                <w:rStyle w:val="Bodytext1811pt"/>
                <w:rFonts w:ascii="Sylfaen" w:hAnsi="Sylfaen"/>
                <w:sz w:val="24"/>
                <w:szCs w:val="24"/>
              </w:rPr>
              <w:lastRenderedPageBreak/>
              <w:t>դեղագործական բաղադրամասի արտադրության գործընթացում օգտագործվող միջանկյալ արտադրանքի սերիայի չափի փոփոխությունը (ներառյալ՝ սերիայի չափի ընդգրկույթները)</w:t>
            </w:r>
          </w:p>
        </w:tc>
        <w:tc>
          <w:tcPr>
            <w:tcW w:w="1662" w:type="dxa"/>
            <w:tcBorders>
              <w:top w:val="single" w:sz="4" w:space="0" w:color="auto"/>
              <w:left w:val="single" w:sz="4" w:space="0" w:color="auto"/>
            </w:tcBorders>
            <w:shd w:val="clear" w:color="auto" w:fill="FFFFFF"/>
          </w:tcPr>
          <w:p w14:paraId="48AAC72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2017" w:type="dxa"/>
            <w:gridSpan w:val="2"/>
            <w:tcBorders>
              <w:top w:val="single" w:sz="4" w:space="0" w:color="auto"/>
              <w:left w:val="single" w:sz="4" w:space="0" w:color="auto"/>
            </w:tcBorders>
            <w:shd w:val="clear" w:color="auto" w:fill="FFFFFF"/>
          </w:tcPr>
          <w:p w14:paraId="5AA710D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563EC52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7F09B94"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1BBEC260" w14:textId="77777777" w:rsidR="008C76E0" w:rsidRPr="008C76E0" w:rsidRDefault="008C76E0" w:rsidP="008C76E0">
            <w:pPr>
              <w:pStyle w:val="Bodytext180"/>
              <w:shd w:val="clear" w:color="auto" w:fill="auto"/>
              <w:tabs>
                <w:tab w:val="left" w:pos="54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գրանցված չափի համեմատությամբ սերիայի չափի՝ ընդհուպ մինչ</w:t>
            </w:r>
            <w:r w:rsidR="00C54D75">
              <w:rPr>
                <w:rStyle w:val="Bodytext1811pt"/>
                <w:rFonts w:ascii="Sylfaen" w:hAnsi="Sylfaen"/>
                <w:sz w:val="24"/>
                <w:szCs w:val="24"/>
              </w:rPr>
              <w:t>և</w:t>
            </w:r>
            <w:r w:rsidRPr="003B2786">
              <w:rPr>
                <w:rStyle w:val="Bodytext1811pt"/>
                <w:rFonts w:ascii="Sylfaen" w:hAnsi="Sylfaen"/>
                <w:sz w:val="24"/>
                <w:szCs w:val="24"/>
              </w:rPr>
              <w:t xml:space="preserve"> 10 անգամ մեծացումը</w:t>
            </w:r>
          </w:p>
        </w:tc>
        <w:tc>
          <w:tcPr>
            <w:tcW w:w="1662" w:type="dxa"/>
            <w:tcBorders>
              <w:top w:val="single" w:sz="4" w:space="0" w:color="auto"/>
              <w:left w:val="single" w:sz="4" w:space="0" w:color="auto"/>
            </w:tcBorders>
            <w:shd w:val="clear" w:color="auto" w:fill="FFFFFF"/>
          </w:tcPr>
          <w:p w14:paraId="00339C1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1, 2, 3, 4, 5, 6, 7, 8</w:t>
            </w:r>
          </w:p>
        </w:tc>
        <w:tc>
          <w:tcPr>
            <w:tcW w:w="2017" w:type="dxa"/>
            <w:gridSpan w:val="2"/>
            <w:tcBorders>
              <w:top w:val="single" w:sz="4" w:space="0" w:color="auto"/>
              <w:left w:val="single" w:sz="4" w:space="0" w:color="auto"/>
            </w:tcBorders>
            <w:shd w:val="clear" w:color="auto" w:fill="FFFFFF"/>
          </w:tcPr>
          <w:p w14:paraId="56F8EA1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1, 2, 5</w:t>
            </w:r>
          </w:p>
        </w:tc>
        <w:tc>
          <w:tcPr>
            <w:tcW w:w="1832" w:type="dxa"/>
            <w:tcBorders>
              <w:top w:val="single" w:sz="4" w:space="0" w:color="auto"/>
              <w:left w:val="single" w:sz="4" w:space="0" w:color="auto"/>
              <w:right w:val="single" w:sz="4" w:space="0" w:color="auto"/>
            </w:tcBorders>
            <w:shd w:val="clear" w:color="auto" w:fill="FFFFFF"/>
          </w:tcPr>
          <w:p w14:paraId="2638466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33F5910"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48D5A47" w14:textId="77777777" w:rsidR="008C76E0" w:rsidRPr="003B2786" w:rsidRDefault="008C76E0" w:rsidP="008C76E0">
            <w:pPr>
              <w:pStyle w:val="Bodytext180"/>
              <w:shd w:val="clear" w:color="auto" w:fill="auto"/>
              <w:tabs>
                <w:tab w:val="left" w:pos="587"/>
              </w:tabs>
              <w:spacing w:before="0" w:after="120" w:line="240" w:lineRule="auto"/>
              <w:ind w:left="41" w:right="62"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lang w:val="en-US"/>
              </w:rPr>
              <w:tab/>
            </w:r>
            <w:r w:rsidRPr="003B2786">
              <w:rPr>
                <w:rStyle w:val="Bodytext1811pt"/>
                <w:rFonts w:ascii="Sylfaen" w:hAnsi="Sylfaen"/>
                <w:sz w:val="24"/>
                <w:szCs w:val="24"/>
              </w:rPr>
              <w:t>տասնապատիկ անգամ ապախոշորացումը</w:t>
            </w:r>
          </w:p>
        </w:tc>
        <w:tc>
          <w:tcPr>
            <w:tcW w:w="1662" w:type="dxa"/>
            <w:tcBorders>
              <w:top w:val="single" w:sz="4" w:space="0" w:color="auto"/>
              <w:left w:val="single" w:sz="4" w:space="0" w:color="auto"/>
            </w:tcBorders>
            <w:shd w:val="clear" w:color="auto" w:fill="FFFFFF"/>
          </w:tcPr>
          <w:p w14:paraId="7DCD23A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1, 2, 3, 4, 5</w:t>
            </w:r>
          </w:p>
        </w:tc>
        <w:tc>
          <w:tcPr>
            <w:tcW w:w="2017" w:type="dxa"/>
            <w:gridSpan w:val="2"/>
            <w:tcBorders>
              <w:top w:val="single" w:sz="4" w:space="0" w:color="auto"/>
              <w:left w:val="single" w:sz="4" w:space="0" w:color="auto"/>
            </w:tcBorders>
            <w:shd w:val="clear" w:color="auto" w:fill="FFFFFF"/>
          </w:tcPr>
          <w:p w14:paraId="41DD403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1, 2, 5</w:t>
            </w:r>
          </w:p>
        </w:tc>
        <w:tc>
          <w:tcPr>
            <w:tcW w:w="1832" w:type="dxa"/>
            <w:tcBorders>
              <w:top w:val="single" w:sz="4" w:space="0" w:color="auto"/>
              <w:left w:val="single" w:sz="4" w:space="0" w:color="auto"/>
              <w:right w:val="single" w:sz="4" w:space="0" w:color="auto"/>
            </w:tcBorders>
            <w:shd w:val="clear" w:color="auto" w:fill="FFFFFF"/>
          </w:tcPr>
          <w:p w14:paraId="5FF55EB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5B249F7"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104898B3" w14:textId="77777777" w:rsidR="008C76E0" w:rsidRPr="008C76E0" w:rsidRDefault="008C76E0" w:rsidP="008C76E0">
            <w:pPr>
              <w:pStyle w:val="Bodytext180"/>
              <w:shd w:val="clear" w:color="auto" w:fill="auto"/>
              <w:tabs>
                <w:tab w:val="left" w:pos="58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փոփոխությունը պահանջում է կենսաբանական (իմունաբանական) ակտիվ դեղագործական բաղադրամասի համադրելիության վերլուծություն</w:t>
            </w:r>
          </w:p>
        </w:tc>
        <w:tc>
          <w:tcPr>
            <w:tcW w:w="1662" w:type="dxa"/>
            <w:tcBorders>
              <w:top w:val="single" w:sz="4" w:space="0" w:color="auto"/>
              <w:left w:val="single" w:sz="4" w:space="0" w:color="auto"/>
            </w:tcBorders>
            <w:shd w:val="clear" w:color="auto" w:fill="FFFFFF"/>
          </w:tcPr>
          <w:p w14:paraId="4C16D55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2303E51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677885C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7E2A952"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73CC548E" w14:textId="77777777" w:rsidR="008C76E0" w:rsidRPr="008C76E0" w:rsidRDefault="008C76E0" w:rsidP="008C76E0">
            <w:pPr>
              <w:pStyle w:val="Bodytext180"/>
              <w:shd w:val="clear" w:color="auto" w:fill="auto"/>
              <w:tabs>
                <w:tab w:val="left" w:pos="58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գրանցված չափի համեմատությամբ սերիայի չափի՝ ավելի քան 10 անգամ մեծացումը</w:t>
            </w:r>
          </w:p>
        </w:tc>
        <w:tc>
          <w:tcPr>
            <w:tcW w:w="1662" w:type="dxa"/>
            <w:tcBorders>
              <w:top w:val="single" w:sz="4" w:space="0" w:color="auto"/>
              <w:left w:val="single" w:sz="4" w:space="0" w:color="auto"/>
            </w:tcBorders>
            <w:shd w:val="clear" w:color="auto" w:fill="FFFFFF"/>
          </w:tcPr>
          <w:p w14:paraId="00D4C4E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7D92620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1832" w:type="dxa"/>
            <w:tcBorders>
              <w:top w:val="single" w:sz="4" w:space="0" w:color="auto"/>
              <w:left w:val="single" w:sz="4" w:space="0" w:color="auto"/>
              <w:right w:val="single" w:sz="4" w:space="0" w:color="auto"/>
            </w:tcBorders>
            <w:shd w:val="clear" w:color="auto" w:fill="FFFFFF"/>
          </w:tcPr>
          <w:p w14:paraId="73C7826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6CDD8CF2"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5D868B06" w14:textId="77777777" w:rsidR="008C76E0" w:rsidRPr="008C76E0" w:rsidRDefault="008C76E0" w:rsidP="008C76E0">
            <w:pPr>
              <w:pStyle w:val="Bodytext180"/>
              <w:shd w:val="clear" w:color="auto" w:fill="auto"/>
              <w:tabs>
                <w:tab w:val="left" w:pos="58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կենսաբանական (իմունաբանական) ակտիվ դեղագործական բաղադրամասի արտադրության ծավալի մեծացումը (փոքրացումը)՝ առանց արտադրության գործընթացի փոփոխության (օրինակ`հոսքագծի կրկնակման)</w:t>
            </w:r>
          </w:p>
        </w:tc>
        <w:tc>
          <w:tcPr>
            <w:tcW w:w="1662" w:type="dxa"/>
            <w:tcBorders>
              <w:top w:val="single" w:sz="4" w:space="0" w:color="auto"/>
              <w:left w:val="single" w:sz="4" w:space="0" w:color="auto"/>
            </w:tcBorders>
            <w:shd w:val="clear" w:color="auto" w:fill="FFFFFF"/>
          </w:tcPr>
          <w:p w14:paraId="0D90560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7540ECC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1832" w:type="dxa"/>
            <w:tcBorders>
              <w:top w:val="single" w:sz="4" w:space="0" w:color="auto"/>
              <w:left w:val="single" w:sz="4" w:space="0" w:color="auto"/>
              <w:right w:val="single" w:sz="4" w:space="0" w:color="auto"/>
            </w:tcBorders>
            <w:shd w:val="clear" w:color="auto" w:fill="FFFFFF"/>
          </w:tcPr>
          <w:p w14:paraId="56C8B53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1ED7D88" w14:textId="77777777" w:rsidTr="008C76E0">
        <w:trPr>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FFFFFF"/>
          </w:tcPr>
          <w:p w14:paraId="0A750B11" w14:textId="77777777" w:rsidR="008C76E0" w:rsidRPr="008C76E0" w:rsidRDefault="008C76E0" w:rsidP="008C76E0">
            <w:pPr>
              <w:pStyle w:val="Bodytext180"/>
              <w:shd w:val="clear" w:color="auto" w:fill="auto"/>
              <w:spacing w:before="0" w:after="120" w:line="240" w:lineRule="auto"/>
              <w:ind w:left="41" w:right="187"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7363510" w14:textId="77777777" w:rsidR="008C76E0" w:rsidRPr="008C76E0" w:rsidRDefault="008C76E0" w:rsidP="008C76E0">
            <w:pPr>
              <w:pStyle w:val="Bodytext180"/>
              <w:shd w:val="clear" w:color="auto" w:fill="auto"/>
              <w:tabs>
                <w:tab w:val="left" w:pos="54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Արտադրության մեթոդների բոլոր փոփոխությունները վերաբերում են միայն խոշորացնելու կամ ապախոշորացնելու համար անհրաժեշտ, օրինակ՝ այլ չափի սարքավորումների օգտագործմանը:</w:t>
            </w:r>
          </w:p>
          <w:p w14:paraId="059E6EE6"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Անհրաժեշտ է ներկայացնել փորձարկումների արդյունքները՝ սերիաների առաջարկվող չափից առնվազն 2 սերիայի մասնագրերի համաձայն:</w:t>
            </w:r>
          </w:p>
          <w:p w14:paraId="2A1116FE"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Դիտարկվող դեղապատրաստուկը կենսաբանական (իմունաբանական) դեղապատրաստուկ չէ։</w:t>
            </w:r>
          </w:p>
          <w:p w14:paraId="6CABD2E8"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Փոփոխությունը անցանկալի կերպով չի ազդում գործընթացի վերարտադրողականության վրա:</w:t>
            </w:r>
          </w:p>
          <w:p w14:paraId="16C6F6CF"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Փոփոխությունը չպետք է լինի արտադրության ընթացքում ի հայտ եկած չնախատեսված իրավիճակների կամ կայունության խաթարման հետ</w:t>
            </w:r>
            <w:r w:rsidR="00C54D75">
              <w:rPr>
                <w:rStyle w:val="Bodytext1811pt"/>
                <w:rFonts w:ascii="Sylfaen" w:hAnsi="Sylfaen"/>
                <w:sz w:val="24"/>
                <w:szCs w:val="24"/>
              </w:rPr>
              <w:t>և</w:t>
            </w:r>
            <w:r w:rsidRPr="003B2786">
              <w:rPr>
                <w:rStyle w:val="Bodytext1811pt"/>
                <w:rFonts w:ascii="Sylfaen" w:hAnsi="Sylfaen"/>
                <w:sz w:val="24"/>
                <w:szCs w:val="24"/>
              </w:rPr>
              <w:t>անք:</w:t>
            </w:r>
          </w:p>
          <w:p w14:paraId="69F725A9"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բաղադրամասի (միջանկյալ արտադրանքի) մասնագրերը չեն փոփոխվում:</w:t>
            </w:r>
          </w:p>
          <w:p w14:paraId="496CA2A7"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lastRenderedPageBreak/>
              <w:t>7.</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մանրէազերծ չէ:</w:t>
            </w:r>
          </w:p>
          <w:p w14:paraId="67A8CDD6" w14:textId="77777777" w:rsidR="008C76E0" w:rsidRPr="008C76E0" w:rsidRDefault="008C76E0" w:rsidP="008C76E0">
            <w:pPr>
              <w:pStyle w:val="Bodytext180"/>
              <w:shd w:val="clear" w:color="auto" w:fill="auto"/>
              <w:tabs>
                <w:tab w:val="left" w:pos="572"/>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Սերիայի չափը գտնվում է գրանցելիս կամ IA տիպի փոփոխություն չհանդիսացող հետագա փոփոխությունից հետո նախատեսված սերիայի չափի տասնապատիկ ընդգրկույթի սահմանում:</w:t>
            </w:r>
          </w:p>
        </w:tc>
      </w:tr>
      <w:tr w:rsidR="008C76E0" w:rsidRPr="003B2786" w14:paraId="1F5A37F8"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1EF5AEBD" w14:textId="77777777" w:rsidR="008C76E0" w:rsidRPr="008C76E0" w:rsidRDefault="008C76E0" w:rsidP="008C76E0">
            <w:pPr>
              <w:pStyle w:val="Bodytext180"/>
              <w:shd w:val="clear" w:color="auto" w:fill="auto"/>
              <w:spacing w:before="0" w:after="120" w:line="240" w:lineRule="auto"/>
              <w:ind w:right="187"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523D4474"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1377EE09"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Փորձարկված սերիաների համարներն ունեն սերիայի առաջարկվող չափ:</w:t>
            </w:r>
          </w:p>
          <w:p w14:paraId="7AF38537"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Հաստատված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ծավալով արտադրված ակտիվ դեղագործական բաղադրամասի կամ համապատասխանաբար միջանկյալ արտադրանքի սերիաների,  առնվազն 1 արդյունաբերական սերիայի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 Պահանջի դեպքում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երկու ամբողջական արդյունաբերական սերիաների վերաբերյալ տվյալներ. եթե վերլուծության արդյունքները չեն համապատասխանում մասնագրին, իրավատերը պարտավոր է հաղորդել այդ մասին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առաջարկել գործողությունների պլան:</w:t>
            </w:r>
          </w:p>
          <w:p w14:paraId="6B4A86CA" w14:textId="77777777" w:rsidR="008C76E0" w:rsidRPr="008C76E0" w:rsidRDefault="008C76E0" w:rsidP="008C76E0">
            <w:pPr>
              <w:pStyle w:val="Bodytext180"/>
              <w:shd w:val="clear" w:color="auto" w:fill="auto"/>
              <w:tabs>
                <w:tab w:val="left" w:pos="58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եթե կիրառելի է, միջանկյալ արտադրանքի) հաստատված մասնագրերի պատճենները:</w:t>
            </w:r>
          </w:p>
          <w:p w14:paraId="2521DE4F" w14:textId="77777777" w:rsidR="008C76E0" w:rsidRPr="008C76E0" w:rsidRDefault="008C76E0" w:rsidP="008C76E0">
            <w:pPr>
              <w:pStyle w:val="Bodytext180"/>
              <w:shd w:val="clear" w:color="auto" w:fill="auto"/>
              <w:tabs>
                <w:tab w:val="left" w:pos="58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Գրանցման հավաստագրի իրավատիրոջ կամ համապատասխանաբար ԱԴԲՄՖ-ի իրավատիրոջ հայտարարագիրն առ այն, որ արտադրության մեթոդների բոլոր փոփոխությունները վերաբերում են միայն խոշորացնելու կամ ապախոշորացնելու համար անհրաժեշտ, օրինակ՝ այլ չափի սարքավորումների օգտագործմանը, փոփոխությունը անցանկալի կերպով չի ազդում գործընթացի վերարտադրողականության վրա, փոփոխությունը արտադրության ընթացքում ի հայտ եկած չնախատեսված իրավիճակների կամ կայունության խաթարման հետ</w:t>
            </w:r>
            <w:r w:rsidR="00C54D75">
              <w:rPr>
                <w:rStyle w:val="Bodytext1811pt"/>
                <w:rFonts w:ascii="Sylfaen" w:hAnsi="Sylfaen"/>
                <w:sz w:val="24"/>
                <w:szCs w:val="24"/>
              </w:rPr>
              <w:t>և</w:t>
            </w:r>
            <w:r w:rsidRPr="003B2786">
              <w:rPr>
                <w:rStyle w:val="Bodytext1811pt"/>
                <w:rFonts w:ascii="Sylfaen" w:hAnsi="Sylfaen"/>
                <w:sz w:val="24"/>
                <w:szCs w:val="24"/>
              </w:rPr>
              <w:t>անք չէ, ակտիվ դեղագործական բաղադրամասի (միջանկյալ արտադրանքի) մասնագրերը չեն փոփոխվում:</w:t>
            </w:r>
          </w:p>
        </w:tc>
      </w:tr>
      <w:tr w:rsidR="008C76E0" w:rsidRPr="003B2786" w14:paraId="345CC8F0"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6321F291" w14:textId="77777777" w:rsidR="008C76E0" w:rsidRPr="008C76E0" w:rsidRDefault="008C76E0" w:rsidP="008C76E0">
            <w:pPr>
              <w:pStyle w:val="Bodytext180"/>
              <w:shd w:val="clear" w:color="auto" w:fill="auto"/>
              <w:tabs>
                <w:tab w:val="left" w:pos="109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Բ.I.ա.4.</w:t>
            </w:r>
            <w:r w:rsidRPr="003B2786">
              <w:rPr>
                <w:rStyle w:val="Bodytext1811pt"/>
                <w:rFonts w:ascii="Sylfaen" w:hAnsi="Sylfaen"/>
                <w:sz w:val="24"/>
                <w:szCs w:val="24"/>
              </w:rPr>
              <w:tab/>
              <w:t>Ներարտադրական փորձարկումների կամ ակտիվ դեղագործական բաղադրամասի արտադրության մեջ օգտագործվող ընդունելիության չափանիշների փոփոխությունը</w:t>
            </w:r>
          </w:p>
        </w:tc>
        <w:tc>
          <w:tcPr>
            <w:tcW w:w="1662" w:type="dxa"/>
            <w:tcBorders>
              <w:top w:val="single" w:sz="4" w:space="0" w:color="auto"/>
              <w:left w:val="single" w:sz="4" w:space="0" w:color="auto"/>
            </w:tcBorders>
            <w:shd w:val="clear" w:color="auto" w:fill="FFFFFF"/>
          </w:tcPr>
          <w:p w14:paraId="28639DD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tcBorders>
            <w:shd w:val="clear" w:color="auto" w:fill="FFFFFF"/>
          </w:tcPr>
          <w:p w14:paraId="10AAE99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07CF3CD1"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6EFECF0"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66955CB4"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ընդունելիության ներարտադրական չափանիշների խստացումը</w:t>
            </w:r>
          </w:p>
        </w:tc>
        <w:tc>
          <w:tcPr>
            <w:tcW w:w="1662" w:type="dxa"/>
            <w:tcBorders>
              <w:top w:val="single" w:sz="4" w:space="0" w:color="auto"/>
              <w:left w:val="single" w:sz="4" w:space="0" w:color="auto"/>
            </w:tcBorders>
            <w:shd w:val="clear" w:color="auto" w:fill="FFFFFF"/>
          </w:tcPr>
          <w:p w14:paraId="0B12441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2017" w:type="dxa"/>
            <w:gridSpan w:val="2"/>
            <w:tcBorders>
              <w:top w:val="single" w:sz="4" w:space="0" w:color="auto"/>
              <w:left w:val="single" w:sz="4" w:space="0" w:color="auto"/>
            </w:tcBorders>
            <w:shd w:val="clear" w:color="auto" w:fill="FFFFFF"/>
          </w:tcPr>
          <w:p w14:paraId="56CB63B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832" w:type="dxa"/>
            <w:tcBorders>
              <w:top w:val="single" w:sz="4" w:space="0" w:color="auto"/>
              <w:left w:val="single" w:sz="4" w:space="0" w:color="auto"/>
              <w:right w:val="single" w:sz="4" w:space="0" w:color="auto"/>
            </w:tcBorders>
            <w:shd w:val="clear" w:color="auto" w:fill="FFFFFF"/>
          </w:tcPr>
          <w:p w14:paraId="53BCA41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9F7A964"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3D6159DA"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նոր ներարտադրական փորձարկումների կամ ընդունելիության չափանիշների ավելացումը</w:t>
            </w:r>
          </w:p>
        </w:tc>
        <w:tc>
          <w:tcPr>
            <w:tcW w:w="1662" w:type="dxa"/>
            <w:tcBorders>
              <w:top w:val="single" w:sz="4" w:space="0" w:color="auto"/>
              <w:left w:val="single" w:sz="4" w:space="0" w:color="auto"/>
            </w:tcBorders>
            <w:shd w:val="clear" w:color="auto" w:fill="FFFFFF"/>
          </w:tcPr>
          <w:p w14:paraId="5AC0CF8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1, 2, 5, 6</w:t>
            </w:r>
          </w:p>
        </w:tc>
        <w:tc>
          <w:tcPr>
            <w:tcW w:w="2017" w:type="dxa"/>
            <w:gridSpan w:val="2"/>
            <w:tcBorders>
              <w:top w:val="single" w:sz="4" w:space="0" w:color="auto"/>
              <w:left w:val="single" w:sz="4" w:space="0" w:color="auto"/>
            </w:tcBorders>
            <w:shd w:val="clear" w:color="auto" w:fill="FFFFFF"/>
          </w:tcPr>
          <w:p w14:paraId="31E6EF0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1, 2, 3, 4, 6</w:t>
            </w:r>
          </w:p>
        </w:tc>
        <w:tc>
          <w:tcPr>
            <w:tcW w:w="1832" w:type="dxa"/>
            <w:tcBorders>
              <w:top w:val="single" w:sz="4" w:space="0" w:color="auto"/>
              <w:left w:val="single" w:sz="4" w:space="0" w:color="auto"/>
              <w:right w:val="single" w:sz="4" w:space="0" w:color="auto"/>
            </w:tcBorders>
            <w:shd w:val="clear" w:color="auto" w:fill="FFFFFF"/>
          </w:tcPr>
          <w:p w14:paraId="036D7A4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A9ED063"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D2A2763"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ոչ նշանակալի ներարտադրական փորձարկման բացառումը</w:t>
            </w:r>
          </w:p>
        </w:tc>
        <w:tc>
          <w:tcPr>
            <w:tcW w:w="1662" w:type="dxa"/>
            <w:tcBorders>
              <w:top w:val="single" w:sz="4" w:space="0" w:color="auto"/>
              <w:left w:val="single" w:sz="4" w:space="0" w:color="auto"/>
            </w:tcBorders>
            <w:shd w:val="clear" w:color="auto" w:fill="FFFFFF"/>
          </w:tcPr>
          <w:p w14:paraId="6535D46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1, 2, 7</w:t>
            </w:r>
          </w:p>
        </w:tc>
        <w:tc>
          <w:tcPr>
            <w:tcW w:w="2017" w:type="dxa"/>
            <w:gridSpan w:val="2"/>
            <w:tcBorders>
              <w:top w:val="single" w:sz="4" w:space="0" w:color="auto"/>
              <w:left w:val="single" w:sz="4" w:space="0" w:color="auto"/>
            </w:tcBorders>
            <w:shd w:val="clear" w:color="auto" w:fill="FFFFFF"/>
          </w:tcPr>
          <w:p w14:paraId="5D238D8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1, 2, 5</w:t>
            </w:r>
          </w:p>
        </w:tc>
        <w:tc>
          <w:tcPr>
            <w:tcW w:w="1832" w:type="dxa"/>
            <w:tcBorders>
              <w:top w:val="single" w:sz="4" w:space="0" w:color="auto"/>
              <w:left w:val="single" w:sz="4" w:space="0" w:color="auto"/>
              <w:right w:val="single" w:sz="4" w:space="0" w:color="auto"/>
            </w:tcBorders>
            <w:shd w:val="clear" w:color="auto" w:fill="FFFFFF"/>
          </w:tcPr>
          <w:p w14:paraId="37F845E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24CE329"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9AD5083"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 xml:space="preserve">ընդունելիության հաստատված ներարտադրական այնպիսի </w:t>
            </w:r>
            <w:r w:rsidRPr="003B2786">
              <w:rPr>
                <w:rStyle w:val="Bodytext1811pt"/>
                <w:rFonts w:ascii="Sylfaen" w:hAnsi="Sylfaen"/>
                <w:sz w:val="24"/>
                <w:szCs w:val="24"/>
              </w:rPr>
              <w:lastRenderedPageBreak/>
              <w:t>չափանիշների ընդլայնումը, որոնք կարող են էապես ազդել ակտիվ դեղագործական բաղադրամասի ընդհանուր որակի վրա</w:t>
            </w:r>
          </w:p>
        </w:tc>
        <w:tc>
          <w:tcPr>
            <w:tcW w:w="1662" w:type="dxa"/>
            <w:tcBorders>
              <w:top w:val="single" w:sz="4" w:space="0" w:color="auto"/>
              <w:left w:val="single" w:sz="4" w:space="0" w:color="auto"/>
            </w:tcBorders>
            <w:shd w:val="clear" w:color="auto" w:fill="FFFFFF"/>
          </w:tcPr>
          <w:p w14:paraId="18F696A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17" w:type="dxa"/>
            <w:gridSpan w:val="2"/>
            <w:tcBorders>
              <w:top w:val="single" w:sz="4" w:space="0" w:color="auto"/>
              <w:left w:val="single" w:sz="4" w:space="0" w:color="auto"/>
            </w:tcBorders>
            <w:shd w:val="clear" w:color="auto" w:fill="FFFFFF"/>
          </w:tcPr>
          <w:p w14:paraId="46FEF93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3EAC47D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BB63A7B"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0AB396DB"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ներարտադրական փորձարկման բացառումը, որը կարող է էապես ազդել ակտիվ դեղագործական բաղադրամասի ընդհանուր որակի վրա</w:t>
            </w:r>
          </w:p>
        </w:tc>
        <w:tc>
          <w:tcPr>
            <w:tcW w:w="1662" w:type="dxa"/>
            <w:tcBorders>
              <w:top w:val="single" w:sz="4" w:space="0" w:color="auto"/>
              <w:left w:val="single" w:sz="4" w:space="0" w:color="auto"/>
            </w:tcBorders>
            <w:shd w:val="clear" w:color="auto" w:fill="FFFFFF"/>
          </w:tcPr>
          <w:p w14:paraId="26AF05E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23817D0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39A64BC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F966167"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58EE6011" w14:textId="77777777" w:rsidR="008C76E0" w:rsidRPr="008C76E0" w:rsidRDefault="008C76E0" w:rsidP="008C76E0">
            <w:pPr>
              <w:pStyle w:val="Bodytext180"/>
              <w:shd w:val="clear" w:color="auto" w:fill="auto"/>
              <w:tabs>
                <w:tab w:val="left" w:pos="609"/>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ներարտադրական փորձարկման ավելացումը կամ փոխարինումը` ելնելով անվտանգության կամ որակի նկատառումներից</w:t>
            </w:r>
          </w:p>
        </w:tc>
        <w:tc>
          <w:tcPr>
            <w:tcW w:w="1662" w:type="dxa"/>
            <w:tcBorders>
              <w:top w:val="single" w:sz="4" w:space="0" w:color="auto"/>
              <w:left w:val="single" w:sz="4" w:space="0" w:color="auto"/>
            </w:tcBorders>
            <w:shd w:val="clear" w:color="auto" w:fill="FFFFFF"/>
          </w:tcPr>
          <w:p w14:paraId="4BE84EC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2A2329F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1, 2, 3, 4, 6</w:t>
            </w:r>
          </w:p>
        </w:tc>
        <w:tc>
          <w:tcPr>
            <w:tcW w:w="1832" w:type="dxa"/>
            <w:tcBorders>
              <w:top w:val="single" w:sz="4" w:space="0" w:color="auto"/>
              <w:left w:val="single" w:sz="4" w:space="0" w:color="auto"/>
              <w:right w:val="single" w:sz="4" w:space="0" w:color="auto"/>
            </w:tcBorders>
            <w:shd w:val="clear" w:color="auto" w:fill="FFFFFF"/>
          </w:tcPr>
          <w:p w14:paraId="220EDF3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C0B334A" w14:textId="77777777" w:rsidTr="008C76E0">
        <w:trPr>
          <w:jc w:val="center"/>
        </w:trPr>
        <w:tc>
          <w:tcPr>
            <w:tcW w:w="10313" w:type="dxa"/>
            <w:gridSpan w:val="6"/>
            <w:tcBorders>
              <w:top w:val="single" w:sz="4" w:space="0" w:color="auto"/>
              <w:left w:val="single" w:sz="4" w:space="0" w:color="auto"/>
              <w:bottom w:val="single" w:sz="4" w:space="0" w:color="auto"/>
              <w:right w:val="single" w:sz="4" w:space="0" w:color="auto"/>
            </w:tcBorders>
            <w:shd w:val="clear" w:color="auto" w:fill="FFFFFF"/>
          </w:tcPr>
          <w:p w14:paraId="37238223"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8444AC2"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մասնագրի ընդունելիության չափանիշների վերլուծության նպատակով նախկինում (օրինակ՝ գրանցելու կամ II տիպի փոփոխություններ կատարելու ընթացքում) անցկացված փորձաքննությունների արդյունքների հիման վրա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անք չէ :</w:t>
            </w:r>
          </w:p>
          <w:p w14:paraId="1EF4F0B6"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չնախատեսված իրավիճակների հետ</w:t>
            </w:r>
            <w:r w:rsidR="00C54D75">
              <w:rPr>
                <w:rStyle w:val="Bodytext1811pt"/>
                <w:rFonts w:ascii="Sylfaen" w:hAnsi="Sylfaen"/>
                <w:sz w:val="24"/>
                <w:szCs w:val="24"/>
              </w:rPr>
              <w:t>և</w:t>
            </w:r>
            <w:r w:rsidRPr="003B2786">
              <w:rPr>
                <w:rStyle w:val="Bodytext1811pt"/>
                <w:rFonts w:ascii="Sylfaen" w:hAnsi="Sylfaen"/>
                <w:sz w:val="24"/>
                <w:szCs w:val="24"/>
              </w:rPr>
              <w:t>անք չէ, որոնք առաջ են եկել արտադրության ընթացքում, օրինակ՝ նոր չորակավորված խառնուկը, խառնուկների ընդհանուր քանակության պարունակության սահմանների փոփոխությունը:</w:t>
            </w:r>
          </w:p>
          <w:p w14:paraId="35C32FBD"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համապատասխանի ընդունելիության հաստատված գործող չափանիշների ընդգրկույթին:</w:t>
            </w:r>
          </w:p>
        </w:tc>
      </w:tr>
      <w:tr w:rsidR="008C76E0" w:rsidRPr="003B2786" w14:paraId="02D7F88A"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74BB5840"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52357C32"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մեթոդիկայի կամ նորովի օգտագործվող ստանդարտ մեթոդիկայի վրա։</w:t>
            </w:r>
          </w:p>
          <w:p w14:paraId="68EA6832"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չէ կամ այնպիսի մեթոդ չէ, որի կիրառման դեպքում կենսաբանական ակտիվ դեղագործական բաղադրամասի համար օգտագործվում է կենսաբանական ռեակտիվ (բացառությամբ ստանդարտ դեղագրքային միկրոկենսաբանական մեթոդների):</w:t>
            </w:r>
          </w:p>
          <w:p w14:paraId="03AC44CC" w14:textId="77777777" w:rsidR="008C76E0" w:rsidRPr="008C76E0" w:rsidRDefault="008C76E0" w:rsidP="008C76E0">
            <w:pPr>
              <w:pStyle w:val="Bodytext180"/>
              <w:shd w:val="clear" w:color="auto" w:fill="auto"/>
              <w:tabs>
                <w:tab w:val="left" w:pos="557"/>
              </w:tabs>
              <w:spacing w:before="0" w:after="120" w:line="240" w:lineRule="auto"/>
              <w:ind w:right="187"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Մասնագրի պարամետրը չի վերաբերում կրիտիկական պարամետրին, օրինակ՝ հետ</w:t>
            </w:r>
            <w:r w:rsidR="00C54D75">
              <w:rPr>
                <w:rStyle w:val="Bodytext1811pt"/>
                <w:rFonts w:ascii="Sylfaen" w:hAnsi="Sylfaen"/>
                <w:sz w:val="24"/>
                <w:szCs w:val="24"/>
              </w:rPr>
              <w:t>և</w:t>
            </w:r>
            <w:r w:rsidRPr="003B2786">
              <w:rPr>
                <w:rStyle w:val="Bodytext1811pt"/>
                <w:rFonts w:ascii="Sylfaen" w:hAnsi="Sylfaen"/>
                <w:sz w:val="24"/>
                <w:szCs w:val="24"/>
              </w:rPr>
              <w:t>յալից որ</w:t>
            </w:r>
            <w:r w:rsidR="00C54D75">
              <w:rPr>
                <w:rStyle w:val="Bodytext1811pt"/>
                <w:rFonts w:ascii="Sylfaen" w:hAnsi="Sylfaen"/>
                <w:sz w:val="24"/>
                <w:szCs w:val="24"/>
              </w:rPr>
              <w:t>և</w:t>
            </w:r>
            <w:r w:rsidRPr="003B2786">
              <w:rPr>
                <w:rStyle w:val="Bodytext1811pt"/>
                <w:rFonts w:ascii="Sylfaen" w:hAnsi="Sylfaen"/>
                <w:sz w:val="24"/>
                <w:szCs w:val="24"/>
              </w:rPr>
              <w:t xml:space="preserve">է մեկին՝ քանակական սահմանում, խառնուկներ (եթե միայն որոշակի լուծիչ միանշանակորեն չի օգտագործվում ակտիվ դեղագործական բաղադրամասի արտադրության մեջ), ցանկացած կրիտիկական ֆիզիկական բնութագիր, օրինակ՝ մասնիկների չափը, խտացումից առաջ </w:t>
            </w:r>
            <w:r w:rsidR="00C54D75">
              <w:rPr>
                <w:rStyle w:val="Bodytext1811pt"/>
                <w:rFonts w:ascii="Sylfaen" w:hAnsi="Sylfaen"/>
                <w:sz w:val="24"/>
                <w:szCs w:val="24"/>
              </w:rPr>
              <w:t>և</w:t>
            </w:r>
            <w:r w:rsidRPr="003B2786">
              <w:rPr>
                <w:rStyle w:val="Bodytext1811pt"/>
                <w:rFonts w:ascii="Sylfaen" w:hAnsi="Sylfaen"/>
                <w:sz w:val="24"/>
                <w:szCs w:val="24"/>
              </w:rPr>
              <w:t xml:space="preserve"> հետո լցման խտությունը, իսկության փորձարկումը, ջուրը, ցանկացած հարցում, որ վերաբերում է փորձարկումների հաճախականության փոփոխությանը:</w:t>
            </w:r>
          </w:p>
        </w:tc>
      </w:tr>
      <w:tr w:rsidR="008C76E0" w:rsidRPr="003B2786" w14:paraId="5F28F6DE" w14:textId="77777777" w:rsidTr="008C76E0">
        <w:trPr>
          <w:jc w:val="center"/>
        </w:trPr>
        <w:tc>
          <w:tcPr>
            <w:tcW w:w="10313" w:type="dxa"/>
            <w:gridSpan w:val="6"/>
            <w:tcBorders>
              <w:top w:val="single" w:sz="4" w:space="0" w:color="auto"/>
              <w:left w:val="single" w:sz="4" w:space="0" w:color="auto"/>
              <w:right w:val="single" w:sz="4" w:space="0" w:color="auto"/>
            </w:tcBorders>
            <w:shd w:val="clear" w:color="auto" w:fill="FFFFFF"/>
            <w:vAlign w:val="bottom"/>
          </w:tcPr>
          <w:p w14:paraId="326682FA"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1BB772F"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2FD7FFB2"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ներարտադրական փորձարկումների համեմատական </w:t>
            </w:r>
            <w:r w:rsidRPr="003B2786">
              <w:rPr>
                <w:rStyle w:val="Bodytext1811pt"/>
                <w:rFonts w:ascii="Sylfaen" w:hAnsi="Sylfaen"/>
                <w:sz w:val="24"/>
                <w:szCs w:val="24"/>
              </w:rPr>
              <w:lastRenderedPageBreak/>
              <w:t>աղյուսակը։</w:t>
            </w:r>
          </w:p>
          <w:p w14:paraId="0C791D4B"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Նոր ոչ դեղագրքային վերլուծական մեթոդիկայի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տվյալների մանրամասն նկարագրությունը (համապատասխան դեպքերում):</w:t>
            </w:r>
          </w:p>
          <w:p w14:paraId="1D65809E"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Մասնագրի բոլոր պարամետրերով ակտիվ դեղագործական բաղադրամասի երկու արդյունաբերական սերիաների (պատշաճ հիմնավորումների բացակայության դեպքում՝ կենսաբանական ակտիվ դեղագործական բաղադրամասերի համար՝ երեք արդյունաբերական սերիաների) վերլուծության տվյալները :</w:t>
            </w:r>
          </w:p>
          <w:p w14:paraId="5A03F3FB"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Գրանցման հավաստագրի իրավատիրոջ կամ համապատասխանաբար ԱԴԲՄՖ-ի իրավատիրոջ կողմից հիմնավորում (ռիսկերի գնահատում), որով հաստատվում է, որ ներարտադրական պարամետրերը համարվում են ոչ նշանակալի կամ հնացած:</w:t>
            </w:r>
          </w:p>
          <w:p w14:paraId="64B3C211" w14:textId="77777777" w:rsidR="008C76E0" w:rsidRPr="008C76E0" w:rsidRDefault="008C76E0" w:rsidP="008C76E0">
            <w:pPr>
              <w:pStyle w:val="Bodytext180"/>
              <w:shd w:val="clear" w:color="auto" w:fill="auto"/>
              <w:tabs>
                <w:tab w:val="left" w:pos="557"/>
              </w:tabs>
              <w:spacing w:before="0" w:after="120" w:line="240" w:lineRule="auto"/>
              <w:ind w:left="41" w:right="187"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ԳՀ-ի իրավատիրոջ </w:t>
            </w:r>
            <w:r w:rsidR="00C54D75">
              <w:rPr>
                <w:rStyle w:val="Bodytext1811pt"/>
                <w:rFonts w:ascii="Sylfaen" w:hAnsi="Sylfaen"/>
                <w:sz w:val="24"/>
                <w:szCs w:val="24"/>
              </w:rPr>
              <w:t>և</w:t>
            </w:r>
            <w:r w:rsidRPr="003B2786">
              <w:rPr>
                <w:rStyle w:val="Bodytext1811pt"/>
                <w:rFonts w:ascii="Sylfaen" w:hAnsi="Sylfaen"/>
                <w:sz w:val="24"/>
                <w:szCs w:val="24"/>
              </w:rPr>
              <w:t xml:space="preserve"> համապատասխանաբար ԱԴԲՄՖ-ի իրավատիրոջ կողմից նոր ներարտադրական փորձարկումների </w:t>
            </w:r>
            <w:r w:rsidR="00C54D75">
              <w:rPr>
                <w:rStyle w:val="Bodytext1811pt"/>
                <w:rFonts w:ascii="Sylfaen" w:hAnsi="Sylfaen"/>
                <w:sz w:val="24"/>
                <w:szCs w:val="24"/>
              </w:rPr>
              <w:t>և</w:t>
            </w:r>
            <w:r w:rsidRPr="003B2786">
              <w:rPr>
                <w:rStyle w:val="Bodytext1811pt"/>
                <w:rFonts w:ascii="Sylfaen" w:hAnsi="Sylfaen"/>
                <w:sz w:val="24"/>
                <w:szCs w:val="24"/>
              </w:rPr>
              <w:t xml:space="preserve"> սահմանների հիմնավորումը:</w:t>
            </w:r>
          </w:p>
        </w:tc>
      </w:tr>
      <w:tr w:rsidR="008C76E0" w:rsidRPr="003B2786" w14:paraId="0343FF2D"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419383AE" w14:textId="77777777" w:rsidR="008C76E0" w:rsidRPr="008C76E0" w:rsidRDefault="008C76E0" w:rsidP="008C76E0">
            <w:pPr>
              <w:pStyle w:val="Bodytext180"/>
              <w:shd w:val="clear" w:color="auto" w:fill="auto"/>
              <w:tabs>
                <w:tab w:val="left" w:pos="557"/>
                <w:tab w:val="left" w:pos="1142"/>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lastRenderedPageBreak/>
              <w:t>Բ.I.ա.5.</w:t>
            </w:r>
            <w:r w:rsidRPr="003B2786">
              <w:rPr>
                <w:rStyle w:val="Bodytext1811pt"/>
                <w:rFonts w:ascii="Sylfaen" w:hAnsi="Sylfaen"/>
                <w:sz w:val="24"/>
                <w:szCs w:val="24"/>
              </w:rPr>
              <w:tab/>
              <w:t>Գրիպի կանխարգելման համար սեզոնային, նախահամավարակային կամ համավարակային պատվաստանյութերի ակտիվ դեղագործական բաղադրամասի փոփոխությունը</w:t>
            </w:r>
          </w:p>
        </w:tc>
        <w:tc>
          <w:tcPr>
            <w:tcW w:w="1662" w:type="dxa"/>
            <w:tcBorders>
              <w:top w:val="single" w:sz="4" w:space="0" w:color="auto"/>
              <w:left w:val="single" w:sz="4" w:space="0" w:color="auto"/>
            </w:tcBorders>
            <w:shd w:val="clear" w:color="auto" w:fill="FFFFFF"/>
          </w:tcPr>
          <w:p w14:paraId="532F8CA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17" w:type="dxa"/>
            <w:gridSpan w:val="2"/>
            <w:tcBorders>
              <w:top w:val="single" w:sz="4" w:space="0" w:color="auto"/>
              <w:left w:val="single" w:sz="4" w:space="0" w:color="auto"/>
            </w:tcBorders>
            <w:shd w:val="clear" w:color="auto" w:fill="FFFFFF"/>
          </w:tcPr>
          <w:p w14:paraId="6234498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32" w:type="dxa"/>
            <w:tcBorders>
              <w:top w:val="single" w:sz="4" w:space="0" w:color="auto"/>
              <w:left w:val="single" w:sz="4" w:space="0" w:color="auto"/>
              <w:right w:val="single" w:sz="4" w:space="0" w:color="auto"/>
            </w:tcBorders>
            <w:shd w:val="clear" w:color="auto" w:fill="FFFFFF"/>
          </w:tcPr>
          <w:p w14:paraId="0AF5658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208FFCA" w14:textId="77777777" w:rsidTr="008C76E0">
        <w:trPr>
          <w:jc w:val="center"/>
        </w:trPr>
        <w:tc>
          <w:tcPr>
            <w:tcW w:w="4802" w:type="dxa"/>
            <w:gridSpan w:val="2"/>
            <w:tcBorders>
              <w:top w:val="single" w:sz="4" w:space="0" w:color="auto"/>
              <w:left w:val="single" w:sz="4" w:space="0" w:color="auto"/>
            </w:tcBorders>
            <w:shd w:val="clear" w:color="auto" w:fill="FFFFFF"/>
            <w:vAlign w:val="bottom"/>
          </w:tcPr>
          <w:p w14:paraId="62A117BE" w14:textId="77777777" w:rsidR="008C76E0" w:rsidRPr="008C76E0" w:rsidRDefault="008C76E0" w:rsidP="008C76E0">
            <w:pPr>
              <w:pStyle w:val="Bodytext180"/>
              <w:shd w:val="clear" w:color="auto" w:fill="auto"/>
              <w:tabs>
                <w:tab w:val="left" w:pos="647"/>
              </w:tabs>
              <w:spacing w:before="0" w:after="120" w:line="240" w:lineRule="auto"/>
              <w:ind w:left="41" w:right="6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Գրիպի կանխարգելման համար սեզոնային, նախահամավարակային կամ համավարակային պատվաստանյութերի շտամի (շտամների) փոխարինումը</w:t>
            </w:r>
          </w:p>
        </w:tc>
        <w:tc>
          <w:tcPr>
            <w:tcW w:w="1662" w:type="dxa"/>
            <w:tcBorders>
              <w:top w:val="single" w:sz="4" w:space="0" w:color="auto"/>
              <w:left w:val="single" w:sz="4" w:space="0" w:color="auto"/>
            </w:tcBorders>
            <w:shd w:val="clear" w:color="auto" w:fill="FFFFFF"/>
          </w:tcPr>
          <w:p w14:paraId="5918CF4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017" w:type="dxa"/>
            <w:gridSpan w:val="2"/>
            <w:tcBorders>
              <w:top w:val="single" w:sz="4" w:space="0" w:color="auto"/>
              <w:left w:val="single" w:sz="4" w:space="0" w:color="auto"/>
            </w:tcBorders>
            <w:shd w:val="clear" w:color="auto" w:fill="FFFFFF"/>
          </w:tcPr>
          <w:p w14:paraId="27D4E64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832" w:type="dxa"/>
            <w:tcBorders>
              <w:top w:val="single" w:sz="4" w:space="0" w:color="auto"/>
              <w:left w:val="single" w:sz="4" w:space="0" w:color="auto"/>
              <w:right w:val="single" w:sz="4" w:space="0" w:color="auto"/>
            </w:tcBorders>
            <w:shd w:val="clear" w:color="auto" w:fill="FFFFFF"/>
          </w:tcPr>
          <w:p w14:paraId="2D932BE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bl>
    <w:p w14:paraId="2E498FF2" w14:textId="77777777" w:rsidR="008C76E0" w:rsidRPr="003B2786" w:rsidRDefault="008C76E0" w:rsidP="008C76E0">
      <w:pPr>
        <w:rPr>
          <w:rFonts w:ascii="Sylfaen" w:hAnsi="Sylfaen"/>
          <w:sz w:val="24"/>
          <w:szCs w:val="24"/>
        </w:rPr>
      </w:pPr>
    </w:p>
    <w:tbl>
      <w:tblPr>
        <w:tblOverlap w:val="never"/>
        <w:tblW w:w="10401" w:type="dxa"/>
        <w:jc w:val="center"/>
        <w:tblLayout w:type="fixed"/>
        <w:tblCellMar>
          <w:left w:w="10" w:type="dxa"/>
          <w:right w:w="10" w:type="dxa"/>
        </w:tblCellMar>
        <w:tblLook w:val="04A0" w:firstRow="1" w:lastRow="0" w:firstColumn="1" w:lastColumn="0" w:noHBand="0" w:noVBand="1"/>
      </w:tblPr>
      <w:tblGrid>
        <w:gridCol w:w="1993"/>
        <w:gridCol w:w="341"/>
        <w:gridCol w:w="496"/>
        <w:gridCol w:w="300"/>
        <w:gridCol w:w="1462"/>
        <w:gridCol w:w="405"/>
        <w:gridCol w:w="347"/>
        <w:gridCol w:w="903"/>
        <w:gridCol w:w="7"/>
        <w:gridCol w:w="444"/>
        <w:gridCol w:w="1591"/>
        <w:gridCol w:w="393"/>
        <w:gridCol w:w="95"/>
        <w:gridCol w:w="1610"/>
        <w:gridCol w:w="14"/>
      </w:tblGrid>
      <w:tr w:rsidR="008C76E0" w:rsidRPr="003B2786" w14:paraId="1D19AB00" w14:textId="77777777" w:rsidTr="008C76E0">
        <w:trPr>
          <w:gridAfter w:val="1"/>
          <w:wAfter w:w="14" w:type="dxa"/>
          <w:jc w:val="center"/>
        </w:trPr>
        <w:tc>
          <w:tcPr>
            <w:tcW w:w="10387" w:type="dxa"/>
            <w:gridSpan w:val="14"/>
            <w:tcBorders>
              <w:top w:val="single" w:sz="4" w:space="0" w:color="auto"/>
            </w:tcBorders>
            <w:shd w:val="clear" w:color="auto" w:fill="FFFFFF"/>
            <w:vAlign w:val="bottom"/>
          </w:tcPr>
          <w:p w14:paraId="57240D28" w14:textId="77777777" w:rsidR="008C76E0" w:rsidRPr="008C76E0" w:rsidRDefault="008C76E0" w:rsidP="008C76E0">
            <w:pPr>
              <w:pStyle w:val="Bodytext180"/>
              <w:shd w:val="clear" w:color="auto" w:fill="auto"/>
              <w:spacing w:before="0" w:after="120" w:line="240" w:lineRule="auto"/>
              <w:ind w:right="-1" w:firstLine="0"/>
              <w:jc w:val="both"/>
              <w:rPr>
                <w:rFonts w:ascii="Sylfaen" w:hAnsi="Sylfaen"/>
                <w:b w:val="0"/>
                <w:i/>
                <w:sz w:val="24"/>
                <w:szCs w:val="24"/>
                <w:lang w:val="hy-AM"/>
              </w:rPr>
            </w:pPr>
            <w:r w:rsidRPr="003B2786">
              <w:rPr>
                <w:rStyle w:val="Bodytext295pt"/>
                <w:rFonts w:ascii="Sylfaen" w:hAnsi="Sylfaen"/>
                <w:sz w:val="24"/>
                <w:szCs w:val="24"/>
              </w:rPr>
              <w:t>Բ.I.բ)</w:t>
            </w:r>
            <w:r w:rsidRPr="003B2786">
              <w:rPr>
                <w:rStyle w:val="Bodytext295pt"/>
                <w:rFonts w:ascii="Sylfaen" w:hAnsi="Sylfaen"/>
                <w:sz w:val="24"/>
                <w:szCs w:val="24"/>
              </w:rPr>
              <w:tab/>
              <w:t>Ակտիվ դեղագործական նյութի որակի հսկողությունը</w:t>
            </w:r>
          </w:p>
        </w:tc>
      </w:tr>
      <w:tr w:rsidR="008C76E0" w:rsidRPr="003B2786" w14:paraId="74CF6F8C"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CC1CEF3" w14:textId="77777777" w:rsidR="008C76E0" w:rsidRPr="00E15E7D" w:rsidRDefault="008C76E0" w:rsidP="008C76E0">
            <w:pPr>
              <w:pStyle w:val="Bodytext180"/>
              <w:shd w:val="clear" w:color="auto" w:fill="auto"/>
              <w:tabs>
                <w:tab w:val="left" w:pos="560"/>
              </w:tabs>
              <w:spacing w:before="0" w:after="120" w:line="240" w:lineRule="auto"/>
              <w:ind w:left="39" w:right="50" w:firstLine="0"/>
              <w:jc w:val="both"/>
              <w:rPr>
                <w:rStyle w:val="Bodytext1811pt"/>
                <w:rFonts w:ascii="Sylfaen" w:hAnsi="Sylfaen"/>
                <w:sz w:val="24"/>
                <w:szCs w:val="24"/>
              </w:rPr>
            </w:pPr>
            <w:r w:rsidRPr="003B2786">
              <w:rPr>
                <w:rStyle w:val="Bodytext1811pt"/>
                <w:rFonts w:ascii="Sylfaen" w:hAnsi="Sylfaen"/>
                <w:sz w:val="24"/>
                <w:szCs w:val="24"/>
              </w:rPr>
              <w:t>Բ.1.բ.1.</w:t>
            </w:r>
            <w:r w:rsidRPr="003B2786">
              <w:rPr>
                <w:rStyle w:val="Bodytext1811pt"/>
                <w:rFonts w:ascii="Sylfaen" w:hAnsi="Sylfaen"/>
                <w:sz w:val="24"/>
                <w:szCs w:val="24"/>
              </w:rPr>
              <w:tab/>
              <w:t xml:space="preserve">Մասնագրերի այն պարամետրերի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ակտիվ դեղագործական նյութի, ելանյութի (միջանկյալ արտադրանքի, ռեակտիվի) ընդունելիության չափորոշիչների փոփոխությունը, որոնք օգտագործվում են ակտիվ դեղագործական նյութի արտադրության գործընթացում</w:t>
            </w:r>
          </w:p>
          <w:p w14:paraId="322D4A12" w14:textId="77777777" w:rsidR="002F06F8" w:rsidRPr="00E15E7D" w:rsidRDefault="002F06F8"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p>
        </w:tc>
        <w:tc>
          <w:tcPr>
            <w:tcW w:w="1662" w:type="dxa"/>
            <w:gridSpan w:val="4"/>
            <w:tcBorders>
              <w:top w:val="single" w:sz="4" w:space="0" w:color="auto"/>
              <w:left w:val="single" w:sz="4" w:space="0" w:color="auto"/>
            </w:tcBorders>
            <w:shd w:val="clear" w:color="auto" w:fill="FFFFFF"/>
          </w:tcPr>
          <w:p w14:paraId="0E7F6FE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35" w:type="dxa"/>
            <w:gridSpan w:val="2"/>
            <w:tcBorders>
              <w:top w:val="single" w:sz="4" w:space="0" w:color="auto"/>
              <w:left w:val="single" w:sz="4" w:space="0" w:color="auto"/>
            </w:tcBorders>
            <w:shd w:val="clear" w:color="auto" w:fill="FFFFFF"/>
          </w:tcPr>
          <w:p w14:paraId="49F3CE5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293F19D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A984B97"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4F74645"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դեղապատրաստուկների մասնագրերի ընդունելիության չափորոշիչների խստացումը, որոնք պաշտոնական հսկիչ մարմնի կողմից ենթակա են սերիաների թողարկման</w:t>
            </w:r>
          </w:p>
        </w:tc>
        <w:tc>
          <w:tcPr>
            <w:tcW w:w="1662" w:type="dxa"/>
            <w:gridSpan w:val="4"/>
            <w:tcBorders>
              <w:top w:val="single" w:sz="4" w:space="0" w:color="auto"/>
              <w:left w:val="single" w:sz="4" w:space="0" w:color="auto"/>
            </w:tcBorders>
            <w:shd w:val="clear" w:color="auto" w:fill="FFFFFF"/>
          </w:tcPr>
          <w:p w14:paraId="2D4F9B0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35" w:type="dxa"/>
            <w:gridSpan w:val="2"/>
            <w:tcBorders>
              <w:top w:val="single" w:sz="4" w:space="0" w:color="auto"/>
              <w:left w:val="single" w:sz="4" w:space="0" w:color="auto"/>
            </w:tcBorders>
            <w:shd w:val="clear" w:color="auto" w:fill="FFFFFF"/>
          </w:tcPr>
          <w:p w14:paraId="61FA82A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627416B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7EFDA6B6"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tcPr>
          <w:p w14:paraId="5F98A2EA"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մասնագրի ընդունելիության </w:t>
            </w:r>
            <w:r w:rsidRPr="003B2786">
              <w:rPr>
                <w:rStyle w:val="Bodytext1811pt"/>
                <w:rFonts w:ascii="Sylfaen" w:hAnsi="Sylfaen"/>
                <w:sz w:val="24"/>
                <w:szCs w:val="24"/>
              </w:rPr>
              <w:lastRenderedPageBreak/>
              <w:t>չափորոշիչների խստացումը</w:t>
            </w:r>
          </w:p>
        </w:tc>
        <w:tc>
          <w:tcPr>
            <w:tcW w:w="1662" w:type="dxa"/>
            <w:gridSpan w:val="4"/>
            <w:tcBorders>
              <w:top w:val="single" w:sz="4" w:space="0" w:color="auto"/>
              <w:left w:val="single" w:sz="4" w:space="0" w:color="auto"/>
              <w:bottom w:val="single" w:sz="4" w:space="0" w:color="auto"/>
            </w:tcBorders>
            <w:shd w:val="clear" w:color="auto" w:fill="FFFFFF"/>
          </w:tcPr>
          <w:p w14:paraId="7DAEDAA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lastRenderedPageBreak/>
              <w:t>1, 2, 3, 4</w:t>
            </w:r>
          </w:p>
        </w:tc>
        <w:tc>
          <w:tcPr>
            <w:tcW w:w="2035" w:type="dxa"/>
            <w:gridSpan w:val="2"/>
            <w:tcBorders>
              <w:top w:val="single" w:sz="4" w:space="0" w:color="auto"/>
              <w:left w:val="single" w:sz="4" w:space="0" w:color="auto"/>
              <w:bottom w:val="single" w:sz="4" w:space="0" w:color="auto"/>
            </w:tcBorders>
            <w:shd w:val="clear" w:color="auto" w:fill="FFFFFF"/>
          </w:tcPr>
          <w:p w14:paraId="380704D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0052AE8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IA</w:t>
            </w:r>
          </w:p>
        </w:tc>
      </w:tr>
      <w:tr w:rsidR="008C76E0" w:rsidRPr="003B2786" w14:paraId="4EB3175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63F18D20"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մասնագրում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ավելացումը</w:t>
            </w:r>
          </w:p>
        </w:tc>
        <w:tc>
          <w:tcPr>
            <w:tcW w:w="1662" w:type="dxa"/>
            <w:gridSpan w:val="4"/>
            <w:tcBorders>
              <w:top w:val="single" w:sz="4" w:space="0" w:color="auto"/>
              <w:left w:val="single" w:sz="4" w:space="0" w:color="auto"/>
            </w:tcBorders>
            <w:shd w:val="clear" w:color="auto" w:fill="FFFFFF"/>
          </w:tcPr>
          <w:p w14:paraId="44BFFA5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1, 2, 5, 6, 7</w:t>
            </w:r>
          </w:p>
        </w:tc>
        <w:tc>
          <w:tcPr>
            <w:tcW w:w="2035" w:type="dxa"/>
            <w:gridSpan w:val="2"/>
            <w:tcBorders>
              <w:top w:val="single" w:sz="4" w:space="0" w:color="auto"/>
              <w:left w:val="single" w:sz="4" w:space="0" w:color="auto"/>
            </w:tcBorders>
            <w:shd w:val="clear" w:color="auto" w:fill="FFFFFF"/>
          </w:tcPr>
          <w:p w14:paraId="13F39CC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1, 2, 3, 4, 7</w:t>
            </w:r>
          </w:p>
        </w:tc>
        <w:tc>
          <w:tcPr>
            <w:tcW w:w="2098" w:type="dxa"/>
            <w:gridSpan w:val="3"/>
            <w:tcBorders>
              <w:top w:val="single" w:sz="4" w:space="0" w:color="auto"/>
              <w:left w:val="single" w:sz="4" w:space="0" w:color="auto"/>
              <w:right w:val="single" w:sz="4" w:space="0" w:color="auto"/>
            </w:tcBorders>
            <w:shd w:val="clear" w:color="auto" w:fill="FFFFFF"/>
          </w:tcPr>
          <w:p w14:paraId="03D2F2A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5C7020F"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793C41E"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մասնագրի աննշան պարամետրի բացառումը (օրինակ՝ հնացած պարամետրի բացառումը)</w:t>
            </w:r>
          </w:p>
        </w:tc>
        <w:tc>
          <w:tcPr>
            <w:tcW w:w="1662" w:type="dxa"/>
            <w:gridSpan w:val="4"/>
            <w:tcBorders>
              <w:top w:val="single" w:sz="4" w:space="0" w:color="auto"/>
              <w:left w:val="single" w:sz="4" w:space="0" w:color="auto"/>
            </w:tcBorders>
            <w:shd w:val="clear" w:color="auto" w:fill="FFFFFF"/>
          </w:tcPr>
          <w:p w14:paraId="0AD7865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1, 2, 8</w:t>
            </w:r>
          </w:p>
        </w:tc>
        <w:tc>
          <w:tcPr>
            <w:tcW w:w="2035" w:type="dxa"/>
            <w:gridSpan w:val="2"/>
            <w:tcBorders>
              <w:top w:val="single" w:sz="4" w:space="0" w:color="auto"/>
              <w:left w:val="single" w:sz="4" w:space="0" w:color="auto"/>
            </w:tcBorders>
            <w:shd w:val="clear" w:color="auto" w:fill="FFFFFF"/>
          </w:tcPr>
          <w:p w14:paraId="094AAB5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1, 2, 6</w:t>
            </w:r>
          </w:p>
        </w:tc>
        <w:tc>
          <w:tcPr>
            <w:tcW w:w="2098" w:type="dxa"/>
            <w:gridSpan w:val="3"/>
            <w:tcBorders>
              <w:top w:val="single" w:sz="4" w:space="0" w:color="auto"/>
              <w:left w:val="single" w:sz="4" w:space="0" w:color="auto"/>
              <w:right w:val="single" w:sz="4" w:space="0" w:color="auto"/>
            </w:tcBorders>
            <w:shd w:val="clear" w:color="auto" w:fill="FFFFFF"/>
          </w:tcPr>
          <w:p w14:paraId="109B6D9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8367279"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EA6BDA3"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 xml:space="preserve">մասնագրերի այնպիսի պարամետրի բացառում, որը կարող է էականորեն ազդել 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xml:space="preserve"> (կամ) դեղապատրաստուկի ընդհանուր որակի վրա</w:t>
            </w:r>
          </w:p>
        </w:tc>
        <w:tc>
          <w:tcPr>
            <w:tcW w:w="1662" w:type="dxa"/>
            <w:gridSpan w:val="4"/>
            <w:tcBorders>
              <w:top w:val="single" w:sz="4" w:space="0" w:color="auto"/>
              <w:left w:val="single" w:sz="4" w:space="0" w:color="auto"/>
            </w:tcBorders>
            <w:shd w:val="clear" w:color="auto" w:fill="FFFFFF"/>
          </w:tcPr>
          <w:p w14:paraId="4DC5D4E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35" w:type="dxa"/>
            <w:gridSpan w:val="2"/>
            <w:tcBorders>
              <w:top w:val="single" w:sz="4" w:space="0" w:color="auto"/>
              <w:left w:val="single" w:sz="4" w:space="0" w:color="auto"/>
            </w:tcBorders>
            <w:shd w:val="clear" w:color="auto" w:fill="FFFFFF"/>
          </w:tcPr>
          <w:p w14:paraId="3986899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7958A17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AD5492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BD260B4"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ակտիվ դեղագործական բաղադրամասի մասնագրերի` ընդունելիության հաստատված չափորոշիչների շրջանակից դուրս փոփոխությունը</w:t>
            </w:r>
          </w:p>
        </w:tc>
        <w:tc>
          <w:tcPr>
            <w:tcW w:w="1662" w:type="dxa"/>
            <w:gridSpan w:val="4"/>
            <w:tcBorders>
              <w:top w:val="single" w:sz="4" w:space="0" w:color="auto"/>
              <w:left w:val="single" w:sz="4" w:space="0" w:color="auto"/>
            </w:tcBorders>
            <w:shd w:val="clear" w:color="auto" w:fill="FFFFFF"/>
          </w:tcPr>
          <w:p w14:paraId="10D49D9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35" w:type="dxa"/>
            <w:gridSpan w:val="2"/>
            <w:tcBorders>
              <w:top w:val="single" w:sz="4" w:space="0" w:color="auto"/>
              <w:left w:val="single" w:sz="4" w:space="0" w:color="auto"/>
            </w:tcBorders>
            <w:shd w:val="clear" w:color="auto" w:fill="FFFFFF"/>
          </w:tcPr>
          <w:p w14:paraId="47ADF57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77AF4AC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54DB05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03643D4E" w14:textId="77777777" w:rsidR="008C76E0" w:rsidRPr="008C76E0" w:rsidRDefault="008C76E0" w:rsidP="008C76E0">
            <w:pPr>
              <w:pStyle w:val="Bodytext180"/>
              <w:shd w:val="clear" w:color="auto" w:fill="auto"/>
              <w:tabs>
                <w:tab w:val="left" w:pos="560"/>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 xml:space="preserve">ելանյութերի (միջանկյալ արտադրանքի) մասնագրերի` ընդունելիության հաստատված չափորոշիչների ընդլայնումը, որոնք կարող են էականորեն ազդել ակտիվ դեղագործական բաղադրամասի </w:t>
            </w:r>
            <w:r w:rsidR="00C54D75">
              <w:rPr>
                <w:rStyle w:val="Bodytext1811pt"/>
                <w:rFonts w:ascii="Sylfaen" w:hAnsi="Sylfaen"/>
                <w:sz w:val="24"/>
                <w:szCs w:val="24"/>
              </w:rPr>
              <w:t>և</w:t>
            </w:r>
            <w:r w:rsidRPr="003B2786">
              <w:rPr>
                <w:rStyle w:val="Bodytext1811pt"/>
                <w:rFonts w:ascii="Sylfaen" w:hAnsi="Sylfaen"/>
                <w:sz w:val="24"/>
                <w:szCs w:val="24"/>
              </w:rPr>
              <w:t xml:space="preserve"> կամ դեղապատրաստուկի ընդհանուր որակի վրա</w:t>
            </w:r>
          </w:p>
        </w:tc>
        <w:tc>
          <w:tcPr>
            <w:tcW w:w="1662" w:type="dxa"/>
            <w:gridSpan w:val="4"/>
            <w:tcBorders>
              <w:top w:val="single" w:sz="4" w:space="0" w:color="auto"/>
              <w:left w:val="single" w:sz="4" w:space="0" w:color="auto"/>
            </w:tcBorders>
            <w:shd w:val="clear" w:color="auto" w:fill="FFFFFF"/>
          </w:tcPr>
          <w:p w14:paraId="37908E8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35" w:type="dxa"/>
            <w:gridSpan w:val="2"/>
            <w:tcBorders>
              <w:top w:val="single" w:sz="4" w:space="0" w:color="auto"/>
              <w:left w:val="single" w:sz="4" w:space="0" w:color="auto"/>
            </w:tcBorders>
            <w:shd w:val="clear" w:color="auto" w:fill="FFFFFF"/>
          </w:tcPr>
          <w:p w14:paraId="3FB8F64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35CC2FA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ECC8EB2"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0724DFF" w14:textId="77777777" w:rsidR="008C76E0" w:rsidRPr="00E15E7D" w:rsidRDefault="008C76E0" w:rsidP="008C76E0">
            <w:pPr>
              <w:pStyle w:val="Bodytext180"/>
              <w:shd w:val="clear" w:color="auto" w:fill="auto"/>
              <w:tabs>
                <w:tab w:val="left" w:pos="560"/>
              </w:tabs>
              <w:spacing w:before="0" w:after="120" w:line="240" w:lineRule="auto"/>
              <w:ind w:left="39" w:right="50" w:firstLine="0"/>
              <w:jc w:val="both"/>
              <w:rPr>
                <w:rStyle w:val="Bodytext1811pt"/>
                <w:rFonts w:ascii="Sylfaen" w:hAnsi="Sylfaen"/>
                <w:sz w:val="24"/>
                <w:szCs w:val="24"/>
              </w:rPr>
            </w:pPr>
            <w:r w:rsidRPr="003B2786">
              <w:rPr>
                <w:rStyle w:val="Bodytext1811pt"/>
                <w:rFonts w:ascii="Sylfaen" w:hAnsi="Sylfaen"/>
                <w:sz w:val="24"/>
                <w:szCs w:val="24"/>
              </w:rPr>
              <w:t>է)</w:t>
            </w:r>
            <w:r w:rsidRPr="003B2786">
              <w:rPr>
                <w:rStyle w:val="Bodytext1811pt"/>
                <w:rFonts w:ascii="Sylfaen" w:hAnsi="Sylfaen"/>
                <w:sz w:val="24"/>
                <w:szCs w:val="24"/>
              </w:rPr>
              <w:tab/>
              <w:t xml:space="preserve">մասնագրի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ավելացումը կամ փոխարինումը (բացառելով կենսաբանական </w:t>
            </w:r>
            <w:r w:rsidR="00C54D75">
              <w:rPr>
                <w:rStyle w:val="Bodytext1811pt"/>
                <w:rFonts w:ascii="Sylfaen" w:hAnsi="Sylfaen"/>
                <w:sz w:val="24"/>
                <w:szCs w:val="24"/>
              </w:rPr>
              <w:t>և</w:t>
            </w:r>
            <w:r w:rsidRPr="003B2786">
              <w:rPr>
                <w:rStyle w:val="Bodytext1811pt"/>
                <w:rFonts w:ascii="Sylfaen" w:hAnsi="Sylfaen"/>
                <w:sz w:val="24"/>
                <w:szCs w:val="24"/>
              </w:rPr>
              <w:t xml:space="preserve"> իմունաբանական բաղադրամասը)՝ ելնելով անվտանգության կամ որակի նկատառումներից</w:t>
            </w:r>
          </w:p>
          <w:p w14:paraId="7C271490" w14:textId="77777777" w:rsidR="002F06F8" w:rsidRPr="00E15E7D" w:rsidRDefault="002F06F8"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p>
        </w:tc>
        <w:tc>
          <w:tcPr>
            <w:tcW w:w="1662" w:type="dxa"/>
            <w:gridSpan w:val="4"/>
            <w:tcBorders>
              <w:top w:val="single" w:sz="4" w:space="0" w:color="auto"/>
              <w:left w:val="single" w:sz="4" w:space="0" w:color="auto"/>
            </w:tcBorders>
            <w:shd w:val="clear" w:color="auto" w:fill="FFFFFF"/>
          </w:tcPr>
          <w:p w14:paraId="024CCBD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35" w:type="dxa"/>
            <w:gridSpan w:val="2"/>
            <w:tcBorders>
              <w:top w:val="single" w:sz="4" w:space="0" w:color="auto"/>
              <w:left w:val="single" w:sz="4" w:space="0" w:color="auto"/>
            </w:tcBorders>
            <w:shd w:val="clear" w:color="auto" w:fill="FFFFFF"/>
          </w:tcPr>
          <w:p w14:paraId="573547A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1, 2, 3, 4, 5, 7</w:t>
            </w:r>
          </w:p>
        </w:tc>
        <w:tc>
          <w:tcPr>
            <w:tcW w:w="2098" w:type="dxa"/>
            <w:gridSpan w:val="3"/>
            <w:tcBorders>
              <w:top w:val="single" w:sz="4" w:space="0" w:color="auto"/>
              <w:left w:val="single" w:sz="4" w:space="0" w:color="auto"/>
              <w:right w:val="single" w:sz="4" w:space="0" w:color="auto"/>
            </w:tcBorders>
            <w:shd w:val="clear" w:color="auto" w:fill="FFFFFF"/>
          </w:tcPr>
          <w:p w14:paraId="3209D8B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4C6031BB"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88B19CE" w14:textId="77777777" w:rsidR="008C76E0" w:rsidRPr="008C76E0" w:rsidRDefault="008C76E0" w:rsidP="008C76E0">
            <w:pPr>
              <w:pStyle w:val="Bodytext180"/>
              <w:shd w:val="clear" w:color="auto" w:fill="auto"/>
              <w:tabs>
                <w:tab w:val="left" w:pos="560"/>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ը)</w:t>
            </w:r>
            <w:r w:rsidRPr="003B2786">
              <w:rPr>
                <w:rStyle w:val="Bodytext1811pt"/>
                <w:rFonts w:ascii="Sylfaen" w:hAnsi="Sylfaen"/>
                <w:sz w:val="24"/>
                <w:szCs w:val="24"/>
              </w:rPr>
              <w:tab/>
              <w:t xml:space="preserve">եթե ակտիվ դեղագործական բաղադրամասի վերաբերյալ բացակայում է Միության դեղագրքի կամ անդամ պետության դեղագրքի հոդվածը, ապա մասնագրի սեփական տվյալների փոխարինումը՝ ոչ պաշտոնական դեղագրքի կամ երրորդ երկրի դեղագրքի </w:t>
            </w:r>
            <w:r w:rsidRPr="003B2786">
              <w:rPr>
                <w:rStyle w:val="Bodytext1811pt"/>
                <w:rFonts w:ascii="Sylfaen" w:hAnsi="Sylfaen"/>
                <w:sz w:val="24"/>
                <w:szCs w:val="24"/>
              </w:rPr>
              <w:lastRenderedPageBreak/>
              <w:t>տվյալներով</w:t>
            </w:r>
          </w:p>
        </w:tc>
        <w:tc>
          <w:tcPr>
            <w:tcW w:w="1662" w:type="dxa"/>
            <w:gridSpan w:val="4"/>
            <w:tcBorders>
              <w:top w:val="single" w:sz="4" w:space="0" w:color="auto"/>
              <w:left w:val="single" w:sz="4" w:space="0" w:color="auto"/>
            </w:tcBorders>
            <w:shd w:val="clear" w:color="auto" w:fill="FFFFFF"/>
          </w:tcPr>
          <w:p w14:paraId="1B69D73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35" w:type="dxa"/>
            <w:gridSpan w:val="2"/>
            <w:tcBorders>
              <w:top w:val="single" w:sz="4" w:space="0" w:color="auto"/>
              <w:left w:val="single" w:sz="4" w:space="0" w:color="auto"/>
            </w:tcBorders>
            <w:shd w:val="clear" w:color="auto" w:fill="FFFFFF"/>
          </w:tcPr>
          <w:p w14:paraId="4671471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1, 2, 3, 4, 5, 7</w:t>
            </w:r>
          </w:p>
        </w:tc>
        <w:tc>
          <w:tcPr>
            <w:tcW w:w="2098" w:type="dxa"/>
            <w:gridSpan w:val="3"/>
            <w:tcBorders>
              <w:top w:val="single" w:sz="4" w:space="0" w:color="auto"/>
              <w:left w:val="single" w:sz="4" w:space="0" w:color="auto"/>
              <w:right w:val="single" w:sz="4" w:space="0" w:color="auto"/>
            </w:tcBorders>
            <w:shd w:val="clear" w:color="auto" w:fill="FFFFFF"/>
          </w:tcPr>
          <w:p w14:paraId="02C14AD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4F461B11"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2160ABCE" w14:textId="77777777" w:rsidR="008C76E0" w:rsidRPr="008C76E0" w:rsidRDefault="008C76E0" w:rsidP="008C76E0">
            <w:pPr>
              <w:pStyle w:val="Bodytext180"/>
              <w:shd w:val="clear" w:color="auto" w:fill="auto"/>
              <w:tabs>
                <w:tab w:val="left" w:pos="620"/>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4ABB24A" w14:textId="77777777" w:rsidR="008C76E0" w:rsidRPr="008C76E0" w:rsidRDefault="008C76E0" w:rsidP="008C76E0">
            <w:pPr>
              <w:pStyle w:val="Bodytext180"/>
              <w:shd w:val="clear" w:color="auto" w:fill="auto"/>
              <w:tabs>
                <w:tab w:val="left" w:pos="620"/>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Փոփոխությունը ցանկացած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անք չէ, որն ընդունվել է նախկինում անցկացված փորձաքննության արդյունքներով՝ մասնագրի ընդունելիության չափորոշիչների վերանայման նպատակով (օրինակ՝ դեղապատրաստուկի գրանցման կամ II տիպի փոփոխություն կատարելիս):</w:t>
            </w:r>
          </w:p>
          <w:p w14:paraId="19E37A0E" w14:textId="77777777" w:rsidR="008C76E0" w:rsidRPr="008C76E0" w:rsidRDefault="008C76E0" w:rsidP="008C76E0">
            <w:pPr>
              <w:pStyle w:val="Bodytext180"/>
              <w:shd w:val="clear" w:color="auto" w:fill="auto"/>
              <w:tabs>
                <w:tab w:val="left" w:pos="620"/>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Փոփոխությունն անհետաձգելի իրավիճակների հետ</w:t>
            </w:r>
            <w:r w:rsidR="00C54D75">
              <w:rPr>
                <w:rStyle w:val="Bodytext1811pt"/>
                <w:rFonts w:ascii="Sylfaen" w:hAnsi="Sylfaen"/>
                <w:sz w:val="24"/>
                <w:szCs w:val="24"/>
              </w:rPr>
              <w:t>և</w:t>
            </w:r>
            <w:r w:rsidRPr="003B2786">
              <w:rPr>
                <w:rStyle w:val="Bodytext1811pt"/>
                <w:rFonts w:ascii="Sylfaen" w:hAnsi="Sylfaen"/>
                <w:sz w:val="24"/>
                <w:szCs w:val="24"/>
              </w:rPr>
              <w:t>անք չէ, որոնք ծագել են, օրինակ՝ նոր չորակված խառնուրդի արտադրության, խառնուրդների հանրագումարի պարունակության սահմանների փոփոխության ընթացքում:</w:t>
            </w:r>
          </w:p>
          <w:p w14:paraId="46CE3544" w14:textId="77777777" w:rsidR="008C76E0" w:rsidRPr="008C76E0" w:rsidRDefault="008C76E0" w:rsidP="008C76E0">
            <w:pPr>
              <w:pStyle w:val="Bodytext180"/>
              <w:shd w:val="clear" w:color="auto" w:fill="auto"/>
              <w:tabs>
                <w:tab w:val="left" w:pos="62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չպետք է տեղավորվի ընդունելիության ընթացիկ հաստատված չափորոշիչների տիրույթում:</w:t>
            </w:r>
          </w:p>
          <w:p w14:paraId="6FDE44CC" w14:textId="77777777" w:rsidR="008C76E0" w:rsidRPr="008C76E0" w:rsidRDefault="008C76E0" w:rsidP="008C76E0">
            <w:pPr>
              <w:pStyle w:val="Bodytext180"/>
              <w:shd w:val="clear" w:color="auto" w:fill="auto"/>
              <w:tabs>
                <w:tab w:val="left" w:pos="620"/>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մեթոդը չի փոփոխվում կամ փոփոխվում է աննշան:</w:t>
            </w:r>
          </w:p>
          <w:p w14:paraId="3D0230CF" w14:textId="77777777" w:rsidR="008C76E0" w:rsidRPr="008C76E0" w:rsidRDefault="008C76E0" w:rsidP="008C76E0">
            <w:pPr>
              <w:pStyle w:val="Bodytext180"/>
              <w:shd w:val="clear" w:color="auto" w:fill="auto"/>
              <w:tabs>
                <w:tab w:val="left" w:pos="620"/>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ստանդարտ մեթոդների վրա, որոնք օգտագործվում են նորովի:</w:t>
            </w:r>
          </w:p>
          <w:p w14:paraId="181741DB" w14:textId="77777777" w:rsidR="008C76E0" w:rsidRPr="008C76E0" w:rsidRDefault="008C76E0" w:rsidP="008C76E0">
            <w:pPr>
              <w:pStyle w:val="Bodytext180"/>
              <w:shd w:val="clear" w:color="auto" w:fill="auto"/>
              <w:tabs>
                <w:tab w:val="left" w:pos="620"/>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որում կենսաբանական ակտիվ դեղագործական բաղադրամասի համար կենսաբանական ռեակտիվ է օգտագործվում (բացառությամբ ստանդարտ դեղագրքային միկրոկենսաբանական մեթոդների):</w:t>
            </w:r>
          </w:p>
        </w:tc>
      </w:tr>
      <w:tr w:rsidR="008C76E0" w:rsidRPr="003B2786" w14:paraId="73D4CAEA"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F8930F8"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Ցանկացած նյութի փոփոխություն չի առնչվում գենոտոքսիկ խառնուրդին: Եթե ներգրավված է ակտիվ դեղագործական բաղադրամաս, բացառությամբ մնացորդային լուծիչների, որոնք պետք է համապատասխանեն Միության դեղագրքի համապատասխան հոդվածի շրջանակին, ապա ցանկացած նոր խառնուրդի հսկողություն պետք է համապատասխանի Միության դեղագրքին կամ անդամ պետության դեղագրքին:</w:t>
            </w:r>
          </w:p>
          <w:p w14:paraId="5D28731B" w14:textId="77777777" w:rsidR="008C76E0" w:rsidRPr="008C76E0" w:rsidRDefault="008C76E0" w:rsidP="002F06F8">
            <w:pPr>
              <w:pStyle w:val="Bodytext180"/>
              <w:shd w:val="clear" w:color="auto" w:fill="auto"/>
              <w:tabs>
                <w:tab w:val="left" w:pos="620"/>
              </w:tabs>
              <w:spacing w:before="0" w:after="120" w:line="288" w:lineRule="auto"/>
              <w:ind w:left="40" w:right="45"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Մասնագրի պարամետրը չի առնչվում կրիտիկական պարամետրին, օրինակ՝ հետ</w:t>
            </w:r>
            <w:r w:rsidR="00C54D75">
              <w:rPr>
                <w:rStyle w:val="Bodytext1811pt"/>
                <w:rFonts w:ascii="Sylfaen" w:hAnsi="Sylfaen"/>
                <w:sz w:val="24"/>
                <w:szCs w:val="24"/>
              </w:rPr>
              <w:t>և</w:t>
            </w:r>
            <w:r w:rsidRPr="003B2786">
              <w:rPr>
                <w:rStyle w:val="Bodytext1811pt"/>
                <w:rFonts w:ascii="Sylfaen" w:hAnsi="Sylfaen"/>
                <w:sz w:val="24"/>
                <w:szCs w:val="24"/>
              </w:rPr>
              <w:t>յալից որ</w:t>
            </w:r>
            <w:r w:rsidR="00C54D75">
              <w:rPr>
                <w:rStyle w:val="Bodytext1811pt"/>
                <w:rFonts w:ascii="Sylfaen" w:hAnsi="Sylfaen"/>
                <w:sz w:val="24"/>
                <w:szCs w:val="24"/>
              </w:rPr>
              <w:t>և</w:t>
            </w:r>
            <w:r w:rsidRPr="003B2786">
              <w:rPr>
                <w:rStyle w:val="Bodytext1811pt"/>
                <w:rFonts w:ascii="Sylfaen" w:hAnsi="Sylfaen"/>
                <w:sz w:val="24"/>
                <w:szCs w:val="24"/>
              </w:rPr>
              <w:t xml:space="preserve">է մեկին՝ քանակական սահմանմանը, խառնուրդներին (եթե միայն որոշակի լուծիչ միանշանակորեն չի օգտագործվում ակտիվ դեղագործական բաղադրամասի արտադրության մեջ), ցանկացած կրիտիկական ֆիզիկական բնութագիր, օրինակ՝ մասնիկների չափը, խտացումից առաջ </w:t>
            </w:r>
            <w:r w:rsidR="00C54D75">
              <w:rPr>
                <w:rStyle w:val="Bodytext1811pt"/>
                <w:rFonts w:ascii="Sylfaen" w:hAnsi="Sylfaen"/>
                <w:sz w:val="24"/>
                <w:szCs w:val="24"/>
              </w:rPr>
              <w:t>և</w:t>
            </w:r>
            <w:r w:rsidRPr="003B2786">
              <w:rPr>
                <w:rStyle w:val="Bodytext1811pt"/>
                <w:rFonts w:ascii="Sylfaen" w:hAnsi="Sylfaen"/>
                <w:sz w:val="24"/>
                <w:szCs w:val="24"/>
              </w:rPr>
              <w:t xml:space="preserve"> հետո լցման խտությունը, իսկության փորձարկումը, ջուրը, փորձարկման թույլտվության ցանկացած հարցումը:</w:t>
            </w:r>
          </w:p>
        </w:tc>
      </w:tr>
      <w:tr w:rsidR="008C76E0" w:rsidRPr="003B2786" w14:paraId="0E193BA5"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57979BB"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603FC530"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ուղղումը։</w:t>
            </w:r>
          </w:p>
          <w:p w14:paraId="097C9C81"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0C8CC115"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Ցանկացած նոր վերլուծական մեթոդիկայի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տվյալների մանրամասն նկարագրությունը (համապատասխան դեպքերում):</w:t>
            </w:r>
          </w:p>
          <w:p w14:paraId="0ED7E94C"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Համապատասխան ակտիվ դեղագործական բաղադրամասի երկու արտադրական սերիաների վերլուծության տվյալները՝ մասնագրի բոլոր պարամետրերով (կենսաբանորեն ակտիվ դեղագործական բաղադրամասերի համար հետադարձ հիմնավորման բացակայության դեպքում՝ 3 սերիա):</w:t>
            </w:r>
          </w:p>
          <w:p w14:paraId="0C1DB199"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lastRenderedPageBreak/>
              <w:t>5.</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այն դեղապատրաստուկի լուծելիության համեմատական կինետիկայի թեստի արդյունքները, որն առնվազն փորձարարաարդյունաբերական սերիայից պարունակում է գործող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մասնագրերին համապատասխանող ակտիվ դեղագործական բաղադրամաս։ Բուսական դեղապատրաստուկների առնչությամբ կարող են բավարար համարվել համեմատական տրոհելիության տվյալները:</w:t>
            </w:r>
          </w:p>
          <w:p w14:paraId="6A32FBC4"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Հիմնավորումը (ռիսկերի գնահատումը)՝ գրանցման հավաստագրի իրավատիրոջ կամ ԱԴՆՄՖ-ի իրավատիրոջ կողմից՝ համապատասխանաբար, որով հաստատվում է, որ ներարտադրական պարամետրը ոչ նշանակալի կամ հնացած է:</w:t>
            </w:r>
          </w:p>
          <w:p w14:paraId="40F18F74" w14:textId="77777777" w:rsidR="008C76E0" w:rsidRPr="008C76E0" w:rsidRDefault="008C76E0" w:rsidP="008C76E0">
            <w:pPr>
              <w:pStyle w:val="Bodytext180"/>
              <w:shd w:val="clear" w:color="auto" w:fill="auto"/>
              <w:tabs>
                <w:tab w:val="left" w:pos="62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Մասնագրի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ընդունելիության նոր չափորոշիչների հիմնավորումը ԳՀ-ի իրավատիրոջ </w:t>
            </w:r>
            <w:r w:rsidR="00C54D75">
              <w:rPr>
                <w:rStyle w:val="Bodytext1811pt"/>
                <w:rFonts w:ascii="Sylfaen" w:hAnsi="Sylfaen"/>
                <w:sz w:val="24"/>
                <w:szCs w:val="24"/>
              </w:rPr>
              <w:t>և</w:t>
            </w:r>
            <w:r w:rsidRPr="003B2786">
              <w:rPr>
                <w:rStyle w:val="Bodytext1811pt"/>
                <w:rFonts w:ascii="Sylfaen" w:hAnsi="Sylfaen"/>
                <w:sz w:val="24"/>
                <w:szCs w:val="24"/>
              </w:rPr>
              <w:t xml:space="preserve"> ԱԴՆՄՖ-ի իրավատիրոջ կողմից՝ համապատասխանաբար։</w:t>
            </w:r>
          </w:p>
        </w:tc>
      </w:tr>
      <w:tr w:rsidR="008C76E0" w:rsidRPr="003B2786" w14:paraId="3AD5C67F"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911EEFF" w14:textId="77777777" w:rsidR="008C76E0" w:rsidRPr="008C76E0" w:rsidRDefault="008C76E0" w:rsidP="008C76E0">
            <w:pPr>
              <w:pStyle w:val="Bodytext180"/>
              <w:shd w:val="clear" w:color="auto" w:fill="auto"/>
              <w:tabs>
                <w:tab w:val="left" w:pos="1157"/>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lastRenderedPageBreak/>
              <w:t>Բ.I.բ.2.</w:t>
            </w:r>
            <w:r w:rsidRPr="003B2786">
              <w:rPr>
                <w:rStyle w:val="Bodytext1811pt"/>
                <w:rFonts w:ascii="Sylfaen" w:hAnsi="Sylfaen"/>
                <w:sz w:val="24"/>
                <w:szCs w:val="24"/>
              </w:rPr>
              <w:tab/>
              <w:t>Ակտիվ դեղագործական բաղադրամասի արտադրության գործընթացում օգտագործվող ակտիվ դեղագործական բաղադրամասի կամ ելանյութի (միջանկյալ արտադրանքի, ռեակտիվի) վերլուծական մեթոդիկայի փոփոխությունը</w:t>
            </w:r>
          </w:p>
        </w:tc>
        <w:tc>
          <w:tcPr>
            <w:tcW w:w="1662" w:type="dxa"/>
            <w:gridSpan w:val="4"/>
            <w:tcBorders>
              <w:top w:val="single" w:sz="4" w:space="0" w:color="auto"/>
              <w:left w:val="single" w:sz="4" w:space="0" w:color="auto"/>
            </w:tcBorders>
            <w:shd w:val="clear" w:color="auto" w:fill="FFFFFF"/>
          </w:tcPr>
          <w:p w14:paraId="400AA67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35" w:type="dxa"/>
            <w:gridSpan w:val="2"/>
            <w:tcBorders>
              <w:top w:val="single" w:sz="4" w:space="0" w:color="auto"/>
              <w:left w:val="single" w:sz="4" w:space="0" w:color="auto"/>
            </w:tcBorders>
            <w:shd w:val="clear" w:color="auto" w:fill="FFFFFF"/>
          </w:tcPr>
          <w:p w14:paraId="73A130E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09DE93B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669728E"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center"/>
          </w:tcPr>
          <w:p w14:paraId="362CC902" w14:textId="77777777" w:rsidR="008C76E0" w:rsidRPr="008C76E0" w:rsidRDefault="008C76E0" w:rsidP="008C76E0">
            <w:pPr>
              <w:pStyle w:val="Bodytext180"/>
              <w:shd w:val="clear" w:color="auto" w:fill="auto"/>
              <w:tabs>
                <w:tab w:val="left" w:pos="62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հաստատված վերլուծական մեթոդիկայի ոչ էական փոփոխությունը</w:t>
            </w:r>
          </w:p>
        </w:tc>
        <w:tc>
          <w:tcPr>
            <w:tcW w:w="1662" w:type="dxa"/>
            <w:gridSpan w:val="4"/>
            <w:tcBorders>
              <w:top w:val="single" w:sz="4" w:space="0" w:color="auto"/>
              <w:left w:val="single" w:sz="4" w:space="0" w:color="auto"/>
            </w:tcBorders>
            <w:shd w:val="clear" w:color="auto" w:fill="FFFFFF"/>
          </w:tcPr>
          <w:p w14:paraId="6F28278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35" w:type="dxa"/>
            <w:gridSpan w:val="2"/>
            <w:tcBorders>
              <w:top w:val="single" w:sz="4" w:space="0" w:color="auto"/>
              <w:left w:val="single" w:sz="4" w:space="0" w:color="auto"/>
            </w:tcBorders>
            <w:shd w:val="clear" w:color="auto" w:fill="FFFFFF"/>
          </w:tcPr>
          <w:p w14:paraId="7280F25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57DD78A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28DB656"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65CA905" w14:textId="77777777" w:rsidR="008C76E0" w:rsidRPr="008C76E0" w:rsidRDefault="008C76E0" w:rsidP="008C76E0">
            <w:pPr>
              <w:pStyle w:val="Bodytext180"/>
              <w:shd w:val="clear" w:color="auto" w:fill="auto"/>
              <w:tabs>
                <w:tab w:val="left" w:pos="62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ակտիվ դեղագործական բաղադրամասի կամ ելանյութի (միջանկյալ արտադրանքի, ռեակտիվի) վերլուծական մեթոդիկայի բացառումը, եթե արդեն հաստատված է դրա այլընտրանքային վերլուծական մեթոդիկան</w:t>
            </w:r>
          </w:p>
        </w:tc>
        <w:tc>
          <w:tcPr>
            <w:tcW w:w="1662" w:type="dxa"/>
            <w:gridSpan w:val="4"/>
            <w:tcBorders>
              <w:top w:val="single" w:sz="4" w:space="0" w:color="auto"/>
              <w:left w:val="single" w:sz="4" w:space="0" w:color="auto"/>
            </w:tcBorders>
            <w:shd w:val="clear" w:color="auto" w:fill="FFFFFF"/>
          </w:tcPr>
          <w:p w14:paraId="5BCD132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7</w:t>
            </w:r>
          </w:p>
        </w:tc>
        <w:tc>
          <w:tcPr>
            <w:tcW w:w="2035" w:type="dxa"/>
            <w:gridSpan w:val="2"/>
            <w:tcBorders>
              <w:top w:val="single" w:sz="4" w:space="0" w:color="auto"/>
              <w:left w:val="single" w:sz="4" w:space="0" w:color="auto"/>
            </w:tcBorders>
            <w:shd w:val="clear" w:color="auto" w:fill="FFFFFF"/>
          </w:tcPr>
          <w:p w14:paraId="6565E15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98" w:type="dxa"/>
            <w:gridSpan w:val="3"/>
            <w:tcBorders>
              <w:top w:val="single" w:sz="4" w:space="0" w:color="auto"/>
              <w:left w:val="single" w:sz="4" w:space="0" w:color="auto"/>
              <w:right w:val="single" w:sz="4" w:space="0" w:color="auto"/>
            </w:tcBorders>
            <w:shd w:val="clear" w:color="auto" w:fill="FFFFFF"/>
          </w:tcPr>
          <w:p w14:paraId="1082BCB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DC45B03"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bottom"/>
          </w:tcPr>
          <w:p w14:paraId="1198A12A" w14:textId="77777777" w:rsidR="008C76E0" w:rsidRPr="00E15E7D" w:rsidRDefault="008C76E0" w:rsidP="008C76E0">
            <w:pPr>
              <w:pStyle w:val="Bodytext180"/>
              <w:shd w:val="clear" w:color="auto" w:fill="auto"/>
              <w:tabs>
                <w:tab w:val="left" w:pos="620"/>
              </w:tabs>
              <w:spacing w:before="0" w:after="120" w:line="240" w:lineRule="auto"/>
              <w:ind w:left="39" w:right="50" w:firstLine="0"/>
              <w:jc w:val="both"/>
              <w:rPr>
                <w:rStyle w:val="Bodytext1811pt"/>
                <w:rFonts w:ascii="Sylfaen" w:hAnsi="Sylfaen"/>
                <w:sz w:val="24"/>
                <w:szCs w:val="24"/>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ռեակտիվի վերլուծական մեթոդիկայի այլ փոփոխություններ (ներառյալ՝ փոխարինումը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ավելացումը), որոնք նշանակալի ազդեցություն չեն գործում դեղագործական բաղադրամասի ընդհանուր որակի վրա</w:t>
            </w:r>
          </w:p>
          <w:p w14:paraId="276B8A46" w14:textId="77777777" w:rsidR="002F06F8" w:rsidRPr="00E15E7D" w:rsidRDefault="002F06F8" w:rsidP="008C76E0">
            <w:pPr>
              <w:pStyle w:val="Bodytext180"/>
              <w:shd w:val="clear" w:color="auto" w:fill="auto"/>
              <w:tabs>
                <w:tab w:val="left" w:pos="620"/>
              </w:tabs>
              <w:spacing w:before="0" w:after="120" w:line="240" w:lineRule="auto"/>
              <w:ind w:left="39" w:right="50" w:firstLine="0"/>
              <w:jc w:val="both"/>
              <w:rPr>
                <w:rFonts w:ascii="Sylfaen" w:hAnsi="Sylfaen"/>
                <w:b w:val="0"/>
                <w:sz w:val="24"/>
                <w:szCs w:val="24"/>
                <w:lang w:val="hy-AM"/>
              </w:rPr>
            </w:pPr>
          </w:p>
        </w:tc>
        <w:tc>
          <w:tcPr>
            <w:tcW w:w="1662" w:type="dxa"/>
            <w:gridSpan w:val="4"/>
            <w:tcBorders>
              <w:top w:val="single" w:sz="4" w:space="0" w:color="auto"/>
              <w:left w:val="single" w:sz="4" w:space="0" w:color="auto"/>
              <w:bottom w:val="single" w:sz="4" w:space="0" w:color="auto"/>
            </w:tcBorders>
            <w:shd w:val="clear" w:color="auto" w:fill="FFFFFF"/>
          </w:tcPr>
          <w:p w14:paraId="63A46AE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1, 2, 3, 5, 6</w:t>
            </w:r>
          </w:p>
        </w:tc>
        <w:tc>
          <w:tcPr>
            <w:tcW w:w="2035" w:type="dxa"/>
            <w:gridSpan w:val="2"/>
            <w:tcBorders>
              <w:top w:val="single" w:sz="4" w:space="0" w:color="auto"/>
              <w:left w:val="single" w:sz="4" w:space="0" w:color="auto"/>
              <w:bottom w:val="single" w:sz="4" w:space="0" w:color="auto"/>
            </w:tcBorders>
            <w:shd w:val="clear" w:color="auto" w:fill="FFFFFF"/>
          </w:tcPr>
          <w:p w14:paraId="35A5369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1E2B4A0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EB0A1BC"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0E48C2E" w14:textId="77777777" w:rsidR="008C76E0" w:rsidRPr="008C76E0" w:rsidRDefault="008C76E0" w:rsidP="008C76E0">
            <w:pPr>
              <w:pStyle w:val="Bodytext180"/>
              <w:shd w:val="clear" w:color="auto" w:fill="auto"/>
              <w:tabs>
                <w:tab w:val="left" w:pos="62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 xml:space="preserve">փորձարկման կենսաբանական (իմունաբանական, իմունաքիմիական) մեթոդի կամ այն մեթոդի էական փոփոխությունը կամ փոխարինումը, որի դեպքում կենսաբանորեն ակտիվ դեղագործական նյութի համար կենսաբանական ռեակտիվ է </w:t>
            </w:r>
            <w:r w:rsidRPr="003B2786">
              <w:rPr>
                <w:rStyle w:val="Bodytext1811pt"/>
                <w:rFonts w:ascii="Sylfaen" w:hAnsi="Sylfaen"/>
                <w:sz w:val="24"/>
                <w:szCs w:val="24"/>
              </w:rPr>
              <w:lastRenderedPageBreak/>
              <w:t>օգտագործվում</w:t>
            </w:r>
          </w:p>
        </w:tc>
        <w:tc>
          <w:tcPr>
            <w:tcW w:w="1655" w:type="dxa"/>
            <w:gridSpan w:val="3"/>
            <w:tcBorders>
              <w:top w:val="single" w:sz="4" w:space="0" w:color="auto"/>
              <w:left w:val="single" w:sz="4" w:space="0" w:color="auto"/>
            </w:tcBorders>
            <w:shd w:val="clear" w:color="auto" w:fill="FFFFFF"/>
          </w:tcPr>
          <w:p w14:paraId="0AE2B7E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lastRenderedPageBreak/>
              <w:t>-</w:t>
            </w:r>
          </w:p>
        </w:tc>
        <w:tc>
          <w:tcPr>
            <w:tcW w:w="2042" w:type="dxa"/>
            <w:gridSpan w:val="3"/>
            <w:tcBorders>
              <w:top w:val="single" w:sz="4" w:space="0" w:color="auto"/>
              <w:left w:val="single" w:sz="4" w:space="0" w:color="auto"/>
            </w:tcBorders>
            <w:shd w:val="clear" w:color="auto" w:fill="FFFFFF"/>
          </w:tcPr>
          <w:p w14:paraId="36B6B24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19E2039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0497CC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9394FA9" w14:textId="77777777" w:rsidR="008C76E0" w:rsidRPr="008C76E0" w:rsidRDefault="008C76E0" w:rsidP="008C76E0">
            <w:pPr>
              <w:pStyle w:val="Bodytext180"/>
              <w:shd w:val="clear" w:color="auto" w:fill="auto"/>
              <w:tabs>
                <w:tab w:val="left" w:pos="620"/>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 xml:space="preserve">ակտիվ դեղագործական բաղադրամասի կամ ելանյութի (միջանկյալ արտադրանքի) վերլուծական մեթոդիկայի այլ փոփոխություններ (ներառյալ՝ ավելացումը </w:t>
            </w:r>
            <w:r w:rsidR="00C54D75">
              <w:rPr>
                <w:rStyle w:val="Bodytext1811pt"/>
                <w:rFonts w:ascii="Sylfaen" w:hAnsi="Sylfaen"/>
                <w:sz w:val="24"/>
                <w:szCs w:val="24"/>
              </w:rPr>
              <w:t>և</w:t>
            </w:r>
            <w:r w:rsidRPr="003B2786">
              <w:rPr>
                <w:rStyle w:val="Bodytext1811pt"/>
                <w:rFonts w:ascii="Sylfaen" w:hAnsi="Sylfaen"/>
                <w:sz w:val="24"/>
                <w:szCs w:val="24"/>
              </w:rPr>
              <w:t xml:space="preserve"> փոխարինումը)</w:t>
            </w:r>
          </w:p>
        </w:tc>
        <w:tc>
          <w:tcPr>
            <w:tcW w:w="1655" w:type="dxa"/>
            <w:gridSpan w:val="3"/>
            <w:tcBorders>
              <w:top w:val="single" w:sz="4" w:space="0" w:color="auto"/>
              <w:left w:val="single" w:sz="4" w:space="0" w:color="auto"/>
            </w:tcBorders>
            <w:shd w:val="clear" w:color="auto" w:fill="FFFFFF"/>
          </w:tcPr>
          <w:p w14:paraId="16B1E03D"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295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40F42F78"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72CDE7FB"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295pt"/>
                <w:rFonts w:ascii="Sylfaen" w:hAnsi="Sylfaen"/>
                <w:sz w:val="24"/>
                <w:szCs w:val="24"/>
              </w:rPr>
              <w:t>IB</w:t>
            </w:r>
          </w:p>
        </w:tc>
      </w:tr>
      <w:tr w:rsidR="008C76E0" w:rsidRPr="003B2786" w14:paraId="4C9667A3"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7E4483AE" w14:textId="77777777" w:rsidR="008C76E0" w:rsidRPr="008C76E0" w:rsidRDefault="008C76E0" w:rsidP="008C76E0">
            <w:pPr>
              <w:pStyle w:val="Bodytext180"/>
              <w:shd w:val="clear" w:color="auto" w:fill="auto"/>
              <w:tabs>
                <w:tab w:val="left" w:pos="587"/>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57C9C8E" w14:textId="77777777" w:rsidR="008C76E0" w:rsidRPr="008C76E0" w:rsidRDefault="008C76E0" w:rsidP="008C76E0">
            <w:pPr>
              <w:pStyle w:val="Bodytext180"/>
              <w:shd w:val="clear" w:color="auto" w:fill="auto"/>
              <w:tabs>
                <w:tab w:val="left" w:pos="587"/>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Միության համապատասխան ձեռնարկների համաձայն՝ անհրաժեշտ վալիդացում է անցկացվել, որով հաստատվում է, որ թարմացված վերլուծական մեթոդիկան առնվազն համարժեք է նախորդին:</w:t>
            </w:r>
          </w:p>
          <w:p w14:paraId="388EAE41" w14:textId="77777777" w:rsidR="008C76E0" w:rsidRPr="008C76E0" w:rsidRDefault="008C76E0" w:rsidP="008C76E0">
            <w:pPr>
              <w:pStyle w:val="Bodytext180"/>
              <w:shd w:val="clear" w:color="auto" w:fill="auto"/>
              <w:tabs>
                <w:tab w:val="left" w:pos="587"/>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Խառնուրդների հանրագումարի պարունակության սահմանները չեն փոփոխվել, չորակված նոր խառնուրդներ չեն հայտնաբերվել:</w:t>
            </w:r>
          </w:p>
          <w:p w14:paraId="54BFD611" w14:textId="77777777" w:rsidR="008C76E0" w:rsidRPr="008C76E0" w:rsidRDefault="008C76E0" w:rsidP="008C76E0">
            <w:pPr>
              <w:pStyle w:val="Bodytext180"/>
              <w:shd w:val="clear" w:color="auto" w:fill="auto"/>
              <w:tabs>
                <w:tab w:val="left" w:pos="587"/>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Վերլուծության մեթոդը չի փոփոխվել (օրինակ՝ սյունակի երկարության կամ ջերմաստիճանի փոփոխությունը, բայց ոչ սյունակի այլ տեսակը կամ մեթոդը):</w:t>
            </w:r>
          </w:p>
          <w:p w14:paraId="5E843DF0" w14:textId="77777777" w:rsidR="008C76E0" w:rsidRPr="008C76E0" w:rsidRDefault="008C76E0" w:rsidP="008C76E0">
            <w:pPr>
              <w:pStyle w:val="Bodytext180"/>
              <w:shd w:val="clear" w:color="auto" w:fill="auto"/>
              <w:tabs>
                <w:tab w:val="left" w:pos="587"/>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Փորձարկման մեթոդը կենսաբանական (իմունաբանական, իմունաքիմիական) կամ այնպիսի մեթոդ չէ, որի դեպքում կենսաբանորեն ակտիվ դեղագործական բաղադրամասի համար կենսաբանական ռեակտիվ է օգտագործվում (բացառությամբ ստանդարտ դեղագրքային միկրոկենսաբանական մեթոդների):</w:t>
            </w:r>
          </w:p>
          <w:p w14:paraId="12491262" w14:textId="77777777" w:rsidR="008C76E0" w:rsidRPr="008C76E0" w:rsidRDefault="008C76E0" w:rsidP="008C76E0">
            <w:pPr>
              <w:pStyle w:val="Bodytext180"/>
              <w:shd w:val="clear" w:color="auto" w:fill="auto"/>
              <w:tabs>
                <w:tab w:val="left" w:pos="587"/>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մեթոդների կամ ստանդարտ մեթոդների վրա, որոնք օգտագործվում են նորովի:</w:t>
            </w:r>
          </w:p>
          <w:p w14:paraId="1852E630" w14:textId="77777777" w:rsidR="008C76E0" w:rsidRPr="008C76E0" w:rsidRDefault="008C76E0" w:rsidP="008C76E0">
            <w:pPr>
              <w:pStyle w:val="Bodytext180"/>
              <w:shd w:val="clear" w:color="auto" w:fill="auto"/>
              <w:tabs>
                <w:tab w:val="left" w:pos="587"/>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կենսաբանական (իմունաբանական) չէ:</w:t>
            </w:r>
          </w:p>
          <w:p w14:paraId="3F5575D6" w14:textId="77777777" w:rsidR="008C76E0" w:rsidRPr="008C76E0" w:rsidRDefault="008C76E0" w:rsidP="008C76E0">
            <w:pPr>
              <w:pStyle w:val="Bodytext180"/>
              <w:shd w:val="clear" w:color="auto" w:fill="auto"/>
              <w:tabs>
                <w:tab w:val="left" w:pos="587"/>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Արդեն հաստատվել է մասնագրի պարամետրի համար այլընտրանքային վերլուծական մեթոդիկան, ընդ որում, նման մեթոդիկան չի ներառվել IA (IA</w:t>
            </w:r>
            <w:r w:rsidRPr="003B2786">
              <w:rPr>
                <w:rStyle w:val="Bodytext1811pt"/>
                <w:rFonts w:ascii="Sylfaen" w:hAnsi="Sylfaen"/>
                <w:sz w:val="24"/>
                <w:szCs w:val="24"/>
                <w:vertAlign w:val="subscript"/>
              </w:rPr>
              <w:t>ԱՊ</w:t>
            </w:r>
            <w:r w:rsidRPr="003B2786">
              <w:rPr>
                <w:rStyle w:val="Bodytext1811pt"/>
                <w:rFonts w:ascii="Sylfaen" w:hAnsi="Sylfaen"/>
                <w:sz w:val="24"/>
                <w:szCs w:val="24"/>
              </w:rPr>
              <w:t>) ծանուցման միջոցով:</w:t>
            </w:r>
          </w:p>
        </w:tc>
      </w:tr>
      <w:tr w:rsidR="008C76E0" w:rsidRPr="003B2786" w14:paraId="4C7B60FD"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112AA56" w14:textId="77777777" w:rsidR="008C76E0" w:rsidRPr="008C76E0" w:rsidRDefault="008C76E0" w:rsidP="008C76E0">
            <w:pPr>
              <w:pStyle w:val="Bodytext180"/>
              <w:shd w:val="clear" w:color="auto" w:fill="auto"/>
              <w:tabs>
                <w:tab w:val="left" w:pos="587"/>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41D8215" w14:textId="77777777" w:rsidR="008C76E0" w:rsidRPr="008C76E0" w:rsidRDefault="008C76E0" w:rsidP="008C76E0">
            <w:pPr>
              <w:pStyle w:val="Bodytext180"/>
              <w:shd w:val="clear" w:color="auto" w:fill="auto"/>
              <w:tabs>
                <w:tab w:val="left" w:pos="587"/>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բաժնի (բաժինների) ուղղումը, ներառյալ՝ վերլուծական մեթոդիկայի նկարագրությունը, վալիդացման տվյալների ռեզյումեն, խառնուրդի վերանայված մասնագրերը (եթե կիրառելի է):</w:t>
            </w:r>
          </w:p>
          <w:p w14:paraId="7B141520" w14:textId="77777777" w:rsidR="008C76E0" w:rsidRPr="008C76E0" w:rsidRDefault="008C76E0" w:rsidP="008C76E0">
            <w:pPr>
              <w:pStyle w:val="Bodytext180"/>
              <w:shd w:val="clear" w:color="auto" w:fill="auto"/>
              <w:tabs>
                <w:tab w:val="left" w:pos="587"/>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համեմատական արդյունքները կամ հիմնավորման դեպքում՝ վերլուծության համեմատական արդյունքները, որոնք հաստատում են, որ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փորձարկումները համարժեք են: Սույն պահանջը չի կիրառվում, եթե ավելացվում է նոր վերլուծական մեթոդիկա:</w:t>
            </w:r>
          </w:p>
        </w:tc>
      </w:tr>
      <w:tr w:rsidR="008C76E0" w:rsidRPr="003B2786" w14:paraId="48CF0879" w14:textId="77777777" w:rsidTr="008C76E0">
        <w:trPr>
          <w:gridAfter w:val="1"/>
          <w:wAfter w:w="14" w:type="dxa"/>
          <w:jc w:val="center"/>
        </w:trPr>
        <w:tc>
          <w:tcPr>
            <w:tcW w:w="10387" w:type="dxa"/>
            <w:gridSpan w:val="14"/>
            <w:tcBorders>
              <w:top w:val="single" w:sz="4" w:space="0" w:color="auto"/>
            </w:tcBorders>
            <w:shd w:val="clear" w:color="auto" w:fill="FFFFFF"/>
            <w:vAlign w:val="bottom"/>
          </w:tcPr>
          <w:p w14:paraId="3444A732" w14:textId="77777777" w:rsidR="008C76E0" w:rsidRPr="008C76E0" w:rsidRDefault="008C76E0" w:rsidP="008C76E0">
            <w:pPr>
              <w:pStyle w:val="Bodytext180"/>
              <w:shd w:val="clear" w:color="auto" w:fill="auto"/>
              <w:tabs>
                <w:tab w:val="left" w:pos="587"/>
              </w:tabs>
              <w:spacing w:before="0" w:after="120" w:line="240" w:lineRule="auto"/>
              <w:ind w:left="39" w:right="44" w:firstLine="0"/>
              <w:jc w:val="both"/>
              <w:rPr>
                <w:rFonts w:ascii="Sylfaen" w:hAnsi="Sylfaen"/>
                <w:i/>
                <w:sz w:val="24"/>
                <w:szCs w:val="24"/>
                <w:lang w:val="hy-AM"/>
              </w:rPr>
            </w:pPr>
            <w:r w:rsidRPr="003B2786">
              <w:rPr>
                <w:rStyle w:val="Bodytext295pt"/>
                <w:rFonts w:ascii="Sylfaen" w:hAnsi="Sylfaen"/>
                <w:sz w:val="24"/>
                <w:szCs w:val="24"/>
              </w:rPr>
              <w:t>Բ.I.գ)</w:t>
            </w:r>
            <w:r w:rsidRPr="003B2786">
              <w:rPr>
                <w:rStyle w:val="Bodytext295pt"/>
                <w:rFonts w:ascii="Sylfaen" w:hAnsi="Sylfaen"/>
                <w:sz w:val="24"/>
                <w:szCs w:val="24"/>
              </w:rPr>
              <w:tab/>
              <w:t>Փաթեթավորման-խցանափակման համակարգը</w:t>
            </w:r>
          </w:p>
        </w:tc>
      </w:tr>
      <w:tr w:rsidR="008C76E0" w:rsidRPr="003B2786" w14:paraId="3C0D8D1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984E598" w14:textId="77777777" w:rsidR="008C76E0" w:rsidRPr="008C76E0" w:rsidRDefault="008C76E0" w:rsidP="008C76E0">
            <w:pPr>
              <w:pStyle w:val="Bodytext180"/>
              <w:shd w:val="clear" w:color="auto" w:fill="auto"/>
              <w:tabs>
                <w:tab w:val="left" w:pos="587"/>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Բ.I.գ.1.</w:t>
            </w:r>
            <w:r w:rsidRPr="003B2786">
              <w:rPr>
                <w:rStyle w:val="Bodytext1811pt"/>
                <w:rFonts w:ascii="Sylfaen" w:hAnsi="Sylfaen"/>
                <w:sz w:val="24"/>
                <w:szCs w:val="24"/>
              </w:rPr>
              <w:tab/>
              <w:t>Ակտիվ դեղագործական բաղադրամասի առաջնային փաթեթվածքի փոփոխությունը</w:t>
            </w:r>
          </w:p>
        </w:tc>
        <w:tc>
          <w:tcPr>
            <w:tcW w:w="1655" w:type="dxa"/>
            <w:gridSpan w:val="3"/>
            <w:tcBorders>
              <w:top w:val="single" w:sz="4" w:space="0" w:color="auto"/>
              <w:left w:val="single" w:sz="4" w:space="0" w:color="auto"/>
            </w:tcBorders>
            <w:shd w:val="clear" w:color="auto" w:fill="FFFFFF"/>
          </w:tcPr>
          <w:p w14:paraId="0A68D7AE"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7326F16B"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38089374"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4E84496"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EEAEE9E" w14:textId="77777777" w:rsidR="008C76E0" w:rsidRPr="008C76E0" w:rsidRDefault="008C76E0" w:rsidP="008C76E0">
            <w:pPr>
              <w:pStyle w:val="Bodytext180"/>
              <w:shd w:val="clear" w:color="auto" w:fill="auto"/>
              <w:tabs>
                <w:tab w:val="left" w:pos="587"/>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քանակական բաղադրությունը</w:t>
            </w:r>
          </w:p>
        </w:tc>
        <w:tc>
          <w:tcPr>
            <w:tcW w:w="1655" w:type="dxa"/>
            <w:gridSpan w:val="3"/>
            <w:tcBorders>
              <w:top w:val="single" w:sz="4" w:space="0" w:color="auto"/>
              <w:left w:val="single" w:sz="4" w:space="0" w:color="auto"/>
            </w:tcBorders>
            <w:shd w:val="clear" w:color="auto" w:fill="FFFFFF"/>
          </w:tcPr>
          <w:p w14:paraId="45D10AE0"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1, 2, 3</w:t>
            </w:r>
          </w:p>
        </w:tc>
        <w:tc>
          <w:tcPr>
            <w:tcW w:w="2042" w:type="dxa"/>
            <w:gridSpan w:val="3"/>
            <w:tcBorders>
              <w:top w:val="single" w:sz="4" w:space="0" w:color="auto"/>
              <w:left w:val="single" w:sz="4" w:space="0" w:color="auto"/>
            </w:tcBorders>
            <w:shd w:val="clear" w:color="auto" w:fill="FFFFFF"/>
          </w:tcPr>
          <w:p w14:paraId="7F9B075E"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1, 2, 3, 4, 6</w:t>
            </w:r>
          </w:p>
        </w:tc>
        <w:tc>
          <w:tcPr>
            <w:tcW w:w="2098" w:type="dxa"/>
            <w:gridSpan w:val="3"/>
            <w:tcBorders>
              <w:top w:val="single" w:sz="4" w:space="0" w:color="auto"/>
              <w:left w:val="single" w:sz="4" w:space="0" w:color="auto"/>
              <w:right w:val="single" w:sz="4" w:space="0" w:color="auto"/>
            </w:tcBorders>
            <w:shd w:val="clear" w:color="auto" w:fill="FFFFFF"/>
          </w:tcPr>
          <w:p w14:paraId="797692BD"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9A33712"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D9C05EE" w14:textId="77777777" w:rsidR="008C76E0" w:rsidRPr="008C76E0" w:rsidRDefault="008C76E0" w:rsidP="008C76E0">
            <w:pPr>
              <w:pStyle w:val="Bodytext180"/>
              <w:shd w:val="clear" w:color="auto" w:fill="auto"/>
              <w:tabs>
                <w:tab w:val="left" w:pos="587"/>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lastRenderedPageBreak/>
              <w:t>բ)</w:t>
            </w:r>
            <w:r w:rsidRPr="003B2786">
              <w:rPr>
                <w:rStyle w:val="Bodytext1811pt"/>
                <w:rFonts w:ascii="Sylfaen" w:hAnsi="Sylfaen"/>
                <w:sz w:val="24"/>
                <w:szCs w:val="24"/>
              </w:rPr>
              <w:tab/>
            </w:r>
            <w:r w:rsidRPr="008D0608">
              <w:rPr>
                <w:rStyle w:val="Bodytext1811pt"/>
                <w:rFonts w:ascii="Sylfaen" w:hAnsi="Sylfaen"/>
                <w:spacing w:val="-6"/>
                <w:sz w:val="24"/>
                <w:szCs w:val="24"/>
              </w:rPr>
              <w:t xml:space="preserve">Որակական </w:t>
            </w:r>
            <w:r w:rsidR="00C54D75">
              <w:rPr>
                <w:rStyle w:val="Bodytext1811pt"/>
                <w:rFonts w:ascii="Sylfaen" w:hAnsi="Sylfaen"/>
                <w:spacing w:val="-6"/>
                <w:sz w:val="24"/>
                <w:szCs w:val="24"/>
              </w:rPr>
              <w:t>և</w:t>
            </w:r>
            <w:r w:rsidRPr="008D0608">
              <w:rPr>
                <w:rStyle w:val="Bodytext1811pt"/>
                <w:rFonts w:ascii="Sylfaen" w:hAnsi="Sylfaen"/>
                <w:spacing w:val="-6"/>
                <w:sz w:val="24"/>
                <w:szCs w:val="24"/>
              </w:rPr>
              <w:t xml:space="preserve"> (կամ) քանակական բաղադրությունը՝ մանրէազերծ կամ չսառեցված կենսաբանական (իմունաբանական) ակտիվ դեղագործական բաղադրամասերի համար</w:t>
            </w:r>
          </w:p>
        </w:tc>
        <w:tc>
          <w:tcPr>
            <w:tcW w:w="1655" w:type="dxa"/>
            <w:gridSpan w:val="3"/>
            <w:tcBorders>
              <w:top w:val="single" w:sz="4" w:space="0" w:color="auto"/>
              <w:left w:val="single" w:sz="4" w:space="0" w:color="auto"/>
            </w:tcBorders>
            <w:shd w:val="clear" w:color="auto" w:fill="FFFFFF"/>
          </w:tcPr>
          <w:p w14:paraId="159C7AB1"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295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2F1B9C43"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295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51468683"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295pt"/>
                <w:rFonts w:ascii="Sylfaen" w:hAnsi="Sylfaen"/>
                <w:sz w:val="24"/>
                <w:szCs w:val="24"/>
              </w:rPr>
              <w:t>II</w:t>
            </w:r>
          </w:p>
        </w:tc>
      </w:tr>
      <w:tr w:rsidR="008C76E0" w:rsidRPr="003B2786" w14:paraId="7B4DA8E2"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bottom"/>
          </w:tcPr>
          <w:p w14:paraId="25845B19" w14:textId="77777777" w:rsidR="008C76E0" w:rsidRPr="008C76E0" w:rsidRDefault="008C76E0" w:rsidP="008C76E0">
            <w:pPr>
              <w:pStyle w:val="Bodytext180"/>
              <w:shd w:val="clear" w:color="auto" w:fill="auto"/>
              <w:tabs>
                <w:tab w:val="left" w:pos="587"/>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Հեղուկ ակտիվ դեղագործական բաղադրամասերը (ոչ մանրէազերծ)</w:t>
            </w:r>
          </w:p>
        </w:tc>
        <w:tc>
          <w:tcPr>
            <w:tcW w:w="1655" w:type="dxa"/>
            <w:gridSpan w:val="3"/>
            <w:tcBorders>
              <w:top w:val="single" w:sz="4" w:space="0" w:color="auto"/>
              <w:left w:val="single" w:sz="4" w:space="0" w:color="auto"/>
              <w:bottom w:val="single" w:sz="4" w:space="0" w:color="auto"/>
            </w:tcBorders>
            <w:shd w:val="clear" w:color="auto" w:fill="FFFFFF"/>
          </w:tcPr>
          <w:p w14:paraId="61A79257"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295pt"/>
                <w:rFonts w:ascii="Sylfaen" w:hAnsi="Sylfaen"/>
                <w:sz w:val="24"/>
                <w:szCs w:val="24"/>
              </w:rPr>
              <w:t>-</w:t>
            </w:r>
          </w:p>
        </w:tc>
        <w:tc>
          <w:tcPr>
            <w:tcW w:w="2042" w:type="dxa"/>
            <w:gridSpan w:val="3"/>
            <w:tcBorders>
              <w:top w:val="single" w:sz="4" w:space="0" w:color="auto"/>
              <w:left w:val="single" w:sz="4" w:space="0" w:color="auto"/>
              <w:bottom w:val="single" w:sz="4" w:space="0" w:color="auto"/>
            </w:tcBorders>
            <w:shd w:val="clear" w:color="auto" w:fill="FFFFFF"/>
          </w:tcPr>
          <w:p w14:paraId="74A5FFA6"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1, 2, 3, 5, 6</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1F4D80A9"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295pt"/>
                <w:rFonts w:ascii="Sylfaen" w:hAnsi="Sylfaen"/>
                <w:sz w:val="24"/>
                <w:szCs w:val="24"/>
              </w:rPr>
              <w:t>IB</w:t>
            </w:r>
          </w:p>
        </w:tc>
      </w:tr>
      <w:tr w:rsidR="008C76E0" w:rsidRPr="003B2786" w14:paraId="116386BE"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6D54EFF8"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E86DF52"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Համապատասխան հատկություններով առաջարկվող փաթեթավորման նյութը պետք է առնվազն համարժեք լինի հաստատվածին:</w:t>
            </w:r>
          </w:p>
          <w:p w14:paraId="47325216"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Սկսվել են կայունության համապատասխան հետազոտությունները՝ Միության փաստաթղթերին համապատասխան, </w:t>
            </w:r>
            <w:r w:rsidR="00C54D75">
              <w:rPr>
                <w:rStyle w:val="Bodytext1811pt"/>
                <w:rFonts w:ascii="Sylfaen" w:hAnsi="Sylfaen"/>
                <w:sz w:val="24"/>
                <w:szCs w:val="24"/>
              </w:rPr>
              <w:t>և</w:t>
            </w:r>
            <w:r w:rsidRPr="003B2786">
              <w:rPr>
                <w:rStyle w:val="Bodytext1811pt"/>
                <w:rFonts w:ascii="Sylfaen" w:hAnsi="Sylfaen"/>
                <w:sz w:val="24"/>
                <w:szCs w:val="24"/>
              </w:rPr>
              <w:t xml:space="preserve"> հայտատուի կողմից փոփոխությունների ներմուծման պահին վերլուծվել են առնվազն 2 փորձարարաարդյունաբերական կամ արդյունաբերական սերիաների համապատասխան կայունության պարամետրերը, նրա տրամադրության տակ կան կայունության ուսումնասիրության առնվազն եռամսյա բավարար արդյունքներ: Սակայն, եթե առաջարկվող փաթեթվածքը գրանցվածի համեմատ առավել կայուն է, ապա կայունության գծով եռամսյա տվյալներ չեն պահանջվում: Նման հետազոտությունների ավարտին, եթե արդյունքները չեն տեղավորվում մասնագրերում կամ պոտենցիալ կերպով չեն կարող տեղավորվել մասնագրերում պիտանիության ժամկետի (կրկնակի փորձարկման ժամկետի) ավարտին, ապա դրանք գործողությունների առաջարկվող պլանի հետ միասին պետք է անհապաղ ներկայացվեն լիազորված մարմին:</w:t>
            </w:r>
          </w:p>
          <w:p w14:paraId="7083F539"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Բացառելով մանրէազերծ, հեղուկ </w:t>
            </w:r>
            <w:r w:rsidR="00C54D75">
              <w:rPr>
                <w:rStyle w:val="Bodytext1811pt"/>
                <w:rFonts w:ascii="Sylfaen" w:hAnsi="Sylfaen"/>
                <w:sz w:val="24"/>
                <w:szCs w:val="24"/>
              </w:rPr>
              <w:t>և</w:t>
            </w:r>
            <w:r w:rsidRPr="003B2786">
              <w:rPr>
                <w:rStyle w:val="Bodytext1811pt"/>
                <w:rFonts w:ascii="Sylfaen" w:hAnsi="Sylfaen"/>
                <w:sz w:val="24"/>
                <w:szCs w:val="24"/>
              </w:rPr>
              <w:t xml:space="preserve"> կենսաբանական (իմունաբանական) ակտիվ դեղագործական բաղադրամասերը:</w:t>
            </w:r>
          </w:p>
        </w:tc>
      </w:tr>
      <w:tr w:rsidR="008C76E0" w:rsidRPr="003B2786" w14:paraId="3BC8C3C2"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3234E464"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22AA11A"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w:t>
            </w:r>
          </w:p>
          <w:p w14:paraId="287334F1"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Նոր փաթեթվածքի մասին անհրաժեշտ տեղեկությունները (օրինակ՝ О</w:t>
            </w:r>
            <w:r w:rsidRPr="003B2786">
              <w:rPr>
                <w:rStyle w:val="Bodytext1811pt"/>
                <w:rFonts w:ascii="Sylfaen" w:hAnsi="Sylfaen"/>
                <w:sz w:val="24"/>
                <w:szCs w:val="24"/>
                <w:vertAlign w:val="subscript"/>
              </w:rPr>
              <w:t>2</w:t>
            </w:r>
            <w:r w:rsidRPr="003B2786">
              <w:rPr>
                <w:rStyle w:val="Bodytext1811pt"/>
                <w:rFonts w:ascii="Sylfaen" w:hAnsi="Sylfaen"/>
                <w:sz w:val="24"/>
                <w:szCs w:val="24"/>
              </w:rPr>
              <w:t>-ի, СО</w:t>
            </w:r>
            <w:r w:rsidRPr="003B2786">
              <w:rPr>
                <w:rStyle w:val="Bodytext1811pt"/>
                <w:rFonts w:ascii="Sylfaen" w:hAnsi="Sylfaen"/>
                <w:sz w:val="24"/>
                <w:szCs w:val="24"/>
                <w:vertAlign w:val="subscript"/>
              </w:rPr>
              <w:t>2</w:t>
            </w:r>
            <w:r w:rsidRPr="003B2786">
              <w:rPr>
                <w:rStyle w:val="Bodytext1811pt"/>
                <w:rFonts w:ascii="Sylfaen" w:hAnsi="Sylfaen"/>
                <w:sz w:val="24"/>
                <w:szCs w:val="24"/>
              </w:rPr>
              <w:t xml:space="preserve">-ի, խոնավության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այլնի համար թափանցելիության համեմատական տվյալները), ներառյալ հաստատումն այն բանի, որ նյութը համապատասխանում է համապատասխան դեղագրքային պահանջներին կամ սննդամթերքի հետ շփման մեջ մտնող պլաստիկ նյութերի </w:t>
            </w:r>
            <w:r w:rsidR="00C54D75">
              <w:rPr>
                <w:rStyle w:val="Bodytext1811pt"/>
                <w:rFonts w:ascii="Sylfaen" w:hAnsi="Sylfaen"/>
                <w:sz w:val="24"/>
                <w:szCs w:val="24"/>
              </w:rPr>
              <w:t>և</w:t>
            </w:r>
            <w:r w:rsidRPr="003B2786">
              <w:rPr>
                <w:rStyle w:val="Bodytext1811pt"/>
                <w:rFonts w:ascii="Sylfaen" w:hAnsi="Sylfaen"/>
                <w:sz w:val="24"/>
                <w:szCs w:val="24"/>
              </w:rPr>
              <w:t xml:space="preserve"> օբյեկտների մասին Միության օրենսդրությանը: </w:t>
            </w:r>
          </w:p>
          <w:p w14:paraId="66C2DADD"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անհրաժեշտ է տրամադրել հաստատումն այն բանի, որ պարունակության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փաթեթավորման նյութի միջ</w:t>
            </w:r>
            <w:r w:rsidR="00C54D75">
              <w:rPr>
                <w:rStyle w:val="Bodytext1811pt"/>
                <w:rFonts w:ascii="Sylfaen" w:hAnsi="Sylfaen"/>
                <w:sz w:val="24"/>
                <w:szCs w:val="24"/>
              </w:rPr>
              <w:t>և</w:t>
            </w:r>
            <w:r w:rsidRPr="003B2786">
              <w:rPr>
                <w:rStyle w:val="Bodytext1811pt"/>
                <w:rFonts w:ascii="Sylfaen" w:hAnsi="Sylfaen"/>
                <w:sz w:val="24"/>
                <w:szCs w:val="24"/>
              </w:rPr>
              <w:t xml:space="preserve"> փոխազդեցություն տեղի չի ունենում (օրինակ՝ բացակայում է առաջարկվող նյութի բաղադրիչների տեղափոխումը դրա պարունակության մեջ, դեղապատրաստուկի բաղադրիչները չեն փոխանցվում փաթեթվածք), ներառյալ՝ հաստատումն այն մասին, որ նյութը համապատասխանում է համապատասխան դեղագրքային պահանջներին կամ սննդամթերքի հետ շփման մեջ մտնող պլաստիկ նյութերի </w:t>
            </w:r>
            <w:r w:rsidR="00C54D75">
              <w:rPr>
                <w:rStyle w:val="Bodytext1811pt"/>
                <w:rFonts w:ascii="Sylfaen" w:hAnsi="Sylfaen"/>
                <w:sz w:val="24"/>
                <w:szCs w:val="24"/>
              </w:rPr>
              <w:t>և</w:t>
            </w:r>
            <w:r w:rsidRPr="003B2786">
              <w:rPr>
                <w:rStyle w:val="Bodytext1811pt"/>
                <w:rFonts w:ascii="Sylfaen" w:hAnsi="Sylfaen"/>
                <w:sz w:val="24"/>
                <w:szCs w:val="24"/>
              </w:rPr>
              <w:t xml:space="preserve"> օբյեկտների մասին Միության օրենսդրությանը:</w:t>
            </w:r>
          </w:p>
          <w:p w14:paraId="5C533DE7"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Գրանցման հավաստագրի իրավատիրոջ կամ ԱԴՆՄՖ-ի իրավատիրոջ հայտարարագիրն այն մասին, որ կայունության պահանջվող ուսումնասիրություններն սկսվել են Միության </w:t>
            </w:r>
            <w:r w:rsidRPr="003B2786">
              <w:rPr>
                <w:rStyle w:val="Bodytext1811pt"/>
                <w:rFonts w:ascii="Sylfaen" w:hAnsi="Sylfaen"/>
                <w:sz w:val="24"/>
                <w:szCs w:val="24"/>
              </w:rPr>
              <w:lastRenderedPageBreak/>
              <w:t xml:space="preserve">փաստաթղթերին համապատասխան (սերիաների համարների նշումով), </w:t>
            </w:r>
            <w:r w:rsidR="00C54D75">
              <w:rPr>
                <w:rStyle w:val="Bodytext1811pt"/>
                <w:rFonts w:ascii="Sylfaen" w:hAnsi="Sylfaen"/>
                <w:sz w:val="24"/>
                <w:szCs w:val="24"/>
              </w:rPr>
              <w:t>և</w:t>
            </w:r>
            <w:r w:rsidRPr="003B2786">
              <w:rPr>
                <w:rStyle w:val="Bodytext1811pt"/>
                <w:rFonts w:ascii="Sylfaen" w:hAnsi="Sylfaen"/>
                <w:sz w:val="24"/>
                <w:szCs w:val="24"/>
              </w:rPr>
              <w:t xml:space="preserve"> որ (համապատասխան դեպքերում) փոփոխությունների ներմուծման պահին նրա տրամադրության տակ եղել են կայունության գծով պահանջվող նվազագույն բավարար տվյալներ, </w:t>
            </w:r>
            <w:r w:rsidR="00C54D75">
              <w:rPr>
                <w:rStyle w:val="Bodytext1811pt"/>
                <w:rFonts w:ascii="Sylfaen" w:hAnsi="Sylfaen"/>
                <w:sz w:val="24"/>
                <w:szCs w:val="24"/>
              </w:rPr>
              <w:t>և</w:t>
            </w:r>
            <w:r w:rsidRPr="003B2786">
              <w:rPr>
                <w:rStyle w:val="Bodytext1811pt"/>
                <w:rFonts w:ascii="Sylfaen" w:hAnsi="Sylfaen"/>
                <w:sz w:val="24"/>
                <w:szCs w:val="24"/>
              </w:rPr>
              <w:t xml:space="preserve"> որ առկա տվյալները չեն վկայել որ</w:t>
            </w:r>
            <w:r w:rsidR="00C54D75">
              <w:rPr>
                <w:rStyle w:val="Bodytext1811pt"/>
                <w:rFonts w:ascii="Sylfaen" w:hAnsi="Sylfaen"/>
                <w:sz w:val="24"/>
                <w:szCs w:val="24"/>
              </w:rPr>
              <w:t>և</w:t>
            </w:r>
            <w:r w:rsidRPr="003B2786">
              <w:rPr>
                <w:rStyle w:val="Bodytext1811pt"/>
                <w:rFonts w:ascii="Sylfaen" w:hAnsi="Sylfaen"/>
                <w:sz w:val="24"/>
                <w:szCs w:val="24"/>
              </w:rPr>
              <w:t>է խնդրի մասին: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տրամադրել հաստատումն այն բանի, որ ուսումնասիրությունները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չտեղավորվեն մասնագրերում կամ պոտենցիալ կերպով չեն կարող տեղավորվել մասնագրերում պիտանիության ժամկետի ավարտին (կրկնակի փորձարկման ժամկետի), ապա դրանք գործողությունների առաջարկվող պլանի հետ միասին անհապաղ կներկայացվեն լիազորված մարմին:</w:t>
            </w:r>
          </w:p>
          <w:p w14:paraId="007ABD29"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Կայունության նշանակալի պարամետրերով առնվազն փորձարարաարդյունաբերական կամ արդյունաբերական սերիաների նկատմամբ 3 ամսից ոչ պակաս տ</w:t>
            </w:r>
            <w:r w:rsidR="00C54D75">
              <w:rPr>
                <w:rStyle w:val="Bodytext1811pt"/>
                <w:rFonts w:ascii="Sylfaen" w:hAnsi="Sylfaen"/>
                <w:sz w:val="24"/>
                <w:szCs w:val="24"/>
              </w:rPr>
              <w:t>և</w:t>
            </w:r>
            <w:r w:rsidRPr="003B2786">
              <w:rPr>
                <w:rStyle w:val="Bodytext1811pt"/>
                <w:rFonts w:ascii="Sylfaen" w:hAnsi="Sylfaen"/>
                <w:sz w:val="24"/>
                <w:szCs w:val="24"/>
              </w:rPr>
              <w:t xml:space="preserve">ողությամբ՝ Միության իրավունքի մաս կազմող ակտերի պահանջներին համապատասխան անցկացված կայունության ուսումնասիրությունների արդյունքները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հաստատումն այն բանի, որ նշված ուսումնասիրությունները կավարտվեն, իսկ եթե արդյունքները տեղավորվեն մասնագրերում կամ պոտենցիալ կերպով կարող են չտեղավորվել մասնագրերում պիտանիության ժամկետի ավարտին (կրկնակի փորձարկման շրջանի), ապա դրանք գործողությունների առաջարկվող պլանի հետ միասին անհապաղ կներկայացվեն լիազորված մարմին:</w:t>
            </w:r>
          </w:p>
          <w:p w14:paraId="7FB77321" w14:textId="77777777" w:rsidR="008C76E0" w:rsidRPr="008C76E0" w:rsidRDefault="008C76E0" w:rsidP="008C76E0">
            <w:pPr>
              <w:pStyle w:val="Bodytext180"/>
              <w:shd w:val="clear" w:color="auto" w:fill="auto"/>
              <w:tabs>
                <w:tab w:val="left" w:pos="546"/>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Առաջնային փաթեթվածքի գործող կամ առաջարկվող մասնագրերի համեմատությունը (եթե կիրառելի է):</w:t>
            </w:r>
          </w:p>
        </w:tc>
      </w:tr>
      <w:tr w:rsidR="008C76E0" w:rsidRPr="003B2786" w14:paraId="4B91CC00"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00AB7C7" w14:textId="77777777" w:rsidR="008C76E0" w:rsidRPr="008C76E0" w:rsidRDefault="008C76E0" w:rsidP="008C76E0">
            <w:pPr>
              <w:pStyle w:val="Bodytext180"/>
              <w:shd w:val="clear" w:color="auto" w:fill="auto"/>
              <w:tabs>
                <w:tab w:val="left" w:pos="54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lastRenderedPageBreak/>
              <w:t>Բ.I.գ.2.</w:t>
            </w:r>
            <w:r w:rsidRPr="003B2786">
              <w:rPr>
                <w:rStyle w:val="Bodytext1811pt"/>
                <w:rFonts w:ascii="Sylfaen" w:hAnsi="Sylfaen"/>
                <w:sz w:val="24"/>
                <w:szCs w:val="24"/>
              </w:rPr>
              <w:tab/>
              <w:t xml:space="preserve">Ակտիվ դեղագործական բաղադրամասի մասնագրի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առաջնային փաթեթվածքի ընդունելիության չափորոշիչների պարամետրերի փոփոխությունը</w:t>
            </w:r>
          </w:p>
        </w:tc>
        <w:tc>
          <w:tcPr>
            <w:tcW w:w="1655" w:type="dxa"/>
            <w:gridSpan w:val="3"/>
            <w:tcBorders>
              <w:top w:val="single" w:sz="4" w:space="0" w:color="auto"/>
              <w:left w:val="single" w:sz="4" w:space="0" w:color="auto"/>
            </w:tcBorders>
            <w:shd w:val="clear" w:color="auto" w:fill="FFFFFF"/>
          </w:tcPr>
          <w:p w14:paraId="5639200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688E014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2AD514F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F59CA04"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34C0367" w14:textId="77777777" w:rsidR="008C76E0" w:rsidRPr="008C76E0" w:rsidRDefault="008C76E0" w:rsidP="008C76E0">
            <w:pPr>
              <w:pStyle w:val="Bodytext180"/>
              <w:shd w:val="clear" w:color="auto" w:fill="auto"/>
              <w:tabs>
                <w:tab w:val="left" w:pos="54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մասնագրի ընդունելիության չափորոշիչների խստացումը</w:t>
            </w:r>
          </w:p>
        </w:tc>
        <w:tc>
          <w:tcPr>
            <w:tcW w:w="1655" w:type="dxa"/>
            <w:gridSpan w:val="3"/>
            <w:tcBorders>
              <w:top w:val="single" w:sz="4" w:space="0" w:color="auto"/>
              <w:left w:val="single" w:sz="4" w:space="0" w:color="auto"/>
            </w:tcBorders>
            <w:shd w:val="clear" w:color="auto" w:fill="FFFFFF"/>
          </w:tcPr>
          <w:p w14:paraId="062B536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42" w:type="dxa"/>
            <w:gridSpan w:val="3"/>
            <w:tcBorders>
              <w:top w:val="single" w:sz="4" w:space="0" w:color="auto"/>
              <w:left w:val="single" w:sz="4" w:space="0" w:color="auto"/>
            </w:tcBorders>
            <w:shd w:val="clear" w:color="auto" w:fill="FFFFFF"/>
          </w:tcPr>
          <w:p w14:paraId="472A2BE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37E2B58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284111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center"/>
          </w:tcPr>
          <w:p w14:paraId="02A7BF1E" w14:textId="77777777" w:rsidR="008C76E0" w:rsidRPr="008C76E0" w:rsidRDefault="008C76E0" w:rsidP="008C76E0">
            <w:pPr>
              <w:pStyle w:val="Bodytext180"/>
              <w:shd w:val="clear" w:color="auto" w:fill="auto"/>
              <w:tabs>
                <w:tab w:val="left" w:pos="54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մասնագրում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ավելացումը</w:t>
            </w:r>
          </w:p>
        </w:tc>
        <w:tc>
          <w:tcPr>
            <w:tcW w:w="1655" w:type="dxa"/>
            <w:gridSpan w:val="3"/>
            <w:tcBorders>
              <w:top w:val="single" w:sz="4" w:space="0" w:color="auto"/>
              <w:left w:val="single" w:sz="4" w:space="0" w:color="auto"/>
            </w:tcBorders>
            <w:shd w:val="clear" w:color="auto" w:fill="FFFFFF"/>
          </w:tcPr>
          <w:p w14:paraId="785B963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1, 2, 5</w:t>
            </w:r>
          </w:p>
        </w:tc>
        <w:tc>
          <w:tcPr>
            <w:tcW w:w="2042" w:type="dxa"/>
            <w:gridSpan w:val="3"/>
            <w:tcBorders>
              <w:top w:val="single" w:sz="4" w:space="0" w:color="auto"/>
              <w:left w:val="single" w:sz="4" w:space="0" w:color="auto"/>
            </w:tcBorders>
            <w:shd w:val="clear" w:color="auto" w:fill="FFFFFF"/>
          </w:tcPr>
          <w:p w14:paraId="6C9DF42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1, 2, 3, 4, 6</w:t>
            </w:r>
          </w:p>
        </w:tc>
        <w:tc>
          <w:tcPr>
            <w:tcW w:w="2098" w:type="dxa"/>
            <w:gridSpan w:val="3"/>
            <w:tcBorders>
              <w:top w:val="single" w:sz="4" w:space="0" w:color="auto"/>
              <w:left w:val="single" w:sz="4" w:space="0" w:color="auto"/>
              <w:right w:val="single" w:sz="4" w:space="0" w:color="auto"/>
            </w:tcBorders>
            <w:shd w:val="clear" w:color="auto" w:fill="FFFFFF"/>
          </w:tcPr>
          <w:p w14:paraId="02AB590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9F85D27"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1F8FFF71" w14:textId="77777777" w:rsidR="008C76E0" w:rsidRPr="008C76E0" w:rsidRDefault="008C76E0" w:rsidP="008C76E0">
            <w:pPr>
              <w:pStyle w:val="Bodytext180"/>
              <w:shd w:val="clear" w:color="auto" w:fill="auto"/>
              <w:tabs>
                <w:tab w:val="left" w:pos="54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մասնագրի ոչ էական պարամետրի բացառումը (օրինակ՝ հնացած պարամետրի բացառումը)</w:t>
            </w:r>
          </w:p>
        </w:tc>
        <w:tc>
          <w:tcPr>
            <w:tcW w:w="1655" w:type="dxa"/>
            <w:gridSpan w:val="3"/>
            <w:tcBorders>
              <w:top w:val="single" w:sz="4" w:space="0" w:color="auto"/>
              <w:left w:val="single" w:sz="4" w:space="0" w:color="auto"/>
            </w:tcBorders>
            <w:shd w:val="clear" w:color="auto" w:fill="FFFFFF"/>
          </w:tcPr>
          <w:p w14:paraId="72474DF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42" w:type="dxa"/>
            <w:gridSpan w:val="3"/>
            <w:tcBorders>
              <w:top w:val="single" w:sz="4" w:space="0" w:color="auto"/>
              <w:left w:val="single" w:sz="4" w:space="0" w:color="auto"/>
            </w:tcBorders>
            <w:shd w:val="clear" w:color="auto" w:fill="FFFFFF"/>
          </w:tcPr>
          <w:p w14:paraId="3487C11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1, 2, 5</w:t>
            </w:r>
          </w:p>
        </w:tc>
        <w:tc>
          <w:tcPr>
            <w:tcW w:w="2098" w:type="dxa"/>
            <w:gridSpan w:val="3"/>
            <w:tcBorders>
              <w:top w:val="single" w:sz="4" w:space="0" w:color="auto"/>
              <w:left w:val="single" w:sz="4" w:space="0" w:color="auto"/>
              <w:right w:val="single" w:sz="4" w:space="0" w:color="auto"/>
            </w:tcBorders>
            <w:shd w:val="clear" w:color="auto" w:fill="FFFFFF"/>
          </w:tcPr>
          <w:p w14:paraId="57079BF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8F3D6D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281A8101" w14:textId="77777777" w:rsidR="008C76E0" w:rsidRPr="008C76E0" w:rsidRDefault="008C76E0" w:rsidP="008C76E0">
            <w:pPr>
              <w:pStyle w:val="Bodytext180"/>
              <w:shd w:val="clear" w:color="auto" w:fill="auto"/>
              <w:tabs>
                <w:tab w:val="left" w:pos="54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մասնագրերի պարամետրերի ավելացումը կամ փոխարինումը՝ անվտանգության կամ որակի նկատառումներից ելնելով</w:t>
            </w:r>
          </w:p>
        </w:tc>
        <w:tc>
          <w:tcPr>
            <w:tcW w:w="1655" w:type="dxa"/>
            <w:gridSpan w:val="3"/>
            <w:tcBorders>
              <w:top w:val="single" w:sz="4" w:space="0" w:color="auto"/>
              <w:left w:val="single" w:sz="4" w:space="0" w:color="auto"/>
            </w:tcBorders>
            <w:shd w:val="clear" w:color="auto" w:fill="FFFFFF"/>
          </w:tcPr>
          <w:p w14:paraId="1BD3C30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25EEB2B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1, 2, 3, 4, 6</w:t>
            </w:r>
          </w:p>
        </w:tc>
        <w:tc>
          <w:tcPr>
            <w:tcW w:w="2098" w:type="dxa"/>
            <w:gridSpan w:val="3"/>
            <w:tcBorders>
              <w:top w:val="single" w:sz="4" w:space="0" w:color="auto"/>
              <w:left w:val="single" w:sz="4" w:space="0" w:color="auto"/>
              <w:right w:val="single" w:sz="4" w:space="0" w:color="auto"/>
            </w:tcBorders>
            <w:shd w:val="clear" w:color="auto" w:fill="FFFFFF"/>
          </w:tcPr>
          <w:p w14:paraId="514A42D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3610A05"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2D86365F" w14:textId="77777777" w:rsidR="008C76E0" w:rsidRPr="008C76E0" w:rsidRDefault="008C76E0" w:rsidP="008C76E0">
            <w:pPr>
              <w:pStyle w:val="Bodytext180"/>
              <w:shd w:val="clear" w:color="auto" w:fill="auto"/>
              <w:tabs>
                <w:tab w:val="left" w:pos="532"/>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0E0B7CD" w14:textId="77777777" w:rsidR="008C76E0" w:rsidRPr="008C76E0" w:rsidRDefault="008C76E0" w:rsidP="008C76E0">
            <w:pPr>
              <w:pStyle w:val="Bodytext180"/>
              <w:shd w:val="clear" w:color="auto" w:fill="auto"/>
              <w:tabs>
                <w:tab w:val="left" w:pos="532"/>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մասնագրի ընդունելիության չափորոշիչների վերլուծության նպատակով նախկինում անցկացված փորձաքննության արդյունքներով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 xml:space="preserve">անք չէ (օրինակ՝ դեղապատրաստուկի գրանցման կամ II տիպի </w:t>
            </w:r>
            <w:r w:rsidRPr="003B2786">
              <w:rPr>
                <w:rStyle w:val="Bodytext1811pt"/>
                <w:rFonts w:ascii="Sylfaen" w:hAnsi="Sylfaen"/>
                <w:sz w:val="24"/>
                <w:szCs w:val="24"/>
              </w:rPr>
              <w:lastRenderedPageBreak/>
              <w:t xml:space="preserve">փոփոխությունների ներմուծման ընթացքում), եթե միայն այն նախկինում չի քննարկվել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հաստատվել որպես հետագա դիտարկման միջոց:</w:t>
            </w:r>
          </w:p>
          <w:p w14:paraId="17F7EC6C" w14:textId="77777777" w:rsidR="008C76E0" w:rsidRPr="008C76E0" w:rsidRDefault="008C76E0" w:rsidP="008C76E0">
            <w:pPr>
              <w:pStyle w:val="Bodytext180"/>
              <w:shd w:val="clear" w:color="auto" w:fill="auto"/>
              <w:tabs>
                <w:tab w:val="left" w:pos="532"/>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փաթեթավորման նյութի արտադրության ընթացքում կամ ակտիվ դեղագործական բաղադրամասի պահպանման ժամանակ ծագած անկանխատեսելի իրավիճակի հետ</w:t>
            </w:r>
            <w:r w:rsidR="00C54D75">
              <w:rPr>
                <w:rStyle w:val="Bodytext1811pt"/>
                <w:rFonts w:ascii="Sylfaen" w:hAnsi="Sylfaen"/>
                <w:sz w:val="24"/>
                <w:szCs w:val="24"/>
              </w:rPr>
              <w:t>և</w:t>
            </w:r>
            <w:r w:rsidRPr="003B2786">
              <w:rPr>
                <w:rStyle w:val="Bodytext1811pt"/>
                <w:rFonts w:ascii="Sylfaen" w:hAnsi="Sylfaen"/>
                <w:sz w:val="24"/>
                <w:szCs w:val="24"/>
              </w:rPr>
              <w:t>անք չէ:</w:t>
            </w:r>
          </w:p>
          <w:p w14:paraId="1D35A083" w14:textId="77777777" w:rsidR="008C76E0" w:rsidRPr="008C76E0" w:rsidRDefault="008C76E0" w:rsidP="008C76E0">
            <w:pPr>
              <w:pStyle w:val="Bodytext180"/>
              <w:shd w:val="clear" w:color="auto" w:fill="auto"/>
              <w:tabs>
                <w:tab w:val="left" w:pos="532"/>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տեղավորվի ընդունելիության ընթացիկ հաստատված չափորոշիչների տիրույթում:</w:t>
            </w:r>
          </w:p>
          <w:p w14:paraId="2D5B7AB0" w14:textId="77777777" w:rsidR="008C76E0" w:rsidRPr="008C76E0" w:rsidRDefault="008C76E0" w:rsidP="008C76E0">
            <w:pPr>
              <w:pStyle w:val="Bodytext180"/>
              <w:shd w:val="clear" w:color="auto" w:fill="auto"/>
              <w:tabs>
                <w:tab w:val="left" w:pos="532"/>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297E7526" w14:textId="77777777" w:rsidR="008C76E0" w:rsidRPr="008C76E0" w:rsidRDefault="008C76E0" w:rsidP="008C76E0">
            <w:pPr>
              <w:pStyle w:val="Bodytext180"/>
              <w:shd w:val="clear" w:color="auto" w:fill="auto"/>
              <w:tabs>
                <w:tab w:val="left" w:pos="532"/>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ստանդարտ մեթոդների վրա, որոնք օգտագործվում են նորովի:</w:t>
            </w:r>
          </w:p>
        </w:tc>
      </w:tr>
      <w:tr w:rsidR="008C76E0" w:rsidRPr="003B2786" w14:paraId="2FE38855"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6CCA4C23"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27D7D154"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ուղղումը։</w:t>
            </w:r>
          </w:p>
          <w:p w14:paraId="1D864BAD"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4411DC40"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Ցանկացած նոր վերլուծական մեթոդիկայի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տվյալների մանրամասն նկարագրությունը (համապատասխան դեպքերում):</w:t>
            </w:r>
          </w:p>
          <w:p w14:paraId="7C3B6A20"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Փաթեթավորման նյութի 2 սերիաների վերլուծության տվյալները՝ ըստ մասնագրերի բոլոր պարամետրերի:</w:t>
            </w:r>
          </w:p>
          <w:p w14:paraId="0E633687"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Հիմնավորումը (ռիսկերի գնահատումը)՝ գրանցման հավաստագրի իրավատիրոջ կամ ԱԴՆՄՖ-ի իրավատիրոջ կողմից, որով հաստատվում է, որ ներարտադրական պարամետրը ոչ նշանակալի կամ հնացած է:</w:t>
            </w:r>
          </w:p>
          <w:p w14:paraId="0F2F97E9" w14:textId="77777777" w:rsidR="008C76E0" w:rsidRPr="008C76E0" w:rsidRDefault="008C76E0" w:rsidP="008C76E0">
            <w:pPr>
              <w:pStyle w:val="Bodytext180"/>
              <w:shd w:val="clear" w:color="auto" w:fill="auto"/>
              <w:tabs>
                <w:tab w:val="left" w:pos="532"/>
              </w:tabs>
              <w:spacing w:before="0" w:after="120" w:line="240" w:lineRule="auto"/>
              <w:ind w:left="40" w:right="44" w:firstLine="0"/>
              <w:jc w:val="both"/>
              <w:rPr>
                <w:rFonts w:ascii="Sylfaen" w:hAnsi="Sylfaen"/>
                <w:b w:val="0"/>
                <w:spacing w:val="-4"/>
                <w:sz w:val="24"/>
                <w:szCs w:val="24"/>
                <w:lang w:val="hy-AM"/>
              </w:rPr>
            </w:pPr>
            <w:r w:rsidRPr="008C76E0">
              <w:rPr>
                <w:rFonts w:ascii="Sylfaen" w:hAnsi="Sylfaen"/>
                <w:b w:val="0"/>
                <w:spacing w:val="-4"/>
                <w:sz w:val="24"/>
                <w:szCs w:val="24"/>
                <w:lang w:val="hy-AM"/>
              </w:rPr>
              <w:t xml:space="preserve">6. </w:t>
            </w:r>
            <w:r w:rsidRPr="003B2786">
              <w:rPr>
                <w:rStyle w:val="Bodytext1811pt"/>
                <w:rFonts w:ascii="Sylfaen" w:hAnsi="Sylfaen"/>
                <w:spacing w:val="-4"/>
                <w:sz w:val="24"/>
                <w:szCs w:val="24"/>
              </w:rPr>
              <w:t xml:space="preserve">Մասնագրի նոր պարամետրի </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 xml:space="preserve"> ընդունելիության նոր չափորոշիչների հիմնավորումը՝ ԳՀ-ի իրավատիրոջ կամ ԱԴՆՄՖ-ի իրավատիրոջ կողմից։ </w:t>
            </w:r>
          </w:p>
        </w:tc>
      </w:tr>
      <w:tr w:rsidR="008C76E0" w:rsidRPr="003B2786" w14:paraId="5B0EE8B6"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6F1F1AE" w14:textId="77777777" w:rsidR="008C76E0" w:rsidRPr="008C76E0" w:rsidRDefault="008C76E0" w:rsidP="008C76E0">
            <w:pPr>
              <w:pStyle w:val="Bodytext180"/>
              <w:shd w:val="clear" w:color="auto" w:fill="auto"/>
              <w:tabs>
                <w:tab w:val="left" w:pos="532"/>
                <w:tab w:val="left" w:pos="1113"/>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Բ.I.գ.З</w:t>
            </w:r>
            <w:r w:rsidRPr="003B2786">
              <w:rPr>
                <w:rStyle w:val="Bodytext1811pt"/>
                <w:rFonts w:ascii="Sylfaen" w:hAnsi="Sylfaen"/>
                <w:sz w:val="24"/>
                <w:szCs w:val="24"/>
              </w:rPr>
              <w:tab/>
              <w:t>Ակտիվ դեղագործական բաղադրամասի առաջնային փաթեթվածքի փորձարկման վերլուծական մեթոդիկայի փոփոխությունը</w:t>
            </w:r>
          </w:p>
        </w:tc>
        <w:tc>
          <w:tcPr>
            <w:tcW w:w="1655" w:type="dxa"/>
            <w:gridSpan w:val="3"/>
            <w:tcBorders>
              <w:top w:val="single" w:sz="4" w:space="0" w:color="auto"/>
              <w:left w:val="single" w:sz="4" w:space="0" w:color="auto"/>
            </w:tcBorders>
            <w:shd w:val="clear" w:color="auto" w:fill="FFFFFF"/>
          </w:tcPr>
          <w:p w14:paraId="4AD1810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624F6A5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1BB071E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607F9CD"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6026BA0" w14:textId="77777777" w:rsidR="008C76E0" w:rsidRPr="008C76E0" w:rsidRDefault="008C76E0" w:rsidP="008C76E0">
            <w:pPr>
              <w:pStyle w:val="Bodytext180"/>
              <w:shd w:val="clear" w:color="auto" w:fill="auto"/>
              <w:tabs>
                <w:tab w:val="left" w:pos="532"/>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հաստատված վերլուծական մեթոդիկայի աննշան փոփոխությունները</w:t>
            </w:r>
          </w:p>
        </w:tc>
        <w:tc>
          <w:tcPr>
            <w:tcW w:w="1655" w:type="dxa"/>
            <w:gridSpan w:val="3"/>
            <w:tcBorders>
              <w:top w:val="single" w:sz="4" w:space="0" w:color="auto"/>
              <w:left w:val="single" w:sz="4" w:space="0" w:color="auto"/>
            </w:tcBorders>
            <w:shd w:val="clear" w:color="auto" w:fill="FFFFFF"/>
          </w:tcPr>
          <w:p w14:paraId="05E7CD5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42" w:type="dxa"/>
            <w:gridSpan w:val="3"/>
            <w:tcBorders>
              <w:top w:val="single" w:sz="4" w:space="0" w:color="auto"/>
              <w:left w:val="single" w:sz="4" w:space="0" w:color="auto"/>
            </w:tcBorders>
            <w:shd w:val="clear" w:color="auto" w:fill="FFFFFF"/>
          </w:tcPr>
          <w:p w14:paraId="28BD51E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01FB055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8E1E0D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B06ED3D" w14:textId="77777777" w:rsidR="008C76E0" w:rsidRPr="008C76E0" w:rsidRDefault="008C76E0" w:rsidP="008C76E0">
            <w:pPr>
              <w:pStyle w:val="Bodytext180"/>
              <w:shd w:val="clear" w:color="auto" w:fill="auto"/>
              <w:tabs>
                <w:tab w:val="left" w:pos="532"/>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վերլուծական մեթոդիկայի այլ փոփոխությունները (ներառյալ՝ լրացումը կամ փոխարինումը)</w:t>
            </w:r>
          </w:p>
        </w:tc>
        <w:tc>
          <w:tcPr>
            <w:tcW w:w="1655" w:type="dxa"/>
            <w:gridSpan w:val="3"/>
            <w:tcBorders>
              <w:top w:val="single" w:sz="4" w:space="0" w:color="auto"/>
              <w:left w:val="single" w:sz="4" w:space="0" w:color="auto"/>
            </w:tcBorders>
            <w:shd w:val="clear" w:color="auto" w:fill="FFFFFF"/>
          </w:tcPr>
          <w:p w14:paraId="63C81DB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1, 3, 4</w:t>
            </w:r>
          </w:p>
        </w:tc>
        <w:tc>
          <w:tcPr>
            <w:tcW w:w="2042" w:type="dxa"/>
            <w:gridSpan w:val="3"/>
            <w:tcBorders>
              <w:top w:val="single" w:sz="4" w:space="0" w:color="auto"/>
              <w:left w:val="single" w:sz="4" w:space="0" w:color="auto"/>
            </w:tcBorders>
            <w:shd w:val="clear" w:color="auto" w:fill="FFFFFF"/>
          </w:tcPr>
          <w:p w14:paraId="0F29E10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54AAD60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1F2053B"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bottom"/>
          </w:tcPr>
          <w:p w14:paraId="4C7BCCE8" w14:textId="77777777" w:rsidR="008C76E0" w:rsidRPr="008C76E0" w:rsidRDefault="008C76E0" w:rsidP="008C76E0">
            <w:pPr>
              <w:pStyle w:val="Bodytext180"/>
              <w:shd w:val="clear" w:color="auto" w:fill="auto"/>
              <w:tabs>
                <w:tab w:val="left" w:pos="532"/>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վերլուծական մեթոդիկայի բացառումը, եթե դրա այլընտրանքային մեթոդիկան արդեն հաստատված է</w:t>
            </w:r>
          </w:p>
        </w:tc>
        <w:tc>
          <w:tcPr>
            <w:tcW w:w="1655" w:type="dxa"/>
            <w:gridSpan w:val="3"/>
            <w:tcBorders>
              <w:top w:val="single" w:sz="4" w:space="0" w:color="auto"/>
              <w:left w:val="single" w:sz="4" w:space="0" w:color="auto"/>
              <w:bottom w:val="single" w:sz="4" w:space="0" w:color="auto"/>
            </w:tcBorders>
            <w:shd w:val="clear" w:color="auto" w:fill="FFFFFF"/>
          </w:tcPr>
          <w:p w14:paraId="4470C59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5</w:t>
            </w:r>
          </w:p>
        </w:tc>
        <w:tc>
          <w:tcPr>
            <w:tcW w:w="2042" w:type="dxa"/>
            <w:gridSpan w:val="3"/>
            <w:tcBorders>
              <w:top w:val="single" w:sz="4" w:space="0" w:color="auto"/>
              <w:left w:val="single" w:sz="4" w:space="0" w:color="auto"/>
              <w:bottom w:val="single" w:sz="4" w:space="0" w:color="auto"/>
            </w:tcBorders>
            <w:shd w:val="clear" w:color="auto" w:fill="FFFFFF"/>
          </w:tcPr>
          <w:p w14:paraId="3558D52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2BF5DB7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8A3407F"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0CBF7277"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7970464"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Միության համապատասխան փաստաթղթերի համաձայն՝ անցկացվել է անհրաժեշտ </w:t>
            </w:r>
            <w:r w:rsidRPr="003B2786">
              <w:rPr>
                <w:rStyle w:val="Bodytext1811pt"/>
                <w:rFonts w:ascii="Sylfaen" w:hAnsi="Sylfaen"/>
                <w:sz w:val="24"/>
                <w:szCs w:val="24"/>
              </w:rPr>
              <w:lastRenderedPageBreak/>
              <w:t>վալիդացում, որով հաստատվում է, որ թարմացված վերլուծական մեթոդիկան առնվազն համարժեք է նախորդին:</w:t>
            </w:r>
          </w:p>
          <w:p w14:paraId="67903CE7"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Վերլուծության մեթոդը չի փոփոխվել (օրինակ՝ սյունակի երկարության կամ ջերմաստիճանի փոփոխությունը, բայց ոչ սյունակի այլ տեսակը կամ մեթոդը):</w:t>
            </w:r>
          </w:p>
          <w:p w14:paraId="237D5C30"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մեթոդների կամ ստանդարտ մեթոդների վրա, որոնք օգտագործվում են նորովի:</w:t>
            </w:r>
          </w:p>
          <w:p w14:paraId="1B4650FE"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(դեղապատրաստուկը) կենսաբանական (իմունաբանական) չէ:</w:t>
            </w:r>
          </w:p>
          <w:p w14:paraId="739DD28C" w14:textId="77777777" w:rsidR="008C76E0" w:rsidRPr="008C76E0" w:rsidRDefault="008C76E0" w:rsidP="008C76E0">
            <w:pPr>
              <w:pStyle w:val="Bodytext180"/>
              <w:shd w:val="clear" w:color="auto" w:fill="auto"/>
              <w:tabs>
                <w:tab w:val="left" w:pos="573"/>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Մասնագրի պարամետրի նկատմամբ պահպանվում է վերլուծական մեթոդիկան, ընդ որում, այդպիսի մեթոդիկան չի ավելացվել IA (IA</w:t>
            </w:r>
            <w:r w:rsidRPr="003B2786">
              <w:rPr>
                <w:rStyle w:val="Bodytext1811pt"/>
                <w:rFonts w:ascii="Sylfaen" w:hAnsi="Sylfaen"/>
                <w:sz w:val="24"/>
                <w:szCs w:val="24"/>
                <w:vertAlign w:val="subscript"/>
              </w:rPr>
              <w:t>ԱՊ</w:t>
            </w:r>
            <w:r w:rsidRPr="003B2786">
              <w:rPr>
                <w:rStyle w:val="Bodytext1811pt"/>
                <w:rFonts w:ascii="Sylfaen" w:hAnsi="Sylfaen"/>
                <w:sz w:val="24"/>
                <w:szCs w:val="24"/>
              </w:rPr>
              <w:t>) ծանուցման միջոցով:</w:t>
            </w:r>
          </w:p>
        </w:tc>
      </w:tr>
      <w:tr w:rsidR="008C76E0" w:rsidRPr="003B2786" w14:paraId="7AB42F65"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79EDF085" w14:textId="77777777" w:rsidR="008C76E0" w:rsidRPr="008C76E0" w:rsidRDefault="008C76E0" w:rsidP="008C76E0">
            <w:pPr>
              <w:pStyle w:val="Bodytext180"/>
              <w:shd w:val="clear" w:color="auto" w:fill="auto"/>
              <w:tabs>
                <w:tab w:val="left" w:pos="573"/>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38311AD9" w14:textId="77777777" w:rsidR="008C76E0" w:rsidRPr="008C76E0" w:rsidRDefault="008C76E0" w:rsidP="008C76E0">
            <w:pPr>
              <w:pStyle w:val="Bodytext180"/>
              <w:shd w:val="clear" w:color="auto" w:fill="auto"/>
              <w:tabs>
                <w:tab w:val="left" w:pos="573"/>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բաժնի (բաժինների) ուղղումը, ներառյալ՝ վերլուծական մեթոդիկայի նկարագրությունը, վալիդացման տվյալների ռեզյումեն:</w:t>
            </w:r>
          </w:p>
          <w:p w14:paraId="4EDFCC79" w14:textId="77777777" w:rsidR="008C76E0" w:rsidRPr="008C76E0" w:rsidRDefault="008C76E0" w:rsidP="008C76E0">
            <w:pPr>
              <w:pStyle w:val="Bodytext180"/>
              <w:shd w:val="clear" w:color="auto" w:fill="auto"/>
              <w:tabs>
                <w:tab w:val="left" w:pos="573"/>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համեմատական արդյունքները կամ հիմնավորման դեպքում՝ վերլուծության համեմատական արդյունքները, որոնք հաստատում են, որ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փորձարկումները համարժեք են: Սույն պահանջը չի կիրառվում, եթե ավելացվում է նոր վերլուծական մեթոդիկա:</w:t>
            </w:r>
          </w:p>
        </w:tc>
      </w:tr>
      <w:tr w:rsidR="008C76E0" w:rsidRPr="003B2786" w14:paraId="10A523AF" w14:textId="77777777" w:rsidTr="008C76E0">
        <w:trPr>
          <w:gridAfter w:val="1"/>
          <w:wAfter w:w="14" w:type="dxa"/>
          <w:jc w:val="center"/>
        </w:trPr>
        <w:tc>
          <w:tcPr>
            <w:tcW w:w="10387" w:type="dxa"/>
            <w:gridSpan w:val="14"/>
            <w:tcBorders>
              <w:top w:val="single" w:sz="4" w:space="0" w:color="auto"/>
            </w:tcBorders>
            <w:shd w:val="clear" w:color="auto" w:fill="FFFFFF"/>
            <w:vAlign w:val="bottom"/>
          </w:tcPr>
          <w:p w14:paraId="6D8B360B" w14:textId="77777777" w:rsidR="008C76E0" w:rsidRPr="003B2786" w:rsidRDefault="008C76E0" w:rsidP="008C76E0">
            <w:pPr>
              <w:pStyle w:val="Bodytext180"/>
              <w:shd w:val="clear" w:color="auto" w:fill="auto"/>
              <w:tabs>
                <w:tab w:val="left" w:pos="573"/>
              </w:tabs>
              <w:spacing w:before="0" w:after="120" w:line="240" w:lineRule="auto"/>
              <w:ind w:right="-1" w:firstLine="0"/>
              <w:jc w:val="both"/>
              <w:rPr>
                <w:rFonts w:ascii="Sylfaen" w:hAnsi="Sylfaen"/>
                <w:sz w:val="24"/>
                <w:szCs w:val="24"/>
              </w:rPr>
            </w:pPr>
            <w:r w:rsidRPr="003B2786">
              <w:rPr>
                <w:rStyle w:val="Bodytext295pt"/>
                <w:rFonts w:ascii="Sylfaen" w:hAnsi="Sylfaen"/>
                <w:sz w:val="24"/>
                <w:szCs w:val="24"/>
              </w:rPr>
              <w:t>Բ.I.դ)</w:t>
            </w:r>
            <w:r w:rsidRPr="003B2786">
              <w:rPr>
                <w:rStyle w:val="Bodytext295pt"/>
                <w:rFonts w:ascii="Sylfaen" w:hAnsi="Sylfaen"/>
                <w:sz w:val="24"/>
                <w:szCs w:val="24"/>
              </w:rPr>
              <w:tab/>
              <w:t>Կայունություն</w:t>
            </w:r>
          </w:p>
        </w:tc>
      </w:tr>
      <w:tr w:rsidR="008C76E0" w:rsidRPr="003B2786" w14:paraId="3B5EF632"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A56A267" w14:textId="77777777" w:rsidR="008C76E0" w:rsidRPr="008C76E0" w:rsidRDefault="008C76E0" w:rsidP="008C76E0">
            <w:pPr>
              <w:pStyle w:val="Bodytext180"/>
              <w:shd w:val="clear" w:color="auto" w:fill="auto"/>
              <w:tabs>
                <w:tab w:val="left" w:pos="573"/>
              </w:tabs>
              <w:spacing w:before="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Բ.I.դ.1.</w:t>
            </w:r>
            <w:r w:rsidRPr="003B2786">
              <w:rPr>
                <w:rStyle w:val="Bodytext1811pt"/>
                <w:rFonts w:ascii="Sylfaen" w:hAnsi="Sylfaen"/>
                <w:sz w:val="24"/>
                <w:szCs w:val="24"/>
              </w:rPr>
              <w:tab/>
              <w:t>Ակտիվ դեղագործական բաղադրամասի կրկնակի փորձարկման ժամկետի (պահպանման ժամկետի) կամ պահպանման պայմանների փոփոխությունը, եթե գրանցման դոսյեում բացակայում է Եվրոպական դեղագրքին համապատասխանության հավաստագիրը, որն ընդգրկում է կրկնակի փորձարկման ժամանակահատվածը</w:t>
            </w:r>
          </w:p>
        </w:tc>
        <w:tc>
          <w:tcPr>
            <w:tcW w:w="1655" w:type="dxa"/>
            <w:gridSpan w:val="3"/>
            <w:tcBorders>
              <w:top w:val="single" w:sz="4" w:space="0" w:color="auto"/>
              <w:left w:val="single" w:sz="4" w:space="0" w:color="auto"/>
            </w:tcBorders>
            <w:shd w:val="clear" w:color="auto" w:fill="FFFFFF"/>
          </w:tcPr>
          <w:p w14:paraId="58A11B3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379EDA7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6430B36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23F949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4517A119" w14:textId="77777777" w:rsidR="008C76E0" w:rsidRPr="008C76E0" w:rsidRDefault="008C76E0" w:rsidP="008C76E0">
            <w:pPr>
              <w:pStyle w:val="Bodytext180"/>
              <w:shd w:val="clear" w:color="auto" w:fill="auto"/>
              <w:tabs>
                <w:tab w:val="left" w:pos="573"/>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Կրկնակի փորձարկման ժամանակահատվածը (պահպանման ժամանակահատվածը)</w:t>
            </w:r>
          </w:p>
        </w:tc>
        <w:tc>
          <w:tcPr>
            <w:tcW w:w="1655" w:type="dxa"/>
            <w:gridSpan w:val="3"/>
            <w:tcBorders>
              <w:top w:val="single" w:sz="4" w:space="0" w:color="auto"/>
              <w:left w:val="single" w:sz="4" w:space="0" w:color="auto"/>
            </w:tcBorders>
            <w:shd w:val="clear" w:color="auto" w:fill="FFFFFF"/>
          </w:tcPr>
          <w:p w14:paraId="368C1A1E"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37D2C92A"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2C7C290D"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7601F286"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C334508" w14:textId="77777777" w:rsidR="008C76E0" w:rsidRPr="003B2786" w:rsidRDefault="008C76E0" w:rsidP="008C76E0">
            <w:pPr>
              <w:pStyle w:val="Bodytext180"/>
              <w:numPr>
                <w:ilvl w:val="0"/>
                <w:numId w:val="17"/>
              </w:numPr>
              <w:shd w:val="clear" w:color="auto" w:fill="auto"/>
              <w:tabs>
                <w:tab w:val="left" w:pos="573"/>
              </w:tabs>
              <w:spacing w:before="0" w:after="120" w:line="240" w:lineRule="auto"/>
              <w:ind w:left="39" w:right="50"/>
              <w:jc w:val="both"/>
              <w:rPr>
                <w:rFonts w:ascii="Sylfaen" w:hAnsi="Sylfaen"/>
                <w:b w:val="0"/>
                <w:sz w:val="24"/>
                <w:szCs w:val="24"/>
              </w:rPr>
            </w:pPr>
            <w:r w:rsidRPr="003B2786">
              <w:rPr>
                <w:rStyle w:val="Bodytext1811pt"/>
                <w:rFonts w:ascii="Sylfaen" w:hAnsi="Sylfaen"/>
                <w:sz w:val="24"/>
                <w:szCs w:val="24"/>
              </w:rPr>
              <w:t>Կրճատումը</w:t>
            </w:r>
          </w:p>
        </w:tc>
        <w:tc>
          <w:tcPr>
            <w:tcW w:w="1655" w:type="dxa"/>
            <w:gridSpan w:val="3"/>
            <w:tcBorders>
              <w:top w:val="single" w:sz="4" w:space="0" w:color="auto"/>
              <w:left w:val="single" w:sz="4" w:space="0" w:color="auto"/>
            </w:tcBorders>
            <w:shd w:val="clear" w:color="auto" w:fill="FFFFFF"/>
          </w:tcPr>
          <w:p w14:paraId="65EC333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42" w:type="dxa"/>
            <w:gridSpan w:val="3"/>
            <w:tcBorders>
              <w:top w:val="single" w:sz="4" w:space="0" w:color="auto"/>
              <w:left w:val="single" w:sz="4" w:space="0" w:color="auto"/>
            </w:tcBorders>
            <w:shd w:val="clear" w:color="auto" w:fill="FFFFFF"/>
          </w:tcPr>
          <w:p w14:paraId="3176F4F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3B9FA17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FC7F05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3C1E389"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Կայունության տվյալների արտարկման եղանակով կրկնակի փորձարկման ժամանակահատվածի երկարաձգումը, որը չի համապատասխանում Միության փաստաթղթերին (*)</w:t>
            </w:r>
          </w:p>
        </w:tc>
        <w:tc>
          <w:tcPr>
            <w:tcW w:w="1655" w:type="dxa"/>
            <w:gridSpan w:val="3"/>
            <w:tcBorders>
              <w:top w:val="single" w:sz="4" w:space="0" w:color="auto"/>
              <w:left w:val="single" w:sz="4" w:space="0" w:color="auto"/>
            </w:tcBorders>
            <w:shd w:val="clear" w:color="auto" w:fill="FFFFFF"/>
          </w:tcPr>
          <w:p w14:paraId="0042C52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1C914BF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0D1C3FC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F6D692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045B154B" w14:textId="77777777" w:rsidR="008C76E0" w:rsidRPr="008C76E0" w:rsidRDefault="008C76E0" w:rsidP="008C76E0">
            <w:pPr>
              <w:pStyle w:val="Bodytext180"/>
              <w:shd w:val="clear" w:color="auto" w:fill="auto"/>
              <w:tabs>
                <w:tab w:val="left" w:pos="573"/>
              </w:tabs>
              <w:spacing w:before="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 xml:space="preserve">Կենսաբանական (իմունաբանական) ակտիվ դեղագործական բաղադրամասի </w:t>
            </w:r>
            <w:r w:rsidRPr="003B2786">
              <w:rPr>
                <w:rStyle w:val="Bodytext1811pt"/>
                <w:rFonts w:ascii="Sylfaen" w:hAnsi="Sylfaen"/>
                <w:sz w:val="24"/>
                <w:szCs w:val="24"/>
              </w:rPr>
              <w:lastRenderedPageBreak/>
              <w:t>պահպանման ժամանակահատվածի երկարաձգումը, որը չի համապատասխանում կայունության ուսումնասիրման հաստատված ծրագրին</w:t>
            </w:r>
          </w:p>
        </w:tc>
        <w:tc>
          <w:tcPr>
            <w:tcW w:w="1655" w:type="dxa"/>
            <w:gridSpan w:val="3"/>
            <w:tcBorders>
              <w:top w:val="single" w:sz="4" w:space="0" w:color="auto"/>
              <w:left w:val="single" w:sz="4" w:space="0" w:color="auto"/>
            </w:tcBorders>
            <w:shd w:val="clear" w:color="auto" w:fill="FFFFFF"/>
          </w:tcPr>
          <w:p w14:paraId="354C84C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42" w:type="dxa"/>
            <w:gridSpan w:val="3"/>
            <w:tcBorders>
              <w:top w:val="single" w:sz="4" w:space="0" w:color="auto"/>
              <w:left w:val="single" w:sz="4" w:space="0" w:color="auto"/>
            </w:tcBorders>
            <w:shd w:val="clear" w:color="auto" w:fill="FFFFFF"/>
          </w:tcPr>
          <w:p w14:paraId="538DEE4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06F9FD0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7B036C0"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3672AE5"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Կրկնակի փորձարկման ժամանակահատվածի (պահպանման ժամկետի) երկարաձգումը կամ ներմուծումը, որը հաստատվել է բնական պահպանման տվյալներով</w:t>
            </w:r>
          </w:p>
        </w:tc>
        <w:tc>
          <w:tcPr>
            <w:tcW w:w="1655" w:type="dxa"/>
            <w:gridSpan w:val="3"/>
            <w:tcBorders>
              <w:top w:val="single" w:sz="4" w:space="0" w:color="auto"/>
              <w:left w:val="single" w:sz="4" w:space="0" w:color="auto"/>
            </w:tcBorders>
            <w:shd w:val="clear" w:color="auto" w:fill="FFFFFF"/>
          </w:tcPr>
          <w:p w14:paraId="07E5827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0ACAB89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1E185CE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0E3D0A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E3125C3" w14:textId="77777777" w:rsidR="008C76E0" w:rsidRPr="003B2786"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lang w:val="en-US"/>
              </w:rPr>
              <w:tab/>
            </w:r>
            <w:r w:rsidRPr="003B2786">
              <w:rPr>
                <w:rStyle w:val="Bodytext1811pt"/>
                <w:rFonts w:ascii="Sylfaen" w:hAnsi="Sylfaen"/>
                <w:sz w:val="24"/>
                <w:szCs w:val="24"/>
              </w:rPr>
              <w:t>Պահպանման պայմանները</w:t>
            </w:r>
          </w:p>
        </w:tc>
        <w:tc>
          <w:tcPr>
            <w:tcW w:w="1655" w:type="dxa"/>
            <w:gridSpan w:val="3"/>
            <w:tcBorders>
              <w:top w:val="single" w:sz="4" w:space="0" w:color="auto"/>
              <w:left w:val="single" w:sz="4" w:space="0" w:color="auto"/>
            </w:tcBorders>
            <w:shd w:val="clear" w:color="auto" w:fill="FFFFFF"/>
          </w:tcPr>
          <w:p w14:paraId="2E8284A8"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6027DA33"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73EAC711"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6A10E79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0EC7C1A1" w14:textId="77777777" w:rsidR="008C76E0" w:rsidRPr="008C76E0" w:rsidRDefault="008C76E0" w:rsidP="008C76E0">
            <w:pPr>
              <w:pStyle w:val="Bodytext180"/>
              <w:numPr>
                <w:ilvl w:val="0"/>
                <w:numId w:val="18"/>
              </w:numPr>
              <w:shd w:val="clear" w:color="auto" w:fill="auto"/>
              <w:tabs>
                <w:tab w:val="left" w:pos="573"/>
              </w:tabs>
              <w:spacing w:before="0" w:after="120" w:line="240" w:lineRule="auto"/>
              <w:ind w:left="40" w:right="51" w:hanging="40"/>
              <w:jc w:val="both"/>
              <w:rPr>
                <w:rFonts w:ascii="Sylfaen" w:hAnsi="Sylfaen"/>
                <w:b w:val="0"/>
                <w:sz w:val="24"/>
                <w:szCs w:val="24"/>
                <w:lang w:val="hy-AM"/>
              </w:rPr>
            </w:pPr>
            <w:r w:rsidRPr="003B2786">
              <w:rPr>
                <w:rStyle w:val="Bodytext1811pt"/>
                <w:rFonts w:ascii="Sylfaen" w:hAnsi="Sylfaen"/>
                <w:sz w:val="24"/>
                <w:szCs w:val="24"/>
              </w:rPr>
              <w:t>Ակտիվ դեղագործական բաղադրամասի պահպանման պայմանների փոփոխությունը՝ առավել խիստ պայմանների</w:t>
            </w:r>
          </w:p>
        </w:tc>
        <w:tc>
          <w:tcPr>
            <w:tcW w:w="1655" w:type="dxa"/>
            <w:gridSpan w:val="3"/>
            <w:tcBorders>
              <w:top w:val="single" w:sz="4" w:space="0" w:color="auto"/>
              <w:left w:val="single" w:sz="4" w:space="0" w:color="auto"/>
            </w:tcBorders>
            <w:shd w:val="clear" w:color="auto" w:fill="FFFFFF"/>
          </w:tcPr>
          <w:p w14:paraId="205BEAB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42" w:type="dxa"/>
            <w:gridSpan w:val="3"/>
            <w:tcBorders>
              <w:top w:val="single" w:sz="4" w:space="0" w:color="auto"/>
              <w:left w:val="single" w:sz="4" w:space="0" w:color="auto"/>
            </w:tcBorders>
            <w:shd w:val="clear" w:color="auto" w:fill="FFFFFF"/>
          </w:tcPr>
          <w:p w14:paraId="0149702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795FC4E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7509CBE"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bottom"/>
          </w:tcPr>
          <w:p w14:paraId="2591A157" w14:textId="77777777" w:rsidR="008C76E0" w:rsidRPr="003B2786" w:rsidRDefault="008C76E0" w:rsidP="008C76E0">
            <w:pPr>
              <w:pStyle w:val="Bodytext180"/>
              <w:shd w:val="clear" w:color="auto" w:fill="auto"/>
              <w:tabs>
                <w:tab w:val="left" w:pos="573"/>
              </w:tabs>
              <w:spacing w:before="0" w:after="120" w:line="240" w:lineRule="auto"/>
              <w:ind w:left="40" w:right="51" w:firstLine="0"/>
              <w:jc w:val="both"/>
              <w:rPr>
                <w:rFonts w:ascii="Sylfaen" w:hAnsi="Sylfaen"/>
                <w:b w:val="0"/>
                <w:sz w:val="24"/>
                <w:szCs w:val="24"/>
              </w:rPr>
            </w:pPr>
            <w:r w:rsidRPr="003B2786">
              <w:rPr>
                <w:rStyle w:val="Bodytext1811pt"/>
                <w:rFonts w:ascii="Sylfaen" w:hAnsi="Sylfaen"/>
                <w:sz w:val="24"/>
                <w:szCs w:val="24"/>
              </w:rPr>
              <w:t>2.</w:t>
            </w:r>
            <w:r w:rsidRPr="003B2786">
              <w:rPr>
                <w:rStyle w:val="Bodytext1811pt"/>
                <w:rFonts w:ascii="Sylfaen" w:hAnsi="Sylfaen"/>
                <w:sz w:val="24"/>
                <w:szCs w:val="24"/>
              </w:rPr>
              <w:tab/>
              <w:t>Պահպանման պայմանների փոփոխությունը</w:t>
            </w:r>
          </w:p>
        </w:tc>
        <w:tc>
          <w:tcPr>
            <w:tcW w:w="1655" w:type="dxa"/>
            <w:gridSpan w:val="3"/>
            <w:tcBorders>
              <w:top w:val="single" w:sz="4" w:space="0" w:color="auto"/>
              <w:left w:val="single" w:sz="4" w:space="0" w:color="auto"/>
              <w:bottom w:val="single" w:sz="4" w:space="0" w:color="auto"/>
            </w:tcBorders>
            <w:shd w:val="clear" w:color="auto" w:fill="FFFFFF"/>
          </w:tcPr>
          <w:p w14:paraId="5EE7486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bottom w:val="single" w:sz="4" w:space="0" w:color="auto"/>
            </w:tcBorders>
            <w:shd w:val="clear" w:color="auto" w:fill="FFFFFF"/>
          </w:tcPr>
          <w:p w14:paraId="69D1109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1476A97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014770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A99DC52" w14:textId="77777777" w:rsidR="008C76E0" w:rsidRPr="008C76E0" w:rsidRDefault="008C76E0" w:rsidP="008C76E0">
            <w:pPr>
              <w:pStyle w:val="Bodytext180"/>
              <w:shd w:val="clear" w:color="auto" w:fill="auto"/>
              <w:tabs>
                <w:tab w:val="left" w:pos="573"/>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կենսաբանական (իմունաբանական) դեղագործական ակտիվ բաղադրամասերի պահպանման պայմանների փոփոխությունը, եթե կայունության հետազոտությունները չեն անցկացվել կայունության ընթացիկ հաստատված արձանագրությանը համապատասխան</w:t>
            </w:r>
          </w:p>
        </w:tc>
        <w:tc>
          <w:tcPr>
            <w:tcW w:w="1655" w:type="dxa"/>
            <w:gridSpan w:val="3"/>
            <w:tcBorders>
              <w:top w:val="single" w:sz="4" w:space="0" w:color="auto"/>
              <w:left w:val="single" w:sz="4" w:space="0" w:color="auto"/>
            </w:tcBorders>
            <w:shd w:val="clear" w:color="auto" w:fill="FFFFFF"/>
          </w:tcPr>
          <w:p w14:paraId="5BA61193"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0CFD21CD"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66067070"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1612C79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C26B7BC" w14:textId="77777777" w:rsidR="008C76E0" w:rsidRPr="008C76E0" w:rsidRDefault="008C76E0" w:rsidP="008C76E0">
            <w:pPr>
              <w:pStyle w:val="Bodytext180"/>
              <w:shd w:val="clear" w:color="auto" w:fill="auto"/>
              <w:tabs>
                <w:tab w:val="left" w:pos="573"/>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Ակտիվ դեղագործական բաղադրամասի պահպանման պայմանների փոփոխությունը</w:t>
            </w:r>
          </w:p>
        </w:tc>
        <w:tc>
          <w:tcPr>
            <w:tcW w:w="1655" w:type="dxa"/>
            <w:gridSpan w:val="3"/>
            <w:tcBorders>
              <w:top w:val="single" w:sz="4" w:space="0" w:color="auto"/>
              <w:left w:val="single" w:sz="4" w:space="0" w:color="auto"/>
            </w:tcBorders>
            <w:shd w:val="clear" w:color="auto" w:fill="FFFFFF"/>
          </w:tcPr>
          <w:p w14:paraId="046374A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767DE2F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5679B49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3F22102"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697F1264"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Կայունության ուսումնասիրության հաստատված ծրագրի փոփոխությունը</w:t>
            </w:r>
          </w:p>
        </w:tc>
        <w:tc>
          <w:tcPr>
            <w:tcW w:w="1655" w:type="dxa"/>
            <w:gridSpan w:val="3"/>
            <w:tcBorders>
              <w:top w:val="single" w:sz="4" w:space="0" w:color="auto"/>
              <w:left w:val="single" w:sz="4" w:space="0" w:color="auto"/>
            </w:tcBorders>
            <w:shd w:val="clear" w:color="auto" w:fill="FFFFFF"/>
          </w:tcPr>
          <w:p w14:paraId="4AF164D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42" w:type="dxa"/>
            <w:gridSpan w:val="3"/>
            <w:tcBorders>
              <w:top w:val="single" w:sz="4" w:space="0" w:color="auto"/>
              <w:left w:val="single" w:sz="4" w:space="0" w:color="auto"/>
            </w:tcBorders>
            <w:shd w:val="clear" w:color="auto" w:fill="FFFFFF"/>
          </w:tcPr>
          <w:p w14:paraId="29B55B4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1, 4</w:t>
            </w:r>
          </w:p>
        </w:tc>
        <w:tc>
          <w:tcPr>
            <w:tcW w:w="2098" w:type="dxa"/>
            <w:gridSpan w:val="3"/>
            <w:tcBorders>
              <w:top w:val="single" w:sz="4" w:space="0" w:color="auto"/>
              <w:left w:val="single" w:sz="4" w:space="0" w:color="auto"/>
              <w:right w:val="single" w:sz="4" w:space="0" w:color="auto"/>
            </w:tcBorders>
            <w:shd w:val="clear" w:color="auto" w:fill="FFFFFF"/>
          </w:tcPr>
          <w:p w14:paraId="2D7B72D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0FCA10F"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2AE947AF"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26FC516"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չպետք է լինի անկանխատեսելի իրավիճակների հետ</w:t>
            </w:r>
            <w:r w:rsidR="00C54D75">
              <w:rPr>
                <w:rStyle w:val="Bodytext1811pt"/>
                <w:rFonts w:ascii="Sylfaen" w:hAnsi="Sylfaen"/>
                <w:sz w:val="24"/>
                <w:szCs w:val="24"/>
              </w:rPr>
              <w:t>և</w:t>
            </w:r>
            <w:r w:rsidRPr="003B2786">
              <w:rPr>
                <w:rStyle w:val="Bodytext1811pt"/>
                <w:rFonts w:ascii="Sylfaen" w:hAnsi="Sylfaen"/>
                <w:sz w:val="24"/>
                <w:szCs w:val="24"/>
              </w:rPr>
              <w:t>անք, որոնք առաջացել են արտադրության կամ կայունության փոփոխության ընթացքում։</w:t>
            </w:r>
          </w:p>
          <w:p w14:paraId="24E8C5E5"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Փոփոխությունները չեն հանգեցնում փորձարկվող պարամետրերի ընդունելիության չափորոշիչների ընդլայնմանը, կայունության պարամետրերի բացառմանը կամ փորձարկման հաճախականության նվազեցմանը:</w:t>
            </w:r>
          </w:p>
        </w:tc>
      </w:tr>
      <w:tr w:rsidR="008C76E0" w:rsidRPr="003B2786" w14:paraId="7AA6E5BE"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6BB7F23" w14:textId="77777777" w:rsidR="008C76E0" w:rsidRPr="003B2786"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rPr>
            </w:pPr>
            <w:r w:rsidRPr="003B2786">
              <w:rPr>
                <w:rStyle w:val="Bodytext1811pt"/>
                <w:rFonts w:ascii="Sylfaen" w:hAnsi="Sylfaen"/>
                <w:sz w:val="24"/>
                <w:szCs w:val="24"/>
              </w:rPr>
              <w:t>Փաստաթղթերը</w:t>
            </w:r>
          </w:p>
          <w:p w14:paraId="22092E85" w14:textId="77777777" w:rsidR="008C76E0" w:rsidRPr="003B2786" w:rsidRDefault="008C76E0" w:rsidP="008C76E0">
            <w:pPr>
              <w:pStyle w:val="Bodytext180"/>
              <w:numPr>
                <w:ilvl w:val="0"/>
                <w:numId w:val="16"/>
              </w:numPr>
              <w:shd w:val="clear" w:color="auto" w:fill="auto"/>
              <w:tabs>
                <w:tab w:val="left" w:pos="573"/>
              </w:tabs>
              <w:spacing w:before="0" w:after="120" w:line="240" w:lineRule="auto"/>
              <w:ind w:left="39" w:right="44" w:firstLine="0"/>
              <w:jc w:val="both"/>
              <w:rPr>
                <w:rStyle w:val="Bodytext1811pt"/>
                <w:rFonts w:ascii="Sylfaen" w:hAnsi="Sylfaen"/>
                <w:sz w:val="24"/>
                <w:szCs w:val="24"/>
              </w:rPr>
            </w:pPr>
            <w:r w:rsidRPr="003B2786">
              <w:rPr>
                <w:rStyle w:val="Bodytext1811pt"/>
                <w:rFonts w:ascii="Sylfaen" w:hAnsi="Sylfaen"/>
                <w:sz w:val="24"/>
                <w:szCs w:val="24"/>
              </w:rPr>
              <w:t xml:space="preserve">Դոսյեի համապատասխան բաժնում ուղղումը։ </w:t>
            </w:r>
          </w:p>
          <w:p w14:paraId="554A5EC2"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 xml:space="preserve">Անհրաժեշտ է ներկայացնել կայունության համապատասխան այն հետազոտությունների </w:t>
            </w:r>
            <w:r w:rsidRPr="003B2786">
              <w:rPr>
                <w:rStyle w:val="Bodytext1811pt"/>
                <w:rFonts w:ascii="Sylfaen" w:hAnsi="Sylfaen"/>
                <w:sz w:val="24"/>
                <w:szCs w:val="24"/>
              </w:rPr>
              <w:lastRenderedPageBreak/>
              <w:t xml:space="preserve">արդյունքներն իրական ժամանակում, որոնք անցկացվել են կայունության համապատասխան ձեռնարկներին համապատասխան՝ ակտիվ դեղագործական բաղադրամասի առնվազն 2 (կենսաբանական դեղապատրաստուկների համար` երեք) փորձարարաարդյունաբերական կամ արդյունաբերական սերիաների նկատմամբ, որոնք փաթեթավորվել են գրանցված փաթեթավորման նյութով </w:t>
            </w:r>
            <w:r w:rsidR="00C54D75">
              <w:rPr>
                <w:rStyle w:val="Bodytext1811pt"/>
                <w:rFonts w:ascii="Sylfaen" w:hAnsi="Sylfaen"/>
                <w:sz w:val="24"/>
                <w:szCs w:val="24"/>
              </w:rPr>
              <w:t>և</w:t>
            </w:r>
            <w:r w:rsidRPr="003B2786">
              <w:rPr>
                <w:rStyle w:val="Bodytext1811pt"/>
                <w:rFonts w:ascii="Sylfaen" w:hAnsi="Sylfaen"/>
                <w:sz w:val="24"/>
                <w:szCs w:val="24"/>
              </w:rPr>
              <w:t xml:space="preserve"> ներառում են կրկնակի փորձարկման ամբողջ նախատեսված ժամանակահատվածը կամ առաջարկվող պահպանման պայմանները:</w:t>
            </w:r>
          </w:p>
          <w:p w14:paraId="21222C65"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Հաստատումն այն բանի, որ կայունության հետազոտություններն անցկացվել են ընթացիկ հաստատված ծրագրին համապատասխան: Հետազոտության արդյունքները պետք է հաստատեն, որ համապատասխան հաստատված մասնագրերը շարունակվում են պահպանվել:</w:t>
            </w:r>
          </w:p>
          <w:p w14:paraId="370DD218" w14:textId="77777777" w:rsidR="008C76E0" w:rsidRPr="008C76E0"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Դեղագործական ակտիվ բաղադրամասի հաստատված մասնագրերի պատճենները։</w:t>
            </w:r>
          </w:p>
          <w:p w14:paraId="2841AD6D" w14:textId="77777777" w:rsidR="008C76E0" w:rsidRPr="003B2786" w:rsidRDefault="008C76E0" w:rsidP="008C76E0">
            <w:pPr>
              <w:pStyle w:val="Bodytext180"/>
              <w:shd w:val="clear" w:color="auto" w:fill="auto"/>
              <w:tabs>
                <w:tab w:val="left" w:pos="573"/>
              </w:tabs>
              <w:spacing w:before="0" w:after="120" w:line="240" w:lineRule="auto"/>
              <w:ind w:left="39" w:right="44" w:firstLine="0"/>
              <w:jc w:val="both"/>
              <w:rPr>
                <w:rFonts w:ascii="Sylfaen" w:hAnsi="Sylfaen"/>
                <w:b w:val="0"/>
                <w:sz w:val="24"/>
                <w:szCs w:val="24"/>
              </w:rPr>
            </w:pPr>
            <w:r w:rsidRPr="003B2786">
              <w:rPr>
                <w:rFonts w:ascii="Sylfaen" w:hAnsi="Sylfaen"/>
                <w:b w:val="0"/>
                <w:sz w:val="24"/>
                <w:szCs w:val="24"/>
              </w:rPr>
              <w:t>4.</w:t>
            </w:r>
            <w:r w:rsidRPr="003B2786">
              <w:rPr>
                <w:rFonts w:ascii="Sylfaen" w:hAnsi="Sylfaen"/>
                <w:b w:val="0"/>
                <w:sz w:val="24"/>
                <w:szCs w:val="24"/>
              </w:rPr>
              <w:tab/>
            </w:r>
            <w:r w:rsidRPr="003B2786">
              <w:rPr>
                <w:rStyle w:val="Bodytext1811pt"/>
                <w:rFonts w:ascii="Sylfaen" w:hAnsi="Sylfaen"/>
                <w:sz w:val="24"/>
                <w:szCs w:val="24"/>
              </w:rPr>
              <w:t>Առաջարկվող փոփոխությունների հիմնավորումը։</w:t>
            </w:r>
          </w:p>
        </w:tc>
      </w:tr>
      <w:tr w:rsidR="008C76E0" w:rsidRPr="003B2786" w14:paraId="7755B7D9" w14:textId="77777777" w:rsidTr="008C76E0">
        <w:trPr>
          <w:gridAfter w:val="1"/>
          <w:wAfter w:w="14" w:type="dxa"/>
          <w:jc w:val="center"/>
        </w:trPr>
        <w:tc>
          <w:tcPr>
            <w:tcW w:w="1993" w:type="dxa"/>
            <w:tcBorders>
              <w:top w:val="single" w:sz="4" w:space="0" w:color="auto"/>
              <w:left w:val="single" w:sz="4" w:space="0" w:color="auto"/>
            </w:tcBorders>
            <w:shd w:val="clear" w:color="auto" w:fill="FFFFFF"/>
          </w:tcPr>
          <w:p w14:paraId="6FC89E3C" w14:textId="77777777" w:rsidR="008C76E0" w:rsidRPr="003B2786" w:rsidRDefault="008C76E0" w:rsidP="008C76E0">
            <w:pPr>
              <w:pStyle w:val="Bodytext180"/>
              <w:shd w:val="clear" w:color="auto" w:fill="auto"/>
              <w:tabs>
                <w:tab w:val="left" w:pos="573"/>
              </w:tabs>
              <w:spacing w:before="0" w:after="120" w:line="240" w:lineRule="auto"/>
              <w:ind w:right="-1" w:firstLine="0"/>
              <w:jc w:val="both"/>
              <w:rPr>
                <w:rFonts w:ascii="Sylfaen" w:hAnsi="Sylfaen"/>
                <w:b w:val="0"/>
                <w:sz w:val="24"/>
                <w:szCs w:val="24"/>
              </w:rPr>
            </w:pPr>
            <w:r w:rsidRPr="003B2786">
              <w:rPr>
                <w:rFonts w:ascii="Sylfaen" w:hAnsi="Sylfaen"/>
                <w:b w:val="0"/>
                <w:sz w:val="24"/>
                <w:szCs w:val="24"/>
              </w:rPr>
              <w:lastRenderedPageBreak/>
              <w:t>(*) Ծանոթագրություն</w:t>
            </w:r>
          </w:p>
        </w:tc>
        <w:tc>
          <w:tcPr>
            <w:tcW w:w="8394" w:type="dxa"/>
            <w:gridSpan w:val="13"/>
            <w:tcBorders>
              <w:top w:val="single" w:sz="4" w:space="0" w:color="auto"/>
              <w:left w:val="single" w:sz="4" w:space="0" w:color="auto"/>
              <w:right w:val="single" w:sz="4" w:space="0" w:color="auto"/>
            </w:tcBorders>
            <w:shd w:val="clear" w:color="auto" w:fill="FFFFFF"/>
            <w:vAlign w:val="bottom"/>
          </w:tcPr>
          <w:p w14:paraId="7E6B5981" w14:textId="77777777" w:rsidR="008C76E0" w:rsidRPr="003B2786" w:rsidRDefault="008C76E0" w:rsidP="008C76E0">
            <w:pPr>
              <w:pStyle w:val="Bodytext180"/>
              <w:shd w:val="clear" w:color="auto" w:fill="auto"/>
              <w:tabs>
                <w:tab w:val="left" w:pos="573"/>
              </w:tabs>
              <w:spacing w:before="0" w:after="120" w:line="240" w:lineRule="auto"/>
              <w:ind w:right="44" w:firstLine="0"/>
              <w:jc w:val="both"/>
              <w:rPr>
                <w:rFonts w:ascii="Sylfaen" w:hAnsi="Sylfaen"/>
                <w:b w:val="0"/>
                <w:sz w:val="24"/>
                <w:szCs w:val="24"/>
              </w:rPr>
            </w:pPr>
            <w:r w:rsidRPr="003B2786">
              <w:rPr>
                <w:rStyle w:val="Bodytext1811pt"/>
                <w:rFonts w:ascii="Sylfaen" w:hAnsi="Sylfaen"/>
                <w:sz w:val="24"/>
                <w:szCs w:val="24"/>
              </w:rPr>
              <w:t>Կրկնակի փորձարկման ժամանակահատվածը կիրառելի չէ կենսաբանական (իմունաբանական) ակտիվ դեղագործական նյութերի նկատմամբ</w:t>
            </w:r>
          </w:p>
        </w:tc>
      </w:tr>
      <w:tr w:rsidR="008C76E0" w:rsidRPr="003B2786" w14:paraId="40F39D0D" w14:textId="77777777" w:rsidTr="008C76E0">
        <w:trPr>
          <w:gridAfter w:val="1"/>
          <w:wAfter w:w="14" w:type="dxa"/>
          <w:jc w:val="center"/>
        </w:trPr>
        <w:tc>
          <w:tcPr>
            <w:tcW w:w="10387" w:type="dxa"/>
            <w:gridSpan w:val="14"/>
            <w:tcBorders>
              <w:top w:val="single" w:sz="4" w:space="0" w:color="auto"/>
            </w:tcBorders>
            <w:shd w:val="clear" w:color="auto" w:fill="FFFFFF"/>
            <w:vAlign w:val="bottom"/>
          </w:tcPr>
          <w:p w14:paraId="2E7B0821" w14:textId="77777777" w:rsidR="008C76E0" w:rsidRPr="008C76E0" w:rsidRDefault="008C76E0" w:rsidP="008C76E0">
            <w:pPr>
              <w:pStyle w:val="Bodytext180"/>
              <w:shd w:val="clear" w:color="auto" w:fill="auto"/>
              <w:tabs>
                <w:tab w:val="left" w:pos="573"/>
              </w:tabs>
              <w:spacing w:before="0" w:after="120" w:line="240" w:lineRule="auto"/>
              <w:ind w:right="-1" w:firstLine="0"/>
              <w:jc w:val="both"/>
              <w:rPr>
                <w:rFonts w:ascii="Sylfaen" w:hAnsi="Sylfaen"/>
                <w:sz w:val="24"/>
                <w:szCs w:val="24"/>
                <w:lang w:val="hy-AM"/>
              </w:rPr>
            </w:pPr>
            <w:r w:rsidRPr="003B2786">
              <w:rPr>
                <w:rStyle w:val="Bodytext295pt"/>
                <w:rFonts w:ascii="Sylfaen" w:hAnsi="Sylfaen"/>
                <w:sz w:val="24"/>
                <w:szCs w:val="24"/>
              </w:rPr>
              <w:t>Բ.I.ե)</w:t>
            </w:r>
            <w:r w:rsidRPr="003B2786">
              <w:rPr>
                <w:rStyle w:val="Bodytext295pt"/>
                <w:rFonts w:ascii="Sylfaen" w:hAnsi="Sylfaen"/>
                <w:sz w:val="24"/>
                <w:szCs w:val="24"/>
              </w:rPr>
              <w:tab/>
              <w:t xml:space="preserve">Հետգրանցումային փոփոխությունների ծրագրային դաշտը </w:t>
            </w:r>
            <w:r w:rsidR="00C54D75">
              <w:rPr>
                <w:rStyle w:val="Bodytext295pt"/>
                <w:rFonts w:ascii="Sylfaen" w:hAnsi="Sylfaen"/>
                <w:sz w:val="24"/>
                <w:szCs w:val="24"/>
              </w:rPr>
              <w:t>և</w:t>
            </w:r>
            <w:r w:rsidRPr="003B2786">
              <w:rPr>
                <w:rStyle w:val="Bodytext295pt"/>
                <w:rFonts w:ascii="Sylfaen" w:hAnsi="Sylfaen"/>
                <w:sz w:val="24"/>
                <w:szCs w:val="24"/>
              </w:rPr>
              <w:t xml:space="preserve"> արձանագրությունը</w:t>
            </w:r>
          </w:p>
        </w:tc>
      </w:tr>
      <w:tr w:rsidR="008C76E0" w:rsidRPr="003B2786" w14:paraId="0BB1ACB7"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CDCC500"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Բ.I.ե.1.</w:t>
            </w:r>
            <w:r w:rsidRPr="003B2786">
              <w:rPr>
                <w:rStyle w:val="Bodytext1811pt"/>
                <w:rFonts w:ascii="Sylfaen" w:hAnsi="Sylfaen"/>
                <w:sz w:val="24"/>
                <w:szCs w:val="24"/>
              </w:rPr>
              <w:tab/>
              <w:t>Նոր նախագծային դաշտի ներդրումը կամ ակտիվ դեղագործական բաղադրամասի հաստատված նախագծային դաշտի ընդլայնումը, որն առնչվում է</w:t>
            </w:r>
          </w:p>
        </w:tc>
        <w:tc>
          <w:tcPr>
            <w:tcW w:w="1655" w:type="dxa"/>
            <w:gridSpan w:val="3"/>
            <w:tcBorders>
              <w:top w:val="single" w:sz="4" w:space="0" w:color="auto"/>
              <w:left w:val="single" w:sz="4" w:space="0" w:color="auto"/>
            </w:tcBorders>
            <w:shd w:val="clear" w:color="auto" w:fill="FFFFFF"/>
          </w:tcPr>
          <w:p w14:paraId="1C7E839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3C8A211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1A24AA9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93096ED"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3A3BA8FF"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ակտիվ դեղագործական բաղադրամասի արտադրության գործընթացի մեկ օպերացիոն միավորին, ներառյալ՝ համապատասխան ներարտադրական հսկողությունը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(կամ) վերլուծական մեթոդիկաները</w:t>
            </w:r>
          </w:p>
        </w:tc>
        <w:tc>
          <w:tcPr>
            <w:tcW w:w="1655" w:type="dxa"/>
            <w:gridSpan w:val="3"/>
            <w:tcBorders>
              <w:top w:val="single" w:sz="4" w:space="0" w:color="auto"/>
              <w:left w:val="single" w:sz="4" w:space="0" w:color="auto"/>
            </w:tcBorders>
            <w:shd w:val="clear" w:color="auto" w:fill="FFFFFF"/>
          </w:tcPr>
          <w:p w14:paraId="1DCF012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296CDA3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4FFC32A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7C557EC"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tcPr>
          <w:p w14:paraId="781ABC8A" w14:textId="77777777" w:rsidR="008C76E0" w:rsidRPr="008C76E0" w:rsidRDefault="008C76E0" w:rsidP="008C76E0">
            <w:pPr>
              <w:pStyle w:val="Bodytext180"/>
              <w:shd w:val="clear" w:color="auto" w:fill="auto"/>
              <w:tabs>
                <w:tab w:val="left" w:pos="573"/>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ելանյութերի (միջանկյալ արտադրանքի) </w:t>
            </w:r>
            <w:r w:rsidR="00C54D75">
              <w:rPr>
                <w:rStyle w:val="Bodytext1811pt"/>
                <w:rFonts w:ascii="Sylfaen" w:hAnsi="Sylfaen"/>
                <w:sz w:val="24"/>
                <w:szCs w:val="24"/>
              </w:rPr>
              <w:t>և</w:t>
            </w:r>
            <w:r w:rsidRPr="003B2786">
              <w:rPr>
                <w:rStyle w:val="Bodytext1811pt"/>
                <w:rFonts w:ascii="Sylfaen" w:hAnsi="Sylfaen"/>
                <w:sz w:val="24"/>
                <w:szCs w:val="24"/>
              </w:rPr>
              <w:t xml:space="preserve"> (կամ) ակտիվ դեղագործական բաղադրամասի վերլուծական մեթոդիկաներին</w:t>
            </w:r>
          </w:p>
        </w:tc>
        <w:tc>
          <w:tcPr>
            <w:tcW w:w="1655" w:type="dxa"/>
            <w:gridSpan w:val="3"/>
            <w:tcBorders>
              <w:top w:val="single" w:sz="4" w:space="0" w:color="auto"/>
              <w:left w:val="single" w:sz="4" w:space="0" w:color="auto"/>
              <w:bottom w:val="single" w:sz="4" w:space="0" w:color="auto"/>
            </w:tcBorders>
            <w:shd w:val="clear" w:color="auto" w:fill="FFFFFF"/>
          </w:tcPr>
          <w:p w14:paraId="34BFEE0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bottom w:val="single" w:sz="4" w:space="0" w:color="auto"/>
            </w:tcBorders>
            <w:shd w:val="clear" w:color="auto" w:fill="FFFFFF"/>
          </w:tcPr>
          <w:p w14:paraId="421C1C3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4B72A23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7723A97"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tcPr>
          <w:p w14:paraId="38CAA099" w14:textId="77777777" w:rsidR="008C76E0" w:rsidRPr="008C76E0" w:rsidRDefault="008C76E0" w:rsidP="008C76E0">
            <w:pPr>
              <w:pStyle w:val="Bodytext180"/>
              <w:shd w:val="clear" w:color="auto" w:fill="auto"/>
              <w:tabs>
                <w:tab w:val="left" w:pos="573"/>
              </w:tabs>
              <w:spacing w:before="0" w:after="120" w:line="240" w:lineRule="auto"/>
              <w:ind w:left="52"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07FD955" w14:textId="77777777" w:rsidR="008C76E0" w:rsidRPr="008C76E0" w:rsidRDefault="008C76E0" w:rsidP="008C76E0">
            <w:pPr>
              <w:pStyle w:val="Bodytext180"/>
              <w:shd w:val="clear" w:color="auto" w:fill="auto"/>
              <w:tabs>
                <w:tab w:val="left" w:pos="573"/>
              </w:tabs>
              <w:spacing w:before="0" w:after="120" w:line="240" w:lineRule="auto"/>
              <w:ind w:left="51"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Նախագծային դաշտը մշակվել է Միության համապատասխան փաստաթղթերի </w:t>
            </w:r>
            <w:r w:rsidR="00C54D75">
              <w:rPr>
                <w:rStyle w:val="Bodytext1811pt"/>
                <w:rFonts w:ascii="Sylfaen" w:hAnsi="Sylfaen"/>
                <w:sz w:val="24"/>
                <w:szCs w:val="24"/>
              </w:rPr>
              <w:t>և</w:t>
            </w:r>
            <w:r w:rsidRPr="003B2786">
              <w:rPr>
                <w:rStyle w:val="Bodytext1811pt"/>
                <w:rFonts w:ascii="Sylfaen" w:hAnsi="Sylfaen"/>
                <w:sz w:val="24"/>
                <w:szCs w:val="24"/>
              </w:rPr>
              <w:t xml:space="preserve"> միջազգային գիտական ձեռնարկների հիման վրա։ Արտադրանքի, գործընթացի մշակման </w:t>
            </w:r>
            <w:r w:rsidR="00C54D75">
              <w:rPr>
                <w:rStyle w:val="Bodytext1811pt"/>
                <w:rFonts w:ascii="Sylfaen" w:hAnsi="Sylfaen"/>
                <w:sz w:val="24"/>
                <w:szCs w:val="24"/>
              </w:rPr>
              <w:t>և</w:t>
            </w:r>
            <w:r w:rsidRPr="003B2786">
              <w:rPr>
                <w:rStyle w:val="Bodytext1811pt"/>
                <w:rFonts w:ascii="Sylfaen" w:hAnsi="Sylfaen"/>
                <w:sz w:val="24"/>
                <w:szCs w:val="24"/>
              </w:rPr>
              <w:t xml:space="preserve"> վերլուծական մեթոդոլոգիայի հետազոտությունների արդյունքները (օրինակ՝ տարբեր պարամետրերի փոխազդեցությունը, որոնք ձ</w:t>
            </w:r>
            <w:r w:rsidR="00C54D75">
              <w:rPr>
                <w:rStyle w:val="Bodytext1811pt"/>
                <w:rFonts w:ascii="Sylfaen" w:hAnsi="Sylfaen"/>
                <w:sz w:val="24"/>
                <w:szCs w:val="24"/>
              </w:rPr>
              <w:t>և</w:t>
            </w:r>
            <w:r w:rsidRPr="003B2786">
              <w:rPr>
                <w:rStyle w:val="Bodytext1811pt"/>
                <w:rFonts w:ascii="Sylfaen" w:hAnsi="Sylfaen"/>
                <w:sz w:val="24"/>
                <w:szCs w:val="24"/>
              </w:rPr>
              <w:t xml:space="preserve">ավորում են հետազոտության ենթակա նախագծային դաշտը, ներառյալ՝ ռիսկերի գնահատումը </w:t>
            </w:r>
            <w:r w:rsidR="00C54D75">
              <w:rPr>
                <w:rStyle w:val="Bodytext1811pt"/>
                <w:rFonts w:ascii="Sylfaen" w:hAnsi="Sylfaen"/>
                <w:sz w:val="24"/>
                <w:szCs w:val="24"/>
              </w:rPr>
              <w:t>և</w:t>
            </w:r>
            <w:r w:rsidRPr="003B2786">
              <w:rPr>
                <w:rStyle w:val="Bodytext1811pt"/>
                <w:rFonts w:ascii="Sylfaen" w:hAnsi="Sylfaen"/>
                <w:sz w:val="24"/>
                <w:szCs w:val="24"/>
              </w:rPr>
              <w:t xml:space="preserve"> բազմաչափ հետազոտությունները՝ համապատասխանաբար), որոնք համապատասխան դեպքերում հաստատում են, որ ակտիվ դեղագործական բաղադրամասի որակի կրիտիկական ցուցանիշների վերաբերյալ ձեռք է բերվել նյութերի որակի </w:t>
            </w:r>
            <w:r w:rsidR="00C54D75">
              <w:rPr>
                <w:rStyle w:val="Bodytext1811pt"/>
                <w:rFonts w:ascii="Sylfaen" w:hAnsi="Sylfaen"/>
                <w:sz w:val="24"/>
                <w:szCs w:val="24"/>
              </w:rPr>
              <w:t>և</w:t>
            </w:r>
            <w:r w:rsidRPr="003B2786">
              <w:rPr>
                <w:rStyle w:val="Bodytext1811pt"/>
                <w:rFonts w:ascii="Sylfaen" w:hAnsi="Sylfaen"/>
                <w:sz w:val="24"/>
                <w:szCs w:val="24"/>
              </w:rPr>
              <w:t xml:space="preserve"> գործընթացի պարամետրերի ցուցիչների ամբողջական </w:t>
            </w:r>
            <w:r w:rsidRPr="003B2786">
              <w:rPr>
                <w:rStyle w:val="Bodytext1811pt"/>
                <w:rFonts w:ascii="Sylfaen" w:hAnsi="Sylfaen"/>
                <w:sz w:val="24"/>
                <w:szCs w:val="24"/>
              </w:rPr>
              <w:lastRenderedPageBreak/>
              <w:t>մեխանիստական ընկալում:</w:t>
            </w:r>
          </w:p>
          <w:p w14:paraId="53C18438" w14:textId="77777777" w:rsidR="008C76E0" w:rsidRPr="008C76E0" w:rsidRDefault="008C76E0" w:rsidP="008C76E0">
            <w:pPr>
              <w:pStyle w:val="Bodytext180"/>
              <w:shd w:val="clear" w:color="auto" w:fill="auto"/>
              <w:tabs>
                <w:tab w:val="left" w:pos="573"/>
              </w:tabs>
              <w:spacing w:before="0" w:after="120" w:line="240" w:lineRule="auto"/>
              <w:ind w:left="52"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Նախագծային դաշտի նկարագրությունն աղյուսակի տեսքով, ներառյալ՝ փոփոխականները (նյութի հատկությունները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արտադրական գործընթացի պարամետրերը) </w:t>
            </w:r>
            <w:r w:rsidR="00C54D75">
              <w:rPr>
                <w:rStyle w:val="Bodytext1811pt"/>
                <w:rFonts w:ascii="Sylfaen" w:hAnsi="Sylfaen"/>
                <w:sz w:val="24"/>
                <w:szCs w:val="24"/>
              </w:rPr>
              <w:t>և</w:t>
            </w:r>
            <w:r w:rsidRPr="003B2786">
              <w:rPr>
                <w:rStyle w:val="Bodytext1811pt"/>
                <w:rFonts w:ascii="Sylfaen" w:hAnsi="Sylfaen"/>
                <w:sz w:val="24"/>
                <w:szCs w:val="24"/>
              </w:rPr>
              <w:t xml:space="preserve"> դրանց առաջարկվող տիրույթները:</w:t>
            </w:r>
          </w:p>
          <w:p w14:paraId="41FA393A" w14:textId="77777777" w:rsidR="008C76E0" w:rsidRPr="008C76E0" w:rsidRDefault="008C76E0" w:rsidP="008C76E0">
            <w:pPr>
              <w:pStyle w:val="Bodytext180"/>
              <w:shd w:val="clear" w:color="auto" w:fill="auto"/>
              <w:tabs>
                <w:tab w:val="left" w:pos="573"/>
              </w:tabs>
              <w:spacing w:before="0" w:after="120" w:line="240" w:lineRule="auto"/>
              <w:ind w:left="52"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w:t>
            </w:r>
          </w:p>
        </w:tc>
      </w:tr>
      <w:tr w:rsidR="008C76E0" w:rsidRPr="003B2786" w14:paraId="1E11AD5B"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43E8880" w14:textId="77777777" w:rsidR="008C76E0" w:rsidRPr="008C76E0" w:rsidRDefault="008C76E0" w:rsidP="008C76E0">
            <w:pPr>
              <w:pStyle w:val="Bodytext180"/>
              <w:shd w:val="clear" w:color="auto" w:fill="auto"/>
              <w:tabs>
                <w:tab w:val="left" w:pos="1076"/>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lastRenderedPageBreak/>
              <w:t>Բ.I.ե.2.</w:t>
            </w:r>
            <w:r w:rsidRPr="003B2786">
              <w:rPr>
                <w:rStyle w:val="Bodytext1811pt"/>
                <w:rFonts w:ascii="Sylfaen" w:hAnsi="Sylfaen"/>
                <w:sz w:val="24"/>
                <w:szCs w:val="24"/>
              </w:rPr>
              <w:tab/>
              <w:t>Ակտիվ դեղագործական բաղադրամասին առնչվող փոփոխությունների կառավարման հետգրանցումային արձանագրության ներմուծումը</w:t>
            </w:r>
          </w:p>
        </w:tc>
        <w:tc>
          <w:tcPr>
            <w:tcW w:w="1655" w:type="dxa"/>
            <w:gridSpan w:val="3"/>
            <w:tcBorders>
              <w:top w:val="single" w:sz="4" w:space="0" w:color="auto"/>
              <w:left w:val="single" w:sz="4" w:space="0" w:color="auto"/>
            </w:tcBorders>
            <w:shd w:val="clear" w:color="auto" w:fill="FFFFFF"/>
          </w:tcPr>
          <w:p w14:paraId="5E07619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5C3744C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4F557FB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F43FCF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27344B09" w14:textId="77777777" w:rsidR="008C76E0" w:rsidRPr="003B2786" w:rsidRDefault="008C76E0" w:rsidP="008C76E0">
            <w:pPr>
              <w:spacing w:after="120" w:line="240" w:lineRule="auto"/>
              <w:jc w:val="both"/>
              <w:rPr>
                <w:rFonts w:ascii="Sylfaen" w:hAnsi="Sylfaen"/>
                <w:sz w:val="24"/>
                <w:szCs w:val="24"/>
              </w:rPr>
            </w:pPr>
          </w:p>
        </w:tc>
        <w:tc>
          <w:tcPr>
            <w:tcW w:w="1655" w:type="dxa"/>
            <w:gridSpan w:val="3"/>
            <w:tcBorders>
              <w:top w:val="single" w:sz="4" w:space="0" w:color="auto"/>
              <w:left w:val="single" w:sz="4" w:space="0" w:color="auto"/>
            </w:tcBorders>
            <w:shd w:val="clear" w:color="auto" w:fill="FFFFFF"/>
          </w:tcPr>
          <w:p w14:paraId="1C2F5CF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600ED25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33A72BB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9900532"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5E4C7D80" w14:textId="77777777" w:rsidR="008C76E0" w:rsidRPr="008C76E0" w:rsidRDefault="008C76E0" w:rsidP="008C76E0">
            <w:pPr>
              <w:pStyle w:val="Bodytext180"/>
              <w:shd w:val="clear" w:color="auto" w:fill="auto"/>
              <w:spacing w:before="0" w:after="120" w:line="240" w:lineRule="auto"/>
              <w:ind w:left="51" w:right="4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7777550" w14:textId="77777777" w:rsidR="008C76E0" w:rsidRPr="008C76E0" w:rsidRDefault="008C76E0" w:rsidP="008C76E0">
            <w:pPr>
              <w:pStyle w:val="Bodytext180"/>
              <w:shd w:val="clear" w:color="auto" w:fill="auto"/>
              <w:tabs>
                <w:tab w:val="left" w:pos="573"/>
              </w:tabs>
              <w:spacing w:before="0" w:after="120" w:line="240" w:lineRule="auto"/>
              <w:ind w:left="52" w:right="3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Առաջարկվող փոփոխության մանրամասն նկարագրությունը:</w:t>
            </w:r>
          </w:p>
          <w:p w14:paraId="7CDC416B" w14:textId="77777777" w:rsidR="008C76E0" w:rsidRPr="008C76E0" w:rsidRDefault="008C76E0" w:rsidP="008C76E0">
            <w:pPr>
              <w:pStyle w:val="Bodytext180"/>
              <w:shd w:val="clear" w:color="auto" w:fill="auto"/>
              <w:tabs>
                <w:tab w:val="left" w:pos="573"/>
              </w:tabs>
              <w:spacing w:before="0" w:after="120" w:line="240" w:lineRule="auto"/>
              <w:ind w:left="52" w:right="3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բաղադրամասին առնչվող փոփոխությունների կառավարման արձանագրությունը։</w:t>
            </w:r>
          </w:p>
          <w:p w14:paraId="28C6B164" w14:textId="77777777" w:rsidR="008C76E0" w:rsidRPr="008C76E0" w:rsidRDefault="008C76E0" w:rsidP="008C76E0">
            <w:pPr>
              <w:pStyle w:val="Bodytext180"/>
              <w:shd w:val="clear" w:color="auto" w:fill="auto"/>
              <w:tabs>
                <w:tab w:val="left" w:pos="573"/>
              </w:tabs>
              <w:spacing w:before="0" w:after="120" w:line="240" w:lineRule="auto"/>
              <w:ind w:left="52" w:right="3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w:t>
            </w:r>
          </w:p>
        </w:tc>
      </w:tr>
      <w:tr w:rsidR="008C76E0" w:rsidRPr="003B2786" w14:paraId="24118D3D"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5242E06" w14:textId="77777777" w:rsidR="008C76E0" w:rsidRPr="008C76E0" w:rsidRDefault="008C76E0" w:rsidP="008C76E0">
            <w:pPr>
              <w:pStyle w:val="Bodytext180"/>
              <w:shd w:val="clear" w:color="auto" w:fill="auto"/>
              <w:tabs>
                <w:tab w:val="left" w:pos="1116"/>
              </w:tabs>
              <w:spacing w:before="0" w:line="240" w:lineRule="auto"/>
              <w:ind w:left="52" w:right="37" w:firstLine="0"/>
              <w:jc w:val="both"/>
              <w:rPr>
                <w:rFonts w:ascii="Sylfaen" w:hAnsi="Sylfaen"/>
                <w:b w:val="0"/>
                <w:sz w:val="24"/>
                <w:szCs w:val="24"/>
                <w:lang w:val="hy-AM"/>
              </w:rPr>
            </w:pPr>
            <w:r w:rsidRPr="003B2786">
              <w:rPr>
                <w:rStyle w:val="Bodytext1811pt"/>
                <w:rFonts w:ascii="Sylfaen" w:hAnsi="Sylfaen"/>
                <w:sz w:val="24"/>
                <w:szCs w:val="24"/>
              </w:rPr>
              <w:t>Բ.I.ե.З.</w:t>
            </w:r>
            <w:r w:rsidRPr="003B2786">
              <w:rPr>
                <w:rStyle w:val="Bodytext1811pt"/>
                <w:rFonts w:ascii="Sylfaen" w:hAnsi="Sylfaen"/>
                <w:sz w:val="24"/>
                <w:szCs w:val="24"/>
              </w:rPr>
              <w:tab/>
              <w:t>Ակտիվ դեղագործական բաղադրամասին առնչվող փոփոխությունների կառավարման հետգրանցումային արձանագրության բացառումը</w:t>
            </w:r>
          </w:p>
        </w:tc>
        <w:tc>
          <w:tcPr>
            <w:tcW w:w="1655" w:type="dxa"/>
            <w:gridSpan w:val="3"/>
            <w:tcBorders>
              <w:top w:val="single" w:sz="4" w:space="0" w:color="auto"/>
              <w:left w:val="single" w:sz="4" w:space="0" w:color="auto"/>
            </w:tcBorders>
            <w:shd w:val="clear" w:color="auto" w:fill="FFFFFF"/>
          </w:tcPr>
          <w:p w14:paraId="6806745E"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5AAB3255"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74B6CE34"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5B224C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506429D0" w14:textId="77777777" w:rsidR="008C76E0" w:rsidRPr="003B2786" w:rsidRDefault="008C76E0" w:rsidP="008C76E0">
            <w:pPr>
              <w:spacing w:after="0" w:line="240" w:lineRule="auto"/>
              <w:ind w:right="-1"/>
              <w:jc w:val="both"/>
              <w:rPr>
                <w:rFonts w:ascii="Sylfaen" w:hAnsi="Sylfaen"/>
                <w:sz w:val="24"/>
                <w:szCs w:val="24"/>
              </w:rPr>
            </w:pPr>
          </w:p>
        </w:tc>
        <w:tc>
          <w:tcPr>
            <w:tcW w:w="1655" w:type="dxa"/>
            <w:gridSpan w:val="3"/>
            <w:tcBorders>
              <w:top w:val="single" w:sz="4" w:space="0" w:color="auto"/>
              <w:left w:val="single" w:sz="4" w:space="0" w:color="auto"/>
            </w:tcBorders>
            <w:shd w:val="clear" w:color="auto" w:fill="FFFFFF"/>
          </w:tcPr>
          <w:p w14:paraId="2DA4E36F"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42" w:type="dxa"/>
            <w:gridSpan w:val="3"/>
            <w:tcBorders>
              <w:top w:val="single" w:sz="4" w:space="0" w:color="auto"/>
              <w:left w:val="single" w:sz="4" w:space="0" w:color="auto"/>
            </w:tcBorders>
            <w:shd w:val="clear" w:color="auto" w:fill="FFFFFF"/>
          </w:tcPr>
          <w:p w14:paraId="29B5EF1E"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43A32AEA" w14:textId="77777777" w:rsidR="008C76E0" w:rsidRPr="003B2786" w:rsidRDefault="008C76E0" w:rsidP="008C76E0">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445ACE04"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7E38E078" w14:textId="77777777" w:rsidR="008C76E0" w:rsidRPr="008C76E0" w:rsidRDefault="008C76E0" w:rsidP="008C76E0">
            <w:pPr>
              <w:pStyle w:val="Bodytext180"/>
              <w:shd w:val="clear" w:color="auto" w:fill="auto"/>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7084C0F" w14:textId="77777777" w:rsidR="008C76E0" w:rsidRPr="008C76E0" w:rsidRDefault="008C76E0" w:rsidP="008C76E0">
            <w:pPr>
              <w:pStyle w:val="Bodytext180"/>
              <w:shd w:val="clear" w:color="auto" w:fill="auto"/>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Ակտիվ դեղագործական բաղադրամասին առնչվող փոփոխությունների կառավարման հետգրանցումային արձանագրության բացառումը հետ</w:t>
            </w:r>
            <w:r w:rsidR="00C54D75">
              <w:rPr>
                <w:rStyle w:val="Bodytext1811pt"/>
                <w:rFonts w:ascii="Sylfaen" w:hAnsi="Sylfaen"/>
                <w:sz w:val="24"/>
                <w:szCs w:val="24"/>
              </w:rPr>
              <w:t>և</w:t>
            </w:r>
            <w:r w:rsidRPr="003B2786">
              <w:rPr>
                <w:rStyle w:val="Bodytext1811pt"/>
                <w:rFonts w:ascii="Sylfaen" w:hAnsi="Sylfaen"/>
                <w:sz w:val="24"/>
                <w:szCs w:val="24"/>
              </w:rPr>
              <w:t xml:space="preserve">անք չէ անկանխատեսելի իրավիճակների կամ արձանագրության մեջ նկարագրված փոփոխություններ կատարելու ընթացքում մասնագրերի անհամապատասխանության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որ</w:t>
            </w:r>
            <w:r w:rsidR="00C54D75">
              <w:rPr>
                <w:rStyle w:val="Bodytext1811pt"/>
                <w:rFonts w:ascii="Sylfaen" w:hAnsi="Sylfaen"/>
                <w:sz w:val="24"/>
                <w:szCs w:val="24"/>
              </w:rPr>
              <w:t>և</w:t>
            </w:r>
            <w:r w:rsidRPr="003B2786">
              <w:rPr>
                <w:rStyle w:val="Bodytext1811pt"/>
                <w:rFonts w:ascii="Sylfaen" w:hAnsi="Sylfaen"/>
                <w:sz w:val="24"/>
                <w:szCs w:val="24"/>
              </w:rPr>
              <w:t>է կերպ չի ազդում գրանցման դոսյեում ներառված հաստատված տեղեկությունների վրա։</w:t>
            </w:r>
          </w:p>
        </w:tc>
      </w:tr>
      <w:tr w:rsidR="008C76E0" w:rsidRPr="003B2786" w14:paraId="36E8B5E2"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6A9E3EE0" w14:textId="77777777" w:rsidR="008C76E0" w:rsidRPr="008C76E0" w:rsidRDefault="008C76E0" w:rsidP="008C76E0">
            <w:pPr>
              <w:pStyle w:val="Bodytext180"/>
              <w:shd w:val="clear" w:color="auto" w:fill="auto"/>
              <w:tabs>
                <w:tab w:val="left" w:pos="532"/>
              </w:tabs>
              <w:spacing w:before="0" w:line="240" w:lineRule="auto"/>
              <w:ind w:left="5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3DF05E5" w14:textId="77777777" w:rsidR="008C76E0" w:rsidRPr="008C76E0" w:rsidRDefault="008C76E0" w:rsidP="008C76E0">
            <w:pPr>
              <w:pStyle w:val="Bodytext180"/>
              <w:shd w:val="clear" w:color="auto" w:fill="auto"/>
              <w:tabs>
                <w:tab w:val="left" w:pos="532"/>
              </w:tabs>
              <w:spacing w:before="0" w:line="240" w:lineRule="auto"/>
              <w:ind w:left="5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Առաջարկվող բացառման հիմնավորումը:</w:t>
            </w:r>
          </w:p>
          <w:p w14:paraId="2DF1F8F6" w14:textId="77777777" w:rsidR="008C76E0" w:rsidRPr="008C76E0" w:rsidRDefault="008C76E0" w:rsidP="008C76E0">
            <w:pPr>
              <w:pStyle w:val="Bodytext180"/>
              <w:shd w:val="clear" w:color="auto" w:fill="auto"/>
              <w:tabs>
                <w:tab w:val="left" w:pos="532"/>
              </w:tabs>
              <w:spacing w:before="0" w:line="240" w:lineRule="auto"/>
              <w:ind w:left="5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w:t>
            </w:r>
          </w:p>
        </w:tc>
      </w:tr>
      <w:tr w:rsidR="008C76E0" w:rsidRPr="003B2786" w14:paraId="5F105EB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189661A4" w14:textId="77777777" w:rsidR="008C76E0" w:rsidRPr="008C76E0" w:rsidRDefault="008C76E0" w:rsidP="008C76E0">
            <w:pPr>
              <w:pStyle w:val="Bodytext180"/>
              <w:shd w:val="clear" w:color="auto" w:fill="auto"/>
              <w:tabs>
                <w:tab w:val="left" w:pos="532"/>
              </w:tabs>
              <w:spacing w:before="0" w:after="120" w:line="240" w:lineRule="auto"/>
              <w:ind w:left="52" w:right="50" w:firstLine="0"/>
              <w:jc w:val="both"/>
              <w:rPr>
                <w:rFonts w:ascii="Sylfaen" w:hAnsi="Sylfaen"/>
                <w:b w:val="0"/>
                <w:sz w:val="24"/>
                <w:szCs w:val="24"/>
                <w:lang w:val="hy-AM"/>
              </w:rPr>
            </w:pPr>
            <w:r w:rsidRPr="003B2786">
              <w:rPr>
                <w:rStyle w:val="Bodytext1811pt"/>
                <w:rFonts w:ascii="Sylfaen" w:hAnsi="Sylfaen"/>
                <w:sz w:val="24"/>
                <w:szCs w:val="24"/>
              </w:rPr>
              <w:t>ԲI.ե.4.</w:t>
            </w:r>
            <w:r w:rsidRPr="003B2786">
              <w:rPr>
                <w:rStyle w:val="Bodytext1811pt"/>
                <w:rFonts w:ascii="Sylfaen" w:hAnsi="Sylfaen"/>
                <w:sz w:val="24"/>
                <w:szCs w:val="24"/>
              </w:rPr>
              <w:tab/>
              <w:t>Փոփոխությունների կառավարման հաստատված արձանագրության փոփոխությունները</w:t>
            </w:r>
          </w:p>
        </w:tc>
        <w:tc>
          <w:tcPr>
            <w:tcW w:w="1655" w:type="dxa"/>
            <w:gridSpan w:val="3"/>
            <w:tcBorders>
              <w:top w:val="single" w:sz="4" w:space="0" w:color="auto"/>
              <w:left w:val="single" w:sz="4" w:space="0" w:color="auto"/>
            </w:tcBorders>
            <w:shd w:val="clear" w:color="auto" w:fill="FFFFFF"/>
          </w:tcPr>
          <w:p w14:paraId="5C2C8F7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3487CB1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5887713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77C128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120DA038" w14:textId="77777777" w:rsidR="008C76E0" w:rsidRPr="008C76E0" w:rsidRDefault="008C76E0" w:rsidP="008C76E0">
            <w:pPr>
              <w:pStyle w:val="Bodytext180"/>
              <w:shd w:val="clear" w:color="auto" w:fill="auto"/>
              <w:tabs>
                <w:tab w:val="left" w:pos="532"/>
              </w:tabs>
              <w:spacing w:before="0" w:after="120" w:line="240" w:lineRule="auto"/>
              <w:ind w:left="51"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փոփոխությունների կառավարման արձանագրության նշանակալի փոփոխությունները</w:t>
            </w:r>
          </w:p>
        </w:tc>
        <w:tc>
          <w:tcPr>
            <w:tcW w:w="1655" w:type="dxa"/>
            <w:gridSpan w:val="3"/>
            <w:tcBorders>
              <w:top w:val="single" w:sz="4" w:space="0" w:color="auto"/>
              <w:left w:val="single" w:sz="4" w:space="0" w:color="auto"/>
            </w:tcBorders>
            <w:shd w:val="clear" w:color="auto" w:fill="FFFFFF"/>
          </w:tcPr>
          <w:p w14:paraId="2FC837BF"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2F0F6517"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7CA600DD"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E55011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DDE87D9" w14:textId="77777777" w:rsidR="008C76E0" w:rsidRPr="008C76E0" w:rsidRDefault="008C76E0" w:rsidP="008C76E0">
            <w:pPr>
              <w:pStyle w:val="Bodytext180"/>
              <w:shd w:val="clear" w:color="auto" w:fill="auto"/>
              <w:tabs>
                <w:tab w:val="left" w:pos="532"/>
              </w:tabs>
              <w:spacing w:before="0" w:after="120" w:line="240" w:lineRule="auto"/>
              <w:ind w:left="51"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փոփոխությունների կառավարման արձանագրության ոչ նշանակալի </w:t>
            </w:r>
            <w:r w:rsidRPr="003B2786">
              <w:rPr>
                <w:rStyle w:val="Bodytext1811pt"/>
                <w:rFonts w:ascii="Sylfaen" w:hAnsi="Sylfaen"/>
                <w:sz w:val="24"/>
                <w:szCs w:val="24"/>
              </w:rPr>
              <w:lastRenderedPageBreak/>
              <w:t>փոփոխությունները, որոնք չեն փոխում արձանագրության մեջ նկարագրված ռազմավարությունը</w:t>
            </w:r>
          </w:p>
        </w:tc>
        <w:tc>
          <w:tcPr>
            <w:tcW w:w="1655" w:type="dxa"/>
            <w:gridSpan w:val="3"/>
            <w:tcBorders>
              <w:top w:val="single" w:sz="4" w:space="0" w:color="auto"/>
              <w:left w:val="single" w:sz="4" w:space="0" w:color="auto"/>
            </w:tcBorders>
            <w:shd w:val="clear" w:color="auto" w:fill="FFFFFF"/>
          </w:tcPr>
          <w:p w14:paraId="1D0E7763"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42" w:type="dxa"/>
            <w:gridSpan w:val="3"/>
            <w:tcBorders>
              <w:top w:val="single" w:sz="4" w:space="0" w:color="auto"/>
              <w:left w:val="single" w:sz="4" w:space="0" w:color="auto"/>
            </w:tcBorders>
            <w:shd w:val="clear" w:color="auto" w:fill="FFFFFF"/>
          </w:tcPr>
          <w:p w14:paraId="4F06C57D"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t>1</w:t>
            </w:r>
          </w:p>
        </w:tc>
        <w:tc>
          <w:tcPr>
            <w:tcW w:w="2098" w:type="dxa"/>
            <w:gridSpan w:val="3"/>
            <w:tcBorders>
              <w:top w:val="single" w:sz="4" w:space="0" w:color="auto"/>
              <w:left w:val="single" w:sz="4" w:space="0" w:color="auto"/>
              <w:right w:val="single" w:sz="4" w:space="0" w:color="auto"/>
            </w:tcBorders>
            <w:shd w:val="clear" w:color="auto" w:fill="FFFFFF"/>
          </w:tcPr>
          <w:p w14:paraId="51D332E9" w14:textId="77777777" w:rsidR="008C76E0" w:rsidRPr="003B2786" w:rsidRDefault="008C76E0" w:rsidP="008C76E0">
            <w:pPr>
              <w:pStyle w:val="Bodytext180"/>
              <w:shd w:val="clear" w:color="auto" w:fill="auto"/>
              <w:spacing w:before="0" w:after="120" w:line="240" w:lineRule="auto"/>
              <w:ind w:left="51"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2A48764F"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tcPr>
          <w:p w14:paraId="0E16BCA6" w14:textId="77777777" w:rsidR="008C76E0" w:rsidRPr="008C76E0" w:rsidRDefault="008C76E0" w:rsidP="008C76E0">
            <w:pPr>
              <w:pStyle w:val="Bodytext180"/>
              <w:shd w:val="clear" w:color="auto" w:fill="auto"/>
              <w:spacing w:before="0" w:line="240" w:lineRule="auto"/>
              <w:ind w:left="51" w:right="45"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94FED1F" w14:textId="77777777" w:rsidR="008C76E0" w:rsidRPr="008C76E0" w:rsidRDefault="008C76E0" w:rsidP="008C76E0">
            <w:pPr>
              <w:pStyle w:val="Bodytext180"/>
              <w:shd w:val="clear" w:color="auto" w:fill="auto"/>
              <w:spacing w:before="0" w:line="240" w:lineRule="auto"/>
              <w:ind w:left="51" w:right="45" w:firstLine="0"/>
              <w:jc w:val="both"/>
              <w:rPr>
                <w:rFonts w:ascii="Sylfaen" w:hAnsi="Sylfaen"/>
                <w:b w:val="0"/>
                <w:sz w:val="24"/>
                <w:szCs w:val="24"/>
                <w:lang w:val="hy-AM"/>
              </w:rPr>
            </w:pPr>
            <w:r w:rsidRPr="003B2786">
              <w:rPr>
                <w:rStyle w:val="Bodytext1811pt"/>
                <w:rFonts w:ascii="Sylfaen" w:hAnsi="Sylfaen"/>
                <w:sz w:val="24"/>
                <w:szCs w:val="24"/>
              </w:rPr>
              <w:t>Հայտարարագիր այն մասին, որ ցանկացած փոփոխություն պետք է տեղավորվի ընդունելիության գործող հաստատված չափորոշիչների տիրույթում: Բացի այդ, հայտարարագիր այն մասին, որ կենսաբանական (իմունաբանական) դեղապատրաստուկների առնչությամբ չի պահանջվում համադրելիության գնահատական:</w:t>
            </w:r>
          </w:p>
        </w:tc>
      </w:tr>
      <w:tr w:rsidR="008C76E0" w:rsidRPr="003B2786" w14:paraId="41C7FE4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8EF8972" w14:textId="77777777" w:rsidR="008C76E0" w:rsidRPr="008C76E0" w:rsidRDefault="008C76E0" w:rsidP="008C76E0">
            <w:pPr>
              <w:pStyle w:val="Bodytext180"/>
              <w:shd w:val="clear" w:color="auto" w:fill="auto"/>
              <w:tabs>
                <w:tab w:val="left" w:pos="560"/>
                <w:tab w:val="left" w:pos="1089"/>
              </w:tabs>
              <w:spacing w:before="0" w:after="120" w:line="240" w:lineRule="auto"/>
              <w:ind w:left="51" w:right="51" w:firstLine="0"/>
              <w:jc w:val="both"/>
              <w:rPr>
                <w:rFonts w:ascii="Sylfaen" w:hAnsi="Sylfaen"/>
                <w:b w:val="0"/>
                <w:sz w:val="24"/>
                <w:szCs w:val="24"/>
                <w:lang w:val="hy-AM"/>
              </w:rPr>
            </w:pPr>
            <w:r w:rsidRPr="003B2786">
              <w:rPr>
                <w:rStyle w:val="Bodytext1811pt"/>
                <w:rFonts w:ascii="Sylfaen" w:hAnsi="Sylfaen"/>
                <w:sz w:val="24"/>
                <w:szCs w:val="24"/>
              </w:rPr>
              <w:t>Բ.I.ե.5.</w:t>
            </w:r>
            <w:r w:rsidRPr="003B2786">
              <w:rPr>
                <w:rStyle w:val="Bodytext1811pt"/>
                <w:rFonts w:ascii="Sylfaen" w:hAnsi="Sylfaen"/>
                <w:sz w:val="24"/>
                <w:szCs w:val="24"/>
              </w:rPr>
              <w:tab/>
              <w:t>Փոփոխությունների կառավարման հաստատված արձանագրությամբ նախատեսված փոփոխությունների իրականացումը</w:t>
            </w:r>
          </w:p>
        </w:tc>
        <w:tc>
          <w:tcPr>
            <w:tcW w:w="1655" w:type="dxa"/>
            <w:gridSpan w:val="3"/>
            <w:tcBorders>
              <w:top w:val="single" w:sz="4" w:space="0" w:color="auto"/>
              <w:left w:val="single" w:sz="4" w:space="0" w:color="auto"/>
            </w:tcBorders>
            <w:shd w:val="clear" w:color="auto" w:fill="FFFFFF"/>
          </w:tcPr>
          <w:p w14:paraId="58789E9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266938A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2DAF868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2C48DB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0727D20" w14:textId="77777777" w:rsidR="008C76E0" w:rsidRPr="008C76E0" w:rsidRDefault="008C76E0" w:rsidP="008C76E0">
            <w:pPr>
              <w:pStyle w:val="Bodytext180"/>
              <w:shd w:val="clear" w:color="auto" w:fill="auto"/>
              <w:tabs>
                <w:tab w:val="left" w:pos="560"/>
              </w:tabs>
              <w:spacing w:before="0" w:after="120" w:line="240" w:lineRule="auto"/>
              <w:ind w:left="51" w:right="5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փոփոխությունների իրականացումը չի պահանջում լրացուցիչ օժանդակ տվյալներ</w:t>
            </w:r>
          </w:p>
        </w:tc>
        <w:tc>
          <w:tcPr>
            <w:tcW w:w="1655" w:type="dxa"/>
            <w:gridSpan w:val="3"/>
            <w:tcBorders>
              <w:top w:val="single" w:sz="4" w:space="0" w:color="auto"/>
              <w:left w:val="single" w:sz="4" w:space="0" w:color="auto"/>
            </w:tcBorders>
            <w:shd w:val="clear" w:color="auto" w:fill="FFFFFF"/>
          </w:tcPr>
          <w:p w14:paraId="3337093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2042" w:type="dxa"/>
            <w:gridSpan w:val="3"/>
            <w:tcBorders>
              <w:top w:val="single" w:sz="4" w:space="0" w:color="auto"/>
              <w:left w:val="single" w:sz="4" w:space="0" w:color="auto"/>
            </w:tcBorders>
            <w:shd w:val="clear" w:color="auto" w:fill="FFFFFF"/>
          </w:tcPr>
          <w:p w14:paraId="616985F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1, 2, 4</w:t>
            </w:r>
          </w:p>
        </w:tc>
        <w:tc>
          <w:tcPr>
            <w:tcW w:w="2098" w:type="dxa"/>
            <w:gridSpan w:val="3"/>
            <w:tcBorders>
              <w:top w:val="single" w:sz="4" w:space="0" w:color="auto"/>
              <w:left w:val="single" w:sz="4" w:space="0" w:color="auto"/>
              <w:right w:val="single" w:sz="4" w:space="0" w:color="auto"/>
            </w:tcBorders>
            <w:shd w:val="clear" w:color="auto" w:fill="FFFFFF"/>
          </w:tcPr>
          <w:p w14:paraId="2844CEF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06D096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97E1B04" w14:textId="77777777" w:rsidR="008C76E0" w:rsidRPr="008C76E0" w:rsidRDefault="008C76E0" w:rsidP="008C76E0">
            <w:pPr>
              <w:pStyle w:val="Bodytext180"/>
              <w:shd w:val="clear" w:color="auto" w:fill="auto"/>
              <w:tabs>
                <w:tab w:val="left" w:pos="560"/>
              </w:tabs>
              <w:spacing w:before="0" w:after="120" w:line="240" w:lineRule="auto"/>
              <w:ind w:left="51" w:right="5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փոփոխությունների իրականացումը պահանջում է լրացուցիչ օժանդակ տվյալներ</w:t>
            </w:r>
          </w:p>
        </w:tc>
        <w:tc>
          <w:tcPr>
            <w:tcW w:w="1655" w:type="dxa"/>
            <w:gridSpan w:val="3"/>
            <w:tcBorders>
              <w:top w:val="single" w:sz="4" w:space="0" w:color="auto"/>
              <w:left w:val="single" w:sz="4" w:space="0" w:color="auto"/>
            </w:tcBorders>
            <w:shd w:val="clear" w:color="auto" w:fill="FFFFFF"/>
          </w:tcPr>
          <w:p w14:paraId="75DF71C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181D770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98" w:type="dxa"/>
            <w:gridSpan w:val="3"/>
            <w:tcBorders>
              <w:top w:val="single" w:sz="4" w:space="0" w:color="auto"/>
              <w:left w:val="single" w:sz="4" w:space="0" w:color="auto"/>
              <w:right w:val="single" w:sz="4" w:space="0" w:color="auto"/>
            </w:tcBorders>
            <w:shd w:val="clear" w:color="auto" w:fill="FFFFFF"/>
          </w:tcPr>
          <w:p w14:paraId="3D6B176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01DBECB"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020DB4F8"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կենսաբանական (իմունաբանական) դեղապատրաստուկի փոփոխության իրականացումը</w:t>
            </w:r>
          </w:p>
        </w:tc>
        <w:tc>
          <w:tcPr>
            <w:tcW w:w="1655" w:type="dxa"/>
            <w:gridSpan w:val="3"/>
            <w:tcBorders>
              <w:top w:val="single" w:sz="4" w:space="0" w:color="auto"/>
              <w:left w:val="single" w:sz="4" w:space="0" w:color="auto"/>
            </w:tcBorders>
            <w:shd w:val="clear" w:color="auto" w:fill="FFFFFF"/>
          </w:tcPr>
          <w:p w14:paraId="62E442B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69DF6DC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w:t>
            </w:r>
          </w:p>
        </w:tc>
        <w:tc>
          <w:tcPr>
            <w:tcW w:w="2098" w:type="dxa"/>
            <w:gridSpan w:val="3"/>
            <w:tcBorders>
              <w:top w:val="single" w:sz="4" w:space="0" w:color="auto"/>
              <w:left w:val="single" w:sz="4" w:space="0" w:color="auto"/>
              <w:right w:val="single" w:sz="4" w:space="0" w:color="auto"/>
            </w:tcBorders>
            <w:shd w:val="clear" w:color="auto" w:fill="FFFFFF"/>
          </w:tcPr>
          <w:p w14:paraId="3B831DD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B57981A"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002D2FDE" w14:textId="77777777" w:rsidR="008C76E0" w:rsidRPr="008C76E0" w:rsidRDefault="008C76E0" w:rsidP="008C76E0">
            <w:pPr>
              <w:pStyle w:val="Bodytext180"/>
              <w:shd w:val="clear" w:color="auto" w:fill="auto"/>
              <w:spacing w:before="0" w:after="120" w:line="240" w:lineRule="auto"/>
              <w:ind w:right="44"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091FB03" w14:textId="77777777" w:rsidR="008C76E0" w:rsidRPr="008C76E0" w:rsidRDefault="008C76E0" w:rsidP="008C76E0">
            <w:pPr>
              <w:pStyle w:val="Bodytext180"/>
              <w:shd w:val="clear" w:color="auto" w:fill="auto"/>
              <w:spacing w:before="0" w:after="120" w:line="240" w:lineRule="auto"/>
              <w:ind w:right="44" w:firstLine="0"/>
              <w:jc w:val="both"/>
              <w:rPr>
                <w:rFonts w:ascii="Sylfaen" w:hAnsi="Sylfaen"/>
                <w:b w:val="0"/>
                <w:sz w:val="24"/>
                <w:szCs w:val="24"/>
                <w:lang w:val="hy-AM"/>
              </w:rPr>
            </w:pPr>
            <w:r w:rsidRPr="003B2786">
              <w:rPr>
                <w:rStyle w:val="Bodytext1811pt"/>
                <w:rFonts w:ascii="Sylfaen" w:hAnsi="Sylfaen"/>
                <w:sz w:val="24"/>
                <w:szCs w:val="24"/>
              </w:rPr>
              <w:t>Առաջարկվող փոփոխությունն իրականացվել է փոփոխությունների կառավարման հաստատված արձանագրությանը լիովին համապատասխան:</w:t>
            </w:r>
          </w:p>
        </w:tc>
      </w:tr>
      <w:tr w:rsidR="008C76E0" w:rsidRPr="003B2786" w14:paraId="7AF1E2AB"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A7308E4"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A28FECD"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Հղում՝ փոփոխությունների կառավարման հաստատված արձանագրությանը:</w:t>
            </w:r>
          </w:p>
          <w:p w14:paraId="51C3CE7F"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փոփոխությունը համապատասխանում է փոփոխությունների կառավարման հաստատված արձանագրությանը, </w:t>
            </w:r>
            <w:r w:rsidR="00C54D75">
              <w:rPr>
                <w:rStyle w:val="Bodytext1811pt"/>
                <w:rFonts w:ascii="Sylfaen" w:hAnsi="Sylfaen"/>
                <w:sz w:val="24"/>
                <w:szCs w:val="24"/>
              </w:rPr>
              <w:t>և</w:t>
            </w:r>
            <w:r w:rsidRPr="003B2786">
              <w:rPr>
                <w:rStyle w:val="Bodytext1811pt"/>
                <w:rFonts w:ascii="Sylfaen" w:hAnsi="Sylfaen"/>
                <w:sz w:val="24"/>
                <w:szCs w:val="24"/>
              </w:rPr>
              <w:t xml:space="preserve"> որ ուսումնասիրության արդյունքները բավարարում են արձանագրության մեջ նախօրոք պայմանավորված ընդունելիության չափորոշիչներին: Բացի այդ, հայտարարագիր այն մասին, որ կենսաբանական (իմունաբանական) դեղապատրաստուկների առնչությամբ չի պահանջվում համադրելիության գնահատական:</w:t>
            </w:r>
          </w:p>
          <w:p w14:paraId="5FD5B7AD"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Հետազոտության արդյունքները, որոնք անցկացվել են փոփոխությունների կառավարման հաստատված արձանագրությանը համապատասխան:</w:t>
            </w:r>
          </w:p>
          <w:p w14:paraId="24F44403"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ուղղումը:</w:t>
            </w:r>
          </w:p>
          <w:p w14:paraId="49E1EA9A" w14:textId="77777777" w:rsidR="008C76E0" w:rsidRPr="008C76E0" w:rsidRDefault="008C76E0" w:rsidP="008C76E0">
            <w:pPr>
              <w:pStyle w:val="Bodytext180"/>
              <w:shd w:val="clear" w:color="auto" w:fill="auto"/>
              <w:tabs>
                <w:tab w:val="left" w:pos="614"/>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Դեղագործական ակտիվ բաղադրամասի վերաբերյալ հաստատված մասնագրերի պատճենը։</w:t>
            </w:r>
          </w:p>
        </w:tc>
      </w:tr>
      <w:tr w:rsidR="008C76E0" w:rsidRPr="003B2786" w14:paraId="0DBEFEEA" w14:textId="77777777" w:rsidTr="008C76E0">
        <w:trPr>
          <w:gridAfter w:val="1"/>
          <w:wAfter w:w="14" w:type="dxa"/>
          <w:jc w:val="center"/>
        </w:trPr>
        <w:tc>
          <w:tcPr>
            <w:tcW w:w="10387" w:type="dxa"/>
            <w:gridSpan w:val="14"/>
            <w:tcBorders>
              <w:top w:val="single" w:sz="4" w:space="0" w:color="auto"/>
            </w:tcBorders>
            <w:shd w:val="clear" w:color="auto" w:fill="FFFFFF"/>
            <w:vAlign w:val="bottom"/>
          </w:tcPr>
          <w:p w14:paraId="2C91BA53" w14:textId="77777777" w:rsidR="008C76E0" w:rsidRPr="003B2786" w:rsidRDefault="008C76E0" w:rsidP="008C76E0">
            <w:pPr>
              <w:pStyle w:val="Bodytext180"/>
              <w:shd w:val="clear" w:color="auto" w:fill="auto"/>
              <w:spacing w:before="0" w:after="120" w:line="240" w:lineRule="auto"/>
              <w:ind w:right="-1" w:firstLine="0"/>
              <w:jc w:val="both"/>
              <w:rPr>
                <w:rStyle w:val="Bodytext295pt"/>
                <w:rFonts w:ascii="Sylfaen" w:hAnsi="Sylfaen"/>
                <w:sz w:val="24"/>
                <w:szCs w:val="24"/>
              </w:rPr>
            </w:pPr>
            <w:r w:rsidRPr="003B2786">
              <w:rPr>
                <w:rStyle w:val="Bodytext295pt"/>
                <w:rFonts w:ascii="Sylfaen" w:hAnsi="Sylfaen"/>
                <w:sz w:val="24"/>
                <w:szCs w:val="24"/>
              </w:rPr>
              <w:lastRenderedPageBreak/>
              <w:t>Բ.II</w:t>
            </w:r>
            <w:r w:rsidRPr="003B2786">
              <w:rPr>
                <w:rStyle w:val="Bodytext295pt"/>
                <w:rFonts w:ascii="Sylfaen" w:hAnsi="Sylfaen"/>
                <w:sz w:val="24"/>
                <w:szCs w:val="24"/>
              </w:rPr>
              <w:tab/>
              <w:t>Դեղապատրաստուկ</w:t>
            </w:r>
          </w:p>
          <w:p w14:paraId="6DA5D3E6" w14:textId="77777777" w:rsidR="008C76E0" w:rsidRPr="008C76E0" w:rsidRDefault="008C76E0" w:rsidP="008C76E0">
            <w:pPr>
              <w:pStyle w:val="Bodytext180"/>
              <w:shd w:val="clear" w:color="auto" w:fill="auto"/>
              <w:spacing w:before="0" w:after="120" w:line="240" w:lineRule="auto"/>
              <w:ind w:right="-1" w:firstLine="0"/>
              <w:jc w:val="both"/>
              <w:rPr>
                <w:rFonts w:ascii="Sylfaen" w:hAnsi="Sylfaen"/>
                <w:sz w:val="24"/>
                <w:szCs w:val="24"/>
                <w:lang w:val="hy-AM"/>
              </w:rPr>
            </w:pPr>
            <w:r w:rsidRPr="003B2786">
              <w:rPr>
                <w:rStyle w:val="Bodytext295pt"/>
                <w:rFonts w:ascii="Sylfaen" w:hAnsi="Sylfaen"/>
                <w:sz w:val="24"/>
                <w:szCs w:val="24"/>
              </w:rPr>
              <w:t xml:space="preserve"> Б.II.ա) Արտաքին տեսքը </w:t>
            </w:r>
            <w:r w:rsidR="00C54D75">
              <w:rPr>
                <w:rStyle w:val="Bodytext295pt"/>
                <w:rFonts w:ascii="Sylfaen" w:hAnsi="Sylfaen"/>
                <w:sz w:val="24"/>
                <w:szCs w:val="24"/>
              </w:rPr>
              <w:t>և</w:t>
            </w:r>
            <w:r w:rsidRPr="003B2786">
              <w:rPr>
                <w:rStyle w:val="Bodytext295pt"/>
                <w:rFonts w:ascii="Sylfaen" w:hAnsi="Sylfaen"/>
                <w:sz w:val="24"/>
                <w:szCs w:val="24"/>
              </w:rPr>
              <w:t xml:space="preserve"> բաղադրությունը</w:t>
            </w:r>
          </w:p>
        </w:tc>
      </w:tr>
      <w:tr w:rsidR="008C76E0" w:rsidRPr="003B2786" w14:paraId="53C755E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3462142" w14:textId="77777777" w:rsidR="008C76E0" w:rsidRPr="008C76E0" w:rsidRDefault="008C76E0" w:rsidP="008C76E0">
            <w:pPr>
              <w:pStyle w:val="Bodytext180"/>
              <w:shd w:val="clear" w:color="auto" w:fill="auto"/>
              <w:tabs>
                <w:tab w:val="left" w:pos="1130"/>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Բ.II.ա.1.</w:t>
            </w:r>
            <w:r w:rsidRPr="003B2786">
              <w:rPr>
                <w:rStyle w:val="Bodytext1811pt"/>
                <w:rFonts w:ascii="Sylfaen" w:hAnsi="Sylfaen"/>
                <w:sz w:val="24"/>
                <w:szCs w:val="24"/>
              </w:rPr>
              <w:tab/>
              <w:t xml:space="preserve">Դրոշմվածքների, փորագրության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այլ նշանների փոփոխությունը կամ ավելացումը, այդ թվում՝ թանաքի փոփոխությունը կամ ավելացումը, որոնք օգտագործվել են դեղապատրաստուկի արտադրության ժամանակ</w:t>
            </w:r>
          </w:p>
        </w:tc>
        <w:tc>
          <w:tcPr>
            <w:tcW w:w="1655" w:type="dxa"/>
            <w:gridSpan w:val="3"/>
            <w:tcBorders>
              <w:top w:val="single" w:sz="4" w:space="0" w:color="auto"/>
              <w:left w:val="single" w:sz="4" w:space="0" w:color="auto"/>
            </w:tcBorders>
            <w:shd w:val="clear" w:color="auto" w:fill="FFFFFF"/>
          </w:tcPr>
          <w:p w14:paraId="6476E16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3FB2132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2D954D6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5013D9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2136CDC4"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դրոշմվածքների, փորագրության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այլ նշանների փոփոխությունները</w:t>
            </w:r>
          </w:p>
        </w:tc>
        <w:tc>
          <w:tcPr>
            <w:tcW w:w="1655" w:type="dxa"/>
            <w:gridSpan w:val="3"/>
            <w:tcBorders>
              <w:top w:val="single" w:sz="4" w:space="0" w:color="auto"/>
              <w:left w:val="single" w:sz="4" w:space="0" w:color="auto"/>
            </w:tcBorders>
            <w:shd w:val="clear" w:color="auto" w:fill="FFFFFF"/>
          </w:tcPr>
          <w:p w14:paraId="4E80AC0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42" w:type="dxa"/>
            <w:gridSpan w:val="3"/>
            <w:tcBorders>
              <w:top w:val="single" w:sz="4" w:space="0" w:color="auto"/>
              <w:left w:val="single" w:sz="4" w:space="0" w:color="auto"/>
            </w:tcBorders>
            <w:shd w:val="clear" w:color="auto" w:fill="FFFFFF"/>
          </w:tcPr>
          <w:p w14:paraId="39552C0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13865F4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00FF358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BA4C929" w14:textId="77777777" w:rsidR="008C76E0" w:rsidRPr="008C76E0" w:rsidRDefault="008C76E0" w:rsidP="008C76E0">
            <w:pPr>
              <w:pStyle w:val="Bodytext180"/>
              <w:shd w:val="clear" w:color="auto" w:fill="auto"/>
              <w:tabs>
                <w:tab w:val="left" w:pos="560"/>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կտրման գծերի (կոտրելու գծերի) փոփոխությունը, որոնք նախատեսված են հավասար դոզաների բաժանելու համար</w:t>
            </w:r>
          </w:p>
        </w:tc>
        <w:tc>
          <w:tcPr>
            <w:tcW w:w="1655" w:type="dxa"/>
            <w:gridSpan w:val="3"/>
            <w:tcBorders>
              <w:top w:val="single" w:sz="4" w:space="0" w:color="auto"/>
              <w:left w:val="single" w:sz="4" w:space="0" w:color="auto"/>
            </w:tcBorders>
            <w:shd w:val="clear" w:color="auto" w:fill="FFFFFF"/>
          </w:tcPr>
          <w:p w14:paraId="3BC5F4A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34484EF7"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w:t>
            </w:r>
          </w:p>
        </w:tc>
        <w:tc>
          <w:tcPr>
            <w:tcW w:w="2098" w:type="dxa"/>
            <w:gridSpan w:val="3"/>
            <w:tcBorders>
              <w:top w:val="single" w:sz="4" w:space="0" w:color="auto"/>
              <w:left w:val="single" w:sz="4" w:space="0" w:color="auto"/>
              <w:right w:val="single" w:sz="4" w:space="0" w:color="auto"/>
            </w:tcBorders>
            <w:shd w:val="clear" w:color="auto" w:fill="FFFFFF"/>
          </w:tcPr>
          <w:p w14:paraId="550A237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32241F2"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59B4E603" w14:textId="77777777" w:rsidR="008C76E0" w:rsidRPr="008C76E0" w:rsidRDefault="008C76E0" w:rsidP="008C76E0">
            <w:pPr>
              <w:pStyle w:val="Bodytext180"/>
              <w:shd w:val="clear" w:color="auto" w:fill="auto"/>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0BE8F1DD" w14:textId="77777777" w:rsidR="008C76E0" w:rsidRPr="008C76E0" w:rsidRDefault="008C76E0" w:rsidP="008C76E0">
            <w:pPr>
              <w:pStyle w:val="Bodytext180"/>
              <w:shd w:val="clear" w:color="auto" w:fill="auto"/>
              <w:tabs>
                <w:tab w:val="left" w:pos="60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Դեղապատրաստուկի մասնագրերը թողարկման պահին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ավարտին չեն փոփոխվում (բացառությամբ արտաքին տեսքի):</w:t>
            </w:r>
          </w:p>
          <w:p w14:paraId="02935207" w14:textId="77777777" w:rsidR="008C76E0" w:rsidRPr="008C76E0" w:rsidRDefault="008C76E0" w:rsidP="008C76E0">
            <w:pPr>
              <w:pStyle w:val="Bodytext180"/>
              <w:shd w:val="clear" w:color="auto" w:fill="auto"/>
              <w:tabs>
                <w:tab w:val="left" w:pos="60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Բոլոր թանաքները պետք է համապատասխանեն գործող դեղագործական օրենսդրությանը:</w:t>
            </w:r>
          </w:p>
          <w:p w14:paraId="68BE867F" w14:textId="77777777" w:rsidR="008C76E0" w:rsidRPr="008C76E0" w:rsidRDefault="008C76E0" w:rsidP="008C76E0">
            <w:pPr>
              <w:pStyle w:val="Bodytext180"/>
              <w:shd w:val="clear" w:color="auto" w:fill="auto"/>
              <w:tabs>
                <w:tab w:val="left" w:pos="60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Կտրման գծերը (կոտրելու գծերը) նախատեսված չեն հավասար դոզաների բաժանելու համար:</w:t>
            </w:r>
          </w:p>
          <w:p w14:paraId="703A9991" w14:textId="77777777" w:rsidR="008C76E0" w:rsidRPr="008C76E0" w:rsidRDefault="008C76E0" w:rsidP="008C76E0">
            <w:pPr>
              <w:pStyle w:val="Bodytext180"/>
              <w:shd w:val="clear" w:color="auto" w:fill="auto"/>
              <w:tabs>
                <w:tab w:val="left" w:pos="60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Դեղապատրաստուկի նշանները, որոնք օգտագործվում են դոզավորման տարբերակման համար, ամբողջությամբ հեռացված չեն:</w:t>
            </w:r>
          </w:p>
        </w:tc>
      </w:tr>
      <w:tr w:rsidR="008C76E0" w:rsidRPr="003B2786" w14:paraId="6F87B72B"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2448948B" w14:textId="77777777" w:rsidR="008C76E0" w:rsidRPr="003B2786" w:rsidRDefault="008C76E0" w:rsidP="008C76E0">
            <w:pPr>
              <w:pStyle w:val="Bodytext180"/>
              <w:shd w:val="clear" w:color="auto" w:fill="auto"/>
              <w:spacing w:before="0" w:after="120" w:line="240" w:lineRule="auto"/>
              <w:ind w:left="40" w:right="45" w:firstLine="0"/>
              <w:jc w:val="both"/>
              <w:rPr>
                <w:rFonts w:ascii="Sylfaen" w:hAnsi="Sylfaen"/>
                <w:b w:val="0"/>
                <w:sz w:val="24"/>
                <w:szCs w:val="24"/>
              </w:rPr>
            </w:pPr>
            <w:r w:rsidRPr="003B2786">
              <w:rPr>
                <w:rStyle w:val="Bodytext1811pt"/>
                <w:rFonts w:ascii="Sylfaen" w:hAnsi="Sylfaen"/>
                <w:sz w:val="24"/>
                <w:szCs w:val="24"/>
              </w:rPr>
              <w:t>Փաստաթղթերը</w:t>
            </w:r>
          </w:p>
          <w:p w14:paraId="0F7751BF" w14:textId="77777777" w:rsidR="008C76E0" w:rsidRPr="003B2786" w:rsidRDefault="008C76E0" w:rsidP="008C76E0">
            <w:pPr>
              <w:pStyle w:val="Bodytext180"/>
              <w:numPr>
                <w:ilvl w:val="0"/>
                <w:numId w:val="19"/>
              </w:numPr>
              <w:shd w:val="clear" w:color="auto" w:fill="auto"/>
              <w:spacing w:before="0" w:after="120" w:line="240" w:lineRule="auto"/>
              <w:ind w:left="40" w:right="45"/>
              <w:jc w:val="both"/>
              <w:rPr>
                <w:rFonts w:ascii="Sylfaen" w:hAnsi="Sylfaen"/>
                <w:b w:val="0"/>
                <w:sz w:val="24"/>
                <w:szCs w:val="24"/>
              </w:rPr>
            </w:pPr>
            <w:r w:rsidRPr="003B2786">
              <w:rPr>
                <w:rStyle w:val="Bodytext1811pt"/>
                <w:rFonts w:ascii="Sylfaen" w:hAnsi="Sylfaen"/>
                <w:sz w:val="24"/>
                <w:szCs w:val="24"/>
              </w:rPr>
              <w:t xml:space="preserve">Դոսյեի համապատասխան բաժնում (բաժիններում) ուղղումը, ներառյալ՝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նոր արտաքին տեսքի մանրամասն գրաֆիկական կամ նկարագրական նկարագրությունը,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վերաբերյալ տեղեկատվության համապատասխան վերանայումը։</w:t>
            </w:r>
          </w:p>
        </w:tc>
      </w:tr>
      <w:tr w:rsidR="008C76E0" w:rsidRPr="003B2786" w14:paraId="12510B24"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448AE1F5" w14:textId="77777777" w:rsidR="008C76E0" w:rsidRPr="008C76E0" w:rsidRDefault="008C76E0" w:rsidP="008C76E0">
            <w:pPr>
              <w:pStyle w:val="Bodytext180"/>
              <w:shd w:val="clear" w:color="auto" w:fill="auto"/>
              <w:tabs>
                <w:tab w:val="left" w:pos="600"/>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դեղապատրաստուկի նմուշները:</w:t>
            </w:r>
          </w:p>
          <w:p w14:paraId="1F0B5F3B" w14:textId="77777777" w:rsidR="008C76E0" w:rsidRPr="008C76E0" w:rsidRDefault="008C76E0" w:rsidP="008C76E0">
            <w:pPr>
              <w:pStyle w:val="Bodytext180"/>
              <w:shd w:val="clear" w:color="auto" w:fill="auto"/>
              <w:tabs>
                <w:tab w:val="left" w:pos="600"/>
              </w:tabs>
              <w:spacing w:before="0" w:after="12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Հատկությունների համարժեքության համապատասխան փորձարկման արդյունքները (դոզավորման ճշտությունը), որոնք հաստատվում են ըստ Միության դեղագրքի:</w:t>
            </w:r>
          </w:p>
        </w:tc>
      </w:tr>
      <w:tr w:rsidR="008C76E0" w:rsidRPr="003B2786" w14:paraId="7F334652"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A251A1A" w14:textId="77777777" w:rsidR="008C76E0" w:rsidRPr="008C76E0" w:rsidRDefault="008C76E0" w:rsidP="008C76E0">
            <w:pPr>
              <w:pStyle w:val="Bodytext180"/>
              <w:shd w:val="clear" w:color="auto" w:fill="auto"/>
              <w:tabs>
                <w:tab w:val="left" w:pos="1157"/>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Բ.II.ա.2.</w:t>
            </w:r>
            <w:r w:rsidRPr="003B2786">
              <w:rPr>
                <w:rStyle w:val="Bodytext1811pt"/>
                <w:rFonts w:ascii="Sylfaen" w:hAnsi="Sylfaen"/>
                <w:sz w:val="24"/>
                <w:szCs w:val="24"/>
              </w:rPr>
              <w:tab/>
              <w:t>Դեղաձ</w:t>
            </w:r>
            <w:r w:rsidR="00C54D75">
              <w:rPr>
                <w:rStyle w:val="Bodytext1811pt"/>
                <w:rFonts w:ascii="Sylfaen" w:hAnsi="Sylfaen"/>
                <w:sz w:val="24"/>
                <w:szCs w:val="24"/>
              </w:rPr>
              <w:t>և</w:t>
            </w:r>
            <w:r w:rsidRPr="003B2786">
              <w:rPr>
                <w:rStyle w:val="Bodytext1811pt"/>
                <w:rFonts w:ascii="Sylfaen" w:hAnsi="Sylfaen"/>
                <w:sz w:val="24"/>
                <w:szCs w:val="24"/>
              </w:rPr>
              <w:t>ի տեսակի կամ չափսերի փոփոխությունը</w:t>
            </w:r>
          </w:p>
        </w:tc>
        <w:tc>
          <w:tcPr>
            <w:tcW w:w="1655" w:type="dxa"/>
            <w:gridSpan w:val="3"/>
            <w:tcBorders>
              <w:top w:val="single" w:sz="4" w:space="0" w:color="auto"/>
              <w:left w:val="single" w:sz="4" w:space="0" w:color="auto"/>
            </w:tcBorders>
            <w:shd w:val="clear" w:color="auto" w:fill="FFFFFF"/>
          </w:tcPr>
          <w:p w14:paraId="0C672FDD"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6DA3F1A5"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457A4845"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CADDD4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D1DAE06" w14:textId="77777777" w:rsidR="008C76E0" w:rsidRPr="008C76E0" w:rsidRDefault="008C76E0" w:rsidP="008C76E0">
            <w:pPr>
              <w:pStyle w:val="Bodytext180"/>
              <w:shd w:val="clear" w:color="auto" w:fill="auto"/>
              <w:tabs>
                <w:tab w:val="left" w:pos="505"/>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հաբեր, դեղապատիճներ, մոմիկներ </w:t>
            </w:r>
            <w:r w:rsidR="00C54D75">
              <w:rPr>
                <w:rStyle w:val="Bodytext1811pt"/>
                <w:rFonts w:ascii="Sylfaen" w:hAnsi="Sylfaen"/>
                <w:sz w:val="24"/>
                <w:szCs w:val="24"/>
              </w:rPr>
              <w:t>և</w:t>
            </w:r>
            <w:r w:rsidRPr="003B2786">
              <w:rPr>
                <w:rStyle w:val="Bodytext1811pt"/>
                <w:rFonts w:ascii="Sylfaen" w:hAnsi="Sylfaen"/>
                <w:sz w:val="24"/>
                <w:szCs w:val="24"/>
              </w:rPr>
              <w:t xml:space="preserve"> հակաբեղմնավորիչ օղակներ՝ արագ ձերբազատմամբ</w:t>
            </w:r>
          </w:p>
        </w:tc>
        <w:tc>
          <w:tcPr>
            <w:tcW w:w="1655" w:type="dxa"/>
            <w:gridSpan w:val="3"/>
            <w:tcBorders>
              <w:top w:val="single" w:sz="4" w:space="0" w:color="auto"/>
              <w:left w:val="single" w:sz="4" w:space="0" w:color="auto"/>
            </w:tcBorders>
            <w:shd w:val="clear" w:color="auto" w:fill="FFFFFF"/>
          </w:tcPr>
          <w:p w14:paraId="26AA0E4C"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1, 2, 3, 4</w:t>
            </w:r>
          </w:p>
        </w:tc>
        <w:tc>
          <w:tcPr>
            <w:tcW w:w="2042" w:type="dxa"/>
            <w:gridSpan w:val="3"/>
            <w:tcBorders>
              <w:top w:val="single" w:sz="4" w:space="0" w:color="auto"/>
              <w:left w:val="single" w:sz="4" w:space="0" w:color="auto"/>
            </w:tcBorders>
            <w:shd w:val="clear" w:color="auto" w:fill="FFFFFF"/>
          </w:tcPr>
          <w:p w14:paraId="64F345A9"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1, 4</w:t>
            </w:r>
          </w:p>
        </w:tc>
        <w:tc>
          <w:tcPr>
            <w:tcW w:w="2098" w:type="dxa"/>
            <w:gridSpan w:val="3"/>
            <w:tcBorders>
              <w:top w:val="single" w:sz="4" w:space="0" w:color="auto"/>
              <w:left w:val="single" w:sz="4" w:space="0" w:color="auto"/>
              <w:right w:val="single" w:sz="4" w:space="0" w:color="auto"/>
            </w:tcBorders>
            <w:shd w:val="clear" w:color="auto" w:fill="FFFFFF"/>
          </w:tcPr>
          <w:p w14:paraId="63C44C3E"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69E238FC"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350F0F8A" w14:textId="77777777" w:rsidR="008C76E0" w:rsidRPr="008C76E0" w:rsidRDefault="008C76E0" w:rsidP="008C76E0">
            <w:pPr>
              <w:pStyle w:val="Bodytext180"/>
              <w:shd w:val="clear" w:color="auto" w:fill="auto"/>
              <w:tabs>
                <w:tab w:val="left" w:pos="505"/>
              </w:tabs>
              <w:spacing w:before="0" w:after="12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հետաձգված, մոդիֆիկացված կամ երկարաձգված ձերբազատմամբ դեղաձ</w:t>
            </w:r>
            <w:r w:rsidR="00C54D75">
              <w:rPr>
                <w:rStyle w:val="Bodytext1811pt"/>
                <w:rFonts w:ascii="Sylfaen" w:hAnsi="Sylfaen"/>
                <w:sz w:val="24"/>
                <w:szCs w:val="24"/>
              </w:rPr>
              <w:t>և</w:t>
            </w:r>
            <w:r w:rsidRPr="003B2786">
              <w:rPr>
                <w:rStyle w:val="Bodytext1811pt"/>
                <w:rFonts w:ascii="Sylfaen" w:hAnsi="Sylfaen"/>
                <w:sz w:val="24"/>
                <w:szCs w:val="24"/>
              </w:rPr>
              <w:t xml:space="preserve">եր </w:t>
            </w:r>
            <w:r w:rsidR="00C54D75">
              <w:rPr>
                <w:rStyle w:val="Bodytext1811pt"/>
                <w:rFonts w:ascii="Sylfaen" w:hAnsi="Sylfaen"/>
                <w:sz w:val="24"/>
                <w:szCs w:val="24"/>
              </w:rPr>
              <w:t>և</w:t>
            </w:r>
            <w:r w:rsidRPr="003B2786">
              <w:rPr>
                <w:rStyle w:val="Bodytext1811pt"/>
                <w:rFonts w:ascii="Sylfaen" w:hAnsi="Sylfaen"/>
                <w:sz w:val="24"/>
                <w:szCs w:val="24"/>
              </w:rPr>
              <w:t xml:space="preserve"> հավասար դոզաների </w:t>
            </w:r>
            <w:r w:rsidRPr="003B2786">
              <w:rPr>
                <w:rStyle w:val="Bodytext1811pt"/>
                <w:rFonts w:ascii="Sylfaen" w:hAnsi="Sylfaen"/>
                <w:sz w:val="24"/>
                <w:szCs w:val="24"/>
              </w:rPr>
              <w:lastRenderedPageBreak/>
              <w:t>բաժանման համար նախատեսված կտրման գծով հաբեր</w:t>
            </w:r>
          </w:p>
        </w:tc>
        <w:tc>
          <w:tcPr>
            <w:tcW w:w="1655" w:type="dxa"/>
            <w:gridSpan w:val="3"/>
            <w:tcBorders>
              <w:top w:val="single" w:sz="4" w:space="0" w:color="auto"/>
              <w:left w:val="single" w:sz="4" w:space="0" w:color="auto"/>
            </w:tcBorders>
            <w:shd w:val="clear" w:color="auto" w:fill="FFFFFF"/>
          </w:tcPr>
          <w:p w14:paraId="1DD3E8B1"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42" w:type="dxa"/>
            <w:gridSpan w:val="3"/>
            <w:tcBorders>
              <w:top w:val="single" w:sz="4" w:space="0" w:color="auto"/>
              <w:left w:val="single" w:sz="4" w:space="0" w:color="auto"/>
            </w:tcBorders>
            <w:shd w:val="clear" w:color="auto" w:fill="FFFFFF"/>
          </w:tcPr>
          <w:p w14:paraId="659293AF"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1, 2, 3, 4, 5</w:t>
            </w:r>
          </w:p>
        </w:tc>
        <w:tc>
          <w:tcPr>
            <w:tcW w:w="2098" w:type="dxa"/>
            <w:gridSpan w:val="3"/>
            <w:tcBorders>
              <w:top w:val="single" w:sz="4" w:space="0" w:color="auto"/>
              <w:left w:val="single" w:sz="4" w:space="0" w:color="auto"/>
              <w:right w:val="single" w:sz="4" w:space="0" w:color="auto"/>
            </w:tcBorders>
            <w:shd w:val="clear" w:color="auto" w:fill="FFFFFF"/>
          </w:tcPr>
          <w:p w14:paraId="4338820E"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B268C39"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6B11CF3" w14:textId="77777777" w:rsidR="008C76E0" w:rsidRPr="008C76E0" w:rsidRDefault="008C76E0" w:rsidP="008C76E0">
            <w:pPr>
              <w:pStyle w:val="Bodytext180"/>
              <w:shd w:val="clear" w:color="auto" w:fill="auto"/>
              <w:tabs>
                <w:tab w:val="left" w:pos="505"/>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լրացման այլ ծավալով ռադիոդեղագործական դեղապատրաստուկի համար նոր հավաքածուի ավելացում</w:t>
            </w:r>
          </w:p>
        </w:tc>
        <w:tc>
          <w:tcPr>
            <w:tcW w:w="1655" w:type="dxa"/>
            <w:gridSpan w:val="3"/>
            <w:tcBorders>
              <w:top w:val="single" w:sz="4" w:space="0" w:color="auto"/>
              <w:left w:val="single" w:sz="4" w:space="0" w:color="auto"/>
            </w:tcBorders>
            <w:shd w:val="clear" w:color="auto" w:fill="FFFFFF"/>
          </w:tcPr>
          <w:p w14:paraId="73B0645A"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5106B4E0"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0955C9AC" w14:textId="77777777" w:rsidR="008C76E0" w:rsidRPr="003B2786" w:rsidRDefault="008C76E0" w:rsidP="008C76E0">
            <w:pPr>
              <w:pStyle w:val="Bodytext180"/>
              <w:shd w:val="clear" w:color="auto" w:fill="auto"/>
              <w:spacing w:before="0" w:after="120" w:line="240" w:lineRule="auto"/>
              <w:ind w:left="39" w:right="44"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F2A9380"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50DE3E26" w14:textId="77777777" w:rsidR="008C76E0" w:rsidRPr="008C76E0" w:rsidRDefault="008C76E0" w:rsidP="008C76E0">
            <w:pPr>
              <w:pStyle w:val="Bodytext180"/>
              <w:shd w:val="clear" w:color="auto" w:fill="auto"/>
              <w:tabs>
                <w:tab w:val="left" w:pos="560"/>
              </w:tabs>
              <w:spacing w:before="0" w:line="240" w:lineRule="auto"/>
              <w:ind w:left="40" w:right="4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790310AB" w14:textId="77777777" w:rsidR="008C76E0" w:rsidRPr="008C76E0" w:rsidRDefault="008C76E0" w:rsidP="008C76E0">
            <w:pPr>
              <w:pStyle w:val="Bodytext180"/>
              <w:shd w:val="clear" w:color="auto" w:fill="auto"/>
              <w:tabs>
                <w:tab w:val="left" w:pos="56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Փոփոխված դեղապատրաստուկի լուծելիության պրոֆիլը համադրելի է հնի հետ, եթե կիրառելի է: Լուծելիության փորձարկման անցկացման անհնարինության դեպքում նոր դեղապատրաստուկի տրոհելիության ժամանակը՝ չփոփոխվածի համեմատությամբ:</w:t>
            </w:r>
          </w:p>
          <w:p w14:paraId="05A35A4C" w14:textId="77777777" w:rsidR="008C76E0" w:rsidRPr="008C76E0" w:rsidRDefault="008C76E0" w:rsidP="008C76E0">
            <w:pPr>
              <w:pStyle w:val="Bodytext180"/>
              <w:shd w:val="clear" w:color="auto" w:fill="auto"/>
              <w:tabs>
                <w:tab w:val="left" w:pos="560"/>
              </w:tabs>
              <w:spacing w:before="0" w:line="240" w:lineRule="auto"/>
              <w:ind w:left="40" w:right="4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Դեղապատրաստուկի մասնագրերը թողարկման պահին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ավարտին չեն փոփոխվել (բացառությամբ դեղաձ</w:t>
            </w:r>
            <w:r w:rsidR="00C54D75">
              <w:rPr>
                <w:rStyle w:val="Bodytext1811pt"/>
                <w:rFonts w:ascii="Sylfaen" w:hAnsi="Sylfaen"/>
                <w:sz w:val="24"/>
                <w:szCs w:val="24"/>
              </w:rPr>
              <w:t>և</w:t>
            </w:r>
            <w:r w:rsidRPr="003B2786">
              <w:rPr>
                <w:rStyle w:val="Bodytext1811pt"/>
                <w:rFonts w:ascii="Sylfaen" w:hAnsi="Sylfaen"/>
                <w:sz w:val="24"/>
                <w:szCs w:val="24"/>
              </w:rPr>
              <w:t>ի չափսերի):</w:t>
            </w:r>
          </w:p>
          <w:p w14:paraId="66CBD7EB"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Քանական </w:t>
            </w:r>
            <w:r w:rsidR="00C54D75">
              <w:rPr>
                <w:rStyle w:val="Bodytext1811pt"/>
                <w:rFonts w:ascii="Sylfaen" w:hAnsi="Sylfaen"/>
                <w:sz w:val="24"/>
                <w:szCs w:val="24"/>
              </w:rPr>
              <w:t>և</w:t>
            </w:r>
            <w:r w:rsidRPr="003B2786">
              <w:rPr>
                <w:rStyle w:val="Bodytext1811pt"/>
                <w:rFonts w:ascii="Sylfaen" w:hAnsi="Sylfaen"/>
                <w:sz w:val="24"/>
                <w:szCs w:val="24"/>
              </w:rPr>
              <w:t xml:space="preserve"> որակական բաղադրությունը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միջին զանգվածը չի փոփոխվել։</w:t>
            </w:r>
          </w:p>
          <w:p w14:paraId="3527490F"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բաժանման գծով հաբին, որը նախատեսված է դեղաձ</w:t>
            </w:r>
            <w:r w:rsidR="00C54D75">
              <w:rPr>
                <w:rStyle w:val="Bodytext1811pt"/>
                <w:rFonts w:ascii="Sylfaen" w:hAnsi="Sylfaen"/>
                <w:sz w:val="24"/>
                <w:szCs w:val="24"/>
              </w:rPr>
              <w:t>և</w:t>
            </w:r>
            <w:r w:rsidRPr="003B2786">
              <w:rPr>
                <w:rStyle w:val="Bodytext1811pt"/>
                <w:rFonts w:ascii="Sylfaen" w:hAnsi="Sylfaen"/>
                <w:sz w:val="24"/>
                <w:szCs w:val="24"/>
              </w:rPr>
              <w:t>ը հավասար դոզաների բաժանելու համար:</w:t>
            </w:r>
          </w:p>
        </w:tc>
      </w:tr>
      <w:tr w:rsidR="008C76E0" w:rsidRPr="003B2786" w14:paraId="58723851"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tcPr>
          <w:p w14:paraId="5F69612D"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68C1E6B8"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Դոսյեի համապատասխան բաժնում (բաժիններում) ուղղումը, ներառյալ՝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արտաքին դիրքի մանրամասն գրաֆիկական նկարագրությունը,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վերաբերյալ տեղեկատվության վերանայումը՝ համապատասխանաբար։</w:t>
            </w:r>
          </w:p>
          <w:p w14:paraId="71BD05D8"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Առնվազն 1 փորձարարաարդյունաբերական սերիայի լուծելիության համեմատական տվյալները՝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չափսերով (նշանակալի տարբերությունների բացակայությունը՝ համադրելիության տեսանկյունից, տե՛ս Եվրասիական տնտեսական միությունում դեղապատրաստուկների կենսահամարժեքության հետազոտությունների անցկացման կանոնները (այսուհետ՝ Կենսահամարժեքության հետազոտությունների անցկացման կանոններ)): Բուսական դեղապատրաստուկների առնչությամբ կարող են ընդունելի լինել համեմատական տրոհելիության տվյալները:</w:t>
            </w:r>
          </w:p>
          <w:p w14:paraId="7B9629F9"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Կենսահամարժեքության նոր հետազոտության արդյունքները չներկայացնելու հիմնավորումը՝ Կենսահամարժեքության հետազոտությունների անցկացման կանոնների համաձայն:</w:t>
            </w:r>
          </w:p>
          <w:p w14:paraId="4AD5350F" w14:textId="77777777" w:rsidR="008C76E0" w:rsidRPr="008C76E0" w:rsidRDefault="008C76E0"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դեղապատրաստուկի նմուշները:</w:t>
            </w:r>
          </w:p>
          <w:p w14:paraId="7061672C" w14:textId="77777777" w:rsidR="008C76E0" w:rsidRPr="00E15E7D" w:rsidRDefault="008C76E0" w:rsidP="008C76E0">
            <w:pPr>
              <w:pStyle w:val="Bodytext180"/>
              <w:shd w:val="clear" w:color="auto" w:fill="auto"/>
              <w:tabs>
                <w:tab w:val="left" w:pos="560"/>
              </w:tabs>
              <w:spacing w:before="0" w:after="120" w:line="240" w:lineRule="auto"/>
              <w:ind w:left="39" w:right="44" w:firstLine="0"/>
              <w:jc w:val="both"/>
              <w:rPr>
                <w:rStyle w:val="Bodytext1811pt"/>
                <w:rFonts w:ascii="Sylfaen" w:hAnsi="Sylfaen"/>
                <w:sz w:val="24"/>
                <w:szCs w:val="24"/>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Համապատասխան փորձարկումների արդյունքները՝ ըստ Միության դեղագրքի, որոնք հաստատում են հատկությունների համարժեքությունը (ճիշտ դոզավորումը):</w:t>
            </w:r>
          </w:p>
          <w:p w14:paraId="63C0044F" w14:textId="77777777" w:rsidR="002F06F8" w:rsidRPr="00E15E7D" w:rsidRDefault="002F06F8" w:rsidP="008C76E0">
            <w:pPr>
              <w:pStyle w:val="Bodytext180"/>
              <w:shd w:val="clear" w:color="auto" w:fill="auto"/>
              <w:tabs>
                <w:tab w:val="left" w:pos="560"/>
              </w:tabs>
              <w:spacing w:before="0" w:after="120" w:line="240" w:lineRule="auto"/>
              <w:ind w:left="39" w:right="44" w:firstLine="0"/>
              <w:jc w:val="both"/>
              <w:rPr>
                <w:rFonts w:ascii="Sylfaen" w:hAnsi="Sylfaen"/>
                <w:b w:val="0"/>
                <w:sz w:val="24"/>
                <w:szCs w:val="24"/>
                <w:lang w:val="hy-AM"/>
              </w:rPr>
            </w:pPr>
          </w:p>
        </w:tc>
      </w:tr>
      <w:tr w:rsidR="008C76E0" w:rsidRPr="003B2786" w14:paraId="396477D4" w14:textId="77777777" w:rsidTr="008C76E0">
        <w:trPr>
          <w:gridAfter w:val="1"/>
          <w:wAfter w:w="14" w:type="dxa"/>
          <w:jc w:val="center"/>
        </w:trPr>
        <w:tc>
          <w:tcPr>
            <w:tcW w:w="1993" w:type="dxa"/>
            <w:tcBorders>
              <w:top w:val="single" w:sz="4" w:space="0" w:color="auto"/>
              <w:left w:val="single" w:sz="4" w:space="0" w:color="auto"/>
            </w:tcBorders>
            <w:shd w:val="clear" w:color="auto" w:fill="FFFFFF"/>
          </w:tcPr>
          <w:p w14:paraId="30E771AA" w14:textId="77777777" w:rsidR="008C76E0" w:rsidRPr="003B2786" w:rsidRDefault="008C76E0" w:rsidP="008C76E0">
            <w:pPr>
              <w:pStyle w:val="Bodytext180"/>
              <w:shd w:val="clear" w:color="auto" w:fill="auto"/>
              <w:spacing w:before="0" w:after="120" w:line="240" w:lineRule="auto"/>
              <w:ind w:right="-1" w:firstLine="0"/>
              <w:jc w:val="both"/>
              <w:rPr>
                <w:rFonts w:ascii="Sylfaen" w:hAnsi="Sylfaen"/>
                <w:b w:val="0"/>
                <w:sz w:val="24"/>
                <w:szCs w:val="24"/>
              </w:rPr>
            </w:pPr>
            <w:r w:rsidRPr="003B2786">
              <w:rPr>
                <w:rFonts w:ascii="Sylfaen" w:hAnsi="Sylfaen"/>
                <w:b w:val="0"/>
                <w:sz w:val="24"/>
                <w:szCs w:val="24"/>
              </w:rPr>
              <w:t>(*) Ծանոթագրություն</w:t>
            </w:r>
          </w:p>
        </w:tc>
        <w:tc>
          <w:tcPr>
            <w:tcW w:w="8394" w:type="dxa"/>
            <w:gridSpan w:val="13"/>
            <w:tcBorders>
              <w:top w:val="single" w:sz="4" w:space="0" w:color="auto"/>
              <w:left w:val="single" w:sz="4" w:space="0" w:color="auto"/>
              <w:right w:val="single" w:sz="4" w:space="0" w:color="auto"/>
            </w:tcBorders>
            <w:shd w:val="clear" w:color="auto" w:fill="FFFFFF"/>
          </w:tcPr>
          <w:p w14:paraId="3A00525C" w14:textId="77777777" w:rsidR="008C76E0" w:rsidRPr="003B2786" w:rsidRDefault="008C76E0" w:rsidP="008C76E0">
            <w:pPr>
              <w:pStyle w:val="Bodytext180"/>
              <w:shd w:val="clear" w:color="auto" w:fill="auto"/>
              <w:spacing w:before="0" w:after="120" w:line="240" w:lineRule="auto"/>
              <w:ind w:left="38" w:right="44" w:firstLine="0"/>
              <w:jc w:val="both"/>
              <w:rPr>
                <w:rFonts w:ascii="Sylfaen" w:hAnsi="Sylfaen"/>
                <w:b w:val="0"/>
                <w:sz w:val="24"/>
                <w:szCs w:val="24"/>
              </w:rPr>
            </w:pPr>
            <w:r w:rsidRPr="003B2786">
              <w:rPr>
                <w:rStyle w:val="Bodytext1811pt"/>
                <w:rFonts w:ascii="Sylfaen" w:hAnsi="Sylfaen"/>
                <w:sz w:val="24"/>
                <w:szCs w:val="24"/>
              </w:rPr>
              <w:t>Բ.II.ա.2.գ-ի համար դեղապատրաստուկի դոզավորման ցանկացած փոփոխություն պահանջում է գրանցման երկարաձգման վերաբերյալ դիմումի ներկայացում:</w:t>
            </w:r>
          </w:p>
        </w:tc>
      </w:tr>
      <w:tr w:rsidR="008C76E0" w:rsidRPr="003B2786" w14:paraId="666F29D7"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E55C2C6" w14:textId="77777777" w:rsidR="008C76E0" w:rsidRPr="008C76E0" w:rsidRDefault="008C76E0" w:rsidP="008C76E0">
            <w:pPr>
              <w:pStyle w:val="Bodytext180"/>
              <w:shd w:val="clear" w:color="auto" w:fill="auto"/>
              <w:tabs>
                <w:tab w:val="left" w:pos="1187"/>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t>Բ.II.ա.З.</w:t>
            </w:r>
            <w:r w:rsidRPr="003B2786">
              <w:rPr>
                <w:rStyle w:val="Bodytext1811pt"/>
                <w:rFonts w:ascii="Sylfaen" w:hAnsi="Sylfaen"/>
                <w:sz w:val="24"/>
                <w:szCs w:val="24"/>
              </w:rPr>
              <w:tab/>
              <w:t>Դեղապատրաստուկի բաղադրության (օժանդակ նյութերի) փոփոխությունը</w:t>
            </w:r>
          </w:p>
        </w:tc>
        <w:tc>
          <w:tcPr>
            <w:tcW w:w="1655" w:type="dxa"/>
            <w:gridSpan w:val="3"/>
            <w:tcBorders>
              <w:top w:val="single" w:sz="4" w:space="0" w:color="auto"/>
              <w:left w:val="single" w:sz="4" w:space="0" w:color="auto"/>
            </w:tcBorders>
            <w:shd w:val="clear" w:color="auto" w:fill="FFFFFF"/>
          </w:tcPr>
          <w:p w14:paraId="1B1E201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6DC0E27F"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1BBE166E"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69ABA30"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1A4F991" w14:textId="77777777" w:rsidR="008C76E0" w:rsidRPr="008C76E0" w:rsidRDefault="008C76E0" w:rsidP="008C76E0">
            <w:pPr>
              <w:pStyle w:val="Bodytext180"/>
              <w:shd w:val="clear" w:color="auto" w:fill="auto"/>
              <w:tabs>
                <w:tab w:val="left" w:pos="587"/>
                <w:tab w:val="left" w:pos="1187"/>
              </w:tabs>
              <w:spacing w:before="0" w:after="120" w:line="240" w:lineRule="auto"/>
              <w:ind w:left="40" w:right="51" w:firstLine="0"/>
              <w:jc w:val="both"/>
              <w:rPr>
                <w:rFonts w:ascii="Sylfaen" w:hAnsi="Sylfaen"/>
                <w:b w:val="0"/>
                <w:sz w:val="24"/>
                <w:szCs w:val="24"/>
                <w:lang w:val="hy-AM"/>
              </w:rPr>
            </w:pPr>
            <w:r w:rsidRPr="003B2786">
              <w:rPr>
                <w:rStyle w:val="Bodytext1811pt"/>
                <w:rFonts w:ascii="Sylfaen" w:hAnsi="Sylfaen"/>
                <w:sz w:val="24"/>
                <w:szCs w:val="24"/>
              </w:rPr>
              <w:lastRenderedPageBreak/>
              <w:t>ա)</w:t>
            </w:r>
            <w:r w:rsidRPr="003B2786">
              <w:rPr>
                <w:rStyle w:val="Bodytext1811pt"/>
                <w:rFonts w:ascii="Sylfaen" w:hAnsi="Sylfaen"/>
                <w:sz w:val="24"/>
                <w:szCs w:val="24"/>
              </w:rPr>
              <w:tab/>
              <w:t>համային հավելումների (բուրավետիչների) կամ ներկանյութերի բաղադրության փոփոխությունը</w:t>
            </w:r>
          </w:p>
        </w:tc>
        <w:tc>
          <w:tcPr>
            <w:tcW w:w="1655" w:type="dxa"/>
            <w:gridSpan w:val="3"/>
            <w:tcBorders>
              <w:top w:val="single" w:sz="4" w:space="0" w:color="auto"/>
              <w:left w:val="single" w:sz="4" w:space="0" w:color="auto"/>
            </w:tcBorders>
            <w:shd w:val="clear" w:color="auto" w:fill="FFFFFF"/>
          </w:tcPr>
          <w:p w14:paraId="41070F0F"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46D9950E"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2438156D"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193D8DA2"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center"/>
          </w:tcPr>
          <w:p w14:paraId="48E570C5" w14:textId="77777777" w:rsidR="008C76E0" w:rsidRPr="003B2786" w:rsidRDefault="008C76E0" w:rsidP="008C76E0">
            <w:pPr>
              <w:pStyle w:val="Bodytext180"/>
              <w:numPr>
                <w:ilvl w:val="0"/>
                <w:numId w:val="20"/>
              </w:numPr>
              <w:shd w:val="clear" w:color="auto" w:fill="auto"/>
              <w:tabs>
                <w:tab w:val="left" w:pos="587"/>
                <w:tab w:val="left" w:pos="1187"/>
              </w:tabs>
              <w:spacing w:before="0" w:after="120" w:line="240" w:lineRule="auto"/>
              <w:ind w:left="40" w:right="51" w:firstLine="0"/>
              <w:jc w:val="both"/>
              <w:rPr>
                <w:rFonts w:ascii="Sylfaen" w:hAnsi="Sylfaen"/>
                <w:b w:val="0"/>
                <w:sz w:val="24"/>
                <w:szCs w:val="24"/>
              </w:rPr>
            </w:pPr>
            <w:r w:rsidRPr="003B2786">
              <w:rPr>
                <w:rStyle w:val="Bodytext1811pt"/>
                <w:rFonts w:ascii="Sylfaen" w:hAnsi="Sylfaen"/>
                <w:sz w:val="24"/>
                <w:szCs w:val="24"/>
              </w:rPr>
              <w:t>Ավելացումը, բացառումը կամ փոխարինումը</w:t>
            </w:r>
          </w:p>
        </w:tc>
        <w:tc>
          <w:tcPr>
            <w:tcW w:w="1655" w:type="dxa"/>
            <w:gridSpan w:val="3"/>
            <w:tcBorders>
              <w:top w:val="single" w:sz="4" w:space="0" w:color="auto"/>
              <w:left w:val="single" w:sz="4" w:space="0" w:color="auto"/>
              <w:bottom w:val="single" w:sz="4" w:space="0" w:color="auto"/>
            </w:tcBorders>
            <w:shd w:val="clear" w:color="auto" w:fill="FFFFFF"/>
          </w:tcPr>
          <w:p w14:paraId="25240B4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1, 2, 3, 4, 5, 6, 7, 9, 11</w:t>
            </w:r>
          </w:p>
        </w:tc>
        <w:tc>
          <w:tcPr>
            <w:tcW w:w="2042" w:type="dxa"/>
            <w:gridSpan w:val="3"/>
            <w:tcBorders>
              <w:top w:val="single" w:sz="4" w:space="0" w:color="auto"/>
              <w:left w:val="single" w:sz="4" w:space="0" w:color="auto"/>
              <w:bottom w:val="single" w:sz="4" w:space="0" w:color="auto"/>
            </w:tcBorders>
            <w:shd w:val="clear" w:color="auto" w:fill="FFFFFF"/>
          </w:tcPr>
          <w:p w14:paraId="72D1C19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1, 2, 4, 5, 6</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73FBAD8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05583323"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96F3520" w14:textId="77777777" w:rsidR="008C76E0" w:rsidRPr="003B2786" w:rsidRDefault="008C76E0" w:rsidP="008C76E0">
            <w:pPr>
              <w:pStyle w:val="Bodytext180"/>
              <w:numPr>
                <w:ilvl w:val="0"/>
                <w:numId w:val="20"/>
              </w:numPr>
              <w:shd w:val="clear" w:color="auto" w:fill="auto"/>
              <w:tabs>
                <w:tab w:val="left" w:pos="587"/>
                <w:tab w:val="left" w:pos="1187"/>
              </w:tabs>
              <w:spacing w:before="0" w:after="120" w:line="240" w:lineRule="auto"/>
              <w:ind w:left="40" w:right="51" w:firstLine="0"/>
              <w:jc w:val="both"/>
              <w:rPr>
                <w:rFonts w:ascii="Sylfaen" w:hAnsi="Sylfaen"/>
                <w:b w:val="0"/>
                <w:sz w:val="24"/>
                <w:szCs w:val="24"/>
              </w:rPr>
            </w:pPr>
            <w:r w:rsidRPr="003B2786">
              <w:rPr>
                <w:rStyle w:val="Bodytext1811pt"/>
                <w:rFonts w:ascii="Sylfaen" w:hAnsi="Sylfaen"/>
                <w:sz w:val="24"/>
                <w:szCs w:val="24"/>
              </w:rPr>
              <w:t>Պարունակության ավելացումը կամ նվազեցումը</w:t>
            </w:r>
          </w:p>
        </w:tc>
        <w:tc>
          <w:tcPr>
            <w:tcW w:w="1655" w:type="dxa"/>
            <w:gridSpan w:val="3"/>
            <w:tcBorders>
              <w:top w:val="single" w:sz="4" w:space="0" w:color="auto"/>
              <w:left w:val="single" w:sz="4" w:space="0" w:color="auto"/>
            </w:tcBorders>
            <w:shd w:val="clear" w:color="auto" w:fill="FFFFFF"/>
          </w:tcPr>
          <w:p w14:paraId="6A55EC1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1, 2, 3, 4, 11</w:t>
            </w:r>
          </w:p>
        </w:tc>
        <w:tc>
          <w:tcPr>
            <w:tcW w:w="2042" w:type="dxa"/>
            <w:gridSpan w:val="3"/>
            <w:tcBorders>
              <w:top w:val="single" w:sz="4" w:space="0" w:color="auto"/>
              <w:left w:val="single" w:sz="4" w:space="0" w:color="auto"/>
            </w:tcBorders>
            <w:shd w:val="clear" w:color="auto" w:fill="FFFFFF"/>
          </w:tcPr>
          <w:p w14:paraId="7D4ECB3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1, 2, 4</w:t>
            </w:r>
          </w:p>
        </w:tc>
        <w:tc>
          <w:tcPr>
            <w:tcW w:w="2098" w:type="dxa"/>
            <w:gridSpan w:val="3"/>
            <w:tcBorders>
              <w:top w:val="single" w:sz="4" w:space="0" w:color="auto"/>
              <w:left w:val="single" w:sz="4" w:space="0" w:color="auto"/>
              <w:right w:val="single" w:sz="4" w:space="0" w:color="auto"/>
            </w:tcBorders>
            <w:shd w:val="clear" w:color="auto" w:fill="FFFFFF"/>
          </w:tcPr>
          <w:p w14:paraId="52D6611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41B702C"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23AE6F87" w14:textId="77777777" w:rsidR="008C76E0" w:rsidRPr="003B2786" w:rsidRDefault="008C76E0" w:rsidP="008C76E0">
            <w:pPr>
              <w:pStyle w:val="Bodytext180"/>
              <w:shd w:val="clear" w:color="auto" w:fill="auto"/>
              <w:tabs>
                <w:tab w:val="left" w:pos="587"/>
              </w:tabs>
              <w:spacing w:before="0" w:after="120" w:line="240" w:lineRule="auto"/>
              <w:ind w:left="39" w:right="50"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rPr>
              <w:tab/>
              <w:t>այլ օժանդակ նյութեր</w:t>
            </w:r>
          </w:p>
        </w:tc>
        <w:tc>
          <w:tcPr>
            <w:tcW w:w="1655" w:type="dxa"/>
            <w:gridSpan w:val="3"/>
            <w:tcBorders>
              <w:top w:val="single" w:sz="4" w:space="0" w:color="auto"/>
              <w:left w:val="single" w:sz="4" w:space="0" w:color="auto"/>
            </w:tcBorders>
            <w:shd w:val="clear" w:color="auto" w:fill="FFFFFF"/>
          </w:tcPr>
          <w:p w14:paraId="75F94F27"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785E8573"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5D327766"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725C739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BAB4C4E" w14:textId="77777777" w:rsidR="008C76E0" w:rsidRPr="008C76E0" w:rsidRDefault="008C76E0" w:rsidP="008C76E0">
            <w:pPr>
              <w:pStyle w:val="Bodytext180"/>
              <w:numPr>
                <w:ilvl w:val="0"/>
                <w:numId w:val="21"/>
              </w:numPr>
              <w:shd w:val="clear" w:color="auto" w:fill="auto"/>
              <w:tabs>
                <w:tab w:val="left" w:pos="587"/>
              </w:tabs>
              <w:spacing w:before="0" w:after="120" w:line="240" w:lineRule="auto"/>
              <w:ind w:left="39" w:right="50" w:firstLine="13"/>
              <w:jc w:val="both"/>
              <w:rPr>
                <w:rFonts w:ascii="Sylfaen" w:hAnsi="Sylfaen"/>
                <w:b w:val="0"/>
                <w:sz w:val="24"/>
                <w:szCs w:val="24"/>
                <w:lang w:val="hy-AM"/>
              </w:rPr>
            </w:pPr>
            <w:r w:rsidRPr="003B2786">
              <w:rPr>
                <w:rStyle w:val="Bodytext1811pt"/>
                <w:rFonts w:ascii="Sylfaen" w:hAnsi="Sylfaen"/>
                <w:sz w:val="24"/>
                <w:szCs w:val="24"/>
              </w:rPr>
              <w:t>Դեղապատրաստուկի օժանդակ նյութերի քանակական կազմի ցանկացած աննշան ուղղումը</w:t>
            </w:r>
          </w:p>
        </w:tc>
        <w:tc>
          <w:tcPr>
            <w:tcW w:w="1655" w:type="dxa"/>
            <w:gridSpan w:val="3"/>
            <w:tcBorders>
              <w:top w:val="single" w:sz="4" w:space="0" w:color="auto"/>
              <w:left w:val="single" w:sz="4" w:space="0" w:color="auto"/>
            </w:tcBorders>
            <w:shd w:val="clear" w:color="auto" w:fill="FFFFFF"/>
          </w:tcPr>
          <w:p w14:paraId="559B442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1, 2, 4, 8, 9, 10</w:t>
            </w:r>
          </w:p>
        </w:tc>
        <w:tc>
          <w:tcPr>
            <w:tcW w:w="2042" w:type="dxa"/>
            <w:gridSpan w:val="3"/>
            <w:tcBorders>
              <w:top w:val="single" w:sz="4" w:space="0" w:color="auto"/>
              <w:left w:val="single" w:sz="4" w:space="0" w:color="auto"/>
            </w:tcBorders>
            <w:shd w:val="clear" w:color="auto" w:fill="FFFFFF"/>
          </w:tcPr>
          <w:p w14:paraId="40922A4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1, 2, 7</w:t>
            </w:r>
          </w:p>
        </w:tc>
        <w:tc>
          <w:tcPr>
            <w:tcW w:w="2098" w:type="dxa"/>
            <w:gridSpan w:val="3"/>
            <w:tcBorders>
              <w:top w:val="single" w:sz="4" w:space="0" w:color="auto"/>
              <w:left w:val="single" w:sz="4" w:space="0" w:color="auto"/>
              <w:right w:val="single" w:sz="4" w:space="0" w:color="auto"/>
            </w:tcBorders>
            <w:shd w:val="clear" w:color="auto" w:fill="FFFFFF"/>
          </w:tcPr>
          <w:p w14:paraId="426D337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9EC1E0E"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5FCB1808" w14:textId="77777777" w:rsidR="008C76E0" w:rsidRPr="008C76E0" w:rsidRDefault="008C76E0" w:rsidP="008C76E0">
            <w:pPr>
              <w:pStyle w:val="Bodytext180"/>
              <w:shd w:val="clear" w:color="auto" w:fill="auto"/>
              <w:tabs>
                <w:tab w:val="left" w:pos="587"/>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Մեկ կամ մի քանի օժանդակ նյութերի որակական կամ քանակական փոփոխությունները, որոնք կարող են էականորեն ազդել դեղապատրաստուկի որակի, անվտանգության կամ արդյունավետության վրա</w:t>
            </w:r>
          </w:p>
        </w:tc>
        <w:tc>
          <w:tcPr>
            <w:tcW w:w="1655" w:type="dxa"/>
            <w:gridSpan w:val="3"/>
            <w:tcBorders>
              <w:top w:val="single" w:sz="4" w:space="0" w:color="auto"/>
              <w:left w:val="single" w:sz="4" w:space="0" w:color="auto"/>
            </w:tcBorders>
            <w:shd w:val="clear" w:color="auto" w:fill="FFFFFF"/>
          </w:tcPr>
          <w:p w14:paraId="0D65E352"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18CE704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42B6CD3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614A02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724A062E" w14:textId="77777777" w:rsidR="008C76E0" w:rsidRPr="008C76E0" w:rsidRDefault="008C76E0" w:rsidP="008C76E0">
            <w:pPr>
              <w:pStyle w:val="Bodytext180"/>
              <w:shd w:val="clear" w:color="auto" w:fill="auto"/>
              <w:tabs>
                <w:tab w:val="left" w:pos="614"/>
              </w:tabs>
              <w:spacing w:before="0" w:after="120" w:line="240" w:lineRule="auto"/>
              <w:ind w:left="39" w:right="50"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Կենսաբանական (իմունաբանական) պատրաստուկին առնչվող փոփոխությունը</w:t>
            </w:r>
          </w:p>
        </w:tc>
        <w:tc>
          <w:tcPr>
            <w:tcW w:w="1655" w:type="dxa"/>
            <w:gridSpan w:val="3"/>
            <w:tcBorders>
              <w:top w:val="single" w:sz="4" w:space="0" w:color="auto"/>
              <w:left w:val="single" w:sz="4" w:space="0" w:color="auto"/>
            </w:tcBorders>
            <w:shd w:val="clear" w:color="auto" w:fill="FFFFFF"/>
          </w:tcPr>
          <w:p w14:paraId="1CDBFFB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3EEE8DD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60C5247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BEBFA4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050D77A" w14:textId="77777777" w:rsidR="008C76E0" w:rsidRPr="008C76E0" w:rsidRDefault="008C76E0" w:rsidP="008C76E0">
            <w:pPr>
              <w:pStyle w:val="Bodytext180"/>
              <w:shd w:val="clear" w:color="auto" w:fill="auto"/>
              <w:tabs>
                <w:tab w:val="left" w:pos="614"/>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 xml:space="preserve">Ցանկացած նոր օժանդակ նյութ, որը ենթադրում է վիրուսային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ՏՍԷ-ի ռիսկի տվյալների գնահատում պահանջող՝ մարդկային կամ կենդանական ծագման նյութերի կիրառում</w:t>
            </w:r>
          </w:p>
        </w:tc>
        <w:tc>
          <w:tcPr>
            <w:tcW w:w="1655" w:type="dxa"/>
            <w:gridSpan w:val="3"/>
            <w:tcBorders>
              <w:top w:val="single" w:sz="4" w:space="0" w:color="auto"/>
              <w:left w:val="single" w:sz="4" w:space="0" w:color="auto"/>
            </w:tcBorders>
            <w:shd w:val="clear" w:color="auto" w:fill="FFFFFF"/>
          </w:tcPr>
          <w:p w14:paraId="18673EF6"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4BE71C76"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7C3BC470"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5895E5B"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6ECED07" w14:textId="77777777" w:rsidR="008C76E0" w:rsidRPr="008C76E0" w:rsidRDefault="008C76E0" w:rsidP="008C76E0">
            <w:pPr>
              <w:pStyle w:val="Bodytext180"/>
              <w:shd w:val="clear" w:color="auto" w:fill="auto"/>
              <w:tabs>
                <w:tab w:val="left" w:pos="614"/>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5.</w:t>
            </w:r>
            <w:r w:rsidRPr="003B2786">
              <w:rPr>
                <w:rStyle w:val="Bodytext1811pt"/>
                <w:rFonts w:ascii="Sylfaen" w:hAnsi="Sylfaen"/>
                <w:sz w:val="24"/>
                <w:szCs w:val="24"/>
              </w:rPr>
              <w:tab/>
              <w:t>Կենսահամարժեքության հետազոտության արդյունքներով հիմնավորված փոփոխություն</w:t>
            </w:r>
          </w:p>
        </w:tc>
        <w:tc>
          <w:tcPr>
            <w:tcW w:w="1655" w:type="dxa"/>
            <w:gridSpan w:val="3"/>
            <w:tcBorders>
              <w:top w:val="single" w:sz="4" w:space="0" w:color="auto"/>
              <w:left w:val="single" w:sz="4" w:space="0" w:color="auto"/>
            </w:tcBorders>
            <w:shd w:val="clear" w:color="auto" w:fill="FFFFFF"/>
          </w:tcPr>
          <w:p w14:paraId="0A4DF5B8"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6BD854F4"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65400EEC"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8D54524"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61F5B51A" w14:textId="77777777" w:rsidR="008C76E0" w:rsidRPr="008C76E0" w:rsidRDefault="008C76E0" w:rsidP="008C76E0">
            <w:pPr>
              <w:pStyle w:val="Bodytext180"/>
              <w:shd w:val="clear" w:color="auto" w:fill="auto"/>
              <w:tabs>
                <w:tab w:val="left" w:pos="614"/>
              </w:tabs>
              <w:spacing w:before="0" w:after="120" w:line="240" w:lineRule="auto"/>
              <w:ind w:left="40" w:right="50" w:firstLine="0"/>
              <w:jc w:val="both"/>
              <w:rPr>
                <w:rFonts w:ascii="Sylfaen" w:hAnsi="Sylfaen"/>
                <w:b w:val="0"/>
                <w:sz w:val="24"/>
                <w:szCs w:val="24"/>
                <w:lang w:val="hy-AM"/>
              </w:rPr>
            </w:pPr>
            <w:r w:rsidRPr="003B2786">
              <w:rPr>
                <w:rStyle w:val="Bodytext1811pt"/>
                <w:rFonts w:ascii="Sylfaen" w:hAnsi="Sylfaen"/>
                <w:sz w:val="24"/>
                <w:szCs w:val="24"/>
              </w:rPr>
              <w:t>6.</w:t>
            </w:r>
            <w:r w:rsidRPr="003B2786">
              <w:rPr>
                <w:rStyle w:val="Bodytext1811pt"/>
                <w:rFonts w:ascii="Sylfaen" w:hAnsi="Sylfaen"/>
                <w:sz w:val="24"/>
                <w:szCs w:val="24"/>
              </w:rPr>
              <w:tab/>
              <w:t>Մեկ օժանդակ նյութի փոխարինումը նման օժանդակ նյութով, որն ունի համանման քանակությամբ ֆունկցիոնալ նույն բնութագրերը</w:t>
            </w:r>
          </w:p>
        </w:tc>
        <w:tc>
          <w:tcPr>
            <w:tcW w:w="1655" w:type="dxa"/>
            <w:gridSpan w:val="3"/>
            <w:tcBorders>
              <w:top w:val="single" w:sz="4" w:space="0" w:color="auto"/>
              <w:left w:val="single" w:sz="4" w:space="0" w:color="auto"/>
            </w:tcBorders>
            <w:shd w:val="clear" w:color="auto" w:fill="FFFFFF"/>
          </w:tcPr>
          <w:p w14:paraId="2A31A3CD"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4D65C4E4"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1, 3, 4, 5, 6, 7, 8, 9, 10</w:t>
            </w:r>
          </w:p>
        </w:tc>
        <w:tc>
          <w:tcPr>
            <w:tcW w:w="2098" w:type="dxa"/>
            <w:gridSpan w:val="3"/>
            <w:tcBorders>
              <w:top w:val="single" w:sz="4" w:space="0" w:color="auto"/>
              <w:left w:val="single" w:sz="4" w:space="0" w:color="auto"/>
              <w:right w:val="single" w:sz="4" w:space="0" w:color="auto"/>
            </w:tcBorders>
            <w:shd w:val="clear" w:color="auto" w:fill="FFFFFF"/>
          </w:tcPr>
          <w:p w14:paraId="543F3B5D" w14:textId="77777777" w:rsidR="008C76E0" w:rsidRPr="003B2786" w:rsidRDefault="008C76E0" w:rsidP="008C76E0">
            <w:pPr>
              <w:pStyle w:val="Bodytext180"/>
              <w:shd w:val="clear" w:color="auto" w:fill="auto"/>
              <w:spacing w:before="0" w:after="120" w:line="240" w:lineRule="auto"/>
              <w:ind w:left="40"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72100B1"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48CA2E33"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0F5B363E"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Դեղաձ</w:t>
            </w:r>
            <w:r w:rsidR="00C54D75">
              <w:rPr>
                <w:rStyle w:val="Bodytext1811pt"/>
                <w:rFonts w:ascii="Sylfaen" w:hAnsi="Sylfaen"/>
                <w:sz w:val="24"/>
                <w:szCs w:val="24"/>
              </w:rPr>
              <w:t>և</w:t>
            </w:r>
            <w:r w:rsidRPr="003B2786">
              <w:rPr>
                <w:rStyle w:val="Bodytext1811pt"/>
                <w:rFonts w:ascii="Sylfaen" w:hAnsi="Sylfaen"/>
                <w:sz w:val="24"/>
                <w:szCs w:val="24"/>
              </w:rPr>
              <w:t>ի ֆունկցիոնալ բնութագրերի, օրինակ՝ տրոհելիության ժամանակի, լուծելիության պրոֆիլի փոփոխությունները բացակայում են:</w:t>
            </w:r>
          </w:p>
          <w:p w14:paraId="393CA896"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Ընդհանուր զանգվածի պահպանման համար բաղադրության ցանկացած աննշան ուղղում անհրաժեշտ է իրականացնել օժանդակ նյութով, որը տվյալ պահին կազմում է </w:t>
            </w:r>
            <w:r w:rsidRPr="003B2786">
              <w:rPr>
                <w:rStyle w:val="Bodytext1811pt"/>
                <w:rFonts w:ascii="Sylfaen" w:hAnsi="Sylfaen"/>
                <w:sz w:val="24"/>
                <w:szCs w:val="24"/>
              </w:rPr>
              <w:lastRenderedPageBreak/>
              <w:t>դեղապատրաստուկի հիմնական մասը:</w:t>
            </w:r>
          </w:p>
          <w:p w14:paraId="671C67F1"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Դեղապատրաստուկի մասնագիրը նորացվել է արտաքին տեսքի (հոտի, համի) առումով, </w:t>
            </w:r>
            <w:r w:rsidR="00C54D75">
              <w:rPr>
                <w:rStyle w:val="Bodytext1811pt"/>
                <w:rFonts w:ascii="Sylfaen" w:hAnsi="Sylfaen"/>
                <w:sz w:val="24"/>
                <w:szCs w:val="24"/>
              </w:rPr>
              <w:t>և</w:t>
            </w:r>
            <w:r w:rsidRPr="003B2786">
              <w:rPr>
                <w:rStyle w:val="Bodytext1811pt"/>
                <w:rFonts w:ascii="Sylfaen" w:hAnsi="Sylfaen"/>
                <w:sz w:val="24"/>
                <w:szCs w:val="24"/>
              </w:rPr>
              <w:t xml:space="preserve"> անհրաժեշտության դեպքում բացառվել է իսկության փորձարկումը:</w:t>
            </w:r>
          </w:p>
          <w:p w14:paraId="47CC8681"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pacing w:val="-4"/>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pacing w:val="-4"/>
                <w:sz w:val="24"/>
                <w:szCs w:val="24"/>
              </w:rPr>
              <w:t xml:space="preserve">Սկսվել են կայունության համապատասխան փորձարկումներ՝ Միության փաստաթղթերին համապատասխան (սերիաների համարների նշումով), վերլուծվել են առնվազն 2 փորձարարաարդյունաբերական կամ արդյունաբերական սերիաների համար կայունության համապատասխան պարամետրերը, հայտատուի տրամադրության տակ կան առնվազն կայունության եռամսյա ուսումնասիրության բավարար արդյունքներ (IA տիպի փոփոխությունների ներմուծման </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 xml:space="preserve"> IB տիպի փոփոխությունների ծանուցման պահի դրությամբ), կայունության պրոֆիլը նման է ներկայումս հաստատված պրոֆիլին: Հաստատումն այն բանի, որ ուսումնասիրությունները կավարտվեն, </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 xml:space="preserve"> եթե արդյունքները չեն տեղավորվում մասնագրերում կամ պոտենցիալ կերպով կարող են չտեղավորվել մասնագրերում պիտանիության ժամկետի ավարտին, դրանք գործողությունների առաջարկվող պլանի հետ անհապաղ կներկայացվեն լիազորված մարմին: Բացի այդ, համապատասխան դեպքերում անհրաժեշտ է անցկացնել ֆոտոկայունության փորձարկում:</w:t>
            </w:r>
          </w:p>
          <w:p w14:paraId="0C50E9AB" w14:textId="77777777" w:rsidR="008C76E0" w:rsidRPr="008C76E0" w:rsidRDefault="008C76E0" w:rsidP="008C76E0">
            <w:pPr>
              <w:pStyle w:val="Bodytext180"/>
              <w:shd w:val="clear" w:color="auto" w:fill="auto"/>
              <w:tabs>
                <w:tab w:val="left" w:pos="608"/>
              </w:tabs>
              <w:spacing w:before="0" w:after="120" w:line="240" w:lineRule="auto"/>
              <w:ind w:left="40" w:right="185"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Բոլոր նոր բաղադրիչները պետք է բավարարեն Միության համապատասխան փաստաթղթերի պահանջները, որոնք վերաբերում են սննդարդյունաբերության մեջ օգտագործվող ներկանյութերին </w:t>
            </w:r>
            <w:r w:rsidR="00C54D75">
              <w:rPr>
                <w:rStyle w:val="Bodytext1811pt"/>
                <w:rFonts w:ascii="Sylfaen" w:hAnsi="Sylfaen"/>
                <w:sz w:val="24"/>
                <w:szCs w:val="24"/>
              </w:rPr>
              <w:t>և</w:t>
            </w:r>
            <w:r w:rsidRPr="003B2786">
              <w:rPr>
                <w:rStyle w:val="Bodytext1811pt"/>
                <w:rFonts w:ascii="Sylfaen" w:hAnsi="Sylfaen"/>
                <w:sz w:val="24"/>
                <w:szCs w:val="24"/>
              </w:rPr>
              <w:t xml:space="preserve"> համային հավելումներին:</w:t>
            </w:r>
          </w:p>
        </w:tc>
      </w:tr>
      <w:tr w:rsidR="008C76E0" w:rsidRPr="003B2786" w14:paraId="3845C6DF"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68244949" w14:textId="77777777" w:rsidR="008C76E0" w:rsidRPr="008C76E0" w:rsidRDefault="008C76E0" w:rsidP="008C76E0">
            <w:pPr>
              <w:pStyle w:val="Bodytext180"/>
              <w:shd w:val="clear" w:color="auto" w:fill="auto"/>
              <w:tabs>
                <w:tab w:val="left" w:pos="608"/>
              </w:tabs>
              <w:spacing w:before="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lastRenderedPageBreak/>
              <w:t>6.</w:t>
            </w:r>
            <w:r w:rsidRPr="008C76E0">
              <w:rPr>
                <w:rFonts w:ascii="Sylfaen" w:hAnsi="Sylfaen"/>
                <w:b w:val="0"/>
                <w:sz w:val="24"/>
                <w:szCs w:val="24"/>
                <w:lang w:val="hy-AM"/>
              </w:rPr>
              <w:tab/>
            </w:r>
            <w:r w:rsidRPr="003B2786">
              <w:rPr>
                <w:rStyle w:val="Bodytext1811pt"/>
                <w:rFonts w:ascii="Sylfaen" w:hAnsi="Sylfaen"/>
                <w:sz w:val="24"/>
                <w:szCs w:val="24"/>
              </w:rPr>
              <w:t xml:space="preserve">Ոչ մի նոր բաղադրիչ մարդկային կամ կենդանական ծագման նյութի կիրառում չի ենթադրում, որոնք պահանջում են վիրուսային անվտանգության տվյալների գնահատում կամ կենդանիների սպունգանման էնցեֆալոպատիայի՝ բժշկական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անասնաբուժական կիրառման համար նախատեսված դեղապատրաստուկների միջոցով փոխանցման ռիսկի նվազեցման վերաբերյալ Միության դեղագրքի գործող պահանջներին համապատասխանություն:</w:t>
            </w:r>
          </w:p>
          <w:p w14:paraId="531C5E32" w14:textId="77777777" w:rsidR="008C76E0" w:rsidRPr="008C76E0" w:rsidRDefault="008C76E0" w:rsidP="002F06F8">
            <w:pPr>
              <w:pStyle w:val="Bodytext180"/>
              <w:shd w:val="clear" w:color="auto" w:fill="auto"/>
              <w:tabs>
                <w:tab w:val="left" w:pos="608"/>
              </w:tabs>
              <w:spacing w:before="0" w:line="264" w:lineRule="auto"/>
              <w:ind w:left="40" w:right="187"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փոփոխությունները չեն ազդում դոզավորման տարբերությունների վրա </w:t>
            </w:r>
            <w:r w:rsidR="00C54D75">
              <w:rPr>
                <w:rStyle w:val="Bodytext1811pt"/>
                <w:rFonts w:ascii="Sylfaen" w:hAnsi="Sylfaen"/>
                <w:sz w:val="24"/>
                <w:szCs w:val="24"/>
              </w:rPr>
              <w:t>և</w:t>
            </w:r>
            <w:r w:rsidRPr="003B2786">
              <w:rPr>
                <w:rStyle w:val="Bodytext1811pt"/>
                <w:rFonts w:ascii="Sylfaen" w:hAnsi="Sylfaen"/>
                <w:sz w:val="24"/>
                <w:szCs w:val="24"/>
              </w:rPr>
              <w:t xml:space="preserve"> բացասական ազդեցություն չեն գործում երեխաների համար նախատեսված դեղապատրաստուկների համային հատկությունների վրա:</w:t>
            </w:r>
          </w:p>
          <w:p w14:paraId="0256747E" w14:textId="77777777" w:rsidR="008C76E0" w:rsidRPr="008C76E0" w:rsidRDefault="008C76E0" w:rsidP="002F06F8">
            <w:pPr>
              <w:pStyle w:val="Bodytext180"/>
              <w:shd w:val="clear" w:color="auto" w:fill="auto"/>
              <w:tabs>
                <w:tab w:val="left" w:pos="608"/>
              </w:tabs>
              <w:spacing w:before="0" w:line="264" w:lineRule="auto"/>
              <w:ind w:left="40" w:right="187"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Նոր դեղապատրաստուկի առնվազն 2 փորձարարաարդյունաբերական սերիաների լուծելիության պրոֆիլը համադրելիության տեսանկյունից համադրելի է չփոփոխվածին (նշանակալի տարբերությունների բացակայություն՝ տե՛ս Միության կենսահամարժեքության հետազոտությունների անցկացման կանոնները): Դեղաբուսական պատրաստուկների լուծելիության փորձարկման անցկացման անհնարինության դեպքում նոր դեղապատրաստուկի տրոհելիության ժամանակը համադրելի է չփոփոխվածի հետ:</w:t>
            </w:r>
          </w:p>
          <w:p w14:paraId="49BFAE76" w14:textId="77777777" w:rsidR="008C76E0" w:rsidRPr="008C76E0" w:rsidRDefault="008C76E0" w:rsidP="002F06F8">
            <w:pPr>
              <w:pStyle w:val="Bodytext180"/>
              <w:shd w:val="clear" w:color="auto" w:fill="auto"/>
              <w:tabs>
                <w:tab w:val="left" w:pos="608"/>
              </w:tabs>
              <w:spacing w:before="0" w:line="264" w:lineRule="auto"/>
              <w:ind w:left="40" w:right="187" w:firstLine="0"/>
              <w:jc w:val="both"/>
              <w:rPr>
                <w:rFonts w:ascii="Sylfaen" w:hAnsi="Sylfaen"/>
                <w:b w:val="0"/>
                <w:sz w:val="24"/>
                <w:szCs w:val="24"/>
                <w:lang w:val="hy-AM"/>
              </w:rPr>
            </w:pPr>
            <w:r w:rsidRPr="008C76E0">
              <w:rPr>
                <w:rFonts w:ascii="Sylfaen" w:hAnsi="Sylfaen"/>
                <w:b w:val="0"/>
                <w:sz w:val="24"/>
                <w:szCs w:val="24"/>
                <w:lang w:val="hy-AM"/>
              </w:rPr>
              <w:t>9.</w:t>
            </w:r>
            <w:r w:rsidRPr="008C76E0">
              <w:rPr>
                <w:rFonts w:ascii="Sylfaen" w:hAnsi="Sylfaen"/>
                <w:b w:val="0"/>
                <w:sz w:val="24"/>
                <w:szCs w:val="24"/>
                <w:lang w:val="hy-AM"/>
              </w:rPr>
              <w:tab/>
            </w:r>
            <w:r w:rsidRPr="003B2786">
              <w:rPr>
                <w:rStyle w:val="Bodytext1811pt"/>
                <w:rFonts w:ascii="Sylfaen" w:hAnsi="Sylfaen"/>
                <w:sz w:val="24"/>
                <w:szCs w:val="24"/>
              </w:rPr>
              <w:t>Փոփոխությունը անկայունության հետ</w:t>
            </w:r>
            <w:r w:rsidR="00C54D75">
              <w:rPr>
                <w:rStyle w:val="Bodytext1811pt"/>
                <w:rFonts w:ascii="Sylfaen" w:hAnsi="Sylfaen"/>
                <w:sz w:val="24"/>
                <w:szCs w:val="24"/>
              </w:rPr>
              <w:t>և</w:t>
            </w:r>
            <w:r w:rsidRPr="003B2786">
              <w:rPr>
                <w:rStyle w:val="Bodytext1811pt"/>
                <w:rFonts w:ascii="Sylfaen" w:hAnsi="Sylfaen"/>
                <w:sz w:val="24"/>
                <w:szCs w:val="24"/>
              </w:rPr>
              <w:t xml:space="preserve">անք չէ </w:t>
            </w:r>
            <w:r w:rsidR="00C54D75">
              <w:rPr>
                <w:rStyle w:val="Bodytext1811pt"/>
                <w:rFonts w:ascii="Sylfaen" w:hAnsi="Sylfaen"/>
                <w:sz w:val="24"/>
                <w:szCs w:val="24"/>
              </w:rPr>
              <w:t>և</w:t>
            </w:r>
            <w:r w:rsidRPr="003B2786">
              <w:rPr>
                <w:rStyle w:val="Bodytext1811pt"/>
                <w:rFonts w:ascii="Sylfaen" w:hAnsi="Sylfaen"/>
                <w:sz w:val="24"/>
                <w:szCs w:val="24"/>
              </w:rPr>
              <w:t xml:space="preserve"> (կամ) չպետք է ազդի անվտանգության վրա, այսինքն՝ դոզավորման տարբերությունների վրա:</w:t>
            </w:r>
          </w:p>
          <w:p w14:paraId="5994B08C" w14:textId="77777777" w:rsidR="008C76E0" w:rsidRPr="008C76E0" w:rsidRDefault="008C76E0" w:rsidP="008C76E0">
            <w:pPr>
              <w:pStyle w:val="Bodytext180"/>
              <w:shd w:val="clear" w:color="auto" w:fill="auto"/>
              <w:tabs>
                <w:tab w:val="left" w:pos="608"/>
              </w:tabs>
              <w:spacing w:before="0" w:line="240" w:lineRule="auto"/>
              <w:ind w:left="40" w:right="187" w:firstLine="0"/>
              <w:jc w:val="both"/>
              <w:rPr>
                <w:rFonts w:ascii="Sylfaen" w:hAnsi="Sylfaen"/>
                <w:b w:val="0"/>
                <w:sz w:val="24"/>
                <w:szCs w:val="24"/>
                <w:lang w:val="hy-AM"/>
              </w:rPr>
            </w:pPr>
            <w:r w:rsidRPr="008C76E0">
              <w:rPr>
                <w:rFonts w:ascii="Sylfaen" w:hAnsi="Sylfaen"/>
                <w:b w:val="0"/>
                <w:sz w:val="24"/>
                <w:szCs w:val="24"/>
                <w:lang w:val="hy-AM"/>
              </w:rPr>
              <w:t>10.</w:t>
            </w:r>
            <w:r w:rsidRPr="008C76E0">
              <w:rPr>
                <w:rFonts w:ascii="Sylfaen" w:hAnsi="Sylfaen"/>
                <w:b w:val="0"/>
                <w:sz w:val="24"/>
                <w:szCs w:val="24"/>
                <w:lang w:val="hy-AM"/>
              </w:rPr>
              <w:tab/>
            </w:r>
            <w:r w:rsidRPr="003B2786">
              <w:rPr>
                <w:rStyle w:val="Bodytext1811pt"/>
                <w:rFonts w:ascii="Sylfaen" w:hAnsi="Sylfaen"/>
                <w:sz w:val="24"/>
                <w:szCs w:val="24"/>
              </w:rPr>
              <w:t>Դիտարկվող դեղապատրաստուկը կենսաբանական (իմունաբանական) դեղապատրաստուկ չէ։</w:t>
            </w:r>
          </w:p>
        </w:tc>
      </w:tr>
      <w:tr w:rsidR="008C76E0" w:rsidRPr="003B2786" w14:paraId="01A38924" w14:textId="77777777" w:rsidTr="008C76E0">
        <w:trPr>
          <w:gridAfter w:val="1"/>
          <w:wAfter w:w="14" w:type="dxa"/>
          <w:jc w:val="center"/>
        </w:trPr>
        <w:tc>
          <w:tcPr>
            <w:tcW w:w="10387" w:type="dxa"/>
            <w:gridSpan w:val="14"/>
            <w:tcBorders>
              <w:top w:val="single" w:sz="4" w:space="0" w:color="auto"/>
              <w:left w:val="single" w:sz="4" w:space="0" w:color="auto"/>
              <w:bottom w:val="single" w:sz="4" w:space="0" w:color="auto"/>
              <w:right w:val="single" w:sz="4" w:space="0" w:color="auto"/>
            </w:tcBorders>
            <w:shd w:val="clear" w:color="auto" w:fill="FFFFFF"/>
            <w:vAlign w:val="bottom"/>
          </w:tcPr>
          <w:p w14:paraId="67EB34F2"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55B233F"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 ներառյալ՝ բոլոր նոր ներկանյութերի իսկության փորձարկման մեթոդները (եթե կիրառելի է),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վերաբերյալ տեղեկատվության վերանայումը՝ </w:t>
            </w:r>
            <w:r w:rsidRPr="003B2786">
              <w:rPr>
                <w:rStyle w:val="Bodytext1811pt"/>
                <w:rFonts w:ascii="Sylfaen" w:hAnsi="Sylfaen"/>
                <w:sz w:val="24"/>
                <w:szCs w:val="24"/>
              </w:rPr>
              <w:lastRenderedPageBreak/>
              <w:t>համապատասխանաբար:</w:t>
            </w:r>
          </w:p>
          <w:p w14:paraId="546400FA"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սկսվել են կայունության պահանջվող հետազոտությունները՝ Միության փաստաթղթերին համապատասխան (սերիաների համարների նշումով), </w:t>
            </w:r>
            <w:r w:rsidR="00C54D75">
              <w:rPr>
                <w:rStyle w:val="Bodytext1811pt"/>
                <w:rFonts w:ascii="Sylfaen" w:hAnsi="Sylfaen"/>
                <w:sz w:val="24"/>
                <w:szCs w:val="24"/>
              </w:rPr>
              <w:t>և</w:t>
            </w:r>
            <w:r w:rsidRPr="003B2786">
              <w:rPr>
                <w:rStyle w:val="Bodytext1811pt"/>
                <w:rFonts w:ascii="Sylfaen" w:hAnsi="Sylfaen"/>
                <w:sz w:val="24"/>
                <w:szCs w:val="24"/>
              </w:rPr>
              <w:t xml:space="preserve"> որ (համապատասխան դեպքերում) փոփոխությունների ներմուծման պահին նրա տրամադրության տակ եղել են կայունության գծով պահանջվող նվազագույն բավարար տվյալներ, </w:t>
            </w:r>
            <w:r w:rsidR="00C54D75">
              <w:rPr>
                <w:rStyle w:val="Bodytext1811pt"/>
                <w:rFonts w:ascii="Sylfaen" w:hAnsi="Sylfaen"/>
                <w:sz w:val="24"/>
                <w:szCs w:val="24"/>
              </w:rPr>
              <w:t>և</w:t>
            </w:r>
            <w:r w:rsidRPr="003B2786">
              <w:rPr>
                <w:rStyle w:val="Bodytext1811pt"/>
                <w:rFonts w:ascii="Sylfaen" w:hAnsi="Sylfaen"/>
                <w:sz w:val="24"/>
                <w:szCs w:val="24"/>
              </w:rPr>
              <w:t xml:space="preserve"> որ առկա տվյալները չեն վկայել որ</w:t>
            </w:r>
            <w:r w:rsidR="00C54D75">
              <w:rPr>
                <w:rStyle w:val="Bodytext1811pt"/>
                <w:rFonts w:ascii="Sylfaen" w:hAnsi="Sylfaen"/>
                <w:sz w:val="24"/>
                <w:szCs w:val="24"/>
              </w:rPr>
              <w:t>և</w:t>
            </w:r>
            <w:r w:rsidRPr="003B2786">
              <w:rPr>
                <w:rStyle w:val="Bodytext1811pt"/>
                <w:rFonts w:ascii="Sylfaen" w:hAnsi="Sylfaen"/>
                <w:sz w:val="24"/>
                <w:szCs w:val="24"/>
              </w:rPr>
              <w:t>է խնդրի մասին: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տրամադրել հաստատում այն մասին, որ հետազոտությունները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չեն տեղավորվում մասնագրերում կամ պոտենցիալ կերպով կարող են չտեղավորվել մասնագրերում պիտանիության ժամկետի ավարտին, ապա դրանք գործողությունների առաջարկվող պլանի հետ անհապաղ կներկայացվեն լիազորված մարմին:</w:t>
            </w:r>
          </w:p>
          <w:p w14:paraId="1B864F8A"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Կայունության նշանակալի պարամետրերով առնվազն երկու փորձարարաարդյունաբերական կամ արդյունաբերական սերիաների նկատմամբ, 3 ամսից ոչ պակաս տ</w:t>
            </w:r>
            <w:r w:rsidR="00C54D75">
              <w:rPr>
                <w:rStyle w:val="Bodytext1811pt"/>
                <w:rFonts w:ascii="Sylfaen" w:hAnsi="Sylfaen"/>
                <w:sz w:val="24"/>
                <w:szCs w:val="24"/>
              </w:rPr>
              <w:t>և</w:t>
            </w:r>
            <w:r w:rsidRPr="003B2786">
              <w:rPr>
                <w:rStyle w:val="Bodytext1811pt"/>
                <w:rFonts w:ascii="Sylfaen" w:hAnsi="Sylfaen"/>
                <w:sz w:val="24"/>
                <w:szCs w:val="24"/>
              </w:rPr>
              <w:t xml:space="preserve">ողությամբ՝ Միության փաստաթղթերին համապատասխան անցկացված կայունության ուսումնասիրությունների արդյունքները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հաստատում այն բանի, որ նշված ուսումնասիրությունները կավարտվեն, իսկ եթե արդյունքները չեն տեղավորվում մասնագրերում կամ պոտենցիալ կերպով կարող են չտեղավորվել մասնագրերում պիտանիության ժամկետի ավարտին, ապա դրանք գործողությունների առաջարկվող պլանի հետ պետք է անհապաղ ներկայացվեն լիազորված մարմին:</w:t>
            </w:r>
          </w:p>
          <w:p w14:paraId="0AA61703"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նոր դեղապատրաստուկի նմուշները:</w:t>
            </w:r>
          </w:p>
          <w:p w14:paraId="20CD7235" w14:textId="77777777" w:rsidR="008C76E0" w:rsidRPr="008C76E0" w:rsidRDefault="008C76E0" w:rsidP="002F06F8">
            <w:pPr>
              <w:pStyle w:val="Bodytext180"/>
              <w:shd w:val="clear" w:color="auto" w:fill="auto"/>
              <w:tabs>
                <w:tab w:val="left" w:pos="608"/>
              </w:tabs>
              <w:spacing w:before="0" w:after="120" w:line="288" w:lineRule="auto"/>
              <w:ind w:left="40" w:right="187"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Կա՛մ ՏՍԷ-ի մասով Եվրոպական դեղագրքերի համապատասխանության հավաստագիրը՝ նյութի ցանկացած նոր աղբյուրի համար, կա՛մ (եթե կիրառելի է) փաստաթղթային հաստատումն այն մասին, որ ՏՍԷ-ի ռիսկի ենթարկված նյութի աղբյուրը նախկինում ստուգվել է լիազորված մարմնի կողմից,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հաստատվել է կենդանիների սպունգանման էնցեֆալոպատիայի՝ բժշկական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անասնաբուժական կիրառման համար նախատեսված դեղապատրաստուկների միջոցով փոխանցման ռիսկի նվազեցման վերաբերյալ Միության դեղագրքի գործող հոդվածին դրա համապատասխանությունը։ Այդ տեսակի ցանկացած նյութի համար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տեղեկությունները՝ արտադրողի անվանումը, կենդանիների </w:t>
            </w:r>
            <w:r w:rsidR="00C54D75">
              <w:rPr>
                <w:rStyle w:val="Bodytext1811pt"/>
                <w:rFonts w:ascii="Sylfaen" w:hAnsi="Sylfaen"/>
                <w:sz w:val="24"/>
                <w:szCs w:val="24"/>
              </w:rPr>
              <w:t>և</w:t>
            </w:r>
            <w:r w:rsidRPr="003B2786">
              <w:rPr>
                <w:rStyle w:val="Bodytext1811pt"/>
                <w:rFonts w:ascii="Sylfaen" w:hAnsi="Sylfaen"/>
                <w:sz w:val="24"/>
                <w:szCs w:val="24"/>
              </w:rPr>
              <w:t xml:space="preserve"> հյուսվածքի տեսակը, որից ստացվել է նյութը, կենդանիների ծագման երկիրը </w:t>
            </w:r>
            <w:r w:rsidR="00C54D75">
              <w:rPr>
                <w:rStyle w:val="Bodytext1811pt"/>
                <w:rFonts w:ascii="Sylfaen" w:hAnsi="Sylfaen"/>
                <w:sz w:val="24"/>
                <w:szCs w:val="24"/>
              </w:rPr>
              <w:t>և</w:t>
            </w:r>
            <w:r w:rsidRPr="003B2786">
              <w:rPr>
                <w:rStyle w:val="Bodytext1811pt"/>
                <w:rFonts w:ascii="Sylfaen" w:hAnsi="Sylfaen"/>
                <w:sz w:val="24"/>
                <w:szCs w:val="24"/>
              </w:rPr>
              <w:t xml:space="preserve"> դրա օգտագործումը:</w:t>
            </w:r>
          </w:p>
          <w:p w14:paraId="04A323DD" w14:textId="77777777" w:rsidR="002F06F8" w:rsidRPr="00E15E7D" w:rsidRDefault="008C76E0" w:rsidP="002F06F8">
            <w:pPr>
              <w:pStyle w:val="Bodytext180"/>
              <w:shd w:val="clear" w:color="auto" w:fill="auto"/>
              <w:tabs>
                <w:tab w:val="left" w:pos="608"/>
              </w:tabs>
              <w:spacing w:before="0" w:after="120" w:line="264" w:lineRule="auto"/>
              <w:ind w:left="40" w:right="187"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տվյալները, որոնք հաստատում են, որ նոր օժանդակ նյութը չի փոխազդում դեղապատրաստուկի մասնագրերի վերլուծական մեթոդիկաների հետ:</w:t>
            </w:r>
          </w:p>
        </w:tc>
      </w:tr>
      <w:tr w:rsidR="008C76E0" w:rsidRPr="003B2786" w14:paraId="279C4BD4"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79D0D1DD"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lastRenderedPageBreak/>
              <w:t>7.</w:t>
            </w:r>
            <w:r w:rsidRPr="008C76E0">
              <w:rPr>
                <w:rFonts w:ascii="Sylfaen" w:hAnsi="Sylfaen"/>
                <w:b w:val="0"/>
                <w:sz w:val="24"/>
                <w:szCs w:val="24"/>
                <w:lang w:val="hy-AM"/>
              </w:rPr>
              <w:tab/>
            </w:r>
            <w:r w:rsidRPr="003B2786">
              <w:rPr>
                <w:rStyle w:val="Bodytext1811pt"/>
                <w:rFonts w:ascii="Sylfaen" w:hAnsi="Sylfaen"/>
                <w:sz w:val="24"/>
                <w:szCs w:val="24"/>
              </w:rPr>
              <w:t xml:space="preserve">Պատշաճ դեղագործական մշակման միջոցով (ներառյալ կայունության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հակամանրէային պահածոյացման հարցերը, եթե կիրառելի է) անհրաժեշտ է ներկայացնել օժանդակ նյութերի </w:t>
            </w:r>
            <w:r w:rsidR="00C54D75">
              <w:rPr>
                <w:rStyle w:val="Bodytext1811pt"/>
                <w:rFonts w:ascii="Sylfaen" w:hAnsi="Sylfaen"/>
                <w:sz w:val="24"/>
                <w:szCs w:val="24"/>
              </w:rPr>
              <w:t>և</w:t>
            </w:r>
            <w:r w:rsidRPr="003B2786">
              <w:rPr>
                <w:rStyle w:val="Bodytext1811pt"/>
                <w:rFonts w:ascii="Sylfaen" w:hAnsi="Sylfaen"/>
                <w:sz w:val="24"/>
                <w:szCs w:val="24"/>
              </w:rPr>
              <w:t xml:space="preserve"> այլնի փոխարինման (ընտրության) հիմնավորումը:</w:t>
            </w:r>
          </w:p>
          <w:p w14:paraId="5B0FF66F"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8.</w:t>
            </w:r>
            <w:r w:rsidRPr="003B2786">
              <w:rPr>
                <w:rStyle w:val="Bodytext1811pt"/>
                <w:rFonts w:ascii="Sylfaen" w:hAnsi="Sylfaen"/>
                <w:sz w:val="24"/>
                <w:szCs w:val="24"/>
              </w:rPr>
              <w:tab/>
              <w:t xml:space="preserve">Նոր </w:t>
            </w:r>
            <w:r w:rsidR="00C54D75">
              <w:rPr>
                <w:rStyle w:val="Bodytext1811pt"/>
                <w:rFonts w:ascii="Sylfaen" w:hAnsi="Sylfaen"/>
                <w:sz w:val="24"/>
                <w:szCs w:val="24"/>
              </w:rPr>
              <w:t>և</w:t>
            </w:r>
            <w:r w:rsidRPr="003B2786">
              <w:rPr>
                <w:rStyle w:val="Bodytext1811pt"/>
                <w:rFonts w:ascii="Sylfaen" w:hAnsi="Sylfaen"/>
                <w:sz w:val="24"/>
                <w:szCs w:val="24"/>
              </w:rPr>
              <w:t xml:space="preserve"> հին բաղադրությամբ դեղապատրաստուկի առնվազն 2 փորձարարաարդյունաբերական սերիաների կոշտ դեղաձ</w:t>
            </w:r>
            <w:r w:rsidR="00C54D75">
              <w:rPr>
                <w:rStyle w:val="Bodytext1811pt"/>
                <w:rFonts w:ascii="Sylfaen" w:hAnsi="Sylfaen"/>
                <w:sz w:val="24"/>
                <w:szCs w:val="24"/>
              </w:rPr>
              <w:t>և</w:t>
            </w:r>
            <w:r w:rsidRPr="003B2786">
              <w:rPr>
                <w:rStyle w:val="Bodytext1811pt"/>
                <w:rFonts w:ascii="Sylfaen" w:hAnsi="Sylfaen"/>
                <w:sz w:val="24"/>
                <w:szCs w:val="24"/>
              </w:rPr>
              <w:t xml:space="preserve">երի լուծելիության պրոֆիլի համեմատական տվյալները: Բուսական դեղապատրաստուկների առնչությամբ կարող են </w:t>
            </w:r>
            <w:r w:rsidRPr="003B2786">
              <w:rPr>
                <w:rStyle w:val="Bodytext1811pt"/>
                <w:rFonts w:ascii="Sylfaen" w:hAnsi="Sylfaen"/>
                <w:sz w:val="24"/>
                <w:szCs w:val="24"/>
              </w:rPr>
              <w:lastRenderedPageBreak/>
              <w:t>բավարար լինել համեմատական տրոհելիության տվյալները:</w:t>
            </w:r>
          </w:p>
          <w:p w14:paraId="0E6DDBF7" w14:textId="77777777" w:rsidR="008C76E0" w:rsidRPr="008C76E0" w:rsidRDefault="008C76E0" w:rsidP="008C76E0">
            <w:pPr>
              <w:pStyle w:val="Bodytext180"/>
              <w:shd w:val="clear" w:color="auto" w:fill="auto"/>
              <w:tabs>
                <w:tab w:val="left" w:pos="608"/>
              </w:tabs>
              <w:spacing w:before="0" w:after="120" w:line="240" w:lineRule="auto"/>
              <w:ind w:left="39" w:right="185" w:firstLine="0"/>
              <w:jc w:val="both"/>
              <w:rPr>
                <w:rFonts w:ascii="Sylfaen" w:hAnsi="Sylfaen"/>
                <w:b w:val="0"/>
                <w:sz w:val="24"/>
                <w:szCs w:val="24"/>
                <w:lang w:val="hy-AM"/>
              </w:rPr>
            </w:pPr>
            <w:r w:rsidRPr="008C76E0">
              <w:rPr>
                <w:rFonts w:ascii="Sylfaen" w:hAnsi="Sylfaen"/>
                <w:b w:val="0"/>
                <w:sz w:val="24"/>
                <w:szCs w:val="24"/>
                <w:lang w:val="hy-AM"/>
              </w:rPr>
              <w:t>9.</w:t>
            </w:r>
            <w:r w:rsidRPr="008C76E0">
              <w:rPr>
                <w:rFonts w:ascii="Sylfaen" w:hAnsi="Sylfaen"/>
                <w:b w:val="0"/>
                <w:sz w:val="24"/>
                <w:szCs w:val="24"/>
                <w:lang w:val="hy-AM"/>
              </w:rPr>
              <w:tab/>
            </w:r>
            <w:r w:rsidRPr="003B2786">
              <w:rPr>
                <w:rStyle w:val="Bodytext1811pt"/>
                <w:rFonts w:ascii="Sylfaen" w:hAnsi="Sylfaen"/>
                <w:sz w:val="24"/>
                <w:szCs w:val="24"/>
              </w:rPr>
              <w:t>Կենսահամարժեքության նոր հետազոտության արդյունքները չներկայացնելու հիմնավորումը՝ Միության Կենսահամարժեքության հետազոտությունների անցկացման կանոններին համապատասխան:</w:t>
            </w:r>
          </w:p>
        </w:tc>
      </w:tr>
      <w:tr w:rsidR="008C76E0" w:rsidRPr="003B2786" w14:paraId="2F937A0E"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215C73A" w14:textId="77777777" w:rsidR="008C76E0" w:rsidRPr="008C76E0" w:rsidRDefault="008C76E0" w:rsidP="008C76E0">
            <w:pPr>
              <w:pStyle w:val="Bodytext180"/>
              <w:shd w:val="clear" w:color="auto" w:fill="auto"/>
              <w:tabs>
                <w:tab w:val="left" w:pos="1179"/>
              </w:tabs>
              <w:spacing w:before="0" w:after="120" w:line="240" w:lineRule="auto"/>
              <w:ind w:left="39" w:right="-1" w:firstLine="0"/>
              <w:jc w:val="both"/>
              <w:rPr>
                <w:rFonts w:ascii="Sylfaen" w:hAnsi="Sylfaen"/>
                <w:b w:val="0"/>
                <w:sz w:val="24"/>
                <w:szCs w:val="24"/>
                <w:lang w:val="hy-AM"/>
              </w:rPr>
            </w:pPr>
            <w:r w:rsidRPr="003B2786">
              <w:rPr>
                <w:rStyle w:val="Bodytext1811pt"/>
                <w:rFonts w:ascii="Sylfaen" w:hAnsi="Sylfaen"/>
                <w:sz w:val="24"/>
                <w:szCs w:val="24"/>
              </w:rPr>
              <w:lastRenderedPageBreak/>
              <w:t>Բ.II.ա.4.</w:t>
            </w:r>
            <w:r w:rsidRPr="003B2786">
              <w:rPr>
                <w:rStyle w:val="Bodytext1811pt"/>
                <w:rFonts w:ascii="Sylfaen" w:hAnsi="Sylfaen"/>
                <w:sz w:val="24"/>
                <w:szCs w:val="24"/>
              </w:rPr>
              <w:tab/>
              <w:t>Ներքին ընդունման համար դեղաձ</w:t>
            </w:r>
            <w:r w:rsidR="00C54D75">
              <w:rPr>
                <w:rStyle w:val="Bodytext1811pt"/>
                <w:rFonts w:ascii="Sylfaen" w:hAnsi="Sylfaen"/>
                <w:sz w:val="24"/>
                <w:szCs w:val="24"/>
              </w:rPr>
              <w:t>և</w:t>
            </w:r>
            <w:r w:rsidRPr="003B2786">
              <w:rPr>
                <w:rStyle w:val="Bodytext1811pt"/>
                <w:rFonts w:ascii="Sylfaen" w:hAnsi="Sylfaen"/>
                <w:sz w:val="24"/>
                <w:szCs w:val="24"/>
              </w:rPr>
              <w:t>ի թաղանթի զանգվածի փոփոխությունը կամ դեղապատիճի թաղանթի զանգվածի փոփոխությունը</w:t>
            </w:r>
          </w:p>
        </w:tc>
        <w:tc>
          <w:tcPr>
            <w:tcW w:w="1655" w:type="dxa"/>
            <w:gridSpan w:val="3"/>
            <w:tcBorders>
              <w:top w:val="single" w:sz="4" w:space="0" w:color="auto"/>
              <w:left w:val="single" w:sz="4" w:space="0" w:color="auto"/>
            </w:tcBorders>
            <w:shd w:val="clear" w:color="auto" w:fill="FFFFFF"/>
          </w:tcPr>
          <w:p w14:paraId="0888D34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041E81D9"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21680BA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0E3790A"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7BE3F01" w14:textId="77777777" w:rsidR="008C76E0" w:rsidRPr="008C76E0" w:rsidRDefault="008C76E0" w:rsidP="008C76E0">
            <w:pPr>
              <w:pStyle w:val="Bodytext180"/>
              <w:shd w:val="clear" w:color="auto" w:fill="auto"/>
              <w:tabs>
                <w:tab w:val="left" w:pos="527"/>
              </w:tabs>
              <w:spacing w:before="0" w:after="120" w:line="240" w:lineRule="auto"/>
              <w:ind w:left="39" w:right="-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ներքին ընդունման համար կոշտ դեղաձ</w:t>
            </w:r>
            <w:r w:rsidR="00C54D75">
              <w:rPr>
                <w:rStyle w:val="Bodytext1811pt"/>
                <w:rFonts w:ascii="Sylfaen" w:hAnsi="Sylfaen"/>
                <w:sz w:val="24"/>
                <w:szCs w:val="24"/>
              </w:rPr>
              <w:t>և</w:t>
            </w:r>
            <w:r w:rsidRPr="003B2786">
              <w:rPr>
                <w:rStyle w:val="Bodytext1811pt"/>
                <w:rFonts w:ascii="Sylfaen" w:hAnsi="Sylfaen"/>
                <w:sz w:val="24"/>
                <w:szCs w:val="24"/>
              </w:rPr>
              <w:t>երը</w:t>
            </w:r>
          </w:p>
        </w:tc>
        <w:tc>
          <w:tcPr>
            <w:tcW w:w="1655" w:type="dxa"/>
            <w:gridSpan w:val="3"/>
            <w:tcBorders>
              <w:top w:val="single" w:sz="4" w:space="0" w:color="auto"/>
              <w:left w:val="single" w:sz="4" w:space="0" w:color="auto"/>
            </w:tcBorders>
            <w:shd w:val="clear" w:color="auto" w:fill="FFFFFF"/>
          </w:tcPr>
          <w:p w14:paraId="6883F3FC"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2042" w:type="dxa"/>
            <w:gridSpan w:val="3"/>
            <w:tcBorders>
              <w:top w:val="single" w:sz="4" w:space="0" w:color="auto"/>
              <w:left w:val="single" w:sz="4" w:space="0" w:color="auto"/>
            </w:tcBorders>
            <w:shd w:val="clear" w:color="auto" w:fill="FFFFFF"/>
          </w:tcPr>
          <w:p w14:paraId="2933F698"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1.2</w:t>
            </w:r>
          </w:p>
        </w:tc>
        <w:tc>
          <w:tcPr>
            <w:tcW w:w="2098" w:type="dxa"/>
            <w:gridSpan w:val="3"/>
            <w:tcBorders>
              <w:top w:val="single" w:sz="4" w:space="0" w:color="auto"/>
              <w:left w:val="single" w:sz="4" w:space="0" w:color="auto"/>
              <w:right w:val="single" w:sz="4" w:space="0" w:color="auto"/>
            </w:tcBorders>
            <w:shd w:val="clear" w:color="auto" w:fill="FFFFFF"/>
          </w:tcPr>
          <w:p w14:paraId="4987FC36"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A4A68DE"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31A72ACF" w14:textId="77777777" w:rsidR="008C76E0" w:rsidRPr="008C76E0" w:rsidRDefault="008C76E0" w:rsidP="008C76E0">
            <w:pPr>
              <w:pStyle w:val="Bodytext180"/>
              <w:shd w:val="clear" w:color="auto" w:fill="auto"/>
              <w:tabs>
                <w:tab w:val="left" w:pos="527"/>
              </w:tabs>
              <w:spacing w:before="0" w:after="120" w:line="240" w:lineRule="auto"/>
              <w:ind w:left="39" w:right="-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հետաձգված, ձ</w:t>
            </w:r>
            <w:r w:rsidR="00C54D75">
              <w:rPr>
                <w:rStyle w:val="Bodytext1811pt"/>
                <w:rFonts w:ascii="Sylfaen" w:hAnsi="Sylfaen"/>
                <w:sz w:val="24"/>
                <w:szCs w:val="24"/>
              </w:rPr>
              <w:t>և</w:t>
            </w:r>
            <w:r w:rsidRPr="003B2786">
              <w:rPr>
                <w:rStyle w:val="Bodytext1811pt"/>
                <w:rFonts w:ascii="Sylfaen" w:hAnsi="Sylfaen"/>
                <w:sz w:val="24"/>
                <w:szCs w:val="24"/>
              </w:rPr>
              <w:t>ափոխված կամ երկարաձգված ձերբազատմամբ դեղաձ</w:t>
            </w:r>
            <w:r w:rsidR="00C54D75">
              <w:rPr>
                <w:rStyle w:val="Bodytext1811pt"/>
                <w:rFonts w:ascii="Sylfaen" w:hAnsi="Sylfaen"/>
                <w:sz w:val="24"/>
                <w:szCs w:val="24"/>
              </w:rPr>
              <w:t>և</w:t>
            </w:r>
            <w:r w:rsidRPr="003B2786">
              <w:rPr>
                <w:rStyle w:val="Bodytext1811pt"/>
                <w:rFonts w:ascii="Sylfaen" w:hAnsi="Sylfaen"/>
                <w:sz w:val="24"/>
                <w:szCs w:val="24"/>
              </w:rPr>
              <w:t>երը, որոնցում թաղանթը ձերբազատման առանցքային գործոնն է</w:t>
            </w:r>
          </w:p>
        </w:tc>
        <w:tc>
          <w:tcPr>
            <w:tcW w:w="1655" w:type="dxa"/>
            <w:gridSpan w:val="3"/>
            <w:tcBorders>
              <w:top w:val="single" w:sz="4" w:space="0" w:color="auto"/>
              <w:left w:val="single" w:sz="4" w:space="0" w:color="auto"/>
            </w:tcBorders>
            <w:shd w:val="clear" w:color="auto" w:fill="FFFFFF"/>
          </w:tcPr>
          <w:p w14:paraId="7522073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357AA66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3D4F67B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96923E6"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03A5C586"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099753FD"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Նոր դեղապատրաստուկի առնվազն 2 փորձարարաարդյունաբերական սերիաների լուծելիության պրոֆիլը համադրելի է հնի հետ։ Դեղաբուսական պատրաստուկի լուծելիության փորձարկման անցկացման անհնարինության դեպքում՝ նոր դեղապատրաստուկի տրոհելիության ժամանակը՝ հնի համեմատությամբ:</w:t>
            </w:r>
          </w:p>
          <w:p w14:paraId="0D7DCE21"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Թաղանթը ձերբազատման մեխանիզմի առանցքային գործոն չէ:</w:t>
            </w:r>
          </w:p>
          <w:p w14:paraId="2E598AD3"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Դեղապատրաստուկի մասնագիրը նորացվել է միայն զանգվածի </w:t>
            </w:r>
            <w:r w:rsidR="00C54D75">
              <w:rPr>
                <w:rStyle w:val="Bodytext1811pt"/>
                <w:rFonts w:ascii="Sylfaen" w:hAnsi="Sylfaen"/>
                <w:sz w:val="24"/>
                <w:szCs w:val="24"/>
              </w:rPr>
              <w:t>և</w:t>
            </w:r>
            <w:r w:rsidRPr="003B2786">
              <w:rPr>
                <w:rStyle w:val="Bodytext1811pt"/>
                <w:rFonts w:ascii="Sylfaen" w:hAnsi="Sylfaen"/>
                <w:sz w:val="24"/>
                <w:szCs w:val="24"/>
              </w:rPr>
              <w:t xml:space="preserve"> չափսերի առումով (եթե կիրառելի է):</w:t>
            </w:r>
          </w:p>
          <w:p w14:paraId="3C2F9B64"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Միության փաստաթղթերի համաձայն՝ սկսվել են առնվազն 2 փորձարարաարդյունաբերական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արդյունաբերական սերիաների նկատմամբ կայունության համապատասխան հետազոտությունները. հայտատուի տրամադրության տակ կան կայունության առնվազն 3-ամսյա ուսումնասիրության բավարար արդյունքներ. հաստատում այն մասին, որ ուսումնասիրությունները կավարտվեն: Եթե արդյունքները չեն տեղավորվում մասնագրերում կամ պոտենցիալ կերպով կարող են չտեղավորվել մասնագրերում պիտանիության ժամկետի ավարտին, ապա դրանք գործողությունների առաջարկվող պլանի հետ անհապաղ կներկայացվեն լիազորված մարմին:</w:t>
            </w:r>
          </w:p>
        </w:tc>
      </w:tr>
      <w:tr w:rsidR="008C76E0" w:rsidRPr="003B2786" w14:paraId="6F51A687"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2192D67E"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93B727F"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ուղղումը։</w:t>
            </w:r>
          </w:p>
          <w:p w14:paraId="18A439FF" w14:textId="77777777" w:rsidR="008C76E0" w:rsidRPr="008C76E0" w:rsidRDefault="008C76E0" w:rsidP="008C76E0">
            <w:pPr>
              <w:pStyle w:val="Bodytext180"/>
              <w:shd w:val="clear" w:color="auto" w:fill="auto"/>
              <w:tabs>
                <w:tab w:val="left" w:pos="560"/>
              </w:tabs>
              <w:spacing w:before="0" w:after="120" w:line="240" w:lineRule="auto"/>
              <w:ind w:left="52" w:right="57"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սկսվել են կայունության պահանջվող ուսումնասիրությունները՝ Միության փաստաթղթերին համապատասխան (սերիաների համարների նշումով), </w:t>
            </w:r>
            <w:r w:rsidR="00C54D75">
              <w:rPr>
                <w:rStyle w:val="Bodytext1811pt"/>
                <w:rFonts w:ascii="Sylfaen" w:hAnsi="Sylfaen"/>
                <w:sz w:val="24"/>
                <w:szCs w:val="24"/>
              </w:rPr>
              <w:t>և</w:t>
            </w:r>
            <w:r w:rsidRPr="003B2786">
              <w:rPr>
                <w:rStyle w:val="Bodytext1811pt"/>
                <w:rFonts w:ascii="Sylfaen" w:hAnsi="Sylfaen"/>
                <w:sz w:val="24"/>
                <w:szCs w:val="24"/>
              </w:rPr>
              <w:t xml:space="preserve"> որ (համապատասխան դեպքերում) փոփոխությունների ներմուծման պահին նրա տրամադրության տակ եղել են կայունության գծով պահանջվող նվազագույն բավարար տվյալներ, </w:t>
            </w:r>
            <w:r w:rsidR="00C54D75">
              <w:rPr>
                <w:rStyle w:val="Bodytext1811pt"/>
                <w:rFonts w:ascii="Sylfaen" w:hAnsi="Sylfaen"/>
                <w:sz w:val="24"/>
                <w:szCs w:val="24"/>
              </w:rPr>
              <w:t>և</w:t>
            </w:r>
            <w:r w:rsidRPr="003B2786">
              <w:rPr>
                <w:rStyle w:val="Bodytext1811pt"/>
                <w:rFonts w:ascii="Sylfaen" w:hAnsi="Sylfaen"/>
                <w:sz w:val="24"/>
                <w:szCs w:val="24"/>
              </w:rPr>
              <w:t xml:space="preserve"> որ առկա տվյալները չեն վկայել որ</w:t>
            </w:r>
            <w:r w:rsidR="00C54D75">
              <w:rPr>
                <w:rStyle w:val="Bodytext1811pt"/>
                <w:rFonts w:ascii="Sylfaen" w:hAnsi="Sylfaen"/>
                <w:sz w:val="24"/>
                <w:szCs w:val="24"/>
              </w:rPr>
              <w:t>և</w:t>
            </w:r>
            <w:r w:rsidRPr="003B2786">
              <w:rPr>
                <w:rStyle w:val="Bodytext1811pt"/>
                <w:rFonts w:ascii="Sylfaen" w:hAnsi="Sylfaen"/>
                <w:sz w:val="24"/>
                <w:szCs w:val="24"/>
              </w:rPr>
              <w:t>է խնդրի մասին: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տրամադրել հաստատումն այն մասին, որ ուսումնասիրությունները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չեն տեղավորվում մասնագրերում կամ պոտենցիալ կերպով կարող են </w:t>
            </w:r>
            <w:r w:rsidRPr="003B2786">
              <w:rPr>
                <w:rStyle w:val="Bodytext1811pt"/>
                <w:rFonts w:ascii="Sylfaen" w:hAnsi="Sylfaen"/>
                <w:sz w:val="24"/>
                <w:szCs w:val="24"/>
              </w:rPr>
              <w:lastRenderedPageBreak/>
              <w:t>չտեղավորվել մասնագրերում պիտանիության ժամկետի ավարտին, ապա դրանք գործողությունների առաջարկվող պլանի հետ պետք է անհապաղ կներկայացվեն լիազորված մարմին: Բացի այդ, համապատասխան դեպքերում անհրաժեշտ է անցկացնել ֆոտոկայունության փորձարկում:</w:t>
            </w:r>
          </w:p>
        </w:tc>
      </w:tr>
      <w:tr w:rsidR="008C76E0" w:rsidRPr="003B2786" w14:paraId="6253BECA" w14:textId="77777777" w:rsidTr="008C76E0">
        <w:trPr>
          <w:gridAfter w:val="1"/>
          <w:wAfter w:w="14" w:type="dxa"/>
          <w:jc w:val="center"/>
        </w:trPr>
        <w:tc>
          <w:tcPr>
            <w:tcW w:w="4592" w:type="dxa"/>
            <w:gridSpan w:val="5"/>
            <w:tcBorders>
              <w:top w:val="single" w:sz="4" w:space="0" w:color="auto"/>
              <w:left w:val="single" w:sz="4" w:space="0" w:color="auto"/>
              <w:bottom w:val="single" w:sz="4" w:space="0" w:color="auto"/>
            </w:tcBorders>
            <w:shd w:val="clear" w:color="auto" w:fill="FFFFFF"/>
            <w:vAlign w:val="bottom"/>
          </w:tcPr>
          <w:p w14:paraId="2A6E8068" w14:textId="77777777" w:rsidR="008C76E0" w:rsidRPr="008C76E0" w:rsidRDefault="008C76E0" w:rsidP="008C76E0">
            <w:pPr>
              <w:pStyle w:val="Bodytext180"/>
              <w:shd w:val="clear" w:color="auto" w:fill="auto"/>
              <w:tabs>
                <w:tab w:val="left" w:pos="1144"/>
              </w:tabs>
              <w:spacing w:before="0" w:after="120" w:line="240" w:lineRule="auto"/>
              <w:ind w:left="52" w:right="50" w:firstLine="0"/>
              <w:jc w:val="both"/>
              <w:rPr>
                <w:rFonts w:ascii="Sylfaen" w:hAnsi="Sylfaen"/>
                <w:b w:val="0"/>
                <w:sz w:val="24"/>
                <w:szCs w:val="24"/>
                <w:lang w:val="hy-AM"/>
              </w:rPr>
            </w:pPr>
            <w:r w:rsidRPr="003B2786">
              <w:rPr>
                <w:rStyle w:val="Bodytext1811pt"/>
                <w:rFonts w:ascii="Sylfaen" w:hAnsi="Sylfaen"/>
                <w:sz w:val="24"/>
                <w:szCs w:val="24"/>
              </w:rPr>
              <w:lastRenderedPageBreak/>
              <w:t>Բ.II.ա.5.</w:t>
            </w:r>
            <w:r w:rsidRPr="003B2786">
              <w:rPr>
                <w:rStyle w:val="Bodytext1811pt"/>
                <w:rFonts w:ascii="Sylfaen" w:hAnsi="Sylfaen"/>
                <w:sz w:val="24"/>
                <w:szCs w:val="24"/>
              </w:rPr>
              <w:tab/>
              <w:t>Միադոզանի, լիովին ներմուծվող պարէնտերալ դեղապատրաստուկի խտության փոփոխությունը՝ ակտիվ դեղագործական բաղադրամասի փոփոխելիության բացակայության դեպքում՝ դեղաչափի միավորի համար (այսինքն՝ դոզավորման)</w:t>
            </w:r>
          </w:p>
        </w:tc>
        <w:tc>
          <w:tcPr>
            <w:tcW w:w="1655" w:type="dxa"/>
            <w:gridSpan w:val="3"/>
            <w:tcBorders>
              <w:top w:val="single" w:sz="4" w:space="0" w:color="auto"/>
              <w:left w:val="single" w:sz="4" w:space="0" w:color="auto"/>
              <w:bottom w:val="single" w:sz="4" w:space="0" w:color="auto"/>
            </w:tcBorders>
            <w:shd w:val="clear" w:color="auto" w:fill="FFFFFF"/>
          </w:tcPr>
          <w:p w14:paraId="6C40D6E4"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bottom w:val="single" w:sz="4" w:space="0" w:color="auto"/>
            </w:tcBorders>
            <w:shd w:val="clear" w:color="auto" w:fill="FFFFFF"/>
          </w:tcPr>
          <w:p w14:paraId="0E80E31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bottom w:val="single" w:sz="4" w:space="0" w:color="auto"/>
              <w:right w:val="single" w:sz="4" w:space="0" w:color="auto"/>
            </w:tcBorders>
            <w:shd w:val="clear" w:color="auto" w:fill="FFFFFF"/>
          </w:tcPr>
          <w:p w14:paraId="019593C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D325528"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41CB48BD" w14:textId="77777777" w:rsidR="008C76E0" w:rsidRPr="003B2786" w:rsidRDefault="008C76E0" w:rsidP="008C76E0">
            <w:pPr>
              <w:pStyle w:val="Bodytext180"/>
              <w:shd w:val="clear" w:color="auto" w:fill="auto"/>
              <w:spacing w:before="0" w:after="120" w:line="240" w:lineRule="auto"/>
              <w:ind w:right="-1" w:firstLine="0"/>
              <w:jc w:val="both"/>
              <w:rPr>
                <w:rFonts w:ascii="Sylfaen" w:hAnsi="Sylfaen"/>
                <w:b w:val="0"/>
                <w:sz w:val="24"/>
                <w:szCs w:val="24"/>
              </w:rPr>
            </w:pPr>
          </w:p>
        </w:tc>
        <w:tc>
          <w:tcPr>
            <w:tcW w:w="1655" w:type="dxa"/>
            <w:gridSpan w:val="3"/>
            <w:tcBorders>
              <w:top w:val="single" w:sz="4" w:space="0" w:color="auto"/>
              <w:left w:val="single" w:sz="4" w:space="0" w:color="auto"/>
            </w:tcBorders>
            <w:shd w:val="clear" w:color="auto" w:fill="FFFFFF"/>
          </w:tcPr>
          <w:p w14:paraId="2EB25B8B" w14:textId="77777777" w:rsidR="008C76E0" w:rsidRPr="003B2786" w:rsidRDefault="008C76E0" w:rsidP="008C76E0">
            <w:pPr>
              <w:spacing w:after="120" w:line="240" w:lineRule="auto"/>
              <w:ind w:right="-1"/>
              <w:jc w:val="center"/>
              <w:rPr>
                <w:rFonts w:ascii="Sylfaen" w:hAnsi="Sylfaen"/>
                <w:sz w:val="24"/>
                <w:szCs w:val="24"/>
              </w:rPr>
            </w:pPr>
          </w:p>
        </w:tc>
        <w:tc>
          <w:tcPr>
            <w:tcW w:w="2042" w:type="dxa"/>
            <w:gridSpan w:val="3"/>
            <w:tcBorders>
              <w:top w:val="single" w:sz="4" w:space="0" w:color="auto"/>
              <w:left w:val="single" w:sz="4" w:space="0" w:color="auto"/>
            </w:tcBorders>
            <w:shd w:val="clear" w:color="auto" w:fill="FFFFFF"/>
          </w:tcPr>
          <w:p w14:paraId="0B6EB805" w14:textId="77777777" w:rsidR="008C76E0" w:rsidRPr="003B2786" w:rsidRDefault="008C76E0" w:rsidP="008C76E0">
            <w:pPr>
              <w:spacing w:after="120" w:line="240" w:lineRule="auto"/>
              <w:ind w:right="-1"/>
              <w:jc w:val="center"/>
              <w:rPr>
                <w:rFonts w:ascii="Sylfaen" w:hAnsi="Sylfaen"/>
                <w:sz w:val="24"/>
                <w:szCs w:val="24"/>
              </w:rPr>
            </w:pPr>
          </w:p>
        </w:tc>
        <w:tc>
          <w:tcPr>
            <w:tcW w:w="2098" w:type="dxa"/>
            <w:gridSpan w:val="3"/>
            <w:tcBorders>
              <w:top w:val="single" w:sz="4" w:space="0" w:color="auto"/>
              <w:left w:val="single" w:sz="4" w:space="0" w:color="auto"/>
              <w:right w:val="single" w:sz="4" w:space="0" w:color="auto"/>
            </w:tcBorders>
            <w:shd w:val="clear" w:color="auto" w:fill="FFFFFF"/>
          </w:tcPr>
          <w:p w14:paraId="31964719" w14:textId="77777777" w:rsidR="008C76E0" w:rsidRPr="003B2786" w:rsidRDefault="008C76E0" w:rsidP="008C76E0">
            <w:pPr>
              <w:spacing w:after="120" w:line="240" w:lineRule="auto"/>
              <w:ind w:right="-1"/>
              <w:jc w:val="center"/>
              <w:rPr>
                <w:rFonts w:ascii="Sylfaen" w:hAnsi="Sylfaen"/>
                <w:sz w:val="24"/>
                <w:szCs w:val="24"/>
              </w:rPr>
            </w:pPr>
          </w:p>
        </w:tc>
      </w:tr>
      <w:tr w:rsidR="008C76E0" w:rsidRPr="003B2786" w14:paraId="19669A20"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3EF9DFE2" w14:textId="77777777" w:rsidR="008C76E0" w:rsidRPr="003B2786" w:rsidRDefault="008C76E0" w:rsidP="008C76E0">
            <w:pPr>
              <w:spacing w:after="120" w:line="240" w:lineRule="auto"/>
              <w:ind w:right="-1"/>
              <w:jc w:val="both"/>
              <w:rPr>
                <w:rFonts w:ascii="Sylfaen" w:hAnsi="Sylfaen"/>
                <w:sz w:val="24"/>
                <w:szCs w:val="24"/>
              </w:rPr>
            </w:pPr>
          </w:p>
        </w:tc>
        <w:tc>
          <w:tcPr>
            <w:tcW w:w="1655" w:type="dxa"/>
            <w:gridSpan w:val="3"/>
            <w:tcBorders>
              <w:top w:val="single" w:sz="4" w:space="0" w:color="auto"/>
              <w:left w:val="single" w:sz="4" w:space="0" w:color="auto"/>
            </w:tcBorders>
            <w:shd w:val="clear" w:color="auto" w:fill="FFFFFF"/>
          </w:tcPr>
          <w:p w14:paraId="130EC0C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3806B723"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98" w:type="dxa"/>
            <w:gridSpan w:val="3"/>
            <w:tcBorders>
              <w:top w:val="single" w:sz="4" w:space="0" w:color="auto"/>
              <w:left w:val="single" w:sz="4" w:space="0" w:color="auto"/>
              <w:right w:val="single" w:sz="4" w:space="0" w:color="auto"/>
            </w:tcBorders>
            <w:shd w:val="clear" w:color="auto" w:fill="FFFFFF"/>
          </w:tcPr>
          <w:p w14:paraId="74AC8491"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E6260F5"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vAlign w:val="bottom"/>
          </w:tcPr>
          <w:p w14:paraId="10338363" w14:textId="77777777" w:rsidR="008C76E0" w:rsidRPr="008C76E0" w:rsidRDefault="008C76E0" w:rsidP="008C76E0">
            <w:pPr>
              <w:pStyle w:val="Bodytext180"/>
              <w:shd w:val="clear" w:color="auto" w:fill="auto"/>
              <w:spacing w:before="0" w:after="120" w:line="240" w:lineRule="auto"/>
              <w:ind w:left="52" w:right="37" w:firstLine="0"/>
              <w:jc w:val="both"/>
              <w:rPr>
                <w:rFonts w:ascii="Sylfaen" w:hAnsi="Sylfaen"/>
                <w:b w:val="0"/>
                <w:sz w:val="24"/>
                <w:szCs w:val="24"/>
                <w:lang w:val="hy-AM"/>
              </w:rPr>
            </w:pPr>
            <w:r w:rsidRPr="003B2786">
              <w:rPr>
                <w:rStyle w:val="Bodytext1811pt"/>
                <w:rFonts w:ascii="Sylfaen" w:hAnsi="Sylfaen"/>
                <w:sz w:val="24"/>
                <w:szCs w:val="24"/>
              </w:rPr>
              <w:t>Բ.II.ա.6.</w:t>
            </w:r>
            <w:r w:rsidRPr="003B2786">
              <w:rPr>
                <w:rStyle w:val="Bodytext1811pt"/>
                <w:rFonts w:ascii="Sylfaen" w:hAnsi="Sylfaen"/>
                <w:sz w:val="24"/>
                <w:szCs w:val="24"/>
              </w:rPr>
              <w:tab/>
              <w:t>Փաթեթվածքից լուծիչով (նոսրացուցիչով) բեռնարկղի բացառումը</w:t>
            </w:r>
          </w:p>
        </w:tc>
        <w:tc>
          <w:tcPr>
            <w:tcW w:w="1655" w:type="dxa"/>
            <w:gridSpan w:val="3"/>
            <w:tcBorders>
              <w:top w:val="single" w:sz="4" w:space="0" w:color="auto"/>
              <w:left w:val="single" w:sz="4" w:space="0" w:color="auto"/>
            </w:tcBorders>
            <w:shd w:val="clear" w:color="auto" w:fill="FFFFFF"/>
          </w:tcPr>
          <w:p w14:paraId="23442490"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42" w:type="dxa"/>
            <w:gridSpan w:val="3"/>
            <w:tcBorders>
              <w:top w:val="single" w:sz="4" w:space="0" w:color="auto"/>
              <w:left w:val="single" w:sz="4" w:space="0" w:color="auto"/>
            </w:tcBorders>
            <w:shd w:val="clear" w:color="auto" w:fill="FFFFFF"/>
          </w:tcPr>
          <w:p w14:paraId="083B799D"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098" w:type="dxa"/>
            <w:gridSpan w:val="3"/>
            <w:tcBorders>
              <w:top w:val="single" w:sz="4" w:space="0" w:color="auto"/>
              <w:left w:val="single" w:sz="4" w:space="0" w:color="auto"/>
              <w:right w:val="single" w:sz="4" w:space="0" w:color="auto"/>
            </w:tcBorders>
            <w:shd w:val="clear" w:color="auto" w:fill="FFFFFF"/>
          </w:tcPr>
          <w:p w14:paraId="6CB53295"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36E09F1" w14:textId="77777777" w:rsidTr="008C76E0">
        <w:trPr>
          <w:gridAfter w:val="1"/>
          <w:wAfter w:w="14" w:type="dxa"/>
          <w:jc w:val="center"/>
        </w:trPr>
        <w:tc>
          <w:tcPr>
            <w:tcW w:w="4592" w:type="dxa"/>
            <w:gridSpan w:val="5"/>
            <w:tcBorders>
              <w:top w:val="single" w:sz="4" w:space="0" w:color="auto"/>
              <w:left w:val="single" w:sz="4" w:space="0" w:color="auto"/>
            </w:tcBorders>
            <w:shd w:val="clear" w:color="auto" w:fill="FFFFFF"/>
          </w:tcPr>
          <w:p w14:paraId="1F2E8753" w14:textId="77777777" w:rsidR="008C76E0" w:rsidRPr="003B2786" w:rsidRDefault="008C76E0" w:rsidP="008C76E0">
            <w:pPr>
              <w:spacing w:after="120" w:line="240" w:lineRule="auto"/>
              <w:ind w:right="-1"/>
              <w:jc w:val="both"/>
              <w:rPr>
                <w:rFonts w:ascii="Sylfaen" w:hAnsi="Sylfaen"/>
                <w:sz w:val="24"/>
                <w:szCs w:val="24"/>
              </w:rPr>
            </w:pPr>
          </w:p>
        </w:tc>
        <w:tc>
          <w:tcPr>
            <w:tcW w:w="1655" w:type="dxa"/>
            <w:gridSpan w:val="3"/>
            <w:tcBorders>
              <w:top w:val="single" w:sz="4" w:space="0" w:color="auto"/>
              <w:left w:val="single" w:sz="4" w:space="0" w:color="auto"/>
            </w:tcBorders>
            <w:shd w:val="clear" w:color="auto" w:fill="FFFFFF"/>
          </w:tcPr>
          <w:p w14:paraId="570A396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42" w:type="dxa"/>
            <w:gridSpan w:val="3"/>
            <w:tcBorders>
              <w:top w:val="single" w:sz="4" w:space="0" w:color="auto"/>
              <w:left w:val="single" w:sz="4" w:space="0" w:color="auto"/>
            </w:tcBorders>
            <w:shd w:val="clear" w:color="auto" w:fill="FFFFFF"/>
          </w:tcPr>
          <w:p w14:paraId="3E49958A"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i/>
                <w:sz w:val="24"/>
                <w:szCs w:val="24"/>
              </w:rPr>
            </w:pPr>
            <w:r w:rsidRPr="003B2786">
              <w:rPr>
                <w:rStyle w:val="Bodytext295pt"/>
                <w:rFonts w:ascii="Sylfaen" w:hAnsi="Sylfaen"/>
                <w:sz w:val="24"/>
                <w:szCs w:val="24"/>
              </w:rPr>
              <w:t>1, 2</w:t>
            </w:r>
          </w:p>
        </w:tc>
        <w:tc>
          <w:tcPr>
            <w:tcW w:w="2098" w:type="dxa"/>
            <w:gridSpan w:val="3"/>
            <w:tcBorders>
              <w:top w:val="single" w:sz="4" w:space="0" w:color="auto"/>
              <w:left w:val="single" w:sz="4" w:space="0" w:color="auto"/>
              <w:right w:val="single" w:sz="4" w:space="0" w:color="auto"/>
            </w:tcBorders>
            <w:shd w:val="clear" w:color="auto" w:fill="FFFFFF"/>
          </w:tcPr>
          <w:p w14:paraId="27FA968B" w14:textId="77777777" w:rsidR="008C76E0" w:rsidRPr="003B2786" w:rsidRDefault="008C76E0" w:rsidP="008C76E0">
            <w:pPr>
              <w:pStyle w:val="Bodytext180"/>
              <w:shd w:val="clear" w:color="auto" w:fill="auto"/>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47AF489" w14:textId="77777777" w:rsidTr="008C76E0">
        <w:trPr>
          <w:gridAfter w:val="1"/>
          <w:wAfter w:w="14" w:type="dxa"/>
          <w:jc w:val="center"/>
        </w:trPr>
        <w:tc>
          <w:tcPr>
            <w:tcW w:w="10387" w:type="dxa"/>
            <w:gridSpan w:val="14"/>
            <w:tcBorders>
              <w:top w:val="single" w:sz="4" w:space="0" w:color="auto"/>
              <w:left w:val="single" w:sz="4" w:space="0" w:color="auto"/>
              <w:right w:val="single" w:sz="4" w:space="0" w:color="auto"/>
            </w:tcBorders>
            <w:shd w:val="clear" w:color="auto" w:fill="FFFFFF"/>
            <w:vAlign w:val="bottom"/>
          </w:tcPr>
          <w:p w14:paraId="3F804C46" w14:textId="77777777" w:rsidR="008C76E0" w:rsidRPr="008C76E0" w:rsidRDefault="008C76E0" w:rsidP="008C76E0">
            <w:pPr>
              <w:pStyle w:val="Bodytext180"/>
              <w:shd w:val="clear" w:color="auto" w:fill="auto"/>
              <w:tabs>
                <w:tab w:val="left" w:pos="587"/>
              </w:tabs>
              <w:spacing w:before="0" w:after="120" w:line="240" w:lineRule="auto"/>
              <w:ind w:right="-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7FAFE95" w14:textId="77777777" w:rsidR="008C76E0" w:rsidRPr="008C76E0" w:rsidRDefault="008C76E0" w:rsidP="008C76E0">
            <w:pPr>
              <w:pStyle w:val="Bodytext180"/>
              <w:shd w:val="clear" w:color="auto" w:fill="auto"/>
              <w:tabs>
                <w:tab w:val="left" w:pos="587"/>
              </w:tabs>
              <w:spacing w:before="0" w:after="120" w:line="240" w:lineRule="auto"/>
              <w:ind w:left="52" w:right="185"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Բացառման հիմնավորումը, ներառյալ՝ լուծիչի (նոսրացուցիչի) ստացման այլընտրանքային եղանակի ցուցումը՝ դեղապատրաստուկի անվտանգ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արդյունավետ կիրառության նպատակով։</w:t>
            </w:r>
          </w:p>
          <w:p w14:paraId="33057C36" w14:textId="77777777" w:rsidR="008C76E0" w:rsidRPr="003B2786" w:rsidRDefault="008C76E0" w:rsidP="008C76E0">
            <w:pPr>
              <w:pStyle w:val="Bodytext180"/>
              <w:shd w:val="clear" w:color="auto" w:fill="auto"/>
              <w:tabs>
                <w:tab w:val="left" w:pos="587"/>
              </w:tabs>
              <w:spacing w:before="0" w:after="120" w:line="240" w:lineRule="auto"/>
              <w:ind w:left="52" w:right="-1"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3814B5D3" w14:textId="77777777" w:rsidTr="008C76E0">
        <w:trPr>
          <w:jc w:val="center"/>
        </w:trPr>
        <w:tc>
          <w:tcPr>
            <w:tcW w:w="10401" w:type="dxa"/>
            <w:gridSpan w:val="15"/>
            <w:tcBorders>
              <w:top w:val="single" w:sz="4" w:space="0" w:color="auto"/>
            </w:tcBorders>
            <w:shd w:val="clear" w:color="auto" w:fill="FFFFFF"/>
            <w:vAlign w:val="bottom"/>
          </w:tcPr>
          <w:p w14:paraId="2C043291" w14:textId="77777777" w:rsidR="008C76E0" w:rsidRPr="003B2786" w:rsidRDefault="008C76E0" w:rsidP="008C76E0">
            <w:pPr>
              <w:pStyle w:val="Bodytext180"/>
              <w:shd w:val="clear" w:color="auto" w:fill="auto"/>
              <w:tabs>
                <w:tab w:val="left" w:pos="1150"/>
              </w:tabs>
              <w:spacing w:before="0" w:after="120" w:line="240" w:lineRule="auto"/>
              <w:ind w:left="50" w:right="-1" w:firstLine="0"/>
              <w:jc w:val="center"/>
              <w:rPr>
                <w:rFonts w:ascii="Sylfaen" w:hAnsi="Sylfaen"/>
                <w:b w:val="0"/>
                <w:sz w:val="24"/>
                <w:szCs w:val="24"/>
              </w:rPr>
            </w:pPr>
            <w:r w:rsidRPr="003B2786">
              <w:rPr>
                <w:rStyle w:val="Bodytext295pt"/>
                <w:rFonts w:ascii="Sylfaen" w:hAnsi="Sylfaen"/>
                <w:sz w:val="24"/>
                <w:szCs w:val="24"/>
              </w:rPr>
              <w:t>Բ.II.բ)</w:t>
            </w:r>
            <w:r w:rsidRPr="003B2786">
              <w:rPr>
                <w:rStyle w:val="Bodytext295pt"/>
                <w:rFonts w:ascii="Sylfaen" w:hAnsi="Sylfaen"/>
                <w:sz w:val="24"/>
                <w:szCs w:val="24"/>
              </w:rPr>
              <w:tab/>
              <w:t>Արտադրությունը</w:t>
            </w:r>
          </w:p>
        </w:tc>
      </w:tr>
      <w:tr w:rsidR="008C76E0" w:rsidRPr="003B2786" w14:paraId="37DAF41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D902EA1" w14:textId="77777777" w:rsidR="008C76E0" w:rsidRPr="008C76E0" w:rsidRDefault="008C76E0" w:rsidP="008C76E0">
            <w:pPr>
              <w:pStyle w:val="Bodytext180"/>
              <w:shd w:val="clear" w:color="auto" w:fill="auto"/>
              <w:tabs>
                <w:tab w:val="left" w:pos="1141"/>
              </w:tabs>
              <w:spacing w:before="0" w:after="120" w:line="240" w:lineRule="auto"/>
              <w:ind w:left="157" w:right="118" w:firstLine="0"/>
              <w:rPr>
                <w:rFonts w:ascii="Sylfaen" w:hAnsi="Sylfaen"/>
                <w:b w:val="0"/>
                <w:sz w:val="24"/>
                <w:szCs w:val="24"/>
                <w:lang w:val="hy-AM"/>
              </w:rPr>
            </w:pPr>
            <w:r w:rsidRPr="003B2786">
              <w:rPr>
                <w:rStyle w:val="Bodytext1811pt"/>
                <w:rFonts w:ascii="Sylfaen" w:hAnsi="Sylfaen"/>
                <w:sz w:val="24"/>
                <w:szCs w:val="24"/>
              </w:rPr>
              <w:t xml:space="preserve">Բ.II.բ. </w:t>
            </w:r>
            <w:r w:rsidRPr="003B2786">
              <w:rPr>
                <w:rStyle w:val="Bodytext295pt"/>
                <w:rFonts w:ascii="Sylfaen" w:hAnsi="Sylfaen"/>
                <w:sz w:val="24"/>
                <w:szCs w:val="24"/>
              </w:rPr>
              <w:t>1.</w:t>
            </w:r>
            <w:r w:rsidRPr="003B2786">
              <w:rPr>
                <w:rStyle w:val="Bodytext295pt"/>
                <w:rFonts w:ascii="Sylfaen" w:hAnsi="Sylfaen"/>
                <w:sz w:val="24"/>
                <w:szCs w:val="24"/>
              </w:rPr>
              <w:tab/>
            </w:r>
            <w:r w:rsidRPr="003B2786">
              <w:rPr>
                <w:rStyle w:val="Bodytext1811pt"/>
                <w:rFonts w:ascii="Sylfaen" w:hAnsi="Sylfaen"/>
                <w:sz w:val="24"/>
                <w:szCs w:val="24"/>
              </w:rPr>
              <w:t>Դեղապատրաստուկի արտադրության մի մասի կամ բոլոր գործընթացների համար արտադրական հարթակների փոխարինումը կամ նորի ավելացումը</w:t>
            </w:r>
          </w:p>
        </w:tc>
        <w:tc>
          <w:tcPr>
            <w:tcW w:w="1701" w:type="dxa"/>
            <w:gridSpan w:val="4"/>
            <w:tcBorders>
              <w:top w:val="single" w:sz="4" w:space="0" w:color="auto"/>
              <w:left w:val="single" w:sz="4" w:space="0" w:color="auto"/>
            </w:tcBorders>
            <w:shd w:val="clear" w:color="auto" w:fill="FFFFFF"/>
          </w:tcPr>
          <w:p w14:paraId="6F599B3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79" w:type="dxa"/>
            <w:gridSpan w:val="3"/>
            <w:tcBorders>
              <w:top w:val="single" w:sz="4" w:space="0" w:color="auto"/>
              <w:left w:val="single" w:sz="4" w:space="0" w:color="auto"/>
            </w:tcBorders>
            <w:shd w:val="clear" w:color="auto" w:fill="FFFFFF"/>
          </w:tcPr>
          <w:p w14:paraId="5BA3BCA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624" w:type="dxa"/>
            <w:gridSpan w:val="2"/>
            <w:tcBorders>
              <w:top w:val="single" w:sz="4" w:space="0" w:color="auto"/>
              <w:left w:val="single" w:sz="4" w:space="0" w:color="auto"/>
              <w:right w:val="single" w:sz="4" w:space="0" w:color="auto"/>
            </w:tcBorders>
            <w:shd w:val="clear" w:color="auto" w:fill="FFFFFF"/>
          </w:tcPr>
          <w:p w14:paraId="33895DA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518664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5D1D138"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երկրորդային փաթեթվածքի համար հարթակ</w:t>
            </w:r>
          </w:p>
        </w:tc>
        <w:tc>
          <w:tcPr>
            <w:tcW w:w="1701" w:type="dxa"/>
            <w:gridSpan w:val="4"/>
            <w:tcBorders>
              <w:top w:val="single" w:sz="4" w:space="0" w:color="auto"/>
              <w:left w:val="single" w:sz="4" w:space="0" w:color="auto"/>
            </w:tcBorders>
            <w:shd w:val="clear" w:color="auto" w:fill="FFFFFF"/>
          </w:tcPr>
          <w:p w14:paraId="3D542F2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1, 2</w:t>
            </w:r>
          </w:p>
        </w:tc>
        <w:tc>
          <w:tcPr>
            <w:tcW w:w="2079" w:type="dxa"/>
            <w:gridSpan w:val="3"/>
            <w:tcBorders>
              <w:top w:val="single" w:sz="4" w:space="0" w:color="auto"/>
              <w:left w:val="single" w:sz="4" w:space="0" w:color="auto"/>
            </w:tcBorders>
            <w:shd w:val="clear" w:color="auto" w:fill="FFFFFF"/>
          </w:tcPr>
          <w:p w14:paraId="61A1D4E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1, 3, 8</w:t>
            </w:r>
          </w:p>
        </w:tc>
        <w:tc>
          <w:tcPr>
            <w:tcW w:w="1624" w:type="dxa"/>
            <w:gridSpan w:val="2"/>
            <w:tcBorders>
              <w:top w:val="single" w:sz="4" w:space="0" w:color="auto"/>
              <w:left w:val="single" w:sz="4" w:space="0" w:color="auto"/>
              <w:right w:val="single" w:sz="4" w:space="0" w:color="auto"/>
            </w:tcBorders>
            <w:shd w:val="clear" w:color="auto" w:fill="FFFFFF"/>
          </w:tcPr>
          <w:p w14:paraId="187113FC"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i/>
                <w:sz w:val="24"/>
                <w:szCs w:val="24"/>
              </w:rPr>
            </w:pPr>
            <w:r w:rsidRPr="003B2786">
              <w:rPr>
                <w:rStyle w:val="Bodytext295pt"/>
                <w:rFonts w:ascii="Sylfaen" w:hAnsi="Sylfaen"/>
                <w:sz w:val="24"/>
                <w:szCs w:val="24"/>
              </w:rPr>
              <w:t>IA</w:t>
            </w:r>
            <w:r w:rsidRPr="003B2786">
              <w:rPr>
                <w:rStyle w:val="Bodytext295pt"/>
                <w:rFonts w:ascii="Sylfaen" w:hAnsi="Sylfaen"/>
                <w:sz w:val="24"/>
                <w:szCs w:val="24"/>
                <w:vertAlign w:val="subscript"/>
              </w:rPr>
              <w:t>ԱՊ</w:t>
            </w:r>
          </w:p>
        </w:tc>
      </w:tr>
      <w:tr w:rsidR="008C76E0" w:rsidRPr="003B2786" w14:paraId="43FC285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4180FA0"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առաջնային փաթեթվածքի համար հարթակ</w:t>
            </w:r>
          </w:p>
        </w:tc>
        <w:tc>
          <w:tcPr>
            <w:tcW w:w="1701" w:type="dxa"/>
            <w:gridSpan w:val="4"/>
            <w:tcBorders>
              <w:top w:val="single" w:sz="4" w:space="0" w:color="auto"/>
              <w:left w:val="single" w:sz="4" w:space="0" w:color="auto"/>
            </w:tcBorders>
            <w:shd w:val="clear" w:color="auto" w:fill="FFFFFF"/>
          </w:tcPr>
          <w:p w14:paraId="3A1C4D8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1, 2, 3, 4, 5</w:t>
            </w:r>
          </w:p>
        </w:tc>
        <w:tc>
          <w:tcPr>
            <w:tcW w:w="2079" w:type="dxa"/>
            <w:gridSpan w:val="3"/>
            <w:tcBorders>
              <w:top w:val="single" w:sz="4" w:space="0" w:color="auto"/>
              <w:left w:val="single" w:sz="4" w:space="0" w:color="auto"/>
            </w:tcBorders>
            <w:shd w:val="clear" w:color="auto" w:fill="FFFFFF"/>
          </w:tcPr>
          <w:p w14:paraId="6AD8380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1, 2, 3, 4, 8, 9</w:t>
            </w:r>
          </w:p>
        </w:tc>
        <w:tc>
          <w:tcPr>
            <w:tcW w:w="1624" w:type="dxa"/>
            <w:gridSpan w:val="2"/>
            <w:tcBorders>
              <w:top w:val="single" w:sz="4" w:space="0" w:color="auto"/>
              <w:left w:val="single" w:sz="4" w:space="0" w:color="auto"/>
              <w:right w:val="single" w:sz="4" w:space="0" w:color="auto"/>
            </w:tcBorders>
            <w:shd w:val="clear" w:color="auto" w:fill="FFFFFF"/>
          </w:tcPr>
          <w:p w14:paraId="03EA0631"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i/>
                <w:sz w:val="24"/>
                <w:szCs w:val="24"/>
              </w:rPr>
            </w:pPr>
            <w:r w:rsidRPr="003B2786">
              <w:rPr>
                <w:rStyle w:val="Bodytext295pt"/>
                <w:rFonts w:ascii="Sylfaen" w:hAnsi="Sylfaen"/>
                <w:sz w:val="24"/>
                <w:szCs w:val="24"/>
              </w:rPr>
              <w:t>IA</w:t>
            </w:r>
            <w:r w:rsidRPr="003B2786">
              <w:rPr>
                <w:rStyle w:val="Bodytext295pt"/>
                <w:rFonts w:ascii="Sylfaen" w:hAnsi="Sylfaen"/>
                <w:sz w:val="24"/>
                <w:szCs w:val="24"/>
                <w:vertAlign w:val="subscript"/>
              </w:rPr>
              <w:t>ԱՊ</w:t>
            </w:r>
          </w:p>
        </w:tc>
      </w:tr>
      <w:tr w:rsidR="008C76E0" w:rsidRPr="003B2786" w14:paraId="12E80EE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BA487B1"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հարթակ, որտեղ կենսաբանական (իմունաբանական) դեղապատրաստուկների կամ բարդ արտադրական գործընթացներով արտադրված դեղաձ</w:t>
            </w:r>
            <w:r w:rsidR="00C54D75">
              <w:rPr>
                <w:rStyle w:val="Bodytext1811pt"/>
                <w:rFonts w:ascii="Sylfaen" w:hAnsi="Sylfaen"/>
                <w:sz w:val="24"/>
                <w:szCs w:val="24"/>
              </w:rPr>
              <w:t>և</w:t>
            </w:r>
            <w:r w:rsidRPr="003B2786">
              <w:rPr>
                <w:rStyle w:val="Bodytext1811pt"/>
                <w:rFonts w:ascii="Sylfaen" w:hAnsi="Sylfaen"/>
                <w:sz w:val="24"/>
                <w:szCs w:val="24"/>
              </w:rPr>
              <w:t xml:space="preserve">երի համար իրականացվում են արտադրական </w:t>
            </w:r>
            <w:r w:rsidRPr="003B2786">
              <w:rPr>
                <w:rStyle w:val="Bodytext1811pt"/>
                <w:rFonts w:ascii="Sylfaen" w:hAnsi="Sylfaen"/>
                <w:sz w:val="24"/>
                <w:szCs w:val="24"/>
              </w:rPr>
              <w:lastRenderedPageBreak/>
              <w:t xml:space="preserve">գործողություններ՝ բացառությամբ սերիաների թողարկման, սերիաների որակի հսկողության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երկրորդային փաթեթավորման</w:t>
            </w:r>
          </w:p>
        </w:tc>
        <w:tc>
          <w:tcPr>
            <w:tcW w:w="1701" w:type="dxa"/>
            <w:gridSpan w:val="4"/>
            <w:tcBorders>
              <w:top w:val="single" w:sz="4" w:space="0" w:color="auto"/>
              <w:left w:val="single" w:sz="4" w:space="0" w:color="auto"/>
            </w:tcBorders>
            <w:shd w:val="clear" w:color="auto" w:fill="FFFFFF"/>
          </w:tcPr>
          <w:p w14:paraId="31F6755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079" w:type="dxa"/>
            <w:gridSpan w:val="3"/>
            <w:tcBorders>
              <w:top w:val="single" w:sz="4" w:space="0" w:color="auto"/>
              <w:left w:val="single" w:sz="4" w:space="0" w:color="auto"/>
            </w:tcBorders>
            <w:shd w:val="clear" w:color="auto" w:fill="FFFFFF"/>
          </w:tcPr>
          <w:p w14:paraId="5700042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624" w:type="dxa"/>
            <w:gridSpan w:val="2"/>
            <w:tcBorders>
              <w:top w:val="single" w:sz="4" w:space="0" w:color="auto"/>
              <w:left w:val="single" w:sz="4" w:space="0" w:color="auto"/>
              <w:right w:val="single" w:sz="4" w:space="0" w:color="auto"/>
            </w:tcBorders>
            <w:shd w:val="clear" w:color="auto" w:fill="FFFFFF"/>
          </w:tcPr>
          <w:p w14:paraId="36AC814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DD5855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B8FAD45"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հարթակ, որտեղ պահանջվում է անցկացնել նախնական կամ արտադրանքի համար սպեցիֆիկ տեսչական ստուգում</w:t>
            </w:r>
          </w:p>
        </w:tc>
        <w:tc>
          <w:tcPr>
            <w:tcW w:w="1701" w:type="dxa"/>
            <w:gridSpan w:val="4"/>
            <w:tcBorders>
              <w:top w:val="single" w:sz="4" w:space="0" w:color="auto"/>
              <w:left w:val="single" w:sz="4" w:space="0" w:color="auto"/>
            </w:tcBorders>
            <w:shd w:val="clear" w:color="auto" w:fill="FFFFFF"/>
          </w:tcPr>
          <w:p w14:paraId="01F7209D"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79" w:type="dxa"/>
            <w:gridSpan w:val="3"/>
            <w:tcBorders>
              <w:top w:val="single" w:sz="4" w:space="0" w:color="auto"/>
              <w:left w:val="single" w:sz="4" w:space="0" w:color="auto"/>
            </w:tcBorders>
            <w:shd w:val="clear" w:color="auto" w:fill="FFFFFF"/>
          </w:tcPr>
          <w:p w14:paraId="00AAD3EC"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624" w:type="dxa"/>
            <w:gridSpan w:val="2"/>
            <w:tcBorders>
              <w:top w:val="single" w:sz="4" w:space="0" w:color="auto"/>
              <w:left w:val="single" w:sz="4" w:space="0" w:color="auto"/>
              <w:right w:val="single" w:sz="4" w:space="0" w:color="auto"/>
            </w:tcBorders>
            <w:shd w:val="clear" w:color="auto" w:fill="FFFFFF"/>
          </w:tcPr>
          <w:p w14:paraId="3490B0A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955415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369851A"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 xml:space="preserve">հարթակ, որտեղ ոչ մանրէազերծ դեղապատրաստուկների համար իրականացվում է ցանկացած արտադրական գործողություն՝ բացառությամբ սերիաների թողարկման, սերիաների հսկողության, առաջնային </w:t>
            </w:r>
            <w:r w:rsidR="00C54D75">
              <w:rPr>
                <w:rStyle w:val="Bodytext1811pt"/>
                <w:rFonts w:ascii="Sylfaen" w:hAnsi="Sylfaen"/>
                <w:sz w:val="24"/>
                <w:szCs w:val="24"/>
              </w:rPr>
              <w:t>և</w:t>
            </w:r>
            <w:r w:rsidRPr="003B2786">
              <w:rPr>
                <w:rStyle w:val="Bodytext1811pt"/>
                <w:rFonts w:ascii="Sylfaen" w:hAnsi="Sylfaen"/>
                <w:sz w:val="24"/>
                <w:szCs w:val="24"/>
              </w:rPr>
              <w:t xml:space="preserve"> երկրորդային փաթեթավորման</w:t>
            </w:r>
          </w:p>
        </w:tc>
        <w:tc>
          <w:tcPr>
            <w:tcW w:w="1701" w:type="dxa"/>
            <w:gridSpan w:val="4"/>
            <w:tcBorders>
              <w:top w:val="single" w:sz="4" w:space="0" w:color="auto"/>
              <w:left w:val="single" w:sz="4" w:space="0" w:color="auto"/>
            </w:tcBorders>
            <w:shd w:val="clear" w:color="auto" w:fill="FFFFFF"/>
          </w:tcPr>
          <w:p w14:paraId="32242FDE"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79" w:type="dxa"/>
            <w:gridSpan w:val="3"/>
            <w:tcBorders>
              <w:top w:val="single" w:sz="4" w:space="0" w:color="auto"/>
              <w:left w:val="single" w:sz="4" w:space="0" w:color="auto"/>
            </w:tcBorders>
            <w:shd w:val="clear" w:color="auto" w:fill="FFFFFF"/>
          </w:tcPr>
          <w:p w14:paraId="314D2BCB"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1, 2, 3, 4, 5, 6, 7, 8, 9</w:t>
            </w:r>
          </w:p>
        </w:tc>
        <w:tc>
          <w:tcPr>
            <w:tcW w:w="1624" w:type="dxa"/>
            <w:gridSpan w:val="2"/>
            <w:tcBorders>
              <w:top w:val="single" w:sz="4" w:space="0" w:color="auto"/>
              <w:left w:val="single" w:sz="4" w:space="0" w:color="auto"/>
              <w:right w:val="single" w:sz="4" w:space="0" w:color="auto"/>
            </w:tcBorders>
            <w:shd w:val="clear" w:color="auto" w:fill="FFFFFF"/>
          </w:tcPr>
          <w:p w14:paraId="7895E3E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90450E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6B80BB5" w14:textId="77777777" w:rsidR="008C76E0" w:rsidRPr="008C76E0" w:rsidRDefault="008C76E0" w:rsidP="008C76E0">
            <w:pPr>
              <w:pStyle w:val="Bodytext180"/>
              <w:shd w:val="clear" w:color="auto" w:fill="auto"/>
              <w:tabs>
                <w:tab w:val="left" w:pos="567"/>
              </w:tabs>
              <w:spacing w:before="0" w:after="120" w:line="240" w:lineRule="auto"/>
              <w:ind w:left="123" w:right="216"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 xml:space="preserve">հարթակ, որտեղ ասեպտիկ մեթոդների օգտագործմամբ արտադրվող ստերիլ դեղապատրաստուկների (բացառությամբ կենսաբանական (իմունաբանական) դեղապատրաստուկների) համար իրականացվում է ցանկացած արտադրական գործողություն՝ բացառությամբ սերիաների բացթողման, սերիաների որակի հսկողության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երկրորդային փաթեթավորման</w:t>
            </w:r>
          </w:p>
        </w:tc>
        <w:tc>
          <w:tcPr>
            <w:tcW w:w="1701" w:type="dxa"/>
            <w:gridSpan w:val="4"/>
            <w:tcBorders>
              <w:top w:val="single" w:sz="4" w:space="0" w:color="auto"/>
              <w:left w:val="single" w:sz="4" w:space="0" w:color="auto"/>
            </w:tcBorders>
            <w:shd w:val="clear" w:color="auto" w:fill="FFFFFF"/>
          </w:tcPr>
          <w:p w14:paraId="1DA5F09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2079" w:type="dxa"/>
            <w:gridSpan w:val="3"/>
            <w:tcBorders>
              <w:top w:val="single" w:sz="4" w:space="0" w:color="auto"/>
              <w:left w:val="single" w:sz="4" w:space="0" w:color="auto"/>
            </w:tcBorders>
            <w:shd w:val="clear" w:color="auto" w:fill="FFFFFF"/>
          </w:tcPr>
          <w:p w14:paraId="020B1EBC"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295pt"/>
                <w:rFonts w:ascii="Sylfaen" w:hAnsi="Sylfaen"/>
                <w:sz w:val="24"/>
                <w:szCs w:val="24"/>
              </w:rPr>
              <w:t>1, 2, 3, 4, 5, 7, 8</w:t>
            </w:r>
          </w:p>
        </w:tc>
        <w:tc>
          <w:tcPr>
            <w:tcW w:w="1624" w:type="dxa"/>
            <w:gridSpan w:val="2"/>
            <w:tcBorders>
              <w:top w:val="single" w:sz="4" w:space="0" w:color="auto"/>
              <w:left w:val="single" w:sz="4" w:space="0" w:color="auto"/>
              <w:right w:val="single" w:sz="4" w:space="0" w:color="auto"/>
            </w:tcBorders>
            <w:shd w:val="clear" w:color="auto" w:fill="FFFFFF"/>
          </w:tcPr>
          <w:p w14:paraId="7FA6B1EA"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9412119"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759F7D4F"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02973B09"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Վերջին երեք տարվա ընթացքում բավարար տեսչական ստուգումներ՝ անդամ պետությունների տեսչական մարմինների կամ այն երկրի կողմից, որի հետ կնքվել է համապատասխան արտադրական գործունեության փոխադարձ ճանաչման մասին գործող համաձայնագիր։</w:t>
            </w:r>
          </w:p>
          <w:p w14:paraId="7EC07B24"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Հարթակը լիցենզավորված է (դիտարկվող դեղաձ</w:t>
            </w:r>
            <w:r w:rsidR="00C54D75">
              <w:rPr>
                <w:rStyle w:val="Bodytext1811pt"/>
                <w:rFonts w:ascii="Sylfaen" w:hAnsi="Sylfaen"/>
                <w:sz w:val="24"/>
                <w:szCs w:val="24"/>
              </w:rPr>
              <w:t>և</w:t>
            </w:r>
            <w:r w:rsidRPr="003B2786">
              <w:rPr>
                <w:rStyle w:val="Bodytext1811pt"/>
                <w:rFonts w:ascii="Sylfaen" w:hAnsi="Sylfaen"/>
                <w:sz w:val="24"/>
                <w:szCs w:val="24"/>
              </w:rPr>
              <w:t>ի կամ դեղապատրաստուկի արտադրության համար) սահմանված կարգով</w:t>
            </w:r>
          </w:p>
        </w:tc>
      </w:tr>
      <w:tr w:rsidR="008C76E0" w:rsidRPr="003B2786" w14:paraId="5FDF3007"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29F80CB"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Դիտարկվող դեղապատրաստուկը մանրէազերծ չէ։</w:t>
            </w:r>
          </w:p>
          <w:p w14:paraId="0C1CB4E1"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օրինակ՝ կախույթի կամ էմուլսիայի առնչությամբ, գոյություն ունի վալիդացման սխեմա, կամ գործող արձանագրությանը համապատասխան՝ բարեհաջող իրականացվել է նոր հարթակի վալիդացումը՝ 3-ից ոչ պակաս արդյունաբերական սերիաներով։</w:t>
            </w:r>
          </w:p>
          <w:p w14:paraId="4453DA01"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Դիտարկվող դեղապատրաստուկը կենսաբանական (իմունաբանական) չէ։</w:t>
            </w:r>
          </w:p>
        </w:tc>
      </w:tr>
      <w:tr w:rsidR="008C76E0" w:rsidRPr="003B2786" w14:paraId="16AE8ADF"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0426A51"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5EF55CDF"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Հաստատումն այն բանի, որ առաջարկվող հարթակը լիցենզավորված է դեղաձ</w:t>
            </w:r>
            <w:r w:rsidR="00C54D75">
              <w:rPr>
                <w:rStyle w:val="Bodytext1811pt"/>
                <w:rFonts w:ascii="Sylfaen" w:hAnsi="Sylfaen"/>
                <w:sz w:val="24"/>
                <w:szCs w:val="24"/>
              </w:rPr>
              <w:t>և</w:t>
            </w:r>
            <w:r w:rsidRPr="003B2786">
              <w:rPr>
                <w:rStyle w:val="Bodytext1811pt"/>
                <w:rFonts w:ascii="Sylfaen" w:hAnsi="Sylfaen"/>
                <w:sz w:val="24"/>
                <w:szCs w:val="24"/>
              </w:rPr>
              <w:t>ի կամ դիտարկվող դեղապատրաստուկի արտադրության համար սահմանված կարգով։</w:t>
            </w:r>
          </w:p>
          <w:p w14:paraId="05F8C0BD"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անհրաժեշտ է նշել սերիաների համարները, վալիդացման հետազոտությունում օգտագործված սերիաների համապատասխան չափերը </w:t>
            </w:r>
            <w:r w:rsidR="00C54D75">
              <w:rPr>
                <w:rStyle w:val="Bodytext1811pt"/>
                <w:rFonts w:ascii="Sylfaen" w:hAnsi="Sylfaen"/>
                <w:sz w:val="24"/>
                <w:szCs w:val="24"/>
              </w:rPr>
              <w:t>և</w:t>
            </w:r>
            <w:r w:rsidRPr="003B2786">
              <w:rPr>
                <w:rStyle w:val="Bodytext1811pt"/>
                <w:rFonts w:ascii="Sylfaen" w:hAnsi="Sylfaen"/>
                <w:sz w:val="24"/>
                <w:szCs w:val="24"/>
              </w:rPr>
              <w:t xml:space="preserve"> սերիաների արտադրության ամսաթիվը (&gt;3), </w:t>
            </w:r>
            <w:r w:rsidR="00C54D75">
              <w:rPr>
                <w:rStyle w:val="Bodytext1811pt"/>
                <w:rFonts w:ascii="Sylfaen" w:hAnsi="Sylfaen"/>
                <w:sz w:val="24"/>
                <w:szCs w:val="24"/>
              </w:rPr>
              <w:t>և</w:t>
            </w:r>
            <w:r w:rsidRPr="003B2786">
              <w:rPr>
                <w:rStyle w:val="Bodytext1811pt"/>
                <w:rFonts w:ascii="Sylfaen" w:hAnsi="Sylfaen"/>
                <w:sz w:val="24"/>
                <w:szCs w:val="24"/>
              </w:rPr>
              <w:t xml:space="preserve"> ներկայացնել վալիդացման վերաբերյալ տվյալները կամ ներկայացման ենթակա վալիդացման արձանագրությունը (սխեման)։</w:t>
            </w:r>
          </w:p>
          <w:p w14:paraId="3306D174"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Փոփոխություններ կատարելու մասին հայտում անհրաժեշտ է հստակ նշել դեղապատրաստուկի «ներկա»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արտադրողներին (հայտի ձ</w:t>
            </w:r>
            <w:r w:rsidR="00C54D75">
              <w:rPr>
                <w:rStyle w:val="Bodytext1811pt"/>
                <w:rFonts w:ascii="Sylfaen" w:hAnsi="Sylfaen"/>
                <w:sz w:val="24"/>
                <w:szCs w:val="24"/>
              </w:rPr>
              <w:t>և</w:t>
            </w:r>
            <w:r w:rsidRPr="003B2786">
              <w:rPr>
                <w:rStyle w:val="Bodytext1811pt"/>
                <w:rFonts w:ascii="Sylfaen" w:hAnsi="Sylfaen"/>
                <w:sz w:val="24"/>
                <w:szCs w:val="24"/>
              </w:rPr>
              <w:t>ի 2.5 բաժնի համաձայն)։</w:t>
            </w:r>
          </w:p>
          <w:p w14:paraId="279E0ADC"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Թողարկման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 մասնագրերի հաստատված օրինակները (եթե կիրառելի են)։</w:t>
            </w:r>
          </w:p>
          <w:p w14:paraId="75136AD7"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Մեկ արդյունաբերական սերիայի </w:t>
            </w:r>
            <w:r w:rsidR="00C54D75">
              <w:rPr>
                <w:rStyle w:val="Bodytext1811pt"/>
                <w:rFonts w:ascii="Sylfaen" w:hAnsi="Sylfaen"/>
                <w:sz w:val="24"/>
                <w:szCs w:val="24"/>
              </w:rPr>
              <w:t>և</w:t>
            </w:r>
            <w:r w:rsidRPr="003B2786">
              <w:rPr>
                <w:rStyle w:val="Bodytext1811pt"/>
                <w:rFonts w:ascii="Sylfaen" w:hAnsi="Sylfaen"/>
                <w:sz w:val="24"/>
                <w:szCs w:val="24"/>
              </w:rPr>
              <w:t xml:space="preserve"> արտադրության գործընթացը նմանակող երկու փորձարարաարդյունաբերական սերիաների (կամ երկու արդյունաբերական սերիաների) վերլուծության տվյալներն ու նախորդ արտադրական հարթակում արտադրված երեք սերիաների հետ համեմատական տվյալները։ Հարցման հիման վրա անհրաժեշտ է ներկայացնել հաջորդ երկու ամբողջական արդյունաբերական սերիաների վերաբերյալ տվյալները. վերլուծության արդյունքները մասնագրին չհամապատասխանելու դեպքում անհրաժեշտ է տեղեկացնել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առաջարկել գործողությունների պլան։</w:t>
            </w:r>
          </w:p>
          <w:p w14:paraId="04F6C0E8"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վերաբերյալ համապատասխան տվյալները, ներառյալ՝ բաշխման միկրոսկոպիայի արդյունքները՝ ըստ մասնիկների չափերի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դրանց կազմաբանության այն փափուկ </w:t>
            </w:r>
            <w:r w:rsidR="00C54D75">
              <w:rPr>
                <w:rStyle w:val="Bodytext1811pt"/>
                <w:rFonts w:ascii="Sylfaen" w:hAnsi="Sylfaen"/>
                <w:sz w:val="24"/>
                <w:szCs w:val="24"/>
              </w:rPr>
              <w:t>և</w:t>
            </w:r>
            <w:r w:rsidRPr="003B2786">
              <w:rPr>
                <w:rStyle w:val="Bodytext1811pt"/>
                <w:rFonts w:ascii="Sylfaen" w:hAnsi="Sylfaen"/>
                <w:sz w:val="24"/>
                <w:szCs w:val="24"/>
              </w:rPr>
              <w:t xml:space="preserve"> հեղուկ դեղաձ</w:t>
            </w:r>
            <w:r w:rsidR="00C54D75">
              <w:rPr>
                <w:rStyle w:val="Bodytext1811pt"/>
                <w:rFonts w:ascii="Sylfaen" w:hAnsi="Sylfaen"/>
                <w:sz w:val="24"/>
                <w:szCs w:val="24"/>
              </w:rPr>
              <w:t>և</w:t>
            </w:r>
            <w:r w:rsidRPr="003B2786">
              <w:rPr>
                <w:rStyle w:val="Bodytext1811pt"/>
                <w:rFonts w:ascii="Sylfaen" w:hAnsi="Sylfaen"/>
                <w:sz w:val="24"/>
                <w:szCs w:val="24"/>
              </w:rPr>
              <w:t>երի, որոնցում դեղագործական նյութը գտնվում է չլուծված վիճակում։</w:t>
            </w:r>
          </w:p>
          <w:p w14:paraId="09532F12"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Նոր արտադրական հարթակում ակտիվ դեղագործական բաղադրամասը որպես ելանյութ օգտագործվելու դեպքում սերիաների թողարկման համար պատասխանատու հարթակի լիազորված մարմնի հայտարարագիրն այն մասին, որ ակտիվ դեղագործական բաղադրամասն արտադրվել է ելանյութերի համար՝ Միության պատշաճ արտադրական գործունեության կանոններին համապատասխան։</w:t>
            </w:r>
          </w:p>
          <w:p w14:paraId="57416E26"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042B92E2"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8C76E0">
              <w:rPr>
                <w:rFonts w:ascii="Sylfaen" w:hAnsi="Sylfaen"/>
                <w:b w:val="0"/>
                <w:sz w:val="24"/>
                <w:szCs w:val="24"/>
                <w:lang w:val="hy-AM"/>
              </w:rPr>
              <w:t>9.</w:t>
            </w:r>
            <w:r w:rsidRPr="008C76E0">
              <w:rPr>
                <w:rFonts w:ascii="Sylfaen" w:hAnsi="Sylfaen"/>
                <w:b w:val="0"/>
                <w:sz w:val="24"/>
                <w:szCs w:val="24"/>
                <w:lang w:val="hy-AM"/>
              </w:rPr>
              <w:tab/>
            </w:r>
            <w:r w:rsidRPr="003B2786">
              <w:rPr>
                <w:rStyle w:val="Bodytext1811pt"/>
                <w:rFonts w:ascii="Sylfaen" w:hAnsi="Sylfaen"/>
                <w:sz w:val="24"/>
                <w:szCs w:val="24"/>
              </w:rPr>
              <w:t xml:space="preserve">Եթե արտադրական հարթակը </w:t>
            </w:r>
            <w:r w:rsidR="00C54D75">
              <w:rPr>
                <w:rStyle w:val="Bodytext1811pt"/>
                <w:rFonts w:ascii="Sylfaen" w:hAnsi="Sylfaen"/>
                <w:sz w:val="24"/>
                <w:szCs w:val="24"/>
              </w:rPr>
              <w:t>և</w:t>
            </w:r>
            <w:r w:rsidRPr="003B2786">
              <w:rPr>
                <w:rStyle w:val="Bodytext1811pt"/>
                <w:rFonts w:ascii="Sylfaen" w:hAnsi="Sylfaen"/>
                <w:sz w:val="24"/>
                <w:szCs w:val="24"/>
              </w:rPr>
              <w:t xml:space="preserve"> այն հարթակը, որտեղ իրականացվում է առաջնային փաթեթավորումը, տարբերվում են, ապա անհրաժեշտ է նկարագրել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վալիդացնել չբաժնեծրարված պատրաստուկի տրանսպորտային փոխադրման </w:t>
            </w:r>
            <w:r w:rsidR="00C54D75">
              <w:rPr>
                <w:rStyle w:val="Bodytext1811pt"/>
                <w:rFonts w:ascii="Sylfaen" w:hAnsi="Sylfaen"/>
                <w:sz w:val="24"/>
                <w:szCs w:val="24"/>
              </w:rPr>
              <w:t>և</w:t>
            </w:r>
            <w:r w:rsidRPr="003B2786">
              <w:rPr>
                <w:rStyle w:val="Bodytext1811pt"/>
                <w:rFonts w:ascii="Sylfaen" w:hAnsi="Sylfaen"/>
                <w:sz w:val="24"/>
                <w:szCs w:val="24"/>
              </w:rPr>
              <w:t xml:space="preserve"> պահպանման (bulk) պայմանները։</w:t>
            </w:r>
          </w:p>
        </w:tc>
      </w:tr>
      <w:tr w:rsidR="008C76E0" w:rsidRPr="003B2786" w14:paraId="3BDE4351" w14:textId="77777777" w:rsidTr="008C76E0">
        <w:trPr>
          <w:jc w:val="center"/>
        </w:trPr>
        <w:tc>
          <w:tcPr>
            <w:tcW w:w="3130" w:type="dxa"/>
            <w:gridSpan w:val="4"/>
            <w:tcBorders>
              <w:top w:val="single" w:sz="4" w:space="0" w:color="auto"/>
              <w:left w:val="single" w:sz="4" w:space="0" w:color="auto"/>
              <w:bottom w:val="single" w:sz="4" w:space="0" w:color="auto"/>
            </w:tcBorders>
            <w:shd w:val="clear" w:color="auto" w:fill="FFFFFF"/>
          </w:tcPr>
          <w:p w14:paraId="41124B47" w14:textId="77777777" w:rsidR="008C76E0" w:rsidRPr="003B2786" w:rsidRDefault="008C76E0" w:rsidP="008C76E0">
            <w:pPr>
              <w:pStyle w:val="Bodytext180"/>
              <w:shd w:val="clear" w:color="auto" w:fill="auto"/>
              <w:tabs>
                <w:tab w:val="left" w:pos="567"/>
              </w:tabs>
              <w:spacing w:before="0" w:after="120" w:line="240" w:lineRule="auto"/>
              <w:ind w:left="154" w:right="132" w:firstLine="0"/>
              <w:jc w:val="both"/>
              <w:rPr>
                <w:rFonts w:ascii="Sylfaen" w:hAnsi="Sylfaen"/>
                <w:sz w:val="24"/>
                <w:szCs w:val="24"/>
              </w:rPr>
            </w:pPr>
            <w:r w:rsidRPr="003B2786">
              <w:rPr>
                <w:rStyle w:val="Bodytext295pt"/>
                <w:rFonts w:ascii="Sylfaen" w:hAnsi="Sylfaen"/>
                <w:sz w:val="24"/>
                <w:szCs w:val="24"/>
              </w:rPr>
              <w:t>Ծանոթագրություններ.</w:t>
            </w:r>
          </w:p>
        </w:tc>
        <w:tc>
          <w:tcPr>
            <w:tcW w:w="7271" w:type="dxa"/>
            <w:gridSpan w:val="11"/>
            <w:tcBorders>
              <w:top w:val="single" w:sz="4" w:space="0" w:color="auto"/>
              <w:left w:val="single" w:sz="4" w:space="0" w:color="auto"/>
              <w:bottom w:val="single" w:sz="4" w:space="0" w:color="auto"/>
              <w:right w:val="single" w:sz="4" w:space="0" w:color="auto"/>
            </w:tcBorders>
            <w:shd w:val="clear" w:color="auto" w:fill="FFFFFF"/>
          </w:tcPr>
          <w:p w14:paraId="75DEBA75"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 xml:space="preserve">Միության սահմաններից դուրս գտնվող այն երկրի արտադրական հարթակը փոփոխելու կամ նոր արտադրական հարթակի դեպքում, որի հետ չի կնքվել պատշաճ արտադրական գործունեության փոխադարձ ճանաչման մասին համաձայնագիր, իրավատիրոջը, նախքան ծանուցում ներկայացնելը, խորհուրդ է տրվում խորհրդակցել լիազորված մարմինների հետ </w:t>
            </w:r>
            <w:r w:rsidR="00C54D75">
              <w:rPr>
                <w:rStyle w:val="Bodytext1811pt"/>
                <w:rFonts w:ascii="Sylfaen" w:hAnsi="Sylfaen"/>
                <w:sz w:val="24"/>
                <w:szCs w:val="24"/>
              </w:rPr>
              <w:t>և</w:t>
            </w:r>
            <w:r w:rsidRPr="003B2786">
              <w:rPr>
                <w:rStyle w:val="Bodytext1811pt"/>
                <w:rFonts w:ascii="Sylfaen" w:hAnsi="Sylfaen"/>
                <w:sz w:val="24"/>
                <w:szCs w:val="24"/>
              </w:rPr>
              <w:t xml:space="preserve"> ներկայացնել վերջին 2-3 տարվա </w:t>
            </w:r>
            <w:r w:rsidRPr="003B2786">
              <w:rPr>
                <w:rStyle w:val="Bodytext1811pt"/>
                <w:rFonts w:ascii="Sylfaen" w:hAnsi="Sylfaen"/>
                <w:sz w:val="24"/>
                <w:szCs w:val="24"/>
              </w:rPr>
              <w:lastRenderedPageBreak/>
              <w:t xml:space="preserve">ընթացքում Միության նախորդ բոլոր տեսչական ստուգումների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Միության պլանավորված բոլոր տեսչական ստուգումների վերաբերյալ տեղեկությունները, ներառյալ՝ տեսչական ստուգումների ամսաթվերը, ստուգման ենթարկվող արտադրանքի կատեգորիաները, վերահսկիչ գերատեսչությունը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այլ տեղեկություններ։ Անհրաժեշտության դեպքում այդ ամենը կնպաստի անդամ պետության տեսչության կողմից Եվրասիական տնտեսական միության պատշաճ արտադրական գործունեության կանոններին համապատասխան տեսչական ստուգումների անցկացմանը նախապատրաստվելուն։</w:t>
            </w:r>
          </w:p>
          <w:p w14:paraId="7CA40845"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Ակտիվ դեղագործական նյութի վերաբերյալ լիազորված մարմնի հայտարարագրերը</w:t>
            </w:r>
          </w:p>
        </w:tc>
      </w:tr>
      <w:tr w:rsidR="008C76E0" w:rsidRPr="003B2786" w14:paraId="318F113B" w14:textId="77777777" w:rsidTr="008C76E0">
        <w:trPr>
          <w:jc w:val="center"/>
        </w:trPr>
        <w:tc>
          <w:tcPr>
            <w:tcW w:w="3130" w:type="dxa"/>
            <w:gridSpan w:val="4"/>
            <w:tcBorders>
              <w:top w:val="single" w:sz="4" w:space="0" w:color="auto"/>
              <w:left w:val="single" w:sz="4" w:space="0" w:color="auto"/>
            </w:tcBorders>
            <w:shd w:val="clear" w:color="auto" w:fill="FFFFFF"/>
          </w:tcPr>
          <w:p w14:paraId="58C944D4" w14:textId="77777777" w:rsidR="008C76E0" w:rsidRPr="003B2786" w:rsidRDefault="008C76E0" w:rsidP="008C76E0">
            <w:pPr>
              <w:tabs>
                <w:tab w:val="left" w:pos="567"/>
              </w:tabs>
              <w:spacing w:after="120" w:line="240" w:lineRule="auto"/>
              <w:ind w:left="154" w:right="132"/>
              <w:jc w:val="both"/>
              <w:rPr>
                <w:rFonts w:ascii="Sylfaen" w:hAnsi="Sylfaen"/>
                <w:sz w:val="24"/>
                <w:szCs w:val="24"/>
              </w:rPr>
            </w:pPr>
          </w:p>
        </w:tc>
        <w:tc>
          <w:tcPr>
            <w:tcW w:w="7271" w:type="dxa"/>
            <w:gridSpan w:val="11"/>
            <w:tcBorders>
              <w:top w:val="single" w:sz="4" w:space="0" w:color="auto"/>
              <w:left w:val="single" w:sz="4" w:space="0" w:color="auto"/>
              <w:right w:val="single" w:sz="4" w:space="0" w:color="auto"/>
            </w:tcBorders>
            <w:shd w:val="clear" w:color="auto" w:fill="FFFFFF"/>
            <w:vAlign w:val="bottom"/>
          </w:tcPr>
          <w:p w14:paraId="3C626104"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Արտադրության լիցենզիայի իրավատերերը պարտավոր են որպես ելանյութ օգտագործել բացառապես GMP-ին համապատասխան արտադրված ակտիվ դեղագործական բաղադրամասեր, այդ իսկ պատճառով արտադրության լիցենզիայի յուրաքանչյուր իրավատեր պարտավոր է հայտարարագրել այն, որ ինքը որպես ելանյութ է օգտագործում GMP-ին համապատասխան արտադրված ակտիվ դեղագործական բաղադրամաս։ Բացի այդ, քանի որ սերիայի սերտիֆիկացման համար պատասխանատու լիազորված անձը յուրաքանչյուր սերիայի համար կրում է համապարփակ պատասխանատվություն, եթե սերիան թողարկող հարթակը տարբերվում է վերոնշյալից, սերիայի սերտիֆիկացման համար պատասխանատու լիազորված անձը պետք է ներկայացնի լրացուցիչ հայտարարագիր։</w:t>
            </w:r>
          </w:p>
          <w:p w14:paraId="2530B4CA"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Շատ դեպքերում ներգրավված է արտադրության լիցենզիայի միայն մեկ իրավատեր, այդ իսկ պատճառով անհրաժեշտ է միայն մեկ հայտարարագիր։ Արտադրության լիցենզիայի մի քանի իրավատերերի ներգրավված լինելու դեպքում մի քանի հայտարարագիր ներկայացնելու փոխարեն թույլատրվում է ներկայացնել մեկ լիազորված անձի կողմից ստորագրված մեկ հայտարարագիր։ Սա թույլատրելի է այն պայմանով, որ՝</w:t>
            </w:r>
          </w:p>
          <w:p w14:paraId="58947728"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հայտարարագրում հստակ նշված է, որ այն ստորագրվել է ներգրավված բոլոր լիազորված անձանց անունից,</w:t>
            </w:r>
          </w:p>
          <w:p w14:paraId="52AC2833" w14:textId="77777777" w:rsidR="008C76E0" w:rsidRPr="008C76E0" w:rsidRDefault="008C76E0" w:rsidP="008C76E0">
            <w:pPr>
              <w:pStyle w:val="Bodytext180"/>
              <w:shd w:val="clear" w:color="auto" w:fill="auto"/>
              <w:tabs>
                <w:tab w:val="left" w:pos="567"/>
              </w:tabs>
              <w:spacing w:before="0" w:after="120" w:line="240" w:lineRule="auto"/>
              <w:ind w:left="154" w:right="132" w:firstLine="0"/>
              <w:jc w:val="both"/>
              <w:rPr>
                <w:rFonts w:ascii="Sylfaen" w:hAnsi="Sylfaen"/>
                <w:b w:val="0"/>
                <w:sz w:val="24"/>
                <w:szCs w:val="24"/>
                <w:lang w:val="hy-AM"/>
              </w:rPr>
            </w:pPr>
            <w:r w:rsidRPr="003B2786">
              <w:rPr>
                <w:rStyle w:val="Bodytext1811pt"/>
                <w:rFonts w:ascii="Sylfaen" w:hAnsi="Sylfaen"/>
                <w:sz w:val="24"/>
                <w:szCs w:val="24"/>
              </w:rPr>
              <w:t xml:space="preserve">պայմանավորվածություններն ամրագրվել են Միության պատշաճ արտադրական գործունեության կանոնների 7-րդ գլխում նկարագրված տեխնիկական համաձայնագրով, </w:t>
            </w:r>
            <w:r w:rsidR="00C54D75">
              <w:rPr>
                <w:rStyle w:val="Bodytext1811pt"/>
                <w:rFonts w:ascii="Sylfaen" w:hAnsi="Sylfaen"/>
                <w:sz w:val="24"/>
                <w:szCs w:val="24"/>
              </w:rPr>
              <w:t>և</w:t>
            </w:r>
            <w:r w:rsidRPr="003B2786">
              <w:rPr>
                <w:rStyle w:val="Bodytext1811pt"/>
                <w:rFonts w:ascii="Sylfaen" w:hAnsi="Sylfaen"/>
                <w:sz w:val="24"/>
                <w:szCs w:val="24"/>
              </w:rPr>
              <w:t xml:space="preserve"> այդ համաձայնագրում հայտարարագիր ներկայացնող լիազորված անձն այդ համաձայնագրում նշված է որպես ակտիվ դեղագործական բաղադրամաս արտադրողի (արտադրողների)՝ </w:t>
            </w:r>
            <w:r w:rsidRPr="003B2786">
              <w:rPr>
                <w:rStyle w:val="Bodytext1811pt"/>
                <w:rFonts w:ascii="Sylfaen" w:hAnsi="Sylfaen"/>
                <w:sz w:val="24"/>
                <w:szCs w:val="24"/>
              </w:rPr>
              <w:lastRenderedPageBreak/>
              <w:t>Միության պատշաճ արտադրական գործունեության կանոններին համապատասխանության մասով պարտավորությունը ստանձնող անձ։ Ծանոթագրություն. նշված համաձայնագրերը լիազորված մարմինների կողմից տեսչական ստուգման առարկա են։</w:t>
            </w:r>
          </w:p>
        </w:tc>
      </w:tr>
      <w:tr w:rsidR="008C76E0" w:rsidRPr="003B2786" w14:paraId="7B41C775"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5894E311" w14:textId="77777777" w:rsidR="008C76E0" w:rsidRPr="008C76E0" w:rsidRDefault="008C76E0" w:rsidP="008C76E0">
            <w:pPr>
              <w:pStyle w:val="Bodytext180"/>
              <w:shd w:val="clear" w:color="auto" w:fill="auto"/>
              <w:tabs>
                <w:tab w:val="left" w:pos="567"/>
              </w:tabs>
              <w:spacing w:before="0" w:after="120" w:line="240" w:lineRule="auto"/>
              <w:ind w:left="133" w:right="176" w:hanging="53"/>
              <w:jc w:val="both"/>
              <w:rPr>
                <w:rFonts w:ascii="Sylfaen" w:hAnsi="Sylfaen"/>
                <w:b w:val="0"/>
                <w:sz w:val="24"/>
                <w:szCs w:val="24"/>
                <w:lang w:val="hy-AM"/>
              </w:rPr>
            </w:pPr>
            <w:r w:rsidRPr="003B2786">
              <w:rPr>
                <w:rStyle w:val="Bodytext1811pt"/>
                <w:rFonts w:ascii="Sylfaen" w:hAnsi="Sylfaen"/>
                <w:sz w:val="24"/>
                <w:szCs w:val="24"/>
              </w:rPr>
              <w:lastRenderedPageBreak/>
              <w:t xml:space="preserve">Բ.II.բ.2 Դեղապատրաստուկը ներմուծողի, սերիաների թողարկման վերաբերյալ համաձայնագրերի </w:t>
            </w:r>
            <w:r w:rsidR="00C54D75">
              <w:rPr>
                <w:rStyle w:val="Bodytext1811pt"/>
                <w:rFonts w:ascii="Sylfaen" w:hAnsi="Sylfaen"/>
                <w:sz w:val="24"/>
                <w:szCs w:val="24"/>
              </w:rPr>
              <w:t>և</w:t>
            </w:r>
            <w:r w:rsidRPr="003B2786">
              <w:rPr>
                <w:rStyle w:val="Bodytext1811pt"/>
                <w:rFonts w:ascii="Sylfaen" w:hAnsi="Sylfaen"/>
                <w:sz w:val="24"/>
                <w:szCs w:val="24"/>
              </w:rPr>
              <w:t xml:space="preserve"> որակի հսկողության մասով փորձարկումների փոփոխությունը</w:t>
            </w:r>
          </w:p>
        </w:tc>
        <w:tc>
          <w:tcPr>
            <w:tcW w:w="1354" w:type="dxa"/>
            <w:gridSpan w:val="3"/>
            <w:tcBorders>
              <w:top w:val="single" w:sz="4" w:space="0" w:color="auto"/>
              <w:left w:val="single" w:sz="4" w:space="0" w:color="auto"/>
            </w:tcBorders>
            <w:shd w:val="clear" w:color="auto" w:fill="FFFFFF"/>
          </w:tcPr>
          <w:p w14:paraId="62D7ECD3"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079" w:type="dxa"/>
            <w:gridSpan w:val="3"/>
            <w:tcBorders>
              <w:top w:val="single" w:sz="4" w:space="0" w:color="auto"/>
              <w:left w:val="single" w:sz="4" w:space="0" w:color="auto"/>
            </w:tcBorders>
            <w:shd w:val="clear" w:color="auto" w:fill="FFFFFF"/>
          </w:tcPr>
          <w:p w14:paraId="10A538D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624" w:type="dxa"/>
            <w:gridSpan w:val="2"/>
            <w:tcBorders>
              <w:top w:val="single" w:sz="4" w:space="0" w:color="auto"/>
              <w:left w:val="single" w:sz="4" w:space="0" w:color="auto"/>
              <w:right w:val="single" w:sz="4" w:space="0" w:color="auto"/>
            </w:tcBorders>
            <w:shd w:val="clear" w:color="auto" w:fill="FFFFFF"/>
          </w:tcPr>
          <w:p w14:paraId="2D824FF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7D62BB0"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258DDDD3" w14:textId="77777777" w:rsidR="008C76E0" w:rsidRPr="008C76E0" w:rsidRDefault="008C76E0" w:rsidP="008C76E0">
            <w:pPr>
              <w:pStyle w:val="Bodytext180"/>
              <w:shd w:val="clear" w:color="auto" w:fill="auto"/>
              <w:tabs>
                <w:tab w:val="left" w:pos="541"/>
                <w:tab w:val="left" w:pos="567"/>
              </w:tabs>
              <w:spacing w:before="0" w:after="120" w:line="240" w:lineRule="auto"/>
              <w:ind w:left="133" w:right="176"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այն հարթակի փոխարինում կամ ավելացում, որտեղ իրականացվում է սերիաների որակի հսկողություն (փորձարկում)</w:t>
            </w:r>
          </w:p>
        </w:tc>
        <w:tc>
          <w:tcPr>
            <w:tcW w:w="1354" w:type="dxa"/>
            <w:gridSpan w:val="3"/>
            <w:tcBorders>
              <w:top w:val="single" w:sz="4" w:space="0" w:color="auto"/>
              <w:left w:val="single" w:sz="4" w:space="0" w:color="auto"/>
            </w:tcBorders>
            <w:shd w:val="clear" w:color="auto" w:fill="FFFFFF"/>
          </w:tcPr>
          <w:p w14:paraId="4E83A71E"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2, 3, 4, 5</w:t>
            </w:r>
          </w:p>
        </w:tc>
        <w:tc>
          <w:tcPr>
            <w:tcW w:w="2079" w:type="dxa"/>
            <w:gridSpan w:val="3"/>
            <w:tcBorders>
              <w:top w:val="single" w:sz="4" w:space="0" w:color="auto"/>
              <w:left w:val="single" w:sz="4" w:space="0" w:color="auto"/>
            </w:tcBorders>
            <w:shd w:val="clear" w:color="auto" w:fill="FFFFFF"/>
          </w:tcPr>
          <w:p w14:paraId="2BAEFDF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1, 2, 5</w:t>
            </w:r>
          </w:p>
        </w:tc>
        <w:tc>
          <w:tcPr>
            <w:tcW w:w="1624" w:type="dxa"/>
            <w:gridSpan w:val="2"/>
            <w:tcBorders>
              <w:top w:val="single" w:sz="4" w:space="0" w:color="auto"/>
              <w:left w:val="single" w:sz="4" w:space="0" w:color="auto"/>
              <w:right w:val="single" w:sz="4" w:space="0" w:color="auto"/>
            </w:tcBorders>
            <w:shd w:val="clear" w:color="auto" w:fill="FFFFFF"/>
          </w:tcPr>
          <w:p w14:paraId="7351E54A"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13BCBD6"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5E56D6AD" w14:textId="77777777" w:rsidR="008C76E0" w:rsidRPr="008C76E0" w:rsidRDefault="008C76E0" w:rsidP="008C76E0">
            <w:pPr>
              <w:pStyle w:val="Bodytext180"/>
              <w:shd w:val="clear" w:color="auto" w:fill="auto"/>
              <w:tabs>
                <w:tab w:val="left" w:pos="541"/>
                <w:tab w:val="left" w:pos="567"/>
              </w:tabs>
              <w:spacing w:before="0" w:after="120" w:line="240" w:lineRule="auto"/>
              <w:ind w:left="133" w:right="176"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կենսաբանական (իմունաբանական) դեղապատրաստուկի թողարկման համար պատասխանատու արտադրողի </w:t>
            </w:r>
            <w:r w:rsidR="00C54D75">
              <w:rPr>
                <w:rStyle w:val="Bodytext1811pt"/>
                <w:rFonts w:ascii="Sylfaen" w:hAnsi="Sylfaen"/>
                <w:sz w:val="24"/>
                <w:szCs w:val="24"/>
              </w:rPr>
              <w:t>և</w:t>
            </w:r>
            <w:r w:rsidRPr="003B2786">
              <w:rPr>
                <w:rStyle w:val="Bodytext1811pt"/>
                <w:rFonts w:ascii="Sylfaen" w:hAnsi="Sylfaen"/>
                <w:sz w:val="24"/>
                <w:szCs w:val="24"/>
              </w:rPr>
              <w:t xml:space="preserve"> հարթակում իրականացվող կենսաբանական (իմունաբանական) հանդիսացող փորձարկումների ցանկացած մեթոդի փոխարինում կամ ավելացում</w:t>
            </w:r>
          </w:p>
        </w:tc>
        <w:tc>
          <w:tcPr>
            <w:tcW w:w="1354" w:type="dxa"/>
            <w:gridSpan w:val="3"/>
            <w:tcBorders>
              <w:top w:val="single" w:sz="4" w:space="0" w:color="auto"/>
              <w:left w:val="single" w:sz="4" w:space="0" w:color="auto"/>
            </w:tcBorders>
            <w:shd w:val="clear" w:color="auto" w:fill="FFFFFF"/>
          </w:tcPr>
          <w:p w14:paraId="44769F96" w14:textId="77777777" w:rsidR="008C76E0" w:rsidRPr="003B2786" w:rsidRDefault="008C76E0" w:rsidP="008C76E0">
            <w:pPr>
              <w:tabs>
                <w:tab w:val="left" w:pos="567"/>
              </w:tabs>
              <w:spacing w:after="120" w:line="240" w:lineRule="auto"/>
              <w:ind w:right="-1"/>
              <w:jc w:val="center"/>
              <w:rPr>
                <w:rFonts w:ascii="Sylfaen" w:hAnsi="Sylfaen"/>
                <w:sz w:val="24"/>
                <w:szCs w:val="24"/>
              </w:rPr>
            </w:pPr>
          </w:p>
        </w:tc>
        <w:tc>
          <w:tcPr>
            <w:tcW w:w="2079" w:type="dxa"/>
            <w:gridSpan w:val="3"/>
            <w:tcBorders>
              <w:top w:val="single" w:sz="4" w:space="0" w:color="auto"/>
              <w:left w:val="single" w:sz="4" w:space="0" w:color="auto"/>
            </w:tcBorders>
            <w:shd w:val="clear" w:color="auto" w:fill="FFFFFF"/>
          </w:tcPr>
          <w:p w14:paraId="15D5172F" w14:textId="77777777" w:rsidR="008C76E0" w:rsidRPr="003B2786" w:rsidRDefault="008C76E0" w:rsidP="008C76E0">
            <w:pPr>
              <w:tabs>
                <w:tab w:val="left" w:pos="567"/>
              </w:tabs>
              <w:spacing w:after="120" w:line="240" w:lineRule="auto"/>
              <w:ind w:right="-1"/>
              <w:jc w:val="center"/>
              <w:rPr>
                <w:rFonts w:ascii="Sylfaen" w:hAnsi="Sylfaen"/>
                <w:sz w:val="24"/>
                <w:szCs w:val="24"/>
              </w:rPr>
            </w:pPr>
          </w:p>
        </w:tc>
        <w:tc>
          <w:tcPr>
            <w:tcW w:w="1624" w:type="dxa"/>
            <w:gridSpan w:val="2"/>
            <w:tcBorders>
              <w:top w:val="single" w:sz="4" w:space="0" w:color="auto"/>
              <w:left w:val="single" w:sz="4" w:space="0" w:color="auto"/>
              <w:right w:val="single" w:sz="4" w:space="0" w:color="auto"/>
            </w:tcBorders>
            <w:shd w:val="clear" w:color="auto" w:fill="FFFFFF"/>
          </w:tcPr>
          <w:p w14:paraId="2AE729D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CA115BC"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6E0777DA" w14:textId="77777777" w:rsidR="008C76E0" w:rsidRPr="008C76E0" w:rsidRDefault="008C76E0" w:rsidP="008C76E0">
            <w:pPr>
              <w:pStyle w:val="Bodytext180"/>
              <w:shd w:val="clear" w:color="auto" w:fill="auto"/>
              <w:tabs>
                <w:tab w:val="left" w:pos="541"/>
                <w:tab w:val="left" w:pos="567"/>
              </w:tabs>
              <w:spacing w:before="0" w:after="120" w:line="240" w:lineRule="auto"/>
              <w:ind w:left="133" w:right="176"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սերիաների թողարկման համար պատասխանատու արտադրողի փոխարինում կամ ավելացում</w:t>
            </w:r>
          </w:p>
        </w:tc>
        <w:tc>
          <w:tcPr>
            <w:tcW w:w="1354" w:type="dxa"/>
            <w:gridSpan w:val="3"/>
            <w:tcBorders>
              <w:top w:val="single" w:sz="4" w:space="0" w:color="auto"/>
              <w:left w:val="single" w:sz="4" w:space="0" w:color="auto"/>
            </w:tcBorders>
            <w:shd w:val="clear" w:color="auto" w:fill="FFFFFF"/>
          </w:tcPr>
          <w:p w14:paraId="2F8DDF5B" w14:textId="77777777" w:rsidR="008C76E0" w:rsidRPr="003B2786" w:rsidRDefault="008C76E0" w:rsidP="008C76E0">
            <w:pPr>
              <w:tabs>
                <w:tab w:val="left" w:pos="567"/>
              </w:tabs>
              <w:spacing w:after="120" w:line="240" w:lineRule="auto"/>
              <w:ind w:right="-1"/>
              <w:jc w:val="center"/>
              <w:rPr>
                <w:rFonts w:ascii="Sylfaen" w:hAnsi="Sylfaen"/>
                <w:sz w:val="24"/>
                <w:szCs w:val="24"/>
              </w:rPr>
            </w:pPr>
          </w:p>
        </w:tc>
        <w:tc>
          <w:tcPr>
            <w:tcW w:w="2079" w:type="dxa"/>
            <w:gridSpan w:val="3"/>
            <w:tcBorders>
              <w:top w:val="single" w:sz="4" w:space="0" w:color="auto"/>
              <w:left w:val="single" w:sz="4" w:space="0" w:color="auto"/>
            </w:tcBorders>
            <w:shd w:val="clear" w:color="auto" w:fill="FFFFFF"/>
          </w:tcPr>
          <w:p w14:paraId="70BE807F" w14:textId="77777777" w:rsidR="008C76E0" w:rsidRPr="003B2786" w:rsidRDefault="008C76E0" w:rsidP="008C76E0">
            <w:pPr>
              <w:tabs>
                <w:tab w:val="left" w:pos="567"/>
              </w:tabs>
              <w:spacing w:after="120" w:line="240" w:lineRule="auto"/>
              <w:ind w:right="-1"/>
              <w:jc w:val="center"/>
              <w:rPr>
                <w:rFonts w:ascii="Sylfaen" w:hAnsi="Sylfaen"/>
                <w:sz w:val="24"/>
                <w:szCs w:val="24"/>
              </w:rPr>
            </w:pPr>
          </w:p>
        </w:tc>
        <w:tc>
          <w:tcPr>
            <w:tcW w:w="1624" w:type="dxa"/>
            <w:gridSpan w:val="2"/>
            <w:tcBorders>
              <w:top w:val="single" w:sz="4" w:space="0" w:color="auto"/>
              <w:left w:val="single" w:sz="4" w:space="0" w:color="auto"/>
              <w:right w:val="single" w:sz="4" w:space="0" w:color="auto"/>
            </w:tcBorders>
            <w:shd w:val="clear" w:color="auto" w:fill="FFFFFF"/>
          </w:tcPr>
          <w:p w14:paraId="57546B31" w14:textId="77777777" w:rsidR="008C76E0" w:rsidRPr="003B2786" w:rsidRDefault="008C76E0" w:rsidP="008C76E0">
            <w:pPr>
              <w:tabs>
                <w:tab w:val="left" w:pos="567"/>
              </w:tabs>
              <w:spacing w:after="120" w:line="240" w:lineRule="auto"/>
              <w:ind w:right="-1"/>
              <w:jc w:val="center"/>
              <w:rPr>
                <w:rFonts w:ascii="Sylfaen" w:hAnsi="Sylfaen"/>
                <w:sz w:val="24"/>
                <w:szCs w:val="24"/>
              </w:rPr>
            </w:pPr>
          </w:p>
        </w:tc>
      </w:tr>
      <w:tr w:rsidR="008C76E0" w:rsidRPr="003B2786" w14:paraId="1BC9F2C4"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2ACBAC75" w14:textId="77777777" w:rsidR="008C76E0" w:rsidRPr="003B2786" w:rsidRDefault="008C76E0" w:rsidP="008C76E0">
            <w:pPr>
              <w:pStyle w:val="Bodytext180"/>
              <w:numPr>
                <w:ilvl w:val="0"/>
                <w:numId w:val="22"/>
              </w:numPr>
              <w:shd w:val="clear" w:color="auto" w:fill="auto"/>
              <w:tabs>
                <w:tab w:val="left" w:pos="541"/>
                <w:tab w:val="left" w:pos="567"/>
              </w:tabs>
              <w:spacing w:before="0" w:after="120" w:line="240" w:lineRule="auto"/>
              <w:ind w:right="176"/>
              <w:jc w:val="both"/>
              <w:rPr>
                <w:rStyle w:val="Bodytext1811pt"/>
                <w:rFonts w:ascii="Sylfaen" w:hAnsi="Sylfaen"/>
                <w:sz w:val="24"/>
                <w:szCs w:val="24"/>
              </w:rPr>
            </w:pPr>
            <w:r w:rsidRPr="003B2786">
              <w:rPr>
                <w:rStyle w:val="Bodytext1811pt"/>
                <w:rFonts w:ascii="Sylfaen" w:hAnsi="Sylfaen"/>
                <w:sz w:val="24"/>
                <w:szCs w:val="24"/>
              </w:rPr>
              <w:t>Բացառությամբ սերիաների որակի հսկողության (փորձարկման)</w:t>
            </w:r>
          </w:p>
          <w:p w14:paraId="62A3D234" w14:textId="77777777" w:rsidR="008C76E0" w:rsidRPr="008C76E0" w:rsidRDefault="008C76E0" w:rsidP="008C76E0">
            <w:pPr>
              <w:pStyle w:val="Bodytext180"/>
              <w:shd w:val="clear" w:color="auto" w:fill="auto"/>
              <w:tabs>
                <w:tab w:val="left" w:pos="541"/>
                <w:tab w:val="left" w:pos="567"/>
              </w:tabs>
              <w:spacing w:before="0" w:after="120" w:line="240" w:lineRule="auto"/>
              <w:ind w:left="538" w:right="176" w:firstLine="0"/>
              <w:jc w:val="both"/>
              <w:rPr>
                <w:rFonts w:ascii="Sylfaen" w:hAnsi="Sylfaen"/>
                <w:b w:val="0"/>
                <w:sz w:val="24"/>
                <w:szCs w:val="24"/>
                <w:lang w:val="hy-AM"/>
              </w:rPr>
            </w:pPr>
          </w:p>
        </w:tc>
        <w:tc>
          <w:tcPr>
            <w:tcW w:w="1354" w:type="dxa"/>
            <w:gridSpan w:val="3"/>
            <w:tcBorders>
              <w:top w:val="single" w:sz="4" w:space="0" w:color="auto"/>
              <w:left w:val="single" w:sz="4" w:space="0" w:color="auto"/>
            </w:tcBorders>
            <w:shd w:val="clear" w:color="auto" w:fill="FFFFFF"/>
          </w:tcPr>
          <w:p w14:paraId="41C3FC9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1, 2, 5</w:t>
            </w:r>
          </w:p>
        </w:tc>
        <w:tc>
          <w:tcPr>
            <w:tcW w:w="2079" w:type="dxa"/>
            <w:gridSpan w:val="3"/>
            <w:tcBorders>
              <w:top w:val="single" w:sz="4" w:space="0" w:color="auto"/>
              <w:left w:val="single" w:sz="4" w:space="0" w:color="auto"/>
            </w:tcBorders>
            <w:shd w:val="clear" w:color="auto" w:fill="FFFFFF"/>
          </w:tcPr>
          <w:p w14:paraId="16BE15A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1624" w:type="dxa"/>
            <w:gridSpan w:val="2"/>
            <w:tcBorders>
              <w:top w:val="single" w:sz="4" w:space="0" w:color="auto"/>
              <w:left w:val="single" w:sz="4" w:space="0" w:color="auto"/>
              <w:right w:val="single" w:sz="4" w:space="0" w:color="auto"/>
            </w:tcBorders>
            <w:shd w:val="clear" w:color="auto" w:fill="FFFFFF"/>
          </w:tcPr>
          <w:p w14:paraId="1552927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AD6C0A0" w14:textId="77777777" w:rsidTr="008C76E0">
        <w:trPr>
          <w:jc w:val="center"/>
        </w:trPr>
        <w:tc>
          <w:tcPr>
            <w:tcW w:w="5344" w:type="dxa"/>
            <w:gridSpan w:val="7"/>
            <w:tcBorders>
              <w:top w:val="single" w:sz="4" w:space="0" w:color="auto"/>
              <w:left w:val="single" w:sz="4" w:space="0" w:color="auto"/>
            </w:tcBorders>
            <w:shd w:val="clear" w:color="auto" w:fill="FFFFFF"/>
            <w:vAlign w:val="bottom"/>
          </w:tcPr>
          <w:p w14:paraId="2D7315A2" w14:textId="77777777" w:rsidR="008C76E0" w:rsidRPr="008C76E0" w:rsidRDefault="008C76E0" w:rsidP="008C76E0">
            <w:pPr>
              <w:pStyle w:val="Bodytext180"/>
              <w:shd w:val="clear" w:color="auto" w:fill="auto"/>
              <w:tabs>
                <w:tab w:val="left" w:pos="541"/>
                <w:tab w:val="left" w:pos="567"/>
              </w:tabs>
              <w:spacing w:before="0" w:after="120" w:line="240" w:lineRule="auto"/>
              <w:ind w:left="133" w:right="176"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Ներառյալ սերիաների որակի հսկողությունը (փորձարկումը)</w:t>
            </w:r>
          </w:p>
        </w:tc>
        <w:tc>
          <w:tcPr>
            <w:tcW w:w="1354" w:type="dxa"/>
            <w:gridSpan w:val="3"/>
            <w:tcBorders>
              <w:top w:val="single" w:sz="4" w:space="0" w:color="auto"/>
              <w:left w:val="single" w:sz="4" w:space="0" w:color="auto"/>
            </w:tcBorders>
            <w:shd w:val="clear" w:color="auto" w:fill="FFFFFF"/>
          </w:tcPr>
          <w:p w14:paraId="3311A5D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w:t>
            </w:r>
          </w:p>
        </w:tc>
        <w:tc>
          <w:tcPr>
            <w:tcW w:w="2079" w:type="dxa"/>
            <w:gridSpan w:val="3"/>
            <w:tcBorders>
              <w:top w:val="single" w:sz="4" w:space="0" w:color="auto"/>
              <w:left w:val="single" w:sz="4" w:space="0" w:color="auto"/>
            </w:tcBorders>
            <w:shd w:val="clear" w:color="auto" w:fill="FFFFFF"/>
          </w:tcPr>
          <w:p w14:paraId="4713251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1624" w:type="dxa"/>
            <w:gridSpan w:val="2"/>
            <w:tcBorders>
              <w:top w:val="single" w:sz="4" w:space="0" w:color="auto"/>
              <w:left w:val="single" w:sz="4" w:space="0" w:color="auto"/>
              <w:right w:val="single" w:sz="4" w:space="0" w:color="auto"/>
            </w:tcBorders>
            <w:shd w:val="clear" w:color="auto" w:fill="FFFFFF"/>
          </w:tcPr>
          <w:p w14:paraId="44826E8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42BAD3BB" w14:textId="77777777" w:rsidTr="008C76E0">
        <w:trPr>
          <w:jc w:val="center"/>
        </w:trPr>
        <w:tc>
          <w:tcPr>
            <w:tcW w:w="5344" w:type="dxa"/>
            <w:gridSpan w:val="7"/>
            <w:tcBorders>
              <w:top w:val="single" w:sz="4" w:space="0" w:color="auto"/>
              <w:left w:val="single" w:sz="4" w:space="0" w:color="auto"/>
              <w:bottom w:val="single" w:sz="4" w:space="0" w:color="auto"/>
            </w:tcBorders>
            <w:shd w:val="clear" w:color="auto" w:fill="FFFFFF"/>
            <w:vAlign w:val="bottom"/>
          </w:tcPr>
          <w:p w14:paraId="7BA8B1EF" w14:textId="77777777" w:rsidR="008C76E0" w:rsidRPr="008C76E0" w:rsidRDefault="008C76E0" w:rsidP="008C76E0">
            <w:pPr>
              <w:pStyle w:val="Bodytext180"/>
              <w:shd w:val="clear" w:color="auto" w:fill="auto"/>
              <w:tabs>
                <w:tab w:val="left" w:pos="541"/>
                <w:tab w:val="left" w:pos="567"/>
              </w:tabs>
              <w:spacing w:before="0" w:after="120" w:line="240" w:lineRule="auto"/>
              <w:ind w:left="133" w:right="176"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 xml:space="preserve">Ներառյալ կենսաբանական (իմունաբանական) դեղապատրաստուկի որակի հսկողությունը (փորձարկումը)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հարթակում իրականացվող փորձարկումների մեթոդներից մեկը կենսաբանական (իմունաբանական, իմունաքիմիական) է</w:t>
            </w:r>
          </w:p>
        </w:tc>
        <w:tc>
          <w:tcPr>
            <w:tcW w:w="1354" w:type="dxa"/>
            <w:gridSpan w:val="3"/>
            <w:tcBorders>
              <w:top w:val="single" w:sz="4" w:space="0" w:color="auto"/>
              <w:left w:val="single" w:sz="4" w:space="0" w:color="auto"/>
              <w:bottom w:val="single" w:sz="4" w:space="0" w:color="auto"/>
            </w:tcBorders>
            <w:shd w:val="clear" w:color="auto" w:fill="FFFFFF"/>
          </w:tcPr>
          <w:p w14:paraId="11BF08AD" w14:textId="77777777" w:rsidR="008C76E0" w:rsidRPr="003B2786" w:rsidRDefault="008C76E0" w:rsidP="008C76E0">
            <w:pPr>
              <w:tabs>
                <w:tab w:val="left" w:pos="567"/>
              </w:tabs>
              <w:spacing w:after="120" w:line="240" w:lineRule="auto"/>
              <w:ind w:right="-1"/>
              <w:jc w:val="both"/>
              <w:rPr>
                <w:rFonts w:ascii="Sylfaen" w:hAnsi="Sylfaen"/>
                <w:sz w:val="24"/>
                <w:szCs w:val="24"/>
              </w:rPr>
            </w:pPr>
          </w:p>
        </w:tc>
        <w:tc>
          <w:tcPr>
            <w:tcW w:w="2079" w:type="dxa"/>
            <w:gridSpan w:val="3"/>
            <w:tcBorders>
              <w:top w:val="single" w:sz="4" w:space="0" w:color="auto"/>
              <w:left w:val="single" w:sz="4" w:space="0" w:color="auto"/>
              <w:bottom w:val="single" w:sz="4" w:space="0" w:color="auto"/>
            </w:tcBorders>
            <w:shd w:val="clear" w:color="auto" w:fill="FFFFFF"/>
          </w:tcPr>
          <w:p w14:paraId="68BC8938" w14:textId="77777777" w:rsidR="008C76E0" w:rsidRPr="003B2786" w:rsidRDefault="008C76E0" w:rsidP="008C76E0">
            <w:pPr>
              <w:tabs>
                <w:tab w:val="left" w:pos="567"/>
              </w:tabs>
              <w:spacing w:after="120" w:line="240" w:lineRule="auto"/>
              <w:ind w:right="-1"/>
              <w:jc w:val="both"/>
              <w:rPr>
                <w:rFonts w:ascii="Sylfaen" w:hAnsi="Sylfaen"/>
                <w:sz w:val="24"/>
                <w:szCs w:val="24"/>
              </w:rPr>
            </w:pPr>
          </w:p>
        </w:tc>
        <w:tc>
          <w:tcPr>
            <w:tcW w:w="1624" w:type="dxa"/>
            <w:gridSpan w:val="2"/>
            <w:tcBorders>
              <w:top w:val="single" w:sz="4" w:space="0" w:color="auto"/>
              <w:left w:val="single" w:sz="4" w:space="0" w:color="auto"/>
              <w:bottom w:val="single" w:sz="4" w:space="0" w:color="auto"/>
              <w:right w:val="single" w:sz="4" w:space="0" w:color="auto"/>
            </w:tcBorders>
            <w:shd w:val="clear" w:color="auto" w:fill="FFFFFF"/>
          </w:tcPr>
          <w:p w14:paraId="23E92846" w14:textId="77777777" w:rsidR="008C76E0" w:rsidRPr="003B2786" w:rsidRDefault="008C76E0" w:rsidP="008C76E0">
            <w:pPr>
              <w:pStyle w:val="Bodytext180"/>
              <w:shd w:val="clear" w:color="auto" w:fill="auto"/>
              <w:tabs>
                <w:tab w:val="left" w:pos="567"/>
              </w:tabs>
              <w:spacing w:before="0" w:after="120" w:line="240" w:lineRule="auto"/>
              <w:ind w:right="-1" w:firstLine="0"/>
              <w:jc w:val="both"/>
              <w:rPr>
                <w:rFonts w:ascii="Sylfaen" w:hAnsi="Sylfaen"/>
                <w:b w:val="0"/>
                <w:sz w:val="24"/>
                <w:szCs w:val="24"/>
              </w:rPr>
            </w:pPr>
            <w:r w:rsidRPr="003B2786">
              <w:rPr>
                <w:rStyle w:val="Bodytext1811pt"/>
                <w:rFonts w:ascii="Sylfaen" w:hAnsi="Sylfaen"/>
                <w:sz w:val="24"/>
                <w:szCs w:val="24"/>
              </w:rPr>
              <w:t>II</w:t>
            </w:r>
          </w:p>
        </w:tc>
      </w:tr>
      <w:tr w:rsidR="008C76E0" w:rsidRPr="003B2786" w14:paraId="063CC2E9"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4597FA8"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88317E3"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Սերիայի թողարկման համար պատասխանատու արտադրողը պետք է տեղակայված լինի Միության սահմաններում։ Միությունում պահպանվում է սերիաների թողարկման առնվազն մեկ հարթակ, որտեղ հնարավոր է սերտիֆիկացնել Միության սահմաններում </w:t>
            </w:r>
            <w:r w:rsidRPr="003B2786">
              <w:rPr>
                <w:rStyle w:val="Bodytext1811pt"/>
                <w:rFonts w:ascii="Sylfaen" w:hAnsi="Sylfaen"/>
                <w:sz w:val="24"/>
                <w:szCs w:val="24"/>
              </w:rPr>
              <w:lastRenderedPageBreak/>
              <w:t>սերիաների թողարկման նպատակով դեղապատրաստուկի փորձարկումները։</w:t>
            </w:r>
          </w:p>
          <w:p w14:paraId="683840B8"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Հարթակը սահմանված կարգով լիցենզավորվել է։</w:t>
            </w:r>
          </w:p>
          <w:p w14:paraId="5117CA34"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Դեղապատրաստուկը կենսաբանական (իմունաբանական) դեղապատրաստուկ չէ։</w:t>
            </w:r>
          </w:p>
          <w:p w14:paraId="18B5144B"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Տեխնոլոգիայի՝ հնից նոր հարթակ կամ նոր փորձարկման լաբորատորիա տեղափոխումը հաջողությամբ է պսակվել։ </w:t>
            </w:r>
          </w:p>
          <w:p w14:paraId="75D84E32"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Միությունում կամ այն երկրում, որի հետ Միությունը կնքել է պատշաճ արտադրական գործունեության փոխադարձ ճանաչման գործող կամ համապատասխան համաձայնագիր, պահպանվում է սերիաների հսկողության (փորձարկման) համար առնվազն մեկ հարթակ, որտեղ հնարավոր է փորձարկել պատրաստուկը՝ Միության սահմաններում սերիաների թողարկման նպատակով։</w:t>
            </w:r>
          </w:p>
        </w:tc>
      </w:tr>
      <w:tr w:rsidR="008C76E0" w:rsidRPr="003B2786" w14:paraId="7C0FC73F"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640E2A1A"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0E720FE6"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Արտադրության լիցենզիաների օրինակը կամ դրանց բացակայության դեպքում՝ համապատասխան լիազորված մարմնի կողմից վերջին 3 տարվա ընթացքում տրված պատշաճ արտադրական գործունեության սերտիֆիկատը։</w:t>
            </w:r>
          </w:p>
          <w:p w14:paraId="48D8A5F9" w14:textId="77777777" w:rsidR="008C76E0" w:rsidRPr="008C76E0" w:rsidRDefault="008C76E0" w:rsidP="008C76E0">
            <w:pPr>
              <w:pStyle w:val="Bodytext180"/>
              <w:shd w:val="clear" w:color="auto" w:fill="auto"/>
              <w:tabs>
                <w:tab w:val="left" w:pos="567"/>
              </w:tabs>
              <w:spacing w:before="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Փոփոխություններ կատարելու մասին հայտում անհրաժեշտ է նշել դեղապատրաստուկի «ներկա»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արտադրողներին (հայտի ձ</w:t>
            </w:r>
            <w:r w:rsidR="00C54D75">
              <w:rPr>
                <w:rStyle w:val="Bodytext1811pt"/>
                <w:rFonts w:ascii="Sylfaen" w:hAnsi="Sylfaen"/>
                <w:sz w:val="24"/>
                <w:szCs w:val="24"/>
              </w:rPr>
              <w:t>և</w:t>
            </w:r>
            <w:r w:rsidRPr="003B2786">
              <w:rPr>
                <w:rStyle w:val="Bodytext1811pt"/>
                <w:rFonts w:ascii="Sylfaen" w:hAnsi="Sylfaen"/>
                <w:sz w:val="24"/>
                <w:szCs w:val="24"/>
              </w:rPr>
              <w:t>ի 2.5 բաժնի համաձայն)։</w:t>
            </w:r>
          </w:p>
          <w:p w14:paraId="3A641CDF" w14:textId="77777777" w:rsidR="008C76E0" w:rsidRPr="008C76E0" w:rsidRDefault="008C76E0" w:rsidP="008C76E0">
            <w:pPr>
              <w:pStyle w:val="Bodytext180"/>
              <w:shd w:val="clear" w:color="auto" w:fill="auto"/>
              <w:tabs>
                <w:tab w:val="left" w:pos="567"/>
              </w:tabs>
              <w:spacing w:before="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Սերիայի սերտիֆիկացման համար պատասխանատու լիազորված անձի հայտարարագիրը, որում նշվում է, որ գրանցման դոսյեում նշված ակտիվ դեղագործական բաղադրամաս արտադրողը (արտադրողները) աշխատում է (են) ելանյութերի համար՝ Միության պատշաճ արտադրական գործունեության կանոններին համապատասխան։ Որոշակի հանգամանքներում թույլատրվում է ներկայացնել մեկ հայտարարագիր (տե՛ս Բ.II.բ.1-ի փոփոխության ծանոթագրությունը)։ </w:t>
            </w:r>
          </w:p>
          <w:p w14:paraId="2DB46191" w14:textId="77777777" w:rsidR="008C76E0" w:rsidRPr="008C76E0" w:rsidRDefault="008C76E0" w:rsidP="008C76E0">
            <w:pPr>
              <w:pStyle w:val="Bodytext180"/>
              <w:shd w:val="clear" w:color="auto" w:fill="auto"/>
              <w:tabs>
                <w:tab w:val="left" w:pos="567"/>
              </w:tabs>
              <w:spacing w:before="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այդ թվում՝ դեղապատրաստուկի վերաբերյալ տեղեկատվության մեջ ուղղում կատարելը։</w:t>
            </w:r>
          </w:p>
        </w:tc>
      </w:tr>
      <w:tr w:rsidR="008C76E0" w:rsidRPr="003B2786" w14:paraId="06285E3B"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45BB859"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Բ.II.բ.3 Դեղապատրաստուկի արտադրության գործընթացի փոփոխությունը, ներառյալ՝ դեղապատրաստուկի արտադրության մեջ օգտագործվող միջանկյալ արտադրանքը</w:t>
            </w:r>
          </w:p>
        </w:tc>
        <w:tc>
          <w:tcPr>
            <w:tcW w:w="1701" w:type="dxa"/>
            <w:gridSpan w:val="4"/>
            <w:tcBorders>
              <w:top w:val="single" w:sz="4" w:space="0" w:color="auto"/>
              <w:left w:val="single" w:sz="4" w:space="0" w:color="auto"/>
            </w:tcBorders>
            <w:shd w:val="clear" w:color="auto" w:fill="FFFFFF"/>
          </w:tcPr>
          <w:p w14:paraId="4DBBD691"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A23674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7B3D9FCC"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087589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5B3C07E"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արտադրության գործընթացի ոչ էական փոփոխությունները</w:t>
            </w:r>
          </w:p>
        </w:tc>
        <w:tc>
          <w:tcPr>
            <w:tcW w:w="1701" w:type="dxa"/>
            <w:gridSpan w:val="4"/>
            <w:tcBorders>
              <w:top w:val="single" w:sz="4" w:space="0" w:color="auto"/>
              <w:left w:val="single" w:sz="4" w:space="0" w:color="auto"/>
            </w:tcBorders>
            <w:shd w:val="clear" w:color="auto" w:fill="FFFFFF"/>
          </w:tcPr>
          <w:p w14:paraId="6BEC916A"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1,2, 3,4, 5, 6, 7</w:t>
            </w:r>
          </w:p>
        </w:tc>
        <w:tc>
          <w:tcPr>
            <w:tcW w:w="1984" w:type="dxa"/>
            <w:gridSpan w:val="2"/>
            <w:tcBorders>
              <w:top w:val="single" w:sz="4" w:space="0" w:color="auto"/>
              <w:left w:val="single" w:sz="4" w:space="0" w:color="auto"/>
            </w:tcBorders>
            <w:shd w:val="clear" w:color="auto" w:fill="FFFFFF"/>
          </w:tcPr>
          <w:p w14:paraId="6D93821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1,3,4, 5, 6, 7, 8</w:t>
            </w:r>
          </w:p>
        </w:tc>
        <w:tc>
          <w:tcPr>
            <w:tcW w:w="1719" w:type="dxa"/>
            <w:gridSpan w:val="3"/>
            <w:tcBorders>
              <w:top w:val="single" w:sz="4" w:space="0" w:color="auto"/>
              <w:left w:val="single" w:sz="4" w:space="0" w:color="auto"/>
              <w:right w:val="single" w:sz="4" w:space="0" w:color="auto"/>
            </w:tcBorders>
            <w:shd w:val="clear" w:color="auto" w:fill="FFFFFF"/>
          </w:tcPr>
          <w:p w14:paraId="4EF1E26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7BA346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35F7F03"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արտադրության գործընթացի էական փոփոխությունները, որոնք կարող են զգալի ազդեցություն ունենալ դեղապատրաստուկի որակի,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արդյունավետության վրա</w:t>
            </w:r>
          </w:p>
        </w:tc>
        <w:tc>
          <w:tcPr>
            <w:tcW w:w="1701" w:type="dxa"/>
            <w:gridSpan w:val="4"/>
            <w:tcBorders>
              <w:top w:val="single" w:sz="4" w:space="0" w:color="auto"/>
              <w:left w:val="single" w:sz="4" w:space="0" w:color="auto"/>
            </w:tcBorders>
            <w:shd w:val="clear" w:color="auto" w:fill="FFFFFF"/>
          </w:tcPr>
          <w:p w14:paraId="1198793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16F3F1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43D46F2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617480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D78C3C2"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դեղապատրաստուկը կենսաբանական (իմունաբանական) է, </w:t>
            </w:r>
            <w:r w:rsidR="00C54D75">
              <w:rPr>
                <w:rStyle w:val="Bodytext1811pt"/>
                <w:rFonts w:ascii="Sylfaen" w:hAnsi="Sylfaen"/>
                <w:sz w:val="24"/>
                <w:szCs w:val="24"/>
              </w:rPr>
              <w:t>և</w:t>
            </w:r>
            <w:r w:rsidRPr="003B2786">
              <w:rPr>
                <w:rStyle w:val="Bodytext1811pt"/>
                <w:rFonts w:ascii="Sylfaen" w:hAnsi="Sylfaen"/>
                <w:sz w:val="24"/>
                <w:szCs w:val="24"/>
              </w:rPr>
              <w:t xml:space="preserve"> </w:t>
            </w:r>
            <w:r w:rsidRPr="003B2786">
              <w:rPr>
                <w:rStyle w:val="Bodytext1811pt"/>
                <w:rFonts w:ascii="Sylfaen" w:hAnsi="Sylfaen"/>
                <w:sz w:val="24"/>
                <w:szCs w:val="24"/>
              </w:rPr>
              <w:lastRenderedPageBreak/>
              <w:t>փոփոխությամբ պահանջվում է համադրելիության գնահատում</w:t>
            </w:r>
          </w:p>
        </w:tc>
        <w:tc>
          <w:tcPr>
            <w:tcW w:w="1701" w:type="dxa"/>
            <w:gridSpan w:val="4"/>
            <w:tcBorders>
              <w:top w:val="single" w:sz="4" w:space="0" w:color="auto"/>
              <w:left w:val="single" w:sz="4" w:space="0" w:color="auto"/>
            </w:tcBorders>
            <w:shd w:val="clear" w:color="auto" w:fill="FFFFFF"/>
          </w:tcPr>
          <w:p w14:paraId="2CFAC4BE"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1984" w:type="dxa"/>
            <w:gridSpan w:val="2"/>
            <w:tcBorders>
              <w:top w:val="single" w:sz="4" w:space="0" w:color="auto"/>
              <w:left w:val="single" w:sz="4" w:space="0" w:color="auto"/>
            </w:tcBorders>
            <w:shd w:val="clear" w:color="auto" w:fill="FFFFFF"/>
          </w:tcPr>
          <w:p w14:paraId="2B5A69A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46939065"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19A009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63356D6"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մանրէազերծման ոչ ստանդարտ տերմինալային մեթոդի ներմուծում</w:t>
            </w:r>
          </w:p>
        </w:tc>
        <w:tc>
          <w:tcPr>
            <w:tcW w:w="1701" w:type="dxa"/>
            <w:gridSpan w:val="4"/>
            <w:tcBorders>
              <w:top w:val="single" w:sz="4" w:space="0" w:color="auto"/>
              <w:left w:val="single" w:sz="4" w:space="0" w:color="auto"/>
            </w:tcBorders>
            <w:shd w:val="clear" w:color="auto" w:fill="FFFFFF"/>
          </w:tcPr>
          <w:p w14:paraId="5A973A3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6A12E16"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2072079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AF42D3B"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tcPr>
          <w:p w14:paraId="1C15D822"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ակտիվ դեղագործական բաղադրամասի առնչությամբ օգտագործվող ավելցուկի ներմուծում կամ ավելացում</w:t>
            </w:r>
          </w:p>
        </w:tc>
        <w:tc>
          <w:tcPr>
            <w:tcW w:w="1701" w:type="dxa"/>
            <w:gridSpan w:val="4"/>
            <w:tcBorders>
              <w:top w:val="single" w:sz="4" w:space="0" w:color="auto"/>
              <w:left w:val="single" w:sz="4" w:space="0" w:color="auto"/>
              <w:bottom w:val="single" w:sz="4" w:space="0" w:color="auto"/>
            </w:tcBorders>
            <w:shd w:val="clear" w:color="auto" w:fill="FFFFFF"/>
          </w:tcPr>
          <w:p w14:paraId="0D114F1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bottom w:val="single" w:sz="4" w:space="0" w:color="auto"/>
            </w:tcBorders>
            <w:shd w:val="clear" w:color="auto" w:fill="FFFFFF"/>
          </w:tcPr>
          <w:p w14:paraId="6C131A4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33E45DED"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6AA355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4780BFE"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ներքին ընդունման ջրային կախույթի արտադրության գործընթացի ոչ էական փոփոխությունը</w:t>
            </w:r>
          </w:p>
        </w:tc>
        <w:tc>
          <w:tcPr>
            <w:tcW w:w="1701" w:type="dxa"/>
            <w:gridSpan w:val="4"/>
            <w:tcBorders>
              <w:top w:val="single" w:sz="4" w:space="0" w:color="auto"/>
              <w:left w:val="single" w:sz="4" w:space="0" w:color="auto"/>
            </w:tcBorders>
            <w:shd w:val="clear" w:color="auto" w:fill="FFFFFF"/>
          </w:tcPr>
          <w:p w14:paraId="6C710E2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837CF5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1, 2, 4, 6, 7, 8</w:t>
            </w:r>
          </w:p>
        </w:tc>
        <w:tc>
          <w:tcPr>
            <w:tcW w:w="1719" w:type="dxa"/>
            <w:gridSpan w:val="3"/>
            <w:tcBorders>
              <w:top w:val="single" w:sz="4" w:space="0" w:color="auto"/>
              <w:left w:val="single" w:sz="4" w:space="0" w:color="auto"/>
              <w:right w:val="single" w:sz="4" w:space="0" w:color="auto"/>
            </w:tcBorders>
            <w:shd w:val="clear" w:color="auto" w:fill="FFFFFF"/>
          </w:tcPr>
          <w:p w14:paraId="201953A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AD4BD9F"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4ACCE2A8"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1202CA3"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Բացակայում են խառնուկների որակական կամ քանակական պրոֆիլի կամ ֆիզիկաքիմիական հատկությունների փոփոխությունները։</w:t>
            </w:r>
          </w:p>
          <w:p w14:paraId="3A5D2861"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Փոփոխությունն առնչվում է արագ ձերբազատմամբ ներքին ընդունման պինդ դեղաձ</w:t>
            </w:r>
            <w:r w:rsidR="00C54D75">
              <w:rPr>
                <w:rStyle w:val="Bodytext1811pt"/>
                <w:rFonts w:ascii="Sylfaen" w:hAnsi="Sylfaen"/>
                <w:sz w:val="24"/>
                <w:szCs w:val="24"/>
              </w:rPr>
              <w:t>և</w:t>
            </w:r>
            <w:r w:rsidRPr="003B2786">
              <w:rPr>
                <w:rStyle w:val="Bodytext1811pt"/>
                <w:rFonts w:ascii="Sylfaen" w:hAnsi="Sylfaen"/>
                <w:sz w:val="24"/>
                <w:szCs w:val="24"/>
              </w:rPr>
              <w:t xml:space="preserve">ին (ներքին ընդունման լուծույթին), </w:t>
            </w:r>
            <w:r w:rsidR="00C54D75">
              <w:rPr>
                <w:rStyle w:val="Bodytext1811pt"/>
                <w:rFonts w:ascii="Sylfaen" w:hAnsi="Sylfaen"/>
                <w:sz w:val="24"/>
                <w:szCs w:val="24"/>
              </w:rPr>
              <w:t>և</w:t>
            </w:r>
            <w:r w:rsidRPr="003B2786">
              <w:rPr>
                <w:rStyle w:val="Bodytext1811pt"/>
                <w:rFonts w:ascii="Sylfaen" w:hAnsi="Sylfaen"/>
                <w:sz w:val="24"/>
                <w:szCs w:val="24"/>
              </w:rPr>
              <w:t xml:space="preserve"> դիտարկվող դեղապատրաստուկը կենսաբանական (իմունաբանական) կամ բուսական չէ։</w:t>
            </w:r>
          </w:p>
          <w:p w14:paraId="22E2EFCD"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Արտադրության սկզբունքը, ներառյալ՝ դրա առանձին փուլերը չեն փոփոխվում, օրինակ՝ միջանկյալ արտադրանքի մշակումը. բացակայում է արտադրության գործընթացում օգտագործվող որ</w:t>
            </w:r>
            <w:r w:rsidR="00C54D75">
              <w:rPr>
                <w:rStyle w:val="Bodytext1811pt"/>
                <w:rFonts w:ascii="Sylfaen" w:hAnsi="Sylfaen"/>
                <w:sz w:val="24"/>
                <w:szCs w:val="24"/>
              </w:rPr>
              <w:t>և</w:t>
            </w:r>
            <w:r w:rsidRPr="003B2786">
              <w:rPr>
                <w:rStyle w:val="Bodytext1811pt"/>
                <w:rFonts w:ascii="Sylfaen" w:hAnsi="Sylfaen"/>
                <w:sz w:val="24"/>
                <w:szCs w:val="24"/>
              </w:rPr>
              <w:t>է լուծիչի փոփոխություն։</w:t>
            </w:r>
          </w:p>
          <w:p w14:paraId="771647C9"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Արտադրության ներկայումս գրանցված գործընթացը հսկվում է ներարտադրական հսկման միջոցառումների միջոցով, </w:t>
            </w:r>
            <w:r w:rsidR="00C54D75">
              <w:rPr>
                <w:rStyle w:val="Bodytext1811pt"/>
                <w:rFonts w:ascii="Sylfaen" w:hAnsi="Sylfaen"/>
                <w:sz w:val="24"/>
                <w:szCs w:val="24"/>
              </w:rPr>
              <w:t>և</w:t>
            </w:r>
            <w:r w:rsidRPr="003B2786">
              <w:rPr>
                <w:rStyle w:val="Bodytext1811pt"/>
                <w:rFonts w:ascii="Sylfaen" w:hAnsi="Sylfaen"/>
                <w:sz w:val="24"/>
                <w:szCs w:val="24"/>
              </w:rPr>
              <w:t xml:space="preserve"> հսկման այդպիսի միջոցառումների փոփոխություն (ընդունելիության չափանիշների ընդլայնում կամ բացառում) չի պահանջվում։</w:t>
            </w:r>
          </w:p>
          <w:p w14:paraId="2CCCF2B1"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Դեղապատրաստուկի կամ միջանկյալ արտադրանքների մասնագրերը չեն փոփոխվում։</w:t>
            </w:r>
          </w:p>
          <w:p w14:paraId="4D872FC4"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Նոր գործընթացի արդյունքների համաձայն՝ պետք է առաջանա դեղապատրաստուկի որակի, անվտանգության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արդյունավետության բոլոր ասպեկտների տեսանկյունից նույնական։</w:t>
            </w:r>
          </w:p>
          <w:p w14:paraId="56404646" w14:textId="77777777" w:rsidR="008C76E0" w:rsidRPr="008C76E0" w:rsidRDefault="008C76E0" w:rsidP="00FA323E">
            <w:pPr>
              <w:pStyle w:val="Bodytext180"/>
              <w:keepNext/>
              <w:keepLines/>
              <w:shd w:val="clear" w:color="auto" w:fill="auto"/>
              <w:tabs>
                <w:tab w:val="left" w:pos="567"/>
              </w:tabs>
              <w:spacing w:before="0" w:after="120" w:line="264" w:lineRule="auto"/>
              <w:ind w:left="159" w:right="181" w:firstLine="0"/>
              <w:jc w:val="both"/>
              <w:outlineLvl w:val="0"/>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Միության համապատասխան փաստաթղթերի համաձայն՝ առնվազն 1 փորձնական կամ արդյունաբերական սերիայի նկատմամբ սկսվել են կայունության համապատասխան հետազոտություններ. հայտատուի տրամադրության տակ են գտնվում կայունության առնվազն </w:t>
            </w:r>
            <w:r w:rsidRPr="003B2786">
              <w:rPr>
                <w:rStyle w:val="Bodytext1811pt"/>
                <w:rFonts w:ascii="Sylfaen" w:hAnsi="Sylfaen"/>
                <w:sz w:val="24"/>
                <w:szCs w:val="24"/>
              </w:rPr>
              <w:br/>
              <w:t xml:space="preserve">3-ամսյա ուսումնասիրությունների բավարար արդյունքները։ Հաստատումն այն բանի, որ հետազոտությունները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չհամապատասխանեն մասնագրերին կամ հնարավոր է, որ չհամապատասխանեն մասնագրերին՝ պիտանիության ժամկետի ավարտին, ապա դրանք առաջարկվող գործողությունների պլանի հետ անմիջապես կներկայացվեն լիազորված մարմին։ </w:t>
            </w:r>
          </w:p>
        </w:tc>
      </w:tr>
      <w:tr w:rsidR="008C76E0" w:rsidRPr="003B2786" w14:paraId="15B4840F"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tcPr>
          <w:p w14:paraId="4E7B86EE"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73F43033"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79EA0943"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Փափուկ </w:t>
            </w:r>
            <w:r w:rsidR="00C54D75">
              <w:rPr>
                <w:rStyle w:val="Bodytext1811pt"/>
                <w:rFonts w:ascii="Sylfaen" w:hAnsi="Sylfaen"/>
                <w:sz w:val="24"/>
                <w:szCs w:val="24"/>
              </w:rPr>
              <w:t>և</w:t>
            </w:r>
            <w:r w:rsidRPr="003B2786">
              <w:rPr>
                <w:rStyle w:val="Bodytext1811pt"/>
                <w:rFonts w:ascii="Sylfaen" w:hAnsi="Sylfaen"/>
                <w:sz w:val="24"/>
                <w:szCs w:val="24"/>
              </w:rPr>
              <w:t xml:space="preserve"> պինդ դեղապատրաստուկների առնչությամբ, որոնցում ակտիվ դեղագործական բաղադրամասը գտնվում է չլուծված վիճակում. փոփոխությունների պատշաճ վալիդացումը, ներառյալ՝ մասնիկների միկրոսկոպիան՝ կազմաբանության տեսանելի փոփոխություններն ստուգելու նպատակով. պատշաճ ձ</w:t>
            </w:r>
            <w:r w:rsidR="00C54D75">
              <w:rPr>
                <w:rStyle w:val="Bodytext1811pt"/>
                <w:rFonts w:ascii="Sylfaen" w:hAnsi="Sylfaen"/>
                <w:sz w:val="24"/>
                <w:szCs w:val="24"/>
              </w:rPr>
              <w:t>և</w:t>
            </w:r>
            <w:r w:rsidRPr="003B2786">
              <w:rPr>
                <w:rStyle w:val="Bodytext1811pt"/>
                <w:rFonts w:ascii="Sylfaen" w:hAnsi="Sylfaen"/>
                <w:sz w:val="24"/>
                <w:szCs w:val="24"/>
              </w:rPr>
              <w:t>ով ստացված մասնիկների չափերի համաձայն բաշխման (դիսպերսության) վերաբերյալ համեմատական տվյալները։</w:t>
            </w:r>
          </w:p>
          <w:p w14:paraId="22724F8B"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Պինդ դեղաձ</w:t>
            </w:r>
            <w:r w:rsidR="00C54D75">
              <w:rPr>
                <w:rStyle w:val="Bodytext1811pt"/>
                <w:rFonts w:ascii="Sylfaen" w:hAnsi="Sylfaen"/>
                <w:sz w:val="24"/>
                <w:szCs w:val="24"/>
              </w:rPr>
              <w:t>և</w:t>
            </w:r>
            <w:r w:rsidRPr="003B2786">
              <w:rPr>
                <w:rStyle w:val="Bodytext1811pt"/>
                <w:rFonts w:ascii="Sylfaen" w:hAnsi="Sylfaen"/>
                <w:sz w:val="24"/>
                <w:szCs w:val="24"/>
              </w:rPr>
              <w:t xml:space="preserve">երի առնչությամբ՝ մեկ ներկայացուցչական արդյունաբերական սերիայի լուծելիության պրոֆիլի տվյալները </w:t>
            </w:r>
            <w:r w:rsidR="00C54D75">
              <w:rPr>
                <w:rStyle w:val="Bodytext1811pt"/>
                <w:rFonts w:ascii="Sylfaen" w:hAnsi="Sylfaen"/>
                <w:sz w:val="24"/>
                <w:szCs w:val="24"/>
              </w:rPr>
              <w:t>և</w:t>
            </w:r>
            <w:r w:rsidRPr="003B2786">
              <w:rPr>
                <w:rStyle w:val="Bodytext1811pt"/>
                <w:rFonts w:ascii="Sylfaen" w:hAnsi="Sylfaen"/>
                <w:sz w:val="24"/>
                <w:szCs w:val="24"/>
              </w:rPr>
              <w:t xml:space="preserve"> նախորդ գործընթացի միջոցով արտադրված վերջին երեք սերիաների համեմատական տվյալները։ Հարցման հիման վրա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երկու ամբողջական արդյունաբերական սերիաների վերաբերյալ տվյալները կամ տեղեկացնել, եթե արդյունքները չեն համապատասխանում մասնագրին,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առաջարկել գործողությունների պլան։ Բուսական դեղապատրաստուկների առնչությամբ կարող են բավարար լինել համեմատական տրոհման տվյալները:</w:t>
            </w:r>
          </w:p>
          <w:p w14:paraId="1662593F"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Կենսահամարժեքության նոր հետազոտության արդյունքները չներկայացնելու հիմնավորումը՝ Միության կենսահամարժեքության հետազոտությունների անցկացման կանոններին համապատասխան։</w:t>
            </w:r>
          </w:p>
          <w:p w14:paraId="56067FE1"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Գործընթացի այն պարամետրի (պարամետրերի) փոփոխության դեպքում, որը համարվում է դեղապատրաստուկի վրա ազդեցություն չունեցող՝ հայտարարագիր այն մասին, որ դա ձեռք է բերվել ռիսկերի ավելի վաղ անցկացված հաստատված գնահատման ընթացքում։</w:t>
            </w:r>
          </w:p>
          <w:p w14:paraId="5264CB34"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Թողարկման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 մասնագրերի օրինակները։</w:t>
            </w:r>
          </w:p>
          <w:p w14:paraId="7FD47C61"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Սերիաների՝ հաստատված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գործընթացի միջոցով արտադրված առնվազն մեկ սերիայի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 Հարցման հիման վրա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երկու ամբողջական արդյունաբերական սերիաների վերաբերյալ տվյալները. հարկ է տեղեկացնել, եթե վերլուծության արդյունքները չեն համապատասխանում մասնագրին,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առաջարկել գործողությունների պլան։</w:t>
            </w:r>
          </w:p>
        </w:tc>
      </w:tr>
      <w:tr w:rsidR="008C76E0" w:rsidRPr="003B2786" w14:paraId="777438D5"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493AFFCD"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3B2786">
              <w:rPr>
                <w:rStyle w:val="Bodytext1811pt"/>
                <w:rFonts w:ascii="Sylfaen" w:hAnsi="Sylfaen"/>
                <w:sz w:val="24"/>
                <w:szCs w:val="24"/>
              </w:rPr>
              <w:t>8.</w:t>
            </w:r>
            <w:r w:rsidRPr="003B2786">
              <w:rPr>
                <w:rStyle w:val="Bodytext1811pt"/>
                <w:rFonts w:ascii="Sylfaen" w:hAnsi="Sylfaen"/>
                <w:sz w:val="24"/>
                <w:szCs w:val="24"/>
              </w:rPr>
              <w:tab/>
              <w:t xml:space="preserve">Հայտարարագիր այն մասին, որ Միության փաստաթղթերին համապատասխան՝ սկսվել են կայունության համապատասխան հետազոտությունները (նշելով սերիաների համարները), </w:t>
            </w:r>
            <w:r w:rsidR="00C54D75">
              <w:rPr>
                <w:rStyle w:val="Bodytext1811pt"/>
                <w:rFonts w:ascii="Sylfaen" w:hAnsi="Sylfaen"/>
                <w:sz w:val="24"/>
                <w:szCs w:val="24"/>
              </w:rPr>
              <w:t>և</w:t>
            </w:r>
            <w:r w:rsidRPr="003B2786">
              <w:rPr>
                <w:rStyle w:val="Bodytext1811pt"/>
                <w:rFonts w:ascii="Sylfaen" w:hAnsi="Sylfaen"/>
                <w:sz w:val="24"/>
                <w:szCs w:val="24"/>
              </w:rPr>
              <w:t xml:space="preserve"> ուսումնասիրվել են առնվազն մեկ փորձարարաարդյունաբերական կամ արդյունաբերական սերիայի կայունության անհրաժեշտ պարամետրերը, </w:t>
            </w:r>
            <w:r w:rsidR="00C54D75">
              <w:rPr>
                <w:rStyle w:val="Bodytext1811pt"/>
                <w:rFonts w:ascii="Sylfaen" w:hAnsi="Sylfaen"/>
                <w:sz w:val="24"/>
                <w:szCs w:val="24"/>
              </w:rPr>
              <w:t>և</w:t>
            </w:r>
            <w:r w:rsidRPr="003B2786">
              <w:rPr>
                <w:rStyle w:val="Bodytext1811pt"/>
                <w:rFonts w:ascii="Sylfaen" w:hAnsi="Sylfaen"/>
                <w:sz w:val="24"/>
                <w:szCs w:val="24"/>
              </w:rPr>
              <w:t xml:space="preserve"> ծանուցելու պահին հայտատուի տրամադրության տակ են եղել կայունության առնվազն 3-ամսյա ուսումնասիրության բավարար արդյունքները, </w:t>
            </w:r>
            <w:r w:rsidR="00C54D75">
              <w:rPr>
                <w:rStyle w:val="Bodytext1811pt"/>
                <w:rFonts w:ascii="Sylfaen" w:hAnsi="Sylfaen"/>
                <w:sz w:val="24"/>
                <w:szCs w:val="24"/>
              </w:rPr>
              <w:t>և</w:t>
            </w:r>
            <w:r w:rsidRPr="003B2786">
              <w:rPr>
                <w:rStyle w:val="Bodytext1811pt"/>
                <w:rFonts w:ascii="Sylfaen" w:hAnsi="Sylfaen"/>
                <w:sz w:val="24"/>
                <w:szCs w:val="24"/>
              </w:rPr>
              <w:t xml:space="preserve"> կայունության պրոֆիլը համանման է ընթացիկ գրանցված դրությանը։ Ներկայացվել է հաստատումն այն բանի, որ հետազոտությունները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չհամապատասխանեն մասնագրերին կամ հնարավոր է, որ չհամապատասխանեն մասնագրերին՝ պիտանիության ժամկետի ավարտին, ապա դրանք առաջարկվող գործողությունների պլանի հետ անմիջապես կներկայացվեն լիազորված մարմին։</w:t>
            </w:r>
          </w:p>
        </w:tc>
      </w:tr>
      <w:tr w:rsidR="008C76E0" w:rsidRPr="003B2786" w14:paraId="258AB45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0B529A8"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3B2786">
              <w:rPr>
                <w:rStyle w:val="Bodytext1811pt"/>
                <w:rFonts w:ascii="Sylfaen" w:hAnsi="Sylfaen"/>
                <w:sz w:val="24"/>
                <w:szCs w:val="24"/>
              </w:rPr>
              <w:lastRenderedPageBreak/>
              <w:t>Բ.II.բ.4 Դեղապատրաստուկի սերիայի չափի փոփոխությունը (ներառյալ սերիայի չափի տիրույթը)</w:t>
            </w:r>
          </w:p>
        </w:tc>
        <w:tc>
          <w:tcPr>
            <w:tcW w:w="1701" w:type="dxa"/>
            <w:gridSpan w:val="4"/>
            <w:tcBorders>
              <w:top w:val="single" w:sz="4" w:space="0" w:color="auto"/>
              <w:left w:val="single" w:sz="4" w:space="0" w:color="auto"/>
            </w:tcBorders>
            <w:shd w:val="clear" w:color="auto" w:fill="FFFFFF"/>
          </w:tcPr>
          <w:p w14:paraId="010BE9A0"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410E5F90"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5F74F93E"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150526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53527E6"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81" w:firstLine="0"/>
              <w:jc w:val="both"/>
              <w:outlineLvl w:val="0"/>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հաստատվածի համեմատությամբ՝ ընդհուպ մինչ 10 անգամ խոշորացում</w:t>
            </w:r>
          </w:p>
        </w:tc>
        <w:tc>
          <w:tcPr>
            <w:tcW w:w="1701" w:type="dxa"/>
            <w:gridSpan w:val="4"/>
            <w:tcBorders>
              <w:top w:val="single" w:sz="4" w:space="0" w:color="auto"/>
              <w:left w:val="single" w:sz="4" w:space="0" w:color="auto"/>
            </w:tcBorders>
            <w:shd w:val="clear" w:color="auto" w:fill="FFFFFF"/>
          </w:tcPr>
          <w:p w14:paraId="73488887"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1, 2, 3, 4, 5, 7</w:t>
            </w:r>
          </w:p>
        </w:tc>
        <w:tc>
          <w:tcPr>
            <w:tcW w:w="1984" w:type="dxa"/>
            <w:gridSpan w:val="2"/>
            <w:tcBorders>
              <w:top w:val="single" w:sz="4" w:space="0" w:color="auto"/>
              <w:left w:val="single" w:sz="4" w:space="0" w:color="auto"/>
            </w:tcBorders>
            <w:shd w:val="clear" w:color="auto" w:fill="FFFFFF"/>
          </w:tcPr>
          <w:p w14:paraId="40AAAB6A"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1, 4</w:t>
            </w:r>
          </w:p>
        </w:tc>
        <w:tc>
          <w:tcPr>
            <w:tcW w:w="1719" w:type="dxa"/>
            <w:gridSpan w:val="3"/>
            <w:tcBorders>
              <w:top w:val="single" w:sz="4" w:space="0" w:color="auto"/>
              <w:left w:val="single" w:sz="4" w:space="0" w:color="auto"/>
              <w:right w:val="single" w:sz="4" w:space="0" w:color="auto"/>
            </w:tcBorders>
            <w:shd w:val="clear" w:color="auto" w:fill="FFFFFF"/>
          </w:tcPr>
          <w:p w14:paraId="6E7ECB76"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09BE51E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176CA15" w14:textId="77777777" w:rsidR="008C76E0" w:rsidRPr="003B2786" w:rsidRDefault="008C76E0" w:rsidP="008C76E0">
            <w:pPr>
              <w:pStyle w:val="Bodytext180"/>
              <w:keepNext/>
              <w:keepLines/>
              <w:shd w:val="clear" w:color="auto" w:fill="auto"/>
              <w:tabs>
                <w:tab w:val="left" w:pos="567"/>
              </w:tabs>
              <w:spacing w:before="0" w:after="120" w:line="240" w:lineRule="auto"/>
              <w:ind w:left="159" w:right="181" w:firstLine="0"/>
              <w:jc w:val="both"/>
              <w:outlineLvl w:val="0"/>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lang w:val="en-US"/>
              </w:rPr>
              <w:tab/>
            </w:r>
            <w:r w:rsidRPr="003B2786">
              <w:rPr>
                <w:rStyle w:val="Bodytext1811pt"/>
                <w:rFonts w:ascii="Sylfaen" w:hAnsi="Sylfaen"/>
                <w:sz w:val="24"/>
                <w:szCs w:val="24"/>
              </w:rPr>
              <w:t>մինչ</w:t>
            </w:r>
            <w:r w:rsidR="00C54D75">
              <w:rPr>
                <w:rStyle w:val="Bodytext1811pt"/>
                <w:rFonts w:ascii="Sylfaen" w:hAnsi="Sylfaen"/>
                <w:sz w:val="24"/>
                <w:szCs w:val="24"/>
              </w:rPr>
              <w:t>և</w:t>
            </w:r>
            <w:r w:rsidRPr="003B2786">
              <w:rPr>
                <w:rStyle w:val="Bodytext1811pt"/>
                <w:rFonts w:ascii="Sylfaen" w:hAnsi="Sylfaen"/>
                <w:sz w:val="24"/>
                <w:szCs w:val="24"/>
              </w:rPr>
              <w:t xml:space="preserve"> 10 անգամ ապախոշորացում</w:t>
            </w:r>
          </w:p>
        </w:tc>
        <w:tc>
          <w:tcPr>
            <w:tcW w:w="1701" w:type="dxa"/>
            <w:gridSpan w:val="4"/>
            <w:tcBorders>
              <w:top w:val="single" w:sz="4" w:space="0" w:color="auto"/>
              <w:left w:val="single" w:sz="4" w:space="0" w:color="auto"/>
            </w:tcBorders>
            <w:shd w:val="clear" w:color="auto" w:fill="FFFFFF"/>
          </w:tcPr>
          <w:p w14:paraId="55336118"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1, 2, 3, 4, 5, 6</w:t>
            </w:r>
          </w:p>
        </w:tc>
        <w:tc>
          <w:tcPr>
            <w:tcW w:w="1984" w:type="dxa"/>
            <w:gridSpan w:val="2"/>
            <w:tcBorders>
              <w:top w:val="single" w:sz="4" w:space="0" w:color="auto"/>
              <w:left w:val="single" w:sz="4" w:space="0" w:color="auto"/>
            </w:tcBorders>
            <w:shd w:val="clear" w:color="auto" w:fill="FFFFFF"/>
          </w:tcPr>
          <w:p w14:paraId="2F20AAEA"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1, 4</w:t>
            </w:r>
          </w:p>
        </w:tc>
        <w:tc>
          <w:tcPr>
            <w:tcW w:w="1719" w:type="dxa"/>
            <w:gridSpan w:val="3"/>
            <w:tcBorders>
              <w:top w:val="single" w:sz="4" w:space="0" w:color="auto"/>
              <w:left w:val="single" w:sz="4" w:space="0" w:color="auto"/>
              <w:right w:val="single" w:sz="4" w:space="0" w:color="auto"/>
            </w:tcBorders>
            <w:shd w:val="clear" w:color="auto" w:fill="FFFFFF"/>
          </w:tcPr>
          <w:p w14:paraId="13499AA4"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4E7FD3E7" w14:textId="77777777" w:rsidTr="008C76E0">
        <w:trPr>
          <w:jc w:val="center"/>
        </w:trPr>
        <w:tc>
          <w:tcPr>
            <w:tcW w:w="4997" w:type="dxa"/>
            <w:gridSpan w:val="6"/>
            <w:tcBorders>
              <w:top w:val="single" w:sz="4" w:space="0" w:color="auto"/>
              <w:left w:val="single" w:sz="4" w:space="0" w:color="auto"/>
            </w:tcBorders>
            <w:shd w:val="clear" w:color="auto" w:fill="FFFFFF"/>
          </w:tcPr>
          <w:p w14:paraId="6559F4D2"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81" w:firstLine="0"/>
              <w:jc w:val="both"/>
              <w:outlineLvl w:val="0"/>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փոփոխությամբ պահանջվում է կենսաբանական (իմունաբանական) դեղապատրաստուկի համադրելիության վերլուծություն, կամ սերիայի չափի փոփոխությամբ պահանջվում է կենսահամարժեքության նոր հետազոտություն</w:t>
            </w:r>
          </w:p>
        </w:tc>
        <w:tc>
          <w:tcPr>
            <w:tcW w:w="1701" w:type="dxa"/>
            <w:gridSpan w:val="4"/>
            <w:tcBorders>
              <w:top w:val="single" w:sz="4" w:space="0" w:color="auto"/>
              <w:left w:val="single" w:sz="4" w:space="0" w:color="auto"/>
            </w:tcBorders>
            <w:shd w:val="clear" w:color="auto" w:fill="FFFFFF"/>
          </w:tcPr>
          <w:p w14:paraId="47120291"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18F94C32"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2EECD3A3"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II</w:t>
            </w:r>
          </w:p>
        </w:tc>
      </w:tr>
      <w:tr w:rsidR="008C76E0" w:rsidRPr="003B2786" w14:paraId="24BB497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8F12DE5"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81" w:firstLine="0"/>
              <w:jc w:val="both"/>
              <w:outlineLvl w:val="0"/>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փոփոխությունը վերաբերում է արտադրության համալիր գործընթացներով արտադրված մնացած բոլոր դեղաձ</w:t>
            </w:r>
            <w:r w:rsidR="00C54D75">
              <w:rPr>
                <w:rStyle w:val="Bodytext1811pt"/>
                <w:rFonts w:ascii="Sylfaen" w:hAnsi="Sylfaen"/>
                <w:sz w:val="24"/>
                <w:szCs w:val="24"/>
              </w:rPr>
              <w:t>և</w:t>
            </w:r>
            <w:r w:rsidRPr="003B2786">
              <w:rPr>
                <w:rStyle w:val="Bodytext1811pt"/>
                <w:rFonts w:ascii="Sylfaen" w:hAnsi="Sylfaen"/>
                <w:sz w:val="24"/>
                <w:szCs w:val="24"/>
              </w:rPr>
              <w:t>երին</w:t>
            </w:r>
          </w:p>
        </w:tc>
        <w:tc>
          <w:tcPr>
            <w:tcW w:w="1701" w:type="dxa"/>
            <w:gridSpan w:val="4"/>
            <w:tcBorders>
              <w:top w:val="single" w:sz="4" w:space="0" w:color="auto"/>
              <w:left w:val="single" w:sz="4" w:space="0" w:color="auto"/>
            </w:tcBorders>
            <w:shd w:val="clear" w:color="auto" w:fill="FFFFFF"/>
          </w:tcPr>
          <w:p w14:paraId="777A7006"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F287B1C"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3F07AE6C"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II</w:t>
            </w:r>
          </w:p>
        </w:tc>
      </w:tr>
      <w:tr w:rsidR="008C76E0" w:rsidRPr="003B2786" w14:paraId="6277A19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FFF1B99"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81" w:firstLine="0"/>
              <w:jc w:val="both"/>
              <w:outlineLvl w:val="0"/>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արագ ձերբազատմամբ (ներքին ընդունման համար) դեղաձ</w:t>
            </w:r>
            <w:r w:rsidR="00C54D75">
              <w:rPr>
                <w:rStyle w:val="Bodytext1811pt"/>
                <w:rFonts w:ascii="Sylfaen" w:hAnsi="Sylfaen"/>
                <w:sz w:val="24"/>
                <w:szCs w:val="24"/>
              </w:rPr>
              <w:t>և</w:t>
            </w:r>
            <w:r w:rsidRPr="003B2786">
              <w:rPr>
                <w:rStyle w:val="Bodytext1811pt"/>
                <w:rFonts w:ascii="Sylfaen" w:hAnsi="Sylfaen"/>
                <w:sz w:val="24"/>
                <w:szCs w:val="24"/>
              </w:rPr>
              <w:t>երի սերիայի հաստատված չափի համեմատությամբ՝ առնվազն 10 անգամ խոշորացում</w:t>
            </w:r>
          </w:p>
        </w:tc>
        <w:tc>
          <w:tcPr>
            <w:tcW w:w="1701" w:type="dxa"/>
            <w:gridSpan w:val="4"/>
            <w:tcBorders>
              <w:top w:val="single" w:sz="4" w:space="0" w:color="auto"/>
              <w:left w:val="single" w:sz="4" w:space="0" w:color="auto"/>
            </w:tcBorders>
            <w:shd w:val="clear" w:color="auto" w:fill="FFFFFF"/>
          </w:tcPr>
          <w:p w14:paraId="38D29898"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234DB29"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1, 2, 3, 4, 5, 6</w:t>
            </w:r>
          </w:p>
        </w:tc>
        <w:tc>
          <w:tcPr>
            <w:tcW w:w="1719" w:type="dxa"/>
            <w:gridSpan w:val="3"/>
            <w:tcBorders>
              <w:top w:val="single" w:sz="4" w:space="0" w:color="auto"/>
              <w:left w:val="single" w:sz="4" w:space="0" w:color="auto"/>
              <w:right w:val="single" w:sz="4" w:space="0" w:color="auto"/>
            </w:tcBorders>
            <w:shd w:val="clear" w:color="auto" w:fill="FFFFFF"/>
          </w:tcPr>
          <w:p w14:paraId="40C86280"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IB</w:t>
            </w:r>
          </w:p>
        </w:tc>
      </w:tr>
      <w:tr w:rsidR="008C76E0" w:rsidRPr="003B2786" w14:paraId="6E5DACA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27F0D93"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81" w:firstLine="0"/>
              <w:jc w:val="both"/>
              <w:outlineLvl w:val="0"/>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կենսաբանական (իմունաբանական) արտադրության մասշտաբը մեծացել է (փոքրացել է)՝ առանց արտադրության գործընթացի փոփոխության (օրինակ՝ հոսքագծի կրկնօրինակումը)</w:t>
            </w:r>
          </w:p>
        </w:tc>
        <w:tc>
          <w:tcPr>
            <w:tcW w:w="1701" w:type="dxa"/>
            <w:gridSpan w:val="4"/>
            <w:tcBorders>
              <w:top w:val="single" w:sz="4" w:space="0" w:color="auto"/>
              <w:left w:val="single" w:sz="4" w:space="0" w:color="auto"/>
            </w:tcBorders>
            <w:shd w:val="clear" w:color="auto" w:fill="FFFFFF"/>
          </w:tcPr>
          <w:p w14:paraId="7F389392"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88239B5"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1, 2, 3, 4, 5, 6</w:t>
            </w:r>
          </w:p>
        </w:tc>
        <w:tc>
          <w:tcPr>
            <w:tcW w:w="1719" w:type="dxa"/>
            <w:gridSpan w:val="3"/>
            <w:tcBorders>
              <w:top w:val="single" w:sz="4" w:space="0" w:color="auto"/>
              <w:left w:val="single" w:sz="4" w:space="0" w:color="auto"/>
              <w:right w:val="single" w:sz="4" w:space="0" w:color="auto"/>
            </w:tcBorders>
            <w:shd w:val="clear" w:color="auto" w:fill="FFFFFF"/>
          </w:tcPr>
          <w:p w14:paraId="76EC9D5B"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IB</w:t>
            </w:r>
          </w:p>
        </w:tc>
      </w:tr>
      <w:tr w:rsidR="008C76E0" w:rsidRPr="003B2786" w14:paraId="329EE4C4"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1AB4B75E"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Պայմանները</w:t>
            </w:r>
          </w:p>
          <w:p w14:paraId="21EB5602"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Փոփոխությունը չի ազդում դեղապատրաստուկի որակի վերարտադրելիության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հաստատունության վրա։</w:t>
            </w:r>
          </w:p>
          <w:p w14:paraId="5C4F61CB"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վերաբերում է արագ ձերբազատմամբ ներքին ընդունման ստանդարտ դեղաձ</w:t>
            </w:r>
            <w:r w:rsidR="00C54D75">
              <w:rPr>
                <w:rStyle w:val="Bodytext1811pt"/>
                <w:rFonts w:ascii="Sylfaen" w:hAnsi="Sylfaen"/>
                <w:sz w:val="24"/>
                <w:szCs w:val="24"/>
              </w:rPr>
              <w:t>և</w:t>
            </w:r>
            <w:r w:rsidRPr="003B2786">
              <w:rPr>
                <w:rStyle w:val="Bodytext1811pt"/>
                <w:rFonts w:ascii="Sylfaen" w:hAnsi="Sylfaen"/>
                <w:sz w:val="24"/>
                <w:szCs w:val="24"/>
              </w:rPr>
              <w:t>երին կամ ոչ մանրէազերծ հեղուկ դեղաձ</w:t>
            </w:r>
            <w:r w:rsidR="00C54D75">
              <w:rPr>
                <w:rStyle w:val="Bodytext1811pt"/>
                <w:rFonts w:ascii="Sylfaen" w:hAnsi="Sylfaen"/>
                <w:sz w:val="24"/>
                <w:szCs w:val="24"/>
              </w:rPr>
              <w:t>և</w:t>
            </w:r>
            <w:r w:rsidRPr="003B2786">
              <w:rPr>
                <w:rStyle w:val="Bodytext1811pt"/>
                <w:rFonts w:ascii="Sylfaen" w:hAnsi="Sylfaen"/>
                <w:sz w:val="24"/>
                <w:szCs w:val="24"/>
              </w:rPr>
              <w:t>երին։</w:t>
            </w:r>
          </w:p>
          <w:p w14:paraId="6C678521"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Արտադրության մեթոդների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ներարտադրական հսկման միջոցառումների ցանկացած փոփոխություն անհրաժեշտ է միայն սերիայի չափի փոփոխության համար, օրինակ՝ այլ չափ ունեցող սարքավորման օգտագործումը։</w:t>
            </w:r>
          </w:p>
          <w:p w14:paraId="5A6B41C4"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Առկա է վալիդացման սխեման, կամ ընթացիկ արձանագրությանը համապատասխան՝ հաջողությամբ իրականացվել է նոր չափերով առնվազն 3 արդյունաբերական սերիայի արտադրության վալիդացում՝ կիրառելի պահանջներին համապատասխան։</w:t>
            </w:r>
          </w:p>
          <w:p w14:paraId="5FC6E2EE"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Դիտարկվող դեղապատրաստուկը կենսաբանական (իմունաբանական) չէ։</w:t>
            </w:r>
          </w:p>
          <w:p w14:paraId="6BFC9F6C"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Փոփոխությունը չպետք է լինի արտադրության ընթացքում առաջ եկող </w:t>
            </w:r>
            <w:r w:rsidRPr="003B2786">
              <w:rPr>
                <w:rStyle w:val="Bodytext1811pt"/>
                <w:rFonts w:ascii="Sylfaen" w:hAnsi="Sylfaen"/>
                <w:sz w:val="24"/>
                <w:szCs w:val="24"/>
              </w:rPr>
              <w:lastRenderedPageBreak/>
              <w:t>անկանխատեսելի իրավիճակների կամ կայունության փոփոխության հետ</w:t>
            </w:r>
            <w:r w:rsidR="00C54D75">
              <w:rPr>
                <w:rStyle w:val="Bodytext1811pt"/>
                <w:rFonts w:ascii="Sylfaen" w:hAnsi="Sylfaen"/>
                <w:sz w:val="24"/>
                <w:szCs w:val="24"/>
              </w:rPr>
              <w:t>և</w:t>
            </w:r>
            <w:r w:rsidRPr="003B2786">
              <w:rPr>
                <w:rStyle w:val="Bodytext1811pt"/>
                <w:rFonts w:ascii="Sylfaen" w:hAnsi="Sylfaen"/>
                <w:sz w:val="24"/>
                <w:szCs w:val="24"/>
              </w:rPr>
              <w:t>անք։</w:t>
            </w:r>
          </w:p>
          <w:p w14:paraId="557CDFB4"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Սերիայի չափը համապատասխանում է 10-ապատիկ տիրույթին, որը նախատեսված է գրանցման ընթացքում կամ IA տիպի փոփոխություն չհանդիսացող հետագա փոփոխությունից հետո։</w:t>
            </w:r>
          </w:p>
        </w:tc>
      </w:tr>
      <w:tr w:rsidR="008C76E0" w:rsidRPr="003B2786" w14:paraId="5E9A6C4F"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tcPr>
          <w:p w14:paraId="14BB0E05"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67158EFC"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411B4A17"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Սերիաների՝ գրանցված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չափերով արտադրված առնվազն մեկ արդյունաբերական սերիայի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 Հարցման հիման վրա՝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երկու ամբողջական արդյունաբերական սերիայի վերաբերյալ տվյալները. ԳՀ-ի իրավատերը պարտավոր է տեղեկացնել, եթե արդյունքները չեն համապատասխանում մասնագրին,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առաջարկել գործողությունների պլան։</w:t>
            </w:r>
          </w:p>
          <w:p w14:paraId="4EF62773"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Թողարկման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 հաստատված մասնագրերի օրինակները։</w:t>
            </w:r>
          </w:p>
          <w:p w14:paraId="54545179"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անհրաժեշտ է նշել սերիայի չափին </w:t>
            </w:r>
            <w:r w:rsidR="00C54D75">
              <w:rPr>
                <w:rStyle w:val="Bodytext1811pt"/>
                <w:rFonts w:ascii="Sylfaen" w:hAnsi="Sylfaen"/>
                <w:sz w:val="24"/>
                <w:szCs w:val="24"/>
              </w:rPr>
              <w:t>և</w:t>
            </w:r>
            <w:r w:rsidRPr="003B2786">
              <w:rPr>
                <w:rStyle w:val="Bodytext1811pt"/>
                <w:rFonts w:ascii="Sylfaen" w:hAnsi="Sylfaen"/>
                <w:sz w:val="24"/>
                <w:szCs w:val="24"/>
              </w:rPr>
              <w:t xml:space="preserve"> դրանց արտադրության ամսաթվին (&gt;3) համապատասխան վալիդացման հետազոտություններում օգտագործված սերիաների համարները կամ ներկայացնել վալիդացման արձանագրությունը (սխեման)։</w:t>
            </w:r>
          </w:p>
          <w:p w14:paraId="41C681F9"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Անհրաժեշտ է ներկայացնել վալիդացման արդյունքները։</w:t>
            </w:r>
          </w:p>
          <w:p w14:paraId="77750053" w14:textId="77777777" w:rsidR="008C76E0" w:rsidRPr="008C76E0" w:rsidRDefault="008C76E0" w:rsidP="008C76E0">
            <w:pPr>
              <w:pStyle w:val="Bodytext180"/>
              <w:keepNext/>
              <w:keepLines/>
              <w:shd w:val="clear" w:color="auto" w:fill="auto"/>
              <w:tabs>
                <w:tab w:val="left" w:pos="567"/>
              </w:tabs>
              <w:spacing w:before="0" w:after="120" w:line="240" w:lineRule="auto"/>
              <w:ind w:left="159" w:right="164" w:firstLine="0"/>
              <w:jc w:val="both"/>
              <w:outlineLvl w:val="0"/>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Միության փաստաթղթերին համապատասխան անցկացված՝ առնվազն 3 ամիս տ</w:t>
            </w:r>
            <w:r w:rsidR="00C54D75">
              <w:rPr>
                <w:rStyle w:val="Bodytext1811pt"/>
                <w:rFonts w:ascii="Sylfaen" w:hAnsi="Sylfaen"/>
                <w:sz w:val="24"/>
                <w:szCs w:val="24"/>
              </w:rPr>
              <w:t>և</w:t>
            </w:r>
            <w:r w:rsidRPr="003B2786">
              <w:rPr>
                <w:rStyle w:val="Bodytext1811pt"/>
                <w:rFonts w:ascii="Sylfaen" w:hAnsi="Sylfaen"/>
                <w:sz w:val="24"/>
                <w:szCs w:val="24"/>
              </w:rPr>
              <w:t xml:space="preserve">ողությամբ, առնվազն մեկ փորձարարական կամ արդյունաբերական սերիայի կայունության հետազոտությունների արդյունքները՝ ըստ էական պարամետրերի. հաստատումն այն բանի, որ այդպիսի հետազոտությունները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չհամապատասխանեն մասնագրերին կամ հնարավոր է, որ չհամապատասխանեն մասնագրերին՝ պիտանիության ժամկետի ավարտին, ապա դրանք գործողությունների պլանի հետ անմիջապես կներկայացվեն լիազորված մարմին։ Կենսաբանական (իմունաբանական) միջոցների առնչությամբ՝ հայտարարագիր այն մասին, որ համադրելիության գնահատում չի պահանջվում։</w:t>
            </w:r>
          </w:p>
        </w:tc>
      </w:tr>
      <w:tr w:rsidR="008C76E0" w:rsidRPr="003B2786" w14:paraId="16C4679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539EBC9" w14:textId="77777777" w:rsidR="008C76E0" w:rsidRPr="008C76E0" w:rsidRDefault="008C76E0" w:rsidP="008C76E0">
            <w:pPr>
              <w:pStyle w:val="Bodytext180"/>
              <w:keepNext/>
              <w:keepLines/>
              <w:shd w:val="clear" w:color="auto" w:fill="auto"/>
              <w:tabs>
                <w:tab w:val="left" w:pos="1143"/>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Բ.II.բ.5</w:t>
            </w:r>
            <w:r w:rsidRPr="003B2786">
              <w:rPr>
                <w:rStyle w:val="Bodytext1811pt"/>
                <w:rFonts w:ascii="Sylfaen" w:hAnsi="Sylfaen"/>
                <w:sz w:val="24"/>
                <w:szCs w:val="24"/>
              </w:rPr>
              <w:tab/>
              <w:t>Ներարտադրական փորձարկումների կամ դեղապատրաստուկի արտադրության ժամանակ օգտագործվող ընդունելիության չափանիշների փոփոխությունը</w:t>
            </w:r>
          </w:p>
        </w:tc>
        <w:tc>
          <w:tcPr>
            <w:tcW w:w="1701" w:type="dxa"/>
            <w:gridSpan w:val="4"/>
            <w:tcBorders>
              <w:top w:val="single" w:sz="4" w:space="0" w:color="auto"/>
              <w:left w:val="single" w:sz="4" w:space="0" w:color="auto"/>
            </w:tcBorders>
            <w:shd w:val="clear" w:color="auto" w:fill="FFFFFF"/>
          </w:tcPr>
          <w:p w14:paraId="7A177D18" w14:textId="77777777" w:rsidR="008C76E0" w:rsidRPr="003B2786" w:rsidRDefault="008C76E0" w:rsidP="008C76E0">
            <w:pPr>
              <w:pStyle w:val="Bodytext180"/>
              <w:keepNext/>
              <w:keepLines/>
              <w:shd w:val="clear" w:color="auto" w:fill="auto"/>
              <w:tabs>
                <w:tab w:val="left" w:pos="567"/>
              </w:tabs>
              <w:spacing w:before="0" w:after="120" w:line="240" w:lineRule="auto"/>
              <w:ind w:left="91" w:right="88" w:firstLine="0"/>
              <w:jc w:val="center"/>
              <w:outlineLvl w:val="0"/>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72270451" w14:textId="77777777" w:rsidR="008C76E0" w:rsidRPr="003B2786" w:rsidRDefault="008C76E0" w:rsidP="008C76E0">
            <w:pPr>
              <w:pStyle w:val="Bodytext180"/>
              <w:keepNext/>
              <w:keepLines/>
              <w:shd w:val="clear" w:color="auto" w:fill="auto"/>
              <w:tabs>
                <w:tab w:val="left" w:pos="567"/>
              </w:tabs>
              <w:spacing w:before="0" w:after="120" w:line="240" w:lineRule="auto"/>
              <w:ind w:left="-10" w:right="-10" w:firstLine="0"/>
              <w:jc w:val="center"/>
              <w:outlineLvl w:val="0"/>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5DDD8857" w14:textId="77777777" w:rsidR="008C76E0" w:rsidRPr="003B2786" w:rsidRDefault="008C76E0" w:rsidP="008C76E0">
            <w:pPr>
              <w:pStyle w:val="Bodytext180"/>
              <w:keepNext/>
              <w:keepLines/>
              <w:shd w:val="clear" w:color="auto" w:fill="auto"/>
              <w:tabs>
                <w:tab w:val="left" w:pos="567"/>
              </w:tabs>
              <w:spacing w:before="0" w:after="120" w:line="240" w:lineRule="auto"/>
              <w:ind w:left="39" w:right="83" w:firstLine="0"/>
              <w:jc w:val="center"/>
              <w:outlineLvl w:val="0"/>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82BCA5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7C7F577"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Ընդունելիության ներարտադրական չափանիշների խստացում</w:t>
            </w:r>
          </w:p>
        </w:tc>
        <w:tc>
          <w:tcPr>
            <w:tcW w:w="1701" w:type="dxa"/>
            <w:gridSpan w:val="4"/>
            <w:tcBorders>
              <w:top w:val="single" w:sz="4" w:space="0" w:color="auto"/>
              <w:left w:val="single" w:sz="4" w:space="0" w:color="auto"/>
            </w:tcBorders>
            <w:shd w:val="clear" w:color="auto" w:fill="FFFFFF"/>
          </w:tcPr>
          <w:p w14:paraId="1D207A46"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01FF9112"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1,2</w:t>
            </w:r>
          </w:p>
        </w:tc>
        <w:tc>
          <w:tcPr>
            <w:tcW w:w="1719" w:type="dxa"/>
            <w:gridSpan w:val="3"/>
            <w:tcBorders>
              <w:top w:val="single" w:sz="4" w:space="0" w:color="auto"/>
              <w:left w:val="single" w:sz="4" w:space="0" w:color="auto"/>
              <w:right w:val="single" w:sz="4" w:space="0" w:color="auto"/>
            </w:tcBorders>
            <w:shd w:val="clear" w:color="auto" w:fill="FFFFFF"/>
          </w:tcPr>
          <w:p w14:paraId="446D1783"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56C0734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2FF5775"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Նոր փորձարկումների կամ ընդունելիության չափանիշների ավելացում</w:t>
            </w:r>
          </w:p>
        </w:tc>
        <w:tc>
          <w:tcPr>
            <w:tcW w:w="1701" w:type="dxa"/>
            <w:gridSpan w:val="4"/>
            <w:tcBorders>
              <w:top w:val="single" w:sz="4" w:space="0" w:color="auto"/>
              <w:left w:val="single" w:sz="4" w:space="0" w:color="auto"/>
            </w:tcBorders>
            <w:shd w:val="clear" w:color="auto" w:fill="FFFFFF"/>
          </w:tcPr>
          <w:p w14:paraId="08CAFF25"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1, 2, 5, 6</w:t>
            </w:r>
          </w:p>
        </w:tc>
        <w:tc>
          <w:tcPr>
            <w:tcW w:w="1984" w:type="dxa"/>
            <w:gridSpan w:val="2"/>
            <w:tcBorders>
              <w:top w:val="single" w:sz="4" w:space="0" w:color="auto"/>
              <w:left w:val="single" w:sz="4" w:space="0" w:color="auto"/>
            </w:tcBorders>
            <w:shd w:val="clear" w:color="auto" w:fill="FFFFFF"/>
          </w:tcPr>
          <w:p w14:paraId="6EAAE789"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1, 2, 3, 4, 5, 7</w:t>
            </w:r>
          </w:p>
        </w:tc>
        <w:tc>
          <w:tcPr>
            <w:tcW w:w="1719" w:type="dxa"/>
            <w:gridSpan w:val="3"/>
            <w:tcBorders>
              <w:top w:val="single" w:sz="4" w:space="0" w:color="auto"/>
              <w:left w:val="single" w:sz="4" w:space="0" w:color="auto"/>
              <w:right w:val="single" w:sz="4" w:space="0" w:color="auto"/>
            </w:tcBorders>
            <w:shd w:val="clear" w:color="auto" w:fill="FFFFFF"/>
          </w:tcPr>
          <w:p w14:paraId="2D815C58"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082A26D3"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0129C45"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lastRenderedPageBreak/>
              <w:t>գ)</w:t>
            </w:r>
            <w:r w:rsidRPr="003B2786">
              <w:rPr>
                <w:rStyle w:val="Bodytext1811pt"/>
                <w:rFonts w:ascii="Sylfaen" w:hAnsi="Sylfaen"/>
                <w:sz w:val="24"/>
                <w:szCs w:val="24"/>
              </w:rPr>
              <w:tab/>
              <w:t>Ոչ էական ներարտադրական փորձարկման բացառում</w:t>
            </w:r>
          </w:p>
        </w:tc>
        <w:tc>
          <w:tcPr>
            <w:tcW w:w="1701" w:type="dxa"/>
            <w:gridSpan w:val="4"/>
            <w:tcBorders>
              <w:top w:val="single" w:sz="4" w:space="0" w:color="auto"/>
              <w:left w:val="single" w:sz="4" w:space="0" w:color="auto"/>
            </w:tcBorders>
            <w:shd w:val="clear" w:color="auto" w:fill="FFFFFF"/>
          </w:tcPr>
          <w:p w14:paraId="5501CF1E"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1, 2, 7</w:t>
            </w:r>
          </w:p>
        </w:tc>
        <w:tc>
          <w:tcPr>
            <w:tcW w:w="1984" w:type="dxa"/>
            <w:gridSpan w:val="2"/>
            <w:tcBorders>
              <w:top w:val="single" w:sz="4" w:space="0" w:color="auto"/>
              <w:left w:val="single" w:sz="4" w:space="0" w:color="auto"/>
            </w:tcBorders>
            <w:shd w:val="clear" w:color="auto" w:fill="FFFFFF"/>
          </w:tcPr>
          <w:p w14:paraId="417399C0"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1, 2, 6</w:t>
            </w:r>
          </w:p>
        </w:tc>
        <w:tc>
          <w:tcPr>
            <w:tcW w:w="1719" w:type="dxa"/>
            <w:gridSpan w:val="3"/>
            <w:tcBorders>
              <w:top w:val="single" w:sz="4" w:space="0" w:color="auto"/>
              <w:left w:val="single" w:sz="4" w:space="0" w:color="auto"/>
              <w:right w:val="single" w:sz="4" w:space="0" w:color="auto"/>
            </w:tcBorders>
            <w:shd w:val="clear" w:color="auto" w:fill="FFFFFF"/>
          </w:tcPr>
          <w:p w14:paraId="0ADE2B27"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5880276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4203435"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Ներարտադրական փորձարկման բացառում, որը կարող է էապես ազդել դեղապատրաստուկի ընդհանուր որակի վրա</w:t>
            </w:r>
          </w:p>
        </w:tc>
        <w:tc>
          <w:tcPr>
            <w:tcW w:w="1701" w:type="dxa"/>
            <w:gridSpan w:val="4"/>
            <w:tcBorders>
              <w:top w:val="single" w:sz="4" w:space="0" w:color="auto"/>
              <w:left w:val="single" w:sz="4" w:space="0" w:color="auto"/>
            </w:tcBorders>
            <w:shd w:val="clear" w:color="auto" w:fill="FFFFFF"/>
          </w:tcPr>
          <w:p w14:paraId="727FC0FF"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A1BFE7C"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0EFE9AAA"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II</w:t>
            </w:r>
          </w:p>
        </w:tc>
      </w:tr>
      <w:tr w:rsidR="008C76E0" w:rsidRPr="003B2786" w14:paraId="2D3B6C5B"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774645F"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Ընդունելիության հաստատված ներարտադրական չափանիշների ընդլայնում, որոնք կարող են էապես ազդել դեղապատրաստուկի ընդհանուր որակի վրա</w:t>
            </w:r>
          </w:p>
        </w:tc>
        <w:tc>
          <w:tcPr>
            <w:tcW w:w="1701" w:type="dxa"/>
            <w:gridSpan w:val="4"/>
            <w:tcBorders>
              <w:top w:val="single" w:sz="4" w:space="0" w:color="auto"/>
              <w:left w:val="single" w:sz="4" w:space="0" w:color="auto"/>
            </w:tcBorders>
            <w:shd w:val="clear" w:color="auto" w:fill="FFFFFF"/>
          </w:tcPr>
          <w:p w14:paraId="573B7510"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1F06DDE0"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657AA5E7"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II</w:t>
            </w:r>
          </w:p>
        </w:tc>
      </w:tr>
      <w:tr w:rsidR="008C76E0" w:rsidRPr="003B2786" w14:paraId="6752F41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BB8A5F0"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Ներարտադրական փորձարկումների ավելացում կամ փոխարինում՝ ելնելով անվտանգության կամ որակի նկատառումներից</w:t>
            </w:r>
          </w:p>
        </w:tc>
        <w:tc>
          <w:tcPr>
            <w:tcW w:w="1701" w:type="dxa"/>
            <w:gridSpan w:val="4"/>
            <w:tcBorders>
              <w:top w:val="single" w:sz="4" w:space="0" w:color="auto"/>
              <w:left w:val="single" w:sz="4" w:space="0" w:color="auto"/>
            </w:tcBorders>
            <w:shd w:val="clear" w:color="auto" w:fill="FFFFFF"/>
          </w:tcPr>
          <w:p w14:paraId="55C2E1F2"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062E120"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1, 2, 3, 4, 5, 7</w:t>
            </w:r>
          </w:p>
        </w:tc>
        <w:tc>
          <w:tcPr>
            <w:tcW w:w="1719" w:type="dxa"/>
            <w:gridSpan w:val="3"/>
            <w:tcBorders>
              <w:top w:val="single" w:sz="4" w:space="0" w:color="auto"/>
              <w:left w:val="single" w:sz="4" w:space="0" w:color="auto"/>
              <w:right w:val="single" w:sz="4" w:space="0" w:color="auto"/>
            </w:tcBorders>
            <w:shd w:val="clear" w:color="auto" w:fill="FFFFFF"/>
          </w:tcPr>
          <w:p w14:paraId="5C6344CA"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center"/>
              <w:outlineLvl w:val="0"/>
              <w:rPr>
                <w:rFonts w:ascii="Sylfaen" w:hAnsi="Sylfaen"/>
                <w:b w:val="0"/>
                <w:sz w:val="24"/>
                <w:szCs w:val="24"/>
              </w:rPr>
            </w:pPr>
            <w:r w:rsidRPr="003B2786">
              <w:rPr>
                <w:rStyle w:val="Bodytext1811pt"/>
                <w:rFonts w:ascii="Sylfaen" w:hAnsi="Sylfaen"/>
                <w:sz w:val="24"/>
                <w:szCs w:val="24"/>
              </w:rPr>
              <w:t>IB</w:t>
            </w:r>
          </w:p>
        </w:tc>
      </w:tr>
      <w:tr w:rsidR="008C76E0" w:rsidRPr="003B2786" w14:paraId="7BA86CB9"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46BEA9A"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Պայմանները</w:t>
            </w:r>
          </w:p>
          <w:p w14:paraId="6B140FA0"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Փոփոխությունը մասնագրի ընդունելիության չափանիշների վերլուծության նպատակով նախկինում կատարված փորձաքննությունների արդյունքներով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անք չէ (օրինակ՝ գրանցելիս կամ II տիպի փոփոխություն կատարելիս):</w:t>
            </w:r>
          </w:p>
        </w:tc>
      </w:tr>
      <w:tr w:rsidR="008C76E0" w:rsidRPr="003B2786" w14:paraId="28B62F81"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0760024D"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Փոփոխությունն արտադրության ընթացքում առաջ եկած անկանխատեսելի իրավիճակների հետ</w:t>
            </w:r>
            <w:r w:rsidR="00C54D75">
              <w:rPr>
                <w:rStyle w:val="Bodytext1811pt"/>
                <w:rFonts w:ascii="Sylfaen" w:hAnsi="Sylfaen"/>
                <w:sz w:val="24"/>
                <w:szCs w:val="24"/>
              </w:rPr>
              <w:t>և</w:t>
            </w:r>
            <w:r w:rsidRPr="003B2786">
              <w:rPr>
                <w:rStyle w:val="Bodytext1811pt"/>
                <w:rFonts w:ascii="Sylfaen" w:hAnsi="Sylfaen"/>
                <w:sz w:val="24"/>
                <w:szCs w:val="24"/>
              </w:rPr>
              <w:t>անք չէ, օրինակ՝ նոր չորակված խառնուկը, խառնուկների միագումարի պարունակության սահմանների փոփոխությունը:</w:t>
            </w:r>
          </w:p>
          <w:p w14:paraId="0944F8A7"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համապատասխանի ընդունելիության ընթացիկ հաստատված չափանիշների տիրույթին:</w:t>
            </w:r>
          </w:p>
          <w:p w14:paraId="3603C662"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49DE5B6B"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նորովի օգտագործվող ստանդարտ մեթոդաբանության վրա:</w:t>
            </w:r>
          </w:p>
          <w:p w14:paraId="7265EC16"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որի դեպքում կենսաբանորեն ակտիվ դեղագործական բաղադրամասի համար օգտագործվում է կենսաբանական ռեակտիվ (բացառությամբ ստանդարտ դեղագրքային միկրոկենսաբանական մեթոդների):</w:t>
            </w:r>
          </w:p>
          <w:p w14:paraId="4B1F0E7D"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Ներարտադրական փորձարկումը չի վերաբերում կրիտիկական չափանիշների հսկողությանը, օրինակ՝</w:t>
            </w:r>
          </w:p>
          <w:p w14:paraId="017BAD0D" w14:textId="77777777" w:rsidR="008C76E0" w:rsidRPr="003B2786"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Style w:val="Bodytext1811pt"/>
                <w:rFonts w:ascii="Sylfaen" w:hAnsi="Sylfaen"/>
                <w:sz w:val="24"/>
                <w:szCs w:val="24"/>
              </w:rPr>
            </w:pPr>
            <w:r w:rsidRPr="003B2786">
              <w:rPr>
                <w:rStyle w:val="Bodytext1811pt"/>
                <w:rFonts w:ascii="Sylfaen" w:hAnsi="Sylfaen"/>
                <w:sz w:val="24"/>
                <w:szCs w:val="24"/>
              </w:rPr>
              <w:t xml:space="preserve">խառնուկի քանակական որոշմանը (միայն այն դեպքում, երբ արտադրության մեջ որոշակի լուծույթ միանշանակ չի օգտագործվում), ցանկացած կրիտիկական ֆիզիկական բնութագրին (մասնիկների չափերին, խտացումից առաջ </w:t>
            </w:r>
            <w:r w:rsidR="00C54D75">
              <w:rPr>
                <w:rStyle w:val="Bodytext1811pt"/>
                <w:rFonts w:ascii="Sylfaen" w:hAnsi="Sylfaen"/>
                <w:sz w:val="24"/>
                <w:szCs w:val="24"/>
              </w:rPr>
              <w:t>և</w:t>
            </w:r>
            <w:r w:rsidRPr="003B2786">
              <w:rPr>
                <w:rStyle w:val="Bodytext1811pt"/>
                <w:rFonts w:ascii="Sylfaen" w:hAnsi="Sylfaen"/>
                <w:sz w:val="24"/>
                <w:szCs w:val="24"/>
              </w:rPr>
              <w:t xml:space="preserve"> հետո լցման խտությանը </w:t>
            </w:r>
            <w:r w:rsidR="00C54D75">
              <w:rPr>
                <w:rStyle w:val="Bodytext1811pt"/>
                <w:rFonts w:ascii="Sylfaen" w:hAnsi="Sylfaen"/>
                <w:sz w:val="24"/>
                <w:szCs w:val="24"/>
              </w:rPr>
              <w:t>և</w:t>
            </w:r>
            <w:r w:rsidRPr="003B2786">
              <w:rPr>
                <w:rStyle w:val="Bodytext1811pt"/>
                <w:rFonts w:ascii="Sylfaen" w:hAnsi="Sylfaen"/>
                <w:sz w:val="24"/>
                <w:szCs w:val="24"/>
              </w:rPr>
              <w:t xml:space="preserve"> այլն), իսկության փորձարկմանը (համապատասխան այլընտրանքային հսկողության բացակայության դեպքում), միկրոկենսաբանական հսկողությանը (միայն այն դեպքում, երբ </w:t>
            </w:r>
            <w:r w:rsidRPr="003B2786">
              <w:rPr>
                <w:rStyle w:val="Bodytext1811pt"/>
                <w:rFonts w:ascii="Sylfaen" w:hAnsi="Sylfaen"/>
                <w:sz w:val="24"/>
                <w:szCs w:val="24"/>
              </w:rPr>
              <w:lastRenderedPageBreak/>
              <w:t>այն չի պահանջվում որոշակի դեղաձ</w:t>
            </w:r>
            <w:r w:rsidR="00C54D75">
              <w:rPr>
                <w:rStyle w:val="Bodytext1811pt"/>
                <w:rFonts w:ascii="Sylfaen" w:hAnsi="Sylfaen"/>
                <w:sz w:val="24"/>
                <w:szCs w:val="24"/>
              </w:rPr>
              <w:t>և</w:t>
            </w:r>
            <w:r w:rsidRPr="003B2786">
              <w:rPr>
                <w:rStyle w:val="Bodytext1811pt"/>
                <w:rFonts w:ascii="Sylfaen" w:hAnsi="Sylfaen"/>
                <w:sz w:val="24"/>
                <w:szCs w:val="24"/>
              </w:rPr>
              <w:t>ի համար)</w:t>
            </w:r>
          </w:p>
          <w:p w14:paraId="00AA84D2"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p>
        </w:tc>
      </w:tr>
      <w:tr w:rsidR="008C76E0" w:rsidRPr="003B2786" w14:paraId="46169DBD"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0492437"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40FF33F3"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1978CAF8"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ներարտադրական փորձարկումների ու ընդունելիության չափանիշների համեմատական աղյուսակը։</w:t>
            </w:r>
          </w:p>
          <w:p w14:paraId="4A0F4FD4"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Նոր վերլուծական մեթոդիկայի մանրամասն նկարագրությունը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տվյալները (համապատասխան դեպքերում):</w:t>
            </w:r>
          </w:p>
          <w:p w14:paraId="487659A6"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Մասնագրի բոլոր պարամետրերով դեղապատրաստուկի երկու արդյունաբերական սերիաների վերլուծության տվյալները (կենսաբանորեն ակտիվ դեղագործական բաղադրամասերի համար պատշաճ հիմնավորման բացակայության դեպքում՝ երեք սերիա):</w:t>
            </w:r>
          </w:p>
          <w:p w14:paraId="7F5A02C7"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նոր ներարտադրական փորձարկումների օգտագործմամբ արտադրված, առնվազն 1 փորձարարաարդյունաբերական սերիայի նկատմամբ դեղապատրաստուկի լուծելիության պրոֆիլի համեմատական տվյալները։ Բուսական դեղապատրաստուկների առնչությամբ կարող են բավարար լինել համեմատական տրոհման տվյալները:</w:t>
            </w:r>
          </w:p>
          <w:p w14:paraId="3B298574"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Ներարտադրական փորձարկման ոչ էական կամ հնացած լինելու հանգամանքը հաստատող հիմնավորումը (ռիսկերի գնահատումը):</w:t>
            </w:r>
          </w:p>
          <w:p w14:paraId="42F1820A" w14:textId="77777777" w:rsidR="008C76E0" w:rsidRPr="008C76E0" w:rsidRDefault="008C76E0" w:rsidP="008C76E0">
            <w:pPr>
              <w:pStyle w:val="Bodytext180"/>
              <w:keepNext/>
              <w:keepLines/>
              <w:shd w:val="clear" w:color="auto" w:fill="auto"/>
              <w:tabs>
                <w:tab w:val="left" w:pos="567"/>
              </w:tabs>
              <w:spacing w:before="0" w:after="120" w:line="240" w:lineRule="auto"/>
              <w:ind w:left="158" w:right="164" w:firstLine="0"/>
              <w:jc w:val="both"/>
              <w:outlineLvl w:val="0"/>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 xml:space="preserve">Նոր ներարտադրական փորձարկման </w:t>
            </w:r>
            <w:r w:rsidR="00C54D75">
              <w:rPr>
                <w:rStyle w:val="Bodytext1811pt"/>
                <w:rFonts w:ascii="Sylfaen" w:hAnsi="Sylfaen"/>
                <w:sz w:val="24"/>
                <w:szCs w:val="24"/>
              </w:rPr>
              <w:t>և</w:t>
            </w:r>
            <w:r w:rsidRPr="003B2786">
              <w:rPr>
                <w:rStyle w:val="Bodytext1811pt"/>
                <w:rFonts w:ascii="Sylfaen" w:hAnsi="Sylfaen"/>
                <w:sz w:val="24"/>
                <w:szCs w:val="24"/>
              </w:rPr>
              <w:t xml:space="preserve"> ընդունելիության չափանիշների հիմնավորումը։</w:t>
            </w:r>
          </w:p>
        </w:tc>
      </w:tr>
      <w:tr w:rsidR="008C76E0" w:rsidRPr="003B2786" w14:paraId="706456E5" w14:textId="77777777" w:rsidTr="008C76E0">
        <w:trPr>
          <w:jc w:val="center"/>
        </w:trPr>
        <w:tc>
          <w:tcPr>
            <w:tcW w:w="10401" w:type="dxa"/>
            <w:gridSpan w:val="15"/>
            <w:tcBorders>
              <w:top w:val="single" w:sz="4" w:space="0" w:color="auto"/>
            </w:tcBorders>
            <w:shd w:val="clear" w:color="auto" w:fill="FFFFFF"/>
            <w:vAlign w:val="bottom"/>
          </w:tcPr>
          <w:p w14:paraId="6CAE28E9" w14:textId="77777777" w:rsidR="008C76E0" w:rsidRPr="008C76E0" w:rsidRDefault="008C76E0" w:rsidP="008C76E0">
            <w:pPr>
              <w:pStyle w:val="Bodytext180"/>
              <w:keepNext/>
              <w:keepLines/>
              <w:shd w:val="clear" w:color="auto" w:fill="auto"/>
              <w:tabs>
                <w:tab w:val="left" w:pos="1103"/>
              </w:tabs>
              <w:spacing w:before="0" w:after="120" w:line="240" w:lineRule="auto"/>
              <w:ind w:left="109" w:right="-1" w:firstLine="0"/>
              <w:jc w:val="both"/>
              <w:outlineLvl w:val="0"/>
              <w:rPr>
                <w:rFonts w:ascii="Sylfaen" w:hAnsi="Sylfaen"/>
                <w:b w:val="0"/>
                <w:sz w:val="24"/>
                <w:szCs w:val="24"/>
                <w:lang w:val="hy-AM"/>
              </w:rPr>
            </w:pPr>
            <w:r w:rsidRPr="003B2786">
              <w:rPr>
                <w:rStyle w:val="Bodytext1812pt"/>
                <w:rFonts w:ascii="Sylfaen" w:hAnsi="Sylfaen"/>
              </w:rPr>
              <w:t>Բ.II.գ.)</w:t>
            </w:r>
            <w:r w:rsidRPr="003B2786">
              <w:rPr>
                <w:rStyle w:val="Bodytext1812pt"/>
                <w:rFonts w:ascii="Sylfaen" w:hAnsi="Sylfaen"/>
              </w:rPr>
              <w:tab/>
              <w:t>Օժանդակ նյութերի որակի հսկողությունը</w:t>
            </w:r>
          </w:p>
        </w:tc>
      </w:tr>
      <w:tr w:rsidR="008C76E0" w:rsidRPr="003B2786" w14:paraId="6AC3E67A"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46690E4" w14:textId="77777777" w:rsidR="008C76E0" w:rsidRPr="008C76E0" w:rsidRDefault="008C76E0" w:rsidP="008C76E0">
            <w:pPr>
              <w:pStyle w:val="Bodytext180"/>
              <w:keepNext/>
              <w:keepLines/>
              <w:shd w:val="clear" w:color="auto" w:fill="auto"/>
              <w:tabs>
                <w:tab w:val="left" w:pos="1133"/>
              </w:tabs>
              <w:spacing w:before="0" w:after="120" w:line="240" w:lineRule="auto"/>
              <w:ind w:left="158" w:right="201" w:firstLine="0"/>
              <w:jc w:val="both"/>
              <w:outlineLvl w:val="0"/>
              <w:rPr>
                <w:rFonts w:ascii="Sylfaen" w:hAnsi="Sylfaen"/>
                <w:b w:val="0"/>
                <w:sz w:val="24"/>
                <w:szCs w:val="24"/>
                <w:lang w:val="hy-AM"/>
              </w:rPr>
            </w:pPr>
            <w:r w:rsidRPr="003B2786">
              <w:rPr>
                <w:rStyle w:val="Bodytext1811pt"/>
                <w:rFonts w:ascii="Sylfaen" w:hAnsi="Sylfaen"/>
                <w:sz w:val="24"/>
                <w:szCs w:val="24"/>
              </w:rPr>
              <w:t>Բ.II.գ. 1</w:t>
            </w:r>
            <w:r w:rsidRPr="003B2786">
              <w:rPr>
                <w:rStyle w:val="Bodytext1811pt"/>
                <w:rFonts w:ascii="Sylfaen" w:hAnsi="Sylfaen"/>
                <w:sz w:val="24"/>
                <w:szCs w:val="24"/>
              </w:rPr>
              <w:tab/>
              <w:t xml:space="preserve">Օժանդակ նյութի մասնագրերի պարամետրերի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ընդունելիության չափանիշների փոփոխությունը </w:t>
            </w:r>
          </w:p>
        </w:tc>
        <w:tc>
          <w:tcPr>
            <w:tcW w:w="1701" w:type="dxa"/>
            <w:gridSpan w:val="4"/>
            <w:tcBorders>
              <w:top w:val="single" w:sz="4" w:space="0" w:color="auto"/>
              <w:left w:val="single" w:sz="4" w:space="0" w:color="auto"/>
            </w:tcBorders>
            <w:shd w:val="clear" w:color="auto" w:fill="FFFFFF"/>
          </w:tcPr>
          <w:p w14:paraId="7DD164D9"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516D9DB"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38B09EAB"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71FB09B"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86DC6C9" w14:textId="77777777" w:rsidR="008C76E0" w:rsidRPr="008C76E0" w:rsidRDefault="008C76E0" w:rsidP="008C76E0">
            <w:pPr>
              <w:pStyle w:val="Bodytext180"/>
              <w:keepNext/>
              <w:keepLines/>
              <w:shd w:val="clear" w:color="auto" w:fill="auto"/>
              <w:tabs>
                <w:tab w:val="left" w:pos="567"/>
              </w:tabs>
              <w:spacing w:before="0" w:after="120" w:line="240" w:lineRule="auto"/>
              <w:ind w:left="158" w:right="201" w:firstLine="0"/>
              <w:jc w:val="both"/>
              <w:outlineLvl w:val="0"/>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Մասնագրի ընդունելիության չափանիշների խստացում</w:t>
            </w:r>
          </w:p>
        </w:tc>
        <w:tc>
          <w:tcPr>
            <w:tcW w:w="1701" w:type="dxa"/>
            <w:gridSpan w:val="4"/>
            <w:tcBorders>
              <w:top w:val="single" w:sz="4" w:space="0" w:color="auto"/>
              <w:left w:val="single" w:sz="4" w:space="0" w:color="auto"/>
            </w:tcBorders>
            <w:shd w:val="clear" w:color="auto" w:fill="FFFFFF"/>
          </w:tcPr>
          <w:p w14:paraId="266FFF83"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2pt"/>
                <w:rFonts w:ascii="Sylfaen" w:hAnsi="Sylfaen"/>
              </w:rPr>
              <w:t>1,2, 3,4</w:t>
            </w:r>
          </w:p>
        </w:tc>
        <w:tc>
          <w:tcPr>
            <w:tcW w:w="1984" w:type="dxa"/>
            <w:gridSpan w:val="2"/>
            <w:tcBorders>
              <w:top w:val="single" w:sz="4" w:space="0" w:color="auto"/>
              <w:left w:val="single" w:sz="4" w:space="0" w:color="auto"/>
            </w:tcBorders>
            <w:shd w:val="clear" w:color="auto" w:fill="FFFFFF"/>
          </w:tcPr>
          <w:p w14:paraId="31AA0D0C"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1,2</w:t>
            </w:r>
          </w:p>
        </w:tc>
        <w:tc>
          <w:tcPr>
            <w:tcW w:w="1719" w:type="dxa"/>
            <w:gridSpan w:val="3"/>
            <w:tcBorders>
              <w:top w:val="single" w:sz="4" w:space="0" w:color="auto"/>
              <w:left w:val="single" w:sz="4" w:space="0" w:color="auto"/>
              <w:right w:val="single" w:sz="4" w:space="0" w:color="auto"/>
            </w:tcBorders>
            <w:shd w:val="clear" w:color="auto" w:fill="FFFFFF"/>
          </w:tcPr>
          <w:p w14:paraId="63C351A2" w14:textId="77777777" w:rsidR="008C76E0" w:rsidRPr="003B2786" w:rsidRDefault="008C76E0" w:rsidP="008C76E0">
            <w:pPr>
              <w:pStyle w:val="Bodytext180"/>
              <w:keepNext/>
              <w:keepLines/>
              <w:shd w:val="clear" w:color="auto" w:fill="auto"/>
              <w:tabs>
                <w:tab w:val="left" w:pos="567"/>
              </w:tabs>
              <w:spacing w:before="0" w:after="120" w:line="240" w:lineRule="auto"/>
              <w:ind w:right="-1" w:firstLine="0"/>
              <w:jc w:val="center"/>
              <w:outlineLvl w:val="0"/>
              <w:rPr>
                <w:rFonts w:ascii="Sylfaen" w:hAnsi="Sylfaen"/>
                <w:b w:val="0"/>
                <w:sz w:val="24"/>
                <w:szCs w:val="24"/>
              </w:rPr>
            </w:pPr>
            <w:r w:rsidRPr="003B2786">
              <w:rPr>
                <w:rStyle w:val="Bodytext1811pt"/>
                <w:rFonts w:ascii="Sylfaen" w:hAnsi="Sylfaen"/>
                <w:sz w:val="24"/>
                <w:szCs w:val="24"/>
              </w:rPr>
              <w:t>IA</w:t>
            </w:r>
          </w:p>
        </w:tc>
      </w:tr>
      <w:tr w:rsidR="008C76E0" w:rsidRPr="003B2786" w14:paraId="77553099"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tcPr>
          <w:p w14:paraId="75C714B4" w14:textId="77777777" w:rsidR="008C76E0" w:rsidRPr="003B2786" w:rsidRDefault="008C76E0" w:rsidP="008C76E0">
            <w:pPr>
              <w:pStyle w:val="Bodytext180"/>
              <w:shd w:val="clear" w:color="auto" w:fill="auto"/>
              <w:tabs>
                <w:tab w:val="left" w:pos="567"/>
              </w:tabs>
              <w:spacing w:before="0" w:after="120" w:line="240" w:lineRule="auto"/>
              <w:ind w:left="158" w:right="201" w:firstLine="0"/>
              <w:jc w:val="both"/>
              <w:rPr>
                <w:rStyle w:val="Bodytext1811pt"/>
                <w:rFonts w:ascii="Sylfaen" w:hAnsi="Sylfaen"/>
                <w:sz w:val="24"/>
                <w:szCs w:val="24"/>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Մասնագրի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 մասնագրում</w:t>
            </w:r>
          </w:p>
          <w:p w14:paraId="71723AE5" w14:textId="77777777" w:rsidR="008C76E0" w:rsidRPr="008C76E0" w:rsidRDefault="008C76E0"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p>
        </w:tc>
        <w:tc>
          <w:tcPr>
            <w:tcW w:w="1701" w:type="dxa"/>
            <w:gridSpan w:val="4"/>
            <w:tcBorders>
              <w:top w:val="single" w:sz="4" w:space="0" w:color="auto"/>
              <w:left w:val="single" w:sz="4" w:space="0" w:color="auto"/>
              <w:bottom w:val="single" w:sz="4" w:space="0" w:color="auto"/>
            </w:tcBorders>
            <w:shd w:val="clear" w:color="auto" w:fill="FFFFFF"/>
          </w:tcPr>
          <w:p w14:paraId="464A469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2pt"/>
                <w:rFonts w:ascii="Sylfaen" w:hAnsi="Sylfaen"/>
              </w:rPr>
              <w:t>1, 2, 5, 6, 7</w:t>
            </w:r>
          </w:p>
        </w:tc>
        <w:tc>
          <w:tcPr>
            <w:tcW w:w="1984" w:type="dxa"/>
            <w:gridSpan w:val="2"/>
            <w:tcBorders>
              <w:top w:val="single" w:sz="4" w:space="0" w:color="auto"/>
              <w:left w:val="single" w:sz="4" w:space="0" w:color="auto"/>
              <w:bottom w:val="single" w:sz="4" w:space="0" w:color="auto"/>
            </w:tcBorders>
            <w:shd w:val="clear" w:color="auto" w:fill="FFFFFF"/>
          </w:tcPr>
          <w:p w14:paraId="2A841D1A"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2pt"/>
                <w:rFonts w:ascii="Sylfaen" w:hAnsi="Sylfaen"/>
              </w:rPr>
              <w:t>1, 2, 3, 4, 6, 8</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295D320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836043B"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A3659AA" w14:textId="77777777" w:rsidR="008C76E0" w:rsidRPr="00E74ADC" w:rsidRDefault="008C76E0" w:rsidP="008C76E0">
            <w:pPr>
              <w:pStyle w:val="Bodytext180"/>
              <w:shd w:val="clear" w:color="auto" w:fill="auto"/>
              <w:tabs>
                <w:tab w:val="left" w:pos="567"/>
              </w:tabs>
              <w:spacing w:before="0" w:after="120" w:line="240" w:lineRule="auto"/>
              <w:ind w:left="158" w:right="201" w:firstLine="0"/>
              <w:jc w:val="both"/>
              <w:rPr>
                <w:rStyle w:val="Bodytext1811pt"/>
                <w:rFonts w:ascii="Sylfaen" w:hAnsi="Sylfaen"/>
                <w:sz w:val="24"/>
                <w:szCs w:val="24"/>
              </w:rPr>
            </w:pPr>
            <w:r w:rsidRPr="003B2786">
              <w:rPr>
                <w:rStyle w:val="Bodytext1811pt"/>
                <w:rFonts w:ascii="Sylfaen" w:hAnsi="Sylfaen"/>
                <w:sz w:val="24"/>
                <w:szCs w:val="24"/>
              </w:rPr>
              <w:t>գ)</w:t>
            </w:r>
            <w:r w:rsidRPr="003B2786">
              <w:rPr>
                <w:rStyle w:val="Bodytext1811pt"/>
                <w:rFonts w:ascii="Sylfaen" w:hAnsi="Sylfaen"/>
                <w:sz w:val="24"/>
                <w:szCs w:val="24"/>
              </w:rPr>
              <w:tab/>
              <w:t>Մասնագրի ոչ էական պարամետրի բացառում (օրինակ՝ հնացած պարամետրի բացառում)</w:t>
            </w:r>
          </w:p>
          <w:p w14:paraId="321AA0CE" w14:textId="77777777" w:rsidR="00FA323E" w:rsidRPr="00E74ADC" w:rsidRDefault="00FA323E"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p>
        </w:tc>
        <w:tc>
          <w:tcPr>
            <w:tcW w:w="1701" w:type="dxa"/>
            <w:gridSpan w:val="4"/>
            <w:tcBorders>
              <w:top w:val="single" w:sz="4" w:space="0" w:color="auto"/>
              <w:left w:val="single" w:sz="4" w:space="0" w:color="auto"/>
            </w:tcBorders>
            <w:shd w:val="clear" w:color="auto" w:fill="FFFFFF"/>
          </w:tcPr>
          <w:p w14:paraId="4297D4B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1,2</w:t>
            </w:r>
          </w:p>
        </w:tc>
        <w:tc>
          <w:tcPr>
            <w:tcW w:w="1984" w:type="dxa"/>
            <w:gridSpan w:val="2"/>
            <w:tcBorders>
              <w:top w:val="single" w:sz="4" w:space="0" w:color="auto"/>
              <w:left w:val="single" w:sz="4" w:space="0" w:color="auto"/>
            </w:tcBorders>
            <w:shd w:val="clear" w:color="auto" w:fill="FFFFFF"/>
          </w:tcPr>
          <w:p w14:paraId="55C7DD5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1,2,7</w:t>
            </w:r>
          </w:p>
        </w:tc>
        <w:tc>
          <w:tcPr>
            <w:tcW w:w="1719" w:type="dxa"/>
            <w:gridSpan w:val="3"/>
            <w:tcBorders>
              <w:top w:val="single" w:sz="4" w:space="0" w:color="auto"/>
              <w:left w:val="single" w:sz="4" w:space="0" w:color="auto"/>
              <w:right w:val="single" w:sz="4" w:space="0" w:color="auto"/>
            </w:tcBorders>
            <w:shd w:val="clear" w:color="auto" w:fill="FFFFFF"/>
          </w:tcPr>
          <w:p w14:paraId="6F84798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0E6454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B4D3874" w14:textId="77777777" w:rsidR="008C76E0" w:rsidRPr="008C76E0" w:rsidRDefault="008C76E0"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Մասնագրերի ընդունելիության հաստատված չափանիշների շրջանակից դուրս փոփոխություն</w:t>
            </w:r>
          </w:p>
        </w:tc>
        <w:tc>
          <w:tcPr>
            <w:tcW w:w="1701" w:type="dxa"/>
            <w:gridSpan w:val="4"/>
            <w:tcBorders>
              <w:top w:val="single" w:sz="4" w:space="0" w:color="auto"/>
              <w:left w:val="single" w:sz="4" w:space="0" w:color="auto"/>
            </w:tcBorders>
            <w:shd w:val="clear" w:color="auto" w:fill="FFFFFF"/>
          </w:tcPr>
          <w:p w14:paraId="3C7B9EF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D8F62D8"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30CFD9E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892081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CFDC6DD" w14:textId="77777777" w:rsidR="008C76E0" w:rsidRPr="003B2786" w:rsidRDefault="008C76E0" w:rsidP="008C76E0">
            <w:pPr>
              <w:pStyle w:val="Bodytext180"/>
              <w:shd w:val="clear" w:color="auto" w:fill="auto"/>
              <w:tabs>
                <w:tab w:val="left" w:pos="567"/>
              </w:tabs>
              <w:spacing w:before="0" w:after="120" w:line="240" w:lineRule="auto"/>
              <w:ind w:left="158" w:right="201" w:firstLine="0"/>
              <w:jc w:val="both"/>
              <w:rPr>
                <w:rStyle w:val="Bodytext1811pt"/>
                <w:rFonts w:ascii="Sylfaen" w:hAnsi="Sylfaen"/>
                <w:sz w:val="24"/>
                <w:szCs w:val="24"/>
              </w:rPr>
            </w:pPr>
            <w:r w:rsidRPr="003B2786">
              <w:rPr>
                <w:rStyle w:val="Bodytext1811pt"/>
                <w:rFonts w:ascii="Sylfaen" w:hAnsi="Sylfaen"/>
                <w:sz w:val="24"/>
                <w:szCs w:val="24"/>
              </w:rPr>
              <w:lastRenderedPageBreak/>
              <w:t>ե)</w:t>
            </w:r>
            <w:r w:rsidRPr="003B2786">
              <w:rPr>
                <w:rStyle w:val="Bodytext1811pt"/>
                <w:rFonts w:ascii="Sylfaen" w:hAnsi="Sylfaen"/>
                <w:sz w:val="24"/>
                <w:szCs w:val="24"/>
              </w:rPr>
              <w:tab/>
              <w:t>Մասնագրի այն պարամետրի բացառում, որը կարող է էապես ազդել դեղապատրաստուկի ընդհանուր որակի վրա</w:t>
            </w:r>
          </w:p>
          <w:p w14:paraId="7EC2B39E" w14:textId="77777777" w:rsidR="008C76E0" w:rsidRPr="008C76E0" w:rsidRDefault="008C76E0"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p>
        </w:tc>
        <w:tc>
          <w:tcPr>
            <w:tcW w:w="1701" w:type="dxa"/>
            <w:gridSpan w:val="4"/>
            <w:tcBorders>
              <w:top w:val="single" w:sz="4" w:space="0" w:color="auto"/>
              <w:left w:val="single" w:sz="4" w:space="0" w:color="auto"/>
            </w:tcBorders>
            <w:shd w:val="clear" w:color="auto" w:fill="FFFFFF"/>
          </w:tcPr>
          <w:p w14:paraId="0E71C27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D3E11B1"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1139919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E9B59F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54E59B0" w14:textId="77777777" w:rsidR="008C76E0" w:rsidRPr="008C76E0" w:rsidRDefault="008C76E0"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 xml:space="preserve">Մասնագրի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 կամ փոխարինում (բացառելով կենսաբանական </w:t>
            </w:r>
            <w:r w:rsidR="00C54D75">
              <w:rPr>
                <w:rStyle w:val="Bodytext1811pt"/>
                <w:rFonts w:ascii="Sylfaen" w:hAnsi="Sylfaen"/>
                <w:sz w:val="24"/>
                <w:szCs w:val="24"/>
              </w:rPr>
              <w:t>և</w:t>
            </w:r>
            <w:r w:rsidRPr="003B2786">
              <w:rPr>
                <w:rStyle w:val="Bodytext1811pt"/>
                <w:rFonts w:ascii="Sylfaen" w:hAnsi="Sylfaen"/>
                <w:sz w:val="24"/>
                <w:szCs w:val="24"/>
              </w:rPr>
              <w:t xml:space="preserve"> իմունաբանական պատրաստուկը)՝ ելնելով անվտանգության կամ որակի նկատառումներից</w:t>
            </w:r>
          </w:p>
        </w:tc>
        <w:tc>
          <w:tcPr>
            <w:tcW w:w="1701" w:type="dxa"/>
            <w:gridSpan w:val="4"/>
            <w:tcBorders>
              <w:top w:val="single" w:sz="4" w:space="0" w:color="auto"/>
              <w:left w:val="single" w:sz="4" w:space="0" w:color="auto"/>
            </w:tcBorders>
            <w:shd w:val="clear" w:color="auto" w:fill="FFFFFF"/>
          </w:tcPr>
          <w:p w14:paraId="69D3994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5ABA7DB"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1, 2, 3, 4, 5, 6, 8</w:t>
            </w:r>
          </w:p>
        </w:tc>
        <w:tc>
          <w:tcPr>
            <w:tcW w:w="1719" w:type="dxa"/>
            <w:gridSpan w:val="3"/>
            <w:tcBorders>
              <w:top w:val="single" w:sz="4" w:space="0" w:color="auto"/>
              <w:left w:val="single" w:sz="4" w:space="0" w:color="auto"/>
              <w:right w:val="single" w:sz="4" w:space="0" w:color="auto"/>
            </w:tcBorders>
            <w:shd w:val="clear" w:color="auto" w:fill="FFFFFF"/>
          </w:tcPr>
          <w:p w14:paraId="55537AD0"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3F26641" w14:textId="77777777" w:rsidTr="008C76E0">
        <w:trPr>
          <w:jc w:val="center"/>
        </w:trPr>
        <w:tc>
          <w:tcPr>
            <w:tcW w:w="4997" w:type="dxa"/>
            <w:gridSpan w:val="6"/>
            <w:tcBorders>
              <w:top w:val="single" w:sz="4" w:space="0" w:color="auto"/>
              <w:left w:val="single" w:sz="4" w:space="0" w:color="auto"/>
            </w:tcBorders>
            <w:shd w:val="clear" w:color="auto" w:fill="FFFFFF"/>
          </w:tcPr>
          <w:p w14:paraId="28D697B2" w14:textId="77777777" w:rsidR="008C76E0" w:rsidRPr="008C76E0" w:rsidRDefault="008C76E0" w:rsidP="008C76E0">
            <w:pPr>
              <w:pStyle w:val="Bodytext180"/>
              <w:shd w:val="clear" w:color="auto" w:fill="auto"/>
              <w:tabs>
                <w:tab w:val="left" w:pos="567"/>
              </w:tabs>
              <w:spacing w:before="0" w:after="120" w:line="240" w:lineRule="auto"/>
              <w:ind w:left="158" w:right="201" w:firstLine="0"/>
              <w:jc w:val="both"/>
              <w:rPr>
                <w:rFonts w:ascii="Sylfaen" w:hAnsi="Sylfaen"/>
                <w:b w:val="0"/>
                <w:sz w:val="24"/>
                <w:szCs w:val="24"/>
                <w:lang w:val="hy-AM"/>
              </w:rPr>
            </w:pPr>
            <w:r w:rsidRPr="003B2786">
              <w:rPr>
                <w:rStyle w:val="Bodytext1811pt"/>
                <w:rFonts w:ascii="Sylfaen" w:hAnsi="Sylfaen"/>
                <w:sz w:val="24"/>
                <w:szCs w:val="24"/>
              </w:rPr>
              <w:t>է)</w:t>
            </w:r>
            <w:r w:rsidRPr="003B2786">
              <w:rPr>
                <w:rStyle w:val="Bodytext1811pt"/>
                <w:rFonts w:ascii="Sylfaen" w:hAnsi="Sylfaen"/>
                <w:sz w:val="24"/>
                <w:szCs w:val="24"/>
              </w:rPr>
              <w:tab/>
              <w:t>Եթե օժանդակ նյութի մասով բացակայում է Միության դեղագրքի կամ անդամ պետության դեղագրքի հոդվածը, ապա մասնագրի սեփական տվյալների՝ ոչ պաշտոնական դեղագրքով կամ երրորդ երկրի դեղագրքով փոխարինում</w:t>
            </w:r>
          </w:p>
        </w:tc>
        <w:tc>
          <w:tcPr>
            <w:tcW w:w="1701" w:type="dxa"/>
            <w:gridSpan w:val="4"/>
            <w:tcBorders>
              <w:top w:val="single" w:sz="4" w:space="0" w:color="auto"/>
              <w:left w:val="single" w:sz="4" w:space="0" w:color="auto"/>
            </w:tcBorders>
            <w:shd w:val="clear" w:color="auto" w:fill="FFFFFF"/>
          </w:tcPr>
          <w:p w14:paraId="4B86480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9860F81"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1, 2, 3, 4, 5, 6, 8</w:t>
            </w:r>
          </w:p>
        </w:tc>
        <w:tc>
          <w:tcPr>
            <w:tcW w:w="1719" w:type="dxa"/>
            <w:gridSpan w:val="3"/>
            <w:tcBorders>
              <w:top w:val="single" w:sz="4" w:space="0" w:color="auto"/>
              <w:left w:val="single" w:sz="4" w:space="0" w:color="auto"/>
              <w:right w:val="single" w:sz="4" w:space="0" w:color="auto"/>
            </w:tcBorders>
            <w:shd w:val="clear" w:color="auto" w:fill="FFFFFF"/>
          </w:tcPr>
          <w:p w14:paraId="270DB556"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69F87A3D"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549A66E"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5828322"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մասնագրի ընդունելիության չափանիշների վերլուծության նպատակով նախկինում կատարված փորձաքննության արդյունքներով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անք չէ (օրինակ՝ դեղապատրաստուկի գրանցման կամ II տիպի փոփոխություն կատարելու ընթացքում):</w:t>
            </w:r>
          </w:p>
          <w:p w14:paraId="3AED7988"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հետ</w:t>
            </w:r>
            <w:r w:rsidR="00C54D75">
              <w:rPr>
                <w:rStyle w:val="Bodytext1811pt"/>
                <w:rFonts w:ascii="Sylfaen" w:hAnsi="Sylfaen"/>
                <w:sz w:val="24"/>
                <w:szCs w:val="24"/>
              </w:rPr>
              <w:t>և</w:t>
            </w:r>
            <w:r w:rsidRPr="003B2786">
              <w:rPr>
                <w:rStyle w:val="Bodytext1811pt"/>
                <w:rFonts w:ascii="Sylfaen" w:hAnsi="Sylfaen"/>
                <w:sz w:val="24"/>
                <w:szCs w:val="24"/>
              </w:rPr>
              <w:t>անք չէ, օրինակ՝ նոր չորակված խառնուկի արտադրության ընթացքում առաջ եկած անկանխատեսելի իրավիճակների, խառնուկների միագումարի պարունակության սահմանների փոփոխության։</w:t>
            </w:r>
          </w:p>
          <w:p w14:paraId="435C2980"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համապատասխանի ընդունելիության ընթացիկ հաստատված չափանիշների տիրույթին:</w:t>
            </w:r>
          </w:p>
          <w:p w14:paraId="41B0FE33"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3E14B72E"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նորովի օգտագործվող ստանդարտ մեթոդաբանության վրա:</w:t>
            </w:r>
          </w:p>
          <w:p w14:paraId="3BC43295"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որի դեպքում կենսաբանական ակտիվ դեղագործական բաղադրամասի համար օգտագործվում է կենսաբանական ռեակտիվ (բացառությամբ ստանդարտ դեղագրքային միկրոկենսաբանական մեթոդների):</w:t>
            </w:r>
          </w:p>
          <w:p w14:paraId="70D553EB"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գենոտոքսիկ խառնուկին։</w:t>
            </w:r>
          </w:p>
          <w:p w14:paraId="43015DC0"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Մասնագրի պարամետրը չի վերաբերում կրիտիկական պարամետրի հսկողությանը, օրինակ՝ խառնուկներին (միայն այն դեպքում, երբ արտադրության մեջ որոշակի լուծիչ միանշանակ չի օգտագործվում),</w:t>
            </w:r>
          </w:p>
          <w:p w14:paraId="26766080"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lastRenderedPageBreak/>
              <w:t xml:space="preserve">ցանկացած կրիտիկական ֆիզիկական բնութագրի (մասնիկների չափին, խտացումից առաջ </w:t>
            </w:r>
            <w:r w:rsidR="00C54D75">
              <w:rPr>
                <w:rStyle w:val="Bodytext1811pt"/>
                <w:rFonts w:ascii="Sylfaen" w:hAnsi="Sylfaen"/>
                <w:sz w:val="24"/>
                <w:szCs w:val="24"/>
              </w:rPr>
              <w:t>և</w:t>
            </w:r>
            <w:r w:rsidRPr="003B2786">
              <w:rPr>
                <w:rStyle w:val="Bodytext1811pt"/>
                <w:rFonts w:ascii="Sylfaen" w:hAnsi="Sylfaen"/>
                <w:sz w:val="24"/>
                <w:szCs w:val="24"/>
              </w:rPr>
              <w:t xml:space="preserve"> հետո լցման խտությանը </w:t>
            </w:r>
            <w:r w:rsidR="00C54D75">
              <w:rPr>
                <w:rStyle w:val="Bodytext1811pt"/>
                <w:rFonts w:ascii="Sylfaen" w:hAnsi="Sylfaen"/>
                <w:sz w:val="24"/>
                <w:szCs w:val="24"/>
              </w:rPr>
              <w:t>և</w:t>
            </w:r>
            <w:r w:rsidRPr="003B2786">
              <w:rPr>
                <w:rStyle w:val="Bodytext1811pt"/>
                <w:rFonts w:ascii="Sylfaen" w:hAnsi="Sylfaen"/>
                <w:sz w:val="24"/>
                <w:szCs w:val="24"/>
              </w:rPr>
              <w:t xml:space="preserve"> այլն),</w:t>
            </w:r>
          </w:p>
          <w:p w14:paraId="2660C87F"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իսկության փորձարկմանը (այլընտրանքային համապատասխան հսկողության բացակայության դեպքում), միկրոկենսաբանական հսկողությանը (միայն այն դեպքում, երբ այն չի պահանջվում որոշակի դեղաձ</w:t>
            </w:r>
            <w:r w:rsidR="00C54D75">
              <w:rPr>
                <w:rStyle w:val="Bodytext1811pt"/>
                <w:rFonts w:ascii="Sylfaen" w:hAnsi="Sylfaen"/>
                <w:sz w:val="24"/>
                <w:szCs w:val="24"/>
              </w:rPr>
              <w:t>և</w:t>
            </w:r>
            <w:r w:rsidRPr="003B2786">
              <w:rPr>
                <w:rStyle w:val="Bodytext1811pt"/>
                <w:rFonts w:ascii="Sylfaen" w:hAnsi="Sylfaen"/>
                <w:sz w:val="24"/>
                <w:szCs w:val="24"/>
              </w:rPr>
              <w:t>ի համար)</w:t>
            </w:r>
          </w:p>
        </w:tc>
      </w:tr>
      <w:tr w:rsidR="008C76E0" w:rsidRPr="003B2786" w14:paraId="4A16D0FD"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7C7668A6"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6599971F"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504772FA"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6012BE2E"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Ցանկացած նոր վերլուծական մեթոդիկայի մանրամասն նկարագրությունը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տվյալները (համապատասխան դեպքերում):</w:t>
            </w:r>
          </w:p>
        </w:tc>
      </w:tr>
      <w:tr w:rsidR="008C76E0" w:rsidRPr="003B2786" w14:paraId="307463A8"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685C516D"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Մասնագրի բոլոր պարամետրերով օժանդակ նյութի 2 արդյունաբերական սերիայի վերլուծության տվյալները (կենսաբանական ակտիվ դեղագործական բաղադրամասերի համար պատշաճ հիմնավորումների բացակայության դեպքում՝ 3 սերիա):</w:t>
            </w:r>
          </w:p>
          <w:p w14:paraId="38ACA26F"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օժանդակ նյութ պարունակող առնվազն մեկ փորձարարաարդյունաբերական սերիայի այն դեղապատրաստուկի լուծելիության համեմատական կինետիկայի թեստի տվյալները, որը համապատասխանում է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մասնագրերին։ Բուսական դեղապատրաստուկների առնչությամբ կարող են բավարար լինել համեմատական տրոհման տվյալները:</w:t>
            </w:r>
          </w:p>
          <w:p w14:paraId="51E03C03"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Կենսահամարժեքության նոր հետազոտության արդյունքները չներկայացնելու հիմնավորումը՝ Միության կենսահամարժեքության հետազոտությունների անցկացման կանոններին համապատասխան։</w:t>
            </w:r>
          </w:p>
          <w:p w14:paraId="226B2811"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Պարամետրի ոչ էական կամ հնացած լինելու հանգամանքը հաստատող հիմնավորումը (ռիսկերի գնահատումը)։</w:t>
            </w:r>
          </w:p>
          <w:p w14:paraId="03ECDA03"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 xml:space="preserve">Մասնագրի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ընդունելիության չափանիշների հիմնավորումը։</w:t>
            </w:r>
          </w:p>
        </w:tc>
      </w:tr>
      <w:tr w:rsidR="008C76E0" w:rsidRPr="003B2786" w14:paraId="7712672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C1FF134"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Բ.II.գ.2.</w:t>
            </w:r>
            <w:r w:rsidRPr="003B2786">
              <w:rPr>
                <w:rStyle w:val="Bodytext1811pt"/>
                <w:rFonts w:ascii="Sylfaen" w:hAnsi="Sylfaen"/>
                <w:sz w:val="24"/>
                <w:szCs w:val="24"/>
              </w:rPr>
              <w:tab/>
              <w:t>Օժանդակ նյութի համար վերլուծական մեթոդիկայի փոփոխությունը</w:t>
            </w:r>
          </w:p>
        </w:tc>
        <w:tc>
          <w:tcPr>
            <w:tcW w:w="1701" w:type="dxa"/>
            <w:gridSpan w:val="4"/>
            <w:tcBorders>
              <w:top w:val="single" w:sz="4" w:space="0" w:color="auto"/>
              <w:left w:val="single" w:sz="4" w:space="0" w:color="auto"/>
            </w:tcBorders>
            <w:shd w:val="clear" w:color="auto" w:fill="FFFFFF"/>
          </w:tcPr>
          <w:p w14:paraId="70755B89"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1459C8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469256A2"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CA5737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80C4F5D"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Հաստատված վերլուծական մեթոդիկայի ոչ էական փոփոխություն</w:t>
            </w:r>
          </w:p>
        </w:tc>
        <w:tc>
          <w:tcPr>
            <w:tcW w:w="1701" w:type="dxa"/>
            <w:gridSpan w:val="4"/>
            <w:tcBorders>
              <w:top w:val="single" w:sz="4" w:space="0" w:color="auto"/>
              <w:left w:val="single" w:sz="4" w:space="0" w:color="auto"/>
            </w:tcBorders>
            <w:shd w:val="clear" w:color="auto" w:fill="FFFFFF"/>
          </w:tcPr>
          <w:p w14:paraId="2B4D5091"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5018A3D7"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5C524ECA"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92D53E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24CC05A" w14:textId="77777777" w:rsidR="008C76E0" w:rsidRPr="008C76E0" w:rsidRDefault="008C76E0" w:rsidP="008C76E0">
            <w:pPr>
              <w:pStyle w:val="Bodytext180"/>
              <w:shd w:val="clear" w:color="auto" w:fill="auto"/>
              <w:tabs>
                <w:tab w:val="left" w:pos="567"/>
              </w:tabs>
              <w:spacing w:before="0" w:after="120" w:line="240" w:lineRule="auto"/>
              <w:ind w:left="158" w:right="18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Վերլուծական մեթոդիկայի բացառումն այն դեպքում, երբ դրա այլընտրանքային մեթոդիկան արդեն հաստատվել է</w:t>
            </w:r>
          </w:p>
        </w:tc>
        <w:tc>
          <w:tcPr>
            <w:tcW w:w="1701" w:type="dxa"/>
            <w:gridSpan w:val="4"/>
            <w:tcBorders>
              <w:top w:val="single" w:sz="4" w:space="0" w:color="auto"/>
              <w:left w:val="single" w:sz="4" w:space="0" w:color="auto"/>
            </w:tcBorders>
            <w:shd w:val="clear" w:color="auto" w:fill="FFFFFF"/>
          </w:tcPr>
          <w:p w14:paraId="657C2824"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5</w:t>
            </w:r>
          </w:p>
        </w:tc>
        <w:tc>
          <w:tcPr>
            <w:tcW w:w="1984" w:type="dxa"/>
            <w:gridSpan w:val="2"/>
            <w:tcBorders>
              <w:top w:val="single" w:sz="4" w:space="0" w:color="auto"/>
              <w:left w:val="single" w:sz="4" w:space="0" w:color="auto"/>
            </w:tcBorders>
            <w:shd w:val="clear" w:color="auto" w:fill="FFFFFF"/>
          </w:tcPr>
          <w:p w14:paraId="671CD90C"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58BF97B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C46FBF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AF98742" w14:textId="77777777" w:rsidR="008C76E0" w:rsidRPr="008C76E0" w:rsidRDefault="008C76E0" w:rsidP="008C76E0">
            <w:pPr>
              <w:pStyle w:val="Bodytext180"/>
              <w:shd w:val="clear" w:color="auto" w:fill="auto"/>
              <w:tabs>
                <w:tab w:val="left" w:pos="567"/>
              </w:tabs>
              <w:spacing w:before="0" w:after="120" w:line="240" w:lineRule="auto"/>
              <w:ind w:left="159" w:right="18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Փորձարկումների կենսաբանական (իմունաբանական, իմունաքիմիական) մեթոդի կամ այն մեթոդի փոխարինում, որի դեպքում օգտագործվում է կենսաբանական ռեակտիվ</w:t>
            </w:r>
          </w:p>
        </w:tc>
        <w:tc>
          <w:tcPr>
            <w:tcW w:w="1701" w:type="dxa"/>
            <w:gridSpan w:val="4"/>
            <w:tcBorders>
              <w:top w:val="single" w:sz="4" w:space="0" w:color="auto"/>
              <w:left w:val="single" w:sz="4" w:space="0" w:color="auto"/>
            </w:tcBorders>
            <w:shd w:val="clear" w:color="auto" w:fill="FFFFFF"/>
          </w:tcPr>
          <w:p w14:paraId="01C6D8DB"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479EFFF"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14F8EA73" w14:textId="77777777" w:rsidR="008C76E0" w:rsidRPr="003B2786" w:rsidRDefault="008C76E0" w:rsidP="008C76E0">
            <w:pPr>
              <w:pStyle w:val="Bodytext180"/>
              <w:shd w:val="clear" w:color="auto" w:fill="auto"/>
              <w:tabs>
                <w:tab w:val="left" w:pos="567"/>
              </w:tabs>
              <w:spacing w:before="0" w:after="12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08269C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A3D29CB"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3B2786">
              <w:rPr>
                <w:rStyle w:val="Bodytext1811pt"/>
                <w:rFonts w:ascii="Sylfaen" w:hAnsi="Sylfaen"/>
                <w:sz w:val="24"/>
                <w:szCs w:val="24"/>
              </w:rPr>
              <w:lastRenderedPageBreak/>
              <w:t>գ)</w:t>
            </w:r>
            <w:r w:rsidRPr="003B2786">
              <w:rPr>
                <w:rStyle w:val="Bodytext1811pt"/>
                <w:rFonts w:ascii="Sylfaen" w:hAnsi="Sylfaen"/>
                <w:sz w:val="24"/>
                <w:szCs w:val="24"/>
              </w:rPr>
              <w:tab/>
              <w:t>Վերլուծական մեթոդիկայի այլ փոփոխություններ (ներառյալ՝ ավելացումը կամ փոխարինումը)</w:t>
            </w:r>
          </w:p>
        </w:tc>
        <w:tc>
          <w:tcPr>
            <w:tcW w:w="1701" w:type="dxa"/>
            <w:gridSpan w:val="4"/>
            <w:tcBorders>
              <w:top w:val="single" w:sz="4" w:space="0" w:color="auto"/>
              <w:left w:val="single" w:sz="4" w:space="0" w:color="auto"/>
            </w:tcBorders>
            <w:shd w:val="clear" w:color="auto" w:fill="FFFFFF"/>
          </w:tcPr>
          <w:p w14:paraId="57791C46" w14:textId="77777777" w:rsidR="008C76E0" w:rsidRPr="003B2786" w:rsidRDefault="008C76E0" w:rsidP="008C76E0">
            <w:pPr>
              <w:pStyle w:val="Bodytext180"/>
              <w:shd w:val="clear" w:color="auto" w:fill="auto"/>
              <w:tabs>
                <w:tab w:val="left" w:pos="567"/>
              </w:tabs>
              <w:spacing w:before="0" w:after="120" w:line="240" w:lineRule="auto"/>
              <w:ind w:left="158" w:right="164"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C3E86DD" w14:textId="77777777" w:rsidR="008C76E0" w:rsidRPr="003B2786" w:rsidRDefault="008C76E0" w:rsidP="008C76E0">
            <w:pPr>
              <w:pStyle w:val="Bodytext180"/>
              <w:shd w:val="clear" w:color="auto" w:fill="auto"/>
              <w:tabs>
                <w:tab w:val="left" w:pos="567"/>
              </w:tabs>
              <w:spacing w:before="0" w:after="120" w:line="240" w:lineRule="auto"/>
              <w:ind w:left="158" w:right="164"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65C8B987" w14:textId="77777777" w:rsidR="008C76E0" w:rsidRPr="003B2786" w:rsidRDefault="008C76E0" w:rsidP="008C76E0">
            <w:pPr>
              <w:pStyle w:val="Bodytext180"/>
              <w:shd w:val="clear" w:color="auto" w:fill="auto"/>
              <w:tabs>
                <w:tab w:val="left" w:pos="567"/>
              </w:tabs>
              <w:spacing w:before="0" w:after="120" w:line="240" w:lineRule="auto"/>
              <w:ind w:left="158" w:right="164"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2C92613"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0621BDAF"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7769EBE"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Համապատասխան փաստաթղթերի համաձայն՝ անցկացվել են անհրաժեշտ վալիդացիոն հետազոտություններ, որոնցով հաստատվում է թարմացված վերլուծական մեթոդիկայի՝ նախորդին առնվազն համարժեք լինելու հանգամանքը:</w:t>
            </w:r>
          </w:p>
          <w:p w14:paraId="7CB4B364"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Խառնուկի միագումարի պարունակության սահմանները չեն փոփոխվել, նոր չորակված խառնուկներ չեն հայտնաբերվել:</w:t>
            </w:r>
          </w:p>
          <w:p w14:paraId="3B52F166"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Վերլուծության մեթոդը չի փոփոխվել (օրինակ՝ սյունակի երկարության կամ ջերմաստիճանի փոփոխությունը, այլ ոչ թե սյունակի մեկ այլ տեսակ կամ մեթոդ):</w:t>
            </w:r>
          </w:p>
          <w:p w14:paraId="7803A972"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որի դեպքում օգտագործվում է կենսաբանական ռեակտիվ (բացառությամբ ստանդարտ դեղագրքային միկրոկենսաբանական մեթոդների):</w:t>
            </w:r>
          </w:p>
          <w:p w14:paraId="3F8880FC" w14:textId="77777777" w:rsidR="008C76E0" w:rsidRPr="008C76E0" w:rsidRDefault="008C76E0" w:rsidP="008C76E0">
            <w:pPr>
              <w:pStyle w:val="Bodytext180"/>
              <w:shd w:val="clear" w:color="auto" w:fill="auto"/>
              <w:tabs>
                <w:tab w:val="left" w:pos="567"/>
              </w:tabs>
              <w:spacing w:before="0" w:after="120" w:line="240" w:lineRule="auto"/>
              <w:ind w:left="158" w:right="164"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Արդեն հաստատվել է մասնագրի պարամետրի համար այլընտրանքային վերլուծական մեթոդիկան, ընդ որում, նման մեթոդիկան չի ներառվել IA (IA</w:t>
            </w:r>
            <w:r w:rsidRPr="003B2786">
              <w:rPr>
                <w:rStyle w:val="Bodytext1811pt"/>
                <w:rFonts w:ascii="Sylfaen" w:hAnsi="Sylfaen"/>
                <w:sz w:val="24"/>
                <w:szCs w:val="24"/>
                <w:vertAlign w:val="subscript"/>
              </w:rPr>
              <w:t>ԱՊ</w:t>
            </w:r>
            <w:r w:rsidRPr="003B2786">
              <w:rPr>
                <w:rStyle w:val="Bodytext1811pt"/>
                <w:rFonts w:ascii="Sylfaen" w:hAnsi="Sylfaen"/>
                <w:sz w:val="24"/>
                <w:szCs w:val="24"/>
              </w:rPr>
              <w:t>) ծանուցման միջոցով:</w:t>
            </w:r>
          </w:p>
        </w:tc>
      </w:tr>
      <w:tr w:rsidR="008C76E0" w:rsidRPr="003B2786" w14:paraId="44A68C1B"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29C6A1A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433B21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 ներառյալ՝ վերլուծական մեթոդաբանության նկարագրությունը, վալիդացման տվյալների ռեզյումեն, խառնուկների վերանայված մասնագրերը (եթե կիրառելի է):</w:t>
            </w:r>
          </w:p>
          <w:p w14:paraId="0E433DC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համեմատական արդյունքները կամ հիմնավորման առկայության դեպքում՝ վերլուծության համեմատական արդյունքները, որոնցով հաստատվում է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փորձարկումների համարժեք լինելու հանգամանքը: Տվյալ պահանջը չի կիրառվում, եթե ավելացվում է նոր վերլուծական մեթոդիկա:</w:t>
            </w:r>
          </w:p>
        </w:tc>
      </w:tr>
      <w:tr w:rsidR="008C76E0" w:rsidRPr="003B2786" w14:paraId="51FD7715"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vAlign w:val="bottom"/>
          </w:tcPr>
          <w:p w14:paraId="4459CF3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Բ.II.գ.3.</w:t>
            </w:r>
            <w:r w:rsidRPr="003B2786">
              <w:rPr>
                <w:rStyle w:val="Bodytext1811pt"/>
                <w:rFonts w:ascii="Sylfaen" w:hAnsi="Sylfaen"/>
                <w:sz w:val="24"/>
                <w:szCs w:val="24"/>
              </w:rPr>
              <w:tab/>
              <w:t>Օժանդակ նյութի կամ ՏՍԷ ռիսկայնությամբ ռեակտիվի ստացման աղբյուրի փոփոխությունը</w:t>
            </w:r>
          </w:p>
        </w:tc>
        <w:tc>
          <w:tcPr>
            <w:tcW w:w="1701" w:type="dxa"/>
            <w:gridSpan w:val="4"/>
            <w:tcBorders>
              <w:top w:val="single" w:sz="4" w:space="0" w:color="auto"/>
              <w:left w:val="single" w:sz="4" w:space="0" w:color="auto"/>
              <w:bottom w:val="single" w:sz="4" w:space="0" w:color="auto"/>
            </w:tcBorders>
            <w:shd w:val="clear" w:color="auto" w:fill="FFFFFF"/>
          </w:tcPr>
          <w:p w14:paraId="446F1792"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bottom w:val="single" w:sz="4" w:space="0" w:color="auto"/>
            </w:tcBorders>
            <w:shd w:val="clear" w:color="auto" w:fill="FFFFFF"/>
          </w:tcPr>
          <w:p w14:paraId="74E8046B"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03FE688C"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05C47B1"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3CE51A0" w14:textId="77777777" w:rsidR="008C76E0" w:rsidRPr="008C76E0" w:rsidRDefault="008C76E0" w:rsidP="00FA323E">
            <w:pPr>
              <w:pStyle w:val="Bodytext180"/>
              <w:shd w:val="clear" w:color="auto" w:fill="auto"/>
              <w:tabs>
                <w:tab w:val="left" w:pos="567"/>
              </w:tabs>
              <w:spacing w:before="0" w:after="120" w:line="288"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ՏՍԷ ռիսկայնությամբ նյութից՝ բուսական կամ սինթետիկ ծագման նյութի</w:t>
            </w:r>
          </w:p>
        </w:tc>
        <w:tc>
          <w:tcPr>
            <w:tcW w:w="1701" w:type="dxa"/>
            <w:gridSpan w:val="4"/>
            <w:tcBorders>
              <w:top w:val="single" w:sz="4" w:space="0" w:color="auto"/>
              <w:left w:val="single" w:sz="4" w:space="0" w:color="auto"/>
            </w:tcBorders>
            <w:shd w:val="clear" w:color="auto" w:fill="FFFFFF"/>
          </w:tcPr>
          <w:p w14:paraId="1D1E174E" w14:textId="77777777" w:rsidR="008C76E0" w:rsidRPr="003B2786" w:rsidRDefault="008C76E0" w:rsidP="008C76E0">
            <w:pPr>
              <w:tabs>
                <w:tab w:val="left" w:pos="567"/>
              </w:tabs>
              <w:spacing w:after="120" w:line="240" w:lineRule="auto"/>
              <w:ind w:right="59"/>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2670DD4F" w14:textId="77777777" w:rsidR="008C76E0" w:rsidRPr="003B2786" w:rsidRDefault="008C76E0" w:rsidP="008C76E0">
            <w:pPr>
              <w:tabs>
                <w:tab w:val="left" w:pos="567"/>
              </w:tabs>
              <w:spacing w:after="120" w:line="240" w:lineRule="auto"/>
              <w:ind w:right="59"/>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52E6EE99" w14:textId="77777777" w:rsidR="008C76E0" w:rsidRPr="003B2786" w:rsidRDefault="008C76E0" w:rsidP="008C76E0">
            <w:pPr>
              <w:tabs>
                <w:tab w:val="left" w:pos="567"/>
              </w:tabs>
              <w:spacing w:after="120" w:line="240" w:lineRule="auto"/>
              <w:ind w:right="59"/>
              <w:jc w:val="center"/>
              <w:rPr>
                <w:rFonts w:ascii="Sylfaen" w:hAnsi="Sylfaen"/>
                <w:sz w:val="24"/>
                <w:szCs w:val="24"/>
              </w:rPr>
            </w:pPr>
          </w:p>
        </w:tc>
      </w:tr>
      <w:tr w:rsidR="008C76E0" w:rsidRPr="003B2786" w14:paraId="0ECD5B2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F36F830" w14:textId="77777777" w:rsidR="008C76E0" w:rsidRPr="008C76E0" w:rsidRDefault="008C76E0" w:rsidP="00FA323E">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Կենսաբանական (իմունաբանական) ակտիվ դեղագործական բաղադրամասի կամ կենսաբանական (իմունաբանական) դեղապատրաստուկի արտադրության մեջ չօգտագործվող օժանդակ նյութերի կամ ռեակտիվների համար</w:t>
            </w:r>
          </w:p>
        </w:tc>
        <w:tc>
          <w:tcPr>
            <w:tcW w:w="1701" w:type="dxa"/>
            <w:gridSpan w:val="4"/>
            <w:tcBorders>
              <w:top w:val="single" w:sz="4" w:space="0" w:color="auto"/>
              <w:left w:val="single" w:sz="4" w:space="0" w:color="auto"/>
            </w:tcBorders>
            <w:shd w:val="clear" w:color="auto" w:fill="FFFFFF"/>
          </w:tcPr>
          <w:p w14:paraId="2ADC2DB2"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5BD1C8E0"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1A141098"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16B9CF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72FC3E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2.</w:t>
            </w:r>
            <w:r w:rsidRPr="003B2786">
              <w:rPr>
                <w:rStyle w:val="Bodytext1811pt"/>
                <w:rFonts w:ascii="Sylfaen" w:hAnsi="Sylfaen"/>
                <w:sz w:val="24"/>
                <w:szCs w:val="24"/>
              </w:rPr>
              <w:tab/>
              <w:t>Կենսաբանական (իմունաբանական) ակտիվ դեղագործական նյութի կամ կենսաբանական (իմունաբանական) դեղապատրաստուկի արտադրության մեջ օգտագործվող օժանդակ նյութերի կամ ռեակտիվների համար</w:t>
            </w:r>
          </w:p>
        </w:tc>
        <w:tc>
          <w:tcPr>
            <w:tcW w:w="1701" w:type="dxa"/>
            <w:gridSpan w:val="4"/>
            <w:tcBorders>
              <w:top w:val="single" w:sz="4" w:space="0" w:color="auto"/>
              <w:left w:val="single" w:sz="4" w:space="0" w:color="auto"/>
            </w:tcBorders>
            <w:shd w:val="clear" w:color="auto" w:fill="FFFFFF"/>
          </w:tcPr>
          <w:p w14:paraId="7E7A9C93"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0D5ADC3"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6077DD24"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DFF1E7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871CFB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ՏՍԷ ռիսկայնությամբ նյութի փոփոխում կամ ներմուծում կամ ՏՍԷ ռիսկայնությամբ նյութի փոխարինում ՏՍԷ ռիսկայնությամբ այլ նյութով, որը չունի ՏՍԷ-ին համապատասխանության սերտիֆիկատ</w:t>
            </w:r>
          </w:p>
        </w:tc>
        <w:tc>
          <w:tcPr>
            <w:tcW w:w="1701" w:type="dxa"/>
            <w:gridSpan w:val="4"/>
            <w:tcBorders>
              <w:top w:val="single" w:sz="4" w:space="0" w:color="auto"/>
              <w:left w:val="single" w:sz="4" w:space="0" w:color="auto"/>
            </w:tcBorders>
            <w:shd w:val="clear" w:color="auto" w:fill="FFFFFF"/>
          </w:tcPr>
          <w:p w14:paraId="5139FEBC"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8EE640A"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2C80A322"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Fonts w:ascii="Sylfaen" w:hAnsi="Sylfaen"/>
                <w:b w:val="0"/>
                <w:sz w:val="24"/>
                <w:szCs w:val="24"/>
              </w:rPr>
              <w:t>II</w:t>
            </w:r>
          </w:p>
        </w:tc>
      </w:tr>
      <w:tr w:rsidR="008C76E0" w:rsidRPr="003B2786" w14:paraId="6C19848F"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F4100F8"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BCEEAFC"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Օժանդակ նյութի </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թողարկման ու պիտանիության ժամկետի ավարտի մասնագրերը չեն փոփոխվում։</w:t>
            </w:r>
          </w:p>
        </w:tc>
      </w:tr>
      <w:tr w:rsidR="008C76E0" w:rsidRPr="003B2786" w14:paraId="5153156C"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29FF58F0"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403B3BF"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Նյութն արտադրողի կամ դրա գրանցման հավաստագրի իրավատիրոջ հայտարարագիրն այն մասին, որ դրանք բացարձակապես բուսական կամ սինթետիկ ծագում ունեն։</w:t>
            </w:r>
          </w:p>
          <w:p w14:paraId="5D1387F1"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Նյութերի համարժեքության հետազոտությունը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պատրաստի նյութի արտադրության ու դեղապատրաստուկի բնութագրերի (օրինակ՝ լուծելիության բնութագրերի) վրա ազդեցությունը։</w:t>
            </w:r>
          </w:p>
        </w:tc>
      </w:tr>
      <w:tr w:rsidR="008C76E0" w:rsidRPr="003B2786" w14:paraId="64AB67B5"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B69A72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Բ.II.գ.4.</w:t>
            </w:r>
            <w:r w:rsidRPr="003B2786">
              <w:rPr>
                <w:rStyle w:val="Bodytext1811pt"/>
                <w:rFonts w:ascii="Sylfaen" w:hAnsi="Sylfaen"/>
                <w:sz w:val="24"/>
                <w:szCs w:val="24"/>
              </w:rPr>
              <w:tab/>
              <w:t>Ոչ դեղագրքային օժանդակ նյութի (գրանցման դոսյեում նկարագրված լինելու դեպքում) կամ նոր օժանդակ նյութի սինթեզման կամ ստացման փոփոխությունը</w:t>
            </w:r>
          </w:p>
        </w:tc>
        <w:tc>
          <w:tcPr>
            <w:tcW w:w="1701" w:type="dxa"/>
            <w:gridSpan w:val="4"/>
            <w:tcBorders>
              <w:top w:val="single" w:sz="4" w:space="0" w:color="auto"/>
              <w:left w:val="single" w:sz="4" w:space="0" w:color="auto"/>
            </w:tcBorders>
            <w:shd w:val="clear" w:color="auto" w:fill="FFFFFF"/>
          </w:tcPr>
          <w:p w14:paraId="1F3E519F"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4CDFB22"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5D280DEF"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A562E5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EB67B7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ոչ դեղագրքային օժանդակ նյութի կամ նոր օժանդակ նյութի սինթեզման կամ ստացման ոչ էական փոփոխություն</w:t>
            </w:r>
          </w:p>
        </w:tc>
        <w:tc>
          <w:tcPr>
            <w:tcW w:w="1701" w:type="dxa"/>
            <w:gridSpan w:val="4"/>
            <w:tcBorders>
              <w:top w:val="single" w:sz="4" w:space="0" w:color="auto"/>
              <w:left w:val="single" w:sz="4" w:space="0" w:color="auto"/>
            </w:tcBorders>
            <w:shd w:val="clear" w:color="auto" w:fill="FFFFFF"/>
          </w:tcPr>
          <w:p w14:paraId="59AAA572"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0299E8E0"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1, 2, 3, 4</w:t>
            </w:r>
          </w:p>
        </w:tc>
        <w:tc>
          <w:tcPr>
            <w:tcW w:w="1719" w:type="dxa"/>
            <w:gridSpan w:val="3"/>
            <w:tcBorders>
              <w:top w:val="single" w:sz="4" w:space="0" w:color="auto"/>
              <w:left w:val="single" w:sz="4" w:space="0" w:color="auto"/>
              <w:right w:val="single" w:sz="4" w:space="0" w:color="auto"/>
            </w:tcBorders>
            <w:shd w:val="clear" w:color="auto" w:fill="FFFFFF"/>
          </w:tcPr>
          <w:p w14:paraId="65878069"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F77001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73C8330"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փոփոխվում են մասնագրերը, կամ առկա է օժանդակ նյութի ֆիզիկաքիմիական հատկությունների փոփոխություն, որը կարող է ազդել դեղապատրաստուկի որակի վրա</w:t>
            </w:r>
          </w:p>
        </w:tc>
        <w:tc>
          <w:tcPr>
            <w:tcW w:w="1701" w:type="dxa"/>
            <w:gridSpan w:val="4"/>
            <w:tcBorders>
              <w:top w:val="single" w:sz="4" w:space="0" w:color="auto"/>
              <w:left w:val="single" w:sz="4" w:space="0" w:color="auto"/>
            </w:tcBorders>
            <w:shd w:val="clear" w:color="auto" w:fill="FFFFFF"/>
          </w:tcPr>
          <w:p w14:paraId="6781C27E"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80F57ED"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7FAD1E79"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C59B4C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34A6C9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օժանդակ նյութ՝ կենսաբանական (իմունաբանական) նյութ</w:t>
            </w:r>
          </w:p>
        </w:tc>
        <w:tc>
          <w:tcPr>
            <w:tcW w:w="1701" w:type="dxa"/>
            <w:gridSpan w:val="4"/>
            <w:tcBorders>
              <w:top w:val="single" w:sz="4" w:space="0" w:color="auto"/>
              <w:left w:val="single" w:sz="4" w:space="0" w:color="auto"/>
            </w:tcBorders>
            <w:shd w:val="clear" w:color="auto" w:fill="FFFFFF"/>
          </w:tcPr>
          <w:p w14:paraId="59356DBE"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1C00064"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6DDC0286" w14:textId="77777777" w:rsidR="008C76E0" w:rsidRPr="003B2786" w:rsidRDefault="008C76E0" w:rsidP="008C76E0">
            <w:pPr>
              <w:pStyle w:val="Bodytext180"/>
              <w:shd w:val="clear" w:color="auto" w:fill="auto"/>
              <w:tabs>
                <w:tab w:val="left" w:pos="567"/>
              </w:tabs>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C5E3957"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087A32D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2FDC43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Սինթեզման եղանակը </w:t>
            </w:r>
            <w:r w:rsidR="00C54D75">
              <w:rPr>
                <w:rStyle w:val="Bodytext1811pt"/>
                <w:rFonts w:ascii="Sylfaen" w:hAnsi="Sylfaen"/>
                <w:sz w:val="24"/>
                <w:szCs w:val="24"/>
              </w:rPr>
              <w:t>և</w:t>
            </w:r>
            <w:r w:rsidRPr="003B2786">
              <w:rPr>
                <w:rStyle w:val="Bodytext1811pt"/>
                <w:rFonts w:ascii="Sylfaen" w:hAnsi="Sylfaen"/>
                <w:sz w:val="24"/>
                <w:szCs w:val="24"/>
              </w:rPr>
              <w:t xml:space="preserve"> մասնագրերը նույնական են, </w:t>
            </w:r>
            <w:r w:rsidR="00C54D75">
              <w:rPr>
                <w:rStyle w:val="Bodytext1811pt"/>
                <w:rFonts w:ascii="Sylfaen" w:hAnsi="Sylfaen"/>
                <w:sz w:val="24"/>
                <w:szCs w:val="24"/>
              </w:rPr>
              <w:t>և</w:t>
            </w:r>
            <w:r w:rsidRPr="003B2786">
              <w:rPr>
                <w:rStyle w:val="Bodytext1811pt"/>
                <w:rFonts w:ascii="Sylfaen" w:hAnsi="Sylfaen"/>
                <w:sz w:val="24"/>
                <w:szCs w:val="24"/>
              </w:rPr>
              <w:t xml:space="preserve"> բացակայում են խառնուկների պրոֆիլի կամ ֆիզիկաքիմիական հատկությունների քանակական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որակական փոփոխությունները (բացառելով մնացորդային լուծիչները՝ դրանց հսկողությունը </w:t>
            </w:r>
            <w:r w:rsidRPr="003B2786">
              <w:rPr>
                <w:rStyle w:val="Bodytext1811pt"/>
                <w:rFonts w:ascii="Sylfaen" w:hAnsi="Sylfaen"/>
                <w:sz w:val="24"/>
                <w:szCs w:val="24"/>
              </w:rPr>
              <w:lastRenderedPageBreak/>
              <w:t xml:space="preserve">Միության փաստաթղթերում նշված սահմանային պարունակությանը համապատասխան իրականացնելու պայմանով) </w:t>
            </w:r>
          </w:p>
        </w:tc>
      </w:tr>
      <w:tr w:rsidR="008C76E0" w:rsidRPr="003B2786" w14:paraId="7BA85828"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5CAAEFF"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lastRenderedPageBreak/>
              <w:t>2.</w:t>
            </w:r>
            <w:r w:rsidRPr="003B2786">
              <w:rPr>
                <w:rStyle w:val="Bodytext1811pt"/>
                <w:rFonts w:ascii="Sylfaen" w:hAnsi="Sylfaen"/>
                <w:sz w:val="24"/>
                <w:szCs w:val="24"/>
              </w:rPr>
              <w:tab/>
              <w:t>Ադյուվանտների բացառում։</w:t>
            </w:r>
          </w:p>
        </w:tc>
      </w:tr>
      <w:tr w:rsidR="008C76E0" w:rsidRPr="003B2786" w14:paraId="141228C3"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044AE98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8EE72C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7EB7259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Հին </w:t>
            </w:r>
            <w:r w:rsidR="00C54D75">
              <w:rPr>
                <w:rStyle w:val="Bodytext1811pt"/>
                <w:rFonts w:ascii="Sylfaen" w:hAnsi="Sylfaen"/>
                <w:sz w:val="24"/>
                <w:szCs w:val="24"/>
              </w:rPr>
              <w:t>և</w:t>
            </w:r>
            <w:r w:rsidRPr="003B2786">
              <w:rPr>
                <w:rStyle w:val="Bodytext1811pt"/>
                <w:rFonts w:ascii="Sylfaen" w:hAnsi="Sylfaen"/>
                <w:sz w:val="24"/>
                <w:szCs w:val="24"/>
              </w:rPr>
              <w:t xml:space="preserve"> նոր գործընթացների օգնությամբ արտադրված օժանդակ նյութի սերիաների՝ առնվազն 2 սերիայի (առնվազն՝ փորձարարաադյունաբերական) վերլուծության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աչափով)։</w:t>
            </w:r>
          </w:p>
          <w:p w14:paraId="532A337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առնվազն 2 սերիայի (առնվազն՝ փորձարարաադյունաբերական) դեղապատրաստուկի լուծելիության համեմատական կինետիկայի թեստի տվյալները։ Բուսական դեղապատրաստուկների առնչությամբ կարող են բավարար լինել համեմատական տրոհման տվյալները:</w:t>
            </w:r>
          </w:p>
          <w:p w14:paraId="1505A18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Օժանդակ նյութի մասնագրի հաստատված </w:t>
            </w:r>
            <w:r w:rsidR="00C54D75">
              <w:rPr>
                <w:rStyle w:val="Bodytext1811pt"/>
                <w:rFonts w:ascii="Sylfaen" w:hAnsi="Sylfaen"/>
                <w:sz w:val="24"/>
                <w:szCs w:val="24"/>
              </w:rPr>
              <w:t>և</w:t>
            </w:r>
            <w:r w:rsidRPr="003B2786">
              <w:rPr>
                <w:rStyle w:val="Bodytext1811pt"/>
                <w:rFonts w:ascii="Sylfaen" w:hAnsi="Sylfaen"/>
                <w:sz w:val="24"/>
                <w:szCs w:val="24"/>
              </w:rPr>
              <w:t xml:space="preserve"> նոր օրինակները (եթե կիրառելի է)։</w:t>
            </w:r>
          </w:p>
        </w:tc>
      </w:tr>
      <w:tr w:rsidR="008C76E0" w:rsidRPr="003B2786" w14:paraId="33D49CB8" w14:textId="77777777" w:rsidTr="008C76E0">
        <w:trPr>
          <w:jc w:val="center"/>
        </w:trPr>
        <w:tc>
          <w:tcPr>
            <w:tcW w:w="10401" w:type="dxa"/>
            <w:gridSpan w:val="15"/>
            <w:tcBorders>
              <w:top w:val="single" w:sz="4" w:space="0" w:color="auto"/>
            </w:tcBorders>
            <w:shd w:val="clear" w:color="auto" w:fill="FFFFFF"/>
            <w:vAlign w:val="bottom"/>
          </w:tcPr>
          <w:p w14:paraId="17B27238" w14:textId="77777777" w:rsidR="008C76E0" w:rsidRPr="008C76E0" w:rsidRDefault="008C76E0" w:rsidP="008C76E0">
            <w:pPr>
              <w:pStyle w:val="Bodytext180"/>
              <w:shd w:val="clear" w:color="auto" w:fill="auto"/>
              <w:tabs>
                <w:tab w:val="left" w:pos="1103"/>
              </w:tabs>
              <w:spacing w:before="0" w:after="120" w:line="240" w:lineRule="auto"/>
              <w:ind w:left="158" w:right="210" w:firstLine="0"/>
              <w:jc w:val="both"/>
              <w:rPr>
                <w:rFonts w:ascii="Sylfaen" w:hAnsi="Sylfaen"/>
                <w:b w:val="0"/>
                <w:sz w:val="24"/>
                <w:szCs w:val="24"/>
                <w:lang w:val="hy-AM"/>
              </w:rPr>
            </w:pPr>
            <w:r w:rsidRPr="003B2786">
              <w:rPr>
                <w:rStyle w:val="Bodytext295pt"/>
                <w:rFonts w:ascii="Sylfaen" w:hAnsi="Sylfaen"/>
                <w:sz w:val="24"/>
                <w:szCs w:val="24"/>
              </w:rPr>
              <w:t>Բ.II.դ)</w:t>
            </w:r>
            <w:r w:rsidRPr="003B2786">
              <w:rPr>
                <w:rStyle w:val="Bodytext295pt"/>
                <w:rFonts w:ascii="Sylfaen" w:hAnsi="Sylfaen"/>
                <w:sz w:val="24"/>
                <w:szCs w:val="24"/>
              </w:rPr>
              <w:tab/>
              <w:t>Դեղապատրաստուկի որակի հսկողությունը</w:t>
            </w:r>
          </w:p>
        </w:tc>
      </w:tr>
      <w:tr w:rsidR="008C76E0" w:rsidRPr="003B2786" w14:paraId="7E922FD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E8D1888" w14:textId="77777777" w:rsidR="008C76E0" w:rsidRPr="008C76E0" w:rsidRDefault="008C76E0" w:rsidP="008C76E0">
            <w:pPr>
              <w:pStyle w:val="Bodytext180"/>
              <w:shd w:val="clear" w:color="auto" w:fill="auto"/>
              <w:tabs>
                <w:tab w:val="left" w:pos="1163"/>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Բ.II.դ. 1.</w:t>
            </w:r>
            <w:r w:rsidRPr="003B2786">
              <w:rPr>
                <w:rStyle w:val="Bodytext1811pt"/>
                <w:rFonts w:ascii="Sylfaen" w:hAnsi="Sylfaen"/>
                <w:sz w:val="24"/>
                <w:szCs w:val="24"/>
              </w:rPr>
              <w:tab/>
              <w:t xml:space="preserve">Դեղապատրաստուկի մասնագրի պարամետրերի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ընդունելիության չափանիշների փոփոխությունը</w:t>
            </w:r>
          </w:p>
        </w:tc>
        <w:tc>
          <w:tcPr>
            <w:tcW w:w="1701" w:type="dxa"/>
            <w:gridSpan w:val="4"/>
            <w:tcBorders>
              <w:top w:val="single" w:sz="4" w:space="0" w:color="auto"/>
              <w:left w:val="single" w:sz="4" w:space="0" w:color="auto"/>
            </w:tcBorders>
            <w:shd w:val="clear" w:color="auto" w:fill="FFFFFF"/>
          </w:tcPr>
          <w:p w14:paraId="05F30382" w14:textId="77777777" w:rsidR="008C76E0" w:rsidRPr="003B2786" w:rsidRDefault="008C76E0" w:rsidP="008C76E0">
            <w:pPr>
              <w:pStyle w:val="Bodytext180"/>
              <w:shd w:val="clear" w:color="auto" w:fill="auto"/>
              <w:spacing w:before="0" w:after="120" w:line="240" w:lineRule="auto"/>
              <w:ind w:left="-10" w:right="59"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6DA4D7E"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0FDBCE9E" w14:textId="77777777" w:rsidR="008C76E0" w:rsidRPr="003B2786" w:rsidRDefault="008C76E0" w:rsidP="008C76E0">
            <w:pPr>
              <w:pStyle w:val="Bodytext180"/>
              <w:shd w:val="clear" w:color="auto" w:fill="auto"/>
              <w:spacing w:before="0" w:after="120" w:line="240" w:lineRule="auto"/>
              <w:ind w:left="-10"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1BE70EB"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941CD3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մասնագրի ընդունելիության չափանիշների խստացում</w:t>
            </w:r>
          </w:p>
        </w:tc>
        <w:tc>
          <w:tcPr>
            <w:tcW w:w="1701" w:type="dxa"/>
            <w:gridSpan w:val="4"/>
            <w:tcBorders>
              <w:top w:val="single" w:sz="4" w:space="0" w:color="auto"/>
              <w:left w:val="single" w:sz="4" w:space="0" w:color="auto"/>
            </w:tcBorders>
            <w:shd w:val="clear" w:color="auto" w:fill="FFFFFF"/>
          </w:tcPr>
          <w:p w14:paraId="7C6A2106"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0E81DAE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26B8270A"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E8D4A4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1FEA96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այն դեղապատրաստուկների մասնագրի ընդունելիության չափանիշների խստացում, որոնց սերիաները պաշտոնական հսկիչ մարմնի կողմից ենթակա են թողարկման</w:t>
            </w:r>
          </w:p>
        </w:tc>
        <w:tc>
          <w:tcPr>
            <w:tcW w:w="1701" w:type="dxa"/>
            <w:gridSpan w:val="4"/>
            <w:tcBorders>
              <w:top w:val="single" w:sz="4" w:space="0" w:color="auto"/>
              <w:left w:val="single" w:sz="4" w:space="0" w:color="auto"/>
            </w:tcBorders>
            <w:shd w:val="clear" w:color="auto" w:fill="FFFFFF"/>
          </w:tcPr>
          <w:p w14:paraId="21B4EF6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3551AC0A"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1941DB78"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6B0C3D6B" w14:textId="77777777" w:rsidTr="008C76E0">
        <w:trPr>
          <w:jc w:val="center"/>
        </w:trPr>
        <w:tc>
          <w:tcPr>
            <w:tcW w:w="4997" w:type="dxa"/>
            <w:gridSpan w:val="6"/>
            <w:tcBorders>
              <w:top w:val="single" w:sz="4" w:space="0" w:color="auto"/>
              <w:left w:val="single" w:sz="4" w:space="0" w:color="auto"/>
            </w:tcBorders>
            <w:shd w:val="clear" w:color="auto" w:fill="FFFFFF"/>
          </w:tcPr>
          <w:p w14:paraId="5D67952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մասնագրում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w:t>
            </w:r>
          </w:p>
        </w:tc>
        <w:tc>
          <w:tcPr>
            <w:tcW w:w="1701" w:type="dxa"/>
            <w:gridSpan w:val="4"/>
            <w:tcBorders>
              <w:top w:val="single" w:sz="4" w:space="0" w:color="auto"/>
              <w:left w:val="single" w:sz="4" w:space="0" w:color="auto"/>
            </w:tcBorders>
            <w:shd w:val="clear" w:color="auto" w:fill="FFFFFF"/>
          </w:tcPr>
          <w:p w14:paraId="69D0FF2F"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1, 2, 5, 6, 7</w:t>
            </w:r>
          </w:p>
        </w:tc>
        <w:tc>
          <w:tcPr>
            <w:tcW w:w="1984" w:type="dxa"/>
            <w:gridSpan w:val="2"/>
            <w:tcBorders>
              <w:top w:val="single" w:sz="4" w:space="0" w:color="auto"/>
              <w:left w:val="single" w:sz="4" w:space="0" w:color="auto"/>
            </w:tcBorders>
            <w:shd w:val="clear" w:color="auto" w:fill="FFFFFF"/>
          </w:tcPr>
          <w:p w14:paraId="11DA9301"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1, 2, 3,4, 5,7</w:t>
            </w:r>
          </w:p>
        </w:tc>
        <w:tc>
          <w:tcPr>
            <w:tcW w:w="1719" w:type="dxa"/>
            <w:gridSpan w:val="3"/>
            <w:tcBorders>
              <w:top w:val="single" w:sz="4" w:space="0" w:color="auto"/>
              <w:left w:val="single" w:sz="4" w:space="0" w:color="auto"/>
              <w:right w:val="single" w:sz="4" w:space="0" w:color="auto"/>
            </w:tcBorders>
            <w:shd w:val="clear" w:color="auto" w:fill="FFFFFF"/>
          </w:tcPr>
          <w:p w14:paraId="09465A8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14DE823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F9D112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մասնագրի ոչ էական պարամետրի բացառում (օրինակ՝ հնացած պարամետրի բացառում)</w:t>
            </w:r>
          </w:p>
        </w:tc>
        <w:tc>
          <w:tcPr>
            <w:tcW w:w="1701" w:type="dxa"/>
            <w:gridSpan w:val="4"/>
            <w:tcBorders>
              <w:top w:val="single" w:sz="4" w:space="0" w:color="auto"/>
              <w:left w:val="single" w:sz="4" w:space="0" w:color="auto"/>
            </w:tcBorders>
            <w:shd w:val="clear" w:color="auto" w:fill="FFFFFF"/>
          </w:tcPr>
          <w:p w14:paraId="57A8ED59"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06A64EC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1, 2, 6</w:t>
            </w:r>
          </w:p>
        </w:tc>
        <w:tc>
          <w:tcPr>
            <w:tcW w:w="1719" w:type="dxa"/>
            <w:gridSpan w:val="3"/>
            <w:tcBorders>
              <w:top w:val="single" w:sz="4" w:space="0" w:color="auto"/>
              <w:left w:val="single" w:sz="4" w:space="0" w:color="auto"/>
              <w:right w:val="single" w:sz="4" w:space="0" w:color="auto"/>
            </w:tcBorders>
            <w:shd w:val="clear" w:color="auto" w:fill="FFFFFF"/>
          </w:tcPr>
          <w:p w14:paraId="352984F5"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5C06B3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73688A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մասնագրերի ընդունելիության հաստատված չափանիշների շրջանակից դուրս փոփոխություն</w:t>
            </w:r>
          </w:p>
        </w:tc>
        <w:tc>
          <w:tcPr>
            <w:tcW w:w="1701" w:type="dxa"/>
            <w:gridSpan w:val="4"/>
            <w:tcBorders>
              <w:top w:val="single" w:sz="4" w:space="0" w:color="auto"/>
              <w:left w:val="single" w:sz="4" w:space="0" w:color="auto"/>
            </w:tcBorders>
            <w:shd w:val="clear" w:color="auto" w:fill="FFFFFF"/>
          </w:tcPr>
          <w:p w14:paraId="4225D84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0E79CB9"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10743921"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03BA43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1DF3BEF"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մասնագրի այնպիսի պարամետրի բացառում, որը կարող է էապես ազդել դեղապատրաստուկի ընդհանուր որակի վրա</w:t>
            </w:r>
          </w:p>
        </w:tc>
        <w:tc>
          <w:tcPr>
            <w:tcW w:w="1701" w:type="dxa"/>
            <w:gridSpan w:val="4"/>
            <w:tcBorders>
              <w:top w:val="single" w:sz="4" w:space="0" w:color="auto"/>
              <w:left w:val="single" w:sz="4" w:space="0" w:color="auto"/>
            </w:tcBorders>
            <w:shd w:val="clear" w:color="auto" w:fill="FFFFFF"/>
          </w:tcPr>
          <w:p w14:paraId="7C0B16D0"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0772558"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05E07D82"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2FD3C0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B17B077"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lastRenderedPageBreak/>
              <w:t>է)</w:t>
            </w:r>
            <w:r w:rsidRPr="003B2786">
              <w:rPr>
                <w:rStyle w:val="Bodytext1811pt"/>
                <w:rFonts w:ascii="Sylfaen" w:hAnsi="Sylfaen"/>
                <w:sz w:val="24"/>
                <w:szCs w:val="24"/>
              </w:rPr>
              <w:tab/>
              <w:t xml:space="preserve">մասնագրի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փորձարկման մեթոդի ավելացում կամ փոխարինում (բացառելով կենսաբանական </w:t>
            </w:r>
            <w:r w:rsidR="00C54D75">
              <w:rPr>
                <w:rStyle w:val="Bodytext1811pt"/>
                <w:rFonts w:ascii="Sylfaen" w:hAnsi="Sylfaen"/>
                <w:sz w:val="24"/>
                <w:szCs w:val="24"/>
              </w:rPr>
              <w:t>և</w:t>
            </w:r>
            <w:r w:rsidRPr="003B2786">
              <w:rPr>
                <w:rStyle w:val="Bodytext1811pt"/>
                <w:rFonts w:ascii="Sylfaen" w:hAnsi="Sylfaen"/>
                <w:sz w:val="24"/>
                <w:szCs w:val="24"/>
              </w:rPr>
              <w:t xml:space="preserve"> իմունաբանական պատրաստուկը)՝ ելնելով անվտանգության կամ որակի նկատառումներից</w:t>
            </w:r>
          </w:p>
        </w:tc>
        <w:tc>
          <w:tcPr>
            <w:tcW w:w="1701" w:type="dxa"/>
            <w:gridSpan w:val="4"/>
            <w:tcBorders>
              <w:top w:val="single" w:sz="4" w:space="0" w:color="auto"/>
              <w:left w:val="single" w:sz="4" w:space="0" w:color="auto"/>
            </w:tcBorders>
            <w:shd w:val="clear" w:color="auto" w:fill="FFFFFF"/>
          </w:tcPr>
          <w:p w14:paraId="36D9A0F2"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60023FA"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1, 2, 3, 4, 5, 7</w:t>
            </w:r>
          </w:p>
        </w:tc>
        <w:tc>
          <w:tcPr>
            <w:tcW w:w="1719" w:type="dxa"/>
            <w:gridSpan w:val="3"/>
            <w:tcBorders>
              <w:top w:val="single" w:sz="4" w:space="0" w:color="auto"/>
              <w:left w:val="single" w:sz="4" w:space="0" w:color="auto"/>
              <w:right w:val="single" w:sz="4" w:space="0" w:color="auto"/>
            </w:tcBorders>
            <w:shd w:val="clear" w:color="auto" w:fill="FFFFFF"/>
          </w:tcPr>
          <w:p w14:paraId="5E711346"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67736FB0" w14:textId="77777777" w:rsidTr="008C76E0">
        <w:trPr>
          <w:jc w:val="center"/>
        </w:trPr>
        <w:tc>
          <w:tcPr>
            <w:tcW w:w="4997" w:type="dxa"/>
            <w:gridSpan w:val="6"/>
            <w:tcBorders>
              <w:top w:val="single" w:sz="4" w:space="0" w:color="auto"/>
              <w:left w:val="single" w:sz="4" w:space="0" w:color="auto"/>
            </w:tcBorders>
            <w:shd w:val="clear" w:color="auto" w:fill="FFFFFF"/>
          </w:tcPr>
          <w:p w14:paraId="37F4729E"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ը)</w:t>
            </w:r>
            <w:r w:rsidRPr="003B2786">
              <w:rPr>
                <w:rStyle w:val="Bodytext1811pt"/>
                <w:rFonts w:ascii="Sylfaen" w:hAnsi="Sylfaen"/>
                <w:sz w:val="24"/>
                <w:szCs w:val="24"/>
              </w:rPr>
              <w:tab/>
              <w:t>դոսյեի թարմացում՝ Միության դեղագրքի՝ դեղապատրաստուկի վերաբերյալ թարմացված ընդհանուր հոդվածի դրույթներին համապատասխանեցնելու նպատակով (*)</w:t>
            </w:r>
          </w:p>
        </w:tc>
        <w:tc>
          <w:tcPr>
            <w:tcW w:w="1701" w:type="dxa"/>
            <w:gridSpan w:val="4"/>
            <w:tcBorders>
              <w:top w:val="single" w:sz="4" w:space="0" w:color="auto"/>
              <w:left w:val="single" w:sz="4" w:space="0" w:color="auto"/>
            </w:tcBorders>
            <w:shd w:val="clear" w:color="auto" w:fill="FFFFFF"/>
          </w:tcPr>
          <w:p w14:paraId="37DDF955"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1, 2, 3, 4, 7, 8</w:t>
            </w:r>
          </w:p>
        </w:tc>
        <w:tc>
          <w:tcPr>
            <w:tcW w:w="1984" w:type="dxa"/>
            <w:gridSpan w:val="2"/>
            <w:tcBorders>
              <w:top w:val="single" w:sz="4" w:space="0" w:color="auto"/>
              <w:left w:val="single" w:sz="4" w:space="0" w:color="auto"/>
            </w:tcBorders>
            <w:shd w:val="clear" w:color="auto" w:fill="FFFFFF"/>
          </w:tcPr>
          <w:p w14:paraId="59B2F4DD"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4168AAF6"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C90E5F4"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vAlign w:val="bottom"/>
          </w:tcPr>
          <w:p w14:paraId="5290A859"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ը)</w:t>
            </w:r>
            <w:r w:rsidRPr="003B2786">
              <w:rPr>
                <w:rStyle w:val="Bodytext1811pt"/>
                <w:rFonts w:ascii="Sylfaen" w:hAnsi="Sylfaen"/>
                <w:sz w:val="24"/>
                <w:szCs w:val="24"/>
              </w:rPr>
              <w:tab/>
              <w:t xml:space="preserve">գրանցված ընթացիկ մեթոդը փոխարինելու նպատակով ավելացվում է Միության դեղագրքի «Դոզավորման միատարրությունը» 2.9.40 հոդվածը կամ Միության դեղագրքի «Զանգվածի միատարրությունը» 2.9.5. հոդվածը կամ Միության դեղագրքի «Պարունակության միատարրությունը» 2.9.6 հոդվածը </w:t>
            </w:r>
          </w:p>
        </w:tc>
        <w:tc>
          <w:tcPr>
            <w:tcW w:w="1701" w:type="dxa"/>
            <w:gridSpan w:val="4"/>
            <w:tcBorders>
              <w:top w:val="single" w:sz="4" w:space="0" w:color="auto"/>
              <w:left w:val="single" w:sz="4" w:space="0" w:color="auto"/>
              <w:bottom w:val="single" w:sz="4" w:space="0" w:color="auto"/>
            </w:tcBorders>
            <w:shd w:val="clear" w:color="auto" w:fill="FFFFFF"/>
          </w:tcPr>
          <w:p w14:paraId="12975060"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1, 2, 10</w:t>
            </w:r>
          </w:p>
        </w:tc>
        <w:tc>
          <w:tcPr>
            <w:tcW w:w="1984" w:type="dxa"/>
            <w:gridSpan w:val="2"/>
            <w:tcBorders>
              <w:top w:val="single" w:sz="4" w:space="0" w:color="auto"/>
              <w:left w:val="single" w:sz="4" w:space="0" w:color="auto"/>
              <w:bottom w:val="single" w:sz="4" w:space="0" w:color="auto"/>
            </w:tcBorders>
            <w:shd w:val="clear" w:color="auto" w:fill="FFFFFF"/>
          </w:tcPr>
          <w:p w14:paraId="51F337E2"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1, 2, 4</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7AB3BE1A" w14:textId="77777777" w:rsidR="008C76E0" w:rsidRPr="003B2786" w:rsidRDefault="008C76E0" w:rsidP="008C76E0">
            <w:pPr>
              <w:pStyle w:val="Bodytext180"/>
              <w:shd w:val="clear" w:color="auto" w:fill="auto"/>
              <w:spacing w:before="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716C011"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3DD29AE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38C906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մասնագրի ընդունելիության չափանիշների վերանայման նպատակով նախկինում անցկացված փորձաքննությունների արդյունքներով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հետ</w:t>
            </w:r>
            <w:r w:rsidR="00C54D75">
              <w:rPr>
                <w:rStyle w:val="Bodytext1811pt"/>
                <w:rFonts w:ascii="Sylfaen" w:hAnsi="Sylfaen"/>
                <w:sz w:val="24"/>
                <w:szCs w:val="24"/>
              </w:rPr>
              <w:t>և</w:t>
            </w:r>
            <w:r w:rsidRPr="003B2786">
              <w:rPr>
                <w:rStyle w:val="Bodytext1811pt"/>
                <w:rFonts w:ascii="Sylfaen" w:hAnsi="Sylfaen"/>
                <w:sz w:val="24"/>
                <w:szCs w:val="24"/>
              </w:rPr>
              <w:t xml:space="preserve">անք չէ (օրինակ՝ դեղապատրաստուկը գրանցելիս կամ II տիպի փոփոխություն կատարելիս), եթե միայն հիմնավորող փաստաթղթերը նախկինում չեն ստուգվել </w:t>
            </w:r>
            <w:r w:rsidR="00C54D75">
              <w:rPr>
                <w:rStyle w:val="Bodytext1811pt"/>
                <w:rFonts w:ascii="Sylfaen" w:hAnsi="Sylfaen"/>
                <w:sz w:val="24"/>
                <w:szCs w:val="24"/>
              </w:rPr>
              <w:t>և</w:t>
            </w:r>
            <w:r w:rsidRPr="003B2786">
              <w:rPr>
                <w:rStyle w:val="Bodytext1811pt"/>
                <w:rFonts w:ascii="Sylfaen" w:hAnsi="Sylfaen"/>
                <w:sz w:val="24"/>
                <w:szCs w:val="24"/>
              </w:rPr>
              <w:t xml:space="preserve"> հաստատվել այլ ընթացակարգի շրջանակներում։</w:t>
            </w:r>
          </w:p>
          <w:p w14:paraId="528C2052" w14:textId="77777777" w:rsidR="008C76E0" w:rsidRPr="008C76E0" w:rsidRDefault="008C76E0" w:rsidP="008B6709">
            <w:pPr>
              <w:pStyle w:val="Bodytext180"/>
              <w:shd w:val="clear" w:color="auto" w:fill="auto"/>
              <w:tabs>
                <w:tab w:val="left" w:pos="567"/>
              </w:tabs>
              <w:spacing w:before="0" w:after="120" w:line="288"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հետ</w:t>
            </w:r>
            <w:r w:rsidR="00C54D75">
              <w:rPr>
                <w:rStyle w:val="Bodytext1811pt"/>
                <w:rFonts w:ascii="Sylfaen" w:hAnsi="Sylfaen"/>
                <w:sz w:val="24"/>
                <w:szCs w:val="24"/>
              </w:rPr>
              <w:t>և</w:t>
            </w:r>
            <w:r w:rsidRPr="003B2786">
              <w:rPr>
                <w:rStyle w:val="Bodytext1811pt"/>
                <w:rFonts w:ascii="Sylfaen" w:hAnsi="Sylfaen"/>
                <w:sz w:val="24"/>
                <w:szCs w:val="24"/>
              </w:rPr>
              <w:t>անք չէ, օրինակ՝ նոր չորակված խառնուկի արտադրության ընթացքում առաջ եկած անկանխատեսելի իրավիճակների, խառնուկի միագումարի պարունակության սահմանների փոփոխության։</w:t>
            </w:r>
          </w:p>
          <w:p w14:paraId="64C0DB61" w14:textId="77777777" w:rsidR="008C76E0" w:rsidRPr="008C76E0" w:rsidRDefault="008C76E0" w:rsidP="008B6709">
            <w:pPr>
              <w:pStyle w:val="Bodytext180"/>
              <w:shd w:val="clear" w:color="auto" w:fill="auto"/>
              <w:tabs>
                <w:tab w:val="left" w:pos="567"/>
              </w:tabs>
              <w:spacing w:before="0" w:after="120" w:line="288"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համապատասխանի ընդունելիության ընթացիկ հաստատված չափանիշների տիրույթին:</w:t>
            </w:r>
          </w:p>
          <w:p w14:paraId="55AD002A" w14:textId="77777777" w:rsidR="008C76E0" w:rsidRPr="008C76E0" w:rsidRDefault="008C76E0" w:rsidP="008B6709">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68EC229F" w14:textId="77777777" w:rsidR="008C76E0" w:rsidRPr="008C76E0" w:rsidRDefault="008C76E0" w:rsidP="008B6709">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նորովի օգտագործվող ստանդարտ մեթոդաբանության վրա։</w:t>
            </w:r>
          </w:p>
          <w:p w14:paraId="45F92606" w14:textId="77777777" w:rsidR="008C76E0" w:rsidRPr="008C76E0" w:rsidRDefault="008C76E0" w:rsidP="008B6709">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որի դեպքում կենսաբանական ակտիվ դեղագործական բաղադրամասի համար օգտագործվում է կենսաբանական ռեակտիվ (բացառությամբ ստանդարտ դեղագրքային միկրոկենսաբանական մեթոդների):</w:t>
            </w:r>
          </w:p>
          <w:p w14:paraId="02347C1D" w14:textId="77777777" w:rsidR="008C76E0" w:rsidRPr="008C76E0" w:rsidRDefault="008C76E0" w:rsidP="002F06F8">
            <w:pPr>
              <w:pStyle w:val="Bodytext180"/>
              <w:shd w:val="clear" w:color="auto" w:fill="auto"/>
              <w:tabs>
                <w:tab w:val="left" w:pos="567"/>
              </w:tabs>
              <w:spacing w:before="0" w:after="120" w:line="264" w:lineRule="auto"/>
              <w:ind w:left="159" w:right="210"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որ</w:t>
            </w:r>
            <w:r w:rsidR="00C54D75">
              <w:rPr>
                <w:rStyle w:val="Bodytext1811pt"/>
                <w:rFonts w:ascii="Sylfaen" w:hAnsi="Sylfaen"/>
                <w:sz w:val="24"/>
                <w:szCs w:val="24"/>
              </w:rPr>
              <w:t>և</w:t>
            </w:r>
            <w:r w:rsidRPr="003B2786">
              <w:rPr>
                <w:rStyle w:val="Bodytext1811pt"/>
                <w:rFonts w:ascii="Sylfaen" w:hAnsi="Sylfaen"/>
                <w:sz w:val="24"/>
                <w:szCs w:val="24"/>
              </w:rPr>
              <w:t xml:space="preserve">է խառնուկի (այդ թվում՝ գենոտոքսիկ) կամ </w:t>
            </w:r>
            <w:r w:rsidRPr="003B2786">
              <w:rPr>
                <w:rStyle w:val="Bodytext1811pt"/>
                <w:rFonts w:ascii="Sylfaen" w:hAnsi="Sylfaen"/>
                <w:sz w:val="24"/>
                <w:szCs w:val="24"/>
              </w:rPr>
              <w:lastRenderedPageBreak/>
              <w:t>լուծելիությանը։</w:t>
            </w:r>
          </w:p>
          <w:p w14:paraId="328A2666" w14:textId="77777777" w:rsidR="008C76E0" w:rsidRPr="008C76E0" w:rsidRDefault="008C76E0" w:rsidP="002F06F8">
            <w:pPr>
              <w:pStyle w:val="Bodytext180"/>
              <w:shd w:val="clear" w:color="auto" w:fill="auto"/>
              <w:tabs>
                <w:tab w:val="left" w:pos="567"/>
              </w:tabs>
              <w:spacing w:before="0" w:after="120" w:line="264" w:lineRule="auto"/>
              <w:ind w:left="159" w:right="210"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Փոփոխությունը վերաբերում է գործող դեղագրքին համապատասխանեցնելու նպատակով միկրոկենսաբանական հսկողության միջոցառումների ընդունելիության չափանիշների թարմացմանը, իսկ ներկայումս գրանցված միկրոկենսաբանական հսկման միջոցառումների ընդունելիության չափանիշները չեն ներառում մասնագրում ընդգրկված հսկողության որ</w:t>
            </w:r>
            <w:r w:rsidR="00C54D75">
              <w:rPr>
                <w:rStyle w:val="Bodytext1811pt"/>
                <w:rFonts w:ascii="Sylfaen" w:hAnsi="Sylfaen"/>
                <w:sz w:val="24"/>
                <w:szCs w:val="24"/>
              </w:rPr>
              <w:t>և</w:t>
            </w:r>
            <w:r w:rsidRPr="003B2786">
              <w:rPr>
                <w:rStyle w:val="Bodytext1811pt"/>
                <w:rFonts w:ascii="Sylfaen" w:hAnsi="Sylfaen"/>
                <w:sz w:val="24"/>
                <w:szCs w:val="24"/>
              </w:rPr>
              <w:t>է լրացուցիչ միջոցառում՝ բացի որոշակի դեղաձ</w:t>
            </w:r>
            <w:r w:rsidR="00C54D75">
              <w:rPr>
                <w:rStyle w:val="Bodytext1811pt"/>
                <w:rFonts w:ascii="Sylfaen" w:hAnsi="Sylfaen"/>
                <w:sz w:val="24"/>
                <w:szCs w:val="24"/>
              </w:rPr>
              <w:t>և</w:t>
            </w:r>
            <w:r w:rsidRPr="003B2786">
              <w:rPr>
                <w:rStyle w:val="Bodytext1811pt"/>
                <w:rFonts w:ascii="Sylfaen" w:hAnsi="Sylfaen"/>
                <w:sz w:val="24"/>
                <w:szCs w:val="24"/>
              </w:rPr>
              <w:t>ին ներկայացված դեղագրքային պահանջներից:</w:t>
            </w:r>
          </w:p>
          <w:p w14:paraId="78EFE3E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9.</w:t>
            </w:r>
            <w:r w:rsidRPr="008C76E0">
              <w:rPr>
                <w:rFonts w:ascii="Sylfaen" w:hAnsi="Sylfaen"/>
                <w:b w:val="0"/>
                <w:sz w:val="24"/>
                <w:szCs w:val="24"/>
                <w:lang w:val="hy-AM"/>
              </w:rPr>
              <w:tab/>
            </w:r>
            <w:r w:rsidRPr="003B2786">
              <w:rPr>
                <w:rStyle w:val="Bodytext1811pt"/>
                <w:rFonts w:ascii="Sylfaen" w:hAnsi="Sylfaen"/>
                <w:sz w:val="24"/>
                <w:szCs w:val="24"/>
              </w:rPr>
              <w:t>Մասնագրի պարամետրը չի վերաբերում կրիտիկական պարամետրին, օրինակ՝ քանակական որոշմանը,</w:t>
            </w:r>
          </w:p>
          <w:p w14:paraId="2608203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խառնուկներին (միայն այն դեպքում, երբ դեղապատրաստուկի արտադրության մեջ որոշակի լուծիչ միանշանակ չի օգտագործվում)</w:t>
            </w:r>
          </w:p>
          <w:p w14:paraId="20C9AAE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 xml:space="preserve">ցանկացած կրիտիկական ֆիզիկական բնութագրի (թաղանթով չպատված հաբերի ամրությանը կամ փխրունությանը, չափերին </w:t>
            </w:r>
            <w:r w:rsidR="00C54D75">
              <w:rPr>
                <w:rStyle w:val="Bodytext1811pt"/>
                <w:rFonts w:ascii="Sylfaen" w:hAnsi="Sylfaen"/>
                <w:sz w:val="24"/>
                <w:szCs w:val="24"/>
              </w:rPr>
              <w:t>և</w:t>
            </w:r>
            <w:r w:rsidRPr="003B2786">
              <w:rPr>
                <w:rStyle w:val="Bodytext1811pt"/>
                <w:rFonts w:ascii="Sylfaen" w:hAnsi="Sylfaen"/>
                <w:sz w:val="24"/>
                <w:szCs w:val="24"/>
              </w:rPr>
              <w:t xml:space="preserve"> այլն), փորձարկում իրականացնելու թույլտվության վերաբերյալ ցանկացած հարցման:</w:t>
            </w:r>
          </w:p>
          <w:p w14:paraId="73ADA16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10.</w:t>
            </w:r>
            <w:r w:rsidRPr="008C76E0">
              <w:rPr>
                <w:rFonts w:ascii="Sylfaen" w:hAnsi="Sylfaen"/>
                <w:b w:val="0"/>
                <w:sz w:val="24"/>
                <w:szCs w:val="24"/>
                <w:lang w:val="hy-AM"/>
              </w:rPr>
              <w:tab/>
            </w:r>
            <w:r w:rsidRPr="003B2786">
              <w:rPr>
                <w:rStyle w:val="Bodytext1811pt"/>
                <w:rFonts w:ascii="Sylfaen" w:hAnsi="Sylfaen"/>
                <w:sz w:val="24"/>
                <w:szCs w:val="24"/>
              </w:rPr>
              <w:t xml:space="preserve">Առաջարկվող հսկողությունը լիովին համապատասխանում է Միության դեղագրքի 2.9.40 հոդվածի 2.9.40-1 աղյուսակին </w:t>
            </w:r>
            <w:r w:rsidR="00C54D75">
              <w:rPr>
                <w:rStyle w:val="Bodytext1811pt"/>
                <w:rFonts w:ascii="Sylfaen" w:hAnsi="Sylfaen"/>
                <w:sz w:val="24"/>
                <w:szCs w:val="24"/>
              </w:rPr>
              <w:t>և</w:t>
            </w:r>
            <w:r w:rsidRPr="003B2786">
              <w:rPr>
                <w:rStyle w:val="Bodytext1811pt"/>
                <w:rFonts w:ascii="Sylfaen" w:hAnsi="Sylfaen"/>
                <w:sz w:val="24"/>
                <w:szCs w:val="24"/>
              </w:rPr>
              <w:t xml:space="preserve"> չի ներառում զանգվածի փոփոխման կամ պարունակության միատարրության միջոցով դոզավորման միատարրությունը փորձարկելու այլընտրանքային առաջարկներ, եթե դրանք նշված են 2.9.40-1 աղյուսակում։</w:t>
            </w:r>
          </w:p>
        </w:tc>
      </w:tr>
      <w:tr w:rsidR="008C76E0" w:rsidRPr="003B2786" w14:paraId="1024FCB6"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6ED3348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3793E00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3F0698C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7B20E10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Ցանկացած նոր վերլուծական մեթոդիկայի մանրամասն նկարագրությունը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տվյալները (համապատասխան դեպքերում):</w:t>
            </w:r>
          </w:p>
          <w:p w14:paraId="3765298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Մասնագրի բոլոր պարամետրերով դեղապատրաստուկի արդյունաբերական երկու սերիաների վերլուծության տվյալները (կենսաբանական ակտիվ դեղագործական բաղադրամասերի համար պատշաճ հիմնավորման բացակայության դեպքում՝ 3 սերիա):</w:t>
            </w:r>
          </w:p>
          <w:p w14:paraId="3EF7CAA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t>Համապատասխան</w:t>
            </w:r>
            <w:r w:rsidRPr="008C76E0">
              <w:rPr>
                <w:rFonts w:ascii="Sylfaen" w:hAnsi="Sylfaen"/>
                <w:sz w:val="24"/>
                <w:szCs w:val="24"/>
                <w:lang w:val="hy-AM"/>
              </w:rPr>
              <w:t xml:space="preserve"> </w:t>
            </w:r>
            <w:r w:rsidRPr="003B2786">
              <w:rPr>
                <w:rStyle w:val="Bodytext1811pt"/>
                <w:rFonts w:ascii="Sylfaen" w:hAnsi="Sylfaen"/>
                <w:sz w:val="24"/>
                <w:szCs w:val="24"/>
              </w:rPr>
              <w:t xml:space="preserve">դեպքերում՝ առնվազն մեկ փորձարարաարդյունաբերական սերիայի դեղապատրաստուկի լուծելիության համեմատական կինետիկայի թեստի տվյալները, որոնք համապատասխանում են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մասնագրերին:</w:t>
            </w:r>
            <w:r w:rsidRPr="008C76E0">
              <w:rPr>
                <w:rFonts w:ascii="Sylfaen" w:hAnsi="Sylfaen"/>
                <w:sz w:val="24"/>
                <w:szCs w:val="24"/>
                <w:lang w:val="hy-AM"/>
              </w:rPr>
              <w:t xml:space="preserve"> </w:t>
            </w:r>
            <w:r w:rsidRPr="008C76E0">
              <w:rPr>
                <w:rFonts w:ascii="Sylfaen" w:hAnsi="Sylfaen"/>
                <w:b w:val="0"/>
                <w:sz w:val="24"/>
                <w:szCs w:val="24"/>
                <w:lang w:val="hy-AM"/>
              </w:rPr>
              <w:t>Բուսական</w:t>
            </w:r>
            <w:r w:rsidRPr="008C76E0">
              <w:rPr>
                <w:rFonts w:ascii="Sylfaen" w:hAnsi="Sylfaen"/>
                <w:sz w:val="24"/>
                <w:szCs w:val="24"/>
                <w:lang w:val="hy-AM"/>
              </w:rPr>
              <w:t xml:space="preserve"> </w:t>
            </w:r>
            <w:r w:rsidRPr="003B2786">
              <w:rPr>
                <w:rStyle w:val="Bodytext1811pt"/>
                <w:rFonts w:ascii="Sylfaen" w:hAnsi="Sylfaen"/>
                <w:sz w:val="24"/>
                <w:szCs w:val="24"/>
              </w:rPr>
              <w:t>դեղապատրաստուկների առնչությամբ կարող են բավարար լինել համեմատական տրոհման տվյալները:</w:t>
            </w:r>
          </w:p>
          <w:p w14:paraId="43257C7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Պարամետրի ոչ էական լինելու հանգամանքը հաստատող հիմնավորումը (ռիսկերի գնահատումը)։</w:t>
            </w:r>
          </w:p>
        </w:tc>
      </w:tr>
      <w:tr w:rsidR="008C76E0" w:rsidRPr="003B2786" w14:paraId="6628103A"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5FF81E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7.</w:t>
            </w:r>
            <w:r w:rsidRPr="003B2786">
              <w:rPr>
                <w:rStyle w:val="Bodytext1811pt"/>
                <w:rFonts w:ascii="Sylfaen" w:hAnsi="Sylfaen"/>
                <w:sz w:val="24"/>
                <w:szCs w:val="24"/>
              </w:rPr>
              <w:tab/>
              <w:t xml:space="preserve">Մասնագրի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ընդունելիության չափանիշների հիմնավորումը։</w:t>
            </w:r>
          </w:p>
        </w:tc>
      </w:tr>
      <w:tr w:rsidR="008C76E0" w:rsidRPr="003B2786" w14:paraId="2D2DB89A" w14:textId="77777777" w:rsidTr="008C76E0">
        <w:trPr>
          <w:jc w:val="center"/>
        </w:trPr>
        <w:tc>
          <w:tcPr>
            <w:tcW w:w="2334" w:type="dxa"/>
            <w:gridSpan w:val="2"/>
            <w:tcBorders>
              <w:top w:val="single" w:sz="4" w:space="0" w:color="auto"/>
              <w:left w:val="single" w:sz="4" w:space="0" w:color="auto"/>
            </w:tcBorders>
            <w:shd w:val="clear" w:color="auto" w:fill="FFFFFF"/>
          </w:tcPr>
          <w:p w14:paraId="2A0364A7" w14:textId="77777777" w:rsidR="008C76E0" w:rsidRPr="003B2786" w:rsidRDefault="008C76E0" w:rsidP="008C76E0">
            <w:pPr>
              <w:pStyle w:val="Bodytext180"/>
              <w:shd w:val="clear" w:color="auto" w:fill="auto"/>
              <w:tabs>
                <w:tab w:val="left" w:pos="567"/>
              </w:tabs>
              <w:spacing w:before="0" w:after="120" w:line="240" w:lineRule="auto"/>
              <w:ind w:left="157" w:firstLine="0"/>
              <w:jc w:val="both"/>
              <w:rPr>
                <w:rFonts w:ascii="Sylfaen" w:hAnsi="Sylfaen"/>
                <w:b w:val="0"/>
                <w:sz w:val="24"/>
                <w:szCs w:val="24"/>
              </w:rPr>
            </w:pPr>
            <w:r w:rsidRPr="003B2786">
              <w:rPr>
                <w:rStyle w:val="Bodytext1811pt"/>
                <w:rFonts w:ascii="Sylfaen" w:hAnsi="Sylfaen"/>
                <w:sz w:val="24"/>
                <w:szCs w:val="24"/>
              </w:rPr>
              <w:t>(*) Ծանոթագրություն</w:t>
            </w:r>
          </w:p>
        </w:tc>
        <w:tc>
          <w:tcPr>
            <w:tcW w:w="8067" w:type="dxa"/>
            <w:gridSpan w:val="13"/>
            <w:tcBorders>
              <w:top w:val="single" w:sz="4" w:space="0" w:color="auto"/>
              <w:left w:val="single" w:sz="4" w:space="0" w:color="auto"/>
              <w:right w:val="single" w:sz="4" w:space="0" w:color="auto"/>
            </w:tcBorders>
            <w:shd w:val="clear" w:color="auto" w:fill="FFFFFF"/>
            <w:vAlign w:val="bottom"/>
          </w:tcPr>
          <w:p w14:paraId="5F391D81"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 xml:space="preserve">Եթե գրանցված դեղապատրաստուկի դոսյեում նշվում է «ընթացիկ հրատարակությունը», ապա անհրաժեշտ է լիազորված մարմիններին ծանուցել Միության դեղագրքի կամ անդամ պետության դեղագրքի թարմացված հոդվածի մասին։ Այս առումով այդպիսի փոփոխությունը </w:t>
            </w:r>
            <w:r w:rsidRPr="003B2786">
              <w:rPr>
                <w:rStyle w:val="Bodytext1811pt"/>
                <w:rFonts w:ascii="Sylfaen" w:hAnsi="Sylfaen"/>
                <w:sz w:val="24"/>
                <w:szCs w:val="24"/>
              </w:rPr>
              <w:lastRenderedPageBreak/>
              <w:t>կիրառվում է այն դեպքում, երբ բացակայում է տեխնիկական դոսյեում դեղագրքի թարմացված հոդվածի հիշատակումը, իսկ փոփոխությունն իրականացվում է թարմացված տարբերակում հիշատակում կատարելու նպատակով։</w:t>
            </w:r>
          </w:p>
        </w:tc>
      </w:tr>
      <w:tr w:rsidR="008C76E0" w:rsidRPr="003B2786" w14:paraId="38BA599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E0FC483" w14:textId="77777777" w:rsidR="008C76E0" w:rsidRPr="008C76E0" w:rsidRDefault="008C76E0" w:rsidP="008C76E0">
            <w:pPr>
              <w:pStyle w:val="Bodytext180"/>
              <w:shd w:val="clear" w:color="auto" w:fill="auto"/>
              <w:tabs>
                <w:tab w:val="left" w:pos="1150"/>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Բ.II.դ.2.</w:t>
            </w:r>
            <w:r w:rsidRPr="003B2786">
              <w:rPr>
                <w:rStyle w:val="Bodytext1811pt"/>
                <w:rFonts w:ascii="Sylfaen" w:hAnsi="Sylfaen"/>
                <w:sz w:val="24"/>
                <w:szCs w:val="24"/>
              </w:rPr>
              <w:tab/>
              <w:t>Դեղապատրաստուկի վերլուծական մեթոդիկայի փոփոխությունը</w:t>
            </w:r>
          </w:p>
        </w:tc>
        <w:tc>
          <w:tcPr>
            <w:tcW w:w="1701" w:type="dxa"/>
            <w:gridSpan w:val="4"/>
            <w:tcBorders>
              <w:top w:val="single" w:sz="4" w:space="0" w:color="auto"/>
              <w:left w:val="single" w:sz="4" w:space="0" w:color="auto"/>
            </w:tcBorders>
            <w:shd w:val="clear" w:color="auto" w:fill="FFFFFF"/>
          </w:tcPr>
          <w:p w14:paraId="4DF2A3E4"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7086348C" w14:textId="77777777" w:rsidR="008C76E0" w:rsidRPr="003B2786" w:rsidRDefault="008C76E0" w:rsidP="008C76E0">
            <w:pPr>
              <w:pStyle w:val="Bodytext180"/>
              <w:shd w:val="clear" w:color="auto" w:fill="auto"/>
              <w:tabs>
                <w:tab w:val="left" w:pos="567"/>
              </w:tabs>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679ACD14" w14:textId="77777777" w:rsidR="008C76E0" w:rsidRPr="003B2786" w:rsidRDefault="008C76E0" w:rsidP="008C76E0">
            <w:pPr>
              <w:pStyle w:val="Bodytext180"/>
              <w:shd w:val="clear" w:color="auto" w:fill="auto"/>
              <w:tabs>
                <w:tab w:val="left" w:pos="567"/>
              </w:tabs>
              <w:spacing w:before="0" w:after="120" w:line="240" w:lineRule="auto"/>
              <w:ind w:right="4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771EEA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00C1A8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հաստատված վերլուծական մեթոդիկայի ոչ էական փոփոխություններ</w:t>
            </w:r>
          </w:p>
        </w:tc>
        <w:tc>
          <w:tcPr>
            <w:tcW w:w="1701" w:type="dxa"/>
            <w:gridSpan w:val="4"/>
            <w:tcBorders>
              <w:top w:val="single" w:sz="4" w:space="0" w:color="auto"/>
              <w:left w:val="single" w:sz="4" w:space="0" w:color="auto"/>
            </w:tcBorders>
            <w:shd w:val="clear" w:color="auto" w:fill="FFFFFF"/>
          </w:tcPr>
          <w:p w14:paraId="4B635024"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3C064268"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572E54A4"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A155D8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8DD0C5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վերլուծական մեթոդիկայի բացառում այն դեպքում, երբ դրա այլընտրանքային մեթոդիկան արդեն հաստատված է</w:t>
            </w:r>
          </w:p>
        </w:tc>
        <w:tc>
          <w:tcPr>
            <w:tcW w:w="1701" w:type="dxa"/>
            <w:gridSpan w:val="4"/>
            <w:tcBorders>
              <w:top w:val="single" w:sz="4" w:space="0" w:color="auto"/>
              <w:left w:val="single" w:sz="4" w:space="0" w:color="auto"/>
            </w:tcBorders>
            <w:shd w:val="clear" w:color="auto" w:fill="FFFFFF"/>
          </w:tcPr>
          <w:p w14:paraId="332ECAEF"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4</w:t>
            </w:r>
          </w:p>
        </w:tc>
        <w:tc>
          <w:tcPr>
            <w:tcW w:w="1984" w:type="dxa"/>
            <w:gridSpan w:val="2"/>
            <w:tcBorders>
              <w:top w:val="single" w:sz="4" w:space="0" w:color="auto"/>
              <w:left w:val="single" w:sz="4" w:space="0" w:color="auto"/>
            </w:tcBorders>
            <w:shd w:val="clear" w:color="auto" w:fill="FFFFFF"/>
          </w:tcPr>
          <w:p w14:paraId="252BF33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221D5367"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E5BCFB5"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0B1C5F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կենսաբանական (իմունաբանական, իմունաքիմիական) փորձարկման կամ այնպիսի մեթոդի փոփոխություն (փոխարինում), որի դեպքում օգտագործվում է կենսաբանական ռեակտիվ, կամ համեմատության կենսաբանական պատրաստուկի փոխարինում, որը ներառված չէ հաստատված արձանագրության մեջ</w:t>
            </w:r>
          </w:p>
        </w:tc>
        <w:tc>
          <w:tcPr>
            <w:tcW w:w="1701" w:type="dxa"/>
            <w:gridSpan w:val="4"/>
            <w:tcBorders>
              <w:top w:val="single" w:sz="4" w:space="0" w:color="auto"/>
              <w:left w:val="single" w:sz="4" w:space="0" w:color="auto"/>
            </w:tcBorders>
            <w:shd w:val="clear" w:color="auto" w:fill="FFFFFF"/>
          </w:tcPr>
          <w:p w14:paraId="3F050207"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E2BAA33"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2C2D3BCC"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8E1604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33C415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վերլուծական մեթոդիկայի այլ փոփոխություններ (ներառյալ՝ լրացումը կամ փոխարինումը)</w:t>
            </w:r>
          </w:p>
        </w:tc>
        <w:tc>
          <w:tcPr>
            <w:tcW w:w="1701" w:type="dxa"/>
            <w:gridSpan w:val="4"/>
            <w:tcBorders>
              <w:top w:val="single" w:sz="4" w:space="0" w:color="auto"/>
              <w:left w:val="single" w:sz="4" w:space="0" w:color="auto"/>
            </w:tcBorders>
            <w:shd w:val="clear" w:color="auto" w:fill="FFFFFF"/>
          </w:tcPr>
          <w:p w14:paraId="39A3D11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C985BEF"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5C0BB9BD"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8390A1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9383F3F"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վերլուծական մեթոդիկայի թարմացում՝ Միության դեղագրքի թարմացված ընդհանուր հոդվածին համապատասխանեցնելու նպատակով</w:t>
            </w:r>
          </w:p>
        </w:tc>
        <w:tc>
          <w:tcPr>
            <w:tcW w:w="1701" w:type="dxa"/>
            <w:gridSpan w:val="4"/>
            <w:tcBorders>
              <w:top w:val="single" w:sz="4" w:space="0" w:color="auto"/>
              <w:left w:val="single" w:sz="4" w:space="0" w:color="auto"/>
            </w:tcBorders>
            <w:shd w:val="clear" w:color="auto" w:fill="FFFFFF"/>
          </w:tcPr>
          <w:p w14:paraId="4DDEFC1F"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2, 3, 4, 5</w:t>
            </w:r>
          </w:p>
        </w:tc>
        <w:tc>
          <w:tcPr>
            <w:tcW w:w="1984" w:type="dxa"/>
            <w:gridSpan w:val="2"/>
            <w:tcBorders>
              <w:top w:val="single" w:sz="4" w:space="0" w:color="auto"/>
              <w:left w:val="single" w:sz="4" w:space="0" w:color="auto"/>
            </w:tcBorders>
            <w:shd w:val="clear" w:color="auto" w:fill="FFFFFF"/>
          </w:tcPr>
          <w:p w14:paraId="7E7B1FDA"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5481F24B"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9D17B2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F446B2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զ)</w:t>
            </w:r>
            <w:r w:rsidRPr="003B2786">
              <w:rPr>
                <w:rStyle w:val="Bodytext1811pt"/>
                <w:rFonts w:ascii="Sylfaen" w:hAnsi="Sylfaen"/>
                <w:sz w:val="24"/>
                <w:szCs w:val="24"/>
              </w:rPr>
              <w:tab/>
              <w:t xml:space="preserve">Միության դեղագրքին համապատասխանությունն արտացոլելու </w:t>
            </w:r>
            <w:r w:rsidR="00C54D75">
              <w:rPr>
                <w:rStyle w:val="Bodytext1811pt"/>
                <w:rFonts w:ascii="Sylfaen" w:hAnsi="Sylfaen"/>
                <w:sz w:val="24"/>
                <w:szCs w:val="24"/>
              </w:rPr>
              <w:t>և</w:t>
            </w:r>
            <w:r w:rsidRPr="003B2786">
              <w:rPr>
                <w:rStyle w:val="Bodytext1811pt"/>
                <w:rFonts w:ascii="Sylfaen" w:hAnsi="Sylfaen"/>
                <w:sz w:val="24"/>
                <w:szCs w:val="24"/>
              </w:rPr>
              <w:t xml:space="preserve"> սեփական հնացած վերլուծական մեթոդիկայի ու դրա համարի հիշատակումը բացառելու նպատակով (*)</w:t>
            </w:r>
          </w:p>
        </w:tc>
        <w:tc>
          <w:tcPr>
            <w:tcW w:w="1701" w:type="dxa"/>
            <w:gridSpan w:val="4"/>
            <w:tcBorders>
              <w:top w:val="single" w:sz="4" w:space="0" w:color="auto"/>
              <w:left w:val="single" w:sz="4" w:space="0" w:color="auto"/>
            </w:tcBorders>
            <w:shd w:val="clear" w:color="auto" w:fill="FFFFFF"/>
          </w:tcPr>
          <w:p w14:paraId="5ECF4806"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2, 3, 4, 5</w:t>
            </w:r>
          </w:p>
        </w:tc>
        <w:tc>
          <w:tcPr>
            <w:tcW w:w="1984" w:type="dxa"/>
            <w:gridSpan w:val="2"/>
            <w:tcBorders>
              <w:top w:val="single" w:sz="4" w:space="0" w:color="auto"/>
              <w:left w:val="single" w:sz="4" w:space="0" w:color="auto"/>
            </w:tcBorders>
            <w:shd w:val="clear" w:color="auto" w:fill="FFFFFF"/>
          </w:tcPr>
          <w:p w14:paraId="510B095C"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2F72FFF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840E68C"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246E15E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E4C1CF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Համապատասխան փաստաթղթերի համաձայն՝ անցկացվել են անհրաժեշտ վալիդացման հետազոտություններ, որոնցով հաստատվում է թարմացված վերլուծական մեթոդիկայի՝ նախորդին առնվազն համարժեք լինելու հանգամանքը:</w:t>
            </w:r>
          </w:p>
          <w:p w14:paraId="3900BB00"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Խառնուկների միագումարի պարունակության սահմանները չեն փոփոխվել, նոր չորակված խառնուկներ չեն հայտնաբերվել:</w:t>
            </w:r>
          </w:p>
          <w:p w14:paraId="6C12C57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lastRenderedPageBreak/>
              <w:t>3.</w:t>
            </w:r>
            <w:r w:rsidRPr="008C76E0">
              <w:rPr>
                <w:rFonts w:ascii="Sylfaen" w:hAnsi="Sylfaen"/>
                <w:b w:val="0"/>
                <w:sz w:val="24"/>
                <w:szCs w:val="24"/>
                <w:lang w:val="hy-AM"/>
              </w:rPr>
              <w:tab/>
            </w:r>
            <w:r w:rsidRPr="003B2786">
              <w:rPr>
                <w:rStyle w:val="Bodytext1811pt"/>
                <w:rFonts w:ascii="Sylfaen" w:hAnsi="Sylfaen"/>
                <w:sz w:val="24"/>
                <w:szCs w:val="24"/>
              </w:rPr>
              <w:t>Վերլուծության մեթոդը չի փոփոխվել (օրինակ՝ սյունակի երկարության կամ ջերմաստիճանի փոփոխությունը, այլ ոչ թե սյունակի մեկ այլ տեսակ կամ մեթոդ):</w:t>
            </w:r>
          </w:p>
          <w:p w14:paraId="272E579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Փորձարկման նոր մեթոդը կենսաբանական (իմունաբանական, իմունաքիմիական) կամ այնպիսի մեթոդ չէ, որի դեպքում օգտագործվում է կենսաբանական ռեակտիվ (բացառությամբ ստանդարտ դեղագրքային միկրոկենսաբանական մեթոդների):</w:t>
            </w:r>
          </w:p>
          <w:p w14:paraId="37E35BA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Գրանցված վերլուծական մեթոդիկայով արդեն հղում է կատարվում Միության դեղագրքի ընդհանուր հոդվածին, իսկ ցանկացած փոփոխություն համարվում է ոչ էական, </w:t>
            </w:r>
            <w:r w:rsidR="00C54D75">
              <w:rPr>
                <w:rStyle w:val="Bodytext1811pt"/>
                <w:rFonts w:ascii="Sylfaen" w:hAnsi="Sylfaen"/>
                <w:sz w:val="24"/>
                <w:szCs w:val="24"/>
              </w:rPr>
              <w:t>և</w:t>
            </w:r>
            <w:r w:rsidRPr="003B2786">
              <w:rPr>
                <w:rStyle w:val="Bodytext1811pt"/>
                <w:rFonts w:ascii="Sylfaen" w:hAnsi="Sylfaen"/>
                <w:sz w:val="24"/>
                <w:szCs w:val="24"/>
              </w:rPr>
              <w:t xml:space="preserve"> պահանջվում է տեխնիկական դոսյեի թարմացում։</w:t>
            </w:r>
          </w:p>
        </w:tc>
      </w:tr>
      <w:tr w:rsidR="008C76E0" w:rsidRPr="003B2786" w14:paraId="7499DD68"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5CD9558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18B2557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 ներառյալ՝ վերլուծական մեթոդաբանության նկարագրությունը, վալիդացման տվյալների ռեզյումեն, խառնուկի վերանայված մասնագրերը (եթե կիրառելի է):</w:t>
            </w:r>
          </w:p>
          <w:p w14:paraId="0C8565A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համեմատական արդյունքները կամ հիմնավորման դեպքում՝ վերլուծության համեմատական արդյունքները, որոնցով հաստատվում է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փորձարկման համարժեք լինելու հանգամանքը: Սույն պահանջը չի կիրառվում, եթե ավելացվում է նոր վերլուծական մեթոդիկա:</w:t>
            </w:r>
          </w:p>
        </w:tc>
      </w:tr>
      <w:tr w:rsidR="008C76E0" w:rsidRPr="003B2786" w14:paraId="29FCE06A" w14:textId="77777777" w:rsidTr="008C76E0">
        <w:trPr>
          <w:jc w:val="center"/>
        </w:trPr>
        <w:tc>
          <w:tcPr>
            <w:tcW w:w="2334" w:type="dxa"/>
            <w:gridSpan w:val="2"/>
            <w:tcBorders>
              <w:top w:val="single" w:sz="4" w:space="0" w:color="auto"/>
              <w:left w:val="single" w:sz="4" w:space="0" w:color="auto"/>
            </w:tcBorders>
            <w:shd w:val="clear" w:color="auto" w:fill="FFFFFF"/>
          </w:tcPr>
          <w:p w14:paraId="4DCFD6E4" w14:textId="77777777" w:rsidR="008C76E0" w:rsidRPr="003B2786" w:rsidRDefault="008C76E0" w:rsidP="008C76E0">
            <w:pPr>
              <w:pStyle w:val="Bodytext180"/>
              <w:shd w:val="clear" w:color="auto" w:fill="auto"/>
              <w:tabs>
                <w:tab w:val="left" w:pos="567"/>
              </w:tabs>
              <w:spacing w:before="0" w:after="120" w:line="240" w:lineRule="auto"/>
              <w:ind w:right="48" w:firstLine="0"/>
              <w:jc w:val="both"/>
              <w:rPr>
                <w:rFonts w:ascii="Sylfaen" w:hAnsi="Sylfaen"/>
                <w:b w:val="0"/>
                <w:sz w:val="24"/>
                <w:szCs w:val="24"/>
              </w:rPr>
            </w:pPr>
            <w:r w:rsidRPr="003B2786">
              <w:rPr>
                <w:rStyle w:val="Bodytext1811pt"/>
                <w:rFonts w:ascii="Sylfaen" w:hAnsi="Sylfaen"/>
                <w:sz w:val="24"/>
                <w:szCs w:val="24"/>
              </w:rPr>
              <w:t>(*) Ծանոթագրություն</w:t>
            </w:r>
          </w:p>
        </w:tc>
        <w:tc>
          <w:tcPr>
            <w:tcW w:w="8067" w:type="dxa"/>
            <w:gridSpan w:val="13"/>
            <w:tcBorders>
              <w:top w:val="single" w:sz="4" w:space="0" w:color="auto"/>
              <w:left w:val="single" w:sz="4" w:space="0" w:color="auto"/>
              <w:right w:val="single" w:sz="4" w:space="0" w:color="auto"/>
            </w:tcBorders>
            <w:shd w:val="clear" w:color="auto" w:fill="FFFFFF"/>
            <w:vAlign w:val="bottom"/>
          </w:tcPr>
          <w:p w14:paraId="3973C943"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Եթե գրանցված դեղապատրաստուկի դոսյեում հիշատակվում է «ընթացիկ հրատարակությունը», ապա Միության դեղագրքի թարմացված հոդվածի մասին լիազորված մարմիններին ծանուցելու անհրաժեշտություն չկա։</w:t>
            </w:r>
          </w:p>
        </w:tc>
      </w:tr>
      <w:tr w:rsidR="008C76E0" w:rsidRPr="003B2786" w14:paraId="0C47E86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53A0A8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Բ.II.դ.3.</w:t>
            </w:r>
            <w:r w:rsidRPr="003B2786">
              <w:rPr>
                <w:rStyle w:val="Bodytext1811pt"/>
                <w:rFonts w:ascii="Sylfaen" w:hAnsi="Sylfaen"/>
                <w:sz w:val="24"/>
                <w:szCs w:val="24"/>
              </w:rPr>
              <w:tab/>
              <w:t>Իրական ժամանակում թողարկում կամ դեղապատրաստուկի արտադրության ընթացքում պարամետրերի համաձայն թողարկում իրականացնելու հետ կապված փոփոխությունը</w:t>
            </w:r>
          </w:p>
        </w:tc>
        <w:tc>
          <w:tcPr>
            <w:tcW w:w="1701" w:type="dxa"/>
            <w:gridSpan w:val="4"/>
            <w:tcBorders>
              <w:top w:val="single" w:sz="4" w:space="0" w:color="auto"/>
              <w:left w:val="single" w:sz="4" w:space="0" w:color="auto"/>
            </w:tcBorders>
            <w:shd w:val="clear" w:color="auto" w:fill="FFFFFF"/>
          </w:tcPr>
          <w:p w14:paraId="7EB232C8"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55311C7"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2EDDC128"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CA2C225" w14:textId="77777777" w:rsidTr="008C76E0">
        <w:trPr>
          <w:jc w:val="center"/>
        </w:trPr>
        <w:tc>
          <w:tcPr>
            <w:tcW w:w="4997" w:type="dxa"/>
            <w:gridSpan w:val="6"/>
            <w:tcBorders>
              <w:top w:val="single" w:sz="4" w:space="0" w:color="auto"/>
              <w:left w:val="single" w:sz="4" w:space="0" w:color="auto"/>
            </w:tcBorders>
            <w:shd w:val="clear" w:color="auto" w:fill="FFFFFF"/>
          </w:tcPr>
          <w:p w14:paraId="3DABC58F" w14:textId="77777777" w:rsidR="008C76E0" w:rsidRPr="003B2786" w:rsidRDefault="008C76E0" w:rsidP="008C76E0">
            <w:pPr>
              <w:tabs>
                <w:tab w:val="left" w:pos="567"/>
              </w:tabs>
              <w:spacing w:after="120" w:line="240" w:lineRule="auto"/>
              <w:ind w:left="158" w:right="210"/>
              <w:jc w:val="both"/>
              <w:rPr>
                <w:rFonts w:ascii="Sylfaen" w:hAnsi="Sylfaen"/>
                <w:sz w:val="24"/>
                <w:szCs w:val="24"/>
              </w:rPr>
            </w:pPr>
          </w:p>
        </w:tc>
        <w:tc>
          <w:tcPr>
            <w:tcW w:w="1701" w:type="dxa"/>
            <w:gridSpan w:val="4"/>
            <w:tcBorders>
              <w:top w:val="single" w:sz="4" w:space="0" w:color="auto"/>
              <w:left w:val="single" w:sz="4" w:space="0" w:color="auto"/>
            </w:tcBorders>
            <w:shd w:val="clear" w:color="auto" w:fill="FFFFFF"/>
          </w:tcPr>
          <w:p w14:paraId="01C6C862" w14:textId="77777777" w:rsidR="008C76E0" w:rsidRPr="003B2786" w:rsidRDefault="008C76E0" w:rsidP="008C76E0">
            <w:pPr>
              <w:tabs>
                <w:tab w:val="left" w:pos="567"/>
              </w:tabs>
              <w:spacing w:after="120" w:line="240" w:lineRule="auto"/>
              <w:ind w:left="158" w:right="210"/>
              <w:jc w:val="both"/>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42020B61" w14:textId="77777777" w:rsidR="008C76E0" w:rsidRPr="003B2786" w:rsidRDefault="008C76E0" w:rsidP="008C76E0">
            <w:pPr>
              <w:tabs>
                <w:tab w:val="left" w:pos="567"/>
              </w:tabs>
              <w:spacing w:after="120" w:line="240" w:lineRule="auto"/>
              <w:ind w:left="158" w:right="210"/>
              <w:jc w:val="both"/>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637B4F6C"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II</w:t>
            </w:r>
          </w:p>
        </w:tc>
      </w:tr>
      <w:tr w:rsidR="008C76E0" w:rsidRPr="003B2786" w14:paraId="7BE8BFEF" w14:textId="77777777" w:rsidTr="008C76E0">
        <w:trPr>
          <w:jc w:val="center"/>
        </w:trPr>
        <w:tc>
          <w:tcPr>
            <w:tcW w:w="10401" w:type="dxa"/>
            <w:gridSpan w:val="15"/>
            <w:tcBorders>
              <w:top w:val="single" w:sz="4" w:space="0" w:color="auto"/>
            </w:tcBorders>
            <w:shd w:val="clear" w:color="auto" w:fill="FFFFFF"/>
            <w:vAlign w:val="bottom"/>
          </w:tcPr>
          <w:p w14:paraId="5AFECC1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295pt"/>
                <w:rFonts w:ascii="Sylfaen" w:hAnsi="Sylfaen"/>
                <w:sz w:val="24"/>
                <w:szCs w:val="24"/>
              </w:rPr>
              <w:t>Բ.I.ե)</w:t>
            </w:r>
            <w:r w:rsidRPr="003B2786">
              <w:rPr>
                <w:rStyle w:val="Bodytext295pt"/>
                <w:rFonts w:ascii="Sylfaen" w:hAnsi="Sylfaen"/>
                <w:sz w:val="24"/>
                <w:szCs w:val="24"/>
              </w:rPr>
              <w:tab/>
              <w:t>Փաթեթավորման-խցանափակման համակարգը</w:t>
            </w:r>
          </w:p>
        </w:tc>
      </w:tr>
      <w:tr w:rsidR="008C76E0" w:rsidRPr="003B2786" w14:paraId="73157EF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B18206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Բ.I.ե. 1.</w:t>
            </w:r>
            <w:r w:rsidRPr="003B2786">
              <w:rPr>
                <w:rStyle w:val="Bodytext1811pt"/>
                <w:rFonts w:ascii="Sylfaen" w:hAnsi="Sylfaen"/>
                <w:sz w:val="24"/>
                <w:szCs w:val="24"/>
              </w:rPr>
              <w:tab/>
              <w:t>Դեղապատրաստուկի առաջնային փաթեթվածքի փոփոխությունը</w:t>
            </w:r>
          </w:p>
        </w:tc>
        <w:tc>
          <w:tcPr>
            <w:tcW w:w="1701" w:type="dxa"/>
            <w:gridSpan w:val="4"/>
            <w:tcBorders>
              <w:top w:val="single" w:sz="4" w:space="0" w:color="auto"/>
              <w:left w:val="single" w:sz="4" w:space="0" w:color="auto"/>
            </w:tcBorders>
            <w:shd w:val="clear" w:color="auto" w:fill="FFFFFF"/>
          </w:tcPr>
          <w:p w14:paraId="579FA42C"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26A11E4"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5A3D0C80"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116D58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AB3A15F"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քանակական բաղադրություն</w:t>
            </w:r>
          </w:p>
        </w:tc>
        <w:tc>
          <w:tcPr>
            <w:tcW w:w="1701" w:type="dxa"/>
            <w:gridSpan w:val="4"/>
            <w:tcBorders>
              <w:top w:val="single" w:sz="4" w:space="0" w:color="auto"/>
              <w:left w:val="single" w:sz="4" w:space="0" w:color="auto"/>
            </w:tcBorders>
            <w:shd w:val="clear" w:color="auto" w:fill="FFFFFF"/>
          </w:tcPr>
          <w:p w14:paraId="78426771" w14:textId="77777777" w:rsidR="008C76E0" w:rsidRPr="003B2786" w:rsidRDefault="008C76E0" w:rsidP="008C76E0">
            <w:pPr>
              <w:tabs>
                <w:tab w:val="left" w:pos="567"/>
              </w:tabs>
              <w:spacing w:after="120" w:line="240" w:lineRule="auto"/>
              <w:ind w:left="63"/>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26874127" w14:textId="77777777" w:rsidR="008C76E0" w:rsidRPr="003B2786" w:rsidRDefault="008C76E0" w:rsidP="008C76E0">
            <w:pPr>
              <w:tabs>
                <w:tab w:val="left" w:pos="567"/>
              </w:tabs>
              <w:spacing w:after="120" w:line="240" w:lineRule="auto"/>
              <w:ind w:left="63"/>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2DDB4C9C" w14:textId="77777777" w:rsidR="008C76E0" w:rsidRPr="003B2786" w:rsidRDefault="008C76E0" w:rsidP="008C76E0">
            <w:pPr>
              <w:tabs>
                <w:tab w:val="left" w:pos="567"/>
              </w:tabs>
              <w:spacing w:after="120" w:line="240" w:lineRule="auto"/>
              <w:ind w:left="63"/>
              <w:jc w:val="center"/>
              <w:rPr>
                <w:rFonts w:ascii="Sylfaen" w:hAnsi="Sylfaen"/>
                <w:sz w:val="24"/>
                <w:szCs w:val="24"/>
              </w:rPr>
            </w:pPr>
          </w:p>
        </w:tc>
      </w:tr>
      <w:tr w:rsidR="008C76E0" w:rsidRPr="003B2786" w14:paraId="17E15A8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40AD2F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1.</w:t>
            </w:r>
            <w:r w:rsidRPr="003B2786">
              <w:rPr>
                <w:rStyle w:val="Bodytext1811pt"/>
                <w:rFonts w:ascii="Sylfaen" w:hAnsi="Sylfaen"/>
                <w:sz w:val="24"/>
                <w:szCs w:val="24"/>
                <w:lang w:val="en-US"/>
              </w:rPr>
              <w:tab/>
            </w:r>
            <w:r w:rsidRPr="003B2786">
              <w:rPr>
                <w:rStyle w:val="Bodytext1811pt"/>
                <w:rFonts w:ascii="Sylfaen" w:hAnsi="Sylfaen"/>
                <w:sz w:val="24"/>
                <w:szCs w:val="24"/>
              </w:rPr>
              <w:t>Պինդ դեղաձ</w:t>
            </w:r>
            <w:r w:rsidR="00C54D75">
              <w:rPr>
                <w:rStyle w:val="Bodytext1811pt"/>
                <w:rFonts w:ascii="Sylfaen" w:hAnsi="Sylfaen"/>
                <w:sz w:val="24"/>
                <w:szCs w:val="24"/>
              </w:rPr>
              <w:t>և</w:t>
            </w:r>
            <w:r w:rsidRPr="003B2786">
              <w:rPr>
                <w:rStyle w:val="Bodytext1811pt"/>
                <w:rFonts w:ascii="Sylfaen" w:hAnsi="Sylfaen"/>
                <w:sz w:val="24"/>
                <w:szCs w:val="24"/>
              </w:rPr>
              <w:t>եր</w:t>
            </w:r>
          </w:p>
        </w:tc>
        <w:tc>
          <w:tcPr>
            <w:tcW w:w="1701" w:type="dxa"/>
            <w:gridSpan w:val="4"/>
            <w:tcBorders>
              <w:top w:val="single" w:sz="4" w:space="0" w:color="auto"/>
              <w:left w:val="single" w:sz="4" w:space="0" w:color="auto"/>
            </w:tcBorders>
            <w:shd w:val="clear" w:color="auto" w:fill="FFFFFF"/>
          </w:tcPr>
          <w:p w14:paraId="5E4B5026"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w:t>
            </w:r>
          </w:p>
        </w:tc>
        <w:tc>
          <w:tcPr>
            <w:tcW w:w="1984" w:type="dxa"/>
            <w:gridSpan w:val="2"/>
            <w:tcBorders>
              <w:top w:val="single" w:sz="4" w:space="0" w:color="auto"/>
              <w:left w:val="single" w:sz="4" w:space="0" w:color="auto"/>
            </w:tcBorders>
            <w:shd w:val="clear" w:color="auto" w:fill="FFFFFF"/>
          </w:tcPr>
          <w:p w14:paraId="0A4EB187"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1, 2, 3, 4, 6</w:t>
            </w:r>
          </w:p>
        </w:tc>
        <w:tc>
          <w:tcPr>
            <w:tcW w:w="1719" w:type="dxa"/>
            <w:gridSpan w:val="3"/>
            <w:tcBorders>
              <w:top w:val="single" w:sz="4" w:space="0" w:color="auto"/>
              <w:left w:val="single" w:sz="4" w:space="0" w:color="auto"/>
              <w:right w:val="single" w:sz="4" w:space="0" w:color="auto"/>
            </w:tcBorders>
            <w:shd w:val="clear" w:color="auto" w:fill="FFFFFF"/>
          </w:tcPr>
          <w:p w14:paraId="07FD34DB"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1D1DA3A"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B59A90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 xml:space="preserve">Փափուկ </w:t>
            </w:r>
            <w:r w:rsidR="00C54D75">
              <w:rPr>
                <w:rStyle w:val="Bodytext1811pt"/>
                <w:rFonts w:ascii="Sylfaen" w:hAnsi="Sylfaen"/>
                <w:sz w:val="24"/>
                <w:szCs w:val="24"/>
              </w:rPr>
              <w:t>և</w:t>
            </w:r>
            <w:r w:rsidRPr="003B2786">
              <w:rPr>
                <w:rStyle w:val="Bodytext1811pt"/>
                <w:rFonts w:ascii="Sylfaen" w:hAnsi="Sylfaen"/>
                <w:sz w:val="24"/>
                <w:szCs w:val="24"/>
              </w:rPr>
              <w:t xml:space="preserve"> ոչ մանրէազերծ հեղուկ դեղաձ</w:t>
            </w:r>
            <w:r w:rsidR="00C54D75">
              <w:rPr>
                <w:rStyle w:val="Bodytext1811pt"/>
                <w:rFonts w:ascii="Sylfaen" w:hAnsi="Sylfaen"/>
                <w:sz w:val="24"/>
                <w:szCs w:val="24"/>
              </w:rPr>
              <w:t>և</w:t>
            </w:r>
            <w:r w:rsidRPr="003B2786">
              <w:rPr>
                <w:rStyle w:val="Bodytext1811pt"/>
                <w:rFonts w:ascii="Sylfaen" w:hAnsi="Sylfaen"/>
                <w:sz w:val="24"/>
                <w:szCs w:val="24"/>
              </w:rPr>
              <w:t>եր</w:t>
            </w:r>
          </w:p>
        </w:tc>
        <w:tc>
          <w:tcPr>
            <w:tcW w:w="1701" w:type="dxa"/>
            <w:gridSpan w:val="4"/>
            <w:tcBorders>
              <w:top w:val="single" w:sz="4" w:space="0" w:color="auto"/>
              <w:left w:val="single" w:sz="4" w:space="0" w:color="auto"/>
            </w:tcBorders>
            <w:shd w:val="clear" w:color="auto" w:fill="FFFFFF"/>
          </w:tcPr>
          <w:p w14:paraId="79B66B26"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6398970"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1, 2, 3, 5, 6</w:t>
            </w:r>
          </w:p>
        </w:tc>
        <w:tc>
          <w:tcPr>
            <w:tcW w:w="1719" w:type="dxa"/>
            <w:gridSpan w:val="3"/>
            <w:tcBorders>
              <w:top w:val="single" w:sz="4" w:space="0" w:color="auto"/>
              <w:left w:val="single" w:sz="4" w:space="0" w:color="auto"/>
              <w:right w:val="single" w:sz="4" w:space="0" w:color="auto"/>
            </w:tcBorders>
            <w:shd w:val="clear" w:color="auto" w:fill="FFFFFF"/>
          </w:tcPr>
          <w:p w14:paraId="485A789C"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2C65D784"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AADCFF0"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 xml:space="preserve">Մանրէազերծ դեղապատրաստուկներ </w:t>
            </w:r>
            <w:r w:rsidR="00C54D75">
              <w:rPr>
                <w:rStyle w:val="Bodytext1811pt"/>
                <w:rFonts w:ascii="Sylfaen" w:hAnsi="Sylfaen"/>
                <w:sz w:val="24"/>
                <w:szCs w:val="24"/>
              </w:rPr>
              <w:t>և</w:t>
            </w:r>
            <w:r w:rsidRPr="003B2786">
              <w:rPr>
                <w:rStyle w:val="Bodytext1811pt"/>
                <w:rFonts w:ascii="Sylfaen" w:hAnsi="Sylfaen"/>
                <w:sz w:val="24"/>
                <w:szCs w:val="24"/>
              </w:rPr>
              <w:t xml:space="preserve"> կենսաբանական (իմունաբանական) </w:t>
            </w:r>
            <w:r w:rsidRPr="003B2786">
              <w:rPr>
                <w:rStyle w:val="Bodytext1811pt"/>
                <w:rFonts w:ascii="Sylfaen" w:hAnsi="Sylfaen"/>
                <w:sz w:val="24"/>
                <w:szCs w:val="24"/>
              </w:rPr>
              <w:lastRenderedPageBreak/>
              <w:t>դեղապատրաստուկներ</w:t>
            </w:r>
          </w:p>
        </w:tc>
        <w:tc>
          <w:tcPr>
            <w:tcW w:w="1701" w:type="dxa"/>
            <w:gridSpan w:val="4"/>
            <w:tcBorders>
              <w:top w:val="single" w:sz="4" w:space="0" w:color="auto"/>
              <w:left w:val="single" w:sz="4" w:space="0" w:color="auto"/>
            </w:tcBorders>
            <w:shd w:val="clear" w:color="auto" w:fill="FFFFFF"/>
          </w:tcPr>
          <w:p w14:paraId="790F2777"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1984" w:type="dxa"/>
            <w:gridSpan w:val="2"/>
            <w:tcBorders>
              <w:top w:val="single" w:sz="4" w:space="0" w:color="auto"/>
              <w:left w:val="single" w:sz="4" w:space="0" w:color="auto"/>
            </w:tcBorders>
            <w:shd w:val="clear" w:color="auto" w:fill="FFFFFF"/>
          </w:tcPr>
          <w:p w14:paraId="5569F50B"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5CEA87BA"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A0A8B5A"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A09C0D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 xml:space="preserve">Փոփոխությունը վերաբերում է այն փաթեթվածքին, որը պահպանման պայմանների միաժամանակյա փոփոխության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պիտանիության ժամկետի կրճատման դեպքում ունի նվազագույն պաշտպանիչ հատկություններ</w:t>
            </w:r>
          </w:p>
        </w:tc>
        <w:tc>
          <w:tcPr>
            <w:tcW w:w="1701" w:type="dxa"/>
            <w:gridSpan w:val="4"/>
            <w:tcBorders>
              <w:top w:val="single" w:sz="4" w:space="0" w:color="auto"/>
              <w:left w:val="single" w:sz="4" w:space="0" w:color="auto"/>
            </w:tcBorders>
            <w:shd w:val="clear" w:color="auto" w:fill="FFFFFF"/>
          </w:tcPr>
          <w:p w14:paraId="4337C26F"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D2AFD5B"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05466E85"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70769BA"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190EDE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բեռնարկղի (կոնտեյների) տեսակի փոփոխություն կամ նոր բեռնարկղի ավելացում</w:t>
            </w:r>
          </w:p>
        </w:tc>
        <w:tc>
          <w:tcPr>
            <w:tcW w:w="1701" w:type="dxa"/>
            <w:gridSpan w:val="4"/>
            <w:tcBorders>
              <w:top w:val="single" w:sz="4" w:space="0" w:color="auto"/>
              <w:left w:val="single" w:sz="4" w:space="0" w:color="auto"/>
            </w:tcBorders>
            <w:shd w:val="clear" w:color="auto" w:fill="FFFFFF"/>
          </w:tcPr>
          <w:p w14:paraId="3002F069"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BCDC8E7"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20A14CAE" w14:textId="77777777" w:rsidR="008C76E0" w:rsidRPr="003B2786" w:rsidRDefault="008C76E0" w:rsidP="008C76E0">
            <w:pPr>
              <w:tabs>
                <w:tab w:val="left" w:pos="567"/>
              </w:tabs>
              <w:spacing w:after="120" w:line="240" w:lineRule="auto"/>
              <w:ind w:left="63"/>
              <w:jc w:val="center"/>
              <w:rPr>
                <w:rFonts w:ascii="Sylfaen" w:hAnsi="Sylfaen"/>
                <w:sz w:val="24"/>
                <w:szCs w:val="24"/>
              </w:rPr>
            </w:pPr>
          </w:p>
        </w:tc>
      </w:tr>
      <w:tr w:rsidR="008C76E0" w:rsidRPr="003B2786" w14:paraId="04D8233A"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26FFF74" w14:textId="77777777" w:rsidR="008C76E0" w:rsidRPr="008C76E0" w:rsidRDefault="008C76E0" w:rsidP="008C76E0">
            <w:pPr>
              <w:pStyle w:val="Bodytext180"/>
              <w:numPr>
                <w:ilvl w:val="0"/>
                <w:numId w:val="23"/>
              </w:numPr>
              <w:shd w:val="clear" w:color="auto" w:fill="auto"/>
              <w:tabs>
                <w:tab w:val="left" w:pos="567"/>
              </w:tabs>
              <w:spacing w:before="0" w:after="120" w:line="240" w:lineRule="auto"/>
              <w:ind w:right="210"/>
              <w:jc w:val="both"/>
              <w:rPr>
                <w:rFonts w:ascii="Sylfaen" w:hAnsi="Sylfaen"/>
                <w:b w:val="0"/>
                <w:sz w:val="24"/>
                <w:szCs w:val="24"/>
                <w:lang w:val="hy-AM"/>
              </w:rPr>
            </w:pPr>
            <w:r w:rsidRPr="003B2786">
              <w:rPr>
                <w:rStyle w:val="Bodytext1811pt"/>
                <w:rFonts w:ascii="Sylfaen" w:hAnsi="Sylfaen"/>
                <w:sz w:val="24"/>
                <w:szCs w:val="24"/>
              </w:rPr>
              <w:t xml:space="preserve">Պինդ, փափուկ </w:t>
            </w:r>
            <w:r w:rsidR="00C54D75">
              <w:rPr>
                <w:rStyle w:val="Bodytext1811pt"/>
                <w:rFonts w:ascii="Sylfaen" w:hAnsi="Sylfaen"/>
                <w:sz w:val="24"/>
                <w:szCs w:val="24"/>
              </w:rPr>
              <w:t>և</w:t>
            </w:r>
            <w:r w:rsidRPr="003B2786">
              <w:rPr>
                <w:rStyle w:val="Bodytext1811pt"/>
                <w:rFonts w:ascii="Sylfaen" w:hAnsi="Sylfaen"/>
                <w:sz w:val="24"/>
                <w:szCs w:val="24"/>
              </w:rPr>
              <w:t xml:space="preserve"> մանրէազերծ հեղուկ դեղաձ</w:t>
            </w:r>
            <w:r w:rsidR="00C54D75">
              <w:rPr>
                <w:rStyle w:val="Bodytext1811pt"/>
                <w:rFonts w:ascii="Sylfaen" w:hAnsi="Sylfaen"/>
                <w:sz w:val="24"/>
                <w:szCs w:val="24"/>
              </w:rPr>
              <w:t>և</w:t>
            </w:r>
            <w:r w:rsidRPr="003B2786">
              <w:rPr>
                <w:rStyle w:val="Bodytext1811pt"/>
                <w:rFonts w:ascii="Sylfaen" w:hAnsi="Sylfaen"/>
                <w:sz w:val="24"/>
                <w:szCs w:val="24"/>
              </w:rPr>
              <w:t>եր</w:t>
            </w:r>
          </w:p>
        </w:tc>
        <w:tc>
          <w:tcPr>
            <w:tcW w:w="1701" w:type="dxa"/>
            <w:gridSpan w:val="4"/>
            <w:tcBorders>
              <w:top w:val="single" w:sz="4" w:space="0" w:color="auto"/>
              <w:left w:val="single" w:sz="4" w:space="0" w:color="auto"/>
            </w:tcBorders>
            <w:shd w:val="clear" w:color="auto" w:fill="FFFFFF"/>
          </w:tcPr>
          <w:p w14:paraId="3DA7DAC9"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B811C18"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1, 2, 3, 5, 6, 7</w:t>
            </w:r>
          </w:p>
        </w:tc>
        <w:tc>
          <w:tcPr>
            <w:tcW w:w="1719" w:type="dxa"/>
            <w:gridSpan w:val="3"/>
            <w:tcBorders>
              <w:top w:val="single" w:sz="4" w:space="0" w:color="auto"/>
              <w:left w:val="single" w:sz="4" w:space="0" w:color="auto"/>
              <w:right w:val="single" w:sz="4" w:space="0" w:color="auto"/>
            </w:tcBorders>
            <w:shd w:val="clear" w:color="auto" w:fill="FFFFFF"/>
          </w:tcPr>
          <w:p w14:paraId="531FC512"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255F306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2CC19D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 xml:space="preserve">Մանրէազերծ դեղապատրաստուկներ </w:t>
            </w:r>
            <w:r w:rsidR="00C54D75">
              <w:rPr>
                <w:rStyle w:val="Bodytext1811pt"/>
                <w:rFonts w:ascii="Sylfaen" w:hAnsi="Sylfaen"/>
                <w:sz w:val="24"/>
                <w:szCs w:val="24"/>
              </w:rPr>
              <w:t>և</w:t>
            </w:r>
            <w:r w:rsidRPr="003B2786">
              <w:rPr>
                <w:rStyle w:val="Bodytext1811pt"/>
                <w:rFonts w:ascii="Sylfaen" w:hAnsi="Sylfaen"/>
                <w:sz w:val="24"/>
                <w:szCs w:val="24"/>
              </w:rPr>
              <w:t xml:space="preserve"> կենսաբանական (իմունաբանական) դեղապատրաստուկներ</w:t>
            </w:r>
          </w:p>
        </w:tc>
        <w:tc>
          <w:tcPr>
            <w:tcW w:w="1701" w:type="dxa"/>
            <w:gridSpan w:val="4"/>
            <w:tcBorders>
              <w:top w:val="single" w:sz="4" w:space="0" w:color="auto"/>
              <w:left w:val="single" w:sz="4" w:space="0" w:color="auto"/>
            </w:tcBorders>
            <w:shd w:val="clear" w:color="auto" w:fill="FFFFFF"/>
          </w:tcPr>
          <w:p w14:paraId="1B077E82"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98D0664"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023AD08C"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6FB6445" w14:textId="77777777" w:rsidTr="008C76E0">
        <w:trPr>
          <w:jc w:val="center"/>
        </w:trPr>
        <w:tc>
          <w:tcPr>
            <w:tcW w:w="4997" w:type="dxa"/>
            <w:gridSpan w:val="6"/>
            <w:tcBorders>
              <w:top w:val="single" w:sz="4" w:space="0" w:color="auto"/>
              <w:left w:val="single" w:sz="4" w:space="0" w:color="auto"/>
            </w:tcBorders>
            <w:shd w:val="clear" w:color="auto" w:fill="FFFFFF"/>
          </w:tcPr>
          <w:p w14:paraId="4FD092F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Առաջնային փաթեթվածքի բեռնարկղի բացառում, որը չի հանգեցնում դոզայի կամ դեղաձ</w:t>
            </w:r>
            <w:r w:rsidR="00C54D75">
              <w:rPr>
                <w:rStyle w:val="Bodytext1811pt"/>
                <w:rFonts w:ascii="Sylfaen" w:hAnsi="Sylfaen"/>
                <w:sz w:val="24"/>
                <w:szCs w:val="24"/>
              </w:rPr>
              <w:t>և</w:t>
            </w:r>
            <w:r w:rsidRPr="003B2786">
              <w:rPr>
                <w:rStyle w:val="Bodytext1811pt"/>
                <w:rFonts w:ascii="Sylfaen" w:hAnsi="Sylfaen"/>
                <w:sz w:val="24"/>
                <w:szCs w:val="24"/>
              </w:rPr>
              <w:t>ի բացարձակ բացառման</w:t>
            </w:r>
          </w:p>
        </w:tc>
        <w:tc>
          <w:tcPr>
            <w:tcW w:w="1701" w:type="dxa"/>
            <w:gridSpan w:val="4"/>
            <w:tcBorders>
              <w:top w:val="single" w:sz="4" w:space="0" w:color="auto"/>
              <w:left w:val="single" w:sz="4" w:space="0" w:color="auto"/>
            </w:tcBorders>
            <w:shd w:val="clear" w:color="auto" w:fill="FFFFFF"/>
          </w:tcPr>
          <w:p w14:paraId="0FA323BD"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4</w:t>
            </w:r>
          </w:p>
        </w:tc>
        <w:tc>
          <w:tcPr>
            <w:tcW w:w="1984" w:type="dxa"/>
            <w:gridSpan w:val="2"/>
            <w:tcBorders>
              <w:top w:val="single" w:sz="4" w:space="0" w:color="auto"/>
              <w:left w:val="single" w:sz="4" w:space="0" w:color="auto"/>
            </w:tcBorders>
            <w:shd w:val="clear" w:color="auto" w:fill="FFFFFF"/>
          </w:tcPr>
          <w:p w14:paraId="009ED5DE"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1, 8</w:t>
            </w:r>
          </w:p>
        </w:tc>
        <w:tc>
          <w:tcPr>
            <w:tcW w:w="1719" w:type="dxa"/>
            <w:gridSpan w:val="3"/>
            <w:tcBorders>
              <w:top w:val="single" w:sz="4" w:space="0" w:color="auto"/>
              <w:left w:val="single" w:sz="4" w:space="0" w:color="auto"/>
              <w:right w:val="single" w:sz="4" w:space="0" w:color="auto"/>
            </w:tcBorders>
            <w:shd w:val="clear" w:color="auto" w:fill="FFFFFF"/>
          </w:tcPr>
          <w:p w14:paraId="687F4EB5" w14:textId="77777777" w:rsidR="008C76E0" w:rsidRPr="003B2786" w:rsidRDefault="008C76E0" w:rsidP="008C76E0">
            <w:pPr>
              <w:pStyle w:val="Bodytext180"/>
              <w:shd w:val="clear" w:color="auto" w:fill="auto"/>
              <w:tabs>
                <w:tab w:val="left" w:pos="567"/>
              </w:tabs>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B756E8F"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2542B3A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0AF3395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վերաբերում է փաթեթվածքի (բեռնարկղի) միայն մի</w:t>
            </w:r>
            <w:r w:rsidR="00C54D75">
              <w:rPr>
                <w:rStyle w:val="Bodytext1811pt"/>
                <w:rFonts w:ascii="Sylfaen" w:hAnsi="Sylfaen"/>
                <w:sz w:val="24"/>
                <w:szCs w:val="24"/>
              </w:rPr>
              <w:t>և</w:t>
            </w:r>
            <w:r w:rsidRPr="003B2786">
              <w:rPr>
                <w:rStyle w:val="Bodytext1811pt"/>
                <w:rFonts w:ascii="Sylfaen" w:hAnsi="Sylfaen"/>
                <w:sz w:val="24"/>
                <w:szCs w:val="24"/>
              </w:rPr>
              <w:t>նույն տեսակին (օրինակ՝ բլիստերը բլիստերով)։</w:t>
            </w:r>
          </w:p>
          <w:p w14:paraId="2FEB2AA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Նշանակալի հատկություններով առաջարկվող փաթեթավորման նյութը պետք է առնվազն համարժեք լինի հաստատվածին:</w:t>
            </w:r>
          </w:p>
          <w:p w14:paraId="6BD0FC8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Միության փաստաթղթերին համապատասխան՝ սկսվել են կայունության համապատասխան փորձարկումները, </w:t>
            </w:r>
            <w:r w:rsidR="00C54D75">
              <w:rPr>
                <w:rStyle w:val="Bodytext1811pt"/>
                <w:rFonts w:ascii="Sylfaen" w:hAnsi="Sylfaen"/>
                <w:sz w:val="24"/>
                <w:szCs w:val="24"/>
              </w:rPr>
              <w:t>և</w:t>
            </w:r>
            <w:r w:rsidRPr="003B2786">
              <w:rPr>
                <w:rStyle w:val="Bodytext1811pt"/>
                <w:rFonts w:ascii="Sylfaen" w:hAnsi="Sylfaen"/>
                <w:sz w:val="24"/>
                <w:szCs w:val="24"/>
              </w:rPr>
              <w:t xml:space="preserve"> հայտատուն փոփոխությունների ներմուծման պահին վերլուծել է ոչ պակաս, քան 2 փորձարարաարդյունաբերական կամ արդյունաբերական սերիայի կայունության համապատասխան պարամետրերը, նրա տրամադրության տակ են գտնվում կայունության առնվազն 3-ամսյա ուսումնասիրության բավարար արդյունքները: Սակայն եթե առաջարկվող փաթեթվածքը հաստատվածի համեմատությամբ ավելի կայուն է, ապա չեն պահանջվում կայունության 3-ամսյա տվյալները։ Հետազոտությունները պետք է ավարտվեն, եթե արդյունքները չեն համապատասխանում մասնագրերին կամ հնարավոր է, որ չհամապատասխանեն մասնագրերին՝ պիտանիության ժամկետի ավարտին, ապա դրանք գործողությունների առաջարկվող պլանի հետ անհրաժեշտ է անհապաղ ներկայացնել լիազորված մարմին:</w:t>
            </w:r>
          </w:p>
        </w:tc>
      </w:tr>
      <w:tr w:rsidR="008C76E0" w:rsidRPr="003B2786" w14:paraId="12D12631"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center"/>
          </w:tcPr>
          <w:p w14:paraId="731F4CC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Դեղապատրաստուկի թողարկման մնացած ձ</w:t>
            </w:r>
            <w:r w:rsidR="00C54D75">
              <w:rPr>
                <w:rStyle w:val="Bodytext1811pt"/>
                <w:rFonts w:ascii="Sylfaen" w:hAnsi="Sylfaen"/>
                <w:sz w:val="24"/>
                <w:szCs w:val="24"/>
              </w:rPr>
              <w:t>և</w:t>
            </w:r>
            <w:r w:rsidRPr="003B2786">
              <w:rPr>
                <w:rStyle w:val="Bodytext1811pt"/>
                <w:rFonts w:ascii="Sylfaen" w:hAnsi="Sylfaen"/>
                <w:sz w:val="24"/>
                <w:szCs w:val="24"/>
              </w:rPr>
              <w:t>ը (ձ</w:t>
            </w:r>
            <w:r w:rsidR="00C54D75">
              <w:rPr>
                <w:rStyle w:val="Bodytext1811pt"/>
                <w:rFonts w:ascii="Sylfaen" w:hAnsi="Sylfaen"/>
                <w:sz w:val="24"/>
                <w:szCs w:val="24"/>
              </w:rPr>
              <w:t>և</w:t>
            </w:r>
            <w:r w:rsidRPr="003B2786">
              <w:rPr>
                <w:rStyle w:val="Bodytext1811pt"/>
                <w:rFonts w:ascii="Sylfaen" w:hAnsi="Sylfaen"/>
                <w:sz w:val="24"/>
                <w:szCs w:val="24"/>
              </w:rPr>
              <w:t xml:space="preserve">երը) պետք է բավարար լինի (լինեն) դեղապատրաստուկի ընդհանուր բնութագրում նշված դոզայի </w:t>
            </w:r>
            <w:r w:rsidR="00C54D75">
              <w:rPr>
                <w:rStyle w:val="Bodytext1811pt"/>
                <w:rFonts w:ascii="Sylfaen" w:hAnsi="Sylfaen"/>
                <w:sz w:val="24"/>
                <w:szCs w:val="24"/>
              </w:rPr>
              <w:t>և</w:t>
            </w:r>
            <w:r w:rsidRPr="003B2786">
              <w:rPr>
                <w:rStyle w:val="Bodytext1811pt"/>
                <w:rFonts w:ascii="Sylfaen" w:hAnsi="Sylfaen"/>
                <w:sz w:val="24"/>
                <w:szCs w:val="24"/>
              </w:rPr>
              <w:t xml:space="preserve"> բուժման տ</w:t>
            </w:r>
            <w:r w:rsidR="00C54D75">
              <w:rPr>
                <w:rStyle w:val="Bodytext1811pt"/>
                <w:rFonts w:ascii="Sylfaen" w:hAnsi="Sylfaen"/>
                <w:sz w:val="24"/>
                <w:szCs w:val="24"/>
              </w:rPr>
              <w:t>և</w:t>
            </w:r>
            <w:r w:rsidRPr="003B2786">
              <w:rPr>
                <w:rStyle w:val="Bodytext1811pt"/>
                <w:rFonts w:ascii="Sylfaen" w:hAnsi="Sylfaen"/>
                <w:sz w:val="24"/>
                <w:szCs w:val="24"/>
              </w:rPr>
              <w:t>ողության վերաբերյալ առաջարկությունների կատարման համար։</w:t>
            </w:r>
          </w:p>
        </w:tc>
      </w:tr>
      <w:tr w:rsidR="008C76E0" w:rsidRPr="003B2786" w14:paraId="5C7DAA27"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CB2ECC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731A8D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lastRenderedPageBreak/>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47271C5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Նոր փաթեթվածքի վերաբերյալ անհրաժեշտ տվյալները (օրինակ՝ թափանցելիության վերաբերյալ համեմատական տվյալները, օրինակ՝ О</w:t>
            </w:r>
            <w:r w:rsidRPr="003B2786">
              <w:rPr>
                <w:rStyle w:val="Bodytext295pt"/>
                <w:rFonts w:ascii="Sylfaen" w:hAnsi="Sylfaen"/>
                <w:sz w:val="24"/>
                <w:szCs w:val="24"/>
                <w:vertAlign w:val="subscript"/>
              </w:rPr>
              <w:t>2</w:t>
            </w:r>
            <w:r w:rsidRPr="008C76E0">
              <w:rPr>
                <w:rFonts w:ascii="Sylfaen" w:hAnsi="Sylfaen"/>
                <w:sz w:val="24"/>
                <w:szCs w:val="24"/>
                <w:lang w:val="hy-AM"/>
              </w:rPr>
              <w:t>-</w:t>
            </w:r>
            <w:r w:rsidRPr="008C76E0">
              <w:rPr>
                <w:rFonts w:ascii="Sylfaen" w:hAnsi="Sylfaen"/>
                <w:b w:val="0"/>
                <w:sz w:val="24"/>
                <w:szCs w:val="24"/>
                <w:lang w:val="hy-AM"/>
              </w:rPr>
              <w:t>ի</w:t>
            </w:r>
            <w:r w:rsidRPr="003B2786">
              <w:rPr>
                <w:rStyle w:val="Bodytext1811pt"/>
                <w:rFonts w:ascii="Sylfaen" w:hAnsi="Sylfaen"/>
                <w:sz w:val="24"/>
                <w:szCs w:val="24"/>
              </w:rPr>
              <w:t>, СО</w:t>
            </w:r>
            <w:r w:rsidRPr="003B2786">
              <w:rPr>
                <w:rStyle w:val="Bodytext295pt"/>
                <w:rFonts w:ascii="Sylfaen" w:hAnsi="Sylfaen"/>
                <w:sz w:val="24"/>
                <w:szCs w:val="24"/>
                <w:vertAlign w:val="subscript"/>
              </w:rPr>
              <w:t>2</w:t>
            </w:r>
            <w:r w:rsidRPr="008C76E0">
              <w:rPr>
                <w:rFonts w:ascii="Sylfaen" w:hAnsi="Sylfaen"/>
                <w:sz w:val="24"/>
                <w:szCs w:val="24"/>
                <w:lang w:val="hy-AM"/>
              </w:rPr>
              <w:t>-</w:t>
            </w:r>
            <w:r w:rsidRPr="008C76E0">
              <w:rPr>
                <w:rFonts w:ascii="Sylfaen" w:hAnsi="Sylfaen"/>
                <w:b w:val="0"/>
                <w:sz w:val="24"/>
                <w:szCs w:val="24"/>
                <w:lang w:val="hy-AM"/>
              </w:rPr>
              <w:t>ի</w:t>
            </w:r>
            <w:r w:rsidRPr="003B2786">
              <w:rPr>
                <w:rStyle w:val="Bodytext1811pt"/>
                <w:rFonts w:ascii="Sylfaen" w:hAnsi="Sylfaen"/>
                <w:sz w:val="24"/>
                <w:szCs w:val="24"/>
              </w:rPr>
              <w:t xml:space="preserve">, խոնավության համար </w:t>
            </w:r>
            <w:r w:rsidR="00C54D75">
              <w:rPr>
                <w:rStyle w:val="Bodytext1811pt"/>
                <w:rFonts w:ascii="Sylfaen" w:hAnsi="Sylfaen"/>
                <w:sz w:val="24"/>
                <w:szCs w:val="24"/>
              </w:rPr>
              <w:t>և</w:t>
            </w:r>
            <w:r w:rsidRPr="003B2786">
              <w:rPr>
                <w:rStyle w:val="Bodytext1811pt"/>
                <w:rFonts w:ascii="Sylfaen" w:hAnsi="Sylfaen"/>
                <w:sz w:val="24"/>
                <w:szCs w:val="24"/>
              </w:rPr>
              <w:t xml:space="preserve"> այլն):</w:t>
            </w:r>
          </w:p>
          <w:p w14:paraId="4277268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Համապատասխան դեպքերում անհրաժեշտ է տրամադրել հաստատումն այն բանի, որ պարունակության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փաթեթավորման նյութի միջ</w:t>
            </w:r>
            <w:r w:rsidR="00C54D75">
              <w:rPr>
                <w:rStyle w:val="Bodytext1811pt"/>
                <w:rFonts w:ascii="Sylfaen" w:hAnsi="Sylfaen"/>
                <w:sz w:val="24"/>
                <w:szCs w:val="24"/>
              </w:rPr>
              <w:t>և</w:t>
            </w:r>
            <w:r w:rsidRPr="003B2786">
              <w:rPr>
                <w:rStyle w:val="Bodytext1811pt"/>
                <w:rFonts w:ascii="Sylfaen" w:hAnsi="Sylfaen"/>
                <w:sz w:val="24"/>
                <w:szCs w:val="24"/>
              </w:rPr>
              <w:t xml:space="preserve"> փոխազդեցություն տեղի չի ունենում (օրինակ՝ բացակայում է առաջարկվող նյութի բաղադրիչների տեղափոխումը դրա պարունակության մեջ, դեղապատրաստուկի բաղադրիչները չեն փոխանցվում փաթեթվածք), այդ թվում՝ հաստատումն այն բանի, որ նյութը համապատասխանում է համապատասխան դեղագրքային պահանջներին կամ սննդամթերքի հետ շփման մեջ մտնող պլաստիկ նյութերի </w:t>
            </w:r>
            <w:r w:rsidR="00C54D75">
              <w:rPr>
                <w:rStyle w:val="Bodytext1811pt"/>
                <w:rFonts w:ascii="Sylfaen" w:hAnsi="Sylfaen"/>
                <w:sz w:val="24"/>
                <w:szCs w:val="24"/>
              </w:rPr>
              <w:t>և</w:t>
            </w:r>
            <w:r w:rsidRPr="003B2786">
              <w:rPr>
                <w:rStyle w:val="Bodytext1811pt"/>
                <w:rFonts w:ascii="Sylfaen" w:hAnsi="Sylfaen"/>
                <w:sz w:val="24"/>
                <w:szCs w:val="24"/>
              </w:rPr>
              <w:t xml:space="preserve"> օբյեկտների մասին Միության օրենսդրությանը:</w:t>
            </w:r>
          </w:p>
          <w:p w14:paraId="700DB240"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Միության փաստաթղթերին համապատասխան՝ սկսվել են կայունության պահանջվող ուսումնասիրությունները (նշելով սերիաների համարները), </w:t>
            </w:r>
            <w:r w:rsidR="00C54D75">
              <w:rPr>
                <w:rStyle w:val="Bodytext1811pt"/>
                <w:rFonts w:ascii="Sylfaen" w:hAnsi="Sylfaen"/>
                <w:sz w:val="24"/>
                <w:szCs w:val="24"/>
              </w:rPr>
              <w:t>և</w:t>
            </w:r>
            <w:r w:rsidRPr="003B2786">
              <w:rPr>
                <w:rStyle w:val="Bodytext1811pt"/>
                <w:rFonts w:ascii="Sylfaen" w:hAnsi="Sylfaen"/>
                <w:sz w:val="24"/>
                <w:szCs w:val="24"/>
              </w:rPr>
              <w:t xml:space="preserve"> որ (համապատասխան դեպքերում) փոփոխություններ կատարելու պահին հայտատուի տրամադրության տակ եղել են կայունության վերաբերյալ պահանջվող նվազագույն բավարար տվյալներ, </w:t>
            </w:r>
            <w:r w:rsidR="00C54D75">
              <w:rPr>
                <w:rStyle w:val="Bodytext1811pt"/>
                <w:rFonts w:ascii="Sylfaen" w:hAnsi="Sylfaen"/>
                <w:sz w:val="24"/>
                <w:szCs w:val="24"/>
              </w:rPr>
              <w:t>և</w:t>
            </w:r>
            <w:r w:rsidRPr="003B2786">
              <w:rPr>
                <w:rStyle w:val="Bodytext1811pt"/>
                <w:rFonts w:ascii="Sylfaen" w:hAnsi="Sylfaen"/>
                <w:sz w:val="24"/>
                <w:szCs w:val="24"/>
              </w:rPr>
              <w:t xml:space="preserve"> որ առկա տվյալները չեն վկայել որ</w:t>
            </w:r>
            <w:r w:rsidR="00C54D75">
              <w:rPr>
                <w:rStyle w:val="Bodytext1811pt"/>
                <w:rFonts w:ascii="Sylfaen" w:hAnsi="Sylfaen"/>
                <w:sz w:val="24"/>
                <w:szCs w:val="24"/>
              </w:rPr>
              <w:t>և</w:t>
            </w:r>
            <w:r w:rsidRPr="003B2786">
              <w:rPr>
                <w:rStyle w:val="Bodytext1811pt"/>
                <w:rFonts w:ascii="Sylfaen" w:hAnsi="Sylfaen"/>
                <w:sz w:val="24"/>
                <w:szCs w:val="24"/>
              </w:rPr>
              <w:t>է խնդրի մասին: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տրամադրել հաստատումն այն բանի, որ ուսումնասիրությունները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չեն համապատասխանի մասնագրերին կամ հնարավոր է, որ չեն կարող համապատասխանել մասնագրերին՝ պիտանիության ժամկետի ավարտին, ապա դրանք գործողությունների առաջարկվող պլանի հետ անհապաղ կներկայացվեն լիազոր մարմին:</w:t>
            </w:r>
          </w:p>
          <w:p w14:paraId="587C3DB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Կայունության էական պարամետրերով, 2-ից ոչ պակաս փորձարարաարդյունաբերական կամ արդյունաբերական սերիայի նկատմամբ, 3 ամսից ոչ պակաս տ</w:t>
            </w:r>
            <w:r w:rsidR="00C54D75">
              <w:rPr>
                <w:rStyle w:val="Bodytext1811pt"/>
                <w:rFonts w:ascii="Sylfaen" w:hAnsi="Sylfaen"/>
                <w:sz w:val="24"/>
                <w:szCs w:val="24"/>
              </w:rPr>
              <w:t>և</w:t>
            </w:r>
            <w:r w:rsidRPr="003B2786">
              <w:rPr>
                <w:rStyle w:val="Bodytext1811pt"/>
                <w:rFonts w:ascii="Sylfaen" w:hAnsi="Sylfaen"/>
                <w:sz w:val="24"/>
                <w:szCs w:val="24"/>
              </w:rPr>
              <w:t xml:space="preserve">ողությամբ՝ Միության փաստաթղթերին համապատասխան անցկացված կայունության ուսումնասիրությունների արդյունքներն ու հաստատումն այն բանի, որ նշված ուսումնասիրությունները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չհամապատասխանեն մասնագրերին կամ հնարավոր է, որ չեն կարող համապատասխանել մասնագրերին՝ պիտանիության ժամկետի ավարտին, ապա դրանք գործողությունների առաջարկվող պլանի հետ անհապաղ կներկայացվեն լիազոր մարմին:</w:t>
            </w:r>
          </w:p>
          <w:p w14:paraId="3158175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Առաջնային փաթեթվածքի ընթացիկ կամ առաջարկվող մասնագրերի համեմատություն (եթե կիրառելի է):</w:t>
            </w:r>
          </w:p>
          <w:p w14:paraId="1B84C64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նոր բեռնարկղի (խցանափակման) նմուշները։</w:t>
            </w:r>
          </w:p>
          <w:p w14:paraId="4FB7E29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pacing w:val="4"/>
                <w:sz w:val="24"/>
                <w:szCs w:val="24"/>
              </w:rPr>
              <w:t xml:space="preserve">Հայտարարագիր այն մասին, որ փաթեթվածքի մնացած չափը (չափերը) համապատասխանում է (են) դոզավորման ռեժիմին </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 xml:space="preserve"> բուժման տ</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ողությանը ու բավարար է (են) դեղապատրաստուկի ընդհանուր բնութագրում ներկայացված դոզավորման վերաբերյալ առաջարկությունների կատարման համար։</w:t>
            </w:r>
          </w:p>
        </w:tc>
      </w:tr>
      <w:tr w:rsidR="008C76E0" w:rsidRPr="003B2786" w14:paraId="145951EC" w14:textId="77777777" w:rsidTr="008C76E0">
        <w:trPr>
          <w:jc w:val="center"/>
        </w:trPr>
        <w:tc>
          <w:tcPr>
            <w:tcW w:w="2334" w:type="dxa"/>
            <w:gridSpan w:val="2"/>
            <w:tcBorders>
              <w:top w:val="single" w:sz="4" w:space="0" w:color="auto"/>
              <w:left w:val="single" w:sz="4" w:space="0" w:color="auto"/>
            </w:tcBorders>
            <w:shd w:val="clear" w:color="auto" w:fill="FFFFFF"/>
            <w:vAlign w:val="center"/>
          </w:tcPr>
          <w:p w14:paraId="5BF58371" w14:textId="77777777" w:rsidR="008C76E0" w:rsidRPr="003B2786" w:rsidRDefault="008C76E0" w:rsidP="008C76E0">
            <w:pPr>
              <w:pStyle w:val="Bodytext180"/>
              <w:shd w:val="clear" w:color="auto" w:fill="auto"/>
              <w:tabs>
                <w:tab w:val="left" w:pos="567"/>
              </w:tabs>
              <w:spacing w:before="0" w:after="120" w:line="240" w:lineRule="auto"/>
              <w:ind w:left="157" w:firstLine="0"/>
              <w:jc w:val="both"/>
              <w:rPr>
                <w:rFonts w:ascii="Sylfaen" w:hAnsi="Sylfaen"/>
                <w:sz w:val="24"/>
                <w:szCs w:val="24"/>
              </w:rPr>
            </w:pPr>
            <w:r w:rsidRPr="003B2786">
              <w:rPr>
                <w:rStyle w:val="Bodytext295pt"/>
                <w:rFonts w:ascii="Sylfaen" w:hAnsi="Sylfaen"/>
                <w:sz w:val="24"/>
                <w:szCs w:val="24"/>
              </w:rPr>
              <w:lastRenderedPageBreak/>
              <w:t>Ծանոթագրություն</w:t>
            </w:r>
          </w:p>
        </w:tc>
        <w:tc>
          <w:tcPr>
            <w:tcW w:w="8067" w:type="dxa"/>
            <w:gridSpan w:val="13"/>
            <w:tcBorders>
              <w:top w:val="single" w:sz="4" w:space="0" w:color="auto"/>
              <w:left w:val="single" w:sz="4" w:space="0" w:color="auto"/>
              <w:right w:val="single" w:sz="4" w:space="0" w:color="auto"/>
            </w:tcBorders>
            <w:shd w:val="clear" w:color="auto" w:fill="FFFFFF"/>
            <w:vAlign w:val="bottom"/>
          </w:tcPr>
          <w:p w14:paraId="74C067C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Բ.II.Ե.1.բ-ի համար՝ եթե փոփոխությունը հանգեցնում է «նոր դեղաձ</w:t>
            </w:r>
            <w:r w:rsidR="00C54D75">
              <w:rPr>
                <w:rStyle w:val="Bodytext1811pt"/>
                <w:rFonts w:ascii="Sylfaen" w:hAnsi="Sylfaen"/>
                <w:sz w:val="24"/>
                <w:szCs w:val="24"/>
              </w:rPr>
              <w:t>և</w:t>
            </w:r>
            <w:r w:rsidRPr="003B2786">
              <w:rPr>
                <w:rStyle w:val="Bodytext1811pt"/>
                <w:rFonts w:ascii="Sylfaen" w:hAnsi="Sylfaen"/>
                <w:sz w:val="24"/>
                <w:szCs w:val="24"/>
              </w:rPr>
              <w:t>ի առաջացմանը», ապա այդպիսի փոփոխությամբ պահանջվում է ներկայացնել գրանցման ընդլայնման հայտ։</w:t>
            </w:r>
          </w:p>
        </w:tc>
      </w:tr>
      <w:tr w:rsidR="008C76E0" w:rsidRPr="003B2786" w14:paraId="64202CF8"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vAlign w:val="bottom"/>
          </w:tcPr>
          <w:p w14:paraId="41A8997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Բ.II.ե.2.</w:t>
            </w:r>
            <w:r w:rsidRPr="003B2786">
              <w:rPr>
                <w:rStyle w:val="Bodytext1811pt"/>
                <w:rFonts w:ascii="Sylfaen" w:hAnsi="Sylfaen"/>
                <w:sz w:val="24"/>
                <w:szCs w:val="24"/>
              </w:rPr>
              <w:tab/>
              <w:t xml:space="preserve">Դեղապատրաստուկի </w:t>
            </w:r>
            <w:r w:rsidRPr="003B2786">
              <w:rPr>
                <w:rStyle w:val="Bodytext1811pt"/>
                <w:rFonts w:ascii="Sylfaen" w:hAnsi="Sylfaen"/>
                <w:sz w:val="24"/>
                <w:szCs w:val="24"/>
              </w:rPr>
              <w:lastRenderedPageBreak/>
              <w:t xml:space="preserve">առաջնային փաթեթվածքի մասնագրի պարամետրերի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ընդունելիության չափանիշների փոփոխությունը</w:t>
            </w:r>
          </w:p>
        </w:tc>
        <w:tc>
          <w:tcPr>
            <w:tcW w:w="1701" w:type="dxa"/>
            <w:gridSpan w:val="4"/>
            <w:tcBorders>
              <w:top w:val="single" w:sz="4" w:space="0" w:color="auto"/>
              <w:left w:val="single" w:sz="4" w:space="0" w:color="auto"/>
              <w:bottom w:val="single" w:sz="4" w:space="0" w:color="auto"/>
            </w:tcBorders>
            <w:shd w:val="clear" w:color="auto" w:fill="FFFFFF"/>
          </w:tcPr>
          <w:p w14:paraId="7C150036"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lastRenderedPageBreak/>
              <w:t xml:space="preserve">Անհրաժեշտ </w:t>
            </w:r>
            <w:r w:rsidRPr="003B2786">
              <w:rPr>
                <w:rStyle w:val="Bodytext1811pt"/>
                <w:rFonts w:ascii="Sylfaen" w:hAnsi="Sylfaen"/>
                <w:sz w:val="24"/>
                <w:szCs w:val="24"/>
              </w:rPr>
              <w:lastRenderedPageBreak/>
              <w:t>պայմանները</w:t>
            </w:r>
          </w:p>
        </w:tc>
        <w:tc>
          <w:tcPr>
            <w:tcW w:w="1984" w:type="dxa"/>
            <w:gridSpan w:val="2"/>
            <w:tcBorders>
              <w:top w:val="single" w:sz="4" w:space="0" w:color="auto"/>
              <w:left w:val="single" w:sz="4" w:space="0" w:color="auto"/>
              <w:bottom w:val="single" w:sz="4" w:space="0" w:color="auto"/>
            </w:tcBorders>
            <w:shd w:val="clear" w:color="auto" w:fill="FFFFFF"/>
          </w:tcPr>
          <w:p w14:paraId="4CB61379"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lastRenderedPageBreak/>
              <w:t xml:space="preserve">Փաստաթղթերը </w:t>
            </w:r>
            <w:r w:rsidR="00C54D75">
              <w:rPr>
                <w:rStyle w:val="Bodytext1811pt"/>
                <w:rFonts w:ascii="Sylfaen" w:hAnsi="Sylfaen"/>
                <w:sz w:val="24"/>
                <w:szCs w:val="24"/>
              </w:rPr>
              <w:lastRenderedPageBreak/>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0015EC8A"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lastRenderedPageBreak/>
              <w:t>Ընթացակարգ</w:t>
            </w:r>
            <w:r w:rsidRPr="003B2786">
              <w:rPr>
                <w:rStyle w:val="Bodytext1811pt"/>
                <w:rFonts w:ascii="Sylfaen" w:hAnsi="Sylfaen"/>
                <w:sz w:val="24"/>
                <w:szCs w:val="24"/>
              </w:rPr>
              <w:lastRenderedPageBreak/>
              <w:t>ը</w:t>
            </w:r>
          </w:p>
        </w:tc>
      </w:tr>
      <w:tr w:rsidR="008C76E0" w:rsidRPr="003B2786" w14:paraId="3302872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16A00D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ա)</w:t>
            </w:r>
            <w:r w:rsidRPr="003B2786">
              <w:rPr>
                <w:rStyle w:val="Bodytext1811pt"/>
                <w:rFonts w:ascii="Sylfaen" w:hAnsi="Sylfaen"/>
                <w:sz w:val="24"/>
                <w:szCs w:val="24"/>
              </w:rPr>
              <w:tab/>
              <w:t>մասնագրի ընդունելիության չափանիշների խստացում</w:t>
            </w:r>
          </w:p>
        </w:tc>
        <w:tc>
          <w:tcPr>
            <w:tcW w:w="1701" w:type="dxa"/>
            <w:gridSpan w:val="4"/>
            <w:tcBorders>
              <w:top w:val="single" w:sz="4" w:space="0" w:color="auto"/>
              <w:left w:val="single" w:sz="4" w:space="0" w:color="auto"/>
            </w:tcBorders>
            <w:shd w:val="clear" w:color="auto" w:fill="FFFFFF"/>
          </w:tcPr>
          <w:p w14:paraId="1AAED195"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3FAB11AD"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20D1FDCE"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C26A195"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307A94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մասնագրում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դրան համապատասխան վերլուծական մեթոդիկայի ավելացում</w:t>
            </w:r>
          </w:p>
        </w:tc>
        <w:tc>
          <w:tcPr>
            <w:tcW w:w="1701" w:type="dxa"/>
            <w:gridSpan w:val="4"/>
            <w:tcBorders>
              <w:top w:val="single" w:sz="4" w:space="0" w:color="auto"/>
              <w:left w:val="single" w:sz="4" w:space="0" w:color="auto"/>
            </w:tcBorders>
            <w:shd w:val="clear" w:color="auto" w:fill="FFFFFF"/>
          </w:tcPr>
          <w:p w14:paraId="57F6C969"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1, 2, 5</w:t>
            </w:r>
          </w:p>
        </w:tc>
        <w:tc>
          <w:tcPr>
            <w:tcW w:w="1984" w:type="dxa"/>
            <w:gridSpan w:val="2"/>
            <w:tcBorders>
              <w:top w:val="single" w:sz="4" w:space="0" w:color="auto"/>
              <w:left w:val="single" w:sz="4" w:space="0" w:color="auto"/>
            </w:tcBorders>
            <w:shd w:val="clear" w:color="auto" w:fill="FFFFFF"/>
          </w:tcPr>
          <w:p w14:paraId="3199A434"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1, 2, 3, 4, 6</w:t>
            </w:r>
          </w:p>
        </w:tc>
        <w:tc>
          <w:tcPr>
            <w:tcW w:w="1719" w:type="dxa"/>
            <w:gridSpan w:val="3"/>
            <w:tcBorders>
              <w:top w:val="single" w:sz="4" w:space="0" w:color="auto"/>
              <w:left w:val="single" w:sz="4" w:space="0" w:color="auto"/>
              <w:right w:val="single" w:sz="4" w:space="0" w:color="auto"/>
            </w:tcBorders>
            <w:shd w:val="clear" w:color="auto" w:fill="FFFFFF"/>
          </w:tcPr>
          <w:p w14:paraId="6E3D2E50"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0DAE85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111A7F9"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Style w:val="Bodytext1811pt"/>
                <w:rFonts w:ascii="Sylfaen" w:hAnsi="Sylfaen"/>
                <w:sz w:val="24"/>
                <w:szCs w:val="24"/>
              </w:rPr>
            </w:pPr>
            <w:r w:rsidRPr="003B2786">
              <w:rPr>
                <w:rStyle w:val="Bodytext1811pt"/>
                <w:rFonts w:ascii="Sylfaen" w:hAnsi="Sylfaen"/>
                <w:sz w:val="24"/>
                <w:szCs w:val="24"/>
              </w:rPr>
              <w:t>գ)</w:t>
            </w:r>
            <w:r w:rsidRPr="003B2786">
              <w:rPr>
                <w:rStyle w:val="Bodytext1811pt"/>
                <w:rFonts w:ascii="Sylfaen" w:hAnsi="Sylfaen"/>
                <w:sz w:val="24"/>
                <w:szCs w:val="24"/>
              </w:rPr>
              <w:tab/>
              <w:t>մասնագրի ոչ էական պարամետրի բացառում (օրինակ՝ հնացած պարամետրի բացառում)</w:t>
            </w:r>
          </w:p>
          <w:p w14:paraId="0D65C2F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p>
        </w:tc>
        <w:tc>
          <w:tcPr>
            <w:tcW w:w="1701" w:type="dxa"/>
            <w:gridSpan w:val="4"/>
            <w:tcBorders>
              <w:top w:val="single" w:sz="4" w:space="0" w:color="auto"/>
              <w:left w:val="single" w:sz="4" w:space="0" w:color="auto"/>
            </w:tcBorders>
            <w:shd w:val="clear" w:color="auto" w:fill="FFFFFF"/>
          </w:tcPr>
          <w:p w14:paraId="13F455F8"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1F92CA56"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1, 2, 5</w:t>
            </w:r>
          </w:p>
        </w:tc>
        <w:tc>
          <w:tcPr>
            <w:tcW w:w="1719" w:type="dxa"/>
            <w:gridSpan w:val="3"/>
            <w:tcBorders>
              <w:top w:val="single" w:sz="4" w:space="0" w:color="auto"/>
              <w:left w:val="single" w:sz="4" w:space="0" w:color="auto"/>
              <w:right w:val="single" w:sz="4" w:space="0" w:color="auto"/>
            </w:tcBorders>
            <w:shd w:val="clear" w:color="auto" w:fill="FFFFFF"/>
          </w:tcPr>
          <w:p w14:paraId="5D690468"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D65EA4F" w14:textId="77777777" w:rsidTr="008C76E0">
        <w:trPr>
          <w:jc w:val="center"/>
        </w:trPr>
        <w:tc>
          <w:tcPr>
            <w:tcW w:w="4997" w:type="dxa"/>
            <w:gridSpan w:val="6"/>
            <w:tcBorders>
              <w:top w:val="single" w:sz="4" w:space="0" w:color="auto"/>
              <w:left w:val="single" w:sz="4" w:space="0" w:color="auto"/>
            </w:tcBorders>
            <w:shd w:val="clear" w:color="auto" w:fill="FFFFFF"/>
          </w:tcPr>
          <w:p w14:paraId="0910344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մասնագրի պարամետրի ավելացում կամ փոխարինում՝ անվտանգության կամ որակի նկատառումներից ելնելով</w:t>
            </w:r>
          </w:p>
        </w:tc>
        <w:tc>
          <w:tcPr>
            <w:tcW w:w="1701" w:type="dxa"/>
            <w:gridSpan w:val="4"/>
            <w:tcBorders>
              <w:top w:val="single" w:sz="4" w:space="0" w:color="auto"/>
              <w:left w:val="single" w:sz="4" w:space="0" w:color="auto"/>
            </w:tcBorders>
            <w:shd w:val="clear" w:color="auto" w:fill="FFFFFF"/>
          </w:tcPr>
          <w:p w14:paraId="4DB2B6D3"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C1CA27A"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1, 2, 3, 4, 6</w:t>
            </w:r>
          </w:p>
        </w:tc>
        <w:tc>
          <w:tcPr>
            <w:tcW w:w="1719" w:type="dxa"/>
            <w:gridSpan w:val="3"/>
            <w:tcBorders>
              <w:top w:val="single" w:sz="4" w:space="0" w:color="auto"/>
              <w:left w:val="single" w:sz="4" w:space="0" w:color="auto"/>
              <w:right w:val="single" w:sz="4" w:space="0" w:color="auto"/>
            </w:tcBorders>
            <w:shd w:val="clear" w:color="auto" w:fill="FFFFFF"/>
          </w:tcPr>
          <w:p w14:paraId="51921CC1" w14:textId="77777777" w:rsidR="008C76E0" w:rsidRPr="003B2786" w:rsidRDefault="008C76E0" w:rsidP="008C76E0">
            <w:pPr>
              <w:pStyle w:val="Bodytext180"/>
              <w:shd w:val="clear" w:color="auto" w:fill="auto"/>
              <w:spacing w:before="0" w:after="120" w:line="240" w:lineRule="auto"/>
              <w:ind w:right="59"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55943A2"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9DABC80"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77E789A"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հետ</w:t>
            </w:r>
            <w:r w:rsidR="00C54D75">
              <w:rPr>
                <w:rStyle w:val="Bodytext1811pt"/>
                <w:rFonts w:ascii="Sylfaen" w:hAnsi="Sylfaen"/>
                <w:sz w:val="24"/>
                <w:szCs w:val="24"/>
              </w:rPr>
              <w:t>և</w:t>
            </w:r>
            <w:r w:rsidRPr="003B2786">
              <w:rPr>
                <w:rStyle w:val="Bodytext1811pt"/>
                <w:rFonts w:ascii="Sylfaen" w:hAnsi="Sylfaen"/>
                <w:sz w:val="24"/>
                <w:szCs w:val="24"/>
              </w:rPr>
              <w:t>անք չէ մասնագրի ընդունելիության չափանիշների վերլուծության նպատակով նախկինում կատարված փորձաքննության արդյունքներով ընդունված որ</w:t>
            </w:r>
            <w:r w:rsidR="00C54D75">
              <w:rPr>
                <w:rStyle w:val="Bodytext1811pt"/>
                <w:rFonts w:ascii="Sylfaen" w:hAnsi="Sylfaen"/>
                <w:sz w:val="24"/>
                <w:szCs w:val="24"/>
              </w:rPr>
              <w:t>և</w:t>
            </w:r>
            <w:r w:rsidRPr="003B2786">
              <w:rPr>
                <w:rStyle w:val="Bodytext1811pt"/>
                <w:rFonts w:ascii="Sylfaen" w:hAnsi="Sylfaen"/>
                <w:sz w:val="24"/>
                <w:szCs w:val="24"/>
              </w:rPr>
              <w:t>է պարտավորության (օրինակ՝ դեղապատրաստուկի գրանցման կամ II տիպի փոփոխության կատարման ընթացքում):</w:t>
            </w:r>
          </w:p>
          <w:p w14:paraId="29E5A0C3"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Փոփոխությունն արտադրության ընթացքում առաջ եկած անկանխատեսելի իրավիճակների հետ</w:t>
            </w:r>
            <w:r w:rsidR="00C54D75">
              <w:rPr>
                <w:rStyle w:val="Bodytext1811pt"/>
                <w:rFonts w:ascii="Sylfaen" w:hAnsi="Sylfaen"/>
                <w:sz w:val="24"/>
                <w:szCs w:val="24"/>
              </w:rPr>
              <w:t>և</w:t>
            </w:r>
            <w:r w:rsidRPr="003B2786">
              <w:rPr>
                <w:rStyle w:val="Bodytext1811pt"/>
                <w:rFonts w:ascii="Sylfaen" w:hAnsi="Sylfaen"/>
                <w:sz w:val="24"/>
                <w:szCs w:val="24"/>
              </w:rPr>
              <w:t>անք չէ։</w:t>
            </w:r>
          </w:p>
          <w:p w14:paraId="69551322"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Ցանկացած փոփոխություն պետք է համապատասխանի ընդունելիության ընթացիկ հաստատված չափանիշների տիրույթին:</w:t>
            </w:r>
          </w:p>
          <w:p w14:paraId="7FCBE553"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Վերլուծական մեթոդիկան չի փոփոխվում կամ փոփոխվում է աննշան:</w:t>
            </w:r>
          </w:p>
          <w:p w14:paraId="4C29A985"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նորովի օգտագործվող ստանդարտ մեթոդաբանության վրա։</w:t>
            </w:r>
          </w:p>
        </w:tc>
      </w:tr>
      <w:tr w:rsidR="008C76E0" w:rsidRPr="003B2786" w14:paraId="44132765"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C848267"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28BA0A2"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419E1A07"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69595AB4"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Նոր վերլուծական մեթոդիկայի մանրամասն նկարագրությունը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վալիդացման տվյալները (համապատասխան դեպքերում):</w:t>
            </w:r>
          </w:p>
          <w:p w14:paraId="23F9AC45"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Մասնագրերի բոլոր պարամետրերով (ցուցանիշներով) փաթեթավորման նյութի երկու սերիայի վերլուծության տվյալները։</w:t>
            </w:r>
          </w:p>
          <w:p w14:paraId="3C5296BA"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Պարամետրի ոչ էական լինելու հանգամանքը հաստատող հիմնավորումը (ռիսկերի գնահատումը)։</w:t>
            </w:r>
          </w:p>
          <w:p w14:paraId="476D383C" w14:textId="77777777" w:rsidR="008C76E0" w:rsidRPr="008C76E0" w:rsidRDefault="008C76E0" w:rsidP="008C76E0">
            <w:pPr>
              <w:pStyle w:val="Bodytext180"/>
              <w:shd w:val="clear" w:color="auto" w:fill="auto"/>
              <w:tabs>
                <w:tab w:val="left" w:pos="567"/>
              </w:tabs>
              <w:spacing w:before="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Մասնագրի նոր պարամետրի </w:t>
            </w:r>
            <w:r w:rsidR="00C54D75">
              <w:rPr>
                <w:rStyle w:val="Bodytext1811pt"/>
                <w:rFonts w:ascii="Sylfaen" w:hAnsi="Sylfaen"/>
                <w:sz w:val="24"/>
                <w:szCs w:val="24"/>
              </w:rPr>
              <w:t>և</w:t>
            </w:r>
            <w:r w:rsidRPr="003B2786">
              <w:rPr>
                <w:rStyle w:val="Bodytext1811pt"/>
                <w:rFonts w:ascii="Sylfaen" w:hAnsi="Sylfaen"/>
                <w:sz w:val="24"/>
                <w:szCs w:val="24"/>
              </w:rPr>
              <w:t xml:space="preserve"> ընդունելիության չափանիշների հիմնավորումը։</w:t>
            </w:r>
          </w:p>
        </w:tc>
      </w:tr>
      <w:tr w:rsidR="008C76E0" w:rsidRPr="003B2786" w14:paraId="21F40333"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DDB201D"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Բ.II.ե.3.</w:t>
            </w:r>
            <w:r w:rsidRPr="003B2786">
              <w:rPr>
                <w:rStyle w:val="Bodytext1811pt"/>
                <w:rFonts w:ascii="Sylfaen" w:hAnsi="Sylfaen"/>
                <w:sz w:val="24"/>
                <w:szCs w:val="24"/>
              </w:rPr>
              <w:tab/>
              <w:t>Դեղապատրաստուկի առաջնային փաթեթվածքի համար նախատեսված վերլուծական մեթոդիկայի փոփոխությունը</w:t>
            </w:r>
          </w:p>
        </w:tc>
        <w:tc>
          <w:tcPr>
            <w:tcW w:w="1701" w:type="dxa"/>
            <w:gridSpan w:val="4"/>
            <w:tcBorders>
              <w:top w:val="single" w:sz="4" w:space="0" w:color="auto"/>
              <w:left w:val="single" w:sz="4" w:space="0" w:color="auto"/>
            </w:tcBorders>
            <w:shd w:val="clear" w:color="auto" w:fill="FFFFFF"/>
          </w:tcPr>
          <w:p w14:paraId="4A6BCAE2"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4530B7B"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20EC3D2F"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4714F03"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92B8E2D"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bCs w:val="0"/>
                <w:color w:val="000000"/>
                <w:sz w:val="24"/>
                <w:szCs w:val="24"/>
                <w:shd w:val="clear" w:color="auto" w:fill="FFFFFF"/>
                <w:lang w:val="hy-AM"/>
              </w:rPr>
            </w:pPr>
            <w:r w:rsidRPr="003B2786">
              <w:rPr>
                <w:rStyle w:val="Bodytext1811pt"/>
                <w:rFonts w:ascii="Sylfaen" w:hAnsi="Sylfaen"/>
                <w:sz w:val="24"/>
                <w:szCs w:val="24"/>
              </w:rPr>
              <w:lastRenderedPageBreak/>
              <w:t>ա)</w:t>
            </w:r>
            <w:r w:rsidRPr="003B2786">
              <w:rPr>
                <w:rStyle w:val="Bodytext1811pt"/>
                <w:rFonts w:ascii="Sylfaen" w:hAnsi="Sylfaen"/>
                <w:sz w:val="24"/>
                <w:szCs w:val="24"/>
              </w:rPr>
              <w:tab/>
              <w:t>հաստատված վերլուծական մեթոդիկայի ոչ էական փոփոխություն</w:t>
            </w:r>
          </w:p>
        </w:tc>
        <w:tc>
          <w:tcPr>
            <w:tcW w:w="1701" w:type="dxa"/>
            <w:gridSpan w:val="4"/>
            <w:tcBorders>
              <w:top w:val="single" w:sz="4" w:space="0" w:color="auto"/>
              <w:left w:val="single" w:sz="4" w:space="0" w:color="auto"/>
            </w:tcBorders>
            <w:shd w:val="clear" w:color="auto" w:fill="FFFFFF"/>
          </w:tcPr>
          <w:p w14:paraId="06FA153D"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w:t>
            </w:r>
          </w:p>
        </w:tc>
        <w:tc>
          <w:tcPr>
            <w:tcW w:w="1984" w:type="dxa"/>
            <w:gridSpan w:val="2"/>
            <w:tcBorders>
              <w:top w:val="single" w:sz="4" w:space="0" w:color="auto"/>
              <w:left w:val="single" w:sz="4" w:space="0" w:color="auto"/>
            </w:tcBorders>
            <w:shd w:val="clear" w:color="auto" w:fill="FFFFFF"/>
          </w:tcPr>
          <w:p w14:paraId="430D842D"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789482F8"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0264D4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9F12E16"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վերլուծական մեթոդիկայի այլ փոփոխություններ (ներառյալ՝ փոխարինումը կամ ավելացումը)</w:t>
            </w:r>
          </w:p>
        </w:tc>
        <w:tc>
          <w:tcPr>
            <w:tcW w:w="1701" w:type="dxa"/>
            <w:gridSpan w:val="4"/>
            <w:tcBorders>
              <w:top w:val="single" w:sz="4" w:space="0" w:color="auto"/>
              <w:left w:val="single" w:sz="4" w:space="0" w:color="auto"/>
            </w:tcBorders>
            <w:shd w:val="clear" w:color="auto" w:fill="FFFFFF"/>
          </w:tcPr>
          <w:p w14:paraId="7481CF8A"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1, 3, 4</w:t>
            </w:r>
          </w:p>
        </w:tc>
        <w:tc>
          <w:tcPr>
            <w:tcW w:w="1984" w:type="dxa"/>
            <w:gridSpan w:val="2"/>
            <w:tcBorders>
              <w:top w:val="single" w:sz="4" w:space="0" w:color="auto"/>
              <w:left w:val="single" w:sz="4" w:space="0" w:color="auto"/>
            </w:tcBorders>
            <w:shd w:val="clear" w:color="auto" w:fill="FFFFFF"/>
          </w:tcPr>
          <w:p w14:paraId="3303E143"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36E59232"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7E506D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86E55D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վերլուծական մեթոդիկայի բացառում, եթե դրա այլընտրանքային մեթոդիկան արդեն հաստատված է</w:t>
            </w:r>
          </w:p>
        </w:tc>
        <w:tc>
          <w:tcPr>
            <w:tcW w:w="1701" w:type="dxa"/>
            <w:gridSpan w:val="4"/>
            <w:tcBorders>
              <w:top w:val="single" w:sz="4" w:space="0" w:color="auto"/>
              <w:left w:val="single" w:sz="4" w:space="0" w:color="auto"/>
            </w:tcBorders>
            <w:shd w:val="clear" w:color="auto" w:fill="FFFFFF"/>
          </w:tcPr>
          <w:p w14:paraId="3BE0A8F2"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5</w:t>
            </w:r>
          </w:p>
        </w:tc>
        <w:tc>
          <w:tcPr>
            <w:tcW w:w="1984" w:type="dxa"/>
            <w:gridSpan w:val="2"/>
            <w:tcBorders>
              <w:top w:val="single" w:sz="4" w:space="0" w:color="auto"/>
              <w:left w:val="single" w:sz="4" w:space="0" w:color="auto"/>
            </w:tcBorders>
            <w:shd w:val="clear" w:color="auto" w:fill="FFFFFF"/>
          </w:tcPr>
          <w:p w14:paraId="34BE2574"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7DAFAF4D"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F11F8E9"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08447FA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6E14AA9"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Համապատասխան փաստաթղթերի համաձայն՝ անցկացված անհրաժեշտ վալիդացում, որով հաստատվում է թարմացված վերլուծական մեթոդիկայի՝ առնվազն նախորդին համարժեք լինելու հանգամանքը։</w:t>
            </w:r>
          </w:p>
          <w:p w14:paraId="4BFA02F2" w14:textId="77777777" w:rsidR="008C76E0" w:rsidRPr="008C76E0" w:rsidRDefault="008C76E0" w:rsidP="008C76E0">
            <w:pPr>
              <w:pStyle w:val="Bodytext180"/>
              <w:shd w:val="clear" w:color="auto" w:fill="auto"/>
              <w:tabs>
                <w:tab w:val="left" w:pos="567"/>
              </w:tabs>
              <w:spacing w:before="0" w:after="120" w:line="240"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Վերլուծության մեթոդը չի փոփոխվել (օրինակ՝ սյունակի երկարության կամ ջերմաստիճանի փոփոխությունը, այլ ոչ թե այլ սյունակ կամ մեթոդ):</w:t>
            </w:r>
          </w:p>
          <w:p w14:paraId="514FD7A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Փորձարկման ոչ մի նոր մեթոդ հիմնված չէ նոր ոչ ստանդարտ մեթոդաբանության կամ նորովի օգտագործվող ստանդարտ մեթոդաբանության վրա։</w:t>
            </w:r>
          </w:p>
        </w:tc>
      </w:tr>
      <w:tr w:rsidR="008C76E0" w:rsidRPr="003B2786" w14:paraId="0C5142F9"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6F87068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բաղադրամասը (դեղապատրաստուկը) կենսաբանական (իմունաբանական) չէ:</w:t>
            </w:r>
          </w:p>
          <w:p w14:paraId="2A11EA2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Արդեն հաստատվել է մասնագրի պարամետրի համար այլընտրանքային վերլուծական մեթոդիկան, ընդ որում, նման մեթոդիկան չի ներառվել IA (IA</w:t>
            </w:r>
            <w:r w:rsidRPr="003B2786">
              <w:rPr>
                <w:rStyle w:val="Bodytext1811pt"/>
                <w:rFonts w:ascii="Sylfaen" w:hAnsi="Sylfaen"/>
                <w:sz w:val="24"/>
                <w:szCs w:val="24"/>
                <w:vertAlign w:val="subscript"/>
              </w:rPr>
              <w:t>ԱՊ</w:t>
            </w:r>
            <w:r w:rsidRPr="003B2786">
              <w:rPr>
                <w:rStyle w:val="Bodytext1811pt"/>
                <w:rFonts w:ascii="Sylfaen" w:hAnsi="Sylfaen"/>
                <w:sz w:val="24"/>
                <w:szCs w:val="24"/>
              </w:rPr>
              <w:t>) ծանուցման միջոցով:</w:t>
            </w:r>
          </w:p>
        </w:tc>
      </w:tr>
      <w:tr w:rsidR="008C76E0" w:rsidRPr="003B2786" w14:paraId="3EA93E60"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24830BA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26293D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2ACE128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Վալիդացման համեմատական արդյունքները կամ հիմնավորման առկայության դեպքում՝ վերլուծության համեմատական արդյունքները, որոնցով հաստատվում է 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փորձարկումների համարժեք լինելու հանգամանքը: Սույն պահանջը չի կիրառվում, եթե ավելացվում է նոր վերլուծական մեթոդիկա:</w:t>
            </w:r>
          </w:p>
        </w:tc>
      </w:tr>
      <w:tr w:rsidR="008C76E0" w:rsidRPr="003B2786" w14:paraId="7C73CE9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DCABC5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Բ.II.ե.4.</w:t>
            </w:r>
            <w:r w:rsidRPr="003B2786">
              <w:rPr>
                <w:rStyle w:val="Bodytext1811pt"/>
                <w:rFonts w:ascii="Sylfaen" w:hAnsi="Sylfaen"/>
                <w:sz w:val="24"/>
                <w:szCs w:val="24"/>
              </w:rPr>
              <w:tab/>
              <w:t>Առաջնային փաթեթվածքի կամ խցանափակման (առաջնային փաթեթվածքի) ձ</w:t>
            </w:r>
            <w:r w:rsidR="00C54D75">
              <w:rPr>
                <w:rStyle w:val="Bodytext1811pt"/>
                <w:rFonts w:ascii="Sylfaen" w:hAnsi="Sylfaen"/>
                <w:sz w:val="24"/>
                <w:szCs w:val="24"/>
              </w:rPr>
              <w:t>և</w:t>
            </w:r>
            <w:r w:rsidRPr="003B2786">
              <w:rPr>
                <w:rStyle w:val="Bodytext1811pt"/>
                <w:rFonts w:ascii="Sylfaen" w:hAnsi="Sylfaen"/>
                <w:sz w:val="24"/>
                <w:szCs w:val="24"/>
              </w:rPr>
              <w:t>ի կամ չափերի փոփոխությունը</w:t>
            </w:r>
          </w:p>
        </w:tc>
        <w:tc>
          <w:tcPr>
            <w:tcW w:w="1701" w:type="dxa"/>
            <w:gridSpan w:val="4"/>
            <w:tcBorders>
              <w:top w:val="single" w:sz="4" w:space="0" w:color="auto"/>
              <w:left w:val="single" w:sz="4" w:space="0" w:color="auto"/>
            </w:tcBorders>
            <w:shd w:val="clear" w:color="auto" w:fill="FFFFFF"/>
          </w:tcPr>
          <w:p w14:paraId="65A86325"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7F060EE"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2BC33FD0"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0F8F14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1CAB595"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ա)</w:t>
            </w:r>
            <w:r w:rsidRPr="003B2786">
              <w:rPr>
                <w:rStyle w:val="Bodytext1811pt"/>
                <w:rFonts w:ascii="Sylfaen" w:hAnsi="Sylfaen"/>
                <w:sz w:val="24"/>
                <w:szCs w:val="24"/>
              </w:rPr>
              <w:tab/>
              <w:t>ոչ մանրէազերծ դեղապատրաստուկներ</w:t>
            </w:r>
          </w:p>
        </w:tc>
        <w:tc>
          <w:tcPr>
            <w:tcW w:w="1701" w:type="dxa"/>
            <w:gridSpan w:val="4"/>
            <w:tcBorders>
              <w:top w:val="single" w:sz="4" w:space="0" w:color="auto"/>
              <w:left w:val="single" w:sz="4" w:space="0" w:color="auto"/>
            </w:tcBorders>
            <w:shd w:val="clear" w:color="auto" w:fill="FFFFFF"/>
          </w:tcPr>
          <w:p w14:paraId="58A4C681"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984" w:type="dxa"/>
            <w:gridSpan w:val="2"/>
            <w:tcBorders>
              <w:top w:val="single" w:sz="4" w:space="0" w:color="auto"/>
              <w:left w:val="single" w:sz="4" w:space="0" w:color="auto"/>
            </w:tcBorders>
            <w:shd w:val="clear" w:color="auto" w:fill="FFFFFF"/>
          </w:tcPr>
          <w:p w14:paraId="4460379B"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1, 2, 4</w:t>
            </w:r>
          </w:p>
        </w:tc>
        <w:tc>
          <w:tcPr>
            <w:tcW w:w="1719" w:type="dxa"/>
            <w:gridSpan w:val="3"/>
            <w:tcBorders>
              <w:top w:val="single" w:sz="4" w:space="0" w:color="auto"/>
              <w:left w:val="single" w:sz="4" w:space="0" w:color="auto"/>
              <w:right w:val="single" w:sz="4" w:space="0" w:color="auto"/>
            </w:tcBorders>
            <w:shd w:val="clear" w:color="auto" w:fill="FFFFFF"/>
          </w:tcPr>
          <w:p w14:paraId="3A41FFA3"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98C030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94BE05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ձ</w:t>
            </w:r>
            <w:r w:rsidR="00C54D75">
              <w:rPr>
                <w:rStyle w:val="Bodytext1811pt"/>
                <w:rFonts w:ascii="Sylfaen" w:hAnsi="Sylfaen"/>
                <w:sz w:val="24"/>
                <w:szCs w:val="24"/>
              </w:rPr>
              <w:t>և</w:t>
            </w:r>
            <w:r w:rsidRPr="003B2786">
              <w:rPr>
                <w:rStyle w:val="Bodytext1811pt"/>
                <w:rFonts w:ascii="Sylfaen" w:hAnsi="Sylfaen"/>
                <w:sz w:val="24"/>
                <w:szCs w:val="24"/>
              </w:rPr>
              <w:t>ի կամ չափի փոփոխությունը վերաբերում է փաթեթավորման նյութի կար</w:t>
            </w:r>
            <w:r w:rsidR="00C54D75">
              <w:rPr>
                <w:rStyle w:val="Bodytext1811pt"/>
                <w:rFonts w:ascii="Sylfaen" w:hAnsi="Sylfaen"/>
                <w:sz w:val="24"/>
                <w:szCs w:val="24"/>
              </w:rPr>
              <w:t>և</w:t>
            </w:r>
            <w:r w:rsidRPr="003B2786">
              <w:rPr>
                <w:rStyle w:val="Bodytext1811pt"/>
                <w:rFonts w:ascii="Sylfaen" w:hAnsi="Sylfaen"/>
                <w:sz w:val="24"/>
                <w:szCs w:val="24"/>
              </w:rPr>
              <w:t>որ ցուցանիշներին, որոնք կարող են էապես ազդել դեղապատրաստուկի առաքման, կիրառության, անվտանգության կամ կայունության վրա</w:t>
            </w:r>
          </w:p>
        </w:tc>
        <w:tc>
          <w:tcPr>
            <w:tcW w:w="1701" w:type="dxa"/>
            <w:gridSpan w:val="4"/>
            <w:tcBorders>
              <w:top w:val="single" w:sz="4" w:space="0" w:color="auto"/>
              <w:left w:val="single" w:sz="4" w:space="0" w:color="auto"/>
            </w:tcBorders>
            <w:shd w:val="clear" w:color="auto" w:fill="FFFFFF"/>
          </w:tcPr>
          <w:p w14:paraId="2EEA5D5F"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00CD156"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36C7C98D"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D24A1F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B5E324F"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lastRenderedPageBreak/>
              <w:t>գ)</w:t>
            </w:r>
            <w:r w:rsidRPr="003B2786">
              <w:rPr>
                <w:rStyle w:val="Bodytext1811pt"/>
                <w:rFonts w:ascii="Sylfaen" w:hAnsi="Sylfaen"/>
                <w:sz w:val="24"/>
                <w:szCs w:val="24"/>
              </w:rPr>
              <w:tab/>
              <w:t>մանրէազերծ դեղապատրաստուկներ</w:t>
            </w:r>
          </w:p>
        </w:tc>
        <w:tc>
          <w:tcPr>
            <w:tcW w:w="1701" w:type="dxa"/>
            <w:gridSpan w:val="4"/>
            <w:tcBorders>
              <w:top w:val="single" w:sz="4" w:space="0" w:color="auto"/>
              <w:left w:val="single" w:sz="4" w:space="0" w:color="auto"/>
            </w:tcBorders>
            <w:shd w:val="clear" w:color="auto" w:fill="FFFFFF"/>
          </w:tcPr>
          <w:p w14:paraId="67BCF510"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7124419"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1719" w:type="dxa"/>
            <w:gridSpan w:val="3"/>
            <w:tcBorders>
              <w:top w:val="single" w:sz="4" w:space="0" w:color="auto"/>
              <w:left w:val="single" w:sz="4" w:space="0" w:color="auto"/>
              <w:right w:val="single" w:sz="4" w:space="0" w:color="auto"/>
            </w:tcBorders>
            <w:shd w:val="clear" w:color="auto" w:fill="FFFFFF"/>
          </w:tcPr>
          <w:p w14:paraId="72CB5263"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B590A5A"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0166604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F87DAF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Առաջնային փաթեթվածքի քանակական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որակական բաղադրությունը չի փոփոխվել։</w:t>
            </w:r>
          </w:p>
          <w:p w14:paraId="29E7C31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չի վերաբերում փաթեթավորման նյութի որակի կար</w:t>
            </w:r>
            <w:r w:rsidR="00C54D75">
              <w:rPr>
                <w:rStyle w:val="Bodytext1811pt"/>
                <w:rFonts w:ascii="Sylfaen" w:hAnsi="Sylfaen"/>
                <w:sz w:val="24"/>
                <w:szCs w:val="24"/>
              </w:rPr>
              <w:t>և</w:t>
            </w:r>
            <w:r w:rsidRPr="003B2786">
              <w:rPr>
                <w:rStyle w:val="Bodytext1811pt"/>
                <w:rFonts w:ascii="Sylfaen" w:hAnsi="Sylfaen"/>
                <w:sz w:val="24"/>
                <w:szCs w:val="24"/>
              </w:rPr>
              <w:t>որ ցուցանիշներին, որոնք կարող են էապես ազդել դեղապատրաստուկի առաքման, կիրառության, անվտանգության կամ կայունության վրա։</w:t>
            </w:r>
          </w:p>
          <w:p w14:paraId="3B33553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pacing w:val="6"/>
                <w:sz w:val="24"/>
                <w:szCs w:val="24"/>
              </w:rPr>
              <w:t>Ազատ տարածության կամ մակերեսի (ծավալի) հարաբերակցության փոփոխության դեպքում, կայունության վերաբերյալ Միության համապատասխան փաստաթղթերի համաձայն, սկսվել են կայունության համապատասխան հետազոտությունները, վերլուծվել են առնվազն 2 փորձարարաարդյունաբերական (կենսաբանական (իմունաբանական) դեղապատրաստուկների համար՝ 3 սերիայի) կամ արդյունաբերական սերիայի կայունության համապատասխան պարամետրերը, հայտատուի տրամադրության տակ են</w:t>
            </w:r>
            <w:r w:rsidRPr="003B2786">
              <w:rPr>
                <w:rStyle w:val="Bodytext1811pt"/>
                <w:rFonts w:ascii="Sylfaen" w:hAnsi="Sylfaen"/>
                <w:sz w:val="24"/>
                <w:szCs w:val="24"/>
              </w:rPr>
              <w:t xml:space="preserve"> գտնվում կայունության առնվազն </w:t>
            </w:r>
            <w:r w:rsidRPr="003B2786">
              <w:rPr>
                <w:rStyle w:val="Bodytext1811pt"/>
                <w:rFonts w:ascii="Sylfaen" w:hAnsi="Sylfaen"/>
                <w:sz w:val="24"/>
                <w:szCs w:val="24"/>
              </w:rPr>
              <w:br/>
              <w:t>3-</w:t>
            </w:r>
            <w:r w:rsidRPr="003B2786">
              <w:rPr>
                <w:rStyle w:val="Bodytext1811pt"/>
                <w:rFonts w:ascii="Sylfaen" w:hAnsi="Sylfaen"/>
                <w:spacing w:val="6"/>
                <w:sz w:val="24"/>
                <w:szCs w:val="24"/>
              </w:rPr>
              <w:t>ամսյա (կենսաբանական (իմունաբանական) դեղապատրաստուկների համար՝ 6</w:t>
            </w:r>
            <w:r w:rsidRPr="003B2786">
              <w:rPr>
                <w:rStyle w:val="Bodytext1811pt"/>
                <w:rFonts w:ascii="Sylfaen" w:hAnsi="Sylfaen"/>
                <w:sz w:val="24"/>
                <w:szCs w:val="24"/>
              </w:rPr>
              <w:t>-</w:t>
            </w:r>
            <w:r w:rsidRPr="003B2786">
              <w:rPr>
                <w:rStyle w:val="Bodytext1811pt"/>
                <w:rFonts w:ascii="Sylfaen" w:hAnsi="Sylfaen"/>
                <w:spacing w:val="6"/>
                <w:sz w:val="24"/>
                <w:szCs w:val="24"/>
              </w:rPr>
              <w:t xml:space="preserve">ամսյա) ուսումնասիրության բավարար արդյունքները։ Հաստատումն այն բանի, որ ուսումնասիրությունները կավարտվեն, </w:t>
            </w:r>
            <w:r w:rsidR="00C54D75">
              <w:rPr>
                <w:rStyle w:val="Bodytext1811pt"/>
                <w:rFonts w:ascii="Sylfaen" w:hAnsi="Sylfaen"/>
                <w:spacing w:val="6"/>
                <w:sz w:val="24"/>
                <w:szCs w:val="24"/>
              </w:rPr>
              <w:t>և</w:t>
            </w:r>
            <w:r w:rsidRPr="003B2786">
              <w:rPr>
                <w:rStyle w:val="Bodytext1811pt"/>
                <w:rFonts w:ascii="Sylfaen" w:hAnsi="Sylfaen"/>
                <w:spacing w:val="6"/>
                <w:sz w:val="24"/>
                <w:szCs w:val="24"/>
              </w:rPr>
              <w:t xml:space="preserve"> եթե արդյունքները չհամապատասխանեն</w:t>
            </w:r>
            <w:r w:rsidRPr="003B2786">
              <w:rPr>
                <w:rStyle w:val="Bodytext1811pt"/>
                <w:rFonts w:ascii="Sylfaen" w:hAnsi="Sylfaen"/>
                <w:spacing w:val="4"/>
                <w:sz w:val="24"/>
                <w:szCs w:val="24"/>
              </w:rPr>
              <w:t xml:space="preserve"> մասնագրերին կամ հնարավոր է, որ չեն կարող համապատասխանել մասնագրերին</w:t>
            </w:r>
            <w:r w:rsidRPr="003B2786">
              <w:rPr>
                <w:rStyle w:val="Bodytext1811pt"/>
                <w:rFonts w:ascii="Sylfaen" w:hAnsi="Sylfaen"/>
                <w:sz w:val="24"/>
                <w:szCs w:val="24"/>
              </w:rPr>
              <w:t>՝ պիտանիության ժամկետի ավարտին, ապա դրանք գործողությունների առաջարկվող պլանի հետ անհապաղ կներկայացվեն լիազոր մարմին:</w:t>
            </w:r>
          </w:p>
        </w:tc>
      </w:tr>
      <w:tr w:rsidR="008C76E0" w:rsidRPr="003B2786" w14:paraId="5FC278C4" w14:textId="77777777" w:rsidTr="008C76E0">
        <w:trPr>
          <w:jc w:val="center"/>
        </w:trPr>
        <w:tc>
          <w:tcPr>
            <w:tcW w:w="10401" w:type="dxa"/>
            <w:gridSpan w:val="15"/>
            <w:tcBorders>
              <w:top w:val="single" w:sz="4" w:space="0" w:color="auto"/>
              <w:left w:val="single" w:sz="4" w:space="0" w:color="auto"/>
              <w:bottom w:val="single" w:sz="4" w:space="0" w:color="auto"/>
              <w:right w:val="single" w:sz="4" w:space="0" w:color="auto"/>
            </w:tcBorders>
            <w:shd w:val="clear" w:color="auto" w:fill="FFFFFF"/>
            <w:vAlign w:val="bottom"/>
          </w:tcPr>
          <w:p w14:paraId="61EF03B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96DBE2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Դոսյեի համապատասխան բաժնում (բաժիններում) ուղղում կատարելը, ներառյալ՝ բեռնարկղի կամ խցանափակման նկարագրությունը, մանրամասն գծագիրը </w:t>
            </w:r>
            <w:r w:rsidR="00C54D75">
              <w:rPr>
                <w:rStyle w:val="Bodytext1811pt"/>
                <w:rFonts w:ascii="Sylfaen" w:hAnsi="Sylfaen"/>
                <w:sz w:val="24"/>
                <w:szCs w:val="24"/>
              </w:rPr>
              <w:t>և</w:t>
            </w:r>
            <w:r w:rsidRPr="003B2786">
              <w:rPr>
                <w:rStyle w:val="Bodytext1811pt"/>
                <w:rFonts w:ascii="Sylfaen" w:hAnsi="Sylfaen"/>
                <w:sz w:val="24"/>
                <w:szCs w:val="24"/>
              </w:rPr>
              <w:t xml:space="preserve"> նյութի բաղադրությունը,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վերաբերյալ տեղեկատվության վերանայումը։</w:t>
            </w:r>
          </w:p>
          <w:p w14:paraId="72257725"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Համապատասխան դեպքերում՝ նոր բեռնարկղի (խցանափակման) նմուշները։</w:t>
            </w:r>
          </w:p>
          <w:p w14:paraId="2258CC7E" w14:textId="77777777" w:rsidR="008C76E0" w:rsidRPr="008C76E0" w:rsidRDefault="008C76E0" w:rsidP="008B6709">
            <w:pPr>
              <w:pStyle w:val="Bodytext180"/>
              <w:shd w:val="clear" w:color="auto" w:fill="auto"/>
              <w:tabs>
                <w:tab w:val="left" w:pos="567"/>
              </w:tabs>
              <w:spacing w:before="0" w:after="120" w:line="264" w:lineRule="auto"/>
              <w:ind w:left="159"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Անցկացվել են ջերմային մանրէազերծման ենթարկվող մանրէազերծ պատրաստուկների կրկնակի վալիդացման հետազոտություններ։ Համապատասխան դեպքերում անհրաժեշտ է նշել վալիդացման հետազոտություններում օգտագործված սերիաների համարները։</w:t>
            </w:r>
          </w:p>
          <w:p w14:paraId="43A9AF9A" w14:textId="77777777" w:rsidR="008C76E0" w:rsidRPr="008C76E0" w:rsidRDefault="008C76E0" w:rsidP="008B6709">
            <w:pPr>
              <w:pStyle w:val="Bodytext180"/>
              <w:shd w:val="clear" w:color="auto" w:fill="auto"/>
              <w:tabs>
                <w:tab w:val="left" w:pos="567"/>
              </w:tabs>
              <w:spacing w:before="0" w:after="120" w:line="264" w:lineRule="auto"/>
              <w:ind w:left="159"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Ազատ տարածության կամ ծավալի նկատմամբ մակերեսի հարաբերակցության փոփոխության դեպքում՝ հայտարարագիր այն մասին, որ Միության փաստաթղթերին համապատասխան՝ սկսվել են կայունության անհրաժեշտ հետազոտությունները (նշելով սերիաների համարները), </w:t>
            </w:r>
            <w:r w:rsidR="00C54D75">
              <w:rPr>
                <w:rStyle w:val="Bodytext1811pt"/>
                <w:rFonts w:ascii="Sylfaen" w:hAnsi="Sylfaen"/>
                <w:sz w:val="24"/>
                <w:szCs w:val="24"/>
              </w:rPr>
              <w:t>և</w:t>
            </w:r>
            <w:r w:rsidRPr="003B2786">
              <w:rPr>
                <w:rStyle w:val="Bodytext1811pt"/>
                <w:rFonts w:ascii="Sylfaen" w:hAnsi="Sylfaen"/>
                <w:sz w:val="24"/>
                <w:szCs w:val="24"/>
              </w:rPr>
              <w:t xml:space="preserve"> որ (համապատասխան դեպքերում) IA տիպի փոփոխության մասին ծանուցելու </w:t>
            </w:r>
            <w:r w:rsidR="00C54D75">
              <w:rPr>
                <w:rStyle w:val="Bodytext1811pt"/>
                <w:rFonts w:ascii="Sylfaen" w:hAnsi="Sylfaen"/>
                <w:sz w:val="24"/>
                <w:szCs w:val="24"/>
              </w:rPr>
              <w:t>և</w:t>
            </w:r>
            <w:r w:rsidRPr="003B2786">
              <w:rPr>
                <w:rStyle w:val="Bodytext1811pt"/>
                <w:rFonts w:ascii="Sylfaen" w:hAnsi="Sylfaen"/>
                <w:sz w:val="24"/>
                <w:szCs w:val="24"/>
              </w:rPr>
              <w:t xml:space="preserve"> IB տիպի փոփոխության մասին ծանուցում ներկայացնելու պահին նրա տրամադրության տակ են գտնվում</w:t>
            </w:r>
          </w:p>
        </w:tc>
      </w:tr>
      <w:tr w:rsidR="008C76E0" w:rsidRPr="003B2786" w14:paraId="0A28CD65"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429FDE8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 xml:space="preserve">կայունության ուսումնասիրության բավարար արդյունքները, </w:t>
            </w:r>
            <w:r w:rsidR="00C54D75">
              <w:rPr>
                <w:rStyle w:val="Bodytext1811pt"/>
                <w:rFonts w:ascii="Sylfaen" w:hAnsi="Sylfaen"/>
                <w:sz w:val="24"/>
                <w:szCs w:val="24"/>
              </w:rPr>
              <w:t>և</w:t>
            </w:r>
            <w:r w:rsidRPr="003B2786">
              <w:rPr>
                <w:rStyle w:val="Bodytext1811pt"/>
                <w:rFonts w:ascii="Sylfaen" w:hAnsi="Sylfaen"/>
                <w:sz w:val="24"/>
                <w:szCs w:val="24"/>
              </w:rPr>
              <w:t xml:space="preserve"> առկա տվյալները չեն մատնանշում որ</w:t>
            </w:r>
            <w:r w:rsidR="00C54D75">
              <w:rPr>
                <w:rStyle w:val="Bodytext1811pt"/>
                <w:rFonts w:ascii="Sylfaen" w:hAnsi="Sylfaen"/>
                <w:sz w:val="24"/>
                <w:szCs w:val="24"/>
              </w:rPr>
              <w:t>և</w:t>
            </w:r>
            <w:r w:rsidRPr="003B2786">
              <w:rPr>
                <w:rStyle w:val="Bodytext1811pt"/>
                <w:rFonts w:ascii="Sylfaen" w:hAnsi="Sylfaen"/>
                <w:sz w:val="24"/>
                <w:szCs w:val="24"/>
              </w:rPr>
              <w:t>է խնդիր։ Անհրաժեշտ է նա</w:t>
            </w:r>
            <w:r w:rsidR="00C54D75">
              <w:rPr>
                <w:rStyle w:val="Bodytext1811pt"/>
                <w:rFonts w:ascii="Sylfaen" w:hAnsi="Sylfaen"/>
                <w:sz w:val="24"/>
                <w:szCs w:val="24"/>
              </w:rPr>
              <w:t>և</w:t>
            </w:r>
            <w:r w:rsidRPr="003B2786">
              <w:rPr>
                <w:rStyle w:val="Bodytext1811pt"/>
                <w:rFonts w:ascii="Sylfaen" w:hAnsi="Sylfaen"/>
                <w:sz w:val="24"/>
                <w:szCs w:val="24"/>
              </w:rPr>
              <w:t xml:space="preserve"> տրամադրել հաստատումն այն բանի, որ հետազոտությունները կավարտվեն, </w:t>
            </w:r>
            <w:r w:rsidR="00C54D75">
              <w:rPr>
                <w:rStyle w:val="Bodytext1811pt"/>
                <w:rFonts w:ascii="Sylfaen" w:hAnsi="Sylfaen"/>
                <w:sz w:val="24"/>
                <w:szCs w:val="24"/>
              </w:rPr>
              <w:t>և</w:t>
            </w:r>
            <w:r w:rsidRPr="003B2786">
              <w:rPr>
                <w:rStyle w:val="Bodytext1811pt"/>
                <w:rFonts w:ascii="Sylfaen" w:hAnsi="Sylfaen"/>
                <w:sz w:val="24"/>
                <w:szCs w:val="24"/>
              </w:rPr>
              <w:t xml:space="preserve"> եթե արդյունքները չհամապատասխանեն մասնագրերին կամ հնարավոր է, որ չեն կարող համապատասխանել մասնագրերին՝ </w:t>
            </w:r>
            <w:r w:rsidRPr="003B2786">
              <w:rPr>
                <w:rStyle w:val="Bodytext1811pt"/>
                <w:rFonts w:ascii="Sylfaen" w:hAnsi="Sylfaen"/>
                <w:sz w:val="24"/>
                <w:szCs w:val="24"/>
              </w:rPr>
              <w:lastRenderedPageBreak/>
              <w:t>պիտանիության ժամկետի ավարտին, ապա դրանք գործողությունների առաջարկվող պլանի հետ անհապաղ կներկայացվեն լիազոր մարմին:</w:t>
            </w:r>
          </w:p>
        </w:tc>
      </w:tr>
      <w:tr w:rsidR="008C76E0" w:rsidRPr="003B2786" w14:paraId="70957E1F" w14:textId="77777777" w:rsidTr="008C76E0">
        <w:trPr>
          <w:jc w:val="center"/>
        </w:trPr>
        <w:tc>
          <w:tcPr>
            <w:tcW w:w="4997" w:type="dxa"/>
            <w:gridSpan w:val="6"/>
            <w:tcBorders>
              <w:top w:val="single" w:sz="4" w:space="0" w:color="auto"/>
              <w:left w:val="single" w:sz="4" w:space="0" w:color="auto"/>
            </w:tcBorders>
            <w:shd w:val="clear" w:color="auto" w:fill="FFFFFF"/>
          </w:tcPr>
          <w:p w14:paraId="5A5C41D4" w14:textId="77777777" w:rsidR="008C76E0" w:rsidRPr="008C76E0" w:rsidRDefault="008C76E0" w:rsidP="008C76E0">
            <w:pPr>
              <w:pStyle w:val="Bodytext180"/>
              <w:shd w:val="clear" w:color="auto" w:fill="auto"/>
              <w:tabs>
                <w:tab w:val="left" w:pos="567"/>
              </w:tabs>
              <w:spacing w:before="0" w:after="120" w:line="240" w:lineRule="auto"/>
              <w:ind w:left="158" w:right="210" w:firstLine="0"/>
              <w:rPr>
                <w:rFonts w:ascii="Sylfaen" w:hAnsi="Sylfaen"/>
                <w:b w:val="0"/>
                <w:sz w:val="24"/>
                <w:szCs w:val="24"/>
                <w:lang w:val="hy-AM"/>
              </w:rPr>
            </w:pPr>
            <w:r w:rsidRPr="003B2786">
              <w:rPr>
                <w:rStyle w:val="Bodytext1811pt"/>
                <w:rFonts w:ascii="Sylfaen" w:hAnsi="Sylfaen"/>
                <w:sz w:val="24"/>
                <w:szCs w:val="24"/>
              </w:rPr>
              <w:lastRenderedPageBreak/>
              <w:t>Բ.II.ե.5.</w:t>
            </w:r>
            <w:r w:rsidRPr="003B2786">
              <w:rPr>
                <w:rStyle w:val="Bodytext1811pt"/>
                <w:rFonts w:ascii="Sylfaen" w:hAnsi="Sylfaen"/>
                <w:sz w:val="24"/>
                <w:szCs w:val="24"/>
              </w:rPr>
              <w:tab/>
              <w:t>Դեղապատրաստուկի փաթեթվածքի չափի փոփոխությունը</w:t>
            </w:r>
          </w:p>
        </w:tc>
        <w:tc>
          <w:tcPr>
            <w:tcW w:w="1701" w:type="dxa"/>
            <w:gridSpan w:val="4"/>
            <w:tcBorders>
              <w:top w:val="single" w:sz="4" w:space="0" w:color="auto"/>
              <w:left w:val="single" w:sz="4" w:space="0" w:color="auto"/>
            </w:tcBorders>
            <w:shd w:val="clear" w:color="auto" w:fill="FFFFFF"/>
          </w:tcPr>
          <w:p w14:paraId="20564D51"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9E0D419"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31359B59"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777580D"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2144E7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 փաթեթվածքում դեղաձ</w:t>
            </w:r>
            <w:r w:rsidR="00C54D75">
              <w:rPr>
                <w:rStyle w:val="Bodytext1811pt"/>
                <w:rFonts w:ascii="Sylfaen" w:hAnsi="Sylfaen"/>
                <w:sz w:val="24"/>
                <w:szCs w:val="24"/>
              </w:rPr>
              <w:t>և</w:t>
            </w:r>
            <w:r w:rsidRPr="003B2786">
              <w:rPr>
                <w:rStyle w:val="Bodytext1811pt"/>
                <w:rFonts w:ascii="Sylfaen" w:hAnsi="Sylfaen"/>
                <w:sz w:val="24"/>
                <w:szCs w:val="24"/>
              </w:rPr>
              <w:t xml:space="preserve">ի (օրինակ՝ հաբերի, սրվակիկների </w:t>
            </w:r>
            <w:r w:rsidR="00C54D75">
              <w:rPr>
                <w:rStyle w:val="Bodytext1811pt"/>
                <w:rFonts w:ascii="Sylfaen" w:hAnsi="Sylfaen"/>
                <w:sz w:val="24"/>
                <w:szCs w:val="24"/>
              </w:rPr>
              <w:t>և</w:t>
            </w:r>
            <w:r w:rsidRPr="003B2786">
              <w:rPr>
                <w:rStyle w:val="Bodytext1811pt"/>
                <w:rFonts w:ascii="Sylfaen" w:hAnsi="Sylfaen"/>
                <w:sz w:val="24"/>
                <w:szCs w:val="24"/>
              </w:rPr>
              <w:t xml:space="preserve"> այլն) միավորների քանակի փոփոխություն</w:t>
            </w:r>
          </w:p>
        </w:tc>
        <w:tc>
          <w:tcPr>
            <w:tcW w:w="1701" w:type="dxa"/>
            <w:gridSpan w:val="4"/>
            <w:tcBorders>
              <w:top w:val="single" w:sz="4" w:space="0" w:color="auto"/>
              <w:left w:val="single" w:sz="4" w:space="0" w:color="auto"/>
            </w:tcBorders>
            <w:shd w:val="clear" w:color="auto" w:fill="FFFFFF"/>
          </w:tcPr>
          <w:p w14:paraId="501317F3" w14:textId="77777777" w:rsidR="008C76E0" w:rsidRPr="003B2786" w:rsidRDefault="008C76E0" w:rsidP="008C76E0">
            <w:pPr>
              <w:spacing w:after="120" w:line="240" w:lineRule="auto"/>
              <w:ind w:left="63"/>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078AB4A0" w14:textId="77777777" w:rsidR="008C76E0" w:rsidRPr="003B2786" w:rsidRDefault="008C76E0" w:rsidP="008C76E0">
            <w:pPr>
              <w:spacing w:after="120" w:line="240" w:lineRule="auto"/>
              <w:ind w:left="63"/>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6F400E74" w14:textId="77777777" w:rsidR="008C76E0" w:rsidRPr="003B2786" w:rsidRDefault="008C76E0" w:rsidP="008C76E0">
            <w:pPr>
              <w:spacing w:after="120" w:line="240" w:lineRule="auto"/>
              <w:ind w:left="63"/>
              <w:jc w:val="center"/>
              <w:rPr>
                <w:rFonts w:ascii="Sylfaen" w:hAnsi="Sylfaen"/>
                <w:sz w:val="24"/>
                <w:szCs w:val="24"/>
              </w:rPr>
            </w:pPr>
          </w:p>
        </w:tc>
      </w:tr>
      <w:tr w:rsidR="008C76E0" w:rsidRPr="003B2786" w14:paraId="42FC59CC"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879B16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Փոփոխությունը գտնվում է փաթեթվածքների չափերի հաստատված տիրույթում</w:t>
            </w:r>
          </w:p>
        </w:tc>
        <w:tc>
          <w:tcPr>
            <w:tcW w:w="1701" w:type="dxa"/>
            <w:gridSpan w:val="4"/>
            <w:tcBorders>
              <w:top w:val="single" w:sz="4" w:space="0" w:color="auto"/>
              <w:left w:val="single" w:sz="4" w:space="0" w:color="auto"/>
            </w:tcBorders>
            <w:shd w:val="clear" w:color="auto" w:fill="FFFFFF"/>
          </w:tcPr>
          <w:p w14:paraId="3F96BB18"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14944DEE"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1, 3</w:t>
            </w:r>
          </w:p>
        </w:tc>
        <w:tc>
          <w:tcPr>
            <w:tcW w:w="1719" w:type="dxa"/>
            <w:gridSpan w:val="3"/>
            <w:tcBorders>
              <w:top w:val="single" w:sz="4" w:space="0" w:color="auto"/>
              <w:left w:val="single" w:sz="4" w:space="0" w:color="auto"/>
              <w:right w:val="single" w:sz="4" w:space="0" w:color="auto"/>
            </w:tcBorders>
            <w:shd w:val="clear" w:color="auto" w:fill="FFFFFF"/>
          </w:tcPr>
          <w:p w14:paraId="187E5E82"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30AC554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60DC64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Փոփոխությունը չի գտնվում փաթեթվածքների չափերի հաստատված տիրույթում</w:t>
            </w:r>
          </w:p>
        </w:tc>
        <w:tc>
          <w:tcPr>
            <w:tcW w:w="1701" w:type="dxa"/>
            <w:gridSpan w:val="4"/>
            <w:tcBorders>
              <w:top w:val="single" w:sz="4" w:space="0" w:color="auto"/>
              <w:left w:val="single" w:sz="4" w:space="0" w:color="auto"/>
            </w:tcBorders>
            <w:shd w:val="clear" w:color="auto" w:fill="FFFFFF"/>
          </w:tcPr>
          <w:p w14:paraId="397C12C5" w14:textId="77777777" w:rsidR="008C76E0" w:rsidRPr="003B2786" w:rsidRDefault="008C76E0" w:rsidP="008C76E0">
            <w:pPr>
              <w:spacing w:after="120" w:line="240" w:lineRule="auto"/>
              <w:ind w:left="63"/>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67E8D0E7"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69A316BE" w14:textId="77777777" w:rsidR="008C76E0" w:rsidRPr="003B2786" w:rsidRDefault="008C76E0" w:rsidP="008C76E0">
            <w:pPr>
              <w:pStyle w:val="Bodytext180"/>
              <w:shd w:val="clear" w:color="auto" w:fill="auto"/>
              <w:spacing w:before="0" w:after="120" w:line="240" w:lineRule="auto"/>
              <w:ind w:left="63"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B0C8915"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E509853"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փաթեթվածքի (փաթեթվածքների) չափի (չափերի) փոփոխություն</w:t>
            </w:r>
          </w:p>
        </w:tc>
        <w:tc>
          <w:tcPr>
            <w:tcW w:w="1701" w:type="dxa"/>
            <w:gridSpan w:val="4"/>
            <w:tcBorders>
              <w:top w:val="single" w:sz="4" w:space="0" w:color="auto"/>
              <w:left w:val="single" w:sz="4" w:space="0" w:color="auto"/>
            </w:tcBorders>
            <w:shd w:val="clear" w:color="auto" w:fill="FFFFFF"/>
          </w:tcPr>
          <w:p w14:paraId="54F09AF1"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3</w:t>
            </w:r>
          </w:p>
        </w:tc>
        <w:tc>
          <w:tcPr>
            <w:tcW w:w="1984" w:type="dxa"/>
            <w:gridSpan w:val="2"/>
            <w:tcBorders>
              <w:top w:val="single" w:sz="4" w:space="0" w:color="auto"/>
              <w:left w:val="single" w:sz="4" w:space="0" w:color="auto"/>
            </w:tcBorders>
            <w:shd w:val="clear" w:color="auto" w:fill="FFFFFF"/>
          </w:tcPr>
          <w:p w14:paraId="2D74F3E2"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1, 2</w:t>
            </w:r>
          </w:p>
        </w:tc>
        <w:tc>
          <w:tcPr>
            <w:tcW w:w="1719" w:type="dxa"/>
            <w:gridSpan w:val="3"/>
            <w:tcBorders>
              <w:top w:val="single" w:sz="4" w:space="0" w:color="auto"/>
              <w:left w:val="single" w:sz="4" w:space="0" w:color="auto"/>
              <w:right w:val="single" w:sz="4" w:space="0" w:color="auto"/>
            </w:tcBorders>
            <w:shd w:val="clear" w:color="auto" w:fill="FFFFFF"/>
          </w:tcPr>
          <w:p w14:paraId="7ABCE0E4"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71C09736"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AF3C703" w14:textId="77777777" w:rsidR="008C76E0" w:rsidRPr="008C76E0" w:rsidRDefault="008C76E0" w:rsidP="002F06F8">
            <w:pPr>
              <w:pStyle w:val="Bodytext180"/>
              <w:shd w:val="clear" w:color="auto" w:fill="auto"/>
              <w:tabs>
                <w:tab w:val="left" w:pos="567"/>
              </w:tabs>
              <w:spacing w:before="0" w:line="288"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մանրէազերծ շատ դոզայով (կամ մեկ դոզայով՝ մասնակի ձերբազատմամբ) պարենտերալ դեղապատրաստուկների </w:t>
            </w:r>
            <w:r w:rsidR="00C54D75">
              <w:rPr>
                <w:rStyle w:val="Bodytext1811pt"/>
                <w:rFonts w:ascii="Sylfaen" w:hAnsi="Sylfaen"/>
                <w:sz w:val="24"/>
                <w:szCs w:val="24"/>
              </w:rPr>
              <w:t>և</w:t>
            </w:r>
            <w:r w:rsidRPr="003B2786">
              <w:rPr>
                <w:rStyle w:val="Bodytext1811pt"/>
                <w:rFonts w:ascii="Sylfaen" w:hAnsi="Sylfaen"/>
                <w:sz w:val="24"/>
                <w:szCs w:val="24"/>
              </w:rPr>
              <w:t xml:space="preserve"> շատ դոզայով կենսաբանական (իմունաբանական) պարենտերալ դեղապատրաստուկների անվանական զանգվածի (անվանական ծավալի) փոփոխություն</w:t>
            </w:r>
          </w:p>
        </w:tc>
        <w:tc>
          <w:tcPr>
            <w:tcW w:w="1701" w:type="dxa"/>
            <w:gridSpan w:val="4"/>
            <w:tcBorders>
              <w:top w:val="single" w:sz="4" w:space="0" w:color="auto"/>
              <w:left w:val="single" w:sz="4" w:space="0" w:color="auto"/>
            </w:tcBorders>
            <w:shd w:val="clear" w:color="auto" w:fill="FFFFFF"/>
          </w:tcPr>
          <w:p w14:paraId="2526BCDF"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A287760"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5D7878D6"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A25AB6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0475DAEC" w14:textId="77777777" w:rsidR="008C76E0" w:rsidRPr="008C76E0" w:rsidRDefault="008C76E0" w:rsidP="008C76E0">
            <w:pPr>
              <w:pStyle w:val="Bodytext180"/>
              <w:shd w:val="clear" w:color="auto" w:fill="auto"/>
              <w:tabs>
                <w:tab w:val="left" w:pos="567"/>
              </w:tabs>
              <w:spacing w:before="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ոչ պարենտերալ շատ դոզայով (մեկ դոզայով՝ մասնակի ձերբազատմամբ) դեղապատրաստուկների անվանական զանգվածի (անվանական ծավալի) փոփոխություն</w:t>
            </w:r>
          </w:p>
        </w:tc>
        <w:tc>
          <w:tcPr>
            <w:tcW w:w="1701" w:type="dxa"/>
            <w:gridSpan w:val="4"/>
            <w:tcBorders>
              <w:top w:val="single" w:sz="4" w:space="0" w:color="auto"/>
              <w:left w:val="single" w:sz="4" w:space="0" w:color="auto"/>
            </w:tcBorders>
            <w:shd w:val="clear" w:color="auto" w:fill="FFFFFF"/>
          </w:tcPr>
          <w:p w14:paraId="385C3D37"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5A54AA3"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712D1904" w14:textId="77777777" w:rsidR="008C76E0" w:rsidRPr="003B2786" w:rsidRDefault="008C76E0" w:rsidP="008C76E0">
            <w:pPr>
              <w:pStyle w:val="Bodytext180"/>
              <w:shd w:val="clear" w:color="auto" w:fill="auto"/>
              <w:spacing w:before="0" w:line="240" w:lineRule="auto"/>
              <w:ind w:left="63"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0384C990"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422E9A44" w14:textId="77777777" w:rsidR="008C76E0" w:rsidRPr="008C76E0" w:rsidRDefault="008C76E0" w:rsidP="002F06F8">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0E0ED7C" w14:textId="77777777" w:rsidR="008C76E0" w:rsidRPr="008C76E0" w:rsidRDefault="008C76E0" w:rsidP="002F06F8">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Փաթեթվածքի նոր չափը պետք է համապատասխանի դեղապատրաստուկի ընդհանուր բնութագրում նշված դոզավորման ռեժիմին </w:t>
            </w:r>
            <w:r w:rsidR="00C54D75">
              <w:rPr>
                <w:rStyle w:val="Bodytext1811pt"/>
                <w:rFonts w:ascii="Sylfaen" w:hAnsi="Sylfaen"/>
                <w:sz w:val="24"/>
                <w:szCs w:val="24"/>
              </w:rPr>
              <w:t>և</w:t>
            </w:r>
            <w:r w:rsidRPr="003B2786">
              <w:rPr>
                <w:rStyle w:val="Bodytext1811pt"/>
                <w:rFonts w:ascii="Sylfaen" w:hAnsi="Sylfaen"/>
                <w:sz w:val="24"/>
                <w:szCs w:val="24"/>
              </w:rPr>
              <w:t xml:space="preserve"> բուժման տ</w:t>
            </w:r>
            <w:r w:rsidR="00C54D75">
              <w:rPr>
                <w:rStyle w:val="Bodytext1811pt"/>
                <w:rFonts w:ascii="Sylfaen" w:hAnsi="Sylfaen"/>
                <w:sz w:val="24"/>
                <w:szCs w:val="24"/>
              </w:rPr>
              <w:t>և</w:t>
            </w:r>
            <w:r w:rsidRPr="003B2786">
              <w:rPr>
                <w:rStyle w:val="Bodytext1811pt"/>
                <w:rFonts w:ascii="Sylfaen" w:hAnsi="Sylfaen"/>
                <w:sz w:val="24"/>
                <w:szCs w:val="24"/>
              </w:rPr>
              <w:t>ողությանը։</w:t>
            </w:r>
          </w:p>
          <w:p w14:paraId="20036C2A" w14:textId="77777777" w:rsidR="008C76E0" w:rsidRPr="008C76E0" w:rsidRDefault="008C76E0" w:rsidP="002F06F8">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Առաջնային փաթեթվածքի նյութը չի փոփոխվում։</w:t>
            </w:r>
          </w:p>
          <w:p w14:paraId="3E5950F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Թողարկման մնացած ձ</w:t>
            </w:r>
            <w:r w:rsidR="00C54D75">
              <w:rPr>
                <w:rStyle w:val="Bodytext1811pt"/>
                <w:rFonts w:ascii="Sylfaen" w:hAnsi="Sylfaen"/>
                <w:sz w:val="24"/>
                <w:szCs w:val="24"/>
              </w:rPr>
              <w:t>և</w:t>
            </w:r>
            <w:r w:rsidRPr="003B2786">
              <w:rPr>
                <w:rStyle w:val="Bodytext1811pt"/>
                <w:rFonts w:ascii="Sylfaen" w:hAnsi="Sylfaen"/>
                <w:sz w:val="24"/>
                <w:szCs w:val="24"/>
              </w:rPr>
              <w:t xml:space="preserve">երը թույլ են տալիս կատարել դեղապատրաստուկի ընդհանուր բնութագրում նշված դոզավորման </w:t>
            </w:r>
            <w:r w:rsidR="00C54D75">
              <w:rPr>
                <w:rStyle w:val="Bodytext1811pt"/>
                <w:rFonts w:ascii="Sylfaen" w:hAnsi="Sylfaen"/>
                <w:sz w:val="24"/>
                <w:szCs w:val="24"/>
              </w:rPr>
              <w:t>և</w:t>
            </w:r>
            <w:r w:rsidRPr="003B2786">
              <w:rPr>
                <w:rStyle w:val="Bodytext1811pt"/>
                <w:rFonts w:ascii="Sylfaen" w:hAnsi="Sylfaen"/>
                <w:sz w:val="24"/>
                <w:szCs w:val="24"/>
              </w:rPr>
              <w:t xml:space="preserve"> բուժման տ</w:t>
            </w:r>
            <w:r w:rsidR="00C54D75">
              <w:rPr>
                <w:rStyle w:val="Bodytext1811pt"/>
                <w:rFonts w:ascii="Sylfaen" w:hAnsi="Sylfaen"/>
                <w:sz w:val="24"/>
                <w:szCs w:val="24"/>
              </w:rPr>
              <w:t>և</w:t>
            </w:r>
            <w:r w:rsidRPr="003B2786">
              <w:rPr>
                <w:rStyle w:val="Bodytext1811pt"/>
                <w:rFonts w:ascii="Sylfaen" w:hAnsi="Sylfaen"/>
                <w:sz w:val="24"/>
                <w:szCs w:val="24"/>
              </w:rPr>
              <w:t>ողության վերաբերյալ առաջարկություններ։</w:t>
            </w:r>
          </w:p>
        </w:tc>
      </w:tr>
      <w:tr w:rsidR="008C76E0" w:rsidRPr="003B2786" w14:paraId="6101728D"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835500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04B4D7E" w14:textId="77777777" w:rsidR="008C76E0" w:rsidRPr="008C76E0" w:rsidRDefault="008C76E0" w:rsidP="002F06F8">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Դոսյեի համապատասխան բաժնում (բաժիններում) ուղղում կատարելը, ներառյալ՝ </w:t>
            </w:r>
            <w:r w:rsidRPr="003B2786">
              <w:rPr>
                <w:rStyle w:val="Bodytext1811pt"/>
                <w:rFonts w:ascii="Sylfaen" w:hAnsi="Sylfaen"/>
                <w:sz w:val="24"/>
                <w:szCs w:val="24"/>
              </w:rPr>
              <w:lastRenderedPageBreak/>
              <w:t>դեղապատրաստուկի վերաբերյալ տեղեկատվության վերանայումը։</w:t>
            </w:r>
          </w:p>
          <w:p w14:paraId="73E8C2C5" w14:textId="77777777" w:rsidR="008C76E0" w:rsidRPr="008C76E0" w:rsidRDefault="008C76E0" w:rsidP="002F06F8">
            <w:pPr>
              <w:pStyle w:val="Bodytext180"/>
              <w:shd w:val="clear" w:color="auto" w:fill="auto"/>
              <w:tabs>
                <w:tab w:val="left" w:pos="567"/>
              </w:tabs>
              <w:spacing w:before="0" w:after="120" w:line="288" w:lineRule="auto"/>
              <w:ind w:left="159"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Հիմնավորումն այն բանի, որ փաթեթվածքների նոր (մնացած) չափերը համապատասխանում են դեղապատրաստուկի ընդհանուր բնութագրում նշված դոզավորման ռեժիմին </w:t>
            </w:r>
            <w:r w:rsidR="00C54D75">
              <w:rPr>
                <w:rStyle w:val="Bodytext1811pt"/>
                <w:rFonts w:ascii="Sylfaen" w:hAnsi="Sylfaen"/>
                <w:sz w:val="24"/>
                <w:szCs w:val="24"/>
              </w:rPr>
              <w:t>և</w:t>
            </w:r>
            <w:r w:rsidRPr="003B2786">
              <w:rPr>
                <w:rStyle w:val="Bodytext1811pt"/>
                <w:rFonts w:ascii="Sylfaen" w:hAnsi="Sylfaen"/>
                <w:sz w:val="24"/>
                <w:szCs w:val="24"/>
              </w:rPr>
              <w:t xml:space="preserve"> բուժման տ</w:t>
            </w:r>
            <w:r w:rsidR="00C54D75">
              <w:rPr>
                <w:rStyle w:val="Bodytext1811pt"/>
                <w:rFonts w:ascii="Sylfaen" w:hAnsi="Sylfaen"/>
                <w:sz w:val="24"/>
                <w:szCs w:val="24"/>
              </w:rPr>
              <w:t>և</w:t>
            </w:r>
            <w:r w:rsidRPr="003B2786">
              <w:rPr>
                <w:rStyle w:val="Bodytext1811pt"/>
                <w:rFonts w:ascii="Sylfaen" w:hAnsi="Sylfaen"/>
                <w:sz w:val="24"/>
                <w:szCs w:val="24"/>
              </w:rPr>
              <w:t>ողությանը։</w:t>
            </w:r>
          </w:p>
          <w:p w14:paraId="4385044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Հայտարարագիր այն մասին, որ եթե ենթադրվում է կայունության վրա ազդեցության առկայություն, ապա, Միության համապատասխան փաստաթղթերի համաձայն, կսկսվեն կայունության հետազոտություններ։ Տվյալները (գործողությունների առաջարկվող պլանի հետ) անհրաժեշտ է ներկայացնել միայն այն դեպքում, երբ դրանք չեն համապատասխանում մասնագրերին։</w:t>
            </w:r>
          </w:p>
        </w:tc>
      </w:tr>
      <w:tr w:rsidR="008C76E0" w:rsidRPr="003B2786" w14:paraId="26F02BE0" w14:textId="77777777" w:rsidTr="008C76E0">
        <w:trPr>
          <w:jc w:val="center"/>
        </w:trPr>
        <w:tc>
          <w:tcPr>
            <w:tcW w:w="2830" w:type="dxa"/>
            <w:gridSpan w:val="3"/>
            <w:tcBorders>
              <w:top w:val="single" w:sz="4" w:space="0" w:color="auto"/>
              <w:left w:val="single" w:sz="4" w:space="0" w:color="auto"/>
            </w:tcBorders>
            <w:shd w:val="clear" w:color="auto" w:fill="FFFFFF"/>
            <w:vAlign w:val="center"/>
          </w:tcPr>
          <w:p w14:paraId="0F9480DD"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sz w:val="24"/>
                <w:szCs w:val="24"/>
              </w:rPr>
            </w:pPr>
            <w:r w:rsidRPr="003B2786">
              <w:rPr>
                <w:rStyle w:val="Bodytext295pt"/>
                <w:rFonts w:ascii="Sylfaen" w:hAnsi="Sylfaen"/>
                <w:sz w:val="24"/>
                <w:szCs w:val="24"/>
              </w:rPr>
              <w:lastRenderedPageBreak/>
              <w:t>Ծանոթագրություն.</w:t>
            </w:r>
          </w:p>
        </w:tc>
        <w:tc>
          <w:tcPr>
            <w:tcW w:w="7571" w:type="dxa"/>
            <w:gridSpan w:val="12"/>
            <w:tcBorders>
              <w:top w:val="single" w:sz="4" w:space="0" w:color="auto"/>
              <w:left w:val="single" w:sz="4" w:space="0" w:color="auto"/>
              <w:right w:val="single" w:sz="4" w:space="0" w:color="auto"/>
            </w:tcBorders>
            <w:shd w:val="clear" w:color="auto" w:fill="FFFFFF"/>
            <w:vAlign w:val="bottom"/>
          </w:tcPr>
          <w:p w14:paraId="4F205881"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 xml:space="preserve">Բ.II.ե.5.գ-ի </w:t>
            </w:r>
            <w:r w:rsidR="00C54D75">
              <w:rPr>
                <w:rStyle w:val="Bodytext1811pt"/>
                <w:rFonts w:ascii="Sylfaen" w:hAnsi="Sylfaen"/>
                <w:sz w:val="24"/>
                <w:szCs w:val="24"/>
              </w:rPr>
              <w:t>և</w:t>
            </w:r>
            <w:r w:rsidRPr="003B2786">
              <w:rPr>
                <w:rStyle w:val="Bodytext1811pt"/>
                <w:rFonts w:ascii="Sylfaen" w:hAnsi="Sylfaen"/>
                <w:sz w:val="24"/>
                <w:szCs w:val="24"/>
              </w:rPr>
              <w:t xml:space="preserve"> Բ.II.ե.5.դ-ի համար՝ եթե փոփոխությունը հանգեցնում է դեղապատրաստուկի «դոզայի» փոփոխության, ապա այդպիսի փոփոխությամբ պահանջվում է ներկայացնել գրանցման ընդլայնման հայտ։</w:t>
            </w:r>
          </w:p>
        </w:tc>
      </w:tr>
      <w:tr w:rsidR="008C76E0" w:rsidRPr="003B2786" w14:paraId="4C040230"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vAlign w:val="bottom"/>
          </w:tcPr>
          <w:p w14:paraId="66CFF023" w14:textId="77777777" w:rsidR="008C76E0" w:rsidRPr="008C76E0" w:rsidRDefault="008C76E0" w:rsidP="008C76E0">
            <w:pPr>
              <w:pStyle w:val="Bodytext180"/>
              <w:shd w:val="clear" w:color="auto" w:fill="auto"/>
              <w:tabs>
                <w:tab w:val="left" w:pos="122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Բ.II.ե.6. Փաթեթվածքի (փաթեթավորման նյութի)՝ դեղապատրաստուկի հետ անմիջական շփման մեջ չգտնվող բաղկացուցիչ որ</w:t>
            </w:r>
            <w:r w:rsidR="00C54D75">
              <w:rPr>
                <w:rStyle w:val="Bodytext1811pt"/>
                <w:rFonts w:ascii="Sylfaen" w:hAnsi="Sylfaen"/>
                <w:sz w:val="24"/>
                <w:szCs w:val="24"/>
              </w:rPr>
              <w:t>և</w:t>
            </w:r>
            <w:r w:rsidRPr="003B2786">
              <w:rPr>
                <w:rStyle w:val="Bodytext1811pt"/>
                <w:rFonts w:ascii="Sylfaen" w:hAnsi="Sylfaen"/>
                <w:sz w:val="24"/>
                <w:szCs w:val="24"/>
              </w:rPr>
              <w:t xml:space="preserve">է մասի փոփոխությունը (օրինակ՝ հանովի թասակների գույնը, սրվակիկների վրա ծածկագրային գունավոր օղակները, ասեղը պաշտպանող թասակի փոփոխությունը (այլ պլաստիկի օգտագործում) դիզայնի, մակնշման գույնի փոփոխությունը, (2D, 3D) </w:t>
            </w:r>
            <w:r w:rsidRPr="008C76E0">
              <w:rPr>
                <w:rFonts w:ascii="Sylfaen" w:hAnsi="Sylfaen"/>
                <w:sz w:val="24"/>
                <w:szCs w:val="24"/>
                <w:highlight w:val="magenta"/>
                <w:lang w:val="hy-AM"/>
              </w:rPr>
              <w:t>գծանշի, Բրայլի տառատեսակի զետեղումը</w:t>
            </w:r>
            <w:r w:rsidRPr="006C0A25">
              <w:rPr>
                <w:rStyle w:val="Bodytext1811pt"/>
                <w:rFonts w:ascii="Sylfaen" w:hAnsi="Sylfaen"/>
                <w:sz w:val="24"/>
                <w:szCs w:val="24"/>
                <w:highlight w:val="magenta"/>
              </w:rPr>
              <w:t>)</w:t>
            </w:r>
          </w:p>
        </w:tc>
        <w:tc>
          <w:tcPr>
            <w:tcW w:w="1701" w:type="dxa"/>
            <w:gridSpan w:val="4"/>
            <w:tcBorders>
              <w:top w:val="single" w:sz="4" w:space="0" w:color="auto"/>
              <w:left w:val="single" w:sz="4" w:space="0" w:color="auto"/>
              <w:bottom w:val="single" w:sz="4" w:space="0" w:color="auto"/>
            </w:tcBorders>
            <w:shd w:val="clear" w:color="auto" w:fill="FFFFFF"/>
          </w:tcPr>
          <w:p w14:paraId="523C5EA8"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bottom w:val="single" w:sz="4" w:space="0" w:color="auto"/>
            </w:tcBorders>
            <w:shd w:val="clear" w:color="auto" w:fill="FFFFFF"/>
          </w:tcPr>
          <w:p w14:paraId="71083B1B"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63D0601C"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197041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0D4DA7B"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p>
        </w:tc>
        <w:tc>
          <w:tcPr>
            <w:tcW w:w="1701" w:type="dxa"/>
            <w:gridSpan w:val="4"/>
            <w:tcBorders>
              <w:top w:val="single" w:sz="4" w:space="0" w:color="auto"/>
              <w:left w:val="single" w:sz="4" w:space="0" w:color="auto"/>
            </w:tcBorders>
            <w:shd w:val="clear" w:color="auto" w:fill="FFFFFF"/>
          </w:tcPr>
          <w:p w14:paraId="10CE81DE" w14:textId="77777777" w:rsidR="008C76E0" w:rsidRPr="003B2786" w:rsidRDefault="008C76E0" w:rsidP="008C76E0">
            <w:pPr>
              <w:spacing w:after="120" w:line="240" w:lineRule="auto"/>
              <w:ind w:left="63" w:right="59"/>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5D58EBAD" w14:textId="77777777" w:rsidR="008C76E0" w:rsidRPr="003B2786" w:rsidRDefault="008C76E0" w:rsidP="008C76E0">
            <w:pPr>
              <w:spacing w:after="120" w:line="240" w:lineRule="auto"/>
              <w:ind w:left="63" w:right="59"/>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3756375F" w14:textId="77777777" w:rsidR="008C76E0" w:rsidRPr="003B2786" w:rsidRDefault="008C76E0" w:rsidP="008C76E0">
            <w:pPr>
              <w:spacing w:after="120" w:line="240" w:lineRule="auto"/>
              <w:ind w:left="63" w:right="59"/>
              <w:jc w:val="center"/>
              <w:rPr>
                <w:rFonts w:ascii="Sylfaen" w:hAnsi="Sylfaen"/>
                <w:sz w:val="24"/>
                <w:szCs w:val="24"/>
              </w:rPr>
            </w:pPr>
          </w:p>
        </w:tc>
      </w:tr>
      <w:tr w:rsidR="008C76E0" w:rsidRPr="003B2786" w14:paraId="7CA5591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1984B24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դեղապատրաստուկի վերաբերյալ տեղեկատվությանն առնչվող փոփոխություն</w:t>
            </w:r>
          </w:p>
        </w:tc>
        <w:tc>
          <w:tcPr>
            <w:tcW w:w="1701" w:type="dxa"/>
            <w:gridSpan w:val="4"/>
            <w:tcBorders>
              <w:top w:val="single" w:sz="4" w:space="0" w:color="auto"/>
              <w:left w:val="single" w:sz="4" w:space="0" w:color="auto"/>
            </w:tcBorders>
            <w:shd w:val="clear" w:color="auto" w:fill="FFFFFF"/>
          </w:tcPr>
          <w:p w14:paraId="12B767E5"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11979F9"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69690302"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257E51F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E5815D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դեղապատրաստուկի վերաբերյալ տեղեկատվությանը չառնչվող փոփոխություն</w:t>
            </w:r>
          </w:p>
        </w:tc>
        <w:tc>
          <w:tcPr>
            <w:tcW w:w="1701" w:type="dxa"/>
            <w:gridSpan w:val="4"/>
            <w:tcBorders>
              <w:top w:val="single" w:sz="4" w:space="0" w:color="auto"/>
              <w:left w:val="single" w:sz="4" w:space="0" w:color="auto"/>
            </w:tcBorders>
            <w:shd w:val="clear" w:color="auto" w:fill="FFFFFF"/>
          </w:tcPr>
          <w:p w14:paraId="444B637A"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1B340EF9"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372F1D28" w14:textId="77777777" w:rsidR="008C76E0" w:rsidRPr="003B2786" w:rsidRDefault="008C76E0" w:rsidP="008C76E0">
            <w:pPr>
              <w:pStyle w:val="Bodytext180"/>
              <w:shd w:val="clear" w:color="auto" w:fill="auto"/>
              <w:spacing w:before="0" w:after="120" w:line="240" w:lineRule="auto"/>
              <w:ind w:left="63" w:right="59"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B9BD0C2"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7A1A25D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829EDF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Փոփոխությունը չի վերաբերում փաթեթավորման նյութի այն մասերին, որոնք կարող են ազդել դեղապատրաստուկի առաքման, կիրառության, անվտանգության կամ կայունության վրա։</w:t>
            </w:r>
          </w:p>
        </w:tc>
      </w:tr>
      <w:tr w:rsidR="008C76E0" w:rsidRPr="003B2786" w14:paraId="473C6AE8"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03A4981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C6C711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Դոսյեի համապատասխան բաժնում (բաժիններում) ուղղում կատարելը, ներառյալ՝ </w:t>
            </w:r>
            <w:r w:rsidRPr="003B2786">
              <w:rPr>
                <w:rStyle w:val="Bodytext1811pt"/>
                <w:rFonts w:ascii="Sylfaen" w:hAnsi="Sylfaen"/>
                <w:sz w:val="24"/>
                <w:szCs w:val="24"/>
              </w:rPr>
              <w:lastRenderedPageBreak/>
              <w:t>դեղապատրաստուկի վերաբերյալ տեղեկատվության վերանայումը։</w:t>
            </w:r>
          </w:p>
        </w:tc>
      </w:tr>
      <w:tr w:rsidR="008C76E0" w:rsidRPr="003B2786" w14:paraId="2E8FCD4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3DE2C68" w14:textId="77777777" w:rsidR="008C76E0" w:rsidRPr="008C76E0" w:rsidRDefault="008C76E0" w:rsidP="008C76E0">
            <w:pPr>
              <w:pStyle w:val="Bodytext180"/>
              <w:shd w:val="clear" w:color="auto" w:fill="auto"/>
              <w:tabs>
                <w:tab w:val="left" w:pos="1073"/>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Բ.II.ե.7</w:t>
            </w:r>
            <w:r w:rsidRPr="003B2786">
              <w:rPr>
                <w:rStyle w:val="Bodytext1811pt"/>
                <w:rFonts w:ascii="Sylfaen" w:hAnsi="Sylfaen"/>
                <w:sz w:val="24"/>
                <w:szCs w:val="24"/>
              </w:rPr>
              <w:tab/>
              <w:t>Փաթեթվածքի կամ սարքավորման բաղադրիչների մատակարարի փոփոխությունը (դոսյեում նշված լինելու դեպքում)</w:t>
            </w:r>
          </w:p>
        </w:tc>
        <w:tc>
          <w:tcPr>
            <w:tcW w:w="1701" w:type="dxa"/>
            <w:gridSpan w:val="4"/>
            <w:tcBorders>
              <w:top w:val="single" w:sz="4" w:space="0" w:color="auto"/>
              <w:left w:val="single" w:sz="4" w:space="0" w:color="auto"/>
            </w:tcBorders>
            <w:shd w:val="clear" w:color="auto" w:fill="FFFFFF"/>
          </w:tcPr>
          <w:p w14:paraId="2D5A81BA"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42F7E70"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2D123534"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329C3A1"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DC3F2C4"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ա)</w:t>
            </w:r>
            <w:r w:rsidRPr="003B2786">
              <w:rPr>
                <w:rStyle w:val="Bodytext1811pt"/>
                <w:rFonts w:ascii="Sylfaen" w:hAnsi="Sylfaen"/>
                <w:sz w:val="24"/>
                <w:szCs w:val="24"/>
              </w:rPr>
              <w:tab/>
              <w:t>Մատակարարի բացառում</w:t>
            </w:r>
          </w:p>
        </w:tc>
        <w:tc>
          <w:tcPr>
            <w:tcW w:w="1701" w:type="dxa"/>
            <w:gridSpan w:val="4"/>
            <w:tcBorders>
              <w:top w:val="single" w:sz="4" w:space="0" w:color="auto"/>
              <w:left w:val="single" w:sz="4" w:space="0" w:color="auto"/>
            </w:tcBorders>
            <w:shd w:val="clear" w:color="auto" w:fill="FFFFFF"/>
          </w:tcPr>
          <w:p w14:paraId="41452358"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1469AE27"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719" w:type="dxa"/>
            <w:gridSpan w:val="3"/>
            <w:tcBorders>
              <w:top w:val="single" w:sz="4" w:space="0" w:color="auto"/>
              <w:left w:val="single" w:sz="4" w:space="0" w:color="auto"/>
              <w:right w:val="single" w:sz="4" w:space="0" w:color="auto"/>
            </w:tcBorders>
            <w:shd w:val="clear" w:color="auto" w:fill="FFFFFF"/>
          </w:tcPr>
          <w:p w14:paraId="354AD713"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55DAD89"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442B52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Մատակարարի փոխարինում կամ ավելացում</w:t>
            </w:r>
          </w:p>
        </w:tc>
        <w:tc>
          <w:tcPr>
            <w:tcW w:w="1701" w:type="dxa"/>
            <w:gridSpan w:val="4"/>
            <w:tcBorders>
              <w:top w:val="single" w:sz="4" w:space="0" w:color="auto"/>
              <w:left w:val="single" w:sz="4" w:space="0" w:color="auto"/>
            </w:tcBorders>
            <w:shd w:val="clear" w:color="auto" w:fill="FFFFFF"/>
          </w:tcPr>
          <w:p w14:paraId="4E2C85D0"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1, 2, 3, 4</w:t>
            </w:r>
          </w:p>
        </w:tc>
        <w:tc>
          <w:tcPr>
            <w:tcW w:w="1984" w:type="dxa"/>
            <w:gridSpan w:val="2"/>
            <w:tcBorders>
              <w:top w:val="single" w:sz="4" w:space="0" w:color="auto"/>
              <w:left w:val="single" w:sz="4" w:space="0" w:color="auto"/>
            </w:tcBorders>
            <w:shd w:val="clear" w:color="auto" w:fill="FFFFFF"/>
          </w:tcPr>
          <w:p w14:paraId="1D1664F1"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7F2B25FF"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C70EF4E"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65D72B0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Դոզավորված ներշնչակների սփեյսերների մատակարարների ցանկացած փոփոխություն</w:t>
            </w:r>
          </w:p>
        </w:tc>
        <w:tc>
          <w:tcPr>
            <w:tcW w:w="1701" w:type="dxa"/>
            <w:gridSpan w:val="4"/>
            <w:tcBorders>
              <w:top w:val="single" w:sz="4" w:space="0" w:color="auto"/>
              <w:left w:val="single" w:sz="4" w:space="0" w:color="auto"/>
            </w:tcBorders>
            <w:shd w:val="clear" w:color="auto" w:fill="FFFFFF"/>
          </w:tcPr>
          <w:p w14:paraId="0A9A5F3F" w14:textId="77777777" w:rsidR="008C76E0" w:rsidRPr="003B2786" w:rsidRDefault="008C76E0" w:rsidP="008C76E0">
            <w:pPr>
              <w:tabs>
                <w:tab w:val="left" w:pos="567"/>
              </w:tabs>
              <w:spacing w:after="120" w:line="240" w:lineRule="auto"/>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5F44B419" w14:textId="77777777" w:rsidR="008C76E0" w:rsidRPr="003B2786" w:rsidRDefault="008C76E0" w:rsidP="008C76E0">
            <w:pPr>
              <w:tabs>
                <w:tab w:val="left" w:pos="567"/>
              </w:tabs>
              <w:spacing w:after="120" w:line="240" w:lineRule="auto"/>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69BE1678"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576F76A"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53996AE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FA6615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Փաթեթվածքի կամ արտադրատեսակի բաղադրիչը չի բացառվում։</w:t>
            </w:r>
          </w:p>
          <w:p w14:paraId="6CF1A032"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Փաթեթվածքի (արտադրատեսակի) </w:t>
            </w:r>
            <w:r w:rsidR="00C54D75">
              <w:rPr>
                <w:rStyle w:val="Bodytext1811pt"/>
                <w:rFonts w:ascii="Sylfaen" w:hAnsi="Sylfaen"/>
                <w:sz w:val="24"/>
                <w:szCs w:val="24"/>
              </w:rPr>
              <w:t>և</w:t>
            </w:r>
            <w:r w:rsidRPr="003B2786">
              <w:rPr>
                <w:rStyle w:val="Bodytext1811pt"/>
                <w:rFonts w:ascii="Sylfaen" w:hAnsi="Sylfaen"/>
                <w:sz w:val="24"/>
                <w:szCs w:val="24"/>
              </w:rPr>
              <w:t xml:space="preserve"> էսքիզի մասնագրի բաղադրիչների 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քանակական բաղադրությունը չի փոփոխվում։</w:t>
            </w:r>
          </w:p>
          <w:p w14:paraId="0C9B8A9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Մասնագրերը </w:t>
            </w:r>
            <w:r w:rsidR="00C54D75">
              <w:rPr>
                <w:rStyle w:val="Bodytext1811pt"/>
                <w:rFonts w:ascii="Sylfaen" w:hAnsi="Sylfaen"/>
                <w:sz w:val="24"/>
                <w:szCs w:val="24"/>
              </w:rPr>
              <w:t>և</w:t>
            </w:r>
            <w:r w:rsidRPr="003B2786">
              <w:rPr>
                <w:rStyle w:val="Bodytext1811pt"/>
                <w:rFonts w:ascii="Sylfaen" w:hAnsi="Sylfaen"/>
                <w:sz w:val="24"/>
                <w:szCs w:val="24"/>
              </w:rPr>
              <w:t xml:space="preserve"> որակի հսկողության մեթոդներն առնվազն համարժեք են։</w:t>
            </w:r>
          </w:p>
          <w:p w14:paraId="4620700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Մանրէազերծման մեթոդը </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պայմանները չեն փոփոխվում (եթե կիրառելի է)։</w:t>
            </w:r>
          </w:p>
        </w:tc>
      </w:tr>
      <w:tr w:rsidR="008C76E0" w:rsidRPr="003B2786" w14:paraId="387DA7F5"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1FFE77CC"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046A23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30CA721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Միությունում բժշկական արտադրատեսակի գրանցման հաստատումը՝ դեղապատրաստուկին կցվող բժշկական արտադրատեսակների մասով</w:t>
            </w:r>
          </w:p>
          <w:p w14:paraId="6187F98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 (եթե կիրառելի է)։</w:t>
            </w:r>
          </w:p>
        </w:tc>
      </w:tr>
      <w:tr w:rsidR="008C76E0" w:rsidRPr="003B2786" w14:paraId="112DEBE0" w14:textId="77777777" w:rsidTr="008C76E0">
        <w:trPr>
          <w:jc w:val="center"/>
        </w:trPr>
        <w:tc>
          <w:tcPr>
            <w:tcW w:w="10401" w:type="dxa"/>
            <w:gridSpan w:val="15"/>
            <w:tcBorders>
              <w:top w:val="single" w:sz="4" w:space="0" w:color="auto"/>
            </w:tcBorders>
            <w:shd w:val="clear" w:color="auto" w:fill="FFFFFF"/>
            <w:vAlign w:val="bottom"/>
          </w:tcPr>
          <w:p w14:paraId="47A14702" w14:textId="77777777" w:rsidR="008C76E0" w:rsidRPr="003B2786" w:rsidRDefault="008C76E0" w:rsidP="008C76E0">
            <w:pPr>
              <w:pStyle w:val="Bodytext180"/>
              <w:shd w:val="clear" w:color="auto" w:fill="auto"/>
              <w:tabs>
                <w:tab w:val="left" w:pos="1118"/>
              </w:tabs>
              <w:spacing w:before="0" w:after="120" w:line="240" w:lineRule="auto"/>
              <w:ind w:left="158" w:right="210" w:firstLine="0"/>
              <w:jc w:val="both"/>
              <w:rPr>
                <w:rFonts w:ascii="Sylfaen" w:hAnsi="Sylfaen"/>
                <w:b w:val="0"/>
                <w:sz w:val="24"/>
                <w:szCs w:val="24"/>
              </w:rPr>
            </w:pPr>
            <w:r w:rsidRPr="003B2786">
              <w:rPr>
                <w:rStyle w:val="Bodytext295pt"/>
                <w:rFonts w:ascii="Sylfaen" w:hAnsi="Sylfaen"/>
                <w:sz w:val="24"/>
                <w:szCs w:val="24"/>
              </w:rPr>
              <w:t>Բ.II.զ)</w:t>
            </w:r>
            <w:r w:rsidRPr="003B2786">
              <w:rPr>
                <w:rStyle w:val="Bodytext295pt"/>
                <w:rFonts w:ascii="Sylfaen" w:hAnsi="Sylfaen"/>
                <w:sz w:val="24"/>
                <w:szCs w:val="24"/>
              </w:rPr>
              <w:tab/>
              <w:t>Կայունությունը</w:t>
            </w:r>
          </w:p>
        </w:tc>
      </w:tr>
      <w:tr w:rsidR="008C76E0" w:rsidRPr="003B2786" w14:paraId="057D376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9BEA32E" w14:textId="77777777" w:rsidR="008C76E0" w:rsidRPr="008C76E0" w:rsidRDefault="008C76E0" w:rsidP="008C76E0">
            <w:pPr>
              <w:pStyle w:val="Bodytext180"/>
              <w:shd w:val="clear" w:color="auto" w:fill="auto"/>
              <w:tabs>
                <w:tab w:val="left" w:pos="1118"/>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Բ.II.զ. 1.</w:t>
            </w:r>
            <w:r w:rsidRPr="003B2786">
              <w:rPr>
                <w:rStyle w:val="Bodytext1811pt"/>
                <w:rFonts w:ascii="Sylfaen" w:hAnsi="Sylfaen"/>
                <w:sz w:val="24"/>
                <w:szCs w:val="24"/>
              </w:rPr>
              <w:tab/>
              <w:t>Դեղապատրաստուկի պիտանիության ժամկետի կամ պահպանման պայմանների փոփոխությունը</w:t>
            </w:r>
          </w:p>
        </w:tc>
        <w:tc>
          <w:tcPr>
            <w:tcW w:w="1701" w:type="dxa"/>
            <w:gridSpan w:val="4"/>
            <w:tcBorders>
              <w:top w:val="single" w:sz="4" w:space="0" w:color="auto"/>
              <w:left w:val="single" w:sz="4" w:space="0" w:color="auto"/>
            </w:tcBorders>
            <w:shd w:val="clear" w:color="auto" w:fill="FFFFFF"/>
          </w:tcPr>
          <w:p w14:paraId="1186D50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7CA76C0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719" w:type="dxa"/>
            <w:gridSpan w:val="3"/>
            <w:tcBorders>
              <w:top w:val="single" w:sz="4" w:space="0" w:color="auto"/>
              <w:left w:val="single" w:sz="4" w:space="0" w:color="auto"/>
              <w:right w:val="single" w:sz="4" w:space="0" w:color="auto"/>
            </w:tcBorders>
            <w:shd w:val="clear" w:color="auto" w:fill="FFFFFF"/>
          </w:tcPr>
          <w:p w14:paraId="3DE7ED0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F07D8C0"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FC4438A"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դեղապատրաստուկի պիտանիության ժամկետի կրճատում</w:t>
            </w:r>
          </w:p>
        </w:tc>
        <w:tc>
          <w:tcPr>
            <w:tcW w:w="1701" w:type="dxa"/>
            <w:gridSpan w:val="4"/>
            <w:tcBorders>
              <w:top w:val="single" w:sz="4" w:space="0" w:color="auto"/>
              <w:left w:val="single" w:sz="4" w:space="0" w:color="auto"/>
            </w:tcBorders>
            <w:shd w:val="clear" w:color="auto" w:fill="FFFFFF"/>
          </w:tcPr>
          <w:p w14:paraId="175FD10A" w14:textId="77777777" w:rsidR="008C76E0" w:rsidRPr="003B2786" w:rsidRDefault="008C76E0" w:rsidP="008C76E0">
            <w:pPr>
              <w:spacing w:after="120" w:line="240" w:lineRule="auto"/>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51E3202F" w14:textId="77777777" w:rsidR="008C76E0" w:rsidRPr="003B2786" w:rsidRDefault="008C76E0" w:rsidP="008C76E0">
            <w:pPr>
              <w:spacing w:after="120" w:line="240" w:lineRule="auto"/>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115683B8" w14:textId="77777777" w:rsidR="008C76E0" w:rsidRPr="003B2786" w:rsidRDefault="008C76E0" w:rsidP="008C76E0">
            <w:pPr>
              <w:spacing w:after="120" w:line="240" w:lineRule="auto"/>
              <w:jc w:val="center"/>
              <w:rPr>
                <w:rFonts w:ascii="Sylfaen" w:hAnsi="Sylfaen"/>
                <w:sz w:val="24"/>
                <w:szCs w:val="24"/>
              </w:rPr>
            </w:pPr>
          </w:p>
        </w:tc>
      </w:tr>
      <w:tr w:rsidR="008C76E0" w:rsidRPr="003B2786" w14:paraId="7D8A209F"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B130C5A"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1.</w:t>
            </w:r>
            <w:r w:rsidRPr="003B2786">
              <w:rPr>
                <w:rStyle w:val="Bodytext1811pt"/>
                <w:rFonts w:ascii="Sylfaen" w:hAnsi="Sylfaen"/>
                <w:sz w:val="24"/>
                <w:szCs w:val="24"/>
              </w:rPr>
              <w:tab/>
              <w:t>Առ</w:t>
            </w:r>
            <w:r w:rsidR="00C54D75">
              <w:rPr>
                <w:rStyle w:val="Bodytext1811pt"/>
                <w:rFonts w:ascii="Sylfaen" w:hAnsi="Sylfaen"/>
                <w:sz w:val="24"/>
                <w:szCs w:val="24"/>
              </w:rPr>
              <w:t>և</w:t>
            </w:r>
            <w:r w:rsidRPr="003B2786">
              <w:rPr>
                <w:rStyle w:val="Bodytext1811pt"/>
                <w:rFonts w:ascii="Sylfaen" w:hAnsi="Sylfaen"/>
                <w:sz w:val="24"/>
                <w:szCs w:val="24"/>
              </w:rPr>
              <w:t>տրային փաթեթվածքով փաթեթավորված</w:t>
            </w:r>
          </w:p>
        </w:tc>
        <w:tc>
          <w:tcPr>
            <w:tcW w:w="1701" w:type="dxa"/>
            <w:gridSpan w:val="4"/>
            <w:tcBorders>
              <w:top w:val="single" w:sz="4" w:space="0" w:color="auto"/>
              <w:left w:val="single" w:sz="4" w:space="0" w:color="auto"/>
            </w:tcBorders>
            <w:shd w:val="clear" w:color="auto" w:fill="FFFFFF"/>
          </w:tcPr>
          <w:p w14:paraId="14CDA0E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FA381D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2EB8AB2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D65B21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7127BD5"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2.</w:t>
            </w:r>
            <w:r w:rsidRPr="003B2786">
              <w:rPr>
                <w:rStyle w:val="Bodytext1811pt"/>
                <w:rFonts w:ascii="Sylfaen" w:hAnsi="Sylfaen"/>
                <w:sz w:val="24"/>
                <w:szCs w:val="24"/>
              </w:rPr>
              <w:tab/>
              <w:t>Առաջին անգամ բացելուց հետո</w:t>
            </w:r>
          </w:p>
        </w:tc>
        <w:tc>
          <w:tcPr>
            <w:tcW w:w="1701" w:type="dxa"/>
            <w:gridSpan w:val="4"/>
            <w:tcBorders>
              <w:top w:val="single" w:sz="4" w:space="0" w:color="auto"/>
              <w:left w:val="single" w:sz="4" w:space="0" w:color="auto"/>
            </w:tcBorders>
            <w:shd w:val="clear" w:color="auto" w:fill="FFFFFF"/>
          </w:tcPr>
          <w:p w14:paraId="5B256ED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4619635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57045CB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2FFF7A33"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216E25DA"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3.</w:t>
            </w:r>
            <w:r w:rsidRPr="003B2786">
              <w:rPr>
                <w:rStyle w:val="Bodytext1811pt"/>
                <w:rFonts w:ascii="Sylfaen" w:hAnsi="Sylfaen"/>
                <w:sz w:val="24"/>
                <w:szCs w:val="24"/>
              </w:rPr>
              <w:tab/>
              <w:t>Նոսրացնելուց կամ վերականգնելուց հետո</w:t>
            </w:r>
          </w:p>
        </w:tc>
        <w:tc>
          <w:tcPr>
            <w:tcW w:w="1701" w:type="dxa"/>
            <w:gridSpan w:val="4"/>
            <w:tcBorders>
              <w:top w:val="single" w:sz="4" w:space="0" w:color="auto"/>
              <w:left w:val="single" w:sz="4" w:space="0" w:color="auto"/>
            </w:tcBorders>
            <w:shd w:val="clear" w:color="auto" w:fill="FFFFFF"/>
          </w:tcPr>
          <w:p w14:paraId="19AEDB9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642AD69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5A775B89"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2AF9A35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6FFD1C9"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դեղապատրաստուկի պիտանիության </w:t>
            </w:r>
            <w:r w:rsidRPr="003B2786">
              <w:rPr>
                <w:rStyle w:val="Bodytext1811pt"/>
                <w:rFonts w:ascii="Sylfaen" w:hAnsi="Sylfaen"/>
                <w:sz w:val="24"/>
                <w:szCs w:val="24"/>
              </w:rPr>
              <w:lastRenderedPageBreak/>
              <w:t>ժամկետի երկարաձգում</w:t>
            </w:r>
          </w:p>
        </w:tc>
        <w:tc>
          <w:tcPr>
            <w:tcW w:w="1701" w:type="dxa"/>
            <w:gridSpan w:val="4"/>
            <w:tcBorders>
              <w:top w:val="single" w:sz="4" w:space="0" w:color="auto"/>
              <w:left w:val="single" w:sz="4" w:space="0" w:color="auto"/>
            </w:tcBorders>
            <w:shd w:val="clear" w:color="auto" w:fill="FFFFFF"/>
          </w:tcPr>
          <w:p w14:paraId="4F20155D" w14:textId="77777777" w:rsidR="008C76E0" w:rsidRPr="003B2786" w:rsidRDefault="008C76E0" w:rsidP="008C76E0">
            <w:pPr>
              <w:spacing w:after="120" w:line="240" w:lineRule="auto"/>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1CE068AE" w14:textId="77777777" w:rsidR="008C76E0" w:rsidRPr="003B2786" w:rsidRDefault="008C76E0" w:rsidP="008C76E0">
            <w:pPr>
              <w:spacing w:after="120" w:line="240" w:lineRule="auto"/>
              <w:jc w:val="center"/>
              <w:rPr>
                <w:rFonts w:ascii="Sylfaen" w:hAnsi="Sylfaen"/>
                <w:sz w:val="24"/>
                <w:szCs w:val="24"/>
              </w:rPr>
            </w:pPr>
          </w:p>
        </w:tc>
        <w:tc>
          <w:tcPr>
            <w:tcW w:w="1719" w:type="dxa"/>
            <w:gridSpan w:val="3"/>
            <w:tcBorders>
              <w:top w:val="single" w:sz="4" w:space="0" w:color="auto"/>
              <w:left w:val="single" w:sz="4" w:space="0" w:color="auto"/>
              <w:right w:val="single" w:sz="4" w:space="0" w:color="auto"/>
            </w:tcBorders>
            <w:shd w:val="clear" w:color="auto" w:fill="FFFFFF"/>
          </w:tcPr>
          <w:p w14:paraId="681C9128" w14:textId="77777777" w:rsidR="008C76E0" w:rsidRPr="003B2786" w:rsidRDefault="008C76E0" w:rsidP="008C76E0">
            <w:pPr>
              <w:spacing w:after="120" w:line="240" w:lineRule="auto"/>
              <w:jc w:val="center"/>
              <w:rPr>
                <w:rFonts w:ascii="Sylfaen" w:hAnsi="Sylfaen"/>
                <w:sz w:val="24"/>
                <w:szCs w:val="24"/>
              </w:rPr>
            </w:pPr>
          </w:p>
        </w:tc>
      </w:tr>
      <w:tr w:rsidR="008C76E0" w:rsidRPr="003B2786" w14:paraId="49A8BC8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45FC2B74"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Առ</w:t>
            </w:r>
            <w:r w:rsidR="00C54D75">
              <w:rPr>
                <w:rStyle w:val="Bodytext1811pt"/>
                <w:rFonts w:ascii="Sylfaen" w:hAnsi="Sylfaen"/>
                <w:sz w:val="24"/>
                <w:szCs w:val="24"/>
              </w:rPr>
              <w:t>և</w:t>
            </w:r>
            <w:r w:rsidRPr="003B2786">
              <w:rPr>
                <w:rStyle w:val="Bodytext1811pt"/>
                <w:rFonts w:ascii="Sylfaen" w:hAnsi="Sylfaen"/>
                <w:sz w:val="24"/>
                <w:szCs w:val="24"/>
              </w:rPr>
              <w:t>տրային փաթեթվածքով փաթեթավորված (իրական ժամանակում տվյալներով հաստատված)</w:t>
            </w:r>
          </w:p>
        </w:tc>
        <w:tc>
          <w:tcPr>
            <w:tcW w:w="1701" w:type="dxa"/>
            <w:gridSpan w:val="4"/>
            <w:tcBorders>
              <w:top w:val="single" w:sz="4" w:space="0" w:color="auto"/>
              <w:left w:val="single" w:sz="4" w:space="0" w:color="auto"/>
            </w:tcBorders>
            <w:shd w:val="clear" w:color="auto" w:fill="FFFFFF"/>
          </w:tcPr>
          <w:p w14:paraId="761BDBB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5C95F90"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3963EDD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0373E69" w14:textId="77777777" w:rsidTr="008C76E0">
        <w:trPr>
          <w:jc w:val="center"/>
        </w:trPr>
        <w:tc>
          <w:tcPr>
            <w:tcW w:w="4997" w:type="dxa"/>
            <w:gridSpan w:val="6"/>
            <w:tcBorders>
              <w:top w:val="single" w:sz="4" w:space="0" w:color="auto"/>
              <w:left w:val="single" w:sz="4" w:space="0" w:color="auto"/>
              <w:bottom w:val="single" w:sz="4" w:space="0" w:color="auto"/>
            </w:tcBorders>
            <w:shd w:val="clear" w:color="auto" w:fill="FFFFFF"/>
            <w:vAlign w:val="bottom"/>
          </w:tcPr>
          <w:p w14:paraId="69557C4E"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Առաջին անգամ բացելուց հետո (իրական ժամանակում տվյալներով հաստատված)</w:t>
            </w:r>
          </w:p>
        </w:tc>
        <w:tc>
          <w:tcPr>
            <w:tcW w:w="1701" w:type="dxa"/>
            <w:gridSpan w:val="4"/>
            <w:tcBorders>
              <w:top w:val="single" w:sz="4" w:space="0" w:color="auto"/>
              <w:left w:val="single" w:sz="4" w:space="0" w:color="auto"/>
              <w:bottom w:val="single" w:sz="4" w:space="0" w:color="auto"/>
            </w:tcBorders>
            <w:shd w:val="clear" w:color="auto" w:fill="FFFFFF"/>
          </w:tcPr>
          <w:p w14:paraId="0F8EA07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bottom w:val="single" w:sz="4" w:space="0" w:color="auto"/>
            </w:tcBorders>
            <w:shd w:val="clear" w:color="auto" w:fill="FFFFFF"/>
          </w:tcPr>
          <w:p w14:paraId="6DADDC4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bottom w:val="single" w:sz="4" w:space="0" w:color="auto"/>
              <w:right w:val="single" w:sz="4" w:space="0" w:color="auto"/>
            </w:tcBorders>
            <w:shd w:val="clear" w:color="auto" w:fill="FFFFFF"/>
          </w:tcPr>
          <w:p w14:paraId="41E95A3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4895AED7"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526205BB"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Նոսրացնելուց կամ վերականգնելուց հետո (իրական ժամանակում տվյալներով հաստատված)</w:t>
            </w:r>
          </w:p>
        </w:tc>
        <w:tc>
          <w:tcPr>
            <w:tcW w:w="1701" w:type="dxa"/>
            <w:gridSpan w:val="4"/>
            <w:tcBorders>
              <w:top w:val="single" w:sz="4" w:space="0" w:color="auto"/>
              <w:left w:val="single" w:sz="4" w:space="0" w:color="auto"/>
            </w:tcBorders>
            <w:shd w:val="clear" w:color="auto" w:fill="FFFFFF"/>
          </w:tcPr>
          <w:p w14:paraId="1582AAA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0D8B83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251F9B4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B7A4565"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31614E1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Պիտանիության ժամկետի երկարաձգում՝ կայունության վերաբերյալ այն տվյալների արտարկման եղանակով, որոնք չենք համապատասխանում Միության փաստաթղթերին</w:t>
            </w:r>
          </w:p>
        </w:tc>
        <w:tc>
          <w:tcPr>
            <w:tcW w:w="1701" w:type="dxa"/>
            <w:gridSpan w:val="4"/>
            <w:tcBorders>
              <w:top w:val="single" w:sz="4" w:space="0" w:color="auto"/>
              <w:left w:val="single" w:sz="4" w:space="0" w:color="auto"/>
            </w:tcBorders>
            <w:shd w:val="clear" w:color="auto" w:fill="FFFFFF"/>
          </w:tcPr>
          <w:p w14:paraId="7CFD95FA"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76F9EE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0030640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CF48BE8"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CC5204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5.</w:t>
            </w:r>
            <w:r w:rsidRPr="003B2786">
              <w:rPr>
                <w:rStyle w:val="Bodytext1811pt"/>
                <w:rFonts w:ascii="Sylfaen" w:hAnsi="Sylfaen"/>
                <w:sz w:val="24"/>
                <w:szCs w:val="24"/>
              </w:rPr>
              <w:tab/>
              <w:t>Կենսաբանական (իմունաբանական) դեղապատրաստուկի պահպանման ժամկետի երկարաձգում՝ կայունության ուսումնասիրության հաստատված ծրագրին համապատասխան</w:t>
            </w:r>
          </w:p>
        </w:tc>
        <w:tc>
          <w:tcPr>
            <w:tcW w:w="1701" w:type="dxa"/>
            <w:gridSpan w:val="4"/>
            <w:tcBorders>
              <w:top w:val="single" w:sz="4" w:space="0" w:color="auto"/>
              <w:left w:val="single" w:sz="4" w:space="0" w:color="auto"/>
            </w:tcBorders>
            <w:shd w:val="clear" w:color="auto" w:fill="FFFFFF"/>
          </w:tcPr>
          <w:p w14:paraId="31739A2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AECE47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2D067CF5"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5CF2202" w14:textId="77777777" w:rsidTr="008C76E0">
        <w:trPr>
          <w:jc w:val="center"/>
        </w:trPr>
        <w:tc>
          <w:tcPr>
            <w:tcW w:w="4997" w:type="dxa"/>
            <w:gridSpan w:val="6"/>
            <w:tcBorders>
              <w:top w:val="single" w:sz="4" w:space="0" w:color="auto"/>
              <w:left w:val="single" w:sz="4" w:space="0" w:color="auto"/>
            </w:tcBorders>
            <w:shd w:val="clear" w:color="auto" w:fill="FFFFFF"/>
            <w:vAlign w:val="bottom"/>
          </w:tcPr>
          <w:p w14:paraId="7CA8395D"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կենսաբանական (իմունաբանական) դեղապատրաստուկների պահպանման պայմանների փոփոխություն, եթե կայունության հետազոտությունները չեն անցկացվել կայունության ուսումնասիրության հաստատված ընթացիկ ծրագրին համապատասխան</w:t>
            </w:r>
          </w:p>
        </w:tc>
        <w:tc>
          <w:tcPr>
            <w:tcW w:w="1701" w:type="dxa"/>
            <w:gridSpan w:val="4"/>
            <w:tcBorders>
              <w:top w:val="single" w:sz="4" w:space="0" w:color="auto"/>
              <w:left w:val="single" w:sz="4" w:space="0" w:color="auto"/>
            </w:tcBorders>
            <w:shd w:val="clear" w:color="auto" w:fill="FFFFFF"/>
          </w:tcPr>
          <w:p w14:paraId="5CADAF2D"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E263E1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719" w:type="dxa"/>
            <w:gridSpan w:val="3"/>
            <w:tcBorders>
              <w:top w:val="single" w:sz="4" w:space="0" w:color="auto"/>
              <w:left w:val="single" w:sz="4" w:space="0" w:color="auto"/>
              <w:right w:val="single" w:sz="4" w:space="0" w:color="auto"/>
            </w:tcBorders>
            <w:shd w:val="clear" w:color="auto" w:fill="FFFFFF"/>
          </w:tcPr>
          <w:p w14:paraId="6C28018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C749855" w14:textId="77777777" w:rsidTr="008C76E0">
        <w:trPr>
          <w:jc w:val="center"/>
        </w:trPr>
        <w:tc>
          <w:tcPr>
            <w:tcW w:w="4997" w:type="dxa"/>
            <w:gridSpan w:val="6"/>
            <w:tcBorders>
              <w:top w:val="single" w:sz="4" w:space="0" w:color="auto"/>
              <w:left w:val="single" w:sz="4" w:space="0" w:color="auto"/>
            </w:tcBorders>
            <w:shd w:val="clear" w:color="auto" w:fill="FFFFFF"/>
          </w:tcPr>
          <w:p w14:paraId="065886B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դեղապատրաստուկի կամ նոսրացումից (վերականգնումից) հետո դեղապատրաստուկի պահպանման պայմանների փոփոխություն</w:t>
            </w:r>
          </w:p>
        </w:tc>
        <w:tc>
          <w:tcPr>
            <w:tcW w:w="1701" w:type="dxa"/>
            <w:gridSpan w:val="4"/>
            <w:tcBorders>
              <w:top w:val="single" w:sz="4" w:space="0" w:color="auto"/>
              <w:left w:val="single" w:sz="4" w:space="0" w:color="auto"/>
            </w:tcBorders>
            <w:shd w:val="clear" w:color="auto" w:fill="FFFFFF"/>
          </w:tcPr>
          <w:p w14:paraId="0D34C1BF"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BF976C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1719" w:type="dxa"/>
            <w:gridSpan w:val="3"/>
            <w:tcBorders>
              <w:top w:val="single" w:sz="4" w:space="0" w:color="auto"/>
              <w:left w:val="single" w:sz="4" w:space="0" w:color="auto"/>
              <w:right w:val="single" w:sz="4" w:space="0" w:color="auto"/>
            </w:tcBorders>
            <w:shd w:val="clear" w:color="auto" w:fill="FFFFFF"/>
          </w:tcPr>
          <w:p w14:paraId="6C4DB70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i/>
                <w:sz w:val="24"/>
                <w:szCs w:val="24"/>
              </w:rPr>
            </w:pPr>
            <w:r w:rsidRPr="003B2786">
              <w:rPr>
                <w:rStyle w:val="Bodytext295pt"/>
                <w:rFonts w:ascii="Sylfaen" w:hAnsi="Sylfaen"/>
                <w:sz w:val="24"/>
                <w:szCs w:val="24"/>
              </w:rPr>
              <w:t>IB</w:t>
            </w:r>
          </w:p>
        </w:tc>
      </w:tr>
      <w:tr w:rsidR="008C76E0" w:rsidRPr="003B2786" w14:paraId="15FADA09" w14:textId="77777777" w:rsidTr="008C76E0">
        <w:trPr>
          <w:jc w:val="center"/>
        </w:trPr>
        <w:tc>
          <w:tcPr>
            <w:tcW w:w="4997" w:type="dxa"/>
            <w:gridSpan w:val="6"/>
            <w:tcBorders>
              <w:top w:val="single" w:sz="4" w:space="0" w:color="auto"/>
              <w:left w:val="single" w:sz="4" w:space="0" w:color="auto"/>
            </w:tcBorders>
            <w:shd w:val="clear" w:color="auto" w:fill="FFFFFF"/>
          </w:tcPr>
          <w:p w14:paraId="2004E5A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ե)</w:t>
            </w:r>
            <w:r w:rsidRPr="003B2786">
              <w:rPr>
                <w:rStyle w:val="Bodytext1811pt"/>
                <w:rFonts w:ascii="Sylfaen" w:hAnsi="Sylfaen"/>
                <w:sz w:val="24"/>
                <w:szCs w:val="24"/>
              </w:rPr>
              <w:tab/>
              <w:t>կայունության հաստատված արձանագրության փոփոխություն</w:t>
            </w:r>
          </w:p>
        </w:tc>
        <w:tc>
          <w:tcPr>
            <w:tcW w:w="1701" w:type="dxa"/>
            <w:gridSpan w:val="4"/>
            <w:tcBorders>
              <w:top w:val="single" w:sz="4" w:space="0" w:color="auto"/>
              <w:left w:val="single" w:sz="4" w:space="0" w:color="auto"/>
            </w:tcBorders>
            <w:shd w:val="clear" w:color="auto" w:fill="FFFFFF"/>
          </w:tcPr>
          <w:p w14:paraId="76EAD30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29AE25C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1, 4</w:t>
            </w:r>
          </w:p>
        </w:tc>
        <w:tc>
          <w:tcPr>
            <w:tcW w:w="1719" w:type="dxa"/>
            <w:gridSpan w:val="3"/>
            <w:tcBorders>
              <w:top w:val="single" w:sz="4" w:space="0" w:color="auto"/>
              <w:left w:val="single" w:sz="4" w:space="0" w:color="auto"/>
              <w:right w:val="single" w:sz="4" w:space="0" w:color="auto"/>
            </w:tcBorders>
            <w:shd w:val="clear" w:color="auto" w:fill="FFFFFF"/>
          </w:tcPr>
          <w:p w14:paraId="18EB4D2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433D3F2"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538B4616"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10CAA63"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Փոփոխությունը չպետք է լինի արտադրության ընթացքում առաջ եկող անկանխատեսելի իրավիճակների կամ կայունության փոփոխության հետ</w:t>
            </w:r>
            <w:r w:rsidR="00C54D75">
              <w:rPr>
                <w:rStyle w:val="Bodytext1811pt"/>
                <w:rFonts w:ascii="Sylfaen" w:hAnsi="Sylfaen"/>
                <w:sz w:val="24"/>
                <w:szCs w:val="24"/>
              </w:rPr>
              <w:t>և</w:t>
            </w:r>
            <w:r w:rsidRPr="003B2786">
              <w:rPr>
                <w:rStyle w:val="Bodytext1811pt"/>
                <w:rFonts w:ascii="Sylfaen" w:hAnsi="Sylfaen"/>
                <w:sz w:val="24"/>
                <w:szCs w:val="24"/>
              </w:rPr>
              <w:t>անք։</w:t>
            </w:r>
          </w:p>
          <w:p w14:paraId="7DF15D1F" w14:textId="77777777" w:rsidR="008C76E0" w:rsidRPr="00E74ADC" w:rsidRDefault="008C76E0" w:rsidP="008C76E0">
            <w:pPr>
              <w:pStyle w:val="Bodytext180"/>
              <w:shd w:val="clear" w:color="auto" w:fill="auto"/>
              <w:tabs>
                <w:tab w:val="left" w:pos="567"/>
              </w:tabs>
              <w:spacing w:before="0" w:after="120" w:line="240" w:lineRule="auto"/>
              <w:ind w:left="158" w:right="210" w:firstLine="0"/>
              <w:jc w:val="both"/>
              <w:rPr>
                <w:rStyle w:val="Bodytext1811pt"/>
                <w:rFonts w:ascii="Sylfaen" w:hAnsi="Sylfaen"/>
                <w:sz w:val="24"/>
                <w:szCs w:val="24"/>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Փոփոխությունները չեն հանգեցնում փորձարկվող պարամետրերի ընդունելիության չափանիշների ընդլայնմանը, կայունության պարամետրերի բացառմանը կամ փորձարկման հաճախականության նվազեցմանը:</w:t>
            </w:r>
          </w:p>
          <w:p w14:paraId="2F8E6134" w14:textId="77777777" w:rsidR="002F06F8" w:rsidRPr="00E74ADC" w:rsidRDefault="002F06F8"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p>
        </w:tc>
      </w:tr>
      <w:tr w:rsidR="008C76E0" w:rsidRPr="003B2786" w14:paraId="0F88E717" w14:textId="77777777" w:rsidTr="008C76E0">
        <w:trPr>
          <w:jc w:val="center"/>
        </w:trPr>
        <w:tc>
          <w:tcPr>
            <w:tcW w:w="10401" w:type="dxa"/>
            <w:gridSpan w:val="15"/>
            <w:tcBorders>
              <w:top w:val="single" w:sz="4" w:space="0" w:color="auto"/>
              <w:left w:val="single" w:sz="4" w:space="0" w:color="auto"/>
              <w:right w:val="single" w:sz="4" w:space="0" w:color="auto"/>
            </w:tcBorders>
            <w:shd w:val="clear" w:color="auto" w:fill="FFFFFF"/>
            <w:vAlign w:val="bottom"/>
          </w:tcPr>
          <w:p w14:paraId="5356AC67"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3F20BBD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 Դրանում պետք է պարունակվեն իրական ժամանակում (ներառում է պիտանիության ամբողջ ժամկետը) Միության համապատասխան փաստաթղթերի համաձայն անցկացված կայունության համապատասխան հետազոտությունների արդյունքները՝ առնվազն երկու փորձարարաարդյունաբերական սերիայի</w:t>
            </w:r>
            <w:r w:rsidRPr="003B2786">
              <w:rPr>
                <w:rStyle w:val="Bodytext1811pt"/>
                <w:rFonts w:ascii="Sylfaen" w:hAnsi="Sylfaen"/>
                <w:sz w:val="24"/>
                <w:szCs w:val="24"/>
                <w:vertAlign w:val="superscript"/>
              </w:rPr>
              <w:t>(1)</w:t>
            </w:r>
            <w:r w:rsidRPr="003B2786">
              <w:rPr>
                <w:rStyle w:val="Bodytext1811pt"/>
                <w:rFonts w:ascii="Sylfaen" w:hAnsi="Sylfaen"/>
                <w:sz w:val="24"/>
                <w:szCs w:val="24"/>
              </w:rPr>
              <w:t xml:space="preserve"> այն դեղապատրաստուկի նկատմամբ, որը փաթեթավորված է գրանցված փաթեթավորման նյութով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համապատասխանաբար առաջին անգամ բացելուց կամ նոսրացնելուց հետո. համապատասխան դեպքերում անհրաժեշտ է ներկայացնել միկրոկենսաբանական փորձարկումների արդյունքները։</w:t>
            </w:r>
          </w:p>
          <w:p w14:paraId="65D216F1"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Դեղապատրաստուկի վերաբերյալ վերանայված տեղեկատվությունը:</w:t>
            </w:r>
          </w:p>
          <w:p w14:paraId="47C70978" w14:textId="77777777" w:rsidR="008C76E0" w:rsidRPr="008C76E0"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Հաստատված մասնագրերի օրինակները՝ պիտանիության ժամկետի ավարտին </w:t>
            </w:r>
            <w:r w:rsidR="00C54D75">
              <w:rPr>
                <w:rStyle w:val="Bodytext1811pt"/>
                <w:rFonts w:ascii="Sylfaen" w:hAnsi="Sylfaen"/>
                <w:sz w:val="24"/>
                <w:szCs w:val="24"/>
              </w:rPr>
              <w:t>և</w:t>
            </w:r>
            <w:r w:rsidRPr="003B2786">
              <w:rPr>
                <w:rStyle w:val="Bodytext1811pt"/>
                <w:rFonts w:ascii="Sylfaen" w:hAnsi="Sylfaen"/>
                <w:sz w:val="24"/>
                <w:szCs w:val="24"/>
              </w:rPr>
              <w:t xml:space="preserve"> կիրառելիության դեպքում, մասնագրերը՝ նոսրացնելուց (վերականգնելուց) կամ առաջին անգամ բացելուց հետո։</w:t>
            </w:r>
          </w:p>
          <w:p w14:paraId="39C32C57" w14:textId="77777777" w:rsidR="008C76E0" w:rsidRPr="003B2786" w:rsidRDefault="008C76E0" w:rsidP="002F06F8">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Fonts w:ascii="Sylfaen" w:hAnsi="Sylfaen"/>
                <w:b w:val="0"/>
                <w:sz w:val="24"/>
                <w:szCs w:val="24"/>
              </w:rPr>
              <w:t>4.</w:t>
            </w:r>
            <w:r w:rsidRPr="003B2786">
              <w:rPr>
                <w:rFonts w:ascii="Sylfaen" w:hAnsi="Sylfaen"/>
                <w:b w:val="0"/>
                <w:sz w:val="24"/>
                <w:szCs w:val="24"/>
              </w:rPr>
              <w:tab/>
            </w:r>
            <w:r w:rsidRPr="003B2786">
              <w:rPr>
                <w:rStyle w:val="Bodytext1811pt"/>
                <w:rFonts w:ascii="Sylfaen" w:hAnsi="Sylfaen"/>
                <w:sz w:val="24"/>
                <w:szCs w:val="24"/>
              </w:rPr>
              <w:t>Առաջարկվող փոփոխությունների հիմնավորումը։</w:t>
            </w:r>
          </w:p>
        </w:tc>
      </w:tr>
      <w:tr w:rsidR="008C76E0" w:rsidRPr="003B2786" w14:paraId="65C89D82" w14:textId="77777777" w:rsidTr="008C76E0">
        <w:trPr>
          <w:jc w:val="center"/>
        </w:trPr>
        <w:tc>
          <w:tcPr>
            <w:tcW w:w="2334" w:type="dxa"/>
            <w:gridSpan w:val="2"/>
            <w:tcBorders>
              <w:top w:val="single" w:sz="4" w:space="0" w:color="auto"/>
              <w:left w:val="single" w:sz="4" w:space="0" w:color="auto"/>
            </w:tcBorders>
            <w:shd w:val="clear" w:color="auto" w:fill="FFFFFF"/>
          </w:tcPr>
          <w:p w14:paraId="12161CE6" w14:textId="77777777" w:rsidR="008C76E0" w:rsidRPr="003B2786" w:rsidRDefault="008C76E0" w:rsidP="008C76E0">
            <w:pPr>
              <w:pStyle w:val="Bodytext180"/>
              <w:shd w:val="clear" w:color="auto" w:fill="auto"/>
              <w:tabs>
                <w:tab w:val="left" w:pos="567"/>
              </w:tabs>
              <w:spacing w:before="0" w:after="120" w:line="240" w:lineRule="auto"/>
              <w:ind w:left="157" w:right="82" w:firstLine="0"/>
              <w:jc w:val="both"/>
              <w:rPr>
                <w:rFonts w:ascii="Sylfaen" w:hAnsi="Sylfaen"/>
                <w:sz w:val="24"/>
                <w:szCs w:val="24"/>
              </w:rPr>
            </w:pPr>
            <w:r w:rsidRPr="003B2786">
              <w:rPr>
                <w:rStyle w:val="Bodytext1811pt"/>
                <w:rFonts w:ascii="Sylfaen" w:hAnsi="Sylfaen"/>
                <w:sz w:val="24"/>
                <w:szCs w:val="24"/>
              </w:rPr>
              <w:t xml:space="preserve">* </w:t>
            </w:r>
            <w:r w:rsidRPr="003B2786">
              <w:rPr>
                <w:rStyle w:val="Bodytext295pt"/>
                <w:rFonts w:ascii="Sylfaen" w:hAnsi="Sylfaen"/>
                <w:sz w:val="24"/>
                <w:szCs w:val="24"/>
              </w:rPr>
              <w:t>Ծանոթագրություն</w:t>
            </w:r>
          </w:p>
        </w:tc>
        <w:tc>
          <w:tcPr>
            <w:tcW w:w="8067" w:type="dxa"/>
            <w:gridSpan w:val="13"/>
            <w:tcBorders>
              <w:top w:val="single" w:sz="4" w:space="0" w:color="auto"/>
              <w:left w:val="single" w:sz="4" w:space="0" w:color="auto"/>
              <w:right w:val="single" w:sz="4" w:space="0" w:color="auto"/>
            </w:tcBorders>
            <w:shd w:val="clear" w:color="auto" w:fill="FFFFFF"/>
            <w:vAlign w:val="bottom"/>
          </w:tcPr>
          <w:p w14:paraId="755F583A"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sz w:val="24"/>
                <w:szCs w:val="24"/>
              </w:rPr>
            </w:pPr>
            <w:r w:rsidRPr="003B2786">
              <w:rPr>
                <w:rStyle w:val="Bodytext1811pt"/>
                <w:rFonts w:ascii="Sylfaen" w:hAnsi="Sylfaen"/>
                <w:sz w:val="24"/>
                <w:szCs w:val="24"/>
              </w:rPr>
              <w:t>Կենսաբանական (իմունաբանական) դեղապատրաստուկի առնչությամբ արտարկումը կիրառելի չէ։</w:t>
            </w:r>
          </w:p>
        </w:tc>
      </w:tr>
      <w:tr w:rsidR="008C76E0" w:rsidRPr="003B2786" w14:paraId="3AC8DDEA" w14:textId="77777777" w:rsidTr="008C76E0">
        <w:trPr>
          <w:jc w:val="center"/>
        </w:trPr>
        <w:tc>
          <w:tcPr>
            <w:tcW w:w="2334" w:type="dxa"/>
            <w:gridSpan w:val="2"/>
            <w:tcBorders>
              <w:top w:val="single" w:sz="4" w:space="0" w:color="auto"/>
              <w:left w:val="single" w:sz="4" w:space="0" w:color="auto"/>
              <w:bottom w:val="single" w:sz="4" w:space="0" w:color="auto"/>
            </w:tcBorders>
            <w:shd w:val="clear" w:color="auto" w:fill="FFFFFF"/>
          </w:tcPr>
          <w:p w14:paraId="5C4F688E"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1</w:t>
            </w:r>
          </w:p>
        </w:tc>
        <w:tc>
          <w:tcPr>
            <w:tcW w:w="8067" w:type="dxa"/>
            <w:gridSpan w:val="13"/>
            <w:tcBorders>
              <w:top w:val="single" w:sz="4" w:space="0" w:color="auto"/>
              <w:left w:val="single" w:sz="4" w:space="0" w:color="auto"/>
              <w:bottom w:val="single" w:sz="4" w:space="0" w:color="auto"/>
              <w:right w:val="single" w:sz="4" w:space="0" w:color="auto"/>
            </w:tcBorders>
            <w:shd w:val="clear" w:color="auto" w:fill="FFFFFF"/>
            <w:vAlign w:val="bottom"/>
          </w:tcPr>
          <w:p w14:paraId="6D6AF1BD" w14:textId="77777777" w:rsidR="008C76E0" w:rsidRPr="003B2786" w:rsidRDefault="008C76E0" w:rsidP="008C76E0">
            <w:pPr>
              <w:pStyle w:val="Bodytext180"/>
              <w:shd w:val="clear" w:color="auto" w:fill="auto"/>
              <w:tabs>
                <w:tab w:val="left" w:pos="567"/>
              </w:tabs>
              <w:spacing w:before="0" w:after="120" w:line="240" w:lineRule="auto"/>
              <w:ind w:left="158" w:right="210" w:firstLine="0"/>
              <w:jc w:val="both"/>
              <w:rPr>
                <w:rFonts w:ascii="Sylfaen" w:hAnsi="Sylfaen"/>
                <w:b w:val="0"/>
                <w:sz w:val="24"/>
                <w:szCs w:val="24"/>
              </w:rPr>
            </w:pPr>
            <w:r w:rsidRPr="003B2786">
              <w:rPr>
                <w:rStyle w:val="Bodytext1811pt"/>
                <w:rFonts w:ascii="Sylfaen" w:hAnsi="Sylfaen"/>
                <w:sz w:val="24"/>
                <w:szCs w:val="24"/>
              </w:rPr>
              <w:t>Արդյունաբերական սերիաների պիտանիության ժամկետը ստուգելու պարտավորության առկայության դեպքում թույլատրելի է փորձարարաարդյունաբերական սերիաների կիրառությունը։</w:t>
            </w:r>
          </w:p>
        </w:tc>
      </w:tr>
    </w:tbl>
    <w:p w14:paraId="46F63665" w14:textId="77777777" w:rsidR="008C76E0" w:rsidRPr="003B2786" w:rsidRDefault="008C76E0" w:rsidP="008C76E0">
      <w:pPr>
        <w:tabs>
          <w:tab w:val="left" w:pos="567"/>
        </w:tabs>
        <w:spacing w:after="120" w:line="240" w:lineRule="auto"/>
        <w:ind w:right="-1" w:firstLine="567"/>
        <w:jc w:val="both"/>
        <w:outlineLvl w:val="0"/>
        <w:rPr>
          <w:rFonts w:ascii="Sylfaen" w:eastAsia="MS Mincho" w:hAnsi="Sylfaen" w:cs="Sylfaen"/>
          <w:color w:val="000000"/>
          <w:sz w:val="24"/>
          <w:szCs w:val="24"/>
        </w:rPr>
      </w:pPr>
    </w:p>
    <w:p w14:paraId="6E91991B" w14:textId="77777777" w:rsidR="008C76E0" w:rsidRPr="003B2786" w:rsidRDefault="008C76E0" w:rsidP="008C76E0">
      <w:pPr>
        <w:tabs>
          <w:tab w:val="left" w:pos="567"/>
        </w:tabs>
        <w:spacing w:after="120" w:line="240" w:lineRule="auto"/>
        <w:ind w:right="-1" w:firstLine="567"/>
        <w:jc w:val="both"/>
        <w:outlineLvl w:val="0"/>
        <w:rPr>
          <w:rFonts w:ascii="Sylfaen" w:hAnsi="Sylfaen"/>
          <w:sz w:val="24"/>
          <w:szCs w:val="24"/>
        </w:rPr>
      </w:pPr>
      <w:r w:rsidRPr="003B2786">
        <w:rPr>
          <w:rFonts w:ascii="Sylfaen" w:hAnsi="Sylfaen"/>
          <w:sz w:val="24"/>
          <w:szCs w:val="24"/>
        </w:rPr>
        <w:t>Բ.II.է)</w:t>
      </w:r>
      <w:r w:rsidRPr="003B2786">
        <w:rPr>
          <w:rFonts w:ascii="Sylfaen" w:hAnsi="Sylfaen"/>
          <w:sz w:val="24"/>
          <w:szCs w:val="24"/>
        </w:rPr>
        <w:tab/>
        <w:t xml:space="preserve">Հետգրանցումային փոփոխությունների նախագծային դաշտը </w:t>
      </w:r>
      <w:r w:rsidR="00C54D75">
        <w:rPr>
          <w:rFonts w:ascii="Sylfaen" w:hAnsi="Sylfaen"/>
          <w:sz w:val="24"/>
          <w:szCs w:val="24"/>
        </w:rPr>
        <w:t>և</w:t>
      </w:r>
      <w:r w:rsidRPr="003B2786">
        <w:rPr>
          <w:rFonts w:ascii="Sylfaen" w:hAnsi="Sylfaen"/>
          <w:sz w:val="24"/>
          <w:szCs w:val="24"/>
        </w:rPr>
        <w:t xml:space="preserve"> արձանագրությունը</w:t>
      </w:r>
    </w:p>
    <w:tbl>
      <w:tblPr>
        <w:tblOverlap w:val="never"/>
        <w:tblW w:w="10694" w:type="dxa"/>
        <w:jc w:val="center"/>
        <w:tblLayout w:type="fixed"/>
        <w:tblCellMar>
          <w:left w:w="10" w:type="dxa"/>
          <w:right w:w="10" w:type="dxa"/>
        </w:tblCellMar>
        <w:tblLook w:val="04A0" w:firstRow="1" w:lastRow="0" w:firstColumn="1" w:lastColumn="0" w:noHBand="0" w:noVBand="1"/>
      </w:tblPr>
      <w:tblGrid>
        <w:gridCol w:w="9"/>
        <w:gridCol w:w="2585"/>
        <w:gridCol w:w="1879"/>
        <w:gridCol w:w="511"/>
        <w:gridCol w:w="1190"/>
        <w:gridCol w:w="693"/>
        <w:gridCol w:w="1433"/>
        <w:gridCol w:w="551"/>
        <w:gridCol w:w="1835"/>
        <w:gridCol w:w="8"/>
      </w:tblGrid>
      <w:tr w:rsidR="008C76E0" w:rsidRPr="003B2786" w14:paraId="5BC93DE4"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62AB8789" w14:textId="77777777" w:rsidR="008C76E0" w:rsidRPr="008C76E0" w:rsidRDefault="008C76E0" w:rsidP="008C76E0">
            <w:pPr>
              <w:pStyle w:val="Bodytext180"/>
              <w:shd w:val="clear" w:color="auto" w:fill="auto"/>
              <w:tabs>
                <w:tab w:val="left" w:pos="1101"/>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Բ.II.է. 1</w:t>
            </w:r>
            <w:r w:rsidRPr="003B2786">
              <w:rPr>
                <w:rStyle w:val="Bodytext1811pt"/>
                <w:rFonts w:ascii="Sylfaen" w:hAnsi="Sylfaen"/>
                <w:sz w:val="24"/>
                <w:szCs w:val="24"/>
              </w:rPr>
              <w:tab/>
              <w:t>Նոր նախագծային դաշտի ներմուծումը կամ դեղապատրաստուկի (բացառությամբ կենսաբանական դեղապատրաստուկի) հաստատված նախագծային դաշտի ընդլայնումը, որը վերաբերում է.</w:t>
            </w:r>
          </w:p>
        </w:tc>
        <w:tc>
          <w:tcPr>
            <w:tcW w:w="1701" w:type="dxa"/>
            <w:gridSpan w:val="2"/>
            <w:tcBorders>
              <w:top w:val="single" w:sz="4" w:space="0" w:color="auto"/>
              <w:left w:val="single" w:sz="4" w:space="0" w:color="auto"/>
            </w:tcBorders>
            <w:shd w:val="clear" w:color="auto" w:fill="FFFFFF"/>
          </w:tcPr>
          <w:p w14:paraId="697B6DCE"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126" w:type="dxa"/>
            <w:gridSpan w:val="2"/>
            <w:tcBorders>
              <w:top w:val="single" w:sz="4" w:space="0" w:color="auto"/>
              <w:left w:val="single" w:sz="4" w:space="0" w:color="auto"/>
            </w:tcBorders>
            <w:shd w:val="clear" w:color="auto" w:fill="FFFFFF"/>
          </w:tcPr>
          <w:p w14:paraId="3F306C46"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386" w:type="dxa"/>
            <w:gridSpan w:val="2"/>
            <w:tcBorders>
              <w:top w:val="single" w:sz="4" w:space="0" w:color="auto"/>
              <w:left w:val="single" w:sz="4" w:space="0" w:color="auto"/>
              <w:right w:val="single" w:sz="4" w:space="0" w:color="auto"/>
            </w:tcBorders>
            <w:shd w:val="clear" w:color="auto" w:fill="FFFFFF"/>
          </w:tcPr>
          <w:p w14:paraId="3FB69D9C"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4580F4D"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525833F6" w14:textId="77777777" w:rsidR="008C76E0" w:rsidRPr="008C76E0" w:rsidRDefault="008C76E0" w:rsidP="002F06F8">
            <w:pPr>
              <w:pStyle w:val="Bodytext180"/>
              <w:shd w:val="clear" w:color="auto" w:fill="auto"/>
              <w:tabs>
                <w:tab w:val="left" w:pos="567"/>
              </w:tabs>
              <w:spacing w:before="0" w:after="120" w:line="264" w:lineRule="auto"/>
              <w:ind w:left="130" w:right="130"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Դեղապատրաստուկի արտադրության մեկ կամ ավելի առանձին գործառնություններին, ներառյալ՝ համապատասխան ներարտադրական հսկողությունը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(կամ) վերլուծական մեթոդիկաները</w:t>
            </w:r>
          </w:p>
        </w:tc>
        <w:tc>
          <w:tcPr>
            <w:tcW w:w="1701" w:type="dxa"/>
            <w:gridSpan w:val="2"/>
            <w:tcBorders>
              <w:top w:val="single" w:sz="4" w:space="0" w:color="auto"/>
              <w:left w:val="single" w:sz="4" w:space="0" w:color="auto"/>
            </w:tcBorders>
            <w:shd w:val="clear" w:color="auto" w:fill="FFFFFF"/>
          </w:tcPr>
          <w:p w14:paraId="1CCE3FEF"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w:t>
            </w:r>
          </w:p>
        </w:tc>
        <w:tc>
          <w:tcPr>
            <w:tcW w:w="2126" w:type="dxa"/>
            <w:gridSpan w:val="2"/>
            <w:tcBorders>
              <w:top w:val="single" w:sz="4" w:space="0" w:color="auto"/>
              <w:left w:val="single" w:sz="4" w:space="0" w:color="auto"/>
            </w:tcBorders>
            <w:shd w:val="clear" w:color="auto" w:fill="FFFFFF"/>
          </w:tcPr>
          <w:p w14:paraId="2F7765F4"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2386" w:type="dxa"/>
            <w:gridSpan w:val="2"/>
            <w:tcBorders>
              <w:top w:val="single" w:sz="4" w:space="0" w:color="auto"/>
              <w:left w:val="single" w:sz="4" w:space="0" w:color="auto"/>
              <w:right w:val="single" w:sz="4" w:space="0" w:color="auto"/>
            </w:tcBorders>
            <w:shd w:val="clear" w:color="auto" w:fill="FFFFFF"/>
          </w:tcPr>
          <w:p w14:paraId="128F08FA"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C02411B"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114FC475" w14:textId="77777777" w:rsidR="008C76E0" w:rsidRPr="008C76E0" w:rsidRDefault="008C76E0" w:rsidP="002F06F8">
            <w:pPr>
              <w:pStyle w:val="Bodytext180"/>
              <w:shd w:val="clear" w:color="auto" w:fill="auto"/>
              <w:tabs>
                <w:tab w:val="left" w:pos="567"/>
              </w:tabs>
              <w:spacing w:before="0" w:after="120" w:line="264" w:lineRule="auto"/>
              <w:ind w:left="130" w:right="130"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Օժանդակ նյութերի (միջանկյալ արտադրանքի) </w:t>
            </w:r>
            <w:r w:rsidR="00C54D75">
              <w:rPr>
                <w:rStyle w:val="Bodytext1811pt"/>
                <w:rFonts w:ascii="Sylfaen" w:hAnsi="Sylfaen"/>
                <w:sz w:val="24"/>
                <w:szCs w:val="24"/>
              </w:rPr>
              <w:t>և</w:t>
            </w:r>
            <w:r w:rsidRPr="003B2786">
              <w:rPr>
                <w:rStyle w:val="Bodytext1811pt"/>
                <w:rFonts w:ascii="Sylfaen" w:hAnsi="Sylfaen"/>
                <w:sz w:val="24"/>
                <w:szCs w:val="24"/>
              </w:rPr>
              <w:t xml:space="preserve"> (կամ) </w:t>
            </w:r>
            <w:r w:rsidRPr="003B2786">
              <w:rPr>
                <w:rStyle w:val="Bodytext1811pt"/>
                <w:rFonts w:ascii="Sylfaen" w:hAnsi="Sylfaen"/>
                <w:sz w:val="24"/>
                <w:szCs w:val="24"/>
              </w:rPr>
              <w:lastRenderedPageBreak/>
              <w:t>դեղապատրաստուկի համար նախատեսված վերլուծական մեթոդիկաներին</w:t>
            </w:r>
          </w:p>
        </w:tc>
        <w:tc>
          <w:tcPr>
            <w:tcW w:w="1701" w:type="dxa"/>
            <w:gridSpan w:val="2"/>
            <w:tcBorders>
              <w:top w:val="single" w:sz="4" w:space="0" w:color="auto"/>
              <w:left w:val="single" w:sz="4" w:space="0" w:color="auto"/>
            </w:tcBorders>
            <w:shd w:val="clear" w:color="auto" w:fill="FFFFFF"/>
          </w:tcPr>
          <w:p w14:paraId="3C307AEB"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2126" w:type="dxa"/>
            <w:gridSpan w:val="2"/>
            <w:tcBorders>
              <w:top w:val="single" w:sz="4" w:space="0" w:color="auto"/>
              <w:left w:val="single" w:sz="4" w:space="0" w:color="auto"/>
            </w:tcBorders>
            <w:shd w:val="clear" w:color="auto" w:fill="FFFFFF"/>
          </w:tcPr>
          <w:p w14:paraId="2AE86EFA"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1, 2, 3</w:t>
            </w:r>
          </w:p>
        </w:tc>
        <w:tc>
          <w:tcPr>
            <w:tcW w:w="2386" w:type="dxa"/>
            <w:gridSpan w:val="2"/>
            <w:tcBorders>
              <w:top w:val="single" w:sz="4" w:space="0" w:color="auto"/>
              <w:left w:val="single" w:sz="4" w:space="0" w:color="auto"/>
              <w:right w:val="single" w:sz="4" w:space="0" w:color="auto"/>
            </w:tcBorders>
            <w:shd w:val="clear" w:color="auto" w:fill="FFFFFF"/>
          </w:tcPr>
          <w:p w14:paraId="31F62BFC" w14:textId="77777777" w:rsidR="008C76E0" w:rsidRPr="003B2786" w:rsidRDefault="008C76E0" w:rsidP="008C76E0">
            <w:pPr>
              <w:pStyle w:val="Bodytext180"/>
              <w:shd w:val="clear" w:color="auto" w:fill="auto"/>
              <w:tabs>
                <w:tab w:val="left" w:pos="567"/>
              </w:tabs>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F3B07C3"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tcPr>
          <w:p w14:paraId="0D888B7E"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A5C1CB7"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Պատրաստուկի մշակման հետազոտությունների </w:t>
            </w:r>
            <w:r w:rsidR="00C54D75">
              <w:rPr>
                <w:rStyle w:val="Bodytext1811pt"/>
                <w:rFonts w:ascii="Sylfaen" w:hAnsi="Sylfaen"/>
                <w:sz w:val="24"/>
                <w:szCs w:val="24"/>
              </w:rPr>
              <w:t>և</w:t>
            </w:r>
            <w:r w:rsidRPr="003B2786">
              <w:rPr>
                <w:rStyle w:val="Bodytext1811pt"/>
                <w:rFonts w:ascii="Sylfaen" w:hAnsi="Sylfaen"/>
                <w:sz w:val="24"/>
                <w:szCs w:val="24"/>
              </w:rPr>
              <w:t xml:space="preserve"> այն գործառնության (ներառյալ համապատասխանաբար՝ ռիսկերի գնահատումը </w:t>
            </w:r>
            <w:r w:rsidR="00C54D75">
              <w:rPr>
                <w:rStyle w:val="Bodytext1811pt"/>
                <w:rFonts w:ascii="Sylfaen" w:hAnsi="Sylfaen"/>
                <w:sz w:val="24"/>
                <w:szCs w:val="24"/>
              </w:rPr>
              <w:t>և</w:t>
            </w:r>
            <w:r w:rsidRPr="003B2786">
              <w:rPr>
                <w:rStyle w:val="Bodytext1811pt"/>
                <w:rFonts w:ascii="Sylfaen" w:hAnsi="Sylfaen"/>
                <w:sz w:val="24"/>
                <w:szCs w:val="24"/>
              </w:rPr>
              <w:t xml:space="preserve"> բազմաչափ հետազոտությունները) արդյունքները, որոնցով հաստատվում է, որ դեղապատրաստուկի որակի կրիտիկական պարամետրերի հիման վրա ձեռք է բերվել նյութերի որակի ցուցանիշների </w:t>
            </w:r>
            <w:r w:rsidR="00C54D75">
              <w:rPr>
                <w:rStyle w:val="Bodytext1811pt"/>
                <w:rFonts w:ascii="Sylfaen" w:hAnsi="Sylfaen"/>
                <w:sz w:val="24"/>
                <w:szCs w:val="24"/>
              </w:rPr>
              <w:t>և</w:t>
            </w:r>
            <w:r w:rsidRPr="003B2786">
              <w:rPr>
                <w:rStyle w:val="Bodytext1811pt"/>
                <w:rFonts w:ascii="Sylfaen" w:hAnsi="Sylfaen"/>
                <w:sz w:val="24"/>
                <w:szCs w:val="24"/>
              </w:rPr>
              <w:t xml:space="preserve"> պրոցեսի պարամետրերի մեխանիկական հասկացության ամբողջական ընկալում։</w:t>
            </w:r>
          </w:p>
          <w:p w14:paraId="4AC67E4F"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Աղյուսակի տեսքով նախագծային դաշտի նկարագրությունը, ներառյալ՝ փոփոխականները (նյութի հատկությունները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արտադրական գործընթացի պարամետրերը) </w:t>
            </w:r>
            <w:r w:rsidR="00C54D75">
              <w:rPr>
                <w:rStyle w:val="Bodytext1811pt"/>
                <w:rFonts w:ascii="Sylfaen" w:hAnsi="Sylfaen"/>
                <w:sz w:val="24"/>
                <w:szCs w:val="24"/>
              </w:rPr>
              <w:t>և</w:t>
            </w:r>
            <w:r w:rsidRPr="003B2786">
              <w:rPr>
                <w:rStyle w:val="Bodytext1811pt"/>
                <w:rFonts w:ascii="Sylfaen" w:hAnsi="Sylfaen"/>
                <w:sz w:val="24"/>
                <w:szCs w:val="24"/>
              </w:rPr>
              <w:t xml:space="preserve"> դրանց առաջարկվող տիրույթները:</w:t>
            </w:r>
          </w:p>
          <w:p w14:paraId="3BE870C5"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tc>
      </w:tr>
      <w:tr w:rsidR="008C76E0" w:rsidRPr="003B2786" w14:paraId="5C9159B8"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76A5A7A4" w14:textId="77777777" w:rsidR="008C76E0" w:rsidRPr="008C76E0" w:rsidRDefault="008C76E0" w:rsidP="008C76E0">
            <w:pPr>
              <w:pStyle w:val="Bodytext180"/>
              <w:shd w:val="clear" w:color="auto" w:fill="auto"/>
              <w:tabs>
                <w:tab w:val="left" w:pos="1116"/>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Բ.II.է.2.</w:t>
            </w:r>
            <w:r w:rsidRPr="003B2786">
              <w:rPr>
                <w:rStyle w:val="Bodytext1811pt"/>
                <w:rFonts w:ascii="Sylfaen" w:hAnsi="Sylfaen"/>
                <w:sz w:val="24"/>
                <w:szCs w:val="24"/>
              </w:rPr>
              <w:tab/>
              <w:t>Դեղապատրաստուկին վերաբերող փոփոխությունների կառավարման հետգրանցումային արձանագրության ներմուծումը</w:t>
            </w:r>
          </w:p>
        </w:tc>
        <w:tc>
          <w:tcPr>
            <w:tcW w:w="1701" w:type="dxa"/>
            <w:gridSpan w:val="2"/>
            <w:tcBorders>
              <w:top w:val="single" w:sz="4" w:space="0" w:color="auto"/>
              <w:left w:val="single" w:sz="4" w:space="0" w:color="auto"/>
            </w:tcBorders>
            <w:shd w:val="clear" w:color="auto" w:fill="FFFFFF"/>
          </w:tcPr>
          <w:p w14:paraId="4C1D3CAF" w14:textId="77777777" w:rsidR="008C76E0" w:rsidRPr="003B2786" w:rsidRDefault="008C76E0" w:rsidP="008C76E0">
            <w:pPr>
              <w:pStyle w:val="Bodytext180"/>
              <w:shd w:val="clear" w:color="auto" w:fill="auto"/>
              <w:tabs>
                <w:tab w:val="left" w:pos="567"/>
              </w:tabs>
              <w:spacing w:before="0" w:after="120" w:line="240" w:lineRule="auto"/>
              <w:ind w:right="13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126" w:type="dxa"/>
            <w:gridSpan w:val="2"/>
            <w:tcBorders>
              <w:top w:val="single" w:sz="4" w:space="0" w:color="auto"/>
              <w:left w:val="single" w:sz="4" w:space="0" w:color="auto"/>
            </w:tcBorders>
            <w:shd w:val="clear" w:color="auto" w:fill="FFFFFF"/>
          </w:tcPr>
          <w:p w14:paraId="18ADD407"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386" w:type="dxa"/>
            <w:gridSpan w:val="2"/>
            <w:tcBorders>
              <w:top w:val="single" w:sz="4" w:space="0" w:color="auto"/>
              <w:left w:val="single" w:sz="4" w:space="0" w:color="auto"/>
              <w:right w:val="single" w:sz="4" w:space="0" w:color="auto"/>
            </w:tcBorders>
            <w:shd w:val="clear" w:color="auto" w:fill="FFFFFF"/>
          </w:tcPr>
          <w:p w14:paraId="5FABCAD6" w14:textId="77777777" w:rsidR="008C76E0" w:rsidRPr="003B2786" w:rsidRDefault="008C76E0" w:rsidP="008C76E0">
            <w:pPr>
              <w:pStyle w:val="Bodytext180"/>
              <w:shd w:val="clear" w:color="auto" w:fill="auto"/>
              <w:tabs>
                <w:tab w:val="left" w:pos="567"/>
              </w:tabs>
              <w:spacing w:before="0" w:after="120" w:line="240" w:lineRule="auto"/>
              <w:ind w:right="132"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5D68ACB"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tcPr>
          <w:p w14:paraId="4F2BC9D9" w14:textId="77777777" w:rsidR="008C76E0" w:rsidRPr="003B2786" w:rsidRDefault="008C76E0" w:rsidP="008C76E0">
            <w:pPr>
              <w:tabs>
                <w:tab w:val="left" w:pos="567"/>
              </w:tabs>
              <w:spacing w:after="120"/>
              <w:ind w:left="132" w:right="132"/>
              <w:jc w:val="both"/>
              <w:rPr>
                <w:rFonts w:ascii="Sylfaen" w:hAnsi="Sylfaen"/>
                <w:sz w:val="24"/>
                <w:szCs w:val="24"/>
              </w:rPr>
            </w:pPr>
          </w:p>
        </w:tc>
        <w:tc>
          <w:tcPr>
            <w:tcW w:w="1701" w:type="dxa"/>
            <w:gridSpan w:val="2"/>
            <w:tcBorders>
              <w:top w:val="single" w:sz="4" w:space="0" w:color="auto"/>
              <w:left w:val="single" w:sz="4" w:space="0" w:color="auto"/>
            </w:tcBorders>
            <w:shd w:val="clear" w:color="auto" w:fill="FFFFFF"/>
          </w:tcPr>
          <w:p w14:paraId="5DEB7A26"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295pt"/>
                <w:rFonts w:ascii="Sylfaen" w:hAnsi="Sylfaen"/>
                <w:sz w:val="24"/>
                <w:szCs w:val="24"/>
              </w:rPr>
              <w:t>-</w:t>
            </w:r>
          </w:p>
        </w:tc>
        <w:tc>
          <w:tcPr>
            <w:tcW w:w="2126" w:type="dxa"/>
            <w:gridSpan w:val="2"/>
            <w:tcBorders>
              <w:top w:val="single" w:sz="4" w:space="0" w:color="auto"/>
              <w:left w:val="single" w:sz="4" w:space="0" w:color="auto"/>
            </w:tcBorders>
            <w:shd w:val="clear" w:color="auto" w:fill="FFFFFF"/>
          </w:tcPr>
          <w:p w14:paraId="2DB9E85C"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1, 2, 3</w:t>
            </w:r>
          </w:p>
        </w:tc>
        <w:tc>
          <w:tcPr>
            <w:tcW w:w="2386" w:type="dxa"/>
            <w:gridSpan w:val="2"/>
            <w:tcBorders>
              <w:top w:val="single" w:sz="4" w:space="0" w:color="auto"/>
              <w:left w:val="single" w:sz="4" w:space="0" w:color="auto"/>
              <w:right w:val="single" w:sz="4" w:space="0" w:color="auto"/>
            </w:tcBorders>
            <w:shd w:val="clear" w:color="auto" w:fill="FFFFFF"/>
          </w:tcPr>
          <w:p w14:paraId="5013E21E"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2D9BED1"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vAlign w:val="bottom"/>
          </w:tcPr>
          <w:p w14:paraId="329744D2"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037F32B"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Առաջարկվող փոփոխությունների մանրամասն նկարագրությունը:</w:t>
            </w:r>
          </w:p>
          <w:p w14:paraId="2D78B262"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Դեղապատրաստուկին վերաբերող փոփոխությունների կառավարման արձանագրությունը։</w:t>
            </w:r>
          </w:p>
          <w:p w14:paraId="0A601386"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tc>
      </w:tr>
      <w:tr w:rsidR="008C76E0" w:rsidRPr="003B2786" w14:paraId="4E311C7B"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167A282D" w14:textId="77777777" w:rsidR="008C76E0" w:rsidRPr="008C76E0" w:rsidRDefault="008C76E0" w:rsidP="008C76E0">
            <w:pPr>
              <w:pStyle w:val="Bodytext180"/>
              <w:shd w:val="clear" w:color="auto" w:fill="auto"/>
              <w:tabs>
                <w:tab w:val="left" w:pos="1125"/>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Բ.II.է.3.</w:t>
            </w:r>
            <w:r w:rsidRPr="003B2786">
              <w:rPr>
                <w:rStyle w:val="Bodytext1811pt"/>
                <w:rFonts w:ascii="Sylfaen" w:hAnsi="Sylfaen"/>
                <w:sz w:val="24"/>
                <w:szCs w:val="24"/>
              </w:rPr>
              <w:tab/>
              <w:t>Դեղապատրաստուկին վերաբերող փոփոխությունների կառավարման հաստատված արձանագրության բացառումը</w:t>
            </w:r>
          </w:p>
        </w:tc>
        <w:tc>
          <w:tcPr>
            <w:tcW w:w="1701" w:type="dxa"/>
            <w:gridSpan w:val="2"/>
            <w:tcBorders>
              <w:top w:val="single" w:sz="4" w:space="0" w:color="auto"/>
              <w:left w:val="single" w:sz="4" w:space="0" w:color="auto"/>
            </w:tcBorders>
            <w:shd w:val="clear" w:color="auto" w:fill="FFFFFF"/>
          </w:tcPr>
          <w:p w14:paraId="67640E6D" w14:textId="77777777" w:rsidR="008C76E0" w:rsidRPr="003B2786" w:rsidRDefault="008C76E0" w:rsidP="008C76E0">
            <w:pPr>
              <w:pStyle w:val="Bodytext180"/>
              <w:shd w:val="clear" w:color="auto" w:fill="auto"/>
              <w:tabs>
                <w:tab w:val="left" w:pos="567"/>
              </w:tabs>
              <w:spacing w:before="0" w:after="120" w:line="240" w:lineRule="auto"/>
              <w:ind w:left="-10" w:right="13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126" w:type="dxa"/>
            <w:gridSpan w:val="2"/>
            <w:tcBorders>
              <w:top w:val="single" w:sz="4" w:space="0" w:color="auto"/>
              <w:left w:val="single" w:sz="4" w:space="0" w:color="auto"/>
            </w:tcBorders>
            <w:shd w:val="clear" w:color="auto" w:fill="FFFFFF"/>
          </w:tcPr>
          <w:p w14:paraId="048A61C3"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386" w:type="dxa"/>
            <w:gridSpan w:val="2"/>
            <w:tcBorders>
              <w:top w:val="single" w:sz="4" w:space="0" w:color="auto"/>
              <w:left w:val="single" w:sz="4" w:space="0" w:color="auto"/>
              <w:right w:val="single" w:sz="4" w:space="0" w:color="auto"/>
            </w:tcBorders>
            <w:shd w:val="clear" w:color="auto" w:fill="FFFFFF"/>
          </w:tcPr>
          <w:p w14:paraId="4BD53A79" w14:textId="77777777" w:rsidR="008C76E0" w:rsidRPr="003B2786" w:rsidRDefault="008C76E0" w:rsidP="008C76E0">
            <w:pPr>
              <w:pStyle w:val="Bodytext180"/>
              <w:shd w:val="clear" w:color="auto" w:fill="auto"/>
              <w:tabs>
                <w:tab w:val="left" w:pos="567"/>
              </w:tabs>
              <w:spacing w:before="0" w:after="120" w:line="240" w:lineRule="auto"/>
              <w:ind w:left="60" w:right="6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1DAC486"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tcPr>
          <w:p w14:paraId="4D1E836F" w14:textId="77777777" w:rsidR="008C76E0" w:rsidRPr="003B2786" w:rsidRDefault="008C76E0" w:rsidP="008C76E0">
            <w:pPr>
              <w:tabs>
                <w:tab w:val="left" w:pos="567"/>
              </w:tabs>
              <w:spacing w:after="120"/>
              <w:ind w:left="132" w:right="132"/>
              <w:jc w:val="both"/>
              <w:rPr>
                <w:rFonts w:ascii="Sylfaen" w:hAnsi="Sylfaen"/>
                <w:sz w:val="24"/>
                <w:szCs w:val="24"/>
              </w:rPr>
            </w:pPr>
          </w:p>
        </w:tc>
        <w:tc>
          <w:tcPr>
            <w:tcW w:w="1701" w:type="dxa"/>
            <w:gridSpan w:val="2"/>
            <w:tcBorders>
              <w:top w:val="single" w:sz="4" w:space="0" w:color="auto"/>
              <w:left w:val="single" w:sz="4" w:space="0" w:color="auto"/>
            </w:tcBorders>
            <w:shd w:val="clear" w:color="auto" w:fill="FFFFFF"/>
          </w:tcPr>
          <w:p w14:paraId="26A5109E"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w:t>
            </w:r>
          </w:p>
        </w:tc>
        <w:tc>
          <w:tcPr>
            <w:tcW w:w="2126" w:type="dxa"/>
            <w:gridSpan w:val="2"/>
            <w:tcBorders>
              <w:top w:val="single" w:sz="4" w:space="0" w:color="auto"/>
              <w:left w:val="single" w:sz="4" w:space="0" w:color="auto"/>
            </w:tcBorders>
            <w:shd w:val="clear" w:color="auto" w:fill="FFFFFF"/>
          </w:tcPr>
          <w:p w14:paraId="257B4854"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w:t>
            </w:r>
          </w:p>
        </w:tc>
        <w:tc>
          <w:tcPr>
            <w:tcW w:w="2386" w:type="dxa"/>
            <w:gridSpan w:val="2"/>
            <w:tcBorders>
              <w:top w:val="single" w:sz="4" w:space="0" w:color="auto"/>
              <w:left w:val="single" w:sz="4" w:space="0" w:color="auto"/>
              <w:right w:val="single" w:sz="4" w:space="0" w:color="auto"/>
            </w:tcBorders>
            <w:shd w:val="clear" w:color="auto" w:fill="FFFFFF"/>
          </w:tcPr>
          <w:p w14:paraId="05928A92"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0pt"/>
                <w:rFonts w:ascii="Sylfaen" w:hAnsi="Sylfaen"/>
                <w:sz w:val="24"/>
                <w:szCs w:val="24"/>
              </w:rPr>
              <w:t>IA</w:t>
            </w:r>
            <w:r w:rsidRPr="003B2786">
              <w:rPr>
                <w:rStyle w:val="Bodytext1810pt"/>
                <w:rFonts w:ascii="Sylfaen" w:hAnsi="Sylfaen"/>
                <w:sz w:val="24"/>
                <w:szCs w:val="24"/>
                <w:vertAlign w:val="subscript"/>
              </w:rPr>
              <w:t>ԱՊ</w:t>
            </w:r>
          </w:p>
        </w:tc>
      </w:tr>
      <w:tr w:rsidR="008C76E0" w:rsidRPr="003B2786" w14:paraId="25948219"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vAlign w:val="bottom"/>
          </w:tcPr>
          <w:p w14:paraId="20B23F71"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7138A811"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Դեղապատրաստուկին վերաբերող փոփոխությունների կառավարման հետգրանցումային արձանագրության բացառումն անկանխատեսելի իրավիճակների կամ արձանագրության մեջ նկարագրված փոփոխություններ կատարելու ընթացքում մասնագրերի անհամապատասխանության հետ</w:t>
            </w:r>
            <w:r w:rsidR="00C54D75">
              <w:rPr>
                <w:rStyle w:val="Bodytext1811pt"/>
                <w:rFonts w:ascii="Sylfaen" w:hAnsi="Sylfaen"/>
                <w:sz w:val="24"/>
                <w:szCs w:val="24"/>
              </w:rPr>
              <w:t>և</w:t>
            </w:r>
            <w:r w:rsidRPr="003B2786">
              <w:rPr>
                <w:rStyle w:val="Bodytext1811pt"/>
                <w:rFonts w:ascii="Sylfaen" w:hAnsi="Sylfaen"/>
                <w:sz w:val="24"/>
                <w:szCs w:val="24"/>
              </w:rPr>
              <w:t xml:space="preserve">անք չէ </w:t>
            </w:r>
            <w:r w:rsidR="00C54D75">
              <w:rPr>
                <w:rStyle w:val="Bodytext1811pt"/>
                <w:rFonts w:ascii="Sylfaen" w:hAnsi="Sylfaen"/>
                <w:sz w:val="24"/>
                <w:szCs w:val="24"/>
              </w:rPr>
              <w:t>և</w:t>
            </w:r>
            <w:r w:rsidRPr="003B2786">
              <w:rPr>
                <w:rStyle w:val="Bodytext1811pt"/>
                <w:rFonts w:ascii="Sylfaen" w:hAnsi="Sylfaen"/>
                <w:sz w:val="24"/>
                <w:szCs w:val="24"/>
              </w:rPr>
              <w:t xml:space="preserve"> որ</w:t>
            </w:r>
            <w:r w:rsidR="00C54D75">
              <w:rPr>
                <w:rStyle w:val="Bodytext1811pt"/>
                <w:rFonts w:ascii="Sylfaen" w:hAnsi="Sylfaen"/>
                <w:sz w:val="24"/>
                <w:szCs w:val="24"/>
              </w:rPr>
              <w:t>և</w:t>
            </w:r>
            <w:r w:rsidRPr="003B2786">
              <w:rPr>
                <w:rStyle w:val="Bodytext1811pt"/>
                <w:rFonts w:ascii="Sylfaen" w:hAnsi="Sylfaen"/>
                <w:sz w:val="24"/>
                <w:szCs w:val="24"/>
              </w:rPr>
              <w:t>է կերպ չի ազդում դոսյեում ներառված հաստատված տվյալների վրա։</w:t>
            </w:r>
          </w:p>
        </w:tc>
      </w:tr>
      <w:tr w:rsidR="008C76E0" w:rsidRPr="003B2786" w14:paraId="1CF3830F"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vAlign w:val="bottom"/>
          </w:tcPr>
          <w:p w14:paraId="4D4FBE8A"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74D9C96"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Առաջարկվող բացառման հիմնավորումը:</w:t>
            </w:r>
          </w:p>
          <w:p w14:paraId="477CE1E9"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lastRenderedPageBreak/>
              <w:t>2.</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tc>
      </w:tr>
      <w:tr w:rsidR="008C76E0" w:rsidRPr="003B2786" w14:paraId="6C9041C8"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44F7A101" w14:textId="77777777" w:rsidR="008C76E0" w:rsidRPr="008C76E0" w:rsidRDefault="008C76E0" w:rsidP="008C76E0">
            <w:pPr>
              <w:pStyle w:val="Bodytext180"/>
              <w:shd w:val="clear" w:color="auto" w:fill="auto"/>
              <w:tabs>
                <w:tab w:val="left" w:pos="119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lastRenderedPageBreak/>
              <w:t>Բ.II.է.4.</w:t>
            </w:r>
            <w:r w:rsidRPr="003B2786">
              <w:rPr>
                <w:rStyle w:val="Bodytext1811pt"/>
                <w:rFonts w:ascii="Sylfaen" w:hAnsi="Sylfaen"/>
                <w:sz w:val="24"/>
                <w:szCs w:val="24"/>
              </w:rPr>
              <w:tab/>
              <w:t>Փոփոխությունների կառավարման հաստատված արձանագրության փոփոխությունները</w:t>
            </w:r>
          </w:p>
        </w:tc>
        <w:tc>
          <w:tcPr>
            <w:tcW w:w="1701" w:type="dxa"/>
            <w:gridSpan w:val="2"/>
            <w:tcBorders>
              <w:top w:val="single" w:sz="4" w:space="0" w:color="auto"/>
              <w:left w:val="single" w:sz="4" w:space="0" w:color="auto"/>
            </w:tcBorders>
            <w:shd w:val="clear" w:color="auto" w:fill="FFFFFF"/>
          </w:tcPr>
          <w:p w14:paraId="6AE872EF"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126" w:type="dxa"/>
            <w:gridSpan w:val="2"/>
            <w:tcBorders>
              <w:top w:val="single" w:sz="4" w:space="0" w:color="auto"/>
              <w:left w:val="single" w:sz="4" w:space="0" w:color="auto"/>
            </w:tcBorders>
            <w:shd w:val="clear" w:color="auto" w:fill="FFFFFF"/>
          </w:tcPr>
          <w:p w14:paraId="728E3747"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386" w:type="dxa"/>
            <w:gridSpan w:val="2"/>
            <w:tcBorders>
              <w:top w:val="single" w:sz="4" w:space="0" w:color="auto"/>
              <w:left w:val="single" w:sz="4" w:space="0" w:color="auto"/>
              <w:right w:val="single" w:sz="4" w:space="0" w:color="auto"/>
            </w:tcBorders>
            <w:shd w:val="clear" w:color="auto" w:fill="FFFFFF"/>
          </w:tcPr>
          <w:p w14:paraId="54EB93C1"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F03D4C7"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75387A5B"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փոփոխությունների կառավարման արձանագրության էական փոփոխություններ</w:t>
            </w:r>
          </w:p>
        </w:tc>
        <w:tc>
          <w:tcPr>
            <w:tcW w:w="1701" w:type="dxa"/>
            <w:gridSpan w:val="2"/>
            <w:tcBorders>
              <w:top w:val="single" w:sz="4" w:space="0" w:color="auto"/>
              <w:left w:val="single" w:sz="4" w:space="0" w:color="auto"/>
            </w:tcBorders>
            <w:shd w:val="clear" w:color="auto" w:fill="FFFFFF"/>
          </w:tcPr>
          <w:p w14:paraId="12BAFA0F"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w:t>
            </w:r>
          </w:p>
        </w:tc>
        <w:tc>
          <w:tcPr>
            <w:tcW w:w="2126" w:type="dxa"/>
            <w:gridSpan w:val="2"/>
            <w:tcBorders>
              <w:top w:val="single" w:sz="4" w:space="0" w:color="auto"/>
              <w:left w:val="single" w:sz="4" w:space="0" w:color="auto"/>
            </w:tcBorders>
            <w:shd w:val="clear" w:color="auto" w:fill="FFFFFF"/>
          </w:tcPr>
          <w:p w14:paraId="2A17D4D0"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w:t>
            </w:r>
          </w:p>
        </w:tc>
        <w:tc>
          <w:tcPr>
            <w:tcW w:w="2386" w:type="dxa"/>
            <w:gridSpan w:val="2"/>
            <w:tcBorders>
              <w:top w:val="single" w:sz="4" w:space="0" w:color="auto"/>
              <w:left w:val="single" w:sz="4" w:space="0" w:color="auto"/>
              <w:right w:val="single" w:sz="4" w:space="0" w:color="auto"/>
            </w:tcBorders>
            <w:shd w:val="clear" w:color="auto" w:fill="FFFFFF"/>
          </w:tcPr>
          <w:p w14:paraId="6F4BEE5A"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3EC482EA"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bottom w:val="single" w:sz="4" w:space="0" w:color="auto"/>
            </w:tcBorders>
            <w:shd w:val="clear" w:color="auto" w:fill="FFFFFF"/>
            <w:vAlign w:val="bottom"/>
          </w:tcPr>
          <w:p w14:paraId="6106A74A"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փոփոխությունների կառավարման արձանագրության ոչ էական փոփոխություններ, որոնք չեն փոխում արձանագրության մեջ նկարագրված ռազմավարությունը</w:t>
            </w:r>
          </w:p>
        </w:tc>
        <w:tc>
          <w:tcPr>
            <w:tcW w:w="1701" w:type="dxa"/>
            <w:gridSpan w:val="2"/>
            <w:tcBorders>
              <w:top w:val="single" w:sz="4" w:space="0" w:color="auto"/>
              <w:left w:val="single" w:sz="4" w:space="0" w:color="auto"/>
              <w:bottom w:val="single" w:sz="4" w:space="0" w:color="auto"/>
            </w:tcBorders>
            <w:shd w:val="clear" w:color="auto" w:fill="FFFFFF"/>
          </w:tcPr>
          <w:p w14:paraId="574CA948"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w:t>
            </w:r>
          </w:p>
        </w:tc>
        <w:tc>
          <w:tcPr>
            <w:tcW w:w="2126" w:type="dxa"/>
            <w:gridSpan w:val="2"/>
            <w:tcBorders>
              <w:top w:val="single" w:sz="4" w:space="0" w:color="auto"/>
              <w:left w:val="single" w:sz="4" w:space="0" w:color="auto"/>
              <w:bottom w:val="single" w:sz="4" w:space="0" w:color="auto"/>
            </w:tcBorders>
            <w:shd w:val="clear" w:color="auto" w:fill="FFFFFF"/>
          </w:tcPr>
          <w:p w14:paraId="33072279"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1</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FFFFF"/>
          </w:tcPr>
          <w:p w14:paraId="33C24457" w14:textId="77777777" w:rsidR="008C76E0" w:rsidRPr="003B2786" w:rsidRDefault="008C76E0" w:rsidP="008C76E0">
            <w:pPr>
              <w:pStyle w:val="Bodytext180"/>
              <w:shd w:val="clear" w:color="auto" w:fill="auto"/>
              <w:tabs>
                <w:tab w:val="left" w:pos="567"/>
              </w:tabs>
              <w:spacing w:before="0" w:after="120" w:line="240" w:lineRule="auto"/>
              <w:ind w:left="61"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499D6945"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tcPr>
          <w:p w14:paraId="13DF2586"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2AF4956"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Հայտարարագիր այն մասին, որ ցանկացած փոփոխություն պետք է համապատասխանի ընդունելիության հաստատված գործող չափանիշների տիրույթին: Բացի այդ, հայտարարագիր այն մասին, որ կենսաբանական (իմունաբանական) դեղապատրաստուկների դեպքում չի պահանջվում համադրելիության գնահատում:</w:t>
            </w:r>
          </w:p>
        </w:tc>
      </w:tr>
      <w:tr w:rsidR="008C76E0" w:rsidRPr="003B2786" w14:paraId="35EBED41"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36DC4DD0" w14:textId="77777777" w:rsidR="008C76E0" w:rsidRPr="008C76E0" w:rsidRDefault="008C76E0" w:rsidP="008C76E0">
            <w:pPr>
              <w:pStyle w:val="Bodytext180"/>
              <w:shd w:val="clear" w:color="auto" w:fill="auto"/>
              <w:tabs>
                <w:tab w:val="left" w:pos="1116"/>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Բ.II.է.5.</w:t>
            </w:r>
            <w:r w:rsidRPr="003B2786">
              <w:rPr>
                <w:rStyle w:val="Bodytext1811pt"/>
                <w:rFonts w:ascii="Sylfaen" w:hAnsi="Sylfaen"/>
                <w:sz w:val="24"/>
                <w:szCs w:val="24"/>
              </w:rPr>
              <w:tab/>
              <w:t>Փոփոխությունների կառավարման հաստատված արձանագրությամբ նախատեսված փոփոխությունների իրականացումը</w:t>
            </w:r>
          </w:p>
        </w:tc>
        <w:tc>
          <w:tcPr>
            <w:tcW w:w="1701" w:type="dxa"/>
            <w:gridSpan w:val="2"/>
            <w:tcBorders>
              <w:top w:val="single" w:sz="4" w:space="0" w:color="auto"/>
              <w:left w:val="single" w:sz="4" w:space="0" w:color="auto"/>
            </w:tcBorders>
            <w:shd w:val="clear" w:color="auto" w:fill="FFFFFF"/>
          </w:tcPr>
          <w:p w14:paraId="3CA204EC" w14:textId="77777777" w:rsidR="008C76E0" w:rsidRPr="003B2786" w:rsidRDefault="008C76E0" w:rsidP="008C76E0">
            <w:pPr>
              <w:pStyle w:val="Bodytext180"/>
              <w:shd w:val="clear" w:color="auto" w:fill="auto"/>
              <w:tabs>
                <w:tab w:val="left" w:pos="567"/>
              </w:tabs>
              <w:spacing w:before="0" w:after="120" w:line="240" w:lineRule="auto"/>
              <w:ind w:left="13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2126" w:type="dxa"/>
            <w:gridSpan w:val="2"/>
            <w:tcBorders>
              <w:top w:val="single" w:sz="4" w:space="0" w:color="auto"/>
              <w:left w:val="single" w:sz="4" w:space="0" w:color="auto"/>
            </w:tcBorders>
            <w:shd w:val="clear" w:color="auto" w:fill="FFFFFF"/>
          </w:tcPr>
          <w:p w14:paraId="2EA39BD7"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2386" w:type="dxa"/>
            <w:gridSpan w:val="2"/>
            <w:tcBorders>
              <w:top w:val="single" w:sz="4" w:space="0" w:color="auto"/>
              <w:left w:val="single" w:sz="4" w:space="0" w:color="auto"/>
              <w:right w:val="single" w:sz="4" w:space="0" w:color="auto"/>
            </w:tcBorders>
            <w:shd w:val="clear" w:color="auto" w:fill="FFFFFF"/>
          </w:tcPr>
          <w:p w14:paraId="559E533B" w14:textId="77777777" w:rsidR="008C76E0" w:rsidRPr="003B2786" w:rsidRDefault="008C76E0" w:rsidP="008C76E0">
            <w:pPr>
              <w:pStyle w:val="Bodytext180"/>
              <w:shd w:val="clear" w:color="auto" w:fill="auto"/>
              <w:tabs>
                <w:tab w:val="left" w:pos="567"/>
              </w:tabs>
              <w:spacing w:before="0" w:after="120" w:line="240" w:lineRule="auto"/>
              <w:ind w:left="132" w:right="-10"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0F3C39C"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36F9A2E4"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փոփոխությունների իրականացմամբ չեն պահանջվում լրացուցիչ օժանդակ տվյալներ</w:t>
            </w:r>
          </w:p>
        </w:tc>
        <w:tc>
          <w:tcPr>
            <w:tcW w:w="1701" w:type="dxa"/>
            <w:gridSpan w:val="2"/>
            <w:tcBorders>
              <w:top w:val="single" w:sz="4" w:space="0" w:color="auto"/>
              <w:left w:val="single" w:sz="4" w:space="0" w:color="auto"/>
            </w:tcBorders>
            <w:shd w:val="clear" w:color="auto" w:fill="FFFFFF"/>
          </w:tcPr>
          <w:p w14:paraId="21EADB39"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w:t>
            </w:r>
          </w:p>
        </w:tc>
        <w:tc>
          <w:tcPr>
            <w:tcW w:w="2126" w:type="dxa"/>
            <w:gridSpan w:val="2"/>
            <w:tcBorders>
              <w:top w:val="single" w:sz="4" w:space="0" w:color="auto"/>
              <w:left w:val="single" w:sz="4" w:space="0" w:color="auto"/>
            </w:tcBorders>
            <w:shd w:val="clear" w:color="auto" w:fill="FFFFFF"/>
          </w:tcPr>
          <w:p w14:paraId="49E8DDBE"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1, 2, 4</w:t>
            </w:r>
          </w:p>
        </w:tc>
        <w:tc>
          <w:tcPr>
            <w:tcW w:w="2386" w:type="dxa"/>
            <w:gridSpan w:val="2"/>
            <w:tcBorders>
              <w:top w:val="single" w:sz="4" w:space="0" w:color="auto"/>
              <w:left w:val="single" w:sz="4" w:space="0" w:color="auto"/>
              <w:right w:val="single" w:sz="4" w:space="0" w:color="auto"/>
            </w:tcBorders>
            <w:shd w:val="clear" w:color="auto" w:fill="FFFFFF"/>
          </w:tcPr>
          <w:p w14:paraId="058F992B"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2FAF29DC"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52A43254"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փոփոխությունների իրականացմամբ պահանջվում են լրացուցիչ օժանդակ տվյալներ</w:t>
            </w:r>
          </w:p>
        </w:tc>
        <w:tc>
          <w:tcPr>
            <w:tcW w:w="1701" w:type="dxa"/>
            <w:gridSpan w:val="2"/>
            <w:tcBorders>
              <w:top w:val="single" w:sz="4" w:space="0" w:color="auto"/>
              <w:left w:val="single" w:sz="4" w:space="0" w:color="auto"/>
            </w:tcBorders>
            <w:shd w:val="clear" w:color="auto" w:fill="FFFFFF"/>
          </w:tcPr>
          <w:p w14:paraId="002BA7B2"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w:t>
            </w:r>
          </w:p>
        </w:tc>
        <w:tc>
          <w:tcPr>
            <w:tcW w:w="2126" w:type="dxa"/>
            <w:gridSpan w:val="2"/>
            <w:tcBorders>
              <w:top w:val="single" w:sz="4" w:space="0" w:color="auto"/>
              <w:left w:val="single" w:sz="4" w:space="0" w:color="auto"/>
            </w:tcBorders>
            <w:shd w:val="clear" w:color="auto" w:fill="FFFFFF"/>
          </w:tcPr>
          <w:p w14:paraId="25CD0FB6"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1 2, 3 4</w:t>
            </w:r>
          </w:p>
        </w:tc>
        <w:tc>
          <w:tcPr>
            <w:tcW w:w="2386" w:type="dxa"/>
            <w:gridSpan w:val="2"/>
            <w:tcBorders>
              <w:top w:val="single" w:sz="4" w:space="0" w:color="auto"/>
              <w:left w:val="single" w:sz="4" w:space="0" w:color="auto"/>
              <w:right w:val="single" w:sz="4" w:space="0" w:color="auto"/>
            </w:tcBorders>
            <w:shd w:val="clear" w:color="auto" w:fill="FFFFFF"/>
          </w:tcPr>
          <w:p w14:paraId="46E08DDD"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295pt"/>
                <w:rFonts w:ascii="Sylfaen" w:hAnsi="Sylfaen"/>
                <w:sz w:val="24"/>
                <w:szCs w:val="24"/>
              </w:rPr>
              <w:t>IB</w:t>
            </w:r>
          </w:p>
        </w:tc>
      </w:tr>
      <w:tr w:rsidR="008C76E0" w:rsidRPr="003B2786" w14:paraId="3FA095B5" w14:textId="77777777" w:rsidTr="004A52D9">
        <w:trPr>
          <w:gridBefore w:val="1"/>
          <w:gridAfter w:val="1"/>
          <w:wBefore w:w="9" w:type="dxa"/>
          <w:wAfter w:w="8" w:type="dxa"/>
          <w:jc w:val="center"/>
        </w:trPr>
        <w:tc>
          <w:tcPr>
            <w:tcW w:w="4464" w:type="dxa"/>
            <w:gridSpan w:val="2"/>
            <w:tcBorders>
              <w:top w:val="single" w:sz="4" w:space="0" w:color="auto"/>
              <w:left w:val="single" w:sz="4" w:space="0" w:color="auto"/>
            </w:tcBorders>
            <w:shd w:val="clear" w:color="auto" w:fill="FFFFFF"/>
            <w:vAlign w:val="bottom"/>
          </w:tcPr>
          <w:p w14:paraId="6DE596D7"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կենսաբանական (իմունաբանական) դեղապատրաստուկի փոփոխության իրականացում</w:t>
            </w:r>
          </w:p>
        </w:tc>
        <w:tc>
          <w:tcPr>
            <w:tcW w:w="1701" w:type="dxa"/>
            <w:gridSpan w:val="2"/>
            <w:tcBorders>
              <w:top w:val="single" w:sz="4" w:space="0" w:color="auto"/>
              <w:left w:val="single" w:sz="4" w:space="0" w:color="auto"/>
            </w:tcBorders>
            <w:shd w:val="clear" w:color="auto" w:fill="FFFFFF"/>
          </w:tcPr>
          <w:p w14:paraId="1BD89F9B"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w:t>
            </w:r>
          </w:p>
        </w:tc>
        <w:tc>
          <w:tcPr>
            <w:tcW w:w="2126" w:type="dxa"/>
            <w:gridSpan w:val="2"/>
            <w:tcBorders>
              <w:top w:val="single" w:sz="4" w:space="0" w:color="auto"/>
              <w:left w:val="single" w:sz="4" w:space="0" w:color="auto"/>
            </w:tcBorders>
            <w:shd w:val="clear" w:color="auto" w:fill="FFFFFF"/>
          </w:tcPr>
          <w:p w14:paraId="606FCD8E"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1811pt"/>
                <w:rFonts w:ascii="Sylfaen" w:hAnsi="Sylfaen"/>
                <w:sz w:val="24"/>
                <w:szCs w:val="24"/>
              </w:rPr>
              <w:t>1, 2, 3, 4, 5</w:t>
            </w:r>
          </w:p>
        </w:tc>
        <w:tc>
          <w:tcPr>
            <w:tcW w:w="2386" w:type="dxa"/>
            <w:gridSpan w:val="2"/>
            <w:tcBorders>
              <w:top w:val="single" w:sz="4" w:space="0" w:color="auto"/>
              <w:left w:val="single" w:sz="4" w:space="0" w:color="auto"/>
              <w:right w:val="single" w:sz="4" w:space="0" w:color="auto"/>
            </w:tcBorders>
            <w:shd w:val="clear" w:color="auto" w:fill="FFFFFF"/>
          </w:tcPr>
          <w:p w14:paraId="3C2DAF08"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center"/>
              <w:rPr>
                <w:rFonts w:ascii="Sylfaen" w:hAnsi="Sylfaen"/>
                <w:b w:val="0"/>
                <w:sz w:val="24"/>
                <w:szCs w:val="24"/>
              </w:rPr>
            </w:pPr>
            <w:r w:rsidRPr="003B2786">
              <w:rPr>
                <w:rStyle w:val="Bodytext295pt"/>
                <w:rFonts w:ascii="Sylfaen" w:hAnsi="Sylfaen"/>
                <w:sz w:val="24"/>
                <w:szCs w:val="24"/>
              </w:rPr>
              <w:t>IB</w:t>
            </w:r>
          </w:p>
        </w:tc>
      </w:tr>
      <w:tr w:rsidR="008C76E0" w:rsidRPr="003B2786" w14:paraId="75989728"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vAlign w:val="bottom"/>
          </w:tcPr>
          <w:p w14:paraId="0E9C0564"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2878F7E"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Առաջարկված փոփոխությունն իրականացվել է փոփոխությունների կառավարման հաստատված արձանագրության բացարձակ համապատասխանությամբ, որով պահանջվում է այն իրականացնելուց հետո անհապաղ ծանուցում։</w:t>
            </w:r>
          </w:p>
        </w:tc>
      </w:tr>
      <w:tr w:rsidR="008C76E0" w:rsidRPr="003B2786" w14:paraId="19B5A0A2" w14:textId="77777777" w:rsidTr="004A52D9">
        <w:trPr>
          <w:gridBefore w:val="1"/>
          <w:gridAfter w:val="1"/>
          <w:wBefore w:w="9" w:type="dxa"/>
          <w:wAfter w:w="8" w:type="dxa"/>
          <w:jc w:val="center"/>
        </w:trPr>
        <w:tc>
          <w:tcPr>
            <w:tcW w:w="10677" w:type="dxa"/>
            <w:gridSpan w:val="8"/>
            <w:tcBorders>
              <w:top w:val="single" w:sz="4" w:space="0" w:color="auto"/>
              <w:left w:val="single" w:sz="4" w:space="0" w:color="auto"/>
              <w:right w:val="single" w:sz="4" w:space="0" w:color="auto"/>
            </w:tcBorders>
            <w:shd w:val="clear" w:color="auto" w:fill="FFFFFF"/>
            <w:vAlign w:val="bottom"/>
          </w:tcPr>
          <w:p w14:paraId="79EBD72F"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67AB1770"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t xml:space="preserve">Հղում՝ </w:t>
            </w:r>
            <w:r w:rsidRPr="003B2786">
              <w:rPr>
                <w:rStyle w:val="Bodytext1811pt"/>
                <w:rFonts w:ascii="Sylfaen" w:hAnsi="Sylfaen"/>
                <w:sz w:val="24"/>
                <w:szCs w:val="24"/>
              </w:rPr>
              <w:t>փոփոխությունների կառավարման հաստատված արձանագրությանը:</w:t>
            </w:r>
          </w:p>
          <w:p w14:paraId="29AF1D26"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lastRenderedPageBreak/>
              <w:t>2.</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փոփոխությունը համապատասխանում է փոփոխությունների կառավարման հաստատված արձանագրությանը, </w:t>
            </w:r>
            <w:r w:rsidR="00C54D75">
              <w:rPr>
                <w:rStyle w:val="Bodytext1811pt"/>
                <w:rFonts w:ascii="Sylfaen" w:hAnsi="Sylfaen"/>
                <w:sz w:val="24"/>
                <w:szCs w:val="24"/>
              </w:rPr>
              <w:t>և</w:t>
            </w:r>
            <w:r w:rsidRPr="003B2786">
              <w:rPr>
                <w:rStyle w:val="Bodytext1811pt"/>
                <w:rFonts w:ascii="Sylfaen" w:hAnsi="Sylfaen"/>
                <w:sz w:val="24"/>
                <w:szCs w:val="24"/>
              </w:rPr>
              <w:t xml:space="preserve"> ուսումնասիրության արդյունքները բավարարում են արձանագրության մեջ նշված ընդունելիության չափանիշները: Բացի այդ, հայտարարագիր այն մասին, որ կենսաբանական (իմունաբանական) դեղապատրաստուկների առնչությամբ չի պահանջվում համադրելիության գնահատում:</w:t>
            </w:r>
          </w:p>
          <w:p w14:paraId="3DFDFF24"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Փոփոխությունների կառավարման հաստատված արձանագրությանը համապատասխան անցկացված ուսումնասիրությունների արդյունքները:</w:t>
            </w:r>
          </w:p>
          <w:p w14:paraId="5431D4BB" w14:textId="77777777" w:rsidR="008C76E0" w:rsidRPr="008C76E0"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16BADCCF" w14:textId="77777777" w:rsidR="008C76E0" w:rsidRPr="003B2786" w:rsidRDefault="008C76E0" w:rsidP="008C76E0">
            <w:pPr>
              <w:pStyle w:val="Bodytext180"/>
              <w:shd w:val="clear" w:color="auto" w:fill="auto"/>
              <w:tabs>
                <w:tab w:val="left" w:pos="567"/>
              </w:tabs>
              <w:spacing w:before="0" w:after="120" w:line="240" w:lineRule="auto"/>
              <w:ind w:left="132" w:right="132" w:firstLine="0"/>
              <w:jc w:val="both"/>
              <w:rPr>
                <w:rFonts w:ascii="Sylfaen" w:hAnsi="Sylfaen"/>
                <w:b w:val="0"/>
                <w:sz w:val="24"/>
                <w:szCs w:val="24"/>
              </w:rPr>
            </w:pPr>
            <w:r w:rsidRPr="003B2786">
              <w:rPr>
                <w:rFonts w:ascii="Sylfaen" w:hAnsi="Sylfaen"/>
                <w:b w:val="0"/>
                <w:sz w:val="24"/>
                <w:szCs w:val="24"/>
              </w:rPr>
              <w:t>5.</w:t>
            </w:r>
            <w:r w:rsidRPr="003B2786">
              <w:rPr>
                <w:rFonts w:ascii="Sylfaen" w:hAnsi="Sylfaen"/>
                <w:b w:val="0"/>
                <w:sz w:val="24"/>
                <w:szCs w:val="24"/>
              </w:rPr>
              <w:tab/>
            </w:r>
            <w:r w:rsidRPr="003B2786">
              <w:rPr>
                <w:rStyle w:val="Bodytext1811pt"/>
                <w:rFonts w:ascii="Sylfaen" w:hAnsi="Sylfaen"/>
                <w:sz w:val="24"/>
                <w:szCs w:val="24"/>
              </w:rPr>
              <w:t>Դեղապատրաստուկի հաստատված մասնագրերի օրինակները։</w:t>
            </w:r>
          </w:p>
        </w:tc>
      </w:tr>
      <w:tr w:rsidR="008C76E0" w:rsidRPr="003B2786" w14:paraId="1B3F3B9D" w14:textId="77777777" w:rsidTr="004A52D9">
        <w:trPr>
          <w:jc w:val="center"/>
        </w:trPr>
        <w:tc>
          <w:tcPr>
            <w:tcW w:w="10694" w:type="dxa"/>
            <w:gridSpan w:val="10"/>
            <w:tcBorders>
              <w:top w:val="single" w:sz="4" w:space="0" w:color="auto"/>
            </w:tcBorders>
            <w:shd w:val="clear" w:color="auto" w:fill="FFFFFF"/>
            <w:vAlign w:val="bottom"/>
          </w:tcPr>
          <w:p w14:paraId="67E01980" w14:textId="77777777" w:rsidR="008C76E0" w:rsidRPr="008C76E0" w:rsidRDefault="008C76E0" w:rsidP="008C76E0">
            <w:pPr>
              <w:pStyle w:val="Bodytext180"/>
              <w:shd w:val="clear" w:color="auto" w:fill="auto"/>
              <w:tabs>
                <w:tab w:val="left" w:pos="1407"/>
              </w:tabs>
              <w:spacing w:before="0" w:after="120" w:line="240" w:lineRule="auto"/>
              <w:ind w:left="131" w:right="-1" w:firstLine="0"/>
              <w:jc w:val="both"/>
              <w:rPr>
                <w:rFonts w:ascii="Sylfaen" w:hAnsi="Sylfaen"/>
                <w:b w:val="0"/>
                <w:i/>
                <w:sz w:val="24"/>
                <w:szCs w:val="24"/>
                <w:lang w:val="hy-AM"/>
              </w:rPr>
            </w:pPr>
            <w:r w:rsidRPr="003B2786">
              <w:rPr>
                <w:rStyle w:val="Bodytext295pt"/>
                <w:rFonts w:ascii="Sylfaen" w:hAnsi="Sylfaen"/>
                <w:sz w:val="24"/>
                <w:szCs w:val="24"/>
              </w:rPr>
              <w:lastRenderedPageBreak/>
              <w:t>Բ.II.ը)</w:t>
            </w:r>
            <w:r w:rsidRPr="003B2786">
              <w:rPr>
                <w:rStyle w:val="Bodytext295pt"/>
                <w:rFonts w:ascii="Sylfaen" w:hAnsi="Sylfaen"/>
                <w:sz w:val="24"/>
                <w:szCs w:val="24"/>
              </w:rPr>
              <w:tab/>
              <w:t>Կողմնակի ագենտների առումով անվտանգությունը</w:t>
            </w:r>
          </w:p>
        </w:tc>
      </w:tr>
      <w:tr w:rsidR="008C76E0" w:rsidRPr="003B2786" w14:paraId="39D998C0"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3DEB007" w14:textId="77777777" w:rsidR="008C76E0" w:rsidRPr="008C76E0" w:rsidRDefault="008C76E0" w:rsidP="008C76E0">
            <w:pPr>
              <w:pStyle w:val="Bodytext180"/>
              <w:shd w:val="clear" w:color="auto" w:fill="auto"/>
              <w:tabs>
                <w:tab w:val="left" w:pos="1407"/>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Բ.II.ը.1.</w:t>
            </w:r>
            <w:r w:rsidRPr="003B2786">
              <w:rPr>
                <w:rStyle w:val="Bodytext1811pt"/>
                <w:rFonts w:ascii="Sylfaen" w:hAnsi="Sylfaen"/>
                <w:sz w:val="24"/>
                <w:szCs w:val="24"/>
              </w:rPr>
              <w:tab/>
              <w:t>«Կողմնակի ագենտների առումով անվտանգության գնահատում» տեղեկատվության թարմացումը (գրանցման դոսյեի 3.2.Ա.2 բաժին)</w:t>
            </w:r>
          </w:p>
        </w:tc>
        <w:tc>
          <w:tcPr>
            <w:tcW w:w="1883" w:type="dxa"/>
            <w:gridSpan w:val="2"/>
            <w:tcBorders>
              <w:top w:val="single" w:sz="4" w:space="0" w:color="auto"/>
              <w:left w:val="single" w:sz="4" w:space="0" w:color="auto"/>
            </w:tcBorders>
            <w:shd w:val="clear" w:color="auto" w:fill="FFFFFF"/>
          </w:tcPr>
          <w:p w14:paraId="7113ED0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4785838" w14:textId="77777777" w:rsidR="008C76E0" w:rsidRPr="003B2786" w:rsidRDefault="008C76E0" w:rsidP="008C76E0">
            <w:pPr>
              <w:pStyle w:val="Bodytext180"/>
              <w:shd w:val="clear" w:color="auto" w:fill="auto"/>
              <w:spacing w:before="0" w:after="120" w:line="240" w:lineRule="auto"/>
              <w:ind w:left="43" w:right="15"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37DD24CD" w14:textId="77777777" w:rsidR="008C76E0" w:rsidRPr="003B2786" w:rsidRDefault="008C76E0" w:rsidP="008C76E0">
            <w:pPr>
              <w:pStyle w:val="Bodytext180"/>
              <w:shd w:val="clear" w:color="auto" w:fill="auto"/>
              <w:spacing w:before="0" w:after="120" w:line="240" w:lineRule="auto"/>
              <w:ind w:left="-10"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C105F00"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BC5D424"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մեկ կամ ավելի կողմնակի ագենտների մասով առաջին անգամ ուսումնասիրված արտադրական փուլերին առնչվող հետազոտությունները</w:t>
            </w:r>
          </w:p>
        </w:tc>
        <w:tc>
          <w:tcPr>
            <w:tcW w:w="1883" w:type="dxa"/>
            <w:gridSpan w:val="2"/>
            <w:tcBorders>
              <w:top w:val="single" w:sz="4" w:space="0" w:color="auto"/>
              <w:left w:val="single" w:sz="4" w:space="0" w:color="auto"/>
            </w:tcBorders>
            <w:shd w:val="clear" w:color="auto" w:fill="FFFFFF"/>
          </w:tcPr>
          <w:p w14:paraId="1F68537B"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0574677"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2F370039"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09A0A75"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B19787D"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դոսյեում նախկինում ընդգրկված արտադրական փուլերին </w:t>
            </w:r>
            <w:r w:rsidR="00C54D75">
              <w:rPr>
                <w:rStyle w:val="Bodytext1811pt"/>
                <w:rFonts w:ascii="Sylfaen" w:hAnsi="Sylfaen"/>
                <w:sz w:val="24"/>
                <w:szCs w:val="24"/>
              </w:rPr>
              <w:t>և</w:t>
            </w:r>
            <w:r w:rsidRPr="003B2786">
              <w:rPr>
                <w:rStyle w:val="Bodytext1811pt"/>
                <w:rFonts w:ascii="Sylfaen" w:hAnsi="Sylfaen"/>
                <w:sz w:val="24"/>
                <w:szCs w:val="24"/>
              </w:rPr>
              <w:t xml:space="preserve"> կողմնակի ագենտներին առնչվող հնացած հետազոտությունների փոխարինումը</w:t>
            </w:r>
          </w:p>
        </w:tc>
        <w:tc>
          <w:tcPr>
            <w:tcW w:w="1883" w:type="dxa"/>
            <w:gridSpan w:val="2"/>
            <w:tcBorders>
              <w:top w:val="single" w:sz="4" w:space="0" w:color="auto"/>
              <w:left w:val="single" w:sz="4" w:space="0" w:color="auto"/>
            </w:tcBorders>
            <w:shd w:val="clear" w:color="auto" w:fill="FFFFFF"/>
          </w:tcPr>
          <w:p w14:paraId="2B30260F" w14:textId="77777777" w:rsidR="008C76E0" w:rsidRPr="003B2786" w:rsidRDefault="008C76E0" w:rsidP="008C76E0">
            <w:pPr>
              <w:tabs>
                <w:tab w:val="left" w:pos="501"/>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7130CE56" w14:textId="77777777" w:rsidR="008C76E0" w:rsidRPr="003B2786" w:rsidRDefault="008C76E0" w:rsidP="008C76E0">
            <w:pPr>
              <w:tabs>
                <w:tab w:val="left" w:pos="501"/>
              </w:tabs>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78689E9E" w14:textId="77777777" w:rsidR="008C76E0" w:rsidRPr="003B2786" w:rsidRDefault="008C76E0" w:rsidP="008C76E0">
            <w:pPr>
              <w:tabs>
                <w:tab w:val="left" w:pos="501"/>
              </w:tabs>
              <w:spacing w:after="120"/>
              <w:ind w:left="159" w:right="222"/>
              <w:jc w:val="center"/>
              <w:rPr>
                <w:rFonts w:ascii="Sylfaen" w:hAnsi="Sylfaen"/>
                <w:sz w:val="24"/>
                <w:szCs w:val="24"/>
              </w:rPr>
            </w:pPr>
          </w:p>
        </w:tc>
      </w:tr>
      <w:tr w:rsidR="008C76E0" w:rsidRPr="003B2786" w14:paraId="64F6275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0901C79"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1.</w:t>
            </w:r>
            <w:r w:rsidRPr="003B2786">
              <w:rPr>
                <w:rStyle w:val="Bodytext1811pt"/>
                <w:rFonts w:ascii="Sylfaen" w:hAnsi="Sylfaen"/>
                <w:sz w:val="24"/>
                <w:szCs w:val="24"/>
              </w:rPr>
              <w:tab/>
              <w:t>ռիսկերի գնահատման փոփոխությամբ</w:t>
            </w:r>
          </w:p>
        </w:tc>
        <w:tc>
          <w:tcPr>
            <w:tcW w:w="1883" w:type="dxa"/>
            <w:gridSpan w:val="2"/>
            <w:tcBorders>
              <w:top w:val="single" w:sz="4" w:space="0" w:color="auto"/>
              <w:left w:val="single" w:sz="4" w:space="0" w:color="auto"/>
            </w:tcBorders>
            <w:shd w:val="clear" w:color="auto" w:fill="FFFFFF"/>
          </w:tcPr>
          <w:p w14:paraId="03A10C00"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4561EC3"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06E6F29D"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6B49A47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250C259"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2.</w:t>
            </w:r>
            <w:r w:rsidRPr="003B2786">
              <w:rPr>
                <w:rStyle w:val="Bodytext1811pt"/>
                <w:rFonts w:ascii="Sylfaen" w:hAnsi="Sylfaen"/>
                <w:sz w:val="24"/>
                <w:szCs w:val="24"/>
              </w:rPr>
              <w:tab/>
              <w:t>առանց ռիսկերի գնահատման փոփոխությամբ</w:t>
            </w:r>
          </w:p>
        </w:tc>
        <w:tc>
          <w:tcPr>
            <w:tcW w:w="1883" w:type="dxa"/>
            <w:gridSpan w:val="2"/>
            <w:tcBorders>
              <w:top w:val="single" w:sz="4" w:space="0" w:color="auto"/>
              <w:left w:val="single" w:sz="4" w:space="0" w:color="auto"/>
            </w:tcBorders>
            <w:shd w:val="clear" w:color="auto" w:fill="FFFFFF"/>
          </w:tcPr>
          <w:p w14:paraId="7F3CA692"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4CF31DD"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843" w:type="dxa"/>
            <w:gridSpan w:val="2"/>
            <w:tcBorders>
              <w:top w:val="single" w:sz="4" w:space="0" w:color="auto"/>
              <w:left w:val="single" w:sz="4" w:space="0" w:color="auto"/>
              <w:right w:val="single" w:sz="4" w:space="0" w:color="auto"/>
            </w:tcBorders>
            <w:shd w:val="clear" w:color="auto" w:fill="FFFFFF"/>
          </w:tcPr>
          <w:p w14:paraId="2BB8CAD2" w14:textId="77777777" w:rsidR="008C76E0" w:rsidRPr="003B2786" w:rsidRDefault="008C76E0" w:rsidP="008C76E0">
            <w:pPr>
              <w:pStyle w:val="Bodytext180"/>
              <w:shd w:val="clear" w:color="auto" w:fill="auto"/>
              <w:tabs>
                <w:tab w:val="left" w:pos="501"/>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IB</w:t>
            </w:r>
          </w:p>
        </w:tc>
      </w:tr>
      <w:tr w:rsidR="008C76E0" w:rsidRPr="003B2786" w14:paraId="553FEDBD"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tcPr>
          <w:p w14:paraId="033762B1"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ED1E4B5"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Դոսյեի համապատասխան բաժնում (բաժիններում) ուղղում կատարելը, ներառյալ արտադրական փուլերի՝ կողմնակի ագենտներն ինակտիվացնելու (վերացնելու) կարողության ուսումնասիրմանն ուղղված նոր հետազոտություններ անցկացնելը:</w:t>
            </w:r>
          </w:p>
        </w:tc>
      </w:tr>
      <w:tr w:rsidR="008C76E0" w:rsidRPr="003B2786" w14:paraId="20ECCCE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1090517E"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Հիմնավորումն այն բանի, որ հետազոտությունները չեն փոփոխում ռիսկերի գնահատումը:</w:t>
            </w:r>
          </w:p>
          <w:p w14:paraId="0B92FC7C" w14:textId="77777777" w:rsidR="008C76E0" w:rsidRPr="008C76E0" w:rsidRDefault="008C76E0" w:rsidP="008C76E0">
            <w:pPr>
              <w:pStyle w:val="Bodytext180"/>
              <w:shd w:val="clear" w:color="auto" w:fill="auto"/>
              <w:tabs>
                <w:tab w:val="left" w:pos="501"/>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pacing w:val="-4"/>
                <w:sz w:val="24"/>
                <w:szCs w:val="24"/>
              </w:rPr>
              <w:t>Դեղապատրաստուկի մասին տեղեկատվության մեջ ուղղում կատարելը (եթե կիրառելի է):</w:t>
            </w:r>
          </w:p>
        </w:tc>
      </w:tr>
      <w:tr w:rsidR="008C76E0" w:rsidRPr="003B2786" w14:paraId="469A273D" w14:textId="77777777" w:rsidTr="004A52D9">
        <w:trPr>
          <w:jc w:val="center"/>
        </w:trPr>
        <w:tc>
          <w:tcPr>
            <w:tcW w:w="10694" w:type="dxa"/>
            <w:gridSpan w:val="10"/>
            <w:tcBorders>
              <w:top w:val="single" w:sz="4" w:space="0" w:color="auto"/>
            </w:tcBorders>
            <w:shd w:val="clear" w:color="auto" w:fill="FFFFFF"/>
          </w:tcPr>
          <w:p w14:paraId="377CB78B" w14:textId="77777777" w:rsidR="008C76E0" w:rsidRPr="008C76E0" w:rsidRDefault="008C76E0" w:rsidP="008C76E0">
            <w:pPr>
              <w:pStyle w:val="Bodytext180"/>
              <w:shd w:val="clear" w:color="auto" w:fill="auto"/>
              <w:spacing w:before="0" w:after="120" w:line="240" w:lineRule="auto"/>
              <w:ind w:left="159" w:right="222" w:firstLine="0"/>
              <w:jc w:val="center"/>
              <w:rPr>
                <w:rFonts w:ascii="Sylfaen" w:hAnsi="Sylfaen"/>
                <w:b w:val="0"/>
                <w:i/>
                <w:sz w:val="24"/>
                <w:szCs w:val="24"/>
                <w:lang w:val="hy-AM"/>
              </w:rPr>
            </w:pPr>
            <w:r w:rsidRPr="003B2786">
              <w:rPr>
                <w:rStyle w:val="Bodytext295pt"/>
                <w:rFonts w:ascii="Sylfaen" w:hAnsi="Sylfaen"/>
                <w:sz w:val="24"/>
                <w:szCs w:val="24"/>
              </w:rPr>
              <w:t xml:space="preserve">Բ.III Եվրոպական դեղագրքին համապատասխանության սերտիֆիկատը (СЕР)(առկայության դեպքում) </w:t>
            </w:r>
            <w:r w:rsidR="00C54D75">
              <w:rPr>
                <w:rStyle w:val="Bodytext295pt"/>
                <w:rFonts w:ascii="Sylfaen" w:hAnsi="Sylfaen"/>
                <w:sz w:val="24"/>
                <w:szCs w:val="24"/>
              </w:rPr>
              <w:t>և</w:t>
            </w:r>
            <w:r w:rsidRPr="003B2786">
              <w:rPr>
                <w:rStyle w:val="Bodytext295pt"/>
                <w:rFonts w:ascii="Sylfaen" w:hAnsi="Sylfaen"/>
                <w:sz w:val="24"/>
                <w:szCs w:val="24"/>
              </w:rPr>
              <w:t xml:space="preserve"> (կամ) ՏՍԷ </w:t>
            </w:r>
            <w:r w:rsidR="00C54D75">
              <w:rPr>
                <w:rStyle w:val="Bodytext295pt"/>
                <w:rFonts w:ascii="Sylfaen" w:hAnsi="Sylfaen"/>
                <w:sz w:val="24"/>
                <w:szCs w:val="24"/>
              </w:rPr>
              <w:t>և</w:t>
            </w:r>
            <w:r w:rsidRPr="003B2786">
              <w:rPr>
                <w:rStyle w:val="Bodytext295pt"/>
                <w:rFonts w:ascii="Sylfaen" w:hAnsi="Sylfaen"/>
                <w:sz w:val="24"/>
                <w:szCs w:val="24"/>
              </w:rPr>
              <w:t xml:space="preserve"> (կամ) հոդվածները</w:t>
            </w:r>
          </w:p>
        </w:tc>
      </w:tr>
      <w:tr w:rsidR="008C76E0" w:rsidRPr="003B2786" w14:paraId="73B4103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2E01D8A" w14:textId="77777777" w:rsidR="008C76E0" w:rsidRPr="008C76E0" w:rsidRDefault="008C76E0" w:rsidP="008C76E0">
            <w:pPr>
              <w:pStyle w:val="Bodytext180"/>
              <w:shd w:val="clear" w:color="auto" w:fill="auto"/>
              <w:tabs>
                <w:tab w:val="left" w:pos="1108"/>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Բ.III.1.</w:t>
            </w:r>
            <w:r w:rsidRPr="003B2786">
              <w:rPr>
                <w:rStyle w:val="Bodytext1811pt"/>
                <w:rFonts w:ascii="Sylfaen" w:hAnsi="Sylfaen"/>
                <w:sz w:val="24"/>
                <w:szCs w:val="24"/>
              </w:rPr>
              <w:tab/>
              <w:t xml:space="preserve">Եվրոպական դեղագրքին համապատասխանության նոր կամ թարմացված սերտիֆիկատ </w:t>
            </w:r>
            <w:r w:rsidRPr="003B2786">
              <w:rPr>
                <w:rStyle w:val="Bodytext1811pt"/>
                <w:rFonts w:ascii="Sylfaen" w:hAnsi="Sylfaen"/>
                <w:sz w:val="24"/>
                <w:szCs w:val="24"/>
              </w:rPr>
              <w:lastRenderedPageBreak/>
              <w:t>ներկայացնելը կամ Եվրոպական դեղագրքին համապատասխանության սերտիֆիկատը բացառելը</w:t>
            </w:r>
          </w:p>
        </w:tc>
        <w:tc>
          <w:tcPr>
            <w:tcW w:w="1883" w:type="dxa"/>
            <w:gridSpan w:val="2"/>
            <w:tcBorders>
              <w:top w:val="single" w:sz="4" w:space="0" w:color="auto"/>
              <w:left w:val="single" w:sz="4" w:space="0" w:color="auto"/>
            </w:tcBorders>
            <w:shd w:val="clear" w:color="auto" w:fill="FFFFFF"/>
          </w:tcPr>
          <w:p w14:paraId="0AD9EA76" w14:textId="77777777" w:rsidR="008C76E0" w:rsidRPr="003B2786" w:rsidRDefault="008C76E0" w:rsidP="008C76E0">
            <w:pPr>
              <w:pStyle w:val="Bodytext180"/>
              <w:shd w:val="clear" w:color="auto" w:fill="auto"/>
              <w:spacing w:before="0" w:after="120" w:line="240" w:lineRule="auto"/>
              <w:ind w:right="21"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1984" w:type="dxa"/>
            <w:gridSpan w:val="2"/>
            <w:tcBorders>
              <w:top w:val="single" w:sz="4" w:space="0" w:color="auto"/>
              <w:left w:val="single" w:sz="4" w:space="0" w:color="auto"/>
            </w:tcBorders>
            <w:shd w:val="clear" w:color="auto" w:fill="FFFFFF"/>
          </w:tcPr>
          <w:p w14:paraId="6504749A" w14:textId="77777777" w:rsidR="008C76E0" w:rsidRPr="003B2786" w:rsidRDefault="008C76E0" w:rsidP="008C76E0">
            <w:pPr>
              <w:pStyle w:val="Bodytext180"/>
              <w:shd w:val="clear" w:color="auto" w:fill="auto"/>
              <w:spacing w:before="0" w:after="120" w:line="240" w:lineRule="auto"/>
              <w:ind w:right="2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76FA1993" w14:textId="77777777" w:rsidR="008C76E0" w:rsidRPr="003B2786" w:rsidRDefault="008C76E0" w:rsidP="008C76E0">
            <w:pPr>
              <w:pStyle w:val="Bodytext180"/>
              <w:shd w:val="clear" w:color="auto" w:fill="auto"/>
              <w:spacing w:before="0" w:after="120" w:line="240" w:lineRule="auto"/>
              <w:ind w:right="2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FC91ADC"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DDFED78" w14:textId="77777777" w:rsidR="008C76E0" w:rsidRPr="008C76E0" w:rsidRDefault="008C76E0" w:rsidP="008C76E0">
            <w:pPr>
              <w:pStyle w:val="Bodytext180"/>
              <w:shd w:val="clear" w:color="auto" w:fill="auto"/>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Դեղագործական բաղադրամասի համար, դեղագործական բաղադրամասի արտադրության գործընթացում օգտագործվող ելանյութի (ռեակտիվի, միջանկյալ արտադրանքի) համար</w:t>
            </w:r>
          </w:p>
          <w:p w14:paraId="72A5F16D" w14:textId="77777777" w:rsidR="008C76E0" w:rsidRPr="003B2786" w:rsidRDefault="008C76E0" w:rsidP="008C76E0">
            <w:pPr>
              <w:pStyle w:val="Bodytext180"/>
              <w:shd w:val="clear" w:color="auto" w:fill="auto"/>
              <w:spacing w:before="0" w:after="120" w:line="288" w:lineRule="auto"/>
              <w:ind w:left="159" w:right="222" w:firstLine="0"/>
              <w:jc w:val="both"/>
              <w:rPr>
                <w:rFonts w:ascii="Sylfaen" w:hAnsi="Sylfaen"/>
                <w:b w:val="0"/>
                <w:sz w:val="24"/>
                <w:szCs w:val="24"/>
              </w:rPr>
            </w:pPr>
            <w:r w:rsidRPr="003B2786">
              <w:rPr>
                <w:rStyle w:val="Bodytext1811pt"/>
                <w:rFonts w:ascii="Sylfaen" w:hAnsi="Sylfaen"/>
                <w:sz w:val="24"/>
                <w:szCs w:val="24"/>
              </w:rPr>
              <w:t>Օժանդակ նյութի համար</w:t>
            </w:r>
          </w:p>
        </w:tc>
        <w:tc>
          <w:tcPr>
            <w:tcW w:w="1883" w:type="dxa"/>
            <w:gridSpan w:val="2"/>
            <w:tcBorders>
              <w:top w:val="single" w:sz="4" w:space="0" w:color="auto"/>
              <w:left w:val="single" w:sz="4" w:space="0" w:color="auto"/>
            </w:tcBorders>
            <w:shd w:val="clear" w:color="auto" w:fill="FFFFFF"/>
          </w:tcPr>
          <w:p w14:paraId="632BE4D2" w14:textId="77777777" w:rsidR="008C76E0" w:rsidRPr="003B2786" w:rsidRDefault="008C76E0" w:rsidP="008C76E0">
            <w:pPr>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25F640CE" w14:textId="77777777" w:rsidR="008C76E0" w:rsidRPr="003B2786" w:rsidRDefault="008C76E0" w:rsidP="008C76E0">
            <w:pPr>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7320E39E" w14:textId="77777777" w:rsidR="008C76E0" w:rsidRPr="003B2786" w:rsidRDefault="008C76E0" w:rsidP="008C76E0">
            <w:pPr>
              <w:spacing w:after="120"/>
              <w:ind w:left="159" w:right="222"/>
              <w:jc w:val="center"/>
              <w:rPr>
                <w:rFonts w:ascii="Sylfaen" w:hAnsi="Sylfaen"/>
                <w:sz w:val="24"/>
                <w:szCs w:val="24"/>
              </w:rPr>
            </w:pPr>
          </w:p>
        </w:tc>
      </w:tr>
      <w:tr w:rsidR="008C76E0" w:rsidRPr="003B2786" w14:paraId="2ED2CD1C"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1184A80"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Եվրոպական դեղագրքի հոդվածին համապատասխանող՝ Եվրոպական դեղագրքի համապատասխանության հավաստագիրը</w:t>
            </w:r>
          </w:p>
        </w:tc>
        <w:tc>
          <w:tcPr>
            <w:tcW w:w="1883" w:type="dxa"/>
            <w:gridSpan w:val="2"/>
            <w:tcBorders>
              <w:top w:val="single" w:sz="4" w:space="0" w:color="auto"/>
              <w:left w:val="single" w:sz="4" w:space="0" w:color="auto"/>
            </w:tcBorders>
            <w:shd w:val="clear" w:color="auto" w:fill="FFFFFF"/>
          </w:tcPr>
          <w:p w14:paraId="4BEF15DF" w14:textId="77777777" w:rsidR="008C76E0" w:rsidRPr="003B2786" w:rsidRDefault="008C76E0" w:rsidP="008C76E0">
            <w:pPr>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2E26F224" w14:textId="77777777" w:rsidR="008C76E0" w:rsidRPr="003B2786" w:rsidRDefault="008C76E0" w:rsidP="008C76E0">
            <w:pPr>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272418A9" w14:textId="77777777" w:rsidR="008C76E0" w:rsidRPr="003B2786" w:rsidRDefault="008C76E0" w:rsidP="008C76E0">
            <w:pPr>
              <w:spacing w:after="120"/>
              <w:ind w:left="159" w:right="222"/>
              <w:jc w:val="center"/>
              <w:rPr>
                <w:rFonts w:ascii="Sylfaen" w:hAnsi="Sylfaen"/>
                <w:sz w:val="24"/>
                <w:szCs w:val="24"/>
              </w:rPr>
            </w:pPr>
          </w:p>
        </w:tc>
      </w:tr>
      <w:tr w:rsidR="008C76E0" w:rsidRPr="003B2786" w14:paraId="111A15A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8136A1C"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Նոր հավաստագիր՝ նախկինում հաստատված արտադրողից</w:t>
            </w:r>
          </w:p>
        </w:tc>
        <w:tc>
          <w:tcPr>
            <w:tcW w:w="1883" w:type="dxa"/>
            <w:gridSpan w:val="2"/>
            <w:tcBorders>
              <w:top w:val="single" w:sz="4" w:space="0" w:color="auto"/>
              <w:left w:val="single" w:sz="4" w:space="0" w:color="auto"/>
            </w:tcBorders>
            <w:shd w:val="clear" w:color="auto" w:fill="FFFFFF"/>
          </w:tcPr>
          <w:p w14:paraId="4BDAA430" w14:textId="77777777" w:rsidR="008C76E0" w:rsidRPr="003B2786" w:rsidRDefault="008C76E0" w:rsidP="002A5072">
            <w:pPr>
              <w:pStyle w:val="Bodytext180"/>
              <w:shd w:val="clear" w:color="auto" w:fill="auto"/>
              <w:tabs>
                <w:tab w:val="left" w:pos="589"/>
              </w:tabs>
              <w:spacing w:before="0" w:after="120" w:line="240" w:lineRule="auto"/>
              <w:ind w:left="159" w:firstLine="0"/>
              <w:jc w:val="center"/>
              <w:rPr>
                <w:rFonts w:ascii="Sylfaen" w:hAnsi="Sylfaen"/>
                <w:b w:val="0"/>
                <w:sz w:val="24"/>
                <w:szCs w:val="24"/>
              </w:rPr>
            </w:pPr>
            <w:r w:rsidRPr="003B2786">
              <w:rPr>
                <w:rStyle w:val="Bodytext1811pt"/>
                <w:rFonts w:ascii="Sylfaen" w:hAnsi="Sylfaen"/>
                <w:sz w:val="24"/>
                <w:szCs w:val="24"/>
              </w:rPr>
              <w:t>1, 2, 3, 4, 5, 6, 9</w:t>
            </w:r>
          </w:p>
        </w:tc>
        <w:tc>
          <w:tcPr>
            <w:tcW w:w="1984" w:type="dxa"/>
            <w:gridSpan w:val="2"/>
            <w:tcBorders>
              <w:top w:val="single" w:sz="4" w:space="0" w:color="auto"/>
              <w:left w:val="single" w:sz="4" w:space="0" w:color="auto"/>
            </w:tcBorders>
            <w:shd w:val="clear" w:color="auto" w:fill="FFFFFF"/>
          </w:tcPr>
          <w:p w14:paraId="1DD9B47C"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43EDB3DE"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71C5507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0BE795F"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Թարմացված հավաստագիր՝ նախկինում հաստատված արտադրողից</w:t>
            </w:r>
          </w:p>
        </w:tc>
        <w:tc>
          <w:tcPr>
            <w:tcW w:w="1883" w:type="dxa"/>
            <w:gridSpan w:val="2"/>
            <w:tcBorders>
              <w:top w:val="single" w:sz="4" w:space="0" w:color="auto"/>
              <w:left w:val="single" w:sz="4" w:space="0" w:color="auto"/>
            </w:tcBorders>
            <w:shd w:val="clear" w:color="auto" w:fill="FFFFFF"/>
          </w:tcPr>
          <w:p w14:paraId="1642FE17"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1, 2, 3, 4, 6</w:t>
            </w:r>
          </w:p>
        </w:tc>
        <w:tc>
          <w:tcPr>
            <w:tcW w:w="1984" w:type="dxa"/>
            <w:gridSpan w:val="2"/>
            <w:tcBorders>
              <w:top w:val="single" w:sz="4" w:space="0" w:color="auto"/>
              <w:left w:val="single" w:sz="4" w:space="0" w:color="auto"/>
            </w:tcBorders>
            <w:shd w:val="clear" w:color="auto" w:fill="FFFFFF"/>
          </w:tcPr>
          <w:p w14:paraId="231A8443"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4B50B1E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6709638"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9ACE0DD"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Նոր հավաստագիր՝ նոր արտադրողից (փոխարինումը կամ ավելացումը)</w:t>
            </w:r>
          </w:p>
        </w:tc>
        <w:tc>
          <w:tcPr>
            <w:tcW w:w="1883" w:type="dxa"/>
            <w:gridSpan w:val="2"/>
            <w:tcBorders>
              <w:top w:val="single" w:sz="4" w:space="0" w:color="auto"/>
              <w:left w:val="single" w:sz="4" w:space="0" w:color="auto"/>
            </w:tcBorders>
            <w:shd w:val="clear" w:color="auto" w:fill="FFFFFF"/>
          </w:tcPr>
          <w:p w14:paraId="383B4D09" w14:textId="77777777" w:rsidR="008C76E0" w:rsidRPr="003B2786" w:rsidRDefault="008C76E0" w:rsidP="002A5072">
            <w:pPr>
              <w:pStyle w:val="Bodytext180"/>
              <w:shd w:val="clear" w:color="auto" w:fill="auto"/>
              <w:tabs>
                <w:tab w:val="left" w:pos="589"/>
              </w:tabs>
              <w:spacing w:before="0" w:after="120" w:line="240" w:lineRule="auto"/>
              <w:ind w:left="159" w:right="31" w:firstLine="0"/>
              <w:jc w:val="center"/>
              <w:rPr>
                <w:rFonts w:ascii="Sylfaen" w:hAnsi="Sylfaen"/>
                <w:b w:val="0"/>
                <w:sz w:val="24"/>
                <w:szCs w:val="24"/>
              </w:rPr>
            </w:pPr>
            <w:r w:rsidRPr="003B2786">
              <w:rPr>
                <w:rStyle w:val="Bodytext1811pt"/>
                <w:rFonts w:ascii="Sylfaen" w:hAnsi="Sylfaen"/>
                <w:sz w:val="24"/>
                <w:szCs w:val="24"/>
              </w:rPr>
              <w:t>1, 2, 3, 4, 5, 6, 9</w:t>
            </w:r>
          </w:p>
        </w:tc>
        <w:tc>
          <w:tcPr>
            <w:tcW w:w="1984" w:type="dxa"/>
            <w:gridSpan w:val="2"/>
            <w:tcBorders>
              <w:top w:val="single" w:sz="4" w:space="0" w:color="auto"/>
              <w:left w:val="single" w:sz="4" w:space="0" w:color="auto"/>
            </w:tcBorders>
            <w:shd w:val="clear" w:color="auto" w:fill="FFFFFF"/>
          </w:tcPr>
          <w:p w14:paraId="56072870"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6BA7262E"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4B235679"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83F9E37" w14:textId="77777777" w:rsidR="008C76E0" w:rsidRPr="008C76E0" w:rsidRDefault="002A5072"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Pr>
                <w:rStyle w:val="Bodytext1811pt"/>
                <w:rFonts w:ascii="Sylfaen" w:hAnsi="Sylfaen"/>
                <w:sz w:val="24"/>
                <w:szCs w:val="24"/>
              </w:rPr>
              <w:t>4.</w:t>
            </w:r>
            <w:r>
              <w:rPr>
                <w:rStyle w:val="Bodytext1811pt"/>
                <w:rFonts w:ascii="Sylfaen" w:hAnsi="Sylfaen"/>
                <w:sz w:val="24"/>
                <w:szCs w:val="24"/>
              </w:rPr>
              <w:tab/>
              <w:t>Հավաստագրերի բացառումը (եթե</w:t>
            </w:r>
            <w:r w:rsidRPr="002A5072">
              <w:rPr>
                <w:rStyle w:val="Bodytext1811pt"/>
                <w:rFonts w:ascii="Sylfaen" w:hAnsi="Sylfaen"/>
                <w:sz w:val="24"/>
                <w:szCs w:val="24"/>
              </w:rPr>
              <w:t> </w:t>
            </w:r>
            <w:r w:rsidR="008C76E0" w:rsidRPr="003B2786">
              <w:rPr>
                <w:rStyle w:val="Bodytext1811pt"/>
                <w:rFonts w:ascii="Sylfaen" w:hAnsi="Sylfaen"/>
                <w:sz w:val="24"/>
                <w:szCs w:val="24"/>
              </w:rPr>
              <w:t>նյութին կցվել են մի քանի հավաստագիր)</w:t>
            </w:r>
          </w:p>
        </w:tc>
        <w:tc>
          <w:tcPr>
            <w:tcW w:w="1883" w:type="dxa"/>
            <w:gridSpan w:val="2"/>
            <w:tcBorders>
              <w:top w:val="single" w:sz="4" w:space="0" w:color="auto"/>
              <w:left w:val="single" w:sz="4" w:space="0" w:color="auto"/>
            </w:tcBorders>
            <w:shd w:val="clear" w:color="auto" w:fill="FFFFFF"/>
          </w:tcPr>
          <w:p w14:paraId="2BA55C7A"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8</w:t>
            </w:r>
          </w:p>
        </w:tc>
        <w:tc>
          <w:tcPr>
            <w:tcW w:w="1984" w:type="dxa"/>
            <w:gridSpan w:val="2"/>
            <w:tcBorders>
              <w:top w:val="single" w:sz="4" w:space="0" w:color="auto"/>
              <w:left w:val="single" w:sz="4" w:space="0" w:color="auto"/>
            </w:tcBorders>
            <w:shd w:val="clear" w:color="auto" w:fill="FFFFFF"/>
          </w:tcPr>
          <w:p w14:paraId="01D98C8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3</w:t>
            </w:r>
          </w:p>
        </w:tc>
        <w:tc>
          <w:tcPr>
            <w:tcW w:w="1843" w:type="dxa"/>
            <w:gridSpan w:val="2"/>
            <w:tcBorders>
              <w:top w:val="single" w:sz="4" w:space="0" w:color="auto"/>
              <w:left w:val="single" w:sz="4" w:space="0" w:color="auto"/>
              <w:right w:val="single" w:sz="4" w:space="0" w:color="auto"/>
            </w:tcBorders>
            <w:shd w:val="clear" w:color="auto" w:fill="FFFFFF"/>
          </w:tcPr>
          <w:p w14:paraId="11F04F6A"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48B0E7B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5B93CF2"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5.</w:t>
            </w:r>
            <w:r w:rsidRPr="003B2786">
              <w:rPr>
                <w:rStyle w:val="Bodytext1811pt"/>
                <w:rFonts w:ascii="Sylfaen" w:hAnsi="Sylfaen"/>
                <w:sz w:val="24"/>
                <w:szCs w:val="24"/>
              </w:rPr>
              <w:tab/>
              <w:t>Նոր հավաստագիր՝ ոչ մանրէազերծ ակտիվ դեղագործական բաղադրամասի համար, որը ենթակա է օգտագործման մանրէազերծ դեղապատրաստուկի մեջ սինթեզման վերջին փուլում ջրի օգտագործման ժամանակ, իսկ նյութի առնչությամբ էնդոտոքսինների բացակայությունը դրանում չի հայտագրվել</w:t>
            </w:r>
          </w:p>
        </w:tc>
        <w:tc>
          <w:tcPr>
            <w:tcW w:w="1883" w:type="dxa"/>
            <w:gridSpan w:val="2"/>
            <w:tcBorders>
              <w:top w:val="single" w:sz="4" w:space="0" w:color="auto"/>
              <w:left w:val="single" w:sz="4" w:space="0" w:color="auto"/>
            </w:tcBorders>
            <w:shd w:val="clear" w:color="auto" w:fill="FFFFFF"/>
          </w:tcPr>
          <w:p w14:paraId="4E63D359"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6AFE97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059BE51B"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6B4395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5B740EF"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ՏՍԷ-ի մասով Եվրոպական դեղագրքի համապատասխանության հավաստագիրը՝ ակտիվ դեղագործական բաղադրամասի (ելանյութի (ռեակտիվի, միջանկյալ արտադրանքի), օժանդակ նյութի) համար</w:t>
            </w:r>
          </w:p>
        </w:tc>
        <w:tc>
          <w:tcPr>
            <w:tcW w:w="1883" w:type="dxa"/>
            <w:gridSpan w:val="2"/>
            <w:tcBorders>
              <w:top w:val="single" w:sz="4" w:space="0" w:color="auto"/>
              <w:left w:val="single" w:sz="4" w:space="0" w:color="auto"/>
            </w:tcBorders>
            <w:shd w:val="clear" w:color="auto" w:fill="FFFFFF"/>
          </w:tcPr>
          <w:p w14:paraId="2242F3A8" w14:textId="77777777" w:rsidR="008C76E0" w:rsidRPr="003B2786" w:rsidRDefault="008C76E0" w:rsidP="008C76E0">
            <w:pPr>
              <w:tabs>
                <w:tab w:val="left" w:pos="589"/>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7D8A3DE8" w14:textId="77777777" w:rsidR="008C76E0" w:rsidRPr="003B2786" w:rsidRDefault="008C76E0" w:rsidP="008C76E0">
            <w:pPr>
              <w:tabs>
                <w:tab w:val="left" w:pos="589"/>
              </w:tabs>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3B75F13B" w14:textId="77777777" w:rsidR="008C76E0" w:rsidRPr="003B2786" w:rsidRDefault="008C76E0" w:rsidP="008C76E0">
            <w:pPr>
              <w:tabs>
                <w:tab w:val="left" w:pos="589"/>
              </w:tabs>
              <w:spacing w:after="120"/>
              <w:ind w:left="159" w:right="222"/>
              <w:jc w:val="center"/>
              <w:rPr>
                <w:rFonts w:ascii="Sylfaen" w:hAnsi="Sylfaen"/>
                <w:sz w:val="24"/>
                <w:szCs w:val="24"/>
              </w:rPr>
            </w:pPr>
          </w:p>
        </w:tc>
      </w:tr>
      <w:tr w:rsidR="008C76E0" w:rsidRPr="003B2786" w14:paraId="4F2BC40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B081DA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1.</w:t>
            </w:r>
            <w:r w:rsidRPr="003B2786">
              <w:rPr>
                <w:rStyle w:val="Bodytext1811pt"/>
                <w:rFonts w:ascii="Sylfaen" w:hAnsi="Sylfaen"/>
                <w:sz w:val="24"/>
                <w:szCs w:val="24"/>
              </w:rPr>
              <w:tab/>
              <w:t>Նոր հավաստագիր՝ ակտիվ դեղագործական բաղադրամասի համար՝ նոր կամ նախկինում հաստատված արտադրողից</w:t>
            </w:r>
          </w:p>
        </w:tc>
        <w:tc>
          <w:tcPr>
            <w:tcW w:w="1883" w:type="dxa"/>
            <w:gridSpan w:val="2"/>
            <w:tcBorders>
              <w:top w:val="single" w:sz="4" w:space="0" w:color="auto"/>
              <w:left w:val="single" w:sz="4" w:space="0" w:color="auto"/>
            </w:tcBorders>
            <w:shd w:val="clear" w:color="auto" w:fill="FFFFFF"/>
          </w:tcPr>
          <w:p w14:paraId="4165D30D"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3, 5, 9</w:t>
            </w:r>
          </w:p>
        </w:tc>
        <w:tc>
          <w:tcPr>
            <w:tcW w:w="1984" w:type="dxa"/>
            <w:gridSpan w:val="2"/>
            <w:tcBorders>
              <w:top w:val="single" w:sz="4" w:space="0" w:color="auto"/>
              <w:left w:val="single" w:sz="4" w:space="0" w:color="auto"/>
            </w:tcBorders>
            <w:shd w:val="clear" w:color="auto" w:fill="FFFFFF"/>
          </w:tcPr>
          <w:p w14:paraId="7A5E7595"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14D1C97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1466980D"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vAlign w:val="bottom"/>
          </w:tcPr>
          <w:p w14:paraId="5D0D52C2"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Նոր հավաստագիր՝ ակտիվ դեղագործական բաղադրամասի (ելանյութի, ռեակտիվի, միջանկյալ արտադրանքի, օժանդակ նյութի) համար՝ նոր կամ նախկինում հաստատված արտադրողից</w:t>
            </w:r>
          </w:p>
        </w:tc>
        <w:tc>
          <w:tcPr>
            <w:tcW w:w="1883" w:type="dxa"/>
            <w:gridSpan w:val="2"/>
            <w:tcBorders>
              <w:top w:val="single" w:sz="4" w:space="0" w:color="auto"/>
              <w:left w:val="single" w:sz="4" w:space="0" w:color="auto"/>
              <w:bottom w:val="single" w:sz="4" w:space="0" w:color="auto"/>
            </w:tcBorders>
            <w:shd w:val="clear" w:color="auto" w:fill="FFFFFF"/>
          </w:tcPr>
          <w:p w14:paraId="632CB81D"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3, 6, 7</w:t>
            </w:r>
          </w:p>
        </w:tc>
        <w:tc>
          <w:tcPr>
            <w:tcW w:w="1984" w:type="dxa"/>
            <w:gridSpan w:val="2"/>
            <w:tcBorders>
              <w:top w:val="single" w:sz="4" w:space="0" w:color="auto"/>
              <w:left w:val="single" w:sz="4" w:space="0" w:color="auto"/>
              <w:bottom w:val="single" w:sz="4" w:space="0" w:color="auto"/>
            </w:tcBorders>
            <w:shd w:val="clear" w:color="auto" w:fill="FFFFFF"/>
          </w:tcPr>
          <w:p w14:paraId="45A00FFE"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8926CD9"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0DC5085"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EE3EEAF" w14:textId="77777777" w:rsidR="008C76E0" w:rsidRPr="008C76E0" w:rsidRDefault="008C76E0" w:rsidP="008C76E0">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3.</w:t>
            </w:r>
            <w:r w:rsidRPr="003B2786">
              <w:rPr>
                <w:rStyle w:val="Bodytext1811pt"/>
                <w:rFonts w:ascii="Sylfaen" w:hAnsi="Sylfaen"/>
                <w:sz w:val="24"/>
                <w:szCs w:val="24"/>
              </w:rPr>
              <w:tab/>
              <w:t>Թարմացված հավաստագիր՝ նախկինում հաստատված արտադրողից</w:t>
            </w:r>
          </w:p>
        </w:tc>
        <w:tc>
          <w:tcPr>
            <w:tcW w:w="1883" w:type="dxa"/>
            <w:gridSpan w:val="2"/>
            <w:tcBorders>
              <w:top w:val="single" w:sz="4" w:space="0" w:color="auto"/>
              <w:left w:val="single" w:sz="4" w:space="0" w:color="auto"/>
            </w:tcBorders>
            <w:shd w:val="clear" w:color="auto" w:fill="FFFFFF"/>
          </w:tcPr>
          <w:p w14:paraId="49487FBF"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7</w:t>
            </w:r>
          </w:p>
        </w:tc>
        <w:tc>
          <w:tcPr>
            <w:tcW w:w="1984" w:type="dxa"/>
            <w:gridSpan w:val="2"/>
            <w:tcBorders>
              <w:top w:val="single" w:sz="4" w:space="0" w:color="auto"/>
              <w:left w:val="single" w:sz="4" w:space="0" w:color="auto"/>
            </w:tcBorders>
            <w:shd w:val="clear" w:color="auto" w:fill="FFFFFF"/>
          </w:tcPr>
          <w:p w14:paraId="7D59A9DC"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1, 2, 3, 4, 5</w:t>
            </w:r>
          </w:p>
        </w:tc>
        <w:tc>
          <w:tcPr>
            <w:tcW w:w="1843" w:type="dxa"/>
            <w:gridSpan w:val="2"/>
            <w:tcBorders>
              <w:top w:val="single" w:sz="4" w:space="0" w:color="auto"/>
              <w:left w:val="single" w:sz="4" w:space="0" w:color="auto"/>
              <w:right w:val="single" w:sz="4" w:space="0" w:color="auto"/>
            </w:tcBorders>
            <w:shd w:val="clear" w:color="auto" w:fill="FFFFFF"/>
          </w:tcPr>
          <w:p w14:paraId="73D6573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37F99B1"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F099DB7" w14:textId="77777777" w:rsidR="008C76E0" w:rsidRPr="008C76E0" w:rsidRDefault="008C76E0" w:rsidP="008C76E0">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Հավաստագրերի բացառումը (եթե նյութին կցվել են մի քանի հավաստագիր)</w:t>
            </w:r>
          </w:p>
        </w:tc>
        <w:tc>
          <w:tcPr>
            <w:tcW w:w="1883" w:type="dxa"/>
            <w:gridSpan w:val="2"/>
            <w:tcBorders>
              <w:top w:val="single" w:sz="4" w:space="0" w:color="auto"/>
              <w:left w:val="single" w:sz="4" w:space="0" w:color="auto"/>
            </w:tcBorders>
            <w:shd w:val="clear" w:color="auto" w:fill="FFFFFF"/>
          </w:tcPr>
          <w:p w14:paraId="4EF42D14"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8</w:t>
            </w:r>
          </w:p>
        </w:tc>
        <w:tc>
          <w:tcPr>
            <w:tcW w:w="1984" w:type="dxa"/>
            <w:gridSpan w:val="2"/>
            <w:tcBorders>
              <w:top w:val="single" w:sz="4" w:space="0" w:color="auto"/>
              <w:left w:val="single" w:sz="4" w:space="0" w:color="auto"/>
            </w:tcBorders>
            <w:shd w:val="clear" w:color="auto" w:fill="FFFFFF"/>
          </w:tcPr>
          <w:p w14:paraId="08723511"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3</w:t>
            </w:r>
          </w:p>
        </w:tc>
        <w:tc>
          <w:tcPr>
            <w:tcW w:w="1843" w:type="dxa"/>
            <w:gridSpan w:val="2"/>
            <w:tcBorders>
              <w:top w:val="single" w:sz="4" w:space="0" w:color="auto"/>
              <w:left w:val="single" w:sz="4" w:space="0" w:color="auto"/>
              <w:right w:val="single" w:sz="4" w:space="0" w:color="auto"/>
            </w:tcBorders>
            <w:shd w:val="clear" w:color="auto" w:fill="FFFFFF"/>
          </w:tcPr>
          <w:p w14:paraId="206A9269"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BBA2D29"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137E315" w14:textId="77777777" w:rsidR="008C76E0" w:rsidRPr="008C76E0" w:rsidRDefault="008C76E0" w:rsidP="008C76E0">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5.</w:t>
            </w:r>
            <w:r w:rsidRPr="003B2786">
              <w:rPr>
                <w:rStyle w:val="Bodytext1811pt"/>
                <w:rFonts w:ascii="Sylfaen" w:hAnsi="Sylfaen"/>
                <w:sz w:val="24"/>
                <w:szCs w:val="24"/>
              </w:rPr>
              <w:tab/>
              <w:t>Նոր (թարմացված) հավաստագիր՝ նախկինում հաստատված (նոր) արտադրողից, որն օգտագործում է մարդկային կամ կենդանական ծագման նյութեր, որոնց առնչությամբ պահանջվում է կողմնակի ագենտներով հնարավոր կոնտամինացիայի ռիսկի առումով գնահատում:</w:t>
            </w:r>
          </w:p>
        </w:tc>
        <w:tc>
          <w:tcPr>
            <w:tcW w:w="1883" w:type="dxa"/>
            <w:gridSpan w:val="2"/>
            <w:tcBorders>
              <w:top w:val="single" w:sz="4" w:space="0" w:color="auto"/>
              <w:left w:val="single" w:sz="4" w:space="0" w:color="auto"/>
            </w:tcBorders>
            <w:shd w:val="clear" w:color="auto" w:fill="FFFFFF"/>
          </w:tcPr>
          <w:p w14:paraId="180F76EC"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451EA7E" w14:textId="77777777" w:rsidR="008C76E0" w:rsidRPr="003B2786" w:rsidRDefault="008C76E0" w:rsidP="008C76E0">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759DA46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E3B3963"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0635B07"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EA81348" w14:textId="77777777" w:rsidR="008C76E0" w:rsidRPr="008C76E0" w:rsidRDefault="008C76E0" w:rsidP="008C76E0">
            <w:pPr>
              <w:pStyle w:val="Bodytext180"/>
              <w:shd w:val="clear" w:color="auto" w:fill="auto"/>
              <w:tabs>
                <w:tab w:val="left" w:pos="589"/>
              </w:tabs>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Դեղապատրաստուկի թողարկման </w:t>
            </w:r>
            <w:r w:rsidR="00C54D75">
              <w:rPr>
                <w:rStyle w:val="Bodytext1811pt"/>
                <w:rFonts w:ascii="Sylfaen" w:hAnsi="Sylfaen"/>
                <w:sz w:val="24"/>
                <w:szCs w:val="24"/>
              </w:rPr>
              <w:t>և</w:t>
            </w:r>
            <w:r w:rsidRPr="003B2786">
              <w:rPr>
                <w:rStyle w:val="Bodytext1811pt"/>
                <w:rFonts w:ascii="Sylfaen" w:hAnsi="Sylfaen"/>
                <w:sz w:val="24"/>
                <w:szCs w:val="24"/>
              </w:rPr>
              <w:t xml:space="preserve"> պիտանիության ժամկետի ավարտի մասնագրերը չեն փոփոխվում:</w:t>
            </w:r>
          </w:p>
          <w:p w14:paraId="00F86ED4" w14:textId="77777777" w:rsidR="008C76E0" w:rsidRPr="008C76E0" w:rsidRDefault="008C76E0" w:rsidP="008C76E0">
            <w:pPr>
              <w:pStyle w:val="Bodytext180"/>
              <w:shd w:val="clear" w:color="auto" w:fill="auto"/>
              <w:tabs>
                <w:tab w:val="left" w:pos="589"/>
              </w:tabs>
              <w:spacing w:before="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Խառնուկների չփոփոխված (բացառությամբ խստացման) (Միության դեղագրքի) լրացուցիչ մասնագրերը (բացառությամբ մնացորդային լուծիչների՝ Միության մարմինների ակտերի պահանջներին դրանց համապատասխանության պայմանով), արտադրանքի մասնահատուկ պահանջները (օրինակ`մասնիկների չափսերի պրոֆիլները, պոլիմորֆային ձ</w:t>
            </w:r>
            <w:r w:rsidR="00C54D75">
              <w:rPr>
                <w:rStyle w:val="Bodytext1811pt"/>
                <w:rFonts w:ascii="Sylfaen" w:hAnsi="Sylfaen"/>
                <w:sz w:val="24"/>
                <w:szCs w:val="24"/>
              </w:rPr>
              <w:t>և</w:t>
            </w:r>
            <w:r w:rsidRPr="003B2786">
              <w:rPr>
                <w:rStyle w:val="Bodytext1811pt"/>
                <w:rFonts w:ascii="Sylfaen" w:hAnsi="Sylfaen"/>
                <w:sz w:val="24"/>
                <w:szCs w:val="24"/>
              </w:rPr>
              <w:t>երը), եթե կիրառելի է:</w:t>
            </w:r>
          </w:p>
          <w:p w14:paraId="55C05AEF" w14:textId="77777777" w:rsidR="008C76E0" w:rsidRPr="003B2786" w:rsidRDefault="008C76E0" w:rsidP="008C76E0">
            <w:pPr>
              <w:pStyle w:val="Bodytext180"/>
              <w:shd w:val="clear" w:color="auto" w:fill="auto"/>
              <w:tabs>
                <w:tab w:val="left" w:pos="589"/>
              </w:tabs>
              <w:spacing w:before="0" w:line="264" w:lineRule="auto"/>
              <w:ind w:left="159" w:right="221" w:firstLine="0"/>
              <w:jc w:val="both"/>
              <w:rPr>
                <w:rStyle w:val="Bodytext1811pt"/>
                <w:rFonts w:ascii="Sylfaen" w:hAnsi="Sylfaen"/>
                <w:sz w:val="24"/>
                <w:szCs w:val="24"/>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Ակտիվ դեղագործական բաղադրամասի, ելանյութի (ռեակտիվի, միջանկյալ արտադրանքի) արտադրության գործընթացը չի ներառում մարդկային կամ կենդանական ծագման նյութերի օգտագործում, որոնց համար պահանջվում է վերլուծել վիրուսային անվտանգության մասին տվյալները:</w:t>
            </w:r>
          </w:p>
          <w:p w14:paraId="4F6D6B33" w14:textId="77777777" w:rsidR="008C76E0" w:rsidRPr="008C76E0" w:rsidRDefault="008C76E0" w:rsidP="008C76E0">
            <w:pPr>
              <w:pStyle w:val="Bodytext180"/>
              <w:shd w:val="clear" w:color="auto" w:fill="auto"/>
              <w:tabs>
                <w:tab w:val="left" w:pos="589"/>
              </w:tabs>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Բացառապես ակտիվ դեղագործական բաղադրամասի համար. օգտագործումից անմիջապես առաջ այն կփորձարկվի, եթե կրկնակի փորձարկման ժամանակահատվածը ներառված չէ Եվրոպական դեղագրքին համապատասխանության հավաստագրում, կամ կրկնակի փորձարկման ժամանակահատվածը հիմնավորող տվյալներն արդեն ներառված չեն դոսյեում:</w:t>
            </w:r>
          </w:p>
          <w:p w14:paraId="33B669CE"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lastRenderedPageBreak/>
              <w:t>5.</w:t>
            </w:r>
            <w:r w:rsidRPr="008C76E0">
              <w:rPr>
                <w:rFonts w:ascii="Sylfaen" w:hAnsi="Sylfaen"/>
                <w:b w:val="0"/>
                <w:sz w:val="24"/>
                <w:szCs w:val="24"/>
                <w:lang w:val="hy-AM"/>
              </w:rPr>
              <w:tab/>
            </w:r>
            <w:r w:rsidRPr="003B2786">
              <w:rPr>
                <w:rStyle w:val="Bodytext1811pt"/>
                <w:rFonts w:ascii="Sylfaen" w:hAnsi="Sylfaen"/>
                <w:sz w:val="24"/>
                <w:szCs w:val="24"/>
              </w:rPr>
              <w:t xml:space="preserve">Ակտիվ դեղագործական բաղադրամասը (ելանյութը (ռեակտիվը, միջանկյալ արտադրանքը), օժանդակ նյութը) մանրէազերծ չէ: </w:t>
            </w:r>
          </w:p>
          <w:p w14:paraId="7805DB59"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Բուսական դեղագործական բաղադրամասերը. արտադրության եղանակը, ֆիզիկական վիճակը, արտազատող լուծիչը </w:t>
            </w:r>
            <w:r w:rsidR="00C54D75">
              <w:rPr>
                <w:rStyle w:val="Bodytext1811pt"/>
                <w:rFonts w:ascii="Sylfaen" w:hAnsi="Sylfaen"/>
                <w:sz w:val="24"/>
                <w:szCs w:val="24"/>
              </w:rPr>
              <w:t>և</w:t>
            </w:r>
            <w:r w:rsidRPr="003B2786">
              <w:rPr>
                <w:rStyle w:val="Bodytext1811pt"/>
                <w:rFonts w:ascii="Sylfaen" w:hAnsi="Sylfaen"/>
                <w:sz w:val="24"/>
                <w:szCs w:val="24"/>
              </w:rPr>
              <w:t xml:space="preserve"> դեղամիջոցի էկստրակցիայի գործակիցը չեն փոփոխվում:</w:t>
            </w:r>
          </w:p>
          <w:p w14:paraId="13BCEB88"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7.</w:t>
            </w:r>
            <w:r w:rsidRPr="008C76E0">
              <w:rPr>
                <w:rFonts w:ascii="Sylfaen" w:hAnsi="Sylfaen"/>
                <w:b w:val="0"/>
                <w:sz w:val="24"/>
                <w:szCs w:val="24"/>
                <w:lang w:val="hy-AM"/>
              </w:rPr>
              <w:tab/>
            </w:r>
            <w:r w:rsidRPr="003B2786">
              <w:rPr>
                <w:rStyle w:val="Bodytext1811pt"/>
                <w:rFonts w:ascii="Sylfaen" w:hAnsi="Sylfaen"/>
                <w:sz w:val="24"/>
                <w:szCs w:val="24"/>
              </w:rPr>
              <w:t>Եթե պարէնտերալ ներմուծման համար դեղապատրաստուկի բաղադրության մեջ օգտագործվում է ոսկորներից արտադրված դոնդողանյութ, ապա դրա արտադրությունը պետք է իրականացվի միայն համապատասխան երկրի պահանջներին համապատասխան:</w:t>
            </w:r>
          </w:p>
          <w:p w14:paraId="51A4802B"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8.</w:t>
            </w:r>
            <w:r w:rsidRPr="008C76E0">
              <w:rPr>
                <w:rFonts w:ascii="Sylfaen" w:hAnsi="Sylfaen"/>
                <w:b w:val="0"/>
                <w:sz w:val="24"/>
                <w:szCs w:val="24"/>
                <w:lang w:val="hy-AM"/>
              </w:rPr>
              <w:tab/>
            </w:r>
            <w:r w:rsidRPr="003B2786">
              <w:rPr>
                <w:rStyle w:val="Bodytext1811pt"/>
                <w:rFonts w:ascii="Sylfaen" w:hAnsi="Sylfaen"/>
                <w:sz w:val="24"/>
                <w:szCs w:val="24"/>
              </w:rPr>
              <w:t>Դոսյեում մնում է այդ բաղադրամասի առնվազն մեկ արտադրող:</w:t>
            </w:r>
          </w:p>
          <w:p w14:paraId="2ED5E191"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9.</w:t>
            </w:r>
            <w:r w:rsidRPr="008C76E0">
              <w:rPr>
                <w:rFonts w:ascii="Sylfaen" w:hAnsi="Sylfaen"/>
                <w:b w:val="0"/>
                <w:sz w:val="24"/>
                <w:szCs w:val="24"/>
                <w:lang w:val="hy-AM"/>
              </w:rPr>
              <w:tab/>
            </w:r>
            <w:r w:rsidRPr="003B2786">
              <w:rPr>
                <w:rStyle w:val="Bodytext1811pt"/>
                <w:rFonts w:ascii="Sylfaen" w:hAnsi="Sylfaen"/>
                <w:sz w:val="24"/>
                <w:szCs w:val="24"/>
              </w:rPr>
              <w:t>Եթե ակտիվ դեղագործական բաղադրամասը մանրէազերծ չէ, բայց օգտագործվելու է մանրէազերծ դեղապատրաստուկի բաղադրության մեջ, ապա СЕР-ին համապատասխան՝ սինթեզման վերջին փուլում ջուր չի կարող օգտագործվել, կամ եթե դա տեղի է ունենում, ապա անհրաժեշտ է ապահովել բակտերիալ էնդոտոքսինների բացակայությունն ակտիվ դեղագործական բաղադրամասի մեջ:</w:t>
            </w:r>
          </w:p>
        </w:tc>
      </w:tr>
      <w:tr w:rsidR="008C76E0" w:rsidRPr="003B2786" w14:paraId="4B538C67"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21157045"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4E80D0B8"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Եվրոպական դեղագրքին համապատասխանության գործող (թարմացված) հավաստագրի պատճենը:</w:t>
            </w:r>
          </w:p>
          <w:p w14:paraId="3ED411E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Արտադրական հարթակ ավելացնելու դեպքում 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 xml:space="preserve">ում անհրաժեշտ է հստակ նշել «գրանցված»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արտադրողներին, ինչպես նշված է դիմումի ձ</w:t>
            </w:r>
            <w:r w:rsidR="00C54D75">
              <w:rPr>
                <w:rStyle w:val="Bodytext1811pt"/>
                <w:rFonts w:ascii="Sylfaen" w:hAnsi="Sylfaen"/>
                <w:sz w:val="24"/>
                <w:szCs w:val="24"/>
              </w:rPr>
              <w:t>և</w:t>
            </w:r>
            <w:r w:rsidRPr="003B2786">
              <w:rPr>
                <w:rStyle w:val="Bodytext1811pt"/>
                <w:rFonts w:ascii="Sylfaen" w:hAnsi="Sylfaen"/>
                <w:sz w:val="24"/>
                <w:szCs w:val="24"/>
              </w:rPr>
              <w:t>ի 2.5-րդ բաժնում:</w:t>
            </w:r>
          </w:p>
          <w:p w14:paraId="68BF12A5"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053B3456"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 xml:space="preserve">Բժշկական </w:t>
            </w:r>
            <w:r w:rsidR="00C54D75">
              <w:rPr>
                <w:rStyle w:val="Bodytext1811pt"/>
                <w:rFonts w:ascii="Sylfaen" w:hAnsi="Sylfaen"/>
                <w:sz w:val="24"/>
                <w:szCs w:val="24"/>
              </w:rPr>
              <w:t>և</w:t>
            </w:r>
            <w:r w:rsidRPr="003B2786">
              <w:rPr>
                <w:rStyle w:val="Bodytext1811pt"/>
                <w:rFonts w:ascii="Sylfaen" w:hAnsi="Sylfaen"/>
                <w:sz w:val="24"/>
                <w:szCs w:val="24"/>
              </w:rPr>
              <w:t xml:space="preserve"> անասնաբուժական կիրառման համար նախատեսված դեղապատրաստուկների միջոցով կենդանիների սպունգանման էնցեֆալոպատիայի փոխանցման ռիսկի նվազեցման մասով Եվրոպական դեղագրքի հոդվածի կիրառության ոլորտում ընդգրկված, ներառյալ՝ ակտիվ դեղագործական բաղադրամասի (օժանդակ նյութի) արտադրության մեջ օգտագործվող բոլոր նյութերի մասին տեղեկություններ պարունակող փաստաթուղթը, եթե կիրառելի է: Այդ տեսակի ցանկացած նյութի համար անհրաժեշտ է ներկայացնել հետ</w:t>
            </w:r>
            <w:r w:rsidR="00C54D75">
              <w:rPr>
                <w:rStyle w:val="Bodytext1811pt"/>
                <w:rFonts w:ascii="Sylfaen" w:hAnsi="Sylfaen"/>
                <w:sz w:val="24"/>
                <w:szCs w:val="24"/>
              </w:rPr>
              <w:t>և</w:t>
            </w:r>
            <w:r w:rsidRPr="003B2786">
              <w:rPr>
                <w:rStyle w:val="Bodytext1811pt"/>
                <w:rFonts w:ascii="Sylfaen" w:hAnsi="Sylfaen"/>
                <w:sz w:val="24"/>
                <w:szCs w:val="24"/>
              </w:rPr>
              <w:t xml:space="preserve">յալ տեղեկությունները՝ արտադրողի անվանումը, կենդանիների </w:t>
            </w:r>
            <w:r w:rsidR="00C54D75">
              <w:rPr>
                <w:rStyle w:val="Bodytext1811pt"/>
                <w:rFonts w:ascii="Sylfaen" w:hAnsi="Sylfaen"/>
                <w:sz w:val="24"/>
                <w:szCs w:val="24"/>
              </w:rPr>
              <w:t>և</w:t>
            </w:r>
            <w:r w:rsidRPr="003B2786">
              <w:rPr>
                <w:rStyle w:val="Bodytext1811pt"/>
                <w:rFonts w:ascii="Sylfaen" w:hAnsi="Sylfaen"/>
                <w:sz w:val="24"/>
                <w:szCs w:val="24"/>
              </w:rPr>
              <w:t xml:space="preserve"> հյուսվածքի տեսակը, որից ստացվել է նյութը, կենդանիների ծագման երկիրը </w:t>
            </w:r>
            <w:r w:rsidR="00C54D75">
              <w:rPr>
                <w:rStyle w:val="Bodytext1811pt"/>
                <w:rFonts w:ascii="Sylfaen" w:hAnsi="Sylfaen"/>
                <w:sz w:val="24"/>
                <w:szCs w:val="24"/>
              </w:rPr>
              <w:t>և</w:t>
            </w:r>
            <w:r w:rsidRPr="003B2786">
              <w:rPr>
                <w:rStyle w:val="Bodytext1811pt"/>
                <w:rFonts w:ascii="Sylfaen" w:hAnsi="Sylfaen"/>
                <w:sz w:val="24"/>
                <w:szCs w:val="24"/>
              </w:rPr>
              <w:t xml:space="preserve"> դրա օգտագործումը:</w:t>
            </w:r>
          </w:p>
        </w:tc>
      </w:tr>
      <w:tr w:rsidR="008C76E0" w:rsidRPr="003B2786" w14:paraId="45221200"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F3E17FE"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Ակտիվ դեղագործական բաղադրամասի առնչությամբ դիմումի մեջ նշված ակտիվ դեղագործական բաղադրամասը որպես ելանյութ օգտագործող յուրաքանչյուր լիցենզավորված արտադրողի լիազորված անձի </w:t>
            </w:r>
            <w:r w:rsidR="00C54D75">
              <w:rPr>
                <w:rStyle w:val="Bodytext1811pt"/>
                <w:rFonts w:ascii="Sylfaen" w:hAnsi="Sylfaen"/>
                <w:sz w:val="24"/>
                <w:szCs w:val="24"/>
              </w:rPr>
              <w:t>և</w:t>
            </w:r>
            <w:r w:rsidRPr="003B2786">
              <w:rPr>
                <w:rStyle w:val="Bodytext1811pt"/>
                <w:rFonts w:ascii="Sylfaen" w:hAnsi="Sylfaen"/>
                <w:sz w:val="24"/>
                <w:szCs w:val="24"/>
              </w:rPr>
              <w:t xml:space="preserve"> դիմումի մեջ որպես սերիաների բացթողման համար պատասխանատու նշված յուրաքանչյուր լիցենզավորված արտադրողի լիազորված անձի հայտարարագիրը: Հայտարարագրերում անհրաժեշտ է նշել, որ դիմումում նշված ակտիվ դեղագործական նյութի արտադրող(ներ)ը ելանյութերի առնչությամբ իր (իրենց) գործունեությունն իրականացնում է (են) Միության պատշաճ արտադրական պրակտիկայի կանոններին համապատասխան: Որոշ հանգամանքներում թույլատրվում է ներկայացնել մեկ հայտարարագիր (տե՛ս Բ.II.բ.1 փոփոխության վերաբերյալ ծանոթագրությունը)։ Եթե առնչություն կա ակտիվ դեղագործական բաղադրամասերի </w:t>
            </w:r>
            <w:r w:rsidR="00C54D75">
              <w:rPr>
                <w:rStyle w:val="Bodytext1811pt"/>
                <w:rFonts w:ascii="Sylfaen" w:hAnsi="Sylfaen"/>
                <w:sz w:val="24"/>
                <w:szCs w:val="24"/>
              </w:rPr>
              <w:t>և</w:t>
            </w:r>
            <w:r w:rsidRPr="003B2786">
              <w:rPr>
                <w:rStyle w:val="Bodytext1811pt"/>
                <w:rFonts w:ascii="Sylfaen" w:hAnsi="Sylfaen"/>
                <w:sz w:val="24"/>
                <w:szCs w:val="24"/>
              </w:rPr>
              <w:t xml:space="preserve"> միջանկյալ արտադրանքների համար հավաստագրերի թարմացումներին, միջանկյալ արտադրանքների արտադրողներից </w:t>
            </w:r>
            <w:r w:rsidRPr="003B2786">
              <w:rPr>
                <w:rStyle w:val="Bodytext1811pt"/>
                <w:rFonts w:ascii="Sylfaen" w:hAnsi="Sylfaen"/>
                <w:sz w:val="24"/>
                <w:szCs w:val="24"/>
              </w:rPr>
              <w:lastRenderedPageBreak/>
              <w:t>նա</w:t>
            </w:r>
            <w:r w:rsidR="00C54D75">
              <w:rPr>
                <w:rStyle w:val="Bodytext1811pt"/>
                <w:rFonts w:ascii="Sylfaen" w:hAnsi="Sylfaen"/>
                <w:sz w:val="24"/>
                <w:szCs w:val="24"/>
              </w:rPr>
              <w:t>և</w:t>
            </w:r>
            <w:r w:rsidRPr="003B2786">
              <w:rPr>
                <w:rStyle w:val="Bodytext1811pt"/>
                <w:rFonts w:ascii="Sylfaen" w:hAnsi="Sylfaen"/>
                <w:sz w:val="24"/>
                <w:szCs w:val="24"/>
              </w:rPr>
              <w:t xml:space="preserve"> պահանջվում է լիազորված անձի հայտարարագիր. լիազորված անձի հայտարարագիրն անհրաժեշտ է միայն այն դեպքում, երբ հավաստագրի նախկինում գրանցված տարբերակի համեմատ առկա է ցանկում ընդգրկված գործող արտադրական հարթակների փոփոխություն:</w:t>
            </w:r>
          </w:p>
          <w:p w14:paraId="6C2B5D89"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Style w:val="Bodytext1811pt"/>
                <w:rFonts w:ascii="Sylfaen" w:hAnsi="Sylfaen"/>
                <w:sz w:val="24"/>
                <w:szCs w:val="24"/>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Պատշաճ հաստատում, որը վկայում է ակտիվ դեղագործական բաղադրամասի սինթեզման վերջին փուլում օգտագործվող ջրի՝ դեղագործական կիրառման ջրի համար որակի համապատասխան պահանջներին համապատասխանության մասին: </w:t>
            </w:r>
          </w:p>
          <w:p w14:paraId="56B0510C"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p>
        </w:tc>
      </w:tr>
      <w:tr w:rsidR="008C76E0" w:rsidRPr="003B2786" w14:paraId="5D4700B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7195F45" w14:textId="77777777" w:rsidR="008C76E0" w:rsidRPr="008C76E0" w:rsidRDefault="008C76E0" w:rsidP="008C76E0">
            <w:pPr>
              <w:pStyle w:val="Bodytext180"/>
              <w:shd w:val="clear" w:color="auto" w:fill="auto"/>
              <w:tabs>
                <w:tab w:val="left" w:pos="112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Բ.III.2.</w:t>
            </w:r>
            <w:r w:rsidRPr="003B2786">
              <w:rPr>
                <w:rStyle w:val="Bodytext1811pt"/>
                <w:rFonts w:ascii="Sylfaen" w:hAnsi="Sylfaen"/>
                <w:sz w:val="24"/>
                <w:szCs w:val="24"/>
              </w:rPr>
              <w:tab/>
              <w:t>Միության դեղագրքին կամ անդամ պետության դեղագրքին համապատասխանության նպատակներով փոփոխությունները</w:t>
            </w:r>
          </w:p>
        </w:tc>
        <w:tc>
          <w:tcPr>
            <w:tcW w:w="1883" w:type="dxa"/>
            <w:gridSpan w:val="2"/>
            <w:tcBorders>
              <w:top w:val="single" w:sz="4" w:space="0" w:color="auto"/>
              <w:left w:val="single" w:sz="4" w:space="0" w:color="auto"/>
            </w:tcBorders>
            <w:shd w:val="clear" w:color="auto" w:fill="FFFFFF"/>
          </w:tcPr>
          <w:p w14:paraId="3368A8AB"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11B705A"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24B20A6F"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7E903C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7F355C2"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Միության դեղագրքին կամ անդամ պետության դեղագրքին համապատասխանության նպատակներով նախկինում ոչ դեղագրքային բաղադրամասի մասնագրի (մասնագրերի) փոփոխությունը</w:t>
            </w:r>
          </w:p>
        </w:tc>
        <w:tc>
          <w:tcPr>
            <w:tcW w:w="1883" w:type="dxa"/>
            <w:gridSpan w:val="2"/>
            <w:tcBorders>
              <w:top w:val="single" w:sz="4" w:space="0" w:color="auto"/>
              <w:left w:val="single" w:sz="4" w:space="0" w:color="auto"/>
            </w:tcBorders>
            <w:shd w:val="clear" w:color="auto" w:fill="FFFFFF"/>
          </w:tcPr>
          <w:p w14:paraId="1D2DAED2" w14:textId="77777777" w:rsidR="008C76E0" w:rsidRPr="003B2786" w:rsidRDefault="008C76E0" w:rsidP="008C76E0">
            <w:pPr>
              <w:tabs>
                <w:tab w:val="left" w:pos="589"/>
              </w:tabs>
              <w:spacing w:after="120"/>
              <w:ind w:right="56"/>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7C9882BB" w14:textId="77777777" w:rsidR="008C76E0" w:rsidRPr="003B2786" w:rsidRDefault="008C76E0" w:rsidP="008C76E0">
            <w:pPr>
              <w:tabs>
                <w:tab w:val="left" w:pos="589"/>
              </w:tabs>
              <w:spacing w:after="120"/>
              <w:ind w:right="56"/>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01DC34FA" w14:textId="77777777" w:rsidR="008C76E0" w:rsidRPr="003B2786" w:rsidRDefault="008C76E0" w:rsidP="008C76E0">
            <w:pPr>
              <w:tabs>
                <w:tab w:val="left" w:pos="589"/>
              </w:tabs>
              <w:spacing w:after="120"/>
              <w:ind w:right="56"/>
              <w:jc w:val="center"/>
              <w:rPr>
                <w:rFonts w:ascii="Sylfaen" w:hAnsi="Sylfaen"/>
                <w:sz w:val="24"/>
                <w:szCs w:val="24"/>
              </w:rPr>
            </w:pPr>
          </w:p>
        </w:tc>
      </w:tr>
      <w:tr w:rsidR="008C76E0" w:rsidRPr="003B2786" w14:paraId="6A29E8E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143DD6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1.</w:t>
            </w:r>
            <w:r w:rsidRPr="003B2786">
              <w:rPr>
                <w:rStyle w:val="Bodytext1811pt"/>
                <w:rFonts w:ascii="Sylfaen" w:hAnsi="Sylfaen"/>
                <w:sz w:val="24"/>
                <w:szCs w:val="24"/>
              </w:rPr>
              <w:tab/>
              <w:t>Ակտիվ դեղագործական բաղադրամասի</w:t>
            </w:r>
          </w:p>
        </w:tc>
        <w:tc>
          <w:tcPr>
            <w:tcW w:w="1883" w:type="dxa"/>
            <w:gridSpan w:val="2"/>
            <w:tcBorders>
              <w:top w:val="single" w:sz="4" w:space="0" w:color="auto"/>
              <w:left w:val="single" w:sz="4" w:space="0" w:color="auto"/>
            </w:tcBorders>
            <w:shd w:val="clear" w:color="auto" w:fill="FFFFFF"/>
          </w:tcPr>
          <w:p w14:paraId="639110EE"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w:t>
            </w:r>
          </w:p>
        </w:tc>
        <w:tc>
          <w:tcPr>
            <w:tcW w:w="1984" w:type="dxa"/>
            <w:gridSpan w:val="2"/>
            <w:tcBorders>
              <w:top w:val="single" w:sz="4" w:space="0" w:color="auto"/>
              <w:left w:val="single" w:sz="4" w:space="0" w:color="auto"/>
            </w:tcBorders>
            <w:shd w:val="clear" w:color="auto" w:fill="FFFFFF"/>
          </w:tcPr>
          <w:p w14:paraId="4F435EDD"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669B2D68"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sz w:val="24"/>
                <w:szCs w:val="24"/>
              </w:rPr>
            </w:pPr>
            <w:r w:rsidRPr="003B2786">
              <w:rPr>
                <w:rStyle w:val="Bodytext295pt"/>
                <w:rFonts w:ascii="Sylfaen" w:hAnsi="Sylfaen"/>
                <w:sz w:val="24"/>
                <w:szCs w:val="24"/>
              </w:rPr>
              <w:t>IA</w:t>
            </w:r>
            <w:r w:rsidRPr="003B2786">
              <w:rPr>
                <w:rStyle w:val="Bodytext295pt"/>
                <w:rFonts w:ascii="Sylfaen" w:hAnsi="Sylfaen"/>
                <w:sz w:val="24"/>
                <w:szCs w:val="24"/>
                <w:vertAlign w:val="subscript"/>
              </w:rPr>
              <w:t>ԱՊ</w:t>
            </w:r>
          </w:p>
        </w:tc>
      </w:tr>
      <w:tr w:rsidR="008C76E0" w:rsidRPr="003B2786" w14:paraId="749EF8B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4D935B1"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Ակտիվ դեղագործական բաղադրամասի օժանդակ նյութի (ելանյութի)</w:t>
            </w:r>
          </w:p>
        </w:tc>
        <w:tc>
          <w:tcPr>
            <w:tcW w:w="1883" w:type="dxa"/>
            <w:gridSpan w:val="2"/>
            <w:tcBorders>
              <w:top w:val="single" w:sz="4" w:space="0" w:color="auto"/>
              <w:left w:val="single" w:sz="4" w:space="0" w:color="auto"/>
            </w:tcBorders>
            <w:shd w:val="clear" w:color="auto" w:fill="FFFFFF"/>
          </w:tcPr>
          <w:p w14:paraId="7BEDBB96"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1, 2, 4</w:t>
            </w:r>
          </w:p>
        </w:tc>
        <w:tc>
          <w:tcPr>
            <w:tcW w:w="1984" w:type="dxa"/>
            <w:gridSpan w:val="2"/>
            <w:tcBorders>
              <w:top w:val="single" w:sz="4" w:space="0" w:color="auto"/>
              <w:left w:val="single" w:sz="4" w:space="0" w:color="auto"/>
            </w:tcBorders>
            <w:shd w:val="clear" w:color="auto" w:fill="FFFFFF"/>
          </w:tcPr>
          <w:p w14:paraId="6A426618"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1053A99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6716B21"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1B9BC3D" w14:textId="77777777" w:rsidR="008C76E0" w:rsidRPr="008C76E0" w:rsidRDefault="008C76E0" w:rsidP="002A5072">
            <w:pPr>
              <w:pStyle w:val="Bodytext180"/>
              <w:shd w:val="clear" w:color="auto" w:fill="auto"/>
              <w:tabs>
                <w:tab w:val="left" w:pos="589"/>
              </w:tabs>
              <w:spacing w:before="0" w:after="120" w:line="288"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Միության դեղագրքի համապատասխան թարմացված հոդվածին կամ անդամ պետության դեղագրքին համապատասխանության նպատակներով փոփոխությունները</w:t>
            </w:r>
          </w:p>
        </w:tc>
        <w:tc>
          <w:tcPr>
            <w:tcW w:w="1883" w:type="dxa"/>
            <w:gridSpan w:val="2"/>
            <w:tcBorders>
              <w:top w:val="single" w:sz="4" w:space="0" w:color="auto"/>
              <w:left w:val="single" w:sz="4" w:space="0" w:color="auto"/>
            </w:tcBorders>
            <w:shd w:val="clear" w:color="auto" w:fill="FFFFFF"/>
          </w:tcPr>
          <w:p w14:paraId="1D772596"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1, 2, 4, 5</w:t>
            </w:r>
          </w:p>
        </w:tc>
        <w:tc>
          <w:tcPr>
            <w:tcW w:w="1984" w:type="dxa"/>
            <w:gridSpan w:val="2"/>
            <w:tcBorders>
              <w:top w:val="single" w:sz="4" w:space="0" w:color="auto"/>
              <w:left w:val="single" w:sz="4" w:space="0" w:color="auto"/>
            </w:tcBorders>
            <w:shd w:val="clear" w:color="auto" w:fill="FFFFFF"/>
          </w:tcPr>
          <w:p w14:paraId="7EE9B285"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6672A002"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E8A4F96"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827BB3C" w14:textId="77777777" w:rsidR="008C76E0" w:rsidRPr="008C76E0" w:rsidRDefault="008C76E0" w:rsidP="002A5072">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անդամ պետության դեղագրքից մասնագրերի փոխարինումը Միության դեղագրքի մասնագրերով</w:t>
            </w:r>
          </w:p>
        </w:tc>
        <w:tc>
          <w:tcPr>
            <w:tcW w:w="1883" w:type="dxa"/>
            <w:gridSpan w:val="2"/>
            <w:tcBorders>
              <w:top w:val="single" w:sz="4" w:space="0" w:color="auto"/>
              <w:left w:val="single" w:sz="4" w:space="0" w:color="auto"/>
            </w:tcBorders>
            <w:shd w:val="clear" w:color="auto" w:fill="FFFFFF"/>
          </w:tcPr>
          <w:p w14:paraId="0746DC5E" w14:textId="77777777" w:rsidR="008C76E0" w:rsidRPr="003B2786" w:rsidRDefault="008C76E0" w:rsidP="002A5072">
            <w:pPr>
              <w:pStyle w:val="Bodytext180"/>
              <w:shd w:val="clear" w:color="auto" w:fill="auto"/>
              <w:tabs>
                <w:tab w:val="left" w:pos="589"/>
              </w:tabs>
              <w:spacing w:before="0" w:after="120" w:line="264" w:lineRule="auto"/>
              <w:ind w:left="159" w:right="221" w:firstLine="0"/>
              <w:jc w:val="center"/>
              <w:rPr>
                <w:rFonts w:ascii="Sylfaen" w:hAnsi="Sylfaen"/>
                <w:b w:val="0"/>
                <w:sz w:val="24"/>
                <w:szCs w:val="24"/>
              </w:rPr>
            </w:pPr>
            <w:r w:rsidRPr="003B2786">
              <w:rPr>
                <w:rStyle w:val="Bodytext1811pt"/>
                <w:rFonts w:ascii="Sylfaen" w:hAnsi="Sylfaen"/>
                <w:sz w:val="24"/>
                <w:szCs w:val="24"/>
              </w:rPr>
              <w:t>1, 4, 5</w:t>
            </w:r>
          </w:p>
        </w:tc>
        <w:tc>
          <w:tcPr>
            <w:tcW w:w="1984" w:type="dxa"/>
            <w:gridSpan w:val="2"/>
            <w:tcBorders>
              <w:top w:val="single" w:sz="4" w:space="0" w:color="auto"/>
              <w:left w:val="single" w:sz="4" w:space="0" w:color="auto"/>
            </w:tcBorders>
            <w:shd w:val="clear" w:color="auto" w:fill="FFFFFF"/>
          </w:tcPr>
          <w:p w14:paraId="4480C762" w14:textId="77777777" w:rsidR="008C76E0" w:rsidRPr="003B2786" w:rsidRDefault="008C76E0" w:rsidP="002A5072">
            <w:pPr>
              <w:pStyle w:val="Bodytext180"/>
              <w:shd w:val="clear" w:color="auto" w:fill="auto"/>
              <w:tabs>
                <w:tab w:val="left" w:pos="589"/>
              </w:tabs>
              <w:spacing w:before="0" w:after="120" w:line="264" w:lineRule="auto"/>
              <w:ind w:left="159" w:right="221"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1B6DCE26" w14:textId="77777777" w:rsidR="008C76E0" w:rsidRPr="003B2786" w:rsidRDefault="008C76E0" w:rsidP="002A5072">
            <w:pPr>
              <w:pStyle w:val="Bodytext180"/>
              <w:shd w:val="clear" w:color="auto" w:fill="auto"/>
              <w:tabs>
                <w:tab w:val="left" w:pos="589"/>
              </w:tabs>
              <w:spacing w:before="0" w:after="120" w:line="264" w:lineRule="auto"/>
              <w:ind w:left="159" w:right="22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E4CA98D"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7B1C07C7" w14:textId="77777777" w:rsidR="008C76E0" w:rsidRPr="008C76E0" w:rsidRDefault="008C76E0" w:rsidP="002A5072">
            <w:pPr>
              <w:pStyle w:val="Bodytext180"/>
              <w:shd w:val="clear" w:color="auto" w:fill="auto"/>
              <w:tabs>
                <w:tab w:val="left" w:pos="589"/>
              </w:tabs>
              <w:spacing w:before="0" w:after="120" w:line="264"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7D6358C5" w14:textId="77777777" w:rsidR="008C76E0" w:rsidRPr="008C76E0" w:rsidRDefault="008C76E0" w:rsidP="002A5072">
            <w:pPr>
              <w:pStyle w:val="Bodytext180"/>
              <w:shd w:val="clear" w:color="auto" w:fill="auto"/>
              <w:tabs>
                <w:tab w:val="left" w:pos="589"/>
              </w:tabs>
              <w:spacing w:before="0" w:after="12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 իրականացվում է բացառապես դեղագրքին լիարժեք համապատասխանության նպատակով: Փոփոխելուց հետո մասնագրում բոլոր փորձարկումները, բացառությամբ ցանկացած լրացուցիչ օժանդակ փորձարկումների, պետք</w:t>
            </w:r>
            <w:r w:rsidR="002A5072" w:rsidRPr="002A5072">
              <w:rPr>
                <w:rStyle w:val="Bodytext1811pt"/>
                <w:rFonts w:ascii="Sylfaen" w:hAnsi="Sylfaen"/>
                <w:sz w:val="24"/>
                <w:szCs w:val="24"/>
              </w:rPr>
              <w:t> </w:t>
            </w:r>
            <w:r w:rsidRPr="003B2786">
              <w:rPr>
                <w:rStyle w:val="Bodytext1811pt"/>
                <w:rFonts w:ascii="Sylfaen" w:hAnsi="Sylfaen"/>
                <w:sz w:val="24"/>
                <w:szCs w:val="24"/>
              </w:rPr>
              <w:t>է համապատասխանեն դեղագրքային ստանդարտին:</w:t>
            </w:r>
          </w:p>
          <w:p w14:paraId="67518AF4" w14:textId="77777777" w:rsidR="008C76E0" w:rsidRPr="008C76E0" w:rsidRDefault="008C76E0" w:rsidP="002A5072">
            <w:pPr>
              <w:pStyle w:val="Bodytext180"/>
              <w:shd w:val="clear" w:color="auto" w:fill="auto"/>
              <w:tabs>
                <w:tab w:val="left" w:pos="589"/>
              </w:tabs>
              <w:spacing w:before="0" w:after="12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Դեղագրքի լրացուցիչ՝ արտադրանքի մասնահատուկ հատկությունների մասնագրերը չեն փոփոխվում (օրինակ` մասնիկների չափսերի պրոֆիլները, պոլիմորֆային ձ</w:t>
            </w:r>
            <w:r w:rsidR="00C54D75">
              <w:rPr>
                <w:rStyle w:val="Bodytext1811pt"/>
                <w:rFonts w:ascii="Sylfaen" w:hAnsi="Sylfaen"/>
                <w:sz w:val="24"/>
                <w:szCs w:val="24"/>
              </w:rPr>
              <w:t>և</w:t>
            </w:r>
            <w:r w:rsidRPr="003B2786">
              <w:rPr>
                <w:rStyle w:val="Bodytext1811pt"/>
                <w:rFonts w:ascii="Sylfaen" w:hAnsi="Sylfaen"/>
                <w:sz w:val="24"/>
                <w:szCs w:val="24"/>
              </w:rPr>
              <w:t xml:space="preserve">ը կամ, օրինակ՝ </w:t>
            </w:r>
            <w:r w:rsidRPr="003B2786">
              <w:rPr>
                <w:rStyle w:val="Bodytext1811pt"/>
                <w:rFonts w:ascii="Sylfaen" w:hAnsi="Sylfaen"/>
                <w:sz w:val="24"/>
                <w:szCs w:val="24"/>
              </w:rPr>
              <w:lastRenderedPageBreak/>
              <w:t>կենսաբանական մեթոդիկաները, ագրեգատները):</w:t>
            </w:r>
          </w:p>
        </w:tc>
      </w:tr>
      <w:tr w:rsidR="008C76E0" w:rsidRPr="003B2786" w14:paraId="29FEE74A"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E116A2E"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lastRenderedPageBreak/>
              <w:t>3.</w:t>
            </w:r>
            <w:r w:rsidRPr="008C76E0">
              <w:rPr>
                <w:rFonts w:ascii="Sylfaen" w:hAnsi="Sylfaen"/>
                <w:b w:val="0"/>
                <w:sz w:val="24"/>
                <w:szCs w:val="24"/>
                <w:lang w:val="hy-AM"/>
              </w:rPr>
              <w:tab/>
            </w:r>
            <w:r w:rsidRPr="003B2786">
              <w:rPr>
                <w:rStyle w:val="Bodytext1811pt"/>
                <w:rFonts w:ascii="Sylfaen" w:hAnsi="Sylfaen"/>
                <w:sz w:val="24"/>
                <w:szCs w:val="24"/>
              </w:rPr>
              <w:t xml:space="preserve">Բացակայում են խառնուկների որակական </w:t>
            </w:r>
            <w:r w:rsidR="00C54D75">
              <w:rPr>
                <w:rStyle w:val="Bodytext1811pt"/>
                <w:rFonts w:ascii="Sylfaen" w:hAnsi="Sylfaen"/>
                <w:sz w:val="24"/>
                <w:szCs w:val="24"/>
              </w:rPr>
              <w:t>և</w:t>
            </w:r>
            <w:r w:rsidRPr="003B2786">
              <w:rPr>
                <w:rStyle w:val="Bodytext1811pt"/>
                <w:rFonts w:ascii="Sylfaen" w:hAnsi="Sylfaen"/>
                <w:sz w:val="24"/>
                <w:szCs w:val="24"/>
              </w:rPr>
              <w:t xml:space="preserve"> քանակական պրոֆիլների էական փոփոխությունները (բացառությամբ մասնագրերի խստացման):</w:t>
            </w:r>
          </w:p>
          <w:p w14:paraId="1D232607"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Նոր կամ փոփոխված դեղագրքային մեթոդիկայի լրացուցիչ վալիդացում չի պահանջվում:</w:t>
            </w:r>
          </w:p>
          <w:p w14:paraId="6876A0AC" w14:textId="77777777" w:rsidR="008C76E0" w:rsidRPr="008C76E0" w:rsidRDefault="008C76E0" w:rsidP="002A5072">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Բուսական դեղագործական բաղադրամասերը. արտադրության եղանակը, ֆիզիկական վիճակը, էկստրագենտը </w:t>
            </w:r>
            <w:r w:rsidR="00C54D75">
              <w:rPr>
                <w:rStyle w:val="Bodytext1811pt"/>
                <w:rFonts w:ascii="Sylfaen" w:hAnsi="Sylfaen"/>
                <w:sz w:val="24"/>
                <w:szCs w:val="24"/>
              </w:rPr>
              <w:t>և</w:t>
            </w:r>
            <w:r w:rsidRPr="003B2786">
              <w:rPr>
                <w:rStyle w:val="Bodytext1811pt"/>
                <w:rFonts w:ascii="Sylfaen" w:hAnsi="Sylfaen"/>
                <w:sz w:val="24"/>
                <w:szCs w:val="24"/>
              </w:rPr>
              <w:t xml:space="preserve"> դեղամիջոցի էկստրակցիայի գործակիցը չեն փոփոխվում:</w:t>
            </w:r>
          </w:p>
        </w:tc>
      </w:tr>
      <w:tr w:rsidR="008C76E0" w:rsidRPr="003B2786" w14:paraId="533C90AB"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32FBBE9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ECAEC2F"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Դոսյեի համապատասխան բաժնում (բաժիններում) ուղղում կատարելը։</w:t>
            </w:r>
          </w:p>
          <w:p w14:paraId="49D3BEA9"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Ընթացիկ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մասնագրերի համեմատական աղյուսակը։</w:t>
            </w:r>
          </w:p>
          <w:p w14:paraId="5B462F56"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Համապատասխան բաղադրամասի (նյութի) սերիաների, առնվազն 2 արդյունաբերական սերիաների անալիզի տվյալները (համեմատական աղյուսակի ձ</w:t>
            </w:r>
            <w:r w:rsidR="00C54D75">
              <w:rPr>
                <w:rStyle w:val="Bodytext1811pt"/>
                <w:rFonts w:ascii="Sylfaen" w:hAnsi="Sylfaen"/>
                <w:sz w:val="24"/>
                <w:szCs w:val="24"/>
              </w:rPr>
              <w:t>և</w:t>
            </w:r>
            <w:r w:rsidRPr="003B2786">
              <w:rPr>
                <w:rStyle w:val="Bodytext1811pt"/>
                <w:rFonts w:ascii="Sylfaen" w:hAnsi="Sylfaen"/>
                <w:sz w:val="24"/>
                <w:szCs w:val="24"/>
              </w:rPr>
              <w:t xml:space="preserve">աչափով)՝ նոր մասնագրի բոլոր փորձարկումների մասով, </w:t>
            </w:r>
            <w:r w:rsidR="00C54D75">
              <w:rPr>
                <w:rStyle w:val="Bodytext1811pt"/>
                <w:rFonts w:ascii="Sylfaen" w:hAnsi="Sylfaen"/>
                <w:sz w:val="24"/>
                <w:szCs w:val="24"/>
              </w:rPr>
              <w:t>և</w:t>
            </w:r>
            <w:r w:rsidRPr="003B2786">
              <w:rPr>
                <w:rStyle w:val="Bodytext1811pt"/>
                <w:rFonts w:ascii="Sylfaen" w:hAnsi="Sylfaen"/>
                <w:sz w:val="24"/>
                <w:szCs w:val="24"/>
              </w:rPr>
              <w:t>, ի լրումն, առնվազն մեկ փորձարարաարդյունաբերական սերիայի դեղապատրաստուկի լուծելիության համեմատական կինետիկայի թեստի արդյունքները, եթե կիրառելի է: Բուսական դեղապատրաստուկների առնչությամբ կարող են բավարար լինել համեմատական տրոհելիության տվյալները:</w:t>
            </w:r>
          </w:p>
          <w:p w14:paraId="2E92DD32"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Սուբստանցիայի որակի հսկողության համար հոդվածի պիտանիությունը հաստատող տվյալները, օրինակ` պոտենցիալ խառնուկների համեմատությունը՝ հոդվածի թափանցիկության վերաբերյալ ծանոթագրության հետ (transparency note of the monograph):</w:t>
            </w:r>
          </w:p>
        </w:tc>
      </w:tr>
      <w:tr w:rsidR="008C76E0" w:rsidRPr="003B2786" w14:paraId="44FBDC6B" w14:textId="77777777" w:rsidTr="004A52D9">
        <w:trPr>
          <w:jc w:val="center"/>
        </w:trPr>
        <w:tc>
          <w:tcPr>
            <w:tcW w:w="2594" w:type="dxa"/>
            <w:gridSpan w:val="2"/>
            <w:tcBorders>
              <w:top w:val="single" w:sz="4" w:space="0" w:color="auto"/>
              <w:left w:val="single" w:sz="4" w:space="0" w:color="auto"/>
            </w:tcBorders>
            <w:shd w:val="clear" w:color="auto" w:fill="FFFFFF"/>
          </w:tcPr>
          <w:p w14:paraId="5586D13A" w14:textId="77777777" w:rsidR="008C76E0" w:rsidRPr="003B2786" w:rsidRDefault="008C76E0" w:rsidP="008C76E0">
            <w:pPr>
              <w:pStyle w:val="Bodytext180"/>
              <w:shd w:val="clear" w:color="auto" w:fill="auto"/>
              <w:tabs>
                <w:tab w:val="left" w:pos="589"/>
              </w:tabs>
              <w:spacing w:before="0" w:after="120" w:line="240" w:lineRule="auto"/>
              <w:ind w:left="159" w:firstLine="0"/>
              <w:jc w:val="both"/>
              <w:rPr>
                <w:rFonts w:ascii="Sylfaen" w:hAnsi="Sylfaen"/>
                <w:sz w:val="24"/>
                <w:szCs w:val="24"/>
              </w:rPr>
            </w:pPr>
            <w:r w:rsidRPr="003B2786">
              <w:rPr>
                <w:rStyle w:val="Bodytext295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3015877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Fonts w:ascii="Sylfaen" w:hAnsi="Sylfaen"/>
                <w:sz w:val="24"/>
                <w:szCs w:val="24"/>
              </w:rPr>
            </w:pPr>
            <w:r w:rsidRPr="003B2786">
              <w:rPr>
                <w:rStyle w:val="Bodytext1811pt"/>
                <w:rFonts w:ascii="Sylfaen" w:hAnsi="Sylfaen"/>
                <w:sz w:val="24"/>
                <w:szCs w:val="24"/>
              </w:rPr>
              <w:t xml:space="preserve">Թարմացված հոդվածին համապատասխանության ներդրման դեպքում լիազորված մարմիններին ծանուցել Միության դեղագրքի կամ անդամ պետության դեղագրքի հոդվածի թարմացման մասին՝ դրա հրապարակումից հետո 6 ամսվա ընթացքում, </w:t>
            </w:r>
            <w:r w:rsidR="00C54D75">
              <w:rPr>
                <w:rStyle w:val="Bodytext1811pt"/>
                <w:rFonts w:ascii="Sylfaen" w:hAnsi="Sylfaen"/>
                <w:sz w:val="24"/>
                <w:szCs w:val="24"/>
              </w:rPr>
              <w:t>և</w:t>
            </w:r>
            <w:r w:rsidRPr="003B2786">
              <w:rPr>
                <w:rStyle w:val="Bodytext1811pt"/>
                <w:rFonts w:ascii="Sylfaen" w:hAnsi="Sylfaen"/>
                <w:sz w:val="24"/>
                <w:szCs w:val="24"/>
              </w:rPr>
              <w:t xml:space="preserve"> գրանցված դեղապատրաստուկի դոսյեում՝ «գործող խմբագրությանը» արված հղումների առկայության դեպքում։ </w:t>
            </w:r>
          </w:p>
        </w:tc>
      </w:tr>
      <w:tr w:rsidR="008C76E0" w:rsidRPr="003B2786" w14:paraId="7B52C553" w14:textId="77777777" w:rsidTr="004A52D9">
        <w:trPr>
          <w:jc w:val="center"/>
        </w:trPr>
        <w:tc>
          <w:tcPr>
            <w:tcW w:w="10694" w:type="dxa"/>
            <w:gridSpan w:val="10"/>
            <w:tcBorders>
              <w:top w:val="single" w:sz="4" w:space="0" w:color="auto"/>
            </w:tcBorders>
            <w:shd w:val="clear" w:color="auto" w:fill="FFFFFF"/>
            <w:vAlign w:val="bottom"/>
          </w:tcPr>
          <w:p w14:paraId="0D43C11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i/>
                <w:sz w:val="24"/>
                <w:szCs w:val="24"/>
              </w:rPr>
            </w:pPr>
            <w:r w:rsidRPr="003B2786">
              <w:rPr>
                <w:rStyle w:val="Bodytext295pt"/>
                <w:rFonts w:ascii="Sylfaen" w:hAnsi="Sylfaen"/>
                <w:sz w:val="24"/>
                <w:szCs w:val="24"/>
              </w:rPr>
              <w:t>Բ.IV Բժշկական արտադրատեսակները</w:t>
            </w:r>
          </w:p>
        </w:tc>
      </w:tr>
      <w:tr w:rsidR="008C76E0" w:rsidRPr="003B2786" w14:paraId="7E7FCC1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168EFAC"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 xml:space="preserve">Բ.IV.l Չափող արտադրատեսակի կամ ներմուծման համար նախատեսված արտադրատեսակի փոփոխությունը </w:t>
            </w:r>
          </w:p>
        </w:tc>
        <w:tc>
          <w:tcPr>
            <w:tcW w:w="1883" w:type="dxa"/>
            <w:gridSpan w:val="2"/>
            <w:tcBorders>
              <w:top w:val="single" w:sz="4" w:space="0" w:color="auto"/>
              <w:left w:val="single" w:sz="4" w:space="0" w:color="auto"/>
            </w:tcBorders>
            <w:shd w:val="clear" w:color="auto" w:fill="FFFFFF"/>
          </w:tcPr>
          <w:p w14:paraId="21BF705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48450DFF" w14:textId="77777777" w:rsidR="008C76E0" w:rsidRPr="003B2786" w:rsidRDefault="008C76E0" w:rsidP="008B6709">
            <w:pPr>
              <w:pStyle w:val="Bodytext180"/>
              <w:shd w:val="clear" w:color="auto" w:fill="auto"/>
              <w:tabs>
                <w:tab w:val="left" w:pos="589"/>
              </w:tabs>
              <w:spacing w:before="0" w:after="120" w:line="240" w:lineRule="auto"/>
              <w:ind w:left="15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C36D46B" w14:textId="77777777" w:rsidR="008C76E0" w:rsidRPr="003B2786" w:rsidRDefault="008C76E0" w:rsidP="008B6709">
            <w:pPr>
              <w:pStyle w:val="Bodytext180"/>
              <w:shd w:val="clear" w:color="auto" w:fill="auto"/>
              <w:tabs>
                <w:tab w:val="left" w:pos="589"/>
              </w:tabs>
              <w:spacing w:before="0" w:after="120" w:line="240" w:lineRule="auto"/>
              <w:ind w:left="159" w:right="-5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F2CD08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7C633B4" w14:textId="77777777" w:rsidR="008C76E0" w:rsidRPr="00E74ADC" w:rsidRDefault="008C76E0" w:rsidP="008C76E0">
            <w:pPr>
              <w:pStyle w:val="Bodytext180"/>
              <w:shd w:val="clear" w:color="auto" w:fill="auto"/>
              <w:tabs>
                <w:tab w:val="left" w:pos="589"/>
              </w:tabs>
              <w:spacing w:before="0" w:after="120" w:line="240" w:lineRule="auto"/>
              <w:ind w:left="159" w:right="222" w:firstLine="0"/>
              <w:jc w:val="both"/>
              <w:rPr>
                <w:rStyle w:val="Bodytext1811pt"/>
                <w:rFonts w:ascii="Sylfaen" w:hAnsi="Sylfaen"/>
                <w:sz w:val="24"/>
                <w:szCs w:val="24"/>
              </w:rPr>
            </w:pPr>
            <w:r w:rsidRPr="003B2786">
              <w:rPr>
                <w:rStyle w:val="Bodytext1811pt"/>
                <w:rFonts w:ascii="Sylfaen" w:hAnsi="Sylfaen"/>
                <w:sz w:val="24"/>
                <w:szCs w:val="24"/>
              </w:rPr>
              <w:t>ա)</w:t>
            </w:r>
            <w:r w:rsidRPr="003B2786">
              <w:rPr>
                <w:rStyle w:val="Bodytext1811pt"/>
                <w:rFonts w:ascii="Sylfaen" w:hAnsi="Sylfaen"/>
                <w:sz w:val="24"/>
                <w:szCs w:val="24"/>
              </w:rPr>
              <w:tab/>
              <w:t>Առաջնային փաթեթվածքի մաս չկազմող արտադրատեսակի ավելացումը կամ փոխարինումը</w:t>
            </w:r>
          </w:p>
          <w:p w14:paraId="59BA38A9" w14:textId="77777777" w:rsidR="002A5072" w:rsidRPr="00E74ADC" w:rsidRDefault="002A5072"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p>
        </w:tc>
        <w:tc>
          <w:tcPr>
            <w:tcW w:w="1883" w:type="dxa"/>
            <w:gridSpan w:val="2"/>
            <w:tcBorders>
              <w:top w:val="single" w:sz="4" w:space="0" w:color="auto"/>
              <w:left w:val="single" w:sz="4" w:space="0" w:color="auto"/>
            </w:tcBorders>
            <w:shd w:val="clear" w:color="auto" w:fill="FFFFFF"/>
          </w:tcPr>
          <w:p w14:paraId="581C950B" w14:textId="77777777" w:rsidR="008C76E0" w:rsidRPr="003B2786" w:rsidRDefault="008C76E0" w:rsidP="008C76E0">
            <w:pPr>
              <w:tabs>
                <w:tab w:val="left" w:pos="589"/>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5B8EA52E" w14:textId="77777777" w:rsidR="008C76E0" w:rsidRPr="003B2786" w:rsidRDefault="008C76E0" w:rsidP="008C76E0">
            <w:pPr>
              <w:tabs>
                <w:tab w:val="left" w:pos="589"/>
              </w:tabs>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0A63BBEB" w14:textId="77777777" w:rsidR="008C76E0" w:rsidRPr="003B2786" w:rsidRDefault="008C76E0" w:rsidP="008C76E0">
            <w:pPr>
              <w:tabs>
                <w:tab w:val="left" w:pos="589"/>
              </w:tabs>
              <w:spacing w:after="120"/>
              <w:ind w:left="159" w:right="222"/>
              <w:jc w:val="center"/>
              <w:rPr>
                <w:rFonts w:ascii="Sylfaen" w:hAnsi="Sylfaen"/>
                <w:sz w:val="24"/>
                <w:szCs w:val="24"/>
              </w:rPr>
            </w:pPr>
          </w:p>
        </w:tc>
      </w:tr>
      <w:tr w:rsidR="008C76E0" w:rsidRPr="003B2786" w14:paraId="12D2969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549BB8A"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1.</w:t>
            </w:r>
            <w:r w:rsidRPr="003B2786">
              <w:rPr>
                <w:rStyle w:val="Bodytext1811pt"/>
                <w:rFonts w:ascii="Sylfaen" w:hAnsi="Sylfaen"/>
                <w:sz w:val="24"/>
                <w:szCs w:val="24"/>
              </w:rPr>
              <w:tab/>
              <w:t>Միությունում գրանցված բժշկական արտադրատեսակները</w:t>
            </w:r>
          </w:p>
        </w:tc>
        <w:tc>
          <w:tcPr>
            <w:tcW w:w="1883" w:type="dxa"/>
            <w:gridSpan w:val="2"/>
            <w:tcBorders>
              <w:top w:val="single" w:sz="4" w:space="0" w:color="auto"/>
              <w:left w:val="single" w:sz="4" w:space="0" w:color="auto"/>
            </w:tcBorders>
            <w:shd w:val="clear" w:color="auto" w:fill="FFFFFF"/>
          </w:tcPr>
          <w:p w14:paraId="58AC82C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1, 2, 3, 5, 6</w:t>
            </w:r>
          </w:p>
        </w:tc>
        <w:tc>
          <w:tcPr>
            <w:tcW w:w="1984" w:type="dxa"/>
            <w:gridSpan w:val="2"/>
            <w:tcBorders>
              <w:top w:val="single" w:sz="4" w:space="0" w:color="auto"/>
              <w:left w:val="single" w:sz="4" w:space="0" w:color="auto"/>
            </w:tcBorders>
            <w:shd w:val="clear" w:color="auto" w:fill="FFFFFF"/>
          </w:tcPr>
          <w:p w14:paraId="6D232BB1"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1,2,3</w:t>
            </w:r>
          </w:p>
        </w:tc>
        <w:tc>
          <w:tcPr>
            <w:tcW w:w="1843" w:type="dxa"/>
            <w:gridSpan w:val="2"/>
            <w:tcBorders>
              <w:top w:val="single" w:sz="4" w:space="0" w:color="auto"/>
              <w:left w:val="single" w:sz="4" w:space="0" w:color="auto"/>
              <w:right w:val="single" w:sz="4" w:space="0" w:color="auto"/>
            </w:tcBorders>
            <w:shd w:val="clear" w:color="auto" w:fill="FFFFFF"/>
          </w:tcPr>
          <w:p w14:paraId="79502619"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12D19D5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3E76B3B"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 xml:space="preserve">Դոզավորող ներշնչակների կամ այլ սարքի (օրինակ՝ նեբուլայզերի) սփեյսերները, որոնք կարող են էական ազդեցություն ունենալ պատրաստուկի </w:t>
            </w:r>
            <w:r w:rsidRPr="003B2786">
              <w:rPr>
                <w:rStyle w:val="Bodytext1811pt"/>
                <w:rFonts w:ascii="Sylfaen" w:hAnsi="Sylfaen"/>
                <w:sz w:val="24"/>
                <w:szCs w:val="24"/>
              </w:rPr>
              <w:lastRenderedPageBreak/>
              <w:t>դեղագործական նյութի առաքման վրա</w:t>
            </w:r>
          </w:p>
        </w:tc>
        <w:tc>
          <w:tcPr>
            <w:tcW w:w="1883" w:type="dxa"/>
            <w:gridSpan w:val="2"/>
            <w:tcBorders>
              <w:top w:val="single" w:sz="4" w:space="0" w:color="auto"/>
              <w:left w:val="single" w:sz="4" w:space="0" w:color="auto"/>
            </w:tcBorders>
            <w:shd w:val="clear" w:color="auto" w:fill="FFFFFF"/>
          </w:tcPr>
          <w:p w14:paraId="50098A81"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lastRenderedPageBreak/>
              <w:t>-</w:t>
            </w:r>
          </w:p>
        </w:tc>
        <w:tc>
          <w:tcPr>
            <w:tcW w:w="1984" w:type="dxa"/>
            <w:gridSpan w:val="2"/>
            <w:tcBorders>
              <w:top w:val="single" w:sz="4" w:space="0" w:color="auto"/>
              <w:left w:val="single" w:sz="4" w:space="0" w:color="auto"/>
            </w:tcBorders>
            <w:shd w:val="clear" w:color="auto" w:fill="FFFFFF"/>
          </w:tcPr>
          <w:p w14:paraId="19134910"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13E6A842"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II</w:t>
            </w:r>
          </w:p>
        </w:tc>
      </w:tr>
      <w:tr w:rsidR="008C76E0" w:rsidRPr="003B2786" w14:paraId="242E7218"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E8E7A70"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rPr>
              <w:tab/>
              <w:t>Արտադրատեսակի բացառումը</w:t>
            </w:r>
          </w:p>
        </w:tc>
        <w:tc>
          <w:tcPr>
            <w:tcW w:w="1883" w:type="dxa"/>
            <w:gridSpan w:val="2"/>
            <w:tcBorders>
              <w:top w:val="single" w:sz="4" w:space="0" w:color="auto"/>
              <w:left w:val="single" w:sz="4" w:space="0" w:color="auto"/>
            </w:tcBorders>
            <w:shd w:val="clear" w:color="auto" w:fill="FFFFFF"/>
          </w:tcPr>
          <w:p w14:paraId="0AFBCE04"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4</w:t>
            </w:r>
          </w:p>
        </w:tc>
        <w:tc>
          <w:tcPr>
            <w:tcW w:w="1984" w:type="dxa"/>
            <w:gridSpan w:val="2"/>
            <w:tcBorders>
              <w:top w:val="single" w:sz="4" w:space="0" w:color="auto"/>
              <w:left w:val="single" w:sz="4" w:space="0" w:color="auto"/>
            </w:tcBorders>
            <w:shd w:val="clear" w:color="auto" w:fill="FFFFFF"/>
          </w:tcPr>
          <w:p w14:paraId="791B332F"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1,4</w:t>
            </w:r>
          </w:p>
        </w:tc>
        <w:tc>
          <w:tcPr>
            <w:tcW w:w="1843" w:type="dxa"/>
            <w:gridSpan w:val="2"/>
            <w:tcBorders>
              <w:top w:val="single" w:sz="4" w:space="0" w:color="auto"/>
              <w:left w:val="single" w:sz="4" w:space="0" w:color="auto"/>
              <w:right w:val="single" w:sz="4" w:space="0" w:color="auto"/>
            </w:tcBorders>
            <w:shd w:val="clear" w:color="auto" w:fill="FFFFFF"/>
          </w:tcPr>
          <w:p w14:paraId="23879A12"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26A1543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4DBB61F"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Առաջնային փաթեթվածքի մաս կազմող արտադրատեսակի ավելացումը կամ փոխարինումը</w:t>
            </w:r>
          </w:p>
        </w:tc>
        <w:tc>
          <w:tcPr>
            <w:tcW w:w="1883" w:type="dxa"/>
            <w:gridSpan w:val="2"/>
            <w:tcBorders>
              <w:top w:val="single" w:sz="4" w:space="0" w:color="auto"/>
              <w:left w:val="single" w:sz="4" w:space="0" w:color="auto"/>
            </w:tcBorders>
            <w:shd w:val="clear" w:color="auto" w:fill="FFFFFF"/>
          </w:tcPr>
          <w:p w14:paraId="1BE68DF8"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6E11A3D"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34B88A60"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II</w:t>
            </w:r>
          </w:p>
        </w:tc>
      </w:tr>
      <w:tr w:rsidR="008C76E0" w:rsidRPr="003B2786" w14:paraId="710CA665"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1628F64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C7C1CDD"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Առաջարկվող չափող արտադրատեսակը պետք է ճշգրիտ չափի դիտարկվող դեղապատրաստուկի անհրաժեշտ դոզան՝ կիրառման հաստատված եղանակի համաձայն. հարկավոր է ներկայացնել այդպիսի հետազոտությունների արդյունքները:</w:t>
            </w:r>
          </w:p>
          <w:p w14:paraId="006C30CB"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Նոր արտադրատեսակը համատեղելի է դեղապատրաստուկի հետ: </w:t>
            </w:r>
          </w:p>
          <w:p w14:paraId="51987B71"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Փոփոխությունը չպետք է հանգեցնի դեղապատրաստուկի մասին տեղեկատվության էական փոփոխության:</w:t>
            </w:r>
          </w:p>
          <w:p w14:paraId="61C47185"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Կարելի է շարունակել ճշգրիտ դոզավորել դեղապատրաստուկը:</w:t>
            </w:r>
          </w:p>
          <w:p w14:paraId="4843EDF5"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Բժշկական արտադրատեսակը չի օգտագործվում որպես դեղապատրաստուկի լուծիչ:</w:t>
            </w:r>
          </w:p>
        </w:tc>
      </w:tr>
      <w:tr w:rsidR="008C76E0" w:rsidRPr="003B2786" w14:paraId="11AB5880"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D585B18"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6.</w:t>
            </w:r>
            <w:r w:rsidRPr="003B2786">
              <w:rPr>
                <w:rStyle w:val="Bodytext1811pt"/>
                <w:rFonts w:ascii="Sylfaen" w:hAnsi="Sylfaen"/>
                <w:sz w:val="24"/>
                <w:szCs w:val="24"/>
              </w:rPr>
              <w:tab/>
              <w:t>Եթե նախատեսված է չափման գործառույթ, այն պետք է ներառված լինի այդպիսի արտադրատեսակի դոսյեում:</w:t>
            </w:r>
          </w:p>
        </w:tc>
      </w:tr>
      <w:tr w:rsidR="008C76E0" w:rsidRPr="003B2786" w14:paraId="0D02DAC6"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56EE37D"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A1A2D12"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Դոսյեի համապատասխան բաժնում (բաժիններում) ուղղում կատարելը, ներառյալ՝ արտադրատեսակի նյութի մանրամասն էսքիզն ու բաղադրությունը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մատակարարը, եթե կիրառելի է,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դեղապատրաստուկի վերաբերյալ տեղեկատվության համապատասխան վերանայումը։</w:t>
            </w:r>
          </w:p>
          <w:p w14:paraId="193FCC5B"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Միությունում բժշկական արտադրատեսակի գրանցման հաստատումը:</w:t>
            </w:r>
          </w:p>
          <w:p w14:paraId="3F8F771B" w14:textId="77777777" w:rsidR="008C76E0" w:rsidRPr="008C76E0"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Նոր արտադրատեսակի նմուշները, եթե կիրառելի է:</w:t>
            </w:r>
          </w:p>
          <w:p w14:paraId="7DD91B8D" w14:textId="77777777" w:rsidR="008C76E0" w:rsidRPr="003B2786" w:rsidRDefault="008C76E0" w:rsidP="008C76E0">
            <w:pPr>
              <w:pStyle w:val="Bodytext180"/>
              <w:shd w:val="clear" w:color="auto" w:fill="auto"/>
              <w:tabs>
                <w:tab w:val="left" w:pos="589"/>
              </w:tabs>
              <w:spacing w:before="0" w:after="120" w:line="288" w:lineRule="auto"/>
              <w:ind w:left="159" w:right="221" w:firstLine="0"/>
              <w:jc w:val="both"/>
              <w:rPr>
                <w:rFonts w:ascii="Sylfaen" w:hAnsi="Sylfaen"/>
                <w:b w:val="0"/>
                <w:sz w:val="24"/>
                <w:szCs w:val="24"/>
              </w:rPr>
            </w:pPr>
            <w:r w:rsidRPr="003B2786">
              <w:rPr>
                <w:rFonts w:ascii="Sylfaen" w:hAnsi="Sylfaen"/>
                <w:b w:val="0"/>
                <w:sz w:val="24"/>
                <w:szCs w:val="24"/>
              </w:rPr>
              <w:t>4.</w:t>
            </w:r>
            <w:r w:rsidRPr="003B2786">
              <w:rPr>
                <w:rFonts w:ascii="Sylfaen" w:hAnsi="Sylfaen"/>
                <w:b w:val="0"/>
                <w:sz w:val="24"/>
                <w:szCs w:val="24"/>
              </w:rPr>
              <w:tab/>
            </w:r>
            <w:r w:rsidRPr="003B2786">
              <w:rPr>
                <w:rStyle w:val="Bodytext1811pt"/>
                <w:rFonts w:ascii="Sylfaen" w:hAnsi="Sylfaen"/>
                <w:sz w:val="24"/>
                <w:szCs w:val="24"/>
              </w:rPr>
              <w:t>Արտադրատեսակի բացառման հիմնավորումը:</w:t>
            </w:r>
          </w:p>
        </w:tc>
      </w:tr>
      <w:tr w:rsidR="008C76E0" w:rsidRPr="003B2786" w14:paraId="4C4E5EE9" w14:textId="77777777" w:rsidTr="004A52D9">
        <w:trPr>
          <w:jc w:val="center"/>
        </w:trPr>
        <w:tc>
          <w:tcPr>
            <w:tcW w:w="2594" w:type="dxa"/>
            <w:gridSpan w:val="2"/>
            <w:tcBorders>
              <w:top w:val="single" w:sz="4" w:space="0" w:color="auto"/>
              <w:left w:val="single" w:sz="4" w:space="0" w:color="auto"/>
            </w:tcBorders>
            <w:shd w:val="clear" w:color="auto" w:fill="FFFFFF"/>
          </w:tcPr>
          <w:p w14:paraId="418F9CCB" w14:textId="77777777" w:rsidR="008C76E0" w:rsidRPr="003B2786" w:rsidRDefault="008C76E0" w:rsidP="008C76E0">
            <w:pPr>
              <w:pStyle w:val="Bodytext180"/>
              <w:shd w:val="clear" w:color="auto" w:fill="auto"/>
              <w:tabs>
                <w:tab w:val="left" w:pos="2165"/>
              </w:tabs>
              <w:spacing w:before="0" w:after="120" w:line="240" w:lineRule="auto"/>
              <w:ind w:left="159" w:right="6" w:firstLine="0"/>
              <w:jc w:val="both"/>
              <w:rPr>
                <w:rFonts w:ascii="Sylfaen" w:hAnsi="Sylfaen"/>
                <w:sz w:val="24"/>
                <w:szCs w:val="24"/>
              </w:rPr>
            </w:pPr>
            <w:r w:rsidRPr="003B2786">
              <w:rPr>
                <w:rStyle w:val="Bodytext295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3D7F00CC"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sz w:val="24"/>
                <w:szCs w:val="24"/>
              </w:rPr>
            </w:pPr>
            <w:r w:rsidRPr="003B2786">
              <w:rPr>
                <w:rStyle w:val="Bodytext1811pt"/>
                <w:rFonts w:ascii="Sylfaen" w:hAnsi="Sylfaen"/>
                <w:sz w:val="24"/>
                <w:szCs w:val="24"/>
              </w:rPr>
              <w:t>Բ.IV.1.գ-ի համար՝ եթե փոփոխությունը հանգեցնում է նոր դեղաձ</w:t>
            </w:r>
            <w:r w:rsidR="00C54D75">
              <w:rPr>
                <w:rStyle w:val="Bodytext1811pt"/>
                <w:rFonts w:ascii="Sylfaen" w:hAnsi="Sylfaen"/>
                <w:sz w:val="24"/>
                <w:szCs w:val="24"/>
              </w:rPr>
              <w:t>և</w:t>
            </w:r>
            <w:r w:rsidRPr="003B2786">
              <w:rPr>
                <w:rStyle w:val="Bodytext1811pt"/>
                <w:rFonts w:ascii="Sylfaen" w:hAnsi="Sylfaen"/>
                <w:sz w:val="24"/>
                <w:szCs w:val="24"/>
              </w:rPr>
              <w:t>ի առաջացմանը, ապա այդպիսի փոփոխությամբ պահանջվում է ներկայացնել գրանցման ընդլայնման դիմում։</w:t>
            </w:r>
          </w:p>
        </w:tc>
      </w:tr>
      <w:tr w:rsidR="008C76E0" w:rsidRPr="003B2786" w14:paraId="3775AC24" w14:textId="77777777" w:rsidTr="004A52D9">
        <w:trPr>
          <w:jc w:val="center"/>
        </w:trPr>
        <w:tc>
          <w:tcPr>
            <w:tcW w:w="10694" w:type="dxa"/>
            <w:gridSpan w:val="10"/>
            <w:tcBorders>
              <w:top w:val="single" w:sz="4" w:space="0" w:color="auto"/>
            </w:tcBorders>
            <w:shd w:val="clear" w:color="auto" w:fill="FFFFFF"/>
            <w:vAlign w:val="bottom"/>
          </w:tcPr>
          <w:p w14:paraId="759BF173"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i/>
                <w:sz w:val="24"/>
                <w:szCs w:val="24"/>
                <w:lang w:val="hy-AM"/>
              </w:rPr>
            </w:pPr>
            <w:r w:rsidRPr="003B2786">
              <w:rPr>
                <w:rStyle w:val="Bodytext295pt"/>
                <w:rFonts w:ascii="Sylfaen" w:hAnsi="Sylfaen"/>
                <w:sz w:val="24"/>
                <w:szCs w:val="24"/>
              </w:rPr>
              <w:t>Բ.V Գրանցման դոսյեում փոփոխություններ կատարելը՝ պայմանավորված այլ կարգավորիչ ընթացակարգերով</w:t>
            </w:r>
          </w:p>
          <w:p w14:paraId="7A8ABCB0"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295pt"/>
                <w:rFonts w:ascii="Sylfaen" w:hAnsi="Sylfaen"/>
                <w:sz w:val="24"/>
                <w:szCs w:val="24"/>
              </w:rPr>
              <w:t>Բ.V.ա)</w:t>
            </w:r>
            <w:r w:rsidRPr="003B2786">
              <w:rPr>
                <w:rStyle w:val="Bodytext295pt"/>
                <w:rFonts w:ascii="Sylfaen" w:hAnsi="Sylfaen"/>
                <w:sz w:val="24"/>
                <w:szCs w:val="24"/>
              </w:rPr>
              <w:tab/>
              <w:t>ՊՄՖ (ՊՀՄՖ)</w:t>
            </w:r>
          </w:p>
        </w:tc>
      </w:tr>
      <w:tr w:rsidR="008C76E0" w:rsidRPr="003B2786" w14:paraId="4ACF99B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859B2D3"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Բ.V.ա. 1.</w:t>
            </w:r>
            <w:r w:rsidRPr="003B2786">
              <w:rPr>
                <w:rStyle w:val="Bodytext1811pt"/>
                <w:rFonts w:ascii="Sylfaen" w:hAnsi="Sylfaen"/>
                <w:sz w:val="24"/>
                <w:szCs w:val="24"/>
              </w:rPr>
              <w:tab/>
              <w:t xml:space="preserve">Պլազմայի նոր, թարմացված կամ ուղղված մաստեր-ֆայլի ներառումը դեղապատրաստուկի գրանցման դոսյեում (ՊՄՖ-ի՝ 2-րդ փուլի </w:t>
            </w:r>
            <w:r w:rsidRPr="003B2786">
              <w:rPr>
                <w:rStyle w:val="Bodytext1811pt"/>
                <w:rFonts w:ascii="Sylfaen" w:hAnsi="Sylfaen"/>
                <w:sz w:val="24"/>
                <w:szCs w:val="24"/>
              </w:rPr>
              <w:lastRenderedPageBreak/>
              <w:t>ընթացակարգը)</w:t>
            </w:r>
          </w:p>
        </w:tc>
        <w:tc>
          <w:tcPr>
            <w:tcW w:w="1883" w:type="dxa"/>
            <w:gridSpan w:val="2"/>
            <w:tcBorders>
              <w:top w:val="single" w:sz="4" w:space="0" w:color="auto"/>
              <w:left w:val="single" w:sz="4" w:space="0" w:color="auto"/>
            </w:tcBorders>
            <w:shd w:val="clear" w:color="auto" w:fill="FFFFFF"/>
          </w:tcPr>
          <w:p w14:paraId="642E2902" w14:textId="77777777" w:rsidR="008C76E0" w:rsidRPr="003B2786" w:rsidRDefault="008C76E0" w:rsidP="008C76E0">
            <w:pPr>
              <w:pStyle w:val="Bodytext180"/>
              <w:shd w:val="clear" w:color="auto" w:fill="auto"/>
              <w:spacing w:before="0" w:after="120" w:line="240" w:lineRule="auto"/>
              <w:ind w:right="-65"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1984" w:type="dxa"/>
            <w:gridSpan w:val="2"/>
            <w:tcBorders>
              <w:top w:val="single" w:sz="4" w:space="0" w:color="auto"/>
              <w:left w:val="single" w:sz="4" w:space="0" w:color="auto"/>
            </w:tcBorders>
            <w:shd w:val="clear" w:color="auto" w:fill="FFFFFF"/>
          </w:tcPr>
          <w:p w14:paraId="59E82231" w14:textId="77777777" w:rsidR="008C76E0" w:rsidRPr="003B2786" w:rsidRDefault="008C76E0" w:rsidP="008C76E0">
            <w:pPr>
              <w:pStyle w:val="Bodytext180"/>
              <w:shd w:val="clear" w:color="auto" w:fill="auto"/>
              <w:spacing w:before="0" w:after="120" w:line="240" w:lineRule="auto"/>
              <w:ind w:right="-65"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3974A44B" w14:textId="77777777" w:rsidR="008C76E0" w:rsidRPr="003B2786" w:rsidRDefault="008C76E0" w:rsidP="008C76E0">
            <w:pPr>
              <w:pStyle w:val="Bodytext180"/>
              <w:shd w:val="clear" w:color="auto" w:fill="auto"/>
              <w:spacing w:before="0" w:after="120" w:line="240" w:lineRule="auto"/>
              <w:ind w:right="-65"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388DE13"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9485AAC"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դեղապատրաստուկի հատկությունների վրա ազդող պլազմայի նոր մաստեր-ֆայլի առաջին ներառումը</w:t>
            </w:r>
          </w:p>
        </w:tc>
        <w:tc>
          <w:tcPr>
            <w:tcW w:w="1883" w:type="dxa"/>
            <w:gridSpan w:val="2"/>
            <w:tcBorders>
              <w:top w:val="single" w:sz="4" w:space="0" w:color="auto"/>
              <w:left w:val="single" w:sz="4" w:space="0" w:color="auto"/>
            </w:tcBorders>
            <w:shd w:val="clear" w:color="auto" w:fill="FFFFFF"/>
          </w:tcPr>
          <w:p w14:paraId="07CB2884"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17DE13FE"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3DB1A80D"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3BDAF6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4BC7990"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դեղապատրաստուկի հատկությունների վրա չազդող պլազմայի նոր մաստեր-ֆայլի առաջին ներառումը</w:t>
            </w:r>
          </w:p>
        </w:tc>
        <w:tc>
          <w:tcPr>
            <w:tcW w:w="1883" w:type="dxa"/>
            <w:gridSpan w:val="2"/>
            <w:tcBorders>
              <w:top w:val="single" w:sz="4" w:space="0" w:color="auto"/>
              <w:left w:val="single" w:sz="4" w:space="0" w:color="auto"/>
            </w:tcBorders>
            <w:shd w:val="clear" w:color="auto" w:fill="FFFFFF"/>
          </w:tcPr>
          <w:p w14:paraId="1D904A0E"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375AC2A"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145AA020"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298051A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F001DEC"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պլազմայի թարմացված (ուղղված) մաստեր-ֆայլի ներառումը. փոփոխություններն ազդում են դեղապատրաստուկի հատկությունների վրա</w:t>
            </w:r>
          </w:p>
        </w:tc>
        <w:tc>
          <w:tcPr>
            <w:tcW w:w="1883" w:type="dxa"/>
            <w:gridSpan w:val="2"/>
            <w:tcBorders>
              <w:top w:val="single" w:sz="4" w:space="0" w:color="auto"/>
              <w:left w:val="single" w:sz="4" w:space="0" w:color="auto"/>
            </w:tcBorders>
            <w:shd w:val="clear" w:color="auto" w:fill="FFFFFF"/>
          </w:tcPr>
          <w:p w14:paraId="5288D674"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697F34F"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6E5E0F5D"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429BE5C9"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ACA5375"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պլազմայի թարմացված (ուղղված) մաստեր-ֆայլի ներառումը. փոփոխությունները չեն ազդում դեղապատրաստուկի հատկությունների վրա</w:t>
            </w:r>
          </w:p>
        </w:tc>
        <w:tc>
          <w:tcPr>
            <w:tcW w:w="1883" w:type="dxa"/>
            <w:gridSpan w:val="2"/>
            <w:tcBorders>
              <w:top w:val="single" w:sz="4" w:space="0" w:color="auto"/>
              <w:left w:val="single" w:sz="4" w:space="0" w:color="auto"/>
            </w:tcBorders>
            <w:shd w:val="clear" w:color="auto" w:fill="FFFFFF"/>
          </w:tcPr>
          <w:p w14:paraId="7EF081C6" w14:textId="77777777" w:rsidR="008C76E0" w:rsidRPr="003B2786" w:rsidRDefault="008C76E0" w:rsidP="008C76E0">
            <w:pPr>
              <w:pStyle w:val="Bodytext180"/>
              <w:shd w:val="clear" w:color="auto" w:fill="auto"/>
              <w:tabs>
                <w:tab w:val="left" w:pos="572"/>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6BAF73B3" w14:textId="77777777" w:rsidR="008C76E0" w:rsidRPr="003B2786" w:rsidRDefault="008C76E0" w:rsidP="008C76E0">
            <w:pPr>
              <w:pStyle w:val="Bodytext180"/>
              <w:shd w:val="clear" w:color="auto" w:fill="auto"/>
              <w:tabs>
                <w:tab w:val="left" w:pos="572"/>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44F69416" w14:textId="77777777" w:rsidR="008C76E0" w:rsidRPr="003B2786" w:rsidRDefault="008C76E0" w:rsidP="008C76E0">
            <w:pPr>
              <w:pStyle w:val="Bodytext180"/>
              <w:shd w:val="clear" w:color="auto" w:fill="auto"/>
              <w:tabs>
                <w:tab w:val="left" w:pos="572"/>
              </w:tabs>
              <w:spacing w:before="0" w:line="240" w:lineRule="auto"/>
              <w:ind w:left="159" w:right="221" w:firstLine="0"/>
              <w:jc w:val="center"/>
              <w:rPr>
                <w:rFonts w:ascii="Sylfaen" w:hAnsi="Sylfaen"/>
                <w:sz w:val="24"/>
                <w:szCs w:val="24"/>
              </w:rPr>
            </w:pPr>
            <w:r w:rsidRPr="003B2786">
              <w:rPr>
                <w:rStyle w:val="Bodytext295pt"/>
                <w:rFonts w:ascii="Sylfaen" w:hAnsi="Sylfaen"/>
                <w:sz w:val="24"/>
                <w:szCs w:val="24"/>
              </w:rPr>
              <w:t>IA</w:t>
            </w:r>
            <w:r w:rsidRPr="003B2786">
              <w:rPr>
                <w:rStyle w:val="Bodytext295pt"/>
                <w:rFonts w:ascii="Sylfaen" w:hAnsi="Sylfaen"/>
                <w:sz w:val="24"/>
                <w:szCs w:val="24"/>
                <w:vertAlign w:val="subscript"/>
              </w:rPr>
              <w:t>ԱՊ</w:t>
            </w:r>
          </w:p>
        </w:tc>
      </w:tr>
      <w:tr w:rsidR="008C76E0" w:rsidRPr="003B2786" w14:paraId="765D49E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1CB2908"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19F21005"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Թարմացված կամ փոփոխված ՊՄՖ-ի համար տրվել է Միության մարմինների ակտերին համապատասխանության հավաստագիր՝ Եվրասիական տնտեսական հանձնաժողովի կողմից հաստատվող՝ բժշկական կիրառման համար նախատեսված դեղամիջոցների գրանցման </w:t>
            </w:r>
            <w:r w:rsidR="00C54D75">
              <w:rPr>
                <w:rStyle w:val="Bodytext1811pt"/>
                <w:rFonts w:ascii="Sylfaen" w:hAnsi="Sylfaen"/>
                <w:sz w:val="24"/>
                <w:szCs w:val="24"/>
              </w:rPr>
              <w:t>և</w:t>
            </w:r>
            <w:r w:rsidRPr="003B2786">
              <w:rPr>
                <w:rStyle w:val="Bodytext1811pt"/>
                <w:rFonts w:ascii="Sylfaen" w:hAnsi="Sylfaen"/>
                <w:sz w:val="24"/>
                <w:szCs w:val="24"/>
              </w:rPr>
              <w:t xml:space="preserve"> փորձաքննության կանոնների թիվ 1 հավելվածին համապատասխան:</w:t>
            </w:r>
          </w:p>
        </w:tc>
      </w:tr>
      <w:tr w:rsidR="008C76E0" w:rsidRPr="003B2786" w14:paraId="0F1E5F81"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73E85A89"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3E6284A"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Հայտարարագիր այն մասին, որ ՊՄՖ-ի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հաշվետվությունն ամբողջությամբ կիրառելի են գրանցված դեղապատրաստուկի նկատմամբ. ՊՄՖ-ի իրավատերը ԳՀ-ի իրավատիրոջը (եթե ԳՀ-ի իրավատերը </w:t>
            </w:r>
            <w:r w:rsidR="00C54D75">
              <w:rPr>
                <w:rStyle w:val="Bodytext1811pt"/>
                <w:rFonts w:ascii="Sylfaen" w:hAnsi="Sylfaen"/>
                <w:sz w:val="24"/>
                <w:szCs w:val="24"/>
              </w:rPr>
              <w:t>և</w:t>
            </w:r>
            <w:r w:rsidRPr="003B2786">
              <w:rPr>
                <w:rStyle w:val="Bodytext1811pt"/>
                <w:rFonts w:ascii="Sylfaen" w:hAnsi="Sylfaen"/>
                <w:sz w:val="24"/>
                <w:szCs w:val="24"/>
              </w:rPr>
              <w:t xml:space="preserve"> ՊՄՖ-ի իրավատերը մի</w:t>
            </w:r>
            <w:r w:rsidR="00C54D75">
              <w:rPr>
                <w:rStyle w:val="Bodytext1811pt"/>
                <w:rFonts w:ascii="Sylfaen" w:hAnsi="Sylfaen"/>
                <w:sz w:val="24"/>
                <w:szCs w:val="24"/>
              </w:rPr>
              <w:t>և</w:t>
            </w:r>
            <w:r w:rsidRPr="003B2786">
              <w:rPr>
                <w:rStyle w:val="Bodytext1811pt"/>
                <w:rFonts w:ascii="Sylfaen" w:hAnsi="Sylfaen"/>
                <w:sz w:val="24"/>
                <w:szCs w:val="24"/>
              </w:rPr>
              <w:t xml:space="preserve">նույն անձը չեն) ներկայացրել է ՊՄՖ-ի հավաստագիրը, փորձագիտական հաշվետվությունը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ՊՄՖ-ի դոսյեն. ՊՄՖ-ի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հաշվետվությունը փոխարինում են տվյալ դեղապատրաստուկի համար ՊՄՖ-ի նախորդ փաստաթղթերին:</w:t>
            </w:r>
          </w:p>
          <w:p w14:paraId="1FA475BA"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ՊՄՖ-ի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հաշվետվությունը:</w:t>
            </w:r>
          </w:p>
          <w:p w14:paraId="0345280E"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Փորձագետի հայտարարագիրը, որով բնութագրվում են հավաստագրված ՊՄՖ-ի միջոցով կատարվող փոփոխությունները,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գնահատվում է դեղապատրաստուկների, ներառյալ՝ արտադրանքով պայմանավորված ռիսկերի գնահատման վրա դրանց հնարավոր ազդեցությունը:</w:t>
            </w:r>
          </w:p>
        </w:tc>
      </w:tr>
      <w:tr w:rsidR="008C76E0" w:rsidRPr="003B2786" w14:paraId="64ABBCF9"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B42971C"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4.</w:t>
            </w:r>
            <w:r w:rsidRPr="003B2786">
              <w:rPr>
                <w:rStyle w:val="Bodytext1811pt"/>
                <w:rFonts w:ascii="Sylfaen" w:hAnsi="Sylfaen"/>
                <w:sz w:val="24"/>
                <w:szCs w:val="24"/>
              </w:rPr>
              <w:tab/>
              <w:t>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 xml:space="preserve">ում անհրաժեշտ է հստակ արտահայտել գրանցման դոսյեում ՊՄՖ-ի «գործող»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հավաստագրերը (ծածկագրի համարը): Եթե կիրառելի է, 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ում հարկավոր է նա</w:t>
            </w:r>
            <w:r w:rsidR="00C54D75">
              <w:rPr>
                <w:rStyle w:val="Bodytext1811pt"/>
                <w:rFonts w:ascii="Sylfaen" w:hAnsi="Sylfaen"/>
                <w:sz w:val="24"/>
                <w:szCs w:val="24"/>
              </w:rPr>
              <w:t>և</w:t>
            </w:r>
            <w:r w:rsidRPr="003B2786">
              <w:rPr>
                <w:rStyle w:val="Bodytext1811pt"/>
                <w:rFonts w:ascii="Sylfaen" w:hAnsi="Sylfaen"/>
                <w:sz w:val="24"/>
                <w:szCs w:val="24"/>
              </w:rPr>
              <w:t xml:space="preserve"> հստակ թվարկել մյուս բոլոր ՊՄՖ-երը, որոնց վրա հիմնվում է դեղապատրաստուկը, նույնիսկ եթե դրանք դիմումի առարկա չեն հանդիսանում:</w:t>
            </w:r>
          </w:p>
        </w:tc>
      </w:tr>
      <w:tr w:rsidR="008C76E0" w:rsidRPr="003B2786" w14:paraId="6D18686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B7D9851" w14:textId="77777777" w:rsidR="008C76E0" w:rsidRPr="008C76E0" w:rsidRDefault="008C76E0" w:rsidP="008C76E0">
            <w:pPr>
              <w:pStyle w:val="Bodytext180"/>
              <w:shd w:val="clear" w:color="auto" w:fill="auto"/>
              <w:tabs>
                <w:tab w:val="left" w:pos="128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Բ.V.ա.2.</w:t>
            </w:r>
            <w:r w:rsidRPr="003B2786">
              <w:rPr>
                <w:rStyle w:val="Bodytext1811pt"/>
                <w:rFonts w:ascii="Sylfaen" w:hAnsi="Sylfaen"/>
                <w:sz w:val="24"/>
                <w:szCs w:val="24"/>
              </w:rPr>
              <w:tab/>
              <w:t>Պատվաստանյութային հակածնի նոր, թարմացված կամ ուղղված մաստեր-ֆայլի ներառումը դեղապատրաստուկի գրանցման դոսյեում (ՊՀՄՖ-ի՝ 2-րդ փուլի ընթացակարգը)</w:t>
            </w:r>
          </w:p>
        </w:tc>
        <w:tc>
          <w:tcPr>
            <w:tcW w:w="1883" w:type="dxa"/>
            <w:gridSpan w:val="2"/>
            <w:tcBorders>
              <w:top w:val="single" w:sz="4" w:space="0" w:color="auto"/>
              <w:left w:val="single" w:sz="4" w:space="0" w:color="auto"/>
            </w:tcBorders>
            <w:shd w:val="clear" w:color="auto" w:fill="FFFFFF"/>
          </w:tcPr>
          <w:p w14:paraId="0C491892" w14:textId="77777777" w:rsidR="008C76E0" w:rsidRPr="003B2786" w:rsidRDefault="008C76E0" w:rsidP="008C76E0">
            <w:pPr>
              <w:pStyle w:val="Bodytext180"/>
              <w:shd w:val="clear" w:color="auto" w:fill="auto"/>
              <w:tabs>
                <w:tab w:val="left" w:pos="57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B4054E8" w14:textId="77777777" w:rsidR="008C76E0" w:rsidRPr="003B2786" w:rsidRDefault="008C76E0" w:rsidP="008C76E0">
            <w:pPr>
              <w:pStyle w:val="Bodytext180"/>
              <w:shd w:val="clear" w:color="auto" w:fill="auto"/>
              <w:tabs>
                <w:tab w:val="left" w:pos="57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E062725" w14:textId="77777777" w:rsidR="008C76E0" w:rsidRPr="003B2786" w:rsidRDefault="008C76E0" w:rsidP="008C76E0">
            <w:pPr>
              <w:pStyle w:val="Bodytext180"/>
              <w:shd w:val="clear" w:color="auto" w:fill="auto"/>
              <w:tabs>
                <w:tab w:val="left" w:pos="57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213FDD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C6AB0A1"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պատվաստանյութային հակածնի նոր մաստեր-ֆայլի առաջին ներառումը</w:t>
            </w:r>
          </w:p>
        </w:tc>
        <w:tc>
          <w:tcPr>
            <w:tcW w:w="1883" w:type="dxa"/>
            <w:gridSpan w:val="2"/>
            <w:tcBorders>
              <w:top w:val="single" w:sz="4" w:space="0" w:color="auto"/>
              <w:left w:val="single" w:sz="4" w:space="0" w:color="auto"/>
            </w:tcBorders>
            <w:shd w:val="clear" w:color="auto" w:fill="FFFFFF"/>
          </w:tcPr>
          <w:p w14:paraId="0406EFBA"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192760E1"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16BC54F5"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96FA4B2"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3FDFBD7" w14:textId="77777777" w:rsidR="008C76E0" w:rsidRPr="008C76E0" w:rsidRDefault="008C76E0" w:rsidP="008C76E0">
            <w:pPr>
              <w:pStyle w:val="Bodytext180"/>
              <w:shd w:val="clear" w:color="auto" w:fill="auto"/>
              <w:tabs>
                <w:tab w:val="left" w:pos="57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պատվաստանյութային հակածնի թարմացված (ուղղված) մաստեր-ֆայլի ներառումը. փոփոխություններն ազդում են դեղապատրաստուկի հատկությունների վրա</w:t>
            </w:r>
          </w:p>
        </w:tc>
        <w:tc>
          <w:tcPr>
            <w:tcW w:w="1883" w:type="dxa"/>
            <w:gridSpan w:val="2"/>
            <w:tcBorders>
              <w:top w:val="single" w:sz="4" w:space="0" w:color="auto"/>
              <w:left w:val="single" w:sz="4" w:space="0" w:color="auto"/>
            </w:tcBorders>
            <w:shd w:val="clear" w:color="auto" w:fill="FFFFFF"/>
          </w:tcPr>
          <w:p w14:paraId="21B36609" w14:textId="77777777" w:rsidR="008C76E0" w:rsidRPr="003B2786" w:rsidRDefault="008C76E0" w:rsidP="008C76E0">
            <w:pPr>
              <w:pStyle w:val="Bodytext180"/>
              <w:shd w:val="clear" w:color="auto" w:fill="auto"/>
              <w:tabs>
                <w:tab w:val="left" w:pos="57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A5E3591" w14:textId="77777777" w:rsidR="008C76E0" w:rsidRPr="003B2786" w:rsidRDefault="008C76E0" w:rsidP="008C76E0">
            <w:pPr>
              <w:pStyle w:val="Bodytext180"/>
              <w:shd w:val="clear" w:color="auto" w:fill="auto"/>
              <w:tabs>
                <w:tab w:val="left" w:pos="57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0B39F4C3" w14:textId="77777777" w:rsidR="008C76E0" w:rsidRPr="003B2786" w:rsidRDefault="008C76E0" w:rsidP="008C76E0">
            <w:pPr>
              <w:pStyle w:val="Bodytext180"/>
              <w:shd w:val="clear" w:color="auto" w:fill="auto"/>
              <w:tabs>
                <w:tab w:val="left" w:pos="57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5C55228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B0E21EB"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պատվաստանյութային հակածնի թարմացված (ուղղված) մաստեր-ֆայլի ներառումը. փոփոխությունները չեն ազդում դեղապատրաստուկի հատկությունների վրա</w:t>
            </w:r>
          </w:p>
        </w:tc>
        <w:tc>
          <w:tcPr>
            <w:tcW w:w="1883" w:type="dxa"/>
            <w:gridSpan w:val="2"/>
            <w:tcBorders>
              <w:top w:val="single" w:sz="4" w:space="0" w:color="auto"/>
              <w:left w:val="single" w:sz="4" w:space="0" w:color="auto"/>
            </w:tcBorders>
            <w:shd w:val="clear" w:color="auto" w:fill="FFFFFF"/>
          </w:tcPr>
          <w:p w14:paraId="48382BBB" w14:textId="77777777" w:rsidR="008C76E0" w:rsidRPr="003B2786" w:rsidRDefault="008C76E0" w:rsidP="008C76E0">
            <w:pPr>
              <w:pStyle w:val="Bodytext180"/>
              <w:shd w:val="clear" w:color="auto" w:fill="auto"/>
              <w:tabs>
                <w:tab w:val="left" w:pos="572"/>
              </w:tabs>
              <w:spacing w:before="0" w:line="288"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DF28C56" w14:textId="77777777" w:rsidR="008C76E0" w:rsidRPr="003B2786" w:rsidRDefault="008C76E0" w:rsidP="008C76E0">
            <w:pPr>
              <w:pStyle w:val="Bodytext180"/>
              <w:shd w:val="clear" w:color="auto" w:fill="auto"/>
              <w:tabs>
                <w:tab w:val="left" w:pos="572"/>
              </w:tabs>
              <w:spacing w:before="0" w:line="288" w:lineRule="auto"/>
              <w:ind w:left="159" w:right="221" w:firstLine="0"/>
              <w:jc w:val="center"/>
              <w:rPr>
                <w:rFonts w:ascii="Sylfaen" w:hAnsi="Sylfaen"/>
                <w:b w:val="0"/>
                <w:sz w:val="24"/>
                <w:szCs w:val="24"/>
              </w:rPr>
            </w:pPr>
            <w:r w:rsidRPr="003B2786">
              <w:rPr>
                <w:rStyle w:val="Bodytext1811pt"/>
                <w:rFonts w:ascii="Sylfaen" w:hAnsi="Sylfaen"/>
                <w:sz w:val="24"/>
                <w:szCs w:val="24"/>
              </w:rPr>
              <w:t>1, 2, 3, 4</w:t>
            </w:r>
          </w:p>
        </w:tc>
        <w:tc>
          <w:tcPr>
            <w:tcW w:w="1843" w:type="dxa"/>
            <w:gridSpan w:val="2"/>
            <w:tcBorders>
              <w:top w:val="single" w:sz="4" w:space="0" w:color="auto"/>
              <w:left w:val="single" w:sz="4" w:space="0" w:color="auto"/>
              <w:right w:val="single" w:sz="4" w:space="0" w:color="auto"/>
            </w:tcBorders>
            <w:shd w:val="clear" w:color="auto" w:fill="FFFFFF"/>
          </w:tcPr>
          <w:p w14:paraId="4CFE8C31" w14:textId="77777777" w:rsidR="008C76E0" w:rsidRPr="003B2786" w:rsidRDefault="008C76E0" w:rsidP="008C76E0">
            <w:pPr>
              <w:pStyle w:val="Bodytext180"/>
              <w:shd w:val="clear" w:color="auto" w:fill="auto"/>
              <w:tabs>
                <w:tab w:val="left" w:pos="572"/>
              </w:tabs>
              <w:spacing w:before="0" w:line="288" w:lineRule="auto"/>
              <w:ind w:left="159" w:right="221" w:firstLine="0"/>
              <w:jc w:val="center"/>
              <w:rPr>
                <w:rFonts w:ascii="Sylfaen" w:hAnsi="Sylfaen"/>
                <w:b w:val="0"/>
                <w:sz w:val="24"/>
                <w:szCs w:val="24"/>
              </w:rPr>
            </w:pPr>
            <w:r w:rsidRPr="003B2786">
              <w:rPr>
                <w:rStyle w:val="Bodytext1810pt"/>
                <w:rFonts w:ascii="Sylfaen" w:hAnsi="Sylfaen"/>
                <w:sz w:val="24"/>
                <w:szCs w:val="24"/>
              </w:rPr>
              <w:t>IA</w:t>
            </w:r>
            <w:r w:rsidRPr="003B2786">
              <w:rPr>
                <w:rStyle w:val="Bodytext1810pt"/>
                <w:rFonts w:ascii="Sylfaen" w:hAnsi="Sylfaen"/>
                <w:sz w:val="24"/>
                <w:szCs w:val="24"/>
                <w:vertAlign w:val="subscript"/>
              </w:rPr>
              <w:t>ԱՊ</w:t>
            </w:r>
          </w:p>
        </w:tc>
      </w:tr>
      <w:tr w:rsidR="008C76E0" w:rsidRPr="003B2786" w14:paraId="1CD60861"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91B1A2B"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2FC7BE23"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Թարմացված կամ փոփոխված ՊՀՄՖ-ի համար տրվել է Միության օրենսդրությանը համապատասխանության հավաստագիր՝ Եվրասիական տնտեսական միության շրջանակներում դեղապատրաստուկների գրանցման </w:t>
            </w:r>
            <w:r w:rsidR="00C54D75">
              <w:rPr>
                <w:rStyle w:val="Bodytext1811pt"/>
                <w:rFonts w:ascii="Sylfaen" w:hAnsi="Sylfaen"/>
                <w:sz w:val="24"/>
                <w:szCs w:val="24"/>
              </w:rPr>
              <w:t>և</w:t>
            </w:r>
            <w:r w:rsidRPr="003B2786">
              <w:rPr>
                <w:rStyle w:val="Bodytext1811pt"/>
                <w:rFonts w:ascii="Sylfaen" w:hAnsi="Sylfaen"/>
                <w:sz w:val="24"/>
                <w:szCs w:val="24"/>
              </w:rPr>
              <w:t xml:space="preserve"> փորձաքննության կանոնների թիվ 1 հավելվածին համապատասխան:</w:t>
            </w:r>
          </w:p>
        </w:tc>
      </w:tr>
      <w:tr w:rsidR="008C76E0" w:rsidRPr="003B2786" w14:paraId="2D573665"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A0C2589"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F08F0BB"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ՊՀՄՖ-ի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հաշվետվությունն ամբողջությամբ կիրառելի են գրանցված դեղապատրաստուկի նկատմամբ, ՊՀՄՖ-ի իրավատերը ԳՀ-ի իրավատիրոջը (եթե ԳՀ-ի իրավատերը </w:t>
            </w:r>
            <w:r w:rsidR="00C54D75">
              <w:rPr>
                <w:rStyle w:val="Bodytext1811pt"/>
                <w:rFonts w:ascii="Sylfaen" w:hAnsi="Sylfaen"/>
                <w:sz w:val="24"/>
                <w:szCs w:val="24"/>
              </w:rPr>
              <w:t>և</w:t>
            </w:r>
            <w:r w:rsidRPr="003B2786">
              <w:rPr>
                <w:rStyle w:val="Bodytext1811pt"/>
                <w:rFonts w:ascii="Sylfaen" w:hAnsi="Sylfaen"/>
                <w:sz w:val="24"/>
                <w:szCs w:val="24"/>
              </w:rPr>
              <w:t xml:space="preserve"> ՊՀՄՖ-ի իրավատերը մի</w:t>
            </w:r>
            <w:r w:rsidR="00C54D75">
              <w:rPr>
                <w:rStyle w:val="Bodytext1811pt"/>
                <w:rFonts w:ascii="Sylfaen" w:hAnsi="Sylfaen"/>
                <w:sz w:val="24"/>
                <w:szCs w:val="24"/>
              </w:rPr>
              <w:t>և</w:t>
            </w:r>
            <w:r w:rsidRPr="003B2786">
              <w:rPr>
                <w:rStyle w:val="Bodytext1811pt"/>
                <w:rFonts w:ascii="Sylfaen" w:hAnsi="Sylfaen"/>
                <w:sz w:val="24"/>
                <w:szCs w:val="24"/>
              </w:rPr>
              <w:t xml:space="preserve">նույն անձը չեն) ներկայացրել է ՊՀՄՖ-ի հավաստագիրը, փորձագիտական հաշվետվությունը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ՊՀՄՖ-ի դոսյեն. ՊՀՄՖ-ի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հաշվետվությունը փոխարինում են տվյալ դեղապատրաստուկի համար ՊՀՄՖ-ի նախորդ փաստաթղթերին:</w:t>
            </w:r>
          </w:p>
          <w:p w14:paraId="3508085B"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ՊՀՄՖ-ի հավաստագիրը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փորձագիտական հաշվետվությունը:</w:t>
            </w:r>
          </w:p>
          <w:p w14:paraId="10355D68"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Փորձագետի հայտարարագիրը, որով բնութագրվում են հավաստագրված ՊՀՄՖ-ի միջոցով կատարվող փոփոխությունները,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գնահատվում է դեղապատրաստուկների, ներառյալ՝ արտադրանքով պայմանավորված ռիսկերի գնահատման վրա դրանց հնարավոր ազդեցությունը:</w:t>
            </w:r>
          </w:p>
          <w:p w14:paraId="6A4D2A28" w14:textId="77777777" w:rsidR="008C76E0" w:rsidRPr="008C76E0" w:rsidRDefault="008C76E0" w:rsidP="008C76E0">
            <w:pPr>
              <w:pStyle w:val="Bodytext180"/>
              <w:shd w:val="clear" w:color="auto" w:fill="auto"/>
              <w:tabs>
                <w:tab w:val="left" w:pos="572"/>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 xml:space="preserve">ում անհրաժեշտ է հստակ արտահայտել գրանցման դոսյեում ՊՀՄՖ-ի «գործող» </w:t>
            </w:r>
            <w:r w:rsidR="00C54D75">
              <w:rPr>
                <w:rStyle w:val="Bodytext1811pt"/>
                <w:rFonts w:ascii="Sylfaen" w:hAnsi="Sylfaen"/>
                <w:sz w:val="24"/>
                <w:szCs w:val="24"/>
              </w:rPr>
              <w:t>և</w:t>
            </w:r>
            <w:r w:rsidRPr="003B2786">
              <w:rPr>
                <w:rStyle w:val="Bodytext1811pt"/>
                <w:rFonts w:ascii="Sylfaen" w:hAnsi="Sylfaen"/>
                <w:sz w:val="24"/>
                <w:szCs w:val="24"/>
              </w:rPr>
              <w:t xml:space="preserve"> «առաջարկվող» հավաստագրերը (ծածկագրի համարը): Եթե կիրառելի է, փոփոխություններ կատարելու մասին դիմումի ձ</w:t>
            </w:r>
            <w:r w:rsidR="00C54D75">
              <w:rPr>
                <w:rStyle w:val="Bodytext1811pt"/>
                <w:rFonts w:ascii="Sylfaen" w:hAnsi="Sylfaen"/>
                <w:sz w:val="24"/>
                <w:szCs w:val="24"/>
              </w:rPr>
              <w:t>և</w:t>
            </w:r>
            <w:r w:rsidRPr="003B2786">
              <w:rPr>
                <w:rStyle w:val="Bodytext1811pt"/>
                <w:rFonts w:ascii="Sylfaen" w:hAnsi="Sylfaen"/>
                <w:sz w:val="24"/>
                <w:szCs w:val="24"/>
              </w:rPr>
              <w:t>ում հարկավոր է նա</w:t>
            </w:r>
            <w:r w:rsidR="00C54D75">
              <w:rPr>
                <w:rStyle w:val="Bodytext1811pt"/>
                <w:rFonts w:ascii="Sylfaen" w:hAnsi="Sylfaen"/>
                <w:sz w:val="24"/>
                <w:szCs w:val="24"/>
              </w:rPr>
              <w:t>և</w:t>
            </w:r>
            <w:r w:rsidRPr="003B2786">
              <w:rPr>
                <w:rStyle w:val="Bodytext1811pt"/>
                <w:rFonts w:ascii="Sylfaen" w:hAnsi="Sylfaen"/>
                <w:sz w:val="24"/>
                <w:szCs w:val="24"/>
              </w:rPr>
              <w:t xml:space="preserve"> հստակ թվարկել մյուս բոլոր ՊՀՄՖ-երը, որոնց վրա հիմնվում է դեղապատրաստուկը, </w:t>
            </w:r>
            <w:r w:rsidRPr="003B2786">
              <w:rPr>
                <w:rStyle w:val="Bodytext1811pt"/>
                <w:rFonts w:ascii="Sylfaen" w:hAnsi="Sylfaen"/>
                <w:sz w:val="24"/>
                <w:szCs w:val="24"/>
              </w:rPr>
              <w:lastRenderedPageBreak/>
              <w:t>նույնիսկ եթե դրանք դիմումի առարկա չեն հանդիսանում:</w:t>
            </w:r>
          </w:p>
        </w:tc>
      </w:tr>
      <w:tr w:rsidR="008C76E0" w:rsidRPr="003B2786" w14:paraId="60701792" w14:textId="77777777" w:rsidTr="004A52D9">
        <w:trPr>
          <w:jc w:val="center"/>
        </w:trPr>
        <w:tc>
          <w:tcPr>
            <w:tcW w:w="10694" w:type="dxa"/>
            <w:gridSpan w:val="10"/>
            <w:tcBorders>
              <w:top w:val="single" w:sz="4" w:space="0" w:color="auto"/>
            </w:tcBorders>
            <w:shd w:val="clear" w:color="auto" w:fill="FFFFFF"/>
            <w:vAlign w:val="bottom"/>
          </w:tcPr>
          <w:p w14:paraId="05CE8FD2" w14:textId="77777777" w:rsidR="008C76E0" w:rsidRPr="008C76E0" w:rsidRDefault="008C76E0" w:rsidP="008C76E0">
            <w:pPr>
              <w:pStyle w:val="Bodytext180"/>
              <w:shd w:val="clear" w:color="auto" w:fill="auto"/>
              <w:tabs>
                <w:tab w:val="left" w:pos="1158"/>
              </w:tabs>
              <w:spacing w:before="0" w:after="120" w:line="240" w:lineRule="auto"/>
              <w:ind w:left="159" w:right="222" w:firstLine="0"/>
              <w:jc w:val="both"/>
              <w:rPr>
                <w:rFonts w:ascii="Sylfaen" w:hAnsi="Sylfaen"/>
                <w:b w:val="0"/>
                <w:i/>
                <w:sz w:val="24"/>
                <w:szCs w:val="24"/>
                <w:lang w:val="hy-AM"/>
              </w:rPr>
            </w:pPr>
            <w:r w:rsidRPr="003B2786">
              <w:rPr>
                <w:rStyle w:val="Bodytext295pt"/>
                <w:rFonts w:ascii="Sylfaen" w:hAnsi="Sylfaen"/>
                <w:sz w:val="24"/>
                <w:szCs w:val="24"/>
              </w:rPr>
              <w:lastRenderedPageBreak/>
              <w:t>Բ.V.բ)</w:t>
            </w:r>
            <w:r w:rsidRPr="003B2786">
              <w:rPr>
                <w:rStyle w:val="Bodytext295pt"/>
                <w:rFonts w:ascii="Sylfaen" w:hAnsi="Sylfaen"/>
                <w:sz w:val="24"/>
                <w:szCs w:val="24"/>
              </w:rPr>
              <w:tab/>
              <w:t>Փորձագիտական կոմիտե դիմելը</w:t>
            </w:r>
          </w:p>
        </w:tc>
      </w:tr>
      <w:tr w:rsidR="008C76E0" w:rsidRPr="003B2786" w14:paraId="029F4972"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745234A" w14:textId="77777777" w:rsidR="008C76E0" w:rsidRPr="008C76E0" w:rsidRDefault="008C76E0" w:rsidP="008C76E0">
            <w:pPr>
              <w:pStyle w:val="Bodytext180"/>
              <w:shd w:val="clear" w:color="auto" w:fill="auto"/>
              <w:tabs>
                <w:tab w:val="left" w:pos="1158"/>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Բ.V.բ.1.</w:t>
            </w:r>
            <w:r w:rsidRPr="003B2786">
              <w:rPr>
                <w:rStyle w:val="Bodytext1811pt"/>
                <w:rFonts w:ascii="Sylfaen" w:hAnsi="Sylfaen"/>
                <w:sz w:val="24"/>
                <w:szCs w:val="24"/>
              </w:rPr>
              <w:tab/>
              <w:t xml:space="preserve">Փորձագիտական կոմիտեի եզրակացության իրականացմանն ուղղված՝ որակի վերաբերյալ դոսյեի թարմացումը </w:t>
            </w:r>
          </w:p>
        </w:tc>
        <w:tc>
          <w:tcPr>
            <w:tcW w:w="1883" w:type="dxa"/>
            <w:gridSpan w:val="2"/>
            <w:tcBorders>
              <w:top w:val="single" w:sz="4" w:space="0" w:color="auto"/>
              <w:left w:val="single" w:sz="4" w:space="0" w:color="auto"/>
            </w:tcBorders>
            <w:shd w:val="clear" w:color="auto" w:fill="FFFFFF"/>
          </w:tcPr>
          <w:p w14:paraId="4267B343"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F54E1F7"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66D854B"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36950E3"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33D13A8F"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 իրականացնում է Փորձագիտական կոմիտեի եզրակացությունը</w:t>
            </w:r>
          </w:p>
        </w:tc>
        <w:tc>
          <w:tcPr>
            <w:tcW w:w="1883" w:type="dxa"/>
            <w:gridSpan w:val="2"/>
            <w:tcBorders>
              <w:top w:val="single" w:sz="4" w:space="0" w:color="auto"/>
              <w:left w:val="single" w:sz="4" w:space="0" w:color="auto"/>
              <w:bottom w:val="single" w:sz="4" w:space="0" w:color="auto"/>
            </w:tcBorders>
            <w:shd w:val="clear" w:color="auto" w:fill="FFFFFF"/>
          </w:tcPr>
          <w:p w14:paraId="7CC056DD"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bottom w:val="single" w:sz="4" w:space="0" w:color="auto"/>
            </w:tcBorders>
            <w:shd w:val="clear" w:color="auto" w:fill="FFFFFF"/>
          </w:tcPr>
          <w:p w14:paraId="79D16819"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193852F"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0pt"/>
                <w:rFonts w:ascii="Sylfaen" w:hAnsi="Sylfaen"/>
                <w:sz w:val="24"/>
                <w:szCs w:val="24"/>
              </w:rPr>
              <w:t>IA</w:t>
            </w:r>
            <w:r w:rsidRPr="003B2786">
              <w:rPr>
                <w:rStyle w:val="Bodytext1810pt"/>
                <w:rFonts w:ascii="Sylfaen" w:hAnsi="Sylfaen"/>
                <w:sz w:val="24"/>
                <w:szCs w:val="24"/>
                <w:vertAlign w:val="subscript"/>
              </w:rPr>
              <w:t>ԱՊ</w:t>
            </w:r>
          </w:p>
        </w:tc>
      </w:tr>
      <w:tr w:rsidR="008C76E0" w:rsidRPr="003B2786" w14:paraId="6ED5A453"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A50F533"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որակի վերաբերյալ դոսյեի ներդաշնակեցումը Փորձագիտական կոմիտեի եզրակացության մաս չէր կազմում, </w:t>
            </w:r>
            <w:r w:rsidR="00C54D75">
              <w:rPr>
                <w:rStyle w:val="Bodytext1811pt"/>
                <w:rFonts w:ascii="Sylfaen" w:hAnsi="Sylfaen"/>
                <w:sz w:val="24"/>
                <w:szCs w:val="24"/>
              </w:rPr>
              <w:t>և</w:t>
            </w:r>
            <w:r w:rsidRPr="003B2786">
              <w:rPr>
                <w:rStyle w:val="Bodytext1811pt"/>
                <w:rFonts w:ascii="Sylfaen" w:hAnsi="Sylfaen"/>
                <w:sz w:val="24"/>
                <w:szCs w:val="24"/>
              </w:rPr>
              <w:t xml:space="preserve"> թարմացումն ուղղված է դրա ներդաշնակեցմանը</w:t>
            </w:r>
          </w:p>
        </w:tc>
        <w:tc>
          <w:tcPr>
            <w:tcW w:w="1883" w:type="dxa"/>
            <w:gridSpan w:val="2"/>
            <w:tcBorders>
              <w:top w:val="single" w:sz="4" w:space="0" w:color="auto"/>
              <w:left w:val="single" w:sz="4" w:space="0" w:color="auto"/>
            </w:tcBorders>
            <w:shd w:val="clear" w:color="auto" w:fill="FFFFFF"/>
          </w:tcPr>
          <w:p w14:paraId="4EDB6C1C"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2CF4C0E"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75A5A5C6"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2pt"/>
                <w:rFonts w:ascii="Sylfaen" w:hAnsi="Sylfaen"/>
              </w:rPr>
              <w:t>II</w:t>
            </w:r>
          </w:p>
        </w:tc>
      </w:tr>
      <w:tr w:rsidR="008C76E0" w:rsidRPr="003B2786" w14:paraId="29093A7E"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50DE6B0"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Պայմանը</w:t>
            </w:r>
          </w:p>
          <w:p w14:paraId="51579C05"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Արդյունքը հետագա փորձաքննություն չի պահանջում:</w:t>
            </w:r>
          </w:p>
        </w:tc>
      </w:tr>
      <w:tr w:rsidR="008C76E0" w:rsidRPr="003B2786" w14:paraId="494F6AF3"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6215C2F9"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7E5A411"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Փորձագիտական կոմիտեի դիտարկվող եզրակացությանը:</w:t>
            </w:r>
          </w:p>
          <w:p w14:paraId="3FD429AB"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Դոսյեում անհրաժեշտ է հստակ նշել այն փոփոխությունները, որոնք կատարվել են Փորձագիտական կոմիտե դիմելու ընթացակարգի ընթացքում:</w:t>
            </w:r>
          </w:p>
        </w:tc>
      </w:tr>
      <w:tr w:rsidR="008C76E0" w:rsidRPr="003B2786" w14:paraId="235E66D9" w14:textId="77777777" w:rsidTr="004A52D9">
        <w:trPr>
          <w:jc w:val="center"/>
        </w:trPr>
        <w:tc>
          <w:tcPr>
            <w:tcW w:w="10694" w:type="dxa"/>
            <w:gridSpan w:val="10"/>
            <w:tcBorders>
              <w:top w:val="single" w:sz="4" w:space="0" w:color="auto"/>
            </w:tcBorders>
            <w:shd w:val="clear" w:color="auto" w:fill="FFFFFF"/>
            <w:vAlign w:val="bottom"/>
          </w:tcPr>
          <w:p w14:paraId="06C6C05A" w14:textId="77777777" w:rsidR="008C76E0" w:rsidRPr="003B2786" w:rsidRDefault="008C76E0" w:rsidP="008C76E0">
            <w:pPr>
              <w:pStyle w:val="Bodytext180"/>
              <w:shd w:val="clear" w:color="auto" w:fill="auto"/>
              <w:tabs>
                <w:tab w:val="left" w:pos="1142"/>
              </w:tabs>
              <w:spacing w:before="0" w:after="120" w:line="240" w:lineRule="auto"/>
              <w:ind w:left="159" w:right="222" w:firstLine="0"/>
              <w:jc w:val="both"/>
              <w:rPr>
                <w:rStyle w:val="Bodytext1812pt"/>
                <w:rFonts w:ascii="Sylfaen" w:hAnsi="Sylfaen"/>
              </w:rPr>
            </w:pPr>
            <w:r w:rsidRPr="003B2786">
              <w:rPr>
                <w:rStyle w:val="Bodytext1812pt"/>
                <w:rFonts w:ascii="Sylfaen" w:hAnsi="Sylfaen"/>
              </w:rPr>
              <w:t>Գ.</w:t>
            </w:r>
            <w:r w:rsidRPr="003B2786">
              <w:rPr>
                <w:rStyle w:val="Bodytext1812pt"/>
                <w:rFonts w:ascii="Sylfaen" w:hAnsi="Sylfaen"/>
              </w:rPr>
              <w:tab/>
              <w:t xml:space="preserve">Անվտանգության, արդյունավետության </w:t>
            </w:r>
            <w:r w:rsidR="00C54D75">
              <w:rPr>
                <w:rStyle w:val="Bodytext1812pt"/>
                <w:rFonts w:ascii="Sylfaen" w:hAnsi="Sylfaen"/>
              </w:rPr>
              <w:t>և</w:t>
            </w:r>
            <w:r w:rsidRPr="003B2786">
              <w:rPr>
                <w:rStyle w:val="Bodytext1812pt"/>
                <w:rFonts w:ascii="Sylfaen" w:hAnsi="Sylfaen"/>
              </w:rPr>
              <w:t xml:space="preserve"> դեղազգոնության փոփոխությունը </w:t>
            </w:r>
          </w:p>
          <w:p w14:paraId="11CDE888" w14:textId="77777777" w:rsidR="008C76E0" w:rsidRPr="008C76E0" w:rsidRDefault="008C76E0" w:rsidP="008C76E0">
            <w:pPr>
              <w:pStyle w:val="Bodytext180"/>
              <w:shd w:val="clear" w:color="auto" w:fill="auto"/>
              <w:tabs>
                <w:tab w:val="left" w:pos="1142"/>
              </w:tabs>
              <w:spacing w:before="0" w:after="120" w:line="240" w:lineRule="auto"/>
              <w:ind w:left="159" w:right="222" w:firstLine="0"/>
              <w:jc w:val="both"/>
              <w:rPr>
                <w:rFonts w:ascii="Sylfaen" w:hAnsi="Sylfaen"/>
                <w:b w:val="0"/>
                <w:sz w:val="24"/>
                <w:szCs w:val="24"/>
                <w:lang w:val="hy-AM"/>
              </w:rPr>
            </w:pPr>
            <w:r w:rsidRPr="003B2786">
              <w:rPr>
                <w:rStyle w:val="Bodytext1812pt"/>
                <w:rFonts w:ascii="Sylfaen" w:hAnsi="Sylfaen"/>
              </w:rPr>
              <w:t>Գ.I.</w:t>
            </w:r>
            <w:r w:rsidRPr="003B2786">
              <w:rPr>
                <w:rStyle w:val="Bodytext1812pt"/>
                <w:rFonts w:ascii="Sylfaen" w:hAnsi="Sylfaen"/>
              </w:rPr>
              <w:tab/>
              <w:t>Բժշկական կիրառման համար նախատեսված դեղապատրաստուկներ</w:t>
            </w:r>
          </w:p>
        </w:tc>
      </w:tr>
      <w:tr w:rsidR="008C76E0" w:rsidRPr="003B2786" w14:paraId="65378091"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79C6A92" w14:textId="77777777" w:rsidR="008C76E0" w:rsidRPr="008C76E0" w:rsidRDefault="008C76E0" w:rsidP="008C76E0">
            <w:pPr>
              <w:pStyle w:val="Bodytext180"/>
              <w:shd w:val="clear" w:color="auto" w:fill="auto"/>
              <w:tabs>
                <w:tab w:val="left" w:pos="114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Գ.I.1.</w:t>
            </w:r>
            <w:r w:rsidRPr="003B2786">
              <w:rPr>
                <w:rStyle w:val="Bodytext1811pt"/>
                <w:rFonts w:ascii="Sylfaen" w:hAnsi="Sylfaen"/>
                <w:sz w:val="24"/>
                <w:szCs w:val="24"/>
              </w:rPr>
              <w:tab/>
              <w:t>Փորձագիտական կոմիտեի եզրակացության իրականացմանն ուղղված՝ դեղապատրաստուկի ընդհանուր բնութագրի, մականշվածքի կամ ներդիր թերթիկի փոփոխությունը</w:t>
            </w:r>
          </w:p>
        </w:tc>
        <w:tc>
          <w:tcPr>
            <w:tcW w:w="1883" w:type="dxa"/>
            <w:gridSpan w:val="2"/>
            <w:tcBorders>
              <w:top w:val="single" w:sz="4" w:space="0" w:color="auto"/>
              <w:left w:val="single" w:sz="4" w:space="0" w:color="auto"/>
            </w:tcBorders>
            <w:shd w:val="clear" w:color="auto" w:fill="FFFFFF"/>
          </w:tcPr>
          <w:p w14:paraId="46B157C7" w14:textId="77777777" w:rsidR="008C76E0" w:rsidRPr="003B2786" w:rsidRDefault="008C76E0" w:rsidP="008C76E0">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C814722" w14:textId="77777777" w:rsidR="008C76E0" w:rsidRPr="003B2786" w:rsidRDefault="008C76E0" w:rsidP="008C76E0">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2692B506" w14:textId="77777777" w:rsidR="008C76E0" w:rsidRPr="003B2786" w:rsidRDefault="008C76E0" w:rsidP="008C76E0">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87E8133"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D4C2F44" w14:textId="77777777" w:rsidR="008C76E0" w:rsidRPr="008C76E0" w:rsidRDefault="008C76E0" w:rsidP="008C76E0">
            <w:pPr>
              <w:pStyle w:val="Bodytext180"/>
              <w:shd w:val="clear" w:color="auto" w:fill="auto"/>
              <w:tabs>
                <w:tab w:val="left" w:pos="52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դեղապատրաստուկն ընդգրկված է փորձագիտական կոմիտե դիմելու ընթացակարգում </w:t>
            </w:r>
          </w:p>
        </w:tc>
        <w:tc>
          <w:tcPr>
            <w:tcW w:w="1883" w:type="dxa"/>
            <w:gridSpan w:val="2"/>
            <w:tcBorders>
              <w:top w:val="single" w:sz="4" w:space="0" w:color="auto"/>
              <w:left w:val="single" w:sz="4" w:space="0" w:color="auto"/>
            </w:tcBorders>
            <w:shd w:val="clear" w:color="auto" w:fill="FFFFFF"/>
          </w:tcPr>
          <w:p w14:paraId="0EBE0F75"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C63C77C"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843" w:type="dxa"/>
            <w:gridSpan w:val="2"/>
            <w:tcBorders>
              <w:top w:val="single" w:sz="4" w:space="0" w:color="auto"/>
              <w:left w:val="single" w:sz="4" w:space="0" w:color="auto"/>
              <w:right w:val="single" w:sz="4" w:space="0" w:color="auto"/>
            </w:tcBorders>
            <w:shd w:val="clear" w:color="auto" w:fill="FFFFFF"/>
          </w:tcPr>
          <w:p w14:paraId="0AE89A92"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52A2DED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82F30CF" w14:textId="77777777" w:rsidR="008C76E0" w:rsidRPr="008C76E0" w:rsidRDefault="008C76E0" w:rsidP="008C76E0">
            <w:pPr>
              <w:pStyle w:val="Bodytext180"/>
              <w:shd w:val="clear" w:color="auto" w:fill="auto"/>
              <w:tabs>
                <w:tab w:val="left" w:pos="52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դեղապատրաստուկը ընդգրկված չէ փորձագիտական կոմիտե դիմելու ընթացակարգում, բայց փոփոխություններն իրականացվում են փորձագիտական կոմիտեի եզրակացությամբ, ԳՀ-ի իրավատիրոջ կողմից նոր լրացուցիչ տվյալներ չեն ներկայացվել</w:t>
            </w:r>
          </w:p>
        </w:tc>
        <w:tc>
          <w:tcPr>
            <w:tcW w:w="1883" w:type="dxa"/>
            <w:gridSpan w:val="2"/>
            <w:tcBorders>
              <w:top w:val="single" w:sz="4" w:space="0" w:color="auto"/>
              <w:left w:val="single" w:sz="4" w:space="0" w:color="auto"/>
            </w:tcBorders>
            <w:shd w:val="clear" w:color="auto" w:fill="FFFFFF"/>
          </w:tcPr>
          <w:p w14:paraId="55704047" w14:textId="77777777" w:rsidR="008C76E0" w:rsidRPr="003B2786" w:rsidRDefault="008C76E0" w:rsidP="008C76E0">
            <w:pPr>
              <w:tabs>
                <w:tab w:val="left" w:pos="522"/>
              </w:tabs>
              <w:spacing w:after="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4E5EBDC8"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843" w:type="dxa"/>
            <w:gridSpan w:val="2"/>
            <w:tcBorders>
              <w:top w:val="single" w:sz="4" w:space="0" w:color="auto"/>
              <w:left w:val="single" w:sz="4" w:space="0" w:color="auto"/>
              <w:right w:val="single" w:sz="4" w:space="0" w:color="auto"/>
            </w:tcBorders>
            <w:shd w:val="clear" w:color="auto" w:fill="FFFFFF"/>
          </w:tcPr>
          <w:p w14:paraId="23A38144"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2pt"/>
                <w:rFonts w:ascii="Sylfaen" w:hAnsi="Sylfaen"/>
              </w:rPr>
              <w:t>IB</w:t>
            </w:r>
          </w:p>
        </w:tc>
      </w:tr>
      <w:tr w:rsidR="008C76E0" w:rsidRPr="003B2786" w14:paraId="5D5A138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D4C202B" w14:textId="77777777" w:rsidR="008C76E0" w:rsidRPr="008C76E0" w:rsidRDefault="008C76E0" w:rsidP="008C76E0">
            <w:pPr>
              <w:pStyle w:val="Bodytext180"/>
              <w:shd w:val="clear" w:color="auto" w:fill="auto"/>
              <w:tabs>
                <w:tab w:val="left" w:pos="52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 xml:space="preserve">դեղապատրաստուկը ընդգրկված չէ </w:t>
            </w:r>
            <w:r w:rsidRPr="003B2786">
              <w:rPr>
                <w:rStyle w:val="Bodytext1811pt"/>
                <w:rFonts w:ascii="Sylfaen" w:hAnsi="Sylfaen"/>
                <w:sz w:val="24"/>
                <w:szCs w:val="24"/>
              </w:rPr>
              <w:lastRenderedPageBreak/>
              <w:t>փորձագիտական կոմիտե դիմելու ընթացակարգում, բայց փոփոխություններն իրականացվում են փորձագիտական կոմիտեի եզրակացությամբ, ԳՀ-ի իրավատերը ներկայացրել է նոր լրացուցիչ տվյալներ</w:t>
            </w:r>
          </w:p>
        </w:tc>
        <w:tc>
          <w:tcPr>
            <w:tcW w:w="1883" w:type="dxa"/>
            <w:gridSpan w:val="2"/>
            <w:tcBorders>
              <w:top w:val="single" w:sz="4" w:space="0" w:color="auto"/>
              <w:left w:val="single" w:sz="4" w:space="0" w:color="auto"/>
            </w:tcBorders>
            <w:shd w:val="clear" w:color="auto" w:fill="FFFFFF"/>
          </w:tcPr>
          <w:p w14:paraId="7C7AFCB1" w14:textId="77777777" w:rsidR="008C76E0" w:rsidRPr="003B2786" w:rsidRDefault="008C76E0" w:rsidP="008C76E0">
            <w:pPr>
              <w:tabs>
                <w:tab w:val="left" w:pos="522"/>
              </w:tabs>
              <w:spacing w:after="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153D01CC"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1, 3</w:t>
            </w:r>
          </w:p>
        </w:tc>
        <w:tc>
          <w:tcPr>
            <w:tcW w:w="1843" w:type="dxa"/>
            <w:gridSpan w:val="2"/>
            <w:tcBorders>
              <w:top w:val="single" w:sz="4" w:space="0" w:color="auto"/>
              <w:left w:val="single" w:sz="4" w:space="0" w:color="auto"/>
              <w:right w:val="single" w:sz="4" w:space="0" w:color="auto"/>
            </w:tcBorders>
            <w:shd w:val="clear" w:color="auto" w:fill="FFFFFF"/>
          </w:tcPr>
          <w:p w14:paraId="607AAD60" w14:textId="77777777" w:rsidR="008C76E0" w:rsidRPr="003B2786" w:rsidRDefault="008C76E0" w:rsidP="008C76E0">
            <w:pPr>
              <w:pStyle w:val="Bodytext180"/>
              <w:shd w:val="clear" w:color="auto" w:fill="auto"/>
              <w:tabs>
                <w:tab w:val="left" w:pos="522"/>
              </w:tabs>
              <w:spacing w:before="0" w:line="240" w:lineRule="auto"/>
              <w:ind w:left="159" w:right="222" w:firstLine="0"/>
              <w:jc w:val="center"/>
              <w:rPr>
                <w:rFonts w:ascii="Sylfaen" w:hAnsi="Sylfaen"/>
                <w:b w:val="0"/>
                <w:sz w:val="24"/>
                <w:szCs w:val="24"/>
              </w:rPr>
            </w:pPr>
            <w:r w:rsidRPr="003B2786">
              <w:rPr>
                <w:rStyle w:val="Bodytext1812pt"/>
                <w:rFonts w:ascii="Sylfaen" w:hAnsi="Sylfaen"/>
              </w:rPr>
              <w:t>II</w:t>
            </w:r>
          </w:p>
        </w:tc>
      </w:tr>
      <w:tr w:rsidR="008C76E0" w:rsidRPr="003B2786" w14:paraId="24168A4C"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63AC82E7"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C26B5BA"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Փոփոխությունն իրականացնում է լիազորված մարմնի կողմից պահանջված ձ</w:t>
            </w:r>
            <w:r w:rsidR="00C54D75">
              <w:rPr>
                <w:rStyle w:val="Bodytext1811pt"/>
                <w:rFonts w:ascii="Sylfaen" w:hAnsi="Sylfaen"/>
                <w:sz w:val="24"/>
                <w:szCs w:val="24"/>
              </w:rPr>
              <w:t>և</w:t>
            </w:r>
            <w:r w:rsidRPr="003B2786">
              <w:rPr>
                <w:rStyle w:val="Bodytext1811pt"/>
                <w:rFonts w:ascii="Sylfaen" w:hAnsi="Sylfaen"/>
                <w:sz w:val="24"/>
                <w:szCs w:val="24"/>
              </w:rPr>
              <w:t xml:space="preserve">ակերպումը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լրացուցիչ տվյալների ներկայացում </w:t>
            </w:r>
            <w:r w:rsidR="00C54D75">
              <w:rPr>
                <w:rStyle w:val="Bodytext1811pt"/>
                <w:rFonts w:ascii="Sylfaen" w:hAnsi="Sylfaen"/>
                <w:sz w:val="24"/>
                <w:szCs w:val="24"/>
              </w:rPr>
              <w:t>և</w:t>
            </w:r>
            <w:r w:rsidRPr="003B2786">
              <w:rPr>
                <w:rStyle w:val="Bodytext1811pt"/>
                <w:rFonts w:ascii="Sylfaen" w:hAnsi="Sylfaen"/>
                <w:sz w:val="24"/>
                <w:szCs w:val="24"/>
              </w:rPr>
              <w:t xml:space="preserve"> (կամ) հետագա փորձաքննություն չի պահանջում:</w:t>
            </w:r>
          </w:p>
        </w:tc>
      </w:tr>
      <w:tr w:rsidR="008C76E0" w:rsidRPr="003B2786" w14:paraId="1FC1839E"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FC4447A"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783BF01"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փորձագիտական կոմիտեի դիտարկվող եզրակացությանը՝ դրան կցված դեղապատրաստուկի ընդհանուր բնութագրի, մականշվածքի կամ ներդիր թերթիկի հետ:</w:t>
            </w:r>
          </w:p>
          <w:p w14:paraId="14437C88"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Հայտարարագիր այն մասին, որ դեղապատրաստուկի առաջարկվող ընդհանուր բնութագրի, մականշվածքի </w:t>
            </w:r>
            <w:r w:rsidR="00C54D75">
              <w:rPr>
                <w:rStyle w:val="Bodytext1811pt"/>
                <w:rFonts w:ascii="Sylfaen" w:hAnsi="Sylfaen"/>
                <w:sz w:val="24"/>
                <w:szCs w:val="24"/>
              </w:rPr>
              <w:t>և</w:t>
            </w:r>
            <w:r w:rsidRPr="003B2786">
              <w:rPr>
                <w:rStyle w:val="Bodytext1811pt"/>
                <w:rFonts w:ascii="Sylfaen" w:hAnsi="Sylfaen"/>
                <w:sz w:val="24"/>
                <w:szCs w:val="24"/>
              </w:rPr>
              <w:t xml:space="preserve"> ներդիր թերթիկի համապատասխան բաժինները նույնական են փորձագիտական կոմիտեի եզրակացությանը կցված բաժիններին:</w:t>
            </w:r>
          </w:p>
          <w:p w14:paraId="7C0D27EC"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rPr>
            </w:pPr>
            <w:r w:rsidRPr="003B2786">
              <w:rPr>
                <w:rFonts w:ascii="Sylfaen" w:hAnsi="Sylfaen"/>
                <w:b w:val="0"/>
                <w:sz w:val="24"/>
                <w:szCs w:val="24"/>
              </w:rPr>
              <w:t>3.</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52DE4CB4"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vAlign w:val="bottom"/>
          </w:tcPr>
          <w:p w14:paraId="5DE31A0A"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Գ.I.2 Դեղապատրաստուկի ընդհանուր բնութագրի, վերարտադրված կամ հիբրիդային կամ կենսահամանման դեղապատրաստուկի մականշվածքի կամ ներդիր թերթիկի փոփոխությունը՝ ռեֆերենտ դեղապատրաստուկի մի</w:t>
            </w:r>
            <w:r w:rsidR="00C54D75">
              <w:rPr>
                <w:rStyle w:val="Bodytext1811pt"/>
                <w:rFonts w:ascii="Sylfaen" w:hAnsi="Sylfaen"/>
                <w:sz w:val="24"/>
                <w:szCs w:val="24"/>
              </w:rPr>
              <w:t>և</w:t>
            </w:r>
            <w:r w:rsidRPr="003B2786">
              <w:rPr>
                <w:rStyle w:val="Bodytext1811pt"/>
                <w:rFonts w:ascii="Sylfaen" w:hAnsi="Sylfaen"/>
                <w:sz w:val="24"/>
                <w:szCs w:val="24"/>
              </w:rPr>
              <w:t>նույն փոփոխությունը գնահատելուց հետո</w:t>
            </w:r>
          </w:p>
        </w:tc>
        <w:tc>
          <w:tcPr>
            <w:tcW w:w="1883" w:type="dxa"/>
            <w:gridSpan w:val="2"/>
            <w:tcBorders>
              <w:top w:val="single" w:sz="4" w:space="0" w:color="auto"/>
              <w:left w:val="single" w:sz="4" w:space="0" w:color="auto"/>
              <w:bottom w:val="single" w:sz="4" w:space="0" w:color="auto"/>
            </w:tcBorders>
            <w:shd w:val="clear" w:color="auto" w:fill="FFFFFF"/>
          </w:tcPr>
          <w:p w14:paraId="6C6AE312" w14:textId="77777777" w:rsidR="008C76E0" w:rsidRPr="003B2786" w:rsidRDefault="008C76E0" w:rsidP="008C76E0">
            <w:pPr>
              <w:pStyle w:val="Bodytext180"/>
              <w:shd w:val="clear" w:color="auto" w:fill="auto"/>
              <w:tabs>
                <w:tab w:val="left" w:pos="52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bottom w:val="single" w:sz="4" w:space="0" w:color="auto"/>
            </w:tcBorders>
            <w:shd w:val="clear" w:color="auto" w:fill="FFFFFF"/>
          </w:tcPr>
          <w:p w14:paraId="5B9629E4" w14:textId="77777777" w:rsidR="008C76E0" w:rsidRPr="003B2786" w:rsidRDefault="008C76E0" w:rsidP="008C76E0">
            <w:pPr>
              <w:pStyle w:val="Bodytext180"/>
              <w:shd w:val="clear" w:color="auto" w:fill="auto"/>
              <w:tabs>
                <w:tab w:val="left" w:pos="52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AD1EF83" w14:textId="77777777" w:rsidR="008C76E0" w:rsidRPr="003B2786" w:rsidRDefault="008C76E0" w:rsidP="008C76E0">
            <w:pPr>
              <w:pStyle w:val="Bodytext180"/>
              <w:shd w:val="clear" w:color="auto" w:fill="auto"/>
              <w:tabs>
                <w:tab w:val="left" w:pos="522"/>
              </w:tabs>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25755F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531869C"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փոփոխություն(ներ) իրականացնելը, որի (որոնց) առնչությամբ ԳՀ-ի իրավատիրոջից չի պահանջվում ներկայացնել նոր լրացուցիչ տվյալներ</w:t>
            </w:r>
          </w:p>
        </w:tc>
        <w:tc>
          <w:tcPr>
            <w:tcW w:w="1883" w:type="dxa"/>
            <w:gridSpan w:val="2"/>
            <w:tcBorders>
              <w:top w:val="single" w:sz="4" w:space="0" w:color="auto"/>
              <w:left w:val="single" w:sz="4" w:space="0" w:color="auto"/>
            </w:tcBorders>
            <w:shd w:val="clear" w:color="auto" w:fill="FFFFFF"/>
          </w:tcPr>
          <w:p w14:paraId="4805D3C1" w14:textId="77777777" w:rsidR="008C76E0" w:rsidRPr="003B2786" w:rsidRDefault="008C76E0" w:rsidP="008C76E0">
            <w:pPr>
              <w:tabs>
                <w:tab w:val="left" w:pos="522"/>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22997F16"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75AD3F03"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297B82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B8ACD83"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այնպիսի փոփոխություն(ներ) իրականացնելը, որը (որոնք) ԳՀ-ի իրավատիրոջից պահանջում է (են) ներկայացնել այդ փոփոխությունները (օրինակ՝ համադրելիությունը) հիմնավորող նոր լրացուցիչ տվյալներ </w:t>
            </w:r>
          </w:p>
        </w:tc>
        <w:tc>
          <w:tcPr>
            <w:tcW w:w="1883" w:type="dxa"/>
            <w:gridSpan w:val="2"/>
            <w:tcBorders>
              <w:top w:val="single" w:sz="4" w:space="0" w:color="auto"/>
              <w:left w:val="single" w:sz="4" w:space="0" w:color="auto"/>
            </w:tcBorders>
            <w:shd w:val="clear" w:color="auto" w:fill="FFFFFF"/>
          </w:tcPr>
          <w:p w14:paraId="56FAE511" w14:textId="77777777" w:rsidR="008C76E0" w:rsidRPr="003B2786" w:rsidRDefault="008C76E0" w:rsidP="008C76E0">
            <w:pPr>
              <w:tabs>
                <w:tab w:val="left" w:pos="522"/>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7232AC24" w14:textId="77777777" w:rsidR="008C76E0" w:rsidRPr="003B2786" w:rsidRDefault="008C76E0" w:rsidP="008C76E0">
            <w:pPr>
              <w:tabs>
                <w:tab w:val="left" w:pos="522"/>
              </w:tabs>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1D02E1A8"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766B33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6181A7DB"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6117305"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ազգային լիազորված մարմնի հարցումը (եթե կիրառելի է):</w:t>
            </w:r>
          </w:p>
          <w:p w14:paraId="26766753"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7D69C665" w14:textId="77777777" w:rsidTr="004A52D9">
        <w:trPr>
          <w:jc w:val="center"/>
        </w:trPr>
        <w:tc>
          <w:tcPr>
            <w:tcW w:w="4984" w:type="dxa"/>
            <w:gridSpan w:val="4"/>
            <w:tcBorders>
              <w:top w:val="single" w:sz="4" w:space="0" w:color="auto"/>
              <w:left w:val="single" w:sz="4" w:space="0" w:color="auto"/>
            </w:tcBorders>
            <w:shd w:val="clear" w:color="auto" w:fill="FFFFFF"/>
          </w:tcPr>
          <w:p w14:paraId="29F5490D"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Գ.I.3.</w:t>
            </w:r>
            <w:r w:rsidRPr="003B2786">
              <w:rPr>
                <w:rStyle w:val="Bodytext1811pt"/>
                <w:rFonts w:ascii="Sylfaen" w:hAnsi="Sylfaen"/>
                <w:sz w:val="24"/>
                <w:szCs w:val="24"/>
              </w:rPr>
              <w:tab/>
              <w:t>Դեղապատրաստուկի ընդհանուր բնութագրի, բժշկական կիրառման համար նախատեսված դեղապատրաստուկի մականշվածքի կամ ներդիր թերթիկի՝ ԱՊՀ-ին կամ անվտանգության հետգրանցումային հետազոտությանն առնչվող ընթացակարգի արդյունքի իրականացմանն ուղղված փոփոխություն(ներ)ը</w:t>
            </w:r>
          </w:p>
        </w:tc>
        <w:tc>
          <w:tcPr>
            <w:tcW w:w="1883" w:type="dxa"/>
            <w:gridSpan w:val="2"/>
            <w:tcBorders>
              <w:top w:val="single" w:sz="4" w:space="0" w:color="auto"/>
              <w:left w:val="single" w:sz="4" w:space="0" w:color="auto"/>
            </w:tcBorders>
            <w:shd w:val="clear" w:color="auto" w:fill="FFFFFF"/>
          </w:tcPr>
          <w:p w14:paraId="420040EE" w14:textId="77777777" w:rsidR="008C76E0" w:rsidRPr="003B2786" w:rsidRDefault="008C76E0" w:rsidP="008C76E0">
            <w:pPr>
              <w:pStyle w:val="Bodytext180"/>
              <w:shd w:val="clear" w:color="auto" w:fill="auto"/>
              <w:tabs>
                <w:tab w:val="left" w:pos="522"/>
              </w:tabs>
              <w:spacing w:before="0" w:after="120" w:line="240" w:lineRule="auto"/>
              <w:ind w:left="3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EC7AFB2" w14:textId="77777777" w:rsidR="008C76E0" w:rsidRPr="003B2786" w:rsidRDefault="008C76E0" w:rsidP="008C76E0">
            <w:pPr>
              <w:pStyle w:val="Bodytext180"/>
              <w:shd w:val="clear" w:color="auto" w:fill="auto"/>
              <w:tabs>
                <w:tab w:val="left" w:pos="522"/>
              </w:tabs>
              <w:spacing w:before="0" w:after="120" w:line="240" w:lineRule="auto"/>
              <w:ind w:left="3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6DAC1335" w14:textId="77777777" w:rsidR="008C76E0" w:rsidRPr="003B2786" w:rsidRDefault="008C76E0" w:rsidP="008C76E0">
            <w:pPr>
              <w:pStyle w:val="Bodytext180"/>
              <w:shd w:val="clear" w:color="auto" w:fill="auto"/>
              <w:tabs>
                <w:tab w:val="left" w:pos="522"/>
              </w:tabs>
              <w:spacing w:before="0" w:after="120" w:line="240" w:lineRule="auto"/>
              <w:ind w:left="3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024078C"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5DED117E" w14:textId="77777777" w:rsidR="008C76E0" w:rsidRPr="008C76E0" w:rsidRDefault="008C76E0" w:rsidP="008C76E0">
            <w:pPr>
              <w:pStyle w:val="Bodytext180"/>
              <w:shd w:val="clear" w:color="auto" w:fill="auto"/>
              <w:tabs>
                <w:tab w:val="left" w:pos="522"/>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լիազորված մարմնի կողմից համաձայնեցված ձ</w:t>
            </w:r>
            <w:r w:rsidR="00C54D75">
              <w:rPr>
                <w:rStyle w:val="Bodytext1811pt"/>
                <w:rFonts w:ascii="Sylfaen" w:hAnsi="Sylfaen"/>
                <w:sz w:val="24"/>
                <w:szCs w:val="24"/>
              </w:rPr>
              <w:t>և</w:t>
            </w:r>
            <w:r w:rsidRPr="003B2786">
              <w:rPr>
                <w:rStyle w:val="Bodytext1811pt"/>
                <w:rFonts w:ascii="Sylfaen" w:hAnsi="Sylfaen"/>
                <w:sz w:val="24"/>
                <w:szCs w:val="24"/>
              </w:rPr>
              <w:t>ակերպում ներմուծելը</w:t>
            </w:r>
          </w:p>
        </w:tc>
        <w:tc>
          <w:tcPr>
            <w:tcW w:w="1883" w:type="dxa"/>
            <w:gridSpan w:val="2"/>
            <w:tcBorders>
              <w:top w:val="single" w:sz="4" w:space="0" w:color="auto"/>
              <w:left w:val="single" w:sz="4" w:space="0" w:color="auto"/>
            </w:tcBorders>
            <w:shd w:val="clear" w:color="auto" w:fill="FFFFFF"/>
          </w:tcPr>
          <w:p w14:paraId="6AC4F1E7"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08110AC"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126963BD"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602FA69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1428769" w14:textId="77777777" w:rsidR="008C76E0" w:rsidRPr="008C76E0" w:rsidRDefault="008C76E0" w:rsidP="008C76E0">
            <w:pPr>
              <w:pStyle w:val="Bodytext180"/>
              <w:shd w:val="clear" w:color="auto" w:fill="auto"/>
              <w:tabs>
                <w:tab w:val="left" w:pos="522"/>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այնպիսի փոփոխություններ կատարելը, որոնք ԳՀ-ի իրավատիրոջից պահանջում են ներկայացնել այդպիսի փոփոխությունները հիմնավորող նոր լրացուցիչ տվյալներ </w:t>
            </w:r>
          </w:p>
        </w:tc>
        <w:tc>
          <w:tcPr>
            <w:tcW w:w="1883" w:type="dxa"/>
            <w:gridSpan w:val="2"/>
            <w:tcBorders>
              <w:top w:val="single" w:sz="4" w:space="0" w:color="auto"/>
              <w:left w:val="single" w:sz="4" w:space="0" w:color="auto"/>
            </w:tcBorders>
            <w:shd w:val="clear" w:color="auto" w:fill="FFFFFF"/>
          </w:tcPr>
          <w:p w14:paraId="6051A33B" w14:textId="77777777" w:rsidR="008C76E0" w:rsidRPr="003B2786" w:rsidRDefault="008C76E0" w:rsidP="008C76E0">
            <w:pPr>
              <w:tabs>
                <w:tab w:val="left" w:pos="522"/>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36EFF157"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2</w:t>
            </w:r>
          </w:p>
        </w:tc>
        <w:tc>
          <w:tcPr>
            <w:tcW w:w="1843" w:type="dxa"/>
            <w:gridSpan w:val="2"/>
            <w:tcBorders>
              <w:top w:val="single" w:sz="4" w:space="0" w:color="auto"/>
              <w:left w:val="single" w:sz="4" w:space="0" w:color="auto"/>
              <w:right w:val="single" w:sz="4" w:space="0" w:color="auto"/>
            </w:tcBorders>
            <w:shd w:val="clear" w:color="auto" w:fill="FFFFFF"/>
          </w:tcPr>
          <w:p w14:paraId="2E0A6774"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45F3057D"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1F175D81"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E6AE57E"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Փոփոխությունն իրականացնում է լիազորված մարմնի կողմից պահանջված ձ</w:t>
            </w:r>
            <w:r w:rsidR="00C54D75">
              <w:rPr>
                <w:rStyle w:val="Bodytext1811pt"/>
                <w:rFonts w:ascii="Sylfaen" w:hAnsi="Sylfaen"/>
                <w:sz w:val="24"/>
                <w:szCs w:val="24"/>
              </w:rPr>
              <w:t>և</w:t>
            </w:r>
            <w:r w:rsidRPr="003B2786">
              <w:rPr>
                <w:rStyle w:val="Bodytext1811pt"/>
                <w:rFonts w:ascii="Sylfaen" w:hAnsi="Sylfaen"/>
                <w:sz w:val="24"/>
                <w:szCs w:val="24"/>
              </w:rPr>
              <w:t xml:space="preserve">ակերպումը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լրացուցիչ տեղեկություններ </w:t>
            </w:r>
            <w:r w:rsidR="00C54D75">
              <w:rPr>
                <w:rStyle w:val="Bodytext1811pt"/>
                <w:rFonts w:ascii="Sylfaen" w:hAnsi="Sylfaen"/>
                <w:sz w:val="24"/>
                <w:szCs w:val="24"/>
              </w:rPr>
              <w:t>և</w:t>
            </w:r>
            <w:r w:rsidRPr="003B2786">
              <w:rPr>
                <w:rStyle w:val="Bodytext1811pt"/>
                <w:rFonts w:ascii="Sylfaen" w:hAnsi="Sylfaen"/>
                <w:sz w:val="24"/>
                <w:szCs w:val="24"/>
              </w:rPr>
              <w:t xml:space="preserve"> (կամ) հետագա փորձաքննություն չի պահանջում:</w:t>
            </w:r>
          </w:p>
        </w:tc>
      </w:tr>
      <w:tr w:rsidR="008C76E0" w:rsidRPr="003B2786" w14:paraId="2B91F46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72669C6"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7B490D8" w14:textId="77777777" w:rsidR="008C76E0" w:rsidRPr="008C76E0"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լիազորված մարմնի համաձայնությանը (գնահատմանը):</w:t>
            </w:r>
          </w:p>
          <w:p w14:paraId="252585FD" w14:textId="77777777" w:rsidR="008C76E0" w:rsidRPr="003B2786" w:rsidRDefault="008C76E0" w:rsidP="008C76E0">
            <w:pPr>
              <w:pStyle w:val="Bodytext180"/>
              <w:shd w:val="clear" w:color="auto" w:fill="auto"/>
              <w:tabs>
                <w:tab w:val="left" w:pos="522"/>
              </w:tabs>
              <w:spacing w:before="0" w:after="120" w:line="240" w:lineRule="auto"/>
              <w:ind w:left="159" w:right="222"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28C5432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959134B" w14:textId="77777777" w:rsidR="008C76E0" w:rsidRPr="008C76E0" w:rsidRDefault="008C76E0" w:rsidP="008C76E0">
            <w:pPr>
              <w:pStyle w:val="Bodytext180"/>
              <w:shd w:val="clear" w:color="auto" w:fill="auto"/>
              <w:tabs>
                <w:tab w:val="left" w:pos="112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Գ.I.4.</w:t>
            </w:r>
            <w:r w:rsidRPr="003B2786">
              <w:rPr>
                <w:rStyle w:val="Bodytext1811pt"/>
                <w:rFonts w:ascii="Sylfaen" w:hAnsi="Sylfaen"/>
                <w:sz w:val="24"/>
                <w:szCs w:val="24"/>
              </w:rPr>
              <w:tab/>
              <w:t>Որակի վերաբերյալ նոր տվյալների, նախակլինիկական, կլինիկական տվյալների կամ դեղազգոնության տվյալների հետ</w:t>
            </w:r>
            <w:r w:rsidR="00C54D75">
              <w:rPr>
                <w:rStyle w:val="Bodytext1811pt"/>
                <w:rFonts w:ascii="Sylfaen" w:hAnsi="Sylfaen"/>
                <w:sz w:val="24"/>
                <w:szCs w:val="24"/>
              </w:rPr>
              <w:t>և</w:t>
            </w:r>
            <w:r w:rsidRPr="003B2786">
              <w:rPr>
                <w:rStyle w:val="Bodytext1811pt"/>
                <w:rFonts w:ascii="Sylfaen" w:hAnsi="Sylfaen"/>
                <w:sz w:val="24"/>
                <w:szCs w:val="24"/>
              </w:rPr>
              <w:t>անքով դեղապատրաստուկի ընդհանուր բնութագրի էական փոփոխության հիմքում ընկած փոփոխությունները</w:t>
            </w:r>
          </w:p>
        </w:tc>
        <w:tc>
          <w:tcPr>
            <w:tcW w:w="1883" w:type="dxa"/>
            <w:gridSpan w:val="2"/>
            <w:tcBorders>
              <w:top w:val="single" w:sz="4" w:space="0" w:color="auto"/>
              <w:left w:val="single" w:sz="4" w:space="0" w:color="auto"/>
            </w:tcBorders>
            <w:shd w:val="clear" w:color="auto" w:fill="FFFFFF"/>
          </w:tcPr>
          <w:p w14:paraId="0945E6DC"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9B64BC1"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4185100B"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09CBAE1" w14:textId="77777777" w:rsidTr="004A52D9">
        <w:trPr>
          <w:jc w:val="center"/>
        </w:trPr>
        <w:tc>
          <w:tcPr>
            <w:tcW w:w="4984" w:type="dxa"/>
            <w:gridSpan w:val="4"/>
            <w:tcBorders>
              <w:top w:val="single" w:sz="4" w:space="0" w:color="auto"/>
              <w:left w:val="single" w:sz="4" w:space="0" w:color="auto"/>
            </w:tcBorders>
            <w:shd w:val="clear" w:color="auto" w:fill="FFFFFF"/>
          </w:tcPr>
          <w:p w14:paraId="32AECC45"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76DF525F"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0680882"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621B691F"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D7DFDC0" w14:textId="77777777" w:rsidTr="004A52D9">
        <w:trPr>
          <w:jc w:val="center"/>
        </w:trPr>
        <w:tc>
          <w:tcPr>
            <w:tcW w:w="2594" w:type="dxa"/>
            <w:gridSpan w:val="2"/>
            <w:tcBorders>
              <w:top w:val="single" w:sz="4" w:space="0" w:color="auto"/>
              <w:left w:val="single" w:sz="4" w:space="0" w:color="auto"/>
            </w:tcBorders>
            <w:shd w:val="clear" w:color="auto" w:fill="FFFFFF"/>
          </w:tcPr>
          <w:p w14:paraId="27BA23CE" w14:textId="77777777" w:rsidR="008C76E0" w:rsidRPr="003B2786" w:rsidRDefault="008C76E0" w:rsidP="008C76E0">
            <w:pPr>
              <w:pStyle w:val="Bodytext180"/>
              <w:shd w:val="clear" w:color="auto" w:fill="auto"/>
              <w:spacing w:before="0" w:after="120" w:line="240" w:lineRule="auto"/>
              <w:ind w:left="32" w:firstLine="0"/>
              <w:jc w:val="both"/>
              <w:rPr>
                <w:rFonts w:ascii="Sylfaen" w:hAnsi="Sylfaen"/>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2AFC560D"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 xml:space="preserve">Այդ փոփոխությունը չի կիրառվում, եթե նոր տվյալները ներկայացվել են Գ.I.13 փոփոխությանը համապատասխան: Այդպիսի դեպքերում դեղապատրաստուկի ընդհանուր բնութագրի, մականշվածքի </w:t>
            </w:r>
            <w:r w:rsidR="00C54D75">
              <w:rPr>
                <w:rStyle w:val="Bodytext1811pt"/>
                <w:rFonts w:ascii="Sylfaen" w:hAnsi="Sylfaen"/>
                <w:sz w:val="24"/>
                <w:szCs w:val="24"/>
              </w:rPr>
              <w:t>և</w:t>
            </w:r>
            <w:r w:rsidRPr="003B2786">
              <w:rPr>
                <w:rStyle w:val="Bodytext1811pt"/>
                <w:rFonts w:ascii="Sylfaen" w:hAnsi="Sylfaen"/>
                <w:sz w:val="24"/>
                <w:szCs w:val="24"/>
              </w:rPr>
              <w:t xml:space="preserve"> (կամ) ներդիր թերթիկի փոփոխությունը հայտնվում է Գ.I.13 փոփոխության </w:t>
            </w:r>
            <w:r w:rsidRPr="003B2786">
              <w:rPr>
                <w:rStyle w:val="Bodytext1811pt"/>
                <w:rFonts w:ascii="Sylfaen" w:hAnsi="Sylfaen"/>
                <w:sz w:val="24"/>
                <w:szCs w:val="24"/>
              </w:rPr>
              <w:lastRenderedPageBreak/>
              <w:t>կիրառման դաշտում:</w:t>
            </w:r>
          </w:p>
        </w:tc>
      </w:tr>
      <w:tr w:rsidR="008C76E0" w:rsidRPr="003B2786" w14:paraId="6C5ECB50"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vAlign w:val="bottom"/>
          </w:tcPr>
          <w:p w14:paraId="557C7E19" w14:textId="77777777" w:rsidR="008C76E0" w:rsidRPr="008C76E0" w:rsidRDefault="008C76E0" w:rsidP="008C76E0">
            <w:pPr>
              <w:pStyle w:val="Bodytext180"/>
              <w:shd w:val="clear" w:color="auto" w:fill="auto"/>
              <w:tabs>
                <w:tab w:val="left" w:pos="1158"/>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Գ.I.5.</w:t>
            </w:r>
            <w:r w:rsidRPr="003B2786">
              <w:rPr>
                <w:rStyle w:val="Bodytext1811pt"/>
                <w:rFonts w:ascii="Sylfaen" w:hAnsi="Sylfaen"/>
                <w:sz w:val="24"/>
                <w:szCs w:val="24"/>
              </w:rPr>
              <w:tab/>
              <w:t>Դեղապատրաստուկի բացթողման պայմանների փոփոխությունը</w:t>
            </w:r>
          </w:p>
        </w:tc>
        <w:tc>
          <w:tcPr>
            <w:tcW w:w="1883" w:type="dxa"/>
            <w:gridSpan w:val="2"/>
            <w:tcBorders>
              <w:top w:val="single" w:sz="4" w:space="0" w:color="auto"/>
              <w:left w:val="single" w:sz="4" w:space="0" w:color="auto"/>
              <w:bottom w:val="single" w:sz="4" w:space="0" w:color="auto"/>
            </w:tcBorders>
            <w:shd w:val="clear" w:color="auto" w:fill="FFFFFF"/>
          </w:tcPr>
          <w:p w14:paraId="23FE6CA3"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bottom w:val="single" w:sz="4" w:space="0" w:color="auto"/>
            </w:tcBorders>
            <w:shd w:val="clear" w:color="auto" w:fill="FFFFFF"/>
          </w:tcPr>
          <w:p w14:paraId="729A5DBD"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70B022A"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6287C41"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BAAB5E6"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վերարտադրված կամ հիբրիդային կամ կենսահամանման դեղապատրաստուկների՝ ռեֆերենտ դեղապատրաստուկի բացթողման պայմանների փոփոխությունից հետո</w:t>
            </w:r>
          </w:p>
        </w:tc>
        <w:tc>
          <w:tcPr>
            <w:tcW w:w="1883" w:type="dxa"/>
            <w:gridSpan w:val="2"/>
            <w:tcBorders>
              <w:top w:val="single" w:sz="4" w:space="0" w:color="auto"/>
              <w:left w:val="single" w:sz="4" w:space="0" w:color="auto"/>
            </w:tcBorders>
            <w:shd w:val="clear" w:color="auto" w:fill="FFFFFF"/>
          </w:tcPr>
          <w:p w14:paraId="2F10F985" w14:textId="77777777" w:rsidR="008C76E0" w:rsidRPr="003B2786" w:rsidRDefault="008C76E0" w:rsidP="008C76E0">
            <w:pPr>
              <w:tabs>
                <w:tab w:val="left" w:pos="539"/>
              </w:tabs>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3941294D" w14:textId="77777777" w:rsidR="008C76E0" w:rsidRPr="003B2786" w:rsidRDefault="008C76E0" w:rsidP="008C76E0">
            <w:pPr>
              <w:pStyle w:val="Bodytext180"/>
              <w:shd w:val="clear" w:color="auto" w:fill="auto"/>
              <w:tabs>
                <w:tab w:val="left" w:pos="53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13DA3B7A" w14:textId="77777777" w:rsidR="008C76E0" w:rsidRPr="003B2786" w:rsidRDefault="008C76E0" w:rsidP="008C76E0">
            <w:pPr>
              <w:pStyle w:val="Bodytext180"/>
              <w:shd w:val="clear" w:color="auto" w:fill="auto"/>
              <w:tabs>
                <w:tab w:val="left" w:pos="53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76EF8910"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A33A7A6"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բացթողման պայմանների փոփոխության այլ պատճառներ</w:t>
            </w:r>
          </w:p>
        </w:tc>
        <w:tc>
          <w:tcPr>
            <w:tcW w:w="1883" w:type="dxa"/>
            <w:gridSpan w:val="2"/>
            <w:tcBorders>
              <w:top w:val="single" w:sz="4" w:space="0" w:color="auto"/>
              <w:left w:val="single" w:sz="4" w:space="0" w:color="auto"/>
            </w:tcBorders>
            <w:shd w:val="clear" w:color="auto" w:fill="FFFFFF"/>
          </w:tcPr>
          <w:p w14:paraId="3AB36392" w14:textId="77777777" w:rsidR="008C76E0" w:rsidRPr="003B2786" w:rsidRDefault="008C76E0" w:rsidP="008C76E0">
            <w:pPr>
              <w:pStyle w:val="Bodytext180"/>
              <w:shd w:val="clear" w:color="auto" w:fill="auto"/>
              <w:tabs>
                <w:tab w:val="left" w:pos="53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EFFB0D5" w14:textId="77777777" w:rsidR="008C76E0" w:rsidRPr="003B2786" w:rsidRDefault="008C76E0" w:rsidP="008C76E0">
            <w:pPr>
              <w:pStyle w:val="Bodytext180"/>
              <w:shd w:val="clear" w:color="auto" w:fill="auto"/>
              <w:tabs>
                <w:tab w:val="left" w:pos="53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022F983A" w14:textId="77777777" w:rsidR="008C76E0" w:rsidRPr="003B2786" w:rsidRDefault="008C76E0" w:rsidP="008C76E0">
            <w:pPr>
              <w:pStyle w:val="Bodytext180"/>
              <w:shd w:val="clear" w:color="auto" w:fill="auto"/>
              <w:tabs>
                <w:tab w:val="left" w:pos="539"/>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0ACC1B6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E6A1A28" w14:textId="77777777" w:rsidR="008C76E0" w:rsidRPr="008C76E0" w:rsidRDefault="008C76E0" w:rsidP="008C76E0">
            <w:pPr>
              <w:pStyle w:val="Bodytext180"/>
              <w:shd w:val="clear" w:color="auto" w:fill="auto"/>
              <w:tabs>
                <w:tab w:val="left" w:pos="539"/>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77A5E4E" w14:textId="77777777" w:rsidR="008C76E0" w:rsidRPr="008C76E0" w:rsidRDefault="008C76E0" w:rsidP="008C76E0">
            <w:pPr>
              <w:pStyle w:val="Bodytext180"/>
              <w:shd w:val="clear" w:color="auto" w:fill="auto"/>
              <w:tabs>
                <w:tab w:val="left" w:pos="539"/>
              </w:tabs>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Ռեֆերենտ դեղապատրաստուկի բացթողման պայմանների փոփոխության հաստատումը (օրինակ` անդամ պետության լիազորված մարմնի համապատասխան որոշմանն արված հղումը)՝ կցված փոփոխություններ կատարելու մասին դիմումի ուղեկցող նամակին:</w:t>
            </w:r>
          </w:p>
          <w:p w14:paraId="1C808DC9" w14:textId="77777777" w:rsidR="008C76E0" w:rsidRPr="003B2786" w:rsidRDefault="008C76E0" w:rsidP="008C76E0">
            <w:pPr>
              <w:pStyle w:val="Bodytext180"/>
              <w:shd w:val="clear" w:color="auto" w:fill="auto"/>
              <w:tabs>
                <w:tab w:val="left" w:pos="539"/>
              </w:tabs>
              <w:spacing w:before="0" w:line="240" w:lineRule="auto"/>
              <w:ind w:left="159" w:right="222"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38B545BF" w14:textId="77777777" w:rsidTr="004A52D9">
        <w:trPr>
          <w:jc w:val="center"/>
        </w:trPr>
        <w:tc>
          <w:tcPr>
            <w:tcW w:w="4984" w:type="dxa"/>
            <w:gridSpan w:val="4"/>
            <w:tcBorders>
              <w:top w:val="single" w:sz="4" w:space="0" w:color="auto"/>
              <w:left w:val="single" w:sz="4" w:space="0" w:color="auto"/>
            </w:tcBorders>
            <w:shd w:val="clear" w:color="auto" w:fill="FFFFFF"/>
          </w:tcPr>
          <w:p w14:paraId="53433D64" w14:textId="77777777" w:rsidR="008C76E0" w:rsidRPr="008C76E0" w:rsidRDefault="008C76E0" w:rsidP="008C76E0">
            <w:pPr>
              <w:pStyle w:val="Bodytext180"/>
              <w:shd w:val="clear" w:color="auto" w:fill="auto"/>
              <w:tabs>
                <w:tab w:val="left" w:pos="1124"/>
              </w:tabs>
              <w:spacing w:before="0" w:line="240" w:lineRule="auto"/>
              <w:ind w:left="159" w:right="222" w:firstLine="0"/>
              <w:rPr>
                <w:rFonts w:ascii="Sylfaen" w:hAnsi="Sylfaen"/>
                <w:b w:val="0"/>
                <w:sz w:val="24"/>
                <w:szCs w:val="24"/>
                <w:lang w:val="hy-AM"/>
              </w:rPr>
            </w:pPr>
            <w:r w:rsidRPr="003B2786">
              <w:rPr>
                <w:rStyle w:val="Bodytext1811pt"/>
                <w:rFonts w:ascii="Sylfaen" w:hAnsi="Sylfaen"/>
                <w:sz w:val="24"/>
                <w:szCs w:val="24"/>
              </w:rPr>
              <w:t>Գ.I.6.</w:t>
            </w:r>
            <w:r w:rsidRPr="003B2786">
              <w:rPr>
                <w:rStyle w:val="Bodytext1811pt"/>
                <w:rFonts w:ascii="Sylfaen" w:hAnsi="Sylfaen"/>
                <w:sz w:val="24"/>
                <w:szCs w:val="24"/>
              </w:rPr>
              <w:tab/>
              <w:t>Կիրառման ցուցման (ցուցումների) փոփոխություն(ներ)ը</w:t>
            </w:r>
          </w:p>
        </w:tc>
        <w:tc>
          <w:tcPr>
            <w:tcW w:w="1883" w:type="dxa"/>
            <w:gridSpan w:val="2"/>
            <w:tcBorders>
              <w:top w:val="single" w:sz="4" w:space="0" w:color="auto"/>
              <w:left w:val="single" w:sz="4" w:space="0" w:color="auto"/>
            </w:tcBorders>
            <w:shd w:val="clear" w:color="auto" w:fill="FFFFFF"/>
          </w:tcPr>
          <w:p w14:paraId="55970769"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E041812"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E1C249C"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C2E242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D417865" w14:textId="77777777" w:rsidR="008C76E0" w:rsidRPr="008C76E0" w:rsidRDefault="008C76E0" w:rsidP="008C76E0">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կիրառման նոր ցուցում ներառելը կամ նախկինում հաստատվածը փոփոխելը</w:t>
            </w:r>
          </w:p>
        </w:tc>
        <w:tc>
          <w:tcPr>
            <w:tcW w:w="1883" w:type="dxa"/>
            <w:gridSpan w:val="2"/>
            <w:tcBorders>
              <w:top w:val="single" w:sz="4" w:space="0" w:color="auto"/>
              <w:left w:val="single" w:sz="4" w:space="0" w:color="auto"/>
            </w:tcBorders>
            <w:shd w:val="clear" w:color="auto" w:fill="FFFFFF"/>
          </w:tcPr>
          <w:p w14:paraId="73B48385" w14:textId="77777777" w:rsidR="008C76E0" w:rsidRPr="003B2786" w:rsidRDefault="008C76E0" w:rsidP="008C76E0">
            <w:pPr>
              <w:spacing w:after="0"/>
              <w:ind w:left="159" w:right="222"/>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6F26746F" w14:textId="77777777" w:rsidR="008C76E0" w:rsidRPr="003B2786" w:rsidRDefault="008C76E0" w:rsidP="008C76E0">
            <w:pPr>
              <w:spacing w:after="0"/>
              <w:ind w:left="159" w:right="222"/>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314DAE8D"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4522CE9"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12E9ABA" w14:textId="77777777" w:rsidR="008C76E0" w:rsidRPr="003B2786" w:rsidRDefault="008C76E0" w:rsidP="008C76E0">
            <w:pPr>
              <w:pStyle w:val="Bodytext180"/>
              <w:shd w:val="clear" w:color="auto" w:fill="auto"/>
              <w:spacing w:before="0" w:line="240" w:lineRule="auto"/>
              <w:ind w:left="159" w:right="222"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rPr>
              <w:tab/>
              <w:t>կիրառման ցուցում բացառելը</w:t>
            </w:r>
          </w:p>
        </w:tc>
        <w:tc>
          <w:tcPr>
            <w:tcW w:w="1883" w:type="dxa"/>
            <w:gridSpan w:val="2"/>
            <w:tcBorders>
              <w:top w:val="single" w:sz="4" w:space="0" w:color="auto"/>
              <w:left w:val="single" w:sz="4" w:space="0" w:color="auto"/>
            </w:tcBorders>
            <w:shd w:val="clear" w:color="auto" w:fill="FFFFFF"/>
          </w:tcPr>
          <w:p w14:paraId="53F2BD3E"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2252CE0A"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5DB7194B"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0A2BA43" w14:textId="77777777" w:rsidTr="004A52D9">
        <w:trPr>
          <w:jc w:val="center"/>
        </w:trPr>
        <w:tc>
          <w:tcPr>
            <w:tcW w:w="2594" w:type="dxa"/>
            <w:gridSpan w:val="2"/>
            <w:tcBorders>
              <w:top w:val="single" w:sz="4" w:space="0" w:color="auto"/>
              <w:left w:val="single" w:sz="4" w:space="0" w:color="auto"/>
            </w:tcBorders>
            <w:shd w:val="clear" w:color="auto" w:fill="FFFFFF"/>
          </w:tcPr>
          <w:p w14:paraId="6F91B83D" w14:textId="77777777" w:rsidR="008C76E0" w:rsidRPr="003B2786" w:rsidRDefault="008C76E0" w:rsidP="008C76E0">
            <w:pPr>
              <w:pStyle w:val="Bodytext180"/>
              <w:shd w:val="clear" w:color="auto" w:fill="auto"/>
              <w:spacing w:before="0" w:after="120" w:line="240" w:lineRule="auto"/>
              <w:ind w:left="174" w:right="6" w:firstLine="0"/>
              <w:jc w:val="both"/>
              <w:rPr>
                <w:rFonts w:ascii="Sylfaen" w:hAnsi="Sylfaen"/>
                <w:sz w:val="24"/>
                <w:szCs w:val="24"/>
              </w:rPr>
            </w:pPr>
            <w:r w:rsidRPr="003B2786">
              <w:rPr>
                <w:rStyle w:val="Bodytext295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4455F4F2" w14:textId="77777777" w:rsidR="008C76E0" w:rsidRPr="003B2786" w:rsidRDefault="008C76E0" w:rsidP="008C76E0">
            <w:pPr>
              <w:widowControl/>
              <w:autoSpaceDE w:val="0"/>
              <w:autoSpaceDN w:val="0"/>
              <w:adjustRightInd w:val="0"/>
              <w:spacing w:after="120"/>
              <w:ind w:left="159" w:right="222"/>
              <w:jc w:val="both"/>
              <w:rPr>
                <w:rFonts w:ascii="Sylfaen" w:hAnsi="Sylfaen"/>
                <w:sz w:val="24"/>
                <w:szCs w:val="24"/>
              </w:rPr>
            </w:pPr>
            <w:r w:rsidRPr="003B2786">
              <w:rPr>
                <w:rFonts w:ascii="Sylfaen" w:hAnsi="Sylfaen"/>
                <w:sz w:val="24"/>
                <w:szCs w:val="24"/>
              </w:rPr>
              <w:t>Եթե կիրառման ցուցում ավելացնելը կամ փոփոխելը տեղի է ունենում փորձագիտական կոմիտեի եզրակացության իրականացման կամ ռեֆերենտ դեղապատրաստուկի մի</w:t>
            </w:r>
            <w:r w:rsidR="00C54D75">
              <w:rPr>
                <w:rFonts w:ascii="Sylfaen" w:hAnsi="Sylfaen"/>
                <w:sz w:val="24"/>
                <w:szCs w:val="24"/>
              </w:rPr>
              <w:t>և</w:t>
            </w:r>
            <w:r w:rsidRPr="003B2786">
              <w:rPr>
                <w:rFonts w:ascii="Sylfaen" w:hAnsi="Sylfaen"/>
                <w:sz w:val="24"/>
                <w:szCs w:val="24"/>
              </w:rPr>
              <w:t>նույն փոփոխության փորձաքննությունից հետո դեղապատրաստուկի մասին տեղեկատվության, վերարտադրված կամ հիբրիդային կամ կենսահամանման դեղապատրաստուկի փոփոխության հետ</w:t>
            </w:r>
            <w:r w:rsidR="00C54D75">
              <w:rPr>
                <w:rFonts w:ascii="Sylfaen" w:hAnsi="Sylfaen"/>
                <w:sz w:val="24"/>
                <w:szCs w:val="24"/>
              </w:rPr>
              <w:t>և</w:t>
            </w:r>
            <w:r w:rsidRPr="003B2786">
              <w:rPr>
                <w:rFonts w:ascii="Sylfaen" w:hAnsi="Sylfaen"/>
                <w:sz w:val="24"/>
                <w:szCs w:val="24"/>
              </w:rPr>
              <w:t xml:space="preserve">անքով, ապա կիրառվում են համապատասխանաբար Գ.I.1 </w:t>
            </w:r>
            <w:r w:rsidR="00C54D75">
              <w:rPr>
                <w:rFonts w:ascii="Sylfaen" w:hAnsi="Sylfaen"/>
                <w:sz w:val="24"/>
                <w:szCs w:val="24"/>
              </w:rPr>
              <w:t>և</w:t>
            </w:r>
            <w:r w:rsidRPr="003B2786">
              <w:rPr>
                <w:rFonts w:ascii="Sylfaen" w:hAnsi="Sylfaen"/>
                <w:sz w:val="24"/>
                <w:szCs w:val="24"/>
              </w:rPr>
              <w:t xml:space="preserve"> Գ.I.2 փոփոխությունները:</w:t>
            </w:r>
          </w:p>
        </w:tc>
      </w:tr>
      <w:tr w:rsidR="008C76E0" w:rsidRPr="003B2786" w14:paraId="42D837CC" w14:textId="77777777" w:rsidTr="004A52D9">
        <w:trPr>
          <w:jc w:val="center"/>
        </w:trPr>
        <w:tc>
          <w:tcPr>
            <w:tcW w:w="4984" w:type="dxa"/>
            <w:gridSpan w:val="4"/>
            <w:tcBorders>
              <w:top w:val="single" w:sz="4" w:space="0" w:color="auto"/>
              <w:left w:val="single" w:sz="4" w:space="0" w:color="auto"/>
            </w:tcBorders>
            <w:shd w:val="clear" w:color="auto" w:fill="FFFFFF"/>
            <w:vAlign w:val="center"/>
          </w:tcPr>
          <w:p w14:paraId="6DD067B7" w14:textId="77777777" w:rsidR="008C76E0" w:rsidRPr="003B2786" w:rsidRDefault="008C76E0" w:rsidP="008C76E0">
            <w:pPr>
              <w:pStyle w:val="Bodytext180"/>
              <w:shd w:val="clear" w:color="auto" w:fill="auto"/>
              <w:tabs>
                <w:tab w:val="left" w:pos="1158"/>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Գ.I.7.</w:t>
            </w:r>
            <w:r w:rsidRPr="003B2786">
              <w:rPr>
                <w:rStyle w:val="Bodytext1811pt"/>
                <w:rFonts w:ascii="Sylfaen" w:hAnsi="Sylfaen"/>
                <w:sz w:val="24"/>
                <w:szCs w:val="24"/>
              </w:rPr>
              <w:tab/>
              <w:t>Բացառություն՝</w:t>
            </w:r>
          </w:p>
        </w:tc>
        <w:tc>
          <w:tcPr>
            <w:tcW w:w="1883" w:type="dxa"/>
            <w:gridSpan w:val="2"/>
            <w:tcBorders>
              <w:top w:val="single" w:sz="4" w:space="0" w:color="auto"/>
              <w:left w:val="single" w:sz="4" w:space="0" w:color="auto"/>
            </w:tcBorders>
            <w:shd w:val="clear" w:color="auto" w:fill="FFFFFF"/>
          </w:tcPr>
          <w:p w14:paraId="6F27CD57"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4FD782B"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Պահանջվող փաստաթղթերը</w:t>
            </w:r>
          </w:p>
        </w:tc>
        <w:tc>
          <w:tcPr>
            <w:tcW w:w="1843" w:type="dxa"/>
            <w:gridSpan w:val="2"/>
            <w:tcBorders>
              <w:top w:val="single" w:sz="4" w:space="0" w:color="auto"/>
              <w:left w:val="single" w:sz="4" w:space="0" w:color="auto"/>
              <w:right w:val="single" w:sz="4" w:space="0" w:color="auto"/>
            </w:tcBorders>
            <w:shd w:val="clear" w:color="auto" w:fill="FFFFFF"/>
          </w:tcPr>
          <w:p w14:paraId="6AF7E34F"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189723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BE16EBD"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ա)</w:t>
            </w:r>
            <w:r w:rsidRPr="003B2786">
              <w:rPr>
                <w:rStyle w:val="Bodytext1811pt"/>
                <w:rFonts w:ascii="Sylfaen" w:hAnsi="Sylfaen"/>
                <w:sz w:val="24"/>
                <w:szCs w:val="24"/>
              </w:rPr>
              <w:tab/>
              <w:t>դեղաձ</w:t>
            </w:r>
            <w:r w:rsidR="00C54D75">
              <w:rPr>
                <w:rStyle w:val="Bodytext1811pt"/>
                <w:rFonts w:ascii="Sylfaen" w:hAnsi="Sylfaen"/>
                <w:sz w:val="24"/>
                <w:szCs w:val="24"/>
              </w:rPr>
              <w:t>և</w:t>
            </w:r>
            <w:r w:rsidRPr="003B2786">
              <w:rPr>
                <w:rStyle w:val="Bodytext1811pt"/>
                <w:rFonts w:ascii="Sylfaen" w:hAnsi="Sylfaen"/>
                <w:sz w:val="24"/>
                <w:szCs w:val="24"/>
              </w:rPr>
              <w:t>ի</w:t>
            </w:r>
          </w:p>
        </w:tc>
        <w:tc>
          <w:tcPr>
            <w:tcW w:w="1883" w:type="dxa"/>
            <w:gridSpan w:val="2"/>
            <w:tcBorders>
              <w:top w:val="single" w:sz="4" w:space="0" w:color="auto"/>
              <w:left w:val="single" w:sz="4" w:space="0" w:color="auto"/>
            </w:tcBorders>
            <w:shd w:val="clear" w:color="auto" w:fill="FFFFFF"/>
          </w:tcPr>
          <w:p w14:paraId="12623C81"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DB7CD72"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6F516B2C"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6C0A2422"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0F086B9"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բ)</w:t>
            </w:r>
            <w:r w:rsidRPr="003B2786">
              <w:rPr>
                <w:rStyle w:val="Bodytext1811pt"/>
                <w:rFonts w:ascii="Sylfaen" w:hAnsi="Sylfaen"/>
                <w:sz w:val="24"/>
                <w:szCs w:val="24"/>
              </w:rPr>
              <w:tab/>
              <w:t>չափաքանակի</w:t>
            </w:r>
          </w:p>
        </w:tc>
        <w:tc>
          <w:tcPr>
            <w:tcW w:w="1883" w:type="dxa"/>
            <w:gridSpan w:val="2"/>
            <w:tcBorders>
              <w:top w:val="single" w:sz="4" w:space="0" w:color="auto"/>
              <w:left w:val="single" w:sz="4" w:space="0" w:color="auto"/>
            </w:tcBorders>
            <w:shd w:val="clear" w:color="auto" w:fill="FFFFFF"/>
          </w:tcPr>
          <w:p w14:paraId="166D24A7"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423CC0B"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1C57B6BD"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2392B80E"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C192463"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B95C381"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Հայտարարագիր այն մասին, որ բացթողման մնացած ձ</w:t>
            </w:r>
            <w:r w:rsidR="00C54D75">
              <w:rPr>
                <w:rStyle w:val="Bodytext1811pt"/>
                <w:rFonts w:ascii="Sylfaen" w:hAnsi="Sylfaen"/>
                <w:sz w:val="24"/>
                <w:szCs w:val="24"/>
              </w:rPr>
              <w:t>և</w:t>
            </w:r>
            <w:r w:rsidRPr="003B2786">
              <w:rPr>
                <w:rStyle w:val="Bodytext1811pt"/>
                <w:rFonts w:ascii="Sylfaen" w:hAnsi="Sylfaen"/>
                <w:sz w:val="24"/>
                <w:szCs w:val="24"/>
              </w:rPr>
              <w:t>ը (ձ</w:t>
            </w:r>
            <w:r w:rsidR="00C54D75">
              <w:rPr>
                <w:rStyle w:val="Bodytext1811pt"/>
                <w:rFonts w:ascii="Sylfaen" w:hAnsi="Sylfaen"/>
                <w:sz w:val="24"/>
                <w:szCs w:val="24"/>
              </w:rPr>
              <w:t>և</w:t>
            </w:r>
            <w:r w:rsidRPr="003B2786">
              <w:rPr>
                <w:rStyle w:val="Bodytext1811pt"/>
                <w:rFonts w:ascii="Sylfaen" w:hAnsi="Sylfaen"/>
                <w:sz w:val="24"/>
                <w:szCs w:val="24"/>
              </w:rPr>
              <w:t xml:space="preserve">երը) բավարար է (են) դեղապատրաստուկի ընդհանուր բնութագրում նկարագրված դոզավորման </w:t>
            </w:r>
            <w:r w:rsidR="00C54D75">
              <w:rPr>
                <w:rStyle w:val="Bodytext1811pt"/>
                <w:rFonts w:ascii="Sylfaen" w:hAnsi="Sylfaen"/>
                <w:sz w:val="24"/>
                <w:szCs w:val="24"/>
              </w:rPr>
              <w:t>և</w:t>
            </w:r>
            <w:r w:rsidRPr="003B2786">
              <w:rPr>
                <w:rStyle w:val="Bodytext1811pt"/>
                <w:rFonts w:ascii="Sylfaen" w:hAnsi="Sylfaen"/>
                <w:sz w:val="24"/>
                <w:szCs w:val="24"/>
              </w:rPr>
              <w:t xml:space="preserve"> բուժման տ</w:t>
            </w:r>
            <w:r w:rsidR="00C54D75">
              <w:rPr>
                <w:rStyle w:val="Bodytext1811pt"/>
                <w:rFonts w:ascii="Sylfaen" w:hAnsi="Sylfaen"/>
                <w:sz w:val="24"/>
                <w:szCs w:val="24"/>
              </w:rPr>
              <w:t>և</w:t>
            </w:r>
            <w:r w:rsidRPr="003B2786">
              <w:rPr>
                <w:rStyle w:val="Bodytext1811pt"/>
                <w:rFonts w:ascii="Sylfaen" w:hAnsi="Sylfaen"/>
                <w:sz w:val="24"/>
                <w:szCs w:val="24"/>
              </w:rPr>
              <w:t>ողության վերաբերյալ առաջարկությունների կատարման համար:</w:t>
            </w:r>
          </w:p>
          <w:p w14:paraId="4B7A0806" w14:textId="77777777" w:rsidR="008C76E0" w:rsidRPr="003B2786"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15387718" w14:textId="77777777" w:rsidTr="004A52D9">
        <w:trPr>
          <w:jc w:val="center"/>
        </w:trPr>
        <w:tc>
          <w:tcPr>
            <w:tcW w:w="2594" w:type="dxa"/>
            <w:gridSpan w:val="2"/>
            <w:tcBorders>
              <w:top w:val="single" w:sz="4" w:space="0" w:color="auto"/>
              <w:left w:val="single" w:sz="4" w:space="0" w:color="auto"/>
            </w:tcBorders>
            <w:shd w:val="clear" w:color="auto" w:fill="FFFFFF"/>
          </w:tcPr>
          <w:p w14:paraId="4EABBDD0" w14:textId="77777777" w:rsidR="008C76E0" w:rsidRPr="003B2786" w:rsidRDefault="008C76E0" w:rsidP="008C76E0">
            <w:pPr>
              <w:pStyle w:val="Bodytext180"/>
              <w:shd w:val="clear" w:color="auto" w:fill="auto"/>
              <w:spacing w:before="0" w:after="120" w:line="240" w:lineRule="auto"/>
              <w:ind w:left="159" w:right="6" w:firstLine="0"/>
              <w:jc w:val="both"/>
              <w:rPr>
                <w:rFonts w:ascii="Sylfaen" w:hAnsi="Sylfaen"/>
                <w:sz w:val="24"/>
                <w:szCs w:val="24"/>
              </w:rPr>
            </w:pPr>
            <w:r w:rsidRPr="003B2786">
              <w:rPr>
                <w:rStyle w:val="Bodytext295pt"/>
                <w:rFonts w:ascii="Sylfaen" w:hAnsi="Sylfaen"/>
                <w:sz w:val="24"/>
                <w:szCs w:val="24"/>
              </w:rPr>
              <w:lastRenderedPageBreak/>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2D9DAE67"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Եթե դիտարկվող դեղաձ</w:t>
            </w:r>
            <w:r w:rsidR="00C54D75">
              <w:rPr>
                <w:rStyle w:val="Bodytext1811pt"/>
                <w:rFonts w:ascii="Sylfaen" w:hAnsi="Sylfaen"/>
                <w:sz w:val="24"/>
                <w:szCs w:val="24"/>
              </w:rPr>
              <w:t>և</w:t>
            </w:r>
            <w:r w:rsidRPr="003B2786">
              <w:rPr>
                <w:rStyle w:val="Bodytext1811pt"/>
                <w:rFonts w:ascii="Sylfaen" w:hAnsi="Sylfaen"/>
                <w:sz w:val="24"/>
                <w:szCs w:val="24"/>
              </w:rPr>
              <w:t>ը կամ չափաքանակը գրանցվել է առանձին դեղապատրաստուկի տեսքով, ապա այդպիսի դեղաձ</w:t>
            </w:r>
            <w:r w:rsidR="00C54D75">
              <w:rPr>
                <w:rStyle w:val="Bodytext1811pt"/>
                <w:rFonts w:ascii="Sylfaen" w:hAnsi="Sylfaen"/>
                <w:sz w:val="24"/>
                <w:szCs w:val="24"/>
              </w:rPr>
              <w:t>և</w:t>
            </w:r>
            <w:r w:rsidRPr="003B2786">
              <w:rPr>
                <w:rStyle w:val="Bodytext1811pt"/>
                <w:rFonts w:ascii="Sylfaen" w:hAnsi="Sylfaen"/>
                <w:sz w:val="24"/>
                <w:szCs w:val="24"/>
              </w:rPr>
              <w:t>ի կամ չափաքանակի բացառելը կհամարվի ոչ թե փոփոխությունների կատարում, այլ շրջանառությունից հանում:</w:t>
            </w:r>
          </w:p>
        </w:tc>
      </w:tr>
      <w:tr w:rsidR="008C76E0" w:rsidRPr="003B2786" w14:paraId="6D72A03F" w14:textId="77777777" w:rsidTr="004A52D9">
        <w:trPr>
          <w:jc w:val="center"/>
        </w:trPr>
        <w:tc>
          <w:tcPr>
            <w:tcW w:w="4984" w:type="dxa"/>
            <w:gridSpan w:val="4"/>
            <w:tcBorders>
              <w:top w:val="single" w:sz="4" w:space="0" w:color="auto"/>
              <w:left w:val="single" w:sz="4" w:space="0" w:color="auto"/>
            </w:tcBorders>
            <w:shd w:val="clear" w:color="auto" w:fill="FFFFFF"/>
          </w:tcPr>
          <w:p w14:paraId="323D86BF" w14:textId="77777777" w:rsidR="008C76E0" w:rsidRPr="008C76E0" w:rsidRDefault="008C76E0" w:rsidP="008C76E0">
            <w:pPr>
              <w:pStyle w:val="Bodytext180"/>
              <w:shd w:val="clear" w:color="auto" w:fill="auto"/>
              <w:tabs>
                <w:tab w:val="left" w:pos="117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Գ.I.8.</w:t>
            </w:r>
            <w:r w:rsidRPr="003B2786">
              <w:rPr>
                <w:rStyle w:val="Bodytext1811pt"/>
                <w:rFonts w:ascii="Sylfaen" w:hAnsi="Sylfaen"/>
                <w:sz w:val="24"/>
                <w:szCs w:val="24"/>
              </w:rPr>
              <w:tab/>
              <w:t>Բժշկական կիրառման համար նախատեսված դեղապատրաստուկի դեղազգոնության համակարգի ռեզյումե ներմուծելը կամ փոփոխելը (*)</w:t>
            </w:r>
          </w:p>
        </w:tc>
        <w:tc>
          <w:tcPr>
            <w:tcW w:w="1883" w:type="dxa"/>
            <w:gridSpan w:val="2"/>
            <w:tcBorders>
              <w:top w:val="single" w:sz="4" w:space="0" w:color="auto"/>
              <w:left w:val="single" w:sz="4" w:space="0" w:color="auto"/>
            </w:tcBorders>
            <w:shd w:val="clear" w:color="auto" w:fill="FFFFFF"/>
          </w:tcPr>
          <w:p w14:paraId="7D671B9C"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779B21C9"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56C0E70"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801E0B5"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617A8E9D" w14:textId="77777777" w:rsidR="008C76E0" w:rsidRPr="008C76E0" w:rsidRDefault="008C76E0" w:rsidP="008C76E0">
            <w:pPr>
              <w:pStyle w:val="Bodytext180"/>
              <w:shd w:val="clear" w:color="auto" w:fill="auto"/>
              <w:tabs>
                <w:tab w:val="left" w:pos="53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Դեղազգոնության համակարգի ռեզյումե, դեղազգոնության հարցերով որակավորված անձի վերաբերյալ փոփոխություններ (ներառյալ՝ կոնտակտային տեղեկատվությունը) ներմուծելը </w:t>
            </w:r>
            <w:r w:rsidR="00C54D75">
              <w:rPr>
                <w:rStyle w:val="Bodytext1811pt"/>
                <w:rFonts w:ascii="Sylfaen" w:hAnsi="Sylfaen"/>
                <w:sz w:val="24"/>
                <w:szCs w:val="24"/>
              </w:rPr>
              <w:t>և</w:t>
            </w:r>
            <w:r w:rsidRPr="003B2786">
              <w:rPr>
                <w:rStyle w:val="Bodytext1811pt"/>
                <w:rFonts w:ascii="Sylfaen" w:hAnsi="Sylfaen"/>
                <w:sz w:val="24"/>
                <w:szCs w:val="24"/>
              </w:rPr>
              <w:t xml:space="preserve"> (կամ) դեղազգոնության համակարգի մաստեր-ֆայլի (ԴՀՄՖ) տեղակայման վայրի փոփոխումը</w:t>
            </w:r>
          </w:p>
        </w:tc>
        <w:tc>
          <w:tcPr>
            <w:tcW w:w="1883" w:type="dxa"/>
            <w:gridSpan w:val="2"/>
            <w:tcBorders>
              <w:top w:val="single" w:sz="4" w:space="0" w:color="auto"/>
              <w:left w:val="single" w:sz="4" w:space="0" w:color="auto"/>
              <w:bottom w:val="single" w:sz="4" w:space="0" w:color="auto"/>
            </w:tcBorders>
            <w:shd w:val="clear" w:color="auto" w:fill="FFFFFF"/>
          </w:tcPr>
          <w:p w14:paraId="35BE1572" w14:textId="77777777" w:rsidR="008C76E0" w:rsidRPr="003B2786" w:rsidRDefault="008C76E0" w:rsidP="008C76E0">
            <w:pPr>
              <w:tabs>
                <w:tab w:val="left" w:pos="539"/>
              </w:tabs>
              <w:spacing w:after="0"/>
              <w:ind w:left="159" w:right="221"/>
              <w:jc w:val="center"/>
              <w:rPr>
                <w:rFonts w:ascii="Sylfaen" w:hAnsi="Sylfaen"/>
                <w:sz w:val="24"/>
                <w:szCs w:val="24"/>
              </w:rPr>
            </w:pPr>
          </w:p>
        </w:tc>
        <w:tc>
          <w:tcPr>
            <w:tcW w:w="1984" w:type="dxa"/>
            <w:gridSpan w:val="2"/>
            <w:tcBorders>
              <w:top w:val="single" w:sz="4" w:space="0" w:color="auto"/>
              <w:left w:val="single" w:sz="4" w:space="0" w:color="auto"/>
              <w:bottom w:val="single" w:sz="4" w:space="0" w:color="auto"/>
            </w:tcBorders>
            <w:shd w:val="clear" w:color="auto" w:fill="FFFFFF"/>
          </w:tcPr>
          <w:p w14:paraId="58498C48" w14:textId="77777777" w:rsidR="008C76E0" w:rsidRPr="003B2786" w:rsidRDefault="008C76E0" w:rsidP="008C76E0">
            <w:pPr>
              <w:tabs>
                <w:tab w:val="left" w:pos="539"/>
              </w:tabs>
              <w:spacing w:after="0"/>
              <w:ind w:left="159" w:right="221"/>
              <w:jc w:val="center"/>
              <w:rPr>
                <w:rFonts w:ascii="Sylfaen" w:hAnsi="Sylfae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8978624" w14:textId="77777777" w:rsidR="008C76E0" w:rsidRPr="003B2786" w:rsidRDefault="008C76E0" w:rsidP="008C76E0">
            <w:pPr>
              <w:pStyle w:val="Bodytext180"/>
              <w:shd w:val="clear" w:color="auto" w:fill="auto"/>
              <w:tabs>
                <w:tab w:val="left" w:pos="53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66B3BB2C"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4B163A1F" w14:textId="77777777" w:rsidR="008C76E0" w:rsidRPr="008C76E0" w:rsidRDefault="008C76E0" w:rsidP="008C76E0">
            <w:pPr>
              <w:pStyle w:val="Bodytext180"/>
              <w:shd w:val="clear" w:color="auto" w:fill="auto"/>
              <w:tabs>
                <w:tab w:val="left" w:pos="53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EC0A435" w14:textId="77777777" w:rsidR="008C76E0" w:rsidRPr="008C76E0" w:rsidRDefault="008C76E0" w:rsidP="008C76E0">
            <w:pPr>
              <w:pStyle w:val="Bodytext180"/>
              <w:shd w:val="clear" w:color="auto" w:fill="auto"/>
              <w:tabs>
                <w:tab w:val="left" w:pos="53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Դեղազգոնության համակարգի ռեզյումեն կամ (համապատասխանաբար) նշանակալի տարրերի թարմացումը.</w:t>
            </w:r>
          </w:p>
          <w:p w14:paraId="2F686324" w14:textId="77777777" w:rsidR="008C76E0" w:rsidRPr="008C76E0" w:rsidRDefault="008C76E0" w:rsidP="004A52D9">
            <w:pPr>
              <w:pStyle w:val="Bodytext180"/>
              <w:shd w:val="clear" w:color="auto" w:fill="auto"/>
              <w:tabs>
                <w:tab w:val="left" w:pos="539"/>
              </w:tabs>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b w:val="0"/>
                <w:sz w:val="24"/>
                <w:szCs w:val="24"/>
                <w:lang w:val="hy-AM"/>
              </w:rPr>
              <w:tab/>
            </w:r>
            <w:r w:rsidRPr="003B2786">
              <w:rPr>
                <w:rStyle w:val="Bodytext1811pt"/>
                <w:rFonts w:ascii="Sylfaen" w:hAnsi="Sylfaen"/>
                <w:sz w:val="24"/>
                <w:szCs w:val="24"/>
              </w:rPr>
              <w:t xml:space="preserve">Հաստատումն այն մասին, որ հայտատուն իր տնօրինության տակ ունի դեղազգոնության համար պատասխանատու որակավորված անձ, </w:t>
            </w:r>
            <w:r w:rsidR="00C54D75">
              <w:rPr>
                <w:rStyle w:val="Bodytext1811pt"/>
                <w:rFonts w:ascii="Sylfaen" w:hAnsi="Sylfaen"/>
                <w:sz w:val="24"/>
                <w:szCs w:val="24"/>
              </w:rPr>
              <w:t>և</w:t>
            </w:r>
            <w:r w:rsidRPr="003B2786">
              <w:rPr>
                <w:rStyle w:val="Bodytext1811pt"/>
                <w:rFonts w:ascii="Sylfaen" w:hAnsi="Sylfaen"/>
                <w:sz w:val="24"/>
                <w:szCs w:val="24"/>
              </w:rPr>
              <w:t xml:space="preserve"> հայտատուի կողմից ստորագրված հաստատումն այն բանի, որ հայտատուն տիրապետում է անհրաժեշտ միջոցների՝ կատարելու Միության դեղազգոնության պատշաճ գործելակերպի կանոնների մեջ թվարկված խնդիրներն ու պարտականությունները:</w:t>
            </w:r>
          </w:p>
          <w:p w14:paraId="52B02668" w14:textId="77777777" w:rsidR="008C76E0" w:rsidRPr="008C76E0" w:rsidRDefault="008C76E0" w:rsidP="004A52D9">
            <w:pPr>
              <w:pStyle w:val="Bodytext180"/>
              <w:shd w:val="clear" w:color="auto" w:fill="auto"/>
              <w:tabs>
                <w:tab w:val="left" w:pos="539"/>
              </w:tabs>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b w:val="0"/>
                <w:sz w:val="24"/>
                <w:szCs w:val="24"/>
                <w:lang w:val="hy-AM"/>
              </w:rPr>
              <w:tab/>
            </w:r>
            <w:r w:rsidRPr="003B2786">
              <w:rPr>
                <w:rStyle w:val="Bodytext1811pt"/>
                <w:rFonts w:ascii="Sylfaen" w:hAnsi="Sylfaen"/>
                <w:sz w:val="24"/>
                <w:szCs w:val="24"/>
              </w:rPr>
              <w:t xml:space="preserve">Կոնտակտային տեղեկատվություն այն անդամ պետությունում դեղազգոնության հարցերով որակավորված անձի մասին, որտեղ տեղակայված է դեղազգոնության հարցերով որակավորված անձը </w:t>
            </w:r>
            <w:r w:rsidR="00C54D75">
              <w:rPr>
                <w:rStyle w:val="Bodytext1811pt"/>
                <w:rFonts w:ascii="Sylfaen" w:hAnsi="Sylfaen"/>
                <w:sz w:val="24"/>
                <w:szCs w:val="24"/>
              </w:rPr>
              <w:t>և</w:t>
            </w:r>
            <w:r w:rsidRPr="003B2786">
              <w:rPr>
                <w:rStyle w:val="Bodytext1811pt"/>
                <w:rFonts w:ascii="Sylfaen" w:hAnsi="Sylfaen"/>
                <w:sz w:val="24"/>
                <w:szCs w:val="24"/>
              </w:rPr>
              <w:t xml:space="preserve"> կատարում է իր առաջադրանքները:</w:t>
            </w:r>
          </w:p>
          <w:p w14:paraId="4ABE44D0" w14:textId="77777777" w:rsidR="008C76E0" w:rsidRPr="008C76E0" w:rsidRDefault="008C76E0" w:rsidP="008C76E0">
            <w:pPr>
              <w:pStyle w:val="Bodytext180"/>
              <w:shd w:val="clear" w:color="auto" w:fill="auto"/>
              <w:tabs>
                <w:tab w:val="left" w:pos="53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w:t>
            </w:r>
            <w:r w:rsidRPr="008C76E0">
              <w:rPr>
                <w:rFonts w:ascii="Sylfaen" w:hAnsi="Sylfaen"/>
                <w:b w:val="0"/>
                <w:sz w:val="24"/>
                <w:szCs w:val="24"/>
                <w:lang w:val="hy-AM"/>
              </w:rPr>
              <w:tab/>
            </w:r>
            <w:r w:rsidRPr="003B2786">
              <w:rPr>
                <w:rStyle w:val="Bodytext1811pt"/>
                <w:rFonts w:ascii="Sylfaen" w:hAnsi="Sylfaen"/>
                <w:sz w:val="24"/>
                <w:szCs w:val="24"/>
              </w:rPr>
              <w:t>ԴՀՄՖ-ի տեղակայման վայրը:</w:t>
            </w:r>
          </w:p>
          <w:p w14:paraId="0062C206" w14:textId="77777777" w:rsidR="008C76E0" w:rsidRPr="00E74ADC" w:rsidRDefault="008C76E0" w:rsidP="008C76E0">
            <w:pPr>
              <w:pStyle w:val="Bodytext180"/>
              <w:shd w:val="clear" w:color="auto" w:fill="auto"/>
              <w:tabs>
                <w:tab w:val="left" w:pos="539"/>
              </w:tabs>
              <w:spacing w:before="0" w:line="240" w:lineRule="auto"/>
              <w:ind w:left="159" w:right="221" w:firstLine="0"/>
              <w:jc w:val="both"/>
              <w:rPr>
                <w:rStyle w:val="Bodytext1811pt"/>
                <w:rFonts w:ascii="Sylfaen" w:hAnsi="Sylfaen"/>
                <w:sz w:val="24"/>
                <w:szCs w:val="24"/>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ԴՀՄՖ-ի համարը (առկայության դեպքում):</w:t>
            </w:r>
          </w:p>
          <w:p w14:paraId="67BA0737" w14:textId="77777777" w:rsidR="004A52D9" w:rsidRPr="00E74ADC" w:rsidRDefault="004A52D9" w:rsidP="008C76E0">
            <w:pPr>
              <w:pStyle w:val="Bodytext180"/>
              <w:shd w:val="clear" w:color="auto" w:fill="auto"/>
              <w:tabs>
                <w:tab w:val="left" w:pos="539"/>
              </w:tabs>
              <w:spacing w:before="0" w:line="240" w:lineRule="auto"/>
              <w:ind w:left="159" w:right="221" w:firstLine="0"/>
              <w:jc w:val="both"/>
              <w:rPr>
                <w:rFonts w:ascii="Sylfaen" w:hAnsi="Sylfaen"/>
                <w:b w:val="0"/>
                <w:sz w:val="24"/>
                <w:szCs w:val="24"/>
                <w:lang w:val="hy-AM"/>
              </w:rPr>
            </w:pPr>
          </w:p>
        </w:tc>
      </w:tr>
      <w:tr w:rsidR="008C76E0" w:rsidRPr="003B2786" w14:paraId="162C4C00" w14:textId="77777777" w:rsidTr="004A52D9">
        <w:trPr>
          <w:jc w:val="center"/>
        </w:trPr>
        <w:tc>
          <w:tcPr>
            <w:tcW w:w="2594" w:type="dxa"/>
            <w:gridSpan w:val="2"/>
            <w:tcBorders>
              <w:top w:val="single" w:sz="4" w:space="0" w:color="auto"/>
              <w:left w:val="single" w:sz="4" w:space="0" w:color="auto"/>
            </w:tcBorders>
            <w:shd w:val="clear" w:color="auto" w:fill="FFFFFF"/>
          </w:tcPr>
          <w:p w14:paraId="18206852" w14:textId="77777777" w:rsidR="008C76E0" w:rsidRPr="003B2786" w:rsidRDefault="008C76E0" w:rsidP="008C76E0">
            <w:pPr>
              <w:pStyle w:val="Bodytext180"/>
              <w:shd w:val="clear" w:color="auto" w:fill="auto"/>
              <w:spacing w:before="0" w:after="120" w:line="240" w:lineRule="auto"/>
              <w:ind w:left="32" w:right="6" w:firstLine="0"/>
              <w:jc w:val="both"/>
              <w:rPr>
                <w:rFonts w:ascii="Sylfaen" w:hAnsi="Sylfaen"/>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2E4EC365" w14:textId="77777777" w:rsidR="008C76E0" w:rsidRPr="003B2786" w:rsidRDefault="008C76E0" w:rsidP="008C76E0">
            <w:pPr>
              <w:pStyle w:val="Bodytext180"/>
              <w:shd w:val="clear" w:color="auto" w:fill="auto"/>
              <w:spacing w:before="0" w:after="120" w:line="288" w:lineRule="auto"/>
              <w:ind w:left="159" w:right="221" w:firstLine="0"/>
              <w:jc w:val="both"/>
              <w:rPr>
                <w:rFonts w:ascii="Sylfaen" w:hAnsi="Sylfaen"/>
                <w:b w:val="0"/>
                <w:sz w:val="24"/>
                <w:szCs w:val="24"/>
              </w:rPr>
            </w:pPr>
            <w:r w:rsidRPr="003B2786">
              <w:rPr>
                <w:rStyle w:val="Bodytext1811pt"/>
                <w:rFonts w:ascii="Sylfaen" w:hAnsi="Sylfaen"/>
                <w:sz w:val="24"/>
                <w:szCs w:val="24"/>
              </w:rPr>
              <w:t>Տվյալ փոփոխությունն ընդգրկում է ԴՀՄՖ ներմուծումը՝ անկախ գրանցման դոսյեի տեխնիկական մասում դեղազգոնության համակարգի մանրամասն նկարագրության առկայությունից:</w:t>
            </w:r>
          </w:p>
          <w:p w14:paraId="1EAAB69C" w14:textId="77777777" w:rsidR="008C76E0" w:rsidRPr="003B2786" w:rsidRDefault="008C76E0" w:rsidP="008C76E0">
            <w:pPr>
              <w:pStyle w:val="Bodytext180"/>
              <w:shd w:val="clear" w:color="auto" w:fill="auto"/>
              <w:spacing w:before="0" w:after="120" w:line="288" w:lineRule="auto"/>
              <w:ind w:left="159" w:right="221" w:firstLine="0"/>
              <w:jc w:val="both"/>
              <w:rPr>
                <w:rFonts w:ascii="Sylfaen" w:hAnsi="Sylfaen"/>
                <w:b w:val="0"/>
                <w:sz w:val="24"/>
                <w:szCs w:val="24"/>
              </w:rPr>
            </w:pPr>
            <w:r w:rsidRPr="003B2786">
              <w:rPr>
                <w:rStyle w:val="Bodytext1811pt"/>
                <w:rFonts w:ascii="Sylfaen" w:hAnsi="Sylfaen"/>
                <w:sz w:val="24"/>
                <w:szCs w:val="24"/>
              </w:rPr>
              <w:t xml:space="preserve">Դեղազգոնության հարցերով կոնտակտային անձի փոփոխությունները, ներառյալ՝ կոնտակտային տեղեկատվությունը (հեռախոսի </w:t>
            </w:r>
            <w:r w:rsidR="00C54D75">
              <w:rPr>
                <w:rStyle w:val="Bodytext1811pt"/>
                <w:rFonts w:ascii="Sylfaen" w:hAnsi="Sylfaen"/>
                <w:sz w:val="24"/>
                <w:szCs w:val="24"/>
              </w:rPr>
              <w:t>և</w:t>
            </w:r>
            <w:r w:rsidRPr="003B2786">
              <w:rPr>
                <w:rStyle w:val="Bodytext1811pt"/>
                <w:rFonts w:ascii="Sylfaen" w:hAnsi="Sylfaen"/>
                <w:sz w:val="24"/>
                <w:szCs w:val="24"/>
              </w:rPr>
              <w:t xml:space="preserve"> ֆաքսի համարները, փոստային հասցեն </w:t>
            </w:r>
            <w:r w:rsidR="00C54D75">
              <w:rPr>
                <w:rStyle w:val="Bodytext1811pt"/>
                <w:rFonts w:ascii="Sylfaen" w:hAnsi="Sylfaen"/>
                <w:sz w:val="24"/>
                <w:szCs w:val="24"/>
              </w:rPr>
              <w:t>և</w:t>
            </w:r>
            <w:r w:rsidRPr="003B2786">
              <w:rPr>
                <w:rStyle w:val="Bodytext1811pt"/>
                <w:rFonts w:ascii="Sylfaen" w:hAnsi="Sylfaen"/>
                <w:sz w:val="24"/>
                <w:szCs w:val="24"/>
              </w:rPr>
              <w:t xml:space="preserve"> էլեկտրոնային փոստի հասցեն) </w:t>
            </w:r>
            <w:r w:rsidR="00C54D75">
              <w:rPr>
                <w:rStyle w:val="Bodytext1811pt"/>
                <w:rFonts w:ascii="Sylfaen" w:hAnsi="Sylfaen"/>
                <w:sz w:val="24"/>
                <w:szCs w:val="24"/>
              </w:rPr>
              <w:t>և</w:t>
            </w:r>
            <w:r w:rsidRPr="003B2786">
              <w:rPr>
                <w:rStyle w:val="Bodytext1811pt"/>
                <w:rFonts w:ascii="Sylfaen" w:hAnsi="Sylfaen"/>
                <w:sz w:val="24"/>
                <w:szCs w:val="24"/>
              </w:rPr>
              <w:t xml:space="preserve"> ԴՀՄՖ-ի տեղակայման վայրի փոփոխությունները (փողոցը, քաղաքը, ինդեքսը, երկիրը) թույլատրվում է թարմացնել բացառապես միասնական ռեեստրի </w:t>
            </w:r>
            <w:r w:rsidRPr="003B2786">
              <w:rPr>
                <w:rStyle w:val="Bodytext1811pt"/>
                <w:rFonts w:ascii="Sylfaen" w:hAnsi="Sylfaen"/>
                <w:sz w:val="24"/>
                <w:szCs w:val="24"/>
              </w:rPr>
              <w:lastRenderedPageBreak/>
              <w:t>միջոցով (առանց փոփոխություններ կատարելու անհրաժեշտության): Եթե ԳՀ-ի իրավատերը դիմում է վերոնշյալ տեղեկատվությունը միասնական ռեեստրի միջոցով թարմացնելու հնարավորությանը, ապա նա պետք է գրանցման դոսյեում նշի, որ այդ տվյալների թարմացված տեղեկատվությունը ներառված է միասնական ռեեստրում:</w:t>
            </w:r>
          </w:p>
        </w:tc>
      </w:tr>
      <w:tr w:rsidR="008C76E0" w:rsidRPr="003B2786" w14:paraId="26BE74E9"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C6C60DC" w14:textId="77777777" w:rsidR="008C76E0" w:rsidRPr="008C76E0" w:rsidRDefault="008C76E0" w:rsidP="008C76E0">
            <w:pPr>
              <w:pStyle w:val="Bodytext180"/>
              <w:shd w:val="clear" w:color="auto" w:fill="auto"/>
              <w:tabs>
                <w:tab w:val="left" w:pos="112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Գ.I.9</w:t>
            </w:r>
            <w:r w:rsidRPr="003B2786">
              <w:rPr>
                <w:rStyle w:val="Bodytext1811pt"/>
                <w:rFonts w:ascii="Sylfaen" w:hAnsi="Sylfaen"/>
                <w:sz w:val="24"/>
                <w:szCs w:val="24"/>
              </w:rPr>
              <w:tab/>
              <w:t>Դեղազգոնության գոյություն ունեցող համակարգի փոփոխությունը՝ համաձայն դեղազգոնության համակարգի մանրամասն նկարագրության (ԴՀՄՆ)</w:t>
            </w:r>
          </w:p>
        </w:tc>
        <w:tc>
          <w:tcPr>
            <w:tcW w:w="1883" w:type="dxa"/>
            <w:gridSpan w:val="2"/>
            <w:tcBorders>
              <w:top w:val="single" w:sz="4" w:space="0" w:color="auto"/>
              <w:left w:val="single" w:sz="4" w:space="0" w:color="auto"/>
            </w:tcBorders>
            <w:shd w:val="clear" w:color="auto" w:fill="FFFFFF"/>
          </w:tcPr>
          <w:p w14:paraId="24CCAEFE"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B61FC4C"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5918C806"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B674B6F"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397C33E"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դեղազգոնության հարցերով որակավորված անձի </w:t>
            </w:r>
            <w:r w:rsidR="00C54D75">
              <w:rPr>
                <w:rStyle w:val="Bodytext1811pt"/>
                <w:rFonts w:ascii="Sylfaen" w:hAnsi="Sylfaen"/>
                <w:sz w:val="24"/>
                <w:szCs w:val="24"/>
              </w:rPr>
              <w:t>և</w:t>
            </w:r>
            <w:r w:rsidRPr="003B2786">
              <w:rPr>
                <w:rStyle w:val="Bodytext1811pt"/>
                <w:rFonts w:ascii="Sylfaen" w:hAnsi="Sylfaen"/>
                <w:sz w:val="24"/>
                <w:szCs w:val="24"/>
              </w:rPr>
              <w:t xml:space="preserve"> (կամ) կոնտակտային տեղեկատվության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պահուստավորման ընթացակարգի փոփոխությունը</w:t>
            </w:r>
          </w:p>
        </w:tc>
        <w:tc>
          <w:tcPr>
            <w:tcW w:w="1883" w:type="dxa"/>
            <w:gridSpan w:val="2"/>
            <w:tcBorders>
              <w:top w:val="single" w:sz="4" w:space="0" w:color="auto"/>
              <w:left w:val="single" w:sz="4" w:space="0" w:color="auto"/>
            </w:tcBorders>
            <w:shd w:val="clear" w:color="auto" w:fill="FFFFFF"/>
          </w:tcPr>
          <w:p w14:paraId="202A0EFF"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088E0EA7"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4CD4D11E"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75002DD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4C5AB80" w14:textId="77777777" w:rsidR="008C76E0" w:rsidRPr="008C76E0" w:rsidRDefault="008C76E0" w:rsidP="004A52D9">
            <w:pPr>
              <w:pStyle w:val="Bodytext180"/>
              <w:shd w:val="clear" w:color="auto" w:fill="auto"/>
              <w:tabs>
                <w:tab w:val="left" w:pos="572"/>
              </w:tabs>
              <w:spacing w:before="0" w:after="120" w:line="264"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անվտանգության տվյալների բազայի </w:t>
            </w:r>
            <w:r w:rsidR="00C54D75">
              <w:rPr>
                <w:rStyle w:val="Bodytext1811pt"/>
                <w:rFonts w:ascii="Sylfaen" w:hAnsi="Sylfaen"/>
                <w:sz w:val="24"/>
                <w:szCs w:val="24"/>
              </w:rPr>
              <w:t>և</w:t>
            </w:r>
            <w:r w:rsidRPr="003B2786">
              <w:rPr>
                <w:rStyle w:val="Bodytext1811pt"/>
                <w:rFonts w:ascii="Sylfaen" w:hAnsi="Sylfaen"/>
                <w:sz w:val="24"/>
                <w:szCs w:val="24"/>
              </w:rPr>
              <w:t xml:space="preserve"> (կամ) հիմնական պայմանագրային համաձայնագրերի փոփոխությունը՝ դեղազգոնության մասով պարտավորությունների կատարման նպատակով, </w:t>
            </w:r>
            <w:r w:rsidR="00C54D75">
              <w:rPr>
                <w:rStyle w:val="Bodytext1811pt"/>
                <w:rFonts w:ascii="Sylfaen" w:hAnsi="Sylfaen"/>
                <w:sz w:val="24"/>
                <w:szCs w:val="24"/>
              </w:rPr>
              <w:t>և</w:t>
            </w:r>
            <w:r w:rsidRPr="003B2786">
              <w:rPr>
                <w:rStyle w:val="Bodytext1811pt"/>
                <w:rFonts w:ascii="Sylfaen" w:hAnsi="Sylfaen"/>
                <w:sz w:val="24"/>
                <w:szCs w:val="24"/>
              </w:rPr>
              <w:t xml:space="preserve"> (կամ) դեղազգոնության մասով գործունեության անցկացման վայրի փոփոխությունը</w:t>
            </w:r>
          </w:p>
        </w:tc>
        <w:tc>
          <w:tcPr>
            <w:tcW w:w="1883" w:type="dxa"/>
            <w:gridSpan w:val="2"/>
            <w:tcBorders>
              <w:top w:val="single" w:sz="4" w:space="0" w:color="auto"/>
              <w:left w:val="single" w:sz="4" w:space="0" w:color="auto"/>
            </w:tcBorders>
            <w:shd w:val="clear" w:color="auto" w:fill="FFFFFF"/>
          </w:tcPr>
          <w:p w14:paraId="0E5146F6"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984" w:type="dxa"/>
            <w:gridSpan w:val="2"/>
            <w:tcBorders>
              <w:top w:val="single" w:sz="4" w:space="0" w:color="auto"/>
              <w:left w:val="single" w:sz="4" w:space="0" w:color="auto"/>
            </w:tcBorders>
            <w:shd w:val="clear" w:color="auto" w:fill="FFFFFF"/>
          </w:tcPr>
          <w:p w14:paraId="5F1C0FB3"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5293390B"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4AF40906"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2EC7372" w14:textId="77777777" w:rsidR="008C76E0" w:rsidRPr="008C76E0" w:rsidRDefault="008C76E0" w:rsidP="004A52D9">
            <w:pPr>
              <w:pStyle w:val="Bodytext180"/>
              <w:shd w:val="clear" w:color="auto" w:fill="auto"/>
              <w:tabs>
                <w:tab w:val="left" w:pos="572"/>
              </w:tabs>
              <w:spacing w:before="0" w:after="120" w:line="264"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գ)</w:t>
            </w:r>
            <w:r w:rsidRPr="003B2786">
              <w:rPr>
                <w:rStyle w:val="Bodytext1811pt"/>
                <w:rFonts w:ascii="Sylfaen" w:hAnsi="Sylfaen"/>
                <w:sz w:val="24"/>
                <w:szCs w:val="24"/>
              </w:rPr>
              <w:tab/>
              <w:t>ԴՀՄՆ-ի այլ փոփոխություններ, որոնք չեն ազդում դեղազգոնության համակարգի գործառման վրա (օրինակ՝ գլխավոր պահոցի (արխիվի) գտնվելու վայրի փոփոխությունը, վարչական փոփոխությունները)</w:t>
            </w:r>
          </w:p>
        </w:tc>
        <w:tc>
          <w:tcPr>
            <w:tcW w:w="1883" w:type="dxa"/>
            <w:gridSpan w:val="2"/>
            <w:tcBorders>
              <w:top w:val="single" w:sz="4" w:space="0" w:color="auto"/>
              <w:left w:val="single" w:sz="4" w:space="0" w:color="auto"/>
            </w:tcBorders>
            <w:shd w:val="clear" w:color="auto" w:fill="FFFFFF"/>
          </w:tcPr>
          <w:p w14:paraId="64158F23"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A2130CB"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5659B7FB"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p>
        </w:tc>
      </w:tr>
      <w:tr w:rsidR="008C76E0" w:rsidRPr="003B2786" w14:paraId="3FA5A8D6"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0F0B1A27"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w:t>
            </w:r>
            <w:r w:rsidRPr="003B2786">
              <w:rPr>
                <w:rStyle w:val="Bodytext1811pt"/>
                <w:rFonts w:ascii="Sylfaen" w:hAnsi="Sylfaen"/>
                <w:sz w:val="24"/>
                <w:szCs w:val="24"/>
              </w:rPr>
              <w:tab/>
              <w:t>ԳՀ-ի մի</w:t>
            </w:r>
            <w:r w:rsidR="00C54D75">
              <w:rPr>
                <w:rStyle w:val="Bodytext1811pt"/>
                <w:rFonts w:ascii="Sylfaen" w:hAnsi="Sylfaen"/>
                <w:sz w:val="24"/>
                <w:szCs w:val="24"/>
              </w:rPr>
              <w:t>և</w:t>
            </w:r>
            <w:r w:rsidRPr="003B2786">
              <w:rPr>
                <w:rStyle w:val="Bodytext1811pt"/>
                <w:rFonts w:ascii="Sylfaen" w:hAnsi="Sylfaen"/>
                <w:sz w:val="24"/>
                <w:szCs w:val="24"/>
              </w:rPr>
              <w:t>նույն իրավատիրոջ այլ դեղապատրաստուկի՝ ԴՀՄՆ-ի մասով փորձաքննության արդյունքներով ԴՀՄՆ-ում փոփոխություններ կատարելը</w:t>
            </w:r>
          </w:p>
        </w:tc>
        <w:tc>
          <w:tcPr>
            <w:tcW w:w="1883" w:type="dxa"/>
            <w:gridSpan w:val="2"/>
            <w:tcBorders>
              <w:top w:val="single" w:sz="4" w:space="0" w:color="auto"/>
              <w:left w:val="single" w:sz="4" w:space="0" w:color="auto"/>
              <w:bottom w:val="single" w:sz="4" w:space="0" w:color="auto"/>
            </w:tcBorders>
            <w:shd w:val="clear" w:color="auto" w:fill="FFFFFF"/>
          </w:tcPr>
          <w:p w14:paraId="37F6FE05"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4</w:t>
            </w:r>
          </w:p>
        </w:tc>
        <w:tc>
          <w:tcPr>
            <w:tcW w:w="1984" w:type="dxa"/>
            <w:gridSpan w:val="2"/>
            <w:tcBorders>
              <w:top w:val="single" w:sz="4" w:space="0" w:color="auto"/>
              <w:left w:val="single" w:sz="4" w:space="0" w:color="auto"/>
              <w:bottom w:val="single" w:sz="4" w:space="0" w:color="auto"/>
            </w:tcBorders>
            <w:shd w:val="clear" w:color="auto" w:fill="FFFFFF"/>
          </w:tcPr>
          <w:p w14:paraId="197BD3F8"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E7F95E1"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3A77047E"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14AFA40" w14:textId="77777777" w:rsidR="008C76E0" w:rsidRPr="008C76E0" w:rsidRDefault="008C76E0" w:rsidP="008C76E0">
            <w:pPr>
              <w:pStyle w:val="Bodytext180"/>
              <w:shd w:val="clear" w:color="auto" w:fill="auto"/>
              <w:tabs>
                <w:tab w:val="left" w:pos="572"/>
              </w:tabs>
              <w:spacing w:before="0" w:after="6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446F414A" w14:textId="77777777" w:rsidR="008C76E0" w:rsidRPr="008C76E0" w:rsidRDefault="008C76E0" w:rsidP="008C76E0">
            <w:pPr>
              <w:pStyle w:val="Bodytext180"/>
              <w:shd w:val="clear" w:color="auto" w:fill="auto"/>
              <w:tabs>
                <w:tab w:val="left" w:pos="572"/>
              </w:tabs>
              <w:spacing w:before="0" w:after="6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Դեղազգոնության համակարգն ինքնին չի փոփոխվում:</w:t>
            </w:r>
          </w:p>
          <w:p w14:paraId="7B289E21" w14:textId="77777777" w:rsidR="008C76E0" w:rsidRPr="008C76E0" w:rsidRDefault="008C76E0" w:rsidP="008C76E0">
            <w:pPr>
              <w:pStyle w:val="Bodytext180"/>
              <w:shd w:val="clear" w:color="auto" w:fill="auto"/>
              <w:tabs>
                <w:tab w:val="left" w:pos="572"/>
              </w:tabs>
              <w:spacing w:before="0" w:after="6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Տվյալների բազայի համակարգը վալիդացվել է (եթե կիրառելի է):</w:t>
            </w:r>
          </w:p>
          <w:p w14:paraId="6047478E" w14:textId="77777777" w:rsidR="008C76E0" w:rsidRPr="008C76E0" w:rsidRDefault="008C76E0" w:rsidP="008C76E0">
            <w:pPr>
              <w:pStyle w:val="Bodytext180"/>
              <w:shd w:val="clear" w:color="auto" w:fill="auto"/>
              <w:tabs>
                <w:tab w:val="left" w:pos="572"/>
              </w:tabs>
              <w:spacing w:before="0" w:after="6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Տվյալների տեղափոխումը տվյալների բազաների այլ համակարգերից վալիդացված է (եթե </w:t>
            </w:r>
            <w:r w:rsidRPr="003B2786">
              <w:rPr>
                <w:rStyle w:val="Bodytext1811pt"/>
                <w:rFonts w:ascii="Sylfaen" w:hAnsi="Sylfaen"/>
                <w:sz w:val="24"/>
                <w:szCs w:val="24"/>
              </w:rPr>
              <w:lastRenderedPageBreak/>
              <w:t>կիրառելի է):</w:t>
            </w:r>
          </w:p>
          <w:p w14:paraId="2990FE42" w14:textId="77777777" w:rsidR="008C76E0" w:rsidRPr="008C76E0" w:rsidRDefault="008C76E0" w:rsidP="008C76E0">
            <w:pPr>
              <w:pStyle w:val="Bodytext180"/>
              <w:shd w:val="clear" w:color="auto" w:fill="auto"/>
              <w:tabs>
                <w:tab w:val="left" w:pos="572"/>
              </w:tabs>
              <w:spacing w:before="0" w:after="6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ԴՀՄՆ-ում նույն փոփոխությունները կատարվել են ԳՀ-ի մի</w:t>
            </w:r>
            <w:r w:rsidR="00C54D75">
              <w:rPr>
                <w:rStyle w:val="Bodytext1811pt"/>
                <w:rFonts w:ascii="Sylfaen" w:hAnsi="Sylfaen"/>
                <w:sz w:val="24"/>
                <w:szCs w:val="24"/>
              </w:rPr>
              <w:t>և</w:t>
            </w:r>
            <w:r w:rsidRPr="003B2786">
              <w:rPr>
                <w:rStyle w:val="Bodytext1811pt"/>
                <w:rFonts w:ascii="Sylfaen" w:hAnsi="Sylfaen"/>
                <w:sz w:val="24"/>
                <w:szCs w:val="24"/>
              </w:rPr>
              <w:t>նույն իրավատիրոջ բոլոր դեղապատրաստուկների համար (ԴՀՄՆ-ի մի</w:t>
            </w:r>
            <w:r w:rsidR="00C54D75">
              <w:rPr>
                <w:rStyle w:val="Bodytext1811pt"/>
                <w:rFonts w:ascii="Sylfaen" w:hAnsi="Sylfaen"/>
                <w:sz w:val="24"/>
                <w:szCs w:val="24"/>
              </w:rPr>
              <w:t>և</w:t>
            </w:r>
            <w:r w:rsidRPr="003B2786">
              <w:rPr>
                <w:rStyle w:val="Bodytext1811pt"/>
                <w:rFonts w:ascii="Sylfaen" w:hAnsi="Sylfaen"/>
                <w:sz w:val="24"/>
                <w:szCs w:val="24"/>
              </w:rPr>
              <w:t xml:space="preserve">նույն վերջնական տարբերակը): </w:t>
            </w:r>
          </w:p>
        </w:tc>
      </w:tr>
      <w:tr w:rsidR="008C76E0" w:rsidRPr="003B2786" w14:paraId="1C70CBF3"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2F41970"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Փաստաթղթերը</w:t>
            </w:r>
          </w:p>
          <w:p w14:paraId="698091FC"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ԴՀՄՆ-ի վերջին տարբերակը </w:t>
            </w:r>
            <w:r w:rsidR="00C54D75">
              <w:rPr>
                <w:rStyle w:val="Bodytext1811pt"/>
                <w:rFonts w:ascii="Sylfaen" w:hAnsi="Sylfaen"/>
                <w:sz w:val="24"/>
                <w:szCs w:val="24"/>
              </w:rPr>
              <w:t>և</w:t>
            </w:r>
            <w:r w:rsidRPr="003B2786">
              <w:rPr>
                <w:rStyle w:val="Bodytext1811pt"/>
                <w:rFonts w:ascii="Sylfaen" w:hAnsi="Sylfaen"/>
                <w:sz w:val="24"/>
                <w:szCs w:val="24"/>
              </w:rPr>
              <w:t xml:space="preserve">, եթե կիրառելի է, պատրաստուկի մասնահատուկ լրացման վերջին տարբերակը: Դեղազգոնության հարցերով որակավորված անձի փոփոխության առնչությամբ դրանք պետք է ներառեն՝ ա) դեղազգոնության հարցերով նոր որակավորված անձի հակիրճ կենսագրությունը, բ) անցանկալի ռեակցիաների մասին ծանուցման իրենց ունակության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եղանակների վերաբերյալ իրավատիրոջ </w:t>
            </w:r>
            <w:r w:rsidR="00C54D75">
              <w:rPr>
                <w:rStyle w:val="Bodytext1811pt"/>
                <w:rFonts w:ascii="Sylfaen" w:hAnsi="Sylfaen"/>
                <w:sz w:val="24"/>
                <w:szCs w:val="24"/>
              </w:rPr>
              <w:t>և</w:t>
            </w:r>
            <w:r w:rsidRPr="003B2786">
              <w:rPr>
                <w:rStyle w:val="Bodytext1811pt"/>
                <w:rFonts w:ascii="Sylfaen" w:hAnsi="Sylfaen"/>
                <w:sz w:val="24"/>
                <w:szCs w:val="24"/>
              </w:rPr>
              <w:t xml:space="preserve"> դեղազգոնության հարցերով որակավորված անձի նոր դրույթը, որը ստորագրվել է  դեղազգոնության հարցերով որակավորված նոր անձի </w:t>
            </w:r>
            <w:r w:rsidR="00C54D75">
              <w:rPr>
                <w:rStyle w:val="Bodytext1811pt"/>
                <w:rFonts w:ascii="Sylfaen" w:hAnsi="Sylfaen"/>
                <w:sz w:val="24"/>
                <w:szCs w:val="24"/>
              </w:rPr>
              <w:t>և</w:t>
            </w:r>
            <w:r w:rsidRPr="003B2786">
              <w:rPr>
                <w:rStyle w:val="Bodytext1811pt"/>
                <w:rFonts w:ascii="Sylfaen" w:hAnsi="Sylfaen"/>
                <w:sz w:val="24"/>
                <w:szCs w:val="24"/>
              </w:rPr>
              <w:t xml:space="preserve"> իրավատիրոջ կողմից </w:t>
            </w:r>
            <w:r w:rsidR="00C54D75">
              <w:rPr>
                <w:rStyle w:val="Bodytext1811pt"/>
                <w:rFonts w:ascii="Sylfaen" w:hAnsi="Sylfaen"/>
                <w:sz w:val="24"/>
                <w:szCs w:val="24"/>
              </w:rPr>
              <w:t>և</w:t>
            </w:r>
            <w:r w:rsidRPr="003B2786">
              <w:rPr>
                <w:rStyle w:val="Bodytext1811pt"/>
                <w:rFonts w:ascii="Sylfaen" w:hAnsi="Sylfaen"/>
                <w:sz w:val="24"/>
                <w:szCs w:val="24"/>
              </w:rPr>
              <w:t xml:space="preserve"> արտացոլում է դրանից բխող մնացած փոփոխությունները, օրինակ՝ կազմակերպական սխեմայում:</w:t>
            </w:r>
          </w:p>
          <w:p w14:paraId="046D6883"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 xml:space="preserve">Եթե դեղազգոնության հարցերով որակավորված անձը </w:t>
            </w:r>
            <w:r w:rsidR="00C54D75">
              <w:rPr>
                <w:rStyle w:val="Bodytext1811pt"/>
                <w:rFonts w:ascii="Sylfaen" w:hAnsi="Sylfaen"/>
                <w:sz w:val="24"/>
                <w:szCs w:val="24"/>
              </w:rPr>
              <w:t>և</w:t>
            </w:r>
            <w:r w:rsidRPr="003B2786">
              <w:rPr>
                <w:rStyle w:val="Bodytext1811pt"/>
                <w:rFonts w:ascii="Sylfaen" w:hAnsi="Sylfaen"/>
                <w:sz w:val="24"/>
                <w:szCs w:val="24"/>
              </w:rPr>
              <w:t xml:space="preserve"> (կամ) դեղազգոնության հարցերով որակավորված անձի մասին կոնտակտային տեղեկատվությունն ի սկզբանե ներառված չեն եղել ԴՀՄՆ-ում, կամ ԴՀՄՆ-ն առկա չէ, ապա չի պահանջվում ներկայացնել վերանայված ԴՀՄՆ-ն, այլ անհրաժեշտ է ներկայացնել միայն դիմումի ձ</w:t>
            </w:r>
            <w:r w:rsidR="00C54D75">
              <w:rPr>
                <w:rStyle w:val="Bodytext1811pt"/>
                <w:rFonts w:ascii="Sylfaen" w:hAnsi="Sylfaen"/>
                <w:sz w:val="24"/>
                <w:szCs w:val="24"/>
              </w:rPr>
              <w:t>և</w:t>
            </w:r>
            <w:r w:rsidRPr="003B2786">
              <w:rPr>
                <w:rStyle w:val="Bodytext1811pt"/>
                <w:rFonts w:ascii="Sylfaen" w:hAnsi="Sylfaen"/>
                <w:sz w:val="24"/>
                <w:szCs w:val="24"/>
              </w:rPr>
              <w:t>ը:</w:t>
            </w:r>
          </w:p>
          <w:p w14:paraId="744F2CA6"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Հղում դիմումին (ընթացակարգին) </w:t>
            </w:r>
            <w:r w:rsidR="00C54D75">
              <w:rPr>
                <w:rStyle w:val="Bodytext1811pt"/>
                <w:rFonts w:ascii="Sylfaen" w:hAnsi="Sylfaen"/>
                <w:sz w:val="24"/>
                <w:szCs w:val="24"/>
              </w:rPr>
              <w:t>և</w:t>
            </w:r>
            <w:r w:rsidRPr="003B2786">
              <w:rPr>
                <w:rStyle w:val="Bodytext1811pt"/>
                <w:rFonts w:ascii="Sylfaen" w:hAnsi="Sylfaen"/>
                <w:sz w:val="24"/>
                <w:szCs w:val="24"/>
              </w:rPr>
              <w:t xml:space="preserve"> այն դեղապատրաստուկին, որի առնչությամբ փոփոխությունները հավանության են արժանացել:</w:t>
            </w:r>
          </w:p>
        </w:tc>
      </w:tr>
      <w:tr w:rsidR="008C76E0" w:rsidRPr="003B2786" w14:paraId="6B78B11B" w14:textId="77777777" w:rsidTr="004A52D9">
        <w:trPr>
          <w:jc w:val="center"/>
        </w:trPr>
        <w:tc>
          <w:tcPr>
            <w:tcW w:w="2594" w:type="dxa"/>
            <w:gridSpan w:val="2"/>
            <w:tcBorders>
              <w:top w:val="single" w:sz="4" w:space="0" w:color="auto"/>
              <w:left w:val="single" w:sz="4" w:space="0" w:color="auto"/>
            </w:tcBorders>
            <w:shd w:val="clear" w:color="auto" w:fill="FFFFFF"/>
          </w:tcPr>
          <w:p w14:paraId="2E4CF5A1" w14:textId="77777777" w:rsidR="008C76E0" w:rsidRPr="003B2786" w:rsidRDefault="008C76E0" w:rsidP="008C76E0">
            <w:pPr>
              <w:pStyle w:val="Bodytext180"/>
              <w:shd w:val="clear" w:color="auto" w:fill="auto"/>
              <w:spacing w:before="0" w:after="120" w:line="240" w:lineRule="auto"/>
              <w:ind w:left="32" w:right="6" w:firstLine="0"/>
              <w:jc w:val="both"/>
              <w:rPr>
                <w:rFonts w:ascii="Sylfaen" w:hAnsi="Sylfaen"/>
                <w:b w:val="0"/>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5977FED9"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 xml:space="preserve">Գ. I.9-ն ընդգրկում է այն անասնաբուժական դեղապատրաստուկների </w:t>
            </w:r>
            <w:r w:rsidR="00C54D75">
              <w:rPr>
                <w:rStyle w:val="Bodytext1811pt"/>
                <w:rFonts w:ascii="Sylfaen" w:hAnsi="Sylfaen"/>
                <w:sz w:val="24"/>
                <w:szCs w:val="24"/>
              </w:rPr>
              <w:t>և</w:t>
            </w:r>
            <w:r w:rsidRPr="003B2786">
              <w:rPr>
                <w:rStyle w:val="Bodytext1811pt"/>
                <w:rFonts w:ascii="Sylfaen" w:hAnsi="Sylfaen"/>
                <w:sz w:val="24"/>
                <w:szCs w:val="24"/>
              </w:rPr>
              <w:t xml:space="preserve"> բժշկական կիրառման համար նախատեսված դեղապատրաստուկների դեղազգոնության գոյություն ունեցող համակարգի փոփոխությունները, որոնց համար GFSF չի ավելացվել:</w:t>
            </w:r>
          </w:p>
        </w:tc>
      </w:tr>
      <w:tr w:rsidR="008C76E0" w:rsidRPr="003B2786" w14:paraId="1D6ED49F" w14:textId="77777777" w:rsidTr="004A52D9">
        <w:trPr>
          <w:jc w:val="center"/>
        </w:trPr>
        <w:tc>
          <w:tcPr>
            <w:tcW w:w="2594" w:type="dxa"/>
            <w:gridSpan w:val="2"/>
            <w:tcBorders>
              <w:top w:val="single" w:sz="4" w:space="0" w:color="auto"/>
              <w:left w:val="single" w:sz="4" w:space="0" w:color="auto"/>
            </w:tcBorders>
            <w:shd w:val="clear" w:color="auto" w:fill="FFFFFF"/>
          </w:tcPr>
          <w:p w14:paraId="102F56B1" w14:textId="77777777" w:rsidR="008C76E0" w:rsidRPr="003B2786" w:rsidRDefault="008C76E0" w:rsidP="008C76E0">
            <w:pPr>
              <w:pStyle w:val="Bodytext180"/>
              <w:shd w:val="clear" w:color="auto" w:fill="auto"/>
              <w:spacing w:before="0" w:line="240" w:lineRule="auto"/>
              <w:ind w:left="32" w:firstLine="0"/>
              <w:jc w:val="both"/>
              <w:rPr>
                <w:rFonts w:ascii="Sylfaen" w:hAnsi="Sylfaen"/>
                <w:b w:val="0"/>
                <w:sz w:val="24"/>
                <w:szCs w:val="24"/>
              </w:rPr>
            </w:pPr>
            <w:r w:rsidRPr="003B2786">
              <w:rPr>
                <w:rStyle w:val="Bodytext1811pt"/>
                <w:rFonts w:ascii="Sylfaen" w:hAnsi="Sylfaen"/>
                <w:sz w:val="24"/>
                <w:szCs w:val="24"/>
              </w:rPr>
              <w:t>Ծանոթագրություն ա)-ի համար</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031D7DC6" w14:textId="77777777" w:rsidR="008C76E0" w:rsidRPr="003B2786" w:rsidRDefault="008C76E0" w:rsidP="008C76E0">
            <w:pPr>
              <w:pStyle w:val="Bodytext180"/>
              <w:shd w:val="clear" w:color="auto" w:fill="auto"/>
              <w:spacing w:before="0" w:line="240" w:lineRule="auto"/>
              <w:ind w:left="159" w:right="222" w:firstLine="0"/>
              <w:jc w:val="both"/>
              <w:rPr>
                <w:rFonts w:ascii="Sylfaen" w:hAnsi="Sylfaen"/>
                <w:b w:val="0"/>
                <w:sz w:val="24"/>
                <w:szCs w:val="24"/>
              </w:rPr>
            </w:pPr>
            <w:r w:rsidRPr="003B2786">
              <w:rPr>
                <w:rStyle w:val="Bodytext1811pt"/>
                <w:rFonts w:ascii="Sylfaen" w:hAnsi="Sylfaen"/>
                <w:sz w:val="24"/>
                <w:szCs w:val="24"/>
              </w:rPr>
              <w:t xml:space="preserve">Դեղազգոնության հարցերով որակավորված անձի փոփոխությունները, ներառյալ՝ կոնտակտային տեղեկատվությունը (հեռախոսի </w:t>
            </w:r>
            <w:r w:rsidR="00C54D75">
              <w:rPr>
                <w:rStyle w:val="Bodytext1811pt"/>
                <w:rFonts w:ascii="Sylfaen" w:hAnsi="Sylfaen"/>
                <w:sz w:val="24"/>
                <w:szCs w:val="24"/>
              </w:rPr>
              <w:t>և</w:t>
            </w:r>
            <w:r w:rsidRPr="003B2786">
              <w:rPr>
                <w:rStyle w:val="Bodytext1811pt"/>
                <w:rFonts w:ascii="Sylfaen" w:hAnsi="Sylfaen"/>
                <w:sz w:val="24"/>
                <w:szCs w:val="24"/>
              </w:rPr>
              <w:t xml:space="preserve"> ֆաքսի համարները, փոստային հասցեն </w:t>
            </w:r>
            <w:r w:rsidR="00C54D75">
              <w:rPr>
                <w:rStyle w:val="Bodytext1811pt"/>
                <w:rFonts w:ascii="Sylfaen" w:hAnsi="Sylfaen"/>
                <w:sz w:val="24"/>
                <w:szCs w:val="24"/>
              </w:rPr>
              <w:t>և</w:t>
            </w:r>
            <w:r w:rsidRPr="003B2786">
              <w:rPr>
                <w:rStyle w:val="Bodytext1811pt"/>
                <w:rFonts w:ascii="Sylfaen" w:hAnsi="Sylfaen"/>
                <w:sz w:val="24"/>
                <w:szCs w:val="24"/>
              </w:rPr>
              <w:t xml:space="preserve"> էլեկտրոնային փոստի հասցեն) թույլատրվում է թարմացնել բացառապես միասնական ռեեստրի միջոցով (առանց փոփոխություններ կատարելու անհրաժեշտության): Եթե ԳՀ-ի իրավատերը դիմում է վերոնշյալ տեղեկատվությունը միասնական ռեեստրի միջոցով թարմացնելու հնարավորությանը, ապա ԳՀ-ի իրավատերը պետք է գրանցման դոսյեում նշի, որ այդ տվյալների թարմացված տեղեկատվությունը ներառված է միասնական ռեեստրում:</w:t>
            </w:r>
          </w:p>
        </w:tc>
      </w:tr>
      <w:tr w:rsidR="008C76E0" w:rsidRPr="003B2786" w14:paraId="20A9EEFB" w14:textId="77777777" w:rsidTr="004A52D9">
        <w:trPr>
          <w:jc w:val="center"/>
        </w:trPr>
        <w:tc>
          <w:tcPr>
            <w:tcW w:w="2594" w:type="dxa"/>
            <w:gridSpan w:val="2"/>
            <w:tcBorders>
              <w:top w:val="single" w:sz="4" w:space="0" w:color="auto"/>
              <w:left w:val="single" w:sz="4" w:space="0" w:color="auto"/>
            </w:tcBorders>
            <w:shd w:val="clear" w:color="auto" w:fill="FFFFFF"/>
          </w:tcPr>
          <w:p w14:paraId="3FDF9A60"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Ծանոթագրություն բ)-ի համար</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003231B7"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ԴՀՄՆ-ի գնահատումը, որը ներկայացվել է որպես գրանցման (գրանցման ընդլայնման, փոփոխություն կատարելու) համար նոր դիմումի մաս, ազգային լիազորված մարմնի հարցմամբ կարող է հանգեցնել այդպիսի ԴՀՄՆ-ի փոփոխությունների: Այդ դեպքում նույնպիսի փոփոխություններ կարելի է նա</w:t>
            </w:r>
            <w:r w:rsidR="00C54D75">
              <w:rPr>
                <w:rStyle w:val="Bodytext1811pt"/>
                <w:rFonts w:ascii="Sylfaen" w:hAnsi="Sylfaen"/>
                <w:sz w:val="24"/>
                <w:szCs w:val="24"/>
              </w:rPr>
              <w:t>և</w:t>
            </w:r>
            <w:r w:rsidRPr="003B2786">
              <w:rPr>
                <w:rStyle w:val="Bodytext1811pt"/>
                <w:rFonts w:ascii="Sylfaen" w:hAnsi="Sylfaen"/>
                <w:sz w:val="24"/>
                <w:szCs w:val="24"/>
              </w:rPr>
              <w:t xml:space="preserve"> կատարել ԳՀ-ի մի</w:t>
            </w:r>
            <w:r w:rsidR="00C54D75">
              <w:rPr>
                <w:rStyle w:val="Bodytext1811pt"/>
                <w:rFonts w:ascii="Sylfaen" w:hAnsi="Sylfaen"/>
                <w:sz w:val="24"/>
                <w:szCs w:val="24"/>
              </w:rPr>
              <w:t>և</w:t>
            </w:r>
            <w:r w:rsidRPr="003B2786">
              <w:rPr>
                <w:rStyle w:val="Bodytext1811pt"/>
                <w:rFonts w:ascii="Sylfaen" w:hAnsi="Sylfaen"/>
                <w:sz w:val="24"/>
                <w:szCs w:val="24"/>
              </w:rPr>
              <w:t>նույն իրավատիրոջ այլ դեղապատրաստուկների ԴՀՄՆ-ում՝ IA</w:t>
            </w:r>
            <w:r w:rsidRPr="003B2786">
              <w:rPr>
                <w:rStyle w:val="Bodytext18105pt"/>
                <w:rFonts w:ascii="Sylfaen" w:hAnsi="Sylfaen"/>
                <w:sz w:val="24"/>
                <w:szCs w:val="24"/>
                <w:vertAlign w:val="subscript"/>
              </w:rPr>
              <w:t xml:space="preserve">ԱՊ </w:t>
            </w:r>
            <w:r w:rsidRPr="003B2786">
              <w:rPr>
                <w:rStyle w:val="Bodytext1811pt"/>
                <w:rFonts w:ascii="Sylfaen" w:hAnsi="Sylfaen"/>
                <w:sz w:val="24"/>
                <w:szCs w:val="24"/>
              </w:rPr>
              <w:t>տիպի (խմբային) փոփոխություն ներկայացնելու միջոցով:</w:t>
            </w:r>
          </w:p>
        </w:tc>
      </w:tr>
      <w:tr w:rsidR="008C76E0" w:rsidRPr="003B2786" w14:paraId="443B753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241E130" w14:textId="77777777" w:rsidR="008C76E0" w:rsidRPr="008C76E0" w:rsidRDefault="008C76E0" w:rsidP="008C76E0">
            <w:pPr>
              <w:pStyle w:val="Bodytext180"/>
              <w:shd w:val="clear" w:color="auto" w:fill="auto"/>
              <w:tabs>
                <w:tab w:val="left" w:pos="119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Գ.I.10.</w:t>
            </w:r>
            <w:r w:rsidRPr="003B2786">
              <w:rPr>
                <w:rStyle w:val="Bodytext1811pt"/>
                <w:rFonts w:ascii="Sylfaen" w:hAnsi="Sylfaen"/>
                <w:sz w:val="24"/>
                <w:szCs w:val="24"/>
              </w:rPr>
              <w:tab/>
              <w:t xml:space="preserve">Բժշկական կիրառման համար </w:t>
            </w:r>
            <w:r w:rsidRPr="003B2786">
              <w:rPr>
                <w:rStyle w:val="Bodytext1811pt"/>
                <w:rFonts w:ascii="Sylfaen" w:hAnsi="Sylfaen"/>
                <w:sz w:val="24"/>
                <w:szCs w:val="24"/>
              </w:rPr>
              <w:lastRenderedPageBreak/>
              <w:t xml:space="preserve">նախատեսված դեղապատրաստուկների անվտանգության վերաբերյալ պարբերական հաշվետվությունը (ԱՊՀ) ներկայացնելու հաճախականության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ամսաթվի փոփոխությունը</w:t>
            </w:r>
          </w:p>
        </w:tc>
        <w:tc>
          <w:tcPr>
            <w:tcW w:w="1883" w:type="dxa"/>
            <w:gridSpan w:val="2"/>
            <w:tcBorders>
              <w:top w:val="single" w:sz="4" w:space="0" w:color="auto"/>
              <w:left w:val="single" w:sz="4" w:space="0" w:color="auto"/>
            </w:tcBorders>
            <w:shd w:val="clear" w:color="auto" w:fill="FFFFFF"/>
          </w:tcPr>
          <w:p w14:paraId="2468B3AC"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lastRenderedPageBreak/>
              <w:t xml:space="preserve">Անհրաժեշտ </w:t>
            </w:r>
            <w:r w:rsidRPr="003B2786">
              <w:rPr>
                <w:rStyle w:val="Bodytext1811pt"/>
                <w:rFonts w:ascii="Sylfaen" w:hAnsi="Sylfaen"/>
                <w:sz w:val="24"/>
                <w:szCs w:val="24"/>
              </w:rPr>
              <w:lastRenderedPageBreak/>
              <w:t>պայմանները</w:t>
            </w:r>
          </w:p>
        </w:tc>
        <w:tc>
          <w:tcPr>
            <w:tcW w:w="1984" w:type="dxa"/>
            <w:gridSpan w:val="2"/>
            <w:tcBorders>
              <w:top w:val="single" w:sz="4" w:space="0" w:color="auto"/>
              <w:left w:val="single" w:sz="4" w:space="0" w:color="auto"/>
            </w:tcBorders>
            <w:shd w:val="clear" w:color="auto" w:fill="FFFFFF"/>
          </w:tcPr>
          <w:p w14:paraId="5FC1A107"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lastRenderedPageBreak/>
              <w:t xml:space="preserve">Պահանջվող </w:t>
            </w:r>
            <w:r w:rsidRPr="003B2786">
              <w:rPr>
                <w:rStyle w:val="Bodytext1811pt"/>
                <w:rFonts w:ascii="Sylfaen" w:hAnsi="Sylfaen"/>
                <w:sz w:val="24"/>
                <w:szCs w:val="24"/>
              </w:rPr>
              <w:lastRenderedPageBreak/>
              <w:t>փաստաթղթերը</w:t>
            </w:r>
          </w:p>
        </w:tc>
        <w:tc>
          <w:tcPr>
            <w:tcW w:w="1843" w:type="dxa"/>
            <w:gridSpan w:val="2"/>
            <w:tcBorders>
              <w:top w:val="single" w:sz="4" w:space="0" w:color="auto"/>
              <w:left w:val="single" w:sz="4" w:space="0" w:color="auto"/>
              <w:right w:val="single" w:sz="4" w:space="0" w:color="auto"/>
            </w:tcBorders>
            <w:shd w:val="clear" w:color="auto" w:fill="FFFFFF"/>
          </w:tcPr>
          <w:p w14:paraId="224B77B1" w14:textId="77777777" w:rsidR="008C76E0" w:rsidRPr="003B2786" w:rsidRDefault="008C76E0" w:rsidP="008C76E0">
            <w:pPr>
              <w:pStyle w:val="Bodytext180"/>
              <w:shd w:val="clear" w:color="auto" w:fill="auto"/>
              <w:spacing w:before="0" w:line="240" w:lineRule="auto"/>
              <w:ind w:left="13" w:right="76" w:firstLine="0"/>
              <w:jc w:val="center"/>
              <w:rPr>
                <w:rFonts w:ascii="Sylfaen" w:hAnsi="Sylfaen"/>
                <w:b w:val="0"/>
                <w:sz w:val="24"/>
                <w:szCs w:val="24"/>
              </w:rPr>
            </w:pPr>
            <w:r w:rsidRPr="003B2786">
              <w:rPr>
                <w:rStyle w:val="Bodytext1811pt"/>
                <w:rFonts w:ascii="Sylfaen" w:hAnsi="Sylfaen"/>
                <w:sz w:val="24"/>
                <w:szCs w:val="24"/>
              </w:rPr>
              <w:lastRenderedPageBreak/>
              <w:t xml:space="preserve">Ընթացակարգի </w:t>
            </w:r>
            <w:r w:rsidRPr="003B2786">
              <w:rPr>
                <w:rStyle w:val="Bodytext1811pt"/>
                <w:rFonts w:ascii="Sylfaen" w:hAnsi="Sylfaen"/>
                <w:sz w:val="24"/>
                <w:szCs w:val="24"/>
              </w:rPr>
              <w:lastRenderedPageBreak/>
              <w:t>տեսակը</w:t>
            </w:r>
          </w:p>
        </w:tc>
      </w:tr>
      <w:tr w:rsidR="008C76E0" w:rsidRPr="003B2786" w14:paraId="4AD0C6AC" w14:textId="77777777" w:rsidTr="004A52D9">
        <w:trPr>
          <w:jc w:val="center"/>
        </w:trPr>
        <w:tc>
          <w:tcPr>
            <w:tcW w:w="4984" w:type="dxa"/>
            <w:gridSpan w:val="4"/>
            <w:tcBorders>
              <w:top w:val="single" w:sz="4" w:space="0" w:color="auto"/>
              <w:left w:val="single" w:sz="4" w:space="0" w:color="auto"/>
            </w:tcBorders>
            <w:shd w:val="clear" w:color="auto" w:fill="FFFFFF"/>
          </w:tcPr>
          <w:p w14:paraId="380D0731"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66D9A376"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4660DCB4"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0CFFC261"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4653805D"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662A09B" w14:textId="77777777" w:rsidR="008C76E0" w:rsidRPr="008C76E0" w:rsidRDefault="008C76E0" w:rsidP="008C76E0">
            <w:pPr>
              <w:pStyle w:val="Bodytext180"/>
              <w:shd w:val="clear" w:color="auto" w:fill="auto"/>
              <w:tabs>
                <w:tab w:val="left" w:pos="63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0B83845" w14:textId="77777777" w:rsidR="008C76E0" w:rsidRPr="008C76E0" w:rsidRDefault="008C76E0" w:rsidP="008C76E0">
            <w:pPr>
              <w:pStyle w:val="Bodytext180"/>
              <w:shd w:val="clear" w:color="auto" w:fill="auto"/>
              <w:tabs>
                <w:tab w:val="left" w:pos="63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ԱՊՀ-ն ներկայացնելու հաճախականության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ամսաթվի փոփոխությունը համաձայնեցված է ազգային լիազորված մարմնի կողմից:</w:t>
            </w:r>
          </w:p>
        </w:tc>
      </w:tr>
      <w:tr w:rsidR="008C76E0" w:rsidRPr="003B2786" w14:paraId="03FC840B"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tcPr>
          <w:p w14:paraId="0C704CB3" w14:textId="77777777" w:rsidR="008C76E0" w:rsidRPr="008C76E0" w:rsidRDefault="008C76E0" w:rsidP="008C76E0">
            <w:pPr>
              <w:pStyle w:val="Bodytext180"/>
              <w:shd w:val="clear" w:color="auto" w:fill="auto"/>
              <w:tabs>
                <w:tab w:val="left" w:pos="63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B3B2B7E" w14:textId="77777777" w:rsidR="008C76E0" w:rsidRPr="008C76E0" w:rsidRDefault="008C76E0" w:rsidP="008C76E0">
            <w:pPr>
              <w:pStyle w:val="Bodytext180"/>
              <w:shd w:val="clear" w:color="auto" w:fill="auto"/>
              <w:tabs>
                <w:tab w:val="left" w:pos="63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լիազորված մարմնի համաձայնագրին:</w:t>
            </w:r>
          </w:p>
          <w:p w14:paraId="38007104" w14:textId="77777777" w:rsidR="008C76E0" w:rsidRPr="008C76E0" w:rsidRDefault="008C76E0" w:rsidP="008C76E0">
            <w:pPr>
              <w:pStyle w:val="Bodytext180"/>
              <w:shd w:val="clear" w:color="auto" w:fill="auto"/>
              <w:tabs>
                <w:tab w:val="left" w:pos="63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ԱՊՀ-ը ներկայացնելու վերանայված հաճախականությունը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(կամ) ամսաթիվը </w:t>
            </w:r>
          </w:p>
        </w:tc>
      </w:tr>
      <w:tr w:rsidR="008C76E0" w:rsidRPr="003B2786" w14:paraId="150EFF35" w14:textId="77777777" w:rsidTr="004A52D9">
        <w:trPr>
          <w:jc w:val="center"/>
        </w:trPr>
        <w:tc>
          <w:tcPr>
            <w:tcW w:w="2594" w:type="dxa"/>
            <w:gridSpan w:val="2"/>
            <w:tcBorders>
              <w:top w:val="single" w:sz="4" w:space="0" w:color="auto"/>
              <w:left w:val="single" w:sz="4" w:space="0" w:color="auto"/>
            </w:tcBorders>
            <w:shd w:val="clear" w:color="auto" w:fill="FFFFFF"/>
          </w:tcPr>
          <w:p w14:paraId="09624875" w14:textId="77777777" w:rsidR="008C76E0" w:rsidRPr="003B2786" w:rsidRDefault="008C76E0" w:rsidP="008C76E0">
            <w:pPr>
              <w:pStyle w:val="Bodytext180"/>
              <w:shd w:val="clear" w:color="auto" w:fill="auto"/>
              <w:spacing w:before="0" w:after="120" w:line="240" w:lineRule="auto"/>
              <w:ind w:left="32" w:firstLine="0"/>
              <w:jc w:val="both"/>
              <w:rPr>
                <w:rFonts w:ascii="Sylfaen" w:hAnsi="Sylfaen"/>
                <w:b w:val="0"/>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1A82554C"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 xml:space="preserve">Տվյալ փոփոխությունը կիրառվում է միայն այն դեպքում, եթե ԱՊՀ-ի պարբերաշրջանը, Միության իրավունքի մաս կազմող ակտերին համապատասխան, հաշվետու ամսաթվերի ցանկին հղում անելուց տարբերվող եղանակներով նշված է գրանցման դոսյեում </w:t>
            </w:r>
            <w:r w:rsidR="00C54D75">
              <w:rPr>
                <w:rStyle w:val="Bodytext1811pt"/>
                <w:rFonts w:ascii="Sylfaen" w:hAnsi="Sylfaen"/>
                <w:sz w:val="24"/>
                <w:szCs w:val="24"/>
              </w:rPr>
              <w:t>և</w:t>
            </w:r>
            <w:r w:rsidRPr="003B2786">
              <w:rPr>
                <w:rStyle w:val="Bodytext1811pt"/>
                <w:rFonts w:ascii="Sylfaen" w:hAnsi="Sylfaen"/>
                <w:sz w:val="24"/>
                <w:szCs w:val="24"/>
              </w:rPr>
              <w:t xml:space="preserve"> ԱՊՀ-ն ներկայացնելու անհրաժեշտության դեպքում:</w:t>
            </w:r>
          </w:p>
        </w:tc>
      </w:tr>
      <w:tr w:rsidR="008C76E0" w:rsidRPr="003B2786" w14:paraId="6D4E9D7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B614960" w14:textId="77777777" w:rsidR="008C76E0" w:rsidRPr="008C76E0" w:rsidRDefault="008C76E0" w:rsidP="008C76E0">
            <w:pPr>
              <w:pStyle w:val="Bodytext180"/>
              <w:shd w:val="clear" w:color="auto" w:fill="auto"/>
              <w:tabs>
                <w:tab w:val="left" w:pos="117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Գ.I.11.</w:t>
            </w:r>
            <w:r w:rsidRPr="003B2786">
              <w:rPr>
                <w:rStyle w:val="Bodytext1811pt"/>
                <w:rFonts w:ascii="Sylfaen" w:hAnsi="Sylfaen"/>
                <w:sz w:val="24"/>
                <w:szCs w:val="24"/>
              </w:rPr>
              <w:tab/>
              <w:t xml:space="preserve">Գրանցման պարտավորությունների </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պայմանների ներմուծումը կամ փոփոխությունները, ներառյալ՝ ռիսկերի կառավարման պլանը</w:t>
            </w:r>
          </w:p>
        </w:tc>
        <w:tc>
          <w:tcPr>
            <w:tcW w:w="1883" w:type="dxa"/>
            <w:gridSpan w:val="2"/>
            <w:tcBorders>
              <w:top w:val="single" w:sz="4" w:space="0" w:color="auto"/>
              <w:left w:val="single" w:sz="4" w:space="0" w:color="auto"/>
            </w:tcBorders>
            <w:shd w:val="clear" w:color="auto" w:fill="FFFFFF"/>
          </w:tcPr>
          <w:p w14:paraId="5E48DFC2" w14:textId="77777777" w:rsidR="008C76E0" w:rsidRPr="003B2786" w:rsidRDefault="008C76E0" w:rsidP="008C76E0">
            <w:pPr>
              <w:pStyle w:val="Bodytext180"/>
              <w:shd w:val="clear" w:color="auto" w:fill="auto"/>
              <w:spacing w:before="0" w:after="120" w:line="240" w:lineRule="auto"/>
              <w:ind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CBD074B" w14:textId="77777777" w:rsidR="008C76E0" w:rsidRPr="003B2786" w:rsidRDefault="008C76E0" w:rsidP="008C76E0">
            <w:pPr>
              <w:pStyle w:val="Bodytext180"/>
              <w:shd w:val="clear" w:color="auto" w:fill="auto"/>
              <w:spacing w:before="0" w:after="120" w:line="240" w:lineRule="auto"/>
              <w:ind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6ACD9EB6" w14:textId="77777777" w:rsidR="008C76E0" w:rsidRPr="003B2786" w:rsidRDefault="008C76E0" w:rsidP="008C76E0">
            <w:pPr>
              <w:pStyle w:val="Bodytext180"/>
              <w:shd w:val="clear" w:color="auto" w:fill="auto"/>
              <w:spacing w:before="0" w:after="120" w:line="240" w:lineRule="auto"/>
              <w:ind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09586E8"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BFC7124"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լիազորված մարմնի կողմից համաձայնեցված ձ</w:t>
            </w:r>
            <w:r w:rsidR="00C54D75">
              <w:rPr>
                <w:rStyle w:val="Bodytext1811pt"/>
                <w:rFonts w:ascii="Sylfaen" w:hAnsi="Sylfaen"/>
                <w:sz w:val="24"/>
                <w:szCs w:val="24"/>
              </w:rPr>
              <w:t>և</w:t>
            </w:r>
            <w:r w:rsidRPr="003B2786">
              <w:rPr>
                <w:rStyle w:val="Bodytext1811pt"/>
                <w:rFonts w:ascii="Sylfaen" w:hAnsi="Sylfaen"/>
                <w:sz w:val="24"/>
                <w:szCs w:val="24"/>
              </w:rPr>
              <w:t>ակերպման իրականացումը</w:t>
            </w:r>
          </w:p>
        </w:tc>
        <w:tc>
          <w:tcPr>
            <w:tcW w:w="1883" w:type="dxa"/>
            <w:gridSpan w:val="2"/>
            <w:tcBorders>
              <w:top w:val="single" w:sz="4" w:space="0" w:color="auto"/>
              <w:left w:val="single" w:sz="4" w:space="0" w:color="auto"/>
            </w:tcBorders>
            <w:shd w:val="clear" w:color="auto" w:fill="FFFFFF"/>
          </w:tcPr>
          <w:p w14:paraId="1E8D5CDA"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302FEAE4"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3953028C" w14:textId="77777777" w:rsidR="008C76E0" w:rsidRPr="003B2786" w:rsidRDefault="008C76E0" w:rsidP="008C76E0">
            <w:pPr>
              <w:pStyle w:val="Bodytext180"/>
              <w:shd w:val="clear" w:color="auto" w:fill="auto"/>
              <w:tabs>
                <w:tab w:val="left" w:pos="572"/>
              </w:tabs>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03BB567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3654826"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այն փոփոխությունների իրականացումը, որոնք ԳՀ-ի իրավատիրոջից պահանջում են ներկայացնել նոր լրացուցիչ տվյալներ, որոնց համար լիազորված մարմնի կողմից փորձաքննության կարիք կա (*)</w:t>
            </w:r>
          </w:p>
        </w:tc>
        <w:tc>
          <w:tcPr>
            <w:tcW w:w="1883" w:type="dxa"/>
            <w:gridSpan w:val="2"/>
            <w:tcBorders>
              <w:top w:val="single" w:sz="4" w:space="0" w:color="auto"/>
              <w:left w:val="single" w:sz="4" w:space="0" w:color="auto"/>
            </w:tcBorders>
            <w:shd w:val="clear" w:color="auto" w:fill="FFFFFF"/>
          </w:tcPr>
          <w:p w14:paraId="1F8DB9CA" w14:textId="77777777" w:rsidR="008C76E0" w:rsidRPr="003B2786" w:rsidRDefault="008C76E0" w:rsidP="008C76E0">
            <w:pPr>
              <w:tabs>
                <w:tab w:val="left" w:pos="572"/>
              </w:tabs>
              <w:spacing w:after="0" w:line="288" w:lineRule="auto"/>
              <w:ind w:left="159" w:right="221"/>
              <w:jc w:val="center"/>
              <w:rPr>
                <w:rFonts w:ascii="Sylfaen" w:hAnsi="Sylfaen"/>
                <w:sz w:val="24"/>
                <w:szCs w:val="24"/>
              </w:rPr>
            </w:pPr>
          </w:p>
        </w:tc>
        <w:tc>
          <w:tcPr>
            <w:tcW w:w="1984" w:type="dxa"/>
            <w:gridSpan w:val="2"/>
            <w:tcBorders>
              <w:top w:val="single" w:sz="4" w:space="0" w:color="auto"/>
              <w:left w:val="single" w:sz="4" w:space="0" w:color="auto"/>
            </w:tcBorders>
            <w:shd w:val="clear" w:color="auto" w:fill="FFFFFF"/>
          </w:tcPr>
          <w:p w14:paraId="1B1D4803" w14:textId="77777777" w:rsidR="008C76E0" w:rsidRPr="003B2786" w:rsidRDefault="008C76E0" w:rsidP="008C76E0">
            <w:pPr>
              <w:tabs>
                <w:tab w:val="left" w:pos="572"/>
              </w:tabs>
              <w:spacing w:after="0" w:line="288" w:lineRule="auto"/>
              <w:ind w:left="159" w:right="221"/>
              <w:jc w:val="center"/>
              <w:rPr>
                <w:rFonts w:ascii="Sylfaen" w:hAnsi="Sylfaen"/>
                <w:sz w:val="24"/>
                <w:szCs w:val="24"/>
              </w:rPr>
            </w:pPr>
          </w:p>
        </w:tc>
        <w:tc>
          <w:tcPr>
            <w:tcW w:w="1843" w:type="dxa"/>
            <w:gridSpan w:val="2"/>
            <w:tcBorders>
              <w:top w:val="single" w:sz="4" w:space="0" w:color="auto"/>
              <w:left w:val="single" w:sz="4" w:space="0" w:color="auto"/>
              <w:right w:val="single" w:sz="4" w:space="0" w:color="auto"/>
            </w:tcBorders>
            <w:shd w:val="clear" w:color="auto" w:fill="FFFFFF"/>
          </w:tcPr>
          <w:p w14:paraId="4D605575" w14:textId="77777777" w:rsidR="008C76E0" w:rsidRPr="003B2786" w:rsidRDefault="008C76E0" w:rsidP="008C76E0">
            <w:pPr>
              <w:pStyle w:val="Bodytext180"/>
              <w:shd w:val="clear" w:color="auto" w:fill="auto"/>
              <w:tabs>
                <w:tab w:val="left" w:pos="572"/>
              </w:tabs>
              <w:spacing w:before="0" w:line="288" w:lineRule="auto"/>
              <w:ind w:left="159" w:right="221"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FFE3007"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4F057AA"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35FDF16"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Փոփոխությունն իրականացնում է լիազորված մարմնի կողմից պահանջված գործողությունը </w:t>
            </w:r>
            <w:r w:rsidR="00C54D75">
              <w:rPr>
                <w:rStyle w:val="Bodytext1811pt"/>
                <w:rFonts w:ascii="Sylfaen" w:hAnsi="Sylfaen"/>
                <w:sz w:val="24"/>
                <w:szCs w:val="24"/>
              </w:rPr>
              <w:t>և</w:t>
            </w:r>
            <w:r w:rsidRPr="003B2786">
              <w:rPr>
                <w:rStyle w:val="Bodytext1811pt"/>
                <w:rFonts w:ascii="Sylfaen" w:hAnsi="Sylfaen"/>
                <w:sz w:val="24"/>
                <w:szCs w:val="24"/>
              </w:rPr>
              <w:t xml:space="preserve"> չի պահանջում ներկայացնել լրացուցիչ տեղեկություններ </w:t>
            </w:r>
            <w:r w:rsidR="00C54D75">
              <w:rPr>
                <w:rStyle w:val="Bodytext1811pt"/>
                <w:rFonts w:ascii="Sylfaen" w:hAnsi="Sylfaen"/>
                <w:sz w:val="24"/>
                <w:szCs w:val="24"/>
              </w:rPr>
              <w:t>և</w:t>
            </w:r>
            <w:r w:rsidRPr="003B2786">
              <w:rPr>
                <w:rStyle w:val="Bodytext1811pt"/>
                <w:rFonts w:ascii="Sylfaen" w:hAnsi="Sylfaen"/>
                <w:sz w:val="24"/>
                <w:szCs w:val="24"/>
              </w:rPr>
              <w:t xml:space="preserve"> (կամ) հետագա փորձաքննություն:</w:t>
            </w:r>
          </w:p>
        </w:tc>
      </w:tr>
      <w:tr w:rsidR="008C76E0" w:rsidRPr="003B2786" w14:paraId="7AB4FAE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58538A2"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2DA929E" w14:textId="77777777" w:rsidR="008C76E0" w:rsidRPr="008C76E0"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լիազորված մարմնի համապատասխան որոշմանը:</w:t>
            </w:r>
          </w:p>
          <w:p w14:paraId="6637834C" w14:textId="77777777" w:rsidR="008C76E0" w:rsidRPr="003B2786" w:rsidRDefault="008C76E0" w:rsidP="008C76E0">
            <w:pPr>
              <w:pStyle w:val="Bodytext180"/>
              <w:shd w:val="clear" w:color="auto" w:fill="auto"/>
              <w:tabs>
                <w:tab w:val="left" w:pos="572"/>
              </w:tabs>
              <w:spacing w:before="0" w:line="288" w:lineRule="auto"/>
              <w:ind w:left="159" w:right="221"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1C67D1BD" w14:textId="77777777" w:rsidTr="004A52D9">
        <w:trPr>
          <w:jc w:val="center"/>
        </w:trPr>
        <w:tc>
          <w:tcPr>
            <w:tcW w:w="2594" w:type="dxa"/>
            <w:gridSpan w:val="2"/>
            <w:tcBorders>
              <w:top w:val="single" w:sz="4" w:space="0" w:color="auto"/>
              <w:left w:val="single" w:sz="4" w:space="0" w:color="auto"/>
            </w:tcBorders>
            <w:shd w:val="clear" w:color="auto" w:fill="FFFFFF"/>
          </w:tcPr>
          <w:p w14:paraId="0C09AF1C" w14:textId="77777777" w:rsidR="008C76E0" w:rsidRPr="003B2786" w:rsidRDefault="008C76E0" w:rsidP="008C76E0">
            <w:pPr>
              <w:pStyle w:val="Bodytext180"/>
              <w:shd w:val="clear" w:color="auto" w:fill="auto"/>
              <w:spacing w:before="0" w:after="120" w:line="240" w:lineRule="auto"/>
              <w:ind w:left="32" w:firstLine="0"/>
              <w:jc w:val="both"/>
              <w:rPr>
                <w:rFonts w:ascii="Sylfaen" w:hAnsi="Sylfaen"/>
                <w:b w:val="0"/>
                <w:sz w:val="24"/>
                <w:szCs w:val="24"/>
              </w:rPr>
            </w:pPr>
            <w:r w:rsidRPr="003B2786">
              <w:rPr>
                <w:rStyle w:val="Bodytext1811pt"/>
                <w:rFonts w:ascii="Sylfaen" w:hAnsi="Sylfaen"/>
                <w:sz w:val="24"/>
                <w:szCs w:val="24"/>
              </w:rPr>
              <w:lastRenderedPageBreak/>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6A8F7426"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 xml:space="preserve">Այդ փոփոխությունն ընդգրկում է միայն այն իրավիճակը, որում կատարվող փոփոխությունն առնչվում է բացառապես գրանցման պայմաններին </w:t>
            </w:r>
            <w:r w:rsidR="00C54D75">
              <w:rPr>
                <w:rStyle w:val="Bodytext1811pt"/>
                <w:rFonts w:ascii="Sylfaen" w:hAnsi="Sylfaen"/>
                <w:sz w:val="24"/>
                <w:szCs w:val="24"/>
              </w:rPr>
              <w:t>և</w:t>
            </w:r>
            <w:r w:rsidRPr="003B2786">
              <w:rPr>
                <w:rStyle w:val="Bodytext1811pt"/>
                <w:rFonts w:ascii="Sylfaen" w:hAnsi="Sylfaen"/>
                <w:sz w:val="24"/>
                <w:szCs w:val="24"/>
              </w:rPr>
              <w:t xml:space="preserve"> (կամ) պարտավորություններին, ներառյալ՝ ռիսկերի կառավարման պլանը </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(կամ) բացառիկ հանգամանքներում </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պայմանական գրանցման դեպքում՝ գրանցումների պարտավորությունները:</w:t>
            </w:r>
          </w:p>
        </w:tc>
      </w:tr>
      <w:tr w:rsidR="008C76E0" w:rsidRPr="003B2786" w14:paraId="430E1E15" w14:textId="77777777" w:rsidTr="004A52D9">
        <w:trPr>
          <w:jc w:val="center"/>
        </w:trPr>
        <w:tc>
          <w:tcPr>
            <w:tcW w:w="2594" w:type="dxa"/>
            <w:gridSpan w:val="2"/>
            <w:tcBorders>
              <w:top w:val="single" w:sz="4" w:space="0" w:color="auto"/>
              <w:left w:val="single" w:sz="4" w:space="0" w:color="auto"/>
            </w:tcBorders>
            <w:shd w:val="clear" w:color="auto" w:fill="FFFFFF"/>
          </w:tcPr>
          <w:p w14:paraId="55E603C5"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NotBold"/>
                <w:rFonts w:ascii="Sylfaen" w:hAnsi="Sylfaen"/>
                <w:sz w:val="24"/>
                <w:szCs w:val="24"/>
              </w:rPr>
              <w:t>(*)</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742B7AAC"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Լիազորված մարմնի կողմից պահանջված ռիսկերի կառավարման պլանի ներմուծումը միշտ էական փորձաքննություն է պահանջում:</w:t>
            </w:r>
          </w:p>
        </w:tc>
      </w:tr>
      <w:tr w:rsidR="008C76E0" w:rsidRPr="003B2786" w14:paraId="268DB89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FA4E060" w14:textId="77777777" w:rsidR="008C76E0" w:rsidRPr="008C76E0" w:rsidRDefault="008C76E0" w:rsidP="008C76E0">
            <w:pPr>
              <w:pStyle w:val="Bodytext180"/>
              <w:shd w:val="clear" w:color="auto" w:fill="auto"/>
              <w:tabs>
                <w:tab w:val="left" w:pos="1175"/>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Գ.I.12.</w:t>
            </w:r>
            <w:r w:rsidRPr="003B2786">
              <w:rPr>
                <w:rStyle w:val="Bodytext1811pt"/>
                <w:rFonts w:ascii="Sylfaen" w:hAnsi="Sylfaen"/>
                <w:sz w:val="24"/>
                <w:szCs w:val="24"/>
              </w:rPr>
              <w:tab/>
              <w:t>Ս</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պայմանանշանի կամ բացատրական նշումների ներմուծումը կամ բացառումն այն դեղապատրաստուկների առնչությամբ, որոնք ընդգրկված են լրացուցիչ դիտանցման ենթակա դեղապատրաստուկների ցանկում </w:t>
            </w:r>
          </w:p>
        </w:tc>
        <w:tc>
          <w:tcPr>
            <w:tcW w:w="1883" w:type="dxa"/>
            <w:gridSpan w:val="2"/>
            <w:tcBorders>
              <w:top w:val="single" w:sz="4" w:space="0" w:color="auto"/>
              <w:left w:val="single" w:sz="4" w:space="0" w:color="auto"/>
            </w:tcBorders>
            <w:shd w:val="clear" w:color="auto" w:fill="FFFFFF"/>
          </w:tcPr>
          <w:p w14:paraId="4340870F"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D8A2F88"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594E2928"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1A74FF1" w14:textId="77777777" w:rsidTr="004A52D9">
        <w:trPr>
          <w:jc w:val="center"/>
        </w:trPr>
        <w:tc>
          <w:tcPr>
            <w:tcW w:w="4984" w:type="dxa"/>
            <w:gridSpan w:val="4"/>
            <w:tcBorders>
              <w:top w:val="single" w:sz="4" w:space="0" w:color="auto"/>
              <w:left w:val="single" w:sz="4" w:space="0" w:color="auto"/>
            </w:tcBorders>
            <w:shd w:val="clear" w:color="auto" w:fill="FFFFFF"/>
          </w:tcPr>
          <w:p w14:paraId="25EEBF76"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333E676"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091D197B"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3C674AA4"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r w:rsidRPr="003B2786">
              <w:rPr>
                <w:rStyle w:val="Bodytext1811pt"/>
                <w:rFonts w:ascii="Sylfaen" w:hAnsi="Sylfaen"/>
                <w:sz w:val="24"/>
                <w:szCs w:val="24"/>
                <w:vertAlign w:val="subscript"/>
              </w:rPr>
              <w:t>ԱՊ</w:t>
            </w:r>
          </w:p>
        </w:tc>
      </w:tr>
      <w:tr w:rsidR="008C76E0" w:rsidRPr="003B2786" w14:paraId="04C4921D"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6AB2ACA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6395CC1E"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Դեղապատրաստուկը ներառվել կամ հանվել է (համապատասխանաբար) լրացուցիչ դիտանցման ենթակա դեղապատրաստուկների ցանկից:</w:t>
            </w:r>
          </w:p>
        </w:tc>
      </w:tr>
      <w:tr w:rsidR="008C76E0" w:rsidRPr="003B2786" w14:paraId="641970A5"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42615A4"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418E369"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Փոփոխություններ կատարելու մասին դիմումի ուղեկցող նամակին կցված հղում՝ լրացուցիչ դիտանցման ենթակա դեղապատրաստուկների ցանկին:</w:t>
            </w:r>
          </w:p>
          <w:p w14:paraId="09D8FAC8" w14:textId="77777777" w:rsidR="008C76E0" w:rsidRPr="003B2786"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rPr>
            </w:pPr>
            <w:r w:rsidRPr="003B2786">
              <w:rPr>
                <w:rFonts w:ascii="Sylfaen" w:hAnsi="Sylfaen"/>
                <w:b w:val="0"/>
                <w:sz w:val="24"/>
                <w:szCs w:val="24"/>
              </w:rPr>
              <w:t>2.</w:t>
            </w:r>
            <w:r w:rsidRPr="003B2786">
              <w:rPr>
                <w:rFonts w:ascii="Sylfaen" w:hAnsi="Sylfaen"/>
                <w:b w:val="0"/>
                <w:sz w:val="24"/>
                <w:szCs w:val="24"/>
              </w:rPr>
              <w:tab/>
            </w:r>
            <w:r w:rsidRPr="003B2786">
              <w:rPr>
                <w:rStyle w:val="Bodytext1811pt"/>
                <w:rFonts w:ascii="Sylfaen" w:hAnsi="Sylfaen"/>
                <w:sz w:val="24"/>
                <w:szCs w:val="24"/>
              </w:rPr>
              <w:t>Դեղապատրաստուկի մասին վերանայված տեղեկատվությունը:</w:t>
            </w:r>
          </w:p>
        </w:tc>
      </w:tr>
      <w:tr w:rsidR="008C76E0" w:rsidRPr="003B2786" w14:paraId="7194DDC3" w14:textId="77777777" w:rsidTr="004A52D9">
        <w:trPr>
          <w:jc w:val="center"/>
        </w:trPr>
        <w:tc>
          <w:tcPr>
            <w:tcW w:w="2594" w:type="dxa"/>
            <w:gridSpan w:val="2"/>
            <w:tcBorders>
              <w:top w:val="single" w:sz="4" w:space="0" w:color="auto"/>
              <w:left w:val="single" w:sz="4" w:space="0" w:color="auto"/>
            </w:tcBorders>
            <w:shd w:val="clear" w:color="auto" w:fill="FFFFFF"/>
          </w:tcPr>
          <w:p w14:paraId="3F03474D" w14:textId="77777777" w:rsidR="008C76E0" w:rsidRPr="003B2786" w:rsidRDefault="008C76E0" w:rsidP="008C76E0">
            <w:pPr>
              <w:pStyle w:val="Bodytext180"/>
              <w:shd w:val="clear" w:color="auto" w:fill="auto"/>
              <w:tabs>
                <w:tab w:val="left" w:pos="589"/>
              </w:tabs>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7BD33B3F"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Տվյալ փոփոխությունն ընդգրկում է այն իրավիճակը, որում ս</w:t>
            </w:r>
            <w:r w:rsidR="00C54D75">
              <w:rPr>
                <w:rStyle w:val="Bodytext1811pt"/>
                <w:rFonts w:ascii="Sylfaen" w:hAnsi="Sylfaen"/>
                <w:sz w:val="24"/>
                <w:szCs w:val="24"/>
              </w:rPr>
              <w:t>և</w:t>
            </w:r>
            <w:r w:rsidRPr="003B2786">
              <w:rPr>
                <w:rStyle w:val="Bodytext1811pt"/>
                <w:rFonts w:ascii="Sylfaen" w:hAnsi="Sylfaen"/>
                <w:sz w:val="24"/>
                <w:szCs w:val="24"/>
              </w:rPr>
              <w:t xml:space="preserve"> պայմանանշանի կամ բացատրական ցուցումների ներառումը կամ բացառումը չի կատարվում այլ կարգավորիչ ընթացակարգի (օրինակ` դեղապատրաստուկի մասին տեղեկատվությանն առնչվող երկարաձգելու կամ փոփոխելու ընթացակարգը) շրջանակներում:</w:t>
            </w:r>
          </w:p>
        </w:tc>
      </w:tr>
      <w:tr w:rsidR="008C76E0" w:rsidRPr="003B2786" w14:paraId="2C92EE4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70C8809" w14:textId="77777777" w:rsidR="008C76E0" w:rsidRPr="008C76E0" w:rsidRDefault="008C76E0" w:rsidP="008C76E0">
            <w:pPr>
              <w:pStyle w:val="Bodytext180"/>
              <w:shd w:val="clear" w:color="auto" w:fill="auto"/>
              <w:tabs>
                <w:tab w:val="left" w:pos="1108"/>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Գ.I.13.</w:t>
            </w:r>
            <w:r w:rsidRPr="003B2786">
              <w:rPr>
                <w:rStyle w:val="Bodytext1811pt"/>
                <w:rFonts w:ascii="Sylfaen" w:hAnsi="Sylfaen"/>
                <w:sz w:val="24"/>
                <w:szCs w:val="24"/>
              </w:rPr>
              <w:tab/>
              <w:t>Սույն լրացման մյուս բաժիններում չնկարագրված այլ փոփոխություններ, որոնք ներառում են հետազոտությունները լիազորված մարմնին ներկայացնելը (*)</w:t>
            </w:r>
          </w:p>
        </w:tc>
        <w:tc>
          <w:tcPr>
            <w:tcW w:w="1883" w:type="dxa"/>
            <w:gridSpan w:val="2"/>
            <w:tcBorders>
              <w:top w:val="single" w:sz="4" w:space="0" w:color="auto"/>
              <w:left w:val="single" w:sz="4" w:space="0" w:color="auto"/>
            </w:tcBorders>
            <w:shd w:val="clear" w:color="auto" w:fill="FFFFFF"/>
          </w:tcPr>
          <w:p w14:paraId="36CBA766"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DE1BDB6"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837B7CD" w14:textId="77777777" w:rsidR="008C76E0" w:rsidRPr="003B2786" w:rsidRDefault="008C76E0" w:rsidP="008C76E0">
            <w:pPr>
              <w:pStyle w:val="Bodytext180"/>
              <w:shd w:val="clear" w:color="auto" w:fill="auto"/>
              <w:spacing w:before="0" w:after="120" w:line="240" w:lineRule="auto"/>
              <w:ind w:left="13"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645D4E0"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1BCC7D47"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bottom w:val="single" w:sz="4" w:space="0" w:color="auto"/>
            </w:tcBorders>
            <w:shd w:val="clear" w:color="auto" w:fill="FFFFFF"/>
          </w:tcPr>
          <w:p w14:paraId="0EEED1F5" w14:textId="77777777" w:rsidR="008C76E0" w:rsidRPr="003B2786" w:rsidRDefault="008C76E0" w:rsidP="008C76E0">
            <w:pPr>
              <w:spacing w:after="120"/>
              <w:ind w:left="159" w:right="222"/>
              <w:jc w:val="center"/>
              <w:rPr>
                <w:rFonts w:ascii="Sylfaen" w:hAnsi="Sylfaen"/>
                <w:sz w:val="24"/>
                <w:szCs w:val="24"/>
              </w:rPr>
            </w:pPr>
          </w:p>
        </w:tc>
        <w:tc>
          <w:tcPr>
            <w:tcW w:w="1984" w:type="dxa"/>
            <w:gridSpan w:val="2"/>
            <w:tcBorders>
              <w:top w:val="single" w:sz="4" w:space="0" w:color="auto"/>
              <w:left w:val="single" w:sz="4" w:space="0" w:color="auto"/>
              <w:bottom w:val="single" w:sz="4" w:space="0" w:color="auto"/>
            </w:tcBorders>
            <w:shd w:val="clear" w:color="auto" w:fill="FFFFFF"/>
          </w:tcPr>
          <w:p w14:paraId="7AF94A37" w14:textId="77777777" w:rsidR="008C76E0" w:rsidRPr="003B2786" w:rsidRDefault="008C76E0" w:rsidP="008C76E0">
            <w:pPr>
              <w:spacing w:after="120"/>
              <w:ind w:left="159" w:right="222"/>
              <w:jc w:val="center"/>
              <w:rPr>
                <w:rFonts w:ascii="Sylfaen" w:hAnsi="Sylfaen"/>
                <w:sz w:val="24"/>
                <w:szCs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48A1123F"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77A253A3" w14:textId="77777777" w:rsidTr="004A52D9">
        <w:trPr>
          <w:jc w:val="center"/>
        </w:trPr>
        <w:tc>
          <w:tcPr>
            <w:tcW w:w="2594" w:type="dxa"/>
            <w:gridSpan w:val="2"/>
            <w:tcBorders>
              <w:top w:val="single" w:sz="4" w:space="0" w:color="auto"/>
              <w:left w:val="single" w:sz="4" w:space="0" w:color="auto"/>
            </w:tcBorders>
            <w:shd w:val="clear" w:color="auto" w:fill="FFFFFF"/>
          </w:tcPr>
          <w:p w14:paraId="200474FC" w14:textId="77777777" w:rsidR="008C76E0" w:rsidRPr="003B2786" w:rsidRDefault="008C76E0" w:rsidP="008C76E0">
            <w:pPr>
              <w:pStyle w:val="Bodytext180"/>
              <w:shd w:val="clear" w:color="auto" w:fill="auto"/>
              <w:spacing w:before="0" w:after="120" w:line="240" w:lineRule="auto"/>
              <w:ind w:firstLine="0"/>
              <w:jc w:val="both"/>
              <w:rPr>
                <w:rFonts w:ascii="Sylfaen" w:hAnsi="Sylfaen"/>
                <w:b w:val="0"/>
                <w:sz w:val="24"/>
                <w:szCs w:val="24"/>
              </w:rPr>
            </w:pPr>
            <w:r w:rsidRPr="003B2786">
              <w:rPr>
                <w:rStyle w:val="Bodytext1811pt"/>
                <w:rFonts w:ascii="Sylfaen" w:hAnsi="Sylfaen"/>
                <w:sz w:val="24"/>
                <w:szCs w:val="24"/>
              </w:rPr>
              <w:t>Ծանոթագրություն</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6608B8B1" w14:textId="77777777" w:rsidR="008C76E0" w:rsidRPr="003B2786" w:rsidRDefault="008C76E0" w:rsidP="004A52D9">
            <w:pPr>
              <w:pStyle w:val="Bodytext180"/>
              <w:shd w:val="clear" w:color="auto" w:fill="auto"/>
              <w:spacing w:before="0" w:after="120" w:line="264" w:lineRule="auto"/>
              <w:ind w:left="159" w:right="221" w:firstLine="0"/>
              <w:jc w:val="both"/>
              <w:rPr>
                <w:rFonts w:ascii="Sylfaen" w:hAnsi="Sylfaen"/>
                <w:b w:val="0"/>
                <w:sz w:val="24"/>
                <w:szCs w:val="24"/>
              </w:rPr>
            </w:pPr>
            <w:r w:rsidRPr="003B2786">
              <w:rPr>
                <w:rStyle w:val="Bodytext1811pt"/>
                <w:rFonts w:ascii="Sylfaen" w:hAnsi="Sylfaen"/>
                <w:sz w:val="24"/>
                <w:szCs w:val="24"/>
              </w:rPr>
              <w:t xml:space="preserve">Եթե ներկայացված տվյալների փորձաքննությունը լիազոր մարմնի կողմից հանգեցնում է դեղապատրաստուկի ընդհանուր բնութագրի, մականշվածքի կամ ներդիր թերթիկի փոփոխությանը, ապա տվյալ փոփոխությանը ենթարկվում են դեղապատրաստուկի ընդհանուր </w:t>
            </w:r>
            <w:r w:rsidRPr="003B2786">
              <w:rPr>
                <w:rStyle w:val="Bodytext1811pt"/>
                <w:rFonts w:ascii="Sylfaen" w:hAnsi="Sylfaen"/>
                <w:sz w:val="24"/>
                <w:szCs w:val="24"/>
              </w:rPr>
              <w:lastRenderedPageBreak/>
              <w:t>բնութագրի, մականշվածքի կամ ներդիր թերթիկի համապատասխան ուղղումները:</w:t>
            </w:r>
          </w:p>
        </w:tc>
      </w:tr>
      <w:tr w:rsidR="008C76E0" w:rsidRPr="003B2786" w14:paraId="184A4E98" w14:textId="77777777" w:rsidTr="004A52D9">
        <w:trPr>
          <w:jc w:val="center"/>
        </w:trPr>
        <w:tc>
          <w:tcPr>
            <w:tcW w:w="2594" w:type="dxa"/>
            <w:gridSpan w:val="2"/>
            <w:tcBorders>
              <w:top w:val="single" w:sz="4" w:space="0" w:color="auto"/>
              <w:left w:val="single" w:sz="4" w:space="0" w:color="auto"/>
            </w:tcBorders>
            <w:shd w:val="clear" w:color="auto" w:fill="FFFFFF"/>
          </w:tcPr>
          <w:p w14:paraId="296F7F4A"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lastRenderedPageBreak/>
              <w:t>(*)</w:t>
            </w:r>
          </w:p>
        </w:tc>
        <w:tc>
          <w:tcPr>
            <w:tcW w:w="8100" w:type="dxa"/>
            <w:gridSpan w:val="8"/>
            <w:tcBorders>
              <w:top w:val="single" w:sz="4" w:space="0" w:color="auto"/>
              <w:left w:val="single" w:sz="4" w:space="0" w:color="auto"/>
              <w:right w:val="single" w:sz="4" w:space="0" w:color="auto"/>
            </w:tcBorders>
            <w:shd w:val="clear" w:color="auto" w:fill="FFFFFF"/>
            <w:vAlign w:val="bottom"/>
          </w:tcPr>
          <w:p w14:paraId="35730317"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1pt"/>
                <w:rFonts w:ascii="Sylfaen" w:hAnsi="Sylfaen"/>
                <w:sz w:val="24"/>
                <w:szCs w:val="24"/>
              </w:rPr>
              <w:t>Տվյալ փոփոխությունը չի կիրառվում այն փոփոխությունների դեպքում, որոնք կարող են ինքնաբերաբար ընդունվել որպես IB տիպի փոփոխություններ՝ սույն լրացման ցանկացած այլ բաժնին համապատասխան:</w:t>
            </w:r>
          </w:p>
        </w:tc>
      </w:tr>
      <w:tr w:rsidR="008C76E0" w:rsidRPr="003B2786" w14:paraId="5A229933" w14:textId="77777777" w:rsidTr="004A52D9">
        <w:trPr>
          <w:jc w:val="center"/>
        </w:trPr>
        <w:tc>
          <w:tcPr>
            <w:tcW w:w="10694" w:type="dxa"/>
            <w:gridSpan w:val="10"/>
            <w:tcBorders>
              <w:top w:val="single" w:sz="4" w:space="0" w:color="auto"/>
            </w:tcBorders>
            <w:shd w:val="clear" w:color="auto" w:fill="FFFFFF"/>
            <w:vAlign w:val="bottom"/>
          </w:tcPr>
          <w:p w14:paraId="75B5CA66" w14:textId="77777777" w:rsidR="008C76E0" w:rsidRPr="003B2786" w:rsidRDefault="008C76E0" w:rsidP="008C76E0">
            <w:pPr>
              <w:pStyle w:val="Bodytext180"/>
              <w:shd w:val="clear" w:color="auto" w:fill="auto"/>
              <w:spacing w:before="0" w:after="120" w:line="240" w:lineRule="auto"/>
              <w:ind w:left="159" w:right="222" w:firstLine="0"/>
              <w:jc w:val="both"/>
              <w:rPr>
                <w:rFonts w:ascii="Sylfaen" w:hAnsi="Sylfaen"/>
                <w:b w:val="0"/>
                <w:sz w:val="24"/>
                <w:szCs w:val="24"/>
              </w:rPr>
            </w:pPr>
            <w:r w:rsidRPr="003B2786">
              <w:rPr>
                <w:rStyle w:val="Bodytext18105pt"/>
                <w:rFonts w:ascii="Sylfaen" w:hAnsi="Sylfaen"/>
                <w:sz w:val="24"/>
                <w:szCs w:val="24"/>
              </w:rPr>
              <w:t>Դ. ՊՄՖ (ՊՀՄՖ)</w:t>
            </w:r>
          </w:p>
        </w:tc>
      </w:tr>
      <w:tr w:rsidR="008C76E0" w:rsidRPr="003B2786" w14:paraId="2FA15F0C"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C5C13F6"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 1.</w:t>
            </w:r>
            <w:r w:rsidRPr="003B2786">
              <w:rPr>
                <w:rStyle w:val="Bodytext1811pt"/>
                <w:rFonts w:ascii="Sylfaen" w:hAnsi="Sylfaen"/>
                <w:sz w:val="24"/>
                <w:szCs w:val="24"/>
              </w:rPr>
              <w:tab/>
              <w:t xml:space="preserve">ՊՀՄՖ-ի հավաստագրի իրավատիրոջ անվանման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հասցեի փոփոխությունը</w:t>
            </w:r>
          </w:p>
        </w:tc>
        <w:tc>
          <w:tcPr>
            <w:tcW w:w="1883" w:type="dxa"/>
            <w:gridSpan w:val="2"/>
            <w:tcBorders>
              <w:top w:val="single" w:sz="4" w:space="0" w:color="auto"/>
              <w:left w:val="single" w:sz="4" w:space="0" w:color="auto"/>
            </w:tcBorders>
            <w:shd w:val="clear" w:color="auto" w:fill="FFFFFF"/>
          </w:tcPr>
          <w:p w14:paraId="7376CDC8"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FC176F4"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2BFD4DE0" w14:textId="77777777" w:rsidR="008C76E0" w:rsidRPr="003B2786" w:rsidRDefault="008C76E0" w:rsidP="008C76E0">
            <w:pPr>
              <w:pStyle w:val="Bodytext180"/>
              <w:shd w:val="clear" w:color="auto" w:fill="auto"/>
              <w:spacing w:before="0" w:after="12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C3022E2" w14:textId="77777777" w:rsidTr="004A52D9">
        <w:trPr>
          <w:jc w:val="center"/>
        </w:trPr>
        <w:tc>
          <w:tcPr>
            <w:tcW w:w="4984" w:type="dxa"/>
            <w:gridSpan w:val="4"/>
            <w:tcBorders>
              <w:top w:val="single" w:sz="4" w:space="0" w:color="auto"/>
              <w:left w:val="single" w:sz="4" w:space="0" w:color="auto"/>
            </w:tcBorders>
            <w:shd w:val="clear" w:color="auto" w:fill="FFFFFF"/>
          </w:tcPr>
          <w:p w14:paraId="5CC80C93"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01974C9B"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24628AAF"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736F342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5DD9F8EC"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2DB6F339"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E9D913F" w14:textId="77777777" w:rsidR="008C76E0" w:rsidRPr="008C76E0" w:rsidRDefault="008C76E0" w:rsidP="008C76E0">
            <w:pPr>
              <w:pStyle w:val="Bodytext180"/>
              <w:shd w:val="clear" w:color="auto" w:fill="auto"/>
              <w:tabs>
                <w:tab w:val="left" w:pos="572"/>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ՊՀՄՖ-ի հավաստագրի իրավատեր պետք է մնա մի</w:t>
            </w:r>
            <w:r w:rsidR="00C54D75">
              <w:rPr>
                <w:rStyle w:val="Bodytext1811pt"/>
                <w:rFonts w:ascii="Sylfaen" w:hAnsi="Sylfaen"/>
                <w:sz w:val="24"/>
                <w:szCs w:val="24"/>
              </w:rPr>
              <w:t>և</w:t>
            </w:r>
            <w:r w:rsidRPr="003B2786">
              <w:rPr>
                <w:rStyle w:val="Bodytext1811pt"/>
                <w:rFonts w:ascii="Sylfaen" w:hAnsi="Sylfaen"/>
                <w:sz w:val="24"/>
                <w:szCs w:val="24"/>
              </w:rPr>
              <w:t>նույն իրավաբանական անձը:</w:t>
            </w:r>
          </w:p>
        </w:tc>
      </w:tr>
      <w:tr w:rsidR="008C76E0" w:rsidRPr="003B2786" w14:paraId="100B657B"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E2F6A2D" w14:textId="77777777" w:rsidR="008C76E0" w:rsidRPr="008C76E0" w:rsidRDefault="008C76E0" w:rsidP="008C76E0">
            <w:pPr>
              <w:pStyle w:val="Bodytext180"/>
              <w:shd w:val="clear" w:color="auto" w:fill="auto"/>
              <w:tabs>
                <w:tab w:val="left" w:pos="57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C08FE2A" w14:textId="77777777" w:rsidR="008C76E0" w:rsidRPr="008C76E0" w:rsidRDefault="008C76E0" w:rsidP="008C76E0">
            <w:pPr>
              <w:pStyle w:val="Bodytext180"/>
              <w:shd w:val="clear" w:color="auto" w:fill="auto"/>
              <w:tabs>
                <w:tab w:val="left" w:pos="57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Պաշտոնական փաստաթուղթ՝ համապատասխան լիազորված մարմնի (օրինակ՝ հարկային մարմնի) կողմից, որում նշված է նոր անվանումը կամ հասցեն:</w:t>
            </w:r>
          </w:p>
        </w:tc>
      </w:tr>
      <w:tr w:rsidR="008C76E0" w:rsidRPr="003B2786" w14:paraId="089FBD0A" w14:textId="77777777" w:rsidTr="004A52D9">
        <w:trPr>
          <w:jc w:val="center"/>
        </w:trPr>
        <w:tc>
          <w:tcPr>
            <w:tcW w:w="4984" w:type="dxa"/>
            <w:gridSpan w:val="4"/>
            <w:tcBorders>
              <w:top w:val="single" w:sz="4" w:space="0" w:color="auto"/>
              <w:left w:val="single" w:sz="4" w:space="0" w:color="auto"/>
            </w:tcBorders>
            <w:shd w:val="clear" w:color="auto" w:fill="FFFFFF"/>
          </w:tcPr>
          <w:p w14:paraId="2040D975"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Դ.2.</w:t>
            </w:r>
            <w:r w:rsidRPr="003B2786">
              <w:rPr>
                <w:rStyle w:val="Bodytext1811pt"/>
                <w:rFonts w:ascii="Sylfaen" w:hAnsi="Sylfaen"/>
                <w:sz w:val="24"/>
                <w:szCs w:val="24"/>
              </w:rPr>
              <w:tab/>
              <w:t xml:space="preserve">ՊՄՖ-ի հավաստագրի իրավատիրոջ անվանման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հասցեի փոփոխությունը</w:t>
            </w:r>
          </w:p>
        </w:tc>
        <w:tc>
          <w:tcPr>
            <w:tcW w:w="1883" w:type="dxa"/>
            <w:gridSpan w:val="2"/>
            <w:tcBorders>
              <w:top w:val="single" w:sz="4" w:space="0" w:color="auto"/>
              <w:left w:val="single" w:sz="4" w:space="0" w:color="auto"/>
            </w:tcBorders>
            <w:shd w:val="clear" w:color="auto" w:fill="FFFFFF"/>
          </w:tcPr>
          <w:p w14:paraId="72E312B3" w14:textId="77777777" w:rsidR="008C76E0" w:rsidRPr="003B2786" w:rsidRDefault="008C76E0" w:rsidP="008C76E0">
            <w:pPr>
              <w:pStyle w:val="Bodytext180"/>
              <w:shd w:val="clear" w:color="auto" w:fill="auto"/>
              <w:spacing w:before="0" w:line="240" w:lineRule="auto"/>
              <w:ind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C515BE2" w14:textId="77777777" w:rsidR="008C76E0" w:rsidRPr="003B2786" w:rsidRDefault="008C76E0" w:rsidP="008C76E0">
            <w:pPr>
              <w:pStyle w:val="Bodytext180"/>
              <w:shd w:val="clear" w:color="auto" w:fill="auto"/>
              <w:spacing w:before="0" w:line="240" w:lineRule="auto"/>
              <w:ind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283EB483" w14:textId="77777777" w:rsidR="008C76E0" w:rsidRPr="003B2786" w:rsidRDefault="008C76E0" w:rsidP="008C76E0">
            <w:pPr>
              <w:pStyle w:val="Bodytext180"/>
              <w:shd w:val="clear" w:color="auto" w:fill="auto"/>
              <w:spacing w:before="0" w:line="240" w:lineRule="auto"/>
              <w:ind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9697391" w14:textId="77777777" w:rsidTr="004A52D9">
        <w:trPr>
          <w:jc w:val="center"/>
        </w:trPr>
        <w:tc>
          <w:tcPr>
            <w:tcW w:w="4984" w:type="dxa"/>
            <w:gridSpan w:val="4"/>
            <w:tcBorders>
              <w:top w:val="single" w:sz="4" w:space="0" w:color="auto"/>
              <w:left w:val="single" w:sz="4" w:space="0" w:color="auto"/>
            </w:tcBorders>
            <w:shd w:val="clear" w:color="auto" w:fill="FFFFFF"/>
          </w:tcPr>
          <w:p w14:paraId="7323EBFE" w14:textId="77777777" w:rsidR="008C76E0" w:rsidRPr="003B2786" w:rsidRDefault="008C76E0" w:rsidP="008C76E0">
            <w:pPr>
              <w:spacing w:after="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4421546D"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4DB0BBD4"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102292E1"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2095994A"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7D83537E"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2271677"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ՊՄՖ-ի հավաստագրի իրավատեր պետք է մնա մի</w:t>
            </w:r>
            <w:r w:rsidR="00C54D75">
              <w:rPr>
                <w:rStyle w:val="Bodytext1811pt"/>
                <w:rFonts w:ascii="Sylfaen" w:hAnsi="Sylfaen"/>
                <w:sz w:val="24"/>
                <w:szCs w:val="24"/>
              </w:rPr>
              <w:t>և</w:t>
            </w:r>
            <w:r w:rsidRPr="003B2786">
              <w:rPr>
                <w:rStyle w:val="Bodytext1811pt"/>
                <w:rFonts w:ascii="Sylfaen" w:hAnsi="Sylfaen"/>
                <w:sz w:val="24"/>
                <w:szCs w:val="24"/>
              </w:rPr>
              <w:t>նույն իրավաբանական անձը:</w:t>
            </w:r>
          </w:p>
        </w:tc>
      </w:tr>
      <w:tr w:rsidR="008C76E0" w:rsidRPr="003B2786" w14:paraId="7F72F76B"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26267F5B"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2DF086DF"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Պաշտոնական փաստաթուղթ՝ համապատասխան լիազորված մարմնի (օրինակ՝ հարկային մարմնի) կողմից, որում նշված է նոր անվանումը կամ հասցեն:</w:t>
            </w:r>
          </w:p>
        </w:tc>
      </w:tr>
      <w:tr w:rsidR="008C76E0" w:rsidRPr="003B2786" w14:paraId="613E6C15"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88ABEFA" w14:textId="77777777" w:rsidR="008C76E0" w:rsidRPr="008C76E0" w:rsidRDefault="008C76E0" w:rsidP="008C76E0">
            <w:pPr>
              <w:pStyle w:val="Bodytext180"/>
              <w:shd w:val="clear" w:color="auto" w:fill="auto"/>
              <w:tabs>
                <w:tab w:val="left" w:pos="556"/>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Դ.3.</w:t>
            </w:r>
            <w:r w:rsidRPr="003B2786">
              <w:rPr>
                <w:rStyle w:val="Bodytext1811pt"/>
                <w:rFonts w:ascii="Sylfaen" w:hAnsi="Sylfaen"/>
                <w:sz w:val="24"/>
                <w:szCs w:val="24"/>
              </w:rPr>
              <w:tab/>
              <w:t>ՊՄՖ-ի հավաստագրի ընթացիկ իրավատիրոջ փոփոխությունը կամ փոխանցումը ՊՄՖ-ի սերտիֆիկատի նոր իրավատիրոջ, այսինքն՝ այլ իրավաբանական անձի</w:t>
            </w:r>
          </w:p>
        </w:tc>
        <w:tc>
          <w:tcPr>
            <w:tcW w:w="1883" w:type="dxa"/>
            <w:gridSpan w:val="2"/>
            <w:tcBorders>
              <w:top w:val="single" w:sz="4" w:space="0" w:color="auto"/>
              <w:left w:val="single" w:sz="4" w:space="0" w:color="auto"/>
            </w:tcBorders>
            <w:shd w:val="clear" w:color="auto" w:fill="FFFFFF"/>
          </w:tcPr>
          <w:p w14:paraId="7DCD6771" w14:textId="77777777" w:rsidR="008C76E0" w:rsidRPr="003B2786" w:rsidRDefault="008C76E0" w:rsidP="008C76E0">
            <w:pPr>
              <w:pStyle w:val="Bodytext180"/>
              <w:shd w:val="clear" w:color="auto" w:fill="auto"/>
              <w:spacing w:before="0" w:line="240" w:lineRule="auto"/>
              <w:ind w:left="33"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4C06462C" w14:textId="77777777" w:rsidR="008C76E0" w:rsidRPr="003B2786" w:rsidRDefault="008C76E0" w:rsidP="008C76E0">
            <w:pPr>
              <w:pStyle w:val="Bodytext180"/>
              <w:shd w:val="clear" w:color="auto" w:fill="auto"/>
              <w:spacing w:before="0" w:line="240" w:lineRule="auto"/>
              <w:ind w:left="33"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27BEE405" w14:textId="77777777" w:rsidR="008C76E0" w:rsidRPr="003B2786" w:rsidRDefault="008C76E0" w:rsidP="008C76E0">
            <w:pPr>
              <w:pStyle w:val="Bodytext180"/>
              <w:shd w:val="clear" w:color="auto" w:fill="auto"/>
              <w:spacing w:before="0" w:line="240" w:lineRule="auto"/>
              <w:ind w:left="33"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7C7B5CA6" w14:textId="77777777" w:rsidTr="004A52D9">
        <w:trPr>
          <w:jc w:val="center"/>
        </w:trPr>
        <w:tc>
          <w:tcPr>
            <w:tcW w:w="4984" w:type="dxa"/>
            <w:gridSpan w:val="4"/>
            <w:tcBorders>
              <w:top w:val="single" w:sz="4" w:space="0" w:color="auto"/>
              <w:left w:val="single" w:sz="4" w:space="0" w:color="auto"/>
            </w:tcBorders>
            <w:shd w:val="clear" w:color="auto" w:fill="FFFFFF"/>
          </w:tcPr>
          <w:p w14:paraId="32C53A6C" w14:textId="77777777" w:rsidR="008C76E0" w:rsidRPr="003B2786" w:rsidRDefault="008C76E0" w:rsidP="008C76E0">
            <w:pPr>
              <w:spacing w:after="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35EFE13"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E460B9F"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1, 2, 3, 4, 5, 6</w:t>
            </w:r>
          </w:p>
        </w:tc>
        <w:tc>
          <w:tcPr>
            <w:tcW w:w="1843" w:type="dxa"/>
            <w:gridSpan w:val="2"/>
            <w:tcBorders>
              <w:top w:val="single" w:sz="4" w:space="0" w:color="auto"/>
              <w:left w:val="single" w:sz="4" w:space="0" w:color="auto"/>
              <w:right w:val="single" w:sz="4" w:space="0" w:color="auto"/>
            </w:tcBorders>
            <w:shd w:val="clear" w:color="auto" w:fill="FFFFFF"/>
          </w:tcPr>
          <w:p w14:paraId="6038C21B" w14:textId="77777777" w:rsidR="008C76E0" w:rsidRPr="003B2786" w:rsidRDefault="008C76E0" w:rsidP="008C76E0">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05pt"/>
                <w:rFonts w:ascii="Sylfaen" w:hAnsi="Sylfaen"/>
                <w:sz w:val="24"/>
                <w:szCs w:val="24"/>
              </w:rPr>
              <w:t>IA</w:t>
            </w:r>
            <w:r w:rsidRPr="003B2786">
              <w:rPr>
                <w:rStyle w:val="Bodytext18105pt"/>
                <w:rFonts w:ascii="Sylfaen" w:hAnsi="Sylfaen"/>
                <w:sz w:val="24"/>
                <w:szCs w:val="24"/>
                <w:vertAlign w:val="subscript"/>
              </w:rPr>
              <w:t>ԱՊ</w:t>
            </w:r>
          </w:p>
        </w:tc>
      </w:tr>
      <w:tr w:rsidR="008C76E0" w:rsidRPr="003B2786" w14:paraId="52B19438"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tcPr>
          <w:p w14:paraId="239E3A27"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0829A8BD" w14:textId="77777777" w:rsidR="008C76E0" w:rsidRPr="008C76E0" w:rsidRDefault="008C76E0" w:rsidP="00F66329">
            <w:pPr>
              <w:pStyle w:val="Bodytext180"/>
              <w:shd w:val="clear" w:color="auto" w:fill="auto"/>
              <w:tabs>
                <w:tab w:val="left" w:pos="539"/>
              </w:tabs>
              <w:spacing w:before="0" w:after="12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Փաստաթուղթը, ներառյալ՝ ՊՄՖ-ի ընթացիկ իրավատիրոջ (իրավունքը օտարող անձի) նույնականացումը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հասցեն) </w:t>
            </w:r>
            <w:r w:rsidR="00C54D75">
              <w:rPr>
                <w:rStyle w:val="Bodytext1811pt"/>
                <w:rFonts w:ascii="Sylfaen" w:hAnsi="Sylfaen"/>
                <w:sz w:val="24"/>
                <w:szCs w:val="24"/>
              </w:rPr>
              <w:t>և</w:t>
            </w:r>
            <w:r w:rsidRPr="003B2786">
              <w:rPr>
                <w:rStyle w:val="Bodytext1811pt"/>
                <w:rFonts w:ascii="Sylfaen" w:hAnsi="Sylfaen"/>
                <w:sz w:val="24"/>
                <w:szCs w:val="24"/>
              </w:rPr>
              <w:t xml:space="preserve"> այն անձի (իրավունք ձեռք բերող անձի) նույնականացումը (անվանումը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հասցեն), որն ընդունում է փոխանցումը, ինչպես նա</w:t>
            </w:r>
            <w:r w:rsidR="00C54D75">
              <w:rPr>
                <w:rStyle w:val="Bodytext1811pt"/>
                <w:rFonts w:ascii="Sylfaen" w:hAnsi="Sylfaen"/>
                <w:sz w:val="24"/>
                <w:szCs w:val="24"/>
              </w:rPr>
              <w:t>և</w:t>
            </w:r>
            <w:r w:rsidRPr="003B2786">
              <w:rPr>
                <w:rStyle w:val="Bodytext1811pt"/>
                <w:rFonts w:ascii="Sylfaen" w:hAnsi="Sylfaen"/>
                <w:sz w:val="24"/>
                <w:szCs w:val="24"/>
              </w:rPr>
              <w:t xml:space="preserve"> երկու ընկերությունների կողմից ստորագրված գործարքի առաջարկվող ամսաթիվը:</w:t>
            </w:r>
          </w:p>
          <w:p w14:paraId="413B0179" w14:textId="77777777" w:rsidR="008C76E0" w:rsidRPr="008C76E0" w:rsidRDefault="008C76E0" w:rsidP="00F66329">
            <w:pPr>
              <w:pStyle w:val="Bodytext180"/>
              <w:shd w:val="clear" w:color="auto" w:fill="auto"/>
              <w:tabs>
                <w:tab w:val="left" w:pos="539"/>
              </w:tabs>
              <w:spacing w:before="0" w:after="12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ՊՄՖ-ի հավաստագրի վերջին էջի պատճենը՝ «Պլազմայի մաստեր-ֆայլի (ՊՄՖ)՝ Միության օրենսդրությանը համապատասխանության սերտիֆիկատը»:</w:t>
            </w:r>
          </w:p>
          <w:p w14:paraId="0FB45C3F"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lastRenderedPageBreak/>
              <w:t>3.</w:t>
            </w:r>
            <w:r w:rsidRPr="008C76E0">
              <w:rPr>
                <w:rFonts w:ascii="Sylfaen" w:hAnsi="Sylfaen"/>
                <w:b w:val="0"/>
                <w:sz w:val="24"/>
                <w:szCs w:val="24"/>
                <w:lang w:val="hy-AM"/>
              </w:rPr>
              <w:tab/>
            </w:r>
            <w:r w:rsidRPr="003B2786">
              <w:rPr>
                <w:rStyle w:val="Bodytext1811pt"/>
                <w:rFonts w:ascii="Sylfaen" w:hAnsi="Sylfaen"/>
                <w:sz w:val="24"/>
                <w:szCs w:val="24"/>
              </w:rPr>
              <w:t xml:space="preserve">Երկու ընկերությունների կողմից ստորագրված՝ նոր իրավատիրոջ գրանցման հաստատումը (քաղվածք՝ իրավաբանական անձանց ռեեստրից, </w:t>
            </w:r>
            <w:r w:rsidR="00C54D75">
              <w:rPr>
                <w:rStyle w:val="Bodytext1811pt"/>
                <w:rFonts w:ascii="Sylfaen" w:hAnsi="Sylfaen"/>
                <w:sz w:val="24"/>
                <w:szCs w:val="24"/>
              </w:rPr>
              <w:t>և</w:t>
            </w:r>
            <w:r w:rsidRPr="003B2786">
              <w:rPr>
                <w:rStyle w:val="Bodytext1811pt"/>
                <w:rFonts w:ascii="Sylfaen" w:hAnsi="Sylfaen"/>
                <w:sz w:val="24"/>
                <w:szCs w:val="24"/>
              </w:rPr>
              <w:t xml:space="preserve"> դրա ռուսերեն թարգմանությունը):</w:t>
            </w:r>
          </w:p>
          <w:p w14:paraId="154395D6"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4.</w:t>
            </w:r>
            <w:r w:rsidRPr="008C76E0">
              <w:rPr>
                <w:rFonts w:ascii="Sylfaen" w:hAnsi="Sylfaen"/>
                <w:b w:val="0"/>
                <w:sz w:val="24"/>
                <w:szCs w:val="24"/>
                <w:lang w:val="hy-AM"/>
              </w:rPr>
              <w:tab/>
            </w:r>
            <w:r w:rsidRPr="003B2786">
              <w:rPr>
                <w:rStyle w:val="Bodytext1811pt"/>
                <w:rFonts w:ascii="Sylfaen" w:hAnsi="Sylfaen"/>
                <w:sz w:val="24"/>
                <w:szCs w:val="24"/>
              </w:rPr>
              <w:t>ՊՄՖ-ի առաջին հավաստագրումից ՊՄՖ-ի բոլոր փաստաթղթերի՝ իրավունք ձեռք բերող անձին փոխանցման հաստատումը՝ ստորագրված երկու ընկերությունների կողմից:</w:t>
            </w:r>
          </w:p>
          <w:p w14:paraId="5CD7E804"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5.</w:t>
            </w:r>
            <w:r w:rsidRPr="008C76E0">
              <w:rPr>
                <w:rFonts w:ascii="Sylfaen" w:hAnsi="Sylfaen"/>
                <w:b w:val="0"/>
                <w:sz w:val="24"/>
                <w:szCs w:val="24"/>
                <w:lang w:val="hy-AM"/>
              </w:rPr>
              <w:tab/>
            </w:r>
            <w:r w:rsidRPr="003B2786">
              <w:rPr>
                <w:rStyle w:val="Bodytext1811pt"/>
                <w:rFonts w:ascii="Sylfaen" w:hAnsi="Sylfaen"/>
                <w:sz w:val="24"/>
                <w:szCs w:val="24"/>
              </w:rPr>
              <w:t xml:space="preserve">Իրավունք ձեռք բերող անձի կողմից ստորագրված լիազորագիրը, ներառյալ՝ այն անձի կոնտակտային տեղեկությունները, որը պատասխանատու է լիազորված մարմնի </w:t>
            </w:r>
            <w:r w:rsidR="00C54D75">
              <w:rPr>
                <w:rStyle w:val="Bodytext1811pt"/>
                <w:rFonts w:ascii="Sylfaen" w:hAnsi="Sylfaen"/>
                <w:sz w:val="24"/>
                <w:szCs w:val="24"/>
              </w:rPr>
              <w:t>և</w:t>
            </w:r>
            <w:r w:rsidRPr="003B2786">
              <w:rPr>
                <w:rStyle w:val="Bodytext1811pt"/>
                <w:rFonts w:ascii="Sylfaen" w:hAnsi="Sylfaen"/>
                <w:sz w:val="24"/>
                <w:szCs w:val="24"/>
              </w:rPr>
              <w:t xml:space="preserve"> ՊՄՖ-ի իրավատիրոջ միջ</w:t>
            </w:r>
            <w:r w:rsidR="00C54D75">
              <w:rPr>
                <w:rStyle w:val="Bodytext1811pt"/>
                <w:rFonts w:ascii="Sylfaen" w:hAnsi="Sylfaen"/>
                <w:sz w:val="24"/>
                <w:szCs w:val="24"/>
              </w:rPr>
              <w:t>և</w:t>
            </w:r>
            <w:r w:rsidRPr="003B2786">
              <w:rPr>
                <w:rStyle w:val="Bodytext1811pt"/>
                <w:rFonts w:ascii="Sylfaen" w:hAnsi="Sylfaen"/>
                <w:sz w:val="24"/>
                <w:szCs w:val="24"/>
              </w:rPr>
              <w:t xml:space="preserve"> կապի համար:</w:t>
            </w:r>
          </w:p>
          <w:p w14:paraId="61ECC0E9" w14:textId="77777777" w:rsidR="008C76E0" w:rsidRPr="008C76E0" w:rsidRDefault="008C76E0" w:rsidP="008C76E0">
            <w:pPr>
              <w:pStyle w:val="Bodytext180"/>
              <w:shd w:val="clear" w:color="auto" w:fill="auto"/>
              <w:tabs>
                <w:tab w:val="left" w:pos="53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6.</w:t>
            </w:r>
            <w:r w:rsidRPr="008C76E0">
              <w:rPr>
                <w:rFonts w:ascii="Sylfaen" w:hAnsi="Sylfaen"/>
                <w:b w:val="0"/>
                <w:sz w:val="24"/>
                <w:szCs w:val="24"/>
                <w:lang w:val="hy-AM"/>
              </w:rPr>
              <w:tab/>
            </w:r>
            <w:r w:rsidRPr="003B2786">
              <w:rPr>
                <w:rStyle w:val="Bodytext1811pt"/>
                <w:rFonts w:ascii="Sylfaen" w:hAnsi="Sylfaen"/>
                <w:sz w:val="24"/>
                <w:szCs w:val="24"/>
              </w:rPr>
              <w:t xml:space="preserve">Իրավունք ձեռք բերող անձի կողմից ստորագրված նամակ-պարտավորագիրը՝ բոլոր անկատար </w:t>
            </w:r>
            <w:r w:rsidR="00C54D75">
              <w:rPr>
                <w:rStyle w:val="Bodytext1811pt"/>
                <w:rFonts w:ascii="Sylfaen" w:hAnsi="Sylfaen"/>
                <w:sz w:val="24"/>
                <w:szCs w:val="24"/>
              </w:rPr>
              <w:t>և</w:t>
            </w:r>
            <w:r w:rsidRPr="003B2786">
              <w:rPr>
                <w:rStyle w:val="Bodytext1811pt"/>
                <w:rFonts w:ascii="Sylfaen" w:hAnsi="Sylfaen"/>
                <w:sz w:val="24"/>
                <w:szCs w:val="24"/>
              </w:rPr>
              <w:t xml:space="preserve"> մնացած պարտավորությունների կատարման վերաբերյալ (առկայության դեպքում):</w:t>
            </w:r>
          </w:p>
        </w:tc>
      </w:tr>
      <w:tr w:rsidR="008C76E0" w:rsidRPr="003B2786" w14:paraId="36E2CA5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18FFF90" w14:textId="77777777" w:rsidR="008C76E0" w:rsidRPr="008C76E0" w:rsidRDefault="008C76E0" w:rsidP="008C76E0">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Դ.4.</w:t>
            </w:r>
            <w:r w:rsidRPr="003B2786">
              <w:rPr>
                <w:rStyle w:val="Bodytext1811pt"/>
                <w:rFonts w:ascii="Sylfaen" w:hAnsi="Sylfaen"/>
                <w:sz w:val="24"/>
                <w:szCs w:val="24"/>
              </w:rPr>
              <w:tab/>
              <w:t xml:space="preserve">Արյան հաստատությունների, ներառյալ՝ արյան (պլազմայի) հավաքագրման կենտրոնների անվանումների </w:t>
            </w:r>
            <w:r w:rsidR="00C54D75">
              <w:rPr>
                <w:rStyle w:val="Bodytext1811pt"/>
                <w:rFonts w:ascii="Sylfaen" w:hAnsi="Sylfaen"/>
                <w:sz w:val="24"/>
                <w:szCs w:val="24"/>
              </w:rPr>
              <w:t>և</w:t>
            </w:r>
            <w:r w:rsidRPr="003B2786">
              <w:rPr>
                <w:rStyle w:val="Bodytext1811pt"/>
                <w:rFonts w:ascii="Sylfaen" w:hAnsi="Sylfaen"/>
                <w:sz w:val="24"/>
                <w:szCs w:val="24"/>
              </w:rPr>
              <w:t xml:space="preserve"> (կամ) հասցեների փոփոխությունը</w:t>
            </w:r>
          </w:p>
        </w:tc>
        <w:tc>
          <w:tcPr>
            <w:tcW w:w="1883" w:type="dxa"/>
            <w:gridSpan w:val="2"/>
            <w:tcBorders>
              <w:top w:val="single" w:sz="4" w:space="0" w:color="auto"/>
              <w:left w:val="single" w:sz="4" w:space="0" w:color="auto"/>
            </w:tcBorders>
            <w:shd w:val="clear" w:color="auto" w:fill="FFFFFF"/>
          </w:tcPr>
          <w:p w14:paraId="0C4BFB47"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9F37C9A"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6D0012EC" w14:textId="77777777" w:rsidR="008C76E0" w:rsidRPr="003B2786" w:rsidRDefault="008C76E0" w:rsidP="008C76E0">
            <w:pPr>
              <w:pStyle w:val="Bodytext180"/>
              <w:shd w:val="clear" w:color="auto" w:fill="auto"/>
              <w:spacing w:before="0" w:after="120" w:line="240" w:lineRule="auto"/>
              <w:ind w:right="5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F17B227" w14:textId="77777777" w:rsidTr="004A52D9">
        <w:trPr>
          <w:jc w:val="center"/>
        </w:trPr>
        <w:tc>
          <w:tcPr>
            <w:tcW w:w="4984" w:type="dxa"/>
            <w:gridSpan w:val="4"/>
            <w:tcBorders>
              <w:top w:val="single" w:sz="4" w:space="0" w:color="auto"/>
              <w:left w:val="single" w:sz="4" w:space="0" w:color="auto"/>
            </w:tcBorders>
            <w:shd w:val="clear" w:color="auto" w:fill="FFFFFF"/>
          </w:tcPr>
          <w:p w14:paraId="357946F2"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08A37581"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01DF833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843" w:type="dxa"/>
            <w:gridSpan w:val="2"/>
            <w:tcBorders>
              <w:top w:val="single" w:sz="4" w:space="0" w:color="auto"/>
              <w:left w:val="single" w:sz="4" w:space="0" w:color="auto"/>
              <w:right w:val="single" w:sz="4" w:space="0" w:color="auto"/>
            </w:tcBorders>
            <w:shd w:val="clear" w:color="auto" w:fill="FFFFFF"/>
          </w:tcPr>
          <w:p w14:paraId="76B8EAE1"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04FC367"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3B1A48AD"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7A62EBC3"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Արյան հաստատությունը պետք է մնա մի</w:t>
            </w:r>
            <w:r w:rsidR="00C54D75">
              <w:rPr>
                <w:rStyle w:val="Bodytext1811pt"/>
                <w:rFonts w:ascii="Sylfaen" w:hAnsi="Sylfaen"/>
                <w:sz w:val="24"/>
                <w:szCs w:val="24"/>
              </w:rPr>
              <w:t>և</w:t>
            </w:r>
            <w:r w:rsidRPr="003B2786">
              <w:rPr>
                <w:rStyle w:val="Bodytext1811pt"/>
                <w:rFonts w:ascii="Sylfaen" w:hAnsi="Sylfaen"/>
                <w:sz w:val="24"/>
                <w:szCs w:val="24"/>
              </w:rPr>
              <w:t>նույն իրավաբանական անձը:</w:t>
            </w:r>
          </w:p>
          <w:p w14:paraId="3FFB8CA7" w14:textId="77777777" w:rsidR="008C76E0" w:rsidRPr="008C76E0" w:rsidRDefault="008C76E0" w:rsidP="008C76E0">
            <w:pPr>
              <w:pStyle w:val="Bodytext180"/>
              <w:shd w:val="clear" w:color="auto" w:fill="auto"/>
              <w:tabs>
                <w:tab w:val="left" w:pos="589"/>
              </w:tabs>
              <w:spacing w:before="0" w:after="12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Փոփոխությունը պետք է լինի վարչական (օրինակ` միաձուլում, կլանում). արյան հաստատության (պլազմայի հավաքագրման կենտրոնի) անվանման փոփոխությունը՝ արյան հաստատության անփոփոխության դեպքում:</w:t>
            </w:r>
          </w:p>
        </w:tc>
      </w:tr>
      <w:tr w:rsidR="008C76E0" w:rsidRPr="003B2786" w14:paraId="3B024683"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F080CFF" w14:textId="77777777" w:rsidR="008C76E0" w:rsidRPr="008C76E0" w:rsidRDefault="008C76E0" w:rsidP="008C76E0">
            <w:pPr>
              <w:pStyle w:val="Bodytext180"/>
              <w:shd w:val="clear" w:color="auto" w:fill="auto"/>
              <w:tabs>
                <w:tab w:val="left" w:pos="589"/>
              </w:tabs>
              <w:spacing w:before="0" w:line="264"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2E796E2" w14:textId="77777777" w:rsidR="008C76E0" w:rsidRPr="008C76E0" w:rsidRDefault="008C76E0" w:rsidP="008C76E0">
            <w:pPr>
              <w:pStyle w:val="Bodytext180"/>
              <w:shd w:val="clear" w:color="auto" w:fill="auto"/>
              <w:tabs>
                <w:tab w:val="left" w:pos="589"/>
              </w:tabs>
              <w:spacing w:before="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Ստորագրված հայտարարագիր այն մասին, որ փոփոխությունը չի ներառում արյան հաստատության որակի համակարգի փոփոխությունը:</w:t>
            </w:r>
          </w:p>
          <w:p w14:paraId="39944CDF" w14:textId="77777777" w:rsidR="008C76E0" w:rsidRPr="008C76E0" w:rsidRDefault="008C76E0" w:rsidP="008C76E0">
            <w:pPr>
              <w:pStyle w:val="Bodytext180"/>
              <w:shd w:val="clear" w:color="auto" w:fill="auto"/>
              <w:tabs>
                <w:tab w:val="left" w:pos="589"/>
              </w:tabs>
              <w:spacing w:before="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Ստորագրված հայտարարագիր այն մասին, որ հավաքագրման կենտրոնների ցանկի փոփոխություն տեղի չի ունենում:</w:t>
            </w:r>
          </w:p>
          <w:p w14:paraId="0955C8BA" w14:textId="77777777" w:rsidR="008C76E0" w:rsidRPr="008C76E0" w:rsidRDefault="008C76E0" w:rsidP="008C76E0">
            <w:pPr>
              <w:pStyle w:val="Bodytext180"/>
              <w:shd w:val="clear" w:color="auto" w:fill="auto"/>
              <w:tabs>
                <w:tab w:val="left" w:pos="589"/>
              </w:tabs>
              <w:spacing w:before="0" w:line="264" w:lineRule="auto"/>
              <w:ind w:left="159" w:right="221"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150F82E1"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157D93E" w14:textId="77777777" w:rsidR="008C76E0" w:rsidRPr="008C76E0" w:rsidRDefault="008C76E0" w:rsidP="008C76E0">
            <w:pPr>
              <w:pStyle w:val="Bodytext180"/>
              <w:shd w:val="clear" w:color="auto" w:fill="auto"/>
              <w:tabs>
                <w:tab w:val="left" w:pos="556"/>
              </w:tabs>
              <w:spacing w:before="0" w:after="120" w:line="264"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Դ.5.</w:t>
            </w:r>
            <w:r w:rsidRPr="003B2786">
              <w:rPr>
                <w:rStyle w:val="Bodytext1811pt"/>
                <w:rFonts w:ascii="Sylfaen" w:hAnsi="Sylfaen"/>
                <w:sz w:val="24"/>
                <w:szCs w:val="24"/>
              </w:rPr>
              <w:tab/>
              <w:t>ՊՄՖ-ի մեջ ներառված արյան հաստատության շրջանակներում արյան (պլազմայի) հավաքագրման կենտրոնի փոխարինումը կամ ավելացումը</w:t>
            </w:r>
          </w:p>
        </w:tc>
        <w:tc>
          <w:tcPr>
            <w:tcW w:w="1883" w:type="dxa"/>
            <w:gridSpan w:val="2"/>
            <w:tcBorders>
              <w:top w:val="single" w:sz="4" w:space="0" w:color="auto"/>
              <w:left w:val="single" w:sz="4" w:space="0" w:color="auto"/>
            </w:tcBorders>
            <w:shd w:val="clear" w:color="auto" w:fill="FFFFFF"/>
          </w:tcPr>
          <w:p w14:paraId="02360E92"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ED9B1DB" w14:textId="77777777" w:rsidR="008C76E0" w:rsidRPr="003B2786" w:rsidRDefault="008C76E0" w:rsidP="008C76E0">
            <w:pPr>
              <w:pStyle w:val="Bodytext180"/>
              <w:shd w:val="clear" w:color="auto" w:fill="auto"/>
              <w:spacing w:before="0" w:after="120" w:line="240" w:lineRule="auto"/>
              <w:ind w:left="65"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30890EF4"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A7297F5" w14:textId="77777777" w:rsidTr="004A52D9">
        <w:trPr>
          <w:jc w:val="center"/>
        </w:trPr>
        <w:tc>
          <w:tcPr>
            <w:tcW w:w="4984" w:type="dxa"/>
            <w:gridSpan w:val="4"/>
            <w:tcBorders>
              <w:top w:val="single" w:sz="4" w:space="0" w:color="auto"/>
              <w:left w:val="single" w:sz="4" w:space="0" w:color="auto"/>
            </w:tcBorders>
            <w:shd w:val="clear" w:color="auto" w:fill="FFFFFF"/>
          </w:tcPr>
          <w:p w14:paraId="0F1CBC38" w14:textId="77777777" w:rsidR="008C76E0" w:rsidRPr="003B2786" w:rsidRDefault="008C76E0" w:rsidP="008C76E0">
            <w:pPr>
              <w:spacing w:after="120" w:line="264" w:lineRule="auto"/>
              <w:ind w:left="159" w:right="221"/>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C6D78F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EC5DC7D"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1, 2, 3</w:t>
            </w:r>
          </w:p>
        </w:tc>
        <w:tc>
          <w:tcPr>
            <w:tcW w:w="1843" w:type="dxa"/>
            <w:gridSpan w:val="2"/>
            <w:tcBorders>
              <w:top w:val="single" w:sz="4" w:space="0" w:color="auto"/>
              <w:left w:val="single" w:sz="4" w:space="0" w:color="auto"/>
              <w:right w:val="single" w:sz="4" w:space="0" w:color="auto"/>
            </w:tcBorders>
            <w:shd w:val="clear" w:color="auto" w:fill="FFFFFF"/>
          </w:tcPr>
          <w:p w14:paraId="37A89BED"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0A138B4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93C6911" w14:textId="77777777" w:rsidR="008C76E0" w:rsidRPr="008C76E0" w:rsidRDefault="008C76E0" w:rsidP="008C76E0">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D97B3EE" w14:textId="77777777" w:rsidR="008C76E0" w:rsidRPr="008C76E0" w:rsidRDefault="008C76E0" w:rsidP="008C76E0">
            <w:pPr>
              <w:pStyle w:val="Bodytext180"/>
              <w:shd w:val="clear" w:color="auto" w:fill="auto"/>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Վիրուսային մարկերների մասին համաճարակաբանական տվյալները, որոնք առնչվում են արյան (պլազմայի) հավաքագրման կենտրոնին </w:t>
            </w:r>
            <w:r w:rsidR="00C54D75">
              <w:rPr>
                <w:rStyle w:val="Bodytext1811pt"/>
                <w:rFonts w:ascii="Sylfaen" w:hAnsi="Sylfaen"/>
                <w:sz w:val="24"/>
                <w:szCs w:val="24"/>
              </w:rPr>
              <w:t>և</w:t>
            </w:r>
            <w:r w:rsidRPr="003B2786">
              <w:rPr>
                <w:rStyle w:val="Bodytext1811pt"/>
                <w:rFonts w:ascii="Sylfaen" w:hAnsi="Sylfaen"/>
                <w:sz w:val="24"/>
                <w:szCs w:val="24"/>
              </w:rPr>
              <w:t xml:space="preserve"> ընդգրկում են 3 տարվա կտրվածք: Վերաբացված կենտրոնի (կենտրոնների) առնչությամբ կամ տվյալների բացակայության </w:t>
            </w:r>
            <w:r w:rsidRPr="003B2786">
              <w:rPr>
                <w:rStyle w:val="Bodytext1811pt"/>
                <w:rFonts w:ascii="Sylfaen" w:hAnsi="Sylfaen"/>
                <w:sz w:val="24"/>
                <w:szCs w:val="24"/>
              </w:rPr>
              <w:lastRenderedPageBreak/>
              <w:t>դեպքում՝ հայտարարագիր այն մասին, որ համաճարակաբանական տվյալները կներկայացվեն հերթական տարեկան թարմացված տարբերակով:</w:t>
            </w:r>
          </w:p>
          <w:p w14:paraId="5FDE6396" w14:textId="77777777" w:rsidR="008C76E0" w:rsidRPr="008C76E0" w:rsidRDefault="008C76E0" w:rsidP="008C76E0">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Նշում այն մասին, որ կենտրոնը գործում է այն նույն պայմաններում, ինչ այլ կենտրոններ, որոնք պատկանում են արյան հաստատությանը՝ համաձայն արյան հաստատության </w:t>
            </w:r>
            <w:r w:rsidR="00C54D75">
              <w:rPr>
                <w:rStyle w:val="Bodytext1811pt"/>
                <w:rFonts w:ascii="Sylfaen" w:hAnsi="Sylfaen"/>
                <w:sz w:val="24"/>
                <w:szCs w:val="24"/>
              </w:rPr>
              <w:t>և</w:t>
            </w:r>
            <w:r w:rsidRPr="003B2786">
              <w:rPr>
                <w:rStyle w:val="Bodytext1811pt"/>
                <w:rFonts w:ascii="Sylfaen" w:hAnsi="Sylfaen"/>
                <w:sz w:val="24"/>
                <w:szCs w:val="24"/>
              </w:rPr>
              <w:t xml:space="preserve"> ՊՄՖ-ի իրավատիրոջ միջ</w:t>
            </w:r>
            <w:r w:rsidR="00C54D75">
              <w:rPr>
                <w:rStyle w:val="Bodytext1811pt"/>
                <w:rFonts w:ascii="Sylfaen" w:hAnsi="Sylfaen"/>
                <w:sz w:val="24"/>
                <w:szCs w:val="24"/>
              </w:rPr>
              <w:t>և</w:t>
            </w:r>
            <w:r w:rsidRPr="003B2786">
              <w:rPr>
                <w:rStyle w:val="Bodytext1811pt"/>
                <w:rFonts w:ascii="Sylfaen" w:hAnsi="Sylfaen"/>
                <w:sz w:val="24"/>
                <w:szCs w:val="24"/>
              </w:rPr>
              <w:t xml:space="preserve"> ստանդարտ պայմանագրի դրույթների:</w:t>
            </w:r>
          </w:p>
          <w:p w14:paraId="719F5F2F" w14:textId="77777777" w:rsidR="008C76E0" w:rsidRPr="008C76E0" w:rsidRDefault="008C76E0" w:rsidP="008C76E0">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3.</w:t>
            </w:r>
            <w:r w:rsidRPr="008C76E0">
              <w:rPr>
                <w:rFonts w:ascii="Sylfaen" w:hAnsi="Sylfaen"/>
                <w:b w:val="0"/>
                <w:sz w:val="24"/>
                <w:szCs w:val="24"/>
                <w:lang w:val="hy-AM"/>
              </w:rPr>
              <w:tab/>
            </w:r>
            <w:r w:rsidRPr="003B2786">
              <w:rPr>
                <w:rStyle w:val="Bodytext1811pt"/>
                <w:rFonts w:ascii="Sylfaen" w:hAnsi="Sylfaen"/>
                <w:sz w:val="24"/>
                <w:szCs w:val="24"/>
              </w:rPr>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7FDE13B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AD310B7" w14:textId="77777777" w:rsidR="008C76E0" w:rsidRPr="008C76E0" w:rsidRDefault="008C76E0" w:rsidP="008C76E0">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Դ.6.</w:t>
            </w:r>
            <w:r w:rsidRPr="003B2786">
              <w:rPr>
                <w:rStyle w:val="Bodytext1811pt"/>
                <w:rFonts w:ascii="Sylfaen" w:hAnsi="Sylfaen"/>
                <w:sz w:val="24"/>
                <w:szCs w:val="24"/>
              </w:rPr>
              <w:tab/>
              <w:t xml:space="preserve">Արյան (պլազմայի) հավաքագրման կամ արյան կամ պլազմայի հանձնման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պուլերի փորձարկման համար օգտագործվող արյան (գործող կամ չգործող) հաստատությունների (կենտրոնների) կարգավիճակի բացառումը կամ փոփոխությունը </w:t>
            </w:r>
          </w:p>
        </w:tc>
        <w:tc>
          <w:tcPr>
            <w:tcW w:w="1883" w:type="dxa"/>
            <w:gridSpan w:val="2"/>
            <w:tcBorders>
              <w:top w:val="single" w:sz="4" w:space="0" w:color="auto"/>
              <w:left w:val="single" w:sz="4" w:space="0" w:color="auto"/>
            </w:tcBorders>
            <w:shd w:val="clear" w:color="auto" w:fill="FFFFFF"/>
          </w:tcPr>
          <w:p w14:paraId="7E3501DC"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2955CC4"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4714B12E"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C1ABF49" w14:textId="77777777" w:rsidTr="004A52D9">
        <w:trPr>
          <w:jc w:val="center"/>
        </w:trPr>
        <w:tc>
          <w:tcPr>
            <w:tcW w:w="4984" w:type="dxa"/>
            <w:gridSpan w:val="4"/>
            <w:tcBorders>
              <w:top w:val="single" w:sz="4" w:space="0" w:color="auto"/>
              <w:left w:val="single" w:sz="4" w:space="0" w:color="auto"/>
            </w:tcBorders>
            <w:shd w:val="clear" w:color="auto" w:fill="FFFFFF"/>
          </w:tcPr>
          <w:p w14:paraId="05A743CD"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7CE0CDBC"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5741A35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0C23951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22A6F32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39293501"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7CE326E6"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Կարգավիճակի բացառման կամ փոփոխության պատճառները չպետք է պայմանավորված լինեն GMP-ի հետ կապված խնդիրներով:</w:t>
            </w:r>
          </w:p>
          <w:p w14:paraId="315846F5"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Հաստատությունները (կենտրոնները) պետք է համապատասխանեն տեսչական օրենսդրությանը՝ կարգավիճակը չգործողից գործողի փոփոխելու դեպքում:</w:t>
            </w:r>
          </w:p>
        </w:tc>
      </w:tr>
      <w:tr w:rsidR="008C76E0" w:rsidRPr="003B2786" w14:paraId="24101644"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9CB0A50"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D579585"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579D3BF4"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832E76D" w14:textId="77777777" w:rsidR="008C76E0" w:rsidRPr="008C76E0" w:rsidRDefault="008C76E0" w:rsidP="008B6709">
            <w:pPr>
              <w:pStyle w:val="Bodytext180"/>
              <w:shd w:val="clear" w:color="auto" w:fill="auto"/>
              <w:spacing w:before="0" w:after="12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Դ.7.</w:t>
            </w:r>
            <w:r w:rsidRPr="003B2786">
              <w:rPr>
                <w:rStyle w:val="Bodytext1811pt"/>
                <w:rFonts w:ascii="Sylfaen" w:hAnsi="Sylfaen"/>
                <w:sz w:val="24"/>
                <w:szCs w:val="24"/>
              </w:rPr>
              <w:tab/>
              <w:t>Արյան նոր հաստատության ներառումը՝ ՊՄՖ-ի մեջ չներառված արյան (պլազմայի) հավաքագրման նպատակով</w:t>
            </w:r>
          </w:p>
        </w:tc>
        <w:tc>
          <w:tcPr>
            <w:tcW w:w="1883" w:type="dxa"/>
            <w:gridSpan w:val="2"/>
            <w:tcBorders>
              <w:top w:val="single" w:sz="4" w:space="0" w:color="auto"/>
              <w:left w:val="single" w:sz="4" w:space="0" w:color="auto"/>
            </w:tcBorders>
            <w:shd w:val="clear" w:color="auto" w:fill="FFFFFF"/>
          </w:tcPr>
          <w:p w14:paraId="73E50754" w14:textId="77777777" w:rsidR="008C76E0" w:rsidRPr="003B2786" w:rsidRDefault="008C76E0" w:rsidP="008C76E0">
            <w:pPr>
              <w:pStyle w:val="Bodytext180"/>
              <w:shd w:val="clear" w:color="auto" w:fill="auto"/>
              <w:spacing w:before="0" w:after="120" w:line="288" w:lineRule="auto"/>
              <w:ind w:left="159" w:right="22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4570D57" w14:textId="77777777" w:rsidR="008C76E0" w:rsidRPr="003B2786" w:rsidRDefault="008C76E0" w:rsidP="008C76E0">
            <w:pPr>
              <w:pStyle w:val="Bodytext180"/>
              <w:shd w:val="clear" w:color="auto" w:fill="auto"/>
              <w:spacing w:before="0" w:after="120" w:line="240" w:lineRule="auto"/>
              <w:ind w:left="65"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0AA784C5"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6EABE93" w14:textId="77777777" w:rsidTr="004A52D9">
        <w:trPr>
          <w:jc w:val="center"/>
        </w:trPr>
        <w:tc>
          <w:tcPr>
            <w:tcW w:w="4984" w:type="dxa"/>
            <w:gridSpan w:val="4"/>
            <w:tcBorders>
              <w:top w:val="single" w:sz="4" w:space="0" w:color="auto"/>
              <w:left w:val="single" w:sz="4" w:space="0" w:color="auto"/>
            </w:tcBorders>
            <w:shd w:val="clear" w:color="auto" w:fill="FFFFFF"/>
          </w:tcPr>
          <w:p w14:paraId="4611D6EF" w14:textId="77777777" w:rsidR="008C76E0" w:rsidRPr="003B2786" w:rsidRDefault="008C76E0" w:rsidP="008C76E0">
            <w:pPr>
              <w:spacing w:after="120" w:line="288" w:lineRule="auto"/>
              <w:ind w:left="159" w:right="221"/>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356F59C1" w14:textId="77777777" w:rsidR="008C76E0" w:rsidRPr="003B2786" w:rsidRDefault="008C76E0" w:rsidP="008C76E0">
            <w:pPr>
              <w:pStyle w:val="Bodytext180"/>
              <w:shd w:val="clear" w:color="auto" w:fill="auto"/>
              <w:spacing w:before="0" w:after="120" w:line="288" w:lineRule="auto"/>
              <w:ind w:left="159" w:right="221"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0BD30D2B"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3AACEC1C"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24E6593"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69DBD0F" w14:textId="77777777" w:rsidR="008C76E0" w:rsidRPr="008C76E0" w:rsidRDefault="008C76E0" w:rsidP="008C76E0">
            <w:pPr>
              <w:pStyle w:val="Bodytext180"/>
              <w:shd w:val="clear" w:color="auto" w:fill="auto"/>
              <w:tabs>
                <w:tab w:val="left" w:pos="539"/>
              </w:tabs>
              <w:spacing w:before="0" w:after="12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Դ.8.</w:t>
            </w:r>
            <w:r w:rsidRPr="003B2786">
              <w:rPr>
                <w:rStyle w:val="Bodytext1811pt"/>
                <w:rFonts w:ascii="Sylfaen" w:hAnsi="Sylfaen"/>
                <w:sz w:val="24"/>
                <w:szCs w:val="24"/>
              </w:rPr>
              <w:tab/>
              <w:t xml:space="preserve">Արյան նոր կենտրոնի փոխարինումը կամ ներառումը՝ ՊՄՖ-ի մեջ ներառված հաստատության շրջանակներում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w:t>
            </w:r>
            <w:r w:rsidR="00C54D75">
              <w:rPr>
                <w:rStyle w:val="Bodytext1811pt"/>
                <w:rFonts w:ascii="Sylfaen" w:hAnsi="Sylfaen"/>
                <w:sz w:val="24"/>
                <w:szCs w:val="24"/>
              </w:rPr>
              <w:t>և</w:t>
            </w:r>
            <w:r w:rsidRPr="003B2786">
              <w:rPr>
                <w:rStyle w:val="Bodytext1811pt"/>
                <w:rFonts w:ascii="Sylfaen" w:hAnsi="Sylfaen"/>
                <w:sz w:val="24"/>
                <w:szCs w:val="24"/>
              </w:rPr>
              <w:t xml:space="preserve"> (կամ) պլազմայի պուլերի դոնացիաների փորձարկման նպատակով </w:t>
            </w:r>
          </w:p>
        </w:tc>
        <w:tc>
          <w:tcPr>
            <w:tcW w:w="1883" w:type="dxa"/>
            <w:gridSpan w:val="2"/>
            <w:tcBorders>
              <w:top w:val="single" w:sz="4" w:space="0" w:color="auto"/>
              <w:left w:val="single" w:sz="4" w:space="0" w:color="auto"/>
            </w:tcBorders>
            <w:shd w:val="clear" w:color="auto" w:fill="FFFFFF"/>
          </w:tcPr>
          <w:p w14:paraId="2C6AB002" w14:textId="77777777" w:rsidR="008C76E0" w:rsidRPr="003B2786" w:rsidRDefault="008C76E0" w:rsidP="008C76E0">
            <w:pPr>
              <w:pStyle w:val="Bodytext180"/>
              <w:shd w:val="clear" w:color="auto" w:fill="auto"/>
              <w:spacing w:before="0" w:after="120" w:line="288" w:lineRule="auto"/>
              <w:ind w:left="159" w:right="22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3EF021D" w14:textId="77777777" w:rsidR="008C76E0" w:rsidRPr="003B2786" w:rsidRDefault="008C76E0" w:rsidP="008B6709">
            <w:pPr>
              <w:pStyle w:val="Bodytext180"/>
              <w:shd w:val="clear" w:color="auto" w:fill="auto"/>
              <w:spacing w:before="0" w:after="120" w:line="240" w:lineRule="auto"/>
              <w:ind w:left="31" w:right="-5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5330CDA7" w14:textId="77777777" w:rsidR="008C76E0" w:rsidRPr="003B2786" w:rsidRDefault="008C76E0" w:rsidP="008B6709">
            <w:pPr>
              <w:pStyle w:val="Bodytext180"/>
              <w:shd w:val="clear" w:color="auto" w:fill="auto"/>
              <w:spacing w:before="0" w:after="120" w:line="240" w:lineRule="auto"/>
              <w:ind w:left="3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A4C5E4B"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649B6D13" w14:textId="77777777" w:rsidR="008C76E0" w:rsidRPr="003B2786" w:rsidRDefault="008C76E0" w:rsidP="008C76E0">
            <w:pPr>
              <w:spacing w:after="120"/>
              <w:ind w:left="159" w:right="222"/>
              <w:jc w:val="both"/>
              <w:rPr>
                <w:rFonts w:ascii="Sylfaen" w:hAnsi="Sylfaen"/>
                <w:sz w:val="24"/>
                <w:szCs w:val="24"/>
              </w:rPr>
            </w:pPr>
          </w:p>
        </w:tc>
        <w:tc>
          <w:tcPr>
            <w:tcW w:w="1883" w:type="dxa"/>
            <w:gridSpan w:val="2"/>
            <w:tcBorders>
              <w:top w:val="single" w:sz="4" w:space="0" w:color="auto"/>
              <w:left w:val="single" w:sz="4" w:space="0" w:color="auto"/>
              <w:bottom w:val="single" w:sz="4" w:space="0" w:color="auto"/>
            </w:tcBorders>
            <w:shd w:val="clear" w:color="auto" w:fill="FFFFFF"/>
          </w:tcPr>
          <w:p w14:paraId="39B46657"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bottom w:val="single" w:sz="4" w:space="0" w:color="auto"/>
            </w:tcBorders>
            <w:shd w:val="clear" w:color="auto" w:fill="FFFFFF"/>
          </w:tcPr>
          <w:p w14:paraId="58C6FBC9"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64B6223D"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Fonts w:ascii="Sylfaen" w:hAnsi="Sylfaen"/>
                <w:b w:val="0"/>
                <w:sz w:val="24"/>
                <w:szCs w:val="24"/>
              </w:rPr>
              <w:t>IB</w:t>
            </w:r>
          </w:p>
        </w:tc>
      </w:tr>
      <w:tr w:rsidR="008C76E0" w:rsidRPr="003B2786" w14:paraId="1CD6D1B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ECA3ED0"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4FD863B0"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Նշում այն մասին, որ փորձարկումներն անցկացվում են մի</w:t>
            </w:r>
            <w:r w:rsidR="00C54D75">
              <w:rPr>
                <w:rStyle w:val="Bodytext1811pt"/>
                <w:rFonts w:ascii="Sylfaen" w:hAnsi="Sylfaen"/>
                <w:sz w:val="24"/>
                <w:szCs w:val="24"/>
              </w:rPr>
              <w:t>և</w:t>
            </w:r>
            <w:r w:rsidRPr="003B2786">
              <w:rPr>
                <w:rStyle w:val="Bodytext1811pt"/>
                <w:rFonts w:ascii="Sylfaen" w:hAnsi="Sylfaen"/>
                <w:sz w:val="24"/>
                <w:szCs w:val="24"/>
              </w:rPr>
              <w:t xml:space="preserve">նույն հաստատված ՍԳԸ-ի </w:t>
            </w:r>
            <w:r w:rsidR="00C54D75">
              <w:rPr>
                <w:rStyle w:val="Bodytext1811pt"/>
                <w:rFonts w:ascii="Sylfaen" w:hAnsi="Sylfaen"/>
                <w:sz w:val="24"/>
                <w:szCs w:val="24"/>
              </w:rPr>
              <w:t>և</w:t>
            </w:r>
            <w:r w:rsidRPr="003B2786">
              <w:rPr>
                <w:rStyle w:val="Bodytext1811pt"/>
                <w:rFonts w:ascii="Sylfaen" w:hAnsi="Sylfaen"/>
                <w:sz w:val="24"/>
                <w:szCs w:val="24"/>
              </w:rPr>
              <w:t xml:space="preserve"> (կամ) փորձարկումների մեթոդների համաձայն:</w:t>
            </w:r>
          </w:p>
          <w:p w14:paraId="3B7544A2"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740DAE5E" w14:textId="77777777" w:rsidTr="004A52D9">
        <w:trPr>
          <w:jc w:val="center"/>
        </w:trPr>
        <w:tc>
          <w:tcPr>
            <w:tcW w:w="4984" w:type="dxa"/>
            <w:gridSpan w:val="4"/>
            <w:tcBorders>
              <w:top w:val="single" w:sz="4" w:space="0" w:color="auto"/>
              <w:left w:val="single" w:sz="4" w:space="0" w:color="auto"/>
            </w:tcBorders>
            <w:shd w:val="clear" w:color="auto" w:fill="FFFFFF"/>
          </w:tcPr>
          <w:p w14:paraId="78376124"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lastRenderedPageBreak/>
              <w:t>Դ.9.</w:t>
            </w:r>
            <w:r w:rsidRPr="003B2786">
              <w:rPr>
                <w:rStyle w:val="Bodytext1811pt"/>
                <w:rFonts w:ascii="Sylfaen" w:hAnsi="Sylfaen"/>
                <w:sz w:val="24"/>
                <w:szCs w:val="24"/>
              </w:rPr>
              <w:tab/>
              <w:t xml:space="preserve">ՊՄՖ-ի մեջ չներառված արյան նոր հաստատության ներառումը՝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w:t>
            </w:r>
            <w:r w:rsidR="00C54D75">
              <w:rPr>
                <w:rStyle w:val="Bodytext1811pt"/>
                <w:rFonts w:ascii="Sylfaen" w:hAnsi="Sylfaen"/>
                <w:sz w:val="24"/>
                <w:szCs w:val="24"/>
              </w:rPr>
              <w:t>և</w:t>
            </w:r>
            <w:r w:rsidRPr="003B2786">
              <w:rPr>
                <w:rStyle w:val="Bodytext1811pt"/>
                <w:rFonts w:ascii="Sylfaen" w:hAnsi="Sylfaen"/>
                <w:sz w:val="24"/>
                <w:szCs w:val="24"/>
              </w:rPr>
              <w:t xml:space="preserve"> (կամ) պլազմայի պուլերի դոնացիաների փորձարկումների համար </w:t>
            </w:r>
          </w:p>
        </w:tc>
        <w:tc>
          <w:tcPr>
            <w:tcW w:w="1883" w:type="dxa"/>
            <w:gridSpan w:val="2"/>
            <w:tcBorders>
              <w:top w:val="single" w:sz="4" w:space="0" w:color="auto"/>
              <w:left w:val="single" w:sz="4" w:space="0" w:color="auto"/>
            </w:tcBorders>
            <w:shd w:val="clear" w:color="auto" w:fill="FFFFFF"/>
          </w:tcPr>
          <w:p w14:paraId="7F96AD37"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52802305" w14:textId="77777777" w:rsidR="008C76E0" w:rsidRPr="003B2786" w:rsidRDefault="008C76E0" w:rsidP="00721A6C">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18CC6364" w14:textId="77777777" w:rsidR="008C76E0" w:rsidRPr="003B2786" w:rsidRDefault="008C76E0" w:rsidP="00721A6C">
            <w:pPr>
              <w:pStyle w:val="Bodytext180"/>
              <w:shd w:val="clear" w:color="auto" w:fill="auto"/>
              <w:spacing w:before="0" w:line="240" w:lineRule="auto"/>
              <w:ind w:left="13" w:right="14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6275F79" w14:textId="77777777" w:rsidTr="004A52D9">
        <w:trPr>
          <w:jc w:val="center"/>
        </w:trPr>
        <w:tc>
          <w:tcPr>
            <w:tcW w:w="4984" w:type="dxa"/>
            <w:gridSpan w:val="4"/>
            <w:tcBorders>
              <w:top w:val="single" w:sz="4" w:space="0" w:color="auto"/>
              <w:left w:val="single" w:sz="4" w:space="0" w:color="auto"/>
            </w:tcBorders>
            <w:shd w:val="clear" w:color="auto" w:fill="FFFFFF"/>
          </w:tcPr>
          <w:p w14:paraId="4BE75172"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042C61A7"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5AAF1FA"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7A11C109"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40E16A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F865954" w14:textId="77777777" w:rsidR="008C76E0" w:rsidRPr="008C76E0" w:rsidRDefault="008C76E0" w:rsidP="00721A6C">
            <w:pPr>
              <w:pStyle w:val="Bodytext180"/>
              <w:shd w:val="clear" w:color="auto" w:fill="auto"/>
              <w:tabs>
                <w:tab w:val="left" w:pos="760"/>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Դ.10.</w:t>
            </w:r>
            <w:r w:rsidRPr="003B2786">
              <w:rPr>
                <w:rStyle w:val="Bodytext1811pt"/>
                <w:rFonts w:ascii="Sylfaen" w:hAnsi="Sylfaen"/>
                <w:sz w:val="24"/>
                <w:szCs w:val="24"/>
              </w:rPr>
              <w:tab/>
              <w:t xml:space="preserve">Արյան նոր հաստատության կամ կենտրոնի (կենտրոնների) փոխարինումը կամ ներառումը, որտեղ պահպանվում է պլազման </w:t>
            </w:r>
          </w:p>
        </w:tc>
        <w:tc>
          <w:tcPr>
            <w:tcW w:w="1883" w:type="dxa"/>
            <w:gridSpan w:val="2"/>
            <w:tcBorders>
              <w:top w:val="single" w:sz="4" w:space="0" w:color="auto"/>
              <w:left w:val="single" w:sz="4" w:space="0" w:color="auto"/>
            </w:tcBorders>
            <w:shd w:val="clear" w:color="auto" w:fill="FFFFFF"/>
          </w:tcPr>
          <w:p w14:paraId="601DEA71"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76B7E5DC" w14:textId="77777777" w:rsidR="008C76E0" w:rsidRPr="003B2786" w:rsidRDefault="008C76E0" w:rsidP="00721A6C">
            <w:pPr>
              <w:pStyle w:val="Bodytext180"/>
              <w:shd w:val="clear" w:color="auto" w:fill="auto"/>
              <w:spacing w:before="0" w:line="240" w:lineRule="auto"/>
              <w:ind w:left="65"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07FA2FF2" w14:textId="77777777" w:rsidR="008C76E0" w:rsidRPr="003B2786" w:rsidRDefault="008C76E0" w:rsidP="00721A6C">
            <w:pPr>
              <w:pStyle w:val="Bodytext180"/>
              <w:shd w:val="clear" w:color="auto" w:fill="auto"/>
              <w:spacing w:before="0" w:line="240" w:lineRule="auto"/>
              <w:ind w:left="15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377E03D" w14:textId="77777777" w:rsidTr="004A52D9">
        <w:trPr>
          <w:jc w:val="center"/>
        </w:trPr>
        <w:tc>
          <w:tcPr>
            <w:tcW w:w="4984" w:type="dxa"/>
            <w:gridSpan w:val="4"/>
            <w:tcBorders>
              <w:top w:val="single" w:sz="4" w:space="0" w:color="auto"/>
              <w:left w:val="single" w:sz="4" w:space="0" w:color="auto"/>
            </w:tcBorders>
            <w:shd w:val="clear" w:color="auto" w:fill="FFFFFF"/>
          </w:tcPr>
          <w:p w14:paraId="4B88DACA"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C3E5F75"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FE0F0CE"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5382FEDA"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93FC58D"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8E26559"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056AAFF"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Նշում այն մասին, որ պահպանման կենտրոնը գործում է՝ հաստատությունում հաստատված մի</w:t>
            </w:r>
            <w:r w:rsidR="00C54D75">
              <w:rPr>
                <w:rStyle w:val="Bodytext1811pt"/>
                <w:rFonts w:ascii="Sylfaen" w:hAnsi="Sylfaen"/>
                <w:sz w:val="24"/>
                <w:szCs w:val="24"/>
              </w:rPr>
              <w:t>և</w:t>
            </w:r>
            <w:r w:rsidRPr="003B2786">
              <w:rPr>
                <w:rStyle w:val="Bodytext1811pt"/>
                <w:rFonts w:ascii="Sylfaen" w:hAnsi="Sylfaen"/>
                <w:sz w:val="24"/>
                <w:szCs w:val="24"/>
              </w:rPr>
              <w:t>նույն ՍԳԸ-ին համապատասխան:</w:t>
            </w:r>
          </w:p>
          <w:p w14:paraId="47EAE429"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4DAE1D98"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E8A5EBB"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Դ.11.</w:t>
            </w:r>
            <w:r w:rsidRPr="003B2786">
              <w:rPr>
                <w:rStyle w:val="Bodytext1811pt"/>
                <w:rFonts w:ascii="Sylfaen" w:hAnsi="Sylfaen"/>
                <w:sz w:val="24"/>
                <w:szCs w:val="24"/>
              </w:rPr>
              <w:tab/>
              <w:t>Արյան հաստատության կամ այն կենտրոնի (կենտրոնների) բացառումը, որտեղ պահպանվում է պլազման</w:t>
            </w:r>
          </w:p>
        </w:tc>
        <w:tc>
          <w:tcPr>
            <w:tcW w:w="1883" w:type="dxa"/>
            <w:gridSpan w:val="2"/>
            <w:tcBorders>
              <w:top w:val="single" w:sz="4" w:space="0" w:color="auto"/>
              <w:left w:val="single" w:sz="4" w:space="0" w:color="auto"/>
            </w:tcBorders>
            <w:shd w:val="clear" w:color="auto" w:fill="FFFFFF"/>
          </w:tcPr>
          <w:p w14:paraId="5D6101BA"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D8C1595" w14:textId="77777777" w:rsidR="008C76E0" w:rsidRPr="003B2786" w:rsidRDefault="008C76E0" w:rsidP="00721A6C">
            <w:pPr>
              <w:pStyle w:val="Bodytext180"/>
              <w:shd w:val="clear" w:color="auto" w:fill="auto"/>
              <w:spacing w:before="0" w:line="240" w:lineRule="auto"/>
              <w:ind w:right="109"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3224ED3D" w14:textId="77777777" w:rsidR="008C76E0" w:rsidRPr="003B2786" w:rsidRDefault="008C76E0" w:rsidP="00721A6C">
            <w:pPr>
              <w:pStyle w:val="Bodytext180"/>
              <w:shd w:val="clear" w:color="auto" w:fill="auto"/>
              <w:spacing w:before="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5923FD9" w14:textId="77777777" w:rsidTr="004A52D9">
        <w:trPr>
          <w:jc w:val="center"/>
        </w:trPr>
        <w:tc>
          <w:tcPr>
            <w:tcW w:w="4984" w:type="dxa"/>
            <w:gridSpan w:val="4"/>
            <w:tcBorders>
              <w:top w:val="single" w:sz="4" w:space="0" w:color="auto"/>
              <w:left w:val="single" w:sz="4" w:space="0" w:color="auto"/>
            </w:tcBorders>
            <w:shd w:val="clear" w:color="auto" w:fill="FFFFFF"/>
          </w:tcPr>
          <w:p w14:paraId="2BB2214B"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6BB40240"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73C74071"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3E001E2B"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E2A89EA"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6A834B5"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Պայմանը</w:t>
            </w:r>
          </w:p>
          <w:p w14:paraId="2DFAEB88" w14:textId="77777777" w:rsidR="008C76E0" w:rsidRPr="008C76E0"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Բացառման պատճառը չպետք է պայմանավորված լինի GMP-ի հետ կապված խնդիրներով:</w:t>
            </w:r>
          </w:p>
        </w:tc>
      </w:tr>
      <w:tr w:rsidR="008C76E0" w:rsidRPr="003B2786" w14:paraId="2C742AA1"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0F990C1" w14:textId="77777777" w:rsidR="008C76E0" w:rsidRPr="008C76E0" w:rsidRDefault="008C76E0" w:rsidP="00F30D28">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132FF2C" w14:textId="77777777" w:rsidR="008C76E0" w:rsidRPr="008C76E0" w:rsidRDefault="008C76E0" w:rsidP="00F30D28">
            <w:pPr>
              <w:pStyle w:val="Bodytext180"/>
              <w:shd w:val="clear" w:color="auto" w:fill="auto"/>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4AC91DF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7F942EB0" w14:textId="77777777" w:rsidR="008C76E0" w:rsidRPr="008C76E0" w:rsidRDefault="008C76E0" w:rsidP="00F30D28">
            <w:pPr>
              <w:pStyle w:val="Bodytext180"/>
              <w:shd w:val="clear" w:color="auto" w:fill="auto"/>
              <w:tabs>
                <w:tab w:val="left" w:pos="1124"/>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Դ.12.</w:t>
            </w:r>
            <w:r w:rsidRPr="003B2786">
              <w:rPr>
                <w:rStyle w:val="Bodytext1811pt"/>
                <w:rFonts w:ascii="Sylfaen" w:hAnsi="Sylfaen"/>
                <w:sz w:val="24"/>
                <w:szCs w:val="24"/>
              </w:rPr>
              <w:tab/>
              <w:t>Պլազմայի փոխադրման մեջ ներգրավված կազմակերպության փոխարինումը կամ ներառումը</w:t>
            </w:r>
          </w:p>
        </w:tc>
        <w:tc>
          <w:tcPr>
            <w:tcW w:w="1883" w:type="dxa"/>
            <w:gridSpan w:val="2"/>
            <w:tcBorders>
              <w:top w:val="single" w:sz="4" w:space="0" w:color="auto"/>
              <w:left w:val="single" w:sz="4" w:space="0" w:color="auto"/>
            </w:tcBorders>
            <w:shd w:val="clear" w:color="auto" w:fill="FFFFFF"/>
          </w:tcPr>
          <w:p w14:paraId="72D00BB9" w14:textId="77777777" w:rsidR="008C76E0" w:rsidRPr="003B2786" w:rsidRDefault="008C76E0" w:rsidP="00F66329">
            <w:pPr>
              <w:pStyle w:val="Bodytext180"/>
              <w:shd w:val="clear" w:color="auto" w:fill="auto"/>
              <w:spacing w:before="0" w:after="120" w:line="288" w:lineRule="auto"/>
              <w:ind w:left="159" w:right="222"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25EA6BA" w14:textId="77777777" w:rsidR="008C76E0" w:rsidRPr="003B2786" w:rsidRDefault="008C76E0" w:rsidP="00F66329">
            <w:pPr>
              <w:pStyle w:val="Bodytext180"/>
              <w:shd w:val="clear" w:color="auto" w:fill="auto"/>
              <w:spacing w:before="0" w:after="120" w:line="288" w:lineRule="auto"/>
              <w:ind w:left="65" w:right="-3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742F0469" w14:textId="77777777" w:rsidR="008C76E0" w:rsidRPr="003B2786" w:rsidRDefault="008C76E0" w:rsidP="00F30D28">
            <w:pPr>
              <w:pStyle w:val="Bodytext180"/>
              <w:shd w:val="clear" w:color="auto" w:fill="auto"/>
              <w:tabs>
                <w:tab w:val="left" w:pos="1863"/>
              </w:tabs>
              <w:spacing w:before="0" w:after="120" w:line="240" w:lineRule="auto"/>
              <w:ind w:left="13" w:right="149"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200BA10" w14:textId="77777777" w:rsidTr="004A52D9">
        <w:trPr>
          <w:jc w:val="center"/>
        </w:trPr>
        <w:tc>
          <w:tcPr>
            <w:tcW w:w="4984" w:type="dxa"/>
            <w:gridSpan w:val="4"/>
            <w:tcBorders>
              <w:top w:val="single" w:sz="4" w:space="0" w:color="auto"/>
              <w:left w:val="single" w:sz="4" w:space="0" w:color="auto"/>
            </w:tcBorders>
            <w:shd w:val="clear" w:color="auto" w:fill="FFFFFF"/>
          </w:tcPr>
          <w:p w14:paraId="209057D7" w14:textId="77777777" w:rsidR="008C76E0" w:rsidRPr="003B2786" w:rsidRDefault="008C76E0" w:rsidP="00F30D28">
            <w:pPr>
              <w:spacing w:after="12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C86A048" w14:textId="77777777" w:rsidR="008C76E0" w:rsidRPr="003B2786" w:rsidRDefault="008C76E0" w:rsidP="00F66329">
            <w:pPr>
              <w:pStyle w:val="Bodytext180"/>
              <w:shd w:val="clear" w:color="auto" w:fill="auto"/>
              <w:spacing w:before="0" w:after="120" w:line="288"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3BFC771" w14:textId="77777777" w:rsidR="008C76E0" w:rsidRPr="003B2786" w:rsidRDefault="008C76E0" w:rsidP="00F66329">
            <w:pPr>
              <w:pStyle w:val="Bodytext180"/>
              <w:shd w:val="clear" w:color="auto" w:fill="auto"/>
              <w:spacing w:before="0" w:after="120" w:line="288"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5F53195C" w14:textId="77777777" w:rsidR="008C76E0" w:rsidRPr="003B2786" w:rsidRDefault="008C76E0" w:rsidP="00F30D28">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1285B1C7"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0EEB0E8" w14:textId="77777777" w:rsidR="008C76E0" w:rsidRPr="003B2786" w:rsidRDefault="008C76E0" w:rsidP="00F66329">
            <w:pPr>
              <w:widowControl/>
              <w:autoSpaceDE w:val="0"/>
              <w:autoSpaceDN w:val="0"/>
              <w:adjustRightInd w:val="0"/>
              <w:spacing w:after="120" w:line="288" w:lineRule="auto"/>
              <w:ind w:left="159" w:right="222"/>
              <w:jc w:val="both"/>
              <w:rPr>
                <w:rFonts w:ascii="Sylfaen" w:hAnsi="Sylfaen" w:cs="TimesNewRomanPSMT"/>
                <w:sz w:val="24"/>
                <w:szCs w:val="24"/>
              </w:rPr>
            </w:pPr>
            <w:r w:rsidRPr="003B2786">
              <w:rPr>
                <w:rFonts w:ascii="Sylfaen" w:hAnsi="Sylfaen"/>
                <w:sz w:val="24"/>
                <w:szCs w:val="24"/>
              </w:rPr>
              <w:t>Փաստաթղթերը</w:t>
            </w:r>
          </w:p>
          <w:p w14:paraId="20059DDC" w14:textId="77777777" w:rsidR="008C76E0" w:rsidRPr="003B2786" w:rsidRDefault="008C76E0" w:rsidP="00F66329">
            <w:pPr>
              <w:widowControl/>
              <w:autoSpaceDE w:val="0"/>
              <w:autoSpaceDN w:val="0"/>
              <w:adjustRightInd w:val="0"/>
              <w:spacing w:after="120" w:line="288" w:lineRule="auto"/>
              <w:ind w:left="159" w:right="221"/>
              <w:jc w:val="both"/>
              <w:rPr>
                <w:rFonts w:ascii="Sylfaen" w:hAnsi="Sylfaen"/>
                <w:b/>
                <w:sz w:val="24"/>
                <w:szCs w:val="24"/>
              </w:rPr>
            </w:pPr>
            <w:r w:rsidRPr="003B2786">
              <w:rPr>
                <w:rFonts w:ascii="Sylfaen" w:hAnsi="Sylfaen"/>
                <w:sz w:val="24"/>
                <w:szCs w:val="24"/>
              </w:rPr>
              <w:t>1.</w:t>
            </w:r>
            <w:r w:rsidRPr="003B2786">
              <w:rPr>
                <w:rFonts w:ascii="Sylfaen" w:hAnsi="Sylfaen"/>
                <w:sz w:val="24"/>
                <w:szCs w:val="24"/>
              </w:rPr>
              <w:tab/>
              <w:t xml:space="preserve">ՊՄՖ-ի դոսյեի թարմացված համապատասխան բաժինները </w:t>
            </w:r>
            <w:r w:rsidR="00C54D75">
              <w:rPr>
                <w:rFonts w:ascii="Sylfaen" w:hAnsi="Sylfaen"/>
                <w:sz w:val="24"/>
                <w:szCs w:val="24"/>
              </w:rPr>
              <w:t>և</w:t>
            </w:r>
            <w:r w:rsidRPr="003B2786">
              <w:rPr>
                <w:rFonts w:ascii="Sylfaen" w:hAnsi="Sylfaen"/>
                <w:sz w:val="24"/>
                <w:szCs w:val="24"/>
              </w:rPr>
              <w:t xml:space="preserve"> լրացումները, ներառյալ` այդ տրանսպորտային կազմակերպության կողմից օգտվող արյան բոլոր հաստատությունները, պատշաճ պայմաններում (ժամանակը, ջերմաստիճանը </w:t>
            </w:r>
            <w:r w:rsidR="00C54D75">
              <w:rPr>
                <w:rFonts w:ascii="Sylfaen" w:hAnsi="Sylfaen"/>
                <w:sz w:val="24"/>
                <w:szCs w:val="24"/>
              </w:rPr>
              <w:t>և</w:t>
            </w:r>
            <w:r w:rsidRPr="003B2786">
              <w:rPr>
                <w:rFonts w:ascii="Sylfaen" w:hAnsi="Sylfaen"/>
                <w:sz w:val="24"/>
                <w:szCs w:val="24"/>
              </w:rPr>
              <w:t xml:space="preserve"> համապատասխանությունը պատշաճ արտադրական պրակտիկային) փոխադրումն ապահովող գործող համակարգի ամփոփագիրը </w:t>
            </w:r>
            <w:r w:rsidR="00C54D75">
              <w:rPr>
                <w:rFonts w:ascii="Sylfaen" w:hAnsi="Sylfaen"/>
                <w:sz w:val="24"/>
                <w:szCs w:val="24"/>
              </w:rPr>
              <w:t>և</w:t>
            </w:r>
            <w:r w:rsidRPr="003B2786">
              <w:rPr>
                <w:rFonts w:ascii="Sylfaen" w:hAnsi="Sylfaen"/>
                <w:sz w:val="24"/>
                <w:szCs w:val="24"/>
              </w:rPr>
              <w:t xml:space="preserve"> հավաստումն առ այն, որ փոխադրման պայմանները վալիդացված են:</w:t>
            </w:r>
          </w:p>
        </w:tc>
      </w:tr>
      <w:tr w:rsidR="008C76E0" w:rsidRPr="003B2786" w14:paraId="50F7B9B5" w14:textId="77777777" w:rsidTr="004A52D9">
        <w:trPr>
          <w:jc w:val="center"/>
        </w:trPr>
        <w:tc>
          <w:tcPr>
            <w:tcW w:w="4984" w:type="dxa"/>
            <w:gridSpan w:val="4"/>
            <w:tcBorders>
              <w:top w:val="single" w:sz="4" w:space="0" w:color="auto"/>
              <w:left w:val="single" w:sz="4" w:space="0" w:color="auto"/>
            </w:tcBorders>
            <w:shd w:val="clear" w:color="auto" w:fill="FFFFFF"/>
          </w:tcPr>
          <w:p w14:paraId="2E01E341" w14:textId="77777777" w:rsidR="008C76E0" w:rsidRPr="008C76E0" w:rsidRDefault="008C76E0" w:rsidP="00F30D28">
            <w:pPr>
              <w:pStyle w:val="Bodytext180"/>
              <w:shd w:val="clear" w:color="auto" w:fill="auto"/>
              <w:tabs>
                <w:tab w:val="left" w:pos="1124"/>
              </w:tabs>
              <w:spacing w:before="0" w:after="120" w:line="240" w:lineRule="auto"/>
              <w:ind w:left="159" w:right="221" w:firstLine="0"/>
              <w:rPr>
                <w:rFonts w:ascii="Sylfaen" w:hAnsi="Sylfaen"/>
                <w:b w:val="0"/>
                <w:sz w:val="24"/>
                <w:szCs w:val="24"/>
                <w:lang w:val="hy-AM"/>
              </w:rPr>
            </w:pPr>
            <w:r w:rsidRPr="003B2786">
              <w:rPr>
                <w:rStyle w:val="Bodytext1811pt"/>
                <w:rFonts w:ascii="Sylfaen" w:hAnsi="Sylfaen"/>
                <w:sz w:val="24"/>
                <w:szCs w:val="24"/>
              </w:rPr>
              <w:t>Դ. 13.</w:t>
            </w:r>
            <w:r w:rsidRPr="003B2786">
              <w:rPr>
                <w:rStyle w:val="Bodytext1811pt"/>
                <w:rFonts w:ascii="Sylfaen" w:hAnsi="Sylfaen"/>
                <w:sz w:val="24"/>
                <w:szCs w:val="24"/>
              </w:rPr>
              <w:tab/>
              <w:t>Պլազմայի փոխադրման մեջ ներգրավված կազմակերպության բացառումը</w:t>
            </w:r>
          </w:p>
        </w:tc>
        <w:tc>
          <w:tcPr>
            <w:tcW w:w="1883" w:type="dxa"/>
            <w:gridSpan w:val="2"/>
            <w:tcBorders>
              <w:top w:val="single" w:sz="4" w:space="0" w:color="auto"/>
              <w:left w:val="single" w:sz="4" w:space="0" w:color="auto"/>
            </w:tcBorders>
            <w:shd w:val="clear" w:color="auto" w:fill="FFFFFF"/>
          </w:tcPr>
          <w:p w14:paraId="197804CA" w14:textId="77777777" w:rsidR="008C76E0" w:rsidRPr="003B2786" w:rsidRDefault="008C76E0" w:rsidP="00F66329">
            <w:pPr>
              <w:pStyle w:val="Bodytext180"/>
              <w:shd w:val="clear" w:color="auto" w:fill="auto"/>
              <w:spacing w:before="0" w:after="120" w:line="288" w:lineRule="auto"/>
              <w:ind w:left="159" w:right="22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C5C7A7F" w14:textId="77777777" w:rsidR="008C76E0" w:rsidRPr="003B2786" w:rsidRDefault="008C76E0" w:rsidP="00F66329">
            <w:pPr>
              <w:pStyle w:val="Bodytext180"/>
              <w:shd w:val="clear" w:color="auto" w:fill="auto"/>
              <w:spacing w:before="0" w:after="120" w:line="288" w:lineRule="auto"/>
              <w:ind w:right="22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72D42E0E" w14:textId="77777777" w:rsidR="008C76E0" w:rsidRPr="003B2786" w:rsidRDefault="008C76E0" w:rsidP="00F30D28">
            <w:pPr>
              <w:pStyle w:val="Bodytext180"/>
              <w:shd w:val="clear" w:color="auto" w:fill="auto"/>
              <w:spacing w:before="0" w:after="120" w:line="240" w:lineRule="auto"/>
              <w:ind w:left="13" w:right="22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66F27CF8" w14:textId="77777777" w:rsidTr="004A52D9">
        <w:trPr>
          <w:jc w:val="center"/>
        </w:trPr>
        <w:tc>
          <w:tcPr>
            <w:tcW w:w="4984" w:type="dxa"/>
            <w:gridSpan w:val="4"/>
            <w:tcBorders>
              <w:top w:val="single" w:sz="4" w:space="0" w:color="auto"/>
              <w:left w:val="single" w:sz="4" w:space="0" w:color="auto"/>
            </w:tcBorders>
            <w:shd w:val="clear" w:color="auto" w:fill="FFFFFF"/>
          </w:tcPr>
          <w:p w14:paraId="4A9C40E0" w14:textId="77777777" w:rsidR="008C76E0" w:rsidRPr="003B2786" w:rsidRDefault="008C76E0" w:rsidP="008C76E0">
            <w:pPr>
              <w:spacing w:after="0"/>
              <w:ind w:left="159" w:right="221"/>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6771AF55"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0F60478B"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7BA5560A" w14:textId="77777777" w:rsidR="008C76E0" w:rsidRPr="003B2786" w:rsidRDefault="008C76E0" w:rsidP="008C76E0">
            <w:pPr>
              <w:pStyle w:val="Bodytext180"/>
              <w:shd w:val="clear" w:color="auto" w:fill="auto"/>
              <w:spacing w:before="0" w:line="240" w:lineRule="auto"/>
              <w:ind w:left="159" w:right="221" w:firstLine="0"/>
              <w:jc w:val="center"/>
              <w:rPr>
                <w:rStyle w:val="Bodytext1811pt"/>
                <w:rFonts w:ascii="Sylfaen" w:hAnsi="Sylfaen"/>
                <w:sz w:val="24"/>
                <w:szCs w:val="24"/>
              </w:rPr>
            </w:pPr>
            <w:r w:rsidRPr="003B2786">
              <w:rPr>
                <w:rStyle w:val="Bodytext1811pt"/>
                <w:rFonts w:ascii="Sylfaen" w:hAnsi="Sylfaen"/>
                <w:sz w:val="24"/>
                <w:szCs w:val="24"/>
              </w:rPr>
              <w:t>IA</w:t>
            </w:r>
          </w:p>
          <w:p w14:paraId="10E2C6D4"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p>
        </w:tc>
      </w:tr>
      <w:tr w:rsidR="008C76E0" w:rsidRPr="003B2786" w14:paraId="7843A8F6"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FB11AA5"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lastRenderedPageBreak/>
              <w:t>Պայմանը</w:t>
            </w:r>
          </w:p>
          <w:p w14:paraId="48582301"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Բացառման պատճառը չպետք է պայմանավորված լինի GMP-ի հետ կապված խնդիրներով:</w:t>
            </w:r>
          </w:p>
        </w:tc>
      </w:tr>
      <w:tr w:rsidR="008C76E0" w:rsidRPr="003B2786" w14:paraId="13D8E91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6B5F022"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1CCA317A" w14:textId="77777777" w:rsidR="008C76E0" w:rsidRPr="008C76E0" w:rsidRDefault="008C76E0" w:rsidP="008C76E0">
            <w:pPr>
              <w:pStyle w:val="Bodytext180"/>
              <w:shd w:val="clear" w:color="auto" w:fill="auto"/>
              <w:tabs>
                <w:tab w:val="left" w:pos="55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w:t>
            </w:r>
          </w:p>
        </w:tc>
      </w:tr>
      <w:tr w:rsidR="008C76E0" w:rsidRPr="003B2786" w14:paraId="1B592E6A" w14:textId="77777777" w:rsidTr="004A52D9">
        <w:trPr>
          <w:jc w:val="center"/>
        </w:trPr>
        <w:tc>
          <w:tcPr>
            <w:tcW w:w="4984" w:type="dxa"/>
            <w:gridSpan w:val="4"/>
            <w:tcBorders>
              <w:top w:val="single" w:sz="4" w:space="0" w:color="auto"/>
              <w:left w:val="single" w:sz="4" w:space="0" w:color="auto"/>
            </w:tcBorders>
            <w:shd w:val="clear" w:color="auto" w:fill="FFFFFF"/>
          </w:tcPr>
          <w:p w14:paraId="0372F40C" w14:textId="77777777" w:rsidR="008C76E0" w:rsidRPr="008C76E0" w:rsidRDefault="008C76E0" w:rsidP="008C76E0">
            <w:pPr>
              <w:pStyle w:val="Bodytext180"/>
              <w:shd w:val="clear" w:color="auto" w:fill="auto"/>
              <w:tabs>
                <w:tab w:val="left" w:pos="1124"/>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Դ.14.</w:t>
            </w:r>
            <w:r w:rsidRPr="003B2786">
              <w:rPr>
                <w:rStyle w:val="Bodytext1811pt"/>
                <w:rFonts w:ascii="Sylfaen" w:hAnsi="Sylfaen"/>
                <w:sz w:val="24"/>
                <w:szCs w:val="24"/>
              </w:rPr>
              <w:tab/>
              <w:t xml:space="preserve">Միությունում որպես բժշկական արտադրատեսակ գրանցված թեստ-համակարգի ներառումը՝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առանձին դոնացիաները որպես նոր թեստ-համակարգ փորձարկելու նպատակով</w:t>
            </w:r>
          </w:p>
        </w:tc>
        <w:tc>
          <w:tcPr>
            <w:tcW w:w="1883" w:type="dxa"/>
            <w:gridSpan w:val="2"/>
            <w:tcBorders>
              <w:top w:val="single" w:sz="4" w:space="0" w:color="auto"/>
              <w:left w:val="single" w:sz="4" w:space="0" w:color="auto"/>
            </w:tcBorders>
            <w:shd w:val="clear" w:color="auto" w:fill="FFFFFF"/>
          </w:tcPr>
          <w:p w14:paraId="6C0917EB"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3E78EFA"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5564E95B" w14:textId="77777777" w:rsidR="008C76E0" w:rsidRPr="003B2786" w:rsidRDefault="008C76E0" w:rsidP="008C76E0">
            <w:pPr>
              <w:pStyle w:val="Bodytext180"/>
              <w:shd w:val="clear" w:color="auto" w:fill="auto"/>
              <w:spacing w:before="0" w:after="12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4ECEE44F" w14:textId="77777777" w:rsidTr="004A52D9">
        <w:trPr>
          <w:jc w:val="center"/>
        </w:trPr>
        <w:tc>
          <w:tcPr>
            <w:tcW w:w="4984" w:type="dxa"/>
            <w:gridSpan w:val="4"/>
            <w:tcBorders>
              <w:top w:val="single" w:sz="4" w:space="0" w:color="auto"/>
              <w:left w:val="single" w:sz="4" w:space="0" w:color="auto"/>
            </w:tcBorders>
            <w:shd w:val="clear" w:color="auto" w:fill="FFFFFF"/>
          </w:tcPr>
          <w:p w14:paraId="475650A1" w14:textId="77777777" w:rsidR="008C76E0" w:rsidRPr="003B2786" w:rsidRDefault="008C76E0" w:rsidP="008C76E0">
            <w:pPr>
              <w:spacing w:after="0"/>
              <w:ind w:left="159" w:right="221"/>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55600C33"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60C0E6F4"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1, 2</w:t>
            </w:r>
          </w:p>
        </w:tc>
        <w:tc>
          <w:tcPr>
            <w:tcW w:w="1843" w:type="dxa"/>
            <w:gridSpan w:val="2"/>
            <w:tcBorders>
              <w:top w:val="single" w:sz="4" w:space="0" w:color="auto"/>
              <w:left w:val="single" w:sz="4" w:space="0" w:color="auto"/>
              <w:right w:val="single" w:sz="4" w:space="0" w:color="auto"/>
            </w:tcBorders>
            <w:shd w:val="clear" w:color="auto" w:fill="FFFFFF"/>
          </w:tcPr>
          <w:p w14:paraId="63690417" w14:textId="77777777" w:rsidR="008C76E0" w:rsidRPr="003B2786" w:rsidRDefault="008C76E0" w:rsidP="008C76E0">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5D430E62"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2199180" w14:textId="77777777" w:rsidR="008C76E0" w:rsidRPr="008C76E0" w:rsidRDefault="008C76E0" w:rsidP="008C76E0">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59EFBD6E" w14:textId="77777777" w:rsidR="008C76E0" w:rsidRPr="008C76E0" w:rsidRDefault="008C76E0" w:rsidP="008C76E0">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Նոր թեստ-համակարգը Միությունում գրանցված է որպես բժշկական արտադրատեսակ:</w:t>
            </w:r>
          </w:p>
        </w:tc>
      </w:tr>
      <w:tr w:rsidR="008C76E0" w:rsidRPr="003B2786" w14:paraId="4C8487DB" w14:textId="77777777" w:rsidTr="004A52D9">
        <w:trPr>
          <w:jc w:val="center"/>
        </w:trPr>
        <w:tc>
          <w:tcPr>
            <w:tcW w:w="10694"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14:paraId="708BB53E" w14:textId="77777777" w:rsidR="008C76E0" w:rsidRPr="008C76E0" w:rsidRDefault="008C76E0" w:rsidP="008C76E0">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AB4FE17" w14:textId="77777777" w:rsidR="008C76E0" w:rsidRPr="008C76E0" w:rsidRDefault="008C76E0" w:rsidP="008C76E0">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Փորձարկման այն հարթակների ցանկը, որտեղ օգտագործվում է թեստ-համակարգը:</w:t>
            </w:r>
          </w:p>
        </w:tc>
      </w:tr>
      <w:tr w:rsidR="008C76E0" w:rsidRPr="003B2786" w14:paraId="65332B3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tcPr>
          <w:p w14:paraId="135CABB0" w14:textId="77777777" w:rsidR="008C76E0" w:rsidRPr="008C76E0" w:rsidRDefault="008C76E0" w:rsidP="008C76E0">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2.</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 ներառյալ՝ ՊՄՖ կազմելու մասով Միության պահանջներին համապատասխան իրականացվող փորձարկումների մասին թարմացված տեղեկությունները:</w:t>
            </w:r>
          </w:p>
        </w:tc>
      </w:tr>
      <w:tr w:rsidR="008C76E0" w:rsidRPr="003B2786" w14:paraId="1CC3ABE2" w14:textId="77777777" w:rsidTr="004A52D9">
        <w:trPr>
          <w:jc w:val="center"/>
        </w:trPr>
        <w:tc>
          <w:tcPr>
            <w:tcW w:w="4984" w:type="dxa"/>
            <w:gridSpan w:val="4"/>
            <w:tcBorders>
              <w:top w:val="single" w:sz="4" w:space="0" w:color="auto"/>
              <w:left w:val="single" w:sz="4" w:space="0" w:color="auto"/>
            </w:tcBorders>
            <w:shd w:val="clear" w:color="auto" w:fill="FFFFFF"/>
          </w:tcPr>
          <w:p w14:paraId="770DEA98" w14:textId="77777777" w:rsidR="008C76E0" w:rsidRPr="008C76E0" w:rsidRDefault="008C76E0" w:rsidP="008C76E0">
            <w:pPr>
              <w:pStyle w:val="Bodytext180"/>
              <w:shd w:val="clear" w:color="auto" w:fill="auto"/>
              <w:tabs>
                <w:tab w:val="left" w:pos="1091"/>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Դ.15.</w:t>
            </w:r>
            <w:r w:rsidRPr="003B2786">
              <w:rPr>
                <w:rStyle w:val="Bodytext1811pt"/>
                <w:rFonts w:ascii="Sylfaen" w:hAnsi="Sylfaen"/>
                <w:sz w:val="24"/>
                <w:szCs w:val="24"/>
              </w:rPr>
              <w:tab/>
              <w:t xml:space="preserve">Միությունում որպես բժշկական արտադրատեսակ չգրանցված թեստ-համակարգի ներառումը՝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առանձին դոնացիաները որպես նոր թեստ-համակարգ փորձարկելու նպատակով</w:t>
            </w:r>
          </w:p>
        </w:tc>
        <w:tc>
          <w:tcPr>
            <w:tcW w:w="1883" w:type="dxa"/>
            <w:gridSpan w:val="2"/>
            <w:tcBorders>
              <w:top w:val="single" w:sz="4" w:space="0" w:color="auto"/>
              <w:left w:val="single" w:sz="4" w:space="0" w:color="auto"/>
            </w:tcBorders>
            <w:shd w:val="clear" w:color="auto" w:fill="FFFFFF"/>
          </w:tcPr>
          <w:p w14:paraId="6BEDAE9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184FF448"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4E5B39C2" w14:textId="77777777" w:rsidR="008C76E0" w:rsidRPr="003B2786" w:rsidRDefault="008C76E0" w:rsidP="008C76E0">
            <w:pPr>
              <w:pStyle w:val="Bodytext180"/>
              <w:shd w:val="clear" w:color="auto" w:fill="auto"/>
              <w:spacing w:before="0" w:after="120" w:line="240" w:lineRule="auto"/>
              <w:ind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3F50A2C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9A5BFDE" w14:textId="77777777" w:rsidR="008C76E0" w:rsidRPr="008C76E0" w:rsidRDefault="008C76E0" w:rsidP="008C76E0">
            <w:pPr>
              <w:pStyle w:val="Bodytext180"/>
              <w:shd w:val="clear" w:color="auto" w:fill="auto"/>
              <w:tabs>
                <w:tab w:val="left" w:pos="63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փորձարկման նոր համակարգն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դոնացիաների փորձարկման նպատակով նախկինում հաստատված չի եղել ՊՄՖ-ում՝ արյան ոչ մի կենտրոնի համար</w:t>
            </w:r>
          </w:p>
        </w:tc>
        <w:tc>
          <w:tcPr>
            <w:tcW w:w="1883" w:type="dxa"/>
            <w:gridSpan w:val="2"/>
            <w:tcBorders>
              <w:top w:val="single" w:sz="4" w:space="0" w:color="auto"/>
              <w:left w:val="single" w:sz="4" w:space="0" w:color="auto"/>
            </w:tcBorders>
            <w:shd w:val="clear" w:color="auto" w:fill="FFFFFF"/>
          </w:tcPr>
          <w:p w14:paraId="06BE550F"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4ED1D6C6"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632937DA"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21605DED"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3826EF0" w14:textId="77777777" w:rsidR="008C76E0" w:rsidRPr="008C76E0" w:rsidRDefault="008C76E0" w:rsidP="008C76E0">
            <w:pPr>
              <w:pStyle w:val="Bodytext180"/>
              <w:shd w:val="clear" w:color="auto" w:fill="auto"/>
              <w:tabs>
                <w:tab w:val="left" w:pos="639"/>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 xml:space="preserve">փորձարկման նոր համակարգն </w:t>
            </w:r>
            <w:r w:rsidRPr="003B2786">
              <w:rPr>
                <w:rStyle w:val="Bodytext1811pt"/>
                <w:rFonts w:ascii="Sylfaen" w:hAnsi="Sylfaen"/>
                <w:spacing w:val="-4"/>
                <w:sz w:val="24"/>
                <w:szCs w:val="24"/>
              </w:rPr>
              <w:t xml:space="preserve">արյան </w:t>
            </w:r>
            <w:r w:rsidR="00C54D75">
              <w:rPr>
                <w:rStyle w:val="Bodytext1811pt"/>
                <w:rFonts w:ascii="Sylfaen" w:hAnsi="Sylfaen"/>
                <w:spacing w:val="-4"/>
                <w:sz w:val="24"/>
                <w:szCs w:val="24"/>
              </w:rPr>
              <w:t>և</w:t>
            </w:r>
            <w:r w:rsidRPr="003B2786">
              <w:rPr>
                <w:rStyle w:val="Bodytext1811pt"/>
                <w:rFonts w:ascii="Sylfaen" w:hAnsi="Sylfaen"/>
                <w:spacing w:val="-4"/>
                <w:sz w:val="24"/>
                <w:szCs w:val="24"/>
              </w:rPr>
              <w:t xml:space="preserve"> պլազմայի դոնացիաների փորձարկման նպատակով հաստատվել է ՊՄՖ-ում՝ արյան այլ կենտրոնների համար</w:t>
            </w:r>
          </w:p>
        </w:tc>
        <w:tc>
          <w:tcPr>
            <w:tcW w:w="1883" w:type="dxa"/>
            <w:gridSpan w:val="2"/>
            <w:tcBorders>
              <w:top w:val="single" w:sz="4" w:space="0" w:color="auto"/>
              <w:left w:val="single" w:sz="4" w:space="0" w:color="auto"/>
            </w:tcBorders>
            <w:shd w:val="clear" w:color="auto" w:fill="FFFFFF"/>
          </w:tcPr>
          <w:p w14:paraId="0DE6A636"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648321DC"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1,2</w:t>
            </w:r>
          </w:p>
        </w:tc>
        <w:tc>
          <w:tcPr>
            <w:tcW w:w="1843" w:type="dxa"/>
            <w:gridSpan w:val="2"/>
            <w:tcBorders>
              <w:top w:val="single" w:sz="4" w:space="0" w:color="auto"/>
              <w:left w:val="single" w:sz="4" w:space="0" w:color="auto"/>
              <w:right w:val="single" w:sz="4" w:space="0" w:color="auto"/>
            </w:tcBorders>
            <w:shd w:val="clear" w:color="auto" w:fill="FFFFFF"/>
          </w:tcPr>
          <w:p w14:paraId="15B6D043" w14:textId="77777777" w:rsidR="008C76E0" w:rsidRPr="003B2786" w:rsidRDefault="008C76E0" w:rsidP="008C76E0">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AF7CDA9"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090020CC"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64F6E176" w14:textId="77777777" w:rsidR="008C76E0" w:rsidRPr="008C76E0" w:rsidRDefault="008C76E0" w:rsidP="00721A6C">
            <w:pPr>
              <w:pStyle w:val="Bodytext180"/>
              <w:shd w:val="clear" w:color="auto" w:fill="auto"/>
              <w:tabs>
                <w:tab w:val="left" w:pos="606"/>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Փորձարկման այն կենտրոնների ցանկը, որտեղ օգտագործվում է թեստ-համակարգը, </w:t>
            </w:r>
            <w:r w:rsidR="00C54D75">
              <w:rPr>
                <w:rStyle w:val="Bodytext1811pt"/>
                <w:rFonts w:ascii="Sylfaen" w:hAnsi="Sylfaen"/>
                <w:sz w:val="24"/>
                <w:szCs w:val="24"/>
              </w:rPr>
              <w:t>և</w:t>
            </w:r>
            <w:r w:rsidRPr="003B2786">
              <w:rPr>
                <w:rStyle w:val="Bodytext1811pt"/>
                <w:rFonts w:ascii="Sylfaen" w:hAnsi="Sylfaen"/>
                <w:sz w:val="24"/>
                <w:szCs w:val="24"/>
              </w:rPr>
              <w:t xml:space="preserve"> փորձարկման այն կենտրոնների ցանկը, որտեղ այն օգտագործվելու է: </w:t>
            </w:r>
          </w:p>
          <w:p w14:paraId="6E346446" w14:textId="77777777" w:rsidR="008C76E0" w:rsidRPr="008C76E0" w:rsidRDefault="008C76E0" w:rsidP="00721A6C">
            <w:pPr>
              <w:pStyle w:val="Bodytext180"/>
              <w:shd w:val="clear" w:color="auto" w:fill="auto"/>
              <w:tabs>
                <w:tab w:val="left" w:pos="623"/>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 ներառյալ՝ ՊՄՖ կազմելու մասով Միության պահանջներին համապատասխան իրականացվող փորձարկումների մասին թարմացված տեղեկությունները:</w:t>
            </w:r>
          </w:p>
        </w:tc>
      </w:tr>
      <w:tr w:rsidR="008C76E0" w:rsidRPr="003B2786" w14:paraId="143A24E2"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F99AC87" w14:textId="77777777" w:rsidR="008C76E0" w:rsidRPr="008C76E0" w:rsidRDefault="008C76E0" w:rsidP="00721A6C">
            <w:pPr>
              <w:pStyle w:val="Bodytext180"/>
              <w:shd w:val="clear" w:color="auto" w:fill="auto"/>
              <w:tabs>
                <w:tab w:val="left" w:pos="1142"/>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Դ.16.</w:t>
            </w:r>
            <w:r w:rsidRPr="003B2786">
              <w:rPr>
                <w:rStyle w:val="Bodytext1811pt"/>
                <w:rFonts w:ascii="Sylfaen" w:hAnsi="Sylfaen"/>
                <w:sz w:val="24"/>
                <w:szCs w:val="24"/>
              </w:rPr>
              <w:tab/>
              <w:t xml:space="preserve">Պուլերի փորձարկման (հակամարմնի, հակածնի փորձարկում </w:t>
            </w:r>
            <w:r w:rsidRPr="003B2786">
              <w:rPr>
                <w:rStyle w:val="Bodytext1811pt"/>
                <w:rFonts w:ascii="Sylfaen" w:hAnsi="Sylfaen"/>
                <w:sz w:val="24"/>
                <w:szCs w:val="24"/>
              </w:rPr>
              <w:lastRenderedPageBreak/>
              <w:t>կամ նուկլեինաթթուների ամպլիֆիկացիա) համար օգտագործվող փորձարկման համակարգի (մեթոդի) փոփոխությունը</w:t>
            </w:r>
          </w:p>
        </w:tc>
        <w:tc>
          <w:tcPr>
            <w:tcW w:w="1883" w:type="dxa"/>
            <w:gridSpan w:val="2"/>
            <w:tcBorders>
              <w:top w:val="single" w:sz="4" w:space="0" w:color="auto"/>
              <w:left w:val="single" w:sz="4" w:space="0" w:color="auto"/>
            </w:tcBorders>
            <w:shd w:val="clear" w:color="auto" w:fill="FFFFFF"/>
          </w:tcPr>
          <w:p w14:paraId="057C92AF"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lastRenderedPageBreak/>
              <w:t>Անհրաժեշտ պայմանները</w:t>
            </w:r>
          </w:p>
        </w:tc>
        <w:tc>
          <w:tcPr>
            <w:tcW w:w="1984" w:type="dxa"/>
            <w:gridSpan w:val="2"/>
            <w:tcBorders>
              <w:top w:val="single" w:sz="4" w:space="0" w:color="auto"/>
              <w:left w:val="single" w:sz="4" w:space="0" w:color="auto"/>
            </w:tcBorders>
            <w:shd w:val="clear" w:color="auto" w:fill="FFFFFF"/>
          </w:tcPr>
          <w:p w14:paraId="1713FCAC"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74D115B1"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0E81DB6" w14:textId="77777777" w:rsidTr="004A52D9">
        <w:trPr>
          <w:jc w:val="center"/>
        </w:trPr>
        <w:tc>
          <w:tcPr>
            <w:tcW w:w="4984" w:type="dxa"/>
            <w:gridSpan w:val="4"/>
            <w:tcBorders>
              <w:top w:val="single" w:sz="4" w:space="0" w:color="auto"/>
              <w:left w:val="single" w:sz="4" w:space="0" w:color="auto"/>
            </w:tcBorders>
            <w:shd w:val="clear" w:color="auto" w:fill="FFFFFF"/>
          </w:tcPr>
          <w:p w14:paraId="15A5B610"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114653FD"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5210D206"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295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6A560419"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3A50FC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3C86E6F" w14:textId="77777777" w:rsidR="008C76E0" w:rsidRPr="008C76E0" w:rsidRDefault="008C76E0" w:rsidP="00721A6C">
            <w:pPr>
              <w:pStyle w:val="Bodytext180"/>
              <w:shd w:val="clear" w:color="auto" w:fill="auto"/>
              <w:tabs>
                <w:tab w:val="left" w:pos="1108"/>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Դ.17.</w:t>
            </w:r>
            <w:r w:rsidRPr="003B2786">
              <w:rPr>
                <w:rStyle w:val="Bodytext1811pt"/>
                <w:rFonts w:ascii="Sylfaen" w:hAnsi="Sylfaen"/>
                <w:sz w:val="24"/>
                <w:szCs w:val="24"/>
              </w:rPr>
              <w:tab/>
              <w:t>Կարանտինային պահպանման ընթացակարգի ներմուծումը կամ ընդլայնումը</w:t>
            </w:r>
          </w:p>
        </w:tc>
        <w:tc>
          <w:tcPr>
            <w:tcW w:w="1883" w:type="dxa"/>
            <w:gridSpan w:val="2"/>
            <w:tcBorders>
              <w:top w:val="single" w:sz="4" w:space="0" w:color="auto"/>
              <w:left w:val="single" w:sz="4" w:space="0" w:color="auto"/>
            </w:tcBorders>
            <w:shd w:val="clear" w:color="auto" w:fill="FFFFFF"/>
          </w:tcPr>
          <w:p w14:paraId="1B4195AF"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3E181518"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Պահանջվող փաստաթղթերը</w:t>
            </w:r>
          </w:p>
        </w:tc>
        <w:tc>
          <w:tcPr>
            <w:tcW w:w="1843" w:type="dxa"/>
            <w:gridSpan w:val="2"/>
            <w:tcBorders>
              <w:top w:val="single" w:sz="4" w:space="0" w:color="auto"/>
              <w:left w:val="single" w:sz="4" w:space="0" w:color="auto"/>
              <w:right w:val="single" w:sz="4" w:space="0" w:color="auto"/>
            </w:tcBorders>
            <w:shd w:val="clear" w:color="auto" w:fill="FFFFFF"/>
          </w:tcPr>
          <w:p w14:paraId="3CEE0E3D" w14:textId="77777777" w:rsidR="008C76E0" w:rsidRPr="003B2786" w:rsidRDefault="008C76E0" w:rsidP="00721A6C">
            <w:pPr>
              <w:pStyle w:val="Bodytext180"/>
              <w:shd w:val="clear" w:color="auto" w:fill="auto"/>
              <w:spacing w:before="0" w:line="240" w:lineRule="auto"/>
              <w:ind w:right="76" w:firstLine="0"/>
              <w:jc w:val="center"/>
              <w:rPr>
                <w:rFonts w:ascii="Sylfaen" w:hAnsi="Sylfaen"/>
                <w:b w:val="0"/>
                <w:sz w:val="24"/>
                <w:szCs w:val="24"/>
              </w:rPr>
            </w:pPr>
            <w:r w:rsidRPr="003B2786">
              <w:rPr>
                <w:rStyle w:val="Bodytext1811pt"/>
                <w:rFonts w:ascii="Sylfaen" w:hAnsi="Sylfaen"/>
                <w:sz w:val="24"/>
                <w:szCs w:val="24"/>
              </w:rPr>
              <w:t>Ընթացակարգի տեսակը</w:t>
            </w:r>
          </w:p>
        </w:tc>
      </w:tr>
      <w:tr w:rsidR="008C76E0" w:rsidRPr="003B2786" w14:paraId="0980D653" w14:textId="77777777" w:rsidTr="004A52D9">
        <w:trPr>
          <w:jc w:val="center"/>
        </w:trPr>
        <w:tc>
          <w:tcPr>
            <w:tcW w:w="4984" w:type="dxa"/>
            <w:gridSpan w:val="4"/>
            <w:tcBorders>
              <w:top w:val="single" w:sz="4" w:space="0" w:color="auto"/>
              <w:left w:val="single" w:sz="4" w:space="0" w:color="auto"/>
            </w:tcBorders>
            <w:shd w:val="clear" w:color="auto" w:fill="FFFFFF"/>
          </w:tcPr>
          <w:p w14:paraId="3E5C1CEA"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6ECE16FF"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7355143E"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21F68609"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34B663F3"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2EAAD378"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Պայմանը</w:t>
            </w:r>
          </w:p>
          <w:p w14:paraId="6A7F679A"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Կարանտինային պահպանման ընթացակարգն առավել խիստ է (օրինակ՝ միայն դոնորների կրկնակի ստուգումից հետո բացթողումը):</w:t>
            </w:r>
          </w:p>
        </w:tc>
      </w:tr>
      <w:tr w:rsidR="008C76E0" w:rsidRPr="003B2786" w14:paraId="582FADBD"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425356C"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327F4966"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 ներառյալ՝ կարանտինային պահպանման ընթացակարգի ներմուծման կամ ընդլայնման հիմնավորումը, հարթակները, որտեղ իրականացվում է կարանտինային պահպանումը </w:t>
            </w:r>
            <w:r w:rsidR="00C54D75">
              <w:rPr>
                <w:rStyle w:val="Bodytext1811pt"/>
                <w:rFonts w:ascii="Sylfaen" w:hAnsi="Sylfaen"/>
                <w:sz w:val="24"/>
                <w:szCs w:val="24"/>
              </w:rPr>
              <w:t>և</w:t>
            </w:r>
            <w:r w:rsidRPr="003B2786">
              <w:rPr>
                <w:rStyle w:val="Bodytext1811pt"/>
                <w:rFonts w:ascii="Sylfaen" w:hAnsi="Sylfaen"/>
                <w:sz w:val="24"/>
                <w:szCs w:val="24"/>
              </w:rPr>
              <w:t xml:space="preserve"> ընթացակարգի փոփոխությունները, «որոշումների ընդունման ծառը», ներառյալ՝ նոր պայմանները:</w:t>
            </w:r>
          </w:p>
        </w:tc>
      </w:tr>
      <w:tr w:rsidR="008C76E0" w:rsidRPr="003B2786" w14:paraId="5294F2B6"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382903C7" w14:textId="77777777" w:rsidR="008C76E0" w:rsidRPr="008C76E0" w:rsidRDefault="008C76E0" w:rsidP="00721A6C">
            <w:pPr>
              <w:pStyle w:val="Bodytext180"/>
              <w:shd w:val="clear" w:color="auto" w:fill="auto"/>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Դ.18.</w:t>
            </w:r>
            <w:r w:rsidRPr="003B2786">
              <w:rPr>
                <w:rStyle w:val="Bodytext1811pt"/>
                <w:rFonts w:ascii="Sylfaen" w:hAnsi="Sylfaen"/>
                <w:sz w:val="24"/>
                <w:szCs w:val="24"/>
              </w:rPr>
              <w:tab/>
              <w:t>Կարանտինային պահպանման ժամկետի բացառումը կամ դրա տ</w:t>
            </w:r>
            <w:r w:rsidR="00C54D75">
              <w:rPr>
                <w:rStyle w:val="Bodytext1811pt"/>
                <w:rFonts w:ascii="Sylfaen" w:hAnsi="Sylfaen"/>
                <w:sz w:val="24"/>
                <w:szCs w:val="24"/>
              </w:rPr>
              <w:t>և</w:t>
            </w:r>
            <w:r w:rsidRPr="003B2786">
              <w:rPr>
                <w:rStyle w:val="Bodytext1811pt"/>
                <w:rFonts w:ascii="Sylfaen" w:hAnsi="Sylfaen"/>
                <w:sz w:val="24"/>
                <w:szCs w:val="24"/>
              </w:rPr>
              <w:t>ողության կրճատումը</w:t>
            </w:r>
          </w:p>
        </w:tc>
        <w:tc>
          <w:tcPr>
            <w:tcW w:w="1883" w:type="dxa"/>
            <w:gridSpan w:val="2"/>
            <w:tcBorders>
              <w:top w:val="single" w:sz="4" w:space="0" w:color="auto"/>
              <w:left w:val="single" w:sz="4" w:space="0" w:color="auto"/>
            </w:tcBorders>
            <w:shd w:val="clear" w:color="auto" w:fill="FFFFFF"/>
          </w:tcPr>
          <w:p w14:paraId="1882B426" w14:textId="77777777" w:rsidR="008C76E0" w:rsidRPr="003B2786" w:rsidRDefault="008C76E0" w:rsidP="00721A6C">
            <w:pPr>
              <w:pStyle w:val="Bodytext180"/>
              <w:shd w:val="clear" w:color="auto" w:fill="auto"/>
              <w:spacing w:before="0" w:line="240" w:lineRule="auto"/>
              <w:ind w:left="13"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6945DAE3" w14:textId="77777777" w:rsidR="008C76E0" w:rsidRPr="003B2786" w:rsidRDefault="008C76E0" w:rsidP="00721A6C">
            <w:pPr>
              <w:pStyle w:val="Bodytext180"/>
              <w:shd w:val="clear" w:color="auto" w:fill="auto"/>
              <w:spacing w:before="0" w:line="240" w:lineRule="auto"/>
              <w:ind w:left="13"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37EB2270" w14:textId="77777777" w:rsidR="008C76E0" w:rsidRPr="003B2786" w:rsidRDefault="008C76E0" w:rsidP="00721A6C">
            <w:pPr>
              <w:pStyle w:val="Bodytext180"/>
              <w:shd w:val="clear" w:color="auto" w:fill="auto"/>
              <w:spacing w:before="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192AA53E" w14:textId="77777777" w:rsidTr="004A52D9">
        <w:trPr>
          <w:jc w:val="center"/>
        </w:trPr>
        <w:tc>
          <w:tcPr>
            <w:tcW w:w="4984" w:type="dxa"/>
            <w:gridSpan w:val="4"/>
            <w:tcBorders>
              <w:top w:val="single" w:sz="4" w:space="0" w:color="auto"/>
              <w:left w:val="single" w:sz="4" w:space="0" w:color="auto"/>
            </w:tcBorders>
            <w:shd w:val="clear" w:color="auto" w:fill="FFFFFF"/>
          </w:tcPr>
          <w:p w14:paraId="373009A8"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48EF4E31"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295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1F9797AD"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15A29494"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3F34E5D0"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14120D33" w14:textId="77777777" w:rsidR="008C76E0" w:rsidRPr="003B2786" w:rsidRDefault="008C76E0" w:rsidP="005F48B2">
            <w:pPr>
              <w:pStyle w:val="Bodytext180"/>
              <w:shd w:val="clear" w:color="auto" w:fill="auto"/>
              <w:tabs>
                <w:tab w:val="left" w:pos="556"/>
              </w:tabs>
              <w:spacing w:before="0" w:after="120" w:line="240" w:lineRule="auto"/>
              <w:ind w:left="159" w:right="221" w:firstLine="0"/>
              <w:jc w:val="both"/>
              <w:rPr>
                <w:rFonts w:ascii="Sylfaen" w:hAnsi="Sylfaen"/>
                <w:b w:val="0"/>
                <w:sz w:val="24"/>
                <w:szCs w:val="24"/>
              </w:rPr>
            </w:pPr>
            <w:r w:rsidRPr="003B2786">
              <w:rPr>
                <w:rStyle w:val="Bodytext1811pt"/>
                <w:rFonts w:ascii="Sylfaen" w:hAnsi="Sylfaen"/>
                <w:sz w:val="24"/>
                <w:szCs w:val="24"/>
              </w:rPr>
              <w:t>Փաստաթղթերը</w:t>
            </w:r>
          </w:p>
          <w:p w14:paraId="1391108E" w14:textId="77777777" w:rsidR="008C76E0" w:rsidRPr="003B2786" w:rsidRDefault="008C76E0" w:rsidP="005F48B2">
            <w:pPr>
              <w:pStyle w:val="Bodytext180"/>
              <w:numPr>
                <w:ilvl w:val="0"/>
                <w:numId w:val="24"/>
              </w:numPr>
              <w:shd w:val="clear" w:color="auto" w:fill="auto"/>
              <w:tabs>
                <w:tab w:val="left" w:pos="556"/>
              </w:tabs>
              <w:spacing w:before="0" w:after="120" w:line="240" w:lineRule="auto"/>
              <w:ind w:right="221"/>
              <w:jc w:val="both"/>
              <w:rPr>
                <w:rFonts w:ascii="Sylfaen" w:hAnsi="Sylfaen"/>
                <w:b w:val="0"/>
                <w:sz w:val="24"/>
                <w:szCs w:val="24"/>
              </w:rPr>
            </w:pPr>
            <w:r w:rsidRPr="003B2786">
              <w:rPr>
                <w:rStyle w:val="Bodytext1811pt"/>
                <w:rFonts w:ascii="Sylfaen" w:hAnsi="Sylfaen"/>
                <w:sz w:val="24"/>
                <w:szCs w:val="24"/>
              </w:rPr>
              <w:t>ՊՄՖ-ի դոսյեի թարմացված համապատասխան բաժինները:</w:t>
            </w:r>
          </w:p>
        </w:tc>
      </w:tr>
      <w:tr w:rsidR="008C76E0" w:rsidRPr="003B2786" w14:paraId="26D0745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6B612850" w14:textId="77777777" w:rsidR="008C76E0" w:rsidRPr="008C76E0" w:rsidRDefault="008C76E0" w:rsidP="005F48B2">
            <w:pPr>
              <w:pStyle w:val="Bodytext180"/>
              <w:shd w:val="clear" w:color="auto" w:fill="auto"/>
              <w:tabs>
                <w:tab w:val="left" w:pos="860"/>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Դ.19.</w:t>
            </w:r>
            <w:r w:rsidRPr="003B2786">
              <w:rPr>
                <w:rStyle w:val="Bodytext1811pt"/>
                <w:rFonts w:ascii="Sylfaen" w:hAnsi="Sylfaen"/>
                <w:sz w:val="24"/>
                <w:szCs w:val="24"/>
              </w:rPr>
              <w:tab/>
              <w:t>Արյան համար նախատեսված կոնտեյներների (օրինակ՝ տոպրակների, սրվակների) փոխարինումը կամ ավելացումը</w:t>
            </w:r>
          </w:p>
        </w:tc>
        <w:tc>
          <w:tcPr>
            <w:tcW w:w="1883" w:type="dxa"/>
            <w:gridSpan w:val="2"/>
            <w:tcBorders>
              <w:top w:val="single" w:sz="4" w:space="0" w:color="auto"/>
              <w:left w:val="single" w:sz="4" w:space="0" w:color="auto"/>
            </w:tcBorders>
            <w:shd w:val="clear" w:color="auto" w:fill="FFFFFF"/>
          </w:tcPr>
          <w:p w14:paraId="09547768" w14:textId="77777777" w:rsidR="008C76E0" w:rsidRPr="003B2786" w:rsidRDefault="008C76E0" w:rsidP="005F48B2">
            <w:pPr>
              <w:pStyle w:val="Bodytext180"/>
              <w:shd w:val="clear" w:color="auto" w:fill="auto"/>
              <w:spacing w:before="0" w:after="120" w:line="240" w:lineRule="auto"/>
              <w:ind w:right="-65"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8758B74" w14:textId="77777777" w:rsidR="008C76E0" w:rsidRPr="003B2786" w:rsidRDefault="008C76E0" w:rsidP="005F48B2">
            <w:pPr>
              <w:pStyle w:val="Bodytext180"/>
              <w:shd w:val="clear" w:color="auto" w:fill="auto"/>
              <w:spacing w:before="0" w:after="120" w:line="240" w:lineRule="auto"/>
              <w:ind w:right="-65" w:firstLine="0"/>
              <w:jc w:val="center"/>
              <w:rPr>
                <w:rStyle w:val="Bodytext1811pt"/>
                <w:rFonts w:ascii="Sylfaen" w:hAnsi="Sylfaen"/>
                <w:sz w:val="24"/>
                <w:szCs w:val="24"/>
              </w:rPr>
            </w:pPr>
            <w:r w:rsidRPr="003B2786">
              <w:rPr>
                <w:rStyle w:val="Bodytext1811pt"/>
                <w:rFonts w:ascii="Sylfaen" w:hAnsi="Sylfaen"/>
                <w:sz w:val="24"/>
                <w:szCs w:val="24"/>
              </w:rPr>
              <w:t xml:space="preserve">Փաստաթղթերը </w:t>
            </w:r>
          </w:p>
          <w:p w14:paraId="20739D3C" w14:textId="77777777" w:rsidR="008C76E0" w:rsidRPr="003B2786" w:rsidRDefault="00C54D75" w:rsidP="005F48B2">
            <w:pPr>
              <w:pStyle w:val="Bodytext180"/>
              <w:shd w:val="clear" w:color="auto" w:fill="auto"/>
              <w:spacing w:before="0" w:after="120" w:line="240" w:lineRule="auto"/>
              <w:ind w:right="-65" w:firstLine="0"/>
              <w:jc w:val="center"/>
              <w:rPr>
                <w:rFonts w:ascii="Sylfaen" w:hAnsi="Sylfaen"/>
                <w:b w:val="0"/>
                <w:sz w:val="24"/>
                <w:szCs w:val="24"/>
              </w:rPr>
            </w:pPr>
            <w:r>
              <w:rPr>
                <w:rStyle w:val="Bodytext1811pt"/>
                <w:rFonts w:ascii="Sylfaen" w:hAnsi="Sylfaen"/>
                <w:sz w:val="24"/>
                <w:szCs w:val="24"/>
              </w:rPr>
              <w:t>և</w:t>
            </w:r>
            <w:r w:rsidR="008C76E0"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0E63D433" w14:textId="77777777" w:rsidR="008C76E0" w:rsidRPr="003B2786" w:rsidRDefault="008C76E0" w:rsidP="005F48B2">
            <w:pPr>
              <w:pStyle w:val="Bodytext180"/>
              <w:shd w:val="clear" w:color="auto" w:fill="auto"/>
              <w:spacing w:before="0" w:after="120" w:line="240" w:lineRule="auto"/>
              <w:ind w:right="-65"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0352CE8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60C9A02" w14:textId="77777777" w:rsidR="008C76E0" w:rsidRPr="008C76E0" w:rsidRDefault="008C76E0" w:rsidP="005F48B2">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pacing w:val="-6"/>
                <w:sz w:val="24"/>
                <w:szCs w:val="24"/>
              </w:rPr>
              <w:t>)</w:t>
            </w:r>
            <w:r w:rsidRPr="003B2786">
              <w:rPr>
                <w:rStyle w:val="Bodytext1811pt"/>
                <w:rFonts w:ascii="Sylfaen" w:hAnsi="Sylfaen"/>
                <w:spacing w:val="-6"/>
                <w:sz w:val="24"/>
                <w:szCs w:val="24"/>
              </w:rPr>
              <w:tab/>
              <w:t>Արյան համար նախատեսված նոր կոնտեյներները Միությունում գրանցված են որպես բժշկական արտադրատեսակ</w:t>
            </w:r>
          </w:p>
        </w:tc>
        <w:tc>
          <w:tcPr>
            <w:tcW w:w="1883" w:type="dxa"/>
            <w:gridSpan w:val="2"/>
            <w:tcBorders>
              <w:top w:val="single" w:sz="4" w:space="0" w:color="auto"/>
              <w:left w:val="single" w:sz="4" w:space="0" w:color="auto"/>
            </w:tcBorders>
            <w:shd w:val="clear" w:color="auto" w:fill="FFFFFF"/>
          </w:tcPr>
          <w:p w14:paraId="4C7CF520"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1,2</w:t>
            </w:r>
          </w:p>
        </w:tc>
        <w:tc>
          <w:tcPr>
            <w:tcW w:w="1984" w:type="dxa"/>
            <w:gridSpan w:val="2"/>
            <w:tcBorders>
              <w:top w:val="single" w:sz="4" w:space="0" w:color="auto"/>
              <w:left w:val="single" w:sz="4" w:space="0" w:color="auto"/>
            </w:tcBorders>
            <w:shd w:val="clear" w:color="auto" w:fill="FFFFFF"/>
          </w:tcPr>
          <w:p w14:paraId="70D4A184"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28453D71"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9A6F5AD"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vAlign w:val="bottom"/>
          </w:tcPr>
          <w:p w14:paraId="1AC9C68B" w14:textId="77777777" w:rsidR="008C76E0" w:rsidRPr="008C76E0" w:rsidRDefault="008C76E0" w:rsidP="005F48B2">
            <w:pPr>
              <w:pStyle w:val="Bodytext180"/>
              <w:shd w:val="clear" w:color="auto" w:fill="auto"/>
              <w:tabs>
                <w:tab w:val="left" w:pos="556"/>
              </w:tabs>
              <w:spacing w:before="0" w:after="12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Արյան համար նախատեսված նոր կոնտեյներները Միությունում գրանցված չեն որպես բժշկական արտադրատեսակ</w:t>
            </w:r>
          </w:p>
        </w:tc>
        <w:tc>
          <w:tcPr>
            <w:tcW w:w="1883" w:type="dxa"/>
            <w:gridSpan w:val="2"/>
            <w:tcBorders>
              <w:top w:val="single" w:sz="4" w:space="0" w:color="auto"/>
              <w:left w:val="single" w:sz="4" w:space="0" w:color="auto"/>
              <w:bottom w:val="single" w:sz="4" w:space="0" w:color="auto"/>
            </w:tcBorders>
            <w:shd w:val="clear" w:color="auto" w:fill="FFFFFF"/>
          </w:tcPr>
          <w:p w14:paraId="49D29080"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bottom w:val="single" w:sz="4" w:space="0" w:color="auto"/>
            </w:tcBorders>
            <w:shd w:val="clear" w:color="auto" w:fill="FFFFFF"/>
          </w:tcPr>
          <w:p w14:paraId="2DFE4C5A"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0FC3E7F9" w14:textId="77777777" w:rsidR="008C76E0" w:rsidRPr="003B2786" w:rsidRDefault="008C76E0" w:rsidP="005F48B2">
            <w:pPr>
              <w:pStyle w:val="Bodytext180"/>
              <w:shd w:val="clear" w:color="auto" w:fill="auto"/>
              <w:spacing w:before="0" w:after="12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1DAB400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52BCCDB" w14:textId="77777777" w:rsidR="008C76E0" w:rsidRPr="008C76E0" w:rsidRDefault="008C76E0" w:rsidP="00F66329">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C5ED3B0" w14:textId="77777777" w:rsidR="008C76E0" w:rsidRPr="008C76E0" w:rsidRDefault="008C76E0" w:rsidP="00F66329">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Կոնտեյները Միությունում գրանցված է որպես բժշկական արտադրատեսակ:</w:t>
            </w:r>
          </w:p>
          <w:p w14:paraId="1CEBD085" w14:textId="77777777" w:rsidR="008C76E0" w:rsidRPr="008C76E0" w:rsidRDefault="008C76E0" w:rsidP="00F66329">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Կոնտեյներում պահվող արյան որակի չափորոշիչները չեն փոփոխվում:</w:t>
            </w:r>
          </w:p>
        </w:tc>
      </w:tr>
      <w:tr w:rsidR="008C76E0" w:rsidRPr="003B2786" w14:paraId="2A605318"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DC431D8" w14:textId="77777777" w:rsidR="008C76E0" w:rsidRPr="008C76E0" w:rsidRDefault="008C76E0" w:rsidP="00F66329">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AB91B7C" w14:textId="77777777" w:rsidR="008C76E0" w:rsidRPr="008C76E0" w:rsidRDefault="008C76E0" w:rsidP="00F66329">
            <w:pPr>
              <w:pStyle w:val="Bodytext180"/>
              <w:shd w:val="clear" w:color="auto" w:fill="auto"/>
              <w:tabs>
                <w:tab w:val="left" w:pos="572"/>
              </w:tabs>
              <w:spacing w:before="0" w:line="288"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 ներառյալ՝ կոնտեյների, արտադրողի անվանումը, հակակոագուլյանտի լուծույթի մասնագիրը, </w:t>
            </w:r>
            <w:r w:rsidRPr="003B2786">
              <w:rPr>
                <w:rStyle w:val="Bodytext1811pt"/>
                <w:rFonts w:ascii="Sylfaen" w:hAnsi="Sylfaen"/>
                <w:sz w:val="24"/>
                <w:szCs w:val="24"/>
              </w:rPr>
              <w:lastRenderedPageBreak/>
              <w:t xml:space="preserve">Միությունում գրանցման հաստատումը </w:t>
            </w:r>
            <w:r w:rsidR="00C54D75">
              <w:rPr>
                <w:rStyle w:val="Bodytext1811pt"/>
                <w:rFonts w:ascii="Sylfaen" w:hAnsi="Sylfaen"/>
                <w:sz w:val="24"/>
                <w:szCs w:val="24"/>
              </w:rPr>
              <w:t>և</w:t>
            </w:r>
            <w:r w:rsidRPr="003B2786">
              <w:rPr>
                <w:rStyle w:val="Bodytext1811pt"/>
                <w:rFonts w:ascii="Sylfaen" w:hAnsi="Sylfaen"/>
                <w:sz w:val="24"/>
                <w:szCs w:val="24"/>
              </w:rPr>
              <w:t xml:space="preserve"> արյան այն հաստատության անվանումը, որտեղ օգտագործվում է կոնտեյները:</w:t>
            </w:r>
          </w:p>
        </w:tc>
      </w:tr>
      <w:tr w:rsidR="008C76E0" w:rsidRPr="003B2786" w14:paraId="0F7F996C"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4C607AB0" w14:textId="77777777" w:rsidR="008C76E0" w:rsidRPr="003B2786" w:rsidRDefault="008C76E0" w:rsidP="00721A6C">
            <w:pPr>
              <w:pStyle w:val="Bodytext180"/>
              <w:shd w:val="clear" w:color="auto" w:fill="auto"/>
              <w:tabs>
                <w:tab w:val="left" w:pos="1124"/>
              </w:tabs>
              <w:spacing w:before="0" w:line="240" w:lineRule="auto"/>
              <w:ind w:left="159" w:right="221" w:firstLine="0"/>
              <w:jc w:val="both"/>
              <w:rPr>
                <w:rFonts w:ascii="Sylfaen" w:hAnsi="Sylfaen"/>
                <w:b w:val="0"/>
                <w:sz w:val="24"/>
                <w:szCs w:val="24"/>
              </w:rPr>
            </w:pPr>
            <w:r w:rsidRPr="003B2786">
              <w:rPr>
                <w:rStyle w:val="Bodytext1811pt"/>
                <w:rFonts w:ascii="Sylfaen" w:hAnsi="Sylfaen"/>
                <w:sz w:val="24"/>
                <w:szCs w:val="24"/>
              </w:rPr>
              <w:lastRenderedPageBreak/>
              <w:t>Դ.20.</w:t>
            </w:r>
            <w:r w:rsidRPr="003B2786">
              <w:rPr>
                <w:rStyle w:val="Bodytext1811pt"/>
                <w:rFonts w:ascii="Sylfaen" w:hAnsi="Sylfaen"/>
                <w:sz w:val="24"/>
                <w:szCs w:val="24"/>
              </w:rPr>
              <w:tab/>
              <w:t>Պահպանման (փոխադրման) փոփոխությունը</w:t>
            </w:r>
          </w:p>
        </w:tc>
        <w:tc>
          <w:tcPr>
            <w:tcW w:w="1883" w:type="dxa"/>
            <w:gridSpan w:val="2"/>
            <w:tcBorders>
              <w:top w:val="single" w:sz="4" w:space="0" w:color="auto"/>
              <w:left w:val="single" w:sz="4" w:space="0" w:color="auto"/>
            </w:tcBorders>
            <w:shd w:val="clear" w:color="auto" w:fill="FFFFFF"/>
          </w:tcPr>
          <w:p w14:paraId="2C4F89E8" w14:textId="77777777" w:rsidR="008C76E0" w:rsidRPr="003B2786" w:rsidRDefault="008C76E0" w:rsidP="00721A6C">
            <w:pPr>
              <w:pStyle w:val="Bodytext180"/>
              <w:shd w:val="clear" w:color="auto" w:fill="auto"/>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26A4634" w14:textId="77777777" w:rsidR="008C76E0" w:rsidRPr="003B2786" w:rsidRDefault="008C76E0" w:rsidP="00721A6C">
            <w:pPr>
              <w:pStyle w:val="Bodytext180"/>
              <w:shd w:val="clear" w:color="auto" w:fill="auto"/>
              <w:spacing w:before="0" w:line="240" w:lineRule="auto"/>
              <w:ind w:right="221"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4213DFDB" w14:textId="77777777" w:rsidR="008C76E0" w:rsidRPr="003B2786" w:rsidRDefault="008C76E0" w:rsidP="00721A6C">
            <w:pPr>
              <w:pStyle w:val="Bodytext180"/>
              <w:shd w:val="clear" w:color="auto" w:fill="auto"/>
              <w:spacing w:before="0" w:line="240" w:lineRule="auto"/>
              <w:ind w:left="13" w:right="221"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D0069EA"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D2D8BF1" w14:textId="77777777" w:rsidR="008C76E0" w:rsidRPr="008C76E0" w:rsidRDefault="008C76E0" w:rsidP="00721A6C">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ա)</w:t>
            </w:r>
            <w:r w:rsidRPr="003B2786">
              <w:rPr>
                <w:rStyle w:val="Bodytext1811pt"/>
                <w:rFonts w:ascii="Sylfaen" w:hAnsi="Sylfaen"/>
                <w:sz w:val="24"/>
                <w:szCs w:val="24"/>
              </w:rPr>
              <w:tab/>
              <w:t xml:space="preserve">պահպանման </w:t>
            </w:r>
            <w:r w:rsidR="00C54D75">
              <w:rPr>
                <w:rStyle w:val="Bodytext1811pt"/>
                <w:rFonts w:ascii="Sylfaen" w:hAnsi="Sylfaen"/>
                <w:sz w:val="24"/>
                <w:szCs w:val="24"/>
              </w:rPr>
              <w:t>և</w:t>
            </w:r>
            <w:r w:rsidRPr="003B2786">
              <w:rPr>
                <w:rStyle w:val="Bodytext1811pt"/>
                <w:rFonts w:ascii="Sylfaen" w:hAnsi="Sylfaen"/>
                <w:sz w:val="24"/>
                <w:szCs w:val="24"/>
              </w:rPr>
              <w:t xml:space="preserve"> (կամ) փոխադրման պայմանները</w:t>
            </w:r>
          </w:p>
        </w:tc>
        <w:tc>
          <w:tcPr>
            <w:tcW w:w="1883" w:type="dxa"/>
            <w:gridSpan w:val="2"/>
            <w:tcBorders>
              <w:top w:val="single" w:sz="4" w:space="0" w:color="auto"/>
              <w:left w:val="single" w:sz="4" w:space="0" w:color="auto"/>
            </w:tcBorders>
            <w:shd w:val="clear" w:color="auto" w:fill="FFFFFF"/>
          </w:tcPr>
          <w:p w14:paraId="475E6FDF"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984" w:type="dxa"/>
            <w:gridSpan w:val="2"/>
            <w:tcBorders>
              <w:top w:val="single" w:sz="4" w:space="0" w:color="auto"/>
              <w:left w:val="single" w:sz="4" w:space="0" w:color="auto"/>
            </w:tcBorders>
            <w:shd w:val="clear" w:color="auto" w:fill="FFFFFF"/>
          </w:tcPr>
          <w:p w14:paraId="0CF69741"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6B1558E6"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082A5847"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03EC0151" w14:textId="77777777" w:rsidR="008C76E0" w:rsidRPr="008C76E0" w:rsidRDefault="008C76E0" w:rsidP="00721A6C">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բ)</w:t>
            </w:r>
            <w:r w:rsidRPr="003B2786">
              <w:rPr>
                <w:rStyle w:val="Bodytext1811pt"/>
                <w:rFonts w:ascii="Sylfaen" w:hAnsi="Sylfaen"/>
                <w:sz w:val="24"/>
                <w:szCs w:val="24"/>
              </w:rPr>
              <w:tab/>
              <w:t>պլազմայի պահպանման առավելագույն ժամկետը</w:t>
            </w:r>
          </w:p>
        </w:tc>
        <w:tc>
          <w:tcPr>
            <w:tcW w:w="1883" w:type="dxa"/>
            <w:gridSpan w:val="2"/>
            <w:tcBorders>
              <w:top w:val="single" w:sz="4" w:space="0" w:color="auto"/>
              <w:left w:val="single" w:sz="4" w:space="0" w:color="auto"/>
            </w:tcBorders>
            <w:shd w:val="clear" w:color="auto" w:fill="FFFFFF"/>
          </w:tcPr>
          <w:p w14:paraId="0FFB2299"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1, 2</w:t>
            </w:r>
          </w:p>
        </w:tc>
        <w:tc>
          <w:tcPr>
            <w:tcW w:w="1984" w:type="dxa"/>
            <w:gridSpan w:val="2"/>
            <w:tcBorders>
              <w:top w:val="single" w:sz="4" w:space="0" w:color="auto"/>
              <w:left w:val="single" w:sz="4" w:space="0" w:color="auto"/>
            </w:tcBorders>
            <w:shd w:val="clear" w:color="auto" w:fill="FFFFFF"/>
          </w:tcPr>
          <w:p w14:paraId="306AF477"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12314B81" w14:textId="77777777" w:rsidR="008C76E0" w:rsidRPr="003B2786" w:rsidRDefault="008C76E0" w:rsidP="00721A6C">
            <w:pPr>
              <w:pStyle w:val="Bodytext180"/>
              <w:shd w:val="clear" w:color="auto" w:fill="auto"/>
              <w:tabs>
                <w:tab w:val="left" w:pos="589"/>
              </w:tabs>
              <w:spacing w:before="0" w:line="240" w:lineRule="auto"/>
              <w:ind w:left="159" w:right="221" w:firstLine="0"/>
              <w:jc w:val="center"/>
              <w:rPr>
                <w:rFonts w:ascii="Sylfaen" w:hAnsi="Sylfaen"/>
                <w:b w:val="0"/>
                <w:sz w:val="24"/>
                <w:szCs w:val="24"/>
              </w:rPr>
            </w:pPr>
            <w:r w:rsidRPr="003B2786">
              <w:rPr>
                <w:rStyle w:val="Bodytext1811pt"/>
                <w:rFonts w:ascii="Sylfaen" w:hAnsi="Sylfaen"/>
                <w:sz w:val="24"/>
                <w:szCs w:val="24"/>
              </w:rPr>
              <w:t>IA</w:t>
            </w:r>
          </w:p>
        </w:tc>
      </w:tr>
      <w:tr w:rsidR="008C76E0" w:rsidRPr="003B2786" w14:paraId="65EAAF1E"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5B89490C" w14:textId="77777777" w:rsidR="008C76E0" w:rsidRPr="008C76E0" w:rsidRDefault="008C76E0" w:rsidP="00721A6C">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3B2786">
              <w:rPr>
                <w:rStyle w:val="Bodytext1811pt"/>
                <w:rFonts w:ascii="Sylfaen" w:hAnsi="Sylfaen"/>
                <w:sz w:val="24"/>
                <w:szCs w:val="24"/>
              </w:rPr>
              <w:t>Պայմանները</w:t>
            </w:r>
          </w:p>
          <w:p w14:paraId="3CC44679" w14:textId="77777777" w:rsidR="008C76E0" w:rsidRPr="008C76E0" w:rsidRDefault="008C76E0" w:rsidP="00721A6C">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1.</w:t>
            </w:r>
            <w:r w:rsidRPr="008C76E0">
              <w:rPr>
                <w:rFonts w:ascii="Sylfaen" w:hAnsi="Sylfaen"/>
                <w:b w:val="0"/>
                <w:sz w:val="24"/>
                <w:szCs w:val="24"/>
                <w:lang w:val="hy-AM"/>
              </w:rPr>
              <w:tab/>
            </w:r>
            <w:r w:rsidRPr="003B2786">
              <w:rPr>
                <w:rStyle w:val="Bodytext1811pt"/>
                <w:rFonts w:ascii="Sylfaen" w:hAnsi="Sylfaen"/>
                <w:sz w:val="24"/>
                <w:szCs w:val="24"/>
              </w:rPr>
              <w:t xml:space="preserve">Փոփոխությունը պետք է խստացնի պայմանները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համապատասխանի թորզատման համար մարդու պլազմային ներկայացվող Միության դեղագրքի պահանջներին:</w:t>
            </w:r>
          </w:p>
          <w:p w14:paraId="50D06620" w14:textId="77777777" w:rsidR="008C76E0" w:rsidRPr="008C76E0" w:rsidRDefault="008C76E0" w:rsidP="00721A6C">
            <w:pPr>
              <w:pStyle w:val="Bodytext180"/>
              <w:shd w:val="clear" w:color="auto" w:fill="auto"/>
              <w:tabs>
                <w:tab w:val="left" w:pos="589"/>
              </w:tabs>
              <w:spacing w:before="0" w:line="240" w:lineRule="auto"/>
              <w:ind w:left="159" w:right="221" w:firstLine="0"/>
              <w:jc w:val="both"/>
              <w:rPr>
                <w:rFonts w:ascii="Sylfaen" w:hAnsi="Sylfaen"/>
                <w:b w:val="0"/>
                <w:sz w:val="24"/>
                <w:szCs w:val="24"/>
                <w:lang w:val="hy-AM"/>
              </w:rPr>
            </w:pPr>
            <w:r w:rsidRPr="008C76E0">
              <w:rPr>
                <w:rFonts w:ascii="Sylfaen" w:hAnsi="Sylfaen"/>
                <w:b w:val="0"/>
                <w:sz w:val="24"/>
                <w:szCs w:val="24"/>
                <w:lang w:val="hy-AM"/>
              </w:rPr>
              <w:t>2.</w:t>
            </w:r>
            <w:r w:rsidRPr="008C76E0">
              <w:rPr>
                <w:rFonts w:ascii="Sylfaen" w:hAnsi="Sylfaen"/>
                <w:b w:val="0"/>
                <w:sz w:val="24"/>
                <w:szCs w:val="24"/>
                <w:lang w:val="hy-AM"/>
              </w:rPr>
              <w:tab/>
            </w:r>
            <w:r w:rsidRPr="003B2786">
              <w:rPr>
                <w:rStyle w:val="Bodytext1811pt"/>
                <w:rFonts w:ascii="Sylfaen" w:hAnsi="Sylfaen"/>
                <w:sz w:val="24"/>
                <w:szCs w:val="24"/>
              </w:rPr>
              <w:t>Պահպանման առավելագույն ժամկետը կարճ է նախորդից:</w:t>
            </w:r>
          </w:p>
        </w:tc>
      </w:tr>
      <w:tr w:rsidR="008C76E0" w:rsidRPr="003B2786" w14:paraId="6FC2893C"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774CF566" w14:textId="77777777" w:rsidR="008C76E0" w:rsidRPr="008C76E0" w:rsidRDefault="008C76E0" w:rsidP="00721A6C">
            <w:pPr>
              <w:pStyle w:val="Bodytext180"/>
              <w:shd w:val="clear" w:color="auto" w:fill="auto"/>
              <w:tabs>
                <w:tab w:val="left" w:pos="589"/>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5E6F52A6" w14:textId="77777777" w:rsidR="008C76E0" w:rsidRPr="008C76E0" w:rsidRDefault="008C76E0" w:rsidP="00721A6C">
            <w:pPr>
              <w:pStyle w:val="Bodytext180"/>
              <w:shd w:val="clear" w:color="auto" w:fill="auto"/>
              <w:tabs>
                <w:tab w:val="left" w:pos="589"/>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 xml:space="preserve">ՊՄՖ-ի դոսյեի թարմացված համապատասխան բաժինները </w:t>
            </w:r>
            <w:r w:rsidR="00C54D75">
              <w:rPr>
                <w:rStyle w:val="Bodytext1811pt"/>
                <w:rFonts w:ascii="Sylfaen" w:hAnsi="Sylfaen"/>
                <w:sz w:val="24"/>
                <w:szCs w:val="24"/>
              </w:rPr>
              <w:t>և</w:t>
            </w:r>
            <w:r w:rsidRPr="003B2786">
              <w:rPr>
                <w:rStyle w:val="Bodytext1811pt"/>
                <w:rFonts w:ascii="Sylfaen" w:hAnsi="Sylfaen"/>
                <w:sz w:val="24"/>
                <w:szCs w:val="24"/>
              </w:rPr>
              <w:t xml:space="preserve"> լրացումները, ներառյալ՝ նոր պայմանների մանրամասն նկարագրությունը, պահպանման (փոխադրման) պայմանների վալիդացման հաստատումը </w:t>
            </w:r>
            <w:r w:rsidR="00C54D75">
              <w:rPr>
                <w:rStyle w:val="Bodytext1811pt"/>
                <w:rFonts w:ascii="Sylfaen" w:hAnsi="Sylfaen"/>
                <w:sz w:val="24"/>
                <w:szCs w:val="24"/>
              </w:rPr>
              <w:t>և</w:t>
            </w:r>
            <w:r w:rsidRPr="003B2786">
              <w:rPr>
                <w:rStyle w:val="Bodytext1811pt"/>
                <w:rFonts w:ascii="Sylfaen" w:hAnsi="Sylfaen"/>
                <w:sz w:val="24"/>
                <w:szCs w:val="24"/>
              </w:rPr>
              <w:t xml:space="preserve"> արյան այն հաստատության (հաստատությունների) անվանումը, որտեղ տեղի է ունենում փոփոխությունը (եթե կիրառելի է):</w:t>
            </w:r>
          </w:p>
        </w:tc>
      </w:tr>
      <w:tr w:rsidR="008C76E0" w:rsidRPr="003B2786" w14:paraId="2563DD4E"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517C852" w14:textId="77777777" w:rsidR="008C76E0" w:rsidRPr="008C76E0" w:rsidRDefault="008C76E0" w:rsidP="008B6709">
            <w:pPr>
              <w:pStyle w:val="Bodytext180"/>
              <w:shd w:val="clear" w:color="auto" w:fill="auto"/>
              <w:tabs>
                <w:tab w:val="left" w:pos="1108"/>
              </w:tabs>
              <w:spacing w:before="0" w:line="264"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Դ.21.</w:t>
            </w:r>
            <w:r w:rsidRPr="003B2786">
              <w:rPr>
                <w:rStyle w:val="Bodytext1811pt"/>
                <w:rFonts w:ascii="Sylfaen" w:hAnsi="Sylfaen"/>
                <w:sz w:val="24"/>
                <w:szCs w:val="24"/>
              </w:rPr>
              <w:tab/>
              <w:t>Վիրուսային մարկերների փորձարկման ներմուծումը, եթե այդ ներմուծումը զգալի ազդեցություն կունենա վիրուսային ռիսկերի գնահատման վրա</w:t>
            </w:r>
          </w:p>
        </w:tc>
        <w:tc>
          <w:tcPr>
            <w:tcW w:w="1883" w:type="dxa"/>
            <w:gridSpan w:val="2"/>
            <w:tcBorders>
              <w:top w:val="single" w:sz="4" w:space="0" w:color="auto"/>
              <w:left w:val="single" w:sz="4" w:space="0" w:color="auto"/>
            </w:tcBorders>
            <w:shd w:val="clear" w:color="auto" w:fill="FFFFFF"/>
          </w:tcPr>
          <w:p w14:paraId="4C6CBFA4"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300C5DB"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4FB31CC7"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084CBC1" w14:textId="77777777" w:rsidTr="004A52D9">
        <w:trPr>
          <w:jc w:val="center"/>
        </w:trPr>
        <w:tc>
          <w:tcPr>
            <w:tcW w:w="4984" w:type="dxa"/>
            <w:gridSpan w:val="4"/>
            <w:tcBorders>
              <w:top w:val="single" w:sz="4" w:space="0" w:color="auto"/>
              <w:left w:val="single" w:sz="4" w:space="0" w:color="auto"/>
            </w:tcBorders>
            <w:shd w:val="clear" w:color="auto" w:fill="FFFFFF"/>
          </w:tcPr>
          <w:p w14:paraId="032DD01B" w14:textId="77777777" w:rsidR="008C76E0" w:rsidRPr="003B2786" w:rsidRDefault="008C76E0" w:rsidP="008B6709">
            <w:pPr>
              <w:spacing w:after="0" w:line="264"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0F955C53"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70039EB0"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right w:val="single" w:sz="4" w:space="0" w:color="auto"/>
            </w:tcBorders>
            <w:shd w:val="clear" w:color="auto" w:fill="FFFFFF"/>
          </w:tcPr>
          <w:p w14:paraId="55EBC22B"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II</w:t>
            </w:r>
          </w:p>
        </w:tc>
      </w:tr>
      <w:tr w:rsidR="008C76E0" w:rsidRPr="003B2786" w14:paraId="570B5F63"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118986AE" w14:textId="77777777" w:rsidR="008C76E0" w:rsidRPr="008C76E0" w:rsidRDefault="008C76E0" w:rsidP="008B6709">
            <w:pPr>
              <w:pStyle w:val="Bodytext180"/>
              <w:shd w:val="clear" w:color="auto" w:fill="auto"/>
              <w:tabs>
                <w:tab w:val="left" w:pos="1175"/>
              </w:tabs>
              <w:spacing w:before="0" w:line="264"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Դ.22.</w:t>
            </w:r>
            <w:r w:rsidRPr="003B2786">
              <w:rPr>
                <w:rStyle w:val="Bodytext1811pt"/>
                <w:rFonts w:ascii="Sylfaen" w:hAnsi="Sylfaen"/>
                <w:sz w:val="24"/>
                <w:szCs w:val="24"/>
              </w:rPr>
              <w:tab/>
              <w:t xml:space="preserve">Պլազմայի պուլի պատրաստման (օրինակ`արտադրության մեթոդի, պուլի չափսի, պլազմայի պուլի նմուշների պահպանման) փոփոխությունը </w:t>
            </w:r>
          </w:p>
        </w:tc>
        <w:tc>
          <w:tcPr>
            <w:tcW w:w="1883" w:type="dxa"/>
            <w:gridSpan w:val="2"/>
            <w:tcBorders>
              <w:top w:val="single" w:sz="4" w:space="0" w:color="auto"/>
              <w:left w:val="single" w:sz="4" w:space="0" w:color="auto"/>
            </w:tcBorders>
            <w:shd w:val="clear" w:color="auto" w:fill="FFFFFF"/>
          </w:tcPr>
          <w:p w14:paraId="64007356"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005597F1"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6EB2A907" w14:textId="77777777" w:rsidR="008C76E0" w:rsidRPr="003B2786" w:rsidRDefault="008C76E0" w:rsidP="008B6709">
            <w:pPr>
              <w:pStyle w:val="Bodytext180"/>
              <w:shd w:val="clear" w:color="auto" w:fill="auto"/>
              <w:spacing w:before="0" w:line="264" w:lineRule="auto"/>
              <w:ind w:left="13" w:right="76"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58120599" w14:textId="77777777" w:rsidTr="004A52D9">
        <w:trPr>
          <w:jc w:val="center"/>
        </w:trPr>
        <w:tc>
          <w:tcPr>
            <w:tcW w:w="4984" w:type="dxa"/>
            <w:gridSpan w:val="4"/>
            <w:tcBorders>
              <w:top w:val="single" w:sz="4" w:space="0" w:color="auto"/>
              <w:left w:val="single" w:sz="4" w:space="0" w:color="auto"/>
            </w:tcBorders>
            <w:shd w:val="clear" w:color="auto" w:fill="FFFFFF"/>
          </w:tcPr>
          <w:p w14:paraId="6A574C21" w14:textId="77777777" w:rsidR="008C76E0" w:rsidRPr="003B2786" w:rsidRDefault="008C76E0" w:rsidP="00721A6C">
            <w:pPr>
              <w:spacing w:after="0" w:line="240" w:lineRule="auto"/>
              <w:ind w:left="159" w:right="222"/>
              <w:jc w:val="both"/>
              <w:rPr>
                <w:rFonts w:ascii="Sylfaen" w:hAnsi="Sylfaen"/>
                <w:sz w:val="24"/>
                <w:szCs w:val="24"/>
              </w:rPr>
            </w:pPr>
          </w:p>
        </w:tc>
        <w:tc>
          <w:tcPr>
            <w:tcW w:w="1883" w:type="dxa"/>
            <w:gridSpan w:val="2"/>
            <w:tcBorders>
              <w:top w:val="single" w:sz="4" w:space="0" w:color="auto"/>
              <w:left w:val="single" w:sz="4" w:space="0" w:color="auto"/>
            </w:tcBorders>
            <w:shd w:val="clear" w:color="auto" w:fill="FFFFFF"/>
          </w:tcPr>
          <w:p w14:paraId="32106ECC"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tcBorders>
            <w:shd w:val="clear" w:color="auto" w:fill="FFFFFF"/>
          </w:tcPr>
          <w:p w14:paraId="3B7755A9"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1</w:t>
            </w:r>
          </w:p>
        </w:tc>
        <w:tc>
          <w:tcPr>
            <w:tcW w:w="1843" w:type="dxa"/>
            <w:gridSpan w:val="2"/>
            <w:tcBorders>
              <w:top w:val="single" w:sz="4" w:space="0" w:color="auto"/>
              <w:left w:val="single" w:sz="4" w:space="0" w:color="auto"/>
              <w:right w:val="single" w:sz="4" w:space="0" w:color="auto"/>
            </w:tcBorders>
            <w:shd w:val="clear" w:color="auto" w:fill="FFFFFF"/>
          </w:tcPr>
          <w:p w14:paraId="6C1E0E28" w14:textId="77777777" w:rsidR="008C76E0" w:rsidRPr="003B2786" w:rsidRDefault="008C76E0" w:rsidP="00721A6C">
            <w:pPr>
              <w:pStyle w:val="Bodytext180"/>
              <w:shd w:val="clear" w:color="auto" w:fill="auto"/>
              <w:spacing w:before="0" w:line="240" w:lineRule="auto"/>
              <w:ind w:left="159" w:right="222" w:firstLine="0"/>
              <w:jc w:val="center"/>
              <w:rPr>
                <w:rFonts w:ascii="Sylfaen" w:hAnsi="Sylfaen"/>
                <w:b w:val="0"/>
                <w:sz w:val="24"/>
                <w:szCs w:val="24"/>
              </w:rPr>
            </w:pPr>
            <w:r w:rsidRPr="003B2786">
              <w:rPr>
                <w:rStyle w:val="Bodytext1811pt"/>
                <w:rFonts w:ascii="Sylfaen" w:hAnsi="Sylfaen"/>
                <w:sz w:val="24"/>
                <w:szCs w:val="24"/>
              </w:rPr>
              <w:t>IB</w:t>
            </w:r>
          </w:p>
        </w:tc>
      </w:tr>
      <w:tr w:rsidR="008C76E0" w:rsidRPr="003B2786" w14:paraId="69BDA434" w14:textId="77777777" w:rsidTr="004A52D9">
        <w:trPr>
          <w:jc w:val="center"/>
        </w:trPr>
        <w:tc>
          <w:tcPr>
            <w:tcW w:w="10694" w:type="dxa"/>
            <w:gridSpan w:val="10"/>
            <w:tcBorders>
              <w:top w:val="single" w:sz="4" w:space="0" w:color="auto"/>
              <w:left w:val="single" w:sz="4" w:space="0" w:color="auto"/>
              <w:right w:val="single" w:sz="4" w:space="0" w:color="auto"/>
            </w:tcBorders>
            <w:shd w:val="clear" w:color="auto" w:fill="FFFFFF"/>
            <w:vAlign w:val="bottom"/>
          </w:tcPr>
          <w:p w14:paraId="466D9C2B" w14:textId="77777777" w:rsidR="008C76E0" w:rsidRPr="00F06D43" w:rsidRDefault="008C76E0" w:rsidP="00721A6C">
            <w:pPr>
              <w:pStyle w:val="Bodytext180"/>
              <w:shd w:val="clear" w:color="auto" w:fill="auto"/>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Փաստաթղթերը</w:t>
            </w:r>
          </w:p>
          <w:p w14:paraId="760CF270" w14:textId="77777777" w:rsidR="008C76E0" w:rsidRPr="00F06D43" w:rsidRDefault="008C76E0" w:rsidP="00721A6C">
            <w:pPr>
              <w:pStyle w:val="Bodytext180"/>
              <w:shd w:val="clear" w:color="auto" w:fill="auto"/>
              <w:tabs>
                <w:tab w:val="left" w:pos="589"/>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1.</w:t>
            </w:r>
            <w:r w:rsidRPr="003B2786">
              <w:rPr>
                <w:rStyle w:val="Bodytext1811pt"/>
                <w:rFonts w:ascii="Sylfaen" w:hAnsi="Sylfaen"/>
                <w:sz w:val="24"/>
                <w:szCs w:val="24"/>
              </w:rPr>
              <w:tab/>
              <w:t>ՊՄՖ-ի դոսյեի թարմացված համապատասխան բաժինները:</w:t>
            </w:r>
          </w:p>
        </w:tc>
      </w:tr>
      <w:tr w:rsidR="008C76E0" w:rsidRPr="003B2786" w14:paraId="24A79FCB" w14:textId="77777777" w:rsidTr="004A52D9">
        <w:trPr>
          <w:jc w:val="center"/>
        </w:trPr>
        <w:tc>
          <w:tcPr>
            <w:tcW w:w="4984" w:type="dxa"/>
            <w:gridSpan w:val="4"/>
            <w:tcBorders>
              <w:top w:val="single" w:sz="4" w:space="0" w:color="auto"/>
              <w:left w:val="single" w:sz="4" w:space="0" w:color="auto"/>
            </w:tcBorders>
            <w:shd w:val="clear" w:color="auto" w:fill="FFFFFF"/>
            <w:vAlign w:val="bottom"/>
          </w:tcPr>
          <w:p w14:paraId="2B513FED" w14:textId="77777777" w:rsidR="008C76E0" w:rsidRPr="008C76E0" w:rsidRDefault="008C76E0" w:rsidP="00721A6C">
            <w:pPr>
              <w:pStyle w:val="Bodytext180"/>
              <w:shd w:val="clear" w:color="auto" w:fill="auto"/>
              <w:tabs>
                <w:tab w:val="left" w:pos="1091"/>
              </w:tabs>
              <w:spacing w:before="0" w:line="240" w:lineRule="auto"/>
              <w:ind w:left="159" w:right="222" w:firstLine="0"/>
              <w:jc w:val="both"/>
              <w:rPr>
                <w:rFonts w:ascii="Sylfaen" w:hAnsi="Sylfaen"/>
                <w:b w:val="0"/>
                <w:sz w:val="24"/>
                <w:szCs w:val="24"/>
                <w:lang w:val="hy-AM"/>
              </w:rPr>
            </w:pPr>
            <w:r w:rsidRPr="003B2786">
              <w:rPr>
                <w:rStyle w:val="Bodytext1811pt"/>
                <w:rFonts w:ascii="Sylfaen" w:hAnsi="Sylfaen"/>
                <w:sz w:val="24"/>
                <w:szCs w:val="24"/>
              </w:rPr>
              <w:t>Դ.23.</w:t>
            </w:r>
            <w:r w:rsidRPr="003B2786">
              <w:rPr>
                <w:rStyle w:val="Bodytext1811pt"/>
                <w:rFonts w:ascii="Sylfaen" w:hAnsi="Sylfaen"/>
                <w:sz w:val="24"/>
                <w:szCs w:val="24"/>
              </w:rPr>
              <w:tab/>
              <w:t xml:space="preserve">Ռետրոսպեկտիվ հայտնաբերման դեպքում ձեռնարկվող միջոցների փոփոխությունը, երբ արյան </w:t>
            </w:r>
            <w:r w:rsidR="00C54D75">
              <w:rPr>
                <w:rStyle w:val="Bodytext1811pt"/>
                <w:rFonts w:ascii="Sylfaen" w:hAnsi="Sylfaen"/>
                <w:sz w:val="24"/>
                <w:szCs w:val="24"/>
              </w:rPr>
              <w:t>և</w:t>
            </w:r>
            <w:r w:rsidRPr="003B2786">
              <w:rPr>
                <w:rStyle w:val="Bodytext1811pt"/>
                <w:rFonts w:ascii="Sylfaen" w:hAnsi="Sylfaen"/>
                <w:sz w:val="24"/>
                <w:szCs w:val="24"/>
              </w:rPr>
              <w:t xml:space="preserve"> պլազմայի դոնացիաները ենթակա են մշակումից հանվելու (ռետրոսպեկտիվ վերլուծության ընթացակարգը)</w:t>
            </w:r>
          </w:p>
        </w:tc>
        <w:tc>
          <w:tcPr>
            <w:tcW w:w="1883" w:type="dxa"/>
            <w:gridSpan w:val="2"/>
            <w:tcBorders>
              <w:top w:val="single" w:sz="4" w:space="0" w:color="auto"/>
              <w:left w:val="single" w:sz="4" w:space="0" w:color="auto"/>
            </w:tcBorders>
            <w:shd w:val="clear" w:color="auto" w:fill="FFFFFF"/>
          </w:tcPr>
          <w:p w14:paraId="670E2330" w14:textId="77777777" w:rsidR="008C76E0" w:rsidRPr="003B2786" w:rsidRDefault="008C76E0" w:rsidP="00721A6C">
            <w:pPr>
              <w:pStyle w:val="Bodytext180"/>
              <w:shd w:val="clear" w:color="auto" w:fill="auto"/>
              <w:spacing w:before="0" w:line="240" w:lineRule="auto"/>
              <w:ind w:left="96" w:firstLine="0"/>
              <w:jc w:val="center"/>
              <w:rPr>
                <w:rFonts w:ascii="Sylfaen" w:hAnsi="Sylfaen"/>
                <w:b w:val="0"/>
                <w:sz w:val="24"/>
                <w:szCs w:val="24"/>
              </w:rPr>
            </w:pPr>
            <w:r w:rsidRPr="003B2786">
              <w:rPr>
                <w:rStyle w:val="Bodytext1811pt"/>
                <w:rFonts w:ascii="Sylfaen" w:hAnsi="Sylfaen"/>
                <w:sz w:val="24"/>
                <w:szCs w:val="24"/>
              </w:rPr>
              <w:t>Անհրաժեշտ պայմանները</w:t>
            </w:r>
          </w:p>
        </w:tc>
        <w:tc>
          <w:tcPr>
            <w:tcW w:w="1984" w:type="dxa"/>
            <w:gridSpan w:val="2"/>
            <w:tcBorders>
              <w:top w:val="single" w:sz="4" w:space="0" w:color="auto"/>
              <w:left w:val="single" w:sz="4" w:space="0" w:color="auto"/>
            </w:tcBorders>
            <w:shd w:val="clear" w:color="auto" w:fill="FFFFFF"/>
          </w:tcPr>
          <w:p w14:paraId="2468DC34" w14:textId="77777777" w:rsidR="008C76E0" w:rsidRPr="003B2786" w:rsidRDefault="008C76E0" w:rsidP="00721A6C">
            <w:pPr>
              <w:pStyle w:val="Bodytext180"/>
              <w:shd w:val="clear" w:color="auto" w:fill="auto"/>
              <w:spacing w:before="0" w:line="240" w:lineRule="auto"/>
              <w:ind w:firstLine="0"/>
              <w:jc w:val="center"/>
              <w:rPr>
                <w:rFonts w:ascii="Sylfaen" w:hAnsi="Sylfaen"/>
                <w:b w:val="0"/>
                <w:sz w:val="24"/>
                <w:szCs w:val="24"/>
              </w:rPr>
            </w:pPr>
            <w:r w:rsidRPr="003B2786">
              <w:rPr>
                <w:rStyle w:val="Bodytext1811pt"/>
                <w:rFonts w:ascii="Sylfaen" w:hAnsi="Sylfaen"/>
                <w:sz w:val="24"/>
                <w:szCs w:val="24"/>
              </w:rPr>
              <w:t xml:space="preserve">Փաստաթղթերը </w:t>
            </w:r>
            <w:r w:rsidR="00C54D75">
              <w:rPr>
                <w:rStyle w:val="Bodytext1811pt"/>
                <w:rFonts w:ascii="Sylfaen" w:hAnsi="Sylfaen"/>
                <w:sz w:val="24"/>
                <w:szCs w:val="24"/>
              </w:rPr>
              <w:t>և</w:t>
            </w:r>
            <w:r w:rsidRPr="003B2786">
              <w:rPr>
                <w:rStyle w:val="Bodytext1811pt"/>
                <w:rFonts w:ascii="Sylfaen" w:hAnsi="Sylfaen"/>
                <w:sz w:val="24"/>
                <w:szCs w:val="24"/>
              </w:rPr>
              <w:t xml:space="preserve"> տվյալները</w:t>
            </w:r>
          </w:p>
        </w:tc>
        <w:tc>
          <w:tcPr>
            <w:tcW w:w="1843" w:type="dxa"/>
            <w:gridSpan w:val="2"/>
            <w:tcBorders>
              <w:top w:val="single" w:sz="4" w:space="0" w:color="auto"/>
              <w:left w:val="single" w:sz="4" w:space="0" w:color="auto"/>
              <w:right w:val="single" w:sz="4" w:space="0" w:color="auto"/>
            </w:tcBorders>
            <w:shd w:val="clear" w:color="auto" w:fill="FFFFFF"/>
          </w:tcPr>
          <w:p w14:paraId="65D482B7" w14:textId="77777777" w:rsidR="008C76E0" w:rsidRPr="003B2786" w:rsidRDefault="008C76E0" w:rsidP="00721A6C">
            <w:pPr>
              <w:pStyle w:val="Bodytext180"/>
              <w:shd w:val="clear" w:color="auto" w:fill="auto"/>
              <w:spacing w:before="0" w:line="240" w:lineRule="auto"/>
              <w:ind w:left="13" w:firstLine="0"/>
              <w:jc w:val="center"/>
              <w:rPr>
                <w:rFonts w:ascii="Sylfaen" w:hAnsi="Sylfaen"/>
                <w:b w:val="0"/>
                <w:sz w:val="24"/>
                <w:szCs w:val="24"/>
              </w:rPr>
            </w:pPr>
            <w:r w:rsidRPr="003B2786">
              <w:rPr>
                <w:rStyle w:val="Bodytext1811pt"/>
                <w:rFonts w:ascii="Sylfaen" w:hAnsi="Sylfaen"/>
                <w:sz w:val="24"/>
                <w:szCs w:val="24"/>
              </w:rPr>
              <w:t>Ընթացակարգը</w:t>
            </w:r>
          </w:p>
        </w:tc>
      </w:tr>
      <w:tr w:rsidR="008C76E0" w:rsidRPr="003B2786" w14:paraId="202BBDB3" w14:textId="77777777" w:rsidTr="004A52D9">
        <w:trPr>
          <w:jc w:val="center"/>
        </w:trPr>
        <w:tc>
          <w:tcPr>
            <w:tcW w:w="4984" w:type="dxa"/>
            <w:gridSpan w:val="4"/>
            <w:tcBorders>
              <w:top w:val="single" w:sz="4" w:space="0" w:color="auto"/>
              <w:left w:val="single" w:sz="4" w:space="0" w:color="auto"/>
              <w:bottom w:val="single" w:sz="4" w:space="0" w:color="auto"/>
            </w:tcBorders>
            <w:shd w:val="clear" w:color="auto" w:fill="FFFFFF"/>
          </w:tcPr>
          <w:p w14:paraId="4DA9E525" w14:textId="77777777" w:rsidR="008C76E0" w:rsidRPr="003B2786" w:rsidRDefault="008C76E0" w:rsidP="00721A6C">
            <w:pPr>
              <w:spacing w:after="0" w:line="240" w:lineRule="auto"/>
              <w:ind w:right="-1"/>
              <w:jc w:val="both"/>
              <w:rPr>
                <w:rFonts w:ascii="Sylfaen" w:hAnsi="Sylfaen"/>
                <w:sz w:val="24"/>
                <w:szCs w:val="24"/>
              </w:rPr>
            </w:pPr>
          </w:p>
        </w:tc>
        <w:tc>
          <w:tcPr>
            <w:tcW w:w="1883" w:type="dxa"/>
            <w:gridSpan w:val="2"/>
            <w:tcBorders>
              <w:top w:val="single" w:sz="4" w:space="0" w:color="auto"/>
              <w:left w:val="single" w:sz="4" w:space="0" w:color="auto"/>
              <w:bottom w:val="single" w:sz="4" w:space="0" w:color="auto"/>
            </w:tcBorders>
            <w:shd w:val="clear" w:color="auto" w:fill="FFFFFF"/>
          </w:tcPr>
          <w:p w14:paraId="09C89157" w14:textId="77777777" w:rsidR="008C76E0" w:rsidRPr="003B2786" w:rsidRDefault="008C76E0" w:rsidP="00721A6C">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984" w:type="dxa"/>
            <w:gridSpan w:val="2"/>
            <w:tcBorders>
              <w:top w:val="single" w:sz="4" w:space="0" w:color="auto"/>
              <w:left w:val="single" w:sz="4" w:space="0" w:color="auto"/>
              <w:bottom w:val="single" w:sz="4" w:space="0" w:color="auto"/>
            </w:tcBorders>
            <w:shd w:val="clear" w:color="auto" w:fill="FFFFFF"/>
          </w:tcPr>
          <w:p w14:paraId="6E7C625C" w14:textId="77777777" w:rsidR="008C76E0" w:rsidRPr="003B2786" w:rsidRDefault="008C76E0" w:rsidP="00721A6C">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4D6669F" w14:textId="77777777" w:rsidR="008C76E0" w:rsidRPr="003B2786" w:rsidRDefault="008C76E0" w:rsidP="00721A6C">
            <w:pPr>
              <w:pStyle w:val="Bodytext180"/>
              <w:shd w:val="clear" w:color="auto" w:fill="auto"/>
              <w:spacing w:before="0" w:line="240" w:lineRule="auto"/>
              <w:ind w:right="-1" w:firstLine="0"/>
              <w:jc w:val="center"/>
              <w:rPr>
                <w:rFonts w:ascii="Sylfaen" w:hAnsi="Sylfaen"/>
                <w:b w:val="0"/>
                <w:sz w:val="24"/>
                <w:szCs w:val="24"/>
              </w:rPr>
            </w:pPr>
            <w:r w:rsidRPr="003B2786">
              <w:rPr>
                <w:rStyle w:val="Bodytext1811pt"/>
                <w:rFonts w:ascii="Sylfaen" w:hAnsi="Sylfaen"/>
                <w:sz w:val="24"/>
                <w:szCs w:val="24"/>
              </w:rPr>
              <w:t>II</w:t>
            </w:r>
          </w:p>
        </w:tc>
      </w:tr>
    </w:tbl>
    <w:p w14:paraId="491950FF" w14:textId="77777777" w:rsidR="008C76E0" w:rsidRDefault="008C76E0" w:rsidP="008C76E0">
      <w:pPr>
        <w:tabs>
          <w:tab w:val="left" w:pos="1418"/>
        </w:tabs>
        <w:ind w:firstLine="567"/>
        <w:jc w:val="center"/>
        <w:rPr>
          <w:rFonts w:ascii="Sylfaen" w:hAnsi="Sylfaen"/>
          <w:sz w:val="24"/>
          <w:szCs w:val="24"/>
          <w:lang w:val="en-US"/>
        </w:rPr>
      </w:pPr>
      <w:r>
        <w:rPr>
          <w:rFonts w:ascii="Sylfaen" w:hAnsi="Sylfaen"/>
          <w:sz w:val="24"/>
          <w:szCs w:val="24"/>
          <w:lang w:val="en-US"/>
        </w:rPr>
        <w:t xml:space="preserve">_____________ </w:t>
      </w:r>
    </w:p>
    <w:p w14:paraId="6B451FB9" w14:textId="77777777" w:rsidR="008C76E0" w:rsidRDefault="008C76E0" w:rsidP="008C76E0">
      <w:pPr>
        <w:tabs>
          <w:tab w:val="left" w:pos="1418"/>
        </w:tabs>
        <w:ind w:firstLine="567"/>
        <w:jc w:val="center"/>
        <w:rPr>
          <w:rFonts w:ascii="Sylfaen" w:hAnsi="Sylfaen"/>
          <w:sz w:val="24"/>
          <w:szCs w:val="24"/>
          <w:lang w:val="en-US"/>
        </w:rPr>
      </w:pPr>
    </w:p>
    <w:p w14:paraId="55DEFB49" w14:textId="77777777" w:rsidR="00F66329" w:rsidRDefault="00F66329" w:rsidP="008C76E0">
      <w:pPr>
        <w:tabs>
          <w:tab w:val="left" w:pos="1418"/>
        </w:tabs>
        <w:ind w:firstLine="567"/>
        <w:jc w:val="center"/>
        <w:rPr>
          <w:rFonts w:ascii="Sylfaen" w:hAnsi="Sylfaen"/>
          <w:sz w:val="24"/>
          <w:szCs w:val="24"/>
          <w:lang w:val="en-US"/>
        </w:rPr>
        <w:sectPr w:rsidR="00F66329" w:rsidSect="00F8005E">
          <w:pgSz w:w="11907" w:h="16839" w:code="9"/>
          <w:pgMar w:top="1418" w:right="1418" w:bottom="1418" w:left="1418" w:header="709" w:footer="709" w:gutter="0"/>
          <w:cols w:space="708"/>
          <w:docGrid w:linePitch="360"/>
        </w:sectPr>
      </w:pPr>
    </w:p>
    <w:p w14:paraId="665AFBC1" w14:textId="77777777" w:rsidR="004F5982" w:rsidRPr="00826F05" w:rsidRDefault="004F5982" w:rsidP="00487007">
      <w:pPr>
        <w:spacing w:after="160" w:line="360" w:lineRule="auto"/>
        <w:ind w:left="3969" w:right="-1"/>
        <w:jc w:val="center"/>
        <w:rPr>
          <w:rFonts w:ascii="Sylfaen" w:eastAsia="Times New Roman" w:hAnsi="Sylfaen" w:cs="Times New Roman"/>
          <w:sz w:val="24"/>
          <w:szCs w:val="24"/>
        </w:rPr>
      </w:pPr>
      <w:r w:rsidRPr="00826F05">
        <w:rPr>
          <w:rFonts w:ascii="Sylfaen" w:hAnsi="Sylfaen"/>
          <w:sz w:val="24"/>
          <w:szCs w:val="24"/>
        </w:rPr>
        <w:lastRenderedPageBreak/>
        <w:t>ՀԱՎԵԼՎԱԾ ԹԻՎ 20</w:t>
      </w:r>
    </w:p>
    <w:p w14:paraId="4B790BF4" w14:textId="77777777" w:rsidR="004F5982" w:rsidRPr="00826F05" w:rsidRDefault="004F5982" w:rsidP="00487007">
      <w:pPr>
        <w:spacing w:after="160" w:line="360" w:lineRule="auto"/>
        <w:ind w:left="3969" w:right="-1"/>
        <w:jc w:val="center"/>
        <w:rPr>
          <w:rFonts w:ascii="Sylfaen" w:eastAsia="Times New Roman" w:hAnsi="Sylfaen" w:cs="Times New Roman"/>
          <w:sz w:val="24"/>
          <w:szCs w:val="24"/>
        </w:rPr>
      </w:pPr>
      <w:r w:rsidRPr="00826F05">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w:t>
      </w:r>
    </w:p>
    <w:p w14:paraId="7DCC7E9B" w14:textId="77777777" w:rsidR="004F5982" w:rsidRPr="00826F05" w:rsidRDefault="004F5982" w:rsidP="00487007">
      <w:pPr>
        <w:spacing w:after="160" w:line="360" w:lineRule="auto"/>
        <w:jc w:val="both"/>
        <w:rPr>
          <w:rFonts w:ascii="Sylfaen" w:hAnsi="Sylfaen"/>
          <w:sz w:val="24"/>
          <w:szCs w:val="24"/>
        </w:rPr>
      </w:pPr>
    </w:p>
    <w:p w14:paraId="292200E3"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F37623">
        <w:rPr>
          <w:rFonts w:ascii="Sylfaen" w:hAnsi="Sylfaen"/>
          <w:b/>
          <w:sz w:val="24"/>
          <w:szCs w:val="24"/>
        </w:rPr>
        <w:t>ԿԱՆՈՆՆԵՐ</w:t>
      </w:r>
    </w:p>
    <w:p w14:paraId="1888D29E" w14:textId="77777777" w:rsidR="004F5982" w:rsidRPr="00826F05" w:rsidRDefault="004F5982" w:rsidP="00487007">
      <w:pPr>
        <w:spacing w:after="160" w:line="360" w:lineRule="auto"/>
        <w:ind w:left="567" w:right="565"/>
        <w:jc w:val="center"/>
        <w:rPr>
          <w:rFonts w:ascii="Sylfaen" w:eastAsia="Times New Roman" w:hAnsi="Sylfaen" w:cs="Times New Roman"/>
          <w:b/>
          <w:sz w:val="24"/>
          <w:szCs w:val="24"/>
        </w:rPr>
      </w:pPr>
      <w:r w:rsidRPr="00826F05">
        <w:rPr>
          <w:rFonts w:ascii="Sylfaen" w:hAnsi="Sylfaen"/>
          <w:b/>
          <w:sz w:val="24"/>
          <w:szCs w:val="24"/>
        </w:rPr>
        <w:t>բժշկական կիրառման գրանցված դեղապատրաստուկի գրանցման դոսյեում փոփոխություններ կատարելիս փորձաքննության անցկացման</w:t>
      </w:r>
    </w:p>
    <w:p w14:paraId="5404BC2F" w14:textId="77777777" w:rsidR="004F5982" w:rsidRPr="00826F05" w:rsidRDefault="004F5982" w:rsidP="00487007">
      <w:pPr>
        <w:spacing w:after="160" w:line="360" w:lineRule="auto"/>
        <w:jc w:val="both"/>
        <w:rPr>
          <w:rFonts w:ascii="Sylfaen" w:hAnsi="Sylfaen"/>
          <w:sz w:val="24"/>
          <w:szCs w:val="24"/>
        </w:rPr>
      </w:pPr>
    </w:p>
    <w:p w14:paraId="54B4272C"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I. Ընդհանուր դրույթներ</w:t>
      </w:r>
    </w:p>
    <w:p w14:paraId="1E4FA37F" w14:textId="77777777" w:rsidR="004F5982" w:rsidRPr="00826F05" w:rsidRDefault="004F5982" w:rsidP="00487007">
      <w:pPr>
        <w:tabs>
          <w:tab w:val="left" w:pos="1134"/>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1.1.</w:t>
      </w:r>
      <w:r w:rsidRPr="00826F05">
        <w:rPr>
          <w:rFonts w:ascii="Sylfaen" w:hAnsi="Sylfaen"/>
          <w:sz w:val="24"/>
          <w:szCs w:val="24"/>
        </w:rPr>
        <w:tab/>
      </w:r>
      <w:r w:rsidRPr="0085124A">
        <w:rPr>
          <w:rFonts w:ascii="Sylfaen" w:hAnsi="Sylfaen"/>
          <w:spacing w:val="-6"/>
          <w:sz w:val="24"/>
          <w:szCs w:val="24"/>
        </w:rPr>
        <w:t xml:space="preserve">Սույն կանոնները կանոնակարգում են Եվրասիական տնտեսական հանձնաժողովի կողմից հաստատվող՝ Բժշկական կիրառման դեղամիջոցների գրանցման </w:t>
      </w:r>
      <w:r w:rsidR="00C54D75">
        <w:rPr>
          <w:rFonts w:ascii="Sylfaen" w:hAnsi="Sylfaen"/>
          <w:spacing w:val="-6"/>
          <w:sz w:val="24"/>
          <w:szCs w:val="24"/>
        </w:rPr>
        <w:t>և</w:t>
      </w:r>
      <w:r w:rsidRPr="0085124A">
        <w:rPr>
          <w:rFonts w:ascii="Sylfaen" w:hAnsi="Sylfaen"/>
          <w:spacing w:val="-6"/>
          <w:sz w:val="24"/>
          <w:szCs w:val="24"/>
        </w:rPr>
        <w:t xml:space="preserve"> փորձաքննության կանոնների թիվ 19 հավելվածի</w:t>
      </w:r>
      <w:r w:rsidRPr="00826F05">
        <w:rPr>
          <w:rFonts w:ascii="Sylfaen" w:hAnsi="Sylfaen"/>
          <w:sz w:val="24"/>
          <w:szCs w:val="24"/>
        </w:rPr>
        <w:t xml:space="preserve"> 1.1.3-1.1.5 կետերում նշված՝ բժշկական կիրառման դեղապատրաստուկների գրանցման դոսյեում փոփոխություններ կատարելու փորձաքննության կանոնները (այսուհետ՝</w:t>
      </w:r>
      <w:r w:rsidRPr="0085124A">
        <w:rPr>
          <w:rFonts w:ascii="Sylfaen" w:hAnsi="Sylfaen"/>
          <w:sz w:val="24"/>
          <w:szCs w:val="24"/>
        </w:rPr>
        <w:t> </w:t>
      </w:r>
      <w:r w:rsidRPr="00826F05">
        <w:rPr>
          <w:rFonts w:ascii="Sylfaen" w:hAnsi="Sylfaen"/>
          <w:sz w:val="24"/>
          <w:szCs w:val="24"/>
        </w:rPr>
        <w:t xml:space="preserve">Դեղամիջոցների գրանցման կանոններ) վարչական ընթացակարգերը նկարագրելու մասով </w:t>
      </w:r>
      <w:r w:rsidR="00C54D75">
        <w:rPr>
          <w:rFonts w:ascii="Sylfaen" w:hAnsi="Sylfaen"/>
          <w:sz w:val="24"/>
          <w:szCs w:val="24"/>
        </w:rPr>
        <w:t>և</w:t>
      </w:r>
      <w:r w:rsidRPr="00826F05">
        <w:rPr>
          <w:rFonts w:ascii="Sylfaen" w:hAnsi="Sylfaen"/>
          <w:sz w:val="24"/>
          <w:szCs w:val="24"/>
        </w:rPr>
        <w:t xml:space="preserve"> պետք է դիտարկվեն Դեղամիջոցների գրանցման կանոնների թիվ 19 հավելվածի դրույթների հետ միասին:</w:t>
      </w:r>
    </w:p>
    <w:p w14:paraId="703FF0D0" w14:textId="77777777" w:rsidR="004F5982" w:rsidRPr="00826F05" w:rsidRDefault="004F5982" w:rsidP="00487007">
      <w:pPr>
        <w:tabs>
          <w:tab w:val="left" w:pos="1134"/>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1.2.</w:t>
      </w:r>
      <w:r w:rsidRPr="00826F05">
        <w:rPr>
          <w:rFonts w:ascii="Sylfaen" w:hAnsi="Sylfaen"/>
          <w:sz w:val="24"/>
          <w:szCs w:val="24"/>
        </w:rPr>
        <w:tab/>
      </w:r>
      <w:r w:rsidRPr="0085124A">
        <w:rPr>
          <w:rFonts w:ascii="Sylfaen" w:hAnsi="Sylfaen"/>
          <w:spacing w:val="-6"/>
          <w:sz w:val="24"/>
          <w:szCs w:val="24"/>
        </w:rPr>
        <w:t>Սույն հավելվածում օգտագործվող սահմանումները պարունակվում</w:t>
      </w:r>
      <w:r w:rsidRPr="00826F05">
        <w:rPr>
          <w:rFonts w:ascii="Sylfaen" w:hAnsi="Sylfaen"/>
          <w:sz w:val="24"/>
          <w:szCs w:val="24"/>
        </w:rPr>
        <w:t xml:space="preserve"> են Եվրասիական տնտեսական միության (այսուհետ՝ Միություն) փաստաթղթերում, որոնցով կանոնակարգում են Միությունում դեղամիջոցների շրջանառությունը:</w:t>
      </w:r>
    </w:p>
    <w:p w14:paraId="600645CF" w14:textId="77777777" w:rsidR="004F5982" w:rsidRPr="00826F05" w:rsidRDefault="004F5982" w:rsidP="00487007">
      <w:pPr>
        <w:tabs>
          <w:tab w:val="left" w:pos="1134"/>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1.3.</w:t>
      </w:r>
      <w:r w:rsidRPr="00826F05">
        <w:rPr>
          <w:rFonts w:ascii="Sylfaen" w:hAnsi="Sylfaen"/>
          <w:sz w:val="24"/>
          <w:szCs w:val="24"/>
        </w:rPr>
        <w:tab/>
        <w:t>Սույն հավելվածում «Միության գրանցված անդամ պետության» նշումը, Դեղամիջոցների գրանցման կանոնների թիվ 19 հավելվածի 1.2.6 կետի համաձայն, հարկ է դիտարկել որպես Միության յուրաքանչյուր անդամ պետություն (այսուհետ՝ անդամ պետություն), որի լիազորված մարմինը գրանցել է դիտարկվող դեղապատրաստուկը: «Շահագրգիռ անդամ պետությունների» նշումը հարկ է դիտարկել որպես բոլոր շահագրգիռ անդամ պետություններ:</w:t>
      </w:r>
    </w:p>
    <w:p w14:paraId="6BB105EA"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 xml:space="preserve">II. Վարչական ընթացակարգերը </w:t>
      </w:r>
      <w:r w:rsidRPr="00826F05">
        <w:rPr>
          <w:rFonts w:ascii="Sylfaen" w:hAnsi="Sylfaen"/>
          <w:sz w:val="24"/>
          <w:szCs w:val="24"/>
        </w:rPr>
        <w:br/>
        <w:t>փոփոխություններն ուսումնասիրելիս</w:t>
      </w:r>
    </w:p>
    <w:p w14:paraId="013CDB8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Դեղապատրաստուկի գրանցման դոսյեն պարունակում է պայմաններ, որոնց հիման վրա թույլ է տրվում դեղապատրաստուկի բժշկական կիրառումը </w:t>
      </w:r>
      <w:r w:rsidR="00C54D75">
        <w:rPr>
          <w:rFonts w:ascii="Sylfaen" w:hAnsi="Sylfaen"/>
          <w:sz w:val="24"/>
          <w:szCs w:val="24"/>
        </w:rPr>
        <w:t>և</w:t>
      </w:r>
      <w:r w:rsidRPr="00826F05">
        <w:rPr>
          <w:rFonts w:ascii="Sylfaen" w:hAnsi="Sylfaen"/>
          <w:sz w:val="24"/>
          <w:szCs w:val="24"/>
        </w:rPr>
        <w:t xml:space="preserve"> Միության տարածքում շրջանառությունը: Դեղապատրաստուկի գրանցման դոսյեն ներառում է՝</w:t>
      </w:r>
    </w:p>
    <w:p w14:paraId="16BF2EF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դեղապատրաստուկի գրանցման մասին անդամ պետության լիազորված մարմնի որոշումը,</w:t>
      </w:r>
    </w:p>
    <w:p w14:paraId="3F78F6B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 հավելվածին համապատասխան՝ հայտատուի կողմից անդամ պետության լիազորված մարմին (փորձագիտական կազմակերպություն) ներկայացված փաստաթղթերն ու տվյալները:</w:t>
      </w:r>
    </w:p>
    <w:p w14:paraId="1E9ED3E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հավելվածով սահմանվում են գրանցման պայմանների փոփոխությանը </w:t>
      </w:r>
      <w:r w:rsidR="00C54D75">
        <w:rPr>
          <w:rFonts w:ascii="Sylfaen" w:hAnsi="Sylfaen"/>
          <w:sz w:val="24"/>
          <w:szCs w:val="24"/>
        </w:rPr>
        <w:t>և</w:t>
      </w:r>
      <w:r w:rsidRPr="00826F05">
        <w:rPr>
          <w:rFonts w:ascii="Sylfaen" w:hAnsi="Sylfaen"/>
          <w:sz w:val="24"/>
          <w:szCs w:val="24"/>
        </w:rPr>
        <w:t xml:space="preserve"> գրանցման դոսյեի բովանդակությանը ներկայացվող պահանջներ:</w:t>
      </w:r>
    </w:p>
    <w:p w14:paraId="4E33B38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Սույն կանոններն ընդգրկում են Դեղամիջոցների գրանցման կանոնների թիվ</w:t>
      </w:r>
      <w:r w:rsidRPr="0085124A">
        <w:rPr>
          <w:rFonts w:ascii="Sylfaen" w:hAnsi="Sylfaen"/>
          <w:sz w:val="24"/>
          <w:szCs w:val="24"/>
        </w:rPr>
        <w:t> </w:t>
      </w:r>
      <w:r w:rsidRPr="00826F05">
        <w:rPr>
          <w:rFonts w:ascii="Sylfaen" w:hAnsi="Sylfaen"/>
          <w:sz w:val="24"/>
          <w:szCs w:val="24"/>
        </w:rPr>
        <w:t>19 հավելվածի 1.3 բաժնում սահմանված՝ փոփոխությունների հետ</w:t>
      </w:r>
      <w:r w:rsidR="00C54D75">
        <w:rPr>
          <w:rFonts w:ascii="Sylfaen" w:hAnsi="Sylfaen"/>
          <w:sz w:val="24"/>
          <w:szCs w:val="24"/>
        </w:rPr>
        <w:t>և</w:t>
      </w:r>
      <w:r w:rsidRPr="00826F05">
        <w:rPr>
          <w:rFonts w:ascii="Sylfaen" w:hAnsi="Sylfaen"/>
          <w:sz w:val="24"/>
          <w:szCs w:val="24"/>
        </w:rPr>
        <w:t>յալ կատեգորիաները՝</w:t>
      </w:r>
    </w:p>
    <w:p w14:paraId="307B6337"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 xml:space="preserve">IA տիպի ոչ էական փոփոխություններ, </w:t>
      </w:r>
    </w:p>
    <w:p w14:paraId="089A03A9"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 xml:space="preserve">IB տիպի ոչ էական փոփոխություններ, </w:t>
      </w:r>
    </w:p>
    <w:p w14:paraId="178B133C"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 xml:space="preserve">II տիպի էական փոփոխություններ, </w:t>
      </w:r>
    </w:p>
    <w:p w14:paraId="4D6D980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ընդլայնում,</w:t>
      </w:r>
    </w:p>
    <w:p w14:paraId="006EE77E"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անվտանգության նկատառումներով անհետաձգելի սահմանափակում:</w:t>
      </w:r>
    </w:p>
    <w:p w14:paraId="39B38C2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Գրանցման հավաստագրերի իրավատերերն իրավունք ունեն դիմելու ռեֆերենտ պետության լիազորված մարմին (փորձագիտական կազմակերպություն)՝ փոփոխությունների դասակարգման առաջարկության կամ </w:t>
      </w:r>
      <w:r w:rsidRPr="00826F05">
        <w:rPr>
          <w:rFonts w:ascii="Sylfaen" w:hAnsi="Sylfaen"/>
          <w:sz w:val="24"/>
          <w:szCs w:val="24"/>
        </w:rPr>
        <w:lastRenderedPageBreak/>
        <w:t xml:space="preserve">գրանցման դոսյեում փոփոխությունների փորձաքննության հետ կապված այլ հարցերի վերաբերյալ խորհրդատվություն ստանալու համար: Անհրաժեշտության դեպքում լիազորված մարմնի (փորձագիտական կազմակերպության) կողմից առավել մանրամասն կարգավորիչ կամ ընթացակարգային առաջարկություն ստանալու նպատակով փոփոխությունը ներկայացնելուց առաջ կարող է քննարկում կազմակերպվել ռեֆերենտ պետության </w:t>
      </w:r>
      <w:r w:rsidR="00C54D75">
        <w:rPr>
          <w:rFonts w:ascii="Sylfaen" w:hAnsi="Sylfaen"/>
          <w:sz w:val="24"/>
          <w:szCs w:val="24"/>
        </w:rPr>
        <w:t>և</w:t>
      </w:r>
      <w:r w:rsidRPr="00826F05">
        <w:rPr>
          <w:rFonts w:ascii="Sylfaen" w:hAnsi="Sylfaen"/>
          <w:sz w:val="24"/>
          <w:szCs w:val="24"/>
        </w:rPr>
        <w:t xml:space="preserve"> (կամ) ճանաչման պետության լիազորված մարմնի (փորձագիտական կազմակերպության) հետ:</w:t>
      </w:r>
    </w:p>
    <w:p w14:paraId="3814F45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հավաստագրի իրավատերը համապատասխան մարմնի հարցման հիման վրա պետք է անհապաղ ներկայացնի որոշակի փոփոխություն իրականացնելուն վերաբերող ցանկացած տեղեկատվություն:</w:t>
      </w:r>
    </w:p>
    <w:p w14:paraId="16EF4F35" w14:textId="77777777" w:rsidR="004F5982" w:rsidRPr="00826F05" w:rsidRDefault="004F5982" w:rsidP="00487007">
      <w:pPr>
        <w:tabs>
          <w:tab w:val="left" w:pos="1134"/>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2.1.</w:t>
      </w:r>
      <w:r w:rsidRPr="00826F05">
        <w:rPr>
          <w:rFonts w:ascii="Sylfaen" w:hAnsi="Sylfaen"/>
          <w:sz w:val="24"/>
          <w:szCs w:val="24"/>
        </w:rPr>
        <w:tab/>
        <w:t>IA տիպի ոչ էական փոփոխությունները:</w:t>
      </w:r>
    </w:p>
    <w:p w14:paraId="75BE594D" w14:textId="77777777" w:rsidR="004F5982" w:rsidRPr="00826F05" w:rsidRDefault="004F5982" w:rsidP="00487007">
      <w:pPr>
        <w:spacing w:after="160" w:line="384" w:lineRule="auto"/>
        <w:ind w:right="-23" w:firstLine="567"/>
        <w:jc w:val="both"/>
        <w:rPr>
          <w:rFonts w:ascii="Sylfaen" w:eastAsia="Times New Roman" w:hAnsi="Sylfaen" w:cs="Times New Roman"/>
          <w:sz w:val="24"/>
          <w:szCs w:val="24"/>
        </w:rPr>
      </w:pPr>
      <w:r w:rsidRPr="0085124A">
        <w:rPr>
          <w:rFonts w:ascii="Sylfaen" w:hAnsi="Sylfaen"/>
          <w:spacing w:val="-6"/>
          <w:sz w:val="24"/>
          <w:szCs w:val="24"/>
        </w:rPr>
        <w:t xml:space="preserve">Սույնով բերվում են IA տիպի ոչ էական փոփոխությունների մասով Դեղամիջոցների գրանցման կանոնների թիվ 19 հավելվածի </w:t>
      </w:r>
      <w:r w:rsidRPr="00826F05">
        <w:rPr>
          <w:rFonts w:ascii="Sylfaen" w:hAnsi="Sylfaen"/>
          <w:sz w:val="24"/>
          <w:szCs w:val="24"/>
        </w:rPr>
        <w:t xml:space="preserve">1.7, 2.1, 2.4, 3.1, 3.4, 3.5 կետերի, 4.2.1 </w:t>
      </w:r>
      <w:r w:rsidR="00C54D75">
        <w:rPr>
          <w:rFonts w:ascii="Sylfaen" w:hAnsi="Sylfaen"/>
          <w:sz w:val="24"/>
          <w:szCs w:val="24"/>
        </w:rPr>
        <w:t>և</w:t>
      </w:r>
      <w:r w:rsidRPr="00826F05">
        <w:rPr>
          <w:rFonts w:ascii="Sylfaen" w:hAnsi="Sylfaen"/>
          <w:sz w:val="24"/>
          <w:szCs w:val="24"/>
        </w:rPr>
        <w:t xml:space="preserve"> 4.2.2 ենթակետերի կիրառման վերաբերյալ դրույթները: Դեղամիջոցների գրանցման կանոնների թիվ 19 հավելվածը պարունակում է այն փոփոխությունների ցանկը, որոնք պետք է դիտարկել որպես IA տիպի ոչ էական փոփոխություններ: Նման ոչ էական փոփոխությունների համար նախնական հաստատում չի պահանջվում (բացառությամբ դեղապատրաստուկի մասին տեղեկատվության վերանայման հանգեցնող փոփոխությունների՝ համաձայն Դեղամիջոցների գրանցման կանոնների թիվ 19 հավելվածի 1.6 կետի, որոնց մասով փոփոխություններ կատարելու համապատասխան հայտն անհրաժեշտ է ներկայացնել մինչ</w:t>
      </w:r>
      <w:r w:rsidR="00C54D75">
        <w:rPr>
          <w:rFonts w:ascii="Sylfaen" w:hAnsi="Sylfaen"/>
          <w:sz w:val="24"/>
          <w:szCs w:val="24"/>
        </w:rPr>
        <w:t>և</w:t>
      </w:r>
      <w:r w:rsidRPr="00826F05">
        <w:rPr>
          <w:rFonts w:ascii="Sylfaen" w:hAnsi="Sylfaen"/>
          <w:sz w:val="24"/>
          <w:szCs w:val="24"/>
        </w:rPr>
        <w:t xml:space="preserve"> փոփոխություն իրականացնելը), բայց իրավատերը պետք է դրանց մասին ծանուցի իրականացման օրվանից սկսված՝ 365 օրացուցային օրվա ընթացքում (12 ամիս) («կատարիր </w:t>
      </w:r>
      <w:r w:rsidR="00C54D75">
        <w:rPr>
          <w:rFonts w:ascii="Sylfaen" w:hAnsi="Sylfaen"/>
          <w:sz w:val="24"/>
          <w:szCs w:val="24"/>
        </w:rPr>
        <w:t>և</w:t>
      </w:r>
      <w:r w:rsidRPr="00826F05">
        <w:rPr>
          <w:rFonts w:ascii="Sylfaen" w:hAnsi="Sylfaen"/>
          <w:sz w:val="24"/>
          <w:szCs w:val="24"/>
        </w:rPr>
        <w:t xml:space="preserve"> պատմիր» ընթացակարգ): Սակայն դեղապատրաստուկի անընդհատ վերահսկողությունն ապահովելու նպատակով IA տիպի որոշ ոչ էական փոփոխությունների համար դրանք իրականացնելուց հետո պահանջվում է անհապաղ ծանուցում:</w:t>
      </w:r>
    </w:p>
    <w:p w14:paraId="2274CFE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Դեղամիջոցների գրանցման կանոնների թիվ 19 հավելվածի V լրացման մեջ նկարագրված են հայտատուի կողմից ներկայացվող փաստաթղթերի </w:t>
      </w:r>
      <w:r w:rsidR="00C54D75">
        <w:rPr>
          <w:rFonts w:ascii="Sylfaen" w:hAnsi="Sylfaen"/>
          <w:sz w:val="24"/>
          <w:szCs w:val="24"/>
        </w:rPr>
        <w:t>և</w:t>
      </w:r>
      <w:r w:rsidRPr="00826F05">
        <w:rPr>
          <w:rFonts w:ascii="Sylfaen" w:hAnsi="Sylfaen"/>
          <w:sz w:val="24"/>
          <w:szCs w:val="24"/>
        </w:rPr>
        <w:t xml:space="preserve"> տվյալների նկատմամբ պահանջները </w:t>
      </w:r>
      <w:r w:rsidR="00C54D75">
        <w:rPr>
          <w:rFonts w:ascii="Sylfaen" w:hAnsi="Sylfaen"/>
          <w:sz w:val="24"/>
          <w:szCs w:val="24"/>
        </w:rPr>
        <w:t>և</w:t>
      </w:r>
      <w:r w:rsidRPr="00826F05">
        <w:rPr>
          <w:rFonts w:ascii="Sylfaen" w:hAnsi="Sylfaen"/>
          <w:sz w:val="24"/>
          <w:szCs w:val="24"/>
        </w:rPr>
        <w:t xml:space="preserve"> այն պայմանները, որոնք անհրաժեշտ է պահպանել, որպեսզի փոփոխությունը ենթարկվի IA տիպի ոչ էական փոփոխությունների ծանուցման ընթացակարգին, որոնց համար դրանք իրականացնելուց հետո պահանջվում է անհապաղ ծանուցում: </w:t>
      </w:r>
    </w:p>
    <w:p w14:paraId="76582D79" w14:textId="77777777" w:rsidR="004F5982" w:rsidRPr="00826F05" w:rsidRDefault="004F5982" w:rsidP="00487007">
      <w:pPr>
        <w:tabs>
          <w:tab w:val="left" w:pos="1701"/>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2.1.1.</w:t>
      </w:r>
      <w:r w:rsidRPr="00826F05">
        <w:rPr>
          <w:rFonts w:ascii="Sylfaen" w:hAnsi="Sylfaen"/>
          <w:sz w:val="24"/>
          <w:szCs w:val="24"/>
        </w:rPr>
        <w:tab/>
        <w:t>IA տիպի ոչ էական փոփոխություններ կատարելու մասին ծանուցելու ընթացակարգը:</w:t>
      </w:r>
    </w:p>
    <w:p w14:paraId="2FD57E6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IA տիպի ոչ էական փոփոխությունների համար լիազորված մարմինների (փորձագիտական կազմակերպությունների) կողմից նախնական հաստատում չի պահանջվում նախքան գրանցման հավաստագրի իրավատիրոջ կողմից դրանց իրականացումը՝ բացառությամբ այն փոփոխությունների, որոնք հանգեցնում են դեղապատրաստուկի մասին տեղեկատվության վերանայման՝ Դեղամիջոցների գրանցման կանոնների թիվ 19 հավելվածի 1.6 կետի համաձայն, որոնց մասով փոփոխություններ կատարելու համապատասխան հայտն անհրաժեշտ է ներկայացնել մինչ</w:t>
      </w:r>
      <w:r w:rsidR="00C54D75">
        <w:rPr>
          <w:rFonts w:ascii="Sylfaen" w:hAnsi="Sylfaen"/>
          <w:sz w:val="24"/>
          <w:szCs w:val="24"/>
        </w:rPr>
        <w:t>և</w:t>
      </w:r>
      <w:r w:rsidRPr="00826F05">
        <w:rPr>
          <w:rFonts w:ascii="Sylfaen" w:hAnsi="Sylfaen"/>
          <w:sz w:val="24"/>
          <w:szCs w:val="24"/>
        </w:rPr>
        <w:t xml:space="preserve"> փոփոխությունն իրականացնելը:</w:t>
      </w:r>
    </w:p>
    <w:p w14:paraId="2C5E4028"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Ընդհանուր կանոնի համաձայն՝ փոփոխությունն իրականացնելու օրվանից սկսած 365 օրացուցային օրից (12 ամիս) ոչ ուշ հայտատուն պետք է ռեֆերենտ պետության լիազորված մարմին (փորձագիտական կազմակերպություն) ներկայացնի փոփոխությունների դոսյե (ծանուցում), որը պարունակում է Դեղամիջոցների գրանցման կանոնների թիվ 19 հավելվածի IV լրացման մեջ թվարկված տարրերը: Դեղապատրաստուկի մասին տեղեկատվության վերանայմանը հանգեցնող փոփոխություններ կատարելու վերաբերյալ հայտը, համաձայն Դեղամիջոցների գրանցման կանոնների թիվ 19 հավելվածի 1.6 կետի, անհրաժեշտ է ներկայացնել մինչ փոփոխություններն իրականացնելը:</w:t>
      </w:r>
    </w:p>
    <w:p w14:paraId="36D00E1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Հայտատուն իրավունք ունի անհապաղ ծանուցմամբ IA տիպի ոչ էական փոփոխության մասին փաստաթղթեր ներկայացնելիս ներառելու IA տիպի ոչ էական փոփոխություն, որը ենթակա չէ անհապաղ ծանուցման, կամ ցանկացած այլ փոփոխություն:</w:t>
      </w:r>
    </w:p>
    <w:p w14:paraId="66B9F7E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Անհրաժեշտ է պահպանել Դեղամիջոցների գրանցման կանոնների թիվ</w:t>
      </w:r>
      <w:r w:rsidRPr="0085124A">
        <w:rPr>
          <w:rFonts w:ascii="Sylfaen" w:hAnsi="Sylfaen"/>
          <w:sz w:val="24"/>
          <w:szCs w:val="24"/>
        </w:rPr>
        <w:t> </w:t>
      </w:r>
      <w:r w:rsidRPr="00826F05">
        <w:rPr>
          <w:rFonts w:ascii="Sylfaen" w:hAnsi="Sylfaen"/>
          <w:sz w:val="24"/>
          <w:szCs w:val="24"/>
        </w:rPr>
        <w:t>19</w:t>
      </w:r>
      <w:r w:rsidRPr="0085124A">
        <w:rPr>
          <w:rFonts w:ascii="Sylfaen" w:hAnsi="Sylfaen"/>
          <w:sz w:val="24"/>
          <w:szCs w:val="24"/>
        </w:rPr>
        <w:t> </w:t>
      </w:r>
      <w:r w:rsidRPr="00826F05">
        <w:rPr>
          <w:rFonts w:ascii="Sylfaen" w:hAnsi="Sylfaen"/>
          <w:sz w:val="24"/>
          <w:szCs w:val="24"/>
        </w:rPr>
        <w:t xml:space="preserve">հավելվածի 1.7.2 </w:t>
      </w:r>
      <w:r w:rsidR="00C54D75">
        <w:rPr>
          <w:rFonts w:ascii="Sylfaen" w:hAnsi="Sylfaen"/>
          <w:sz w:val="24"/>
          <w:szCs w:val="24"/>
        </w:rPr>
        <w:t>և</w:t>
      </w:r>
      <w:r w:rsidRPr="00826F05">
        <w:rPr>
          <w:rFonts w:ascii="Sylfaen" w:hAnsi="Sylfaen"/>
          <w:sz w:val="24"/>
          <w:szCs w:val="24"/>
        </w:rPr>
        <w:t xml:space="preserve"> 3.4.2 կետերով նախատեսված համապատասխան պայմանները:</w:t>
      </w:r>
    </w:p>
    <w:p w14:paraId="07682772"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1.7.2 կետին </w:t>
      </w:r>
      <w:r w:rsidR="00C54D75">
        <w:rPr>
          <w:rFonts w:ascii="Sylfaen" w:hAnsi="Sylfaen"/>
          <w:sz w:val="24"/>
          <w:szCs w:val="24"/>
        </w:rPr>
        <w:t>և</w:t>
      </w:r>
      <w:r w:rsidRPr="00826F05">
        <w:rPr>
          <w:rFonts w:ascii="Sylfaen" w:hAnsi="Sylfaen"/>
          <w:sz w:val="24"/>
          <w:szCs w:val="24"/>
        </w:rPr>
        <w:t xml:space="preserve"> 3.4.2 կետին համապատասխան հայտատուն իրավունք ունի մեկ ծանուցման մեջ խմբավորելու մի քանի IA տիպի ոչ էական փոփոխություններ: Դրա համար նախատեսված է IA տիպի փոփոխությունների խմբավորման 2 հնարավորություն՝ </w:t>
      </w:r>
    </w:p>
    <w:p w14:paraId="41BE01AD" w14:textId="77777777" w:rsidR="004F5982" w:rsidRPr="00826F05" w:rsidRDefault="004F5982" w:rsidP="00487007">
      <w:pPr>
        <w:tabs>
          <w:tab w:val="left" w:pos="1134"/>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ա)</w:t>
      </w:r>
      <w:r w:rsidRPr="00826F05">
        <w:rPr>
          <w:rFonts w:ascii="Sylfaen" w:hAnsi="Sylfaen"/>
          <w:sz w:val="24"/>
          <w:szCs w:val="24"/>
        </w:rPr>
        <w:tab/>
        <w:t>հայտատուն իրավունք ունի խմբավորելու մեկ գրանցման դոսյեի մի քանի IA տիպի ոչ էական փոփոխություններ, եթե դրանց մասին ծանուցումը մի</w:t>
      </w:r>
      <w:r w:rsidR="00C54D75">
        <w:rPr>
          <w:rFonts w:ascii="Sylfaen" w:hAnsi="Sylfaen"/>
          <w:sz w:val="24"/>
          <w:szCs w:val="24"/>
        </w:rPr>
        <w:t>և</w:t>
      </w:r>
      <w:r w:rsidRPr="00826F05">
        <w:rPr>
          <w:rFonts w:ascii="Sylfaen" w:hAnsi="Sylfaen"/>
          <w:sz w:val="24"/>
          <w:szCs w:val="24"/>
        </w:rPr>
        <w:t>նույն լիազորված մարմնին (փորձագիտական կազմակերպությանը) կատարվում է միաժամանակ:</w:t>
      </w:r>
    </w:p>
    <w:p w14:paraId="31532BB5" w14:textId="77777777" w:rsidR="004F5982" w:rsidRPr="00826F05" w:rsidRDefault="004F5982" w:rsidP="00487007">
      <w:pPr>
        <w:tabs>
          <w:tab w:val="left" w:pos="1134"/>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բ)</w:t>
      </w:r>
      <w:r w:rsidRPr="00826F05">
        <w:rPr>
          <w:rFonts w:ascii="Sylfaen" w:hAnsi="Sylfaen"/>
          <w:sz w:val="24"/>
          <w:szCs w:val="24"/>
        </w:rPr>
        <w:tab/>
        <w:t>հայտատուն իրավունք ունի մեկ կամ ավելի IA տիպի ոչ էական փոփոխություններ խմբավորելու մի քանի գրանցման դոսյեներում մեկ ծանուցման շրջանակում, եթե դիտարկվող բոլոր գրանցման դոսյեներում փոփոխությունները նույնն են, իսկ դրանց մասին ծանուցումը մի</w:t>
      </w:r>
      <w:r w:rsidR="00C54D75">
        <w:rPr>
          <w:rFonts w:ascii="Sylfaen" w:hAnsi="Sylfaen"/>
          <w:sz w:val="24"/>
          <w:szCs w:val="24"/>
        </w:rPr>
        <w:t>և</w:t>
      </w:r>
      <w:r w:rsidRPr="00826F05">
        <w:rPr>
          <w:rFonts w:ascii="Sylfaen" w:hAnsi="Sylfaen"/>
          <w:sz w:val="24"/>
          <w:szCs w:val="24"/>
        </w:rPr>
        <w:t xml:space="preserve">նույն լիազորված մարմնին (փորձագիտական կազմակերպությանը) կատարվում է միաժամանակ: </w:t>
      </w:r>
    </w:p>
    <w:p w14:paraId="5EC07AC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C65CD2">
        <w:rPr>
          <w:rFonts w:ascii="Sylfaen" w:hAnsi="Sylfaen"/>
          <w:spacing w:val="-6"/>
          <w:sz w:val="24"/>
          <w:szCs w:val="24"/>
        </w:rPr>
        <w:t>IA տիպի ոչ էական փոփոխությունների մասին ծանուցման 365-օրյա</w:t>
      </w:r>
      <w:r w:rsidRPr="00826F05">
        <w:rPr>
          <w:rFonts w:ascii="Sylfaen" w:hAnsi="Sylfaen"/>
          <w:sz w:val="24"/>
          <w:szCs w:val="24"/>
        </w:rPr>
        <w:t xml:space="preserve"> (12-ամսյա) սահմանային ժամկետը գրանցման հավաստագրերի իրավատերերին թույլ է տալիս 1 տարվա ընթացքում կուտակել իրենց դեղապատրաստուկների հետ կապված IA տիպի փոփոխությունները: Սակայն փաստաթղթերի մեկանգամյա ներկայացման շրջանակներում այդ փոփոխությունների մասին ծանուցումը հնարավոր է միայն խմբավորման պայմանների պահպանմամբ (դիտարկվող բոլոր դեղապատրաստուկներում մի</w:t>
      </w:r>
      <w:r w:rsidR="00C54D75">
        <w:rPr>
          <w:rFonts w:ascii="Sylfaen" w:hAnsi="Sylfaen"/>
          <w:sz w:val="24"/>
          <w:szCs w:val="24"/>
        </w:rPr>
        <w:t>և</w:t>
      </w:r>
      <w:r w:rsidRPr="00826F05">
        <w:rPr>
          <w:rFonts w:ascii="Sylfaen" w:hAnsi="Sylfaen"/>
          <w:sz w:val="24"/>
          <w:szCs w:val="24"/>
        </w:rPr>
        <w:t>նույն փոփոխությունները):</w:t>
      </w:r>
    </w:p>
    <w:p w14:paraId="1932C45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Դրա առնչությամբ հնարավոր է, որ 365 օրացուցային օրվա (12 ամիս) ընթացքում իրականացված փոփոխությունների (այսպես կոչված՝ «ամենամյա հաշվետվություն») մասին ծանուցման համար պահանջվի փաստաթղթերի ներկայացում մի քանի անգամ, օրինակ՝ մեկը՝ IA տիպի մեկ ոչ էական փոփոխության մասով, մյուսը՝ մեկ գրանցման դոսյեում IA տիպի ոչ էական </w:t>
      </w:r>
      <w:r w:rsidRPr="00826F05">
        <w:rPr>
          <w:rFonts w:ascii="Sylfaen" w:hAnsi="Sylfaen"/>
          <w:sz w:val="24"/>
          <w:szCs w:val="24"/>
        </w:rPr>
        <w:lastRenderedPageBreak/>
        <w:t xml:space="preserve">փոփոխությունների խմբի մասով, </w:t>
      </w:r>
      <w:r w:rsidR="00C54D75">
        <w:rPr>
          <w:rFonts w:ascii="Sylfaen" w:hAnsi="Sylfaen"/>
          <w:sz w:val="24"/>
          <w:szCs w:val="24"/>
        </w:rPr>
        <w:t>և</w:t>
      </w:r>
      <w:r w:rsidRPr="00826F05">
        <w:rPr>
          <w:rFonts w:ascii="Sylfaen" w:hAnsi="Sylfaen"/>
          <w:sz w:val="24"/>
          <w:szCs w:val="24"/>
        </w:rPr>
        <w:t xml:space="preserve"> </w:t>
      </w:r>
      <w:r w:rsidR="00C54D75">
        <w:rPr>
          <w:rFonts w:ascii="Sylfaen" w:hAnsi="Sylfaen"/>
          <w:sz w:val="24"/>
          <w:szCs w:val="24"/>
        </w:rPr>
        <w:t>և</w:t>
      </w:r>
      <w:r w:rsidRPr="00826F05">
        <w:rPr>
          <w:rFonts w:ascii="Sylfaen" w:hAnsi="Sylfaen"/>
          <w:sz w:val="24"/>
          <w:szCs w:val="24"/>
        </w:rPr>
        <w:t>ս մեկը՝ մի քանի գրանցման դոսյեներում IA</w:t>
      </w:r>
      <w:r w:rsidRPr="00C65CD2">
        <w:rPr>
          <w:rFonts w:ascii="Sylfaen" w:hAnsi="Sylfaen"/>
          <w:sz w:val="24"/>
          <w:szCs w:val="24"/>
        </w:rPr>
        <w:t> </w:t>
      </w:r>
      <w:r w:rsidRPr="00826F05">
        <w:rPr>
          <w:rFonts w:ascii="Sylfaen" w:hAnsi="Sylfaen"/>
          <w:sz w:val="24"/>
          <w:szCs w:val="24"/>
        </w:rPr>
        <w:t>տիպի ոչ էական փոփոխությունների խմբի մասով:</w:t>
      </w:r>
    </w:p>
    <w:p w14:paraId="4BA3F3B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Փոփոխություններ կատարելու մասին ծանուցումը պետք է պարունակի Դեղամիջոցների գրանցման կանոնների թիվ 19 հավելվածի IV լրացման մեջ նշված փաստաթղթերը </w:t>
      </w:r>
      <w:r w:rsidR="00C54D75">
        <w:rPr>
          <w:rFonts w:ascii="Sylfaen" w:hAnsi="Sylfaen"/>
          <w:sz w:val="24"/>
          <w:szCs w:val="24"/>
        </w:rPr>
        <w:t>և</w:t>
      </w:r>
      <w:r w:rsidRPr="00826F05">
        <w:rPr>
          <w:rFonts w:ascii="Sylfaen" w:hAnsi="Sylfaen"/>
          <w:sz w:val="24"/>
          <w:szCs w:val="24"/>
        </w:rPr>
        <w:t xml:space="preserve"> տվյալները, որոնք ներկայացվում են հետ</w:t>
      </w:r>
      <w:r w:rsidR="00C54D75">
        <w:rPr>
          <w:rFonts w:ascii="Sylfaen" w:hAnsi="Sylfaen"/>
          <w:sz w:val="24"/>
          <w:szCs w:val="24"/>
        </w:rPr>
        <w:t>և</w:t>
      </w:r>
      <w:r w:rsidRPr="00826F05">
        <w:rPr>
          <w:rFonts w:ascii="Sylfaen" w:hAnsi="Sylfaen"/>
          <w:sz w:val="24"/>
          <w:szCs w:val="24"/>
        </w:rPr>
        <w:t xml:space="preserve">յալ կարգով՝ համապատասխան վերնագրերով </w:t>
      </w:r>
      <w:r w:rsidR="00C54D75">
        <w:rPr>
          <w:rFonts w:ascii="Sylfaen" w:hAnsi="Sylfaen"/>
          <w:sz w:val="24"/>
          <w:szCs w:val="24"/>
        </w:rPr>
        <w:t>և</w:t>
      </w:r>
      <w:r w:rsidRPr="00826F05">
        <w:rPr>
          <w:rFonts w:ascii="Sylfaen" w:hAnsi="Sylfaen"/>
          <w:sz w:val="24"/>
          <w:szCs w:val="24"/>
        </w:rPr>
        <w:t xml:space="preserve"> համարակալմամբ, ընդհանուր տեխնիկական փաստաթղթի ձ</w:t>
      </w:r>
      <w:r w:rsidR="00C54D75">
        <w:rPr>
          <w:rFonts w:ascii="Sylfaen" w:hAnsi="Sylfaen"/>
          <w:sz w:val="24"/>
          <w:szCs w:val="24"/>
        </w:rPr>
        <w:t>և</w:t>
      </w:r>
      <w:r w:rsidRPr="00826F05">
        <w:rPr>
          <w:rFonts w:ascii="Sylfaen" w:hAnsi="Sylfaen"/>
          <w:sz w:val="24"/>
          <w:szCs w:val="24"/>
        </w:rPr>
        <w:t xml:space="preserve">աչափով՝ </w:t>
      </w:r>
    </w:p>
    <w:p w14:paraId="6BCA45D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ուղեկցող նամակը, </w:t>
      </w:r>
    </w:p>
    <w:p w14:paraId="49E735E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դեղապատրաստուկի գրանցման դոսյեում փոփոխություններ կատարելու հայտը, այդ թվում՝ դիտարկվող դեղապատրաստուկի մասին տեղեկությունները, ինչպես նա</w:t>
      </w:r>
      <w:r w:rsidR="00C54D75">
        <w:rPr>
          <w:rFonts w:ascii="Sylfaen" w:hAnsi="Sylfaen"/>
          <w:sz w:val="24"/>
          <w:szCs w:val="24"/>
        </w:rPr>
        <w:t>և</w:t>
      </w:r>
      <w:r w:rsidRPr="00826F05">
        <w:rPr>
          <w:rFonts w:ascii="Sylfaen" w:hAnsi="Sylfaen"/>
          <w:sz w:val="24"/>
          <w:szCs w:val="24"/>
        </w:rPr>
        <w:t xml:space="preserve"> ներկայացված բոլոր փոփոխությունների նկարագրությունը դրանց իրականացման ամսաթվի հետ միասին համապատասխանաբար: Եթե</w:t>
      </w:r>
      <w:r w:rsidRPr="00C65CD2">
        <w:rPr>
          <w:rFonts w:ascii="Sylfaen" w:hAnsi="Sylfaen"/>
          <w:sz w:val="24"/>
          <w:szCs w:val="24"/>
        </w:rPr>
        <w:t> </w:t>
      </w:r>
      <w:r w:rsidRPr="00826F05">
        <w:rPr>
          <w:rFonts w:ascii="Sylfaen" w:hAnsi="Sylfaen"/>
          <w:sz w:val="24"/>
          <w:szCs w:val="24"/>
        </w:rPr>
        <w:t>փոփոխությունը մեկ այլ փոփոխության հետ</w:t>
      </w:r>
      <w:r w:rsidR="00C54D75">
        <w:rPr>
          <w:rFonts w:ascii="Sylfaen" w:hAnsi="Sylfaen"/>
          <w:sz w:val="24"/>
          <w:szCs w:val="24"/>
        </w:rPr>
        <w:t>և</w:t>
      </w:r>
      <w:r w:rsidRPr="00826F05">
        <w:rPr>
          <w:rFonts w:ascii="Sylfaen" w:hAnsi="Sylfaen"/>
          <w:sz w:val="24"/>
          <w:szCs w:val="24"/>
        </w:rPr>
        <w:t>անք է կամ կապված է դրա հետ, հայտի ձ</w:t>
      </w:r>
      <w:r w:rsidR="00C54D75">
        <w:rPr>
          <w:rFonts w:ascii="Sylfaen" w:hAnsi="Sylfaen"/>
          <w:sz w:val="24"/>
          <w:szCs w:val="24"/>
        </w:rPr>
        <w:t>և</w:t>
      </w:r>
      <w:r w:rsidRPr="00826F05">
        <w:rPr>
          <w:rFonts w:ascii="Sylfaen" w:hAnsi="Sylfaen"/>
          <w:sz w:val="24"/>
          <w:szCs w:val="24"/>
        </w:rPr>
        <w:t>ի համապատասխան բաժնում անհրաժեշտ է ներկայացնել այդ փոփոխությունների միջ</w:t>
      </w:r>
      <w:r w:rsidR="00C54D75">
        <w:rPr>
          <w:rFonts w:ascii="Sylfaen" w:hAnsi="Sylfaen"/>
          <w:sz w:val="24"/>
          <w:szCs w:val="24"/>
        </w:rPr>
        <w:t>և</w:t>
      </w:r>
      <w:r w:rsidRPr="00826F05">
        <w:rPr>
          <w:rFonts w:ascii="Sylfaen" w:hAnsi="Sylfaen"/>
          <w:sz w:val="24"/>
          <w:szCs w:val="24"/>
        </w:rPr>
        <w:t xml:space="preserve"> կապի նկարագրությունը,</w:t>
      </w:r>
    </w:p>
    <w:p w14:paraId="460CD50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փոփոխության ծածկագրի նշումը՝ Դեղամիջոցների գրանցման կանոնների թիվ 19 հավելվածի V լրացմանը համապատասխան, որը վկայում է այն մասին, որ պահպանված են բոլոր պայմանները </w:t>
      </w:r>
      <w:r w:rsidR="00C54D75">
        <w:rPr>
          <w:rFonts w:ascii="Sylfaen" w:hAnsi="Sylfaen"/>
          <w:sz w:val="24"/>
          <w:szCs w:val="24"/>
        </w:rPr>
        <w:t>և</w:t>
      </w:r>
      <w:r w:rsidRPr="00826F05">
        <w:rPr>
          <w:rFonts w:ascii="Sylfaen" w:hAnsi="Sylfaen"/>
          <w:sz w:val="24"/>
          <w:szCs w:val="24"/>
        </w:rPr>
        <w:t xml:space="preserve"> փաստաթղթային պահանջները կամ եթե կիրառելի է, համապատասխան հայտում օգտագործված՝ Դեղամիջոցների գրանցման կանոնների թիվ 19 հավելվածի 1.5 կետին համապատասխան ներկայացված՝ դասակարգման առաջակության նշումը,</w:t>
      </w:r>
    </w:p>
    <w:p w14:paraId="7555917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V լրացման մեջ նշված բոլոր փաստաթղթերը,</w:t>
      </w:r>
    </w:p>
    <w:p w14:paraId="6EBB2C5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փոփոխությունները վերաբերում են դեղապատրաստուկի ընդհանուր բնութագրին, մականշվածքին կամ ներդիր-թերթիկին, ինչպես նա</w:t>
      </w:r>
      <w:r w:rsidR="00C54D75">
        <w:rPr>
          <w:rFonts w:ascii="Sylfaen" w:hAnsi="Sylfaen"/>
          <w:sz w:val="24"/>
          <w:szCs w:val="24"/>
        </w:rPr>
        <w:t>և</w:t>
      </w:r>
      <w:r w:rsidRPr="00826F05">
        <w:rPr>
          <w:rFonts w:ascii="Sylfaen" w:hAnsi="Sylfaen"/>
          <w:sz w:val="24"/>
          <w:szCs w:val="24"/>
        </w:rPr>
        <w:t xml:space="preserve"> որակի </w:t>
      </w:r>
      <w:r w:rsidRPr="00C65CD2">
        <w:rPr>
          <w:rFonts w:ascii="Sylfaen" w:hAnsi="Sylfaen"/>
          <w:spacing w:val="-6"/>
          <w:sz w:val="24"/>
          <w:szCs w:val="24"/>
        </w:rPr>
        <w:t xml:space="preserve">նորմատիվ փաստաթղթին՝ պատշաճ կերպով ներկայացված՝ դեղապատրաստուկի մասին վերանայված տեղեկատվությանը (դեղապատրաստուկի ընդհանուր </w:t>
      </w:r>
      <w:r w:rsidRPr="00C65CD2">
        <w:rPr>
          <w:rFonts w:ascii="Sylfaen" w:hAnsi="Sylfaen"/>
          <w:spacing w:val="-6"/>
          <w:sz w:val="24"/>
          <w:szCs w:val="24"/>
        </w:rPr>
        <w:lastRenderedPageBreak/>
        <w:t>բնութագրին, մականշվածքին</w:t>
      </w:r>
      <w:r w:rsidRPr="00826F05">
        <w:rPr>
          <w:rFonts w:ascii="Sylfaen" w:hAnsi="Sylfaen"/>
          <w:sz w:val="24"/>
          <w:szCs w:val="24"/>
        </w:rPr>
        <w:t xml:space="preserve"> </w:t>
      </w:r>
      <w:r w:rsidR="00C54D75">
        <w:rPr>
          <w:rFonts w:ascii="Sylfaen" w:hAnsi="Sylfaen"/>
          <w:sz w:val="24"/>
          <w:szCs w:val="24"/>
        </w:rPr>
        <w:t>և</w:t>
      </w:r>
      <w:r w:rsidRPr="00826F05">
        <w:rPr>
          <w:rFonts w:ascii="Sylfaen" w:hAnsi="Sylfaen"/>
          <w:sz w:val="24"/>
          <w:szCs w:val="24"/>
        </w:rPr>
        <w:t xml:space="preserve"> ներդիր-թերթիկին), որակի նորմատիվ փաստաթուղթը, ինչպես նա</w:t>
      </w:r>
      <w:r w:rsidR="00C54D75">
        <w:rPr>
          <w:rFonts w:ascii="Sylfaen" w:hAnsi="Sylfaen"/>
          <w:sz w:val="24"/>
          <w:szCs w:val="24"/>
        </w:rPr>
        <w:t>և</w:t>
      </w:r>
      <w:r w:rsidRPr="00826F05">
        <w:rPr>
          <w:rFonts w:ascii="Sylfaen" w:hAnsi="Sylfaen"/>
          <w:sz w:val="24"/>
          <w:szCs w:val="24"/>
        </w:rPr>
        <w:t xml:space="preserve"> անդամ պետությունների պետական լեզուներով համապատասխան թարգմանությունները՝ դրանց օրենսդրության մեջ համապատասխան պահանջների առկայության դեպքում: Եթե IA տիպի ոչ էական փոփոխությունն ազդում է երկրորդային </w:t>
      </w:r>
      <w:r w:rsidR="00C54D75">
        <w:rPr>
          <w:rFonts w:ascii="Sylfaen" w:hAnsi="Sylfaen"/>
          <w:sz w:val="24"/>
          <w:szCs w:val="24"/>
        </w:rPr>
        <w:t>և</w:t>
      </w:r>
      <w:r w:rsidRPr="00826F05">
        <w:rPr>
          <w:rFonts w:ascii="Sylfaen" w:hAnsi="Sylfaen"/>
          <w:sz w:val="24"/>
          <w:szCs w:val="24"/>
        </w:rPr>
        <w:t xml:space="preserve"> (կամ) առաջնային փաթեթվածքի ընդհանուր դիզայնի վրա, անհրաժեշտ է, որ լիազորված մարմինը (փորձագիտական կազմակերպությունը) ներկայացնի փաթեթվածքի մանրակերտերը:</w:t>
      </w:r>
    </w:p>
    <w:p w14:paraId="1DA208C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1.1.3 կետում նշված փոփոխությունների մասով ռեֆերենտ պետության լիազորված մարմինը (փորձագիտական կազմակերպությունը) պետք է լրացուցիչ ստանա դեղապատրաստուկի գրանցման դոսյեում փոփոխություններ կատարելու վերաբերյալ համապատասխան հայտերը ճանաչման պետություններ ներկայացնելու ամսաթվերի </w:t>
      </w:r>
      <w:r w:rsidR="00C54D75">
        <w:rPr>
          <w:rFonts w:ascii="Sylfaen" w:hAnsi="Sylfaen"/>
          <w:sz w:val="24"/>
          <w:szCs w:val="24"/>
        </w:rPr>
        <w:t>և</w:t>
      </w:r>
      <w:r w:rsidRPr="00826F05">
        <w:rPr>
          <w:rFonts w:ascii="Sylfaen" w:hAnsi="Sylfaen"/>
          <w:sz w:val="24"/>
          <w:szCs w:val="24"/>
        </w:rPr>
        <w:t xml:space="preserve"> ճանաչման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դեղապատրաստուկի գրանցման դոսյեում </w:t>
      </w:r>
      <w:r w:rsidRPr="00C65CD2">
        <w:rPr>
          <w:rFonts w:ascii="Sylfaen" w:hAnsi="Sylfaen"/>
          <w:spacing w:val="-6"/>
          <w:sz w:val="24"/>
          <w:szCs w:val="24"/>
        </w:rPr>
        <w:t>փոփոխություններ կատարելու (</w:t>
      </w:r>
      <w:r w:rsidR="00C54D75">
        <w:rPr>
          <w:rFonts w:ascii="Sylfaen" w:hAnsi="Sylfaen"/>
          <w:spacing w:val="-6"/>
          <w:sz w:val="24"/>
          <w:szCs w:val="24"/>
        </w:rPr>
        <w:t>և</w:t>
      </w:r>
      <w:r w:rsidRPr="00C65CD2">
        <w:rPr>
          <w:rFonts w:ascii="Sylfaen" w:hAnsi="Sylfaen"/>
          <w:spacing w:val="-6"/>
          <w:sz w:val="24"/>
          <w:szCs w:val="24"/>
        </w:rPr>
        <w:t xml:space="preserve"> անհրաժեշտության դեպքում՝ դրա փորձաքննության) վճարի (տուրքի) վճարումը</w:t>
      </w:r>
      <w:r w:rsidRPr="00826F05">
        <w:rPr>
          <w:rFonts w:ascii="Sylfaen" w:hAnsi="Sylfaen"/>
          <w:sz w:val="24"/>
          <w:szCs w:val="24"/>
        </w:rPr>
        <w:t xml:space="preserve"> հաստատող փաստաթղթերի ցանկը: </w:t>
      </w:r>
    </w:p>
    <w:p w14:paraId="6C36E8F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1.1.4 կետում նշված փոփոխությունների մասով՝ անդամ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դեղապատրաստուկի գրանցման դոսյեում (</w:t>
      </w:r>
      <w:r w:rsidR="00C54D75">
        <w:rPr>
          <w:rFonts w:ascii="Sylfaen" w:hAnsi="Sylfaen"/>
          <w:sz w:val="24"/>
          <w:szCs w:val="24"/>
        </w:rPr>
        <w:t>և</w:t>
      </w:r>
      <w:r>
        <w:rPr>
          <w:rFonts w:ascii="Sylfaen" w:hAnsi="Sylfaen"/>
          <w:sz w:val="24"/>
          <w:szCs w:val="24"/>
        </w:rPr>
        <w:t> </w:t>
      </w:r>
      <w:r w:rsidRPr="00826F05">
        <w:rPr>
          <w:rFonts w:ascii="Sylfaen" w:hAnsi="Sylfaen"/>
          <w:sz w:val="24"/>
          <w:szCs w:val="24"/>
        </w:rPr>
        <w:t xml:space="preserve">անհրաժեշտության դեպքում՝ դրա փորձաքննության մեջ) փոփոխություններ կատարելու վճարի (տուրքի) վճարման հաստատումը: </w:t>
      </w:r>
    </w:p>
    <w:p w14:paraId="1195556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C65CD2">
        <w:rPr>
          <w:rFonts w:ascii="Sylfaen" w:hAnsi="Sylfaen"/>
          <w:spacing w:val="6"/>
          <w:sz w:val="24"/>
          <w:szCs w:val="24"/>
        </w:rPr>
        <w:t>Մի</w:t>
      </w:r>
      <w:r w:rsidR="00C54D75">
        <w:rPr>
          <w:rFonts w:ascii="Sylfaen" w:hAnsi="Sylfaen"/>
          <w:spacing w:val="6"/>
          <w:sz w:val="24"/>
          <w:szCs w:val="24"/>
        </w:rPr>
        <w:t>և</w:t>
      </w:r>
      <w:r w:rsidRPr="00C65CD2">
        <w:rPr>
          <w:rFonts w:ascii="Sylfaen" w:hAnsi="Sylfaen"/>
          <w:spacing w:val="6"/>
          <w:sz w:val="24"/>
          <w:szCs w:val="24"/>
        </w:rPr>
        <w:t>նույն գրանցման հավաստագրի իրավատիրոջ մի քանի դեղապատրաստուկների գրանցմանն առնչվող IA տիպի ոչ էական փոփոխությունների խմբի դեպքում Դեղամիջոցների գրանցման</w:t>
      </w:r>
      <w:r w:rsidRPr="00826F05">
        <w:rPr>
          <w:rFonts w:ascii="Sylfaen" w:hAnsi="Sylfaen"/>
          <w:sz w:val="24"/>
          <w:szCs w:val="24"/>
        </w:rPr>
        <w:t xml:space="preserve"> կանոնների թիվ 19 հավելվածի 1.7 կետին կամ 3.4 կետին համապատասխան ընդհանուր ուղեկցող նամակը </w:t>
      </w:r>
      <w:r w:rsidR="00C54D75">
        <w:rPr>
          <w:rFonts w:ascii="Sylfaen" w:hAnsi="Sylfaen"/>
          <w:sz w:val="24"/>
          <w:szCs w:val="24"/>
        </w:rPr>
        <w:t>և</w:t>
      </w:r>
      <w:r w:rsidRPr="00826F05">
        <w:rPr>
          <w:rFonts w:ascii="Sylfaen" w:hAnsi="Sylfaen"/>
          <w:sz w:val="24"/>
          <w:szCs w:val="24"/>
        </w:rPr>
        <w:t xml:space="preserve"> հայտի ձ</w:t>
      </w:r>
      <w:r w:rsidR="00C54D75">
        <w:rPr>
          <w:rFonts w:ascii="Sylfaen" w:hAnsi="Sylfaen"/>
          <w:sz w:val="24"/>
          <w:szCs w:val="24"/>
        </w:rPr>
        <w:t>և</w:t>
      </w:r>
      <w:r w:rsidRPr="00826F05">
        <w:rPr>
          <w:rFonts w:ascii="Sylfaen" w:hAnsi="Sylfaen"/>
          <w:sz w:val="24"/>
          <w:szCs w:val="24"/>
        </w:rPr>
        <w:t xml:space="preserve">ն անհրաժեշտ է ներկայացնել լրացուցիչ փաստաթղթերի </w:t>
      </w:r>
      <w:r w:rsidR="00C54D75">
        <w:rPr>
          <w:rFonts w:ascii="Sylfaen" w:hAnsi="Sylfaen"/>
          <w:sz w:val="24"/>
          <w:szCs w:val="24"/>
        </w:rPr>
        <w:t>և</w:t>
      </w:r>
      <w:r w:rsidRPr="00826F05">
        <w:rPr>
          <w:rFonts w:ascii="Sylfaen" w:hAnsi="Sylfaen"/>
          <w:sz w:val="24"/>
          <w:szCs w:val="24"/>
        </w:rPr>
        <w:t xml:space="preserve"> դեղապատրաստուկի մասին վերանայված տեղեկատվության հետ միասին </w:t>
      </w:r>
      <w:r w:rsidRPr="00826F05">
        <w:rPr>
          <w:rFonts w:ascii="Sylfaen" w:hAnsi="Sylfaen"/>
          <w:sz w:val="24"/>
          <w:szCs w:val="24"/>
        </w:rPr>
        <w:lastRenderedPageBreak/>
        <w:t>(եթե</w:t>
      </w:r>
      <w:r w:rsidR="00487007" w:rsidRPr="00487007">
        <w:rPr>
          <w:rFonts w:ascii="Sylfaen" w:hAnsi="Sylfaen"/>
          <w:sz w:val="24"/>
          <w:szCs w:val="24"/>
        </w:rPr>
        <w:t> </w:t>
      </w:r>
      <w:r w:rsidRPr="00826F05">
        <w:rPr>
          <w:rFonts w:ascii="Sylfaen" w:hAnsi="Sylfaen"/>
          <w:sz w:val="24"/>
          <w:szCs w:val="24"/>
        </w:rPr>
        <w:t>կիրառելի է)՝ յուրաքանչյուր ուսումնասիրվող դեղապատրաստուկի համար: Դա համապատասխան մարմիններին թույլ կտա թարմացնել խմբում ներառված յուրաքանչյուր գրանցման դոսյե՝ համապատասխան ուղղված կամ նոր տեղեկատվության հետ միասին:</w:t>
      </w:r>
    </w:p>
    <w:p w14:paraId="28FA3772" w14:textId="77777777" w:rsidR="004F5982" w:rsidRPr="00826F05" w:rsidRDefault="004F5982" w:rsidP="00487007">
      <w:pPr>
        <w:tabs>
          <w:tab w:val="left" w:pos="1701"/>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2.1.2.</w:t>
      </w:r>
      <w:r w:rsidRPr="00826F05">
        <w:rPr>
          <w:rFonts w:ascii="Sylfaen" w:hAnsi="Sylfaen"/>
          <w:sz w:val="24"/>
          <w:szCs w:val="24"/>
        </w:rPr>
        <w:tab/>
      </w:r>
      <w:r w:rsidRPr="00C65CD2">
        <w:rPr>
          <w:rFonts w:ascii="Sylfaen" w:hAnsi="Sylfaen"/>
          <w:sz w:val="24"/>
          <w:szCs w:val="24"/>
        </w:rPr>
        <w:t>Դեղամիջոցների գրանցման կանոնների թիվ 19 հավելվածի 1.1.3 կետում նշված IA տիպի փոփոխությունների</w:t>
      </w:r>
      <w:r w:rsidRPr="00826F05">
        <w:rPr>
          <w:rFonts w:ascii="Sylfaen" w:hAnsi="Sylfaen"/>
          <w:sz w:val="24"/>
          <w:szCs w:val="24"/>
        </w:rPr>
        <w:t xml:space="preserve"> փորձաքննություն:</w:t>
      </w:r>
    </w:p>
    <w:p w14:paraId="222DE0E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IA տիպի ոչ էական փոփոխություն կատարելու դեպքում, Դեղամիջոցների գրանցման կանոնների թիվ 2 հավելվածի համաձայն, 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միաժամանակ համապատասխան բոլոր մարմիններ (փորձագիտական կազմակերպություններ) է ներկայացնում փոփոխություններ կատարելու վերաբերյալ հայտ </w:t>
      </w:r>
      <w:r w:rsidR="00C54D75">
        <w:rPr>
          <w:rFonts w:ascii="Sylfaen" w:hAnsi="Sylfaen"/>
          <w:sz w:val="24"/>
          <w:szCs w:val="24"/>
        </w:rPr>
        <w:t>և</w:t>
      </w:r>
      <w:r w:rsidRPr="00826F05">
        <w:rPr>
          <w:rFonts w:ascii="Sylfaen" w:hAnsi="Sylfaen"/>
          <w:sz w:val="24"/>
          <w:szCs w:val="24"/>
        </w:rPr>
        <w:t xml:space="preserve"> անդամ պետությունների օրենսդրությանը համապատասխան սահմանված չափերով </w:t>
      </w:r>
      <w:r w:rsidR="00C54D75">
        <w:rPr>
          <w:rFonts w:ascii="Sylfaen" w:hAnsi="Sylfaen"/>
          <w:sz w:val="24"/>
          <w:szCs w:val="24"/>
        </w:rPr>
        <w:t>և</w:t>
      </w:r>
      <w:r w:rsidRPr="00826F05">
        <w:rPr>
          <w:rFonts w:ascii="Sylfaen" w:hAnsi="Sylfaen"/>
          <w:sz w:val="24"/>
          <w:szCs w:val="24"/>
        </w:rPr>
        <w:t xml:space="preserve"> կարգով փոփոխություններ կատարելու վճարի (տուրքի) վճարումը հաստատող փաստաթղթեր:</w:t>
      </w:r>
    </w:p>
    <w:p w14:paraId="5519417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Հայտատուն ռեֆերենտ պետության լիազորված մարմին (փորձագիտական կազմակերպություն) է ներկայացնում փոփոխության (ծանուցման) դոսյե, որը պարունակում է Դեղամիջոցների գրանցման կանոնների թիվ 19 հավելվածի IV</w:t>
      </w:r>
      <w:r>
        <w:rPr>
          <w:rFonts w:ascii="Sylfaen" w:hAnsi="Sylfaen"/>
          <w:sz w:val="24"/>
          <w:szCs w:val="24"/>
        </w:rPr>
        <w:t> </w:t>
      </w:r>
      <w:r w:rsidRPr="00826F05">
        <w:rPr>
          <w:rFonts w:ascii="Sylfaen" w:hAnsi="Sylfaen"/>
          <w:sz w:val="24"/>
          <w:szCs w:val="24"/>
        </w:rPr>
        <w:t>լրացման մեջ նշված տարրեր:</w:t>
      </w:r>
    </w:p>
    <w:p w14:paraId="44F0C29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մարմինը (փորձագիտական կազմակերպությունը), ճանաչման պետությունների համապատասխան մարմինների համար ինտեգրված համակարգի միջոցներն օգտագործելով, ապահովում է փոփոխության (ծանուցման) դոսյեի հասանելիությունը ոչ ուշ, քան ներկայացված փաստաթղթերի ամբողջականությունը, լրակազմությունը </w:t>
      </w:r>
      <w:r w:rsidR="00C54D75">
        <w:rPr>
          <w:rFonts w:ascii="Sylfaen" w:hAnsi="Sylfaen"/>
          <w:sz w:val="24"/>
          <w:szCs w:val="24"/>
        </w:rPr>
        <w:t>և</w:t>
      </w:r>
      <w:r w:rsidRPr="00826F05">
        <w:rPr>
          <w:rFonts w:ascii="Sylfaen" w:hAnsi="Sylfaen"/>
          <w:sz w:val="24"/>
          <w:szCs w:val="24"/>
        </w:rPr>
        <w:t xml:space="preserve"> ճիշտ </w:t>
      </w:r>
      <w:r w:rsidRPr="00C65CD2">
        <w:rPr>
          <w:rFonts w:ascii="Sylfaen" w:hAnsi="Sylfaen"/>
          <w:spacing w:val="-6"/>
          <w:sz w:val="24"/>
          <w:szCs w:val="24"/>
        </w:rPr>
        <w:t>ձ</w:t>
      </w:r>
      <w:r w:rsidR="00C54D75">
        <w:rPr>
          <w:rFonts w:ascii="Sylfaen" w:hAnsi="Sylfaen"/>
          <w:spacing w:val="-6"/>
          <w:sz w:val="24"/>
          <w:szCs w:val="24"/>
        </w:rPr>
        <w:t>և</w:t>
      </w:r>
      <w:r w:rsidRPr="00C65CD2">
        <w:rPr>
          <w:rFonts w:ascii="Sylfaen" w:hAnsi="Sylfaen"/>
          <w:spacing w:val="-6"/>
          <w:sz w:val="24"/>
          <w:szCs w:val="24"/>
        </w:rPr>
        <w:t>ակերպումը գնահատելուց հետո փոփոխություններ կատարելու հայտը ռեֆերենտ պետություն</w:t>
      </w:r>
      <w:r w:rsidRPr="00826F05">
        <w:rPr>
          <w:rFonts w:ascii="Sylfaen" w:hAnsi="Sylfaen"/>
          <w:sz w:val="24"/>
          <w:szCs w:val="24"/>
        </w:rPr>
        <w:t xml:space="preserve"> ներկայացնելու օրվանից 5 աշխատանքային օրվա ընթացքում:</w:t>
      </w:r>
    </w:p>
    <w:p w14:paraId="63656D8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Ռեֆերենտ պետության լիազորված մարմինը (փորձագիտական կազմակերպությունը) անցկացնում է IA տիպի ծանուցման փորձաքննություն այն ստանալու օրվանից 30 օրացուցային օրվա ընթացքում:</w:t>
      </w:r>
    </w:p>
    <w:p w14:paraId="45278BA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 xml:space="preserve">30-րդ օրացուցային օրը ռեֆերենտ պետության լիազորված մարմինը (փորձագիտական կազմակերպությունը) իր եզրակացության մասին ծանուցում է հայտատուին </w:t>
      </w:r>
      <w:r w:rsidR="00C54D75">
        <w:rPr>
          <w:rFonts w:ascii="Sylfaen" w:hAnsi="Sylfaen"/>
          <w:sz w:val="24"/>
          <w:szCs w:val="24"/>
        </w:rPr>
        <w:t>և</w:t>
      </w:r>
      <w:r w:rsidRPr="00826F05">
        <w:rPr>
          <w:rFonts w:ascii="Sylfaen" w:hAnsi="Sylfaen"/>
          <w:sz w:val="24"/>
          <w:szCs w:val="24"/>
        </w:rPr>
        <w:t xml:space="preserve"> ճանաչման պետությունների լիազորված մարմնին (փորձագիտական կազմակերպությանը):</w:t>
      </w:r>
    </w:p>
    <w:p w14:paraId="1924E3E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հավելվածով նախատեսված ընթացակարգերի արդյունքներով դեղապատրաստուկի գրանցման փոփոխությունները պետք է իրականացվեն Դեղամիջոցների գրանցման կանոնների թիվ 19 հավելվածի 2.4.1 կետի 4-րդ պարբերության </w:t>
      </w:r>
      <w:r w:rsidR="00C54D75">
        <w:rPr>
          <w:rFonts w:ascii="Sylfaen" w:hAnsi="Sylfaen"/>
          <w:sz w:val="24"/>
          <w:szCs w:val="24"/>
        </w:rPr>
        <w:t>և</w:t>
      </w:r>
      <w:r w:rsidRPr="00826F05">
        <w:rPr>
          <w:rFonts w:ascii="Sylfaen" w:hAnsi="Sylfaen"/>
          <w:sz w:val="24"/>
          <w:szCs w:val="24"/>
        </w:rPr>
        <w:t xml:space="preserve"> 3.5.1 կետի երկրորդ պարբերության մեջ նշված տեղեկությունները ստանալուց հետո՝ 180</w:t>
      </w:r>
      <w:r>
        <w:rPr>
          <w:rFonts w:ascii="Sylfaen" w:hAnsi="Sylfaen"/>
          <w:sz w:val="24"/>
          <w:szCs w:val="24"/>
        </w:rPr>
        <w:t> </w:t>
      </w:r>
      <w:r w:rsidRPr="00826F05">
        <w:rPr>
          <w:rFonts w:ascii="Sylfaen" w:hAnsi="Sylfaen"/>
          <w:sz w:val="24"/>
          <w:szCs w:val="24"/>
        </w:rPr>
        <w:t xml:space="preserve">օրացուցային օրվա ընթացքում՝ գրանցման դոսյեի փոփոխության համար </w:t>
      </w:r>
      <w:r w:rsidRPr="00C65CD2">
        <w:rPr>
          <w:rFonts w:ascii="Sylfaen" w:hAnsi="Sylfaen"/>
          <w:spacing w:val="-6"/>
          <w:sz w:val="24"/>
          <w:szCs w:val="24"/>
        </w:rPr>
        <w:t>անհրաժեշտ փաստաթղթերը շահագրգիռ անդամ պետությունների լիազորված մարմիններ (փորձագիտական</w:t>
      </w:r>
      <w:r w:rsidRPr="00826F05">
        <w:rPr>
          <w:rFonts w:ascii="Sylfaen" w:hAnsi="Sylfaen"/>
          <w:sz w:val="24"/>
          <w:szCs w:val="24"/>
        </w:rPr>
        <w:t xml:space="preserve"> կազմակերպություններ) ներկայացնելու պայմանով:</w:t>
      </w:r>
    </w:p>
    <w:p w14:paraId="3746E549" w14:textId="77777777" w:rsidR="004F5982" w:rsidRPr="00826F05" w:rsidRDefault="004F5982" w:rsidP="00487007">
      <w:pPr>
        <w:spacing w:after="160" w:line="384" w:lineRule="auto"/>
        <w:ind w:right="-2" w:firstLine="567"/>
        <w:jc w:val="both"/>
        <w:rPr>
          <w:rFonts w:ascii="Sylfaen" w:eastAsia="Times New Roman" w:hAnsi="Sylfaen" w:cs="Times New Roman"/>
          <w:sz w:val="24"/>
          <w:szCs w:val="24"/>
        </w:rPr>
      </w:pPr>
      <w:r w:rsidRPr="00826F05">
        <w:rPr>
          <w:rFonts w:ascii="Sylfaen" w:hAnsi="Sylfaen"/>
          <w:sz w:val="24"/>
          <w:szCs w:val="24"/>
        </w:rPr>
        <w:t>Այն դեպքում, երբ Դեղամիջոցների գրանցման կանոնների թիվ 19 հավելվածի 1.6 կետի համաձայն փոփոխությունները հանգեցնում են դեղապատրաստուկի մասին տեղեկատվության վերանայման, համապատասխան լիազորված մարմինները գրանցման դոսյեում փոփոխություններ կատարելու մասին եզրակացությունն ընդունելու օրվանից ոչ ուշ, քան 10 աշխատանքային օր ժամկետում, փոփոխություններ կատարելու մասին տեղեկությունները տեղադրում</w:t>
      </w:r>
      <w:r>
        <w:rPr>
          <w:rFonts w:ascii="Sylfaen" w:hAnsi="Sylfaen"/>
          <w:sz w:val="24"/>
          <w:szCs w:val="24"/>
        </w:rPr>
        <w:t> </w:t>
      </w:r>
      <w:r w:rsidRPr="00826F05">
        <w:rPr>
          <w:rFonts w:ascii="Sylfaen" w:hAnsi="Sylfaen"/>
          <w:sz w:val="24"/>
          <w:szCs w:val="24"/>
        </w:rPr>
        <w:t xml:space="preserve">են Միության գրանցված դեղամիջոցների միասնական ռեեստրում (այսուհետ՝ միասնական ռեեստր)՝ կից 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 են տրամադրում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35D7045A" w14:textId="77777777" w:rsidR="004F5982" w:rsidRPr="00826F05" w:rsidRDefault="004F5982" w:rsidP="00487007">
      <w:pPr>
        <w:spacing w:after="160" w:line="384" w:lineRule="auto"/>
        <w:ind w:right="35" w:firstLine="567"/>
        <w:jc w:val="both"/>
        <w:rPr>
          <w:rFonts w:ascii="Sylfaen" w:eastAsia="Times New Roman" w:hAnsi="Sylfaen" w:cs="Times New Roman"/>
          <w:sz w:val="24"/>
          <w:szCs w:val="24"/>
        </w:rPr>
      </w:pPr>
      <w:r w:rsidRPr="00826F05">
        <w:rPr>
          <w:rFonts w:ascii="Sylfaen" w:hAnsi="Sylfaen"/>
          <w:sz w:val="24"/>
          <w:szCs w:val="24"/>
        </w:rPr>
        <w:lastRenderedPageBreak/>
        <w:t>Համապատասխան լիազորված մարմինները (փորձագիտական կազմակերպությունները) իրավունք ունեն մինչ</w:t>
      </w:r>
      <w:r w:rsidR="00C54D75">
        <w:rPr>
          <w:rFonts w:ascii="Sylfaen" w:hAnsi="Sylfaen"/>
          <w:sz w:val="24"/>
          <w:szCs w:val="24"/>
        </w:rPr>
        <w:t>և</w:t>
      </w:r>
      <w:r w:rsidRPr="00826F05">
        <w:rPr>
          <w:rFonts w:ascii="Sylfaen" w:hAnsi="Sylfaen"/>
          <w:sz w:val="24"/>
          <w:szCs w:val="24"/>
        </w:rPr>
        <w:t xml:space="preserve"> 90 օրացուցային օր երկարաձգելու նշված ժամկետն այն դեպքերում, երբ հայտատուի կողմից ներկայացվել են բազմաթիվ խմբային փոփոխություններ՝ Դեղամիջոցների գրանցման կանոնների թիվ 19 հավելվածի 1.7.2 </w:t>
      </w:r>
      <w:r w:rsidR="00C54D75">
        <w:rPr>
          <w:rFonts w:ascii="Sylfaen" w:hAnsi="Sylfaen"/>
          <w:sz w:val="24"/>
          <w:szCs w:val="24"/>
        </w:rPr>
        <w:t>և</w:t>
      </w:r>
      <w:r w:rsidRPr="00826F05">
        <w:rPr>
          <w:rFonts w:ascii="Sylfaen" w:hAnsi="Sylfaen"/>
          <w:sz w:val="24"/>
          <w:szCs w:val="24"/>
        </w:rPr>
        <w:t xml:space="preserve"> 1.7.3 կետերի համաձայն:</w:t>
      </w:r>
    </w:p>
    <w:p w14:paraId="14CEBA94"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sz w:val="24"/>
          <w:szCs w:val="24"/>
        </w:rPr>
        <w:t>Եթե մեկ ծանուցման շրջանակներում ներկայացվել են IA տիպի մեկ կամ մի քանի ոչ էական փոփոխություններ, ռեֆերենտ պետության լիազորված մարմինը (փորձագիտական կազմակերպությունը) հայտատուին ծանուցում է, թե դեղապատրաստուկի փորձաքննության արդյունքներով որ փոփոխությունն է ընդունվել կամ մերժվել: Գրանցման հավաստագրի իրավատերն իրավունք չունի իրականացնելու մերժված փոփոխությունը:</w:t>
      </w:r>
    </w:p>
    <w:p w14:paraId="59D876FD"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sz w:val="24"/>
          <w:szCs w:val="24"/>
        </w:rPr>
        <w:t>Դոսյեում IA տիպի ոչ էական փոփոխությունների վերաբերյալ բոլոր անհրաժեշտ փաստաթղթերը ներկայացնելու անընդունակությունն անպայմանորեն չի հանգեցնում փոփոխության մերժման, եթե հայտատուն համապատասխան մարմնի հարցման հիման վրա ներկայացնի պակասող փաստաթղթերը՝ Դեղամիջոցների գրանցման կանոնների թիվ 19 հավելվածին համապատասխան: IA տիպի ոչ էական փոփոխությունը կարող է որոշ դեպքերում մերժվել՝ հանգեցնելով իրավատիրոջ կողմից արդեն իրականացված դիտարկվող փոփոխությունների իրականացման անհապաղ դադարեցման անհրաժեշտության:</w:t>
      </w:r>
    </w:p>
    <w:p w14:paraId="60599CBA" w14:textId="77777777" w:rsidR="004F5982" w:rsidRPr="00826F05" w:rsidRDefault="004F5982" w:rsidP="00487007">
      <w:pPr>
        <w:tabs>
          <w:tab w:val="left" w:pos="1701"/>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2.1.3.</w:t>
      </w:r>
      <w:r w:rsidRPr="00826F05">
        <w:rPr>
          <w:rFonts w:ascii="Sylfaen" w:hAnsi="Sylfaen"/>
          <w:sz w:val="24"/>
          <w:szCs w:val="24"/>
        </w:rPr>
        <w:tab/>
        <w:t>Դեղամիջոցների գրանցման կանոնների թիվ 19 հավելվածի 1.1.4</w:t>
      </w:r>
      <w:r>
        <w:rPr>
          <w:rFonts w:ascii="Sylfaen" w:hAnsi="Sylfaen"/>
          <w:sz w:val="24"/>
          <w:szCs w:val="24"/>
        </w:rPr>
        <w:t> </w:t>
      </w:r>
      <w:r w:rsidRPr="00826F05">
        <w:rPr>
          <w:rFonts w:ascii="Sylfaen" w:hAnsi="Sylfaen"/>
          <w:sz w:val="24"/>
          <w:szCs w:val="24"/>
        </w:rPr>
        <w:t>ենթակետում նշված IA տիպի փոփոխությունների փորձաքննություն:</w:t>
      </w:r>
    </w:p>
    <w:p w14:paraId="68DE7D16" w14:textId="77777777" w:rsidR="004F5982" w:rsidRPr="00826F05" w:rsidRDefault="004F5982" w:rsidP="00487007">
      <w:pPr>
        <w:spacing w:after="160" w:line="360" w:lineRule="auto"/>
        <w:ind w:right="34" w:firstLine="567"/>
        <w:jc w:val="both"/>
        <w:rPr>
          <w:rFonts w:ascii="Sylfaen" w:eastAsia="Times New Roman" w:hAnsi="Sylfaen" w:cs="Times New Roman"/>
          <w:sz w:val="24"/>
          <w:szCs w:val="24"/>
        </w:rPr>
      </w:pPr>
      <w:r w:rsidRPr="00826F05">
        <w:rPr>
          <w:rFonts w:ascii="Sylfaen" w:hAnsi="Sylfaen"/>
          <w:sz w:val="24"/>
          <w:szCs w:val="24"/>
        </w:rPr>
        <w:t xml:space="preserve">IA տիպի ոչ էական փոփոխություն կատարելու դեպքում 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լիազորված մարմին (փորձագիտական կազմակերպություն) է ներկայացնում փոփոխություններ կատարելու հայտը` Դեղամիջոցների գրանցման կանոնների թիվ 2 հավելվածի համաձայն, </w:t>
      </w:r>
      <w:r w:rsidR="00C54D75">
        <w:rPr>
          <w:rFonts w:ascii="Sylfaen" w:hAnsi="Sylfaen"/>
          <w:sz w:val="24"/>
          <w:szCs w:val="24"/>
        </w:rPr>
        <w:t>և</w:t>
      </w:r>
      <w:r w:rsidRPr="00826F05">
        <w:rPr>
          <w:rFonts w:ascii="Sylfaen" w:hAnsi="Sylfaen"/>
          <w:sz w:val="24"/>
          <w:szCs w:val="24"/>
        </w:rPr>
        <w:t xml:space="preserve"> անդամ պետությունների օրենսդրությանը համապատասխան սահմանված դեպքում </w:t>
      </w:r>
      <w:r w:rsidR="00C54D75">
        <w:rPr>
          <w:rFonts w:ascii="Sylfaen" w:hAnsi="Sylfaen"/>
          <w:sz w:val="24"/>
          <w:szCs w:val="24"/>
        </w:rPr>
        <w:t>և</w:t>
      </w:r>
      <w:r w:rsidRPr="00826F05">
        <w:rPr>
          <w:rFonts w:ascii="Sylfaen" w:hAnsi="Sylfaen"/>
          <w:sz w:val="24"/>
          <w:szCs w:val="24"/>
        </w:rPr>
        <w:t xml:space="preserve"> կարգով փոփոխություններ կատարելու վճարի (տուրքի) վճարումը հաստատող փաստաթղթերը:</w:t>
      </w:r>
    </w:p>
    <w:p w14:paraId="3A7195F3" w14:textId="77777777" w:rsidR="004F5982" w:rsidRPr="00826F05" w:rsidRDefault="004F5982" w:rsidP="00487007">
      <w:pPr>
        <w:spacing w:after="160" w:line="360" w:lineRule="auto"/>
        <w:ind w:right="35" w:firstLine="567"/>
        <w:jc w:val="both"/>
        <w:rPr>
          <w:rFonts w:ascii="Sylfaen" w:hAnsi="Sylfaen"/>
          <w:sz w:val="24"/>
          <w:szCs w:val="24"/>
        </w:rPr>
      </w:pPr>
      <w:r w:rsidRPr="00826F05">
        <w:rPr>
          <w:rFonts w:ascii="Sylfaen" w:hAnsi="Sylfaen"/>
          <w:sz w:val="24"/>
          <w:szCs w:val="24"/>
        </w:rPr>
        <w:lastRenderedPageBreak/>
        <w:t>Հայտատուն ռեֆերենտ պետության լիազորված մարմին (փորձագիտական կազմակերպություն) է ներկայացնում փոփոխության (ծանուցման) դոսյե, որը պարունակում է Դեղամիջոցների գրանցման կանոնների թիվ 19 հավելվածի IV</w:t>
      </w:r>
      <w:r>
        <w:rPr>
          <w:rFonts w:ascii="Sylfaen" w:hAnsi="Sylfaen"/>
          <w:sz w:val="24"/>
          <w:szCs w:val="24"/>
        </w:rPr>
        <w:t> </w:t>
      </w:r>
      <w:r w:rsidRPr="00826F05">
        <w:rPr>
          <w:rFonts w:ascii="Sylfaen" w:hAnsi="Sylfaen"/>
          <w:sz w:val="24"/>
          <w:szCs w:val="24"/>
        </w:rPr>
        <w:t>լրացման մեջ նշված տարրեր: Ռեֆերենտ պետության լիազորված մարմինը (փորձագիտական կազմակերպությունը) անցկացնում է IA տիպի ոչ էական փոփոխության փորձաքննություն այն ստանալու օրվանից 30 օրացուցային օրվա ընթացքում:</w:t>
      </w:r>
    </w:p>
    <w:p w14:paraId="329266C4" w14:textId="77777777" w:rsidR="004F5982" w:rsidRPr="00826F05" w:rsidRDefault="004F5982" w:rsidP="00487007">
      <w:pPr>
        <w:spacing w:after="160" w:line="360" w:lineRule="auto"/>
        <w:ind w:right="39" w:firstLine="567"/>
        <w:jc w:val="both"/>
        <w:rPr>
          <w:rFonts w:ascii="Sylfaen" w:eastAsia="Times New Roman" w:hAnsi="Sylfaen" w:cs="Times New Roman"/>
          <w:sz w:val="24"/>
          <w:szCs w:val="24"/>
        </w:rPr>
      </w:pPr>
      <w:r w:rsidRPr="00826F05">
        <w:rPr>
          <w:rFonts w:ascii="Sylfaen" w:hAnsi="Sylfaen"/>
          <w:sz w:val="24"/>
          <w:szCs w:val="24"/>
        </w:rPr>
        <w:t>30-րդ օրացուցային օրը լիազորված մարմինը (փորձագիտական կազմակերպությունը) հայտատուին ծանուցում է իր եզրակացության մասին:</w:t>
      </w:r>
    </w:p>
    <w:p w14:paraId="357D3EBA"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հավելվածով նախատեսված ընթացակարգերի արդյունքներով դեղապատրաստուկի գրանցման փոփոխությունը պետք է իրականացվի հայտատուին եզրակացության մասին ծանուցելուց հետո՝ 180 օրացուցային օրվա ընթացքում՝ գրանցման դոսյեի փոփոխության համար անհրաժեշտ փաստաթղթերը ռեֆերենտ պետության լիազորված մարմին (փորձագիտական կազմակերպություն) հայտատուի կողմից ներկայացնելու պայմանով:</w:t>
      </w:r>
    </w:p>
    <w:p w14:paraId="20DC3106"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E4274F">
        <w:rPr>
          <w:rFonts w:ascii="Sylfaen" w:hAnsi="Sylfaen"/>
          <w:spacing w:val="-6"/>
          <w:sz w:val="24"/>
          <w:szCs w:val="24"/>
        </w:rPr>
        <w:t>Այն դեպքում, երբ, Դեղամիջոցների գրանցման կանոնների թիվ</w:t>
      </w:r>
      <w:r w:rsidRPr="00826F05">
        <w:rPr>
          <w:rFonts w:ascii="Sylfaen" w:hAnsi="Sylfaen"/>
          <w:sz w:val="24"/>
          <w:szCs w:val="24"/>
        </w:rPr>
        <w:t xml:space="preserve"> 19 հավելվածի 1.6 կետի համաձայն, փոփոխությունները հանգեցնում են դեղապատրաստուկի մասին տեղեկատվության վերանայման, լիազորված մարմինը գրանցման դոսյեում փոփոխություններ կատարելու մասին եզրակացություն ընդունելու օրվանից ոչ</w:t>
      </w:r>
      <w:r>
        <w:rPr>
          <w:rFonts w:ascii="Sylfaen" w:hAnsi="Sylfaen"/>
          <w:sz w:val="24"/>
          <w:szCs w:val="24"/>
        </w:rPr>
        <w:t> </w:t>
      </w:r>
      <w:r w:rsidRPr="00826F05">
        <w:rPr>
          <w:rFonts w:ascii="Sylfaen" w:hAnsi="Sylfaen"/>
          <w:sz w:val="24"/>
          <w:szCs w:val="24"/>
        </w:rPr>
        <w:t>ուշ, քան 10 աշխատանքային օրվա ընթացքում փոփոխություններ կատարելու մասին տեղեկությունները տեղադրում է միասնական ռեեստրում՝ կից</w:t>
      </w:r>
      <w:r>
        <w:rPr>
          <w:rFonts w:ascii="Sylfaen" w:hAnsi="Sylfaen"/>
          <w:sz w:val="24"/>
          <w:szCs w:val="24"/>
        </w:rPr>
        <w:t> </w:t>
      </w:r>
      <w:r w:rsidRPr="00826F05">
        <w:rPr>
          <w:rFonts w:ascii="Sylfaen" w:hAnsi="Sylfaen"/>
          <w:sz w:val="24"/>
          <w:szCs w:val="24"/>
        </w:rPr>
        <w:t xml:space="preserve">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w:t>
      </w:r>
      <w:r>
        <w:rPr>
          <w:rFonts w:ascii="Sylfaen" w:hAnsi="Sylfaen"/>
          <w:sz w:val="24"/>
          <w:szCs w:val="24"/>
        </w:rPr>
        <w:t> </w:t>
      </w:r>
      <w:r w:rsidRPr="00826F05">
        <w:rPr>
          <w:rFonts w:ascii="Sylfaen" w:hAnsi="Sylfaen"/>
          <w:sz w:val="24"/>
          <w:szCs w:val="24"/>
        </w:rPr>
        <w:t xml:space="preserve">է տրամադրում դեղապատրաստուկի փոփոխված ընդհանուր բնութագիրը, բժշկական կիրառման հրահանգը, փաթեթվածքների մանրակերտերը, որակի </w:t>
      </w:r>
      <w:r w:rsidRPr="00826F05">
        <w:rPr>
          <w:rFonts w:ascii="Sylfaen" w:hAnsi="Sylfaen"/>
          <w:sz w:val="24"/>
          <w:szCs w:val="24"/>
        </w:rPr>
        <w:lastRenderedPageBreak/>
        <w:t>նորմատիվ փաստաթուղթը, գրանցման հավաստագիրը (անհրաժեշտության դեպքում):</w:t>
      </w:r>
    </w:p>
    <w:p w14:paraId="3A5189A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Լիազորված մարմինը (փորձագիտական կազմակերպությունը) իրավունք ունի մինչ</w:t>
      </w:r>
      <w:r w:rsidR="00C54D75">
        <w:rPr>
          <w:rFonts w:ascii="Sylfaen" w:hAnsi="Sylfaen"/>
          <w:sz w:val="24"/>
          <w:szCs w:val="24"/>
        </w:rPr>
        <w:t>և</w:t>
      </w:r>
      <w:r w:rsidRPr="00826F05">
        <w:rPr>
          <w:rFonts w:ascii="Sylfaen" w:hAnsi="Sylfaen"/>
          <w:sz w:val="24"/>
          <w:szCs w:val="24"/>
        </w:rPr>
        <w:t xml:space="preserve"> 90 օրացուցային օր երկարաձգելու սույն կետի առաջին </w:t>
      </w:r>
      <w:r w:rsidR="00C54D75">
        <w:rPr>
          <w:rFonts w:ascii="Sylfaen" w:hAnsi="Sylfaen"/>
          <w:sz w:val="24"/>
          <w:szCs w:val="24"/>
        </w:rPr>
        <w:t>և</w:t>
      </w:r>
      <w:r w:rsidRPr="00826F05">
        <w:rPr>
          <w:rFonts w:ascii="Sylfaen" w:hAnsi="Sylfaen"/>
          <w:sz w:val="24"/>
          <w:szCs w:val="24"/>
        </w:rPr>
        <w:t xml:space="preserve"> չորրորդ պարբերություններում նշված ժամկետն այն դեպքում, երբ հայտատուի կողմից ներկայացվել են բազմաթիվ խմբային փոփոխություններ՝ Դեղամիջոցների գրանցման կանոնների թիվ 19 հավելվածի 1.7.2 </w:t>
      </w:r>
      <w:r w:rsidR="00C54D75">
        <w:rPr>
          <w:rFonts w:ascii="Sylfaen" w:hAnsi="Sylfaen"/>
          <w:sz w:val="24"/>
          <w:szCs w:val="24"/>
        </w:rPr>
        <w:t>և</w:t>
      </w:r>
      <w:r w:rsidRPr="00826F05">
        <w:rPr>
          <w:rFonts w:ascii="Sylfaen" w:hAnsi="Sylfaen"/>
          <w:sz w:val="24"/>
          <w:szCs w:val="24"/>
        </w:rPr>
        <w:t xml:space="preserve"> 1.7.3 կետերի համաձայն:</w:t>
      </w:r>
    </w:p>
    <w:p w14:paraId="651A704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մեկ ծանուցման շրջանակներում հայտատուի կողմից ներկայացվել են IA</w:t>
      </w:r>
      <w:r>
        <w:rPr>
          <w:rFonts w:ascii="Sylfaen" w:hAnsi="Sylfaen"/>
          <w:sz w:val="24"/>
          <w:szCs w:val="24"/>
        </w:rPr>
        <w:t> </w:t>
      </w:r>
      <w:r w:rsidRPr="00826F05">
        <w:rPr>
          <w:rFonts w:ascii="Sylfaen" w:hAnsi="Sylfaen"/>
          <w:sz w:val="24"/>
          <w:szCs w:val="24"/>
        </w:rPr>
        <w:t>տիպի մեկ կամ մի քանի ոչ էական փոփոխություններ, լիազորված մարմինը (փորձագիտական կազմակերպությունը) հայտատուին ծանուցում է, թե դեղապատրաստուկի փորձաքննության արդյունքներով որ փոփոխությունն է ընդունվել կամ մերժվել:</w:t>
      </w:r>
    </w:p>
    <w:p w14:paraId="425359B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Դոսյեում IA տիպի ոչ էական փոփոխությունների վերաբերյալ բոլոր անհրաժեշտ փաստաթղթերը ներկայացնելու անընդունակությունն անպայմանորեն չի հանգեցնում փոփոխության մերժման, եթե հայտատուն համապատասխան մարմնի հարցման հիման վրա ներկայացնի պակասող փաստաթղթերը: IA տիպի ոչ էական փոփոխությունը կարող է որոշ դեպքերում մերժվել՝ հանգեցնելով իրավատիրոջ կողմից արդեն իրականացված դիտարկվող փոփոխությունների իրականացման անհապաղ դադարեցման անհրաժեշտության:</w:t>
      </w:r>
    </w:p>
    <w:p w14:paraId="12A5CB94" w14:textId="77777777" w:rsidR="004F5982" w:rsidRPr="00826F05" w:rsidRDefault="004F5982" w:rsidP="00487007">
      <w:pPr>
        <w:tabs>
          <w:tab w:val="left" w:pos="1134"/>
        </w:tabs>
        <w:spacing w:after="160" w:line="360" w:lineRule="auto"/>
        <w:ind w:right="-20" w:firstLine="567"/>
        <w:jc w:val="both"/>
        <w:rPr>
          <w:rFonts w:ascii="Sylfaen" w:hAnsi="Sylfaen"/>
          <w:sz w:val="24"/>
          <w:szCs w:val="24"/>
        </w:rPr>
      </w:pPr>
      <w:r w:rsidRPr="00826F05">
        <w:rPr>
          <w:rFonts w:ascii="Sylfaen" w:hAnsi="Sylfaen"/>
          <w:sz w:val="24"/>
          <w:szCs w:val="24"/>
        </w:rPr>
        <w:t>2.2.</w:t>
      </w:r>
      <w:r w:rsidRPr="00826F05">
        <w:rPr>
          <w:rFonts w:ascii="Sylfaen" w:hAnsi="Sylfaen"/>
          <w:sz w:val="24"/>
          <w:szCs w:val="24"/>
        </w:rPr>
        <w:tab/>
        <w:t>IB տիպի ոչ էական փոփոխությունները:</w:t>
      </w:r>
    </w:p>
    <w:p w14:paraId="7D7F972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Սույն կետը պարունակում է IB տիպի ոչ էական փոփոխությունների մասով Դեղամիջոցների գրանցման կանոնների թիվ 19 հավելվածի 1.7, 2.2, 2.4, 3.2, 3.5, 4.2.1 </w:t>
      </w:r>
      <w:r w:rsidR="00C54D75">
        <w:rPr>
          <w:rFonts w:ascii="Sylfaen" w:hAnsi="Sylfaen"/>
          <w:sz w:val="24"/>
          <w:szCs w:val="24"/>
        </w:rPr>
        <w:t>և</w:t>
      </w:r>
      <w:r w:rsidRPr="00826F05">
        <w:rPr>
          <w:rFonts w:ascii="Sylfaen" w:hAnsi="Sylfaen"/>
          <w:sz w:val="24"/>
          <w:szCs w:val="24"/>
        </w:rPr>
        <w:t xml:space="preserve"> 4.2.2 կետերի կիրառման վերաբերյալ դրույթներ:</w:t>
      </w:r>
    </w:p>
    <w:p w14:paraId="22D76BD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հավելվածը պարունակում է այն փոփոխությունների ցանկը, որոնք պետք է դիտարկել որպես IB տիպի ոչ</w:t>
      </w:r>
      <w:r>
        <w:rPr>
          <w:rFonts w:ascii="Sylfaen" w:hAnsi="Sylfaen"/>
          <w:sz w:val="24"/>
          <w:szCs w:val="24"/>
        </w:rPr>
        <w:t> </w:t>
      </w:r>
      <w:r w:rsidRPr="00826F05">
        <w:rPr>
          <w:rFonts w:ascii="Sylfaen" w:hAnsi="Sylfaen"/>
          <w:sz w:val="24"/>
          <w:szCs w:val="24"/>
        </w:rPr>
        <w:t xml:space="preserve">էական փոփոխություններ: Նման ոչ էական փոփոխություններ իրականացնելուց առաջ պահանջվում է նախնական ծանուցում կամ գրանցման </w:t>
      </w:r>
      <w:r w:rsidRPr="00826F05">
        <w:rPr>
          <w:rFonts w:ascii="Sylfaen" w:hAnsi="Sylfaen"/>
          <w:sz w:val="24"/>
          <w:szCs w:val="24"/>
        </w:rPr>
        <w:lastRenderedPageBreak/>
        <w:t>դոսյեում այնպիսի փոփոխություններ կատարելու մասով լիազորված մարմնի կողմից հաստատում, որոնք հանգեցնում են դեղապատրաստուկի մասին տեղեկատվության վերանայման՝ համաձայն Դեղամիջոցների գրանցման կանոնների թիվ 19 հավելվածի 1.6 կետի, որոնց մասով փոփոխություններ կատարելու վերաբերյալ համապատասխան հայտն անհրաժեշտ է ներկայացնել մինչ</w:t>
      </w:r>
      <w:r w:rsidR="00C54D75">
        <w:rPr>
          <w:rFonts w:ascii="Sylfaen" w:hAnsi="Sylfaen"/>
          <w:sz w:val="24"/>
          <w:szCs w:val="24"/>
        </w:rPr>
        <w:t>և</w:t>
      </w:r>
      <w:r w:rsidRPr="00826F05">
        <w:rPr>
          <w:rFonts w:ascii="Sylfaen" w:hAnsi="Sylfaen"/>
          <w:sz w:val="24"/>
          <w:szCs w:val="24"/>
        </w:rPr>
        <w:t xml:space="preserve"> փոփոխությունն իրականացնելը:</w:t>
      </w:r>
    </w:p>
    <w:p w14:paraId="3D5116D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Գրանցման հավաստագրի իրավատիրոջ կողմից այլ փոփոխությունների </w:t>
      </w:r>
      <w:r w:rsidRPr="005B25AF">
        <w:rPr>
          <w:rFonts w:ascii="Sylfaen" w:hAnsi="Sylfaen"/>
          <w:spacing w:val="-6"/>
          <w:sz w:val="24"/>
          <w:szCs w:val="24"/>
        </w:rPr>
        <w:t>իրականացումը հնարավոր է լիազորված մարմին (փորձագիտական կազմակերպություն) ծանուցումը ներկայացնելու օրվանից միայն 30 օրացուցային</w:t>
      </w:r>
      <w:r w:rsidRPr="00826F05">
        <w:rPr>
          <w:rFonts w:ascii="Sylfaen" w:hAnsi="Sylfaen"/>
          <w:sz w:val="24"/>
          <w:szCs w:val="24"/>
        </w:rPr>
        <w:t xml:space="preserve"> օր հետո՝ նշված ժամկետում փոփոխություններ կատարելու վերաբերյալ համապատասխան լիազորված մարմնի (փորձագիտական կազմակերպության) բացասական եզրակացության բացակայության պայմանով («ասա, սպասիր </w:t>
      </w:r>
      <w:r w:rsidR="00C54D75">
        <w:rPr>
          <w:rFonts w:ascii="Sylfaen" w:hAnsi="Sylfaen"/>
          <w:sz w:val="24"/>
          <w:szCs w:val="24"/>
        </w:rPr>
        <w:t>և</w:t>
      </w:r>
      <w:r w:rsidRPr="00826F05">
        <w:rPr>
          <w:rFonts w:ascii="Sylfaen" w:hAnsi="Sylfaen"/>
          <w:sz w:val="24"/>
          <w:szCs w:val="24"/>
        </w:rPr>
        <w:t xml:space="preserve"> կատարիր» ընթացակարգ):</w:t>
      </w:r>
    </w:p>
    <w:p w14:paraId="6AE6C425" w14:textId="77777777" w:rsidR="004F5982" w:rsidRPr="00826F05" w:rsidRDefault="004F5982" w:rsidP="00487007">
      <w:pPr>
        <w:tabs>
          <w:tab w:val="left" w:pos="1701"/>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2.2.1.</w:t>
      </w:r>
      <w:r w:rsidRPr="00826F05">
        <w:rPr>
          <w:rFonts w:ascii="Sylfaen" w:hAnsi="Sylfaen"/>
          <w:sz w:val="24"/>
          <w:szCs w:val="24"/>
        </w:rPr>
        <w:tab/>
        <w:t>IB տիպի ոչ էական փոփոխություններ կատարելու մասին ծանուցելու ընթացակարգը:</w:t>
      </w:r>
    </w:p>
    <w:p w14:paraId="31FFB18F" w14:textId="77777777" w:rsidR="004F5982" w:rsidRPr="00826F05" w:rsidRDefault="004F5982" w:rsidP="00487007">
      <w:pPr>
        <w:spacing w:after="160" w:line="384" w:lineRule="auto"/>
        <w:ind w:right="33" w:firstLine="567"/>
        <w:jc w:val="both"/>
        <w:rPr>
          <w:rFonts w:ascii="Sylfaen" w:eastAsia="Times New Roman" w:hAnsi="Sylfaen" w:cs="Times New Roman"/>
          <w:sz w:val="24"/>
          <w:szCs w:val="24"/>
        </w:rPr>
      </w:pPr>
      <w:r w:rsidRPr="00826F05">
        <w:rPr>
          <w:rFonts w:ascii="Sylfaen" w:hAnsi="Sylfaen"/>
          <w:sz w:val="24"/>
          <w:szCs w:val="24"/>
        </w:rPr>
        <w:t>Հայտատուներն իրավունք ունեն մեկ ծանուցման մեջ խմբավորելու մի</w:t>
      </w:r>
      <w:r w:rsidR="00C54D75">
        <w:rPr>
          <w:rFonts w:ascii="Sylfaen" w:hAnsi="Sylfaen"/>
          <w:sz w:val="24"/>
          <w:szCs w:val="24"/>
        </w:rPr>
        <w:t>և</w:t>
      </w:r>
      <w:r w:rsidRPr="00826F05">
        <w:rPr>
          <w:rFonts w:ascii="Sylfaen" w:hAnsi="Sylfaen"/>
          <w:sz w:val="24"/>
          <w:szCs w:val="24"/>
        </w:rPr>
        <w:t xml:space="preserve">նույն </w:t>
      </w:r>
      <w:r w:rsidRPr="005B25AF">
        <w:rPr>
          <w:rFonts w:ascii="Sylfaen" w:hAnsi="Sylfaen"/>
          <w:spacing w:val="6"/>
          <w:sz w:val="24"/>
          <w:szCs w:val="24"/>
        </w:rPr>
        <w:t>գրանցման դոսյեի IB տիպի մի քանի ոչ էական փոփոխություններ կամ խմբավորել մեկ կամ ավելի IB տիպի ոչ էական փոփոխություններն այլ ոչ էական փոփոխությունների հետ մի</w:t>
      </w:r>
      <w:r w:rsidR="00C54D75">
        <w:rPr>
          <w:rFonts w:ascii="Sylfaen" w:hAnsi="Sylfaen"/>
          <w:spacing w:val="6"/>
          <w:sz w:val="24"/>
          <w:szCs w:val="24"/>
        </w:rPr>
        <w:t>և</w:t>
      </w:r>
      <w:r w:rsidRPr="005B25AF">
        <w:rPr>
          <w:rFonts w:ascii="Sylfaen" w:hAnsi="Sylfaen"/>
          <w:spacing w:val="6"/>
          <w:sz w:val="24"/>
          <w:szCs w:val="24"/>
        </w:rPr>
        <w:t>նույն գրանցման դոսյեում՝</w:t>
      </w:r>
      <w:r w:rsidRPr="00826F05">
        <w:rPr>
          <w:rFonts w:ascii="Sylfaen" w:hAnsi="Sylfaen"/>
          <w:sz w:val="24"/>
          <w:szCs w:val="24"/>
        </w:rPr>
        <w:t xml:space="preserve"> Դեղամիջոցների գրանցման կանոնների թիվ 19 հավելվածի III լրացման մեջ թվարկված դեպքերից մեկին դրա համապատասխանության պայմանով, կամ եթե այն նախկինում համաձայնեցվել է ռեֆերենտ պետության լիազորված մարմնի (փորձագիտական կազմակերպության) հետ:</w:t>
      </w:r>
    </w:p>
    <w:p w14:paraId="394B8701" w14:textId="77777777" w:rsidR="004F5982" w:rsidRPr="00826F05" w:rsidRDefault="004F5982" w:rsidP="00487007">
      <w:pPr>
        <w:spacing w:after="160" w:line="384" w:lineRule="auto"/>
        <w:ind w:right="-2" w:firstLine="567"/>
        <w:jc w:val="both"/>
        <w:rPr>
          <w:rFonts w:ascii="Sylfaen" w:eastAsia="Times New Roman" w:hAnsi="Sylfaen" w:cs="Times New Roman"/>
          <w:sz w:val="24"/>
          <w:szCs w:val="24"/>
        </w:rPr>
      </w:pPr>
      <w:r w:rsidRPr="00826F05">
        <w:rPr>
          <w:rFonts w:ascii="Sylfaen" w:hAnsi="Sylfaen"/>
          <w:sz w:val="24"/>
          <w:szCs w:val="24"/>
        </w:rPr>
        <w:t>Բացի այդ, մեկ անդամ պետությունում գրանցված դեղապատրաստուկների դեպքում հայտատուն իրավունք ունի խմբավորելու նա</w:t>
      </w:r>
      <w:r w:rsidR="00C54D75">
        <w:rPr>
          <w:rFonts w:ascii="Sylfaen" w:hAnsi="Sylfaen"/>
          <w:sz w:val="24"/>
          <w:szCs w:val="24"/>
        </w:rPr>
        <w:t>և</w:t>
      </w:r>
      <w:r w:rsidRPr="00826F05">
        <w:rPr>
          <w:rFonts w:ascii="Sylfaen" w:hAnsi="Sylfaen"/>
          <w:sz w:val="24"/>
          <w:szCs w:val="24"/>
        </w:rPr>
        <w:t xml:space="preserve"> մի քանի գրանցման դոսյեներին վերաբերող մի քանի IB տիպի ոչ էական փոփոխություններ մեկ անդամ պետությունում կամ խմբավորելու մեկ կամ ավելի IB տիպի ոչ էական </w:t>
      </w:r>
      <w:r w:rsidRPr="00826F05">
        <w:rPr>
          <w:rFonts w:ascii="Sylfaen" w:hAnsi="Sylfaen"/>
          <w:sz w:val="24"/>
          <w:szCs w:val="24"/>
        </w:rPr>
        <w:lastRenderedPageBreak/>
        <w:t>փոփոխություններ մի քանի գրանցման դոսյեներին վերաբերող այլ ոչ էական փոփոխությունների հետ մեկ անդամ պետությունում՝ պայմանով, որ՝</w:t>
      </w:r>
    </w:p>
    <w:p w14:paraId="2186F2DA" w14:textId="77777777" w:rsidR="004F5982" w:rsidRPr="00826F05" w:rsidRDefault="004F5982" w:rsidP="00487007">
      <w:pPr>
        <w:tabs>
          <w:tab w:val="left" w:pos="1134"/>
        </w:tabs>
        <w:spacing w:after="160" w:line="360" w:lineRule="auto"/>
        <w:ind w:right="42" w:firstLine="567"/>
        <w:jc w:val="both"/>
        <w:rPr>
          <w:rFonts w:ascii="Sylfaen" w:eastAsia="Times New Roman" w:hAnsi="Sylfaen" w:cs="Times New Roman"/>
          <w:sz w:val="24"/>
          <w:szCs w:val="24"/>
        </w:rPr>
      </w:pPr>
      <w:r w:rsidRPr="00826F05">
        <w:rPr>
          <w:rFonts w:ascii="Sylfaen" w:hAnsi="Sylfaen"/>
          <w:sz w:val="24"/>
          <w:szCs w:val="24"/>
        </w:rPr>
        <w:t>ա)</w:t>
      </w:r>
      <w:r w:rsidRPr="00826F05">
        <w:rPr>
          <w:rFonts w:ascii="Sylfaen" w:hAnsi="Sylfaen"/>
          <w:sz w:val="24"/>
          <w:szCs w:val="24"/>
        </w:rPr>
        <w:tab/>
        <w:t>դիտարկվող բոլոր գրանցման դոսյեների համար փոփոխությունները նույնն են,</w:t>
      </w:r>
    </w:p>
    <w:p w14:paraId="511F6598" w14:textId="77777777" w:rsidR="004F5982" w:rsidRPr="00826F05" w:rsidRDefault="004F5982" w:rsidP="00487007">
      <w:pPr>
        <w:tabs>
          <w:tab w:val="left" w:pos="1134"/>
        </w:tabs>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բ)</w:t>
      </w:r>
      <w:r w:rsidRPr="00826F05">
        <w:rPr>
          <w:rFonts w:ascii="Sylfaen" w:hAnsi="Sylfaen"/>
          <w:sz w:val="24"/>
          <w:szCs w:val="24"/>
        </w:rPr>
        <w:tab/>
        <w:t>փոփոխությունները ներկայացվել են լիազորված մարմին (փորձագիտական կազմակերպություն) մի</w:t>
      </w:r>
      <w:r w:rsidR="00C54D75">
        <w:rPr>
          <w:rFonts w:ascii="Sylfaen" w:hAnsi="Sylfaen"/>
          <w:sz w:val="24"/>
          <w:szCs w:val="24"/>
        </w:rPr>
        <w:t>և</w:t>
      </w:r>
      <w:r w:rsidRPr="00826F05">
        <w:rPr>
          <w:rFonts w:ascii="Sylfaen" w:hAnsi="Sylfaen"/>
          <w:sz w:val="24"/>
          <w:szCs w:val="24"/>
        </w:rPr>
        <w:t>նույն ժամանակ,</w:t>
      </w:r>
    </w:p>
    <w:p w14:paraId="3C894E3D" w14:textId="77777777" w:rsidR="004F5982" w:rsidRPr="00826F05" w:rsidRDefault="004F5982" w:rsidP="00487007">
      <w:pPr>
        <w:tabs>
          <w:tab w:val="left" w:pos="1134"/>
        </w:tabs>
        <w:spacing w:after="160" w:line="360" w:lineRule="auto"/>
        <w:ind w:right="40" w:firstLine="567"/>
        <w:jc w:val="both"/>
        <w:rPr>
          <w:rFonts w:ascii="Sylfaen" w:eastAsia="Times New Roman" w:hAnsi="Sylfaen" w:cs="Times New Roman"/>
          <w:sz w:val="24"/>
          <w:szCs w:val="24"/>
        </w:rPr>
      </w:pPr>
      <w:r w:rsidRPr="00826F05">
        <w:rPr>
          <w:rFonts w:ascii="Sylfaen" w:hAnsi="Sylfaen"/>
          <w:sz w:val="24"/>
          <w:szCs w:val="24"/>
        </w:rPr>
        <w:t>գ</w:t>
      </w:r>
      <w:r>
        <w:rPr>
          <w:rFonts w:ascii="Sylfaen" w:hAnsi="Sylfaen"/>
          <w:sz w:val="24"/>
          <w:szCs w:val="24"/>
        </w:rPr>
        <w:t>)</w:t>
      </w:r>
      <w:r w:rsidRPr="00E72C30">
        <w:rPr>
          <w:rFonts w:ascii="Sylfaen" w:hAnsi="Sylfaen"/>
          <w:sz w:val="24"/>
          <w:szCs w:val="24"/>
        </w:rPr>
        <w:tab/>
      </w:r>
      <w:r w:rsidRPr="00826F05">
        <w:rPr>
          <w:rFonts w:ascii="Sylfaen" w:hAnsi="Sylfaen"/>
          <w:sz w:val="24"/>
          <w:szCs w:val="24"/>
        </w:rPr>
        <w:t>լիազորված մարմինը (փորձագիտական կազմակերպությունը) նախկինում համաձայնություն է տվել այդպիսի խմբավորման համար:</w:t>
      </w:r>
    </w:p>
    <w:p w14:paraId="7A8B41B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Ավելին, եթե IB տիպի մի</w:t>
      </w:r>
      <w:r w:rsidR="00C54D75">
        <w:rPr>
          <w:rFonts w:ascii="Sylfaen" w:hAnsi="Sylfaen"/>
          <w:sz w:val="24"/>
          <w:szCs w:val="24"/>
        </w:rPr>
        <w:t>և</w:t>
      </w:r>
      <w:r w:rsidRPr="00826F05">
        <w:rPr>
          <w:rFonts w:ascii="Sylfaen" w:hAnsi="Sylfaen"/>
          <w:sz w:val="24"/>
          <w:szCs w:val="24"/>
        </w:rPr>
        <w:t>նույն ոչ էական փոփոխությունը կամ ոչ էական փոփոխությունների մի</w:t>
      </w:r>
      <w:r w:rsidR="00C54D75">
        <w:rPr>
          <w:rFonts w:ascii="Sylfaen" w:hAnsi="Sylfaen"/>
          <w:sz w:val="24"/>
          <w:szCs w:val="24"/>
        </w:rPr>
        <w:t>և</w:t>
      </w:r>
      <w:r w:rsidRPr="00826F05">
        <w:rPr>
          <w:rFonts w:ascii="Sylfaen" w:hAnsi="Sylfaen"/>
          <w:sz w:val="24"/>
          <w:szCs w:val="24"/>
        </w:rPr>
        <w:t>նույն խումբը (բերված նկարագրությանը համապատասխան) վերաբերում է գրանցման հավաստագրի մեկ իրավատիրոջ մի քանի գրանցման դոսյեներին, հայտատուն իրավունք ունի այդպիսի փոփոխությունները ներկայացնելու մեկ հայտի տեսքով՝ «պարտականությունների բաշխման» նպատակով:</w:t>
      </w:r>
    </w:p>
    <w:p w14:paraId="4B64F53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Հայտատուն ռեֆերենտ պետության լիազորված մարմին (փորձագիտական կազմակերպություն) է ներկայացնում փոփոխության (ծանուցման) դոսյե, որը պարունակում է Դեղամիջոցների գրանցման կանոնների թիվ 19 հավելվածի IV</w:t>
      </w:r>
      <w:r>
        <w:rPr>
          <w:rFonts w:ascii="Sylfaen" w:hAnsi="Sylfaen"/>
          <w:sz w:val="24"/>
          <w:szCs w:val="24"/>
        </w:rPr>
        <w:t> </w:t>
      </w:r>
      <w:r w:rsidRPr="00826F05">
        <w:rPr>
          <w:rFonts w:ascii="Sylfaen" w:hAnsi="Sylfaen"/>
          <w:sz w:val="24"/>
          <w:szCs w:val="24"/>
        </w:rPr>
        <w:t>լրացման մեջ նշված տարրեր, որոնք ներկայացվել են հետ</w:t>
      </w:r>
      <w:r w:rsidR="00C54D75">
        <w:rPr>
          <w:rFonts w:ascii="Sylfaen" w:hAnsi="Sylfaen"/>
          <w:sz w:val="24"/>
          <w:szCs w:val="24"/>
        </w:rPr>
        <w:t>և</w:t>
      </w:r>
      <w:r w:rsidRPr="00826F05">
        <w:rPr>
          <w:rFonts w:ascii="Sylfaen" w:hAnsi="Sylfaen"/>
          <w:sz w:val="24"/>
          <w:szCs w:val="24"/>
        </w:rPr>
        <w:t xml:space="preserve">յալ կարգով՝ համապատասխան վերնագրերով </w:t>
      </w:r>
      <w:r w:rsidR="00C54D75">
        <w:rPr>
          <w:rFonts w:ascii="Sylfaen" w:hAnsi="Sylfaen"/>
          <w:sz w:val="24"/>
          <w:szCs w:val="24"/>
        </w:rPr>
        <w:t>և</w:t>
      </w:r>
      <w:r w:rsidRPr="00826F05">
        <w:rPr>
          <w:rFonts w:ascii="Sylfaen" w:hAnsi="Sylfaen"/>
          <w:sz w:val="24"/>
          <w:szCs w:val="24"/>
        </w:rPr>
        <w:t xml:space="preserve"> համարակալմամբ՝ ընդհանուր տեխնիկական փաստաթղթի ձ</w:t>
      </w:r>
      <w:r w:rsidR="00C54D75">
        <w:rPr>
          <w:rFonts w:ascii="Sylfaen" w:hAnsi="Sylfaen"/>
          <w:sz w:val="24"/>
          <w:szCs w:val="24"/>
        </w:rPr>
        <w:t>և</w:t>
      </w:r>
      <w:r w:rsidRPr="00826F05">
        <w:rPr>
          <w:rFonts w:ascii="Sylfaen" w:hAnsi="Sylfaen"/>
          <w:sz w:val="24"/>
          <w:szCs w:val="24"/>
        </w:rPr>
        <w:t>աչափով՝</w:t>
      </w:r>
    </w:p>
    <w:p w14:paraId="7B2093B3"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ուղեկցող նամակ,</w:t>
      </w:r>
    </w:p>
    <w:p w14:paraId="2BCF2DDE" w14:textId="77777777" w:rsidR="004F5982" w:rsidRPr="00826F05" w:rsidRDefault="004F5982" w:rsidP="00487007">
      <w:pPr>
        <w:spacing w:after="160" w:line="360" w:lineRule="auto"/>
        <w:ind w:right="33" w:firstLine="567"/>
        <w:jc w:val="both"/>
        <w:rPr>
          <w:rFonts w:ascii="Sylfaen" w:eastAsia="Times New Roman" w:hAnsi="Sylfaen" w:cs="Times New Roman"/>
          <w:sz w:val="24"/>
          <w:szCs w:val="24"/>
        </w:rPr>
      </w:pPr>
      <w:r w:rsidRPr="00826F05">
        <w:rPr>
          <w:rFonts w:ascii="Sylfaen" w:hAnsi="Sylfaen"/>
          <w:sz w:val="24"/>
          <w:szCs w:val="24"/>
        </w:rPr>
        <w:t>դեղապատրաստուկի գրանցման դոսյեում փոփոխություններ կատարելու վերաբերյալ հայտ, այդ թվում՝ դիտարկվող դեղապատրաստուկի մասին տեղեկությունները: Եթե փոփոխությունը մեկ այլ փոփոխության հետ</w:t>
      </w:r>
      <w:r w:rsidR="00C54D75">
        <w:rPr>
          <w:rFonts w:ascii="Sylfaen" w:hAnsi="Sylfaen"/>
          <w:sz w:val="24"/>
          <w:szCs w:val="24"/>
        </w:rPr>
        <w:t>և</w:t>
      </w:r>
      <w:r w:rsidRPr="00826F05">
        <w:rPr>
          <w:rFonts w:ascii="Sylfaen" w:hAnsi="Sylfaen"/>
          <w:sz w:val="24"/>
          <w:szCs w:val="24"/>
        </w:rPr>
        <w:t>անք է կամ կապված է դրա հետ, հայտի ձ</w:t>
      </w:r>
      <w:r w:rsidR="00C54D75">
        <w:rPr>
          <w:rFonts w:ascii="Sylfaen" w:hAnsi="Sylfaen"/>
          <w:sz w:val="24"/>
          <w:szCs w:val="24"/>
        </w:rPr>
        <w:t>և</w:t>
      </w:r>
      <w:r w:rsidRPr="00826F05">
        <w:rPr>
          <w:rFonts w:ascii="Sylfaen" w:hAnsi="Sylfaen"/>
          <w:sz w:val="24"/>
          <w:szCs w:val="24"/>
        </w:rPr>
        <w:t>ի համապատասխան բաժնում անհրաժեշտ է ներկայացնել այդ փոփոխությունների միջ</w:t>
      </w:r>
      <w:r w:rsidR="00C54D75">
        <w:rPr>
          <w:rFonts w:ascii="Sylfaen" w:hAnsi="Sylfaen"/>
          <w:sz w:val="24"/>
          <w:szCs w:val="24"/>
        </w:rPr>
        <w:t>և</w:t>
      </w:r>
      <w:r w:rsidRPr="00826F05">
        <w:rPr>
          <w:rFonts w:ascii="Sylfaen" w:hAnsi="Sylfaen"/>
          <w:sz w:val="24"/>
          <w:szCs w:val="24"/>
        </w:rPr>
        <w:t xml:space="preserve"> կապի նկարագրությունը: Եթե</w:t>
      </w:r>
      <w:r>
        <w:rPr>
          <w:rFonts w:ascii="Sylfaen" w:hAnsi="Sylfaen"/>
          <w:sz w:val="24"/>
          <w:szCs w:val="24"/>
        </w:rPr>
        <w:t> </w:t>
      </w:r>
      <w:r w:rsidRPr="00826F05">
        <w:rPr>
          <w:rFonts w:ascii="Sylfaen" w:hAnsi="Sylfaen"/>
          <w:sz w:val="24"/>
          <w:szCs w:val="24"/>
        </w:rPr>
        <w:t xml:space="preserve">փոփոխությունը դիտարկվում է որպես չդասակարգվող փոփոխություն, </w:t>
      </w:r>
      <w:r w:rsidRPr="00826F05">
        <w:rPr>
          <w:rFonts w:ascii="Sylfaen" w:hAnsi="Sylfaen"/>
          <w:sz w:val="24"/>
          <w:szCs w:val="24"/>
        </w:rPr>
        <w:lastRenderedPageBreak/>
        <w:t>անհրաժեշտ է ներառել այն որպես IB տիպի ծանուցում ներկայացնելու մանրամասն հիմնավորում,</w:t>
      </w:r>
    </w:p>
    <w:p w14:paraId="461F709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փոփոխության ծածկագրի նշումը՝ Դեղամիջոցների գրանցման կանոնների թիվ 19 հավելվածի V լրացմանը համապատասխան, որը վկայում է այն մասին, որ պահպանված են բոլոր պայմանները </w:t>
      </w:r>
      <w:r w:rsidR="00C54D75">
        <w:rPr>
          <w:rFonts w:ascii="Sylfaen" w:hAnsi="Sylfaen"/>
          <w:sz w:val="24"/>
          <w:szCs w:val="24"/>
        </w:rPr>
        <w:t>և</w:t>
      </w:r>
      <w:r w:rsidRPr="00826F05">
        <w:rPr>
          <w:rFonts w:ascii="Sylfaen" w:hAnsi="Sylfaen"/>
          <w:sz w:val="24"/>
          <w:szCs w:val="24"/>
        </w:rPr>
        <w:t xml:space="preserve"> փաստաթղթային պահանջները, կամ եթե կիրառելի է, համապատասխան հայտում օգտագործված՝ Դեղամիջոցների գրանցման կանոնների թիվ 19 հավելվածի 1.5 կետին համապատասխան ներկայացված՝ դասակարգման առաջարկության նշումը,</w:t>
      </w:r>
    </w:p>
    <w:p w14:paraId="3F2F53F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առաջարկվող փոփոխությունը հիմնավորող անհրաժեշտ փաստաթղթերը, այդ թվում՝ Դեղամիջոցների գրանցման կանոնների թիվ 19 հավելվածի V լրացման մեջ նշված բոլոր փաստաթղթերը,</w:t>
      </w:r>
    </w:p>
    <w:p w14:paraId="15B5991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լիազորված մարմնի կողմից պահանջված այն փոփոխությունների դեպքում, որոնք պայմանավորված են դեղապատրաստուկի մասին նոր ստացված տվյալներով, օրինակ՝ հետգրանցումային պայմաններին համապատասխան կամ դեղազգոնության պարտավորությունների շրջանակներում, ուղեկցող նամակին անհրաժեշտ է կցել լիազորված մարմնի (փորձագիտական կազմակերպության) հարցման պատճենը,</w:t>
      </w:r>
    </w:p>
    <w:p w14:paraId="72BE666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փոփոխությունները վերաբերում են դեղապատրաստուկի ընդհանուր բնութագրին, մականշվածքին կամ ներդիր-թերթիկին, ինչպես նա</w:t>
      </w:r>
      <w:r w:rsidR="00C54D75">
        <w:rPr>
          <w:rFonts w:ascii="Sylfaen" w:hAnsi="Sylfaen"/>
          <w:sz w:val="24"/>
          <w:szCs w:val="24"/>
        </w:rPr>
        <w:t>և</w:t>
      </w:r>
      <w:r w:rsidRPr="00826F05">
        <w:rPr>
          <w:rFonts w:ascii="Sylfaen" w:hAnsi="Sylfaen"/>
          <w:sz w:val="24"/>
          <w:szCs w:val="24"/>
        </w:rPr>
        <w:t xml:space="preserve"> որակի նորմատիվ փաստաթղթին՝ պատշաճ ձ</w:t>
      </w:r>
      <w:r w:rsidR="00C54D75">
        <w:rPr>
          <w:rFonts w:ascii="Sylfaen" w:hAnsi="Sylfaen"/>
          <w:sz w:val="24"/>
          <w:szCs w:val="24"/>
        </w:rPr>
        <w:t>և</w:t>
      </w:r>
      <w:r w:rsidRPr="00826F05">
        <w:rPr>
          <w:rFonts w:ascii="Sylfaen" w:hAnsi="Sylfaen"/>
          <w:sz w:val="24"/>
          <w:szCs w:val="24"/>
        </w:rPr>
        <w:t xml:space="preserve">աչափով ներկայացված՝ </w:t>
      </w:r>
      <w:r w:rsidRPr="005B25AF">
        <w:rPr>
          <w:rFonts w:ascii="Sylfaen" w:hAnsi="Sylfaen"/>
          <w:spacing w:val="-6"/>
          <w:sz w:val="24"/>
          <w:szCs w:val="24"/>
        </w:rPr>
        <w:t xml:space="preserve">դեղապատրաստուկի մասին վերանայված տեղեկատվությունը (դեղապատրաստուկի ընդհանուր բնութագիրը, մականշվածքը </w:t>
      </w:r>
      <w:r w:rsidR="00C54D75">
        <w:rPr>
          <w:rFonts w:ascii="Sylfaen" w:hAnsi="Sylfaen"/>
          <w:spacing w:val="-6"/>
          <w:sz w:val="24"/>
          <w:szCs w:val="24"/>
        </w:rPr>
        <w:t>և</w:t>
      </w:r>
      <w:r w:rsidRPr="00826F05">
        <w:rPr>
          <w:rFonts w:ascii="Sylfaen" w:hAnsi="Sylfaen"/>
          <w:sz w:val="24"/>
          <w:szCs w:val="24"/>
        </w:rPr>
        <w:t xml:space="preserve"> ներդիր-թերթիկը), որակի նորմատիվ փաստաթուղթը, ինչպես նա</w:t>
      </w:r>
      <w:r w:rsidR="00C54D75">
        <w:rPr>
          <w:rFonts w:ascii="Sylfaen" w:hAnsi="Sylfaen"/>
          <w:sz w:val="24"/>
          <w:szCs w:val="24"/>
        </w:rPr>
        <w:t>և</w:t>
      </w:r>
      <w:r w:rsidRPr="00826F05">
        <w:rPr>
          <w:rFonts w:ascii="Sylfaen" w:hAnsi="Sylfaen"/>
          <w:sz w:val="24"/>
          <w:szCs w:val="24"/>
        </w:rPr>
        <w:t xml:space="preserve"> անդամ պետությունների պետական լեզվով համապատասխան թարգմանությունները՝ նրանց օրենսդրության մեջ համապատասխան պահանջների առկայության դեպքում: Եթե IB տիպի ոչ էական փոփոխությունն ազդում է առաջնային </w:t>
      </w:r>
      <w:r w:rsidR="00C54D75">
        <w:rPr>
          <w:rFonts w:ascii="Sylfaen" w:hAnsi="Sylfaen"/>
          <w:sz w:val="24"/>
          <w:szCs w:val="24"/>
        </w:rPr>
        <w:t>և</w:t>
      </w:r>
      <w:r w:rsidRPr="00826F05">
        <w:rPr>
          <w:rFonts w:ascii="Sylfaen" w:hAnsi="Sylfaen"/>
          <w:sz w:val="24"/>
          <w:szCs w:val="24"/>
        </w:rPr>
        <w:t xml:space="preserve"> (կամ) երկրորդային փաթեթվածքի ընդհանուր դիզայնի վրա, լիազորված մարմինը (փորձագիտական կազմակերպությունը) պետք է ներկայացնի փաթեթվածքի մանրակերտերը:</w:t>
      </w:r>
    </w:p>
    <w:p w14:paraId="0D6AC0C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Դեղամիջոցների գրանցման կանոնների թիվ 19 հավելվածի 1.1.3 կետում նշված փոփոխությունների մասով ռեֆերենտ պետության լիազորված մարմինը (փորձագիտական կազմակերպությունը) պետք է լրացուցիչ ստանա IB տիպի դեղապատրաստուկի գրանցման դոսյեում փոփոխություններ կատարելու վերաբերյալ համապատասխան հայտերը շահագրգիռ ճանաչման պետություններ ներկայացնելու ամսաթվերի </w:t>
      </w:r>
      <w:r w:rsidR="00C54D75">
        <w:rPr>
          <w:rFonts w:ascii="Sylfaen" w:hAnsi="Sylfaen"/>
          <w:sz w:val="24"/>
          <w:szCs w:val="24"/>
        </w:rPr>
        <w:t>և</w:t>
      </w:r>
      <w:r w:rsidRPr="00826F05">
        <w:rPr>
          <w:rFonts w:ascii="Sylfaen" w:hAnsi="Sylfaen"/>
          <w:sz w:val="24"/>
          <w:szCs w:val="24"/>
        </w:rPr>
        <w:t xml:space="preserve"> ճանաչման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դեղապատրաստուկի գրանցման դոսյեում փոփոխություններ կատարելու (</w:t>
      </w:r>
      <w:r w:rsidR="00C54D75">
        <w:rPr>
          <w:rFonts w:ascii="Sylfaen" w:hAnsi="Sylfaen"/>
          <w:sz w:val="24"/>
          <w:szCs w:val="24"/>
        </w:rPr>
        <w:t>և</w:t>
      </w:r>
      <w:r w:rsidRPr="00826F05">
        <w:rPr>
          <w:rFonts w:ascii="Sylfaen" w:hAnsi="Sylfaen"/>
          <w:sz w:val="24"/>
          <w:szCs w:val="24"/>
        </w:rPr>
        <w:t xml:space="preserve"> անհրաժեշտության դեպքում՝ դրա փորձաքննության) վճարի (տուրքի) վճարումը հաստատող փաստաթղթերի ցանկը:</w:t>
      </w:r>
    </w:p>
    <w:p w14:paraId="5373546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1.1.4 կետում նշված փոփոխությունների մասով՝ անդամ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դեղապատրաստուկի գրանցման դոսյեում (</w:t>
      </w:r>
      <w:r w:rsidR="00C54D75">
        <w:rPr>
          <w:rFonts w:ascii="Sylfaen" w:hAnsi="Sylfaen"/>
          <w:sz w:val="24"/>
          <w:szCs w:val="24"/>
        </w:rPr>
        <w:t>և</w:t>
      </w:r>
      <w:r>
        <w:rPr>
          <w:rFonts w:ascii="Sylfaen" w:hAnsi="Sylfaen"/>
          <w:sz w:val="24"/>
          <w:szCs w:val="24"/>
        </w:rPr>
        <w:t> </w:t>
      </w:r>
      <w:r w:rsidRPr="00826F05">
        <w:rPr>
          <w:rFonts w:ascii="Sylfaen" w:hAnsi="Sylfaen"/>
          <w:sz w:val="24"/>
          <w:szCs w:val="24"/>
        </w:rPr>
        <w:t>անհրաժեշտության դեպքում՝ դրա փորձաքննության մեջ) փոփոխություններ կատարելու վճարի (տուրքի) վճարման հաստատում:</w:t>
      </w:r>
    </w:p>
    <w:p w14:paraId="0A7A151E" w14:textId="77777777" w:rsidR="004F5982" w:rsidRPr="00826F05" w:rsidRDefault="004F5982" w:rsidP="00487007">
      <w:pPr>
        <w:tabs>
          <w:tab w:val="left" w:pos="1701"/>
        </w:tabs>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2.2.2.</w:t>
      </w:r>
      <w:r w:rsidRPr="00826F05">
        <w:rPr>
          <w:rFonts w:ascii="Sylfaen" w:hAnsi="Sylfaen"/>
          <w:sz w:val="24"/>
          <w:szCs w:val="24"/>
        </w:rPr>
        <w:tab/>
        <w:t>Դեղամիջոցների գրանցման կանոնների թիվ 19 հավելվածի 1.1.3</w:t>
      </w:r>
      <w:r>
        <w:rPr>
          <w:rFonts w:ascii="Sylfaen" w:hAnsi="Sylfaen"/>
          <w:sz w:val="24"/>
          <w:szCs w:val="24"/>
        </w:rPr>
        <w:t> </w:t>
      </w:r>
      <w:r w:rsidRPr="00826F05">
        <w:rPr>
          <w:rFonts w:ascii="Sylfaen" w:hAnsi="Sylfaen"/>
          <w:sz w:val="24"/>
          <w:szCs w:val="24"/>
        </w:rPr>
        <w:t>կետում նշված IB տիպի փոփոխությունների փորձաքննություն:</w:t>
      </w:r>
    </w:p>
    <w:p w14:paraId="0888D2A1"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 xml:space="preserve">IВ տիպի ոչ էական փոփոխություն կատարելու դեպքում, Դեղամիջոցների գրանցման կանոնների թիվ 2 հավելվածի համաձայն, 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միաժամանակ համապատասխան բոլոր մարմիններ (փորձագիտական կազմակերպություններ) է ներկայացնում փոփոխություններ կատարելու հայտ </w:t>
      </w:r>
      <w:r w:rsidR="00C54D75">
        <w:rPr>
          <w:rFonts w:ascii="Sylfaen" w:hAnsi="Sylfaen"/>
          <w:sz w:val="24"/>
          <w:szCs w:val="24"/>
        </w:rPr>
        <w:t>և</w:t>
      </w:r>
      <w:r w:rsidRPr="00826F05">
        <w:rPr>
          <w:rFonts w:ascii="Sylfaen" w:hAnsi="Sylfaen"/>
          <w:sz w:val="24"/>
          <w:szCs w:val="24"/>
        </w:rPr>
        <w:t xml:space="preserve"> անդամ պետությունների օրենսդրությանը համապատասխան սահմանված դեպքում </w:t>
      </w:r>
      <w:r w:rsidR="00C54D75">
        <w:rPr>
          <w:rFonts w:ascii="Sylfaen" w:hAnsi="Sylfaen"/>
          <w:sz w:val="24"/>
          <w:szCs w:val="24"/>
        </w:rPr>
        <w:t>և</w:t>
      </w:r>
      <w:r w:rsidRPr="00826F05">
        <w:rPr>
          <w:rFonts w:ascii="Sylfaen" w:hAnsi="Sylfaen"/>
          <w:sz w:val="24"/>
          <w:szCs w:val="24"/>
        </w:rPr>
        <w:t xml:space="preserve"> կարգով փոփոխություններ կատարելու վճարի (տուրքի) վճարումը հաստատող փաստաթղթեր:</w:t>
      </w:r>
    </w:p>
    <w:p w14:paraId="04051CD8"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Հայտատուն ռեֆերենտ պետության լիազորված մարմին (փորձագիտական կազմակերպություն) է ներկայացնում փոփոխության (ծանուցման) դոսյե, որը պարունակում է Դեղամիջոցների գրանցման կանոնների IV լրացման մեջ թվարկված տարրեր:</w:t>
      </w:r>
    </w:p>
    <w:p w14:paraId="53304057"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Ռեֆերենտ պետության լիազորված մարմինը (փորձագիտական կազմակերպությունը) ինտեգրված համակարգի միջոցով ճանաչման պետությունների համապատասխան մարմինների համար ապահովում է փոփոխության (ծանուցման) դոսյեի հասանելիությունը ոչ ուշ, քան ներկայացված փաստաթղթերի ամբողջականությունը, լրակազմությունը </w:t>
      </w:r>
      <w:r w:rsidR="00C54D75">
        <w:rPr>
          <w:rFonts w:ascii="Sylfaen" w:hAnsi="Sylfaen"/>
          <w:sz w:val="24"/>
          <w:szCs w:val="24"/>
        </w:rPr>
        <w:t>և</w:t>
      </w:r>
      <w:r w:rsidRPr="00826F05">
        <w:rPr>
          <w:rFonts w:ascii="Sylfaen" w:hAnsi="Sylfaen"/>
          <w:sz w:val="24"/>
          <w:szCs w:val="24"/>
        </w:rPr>
        <w:t xml:space="preserve"> ճիշտ ձ</w:t>
      </w:r>
      <w:r w:rsidR="00C54D75">
        <w:rPr>
          <w:rFonts w:ascii="Sylfaen" w:hAnsi="Sylfaen"/>
          <w:sz w:val="24"/>
          <w:szCs w:val="24"/>
        </w:rPr>
        <w:t>և</w:t>
      </w:r>
      <w:r w:rsidRPr="00826F05">
        <w:rPr>
          <w:rFonts w:ascii="Sylfaen" w:hAnsi="Sylfaen"/>
          <w:sz w:val="24"/>
          <w:szCs w:val="24"/>
        </w:rPr>
        <w:t>ակերպումը գնահատելուց, այդ թվում՝ փոփոխությունները IB տիպի ոչ էական փոփոխությունների ծանուցմանը դասելու հնարավորությունները ստուգելուց հետո («վալիդացում») փոփոխությունների կատարման հայտը ռեֆերենտ պետություն ներկայացնելու օրվանից 5 աշխատանքային օրվա ընթացքում:</w:t>
      </w:r>
    </w:p>
    <w:p w14:paraId="7D213A72" w14:textId="77777777" w:rsidR="004F5982" w:rsidRPr="00826F05" w:rsidRDefault="004F5982" w:rsidP="00487007">
      <w:pPr>
        <w:spacing w:after="160" w:line="360" w:lineRule="auto"/>
        <w:ind w:right="-2" w:firstLine="567"/>
        <w:jc w:val="both"/>
        <w:rPr>
          <w:rFonts w:ascii="Sylfaen" w:hAnsi="Sylfaen"/>
          <w:sz w:val="24"/>
          <w:szCs w:val="24"/>
        </w:rPr>
      </w:pPr>
      <w:r w:rsidRPr="005B25AF">
        <w:rPr>
          <w:rFonts w:ascii="Sylfaen" w:hAnsi="Sylfaen"/>
          <w:spacing w:val="-6"/>
          <w:sz w:val="24"/>
          <w:szCs w:val="24"/>
        </w:rPr>
        <w:t>Եթե ներկայացված փոփոխությունը չի դիտարկվում որպես IB տիպի ոչ</w:t>
      </w:r>
      <w:r>
        <w:rPr>
          <w:rFonts w:ascii="Sylfaen" w:hAnsi="Sylfaen"/>
          <w:spacing w:val="-6"/>
          <w:sz w:val="24"/>
          <w:szCs w:val="24"/>
        </w:rPr>
        <w:t xml:space="preserve"> </w:t>
      </w:r>
      <w:r w:rsidRPr="005B25AF">
        <w:rPr>
          <w:rFonts w:ascii="Sylfaen" w:hAnsi="Sylfaen"/>
          <w:spacing w:val="-6"/>
          <w:sz w:val="24"/>
          <w:szCs w:val="24"/>
        </w:rPr>
        <w:t>էական փոփոխություն՝ Դեղամիջոցների գրանցման կանոնների թիվ</w:t>
      </w:r>
      <w:r w:rsidRPr="00826F05">
        <w:rPr>
          <w:rFonts w:ascii="Sylfaen" w:hAnsi="Sylfaen"/>
          <w:sz w:val="24"/>
          <w:szCs w:val="24"/>
        </w:rPr>
        <w:t xml:space="preserve"> 19 հավելվածի V</w:t>
      </w:r>
      <w:r>
        <w:rPr>
          <w:rFonts w:ascii="Sylfaen" w:hAnsi="Sylfaen"/>
          <w:sz w:val="24"/>
          <w:szCs w:val="24"/>
        </w:rPr>
        <w:t> </w:t>
      </w:r>
      <w:r w:rsidRPr="00826F05">
        <w:rPr>
          <w:rFonts w:ascii="Sylfaen" w:hAnsi="Sylfaen"/>
          <w:sz w:val="24"/>
          <w:szCs w:val="24"/>
        </w:rPr>
        <w:t xml:space="preserve">լրացմանը համապատասխան, կամ այն չի դասակարգվել որպես IB տիպի </w:t>
      </w:r>
      <w:r w:rsidRPr="005B25AF">
        <w:rPr>
          <w:rFonts w:ascii="Sylfaen" w:hAnsi="Sylfaen"/>
          <w:spacing w:val="-6"/>
          <w:sz w:val="24"/>
          <w:szCs w:val="24"/>
        </w:rPr>
        <w:t>ոչ էական փոփոխություն՝ Դեղամիջոցների գրանցման կանոնների թիվ 19</w:t>
      </w:r>
      <w:r w:rsidRPr="00826F05">
        <w:rPr>
          <w:rFonts w:ascii="Sylfaen" w:hAnsi="Sylfaen"/>
          <w:sz w:val="24"/>
          <w:szCs w:val="24"/>
        </w:rPr>
        <w:t xml:space="preserve"> հավելվածի 1.5 կետին համապատասխան, </w:t>
      </w:r>
      <w:r w:rsidR="00C54D75">
        <w:rPr>
          <w:rFonts w:ascii="Sylfaen" w:hAnsi="Sylfaen"/>
          <w:sz w:val="24"/>
          <w:szCs w:val="24"/>
        </w:rPr>
        <w:t>և</w:t>
      </w:r>
      <w:r w:rsidRPr="00826F05">
        <w:rPr>
          <w:rFonts w:ascii="Sylfaen" w:hAnsi="Sylfaen"/>
          <w:sz w:val="24"/>
          <w:szCs w:val="24"/>
        </w:rPr>
        <w:t xml:space="preserve"> եթե ռեֆերենտ պետության լիազորված մարմինը (փորձագիտական կազմակերպությունը) համարում է, որ այն կարող է էական ազդեցություն ունենալ դեղապատրաստուկի որակի, անվտանգության կամ արդյունավետության վրա, ապա այն անհապաղ տեղեկացնում է այդ մասին շահագրգիռ անդամ պետություններին </w:t>
      </w:r>
      <w:r w:rsidR="00C54D75">
        <w:rPr>
          <w:rFonts w:ascii="Sylfaen" w:hAnsi="Sylfaen"/>
          <w:sz w:val="24"/>
          <w:szCs w:val="24"/>
        </w:rPr>
        <w:t>և</w:t>
      </w:r>
      <w:r w:rsidRPr="00826F05">
        <w:rPr>
          <w:rFonts w:ascii="Sylfaen" w:hAnsi="Sylfaen"/>
          <w:sz w:val="24"/>
          <w:szCs w:val="24"/>
        </w:rPr>
        <w:t xml:space="preserve"> հայտատուին:</w:t>
      </w:r>
    </w:p>
    <w:p w14:paraId="7ECC166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10 աշխատանքային օրվա ընթացքում շահագրգիռ անդամ պետություններն անհամաձայնություն չեն հայտնում, ապա հայտատուն ստանում</w:t>
      </w:r>
      <w:r>
        <w:rPr>
          <w:rFonts w:ascii="Sylfaen" w:hAnsi="Sylfaen"/>
          <w:sz w:val="24"/>
          <w:szCs w:val="24"/>
        </w:rPr>
        <w:t> </w:t>
      </w:r>
      <w:r w:rsidRPr="00826F05">
        <w:rPr>
          <w:rFonts w:ascii="Sylfaen" w:hAnsi="Sylfaen"/>
          <w:sz w:val="24"/>
          <w:szCs w:val="24"/>
        </w:rPr>
        <w:t xml:space="preserve">է հայտի վերանայման </w:t>
      </w:r>
      <w:r w:rsidR="00C54D75">
        <w:rPr>
          <w:rFonts w:ascii="Sylfaen" w:hAnsi="Sylfaen"/>
          <w:sz w:val="24"/>
          <w:szCs w:val="24"/>
        </w:rPr>
        <w:t>և</w:t>
      </w:r>
      <w:r w:rsidRPr="00826F05">
        <w:rPr>
          <w:rFonts w:ascii="Sylfaen" w:hAnsi="Sylfaen"/>
          <w:sz w:val="24"/>
          <w:szCs w:val="24"/>
        </w:rPr>
        <w:t xml:space="preserve"> II տիպի էական փոփոխությունների համար նախատեսված պահանջներին համապատասխան՝ դրա լրացման մասին հաստատում: Վերանայված վավեր հայտը ստանալուց հետո սկսվում է II տիպի փոփոխության փորձաքննության ընթացակարգը:</w:t>
      </w:r>
    </w:p>
    <w:p w14:paraId="768387E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Եթե շահագրգիռ անդամ պետությունները համաձայն չեն ռեֆերենտ պետության լիազորված մարմնի (փորձագիտական կազմակերպության) եզրակացության հետ, ռեֆերենտ պետության լիազորված մարմինը (փորձագիտական կազմակերպությունը) պետք է կայացնի ներկայացված հայտի </w:t>
      </w:r>
      <w:r w:rsidRPr="00826F05">
        <w:rPr>
          <w:rFonts w:ascii="Sylfaen" w:hAnsi="Sylfaen"/>
          <w:sz w:val="24"/>
          <w:szCs w:val="24"/>
        </w:rPr>
        <w:lastRenderedPageBreak/>
        <w:t xml:space="preserve">դասակարգման վերաբերյալ վերջնական որոշում՝ հաշվի առնելով շահագրգիռ պետություններից ստացված մեկնաբանությունները: </w:t>
      </w:r>
    </w:p>
    <w:p w14:paraId="2F010B0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ռեֆերենտ պետության լիազորված մարմինը (փորձագիտական կազմակերպությունը) համարում է, որ առաջարկվող փոփոխությունը կարելի է ուսումնասիրել որպես IB տիպի ոչ էական փոփոխություն, այն վալիդացման արդյունքների մասին ծանուցում է հայտատուին:</w:t>
      </w:r>
    </w:p>
    <w:p w14:paraId="5610ACE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Վավեր ծանուցման ստացումը ճանաչելու օրվանից 30 օրացուցային օրվա ընթացքում ռեֆերենտ պետության լիազորված մարմինը (փորձագիտական կազմակերպությունը) հայտատուին ծանուցում է ընթացակարգի արդյունքների մասին: Եթե ռեֆերենտ պետության լիազորված մարմինը (փորձագիտական կազմակերպությունը) ծանուցումը ստանալու օրվանից 30 օրացուցային օրվա ընթացքում հայտատուին չի ուղարկել ծանուցման վերաբերյալ իր եզրակացությունը, ծանուցումը համարվում է ընդունված (հաստատված) բոլոր համապատասխան մարմինների կողմից:</w:t>
      </w:r>
    </w:p>
    <w:p w14:paraId="58C553C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Բացասական եզրակացություն ստանալու դեպքում հայտատուն բացասական եզրակացություն ստանալու օրվանից 30 օրացուցային օրվա ընթացքում իրավունք ունի ռեֆերենտ պետության լիազորված մարմին (փորձագիտական կազմակերպություն) կրկին ներկայացնելու փոփոխության (ծանուցման) լրացված</w:t>
      </w:r>
      <w:r>
        <w:rPr>
          <w:rFonts w:ascii="Sylfaen" w:hAnsi="Sylfaen"/>
          <w:sz w:val="24"/>
          <w:szCs w:val="24"/>
        </w:rPr>
        <w:t> </w:t>
      </w:r>
      <w:r w:rsidRPr="00826F05">
        <w:rPr>
          <w:rFonts w:ascii="Sylfaen" w:hAnsi="Sylfaen"/>
          <w:sz w:val="24"/>
          <w:szCs w:val="24"/>
        </w:rPr>
        <w:t>դոսյե:</w:t>
      </w:r>
    </w:p>
    <w:p w14:paraId="252C1F4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հայտատուն չի ներկայացնում լրացված ծանուցում՝ լիազորված մարմնի (փորձագիտական կազմակերպության) եզրակացությանը կամ հայտին համապատասխան, ապա ծանուցումը համարվում է մերժված բոլոր համապատասխան մարմինների կողմից:</w:t>
      </w:r>
    </w:p>
    <w:p w14:paraId="28B80DA1"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Լրացված ծանուցումը ներկայացնելիս ռեֆերենտ պետության լիազորված մարմինը (փորձագիտական կազմակերպությունը) պետք է այն ստանալու օրվանից 30 օրացուցային օրվանից ոչ ավել ժամկետում ուսումնասիրի կրկին ներկայացված փաստաթղթերը </w:t>
      </w:r>
      <w:r w:rsidR="00C54D75">
        <w:rPr>
          <w:rFonts w:ascii="Sylfaen" w:hAnsi="Sylfaen"/>
          <w:sz w:val="24"/>
          <w:szCs w:val="24"/>
        </w:rPr>
        <w:t>և</w:t>
      </w:r>
      <w:r w:rsidRPr="00826F05">
        <w:rPr>
          <w:rFonts w:ascii="Sylfaen" w:hAnsi="Sylfaen"/>
          <w:sz w:val="24"/>
          <w:szCs w:val="24"/>
        </w:rPr>
        <w:t xml:space="preserve"> տվյալները, որից հետո ռեֆերենտ պետության լիազորված մարմինը (փորձագիտական կազմակերպությունը) հայտատուին </w:t>
      </w:r>
      <w:r w:rsidRPr="00826F05">
        <w:rPr>
          <w:rFonts w:ascii="Sylfaen" w:hAnsi="Sylfaen"/>
          <w:sz w:val="24"/>
          <w:szCs w:val="24"/>
        </w:rPr>
        <w:lastRenderedPageBreak/>
        <w:t>ծանուցում է փոփոխության (փոփոխությունների) վերջնական ընդունման կամ մերժման (այդ թվում՝ բացասական եզրակացության հիմքերի) մասին: Շահագրգիռ անդամ պետությունները ստանում են համապատասխան ծանուցումներ:</w:t>
      </w:r>
    </w:p>
    <w:p w14:paraId="37EFAD7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Եթե մեկ ծանուցման շրջանակներում ներկայացվել է ոչ էական փոփոխությունների խումբ, ռեֆերենտ պետության լիազորված մարմինը (փորձագիտական կազմակերպությունը) հայտատուին </w:t>
      </w:r>
      <w:r w:rsidR="00C54D75">
        <w:rPr>
          <w:rFonts w:ascii="Sylfaen" w:hAnsi="Sylfaen"/>
          <w:sz w:val="24"/>
          <w:szCs w:val="24"/>
        </w:rPr>
        <w:t>և</w:t>
      </w:r>
      <w:r w:rsidRPr="00826F05">
        <w:rPr>
          <w:rFonts w:ascii="Sylfaen" w:hAnsi="Sylfaen"/>
          <w:sz w:val="24"/>
          <w:szCs w:val="24"/>
        </w:rPr>
        <w:t xml:space="preserve"> շահագրգիռ անդամ պետություններին ծանուցում է, թե որ փոփոխությունն է ընդունվել կամ մերժվել փորձաքննության արդյունքներով:</w:t>
      </w:r>
    </w:p>
    <w:p w14:paraId="00DF394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Անհրաժեշտության դեպքում համապատասխան մարմինները թարմացնում</w:t>
      </w:r>
      <w:r>
        <w:rPr>
          <w:rFonts w:ascii="Sylfaen" w:hAnsi="Sylfaen"/>
          <w:sz w:val="24"/>
          <w:szCs w:val="24"/>
        </w:rPr>
        <w:t> </w:t>
      </w:r>
      <w:r w:rsidRPr="00826F05">
        <w:rPr>
          <w:rFonts w:ascii="Sylfaen" w:hAnsi="Sylfaen"/>
          <w:sz w:val="24"/>
          <w:szCs w:val="24"/>
        </w:rPr>
        <w:t>են գրանցման դոսյեն 180 օրացուցային օրվա ընթացքում՝ ռեֆերենտ</w:t>
      </w:r>
      <w:r>
        <w:rPr>
          <w:rFonts w:ascii="Sylfaen" w:hAnsi="Sylfaen"/>
          <w:sz w:val="24"/>
          <w:szCs w:val="24"/>
        </w:rPr>
        <w:t> </w:t>
      </w:r>
      <w:r w:rsidRPr="00826F05">
        <w:rPr>
          <w:rFonts w:ascii="Sylfaen" w:hAnsi="Sylfaen"/>
          <w:sz w:val="24"/>
          <w:szCs w:val="24"/>
        </w:rPr>
        <w:t>պետության լիազորված մարմնի (փորձագիտական կազմակերպության) կողմից ընթացակարգերն ավարտելուց հետո՝ շահագրգիռ անդամ պետության կողմից գրանցման դոսյեի փոփոխության համար անհրաժեշտ փաստաթղթերը ներկայացնելու պայմանով: Սակայն թույլ է տրվում ընդունված IB տիպի ոչ էական փոփոխություններն իրականացնել՝ չսպասելով գրանցման դոսյեի թարմացմանը, բացառությամբ այն դեպքի, երբ փոփոխությունները հանգեցնում են դեղապատրաստուկի մասին տեղեկատվության վերանայման՝ Դեղամիջոցների գրանցման կանոնների թիվ 19 հավելվածի 1.6 կետին համապատասխան:</w:t>
      </w:r>
    </w:p>
    <w:p w14:paraId="0EA51A5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Այդ դեպքում համապատասխան լիազորված մարմինները ծանուցումը հաստատելու մասին որոշումը ստանալու օրվանից ոչ ուշ, քան 10</w:t>
      </w:r>
      <w:r>
        <w:rPr>
          <w:rFonts w:ascii="Sylfaen" w:hAnsi="Sylfaen"/>
          <w:sz w:val="24"/>
          <w:szCs w:val="24"/>
        </w:rPr>
        <w:t> </w:t>
      </w:r>
      <w:r w:rsidRPr="00826F05">
        <w:rPr>
          <w:rFonts w:ascii="Sylfaen" w:hAnsi="Sylfaen"/>
          <w:sz w:val="24"/>
          <w:szCs w:val="24"/>
        </w:rPr>
        <w:t xml:space="preserve">աշխատանքային օրվա ընթացքում միասնական ռեեստրում տեղադրում են փոփոխություններ կատարելու մասին տեղեկությունները՝ կից 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փաթեթվածքների մանրակերտերը, որակի վերաբերյալ նորմատիվ փաստաթուղթը՝ 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 են ներկայացնում դեղապատրաստուկի փոփոխված ընդհանուր բնութագիրը, բժշկական կիրառման հրահանգը, փաթեթվածքների մանրակերտերը, որակի վերաբերյալ նորմատիվ </w:t>
      </w:r>
      <w:r w:rsidRPr="00826F05">
        <w:rPr>
          <w:rFonts w:ascii="Sylfaen" w:hAnsi="Sylfaen"/>
          <w:sz w:val="24"/>
          <w:szCs w:val="24"/>
        </w:rPr>
        <w:lastRenderedPageBreak/>
        <w:t>փաստաթուղթը, գրանցման հավաստագիրը (անհրաժեշտության դեպքում):</w:t>
      </w:r>
    </w:p>
    <w:p w14:paraId="6EF0EC6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Համապատասխան լիազորված մարմինները (փորձագիտական կազմակերպությունները) իրավունք ունեն մինչ</w:t>
      </w:r>
      <w:r w:rsidR="00C54D75">
        <w:rPr>
          <w:rFonts w:ascii="Sylfaen" w:hAnsi="Sylfaen"/>
          <w:sz w:val="24"/>
          <w:szCs w:val="24"/>
        </w:rPr>
        <w:t>և</w:t>
      </w:r>
      <w:r w:rsidRPr="00826F05">
        <w:rPr>
          <w:rFonts w:ascii="Sylfaen" w:hAnsi="Sylfaen"/>
          <w:sz w:val="24"/>
          <w:szCs w:val="24"/>
        </w:rPr>
        <w:t xml:space="preserve"> 90 օրացուցային օր երկարաձգելու փորձաքննության </w:t>
      </w:r>
      <w:r w:rsidR="00C54D75">
        <w:rPr>
          <w:rFonts w:ascii="Sylfaen" w:hAnsi="Sylfaen"/>
          <w:sz w:val="24"/>
          <w:szCs w:val="24"/>
        </w:rPr>
        <w:t>և</w:t>
      </w:r>
      <w:r w:rsidRPr="00826F05">
        <w:rPr>
          <w:rFonts w:ascii="Sylfaen" w:hAnsi="Sylfaen"/>
          <w:sz w:val="24"/>
          <w:szCs w:val="24"/>
        </w:rPr>
        <w:t xml:space="preserve"> փաստաթղթերի տրամադրման ժամկետն այն դեպքերում, երբ հայտատուի կողմից ներկայացվել են բազմաթիվ խմբային փոփոխություններ՝ դեղամիջոցների գրանցման կանոնների թիվ 19 հավելվածի 1.7.2 </w:t>
      </w:r>
      <w:r w:rsidR="00C54D75">
        <w:rPr>
          <w:rFonts w:ascii="Sylfaen" w:hAnsi="Sylfaen"/>
          <w:sz w:val="24"/>
          <w:szCs w:val="24"/>
        </w:rPr>
        <w:t>և</w:t>
      </w:r>
      <w:r w:rsidRPr="00826F05">
        <w:rPr>
          <w:rFonts w:ascii="Sylfaen" w:hAnsi="Sylfaen"/>
          <w:sz w:val="24"/>
          <w:szCs w:val="24"/>
        </w:rPr>
        <w:t xml:space="preserve"> 1.7.3 կետերի համաձայն:</w:t>
      </w:r>
    </w:p>
    <w:p w14:paraId="2BAAEEFF" w14:textId="77777777" w:rsidR="004F5982" w:rsidRPr="00826F05" w:rsidRDefault="004F5982" w:rsidP="00487007">
      <w:pPr>
        <w:tabs>
          <w:tab w:val="left" w:pos="1701"/>
        </w:tabs>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2.2.3.</w:t>
      </w:r>
      <w:r w:rsidRPr="00826F05">
        <w:rPr>
          <w:rFonts w:ascii="Sylfaen" w:hAnsi="Sylfaen"/>
          <w:sz w:val="24"/>
          <w:szCs w:val="24"/>
        </w:rPr>
        <w:tab/>
        <w:t>Դեղամիջոցների գրանցման կանոնների թիվ 19 հավելվածի 1.1.4</w:t>
      </w:r>
      <w:r>
        <w:rPr>
          <w:rFonts w:ascii="Sylfaen" w:hAnsi="Sylfaen"/>
          <w:sz w:val="24"/>
          <w:szCs w:val="24"/>
        </w:rPr>
        <w:t> </w:t>
      </w:r>
      <w:r w:rsidRPr="00826F05">
        <w:rPr>
          <w:rFonts w:ascii="Sylfaen" w:hAnsi="Sylfaen"/>
          <w:sz w:val="24"/>
          <w:szCs w:val="24"/>
        </w:rPr>
        <w:t>ենթակետում նշված IB տիպի փոփոխությունների փորձաքննություն:</w:t>
      </w:r>
    </w:p>
    <w:p w14:paraId="579F835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IB տիպի ոչ էական փոփոխություն կատարելու դեպքում 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լիազորված մարմին (փորձագիտական կազմակերպություն) է ներկայացնում փոփոխությունների կատարման հայտը` Դեղամիջոցների գրանցման կանոնների թիվ 2 հավելվածի համաձայն, </w:t>
      </w:r>
      <w:r w:rsidR="00C54D75">
        <w:rPr>
          <w:rFonts w:ascii="Sylfaen" w:hAnsi="Sylfaen"/>
          <w:sz w:val="24"/>
          <w:szCs w:val="24"/>
        </w:rPr>
        <w:t>և</w:t>
      </w:r>
      <w:r w:rsidRPr="00826F05">
        <w:rPr>
          <w:rFonts w:ascii="Sylfaen" w:hAnsi="Sylfaen"/>
          <w:sz w:val="24"/>
          <w:szCs w:val="24"/>
        </w:rPr>
        <w:t xml:space="preserve"> (կամ) փոփոխություններ կատարելու համար վճարի (տուրքի) վճարումը հաստատող փաստաթղթերը՝ անդամ պետությունների օրենսդրությանը համապատասխան սահմանված դեպքում </w:t>
      </w:r>
      <w:r w:rsidR="00C54D75">
        <w:rPr>
          <w:rFonts w:ascii="Sylfaen" w:hAnsi="Sylfaen"/>
          <w:sz w:val="24"/>
          <w:szCs w:val="24"/>
        </w:rPr>
        <w:t>և</w:t>
      </w:r>
      <w:r w:rsidRPr="00826F05">
        <w:rPr>
          <w:rFonts w:ascii="Sylfaen" w:hAnsi="Sylfaen"/>
          <w:sz w:val="24"/>
          <w:szCs w:val="24"/>
        </w:rPr>
        <w:t xml:space="preserve"> կարգով:</w:t>
      </w:r>
    </w:p>
    <w:p w14:paraId="1D7E0D6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Հայտատուն գրանցման պետության լիազորված մարմին (փորձագիտական կազմակերպություն) է ներկայացնում փոփոխությունների (ծանուցման) դոսյե, որը պարունակում է Դեղամիջոցների գրանցման կանոնների թիվ 19 հավելվածի IV</w:t>
      </w:r>
      <w:r>
        <w:rPr>
          <w:rFonts w:ascii="Sylfaen" w:hAnsi="Sylfaen"/>
          <w:sz w:val="24"/>
          <w:szCs w:val="24"/>
        </w:rPr>
        <w:t> </w:t>
      </w:r>
      <w:r w:rsidRPr="00826F05">
        <w:rPr>
          <w:rFonts w:ascii="Sylfaen" w:hAnsi="Sylfaen"/>
          <w:sz w:val="24"/>
          <w:szCs w:val="24"/>
        </w:rPr>
        <w:t>լրացման մեջ թվարկված տարրեր:</w:t>
      </w:r>
    </w:p>
    <w:p w14:paraId="07D5D54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մարմինը (փորձագիտական կազմակերպությունը) ոչ ուշ, քան փոփոխություններ կատարելու մասին հայտը ռեֆերենտ պետություն ներկայացնելու օրվանից 5 աշխատանքային օրվա ընթացքում անցկացնում է ներկայացված փաստաթղթերի ամբողջականության, լրակազմության </w:t>
      </w:r>
      <w:r w:rsidR="00C54D75">
        <w:rPr>
          <w:rFonts w:ascii="Sylfaen" w:hAnsi="Sylfaen"/>
          <w:sz w:val="24"/>
          <w:szCs w:val="24"/>
        </w:rPr>
        <w:t>և</w:t>
      </w:r>
      <w:r w:rsidRPr="00826F05">
        <w:rPr>
          <w:rFonts w:ascii="Sylfaen" w:hAnsi="Sylfaen"/>
          <w:sz w:val="24"/>
          <w:szCs w:val="24"/>
        </w:rPr>
        <w:t xml:space="preserve"> ճիշտ ձ</w:t>
      </w:r>
      <w:r w:rsidR="00C54D75">
        <w:rPr>
          <w:rFonts w:ascii="Sylfaen" w:hAnsi="Sylfaen"/>
          <w:sz w:val="24"/>
          <w:szCs w:val="24"/>
        </w:rPr>
        <w:t>և</w:t>
      </w:r>
      <w:r w:rsidRPr="00826F05">
        <w:rPr>
          <w:rFonts w:ascii="Sylfaen" w:hAnsi="Sylfaen"/>
          <w:sz w:val="24"/>
          <w:szCs w:val="24"/>
        </w:rPr>
        <w:t>ակերպման, այդ թվում՝ փոփոխությունները IB տիպի ոչ էական փոփոխությունների շարքին դասելու հնարավորությունների գնահատում («վալիդացում»):</w:t>
      </w:r>
    </w:p>
    <w:p w14:paraId="3163037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Եթե ծանուցումը բավարարում է Դեղամիջոցների գրանցման կանոնների թիվ</w:t>
      </w:r>
      <w:r w:rsidR="00487007" w:rsidRPr="00487007">
        <w:rPr>
          <w:rFonts w:ascii="Sylfaen" w:hAnsi="Sylfaen"/>
          <w:sz w:val="24"/>
          <w:szCs w:val="24"/>
        </w:rPr>
        <w:t> </w:t>
      </w:r>
      <w:r w:rsidRPr="00826F05">
        <w:rPr>
          <w:rFonts w:ascii="Sylfaen" w:hAnsi="Sylfaen"/>
          <w:sz w:val="24"/>
          <w:szCs w:val="24"/>
        </w:rPr>
        <w:t xml:space="preserve">19 հավելվածի 3.2.1 ենթակետում սահմանված պահանջներին, ռեֆերենտ պետության լիազորված մարմինը (փորձագիտական կազմակերպությունը) հաջորդ 30 օրացուցային օրվա ընթացքում հաստատում է վավեր ծանուցման ստացումը: </w:t>
      </w:r>
    </w:p>
    <w:p w14:paraId="3E88D8C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B8448E">
        <w:rPr>
          <w:rFonts w:ascii="Sylfaen" w:hAnsi="Sylfaen"/>
          <w:spacing w:val="-6"/>
          <w:sz w:val="24"/>
          <w:szCs w:val="24"/>
        </w:rPr>
        <w:t>Եթե ներկայացված փոփոխությունը չի դիտարկվում որպես IB տիպի ոչ էական փոփոխություն՝ Դեղամիջոցների գրանցման կանոնների թիվ</w:t>
      </w:r>
      <w:r w:rsidRPr="00826F05">
        <w:rPr>
          <w:rFonts w:ascii="Sylfaen" w:hAnsi="Sylfaen"/>
          <w:sz w:val="24"/>
          <w:szCs w:val="24"/>
        </w:rPr>
        <w:t xml:space="preserve"> 19 հավելվածի V</w:t>
      </w:r>
      <w:r>
        <w:rPr>
          <w:rFonts w:ascii="Sylfaen" w:hAnsi="Sylfaen"/>
          <w:sz w:val="24"/>
          <w:szCs w:val="24"/>
        </w:rPr>
        <w:t> </w:t>
      </w:r>
      <w:r w:rsidRPr="00826F05">
        <w:rPr>
          <w:rFonts w:ascii="Sylfaen" w:hAnsi="Sylfaen"/>
          <w:sz w:val="24"/>
          <w:szCs w:val="24"/>
        </w:rPr>
        <w:t xml:space="preserve">լրացմանը համապատասխան, կամ այն չի դասակարգվել որպես IB տիպի </w:t>
      </w:r>
      <w:r w:rsidRPr="00B8448E">
        <w:rPr>
          <w:rFonts w:ascii="Sylfaen" w:hAnsi="Sylfaen"/>
          <w:spacing w:val="-6"/>
          <w:sz w:val="24"/>
          <w:szCs w:val="24"/>
        </w:rPr>
        <w:t>ոչ էական փոփոխություն՝ Դեղամիջոցների գրանցման կանոնների թիվ</w:t>
      </w:r>
      <w:r w:rsidRPr="00826F05">
        <w:rPr>
          <w:rFonts w:ascii="Sylfaen" w:hAnsi="Sylfaen"/>
          <w:sz w:val="24"/>
          <w:szCs w:val="24"/>
        </w:rPr>
        <w:t xml:space="preserve"> 19 հավելվածի 1.5 ենթակետին համապատասխան, </w:t>
      </w:r>
      <w:r w:rsidR="00C54D75">
        <w:rPr>
          <w:rFonts w:ascii="Sylfaen" w:hAnsi="Sylfaen"/>
          <w:sz w:val="24"/>
          <w:szCs w:val="24"/>
        </w:rPr>
        <w:t>և</w:t>
      </w:r>
      <w:r w:rsidRPr="00826F05">
        <w:rPr>
          <w:rFonts w:ascii="Sylfaen" w:hAnsi="Sylfaen"/>
          <w:sz w:val="24"/>
          <w:szCs w:val="24"/>
        </w:rPr>
        <w:t xml:space="preserve"> ընդ որում, լիազորված մարմինը (փորձագիտական կազմակերպությունը) համարում է, որ այն կարող է նշանակալի ազդեցություն ունենալ դեղապատրաստուկի որակի, անվտանգության կամ արդյունավետության վրա, հայտատուն ստանում է հայտը վերանայելու </w:t>
      </w:r>
      <w:r w:rsidR="00C54D75">
        <w:rPr>
          <w:rFonts w:ascii="Sylfaen" w:hAnsi="Sylfaen"/>
          <w:sz w:val="24"/>
          <w:szCs w:val="24"/>
        </w:rPr>
        <w:t>և</w:t>
      </w:r>
      <w:r w:rsidRPr="00826F05">
        <w:rPr>
          <w:rFonts w:ascii="Sylfaen" w:hAnsi="Sylfaen"/>
          <w:sz w:val="24"/>
          <w:szCs w:val="24"/>
        </w:rPr>
        <w:t xml:space="preserve"> այն II</w:t>
      </w:r>
      <w:r>
        <w:rPr>
          <w:rFonts w:ascii="Sylfaen" w:hAnsi="Sylfaen"/>
          <w:sz w:val="24"/>
          <w:szCs w:val="24"/>
        </w:rPr>
        <w:t> </w:t>
      </w:r>
      <w:r w:rsidRPr="00826F05">
        <w:rPr>
          <w:rFonts w:ascii="Sylfaen" w:hAnsi="Sylfaen"/>
          <w:sz w:val="24"/>
          <w:szCs w:val="24"/>
        </w:rPr>
        <w:t>տիպի էական փոփոխություններին ներկայացվող պահանջներին համապատասխան լրացնելու մասին պահանջ: Վերանայված վավեր հայտը ստանալուց հետո սկսվում է II տիպի փորձաքննության ընթացակարգը:</w:t>
      </w:r>
    </w:p>
    <w:p w14:paraId="22F211E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Ծանուցումը ստանալու օրվանից 30 օրացուցային օրվա ընթացքում լիազորված մարմինը (փորձագիտական կազմակերպությունը) հայտատուին ծանուցում է ընթացակարգի արդյունքների մասին: Եթե ծանուցումը ստանալու օրվանից 30 օրացուցային օրվա ընթացքում լիազորված մարմինը (փորձագիտական կազմակերպությունը) էլեկտրոնային կամ թղթային եղանակով հայտատուին չի ուղարկում ծանուցումն ընդունելու </w:t>
      </w:r>
      <w:r w:rsidR="00C54D75">
        <w:rPr>
          <w:rFonts w:ascii="Sylfaen" w:hAnsi="Sylfaen"/>
          <w:sz w:val="24"/>
          <w:szCs w:val="24"/>
        </w:rPr>
        <w:t>և</w:t>
      </w:r>
      <w:r w:rsidRPr="00826F05">
        <w:rPr>
          <w:rFonts w:ascii="Sylfaen" w:hAnsi="Sylfaen"/>
          <w:sz w:val="24"/>
          <w:szCs w:val="24"/>
        </w:rPr>
        <w:t xml:space="preserve"> գրանցման դոսյեի մեջ տվյալ փոփոխությունը կատարելու անհնարինության մասին եզրակացություն, ապա եզրակացությունը համարվում է լիազորված մարմնի կողմից ընդունված (հաստատված):</w:t>
      </w:r>
    </w:p>
    <w:p w14:paraId="3BA4C3A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Եթե ռեֆերենտ պետության լիազորված մարմնի (փորձագիտական կազմակերպության) եզրակացության համաձայն փոփոխություններ կատարելու մասին հայտատուի ծանուցումը չի կարող հաստատվել, ապա ռեֆերենտ </w:t>
      </w:r>
      <w:r w:rsidRPr="00826F05">
        <w:rPr>
          <w:rFonts w:ascii="Sylfaen" w:hAnsi="Sylfaen"/>
          <w:sz w:val="24"/>
          <w:szCs w:val="24"/>
        </w:rPr>
        <w:lastRenderedPageBreak/>
        <w:t>պետության լիազորված մարմինը (փորձագիտական կազմակերպությունը) էլեկտրոնային կամ թղթային եղանակով դրա մասին ծանուցում է հայտատուին՝ նշելով բացասական եզրակացության հիմքերը:</w:t>
      </w:r>
    </w:p>
    <w:p w14:paraId="3AF37CA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Բացասական եզրակացություն ստանալու օրվանից 30 օրացուցային օրվա ընթացքում հայտատուն իրավունք ունի ռեֆերենտ պետության լիազորված մարմին (փորձագիտական կազմակերպություն) կրկին ներկայացնելու փոփոխության լրացուցիչ դոսյե՝ ռեֆերենտ պետության լիազորված </w:t>
      </w:r>
      <w:r w:rsidRPr="001436BD">
        <w:rPr>
          <w:rFonts w:ascii="Sylfaen" w:hAnsi="Sylfaen"/>
          <w:sz w:val="24"/>
          <w:szCs w:val="24"/>
          <w:shd w:val="clear" w:color="auto" w:fill="D99594" w:themeFill="accent2" w:themeFillTint="99"/>
        </w:rPr>
        <w:t xml:space="preserve">մարմի </w:t>
      </w:r>
      <w:r w:rsidRPr="00826F05">
        <w:rPr>
          <w:rFonts w:ascii="Sylfaen" w:hAnsi="Sylfaen"/>
          <w:sz w:val="24"/>
          <w:szCs w:val="24"/>
        </w:rPr>
        <w:t>(փորձագիտական կազմակերպության) եզրակացությանը համապատասխան:</w:t>
      </w:r>
    </w:p>
    <w:p w14:paraId="2A0193A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հայտատուն չի ներկայացնում լրացված ծանուցում՝ Դեղամիջոցների գրանցման կանոններին համապատասխան, ապա ծանուցումը համարվում է մերժված:</w:t>
      </w:r>
    </w:p>
    <w:p w14:paraId="1989E248"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Ուղղված ծանուցումը ստանալու օրվանից 30 օրացուցային օրվա ընթացքում լիազորված մարմինը (փորձագիտական կազմակերպությունը) հայտատուին ծանուցում է փոփոխություններն ընդունելու կամ մերժելու մասին վերջնական որոշման (այդ թվում՝ բացասական եզրակացության հիմքերի) մասին:</w:t>
      </w:r>
    </w:p>
    <w:p w14:paraId="59BAA69E"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Եթե մեկ ծանուցման շրջանակներում ներկայացվել է ոչ էական փոփոխությունների խումբ, լիազորված մարմինը (փորձագիտական կազմակերպությունը) հայտատուին ծանուցում է, թե որ փոփոխությունն է ընդունվել կամ մերժվել դեղապատրաստուկի փորձաքննության արդյունքներով:</w:t>
      </w:r>
    </w:p>
    <w:p w14:paraId="6896D9A8"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Անհրաժեշտության դեպքում լիազորված մարմինը (փորձագիտական կազմակերպությունը) թարմացնում է գրանցման դոսյեն ընթացակարգն ավարտելուց հետո՝ 180 օրացուցային օրվա ընթացքում՝ հայտատուի կողմից գրանցման դոսյեի փոփոխության համար անհրաժեշտ փաստաթղթերը լիազորված մարմին (փորձագիտական կազմակերպություն) ներկայացնելու պայմանով: Սակայն IB տիպի ընդունված ոչ էական փոփոխությունները թույլատրվում է իրականացնել առանց գրանցման դոսյեի թարմացմանը սպասելու:</w:t>
      </w:r>
    </w:p>
    <w:p w14:paraId="7E28EF3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Այն դեպքում, երբ Դեղամիջոցների գրանցման կանոնների թիվ 19 հավելվածի 1.6 կետի համաձայն՝ փոփոխությունները հանգեցնում են դեղապատրաստուկի մասին տեղեկատվության վերանայման, համապատասխան լիազորված մարմինը փոփոխությունը հաստատելու մասին որոշումն ընդունելու օրվանից 10</w:t>
      </w:r>
      <w:r>
        <w:rPr>
          <w:rFonts w:ascii="Sylfaen" w:hAnsi="Sylfaen"/>
          <w:sz w:val="24"/>
          <w:szCs w:val="24"/>
        </w:rPr>
        <w:t> </w:t>
      </w:r>
      <w:r w:rsidRPr="00826F05">
        <w:rPr>
          <w:rFonts w:ascii="Sylfaen" w:hAnsi="Sylfaen"/>
          <w:sz w:val="24"/>
          <w:szCs w:val="24"/>
        </w:rPr>
        <w:t>աշխատանքային օրը չգերազանցող ժամկետում, փոփոխություններ կատարելու մասին տեղեկությունները տեղադրում է միասնական ռեեստրում՝ կից</w:t>
      </w:r>
      <w:r>
        <w:rPr>
          <w:rFonts w:ascii="Sylfaen" w:hAnsi="Sylfaen"/>
          <w:sz w:val="24"/>
          <w:szCs w:val="24"/>
        </w:rPr>
        <w:t> </w:t>
      </w:r>
      <w:r w:rsidRPr="00826F05">
        <w:rPr>
          <w:rFonts w:ascii="Sylfaen" w:hAnsi="Sylfaen"/>
          <w:sz w:val="24"/>
          <w:szCs w:val="24"/>
        </w:rPr>
        <w:t xml:space="preserve">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փաթեթվածքների մանրակերտերը, որակի վերաբերյալ նորմատիվ փաստաթուղթը՝ 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 է տրամադրում դեղապատրաստուկի փոփոխված ընդհանուր բնութագիրը, բժշկական կիրառման հրահանգը, փաթեթվածքների մանրակերտերը, որակի վերաբերյալ նորմատիվ փաստաթուղթը, գրանցման հավաստագիրը (անհրաժեշտության դեպքում):</w:t>
      </w:r>
    </w:p>
    <w:p w14:paraId="036D6A5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B8448E">
        <w:rPr>
          <w:rFonts w:ascii="Sylfaen" w:hAnsi="Sylfaen"/>
          <w:spacing w:val="-6"/>
          <w:sz w:val="24"/>
          <w:szCs w:val="24"/>
        </w:rPr>
        <w:t>Ռեֆերենտ պետության լիազորված մարմինը (փորձագիտական կազմակերպությունը) իրավունք ունի ընդհանուր առմամբ մինչ</w:t>
      </w:r>
      <w:r w:rsidR="00C54D75">
        <w:rPr>
          <w:rFonts w:ascii="Sylfaen" w:hAnsi="Sylfaen"/>
          <w:spacing w:val="-6"/>
          <w:sz w:val="24"/>
          <w:szCs w:val="24"/>
        </w:rPr>
        <w:t>և</w:t>
      </w:r>
      <w:r w:rsidRPr="00B8448E">
        <w:rPr>
          <w:rFonts w:ascii="Sylfaen" w:hAnsi="Sylfaen"/>
          <w:spacing w:val="-6"/>
          <w:sz w:val="24"/>
          <w:szCs w:val="24"/>
        </w:rPr>
        <w:t xml:space="preserve"> 90 օրացուցային</w:t>
      </w:r>
      <w:r w:rsidRPr="00826F05">
        <w:rPr>
          <w:rFonts w:ascii="Sylfaen" w:hAnsi="Sylfaen"/>
          <w:sz w:val="24"/>
          <w:szCs w:val="24"/>
        </w:rPr>
        <w:t xml:space="preserve"> օր երկարաձգելու փորձաքննության </w:t>
      </w:r>
      <w:r w:rsidR="00C54D75">
        <w:rPr>
          <w:rFonts w:ascii="Sylfaen" w:hAnsi="Sylfaen"/>
          <w:sz w:val="24"/>
          <w:szCs w:val="24"/>
        </w:rPr>
        <w:t>և</w:t>
      </w:r>
      <w:r w:rsidRPr="00826F05">
        <w:rPr>
          <w:rFonts w:ascii="Sylfaen" w:hAnsi="Sylfaen"/>
          <w:sz w:val="24"/>
          <w:szCs w:val="24"/>
        </w:rPr>
        <w:t xml:space="preserve"> փաստաթղթերի տրամադրման ժամկետն այն դեպքում, երբ հայտատուի կողմից ներկայացվել են բազմաթիվ խմբային փոփոխություններ՝ Դեղամիջոցների գրանցման կանոնների թիվ 19 հավելվածի 1.7.2 </w:t>
      </w:r>
      <w:r w:rsidR="00C54D75">
        <w:rPr>
          <w:rFonts w:ascii="Sylfaen" w:hAnsi="Sylfaen"/>
          <w:sz w:val="24"/>
          <w:szCs w:val="24"/>
        </w:rPr>
        <w:t>և</w:t>
      </w:r>
      <w:r w:rsidRPr="00826F05">
        <w:rPr>
          <w:rFonts w:ascii="Sylfaen" w:hAnsi="Sylfaen"/>
          <w:sz w:val="24"/>
          <w:szCs w:val="24"/>
        </w:rPr>
        <w:t xml:space="preserve"> 1.7.3 կետերի համաձայն:</w:t>
      </w:r>
    </w:p>
    <w:p w14:paraId="179489C2" w14:textId="77777777" w:rsidR="004F5982" w:rsidRPr="00826F05" w:rsidRDefault="004F5982" w:rsidP="00487007">
      <w:pPr>
        <w:tabs>
          <w:tab w:val="left" w:pos="1134"/>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2.3.</w:t>
      </w:r>
      <w:r w:rsidRPr="00826F05">
        <w:rPr>
          <w:rFonts w:ascii="Sylfaen" w:hAnsi="Sylfaen"/>
          <w:sz w:val="24"/>
          <w:szCs w:val="24"/>
        </w:rPr>
        <w:tab/>
        <w:t>II տիպի էական փոփոխությունները:</w:t>
      </w:r>
    </w:p>
    <w:p w14:paraId="3875934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Սույն կետով բերվում է II տիպի էական փոփոխությունների մասով Դեղամիջոցների գրանցման կանոնների թիվ 19 հավելվածի 1.7, 2.3, 2.4, 2.6, 3.3-3.5 կետերի, 4.2.1 </w:t>
      </w:r>
      <w:r w:rsidR="00C54D75">
        <w:rPr>
          <w:rFonts w:ascii="Sylfaen" w:hAnsi="Sylfaen"/>
          <w:sz w:val="24"/>
          <w:szCs w:val="24"/>
        </w:rPr>
        <w:t>և</w:t>
      </w:r>
      <w:r w:rsidRPr="00826F05">
        <w:rPr>
          <w:rFonts w:ascii="Sylfaen" w:hAnsi="Sylfaen"/>
          <w:sz w:val="24"/>
          <w:szCs w:val="24"/>
        </w:rPr>
        <w:t xml:space="preserve"> 4.2.2 ենթակետերի կիրառման վերաբերյալ դրույթները:</w:t>
      </w:r>
    </w:p>
    <w:p w14:paraId="119F95F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հավելվածը պարունակում է այն փոփոխությունների ցանկը, որոնք պետք է դիտարկել որպես II տիպի էական փոփոխություններ: Նման էական փոփոխություններն իրականացնելուց առաջ պահանջվում է համապատասխան լիազորված մարմինների հաստատումը:</w:t>
      </w:r>
    </w:p>
    <w:p w14:paraId="3248B451" w14:textId="77777777" w:rsidR="004F5982" w:rsidRPr="00826F05" w:rsidRDefault="004F5982" w:rsidP="00487007">
      <w:pPr>
        <w:tabs>
          <w:tab w:val="left" w:pos="1701"/>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lastRenderedPageBreak/>
        <w:t>2.3.1.</w:t>
      </w:r>
      <w:r w:rsidRPr="00826F05">
        <w:rPr>
          <w:rFonts w:ascii="Sylfaen" w:hAnsi="Sylfaen"/>
          <w:sz w:val="24"/>
          <w:szCs w:val="24"/>
        </w:rPr>
        <w:tab/>
        <w:t xml:space="preserve">II տիպի փոփոխության վերաբերյալ հայտի </w:t>
      </w:r>
      <w:r w:rsidR="00C54D75">
        <w:rPr>
          <w:rFonts w:ascii="Sylfaen" w:hAnsi="Sylfaen"/>
          <w:sz w:val="24"/>
          <w:szCs w:val="24"/>
        </w:rPr>
        <w:t>և</w:t>
      </w:r>
      <w:r w:rsidRPr="00826F05">
        <w:rPr>
          <w:rFonts w:ascii="Sylfaen" w:hAnsi="Sylfaen"/>
          <w:sz w:val="24"/>
          <w:szCs w:val="24"/>
        </w:rPr>
        <w:t xml:space="preserve"> դոսյեի ներկայացումը:</w:t>
      </w:r>
    </w:p>
    <w:p w14:paraId="2A3A58E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ռեֆերենտ պետության լիազորված մարմին (փորձագիտական կազմակերպություն) է ներկայացնում փոփոխությունների կատարման մասին հայտ` Դեղամիջոցների գրանցման կանոնների թիվ 2 հավելվածի համաձայն, </w:t>
      </w:r>
      <w:r w:rsidR="00C54D75">
        <w:rPr>
          <w:rFonts w:ascii="Sylfaen" w:hAnsi="Sylfaen"/>
          <w:sz w:val="24"/>
          <w:szCs w:val="24"/>
        </w:rPr>
        <w:t>և</w:t>
      </w:r>
      <w:r w:rsidRPr="00826F05">
        <w:rPr>
          <w:rFonts w:ascii="Sylfaen" w:hAnsi="Sylfaen"/>
          <w:sz w:val="24"/>
          <w:szCs w:val="24"/>
        </w:rPr>
        <w:t xml:space="preserve"> փոփոխությունների կատարման վճարի (տուրքի) վճարումը հաստատող փաստաթղթեր՝ անդամ պետության օրենսդրությամբ սահմանված դեպքում </w:t>
      </w:r>
      <w:r w:rsidR="00C54D75">
        <w:rPr>
          <w:rFonts w:ascii="Sylfaen" w:hAnsi="Sylfaen"/>
          <w:sz w:val="24"/>
          <w:szCs w:val="24"/>
        </w:rPr>
        <w:t>և</w:t>
      </w:r>
      <w:r w:rsidRPr="00826F05">
        <w:rPr>
          <w:rFonts w:ascii="Sylfaen" w:hAnsi="Sylfaen"/>
          <w:sz w:val="24"/>
          <w:szCs w:val="24"/>
        </w:rPr>
        <w:t xml:space="preserve"> կարգով, ինչպես նա</w:t>
      </w:r>
      <w:r w:rsidR="00C54D75">
        <w:rPr>
          <w:rFonts w:ascii="Sylfaen" w:hAnsi="Sylfaen"/>
          <w:sz w:val="24"/>
          <w:szCs w:val="24"/>
        </w:rPr>
        <w:t>և</w:t>
      </w:r>
      <w:r w:rsidRPr="00826F05">
        <w:rPr>
          <w:rFonts w:ascii="Sylfaen" w:hAnsi="Sylfaen"/>
          <w:sz w:val="24"/>
          <w:szCs w:val="24"/>
        </w:rPr>
        <w:t xml:space="preserve"> Դեղամիջոցների գրանցման կանոնների թիվ 19 հավելվածի IV լրացման մեջ նշված տարրերը պարունակող՝ փոփոխության դոսյեն:</w:t>
      </w:r>
    </w:p>
    <w:p w14:paraId="1B704DD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Հայտատուներն իրավունք ունեն խմբավորելու մի</w:t>
      </w:r>
      <w:r w:rsidR="00C54D75">
        <w:rPr>
          <w:rFonts w:ascii="Sylfaen" w:hAnsi="Sylfaen"/>
          <w:sz w:val="24"/>
          <w:szCs w:val="24"/>
        </w:rPr>
        <w:t>և</w:t>
      </w:r>
      <w:r w:rsidRPr="00826F05">
        <w:rPr>
          <w:rFonts w:ascii="Sylfaen" w:hAnsi="Sylfaen"/>
          <w:sz w:val="24"/>
          <w:szCs w:val="24"/>
        </w:rPr>
        <w:t>նույն գրանցման դոսյեի II</w:t>
      </w:r>
      <w:r>
        <w:rPr>
          <w:rFonts w:ascii="Sylfaen" w:hAnsi="Sylfaen"/>
          <w:sz w:val="24"/>
          <w:szCs w:val="24"/>
        </w:rPr>
        <w:t> </w:t>
      </w:r>
      <w:r w:rsidRPr="00826F05">
        <w:rPr>
          <w:rFonts w:ascii="Sylfaen" w:hAnsi="Sylfaen"/>
          <w:sz w:val="24"/>
          <w:szCs w:val="24"/>
        </w:rPr>
        <w:t>տիպի մի քանի էական փոփոխություններ մեկ ծանուցման մեջ կամ խմբավորելու մի</w:t>
      </w:r>
      <w:r w:rsidR="00C54D75">
        <w:rPr>
          <w:rFonts w:ascii="Sylfaen" w:hAnsi="Sylfaen"/>
          <w:sz w:val="24"/>
          <w:szCs w:val="24"/>
        </w:rPr>
        <w:t>և</w:t>
      </w:r>
      <w:r w:rsidRPr="00826F05">
        <w:rPr>
          <w:rFonts w:ascii="Sylfaen" w:hAnsi="Sylfaen"/>
          <w:sz w:val="24"/>
          <w:szCs w:val="24"/>
        </w:rPr>
        <w:t>նույն գրանցամատյանի մեկ կամ ավելի II տիպի էական փոփոխություններն այլ ոչ էական փոփոխությունների հետ՝ Դեղամիջոցների գրանցման կանոնների թիվ 19 հավելվածի III լրացման մեջ թվարկված դեպքերից մեկին խմբավորման համապատասխանության պայմանով, կամ եթե այն ավելի վաղ համաձայնեցվել է ռեֆերենտ պետության լիազորված մարմնի (փորձագիտական կազմակերպության) հետ համապատասխանաբար:</w:t>
      </w:r>
    </w:p>
    <w:p w14:paraId="3E67CB83"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Բացի այդ, մեկ անդամ պետությունում գրանցված դեղապատրաստուկների դեպքում հայտատուն իրավունք ունի խմբավորելու նա</w:t>
      </w:r>
      <w:r w:rsidR="00C54D75">
        <w:rPr>
          <w:rFonts w:ascii="Sylfaen" w:hAnsi="Sylfaen"/>
          <w:sz w:val="24"/>
          <w:szCs w:val="24"/>
        </w:rPr>
        <w:t>և</w:t>
      </w:r>
      <w:r w:rsidRPr="00826F05">
        <w:rPr>
          <w:rFonts w:ascii="Sylfaen" w:hAnsi="Sylfaen"/>
          <w:sz w:val="24"/>
          <w:szCs w:val="24"/>
        </w:rPr>
        <w:t xml:space="preserve"> մի քանի գրանցման դոսյեներին վերաբերող մի քանի II տիպի էական փոփոխություններ մեկ անդամ պետությունում կամ խմբավորելու մեկ կամ ավելի II տիպի էական փոփոխությունները մի քանի գրանցման դոսյեներին վերաբերող այլ ոչ էական փոփոխությունների հետ մեկ անդամ պետությունում այն պայմանով, որ՝</w:t>
      </w:r>
    </w:p>
    <w:p w14:paraId="2EF72B38" w14:textId="77777777" w:rsidR="004F5982" w:rsidRPr="00826F05" w:rsidRDefault="004F5982" w:rsidP="00487007">
      <w:pPr>
        <w:tabs>
          <w:tab w:val="left" w:pos="1418"/>
        </w:tabs>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ուսումնասիրվող բոլոր գրանցման դոսյեների համար փոփոխությունները նույնն են,</w:t>
      </w:r>
    </w:p>
    <w:p w14:paraId="5B41D9E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փոփոխությունները ներկայացվել են լիազորված մարմին (փորձագիտական կազմակերպություն) մի</w:t>
      </w:r>
      <w:r w:rsidR="00C54D75">
        <w:rPr>
          <w:rFonts w:ascii="Sylfaen" w:hAnsi="Sylfaen"/>
          <w:sz w:val="24"/>
          <w:szCs w:val="24"/>
        </w:rPr>
        <w:t>և</w:t>
      </w:r>
      <w:r w:rsidRPr="00826F05">
        <w:rPr>
          <w:rFonts w:ascii="Sylfaen" w:hAnsi="Sylfaen"/>
          <w:sz w:val="24"/>
          <w:szCs w:val="24"/>
        </w:rPr>
        <w:t>նույն ժամանակ,</w:t>
      </w:r>
    </w:p>
    <w:p w14:paraId="0850AB71"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լիազորված մարմինը (փորձագիտական կազմակերպությունը) ավելի վաղ համաձայնություն է տվել այդպիսի խմբավորման համար,</w:t>
      </w:r>
    </w:p>
    <w:p w14:paraId="19CDB697"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Ավելին, եթե II տիպի մի</w:t>
      </w:r>
      <w:r w:rsidR="00C54D75">
        <w:rPr>
          <w:rFonts w:ascii="Sylfaen" w:hAnsi="Sylfaen"/>
          <w:sz w:val="24"/>
          <w:szCs w:val="24"/>
        </w:rPr>
        <w:t>և</w:t>
      </w:r>
      <w:r w:rsidRPr="00826F05">
        <w:rPr>
          <w:rFonts w:ascii="Sylfaen" w:hAnsi="Sylfaen"/>
          <w:sz w:val="24"/>
          <w:szCs w:val="24"/>
        </w:rPr>
        <w:t>նույն էական փոփոխությունը կամ փոփոխությունների մի</w:t>
      </w:r>
      <w:r w:rsidR="00C54D75">
        <w:rPr>
          <w:rFonts w:ascii="Sylfaen" w:hAnsi="Sylfaen"/>
          <w:sz w:val="24"/>
          <w:szCs w:val="24"/>
        </w:rPr>
        <w:t>և</w:t>
      </w:r>
      <w:r w:rsidRPr="00826F05">
        <w:rPr>
          <w:rFonts w:ascii="Sylfaen" w:hAnsi="Sylfaen"/>
          <w:sz w:val="24"/>
          <w:szCs w:val="24"/>
        </w:rPr>
        <w:t>նույն խումբը (նշված նկարագրությանը համապատասխան) վերաբերում է գրանցման հավաստագրի մեկ իրավատիրոջ մի քանի գրանցման դոսյեներին, հայտատուն իրավունք ունի այդպիսի փոփոխությունները ներկայացնել մեկ հայտի տեսքով՝ պարտականությունների բաշխման նպատակով:</w:t>
      </w:r>
    </w:p>
    <w:p w14:paraId="03E27C9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Հայտը պետք է պարունակի Դեղամիջոցների գրանցման կանոնների թիվ</w:t>
      </w:r>
      <w:r>
        <w:rPr>
          <w:rFonts w:ascii="Sylfaen" w:hAnsi="Sylfaen"/>
          <w:sz w:val="24"/>
          <w:szCs w:val="24"/>
        </w:rPr>
        <w:t> </w:t>
      </w:r>
      <w:r w:rsidRPr="00826F05">
        <w:rPr>
          <w:rFonts w:ascii="Sylfaen" w:hAnsi="Sylfaen"/>
          <w:sz w:val="24"/>
          <w:szCs w:val="24"/>
        </w:rPr>
        <w:t>19</w:t>
      </w:r>
      <w:r>
        <w:rPr>
          <w:rFonts w:ascii="Sylfaen" w:hAnsi="Sylfaen"/>
          <w:sz w:val="24"/>
          <w:szCs w:val="24"/>
        </w:rPr>
        <w:t> </w:t>
      </w:r>
      <w:r w:rsidRPr="00826F05">
        <w:rPr>
          <w:rFonts w:ascii="Sylfaen" w:hAnsi="Sylfaen"/>
          <w:sz w:val="24"/>
          <w:szCs w:val="24"/>
        </w:rPr>
        <w:t>հավելվածի IV լրացման մեջ նշված տարրերը, որոնք ներկայացվում են հետ</w:t>
      </w:r>
      <w:r w:rsidR="00C54D75">
        <w:rPr>
          <w:rFonts w:ascii="Sylfaen" w:hAnsi="Sylfaen"/>
          <w:sz w:val="24"/>
          <w:szCs w:val="24"/>
        </w:rPr>
        <w:t>և</w:t>
      </w:r>
      <w:r w:rsidRPr="00826F05">
        <w:rPr>
          <w:rFonts w:ascii="Sylfaen" w:hAnsi="Sylfaen"/>
          <w:sz w:val="24"/>
          <w:szCs w:val="24"/>
        </w:rPr>
        <w:t xml:space="preserve">յալ կարգով՝ համապատասխան վերնագրերով </w:t>
      </w:r>
      <w:r w:rsidR="00C54D75">
        <w:rPr>
          <w:rFonts w:ascii="Sylfaen" w:hAnsi="Sylfaen"/>
          <w:sz w:val="24"/>
          <w:szCs w:val="24"/>
        </w:rPr>
        <w:t>և</w:t>
      </w:r>
      <w:r w:rsidRPr="00826F05">
        <w:rPr>
          <w:rFonts w:ascii="Sylfaen" w:hAnsi="Sylfaen"/>
          <w:sz w:val="24"/>
          <w:szCs w:val="24"/>
        </w:rPr>
        <w:t xml:space="preserve"> համարակալմամբ, ընդհանուր տեխնիկական փաստաթղթի ձ</w:t>
      </w:r>
      <w:r w:rsidR="00C54D75">
        <w:rPr>
          <w:rFonts w:ascii="Sylfaen" w:hAnsi="Sylfaen"/>
          <w:sz w:val="24"/>
          <w:szCs w:val="24"/>
        </w:rPr>
        <w:t>և</w:t>
      </w:r>
      <w:r w:rsidRPr="00826F05">
        <w:rPr>
          <w:rFonts w:ascii="Sylfaen" w:hAnsi="Sylfaen"/>
          <w:sz w:val="24"/>
          <w:szCs w:val="24"/>
        </w:rPr>
        <w:t>աչափով՝</w:t>
      </w:r>
    </w:p>
    <w:p w14:paraId="22D2C6D6" w14:textId="77777777" w:rsidR="004F5982" w:rsidRPr="00826F05" w:rsidRDefault="004F5982" w:rsidP="00487007">
      <w:pPr>
        <w:tabs>
          <w:tab w:val="left" w:pos="1418"/>
        </w:tabs>
        <w:spacing w:after="160" w:line="360" w:lineRule="auto"/>
        <w:ind w:right="-20" w:firstLine="567"/>
        <w:jc w:val="both"/>
        <w:rPr>
          <w:rFonts w:ascii="Sylfaen" w:hAnsi="Sylfaen"/>
          <w:sz w:val="24"/>
          <w:szCs w:val="24"/>
        </w:rPr>
      </w:pPr>
      <w:r w:rsidRPr="00826F05">
        <w:rPr>
          <w:rFonts w:ascii="Sylfaen" w:hAnsi="Sylfaen"/>
          <w:sz w:val="24"/>
          <w:szCs w:val="24"/>
        </w:rPr>
        <w:t>ուղեկցող նամակ,</w:t>
      </w:r>
    </w:p>
    <w:p w14:paraId="0B22BDA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դեղապատրաստուկի գրանցման դոսյեում փոփոխություններ կատարելու վերաբերյալ հայտ, այդ թվում՝ դիտարկվող դեղապատրաստուկի մասին տեղեկություններ: Եթե փոփոխությունը մեկ այլ փոփոխության հետ</w:t>
      </w:r>
      <w:r w:rsidR="00C54D75">
        <w:rPr>
          <w:rFonts w:ascii="Sylfaen" w:hAnsi="Sylfaen"/>
          <w:sz w:val="24"/>
          <w:szCs w:val="24"/>
        </w:rPr>
        <w:t>և</w:t>
      </w:r>
      <w:r w:rsidRPr="00826F05">
        <w:rPr>
          <w:rFonts w:ascii="Sylfaen" w:hAnsi="Sylfaen"/>
          <w:sz w:val="24"/>
          <w:szCs w:val="24"/>
        </w:rPr>
        <w:t>անք է կամ կապված է դրա հետ, հայտի համապատասխան բաժնում անհրաժեշտ է ներկայացնել այդ փոփոխությունների միջ</w:t>
      </w:r>
      <w:r w:rsidR="00C54D75">
        <w:rPr>
          <w:rFonts w:ascii="Sylfaen" w:hAnsi="Sylfaen"/>
          <w:sz w:val="24"/>
          <w:szCs w:val="24"/>
        </w:rPr>
        <w:t>և</w:t>
      </w:r>
      <w:r w:rsidRPr="00826F05">
        <w:rPr>
          <w:rFonts w:ascii="Sylfaen" w:hAnsi="Sylfaen"/>
          <w:sz w:val="24"/>
          <w:szCs w:val="24"/>
        </w:rPr>
        <w:t xml:space="preserve"> կապի նկարագրությունը,</w:t>
      </w:r>
    </w:p>
    <w:p w14:paraId="4ED1CB0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փոփոխության ծածկագիրը՝ Դեղամիջոցների գրանցման կանոնների թիվ</w:t>
      </w:r>
      <w:r>
        <w:rPr>
          <w:rFonts w:ascii="Sylfaen" w:hAnsi="Sylfaen"/>
          <w:sz w:val="24"/>
          <w:szCs w:val="24"/>
        </w:rPr>
        <w:t> </w:t>
      </w:r>
      <w:r w:rsidRPr="00826F05">
        <w:rPr>
          <w:rFonts w:ascii="Sylfaen" w:hAnsi="Sylfaen"/>
          <w:sz w:val="24"/>
          <w:szCs w:val="24"/>
        </w:rPr>
        <w:t>19</w:t>
      </w:r>
      <w:r>
        <w:rPr>
          <w:rFonts w:ascii="Sylfaen" w:hAnsi="Sylfaen"/>
          <w:sz w:val="24"/>
          <w:szCs w:val="24"/>
        </w:rPr>
        <w:t> </w:t>
      </w:r>
      <w:r w:rsidRPr="00826F05">
        <w:rPr>
          <w:rFonts w:ascii="Sylfaen" w:hAnsi="Sylfaen"/>
          <w:sz w:val="24"/>
          <w:szCs w:val="24"/>
        </w:rPr>
        <w:t xml:space="preserve">հավելվածի V լրացմանը համապատասխան, որը վկայում է այն մասին, որ պահպանված են բոլոր պայմանները </w:t>
      </w:r>
      <w:r w:rsidR="00C54D75">
        <w:rPr>
          <w:rFonts w:ascii="Sylfaen" w:hAnsi="Sylfaen"/>
          <w:sz w:val="24"/>
          <w:szCs w:val="24"/>
        </w:rPr>
        <w:t>և</w:t>
      </w:r>
      <w:r w:rsidRPr="00826F05">
        <w:rPr>
          <w:rFonts w:ascii="Sylfaen" w:hAnsi="Sylfaen"/>
          <w:sz w:val="24"/>
          <w:szCs w:val="24"/>
        </w:rPr>
        <w:t xml:space="preserve"> փաստաթղթային պահանջները կամ եթե կիրառելի է, համապատասխան հայտում օգտագործված՝ Դեղամիջոցների գրանցման կանոնների թիվ 19 հավելվածի 1.5 ենթակետին համապատասխան ներկայացված՝ դասակարգման առաջարկը,</w:t>
      </w:r>
    </w:p>
    <w:p w14:paraId="61671AA5"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 xml:space="preserve">առաջարկված փոփոխություններին վերաբերող լրացուցիչ տեղեկությունները, որակի ռեզյումեի, նախակլինիկական </w:t>
      </w:r>
      <w:r w:rsidR="00C54D75">
        <w:rPr>
          <w:rFonts w:ascii="Sylfaen" w:hAnsi="Sylfaen"/>
          <w:sz w:val="24"/>
          <w:szCs w:val="24"/>
        </w:rPr>
        <w:t>և</w:t>
      </w:r>
      <w:r w:rsidRPr="00826F05">
        <w:rPr>
          <w:rFonts w:ascii="Sylfaen" w:hAnsi="Sylfaen"/>
          <w:sz w:val="24"/>
          <w:szCs w:val="24"/>
        </w:rPr>
        <w:t xml:space="preserve"> կլինիկական ամփոփագրերի համապատասխան թարմացումը կամ հավելվածը: </w:t>
      </w:r>
      <w:r w:rsidRPr="00826F05">
        <w:rPr>
          <w:rFonts w:ascii="Sylfaen" w:hAnsi="Sylfaen"/>
          <w:sz w:val="24"/>
          <w:szCs w:val="24"/>
        </w:rPr>
        <w:lastRenderedPageBreak/>
        <w:t>Եթե</w:t>
      </w:r>
      <w:r>
        <w:rPr>
          <w:rFonts w:ascii="Sylfaen" w:hAnsi="Sylfaen"/>
          <w:sz w:val="24"/>
          <w:szCs w:val="24"/>
        </w:rPr>
        <w:t> </w:t>
      </w:r>
      <w:r w:rsidRPr="00826F05">
        <w:rPr>
          <w:rFonts w:ascii="Sylfaen" w:hAnsi="Sylfaen"/>
          <w:sz w:val="24"/>
          <w:szCs w:val="24"/>
        </w:rPr>
        <w:t>ներկայացվում են նախակլինիկական կամ կլինիկական հետազոտությունների մասին հաշվետվություններ (անգամ մեկը), դրանց ռեզյումեն անհրաժեշտ է ներառել 2-րդ մոդուլում,</w:t>
      </w:r>
    </w:p>
    <w:p w14:paraId="4B7607E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լիազորված մարմնից պահանջված այն փոփոխությունների դեպքում, որոնք պայմանավորված են դեղապատրաստուկի մասին նոր ստացված տվյալներով, օրինակ՝ հետգրանցումային պայմաններին համապատասխան կամ դեղազգոնության պարտավորությունների շրջանակներում, ուղեկցող նամակին անհրաժեշտ է կցել լիազորված մարմնի (փորձագիտական կազմակերպության) հարցման պատճենը,</w:t>
      </w:r>
    </w:p>
    <w:p w14:paraId="0A1917B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փոփոխությունները վերաբերում են դեղապատրաստուկի ընդհանուր բնութագրին՝ մականշվածքին կամ ներդիր-թերթիկին, ինչպես նա</w:t>
      </w:r>
      <w:r w:rsidR="00C54D75">
        <w:rPr>
          <w:rFonts w:ascii="Sylfaen" w:hAnsi="Sylfaen"/>
          <w:sz w:val="24"/>
          <w:szCs w:val="24"/>
        </w:rPr>
        <w:t>և</w:t>
      </w:r>
      <w:r w:rsidRPr="00826F05">
        <w:rPr>
          <w:rFonts w:ascii="Sylfaen" w:hAnsi="Sylfaen"/>
          <w:sz w:val="24"/>
          <w:szCs w:val="24"/>
        </w:rPr>
        <w:t xml:space="preserve"> որակի նորմատիվ փաստաթղթին՝ պատշաճ ձ</w:t>
      </w:r>
      <w:r w:rsidR="00C54D75">
        <w:rPr>
          <w:rFonts w:ascii="Sylfaen" w:hAnsi="Sylfaen"/>
          <w:sz w:val="24"/>
          <w:szCs w:val="24"/>
        </w:rPr>
        <w:t>և</w:t>
      </w:r>
      <w:r w:rsidRPr="00826F05">
        <w:rPr>
          <w:rFonts w:ascii="Sylfaen" w:hAnsi="Sylfaen"/>
          <w:sz w:val="24"/>
          <w:szCs w:val="24"/>
        </w:rPr>
        <w:t xml:space="preserve">աչափով ներկայացված՝ դեղապատրաստուկի մասին վերանայված տեղեկատվությունը (դեղապատրաստուկի ընդհանուր բնութագիրը, մականշվածքը </w:t>
      </w:r>
      <w:r w:rsidR="00C54D75">
        <w:rPr>
          <w:rFonts w:ascii="Sylfaen" w:hAnsi="Sylfaen"/>
          <w:sz w:val="24"/>
          <w:szCs w:val="24"/>
        </w:rPr>
        <w:t>և</w:t>
      </w:r>
      <w:r w:rsidRPr="00826F05">
        <w:rPr>
          <w:rFonts w:ascii="Sylfaen" w:hAnsi="Sylfaen"/>
          <w:sz w:val="24"/>
          <w:szCs w:val="24"/>
        </w:rPr>
        <w:t xml:space="preserve"> ներդիր-թերթիկը), որակի նորմատիվ փաստաթուղթը, ինչպես նա</w:t>
      </w:r>
      <w:r w:rsidR="00C54D75">
        <w:rPr>
          <w:rFonts w:ascii="Sylfaen" w:hAnsi="Sylfaen"/>
          <w:sz w:val="24"/>
          <w:szCs w:val="24"/>
        </w:rPr>
        <w:t>և</w:t>
      </w:r>
      <w:r w:rsidRPr="00826F05">
        <w:rPr>
          <w:rFonts w:ascii="Sylfaen" w:hAnsi="Sylfaen"/>
          <w:sz w:val="24"/>
          <w:szCs w:val="24"/>
        </w:rPr>
        <w:t xml:space="preserve"> անդամ պետությունների պետական լեզուներով համապատասխան թարգմանությունները՝ նրանց օրենսդրության մեջ համապատասխան պահանջների առկայության դեպքում: Եթե II տիպի էական փոփոխությունն ազդում է առաջնային </w:t>
      </w:r>
      <w:r w:rsidR="00C54D75">
        <w:rPr>
          <w:rFonts w:ascii="Sylfaen" w:hAnsi="Sylfaen"/>
          <w:sz w:val="24"/>
          <w:szCs w:val="24"/>
        </w:rPr>
        <w:t>և</w:t>
      </w:r>
      <w:r w:rsidRPr="00826F05">
        <w:rPr>
          <w:rFonts w:ascii="Sylfaen" w:hAnsi="Sylfaen"/>
          <w:sz w:val="24"/>
          <w:szCs w:val="24"/>
        </w:rPr>
        <w:t xml:space="preserve"> (կամ) երկրորդային փաթեթվածքի ընդհանուր դիզայնի վրա, լիազորված մարմինը (փորձագիտական կազմակերպությունը) պետք է ներկայացնի փաթեթվածքի մանրակերտերը:</w:t>
      </w:r>
    </w:p>
    <w:p w14:paraId="7FAF53D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1.1.3 ենթակետում նշված փոփոխությունների դեպքում ռեֆերենտ պետության լիազորված մարմինը (փորձագիտական կազմակերպությունը) պետք է ստանա շահագրգիռ ճանաչման պետությունում փոփոխության ընթացակարգի համարի նշմամբ II տիպի դեղապատրաստուկի գրանցման դոսյեում փոփոխություններ կատարելու վերաբերյալ համապատասխան հայտեր ներկայացնելու ամսաթվերի </w:t>
      </w:r>
      <w:r w:rsidR="00C54D75">
        <w:rPr>
          <w:rFonts w:ascii="Sylfaen" w:hAnsi="Sylfaen"/>
          <w:sz w:val="24"/>
          <w:szCs w:val="24"/>
        </w:rPr>
        <w:t>և</w:t>
      </w:r>
      <w:r w:rsidRPr="00826F05">
        <w:rPr>
          <w:rFonts w:ascii="Sylfaen" w:hAnsi="Sylfaen"/>
          <w:sz w:val="24"/>
          <w:szCs w:val="24"/>
        </w:rPr>
        <w:t xml:space="preserve"> դեղապատրաստուկի գրանցման դոսյեում (</w:t>
      </w:r>
      <w:r w:rsidR="00C54D75">
        <w:rPr>
          <w:rFonts w:ascii="Sylfaen" w:hAnsi="Sylfaen"/>
          <w:sz w:val="24"/>
          <w:szCs w:val="24"/>
        </w:rPr>
        <w:t>և</w:t>
      </w:r>
      <w:r w:rsidRPr="00826F05">
        <w:rPr>
          <w:rFonts w:ascii="Sylfaen" w:hAnsi="Sylfaen"/>
          <w:sz w:val="24"/>
          <w:szCs w:val="24"/>
        </w:rPr>
        <w:t xml:space="preserve"> անհրաժեշտության դեպքում՝ </w:t>
      </w:r>
      <w:r w:rsidRPr="00826F05">
        <w:rPr>
          <w:rFonts w:ascii="Sylfaen" w:hAnsi="Sylfaen"/>
          <w:sz w:val="24"/>
          <w:szCs w:val="24"/>
        </w:rPr>
        <w:lastRenderedPageBreak/>
        <w:t>դրա</w:t>
      </w:r>
      <w:r>
        <w:rPr>
          <w:rFonts w:ascii="Sylfaen" w:hAnsi="Sylfaen"/>
          <w:sz w:val="24"/>
          <w:szCs w:val="24"/>
        </w:rPr>
        <w:t> </w:t>
      </w:r>
      <w:r w:rsidRPr="00826F05">
        <w:rPr>
          <w:rFonts w:ascii="Sylfaen" w:hAnsi="Sylfaen"/>
          <w:sz w:val="24"/>
          <w:szCs w:val="24"/>
        </w:rPr>
        <w:t xml:space="preserve">փորձաքննության մեջ) փոփոխություններ կատարելու վճարի (տուրքի)՝ ճանաչման պետության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վճարումը հաստատող փաստաթղթերի ցանկը:</w:t>
      </w:r>
    </w:p>
    <w:p w14:paraId="04305E30"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1.1.4 կետում հիշատակված փոփոխությունների դեպքում ռեֆերենտ պետության լիազորված մարմինը (փորձագիտական կազմակերպությունը) պետք է ստանա դեղապատրաստուկի գրանցման դոսյեում (</w:t>
      </w:r>
      <w:r w:rsidR="00C54D75">
        <w:rPr>
          <w:rFonts w:ascii="Sylfaen" w:hAnsi="Sylfaen"/>
          <w:sz w:val="24"/>
          <w:szCs w:val="24"/>
        </w:rPr>
        <w:t>և</w:t>
      </w:r>
      <w:r w:rsidRPr="00826F05">
        <w:rPr>
          <w:rFonts w:ascii="Sylfaen" w:hAnsi="Sylfaen"/>
          <w:sz w:val="24"/>
          <w:szCs w:val="24"/>
        </w:rPr>
        <w:t xml:space="preserve"> անհրաժեշտության դեպքում՝ դրա</w:t>
      </w:r>
      <w:r>
        <w:rPr>
          <w:rFonts w:ascii="Sylfaen" w:hAnsi="Sylfaen"/>
          <w:sz w:val="24"/>
          <w:szCs w:val="24"/>
        </w:rPr>
        <w:t> </w:t>
      </w:r>
      <w:r w:rsidRPr="00826F05">
        <w:rPr>
          <w:rFonts w:ascii="Sylfaen" w:hAnsi="Sylfaen"/>
          <w:sz w:val="24"/>
          <w:szCs w:val="24"/>
        </w:rPr>
        <w:t xml:space="preserve">փորձաքննության մեջ) փոփոխություններ կատարելու վճարի (տուրքի)՝ անդամ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վճարման հաստատում:</w:t>
      </w:r>
    </w:p>
    <w:p w14:paraId="4E9A0D4F" w14:textId="77777777" w:rsidR="004F5982" w:rsidRPr="00826F05" w:rsidRDefault="004F5982" w:rsidP="00487007">
      <w:pPr>
        <w:tabs>
          <w:tab w:val="left" w:pos="1701"/>
        </w:tabs>
        <w:spacing w:after="160" w:line="360" w:lineRule="auto"/>
        <w:ind w:right="40" w:firstLine="567"/>
        <w:jc w:val="both"/>
        <w:rPr>
          <w:rFonts w:ascii="Sylfaen" w:eastAsia="Times New Roman" w:hAnsi="Sylfaen" w:cs="Times New Roman"/>
          <w:sz w:val="24"/>
          <w:szCs w:val="24"/>
        </w:rPr>
      </w:pPr>
      <w:r w:rsidRPr="00826F05">
        <w:rPr>
          <w:rFonts w:ascii="Sylfaen" w:hAnsi="Sylfaen"/>
          <w:sz w:val="24"/>
          <w:szCs w:val="24"/>
        </w:rPr>
        <w:t>2.3.2.</w:t>
      </w:r>
      <w:r w:rsidRPr="00826F05">
        <w:rPr>
          <w:rFonts w:ascii="Sylfaen" w:hAnsi="Sylfaen"/>
          <w:sz w:val="24"/>
          <w:szCs w:val="24"/>
        </w:rPr>
        <w:tab/>
        <w:t>Դեղամիջոցների գրանցման կանոնների թիվ 19 հավելվածի 1.1.3</w:t>
      </w:r>
      <w:r>
        <w:rPr>
          <w:rFonts w:ascii="Sylfaen" w:hAnsi="Sylfaen"/>
          <w:sz w:val="24"/>
          <w:szCs w:val="24"/>
        </w:rPr>
        <w:t> </w:t>
      </w:r>
      <w:r w:rsidRPr="00826F05">
        <w:rPr>
          <w:rFonts w:ascii="Sylfaen" w:hAnsi="Sylfaen"/>
          <w:sz w:val="24"/>
          <w:szCs w:val="24"/>
        </w:rPr>
        <w:t>ենթակետում նշված II տիպի փոփոխությունների փորձաքննություն:</w:t>
      </w:r>
    </w:p>
    <w:p w14:paraId="06FD808C"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sz w:val="24"/>
          <w:szCs w:val="24"/>
        </w:rPr>
        <w:t xml:space="preserve">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ռեֆերենտ պետության լիազորված մարմին (փորձագիտական կազմակերպություն) է ներկայացնում փոփոխությունների կատարման հայտ` Դեղամիջոցների գրանցման կանոնների թիվ 2 հավելվածի համաձայն, կամ փոփոխությունների կատարման վճարի (տուրքի) վճարում հաստատող փաստաթղթեր՝ անդամ պետության օրենսդրությամբ սահմանված դեպքում </w:t>
      </w:r>
      <w:r w:rsidR="00C54D75">
        <w:rPr>
          <w:rFonts w:ascii="Sylfaen" w:hAnsi="Sylfaen"/>
          <w:sz w:val="24"/>
          <w:szCs w:val="24"/>
        </w:rPr>
        <w:t>և</w:t>
      </w:r>
      <w:r w:rsidRPr="00826F05">
        <w:rPr>
          <w:rFonts w:ascii="Sylfaen" w:hAnsi="Sylfaen"/>
          <w:sz w:val="24"/>
          <w:szCs w:val="24"/>
        </w:rPr>
        <w:t xml:space="preserve"> կարգով, ինչպես նա</w:t>
      </w:r>
      <w:r w:rsidR="00C54D75">
        <w:rPr>
          <w:rFonts w:ascii="Sylfaen" w:hAnsi="Sylfaen"/>
          <w:sz w:val="24"/>
          <w:szCs w:val="24"/>
        </w:rPr>
        <w:t>և</w:t>
      </w:r>
      <w:r w:rsidRPr="00826F05">
        <w:rPr>
          <w:rFonts w:ascii="Sylfaen" w:hAnsi="Sylfaen"/>
          <w:sz w:val="24"/>
          <w:szCs w:val="24"/>
        </w:rPr>
        <w:t xml:space="preserve"> սույն կանոնների 2.3.1 ենթակետում նշված տարրերը պարունակող փոփոխության դոսյեն:</w:t>
      </w:r>
    </w:p>
    <w:p w14:paraId="46391D1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Անհրաժեշտության դեպքում </w:t>
      </w:r>
      <w:r w:rsidR="00C54D75">
        <w:rPr>
          <w:rFonts w:ascii="Sylfaen" w:hAnsi="Sylfaen"/>
          <w:sz w:val="24"/>
          <w:szCs w:val="24"/>
        </w:rPr>
        <w:t>և</w:t>
      </w:r>
      <w:r w:rsidRPr="00826F05">
        <w:rPr>
          <w:rFonts w:ascii="Sylfaen" w:hAnsi="Sylfaen"/>
          <w:sz w:val="24"/>
          <w:szCs w:val="24"/>
        </w:rPr>
        <w:t xml:space="preserve"> փորձագիտական կազմակերպության հետ համաձայնությամբ հայտատուն ռեֆերենտ պետության լիազորված մարմին (փորձագիտական կազմակերպություն) է ներկայացնում դեղապատրաստուկների նմուշները, ակտիվ դեղագործական բաղադրամասերի </w:t>
      </w:r>
      <w:r w:rsidR="00C54D75">
        <w:rPr>
          <w:rFonts w:ascii="Sylfaen" w:hAnsi="Sylfaen"/>
          <w:sz w:val="24"/>
          <w:szCs w:val="24"/>
        </w:rPr>
        <w:t>և</w:t>
      </w:r>
      <w:r w:rsidRPr="00826F05">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826F05">
        <w:rPr>
          <w:rFonts w:ascii="Sylfaen" w:hAnsi="Sylfaen"/>
          <w:sz w:val="24"/>
          <w:szCs w:val="24"/>
        </w:rPr>
        <w:t xml:space="preserve"> լաբորատոր փորձարկումներ անցկացնելու համար անհրաժեշտ մյուս նյութերը:</w:t>
      </w:r>
    </w:p>
    <w:p w14:paraId="181E48A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մարմինը (փորձագիտական կազմակերպությունը) ոչ ուշ, քան փոփոխությունների կատարման հայտը ռեֆերենտ պետություն ներկայացնելու օրվանից 14 աշխատանքային օրվա </w:t>
      </w:r>
      <w:r w:rsidRPr="00826F05">
        <w:rPr>
          <w:rFonts w:ascii="Sylfaen" w:hAnsi="Sylfaen"/>
          <w:sz w:val="24"/>
          <w:szCs w:val="24"/>
        </w:rPr>
        <w:lastRenderedPageBreak/>
        <w:t xml:space="preserve">ընթացքում իրականացնում է ներկայացված փաստաթղթերի ամբողջականության, լրակազմության </w:t>
      </w:r>
      <w:r w:rsidR="00C54D75">
        <w:rPr>
          <w:rFonts w:ascii="Sylfaen" w:hAnsi="Sylfaen"/>
          <w:sz w:val="24"/>
          <w:szCs w:val="24"/>
        </w:rPr>
        <w:t>և</w:t>
      </w:r>
      <w:r w:rsidRPr="00826F05">
        <w:rPr>
          <w:rFonts w:ascii="Sylfaen" w:hAnsi="Sylfaen"/>
          <w:sz w:val="24"/>
          <w:szCs w:val="24"/>
        </w:rPr>
        <w:t xml:space="preserve"> ճիշտ ձ</w:t>
      </w:r>
      <w:r w:rsidR="00C54D75">
        <w:rPr>
          <w:rFonts w:ascii="Sylfaen" w:hAnsi="Sylfaen"/>
          <w:sz w:val="24"/>
          <w:szCs w:val="24"/>
        </w:rPr>
        <w:t>և</w:t>
      </w:r>
      <w:r w:rsidRPr="00826F05">
        <w:rPr>
          <w:rFonts w:ascii="Sylfaen" w:hAnsi="Sylfaen"/>
          <w:sz w:val="24"/>
          <w:szCs w:val="24"/>
        </w:rPr>
        <w:t>ակերպման գնահատում։</w:t>
      </w:r>
    </w:p>
    <w:p w14:paraId="5CD6498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հայտը բավարարում է սույն Կանոնների 2.3.1 ենթակետով սահմանված պահանջները, ապա լիազորված մարմինը (փորձագիտական կազմակերպությունը) հաստատում է վավեր հայտի ստացումը:</w:t>
      </w:r>
    </w:p>
    <w:p w14:paraId="23D044A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Փոփոխությունների կատարման հայտը ստանալու օրվանից 60 օրացուցային օրվա ընթացքում լիազորված մարմինը (փորձագիտական կազմակերպությունը) պետք է ավարտի դեղապատրաստուկի փորձաքննությունը </w:t>
      </w:r>
      <w:r w:rsidR="00C54D75">
        <w:rPr>
          <w:rFonts w:ascii="Sylfaen" w:hAnsi="Sylfaen"/>
          <w:sz w:val="24"/>
          <w:szCs w:val="24"/>
        </w:rPr>
        <w:t>և</w:t>
      </w:r>
      <w:r w:rsidRPr="00826F05">
        <w:rPr>
          <w:rFonts w:ascii="Sylfaen" w:hAnsi="Sylfaen"/>
          <w:sz w:val="24"/>
          <w:szCs w:val="24"/>
        </w:rPr>
        <w:t xml:space="preserve"> պատրաստի գնահատման վերաբերյալ փորձագիտական հաշվետվություն:</w:t>
      </w:r>
    </w:p>
    <w:p w14:paraId="07E63E0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Լիազորված մարմինը (փորձագիտական կազմակերպությունը) իրավունք ունի կրճատելու տվյալ ժամկետը՝ հաշվի առնելով հարցի հրատապությունը, կամ այն երկարաձգելու մինչ</w:t>
      </w:r>
      <w:r w:rsidR="00C54D75">
        <w:rPr>
          <w:rFonts w:ascii="Sylfaen" w:hAnsi="Sylfaen"/>
          <w:sz w:val="24"/>
          <w:szCs w:val="24"/>
        </w:rPr>
        <w:t>և</w:t>
      </w:r>
      <w:r w:rsidRPr="00826F05">
        <w:rPr>
          <w:rFonts w:ascii="Sylfaen" w:hAnsi="Sylfaen"/>
          <w:sz w:val="24"/>
          <w:szCs w:val="24"/>
        </w:rPr>
        <w:t xml:space="preserve"> 90 օրացուցային օր՝ կիրառման հաստատված ցուցումները ձ</w:t>
      </w:r>
      <w:r w:rsidR="00C54D75">
        <w:rPr>
          <w:rFonts w:ascii="Sylfaen" w:hAnsi="Sylfaen"/>
          <w:sz w:val="24"/>
          <w:szCs w:val="24"/>
        </w:rPr>
        <w:t>և</w:t>
      </w:r>
      <w:r w:rsidRPr="00826F05">
        <w:rPr>
          <w:rFonts w:ascii="Sylfaen" w:hAnsi="Sylfaen"/>
          <w:sz w:val="24"/>
          <w:szCs w:val="24"/>
        </w:rPr>
        <w:t xml:space="preserve">ափոխելու կամ կիրառման նոր ցուցումներ ներառելու արդյունքում առաջացած փոփոխությունների կամ փոփոխությունների խմբի </w:t>
      </w:r>
      <w:r w:rsidRPr="00943155">
        <w:rPr>
          <w:rFonts w:ascii="Sylfaen" w:hAnsi="Sylfaen"/>
          <w:spacing w:val="6"/>
          <w:sz w:val="24"/>
          <w:szCs w:val="24"/>
        </w:rPr>
        <w:t>դեպքում՝ Դեղամիջոցների գրանցման կանոնների թիվ 19 հավելվածի 3.4.2</w:t>
      </w:r>
      <w:r>
        <w:rPr>
          <w:rFonts w:ascii="Sylfaen" w:hAnsi="Sylfaen"/>
          <w:spacing w:val="6"/>
          <w:sz w:val="24"/>
          <w:szCs w:val="24"/>
        </w:rPr>
        <w:t> </w:t>
      </w:r>
      <w:r w:rsidRPr="00943155">
        <w:rPr>
          <w:rFonts w:ascii="Sylfaen" w:hAnsi="Sylfaen"/>
          <w:spacing w:val="6"/>
          <w:sz w:val="24"/>
          <w:szCs w:val="24"/>
        </w:rPr>
        <w:t>կետի</w:t>
      </w:r>
      <w:r w:rsidRPr="00826F05">
        <w:rPr>
          <w:rFonts w:ascii="Sylfaen" w:hAnsi="Sylfaen"/>
          <w:sz w:val="24"/>
          <w:szCs w:val="24"/>
        </w:rPr>
        <w:t xml:space="preserve"> 4-րդ պարբերությանը համապատասխան:</w:t>
      </w:r>
    </w:p>
    <w:p w14:paraId="26E6E62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Ռեֆերենտ պետության լիազորված մարմնի (փորձագիտական կազմակերպության) դիտողությունների հիման վրա դոսյեի պակասող նյութերը ներկայացնելու համար հայտատուին տրամադրվում է 90 օրացուցային օրվանից ոչ</w:t>
      </w:r>
      <w:r>
        <w:rPr>
          <w:rFonts w:ascii="Sylfaen" w:hAnsi="Sylfaen"/>
          <w:sz w:val="24"/>
          <w:szCs w:val="24"/>
        </w:rPr>
        <w:t> </w:t>
      </w:r>
      <w:r w:rsidRPr="00826F05">
        <w:rPr>
          <w:rFonts w:ascii="Sylfaen" w:hAnsi="Sylfaen"/>
          <w:sz w:val="24"/>
          <w:szCs w:val="24"/>
        </w:rPr>
        <w:t xml:space="preserve">ավելի, որը չի մտնում դեղապատրաստուկի փորձաքննության </w:t>
      </w:r>
      <w:r w:rsidR="00C54D75">
        <w:rPr>
          <w:rFonts w:ascii="Sylfaen" w:hAnsi="Sylfaen"/>
          <w:sz w:val="24"/>
          <w:szCs w:val="24"/>
        </w:rPr>
        <w:t>և</w:t>
      </w:r>
      <w:r w:rsidRPr="00826F05">
        <w:rPr>
          <w:rFonts w:ascii="Sylfaen" w:hAnsi="Sylfaen"/>
          <w:sz w:val="24"/>
          <w:szCs w:val="24"/>
        </w:rPr>
        <w:t xml:space="preserve"> փոփոխությունների կատարման ընթացակարգի ժամկետի մեջ։</w:t>
      </w:r>
    </w:p>
    <w:p w14:paraId="0317CB1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մարմնի (փորձագիտական կազմակերպության) դիտողությունների հիման վրա նյութերը չներկայացնելու </w:t>
      </w:r>
      <w:r w:rsidR="00C54D75">
        <w:rPr>
          <w:rFonts w:ascii="Sylfaen" w:hAnsi="Sylfaen"/>
          <w:sz w:val="24"/>
          <w:szCs w:val="24"/>
        </w:rPr>
        <w:t>և</w:t>
      </w:r>
      <w:r w:rsidRPr="00826F05">
        <w:rPr>
          <w:rFonts w:ascii="Sylfaen" w:hAnsi="Sylfaen"/>
          <w:sz w:val="24"/>
          <w:szCs w:val="24"/>
        </w:rPr>
        <w:t xml:space="preserve"> (կամ) անդամ պետության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փոփոխություններ կատարելու վճարի (տուրքի) վճարումը չհաստատելու դեպքում ռեֆերենտ պետության լիազորված մարմինը (փորձագիտական կազմակերպությունը) մերժում է դեղապատրաստուկի գրանցման դոսյեի մեջ փոփոխություններ կատարելու հայտը։</w:t>
      </w:r>
    </w:p>
    <w:p w14:paraId="42D82826"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Ռեֆերենտ պետության լիազորված մարմինը (փորձագիտական կազմակերպությունը) նշված ժամկետներին համապատասխան պատրաստում է փորձագիտական հաշվետվության նախագիծ </w:t>
      </w:r>
      <w:r w:rsidR="00C54D75">
        <w:rPr>
          <w:rFonts w:ascii="Sylfaen" w:hAnsi="Sylfaen"/>
          <w:sz w:val="24"/>
          <w:szCs w:val="24"/>
        </w:rPr>
        <w:t>և</w:t>
      </w:r>
      <w:r w:rsidRPr="00826F05">
        <w:rPr>
          <w:rFonts w:ascii="Sylfaen" w:hAnsi="Sylfaen"/>
          <w:sz w:val="24"/>
          <w:szCs w:val="24"/>
        </w:rPr>
        <w:t xml:space="preserve"> հայտի մասով որոշում ու ուղարկում է դրանք շահագրգիռ անդամ պետություններին՝ մեկնաբանություններ ստանալու, ինչպես նա</w:t>
      </w:r>
      <w:r w:rsidR="00C54D75">
        <w:rPr>
          <w:rFonts w:ascii="Sylfaen" w:hAnsi="Sylfaen"/>
          <w:sz w:val="24"/>
          <w:szCs w:val="24"/>
        </w:rPr>
        <w:t>և</w:t>
      </w:r>
      <w:r w:rsidRPr="00826F05">
        <w:rPr>
          <w:rFonts w:ascii="Sylfaen" w:hAnsi="Sylfaen"/>
          <w:sz w:val="24"/>
          <w:szCs w:val="24"/>
        </w:rPr>
        <w:t xml:space="preserve"> հայտատուին տեղեկացնելու նպատակով: Շահագրգիռ անդամ պետությունները նախատեսված ժամկետներում ռեֆերենտ պետության լիազորված մարմին (փորձագիտական կազմակերպություն) են ուղարկում իրենց մեկնաբանությունները:</w:t>
      </w:r>
    </w:p>
    <w:p w14:paraId="7989030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մարմնի (փորձագիտական կազմակերպության) հայտին հայտատուի պատասխանը ստանալուց հետո վերջինս ավարտում է գնահատման վերաբերյալ փորձագիտական հաշվետվության նախագծի </w:t>
      </w:r>
      <w:r w:rsidR="00C54D75">
        <w:rPr>
          <w:rFonts w:ascii="Sylfaen" w:hAnsi="Sylfaen"/>
          <w:sz w:val="24"/>
          <w:szCs w:val="24"/>
        </w:rPr>
        <w:t>և</w:t>
      </w:r>
      <w:r w:rsidRPr="00826F05">
        <w:rPr>
          <w:rFonts w:ascii="Sylfaen" w:hAnsi="Sylfaen"/>
          <w:sz w:val="24"/>
          <w:szCs w:val="24"/>
        </w:rPr>
        <w:t xml:space="preserve"> հայտի հետ կապված որոշման պատրաստումը </w:t>
      </w:r>
      <w:r w:rsidR="00C54D75">
        <w:rPr>
          <w:rFonts w:ascii="Sylfaen" w:hAnsi="Sylfaen"/>
          <w:sz w:val="24"/>
          <w:szCs w:val="24"/>
        </w:rPr>
        <w:t>և</w:t>
      </w:r>
      <w:r w:rsidRPr="00826F05">
        <w:rPr>
          <w:rFonts w:ascii="Sylfaen" w:hAnsi="Sylfaen"/>
          <w:sz w:val="24"/>
          <w:szCs w:val="24"/>
        </w:rPr>
        <w:t xml:space="preserve"> ուղարկում դրանք շահագրգիռ անդամ պետություններին, ինչպես նա</w:t>
      </w:r>
      <w:r w:rsidR="00C54D75">
        <w:rPr>
          <w:rFonts w:ascii="Sylfaen" w:hAnsi="Sylfaen"/>
          <w:sz w:val="24"/>
          <w:szCs w:val="24"/>
        </w:rPr>
        <w:t>և</w:t>
      </w:r>
      <w:r w:rsidRPr="00826F05">
        <w:rPr>
          <w:rFonts w:ascii="Sylfaen" w:hAnsi="Sylfaen"/>
          <w:sz w:val="24"/>
          <w:szCs w:val="24"/>
        </w:rPr>
        <w:t xml:space="preserve"> հայտատուին տեղեկացնելու համար:</w:t>
      </w:r>
    </w:p>
    <w:p w14:paraId="18456654" w14:textId="77777777" w:rsidR="004F5982" w:rsidRPr="00826F05" w:rsidRDefault="004F5982" w:rsidP="00487007">
      <w:pPr>
        <w:tabs>
          <w:tab w:val="left" w:pos="1701"/>
        </w:tabs>
        <w:spacing w:after="160" w:line="360" w:lineRule="auto"/>
        <w:ind w:right="39" w:firstLine="567"/>
        <w:jc w:val="both"/>
        <w:rPr>
          <w:rFonts w:ascii="Sylfaen" w:eastAsia="Times New Roman" w:hAnsi="Sylfaen" w:cs="Times New Roman"/>
          <w:sz w:val="24"/>
          <w:szCs w:val="24"/>
        </w:rPr>
      </w:pPr>
      <w:r w:rsidRPr="00826F05">
        <w:rPr>
          <w:rFonts w:ascii="Sylfaen" w:hAnsi="Sylfaen"/>
          <w:sz w:val="24"/>
          <w:szCs w:val="24"/>
        </w:rPr>
        <w:t>2.3.3.</w:t>
      </w:r>
      <w:r w:rsidRPr="00826F05">
        <w:rPr>
          <w:rFonts w:ascii="Sylfaen" w:hAnsi="Sylfaen"/>
          <w:sz w:val="24"/>
          <w:szCs w:val="24"/>
        </w:rPr>
        <w:tab/>
        <w:t>Փոխադարձ ճանաչման ընթացակարգի շրջանակներում II տիպի փոփոխությունների փորձաքննությունն ավարտելը :</w:t>
      </w:r>
    </w:p>
    <w:p w14:paraId="39736F1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Փորձաքննության ժամկետի ավարտին ռեֆերենտ պետության լիազորված մարմինը (փորձագիտական կազմակերպությունը) ավարտում է փորձագիտական հաշվետվության </w:t>
      </w:r>
      <w:r w:rsidR="00C54D75">
        <w:rPr>
          <w:rFonts w:ascii="Sylfaen" w:hAnsi="Sylfaen"/>
          <w:sz w:val="24"/>
          <w:szCs w:val="24"/>
        </w:rPr>
        <w:t>և</w:t>
      </w:r>
      <w:r w:rsidRPr="00826F05">
        <w:rPr>
          <w:rFonts w:ascii="Sylfaen" w:hAnsi="Sylfaen"/>
          <w:sz w:val="24"/>
          <w:szCs w:val="24"/>
        </w:rPr>
        <w:t xml:space="preserve"> փոփոխություններ կատարելու մասին հայտի հետ կապված իր որոշման պատրաստումը </w:t>
      </w:r>
      <w:r w:rsidR="00C54D75">
        <w:rPr>
          <w:rFonts w:ascii="Sylfaen" w:hAnsi="Sylfaen"/>
          <w:sz w:val="24"/>
          <w:szCs w:val="24"/>
        </w:rPr>
        <w:t>և</w:t>
      </w:r>
      <w:r w:rsidRPr="00826F05">
        <w:rPr>
          <w:rFonts w:ascii="Sylfaen" w:hAnsi="Sylfaen"/>
          <w:sz w:val="24"/>
          <w:szCs w:val="24"/>
        </w:rPr>
        <w:t xml:space="preserve"> ուղարկում է դրանք շահագրգիռ անդամ պետություններին:</w:t>
      </w:r>
    </w:p>
    <w:p w14:paraId="1C78D51E"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 xml:space="preserve">Ճանաչման պետության լիազորված մարմինը (փորձագիտական կազմակերպությունը) գնահատման վերաբերյալ հաշվետվության նախագծին մուտք ստանալուց հետո ոչ ուշ, քան 20 օրացուցային օրվա ընթացքում անհրաժեշտության դեպքում հայտատուին </w:t>
      </w:r>
      <w:r w:rsidR="00C54D75">
        <w:rPr>
          <w:rFonts w:ascii="Sylfaen" w:hAnsi="Sylfaen"/>
          <w:sz w:val="24"/>
          <w:szCs w:val="24"/>
        </w:rPr>
        <w:t>և</w:t>
      </w:r>
      <w:r w:rsidRPr="00826F05">
        <w:rPr>
          <w:rFonts w:ascii="Sylfaen" w:hAnsi="Sylfaen"/>
          <w:sz w:val="24"/>
          <w:szCs w:val="24"/>
        </w:rPr>
        <w:t xml:space="preserve"> ռեֆերենտ պետության լիազորված մարմին (փորձագիտական կազմակերպություն) հարցում է ուղարկում՝ համաձայն Դեղամիջոցների գրանցման կանոնների թիվ 18 հավելվածի ձ</w:t>
      </w:r>
      <w:r w:rsidR="00C54D75">
        <w:rPr>
          <w:rFonts w:ascii="Sylfaen" w:hAnsi="Sylfaen"/>
          <w:sz w:val="24"/>
          <w:szCs w:val="24"/>
        </w:rPr>
        <w:t>և</w:t>
      </w:r>
      <w:r w:rsidRPr="00826F05">
        <w:rPr>
          <w:rFonts w:ascii="Sylfaen" w:hAnsi="Sylfaen"/>
          <w:sz w:val="24"/>
          <w:szCs w:val="24"/>
        </w:rPr>
        <w:t>ի։</w:t>
      </w:r>
    </w:p>
    <w:p w14:paraId="62948FA0"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Հայտատուն ճանաչման պետությունների </w:t>
      </w:r>
      <w:r w:rsidR="00C54D75">
        <w:rPr>
          <w:rFonts w:ascii="Sylfaen" w:hAnsi="Sylfaen"/>
          <w:sz w:val="24"/>
          <w:szCs w:val="24"/>
        </w:rPr>
        <w:t>և</w:t>
      </w:r>
      <w:r w:rsidRPr="00826F05">
        <w:rPr>
          <w:rFonts w:ascii="Sylfaen" w:hAnsi="Sylfaen"/>
          <w:sz w:val="24"/>
          <w:szCs w:val="24"/>
        </w:rPr>
        <w:t xml:space="preserve"> ռեֆերենտ պետության լիազորված մարմին (փորձագիտական կազմակերպություն) հարցման պատասխանն ուղարկում է 90 օրացուցային օրը չգերազանցող ժամկետում։ Հայտատուի՝ հարցմանը պատասխանելու ժամկետը չի ներառվում փորձաքննություն անցկացնելու </w:t>
      </w:r>
      <w:r w:rsidR="00C54D75">
        <w:rPr>
          <w:rFonts w:ascii="Sylfaen" w:hAnsi="Sylfaen"/>
          <w:sz w:val="24"/>
          <w:szCs w:val="24"/>
        </w:rPr>
        <w:t>և</w:t>
      </w:r>
      <w:r w:rsidRPr="00826F05">
        <w:rPr>
          <w:rFonts w:ascii="Sylfaen" w:hAnsi="Sylfaen"/>
          <w:sz w:val="24"/>
          <w:szCs w:val="24"/>
        </w:rPr>
        <w:t xml:space="preserve"> դեղապատրաստուկի գրանցման դոսյեի մեջ փոփոխություններ կատարելու ընթացակարգի ընդհանուր ժամկետի մեջ։</w:t>
      </w:r>
    </w:p>
    <w:p w14:paraId="7856E20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Ճանաչման պետության լիազորված մարմնի (փորձագիտական կազմակերպության) կողմից պահանջված փաստաթղթերն ու տվյալները հայտատուի կողմից չներկայացվելու դեպքում տվյալ ճանաչման պետությունում դադարեցվում է փորձաքննությունն ու փոփոխություններ կատարելու ընթացակարգը։</w:t>
      </w:r>
    </w:p>
    <w:p w14:paraId="382974B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Լիազորված մարմնի (փորձագիտական կազմակերպության) կայացրած որոշման մասին էլեկտրոնային </w:t>
      </w:r>
      <w:r w:rsidR="00C54D75">
        <w:rPr>
          <w:rFonts w:ascii="Sylfaen" w:hAnsi="Sylfaen"/>
          <w:sz w:val="24"/>
          <w:szCs w:val="24"/>
        </w:rPr>
        <w:t>և</w:t>
      </w:r>
      <w:r w:rsidRPr="00826F05">
        <w:rPr>
          <w:rFonts w:ascii="Sylfaen" w:hAnsi="Sylfaen"/>
          <w:sz w:val="24"/>
          <w:szCs w:val="24"/>
        </w:rPr>
        <w:t xml:space="preserve"> թղթային եղանակով հայտատուն տեղեկանում է այդ որոշման ընդունման օրվանից 10 աշխատանքային օրվա ընթացքում:</w:t>
      </w:r>
    </w:p>
    <w:p w14:paraId="296F726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մարմնի (փորձագիտական կազմակերպության) գնահատման վերաբերյալ փորձագիտական հաշվետվությունը </w:t>
      </w:r>
      <w:r w:rsidR="00C54D75">
        <w:rPr>
          <w:rFonts w:ascii="Sylfaen" w:hAnsi="Sylfaen"/>
          <w:sz w:val="24"/>
          <w:szCs w:val="24"/>
        </w:rPr>
        <w:t>և</w:t>
      </w:r>
      <w:r w:rsidRPr="00826F05">
        <w:rPr>
          <w:rFonts w:ascii="Sylfaen" w:hAnsi="Sylfaen"/>
          <w:sz w:val="24"/>
          <w:szCs w:val="24"/>
        </w:rPr>
        <w:t xml:space="preserve"> որոշումը ստանալու օրվանից 30 օրացուցային օրվա ընթացքում շահագրգիռ անդամ պետությունները ռեֆերենտ պետություն են ուղարկում ռեֆերենտ պետության լիազորված մարմնի (փորձագիտական կազմակերպության) գնահատման վերաբերյալ փորձագիտական հաշվետվությունը ճանաչելու հավանականության մասին եզրակացություն, եթե միայն չի հայտնաբերվել մարդու առողջության համար հնարավոր լուրջ վտանգ, որը ճանաչման պետության լիազորված մարմնին (փորձագիտական կազմակերպությանը) կխոչընդոտի ճանաչել ռեֆերենտ պետության որոշումը: Գնահատման վերաբերյալ եզրափակիչ փորձագիտական հաշվետվությունը </w:t>
      </w:r>
      <w:r w:rsidR="00C54D75">
        <w:rPr>
          <w:rFonts w:ascii="Sylfaen" w:hAnsi="Sylfaen"/>
          <w:sz w:val="24"/>
          <w:szCs w:val="24"/>
        </w:rPr>
        <w:t>և</w:t>
      </w:r>
      <w:r w:rsidRPr="00826F05">
        <w:rPr>
          <w:rFonts w:ascii="Sylfaen" w:hAnsi="Sylfaen"/>
          <w:sz w:val="24"/>
          <w:szCs w:val="24"/>
        </w:rPr>
        <w:t xml:space="preserve"> ռեֆերենտ պետության լիազորված մարմնի (փորձագիտական կազմակերպության) եզրակացությունը ստանալու օրվանից 30 օրացուցային օրվա ընթացքում ճանաչման պետությունը պետք է ռեֆերենտ պետությանը ծանուցի իր որոշման </w:t>
      </w:r>
      <w:r w:rsidRPr="00826F05">
        <w:rPr>
          <w:rFonts w:ascii="Sylfaen" w:hAnsi="Sylfaen"/>
          <w:sz w:val="24"/>
          <w:szCs w:val="24"/>
        </w:rPr>
        <w:lastRenderedPageBreak/>
        <w:t xml:space="preserve">մասին </w:t>
      </w:r>
      <w:r w:rsidR="00C54D75">
        <w:rPr>
          <w:rFonts w:ascii="Sylfaen" w:hAnsi="Sylfaen"/>
          <w:sz w:val="24"/>
          <w:szCs w:val="24"/>
        </w:rPr>
        <w:t>և</w:t>
      </w:r>
      <w:r w:rsidRPr="00826F05">
        <w:rPr>
          <w:rFonts w:ascii="Sylfaen" w:hAnsi="Sylfaen"/>
          <w:sz w:val="24"/>
          <w:szCs w:val="24"/>
        </w:rPr>
        <w:t xml:space="preserve"> ռեֆերենտ պետության կողմից պատրաստված՝ գնահատման վերաբերյալ փորձագիտական հաշվետվության ճանաչման մասին բացասական որոշման դեպքում պետք է նշի իր դիրքորոշման մանրամասն պատճառները:</w:t>
      </w:r>
    </w:p>
    <w:p w14:paraId="33850F7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Ռեֆերենտ պետության լիազորված մարմինը (փորձագիտական կազմակերպությունը) համապատասխան նյութեր է ուղարկում Եվրասիական</w:t>
      </w:r>
      <w:r>
        <w:rPr>
          <w:rFonts w:ascii="Sylfaen" w:hAnsi="Sylfaen"/>
          <w:sz w:val="24"/>
          <w:szCs w:val="24"/>
        </w:rPr>
        <w:t> </w:t>
      </w:r>
      <w:r w:rsidRPr="00826F05">
        <w:rPr>
          <w:rFonts w:ascii="Sylfaen" w:hAnsi="Sylfaen"/>
          <w:sz w:val="24"/>
          <w:szCs w:val="24"/>
        </w:rPr>
        <w:t xml:space="preserve">տնտեսական հանձնաժողովին կից Դեղամիջոցների հարցերով փորձագիտական կոմիտե (այսուհետ՝ Փորձագիտական կոմիտե)՝ անհամաձայնության հարցով, </w:t>
      </w:r>
      <w:r w:rsidR="00C54D75">
        <w:rPr>
          <w:rFonts w:ascii="Sylfaen" w:hAnsi="Sylfaen"/>
          <w:sz w:val="24"/>
          <w:szCs w:val="24"/>
        </w:rPr>
        <w:t>և</w:t>
      </w:r>
      <w:r w:rsidRPr="00826F05">
        <w:rPr>
          <w:rFonts w:ascii="Sylfaen" w:hAnsi="Sylfaen"/>
          <w:sz w:val="24"/>
          <w:szCs w:val="24"/>
        </w:rPr>
        <w:t xml:space="preserve"> ծանուցում է այդ մասին հայտատուին </w:t>
      </w:r>
      <w:r w:rsidR="00C54D75">
        <w:rPr>
          <w:rFonts w:ascii="Sylfaen" w:hAnsi="Sylfaen"/>
          <w:sz w:val="24"/>
          <w:szCs w:val="24"/>
        </w:rPr>
        <w:t>և</w:t>
      </w:r>
      <w:r w:rsidRPr="00826F05">
        <w:rPr>
          <w:rFonts w:ascii="Sylfaen" w:hAnsi="Sylfaen"/>
          <w:sz w:val="24"/>
          <w:szCs w:val="24"/>
        </w:rPr>
        <w:t xml:space="preserve"> շահագրգիռ անդամ պետություններին: Եթե մեկ կամ մի քանի ճանաչման պետությունների լիազորված մարմինների կողմից ուղարկվել է ռեֆերենտ պետության փորձագիտական կազմակերպության կողմից պատրաստված՝ գնահատման վերաբերյալ փորձագիտական հաշվետվության ճանաչման անհնարինության մասին եզրակացություն, ապա ճանաչման պետության համապատասխան մարմինների կողմից այդպիսի եզրակացությունն ուղարկելու օրվանից 60 օրացուցային օրը չգերազանցող ժամկետում Փորձագիտական</w:t>
      </w:r>
      <w:r>
        <w:rPr>
          <w:rFonts w:ascii="Sylfaen" w:hAnsi="Sylfaen"/>
          <w:sz w:val="24"/>
          <w:szCs w:val="24"/>
        </w:rPr>
        <w:t> </w:t>
      </w:r>
      <w:r w:rsidRPr="00826F05">
        <w:rPr>
          <w:rFonts w:ascii="Sylfaen" w:hAnsi="Sylfaen"/>
          <w:sz w:val="24"/>
          <w:szCs w:val="24"/>
        </w:rPr>
        <w:t>կոմիտեն անցկացնում է անհամաձայնությունների կարգավորման ընթացակարգ՝ Եվրասիական տնտեսական հանձնաժողովի կողմից հաստատված կարգին համապատասխան:</w:t>
      </w:r>
    </w:p>
    <w:p w14:paraId="12B03D74"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w:t>
      </w:r>
      <w:r w:rsidR="00C54D75">
        <w:rPr>
          <w:rFonts w:ascii="Sylfaen" w:hAnsi="Sylfaen"/>
          <w:sz w:val="24"/>
          <w:szCs w:val="24"/>
        </w:rPr>
        <w:t>և</w:t>
      </w:r>
      <w:r w:rsidRPr="00826F05">
        <w:rPr>
          <w:rFonts w:ascii="Sylfaen" w:hAnsi="Sylfaen"/>
          <w:sz w:val="24"/>
          <w:szCs w:val="24"/>
        </w:rPr>
        <w:t xml:space="preserve"> համապատասխան ճանաչման պետությունների լիազորված մարմինը մերժում է փոփոխություններ կատարելու հարցում, եթե</w:t>
      </w:r>
      <w:r>
        <w:rPr>
          <w:rFonts w:ascii="Sylfaen" w:hAnsi="Sylfaen"/>
          <w:sz w:val="24"/>
          <w:szCs w:val="24"/>
        </w:rPr>
        <w:t> </w:t>
      </w:r>
      <w:r w:rsidRPr="00826F05">
        <w:rPr>
          <w:rFonts w:ascii="Sylfaen" w:hAnsi="Sylfaen"/>
          <w:sz w:val="24"/>
          <w:szCs w:val="24"/>
        </w:rPr>
        <w:t xml:space="preserve">դեղապատրաստուկի փորձաքննության արդյունքներով </w:t>
      </w:r>
      <w:r w:rsidR="00C54D75">
        <w:rPr>
          <w:rFonts w:ascii="Sylfaen" w:hAnsi="Sylfaen"/>
          <w:sz w:val="24"/>
          <w:szCs w:val="24"/>
        </w:rPr>
        <w:t>և</w:t>
      </w:r>
      <w:r w:rsidRPr="00826F05">
        <w:rPr>
          <w:rFonts w:ascii="Sylfaen" w:hAnsi="Sylfaen"/>
          <w:sz w:val="24"/>
          <w:szCs w:val="24"/>
        </w:rPr>
        <w:t xml:space="preserve"> Փորձագիտական</w:t>
      </w:r>
      <w:r>
        <w:rPr>
          <w:rFonts w:ascii="Sylfaen" w:hAnsi="Sylfaen"/>
          <w:sz w:val="24"/>
          <w:szCs w:val="24"/>
        </w:rPr>
        <w:t> </w:t>
      </w:r>
      <w:r w:rsidRPr="00826F05">
        <w:rPr>
          <w:rFonts w:ascii="Sylfaen" w:hAnsi="Sylfaen"/>
          <w:sz w:val="24"/>
          <w:szCs w:val="24"/>
        </w:rPr>
        <w:t>կոմիտեում անհամաձայնությունների կարգավորման ընթացակարգն անցկացնելուց հետո իրենց կողմից ընդունվել է դեղապատրաստուկի գրանցման դոսյեում փոփոխություններ կատարելու մերժման մասին առաջարկություն:</w:t>
      </w:r>
    </w:p>
    <w:p w14:paraId="0E32351B"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Եթե փոփոխություններ կատարելու վերաբերյալ մեկ հայտի շրջանակներում ներկայացվել են մի քանի II տիպի փոփոխություններ կամ II տիպի փոփոխությունների խումբ այլ ոչ էական փոփոխությունների հետ միասին, </w:t>
      </w:r>
      <w:r w:rsidRPr="00826F05">
        <w:rPr>
          <w:rFonts w:ascii="Sylfaen" w:hAnsi="Sylfaen"/>
          <w:sz w:val="24"/>
          <w:szCs w:val="24"/>
        </w:rPr>
        <w:lastRenderedPageBreak/>
        <w:t xml:space="preserve">ռեֆերենտ պետությունը ծանուցում է հայտատուին </w:t>
      </w:r>
      <w:r w:rsidR="00C54D75">
        <w:rPr>
          <w:rFonts w:ascii="Sylfaen" w:hAnsi="Sylfaen"/>
          <w:sz w:val="24"/>
          <w:szCs w:val="24"/>
        </w:rPr>
        <w:t>և</w:t>
      </w:r>
      <w:r w:rsidRPr="00826F05">
        <w:rPr>
          <w:rFonts w:ascii="Sylfaen" w:hAnsi="Sylfaen"/>
          <w:sz w:val="24"/>
          <w:szCs w:val="24"/>
        </w:rPr>
        <w:t xml:space="preserve"> շահագրգիռ անդամ պետություններին, թե դրանցից որոնք են ընդունվել </w:t>
      </w:r>
      <w:r w:rsidR="00C54D75">
        <w:rPr>
          <w:rFonts w:ascii="Sylfaen" w:hAnsi="Sylfaen"/>
          <w:sz w:val="24"/>
          <w:szCs w:val="24"/>
        </w:rPr>
        <w:t>և</w:t>
      </w:r>
      <w:r w:rsidRPr="00826F05">
        <w:rPr>
          <w:rFonts w:ascii="Sylfaen" w:hAnsi="Sylfaen"/>
          <w:sz w:val="24"/>
          <w:szCs w:val="24"/>
        </w:rPr>
        <w:t xml:space="preserve"> մերժվել: Փորձաքննության</w:t>
      </w:r>
      <w:r>
        <w:rPr>
          <w:rFonts w:ascii="Sylfaen" w:hAnsi="Sylfaen"/>
          <w:sz w:val="24"/>
          <w:szCs w:val="24"/>
        </w:rPr>
        <w:t> </w:t>
      </w:r>
      <w:r w:rsidRPr="00826F05">
        <w:rPr>
          <w:rFonts w:ascii="Sylfaen" w:hAnsi="Sylfaen"/>
          <w:sz w:val="24"/>
          <w:szCs w:val="24"/>
        </w:rPr>
        <w:t>ընթացակարգի ընթացքում (մինչ</w:t>
      </w:r>
      <w:r w:rsidR="00C54D75">
        <w:rPr>
          <w:rFonts w:ascii="Sylfaen" w:hAnsi="Sylfaen"/>
          <w:sz w:val="24"/>
          <w:szCs w:val="24"/>
        </w:rPr>
        <w:t>և</w:t>
      </w:r>
      <w:r w:rsidRPr="00826F05">
        <w:rPr>
          <w:rFonts w:ascii="Sylfaen" w:hAnsi="Sylfaen"/>
          <w:sz w:val="24"/>
          <w:szCs w:val="24"/>
        </w:rPr>
        <w:t xml:space="preserve"> ռեֆերենտ պետության կողմից փորձաքննության ավարտը) հայտատուն իրավունք ունի խմբավորված հայտից հանելու եզակի փոփոխությունները:</w:t>
      </w:r>
    </w:p>
    <w:p w14:paraId="372BF57F"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Լիազորված մարմնի (փորձագիտական կազմակերպության) կողմից փոփոխությունների վերաբերյալ դրական որոշում կայացնելուց հետո, որոնցով ուղղվում է դեղապատրաստուկի ընդհանուր բնութագիրը, մականշվածքը կամ ներդիր-թերթիկը, ինչպես նա</w:t>
      </w:r>
      <w:r w:rsidR="00C54D75">
        <w:rPr>
          <w:rFonts w:ascii="Sylfaen" w:hAnsi="Sylfaen"/>
          <w:sz w:val="24"/>
          <w:szCs w:val="24"/>
        </w:rPr>
        <w:t>և</w:t>
      </w:r>
      <w:r w:rsidRPr="00826F05">
        <w:rPr>
          <w:rFonts w:ascii="Sylfaen" w:hAnsi="Sylfaen"/>
          <w:sz w:val="24"/>
          <w:szCs w:val="24"/>
        </w:rPr>
        <w:t xml:space="preserve"> որակի նորմատիվ փաստաթուղթը, հայտատուն պետք է 7 աշխատանքային օրվա ընթացքում բոլոր շահագրգիռ անդամ պետություններ ներկայացնի դեղապատրաստուկի ընդհանուր բնութագրի, ներդիր-թերթիկի, փաթեթվածքի մանրակերտերի թարգմանությունը՝ անդամ պետությունների օրենսդրության մեջ համապատասխան պահանջների առկայության դեպքում:</w:t>
      </w:r>
    </w:p>
    <w:p w14:paraId="2C75D4D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Փոփոխությունները հաստատելուց հետո շահագրգիռ անդամ պետությունների լիազորված մարմիններն անհրաժեշտության դեպքում գրանցման դոսյեում փոփոխություններ կատարելու նպատակով 60 օրացուցային օրվա ընթացքում փոփոխում են գրանցման դոսյեն՝ գրանցման դոսյեի փոփոխության համար անհրաժեշտ փաստաթղթերը շահագրգիռ անդամ պետություններին ներկայացնելու պայմանով:</w:t>
      </w:r>
    </w:p>
    <w:p w14:paraId="3F721AE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Այն դեպքում, երբ Դեղամիջոցների գրանցման կանոնների թիվ 19 հավելվածի 1.6 ենթակետի համաձայն փոփոխությունները հանգեցնում են դեղապատրաստուկի մասին տեղեկատվության վերանայման, համապատասխան լիազորված մարմինները փոփոխություններ կատարելու մասին որոշումն ընդունելու օրվանից 30 օրացուցային օրը չգերազանցող ժամկետում միասնական ռեեստրում տեղադրում են փոփոխություններ կատարելու մասին տեղեկությունները՝ կից 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w:t>
      </w:r>
      <w:r w:rsidRPr="00826F05">
        <w:rPr>
          <w:rFonts w:ascii="Sylfaen" w:hAnsi="Sylfaen"/>
          <w:sz w:val="24"/>
          <w:szCs w:val="24"/>
        </w:rPr>
        <w:lastRenderedPageBreak/>
        <w:t>փաթեթվածքների մանրակերտերը, որակի նորմատիվ փաստաթուղթը՝ 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 են ներկայացնում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178027D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Թույլ է տրվում II տիպի հաստատված էական փոփոխությունների իրականացումը սկսել ռեֆերենտ պետության կողմից փոփոխություններն ընդունելու մասին հայտատուին ծանուցելու օրվանից 30 օրացուցային օրվա ընթացքում՝ գրանցման դոսյեի փոփոխությունների համար անհրաժեշտ փաստաթղթերը շահագրգիռ անդամ պետություններին ներկայացնելու պայմանով: Եթե փոփոխություններ կատարելու մասին հայտը Փորձագիտական կոմիտե դիմելու առարկա է եղել, փոփոխությունը չի թույլատրվում իրականացնել մինչ</w:t>
      </w:r>
      <w:r w:rsidR="00C54D75">
        <w:rPr>
          <w:rFonts w:ascii="Sylfaen" w:hAnsi="Sylfaen"/>
          <w:sz w:val="24"/>
          <w:szCs w:val="24"/>
        </w:rPr>
        <w:t>և</w:t>
      </w:r>
      <w:r w:rsidRPr="00826F05">
        <w:rPr>
          <w:rFonts w:ascii="Sylfaen" w:hAnsi="Sylfaen"/>
          <w:sz w:val="24"/>
          <w:szCs w:val="24"/>
        </w:rPr>
        <w:t xml:space="preserve"> Փորձագիտական կոմիտեում անհամաձայնությունների կարգավորման ընթացակարգի ավարտը </w:t>
      </w:r>
      <w:r w:rsidR="00C54D75">
        <w:rPr>
          <w:rFonts w:ascii="Sylfaen" w:hAnsi="Sylfaen"/>
          <w:sz w:val="24"/>
          <w:szCs w:val="24"/>
        </w:rPr>
        <w:t>և</w:t>
      </w:r>
      <w:r w:rsidRPr="00826F05">
        <w:rPr>
          <w:rFonts w:ascii="Sylfaen" w:hAnsi="Sylfaen"/>
          <w:sz w:val="24"/>
          <w:szCs w:val="24"/>
        </w:rPr>
        <w:t xml:space="preserve"> դրանց փոփոխման հաստատման կամ մերժման մասին որոշման ընդունումը: Սակայն թույլատրվում է իրականացնել Փորձագիտական կոմիտե դիմելու առարկա չհանդիսացող խմբի փոփոխություն, եթե անդամ պետությունը համաձայնություն է տվել դրան:</w:t>
      </w:r>
    </w:p>
    <w:p w14:paraId="2A84C42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Դեղապատրաստուկի մասին տեղեկատվության վերանայման հանգեցնող ցանկացած փոփոխության իրագործում թույլատրվում է իրականացնել գրանցման դոսյեի մեջ փոփոխություններ կատարելուց հետո` համաձայն Դեղամիջոցների գրանցման կանոնների թիվ 19 հավելվածի 1.6 ենթաբաժնի:</w:t>
      </w:r>
    </w:p>
    <w:p w14:paraId="4266320F" w14:textId="77777777" w:rsidR="004F5982" w:rsidRPr="00826F05" w:rsidRDefault="004F5982" w:rsidP="00487007">
      <w:pPr>
        <w:spacing w:after="160" w:line="360" w:lineRule="auto"/>
        <w:ind w:right="36" w:firstLine="567"/>
        <w:jc w:val="both"/>
        <w:rPr>
          <w:rFonts w:ascii="Sylfaen" w:eastAsia="Times New Roman" w:hAnsi="Sylfaen" w:cs="Times New Roman"/>
          <w:sz w:val="24"/>
          <w:szCs w:val="24"/>
        </w:rPr>
      </w:pPr>
      <w:r w:rsidRPr="00826F05">
        <w:rPr>
          <w:rFonts w:ascii="Sylfaen" w:hAnsi="Sylfaen"/>
          <w:sz w:val="24"/>
          <w:szCs w:val="24"/>
        </w:rPr>
        <w:t xml:space="preserve">Անվտանգության հարցերի հետ կապված փոփոխություններն անհրաժեշտ է իրականացնել ռեֆերենտ պետության </w:t>
      </w:r>
      <w:r w:rsidR="00C54D75">
        <w:rPr>
          <w:rFonts w:ascii="Sylfaen" w:hAnsi="Sylfaen"/>
          <w:sz w:val="24"/>
          <w:szCs w:val="24"/>
        </w:rPr>
        <w:t>և</w:t>
      </w:r>
      <w:r w:rsidRPr="00826F05">
        <w:rPr>
          <w:rFonts w:ascii="Sylfaen" w:hAnsi="Sylfaen"/>
          <w:sz w:val="24"/>
          <w:szCs w:val="24"/>
        </w:rPr>
        <w:t xml:space="preserve"> հայտատուի միջ</w:t>
      </w:r>
      <w:r w:rsidR="00C54D75">
        <w:rPr>
          <w:rFonts w:ascii="Sylfaen" w:hAnsi="Sylfaen"/>
          <w:sz w:val="24"/>
          <w:szCs w:val="24"/>
        </w:rPr>
        <w:t>և</w:t>
      </w:r>
      <w:r w:rsidRPr="00826F05">
        <w:rPr>
          <w:rFonts w:ascii="Sylfaen" w:hAnsi="Sylfaen"/>
          <w:sz w:val="24"/>
          <w:szCs w:val="24"/>
        </w:rPr>
        <w:t xml:space="preserve"> համաձայնեցված ժամկետի ընթացքում:</w:t>
      </w:r>
    </w:p>
    <w:p w14:paraId="659B4921" w14:textId="77777777" w:rsidR="004F5982" w:rsidRPr="00826F05" w:rsidRDefault="004F5982" w:rsidP="00487007">
      <w:pPr>
        <w:tabs>
          <w:tab w:val="left" w:pos="851"/>
        </w:tabs>
        <w:spacing w:after="160" w:line="360" w:lineRule="auto"/>
        <w:ind w:right="-2" w:firstLine="567"/>
        <w:jc w:val="both"/>
        <w:rPr>
          <w:rFonts w:ascii="Sylfaen" w:hAnsi="Sylfaen"/>
          <w:sz w:val="24"/>
          <w:szCs w:val="24"/>
        </w:rPr>
      </w:pPr>
      <w:r w:rsidRPr="00826F05">
        <w:rPr>
          <w:rFonts w:ascii="Sylfaen" w:hAnsi="Sylfaen"/>
          <w:sz w:val="24"/>
          <w:szCs w:val="24"/>
        </w:rPr>
        <w:t>2.3.4.</w:t>
      </w:r>
      <w:r w:rsidRPr="00826F05">
        <w:rPr>
          <w:rFonts w:ascii="Sylfaen" w:hAnsi="Sylfaen"/>
          <w:sz w:val="24"/>
          <w:szCs w:val="24"/>
        </w:rPr>
        <w:tab/>
        <w:t>Դեղամիջոցների գրանցման կանոնների թիվ 19 հավելվածի 1.1.4</w:t>
      </w:r>
      <w:r>
        <w:rPr>
          <w:rFonts w:ascii="Sylfaen" w:hAnsi="Sylfaen"/>
          <w:sz w:val="24"/>
          <w:szCs w:val="24"/>
        </w:rPr>
        <w:t> </w:t>
      </w:r>
      <w:r w:rsidRPr="00826F05">
        <w:rPr>
          <w:rFonts w:ascii="Sylfaen" w:hAnsi="Sylfaen"/>
          <w:sz w:val="24"/>
          <w:szCs w:val="24"/>
        </w:rPr>
        <w:t>ենթակետում նշված II տիպի փոփոխությունների փորձաքննություն:</w:t>
      </w:r>
    </w:p>
    <w:p w14:paraId="11517578"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sz w:val="24"/>
          <w:szCs w:val="24"/>
        </w:rPr>
        <w:t xml:space="preserve">Հայտատուն թղթային </w:t>
      </w:r>
      <w:r w:rsidR="00C54D75">
        <w:rPr>
          <w:rFonts w:ascii="Sylfaen" w:hAnsi="Sylfaen"/>
          <w:sz w:val="24"/>
          <w:szCs w:val="24"/>
        </w:rPr>
        <w:t>և</w:t>
      </w:r>
      <w:r w:rsidRPr="00826F05">
        <w:rPr>
          <w:rFonts w:ascii="Sylfaen" w:hAnsi="Sylfaen"/>
          <w:sz w:val="24"/>
          <w:szCs w:val="24"/>
        </w:rPr>
        <w:t xml:space="preserve"> (կամ) էլեկտրոնային կրիչով ռեֆերենտ պետության </w:t>
      </w:r>
      <w:r w:rsidRPr="00826F05">
        <w:rPr>
          <w:rFonts w:ascii="Sylfaen" w:hAnsi="Sylfaen"/>
          <w:sz w:val="24"/>
          <w:szCs w:val="24"/>
        </w:rPr>
        <w:lastRenderedPageBreak/>
        <w:t xml:space="preserve">լիազորված մարմին (փորձագիտական կազմակերպություն) է ներկայացնում փոփոխությունների կատարման հայտը` Դեղամիջոցների գրանցման կանոնների թիվ 2 հավելվածի համաձայն, կամ փոփոխությունների կատարման վճարի (տուրքի) վճարումը հաստատող փաստաթղթերը՝ անդամ պետությունների օրենսդրությանը համապատասխան հաստատված չափով </w:t>
      </w:r>
      <w:r w:rsidR="00C54D75">
        <w:rPr>
          <w:rFonts w:ascii="Sylfaen" w:hAnsi="Sylfaen"/>
          <w:sz w:val="24"/>
          <w:szCs w:val="24"/>
        </w:rPr>
        <w:t>և</w:t>
      </w:r>
      <w:r w:rsidRPr="00826F05">
        <w:rPr>
          <w:rFonts w:ascii="Sylfaen" w:hAnsi="Sylfaen"/>
          <w:sz w:val="24"/>
          <w:szCs w:val="24"/>
        </w:rPr>
        <w:t xml:space="preserve"> կարգով, ինչպես նա</w:t>
      </w:r>
      <w:r w:rsidR="00C54D75">
        <w:rPr>
          <w:rFonts w:ascii="Sylfaen" w:hAnsi="Sylfaen"/>
          <w:sz w:val="24"/>
          <w:szCs w:val="24"/>
        </w:rPr>
        <w:t>և</w:t>
      </w:r>
      <w:r w:rsidRPr="00826F05">
        <w:rPr>
          <w:rFonts w:ascii="Sylfaen" w:hAnsi="Sylfaen"/>
          <w:sz w:val="24"/>
          <w:szCs w:val="24"/>
        </w:rPr>
        <w:t xml:space="preserve"> սույն կանոնների 2.3.1 ենթակետում թվարկված տարրերը պարունակող փոփոխության (ծանուցման) դոսյեն:</w:t>
      </w:r>
    </w:p>
    <w:p w14:paraId="7D14477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Անհրաժեշտության դեպքում </w:t>
      </w:r>
      <w:r w:rsidR="00C54D75">
        <w:rPr>
          <w:rFonts w:ascii="Sylfaen" w:hAnsi="Sylfaen"/>
          <w:sz w:val="24"/>
          <w:szCs w:val="24"/>
        </w:rPr>
        <w:t>և</w:t>
      </w:r>
      <w:r w:rsidRPr="00826F05">
        <w:rPr>
          <w:rFonts w:ascii="Sylfaen" w:hAnsi="Sylfaen"/>
          <w:sz w:val="24"/>
          <w:szCs w:val="24"/>
        </w:rPr>
        <w:t xml:space="preserve"> փորձագիտական կազմակերպության հետ համաձայնությամբ հայտատուն ռեֆերենտ պետության լիազորված մարմին (փորձագիտական կազմակերպություն) է ներկայացնում դեղապատրաստուկների նմուշները, ակտիվ դեղագործական բաղադրամասերի </w:t>
      </w:r>
      <w:r w:rsidR="00C54D75">
        <w:rPr>
          <w:rFonts w:ascii="Sylfaen" w:hAnsi="Sylfaen"/>
          <w:sz w:val="24"/>
          <w:szCs w:val="24"/>
        </w:rPr>
        <w:t>և</w:t>
      </w:r>
      <w:r w:rsidRPr="00826F05">
        <w:rPr>
          <w:rFonts w:ascii="Sylfaen" w:hAnsi="Sylfaen"/>
          <w:sz w:val="24"/>
          <w:szCs w:val="24"/>
        </w:rPr>
        <w:t xml:space="preserve"> հարակից խառնուկների ստանդարտ նմուշները, սպեցիֆիկ ռեագենտները </w:t>
      </w:r>
      <w:r w:rsidR="00C54D75">
        <w:rPr>
          <w:rFonts w:ascii="Sylfaen" w:hAnsi="Sylfaen"/>
          <w:sz w:val="24"/>
          <w:szCs w:val="24"/>
        </w:rPr>
        <w:t>և</w:t>
      </w:r>
      <w:r w:rsidRPr="00826F05">
        <w:rPr>
          <w:rFonts w:ascii="Sylfaen" w:hAnsi="Sylfaen"/>
          <w:sz w:val="24"/>
          <w:szCs w:val="24"/>
        </w:rPr>
        <w:t xml:space="preserve"> լաբորատոր փորձարկումներ անցկացնելու համար անհրաժեշտ մյուս նյութերը:</w:t>
      </w:r>
    </w:p>
    <w:p w14:paraId="0E05CBD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մարմինը (փորձագիտական կազմակերպությունը) ոչ ուշ, քան փոփոխությունների կատարման հայտը ռեֆերենտ պետություն ներկայացնելու օրվանից 14 աշխատանքային օրվա ընթացքում իրականացնում է ներկայացված փաստաթղթերի ամբողջականության, լրակազմության </w:t>
      </w:r>
      <w:r w:rsidR="00C54D75">
        <w:rPr>
          <w:rFonts w:ascii="Sylfaen" w:hAnsi="Sylfaen"/>
          <w:sz w:val="24"/>
          <w:szCs w:val="24"/>
        </w:rPr>
        <w:t>և</w:t>
      </w:r>
      <w:r w:rsidRPr="00826F05">
        <w:rPr>
          <w:rFonts w:ascii="Sylfaen" w:hAnsi="Sylfaen"/>
          <w:sz w:val="24"/>
          <w:szCs w:val="24"/>
        </w:rPr>
        <w:t xml:space="preserve"> ճիշտ ձ</w:t>
      </w:r>
      <w:r w:rsidR="00C54D75">
        <w:rPr>
          <w:rFonts w:ascii="Sylfaen" w:hAnsi="Sylfaen"/>
          <w:sz w:val="24"/>
          <w:szCs w:val="24"/>
        </w:rPr>
        <w:t>և</w:t>
      </w:r>
      <w:r w:rsidRPr="00826F05">
        <w:rPr>
          <w:rFonts w:ascii="Sylfaen" w:hAnsi="Sylfaen"/>
          <w:sz w:val="24"/>
          <w:szCs w:val="24"/>
        </w:rPr>
        <w:t>ակերպման գնահատում՝ սույն կանոնների 2.3.1</w:t>
      </w:r>
      <w:r>
        <w:rPr>
          <w:rFonts w:ascii="Sylfaen" w:hAnsi="Sylfaen"/>
          <w:sz w:val="24"/>
          <w:szCs w:val="24"/>
        </w:rPr>
        <w:t> </w:t>
      </w:r>
      <w:r w:rsidRPr="00826F05">
        <w:rPr>
          <w:rFonts w:ascii="Sylfaen" w:hAnsi="Sylfaen"/>
          <w:sz w:val="24"/>
          <w:szCs w:val="24"/>
        </w:rPr>
        <w:t>ենթակետին համապատասխան։ Եթե հայտը բավարարում է սույն կանոնների 2.3.1 ենթակետով սահմանված պահանջները, ապա լիազորված մարմինը (փորձագիտական կազմակերպությունը) հաստատում է վավեր հայտի ստացումը:</w:t>
      </w:r>
    </w:p>
    <w:p w14:paraId="0F6AA30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մարմնի (փորձագիտական կազմակերպության) դիտողությունների հիման վրա գրանցման դոսյեի պակասող նյութերը ներկայացնելու համար հայտատուին տրամադրվում է 90 օրացուցային օրվանից ոչ ավելի, որը չի մտնում դեղապատրաստուկի փորձաքննության </w:t>
      </w:r>
      <w:r w:rsidR="00C54D75">
        <w:rPr>
          <w:rFonts w:ascii="Sylfaen" w:hAnsi="Sylfaen"/>
          <w:sz w:val="24"/>
          <w:szCs w:val="24"/>
        </w:rPr>
        <w:t>և</w:t>
      </w:r>
      <w:r w:rsidRPr="00826F05">
        <w:rPr>
          <w:rFonts w:ascii="Sylfaen" w:hAnsi="Sylfaen"/>
          <w:sz w:val="24"/>
          <w:szCs w:val="24"/>
        </w:rPr>
        <w:t xml:space="preserve"> փոփոխությունների կատարման ընթացակարգի ժամկետի մեջ։</w:t>
      </w:r>
    </w:p>
    <w:p w14:paraId="08FDBAF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Ռեֆերենտ պետության լիազորված մարմնի (փորձագիտական կազմակերպության) դիտողությունների հիման վրա նյութերը չներկայացնելու </w:t>
      </w:r>
      <w:r w:rsidR="00C54D75">
        <w:rPr>
          <w:rFonts w:ascii="Sylfaen" w:hAnsi="Sylfaen"/>
          <w:sz w:val="24"/>
          <w:szCs w:val="24"/>
        </w:rPr>
        <w:t>և</w:t>
      </w:r>
      <w:r w:rsidRPr="00826F05">
        <w:rPr>
          <w:rFonts w:ascii="Sylfaen" w:hAnsi="Sylfaen"/>
          <w:sz w:val="24"/>
          <w:szCs w:val="24"/>
        </w:rPr>
        <w:t xml:space="preserve"> </w:t>
      </w:r>
      <w:r w:rsidRPr="00826F05">
        <w:rPr>
          <w:rFonts w:ascii="Sylfaen" w:hAnsi="Sylfaen"/>
          <w:sz w:val="24"/>
          <w:szCs w:val="24"/>
        </w:rPr>
        <w:lastRenderedPageBreak/>
        <w:t xml:space="preserve">(կամ) անդամ պետության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փոփոխություններ կատարելու վճարի (տուրքի) վճարումը չհաստատելու դեպքում ռեֆերենտ պետության լիազորված մարմինը (փորձագիտական կազմակերպությունը) մերժում է գրանցման դոսյեի մեջ փոփոխություններ կատարելու հայտը։</w:t>
      </w:r>
    </w:p>
    <w:p w14:paraId="08FA1A4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Փոփոխությունների կատարման հայտը ստանալու օրվանից ոչ ուշ, քան 60</w:t>
      </w:r>
      <w:r>
        <w:rPr>
          <w:rFonts w:ascii="Sylfaen" w:hAnsi="Sylfaen"/>
          <w:sz w:val="24"/>
          <w:szCs w:val="24"/>
        </w:rPr>
        <w:t> </w:t>
      </w:r>
      <w:r w:rsidRPr="00826F05">
        <w:rPr>
          <w:rFonts w:ascii="Sylfaen" w:hAnsi="Sylfaen"/>
          <w:sz w:val="24"/>
          <w:szCs w:val="24"/>
        </w:rPr>
        <w:t xml:space="preserve">օրացուցային օրվակընթացքում լիազորված մարմինը (փորձագիտական կազմակերպությունը) պետք է ավարտի դեղապատրաստուկի փորձաքննությունը </w:t>
      </w:r>
      <w:r w:rsidR="00C54D75">
        <w:rPr>
          <w:rFonts w:ascii="Sylfaen" w:hAnsi="Sylfaen"/>
          <w:sz w:val="24"/>
          <w:szCs w:val="24"/>
        </w:rPr>
        <w:t>և</w:t>
      </w:r>
      <w:r w:rsidRPr="00826F05">
        <w:rPr>
          <w:rFonts w:ascii="Sylfaen" w:hAnsi="Sylfaen"/>
          <w:sz w:val="24"/>
          <w:szCs w:val="24"/>
        </w:rPr>
        <w:t xml:space="preserve"> պատրաստի գնահատման վերաբերյալ փորձագիտական հաշվետվություն:</w:t>
      </w:r>
    </w:p>
    <w:p w14:paraId="7DCFD8E1"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sz w:val="24"/>
          <w:szCs w:val="24"/>
        </w:rPr>
        <w:t>Լիազորված մարմինը (փորձագիտական կազմակերպությունը) իրավունք ունի կրճատելու տվյալ ժամկետը՝ հաշվի առնելով հարցի հրատապությունը, կամ այն երկարաձգելու մինչ</w:t>
      </w:r>
      <w:r w:rsidR="00C54D75">
        <w:rPr>
          <w:rFonts w:ascii="Sylfaen" w:hAnsi="Sylfaen"/>
          <w:sz w:val="24"/>
          <w:szCs w:val="24"/>
        </w:rPr>
        <w:t>և</w:t>
      </w:r>
      <w:r w:rsidRPr="00826F05">
        <w:rPr>
          <w:rFonts w:ascii="Sylfaen" w:hAnsi="Sylfaen"/>
          <w:sz w:val="24"/>
          <w:szCs w:val="24"/>
        </w:rPr>
        <w:t xml:space="preserve"> 90 օրացուցային օր՝ կիրառման հաստատված ցուցումների փոփոխության արդյունքում առաջացած ցուցումների կամ կիրառման նոր ցուցումներ ներառելու կամ փոփոխությունների խմբի դեպքում՝ սույն</w:t>
      </w:r>
      <w:r>
        <w:rPr>
          <w:rFonts w:ascii="Sylfaen" w:hAnsi="Sylfaen"/>
          <w:sz w:val="24"/>
          <w:szCs w:val="24"/>
        </w:rPr>
        <w:t> </w:t>
      </w:r>
      <w:r w:rsidRPr="00826F05">
        <w:rPr>
          <w:rFonts w:ascii="Sylfaen" w:hAnsi="Sylfaen"/>
          <w:sz w:val="24"/>
          <w:szCs w:val="24"/>
        </w:rPr>
        <w:t>կանոնների 3.4.2 ենթակետի չորրորդ պարբերությանը համապատասխան:</w:t>
      </w:r>
    </w:p>
    <w:p w14:paraId="29C038E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Փորձաքննության ժամկետի ընթացքում լիազորված մարմինը (փորձագիտական կազմակերպությունը) իրավունք ունի պակասող լրացուցիչ տեղեկատվության, ներկայացված փաստաթղթերի </w:t>
      </w:r>
      <w:r w:rsidR="00C54D75">
        <w:rPr>
          <w:rFonts w:ascii="Sylfaen" w:hAnsi="Sylfaen"/>
          <w:sz w:val="24"/>
          <w:szCs w:val="24"/>
        </w:rPr>
        <w:t>և</w:t>
      </w:r>
      <w:r w:rsidRPr="00826F05">
        <w:rPr>
          <w:rFonts w:ascii="Sylfaen" w:hAnsi="Sylfaen"/>
          <w:sz w:val="24"/>
          <w:szCs w:val="24"/>
        </w:rPr>
        <w:t xml:space="preserve"> գրանցման դոսյեի տվյալների անհրաժեշտ պարզաբանումների կամ ճշգրտումների (այդ</w:t>
      </w:r>
      <w:r>
        <w:rPr>
          <w:rFonts w:ascii="Sylfaen" w:hAnsi="Sylfaen"/>
          <w:sz w:val="24"/>
          <w:szCs w:val="24"/>
        </w:rPr>
        <w:t> </w:t>
      </w:r>
      <w:r w:rsidRPr="00826F05">
        <w:rPr>
          <w:rFonts w:ascii="Sylfaen" w:hAnsi="Sylfaen"/>
          <w:sz w:val="24"/>
          <w:szCs w:val="24"/>
        </w:rPr>
        <w:t>թվում՝</w:t>
      </w:r>
      <w:r>
        <w:rPr>
          <w:rFonts w:ascii="Sylfaen" w:hAnsi="Sylfaen"/>
          <w:sz w:val="24"/>
          <w:szCs w:val="24"/>
        </w:rPr>
        <w:t> </w:t>
      </w:r>
      <w:r w:rsidRPr="00826F05">
        <w:rPr>
          <w:rFonts w:ascii="Sylfaen" w:hAnsi="Sylfaen"/>
          <w:sz w:val="24"/>
          <w:szCs w:val="24"/>
        </w:rPr>
        <w:t xml:space="preserve">դեղապատրաստուկի ընդհանուր բնութագրում, բժշկական կիրառման հրահանգում, դեղապատրաստուկի փաթեթվածքի մանրակերտերում, որակի նորմատիվ փաստաթղթում կամ գրանցման դոսյեի այլ փաստաթղթերում փոփոխություններ կատարելու առաջարկությունների) մասին հայտատուին գրավոր </w:t>
      </w:r>
      <w:r w:rsidR="00C54D75">
        <w:rPr>
          <w:rFonts w:ascii="Sylfaen" w:hAnsi="Sylfaen"/>
          <w:sz w:val="24"/>
          <w:szCs w:val="24"/>
        </w:rPr>
        <w:t>և</w:t>
      </w:r>
      <w:r w:rsidRPr="00826F05">
        <w:rPr>
          <w:rFonts w:ascii="Sylfaen" w:hAnsi="Sylfaen"/>
          <w:sz w:val="24"/>
          <w:szCs w:val="24"/>
        </w:rPr>
        <w:t xml:space="preserve"> (կամ) էլեկտրոնային եղանակով հարցում ուղարկել:</w:t>
      </w:r>
    </w:p>
    <w:p w14:paraId="4E54F2C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Հայտատուի կողմից նշված հարցմանը պատասխան ներկայացնելու ժամկետը չպետք է գերազանցի 90 օրացուցային օրը:</w:t>
      </w:r>
    </w:p>
    <w:p w14:paraId="2BF2A0D9"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 xml:space="preserve">Հայտատուի կողմից լիազորված մարմնի կամ փորձագիտական կազմակերպության հարցմամբ փաստաթղթեր ներկայացնելու ժամանակը </w:t>
      </w:r>
      <w:r w:rsidRPr="00826F05">
        <w:rPr>
          <w:rFonts w:ascii="Sylfaen" w:hAnsi="Sylfaen"/>
          <w:sz w:val="24"/>
          <w:szCs w:val="24"/>
        </w:rPr>
        <w:lastRenderedPageBreak/>
        <w:t>չի</w:t>
      </w:r>
      <w:r>
        <w:rPr>
          <w:rFonts w:ascii="Sylfaen" w:hAnsi="Sylfaen"/>
          <w:sz w:val="24"/>
          <w:szCs w:val="24"/>
        </w:rPr>
        <w:t> </w:t>
      </w:r>
      <w:r w:rsidRPr="00826F05">
        <w:rPr>
          <w:rFonts w:ascii="Sylfaen" w:hAnsi="Sylfaen"/>
          <w:sz w:val="24"/>
          <w:szCs w:val="24"/>
        </w:rPr>
        <w:t>մտնում փորձաքննությունն ու փոփոխությունների կատարման ընթացակարգն իրականացնելու ժամկետի մեջ:</w:t>
      </w:r>
    </w:p>
    <w:p w14:paraId="1611758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Պահանջված փաստաթղթերը </w:t>
      </w:r>
      <w:r w:rsidR="00C54D75">
        <w:rPr>
          <w:rFonts w:ascii="Sylfaen" w:hAnsi="Sylfaen"/>
          <w:sz w:val="24"/>
          <w:szCs w:val="24"/>
        </w:rPr>
        <w:t>և</w:t>
      </w:r>
      <w:r w:rsidRPr="00826F05">
        <w:rPr>
          <w:rFonts w:ascii="Sylfaen" w:hAnsi="Sylfaen"/>
          <w:sz w:val="24"/>
          <w:szCs w:val="24"/>
        </w:rPr>
        <w:t xml:space="preserve"> տվյալները հայտատուի կողմից սահմանված ժամկետում չներկայացվելու դեպքում փորձաքննությունը </w:t>
      </w:r>
      <w:r w:rsidR="00C54D75">
        <w:rPr>
          <w:rFonts w:ascii="Sylfaen" w:hAnsi="Sylfaen"/>
          <w:sz w:val="24"/>
          <w:szCs w:val="24"/>
        </w:rPr>
        <w:t>և</w:t>
      </w:r>
      <w:r w:rsidRPr="00826F05">
        <w:rPr>
          <w:rFonts w:ascii="Sylfaen" w:hAnsi="Sylfaen"/>
          <w:sz w:val="24"/>
          <w:szCs w:val="24"/>
        </w:rPr>
        <w:t xml:space="preserve"> փոփոխությունների կատարման ընթացակարգը դադարեցվում են: Կայացրած որոշման մասին ռեֆերենտ պետության լիազորված մարմինը </w:t>
      </w:r>
      <w:r w:rsidRPr="004D10E2">
        <w:rPr>
          <w:rFonts w:ascii="Sylfaen" w:hAnsi="Sylfaen"/>
          <w:spacing w:val="-6"/>
          <w:sz w:val="24"/>
          <w:szCs w:val="24"/>
        </w:rPr>
        <w:t xml:space="preserve">(փորձագիտական կազմակերպությունը) այդ որոշումը կայացնելու օրվանից </w:t>
      </w:r>
      <w:r w:rsidRPr="00826F05">
        <w:rPr>
          <w:rFonts w:ascii="Sylfaen" w:hAnsi="Sylfaen"/>
          <w:sz w:val="24"/>
          <w:szCs w:val="24"/>
        </w:rPr>
        <w:t xml:space="preserve">10 աշխատանքային օրվա ընթացքում գրավոր </w:t>
      </w:r>
      <w:r w:rsidR="00C54D75">
        <w:rPr>
          <w:rFonts w:ascii="Sylfaen" w:hAnsi="Sylfaen"/>
          <w:sz w:val="24"/>
          <w:szCs w:val="24"/>
        </w:rPr>
        <w:t>և</w:t>
      </w:r>
      <w:r w:rsidRPr="00826F05">
        <w:rPr>
          <w:rFonts w:ascii="Sylfaen" w:hAnsi="Sylfaen"/>
          <w:sz w:val="24"/>
          <w:szCs w:val="24"/>
        </w:rPr>
        <w:t xml:space="preserve"> էլեկտրոնային եղանակով տեղեկացնում է հայտատուին:</w:t>
      </w:r>
    </w:p>
    <w:p w14:paraId="36D6ADEF" w14:textId="77777777" w:rsidR="004F5982" w:rsidRPr="00B97567" w:rsidRDefault="004F5982" w:rsidP="00487007">
      <w:pPr>
        <w:tabs>
          <w:tab w:val="left" w:pos="1701"/>
        </w:tabs>
        <w:spacing w:after="160" w:line="360" w:lineRule="auto"/>
        <w:ind w:right="-2" w:firstLine="567"/>
        <w:jc w:val="both"/>
        <w:rPr>
          <w:rFonts w:ascii="Sylfaen" w:eastAsia="Times New Roman" w:hAnsi="Sylfaen" w:cs="Times New Roman"/>
          <w:spacing w:val="-6"/>
          <w:sz w:val="24"/>
          <w:szCs w:val="24"/>
        </w:rPr>
      </w:pPr>
      <w:r w:rsidRPr="00826F05">
        <w:rPr>
          <w:rFonts w:ascii="Sylfaen" w:hAnsi="Sylfaen"/>
          <w:sz w:val="24"/>
          <w:szCs w:val="24"/>
        </w:rPr>
        <w:t>2.3.5.</w:t>
      </w:r>
      <w:r w:rsidRPr="00826F05">
        <w:rPr>
          <w:rFonts w:ascii="Sylfaen" w:hAnsi="Sylfaen"/>
          <w:sz w:val="24"/>
          <w:szCs w:val="24"/>
        </w:rPr>
        <w:tab/>
        <w:t>Դեղամիջոցների գրանցման կանոնների թիվ 19 հավելվածի 1.1</w:t>
      </w:r>
      <w:r w:rsidRPr="00B97567">
        <w:rPr>
          <w:rFonts w:ascii="Sylfaen" w:hAnsi="Sylfaen"/>
          <w:spacing w:val="-6"/>
          <w:sz w:val="24"/>
          <w:szCs w:val="24"/>
        </w:rPr>
        <w:t>.4 ենթակետում նշված II տիպի փոփոխությունների փորձաքննությունն ավարտելը:</w:t>
      </w:r>
    </w:p>
    <w:p w14:paraId="64DB874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Դեղապատրաստուկի փորձաքննության ժամկետի ավարտին լիազորված մարմինը (փորձագիտական կազմակերպությունը) հայտի մասին որոշում է պատրաստում </w:t>
      </w:r>
      <w:r w:rsidR="00C54D75">
        <w:rPr>
          <w:rFonts w:ascii="Sylfaen" w:hAnsi="Sylfaen"/>
          <w:sz w:val="24"/>
          <w:szCs w:val="24"/>
        </w:rPr>
        <w:t>և</w:t>
      </w:r>
      <w:r w:rsidRPr="00826F05">
        <w:rPr>
          <w:rFonts w:ascii="Sylfaen" w:hAnsi="Sylfaen"/>
          <w:sz w:val="24"/>
          <w:szCs w:val="24"/>
        </w:rPr>
        <w:t xml:space="preserve"> հայտատուին ծանուցում է փոփոխության հաստատման կամ մերժման մասին (այդ թվում՝ հիմնավորելով բացասական եզրակացությունը):</w:t>
      </w:r>
    </w:p>
    <w:p w14:paraId="54E0DC3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Եթե մեկ հայտի շրջանակներում ներկայացվել է մի քանի II տիպի փոփոխություններ կամ II տիպի փոփոխությունների խումբ այլ ոչ էական </w:t>
      </w:r>
      <w:r w:rsidRPr="00B97567">
        <w:rPr>
          <w:rFonts w:ascii="Sylfaen" w:hAnsi="Sylfaen"/>
          <w:spacing w:val="6"/>
          <w:sz w:val="24"/>
          <w:szCs w:val="24"/>
        </w:rPr>
        <w:t xml:space="preserve">փոփոխությունների հետ միասին, լիազորված մարմինը (փորձագիտական կազմակերպությունը) հայտատուին ծանուցում է, թե դրանցից որոնք են ընդունվել </w:t>
      </w:r>
      <w:r w:rsidR="00C54D75">
        <w:rPr>
          <w:rFonts w:ascii="Sylfaen" w:hAnsi="Sylfaen"/>
          <w:spacing w:val="6"/>
          <w:sz w:val="24"/>
          <w:szCs w:val="24"/>
        </w:rPr>
        <w:t>և</w:t>
      </w:r>
      <w:r w:rsidRPr="00B97567">
        <w:rPr>
          <w:rFonts w:ascii="Sylfaen" w:hAnsi="Sylfaen"/>
          <w:spacing w:val="6"/>
          <w:sz w:val="24"/>
          <w:szCs w:val="24"/>
        </w:rPr>
        <w:t xml:space="preserve"> մերժվել: Ընթացակարգի ընթացքում</w:t>
      </w:r>
      <w:r w:rsidRPr="00826F05">
        <w:rPr>
          <w:rFonts w:ascii="Sylfaen" w:hAnsi="Sylfaen"/>
          <w:sz w:val="24"/>
          <w:szCs w:val="24"/>
        </w:rPr>
        <w:t xml:space="preserve"> (մինչ</w:t>
      </w:r>
      <w:r w:rsidR="00C54D75">
        <w:rPr>
          <w:rFonts w:ascii="Sylfaen" w:hAnsi="Sylfaen"/>
          <w:sz w:val="24"/>
          <w:szCs w:val="24"/>
        </w:rPr>
        <w:t>և</w:t>
      </w:r>
      <w:r w:rsidRPr="00826F05">
        <w:rPr>
          <w:rFonts w:ascii="Sylfaen" w:hAnsi="Sylfaen"/>
          <w:sz w:val="24"/>
          <w:szCs w:val="24"/>
        </w:rPr>
        <w:t xml:space="preserve"> ռեֆերենտ պետության լիազորված մարմնի (փորձագիտական կազմակերպության) կողմից փորձաքննության ավարտը) հայտատուն իրավունք ունի խմբավորված հայտից հանելու եզակի փոփոխությունները: </w:t>
      </w:r>
    </w:p>
    <w:p w14:paraId="516D4A1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Փոփոխությունը հաստատելուց հետո լիազորված մարմինն անհրաժեշտության դեպքում գրանցման դոսյեում փոփոխություններն արտացոլելու նպատակով 60 օրացուցային օրվա ընթացքում ուղղում է գրանցման դոսյեն՝ գրանցման դոսյեի փոփոխության համար անհրաժեշտ փաստաթղթերը լիազորված մարմին (փորձագիտական կազմակերպություն) ներկայացնելու պայմանով:</w:t>
      </w:r>
    </w:p>
    <w:p w14:paraId="68C0A7A7" w14:textId="77777777" w:rsidR="004F5982" w:rsidRPr="00826F05" w:rsidRDefault="004F5982" w:rsidP="00487007">
      <w:pPr>
        <w:spacing w:after="160" w:line="360" w:lineRule="auto"/>
        <w:ind w:right="33" w:firstLine="567"/>
        <w:jc w:val="both"/>
        <w:rPr>
          <w:rFonts w:ascii="Sylfaen" w:eastAsia="Times New Roman" w:hAnsi="Sylfaen" w:cs="Times New Roman"/>
          <w:sz w:val="24"/>
          <w:szCs w:val="24"/>
        </w:rPr>
      </w:pPr>
      <w:r w:rsidRPr="00B97567">
        <w:rPr>
          <w:rFonts w:ascii="Sylfaen" w:hAnsi="Sylfaen"/>
          <w:spacing w:val="-6"/>
          <w:sz w:val="24"/>
          <w:szCs w:val="24"/>
        </w:rPr>
        <w:lastRenderedPageBreak/>
        <w:t xml:space="preserve">Այն դեպքում, երբ, Դեղամիջոցների գրանցման կանոնների թիվ 19 </w:t>
      </w:r>
      <w:r w:rsidRPr="00826F05">
        <w:rPr>
          <w:rFonts w:ascii="Sylfaen" w:hAnsi="Sylfaen"/>
          <w:sz w:val="24"/>
          <w:szCs w:val="24"/>
        </w:rPr>
        <w:t>հավելվածի 1.6 ենթակետի համաձայն, փոփոխությունները հանգեցնում են դեղապատրաստուկի մասին տեղեկատվության վերանայման, ռեֆերենտ պետության լիազորված մարմինը փորձաքննությունն ավարտելու օրվանից 30</w:t>
      </w:r>
      <w:r>
        <w:rPr>
          <w:rFonts w:ascii="Sylfaen" w:hAnsi="Sylfaen"/>
          <w:sz w:val="24"/>
          <w:szCs w:val="24"/>
        </w:rPr>
        <w:t> </w:t>
      </w:r>
      <w:r w:rsidRPr="00826F05">
        <w:rPr>
          <w:rFonts w:ascii="Sylfaen" w:hAnsi="Sylfaen"/>
          <w:sz w:val="24"/>
          <w:szCs w:val="24"/>
        </w:rPr>
        <w:t xml:space="preserve">աշխատանքային օրը չգերազանցող ժամկետում Միության միասնական ռեեստրում տեղադրում է փոփոխություններ կատարելու մասին տեղեկությունները՝ կից ներկայացնելով դեղապատրաստուկի փոփոխված </w:t>
      </w:r>
      <w:r w:rsidR="00C54D75">
        <w:rPr>
          <w:rFonts w:ascii="Sylfaen" w:hAnsi="Sylfaen"/>
          <w:sz w:val="24"/>
          <w:szCs w:val="24"/>
        </w:rPr>
        <w:t>և</w:t>
      </w:r>
      <w:r w:rsidRPr="00826F05">
        <w:rPr>
          <w:rFonts w:ascii="Sylfaen" w:hAnsi="Sylfaen"/>
          <w:sz w:val="24"/>
          <w:szCs w:val="24"/>
        </w:rPr>
        <w:t xml:space="preserve"> հաստատված ընդհանուր բնութագիրը, բժշկական կիրառման հրահանգը, փաթեթվածքների մանրակերտերը, որակի նորմատիվ փաստաթուղթը՝ Միության</w:t>
      </w:r>
      <w:r>
        <w:rPr>
          <w:rFonts w:ascii="Sylfaen" w:hAnsi="Sylfaen"/>
          <w:sz w:val="24"/>
          <w:szCs w:val="24"/>
        </w:rPr>
        <w:t> </w:t>
      </w:r>
      <w:r w:rsidRPr="00826F05">
        <w:rPr>
          <w:rFonts w:ascii="Sylfaen" w:hAnsi="Sylfaen"/>
          <w:sz w:val="24"/>
          <w:szCs w:val="24"/>
        </w:rPr>
        <w:t>միասնական ռեեստրի ձ</w:t>
      </w:r>
      <w:r w:rsidR="00C54D75">
        <w:rPr>
          <w:rFonts w:ascii="Sylfaen" w:hAnsi="Sylfaen"/>
          <w:sz w:val="24"/>
          <w:szCs w:val="24"/>
        </w:rPr>
        <w:t>և</w:t>
      </w:r>
      <w:r w:rsidRPr="00826F05">
        <w:rPr>
          <w:rFonts w:ascii="Sylfaen" w:hAnsi="Sylfaen"/>
          <w:sz w:val="24"/>
          <w:szCs w:val="24"/>
        </w:rPr>
        <w:t xml:space="preserve">ավորման </w:t>
      </w:r>
      <w:r w:rsidR="00C54D75">
        <w:rPr>
          <w:rFonts w:ascii="Sylfaen" w:hAnsi="Sylfaen"/>
          <w:sz w:val="24"/>
          <w:szCs w:val="24"/>
        </w:rPr>
        <w:t>և</w:t>
      </w:r>
      <w:r w:rsidRPr="00826F05">
        <w:rPr>
          <w:rFonts w:ascii="Sylfaen" w:hAnsi="Sylfaen"/>
          <w:sz w:val="24"/>
          <w:szCs w:val="24"/>
        </w:rPr>
        <w:t xml:space="preserve"> վարման կարգին համապատասխան, ինչպես նա</w:t>
      </w:r>
      <w:r w:rsidR="00C54D75">
        <w:rPr>
          <w:rFonts w:ascii="Sylfaen" w:hAnsi="Sylfaen"/>
          <w:sz w:val="24"/>
          <w:szCs w:val="24"/>
        </w:rPr>
        <w:t>և</w:t>
      </w:r>
      <w:r w:rsidRPr="00826F05">
        <w:rPr>
          <w:rFonts w:ascii="Sylfaen" w:hAnsi="Sylfaen"/>
          <w:sz w:val="24"/>
          <w:szCs w:val="24"/>
        </w:rPr>
        <w:t xml:space="preserve"> հայտատուին է տրամադրում դեղապատրաստուկի փոփոխված ընդհանուր բնութագիրը, բժշկական կիրառման հրահանգը, փաթեթվածքների մանրակերտերը, որակի նորմատիվ փաստաթուղթը, գրանցման հավաստագիրը (անհրաժեշտության դեպքում):</w:t>
      </w:r>
    </w:p>
    <w:p w14:paraId="41EC943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Թույլատրվում է II տիպի ընդունված էական փոփոխությունների իրականացումը սկսել լիազորված մարմնի (փորձագիտական կազմակերպության) կողմից փոփոխությունն ընդունելու մասին հայտատուին ծանուցելու օրվանից 30</w:t>
      </w:r>
      <w:r>
        <w:rPr>
          <w:rFonts w:ascii="Sylfaen" w:hAnsi="Sylfaen"/>
          <w:sz w:val="24"/>
          <w:szCs w:val="24"/>
        </w:rPr>
        <w:t> </w:t>
      </w:r>
      <w:r w:rsidRPr="00826F05">
        <w:rPr>
          <w:rFonts w:ascii="Sylfaen" w:hAnsi="Sylfaen"/>
          <w:sz w:val="24"/>
          <w:szCs w:val="24"/>
        </w:rPr>
        <w:t>օրացուցային օրվա ընթացքում՝ գրանցման դոսյեն ուղղելու համար անհրաժեշտ փաստաթղթերը հայտատուի կողմից ներկայացնելու պայմանով:</w:t>
      </w:r>
    </w:p>
    <w:p w14:paraId="2BFE3CE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Դեղապատրաստուկի մասին տեղեկատվության վերանայման հանգեցնող ցանկացած փոփոխության իրագործում թույլատրվում է իրականացնել գրանցման դոսյեի մեջ փոփոխություններ կատարելուց հետո` համաձայն Դեղամիջոցների գրանցման կանոնների թիվ 19 հավելվածի 1.6 ենթաբաժնի:</w:t>
      </w:r>
    </w:p>
    <w:p w14:paraId="53730B43" w14:textId="77777777" w:rsidR="004F5982" w:rsidRPr="00826F05" w:rsidRDefault="004F5982" w:rsidP="00487007">
      <w:pPr>
        <w:spacing w:after="160" w:line="360" w:lineRule="auto"/>
        <w:ind w:right="34" w:firstLine="567"/>
        <w:jc w:val="both"/>
        <w:rPr>
          <w:rFonts w:ascii="Sylfaen" w:eastAsia="Times New Roman" w:hAnsi="Sylfaen" w:cs="Times New Roman"/>
          <w:sz w:val="24"/>
          <w:szCs w:val="24"/>
        </w:rPr>
      </w:pPr>
      <w:r w:rsidRPr="00826F05">
        <w:rPr>
          <w:rFonts w:ascii="Sylfaen" w:hAnsi="Sylfaen"/>
          <w:sz w:val="24"/>
          <w:szCs w:val="24"/>
        </w:rPr>
        <w:t xml:space="preserve">Անվտանգության հարցերի հետ կապված փոփոխություններն անհրաժեշտ է իրականացնել լիազորված մարմնի </w:t>
      </w:r>
      <w:r w:rsidR="00C54D75">
        <w:rPr>
          <w:rFonts w:ascii="Sylfaen" w:hAnsi="Sylfaen"/>
          <w:sz w:val="24"/>
          <w:szCs w:val="24"/>
        </w:rPr>
        <w:t>և</w:t>
      </w:r>
      <w:r w:rsidRPr="00826F05">
        <w:rPr>
          <w:rFonts w:ascii="Sylfaen" w:hAnsi="Sylfaen"/>
          <w:sz w:val="24"/>
          <w:szCs w:val="24"/>
        </w:rPr>
        <w:t xml:space="preserve"> հայտատուի միջ</w:t>
      </w:r>
      <w:r w:rsidR="00C54D75">
        <w:rPr>
          <w:rFonts w:ascii="Sylfaen" w:hAnsi="Sylfaen"/>
          <w:sz w:val="24"/>
          <w:szCs w:val="24"/>
        </w:rPr>
        <w:t>և</w:t>
      </w:r>
      <w:r w:rsidRPr="00826F05">
        <w:rPr>
          <w:rFonts w:ascii="Sylfaen" w:hAnsi="Sylfaen"/>
          <w:sz w:val="24"/>
          <w:szCs w:val="24"/>
        </w:rPr>
        <w:t xml:space="preserve"> համաձայնեցված ժամկետի ընթացքում:</w:t>
      </w:r>
    </w:p>
    <w:p w14:paraId="7F83DCA8" w14:textId="77777777" w:rsidR="004F5982" w:rsidRPr="00826F05" w:rsidRDefault="004F5982" w:rsidP="00487007">
      <w:pPr>
        <w:tabs>
          <w:tab w:val="left" w:pos="1134"/>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2.4.</w:t>
      </w:r>
      <w:r w:rsidRPr="00826F05">
        <w:rPr>
          <w:rFonts w:ascii="Sylfaen" w:hAnsi="Sylfaen"/>
          <w:sz w:val="24"/>
          <w:szCs w:val="24"/>
        </w:rPr>
        <w:tab/>
        <w:t>Գրանցման ընդլայնում:</w:t>
      </w:r>
    </w:p>
    <w:p w14:paraId="00B518A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I լրացման մեջ </w:t>
      </w:r>
      <w:r w:rsidRPr="00826F05">
        <w:rPr>
          <w:rFonts w:ascii="Sylfaen" w:hAnsi="Sylfaen"/>
          <w:sz w:val="24"/>
          <w:szCs w:val="24"/>
        </w:rPr>
        <w:lastRenderedPageBreak/>
        <w:t xml:space="preserve">թվարկված են փոփոխություններ, որոնք դիտարկվում են գրանցման ընդլայնման </w:t>
      </w:r>
      <w:r w:rsidRPr="00B97567">
        <w:rPr>
          <w:rFonts w:ascii="Sylfaen" w:hAnsi="Sylfaen"/>
          <w:spacing w:val="6"/>
          <w:sz w:val="24"/>
          <w:szCs w:val="24"/>
        </w:rPr>
        <w:t xml:space="preserve">շրջանակներում: Գրանցման ընդլայնման մասին հայտը պետք է ենթարկվի փորձաքննության՝ դեղապատրաստուկի գրանցման </w:t>
      </w:r>
      <w:r w:rsidR="00C54D75">
        <w:rPr>
          <w:rFonts w:ascii="Sylfaen" w:hAnsi="Sylfaen"/>
          <w:spacing w:val="6"/>
          <w:sz w:val="24"/>
          <w:szCs w:val="24"/>
        </w:rPr>
        <w:t>և</w:t>
      </w:r>
      <w:r w:rsidRPr="00B97567">
        <w:rPr>
          <w:rFonts w:ascii="Sylfaen" w:hAnsi="Sylfaen"/>
          <w:spacing w:val="6"/>
          <w:sz w:val="24"/>
          <w:szCs w:val="24"/>
        </w:rPr>
        <w:t xml:space="preserve"> փորձաքննության այն նույն ընթացակարգին համապատասխան, ինչ որ դեղապատրաստուկի առաջնային գրանցումն է, որին այն վերաբերում է Դեղամիջոցների գրանցման կանոնների</w:t>
      </w:r>
      <w:r w:rsidRPr="00826F05">
        <w:rPr>
          <w:rFonts w:ascii="Sylfaen" w:hAnsi="Sylfaen"/>
          <w:sz w:val="24"/>
          <w:szCs w:val="24"/>
        </w:rPr>
        <w:t xml:space="preserve"> V </w:t>
      </w:r>
      <w:r w:rsidR="00C54D75">
        <w:rPr>
          <w:rFonts w:ascii="Sylfaen" w:hAnsi="Sylfaen"/>
          <w:sz w:val="24"/>
          <w:szCs w:val="24"/>
        </w:rPr>
        <w:t>և</w:t>
      </w:r>
      <w:r w:rsidRPr="00826F05">
        <w:rPr>
          <w:rFonts w:ascii="Sylfaen" w:hAnsi="Sylfaen"/>
          <w:sz w:val="24"/>
          <w:szCs w:val="24"/>
        </w:rPr>
        <w:t xml:space="preserve"> VI բաժիններին համապատասխան:</w:t>
      </w:r>
    </w:p>
    <w:p w14:paraId="3E7EE594" w14:textId="77777777" w:rsidR="004F5982" w:rsidRPr="00826F05" w:rsidRDefault="004F5982" w:rsidP="00487007">
      <w:pPr>
        <w:tabs>
          <w:tab w:val="left" w:pos="1701"/>
        </w:tabs>
        <w:spacing w:after="160" w:line="360" w:lineRule="auto"/>
        <w:ind w:right="34" w:firstLine="567"/>
        <w:jc w:val="both"/>
        <w:rPr>
          <w:rFonts w:ascii="Sylfaen" w:eastAsia="Times New Roman" w:hAnsi="Sylfaen" w:cs="Times New Roman"/>
          <w:sz w:val="24"/>
          <w:szCs w:val="24"/>
        </w:rPr>
      </w:pPr>
      <w:r w:rsidRPr="00826F05">
        <w:rPr>
          <w:rFonts w:ascii="Sylfaen" w:hAnsi="Sylfaen"/>
          <w:sz w:val="24"/>
          <w:szCs w:val="24"/>
        </w:rPr>
        <w:t>2.4.1.</w:t>
      </w:r>
      <w:r w:rsidRPr="00826F05">
        <w:rPr>
          <w:rFonts w:ascii="Sylfaen" w:hAnsi="Sylfaen"/>
          <w:sz w:val="24"/>
          <w:szCs w:val="24"/>
        </w:rPr>
        <w:tab/>
        <w:t>Դեղապատրաստուկի գրանցման ընդլայնման մասին հայտ ներկայացնելը:</w:t>
      </w:r>
    </w:p>
    <w:p w14:paraId="253A39B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ընդլայնման մասին հայտն անհրաժեշտ է ներկայացնել բոլոր շահագրգիռ անդամ պետություններ՝ համապատասխանաբար:</w:t>
      </w:r>
    </w:p>
    <w:p w14:paraId="45C58D8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2B6825">
        <w:rPr>
          <w:rFonts w:ascii="Sylfaen" w:hAnsi="Sylfaen"/>
          <w:spacing w:val="-6"/>
          <w:sz w:val="24"/>
          <w:szCs w:val="24"/>
        </w:rPr>
        <w:t>Գրանցման հավաստագրերի իրավատերերն իրավունք ունեն մեկ ծանուցման մեջ խմբավորելու գրանցման մի քանի ընդլայնումներ կամ գրանցման մեկ կամ ավելի ընդլայնումներ մի</w:t>
      </w:r>
      <w:r w:rsidR="00C54D75">
        <w:rPr>
          <w:rFonts w:ascii="Sylfaen" w:hAnsi="Sylfaen"/>
          <w:spacing w:val="-6"/>
          <w:sz w:val="24"/>
          <w:szCs w:val="24"/>
        </w:rPr>
        <w:t>և</w:t>
      </w:r>
      <w:r w:rsidRPr="002B6825">
        <w:rPr>
          <w:rFonts w:ascii="Sylfaen" w:hAnsi="Sylfaen"/>
          <w:spacing w:val="-6"/>
          <w:sz w:val="24"/>
          <w:szCs w:val="24"/>
        </w:rPr>
        <w:t>նույն գրանցման դոսյեի մեկ կամ ավելի</w:t>
      </w:r>
      <w:r w:rsidRPr="00826F05">
        <w:rPr>
          <w:rFonts w:ascii="Sylfaen" w:hAnsi="Sylfaen"/>
          <w:sz w:val="24"/>
          <w:szCs w:val="24"/>
        </w:rPr>
        <w:t xml:space="preserve"> փոփոխության հետ՝ Դեղամիջոցների գրանցման կանոնների թիվ 19 հավելվածի III լրացման մեջ նշված դեպքերից մեկին դրա համապատասխանության պայմանով, կամ եթե այն նախկինում համաձայնեցվել է ռեֆերենտ պետության լիազորված մարմնի (փորձագիտական կազմակերպության) հետ համապատասխանաբար: Դեղամիջոցների գրանցման կանոնների թիվ 19 հավելվածում գրանցման ընդլայնման մասին հայտերի մասով պարտականությունների բաշխում նախատեսված չէ:</w:t>
      </w:r>
    </w:p>
    <w:p w14:paraId="46D26E2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ընդլայնման մասին հայտն անհրաժեշտ է ներկայացնել հետ</w:t>
      </w:r>
      <w:r w:rsidR="00C54D75">
        <w:rPr>
          <w:rFonts w:ascii="Sylfaen" w:hAnsi="Sylfaen"/>
          <w:sz w:val="24"/>
          <w:szCs w:val="24"/>
        </w:rPr>
        <w:t>և</w:t>
      </w:r>
      <w:r w:rsidRPr="00826F05">
        <w:rPr>
          <w:rFonts w:ascii="Sylfaen" w:hAnsi="Sylfaen"/>
          <w:sz w:val="24"/>
          <w:szCs w:val="24"/>
        </w:rPr>
        <w:t xml:space="preserve">յալ կարգով՝ համապատասխան վերնագրերով </w:t>
      </w:r>
      <w:r w:rsidR="00C54D75">
        <w:rPr>
          <w:rFonts w:ascii="Sylfaen" w:hAnsi="Sylfaen"/>
          <w:sz w:val="24"/>
          <w:szCs w:val="24"/>
        </w:rPr>
        <w:t>և</w:t>
      </w:r>
      <w:r w:rsidRPr="00826F05">
        <w:rPr>
          <w:rFonts w:ascii="Sylfaen" w:hAnsi="Sylfaen"/>
          <w:sz w:val="24"/>
          <w:szCs w:val="24"/>
        </w:rPr>
        <w:t xml:space="preserve"> համարակալմամբ, ընդհանուր տեխնիկական փաստաթղթի ձ</w:t>
      </w:r>
      <w:r w:rsidR="00C54D75">
        <w:rPr>
          <w:rFonts w:ascii="Sylfaen" w:hAnsi="Sylfaen"/>
          <w:sz w:val="24"/>
          <w:szCs w:val="24"/>
        </w:rPr>
        <w:t>և</w:t>
      </w:r>
      <w:r w:rsidRPr="00826F05">
        <w:rPr>
          <w:rFonts w:ascii="Sylfaen" w:hAnsi="Sylfaen"/>
          <w:sz w:val="24"/>
          <w:szCs w:val="24"/>
        </w:rPr>
        <w:t>աչափով՝</w:t>
      </w:r>
    </w:p>
    <w:p w14:paraId="11D86AF2"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ուղեկցող նամակ,</w:t>
      </w:r>
    </w:p>
    <w:p w14:paraId="368B6FCD"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փոփոխություներ կատարելու մասին հայտ,</w:t>
      </w:r>
    </w:p>
    <w:p w14:paraId="1E4CD38E"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առաջարկվող ընդլայնմանը վերաբերող օժանդակ տվյալներ,</w:t>
      </w:r>
    </w:p>
    <w:p w14:paraId="045CBE6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գրանցման դոսյեի ամբողջական մոդուլ 1-ը՝ մոդուլ 1-ի համապատասխան </w:t>
      </w:r>
      <w:r w:rsidRPr="00826F05">
        <w:rPr>
          <w:rFonts w:ascii="Sylfaen" w:hAnsi="Sylfaen"/>
          <w:sz w:val="24"/>
          <w:szCs w:val="24"/>
        </w:rPr>
        <w:lastRenderedPageBreak/>
        <w:t xml:space="preserve">բաժիններում ներառված տվյալների կամ փաստաթղթերի բացակայության հիմնավորմամբ, </w:t>
      </w:r>
    </w:p>
    <w:p w14:paraId="7500A099" w14:textId="77777777" w:rsidR="004F5982" w:rsidRPr="00826F05" w:rsidRDefault="004F5982" w:rsidP="00487007">
      <w:pPr>
        <w:spacing w:after="160" w:line="360" w:lineRule="auto"/>
        <w:ind w:right="36" w:firstLine="567"/>
        <w:jc w:val="both"/>
        <w:rPr>
          <w:rFonts w:ascii="Sylfaen" w:eastAsia="Times New Roman" w:hAnsi="Sylfaen" w:cs="Times New Roman"/>
          <w:sz w:val="24"/>
          <w:szCs w:val="24"/>
        </w:rPr>
      </w:pPr>
      <w:r w:rsidRPr="00826F05">
        <w:rPr>
          <w:rFonts w:ascii="Sylfaen" w:hAnsi="Sylfaen"/>
          <w:sz w:val="24"/>
          <w:szCs w:val="24"/>
        </w:rPr>
        <w:t xml:space="preserve">համապատասխան թարմացում կամ որակի ռեզյումեի, նախակլինիկական </w:t>
      </w:r>
      <w:r w:rsidR="00C54D75">
        <w:rPr>
          <w:rFonts w:ascii="Sylfaen" w:hAnsi="Sylfaen"/>
          <w:sz w:val="24"/>
          <w:szCs w:val="24"/>
        </w:rPr>
        <w:t>և</w:t>
      </w:r>
      <w:r w:rsidRPr="00826F05">
        <w:rPr>
          <w:rFonts w:ascii="Sylfaen" w:hAnsi="Sylfaen"/>
          <w:sz w:val="24"/>
          <w:szCs w:val="24"/>
        </w:rPr>
        <w:t xml:space="preserve"> </w:t>
      </w:r>
      <w:r w:rsidRPr="002B6825">
        <w:rPr>
          <w:rFonts w:ascii="Sylfaen" w:hAnsi="Sylfaen"/>
          <w:spacing w:val="-6"/>
          <w:sz w:val="24"/>
          <w:szCs w:val="24"/>
        </w:rPr>
        <w:t>կլինիկական ամփոփագրերի հավելվածը: Եթե ներկայացվում են նախակլինիկական կամ կլինիկական հետազոտությունների մասին հաշվետվություններ (անգամ մեկը), դրանց ռեզյումեն անհրաժեշտ</w:t>
      </w:r>
      <w:r w:rsidRPr="00826F05">
        <w:rPr>
          <w:rFonts w:ascii="Sylfaen" w:hAnsi="Sylfaen"/>
          <w:sz w:val="24"/>
          <w:szCs w:val="24"/>
        </w:rPr>
        <w:t xml:space="preserve"> է ներառել 2-րդ մոդուլում,</w:t>
      </w:r>
    </w:p>
    <w:p w14:paraId="341DF61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ընդլայնումը վերաբերում է դեղապատրաստուկի ընդհանուր բնութագրին՝ մականշվածքին կամ ներդիր-թերթիկին, ինչպես նա</w:t>
      </w:r>
      <w:r w:rsidR="00C54D75">
        <w:rPr>
          <w:rFonts w:ascii="Sylfaen" w:hAnsi="Sylfaen"/>
          <w:sz w:val="24"/>
          <w:szCs w:val="24"/>
        </w:rPr>
        <w:t>և</w:t>
      </w:r>
      <w:r w:rsidRPr="00826F05">
        <w:rPr>
          <w:rFonts w:ascii="Sylfaen" w:hAnsi="Sylfaen"/>
          <w:sz w:val="24"/>
          <w:szCs w:val="24"/>
        </w:rPr>
        <w:t xml:space="preserve"> որակի նորմատիվ փաստաթղթին՝ պատշաճ կերպով ներկայացված՝ դեղապատրաստուկի մասին վերանայված տեղեկատվությունը, որակի նորմատիվ փաստաթուղթը:</w:t>
      </w:r>
    </w:p>
    <w:p w14:paraId="7C7752A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Դեղամիջոցների գրանցման կանոնների թիվ 19 հավելվածի 1.1.3 ենթակետում նշված ընթացակարգի մասով գրանցման ընդլայնման մասին հայտերի դեպքում ռեֆերենտ պետության լիազորված մարմինը (փորձագիտական կազմակերպությունը) պետք է ստանա շահագրգիռ ճանաչման պետությունում դեղապատրաստուկի գրանցման դոսյեում փոփոխություններ կատարելու վերաբերյալ համապատասխան հայտերի </w:t>
      </w:r>
      <w:r w:rsidR="00C54D75">
        <w:rPr>
          <w:rFonts w:ascii="Sylfaen" w:hAnsi="Sylfaen"/>
          <w:sz w:val="24"/>
          <w:szCs w:val="24"/>
        </w:rPr>
        <w:t>և</w:t>
      </w:r>
      <w:r w:rsidRPr="00826F05">
        <w:rPr>
          <w:rFonts w:ascii="Sylfaen" w:hAnsi="Sylfaen"/>
          <w:sz w:val="24"/>
          <w:szCs w:val="24"/>
        </w:rPr>
        <w:t xml:space="preserve"> դեղապատրաստուկի գրանցման դոսյեում (</w:t>
      </w:r>
      <w:r w:rsidR="00C54D75">
        <w:rPr>
          <w:rFonts w:ascii="Sylfaen" w:hAnsi="Sylfaen"/>
          <w:sz w:val="24"/>
          <w:szCs w:val="24"/>
        </w:rPr>
        <w:t>և</w:t>
      </w:r>
      <w:r w:rsidRPr="00826F05">
        <w:rPr>
          <w:rFonts w:ascii="Sylfaen" w:hAnsi="Sylfaen"/>
          <w:sz w:val="24"/>
          <w:szCs w:val="24"/>
        </w:rPr>
        <w:t xml:space="preserve"> դրա փորձաքննության մեջ) փոփոխություններ կատարելու համար </w:t>
      </w:r>
      <w:r w:rsidRPr="002B6825">
        <w:rPr>
          <w:rFonts w:ascii="Sylfaen" w:hAnsi="Sylfaen"/>
          <w:spacing w:val="-6"/>
          <w:sz w:val="24"/>
          <w:szCs w:val="24"/>
        </w:rPr>
        <w:t xml:space="preserve">ճանաչման պետության օրենսդրությամբ սահմանված չափերով </w:t>
      </w:r>
      <w:r w:rsidR="00C54D75">
        <w:rPr>
          <w:rFonts w:ascii="Sylfaen" w:hAnsi="Sylfaen"/>
          <w:spacing w:val="-6"/>
          <w:sz w:val="24"/>
          <w:szCs w:val="24"/>
        </w:rPr>
        <w:t>և</w:t>
      </w:r>
      <w:r w:rsidRPr="002B6825">
        <w:rPr>
          <w:rFonts w:ascii="Sylfaen" w:hAnsi="Sylfaen"/>
          <w:spacing w:val="-6"/>
          <w:sz w:val="24"/>
          <w:szCs w:val="24"/>
        </w:rPr>
        <w:t xml:space="preserve"> կարգով վճարի (տուրքի) վճարումը հաստատող փաստաթղթեր ներկայացնելու ամսաթվերի</w:t>
      </w:r>
      <w:r w:rsidRPr="00826F05">
        <w:rPr>
          <w:rFonts w:ascii="Sylfaen" w:hAnsi="Sylfaen"/>
          <w:sz w:val="24"/>
          <w:szCs w:val="24"/>
        </w:rPr>
        <w:t xml:space="preserve"> ցանկը:</w:t>
      </w:r>
    </w:p>
    <w:p w14:paraId="08A9EF1D"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1.1.4 կետում հիշատակված ընթացակարգի մասով գրանցման ընդլայնման մասին հայտերի դեպքում ռեֆերենտ պետության լիազորված մարմինը (փորձագիտական կազմակերպությունը) պետք է ստանա դեղապատրաստուկի գրանցման դոսյեում (</w:t>
      </w:r>
      <w:r w:rsidR="00C54D75">
        <w:rPr>
          <w:rFonts w:ascii="Sylfaen" w:hAnsi="Sylfaen"/>
          <w:sz w:val="24"/>
          <w:szCs w:val="24"/>
        </w:rPr>
        <w:t>և</w:t>
      </w:r>
      <w:r w:rsidRPr="00826F05">
        <w:rPr>
          <w:rFonts w:ascii="Sylfaen" w:hAnsi="Sylfaen"/>
          <w:sz w:val="24"/>
          <w:szCs w:val="24"/>
        </w:rPr>
        <w:t xml:space="preserve"> դրա փորձաքննության մեջ) փոփոխություններ կատարելու՝ անդամ պետությունների օրենսդրությամբ սահմանված չափերով </w:t>
      </w:r>
      <w:r w:rsidR="00C54D75">
        <w:rPr>
          <w:rFonts w:ascii="Sylfaen" w:hAnsi="Sylfaen"/>
          <w:sz w:val="24"/>
          <w:szCs w:val="24"/>
        </w:rPr>
        <w:t>և</w:t>
      </w:r>
      <w:r w:rsidRPr="00826F05">
        <w:rPr>
          <w:rFonts w:ascii="Sylfaen" w:hAnsi="Sylfaen"/>
          <w:sz w:val="24"/>
          <w:szCs w:val="24"/>
        </w:rPr>
        <w:t xml:space="preserve"> կարգով վճարի (տուրքի) վճարման հաստատում:</w:t>
      </w:r>
    </w:p>
    <w:p w14:paraId="7A46F27D" w14:textId="77777777" w:rsidR="004F5982" w:rsidRPr="00826F05" w:rsidRDefault="004F5982" w:rsidP="00487007">
      <w:pPr>
        <w:tabs>
          <w:tab w:val="left" w:pos="1701"/>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2.4.2.</w:t>
      </w:r>
      <w:r w:rsidRPr="00826F05">
        <w:rPr>
          <w:rFonts w:ascii="Sylfaen" w:hAnsi="Sylfaen"/>
          <w:sz w:val="24"/>
          <w:szCs w:val="24"/>
        </w:rPr>
        <w:tab/>
        <w:t>Գրանցման ընդլայնման փորձաքննությունը:</w:t>
      </w:r>
    </w:p>
    <w:p w14:paraId="0ED1A62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Գրանցման ընդլայնման մասին հայտը պետք է ենթարկվի փորձաքննության՝ դեղապատրաստուկի գրանցման </w:t>
      </w:r>
      <w:r w:rsidR="00C54D75">
        <w:rPr>
          <w:rFonts w:ascii="Sylfaen" w:hAnsi="Sylfaen"/>
          <w:sz w:val="24"/>
          <w:szCs w:val="24"/>
        </w:rPr>
        <w:t>և</w:t>
      </w:r>
      <w:r w:rsidRPr="00826F05">
        <w:rPr>
          <w:rFonts w:ascii="Sylfaen" w:hAnsi="Sylfaen"/>
          <w:sz w:val="24"/>
          <w:szCs w:val="24"/>
        </w:rPr>
        <w:t xml:space="preserve"> փորձաքննության այն նույն ընթացակարգին համապատասխան, ինչ որ դեղապատրաստուկի առաջնային գրանցումն է, որին այն վերաբերում է Բժշկական կիրառության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 V </w:t>
      </w:r>
      <w:r w:rsidR="00C54D75">
        <w:rPr>
          <w:rFonts w:ascii="Sylfaen" w:hAnsi="Sylfaen"/>
          <w:sz w:val="24"/>
          <w:szCs w:val="24"/>
        </w:rPr>
        <w:t>և</w:t>
      </w:r>
      <w:r w:rsidRPr="00826F05">
        <w:rPr>
          <w:rFonts w:ascii="Sylfaen" w:hAnsi="Sylfaen"/>
          <w:sz w:val="24"/>
          <w:szCs w:val="24"/>
        </w:rPr>
        <w:t xml:space="preserve"> VI բաժիններին համապատասխան:</w:t>
      </w:r>
    </w:p>
    <w:p w14:paraId="1BDF68F4" w14:textId="77777777" w:rsidR="004F5982" w:rsidRPr="00826F05" w:rsidRDefault="004F5982" w:rsidP="00487007">
      <w:pPr>
        <w:tabs>
          <w:tab w:val="left" w:pos="1134"/>
        </w:tabs>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2.5.</w:t>
      </w:r>
      <w:r w:rsidRPr="00826F05">
        <w:rPr>
          <w:rFonts w:ascii="Sylfaen" w:hAnsi="Sylfaen"/>
          <w:sz w:val="24"/>
          <w:szCs w:val="24"/>
        </w:rPr>
        <w:tab/>
        <w:t>Անվտանգության գծով անհետաձգելի սահմանափակումները:</w:t>
      </w:r>
    </w:p>
    <w:p w14:paraId="64CA231E"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4.1.4 ենթակետով նախատեսվում է, որ բնակչության հանրային առողջության համար բժշկական կիրառման դեղապատրաստուկների հետ</w:t>
      </w:r>
      <w:r w:rsidR="00C54D75">
        <w:rPr>
          <w:rFonts w:ascii="Sylfaen" w:hAnsi="Sylfaen"/>
          <w:sz w:val="24"/>
          <w:szCs w:val="24"/>
        </w:rPr>
        <w:t>և</w:t>
      </w:r>
      <w:r w:rsidRPr="00826F05">
        <w:rPr>
          <w:rFonts w:ascii="Sylfaen" w:hAnsi="Sylfaen"/>
          <w:sz w:val="24"/>
          <w:szCs w:val="24"/>
        </w:rPr>
        <w:t>անքով ռիսկի առաջացման դեպքում իրավատերն իրավունք ունի նախնական «անվտանգության մասով անհետաձգելի սահմանափակումներ» դնելու:</w:t>
      </w:r>
    </w:p>
    <w:p w14:paraId="39B224DE"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Անվտանգության մասով անհետաձգելի սահմանափակումներն իրենցից ներկայացնում են դեղապատրաստուկի կիրառման անվտանգությանը վերաբերող նոր տեղեկությունների հետ</w:t>
      </w:r>
      <w:r w:rsidR="00C54D75">
        <w:rPr>
          <w:rFonts w:ascii="Sylfaen" w:hAnsi="Sylfaen"/>
          <w:sz w:val="24"/>
          <w:szCs w:val="24"/>
        </w:rPr>
        <w:t>և</w:t>
      </w:r>
      <w:r w:rsidRPr="00826F05">
        <w:rPr>
          <w:rFonts w:ascii="Sylfaen" w:hAnsi="Sylfaen"/>
          <w:sz w:val="24"/>
          <w:szCs w:val="24"/>
        </w:rPr>
        <w:t>անքով առաջացած՝ դեղապատրաստուկի գրանցման պայմանների միջանկյալ փոփոխություն: Այդպիսի անհետաձգելի փոփոխություններն անհրաժեշտ է հետագայում իրականացնել գրանցման դոսյեի համապատասխան փոփոխության միջոցով:</w:t>
      </w:r>
    </w:p>
    <w:p w14:paraId="023D32DE"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4C2FEE">
        <w:rPr>
          <w:rFonts w:ascii="Sylfaen" w:hAnsi="Sylfaen"/>
          <w:spacing w:val="-6"/>
          <w:sz w:val="24"/>
          <w:szCs w:val="24"/>
        </w:rPr>
        <w:t>Իրավատերը պետք է բոլոր շահագրգիռ անդամ պետություններին համապատասխանաբար անհապաղ ծանուցի դրված սահմանափակումների</w:t>
      </w:r>
      <w:r w:rsidRPr="00826F05">
        <w:rPr>
          <w:rFonts w:ascii="Sylfaen" w:hAnsi="Sylfaen"/>
          <w:sz w:val="24"/>
          <w:szCs w:val="24"/>
        </w:rPr>
        <w:t xml:space="preserve"> մասին:</w:t>
      </w:r>
    </w:p>
    <w:p w14:paraId="00D5167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Եթե համապատասխան մարմինը գրանցման հավաստագրի իրավատիրոջ կողմից տեղեկությունները ստանալուց հետո 24 ժամվա ընթացքում չի ուղարկում առարկություններ, ապա անվտանգության մասով անհետաձգելի սահմանափակումները համարվում են ընդունված: Դրանք պետք է իրականացվեն ռեֆերենտ պետության լիազորված մարմնի (փորձագիտական կազմակերպության) </w:t>
      </w:r>
      <w:r w:rsidR="00C54D75">
        <w:rPr>
          <w:rFonts w:ascii="Sylfaen" w:hAnsi="Sylfaen"/>
          <w:sz w:val="24"/>
          <w:szCs w:val="24"/>
        </w:rPr>
        <w:t>և</w:t>
      </w:r>
      <w:r w:rsidRPr="00826F05">
        <w:rPr>
          <w:rFonts w:ascii="Sylfaen" w:hAnsi="Sylfaen"/>
          <w:sz w:val="24"/>
          <w:szCs w:val="24"/>
        </w:rPr>
        <w:t xml:space="preserve"> գրանցման հավաստագրի իրավատիրոջ միջ</w:t>
      </w:r>
      <w:r w:rsidR="00C54D75">
        <w:rPr>
          <w:rFonts w:ascii="Sylfaen" w:hAnsi="Sylfaen"/>
          <w:sz w:val="24"/>
          <w:szCs w:val="24"/>
        </w:rPr>
        <w:t>և</w:t>
      </w:r>
      <w:r w:rsidRPr="00826F05">
        <w:rPr>
          <w:rFonts w:ascii="Sylfaen" w:hAnsi="Sylfaen"/>
          <w:sz w:val="24"/>
          <w:szCs w:val="24"/>
        </w:rPr>
        <w:t xml:space="preserve"> համաձայնեցված ժամկետում:</w:t>
      </w:r>
    </w:p>
    <w:p w14:paraId="09CA8B7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Հայտատուի կողմից անվտանգության մասով անհետաձգելի սահմանափակում դնելու կամ համապատասխան մարմնի կողմից այն </w:t>
      </w:r>
      <w:r w:rsidRPr="00826F05">
        <w:rPr>
          <w:rFonts w:ascii="Sylfaen" w:hAnsi="Sylfaen"/>
          <w:sz w:val="24"/>
          <w:szCs w:val="24"/>
        </w:rPr>
        <w:lastRenderedPageBreak/>
        <w:t>նշանակելու դեպքում հայտատուն այդպիսի սահմանափակում սկսվելու օրվանից 14 աշխատանքային օրվա ընթացքում պետք է գրանցման դոսյեում փոփոխության մասին համապատասխան հայտ ներկայացնի լիազորված մարմին (փորձագիտական կազմակերպություն):</w:t>
      </w:r>
    </w:p>
    <w:p w14:paraId="3A55880E" w14:textId="77777777" w:rsidR="004F5982" w:rsidRPr="00826F05" w:rsidRDefault="004F5982" w:rsidP="00487007">
      <w:pPr>
        <w:spacing w:after="160" w:line="360" w:lineRule="auto"/>
        <w:ind w:right="34" w:firstLine="567"/>
        <w:jc w:val="both"/>
        <w:rPr>
          <w:rFonts w:ascii="Sylfaen" w:hAnsi="Sylfaen"/>
          <w:sz w:val="24"/>
          <w:szCs w:val="24"/>
        </w:rPr>
      </w:pPr>
      <w:r w:rsidRPr="00826F05">
        <w:rPr>
          <w:rFonts w:ascii="Sylfaen" w:hAnsi="Sylfaen"/>
          <w:sz w:val="24"/>
          <w:szCs w:val="24"/>
        </w:rPr>
        <w:t>Անվտանգության մասով անհետաձգելի սահմանափակումները նա</w:t>
      </w:r>
      <w:r w:rsidR="00C54D75">
        <w:rPr>
          <w:rFonts w:ascii="Sylfaen" w:hAnsi="Sylfaen"/>
          <w:sz w:val="24"/>
          <w:szCs w:val="24"/>
        </w:rPr>
        <w:t>և</w:t>
      </w:r>
      <w:r w:rsidRPr="00826F05">
        <w:rPr>
          <w:rFonts w:ascii="Sylfaen" w:hAnsi="Sylfaen"/>
          <w:sz w:val="24"/>
          <w:szCs w:val="24"/>
        </w:rPr>
        <w:t xml:space="preserve"> կարող</w:t>
      </w:r>
      <w:r>
        <w:rPr>
          <w:rFonts w:ascii="Sylfaen" w:hAnsi="Sylfaen"/>
          <w:sz w:val="24"/>
          <w:szCs w:val="24"/>
        </w:rPr>
        <w:t> </w:t>
      </w:r>
      <w:r w:rsidRPr="00826F05">
        <w:rPr>
          <w:rFonts w:ascii="Sylfaen" w:hAnsi="Sylfaen"/>
          <w:sz w:val="24"/>
          <w:szCs w:val="24"/>
        </w:rPr>
        <w:t>են դրվել անդամ պետությունների լիազորված մարմինների կողմից (ազգային գրանցմամբ դեղապատրաստուկների մասով)՝ բժշկական կիրառման դեղապատրաստուկների հետ</w:t>
      </w:r>
      <w:r w:rsidR="00C54D75">
        <w:rPr>
          <w:rFonts w:ascii="Sylfaen" w:hAnsi="Sylfaen"/>
          <w:sz w:val="24"/>
          <w:szCs w:val="24"/>
        </w:rPr>
        <w:t>և</w:t>
      </w:r>
      <w:r w:rsidRPr="00826F05">
        <w:rPr>
          <w:rFonts w:ascii="Sylfaen" w:hAnsi="Sylfaen"/>
          <w:sz w:val="24"/>
          <w:szCs w:val="24"/>
        </w:rPr>
        <w:t>անքով հասարակական առողջության համար ռիսկի առաջացման դեպքում:</w:t>
      </w:r>
    </w:p>
    <w:p w14:paraId="7E514566" w14:textId="77777777" w:rsidR="004F5982" w:rsidRPr="001436BD" w:rsidRDefault="004F5982" w:rsidP="004F5982">
      <w:pPr>
        <w:spacing w:after="160" w:line="360" w:lineRule="auto"/>
        <w:ind w:left="567" w:right="565" w:firstLine="5"/>
        <w:jc w:val="center"/>
        <w:rPr>
          <w:rFonts w:ascii="Sylfaen" w:hAnsi="Sylfaen"/>
          <w:sz w:val="24"/>
          <w:szCs w:val="24"/>
        </w:rPr>
      </w:pPr>
    </w:p>
    <w:p w14:paraId="0EE054F1" w14:textId="77777777" w:rsidR="004F5982" w:rsidRPr="00826F05" w:rsidRDefault="004F5982" w:rsidP="00487007">
      <w:pPr>
        <w:spacing w:after="160" w:line="360" w:lineRule="auto"/>
        <w:ind w:left="567" w:right="565" w:firstLine="5"/>
        <w:jc w:val="center"/>
        <w:rPr>
          <w:rFonts w:ascii="Sylfaen" w:eastAsia="Times New Roman" w:hAnsi="Sylfaen" w:cs="Times New Roman"/>
          <w:sz w:val="24"/>
          <w:szCs w:val="24"/>
        </w:rPr>
      </w:pPr>
      <w:r w:rsidRPr="00826F05">
        <w:rPr>
          <w:rFonts w:ascii="Sylfaen" w:hAnsi="Sylfaen"/>
          <w:sz w:val="24"/>
          <w:szCs w:val="24"/>
        </w:rPr>
        <w:t>III. Պարտավորությունների բաշխման մասով վարչական ընթացակարգերը</w:t>
      </w:r>
    </w:p>
    <w:p w14:paraId="4F2750D4"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4.1.2 ենթակետով հայտատուներին թույլ է տրվում մեկ հայտում տրամադրել IB տիպի միանման փոփոխություն, II տիպի միանման փոփոխություն կամ փոփոխությունների միանման խումբ, որոնք համապատասխանում են դեղամիջոցների գրանցման կանոնների թիվ 19 հավելվածի III լրացման մեջ թվարկված դեպքերից մեկին, կամ համապատասխանաբար ռեֆերենտ պետության լիազորված մարմնի (փորձագիտական կազմակերպության) համաձայնությամբ, որը չի պարունակում հետ</w:t>
      </w:r>
      <w:r w:rsidR="00C54D75">
        <w:rPr>
          <w:rFonts w:ascii="Sylfaen" w:hAnsi="Sylfaen"/>
          <w:sz w:val="24"/>
          <w:szCs w:val="24"/>
        </w:rPr>
        <w:t>և</w:t>
      </w:r>
      <w:r w:rsidRPr="00826F05">
        <w:rPr>
          <w:rFonts w:ascii="Sylfaen" w:hAnsi="Sylfaen"/>
          <w:sz w:val="24"/>
          <w:szCs w:val="24"/>
        </w:rPr>
        <w:t>յալ դեպքերից մեկին առնչվող գրանցման որ</w:t>
      </w:r>
      <w:r w:rsidR="00C54D75">
        <w:rPr>
          <w:rFonts w:ascii="Sylfaen" w:hAnsi="Sylfaen"/>
          <w:sz w:val="24"/>
          <w:szCs w:val="24"/>
        </w:rPr>
        <w:t>և</w:t>
      </w:r>
      <w:r w:rsidRPr="00826F05">
        <w:rPr>
          <w:rFonts w:ascii="Sylfaen" w:hAnsi="Sylfaen"/>
          <w:sz w:val="24"/>
          <w:szCs w:val="24"/>
        </w:rPr>
        <w:t>է ընդլայնում՝</w:t>
      </w:r>
    </w:p>
    <w:p w14:paraId="3254C675"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ավելի քան մեկ անդամ պետությունում մի</w:t>
      </w:r>
      <w:r w:rsidR="00C54D75">
        <w:rPr>
          <w:rFonts w:ascii="Sylfaen" w:hAnsi="Sylfaen"/>
          <w:sz w:val="24"/>
          <w:szCs w:val="24"/>
        </w:rPr>
        <w:t>և</w:t>
      </w:r>
      <w:r w:rsidRPr="00826F05">
        <w:rPr>
          <w:rFonts w:ascii="Sylfaen" w:hAnsi="Sylfaen"/>
          <w:sz w:val="24"/>
          <w:szCs w:val="24"/>
        </w:rPr>
        <w:t xml:space="preserve">նույն իրավատիրոջ ավելի քան մեկ գրանցման դոսյե, որոնք գրանցվել են բացառապես ազգային ընթացակարգով. </w:t>
      </w:r>
    </w:p>
    <w:p w14:paraId="794E507D"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գրանցման հավաստագրի մի</w:t>
      </w:r>
      <w:r w:rsidR="00C54D75">
        <w:rPr>
          <w:rFonts w:ascii="Sylfaen" w:hAnsi="Sylfaen"/>
          <w:sz w:val="24"/>
          <w:szCs w:val="24"/>
        </w:rPr>
        <w:t>և</w:t>
      </w:r>
      <w:r w:rsidRPr="00826F05">
        <w:rPr>
          <w:rFonts w:ascii="Sylfaen" w:hAnsi="Sylfaen"/>
          <w:sz w:val="24"/>
          <w:szCs w:val="24"/>
        </w:rPr>
        <w:t>նույն իրավատիրոջ՝ Դեղամիջոցների գրանցման կանոններին համապատասխան գրանցված դեղապատրաստուկների ավելի քան մեկ գրանցման դոսյե.</w:t>
      </w:r>
    </w:p>
    <w:p w14:paraId="4C72D162"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գրանցման հավաստագրի մի</w:t>
      </w:r>
      <w:r w:rsidR="00C54D75">
        <w:rPr>
          <w:rFonts w:ascii="Sylfaen" w:hAnsi="Sylfaen"/>
          <w:sz w:val="24"/>
          <w:szCs w:val="24"/>
        </w:rPr>
        <w:t>և</w:t>
      </w:r>
      <w:r w:rsidRPr="00826F05">
        <w:rPr>
          <w:rFonts w:ascii="Sylfaen" w:hAnsi="Sylfaen"/>
          <w:sz w:val="24"/>
          <w:szCs w:val="24"/>
        </w:rPr>
        <w:t>նույն իրավատիրոջ՝ դեղապատրաստուկների մեկ կամ մի քանի գրանցման դոսյեներ, որոնք գրանցվել են բացառապես ազգային ընթացակարգով.</w:t>
      </w:r>
    </w:p>
    <w:p w14:paraId="6BD76DBF"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ազգային ընթացակարգով գրանցված դեղապատրաստուկների գրանցման դոսյեներ </w:t>
      </w:r>
      <w:r w:rsidR="00C54D75">
        <w:rPr>
          <w:rFonts w:ascii="Sylfaen" w:hAnsi="Sylfaen"/>
          <w:sz w:val="24"/>
          <w:szCs w:val="24"/>
        </w:rPr>
        <w:t>և</w:t>
      </w:r>
      <w:r w:rsidRPr="00826F05">
        <w:rPr>
          <w:rFonts w:ascii="Sylfaen" w:hAnsi="Sylfaen"/>
          <w:sz w:val="24"/>
          <w:szCs w:val="24"/>
        </w:rPr>
        <w:t xml:space="preserve"> գրանցման հավաստագրի մի</w:t>
      </w:r>
      <w:r w:rsidR="00C54D75">
        <w:rPr>
          <w:rFonts w:ascii="Sylfaen" w:hAnsi="Sylfaen"/>
          <w:sz w:val="24"/>
          <w:szCs w:val="24"/>
        </w:rPr>
        <w:t>և</w:t>
      </w:r>
      <w:r w:rsidRPr="00826F05">
        <w:rPr>
          <w:rFonts w:ascii="Sylfaen" w:hAnsi="Sylfaen"/>
          <w:sz w:val="24"/>
          <w:szCs w:val="24"/>
        </w:rPr>
        <w:t xml:space="preserve">նույն իրավատիրոջ՝ դեղամիջոցների </w:t>
      </w:r>
      <w:r w:rsidR="00C54D75">
        <w:rPr>
          <w:rFonts w:ascii="Sylfaen" w:hAnsi="Sylfaen"/>
          <w:sz w:val="24"/>
          <w:szCs w:val="24"/>
        </w:rPr>
        <w:t>և</w:t>
      </w:r>
      <w:r w:rsidRPr="00826F05">
        <w:rPr>
          <w:rFonts w:ascii="Sylfaen" w:hAnsi="Sylfaen"/>
          <w:sz w:val="24"/>
          <w:szCs w:val="24"/>
        </w:rPr>
        <w:t xml:space="preserve"> Գրանցման կանոններին համապատասխան գրանցված դեղապատրաստուկների մեկ կամ մի քանի գրանցման դոսյեներ:</w:t>
      </w:r>
    </w:p>
    <w:p w14:paraId="429A2DB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Այդ փոփոխությունների փորձաքննության ընթացքում լիազորված մարմինների (փորձագիտական կազմակերպությունների) աշխատանքի կրկնությունից խուսափելու համար ներմուծվել է պարտավորությունների բաշխման ընթացակարգ, որի համապատասխան անդամ պետությունների լիազորված մարմիններից ընտրված մարմինը (ռեֆերենտ մարմինը) անդամ պետությունների մնացած շահագրգիռ մարմինների անունից իրականացնում է փոփոխության փորձաքննություն: </w:t>
      </w:r>
    </w:p>
    <w:p w14:paraId="2FD8FD6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Որպես ռեֆերենտ մարմին հանդես է գալիս փորձագիտական կոմիտեի կողմից ընտրված լիազորված մարմինը՝ հաշվի առնելով հայտատուի առաջարկությունները:</w:t>
      </w:r>
    </w:p>
    <w:p w14:paraId="327F3C07"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Ընթացակարգի պլանավորմանը նպաստելու նպատակներով իրավատերերին խորհուրդ է տրվում փորձագիտական կոմիտեին </w:t>
      </w:r>
      <w:r w:rsidR="00C54D75">
        <w:rPr>
          <w:rFonts w:ascii="Sylfaen" w:hAnsi="Sylfaen"/>
          <w:sz w:val="24"/>
          <w:szCs w:val="24"/>
        </w:rPr>
        <w:t>և</w:t>
      </w:r>
      <w:r w:rsidRPr="00826F05">
        <w:rPr>
          <w:rFonts w:ascii="Sylfaen" w:hAnsi="Sylfaen"/>
          <w:sz w:val="24"/>
          <w:szCs w:val="24"/>
        </w:rPr>
        <w:t xml:space="preserve"> առաջարկվող ռեֆերենտ մարմնին նախօրոք ծանուցել պարտավորությունների բաշխման ընթացակարգի առարկան հանդիսացող փոփոխությունների կամ փոփոխությունների խմբի ներկայացման մասին։</w:t>
      </w:r>
    </w:p>
    <w:p w14:paraId="562EB4EE"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Պարտավորությունների բաշխման ընթացակարգն օգտագործելիս անհրաժեշտ է, որ մի</w:t>
      </w:r>
      <w:r w:rsidR="00C54D75">
        <w:rPr>
          <w:rFonts w:ascii="Sylfaen" w:hAnsi="Sylfaen"/>
          <w:sz w:val="24"/>
          <w:szCs w:val="24"/>
        </w:rPr>
        <w:t>և</w:t>
      </w:r>
      <w:r w:rsidRPr="00826F05">
        <w:rPr>
          <w:rFonts w:ascii="Sylfaen" w:hAnsi="Sylfaen"/>
          <w:sz w:val="24"/>
          <w:szCs w:val="24"/>
        </w:rPr>
        <w:t>նույն փոփոխությունը կիրառվի ուսումնասիրվող տարբեր դեղապատրաստուկների նկատմամբ՝ պատրաստուկի մասնահատուկ հնարավոր ազդեցության փորձաքննության անհրաժեշտության (կամ սահմանափակ անհրաժեշտության) բացակայությամբ: Հետ</w:t>
      </w:r>
      <w:r w:rsidR="00C54D75">
        <w:rPr>
          <w:rFonts w:ascii="Sylfaen" w:hAnsi="Sylfaen"/>
          <w:sz w:val="24"/>
          <w:szCs w:val="24"/>
        </w:rPr>
        <w:t>և</w:t>
      </w:r>
      <w:r w:rsidRPr="00826F05">
        <w:rPr>
          <w:rFonts w:ascii="Sylfaen" w:hAnsi="Sylfaen"/>
          <w:sz w:val="24"/>
          <w:szCs w:val="24"/>
        </w:rPr>
        <w:t>աբար, եթե տարբեր գրանցման դոսյեներում մի</w:t>
      </w:r>
      <w:r w:rsidR="00C54D75">
        <w:rPr>
          <w:rFonts w:ascii="Sylfaen" w:hAnsi="Sylfaen"/>
          <w:sz w:val="24"/>
          <w:szCs w:val="24"/>
        </w:rPr>
        <w:t>և</w:t>
      </w:r>
      <w:r w:rsidRPr="00826F05">
        <w:rPr>
          <w:rFonts w:ascii="Sylfaen" w:hAnsi="Sylfaen"/>
          <w:sz w:val="24"/>
          <w:szCs w:val="24"/>
        </w:rPr>
        <w:t>նույն փոփոխության համար անհատական օժանդակ տվյալների ներկայացում է պահանջվում՝ առանձին ուսումնասիրվող դեղապատրաստուկների կամ պատրաստուկի մասնահատուկ առանձին փորձաքննության մասով, նման փոփոխությունների համար պարտավորությունների բաշխումն անօգուտ է:</w:t>
      </w:r>
    </w:p>
    <w:p w14:paraId="58DFE6E0" w14:textId="77777777" w:rsidR="004F5982" w:rsidRPr="00826F05" w:rsidRDefault="004F5982" w:rsidP="00487007">
      <w:pPr>
        <w:tabs>
          <w:tab w:val="left" w:pos="1134"/>
        </w:tabs>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3.1.</w:t>
      </w:r>
      <w:r w:rsidRPr="00826F05">
        <w:rPr>
          <w:rFonts w:ascii="Sylfaen" w:hAnsi="Sylfaen"/>
          <w:sz w:val="24"/>
          <w:szCs w:val="24"/>
        </w:rPr>
        <w:tab/>
        <w:t>Պարտավորությունների բաշխման շրջանակներում փոփոխությունների մասին հայտի տրամադրումը:</w:t>
      </w:r>
    </w:p>
    <w:p w14:paraId="20A9061B"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Պարտավորությունների բաշխման համար ներկայացված փոփոխությունը կամ փոփոխությունների խումբն անհրաժեշտ է ուղարկել սույն Կանոնների 2.2-2.3 կետերին համապատասխան </w:t>
      </w:r>
      <w:r w:rsidR="00C54D75">
        <w:rPr>
          <w:rFonts w:ascii="Sylfaen" w:hAnsi="Sylfaen"/>
          <w:sz w:val="24"/>
          <w:szCs w:val="24"/>
        </w:rPr>
        <w:t>և</w:t>
      </w:r>
      <w:r w:rsidRPr="00826F05">
        <w:rPr>
          <w:rFonts w:ascii="Sylfaen" w:hAnsi="Sylfaen"/>
          <w:sz w:val="24"/>
          <w:szCs w:val="24"/>
        </w:rPr>
        <w:t xml:space="preserve"> տրամադրել որպես փաստաթղթերի միասնական փաթեթ, որն ընդգրկում է բոլոր դեղապատրաստուկների բոլոր փոփոխությունները: Այն պետք է ուսումնասիրվող յուրաքանչյուր դեղապատրաստուկի համար առանձին օժանդակ փաստաթղթերի հետ միասին </w:t>
      </w:r>
      <w:r w:rsidRPr="00B60DF2">
        <w:rPr>
          <w:rFonts w:ascii="Sylfaen" w:hAnsi="Sylfaen"/>
          <w:spacing w:val="-6"/>
          <w:sz w:val="24"/>
          <w:szCs w:val="24"/>
        </w:rPr>
        <w:t xml:space="preserve">պարունակի ուղեկցող նամակ </w:t>
      </w:r>
      <w:r w:rsidR="00C54D75">
        <w:rPr>
          <w:rFonts w:ascii="Sylfaen" w:hAnsi="Sylfaen"/>
          <w:spacing w:val="-6"/>
          <w:sz w:val="24"/>
          <w:szCs w:val="24"/>
        </w:rPr>
        <w:t>և</w:t>
      </w:r>
      <w:r w:rsidRPr="00B60DF2">
        <w:rPr>
          <w:rFonts w:ascii="Sylfaen" w:hAnsi="Sylfaen"/>
          <w:spacing w:val="-6"/>
          <w:sz w:val="24"/>
          <w:szCs w:val="24"/>
        </w:rPr>
        <w:t xml:space="preserve"> փոփոխություններ կատարելու մասին հայտ </w:t>
      </w:r>
      <w:r w:rsidR="00C54D75">
        <w:rPr>
          <w:rFonts w:ascii="Sylfaen" w:hAnsi="Sylfaen"/>
          <w:spacing w:val="-6"/>
          <w:sz w:val="24"/>
          <w:szCs w:val="24"/>
        </w:rPr>
        <w:t>և</w:t>
      </w:r>
      <w:r w:rsidRPr="00B60DF2">
        <w:rPr>
          <w:rFonts w:ascii="Sylfaen" w:hAnsi="Sylfaen"/>
          <w:spacing w:val="-6"/>
          <w:sz w:val="24"/>
          <w:szCs w:val="24"/>
        </w:rPr>
        <w:t xml:space="preserve"> ուսումնասիրվող յուրաքանչյուր դեղապատրաստուկի մասով՝ դեղապատրաստուկի վերաբերյալ վերանայված տեղեկատվություն</w:t>
      </w:r>
      <w:r w:rsidRPr="00826F05">
        <w:rPr>
          <w:rFonts w:ascii="Sylfaen" w:hAnsi="Sylfaen"/>
          <w:sz w:val="24"/>
          <w:szCs w:val="24"/>
        </w:rPr>
        <w:t xml:space="preserve"> (եթե կիրառելի է): Դա լիազորված մարմիններին թույլ կտա պարտավորությունների բաշխման ընթացակարգում ընդգրկված յուրաքանչյուր գրանցման դոսյեում ներառելու համապատասխան փոփոխված կամ նոր տեղեկատվություն:</w:t>
      </w:r>
    </w:p>
    <w:p w14:paraId="0F5BEE6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Պարտավորությունների բաշխման մասին հայտն անհրաժեշտ է ներկայացնել այն բոլոր անդամ պետություններ, որոնցում գրանցված են ուսումնասիրվող դեղապատրաստուկները:</w:t>
      </w:r>
    </w:p>
    <w:p w14:paraId="54D5F940" w14:textId="77777777" w:rsidR="004F5982" w:rsidRPr="00826F05" w:rsidRDefault="004F5982" w:rsidP="00487007">
      <w:pPr>
        <w:tabs>
          <w:tab w:val="left" w:pos="1134"/>
        </w:tabs>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3.2. </w:t>
      </w:r>
      <w:r w:rsidRPr="00826F05">
        <w:rPr>
          <w:rFonts w:ascii="Sylfaen" w:hAnsi="Sylfaen"/>
          <w:sz w:val="24"/>
          <w:szCs w:val="24"/>
        </w:rPr>
        <w:tab/>
        <w:t>Պարտավորությունները բաշխելիս անցկացվող փորձաքննությունը:</w:t>
      </w:r>
    </w:p>
    <w:p w14:paraId="2FC7F48D"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Հայտատուի կողմից Փորձագիտական կոմիտեին պարտավորությունների բաշխման առաջիկա ընթացակարգի մասին ծանուցելու դեպքում Փորձագիտական կոմիտեն, տվյալ ծանուցումը ստանալու պահից ոչ ուշ, քան 60 օրացուցային օրվա ընթացքում Փորձագիտական կոմիտեի նիստի ժամանակ նշանակում է ռեֆերենտ մարմին՝ հաշվի առնելով հայտատուի առաջարկությունը, </w:t>
      </w:r>
      <w:r w:rsidR="00C54D75">
        <w:rPr>
          <w:rFonts w:ascii="Sylfaen" w:hAnsi="Sylfaen"/>
          <w:sz w:val="24"/>
          <w:szCs w:val="24"/>
        </w:rPr>
        <w:t>և</w:t>
      </w:r>
      <w:r w:rsidRPr="00826F05">
        <w:rPr>
          <w:rFonts w:ascii="Sylfaen" w:hAnsi="Sylfaen"/>
          <w:sz w:val="24"/>
          <w:szCs w:val="24"/>
        </w:rPr>
        <w:t xml:space="preserve"> եթե դեղամիջոցների գրանցման կանոնների թիվ 19 հավելվածի 4.1.2 կետին համապատասխան կիրառելի է, այլ ռեֆերենտ մարմին՝ ռեֆերենտ մարմնին օժանդակելու նպատակով: Փորձագիտական մարմինը 10 աշխատանքային օրվա ընթացքում հայտատուին ծանուցում է այն որոշման մասին, թե որ ազգային լիազորված մարմինն է հանդես գալու որպես ռեֆերենտ մարմին:</w:t>
      </w:r>
    </w:p>
    <w:p w14:paraId="24FD991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Պարտավորությունների բաշխման մասին հայտը ստանալուց հետո ռեֆերենտ մարմինն այն մշակում է հետ</w:t>
      </w:r>
      <w:r w:rsidR="00C54D75">
        <w:rPr>
          <w:rFonts w:ascii="Sylfaen" w:hAnsi="Sylfaen"/>
          <w:sz w:val="24"/>
          <w:szCs w:val="24"/>
        </w:rPr>
        <w:t>և</w:t>
      </w:r>
      <w:r w:rsidRPr="00826F05">
        <w:rPr>
          <w:rFonts w:ascii="Sylfaen" w:hAnsi="Sylfaen"/>
          <w:sz w:val="24"/>
          <w:szCs w:val="24"/>
        </w:rPr>
        <w:t>յալ կերպ:</w:t>
      </w:r>
    </w:p>
    <w:p w14:paraId="2FE604D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Ռեֆերենտ մարմինը ճանաչում է պարտավորությունների բաշխման մասին վավեր հայտի ստացման փաստը: Վավեր հայտի ստացման փաստը ճանաչելուց անմիջապես հետո ռեֆերենտ մարմինը սկսում է ընթացակարգը: Ընթացակարգը սկսելու պահին իրավատերը </w:t>
      </w:r>
      <w:r w:rsidR="00C54D75">
        <w:rPr>
          <w:rFonts w:ascii="Sylfaen" w:hAnsi="Sylfaen"/>
          <w:sz w:val="24"/>
          <w:szCs w:val="24"/>
        </w:rPr>
        <w:t>և</w:t>
      </w:r>
      <w:r w:rsidRPr="00826F05">
        <w:rPr>
          <w:rFonts w:ascii="Sylfaen" w:hAnsi="Sylfaen"/>
          <w:sz w:val="24"/>
          <w:szCs w:val="24"/>
        </w:rPr>
        <w:t xml:space="preserve"> շահագրգիռ անդամ պետությունները կծանուցվեն ժամկետների մասին:</w:t>
      </w:r>
    </w:p>
    <w:p w14:paraId="2654292F"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B60DF2">
        <w:rPr>
          <w:rFonts w:ascii="Sylfaen" w:hAnsi="Sylfaen"/>
          <w:spacing w:val="-6"/>
          <w:sz w:val="24"/>
          <w:szCs w:val="24"/>
        </w:rPr>
        <w:t>Ըստ ընդհանուր կանոնի՝ պարտավորությունների բաշխման ընթացակարգերի ժամանակ փորձաքննությունն</w:t>
      </w:r>
      <w:r w:rsidRPr="00826F05">
        <w:rPr>
          <w:rFonts w:ascii="Sylfaen" w:hAnsi="Sylfaen"/>
          <w:sz w:val="24"/>
          <w:szCs w:val="24"/>
        </w:rPr>
        <w:t xml:space="preserve"> անցկացվում է 60 օրացուցային օրվա ընթացքում: Ռեֆերենտ մարմինն իրավունք ունի կրճատելու այդ ժամկետը՝ հաշվի առնելով հարցի հրատապությունը՝ հատկապես անվտանգության տեսակետից, կամ այն երկարաձգելու մինչ</w:t>
      </w:r>
      <w:r w:rsidR="00C54D75">
        <w:rPr>
          <w:rFonts w:ascii="Sylfaen" w:hAnsi="Sylfaen"/>
          <w:sz w:val="24"/>
          <w:szCs w:val="24"/>
        </w:rPr>
        <w:t>և</w:t>
      </w:r>
      <w:r w:rsidRPr="00826F05">
        <w:rPr>
          <w:rFonts w:ascii="Sylfaen" w:hAnsi="Sylfaen"/>
          <w:sz w:val="24"/>
          <w:szCs w:val="24"/>
        </w:rPr>
        <w:t xml:space="preserve"> 90 օրացուցային օր՝ կիրառման հաստատված ցուցումների ձ</w:t>
      </w:r>
      <w:r w:rsidR="00C54D75">
        <w:rPr>
          <w:rFonts w:ascii="Sylfaen" w:hAnsi="Sylfaen"/>
          <w:sz w:val="24"/>
          <w:szCs w:val="24"/>
        </w:rPr>
        <w:t>և</w:t>
      </w:r>
      <w:r w:rsidRPr="00826F05">
        <w:rPr>
          <w:rFonts w:ascii="Sylfaen" w:hAnsi="Sylfaen"/>
          <w:sz w:val="24"/>
          <w:szCs w:val="24"/>
        </w:rPr>
        <w:t>ափոխման կամ կիրառման նոր ցուցումների ներառման եղանակով կատարված փոփոխություններով կամ փոփոխությունների խմբով պայմանավորված՝ դեղամիջոցների գրանցման կանոնների թիվ 19 հավելվածի 1.7.2 ենթակետի չորրորդ պարբերությանը կամ 3.4.2 կետի չորրորդ</w:t>
      </w:r>
      <w:r w:rsidRPr="00B60DF2">
        <w:rPr>
          <w:rFonts w:ascii="Sylfaen" w:hAnsi="Sylfaen"/>
          <w:sz w:val="24"/>
          <w:szCs w:val="24"/>
        </w:rPr>
        <w:t> </w:t>
      </w:r>
      <w:r w:rsidRPr="00826F05">
        <w:rPr>
          <w:rFonts w:ascii="Sylfaen" w:hAnsi="Sylfaen"/>
          <w:sz w:val="24"/>
          <w:szCs w:val="24"/>
        </w:rPr>
        <w:t>պարբերությանը համապատասխան:</w:t>
      </w:r>
    </w:p>
    <w:p w14:paraId="05BCC6B2"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 xml:space="preserve">Ռեֆերենտ մարմինը, նշված ժամկետներին համապատասխան, եզրակացություն է պատրաստում </w:t>
      </w:r>
      <w:r w:rsidR="00C54D75">
        <w:rPr>
          <w:rFonts w:ascii="Sylfaen" w:hAnsi="Sylfaen"/>
          <w:sz w:val="24"/>
          <w:szCs w:val="24"/>
        </w:rPr>
        <w:t>և</w:t>
      </w:r>
      <w:r w:rsidRPr="00826F05">
        <w:rPr>
          <w:rFonts w:ascii="Sylfaen" w:hAnsi="Sylfaen"/>
          <w:sz w:val="24"/>
          <w:szCs w:val="24"/>
        </w:rPr>
        <w:t xml:space="preserve"> դրանք ուղարկում շահագրգիռ անդամ պետություններ՝ մեկնաբանություններ ստանալու, ինչպես նա</w:t>
      </w:r>
      <w:r w:rsidR="00C54D75">
        <w:rPr>
          <w:rFonts w:ascii="Sylfaen" w:hAnsi="Sylfaen"/>
          <w:sz w:val="24"/>
          <w:szCs w:val="24"/>
        </w:rPr>
        <w:t>և</w:t>
      </w:r>
      <w:r w:rsidRPr="00826F05">
        <w:rPr>
          <w:rFonts w:ascii="Sylfaen" w:hAnsi="Sylfaen"/>
          <w:sz w:val="24"/>
          <w:szCs w:val="24"/>
        </w:rPr>
        <w:t xml:space="preserve"> հայտատուին տեղեկացնելու նպատակով: Շահագրգիռ անդամ պետությունները նախատեսված ժամկետներում իրենց մեկնաբանություններն ուղարկում են ռեֆերենտ մարմին:</w:t>
      </w:r>
    </w:p>
    <w:p w14:paraId="361F4D3E"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t xml:space="preserve">Ռեֆերենտ մարմինն իրավունք ունի փորձաքննության ընթացքում դիմելու հայտատուին՝ լրացուցիչ տեղեկություններ ստանալու հարցմամբ։ Լրացուցիչ տեղեկություններ ստանալու հարցումը կուղարկվի հայտատուին՝ հարցված </w:t>
      </w:r>
      <w:r w:rsidRPr="00B60DF2">
        <w:rPr>
          <w:rFonts w:ascii="Sylfaen" w:hAnsi="Sylfaen"/>
          <w:spacing w:val="-6"/>
          <w:sz w:val="24"/>
          <w:szCs w:val="24"/>
        </w:rPr>
        <w:t>տվյալների՝ վերջինիս կողմից ներկայացման ժամկետի (մինչ</w:t>
      </w:r>
      <w:r w:rsidR="00C54D75">
        <w:rPr>
          <w:rFonts w:ascii="Sylfaen" w:hAnsi="Sylfaen"/>
          <w:spacing w:val="-6"/>
          <w:sz w:val="24"/>
          <w:szCs w:val="24"/>
        </w:rPr>
        <w:t>և</w:t>
      </w:r>
      <w:r w:rsidRPr="00B60DF2">
        <w:rPr>
          <w:rFonts w:ascii="Sylfaen" w:hAnsi="Sylfaen"/>
          <w:spacing w:val="-6"/>
          <w:sz w:val="24"/>
          <w:szCs w:val="24"/>
        </w:rPr>
        <w:t xml:space="preserve"> 90 օրացուցային օր)</w:t>
      </w:r>
      <w:r w:rsidRPr="00826F05">
        <w:rPr>
          <w:rFonts w:ascii="Sylfaen" w:hAnsi="Sylfaen"/>
          <w:sz w:val="24"/>
          <w:szCs w:val="24"/>
        </w:rPr>
        <w:t xml:space="preserve"> </w:t>
      </w:r>
      <w:r w:rsidR="00C54D75">
        <w:rPr>
          <w:rFonts w:ascii="Sylfaen" w:hAnsi="Sylfaen"/>
          <w:sz w:val="24"/>
          <w:szCs w:val="24"/>
        </w:rPr>
        <w:t>և</w:t>
      </w:r>
      <w:r w:rsidRPr="00826F05">
        <w:rPr>
          <w:rFonts w:ascii="Sylfaen" w:hAnsi="Sylfaen"/>
          <w:sz w:val="24"/>
          <w:szCs w:val="24"/>
        </w:rPr>
        <w:t xml:space="preserve"> անհրաժեշտության դեպքում՝ փորձաքննության ժամկետի երկարաձգման նշումով:</w:t>
      </w:r>
    </w:p>
    <w:p w14:paraId="69E30E4D"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Ընթացակարգը դադարեցվում է մինչ</w:t>
      </w:r>
      <w:r w:rsidR="00C54D75">
        <w:rPr>
          <w:rFonts w:ascii="Sylfaen" w:hAnsi="Sylfaen"/>
          <w:sz w:val="24"/>
          <w:szCs w:val="24"/>
        </w:rPr>
        <w:t>և</w:t>
      </w:r>
      <w:r w:rsidRPr="00826F05">
        <w:rPr>
          <w:rFonts w:ascii="Sylfaen" w:hAnsi="Sylfaen"/>
          <w:sz w:val="24"/>
          <w:szCs w:val="24"/>
        </w:rPr>
        <w:t xml:space="preserve"> լրացուցիչ տեղեկություններ ստանալը: Ստացված տվյալների փորձաքննությունը կարող է տ</w:t>
      </w:r>
      <w:r w:rsidR="00C54D75">
        <w:rPr>
          <w:rFonts w:ascii="Sylfaen" w:hAnsi="Sylfaen"/>
          <w:sz w:val="24"/>
          <w:szCs w:val="24"/>
        </w:rPr>
        <w:t>և</w:t>
      </w:r>
      <w:r w:rsidRPr="00826F05">
        <w:rPr>
          <w:rFonts w:ascii="Sylfaen" w:hAnsi="Sylfaen"/>
          <w:sz w:val="24"/>
          <w:szCs w:val="24"/>
        </w:rPr>
        <w:t>ել մինչ</w:t>
      </w:r>
      <w:r w:rsidR="00C54D75">
        <w:rPr>
          <w:rFonts w:ascii="Sylfaen" w:hAnsi="Sylfaen"/>
          <w:sz w:val="24"/>
          <w:szCs w:val="24"/>
        </w:rPr>
        <w:t>և</w:t>
      </w:r>
      <w:r w:rsidRPr="00826F05">
        <w:rPr>
          <w:rFonts w:ascii="Sylfaen" w:hAnsi="Sylfaen"/>
          <w:sz w:val="24"/>
          <w:szCs w:val="24"/>
        </w:rPr>
        <w:t xml:space="preserve"> 30 կամ 60 օրացուցային օր՝ կախված հայտատուից հարցված տվյալների բարդությունից </w:t>
      </w:r>
      <w:r w:rsidR="00C54D75">
        <w:rPr>
          <w:rFonts w:ascii="Sylfaen" w:hAnsi="Sylfaen"/>
          <w:sz w:val="24"/>
          <w:szCs w:val="24"/>
        </w:rPr>
        <w:t>և</w:t>
      </w:r>
      <w:r w:rsidRPr="00826F05">
        <w:rPr>
          <w:rFonts w:ascii="Sylfaen" w:hAnsi="Sylfaen"/>
          <w:sz w:val="24"/>
          <w:szCs w:val="24"/>
        </w:rPr>
        <w:t xml:space="preserve"> ծավալից:</w:t>
      </w:r>
    </w:p>
    <w:p w14:paraId="46A88474"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Հայտատուի պատասխանը ստանալուց հետո ռեֆերենտ մարմինն ավարտում</w:t>
      </w:r>
      <w:r w:rsidRPr="00B60DF2">
        <w:rPr>
          <w:rFonts w:ascii="Sylfaen" w:hAnsi="Sylfaen"/>
          <w:sz w:val="24"/>
          <w:szCs w:val="24"/>
        </w:rPr>
        <w:t> </w:t>
      </w:r>
      <w:r w:rsidRPr="00826F05">
        <w:rPr>
          <w:rFonts w:ascii="Sylfaen" w:hAnsi="Sylfaen"/>
          <w:sz w:val="24"/>
          <w:szCs w:val="24"/>
        </w:rPr>
        <w:t xml:space="preserve">է փորձագիտական հաշվետվության </w:t>
      </w:r>
      <w:r w:rsidR="00C54D75">
        <w:rPr>
          <w:rFonts w:ascii="Sylfaen" w:hAnsi="Sylfaen"/>
          <w:sz w:val="24"/>
          <w:szCs w:val="24"/>
        </w:rPr>
        <w:t>և</w:t>
      </w:r>
      <w:r w:rsidRPr="00826F05">
        <w:rPr>
          <w:rFonts w:ascii="Sylfaen" w:hAnsi="Sylfaen"/>
          <w:sz w:val="24"/>
          <w:szCs w:val="24"/>
        </w:rPr>
        <w:t xml:space="preserve"> հայտի վերաբերյալ որոշման նախագծի նախապատրաստումը </w:t>
      </w:r>
      <w:r w:rsidR="00C54D75">
        <w:rPr>
          <w:rFonts w:ascii="Sylfaen" w:hAnsi="Sylfaen"/>
          <w:sz w:val="24"/>
          <w:szCs w:val="24"/>
        </w:rPr>
        <w:t>և</w:t>
      </w:r>
      <w:r w:rsidRPr="00826F05">
        <w:rPr>
          <w:rFonts w:ascii="Sylfaen" w:hAnsi="Sylfaen"/>
          <w:sz w:val="24"/>
          <w:szCs w:val="24"/>
        </w:rPr>
        <w:t xml:space="preserve"> դրանք ուղարկում շահագրգիռ անդամ պետություններ՝ մեկնաբանություններ ստանալու, ինչպես նա</w:t>
      </w:r>
      <w:r w:rsidR="00C54D75">
        <w:rPr>
          <w:rFonts w:ascii="Sylfaen" w:hAnsi="Sylfaen"/>
          <w:sz w:val="24"/>
          <w:szCs w:val="24"/>
        </w:rPr>
        <w:t>և</w:t>
      </w:r>
      <w:r w:rsidRPr="00826F05">
        <w:rPr>
          <w:rFonts w:ascii="Sylfaen" w:hAnsi="Sylfaen"/>
          <w:sz w:val="24"/>
          <w:szCs w:val="24"/>
        </w:rPr>
        <w:t xml:space="preserve"> հայտատուին տեղեկացնելու նպատակով: </w:t>
      </w:r>
    </w:p>
    <w:p w14:paraId="49EE1FDF" w14:textId="77777777" w:rsidR="004F5982" w:rsidRPr="00826F05" w:rsidRDefault="004F5982" w:rsidP="00487007">
      <w:pPr>
        <w:tabs>
          <w:tab w:val="left" w:pos="1134"/>
        </w:tabs>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3.3.</w:t>
      </w:r>
      <w:r w:rsidRPr="00826F05">
        <w:rPr>
          <w:rFonts w:ascii="Sylfaen" w:hAnsi="Sylfaen"/>
          <w:sz w:val="24"/>
          <w:szCs w:val="24"/>
        </w:rPr>
        <w:tab/>
        <w:t>Պարտավորությունները բաշխելիս անցկացվող փորձաքննությունն ավարտելը:</w:t>
      </w:r>
    </w:p>
    <w:p w14:paraId="4F497DA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Փորձաքննության ժամկետի ավարտին ռեֆերենտ մարմինը հայտի վերաբերյալ եզրակացություն է տալիս </w:t>
      </w:r>
      <w:r w:rsidR="00C54D75">
        <w:rPr>
          <w:rFonts w:ascii="Sylfaen" w:hAnsi="Sylfaen"/>
          <w:sz w:val="24"/>
          <w:szCs w:val="24"/>
        </w:rPr>
        <w:t>և</w:t>
      </w:r>
      <w:r w:rsidRPr="00826F05">
        <w:rPr>
          <w:rFonts w:ascii="Sylfaen" w:hAnsi="Sylfaen"/>
          <w:sz w:val="24"/>
          <w:szCs w:val="24"/>
        </w:rPr>
        <w:t xml:space="preserve"> ծանուցում է շահագրգիռ անդամ պետություններին ու հայտատուին:</w:t>
      </w:r>
    </w:p>
    <w:p w14:paraId="51669974"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Դրական եզրակացության դեպքում չհաստատված փոփոխությունների ցանկն անհրաժեշտ է առդնել եզրակացությանը (եթե կիրառելի է): Փոփոխությունները կարող են հաստատվել միայն ուսումնասիրվող մի քանի դեղապատրաստուկների մասով: Բացասական եզրակացության դեպքում անհրաժեշտ է նշել հիմքերը:</w:t>
      </w:r>
    </w:p>
    <w:p w14:paraId="6819E7E8"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Եզրակացությունը ստանալուց հետո՝ 30 օրացուցային օրվա ընթացքում, շահագրգիռ անդամ պետությունները ճանաչում են որոշումը </w:t>
      </w:r>
      <w:r w:rsidR="00C54D75">
        <w:rPr>
          <w:rFonts w:ascii="Sylfaen" w:hAnsi="Sylfaen"/>
          <w:sz w:val="24"/>
          <w:szCs w:val="24"/>
        </w:rPr>
        <w:t>և</w:t>
      </w:r>
      <w:r w:rsidRPr="00826F05">
        <w:rPr>
          <w:rFonts w:ascii="Sylfaen" w:hAnsi="Sylfaen"/>
          <w:sz w:val="24"/>
          <w:szCs w:val="24"/>
        </w:rPr>
        <w:t xml:space="preserve"> այդ մասին ծանուցում են ռեֆերենտ մարմնին, եթե միայն չի հայտնաբերվել մարդու առողջության համար հնարավոր լուրջ ռիսկ, որն անդամ պետությանը թույլ չի տա ճանաչել ռեֆերենտ մարմնի եզրակացությունը: Ռեֆերենտ մարմնի եզրակացությունը ստանալու օրվանից 30 օրացուցային օրվա ընթացքում այդպիսի հնարավոր լուրջ ռիսկը հայտնաբերող անդամ պետությունը պետք է ռեֆերենտ մարմնին ծանուցի </w:t>
      </w:r>
      <w:r w:rsidR="00C54D75">
        <w:rPr>
          <w:rFonts w:ascii="Sylfaen" w:hAnsi="Sylfaen"/>
          <w:sz w:val="24"/>
          <w:szCs w:val="24"/>
        </w:rPr>
        <w:t>և</w:t>
      </w:r>
      <w:r w:rsidRPr="00826F05">
        <w:rPr>
          <w:rFonts w:ascii="Sylfaen" w:hAnsi="Sylfaen"/>
          <w:sz w:val="24"/>
          <w:szCs w:val="24"/>
        </w:rPr>
        <w:t xml:space="preserve"> նշի իր դիրքորոշման մանրամասն պատճառները:</w:t>
      </w:r>
    </w:p>
    <w:p w14:paraId="44E29748"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Այնուհետ</w:t>
      </w:r>
      <w:r w:rsidR="00C54D75">
        <w:rPr>
          <w:rFonts w:ascii="Sylfaen" w:hAnsi="Sylfaen"/>
          <w:sz w:val="24"/>
          <w:szCs w:val="24"/>
        </w:rPr>
        <w:t>և</w:t>
      </w:r>
      <w:r w:rsidRPr="00826F05">
        <w:rPr>
          <w:rFonts w:ascii="Sylfaen" w:hAnsi="Sylfaen"/>
          <w:sz w:val="24"/>
          <w:szCs w:val="24"/>
        </w:rPr>
        <w:t xml:space="preserve"> ռեֆերենտ մարմինն անհամաձայնության մասին հայտ է ուղարկում Փորձագիտական կոմիտե </w:t>
      </w:r>
      <w:r w:rsidR="00C54D75">
        <w:rPr>
          <w:rFonts w:ascii="Sylfaen" w:hAnsi="Sylfaen"/>
          <w:sz w:val="24"/>
          <w:szCs w:val="24"/>
        </w:rPr>
        <w:t>և</w:t>
      </w:r>
      <w:r w:rsidRPr="00826F05">
        <w:rPr>
          <w:rFonts w:ascii="Sylfaen" w:hAnsi="Sylfaen"/>
          <w:sz w:val="24"/>
          <w:szCs w:val="24"/>
        </w:rPr>
        <w:t xml:space="preserve"> այդ մասին ծանուցում է հայտատուին </w:t>
      </w:r>
      <w:r w:rsidR="00C54D75">
        <w:rPr>
          <w:rFonts w:ascii="Sylfaen" w:hAnsi="Sylfaen"/>
          <w:sz w:val="24"/>
          <w:szCs w:val="24"/>
        </w:rPr>
        <w:t>և</w:t>
      </w:r>
      <w:r w:rsidRPr="00826F05">
        <w:rPr>
          <w:rFonts w:ascii="Sylfaen" w:hAnsi="Sylfaen"/>
          <w:sz w:val="24"/>
          <w:szCs w:val="24"/>
        </w:rPr>
        <w:t xml:space="preserve"> շահագրգիռ անդամ պետություններին:</w:t>
      </w:r>
    </w:p>
    <w:p w14:paraId="43D2837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Փորձագիտական կոմիտե դիմելիս պարտավորությունների բաշխման վերաբերյալ հայտի ուսումնասիրության ընթացակարգը դադարեցվում է մինչ</w:t>
      </w:r>
      <w:r w:rsidR="00C54D75">
        <w:rPr>
          <w:rFonts w:ascii="Sylfaen" w:hAnsi="Sylfaen"/>
          <w:sz w:val="24"/>
          <w:szCs w:val="24"/>
        </w:rPr>
        <w:t>և</w:t>
      </w:r>
      <w:r w:rsidRPr="00826F05">
        <w:rPr>
          <w:rFonts w:ascii="Sylfaen" w:hAnsi="Sylfaen"/>
          <w:sz w:val="24"/>
          <w:szCs w:val="24"/>
        </w:rPr>
        <w:t xml:space="preserve"> Փորձագիտական կոմիտեի կողմից որոշում ընդունվելը:</w:t>
      </w:r>
    </w:p>
    <w:p w14:paraId="7E0B468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Դեղապատրաստուկի ընդհանուր բնութագրում, մականշվածքում կամ ներդիր-թերթիկում կատարված փոփոխությունների մասին դրական որոշման մասին տեղեկացնելուց հետո իրավատերը պետք է 7 աշխատանքային օրվա ընթացքում դեղապատրաստուկի մասին փաստաթղթերը ներկայացնի բոլոր շահագրգիռ անդամ պետություններ:</w:t>
      </w:r>
    </w:p>
    <w:p w14:paraId="119E5788"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Եզրակացությունը հաստատելուց հետո կամ Փորձագիտական կոմիտե դիմելու նախաձեռնության դեպքում Փորձագիտական կոմիտեի համաձայնության մասին ծանուցումը հաստատելուց հետո՝ 30 օրացուցային օրվա ընթացքում, շահագրգիռ անդամ պետությունները համապատասխան եղանակով ուղղում են գրանցման դոսյեն՝ գրանցման դոսյեի փոփոխության համար անհրաժեշտ փաստաթղթերը շահագրգիռ անդամ պետություններ ներկայացնելու պայմանով:</w:t>
      </w:r>
    </w:p>
    <w:p w14:paraId="0290BAD3"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Պարտավորությունների բաշխման ընթացակարգի շրջանակներում հաստատված IB տիպի ոչ էական փոփոխությունները թույլ է տրվում իրականացնել ռեֆերենտ մարմնի դրական եզրակացությունը ստանալուց հետո:</w:t>
      </w:r>
    </w:p>
    <w:p w14:paraId="055BEFE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Դեղամիջոցների գրանցման կանոնների թիվ 19 հավելվածի 1.6 կետի համաձայն՝ դեղապատրաստուկի մասին տեղեկատվության վերանայման հանգեցնող ցանկացած փոփոխություն թույլատրվում է իրականացնել գրանցման դոսյեի մեջ փոփոխությունները կատարելուց հետո:</w:t>
      </w:r>
    </w:p>
    <w:p w14:paraId="330EE35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Ընդունված II տիպի էական փոփոխությունը (ներառյալ՝ IB տիպի ոչ էական փոփոխությունների խումբ պարունակող) թույլատրվում է իրականացնել ռեֆերենտ մարմնի կողմից փոփոխությունն ընդունվելու մասին հայտատուին </w:t>
      </w:r>
      <w:r w:rsidRPr="00826F05">
        <w:rPr>
          <w:rFonts w:ascii="Sylfaen" w:hAnsi="Sylfaen"/>
          <w:sz w:val="24"/>
          <w:szCs w:val="24"/>
        </w:rPr>
        <w:lastRenderedPageBreak/>
        <w:t>ծանուցելու օրվանից հետո՝ 30 օրացուցային օրվա ընթացքում՝ գրանցման դոսյեների փոփոխության համար անհրաժեշտ փաստաթղթերը շահագրգիռ անդամ պետություններ ներկայացնելու պայմանով: Եթե հայտը Փորձագիտական</w:t>
      </w:r>
      <w:r w:rsidRPr="00B60DF2">
        <w:rPr>
          <w:rFonts w:ascii="Sylfaen" w:hAnsi="Sylfaen"/>
          <w:sz w:val="24"/>
          <w:szCs w:val="24"/>
        </w:rPr>
        <w:t> </w:t>
      </w:r>
      <w:r w:rsidRPr="00826F05">
        <w:rPr>
          <w:rFonts w:ascii="Sylfaen" w:hAnsi="Sylfaen"/>
          <w:sz w:val="24"/>
          <w:szCs w:val="24"/>
        </w:rPr>
        <w:t>կոմիտե դիմելու առարկա է եղել, չի թույլատրվում փոփոխությունն իրականացնել մինչ</w:t>
      </w:r>
      <w:r w:rsidR="00C54D75">
        <w:rPr>
          <w:rFonts w:ascii="Sylfaen" w:hAnsi="Sylfaen"/>
          <w:sz w:val="24"/>
          <w:szCs w:val="24"/>
        </w:rPr>
        <w:t>և</w:t>
      </w:r>
      <w:r w:rsidRPr="00826F05">
        <w:rPr>
          <w:rFonts w:ascii="Sylfaen" w:hAnsi="Sylfaen"/>
          <w:sz w:val="24"/>
          <w:szCs w:val="24"/>
        </w:rPr>
        <w:t xml:space="preserve"> փոփոխության ընդունման մասին Փորձագիտական կոմիտեի եզրակացությունն ստանալը:</w:t>
      </w:r>
    </w:p>
    <w:p w14:paraId="5D350F9C" w14:textId="77777777" w:rsidR="004F5982" w:rsidRPr="002618FA" w:rsidRDefault="004F5982" w:rsidP="00487007">
      <w:pPr>
        <w:spacing w:after="160" w:line="360" w:lineRule="auto"/>
        <w:ind w:firstLine="567"/>
        <w:jc w:val="both"/>
        <w:rPr>
          <w:rFonts w:ascii="Sylfaen" w:hAnsi="Sylfaen"/>
          <w:sz w:val="24"/>
          <w:szCs w:val="24"/>
        </w:rPr>
      </w:pPr>
      <w:r>
        <w:rPr>
          <w:rFonts w:ascii="Sylfaen" w:hAnsi="Sylfaen"/>
          <w:sz w:val="24"/>
          <w:szCs w:val="24"/>
        </w:rPr>
        <w:t>Ա</w:t>
      </w:r>
      <w:r w:rsidRPr="00826F05">
        <w:rPr>
          <w:rFonts w:ascii="Sylfaen" w:hAnsi="Sylfaen"/>
          <w:sz w:val="24"/>
          <w:szCs w:val="24"/>
        </w:rPr>
        <w:t xml:space="preserve">նվտանգության հարցերին առնչվող փոփոխություններն անհրաժեշտ է իրականացնել ռեֆերենտ պետության լիազորված մարմնի </w:t>
      </w:r>
      <w:r w:rsidR="00C54D75">
        <w:rPr>
          <w:rFonts w:ascii="Sylfaen" w:hAnsi="Sylfaen"/>
          <w:sz w:val="24"/>
          <w:szCs w:val="24"/>
        </w:rPr>
        <w:t>և</w:t>
      </w:r>
      <w:r w:rsidRPr="00826F05">
        <w:rPr>
          <w:rFonts w:ascii="Sylfaen" w:hAnsi="Sylfaen"/>
          <w:sz w:val="24"/>
          <w:szCs w:val="24"/>
        </w:rPr>
        <w:t xml:space="preserve"> իրավատիրոջ միջ</w:t>
      </w:r>
      <w:r w:rsidR="00C54D75">
        <w:rPr>
          <w:rFonts w:ascii="Sylfaen" w:hAnsi="Sylfaen"/>
          <w:sz w:val="24"/>
          <w:szCs w:val="24"/>
        </w:rPr>
        <w:t>և</w:t>
      </w:r>
      <w:r w:rsidRPr="00826F05">
        <w:rPr>
          <w:rFonts w:ascii="Sylfaen" w:hAnsi="Sylfaen"/>
          <w:sz w:val="24"/>
          <w:szCs w:val="24"/>
        </w:rPr>
        <w:t xml:space="preserve"> համաձայնեցված ժամկետի ընթացքում:</w:t>
      </w:r>
    </w:p>
    <w:p w14:paraId="57A4C466" w14:textId="77777777" w:rsidR="00487007" w:rsidRPr="00E74ADC" w:rsidRDefault="00487007" w:rsidP="004F5982">
      <w:pPr>
        <w:spacing w:after="160" w:line="360" w:lineRule="auto"/>
        <w:ind w:firstLine="567"/>
        <w:jc w:val="both"/>
        <w:rPr>
          <w:rFonts w:ascii="Sylfaen" w:eastAsia="Times New Roman" w:hAnsi="Sylfaen" w:cs="Times New Roman"/>
          <w:sz w:val="24"/>
          <w:szCs w:val="24"/>
        </w:rPr>
      </w:pPr>
    </w:p>
    <w:p w14:paraId="670F74CA" w14:textId="77777777" w:rsidR="00487007" w:rsidRDefault="00487007" w:rsidP="004F5982">
      <w:pPr>
        <w:spacing w:after="160" w:line="360" w:lineRule="auto"/>
        <w:ind w:left="3969" w:right="-2"/>
        <w:jc w:val="center"/>
        <w:rPr>
          <w:rFonts w:ascii="Sylfaen" w:hAnsi="Sylfaen"/>
          <w:sz w:val="24"/>
          <w:szCs w:val="24"/>
        </w:rPr>
        <w:sectPr w:rsidR="00487007" w:rsidSect="00F8005E">
          <w:pgSz w:w="11906" w:h="16838" w:code="9"/>
          <w:pgMar w:top="1418" w:right="1418" w:bottom="1418" w:left="1418" w:header="709" w:footer="709" w:gutter="0"/>
          <w:pgNumType w:start="1"/>
          <w:cols w:space="708"/>
          <w:titlePg/>
          <w:docGrid w:linePitch="360"/>
        </w:sectPr>
      </w:pPr>
    </w:p>
    <w:p w14:paraId="57004D43" w14:textId="77777777" w:rsidR="004F5982" w:rsidRPr="00826F05" w:rsidRDefault="004F5982" w:rsidP="004F5982">
      <w:pPr>
        <w:spacing w:after="160" w:line="360" w:lineRule="auto"/>
        <w:ind w:left="3969" w:right="-2"/>
        <w:jc w:val="center"/>
        <w:rPr>
          <w:rFonts w:ascii="Sylfaen" w:eastAsia="Times New Roman" w:hAnsi="Sylfaen" w:cs="Times New Roman"/>
          <w:sz w:val="24"/>
          <w:szCs w:val="24"/>
        </w:rPr>
      </w:pPr>
      <w:r w:rsidRPr="00826F05">
        <w:rPr>
          <w:rFonts w:ascii="Sylfaen" w:hAnsi="Sylfaen"/>
          <w:sz w:val="24"/>
          <w:szCs w:val="24"/>
        </w:rPr>
        <w:lastRenderedPageBreak/>
        <w:t>ՀԱՎԵԼՎԱԾ ԹԻՎ 21</w:t>
      </w:r>
    </w:p>
    <w:p w14:paraId="41A0E20D" w14:textId="77777777" w:rsidR="004F5982" w:rsidRPr="00826F05" w:rsidRDefault="004F5982" w:rsidP="004F5982">
      <w:pPr>
        <w:spacing w:after="160" w:line="360" w:lineRule="auto"/>
        <w:ind w:left="3969" w:right="-2" w:firstLine="4"/>
        <w:jc w:val="center"/>
        <w:rPr>
          <w:rFonts w:ascii="Sylfaen" w:eastAsia="Times New Roman" w:hAnsi="Sylfaen" w:cs="Times New Roman"/>
          <w:sz w:val="24"/>
          <w:szCs w:val="24"/>
        </w:rPr>
      </w:pPr>
      <w:r w:rsidRPr="00826F05">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w:t>
      </w:r>
    </w:p>
    <w:p w14:paraId="540CD6FA" w14:textId="77777777" w:rsidR="004F5982" w:rsidRPr="00826F05" w:rsidRDefault="004F5982" w:rsidP="004F5982">
      <w:pPr>
        <w:spacing w:after="160" w:line="360" w:lineRule="auto"/>
        <w:ind w:left="5245"/>
        <w:jc w:val="both"/>
        <w:rPr>
          <w:rFonts w:ascii="Sylfaen" w:hAnsi="Sylfaen"/>
          <w:sz w:val="24"/>
          <w:szCs w:val="24"/>
        </w:rPr>
      </w:pPr>
    </w:p>
    <w:p w14:paraId="0BA00EE3" w14:textId="77777777" w:rsidR="004F5982" w:rsidRPr="00487007" w:rsidRDefault="004F5982" w:rsidP="004F5982">
      <w:pPr>
        <w:spacing w:after="160" w:line="360" w:lineRule="auto"/>
        <w:ind w:left="567" w:right="565"/>
        <w:jc w:val="center"/>
        <w:rPr>
          <w:rFonts w:ascii="Sylfaen" w:eastAsia="Times New Roman" w:hAnsi="Sylfaen" w:cs="Times New Roman"/>
          <w:b/>
          <w:sz w:val="24"/>
          <w:szCs w:val="24"/>
        </w:rPr>
      </w:pPr>
      <w:r w:rsidRPr="00487007">
        <w:rPr>
          <w:rFonts w:ascii="Sylfaen" w:hAnsi="Sylfaen"/>
          <w:b/>
          <w:sz w:val="24"/>
          <w:szCs w:val="24"/>
        </w:rPr>
        <w:t>Ձ</w:t>
      </w:r>
      <w:r w:rsidR="00C54D75">
        <w:rPr>
          <w:rFonts w:ascii="Sylfaen" w:hAnsi="Sylfaen"/>
          <w:b/>
          <w:sz w:val="24"/>
          <w:szCs w:val="24"/>
        </w:rPr>
        <w:t>և</w:t>
      </w:r>
    </w:p>
    <w:p w14:paraId="1667DAAE" w14:textId="77777777" w:rsidR="004F5982" w:rsidRPr="00826F05" w:rsidRDefault="004F5982" w:rsidP="004F5982">
      <w:pPr>
        <w:spacing w:after="160" w:line="360" w:lineRule="auto"/>
        <w:ind w:left="567" w:right="565"/>
        <w:jc w:val="center"/>
        <w:rPr>
          <w:rFonts w:ascii="Sylfaen" w:eastAsia="Times New Roman" w:hAnsi="Sylfaen" w:cs="Times New Roman"/>
          <w:sz w:val="24"/>
          <w:szCs w:val="24"/>
        </w:rPr>
      </w:pPr>
      <w:r w:rsidRPr="00826F05">
        <w:rPr>
          <w:rFonts w:ascii="Sylfaen" w:hAnsi="Sylfaen"/>
          <w:b/>
          <w:sz w:val="24"/>
          <w:szCs w:val="24"/>
        </w:rPr>
        <w:t>I տիպի փոփոխությունների կատարման գնահատման վերաբերյալ եզրակացության</w:t>
      </w:r>
    </w:p>
    <w:p w14:paraId="293D123D" w14:textId="77777777" w:rsidR="004F5982" w:rsidRPr="00826F05" w:rsidRDefault="004F5982" w:rsidP="004F5982">
      <w:pPr>
        <w:spacing w:after="160" w:line="360" w:lineRule="auto"/>
        <w:jc w:val="both"/>
        <w:rPr>
          <w:rFonts w:ascii="Sylfaen" w:hAnsi="Sylfaen"/>
          <w:sz w:val="24"/>
          <w:szCs w:val="24"/>
        </w:rPr>
      </w:pPr>
    </w:p>
    <w:p w14:paraId="26F17D83" w14:textId="77777777" w:rsidR="004F5982" w:rsidRPr="00826F05" w:rsidRDefault="004F5982" w:rsidP="004F5982">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Լրացման ցուցումներ՝ տեքստի պատրաստի ձ</w:t>
      </w:r>
      <w:r w:rsidR="00C54D75">
        <w:rPr>
          <w:rFonts w:ascii="Sylfaen" w:hAnsi="Sylfaen"/>
          <w:sz w:val="24"/>
          <w:szCs w:val="24"/>
        </w:rPr>
        <w:t>և</w:t>
      </w:r>
      <w:r w:rsidRPr="00826F05">
        <w:rPr>
          <w:rFonts w:ascii="Sylfaen" w:hAnsi="Sylfaen"/>
          <w:sz w:val="24"/>
          <w:szCs w:val="24"/>
        </w:rPr>
        <w:t>անմուշներ օգտագործելիս. դրանք սույն ձ</w:t>
      </w:r>
      <w:r w:rsidR="00C54D75">
        <w:rPr>
          <w:rFonts w:ascii="Sylfaen" w:hAnsi="Sylfaen"/>
          <w:sz w:val="24"/>
          <w:szCs w:val="24"/>
        </w:rPr>
        <w:t>և</w:t>
      </w:r>
      <w:r w:rsidRPr="00826F05">
        <w:rPr>
          <w:rFonts w:ascii="Sylfaen" w:hAnsi="Sylfaen"/>
          <w:sz w:val="24"/>
          <w:szCs w:val="24"/>
        </w:rPr>
        <w:t xml:space="preserve">ում առանձնացված են &lt; &gt; նշաններով </w:t>
      </w:r>
      <w:r w:rsidR="00C54D75">
        <w:rPr>
          <w:rFonts w:ascii="Sylfaen" w:hAnsi="Sylfaen"/>
          <w:sz w:val="24"/>
          <w:szCs w:val="24"/>
        </w:rPr>
        <w:t>և</w:t>
      </w:r>
      <w:r w:rsidRPr="00826F05">
        <w:rPr>
          <w:rFonts w:ascii="Sylfaen" w:hAnsi="Sylfaen"/>
          <w:sz w:val="24"/>
          <w:szCs w:val="24"/>
        </w:rPr>
        <w:t xml:space="preserve"> շեղատառերով. տեքստի ձ</w:t>
      </w:r>
      <w:r w:rsidR="00C54D75">
        <w:rPr>
          <w:rFonts w:ascii="Sylfaen" w:hAnsi="Sylfaen"/>
          <w:sz w:val="24"/>
          <w:szCs w:val="24"/>
        </w:rPr>
        <w:t>և</w:t>
      </w:r>
      <w:r w:rsidRPr="00826F05">
        <w:rPr>
          <w:rFonts w:ascii="Sylfaen" w:hAnsi="Sylfaen"/>
          <w:sz w:val="24"/>
          <w:szCs w:val="24"/>
        </w:rPr>
        <w:t>անմուշների այն հատվածները, որոնք լրացվում են տեքստի որոշակի տարբերակների՝ ըստ նշված հատկության (պարամետրի) ներմուծման միջոցով, բերված են ձ</w:t>
      </w:r>
      <w:r w:rsidR="00C54D75">
        <w:rPr>
          <w:rFonts w:ascii="Sylfaen" w:hAnsi="Sylfaen"/>
          <w:sz w:val="24"/>
          <w:szCs w:val="24"/>
        </w:rPr>
        <w:t>և</w:t>
      </w:r>
      <w:r w:rsidRPr="00826F05">
        <w:rPr>
          <w:rFonts w:ascii="Sylfaen" w:hAnsi="Sylfaen"/>
          <w:sz w:val="24"/>
          <w:szCs w:val="24"/>
        </w:rPr>
        <w:t>ավոր փակագծերի մեջ { }՝ նշելով այն հատկությունը (պարամետրը), որն անհրաժեշտ է ներմուծել շեղատառերով, բացատրությունները տրված են շեղատառերով՝ քառակուսի փակագծերում [ ]։</w:t>
      </w:r>
    </w:p>
    <w:p w14:paraId="1968CBC8" w14:textId="77777777" w:rsidR="004F5982" w:rsidRPr="00826F05" w:rsidRDefault="004F5982" w:rsidP="004F5982">
      <w:pPr>
        <w:spacing w:after="160" w:line="360" w:lineRule="auto"/>
        <w:jc w:val="both"/>
        <w:rPr>
          <w:rFonts w:ascii="Sylfaen" w:hAnsi="Sylfaen"/>
          <w:sz w:val="24"/>
          <w:szCs w:val="24"/>
        </w:rPr>
      </w:pPr>
    </w:p>
    <w:p w14:paraId="645E6C2E" w14:textId="77777777" w:rsidR="004F5982" w:rsidRPr="00826F05" w:rsidRDefault="004F5982" w:rsidP="004F5982">
      <w:pPr>
        <w:spacing w:after="160" w:line="360" w:lineRule="auto"/>
        <w:ind w:left="2124" w:right="156" w:hanging="2124"/>
        <w:jc w:val="right"/>
        <w:rPr>
          <w:rFonts w:ascii="Sylfaen" w:eastAsia="Times New Roman" w:hAnsi="Sylfaen" w:cs="Times New Roman"/>
          <w:sz w:val="24"/>
          <w:szCs w:val="24"/>
        </w:rPr>
      </w:pPr>
      <w:r w:rsidRPr="00826F05">
        <w:rPr>
          <w:rFonts w:ascii="Sylfaen" w:hAnsi="Sylfaen"/>
          <w:sz w:val="24"/>
          <w:szCs w:val="24"/>
        </w:rPr>
        <w:t>(ձ</w:t>
      </w:r>
      <w:r w:rsidR="00C54D75">
        <w:rPr>
          <w:rFonts w:ascii="Sylfaen" w:hAnsi="Sylfaen"/>
          <w:sz w:val="24"/>
          <w:szCs w:val="24"/>
        </w:rPr>
        <w:t>և</w:t>
      </w:r>
      <w:r w:rsidRPr="00826F05">
        <w:rPr>
          <w:rFonts w:ascii="Sylfaen" w:hAnsi="Sylfaen"/>
          <w:sz w:val="24"/>
          <w:szCs w:val="24"/>
        </w:rPr>
        <w:t xml:space="preserve">) </w:t>
      </w:r>
    </w:p>
    <w:p w14:paraId="15690737" w14:textId="77777777" w:rsidR="004F5982" w:rsidRPr="00826F05" w:rsidRDefault="004F5982" w:rsidP="004F5982">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I տիպի փոփոխությունների կատարման գնահատման եզրակացություն</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3650"/>
      </w:tblGrid>
      <w:tr w:rsidR="004F5982" w:rsidRPr="00826F05" w14:paraId="10903AC6" w14:textId="77777777" w:rsidTr="004F5982">
        <w:trPr>
          <w:jc w:val="center"/>
        </w:trPr>
        <w:tc>
          <w:tcPr>
            <w:tcW w:w="6204" w:type="dxa"/>
          </w:tcPr>
          <w:p w14:paraId="79468F09"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Դեղապատրաստուկի առ</w:t>
            </w:r>
            <w:r w:rsidR="00C54D75">
              <w:rPr>
                <w:rFonts w:ascii="Sylfaen" w:hAnsi="Sylfaen"/>
                <w:sz w:val="24"/>
                <w:szCs w:val="24"/>
              </w:rPr>
              <w:t>և</w:t>
            </w:r>
            <w:r w:rsidRPr="00826F05">
              <w:rPr>
                <w:rFonts w:ascii="Sylfaen" w:hAnsi="Sylfaen"/>
                <w:sz w:val="24"/>
                <w:szCs w:val="24"/>
              </w:rPr>
              <w:t>տրային անվանումը</w:t>
            </w:r>
          </w:p>
        </w:tc>
        <w:tc>
          <w:tcPr>
            <w:tcW w:w="3650" w:type="dxa"/>
          </w:tcPr>
          <w:p w14:paraId="22EA461B" w14:textId="77777777" w:rsidR="004F5982" w:rsidRPr="00826F05" w:rsidRDefault="004F5982" w:rsidP="004F5982">
            <w:pPr>
              <w:spacing w:after="120" w:line="240" w:lineRule="auto"/>
              <w:jc w:val="both"/>
              <w:rPr>
                <w:rFonts w:ascii="Sylfaen" w:hAnsi="Sylfaen"/>
                <w:sz w:val="24"/>
                <w:szCs w:val="24"/>
              </w:rPr>
            </w:pPr>
          </w:p>
        </w:tc>
      </w:tr>
      <w:tr w:rsidR="004F5982" w:rsidRPr="00826F05" w14:paraId="5D328A86" w14:textId="77777777" w:rsidTr="004F5982">
        <w:trPr>
          <w:jc w:val="center"/>
        </w:trPr>
        <w:tc>
          <w:tcPr>
            <w:tcW w:w="6204" w:type="dxa"/>
          </w:tcPr>
          <w:p w14:paraId="082B83EB"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Միջազգային չարտոնագրված անվանումը</w:t>
            </w:r>
          </w:p>
        </w:tc>
        <w:tc>
          <w:tcPr>
            <w:tcW w:w="3650" w:type="dxa"/>
          </w:tcPr>
          <w:p w14:paraId="08707483"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C36E054" w14:textId="77777777" w:rsidTr="004F5982">
        <w:trPr>
          <w:jc w:val="center"/>
        </w:trPr>
        <w:tc>
          <w:tcPr>
            <w:tcW w:w="6204" w:type="dxa"/>
          </w:tcPr>
          <w:p w14:paraId="76F914B6"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Դեաչափը (դեղաչափերը) կամ խտությունը (խտությունները)</w:t>
            </w:r>
          </w:p>
        </w:tc>
        <w:tc>
          <w:tcPr>
            <w:tcW w:w="3650" w:type="dxa"/>
          </w:tcPr>
          <w:p w14:paraId="4C9C88BF" w14:textId="77777777" w:rsidR="004F5982" w:rsidRPr="00826F05" w:rsidRDefault="004F5982" w:rsidP="004F5982">
            <w:pPr>
              <w:spacing w:after="120" w:line="240" w:lineRule="auto"/>
              <w:jc w:val="both"/>
              <w:rPr>
                <w:rFonts w:ascii="Sylfaen" w:hAnsi="Sylfaen"/>
                <w:sz w:val="24"/>
                <w:szCs w:val="24"/>
              </w:rPr>
            </w:pPr>
          </w:p>
        </w:tc>
      </w:tr>
      <w:tr w:rsidR="004F5982" w:rsidRPr="00826F05" w14:paraId="466F2F4D" w14:textId="77777777" w:rsidTr="004F5982">
        <w:trPr>
          <w:jc w:val="center"/>
        </w:trPr>
        <w:tc>
          <w:tcPr>
            <w:tcW w:w="6204" w:type="dxa"/>
          </w:tcPr>
          <w:p w14:paraId="5048C14B"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Դեղաձ</w:t>
            </w:r>
            <w:r w:rsidR="00C54D75">
              <w:rPr>
                <w:rFonts w:ascii="Sylfaen" w:hAnsi="Sylfaen"/>
                <w:sz w:val="24"/>
                <w:szCs w:val="24"/>
              </w:rPr>
              <w:t>և</w:t>
            </w:r>
            <w:r w:rsidRPr="00826F05">
              <w:rPr>
                <w:rFonts w:ascii="Sylfaen" w:hAnsi="Sylfaen"/>
                <w:sz w:val="24"/>
                <w:szCs w:val="24"/>
              </w:rPr>
              <w:t>ը</w:t>
            </w:r>
          </w:p>
        </w:tc>
        <w:tc>
          <w:tcPr>
            <w:tcW w:w="3650" w:type="dxa"/>
          </w:tcPr>
          <w:p w14:paraId="122C3EBA" w14:textId="77777777" w:rsidR="004F5982" w:rsidRPr="00826F05" w:rsidRDefault="004F5982" w:rsidP="004F5982">
            <w:pPr>
              <w:spacing w:after="120" w:line="240" w:lineRule="auto"/>
              <w:jc w:val="both"/>
              <w:rPr>
                <w:rFonts w:ascii="Sylfaen" w:hAnsi="Sylfaen"/>
                <w:sz w:val="24"/>
                <w:szCs w:val="24"/>
              </w:rPr>
            </w:pPr>
          </w:p>
        </w:tc>
      </w:tr>
      <w:tr w:rsidR="004F5982" w:rsidRPr="00826F05" w14:paraId="0A57250F" w14:textId="77777777" w:rsidTr="004F5982">
        <w:trPr>
          <w:jc w:val="center"/>
        </w:trPr>
        <w:tc>
          <w:tcPr>
            <w:tcW w:w="6204" w:type="dxa"/>
          </w:tcPr>
          <w:p w14:paraId="32766C9F"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Բացթողման ձ</w:t>
            </w:r>
            <w:r w:rsidR="00C54D75">
              <w:rPr>
                <w:rFonts w:ascii="Sylfaen" w:hAnsi="Sylfaen"/>
                <w:sz w:val="24"/>
                <w:szCs w:val="24"/>
              </w:rPr>
              <w:t>և</w:t>
            </w:r>
            <w:r w:rsidRPr="00826F05">
              <w:rPr>
                <w:rFonts w:ascii="Sylfaen" w:hAnsi="Sylfaen"/>
                <w:sz w:val="24"/>
                <w:szCs w:val="24"/>
              </w:rPr>
              <w:t>ը</w:t>
            </w:r>
          </w:p>
        </w:tc>
        <w:tc>
          <w:tcPr>
            <w:tcW w:w="3650" w:type="dxa"/>
          </w:tcPr>
          <w:p w14:paraId="0431ECD4"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F55284B" w14:textId="77777777" w:rsidTr="004F5982">
        <w:trPr>
          <w:jc w:val="center"/>
        </w:trPr>
        <w:tc>
          <w:tcPr>
            <w:tcW w:w="6204" w:type="dxa"/>
          </w:tcPr>
          <w:p w14:paraId="4C357216"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Գրանցման հավաստագրի իրավատերը</w:t>
            </w:r>
          </w:p>
        </w:tc>
        <w:tc>
          <w:tcPr>
            <w:tcW w:w="3650" w:type="dxa"/>
          </w:tcPr>
          <w:p w14:paraId="39669454" w14:textId="77777777" w:rsidR="004F5982" w:rsidRPr="00826F05" w:rsidRDefault="004F5982" w:rsidP="004F5982">
            <w:pPr>
              <w:spacing w:after="120" w:line="240" w:lineRule="auto"/>
              <w:jc w:val="both"/>
              <w:rPr>
                <w:rFonts w:ascii="Sylfaen" w:hAnsi="Sylfaen"/>
                <w:sz w:val="24"/>
                <w:szCs w:val="24"/>
              </w:rPr>
            </w:pPr>
          </w:p>
        </w:tc>
      </w:tr>
    </w:tbl>
    <w:p w14:paraId="70F78D8D" w14:textId="77777777" w:rsidR="004F5982" w:rsidRPr="00826F05" w:rsidRDefault="004F5982" w:rsidP="004F5982">
      <w:pPr>
        <w:spacing w:after="120" w:line="240" w:lineRule="auto"/>
        <w:jc w:val="both"/>
        <w:rPr>
          <w:rFonts w:ascii="Sylfaen" w:hAnsi="Sylfae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3650"/>
      </w:tblGrid>
      <w:tr w:rsidR="004F5982" w:rsidRPr="00826F05" w14:paraId="22AD3796" w14:textId="77777777" w:rsidTr="004F5982">
        <w:trPr>
          <w:jc w:val="center"/>
        </w:trPr>
        <w:tc>
          <w:tcPr>
            <w:tcW w:w="6204" w:type="dxa"/>
          </w:tcPr>
          <w:p w14:paraId="63FE3EED"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lastRenderedPageBreak/>
              <w:t>Զեկուցողը</w:t>
            </w:r>
          </w:p>
        </w:tc>
        <w:tc>
          <w:tcPr>
            <w:tcW w:w="3650" w:type="dxa"/>
          </w:tcPr>
          <w:p w14:paraId="2BC0E8BC" w14:textId="77777777" w:rsidR="004F5982" w:rsidRPr="00826F05" w:rsidRDefault="004F5982" w:rsidP="004F5982">
            <w:pPr>
              <w:spacing w:after="120" w:line="240" w:lineRule="auto"/>
              <w:jc w:val="both"/>
              <w:rPr>
                <w:rFonts w:ascii="Sylfaen" w:hAnsi="Sylfaen"/>
                <w:sz w:val="24"/>
                <w:szCs w:val="24"/>
              </w:rPr>
            </w:pPr>
          </w:p>
        </w:tc>
      </w:tr>
      <w:tr w:rsidR="004F5982" w:rsidRPr="00826F05" w14:paraId="12B9CD41" w14:textId="77777777" w:rsidTr="004F5982">
        <w:trPr>
          <w:jc w:val="center"/>
        </w:trPr>
        <w:tc>
          <w:tcPr>
            <w:tcW w:w="6204" w:type="dxa"/>
          </w:tcPr>
          <w:p w14:paraId="6A3A2D50"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Հաշվետվության ամսաթիվը</w:t>
            </w:r>
          </w:p>
        </w:tc>
        <w:tc>
          <w:tcPr>
            <w:tcW w:w="3650" w:type="dxa"/>
          </w:tcPr>
          <w:p w14:paraId="54E93C44" w14:textId="77777777" w:rsidR="004F5982" w:rsidRPr="00826F05" w:rsidRDefault="004F5982" w:rsidP="004F5982">
            <w:pPr>
              <w:spacing w:after="120" w:line="240" w:lineRule="auto"/>
              <w:jc w:val="both"/>
              <w:rPr>
                <w:rFonts w:ascii="Sylfaen" w:hAnsi="Sylfaen"/>
                <w:sz w:val="24"/>
                <w:szCs w:val="24"/>
              </w:rPr>
            </w:pPr>
          </w:p>
        </w:tc>
      </w:tr>
    </w:tbl>
    <w:p w14:paraId="7D03F433" w14:textId="77777777" w:rsidR="004F5982" w:rsidRPr="00826F05" w:rsidRDefault="004F5982" w:rsidP="004F5982">
      <w:pPr>
        <w:spacing w:after="120" w:line="240" w:lineRule="auto"/>
        <w:jc w:val="both"/>
        <w:rPr>
          <w:rFonts w:ascii="Sylfaen" w:hAnsi="Sylfaen"/>
          <w:sz w:val="24"/>
          <w:szCs w:val="24"/>
        </w:rP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4"/>
        <w:gridCol w:w="3650"/>
      </w:tblGrid>
      <w:tr w:rsidR="004F5982" w:rsidRPr="00826F05" w14:paraId="1858F14C" w14:textId="77777777" w:rsidTr="004F5982">
        <w:trPr>
          <w:jc w:val="center"/>
        </w:trPr>
        <w:tc>
          <w:tcPr>
            <w:tcW w:w="6204" w:type="dxa"/>
          </w:tcPr>
          <w:p w14:paraId="1BBC5492"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Զեկուցողը</w:t>
            </w:r>
          </w:p>
        </w:tc>
        <w:tc>
          <w:tcPr>
            <w:tcW w:w="3650" w:type="dxa"/>
          </w:tcPr>
          <w:p w14:paraId="23052B40" w14:textId="77777777" w:rsidR="004F5982" w:rsidRPr="00826F05" w:rsidRDefault="004F5982" w:rsidP="004F5982">
            <w:pPr>
              <w:spacing w:after="120" w:line="240" w:lineRule="auto"/>
              <w:jc w:val="both"/>
              <w:rPr>
                <w:rFonts w:ascii="Sylfaen" w:hAnsi="Sylfaen"/>
                <w:sz w:val="24"/>
                <w:szCs w:val="24"/>
              </w:rPr>
            </w:pPr>
          </w:p>
        </w:tc>
      </w:tr>
      <w:tr w:rsidR="004F5982" w:rsidRPr="00826F05" w14:paraId="6FECC0B6" w14:textId="77777777" w:rsidTr="004F5982">
        <w:trPr>
          <w:jc w:val="center"/>
        </w:trPr>
        <w:tc>
          <w:tcPr>
            <w:tcW w:w="6204" w:type="dxa"/>
          </w:tcPr>
          <w:p w14:paraId="272DA92F"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Արձագանքների ներկայացման վերջին ժամկետը</w:t>
            </w:r>
          </w:p>
        </w:tc>
        <w:tc>
          <w:tcPr>
            <w:tcW w:w="3650" w:type="dxa"/>
          </w:tcPr>
          <w:p w14:paraId="1DC028DF" w14:textId="77777777" w:rsidR="004F5982" w:rsidRPr="00826F05" w:rsidRDefault="004F5982" w:rsidP="004F5982">
            <w:pPr>
              <w:spacing w:after="120" w:line="240" w:lineRule="auto"/>
              <w:jc w:val="both"/>
              <w:rPr>
                <w:rFonts w:ascii="Sylfaen" w:hAnsi="Sylfaen"/>
                <w:sz w:val="24"/>
                <w:szCs w:val="24"/>
              </w:rPr>
            </w:pPr>
          </w:p>
        </w:tc>
      </w:tr>
    </w:tbl>
    <w:p w14:paraId="68A9EDD1" w14:textId="77777777" w:rsidR="004F5982" w:rsidRPr="00826F05" w:rsidRDefault="004F5982" w:rsidP="004F5982">
      <w:pPr>
        <w:spacing w:after="120" w:line="240" w:lineRule="auto"/>
        <w:jc w:val="both"/>
        <w:rPr>
          <w:rFonts w:ascii="Sylfaen" w:hAnsi="Sylfaen"/>
          <w:sz w:val="24"/>
          <w:szCs w:val="24"/>
        </w:rPr>
      </w:pPr>
    </w:p>
    <w:p w14:paraId="5A1553C0" w14:textId="77777777" w:rsidR="004F5982" w:rsidRPr="00826F05" w:rsidRDefault="004F5982" w:rsidP="004F5982">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Վարչական տեղեկատվությունը</w:t>
      </w: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9"/>
        <w:gridCol w:w="4536"/>
      </w:tblGrid>
      <w:tr w:rsidR="004F5982" w:rsidRPr="00826F05" w14:paraId="60EF3DA3" w14:textId="77777777" w:rsidTr="004F5982">
        <w:trPr>
          <w:jc w:val="center"/>
        </w:trPr>
        <w:tc>
          <w:tcPr>
            <w:tcW w:w="5369" w:type="dxa"/>
          </w:tcPr>
          <w:p w14:paraId="7F3ACB02"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Զեկուցողի կոնտակտային անձը</w:t>
            </w:r>
          </w:p>
        </w:tc>
        <w:tc>
          <w:tcPr>
            <w:tcW w:w="4536" w:type="dxa"/>
          </w:tcPr>
          <w:p w14:paraId="0D8AF8E7"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Ա.Ա.Հ.՝</w:t>
            </w:r>
          </w:p>
          <w:p w14:paraId="277B5C0F"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հեռախոսահամարը (ֆաքսը)՝</w:t>
            </w:r>
          </w:p>
          <w:p w14:paraId="42877062"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էլեկտրոնային փոստի հասցեն՝</w:t>
            </w:r>
          </w:p>
        </w:tc>
      </w:tr>
      <w:tr w:rsidR="004F5982" w:rsidRPr="00826F05" w14:paraId="5EA52B00" w14:textId="77777777" w:rsidTr="004F5982">
        <w:trPr>
          <w:jc w:val="center"/>
        </w:trPr>
        <w:tc>
          <w:tcPr>
            <w:tcW w:w="5369" w:type="dxa"/>
          </w:tcPr>
          <w:p w14:paraId="551C6E7B"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Զեկուցողի փորձագետները</w:t>
            </w:r>
          </w:p>
          <w:p w14:paraId="3EC73D79"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 xml:space="preserve">(ներքին </w:t>
            </w:r>
            <w:r w:rsidR="00C54D75">
              <w:rPr>
                <w:rFonts w:ascii="Sylfaen" w:hAnsi="Sylfaen"/>
                <w:sz w:val="24"/>
                <w:szCs w:val="24"/>
              </w:rPr>
              <w:t>և</w:t>
            </w:r>
            <w:r w:rsidRPr="00826F05">
              <w:rPr>
                <w:rFonts w:ascii="Sylfaen" w:hAnsi="Sylfaen"/>
                <w:sz w:val="24"/>
                <w:szCs w:val="24"/>
              </w:rPr>
              <w:t xml:space="preserve"> անկախ)</w:t>
            </w:r>
          </w:p>
        </w:tc>
        <w:tc>
          <w:tcPr>
            <w:tcW w:w="4536" w:type="dxa"/>
          </w:tcPr>
          <w:p w14:paraId="7C8E2E29"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3-րդ մոդուլի փորձագետ (որակ)՝</w:t>
            </w:r>
          </w:p>
          <w:p w14:paraId="758DC79D"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Ա.Ա.Հ.՝</w:t>
            </w:r>
          </w:p>
          <w:p w14:paraId="5B2FC174"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հեռախոսահամարը (ֆաքսը)՝</w:t>
            </w:r>
          </w:p>
          <w:p w14:paraId="521D5CE0"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էլեկտրոնային փոստի հասցեն՝</w:t>
            </w:r>
          </w:p>
          <w:p w14:paraId="4B80E021"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3-րդ մոդուլի փորձագետ</w:t>
            </w:r>
          </w:p>
          <w:p w14:paraId="2A233B44"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(նախակլինիկա)՝</w:t>
            </w:r>
          </w:p>
          <w:p w14:paraId="24A55B0C"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Ա.Ա.Հ.՝</w:t>
            </w:r>
          </w:p>
          <w:p w14:paraId="76A2AFCD"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հեռախոսահամարը (ֆաքսը)՝</w:t>
            </w:r>
          </w:p>
          <w:p w14:paraId="5A3F4082"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էլեկտրոնային փոստի հասցեն՝</w:t>
            </w:r>
          </w:p>
          <w:p w14:paraId="479AB0F0" w14:textId="77777777" w:rsidR="004F5982" w:rsidRPr="00826F05" w:rsidRDefault="004F5982" w:rsidP="004F5982">
            <w:pPr>
              <w:spacing w:after="120" w:line="240" w:lineRule="auto"/>
              <w:rPr>
                <w:rFonts w:ascii="Sylfaen" w:hAnsi="Sylfaen"/>
                <w:sz w:val="24"/>
                <w:szCs w:val="24"/>
              </w:rPr>
            </w:pPr>
          </w:p>
          <w:p w14:paraId="1482CEBE"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5-րդ մոդուլի փորձագետ (կլինիկա)՝</w:t>
            </w:r>
          </w:p>
          <w:p w14:paraId="7942038C"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Ա.Ա.Հ.՝</w:t>
            </w:r>
          </w:p>
          <w:p w14:paraId="748EF85C"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հեռախոսահամարը (ֆաքսը)՝</w:t>
            </w:r>
          </w:p>
          <w:p w14:paraId="2BDACDD8"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էլեկտրոնային փոստի հասցեն՝</w:t>
            </w:r>
          </w:p>
          <w:p w14:paraId="0417AB05" w14:textId="77777777" w:rsidR="004F5982" w:rsidRPr="00826F05" w:rsidRDefault="004F5982" w:rsidP="004F5982">
            <w:pPr>
              <w:spacing w:after="120" w:line="240" w:lineRule="auto"/>
              <w:rPr>
                <w:rFonts w:ascii="Sylfaen" w:hAnsi="Sylfaen"/>
                <w:sz w:val="24"/>
                <w:szCs w:val="24"/>
              </w:rPr>
            </w:pPr>
          </w:p>
          <w:p w14:paraId="1B08803D"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դեղազգոնության փորձագետը՝</w:t>
            </w:r>
          </w:p>
          <w:p w14:paraId="302C5816"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Ա.Ա.Հ.՝</w:t>
            </w:r>
          </w:p>
          <w:p w14:paraId="303C191D"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հեռախոսահամարը (ֆաքսը)՝</w:t>
            </w:r>
          </w:p>
          <w:p w14:paraId="0C9C2E34"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էլեկտրոնային փոստի հասցեն՝</w:t>
            </w:r>
          </w:p>
        </w:tc>
      </w:tr>
    </w:tbl>
    <w:p w14:paraId="016F7BFD" w14:textId="77777777" w:rsidR="004F5982" w:rsidRDefault="004F5982" w:rsidP="004F5982">
      <w:pPr>
        <w:spacing w:after="160" w:line="360" w:lineRule="auto"/>
        <w:jc w:val="both"/>
        <w:rPr>
          <w:rFonts w:ascii="Sylfaen" w:hAnsi="Sylfaen"/>
          <w:sz w:val="24"/>
          <w:szCs w:val="24"/>
        </w:rPr>
      </w:pPr>
    </w:p>
    <w:p w14:paraId="2CF45C59" w14:textId="77777777" w:rsidR="004F5982" w:rsidRPr="00826F05" w:rsidRDefault="004F5982" w:rsidP="004F5982">
      <w:pPr>
        <w:spacing w:after="160" w:line="360" w:lineRule="auto"/>
        <w:jc w:val="both"/>
        <w:rPr>
          <w:rFonts w:ascii="Sylfaen" w:hAnsi="Sylfaen"/>
          <w:sz w:val="24"/>
          <w:szCs w:val="24"/>
        </w:rPr>
      </w:pPr>
    </w:p>
    <w:p w14:paraId="35878818" w14:textId="77777777" w:rsidR="004F5982" w:rsidRPr="00826F05" w:rsidRDefault="004F5982" w:rsidP="00487007">
      <w:pPr>
        <w:tabs>
          <w:tab w:val="left" w:pos="1701"/>
        </w:tabs>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1. Առաջարկությունը</w:t>
      </w:r>
    </w:p>
    <w:p w14:paraId="2B7CC3D2" w14:textId="77777777" w:rsidR="004F5982" w:rsidRPr="00083E00"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Որակի, անվտանգության </w:t>
      </w:r>
      <w:r w:rsidR="00C54D75">
        <w:rPr>
          <w:rFonts w:ascii="Sylfaen" w:hAnsi="Sylfaen"/>
          <w:sz w:val="24"/>
          <w:szCs w:val="24"/>
        </w:rPr>
        <w:t>և</w:t>
      </w:r>
      <w:r w:rsidRPr="00826F05">
        <w:rPr>
          <w:rFonts w:ascii="Sylfaen" w:hAnsi="Sylfaen"/>
          <w:sz w:val="24"/>
          <w:szCs w:val="24"/>
        </w:rPr>
        <w:t xml:space="preserve"> արդյունավետության մասին տվյալների ամփոփման հիման վրա՝ փորձագետը համարում է, որ փոփոխությունների տիպը, Բժշկական կիրառման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 (այսուհետ՝ Կանոններ) թիվ 19 </w:t>
      </w:r>
      <w:r w:rsidR="00C54D75">
        <w:rPr>
          <w:rFonts w:ascii="Sylfaen" w:hAnsi="Sylfaen"/>
          <w:sz w:val="24"/>
          <w:szCs w:val="24"/>
        </w:rPr>
        <w:t>և</w:t>
      </w:r>
      <w:r w:rsidRPr="00826F05">
        <w:rPr>
          <w:rFonts w:ascii="Sylfaen" w:hAnsi="Sylfaen"/>
          <w:sz w:val="24"/>
          <w:szCs w:val="24"/>
        </w:rPr>
        <w:t xml:space="preserve"> 20 հավելվածներին համապատասխան, դեղապատրաստուկի առ</w:t>
      </w:r>
      <w:r w:rsidR="00C54D75">
        <w:rPr>
          <w:rFonts w:ascii="Sylfaen" w:hAnsi="Sylfaen"/>
          <w:sz w:val="24"/>
          <w:szCs w:val="24"/>
        </w:rPr>
        <w:t>և</w:t>
      </w:r>
      <w:r w:rsidRPr="00826F05">
        <w:rPr>
          <w:rFonts w:ascii="Sylfaen" w:hAnsi="Sylfaen"/>
          <w:sz w:val="24"/>
          <w:szCs w:val="24"/>
        </w:rPr>
        <w:t xml:space="preserve">տրային անվանման համար </w:t>
      </w:r>
      <w:r w:rsidRPr="00083E00">
        <w:rPr>
          <w:rFonts w:ascii="Sylfaen" w:hAnsi="Sylfaen"/>
          <w:i/>
          <w:sz w:val="24"/>
          <w:szCs w:val="24"/>
        </w:rPr>
        <w:t>&lt;առ</w:t>
      </w:r>
      <w:r w:rsidR="00C54D75">
        <w:rPr>
          <w:rFonts w:ascii="Sylfaen" w:hAnsi="Sylfaen"/>
          <w:i/>
          <w:sz w:val="24"/>
          <w:szCs w:val="24"/>
        </w:rPr>
        <w:t>և</w:t>
      </w:r>
      <w:r w:rsidRPr="00083E00">
        <w:rPr>
          <w:rFonts w:ascii="Sylfaen" w:hAnsi="Sylfaen"/>
          <w:i/>
          <w:sz w:val="24"/>
          <w:szCs w:val="24"/>
        </w:rPr>
        <w:t>տրային անվանումը&gt;,</w:t>
      </w:r>
      <w:r w:rsidRPr="00826F05">
        <w:rPr>
          <w:rFonts w:ascii="Sylfaen" w:hAnsi="Sylfaen"/>
          <w:sz w:val="24"/>
          <w:szCs w:val="24"/>
        </w:rPr>
        <w:t xml:space="preserve"> </w:t>
      </w:r>
      <w:r w:rsidRPr="00083E00">
        <w:rPr>
          <w:rFonts w:ascii="Sylfaen" w:hAnsi="Sylfaen"/>
          <w:i/>
          <w:sz w:val="24"/>
          <w:szCs w:val="24"/>
        </w:rPr>
        <w:t>&lt;ՄՉԱ-ն&gt;,</w:t>
      </w:r>
      <w:r w:rsidRPr="00826F05">
        <w:rPr>
          <w:rFonts w:ascii="Sylfaen" w:hAnsi="Sylfaen"/>
          <w:sz w:val="24"/>
          <w:szCs w:val="24"/>
        </w:rPr>
        <w:t xml:space="preserve"> բուժման դեպքում </w:t>
      </w:r>
      <w:r w:rsidRPr="00083E00">
        <w:rPr>
          <w:rFonts w:ascii="Sylfaen" w:hAnsi="Sylfaen"/>
          <w:i/>
          <w:sz w:val="24"/>
          <w:szCs w:val="24"/>
        </w:rPr>
        <w:t>&lt;ՀՄԴ ծածկագիրը&gt;</w:t>
      </w:r>
      <w:r w:rsidRPr="00826F05">
        <w:rPr>
          <w:rFonts w:ascii="Sylfaen" w:hAnsi="Sylfaen"/>
          <w:sz w:val="24"/>
          <w:szCs w:val="24"/>
        </w:rPr>
        <w:t xml:space="preserve">՝ առաջարկվող հաջորդ փոփոխության համար, </w:t>
      </w:r>
      <w:r w:rsidRPr="00083E00">
        <w:rPr>
          <w:rFonts w:ascii="Sylfaen" w:hAnsi="Sylfaen"/>
          <w:i/>
          <w:sz w:val="24"/>
          <w:szCs w:val="24"/>
        </w:rPr>
        <w:t>&lt;նշել&gt;՝</w:t>
      </w:r>
    </w:p>
    <w:p w14:paraId="6C7108D5" w14:textId="77777777" w:rsidR="004F5982" w:rsidRPr="00083E00" w:rsidRDefault="004F5982" w:rsidP="00487007">
      <w:pPr>
        <w:spacing w:after="160" w:line="360" w:lineRule="auto"/>
        <w:ind w:right="-2" w:firstLine="567"/>
        <w:jc w:val="both"/>
        <w:rPr>
          <w:rFonts w:ascii="Sylfaen" w:eastAsia="Times New Roman" w:hAnsi="Sylfaen" w:cs="Times New Roman"/>
          <w:i/>
          <w:sz w:val="24"/>
          <w:szCs w:val="24"/>
        </w:rPr>
      </w:pPr>
      <w:r w:rsidRPr="00083E00">
        <w:rPr>
          <w:rFonts w:ascii="Sylfaen" w:hAnsi="Sylfaen"/>
          <w:i/>
          <w:sz w:val="24"/>
          <w:szCs w:val="24"/>
        </w:rPr>
        <w:t>&lt;հաստատվում է&gt;.</w:t>
      </w:r>
    </w:p>
    <w:p w14:paraId="476CC066" w14:textId="77777777" w:rsidR="004F5982" w:rsidRPr="00083E00" w:rsidRDefault="004F5982" w:rsidP="00487007">
      <w:pPr>
        <w:spacing w:after="160" w:line="360" w:lineRule="auto"/>
        <w:ind w:right="-2" w:firstLine="567"/>
        <w:jc w:val="both"/>
        <w:rPr>
          <w:rFonts w:ascii="Sylfaen" w:eastAsia="Times New Roman" w:hAnsi="Sylfaen" w:cs="Times New Roman"/>
          <w:i/>
          <w:sz w:val="24"/>
          <w:szCs w:val="24"/>
        </w:rPr>
      </w:pPr>
      <w:r w:rsidRPr="00083E00">
        <w:rPr>
          <w:rFonts w:ascii="Sylfaen" w:hAnsi="Sylfaen"/>
          <w:i/>
          <w:sz w:val="24"/>
          <w:szCs w:val="24"/>
        </w:rPr>
        <w:t>&lt;կարող է հաստատվել այն պայմանով, որ բավարարող պատասխաններ տրվեն «այլ դիտողությունների» մասով, ինչպես նկարագրված է սույն ձ</w:t>
      </w:r>
      <w:r w:rsidR="00C54D75">
        <w:rPr>
          <w:rFonts w:ascii="Sylfaen" w:hAnsi="Sylfaen"/>
          <w:i/>
          <w:sz w:val="24"/>
          <w:szCs w:val="24"/>
        </w:rPr>
        <w:t>և</w:t>
      </w:r>
      <w:r w:rsidRPr="00083E00">
        <w:rPr>
          <w:rFonts w:ascii="Sylfaen" w:hAnsi="Sylfaen"/>
          <w:i/>
          <w:sz w:val="24"/>
          <w:szCs w:val="24"/>
        </w:rPr>
        <w:t>ի 4-րդ բաժնում&gt;.</w:t>
      </w:r>
    </w:p>
    <w:p w14:paraId="321DEDFC" w14:textId="77777777" w:rsidR="004F5982" w:rsidRPr="00083E00" w:rsidRDefault="004F5982" w:rsidP="00487007">
      <w:pPr>
        <w:spacing w:after="160" w:line="360" w:lineRule="auto"/>
        <w:ind w:right="-2" w:firstLine="567"/>
        <w:jc w:val="both"/>
        <w:rPr>
          <w:rFonts w:ascii="Sylfaen" w:eastAsia="Times New Roman" w:hAnsi="Sylfaen" w:cs="Times New Roman"/>
          <w:i/>
          <w:sz w:val="24"/>
          <w:szCs w:val="24"/>
        </w:rPr>
      </w:pPr>
      <w:r w:rsidRPr="00083E00">
        <w:rPr>
          <w:rFonts w:ascii="Sylfaen" w:hAnsi="Sylfaen"/>
          <w:i/>
          <w:sz w:val="24"/>
          <w:szCs w:val="24"/>
        </w:rPr>
        <w:t>&lt;չի հաստատվում, քանի որ «կրիտիկական դիտողությունների» տեղիք է տալիս&gt;:</w:t>
      </w:r>
    </w:p>
    <w:p w14:paraId="413FA9B9" w14:textId="77777777" w:rsidR="004F5982" w:rsidRPr="00083E00" w:rsidRDefault="004F5982" w:rsidP="00487007">
      <w:pPr>
        <w:spacing w:after="160" w:line="360" w:lineRule="auto"/>
        <w:ind w:firstLine="567"/>
        <w:jc w:val="both"/>
        <w:rPr>
          <w:rFonts w:ascii="Sylfaen" w:eastAsia="Times New Roman" w:hAnsi="Sylfaen" w:cs="Times New Roman"/>
          <w:i/>
          <w:sz w:val="24"/>
          <w:szCs w:val="24"/>
        </w:rPr>
      </w:pPr>
      <w:r w:rsidRPr="00083E00">
        <w:rPr>
          <w:rFonts w:ascii="Sylfaen" w:hAnsi="Sylfaen"/>
          <w:i/>
          <w:sz w:val="24"/>
          <w:szCs w:val="24"/>
        </w:rPr>
        <w:t>[Փոփոխությունների կիրառման ոլորտը ճիշտ ընկալելու համար հարկ է ավելացնել Կանոնների թիվ 19 հավելվածից փոփոխության ծածկագիրը, կամ Կանոնների թիվ 20 հավելվածից՝ փոփոխությունների բաժինը]</w:t>
      </w:r>
    </w:p>
    <w:p w14:paraId="425EFB7E"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Չհաստատված փոփոխություն նշանակում է, որ «կրիտիկական</w:t>
      </w:r>
      <w:r>
        <w:rPr>
          <w:rFonts w:ascii="Sylfaen" w:hAnsi="Sylfaen"/>
          <w:sz w:val="24"/>
          <w:szCs w:val="24"/>
        </w:rPr>
        <w:t> </w:t>
      </w:r>
      <w:r w:rsidRPr="00826F05">
        <w:rPr>
          <w:rFonts w:ascii="Sylfaen" w:hAnsi="Sylfaen"/>
          <w:sz w:val="24"/>
          <w:szCs w:val="24"/>
        </w:rPr>
        <w:t>դիտողություններ» հայտնաբերելու պահից սկսած՝ գրանցման դոսյեում փոփոխություններ կատարելու մասին առաջարկությունը հանվում է: Այդ</w:t>
      </w:r>
      <w:r>
        <w:rPr>
          <w:rFonts w:ascii="Sylfaen" w:hAnsi="Sylfaen"/>
          <w:sz w:val="24"/>
          <w:szCs w:val="24"/>
        </w:rPr>
        <w:t> </w:t>
      </w:r>
      <w:r w:rsidRPr="00826F05">
        <w:rPr>
          <w:rFonts w:ascii="Sylfaen" w:hAnsi="Sylfaen"/>
          <w:sz w:val="24"/>
          <w:szCs w:val="24"/>
        </w:rPr>
        <w:t>հիմնական առարկությունների մասին մանրամասն տեղեկատվությունը գրավոր ձ</w:t>
      </w:r>
      <w:r w:rsidR="00C54D75">
        <w:rPr>
          <w:rFonts w:ascii="Sylfaen" w:hAnsi="Sylfaen"/>
          <w:sz w:val="24"/>
          <w:szCs w:val="24"/>
        </w:rPr>
        <w:t>և</w:t>
      </w:r>
      <w:r w:rsidRPr="00826F05">
        <w:rPr>
          <w:rFonts w:ascii="Sylfaen" w:hAnsi="Sylfaen"/>
          <w:sz w:val="24"/>
          <w:szCs w:val="24"/>
        </w:rPr>
        <w:t>ով բերվում է ստոր</w:t>
      </w:r>
      <w:r w:rsidR="00C54D75">
        <w:rPr>
          <w:rFonts w:ascii="Sylfaen" w:hAnsi="Sylfaen"/>
          <w:sz w:val="24"/>
          <w:szCs w:val="24"/>
        </w:rPr>
        <w:t>և</w:t>
      </w:r>
      <w:r w:rsidRPr="00826F05">
        <w:rPr>
          <w:rFonts w:ascii="Sylfaen" w:hAnsi="Sylfaen"/>
          <w:sz w:val="24"/>
          <w:szCs w:val="24"/>
        </w:rPr>
        <w:t>՝ ի լրումն հեռախոսակապի միջոցով այդ մասին բանավոր ծանուցման: Կրիտիկական դիտողությունների պատասխաններից բացի՝ մերժման դեպքում բավարարող պատասխաններ պետք է տրվեն նա</w:t>
      </w:r>
      <w:r w:rsidR="00C54D75">
        <w:rPr>
          <w:rFonts w:ascii="Sylfaen" w:hAnsi="Sylfaen"/>
          <w:sz w:val="24"/>
          <w:szCs w:val="24"/>
        </w:rPr>
        <w:t>և</w:t>
      </w:r>
      <w:r w:rsidRPr="00826F05">
        <w:rPr>
          <w:rFonts w:ascii="Sylfaen" w:hAnsi="Sylfaen"/>
          <w:sz w:val="24"/>
          <w:szCs w:val="24"/>
        </w:rPr>
        <w:t xml:space="preserve"> «ոչ էական (այլ) դիտողությունների» մասով, ինչպես նկարագրված է սույն ձ</w:t>
      </w:r>
      <w:r w:rsidR="00C54D75">
        <w:rPr>
          <w:rFonts w:ascii="Sylfaen" w:hAnsi="Sylfaen"/>
          <w:sz w:val="24"/>
          <w:szCs w:val="24"/>
        </w:rPr>
        <w:t>և</w:t>
      </w:r>
      <w:r w:rsidRPr="00826F05">
        <w:rPr>
          <w:rFonts w:ascii="Sylfaen" w:hAnsi="Sylfaen"/>
          <w:sz w:val="24"/>
          <w:szCs w:val="24"/>
        </w:rPr>
        <w:t>ի 4-րդ բաժնում:</w:t>
      </w:r>
    </w:p>
    <w:p w14:paraId="50E2F015"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083E00">
        <w:rPr>
          <w:rFonts w:ascii="Sylfaen" w:hAnsi="Sylfaen"/>
          <w:spacing w:val="-6"/>
          <w:sz w:val="24"/>
          <w:szCs w:val="24"/>
        </w:rPr>
        <w:t xml:space="preserve">Բացի այդ, զեկուցողը գրանցման հավաստագրի համար </w:t>
      </w:r>
      <w:r w:rsidR="00C54D75">
        <w:rPr>
          <w:rFonts w:ascii="Sylfaen" w:hAnsi="Sylfaen"/>
          <w:spacing w:val="-6"/>
          <w:sz w:val="24"/>
          <w:szCs w:val="24"/>
        </w:rPr>
        <w:t>և</w:t>
      </w:r>
      <w:r w:rsidRPr="00083E00">
        <w:rPr>
          <w:rFonts w:ascii="Sylfaen" w:hAnsi="Sylfaen"/>
          <w:spacing w:val="-6"/>
          <w:sz w:val="24"/>
          <w:szCs w:val="24"/>
        </w:rPr>
        <w:t xml:space="preserve"> դեղապատրաստուկի ընդհանուր բնութագրին կից ներկայացվող փոփոխությունների համար առաջարկում է հետ</w:t>
      </w:r>
      <w:r w:rsidR="00C54D75">
        <w:rPr>
          <w:rFonts w:ascii="Sylfaen" w:hAnsi="Sylfaen"/>
          <w:spacing w:val="-6"/>
          <w:sz w:val="24"/>
          <w:szCs w:val="24"/>
        </w:rPr>
        <w:t>և</w:t>
      </w:r>
      <w:r w:rsidRPr="00083E00">
        <w:rPr>
          <w:rFonts w:ascii="Sylfaen" w:hAnsi="Sylfaen"/>
          <w:spacing w:val="-6"/>
          <w:sz w:val="24"/>
          <w:szCs w:val="24"/>
        </w:rPr>
        <w:t>յալ պայմանները</w:t>
      </w:r>
      <w:r w:rsidRPr="00826F05">
        <w:rPr>
          <w:rFonts w:ascii="Sylfaen" w:hAnsi="Sylfaen"/>
          <w:sz w:val="24"/>
          <w:szCs w:val="24"/>
        </w:rPr>
        <w:t xml:space="preserve"> (տե՛ս A հավելվածը): </w:t>
      </w:r>
    </w:p>
    <w:p w14:paraId="2D21314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lastRenderedPageBreak/>
        <w:t>Մերժման հիմքերը՝</w:t>
      </w:r>
    </w:p>
    <w:p w14:paraId="6D6BDD2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[Բաժինը լրացվում է բացասական կարծիքի դեպքում]</w:t>
      </w:r>
    </w:p>
    <w:p w14:paraId="5E105778" w14:textId="77777777" w:rsidR="004F5982" w:rsidRPr="00826F05" w:rsidRDefault="004F5982" w:rsidP="00487007">
      <w:pPr>
        <w:tabs>
          <w:tab w:val="left" w:pos="1701"/>
        </w:tabs>
        <w:spacing w:after="160" w:line="360" w:lineRule="auto"/>
        <w:ind w:right="-2" w:firstLine="567"/>
        <w:jc w:val="both"/>
        <w:rPr>
          <w:rFonts w:ascii="Sylfaen" w:hAnsi="Sylfaen"/>
          <w:sz w:val="24"/>
          <w:szCs w:val="24"/>
        </w:rPr>
      </w:pPr>
    </w:p>
    <w:p w14:paraId="33F86DE3" w14:textId="77777777" w:rsidR="004F5982" w:rsidRPr="00E74ADC"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 xml:space="preserve">2. Գիտական </w:t>
      </w:r>
      <w:r w:rsidR="00487007">
        <w:rPr>
          <w:rFonts w:ascii="Sylfaen" w:hAnsi="Sylfaen"/>
          <w:sz w:val="24"/>
          <w:szCs w:val="24"/>
        </w:rPr>
        <w:t>քննարկում։</w:t>
      </w:r>
    </w:p>
    <w:p w14:paraId="5C9C6864"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2.1. Ներածություն</w:t>
      </w:r>
    </w:p>
    <w:p w14:paraId="775DB6BE" w14:textId="77777777" w:rsidR="004F5982" w:rsidRPr="00083E00" w:rsidRDefault="004F5982" w:rsidP="00487007">
      <w:pPr>
        <w:spacing w:after="160" w:line="360" w:lineRule="auto"/>
        <w:ind w:right="-2" w:firstLine="567"/>
        <w:jc w:val="both"/>
        <w:rPr>
          <w:rFonts w:ascii="Sylfaen" w:eastAsia="Times New Roman" w:hAnsi="Sylfaen" w:cs="Times New Roman"/>
          <w:i/>
          <w:sz w:val="24"/>
          <w:szCs w:val="24"/>
        </w:rPr>
      </w:pPr>
      <w:r w:rsidRPr="00083E00">
        <w:rPr>
          <w:rFonts w:ascii="Sylfaen" w:hAnsi="Sylfaen"/>
          <w:i/>
          <w:sz w:val="24"/>
          <w:szCs w:val="24"/>
        </w:rPr>
        <w:t xml:space="preserve">[Նշվում է այն դեղամիջոցի </w:t>
      </w:r>
      <w:r w:rsidR="00C54D75">
        <w:rPr>
          <w:rFonts w:ascii="Sylfaen" w:hAnsi="Sylfaen"/>
          <w:i/>
          <w:sz w:val="24"/>
          <w:szCs w:val="24"/>
        </w:rPr>
        <w:t>և</w:t>
      </w:r>
      <w:r w:rsidRPr="00083E00">
        <w:rPr>
          <w:rFonts w:ascii="Sylfaen" w:hAnsi="Sylfaen"/>
          <w:i/>
          <w:sz w:val="24"/>
          <w:szCs w:val="24"/>
        </w:rPr>
        <w:t xml:space="preserve"> դրա դեղաթերապ</w:t>
      </w:r>
      <w:r w:rsidR="00C54D75">
        <w:rPr>
          <w:rFonts w:ascii="Sylfaen" w:hAnsi="Sylfaen"/>
          <w:i/>
          <w:sz w:val="24"/>
          <w:szCs w:val="24"/>
        </w:rPr>
        <w:t>և</w:t>
      </w:r>
      <w:r w:rsidRPr="00083E00">
        <w:rPr>
          <w:rFonts w:ascii="Sylfaen" w:hAnsi="Sylfaen"/>
          <w:i/>
          <w:sz w:val="24"/>
          <w:szCs w:val="24"/>
        </w:rPr>
        <w:t>տիկ ազդեցության մասին համառոտ հայտարարությունը, որի գրանցման դոսյեում ենթադրվում է փոփոխություններ կատարել։ Հարկ է համառոտակի անդրադառնալ առաջարկվող փոփոխության հիմնավորմանը (պատճառին): Եթե փոփոխությունը նախորդ գնահատման կամ հարցման արդյունք է, օրինակ՝ որ</w:t>
      </w:r>
      <w:r w:rsidR="00C54D75">
        <w:rPr>
          <w:rFonts w:ascii="Sylfaen" w:hAnsi="Sylfaen"/>
          <w:i/>
          <w:sz w:val="24"/>
          <w:szCs w:val="24"/>
        </w:rPr>
        <w:t>և</w:t>
      </w:r>
      <w:r w:rsidRPr="00083E00">
        <w:rPr>
          <w:rFonts w:ascii="Sylfaen" w:hAnsi="Sylfaen"/>
          <w:i/>
          <w:sz w:val="24"/>
          <w:szCs w:val="24"/>
        </w:rPr>
        <w:t xml:space="preserve">է որոշման կամ ԱՊԹՀ-ի (անվտանգության վերաբերյալ պարբերաբար թարմացվող հաշվետվության) կատարման համար ձեռնարկվող միջոցները, ապա հարկ է համառոտ շարադրել դրան առնչվող նախորդ քննարկումը </w:t>
      </w:r>
      <w:r w:rsidR="00C54D75">
        <w:rPr>
          <w:rFonts w:ascii="Sylfaen" w:hAnsi="Sylfaen"/>
          <w:i/>
          <w:sz w:val="24"/>
          <w:szCs w:val="24"/>
        </w:rPr>
        <w:t>և</w:t>
      </w:r>
      <w:r w:rsidRPr="00083E00">
        <w:rPr>
          <w:rFonts w:ascii="Sylfaen" w:hAnsi="Sylfaen"/>
          <w:i/>
          <w:sz w:val="24"/>
          <w:szCs w:val="24"/>
        </w:rPr>
        <w:t xml:space="preserve"> եզրակացությունը:</w:t>
      </w:r>
    </w:p>
    <w:p w14:paraId="61387EDF" w14:textId="77777777" w:rsidR="004F5982" w:rsidRPr="00083E00" w:rsidRDefault="004F5982" w:rsidP="00487007">
      <w:pPr>
        <w:spacing w:after="160" w:line="360" w:lineRule="auto"/>
        <w:ind w:right="-2" w:firstLine="567"/>
        <w:jc w:val="both"/>
        <w:rPr>
          <w:rFonts w:ascii="Sylfaen" w:eastAsia="Times New Roman" w:hAnsi="Sylfaen" w:cs="Times New Roman"/>
          <w:i/>
          <w:sz w:val="24"/>
          <w:szCs w:val="24"/>
        </w:rPr>
      </w:pPr>
      <w:r w:rsidRPr="00083E00">
        <w:rPr>
          <w:rFonts w:ascii="Sylfaen" w:hAnsi="Sylfaen"/>
          <w:i/>
          <w:sz w:val="24"/>
          <w:szCs w:val="24"/>
        </w:rPr>
        <w:t xml:space="preserve">Գրանցման (վերագրանցման, փոփոխությունների կատարման) վերաբերյալ եզրակացության համապատասխան բաժիններում </w:t>
      </w:r>
      <w:r w:rsidR="00C54D75">
        <w:rPr>
          <w:rFonts w:ascii="Sylfaen" w:hAnsi="Sylfaen"/>
          <w:i/>
          <w:sz w:val="24"/>
          <w:szCs w:val="24"/>
        </w:rPr>
        <w:t>և</w:t>
      </w:r>
      <w:r w:rsidRPr="00083E00">
        <w:rPr>
          <w:rFonts w:ascii="Sylfaen" w:hAnsi="Sylfaen"/>
          <w:i/>
          <w:sz w:val="24"/>
          <w:szCs w:val="24"/>
        </w:rPr>
        <w:t xml:space="preserve"> ենթավերնագրում հարկ է պահպանել որակի ասպեկտների, նախակլինիկական </w:t>
      </w:r>
      <w:r w:rsidR="00C54D75">
        <w:rPr>
          <w:rFonts w:ascii="Sylfaen" w:hAnsi="Sylfaen"/>
          <w:i/>
          <w:sz w:val="24"/>
          <w:szCs w:val="24"/>
        </w:rPr>
        <w:t>և</w:t>
      </w:r>
      <w:r w:rsidRPr="00083E00">
        <w:rPr>
          <w:rFonts w:ascii="Sylfaen" w:hAnsi="Sylfaen"/>
          <w:i/>
          <w:sz w:val="24"/>
          <w:szCs w:val="24"/>
        </w:rPr>
        <w:t xml:space="preserve"> կլինիկական ասպեկտների վերաբերյալ համապատասխան դաշտերը, սակայն համապատասխան հիմնավորման դեպքում ձ</w:t>
      </w:r>
      <w:r w:rsidR="00C54D75">
        <w:rPr>
          <w:rFonts w:ascii="Sylfaen" w:hAnsi="Sylfaen"/>
          <w:i/>
          <w:sz w:val="24"/>
          <w:szCs w:val="24"/>
        </w:rPr>
        <w:t>և</w:t>
      </w:r>
      <w:r w:rsidRPr="00083E00">
        <w:rPr>
          <w:rFonts w:ascii="Sylfaen" w:hAnsi="Sylfaen"/>
          <w:i/>
          <w:sz w:val="24"/>
          <w:szCs w:val="24"/>
        </w:rPr>
        <w:t>ի փոփոխությունը թույլատրվում է: Հետ</w:t>
      </w:r>
      <w:r w:rsidR="00C54D75">
        <w:rPr>
          <w:rFonts w:ascii="Sylfaen" w:hAnsi="Sylfaen"/>
          <w:i/>
          <w:sz w:val="24"/>
          <w:szCs w:val="24"/>
        </w:rPr>
        <w:t>և</w:t>
      </w:r>
      <w:r w:rsidRPr="00083E00">
        <w:rPr>
          <w:rFonts w:ascii="Sylfaen" w:hAnsi="Sylfaen"/>
          <w:i/>
          <w:sz w:val="24"/>
          <w:szCs w:val="24"/>
        </w:rPr>
        <w:t>յալ մասերի վերաբերյալ տեղեկատվությունը կարող է ներառվել ենթավերնագրերի հետ միասին (անհրաժեշտության դեպքում)]:</w:t>
      </w:r>
    </w:p>
    <w:p w14:paraId="4F6827EC" w14:textId="77777777" w:rsidR="004F5982" w:rsidRDefault="004F5982" w:rsidP="00487007">
      <w:pPr>
        <w:spacing w:after="160" w:line="360" w:lineRule="auto"/>
        <w:jc w:val="both"/>
        <w:rPr>
          <w:rFonts w:ascii="Sylfaen" w:hAnsi="Sylfaen"/>
          <w:sz w:val="24"/>
          <w:szCs w:val="24"/>
        </w:rPr>
      </w:pPr>
    </w:p>
    <w:p w14:paraId="69D06CB0"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2.2. Որակի ասպեկտները</w:t>
      </w:r>
    </w:p>
    <w:p w14:paraId="7BE6819D"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2.3. Նախակլինիկական ասպեկտները</w:t>
      </w:r>
    </w:p>
    <w:p w14:paraId="55075088"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2.3.1. Մեթոդները՝ ներկայացված տվյալների վերլուծությունը</w:t>
      </w:r>
    </w:p>
    <w:p w14:paraId="14A94BD9"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2.3.2. Արդյունքները</w:t>
      </w:r>
    </w:p>
    <w:p w14:paraId="3DCF8086"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lastRenderedPageBreak/>
        <w:t>2.3.3. Քննարկումը</w:t>
      </w:r>
    </w:p>
    <w:p w14:paraId="5C827376"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2.4. Կլինիկական դեղաբանության ասպեկտները</w:t>
      </w:r>
    </w:p>
    <w:p w14:paraId="13946D75"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2.4.1. Մեթոդները՝ ներկայացված տվյալների վերլուծությունը</w:t>
      </w:r>
    </w:p>
    <w:p w14:paraId="4037D115"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2.4.2. Արդյունքները</w:t>
      </w:r>
    </w:p>
    <w:p w14:paraId="385CF995"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2.4.3. Քննարկումը</w:t>
      </w:r>
    </w:p>
    <w:p w14:paraId="61DF92A2"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2.5. Կլինիկական արդյունավետության ասպեկտները</w:t>
      </w:r>
    </w:p>
    <w:p w14:paraId="590931F5"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2.5.1. Մեթոդները՝ ներկայացված տվյալների վերլուծությունը</w:t>
      </w:r>
    </w:p>
    <w:p w14:paraId="50CE6D6D"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2.5.2. Արդյունքները</w:t>
      </w:r>
    </w:p>
    <w:p w14:paraId="1A48DE3E"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2.5.3. Քննարկումը</w:t>
      </w:r>
    </w:p>
    <w:p w14:paraId="7882BCB9"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2.6. Կլինիկական անվտանգության ասպեկտները</w:t>
      </w:r>
    </w:p>
    <w:p w14:paraId="4A8EFAFE"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2.6.1. Մեթոդները՝ ներկայացված տվյալների վերլուծությունը</w:t>
      </w:r>
    </w:p>
    <w:p w14:paraId="6A3FD0CA"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2.6.2. Արդյունքները</w:t>
      </w:r>
    </w:p>
    <w:p w14:paraId="2D39D284"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2.6.3. Քննարկումը</w:t>
      </w:r>
    </w:p>
    <w:p w14:paraId="1E4DD278" w14:textId="77777777" w:rsidR="004F5982" w:rsidRPr="00E74ADC" w:rsidRDefault="004F5982" w:rsidP="00487007">
      <w:pPr>
        <w:spacing w:after="160" w:line="360" w:lineRule="auto"/>
        <w:ind w:right="-2" w:firstLine="567"/>
        <w:jc w:val="both"/>
        <w:rPr>
          <w:rFonts w:ascii="Sylfaen" w:hAnsi="Sylfaen"/>
          <w:i/>
          <w:sz w:val="24"/>
          <w:szCs w:val="24"/>
        </w:rPr>
      </w:pPr>
      <w:r w:rsidRPr="00083E00">
        <w:rPr>
          <w:rFonts w:ascii="Sylfaen" w:hAnsi="Sylfaen"/>
          <w:i/>
          <w:sz w:val="24"/>
          <w:szCs w:val="24"/>
        </w:rPr>
        <w:t xml:space="preserve">[Այն դեպքում, երբ մի քանի պատրաստուկների մասով փոփոխությունների կատարման մասին հայտ է ներկայացվել, </w:t>
      </w:r>
      <w:r w:rsidR="00C54D75">
        <w:rPr>
          <w:rFonts w:ascii="Sylfaen" w:hAnsi="Sylfaen"/>
          <w:i/>
          <w:sz w:val="24"/>
          <w:szCs w:val="24"/>
        </w:rPr>
        <w:t>և</w:t>
      </w:r>
      <w:r w:rsidRPr="00083E00">
        <w:rPr>
          <w:rFonts w:ascii="Sylfaen" w:hAnsi="Sylfaen"/>
          <w:i/>
          <w:sz w:val="24"/>
          <w:szCs w:val="24"/>
        </w:rPr>
        <w:t xml:space="preserve"> դիրքերից որ</w:t>
      </w:r>
      <w:r w:rsidR="00C54D75">
        <w:rPr>
          <w:rFonts w:ascii="Sylfaen" w:hAnsi="Sylfaen"/>
          <w:i/>
          <w:sz w:val="24"/>
          <w:szCs w:val="24"/>
        </w:rPr>
        <w:t>և</w:t>
      </w:r>
      <w:r w:rsidRPr="00083E00">
        <w:rPr>
          <w:rFonts w:ascii="Sylfaen" w:hAnsi="Sylfaen"/>
          <w:i/>
          <w:sz w:val="24"/>
          <w:szCs w:val="24"/>
        </w:rPr>
        <w:t>է մեկում փորձագետները տարակարծիք են եղել դեղապատրաստուկների խմբի հարցում, այն անհրաժեշտ է առանձին նկարագրել՝ յուրաքանչյուր դեղապատրաստուկի մասով]:</w:t>
      </w:r>
    </w:p>
    <w:p w14:paraId="2A900822" w14:textId="77777777" w:rsidR="00487007" w:rsidRPr="00E74ADC" w:rsidRDefault="00487007" w:rsidP="00487007">
      <w:pPr>
        <w:spacing w:after="160" w:line="360" w:lineRule="auto"/>
        <w:ind w:right="-2" w:firstLine="567"/>
        <w:jc w:val="both"/>
        <w:rPr>
          <w:rFonts w:ascii="Sylfaen" w:eastAsia="Times New Roman" w:hAnsi="Sylfaen" w:cs="Times New Roman"/>
          <w:i/>
          <w:sz w:val="24"/>
          <w:szCs w:val="24"/>
        </w:rPr>
      </w:pPr>
    </w:p>
    <w:p w14:paraId="7294BF37"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2.7. Դեղաբանական վերահսկողության համակարգը</w:t>
      </w:r>
    </w:p>
    <w:p w14:paraId="4F788A08"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 xml:space="preserve">Փորձագետը համարում է, որ դեղազգոնության համակարգը, ինչպես նկարագրված է հայտատուի կողմից, բավարարում է Եվրասիական տնտեսական միության (այսուհետ՝ Միություն) դեղազգոնության պատշաճ գործունեության կանոնների պահանջները </w:t>
      </w:r>
      <w:r w:rsidR="00C54D75">
        <w:rPr>
          <w:rFonts w:ascii="Sylfaen" w:hAnsi="Sylfaen"/>
          <w:sz w:val="24"/>
          <w:szCs w:val="24"/>
        </w:rPr>
        <w:t>և</w:t>
      </w:r>
      <w:r w:rsidRPr="00826F05">
        <w:rPr>
          <w:rFonts w:ascii="Sylfaen" w:hAnsi="Sylfaen"/>
          <w:sz w:val="24"/>
          <w:szCs w:val="24"/>
        </w:rPr>
        <w:t xml:space="preserve"> ներկայացնում է բավարար ապացույցներ այն մասին, որ հայտատուն օգտվում է դեղազգոնության համար պատասխանատու </w:t>
      </w:r>
      <w:r w:rsidRPr="00826F05">
        <w:rPr>
          <w:rFonts w:ascii="Sylfaen" w:hAnsi="Sylfaen"/>
          <w:sz w:val="24"/>
          <w:szCs w:val="24"/>
        </w:rPr>
        <w:lastRenderedPageBreak/>
        <w:t xml:space="preserve">որակավորված անձի ծառայություններից </w:t>
      </w:r>
      <w:r w:rsidR="00C54D75">
        <w:rPr>
          <w:rFonts w:ascii="Sylfaen" w:hAnsi="Sylfaen"/>
          <w:sz w:val="24"/>
          <w:szCs w:val="24"/>
        </w:rPr>
        <w:t>և</w:t>
      </w:r>
      <w:r w:rsidRPr="00826F05">
        <w:rPr>
          <w:rFonts w:ascii="Sylfaen" w:hAnsi="Sylfaen"/>
          <w:sz w:val="24"/>
          <w:szCs w:val="24"/>
        </w:rPr>
        <w:t xml:space="preserve"> անհրաժեշտ միջոցներ ունի ցանկացած այնպիսի անբարենպաստ ռեակցիայի մասին ծանուցելու համար, որը կարող է տեղի ունենալ Միության անդամ պետություններում (այսուհետ՝ անդամ պետություններ) կամ Միության անդամ չհանդիսացող պետությունում:</w:t>
      </w:r>
    </w:p>
    <w:p w14:paraId="5E5421D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Փորձագետը համարում է, որ դեղազգոնության համակարգը, ինչպես նկարագրված է հայտատուի կողմից, ունի հետ</w:t>
      </w:r>
      <w:r w:rsidR="00C54D75">
        <w:rPr>
          <w:rFonts w:ascii="Sylfaen" w:hAnsi="Sylfaen"/>
          <w:sz w:val="24"/>
          <w:szCs w:val="24"/>
        </w:rPr>
        <w:t>և</w:t>
      </w:r>
      <w:r w:rsidRPr="00826F05">
        <w:rPr>
          <w:rFonts w:ascii="Sylfaen" w:hAnsi="Sylfaen"/>
          <w:sz w:val="24"/>
          <w:szCs w:val="24"/>
        </w:rPr>
        <w:t xml:space="preserve">յալ թերությունները՝ </w:t>
      </w:r>
      <w:r w:rsidRPr="0011208A">
        <w:rPr>
          <w:rFonts w:ascii="Sylfaen" w:hAnsi="Sylfaen"/>
          <w:i/>
          <w:sz w:val="24"/>
          <w:szCs w:val="24"/>
        </w:rPr>
        <w:t>&lt;նշել թերությունները&gt;:</w:t>
      </w:r>
    </w:p>
    <w:p w14:paraId="5CA3BD4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Պայմանով, որ թերությունները կվերացվեն նախքան հայտատուի կողմից դեղապատրաստուկը շուկայում ներկայացնելը, անդամ պետության լիազորված փորձագիտական կազմակերպությունը կարող է համարել, որ դեղազգոնության համակարգը կբավարարի պահանջները: Նախքան ապրանքի շուկայում հայտնվելը հայտատուն պետք է համոզվի, որ դեղազգոնության համակարգն առկա</w:t>
      </w:r>
      <w:r>
        <w:rPr>
          <w:rFonts w:ascii="Sylfaen" w:hAnsi="Sylfaen"/>
          <w:sz w:val="24"/>
          <w:szCs w:val="24"/>
        </w:rPr>
        <w:t> </w:t>
      </w:r>
      <w:r w:rsidRPr="00826F05">
        <w:rPr>
          <w:rFonts w:ascii="Sylfaen" w:hAnsi="Sylfaen"/>
          <w:sz w:val="24"/>
          <w:szCs w:val="24"/>
        </w:rPr>
        <w:t xml:space="preserve">է </w:t>
      </w:r>
      <w:r w:rsidR="00C54D75">
        <w:rPr>
          <w:rFonts w:ascii="Sylfaen" w:hAnsi="Sylfaen"/>
          <w:sz w:val="24"/>
          <w:szCs w:val="24"/>
        </w:rPr>
        <w:t>և</w:t>
      </w:r>
      <w:r w:rsidRPr="00826F05">
        <w:rPr>
          <w:rFonts w:ascii="Sylfaen" w:hAnsi="Sylfaen"/>
          <w:sz w:val="24"/>
          <w:szCs w:val="24"/>
        </w:rPr>
        <w:t xml:space="preserve"> գործում է անսխալ: </w:t>
      </w:r>
    </w:p>
    <w:p w14:paraId="10A21EA6" w14:textId="77777777" w:rsidR="004F5982" w:rsidRPr="00826F05" w:rsidRDefault="004F5982" w:rsidP="00487007">
      <w:pPr>
        <w:spacing w:after="160" w:line="360" w:lineRule="auto"/>
        <w:ind w:firstLine="567"/>
        <w:jc w:val="both"/>
        <w:rPr>
          <w:rFonts w:ascii="Sylfaen" w:hAnsi="Sylfaen"/>
          <w:sz w:val="24"/>
          <w:szCs w:val="24"/>
        </w:rPr>
      </w:pPr>
    </w:p>
    <w:p w14:paraId="367E7A75"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2.8. Ռիսկերի կառավարման պլանը</w:t>
      </w:r>
    </w:p>
    <w:p w14:paraId="2D2C9E2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[Փորձագետը պետք է ՌԿՊ -ում (ռիսկերի կառավարման պլանում) որ</w:t>
      </w:r>
      <w:r w:rsidR="00C54D75">
        <w:rPr>
          <w:rFonts w:ascii="Sylfaen" w:hAnsi="Sylfaen"/>
          <w:i/>
          <w:sz w:val="24"/>
          <w:szCs w:val="24"/>
        </w:rPr>
        <w:t>և</w:t>
      </w:r>
      <w:r w:rsidRPr="00826F05">
        <w:rPr>
          <w:rFonts w:ascii="Sylfaen" w:hAnsi="Sylfaen"/>
          <w:i/>
          <w:sz w:val="24"/>
          <w:szCs w:val="24"/>
        </w:rPr>
        <w:t xml:space="preserve">է լուրջ խնդիրների նույնականացմանը զուգահեռ անցկացնի հավելվածի առաջին ընդհանուր գնահատումը։ Եթե անդամ պետության լիազորված փորձագիտական կազմակերպությունում ստեղծված են դեղազգոնության ոլորտում իրականացվող աշխատանքների համար պատասխանատու կազմակերպչական կառույցներ (այսուհետ՝ ԴՈԱՊԿԿ), փորձագետների համար դրանց խորհրդատվությունն օգտակար կլիներ եզրակացության տվյալ բաժինը լրացնելիս: Դրանում նշվում են նախակլինիկական անվտանգության մասով հատուկ եզրահանգումներ, դեղապատրաստուկի դեղաբանության կլինիկական հետազոտությունների մասին պլանում </w:t>
      </w:r>
      <w:r w:rsidR="00C54D75">
        <w:rPr>
          <w:rFonts w:ascii="Sylfaen" w:hAnsi="Sylfaen"/>
          <w:i/>
          <w:sz w:val="24"/>
          <w:szCs w:val="24"/>
        </w:rPr>
        <w:t>և</w:t>
      </w:r>
      <w:r w:rsidRPr="00826F05">
        <w:rPr>
          <w:rFonts w:ascii="Sylfaen" w:hAnsi="Sylfaen"/>
          <w:i/>
          <w:sz w:val="24"/>
          <w:szCs w:val="24"/>
        </w:rPr>
        <w:t xml:space="preserve"> (կամ) հաշվետվությունում հետազոտությունների (կամ</w:t>
      </w:r>
      <w:r>
        <w:rPr>
          <w:rFonts w:ascii="Sylfaen" w:hAnsi="Sylfaen"/>
          <w:i/>
          <w:sz w:val="24"/>
          <w:szCs w:val="24"/>
        </w:rPr>
        <w:t> </w:t>
      </w:r>
      <w:r w:rsidRPr="00826F05">
        <w:rPr>
          <w:rFonts w:ascii="Sylfaen" w:hAnsi="Sylfaen"/>
          <w:i/>
          <w:sz w:val="24"/>
          <w:szCs w:val="24"/>
        </w:rPr>
        <w:t xml:space="preserve">տեղեկությունների) մասի բացակայությունը, կլինիկական հետազոտությունների շրջանակներում անվտանգության հնարավոր ազդանշաններ </w:t>
      </w:r>
      <w:r w:rsidR="00C54D75">
        <w:rPr>
          <w:rFonts w:ascii="Sylfaen" w:hAnsi="Sylfaen"/>
          <w:i/>
          <w:sz w:val="24"/>
          <w:szCs w:val="24"/>
        </w:rPr>
        <w:t>և</w:t>
      </w:r>
      <w:r w:rsidRPr="00826F05">
        <w:rPr>
          <w:rFonts w:ascii="Sylfaen" w:hAnsi="Sylfaen"/>
          <w:i/>
          <w:sz w:val="24"/>
          <w:szCs w:val="24"/>
        </w:rPr>
        <w:t xml:space="preserve"> այլն: Այդ փուլում հատկապես կար</w:t>
      </w:r>
      <w:r w:rsidR="00C54D75">
        <w:rPr>
          <w:rFonts w:ascii="Sylfaen" w:hAnsi="Sylfaen"/>
          <w:i/>
          <w:sz w:val="24"/>
          <w:szCs w:val="24"/>
        </w:rPr>
        <w:t>և</w:t>
      </w:r>
      <w:r w:rsidRPr="00826F05">
        <w:rPr>
          <w:rFonts w:ascii="Sylfaen" w:hAnsi="Sylfaen"/>
          <w:i/>
          <w:sz w:val="24"/>
          <w:szCs w:val="24"/>
        </w:rPr>
        <w:t xml:space="preserve">որ է, որ անվտանգության </w:t>
      </w:r>
      <w:r w:rsidRPr="00826F05">
        <w:rPr>
          <w:rFonts w:ascii="Sylfaen" w:hAnsi="Sylfaen"/>
          <w:i/>
          <w:sz w:val="24"/>
          <w:szCs w:val="24"/>
        </w:rPr>
        <w:lastRenderedPageBreak/>
        <w:t>հետ կապված խնդիրները նույնականացվեն (հայտնաբերված կար</w:t>
      </w:r>
      <w:r w:rsidR="00C54D75">
        <w:rPr>
          <w:rFonts w:ascii="Sylfaen" w:hAnsi="Sylfaen"/>
          <w:i/>
          <w:sz w:val="24"/>
          <w:szCs w:val="24"/>
        </w:rPr>
        <w:t>և</w:t>
      </w:r>
      <w:r w:rsidRPr="00826F05">
        <w:rPr>
          <w:rFonts w:ascii="Sylfaen" w:hAnsi="Sylfaen"/>
          <w:i/>
          <w:sz w:val="24"/>
          <w:szCs w:val="24"/>
        </w:rPr>
        <w:t>որ ռիսկերը, հնարավոր կար</w:t>
      </w:r>
      <w:r w:rsidR="00C54D75">
        <w:rPr>
          <w:rFonts w:ascii="Sylfaen" w:hAnsi="Sylfaen"/>
          <w:i/>
          <w:sz w:val="24"/>
          <w:szCs w:val="24"/>
        </w:rPr>
        <w:t>և</w:t>
      </w:r>
      <w:r w:rsidRPr="00826F05">
        <w:rPr>
          <w:rFonts w:ascii="Sylfaen" w:hAnsi="Sylfaen"/>
          <w:i/>
          <w:sz w:val="24"/>
          <w:szCs w:val="24"/>
        </w:rPr>
        <w:t>որ ռիսկերը, կար</w:t>
      </w:r>
      <w:r w:rsidR="00C54D75">
        <w:rPr>
          <w:rFonts w:ascii="Sylfaen" w:hAnsi="Sylfaen"/>
          <w:i/>
          <w:sz w:val="24"/>
          <w:szCs w:val="24"/>
        </w:rPr>
        <w:t>և</w:t>
      </w:r>
      <w:r w:rsidRPr="00826F05">
        <w:rPr>
          <w:rFonts w:ascii="Sylfaen" w:hAnsi="Sylfaen"/>
          <w:i/>
          <w:sz w:val="24"/>
          <w:szCs w:val="24"/>
        </w:rPr>
        <w:t>որ պակասող տեղեկատվությունը): Սա</w:t>
      </w:r>
      <w:r>
        <w:rPr>
          <w:rFonts w:ascii="Sylfaen" w:hAnsi="Sylfaen"/>
          <w:i/>
          <w:sz w:val="24"/>
          <w:szCs w:val="24"/>
        </w:rPr>
        <w:t> </w:t>
      </w:r>
      <w:r w:rsidRPr="00826F05">
        <w:rPr>
          <w:rFonts w:ascii="Sylfaen" w:hAnsi="Sylfaen"/>
          <w:i/>
          <w:sz w:val="24"/>
          <w:szCs w:val="24"/>
        </w:rPr>
        <w:t>առավել կար</w:t>
      </w:r>
      <w:r w:rsidR="00C54D75">
        <w:rPr>
          <w:rFonts w:ascii="Sylfaen" w:hAnsi="Sylfaen"/>
          <w:i/>
          <w:sz w:val="24"/>
          <w:szCs w:val="24"/>
        </w:rPr>
        <w:t>և</w:t>
      </w:r>
      <w:r w:rsidRPr="00826F05">
        <w:rPr>
          <w:rFonts w:ascii="Sylfaen" w:hAnsi="Sylfaen"/>
          <w:i/>
          <w:sz w:val="24"/>
          <w:szCs w:val="24"/>
        </w:rPr>
        <w:t xml:space="preserve">որ է, եթե այդ հարցերն ավելի վաղ դոսյեում չեն սահմանվել հայտատուի կողմից </w:t>
      </w:r>
      <w:r w:rsidR="00C54D75">
        <w:rPr>
          <w:rFonts w:ascii="Sylfaen" w:hAnsi="Sylfaen"/>
          <w:i/>
          <w:sz w:val="24"/>
          <w:szCs w:val="24"/>
        </w:rPr>
        <w:t>և</w:t>
      </w:r>
      <w:r w:rsidRPr="00826F05">
        <w:rPr>
          <w:rFonts w:ascii="Sylfaen" w:hAnsi="Sylfaen"/>
          <w:i/>
          <w:sz w:val="24"/>
          <w:szCs w:val="24"/>
        </w:rPr>
        <w:t xml:space="preserve"> հետ</w:t>
      </w:r>
      <w:r w:rsidR="00C54D75">
        <w:rPr>
          <w:rFonts w:ascii="Sylfaen" w:hAnsi="Sylfaen"/>
          <w:i/>
          <w:sz w:val="24"/>
          <w:szCs w:val="24"/>
        </w:rPr>
        <w:t>և</w:t>
      </w:r>
      <w:r w:rsidRPr="00826F05">
        <w:rPr>
          <w:rFonts w:ascii="Sylfaen" w:hAnsi="Sylfaen"/>
          <w:i/>
          <w:sz w:val="24"/>
          <w:szCs w:val="24"/>
        </w:rPr>
        <w:t>աբար քիչ հավանական է, որ հետագայում արտացոլվեն ՌԿՊ-ում:</w:t>
      </w:r>
    </w:p>
    <w:p w14:paraId="23BC8BE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11208A">
        <w:rPr>
          <w:rFonts w:ascii="Sylfaen" w:hAnsi="Sylfaen"/>
          <w:i/>
          <w:spacing w:val="-6"/>
          <w:sz w:val="24"/>
          <w:szCs w:val="24"/>
        </w:rPr>
        <w:t>ԴՈԱՊԿԿ-ն փորձագետին ապահովում է նա</w:t>
      </w:r>
      <w:r w:rsidR="00C54D75">
        <w:rPr>
          <w:rFonts w:ascii="Sylfaen" w:hAnsi="Sylfaen"/>
          <w:i/>
          <w:spacing w:val="-6"/>
          <w:sz w:val="24"/>
          <w:szCs w:val="24"/>
        </w:rPr>
        <w:t>և</w:t>
      </w:r>
      <w:r w:rsidRPr="0011208A">
        <w:rPr>
          <w:rFonts w:ascii="Sylfaen" w:hAnsi="Sylfaen"/>
          <w:i/>
          <w:spacing w:val="-6"/>
          <w:sz w:val="24"/>
          <w:szCs w:val="24"/>
        </w:rPr>
        <w:t xml:space="preserve"> ՌԿՊ-ի գնահատման վերաբերյալ առաջարկություններով: Այդ խորհուրդը պետք է մասամբ հիմնված լինի դոսյեի փորձագիտական գնահատականների վրա, հետ</w:t>
      </w:r>
      <w:r w:rsidR="00C54D75">
        <w:rPr>
          <w:rFonts w:ascii="Sylfaen" w:hAnsi="Sylfaen"/>
          <w:i/>
          <w:spacing w:val="-6"/>
          <w:sz w:val="24"/>
          <w:szCs w:val="24"/>
        </w:rPr>
        <w:t>և</w:t>
      </w:r>
      <w:r w:rsidRPr="0011208A">
        <w:rPr>
          <w:rFonts w:ascii="Sylfaen" w:hAnsi="Sylfaen"/>
          <w:i/>
          <w:spacing w:val="-6"/>
          <w:sz w:val="24"/>
          <w:szCs w:val="24"/>
        </w:rPr>
        <w:t>աբար</w:t>
      </w:r>
      <w:r w:rsidRPr="00826F05">
        <w:rPr>
          <w:rFonts w:ascii="Sylfaen" w:hAnsi="Sylfaen"/>
          <w:i/>
          <w:sz w:val="24"/>
          <w:szCs w:val="24"/>
        </w:rPr>
        <w:t xml:space="preserve"> М3-М5 մոդուլների (Կանոնների թիվ 6-8 հավելվածներ) վերաբերյալ փորձագիտական հաշվետվությունները փորձագետի համար կդառնան տեղեկատվության կար</w:t>
      </w:r>
      <w:r w:rsidR="00C54D75">
        <w:rPr>
          <w:rFonts w:ascii="Sylfaen" w:hAnsi="Sylfaen"/>
          <w:i/>
          <w:sz w:val="24"/>
          <w:szCs w:val="24"/>
        </w:rPr>
        <w:t>և</w:t>
      </w:r>
      <w:r w:rsidRPr="00826F05">
        <w:rPr>
          <w:rFonts w:ascii="Sylfaen" w:hAnsi="Sylfaen"/>
          <w:i/>
          <w:sz w:val="24"/>
          <w:szCs w:val="24"/>
        </w:rPr>
        <w:t xml:space="preserve">որ աղբյուր: </w:t>
      </w:r>
    </w:p>
    <w:p w14:paraId="1350AE56"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ԴՈԱՊԿԿ-ի խորհրդատվությունը ստացվելու դեպքում այն պետք է ներառվի եզրակացության նախագծում (դիտողությունների ցանկում)՝ քննարկման համար: Կար</w:t>
      </w:r>
      <w:r w:rsidR="00C54D75">
        <w:rPr>
          <w:rFonts w:ascii="Sylfaen" w:hAnsi="Sylfaen"/>
          <w:i/>
          <w:sz w:val="24"/>
          <w:szCs w:val="24"/>
        </w:rPr>
        <w:t>և</w:t>
      </w:r>
      <w:r w:rsidRPr="00826F05">
        <w:rPr>
          <w:rFonts w:ascii="Sylfaen" w:hAnsi="Sylfaen"/>
          <w:i/>
          <w:sz w:val="24"/>
          <w:szCs w:val="24"/>
        </w:rPr>
        <w:t>որ է նշել, որ ԴՈԱՊԿԿ-ի այդ խորհրդատվությունները նա</w:t>
      </w:r>
      <w:r w:rsidR="00C54D75">
        <w:rPr>
          <w:rFonts w:ascii="Sylfaen" w:hAnsi="Sylfaen"/>
          <w:i/>
          <w:sz w:val="24"/>
          <w:szCs w:val="24"/>
        </w:rPr>
        <w:t>և</w:t>
      </w:r>
      <w:r w:rsidRPr="00826F05">
        <w:rPr>
          <w:rFonts w:ascii="Sylfaen" w:hAnsi="Sylfaen"/>
          <w:i/>
          <w:sz w:val="24"/>
          <w:szCs w:val="24"/>
        </w:rPr>
        <w:t xml:space="preserve"> կարող են պարունակել ՌԿՊ-ի վերաբերյալ առաջարկվող հարցեր, որոնք կավելացվեն փորձագետի եզրակացության նախագծում: Եթե փորձագետը խուսափում է ԴՈԱՊԿԿ-ի խորհուրդներին հետ</w:t>
      </w:r>
      <w:r w:rsidR="00C54D75">
        <w:rPr>
          <w:rFonts w:ascii="Sylfaen" w:hAnsi="Sylfaen"/>
          <w:i/>
          <w:sz w:val="24"/>
          <w:szCs w:val="24"/>
        </w:rPr>
        <w:t>և</w:t>
      </w:r>
      <w:r w:rsidRPr="00826F05">
        <w:rPr>
          <w:rFonts w:ascii="Sylfaen" w:hAnsi="Sylfaen"/>
          <w:i/>
          <w:sz w:val="24"/>
          <w:szCs w:val="24"/>
        </w:rPr>
        <w:t>ելուց, այդ հարցը պետք է քննարկվի անդամ պետության լիազորված փորձագիտական կազմակերպության մակարդակով]:</w:t>
      </w:r>
    </w:p>
    <w:p w14:paraId="193CC54D"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ՌԿՊ-ի գնահատման ժամանակ ԴՈԱՊԿԿ-ի խորհրդատվությունից հետո փորձագետի կողմից ուսումնասիրման համար հարցերը </w:t>
      </w:r>
      <w:r w:rsidR="00C54D75">
        <w:rPr>
          <w:rFonts w:ascii="Sylfaen" w:hAnsi="Sylfaen"/>
          <w:sz w:val="24"/>
          <w:szCs w:val="24"/>
        </w:rPr>
        <w:t>և</w:t>
      </w:r>
      <w:r w:rsidRPr="00826F05">
        <w:rPr>
          <w:rFonts w:ascii="Sylfaen" w:hAnsi="Sylfaen"/>
          <w:sz w:val="24"/>
          <w:szCs w:val="24"/>
        </w:rPr>
        <w:t xml:space="preserve"> (կամ) խնդիրները՝</w:t>
      </w:r>
    </w:p>
    <w:p w14:paraId="4B69ED5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[Արտացոլել այն հարցերն ու խնդիրները, որոնք հայտնաբերվել են հայտի ընդհանուր գնահատման ժամանակ, որոնք հարկ է ուսումնասիրել ԴՈԱՊԿԿ-ի կողմից ռիսկերի կառավարման պլանի գնահատման ժամանակ]։</w:t>
      </w:r>
    </w:p>
    <w:p w14:paraId="39C22E2B" w14:textId="77777777" w:rsidR="004F5982" w:rsidRDefault="004F5982" w:rsidP="00487007">
      <w:pPr>
        <w:spacing w:after="160" w:line="360" w:lineRule="auto"/>
        <w:ind w:left="567" w:right="565"/>
        <w:jc w:val="center"/>
        <w:rPr>
          <w:rFonts w:ascii="Sylfaen" w:hAnsi="Sylfaen"/>
          <w:sz w:val="24"/>
          <w:szCs w:val="24"/>
        </w:rPr>
      </w:pPr>
    </w:p>
    <w:p w14:paraId="6971F71E"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2.9. Դեղապատրաստուկի ընդհանուր բնութագրում տեղ գտած փոփոխությունները</w:t>
      </w:r>
    </w:p>
    <w:p w14:paraId="54222F6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[Դեղապատրաստուկի ընդհանուր բնութագրում կատարվող փոփոխությունները պետք է նկարագրվեն </w:t>
      </w:r>
      <w:r w:rsidR="00C54D75">
        <w:rPr>
          <w:rFonts w:ascii="Sylfaen" w:hAnsi="Sylfaen"/>
          <w:i/>
          <w:sz w:val="24"/>
          <w:szCs w:val="24"/>
        </w:rPr>
        <w:t>և</w:t>
      </w:r>
      <w:r w:rsidRPr="00826F05">
        <w:rPr>
          <w:rFonts w:ascii="Sylfaen" w:hAnsi="Sylfaen"/>
          <w:i/>
          <w:sz w:val="24"/>
          <w:szCs w:val="24"/>
        </w:rPr>
        <w:t xml:space="preserve"> ներկայացվեն որպես նոր տեքստ այն </w:t>
      </w:r>
      <w:r w:rsidRPr="00826F05">
        <w:rPr>
          <w:rFonts w:ascii="Sylfaen" w:hAnsi="Sylfaen"/>
          <w:i/>
          <w:sz w:val="24"/>
          <w:szCs w:val="24"/>
        </w:rPr>
        <w:lastRenderedPageBreak/>
        <w:t xml:space="preserve">ընդգծված </w:t>
      </w:r>
      <w:r w:rsidR="00C54D75">
        <w:rPr>
          <w:rFonts w:ascii="Sylfaen" w:hAnsi="Sylfaen"/>
          <w:i/>
          <w:sz w:val="24"/>
          <w:szCs w:val="24"/>
        </w:rPr>
        <w:t>և</w:t>
      </w:r>
      <w:r w:rsidRPr="00826F05">
        <w:rPr>
          <w:rFonts w:ascii="Sylfaen" w:hAnsi="Sylfaen"/>
          <w:i/>
          <w:sz w:val="24"/>
          <w:szCs w:val="24"/>
        </w:rPr>
        <w:t xml:space="preserve"> հեռացված տեքստով, որը նշվել է որպես ջնջված: Սակայն եթե այդ փոփոխությունները չափազանց շատ են, դեղապատրաստուկի ընդհանուր բնութագրի (ԴԸԲ) համապատասխան բաժիններում փոփոխությունները կարող են ամփոփվել </w:t>
      </w:r>
      <w:r w:rsidR="00C54D75">
        <w:rPr>
          <w:rFonts w:ascii="Sylfaen" w:hAnsi="Sylfaen"/>
          <w:i/>
          <w:sz w:val="24"/>
          <w:szCs w:val="24"/>
        </w:rPr>
        <w:t>և</w:t>
      </w:r>
      <w:r w:rsidRPr="00826F05">
        <w:rPr>
          <w:rFonts w:ascii="Sylfaen" w:hAnsi="Sylfaen"/>
          <w:i/>
          <w:sz w:val="24"/>
          <w:szCs w:val="24"/>
        </w:rPr>
        <w:t xml:space="preserve"> կարող են կատարվել հղումներ]:</w:t>
      </w:r>
    </w:p>
    <w:p w14:paraId="3E80BB9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Գրանցման հավաստագրի իրավատիրոջ կողմից առաջարկվել են ԴԸԲ-ում հետ</w:t>
      </w:r>
      <w:r w:rsidR="00C54D75">
        <w:rPr>
          <w:rFonts w:ascii="Sylfaen" w:hAnsi="Sylfaen"/>
          <w:sz w:val="24"/>
          <w:szCs w:val="24"/>
        </w:rPr>
        <w:t>և</w:t>
      </w:r>
      <w:r w:rsidRPr="00826F05">
        <w:rPr>
          <w:rFonts w:ascii="Sylfaen" w:hAnsi="Sylfaen"/>
          <w:sz w:val="24"/>
          <w:szCs w:val="24"/>
        </w:rPr>
        <w:t>յալ փոփոխությունները՝ &lt;</w:t>
      </w:r>
      <w:r w:rsidRPr="00826F05">
        <w:rPr>
          <w:rFonts w:ascii="Sylfaen" w:hAnsi="Sylfaen"/>
          <w:i/>
          <w:sz w:val="24"/>
          <w:szCs w:val="24"/>
        </w:rPr>
        <w:t>թվարկել փոփոխությունները</w:t>
      </w:r>
      <w:r w:rsidRPr="00826F05">
        <w:rPr>
          <w:rFonts w:ascii="Sylfaen" w:hAnsi="Sylfaen"/>
          <w:sz w:val="24"/>
          <w:szCs w:val="24"/>
        </w:rPr>
        <w:t>&gt;:</w:t>
      </w:r>
    </w:p>
    <w:p w14:paraId="6BAA36E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Զեկուցողը վեր</w:t>
      </w:r>
      <w:r w:rsidR="00C54D75">
        <w:rPr>
          <w:rFonts w:ascii="Sylfaen" w:hAnsi="Sylfaen"/>
          <w:sz w:val="24"/>
          <w:szCs w:val="24"/>
        </w:rPr>
        <w:t>և</w:t>
      </w:r>
      <w:r w:rsidRPr="00826F05">
        <w:rPr>
          <w:rFonts w:ascii="Sylfaen" w:hAnsi="Sylfaen"/>
          <w:sz w:val="24"/>
          <w:szCs w:val="24"/>
        </w:rPr>
        <w:t xml:space="preserve">ում մանրամասն ուսումնասիրված պատճառներով պահանջում է ԴԸԲ-ում </w:t>
      </w:r>
      <w:r w:rsidRPr="0011208A">
        <w:rPr>
          <w:rFonts w:ascii="Sylfaen" w:hAnsi="Sylfaen"/>
          <w:i/>
          <w:sz w:val="24"/>
          <w:szCs w:val="24"/>
        </w:rPr>
        <w:t>&lt;հետ</w:t>
      </w:r>
      <w:r w:rsidR="00C54D75">
        <w:rPr>
          <w:rFonts w:ascii="Sylfaen" w:hAnsi="Sylfaen"/>
          <w:i/>
          <w:sz w:val="24"/>
          <w:szCs w:val="24"/>
        </w:rPr>
        <w:t>և</w:t>
      </w:r>
      <w:r w:rsidRPr="0011208A">
        <w:rPr>
          <w:rFonts w:ascii="Sylfaen" w:hAnsi="Sylfaen"/>
          <w:i/>
          <w:sz w:val="24"/>
          <w:szCs w:val="24"/>
        </w:rPr>
        <w:t>յալ&gt;</w:t>
      </w:r>
      <w:r w:rsidRPr="00826F05">
        <w:rPr>
          <w:rFonts w:ascii="Sylfaen" w:hAnsi="Sylfaen"/>
          <w:sz w:val="24"/>
          <w:szCs w:val="24"/>
        </w:rPr>
        <w:t xml:space="preserve"> </w:t>
      </w:r>
      <w:r w:rsidRPr="0011208A">
        <w:rPr>
          <w:rFonts w:ascii="Sylfaen" w:hAnsi="Sylfaen"/>
          <w:i/>
          <w:sz w:val="24"/>
          <w:szCs w:val="24"/>
        </w:rPr>
        <w:t>&lt;լրացուցիչ&gt;</w:t>
      </w:r>
      <w:r w:rsidRPr="00826F05">
        <w:rPr>
          <w:rFonts w:ascii="Sylfaen" w:hAnsi="Sylfaen"/>
          <w:sz w:val="24"/>
          <w:szCs w:val="24"/>
        </w:rPr>
        <w:t xml:space="preserve"> ուղղումների կատարումը՝ </w:t>
      </w:r>
      <w:r w:rsidRPr="00826F05">
        <w:rPr>
          <w:rFonts w:ascii="Sylfaen" w:hAnsi="Sylfaen"/>
          <w:i/>
          <w:sz w:val="24"/>
          <w:szCs w:val="24"/>
        </w:rPr>
        <w:t xml:space="preserve">&lt;Ներառե՛ք այն կետերի համառոտ նկարագրությունը, որոնցում առաջարկվում են ենթադրյալ փոփոխությունների հետագա ուղղումներ, </w:t>
      </w:r>
      <w:r w:rsidR="00C54D75">
        <w:rPr>
          <w:rFonts w:ascii="Sylfaen" w:hAnsi="Sylfaen"/>
          <w:i/>
          <w:sz w:val="24"/>
          <w:szCs w:val="24"/>
        </w:rPr>
        <w:t>և</w:t>
      </w:r>
      <w:r w:rsidRPr="00826F05">
        <w:rPr>
          <w:rFonts w:ascii="Sylfaen" w:hAnsi="Sylfaen"/>
          <w:i/>
          <w:sz w:val="24"/>
          <w:szCs w:val="24"/>
        </w:rPr>
        <w:t xml:space="preserve"> այդ հարցումների պատճառները&gt;:</w:t>
      </w:r>
    </w:p>
    <w:p w14:paraId="7C09E11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Փոփոխությունները նա</w:t>
      </w:r>
      <w:r w:rsidR="00C54D75">
        <w:rPr>
          <w:rFonts w:ascii="Sylfaen" w:hAnsi="Sylfaen"/>
          <w:sz w:val="24"/>
          <w:szCs w:val="24"/>
        </w:rPr>
        <w:t>և</w:t>
      </w:r>
      <w:r w:rsidRPr="00826F05">
        <w:rPr>
          <w:rFonts w:ascii="Sylfaen" w:hAnsi="Sylfaen"/>
          <w:sz w:val="24"/>
          <w:szCs w:val="24"/>
        </w:rPr>
        <w:t xml:space="preserve"> ներառվել են բժշկական կիրառման հրահանգում (ներդիր-թերթիկում) (ԲԿՀ-ում (ՆԹ-ում)), որպեսզի այն համապատասխանեցվի ԴԸԲ-ի ընթացիկ խմբագրությանը՝ Եվրասիական տնտեսական հանձնաժողովի կողմից հաստատվող Բժշկական կիրառման դեղապատրաստուկի ընդհանուր բնութագրին ներկայացվող պահանջներին </w:t>
      </w:r>
      <w:r w:rsidR="00C54D75">
        <w:rPr>
          <w:rFonts w:ascii="Sylfaen" w:hAnsi="Sylfaen"/>
          <w:sz w:val="24"/>
          <w:szCs w:val="24"/>
        </w:rPr>
        <w:t>և</w:t>
      </w:r>
      <w:r w:rsidRPr="00826F05">
        <w:rPr>
          <w:rFonts w:ascii="Sylfaen" w:hAnsi="Sylfaen"/>
          <w:sz w:val="24"/>
          <w:szCs w:val="24"/>
        </w:rPr>
        <w:t xml:space="preserve"> բժշկական կիրառման հրահանգին (ներդիր թերթիկին) համապատասխան:</w:t>
      </w:r>
    </w:p>
    <w:p w14:paraId="220DE63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[Եթե օգտագործողների թեստավորման արդյունքները ներկայացվել են այդ ընթացակարգով, դա նույնպես հարկ է քննարկել]:</w:t>
      </w:r>
    </w:p>
    <w:p w14:paraId="0A465767" w14:textId="77777777" w:rsidR="004F5982" w:rsidRPr="0011208A" w:rsidRDefault="004F5982" w:rsidP="00487007">
      <w:pPr>
        <w:spacing w:after="160" w:line="360" w:lineRule="auto"/>
        <w:ind w:right="-2" w:firstLine="567"/>
        <w:jc w:val="both"/>
        <w:rPr>
          <w:rFonts w:ascii="Sylfaen" w:eastAsia="Times New Roman" w:hAnsi="Sylfaen" w:cs="Times New Roman"/>
          <w:i/>
          <w:sz w:val="24"/>
          <w:szCs w:val="24"/>
        </w:rPr>
      </w:pPr>
      <w:r w:rsidRPr="00936C19">
        <w:rPr>
          <w:rFonts w:ascii="Sylfaen" w:hAnsi="Sylfaen"/>
          <w:i/>
          <w:spacing w:val="6"/>
          <w:sz w:val="24"/>
          <w:szCs w:val="24"/>
        </w:rPr>
        <w:t>&lt;Գրանցման հավաստագրի իրավատիրոջ կողմից ներկայացված՝ ԲԿՀ</w:t>
      </w:r>
      <w:r w:rsidRPr="0011208A">
        <w:rPr>
          <w:rFonts w:ascii="Sylfaen" w:hAnsi="Sylfaen"/>
          <w:i/>
          <w:sz w:val="24"/>
          <w:szCs w:val="24"/>
        </w:rPr>
        <w:t>-ի</w:t>
      </w:r>
      <w:r>
        <w:rPr>
          <w:rFonts w:ascii="Sylfaen" w:hAnsi="Sylfaen"/>
          <w:i/>
          <w:sz w:val="24"/>
          <w:szCs w:val="24"/>
        </w:rPr>
        <w:t xml:space="preserve"> </w:t>
      </w:r>
      <w:r w:rsidRPr="0011208A">
        <w:rPr>
          <w:rFonts w:ascii="Sylfaen" w:hAnsi="Sylfaen"/>
          <w:i/>
          <w:sz w:val="24"/>
          <w:szCs w:val="24"/>
        </w:rPr>
        <w:t xml:space="preserve">(ՆԹ-ի) մասով պացիենտների թիրախային խմբերի մասնակցությամբ՝ օգտագործողների թեստավորման արդյունքները ցույց են տալիս, որ ԲԿՀ-ն (ՆԹ-ն) համապատասխանում է Եվրասիական տնտեսական հանձնաժողովի կողմից հաստատվող՝ Բժշկական կիրառման դեղապատրաստուկի ընդհանուր բնութագրին </w:t>
      </w:r>
      <w:r w:rsidR="00C54D75">
        <w:rPr>
          <w:rFonts w:ascii="Sylfaen" w:hAnsi="Sylfaen"/>
          <w:i/>
          <w:sz w:val="24"/>
          <w:szCs w:val="24"/>
        </w:rPr>
        <w:t>և</w:t>
      </w:r>
      <w:r w:rsidRPr="0011208A">
        <w:rPr>
          <w:rFonts w:ascii="Sylfaen" w:hAnsi="Sylfaen"/>
          <w:i/>
          <w:sz w:val="24"/>
          <w:szCs w:val="24"/>
        </w:rPr>
        <w:t xml:space="preserve"> բժշկական կիրառման հրահանգին (ներդիր-թերթիկին) ներկայացվող պահանջներում շարադրված ընթեռնելիության չափանիշներին&gt; :</w:t>
      </w:r>
    </w:p>
    <w:p w14:paraId="4793C875" w14:textId="77777777" w:rsidR="004F5982" w:rsidRPr="00826F05" w:rsidRDefault="004F5982" w:rsidP="00487007">
      <w:pPr>
        <w:tabs>
          <w:tab w:val="left" w:pos="1701"/>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կամ</w:t>
      </w:r>
    </w:p>
    <w:p w14:paraId="0B7E19A2" w14:textId="77777777" w:rsidR="004F5982" w:rsidRPr="0011208A" w:rsidRDefault="004F5982" w:rsidP="00487007">
      <w:pPr>
        <w:spacing w:after="160" w:line="360" w:lineRule="auto"/>
        <w:ind w:right="-2" w:firstLine="567"/>
        <w:jc w:val="both"/>
        <w:rPr>
          <w:rFonts w:ascii="Sylfaen" w:eastAsia="Times New Roman" w:hAnsi="Sylfaen" w:cs="Times New Roman"/>
          <w:i/>
          <w:sz w:val="24"/>
          <w:szCs w:val="24"/>
        </w:rPr>
      </w:pPr>
      <w:r w:rsidRPr="0011208A">
        <w:rPr>
          <w:rFonts w:ascii="Sylfaen" w:hAnsi="Sylfaen"/>
          <w:i/>
          <w:sz w:val="24"/>
          <w:szCs w:val="24"/>
        </w:rPr>
        <w:lastRenderedPageBreak/>
        <w:t>&lt;</w:t>
      </w:r>
      <w:r w:rsidRPr="00936C19">
        <w:rPr>
          <w:rFonts w:ascii="Sylfaen" w:hAnsi="Sylfaen"/>
          <w:i/>
          <w:spacing w:val="6"/>
          <w:sz w:val="24"/>
          <w:szCs w:val="24"/>
        </w:rPr>
        <w:t>Գրանցման հավաստագրի իրավատիրոջ կողմից ներկայացված՝ ԲԿՀ-ի</w:t>
      </w:r>
      <w:r>
        <w:rPr>
          <w:rFonts w:ascii="Sylfaen" w:hAnsi="Sylfaen"/>
          <w:i/>
          <w:sz w:val="24"/>
          <w:szCs w:val="24"/>
        </w:rPr>
        <w:t xml:space="preserve"> </w:t>
      </w:r>
      <w:r w:rsidRPr="0011208A">
        <w:rPr>
          <w:rFonts w:ascii="Sylfaen" w:hAnsi="Sylfaen"/>
          <w:i/>
          <w:sz w:val="24"/>
          <w:szCs w:val="24"/>
        </w:rPr>
        <w:t xml:space="preserve">(ՆԹ-ի) մասով պացիենտների թիրախային խմբերի մասնակցությամբ՝ օգտագործողների թեստավորման արդյունքները ցույց են տալիս, որ ԲԿՀ-ն (ՆԹ-ն) համապատասխանում է Եվրասիական տնտեսական հանձնաժողովի կողմից հաստատվող Բժշկական կիրառման դեղապատրաստուկի ընդհանուր բնութագրին </w:t>
      </w:r>
      <w:r w:rsidR="00C54D75">
        <w:rPr>
          <w:rFonts w:ascii="Sylfaen" w:hAnsi="Sylfaen"/>
          <w:i/>
          <w:sz w:val="24"/>
          <w:szCs w:val="24"/>
        </w:rPr>
        <w:t>և</w:t>
      </w:r>
      <w:r w:rsidRPr="0011208A">
        <w:rPr>
          <w:rFonts w:ascii="Sylfaen" w:hAnsi="Sylfaen"/>
          <w:i/>
          <w:sz w:val="24"/>
          <w:szCs w:val="24"/>
        </w:rPr>
        <w:t xml:space="preserve"> բժշկական կիրառման հրահանգին (ներդիր-թերթիկին) ներկայացվող պահանջներում շարադրված ընթեռնելիության չափանիշներին: Հայտատուն, պացիենտների թիրախային խմբերի մասնակցությամբ, օգտագործողների թեստավորման շրջանակներում պետք է ուսումնասիրի ստոր</w:t>
      </w:r>
      <w:r w:rsidR="00C54D75">
        <w:rPr>
          <w:rFonts w:ascii="Sylfaen" w:hAnsi="Sylfaen"/>
          <w:i/>
          <w:sz w:val="24"/>
          <w:szCs w:val="24"/>
        </w:rPr>
        <w:t>և</w:t>
      </w:r>
      <w:r w:rsidRPr="0011208A">
        <w:rPr>
          <w:rFonts w:ascii="Sylfaen" w:hAnsi="Sylfaen"/>
          <w:i/>
          <w:sz w:val="24"/>
          <w:szCs w:val="24"/>
        </w:rPr>
        <w:t xml:space="preserve"> բերված՝ ԲԿՀ-ին (ՆԹ-ին) վերաբերող ոչ էական (այլ) դիտողությունները&gt;:</w:t>
      </w:r>
    </w:p>
    <w:p w14:paraId="7FAA0941" w14:textId="77777777" w:rsidR="004F5982" w:rsidRPr="00826F05" w:rsidRDefault="004F5982" w:rsidP="00487007">
      <w:pPr>
        <w:tabs>
          <w:tab w:val="left" w:pos="1701"/>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կամ</w:t>
      </w:r>
    </w:p>
    <w:p w14:paraId="393205AA" w14:textId="77777777" w:rsidR="004F5982" w:rsidRPr="0084278D" w:rsidRDefault="004F5982" w:rsidP="00487007">
      <w:pPr>
        <w:spacing w:after="160" w:line="360" w:lineRule="auto"/>
        <w:ind w:right="-2" w:firstLine="567"/>
        <w:jc w:val="both"/>
        <w:rPr>
          <w:rFonts w:ascii="Sylfaen" w:eastAsia="Times New Roman" w:hAnsi="Sylfaen" w:cs="Times New Roman"/>
          <w:i/>
          <w:sz w:val="24"/>
          <w:szCs w:val="24"/>
        </w:rPr>
      </w:pPr>
      <w:r w:rsidRPr="00826F05">
        <w:rPr>
          <w:rFonts w:ascii="Sylfaen" w:hAnsi="Sylfaen"/>
          <w:sz w:val="24"/>
          <w:szCs w:val="24"/>
        </w:rPr>
        <w:t>&lt;</w:t>
      </w:r>
      <w:r w:rsidRPr="00826F05">
        <w:rPr>
          <w:rFonts w:ascii="Sylfaen" w:hAnsi="Sylfaen"/>
          <w:i/>
          <w:sz w:val="24"/>
          <w:szCs w:val="24"/>
        </w:rPr>
        <w:t>ԲԿՀ-ի (ՆԹ-ի) մասով պացիենտների թիրախային խմբերի մասնակցությամբ՝ օգտագործողների ամբողջական թեստավորումը՝ ամփոփ հաշվետվության հիման վրա</w:t>
      </w:r>
      <w:r>
        <w:rPr>
          <w:rFonts w:ascii="Sylfaen" w:eastAsia="Times New Roman" w:hAnsi="Sylfaen" w:cs="Times New Roman"/>
          <w:sz w:val="24"/>
          <w:szCs w:val="24"/>
        </w:rPr>
        <w:t xml:space="preserve"> </w:t>
      </w:r>
      <w:r w:rsidRPr="00826F05">
        <w:rPr>
          <w:rFonts w:ascii="Sylfaen" w:hAnsi="Sylfaen"/>
          <w:i/>
          <w:sz w:val="24"/>
          <w:szCs w:val="24"/>
        </w:rPr>
        <w:t>&lt;արտադրատեսակի անվանումը (արտադրատեսակների անվանումը)&gt; չի կատարվել</w:t>
      </w:r>
      <w:r w:rsidRPr="0084278D">
        <w:rPr>
          <w:rFonts w:ascii="Sylfaen" w:hAnsi="Sylfaen"/>
          <w:i/>
          <w:sz w:val="24"/>
          <w:szCs w:val="24"/>
        </w:rPr>
        <w:t>: Հայտատուի կողմից ներկայացված ամփոփ հաշվետվությունը ճանաչվել է ընդունելի (անընդունելի)&gt;:</w:t>
      </w:r>
    </w:p>
    <w:p w14:paraId="4F1018C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[Ձ</w:t>
      </w:r>
      <w:r w:rsidR="00C54D75">
        <w:rPr>
          <w:rFonts w:ascii="Sylfaen" w:hAnsi="Sylfaen"/>
          <w:i/>
          <w:sz w:val="24"/>
          <w:szCs w:val="24"/>
        </w:rPr>
        <w:t>և</w:t>
      </w:r>
      <w:r w:rsidRPr="00826F05">
        <w:rPr>
          <w:rFonts w:ascii="Sylfaen" w:hAnsi="Sylfaen"/>
          <w:i/>
          <w:sz w:val="24"/>
          <w:szCs w:val="24"/>
        </w:rPr>
        <w:t>ակերպման վերջին տարբերակը կարող է ներառվել, միայն եթե ԴՈԱՊԿԿ-ն այն համաձայնեցրել է]:</w:t>
      </w:r>
    </w:p>
    <w:p w14:paraId="3792A7B0" w14:textId="77777777" w:rsidR="004F5982" w:rsidRDefault="004F5982" w:rsidP="00487007">
      <w:pPr>
        <w:spacing w:after="160" w:line="360" w:lineRule="auto"/>
        <w:ind w:left="567" w:right="565"/>
        <w:jc w:val="center"/>
        <w:rPr>
          <w:rFonts w:ascii="Sylfaen" w:hAnsi="Sylfaen"/>
          <w:sz w:val="24"/>
          <w:szCs w:val="24"/>
        </w:rPr>
      </w:pPr>
    </w:p>
    <w:p w14:paraId="1037E348"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2.10. Բուժաշխատողների անմիջական տեղեկացումը</w:t>
      </w:r>
    </w:p>
    <w:p w14:paraId="4B16FA8D" w14:textId="77777777" w:rsidR="004F5982" w:rsidRPr="0084278D" w:rsidRDefault="004F5982" w:rsidP="00487007">
      <w:pPr>
        <w:spacing w:after="160" w:line="360" w:lineRule="auto"/>
        <w:ind w:right="-2" w:firstLine="567"/>
        <w:jc w:val="both"/>
        <w:rPr>
          <w:rFonts w:ascii="Sylfaen" w:eastAsia="Times New Roman" w:hAnsi="Sylfaen" w:cs="Times New Roman"/>
          <w:i/>
          <w:sz w:val="24"/>
          <w:szCs w:val="24"/>
        </w:rPr>
      </w:pPr>
      <w:r w:rsidRPr="00826F05">
        <w:rPr>
          <w:rFonts w:ascii="Sylfaen" w:hAnsi="Sylfaen"/>
          <w:sz w:val="24"/>
          <w:szCs w:val="24"/>
        </w:rPr>
        <w:t>Փորձագետը համարում է, որ բուժաշխատողների անմիջական տեղեկացումը (ԲԱԱՏ) անհրաժեշտ է հետ</w:t>
      </w:r>
      <w:r w:rsidR="00C54D75">
        <w:rPr>
          <w:rFonts w:ascii="Sylfaen" w:hAnsi="Sylfaen"/>
          <w:sz w:val="24"/>
          <w:szCs w:val="24"/>
        </w:rPr>
        <w:t>և</w:t>
      </w:r>
      <w:r w:rsidRPr="00826F05">
        <w:rPr>
          <w:rFonts w:ascii="Sylfaen" w:hAnsi="Sylfaen"/>
          <w:sz w:val="24"/>
          <w:szCs w:val="24"/>
        </w:rPr>
        <w:t xml:space="preserve">յալի վերաբերյալ քննարկման համար՝ </w:t>
      </w:r>
      <w:r w:rsidRPr="0084278D">
        <w:rPr>
          <w:rFonts w:ascii="Sylfaen" w:hAnsi="Sylfaen"/>
          <w:i/>
          <w:sz w:val="24"/>
          <w:szCs w:val="24"/>
        </w:rPr>
        <w:t>&lt;համառոտ շարադրել փոխգործակցության հարցը &gt;:</w:t>
      </w:r>
    </w:p>
    <w:p w14:paraId="4B96D24E" w14:textId="77777777" w:rsidR="004F5982" w:rsidRPr="00826F05" w:rsidRDefault="004F5982" w:rsidP="00487007">
      <w:pPr>
        <w:tabs>
          <w:tab w:val="left" w:pos="1701"/>
        </w:tabs>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[Հարկ է ներկայացնել ԲԱԱՏ-ի թիրախային լսարանի մասին ընդհանուր մանրամասներ]:</w:t>
      </w:r>
    </w:p>
    <w:p w14:paraId="740EE76E" w14:textId="77777777" w:rsidR="004F5982" w:rsidRPr="0084278D" w:rsidRDefault="004F5982" w:rsidP="00487007">
      <w:pPr>
        <w:spacing w:after="160" w:line="360" w:lineRule="auto"/>
        <w:ind w:firstLine="567"/>
        <w:jc w:val="both"/>
        <w:rPr>
          <w:rFonts w:ascii="Sylfaen" w:eastAsia="Times New Roman" w:hAnsi="Sylfaen" w:cs="Times New Roman"/>
          <w:i/>
          <w:sz w:val="24"/>
          <w:szCs w:val="24"/>
        </w:rPr>
      </w:pPr>
      <w:r w:rsidRPr="00826F05">
        <w:rPr>
          <w:rFonts w:ascii="Sylfaen" w:hAnsi="Sylfaen"/>
          <w:sz w:val="24"/>
          <w:szCs w:val="24"/>
        </w:rPr>
        <w:t xml:space="preserve">Գրանցման հավաստագրի իրավատերը պետք է ԲԱԱՏ-ի թարգմանությունները </w:t>
      </w:r>
      <w:r w:rsidR="00C54D75">
        <w:rPr>
          <w:rFonts w:ascii="Sylfaen" w:hAnsi="Sylfaen"/>
          <w:sz w:val="24"/>
          <w:szCs w:val="24"/>
        </w:rPr>
        <w:t>և</w:t>
      </w:r>
      <w:r w:rsidRPr="00826F05">
        <w:rPr>
          <w:rFonts w:ascii="Sylfaen" w:hAnsi="Sylfaen"/>
          <w:sz w:val="24"/>
          <w:szCs w:val="24"/>
        </w:rPr>
        <w:t xml:space="preserve"> տեղական առանձնահատկությունները համաձայնեցնի </w:t>
      </w:r>
      <w:r w:rsidRPr="00826F05">
        <w:rPr>
          <w:rFonts w:ascii="Sylfaen" w:hAnsi="Sylfaen"/>
          <w:sz w:val="24"/>
          <w:szCs w:val="24"/>
        </w:rPr>
        <w:lastRenderedPageBreak/>
        <w:t xml:space="preserve">անդամ պետությունների լիազորված մարմինների հետ: Հարկ է, որ ԲԱԱՏ-ը </w:t>
      </w:r>
      <w:r w:rsidRPr="0084278D">
        <w:rPr>
          <w:rFonts w:ascii="Sylfaen" w:hAnsi="Sylfaen"/>
          <w:i/>
          <w:sz w:val="24"/>
          <w:szCs w:val="24"/>
        </w:rPr>
        <w:t>&lt;նշել ԲԱԱՏ-ի ընդլայնման համաձայնեցված ամսաթիվը&gt;</w:t>
      </w:r>
      <w:r w:rsidRPr="00826F05">
        <w:rPr>
          <w:rFonts w:ascii="Sylfaen" w:hAnsi="Sylfaen"/>
          <w:sz w:val="24"/>
          <w:szCs w:val="24"/>
        </w:rPr>
        <w:t xml:space="preserve"> ուղարկվի </w:t>
      </w:r>
      <w:r w:rsidRPr="0084278D">
        <w:rPr>
          <w:rFonts w:ascii="Sylfaen" w:hAnsi="Sylfaen"/>
          <w:i/>
          <w:sz w:val="24"/>
          <w:szCs w:val="24"/>
        </w:rPr>
        <w:t>&lt;նշել թիրախային լսարանը&gt;:</w:t>
      </w:r>
    </w:p>
    <w:p w14:paraId="7AD152C8"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[Հաջորդ բաժինները, որոնք վերաբերում են երեխաների կողմից դեղապատրաստուկի կիրառմանը, ըստ կար</w:t>
      </w:r>
      <w:r w:rsidR="00C54D75">
        <w:rPr>
          <w:rFonts w:ascii="Sylfaen" w:hAnsi="Sylfaen"/>
          <w:sz w:val="24"/>
          <w:szCs w:val="24"/>
        </w:rPr>
        <w:t>և</w:t>
      </w:r>
      <w:r w:rsidRPr="00826F05">
        <w:rPr>
          <w:rFonts w:ascii="Sylfaen" w:hAnsi="Sylfaen"/>
          <w:sz w:val="24"/>
          <w:szCs w:val="24"/>
        </w:rPr>
        <w:t xml:space="preserve">որության </w:t>
      </w:r>
      <w:r w:rsidR="00C54D75">
        <w:rPr>
          <w:rFonts w:ascii="Sylfaen" w:hAnsi="Sylfaen"/>
          <w:sz w:val="24"/>
          <w:szCs w:val="24"/>
        </w:rPr>
        <w:t>և</w:t>
      </w:r>
      <w:r w:rsidRPr="00826F05">
        <w:rPr>
          <w:rFonts w:ascii="Sylfaen" w:hAnsi="Sylfaen"/>
          <w:sz w:val="24"/>
          <w:szCs w:val="24"/>
        </w:rPr>
        <w:t xml:space="preserve"> համապատասխանության, կարող են ներառվել միայն տվյալ տարբերակի անհրաժեշտությունից]:</w:t>
      </w:r>
    </w:p>
    <w:p w14:paraId="4B61AB2E" w14:textId="77777777" w:rsidR="004F5982" w:rsidRPr="00826F05" w:rsidRDefault="004F5982" w:rsidP="00487007">
      <w:pPr>
        <w:spacing w:after="160" w:line="360" w:lineRule="auto"/>
        <w:ind w:left="118" w:right="37" w:firstLine="720"/>
        <w:jc w:val="both"/>
        <w:rPr>
          <w:rFonts w:ascii="Sylfaen" w:hAnsi="Sylfaen"/>
          <w:sz w:val="24"/>
          <w:szCs w:val="24"/>
        </w:rPr>
      </w:pPr>
    </w:p>
    <w:p w14:paraId="7CF0EC88"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2.11. Մանկաբուժական հետազոտությունների անհամապատասխանությունների նշանակությունը</w:t>
      </w:r>
    </w:p>
    <w:p w14:paraId="41AF220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[Ուշադրությո՛ւն. Եթե այդ փոփոխությունը ներկայացնելու համար դիտարկվել է երեխաների մոտ ազդանշանի հաստատում, կամ եթե այդ ներկայացումը ներառում է ԴԸԲ-ում հիշատակված մանկաբուժական հետազոտություններ, հարկ է տվյալ փոփոխությունները գնահատելիս օգտագործել մանկաբուժության ոլորտի համապատասխան ձեռնարկները]:</w:t>
      </w:r>
    </w:p>
    <w:p w14:paraId="76B953DC" w14:textId="77777777" w:rsidR="004F5982" w:rsidRDefault="004F5982" w:rsidP="00487007">
      <w:pPr>
        <w:spacing w:after="160" w:line="360" w:lineRule="auto"/>
        <w:ind w:left="567" w:right="565"/>
        <w:jc w:val="center"/>
        <w:rPr>
          <w:rFonts w:ascii="Sylfaen" w:hAnsi="Sylfaen"/>
          <w:sz w:val="24"/>
          <w:szCs w:val="24"/>
        </w:rPr>
      </w:pPr>
    </w:p>
    <w:p w14:paraId="3ED31FA6" w14:textId="77777777" w:rsidR="004F5982" w:rsidRDefault="004F5982" w:rsidP="00487007">
      <w:pPr>
        <w:spacing w:after="160" w:line="360" w:lineRule="auto"/>
        <w:ind w:left="567" w:right="565"/>
        <w:jc w:val="center"/>
        <w:rPr>
          <w:rFonts w:ascii="Sylfaen" w:hAnsi="Sylfaen"/>
          <w:sz w:val="24"/>
          <w:szCs w:val="24"/>
        </w:rPr>
      </w:pPr>
    </w:p>
    <w:p w14:paraId="4471FF8B"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 xml:space="preserve">3. Ընդհանուր եզրակացությունը </w:t>
      </w:r>
      <w:r w:rsidR="00C54D75">
        <w:rPr>
          <w:rFonts w:ascii="Sylfaen" w:hAnsi="Sylfaen"/>
          <w:sz w:val="24"/>
          <w:szCs w:val="24"/>
        </w:rPr>
        <w:t>և</w:t>
      </w:r>
      <w:r w:rsidRPr="00826F05">
        <w:rPr>
          <w:rFonts w:ascii="Sylfaen" w:hAnsi="Sylfaen"/>
          <w:sz w:val="24"/>
          <w:szCs w:val="24"/>
        </w:rPr>
        <w:t xml:space="preserve"> «օգուտ-ռիսկ» հարաբերակցության վրա ազդեցությունը</w:t>
      </w:r>
    </w:p>
    <w:p w14:paraId="646541F9"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i/>
          <w:sz w:val="24"/>
          <w:szCs w:val="24"/>
        </w:rPr>
        <w:t xml:space="preserve">[Տվյալ բաժնում հարկ է ավելացնել ներկայացված այն տվյալների կրիտիկական տեղեկագիրը, որոնցով ընդգծվում է փոփոխության հարցումը </w:t>
      </w:r>
      <w:r w:rsidR="00C54D75">
        <w:rPr>
          <w:rFonts w:ascii="Sylfaen" w:hAnsi="Sylfaen"/>
          <w:i/>
          <w:sz w:val="24"/>
          <w:szCs w:val="24"/>
        </w:rPr>
        <w:t>և</w:t>
      </w:r>
      <w:r w:rsidRPr="00826F05">
        <w:rPr>
          <w:rFonts w:ascii="Sylfaen" w:hAnsi="Sylfaen"/>
          <w:i/>
          <w:sz w:val="24"/>
          <w:szCs w:val="24"/>
        </w:rPr>
        <w:t xml:space="preserve"> դեղապատրաստուկի օգուտ-ռիսկ հարաբերակցության վրա դրա ազդեցությունը:</w:t>
      </w:r>
    </w:p>
    <w:p w14:paraId="1BA0DC6E" w14:textId="77777777" w:rsidR="004F5982" w:rsidRPr="00826F05" w:rsidRDefault="004F5982" w:rsidP="00487007">
      <w:pPr>
        <w:spacing w:after="160" w:line="360" w:lineRule="auto"/>
        <w:ind w:right="34" w:firstLine="567"/>
        <w:jc w:val="both"/>
        <w:rPr>
          <w:rFonts w:ascii="Sylfaen" w:eastAsia="Times New Roman" w:hAnsi="Sylfaen" w:cs="Times New Roman"/>
          <w:sz w:val="24"/>
          <w:szCs w:val="24"/>
        </w:rPr>
      </w:pPr>
      <w:r w:rsidRPr="00826F05">
        <w:rPr>
          <w:rFonts w:ascii="Sylfaen" w:hAnsi="Sylfaen"/>
          <w:i/>
          <w:sz w:val="24"/>
          <w:szCs w:val="24"/>
        </w:rPr>
        <w:t xml:space="preserve">Սահմանափակ քանակությամբ տվյալների դեպքում, որոնք ակնկալվող ռիսկերի նկատմամբ օգուտի դրական հարաբերակցությունը (գերազանցումը) ապահովելու համար որպես առանցքային միջոցներ են դիտարկվում, հատուկ հետազոտությունների ժամանակ դրանց ստացման հարցը կարող է դրվել </w:t>
      </w:r>
      <w:r w:rsidRPr="00826F05">
        <w:rPr>
          <w:rFonts w:ascii="Sylfaen" w:hAnsi="Sylfaen"/>
          <w:i/>
          <w:sz w:val="24"/>
          <w:szCs w:val="24"/>
        </w:rPr>
        <w:lastRenderedPageBreak/>
        <w:t>փորձագետի կողմից՝ որպես գրանցման հավաստագրի տրամադրման պայման: Այն դեպքում, երբ որոշվել է հարցերը ներառել Գ հավելվածում որպես պայմաններ, օգտագործեք ստոր</w:t>
      </w:r>
      <w:r w:rsidR="00C54D75">
        <w:rPr>
          <w:rFonts w:ascii="Sylfaen" w:hAnsi="Sylfaen"/>
          <w:i/>
          <w:sz w:val="24"/>
          <w:szCs w:val="24"/>
        </w:rPr>
        <w:t>և</w:t>
      </w:r>
      <w:r w:rsidRPr="00826F05">
        <w:rPr>
          <w:rFonts w:ascii="Sylfaen" w:hAnsi="Sylfaen"/>
          <w:i/>
          <w:sz w:val="24"/>
          <w:szCs w:val="24"/>
        </w:rPr>
        <w:t xml:space="preserve"> բերված հայտը: Որպես պայման սահմանված ցանկացած միջոց պետք է լավ հիմնավորված լինի հայտում, իսկ մասնավորապես, պայմանի համար անհրաժեշտությունը պետք է բացատրվի օգուտ-ռիսկ դրական հարաբերակցության համատեքստում:]</w:t>
      </w:r>
    </w:p>
    <w:p w14:paraId="05351BD1" w14:textId="77777777" w:rsidR="004F5982" w:rsidRPr="00826F05" w:rsidRDefault="004F5982" w:rsidP="00487007">
      <w:pPr>
        <w:spacing w:after="160" w:line="360" w:lineRule="auto"/>
        <w:ind w:right="-20" w:firstLine="567"/>
        <w:jc w:val="both"/>
        <w:rPr>
          <w:rFonts w:ascii="Sylfaen" w:eastAsia="Times New Roman" w:hAnsi="Sylfaen" w:cs="Times New Roman"/>
          <w:sz w:val="24"/>
          <w:szCs w:val="24"/>
        </w:rPr>
      </w:pPr>
      <w:r w:rsidRPr="00826F05">
        <w:rPr>
          <w:rFonts w:ascii="Sylfaen" w:hAnsi="Sylfaen"/>
          <w:sz w:val="24"/>
          <w:szCs w:val="24"/>
        </w:rPr>
        <w:t>Փորձագետն անհրաժեշտ է համարում հետ</w:t>
      </w:r>
      <w:r w:rsidR="00C54D75">
        <w:rPr>
          <w:rFonts w:ascii="Sylfaen" w:hAnsi="Sylfaen"/>
          <w:sz w:val="24"/>
          <w:szCs w:val="24"/>
        </w:rPr>
        <w:t>և</w:t>
      </w:r>
      <w:r w:rsidRPr="00826F05">
        <w:rPr>
          <w:rFonts w:ascii="Sylfaen" w:hAnsi="Sylfaen"/>
          <w:sz w:val="24"/>
          <w:szCs w:val="24"/>
        </w:rPr>
        <w:t>յալ միջոցները՝</w:t>
      </w:r>
    </w:p>
    <w:p w14:paraId="6178C8B6" w14:textId="77777777" w:rsidR="004F5982" w:rsidRPr="0037445D" w:rsidRDefault="004F5982" w:rsidP="00487007">
      <w:pPr>
        <w:spacing w:after="160" w:line="360" w:lineRule="auto"/>
        <w:ind w:right="-20" w:firstLine="567"/>
        <w:jc w:val="both"/>
        <w:rPr>
          <w:rFonts w:ascii="Sylfaen" w:eastAsia="Times New Roman" w:hAnsi="Sylfaen" w:cs="Times New Roman"/>
          <w:i/>
          <w:sz w:val="24"/>
          <w:szCs w:val="24"/>
        </w:rPr>
      </w:pPr>
      <w:r w:rsidRPr="0037445D">
        <w:rPr>
          <w:rFonts w:ascii="Sylfaen" w:hAnsi="Sylfaen"/>
          <w:i/>
          <w:sz w:val="24"/>
          <w:szCs w:val="24"/>
        </w:rPr>
        <w:t>&lt;ներկայացնել նախակլինիկական միջոցների վերաբերյալ հարցումների ցանկը&gt;</w:t>
      </w:r>
    </w:p>
    <w:p w14:paraId="71B8D943" w14:textId="77777777" w:rsidR="004F5982" w:rsidRPr="0037445D" w:rsidRDefault="004F5982" w:rsidP="00487007">
      <w:pPr>
        <w:spacing w:after="160" w:line="360" w:lineRule="auto"/>
        <w:ind w:right="39" w:firstLine="567"/>
        <w:jc w:val="both"/>
        <w:rPr>
          <w:rFonts w:ascii="Sylfaen" w:hAnsi="Sylfaen"/>
          <w:i/>
          <w:sz w:val="24"/>
          <w:szCs w:val="24"/>
        </w:rPr>
      </w:pPr>
      <w:r w:rsidRPr="0037445D">
        <w:rPr>
          <w:rFonts w:ascii="Sylfaen" w:hAnsi="Sylfaen"/>
          <w:i/>
          <w:sz w:val="24"/>
          <w:szCs w:val="24"/>
        </w:rPr>
        <w:t>&lt;ներկայացնել պատրաստուկի դեղաբանության ուսումնասիրության հետ կապված հարցերի վերաբերյալ հարցումների ցանկը&gt;</w:t>
      </w:r>
    </w:p>
    <w:p w14:paraId="5B73D5CD" w14:textId="77777777" w:rsidR="004F5982" w:rsidRPr="0037445D" w:rsidRDefault="004F5982" w:rsidP="00487007">
      <w:pPr>
        <w:spacing w:after="160" w:line="360" w:lineRule="auto"/>
        <w:ind w:right="-20" w:firstLine="567"/>
        <w:jc w:val="both"/>
        <w:rPr>
          <w:rFonts w:ascii="Sylfaen" w:eastAsia="Times New Roman" w:hAnsi="Sylfaen" w:cs="Times New Roman"/>
          <w:i/>
          <w:sz w:val="24"/>
          <w:szCs w:val="24"/>
        </w:rPr>
      </w:pPr>
      <w:r w:rsidRPr="0037445D">
        <w:rPr>
          <w:rFonts w:ascii="Sylfaen" w:hAnsi="Sylfaen"/>
          <w:i/>
          <w:sz w:val="24"/>
          <w:szCs w:val="24"/>
        </w:rPr>
        <w:t>&lt;ներկայացնել պատրաստուկի արդյունավետության վերաբերյալ հարցումների ցանկը&gt;</w:t>
      </w:r>
    </w:p>
    <w:p w14:paraId="05DDFA0F" w14:textId="77777777" w:rsidR="004F5982" w:rsidRPr="0037445D" w:rsidRDefault="004F5982" w:rsidP="00487007">
      <w:pPr>
        <w:spacing w:after="160" w:line="360" w:lineRule="auto"/>
        <w:ind w:right="-20" w:firstLine="567"/>
        <w:jc w:val="both"/>
        <w:rPr>
          <w:rFonts w:ascii="Sylfaen" w:eastAsia="Times New Roman" w:hAnsi="Sylfaen" w:cs="Times New Roman"/>
          <w:i/>
          <w:sz w:val="24"/>
          <w:szCs w:val="24"/>
        </w:rPr>
      </w:pPr>
      <w:r w:rsidRPr="0037445D">
        <w:rPr>
          <w:rFonts w:ascii="Sylfaen" w:hAnsi="Sylfaen"/>
          <w:i/>
          <w:sz w:val="24"/>
          <w:szCs w:val="24"/>
        </w:rPr>
        <w:t>&lt;ներկայացնել դեղազգոնության վերաբերյալ հարցումների ցանկը&gt;:</w:t>
      </w:r>
    </w:p>
    <w:p w14:paraId="2FCECA19" w14:textId="77777777" w:rsidR="004F5982" w:rsidRPr="0037445D" w:rsidRDefault="004F5982" w:rsidP="00487007">
      <w:pPr>
        <w:spacing w:after="160" w:line="360" w:lineRule="auto"/>
        <w:ind w:right="36" w:firstLine="567"/>
        <w:jc w:val="both"/>
        <w:rPr>
          <w:rFonts w:ascii="Sylfaen" w:eastAsia="Times New Roman" w:hAnsi="Sylfaen" w:cs="Times New Roman"/>
          <w:i/>
          <w:sz w:val="24"/>
          <w:szCs w:val="24"/>
        </w:rPr>
      </w:pPr>
      <w:r w:rsidRPr="0037445D">
        <w:rPr>
          <w:rFonts w:ascii="Sylfaen" w:hAnsi="Sylfaen"/>
          <w:i/>
          <w:sz w:val="24"/>
          <w:szCs w:val="24"/>
        </w:rPr>
        <w:t>[Փորձագետի՝ անվտանգության հետ կապված հարցումների առկայության դեպքում (այսինքն՝ անվտանգության ամբողջական վերլուծություն, որը պետք է ներկայացվի) հարկ է նշել]:</w:t>
      </w:r>
    </w:p>
    <w:p w14:paraId="2B2BE0D9" w14:textId="77777777" w:rsidR="004F5982" w:rsidRPr="00826F05" w:rsidRDefault="004F5982" w:rsidP="00487007">
      <w:pPr>
        <w:spacing w:after="160" w:line="360" w:lineRule="auto"/>
        <w:ind w:right="40" w:firstLine="567"/>
        <w:jc w:val="both"/>
        <w:rPr>
          <w:rFonts w:ascii="Sylfaen" w:eastAsia="Times New Roman" w:hAnsi="Sylfaen" w:cs="Times New Roman"/>
          <w:sz w:val="24"/>
          <w:szCs w:val="24"/>
        </w:rPr>
      </w:pPr>
      <w:r w:rsidRPr="00826F05">
        <w:rPr>
          <w:rFonts w:ascii="Sylfaen" w:hAnsi="Sylfaen"/>
          <w:sz w:val="24"/>
          <w:szCs w:val="24"/>
        </w:rPr>
        <w:t>Բացի այդ, փորձագետը եկել է այն եզրակացության, որ հայտատուն հերթական ԱՊԹՀ-ում պետք է ներկայացնի անվտանգության վերաբերյալ հետ</w:t>
      </w:r>
      <w:r w:rsidR="00C54D75">
        <w:rPr>
          <w:rFonts w:ascii="Sylfaen" w:hAnsi="Sylfaen"/>
          <w:sz w:val="24"/>
          <w:szCs w:val="24"/>
        </w:rPr>
        <w:t>և</w:t>
      </w:r>
      <w:r w:rsidRPr="00826F05">
        <w:rPr>
          <w:rFonts w:ascii="Sylfaen" w:hAnsi="Sylfaen"/>
          <w:sz w:val="24"/>
          <w:szCs w:val="24"/>
        </w:rPr>
        <w:t xml:space="preserve">յալ տվյալները (Х ամսվա ընթացքում)՝ </w:t>
      </w:r>
      <w:r w:rsidRPr="0037445D">
        <w:rPr>
          <w:rFonts w:ascii="Sylfaen" w:hAnsi="Sylfaen"/>
          <w:i/>
          <w:sz w:val="24"/>
          <w:szCs w:val="24"/>
        </w:rPr>
        <w:t>&lt;թվարկել տվյալները&gt;:</w:t>
      </w:r>
    </w:p>
    <w:p w14:paraId="4D5DAE69" w14:textId="77777777" w:rsidR="004F5982" w:rsidRPr="00826F05" w:rsidRDefault="004F5982" w:rsidP="00487007">
      <w:pPr>
        <w:spacing w:after="160" w:line="360" w:lineRule="auto"/>
        <w:ind w:right="35" w:firstLine="567"/>
        <w:jc w:val="both"/>
        <w:rPr>
          <w:rFonts w:ascii="Sylfaen" w:eastAsia="Times New Roman" w:hAnsi="Sylfaen" w:cs="Times New Roman"/>
          <w:sz w:val="24"/>
          <w:szCs w:val="24"/>
        </w:rPr>
      </w:pPr>
      <w:r w:rsidRPr="00826F05">
        <w:rPr>
          <w:rFonts w:ascii="Sylfaen" w:hAnsi="Sylfaen"/>
          <w:i/>
          <w:sz w:val="24"/>
          <w:szCs w:val="24"/>
        </w:rPr>
        <w:t xml:space="preserve">[Այն դեպքում, երբ մի քանի պատրաստուկների մասով համակցված փոփոխությունների կատարման մասին հայտ է ներկայացվել, </w:t>
      </w:r>
      <w:r w:rsidR="00C54D75">
        <w:rPr>
          <w:rFonts w:ascii="Sylfaen" w:hAnsi="Sylfaen"/>
          <w:i/>
          <w:sz w:val="24"/>
          <w:szCs w:val="24"/>
        </w:rPr>
        <w:t>և</w:t>
      </w:r>
      <w:r w:rsidRPr="00826F05">
        <w:rPr>
          <w:rFonts w:ascii="Sylfaen" w:hAnsi="Sylfaen"/>
          <w:i/>
          <w:sz w:val="24"/>
          <w:szCs w:val="24"/>
        </w:rPr>
        <w:t xml:space="preserve"> դիրքերից որ</w:t>
      </w:r>
      <w:r w:rsidR="00C54D75">
        <w:rPr>
          <w:rFonts w:ascii="Sylfaen" w:hAnsi="Sylfaen"/>
          <w:i/>
          <w:sz w:val="24"/>
          <w:szCs w:val="24"/>
        </w:rPr>
        <w:t>և</w:t>
      </w:r>
      <w:r w:rsidRPr="00826F05">
        <w:rPr>
          <w:rFonts w:ascii="Sylfaen" w:hAnsi="Sylfaen"/>
          <w:i/>
          <w:sz w:val="24"/>
          <w:szCs w:val="24"/>
        </w:rPr>
        <w:t>է մեկում փորձագետները տարակարծիք են եղել դեղապատրաստուկների խմբի հարցում, ապա դրանք անհրաժեշտ է նկարագրել յուրաքանչյուր դեղապատրաստուկի համար առանձին]:</w:t>
      </w:r>
    </w:p>
    <w:p w14:paraId="1DF8DA39" w14:textId="77777777" w:rsidR="004F5982" w:rsidRPr="00826F05" w:rsidRDefault="004F5982" w:rsidP="00487007">
      <w:pPr>
        <w:spacing w:after="160" w:line="360" w:lineRule="auto"/>
        <w:ind w:right="43" w:firstLine="567"/>
        <w:jc w:val="both"/>
        <w:rPr>
          <w:rFonts w:ascii="Sylfaen" w:eastAsia="Times New Roman" w:hAnsi="Sylfaen" w:cs="Times New Roman"/>
          <w:sz w:val="24"/>
          <w:szCs w:val="24"/>
        </w:rPr>
      </w:pPr>
      <w:r w:rsidRPr="00826F05">
        <w:rPr>
          <w:rFonts w:ascii="Sylfaen" w:hAnsi="Sylfaen"/>
          <w:sz w:val="24"/>
          <w:szCs w:val="24"/>
        </w:rPr>
        <w:t xml:space="preserve">Սահմանել ԱՊԹՀ-ի ներկայացման պարբերականությանը ներկայացվող </w:t>
      </w:r>
      <w:r w:rsidRPr="00826F05">
        <w:rPr>
          <w:rFonts w:ascii="Sylfaen" w:hAnsi="Sylfaen"/>
          <w:sz w:val="24"/>
          <w:szCs w:val="24"/>
        </w:rPr>
        <w:lastRenderedPageBreak/>
        <w:t xml:space="preserve">պահանջներն այն դեպքում, երբ այն տարբերվում է ԱՊԹՀ-ի թարմացման բնականոն ժամանակահատվածից: </w:t>
      </w:r>
    </w:p>
    <w:p w14:paraId="6ED87BA5" w14:textId="77777777" w:rsidR="004F5982" w:rsidRPr="00826F05" w:rsidRDefault="004F5982" w:rsidP="00487007">
      <w:pPr>
        <w:spacing w:after="160" w:line="360" w:lineRule="auto"/>
        <w:ind w:right="37" w:firstLine="567"/>
        <w:jc w:val="both"/>
        <w:rPr>
          <w:rFonts w:ascii="Sylfaen" w:eastAsia="Times New Roman" w:hAnsi="Sylfaen" w:cs="Times New Roman"/>
          <w:sz w:val="24"/>
          <w:szCs w:val="24"/>
        </w:rPr>
      </w:pPr>
      <w:r w:rsidRPr="00826F05">
        <w:rPr>
          <w:rFonts w:ascii="Sylfaen" w:hAnsi="Sylfaen"/>
          <w:sz w:val="24"/>
          <w:szCs w:val="24"/>
        </w:rPr>
        <w:t>Փորձագետն առաջարկում է գրանցման հավաստագրի իրավատիրոջը շարունակել ներկայացնել վեցամսյա (տարեկան) ԱՊԹՀ-ն:</w:t>
      </w:r>
    </w:p>
    <w:p w14:paraId="020C58F7" w14:textId="77777777" w:rsidR="004F5982" w:rsidRPr="00826F05" w:rsidRDefault="004F5982" w:rsidP="00487007">
      <w:pPr>
        <w:spacing w:after="160" w:line="360" w:lineRule="auto"/>
        <w:ind w:right="40" w:firstLine="567"/>
        <w:jc w:val="both"/>
        <w:rPr>
          <w:rFonts w:ascii="Sylfaen" w:eastAsia="Times New Roman" w:hAnsi="Sylfaen" w:cs="Times New Roman"/>
          <w:sz w:val="24"/>
          <w:szCs w:val="24"/>
        </w:rPr>
      </w:pPr>
      <w:r w:rsidRPr="00826F05">
        <w:rPr>
          <w:rFonts w:ascii="Sylfaen" w:hAnsi="Sylfaen"/>
          <w:sz w:val="24"/>
          <w:szCs w:val="24"/>
        </w:rPr>
        <w:t>Գրանցման հավաստագրի իրավատերը պետք է ներկայացնի դեղամիջոցի ԱՊԹՀ-ն՝ ելնելով ակտիվ դեղագործական բաղադրամասի ՄՉԱ-ի միջազգային գրանցման ամսաթվից:</w:t>
      </w:r>
    </w:p>
    <w:p w14:paraId="2EBD9E20" w14:textId="77777777" w:rsidR="004F5982" w:rsidRPr="00826F05" w:rsidRDefault="004F5982" w:rsidP="00487007">
      <w:pPr>
        <w:spacing w:after="160" w:line="360" w:lineRule="auto"/>
        <w:ind w:right="39" w:firstLine="567"/>
        <w:jc w:val="both"/>
        <w:rPr>
          <w:rFonts w:ascii="Sylfaen" w:eastAsia="Times New Roman" w:hAnsi="Sylfaen" w:cs="Times New Roman"/>
          <w:sz w:val="24"/>
          <w:szCs w:val="24"/>
        </w:rPr>
      </w:pPr>
      <w:r w:rsidRPr="00826F05">
        <w:rPr>
          <w:rFonts w:ascii="Sylfaen" w:hAnsi="Sylfaen"/>
          <w:sz w:val="24"/>
          <w:szCs w:val="24"/>
        </w:rPr>
        <w:t>Փորձագետի առաջարկությունները վերաբերում են գրանցման հետ</w:t>
      </w:r>
      <w:r w:rsidR="00C54D75">
        <w:rPr>
          <w:rFonts w:ascii="Sylfaen" w:hAnsi="Sylfaen"/>
          <w:sz w:val="24"/>
          <w:szCs w:val="24"/>
        </w:rPr>
        <w:t>և</w:t>
      </w:r>
      <w:r w:rsidRPr="00826F05">
        <w:rPr>
          <w:rFonts w:ascii="Sylfaen" w:hAnsi="Sylfaen"/>
          <w:sz w:val="24"/>
          <w:szCs w:val="24"/>
        </w:rPr>
        <w:t xml:space="preserve">յալ նոր պայմաններին՝ </w:t>
      </w:r>
      <w:r w:rsidRPr="0037445D">
        <w:rPr>
          <w:rFonts w:ascii="Sylfaen" w:hAnsi="Sylfaen"/>
          <w:i/>
          <w:sz w:val="24"/>
          <w:szCs w:val="24"/>
        </w:rPr>
        <w:t>&lt;նշել պայմանները&gt;:</w:t>
      </w:r>
    </w:p>
    <w:p w14:paraId="3B67F36A" w14:textId="77777777" w:rsidR="004F5982" w:rsidRPr="00826F05" w:rsidRDefault="004F5982" w:rsidP="00487007">
      <w:pPr>
        <w:spacing w:after="160" w:line="360" w:lineRule="auto"/>
        <w:ind w:firstLine="567"/>
        <w:jc w:val="both"/>
        <w:rPr>
          <w:rFonts w:ascii="Sylfaen" w:hAnsi="Sylfaen"/>
          <w:sz w:val="24"/>
          <w:szCs w:val="24"/>
        </w:rPr>
      </w:pPr>
      <w:r w:rsidRPr="00826F05">
        <w:rPr>
          <w:rFonts w:ascii="Sylfaen" w:hAnsi="Sylfaen"/>
          <w:sz w:val="24"/>
          <w:szCs w:val="24"/>
        </w:rPr>
        <w:t>Փորձագետը համարում է, որ հետ</w:t>
      </w:r>
      <w:r w:rsidR="00C54D75">
        <w:rPr>
          <w:rFonts w:ascii="Sylfaen" w:hAnsi="Sylfaen"/>
          <w:sz w:val="24"/>
          <w:szCs w:val="24"/>
        </w:rPr>
        <w:t>և</w:t>
      </w:r>
      <w:r w:rsidRPr="00826F05">
        <w:rPr>
          <w:rFonts w:ascii="Sylfaen" w:hAnsi="Sylfaen"/>
          <w:sz w:val="24"/>
          <w:szCs w:val="24"/>
        </w:rPr>
        <w:t>յալ պարտավորությունները կատարվել</w:t>
      </w:r>
      <w:r>
        <w:rPr>
          <w:rFonts w:ascii="Sylfaen" w:hAnsi="Sylfaen"/>
          <w:sz w:val="24"/>
          <w:szCs w:val="24"/>
        </w:rPr>
        <w:t> </w:t>
      </w:r>
      <w:r w:rsidRPr="00826F05">
        <w:rPr>
          <w:rFonts w:ascii="Sylfaen" w:hAnsi="Sylfaen"/>
          <w:sz w:val="24"/>
          <w:szCs w:val="24"/>
        </w:rPr>
        <w:t xml:space="preserve">են, </w:t>
      </w:r>
      <w:r w:rsidR="00C54D75">
        <w:rPr>
          <w:rFonts w:ascii="Sylfaen" w:hAnsi="Sylfaen"/>
          <w:sz w:val="24"/>
          <w:szCs w:val="24"/>
        </w:rPr>
        <w:t>և</w:t>
      </w:r>
      <w:r w:rsidRPr="00826F05">
        <w:rPr>
          <w:rFonts w:ascii="Sylfaen" w:hAnsi="Sylfaen"/>
          <w:sz w:val="24"/>
          <w:szCs w:val="24"/>
        </w:rPr>
        <w:t xml:space="preserve"> այդ իսկ պատճառով առաջարկում է Գ հավելվածից հանել՝</w:t>
      </w:r>
    </w:p>
    <w:p w14:paraId="1DF2066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Դեղամիջոցի անվտանգ </w:t>
      </w:r>
      <w:r w:rsidR="00C54D75">
        <w:rPr>
          <w:rFonts w:ascii="Sylfaen" w:hAnsi="Sylfaen"/>
          <w:sz w:val="24"/>
          <w:szCs w:val="24"/>
        </w:rPr>
        <w:t>և</w:t>
      </w:r>
      <w:r w:rsidRPr="00826F05">
        <w:rPr>
          <w:rFonts w:ascii="Sylfaen" w:hAnsi="Sylfaen"/>
          <w:sz w:val="24"/>
          <w:szCs w:val="24"/>
        </w:rPr>
        <w:t xml:space="preserve"> արդյունավետ օգտագործման մասով պայմանները կամ սահմանափակումները՝</w:t>
      </w:r>
    </w:p>
    <w:p w14:paraId="68ED19B3"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[Ռիսկի նվազեցմանն ուղղված լրացուցիչ միջոցառումները, որոնք կկատարվեն գրանցման հավաստագրի իրավատիրոջ կողմից, պետք է թվարկվեն տվյալ բաժնում:</w:t>
      </w:r>
    </w:p>
    <w:p w14:paraId="6AFFD84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Բացի ԴԸԲ-ում նշվածներից՝ ռիսկերի նվազեցմանն ուղղված լրացուցիչ միջոցառումների անցկացման անհրաժեշտության դեպքում (օրինակ՝</w:t>
      </w:r>
      <w:r>
        <w:rPr>
          <w:rFonts w:ascii="Sylfaen" w:hAnsi="Sylfaen"/>
          <w:i/>
          <w:sz w:val="24"/>
          <w:szCs w:val="24"/>
        </w:rPr>
        <w:t> </w:t>
      </w:r>
      <w:r w:rsidRPr="00826F05">
        <w:rPr>
          <w:rFonts w:ascii="Sylfaen" w:hAnsi="Sylfaen"/>
          <w:i/>
          <w:sz w:val="24"/>
          <w:szCs w:val="24"/>
        </w:rPr>
        <w:t xml:space="preserve">պատրաստուկի հսկվող տարածումը, ուսուցողական ծրագրերը, հղիության կանխման ծրագիրը), դրանք պետք է թվարկվեն այստեղ </w:t>
      </w:r>
      <w:r w:rsidR="00C54D75">
        <w:rPr>
          <w:rFonts w:ascii="Sylfaen" w:hAnsi="Sylfaen"/>
          <w:i/>
          <w:sz w:val="24"/>
          <w:szCs w:val="24"/>
        </w:rPr>
        <w:t>և</w:t>
      </w:r>
      <w:r w:rsidRPr="00826F05">
        <w:rPr>
          <w:rFonts w:ascii="Sylfaen" w:hAnsi="Sylfaen"/>
          <w:i/>
          <w:sz w:val="24"/>
          <w:szCs w:val="24"/>
        </w:rPr>
        <w:t xml:space="preserve">, ըստ անհրաժեշտության, պետք է ապահովվի անդամ պետությունների կողմից դրանց ճշգրիտ կատարումը: Այդ կանոնից ցանկացած բացառություն (օրինակ՝ որոշ անդամ պետություններում համաճարակաբանական վերահսկողության ծրագրով ներմուծված) պետք է քննարկվի </w:t>
      </w:r>
      <w:r w:rsidR="00C54D75">
        <w:rPr>
          <w:rFonts w:ascii="Sylfaen" w:hAnsi="Sylfaen"/>
          <w:i/>
          <w:sz w:val="24"/>
          <w:szCs w:val="24"/>
        </w:rPr>
        <w:t>և</w:t>
      </w:r>
      <w:r w:rsidRPr="00826F05">
        <w:rPr>
          <w:rFonts w:ascii="Sylfaen" w:hAnsi="Sylfaen"/>
          <w:i/>
          <w:sz w:val="24"/>
          <w:szCs w:val="24"/>
        </w:rPr>
        <w:t xml:space="preserve"> արտացոլվի փորձագիտական եզրակացությունում]:</w:t>
      </w:r>
    </w:p>
    <w:p w14:paraId="7418ACA6" w14:textId="77777777" w:rsidR="004F5982" w:rsidRDefault="004F5982" w:rsidP="00487007">
      <w:pPr>
        <w:spacing w:after="160" w:line="360" w:lineRule="auto"/>
        <w:ind w:left="567" w:right="565"/>
        <w:jc w:val="center"/>
        <w:rPr>
          <w:rFonts w:ascii="Sylfaen" w:hAnsi="Sylfaen"/>
          <w:sz w:val="24"/>
          <w:szCs w:val="24"/>
        </w:rPr>
      </w:pPr>
    </w:p>
    <w:p w14:paraId="71A4578F"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Հետգրանցումային գործողություններն ավարտելու պարտավորությունը</w:t>
      </w:r>
    </w:p>
    <w:p w14:paraId="48C0018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Գրանցման հավաստագրի իրավատերը պետք է սահմանված ժամկետներում ավարտի հետ</w:t>
      </w:r>
      <w:r w:rsidR="00C54D75">
        <w:rPr>
          <w:rFonts w:ascii="Sylfaen" w:hAnsi="Sylfaen"/>
          <w:sz w:val="24"/>
          <w:szCs w:val="24"/>
        </w:rPr>
        <w:t>և</w:t>
      </w:r>
      <w:r w:rsidRPr="00826F05">
        <w:rPr>
          <w:rFonts w:ascii="Sylfaen" w:hAnsi="Sylfaen"/>
          <w:sz w:val="24"/>
          <w:szCs w:val="24"/>
        </w:rPr>
        <w:t>յալ գործողությունները՝</w:t>
      </w:r>
    </w:p>
    <w:tbl>
      <w:tblPr>
        <w:tblW w:w="9831"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7"/>
        <w:gridCol w:w="2494"/>
      </w:tblGrid>
      <w:tr w:rsidR="004F5982" w:rsidRPr="00826F05" w14:paraId="46175692" w14:textId="77777777" w:rsidTr="004F5982">
        <w:tc>
          <w:tcPr>
            <w:tcW w:w="7337" w:type="dxa"/>
          </w:tcPr>
          <w:p w14:paraId="0906BC1C" w14:textId="77777777" w:rsidR="004F5982" w:rsidRPr="00826F05" w:rsidRDefault="004F5982" w:rsidP="00487007">
            <w:pPr>
              <w:spacing w:after="160" w:line="360" w:lineRule="auto"/>
              <w:ind w:left="102" w:right="-20"/>
              <w:rPr>
                <w:rFonts w:ascii="Sylfaen" w:eastAsia="Times New Roman" w:hAnsi="Sylfaen" w:cs="Times New Roman"/>
                <w:sz w:val="24"/>
                <w:szCs w:val="24"/>
              </w:rPr>
            </w:pPr>
            <w:r w:rsidRPr="00826F05">
              <w:rPr>
                <w:rFonts w:ascii="Sylfaen" w:hAnsi="Sylfaen"/>
                <w:sz w:val="24"/>
                <w:szCs w:val="24"/>
              </w:rPr>
              <w:t>Նկարագրությունը</w:t>
            </w:r>
          </w:p>
        </w:tc>
        <w:tc>
          <w:tcPr>
            <w:tcW w:w="2494" w:type="dxa"/>
          </w:tcPr>
          <w:p w14:paraId="626B3684" w14:textId="77777777" w:rsidR="004F5982" w:rsidRPr="00826F05" w:rsidRDefault="004F5982" w:rsidP="00487007">
            <w:pPr>
              <w:spacing w:after="160" w:line="360" w:lineRule="auto"/>
              <w:ind w:left="102" w:right="-20"/>
              <w:rPr>
                <w:rFonts w:ascii="Sylfaen" w:eastAsia="Times New Roman" w:hAnsi="Sylfaen" w:cs="Times New Roman"/>
                <w:sz w:val="24"/>
                <w:szCs w:val="24"/>
              </w:rPr>
            </w:pPr>
            <w:r w:rsidRPr="00826F05">
              <w:rPr>
                <w:rFonts w:ascii="Sylfaen" w:hAnsi="Sylfaen"/>
                <w:sz w:val="24"/>
                <w:szCs w:val="24"/>
              </w:rPr>
              <w:t>Կատարման ամսաթիվը</w:t>
            </w:r>
          </w:p>
        </w:tc>
      </w:tr>
      <w:tr w:rsidR="004F5982" w:rsidRPr="00826F05" w14:paraId="61685034" w14:textId="77777777" w:rsidTr="004F5982">
        <w:tc>
          <w:tcPr>
            <w:tcW w:w="7337" w:type="dxa"/>
          </w:tcPr>
          <w:p w14:paraId="0860F91B" w14:textId="77777777" w:rsidR="004F5982" w:rsidRPr="00826F05" w:rsidRDefault="004F5982" w:rsidP="00487007">
            <w:pPr>
              <w:spacing w:after="160" w:line="360" w:lineRule="auto"/>
              <w:jc w:val="both"/>
              <w:rPr>
                <w:rFonts w:ascii="Sylfaen" w:hAnsi="Sylfaen"/>
                <w:sz w:val="24"/>
                <w:szCs w:val="24"/>
              </w:rPr>
            </w:pPr>
          </w:p>
        </w:tc>
        <w:tc>
          <w:tcPr>
            <w:tcW w:w="2494" w:type="dxa"/>
          </w:tcPr>
          <w:p w14:paraId="0B414107" w14:textId="77777777" w:rsidR="004F5982" w:rsidRPr="00826F05" w:rsidRDefault="004F5982" w:rsidP="00487007">
            <w:pPr>
              <w:spacing w:after="160" w:line="360" w:lineRule="auto"/>
              <w:jc w:val="both"/>
              <w:rPr>
                <w:rFonts w:ascii="Sylfaen" w:hAnsi="Sylfaen"/>
                <w:sz w:val="24"/>
                <w:szCs w:val="24"/>
              </w:rPr>
            </w:pPr>
          </w:p>
        </w:tc>
      </w:tr>
      <w:tr w:rsidR="004F5982" w:rsidRPr="00826F05" w14:paraId="7908622C" w14:textId="77777777" w:rsidTr="004F5982">
        <w:tc>
          <w:tcPr>
            <w:tcW w:w="7337" w:type="dxa"/>
          </w:tcPr>
          <w:p w14:paraId="79D9D09A" w14:textId="77777777" w:rsidR="004F5982" w:rsidRPr="00826F05" w:rsidRDefault="004F5982" w:rsidP="00487007">
            <w:pPr>
              <w:spacing w:after="160" w:line="360" w:lineRule="auto"/>
              <w:jc w:val="both"/>
              <w:rPr>
                <w:rFonts w:ascii="Sylfaen" w:hAnsi="Sylfaen"/>
                <w:sz w:val="24"/>
                <w:szCs w:val="24"/>
              </w:rPr>
            </w:pPr>
          </w:p>
        </w:tc>
        <w:tc>
          <w:tcPr>
            <w:tcW w:w="2494" w:type="dxa"/>
          </w:tcPr>
          <w:p w14:paraId="34248B7F" w14:textId="77777777" w:rsidR="004F5982" w:rsidRPr="00826F05" w:rsidRDefault="004F5982" w:rsidP="00487007">
            <w:pPr>
              <w:spacing w:after="160" w:line="360" w:lineRule="auto"/>
              <w:jc w:val="both"/>
              <w:rPr>
                <w:rFonts w:ascii="Sylfaen" w:hAnsi="Sylfaen"/>
                <w:sz w:val="24"/>
                <w:szCs w:val="24"/>
              </w:rPr>
            </w:pPr>
          </w:p>
        </w:tc>
      </w:tr>
    </w:tbl>
    <w:p w14:paraId="51AB266C"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667475">
        <w:rPr>
          <w:rFonts w:ascii="Sylfaen" w:hAnsi="Sylfaen"/>
          <w:spacing w:val="-6"/>
          <w:sz w:val="24"/>
          <w:szCs w:val="24"/>
        </w:rPr>
        <w:t xml:space="preserve">Դեղամիջոցի անվտանգ </w:t>
      </w:r>
      <w:r w:rsidR="00C54D75">
        <w:rPr>
          <w:rFonts w:ascii="Sylfaen" w:hAnsi="Sylfaen"/>
          <w:spacing w:val="-6"/>
          <w:sz w:val="24"/>
          <w:szCs w:val="24"/>
        </w:rPr>
        <w:t>և</w:t>
      </w:r>
      <w:r w:rsidRPr="00667475">
        <w:rPr>
          <w:rFonts w:ascii="Sylfaen" w:hAnsi="Sylfaen"/>
          <w:spacing w:val="-6"/>
          <w:sz w:val="24"/>
          <w:szCs w:val="24"/>
        </w:rPr>
        <w:t xml:space="preserve"> արդյունավետ օգտագործման մասով պայմանները կամ սահմանափակումները, որոնք կիրականացվեն անդամ պետությունների</w:t>
      </w:r>
      <w:r w:rsidRPr="00826F05">
        <w:rPr>
          <w:rFonts w:ascii="Sylfaen" w:hAnsi="Sylfaen"/>
          <w:sz w:val="24"/>
          <w:szCs w:val="24"/>
        </w:rPr>
        <w:t xml:space="preserve"> կողմից՝</w:t>
      </w:r>
    </w:p>
    <w:p w14:paraId="2DEDE191"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[Պետք է թվարկվեն ռիսկերի նվազեցմանն ուղղված լրացուցիչ արդիական </w:t>
      </w:r>
      <w:r w:rsidRPr="00667475">
        <w:rPr>
          <w:rFonts w:ascii="Sylfaen" w:hAnsi="Sylfaen"/>
          <w:i/>
          <w:spacing w:val="-6"/>
          <w:sz w:val="24"/>
          <w:szCs w:val="24"/>
        </w:rPr>
        <w:t>միջոցառումները, որոնք կիրականացվեն անդամ պետությունների կողմից: Դրանք պետք է արտացոլեն նախորդ</w:t>
      </w:r>
      <w:r w:rsidRPr="00826F05">
        <w:rPr>
          <w:rFonts w:ascii="Sylfaen" w:hAnsi="Sylfaen"/>
          <w:i/>
          <w:sz w:val="24"/>
          <w:szCs w:val="24"/>
        </w:rPr>
        <w:t xml:space="preserve"> բաժնի տեղեկատվությունը, քանի դեռ ի հայտ չեն եկել կոնկրետ անդամ պետության համար ռիսկի նվազեցման վերաբերյալ տվյալները:</w:t>
      </w:r>
    </w:p>
    <w:p w14:paraId="19F3337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Այդ հավելվածը պետք է նախատեսվի, երբ դեղամիջոցի անվտանգ </w:t>
      </w:r>
      <w:r w:rsidR="00C54D75">
        <w:rPr>
          <w:rFonts w:ascii="Sylfaen" w:hAnsi="Sylfaen"/>
          <w:i/>
          <w:sz w:val="24"/>
          <w:szCs w:val="24"/>
        </w:rPr>
        <w:t>և</w:t>
      </w:r>
      <w:r w:rsidRPr="00826F05">
        <w:rPr>
          <w:rFonts w:ascii="Sylfaen" w:hAnsi="Sylfaen"/>
          <w:i/>
          <w:sz w:val="24"/>
          <w:szCs w:val="24"/>
        </w:rPr>
        <w:t xml:space="preserve"> արդյունավետ օգտագործման մասով առկա են Գ հավելվածում նշված պայմանները կամ սահմանափակումները (օրինակ՝ պատրաստուկի տարածման հսկողությունը, ուսումնական նյութերը, հղիության կանխարգելման ծրագիրը), ըստ որոնց՝ անդամ պետություններից պահանջվում է ապահովել դրանց ճշգրիտ իրականացումը: Այդ կանոնից ցանկացած բացառություն (օրինակ՝ որոշ անդամ պետություններում համաճարակաբանական վերահսկողության ծրագրով ստեղծված) պետք է քննարկվի </w:t>
      </w:r>
      <w:r w:rsidR="00C54D75">
        <w:rPr>
          <w:rFonts w:ascii="Sylfaen" w:hAnsi="Sylfaen"/>
          <w:i/>
          <w:sz w:val="24"/>
          <w:szCs w:val="24"/>
        </w:rPr>
        <w:t>և</w:t>
      </w:r>
      <w:r w:rsidRPr="00826F05">
        <w:rPr>
          <w:rFonts w:ascii="Sylfaen" w:hAnsi="Sylfaen"/>
          <w:i/>
          <w:sz w:val="24"/>
          <w:szCs w:val="24"/>
        </w:rPr>
        <w:t xml:space="preserve"> արտացոլվի եզրակացությունում]:</w:t>
      </w:r>
    </w:p>
    <w:p w14:paraId="220A5A7D" w14:textId="77777777" w:rsidR="004F5982" w:rsidRPr="00826F05" w:rsidRDefault="004F5982" w:rsidP="00487007">
      <w:pPr>
        <w:spacing w:after="160" w:line="360" w:lineRule="auto"/>
        <w:jc w:val="both"/>
        <w:rPr>
          <w:rFonts w:ascii="Sylfaen" w:hAnsi="Sylfaen"/>
          <w:sz w:val="24"/>
          <w:szCs w:val="24"/>
        </w:rPr>
      </w:pPr>
    </w:p>
    <w:p w14:paraId="023E235D"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Մանկաբուժական տվյալները</w:t>
      </w:r>
    </w:p>
    <w:p w14:paraId="24DF51DF"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[Ուշադրությո՛ւն. Եթե այդ փոփոխությունը ներկայացնելու համար դիտարկվել է երեխաների մոտ ազդանշանի հաստատումը, կամ եթե այդ փոփոխությունը ներկայացնելը ներառում է ԴԸԲ-ում հիշատակված երեխաների </w:t>
      </w:r>
      <w:r w:rsidRPr="00826F05">
        <w:rPr>
          <w:rFonts w:ascii="Sylfaen" w:hAnsi="Sylfaen"/>
          <w:i/>
          <w:sz w:val="24"/>
          <w:szCs w:val="24"/>
        </w:rPr>
        <w:lastRenderedPageBreak/>
        <w:t>հետազոտությունները, հարկ է դրանք գնահատելիս օգտագործել մանկաբուժության ոլորտի համապատասխան ձեռնարկները:</w:t>
      </w:r>
    </w:p>
    <w:p w14:paraId="26549C80" w14:textId="77777777" w:rsidR="004F5982" w:rsidRPr="00826F05" w:rsidRDefault="004F5982" w:rsidP="00487007">
      <w:pPr>
        <w:spacing w:after="160" w:line="360" w:lineRule="auto"/>
        <w:jc w:val="both"/>
        <w:rPr>
          <w:rFonts w:ascii="Sylfaen" w:hAnsi="Sylfaen"/>
          <w:sz w:val="24"/>
          <w:szCs w:val="24"/>
        </w:rPr>
      </w:pPr>
    </w:p>
    <w:p w14:paraId="1704A5BB"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4. Լրացուցիչ տեղեկատվության հարցումը</w:t>
      </w:r>
    </w:p>
    <w:p w14:paraId="2856B87F"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4.1. Կրիտիկական դիտողությունները</w:t>
      </w:r>
    </w:p>
    <w:p w14:paraId="21F0B78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[Դիտողությունների դասակարգումը:</w:t>
      </w:r>
    </w:p>
    <w:p w14:paraId="2ABCA1C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Կրիտիկական դիտողությունները դիտողություններ են, որոնք անհնարին են դարձնում դեղապատրաստուկի գրանցումը: Մեկ կրիտիկական դիտողությունը տեսականորեն կարող է ներառել մի քանի հարցեր. այդ դեպքում հարկ է օգտագործել չհամարակալված ցանկեր ու ենթավերնագրեր: Կրիտիկական դիտողությունը պետք է հասկանալի </w:t>
      </w:r>
      <w:r w:rsidR="00C54D75">
        <w:rPr>
          <w:rFonts w:ascii="Sylfaen" w:hAnsi="Sylfaen"/>
          <w:i/>
          <w:sz w:val="24"/>
          <w:szCs w:val="24"/>
        </w:rPr>
        <w:t>և</w:t>
      </w:r>
      <w:r w:rsidRPr="00826F05">
        <w:rPr>
          <w:rFonts w:ascii="Sylfaen" w:hAnsi="Sylfaen"/>
          <w:i/>
          <w:sz w:val="24"/>
          <w:szCs w:val="24"/>
        </w:rPr>
        <w:t xml:space="preserve"> հստակ շարադրված լինի: Դրա համար կարող են պահանջվել մանրամասն մեկնաբանություններ՝ Միության մարմինների համապատասխան ակտերին արված հղումներով:</w:t>
      </w:r>
    </w:p>
    <w:p w14:paraId="21967DC6"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Հնարավորության դեպքում դիտողությունը պետք է ներառի հայտատուից ակնկալվող պատասխանի </w:t>
      </w:r>
      <w:r w:rsidR="00C54D75">
        <w:rPr>
          <w:rFonts w:ascii="Sylfaen" w:hAnsi="Sylfaen"/>
          <w:i/>
          <w:sz w:val="24"/>
          <w:szCs w:val="24"/>
        </w:rPr>
        <w:t>և</w:t>
      </w:r>
      <w:r w:rsidRPr="00826F05">
        <w:rPr>
          <w:rFonts w:ascii="Sylfaen" w:hAnsi="Sylfaen"/>
          <w:i/>
          <w:sz w:val="24"/>
          <w:szCs w:val="24"/>
        </w:rPr>
        <w:t xml:space="preserve"> (կամ) միջոցների վերաբերյալ պարզաբանումներ։</w:t>
      </w:r>
    </w:p>
    <w:p w14:paraId="2563D6CB" w14:textId="77777777" w:rsidR="004F5982" w:rsidRPr="00826F05" w:rsidRDefault="004F5982" w:rsidP="00487007">
      <w:pPr>
        <w:spacing w:after="160" w:line="360" w:lineRule="auto"/>
        <w:ind w:right="-2" w:firstLine="567"/>
        <w:jc w:val="both"/>
        <w:rPr>
          <w:rFonts w:ascii="Sylfaen" w:eastAsia="Times New Roman" w:hAnsi="Sylfaen" w:cs="Times New Roman"/>
          <w:i/>
          <w:sz w:val="24"/>
          <w:szCs w:val="24"/>
        </w:rPr>
      </w:pPr>
      <w:r w:rsidRPr="00826F05">
        <w:rPr>
          <w:rFonts w:ascii="Sylfaen" w:hAnsi="Sylfaen"/>
          <w:i/>
          <w:sz w:val="24"/>
          <w:szCs w:val="24"/>
        </w:rPr>
        <w:t xml:space="preserve">Ոչ էական (այլ) դիտողությունները դիտողություններ են, որոնք կարող են ազդել հայտատուի կողմից առաջարկված գրանցման պայմանների </w:t>
      </w:r>
      <w:r w:rsidR="00C54D75">
        <w:rPr>
          <w:rFonts w:ascii="Sylfaen" w:hAnsi="Sylfaen"/>
          <w:i/>
          <w:sz w:val="24"/>
          <w:szCs w:val="24"/>
        </w:rPr>
        <w:t>և</w:t>
      </w:r>
      <w:r w:rsidRPr="00826F05">
        <w:rPr>
          <w:rFonts w:ascii="Sylfaen" w:hAnsi="Sylfaen"/>
          <w:i/>
          <w:sz w:val="24"/>
          <w:szCs w:val="24"/>
        </w:rPr>
        <w:t xml:space="preserve"> դեղապատրաստուկի վերաբերյալ տեղեկատվության վրա (օրինակ՝ ԴԸԲ, ներդիր</w:t>
      </w:r>
      <w:r>
        <w:rPr>
          <w:rFonts w:ascii="Sylfaen" w:hAnsi="Sylfaen"/>
          <w:i/>
          <w:sz w:val="24"/>
          <w:szCs w:val="24"/>
        </w:rPr>
        <w:t> </w:t>
      </w:r>
      <w:r w:rsidRPr="00826F05">
        <w:rPr>
          <w:rFonts w:ascii="Sylfaen" w:hAnsi="Sylfaen"/>
          <w:i/>
          <w:sz w:val="24"/>
          <w:szCs w:val="24"/>
        </w:rPr>
        <w:t>թերթիկ, մականշվածք): Ոչ էական (այլ) դիտողություններն անհրաժեշտ է վերացնել մինչ</w:t>
      </w:r>
      <w:r w:rsidR="00C54D75">
        <w:rPr>
          <w:rFonts w:ascii="Sylfaen" w:hAnsi="Sylfaen"/>
          <w:i/>
          <w:sz w:val="24"/>
          <w:szCs w:val="24"/>
        </w:rPr>
        <w:t>և</w:t>
      </w:r>
      <w:r w:rsidRPr="00826F05">
        <w:rPr>
          <w:rFonts w:ascii="Sylfaen" w:hAnsi="Sylfaen"/>
          <w:i/>
          <w:sz w:val="24"/>
          <w:szCs w:val="24"/>
        </w:rPr>
        <w:t xml:space="preserve"> գրանցման հավաստագիր ստանալը, հակառակ դեպքում՝ գրանցումը կարող է մերժվել: Դիտողությունների ձ</w:t>
      </w:r>
      <w:r w:rsidR="00C54D75">
        <w:rPr>
          <w:rFonts w:ascii="Sylfaen" w:hAnsi="Sylfaen"/>
          <w:i/>
          <w:sz w:val="24"/>
          <w:szCs w:val="24"/>
        </w:rPr>
        <w:t>և</w:t>
      </w:r>
      <w:r w:rsidRPr="00826F05">
        <w:rPr>
          <w:rFonts w:ascii="Sylfaen" w:hAnsi="Sylfaen"/>
          <w:i/>
          <w:sz w:val="24"/>
          <w:szCs w:val="24"/>
        </w:rPr>
        <w:t>ակերպումը պետք է ներառի դիտողության մեջ բարձրացված հարցերի հստակ գիտական հիմնավորումը]:</w:t>
      </w:r>
    </w:p>
    <w:p w14:paraId="0233F6A0" w14:textId="77777777" w:rsidR="004F5982" w:rsidRPr="00826F05" w:rsidRDefault="004F5982" w:rsidP="00487007">
      <w:pPr>
        <w:tabs>
          <w:tab w:val="left" w:pos="1701"/>
        </w:tabs>
        <w:spacing w:after="160" w:line="360" w:lineRule="auto"/>
        <w:ind w:firstLine="567"/>
        <w:jc w:val="both"/>
        <w:rPr>
          <w:rFonts w:ascii="Sylfaen" w:hAnsi="Sylfaen"/>
          <w:sz w:val="24"/>
          <w:szCs w:val="24"/>
        </w:rPr>
      </w:pPr>
    </w:p>
    <w:p w14:paraId="1E89198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Որակի ասպեկտները՝</w:t>
      </w:r>
    </w:p>
    <w:p w14:paraId="0CA58C9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&lt;Առկա են դիտողություններ, որոնք վերաբերում են բաղադրամասի մաստեր-ֆայլի փակ մասին, </w:t>
      </w:r>
      <w:r w:rsidR="00C54D75">
        <w:rPr>
          <w:rFonts w:ascii="Sylfaen" w:hAnsi="Sylfaen"/>
          <w:i/>
          <w:sz w:val="24"/>
          <w:szCs w:val="24"/>
        </w:rPr>
        <w:t>և</w:t>
      </w:r>
      <w:r w:rsidRPr="00826F05">
        <w:rPr>
          <w:rFonts w:ascii="Sylfaen" w:hAnsi="Sylfaen"/>
          <w:i/>
          <w:sz w:val="24"/>
          <w:szCs w:val="24"/>
        </w:rPr>
        <w:t xml:space="preserve"> որոնք շարադրված են սույն եզրակացության առանձին </w:t>
      </w:r>
      <w:r w:rsidRPr="00826F05">
        <w:rPr>
          <w:rFonts w:ascii="Sylfaen" w:hAnsi="Sylfaen"/>
          <w:i/>
          <w:sz w:val="24"/>
          <w:szCs w:val="24"/>
        </w:rPr>
        <w:lastRenderedPageBreak/>
        <w:t xml:space="preserve">հավելվածում </w:t>
      </w:r>
      <w:r w:rsidR="00C54D75">
        <w:rPr>
          <w:rFonts w:ascii="Sylfaen" w:hAnsi="Sylfaen"/>
          <w:i/>
          <w:sz w:val="24"/>
          <w:szCs w:val="24"/>
        </w:rPr>
        <w:t>և</w:t>
      </w:r>
      <w:r w:rsidRPr="00826F05">
        <w:rPr>
          <w:rFonts w:ascii="Sylfaen" w:hAnsi="Sylfaen"/>
          <w:i/>
          <w:sz w:val="24"/>
          <w:szCs w:val="24"/>
        </w:rPr>
        <w:t xml:space="preserve"> չեն ներկայացվում գրանցման հավաստագրի իրավատիրոջը: Այդ</w:t>
      </w:r>
      <w:r>
        <w:rPr>
          <w:rFonts w:ascii="Sylfaen" w:hAnsi="Sylfaen"/>
          <w:i/>
          <w:sz w:val="24"/>
          <w:szCs w:val="24"/>
        </w:rPr>
        <w:t> </w:t>
      </w:r>
      <w:r w:rsidRPr="00826F05">
        <w:rPr>
          <w:rFonts w:ascii="Sylfaen" w:hAnsi="Sylfaen"/>
          <w:i/>
          <w:sz w:val="24"/>
          <w:szCs w:val="24"/>
        </w:rPr>
        <w:t>դիտողությունները գաղտնի կարգով կփոխանցվեն բաղադրամասի մաստեր-ֆայլի փակ մասի տիրապետողին&gt;:</w:t>
      </w:r>
    </w:p>
    <w:p w14:paraId="460E6174" w14:textId="77777777" w:rsidR="004F5982"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Նախակլինիկական ասպեկտները՝</w:t>
      </w:r>
    </w:p>
    <w:p w14:paraId="30BD839F" w14:textId="77777777" w:rsidR="004F5982" w:rsidRDefault="004F5982" w:rsidP="00487007">
      <w:pPr>
        <w:spacing w:after="160" w:line="360" w:lineRule="auto"/>
        <w:ind w:right="-2" w:firstLine="567"/>
        <w:jc w:val="both"/>
        <w:rPr>
          <w:rFonts w:ascii="Sylfaen" w:eastAsia="Times New Roman" w:hAnsi="Sylfaen" w:cs="Times New Roman"/>
          <w:sz w:val="24"/>
          <w:szCs w:val="24"/>
        </w:rPr>
      </w:pPr>
    </w:p>
    <w:p w14:paraId="716F347D"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Կլինիկական ասպեկտները՝</w:t>
      </w:r>
    </w:p>
    <w:p w14:paraId="523D956C" w14:textId="77777777" w:rsidR="004F5982" w:rsidRPr="00826F05" w:rsidRDefault="004F5982" w:rsidP="00487007">
      <w:pPr>
        <w:spacing w:after="160" w:line="360" w:lineRule="auto"/>
        <w:ind w:left="2310" w:right="-20"/>
        <w:jc w:val="both"/>
        <w:rPr>
          <w:rFonts w:ascii="Sylfaen" w:eastAsia="Times New Roman" w:hAnsi="Sylfaen" w:cs="Times New Roman"/>
          <w:sz w:val="24"/>
          <w:szCs w:val="24"/>
        </w:rPr>
      </w:pPr>
    </w:p>
    <w:p w14:paraId="1F9A2D5F"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4.2. Ոչ էական (այլ) դիտողությունները</w:t>
      </w:r>
    </w:p>
    <w:p w14:paraId="78CB66E1" w14:textId="77777777" w:rsidR="004F5982"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Որակի ասպեկտները՝</w:t>
      </w:r>
    </w:p>
    <w:p w14:paraId="2E36CFFB" w14:textId="77777777" w:rsidR="004F5982" w:rsidRPr="00826F05" w:rsidRDefault="004F5982" w:rsidP="00487007">
      <w:pPr>
        <w:spacing w:after="160" w:line="360" w:lineRule="auto"/>
        <w:ind w:right="-2" w:firstLine="567"/>
        <w:jc w:val="both"/>
        <w:rPr>
          <w:rFonts w:ascii="Sylfaen" w:hAnsi="Sylfaen"/>
          <w:sz w:val="24"/>
          <w:szCs w:val="24"/>
        </w:rPr>
      </w:pPr>
    </w:p>
    <w:p w14:paraId="07D5AEF9" w14:textId="77777777" w:rsidR="004F5982" w:rsidRDefault="004F5982" w:rsidP="00487007">
      <w:pPr>
        <w:spacing w:after="160" w:line="360" w:lineRule="auto"/>
        <w:ind w:right="-2" w:firstLine="567"/>
        <w:jc w:val="both"/>
        <w:rPr>
          <w:rFonts w:ascii="Sylfaen" w:hAnsi="Sylfaen"/>
          <w:sz w:val="24"/>
          <w:szCs w:val="24"/>
        </w:rPr>
      </w:pPr>
      <w:r w:rsidRPr="00826F05">
        <w:rPr>
          <w:rFonts w:ascii="Sylfaen" w:hAnsi="Sylfaen"/>
          <w:sz w:val="24"/>
          <w:szCs w:val="24"/>
        </w:rPr>
        <w:t>Նախակլինիկական ասպեկտները՝</w:t>
      </w:r>
    </w:p>
    <w:p w14:paraId="2BA6315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p>
    <w:p w14:paraId="21BEC65F"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Կլինիկական ասպեկտները՝</w:t>
      </w:r>
    </w:p>
    <w:p w14:paraId="2ECCEB1A" w14:textId="77777777" w:rsidR="004F5982" w:rsidRDefault="004F5982" w:rsidP="00487007">
      <w:pPr>
        <w:spacing w:after="160" w:line="360" w:lineRule="auto"/>
        <w:ind w:right="-23" w:firstLine="567"/>
        <w:jc w:val="both"/>
        <w:rPr>
          <w:rFonts w:ascii="Sylfaen" w:eastAsia="Times New Roman" w:hAnsi="Sylfaen" w:cs="Times New Roman"/>
          <w:sz w:val="24"/>
          <w:szCs w:val="24"/>
        </w:rPr>
      </w:pPr>
    </w:p>
    <w:p w14:paraId="06640DF4" w14:textId="77777777" w:rsidR="004F5982" w:rsidRPr="00826F05" w:rsidRDefault="004F5982" w:rsidP="00487007">
      <w:pPr>
        <w:spacing w:after="160" w:line="360" w:lineRule="auto"/>
        <w:ind w:right="-23" w:firstLine="567"/>
        <w:jc w:val="both"/>
        <w:rPr>
          <w:rFonts w:ascii="Sylfaen" w:eastAsia="Times New Roman" w:hAnsi="Sylfaen" w:cs="Times New Roman"/>
          <w:sz w:val="24"/>
          <w:szCs w:val="24"/>
        </w:rPr>
      </w:pPr>
    </w:p>
    <w:p w14:paraId="47780462"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5. Դեղապատրաստուկի անվտանգության մասին գրանցման հավաստագրի իրավատիրոջ կողմից նախապատրաստված ամփոփ տեղեկատվության՝ փորձագետի գնահատականը</w:t>
      </w:r>
    </w:p>
    <w:p w14:paraId="624D0D06" w14:textId="77777777" w:rsidR="004F5982" w:rsidRDefault="004F5982" w:rsidP="00487007">
      <w:pPr>
        <w:spacing w:after="160" w:line="360" w:lineRule="auto"/>
        <w:ind w:left="567" w:right="565"/>
        <w:jc w:val="center"/>
        <w:rPr>
          <w:rFonts w:ascii="Sylfaen" w:hAnsi="Sylfaen"/>
          <w:sz w:val="24"/>
          <w:szCs w:val="24"/>
        </w:rPr>
      </w:pPr>
    </w:p>
    <w:p w14:paraId="40F98ED3"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 xml:space="preserve">6. Թարմացված ընդհանուր եզրահանգումները </w:t>
      </w:r>
      <w:r w:rsidR="00C54D75">
        <w:rPr>
          <w:rFonts w:ascii="Sylfaen" w:hAnsi="Sylfaen"/>
          <w:sz w:val="24"/>
          <w:szCs w:val="24"/>
        </w:rPr>
        <w:t>և</w:t>
      </w:r>
      <w:r w:rsidRPr="00826F05">
        <w:rPr>
          <w:rFonts w:ascii="Sylfaen" w:hAnsi="Sylfaen"/>
          <w:sz w:val="24"/>
          <w:szCs w:val="24"/>
        </w:rPr>
        <w:t xml:space="preserve"> տվյալ դեղապատրաստուկի կիրառման մասով օգուտ-ռիսկ հարաբերակցության վրա ազդեցությունը</w:t>
      </w:r>
    </w:p>
    <w:p w14:paraId="40E900D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[Տվյալ բաժնում հարկ է բերել ներկայացված տվյալների թարմացված ամփոփ կրիտիկական տեղեկագիրը (ինչպես նախնական ներկայացումը, այնպես էլ </w:t>
      </w:r>
      <w:r w:rsidRPr="00826F05">
        <w:rPr>
          <w:rFonts w:ascii="Sylfaen" w:hAnsi="Sylfaen"/>
          <w:i/>
          <w:sz w:val="24"/>
          <w:szCs w:val="24"/>
        </w:rPr>
        <w:lastRenderedPageBreak/>
        <w:t>դեղապատրաստուկի անվտանգության մասով ամփոփ տեղեկատվության խմբագրման վերաբերյալ գրանցման հավաստագրի իրավատիրոջ պատասխանները), որում արտացոլվում է տվյալ դեղապատրաստուկի կիրառման մասով օգուտ-ռիսկ հարաբերակցության հավասարակշռության փոփոխության հնարավորության վերլուծությունը:</w:t>
      </w:r>
    </w:p>
    <w:p w14:paraId="45D2A0F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Որպես առանձին ծանոթագրություն՝ հարկ է կատարել գրանցման հավաստագիրը ստանալուց հետո միջոցառումներն ավարտելու պարտավորության մասին նշում, եթե դա անհրաժեշտ է:</w:t>
      </w:r>
    </w:p>
    <w:p w14:paraId="3C76ABB4"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Սահմանափակ քանակությամբ տվյալների դեպքում, որոնք որպես առանցքային միջոցներ են դիտարկվում օգուտի </w:t>
      </w:r>
      <w:r w:rsidR="00C54D75">
        <w:rPr>
          <w:rFonts w:ascii="Sylfaen" w:hAnsi="Sylfaen"/>
          <w:i/>
          <w:sz w:val="24"/>
          <w:szCs w:val="24"/>
        </w:rPr>
        <w:t>և</w:t>
      </w:r>
      <w:r w:rsidRPr="00826F05">
        <w:rPr>
          <w:rFonts w:ascii="Sylfaen" w:hAnsi="Sylfaen"/>
          <w:i/>
          <w:sz w:val="24"/>
          <w:szCs w:val="24"/>
        </w:rPr>
        <w:t xml:space="preserve"> ակնկալվող ռիսկի դրական հարաբերակցությունը (գերազանցումը) ապահովելու համար, հատուկ հետազոտությունների ժամանակ դրանց կատարումը փորձագետի կողմից կարող</w:t>
      </w:r>
      <w:r>
        <w:rPr>
          <w:rFonts w:ascii="Sylfaen" w:hAnsi="Sylfaen"/>
          <w:i/>
          <w:sz w:val="24"/>
          <w:szCs w:val="24"/>
        </w:rPr>
        <w:t> </w:t>
      </w:r>
      <w:r w:rsidRPr="00826F05">
        <w:rPr>
          <w:rFonts w:ascii="Sylfaen" w:hAnsi="Sylfaen"/>
          <w:i/>
          <w:sz w:val="24"/>
          <w:szCs w:val="24"/>
        </w:rPr>
        <w:t>է դրվել որպես գրանցման հավաստագրի տրամադրման պայման: Այն</w:t>
      </w:r>
      <w:r>
        <w:rPr>
          <w:rFonts w:ascii="Sylfaen" w:hAnsi="Sylfaen"/>
          <w:i/>
          <w:sz w:val="24"/>
          <w:szCs w:val="24"/>
        </w:rPr>
        <w:t> </w:t>
      </w:r>
      <w:r w:rsidRPr="00826F05">
        <w:rPr>
          <w:rFonts w:ascii="Sylfaen" w:hAnsi="Sylfaen"/>
          <w:i/>
          <w:sz w:val="24"/>
          <w:szCs w:val="24"/>
        </w:rPr>
        <w:t>դեպքում, երբ որոշվել է հարցերը ներառել Գ հավելվածում որպես պայմաններ, օգտագործեք ստոր</w:t>
      </w:r>
      <w:r w:rsidR="00C54D75">
        <w:rPr>
          <w:rFonts w:ascii="Sylfaen" w:hAnsi="Sylfaen"/>
          <w:i/>
          <w:sz w:val="24"/>
          <w:szCs w:val="24"/>
        </w:rPr>
        <w:t>և</w:t>
      </w:r>
      <w:r w:rsidRPr="00826F05">
        <w:rPr>
          <w:rFonts w:ascii="Sylfaen" w:hAnsi="Sylfaen"/>
          <w:i/>
          <w:sz w:val="24"/>
          <w:szCs w:val="24"/>
        </w:rPr>
        <w:t xml:space="preserve"> բերված հայտը: Որպես պայման սահմանված ցանկացած միջոց պետք է լավ հիմնավորված լինի հայտում, իսկ մասնավորապես, պայմանի անհրաժեշտությունը պետք է բացատրվի օգուտ-ռիսկ դրական հարաբերակցության համատեքստում]:</w:t>
      </w:r>
    </w:p>
    <w:p w14:paraId="2FA5EF29" w14:textId="77777777" w:rsidR="004F5982" w:rsidRPr="00E80AC2" w:rsidRDefault="004F5982" w:rsidP="00487007">
      <w:pPr>
        <w:spacing w:after="160" w:line="384" w:lineRule="auto"/>
        <w:ind w:right="-2" w:firstLine="567"/>
        <w:jc w:val="both"/>
        <w:rPr>
          <w:rFonts w:ascii="Sylfaen" w:eastAsia="Times New Roman" w:hAnsi="Sylfaen" w:cs="Times New Roman"/>
          <w:i/>
          <w:sz w:val="24"/>
          <w:szCs w:val="24"/>
        </w:rPr>
      </w:pPr>
      <w:r w:rsidRPr="00826F05">
        <w:rPr>
          <w:rFonts w:ascii="Sylfaen" w:hAnsi="Sylfaen"/>
          <w:sz w:val="24"/>
          <w:szCs w:val="24"/>
        </w:rPr>
        <w:t>Փորձագետն անհրաժեշտ է համարում հետ</w:t>
      </w:r>
      <w:r w:rsidR="00C54D75">
        <w:rPr>
          <w:rFonts w:ascii="Sylfaen" w:hAnsi="Sylfaen"/>
          <w:sz w:val="24"/>
          <w:szCs w:val="24"/>
        </w:rPr>
        <w:t>և</w:t>
      </w:r>
      <w:r w:rsidRPr="00826F05">
        <w:rPr>
          <w:rFonts w:ascii="Sylfaen" w:hAnsi="Sylfaen"/>
          <w:sz w:val="24"/>
          <w:szCs w:val="24"/>
        </w:rPr>
        <w:t xml:space="preserve">յալ լրացուցիչ տվյալները ներկայացնելը՝ </w:t>
      </w:r>
      <w:r w:rsidRPr="00E80AC2">
        <w:rPr>
          <w:rFonts w:ascii="Sylfaen" w:hAnsi="Sylfaen"/>
          <w:i/>
          <w:sz w:val="24"/>
          <w:szCs w:val="24"/>
        </w:rPr>
        <w:t>&lt;թվարկել նախակլինիկական հետազոտությունների վերաբերյալ տվյալները&gt;, &lt;թվարկել դեղաբանության հետ կապված տվյալները&gt;, &lt;թվարկել արդյունավետության հետ կապված տվյալները&gt;, &lt;թվարկել անվտանգության հետ կապված տվյալները&gt;:</w:t>
      </w:r>
    </w:p>
    <w:p w14:paraId="0BD4B869" w14:textId="77777777" w:rsidR="004F5982" w:rsidRPr="00826F05" w:rsidRDefault="004F5982" w:rsidP="00487007">
      <w:pPr>
        <w:spacing w:after="160" w:line="384" w:lineRule="auto"/>
        <w:ind w:firstLine="567"/>
        <w:jc w:val="both"/>
        <w:rPr>
          <w:rFonts w:ascii="Sylfaen" w:eastAsia="Times New Roman" w:hAnsi="Sylfaen" w:cs="Times New Roman"/>
          <w:sz w:val="24"/>
          <w:szCs w:val="24"/>
        </w:rPr>
      </w:pPr>
      <w:r w:rsidRPr="00826F05">
        <w:rPr>
          <w:rFonts w:ascii="Sylfaen" w:hAnsi="Sylfaen"/>
          <w:i/>
          <w:sz w:val="24"/>
          <w:szCs w:val="24"/>
        </w:rPr>
        <w:t>[Փորձագետի կողմից դեղապատրաստուկի անվտանգության հետ կապված հարցումների ձ</w:t>
      </w:r>
      <w:r w:rsidR="00C54D75">
        <w:rPr>
          <w:rFonts w:ascii="Sylfaen" w:hAnsi="Sylfaen"/>
          <w:i/>
          <w:sz w:val="24"/>
          <w:szCs w:val="24"/>
        </w:rPr>
        <w:t>և</w:t>
      </w:r>
      <w:r w:rsidRPr="00826F05">
        <w:rPr>
          <w:rFonts w:ascii="Sylfaen" w:hAnsi="Sylfaen"/>
          <w:i/>
          <w:sz w:val="24"/>
          <w:szCs w:val="24"/>
        </w:rPr>
        <w:t>ակերպման դեպքում (այսինքն՝ անվտանգության ամբողջական վերլուծությունը, որը պետք է ներկայացվի) խնդրում ենք նշել հետ</w:t>
      </w:r>
      <w:r w:rsidR="00C54D75">
        <w:rPr>
          <w:rFonts w:ascii="Sylfaen" w:hAnsi="Sylfaen"/>
          <w:i/>
          <w:sz w:val="24"/>
          <w:szCs w:val="24"/>
        </w:rPr>
        <w:t>և</w:t>
      </w:r>
      <w:r w:rsidRPr="00826F05">
        <w:rPr>
          <w:rFonts w:ascii="Sylfaen" w:hAnsi="Sylfaen"/>
          <w:i/>
          <w:sz w:val="24"/>
          <w:szCs w:val="24"/>
        </w:rPr>
        <w:t>յալ նախադասությունը]՝</w:t>
      </w:r>
    </w:p>
    <w:p w14:paraId="7AB356AD"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lastRenderedPageBreak/>
        <w:t>Բացի այդ, փորձագետը եկել է այն եզրակացության, որ հայտատուն հաջորդ ԱՊԹՀ-ում &lt;Х ամսվա ընթացքում&gt; պետք է ներկայացնի անվտանգության վերաբերյալ հետ</w:t>
      </w:r>
      <w:r w:rsidR="00C54D75">
        <w:rPr>
          <w:rFonts w:ascii="Sylfaen" w:hAnsi="Sylfaen"/>
          <w:sz w:val="24"/>
          <w:szCs w:val="24"/>
        </w:rPr>
        <w:t>և</w:t>
      </w:r>
      <w:r w:rsidRPr="00826F05">
        <w:rPr>
          <w:rFonts w:ascii="Sylfaen" w:hAnsi="Sylfaen"/>
          <w:sz w:val="24"/>
          <w:szCs w:val="24"/>
        </w:rPr>
        <w:t xml:space="preserve">յալ տվյալները՝ </w:t>
      </w:r>
      <w:r w:rsidRPr="00567DF7">
        <w:rPr>
          <w:rFonts w:ascii="Sylfaen" w:hAnsi="Sylfaen"/>
          <w:i/>
          <w:sz w:val="24"/>
          <w:szCs w:val="24"/>
        </w:rPr>
        <w:t>&lt;թվարկել անհրաժեշտ տվյալները&gt;:</w:t>
      </w:r>
    </w:p>
    <w:p w14:paraId="4D113670"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[Դեղապատրաստուկների խմբի համար ներկայացվող հայտի ուսումնասիրության դեպքում խմբավորման հնարավորության </w:t>
      </w:r>
      <w:r w:rsidR="00C54D75">
        <w:rPr>
          <w:rFonts w:ascii="Sylfaen" w:hAnsi="Sylfaen"/>
          <w:i/>
          <w:sz w:val="24"/>
          <w:szCs w:val="24"/>
        </w:rPr>
        <w:t>և</w:t>
      </w:r>
      <w:r w:rsidRPr="00826F05">
        <w:rPr>
          <w:rFonts w:ascii="Sylfaen" w:hAnsi="Sylfaen"/>
          <w:i/>
          <w:sz w:val="24"/>
          <w:szCs w:val="24"/>
        </w:rPr>
        <w:t xml:space="preserve"> (կամ) արտադրանքի յուրաքանչյուր խմբում, ըստ յուրաքանչյուր անվանման, տեղեկատվության բաշխման մասին փորձագետի կարծիքը պետք է արտացոլված լինի ԴՈԱՊԿԿ-ի ներկայացուցիչների հետ լիազորված փորձագիտական </w:t>
      </w:r>
      <w:r w:rsidRPr="00567DF7">
        <w:rPr>
          <w:rFonts w:ascii="Sylfaen" w:hAnsi="Sylfaen"/>
          <w:i/>
          <w:spacing w:val="-6"/>
          <w:sz w:val="24"/>
          <w:szCs w:val="24"/>
        </w:rPr>
        <w:t>կազմակերպության քննարկման շրջանակներում: Եթե խմբում անվանումների որ</w:t>
      </w:r>
      <w:r w:rsidR="00C54D75">
        <w:rPr>
          <w:rFonts w:ascii="Sylfaen" w:hAnsi="Sylfaen"/>
          <w:i/>
          <w:spacing w:val="-6"/>
          <w:sz w:val="24"/>
          <w:szCs w:val="24"/>
        </w:rPr>
        <w:t>և</w:t>
      </w:r>
      <w:r w:rsidRPr="00567DF7">
        <w:rPr>
          <w:rFonts w:ascii="Sylfaen" w:hAnsi="Sylfaen"/>
          <w:i/>
          <w:spacing w:val="-6"/>
          <w:sz w:val="24"/>
          <w:szCs w:val="24"/>
        </w:rPr>
        <w:t>է մասի փոփոխությունը</w:t>
      </w:r>
      <w:r w:rsidRPr="00826F05">
        <w:rPr>
          <w:rFonts w:ascii="Sylfaen" w:hAnsi="Sylfaen"/>
          <w:i/>
          <w:sz w:val="24"/>
          <w:szCs w:val="24"/>
        </w:rPr>
        <w:t xml:space="preserve"> հանվել է, դա նա</w:t>
      </w:r>
      <w:r w:rsidR="00C54D75">
        <w:rPr>
          <w:rFonts w:ascii="Sylfaen" w:hAnsi="Sylfaen"/>
          <w:i/>
          <w:sz w:val="24"/>
          <w:szCs w:val="24"/>
        </w:rPr>
        <w:t>և</w:t>
      </w:r>
      <w:r w:rsidRPr="00826F05">
        <w:rPr>
          <w:rFonts w:ascii="Sylfaen" w:hAnsi="Sylfaen"/>
          <w:i/>
          <w:sz w:val="24"/>
          <w:szCs w:val="24"/>
        </w:rPr>
        <w:t xml:space="preserve"> պետք է արտացոլվի քննարկման մեջ:</w:t>
      </w:r>
    </w:p>
    <w:p w14:paraId="28624FD0"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Սահմանել ԱՊԹՀ-ի ներկայացման պարբերականությանը ներկայացվող պահանջներն այն դեպքում, երբ տարբերվում է ԱՊԹՀ-ի թարմացման բնականոն ժամանակահատվածից]:</w:t>
      </w:r>
    </w:p>
    <w:p w14:paraId="5E9CB25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Փորձագետն առաջարկում է գրանցման հավաստագրի իրավատիրոջը շարունակել ներկայացնել վեցամսյա (տարեկան) ԱՊԹՀ-ն:</w:t>
      </w:r>
    </w:p>
    <w:p w14:paraId="3C724391"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Գրանցման հավաստագրի իրավատերը պետք է ներկայացնի դեղապատրաստուկի անվտանգության մասին պարբերաբար թարմացվող հաշվետվություններ՝ Միության մարմինների ակտերի պահանջներին համապատասխան:</w:t>
      </w:r>
    </w:p>
    <w:p w14:paraId="0696DF9B"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Փորձագետի առաջարկությունները վերաբերում են գրանցման հետ</w:t>
      </w:r>
      <w:r w:rsidR="00C54D75">
        <w:rPr>
          <w:rFonts w:ascii="Sylfaen" w:hAnsi="Sylfaen"/>
          <w:sz w:val="24"/>
          <w:szCs w:val="24"/>
        </w:rPr>
        <w:t>և</w:t>
      </w:r>
      <w:r w:rsidRPr="00826F05">
        <w:rPr>
          <w:rFonts w:ascii="Sylfaen" w:hAnsi="Sylfaen"/>
          <w:sz w:val="24"/>
          <w:szCs w:val="24"/>
        </w:rPr>
        <w:t xml:space="preserve">յալ նոր պայմաններին՝ </w:t>
      </w:r>
      <w:r w:rsidRPr="00567DF7">
        <w:rPr>
          <w:rFonts w:ascii="Sylfaen" w:hAnsi="Sylfaen"/>
          <w:i/>
          <w:sz w:val="24"/>
          <w:szCs w:val="24"/>
        </w:rPr>
        <w:t>&lt;թվարկել պայմանները&gt;:</w:t>
      </w:r>
    </w:p>
    <w:p w14:paraId="650CED3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567DF7">
        <w:rPr>
          <w:rFonts w:ascii="Sylfaen" w:hAnsi="Sylfaen"/>
          <w:spacing w:val="-6"/>
          <w:sz w:val="24"/>
          <w:szCs w:val="24"/>
        </w:rPr>
        <w:t>Փորձագետը համարում է, որ հետ</w:t>
      </w:r>
      <w:r w:rsidR="00C54D75">
        <w:rPr>
          <w:rFonts w:ascii="Sylfaen" w:hAnsi="Sylfaen"/>
          <w:spacing w:val="-6"/>
          <w:sz w:val="24"/>
          <w:szCs w:val="24"/>
        </w:rPr>
        <w:t>և</w:t>
      </w:r>
      <w:r w:rsidRPr="00567DF7">
        <w:rPr>
          <w:rFonts w:ascii="Sylfaen" w:hAnsi="Sylfaen"/>
          <w:spacing w:val="-6"/>
          <w:sz w:val="24"/>
          <w:szCs w:val="24"/>
        </w:rPr>
        <w:t xml:space="preserve">յալ պարտավորությունները՝ </w:t>
      </w:r>
      <w:r w:rsidRPr="00567DF7">
        <w:rPr>
          <w:rFonts w:ascii="Sylfaen" w:hAnsi="Sylfaen"/>
          <w:i/>
          <w:spacing w:val="-6"/>
          <w:sz w:val="24"/>
          <w:szCs w:val="24"/>
        </w:rPr>
        <w:t>&lt;թվարկել&gt;</w:t>
      </w:r>
      <w:r w:rsidRPr="00567DF7">
        <w:rPr>
          <w:rFonts w:ascii="Sylfaen" w:hAnsi="Sylfaen"/>
          <w:spacing w:val="-6"/>
          <w:sz w:val="24"/>
          <w:szCs w:val="24"/>
        </w:rPr>
        <w:t xml:space="preserve">, կատարվել են, </w:t>
      </w:r>
      <w:r w:rsidR="00C54D75">
        <w:rPr>
          <w:rFonts w:ascii="Sylfaen" w:hAnsi="Sylfaen"/>
          <w:spacing w:val="-6"/>
          <w:sz w:val="24"/>
          <w:szCs w:val="24"/>
        </w:rPr>
        <w:t>և</w:t>
      </w:r>
      <w:r w:rsidRPr="00567DF7">
        <w:rPr>
          <w:rFonts w:ascii="Sylfaen" w:hAnsi="Sylfaen"/>
          <w:spacing w:val="-6"/>
          <w:sz w:val="24"/>
          <w:szCs w:val="24"/>
        </w:rPr>
        <w:t xml:space="preserve"> այդ իսկ պատճառով առաջարկում</w:t>
      </w:r>
      <w:r w:rsidRPr="00826F05">
        <w:rPr>
          <w:rFonts w:ascii="Sylfaen" w:hAnsi="Sylfaen"/>
          <w:sz w:val="24"/>
          <w:szCs w:val="24"/>
        </w:rPr>
        <w:t xml:space="preserve"> է դրանք Գ հավելվածից հանել:</w:t>
      </w:r>
    </w:p>
    <w:p w14:paraId="3BF426E6" w14:textId="77777777" w:rsidR="00487007" w:rsidRDefault="00487007">
      <w:pPr>
        <w:widowControl/>
        <w:rPr>
          <w:rFonts w:ascii="Sylfaen" w:hAnsi="Sylfaen"/>
          <w:sz w:val="24"/>
          <w:szCs w:val="24"/>
        </w:rPr>
      </w:pPr>
      <w:r>
        <w:rPr>
          <w:rFonts w:ascii="Sylfaen" w:hAnsi="Sylfaen"/>
          <w:sz w:val="24"/>
          <w:szCs w:val="24"/>
        </w:rPr>
        <w:br w:type="page"/>
      </w:r>
    </w:p>
    <w:p w14:paraId="208524F1"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 xml:space="preserve">7. Դեղամիջոցի անվտանգ </w:t>
      </w:r>
      <w:r w:rsidR="00C54D75">
        <w:rPr>
          <w:rFonts w:ascii="Sylfaen" w:hAnsi="Sylfaen"/>
          <w:sz w:val="24"/>
          <w:szCs w:val="24"/>
        </w:rPr>
        <w:t>և</w:t>
      </w:r>
      <w:r w:rsidRPr="00826F05">
        <w:rPr>
          <w:rFonts w:ascii="Sylfaen" w:hAnsi="Sylfaen"/>
          <w:sz w:val="24"/>
          <w:szCs w:val="24"/>
        </w:rPr>
        <w:t xml:space="preserve"> արդյունավետ օգտագործման մասով պայմանները կամ սահմանափակումները</w:t>
      </w:r>
    </w:p>
    <w:p w14:paraId="2EE6EDCB"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[Ռիսկի նվազեցմանն ուղղված լրացուցիչ միջոցառումները, օրինակ՝ դեղապատրաստուկի բաշխման հսկողությունը, ուսումնական նյութերը, հղիության կանխման ծրագիրը (բացառությամբ ԴԸԲ-ում շարադրված տեղեկատվության), որոնք կկատարվեն գրանցման հավաստագրի իրավատիրոջ կողմից, պետք է թվարկվեն այս բաժնում]:</w:t>
      </w:r>
    </w:p>
    <w:p w14:paraId="6C3D6015"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p>
    <w:p w14:paraId="099BEF95" w14:textId="77777777" w:rsidR="004F5982" w:rsidRPr="00826F05" w:rsidRDefault="004F5982" w:rsidP="00487007">
      <w:pPr>
        <w:spacing w:after="160" w:line="336" w:lineRule="auto"/>
        <w:ind w:left="567" w:right="565"/>
        <w:jc w:val="center"/>
        <w:rPr>
          <w:rFonts w:ascii="Sylfaen" w:eastAsia="Times New Roman" w:hAnsi="Sylfaen" w:cs="Times New Roman"/>
          <w:sz w:val="24"/>
          <w:szCs w:val="24"/>
        </w:rPr>
      </w:pPr>
      <w:r w:rsidRPr="00826F05">
        <w:rPr>
          <w:rFonts w:ascii="Sylfaen" w:hAnsi="Sylfaen"/>
          <w:sz w:val="24"/>
          <w:szCs w:val="24"/>
        </w:rPr>
        <w:t>8. Հետգրանցումային շրջանում առանձին միջոցառումներն ավարտին հասցնելու պարտավորությունը</w:t>
      </w:r>
    </w:p>
    <w:p w14:paraId="3E42D49C" w14:textId="77777777" w:rsidR="004F5982" w:rsidRPr="00826F05" w:rsidRDefault="004F5982" w:rsidP="00487007">
      <w:pPr>
        <w:spacing w:after="160" w:line="336" w:lineRule="auto"/>
        <w:ind w:right="-2" w:firstLine="567"/>
        <w:jc w:val="both"/>
        <w:rPr>
          <w:rFonts w:ascii="Sylfaen" w:eastAsia="Times New Roman" w:hAnsi="Sylfaen" w:cs="Times New Roman"/>
          <w:sz w:val="24"/>
          <w:szCs w:val="24"/>
        </w:rPr>
      </w:pPr>
      <w:r w:rsidRPr="00826F05">
        <w:rPr>
          <w:rFonts w:ascii="Sylfaen" w:hAnsi="Sylfaen"/>
          <w:sz w:val="24"/>
          <w:szCs w:val="24"/>
        </w:rPr>
        <w:t>Եթե փորձագետի կողմից համաձայնեցվում է գրանցման հավաստագրի իրավատիրոջ կողմից հետգրանցումային շրջանում այն առանձին միջոցառումներն ավարտին հասցնելու հնարավորությունը, որոնք կապված են ոչ</w:t>
      </w:r>
      <w:r>
        <w:rPr>
          <w:rFonts w:ascii="Sylfaen" w:hAnsi="Sylfaen"/>
          <w:sz w:val="24"/>
          <w:szCs w:val="24"/>
        </w:rPr>
        <w:t> </w:t>
      </w:r>
      <w:r w:rsidRPr="00826F05">
        <w:rPr>
          <w:rFonts w:ascii="Sylfaen" w:hAnsi="Sylfaen"/>
          <w:sz w:val="24"/>
          <w:szCs w:val="24"/>
        </w:rPr>
        <w:t xml:space="preserve">էական (այլ) դիտողությունների հետ, նա պետք է համաձայնեցնի ժամկետները </w:t>
      </w:r>
      <w:r w:rsidR="00C54D75">
        <w:rPr>
          <w:rFonts w:ascii="Sylfaen" w:hAnsi="Sylfaen"/>
          <w:sz w:val="24"/>
          <w:szCs w:val="24"/>
        </w:rPr>
        <w:t>և</w:t>
      </w:r>
      <w:r w:rsidRPr="00826F05">
        <w:rPr>
          <w:rFonts w:ascii="Sylfaen" w:hAnsi="Sylfaen"/>
          <w:sz w:val="24"/>
          <w:szCs w:val="24"/>
        </w:rPr>
        <w:t xml:space="preserve"> հետ</w:t>
      </w:r>
      <w:r w:rsidR="00C54D75">
        <w:rPr>
          <w:rFonts w:ascii="Sylfaen" w:hAnsi="Sylfaen"/>
          <w:sz w:val="24"/>
          <w:szCs w:val="24"/>
        </w:rPr>
        <w:t>և</w:t>
      </w:r>
      <w:r w:rsidRPr="00826F05">
        <w:rPr>
          <w:rFonts w:ascii="Sylfaen" w:hAnsi="Sylfaen"/>
          <w:sz w:val="24"/>
          <w:szCs w:val="24"/>
        </w:rPr>
        <w:t>յալ գործողությունները՝</w:t>
      </w:r>
    </w:p>
    <w:p w14:paraId="24E34854" w14:textId="77777777" w:rsidR="004F5982" w:rsidRPr="00826F05" w:rsidRDefault="004F5982" w:rsidP="00487007">
      <w:pPr>
        <w:spacing w:after="160" w:line="360" w:lineRule="auto"/>
        <w:jc w:val="both"/>
        <w:rPr>
          <w:rFonts w:ascii="Sylfaen" w:hAnsi="Sylfaen"/>
          <w:sz w:val="24"/>
          <w:szCs w:val="24"/>
        </w:rPr>
      </w:pPr>
    </w:p>
    <w:tbl>
      <w:tblPr>
        <w:tblW w:w="9831"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3"/>
        <w:gridCol w:w="3688"/>
      </w:tblGrid>
      <w:tr w:rsidR="004F5982" w:rsidRPr="00826F05" w14:paraId="7179D6B8" w14:textId="77777777" w:rsidTr="004F5982">
        <w:trPr>
          <w:trHeight w:val="500"/>
        </w:trPr>
        <w:tc>
          <w:tcPr>
            <w:tcW w:w="6143" w:type="dxa"/>
          </w:tcPr>
          <w:p w14:paraId="3E5A8852" w14:textId="77777777" w:rsidR="004F5982" w:rsidRPr="00826F05" w:rsidRDefault="004F5982" w:rsidP="00487007">
            <w:pPr>
              <w:spacing w:after="160" w:line="360" w:lineRule="auto"/>
              <w:ind w:left="48" w:right="-20"/>
              <w:jc w:val="center"/>
              <w:rPr>
                <w:rFonts w:ascii="Sylfaen" w:eastAsia="Times New Roman" w:hAnsi="Sylfaen" w:cs="Times New Roman"/>
                <w:sz w:val="24"/>
                <w:szCs w:val="24"/>
              </w:rPr>
            </w:pPr>
            <w:r w:rsidRPr="00826F05">
              <w:rPr>
                <w:rFonts w:ascii="Sylfaen" w:hAnsi="Sylfaen"/>
                <w:sz w:val="24"/>
                <w:szCs w:val="24"/>
              </w:rPr>
              <w:t>Գործողության նկարագրությունը</w:t>
            </w:r>
          </w:p>
        </w:tc>
        <w:tc>
          <w:tcPr>
            <w:tcW w:w="3688" w:type="dxa"/>
          </w:tcPr>
          <w:p w14:paraId="322C8868" w14:textId="77777777" w:rsidR="004F5982" w:rsidRPr="00826F05" w:rsidRDefault="004F5982" w:rsidP="00487007">
            <w:pPr>
              <w:spacing w:after="160" w:line="360" w:lineRule="auto"/>
              <w:ind w:right="-20"/>
              <w:jc w:val="center"/>
              <w:rPr>
                <w:rFonts w:ascii="Sylfaen" w:eastAsia="Times New Roman" w:hAnsi="Sylfaen" w:cs="Times New Roman"/>
                <w:sz w:val="24"/>
                <w:szCs w:val="24"/>
              </w:rPr>
            </w:pPr>
            <w:r w:rsidRPr="00826F05">
              <w:rPr>
                <w:rFonts w:ascii="Sylfaen" w:hAnsi="Sylfaen"/>
                <w:sz w:val="24"/>
                <w:szCs w:val="24"/>
              </w:rPr>
              <w:t>Կատարման ամսաթիվը</w:t>
            </w:r>
          </w:p>
        </w:tc>
      </w:tr>
      <w:tr w:rsidR="004F5982" w:rsidRPr="00826F05" w14:paraId="4281A704" w14:textId="77777777" w:rsidTr="004F5982">
        <w:tc>
          <w:tcPr>
            <w:tcW w:w="6143" w:type="dxa"/>
          </w:tcPr>
          <w:p w14:paraId="6A2F41FC" w14:textId="77777777" w:rsidR="004F5982" w:rsidRPr="00826F05" w:rsidRDefault="004F5982" w:rsidP="00487007">
            <w:pPr>
              <w:spacing w:after="160" w:line="360" w:lineRule="auto"/>
              <w:jc w:val="both"/>
              <w:rPr>
                <w:rFonts w:ascii="Sylfaen" w:hAnsi="Sylfaen"/>
                <w:sz w:val="24"/>
                <w:szCs w:val="24"/>
              </w:rPr>
            </w:pPr>
          </w:p>
        </w:tc>
        <w:tc>
          <w:tcPr>
            <w:tcW w:w="3688" w:type="dxa"/>
          </w:tcPr>
          <w:p w14:paraId="3203452D" w14:textId="77777777" w:rsidR="004F5982" w:rsidRPr="00826F05" w:rsidRDefault="004F5982" w:rsidP="00487007">
            <w:pPr>
              <w:spacing w:after="160" w:line="360" w:lineRule="auto"/>
              <w:jc w:val="both"/>
              <w:rPr>
                <w:rFonts w:ascii="Sylfaen" w:hAnsi="Sylfaen"/>
                <w:sz w:val="24"/>
                <w:szCs w:val="24"/>
              </w:rPr>
            </w:pPr>
          </w:p>
        </w:tc>
      </w:tr>
      <w:tr w:rsidR="004F5982" w:rsidRPr="00826F05" w14:paraId="41CDF3A9" w14:textId="77777777" w:rsidTr="004F5982">
        <w:tc>
          <w:tcPr>
            <w:tcW w:w="6143" w:type="dxa"/>
          </w:tcPr>
          <w:p w14:paraId="02F10BDD" w14:textId="77777777" w:rsidR="004F5982" w:rsidRPr="00826F05" w:rsidRDefault="004F5982" w:rsidP="00487007">
            <w:pPr>
              <w:spacing w:after="160" w:line="360" w:lineRule="auto"/>
              <w:jc w:val="both"/>
              <w:rPr>
                <w:rFonts w:ascii="Sylfaen" w:hAnsi="Sylfaen"/>
                <w:sz w:val="24"/>
                <w:szCs w:val="24"/>
              </w:rPr>
            </w:pPr>
          </w:p>
        </w:tc>
        <w:tc>
          <w:tcPr>
            <w:tcW w:w="3688" w:type="dxa"/>
          </w:tcPr>
          <w:p w14:paraId="7460D4BB" w14:textId="77777777" w:rsidR="004F5982" w:rsidRPr="00826F05" w:rsidRDefault="004F5982" w:rsidP="00487007">
            <w:pPr>
              <w:spacing w:after="160" w:line="360" w:lineRule="auto"/>
              <w:jc w:val="both"/>
              <w:rPr>
                <w:rFonts w:ascii="Sylfaen" w:hAnsi="Sylfaen"/>
                <w:sz w:val="24"/>
                <w:szCs w:val="24"/>
              </w:rPr>
            </w:pPr>
          </w:p>
        </w:tc>
      </w:tr>
      <w:tr w:rsidR="004F5982" w:rsidRPr="00826F05" w14:paraId="76FAC5E2" w14:textId="77777777" w:rsidTr="004F5982">
        <w:tc>
          <w:tcPr>
            <w:tcW w:w="6143" w:type="dxa"/>
          </w:tcPr>
          <w:p w14:paraId="15097031" w14:textId="77777777" w:rsidR="004F5982" w:rsidRPr="00826F05" w:rsidRDefault="004F5982" w:rsidP="00487007">
            <w:pPr>
              <w:spacing w:after="160" w:line="360" w:lineRule="auto"/>
              <w:jc w:val="both"/>
              <w:rPr>
                <w:rFonts w:ascii="Sylfaen" w:hAnsi="Sylfaen"/>
                <w:sz w:val="24"/>
                <w:szCs w:val="24"/>
              </w:rPr>
            </w:pPr>
          </w:p>
        </w:tc>
        <w:tc>
          <w:tcPr>
            <w:tcW w:w="3688" w:type="dxa"/>
          </w:tcPr>
          <w:p w14:paraId="2621BA74" w14:textId="77777777" w:rsidR="004F5982" w:rsidRPr="00826F05" w:rsidRDefault="004F5982" w:rsidP="00487007">
            <w:pPr>
              <w:spacing w:after="160" w:line="360" w:lineRule="auto"/>
              <w:jc w:val="both"/>
              <w:rPr>
                <w:rFonts w:ascii="Sylfaen" w:hAnsi="Sylfaen"/>
                <w:sz w:val="24"/>
                <w:szCs w:val="24"/>
              </w:rPr>
            </w:pPr>
          </w:p>
        </w:tc>
      </w:tr>
    </w:tbl>
    <w:p w14:paraId="0D8675D3" w14:textId="77777777" w:rsidR="004F5982" w:rsidRDefault="004F5982" w:rsidP="00487007">
      <w:pPr>
        <w:spacing w:after="160" w:line="360" w:lineRule="auto"/>
        <w:ind w:left="567" w:right="565"/>
        <w:jc w:val="both"/>
        <w:rPr>
          <w:rFonts w:ascii="Sylfaen" w:hAnsi="Sylfaen"/>
          <w:sz w:val="24"/>
          <w:szCs w:val="24"/>
        </w:rPr>
      </w:pPr>
    </w:p>
    <w:p w14:paraId="7A62E9E7" w14:textId="77777777" w:rsidR="004F5982" w:rsidRPr="00826F05" w:rsidRDefault="004F5982" w:rsidP="00487007">
      <w:pPr>
        <w:spacing w:after="160" w:line="336" w:lineRule="auto"/>
        <w:ind w:left="567" w:right="565"/>
        <w:jc w:val="center"/>
        <w:rPr>
          <w:rFonts w:ascii="Sylfaen" w:eastAsia="Times New Roman" w:hAnsi="Sylfaen" w:cs="Times New Roman"/>
          <w:sz w:val="24"/>
          <w:szCs w:val="24"/>
        </w:rPr>
      </w:pPr>
      <w:r w:rsidRPr="00826F05">
        <w:rPr>
          <w:rFonts w:ascii="Sylfaen" w:hAnsi="Sylfaen"/>
          <w:sz w:val="24"/>
          <w:szCs w:val="24"/>
        </w:rPr>
        <w:t xml:space="preserve">9. Դեղամիջոցի անվտանգ </w:t>
      </w:r>
      <w:r w:rsidR="00C54D75">
        <w:rPr>
          <w:rFonts w:ascii="Sylfaen" w:hAnsi="Sylfaen"/>
          <w:sz w:val="24"/>
          <w:szCs w:val="24"/>
        </w:rPr>
        <w:t>և</w:t>
      </w:r>
      <w:r w:rsidRPr="00826F05">
        <w:rPr>
          <w:rFonts w:ascii="Sylfaen" w:hAnsi="Sylfaen"/>
          <w:sz w:val="24"/>
          <w:szCs w:val="24"/>
        </w:rPr>
        <w:t xml:space="preserve"> արդյունավետ օգտագործման մասով պայմանները կամ սահմանափակումները, որոնք կիրականացվեն անդամ պետությունների կողմից</w:t>
      </w:r>
    </w:p>
    <w:p w14:paraId="3FB44358" w14:textId="77777777" w:rsidR="004F5982" w:rsidRPr="00826F05" w:rsidRDefault="004F5982" w:rsidP="00487007">
      <w:pPr>
        <w:tabs>
          <w:tab w:val="left" w:pos="1701"/>
        </w:tabs>
        <w:spacing w:after="160" w:line="336" w:lineRule="auto"/>
        <w:ind w:firstLine="567"/>
        <w:jc w:val="both"/>
        <w:rPr>
          <w:rFonts w:ascii="Sylfaen" w:eastAsia="Times New Roman" w:hAnsi="Sylfaen" w:cs="Times New Roman"/>
          <w:sz w:val="24"/>
          <w:szCs w:val="24"/>
        </w:rPr>
      </w:pPr>
      <w:r w:rsidRPr="00826F05">
        <w:rPr>
          <w:rFonts w:ascii="Sylfaen" w:hAnsi="Sylfaen"/>
          <w:i/>
          <w:sz w:val="24"/>
          <w:szCs w:val="24"/>
        </w:rPr>
        <w:t xml:space="preserve">[Այդ բաժնում նշվում են ռիսկերի նվազեցմանն ուղղած այն արդիական միջոցառումները, որոնք իրականացվում են անդամ պետությունների կողմից: </w:t>
      </w:r>
      <w:r w:rsidRPr="00826F05">
        <w:rPr>
          <w:rFonts w:ascii="Sylfaen" w:hAnsi="Sylfaen"/>
          <w:i/>
          <w:sz w:val="24"/>
          <w:szCs w:val="24"/>
        </w:rPr>
        <w:lastRenderedPageBreak/>
        <w:t>Դրանք պետք է արտացոլեն եզրակացության 7-րդ բաժնի տեղեկատվությունը, բայց պարտադիր չէ այն ներառել ամբողջ ծավալով:</w:t>
      </w:r>
    </w:p>
    <w:p w14:paraId="01886DB3"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Եզրակացության այս մասը պետք է ներառվի այն դեպքում, երբ իրականում կատարվող պայմանների կամ դեղամիջոցի անվտանգ </w:t>
      </w:r>
      <w:r w:rsidR="00C54D75">
        <w:rPr>
          <w:rFonts w:ascii="Sylfaen" w:hAnsi="Sylfaen"/>
          <w:i/>
          <w:sz w:val="24"/>
          <w:szCs w:val="24"/>
        </w:rPr>
        <w:t>և</w:t>
      </w:r>
      <w:r w:rsidRPr="00826F05">
        <w:rPr>
          <w:rFonts w:ascii="Sylfaen" w:hAnsi="Sylfaen"/>
          <w:i/>
          <w:sz w:val="24"/>
          <w:szCs w:val="24"/>
        </w:rPr>
        <w:t xml:space="preserve"> արդյունավետ օգտագործման մասով սահմանափակումների չափերն անդամ պետությունում տարբերվում են այն ծավալից, որը գրանցման հավաստագրի իրավատերը բերում է ԴԸԲ-ում]:</w:t>
      </w:r>
    </w:p>
    <w:p w14:paraId="69E520A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&lt;Տվյալներն առկա չեն&gt;:</w:t>
      </w:r>
    </w:p>
    <w:p w14:paraId="1621879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կամ</w:t>
      </w:r>
    </w:p>
    <w:p w14:paraId="1F5BC5F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&lt;Պայմաններն ամբողջությամբ (մասամբ) չեն արտացոլում ԴՈԱՊԿԿ-ից ստացված առաջարկությունները: ԴՈԱՊԿԿ-ի խորհրդատվության հետ տարաձայնությունները հիմնավորված են սույն եզրակացության առանձին հավելվածում&gt;:</w:t>
      </w:r>
    </w:p>
    <w:p w14:paraId="1EC7206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կամ</w:t>
      </w:r>
    </w:p>
    <w:p w14:paraId="5831D5D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&lt;Քննարկման արդյունքում ԴՈԱՊԿԿ-ն չի հանգել տվյալ դեղապատրաստուկի համար պայմանների </w:t>
      </w:r>
      <w:r w:rsidR="00C54D75">
        <w:rPr>
          <w:rFonts w:ascii="Sylfaen" w:hAnsi="Sylfaen"/>
          <w:i/>
          <w:sz w:val="24"/>
          <w:szCs w:val="24"/>
        </w:rPr>
        <w:t>և</w:t>
      </w:r>
      <w:r w:rsidRPr="00826F05">
        <w:rPr>
          <w:rFonts w:ascii="Sylfaen" w:hAnsi="Sylfaen"/>
          <w:i/>
          <w:sz w:val="24"/>
          <w:szCs w:val="24"/>
        </w:rPr>
        <w:t xml:space="preserve"> սահմանափակումների ներմուծման անհրաժեշտության վերաբերյալ միասնական եզրակացության: ԴՈԱՊԿԿ-ի դիրքորոշումը կցվում է որպես առանձին հավելված&gt;:</w:t>
      </w:r>
    </w:p>
    <w:p w14:paraId="0AE4B60E" w14:textId="77777777" w:rsidR="004F5982" w:rsidRDefault="004F5982" w:rsidP="00487007">
      <w:pPr>
        <w:spacing w:after="160" w:line="360" w:lineRule="auto"/>
        <w:ind w:right="1983"/>
        <w:rPr>
          <w:rFonts w:ascii="Sylfaen" w:hAnsi="Sylfaen"/>
          <w:sz w:val="24"/>
          <w:szCs w:val="24"/>
        </w:rPr>
      </w:pPr>
    </w:p>
    <w:p w14:paraId="0328E59F"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10. Մանկաբուժական տվյալները</w:t>
      </w:r>
    </w:p>
    <w:p w14:paraId="52FDB08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[Ուշադրությո՛ւն. Եթե այդ փոփոխությունը ներկայացնելու համար դիտարկվել է երեխաների մոտ ազդանշանի հաստատումը, կամ եթե փոփոխությունը ներկայացնելը ներառում է ԴԸԲ-ում հիշատակված մանկաբուժական հետազոտություններ, հարկ է տվյալ փոփոխությունները գնահատելիս օգտագործել մանկաբուժության ոլորտում համապատասխան ձեռնարկները]:</w:t>
      </w:r>
    </w:p>
    <w:p w14:paraId="6969BB27" w14:textId="77777777" w:rsidR="004F5982" w:rsidRPr="00826F05" w:rsidRDefault="004F5982" w:rsidP="00487007">
      <w:pPr>
        <w:spacing w:after="160" w:line="360" w:lineRule="auto"/>
        <w:ind w:right="91"/>
        <w:jc w:val="right"/>
        <w:rPr>
          <w:rFonts w:ascii="Sylfaen" w:eastAsia="Times New Roman" w:hAnsi="Sylfaen" w:cs="Times New Roman"/>
          <w:sz w:val="24"/>
          <w:szCs w:val="24"/>
        </w:rPr>
      </w:pPr>
      <w:r w:rsidRPr="00826F05">
        <w:rPr>
          <w:rFonts w:ascii="Sylfaen" w:hAnsi="Sylfaen"/>
          <w:sz w:val="24"/>
          <w:szCs w:val="24"/>
        </w:rPr>
        <w:lastRenderedPageBreak/>
        <w:t>Հավելված Ա</w:t>
      </w:r>
    </w:p>
    <w:p w14:paraId="183DBA09"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ԴԸԲ-ի, ԲԿՑ-ի (ՆԹ-ի) առաջարկվող անոտացված փոփոխությունները, մականշվածքները՝ յուրաքանչյուր բաժնից հետո փորձագետի մեկնաբանություններով</w:t>
      </w:r>
    </w:p>
    <w:p w14:paraId="1316B035" w14:textId="77777777" w:rsidR="004F5982" w:rsidRDefault="004F5982" w:rsidP="00487007">
      <w:pPr>
        <w:spacing w:after="160" w:line="360" w:lineRule="auto"/>
        <w:ind w:right="91"/>
        <w:jc w:val="right"/>
        <w:rPr>
          <w:rFonts w:ascii="Sylfaen" w:hAnsi="Sylfaen"/>
          <w:sz w:val="24"/>
          <w:szCs w:val="24"/>
        </w:rPr>
      </w:pPr>
    </w:p>
    <w:p w14:paraId="687298EC" w14:textId="77777777" w:rsidR="004F5982" w:rsidRPr="00826F05" w:rsidRDefault="004F5982" w:rsidP="00487007">
      <w:pPr>
        <w:spacing w:after="160" w:line="360" w:lineRule="auto"/>
        <w:ind w:right="91"/>
        <w:jc w:val="right"/>
        <w:rPr>
          <w:rFonts w:ascii="Sylfaen" w:eastAsia="Times New Roman" w:hAnsi="Sylfaen" w:cs="Times New Roman"/>
          <w:sz w:val="24"/>
          <w:szCs w:val="24"/>
        </w:rPr>
      </w:pPr>
      <w:r w:rsidRPr="00826F05">
        <w:rPr>
          <w:rFonts w:ascii="Sylfaen" w:hAnsi="Sylfaen"/>
          <w:sz w:val="24"/>
          <w:szCs w:val="24"/>
        </w:rPr>
        <w:t>Հավելված Գ</w:t>
      </w:r>
    </w:p>
    <w:p w14:paraId="0F61945E"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Օգտագործողների թեստավորման արդյունքների ուսումնասիրության համար փաստաթղթերի որակի ստուգման ստուգաթերթ</w:t>
      </w:r>
    </w:p>
    <w:p w14:paraId="2D858C94" w14:textId="77777777" w:rsidR="004F5982" w:rsidRPr="00826F05" w:rsidRDefault="004F5982" w:rsidP="00487007">
      <w:pPr>
        <w:spacing w:after="160" w:line="360" w:lineRule="auto"/>
        <w:jc w:val="both"/>
        <w:rPr>
          <w:rFonts w:ascii="Sylfaen" w:hAnsi="Sylfaen"/>
          <w:sz w:val="24"/>
          <w:szCs w:val="24"/>
        </w:rPr>
      </w:pPr>
    </w:p>
    <w:p w14:paraId="776EC69B"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Տեղեկատվություն՝ արտադրատեսակի վերաբերյալ</w:t>
      </w:r>
    </w:p>
    <w:tbl>
      <w:tblPr>
        <w:tblOverlap w:val="never"/>
        <w:tblW w:w="9667" w:type="dxa"/>
        <w:tblLayout w:type="fixed"/>
        <w:tblCellMar>
          <w:left w:w="10" w:type="dxa"/>
          <w:right w:w="10" w:type="dxa"/>
        </w:tblCellMar>
        <w:tblLook w:val="04A0" w:firstRow="1" w:lastRow="0" w:firstColumn="1" w:lastColumn="0" w:noHBand="0" w:noVBand="1"/>
      </w:tblPr>
      <w:tblGrid>
        <w:gridCol w:w="5785"/>
        <w:gridCol w:w="2241"/>
        <w:gridCol w:w="1540"/>
        <w:gridCol w:w="101"/>
      </w:tblGrid>
      <w:tr w:rsidR="004F5982" w:rsidRPr="00826F05" w14:paraId="2D8F671B" w14:textId="77777777" w:rsidTr="004F5982">
        <w:tc>
          <w:tcPr>
            <w:tcW w:w="5785" w:type="dxa"/>
            <w:tcBorders>
              <w:top w:val="single" w:sz="4" w:space="0" w:color="auto"/>
              <w:left w:val="single" w:sz="4" w:space="0" w:color="auto"/>
            </w:tcBorders>
            <w:shd w:val="clear" w:color="auto" w:fill="FFFFFF"/>
          </w:tcPr>
          <w:p w14:paraId="6FC61507"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Դեղապատրաստուկի անվանումը</w:t>
            </w:r>
          </w:p>
        </w:tc>
        <w:tc>
          <w:tcPr>
            <w:tcW w:w="3882" w:type="dxa"/>
            <w:gridSpan w:val="3"/>
            <w:tcBorders>
              <w:top w:val="single" w:sz="4" w:space="0" w:color="auto"/>
              <w:left w:val="single" w:sz="4" w:space="0" w:color="auto"/>
              <w:right w:val="single" w:sz="4" w:space="0" w:color="auto"/>
            </w:tcBorders>
            <w:shd w:val="clear" w:color="auto" w:fill="FFFFFF"/>
          </w:tcPr>
          <w:p w14:paraId="1D219CF7"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BAADE41" w14:textId="77777777" w:rsidTr="004F5982">
        <w:tc>
          <w:tcPr>
            <w:tcW w:w="5785" w:type="dxa"/>
            <w:tcBorders>
              <w:top w:val="single" w:sz="4" w:space="0" w:color="auto"/>
              <w:left w:val="single" w:sz="4" w:space="0" w:color="auto"/>
            </w:tcBorders>
            <w:shd w:val="clear" w:color="auto" w:fill="FFFFFF"/>
          </w:tcPr>
          <w:p w14:paraId="71733333"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 xml:space="preserve">Հայտատուի անվանումը </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 հասցեն</w:t>
            </w:r>
          </w:p>
        </w:tc>
        <w:tc>
          <w:tcPr>
            <w:tcW w:w="3882" w:type="dxa"/>
            <w:gridSpan w:val="3"/>
            <w:tcBorders>
              <w:top w:val="single" w:sz="4" w:space="0" w:color="auto"/>
              <w:left w:val="single" w:sz="4" w:space="0" w:color="auto"/>
              <w:right w:val="single" w:sz="4" w:space="0" w:color="auto"/>
            </w:tcBorders>
            <w:shd w:val="clear" w:color="auto" w:fill="FFFFFF"/>
          </w:tcPr>
          <w:p w14:paraId="6B8014CD" w14:textId="77777777" w:rsidR="004F5982" w:rsidRPr="00826F05" w:rsidRDefault="004F5982" w:rsidP="004F5982">
            <w:pPr>
              <w:spacing w:after="120" w:line="240" w:lineRule="auto"/>
              <w:jc w:val="both"/>
              <w:rPr>
                <w:rFonts w:ascii="Sylfaen" w:hAnsi="Sylfaen"/>
                <w:sz w:val="24"/>
                <w:szCs w:val="24"/>
              </w:rPr>
            </w:pPr>
          </w:p>
        </w:tc>
      </w:tr>
      <w:tr w:rsidR="004F5982" w:rsidRPr="00826F05" w14:paraId="57C18A8C" w14:textId="77777777" w:rsidTr="004F5982">
        <w:tc>
          <w:tcPr>
            <w:tcW w:w="5785" w:type="dxa"/>
            <w:tcBorders>
              <w:top w:val="single" w:sz="4" w:space="0" w:color="auto"/>
              <w:left w:val="single" w:sz="4" w:space="0" w:color="auto"/>
            </w:tcBorders>
            <w:shd w:val="clear" w:color="auto" w:fill="FFFFFF"/>
            <w:vAlign w:val="bottom"/>
          </w:tcPr>
          <w:p w14:paraId="551D3F1A"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Օգտագործողների թեստավորում անցկացնող ընկերության անվանումը</w:t>
            </w:r>
          </w:p>
        </w:tc>
        <w:tc>
          <w:tcPr>
            <w:tcW w:w="3882" w:type="dxa"/>
            <w:gridSpan w:val="3"/>
            <w:tcBorders>
              <w:top w:val="single" w:sz="4" w:space="0" w:color="auto"/>
              <w:left w:val="single" w:sz="4" w:space="0" w:color="auto"/>
              <w:right w:val="single" w:sz="4" w:space="0" w:color="auto"/>
            </w:tcBorders>
            <w:shd w:val="clear" w:color="auto" w:fill="FFFFFF"/>
          </w:tcPr>
          <w:p w14:paraId="5E0A99F7" w14:textId="77777777" w:rsidR="004F5982" w:rsidRPr="00826F05" w:rsidRDefault="004F5982" w:rsidP="004F5982">
            <w:pPr>
              <w:spacing w:after="120" w:line="240" w:lineRule="auto"/>
              <w:jc w:val="both"/>
              <w:rPr>
                <w:rFonts w:ascii="Sylfaen" w:hAnsi="Sylfaen"/>
                <w:sz w:val="24"/>
                <w:szCs w:val="24"/>
              </w:rPr>
            </w:pPr>
          </w:p>
        </w:tc>
      </w:tr>
      <w:tr w:rsidR="004F5982" w:rsidRPr="00826F05" w14:paraId="1430C957" w14:textId="77777777" w:rsidTr="004F5982">
        <w:tc>
          <w:tcPr>
            <w:tcW w:w="5785" w:type="dxa"/>
            <w:tcBorders>
              <w:top w:val="single" w:sz="4" w:space="0" w:color="auto"/>
              <w:left w:val="single" w:sz="4" w:space="0" w:color="auto"/>
            </w:tcBorders>
            <w:shd w:val="clear" w:color="auto" w:fill="FFFFFF"/>
            <w:vAlign w:val="bottom"/>
          </w:tcPr>
          <w:p w14:paraId="36ECF354"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Գրանցման հավաստագիր ստանալու հայտի տեսակը</w:t>
            </w:r>
          </w:p>
        </w:tc>
        <w:tc>
          <w:tcPr>
            <w:tcW w:w="3882" w:type="dxa"/>
            <w:gridSpan w:val="3"/>
            <w:tcBorders>
              <w:top w:val="single" w:sz="4" w:space="0" w:color="auto"/>
              <w:left w:val="single" w:sz="4" w:space="0" w:color="auto"/>
              <w:right w:val="single" w:sz="4" w:space="0" w:color="auto"/>
            </w:tcBorders>
            <w:shd w:val="clear" w:color="auto" w:fill="FFFFFF"/>
          </w:tcPr>
          <w:p w14:paraId="3B3FA885"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29809EF" w14:textId="77777777" w:rsidTr="004F5982">
        <w:tc>
          <w:tcPr>
            <w:tcW w:w="5785" w:type="dxa"/>
            <w:tcBorders>
              <w:top w:val="single" w:sz="4" w:space="0" w:color="auto"/>
              <w:left w:val="single" w:sz="4" w:space="0" w:color="auto"/>
            </w:tcBorders>
            <w:shd w:val="clear" w:color="auto" w:fill="FFFFFF"/>
          </w:tcPr>
          <w:p w14:paraId="2EA8CBF9"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ՄՉԱ-ն</w:t>
            </w:r>
          </w:p>
        </w:tc>
        <w:tc>
          <w:tcPr>
            <w:tcW w:w="3882" w:type="dxa"/>
            <w:gridSpan w:val="3"/>
            <w:tcBorders>
              <w:top w:val="single" w:sz="4" w:space="0" w:color="auto"/>
              <w:left w:val="single" w:sz="4" w:space="0" w:color="auto"/>
              <w:right w:val="single" w:sz="4" w:space="0" w:color="auto"/>
            </w:tcBorders>
            <w:shd w:val="clear" w:color="auto" w:fill="FFFFFF"/>
          </w:tcPr>
          <w:p w14:paraId="1CA5E03B" w14:textId="77777777" w:rsidR="004F5982" w:rsidRPr="00826F05" w:rsidRDefault="004F5982" w:rsidP="004F5982">
            <w:pPr>
              <w:spacing w:after="120" w:line="240" w:lineRule="auto"/>
              <w:jc w:val="both"/>
              <w:rPr>
                <w:rFonts w:ascii="Sylfaen" w:hAnsi="Sylfaen"/>
                <w:sz w:val="24"/>
                <w:szCs w:val="24"/>
              </w:rPr>
            </w:pPr>
          </w:p>
        </w:tc>
      </w:tr>
      <w:tr w:rsidR="004F5982" w:rsidRPr="00826F05" w14:paraId="121F8E19" w14:textId="77777777" w:rsidTr="004F5982">
        <w:tc>
          <w:tcPr>
            <w:tcW w:w="5785" w:type="dxa"/>
            <w:tcBorders>
              <w:top w:val="single" w:sz="4" w:space="0" w:color="auto"/>
              <w:left w:val="single" w:sz="4" w:space="0" w:color="auto"/>
            </w:tcBorders>
            <w:shd w:val="clear" w:color="auto" w:fill="FFFFFF"/>
            <w:vAlign w:val="bottom"/>
          </w:tcPr>
          <w:p w14:paraId="3DC1C8C7"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Դեղաթերապ</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տիկ խումբը (ԱԲՔ (ATХ) ծածկագիրը)</w:t>
            </w:r>
          </w:p>
        </w:tc>
        <w:tc>
          <w:tcPr>
            <w:tcW w:w="3882" w:type="dxa"/>
            <w:gridSpan w:val="3"/>
            <w:tcBorders>
              <w:top w:val="single" w:sz="4" w:space="0" w:color="auto"/>
              <w:left w:val="single" w:sz="4" w:space="0" w:color="auto"/>
              <w:right w:val="single" w:sz="4" w:space="0" w:color="auto"/>
            </w:tcBorders>
            <w:shd w:val="clear" w:color="auto" w:fill="FFFFFF"/>
          </w:tcPr>
          <w:p w14:paraId="4E40418D" w14:textId="77777777" w:rsidR="004F5982" w:rsidRPr="00826F05" w:rsidRDefault="004F5982" w:rsidP="004F5982">
            <w:pPr>
              <w:spacing w:after="120" w:line="240" w:lineRule="auto"/>
              <w:jc w:val="both"/>
              <w:rPr>
                <w:rFonts w:ascii="Sylfaen" w:hAnsi="Sylfaen"/>
                <w:sz w:val="24"/>
                <w:szCs w:val="24"/>
              </w:rPr>
            </w:pPr>
          </w:p>
        </w:tc>
      </w:tr>
      <w:tr w:rsidR="004F5982" w:rsidRPr="00826F05" w14:paraId="3E2208F2" w14:textId="77777777" w:rsidTr="004F5982">
        <w:tc>
          <w:tcPr>
            <w:tcW w:w="5785" w:type="dxa"/>
            <w:tcBorders>
              <w:top w:val="single" w:sz="4" w:space="0" w:color="auto"/>
              <w:left w:val="single" w:sz="4" w:space="0" w:color="auto"/>
            </w:tcBorders>
            <w:shd w:val="clear" w:color="auto" w:fill="FFFFFF"/>
          </w:tcPr>
          <w:p w14:paraId="5F9B20AF"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Թերապ</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տիկ ցուցումները</w:t>
            </w:r>
          </w:p>
        </w:tc>
        <w:tc>
          <w:tcPr>
            <w:tcW w:w="3882" w:type="dxa"/>
            <w:gridSpan w:val="3"/>
            <w:tcBorders>
              <w:top w:val="single" w:sz="4" w:space="0" w:color="auto"/>
              <w:left w:val="single" w:sz="4" w:space="0" w:color="auto"/>
              <w:right w:val="single" w:sz="4" w:space="0" w:color="auto"/>
            </w:tcBorders>
            <w:shd w:val="clear" w:color="auto" w:fill="FFFFFF"/>
          </w:tcPr>
          <w:p w14:paraId="5D41BDFA" w14:textId="77777777" w:rsidR="004F5982" w:rsidRPr="00826F05" w:rsidRDefault="004F5982" w:rsidP="004F5982">
            <w:pPr>
              <w:spacing w:after="120" w:line="240" w:lineRule="auto"/>
              <w:jc w:val="both"/>
              <w:rPr>
                <w:rFonts w:ascii="Sylfaen" w:hAnsi="Sylfaen"/>
                <w:sz w:val="24"/>
                <w:szCs w:val="24"/>
              </w:rPr>
            </w:pPr>
          </w:p>
        </w:tc>
      </w:tr>
      <w:tr w:rsidR="004F5982" w:rsidRPr="00826F05" w14:paraId="6AFE0D43" w14:textId="77777777" w:rsidTr="004F5982">
        <w:tc>
          <w:tcPr>
            <w:tcW w:w="5785" w:type="dxa"/>
            <w:tcBorders>
              <w:top w:val="single" w:sz="4" w:space="0" w:color="auto"/>
              <w:left w:val="single" w:sz="4" w:space="0" w:color="auto"/>
            </w:tcBorders>
            <w:shd w:val="clear" w:color="auto" w:fill="FFFFFF"/>
          </w:tcPr>
          <w:p w14:paraId="3ABDFFAF"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Հազվադեպ կիրառվող (որբ) պատրաստուկ</w:t>
            </w:r>
          </w:p>
        </w:tc>
        <w:tc>
          <w:tcPr>
            <w:tcW w:w="3882" w:type="dxa"/>
            <w:gridSpan w:val="3"/>
            <w:tcBorders>
              <w:top w:val="single" w:sz="4" w:space="0" w:color="auto"/>
              <w:left w:val="single" w:sz="4" w:space="0" w:color="auto"/>
              <w:right w:val="single" w:sz="4" w:space="0" w:color="auto"/>
            </w:tcBorders>
            <w:shd w:val="clear" w:color="auto" w:fill="FFFFFF"/>
          </w:tcPr>
          <w:p w14:paraId="2606B943"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 այո □ ոչ</w:t>
            </w:r>
          </w:p>
        </w:tc>
      </w:tr>
      <w:tr w:rsidR="004F5982" w:rsidRPr="00826F05" w14:paraId="4D56B921" w14:textId="77777777" w:rsidTr="004F5982">
        <w:tc>
          <w:tcPr>
            <w:tcW w:w="5785" w:type="dxa"/>
            <w:tcBorders>
              <w:top w:val="single" w:sz="4" w:space="0" w:color="auto"/>
              <w:left w:val="single" w:sz="4" w:space="0" w:color="auto"/>
              <w:bottom w:val="single" w:sz="4" w:space="0" w:color="auto"/>
            </w:tcBorders>
            <w:shd w:val="clear" w:color="auto" w:fill="FFFFFF"/>
          </w:tcPr>
          <w:p w14:paraId="2F4FBFF2" w14:textId="77777777" w:rsidR="004F5982" w:rsidRPr="00D55512" w:rsidRDefault="004F5982" w:rsidP="004F5982">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Փորձագետ</w:t>
            </w:r>
          </w:p>
        </w:tc>
        <w:tc>
          <w:tcPr>
            <w:tcW w:w="3882" w:type="dxa"/>
            <w:gridSpan w:val="3"/>
            <w:tcBorders>
              <w:top w:val="single" w:sz="4" w:space="0" w:color="auto"/>
              <w:left w:val="single" w:sz="4" w:space="0" w:color="auto"/>
              <w:bottom w:val="single" w:sz="4" w:space="0" w:color="auto"/>
              <w:right w:val="single" w:sz="4" w:space="0" w:color="auto"/>
            </w:tcBorders>
            <w:shd w:val="clear" w:color="auto" w:fill="FFFFFF"/>
          </w:tcPr>
          <w:p w14:paraId="21838374" w14:textId="77777777" w:rsidR="004F5982" w:rsidRPr="00D55512" w:rsidRDefault="004F5982" w:rsidP="004F5982">
            <w:pPr>
              <w:spacing w:after="120" w:line="240" w:lineRule="auto"/>
              <w:jc w:val="both"/>
              <w:rPr>
                <w:rFonts w:ascii="Sylfaen" w:hAnsi="Sylfaen"/>
                <w:sz w:val="24"/>
                <w:szCs w:val="24"/>
              </w:rPr>
            </w:pPr>
          </w:p>
        </w:tc>
      </w:tr>
      <w:tr w:rsidR="004F5982" w:rsidRPr="00826F05" w14:paraId="29374C50" w14:textId="77777777" w:rsidTr="004F5982">
        <w:trPr>
          <w:gridAfter w:val="1"/>
          <w:wAfter w:w="101" w:type="dxa"/>
          <w:trHeight w:val="1119"/>
        </w:trPr>
        <w:tc>
          <w:tcPr>
            <w:tcW w:w="8026" w:type="dxa"/>
            <w:gridSpan w:val="2"/>
            <w:vMerge w:val="restart"/>
            <w:shd w:val="clear" w:color="auto" w:fill="FFFFFF"/>
          </w:tcPr>
          <w:p w14:paraId="1309057A" w14:textId="77777777" w:rsidR="004F5982" w:rsidRPr="00D55512" w:rsidRDefault="004F5982" w:rsidP="004F5982">
            <w:pPr>
              <w:spacing w:after="160" w:line="360" w:lineRule="auto"/>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 xml:space="preserve">Օգտագործողների թեստավորման ամբողջական հաշվետվությունը ներկայացված է </w:t>
            </w:r>
          </w:p>
          <w:p w14:paraId="5C23CEAB" w14:textId="77777777" w:rsidR="004F5982" w:rsidRPr="00D55512" w:rsidRDefault="004F5982" w:rsidP="004F5982">
            <w:pPr>
              <w:spacing w:after="160" w:line="360" w:lineRule="auto"/>
              <w:rPr>
                <w:rFonts w:ascii="Sylfaen" w:hAnsi="Sylfaen"/>
                <w:sz w:val="24"/>
                <w:szCs w:val="24"/>
              </w:rPr>
            </w:pPr>
            <w:r w:rsidRPr="00D55512">
              <w:rPr>
                <w:rStyle w:val="Bodytext295pt"/>
                <w:rFonts w:ascii="Sylfaen" w:eastAsiaTheme="minorHAnsi" w:hAnsi="Sylfaen"/>
                <w:b w:val="0"/>
                <w:spacing w:val="0"/>
                <w:sz w:val="24"/>
                <w:szCs w:val="24"/>
              </w:rPr>
              <w:t>Ամփոփ հաշվետվությունը ներկայացված է</w:t>
            </w:r>
          </w:p>
        </w:tc>
        <w:tc>
          <w:tcPr>
            <w:tcW w:w="1540" w:type="dxa"/>
            <w:shd w:val="clear" w:color="auto" w:fill="FFFFFF"/>
          </w:tcPr>
          <w:p w14:paraId="64BC5C8C" w14:textId="77777777" w:rsidR="004F5982" w:rsidRPr="00D55512" w:rsidRDefault="004F5982" w:rsidP="004F5982">
            <w:pPr>
              <w:spacing w:after="160" w:line="360" w:lineRule="auto"/>
              <w:jc w:val="both"/>
              <w:rPr>
                <w:rFonts w:ascii="Sylfaen" w:hAnsi="Sylfaen"/>
                <w:sz w:val="24"/>
                <w:szCs w:val="24"/>
              </w:rPr>
            </w:pPr>
            <w:r w:rsidRPr="00D55512">
              <w:rPr>
                <w:rFonts w:ascii="Sylfaen" w:hAnsi="Sylfaen"/>
                <w:sz w:val="24"/>
                <w:szCs w:val="24"/>
              </w:rPr>
              <w:t>□ այո □ ոչ</w:t>
            </w:r>
          </w:p>
        </w:tc>
      </w:tr>
      <w:tr w:rsidR="004F5982" w:rsidRPr="00826F05" w14:paraId="058AE687" w14:textId="77777777" w:rsidTr="004F5982">
        <w:trPr>
          <w:gridAfter w:val="1"/>
          <w:wAfter w:w="101" w:type="dxa"/>
          <w:trHeight w:val="870"/>
        </w:trPr>
        <w:tc>
          <w:tcPr>
            <w:tcW w:w="8026" w:type="dxa"/>
            <w:gridSpan w:val="2"/>
            <w:vMerge/>
            <w:shd w:val="clear" w:color="auto" w:fill="FFFFFF"/>
          </w:tcPr>
          <w:p w14:paraId="497770A7" w14:textId="77777777" w:rsidR="004F5982" w:rsidRPr="00D55512" w:rsidRDefault="004F5982" w:rsidP="004F5982">
            <w:pPr>
              <w:spacing w:after="160" w:line="360" w:lineRule="auto"/>
              <w:rPr>
                <w:rStyle w:val="Bodytext295pt"/>
                <w:rFonts w:ascii="Sylfaen" w:eastAsiaTheme="minorHAnsi" w:hAnsi="Sylfaen"/>
                <w:b w:val="0"/>
                <w:spacing w:val="0"/>
                <w:sz w:val="24"/>
                <w:szCs w:val="24"/>
              </w:rPr>
            </w:pPr>
          </w:p>
        </w:tc>
        <w:tc>
          <w:tcPr>
            <w:tcW w:w="1540" w:type="dxa"/>
            <w:shd w:val="clear" w:color="auto" w:fill="FFFFFF"/>
          </w:tcPr>
          <w:p w14:paraId="06299D79" w14:textId="77777777" w:rsidR="004F5982" w:rsidRPr="00D55512" w:rsidRDefault="004F5982" w:rsidP="004F5982">
            <w:pPr>
              <w:spacing w:after="160" w:line="360" w:lineRule="auto"/>
              <w:jc w:val="both"/>
              <w:rPr>
                <w:rFonts w:ascii="Sylfaen" w:hAnsi="Sylfaen"/>
                <w:sz w:val="24"/>
                <w:szCs w:val="24"/>
              </w:rPr>
            </w:pPr>
            <w:r w:rsidRPr="00D55512">
              <w:rPr>
                <w:rFonts w:ascii="Sylfaen" w:hAnsi="Sylfaen"/>
                <w:sz w:val="24"/>
                <w:szCs w:val="24"/>
              </w:rPr>
              <w:t>□ այո □ ոչ</w:t>
            </w:r>
          </w:p>
        </w:tc>
      </w:tr>
      <w:tr w:rsidR="004F5982" w:rsidRPr="00826F05" w14:paraId="7B8901C3" w14:textId="77777777" w:rsidTr="004F5982">
        <w:trPr>
          <w:gridAfter w:val="1"/>
          <w:wAfter w:w="101" w:type="dxa"/>
        </w:trPr>
        <w:tc>
          <w:tcPr>
            <w:tcW w:w="9566" w:type="dxa"/>
            <w:gridSpan w:val="3"/>
            <w:shd w:val="clear" w:color="auto" w:fill="FFFFFF"/>
            <w:vAlign w:val="bottom"/>
          </w:tcPr>
          <w:p w14:paraId="3CBA8C08" w14:textId="77777777" w:rsidR="004F5982" w:rsidRPr="00D55512" w:rsidRDefault="004F5982" w:rsidP="004F5982">
            <w:pPr>
              <w:spacing w:after="160" w:line="360" w:lineRule="auto"/>
              <w:rPr>
                <w:rFonts w:ascii="Sylfaen" w:hAnsi="Sylfaen"/>
                <w:sz w:val="24"/>
                <w:szCs w:val="24"/>
              </w:rPr>
            </w:pPr>
            <w:r w:rsidRPr="00D55512">
              <w:rPr>
                <w:rStyle w:val="Bodytext295pt"/>
                <w:rFonts w:ascii="Sylfaen" w:eastAsiaTheme="minorHAnsi" w:hAnsi="Sylfaen"/>
                <w:b w:val="0"/>
                <w:spacing w:val="0"/>
                <w:sz w:val="24"/>
                <w:szCs w:val="24"/>
              </w:rPr>
              <w:t>Կապակցող թեստավորման հիմքերը՝</w:t>
            </w:r>
          </w:p>
          <w:p w14:paraId="5B9AD137" w14:textId="77777777" w:rsidR="004F5982" w:rsidRPr="00D55512" w:rsidRDefault="004F5982" w:rsidP="004F5982">
            <w:pPr>
              <w:spacing w:after="160" w:line="360" w:lineRule="auto"/>
              <w:ind w:left="567"/>
              <w:rPr>
                <w:rFonts w:ascii="Sylfaen" w:hAnsi="Sylfaen"/>
                <w:sz w:val="24"/>
                <w:szCs w:val="24"/>
              </w:rPr>
            </w:pPr>
            <w:r w:rsidRPr="00D55512">
              <w:rPr>
                <w:rFonts w:ascii="Sylfaen" w:hAnsi="Sylfaen"/>
                <w:sz w:val="24"/>
                <w:szCs w:val="24"/>
              </w:rPr>
              <w:t xml:space="preserve">□ </w:t>
            </w:r>
            <w:r w:rsidRPr="00D55512">
              <w:rPr>
                <w:rStyle w:val="Bodytext295pt"/>
                <w:rFonts w:ascii="Sylfaen" w:eastAsiaTheme="minorHAnsi" w:hAnsi="Sylfaen"/>
                <w:b w:val="0"/>
                <w:spacing w:val="0"/>
                <w:sz w:val="24"/>
                <w:szCs w:val="24"/>
              </w:rPr>
              <w:t>լրացումներ՝ ներմուծման մի</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նույն եղանակի համար</w:t>
            </w:r>
          </w:p>
          <w:p w14:paraId="5D5921AA" w14:textId="77777777" w:rsidR="004F5982" w:rsidRPr="00D55512" w:rsidRDefault="004F5982" w:rsidP="004F5982">
            <w:pPr>
              <w:spacing w:after="160" w:line="360" w:lineRule="auto"/>
              <w:ind w:left="567"/>
              <w:rPr>
                <w:rFonts w:ascii="Sylfaen" w:hAnsi="Sylfaen"/>
                <w:sz w:val="24"/>
                <w:szCs w:val="24"/>
              </w:rPr>
            </w:pPr>
            <w:r w:rsidRPr="00D55512">
              <w:rPr>
                <w:rFonts w:ascii="Sylfaen" w:hAnsi="Sylfaen"/>
                <w:sz w:val="24"/>
                <w:szCs w:val="24"/>
              </w:rPr>
              <w:lastRenderedPageBreak/>
              <w:t xml:space="preserve">□ </w:t>
            </w:r>
            <w:r w:rsidRPr="00D55512">
              <w:rPr>
                <w:rStyle w:val="Bodytext295pt"/>
                <w:rFonts w:ascii="Sylfaen" w:eastAsiaTheme="minorHAnsi" w:hAnsi="Sylfaen"/>
                <w:b w:val="0"/>
                <w:spacing w:val="0"/>
                <w:sz w:val="24"/>
                <w:szCs w:val="24"/>
              </w:rPr>
              <w:t>հղում՝ նույն դասի դեղապատրաստուկի թեստին</w:t>
            </w:r>
          </w:p>
          <w:p w14:paraId="3F6D6C2C" w14:textId="77777777" w:rsidR="004F5982" w:rsidRPr="00D55512" w:rsidRDefault="004F5982" w:rsidP="004F5982">
            <w:pPr>
              <w:spacing w:after="160" w:line="360" w:lineRule="auto"/>
              <w:ind w:left="567"/>
              <w:rPr>
                <w:rFonts w:ascii="Sylfaen" w:hAnsi="Sylfaen"/>
                <w:sz w:val="24"/>
                <w:szCs w:val="24"/>
              </w:rPr>
            </w:pPr>
            <w:r w:rsidRPr="00D55512">
              <w:rPr>
                <w:rFonts w:ascii="Sylfaen" w:hAnsi="Sylfaen"/>
                <w:sz w:val="24"/>
                <w:szCs w:val="24"/>
              </w:rPr>
              <w:t xml:space="preserve">□ </w:t>
            </w:r>
            <w:r w:rsidRPr="00D55512">
              <w:rPr>
                <w:rStyle w:val="Bodytext295pt"/>
                <w:rFonts w:ascii="Sylfaen" w:eastAsiaTheme="minorHAnsi" w:hAnsi="Sylfaen"/>
                <w:b w:val="0"/>
                <w:spacing w:val="0"/>
                <w:sz w:val="24"/>
                <w:szCs w:val="24"/>
              </w:rPr>
              <w:t xml:space="preserve">հղում՝ անվտանգության վերաբերյալ նույնատիպ հարցերով թեստին </w:t>
            </w:r>
          </w:p>
          <w:p w14:paraId="63DB9FA9" w14:textId="77777777" w:rsidR="004F5982" w:rsidRPr="00826F05" w:rsidRDefault="004F5982" w:rsidP="004F5982">
            <w:pPr>
              <w:spacing w:after="160" w:line="360" w:lineRule="auto"/>
              <w:ind w:left="567"/>
              <w:rPr>
                <w:rFonts w:ascii="Sylfaen" w:hAnsi="Sylfaen"/>
                <w:sz w:val="24"/>
                <w:szCs w:val="24"/>
              </w:rPr>
            </w:pPr>
            <w:r w:rsidRPr="00D55512">
              <w:rPr>
                <w:rFonts w:ascii="Sylfaen" w:hAnsi="Sylfaen"/>
                <w:sz w:val="24"/>
                <w:szCs w:val="24"/>
              </w:rPr>
              <w:t>□ այլ՝ __________________________________________________________</w:t>
            </w:r>
          </w:p>
        </w:tc>
      </w:tr>
      <w:tr w:rsidR="004F5982" w:rsidRPr="00826F05" w14:paraId="10BE1C39" w14:textId="77777777" w:rsidTr="004F5982">
        <w:trPr>
          <w:gridAfter w:val="1"/>
          <w:wAfter w:w="101" w:type="dxa"/>
        </w:trPr>
        <w:tc>
          <w:tcPr>
            <w:tcW w:w="8026" w:type="dxa"/>
            <w:gridSpan w:val="2"/>
            <w:shd w:val="clear" w:color="auto" w:fill="FFFFFF"/>
            <w:vAlign w:val="center"/>
          </w:tcPr>
          <w:p w14:paraId="5215A135" w14:textId="77777777" w:rsidR="004F5982" w:rsidRPr="00D55512" w:rsidRDefault="004F5982" w:rsidP="004F5982">
            <w:pPr>
              <w:tabs>
                <w:tab w:val="left" w:pos="270"/>
              </w:tabs>
              <w:spacing w:after="160" w:line="360" w:lineRule="auto"/>
              <w:rPr>
                <w:rFonts w:ascii="Sylfaen" w:hAnsi="Sylfaen"/>
                <w:sz w:val="24"/>
                <w:szCs w:val="24"/>
              </w:rPr>
            </w:pPr>
            <w:r w:rsidRPr="00D55512">
              <w:rPr>
                <w:rStyle w:val="Bodytext295pt"/>
                <w:rFonts w:ascii="Sylfaen" w:eastAsiaTheme="minorHAnsi" w:hAnsi="Sylfaen"/>
                <w:b w:val="0"/>
                <w:spacing w:val="0"/>
                <w:sz w:val="24"/>
                <w:szCs w:val="24"/>
              </w:rPr>
              <w:lastRenderedPageBreak/>
              <w:t>Արդյո՞ք կապակցող թեստավորման հիմնավորումն ընդունելի է։</w:t>
            </w:r>
          </w:p>
        </w:tc>
        <w:tc>
          <w:tcPr>
            <w:tcW w:w="1540" w:type="dxa"/>
            <w:tcBorders>
              <w:top w:val="single" w:sz="4" w:space="0" w:color="auto"/>
              <w:left w:val="nil"/>
            </w:tcBorders>
            <w:shd w:val="clear" w:color="auto" w:fill="FFFFFF"/>
            <w:vAlign w:val="center"/>
          </w:tcPr>
          <w:p w14:paraId="22D64267" w14:textId="77777777" w:rsidR="004F5982" w:rsidRPr="00D55512" w:rsidRDefault="004F5982" w:rsidP="004F5982">
            <w:pPr>
              <w:tabs>
                <w:tab w:val="left" w:pos="270"/>
              </w:tabs>
              <w:spacing w:after="160" w:line="360" w:lineRule="auto"/>
              <w:rPr>
                <w:rFonts w:ascii="Sylfaen" w:hAnsi="Sylfaen"/>
                <w:sz w:val="24"/>
                <w:szCs w:val="24"/>
              </w:rPr>
            </w:pPr>
            <w:r w:rsidRPr="00D55512">
              <w:rPr>
                <w:rStyle w:val="Bodytext295pt"/>
                <w:rFonts w:ascii="Sylfaen" w:eastAsiaTheme="minorHAnsi" w:hAnsi="Sylfaen"/>
                <w:b w:val="0"/>
                <w:spacing w:val="0"/>
                <w:sz w:val="24"/>
                <w:szCs w:val="24"/>
              </w:rPr>
              <w:t>□ այո □ ոչ</w:t>
            </w:r>
          </w:p>
        </w:tc>
      </w:tr>
      <w:tr w:rsidR="004F5982" w:rsidRPr="00826F05" w14:paraId="14A27669" w14:textId="77777777" w:rsidTr="004F5982">
        <w:trPr>
          <w:gridAfter w:val="1"/>
          <w:wAfter w:w="101" w:type="dxa"/>
          <w:trHeight w:val="1583"/>
        </w:trPr>
        <w:tc>
          <w:tcPr>
            <w:tcW w:w="8026" w:type="dxa"/>
            <w:gridSpan w:val="2"/>
            <w:vMerge w:val="restart"/>
            <w:shd w:val="clear" w:color="auto" w:fill="FFFFFF"/>
            <w:vAlign w:val="center"/>
          </w:tcPr>
          <w:p w14:paraId="684D7006" w14:textId="77777777" w:rsidR="004F5982" w:rsidRPr="00D55512" w:rsidRDefault="004F5982" w:rsidP="004F5982">
            <w:pPr>
              <w:spacing w:after="160" w:line="360" w:lineRule="auto"/>
              <w:rPr>
                <w:rFonts w:ascii="Sylfaen" w:hAnsi="Sylfaen"/>
              </w:rPr>
            </w:pPr>
            <w:r w:rsidRPr="00D55512">
              <w:rPr>
                <w:rStyle w:val="Bodytext295pt"/>
                <w:rFonts w:ascii="Sylfaen" w:eastAsiaTheme="minorHAnsi" w:hAnsi="Sylfaen"/>
                <w:b w:val="0"/>
                <w:spacing w:val="0"/>
                <w:sz w:val="24"/>
                <w:szCs w:val="24"/>
              </w:rPr>
              <w:t>(Եթե չի ներկայացվել օգտագործողների թեստավորման ամբողջական հաշվետվությունը կամ ամփոփ հաշվետվությունը, ապա անհրաժեշտ է ներկայացնել հիմնավորումը։)</w:t>
            </w:r>
          </w:p>
          <w:p w14:paraId="7DCF94A8" w14:textId="77777777" w:rsidR="004F5982" w:rsidRPr="00D55512" w:rsidRDefault="004F5982" w:rsidP="004F5982">
            <w:pPr>
              <w:spacing w:after="160" w:line="360" w:lineRule="auto"/>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Արդյո՞ք հաշվետվություն չներկայացնելու հիմնավորումն ընդունելի է։ (Օգտագործողների թեստավորման բացակայության ընդունելի հիմնավորում չհամարվող պատճառների օրինակները ներկայացված են ստոր</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w:t>
            </w:r>
          </w:p>
        </w:tc>
        <w:tc>
          <w:tcPr>
            <w:tcW w:w="1540" w:type="dxa"/>
            <w:tcBorders>
              <w:left w:val="nil"/>
            </w:tcBorders>
            <w:shd w:val="clear" w:color="auto" w:fill="FFFFFF"/>
            <w:vAlign w:val="center"/>
          </w:tcPr>
          <w:p w14:paraId="1F86E240" w14:textId="77777777" w:rsidR="004F5982" w:rsidRPr="00D55512" w:rsidRDefault="004F5982" w:rsidP="004F5982">
            <w:pPr>
              <w:spacing w:after="160" w:line="360" w:lineRule="auto"/>
              <w:rPr>
                <w:rStyle w:val="Bodytext295pt"/>
                <w:rFonts w:ascii="Sylfaen" w:eastAsiaTheme="minorHAnsi" w:hAnsi="Sylfaen"/>
                <w:b w:val="0"/>
                <w:spacing w:val="0"/>
                <w:sz w:val="24"/>
                <w:szCs w:val="24"/>
              </w:rPr>
            </w:pPr>
          </w:p>
        </w:tc>
      </w:tr>
      <w:tr w:rsidR="004F5982" w:rsidRPr="00826F05" w14:paraId="63B27315" w14:textId="77777777" w:rsidTr="004F5982">
        <w:trPr>
          <w:gridAfter w:val="1"/>
          <w:wAfter w:w="101" w:type="dxa"/>
          <w:trHeight w:val="1582"/>
        </w:trPr>
        <w:tc>
          <w:tcPr>
            <w:tcW w:w="8026" w:type="dxa"/>
            <w:gridSpan w:val="2"/>
            <w:vMerge/>
            <w:shd w:val="clear" w:color="auto" w:fill="FFFFFF"/>
            <w:vAlign w:val="center"/>
          </w:tcPr>
          <w:p w14:paraId="37A566B9" w14:textId="77777777" w:rsidR="004F5982" w:rsidRPr="00826F05" w:rsidRDefault="004F5982" w:rsidP="004F5982">
            <w:pPr>
              <w:spacing w:after="160" w:line="360" w:lineRule="auto"/>
              <w:rPr>
                <w:rStyle w:val="Bodytext295pt"/>
                <w:rFonts w:ascii="Sylfaen" w:eastAsiaTheme="minorHAnsi" w:hAnsi="Sylfaen"/>
                <w:b w:val="0"/>
                <w:sz w:val="24"/>
                <w:szCs w:val="24"/>
              </w:rPr>
            </w:pPr>
          </w:p>
        </w:tc>
        <w:tc>
          <w:tcPr>
            <w:tcW w:w="1540" w:type="dxa"/>
            <w:tcBorders>
              <w:left w:val="nil"/>
            </w:tcBorders>
            <w:shd w:val="clear" w:color="auto" w:fill="FFFFFF"/>
          </w:tcPr>
          <w:p w14:paraId="5F62931C" w14:textId="77777777" w:rsidR="004F5982" w:rsidRPr="00D55512" w:rsidRDefault="004F5982" w:rsidP="004F5982">
            <w:pPr>
              <w:spacing w:after="160" w:line="360" w:lineRule="auto"/>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 այո □ ոչ</w:t>
            </w:r>
          </w:p>
        </w:tc>
      </w:tr>
      <w:tr w:rsidR="004F5982" w:rsidRPr="00826F05" w14:paraId="6D76E5B0" w14:textId="77777777" w:rsidTr="004F5982">
        <w:trPr>
          <w:gridAfter w:val="1"/>
          <w:wAfter w:w="101" w:type="dxa"/>
        </w:trPr>
        <w:tc>
          <w:tcPr>
            <w:tcW w:w="9566" w:type="dxa"/>
            <w:gridSpan w:val="3"/>
            <w:shd w:val="clear" w:color="auto" w:fill="FFFFFF"/>
            <w:vAlign w:val="center"/>
          </w:tcPr>
          <w:p w14:paraId="4FF5EBA2" w14:textId="77777777" w:rsidR="004F5982" w:rsidRPr="00826F05" w:rsidRDefault="004F5982" w:rsidP="004F5982">
            <w:pPr>
              <w:tabs>
                <w:tab w:val="left" w:pos="284"/>
              </w:tabs>
              <w:spacing w:after="160" w:line="336" w:lineRule="auto"/>
              <w:rPr>
                <w:rFonts w:ascii="Sylfaen" w:hAnsi="Sylfaen"/>
                <w:sz w:val="24"/>
                <w:szCs w:val="24"/>
              </w:rPr>
            </w:pPr>
            <w:r w:rsidRPr="00826F05">
              <w:rPr>
                <w:rFonts w:ascii="Sylfaen" w:hAnsi="Sylfaen"/>
                <w:sz w:val="24"/>
                <w:szCs w:val="24"/>
              </w:rPr>
              <w:t>-</w:t>
            </w:r>
            <w:r w:rsidRPr="00826F05">
              <w:rPr>
                <w:rFonts w:ascii="Sylfaen" w:hAnsi="Sylfaen"/>
                <w:sz w:val="24"/>
                <w:szCs w:val="24"/>
              </w:rPr>
              <w:tab/>
              <w:t>միայն հիվանդանոցային պայմաններում ներմուծումը.</w:t>
            </w:r>
          </w:p>
          <w:p w14:paraId="285D7B1F" w14:textId="77777777" w:rsidR="004F5982" w:rsidRPr="00826F05" w:rsidRDefault="004F5982" w:rsidP="004F5982">
            <w:pPr>
              <w:tabs>
                <w:tab w:val="left" w:pos="284"/>
              </w:tabs>
              <w:spacing w:after="160" w:line="336" w:lineRule="auto"/>
              <w:rPr>
                <w:rFonts w:ascii="Sylfaen" w:hAnsi="Sylfaen"/>
                <w:sz w:val="24"/>
                <w:szCs w:val="24"/>
              </w:rPr>
            </w:pPr>
            <w:r w:rsidRPr="00826F05">
              <w:rPr>
                <w:rFonts w:ascii="Sylfaen" w:hAnsi="Sylfaen"/>
                <w:sz w:val="24"/>
                <w:szCs w:val="24"/>
              </w:rPr>
              <w:t>-</w:t>
            </w:r>
            <w:r w:rsidRPr="00826F05">
              <w:rPr>
                <w:rFonts w:ascii="Sylfaen" w:hAnsi="Sylfaen"/>
                <w:sz w:val="24"/>
                <w:szCs w:val="24"/>
              </w:rPr>
              <w:tab/>
              <w:t>միայն բժշկական ոլորտի մասնագետի կողմից ներմուծումը.</w:t>
            </w:r>
          </w:p>
          <w:p w14:paraId="254922DD" w14:textId="77777777" w:rsidR="004F5982" w:rsidRPr="00826F05" w:rsidRDefault="004F5982" w:rsidP="004F5982">
            <w:pPr>
              <w:tabs>
                <w:tab w:val="left" w:pos="284"/>
              </w:tabs>
              <w:spacing w:after="160" w:line="336" w:lineRule="auto"/>
              <w:rPr>
                <w:rFonts w:ascii="Sylfaen" w:hAnsi="Sylfaen"/>
                <w:sz w:val="24"/>
                <w:szCs w:val="24"/>
              </w:rPr>
            </w:pPr>
            <w:r w:rsidRPr="00826F05">
              <w:rPr>
                <w:rFonts w:ascii="Sylfaen" w:hAnsi="Sylfaen"/>
                <w:sz w:val="24"/>
                <w:szCs w:val="24"/>
              </w:rPr>
              <w:t>-</w:t>
            </w:r>
            <w:r w:rsidRPr="00826F05">
              <w:rPr>
                <w:rFonts w:ascii="Sylfaen" w:hAnsi="Sylfaen"/>
                <w:sz w:val="24"/>
                <w:szCs w:val="24"/>
              </w:rPr>
              <w:tab/>
              <w:t>որակի ստուգման վերաբերյալ փաստաթղթերի ձ</w:t>
            </w:r>
            <w:r w:rsidR="00C54D75">
              <w:rPr>
                <w:rFonts w:ascii="Sylfaen" w:hAnsi="Sylfaen"/>
                <w:sz w:val="24"/>
                <w:szCs w:val="24"/>
              </w:rPr>
              <w:t>և</w:t>
            </w:r>
            <w:r w:rsidRPr="00826F05">
              <w:rPr>
                <w:rFonts w:ascii="Sylfaen" w:hAnsi="Sylfaen"/>
                <w:sz w:val="24"/>
                <w:szCs w:val="24"/>
              </w:rPr>
              <w:t>անմուշներին համապատասխանությունը.</w:t>
            </w:r>
          </w:p>
          <w:p w14:paraId="01CB4085" w14:textId="77777777" w:rsidR="004F5982" w:rsidRPr="00826F05" w:rsidRDefault="004F5982" w:rsidP="004F5982">
            <w:pPr>
              <w:tabs>
                <w:tab w:val="left" w:pos="284"/>
              </w:tabs>
              <w:spacing w:after="160" w:line="336" w:lineRule="auto"/>
              <w:rPr>
                <w:rStyle w:val="Bodytext295pt"/>
                <w:rFonts w:ascii="Sylfaen" w:eastAsiaTheme="minorHAnsi" w:hAnsi="Sylfaen"/>
                <w:b w:val="0"/>
                <w:sz w:val="24"/>
                <w:szCs w:val="24"/>
              </w:rPr>
            </w:pPr>
            <w:r w:rsidRPr="00826F05">
              <w:rPr>
                <w:rFonts w:ascii="Sylfaen" w:hAnsi="Sylfaen"/>
                <w:sz w:val="24"/>
                <w:szCs w:val="24"/>
              </w:rPr>
              <w:t>-</w:t>
            </w:r>
            <w:r w:rsidRPr="00826F05">
              <w:rPr>
                <w:rFonts w:ascii="Sylfaen" w:hAnsi="Sylfaen"/>
                <w:sz w:val="24"/>
                <w:szCs w:val="24"/>
              </w:rPr>
              <w:tab/>
              <w:t>տ</w:t>
            </w:r>
            <w:r w:rsidR="00C54D75">
              <w:rPr>
                <w:rFonts w:ascii="Sylfaen" w:hAnsi="Sylfaen"/>
                <w:sz w:val="24"/>
                <w:szCs w:val="24"/>
              </w:rPr>
              <w:t>և</w:t>
            </w:r>
            <w:r w:rsidRPr="00826F05">
              <w:rPr>
                <w:rFonts w:ascii="Sylfaen" w:hAnsi="Sylfaen"/>
                <w:sz w:val="24"/>
                <w:szCs w:val="24"/>
              </w:rPr>
              <w:t>ական ժամանակի ընթացքում պատրաստուկի կիրառման ուսումնասիրությունը։</w:t>
            </w:r>
          </w:p>
        </w:tc>
      </w:tr>
      <w:tr w:rsidR="004F5982" w:rsidRPr="00826F05" w14:paraId="60A14DA7" w14:textId="77777777" w:rsidTr="004F5982">
        <w:trPr>
          <w:gridAfter w:val="1"/>
          <w:wAfter w:w="101" w:type="dxa"/>
        </w:trPr>
        <w:tc>
          <w:tcPr>
            <w:tcW w:w="9566" w:type="dxa"/>
            <w:gridSpan w:val="3"/>
            <w:shd w:val="clear" w:color="auto" w:fill="FFFFFF"/>
            <w:vAlign w:val="center"/>
          </w:tcPr>
          <w:p w14:paraId="055673B3" w14:textId="77777777" w:rsidR="004F5982" w:rsidRPr="00D55512" w:rsidRDefault="004F5982" w:rsidP="004F5982">
            <w:pPr>
              <w:spacing w:after="160" w:line="360" w:lineRule="auto"/>
              <w:rPr>
                <w:rFonts w:ascii="Sylfaen" w:hAnsi="Sylfaen"/>
                <w:sz w:val="24"/>
                <w:szCs w:val="24"/>
              </w:rPr>
            </w:pPr>
            <w:r w:rsidRPr="00D55512">
              <w:rPr>
                <w:rStyle w:val="Bodytext295pt"/>
                <w:rFonts w:ascii="Sylfaen" w:eastAsiaTheme="minorHAnsi" w:hAnsi="Sylfaen"/>
                <w:b w:val="0"/>
                <w:spacing w:val="0"/>
                <w:sz w:val="24"/>
                <w:szCs w:val="24"/>
              </w:rPr>
              <w:t xml:space="preserve">Պատճառները </w:t>
            </w:r>
            <w:r w:rsidRPr="00D55512">
              <w:rPr>
                <w:rStyle w:val="Bodytext295pt"/>
                <w:rFonts w:ascii="Sylfaen" w:eastAsiaTheme="minorHAnsi" w:hAnsi="Sylfaen"/>
                <w:b w:val="0"/>
                <w:i/>
                <w:spacing w:val="0"/>
                <w:sz w:val="24"/>
                <w:szCs w:val="24"/>
              </w:rPr>
              <w:t>[հիմնավորման/ամփոփ հաշվետվության ընդունելի լինելու կամ չլինելու վերաբերյալ փորձագետների կարծիքները՝ հիմնավորման/ամփոփ հաշվետվության գնահատումը]</w:t>
            </w:r>
          </w:p>
        </w:tc>
      </w:tr>
      <w:tr w:rsidR="004F5982" w:rsidRPr="00826F05" w14:paraId="7F7E77F0" w14:textId="77777777" w:rsidTr="004F5982">
        <w:trPr>
          <w:gridAfter w:val="1"/>
          <w:wAfter w:w="101" w:type="dxa"/>
        </w:trPr>
        <w:tc>
          <w:tcPr>
            <w:tcW w:w="9566" w:type="dxa"/>
            <w:gridSpan w:val="3"/>
            <w:tcBorders>
              <w:top w:val="single" w:sz="4" w:space="0" w:color="auto"/>
            </w:tcBorders>
            <w:shd w:val="clear" w:color="auto" w:fill="FFFFFF"/>
          </w:tcPr>
          <w:p w14:paraId="272CDF47" w14:textId="77777777" w:rsidR="004F5982" w:rsidRPr="00826F05" w:rsidRDefault="004F5982" w:rsidP="004F5982">
            <w:pPr>
              <w:spacing w:after="160" w:line="360" w:lineRule="auto"/>
              <w:jc w:val="both"/>
              <w:rPr>
                <w:rFonts w:ascii="Sylfaen" w:hAnsi="Sylfaen"/>
                <w:sz w:val="24"/>
                <w:szCs w:val="24"/>
              </w:rPr>
            </w:pPr>
          </w:p>
        </w:tc>
      </w:tr>
      <w:tr w:rsidR="004F5982" w:rsidRPr="00826F05" w14:paraId="00152AE8" w14:textId="77777777" w:rsidTr="004F5982">
        <w:trPr>
          <w:gridAfter w:val="1"/>
          <w:wAfter w:w="101" w:type="dxa"/>
        </w:trPr>
        <w:tc>
          <w:tcPr>
            <w:tcW w:w="9566" w:type="dxa"/>
            <w:gridSpan w:val="3"/>
            <w:tcBorders>
              <w:top w:val="single" w:sz="4" w:space="0" w:color="auto"/>
            </w:tcBorders>
            <w:shd w:val="clear" w:color="auto" w:fill="FFFFFF"/>
          </w:tcPr>
          <w:p w14:paraId="31CC2787" w14:textId="77777777" w:rsidR="004F5982" w:rsidRPr="00826F05" w:rsidRDefault="004F5982" w:rsidP="004F5982">
            <w:pPr>
              <w:spacing w:after="160" w:line="360" w:lineRule="auto"/>
              <w:jc w:val="both"/>
              <w:rPr>
                <w:rFonts w:ascii="Sylfaen" w:hAnsi="Sylfaen"/>
                <w:sz w:val="24"/>
                <w:szCs w:val="24"/>
              </w:rPr>
            </w:pPr>
          </w:p>
        </w:tc>
      </w:tr>
      <w:tr w:rsidR="004F5982" w:rsidRPr="00826F05" w14:paraId="0D47BDF0" w14:textId="77777777" w:rsidTr="004F5982">
        <w:trPr>
          <w:gridAfter w:val="1"/>
          <w:wAfter w:w="101" w:type="dxa"/>
        </w:trPr>
        <w:tc>
          <w:tcPr>
            <w:tcW w:w="9566" w:type="dxa"/>
            <w:gridSpan w:val="3"/>
            <w:tcBorders>
              <w:top w:val="single" w:sz="4" w:space="0" w:color="auto"/>
            </w:tcBorders>
            <w:shd w:val="clear" w:color="auto" w:fill="FFFFFF"/>
          </w:tcPr>
          <w:p w14:paraId="471BB6FC" w14:textId="77777777" w:rsidR="004F5982" w:rsidRPr="00826F05" w:rsidRDefault="004F5982" w:rsidP="004F5982">
            <w:pPr>
              <w:spacing w:after="160" w:line="360" w:lineRule="auto"/>
              <w:jc w:val="both"/>
              <w:rPr>
                <w:rFonts w:ascii="Sylfaen" w:hAnsi="Sylfaen"/>
                <w:sz w:val="24"/>
                <w:szCs w:val="24"/>
              </w:rPr>
            </w:pPr>
          </w:p>
        </w:tc>
      </w:tr>
      <w:tr w:rsidR="004F5982" w:rsidRPr="00826F05" w14:paraId="1DC0FD5A" w14:textId="77777777" w:rsidTr="004F5982">
        <w:trPr>
          <w:gridAfter w:val="1"/>
          <w:wAfter w:w="101" w:type="dxa"/>
        </w:trPr>
        <w:tc>
          <w:tcPr>
            <w:tcW w:w="9566" w:type="dxa"/>
            <w:gridSpan w:val="3"/>
            <w:tcBorders>
              <w:top w:val="single" w:sz="4" w:space="0" w:color="auto"/>
              <w:bottom w:val="single" w:sz="4" w:space="0" w:color="auto"/>
            </w:tcBorders>
            <w:shd w:val="clear" w:color="auto" w:fill="FFFFFF"/>
          </w:tcPr>
          <w:p w14:paraId="144E5FE1" w14:textId="77777777" w:rsidR="004F5982" w:rsidRPr="00826F05" w:rsidRDefault="004F5982" w:rsidP="004F5982">
            <w:pPr>
              <w:spacing w:after="160" w:line="360" w:lineRule="auto"/>
              <w:jc w:val="both"/>
              <w:rPr>
                <w:rFonts w:ascii="Sylfaen" w:hAnsi="Sylfaen"/>
                <w:sz w:val="24"/>
                <w:szCs w:val="24"/>
              </w:rPr>
            </w:pPr>
          </w:p>
        </w:tc>
      </w:tr>
    </w:tbl>
    <w:p w14:paraId="0FC42B88" w14:textId="77777777" w:rsidR="004F5982" w:rsidRPr="00D55512" w:rsidRDefault="004F5982" w:rsidP="004F5982">
      <w:pPr>
        <w:pStyle w:val="Bodytext40"/>
        <w:shd w:val="clear" w:color="auto" w:fill="auto"/>
        <w:spacing w:before="0" w:after="160" w:line="360" w:lineRule="auto"/>
        <w:ind w:left="567" w:right="565"/>
        <w:rPr>
          <w:rFonts w:ascii="Sylfaen" w:hAnsi="Sylfaen"/>
          <w:b w:val="0"/>
          <w:sz w:val="24"/>
          <w:szCs w:val="24"/>
        </w:rPr>
      </w:pPr>
      <w:r w:rsidRPr="00D55512">
        <w:rPr>
          <w:rFonts w:ascii="Sylfaen" w:hAnsi="Sylfaen"/>
          <w:b w:val="0"/>
          <w:color w:val="000000"/>
          <w:sz w:val="24"/>
          <w:szCs w:val="24"/>
        </w:rPr>
        <w:t>1. Տեխնիկական գնահատումը</w:t>
      </w:r>
    </w:p>
    <w:p w14:paraId="73C6BEF8" w14:textId="77777777" w:rsidR="004F5982" w:rsidRPr="00D55512" w:rsidRDefault="004F5982" w:rsidP="004F5982">
      <w:pPr>
        <w:pStyle w:val="Bodytext40"/>
        <w:shd w:val="clear" w:color="auto" w:fill="auto"/>
        <w:spacing w:before="0" w:after="160" w:line="360" w:lineRule="auto"/>
        <w:ind w:left="567" w:right="565"/>
        <w:rPr>
          <w:rFonts w:ascii="Sylfaen" w:hAnsi="Sylfaen"/>
          <w:b w:val="0"/>
          <w:color w:val="000000"/>
          <w:sz w:val="24"/>
          <w:szCs w:val="24"/>
        </w:rPr>
      </w:pPr>
      <w:r w:rsidRPr="00D55512">
        <w:rPr>
          <w:rFonts w:ascii="Sylfaen" w:hAnsi="Sylfaen"/>
          <w:b w:val="0"/>
          <w:sz w:val="24"/>
          <w:szCs w:val="24"/>
        </w:rPr>
        <w:lastRenderedPageBreak/>
        <w:t xml:space="preserve">1.1. </w:t>
      </w:r>
      <w:r w:rsidRPr="00D55512">
        <w:rPr>
          <w:rFonts w:ascii="Sylfaen" w:hAnsi="Sylfaen"/>
          <w:b w:val="0"/>
          <w:color w:val="000000"/>
          <w:sz w:val="24"/>
          <w:szCs w:val="24"/>
        </w:rPr>
        <w:t>Հավաքակազմը</w:t>
      </w:r>
    </w:p>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41"/>
        <w:gridCol w:w="1456"/>
      </w:tblGrid>
      <w:tr w:rsidR="004F5982" w:rsidRPr="00D55512" w14:paraId="19016CC5" w14:textId="77777777" w:rsidTr="004F5982">
        <w:tc>
          <w:tcPr>
            <w:tcW w:w="8241" w:type="dxa"/>
          </w:tcPr>
          <w:p w14:paraId="2A9923A3" w14:textId="77777777" w:rsidR="004F5982" w:rsidRPr="00D55512" w:rsidRDefault="004F5982" w:rsidP="00487007">
            <w:pPr>
              <w:pStyle w:val="Bodytext40"/>
              <w:shd w:val="clear" w:color="auto" w:fill="auto"/>
              <w:spacing w:before="0" w:after="120" w:line="240" w:lineRule="auto"/>
              <w:jc w:val="left"/>
              <w:rPr>
                <w:rFonts w:ascii="Sylfaen" w:hAnsi="Sylfaen"/>
                <w:b w:val="0"/>
                <w:sz w:val="24"/>
                <w:szCs w:val="24"/>
              </w:rPr>
            </w:pPr>
            <w:r w:rsidRPr="00D55512">
              <w:rPr>
                <w:rFonts w:ascii="Sylfaen" w:hAnsi="Sylfaen"/>
                <w:b w:val="0"/>
                <w:sz w:val="24"/>
                <w:szCs w:val="24"/>
              </w:rPr>
              <w:t>Արդյո՞ք ընդունելի է հարցմանը մասնակցած պոպուլյացիան։</w:t>
            </w:r>
          </w:p>
        </w:tc>
        <w:tc>
          <w:tcPr>
            <w:tcW w:w="1456" w:type="dxa"/>
          </w:tcPr>
          <w:p w14:paraId="4FF8DB49" w14:textId="77777777" w:rsidR="004F5982" w:rsidRPr="00D55512" w:rsidRDefault="004F5982" w:rsidP="00487007">
            <w:pPr>
              <w:pStyle w:val="Bodytext40"/>
              <w:shd w:val="clear" w:color="auto" w:fill="auto"/>
              <w:spacing w:before="0" w:after="120" w:line="240" w:lineRule="auto"/>
              <w:jc w:val="left"/>
              <w:rPr>
                <w:rFonts w:ascii="Sylfaen" w:hAnsi="Sylfaen"/>
                <w:b w:val="0"/>
                <w:sz w:val="24"/>
                <w:szCs w:val="24"/>
              </w:rPr>
            </w:pPr>
            <w:r w:rsidRPr="00D55512">
              <w:rPr>
                <w:rFonts w:ascii="Sylfaen" w:hAnsi="Sylfaen"/>
                <w:b w:val="0"/>
                <w:color w:val="000000"/>
                <w:sz w:val="24"/>
                <w:szCs w:val="24"/>
              </w:rPr>
              <w:t>□ այո □ ոչ</w:t>
            </w:r>
          </w:p>
        </w:tc>
      </w:tr>
      <w:tr w:rsidR="004F5982" w:rsidRPr="00D55512" w14:paraId="7FBDC3C9" w14:textId="77777777" w:rsidTr="004F5982">
        <w:tc>
          <w:tcPr>
            <w:tcW w:w="9697" w:type="dxa"/>
            <w:gridSpan w:val="2"/>
          </w:tcPr>
          <w:p w14:paraId="66B66E99" w14:textId="77777777" w:rsidR="004F5982" w:rsidRPr="00D55512" w:rsidRDefault="004F5982" w:rsidP="00487007">
            <w:pPr>
              <w:pStyle w:val="Bodytext40"/>
              <w:shd w:val="clear" w:color="auto" w:fill="auto"/>
              <w:spacing w:before="0" w:after="120" w:line="240" w:lineRule="auto"/>
              <w:jc w:val="left"/>
              <w:rPr>
                <w:rFonts w:ascii="Sylfaen" w:hAnsi="Sylfaen"/>
                <w:b w:val="0"/>
                <w:sz w:val="24"/>
                <w:szCs w:val="24"/>
              </w:rPr>
            </w:pPr>
            <w:r w:rsidRPr="00D55512">
              <w:rPr>
                <w:rFonts w:ascii="Sylfaen" w:hAnsi="Sylfaen"/>
                <w:b w:val="0"/>
                <w:sz w:val="24"/>
                <w:szCs w:val="24"/>
              </w:rPr>
              <w:t>Մեկնաբանություններ (լրացուցիչ տեղեկատվություն) ________________________________</w:t>
            </w:r>
          </w:p>
        </w:tc>
      </w:tr>
    </w:tbl>
    <w:tbl>
      <w:tblPr>
        <w:tblOverlap w:val="never"/>
        <w:tblW w:w="9715" w:type="dxa"/>
        <w:tblInd w:w="-116" w:type="dxa"/>
        <w:tblLayout w:type="fixed"/>
        <w:tblCellMar>
          <w:left w:w="10" w:type="dxa"/>
          <w:right w:w="10" w:type="dxa"/>
        </w:tblCellMar>
        <w:tblLook w:val="04A0" w:firstRow="1" w:lastRow="0" w:firstColumn="1" w:lastColumn="0" w:noHBand="0" w:noVBand="1"/>
      </w:tblPr>
      <w:tblGrid>
        <w:gridCol w:w="7909"/>
        <w:gridCol w:w="331"/>
        <w:gridCol w:w="1242"/>
        <w:gridCol w:w="142"/>
        <w:gridCol w:w="91"/>
      </w:tblGrid>
      <w:tr w:rsidR="004F5982" w:rsidRPr="00D55512" w14:paraId="593BCFD0" w14:textId="77777777" w:rsidTr="00487007">
        <w:tc>
          <w:tcPr>
            <w:tcW w:w="8240" w:type="dxa"/>
            <w:gridSpan w:val="2"/>
            <w:shd w:val="clear" w:color="auto" w:fill="FFFFFF"/>
          </w:tcPr>
          <w:p w14:paraId="2E0CFEEA"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1.2. Հարցաշարը</w:t>
            </w:r>
          </w:p>
        </w:tc>
        <w:tc>
          <w:tcPr>
            <w:tcW w:w="1475" w:type="dxa"/>
            <w:gridSpan w:val="3"/>
            <w:shd w:val="clear" w:color="auto" w:fill="FFFFFF"/>
          </w:tcPr>
          <w:p w14:paraId="439C2B74" w14:textId="77777777" w:rsidR="004F5982" w:rsidRPr="00D55512" w:rsidRDefault="004F5982" w:rsidP="00487007">
            <w:pPr>
              <w:spacing w:after="120" w:line="240" w:lineRule="auto"/>
              <w:rPr>
                <w:rFonts w:ascii="Sylfaen" w:hAnsi="Sylfaen"/>
                <w:sz w:val="24"/>
                <w:szCs w:val="24"/>
              </w:rPr>
            </w:pPr>
          </w:p>
        </w:tc>
      </w:tr>
      <w:tr w:rsidR="004F5982" w:rsidRPr="00D55512" w14:paraId="5CAB1251" w14:textId="77777777" w:rsidTr="00487007">
        <w:tc>
          <w:tcPr>
            <w:tcW w:w="8240" w:type="dxa"/>
            <w:gridSpan w:val="2"/>
            <w:shd w:val="clear" w:color="auto" w:fill="FFFFFF"/>
            <w:vAlign w:val="center"/>
          </w:tcPr>
          <w:p w14:paraId="66A0541F" w14:textId="77777777" w:rsidR="004F5982" w:rsidRPr="00D55512" w:rsidRDefault="004F5982" w:rsidP="00487007">
            <w:pPr>
              <w:spacing w:after="120" w:line="240" w:lineRule="auto"/>
              <w:ind w:right="132"/>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Արդյո՞ք հարցերի քանակը ___________ բավարար է:</w:t>
            </w:r>
          </w:p>
          <w:p w14:paraId="2FC8293E" w14:textId="77777777" w:rsidR="004F5982" w:rsidRPr="00D55512" w:rsidRDefault="004F5982" w:rsidP="00487007">
            <w:pPr>
              <w:spacing w:after="120" w:line="240" w:lineRule="auto"/>
              <w:ind w:right="132"/>
              <w:rPr>
                <w:rFonts w:ascii="Sylfaen" w:hAnsi="Sylfaen"/>
                <w:sz w:val="24"/>
                <w:szCs w:val="24"/>
              </w:rPr>
            </w:pPr>
            <w:r w:rsidRPr="00D55512">
              <w:rPr>
                <w:rStyle w:val="Bodytext295pt"/>
                <w:rFonts w:ascii="Sylfaen" w:eastAsiaTheme="minorHAnsi" w:hAnsi="Sylfaen"/>
                <w:b w:val="0"/>
                <w:spacing w:val="0"/>
                <w:sz w:val="24"/>
                <w:szCs w:val="24"/>
              </w:rPr>
              <w:t>Արդյո՞ք հարցերն ընդգրկում են ԲԿՀ-ի (ՆԹ-ի) կար</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որ ասպեկտները (անվտանգությունը)։</w:t>
            </w:r>
          </w:p>
        </w:tc>
        <w:tc>
          <w:tcPr>
            <w:tcW w:w="1475" w:type="dxa"/>
            <w:gridSpan w:val="3"/>
            <w:shd w:val="clear" w:color="auto" w:fill="FFFFFF"/>
          </w:tcPr>
          <w:p w14:paraId="2CE2EC4B"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p w14:paraId="188FB8A3"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tc>
      </w:tr>
      <w:tr w:rsidR="004F5982" w:rsidRPr="00D55512" w14:paraId="65A48467" w14:textId="77777777" w:rsidTr="00487007">
        <w:tc>
          <w:tcPr>
            <w:tcW w:w="9482" w:type="dxa"/>
            <w:gridSpan w:val="3"/>
            <w:shd w:val="clear" w:color="auto" w:fill="FFFFFF"/>
            <w:vAlign w:val="bottom"/>
          </w:tcPr>
          <w:p w14:paraId="29EA83BF"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___________________________</w:t>
            </w:r>
          </w:p>
        </w:tc>
        <w:tc>
          <w:tcPr>
            <w:tcW w:w="233" w:type="dxa"/>
            <w:gridSpan w:val="2"/>
            <w:shd w:val="clear" w:color="auto" w:fill="FFFFFF"/>
          </w:tcPr>
          <w:p w14:paraId="24CCF375" w14:textId="77777777" w:rsidR="004F5982" w:rsidRPr="00D55512" w:rsidRDefault="004F5982" w:rsidP="00487007">
            <w:pPr>
              <w:spacing w:after="120" w:line="240" w:lineRule="auto"/>
              <w:rPr>
                <w:rFonts w:ascii="Sylfaen" w:hAnsi="Sylfaen"/>
                <w:sz w:val="24"/>
                <w:szCs w:val="24"/>
              </w:rPr>
            </w:pPr>
          </w:p>
        </w:tc>
      </w:tr>
      <w:tr w:rsidR="004F5982" w:rsidRPr="00D55512" w14:paraId="5042D65B" w14:textId="77777777" w:rsidTr="00487007">
        <w:tc>
          <w:tcPr>
            <w:tcW w:w="8240" w:type="dxa"/>
            <w:gridSpan w:val="2"/>
            <w:shd w:val="clear" w:color="auto" w:fill="FFFFFF"/>
            <w:vAlign w:val="center"/>
          </w:tcPr>
          <w:p w14:paraId="73784665"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1.3. Ժամանակավոր ասպեկտները</w:t>
            </w:r>
          </w:p>
        </w:tc>
        <w:tc>
          <w:tcPr>
            <w:tcW w:w="1475" w:type="dxa"/>
            <w:gridSpan w:val="3"/>
            <w:shd w:val="clear" w:color="auto" w:fill="FFFFFF"/>
          </w:tcPr>
          <w:p w14:paraId="68318EDE" w14:textId="77777777" w:rsidR="004F5982" w:rsidRPr="00D55512" w:rsidRDefault="004F5982" w:rsidP="00487007">
            <w:pPr>
              <w:spacing w:after="120" w:line="240" w:lineRule="auto"/>
              <w:rPr>
                <w:rFonts w:ascii="Sylfaen" w:hAnsi="Sylfaen"/>
                <w:sz w:val="24"/>
                <w:szCs w:val="24"/>
              </w:rPr>
            </w:pPr>
          </w:p>
        </w:tc>
      </w:tr>
      <w:tr w:rsidR="004F5982" w:rsidRPr="00D55512" w14:paraId="37843689" w14:textId="77777777" w:rsidTr="00487007">
        <w:trPr>
          <w:trHeight w:val="870"/>
        </w:trPr>
        <w:tc>
          <w:tcPr>
            <w:tcW w:w="8240" w:type="dxa"/>
            <w:gridSpan w:val="2"/>
            <w:vMerge w:val="restart"/>
            <w:shd w:val="clear" w:color="auto" w:fill="FFFFFF"/>
            <w:vAlign w:val="center"/>
          </w:tcPr>
          <w:p w14:paraId="2F2636A1" w14:textId="77777777" w:rsidR="004F5982" w:rsidRPr="00D55512" w:rsidRDefault="004F5982" w:rsidP="00487007">
            <w:pPr>
              <w:spacing w:after="120" w:line="240" w:lineRule="auto"/>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Արդյո՞ք հարցերին պատասխանելու համար հատկացված ժամանակն ընդունելի է։</w:t>
            </w:r>
          </w:p>
          <w:p w14:paraId="680A8299"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Արդյո՞ք հարցազրույցի տ</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ողությունն ընդունելի է։</w:t>
            </w:r>
          </w:p>
        </w:tc>
        <w:tc>
          <w:tcPr>
            <w:tcW w:w="1475" w:type="dxa"/>
            <w:gridSpan w:val="3"/>
            <w:shd w:val="clear" w:color="auto" w:fill="FFFFFF"/>
          </w:tcPr>
          <w:p w14:paraId="764105B0"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tc>
      </w:tr>
      <w:tr w:rsidR="004F5982" w:rsidRPr="00D55512" w14:paraId="3E8F49CB" w14:textId="77777777" w:rsidTr="00487007">
        <w:trPr>
          <w:trHeight w:val="870"/>
        </w:trPr>
        <w:tc>
          <w:tcPr>
            <w:tcW w:w="8240" w:type="dxa"/>
            <w:gridSpan w:val="2"/>
            <w:vMerge/>
            <w:shd w:val="clear" w:color="auto" w:fill="FFFFFF"/>
            <w:vAlign w:val="center"/>
          </w:tcPr>
          <w:p w14:paraId="662CFA83" w14:textId="77777777" w:rsidR="004F5982" w:rsidRPr="00D55512" w:rsidRDefault="004F5982" w:rsidP="00487007">
            <w:pPr>
              <w:spacing w:after="120" w:line="240" w:lineRule="auto"/>
              <w:rPr>
                <w:rStyle w:val="Bodytext295pt"/>
                <w:rFonts w:ascii="Sylfaen" w:eastAsiaTheme="minorHAnsi" w:hAnsi="Sylfaen"/>
                <w:b w:val="0"/>
                <w:spacing w:val="0"/>
                <w:sz w:val="24"/>
                <w:szCs w:val="24"/>
              </w:rPr>
            </w:pPr>
          </w:p>
        </w:tc>
        <w:tc>
          <w:tcPr>
            <w:tcW w:w="1475" w:type="dxa"/>
            <w:gridSpan w:val="3"/>
            <w:shd w:val="clear" w:color="auto" w:fill="FFFFFF"/>
            <w:vAlign w:val="center"/>
          </w:tcPr>
          <w:p w14:paraId="66935E23"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tc>
      </w:tr>
      <w:tr w:rsidR="004F5982" w:rsidRPr="00D55512" w14:paraId="1D9962CA" w14:textId="77777777" w:rsidTr="00487007">
        <w:tc>
          <w:tcPr>
            <w:tcW w:w="9624" w:type="dxa"/>
            <w:gridSpan w:val="4"/>
            <w:shd w:val="clear" w:color="auto" w:fill="FFFFFF"/>
            <w:vAlign w:val="bottom"/>
          </w:tcPr>
          <w:p w14:paraId="1A0ECBDD"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__________________________</w:t>
            </w:r>
            <w:r>
              <w:rPr>
                <w:rStyle w:val="Bodytext295pt"/>
                <w:rFonts w:ascii="Sylfaen" w:eastAsiaTheme="minorHAnsi" w:hAnsi="Sylfaen"/>
                <w:b w:val="0"/>
                <w:spacing w:val="0"/>
                <w:sz w:val="24"/>
                <w:szCs w:val="24"/>
                <w:lang w:val="en-US"/>
              </w:rPr>
              <w:t>_</w:t>
            </w:r>
            <w:r w:rsidRPr="00D55512">
              <w:rPr>
                <w:rStyle w:val="Bodytext295pt"/>
                <w:rFonts w:ascii="Sylfaen" w:eastAsiaTheme="minorHAnsi" w:hAnsi="Sylfaen"/>
                <w:b w:val="0"/>
                <w:spacing w:val="0"/>
                <w:sz w:val="24"/>
                <w:szCs w:val="24"/>
              </w:rPr>
              <w:t>_</w:t>
            </w:r>
          </w:p>
        </w:tc>
        <w:tc>
          <w:tcPr>
            <w:tcW w:w="91" w:type="dxa"/>
            <w:shd w:val="clear" w:color="auto" w:fill="FFFFFF"/>
          </w:tcPr>
          <w:p w14:paraId="44AF8BF7" w14:textId="77777777" w:rsidR="004F5982" w:rsidRPr="00D55512" w:rsidRDefault="004F5982" w:rsidP="00487007">
            <w:pPr>
              <w:spacing w:after="120" w:line="240" w:lineRule="auto"/>
              <w:rPr>
                <w:rFonts w:ascii="Sylfaen" w:hAnsi="Sylfaen"/>
                <w:sz w:val="24"/>
                <w:szCs w:val="24"/>
              </w:rPr>
            </w:pPr>
          </w:p>
        </w:tc>
      </w:tr>
      <w:tr w:rsidR="004F5982" w:rsidRPr="00D55512" w14:paraId="70921B47" w14:textId="77777777" w:rsidTr="00487007">
        <w:tc>
          <w:tcPr>
            <w:tcW w:w="8240" w:type="dxa"/>
            <w:gridSpan w:val="2"/>
            <w:shd w:val="clear" w:color="auto" w:fill="FFFFFF"/>
            <w:vAlign w:val="center"/>
          </w:tcPr>
          <w:p w14:paraId="206FB3FB"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1.4. Ընթացակարգային ասպեկտները</w:t>
            </w:r>
          </w:p>
        </w:tc>
        <w:tc>
          <w:tcPr>
            <w:tcW w:w="1475" w:type="dxa"/>
            <w:gridSpan w:val="3"/>
            <w:shd w:val="clear" w:color="auto" w:fill="FFFFFF"/>
          </w:tcPr>
          <w:p w14:paraId="78585A6E" w14:textId="77777777" w:rsidR="004F5982" w:rsidRPr="00D55512" w:rsidRDefault="004F5982" w:rsidP="00487007">
            <w:pPr>
              <w:spacing w:after="120" w:line="240" w:lineRule="auto"/>
              <w:rPr>
                <w:rFonts w:ascii="Sylfaen" w:hAnsi="Sylfaen"/>
                <w:sz w:val="24"/>
                <w:szCs w:val="24"/>
              </w:rPr>
            </w:pPr>
          </w:p>
        </w:tc>
      </w:tr>
      <w:tr w:rsidR="004F5982" w:rsidRPr="00D55512" w14:paraId="5AB87159" w14:textId="77777777" w:rsidTr="00487007">
        <w:tc>
          <w:tcPr>
            <w:tcW w:w="9715" w:type="dxa"/>
            <w:gridSpan w:val="5"/>
            <w:shd w:val="clear" w:color="auto" w:fill="FFFFFF"/>
            <w:vAlign w:val="bottom"/>
          </w:tcPr>
          <w:p w14:paraId="302D7399"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Թեստավորման փուլերը, ներառյալ՝ փորձնական փուլը________________________</w:t>
            </w:r>
            <w:r w:rsidRPr="00B363F0">
              <w:rPr>
                <w:rStyle w:val="Bodytext295pt"/>
                <w:rFonts w:ascii="Sylfaen" w:eastAsiaTheme="minorHAnsi" w:hAnsi="Sylfaen"/>
                <w:b w:val="0"/>
                <w:spacing w:val="0"/>
                <w:sz w:val="24"/>
                <w:szCs w:val="24"/>
              </w:rPr>
              <w:t>_</w:t>
            </w:r>
            <w:r w:rsidRPr="00D55512">
              <w:rPr>
                <w:rStyle w:val="Bodytext295pt"/>
                <w:rFonts w:ascii="Sylfaen" w:eastAsiaTheme="minorHAnsi" w:hAnsi="Sylfaen"/>
                <w:b w:val="0"/>
                <w:spacing w:val="0"/>
                <w:sz w:val="24"/>
                <w:szCs w:val="24"/>
              </w:rPr>
              <w:t>__</w:t>
            </w:r>
          </w:p>
        </w:tc>
      </w:tr>
      <w:tr w:rsidR="004F5982" w:rsidRPr="00D55512" w14:paraId="0DBD9E19" w14:textId="77777777" w:rsidTr="00487007">
        <w:tc>
          <w:tcPr>
            <w:tcW w:w="9715" w:type="dxa"/>
            <w:gridSpan w:val="5"/>
            <w:shd w:val="clear" w:color="auto" w:fill="FFFFFF"/>
            <w:vAlign w:val="bottom"/>
          </w:tcPr>
          <w:p w14:paraId="70E14915"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__________________________</w:t>
            </w:r>
            <w:r w:rsidRPr="00D55512">
              <w:rPr>
                <w:rStyle w:val="Bodytext295pt"/>
                <w:rFonts w:ascii="Sylfaen" w:eastAsiaTheme="minorHAnsi" w:hAnsi="Sylfaen"/>
                <w:b w:val="0"/>
                <w:spacing w:val="0"/>
                <w:sz w:val="24"/>
                <w:szCs w:val="24"/>
                <w:lang w:val="en-US"/>
              </w:rPr>
              <w:t>_</w:t>
            </w:r>
            <w:r w:rsidRPr="00D55512">
              <w:rPr>
                <w:rStyle w:val="Bodytext295pt"/>
                <w:rFonts w:ascii="Sylfaen" w:eastAsiaTheme="minorHAnsi" w:hAnsi="Sylfaen"/>
                <w:b w:val="0"/>
                <w:spacing w:val="0"/>
                <w:sz w:val="24"/>
                <w:szCs w:val="24"/>
              </w:rPr>
              <w:t>_</w:t>
            </w:r>
          </w:p>
        </w:tc>
      </w:tr>
      <w:tr w:rsidR="004F5982" w:rsidRPr="00D55512" w14:paraId="4F80212E" w14:textId="77777777" w:rsidTr="00487007">
        <w:tc>
          <w:tcPr>
            <w:tcW w:w="8240" w:type="dxa"/>
            <w:gridSpan w:val="2"/>
            <w:shd w:val="clear" w:color="auto" w:fill="FFFFFF"/>
            <w:vAlign w:val="center"/>
          </w:tcPr>
          <w:p w14:paraId="3E66D51D"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1.5. Հարցազրույցի ասպեկտները</w:t>
            </w:r>
          </w:p>
        </w:tc>
        <w:tc>
          <w:tcPr>
            <w:tcW w:w="1475" w:type="dxa"/>
            <w:gridSpan w:val="3"/>
            <w:shd w:val="clear" w:color="auto" w:fill="FFFFFF"/>
          </w:tcPr>
          <w:p w14:paraId="0A0A7D93" w14:textId="77777777" w:rsidR="004F5982" w:rsidRPr="00D55512" w:rsidRDefault="004F5982" w:rsidP="00487007">
            <w:pPr>
              <w:spacing w:after="120" w:line="240" w:lineRule="auto"/>
              <w:rPr>
                <w:rFonts w:ascii="Sylfaen" w:hAnsi="Sylfaen"/>
                <w:sz w:val="24"/>
                <w:szCs w:val="24"/>
              </w:rPr>
            </w:pPr>
          </w:p>
        </w:tc>
      </w:tr>
      <w:tr w:rsidR="004F5982" w:rsidRPr="00D55512" w14:paraId="276D6FB3" w14:textId="77777777" w:rsidTr="00487007">
        <w:tc>
          <w:tcPr>
            <w:tcW w:w="8240" w:type="dxa"/>
            <w:gridSpan w:val="2"/>
            <w:shd w:val="clear" w:color="auto" w:fill="FFFFFF"/>
            <w:vAlign w:val="center"/>
          </w:tcPr>
          <w:p w14:paraId="0185C512"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Արդյո՞ք հարցազրույցն անց է կացվել կառուցվածքավորված (կազմակերպված) եղանակով:</w:t>
            </w:r>
          </w:p>
        </w:tc>
        <w:tc>
          <w:tcPr>
            <w:tcW w:w="1475" w:type="dxa"/>
            <w:gridSpan w:val="3"/>
            <w:shd w:val="clear" w:color="auto" w:fill="FFFFFF"/>
            <w:vAlign w:val="bottom"/>
          </w:tcPr>
          <w:p w14:paraId="03E5F179" w14:textId="77777777" w:rsidR="004F5982" w:rsidRPr="00D55512" w:rsidRDefault="004F5982" w:rsidP="00487007">
            <w:pPr>
              <w:spacing w:after="120" w:line="240" w:lineRule="auto"/>
              <w:ind w:left="-10"/>
              <w:rPr>
                <w:rFonts w:ascii="Sylfaen" w:hAnsi="Sylfaen"/>
                <w:sz w:val="24"/>
                <w:szCs w:val="24"/>
              </w:rPr>
            </w:pPr>
            <w:r w:rsidRPr="00D55512">
              <w:rPr>
                <w:rStyle w:val="Bodytext295pt"/>
                <w:rFonts w:ascii="Sylfaen" w:eastAsiaTheme="minorHAnsi" w:hAnsi="Sylfaen"/>
                <w:b w:val="0"/>
                <w:spacing w:val="0"/>
                <w:sz w:val="24"/>
                <w:szCs w:val="24"/>
              </w:rPr>
              <w:t>□ այո □ ոչ</w:t>
            </w:r>
          </w:p>
        </w:tc>
      </w:tr>
      <w:tr w:rsidR="004F5982" w:rsidRPr="00D55512" w14:paraId="689C0DD0" w14:textId="77777777" w:rsidTr="00487007">
        <w:tc>
          <w:tcPr>
            <w:tcW w:w="9715" w:type="dxa"/>
            <w:gridSpan w:val="5"/>
            <w:shd w:val="clear" w:color="auto" w:fill="FFFFFF"/>
            <w:vAlign w:val="bottom"/>
          </w:tcPr>
          <w:p w14:paraId="2C62E29B"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w:t>
            </w:r>
          </w:p>
        </w:tc>
      </w:tr>
      <w:tr w:rsidR="004F5982" w:rsidRPr="00D55512" w14:paraId="677A12C8" w14:textId="77777777" w:rsidTr="00487007">
        <w:tc>
          <w:tcPr>
            <w:tcW w:w="8240" w:type="dxa"/>
            <w:gridSpan w:val="2"/>
            <w:shd w:val="clear" w:color="auto" w:fill="FFFFFF"/>
            <w:vAlign w:val="center"/>
          </w:tcPr>
          <w:p w14:paraId="45CAE148"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2. Պատասխանների գնահատումը</w:t>
            </w:r>
          </w:p>
        </w:tc>
        <w:tc>
          <w:tcPr>
            <w:tcW w:w="1475" w:type="dxa"/>
            <w:gridSpan w:val="3"/>
            <w:shd w:val="clear" w:color="auto" w:fill="FFFFFF"/>
          </w:tcPr>
          <w:p w14:paraId="13315AEE" w14:textId="77777777" w:rsidR="004F5982" w:rsidRPr="00D55512" w:rsidRDefault="004F5982" w:rsidP="00487007">
            <w:pPr>
              <w:spacing w:after="120" w:line="240" w:lineRule="auto"/>
              <w:rPr>
                <w:rFonts w:ascii="Sylfaen" w:hAnsi="Sylfaen"/>
                <w:sz w:val="24"/>
                <w:szCs w:val="24"/>
              </w:rPr>
            </w:pPr>
          </w:p>
        </w:tc>
      </w:tr>
      <w:tr w:rsidR="004F5982" w:rsidRPr="00D55512" w14:paraId="1826F2FF" w14:textId="77777777" w:rsidTr="00487007">
        <w:tc>
          <w:tcPr>
            <w:tcW w:w="8240" w:type="dxa"/>
            <w:gridSpan w:val="2"/>
            <w:shd w:val="clear" w:color="auto" w:fill="FFFFFF"/>
            <w:vAlign w:val="center"/>
          </w:tcPr>
          <w:p w14:paraId="512F76F2"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2.1. Գնահատման համակարգը</w:t>
            </w:r>
          </w:p>
        </w:tc>
        <w:tc>
          <w:tcPr>
            <w:tcW w:w="1475" w:type="dxa"/>
            <w:gridSpan w:val="3"/>
            <w:shd w:val="clear" w:color="auto" w:fill="FFFFFF"/>
          </w:tcPr>
          <w:p w14:paraId="24F2F829" w14:textId="77777777" w:rsidR="004F5982" w:rsidRPr="00D55512" w:rsidRDefault="004F5982" w:rsidP="00487007">
            <w:pPr>
              <w:spacing w:after="120" w:line="240" w:lineRule="auto"/>
              <w:rPr>
                <w:rFonts w:ascii="Sylfaen" w:hAnsi="Sylfaen"/>
                <w:sz w:val="24"/>
                <w:szCs w:val="24"/>
              </w:rPr>
            </w:pPr>
          </w:p>
        </w:tc>
      </w:tr>
      <w:tr w:rsidR="004F5982" w:rsidRPr="00D55512" w14:paraId="0E32372D" w14:textId="77777777" w:rsidTr="00487007">
        <w:trPr>
          <w:trHeight w:val="612"/>
        </w:trPr>
        <w:tc>
          <w:tcPr>
            <w:tcW w:w="8240" w:type="dxa"/>
            <w:gridSpan w:val="2"/>
            <w:vMerge w:val="restart"/>
            <w:shd w:val="clear" w:color="auto" w:fill="FFFFFF"/>
            <w:vAlign w:val="center"/>
          </w:tcPr>
          <w:p w14:paraId="2944D9A9"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Արդյո՞ք պատասխանների որակական գնահատումն ընդունելի է։</w:t>
            </w:r>
          </w:p>
          <w:p w14:paraId="515EE4A3"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Արդյո՞ք գնահատման մեթոդաբանությունը համապատասխանում է նվազագույն պահանջներին։</w:t>
            </w:r>
          </w:p>
        </w:tc>
        <w:tc>
          <w:tcPr>
            <w:tcW w:w="1475" w:type="dxa"/>
            <w:gridSpan w:val="3"/>
            <w:shd w:val="clear" w:color="auto" w:fill="FFFFFF"/>
          </w:tcPr>
          <w:p w14:paraId="40761C8D"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tc>
      </w:tr>
      <w:tr w:rsidR="004F5982" w:rsidRPr="00D55512" w14:paraId="02F3DA83" w14:textId="77777777" w:rsidTr="00487007">
        <w:trPr>
          <w:trHeight w:val="870"/>
        </w:trPr>
        <w:tc>
          <w:tcPr>
            <w:tcW w:w="8240" w:type="dxa"/>
            <w:gridSpan w:val="2"/>
            <w:vMerge/>
            <w:shd w:val="clear" w:color="auto" w:fill="FFFFFF"/>
            <w:vAlign w:val="center"/>
          </w:tcPr>
          <w:p w14:paraId="377B66AE" w14:textId="77777777" w:rsidR="004F5982" w:rsidRPr="00D55512" w:rsidRDefault="004F5982" w:rsidP="00487007">
            <w:pPr>
              <w:spacing w:after="120" w:line="240" w:lineRule="auto"/>
              <w:rPr>
                <w:rStyle w:val="Bodytext295pt"/>
                <w:rFonts w:ascii="Sylfaen" w:eastAsiaTheme="minorHAnsi" w:hAnsi="Sylfaen"/>
                <w:b w:val="0"/>
                <w:spacing w:val="0"/>
                <w:sz w:val="24"/>
                <w:szCs w:val="24"/>
              </w:rPr>
            </w:pPr>
          </w:p>
        </w:tc>
        <w:tc>
          <w:tcPr>
            <w:tcW w:w="1475" w:type="dxa"/>
            <w:gridSpan w:val="3"/>
            <w:shd w:val="clear" w:color="auto" w:fill="FFFFFF"/>
          </w:tcPr>
          <w:p w14:paraId="141EF6EF" w14:textId="77777777" w:rsidR="004F5982" w:rsidRPr="00D55512" w:rsidRDefault="004F5982" w:rsidP="00487007">
            <w:pPr>
              <w:spacing w:after="120" w:line="240" w:lineRule="auto"/>
              <w:rPr>
                <w:rFonts w:ascii="Sylfaen" w:hAnsi="Sylfaen"/>
                <w:sz w:val="24"/>
                <w:szCs w:val="24"/>
              </w:rPr>
            </w:pPr>
            <w:r w:rsidRPr="00D55512">
              <w:rPr>
                <w:rFonts w:ascii="Sylfaen" w:hAnsi="Sylfaen"/>
                <w:sz w:val="24"/>
                <w:szCs w:val="24"/>
              </w:rPr>
              <w:t>□ այո □ ոչ</w:t>
            </w:r>
          </w:p>
        </w:tc>
      </w:tr>
      <w:tr w:rsidR="004F5982" w:rsidRPr="00D55512" w14:paraId="413C0FB4" w14:textId="77777777" w:rsidTr="00487007">
        <w:tc>
          <w:tcPr>
            <w:tcW w:w="9715" w:type="dxa"/>
            <w:gridSpan w:val="5"/>
            <w:shd w:val="clear" w:color="auto" w:fill="FFFFFF"/>
            <w:vAlign w:val="bottom"/>
          </w:tcPr>
          <w:p w14:paraId="60128318"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w:t>
            </w:r>
            <w:r>
              <w:rPr>
                <w:rStyle w:val="Bodytext295pt"/>
                <w:rFonts w:ascii="Sylfaen" w:eastAsiaTheme="minorHAnsi" w:hAnsi="Sylfaen"/>
                <w:b w:val="0"/>
                <w:spacing w:val="0"/>
                <w:sz w:val="24"/>
                <w:szCs w:val="24"/>
              </w:rPr>
              <w:t>———————————————</w:t>
            </w:r>
          </w:p>
        </w:tc>
      </w:tr>
      <w:tr w:rsidR="004F5982" w:rsidRPr="00D55512" w14:paraId="6590D074" w14:textId="77777777" w:rsidTr="00487007">
        <w:tc>
          <w:tcPr>
            <w:tcW w:w="8240" w:type="dxa"/>
            <w:gridSpan w:val="2"/>
            <w:shd w:val="clear" w:color="auto" w:fill="FFFFFF"/>
          </w:tcPr>
          <w:p w14:paraId="38335105"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2.2. Հարցերի վարկանշային համակարգը</w:t>
            </w:r>
          </w:p>
        </w:tc>
        <w:tc>
          <w:tcPr>
            <w:tcW w:w="1475" w:type="dxa"/>
            <w:gridSpan w:val="3"/>
            <w:shd w:val="clear" w:color="auto" w:fill="FFFFFF"/>
          </w:tcPr>
          <w:p w14:paraId="23B8047C" w14:textId="77777777" w:rsidR="004F5982" w:rsidRPr="00D55512" w:rsidRDefault="004F5982" w:rsidP="00487007">
            <w:pPr>
              <w:spacing w:after="120" w:line="240" w:lineRule="auto"/>
              <w:rPr>
                <w:rFonts w:ascii="Sylfaen" w:hAnsi="Sylfaen"/>
                <w:sz w:val="24"/>
                <w:szCs w:val="24"/>
              </w:rPr>
            </w:pPr>
          </w:p>
        </w:tc>
      </w:tr>
      <w:tr w:rsidR="004F5982" w:rsidRPr="00D55512" w14:paraId="7D06F03A" w14:textId="77777777" w:rsidTr="00487007">
        <w:tc>
          <w:tcPr>
            <w:tcW w:w="8240" w:type="dxa"/>
            <w:gridSpan w:val="2"/>
            <w:shd w:val="clear" w:color="auto" w:fill="FFFFFF"/>
            <w:vAlign w:val="center"/>
          </w:tcPr>
          <w:p w14:paraId="7F99CFF3"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Արդյո՞ք պատասխանների քանակական գնահատումն ընդունելի է:</w:t>
            </w:r>
          </w:p>
        </w:tc>
        <w:tc>
          <w:tcPr>
            <w:tcW w:w="1475" w:type="dxa"/>
            <w:gridSpan w:val="3"/>
            <w:shd w:val="clear" w:color="auto" w:fill="FFFFFF"/>
            <w:vAlign w:val="center"/>
          </w:tcPr>
          <w:p w14:paraId="4ACB8700"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 այո □ ոչ</w:t>
            </w:r>
          </w:p>
        </w:tc>
      </w:tr>
      <w:tr w:rsidR="004F5982" w:rsidRPr="00D55512" w14:paraId="0068D438" w14:textId="77777777" w:rsidTr="00487007">
        <w:tc>
          <w:tcPr>
            <w:tcW w:w="9715" w:type="dxa"/>
            <w:gridSpan w:val="5"/>
            <w:shd w:val="clear" w:color="auto" w:fill="FFFFFF"/>
            <w:vAlign w:val="bottom"/>
          </w:tcPr>
          <w:p w14:paraId="0E3ACA20" w14:textId="77777777" w:rsidR="004F5982" w:rsidRPr="00D55512" w:rsidRDefault="004F5982" w:rsidP="00487007">
            <w:pPr>
              <w:spacing w:after="120" w:line="240"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w:t>
            </w:r>
            <w:r>
              <w:rPr>
                <w:rStyle w:val="Bodytext295pt"/>
                <w:rFonts w:ascii="Sylfaen" w:eastAsiaTheme="minorHAnsi" w:hAnsi="Sylfaen"/>
                <w:b w:val="0"/>
                <w:spacing w:val="0"/>
                <w:sz w:val="24"/>
                <w:szCs w:val="24"/>
                <w:lang w:val="en-US"/>
              </w:rPr>
              <w:t>__</w:t>
            </w:r>
            <w:r w:rsidRPr="00D55512">
              <w:rPr>
                <w:rStyle w:val="Bodytext295pt"/>
                <w:rFonts w:ascii="Sylfaen" w:eastAsiaTheme="minorHAnsi" w:hAnsi="Sylfaen"/>
                <w:b w:val="0"/>
                <w:spacing w:val="0"/>
                <w:sz w:val="24"/>
                <w:szCs w:val="24"/>
              </w:rPr>
              <w:t>_______</w:t>
            </w:r>
          </w:p>
        </w:tc>
      </w:tr>
      <w:tr w:rsidR="004F5982" w:rsidRPr="00D55512" w14:paraId="513E1C9E" w14:textId="77777777" w:rsidTr="00487007">
        <w:tc>
          <w:tcPr>
            <w:tcW w:w="8240" w:type="dxa"/>
            <w:gridSpan w:val="2"/>
            <w:shd w:val="clear" w:color="auto" w:fill="FFFFFF"/>
            <w:vAlign w:val="center"/>
          </w:tcPr>
          <w:p w14:paraId="50A20A5C" w14:textId="77777777" w:rsidR="004F5982" w:rsidRPr="00D55512" w:rsidRDefault="004F5982" w:rsidP="00487007">
            <w:pPr>
              <w:spacing w:after="120" w:line="240"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3. Տվյալների մշակումը</w:t>
            </w:r>
          </w:p>
        </w:tc>
        <w:tc>
          <w:tcPr>
            <w:tcW w:w="1475" w:type="dxa"/>
            <w:gridSpan w:val="3"/>
            <w:shd w:val="clear" w:color="auto" w:fill="FFFFFF"/>
          </w:tcPr>
          <w:p w14:paraId="73745718" w14:textId="77777777" w:rsidR="004F5982" w:rsidRPr="00D55512" w:rsidRDefault="004F5982" w:rsidP="00487007">
            <w:pPr>
              <w:spacing w:after="120" w:line="240" w:lineRule="auto"/>
              <w:rPr>
                <w:rFonts w:ascii="Sylfaen" w:hAnsi="Sylfaen"/>
                <w:sz w:val="24"/>
                <w:szCs w:val="24"/>
              </w:rPr>
            </w:pPr>
          </w:p>
        </w:tc>
      </w:tr>
      <w:tr w:rsidR="004F5982" w:rsidRPr="00D55512" w14:paraId="5EC33026" w14:textId="77777777" w:rsidTr="00487007">
        <w:tc>
          <w:tcPr>
            <w:tcW w:w="8240" w:type="dxa"/>
            <w:gridSpan w:val="2"/>
            <w:shd w:val="clear" w:color="auto" w:fill="FFFFFF"/>
            <w:vAlign w:val="center"/>
          </w:tcPr>
          <w:p w14:paraId="56DCBEA0" w14:textId="77777777" w:rsidR="004F5982" w:rsidRPr="00D55512" w:rsidRDefault="004F5982" w:rsidP="00487007">
            <w:pPr>
              <w:spacing w:after="120" w:line="288" w:lineRule="auto"/>
              <w:ind w:right="591"/>
              <w:rPr>
                <w:rFonts w:ascii="Sylfaen" w:hAnsi="Sylfaen"/>
                <w:sz w:val="24"/>
                <w:szCs w:val="24"/>
              </w:rPr>
            </w:pPr>
            <w:r w:rsidRPr="00D55512">
              <w:rPr>
                <w:rStyle w:val="Bodytext295pt"/>
                <w:rFonts w:ascii="Sylfaen" w:eastAsiaTheme="minorHAnsi" w:hAnsi="Sylfaen"/>
                <w:b w:val="0"/>
                <w:spacing w:val="0"/>
                <w:sz w:val="24"/>
                <w:szCs w:val="24"/>
              </w:rPr>
              <w:lastRenderedPageBreak/>
              <w:t>Արդյո՞ք տվյալները պատշաճ ձ</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ով գրանցվում </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 փաստաթղթավորվում են:</w:t>
            </w:r>
          </w:p>
        </w:tc>
        <w:tc>
          <w:tcPr>
            <w:tcW w:w="1475" w:type="dxa"/>
            <w:gridSpan w:val="3"/>
            <w:shd w:val="clear" w:color="auto" w:fill="FFFFFF"/>
            <w:vAlign w:val="center"/>
          </w:tcPr>
          <w:p w14:paraId="6D89E92C"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 այո □ ոչ</w:t>
            </w:r>
          </w:p>
        </w:tc>
      </w:tr>
      <w:tr w:rsidR="004F5982" w:rsidRPr="00D55512" w14:paraId="0442EE76" w14:textId="77777777" w:rsidTr="00487007">
        <w:tc>
          <w:tcPr>
            <w:tcW w:w="9715" w:type="dxa"/>
            <w:gridSpan w:val="5"/>
            <w:shd w:val="clear" w:color="auto" w:fill="FFFFFF"/>
            <w:vAlign w:val="bottom"/>
          </w:tcPr>
          <w:p w14:paraId="011B02B1"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տեղեկատվություն)______________________</w:t>
            </w:r>
            <w:r>
              <w:rPr>
                <w:rStyle w:val="Bodytext295pt"/>
                <w:rFonts w:ascii="Sylfaen" w:eastAsiaTheme="minorHAnsi" w:hAnsi="Sylfaen"/>
                <w:b w:val="0"/>
                <w:spacing w:val="0"/>
                <w:sz w:val="24"/>
                <w:szCs w:val="24"/>
                <w:lang w:val="en-US"/>
              </w:rPr>
              <w:t>___</w:t>
            </w:r>
            <w:r w:rsidRPr="00D55512">
              <w:rPr>
                <w:rStyle w:val="Bodytext295pt"/>
                <w:rFonts w:ascii="Sylfaen" w:eastAsiaTheme="minorHAnsi" w:hAnsi="Sylfaen"/>
                <w:b w:val="0"/>
                <w:spacing w:val="0"/>
                <w:sz w:val="24"/>
                <w:szCs w:val="24"/>
              </w:rPr>
              <w:t>_____</w:t>
            </w:r>
          </w:p>
        </w:tc>
      </w:tr>
      <w:tr w:rsidR="004F5982" w:rsidRPr="00D55512" w14:paraId="12834641" w14:textId="77777777" w:rsidTr="00487007">
        <w:tc>
          <w:tcPr>
            <w:tcW w:w="8240" w:type="dxa"/>
            <w:gridSpan w:val="2"/>
            <w:shd w:val="clear" w:color="auto" w:fill="FFFFFF"/>
            <w:vAlign w:val="center"/>
          </w:tcPr>
          <w:p w14:paraId="16C2D427" w14:textId="77777777" w:rsidR="004F5982" w:rsidRPr="00D55512" w:rsidRDefault="004F5982" w:rsidP="00487007">
            <w:pPr>
              <w:spacing w:after="120" w:line="288"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4. Որակի ասպեկտները</w:t>
            </w:r>
          </w:p>
        </w:tc>
        <w:tc>
          <w:tcPr>
            <w:tcW w:w="1475" w:type="dxa"/>
            <w:gridSpan w:val="3"/>
            <w:shd w:val="clear" w:color="auto" w:fill="FFFFFF"/>
          </w:tcPr>
          <w:p w14:paraId="4B518C61" w14:textId="77777777" w:rsidR="004F5982" w:rsidRPr="00D55512" w:rsidRDefault="004F5982" w:rsidP="00487007">
            <w:pPr>
              <w:spacing w:after="120" w:line="288" w:lineRule="auto"/>
              <w:rPr>
                <w:rFonts w:ascii="Sylfaen" w:hAnsi="Sylfaen"/>
                <w:sz w:val="24"/>
                <w:szCs w:val="24"/>
              </w:rPr>
            </w:pPr>
          </w:p>
        </w:tc>
      </w:tr>
      <w:tr w:rsidR="004F5982" w:rsidRPr="00D55512" w14:paraId="60DDB0E0" w14:textId="77777777" w:rsidTr="00487007">
        <w:tc>
          <w:tcPr>
            <w:tcW w:w="8240" w:type="dxa"/>
            <w:gridSpan w:val="2"/>
            <w:shd w:val="clear" w:color="auto" w:fill="FFFFFF"/>
            <w:vAlign w:val="center"/>
          </w:tcPr>
          <w:p w14:paraId="512AEF93" w14:textId="77777777" w:rsidR="004F5982" w:rsidRPr="00D55512" w:rsidRDefault="004F5982" w:rsidP="00487007">
            <w:pPr>
              <w:spacing w:after="120" w:line="288"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4.1. Ախտորոշման հարցերի գնահատումը</w:t>
            </w:r>
          </w:p>
        </w:tc>
        <w:tc>
          <w:tcPr>
            <w:tcW w:w="1475" w:type="dxa"/>
            <w:gridSpan w:val="3"/>
            <w:shd w:val="clear" w:color="auto" w:fill="FFFFFF"/>
          </w:tcPr>
          <w:p w14:paraId="7735AA93" w14:textId="77777777" w:rsidR="004F5982" w:rsidRPr="00D55512" w:rsidRDefault="004F5982" w:rsidP="00487007">
            <w:pPr>
              <w:spacing w:after="120" w:line="288" w:lineRule="auto"/>
              <w:rPr>
                <w:rFonts w:ascii="Sylfaen" w:hAnsi="Sylfaen"/>
                <w:sz w:val="24"/>
                <w:szCs w:val="24"/>
              </w:rPr>
            </w:pPr>
          </w:p>
        </w:tc>
      </w:tr>
      <w:tr w:rsidR="004F5982" w:rsidRPr="00D55512" w14:paraId="1A0A73AC" w14:textId="77777777" w:rsidTr="00487007">
        <w:tc>
          <w:tcPr>
            <w:tcW w:w="8240" w:type="dxa"/>
            <w:gridSpan w:val="2"/>
            <w:shd w:val="clear" w:color="auto" w:fill="FFFFFF"/>
            <w:vAlign w:val="center"/>
          </w:tcPr>
          <w:p w14:paraId="33D77BBC"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 xml:space="preserve">Արդյո՞ք մեթոդաբանությունը համապատասխանում է Եվրասիական տնտեսական հանձնաժողովի կողմից հաստատվող Բժշկական կիրառման դեղապատրաստուկի ընդհանուր բնութագրին </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 բժշկական կիրառման հրահանգի (ներդիր թերթիկի) հավելվածին:</w:t>
            </w:r>
          </w:p>
          <w:p w14:paraId="6CB2A686"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Ընդհանուր առմամբ, արդյո՞ք յուրաքանչյուր հարց համապատասխանում է ճիշտ պատասխանների 81% չափորոշչին:</w:t>
            </w:r>
            <w:r w:rsidRPr="00D55512">
              <w:rPr>
                <w:rFonts w:ascii="Sylfaen" w:hAnsi="Sylfaen"/>
                <w:sz w:val="24"/>
                <w:szCs w:val="24"/>
              </w:rPr>
              <w:t xml:space="preserve"> </w:t>
            </w:r>
          </w:p>
        </w:tc>
        <w:tc>
          <w:tcPr>
            <w:tcW w:w="1475" w:type="dxa"/>
            <w:gridSpan w:val="3"/>
            <w:shd w:val="clear" w:color="auto" w:fill="FFFFFF"/>
            <w:vAlign w:val="bottom"/>
          </w:tcPr>
          <w:p w14:paraId="1CAB4A9C" w14:textId="77777777" w:rsidR="004F5982" w:rsidRPr="00D55512" w:rsidRDefault="004F5982" w:rsidP="00487007">
            <w:pPr>
              <w:spacing w:after="120" w:line="288" w:lineRule="auto"/>
              <w:ind w:left="-327"/>
              <w:jc w:val="center"/>
              <w:rPr>
                <w:rFonts w:ascii="Sylfaen" w:hAnsi="Sylfaen"/>
                <w:sz w:val="24"/>
                <w:szCs w:val="24"/>
              </w:rPr>
            </w:pPr>
            <w:r w:rsidRPr="00D55512">
              <w:rPr>
                <w:rFonts w:ascii="Sylfaen" w:hAnsi="Sylfaen"/>
                <w:sz w:val="24"/>
                <w:szCs w:val="24"/>
              </w:rPr>
              <w:t>□ այո □ ոչ</w:t>
            </w:r>
          </w:p>
          <w:p w14:paraId="7259F3BF" w14:textId="77777777" w:rsidR="004F5982" w:rsidRDefault="004F5982" w:rsidP="00487007">
            <w:pPr>
              <w:spacing w:after="120" w:line="288" w:lineRule="auto"/>
              <w:ind w:left="-327"/>
              <w:jc w:val="center"/>
              <w:rPr>
                <w:rFonts w:ascii="Sylfaen" w:hAnsi="Sylfaen"/>
                <w:sz w:val="24"/>
                <w:szCs w:val="24"/>
                <w:lang w:val="en-US"/>
              </w:rPr>
            </w:pPr>
          </w:p>
          <w:p w14:paraId="7FE8E59D" w14:textId="77777777" w:rsidR="004F5982" w:rsidRDefault="004F5982" w:rsidP="00487007">
            <w:pPr>
              <w:spacing w:after="120" w:line="288" w:lineRule="auto"/>
              <w:ind w:left="-327"/>
              <w:jc w:val="center"/>
              <w:rPr>
                <w:rFonts w:ascii="Sylfaen" w:hAnsi="Sylfaen"/>
                <w:sz w:val="24"/>
                <w:szCs w:val="24"/>
                <w:lang w:val="en-US"/>
              </w:rPr>
            </w:pPr>
          </w:p>
          <w:p w14:paraId="24BDA25C" w14:textId="77777777" w:rsidR="004F5982" w:rsidRPr="00B363F0" w:rsidRDefault="004F5982" w:rsidP="00487007">
            <w:pPr>
              <w:spacing w:after="120" w:line="288" w:lineRule="auto"/>
              <w:ind w:left="-327"/>
              <w:jc w:val="center"/>
              <w:rPr>
                <w:rFonts w:ascii="Sylfaen" w:hAnsi="Sylfaen"/>
                <w:sz w:val="24"/>
                <w:szCs w:val="24"/>
                <w:lang w:val="en-US"/>
              </w:rPr>
            </w:pPr>
            <w:r w:rsidRPr="00B363F0">
              <w:rPr>
                <w:rFonts w:ascii="Sylfaen" w:hAnsi="Sylfaen"/>
                <w:sz w:val="24"/>
                <w:szCs w:val="24"/>
              </w:rPr>
              <w:t>□ այո □ ոչ</w:t>
            </w:r>
          </w:p>
        </w:tc>
      </w:tr>
      <w:tr w:rsidR="004F5982" w:rsidRPr="00D55512" w14:paraId="27536B7A" w14:textId="77777777" w:rsidTr="00487007">
        <w:tc>
          <w:tcPr>
            <w:tcW w:w="9715" w:type="dxa"/>
            <w:gridSpan w:val="5"/>
            <w:shd w:val="clear" w:color="auto" w:fill="FFFFFF"/>
            <w:vAlign w:val="bottom"/>
          </w:tcPr>
          <w:p w14:paraId="1E045591"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տեղեկատվություն)____________________________</w:t>
            </w:r>
          </w:p>
        </w:tc>
      </w:tr>
      <w:tr w:rsidR="004F5982" w:rsidRPr="00D55512" w14:paraId="5CBED82A" w14:textId="77777777" w:rsidTr="00487007">
        <w:tc>
          <w:tcPr>
            <w:tcW w:w="9715" w:type="dxa"/>
            <w:gridSpan w:val="5"/>
            <w:shd w:val="clear" w:color="auto" w:fill="FFFFFF"/>
            <w:vAlign w:val="center"/>
          </w:tcPr>
          <w:p w14:paraId="464EEBF4" w14:textId="77777777" w:rsidR="004F5982" w:rsidRPr="00D55512" w:rsidRDefault="004F5982" w:rsidP="00487007">
            <w:pPr>
              <w:spacing w:after="120" w:line="288" w:lineRule="auto"/>
              <w:ind w:left="542" w:right="676"/>
              <w:jc w:val="center"/>
              <w:rPr>
                <w:rFonts w:ascii="Sylfaen" w:hAnsi="Sylfaen"/>
                <w:sz w:val="24"/>
                <w:szCs w:val="24"/>
              </w:rPr>
            </w:pPr>
            <w:r w:rsidRPr="00D55512">
              <w:rPr>
                <w:rStyle w:val="Bodytext295pt"/>
                <w:rFonts w:ascii="Sylfaen" w:eastAsiaTheme="minorHAnsi" w:hAnsi="Sylfaen"/>
                <w:b w:val="0"/>
                <w:spacing w:val="0"/>
                <w:sz w:val="24"/>
                <w:szCs w:val="24"/>
              </w:rPr>
              <w:t xml:space="preserve">4.2. Մանրակերտի </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 բովանդակային պլանի գնահատումը</w:t>
            </w:r>
          </w:p>
        </w:tc>
      </w:tr>
      <w:tr w:rsidR="004F5982" w:rsidRPr="00D55512" w14:paraId="48FFB4CE" w14:textId="77777777" w:rsidTr="00487007">
        <w:tc>
          <w:tcPr>
            <w:tcW w:w="8240" w:type="dxa"/>
            <w:gridSpan w:val="2"/>
            <w:shd w:val="clear" w:color="auto" w:fill="FFFFFF"/>
            <w:vAlign w:val="center"/>
          </w:tcPr>
          <w:p w14:paraId="2077AC03"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 xml:space="preserve">Արդյո՞ք պահպանվել են Եվրասիական տնտեսական հանձնաժողովի կողմից հաստատվող բժշկական կիրառման դեղապատրաստուկի ընդհանուր բնութագրին </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 xml:space="preserve"> բժշկական կիրառման հրահանգի (ներդիր</w:t>
            </w:r>
            <w:r w:rsidRPr="00B363F0">
              <w:rPr>
                <w:rStyle w:val="Bodytext295pt"/>
                <w:rFonts w:ascii="Sylfaen" w:eastAsiaTheme="minorHAnsi" w:hAnsi="Sylfaen"/>
                <w:b w:val="0"/>
                <w:spacing w:val="0"/>
                <w:sz w:val="24"/>
                <w:szCs w:val="24"/>
              </w:rPr>
              <w:t> </w:t>
            </w:r>
            <w:r w:rsidRPr="00D55512">
              <w:rPr>
                <w:rStyle w:val="Bodytext295pt"/>
                <w:rFonts w:ascii="Sylfaen" w:eastAsiaTheme="minorHAnsi" w:hAnsi="Sylfaen"/>
                <w:b w:val="0"/>
                <w:spacing w:val="0"/>
                <w:sz w:val="24"/>
                <w:szCs w:val="24"/>
              </w:rPr>
              <w:t>թերթիկին) հավելվածի համաձայն ներկայացված բովանդակային պլանի ընդհանուր սկզբունքները:</w:t>
            </w:r>
          </w:p>
          <w:p w14:paraId="2A0EA005"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տեքստը շարադրված է պացիենտներին հասկանալի լեզվով։</w:t>
            </w:r>
          </w:p>
          <w:p w14:paraId="0E1DAAC0"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հեշտ է կողմնորոշվել մանրակերտի միջոցով։</w:t>
            </w:r>
          </w:p>
          <w:p w14:paraId="232C2D71"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ընդունելի է սխեմաների կիրառումը։</w:t>
            </w:r>
          </w:p>
        </w:tc>
        <w:tc>
          <w:tcPr>
            <w:tcW w:w="1475" w:type="dxa"/>
            <w:gridSpan w:val="3"/>
            <w:shd w:val="clear" w:color="auto" w:fill="FFFFFF"/>
            <w:vAlign w:val="bottom"/>
          </w:tcPr>
          <w:p w14:paraId="70D80989"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p w14:paraId="2AF2C388"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p w14:paraId="3E440E80"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p w14:paraId="53ED1306"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tc>
      </w:tr>
      <w:tr w:rsidR="004F5982" w:rsidRPr="00D55512" w14:paraId="5D347CAE" w14:textId="77777777" w:rsidTr="00487007">
        <w:tc>
          <w:tcPr>
            <w:tcW w:w="9715" w:type="dxa"/>
            <w:gridSpan w:val="5"/>
            <w:shd w:val="clear" w:color="auto" w:fill="FFFFFF"/>
            <w:vAlign w:val="bottom"/>
          </w:tcPr>
          <w:p w14:paraId="14C824B2"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______________________________</w:t>
            </w:r>
          </w:p>
        </w:tc>
      </w:tr>
      <w:tr w:rsidR="004F5982" w:rsidRPr="00D55512" w14:paraId="0497576C" w14:textId="77777777" w:rsidTr="00487007">
        <w:tc>
          <w:tcPr>
            <w:tcW w:w="8240" w:type="dxa"/>
            <w:gridSpan w:val="2"/>
            <w:shd w:val="clear" w:color="auto" w:fill="FFFFFF"/>
          </w:tcPr>
          <w:p w14:paraId="41A00C02" w14:textId="77777777" w:rsidR="004F5982" w:rsidRPr="00D55512" w:rsidRDefault="004F5982" w:rsidP="00487007">
            <w:pPr>
              <w:spacing w:after="120" w:line="288"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5. Ախտորոշման/գնահատման որակը</w:t>
            </w:r>
          </w:p>
        </w:tc>
        <w:tc>
          <w:tcPr>
            <w:tcW w:w="1475" w:type="dxa"/>
            <w:gridSpan w:val="3"/>
            <w:shd w:val="clear" w:color="auto" w:fill="FFFFFF"/>
          </w:tcPr>
          <w:p w14:paraId="33F978AD" w14:textId="77777777" w:rsidR="004F5982" w:rsidRPr="00D55512" w:rsidRDefault="004F5982" w:rsidP="00487007">
            <w:pPr>
              <w:spacing w:after="120" w:line="288" w:lineRule="auto"/>
              <w:rPr>
                <w:rFonts w:ascii="Sylfaen" w:hAnsi="Sylfaen"/>
                <w:sz w:val="24"/>
                <w:szCs w:val="24"/>
              </w:rPr>
            </w:pPr>
          </w:p>
        </w:tc>
      </w:tr>
      <w:tr w:rsidR="004F5982" w:rsidRPr="00D55512" w14:paraId="63EB63E3" w14:textId="77777777" w:rsidTr="00487007">
        <w:tc>
          <w:tcPr>
            <w:tcW w:w="8240" w:type="dxa"/>
            <w:gridSpan w:val="2"/>
            <w:shd w:val="clear" w:color="auto" w:fill="FFFFFF"/>
            <w:vAlign w:val="center"/>
          </w:tcPr>
          <w:p w14:paraId="3D018428" w14:textId="77777777" w:rsidR="004F5982" w:rsidRPr="00D55512" w:rsidRDefault="004F5982" w:rsidP="00487007">
            <w:pPr>
              <w:spacing w:after="120" w:line="288" w:lineRule="auto"/>
              <w:rPr>
                <w:rStyle w:val="Bodytext295pt"/>
                <w:rFonts w:ascii="Sylfaen" w:eastAsiaTheme="minorHAnsi" w:hAnsi="Sylfaen"/>
                <w:b w:val="0"/>
                <w:spacing w:val="0"/>
                <w:sz w:val="24"/>
                <w:szCs w:val="24"/>
              </w:rPr>
            </w:pPr>
            <w:r w:rsidRPr="00D55512">
              <w:rPr>
                <w:rStyle w:val="Bodytext295pt"/>
                <w:rFonts w:ascii="Sylfaen" w:eastAsiaTheme="minorHAnsi" w:hAnsi="Sylfaen"/>
                <w:b w:val="0"/>
                <w:spacing w:val="0"/>
                <w:sz w:val="24"/>
                <w:szCs w:val="24"/>
              </w:rPr>
              <w:t>Արդյո՞ք դեղանյութում հայտնաբերվել են որ</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է թույլ կողմեր:</w:t>
            </w:r>
          </w:p>
          <w:p w14:paraId="7E37B5AA"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թույլ կողմերը պատշաճ ձ</w:t>
            </w:r>
            <w:r w:rsidR="00C54D75">
              <w:rPr>
                <w:rStyle w:val="Bodytext295pt"/>
                <w:rFonts w:ascii="Sylfaen" w:eastAsiaTheme="minorHAnsi" w:hAnsi="Sylfaen"/>
                <w:b w:val="0"/>
                <w:spacing w:val="0"/>
                <w:sz w:val="24"/>
                <w:szCs w:val="24"/>
              </w:rPr>
              <w:t>և</w:t>
            </w:r>
            <w:r w:rsidRPr="00D55512">
              <w:rPr>
                <w:rStyle w:val="Bodytext295pt"/>
                <w:rFonts w:ascii="Sylfaen" w:eastAsiaTheme="minorHAnsi" w:hAnsi="Sylfaen"/>
                <w:b w:val="0"/>
                <w:spacing w:val="0"/>
                <w:sz w:val="24"/>
                <w:szCs w:val="24"/>
              </w:rPr>
              <w:t>ով վերացվել են:</w:t>
            </w:r>
          </w:p>
        </w:tc>
        <w:tc>
          <w:tcPr>
            <w:tcW w:w="1475" w:type="dxa"/>
            <w:gridSpan w:val="3"/>
            <w:shd w:val="clear" w:color="auto" w:fill="FFFFFF"/>
            <w:vAlign w:val="center"/>
          </w:tcPr>
          <w:p w14:paraId="3A41315F"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p w14:paraId="720FD1AA"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tc>
      </w:tr>
      <w:tr w:rsidR="004F5982" w:rsidRPr="00D55512" w14:paraId="0AF4CC40" w14:textId="77777777" w:rsidTr="00487007">
        <w:tc>
          <w:tcPr>
            <w:tcW w:w="9715" w:type="dxa"/>
            <w:gridSpan w:val="5"/>
            <w:shd w:val="clear" w:color="auto" w:fill="FFFFFF"/>
            <w:vAlign w:val="bottom"/>
          </w:tcPr>
          <w:p w14:paraId="5863E27D" w14:textId="77777777" w:rsidR="004F5982" w:rsidRPr="00D55512" w:rsidRDefault="004F5982" w:rsidP="00487007">
            <w:pPr>
              <w:spacing w:after="120" w:line="288" w:lineRule="auto"/>
              <w:rPr>
                <w:rFonts w:ascii="Sylfaen" w:hAnsi="Sylfaen"/>
                <w:sz w:val="24"/>
                <w:szCs w:val="24"/>
                <w:lang w:val="en-US"/>
              </w:rPr>
            </w:pPr>
            <w:r w:rsidRPr="00D55512">
              <w:rPr>
                <w:rStyle w:val="Bodytext295pt"/>
                <w:rFonts w:ascii="Sylfaen" w:eastAsiaTheme="minorHAnsi" w:hAnsi="Sylfaen"/>
                <w:b w:val="0"/>
                <w:spacing w:val="0"/>
                <w:sz w:val="24"/>
                <w:szCs w:val="24"/>
              </w:rPr>
              <w:t>Մեկնաբանություններ (լրացուցիչ տեղեկատվություն) _______________________________</w:t>
            </w:r>
          </w:p>
        </w:tc>
      </w:tr>
      <w:tr w:rsidR="004F5982" w:rsidRPr="00D55512" w14:paraId="23FBE653" w14:textId="77777777" w:rsidTr="00487007">
        <w:tc>
          <w:tcPr>
            <w:tcW w:w="7909" w:type="dxa"/>
            <w:shd w:val="clear" w:color="auto" w:fill="FFFFFF"/>
            <w:vAlign w:val="center"/>
          </w:tcPr>
          <w:p w14:paraId="6C4C69DF" w14:textId="77777777" w:rsidR="004F5982" w:rsidRPr="00D55512" w:rsidRDefault="004F5982" w:rsidP="00487007">
            <w:pPr>
              <w:spacing w:after="120" w:line="288" w:lineRule="auto"/>
              <w:ind w:left="542" w:right="-827"/>
              <w:jc w:val="center"/>
              <w:rPr>
                <w:rFonts w:ascii="Sylfaen" w:hAnsi="Sylfaen"/>
                <w:sz w:val="24"/>
                <w:szCs w:val="24"/>
              </w:rPr>
            </w:pPr>
            <w:r w:rsidRPr="00D55512">
              <w:rPr>
                <w:rStyle w:val="Bodytext295pt"/>
                <w:rFonts w:ascii="Sylfaen" w:eastAsiaTheme="minorHAnsi" w:hAnsi="Sylfaen"/>
                <w:b w:val="0"/>
                <w:spacing w:val="0"/>
                <w:sz w:val="24"/>
                <w:szCs w:val="24"/>
              </w:rPr>
              <w:t>6. Եզրակացությունը</w:t>
            </w:r>
          </w:p>
        </w:tc>
        <w:tc>
          <w:tcPr>
            <w:tcW w:w="1806" w:type="dxa"/>
            <w:gridSpan w:val="4"/>
            <w:tcBorders>
              <w:top w:val="single" w:sz="4" w:space="0" w:color="auto"/>
            </w:tcBorders>
            <w:shd w:val="clear" w:color="auto" w:fill="FFFFFF"/>
          </w:tcPr>
          <w:p w14:paraId="4A8679CF" w14:textId="77777777" w:rsidR="004F5982" w:rsidRPr="00D55512" w:rsidRDefault="004F5982" w:rsidP="00487007">
            <w:pPr>
              <w:spacing w:after="120" w:line="288" w:lineRule="auto"/>
              <w:rPr>
                <w:rFonts w:ascii="Sylfaen" w:hAnsi="Sylfaen"/>
                <w:sz w:val="24"/>
                <w:szCs w:val="24"/>
              </w:rPr>
            </w:pPr>
          </w:p>
        </w:tc>
      </w:tr>
      <w:tr w:rsidR="004F5982" w:rsidRPr="00D55512" w14:paraId="75359ADE" w14:textId="77777777" w:rsidTr="00487007">
        <w:trPr>
          <w:trHeight w:val="80"/>
        </w:trPr>
        <w:tc>
          <w:tcPr>
            <w:tcW w:w="7909" w:type="dxa"/>
            <w:shd w:val="clear" w:color="auto" w:fill="FFFFFF"/>
          </w:tcPr>
          <w:p w14:paraId="11BFB5C1"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լուծվել են օգտատերերի թեստավորման գլխավոր խնդիրները։</w:t>
            </w:r>
          </w:p>
          <w:p w14:paraId="02AC580D"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Արդյո՞ք հայտատուի եզրակացությունը ճիշտ է։</w:t>
            </w:r>
          </w:p>
          <w:p w14:paraId="28BAA146" w14:textId="77777777" w:rsidR="004F5982" w:rsidRPr="00D55512" w:rsidRDefault="004F5982" w:rsidP="00487007">
            <w:pPr>
              <w:spacing w:after="120" w:line="288" w:lineRule="auto"/>
              <w:rPr>
                <w:rFonts w:ascii="Sylfaen" w:hAnsi="Sylfaen"/>
                <w:sz w:val="24"/>
                <w:szCs w:val="24"/>
              </w:rPr>
            </w:pPr>
            <w:r w:rsidRPr="00D55512">
              <w:rPr>
                <w:rStyle w:val="Bodytext295pt"/>
                <w:rFonts w:ascii="Sylfaen" w:eastAsiaTheme="minorHAnsi" w:hAnsi="Sylfaen"/>
                <w:b w:val="0"/>
                <w:spacing w:val="0"/>
                <w:sz w:val="24"/>
                <w:szCs w:val="24"/>
              </w:rPr>
              <w:t>Մեթոդաբանության ընդհանուր գնահատականը</w:t>
            </w:r>
          </w:p>
          <w:p w14:paraId="1AC9B6E7" w14:textId="77777777" w:rsidR="004F5982" w:rsidRPr="001436BD" w:rsidRDefault="004F5982" w:rsidP="00487007">
            <w:pPr>
              <w:spacing w:after="120" w:line="288" w:lineRule="auto"/>
              <w:rPr>
                <w:rStyle w:val="Bodytext295pt"/>
                <w:rFonts w:ascii="Sylfaen" w:eastAsiaTheme="minorHAnsi" w:hAnsi="Sylfaen"/>
                <w:b w:val="0"/>
                <w:spacing w:val="0"/>
                <w:sz w:val="24"/>
                <w:szCs w:val="24"/>
              </w:rPr>
            </w:pPr>
          </w:p>
          <w:p w14:paraId="477A7670" w14:textId="77777777" w:rsidR="004F5982" w:rsidRPr="001436BD" w:rsidRDefault="004F5982" w:rsidP="00487007">
            <w:pPr>
              <w:spacing w:after="120" w:line="288" w:lineRule="auto"/>
              <w:rPr>
                <w:rFonts w:ascii="Sylfaen" w:hAnsi="Sylfaen" w:cs="Times New Roman"/>
                <w:bCs/>
                <w:color w:val="000000"/>
                <w:sz w:val="24"/>
                <w:szCs w:val="24"/>
              </w:rPr>
            </w:pPr>
            <w:r w:rsidRPr="00D55512">
              <w:rPr>
                <w:rStyle w:val="Bodytext295pt"/>
                <w:rFonts w:ascii="Sylfaen" w:eastAsiaTheme="minorHAnsi" w:hAnsi="Sylfaen"/>
                <w:b w:val="0"/>
                <w:spacing w:val="0"/>
                <w:sz w:val="24"/>
                <w:szCs w:val="24"/>
              </w:rPr>
              <w:t>Ներդիր-թերթիկի կառուցվածքի ընդհանուր գնահատականը</w:t>
            </w:r>
          </w:p>
        </w:tc>
        <w:tc>
          <w:tcPr>
            <w:tcW w:w="1806" w:type="dxa"/>
            <w:gridSpan w:val="4"/>
            <w:shd w:val="clear" w:color="auto" w:fill="FFFFFF"/>
            <w:vAlign w:val="bottom"/>
          </w:tcPr>
          <w:p w14:paraId="401E7B35"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lastRenderedPageBreak/>
              <w:t>□ այո □ ոչ</w:t>
            </w:r>
          </w:p>
          <w:p w14:paraId="6C6975E5"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այո □ ոչ</w:t>
            </w:r>
          </w:p>
          <w:p w14:paraId="24DCC3A3" w14:textId="77777777" w:rsidR="004F5982" w:rsidRPr="00D55512" w:rsidRDefault="004F5982" w:rsidP="00487007">
            <w:pPr>
              <w:spacing w:after="120" w:line="288" w:lineRule="auto"/>
              <w:rPr>
                <w:rFonts w:ascii="Sylfaen" w:hAnsi="Sylfaen"/>
                <w:sz w:val="24"/>
                <w:szCs w:val="24"/>
              </w:rPr>
            </w:pPr>
            <w:r w:rsidRPr="00D55512">
              <w:rPr>
                <w:rFonts w:ascii="Sylfaen" w:hAnsi="Sylfaen"/>
                <w:sz w:val="24"/>
                <w:szCs w:val="24"/>
              </w:rPr>
              <w:t xml:space="preserve">□ </w:t>
            </w:r>
            <w:r w:rsidRPr="00D55512">
              <w:rPr>
                <w:rStyle w:val="Bodytext295pt"/>
                <w:rFonts w:ascii="Sylfaen" w:eastAsiaTheme="minorHAnsi" w:hAnsi="Sylfaen"/>
                <w:b w:val="0"/>
                <w:spacing w:val="0"/>
                <w:sz w:val="24"/>
                <w:szCs w:val="24"/>
              </w:rPr>
              <w:t>դրական</w:t>
            </w:r>
          </w:p>
          <w:p w14:paraId="4449F7FE" w14:textId="77777777" w:rsidR="004F5982" w:rsidRPr="0026017F" w:rsidRDefault="004F5982" w:rsidP="00487007">
            <w:pPr>
              <w:spacing w:after="120" w:line="288" w:lineRule="auto"/>
              <w:rPr>
                <w:rFonts w:ascii="Sylfaen" w:hAnsi="Sylfaen"/>
                <w:sz w:val="24"/>
                <w:szCs w:val="24"/>
              </w:rPr>
            </w:pPr>
            <w:r w:rsidRPr="0026017F">
              <w:rPr>
                <w:rFonts w:ascii="Sylfaen" w:hAnsi="Sylfaen"/>
                <w:sz w:val="24"/>
                <w:szCs w:val="24"/>
              </w:rPr>
              <w:lastRenderedPageBreak/>
              <w:t xml:space="preserve">□ </w:t>
            </w:r>
            <w:r w:rsidRPr="0026017F">
              <w:rPr>
                <w:rStyle w:val="Bodytext295pt"/>
                <w:rFonts w:ascii="Sylfaen" w:eastAsiaTheme="minorHAnsi" w:hAnsi="Sylfaen"/>
                <w:b w:val="0"/>
                <w:spacing w:val="0"/>
                <w:sz w:val="24"/>
                <w:szCs w:val="24"/>
              </w:rPr>
              <w:t>բացասական</w:t>
            </w:r>
          </w:p>
          <w:p w14:paraId="64BB9274" w14:textId="77777777" w:rsidR="004F5982" w:rsidRPr="0026017F" w:rsidRDefault="004F5982" w:rsidP="00487007">
            <w:pPr>
              <w:spacing w:after="120" w:line="288" w:lineRule="auto"/>
              <w:ind w:right="14"/>
              <w:rPr>
                <w:rFonts w:ascii="Sylfaen" w:hAnsi="Sylfaen"/>
                <w:sz w:val="24"/>
                <w:szCs w:val="24"/>
              </w:rPr>
            </w:pPr>
            <w:r w:rsidRPr="0026017F">
              <w:rPr>
                <w:rFonts w:ascii="Sylfaen" w:hAnsi="Sylfaen"/>
                <w:sz w:val="24"/>
                <w:szCs w:val="24"/>
              </w:rPr>
              <w:t xml:space="preserve">□ </w:t>
            </w:r>
            <w:r w:rsidRPr="0026017F">
              <w:rPr>
                <w:rStyle w:val="Bodytext295pt"/>
                <w:rFonts w:ascii="Sylfaen" w:eastAsiaTheme="minorHAnsi" w:hAnsi="Sylfaen"/>
                <w:b w:val="0"/>
                <w:spacing w:val="0"/>
                <w:sz w:val="24"/>
                <w:szCs w:val="24"/>
              </w:rPr>
              <w:t>դրական</w:t>
            </w:r>
          </w:p>
          <w:p w14:paraId="0AEE5B6A" w14:textId="77777777" w:rsidR="004F5982" w:rsidRPr="0026017F" w:rsidRDefault="004F5982" w:rsidP="00487007">
            <w:pPr>
              <w:spacing w:after="120" w:line="288" w:lineRule="auto"/>
              <w:ind w:right="14"/>
              <w:rPr>
                <w:rFonts w:ascii="Sylfaen" w:hAnsi="Sylfaen"/>
                <w:spacing w:val="-20"/>
                <w:sz w:val="24"/>
                <w:szCs w:val="24"/>
              </w:rPr>
            </w:pPr>
            <w:r w:rsidRPr="0026017F">
              <w:rPr>
                <w:rFonts w:ascii="Sylfaen" w:hAnsi="Sylfaen"/>
                <w:sz w:val="24"/>
                <w:szCs w:val="24"/>
              </w:rPr>
              <w:t xml:space="preserve">□ </w:t>
            </w:r>
            <w:r w:rsidRPr="0026017F">
              <w:rPr>
                <w:rStyle w:val="Bodytext295pt"/>
                <w:rFonts w:ascii="Sylfaen" w:eastAsiaTheme="minorHAnsi" w:hAnsi="Sylfaen"/>
                <w:b w:val="0"/>
                <w:spacing w:val="0"/>
                <w:sz w:val="24"/>
                <w:szCs w:val="24"/>
              </w:rPr>
              <w:t>բացասական</w:t>
            </w:r>
          </w:p>
        </w:tc>
      </w:tr>
    </w:tbl>
    <w:p w14:paraId="24831AAE" w14:textId="77777777" w:rsidR="004F5982" w:rsidRDefault="004F5982" w:rsidP="00487007">
      <w:pPr>
        <w:pStyle w:val="Tablecaption20"/>
        <w:shd w:val="clear" w:color="auto" w:fill="auto"/>
        <w:spacing w:after="120" w:line="288" w:lineRule="auto"/>
        <w:ind w:left="567" w:right="565"/>
        <w:jc w:val="center"/>
        <w:rPr>
          <w:rFonts w:ascii="Sylfaen" w:hAnsi="Sylfaen"/>
          <w:b w:val="0"/>
          <w:color w:val="000000"/>
          <w:sz w:val="24"/>
          <w:szCs w:val="24"/>
        </w:rPr>
      </w:pPr>
      <w:r w:rsidRPr="00D55512">
        <w:rPr>
          <w:rFonts w:ascii="Sylfaen" w:hAnsi="Sylfaen"/>
          <w:b w:val="0"/>
          <w:color w:val="000000"/>
          <w:sz w:val="24"/>
          <w:szCs w:val="24"/>
        </w:rPr>
        <w:lastRenderedPageBreak/>
        <w:t>Եզրակացությունը (ռեզյումեն)</w:t>
      </w:r>
    </w:p>
    <w:p w14:paraId="54A34B91" w14:textId="77777777" w:rsidR="004F5982" w:rsidRPr="00D55512" w:rsidRDefault="004F5982" w:rsidP="004F5982">
      <w:pPr>
        <w:pStyle w:val="Tablecaption20"/>
        <w:shd w:val="clear" w:color="auto" w:fill="auto"/>
        <w:spacing w:line="240" w:lineRule="auto"/>
        <w:ind w:left="567" w:right="567"/>
        <w:jc w:val="center"/>
        <w:rPr>
          <w:rFonts w:ascii="Sylfaen" w:hAnsi="Sylfaen"/>
          <w:b w:val="0"/>
          <w:sz w:val="24"/>
          <w:szCs w:val="24"/>
        </w:rPr>
      </w:pPr>
      <w:r>
        <w:rPr>
          <w:rFonts w:ascii="Sylfaen" w:hAnsi="Sylfaen"/>
          <w:b w:val="0"/>
          <w:color w:val="000000"/>
          <w:sz w:val="24"/>
          <w:szCs w:val="24"/>
        </w:rPr>
        <w:t>__________________</w:t>
      </w:r>
    </w:p>
    <w:p w14:paraId="1796E906" w14:textId="77777777" w:rsidR="004F5982" w:rsidRDefault="004F5982" w:rsidP="004F5982">
      <w:pPr>
        <w:spacing w:after="160" w:line="360" w:lineRule="auto"/>
        <w:rPr>
          <w:rFonts w:ascii="Sylfaen" w:eastAsia="Times New Roman" w:hAnsi="Sylfaen" w:cs="Times New Roman"/>
          <w:sz w:val="24"/>
          <w:szCs w:val="24"/>
          <w:lang w:val="en-US"/>
        </w:rPr>
      </w:pPr>
    </w:p>
    <w:p w14:paraId="13763B83" w14:textId="77777777" w:rsidR="00487007" w:rsidRDefault="00487007" w:rsidP="004F5982">
      <w:pPr>
        <w:spacing w:after="160" w:line="360" w:lineRule="auto"/>
        <w:ind w:left="3969" w:right="-2"/>
        <w:jc w:val="center"/>
        <w:rPr>
          <w:rFonts w:ascii="Sylfaen" w:hAnsi="Sylfaen"/>
          <w:sz w:val="24"/>
          <w:szCs w:val="24"/>
        </w:rPr>
        <w:sectPr w:rsidR="00487007" w:rsidSect="00487007">
          <w:pgSz w:w="11906" w:h="16838" w:code="9"/>
          <w:pgMar w:top="1418" w:right="1418" w:bottom="1418" w:left="1418" w:header="709" w:footer="709" w:gutter="0"/>
          <w:pgNumType w:start="1"/>
          <w:cols w:space="708"/>
          <w:titlePg/>
          <w:docGrid w:linePitch="360"/>
        </w:sectPr>
      </w:pPr>
    </w:p>
    <w:p w14:paraId="39D5CA23" w14:textId="77777777" w:rsidR="004F5982" w:rsidRPr="00826F05" w:rsidRDefault="004F5982" w:rsidP="00487007">
      <w:pPr>
        <w:spacing w:after="160" w:line="360" w:lineRule="auto"/>
        <w:ind w:left="3969" w:right="-2"/>
        <w:jc w:val="center"/>
        <w:rPr>
          <w:rFonts w:ascii="Sylfaen" w:eastAsia="Times New Roman" w:hAnsi="Sylfaen" w:cs="Times New Roman"/>
          <w:sz w:val="24"/>
          <w:szCs w:val="24"/>
        </w:rPr>
      </w:pPr>
      <w:r w:rsidRPr="00826F05">
        <w:rPr>
          <w:rFonts w:ascii="Sylfaen" w:hAnsi="Sylfaen"/>
          <w:sz w:val="24"/>
          <w:szCs w:val="24"/>
        </w:rPr>
        <w:lastRenderedPageBreak/>
        <w:t>ՀԱՎԵԼՎԱԾ ԹԻՎ 22</w:t>
      </w:r>
    </w:p>
    <w:p w14:paraId="59B8675F" w14:textId="77777777" w:rsidR="004F5982" w:rsidRPr="00826F05" w:rsidRDefault="004F5982" w:rsidP="00487007">
      <w:pPr>
        <w:spacing w:after="160" w:line="360" w:lineRule="auto"/>
        <w:ind w:left="3969" w:right="-2"/>
        <w:jc w:val="center"/>
        <w:rPr>
          <w:rFonts w:ascii="Sylfaen" w:eastAsia="Times New Roman" w:hAnsi="Sylfaen" w:cs="Times New Roman"/>
          <w:sz w:val="24"/>
          <w:szCs w:val="24"/>
        </w:rPr>
      </w:pPr>
      <w:r w:rsidRPr="00826F05">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w:t>
      </w:r>
    </w:p>
    <w:p w14:paraId="12628C5E" w14:textId="77777777" w:rsidR="004F5982" w:rsidRPr="002618FA" w:rsidRDefault="004F5982" w:rsidP="00487007">
      <w:pPr>
        <w:spacing w:after="160" w:line="360" w:lineRule="auto"/>
        <w:ind w:left="567" w:right="565"/>
        <w:jc w:val="center"/>
        <w:rPr>
          <w:rFonts w:ascii="Sylfaen" w:hAnsi="Sylfaen"/>
          <w:sz w:val="24"/>
          <w:szCs w:val="24"/>
        </w:rPr>
      </w:pPr>
    </w:p>
    <w:p w14:paraId="69AFB85B" w14:textId="77777777" w:rsidR="004F5982" w:rsidRPr="00487007" w:rsidRDefault="004F5982" w:rsidP="00487007">
      <w:pPr>
        <w:spacing w:after="160" w:line="360" w:lineRule="auto"/>
        <w:ind w:left="567" w:right="565"/>
        <w:jc w:val="center"/>
        <w:rPr>
          <w:rFonts w:ascii="Sylfaen" w:eastAsia="Times New Roman" w:hAnsi="Sylfaen" w:cs="Times New Roman"/>
          <w:b/>
          <w:sz w:val="24"/>
          <w:szCs w:val="24"/>
        </w:rPr>
      </w:pPr>
      <w:r w:rsidRPr="00487007">
        <w:rPr>
          <w:rFonts w:ascii="Sylfaen" w:hAnsi="Sylfaen"/>
          <w:b/>
          <w:sz w:val="24"/>
          <w:szCs w:val="24"/>
        </w:rPr>
        <w:t>Ձ</w:t>
      </w:r>
      <w:r w:rsidR="00C54D75">
        <w:rPr>
          <w:rFonts w:ascii="Sylfaen" w:hAnsi="Sylfaen"/>
          <w:b/>
          <w:sz w:val="24"/>
          <w:szCs w:val="24"/>
        </w:rPr>
        <w:t>և</w:t>
      </w:r>
    </w:p>
    <w:p w14:paraId="15405C78"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b/>
          <w:sz w:val="24"/>
          <w:szCs w:val="24"/>
        </w:rPr>
        <w:t xml:space="preserve">վերարտադրված դեղամիջոցների նախակլինիկական </w:t>
      </w:r>
      <w:r w:rsidR="00C54D75">
        <w:rPr>
          <w:rFonts w:ascii="Sylfaen" w:hAnsi="Sylfaen"/>
          <w:b/>
          <w:sz w:val="24"/>
          <w:szCs w:val="24"/>
        </w:rPr>
        <w:t>և</w:t>
      </w:r>
      <w:r w:rsidRPr="00826F05">
        <w:rPr>
          <w:rFonts w:ascii="Sylfaen" w:hAnsi="Sylfaen"/>
          <w:b/>
          <w:sz w:val="24"/>
          <w:szCs w:val="24"/>
        </w:rPr>
        <w:t xml:space="preserve"> կլինիկական ասպեկտների արդյունքների գնահատման վերաբերյալ փորձագիտական հաշվետվության</w:t>
      </w:r>
    </w:p>
    <w:p w14:paraId="6128202A" w14:textId="77777777" w:rsidR="004F5982" w:rsidRPr="00826F05" w:rsidRDefault="004F5982" w:rsidP="00487007">
      <w:pPr>
        <w:spacing w:after="160" w:line="360" w:lineRule="auto"/>
        <w:ind w:firstLine="567"/>
        <w:jc w:val="both"/>
        <w:rPr>
          <w:rFonts w:ascii="Sylfaen" w:hAnsi="Sylfaen"/>
          <w:sz w:val="24"/>
          <w:szCs w:val="24"/>
        </w:rPr>
      </w:pPr>
    </w:p>
    <w:p w14:paraId="5B66CA6A" w14:textId="77777777" w:rsidR="004F5982" w:rsidRPr="00826F05" w:rsidRDefault="004F5982" w:rsidP="00487007">
      <w:pPr>
        <w:tabs>
          <w:tab w:val="left" w:pos="9071"/>
        </w:tabs>
        <w:spacing w:after="160" w:line="336" w:lineRule="auto"/>
        <w:ind w:right="-2" w:firstLine="567"/>
        <w:jc w:val="both"/>
        <w:rPr>
          <w:rFonts w:ascii="Sylfaen" w:eastAsia="Times New Roman" w:hAnsi="Sylfaen" w:cs="Times New Roman"/>
          <w:sz w:val="24"/>
          <w:szCs w:val="24"/>
        </w:rPr>
      </w:pPr>
      <w:r w:rsidRPr="00826F05">
        <w:rPr>
          <w:rFonts w:ascii="Sylfaen" w:hAnsi="Sylfaen"/>
          <w:sz w:val="24"/>
          <w:szCs w:val="24"/>
        </w:rPr>
        <w:t>Լրացման ցուցումներ. տեքստի պատրաստի ձ</w:t>
      </w:r>
      <w:r w:rsidR="00C54D75">
        <w:rPr>
          <w:rFonts w:ascii="Sylfaen" w:hAnsi="Sylfaen"/>
          <w:sz w:val="24"/>
          <w:szCs w:val="24"/>
        </w:rPr>
        <w:t>և</w:t>
      </w:r>
      <w:r w:rsidRPr="00826F05">
        <w:rPr>
          <w:rFonts w:ascii="Sylfaen" w:hAnsi="Sylfaen"/>
          <w:sz w:val="24"/>
          <w:szCs w:val="24"/>
        </w:rPr>
        <w:t>անմուշներ օգտագործելիս դրանք սույն ձ</w:t>
      </w:r>
      <w:r w:rsidR="00C54D75">
        <w:rPr>
          <w:rFonts w:ascii="Sylfaen" w:hAnsi="Sylfaen"/>
          <w:sz w:val="24"/>
          <w:szCs w:val="24"/>
        </w:rPr>
        <w:t>և</w:t>
      </w:r>
      <w:r w:rsidRPr="00826F05">
        <w:rPr>
          <w:rFonts w:ascii="Sylfaen" w:hAnsi="Sylfaen"/>
          <w:sz w:val="24"/>
          <w:szCs w:val="24"/>
        </w:rPr>
        <w:t xml:space="preserve">ում առանձնացված են &lt; &gt; նշաններով </w:t>
      </w:r>
      <w:r w:rsidR="00C54D75">
        <w:rPr>
          <w:rFonts w:ascii="Sylfaen" w:hAnsi="Sylfaen"/>
          <w:sz w:val="24"/>
          <w:szCs w:val="24"/>
        </w:rPr>
        <w:t>և</w:t>
      </w:r>
      <w:r w:rsidRPr="00826F05">
        <w:rPr>
          <w:rFonts w:ascii="Sylfaen" w:hAnsi="Sylfaen"/>
          <w:sz w:val="24"/>
          <w:szCs w:val="24"/>
        </w:rPr>
        <w:t xml:space="preserve"> շեղատառերով. տեքստի ձ</w:t>
      </w:r>
      <w:r w:rsidR="00C54D75">
        <w:rPr>
          <w:rFonts w:ascii="Sylfaen" w:hAnsi="Sylfaen"/>
          <w:sz w:val="24"/>
          <w:szCs w:val="24"/>
        </w:rPr>
        <w:t>և</w:t>
      </w:r>
      <w:r w:rsidRPr="00826F05">
        <w:rPr>
          <w:rFonts w:ascii="Sylfaen" w:hAnsi="Sylfaen"/>
          <w:sz w:val="24"/>
          <w:szCs w:val="24"/>
        </w:rPr>
        <w:t>անմուշների այն հատվածները, որոնք լրացվում են տեքստի որոշակի տարբերակների՝ ըստ նշված հատկության (պարամետրի) ներմուծման միջոցով, բերված են ձ</w:t>
      </w:r>
      <w:r w:rsidR="00C54D75">
        <w:rPr>
          <w:rFonts w:ascii="Sylfaen" w:hAnsi="Sylfaen"/>
          <w:sz w:val="24"/>
          <w:szCs w:val="24"/>
        </w:rPr>
        <w:t>և</w:t>
      </w:r>
      <w:r w:rsidRPr="00826F05">
        <w:rPr>
          <w:rFonts w:ascii="Sylfaen" w:hAnsi="Sylfaen"/>
          <w:sz w:val="24"/>
          <w:szCs w:val="24"/>
        </w:rPr>
        <w:t>ավոր փակագծերի մեջ { }՝ նշելով այն հատկությունը (պարամետրը), որն անհրաժեշտ է ներմուծել շեղատառերով. բացատրությունները տրված են շեղատառերով՝ քառակուսի փակագծերում [ ]։</w:t>
      </w:r>
    </w:p>
    <w:p w14:paraId="11703893" w14:textId="77777777" w:rsidR="004F5982" w:rsidRPr="00826F05" w:rsidRDefault="004F5982" w:rsidP="00487007">
      <w:pPr>
        <w:spacing w:after="160" w:line="336" w:lineRule="auto"/>
        <w:jc w:val="both"/>
        <w:rPr>
          <w:rFonts w:ascii="Sylfaen" w:hAnsi="Sylfaen"/>
          <w:sz w:val="24"/>
          <w:szCs w:val="24"/>
        </w:rPr>
      </w:pPr>
    </w:p>
    <w:p w14:paraId="193720BE" w14:textId="77777777" w:rsidR="004F5982" w:rsidRPr="00826F05" w:rsidRDefault="004F5982" w:rsidP="00487007">
      <w:pPr>
        <w:spacing w:after="160" w:line="360" w:lineRule="auto"/>
        <w:ind w:right="-2"/>
        <w:jc w:val="right"/>
        <w:rPr>
          <w:rFonts w:ascii="Sylfaen" w:eastAsia="Times New Roman" w:hAnsi="Sylfaen" w:cs="Times New Roman"/>
          <w:sz w:val="24"/>
          <w:szCs w:val="24"/>
        </w:rPr>
      </w:pPr>
      <w:r w:rsidRPr="00826F05">
        <w:rPr>
          <w:rFonts w:ascii="Sylfaen" w:hAnsi="Sylfaen"/>
          <w:sz w:val="24"/>
          <w:szCs w:val="24"/>
        </w:rPr>
        <w:t>(ձ</w:t>
      </w:r>
      <w:r w:rsidR="00C54D75">
        <w:rPr>
          <w:rFonts w:ascii="Sylfaen" w:hAnsi="Sylfaen"/>
          <w:sz w:val="24"/>
          <w:szCs w:val="24"/>
        </w:rPr>
        <w:t>և</w:t>
      </w:r>
      <w:r w:rsidRPr="00826F05">
        <w:rPr>
          <w:rFonts w:ascii="Sylfaen" w:hAnsi="Sylfaen"/>
          <w:sz w:val="24"/>
          <w:szCs w:val="24"/>
        </w:rPr>
        <w:t>)</w:t>
      </w:r>
    </w:p>
    <w:p w14:paraId="72EFDB7B" w14:textId="77777777" w:rsidR="004F5982" w:rsidRPr="00826F05" w:rsidRDefault="004F5982" w:rsidP="00487007">
      <w:pPr>
        <w:spacing w:after="160" w:line="360" w:lineRule="auto"/>
        <w:ind w:left="567" w:right="565" w:firstLine="4"/>
        <w:jc w:val="center"/>
        <w:rPr>
          <w:rFonts w:ascii="Sylfaen" w:eastAsia="Times New Roman" w:hAnsi="Sylfaen" w:cs="Times New Roman"/>
          <w:sz w:val="24"/>
          <w:szCs w:val="24"/>
        </w:rPr>
      </w:pPr>
      <w:r w:rsidRPr="00826F05">
        <w:rPr>
          <w:rFonts w:ascii="Sylfaen" w:hAnsi="Sylfaen"/>
          <w:sz w:val="24"/>
          <w:szCs w:val="24"/>
        </w:rPr>
        <w:t xml:space="preserve">Վերարտադրված դեղամիջոցների նախակլինիկական </w:t>
      </w:r>
      <w:r w:rsidR="00C54D75">
        <w:rPr>
          <w:rFonts w:ascii="Sylfaen" w:hAnsi="Sylfaen"/>
          <w:sz w:val="24"/>
          <w:szCs w:val="24"/>
        </w:rPr>
        <w:t>և</w:t>
      </w:r>
      <w:r w:rsidRPr="00826F05">
        <w:rPr>
          <w:rFonts w:ascii="Sylfaen" w:hAnsi="Sylfaen"/>
          <w:sz w:val="24"/>
          <w:szCs w:val="24"/>
        </w:rPr>
        <w:t xml:space="preserve"> </w:t>
      </w:r>
      <w:r w:rsidRPr="00826F05">
        <w:rPr>
          <w:rFonts w:ascii="Sylfaen" w:hAnsi="Sylfaen"/>
          <w:sz w:val="24"/>
          <w:szCs w:val="24"/>
        </w:rPr>
        <w:br/>
        <w:t>կլինիկական ասպեկտների արդյունքների գնահատման փորձագիտական հաշվետվություն</w:t>
      </w:r>
    </w:p>
    <w:tbl>
      <w:tblPr>
        <w:tblW w:w="9683" w:type="dxa"/>
        <w:tblInd w:w="103" w:type="dxa"/>
        <w:tblLayout w:type="fixed"/>
        <w:tblCellMar>
          <w:left w:w="0" w:type="dxa"/>
          <w:right w:w="0" w:type="dxa"/>
        </w:tblCellMar>
        <w:tblLook w:val="01E0" w:firstRow="1" w:lastRow="1" w:firstColumn="1" w:lastColumn="1" w:noHBand="0" w:noVBand="0"/>
      </w:tblPr>
      <w:tblGrid>
        <w:gridCol w:w="4786"/>
        <w:gridCol w:w="4897"/>
      </w:tblGrid>
      <w:tr w:rsidR="004F5982" w:rsidRPr="00826F05" w14:paraId="0DC4A279" w14:textId="77777777" w:rsidTr="004F5982">
        <w:tc>
          <w:tcPr>
            <w:tcW w:w="4786" w:type="dxa"/>
            <w:tcBorders>
              <w:top w:val="single" w:sz="4" w:space="0" w:color="000000"/>
              <w:left w:val="single" w:sz="4" w:space="0" w:color="000000"/>
              <w:bottom w:val="single" w:sz="6" w:space="0" w:color="000000"/>
              <w:right w:val="single" w:sz="6" w:space="0" w:color="000000"/>
            </w:tcBorders>
          </w:tcPr>
          <w:p w14:paraId="76C4024E"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Զեկուցողը</w:t>
            </w:r>
          </w:p>
        </w:tc>
        <w:tc>
          <w:tcPr>
            <w:tcW w:w="4897" w:type="dxa"/>
            <w:tcBorders>
              <w:top w:val="single" w:sz="4" w:space="0" w:color="000000"/>
              <w:left w:val="single" w:sz="6" w:space="0" w:color="000000"/>
              <w:bottom w:val="single" w:sz="6" w:space="0" w:color="000000"/>
              <w:right w:val="single" w:sz="4" w:space="0" w:color="000000"/>
            </w:tcBorders>
          </w:tcPr>
          <w:p w14:paraId="589957A8" w14:textId="77777777" w:rsidR="004F5982" w:rsidRPr="00826F05" w:rsidRDefault="004F5982" w:rsidP="004F5982">
            <w:pPr>
              <w:spacing w:after="120" w:line="240" w:lineRule="auto"/>
              <w:jc w:val="both"/>
              <w:rPr>
                <w:rFonts w:ascii="Sylfaen" w:hAnsi="Sylfaen"/>
                <w:sz w:val="24"/>
                <w:szCs w:val="24"/>
              </w:rPr>
            </w:pPr>
          </w:p>
        </w:tc>
      </w:tr>
      <w:tr w:rsidR="004F5982" w:rsidRPr="00826F05" w14:paraId="32AA1E94" w14:textId="77777777" w:rsidTr="004F5982">
        <w:tc>
          <w:tcPr>
            <w:tcW w:w="4786" w:type="dxa"/>
            <w:tcBorders>
              <w:top w:val="single" w:sz="6" w:space="0" w:color="000000"/>
              <w:left w:val="single" w:sz="4" w:space="0" w:color="000000"/>
              <w:bottom w:val="single" w:sz="6" w:space="0" w:color="000000"/>
              <w:right w:val="single" w:sz="6" w:space="0" w:color="000000"/>
            </w:tcBorders>
          </w:tcPr>
          <w:p w14:paraId="4B99B8A6"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Համազեկուցողը</w:t>
            </w:r>
          </w:p>
        </w:tc>
        <w:tc>
          <w:tcPr>
            <w:tcW w:w="4897" w:type="dxa"/>
            <w:tcBorders>
              <w:top w:val="single" w:sz="6" w:space="0" w:color="000000"/>
              <w:left w:val="single" w:sz="6" w:space="0" w:color="000000"/>
              <w:bottom w:val="single" w:sz="6" w:space="0" w:color="000000"/>
              <w:right w:val="single" w:sz="4" w:space="0" w:color="000000"/>
            </w:tcBorders>
          </w:tcPr>
          <w:p w14:paraId="634D9716" w14:textId="77777777" w:rsidR="004F5982" w:rsidRPr="00826F05" w:rsidRDefault="004F5982" w:rsidP="004F5982">
            <w:pPr>
              <w:spacing w:after="120" w:line="240" w:lineRule="auto"/>
              <w:jc w:val="both"/>
              <w:rPr>
                <w:rFonts w:ascii="Sylfaen" w:hAnsi="Sylfaen"/>
                <w:sz w:val="24"/>
                <w:szCs w:val="24"/>
              </w:rPr>
            </w:pPr>
          </w:p>
        </w:tc>
      </w:tr>
      <w:tr w:rsidR="004F5982" w:rsidRPr="00826F05" w14:paraId="6D0D0842" w14:textId="77777777" w:rsidTr="004F5982">
        <w:tc>
          <w:tcPr>
            <w:tcW w:w="4786" w:type="dxa"/>
            <w:tcBorders>
              <w:top w:val="single" w:sz="6" w:space="0" w:color="000000"/>
              <w:left w:val="single" w:sz="4" w:space="0" w:color="000000"/>
              <w:bottom w:val="single" w:sz="6" w:space="0" w:color="000000"/>
              <w:right w:val="single" w:sz="6" w:space="0" w:color="000000"/>
            </w:tcBorders>
          </w:tcPr>
          <w:p w14:paraId="4363E9B5"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Ընթացակարգի սկիզբը</w:t>
            </w:r>
          </w:p>
        </w:tc>
        <w:tc>
          <w:tcPr>
            <w:tcW w:w="4897" w:type="dxa"/>
            <w:tcBorders>
              <w:top w:val="single" w:sz="6" w:space="0" w:color="000000"/>
              <w:left w:val="single" w:sz="6" w:space="0" w:color="000000"/>
              <w:bottom w:val="single" w:sz="6" w:space="0" w:color="000000"/>
              <w:right w:val="single" w:sz="4" w:space="0" w:color="000000"/>
            </w:tcBorders>
          </w:tcPr>
          <w:p w14:paraId="6B09ABB4" w14:textId="77777777" w:rsidR="004F5982" w:rsidRPr="00826F05" w:rsidRDefault="004F5982" w:rsidP="004F5982">
            <w:pPr>
              <w:spacing w:after="120" w:line="240" w:lineRule="auto"/>
              <w:jc w:val="both"/>
              <w:rPr>
                <w:rFonts w:ascii="Sylfaen" w:hAnsi="Sylfaen"/>
                <w:sz w:val="24"/>
                <w:szCs w:val="24"/>
              </w:rPr>
            </w:pPr>
          </w:p>
        </w:tc>
      </w:tr>
      <w:tr w:rsidR="004F5982" w:rsidRPr="00826F05" w14:paraId="373A7421" w14:textId="77777777" w:rsidTr="004F5982">
        <w:tc>
          <w:tcPr>
            <w:tcW w:w="4786" w:type="dxa"/>
            <w:tcBorders>
              <w:top w:val="single" w:sz="6" w:space="0" w:color="000000"/>
              <w:left w:val="single" w:sz="4" w:space="0" w:color="000000"/>
              <w:bottom w:val="single" w:sz="6" w:space="0" w:color="000000"/>
              <w:right w:val="single" w:sz="6" w:space="0" w:color="000000"/>
            </w:tcBorders>
          </w:tcPr>
          <w:p w14:paraId="2802AD29"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Սույն հաշվետվության ամսաթիվը</w:t>
            </w:r>
          </w:p>
        </w:tc>
        <w:tc>
          <w:tcPr>
            <w:tcW w:w="4897" w:type="dxa"/>
            <w:tcBorders>
              <w:top w:val="single" w:sz="6" w:space="0" w:color="000000"/>
              <w:left w:val="single" w:sz="6" w:space="0" w:color="000000"/>
              <w:bottom w:val="single" w:sz="6" w:space="0" w:color="000000"/>
              <w:right w:val="single" w:sz="4" w:space="0" w:color="000000"/>
            </w:tcBorders>
          </w:tcPr>
          <w:p w14:paraId="09B9C801" w14:textId="77777777" w:rsidR="004F5982" w:rsidRPr="00826F05" w:rsidRDefault="004F5982" w:rsidP="004F5982">
            <w:pPr>
              <w:spacing w:after="120" w:line="240" w:lineRule="auto"/>
              <w:jc w:val="both"/>
              <w:rPr>
                <w:rFonts w:ascii="Sylfaen" w:hAnsi="Sylfaen"/>
                <w:sz w:val="24"/>
                <w:szCs w:val="24"/>
              </w:rPr>
            </w:pPr>
          </w:p>
        </w:tc>
      </w:tr>
      <w:tr w:rsidR="004F5982" w:rsidRPr="00826F05" w14:paraId="5C6967B1" w14:textId="77777777" w:rsidTr="004F5982">
        <w:tc>
          <w:tcPr>
            <w:tcW w:w="4786" w:type="dxa"/>
            <w:tcBorders>
              <w:top w:val="single" w:sz="6" w:space="0" w:color="000000"/>
              <w:left w:val="single" w:sz="4" w:space="0" w:color="000000"/>
              <w:bottom w:val="single" w:sz="4" w:space="0" w:color="000000"/>
              <w:right w:val="single" w:sz="6" w:space="0" w:color="000000"/>
            </w:tcBorders>
          </w:tcPr>
          <w:p w14:paraId="5885DE71" w14:textId="77777777" w:rsidR="004F5982" w:rsidRPr="00826F05" w:rsidRDefault="004F5982" w:rsidP="004F5982">
            <w:pPr>
              <w:spacing w:after="120" w:line="240" w:lineRule="auto"/>
              <w:ind w:left="102" w:right="-20"/>
              <w:rPr>
                <w:rFonts w:ascii="Sylfaen" w:eastAsia="Times New Roman" w:hAnsi="Sylfaen" w:cs="Times New Roman"/>
                <w:sz w:val="24"/>
                <w:szCs w:val="24"/>
              </w:rPr>
            </w:pPr>
            <w:r w:rsidRPr="00826F05">
              <w:rPr>
                <w:rFonts w:ascii="Sylfaen" w:hAnsi="Sylfaen"/>
                <w:sz w:val="24"/>
                <w:szCs w:val="24"/>
              </w:rPr>
              <w:t>Մեկնաբանությունների ներկայացման վերջնաժամկետը</w:t>
            </w:r>
          </w:p>
        </w:tc>
        <w:tc>
          <w:tcPr>
            <w:tcW w:w="4897" w:type="dxa"/>
            <w:tcBorders>
              <w:top w:val="single" w:sz="6" w:space="0" w:color="000000"/>
              <w:left w:val="single" w:sz="6" w:space="0" w:color="000000"/>
              <w:bottom w:val="single" w:sz="4" w:space="0" w:color="000000"/>
              <w:right w:val="single" w:sz="4" w:space="0" w:color="000000"/>
            </w:tcBorders>
          </w:tcPr>
          <w:p w14:paraId="22B387B1" w14:textId="77777777" w:rsidR="004F5982" w:rsidRPr="00826F05" w:rsidRDefault="004F5982" w:rsidP="004F5982">
            <w:pPr>
              <w:spacing w:after="120" w:line="240" w:lineRule="auto"/>
              <w:jc w:val="both"/>
              <w:rPr>
                <w:rFonts w:ascii="Sylfaen" w:hAnsi="Sylfaen"/>
                <w:sz w:val="24"/>
                <w:szCs w:val="24"/>
              </w:rPr>
            </w:pPr>
          </w:p>
        </w:tc>
      </w:tr>
    </w:tbl>
    <w:p w14:paraId="52BBDBB3" w14:textId="77777777" w:rsidR="004F5982" w:rsidRPr="00826F05" w:rsidRDefault="004F5982" w:rsidP="004F5982">
      <w:pPr>
        <w:spacing w:after="120" w:line="240" w:lineRule="auto"/>
        <w:ind w:left="2835" w:right="-20"/>
        <w:jc w:val="both"/>
        <w:rPr>
          <w:rFonts w:ascii="Sylfaen" w:eastAsia="Times New Roman" w:hAnsi="Sylfaen" w:cs="Times New Roman"/>
          <w:sz w:val="24"/>
          <w:szCs w:val="24"/>
        </w:rPr>
      </w:pPr>
      <w:r w:rsidRPr="00826F05">
        <w:rPr>
          <w:rFonts w:ascii="Sylfaen" w:hAnsi="Sylfaen"/>
          <w:sz w:val="24"/>
          <w:szCs w:val="24"/>
        </w:rPr>
        <w:lastRenderedPageBreak/>
        <w:t>Վարչական տեղեկատվությունը</w:t>
      </w:r>
    </w:p>
    <w:tbl>
      <w:tblPr>
        <w:tblW w:w="9607" w:type="dxa"/>
        <w:tblLayout w:type="fixed"/>
        <w:tblCellMar>
          <w:left w:w="0" w:type="dxa"/>
          <w:right w:w="0" w:type="dxa"/>
        </w:tblCellMar>
        <w:tblLook w:val="01E0" w:firstRow="1" w:lastRow="1" w:firstColumn="1" w:lastColumn="1" w:noHBand="0" w:noVBand="0"/>
      </w:tblPr>
      <w:tblGrid>
        <w:gridCol w:w="5352"/>
        <w:gridCol w:w="4255"/>
      </w:tblGrid>
      <w:tr w:rsidR="004F5982" w:rsidRPr="00826F05" w14:paraId="2219901E" w14:textId="77777777" w:rsidTr="004F5982">
        <w:tc>
          <w:tcPr>
            <w:tcW w:w="5352" w:type="dxa"/>
            <w:tcBorders>
              <w:top w:val="single" w:sz="4" w:space="0" w:color="000000"/>
              <w:left w:val="single" w:sz="4" w:space="0" w:color="000000"/>
              <w:bottom w:val="single" w:sz="6" w:space="0" w:color="000000"/>
              <w:right w:val="single" w:sz="6" w:space="0" w:color="000000"/>
            </w:tcBorders>
          </w:tcPr>
          <w:p w14:paraId="0BE8392C"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Գրանցման հայտի նույնականացման համարը</w:t>
            </w:r>
          </w:p>
        </w:tc>
        <w:tc>
          <w:tcPr>
            <w:tcW w:w="4255" w:type="dxa"/>
            <w:tcBorders>
              <w:top w:val="single" w:sz="4" w:space="0" w:color="000000"/>
              <w:left w:val="single" w:sz="6" w:space="0" w:color="000000"/>
              <w:bottom w:val="single" w:sz="6" w:space="0" w:color="000000"/>
              <w:right w:val="single" w:sz="4" w:space="0" w:color="000000"/>
            </w:tcBorders>
          </w:tcPr>
          <w:p w14:paraId="66E609F9" w14:textId="77777777" w:rsidR="004F5982" w:rsidRPr="00826F05" w:rsidRDefault="004F5982" w:rsidP="004F5982">
            <w:pPr>
              <w:spacing w:after="120" w:line="240" w:lineRule="auto"/>
              <w:jc w:val="both"/>
              <w:rPr>
                <w:rFonts w:ascii="Sylfaen" w:hAnsi="Sylfaen"/>
                <w:sz w:val="24"/>
                <w:szCs w:val="24"/>
              </w:rPr>
            </w:pPr>
          </w:p>
        </w:tc>
      </w:tr>
      <w:tr w:rsidR="004F5982" w:rsidRPr="00826F05" w14:paraId="4FD500E5"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49BA8FA3"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Դեղամիջոցի առ</w:t>
            </w:r>
            <w:r w:rsidR="00C54D75">
              <w:rPr>
                <w:rFonts w:ascii="Sylfaen" w:hAnsi="Sylfaen"/>
                <w:sz w:val="24"/>
                <w:szCs w:val="24"/>
              </w:rPr>
              <w:t>և</w:t>
            </w:r>
            <w:r w:rsidRPr="00826F05">
              <w:rPr>
                <w:rFonts w:ascii="Sylfaen" w:hAnsi="Sylfaen"/>
                <w:sz w:val="24"/>
                <w:szCs w:val="24"/>
              </w:rPr>
              <w:t>տրային անվանումը</w:t>
            </w:r>
          </w:p>
        </w:tc>
        <w:tc>
          <w:tcPr>
            <w:tcW w:w="4255" w:type="dxa"/>
            <w:tcBorders>
              <w:top w:val="single" w:sz="6" w:space="0" w:color="000000"/>
              <w:left w:val="single" w:sz="6" w:space="0" w:color="000000"/>
              <w:bottom w:val="single" w:sz="6" w:space="0" w:color="000000"/>
              <w:right w:val="single" w:sz="4" w:space="0" w:color="000000"/>
            </w:tcBorders>
          </w:tcPr>
          <w:p w14:paraId="152537A9"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2B96A52"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39903B5E" w14:textId="77777777" w:rsidR="004F5982" w:rsidRPr="00826F05" w:rsidRDefault="004F5982" w:rsidP="004F5982">
            <w:pPr>
              <w:spacing w:after="120" w:line="240" w:lineRule="auto"/>
              <w:ind w:left="102" w:right="31"/>
              <w:jc w:val="both"/>
              <w:rPr>
                <w:rFonts w:ascii="Sylfaen" w:eastAsia="Times New Roman" w:hAnsi="Sylfaen" w:cs="Times New Roman"/>
                <w:sz w:val="24"/>
                <w:szCs w:val="24"/>
              </w:rPr>
            </w:pPr>
            <w:r w:rsidRPr="00826F05">
              <w:rPr>
                <w:rFonts w:ascii="Sylfaen" w:hAnsi="Sylfaen"/>
                <w:sz w:val="24"/>
                <w:szCs w:val="24"/>
              </w:rPr>
              <w:t>Միջազգային չարտոնագրված (ՄՉԱ-ն) անվանումը կամ ազդող նյութի (նյութերի) համընդհանուր անվանումը</w:t>
            </w:r>
          </w:p>
        </w:tc>
        <w:tc>
          <w:tcPr>
            <w:tcW w:w="4255" w:type="dxa"/>
            <w:tcBorders>
              <w:top w:val="single" w:sz="6" w:space="0" w:color="000000"/>
              <w:left w:val="single" w:sz="6" w:space="0" w:color="000000"/>
              <w:bottom w:val="single" w:sz="6" w:space="0" w:color="000000"/>
              <w:right w:val="single" w:sz="4" w:space="0" w:color="000000"/>
            </w:tcBorders>
          </w:tcPr>
          <w:p w14:paraId="6D424762" w14:textId="77777777" w:rsidR="004F5982" w:rsidRPr="00826F05" w:rsidRDefault="004F5982" w:rsidP="004F5982">
            <w:pPr>
              <w:spacing w:after="120" w:line="240" w:lineRule="auto"/>
              <w:jc w:val="both"/>
              <w:rPr>
                <w:rFonts w:ascii="Sylfaen" w:hAnsi="Sylfaen"/>
                <w:sz w:val="24"/>
                <w:szCs w:val="24"/>
              </w:rPr>
            </w:pPr>
          </w:p>
        </w:tc>
      </w:tr>
      <w:tr w:rsidR="004F5982" w:rsidRPr="00826F05" w14:paraId="64390EE7"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3E309F09"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Հայտատուն</w:t>
            </w:r>
          </w:p>
        </w:tc>
        <w:tc>
          <w:tcPr>
            <w:tcW w:w="4255" w:type="dxa"/>
            <w:tcBorders>
              <w:top w:val="single" w:sz="6" w:space="0" w:color="000000"/>
              <w:left w:val="single" w:sz="6" w:space="0" w:color="000000"/>
              <w:bottom w:val="single" w:sz="6" w:space="0" w:color="000000"/>
              <w:right w:val="single" w:sz="4" w:space="0" w:color="000000"/>
            </w:tcBorders>
          </w:tcPr>
          <w:p w14:paraId="6A51EE8A" w14:textId="77777777" w:rsidR="004F5982" w:rsidRPr="00826F05" w:rsidRDefault="004F5982" w:rsidP="004F5982">
            <w:pPr>
              <w:spacing w:after="120" w:line="240" w:lineRule="auto"/>
              <w:jc w:val="both"/>
              <w:rPr>
                <w:rFonts w:ascii="Sylfaen" w:hAnsi="Sylfaen"/>
                <w:sz w:val="24"/>
                <w:szCs w:val="24"/>
              </w:rPr>
            </w:pPr>
          </w:p>
        </w:tc>
      </w:tr>
      <w:tr w:rsidR="004F5982" w:rsidRPr="00826F05" w14:paraId="3B4E875D"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7BFDADE6"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Կիրառման հայտագրված ցուցումները</w:t>
            </w:r>
          </w:p>
        </w:tc>
        <w:tc>
          <w:tcPr>
            <w:tcW w:w="4255" w:type="dxa"/>
            <w:tcBorders>
              <w:top w:val="single" w:sz="6" w:space="0" w:color="000000"/>
              <w:left w:val="single" w:sz="6" w:space="0" w:color="000000"/>
              <w:bottom w:val="single" w:sz="6" w:space="0" w:color="000000"/>
              <w:right w:val="single" w:sz="4" w:space="0" w:color="000000"/>
            </w:tcBorders>
          </w:tcPr>
          <w:p w14:paraId="4E0545AB" w14:textId="77777777" w:rsidR="004F5982" w:rsidRPr="00826F05" w:rsidRDefault="004F5982" w:rsidP="004F5982">
            <w:pPr>
              <w:spacing w:after="120" w:line="240" w:lineRule="auto"/>
              <w:jc w:val="both"/>
              <w:rPr>
                <w:rFonts w:ascii="Sylfaen" w:hAnsi="Sylfaen"/>
                <w:sz w:val="24"/>
                <w:szCs w:val="24"/>
              </w:rPr>
            </w:pPr>
          </w:p>
        </w:tc>
      </w:tr>
      <w:tr w:rsidR="004F5982" w:rsidRPr="00826F05" w14:paraId="4DB918AC"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4EABD73F"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Դեղաթերապ</w:t>
            </w:r>
            <w:r w:rsidR="00C54D75">
              <w:rPr>
                <w:rFonts w:ascii="Sylfaen" w:hAnsi="Sylfaen"/>
                <w:sz w:val="24"/>
                <w:szCs w:val="24"/>
              </w:rPr>
              <w:t>և</w:t>
            </w:r>
            <w:r w:rsidRPr="00826F05">
              <w:rPr>
                <w:rFonts w:ascii="Sylfaen" w:hAnsi="Sylfaen"/>
                <w:sz w:val="24"/>
                <w:szCs w:val="24"/>
              </w:rPr>
              <w:t>տիկ խումբը (ԱԲՔ-ծածկագիրը)</w:t>
            </w:r>
          </w:p>
        </w:tc>
        <w:tc>
          <w:tcPr>
            <w:tcW w:w="4255" w:type="dxa"/>
            <w:tcBorders>
              <w:top w:val="single" w:sz="6" w:space="0" w:color="000000"/>
              <w:left w:val="single" w:sz="6" w:space="0" w:color="000000"/>
              <w:bottom w:val="single" w:sz="6" w:space="0" w:color="000000"/>
              <w:right w:val="single" w:sz="4" w:space="0" w:color="000000"/>
            </w:tcBorders>
          </w:tcPr>
          <w:p w14:paraId="316D6B46" w14:textId="77777777" w:rsidR="004F5982" w:rsidRPr="00826F05" w:rsidRDefault="004F5982" w:rsidP="004F5982">
            <w:pPr>
              <w:spacing w:after="120" w:line="240" w:lineRule="auto"/>
              <w:jc w:val="both"/>
              <w:rPr>
                <w:rFonts w:ascii="Sylfaen" w:hAnsi="Sylfaen"/>
                <w:sz w:val="24"/>
                <w:szCs w:val="24"/>
              </w:rPr>
            </w:pPr>
          </w:p>
        </w:tc>
      </w:tr>
      <w:tr w:rsidR="004F5982" w:rsidRPr="00826F05" w14:paraId="6D5072DA" w14:textId="77777777" w:rsidTr="004F5982">
        <w:tc>
          <w:tcPr>
            <w:tcW w:w="5352" w:type="dxa"/>
            <w:tcBorders>
              <w:top w:val="single" w:sz="6" w:space="0" w:color="000000"/>
              <w:left w:val="single" w:sz="4" w:space="0" w:color="000000"/>
              <w:bottom w:val="single" w:sz="6" w:space="0" w:color="000000"/>
              <w:right w:val="single" w:sz="6" w:space="0" w:color="000000"/>
            </w:tcBorders>
          </w:tcPr>
          <w:p w14:paraId="50F459D2"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Դեղաձ</w:t>
            </w:r>
            <w:r w:rsidR="00C54D75">
              <w:rPr>
                <w:rFonts w:ascii="Sylfaen" w:hAnsi="Sylfaen"/>
                <w:sz w:val="24"/>
                <w:szCs w:val="24"/>
              </w:rPr>
              <w:t>և</w:t>
            </w:r>
            <w:r w:rsidRPr="00826F05">
              <w:rPr>
                <w:rFonts w:ascii="Sylfaen" w:hAnsi="Sylfaen"/>
                <w:sz w:val="24"/>
                <w:szCs w:val="24"/>
              </w:rPr>
              <w:t xml:space="preserve">ը </w:t>
            </w:r>
            <w:r w:rsidR="00C54D75">
              <w:rPr>
                <w:rFonts w:ascii="Sylfaen" w:hAnsi="Sylfaen"/>
                <w:sz w:val="24"/>
                <w:szCs w:val="24"/>
              </w:rPr>
              <w:t>և</w:t>
            </w:r>
            <w:r w:rsidRPr="00826F05">
              <w:rPr>
                <w:rFonts w:ascii="Sylfaen" w:hAnsi="Sylfaen"/>
                <w:sz w:val="24"/>
                <w:szCs w:val="24"/>
              </w:rPr>
              <w:t xml:space="preserve"> դեղաչափը (դեղաչափերը)</w:t>
            </w:r>
          </w:p>
        </w:tc>
        <w:tc>
          <w:tcPr>
            <w:tcW w:w="4255" w:type="dxa"/>
            <w:tcBorders>
              <w:top w:val="single" w:sz="6" w:space="0" w:color="000000"/>
              <w:left w:val="single" w:sz="6" w:space="0" w:color="000000"/>
              <w:bottom w:val="single" w:sz="6" w:space="0" w:color="000000"/>
              <w:right w:val="single" w:sz="4" w:space="0" w:color="000000"/>
            </w:tcBorders>
          </w:tcPr>
          <w:p w14:paraId="4926B73D" w14:textId="77777777" w:rsidR="004F5982" w:rsidRPr="00826F05" w:rsidRDefault="004F5982" w:rsidP="004F5982">
            <w:pPr>
              <w:spacing w:after="120" w:line="240" w:lineRule="auto"/>
              <w:jc w:val="both"/>
              <w:rPr>
                <w:rFonts w:ascii="Sylfaen" w:hAnsi="Sylfaen"/>
                <w:sz w:val="24"/>
                <w:szCs w:val="24"/>
              </w:rPr>
            </w:pPr>
          </w:p>
        </w:tc>
      </w:tr>
      <w:tr w:rsidR="004F5982" w:rsidRPr="00826F05" w14:paraId="285DCC76" w14:textId="77777777" w:rsidTr="004F5982">
        <w:tc>
          <w:tcPr>
            <w:tcW w:w="5352" w:type="dxa"/>
            <w:tcBorders>
              <w:top w:val="single" w:sz="6" w:space="0" w:color="000000"/>
              <w:left w:val="single" w:sz="4" w:space="0" w:color="000000"/>
              <w:bottom w:val="single" w:sz="4" w:space="0" w:color="000000"/>
              <w:right w:val="single" w:sz="6" w:space="0" w:color="000000"/>
            </w:tcBorders>
          </w:tcPr>
          <w:p w14:paraId="42531147" w14:textId="77777777" w:rsidR="004F5982" w:rsidRPr="00826F05" w:rsidRDefault="004F5982" w:rsidP="004F5982">
            <w:pPr>
              <w:spacing w:after="120" w:line="240" w:lineRule="auto"/>
              <w:ind w:left="102" w:right="-20"/>
              <w:jc w:val="both"/>
              <w:rPr>
                <w:rFonts w:ascii="Sylfaen" w:eastAsia="Times New Roman" w:hAnsi="Sylfaen" w:cs="Times New Roman"/>
                <w:sz w:val="24"/>
                <w:szCs w:val="24"/>
              </w:rPr>
            </w:pPr>
            <w:r w:rsidRPr="00826F05">
              <w:rPr>
                <w:rFonts w:ascii="Sylfaen" w:hAnsi="Sylfaen"/>
                <w:sz w:val="24"/>
                <w:szCs w:val="24"/>
              </w:rPr>
              <w:t xml:space="preserve">Զեկուցողի փորձագետները (ներքին </w:t>
            </w:r>
            <w:r w:rsidR="00C54D75">
              <w:rPr>
                <w:rFonts w:ascii="Sylfaen" w:hAnsi="Sylfaen"/>
                <w:sz w:val="24"/>
                <w:szCs w:val="24"/>
              </w:rPr>
              <w:t>և</w:t>
            </w:r>
            <w:r w:rsidRPr="00826F05">
              <w:rPr>
                <w:rFonts w:ascii="Sylfaen" w:hAnsi="Sylfaen"/>
                <w:sz w:val="24"/>
                <w:szCs w:val="24"/>
              </w:rPr>
              <w:t xml:space="preserve"> անկախ)</w:t>
            </w:r>
          </w:p>
        </w:tc>
        <w:tc>
          <w:tcPr>
            <w:tcW w:w="4255" w:type="dxa"/>
            <w:tcBorders>
              <w:top w:val="single" w:sz="6" w:space="0" w:color="000000"/>
              <w:left w:val="single" w:sz="6" w:space="0" w:color="000000"/>
              <w:bottom w:val="single" w:sz="4" w:space="0" w:color="000000"/>
              <w:right w:val="single" w:sz="4" w:space="0" w:color="000000"/>
            </w:tcBorders>
          </w:tcPr>
          <w:p w14:paraId="07CAA2D8"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3-րդ մոդուլի փորձագետ (որակ)՝</w:t>
            </w:r>
          </w:p>
          <w:p w14:paraId="03D5E7FA"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Ա.Ա.Հ.՝</w:t>
            </w:r>
          </w:p>
          <w:p w14:paraId="40311B71"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հեռախոսահամարը (ֆաքսը)՝</w:t>
            </w:r>
          </w:p>
          <w:p w14:paraId="36F68BAD"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էլեկտրոնային փոստի հասցեն՝</w:t>
            </w:r>
          </w:p>
          <w:p w14:paraId="2B594C95" w14:textId="77777777" w:rsidR="004F5982" w:rsidRPr="00826F05" w:rsidRDefault="004F5982" w:rsidP="004F5982">
            <w:pPr>
              <w:spacing w:after="120" w:line="240" w:lineRule="auto"/>
              <w:jc w:val="both"/>
              <w:rPr>
                <w:rFonts w:ascii="Sylfaen" w:hAnsi="Sylfaen"/>
                <w:sz w:val="24"/>
                <w:szCs w:val="24"/>
              </w:rPr>
            </w:pPr>
          </w:p>
          <w:p w14:paraId="1BDBB6B7" w14:textId="77777777" w:rsidR="004F5982" w:rsidRPr="00826F05" w:rsidRDefault="004F5982" w:rsidP="004F5982">
            <w:pPr>
              <w:spacing w:after="120" w:line="240" w:lineRule="auto"/>
              <w:ind w:left="100" w:right="34"/>
              <w:jc w:val="both"/>
              <w:rPr>
                <w:rFonts w:ascii="Sylfaen" w:eastAsia="Times New Roman" w:hAnsi="Sylfaen" w:cs="Times New Roman"/>
                <w:sz w:val="24"/>
                <w:szCs w:val="24"/>
              </w:rPr>
            </w:pPr>
            <w:r w:rsidRPr="00826F05">
              <w:rPr>
                <w:rFonts w:ascii="Sylfaen" w:hAnsi="Sylfaen"/>
                <w:sz w:val="24"/>
                <w:szCs w:val="24"/>
              </w:rPr>
              <w:t>3-րդ մոդուլի փորձագետ (նախակլինիկա)՝</w:t>
            </w:r>
          </w:p>
          <w:p w14:paraId="56FD4200"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Ա.Ա.Հ.՝</w:t>
            </w:r>
          </w:p>
          <w:p w14:paraId="4CD9EAB1"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հեռախոսահամարը (ֆաքսը)՝</w:t>
            </w:r>
          </w:p>
          <w:p w14:paraId="5F0D6955"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էլեկտրոնային փոստի հասցեն՝</w:t>
            </w:r>
          </w:p>
          <w:p w14:paraId="208EC456" w14:textId="77777777" w:rsidR="004F5982" w:rsidRPr="00826F05" w:rsidRDefault="004F5982" w:rsidP="004F5982">
            <w:pPr>
              <w:spacing w:after="120" w:line="240" w:lineRule="auto"/>
              <w:jc w:val="both"/>
              <w:rPr>
                <w:rFonts w:ascii="Sylfaen" w:hAnsi="Sylfaen"/>
                <w:sz w:val="24"/>
                <w:szCs w:val="24"/>
              </w:rPr>
            </w:pPr>
          </w:p>
          <w:p w14:paraId="200EE4A5" w14:textId="77777777" w:rsidR="004F5982" w:rsidRPr="00826F05" w:rsidRDefault="004F5982" w:rsidP="004F5982">
            <w:pPr>
              <w:spacing w:after="120" w:line="240" w:lineRule="auto"/>
              <w:ind w:left="100" w:right="34"/>
              <w:jc w:val="both"/>
              <w:rPr>
                <w:rFonts w:ascii="Sylfaen" w:eastAsia="Times New Roman" w:hAnsi="Sylfaen" w:cs="Times New Roman"/>
                <w:sz w:val="24"/>
                <w:szCs w:val="24"/>
              </w:rPr>
            </w:pPr>
            <w:r w:rsidRPr="00826F05">
              <w:rPr>
                <w:rFonts w:ascii="Sylfaen" w:hAnsi="Sylfaen"/>
                <w:sz w:val="24"/>
                <w:szCs w:val="24"/>
              </w:rPr>
              <w:t>5-րդ մոդուլի փորձագետը (կլինիկա)՝</w:t>
            </w:r>
          </w:p>
          <w:p w14:paraId="766659C4"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Ա.Ա.Հ.՝</w:t>
            </w:r>
          </w:p>
          <w:p w14:paraId="4F8EAD83"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հեռախոսահամարը (ֆաքսը)՝</w:t>
            </w:r>
          </w:p>
          <w:p w14:paraId="2FA3576D" w14:textId="77777777" w:rsidR="004F5982" w:rsidRPr="00826F05" w:rsidRDefault="004F5982" w:rsidP="004F5982">
            <w:pPr>
              <w:spacing w:after="120" w:line="240" w:lineRule="auto"/>
              <w:ind w:left="100" w:right="-20"/>
              <w:jc w:val="both"/>
              <w:rPr>
                <w:rFonts w:ascii="Sylfaen" w:eastAsia="Times New Roman" w:hAnsi="Sylfaen" w:cs="Times New Roman"/>
                <w:sz w:val="24"/>
                <w:szCs w:val="24"/>
              </w:rPr>
            </w:pPr>
            <w:r w:rsidRPr="00826F05">
              <w:rPr>
                <w:rFonts w:ascii="Sylfaen" w:hAnsi="Sylfaen"/>
                <w:sz w:val="24"/>
                <w:szCs w:val="24"/>
              </w:rPr>
              <w:t>էլեկտրոնային փոստի հասցեն՝</w:t>
            </w:r>
          </w:p>
        </w:tc>
      </w:tr>
    </w:tbl>
    <w:p w14:paraId="317998DE" w14:textId="77777777" w:rsidR="004F5982" w:rsidRPr="00826F05" w:rsidRDefault="004F5982" w:rsidP="004F5982">
      <w:pPr>
        <w:spacing w:after="120" w:line="240" w:lineRule="auto"/>
        <w:jc w:val="both"/>
        <w:rPr>
          <w:rFonts w:ascii="Sylfaen" w:hAnsi="Sylfaen"/>
          <w:sz w:val="24"/>
          <w:szCs w:val="24"/>
        </w:rPr>
      </w:pPr>
    </w:p>
    <w:p w14:paraId="20EA59DD" w14:textId="77777777" w:rsidR="004F5982" w:rsidRPr="00826F05" w:rsidRDefault="004F5982" w:rsidP="004F5982">
      <w:pPr>
        <w:spacing w:after="160" w:line="360" w:lineRule="auto"/>
        <w:ind w:left="567" w:right="565"/>
        <w:jc w:val="center"/>
        <w:rPr>
          <w:rFonts w:ascii="Sylfaen" w:hAnsi="Sylfaen"/>
          <w:sz w:val="24"/>
          <w:szCs w:val="24"/>
        </w:rPr>
      </w:pPr>
      <w:r w:rsidRPr="00826F05">
        <w:rPr>
          <w:rFonts w:ascii="Sylfaen" w:hAnsi="Sylfaen"/>
          <w:sz w:val="24"/>
          <w:szCs w:val="24"/>
        </w:rPr>
        <w:t>Հապավումների ցանկը</w:t>
      </w:r>
    </w:p>
    <w:p w14:paraId="59862543" w14:textId="77777777" w:rsidR="004F5982" w:rsidRDefault="004F5982" w:rsidP="004F5982">
      <w:pPr>
        <w:widowControl/>
        <w:rPr>
          <w:rFonts w:ascii="Sylfaen" w:hAnsi="Sylfaen"/>
          <w:sz w:val="24"/>
          <w:szCs w:val="24"/>
        </w:rPr>
      </w:pPr>
      <w:r>
        <w:rPr>
          <w:rFonts w:ascii="Sylfaen" w:hAnsi="Sylfaen"/>
          <w:sz w:val="24"/>
          <w:szCs w:val="24"/>
        </w:rPr>
        <w:br w:type="page"/>
      </w:r>
    </w:p>
    <w:p w14:paraId="0A505B1A"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1. Նախակլինիկական գնահատում</w:t>
      </w:r>
    </w:p>
    <w:p w14:paraId="47C3AD2A"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&lt;Տրամադրված է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նախակլինիկական տեղեկագիր, որը [բերել տեղեկագրի համառոտ բնութագիրը]: Տեղեկագրում բերվում է նախակլինիկական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լրացուցիչ տվյալների ներկայացման անհրաժեշտության բացակայության հիմնավորումը: ԴԸԲ-ի նախակլինիկական ասպեկտները համաձայնեցվում են համեմատման պատրաստուկի ԴԸԲ-ի հետ: Փորձագիտական գնահատման արդյունքներով սահմանվել է խառնուկների պրոֆիլի ընդունելիություն&gt;:</w:t>
      </w:r>
    </w:p>
    <w:p w14:paraId="38D7115B"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&lt;Համարում եմ, որ նախակլինիկական տեղեկագիրը հիմնված է գիտական գրականության ժամանակակից </w:t>
      </w:r>
      <w:r w:rsidR="00C54D75">
        <w:rPr>
          <w:rFonts w:ascii="Sylfaen" w:hAnsi="Sylfaen"/>
          <w:i/>
          <w:sz w:val="24"/>
          <w:szCs w:val="24"/>
        </w:rPr>
        <w:t>և</w:t>
      </w:r>
      <w:r w:rsidRPr="00826F05">
        <w:rPr>
          <w:rFonts w:ascii="Sylfaen" w:hAnsi="Sylfaen"/>
          <w:i/>
          <w:sz w:val="24"/>
          <w:szCs w:val="24"/>
        </w:rPr>
        <w:t xml:space="preserve"> բավարար տվյալների վրա: Նախակլինիկական լրացուցիչ տվյալների տրամադրման անհրաժեշտությունը բացակայում է&gt;:</w:t>
      </w:r>
    </w:p>
    <w:p w14:paraId="2DC1958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&lt;Համարում եմ, որ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նախակլինիկական տեղեկագիրն անընդունելի է, քանի որ [ներկայացնել մեկնաբանությունը]&gt;:</w:t>
      </w:r>
    </w:p>
    <w:p w14:paraId="7691D166" w14:textId="77777777" w:rsidR="004F5982" w:rsidRPr="00826F05" w:rsidRDefault="004F5982" w:rsidP="00487007">
      <w:pPr>
        <w:spacing w:after="160" w:line="360" w:lineRule="auto"/>
        <w:ind w:firstLine="567"/>
        <w:jc w:val="both"/>
        <w:rPr>
          <w:rFonts w:ascii="Sylfaen" w:hAnsi="Sylfaen"/>
          <w:i/>
          <w:sz w:val="24"/>
          <w:szCs w:val="24"/>
        </w:rPr>
      </w:pPr>
      <w:r w:rsidRPr="00826F05">
        <w:rPr>
          <w:rFonts w:ascii="Sylfaen" w:hAnsi="Sylfaen"/>
          <w:i/>
          <w:sz w:val="24"/>
          <w:szCs w:val="24"/>
        </w:rPr>
        <w:t xml:space="preserve">&lt;[Դեղապատրաստուկի անվանումը] նախակլինիկական տվյալների վերաբերյալ գրական աղբյուրների ռեզյումեն </w:t>
      </w:r>
      <w:r w:rsidR="00C54D75">
        <w:rPr>
          <w:rFonts w:ascii="Sylfaen" w:hAnsi="Sylfaen"/>
          <w:i/>
          <w:sz w:val="24"/>
          <w:szCs w:val="24"/>
        </w:rPr>
        <w:t>և</w:t>
      </w:r>
      <w:r w:rsidRPr="00826F05">
        <w:rPr>
          <w:rFonts w:ascii="Sylfaen" w:hAnsi="Sylfaen"/>
          <w:i/>
          <w:sz w:val="24"/>
          <w:szCs w:val="24"/>
        </w:rPr>
        <w:t xml:space="preserve"> այն բանի հիմնավորումը, որ ազդող նյութի այլ [աղը, բարդ եթերը, պարզ եթերը, իզոմերը, իզոմերների խառնուրդը, կոմպլեքսը, ածանցյալը] հատկանիշներով էականորեն չի</w:t>
      </w:r>
      <w:r>
        <w:rPr>
          <w:rFonts w:ascii="Sylfaen" w:hAnsi="Sylfaen"/>
          <w:i/>
          <w:sz w:val="24"/>
          <w:szCs w:val="24"/>
        </w:rPr>
        <w:t> </w:t>
      </w:r>
      <w:r w:rsidRPr="00826F05">
        <w:rPr>
          <w:rFonts w:ascii="Sylfaen" w:hAnsi="Sylfaen"/>
          <w:i/>
          <w:sz w:val="24"/>
          <w:szCs w:val="24"/>
        </w:rPr>
        <w:t xml:space="preserve">տարբերվում համեմատման պատրաստուկի անվտանգության </w:t>
      </w:r>
      <w:r w:rsidR="00C54D75">
        <w:rPr>
          <w:rFonts w:ascii="Sylfaen" w:hAnsi="Sylfaen"/>
          <w:i/>
          <w:sz w:val="24"/>
          <w:szCs w:val="24"/>
        </w:rPr>
        <w:t>և</w:t>
      </w:r>
      <w:r w:rsidRPr="00826F05">
        <w:rPr>
          <w:rFonts w:ascii="Sylfaen" w:hAnsi="Sylfaen"/>
          <w:i/>
          <w:sz w:val="24"/>
          <w:szCs w:val="24"/>
        </w:rPr>
        <w:t xml:space="preserve"> արդյունավետության պրոֆիլից, ներկայացվել են [չեն ներկայացվել] </w:t>
      </w:r>
      <w:r w:rsidR="00C54D75">
        <w:rPr>
          <w:rFonts w:ascii="Sylfaen" w:hAnsi="Sylfaen"/>
          <w:i/>
          <w:sz w:val="24"/>
          <w:szCs w:val="24"/>
        </w:rPr>
        <w:t>և</w:t>
      </w:r>
      <w:r w:rsidRPr="00826F05">
        <w:rPr>
          <w:rFonts w:ascii="Sylfaen" w:hAnsi="Sylfaen"/>
          <w:i/>
          <w:sz w:val="24"/>
          <w:szCs w:val="24"/>
        </w:rPr>
        <w:t xml:space="preserve"> ընդունվում</w:t>
      </w:r>
      <w:r>
        <w:rPr>
          <w:rFonts w:ascii="Sylfaen" w:hAnsi="Sylfaen"/>
          <w:i/>
          <w:sz w:val="24"/>
          <w:szCs w:val="24"/>
        </w:rPr>
        <w:t> </w:t>
      </w:r>
      <w:r w:rsidRPr="00826F05">
        <w:rPr>
          <w:rFonts w:ascii="Sylfaen" w:hAnsi="Sylfaen"/>
          <w:i/>
          <w:sz w:val="24"/>
          <w:szCs w:val="24"/>
        </w:rPr>
        <w:t>են [չեն ընդունվում] լիազորված մարմնի կողմից: Սա</w:t>
      </w:r>
      <w:r>
        <w:rPr>
          <w:rFonts w:ascii="Sylfaen" w:hAnsi="Sylfaen"/>
          <w:i/>
          <w:sz w:val="24"/>
          <w:szCs w:val="24"/>
        </w:rPr>
        <w:t> </w:t>
      </w:r>
      <w:r w:rsidRPr="00826F05">
        <w:rPr>
          <w:rFonts w:ascii="Sylfaen" w:hAnsi="Sylfaen"/>
          <w:i/>
          <w:sz w:val="24"/>
          <w:szCs w:val="24"/>
        </w:rPr>
        <w:t>համաձայնեցվում է [չի համաձայնեցվում] Միության մարմինների համապատասխան ակտերի հետ, այդ պատճառով էլ պահանջվում է [չի</w:t>
      </w:r>
      <w:r>
        <w:rPr>
          <w:rFonts w:ascii="Sylfaen" w:hAnsi="Sylfaen"/>
          <w:i/>
          <w:sz w:val="24"/>
          <w:szCs w:val="24"/>
        </w:rPr>
        <w:t> </w:t>
      </w:r>
      <w:r w:rsidRPr="00826F05">
        <w:rPr>
          <w:rFonts w:ascii="Sylfaen" w:hAnsi="Sylfaen"/>
          <w:i/>
          <w:sz w:val="24"/>
          <w:szCs w:val="24"/>
        </w:rPr>
        <w:t>պահանջվում] նախակլինիկական լրացուցիչ հետազոտությունների անցկացում&gt;:</w:t>
      </w:r>
    </w:p>
    <w:p w14:paraId="531B3E33" w14:textId="77777777" w:rsidR="004F5982" w:rsidRDefault="004F5982" w:rsidP="00487007">
      <w:pPr>
        <w:spacing w:after="160" w:line="360" w:lineRule="auto"/>
        <w:ind w:right="35"/>
        <w:jc w:val="both"/>
        <w:rPr>
          <w:rFonts w:ascii="Sylfaen" w:hAnsi="Sylfaen"/>
          <w:sz w:val="24"/>
          <w:szCs w:val="24"/>
        </w:rPr>
      </w:pPr>
    </w:p>
    <w:p w14:paraId="572E0604"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Ներածություն</w:t>
      </w:r>
    </w:p>
    <w:p w14:paraId="1BA998FA"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lastRenderedPageBreak/>
        <w:t>1.1. GLP-ասպեկտներ</w:t>
      </w:r>
    </w:p>
    <w:p w14:paraId="545E7A46"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1.2. Դեղաբանություն</w:t>
      </w:r>
    </w:p>
    <w:p w14:paraId="4785A5E6"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1.3. Դեղակինետիկա</w:t>
      </w:r>
    </w:p>
    <w:p w14:paraId="6D3A338E"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1.4. Թունաբանություն</w:t>
      </w:r>
    </w:p>
    <w:p w14:paraId="6CD8C7F8"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1.5. Նախակլինիկական ասպեկտների վերաբերյալ եզրակացությունը</w:t>
      </w:r>
    </w:p>
    <w:p w14:paraId="537C58D3"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&lt;Նախակլինիկական տեսանկյունից &lt;առ</w:t>
      </w:r>
      <w:r w:rsidR="00C54D75">
        <w:rPr>
          <w:rFonts w:ascii="Sylfaen" w:hAnsi="Sylfaen"/>
          <w:i/>
          <w:sz w:val="24"/>
          <w:szCs w:val="24"/>
        </w:rPr>
        <w:t>և</w:t>
      </w:r>
      <w:r w:rsidRPr="00826F05">
        <w:rPr>
          <w:rFonts w:ascii="Sylfaen" w:hAnsi="Sylfaen"/>
          <w:i/>
          <w:sz w:val="24"/>
          <w:szCs w:val="24"/>
        </w:rPr>
        <w:t>տրային անվանումը&gt;՝ գրանցման խոչընդոտները բացակայում են&gt;:</w:t>
      </w:r>
    </w:p>
    <w:p w14:paraId="64686780"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&lt;Ինչպես նշված է վեր</w:t>
      </w:r>
      <w:r w:rsidR="00C54D75">
        <w:rPr>
          <w:rFonts w:ascii="Sylfaen" w:hAnsi="Sylfaen"/>
          <w:i/>
          <w:sz w:val="24"/>
          <w:szCs w:val="24"/>
        </w:rPr>
        <w:t>և</w:t>
      </w:r>
      <w:r w:rsidRPr="00826F05">
        <w:rPr>
          <w:rFonts w:ascii="Sylfaen" w:hAnsi="Sylfaen"/>
          <w:i/>
          <w:sz w:val="24"/>
          <w:szCs w:val="24"/>
        </w:rPr>
        <w:t>ում, առկա են մի շարք դիտողություններ, որոնք անհրաժեշտ է վերացնել (տե՛ս դիտողությունների ցանկը)&gt;:</w:t>
      </w:r>
    </w:p>
    <w:p w14:paraId="145772F8"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&lt;Նախակլինիկական ասպեկտների մասով դիտողությունները վերացնելու համար անհրաժեշտ եմ համարում հետ</w:t>
      </w:r>
      <w:r w:rsidR="00C54D75">
        <w:rPr>
          <w:rFonts w:ascii="Sylfaen" w:hAnsi="Sylfaen"/>
          <w:i/>
          <w:sz w:val="24"/>
          <w:szCs w:val="24"/>
        </w:rPr>
        <w:t>և</w:t>
      </w:r>
      <w:r w:rsidRPr="00826F05">
        <w:rPr>
          <w:rFonts w:ascii="Sylfaen" w:hAnsi="Sylfaen"/>
          <w:i/>
          <w:sz w:val="24"/>
          <w:szCs w:val="24"/>
        </w:rPr>
        <w:t>յալ միջոցների ձեռնարկումը՝ [թվարկել</w:t>
      </w:r>
      <w:r>
        <w:rPr>
          <w:rFonts w:ascii="Sylfaen" w:hAnsi="Sylfaen"/>
          <w:i/>
          <w:sz w:val="24"/>
          <w:szCs w:val="24"/>
        </w:rPr>
        <w:t> </w:t>
      </w:r>
      <w:r w:rsidRPr="00826F05">
        <w:rPr>
          <w:rFonts w:ascii="Sylfaen" w:hAnsi="Sylfaen"/>
          <w:i/>
          <w:sz w:val="24"/>
          <w:szCs w:val="24"/>
        </w:rPr>
        <w:t>անհրաժեշտ միջոցները]&gt;:</w:t>
      </w:r>
    </w:p>
    <w:p w14:paraId="79E242EC" w14:textId="77777777" w:rsidR="004F5982" w:rsidRDefault="004F5982" w:rsidP="00487007">
      <w:pPr>
        <w:spacing w:after="160" w:line="360" w:lineRule="auto"/>
        <w:ind w:left="567" w:right="565"/>
        <w:jc w:val="center"/>
        <w:rPr>
          <w:rFonts w:ascii="Sylfaen" w:hAnsi="Sylfaen"/>
          <w:sz w:val="24"/>
          <w:szCs w:val="24"/>
        </w:rPr>
      </w:pPr>
    </w:p>
    <w:p w14:paraId="782E45BA"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2. Կլինիկական ասպեկտները</w:t>
      </w:r>
    </w:p>
    <w:p w14:paraId="2235E34A"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2.1. Ներածություն</w:t>
      </w:r>
    </w:p>
    <w:p w14:paraId="085D44F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&lt;Փորձաքննությունն անց է կացվել Միության վերարտադրված դեղապատրաստուկների կենսահամարժեքության հետազոտությունների անցկացման կանոնների օգտագործմամբ, ինչպես նա</w:t>
      </w:r>
      <w:r w:rsidR="00C54D75">
        <w:rPr>
          <w:rFonts w:ascii="Sylfaen" w:hAnsi="Sylfaen"/>
          <w:i/>
          <w:sz w:val="24"/>
          <w:szCs w:val="24"/>
        </w:rPr>
        <w:t>և</w:t>
      </w:r>
      <w:r w:rsidRPr="00826F05">
        <w:rPr>
          <w:rFonts w:ascii="Sylfaen" w:hAnsi="Sylfaen"/>
          <w:i/>
          <w:sz w:val="24"/>
          <w:szCs w:val="24"/>
        </w:rPr>
        <w:t xml:space="preserve"> [նշել այլ համապատասխան պարտադիր ակտերի </w:t>
      </w:r>
      <w:r w:rsidR="00C54D75">
        <w:rPr>
          <w:rFonts w:ascii="Sylfaen" w:hAnsi="Sylfaen"/>
          <w:i/>
          <w:sz w:val="24"/>
          <w:szCs w:val="24"/>
        </w:rPr>
        <w:t>և</w:t>
      </w:r>
      <w:r w:rsidRPr="00826F05">
        <w:rPr>
          <w:rFonts w:ascii="Sylfaen" w:hAnsi="Sylfaen"/>
          <w:i/>
          <w:sz w:val="24"/>
          <w:szCs w:val="24"/>
        </w:rPr>
        <w:t xml:space="preserve"> հանձնարարականների անվանումները]&gt;:</w:t>
      </w:r>
    </w:p>
    <w:p w14:paraId="7D2B31E2" w14:textId="77777777" w:rsidR="004F5982" w:rsidRPr="00826F05" w:rsidRDefault="004F5982" w:rsidP="00487007">
      <w:pPr>
        <w:tabs>
          <w:tab w:val="left" w:pos="1701"/>
        </w:tabs>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&lt;Հայտատուն ստացել է [չի ստացել] կլինիկական մշակման վերաբերյալ լիազորված փորձագիտական կազմակերպության գիտական խորհրդատվությունը:</w:t>
      </w:r>
    </w:p>
    <w:p w14:paraId="7D25A4DB" w14:textId="77777777" w:rsidR="004F5982" w:rsidRPr="00826F05" w:rsidRDefault="004F5982" w:rsidP="00487007">
      <w:pPr>
        <w:spacing w:after="160" w:line="360" w:lineRule="auto"/>
        <w:ind w:right="-2" w:firstLine="567"/>
        <w:jc w:val="both"/>
        <w:rPr>
          <w:rFonts w:ascii="Sylfaen" w:hAnsi="Sylfaen"/>
          <w:i/>
          <w:sz w:val="24"/>
          <w:szCs w:val="24"/>
        </w:rPr>
      </w:pPr>
      <w:r w:rsidRPr="004336EC">
        <w:rPr>
          <w:rFonts w:ascii="Sylfaen" w:hAnsi="Sylfaen"/>
          <w:i/>
          <w:spacing w:val="-6"/>
          <w:sz w:val="24"/>
          <w:szCs w:val="24"/>
        </w:rPr>
        <w:t>Տվյալ խորհրդատվությունը վերաբերել է հետ</w:t>
      </w:r>
      <w:r w:rsidR="00C54D75">
        <w:rPr>
          <w:rFonts w:ascii="Sylfaen" w:hAnsi="Sylfaen"/>
          <w:i/>
          <w:spacing w:val="-6"/>
          <w:sz w:val="24"/>
          <w:szCs w:val="24"/>
        </w:rPr>
        <w:t>և</w:t>
      </w:r>
      <w:r w:rsidRPr="004336EC">
        <w:rPr>
          <w:rFonts w:ascii="Sylfaen" w:hAnsi="Sylfaen"/>
          <w:i/>
          <w:spacing w:val="-6"/>
          <w:sz w:val="24"/>
          <w:szCs w:val="24"/>
        </w:rPr>
        <w:t>յալին՝ [ներկայացնել ռեզյումեն]: Հայտատուն օգտվել է [չի օգտվել]</w:t>
      </w:r>
      <w:r w:rsidRPr="00826F05">
        <w:rPr>
          <w:rFonts w:ascii="Sylfaen" w:hAnsi="Sylfaen"/>
          <w:i/>
          <w:sz w:val="24"/>
          <w:szCs w:val="24"/>
        </w:rPr>
        <w:t xml:space="preserve"> տվյալ գիտական խորհրդատվությունից&gt;:</w:t>
      </w:r>
    </w:p>
    <w:p w14:paraId="28326C35" w14:textId="77777777" w:rsidR="004F5982" w:rsidRPr="00826F05" w:rsidRDefault="004F5982" w:rsidP="00487007">
      <w:pPr>
        <w:spacing w:after="160" w:line="360" w:lineRule="auto"/>
        <w:ind w:left="567" w:right="567"/>
        <w:jc w:val="center"/>
        <w:rPr>
          <w:rFonts w:ascii="Sylfaen" w:eastAsia="Times New Roman" w:hAnsi="Sylfaen" w:cs="Times New Roman"/>
          <w:sz w:val="24"/>
          <w:szCs w:val="24"/>
        </w:rPr>
      </w:pPr>
      <w:r w:rsidRPr="00826F05">
        <w:rPr>
          <w:rFonts w:ascii="Sylfaen" w:hAnsi="Sylfaen"/>
          <w:sz w:val="24"/>
          <w:szCs w:val="24"/>
        </w:rPr>
        <w:t xml:space="preserve">2.1.1. Միության պատշաճ կլինիկական գործունեության կանոնների </w:t>
      </w:r>
      <w:r w:rsidRPr="00826F05">
        <w:rPr>
          <w:rFonts w:ascii="Sylfaen" w:hAnsi="Sylfaen"/>
          <w:sz w:val="24"/>
          <w:szCs w:val="24"/>
        </w:rPr>
        <w:lastRenderedPageBreak/>
        <w:t>պահանջներին համապատասխանության ասպեկտները</w:t>
      </w:r>
    </w:p>
    <w:p w14:paraId="316DF077" w14:textId="77777777" w:rsidR="004F5982" w:rsidRPr="00826F05" w:rsidRDefault="004F5982" w:rsidP="00487007">
      <w:pPr>
        <w:spacing w:after="160" w:line="360" w:lineRule="auto"/>
        <w:ind w:left="567" w:right="567"/>
        <w:jc w:val="center"/>
        <w:rPr>
          <w:rFonts w:ascii="Sylfaen" w:eastAsia="Times New Roman" w:hAnsi="Sylfaen" w:cs="Times New Roman"/>
          <w:sz w:val="24"/>
          <w:szCs w:val="24"/>
        </w:rPr>
      </w:pPr>
      <w:r w:rsidRPr="00826F05">
        <w:rPr>
          <w:rFonts w:ascii="Sylfaen" w:hAnsi="Sylfaen"/>
          <w:sz w:val="24"/>
          <w:szCs w:val="24"/>
        </w:rPr>
        <w:t>2.2. Բիովեյվերները</w:t>
      </w:r>
    </w:p>
    <w:p w14:paraId="61AEDC72" w14:textId="77777777" w:rsidR="004F5982" w:rsidRPr="00826F05" w:rsidRDefault="004F5982" w:rsidP="00487007">
      <w:pPr>
        <w:spacing w:after="160" w:line="360" w:lineRule="auto"/>
        <w:ind w:left="567" w:right="567"/>
        <w:jc w:val="center"/>
        <w:rPr>
          <w:rFonts w:ascii="Sylfaen" w:eastAsia="Times New Roman" w:hAnsi="Sylfaen" w:cs="Times New Roman"/>
          <w:sz w:val="24"/>
          <w:szCs w:val="24"/>
        </w:rPr>
      </w:pPr>
      <w:r w:rsidRPr="00826F05">
        <w:rPr>
          <w:rFonts w:ascii="Sylfaen" w:hAnsi="Sylfaen"/>
          <w:sz w:val="24"/>
          <w:szCs w:val="24"/>
        </w:rPr>
        <w:t>2.3. Կլինիկական դեղաբանությունը</w:t>
      </w:r>
    </w:p>
    <w:p w14:paraId="0C4BEBBE" w14:textId="77777777" w:rsidR="004F5982" w:rsidRPr="00826F05" w:rsidRDefault="004F5982" w:rsidP="00487007">
      <w:pPr>
        <w:spacing w:after="160" w:line="360" w:lineRule="auto"/>
        <w:ind w:left="567" w:right="567"/>
        <w:jc w:val="center"/>
        <w:rPr>
          <w:rFonts w:ascii="Sylfaen" w:eastAsia="Times New Roman" w:hAnsi="Sylfaen" w:cs="Times New Roman"/>
          <w:sz w:val="24"/>
          <w:szCs w:val="24"/>
        </w:rPr>
      </w:pPr>
      <w:r w:rsidRPr="00826F05">
        <w:rPr>
          <w:rFonts w:ascii="Sylfaen" w:hAnsi="Sylfaen"/>
          <w:sz w:val="24"/>
          <w:szCs w:val="24"/>
        </w:rPr>
        <w:t>2.3.1. Դեղակինետիկան</w:t>
      </w:r>
    </w:p>
    <w:p w14:paraId="579F81D5" w14:textId="77777777" w:rsidR="004F5982" w:rsidRPr="00826F05" w:rsidRDefault="004F5982" w:rsidP="00487007">
      <w:pPr>
        <w:spacing w:after="160" w:line="360" w:lineRule="auto"/>
        <w:ind w:right="-2" w:firstLine="567"/>
        <w:jc w:val="both"/>
        <w:rPr>
          <w:rFonts w:ascii="Sylfaen" w:eastAsia="Times New Roman" w:hAnsi="Sylfaen" w:cs="Times New Roman"/>
          <w:i/>
          <w:sz w:val="24"/>
          <w:szCs w:val="24"/>
        </w:rPr>
      </w:pPr>
      <w:r w:rsidRPr="00826F05">
        <w:rPr>
          <w:rFonts w:ascii="Sylfaen" w:hAnsi="Sylfaen"/>
          <w:i/>
          <w:sz w:val="24"/>
          <w:szCs w:val="24"/>
        </w:rPr>
        <w:t>&lt;Որպես դիմումի հիմնավորում ներկայացված է կենսահամարժեքության [նշել քանակը] հետազոտություն(ներ), դեղադինամիկ [նշել քանակը] հետազոտություններ, թերապ</w:t>
      </w:r>
      <w:r w:rsidR="00C54D75">
        <w:rPr>
          <w:rFonts w:ascii="Sylfaen" w:hAnsi="Sylfaen"/>
          <w:i/>
          <w:sz w:val="24"/>
          <w:szCs w:val="24"/>
        </w:rPr>
        <w:t>և</w:t>
      </w:r>
      <w:r w:rsidRPr="00826F05">
        <w:rPr>
          <w:rFonts w:ascii="Sylfaen" w:hAnsi="Sylfaen"/>
          <w:i/>
          <w:sz w:val="24"/>
          <w:szCs w:val="24"/>
        </w:rPr>
        <w:t>տիկ համարժեքության [նշել քանակը] հետազոտություններ&gt;:</w:t>
      </w:r>
    </w:p>
    <w:p w14:paraId="1D44AFDB" w14:textId="77777777" w:rsidR="004F5982" w:rsidRDefault="004F5982" w:rsidP="004F5982">
      <w:pPr>
        <w:spacing w:after="160" w:line="480" w:lineRule="auto"/>
        <w:ind w:right="45" w:firstLine="567"/>
        <w:jc w:val="both"/>
        <w:rPr>
          <w:rStyle w:val="Bodytext295pt"/>
          <w:rFonts w:ascii="Sylfaen" w:eastAsiaTheme="minorHAnsi" w:hAnsi="Sylfaen"/>
          <w:b w:val="0"/>
          <w:sz w:val="24"/>
          <w:szCs w:val="24"/>
        </w:rPr>
      </w:pPr>
    </w:p>
    <w:p w14:paraId="6F1B387A" w14:textId="77777777" w:rsidR="004F5982" w:rsidRPr="00826F05" w:rsidRDefault="004F5982" w:rsidP="004F5982">
      <w:pPr>
        <w:spacing w:after="160" w:line="480" w:lineRule="auto"/>
        <w:ind w:left="567" w:right="567"/>
        <w:jc w:val="center"/>
        <w:rPr>
          <w:rFonts w:ascii="Sylfaen" w:eastAsia="Times New Roman" w:hAnsi="Sylfaen" w:cs="Times New Roman"/>
          <w:b/>
          <w:sz w:val="24"/>
          <w:szCs w:val="24"/>
        </w:rPr>
      </w:pPr>
      <w:r w:rsidRPr="00826F05">
        <w:rPr>
          <w:rStyle w:val="Bodytext295pt"/>
          <w:rFonts w:ascii="Sylfaen" w:eastAsiaTheme="minorHAnsi" w:hAnsi="Sylfaen"/>
          <w:b w:val="0"/>
          <w:sz w:val="24"/>
          <w:szCs w:val="24"/>
        </w:rPr>
        <w:t>Կլինիկական հետազոտությունների աղյուսակային ամփոփումը</w:t>
      </w:r>
    </w:p>
    <w:tbl>
      <w:tblPr>
        <w:tblOverlap w:val="neve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76"/>
        <w:gridCol w:w="706"/>
        <w:gridCol w:w="1560"/>
        <w:gridCol w:w="1415"/>
        <w:gridCol w:w="414"/>
        <w:gridCol w:w="1718"/>
        <w:gridCol w:w="278"/>
        <w:gridCol w:w="1482"/>
      </w:tblGrid>
      <w:tr w:rsidR="004F5982" w:rsidRPr="004336EC" w14:paraId="33A92BAC" w14:textId="77777777" w:rsidTr="004F5982">
        <w:tc>
          <w:tcPr>
            <w:tcW w:w="9949" w:type="dxa"/>
            <w:gridSpan w:val="8"/>
            <w:shd w:val="clear" w:color="auto" w:fill="FFFFFF"/>
            <w:vAlign w:val="bottom"/>
          </w:tcPr>
          <w:p w14:paraId="02528AF3"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 xml:space="preserve">&lt;Համարը&gt; </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&lt;անվանումը&gt; հետազոտությունը</w:t>
            </w:r>
          </w:p>
        </w:tc>
      </w:tr>
      <w:tr w:rsidR="004F5982" w:rsidRPr="004336EC" w14:paraId="3E1154B7" w14:textId="77777777" w:rsidTr="004F5982">
        <w:tc>
          <w:tcPr>
            <w:tcW w:w="9949" w:type="dxa"/>
            <w:gridSpan w:val="8"/>
            <w:shd w:val="clear" w:color="auto" w:fill="FFFFFF"/>
            <w:vAlign w:val="bottom"/>
          </w:tcPr>
          <w:p w14:paraId="7BFD4372"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Մեթոդները</w:t>
            </w:r>
          </w:p>
        </w:tc>
      </w:tr>
      <w:tr w:rsidR="004F5982" w:rsidRPr="004336EC" w14:paraId="7B81DA00" w14:textId="77777777" w:rsidTr="004F5982">
        <w:trPr>
          <w:trHeight w:val="892"/>
        </w:trPr>
        <w:tc>
          <w:tcPr>
            <w:tcW w:w="9949" w:type="dxa"/>
            <w:gridSpan w:val="8"/>
            <w:shd w:val="clear" w:color="auto" w:fill="FFFFFF"/>
          </w:tcPr>
          <w:p w14:paraId="39EBC453"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Հետազոտության բովանդակային պլանը՝</w:t>
            </w:r>
          </w:p>
          <w:p w14:paraId="24D787CF"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5B019267" w14:textId="77777777" w:rsidTr="004F5982">
        <w:trPr>
          <w:trHeight w:val="878"/>
        </w:trPr>
        <w:tc>
          <w:tcPr>
            <w:tcW w:w="9949" w:type="dxa"/>
            <w:gridSpan w:val="8"/>
            <w:shd w:val="clear" w:color="auto" w:fill="FFFFFF"/>
          </w:tcPr>
          <w:p w14:paraId="3F952EFB"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 xml:space="preserve">Հետազոտվող պատրաստուկը </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համեմատման պատրաստուկը</w:t>
            </w:r>
          </w:p>
          <w:p w14:paraId="59382C1F"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7584622A" w14:textId="77777777" w:rsidTr="004F5982">
        <w:trPr>
          <w:trHeight w:val="906"/>
        </w:trPr>
        <w:tc>
          <w:tcPr>
            <w:tcW w:w="9949" w:type="dxa"/>
            <w:gridSpan w:val="8"/>
            <w:shd w:val="clear" w:color="auto" w:fill="FFFFFF"/>
          </w:tcPr>
          <w:p w14:paraId="665A5DE5"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Ուսումնասիրված պոպուլյացիան (ուսումնասիրվող պոպուլյացիաները)՝</w:t>
            </w:r>
          </w:p>
          <w:p w14:paraId="33D10A49"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75BA5DA2" w14:textId="77777777" w:rsidTr="004F5982">
        <w:trPr>
          <w:trHeight w:val="920"/>
        </w:trPr>
        <w:tc>
          <w:tcPr>
            <w:tcW w:w="9949" w:type="dxa"/>
            <w:gridSpan w:val="8"/>
            <w:shd w:val="clear" w:color="auto" w:fill="FFFFFF"/>
          </w:tcPr>
          <w:p w14:paraId="72B6E8AE"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Վերլուծական մեթոդները՝</w:t>
            </w:r>
          </w:p>
          <w:p w14:paraId="6E094C20"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756990EC" w14:textId="77777777" w:rsidTr="004F5982">
        <w:trPr>
          <w:trHeight w:val="878"/>
        </w:trPr>
        <w:tc>
          <w:tcPr>
            <w:tcW w:w="9949" w:type="dxa"/>
            <w:gridSpan w:val="8"/>
            <w:shd w:val="clear" w:color="auto" w:fill="FFFFFF"/>
          </w:tcPr>
          <w:p w14:paraId="09A7135B"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Դեղակինետիկ փոփոխականները՝</w:t>
            </w:r>
          </w:p>
          <w:p w14:paraId="699E3524"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6C8B5129" w14:textId="77777777" w:rsidTr="004F5982">
        <w:tc>
          <w:tcPr>
            <w:tcW w:w="9949" w:type="dxa"/>
            <w:gridSpan w:val="8"/>
            <w:shd w:val="clear" w:color="auto" w:fill="FFFFFF"/>
          </w:tcPr>
          <w:p w14:paraId="6DE9AEAF" w14:textId="77777777" w:rsidR="004F5982" w:rsidRPr="004336EC" w:rsidRDefault="004F5982" w:rsidP="004F5982">
            <w:pPr>
              <w:spacing w:after="120" w:line="240" w:lineRule="auto"/>
              <w:jc w:val="both"/>
              <w:rPr>
                <w:rStyle w:val="Bodytext20"/>
                <w:rFonts w:ascii="Sylfaen" w:eastAsiaTheme="minorHAnsi" w:hAnsi="Sylfaen"/>
                <w:sz w:val="22"/>
                <w:szCs w:val="22"/>
              </w:rPr>
            </w:pPr>
            <w:r w:rsidRPr="004336EC">
              <w:rPr>
                <w:rStyle w:val="Bodytext20"/>
                <w:rFonts w:ascii="Sylfaen" w:eastAsiaTheme="minorHAnsi" w:hAnsi="Sylfaen"/>
                <w:sz w:val="22"/>
                <w:szCs w:val="22"/>
              </w:rPr>
              <w:t xml:space="preserve">Վիճակագրական մեթոդները՝ </w:t>
            </w:r>
          </w:p>
          <w:p w14:paraId="38DF60A4"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007EA082" w14:textId="77777777" w:rsidTr="004F5982">
        <w:tc>
          <w:tcPr>
            <w:tcW w:w="9949" w:type="dxa"/>
            <w:gridSpan w:val="8"/>
            <w:shd w:val="clear" w:color="auto" w:fill="FFFFFF"/>
          </w:tcPr>
          <w:p w14:paraId="37B58D14"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Արդյունքները՝</w:t>
            </w:r>
          </w:p>
          <w:p w14:paraId="4AF2036B" w14:textId="77777777" w:rsidR="004F5982" w:rsidRPr="004336EC" w:rsidRDefault="004F5982" w:rsidP="004F5982">
            <w:pPr>
              <w:spacing w:after="120" w:line="240" w:lineRule="auto"/>
              <w:jc w:val="right"/>
              <w:rPr>
                <w:rFonts w:ascii="Sylfaen" w:hAnsi="Sylfaen"/>
              </w:rPr>
            </w:pPr>
            <w:r w:rsidRPr="004336EC">
              <w:rPr>
                <w:rStyle w:val="Bodytext20"/>
                <w:rFonts w:ascii="Sylfaen" w:eastAsiaTheme="minorHAnsi" w:hAnsi="Sylfaen"/>
                <w:sz w:val="22"/>
                <w:szCs w:val="22"/>
              </w:rPr>
              <w:t>Աղյուսակ X</w:t>
            </w:r>
          </w:p>
          <w:p w14:paraId="417A00D4" w14:textId="77777777" w:rsidR="004F5982" w:rsidRPr="004336EC" w:rsidRDefault="004F5982" w:rsidP="004F5982">
            <w:pPr>
              <w:spacing w:after="120" w:line="240" w:lineRule="auto"/>
              <w:ind w:left="567" w:right="717"/>
              <w:jc w:val="center"/>
              <w:rPr>
                <w:rFonts w:ascii="Sylfaen" w:hAnsi="Sylfaen"/>
              </w:rPr>
            </w:pPr>
            <w:r w:rsidRPr="004336EC">
              <w:rPr>
                <w:rStyle w:val="Bodytext20"/>
                <w:rFonts w:ascii="Sylfaen" w:eastAsiaTheme="minorHAnsi" w:hAnsi="Sylfaen"/>
                <w:sz w:val="22"/>
                <w:szCs w:val="22"/>
              </w:rPr>
              <w:t>Դեղակինետիկ պարամետրերը [նշել կենսանմուշը] (չփոխակերպված արժեքները)</w:t>
            </w:r>
          </w:p>
        </w:tc>
      </w:tr>
      <w:tr w:rsidR="004F5982" w:rsidRPr="004336EC" w14:paraId="5E09DACB" w14:textId="77777777" w:rsidTr="004F5982">
        <w:tc>
          <w:tcPr>
            <w:tcW w:w="2376" w:type="dxa"/>
            <w:vMerge w:val="restart"/>
            <w:shd w:val="clear" w:color="auto" w:fill="FFFFFF"/>
            <w:vAlign w:val="center"/>
          </w:tcPr>
          <w:p w14:paraId="14E04663" w14:textId="77777777" w:rsidR="004F5982" w:rsidRPr="004336EC" w:rsidRDefault="004F5982" w:rsidP="004F5982">
            <w:pPr>
              <w:spacing w:after="120" w:line="240" w:lineRule="auto"/>
              <w:ind w:right="88"/>
              <w:jc w:val="both"/>
              <w:rPr>
                <w:rFonts w:ascii="Sylfaen" w:hAnsi="Sylfaen"/>
              </w:rPr>
            </w:pPr>
            <w:r w:rsidRPr="004336EC">
              <w:rPr>
                <w:rStyle w:val="Bodytext20"/>
                <w:rFonts w:ascii="Sylfaen" w:eastAsiaTheme="minorHAnsi" w:hAnsi="Sylfaen"/>
                <w:sz w:val="22"/>
                <w:szCs w:val="22"/>
              </w:rPr>
              <w:lastRenderedPageBreak/>
              <w:t>Դեղակինետիկ պարամետրը</w:t>
            </w:r>
          </w:p>
        </w:tc>
        <w:tc>
          <w:tcPr>
            <w:tcW w:w="3681" w:type="dxa"/>
            <w:gridSpan w:val="3"/>
            <w:shd w:val="clear" w:color="auto" w:fill="FFFFFF"/>
            <w:vAlign w:val="bottom"/>
          </w:tcPr>
          <w:p w14:paraId="7AF90F6A"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Հետազոտվող դեղապատրաստուկը</w:t>
            </w:r>
          </w:p>
        </w:tc>
        <w:tc>
          <w:tcPr>
            <w:tcW w:w="3892" w:type="dxa"/>
            <w:gridSpan w:val="4"/>
            <w:shd w:val="clear" w:color="auto" w:fill="FFFFFF"/>
            <w:vAlign w:val="bottom"/>
          </w:tcPr>
          <w:p w14:paraId="3FD15DD7"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Համեմատման դեղապատրաստուկը</w:t>
            </w:r>
          </w:p>
        </w:tc>
      </w:tr>
      <w:tr w:rsidR="004F5982" w:rsidRPr="004336EC" w14:paraId="631F45DC" w14:textId="77777777" w:rsidTr="004F5982">
        <w:tc>
          <w:tcPr>
            <w:tcW w:w="2376" w:type="dxa"/>
            <w:vMerge/>
            <w:shd w:val="clear" w:color="auto" w:fill="FFFFFF"/>
            <w:vAlign w:val="center"/>
          </w:tcPr>
          <w:p w14:paraId="3B1B87D8" w14:textId="77777777" w:rsidR="004F5982" w:rsidRPr="004336EC" w:rsidRDefault="004F5982" w:rsidP="004F5982">
            <w:pPr>
              <w:spacing w:after="120" w:line="240" w:lineRule="auto"/>
              <w:jc w:val="both"/>
              <w:rPr>
                <w:rFonts w:ascii="Sylfaen" w:hAnsi="Sylfaen"/>
              </w:rPr>
            </w:pPr>
          </w:p>
        </w:tc>
        <w:tc>
          <w:tcPr>
            <w:tcW w:w="2266" w:type="dxa"/>
            <w:gridSpan w:val="2"/>
            <w:shd w:val="clear" w:color="auto" w:fill="FFFFFF"/>
            <w:vAlign w:val="center"/>
          </w:tcPr>
          <w:p w14:paraId="2A374B1A"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&lt;թվաբանական&gt;</w:t>
            </w:r>
          </w:p>
          <w:p w14:paraId="2648F1EC"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&lt;երկրաչափական&gt;</w:t>
            </w:r>
          </w:p>
          <w:p w14:paraId="5775BD87"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միջին</w:t>
            </w:r>
          </w:p>
        </w:tc>
        <w:tc>
          <w:tcPr>
            <w:tcW w:w="1415" w:type="dxa"/>
            <w:shd w:val="clear" w:color="auto" w:fill="FFFFFF"/>
            <w:vAlign w:val="center"/>
          </w:tcPr>
          <w:p w14:paraId="5AF4D93B"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&lt;Ստանդարտ</w:t>
            </w:r>
          </w:p>
          <w:p w14:paraId="7E3E8991"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շեղում&gt;</w:t>
            </w:r>
          </w:p>
          <w:p w14:paraId="40307769"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&lt;CV%&gt;</w:t>
            </w:r>
          </w:p>
        </w:tc>
        <w:tc>
          <w:tcPr>
            <w:tcW w:w="2132" w:type="dxa"/>
            <w:gridSpan w:val="2"/>
            <w:shd w:val="clear" w:color="auto" w:fill="FFFFFF"/>
            <w:vAlign w:val="center"/>
          </w:tcPr>
          <w:p w14:paraId="1E61DB2D"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&lt;թվաբանական&gt;</w:t>
            </w:r>
          </w:p>
          <w:p w14:paraId="2B2213A2"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&lt;երկրաչափական&gt;</w:t>
            </w:r>
          </w:p>
          <w:p w14:paraId="5557EFDD"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միջին</w:t>
            </w:r>
          </w:p>
        </w:tc>
        <w:tc>
          <w:tcPr>
            <w:tcW w:w="1760" w:type="dxa"/>
            <w:gridSpan w:val="2"/>
            <w:shd w:val="clear" w:color="auto" w:fill="FFFFFF"/>
            <w:vAlign w:val="center"/>
          </w:tcPr>
          <w:p w14:paraId="2999CC1A"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&lt;Ստանդարտ</w:t>
            </w:r>
          </w:p>
          <w:p w14:paraId="0C37BA9E"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շեղում&gt;</w:t>
            </w:r>
          </w:p>
          <w:p w14:paraId="50FF0994"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&lt;CV%&gt;</w:t>
            </w:r>
          </w:p>
        </w:tc>
      </w:tr>
      <w:tr w:rsidR="004F5982" w:rsidRPr="004336EC" w14:paraId="4F68E9EE" w14:textId="77777777" w:rsidTr="004F5982">
        <w:tc>
          <w:tcPr>
            <w:tcW w:w="2376" w:type="dxa"/>
            <w:shd w:val="clear" w:color="auto" w:fill="FFFFFF"/>
            <w:vAlign w:val="bottom"/>
          </w:tcPr>
          <w:p w14:paraId="41C7F39F" w14:textId="77777777" w:rsidR="004F5982" w:rsidRPr="004336EC" w:rsidRDefault="004F5982" w:rsidP="004F5982">
            <w:pPr>
              <w:spacing w:after="120" w:line="240" w:lineRule="auto"/>
              <w:ind w:left="240"/>
              <w:jc w:val="both"/>
              <w:rPr>
                <w:rFonts w:ascii="Sylfaen" w:hAnsi="Sylfaen"/>
              </w:rPr>
            </w:pPr>
            <w:r w:rsidRPr="004336EC">
              <w:rPr>
                <w:rStyle w:val="Bodytext20"/>
                <w:rFonts w:ascii="Sylfaen" w:eastAsiaTheme="minorHAnsi" w:hAnsi="Sylfaen"/>
                <w:sz w:val="22"/>
                <w:szCs w:val="22"/>
              </w:rPr>
              <w:t>&lt;AUC</w:t>
            </w:r>
            <w:r w:rsidRPr="004336EC">
              <w:rPr>
                <w:rStyle w:val="Bodytext28pt"/>
                <w:rFonts w:ascii="Sylfaen" w:eastAsiaTheme="minorHAnsi" w:hAnsi="Sylfaen"/>
                <w:sz w:val="22"/>
                <w:szCs w:val="22"/>
                <w:vertAlign w:val="subscript"/>
              </w:rPr>
              <w:t>(0-t)</w:t>
            </w:r>
            <w:r w:rsidRPr="004336EC">
              <w:rPr>
                <w:rStyle w:val="Bodytext20"/>
                <w:rFonts w:ascii="Sylfaen" w:eastAsiaTheme="minorHAnsi" w:hAnsi="Sylfaen"/>
                <w:sz w:val="22"/>
                <w:szCs w:val="22"/>
              </w:rPr>
              <w:t>&gt;</w:t>
            </w:r>
          </w:p>
          <w:p w14:paraId="2ED9E76A" w14:textId="77777777" w:rsidR="004F5982" w:rsidRPr="004336EC" w:rsidRDefault="004F5982" w:rsidP="004F5982">
            <w:pPr>
              <w:spacing w:after="120" w:line="240" w:lineRule="auto"/>
              <w:ind w:left="240"/>
              <w:jc w:val="both"/>
              <w:rPr>
                <w:rFonts w:ascii="Sylfaen" w:hAnsi="Sylfaen"/>
              </w:rPr>
            </w:pPr>
            <w:r w:rsidRPr="004336EC">
              <w:rPr>
                <w:rFonts w:ascii="Sylfaen" w:hAnsi="Sylfaen"/>
              </w:rPr>
              <w:t>&lt;АUС</w:t>
            </w:r>
            <w:r w:rsidRPr="004336EC">
              <w:rPr>
                <w:rFonts w:ascii="Sylfaen" w:hAnsi="Sylfaen"/>
                <w:vertAlign w:val="subscript"/>
              </w:rPr>
              <w:t>(0-72 ժ)</w:t>
            </w:r>
            <w:r w:rsidRPr="004336EC">
              <w:rPr>
                <w:rFonts w:ascii="Sylfaen" w:hAnsi="Sylfaen"/>
              </w:rPr>
              <w:t>&gt;</w:t>
            </w:r>
          </w:p>
        </w:tc>
        <w:tc>
          <w:tcPr>
            <w:tcW w:w="2266" w:type="dxa"/>
            <w:gridSpan w:val="2"/>
            <w:shd w:val="clear" w:color="auto" w:fill="FFFFFF"/>
          </w:tcPr>
          <w:p w14:paraId="788FA060" w14:textId="77777777" w:rsidR="004F5982" w:rsidRPr="004336EC" w:rsidRDefault="004F5982" w:rsidP="004F5982">
            <w:pPr>
              <w:spacing w:after="120" w:line="240" w:lineRule="auto"/>
              <w:jc w:val="both"/>
              <w:rPr>
                <w:rFonts w:ascii="Sylfaen" w:hAnsi="Sylfaen"/>
              </w:rPr>
            </w:pPr>
          </w:p>
        </w:tc>
        <w:tc>
          <w:tcPr>
            <w:tcW w:w="1415" w:type="dxa"/>
            <w:shd w:val="clear" w:color="auto" w:fill="FFFFFF"/>
          </w:tcPr>
          <w:p w14:paraId="39087F08" w14:textId="77777777" w:rsidR="004F5982" w:rsidRPr="004336EC" w:rsidRDefault="004F5982" w:rsidP="004F5982">
            <w:pPr>
              <w:spacing w:after="120" w:line="240" w:lineRule="auto"/>
              <w:jc w:val="both"/>
              <w:rPr>
                <w:rFonts w:ascii="Sylfaen" w:hAnsi="Sylfaen"/>
              </w:rPr>
            </w:pPr>
          </w:p>
        </w:tc>
        <w:tc>
          <w:tcPr>
            <w:tcW w:w="2132" w:type="dxa"/>
            <w:gridSpan w:val="2"/>
            <w:shd w:val="clear" w:color="auto" w:fill="FFFFFF"/>
          </w:tcPr>
          <w:p w14:paraId="15FE2F00" w14:textId="77777777" w:rsidR="004F5982" w:rsidRPr="004336EC" w:rsidRDefault="004F5982" w:rsidP="004F5982">
            <w:pPr>
              <w:spacing w:after="120" w:line="240" w:lineRule="auto"/>
              <w:jc w:val="both"/>
              <w:rPr>
                <w:rFonts w:ascii="Sylfaen" w:hAnsi="Sylfaen"/>
              </w:rPr>
            </w:pPr>
          </w:p>
        </w:tc>
        <w:tc>
          <w:tcPr>
            <w:tcW w:w="1760" w:type="dxa"/>
            <w:gridSpan w:val="2"/>
            <w:shd w:val="clear" w:color="auto" w:fill="FFFFFF"/>
          </w:tcPr>
          <w:p w14:paraId="535DC55A" w14:textId="77777777" w:rsidR="004F5982" w:rsidRPr="004336EC" w:rsidRDefault="004F5982" w:rsidP="004F5982">
            <w:pPr>
              <w:spacing w:after="120" w:line="240" w:lineRule="auto"/>
              <w:jc w:val="both"/>
              <w:rPr>
                <w:rFonts w:ascii="Sylfaen" w:hAnsi="Sylfaen"/>
              </w:rPr>
            </w:pPr>
          </w:p>
        </w:tc>
      </w:tr>
      <w:tr w:rsidR="004F5982" w:rsidRPr="004336EC" w14:paraId="01F5F992" w14:textId="77777777" w:rsidTr="004F5982">
        <w:tc>
          <w:tcPr>
            <w:tcW w:w="2376" w:type="dxa"/>
            <w:shd w:val="clear" w:color="auto" w:fill="FFFFFF"/>
            <w:vAlign w:val="bottom"/>
          </w:tcPr>
          <w:p w14:paraId="06E3404F" w14:textId="77777777" w:rsidR="004F5982" w:rsidRPr="004336EC" w:rsidRDefault="004F5982" w:rsidP="004F5982">
            <w:pPr>
              <w:spacing w:after="120" w:line="240" w:lineRule="auto"/>
              <w:ind w:left="240"/>
              <w:jc w:val="both"/>
              <w:rPr>
                <w:rFonts w:ascii="Sylfaen" w:hAnsi="Sylfaen"/>
              </w:rPr>
            </w:pPr>
            <w:r w:rsidRPr="004336EC">
              <w:rPr>
                <w:rStyle w:val="Bodytext20"/>
                <w:rFonts w:ascii="Sylfaen" w:eastAsiaTheme="minorHAnsi" w:hAnsi="Sylfaen"/>
                <w:sz w:val="22"/>
                <w:szCs w:val="22"/>
              </w:rPr>
              <w:t>AUC</w:t>
            </w:r>
            <w:r w:rsidRPr="004336EC">
              <w:rPr>
                <w:rStyle w:val="Bodytext28pt"/>
                <w:rFonts w:ascii="Sylfaen" w:eastAsiaTheme="minorHAnsi" w:hAnsi="Sylfaen"/>
                <w:sz w:val="22"/>
                <w:szCs w:val="22"/>
                <w:vertAlign w:val="subscript"/>
              </w:rPr>
              <w:t>(</w:t>
            </w:r>
            <w:r w:rsidRPr="004336EC">
              <w:rPr>
                <w:rFonts w:ascii="Sylfaen" w:hAnsi="Sylfaen"/>
                <w:vertAlign w:val="subscript"/>
              </w:rPr>
              <w:t>0-∞)</w:t>
            </w:r>
          </w:p>
        </w:tc>
        <w:tc>
          <w:tcPr>
            <w:tcW w:w="2266" w:type="dxa"/>
            <w:gridSpan w:val="2"/>
            <w:shd w:val="clear" w:color="auto" w:fill="FFFFFF"/>
          </w:tcPr>
          <w:p w14:paraId="5726B8F1" w14:textId="77777777" w:rsidR="004F5982" w:rsidRPr="004336EC" w:rsidRDefault="004F5982" w:rsidP="004F5982">
            <w:pPr>
              <w:spacing w:after="120" w:line="240" w:lineRule="auto"/>
              <w:jc w:val="both"/>
              <w:rPr>
                <w:rFonts w:ascii="Sylfaen" w:hAnsi="Sylfaen"/>
              </w:rPr>
            </w:pPr>
          </w:p>
        </w:tc>
        <w:tc>
          <w:tcPr>
            <w:tcW w:w="1415" w:type="dxa"/>
            <w:shd w:val="clear" w:color="auto" w:fill="FFFFFF"/>
          </w:tcPr>
          <w:p w14:paraId="0391CFC5" w14:textId="77777777" w:rsidR="004F5982" w:rsidRPr="004336EC" w:rsidRDefault="004F5982" w:rsidP="004F5982">
            <w:pPr>
              <w:spacing w:after="120" w:line="240" w:lineRule="auto"/>
              <w:jc w:val="both"/>
              <w:rPr>
                <w:rFonts w:ascii="Sylfaen" w:hAnsi="Sylfaen"/>
              </w:rPr>
            </w:pPr>
          </w:p>
        </w:tc>
        <w:tc>
          <w:tcPr>
            <w:tcW w:w="2132" w:type="dxa"/>
            <w:gridSpan w:val="2"/>
            <w:shd w:val="clear" w:color="auto" w:fill="FFFFFF"/>
          </w:tcPr>
          <w:p w14:paraId="0BDC605B" w14:textId="77777777" w:rsidR="004F5982" w:rsidRPr="004336EC" w:rsidRDefault="004F5982" w:rsidP="004F5982">
            <w:pPr>
              <w:spacing w:after="120" w:line="240" w:lineRule="auto"/>
              <w:jc w:val="both"/>
              <w:rPr>
                <w:rFonts w:ascii="Sylfaen" w:hAnsi="Sylfaen"/>
              </w:rPr>
            </w:pPr>
          </w:p>
        </w:tc>
        <w:tc>
          <w:tcPr>
            <w:tcW w:w="1760" w:type="dxa"/>
            <w:gridSpan w:val="2"/>
            <w:shd w:val="clear" w:color="auto" w:fill="FFFFFF"/>
          </w:tcPr>
          <w:p w14:paraId="206947D8" w14:textId="77777777" w:rsidR="004F5982" w:rsidRPr="004336EC" w:rsidRDefault="004F5982" w:rsidP="004F5982">
            <w:pPr>
              <w:spacing w:after="120" w:line="240" w:lineRule="auto"/>
              <w:jc w:val="both"/>
              <w:rPr>
                <w:rFonts w:ascii="Sylfaen" w:hAnsi="Sylfaen"/>
              </w:rPr>
            </w:pPr>
          </w:p>
        </w:tc>
      </w:tr>
      <w:tr w:rsidR="004F5982" w:rsidRPr="004336EC" w14:paraId="5F8F2521" w14:textId="77777777" w:rsidTr="004F5982">
        <w:tc>
          <w:tcPr>
            <w:tcW w:w="2376" w:type="dxa"/>
            <w:shd w:val="clear" w:color="auto" w:fill="FFFFFF"/>
            <w:vAlign w:val="bottom"/>
          </w:tcPr>
          <w:p w14:paraId="5474102F" w14:textId="77777777" w:rsidR="004F5982" w:rsidRPr="004336EC" w:rsidRDefault="004F5982" w:rsidP="004F5982">
            <w:pPr>
              <w:spacing w:after="120" w:line="240" w:lineRule="auto"/>
              <w:ind w:left="240"/>
              <w:jc w:val="both"/>
              <w:rPr>
                <w:rFonts w:ascii="Sylfaen" w:hAnsi="Sylfaen"/>
              </w:rPr>
            </w:pPr>
            <w:r w:rsidRPr="004336EC">
              <w:rPr>
                <w:rStyle w:val="Bodytext20"/>
                <w:rFonts w:ascii="Sylfaen" w:eastAsiaTheme="minorHAnsi" w:hAnsi="Sylfaen"/>
                <w:sz w:val="22"/>
                <w:szCs w:val="22"/>
              </w:rPr>
              <w:t>C</w:t>
            </w:r>
            <w:r w:rsidRPr="004336EC">
              <w:rPr>
                <w:rStyle w:val="Bodytext28pt"/>
                <w:rFonts w:ascii="Sylfaen" w:eastAsiaTheme="minorHAnsi" w:hAnsi="Sylfaen"/>
                <w:sz w:val="22"/>
                <w:szCs w:val="22"/>
                <w:vertAlign w:val="subscript"/>
              </w:rPr>
              <w:t>max</w:t>
            </w:r>
          </w:p>
        </w:tc>
        <w:tc>
          <w:tcPr>
            <w:tcW w:w="2266" w:type="dxa"/>
            <w:gridSpan w:val="2"/>
            <w:shd w:val="clear" w:color="auto" w:fill="FFFFFF"/>
          </w:tcPr>
          <w:p w14:paraId="039DB31F" w14:textId="77777777" w:rsidR="004F5982" w:rsidRPr="004336EC" w:rsidRDefault="004F5982" w:rsidP="004F5982">
            <w:pPr>
              <w:spacing w:after="120" w:line="240" w:lineRule="auto"/>
              <w:jc w:val="both"/>
              <w:rPr>
                <w:rFonts w:ascii="Sylfaen" w:hAnsi="Sylfaen"/>
              </w:rPr>
            </w:pPr>
          </w:p>
        </w:tc>
        <w:tc>
          <w:tcPr>
            <w:tcW w:w="1415" w:type="dxa"/>
            <w:shd w:val="clear" w:color="auto" w:fill="FFFFFF"/>
          </w:tcPr>
          <w:p w14:paraId="53ED60C9" w14:textId="77777777" w:rsidR="004F5982" w:rsidRPr="004336EC" w:rsidRDefault="004F5982" w:rsidP="004F5982">
            <w:pPr>
              <w:spacing w:after="120" w:line="240" w:lineRule="auto"/>
              <w:jc w:val="both"/>
              <w:rPr>
                <w:rFonts w:ascii="Sylfaen" w:hAnsi="Sylfaen"/>
              </w:rPr>
            </w:pPr>
          </w:p>
        </w:tc>
        <w:tc>
          <w:tcPr>
            <w:tcW w:w="2132" w:type="dxa"/>
            <w:gridSpan w:val="2"/>
            <w:shd w:val="clear" w:color="auto" w:fill="FFFFFF"/>
          </w:tcPr>
          <w:p w14:paraId="54A6E585" w14:textId="77777777" w:rsidR="004F5982" w:rsidRPr="004336EC" w:rsidRDefault="004F5982" w:rsidP="004F5982">
            <w:pPr>
              <w:spacing w:after="120" w:line="240" w:lineRule="auto"/>
              <w:jc w:val="both"/>
              <w:rPr>
                <w:rFonts w:ascii="Sylfaen" w:hAnsi="Sylfaen"/>
              </w:rPr>
            </w:pPr>
          </w:p>
        </w:tc>
        <w:tc>
          <w:tcPr>
            <w:tcW w:w="1760" w:type="dxa"/>
            <w:gridSpan w:val="2"/>
            <w:shd w:val="clear" w:color="auto" w:fill="FFFFFF"/>
          </w:tcPr>
          <w:p w14:paraId="21C00BBD" w14:textId="77777777" w:rsidR="004F5982" w:rsidRPr="004336EC" w:rsidRDefault="004F5982" w:rsidP="004F5982">
            <w:pPr>
              <w:spacing w:after="120" w:line="240" w:lineRule="auto"/>
              <w:jc w:val="both"/>
              <w:rPr>
                <w:rFonts w:ascii="Sylfaen" w:hAnsi="Sylfaen"/>
              </w:rPr>
            </w:pPr>
          </w:p>
        </w:tc>
      </w:tr>
      <w:tr w:rsidR="004F5982" w:rsidRPr="004336EC" w14:paraId="0FC27A9F" w14:textId="77777777" w:rsidTr="004F5982">
        <w:tc>
          <w:tcPr>
            <w:tcW w:w="2376" w:type="dxa"/>
            <w:shd w:val="clear" w:color="auto" w:fill="FFFFFF"/>
            <w:vAlign w:val="bottom"/>
          </w:tcPr>
          <w:p w14:paraId="11904A2B" w14:textId="77777777" w:rsidR="004F5982" w:rsidRPr="004336EC" w:rsidRDefault="004F5982" w:rsidP="004F5982">
            <w:pPr>
              <w:spacing w:after="120" w:line="240" w:lineRule="auto"/>
              <w:ind w:left="240"/>
              <w:jc w:val="both"/>
              <w:rPr>
                <w:rFonts w:ascii="Sylfaen" w:hAnsi="Sylfaen"/>
              </w:rPr>
            </w:pPr>
            <w:r w:rsidRPr="004336EC">
              <w:rPr>
                <w:rStyle w:val="Bodytext20"/>
                <w:rFonts w:ascii="Sylfaen" w:eastAsiaTheme="minorHAnsi" w:hAnsi="Sylfaen"/>
                <w:sz w:val="22"/>
                <w:szCs w:val="22"/>
              </w:rPr>
              <w:t xml:space="preserve">t </w:t>
            </w:r>
            <w:r w:rsidRPr="004336EC">
              <w:rPr>
                <w:rStyle w:val="Bodytext20"/>
                <w:rFonts w:ascii="Sylfaen" w:eastAsiaTheme="minorHAnsi" w:hAnsi="Sylfaen"/>
                <w:sz w:val="22"/>
                <w:szCs w:val="22"/>
                <w:vertAlign w:val="subscript"/>
              </w:rPr>
              <w:t>max</w:t>
            </w:r>
            <w:r w:rsidRPr="004336EC">
              <w:rPr>
                <w:rStyle w:val="Bodytext20"/>
                <w:rFonts w:ascii="Sylfaen" w:eastAsiaTheme="minorHAnsi" w:hAnsi="Sylfaen"/>
                <w:sz w:val="22"/>
                <w:szCs w:val="22"/>
              </w:rPr>
              <w:t>*</w:t>
            </w:r>
          </w:p>
        </w:tc>
        <w:tc>
          <w:tcPr>
            <w:tcW w:w="2266" w:type="dxa"/>
            <w:gridSpan w:val="2"/>
            <w:shd w:val="clear" w:color="auto" w:fill="FFFFFF"/>
          </w:tcPr>
          <w:p w14:paraId="677A0BAA" w14:textId="77777777" w:rsidR="004F5982" w:rsidRPr="004336EC" w:rsidRDefault="004F5982" w:rsidP="004F5982">
            <w:pPr>
              <w:spacing w:after="120" w:line="240" w:lineRule="auto"/>
              <w:jc w:val="both"/>
              <w:rPr>
                <w:rFonts w:ascii="Sylfaen" w:hAnsi="Sylfaen"/>
              </w:rPr>
            </w:pPr>
          </w:p>
        </w:tc>
        <w:tc>
          <w:tcPr>
            <w:tcW w:w="1415" w:type="dxa"/>
            <w:shd w:val="clear" w:color="auto" w:fill="FFFFFF"/>
          </w:tcPr>
          <w:p w14:paraId="501E73DD" w14:textId="77777777" w:rsidR="004F5982" w:rsidRPr="004336EC" w:rsidRDefault="004F5982" w:rsidP="004F5982">
            <w:pPr>
              <w:spacing w:after="120" w:line="240" w:lineRule="auto"/>
              <w:jc w:val="both"/>
              <w:rPr>
                <w:rFonts w:ascii="Sylfaen" w:hAnsi="Sylfaen"/>
              </w:rPr>
            </w:pPr>
          </w:p>
        </w:tc>
        <w:tc>
          <w:tcPr>
            <w:tcW w:w="2132" w:type="dxa"/>
            <w:gridSpan w:val="2"/>
            <w:shd w:val="clear" w:color="auto" w:fill="FFFFFF"/>
          </w:tcPr>
          <w:p w14:paraId="3B4FCFD5" w14:textId="77777777" w:rsidR="004F5982" w:rsidRPr="004336EC" w:rsidRDefault="004F5982" w:rsidP="004F5982">
            <w:pPr>
              <w:spacing w:after="120" w:line="240" w:lineRule="auto"/>
              <w:jc w:val="both"/>
              <w:rPr>
                <w:rFonts w:ascii="Sylfaen" w:hAnsi="Sylfaen"/>
              </w:rPr>
            </w:pPr>
          </w:p>
        </w:tc>
        <w:tc>
          <w:tcPr>
            <w:tcW w:w="1760" w:type="dxa"/>
            <w:gridSpan w:val="2"/>
            <w:shd w:val="clear" w:color="auto" w:fill="FFFFFF"/>
          </w:tcPr>
          <w:p w14:paraId="7FE50374" w14:textId="77777777" w:rsidR="004F5982" w:rsidRPr="004336EC" w:rsidRDefault="004F5982" w:rsidP="004F5982">
            <w:pPr>
              <w:spacing w:after="120" w:line="240" w:lineRule="auto"/>
              <w:jc w:val="both"/>
              <w:rPr>
                <w:rFonts w:ascii="Sylfaen" w:hAnsi="Sylfaen"/>
              </w:rPr>
            </w:pPr>
          </w:p>
        </w:tc>
      </w:tr>
      <w:tr w:rsidR="004F5982" w:rsidRPr="004336EC" w14:paraId="0F812478" w14:textId="77777777" w:rsidTr="004F5982">
        <w:tc>
          <w:tcPr>
            <w:tcW w:w="9949" w:type="dxa"/>
            <w:gridSpan w:val="8"/>
            <w:shd w:val="clear" w:color="auto" w:fill="FFFFFF"/>
            <w:vAlign w:val="bottom"/>
          </w:tcPr>
          <w:p w14:paraId="32E6D471" w14:textId="77777777" w:rsidR="004F5982" w:rsidRPr="004336EC" w:rsidRDefault="004F5982" w:rsidP="004F5982">
            <w:pPr>
              <w:tabs>
                <w:tab w:val="left" w:pos="864"/>
                <w:tab w:val="left" w:pos="1134"/>
              </w:tabs>
              <w:spacing w:after="120" w:line="240" w:lineRule="auto"/>
              <w:jc w:val="both"/>
              <w:rPr>
                <w:rFonts w:ascii="Sylfaen" w:hAnsi="Sylfaen"/>
              </w:rPr>
            </w:pPr>
            <w:r w:rsidRPr="004336EC">
              <w:rPr>
                <w:rStyle w:val="Bodytext20"/>
                <w:rFonts w:ascii="Sylfaen" w:eastAsiaTheme="minorHAnsi" w:hAnsi="Sylfaen"/>
                <w:sz w:val="22"/>
                <w:szCs w:val="22"/>
              </w:rPr>
              <w:t>&lt;АUС</w:t>
            </w:r>
            <w:r w:rsidRPr="004336EC">
              <w:rPr>
                <w:rStyle w:val="Bodytext20"/>
                <w:rFonts w:ascii="Sylfaen" w:eastAsiaTheme="minorHAnsi" w:hAnsi="Sylfaen"/>
                <w:sz w:val="22"/>
                <w:szCs w:val="22"/>
                <w:vertAlign w:val="subscript"/>
              </w:rPr>
              <w:t>0-</w:t>
            </w:r>
            <w:r w:rsidRPr="004336EC">
              <w:rPr>
                <w:rStyle w:val="Bodytext28pt"/>
                <w:rFonts w:ascii="Sylfaen" w:eastAsiaTheme="minorHAnsi" w:hAnsi="Sylfaen"/>
                <w:sz w:val="22"/>
                <w:szCs w:val="22"/>
                <w:vertAlign w:val="subscript"/>
              </w:rPr>
              <w:t xml:space="preserve">t </w:t>
            </w:r>
            <w:r w:rsidRPr="004336EC">
              <w:rPr>
                <w:rStyle w:val="Bodytext20"/>
                <w:rFonts w:ascii="Sylfaen" w:eastAsiaTheme="minorHAnsi" w:hAnsi="Sylfaen"/>
                <w:sz w:val="22"/>
                <w:szCs w:val="22"/>
              </w:rPr>
              <w:t>«խտություն — ժամանակը զրոյից մինչ</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t» կորի տակ ընկած մակերեսը&gt;</w:t>
            </w:r>
          </w:p>
          <w:p w14:paraId="5C70D31C"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&lt;AUC</w:t>
            </w:r>
            <w:r w:rsidRPr="004336EC">
              <w:rPr>
                <w:rStyle w:val="Bodytext20"/>
                <w:rFonts w:ascii="Sylfaen" w:eastAsiaTheme="minorHAnsi" w:hAnsi="Sylfaen"/>
                <w:sz w:val="22"/>
                <w:szCs w:val="22"/>
                <w:vertAlign w:val="subscript"/>
              </w:rPr>
              <w:t>0</w:t>
            </w:r>
            <w:r w:rsidRPr="004336EC">
              <w:rPr>
                <w:rStyle w:val="Bodytext28pt"/>
                <w:rFonts w:ascii="Sylfaen" w:eastAsiaTheme="minorHAnsi" w:hAnsi="Sylfaen"/>
                <w:sz w:val="22"/>
                <w:szCs w:val="22"/>
                <w:vertAlign w:val="subscript"/>
              </w:rPr>
              <w:t>-72 ժ</w:t>
            </w:r>
            <w:r w:rsidRPr="004336EC">
              <w:rPr>
                <w:rStyle w:val="Bodytext28pt"/>
                <w:rFonts w:ascii="Sylfaen" w:eastAsiaTheme="minorHAnsi" w:hAnsi="Sylfaen"/>
                <w:sz w:val="22"/>
                <w:szCs w:val="22"/>
              </w:rPr>
              <w:t xml:space="preserve"> </w:t>
            </w:r>
            <w:r w:rsidRPr="004336EC">
              <w:rPr>
                <w:rStyle w:val="Bodytext20"/>
                <w:rFonts w:ascii="Sylfaen" w:eastAsiaTheme="minorHAnsi" w:hAnsi="Sylfaen"/>
                <w:sz w:val="22"/>
                <w:szCs w:val="22"/>
              </w:rPr>
              <w:t>«խտություն — ժամանակը զրոյից մինչ</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72 ժամ» կորի տակ ընկած մակերեսը&gt;</w:t>
            </w:r>
          </w:p>
          <w:p w14:paraId="6F5FADC3"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АUС</w:t>
            </w:r>
            <w:r w:rsidRPr="004336EC">
              <w:rPr>
                <w:rStyle w:val="Bodytext20"/>
                <w:rFonts w:ascii="Sylfaen" w:eastAsiaTheme="minorHAnsi" w:hAnsi="Sylfaen"/>
                <w:sz w:val="22"/>
                <w:szCs w:val="22"/>
                <w:vertAlign w:val="subscript"/>
              </w:rPr>
              <w:t>0</w:t>
            </w:r>
            <w:r w:rsidRPr="004336EC">
              <w:rPr>
                <w:rStyle w:val="Bodytext28pt"/>
                <w:rFonts w:ascii="Sylfaen" w:eastAsiaTheme="minorHAnsi" w:hAnsi="Sylfaen"/>
                <w:sz w:val="22"/>
                <w:szCs w:val="22"/>
                <w:vertAlign w:val="subscript"/>
              </w:rPr>
              <w:t>-</w:t>
            </w:r>
            <w:r w:rsidRPr="004336EC">
              <w:rPr>
                <w:rFonts w:ascii="Sylfaen" w:hAnsi="Sylfaen"/>
                <w:vertAlign w:val="subscript"/>
              </w:rPr>
              <w:t>∞</w:t>
            </w:r>
            <w:r w:rsidRPr="004336EC">
              <w:rPr>
                <w:rFonts w:ascii="Sylfaen" w:hAnsi="Sylfaen"/>
              </w:rPr>
              <w:t xml:space="preserve"> </w:t>
            </w:r>
            <w:r w:rsidRPr="004336EC">
              <w:rPr>
                <w:rStyle w:val="Bodytext20"/>
                <w:rFonts w:ascii="Sylfaen" w:eastAsiaTheme="minorHAnsi" w:hAnsi="Sylfaen"/>
                <w:sz w:val="22"/>
                <w:szCs w:val="22"/>
              </w:rPr>
              <w:t>«խտություն — ժամանակը զրոյից մինչ</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անվերջություն» կորի տակ ընկած մակերեսը</w:t>
            </w:r>
          </w:p>
          <w:p w14:paraId="449A14D1"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С</w:t>
            </w:r>
            <w:r w:rsidRPr="000A280D">
              <w:rPr>
                <w:rStyle w:val="Bodytext20"/>
                <w:rFonts w:ascii="Sylfaen" w:eastAsiaTheme="minorHAnsi" w:hAnsi="Sylfaen"/>
                <w:sz w:val="22"/>
                <w:szCs w:val="22"/>
                <w:vertAlign w:val="subscript"/>
              </w:rPr>
              <w:t>m</w:t>
            </w:r>
            <w:r w:rsidRPr="000A280D">
              <w:rPr>
                <w:rStyle w:val="Bodytext28pt"/>
                <w:rFonts w:ascii="Sylfaen" w:eastAsiaTheme="minorHAnsi" w:hAnsi="Sylfaen"/>
                <w:sz w:val="22"/>
                <w:szCs w:val="22"/>
                <w:vertAlign w:val="subscript"/>
              </w:rPr>
              <w:t>ах</w:t>
            </w:r>
            <w:r w:rsidRPr="004336EC">
              <w:rPr>
                <w:rStyle w:val="Bodytext28pt"/>
                <w:rFonts w:ascii="Sylfaen" w:eastAsiaTheme="minorHAnsi" w:hAnsi="Sylfaen"/>
                <w:sz w:val="22"/>
                <w:szCs w:val="22"/>
                <w:vertAlign w:val="subscript"/>
              </w:rPr>
              <w:t xml:space="preserve"> </w:t>
            </w:r>
            <w:r w:rsidRPr="004336EC">
              <w:rPr>
                <w:rStyle w:val="Bodytext20"/>
                <w:rFonts w:ascii="Sylfaen" w:eastAsiaTheme="minorHAnsi" w:hAnsi="Sylfaen"/>
                <w:sz w:val="22"/>
                <w:szCs w:val="22"/>
              </w:rPr>
              <w:t>առավելագույն պլազմային խտությունը</w:t>
            </w:r>
          </w:p>
          <w:p w14:paraId="661D5CE2"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Т</w:t>
            </w:r>
            <w:r w:rsidRPr="004336EC">
              <w:rPr>
                <w:rStyle w:val="Bodytext20"/>
                <w:rFonts w:ascii="Sylfaen" w:eastAsiaTheme="minorHAnsi" w:hAnsi="Sylfaen"/>
                <w:sz w:val="22"/>
                <w:szCs w:val="22"/>
                <w:vertAlign w:val="subscript"/>
              </w:rPr>
              <w:t>m</w:t>
            </w:r>
            <w:r w:rsidRPr="004336EC">
              <w:rPr>
                <w:rStyle w:val="Bodytext28pt"/>
                <w:rFonts w:ascii="Sylfaen" w:eastAsiaTheme="minorHAnsi" w:hAnsi="Sylfaen"/>
                <w:sz w:val="22"/>
                <w:szCs w:val="22"/>
                <w:vertAlign w:val="subscript"/>
              </w:rPr>
              <w:t xml:space="preserve">ах </w:t>
            </w:r>
            <w:r w:rsidRPr="004336EC">
              <w:rPr>
                <w:rStyle w:val="Bodytext20"/>
                <w:rFonts w:ascii="Sylfaen" w:eastAsiaTheme="minorHAnsi" w:hAnsi="Sylfaen"/>
                <w:sz w:val="22"/>
                <w:szCs w:val="22"/>
              </w:rPr>
              <w:t>առավելագույն խտության հասնելու ժամանակը (*-միջնաթիվ, բացվածք)</w:t>
            </w:r>
          </w:p>
        </w:tc>
      </w:tr>
      <w:tr w:rsidR="004F5982" w:rsidRPr="004336EC" w14:paraId="0A8068BB" w14:textId="77777777" w:rsidTr="004F5982">
        <w:tc>
          <w:tcPr>
            <w:tcW w:w="9949" w:type="dxa"/>
            <w:gridSpan w:val="8"/>
            <w:shd w:val="clear" w:color="auto" w:fill="FFFFFF"/>
            <w:vAlign w:val="bottom"/>
          </w:tcPr>
          <w:p w14:paraId="6860C551" w14:textId="77777777" w:rsidR="004F5982" w:rsidRPr="004336EC" w:rsidRDefault="004F5982" w:rsidP="004F5982">
            <w:pPr>
              <w:spacing w:after="120" w:line="240" w:lineRule="auto"/>
              <w:jc w:val="right"/>
              <w:rPr>
                <w:rFonts w:ascii="Sylfaen" w:hAnsi="Sylfaen"/>
              </w:rPr>
            </w:pPr>
            <w:r w:rsidRPr="004336EC">
              <w:rPr>
                <w:rStyle w:val="Bodytext20"/>
                <w:rFonts w:ascii="Sylfaen" w:eastAsiaTheme="minorHAnsi" w:hAnsi="Sylfaen"/>
                <w:sz w:val="22"/>
                <w:szCs w:val="22"/>
              </w:rPr>
              <w:t>Աղյուսակ X</w:t>
            </w:r>
          </w:p>
          <w:p w14:paraId="637E9754" w14:textId="77777777" w:rsidR="004F5982" w:rsidRPr="004336EC" w:rsidRDefault="004F5982" w:rsidP="004F5982">
            <w:pPr>
              <w:spacing w:after="120" w:line="240" w:lineRule="auto"/>
              <w:ind w:left="567" w:right="717"/>
              <w:jc w:val="center"/>
              <w:rPr>
                <w:rFonts w:ascii="Sylfaen" w:hAnsi="Sylfaen"/>
              </w:rPr>
            </w:pPr>
            <w:r w:rsidRPr="004336EC">
              <w:rPr>
                <w:rStyle w:val="Bodytext20"/>
                <w:rFonts w:ascii="Sylfaen" w:eastAsiaTheme="minorHAnsi" w:hAnsi="Sylfaen"/>
                <w:sz w:val="22"/>
                <w:szCs w:val="22"/>
              </w:rPr>
              <w:t>Դեղակինետիկ պարամետրերը [նշել կենսանմուշը]</w:t>
            </w:r>
            <w:r>
              <w:rPr>
                <w:rStyle w:val="Bodytext20"/>
                <w:rFonts w:ascii="Sylfaen" w:eastAsiaTheme="minorHAnsi" w:hAnsi="Sylfaen"/>
                <w:sz w:val="22"/>
                <w:szCs w:val="22"/>
              </w:rPr>
              <w:br/>
            </w:r>
            <w:r w:rsidRPr="004336EC">
              <w:rPr>
                <w:rStyle w:val="Bodytext20"/>
                <w:rFonts w:ascii="Sylfaen" w:eastAsiaTheme="minorHAnsi" w:hAnsi="Sylfaen"/>
                <w:sz w:val="22"/>
                <w:szCs w:val="22"/>
              </w:rPr>
              <w:t>(լոգարիթմի վերածված արժեքները)</w:t>
            </w:r>
          </w:p>
        </w:tc>
      </w:tr>
      <w:tr w:rsidR="004F5982" w:rsidRPr="004336EC" w14:paraId="6B2F6977" w14:textId="77777777" w:rsidTr="004F5982">
        <w:tc>
          <w:tcPr>
            <w:tcW w:w="3082" w:type="dxa"/>
            <w:gridSpan w:val="2"/>
            <w:shd w:val="clear" w:color="auto" w:fill="FFFFFF"/>
            <w:vAlign w:val="center"/>
          </w:tcPr>
          <w:p w14:paraId="7B3E8108"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Դեղակինետիկ պարամետրը</w:t>
            </w:r>
          </w:p>
        </w:tc>
        <w:tc>
          <w:tcPr>
            <w:tcW w:w="3389" w:type="dxa"/>
            <w:gridSpan w:val="3"/>
            <w:shd w:val="clear" w:color="auto" w:fill="FFFFFF"/>
            <w:vAlign w:val="bottom"/>
          </w:tcPr>
          <w:p w14:paraId="27E90B77"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 xml:space="preserve">Հետազոտվող ԴՊ-ի </w:t>
            </w:r>
            <w:r w:rsidR="00C54D75">
              <w:rPr>
                <w:rStyle w:val="Bodytext20"/>
                <w:rFonts w:ascii="Sylfaen" w:eastAsiaTheme="minorHAnsi" w:hAnsi="Sylfaen"/>
                <w:sz w:val="22"/>
                <w:szCs w:val="22"/>
              </w:rPr>
              <w:t>և</w:t>
            </w:r>
            <w:r w:rsidRPr="004336EC">
              <w:rPr>
                <w:rStyle w:val="Bodytext20"/>
                <w:rFonts w:ascii="Sylfaen" w:eastAsiaTheme="minorHAnsi" w:hAnsi="Sylfaen"/>
                <w:sz w:val="22"/>
                <w:szCs w:val="22"/>
              </w:rPr>
              <w:t xml:space="preserve"> համեմատման ԴՊ-ի երկրաչափական միջինների հարաբերակցությունը</w:t>
            </w:r>
          </w:p>
        </w:tc>
        <w:tc>
          <w:tcPr>
            <w:tcW w:w="1996" w:type="dxa"/>
            <w:gridSpan w:val="2"/>
            <w:shd w:val="clear" w:color="auto" w:fill="FFFFFF"/>
            <w:vAlign w:val="center"/>
          </w:tcPr>
          <w:p w14:paraId="32699BF0"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Վստահելի միջակայքերը</w:t>
            </w:r>
          </w:p>
        </w:tc>
        <w:tc>
          <w:tcPr>
            <w:tcW w:w="1482" w:type="dxa"/>
            <w:shd w:val="clear" w:color="auto" w:fill="FFFFFF"/>
            <w:vAlign w:val="center"/>
          </w:tcPr>
          <w:p w14:paraId="18901983"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CV%*</w:t>
            </w:r>
          </w:p>
        </w:tc>
      </w:tr>
      <w:tr w:rsidR="004F5982" w:rsidRPr="004336EC" w14:paraId="0512E169" w14:textId="77777777" w:rsidTr="004F5982">
        <w:tc>
          <w:tcPr>
            <w:tcW w:w="3082" w:type="dxa"/>
            <w:gridSpan w:val="2"/>
            <w:shd w:val="clear" w:color="auto" w:fill="FFFFFF"/>
            <w:vAlign w:val="bottom"/>
          </w:tcPr>
          <w:p w14:paraId="14EDE0E3" w14:textId="77777777" w:rsidR="004F5982" w:rsidRPr="004336EC" w:rsidRDefault="004F5982" w:rsidP="004F5982">
            <w:pPr>
              <w:spacing w:after="120" w:line="240" w:lineRule="auto"/>
              <w:ind w:left="220"/>
              <w:jc w:val="both"/>
              <w:rPr>
                <w:rFonts w:ascii="Sylfaen" w:hAnsi="Sylfaen"/>
              </w:rPr>
            </w:pPr>
            <w:r w:rsidRPr="004336EC">
              <w:rPr>
                <w:rStyle w:val="Bodytext20"/>
                <w:rFonts w:ascii="Sylfaen" w:eastAsiaTheme="minorHAnsi" w:hAnsi="Sylfaen"/>
                <w:sz w:val="22"/>
                <w:szCs w:val="22"/>
              </w:rPr>
              <w:t>&lt;AUC</w:t>
            </w:r>
            <w:r w:rsidRPr="004336EC">
              <w:rPr>
                <w:rStyle w:val="Bodytext28pt"/>
                <w:rFonts w:ascii="Sylfaen" w:eastAsiaTheme="minorHAnsi" w:hAnsi="Sylfaen"/>
                <w:sz w:val="22"/>
                <w:szCs w:val="22"/>
                <w:vertAlign w:val="subscript"/>
              </w:rPr>
              <w:t>(0-t)</w:t>
            </w:r>
            <w:r w:rsidRPr="004336EC">
              <w:rPr>
                <w:rStyle w:val="Bodytext20"/>
                <w:rFonts w:ascii="Sylfaen" w:eastAsiaTheme="minorHAnsi" w:hAnsi="Sylfaen"/>
                <w:sz w:val="22"/>
                <w:szCs w:val="22"/>
              </w:rPr>
              <w:t>&gt;</w:t>
            </w:r>
          </w:p>
          <w:p w14:paraId="04D91240" w14:textId="77777777" w:rsidR="004F5982" w:rsidRPr="004336EC" w:rsidRDefault="004F5982" w:rsidP="004F5982">
            <w:pPr>
              <w:spacing w:after="120" w:line="240" w:lineRule="auto"/>
              <w:ind w:left="220"/>
              <w:jc w:val="both"/>
              <w:rPr>
                <w:rFonts w:ascii="Sylfaen" w:hAnsi="Sylfaen"/>
              </w:rPr>
            </w:pPr>
            <w:r w:rsidRPr="004336EC">
              <w:rPr>
                <w:rStyle w:val="Bodytext20"/>
                <w:rFonts w:ascii="Sylfaen" w:eastAsiaTheme="minorHAnsi" w:hAnsi="Sylfaen"/>
                <w:sz w:val="22"/>
                <w:szCs w:val="22"/>
              </w:rPr>
              <w:t>&lt;AUC</w:t>
            </w:r>
            <w:r w:rsidRPr="004336EC">
              <w:rPr>
                <w:rStyle w:val="Bodytext28pt"/>
                <w:rFonts w:ascii="Sylfaen" w:eastAsiaTheme="minorHAnsi" w:hAnsi="Sylfaen"/>
                <w:sz w:val="22"/>
                <w:szCs w:val="22"/>
                <w:vertAlign w:val="subscript"/>
              </w:rPr>
              <w:t>(0-72 ժ)</w:t>
            </w:r>
            <w:r w:rsidRPr="004336EC">
              <w:rPr>
                <w:rStyle w:val="Bodytext20"/>
                <w:rFonts w:ascii="Sylfaen" w:eastAsiaTheme="minorHAnsi" w:hAnsi="Sylfaen"/>
                <w:sz w:val="22"/>
                <w:szCs w:val="22"/>
              </w:rPr>
              <w:t>&gt;</w:t>
            </w:r>
          </w:p>
        </w:tc>
        <w:tc>
          <w:tcPr>
            <w:tcW w:w="3389" w:type="dxa"/>
            <w:gridSpan w:val="3"/>
            <w:shd w:val="clear" w:color="auto" w:fill="FFFFFF"/>
          </w:tcPr>
          <w:p w14:paraId="169DD40E" w14:textId="77777777" w:rsidR="004F5982" w:rsidRPr="004336EC" w:rsidRDefault="004F5982" w:rsidP="004F5982">
            <w:pPr>
              <w:spacing w:after="120" w:line="240" w:lineRule="auto"/>
              <w:jc w:val="both"/>
              <w:rPr>
                <w:rFonts w:ascii="Sylfaen" w:hAnsi="Sylfaen"/>
              </w:rPr>
            </w:pPr>
          </w:p>
        </w:tc>
        <w:tc>
          <w:tcPr>
            <w:tcW w:w="1996" w:type="dxa"/>
            <w:gridSpan w:val="2"/>
            <w:shd w:val="clear" w:color="auto" w:fill="FFFFFF"/>
          </w:tcPr>
          <w:p w14:paraId="3FDCD668" w14:textId="77777777" w:rsidR="004F5982" w:rsidRPr="004336EC" w:rsidRDefault="004F5982" w:rsidP="004F5982">
            <w:pPr>
              <w:spacing w:after="120" w:line="240" w:lineRule="auto"/>
              <w:jc w:val="both"/>
              <w:rPr>
                <w:rFonts w:ascii="Sylfaen" w:hAnsi="Sylfaen"/>
              </w:rPr>
            </w:pPr>
          </w:p>
        </w:tc>
        <w:tc>
          <w:tcPr>
            <w:tcW w:w="1482" w:type="dxa"/>
            <w:shd w:val="clear" w:color="auto" w:fill="FFFFFF"/>
          </w:tcPr>
          <w:p w14:paraId="161A2BE6" w14:textId="77777777" w:rsidR="004F5982" w:rsidRPr="004336EC" w:rsidRDefault="004F5982" w:rsidP="004F5982">
            <w:pPr>
              <w:spacing w:after="120" w:line="240" w:lineRule="auto"/>
              <w:jc w:val="both"/>
              <w:rPr>
                <w:rFonts w:ascii="Sylfaen" w:hAnsi="Sylfaen"/>
              </w:rPr>
            </w:pPr>
          </w:p>
        </w:tc>
      </w:tr>
      <w:tr w:rsidR="004F5982" w:rsidRPr="004336EC" w14:paraId="72306938" w14:textId="77777777" w:rsidTr="004F5982">
        <w:tc>
          <w:tcPr>
            <w:tcW w:w="3082" w:type="dxa"/>
            <w:gridSpan w:val="2"/>
            <w:shd w:val="clear" w:color="auto" w:fill="FFFFFF"/>
            <w:vAlign w:val="bottom"/>
          </w:tcPr>
          <w:p w14:paraId="405E3E3B" w14:textId="77777777" w:rsidR="004F5982" w:rsidRPr="004336EC" w:rsidRDefault="004F5982" w:rsidP="004F5982">
            <w:pPr>
              <w:spacing w:after="120" w:line="240" w:lineRule="auto"/>
              <w:ind w:left="220"/>
              <w:jc w:val="both"/>
              <w:rPr>
                <w:rFonts w:ascii="Sylfaen" w:hAnsi="Sylfaen"/>
              </w:rPr>
            </w:pPr>
            <w:r w:rsidRPr="004336EC">
              <w:rPr>
                <w:rStyle w:val="Bodytext28pt"/>
                <w:rFonts w:ascii="Sylfaen" w:eastAsiaTheme="minorHAnsi" w:hAnsi="Sylfaen"/>
                <w:sz w:val="22"/>
                <w:szCs w:val="22"/>
              </w:rPr>
              <w:t>C</w:t>
            </w:r>
            <w:r w:rsidRPr="004336EC">
              <w:rPr>
                <w:rStyle w:val="Bodytext28pt"/>
                <w:rFonts w:ascii="Sylfaen" w:eastAsiaTheme="minorHAnsi" w:hAnsi="Sylfaen"/>
                <w:sz w:val="22"/>
                <w:szCs w:val="22"/>
                <w:vertAlign w:val="subscript"/>
              </w:rPr>
              <w:t>max</w:t>
            </w:r>
          </w:p>
        </w:tc>
        <w:tc>
          <w:tcPr>
            <w:tcW w:w="3389" w:type="dxa"/>
            <w:gridSpan w:val="3"/>
            <w:shd w:val="clear" w:color="auto" w:fill="FFFFFF"/>
          </w:tcPr>
          <w:p w14:paraId="7A86230A" w14:textId="77777777" w:rsidR="004F5982" w:rsidRPr="004336EC" w:rsidRDefault="004F5982" w:rsidP="004F5982">
            <w:pPr>
              <w:spacing w:after="120" w:line="240" w:lineRule="auto"/>
              <w:jc w:val="both"/>
              <w:rPr>
                <w:rFonts w:ascii="Sylfaen" w:hAnsi="Sylfaen"/>
              </w:rPr>
            </w:pPr>
          </w:p>
        </w:tc>
        <w:tc>
          <w:tcPr>
            <w:tcW w:w="1996" w:type="dxa"/>
            <w:gridSpan w:val="2"/>
            <w:shd w:val="clear" w:color="auto" w:fill="FFFFFF"/>
          </w:tcPr>
          <w:p w14:paraId="06FB2D06" w14:textId="77777777" w:rsidR="004F5982" w:rsidRPr="004336EC" w:rsidRDefault="004F5982" w:rsidP="004F5982">
            <w:pPr>
              <w:spacing w:after="120" w:line="240" w:lineRule="auto"/>
              <w:jc w:val="both"/>
              <w:rPr>
                <w:rFonts w:ascii="Sylfaen" w:hAnsi="Sylfaen"/>
              </w:rPr>
            </w:pPr>
          </w:p>
        </w:tc>
        <w:tc>
          <w:tcPr>
            <w:tcW w:w="1482" w:type="dxa"/>
            <w:shd w:val="clear" w:color="auto" w:fill="FFFFFF"/>
          </w:tcPr>
          <w:p w14:paraId="6CFAF25A" w14:textId="77777777" w:rsidR="004F5982" w:rsidRPr="004336EC" w:rsidRDefault="004F5982" w:rsidP="004F5982">
            <w:pPr>
              <w:spacing w:after="120" w:line="240" w:lineRule="auto"/>
              <w:jc w:val="both"/>
              <w:rPr>
                <w:rFonts w:ascii="Sylfaen" w:hAnsi="Sylfaen"/>
              </w:rPr>
            </w:pPr>
          </w:p>
        </w:tc>
      </w:tr>
      <w:tr w:rsidR="004F5982" w:rsidRPr="004336EC" w14:paraId="57F3B7E3" w14:textId="77777777" w:rsidTr="004F5982">
        <w:tc>
          <w:tcPr>
            <w:tcW w:w="9949" w:type="dxa"/>
            <w:gridSpan w:val="8"/>
            <w:shd w:val="clear" w:color="auto" w:fill="FFFFFF"/>
            <w:vAlign w:val="bottom"/>
          </w:tcPr>
          <w:p w14:paraId="4641735E"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 հաշվարկված է մնացորդային միջին քառակուսային շեղման հիման վրա (residual mean squares)</w:t>
            </w:r>
          </w:p>
        </w:tc>
      </w:tr>
      <w:tr w:rsidR="004F5982" w:rsidRPr="004336EC" w14:paraId="7557F934" w14:textId="77777777" w:rsidTr="004F5982">
        <w:tc>
          <w:tcPr>
            <w:tcW w:w="9949" w:type="dxa"/>
            <w:gridSpan w:val="8"/>
            <w:shd w:val="clear" w:color="auto" w:fill="FFFFFF"/>
            <w:vAlign w:val="center"/>
          </w:tcPr>
          <w:p w14:paraId="3BE25808"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Փորձագետի մեկնաբանությունը՝</w:t>
            </w:r>
          </w:p>
        </w:tc>
      </w:tr>
      <w:tr w:rsidR="004F5982" w:rsidRPr="004336EC" w14:paraId="629696AD" w14:textId="77777777" w:rsidTr="004F5982">
        <w:tc>
          <w:tcPr>
            <w:tcW w:w="9949" w:type="dxa"/>
            <w:gridSpan w:val="8"/>
            <w:shd w:val="clear" w:color="auto" w:fill="FFFFFF"/>
          </w:tcPr>
          <w:p w14:paraId="4B0038F9" w14:textId="77777777" w:rsidR="004F5982" w:rsidRPr="004336EC" w:rsidRDefault="004F5982" w:rsidP="004F5982">
            <w:pPr>
              <w:spacing w:after="120" w:line="240" w:lineRule="auto"/>
              <w:jc w:val="both"/>
              <w:rPr>
                <w:rFonts w:ascii="Sylfaen" w:hAnsi="Sylfaen"/>
              </w:rPr>
            </w:pPr>
            <w:r w:rsidRPr="004336EC">
              <w:rPr>
                <w:rStyle w:val="Bodytext20"/>
                <w:rFonts w:ascii="Sylfaen" w:eastAsiaTheme="minorHAnsi" w:hAnsi="Sylfaen"/>
                <w:sz w:val="22"/>
                <w:szCs w:val="22"/>
              </w:rPr>
              <w:t>Անվտանգության վերաբերյալ տվյալները՝</w:t>
            </w:r>
          </w:p>
        </w:tc>
      </w:tr>
    </w:tbl>
    <w:p w14:paraId="461F4C1B" w14:textId="77777777" w:rsidR="004F5982" w:rsidRDefault="004F5982" w:rsidP="004F5982">
      <w:pPr>
        <w:spacing w:after="160" w:line="360" w:lineRule="auto"/>
        <w:jc w:val="both"/>
        <w:rPr>
          <w:rFonts w:ascii="Sylfaen" w:hAnsi="Sylfaen"/>
          <w:sz w:val="24"/>
          <w:szCs w:val="24"/>
        </w:rPr>
      </w:pPr>
    </w:p>
    <w:p w14:paraId="39B778CF" w14:textId="77777777" w:rsidR="004F5982" w:rsidRDefault="004F5982" w:rsidP="004F5982">
      <w:pPr>
        <w:spacing w:after="160" w:line="360" w:lineRule="auto"/>
        <w:jc w:val="both"/>
        <w:rPr>
          <w:rFonts w:ascii="Sylfaen" w:hAnsi="Sylfaen"/>
          <w:sz w:val="24"/>
          <w:szCs w:val="24"/>
        </w:rPr>
      </w:pPr>
    </w:p>
    <w:p w14:paraId="4EA25E3D" w14:textId="77777777" w:rsidR="00487007" w:rsidRDefault="00487007">
      <w:pPr>
        <w:widowControl/>
        <w:rPr>
          <w:rFonts w:ascii="Sylfaen" w:hAnsi="Sylfaen"/>
          <w:sz w:val="24"/>
          <w:szCs w:val="24"/>
        </w:rPr>
      </w:pPr>
      <w:r>
        <w:rPr>
          <w:rFonts w:ascii="Sylfaen" w:hAnsi="Sylfaen"/>
          <w:sz w:val="24"/>
          <w:szCs w:val="24"/>
        </w:rPr>
        <w:br w:type="page"/>
      </w:r>
    </w:p>
    <w:p w14:paraId="4606171D"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lastRenderedPageBreak/>
        <w:t>Եզրակացությունը</w:t>
      </w:r>
    </w:p>
    <w:p w14:paraId="72B17BE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&lt;Ելնելով կենսահամարժեքության հետազոտության (հետազոտությունների) ներկայացված արդյունքներից՝ [նշել հետազոտված դեղապատրաստուկի առ</w:t>
      </w:r>
      <w:r w:rsidR="00C54D75">
        <w:rPr>
          <w:rFonts w:ascii="Sylfaen" w:hAnsi="Sylfaen"/>
          <w:i/>
          <w:sz w:val="24"/>
          <w:szCs w:val="24"/>
        </w:rPr>
        <w:t>և</w:t>
      </w:r>
      <w:r w:rsidRPr="00826F05">
        <w:rPr>
          <w:rFonts w:ascii="Sylfaen" w:hAnsi="Sylfaen"/>
          <w:i/>
          <w:sz w:val="24"/>
          <w:szCs w:val="24"/>
        </w:rPr>
        <w:t>տրային անվանումը] ճանաչվում է [նշել համեմատման պատրաստուկի անվանումը]-ին կենսահամարժեք&gt;:</w:t>
      </w:r>
    </w:p>
    <w:p w14:paraId="1DEBABAF" w14:textId="77777777" w:rsidR="004F5982" w:rsidRPr="00826F05" w:rsidRDefault="004F5982" w:rsidP="00487007">
      <w:pPr>
        <w:tabs>
          <w:tab w:val="left" w:pos="1701"/>
        </w:tabs>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կամ</w:t>
      </w:r>
    </w:p>
    <w:p w14:paraId="75260CCC" w14:textId="77777777" w:rsidR="004F5982" w:rsidRPr="00826F05" w:rsidRDefault="004F5982" w:rsidP="00487007">
      <w:pPr>
        <w:spacing w:after="160" w:line="360" w:lineRule="auto"/>
        <w:ind w:right="-2" w:firstLine="567"/>
        <w:jc w:val="both"/>
        <w:rPr>
          <w:rFonts w:ascii="Sylfaen" w:eastAsia="Times New Roman" w:hAnsi="Sylfaen" w:cs="Times New Roman"/>
          <w:i/>
          <w:sz w:val="24"/>
          <w:szCs w:val="24"/>
        </w:rPr>
      </w:pPr>
      <w:r w:rsidRPr="00826F05">
        <w:rPr>
          <w:rFonts w:ascii="Sylfaen" w:hAnsi="Sylfaen"/>
          <w:i/>
          <w:sz w:val="24"/>
          <w:szCs w:val="24"/>
        </w:rPr>
        <w:t>&lt;Հաշվի առնելով [նշել հիմքերը] հետ [նշել հետազոտված դեղապատրաստուկի (առ</w:t>
      </w:r>
      <w:r w:rsidR="00C54D75">
        <w:rPr>
          <w:rFonts w:ascii="Sylfaen" w:hAnsi="Sylfaen"/>
          <w:i/>
          <w:sz w:val="24"/>
          <w:szCs w:val="24"/>
        </w:rPr>
        <w:t>և</w:t>
      </w:r>
      <w:r w:rsidRPr="00826F05">
        <w:rPr>
          <w:rFonts w:ascii="Sylfaen" w:hAnsi="Sylfaen"/>
          <w:i/>
          <w:sz w:val="24"/>
          <w:szCs w:val="24"/>
        </w:rPr>
        <w:t>տրային) անվանումը] ՝ ճանաչվում է [նշել</w:t>
      </w:r>
      <w:r>
        <w:rPr>
          <w:rFonts w:ascii="Sylfaen" w:hAnsi="Sylfaen"/>
          <w:i/>
          <w:sz w:val="24"/>
          <w:szCs w:val="24"/>
        </w:rPr>
        <w:t> </w:t>
      </w:r>
      <w:r w:rsidRPr="00826F05">
        <w:rPr>
          <w:rFonts w:ascii="Sylfaen" w:hAnsi="Sylfaen"/>
          <w:i/>
          <w:sz w:val="24"/>
          <w:szCs w:val="24"/>
        </w:rPr>
        <w:t>համեմատման պատրաստուկի անվանումը]-ին կենսահամարժեք &gt;:</w:t>
      </w:r>
    </w:p>
    <w:p w14:paraId="4FC5DF1A"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Եթե կիրառելի է, կարող է օգտագործվել հետ</w:t>
      </w:r>
      <w:r w:rsidR="00C54D75">
        <w:rPr>
          <w:rFonts w:ascii="Sylfaen" w:hAnsi="Sylfaen"/>
          <w:sz w:val="24"/>
          <w:szCs w:val="24"/>
        </w:rPr>
        <w:t>և</w:t>
      </w:r>
      <w:r w:rsidRPr="00826F05">
        <w:rPr>
          <w:rFonts w:ascii="Sylfaen" w:hAnsi="Sylfaen"/>
          <w:sz w:val="24"/>
          <w:szCs w:val="24"/>
        </w:rPr>
        <w:t>յալ ձ</w:t>
      </w:r>
      <w:r w:rsidR="00C54D75">
        <w:rPr>
          <w:rFonts w:ascii="Sylfaen" w:hAnsi="Sylfaen"/>
          <w:sz w:val="24"/>
          <w:szCs w:val="24"/>
        </w:rPr>
        <w:t>և</w:t>
      </w:r>
      <w:r w:rsidRPr="00826F05">
        <w:rPr>
          <w:rFonts w:ascii="Sylfaen" w:hAnsi="Sylfaen"/>
          <w:sz w:val="24"/>
          <w:szCs w:val="24"/>
        </w:rPr>
        <w:t>ակերպումը՝</w:t>
      </w:r>
    </w:p>
    <w:p w14:paraId="750CBEFC"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&lt;[XX մգ] պարունակող պատրաստուկով [հետազոտության համարը] հետազոտության արդյունքները [կարող են (չեն կարող)] արտարկվել այլ [XX մգ] դոզավորումների՝ Միության վերարտադրված դեղապատրաստուկների հետազոտությունների անցկացման կանոններում շարադրված պայմաններին համապատասխան&gt;:</w:t>
      </w:r>
    </w:p>
    <w:p w14:paraId="0507C1E3" w14:textId="77777777" w:rsidR="004F5982" w:rsidRPr="00826F05" w:rsidRDefault="004F5982" w:rsidP="00487007">
      <w:pPr>
        <w:spacing w:after="160" w:line="360" w:lineRule="auto"/>
        <w:jc w:val="both"/>
        <w:rPr>
          <w:rFonts w:ascii="Sylfaen" w:hAnsi="Sylfaen"/>
          <w:sz w:val="24"/>
          <w:szCs w:val="24"/>
        </w:rPr>
      </w:pPr>
    </w:p>
    <w:p w14:paraId="15A5CA27" w14:textId="77777777" w:rsidR="004F5982" w:rsidRPr="00826F05" w:rsidRDefault="004F5982" w:rsidP="00487007">
      <w:pPr>
        <w:spacing w:after="160" w:line="360" w:lineRule="auto"/>
        <w:ind w:right="-4"/>
        <w:jc w:val="center"/>
        <w:rPr>
          <w:rFonts w:ascii="Sylfaen" w:eastAsia="Times New Roman" w:hAnsi="Sylfaen" w:cs="Times New Roman"/>
          <w:sz w:val="24"/>
          <w:szCs w:val="24"/>
        </w:rPr>
      </w:pPr>
      <w:r w:rsidRPr="00826F05">
        <w:rPr>
          <w:rFonts w:ascii="Sylfaen" w:hAnsi="Sylfaen"/>
          <w:sz w:val="24"/>
          <w:szCs w:val="24"/>
        </w:rPr>
        <w:t>2.3.2. Դեղադինամիկան</w:t>
      </w:r>
    </w:p>
    <w:p w14:paraId="144905D9"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&lt;Նոր դեղադինամիկ հետազոտությունների արդյունքներ չեն ներկայացվել, սույն հայտի համատեքստում նման հետազոտություններ չեն պահանջվում&gt;:</w:t>
      </w:r>
    </w:p>
    <w:p w14:paraId="50721AD7"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Փորձագետի մեկնաբանությունը՝</w:t>
      </w:r>
    </w:p>
    <w:p w14:paraId="447C8F1C" w14:textId="77777777" w:rsidR="004F5982" w:rsidRPr="00826F05" w:rsidRDefault="004F5982" w:rsidP="00487007">
      <w:pPr>
        <w:spacing w:after="160" w:line="360" w:lineRule="auto"/>
        <w:ind w:firstLine="567"/>
        <w:jc w:val="both"/>
        <w:rPr>
          <w:rFonts w:ascii="Sylfaen" w:hAnsi="Sylfaen"/>
          <w:sz w:val="24"/>
          <w:szCs w:val="24"/>
        </w:rPr>
      </w:pPr>
    </w:p>
    <w:p w14:paraId="798AF950"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2.3.3. Հետգրանցումային փորձը</w:t>
      </w:r>
    </w:p>
    <w:p w14:paraId="638B7197" w14:textId="77777777" w:rsidR="004F5982" w:rsidRPr="00826F05" w:rsidRDefault="004F5982" w:rsidP="00487007">
      <w:pPr>
        <w:spacing w:after="160" w:line="360" w:lineRule="auto"/>
        <w:ind w:right="-2" w:firstLine="567"/>
        <w:jc w:val="both"/>
        <w:rPr>
          <w:rFonts w:ascii="Sylfaen" w:hAnsi="Sylfaen"/>
          <w:sz w:val="24"/>
          <w:szCs w:val="24"/>
        </w:rPr>
      </w:pPr>
      <w:r w:rsidRPr="00826F05">
        <w:rPr>
          <w:rFonts w:ascii="Sylfaen" w:hAnsi="Sylfaen"/>
          <w:i/>
          <w:sz w:val="24"/>
          <w:szCs w:val="24"/>
        </w:rPr>
        <w:t xml:space="preserve">&lt;Կիրառման հետգրանցումային փորձը բացակայում է: Դեղապատրաստուկը Միության սահմաններից դուրս չի կիրառվել&gt;: </w:t>
      </w:r>
    </w:p>
    <w:p w14:paraId="77918DB0" w14:textId="77777777" w:rsidR="004F5982" w:rsidRDefault="004F5982" w:rsidP="00487007">
      <w:pPr>
        <w:spacing w:after="160" w:line="360" w:lineRule="auto"/>
        <w:ind w:left="567" w:right="565"/>
        <w:jc w:val="center"/>
        <w:rPr>
          <w:rFonts w:ascii="Sylfaen" w:hAnsi="Sylfaen"/>
          <w:sz w:val="24"/>
          <w:szCs w:val="24"/>
        </w:rPr>
      </w:pPr>
    </w:p>
    <w:p w14:paraId="25F57EFE"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lastRenderedPageBreak/>
        <w:t>2.3.4. Կլինիկական ասպեկտների քննարկումը</w:t>
      </w:r>
    </w:p>
    <w:p w14:paraId="56159909"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2.3.5. Կլինիկական ասպեկտների վերաբերյալ եզրակացությունը</w:t>
      </w:r>
    </w:p>
    <w:p w14:paraId="159CC20B" w14:textId="77777777" w:rsidR="004F5982" w:rsidRPr="000A280D" w:rsidRDefault="004F5982" w:rsidP="00487007">
      <w:pPr>
        <w:spacing w:after="160" w:line="360" w:lineRule="auto"/>
        <w:ind w:right="-2" w:firstLine="567"/>
        <w:jc w:val="both"/>
        <w:rPr>
          <w:rFonts w:ascii="Sylfaen" w:eastAsia="Times New Roman" w:hAnsi="Sylfaen" w:cs="Times New Roman"/>
          <w:i/>
          <w:sz w:val="24"/>
          <w:szCs w:val="24"/>
        </w:rPr>
      </w:pPr>
      <w:r w:rsidRPr="000A280D">
        <w:rPr>
          <w:rFonts w:ascii="Sylfaen" w:hAnsi="Sylfaen"/>
          <w:i/>
          <w:sz w:val="24"/>
          <w:szCs w:val="24"/>
        </w:rPr>
        <w:t xml:space="preserve">&lt;[Դեղապատրաստուկի անվանումը] կլինիկական տվյալների վերաբերյալ գրական աղբյուրների ռեզյումեն </w:t>
      </w:r>
      <w:r w:rsidR="00C54D75">
        <w:rPr>
          <w:rFonts w:ascii="Sylfaen" w:hAnsi="Sylfaen"/>
          <w:i/>
          <w:sz w:val="24"/>
          <w:szCs w:val="24"/>
        </w:rPr>
        <w:t>և</w:t>
      </w:r>
      <w:r w:rsidRPr="000A280D">
        <w:rPr>
          <w:rFonts w:ascii="Sylfaen" w:hAnsi="Sylfaen"/>
          <w:i/>
          <w:sz w:val="24"/>
          <w:szCs w:val="24"/>
        </w:rPr>
        <w:t xml:space="preserve"> հիմնավորումն այն բանի, որ ազդող նյութի այլ [աղը, բարդ եթերը, պարզ եթերը, իզոմերը, իզոմերների խառնուրդը, կոմպլեքսը, ածանցյալը] հատկանիշներով էականորեն չի տարբերվում համեմատման պատրաստուկի անվտանգության </w:t>
      </w:r>
      <w:r w:rsidR="00C54D75">
        <w:rPr>
          <w:rFonts w:ascii="Sylfaen" w:hAnsi="Sylfaen"/>
          <w:i/>
          <w:sz w:val="24"/>
          <w:szCs w:val="24"/>
        </w:rPr>
        <w:t>և</w:t>
      </w:r>
      <w:r w:rsidRPr="000A280D">
        <w:rPr>
          <w:rFonts w:ascii="Sylfaen" w:hAnsi="Sylfaen"/>
          <w:i/>
          <w:sz w:val="24"/>
          <w:szCs w:val="24"/>
        </w:rPr>
        <w:t xml:space="preserve"> արդյունավետության պրոֆիլից, ներկայացվել</w:t>
      </w:r>
      <w:r>
        <w:rPr>
          <w:rFonts w:ascii="Sylfaen" w:hAnsi="Sylfaen"/>
          <w:i/>
          <w:sz w:val="24"/>
          <w:szCs w:val="24"/>
        </w:rPr>
        <w:t> </w:t>
      </w:r>
      <w:r w:rsidRPr="000A280D">
        <w:rPr>
          <w:rFonts w:ascii="Sylfaen" w:hAnsi="Sylfaen"/>
          <w:i/>
          <w:sz w:val="24"/>
          <w:szCs w:val="24"/>
        </w:rPr>
        <w:t xml:space="preserve">են [չեն ներկայացվել] </w:t>
      </w:r>
      <w:r w:rsidR="00C54D75">
        <w:rPr>
          <w:rFonts w:ascii="Sylfaen" w:hAnsi="Sylfaen"/>
          <w:i/>
          <w:sz w:val="24"/>
          <w:szCs w:val="24"/>
        </w:rPr>
        <w:t>և</w:t>
      </w:r>
      <w:r w:rsidRPr="000A280D">
        <w:rPr>
          <w:rFonts w:ascii="Sylfaen" w:hAnsi="Sylfaen"/>
          <w:i/>
          <w:sz w:val="24"/>
          <w:szCs w:val="24"/>
        </w:rPr>
        <w:t xml:space="preserve"> ընդունվում են [չեն ընդունվում] լիազորված մարմնի կողմից: Սա համաձայնեցվում է [չի համաձայնեցվում] Միության համապատասխան կանոնների հետ, այդ պատճառով էլ պահանջվում է [չի</w:t>
      </w:r>
      <w:r>
        <w:rPr>
          <w:rFonts w:ascii="Sylfaen" w:hAnsi="Sylfaen"/>
          <w:i/>
          <w:sz w:val="24"/>
          <w:szCs w:val="24"/>
        </w:rPr>
        <w:t> </w:t>
      </w:r>
      <w:r w:rsidRPr="000A280D">
        <w:rPr>
          <w:rFonts w:ascii="Sylfaen" w:hAnsi="Sylfaen"/>
          <w:i/>
          <w:sz w:val="24"/>
          <w:szCs w:val="24"/>
        </w:rPr>
        <w:t>պահանջվում] կլինիկական լրացուցիչ հետազոտությունների անցկացում&gt;:</w:t>
      </w:r>
    </w:p>
    <w:p w14:paraId="39CCD652" w14:textId="77777777" w:rsidR="004F5982" w:rsidRPr="000A280D" w:rsidRDefault="004F5982" w:rsidP="00487007">
      <w:pPr>
        <w:spacing w:after="160" w:line="360" w:lineRule="auto"/>
        <w:ind w:right="-2" w:firstLine="567"/>
        <w:jc w:val="both"/>
        <w:rPr>
          <w:rFonts w:ascii="Sylfaen" w:eastAsia="Times New Roman" w:hAnsi="Sylfaen" w:cs="Times New Roman"/>
          <w:i/>
          <w:sz w:val="24"/>
          <w:szCs w:val="24"/>
        </w:rPr>
      </w:pPr>
      <w:r w:rsidRPr="000A280D">
        <w:rPr>
          <w:rFonts w:ascii="Sylfaen" w:hAnsi="Sylfaen"/>
          <w:i/>
          <w:sz w:val="24"/>
          <w:szCs w:val="24"/>
        </w:rPr>
        <w:t>&lt;Կլինիկական ասպեկտների վերաբերյալ դիտողությունները վերացնելու համար անհրաժեշտ եմ համարում հետ</w:t>
      </w:r>
      <w:r w:rsidR="00C54D75">
        <w:rPr>
          <w:rFonts w:ascii="Sylfaen" w:hAnsi="Sylfaen"/>
          <w:i/>
          <w:sz w:val="24"/>
          <w:szCs w:val="24"/>
        </w:rPr>
        <w:t>և</w:t>
      </w:r>
      <w:r w:rsidRPr="000A280D">
        <w:rPr>
          <w:rFonts w:ascii="Sylfaen" w:hAnsi="Sylfaen"/>
          <w:i/>
          <w:sz w:val="24"/>
          <w:szCs w:val="24"/>
        </w:rPr>
        <w:t>յալ միջոցների ձեռնարկումը՝ [թվարկել</w:t>
      </w:r>
      <w:r>
        <w:rPr>
          <w:rFonts w:ascii="Sylfaen" w:hAnsi="Sylfaen"/>
          <w:i/>
          <w:sz w:val="24"/>
          <w:szCs w:val="24"/>
        </w:rPr>
        <w:t> </w:t>
      </w:r>
      <w:r w:rsidRPr="000A280D">
        <w:rPr>
          <w:rFonts w:ascii="Sylfaen" w:hAnsi="Sylfaen"/>
          <w:i/>
          <w:sz w:val="24"/>
          <w:szCs w:val="24"/>
        </w:rPr>
        <w:t>անհրաժեշտ միջոցները]&gt;:</w:t>
      </w:r>
    </w:p>
    <w:p w14:paraId="0246D5B8" w14:textId="77777777" w:rsidR="004F5982" w:rsidRPr="00826F05" w:rsidRDefault="004F5982" w:rsidP="00487007">
      <w:pPr>
        <w:spacing w:after="160" w:line="360" w:lineRule="auto"/>
        <w:jc w:val="both"/>
        <w:rPr>
          <w:rFonts w:ascii="Sylfaen" w:hAnsi="Sylfaen"/>
          <w:sz w:val="24"/>
          <w:szCs w:val="24"/>
        </w:rPr>
      </w:pPr>
    </w:p>
    <w:p w14:paraId="7281A3B8" w14:textId="77777777" w:rsidR="004F5982" w:rsidRPr="00826F05"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3. Դեղազգոնությունը</w:t>
      </w:r>
    </w:p>
    <w:p w14:paraId="7272CCAB"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3.1. Դեղազգոնության համակարգը</w:t>
      </w:r>
    </w:p>
    <w:p w14:paraId="3922B295"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 xml:space="preserve">&lt;Հայտատուն ներկայացրել է փաստաթղթեր, որոնք պարունակում են դեղազգոնության համակարգի մանրամասն նկարագրությունը: Ներկայացվել է հայտատուի </w:t>
      </w:r>
      <w:r w:rsidR="00C54D75">
        <w:rPr>
          <w:rFonts w:ascii="Sylfaen" w:hAnsi="Sylfaen"/>
          <w:i/>
          <w:sz w:val="24"/>
          <w:szCs w:val="24"/>
        </w:rPr>
        <w:t>և</w:t>
      </w:r>
      <w:r w:rsidRPr="00826F05">
        <w:rPr>
          <w:rFonts w:ascii="Sylfaen" w:hAnsi="Sylfaen"/>
          <w:i/>
          <w:sz w:val="24"/>
          <w:szCs w:val="24"/>
        </w:rPr>
        <w:t xml:space="preserve"> դեղազգոնության մասով լիազորված անձի կողմից ստորագրված հայտարարագիր, որը հավաստում է, որ հայտատուն իր տրամադրության տակ ունի դեղազգոնության համար պատասխանատու լիազորված անձ </w:t>
      </w:r>
      <w:r w:rsidR="00C54D75">
        <w:rPr>
          <w:rFonts w:ascii="Sylfaen" w:hAnsi="Sylfaen"/>
          <w:i/>
          <w:sz w:val="24"/>
          <w:szCs w:val="24"/>
        </w:rPr>
        <w:t>և</w:t>
      </w:r>
      <w:r w:rsidRPr="00826F05">
        <w:rPr>
          <w:rFonts w:ascii="Sylfaen" w:hAnsi="Sylfaen"/>
          <w:i/>
          <w:sz w:val="24"/>
          <w:szCs w:val="24"/>
        </w:rPr>
        <w:t xml:space="preserve"> Միությունում կամ երրորդ պետություններում առաջացող ցանկացած անցանկալի ռեակցիայի մասին ծանուցելու համար անհրաժեշտ միջոցներ&gt;:</w:t>
      </w:r>
    </w:p>
    <w:p w14:paraId="0329DEB7"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&lt;Համարում եմ, որ հայտատուի կողմից նկարագրված դեղազգոնության համակարգը բավարարում է պահանջները </w:t>
      </w:r>
      <w:r w:rsidR="00C54D75">
        <w:rPr>
          <w:rFonts w:ascii="Sylfaen" w:hAnsi="Sylfaen"/>
          <w:i/>
          <w:sz w:val="24"/>
          <w:szCs w:val="24"/>
        </w:rPr>
        <w:t>և</w:t>
      </w:r>
      <w:r w:rsidRPr="00826F05">
        <w:rPr>
          <w:rFonts w:ascii="Sylfaen" w:hAnsi="Sylfaen"/>
          <w:i/>
          <w:sz w:val="24"/>
          <w:szCs w:val="24"/>
        </w:rPr>
        <w:t xml:space="preserve"> պարունակում է բավարար հաստատումն այն բանի, որ հայտատուն իր տրամադրության տակ ունի </w:t>
      </w:r>
      <w:r w:rsidRPr="00826F05">
        <w:rPr>
          <w:rFonts w:ascii="Sylfaen" w:hAnsi="Sylfaen"/>
          <w:i/>
          <w:sz w:val="24"/>
          <w:szCs w:val="24"/>
        </w:rPr>
        <w:lastRenderedPageBreak/>
        <w:t xml:space="preserve">դեղազգոնության համար պատասխանատու լիազորված անձ </w:t>
      </w:r>
      <w:r w:rsidR="00C54D75">
        <w:rPr>
          <w:rFonts w:ascii="Sylfaen" w:hAnsi="Sylfaen"/>
          <w:i/>
          <w:sz w:val="24"/>
          <w:szCs w:val="24"/>
        </w:rPr>
        <w:t>և</w:t>
      </w:r>
      <w:r w:rsidRPr="00826F05">
        <w:rPr>
          <w:rFonts w:ascii="Sylfaen" w:hAnsi="Sylfaen"/>
          <w:i/>
          <w:sz w:val="24"/>
          <w:szCs w:val="24"/>
        </w:rPr>
        <w:t xml:space="preserve"> Միությունում կամ երրորդ երկրում առաջացող ցանկացած անցանկալի ռեակցիայի մասին ծանուցելու համար անհրաժեշտ միջոցներ&gt;:</w:t>
      </w:r>
    </w:p>
    <w:p w14:paraId="7851CB2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&lt;Կարծում եմ, որ հայտատուի կողմից նկարագրված դեղազգոնության համակարգն ունի հետ</w:t>
      </w:r>
      <w:r w:rsidR="00C54D75">
        <w:rPr>
          <w:rFonts w:ascii="Sylfaen" w:hAnsi="Sylfaen"/>
          <w:i/>
          <w:sz w:val="24"/>
          <w:szCs w:val="24"/>
        </w:rPr>
        <w:t>և</w:t>
      </w:r>
      <w:r w:rsidRPr="00826F05">
        <w:rPr>
          <w:rFonts w:ascii="Sylfaen" w:hAnsi="Sylfaen"/>
          <w:i/>
          <w:sz w:val="24"/>
          <w:szCs w:val="24"/>
        </w:rPr>
        <w:t>յալ թերությունները՝ &lt;թերությունների ցանկը&gt;:</w:t>
      </w:r>
    </w:p>
    <w:p w14:paraId="74EA70C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&lt;Մինչ</w:t>
      </w:r>
      <w:r w:rsidR="00C54D75">
        <w:rPr>
          <w:rFonts w:ascii="Sylfaen" w:hAnsi="Sylfaen"/>
          <w:i/>
          <w:sz w:val="24"/>
          <w:szCs w:val="24"/>
        </w:rPr>
        <w:t>և</w:t>
      </w:r>
      <w:r w:rsidRPr="00826F05">
        <w:rPr>
          <w:rFonts w:ascii="Sylfaen" w:hAnsi="Sylfaen"/>
          <w:i/>
          <w:sz w:val="24"/>
          <w:szCs w:val="24"/>
        </w:rPr>
        <w:t xml:space="preserve"> դեղապատրաստուկի իրացման մեկնարկը հայտատուի կողմից թերությունները վերացնելու դեպքում լիազորված մարմինը կարող է դեղազգոնության համակարգը ճանաչել որպես պահանջները բավարարող: Հայտատուն պետք է դեղազգոնության համակարգի առկայությունն ու գործառումն ապահովի մինչ</w:t>
      </w:r>
      <w:r w:rsidR="00C54D75">
        <w:rPr>
          <w:rFonts w:ascii="Sylfaen" w:hAnsi="Sylfaen"/>
          <w:i/>
          <w:sz w:val="24"/>
          <w:szCs w:val="24"/>
        </w:rPr>
        <w:t>և</w:t>
      </w:r>
      <w:r w:rsidRPr="00826F05">
        <w:rPr>
          <w:rFonts w:ascii="Sylfaen" w:hAnsi="Sylfaen"/>
          <w:i/>
          <w:sz w:val="24"/>
          <w:szCs w:val="24"/>
        </w:rPr>
        <w:t xml:space="preserve"> իրացման մեկնարկը:</w:t>
      </w:r>
    </w:p>
    <w:p w14:paraId="60F47CB2"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i/>
          <w:sz w:val="24"/>
          <w:szCs w:val="24"/>
        </w:rPr>
        <w:t>Փորձագետի մեկնաբանությունը՝</w:t>
      </w:r>
    </w:p>
    <w:p w14:paraId="1E6097C0" w14:textId="77777777" w:rsidR="004F5982" w:rsidRDefault="004F5982" w:rsidP="00487007">
      <w:pPr>
        <w:spacing w:after="160" w:line="360" w:lineRule="auto"/>
        <w:ind w:right="-4"/>
        <w:jc w:val="both"/>
        <w:rPr>
          <w:rFonts w:ascii="Sylfaen" w:hAnsi="Sylfaen"/>
          <w:sz w:val="24"/>
          <w:szCs w:val="24"/>
        </w:rPr>
      </w:pPr>
    </w:p>
    <w:p w14:paraId="7AAA677B"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3.2. Ռիսկերի կառավարման պլանը</w:t>
      </w:r>
    </w:p>
    <w:p w14:paraId="7650C581" w14:textId="77777777" w:rsidR="004F5982" w:rsidRPr="00826F05" w:rsidRDefault="004F5982" w:rsidP="00487007">
      <w:pPr>
        <w:spacing w:after="160" w:line="360" w:lineRule="auto"/>
        <w:ind w:right="-2" w:firstLine="567"/>
        <w:jc w:val="both"/>
        <w:rPr>
          <w:rFonts w:ascii="Sylfaen" w:eastAsia="Times New Roman" w:hAnsi="Sylfaen" w:cs="Times New Roman"/>
          <w:sz w:val="24"/>
          <w:szCs w:val="24"/>
        </w:rPr>
      </w:pPr>
      <w:r w:rsidRPr="00826F05">
        <w:rPr>
          <w:rFonts w:ascii="Sylfaen" w:hAnsi="Sylfaen"/>
          <w:sz w:val="24"/>
          <w:szCs w:val="24"/>
        </w:rPr>
        <w:t xml:space="preserve">Դիտողություններ </w:t>
      </w:r>
      <w:r w:rsidR="00C54D75">
        <w:rPr>
          <w:rFonts w:ascii="Sylfaen" w:hAnsi="Sylfaen"/>
          <w:sz w:val="24"/>
          <w:szCs w:val="24"/>
        </w:rPr>
        <w:t>և</w:t>
      </w:r>
      <w:r w:rsidRPr="00826F05">
        <w:rPr>
          <w:rFonts w:ascii="Sylfaen" w:hAnsi="Sylfaen"/>
          <w:sz w:val="24"/>
          <w:szCs w:val="24"/>
        </w:rPr>
        <w:t xml:space="preserve"> (կամ) կասկածներ, որոնք փորձագետը պետք է հաշվի</w:t>
      </w:r>
      <w:r>
        <w:rPr>
          <w:rFonts w:ascii="Sylfaen" w:hAnsi="Sylfaen"/>
          <w:sz w:val="24"/>
          <w:szCs w:val="24"/>
        </w:rPr>
        <w:t> </w:t>
      </w:r>
      <w:r w:rsidRPr="00826F05">
        <w:rPr>
          <w:rFonts w:ascii="Sylfaen" w:hAnsi="Sylfaen"/>
          <w:sz w:val="24"/>
          <w:szCs w:val="24"/>
        </w:rPr>
        <w:t>առնի ՌԿՊ-ի փորձաքննության ժամանակ՝</w:t>
      </w:r>
    </w:p>
    <w:p w14:paraId="13B5CE64" w14:textId="77777777" w:rsidR="004F5982" w:rsidRPr="00826F05" w:rsidRDefault="004F5982" w:rsidP="00487007">
      <w:pPr>
        <w:spacing w:after="160" w:line="360" w:lineRule="auto"/>
        <w:jc w:val="both"/>
        <w:rPr>
          <w:rFonts w:ascii="Sylfaen" w:hAnsi="Sylfaen"/>
          <w:sz w:val="24"/>
          <w:szCs w:val="24"/>
        </w:rPr>
      </w:pPr>
    </w:p>
    <w:p w14:paraId="40BB94CA"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4. Փորձագետի դիտողությունների ցանկը</w:t>
      </w:r>
    </w:p>
    <w:p w14:paraId="7747E7A4" w14:textId="77777777" w:rsidR="004F5982" w:rsidRDefault="004F5982" w:rsidP="00487007">
      <w:pPr>
        <w:spacing w:after="160" w:line="360" w:lineRule="auto"/>
        <w:ind w:left="567" w:right="-2"/>
        <w:jc w:val="both"/>
        <w:rPr>
          <w:rFonts w:ascii="Sylfaen" w:hAnsi="Sylfaen"/>
          <w:sz w:val="24"/>
          <w:szCs w:val="24"/>
        </w:rPr>
      </w:pPr>
      <w:r w:rsidRPr="00826F05">
        <w:rPr>
          <w:rFonts w:ascii="Sylfaen" w:hAnsi="Sylfaen"/>
          <w:sz w:val="24"/>
          <w:szCs w:val="24"/>
        </w:rPr>
        <w:t>Նախակլինիկական ասպեկտները՝</w:t>
      </w:r>
    </w:p>
    <w:p w14:paraId="1C8E6BC0" w14:textId="77777777" w:rsidR="004F5982" w:rsidRPr="00826F05" w:rsidRDefault="004F5982" w:rsidP="00487007">
      <w:pPr>
        <w:spacing w:after="160" w:line="360" w:lineRule="auto"/>
        <w:ind w:left="567" w:right="4534"/>
        <w:jc w:val="both"/>
        <w:rPr>
          <w:rFonts w:ascii="Sylfaen" w:eastAsia="Times New Roman" w:hAnsi="Sylfaen" w:cs="Times New Roman"/>
          <w:sz w:val="24"/>
          <w:szCs w:val="24"/>
        </w:rPr>
      </w:pPr>
    </w:p>
    <w:p w14:paraId="1EC87141" w14:textId="77777777" w:rsidR="004F5982" w:rsidRPr="00826F05" w:rsidRDefault="004F5982" w:rsidP="00487007">
      <w:pPr>
        <w:spacing w:after="160" w:line="360" w:lineRule="auto"/>
        <w:ind w:left="567" w:right="-2"/>
        <w:jc w:val="both"/>
        <w:rPr>
          <w:rFonts w:ascii="Sylfaen" w:eastAsia="Times New Roman" w:hAnsi="Sylfaen" w:cs="Times New Roman"/>
          <w:sz w:val="24"/>
          <w:szCs w:val="24"/>
        </w:rPr>
      </w:pPr>
      <w:r w:rsidRPr="00826F05">
        <w:rPr>
          <w:rFonts w:ascii="Sylfaen" w:hAnsi="Sylfaen"/>
          <w:sz w:val="24"/>
          <w:szCs w:val="24"/>
        </w:rPr>
        <w:t>Կրիտիկական դիտողությունները՝</w:t>
      </w:r>
    </w:p>
    <w:p w14:paraId="0AAD8F8D"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i/>
          <w:sz w:val="24"/>
          <w:szCs w:val="24"/>
        </w:rPr>
        <w:t>&lt;Բացակայում են&gt;</w:t>
      </w:r>
    </w:p>
    <w:p w14:paraId="3F68CBE5"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&lt;Դեղաբանությունը&gt;</w:t>
      </w:r>
    </w:p>
    <w:p w14:paraId="3262E875"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&lt;Դեղակինետիկան&gt;</w:t>
      </w:r>
    </w:p>
    <w:p w14:paraId="177CA94C"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&lt;Թունաբանությունը&gt;</w:t>
      </w:r>
    </w:p>
    <w:p w14:paraId="24778574" w14:textId="77777777" w:rsidR="004F5982" w:rsidRPr="00826F05" w:rsidRDefault="004F5982" w:rsidP="00487007">
      <w:pPr>
        <w:spacing w:after="160" w:line="360" w:lineRule="auto"/>
        <w:ind w:left="567" w:right="-20"/>
        <w:jc w:val="both"/>
        <w:rPr>
          <w:rFonts w:ascii="Sylfaen" w:eastAsia="Times New Roman" w:hAnsi="Sylfaen" w:cs="Times New Roman"/>
          <w:sz w:val="24"/>
          <w:szCs w:val="24"/>
        </w:rPr>
      </w:pPr>
      <w:r w:rsidRPr="00826F05">
        <w:rPr>
          <w:rFonts w:ascii="Sylfaen" w:hAnsi="Sylfaen"/>
          <w:sz w:val="24"/>
          <w:szCs w:val="24"/>
        </w:rPr>
        <w:lastRenderedPageBreak/>
        <w:t>Այլ դիտողություններ՝</w:t>
      </w:r>
    </w:p>
    <w:p w14:paraId="18477980"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i/>
          <w:sz w:val="24"/>
          <w:szCs w:val="24"/>
        </w:rPr>
        <w:t>&lt;Բացակայում են&gt;</w:t>
      </w:r>
    </w:p>
    <w:p w14:paraId="090CEC7C"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&lt;Դեղաբանությունը&gt;</w:t>
      </w:r>
    </w:p>
    <w:p w14:paraId="4FD90160"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&lt;Դեղակինետիկան&gt;</w:t>
      </w:r>
    </w:p>
    <w:p w14:paraId="53169FC8" w14:textId="77777777" w:rsidR="004F5982" w:rsidRDefault="004F5982" w:rsidP="00487007">
      <w:pPr>
        <w:spacing w:after="160" w:line="360" w:lineRule="auto"/>
        <w:ind w:left="1134" w:right="-20"/>
        <w:jc w:val="both"/>
        <w:rPr>
          <w:rFonts w:ascii="Sylfaen" w:hAnsi="Sylfaen"/>
          <w:sz w:val="24"/>
          <w:szCs w:val="24"/>
        </w:rPr>
      </w:pPr>
      <w:r w:rsidRPr="00826F05">
        <w:rPr>
          <w:rFonts w:ascii="Sylfaen" w:hAnsi="Sylfaen"/>
          <w:sz w:val="24"/>
          <w:szCs w:val="24"/>
        </w:rPr>
        <w:t>&lt;Թունաբանությունը&gt;</w:t>
      </w:r>
    </w:p>
    <w:p w14:paraId="25FCA8AE"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p>
    <w:p w14:paraId="68DFD9B3" w14:textId="77777777" w:rsidR="004F5982" w:rsidRDefault="004F5982" w:rsidP="00487007">
      <w:pPr>
        <w:spacing w:after="160" w:line="360" w:lineRule="auto"/>
        <w:ind w:left="567" w:right="-20"/>
        <w:jc w:val="both"/>
        <w:rPr>
          <w:rFonts w:ascii="Sylfaen" w:hAnsi="Sylfaen"/>
          <w:sz w:val="24"/>
          <w:szCs w:val="24"/>
        </w:rPr>
      </w:pPr>
      <w:r w:rsidRPr="00826F05">
        <w:rPr>
          <w:rFonts w:ascii="Sylfaen" w:hAnsi="Sylfaen"/>
          <w:sz w:val="24"/>
          <w:szCs w:val="24"/>
        </w:rPr>
        <w:t>Կլինիկական ասպեկտները՝</w:t>
      </w:r>
    </w:p>
    <w:p w14:paraId="6EAF9499" w14:textId="77777777" w:rsidR="004F5982" w:rsidRPr="00826F05" w:rsidRDefault="004F5982" w:rsidP="00487007">
      <w:pPr>
        <w:spacing w:after="160" w:line="360" w:lineRule="auto"/>
        <w:ind w:left="810" w:right="-20"/>
        <w:jc w:val="both"/>
        <w:rPr>
          <w:rFonts w:ascii="Sylfaen" w:eastAsia="Times New Roman" w:hAnsi="Sylfaen" w:cs="Times New Roman"/>
          <w:sz w:val="24"/>
          <w:szCs w:val="24"/>
        </w:rPr>
      </w:pPr>
    </w:p>
    <w:p w14:paraId="60E492FD" w14:textId="77777777" w:rsidR="004F5982" w:rsidRPr="00826F05" w:rsidRDefault="004F5982" w:rsidP="00487007">
      <w:pPr>
        <w:spacing w:after="160" w:line="360" w:lineRule="auto"/>
        <w:ind w:left="567" w:right="-2"/>
        <w:jc w:val="both"/>
        <w:rPr>
          <w:rFonts w:ascii="Sylfaen" w:eastAsia="Times New Roman" w:hAnsi="Sylfaen" w:cs="Times New Roman"/>
          <w:sz w:val="24"/>
          <w:szCs w:val="24"/>
        </w:rPr>
      </w:pPr>
      <w:r w:rsidRPr="00826F05">
        <w:rPr>
          <w:rFonts w:ascii="Sylfaen" w:hAnsi="Sylfaen"/>
          <w:sz w:val="24"/>
          <w:szCs w:val="24"/>
        </w:rPr>
        <w:t>Կրիտիկական դիտողությունները՝</w:t>
      </w:r>
    </w:p>
    <w:p w14:paraId="3BE7D2D8"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i/>
          <w:sz w:val="24"/>
          <w:szCs w:val="24"/>
        </w:rPr>
        <w:t>&lt;Բացակայում են&gt;</w:t>
      </w:r>
    </w:p>
    <w:p w14:paraId="479087A1"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&lt;Դեղակինետիկան&gt;</w:t>
      </w:r>
    </w:p>
    <w:p w14:paraId="0EAFF931"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&lt;Դեղազգոնության համակարգը&gt;</w:t>
      </w:r>
    </w:p>
    <w:p w14:paraId="0FF78E24"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&lt;Ռիսկերի կառավարման պլանը&gt;</w:t>
      </w:r>
    </w:p>
    <w:p w14:paraId="2714BD8B" w14:textId="77777777" w:rsidR="004F5982" w:rsidRDefault="004F5982" w:rsidP="00487007">
      <w:pPr>
        <w:spacing w:after="160" w:line="360" w:lineRule="auto"/>
        <w:ind w:left="567" w:right="-20"/>
        <w:jc w:val="both"/>
        <w:rPr>
          <w:rFonts w:ascii="Sylfaen" w:hAnsi="Sylfaen"/>
          <w:sz w:val="24"/>
          <w:szCs w:val="24"/>
        </w:rPr>
      </w:pPr>
    </w:p>
    <w:p w14:paraId="61B83564" w14:textId="77777777" w:rsidR="004F5982" w:rsidRPr="00826F05" w:rsidRDefault="004F5982" w:rsidP="00487007">
      <w:pPr>
        <w:spacing w:after="160" w:line="360" w:lineRule="auto"/>
        <w:ind w:left="567" w:right="-20"/>
        <w:jc w:val="both"/>
        <w:rPr>
          <w:rFonts w:ascii="Sylfaen" w:eastAsia="Times New Roman" w:hAnsi="Sylfaen" w:cs="Times New Roman"/>
          <w:sz w:val="24"/>
          <w:szCs w:val="24"/>
        </w:rPr>
      </w:pPr>
      <w:r w:rsidRPr="00826F05">
        <w:rPr>
          <w:rFonts w:ascii="Sylfaen" w:hAnsi="Sylfaen"/>
          <w:sz w:val="24"/>
          <w:szCs w:val="24"/>
        </w:rPr>
        <w:t>Այլ դիտողություններ՝</w:t>
      </w:r>
    </w:p>
    <w:p w14:paraId="72E52A7F"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i/>
          <w:sz w:val="24"/>
          <w:szCs w:val="24"/>
        </w:rPr>
        <w:t>&lt;Բացակայում են&gt;</w:t>
      </w:r>
    </w:p>
    <w:p w14:paraId="5C9C3CED"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&lt;Դեղակինետիկան&gt;</w:t>
      </w:r>
    </w:p>
    <w:p w14:paraId="70DA346D" w14:textId="77777777" w:rsidR="004F5982" w:rsidRPr="00826F05" w:rsidRDefault="004F5982" w:rsidP="00487007">
      <w:pPr>
        <w:spacing w:after="160" w:line="360" w:lineRule="auto"/>
        <w:ind w:left="1134" w:right="-20"/>
        <w:jc w:val="both"/>
        <w:rPr>
          <w:rFonts w:ascii="Sylfaen" w:eastAsia="Times New Roman" w:hAnsi="Sylfaen" w:cs="Times New Roman"/>
          <w:sz w:val="24"/>
          <w:szCs w:val="24"/>
        </w:rPr>
      </w:pPr>
      <w:r w:rsidRPr="00826F05">
        <w:rPr>
          <w:rFonts w:ascii="Sylfaen" w:hAnsi="Sylfaen"/>
          <w:sz w:val="24"/>
          <w:szCs w:val="24"/>
        </w:rPr>
        <w:t>&lt;Դեղազգոնության համակարգը&gt;</w:t>
      </w:r>
    </w:p>
    <w:p w14:paraId="7E1A1BC0" w14:textId="77777777" w:rsidR="004F5982" w:rsidRPr="00826F05" w:rsidRDefault="004F5982" w:rsidP="00487007">
      <w:pPr>
        <w:spacing w:after="160" w:line="360" w:lineRule="auto"/>
        <w:ind w:left="1134" w:right="-2"/>
        <w:jc w:val="both"/>
        <w:rPr>
          <w:rFonts w:ascii="Sylfaen" w:hAnsi="Sylfaen"/>
          <w:sz w:val="24"/>
          <w:szCs w:val="24"/>
        </w:rPr>
      </w:pPr>
      <w:r w:rsidRPr="00826F05">
        <w:rPr>
          <w:rFonts w:ascii="Sylfaen" w:hAnsi="Sylfaen"/>
          <w:sz w:val="24"/>
          <w:szCs w:val="24"/>
        </w:rPr>
        <w:t xml:space="preserve">&lt;Ռիսկերի կառավարման պլանը&gt; </w:t>
      </w:r>
    </w:p>
    <w:p w14:paraId="4AA79327" w14:textId="77777777" w:rsidR="004F5982" w:rsidRDefault="004F5982" w:rsidP="00487007">
      <w:pPr>
        <w:spacing w:after="160" w:line="360" w:lineRule="auto"/>
        <w:ind w:left="810" w:right="4543" w:firstLine="425"/>
        <w:jc w:val="both"/>
        <w:rPr>
          <w:rFonts w:ascii="Sylfaen" w:hAnsi="Sylfaen"/>
          <w:sz w:val="24"/>
          <w:szCs w:val="24"/>
        </w:rPr>
      </w:pPr>
    </w:p>
    <w:p w14:paraId="19C5297E" w14:textId="77777777" w:rsidR="004F5982" w:rsidRDefault="004F5982" w:rsidP="00487007">
      <w:pPr>
        <w:spacing w:after="160" w:line="360" w:lineRule="auto"/>
        <w:ind w:left="567" w:right="4543" w:firstLine="41"/>
        <w:jc w:val="both"/>
        <w:rPr>
          <w:rFonts w:ascii="Sylfaen" w:hAnsi="Sylfaen"/>
          <w:sz w:val="24"/>
          <w:szCs w:val="24"/>
        </w:rPr>
      </w:pPr>
      <w:r w:rsidRPr="00826F05">
        <w:rPr>
          <w:rFonts w:ascii="Sylfaen" w:hAnsi="Sylfaen"/>
          <w:sz w:val="24"/>
          <w:szCs w:val="24"/>
        </w:rPr>
        <w:t>Առաջարկությունները՝</w:t>
      </w:r>
    </w:p>
    <w:p w14:paraId="3BD596F3" w14:textId="77777777" w:rsidR="004F5982" w:rsidRPr="00826F05" w:rsidRDefault="004F5982" w:rsidP="00487007">
      <w:pPr>
        <w:spacing w:after="160" w:line="360" w:lineRule="auto"/>
        <w:ind w:left="810" w:right="4543" w:firstLine="425"/>
        <w:jc w:val="both"/>
        <w:rPr>
          <w:rFonts w:ascii="Sylfaen" w:eastAsia="Times New Roman" w:hAnsi="Sylfaen" w:cs="Times New Roman"/>
          <w:sz w:val="24"/>
          <w:szCs w:val="24"/>
        </w:rPr>
      </w:pPr>
    </w:p>
    <w:p w14:paraId="0C0CA965"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lastRenderedPageBreak/>
        <w:t xml:space="preserve">5. Փորձագետի կողմից առաջարկվող պայմանները, որոնց կատարումը հայտատուի կողմից անհրաժեշտ է գրանցման հավաստագիրը ստանալուց </w:t>
      </w:r>
      <w:r w:rsidR="00C54D75">
        <w:rPr>
          <w:rFonts w:ascii="Sylfaen" w:hAnsi="Sylfaen"/>
          <w:sz w:val="24"/>
          <w:szCs w:val="24"/>
        </w:rPr>
        <w:t>և</w:t>
      </w:r>
      <w:r w:rsidRPr="00826F05">
        <w:rPr>
          <w:rFonts w:ascii="Sylfaen" w:hAnsi="Sylfaen"/>
          <w:sz w:val="24"/>
          <w:szCs w:val="24"/>
        </w:rPr>
        <w:t xml:space="preserve"> դեղապատրաստուկի ընդհանուր բնութագիրը, բժշկական կիրառման հրահանգները (ներդիր թերթիկը) </w:t>
      </w:r>
      <w:r w:rsidR="00C54D75">
        <w:rPr>
          <w:rFonts w:ascii="Sylfaen" w:hAnsi="Sylfaen"/>
          <w:sz w:val="24"/>
          <w:szCs w:val="24"/>
        </w:rPr>
        <w:t>և</w:t>
      </w:r>
      <w:r w:rsidRPr="00826F05">
        <w:rPr>
          <w:rFonts w:ascii="Sylfaen" w:hAnsi="Sylfaen"/>
          <w:sz w:val="24"/>
          <w:szCs w:val="24"/>
        </w:rPr>
        <w:t xml:space="preserve"> դեղապատրաստուկի փաթեթվածքի դիզայնը հաստատելուց հետո</w:t>
      </w:r>
    </w:p>
    <w:p w14:paraId="5CCB353F" w14:textId="77777777" w:rsidR="004F5982" w:rsidRPr="00826F05" w:rsidRDefault="004F5982" w:rsidP="00487007">
      <w:pPr>
        <w:spacing w:after="160" w:line="360" w:lineRule="auto"/>
        <w:ind w:right="-4"/>
        <w:jc w:val="both"/>
        <w:rPr>
          <w:rFonts w:ascii="Sylfaen" w:hAnsi="Sylfaen"/>
          <w:sz w:val="24"/>
          <w:szCs w:val="24"/>
        </w:rPr>
      </w:pPr>
    </w:p>
    <w:p w14:paraId="7AC69C82" w14:textId="77777777" w:rsidR="004F5982" w:rsidRDefault="004F5982" w:rsidP="00487007">
      <w:pPr>
        <w:spacing w:after="160" w:line="360" w:lineRule="auto"/>
        <w:ind w:left="567" w:right="565"/>
        <w:jc w:val="center"/>
        <w:rPr>
          <w:rFonts w:ascii="Sylfaen" w:hAnsi="Sylfaen"/>
          <w:sz w:val="24"/>
          <w:szCs w:val="24"/>
        </w:rPr>
      </w:pPr>
      <w:r w:rsidRPr="00826F05">
        <w:rPr>
          <w:rFonts w:ascii="Sylfaen" w:hAnsi="Sylfaen"/>
          <w:sz w:val="24"/>
          <w:szCs w:val="24"/>
        </w:rPr>
        <w:t>6. Գրականության ցանկը</w:t>
      </w:r>
    </w:p>
    <w:p w14:paraId="306F1346" w14:textId="77777777" w:rsidR="004F5982" w:rsidRPr="002618FA" w:rsidRDefault="004F5982" w:rsidP="004F5982">
      <w:pPr>
        <w:spacing w:after="160" w:line="360" w:lineRule="auto"/>
        <w:ind w:left="567" w:right="565"/>
        <w:jc w:val="center"/>
        <w:rPr>
          <w:rFonts w:ascii="Sylfaen" w:hAnsi="Sylfaen"/>
          <w:sz w:val="24"/>
          <w:szCs w:val="24"/>
        </w:rPr>
      </w:pPr>
      <w:r>
        <w:rPr>
          <w:rFonts w:ascii="Sylfaen" w:hAnsi="Sylfaen"/>
          <w:sz w:val="24"/>
          <w:szCs w:val="24"/>
        </w:rPr>
        <w:t>————————</w:t>
      </w:r>
    </w:p>
    <w:p w14:paraId="30433B93" w14:textId="77777777" w:rsidR="004F5982" w:rsidRPr="002618FA" w:rsidRDefault="004F5982" w:rsidP="004F5982">
      <w:pPr>
        <w:spacing w:after="160" w:line="360" w:lineRule="auto"/>
        <w:ind w:right="-4"/>
        <w:jc w:val="both"/>
        <w:rPr>
          <w:rFonts w:ascii="Sylfaen" w:eastAsia="Times New Roman" w:hAnsi="Sylfaen" w:cs="Times New Roman"/>
          <w:sz w:val="24"/>
          <w:szCs w:val="24"/>
        </w:rPr>
      </w:pPr>
    </w:p>
    <w:p w14:paraId="1E513365" w14:textId="77777777" w:rsidR="004F5982" w:rsidRPr="00826F05" w:rsidRDefault="004F5982" w:rsidP="004F5982">
      <w:pPr>
        <w:spacing w:after="160" w:line="360" w:lineRule="auto"/>
        <w:ind w:right="-6" w:firstLine="567"/>
        <w:jc w:val="both"/>
        <w:rPr>
          <w:rFonts w:ascii="Sylfaen" w:eastAsia="Times New Roman" w:hAnsi="Sylfaen" w:cs="Times New Roman"/>
          <w:sz w:val="24"/>
          <w:szCs w:val="24"/>
        </w:rPr>
        <w:sectPr w:rsidR="004F5982" w:rsidRPr="00826F05" w:rsidSect="00487007">
          <w:pgSz w:w="11906" w:h="16838" w:code="9"/>
          <w:pgMar w:top="1418" w:right="1418" w:bottom="1418" w:left="1418" w:header="709" w:footer="709" w:gutter="0"/>
          <w:pgNumType w:start="1"/>
          <w:cols w:space="708"/>
          <w:titlePg/>
          <w:docGrid w:linePitch="360"/>
        </w:sectPr>
      </w:pPr>
    </w:p>
    <w:p w14:paraId="2C2D7DFD" w14:textId="77777777" w:rsidR="004F5982" w:rsidRPr="00826F05" w:rsidRDefault="004F5982" w:rsidP="00487007">
      <w:pPr>
        <w:spacing w:after="160" w:line="360" w:lineRule="auto"/>
        <w:ind w:left="3969" w:right="-1"/>
        <w:jc w:val="center"/>
        <w:rPr>
          <w:rFonts w:ascii="Sylfaen" w:eastAsia="Times New Roman" w:hAnsi="Sylfaen" w:cs="Times New Roman"/>
          <w:sz w:val="24"/>
          <w:szCs w:val="24"/>
        </w:rPr>
      </w:pPr>
      <w:r w:rsidRPr="00826F05">
        <w:rPr>
          <w:rFonts w:ascii="Sylfaen" w:hAnsi="Sylfaen"/>
          <w:sz w:val="24"/>
          <w:szCs w:val="24"/>
        </w:rPr>
        <w:lastRenderedPageBreak/>
        <w:t>ՀԱՎԵԼՎԱԾ ԹԻՎ 23</w:t>
      </w:r>
    </w:p>
    <w:p w14:paraId="684713A5" w14:textId="77777777" w:rsidR="004F5982" w:rsidRPr="00826F05" w:rsidRDefault="004F5982" w:rsidP="00487007">
      <w:pPr>
        <w:spacing w:after="160" w:line="360" w:lineRule="auto"/>
        <w:ind w:left="3969" w:right="-1" w:hanging="1"/>
        <w:jc w:val="center"/>
        <w:rPr>
          <w:rFonts w:ascii="Sylfaen" w:eastAsia="Times New Roman" w:hAnsi="Sylfaen" w:cs="Times New Roman"/>
          <w:sz w:val="24"/>
          <w:szCs w:val="24"/>
        </w:rPr>
      </w:pPr>
      <w:r w:rsidRPr="00826F05">
        <w:rPr>
          <w:rFonts w:ascii="Sylfaen" w:hAnsi="Sylfaen"/>
          <w:sz w:val="24"/>
          <w:szCs w:val="24"/>
        </w:rPr>
        <w:t xml:space="preserve">Բժշկական կիրառման դեղամիջոցների գրանցման </w:t>
      </w:r>
      <w:r w:rsidR="00C54D75">
        <w:rPr>
          <w:rFonts w:ascii="Sylfaen" w:hAnsi="Sylfaen"/>
          <w:sz w:val="24"/>
          <w:szCs w:val="24"/>
        </w:rPr>
        <w:t>և</w:t>
      </w:r>
      <w:r w:rsidRPr="00826F05">
        <w:rPr>
          <w:rFonts w:ascii="Sylfaen" w:hAnsi="Sylfaen"/>
          <w:sz w:val="24"/>
          <w:szCs w:val="24"/>
        </w:rPr>
        <w:t xml:space="preserve"> փորձաքննության կանոնների</w:t>
      </w:r>
    </w:p>
    <w:p w14:paraId="09C99EC0" w14:textId="77777777" w:rsidR="004F5982" w:rsidRPr="00826F05" w:rsidRDefault="004F5982" w:rsidP="00487007">
      <w:pPr>
        <w:spacing w:after="160" w:line="360" w:lineRule="auto"/>
        <w:jc w:val="both"/>
        <w:rPr>
          <w:rFonts w:ascii="Sylfaen" w:hAnsi="Sylfaen"/>
          <w:sz w:val="24"/>
          <w:szCs w:val="24"/>
        </w:rPr>
      </w:pPr>
    </w:p>
    <w:p w14:paraId="16DBDE41" w14:textId="77777777" w:rsidR="004F5982" w:rsidRPr="00487007" w:rsidRDefault="004F5982" w:rsidP="00487007">
      <w:pPr>
        <w:spacing w:after="160" w:line="360" w:lineRule="auto"/>
        <w:ind w:left="567" w:right="332"/>
        <w:jc w:val="center"/>
        <w:rPr>
          <w:rFonts w:ascii="Sylfaen" w:eastAsia="Times New Roman" w:hAnsi="Sylfaen" w:cs="Times New Roman"/>
          <w:b/>
          <w:sz w:val="24"/>
          <w:szCs w:val="24"/>
        </w:rPr>
      </w:pPr>
      <w:r w:rsidRPr="00487007">
        <w:rPr>
          <w:rFonts w:ascii="Sylfaen" w:hAnsi="Sylfaen"/>
          <w:b/>
          <w:sz w:val="24"/>
          <w:szCs w:val="24"/>
        </w:rPr>
        <w:t>ՑՈՒՑՈՒՄՆԵՐ</w:t>
      </w:r>
    </w:p>
    <w:p w14:paraId="0BEA276D" w14:textId="77777777" w:rsidR="004F5982" w:rsidRPr="00826F05" w:rsidRDefault="004F5982" w:rsidP="00487007">
      <w:pPr>
        <w:spacing w:after="160" w:line="360" w:lineRule="auto"/>
        <w:ind w:left="567" w:right="332"/>
        <w:jc w:val="center"/>
        <w:rPr>
          <w:rFonts w:ascii="Sylfaen" w:eastAsia="Times New Roman" w:hAnsi="Sylfaen" w:cs="Times New Roman"/>
          <w:b/>
          <w:bCs/>
          <w:sz w:val="24"/>
          <w:szCs w:val="24"/>
        </w:rPr>
      </w:pPr>
      <w:r w:rsidRPr="00826F05">
        <w:rPr>
          <w:rFonts w:ascii="Sylfaen" w:hAnsi="Sylfaen"/>
          <w:b/>
          <w:sz w:val="24"/>
          <w:szCs w:val="24"/>
        </w:rPr>
        <w:t xml:space="preserve">վերարտադրված դեղամիջոցների նախակլինիկական </w:t>
      </w:r>
      <w:r w:rsidR="00C54D75">
        <w:rPr>
          <w:rFonts w:ascii="Sylfaen" w:hAnsi="Sylfaen"/>
          <w:b/>
          <w:sz w:val="24"/>
          <w:szCs w:val="24"/>
        </w:rPr>
        <w:t>և</w:t>
      </w:r>
      <w:r w:rsidRPr="00826F05">
        <w:rPr>
          <w:rFonts w:ascii="Sylfaen" w:hAnsi="Sylfaen"/>
          <w:b/>
          <w:sz w:val="24"/>
          <w:szCs w:val="24"/>
        </w:rPr>
        <w:t xml:space="preserve"> կլինիկական ասպեկտների արդյունքների գնահատման մասով փորձագիտական հաշվետվություն կազմելու</w:t>
      </w:r>
    </w:p>
    <w:p w14:paraId="30F742D6" w14:textId="77777777" w:rsidR="004F5982" w:rsidRDefault="004F5982" w:rsidP="00487007">
      <w:pPr>
        <w:spacing w:after="160" w:line="360" w:lineRule="auto"/>
        <w:ind w:firstLine="567"/>
        <w:jc w:val="both"/>
        <w:rPr>
          <w:rFonts w:ascii="Sylfaen" w:eastAsia="Times New Roman" w:hAnsi="Sylfaen" w:cs="Times New Roman"/>
          <w:sz w:val="24"/>
          <w:szCs w:val="24"/>
        </w:rPr>
      </w:pPr>
    </w:p>
    <w:p w14:paraId="18CBD51A"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Սույն ցուցումները նախատեսված են վերարտադրված դեղապատրաստուկի գրանցման հայտի առաջնային փորձաքննության համար:</w:t>
      </w:r>
    </w:p>
    <w:p w14:paraId="5EBAF340"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Որպես կանոն, նման փորձաքննության հիմքը կենսահամարժեքության հաստատման գնահատումն է: Եթե, կենսահամարժեքության հետազոտությունների արդյունքներից բացի, ներկայացված են նա</w:t>
      </w:r>
      <w:r w:rsidR="00C54D75">
        <w:rPr>
          <w:rFonts w:ascii="Sylfaen" w:hAnsi="Sylfaen"/>
          <w:sz w:val="24"/>
          <w:szCs w:val="24"/>
        </w:rPr>
        <w:t>և</w:t>
      </w:r>
      <w:r w:rsidRPr="00826F05">
        <w:rPr>
          <w:rFonts w:ascii="Sylfaen" w:hAnsi="Sylfaen"/>
          <w:sz w:val="24"/>
          <w:szCs w:val="24"/>
        </w:rPr>
        <w:t xml:space="preserve"> նախակլինիկական տվյալներ, օրինակ՝</w:t>
      </w:r>
      <w:r>
        <w:rPr>
          <w:rFonts w:ascii="Sylfaen" w:hAnsi="Sylfaen"/>
          <w:sz w:val="24"/>
          <w:szCs w:val="24"/>
        </w:rPr>
        <w:t> </w:t>
      </w:r>
      <w:r w:rsidRPr="00826F05">
        <w:rPr>
          <w:rFonts w:ascii="Sylfaen" w:hAnsi="Sylfaen"/>
          <w:sz w:val="24"/>
          <w:szCs w:val="24"/>
        </w:rPr>
        <w:t>խառնուկների որակավորման նպատակով կամ որպես նոր աղի օգտագործման հիմնավորում, ապա անհրաժեշտ է անցկացնել նախակլինիկական տվյալների փորձաքննություն: Համանմանությամբ կարող են ներկայացվել նա</w:t>
      </w:r>
      <w:r w:rsidR="00C54D75">
        <w:rPr>
          <w:rFonts w:ascii="Sylfaen" w:hAnsi="Sylfaen"/>
          <w:sz w:val="24"/>
          <w:szCs w:val="24"/>
        </w:rPr>
        <w:t>և</w:t>
      </w:r>
      <w:r w:rsidRPr="00826F05">
        <w:rPr>
          <w:rFonts w:ascii="Sylfaen" w:hAnsi="Sylfaen"/>
          <w:sz w:val="24"/>
          <w:szCs w:val="24"/>
        </w:rPr>
        <w:t xml:space="preserve"> կլինիկական լրացուցիչ տվյալներ (օրինակ՝ թերապ</w:t>
      </w:r>
      <w:r w:rsidR="00C54D75">
        <w:rPr>
          <w:rFonts w:ascii="Sylfaen" w:hAnsi="Sylfaen"/>
          <w:sz w:val="24"/>
          <w:szCs w:val="24"/>
        </w:rPr>
        <w:t>և</w:t>
      </w:r>
      <w:r w:rsidRPr="00826F05">
        <w:rPr>
          <w:rFonts w:ascii="Sylfaen" w:hAnsi="Sylfaen"/>
          <w:sz w:val="24"/>
          <w:szCs w:val="24"/>
        </w:rPr>
        <w:t>տիկ համարժեքության հետազոտությունների արդյունքները), որոնք պահանջում են կլինիկական փորձաքննության անցկացում: Այս դեպքերում տվյալ հաշվետվությունն անհրաժեշտ</w:t>
      </w:r>
      <w:r>
        <w:rPr>
          <w:rFonts w:ascii="Sylfaen" w:hAnsi="Sylfaen"/>
          <w:sz w:val="24"/>
          <w:szCs w:val="24"/>
        </w:rPr>
        <w:t> </w:t>
      </w:r>
      <w:r w:rsidRPr="00826F05">
        <w:rPr>
          <w:rFonts w:ascii="Sylfaen" w:hAnsi="Sylfaen"/>
          <w:sz w:val="24"/>
          <w:szCs w:val="24"/>
        </w:rPr>
        <w:t>է լրացնել գրանցման ամբողջական դոսյեների փորձաքննության մասով փորձագիտական հաշվետվության համապատասխան ձ</w:t>
      </w:r>
      <w:r w:rsidR="00C54D75">
        <w:rPr>
          <w:rFonts w:ascii="Sylfaen" w:hAnsi="Sylfaen"/>
          <w:sz w:val="24"/>
          <w:szCs w:val="24"/>
        </w:rPr>
        <w:t>և</w:t>
      </w:r>
      <w:r w:rsidRPr="00826F05">
        <w:rPr>
          <w:rFonts w:ascii="Sylfaen" w:hAnsi="Sylfaen"/>
          <w:sz w:val="24"/>
          <w:szCs w:val="24"/>
        </w:rPr>
        <w:t>երից վերցված համապատասխան վերնագրերով:</w:t>
      </w:r>
    </w:p>
    <w:p w14:paraId="4512CFEB"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sz w:val="24"/>
          <w:szCs w:val="24"/>
        </w:rPr>
        <w:t xml:space="preserve">Վերարտադրված դեղապատրաստուկն ունի ազդող նյութերի նույնպիսի քանակական </w:t>
      </w:r>
      <w:r w:rsidR="00C54D75">
        <w:rPr>
          <w:rFonts w:ascii="Sylfaen" w:hAnsi="Sylfaen"/>
          <w:sz w:val="24"/>
          <w:szCs w:val="24"/>
        </w:rPr>
        <w:t>և</w:t>
      </w:r>
      <w:r w:rsidRPr="00826F05">
        <w:rPr>
          <w:rFonts w:ascii="Sylfaen" w:hAnsi="Sylfaen"/>
          <w:sz w:val="24"/>
          <w:szCs w:val="24"/>
        </w:rPr>
        <w:t xml:space="preserve"> որակական բաղադրություն </w:t>
      </w:r>
      <w:r w:rsidR="00C54D75">
        <w:rPr>
          <w:rFonts w:ascii="Sylfaen" w:hAnsi="Sylfaen"/>
          <w:sz w:val="24"/>
          <w:szCs w:val="24"/>
        </w:rPr>
        <w:t>և</w:t>
      </w:r>
      <w:r w:rsidRPr="00826F05">
        <w:rPr>
          <w:rFonts w:ascii="Sylfaen" w:hAnsi="Sylfaen"/>
          <w:sz w:val="24"/>
          <w:szCs w:val="24"/>
        </w:rPr>
        <w:t xml:space="preserve"> նույն դեղաձ</w:t>
      </w:r>
      <w:r w:rsidR="00C54D75">
        <w:rPr>
          <w:rFonts w:ascii="Sylfaen" w:hAnsi="Sylfaen"/>
          <w:sz w:val="24"/>
          <w:szCs w:val="24"/>
        </w:rPr>
        <w:t>և</w:t>
      </w:r>
      <w:r w:rsidRPr="00826F05">
        <w:rPr>
          <w:rFonts w:ascii="Sylfaen" w:hAnsi="Sylfaen"/>
          <w:sz w:val="24"/>
          <w:szCs w:val="24"/>
        </w:rPr>
        <w:t xml:space="preserve">ը, ինչ որ համեմատման </w:t>
      </w:r>
      <w:r w:rsidRPr="00826F05">
        <w:rPr>
          <w:rFonts w:ascii="Sylfaen" w:hAnsi="Sylfaen"/>
          <w:sz w:val="24"/>
          <w:szCs w:val="24"/>
        </w:rPr>
        <w:lastRenderedPageBreak/>
        <w:t xml:space="preserve">դեղապատրաստուկը, </w:t>
      </w:r>
      <w:r w:rsidR="00C54D75">
        <w:rPr>
          <w:rFonts w:ascii="Sylfaen" w:hAnsi="Sylfaen"/>
          <w:sz w:val="24"/>
          <w:szCs w:val="24"/>
        </w:rPr>
        <w:t>և</w:t>
      </w:r>
      <w:r w:rsidRPr="00826F05">
        <w:rPr>
          <w:rFonts w:ascii="Sylfaen" w:hAnsi="Sylfaen"/>
          <w:sz w:val="24"/>
          <w:szCs w:val="24"/>
        </w:rPr>
        <w:t xml:space="preserve"> դրա կենսահամարժեքությունը համեմատման դեղապատրաստուկին հաստատվում է կենսամատչելիության համապատասխան հետազոտություններով:</w:t>
      </w:r>
    </w:p>
    <w:p w14:paraId="7DBF32E6"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Ազդող նյութի տարբեր աղերը, եթերները, իզոմերները, իզոմերների խառնուրդները, կոմպլեքսները կամ ածանցյալները համարվում են մի</w:t>
      </w:r>
      <w:r w:rsidR="00C54D75">
        <w:rPr>
          <w:rFonts w:ascii="Sylfaen" w:hAnsi="Sylfaen"/>
          <w:sz w:val="24"/>
          <w:szCs w:val="24"/>
        </w:rPr>
        <w:t>և</w:t>
      </w:r>
      <w:r w:rsidRPr="00826F05">
        <w:rPr>
          <w:rFonts w:ascii="Sylfaen" w:hAnsi="Sylfaen"/>
          <w:sz w:val="24"/>
          <w:szCs w:val="24"/>
        </w:rPr>
        <w:t xml:space="preserve">նույն ազդող նյութը, եթե դրանց անվտանգությունը </w:t>
      </w:r>
      <w:r w:rsidR="00C54D75">
        <w:rPr>
          <w:rFonts w:ascii="Sylfaen" w:hAnsi="Sylfaen"/>
          <w:sz w:val="24"/>
          <w:szCs w:val="24"/>
        </w:rPr>
        <w:t>և</w:t>
      </w:r>
      <w:r w:rsidRPr="00826F05">
        <w:rPr>
          <w:rFonts w:ascii="Sylfaen" w:hAnsi="Sylfaen"/>
          <w:sz w:val="24"/>
          <w:szCs w:val="24"/>
        </w:rPr>
        <w:t xml:space="preserve"> (կամ) արդյունավետությունն էականորեն չեն տարբերվում: Այսպիսի դեպքերում հայտատուն պետք է տրամադրի ազդող նյութի այլ աղերի, բարդ եթերների կամ այլ ածանցյալների անվտանգության </w:t>
      </w:r>
      <w:r w:rsidR="00C54D75">
        <w:rPr>
          <w:rFonts w:ascii="Sylfaen" w:hAnsi="Sylfaen"/>
          <w:sz w:val="24"/>
          <w:szCs w:val="24"/>
        </w:rPr>
        <w:t>և</w:t>
      </w:r>
      <w:r w:rsidRPr="00826F05">
        <w:rPr>
          <w:rFonts w:ascii="Sylfaen" w:hAnsi="Sylfaen"/>
          <w:sz w:val="24"/>
          <w:szCs w:val="24"/>
        </w:rPr>
        <w:t xml:space="preserve"> (կամ) արդյունավետության հաստատումը պարունակող լրացուցիչ տեղեկություններ: Արագ ձերբազատմամբ ներքին ընդունման տարբեր դեղաձ</w:t>
      </w:r>
      <w:r w:rsidR="00C54D75">
        <w:rPr>
          <w:rFonts w:ascii="Sylfaen" w:hAnsi="Sylfaen"/>
          <w:sz w:val="24"/>
          <w:szCs w:val="24"/>
        </w:rPr>
        <w:t>և</w:t>
      </w:r>
      <w:r w:rsidRPr="00826F05">
        <w:rPr>
          <w:rFonts w:ascii="Sylfaen" w:hAnsi="Sylfaen"/>
          <w:sz w:val="24"/>
          <w:szCs w:val="24"/>
        </w:rPr>
        <w:t>եր կենսամատչելիության հետազոտությունների շրջանակներում համարվում են մի</w:t>
      </w:r>
      <w:r w:rsidR="00C54D75">
        <w:rPr>
          <w:rFonts w:ascii="Sylfaen" w:hAnsi="Sylfaen"/>
          <w:sz w:val="24"/>
          <w:szCs w:val="24"/>
        </w:rPr>
        <w:t>և</w:t>
      </w:r>
      <w:r w:rsidRPr="00826F05">
        <w:rPr>
          <w:rFonts w:ascii="Sylfaen" w:hAnsi="Sylfaen"/>
          <w:sz w:val="24"/>
          <w:szCs w:val="24"/>
        </w:rPr>
        <w:t>նույն դեղաձ</w:t>
      </w:r>
      <w:r w:rsidR="00C54D75">
        <w:rPr>
          <w:rFonts w:ascii="Sylfaen" w:hAnsi="Sylfaen"/>
          <w:sz w:val="24"/>
          <w:szCs w:val="24"/>
        </w:rPr>
        <w:t>և</w:t>
      </w:r>
      <w:r w:rsidRPr="00826F05">
        <w:rPr>
          <w:rFonts w:ascii="Sylfaen" w:hAnsi="Sylfaen"/>
          <w:sz w:val="24"/>
          <w:szCs w:val="24"/>
        </w:rPr>
        <w:t>ը:</w:t>
      </w:r>
    </w:p>
    <w:p w14:paraId="2B109B2A"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Դեղապատրաստուկը որպես վերարտադրված գրանցելու նպատակը կրկնակի </w:t>
      </w:r>
      <w:r w:rsidR="00C54D75">
        <w:rPr>
          <w:rFonts w:ascii="Sylfaen" w:hAnsi="Sylfaen"/>
          <w:sz w:val="24"/>
          <w:szCs w:val="24"/>
        </w:rPr>
        <w:t>և</w:t>
      </w:r>
      <w:r w:rsidRPr="00826F05">
        <w:rPr>
          <w:rFonts w:ascii="Sylfaen" w:hAnsi="Sylfaen"/>
          <w:sz w:val="24"/>
          <w:szCs w:val="24"/>
        </w:rPr>
        <w:t xml:space="preserve"> ավելորդ փորձարկումների </w:t>
      </w:r>
      <w:r w:rsidR="00C54D75">
        <w:rPr>
          <w:rFonts w:ascii="Sylfaen" w:hAnsi="Sylfaen"/>
          <w:sz w:val="24"/>
          <w:szCs w:val="24"/>
        </w:rPr>
        <w:t>և</w:t>
      </w:r>
      <w:r w:rsidRPr="00826F05">
        <w:rPr>
          <w:rFonts w:ascii="Sylfaen" w:hAnsi="Sylfaen"/>
          <w:sz w:val="24"/>
          <w:szCs w:val="24"/>
        </w:rPr>
        <w:t xml:space="preserve"> հետազոտությունների անցկացումը բացառելու հնարավորության փորձաքննության անցկացումն է: </w:t>
      </w:r>
    </w:p>
    <w:p w14:paraId="371D6C9B" w14:textId="77777777" w:rsidR="004F5982" w:rsidRPr="00826F05" w:rsidRDefault="004F5982" w:rsidP="00487007">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Մարդու մոտ կենսահամարժեքության հետազոտություններ կարող են չպահանջվել, եթե հայտատուն հաստատում է, որ վերարտադրված պատրաստուկը բավարարում է Եվրասիական տնտեսական միության (այսուհետ՝ Միություն) վերարտադրված դեղապատրաստուկների կենսահամարժեքության հետազոտությունների անցկացման կանոններում նկարագրված համապատասխան չափորոշիչներին, որոնք ազատում են նման հետազոտությունների անցկացումից:</w:t>
      </w:r>
    </w:p>
    <w:p w14:paraId="7EDC41AF" w14:textId="77777777" w:rsidR="004F5982" w:rsidRDefault="004F5982" w:rsidP="00487007">
      <w:pPr>
        <w:spacing w:after="160" w:line="336" w:lineRule="auto"/>
        <w:ind w:right="-1" w:firstLine="567"/>
        <w:jc w:val="both"/>
        <w:rPr>
          <w:rFonts w:ascii="Sylfaen" w:hAnsi="Sylfaen"/>
          <w:sz w:val="24"/>
          <w:szCs w:val="24"/>
        </w:rPr>
      </w:pPr>
    </w:p>
    <w:p w14:paraId="62D0CC6F" w14:textId="77777777" w:rsidR="004F5982" w:rsidRPr="00826F05" w:rsidRDefault="004F5982" w:rsidP="00487007">
      <w:pPr>
        <w:spacing w:after="160" w:line="336" w:lineRule="auto"/>
        <w:ind w:left="567" w:right="332"/>
        <w:jc w:val="center"/>
        <w:rPr>
          <w:rFonts w:ascii="Sylfaen" w:eastAsia="Times New Roman" w:hAnsi="Sylfaen" w:cs="Times New Roman"/>
          <w:sz w:val="24"/>
          <w:szCs w:val="24"/>
        </w:rPr>
      </w:pPr>
      <w:r w:rsidRPr="00826F05">
        <w:rPr>
          <w:rFonts w:ascii="Sylfaen" w:hAnsi="Sylfaen"/>
          <w:sz w:val="24"/>
          <w:szCs w:val="24"/>
        </w:rPr>
        <w:t>1. Նախակլինիկական գնահատում</w:t>
      </w:r>
    </w:p>
    <w:p w14:paraId="7F3FB3E2" w14:textId="77777777" w:rsidR="004F5982" w:rsidRPr="00826F05" w:rsidRDefault="004F5982" w:rsidP="00487007">
      <w:pPr>
        <w:spacing w:after="160" w:line="336" w:lineRule="auto"/>
        <w:ind w:left="567" w:right="332"/>
        <w:jc w:val="center"/>
        <w:rPr>
          <w:rFonts w:ascii="Sylfaen" w:eastAsia="Times New Roman" w:hAnsi="Sylfaen" w:cs="Times New Roman"/>
          <w:sz w:val="24"/>
          <w:szCs w:val="24"/>
        </w:rPr>
      </w:pPr>
      <w:r w:rsidRPr="00826F05">
        <w:rPr>
          <w:rFonts w:ascii="Sylfaen" w:hAnsi="Sylfaen"/>
          <w:sz w:val="24"/>
          <w:szCs w:val="24"/>
        </w:rPr>
        <w:t>Վերարտադրված դեղապատրաստուկների՝ առանց նախակլինիկական տվյալների գրանցման հայտերի համար</w:t>
      </w:r>
    </w:p>
    <w:p w14:paraId="49E4E514" w14:textId="77777777" w:rsidR="004F5982" w:rsidRPr="00826F05" w:rsidRDefault="004F5982" w:rsidP="00487007">
      <w:pPr>
        <w:spacing w:after="160" w:line="336" w:lineRule="auto"/>
        <w:ind w:right="-1" w:firstLine="567"/>
        <w:jc w:val="both"/>
        <w:rPr>
          <w:rFonts w:ascii="Sylfaen" w:hAnsi="Sylfaen"/>
          <w:sz w:val="24"/>
          <w:szCs w:val="24"/>
        </w:rPr>
      </w:pPr>
      <w:r w:rsidRPr="00826F05">
        <w:rPr>
          <w:rFonts w:ascii="Sylfaen" w:hAnsi="Sylfaen"/>
          <w:sz w:val="24"/>
          <w:szCs w:val="24"/>
        </w:rPr>
        <w:t>Գրառումը ձ</w:t>
      </w:r>
      <w:r w:rsidR="00C54D75">
        <w:rPr>
          <w:rFonts w:ascii="Sylfaen" w:hAnsi="Sylfaen"/>
          <w:sz w:val="24"/>
          <w:szCs w:val="24"/>
        </w:rPr>
        <w:t>և</w:t>
      </w:r>
      <w:r w:rsidRPr="00826F05">
        <w:rPr>
          <w:rFonts w:ascii="Sylfaen" w:hAnsi="Sylfaen"/>
          <w:sz w:val="24"/>
          <w:szCs w:val="24"/>
        </w:rPr>
        <w:t>ակերպե՛ք ըստ ստոր</w:t>
      </w:r>
      <w:r w:rsidR="00C54D75">
        <w:rPr>
          <w:rFonts w:ascii="Sylfaen" w:hAnsi="Sylfaen"/>
          <w:sz w:val="24"/>
          <w:szCs w:val="24"/>
        </w:rPr>
        <w:t>և</w:t>
      </w:r>
      <w:r w:rsidRPr="00826F05">
        <w:rPr>
          <w:rFonts w:ascii="Sylfaen" w:hAnsi="Sylfaen"/>
          <w:sz w:val="24"/>
          <w:szCs w:val="24"/>
        </w:rPr>
        <w:t xml:space="preserve"> բերված ձ</w:t>
      </w:r>
      <w:r w:rsidR="00C54D75">
        <w:rPr>
          <w:rFonts w:ascii="Sylfaen" w:hAnsi="Sylfaen"/>
          <w:sz w:val="24"/>
          <w:szCs w:val="24"/>
        </w:rPr>
        <w:t>և</w:t>
      </w:r>
      <w:r w:rsidRPr="00826F05">
        <w:rPr>
          <w:rFonts w:ascii="Sylfaen" w:hAnsi="Sylfaen"/>
          <w:sz w:val="24"/>
          <w:szCs w:val="24"/>
        </w:rPr>
        <w:t xml:space="preserve">ի, եթե նախակլինիկական նոր տվյալներ տրամադրված չեն: </w:t>
      </w:r>
    </w:p>
    <w:p w14:paraId="6D351365"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lastRenderedPageBreak/>
        <w:t xml:space="preserve">&lt;Տրամադրված է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նախակլինիկական տեղեկագիր, որը [բերել տեղեկագրի համառոտ բնութագիրը]: Տեղեկագրում բերվում է նախակլինիկական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լրացուցիչ տվյալների ներկայացման անհրաժեշտության բացակայության հիմնավորումը: ԴԸԲ-ի նախակլինիկական ասպեկտները համաձայնեցվում են համեմատման պատրաստուկի ԴԸԲ-ի հետ: Փորձագիտական գնահատման արդյունքներով սահմանվել է խառնուկների պրոֆիլի ընդունելիություն:&gt;</w:t>
      </w:r>
    </w:p>
    <w:p w14:paraId="2835EF7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Եզրակացությունը հարկավոր է ձ</w:t>
      </w:r>
      <w:r w:rsidR="00C54D75">
        <w:rPr>
          <w:rFonts w:ascii="Sylfaen" w:hAnsi="Sylfaen"/>
          <w:sz w:val="24"/>
          <w:szCs w:val="24"/>
        </w:rPr>
        <w:t>և</w:t>
      </w:r>
      <w:r w:rsidRPr="00826F05">
        <w:rPr>
          <w:rFonts w:ascii="Sylfaen" w:hAnsi="Sylfaen"/>
          <w:sz w:val="24"/>
          <w:szCs w:val="24"/>
        </w:rPr>
        <w:t>ակերպել հետ</w:t>
      </w:r>
      <w:r w:rsidR="00C54D75">
        <w:rPr>
          <w:rFonts w:ascii="Sylfaen" w:hAnsi="Sylfaen"/>
          <w:sz w:val="24"/>
          <w:szCs w:val="24"/>
        </w:rPr>
        <w:t>և</w:t>
      </w:r>
      <w:r w:rsidRPr="00826F05">
        <w:rPr>
          <w:rFonts w:ascii="Sylfaen" w:hAnsi="Sylfaen"/>
          <w:sz w:val="24"/>
          <w:szCs w:val="24"/>
        </w:rPr>
        <w:t>յալ հնարավոր տարբերակներից մեկն օգտագործելով՝</w:t>
      </w:r>
    </w:p>
    <w:p w14:paraId="382FB5AA"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&lt;Գտնում եմ, որ նախակլինիկական տեղեկագիրը հիմնված է գիտական գրականության ժամանակակից </w:t>
      </w:r>
      <w:r w:rsidR="00C54D75">
        <w:rPr>
          <w:rFonts w:ascii="Sylfaen" w:hAnsi="Sylfaen"/>
          <w:i/>
          <w:sz w:val="24"/>
          <w:szCs w:val="24"/>
        </w:rPr>
        <w:t>և</w:t>
      </w:r>
      <w:r w:rsidRPr="00826F05">
        <w:rPr>
          <w:rFonts w:ascii="Sylfaen" w:hAnsi="Sylfaen"/>
          <w:i/>
          <w:sz w:val="24"/>
          <w:szCs w:val="24"/>
        </w:rPr>
        <w:t xml:space="preserve"> բավարար տվյալների վրա: Նախակլինիկական լրացուցիչ տվյալների տրամադրման անհրաժեշտությունը բացակայում է:&gt;</w:t>
      </w:r>
    </w:p>
    <w:p w14:paraId="19591F04"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 xml:space="preserve">&lt;Գտնում եմ, որ դեղաբանության, դեղակինետիկայի </w:t>
      </w:r>
      <w:r w:rsidR="00C54D75">
        <w:rPr>
          <w:rFonts w:ascii="Sylfaen" w:hAnsi="Sylfaen"/>
          <w:i/>
          <w:sz w:val="24"/>
          <w:szCs w:val="24"/>
        </w:rPr>
        <w:t>և</w:t>
      </w:r>
      <w:r w:rsidRPr="00826F05">
        <w:rPr>
          <w:rFonts w:ascii="Sylfaen" w:hAnsi="Sylfaen"/>
          <w:i/>
          <w:sz w:val="24"/>
          <w:szCs w:val="24"/>
        </w:rPr>
        <w:t xml:space="preserve"> թունաբանության մասով նախակլինիկական տեղեկագիրն անընդունելի է, քանի որ [ներկայացնել մեկնաբանություն]:&gt;</w:t>
      </w:r>
    </w:p>
    <w:p w14:paraId="0B079148"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Եթե ընտրվել է երկրորդ տարբերակը, ապա հարկավոր է տրամադրել պակասող տեղեկությունների մանրամասն նկարագրությունը, այդպիսի տեղեկությունների բացակայությամբ պայմանավորված ազդեցությունը </w:t>
      </w:r>
      <w:r w:rsidR="00C54D75">
        <w:rPr>
          <w:rFonts w:ascii="Sylfaen" w:hAnsi="Sylfaen"/>
          <w:sz w:val="24"/>
          <w:szCs w:val="24"/>
        </w:rPr>
        <w:t>և</w:t>
      </w:r>
      <w:r w:rsidRPr="00826F05">
        <w:rPr>
          <w:rFonts w:ascii="Sylfaen" w:hAnsi="Sylfaen"/>
          <w:sz w:val="24"/>
          <w:szCs w:val="24"/>
        </w:rPr>
        <w:t xml:space="preserve"> լրացուցիչ տվյալներ տրամադրելու մասին բոլոր հնարավոր հարցումները: Այնուհետ</w:t>
      </w:r>
      <w:r w:rsidR="00C54D75">
        <w:rPr>
          <w:rFonts w:ascii="Sylfaen" w:hAnsi="Sylfaen"/>
          <w:sz w:val="24"/>
          <w:szCs w:val="24"/>
        </w:rPr>
        <w:t>և</w:t>
      </w:r>
      <w:r w:rsidRPr="00826F05">
        <w:rPr>
          <w:rFonts w:ascii="Sylfaen" w:hAnsi="Sylfaen"/>
          <w:sz w:val="24"/>
          <w:szCs w:val="24"/>
        </w:rPr>
        <w:t xml:space="preserve"> դրանք հարկավոր</w:t>
      </w:r>
      <w:r>
        <w:rPr>
          <w:rFonts w:ascii="Sylfaen" w:hAnsi="Sylfaen"/>
          <w:sz w:val="24"/>
          <w:szCs w:val="24"/>
        </w:rPr>
        <w:t> </w:t>
      </w:r>
      <w:r w:rsidRPr="00826F05">
        <w:rPr>
          <w:rFonts w:ascii="Sylfaen" w:hAnsi="Sylfaen"/>
          <w:sz w:val="24"/>
          <w:szCs w:val="24"/>
        </w:rPr>
        <w:t>է ներկայացնել դիտողությունների ցանկի նախագծի տեսքով (բաժին 4):</w:t>
      </w:r>
    </w:p>
    <w:p w14:paraId="3C5D2CC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Եթե վերարտադրված պատրաստուկը պարունակում է ազդող նյութի այլ աղ, բարդ կամ պարզ եթերներ, իզոմերներ (էնանտիոմերներ), իզոմերների խառնուրդներ, կոմպլեքսներ կամ ածանցյալներ, ապա անհրաժեշտ է ներառել դրա մասին համապատասխան նշում:</w:t>
      </w:r>
    </w:p>
    <w:p w14:paraId="5D8CB6C5"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lastRenderedPageBreak/>
        <w:t xml:space="preserve">&lt;[Դեղապատրաստուկի անվանումը] նախակլինիկական տվյալների վերաբերյալ գրական աղբյուրների ռեզյումեն </w:t>
      </w:r>
      <w:r w:rsidR="00C54D75">
        <w:rPr>
          <w:rFonts w:ascii="Sylfaen" w:hAnsi="Sylfaen"/>
          <w:i/>
          <w:sz w:val="24"/>
          <w:szCs w:val="24"/>
        </w:rPr>
        <w:t>և</w:t>
      </w:r>
      <w:r w:rsidRPr="00826F05">
        <w:rPr>
          <w:rFonts w:ascii="Sylfaen" w:hAnsi="Sylfaen"/>
          <w:i/>
          <w:sz w:val="24"/>
          <w:szCs w:val="24"/>
        </w:rPr>
        <w:t xml:space="preserve"> այն բանի հիմնավորումը, որ ազդող նյութի այլ [աղը, բարդ եթերը, պարզ եթերը, իզոմերը, իզոմերների խառնուրդը, կոմպլեքսը, ածանցյալը] հատկանիշներով էականորեն չի տարբերվում համեմատման պատրաստուկի անվտանգության </w:t>
      </w:r>
      <w:r w:rsidR="00C54D75">
        <w:rPr>
          <w:rFonts w:ascii="Sylfaen" w:hAnsi="Sylfaen"/>
          <w:i/>
          <w:sz w:val="24"/>
          <w:szCs w:val="24"/>
        </w:rPr>
        <w:t>և</w:t>
      </w:r>
      <w:r w:rsidRPr="00826F05">
        <w:rPr>
          <w:rFonts w:ascii="Sylfaen" w:hAnsi="Sylfaen"/>
          <w:i/>
          <w:sz w:val="24"/>
          <w:szCs w:val="24"/>
        </w:rPr>
        <w:t xml:space="preserve"> արդյունավետության պրոֆիլից, ներկայացվել են [չեն ներկայացվել] </w:t>
      </w:r>
      <w:r w:rsidR="00C54D75">
        <w:rPr>
          <w:rFonts w:ascii="Sylfaen" w:hAnsi="Sylfaen"/>
          <w:i/>
          <w:sz w:val="24"/>
          <w:szCs w:val="24"/>
        </w:rPr>
        <w:t>և</w:t>
      </w:r>
      <w:r w:rsidRPr="00826F05">
        <w:rPr>
          <w:rFonts w:ascii="Sylfaen" w:hAnsi="Sylfaen"/>
          <w:i/>
          <w:sz w:val="24"/>
          <w:szCs w:val="24"/>
        </w:rPr>
        <w:t xml:space="preserve"> ընդունվում են [չեն ընդունվում] լիազորված մարմնի կողմից: Սա համաձայնեցվում է [չի համաձայնեցվում] Միության համապատասխան կանոնների հետ, այդ պատճառով էլ պահանջվում է [չի պահանջվում] նախակլինիկական լրացուցիչ հետազոտությունների անցկացում:&gt;</w:t>
      </w:r>
    </w:p>
    <w:p w14:paraId="7A4C9EE5" w14:textId="77777777" w:rsidR="004F5982" w:rsidRPr="00826F05" w:rsidRDefault="004F5982" w:rsidP="00487007">
      <w:pPr>
        <w:spacing w:after="160" w:line="360" w:lineRule="auto"/>
        <w:ind w:right="-1" w:firstLine="567"/>
        <w:jc w:val="both"/>
        <w:rPr>
          <w:rFonts w:ascii="Sylfaen" w:hAnsi="Sylfaen"/>
          <w:sz w:val="24"/>
          <w:szCs w:val="24"/>
        </w:rPr>
      </w:pPr>
    </w:p>
    <w:p w14:paraId="6878B6A4"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 xml:space="preserve">Վերարտադրված դեղապատրաստուկների՝ </w:t>
      </w:r>
      <w:r>
        <w:rPr>
          <w:rFonts w:ascii="Sylfaen" w:hAnsi="Sylfaen"/>
          <w:sz w:val="24"/>
          <w:szCs w:val="24"/>
        </w:rPr>
        <w:br/>
      </w:r>
      <w:r w:rsidRPr="00826F05">
        <w:rPr>
          <w:rFonts w:ascii="Sylfaen" w:hAnsi="Sylfaen"/>
          <w:sz w:val="24"/>
          <w:szCs w:val="24"/>
        </w:rPr>
        <w:t>նախակլինիկական տվյալներով գրանցման հայտի համար</w:t>
      </w:r>
    </w:p>
    <w:p w14:paraId="7A03B0BA"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Առանձին դեպքերում նախակլինիկական նոր տվյալները տրամադրվում են խառնուկների որակավորման, նոր աղի օգտագործման հիմնավորման նպատակով կամ թարմացման հետ կապված կամ առկա կլինիկական փորձի շրջանակներում, օրինակ՝ հղիության, լակտացիայի, QT միջակայքի վրա ազդեցության </w:t>
      </w:r>
      <w:r w:rsidR="00C54D75">
        <w:rPr>
          <w:rFonts w:ascii="Sylfaen" w:hAnsi="Sylfaen"/>
          <w:sz w:val="24"/>
          <w:szCs w:val="24"/>
        </w:rPr>
        <w:t>և</w:t>
      </w:r>
      <w:r w:rsidRPr="00826F05">
        <w:rPr>
          <w:rFonts w:ascii="Sylfaen" w:hAnsi="Sylfaen"/>
          <w:sz w:val="24"/>
          <w:szCs w:val="24"/>
        </w:rPr>
        <w:t xml:space="preserve"> այլնի մասով նախակլինիկական այնպիսի նոր տվյալների ի հայտ գալու հետ</w:t>
      </w:r>
      <w:r w:rsidR="00C54D75">
        <w:rPr>
          <w:rFonts w:ascii="Sylfaen" w:hAnsi="Sylfaen"/>
          <w:sz w:val="24"/>
          <w:szCs w:val="24"/>
        </w:rPr>
        <w:t>և</w:t>
      </w:r>
      <w:r w:rsidRPr="00826F05">
        <w:rPr>
          <w:rFonts w:ascii="Sylfaen" w:hAnsi="Sylfaen"/>
          <w:sz w:val="24"/>
          <w:szCs w:val="24"/>
        </w:rPr>
        <w:t xml:space="preserve">անքով, որոնք կարող են ազդել դեղապատրաստուկի ընդհանուր բնութագրի (այսուհետ՝ ԴԸԲ) վրա: Այս դեպքում անհրաժեշտ է անցկացնել նախակլինիկական տվյալների նոր փորձաքննություն: Թույլատրվում է ներկայացնել </w:t>
      </w:r>
      <w:r w:rsidR="00C54D75">
        <w:rPr>
          <w:rFonts w:ascii="Sylfaen" w:hAnsi="Sylfaen"/>
          <w:sz w:val="24"/>
          <w:szCs w:val="24"/>
        </w:rPr>
        <w:t>և</w:t>
      </w:r>
      <w:r w:rsidRPr="00826F05">
        <w:rPr>
          <w:rFonts w:ascii="Sylfaen" w:hAnsi="Sylfaen"/>
          <w:sz w:val="24"/>
          <w:szCs w:val="24"/>
        </w:rPr>
        <w:t xml:space="preserve"> անհրաժեշտության դեպքում մեկնաբանել տեղեկագրում ներկայացված այնպիսի առանձնահատկություններ, ինչպիսիք են կենդանիների վերաբերյալ վերջերս հրապարակված </w:t>
      </w:r>
      <w:r w:rsidR="00C54D75">
        <w:rPr>
          <w:rFonts w:ascii="Sylfaen" w:hAnsi="Sylfaen"/>
          <w:sz w:val="24"/>
          <w:szCs w:val="24"/>
        </w:rPr>
        <w:t>և</w:t>
      </w:r>
      <w:r w:rsidRPr="00826F05">
        <w:rPr>
          <w:rFonts w:ascii="Sylfaen" w:hAnsi="Sylfaen"/>
          <w:sz w:val="24"/>
          <w:szCs w:val="24"/>
        </w:rPr>
        <w:t xml:space="preserve"> կլինիկորեն նշանակալի տվյալները:</w:t>
      </w:r>
    </w:p>
    <w:p w14:paraId="7A9FD923"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Այս տեղեկությունները նկարագրելու նպատակով հարկավոր է օգտագործել գրանցման ամբողջական դոսյեների համար փորձագիտական հաշվետվության ձ</w:t>
      </w:r>
      <w:r w:rsidR="00C54D75">
        <w:rPr>
          <w:rFonts w:ascii="Sylfaen" w:hAnsi="Sylfaen"/>
          <w:sz w:val="24"/>
          <w:szCs w:val="24"/>
        </w:rPr>
        <w:t>և</w:t>
      </w:r>
      <w:r w:rsidRPr="00826F05">
        <w:rPr>
          <w:rFonts w:ascii="Sylfaen" w:hAnsi="Sylfaen"/>
          <w:sz w:val="24"/>
          <w:szCs w:val="24"/>
        </w:rPr>
        <w:t xml:space="preserve">ի </w:t>
      </w:r>
      <w:r w:rsidRPr="00757B6C">
        <w:rPr>
          <w:rFonts w:ascii="Sylfaen" w:hAnsi="Sylfaen"/>
          <w:spacing w:val="6"/>
          <w:sz w:val="24"/>
          <w:szCs w:val="24"/>
        </w:rPr>
        <w:t xml:space="preserve">համապատասխան վերնագրերը («Դեղաբանություն», «Դեղակինետիկա», </w:t>
      </w:r>
      <w:r w:rsidRPr="00757B6C">
        <w:rPr>
          <w:rFonts w:ascii="Sylfaen" w:hAnsi="Sylfaen"/>
          <w:spacing w:val="6"/>
          <w:sz w:val="24"/>
          <w:szCs w:val="24"/>
        </w:rPr>
        <w:lastRenderedPageBreak/>
        <w:t>«Թունաբանություն»): Ստոր</w:t>
      </w:r>
      <w:r w:rsidR="00C54D75">
        <w:rPr>
          <w:rFonts w:ascii="Sylfaen" w:hAnsi="Sylfaen"/>
          <w:spacing w:val="6"/>
          <w:sz w:val="24"/>
          <w:szCs w:val="24"/>
        </w:rPr>
        <w:t>և</w:t>
      </w:r>
      <w:r w:rsidRPr="00757B6C">
        <w:rPr>
          <w:rFonts w:ascii="Sylfaen" w:hAnsi="Sylfaen"/>
          <w:spacing w:val="6"/>
          <w:sz w:val="24"/>
          <w:szCs w:val="24"/>
        </w:rPr>
        <w:t xml:space="preserve"> ներկայացված կառուցվածքը պարունակում է միայն վերին մակարդակի վերնագրերը. անհրաժեշտ է ավելացնել համապատասխան ենթավերնագրեր: Բացի այդ, փորձաքննությունը կարող է ազդել ԴԸԲ-ի</w:t>
      </w:r>
      <w:r w:rsidRPr="00826F05">
        <w:rPr>
          <w:rFonts w:ascii="Sylfaen" w:hAnsi="Sylfaen"/>
          <w:sz w:val="24"/>
          <w:szCs w:val="24"/>
        </w:rPr>
        <w:t xml:space="preserve"> 4.6 </w:t>
      </w:r>
      <w:r w:rsidR="00C54D75">
        <w:rPr>
          <w:rFonts w:ascii="Sylfaen" w:hAnsi="Sylfaen"/>
          <w:sz w:val="24"/>
          <w:szCs w:val="24"/>
        </w:rPr>
        <w:t>և</w:t>
      </w:r>
      <w:r w:rsidRPr="00826F05">
        <w:rPr>
          <w:rFonts w:ascii="Sylfaen" w:hAnsi="Sylfaen"/>
          <w:sz w:val="24"/>
          <w:szCs w:val="24"/>
        </w:rPr>
        <w:t xml:space="preserve"> 5.3 բաժինների վրա (թունաբանություն, մուտագենություն, քաղցկեղածնություն, վերարտադրողական թունավորություն. տերատոգենություն, հղիություն, կրծքով կերակրում), որոնք հարկավոր է նշել տվյալ բաժնում: </w:t>
      </w:r>
    </w:p>
    <w:p w14:paraId="615A006F" w14:textId="77777777" w:rsidR="004F5982" w:rsidRPr="00826F05" w:rsidRDefault="004F5982" w:rsidP="00487007">
      <w:pPr>
        <w:spacing w:after="160" w:line="360" w:lineRule="auto"/>
        <w:ind w:right="-1" w:firstLine="567"/>
        <w:jc w:val="both"/>
        <w:rPr>
          <w:rFonts w:ascii="Sylfaen" w:hAnsi="Sylfaen"/>
          <w:sz w:val="24"/>
          <w:szCs w:val="24"/>
        </w:rPr>
      </w:pPr>
    </w:p>
    <w:p w14:paraId="54CF91BE"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 xml:space="preserve">1.5. Նախակլինիկական ասպեկտների </w:t>
      </w:r>
      <w:r w:rsidRPr="00826F05">
        <w:rPr>
          <w:rFonts w:ascii="Sylfaen" w:hAnsi="Sylfaen"/>
          <w:sz w:val="24"/>
          <w:szCs w:val="24"/>
        </w:rPr>
        <w:br/>
        <w:t>վերաբերյալ եզրակացությունը</w:t>
      </w:r>
    </w:p>
    <w:p w14:paraId="3A1703AF"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Նախակլինիկական նոր տվյալների ներկայացման դեպքում անհրաժեշտ է կազմել համապատասխան եզրակացություն: </w:t>
      </w:r>
    </w:p>
    <w:p w14:paraId="1FF52C5D"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Վերարտադրված պատրաստուկի ԴԸԲ-ն պետք է ընդհանուր առմամբ նույնական լինի համեմատման պատրաստուկի ԴԸԲ-ին: Հարկավոր է նշել վերարտադրված </w:t>
      </w:r>
      <w:r w:rsidR="00C54D75">
        <w:rPr>
          <w:rFonts w:ascii="Sylfaen" w:hAnsi="Sylfaen"/>
          <w:sz w:val="24"/>
          <w:szCs w:val="24"/>
        </w:rPr>
        <w:t>և</w:t>
      </w:r>
      <w:r w:rsidRPr="00826F05">
        <w:rPr>
          <w:rFonts w:ascii="Sylfaen" w:hAnsi="Sylfaen"/>
          <w:sz w:val="24"/>
          <w:szCs w:val="24"/>
        </w:rPr>
        <w:t xml:space="preserve"> համեմատման պատրաստուկի ԴԸԲ-ների նույնականությունը: Տարբերությունների առկայության դեպքում հարկավոր է դրանք թվարկել սույն բաժնում </w:t>
      </w:r>
      <w:r w:rsidR="00C54D75">
        <w:rPr>
          <w:rFonts w:ascii="Sylfaen" w:hAnsi="Sylfaen"/>
          <w:sz w:val="24"/>
          <w:szCs w:val="24"/>
        </w:rPr>
        <w:t>և</w:t>
      </w:r>
      <w:r w:rsidRPr="00826F05">
        <w:rPr>
          <w:rFonts w:ascii="Sylfaen" w:hAnsi="Sylfaen"/>
          <w:sz w:val="24"/>
          <w:szCs w:val="24"/>
        </w:rPr>
        <w:t xml:space="preserve"> նշել դրանց հիմնավորվածությունը:</w:t>
      </w:r>
    </w:p>
    <w:p w14:paraId="1BB3B2D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Պարզաբանումներ պահանջող հարցերը հարկավոր է ներառել սույն հաշվետվության կլինիկական բաժնի օգուտ-ռիսկ հարաբերակցության գնահատման մեջ </w:t>
      </w:r>
      <w:r w:rsidR="00C54D75">
        <w:rPr>
          <w:rFonts w:ascii="Sylfaen" w:hAnsi="Sylfaen"/>
          <w:sz w:val="24"/>
          <w:szCs w:val="24"/>
        </w:rPr>
        <w:t>և</w:t>
      </w:r>
      <w:r w:rsidRPr="00826F05">
        <w:rPr>
          <w:rFonts w:ascii="Sylfaen" w:hAnsi="Sylfaen"/>
          <w:sz w:val="24"/>
          <w:szCs w:val="24"/>
        </w:rPr>
        <w:t xml:space="preserve"> թվարկել դիտողությունների ցանկում:</w:t>
      </w:r>
    </w:p>
    <w:p w14:paraId="57DFDD4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Ենթաբաժնի վերջում հարկավոր է ավելացնել եզրակացություն՝ օգտագործելով հետ</w:t>
      </w:r>
      <w:r w:rsidR="00C54D75">
        <w:rPr>
          <w:rFonts w:ascii="Sylfaen" w:hAnsi="Sylfaen"/>
          <w:sz w:val="24"/>
          <w:szCs w:val="24"/>
        </w:rPr>
        <w:t>և</w:t>
      </w:r>
      <w:r w:rsidRPr="00826F05">
        <w:rPr>
          <w:rFonts w:ascii="Sylfaen" w:hAnsi="Sylfaen"/>
          <w:sz w:val="24"/>
          <w:szCs w:val="24"/>
        </w:rPr>
        <w:t>յալ տարբերակներից մեկը՝</w:t>
      </w:r>
    </w:p>
    <w:p w14:paraId="423804F1"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&lt;Նախակլինիկական տեսանկյունից՝ &lt;առ</w:t>
      </w:r>
      <w:r w:rsidR="00C54D75">
        <w:rPr>
          <w:rFonts w:ascii="Sylfaen" w:hAnsi="Sylfaen"/>
          <w:i/>
          <w:sz w:val="24"/>
          <w:szCs w:val="24"/>
        </w:rPr>
        <w:t>և</w:t>
      </w:r>
      <w:r w:rsidRPr="00826F05">
        <w:rPr>
          <w:rFonts w:ascii="Sylfaen" w:hAnsi="Sylfaen"/>
          <w:i/>
          <w:sz w:val="24"/>
          <w:szCs w:val="24"/>
        </w:rPr>
        <w:t>տրային անվանումը&gt; գրանցելու համար խոչընդոտները բացակայում են:&gt;</w:t>
      </w:r>
    </w:p>
    <w:p w14:paraId="7A2274D4"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կամ</w:t>
      </w:r>
    </w:p>
    <w:p w14:paraId="16E8DCB5"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lastRenderedPageBreak/>
        <w:t>&lt;Ինչպես նշված է վեր</w:t>
      </w:r>
      <w:r w:rsidR="00C54D75">
        <w:rPr>
          <w:rFonts w:ascii="Sylfaen" w:hAnsi="Sylfaen"/>
          <w:i/>
          <w:sz w:val="24"/>
          <w:szCs w:val="24"/>
        </w:rPr>
        <w:t>և</w:t>
      </w:r>
      <w:r w:rsidRPr="00826F05">
        <w:rPr>
          <w:rFonts w:ascii="Sylfaen" w:hAnsi="Sylfaen"/>
          <w:i/>
          <w:sz w:val="24"/>
          <w:szCs w:val="24"/>
        </w:rPr>
        <w:t>ում, առկա են մի շարք դիտողություններ, որոնք անհրաժեշտ է վերացնել (տե՛ս դիտողությունների ցանկը):&gt;</w:t>
      </w:r>
    </w:p>
    <w:p w14:paraId="7E67D09C"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Հայտատուի՝ հետգրանցումային միջոցներ ձեռնարկելու պարտավորությունները. նախակլինիկական հարցերի շուրջ դիտողությունների առկայության դեպքում դրանք որպես առանձին պայմաններ առանձին բաժնով հարկ</w:t>
      </w:r>
      <w:r>
        <w:rPr>
          <w:rFonts w:ascii="Sylfaen" w:hAnsi="Sylfaen"/>
          <w:sz w:val="24"/>
          <w:szCs w:val="24"/>
        </w:rPr>
        <w:t> </w:t>
      </w:r>
      <w:r w:rsidRPr="00826F05">
        <w:rPr>
          <w:rFonts w:ascii="Sylfaen" w:hAnsi="Sylfaen"/>
          <w:sz w:val="24"/>
          <w:szCs w:val="24"/>
        </w:rPr>
        <w:t xml:space="preserve">է ներառել ԴԸԲ-ում, գրանցման հավաստագրում </w:t>
      </w:r>
      <w:r w:rsidR="00C54D75">
        <w:rPr>
          <w:rFonts w:ascii="Sylfaen" w:hAnsi="Sylfaen"/>
          <w:sz w:val="24"/>
          <w:szCs w:val="24"/>
        </w:rPr>
        <w:t>և</w:t>
      </w:r>
      <w:r w:rsidRPr="00826F05">
        <w:rPr>
          <w:rFonts w:ascii="Sylfaen" w:hAnsi="Sylfaen"/>
          <w:sz w:val="24"/>
          <w:szCs w:val="24"/>
        </w:rPr>
        <w:t xml:space="preserve"> միասնական ռեեստրում: Հարկավոր է պատշաճ կերպով հիմնավորել որպես այդպիսի պայման սահմանված յուրաքանչյուր միջոց, մասնավորապես՝ հարկավոր է բացատրել օգուտ-ռիսկ դրական հարաբերակցության համատեքստում այդպիսի պայմանի ներառման անհրաժեշտությունը՝</w:t>
      </w:r>
    </w:p>
    <w:p w14:paraId="6FBAEE19"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&lt;Նախակլինիկական ասպեկտների մասով դիտողությունները վերացնելու համար անհրաժեշտ եմ համարում հետ</w:t>
      </w:r>
      <w:r w:rsidR="00C54D75">
        <w:rPr>
          <w:rFonts w:ascii="Sylfaen" w:hAnsi="Sylfaen"/>
          <w:i/>
          <w:sz w:val="24"/>
          <w:szCs w:val="24"/>
        </w:rPr>
        <w:t>և</w:t>
      </w:r>
      <w:r w:rsidRPr="00826F05">
        <w:rPr>
          <w:rFonts w:ascii="Sylfaen" w:hAnsi="Sylfaen"/>
          <w:i/>
          <w:sz w:val="24"/>
          <w:szCs w:val="24"/>
        </w:rPr>
        <w:t>յալ միջոցների ձեռնարկումը [թվարկել անհրաժեշտ միջոցները]:&gt;</w:t>
      </w:r>
    </w:p>
    <w:p w14:paraId="714D37FB" w14:textId="77777777" w:rsidR="004F5982" w:rsidRPr="00826F05" w:rsidRDefault="004F5982" w:rsidP="00487007">
      <w:pPr>
        <w:spacing w:after="160" w:line="360" w:lineRule="auto"/>
        <w:ind w:right="-1" w:firstLine="567"/>
        <w:jc w:val="both"/>
        <w:rPr>
          <w:rFonts w:ascii="Sylfaen" w:hAnsi="Sylfaen"/>
          <w:sz w:val="24"/>
          <w:szCs w:val="24"/>
        </w:rPr>
      </w:pPr>
    </w:p>
    <w:p w14:paraId="3A697E9C"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 Կլինիկական ասպեկտները</w:t>
      </w:r>
    </w:p>
    <w:p w14:paraId="7C2B0C32"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2.1. Ներածություն</w:t>
      </w:r>
    </w:p>
    <w:p w14:paraId="1A7FDF17" w14:textId="77777777" w:rsidR="004F5982" w:rsidRPr="00826F05" w:rsidRDefault="004F5982" w:rsidP="004C0BC5">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 xml:space="preserve">Հարկավոր է նկարագրել ազդող նյութի կիրառման ցուցումները </w:t>
      </w:r>
      <w:r w:rsidR="00C54D75">
        <w:rPr>
          <w:rFonts w:ascii="Sylfaen" w:hAnsi="Sylfaen"/>
          <w:sz w:val="24"/>
          <w:szCs w:val="24"/>
        </w:rPr>
        <w:t>և</w:t>
      </w:r>
      <w:r w:rsidRPr="00826F05">
        <w:rPr>
          <w:rFonts w:ascii="Sylfaen" w:hAnsi="Sylfaen"/>
          <w:sz w:val="24"/>
          <w:szCs w:val="24"/>
        </w:rPr>
        <w:t xml:space="preserve"> դոզավորման ռեժիմը (ԴԸԲ-ի 4.1 </w:t>
      </w:r>
      <w:r w:rsidR="00C54D75">
        <w:rPr>
          <w:rFonts w:ascii="Sylfaen" w:hAnsi="Sylfaen"/>
          <w:sz w:val="24"/>
          <w:szCs w:val="24"/>
        </w:rPr>
        <w:t>և</w:t>
      </w:r>
      <w:r w:rsidRPr="00826F05">
        <w:rPr>
          <w:rFonts w:ascii="Sylfaen" w:hAnsi="Sylfaen"/>
          <w:sz w:val="24"/>
          <w:szCs w:val="24"/>
        </w:rPr>
        <w:t xml:space="preserve"> 4.2 բաժիններ), դեղադինամիկան </w:t>
      </w:r>
      <w:r w:rsidR="00C54D75">
        <w:rPr>
          <w:rFonts w:ascii="Sylfaen" w:hAnsi="Sylfaen"/>
          <w:sz w:val="24"/>
          <w:szCs w:val="24"/>
        </w:rPr>
        <w:t>և</w:t>
      </w:r>
      <w:r w:rsidRPr="00826F05">
        <w:rPr>
          <w:rFonts w:ascii="Sylfaen" w:hAnsi="Sylfaen"/>
          <w:sz w:val="24"/>
          <w:szCs w:val="24"/>
        </w:rPr>
        <w:t xml:space="preserve"> դեղակինետիկան, ազդող նյութի </w:t>
      </w:r>
      <w:r w:rsidR="00C54D75">
        <w:rPr>
          <w:rFonts w:ascii="Sylfaen" w:hAnsi="Sylfaen"/>
          <w:sz w:val="24"/>
          <w:szCs w:val="24"/>
        </w:rPr>
        <w:t>և</w:t>
      </w:r>
      <w:r w:rsidRPr="00826F05">
        <w:rPr>
          <w:rFonts w:ascii="Sylfaen" w:hAnsi="Sylfaen"/>
          <w:sz w:val="24"/>
          <w:szCs w:val="24"/>
        </w:rPr>
        <w:t xml:space="preserve"> պատրաստուկի ՖԿ ռեզյումեն (կլանման, բաշխման, նյութափոխանակության, դուրսբերման վերաբերյալ տվյալները, որոնք առանձնահատուկ հետաքրքրություն են ներկայացնում կենսահամարժեքության </w:t>
      </w:r>
      <w:r w:rsidRPr="004209C6">
        <w:rPr>
          <w:rFonts w:ascii="Sylfaen" w:hAnsi="Sylfaen"/>
          <w:spacing w:val="-6"/>
          <w:sz w:val="24"/>
          <w:szCs w:val="24"/>
        </w:rPr>
        <w:t xml:space="preserve">հետազոտությունների համար (գծայնութունը, էլիմինացման ժամանակը </w:t>
      </w:r>
      <w:r w:rsidR="00C54D75">
        <w:rPr>
          <w:rFonts w:ascii="Sylfaen" w:hAnsi="Sylfaen"/>
          <w:spacing w:val="-6"/>
          <w:sz w:val="24"/>
          <w:szCs w:val="24"/>
        </w:rPr>
        <w:t>և</w:t>
      </w:r>
      <w:r w:rsidRPr="004209C6">
        <w:rPr>
          <w:rFonts w:ascii="Sylfaen" w:hAnsi="Sylfaen"/>
          <w:spacing w:val="-6"/>
          <w:sz w:val="24"/>
          <w:szCs w:val="24"/>
        </w:rPr>
        <w:t xml:space="preserve"> այլն)) (այդ թվում՝ այնպիսի ձեռնարկների օգտագործմամբ, ինչպիսիք են Goodman &amp;</w:t>
      </w:r>
      <w:r w:rsidRPr="00826F05">
        <w:rPr>
          <w:rFonts w:ascii="Sylfaen" w:hAnsi="Sylfaen"/>
          <w:sz w:val="24"/>
          <w:szCs w:val="24"/>
        </w:rPr>
        <w:t xml:space="preserve"> Gilman-ը, Martindale-ը </w:t>
      </w:r>
      <w:r w:rsidR="00C54D75">
        <w:rPr>
          <w:rFonts w:ascii="Sylfaen" w:hAnsi="Sylfaen"/>
          <w:sz w:val="24"/>
          <w:szCs w:val="24"/>
        </w:rPr>
        <w:t>և</w:t>
      </w:r>
      <w:r w:rsidRPr="00826F05">
        <w:rPr>
          <w:rFonts w:ascii="Sylfaen" w:hAnsi="Sylfaen"/>
          <w:sz w:val="24"/>
          <w:szCs w:val="24"/>
        </w:rPr>
        <w:t xml:space="preserve"> այլն): </w:t>
      </w:r>
    </w:p>
    <w:p w14:paraId="369E31D3" w14:textId="77777777" w:rsidR="004F5982" w:rsidRPr="00826F05" w:rsidRDefault="004F5982" w:rsidP="004C0BC5">
      <w:pPr>
        <w:spacing w:after="160" w:line="336" w:lineRule="auto"/>
        <w:ind w:firstLine="567"/>
        <w:jc w:val="both"/>
        <w:rPr>
          <w:rFonts w:ascii="Sylfaen" w:eastAsia="Times New Roman" w:hAnsi="Sylfaen" w:cs="Times New Roman"/>
          <w:sz w:val="24"/>
          <w:szCs w:val="24"/>
        </w:rPr>
      </w:pPr>
      <w:r w:rsidRPr="00826F05">
        <w:rPr>
          <w:rFonts w:ascii="Sylfaen" w:hAnsi="Sylfaen"/>
          <w:sz w:val="24"/>
          <w:szCs w:val="24"/>
        </w:rPr>
        <w:t>Սույն ենթաբաժնի վերջում հարկավոր է ներկայացնել ստոր</w:t>
      </w:r>
      <w:r w:rsidR="00C54D75">
        <w:rPr>
          <w:rFonts w:ascii="Sylfaen" w:hAnsi="Sylfaen"/>
          <w:sz w:val="24"/>
          <w:szCs w:val="24"/>
        </w:rPr>
        <w:t>և</w:t>
      </w:r>
      <w:r w:rsidRPr="00826F05">
        <w:rPr>
          <w:rFonts w:ascii="Sylfaen" w:hAnsi="Sylfaen"/>
          <w:sz w:val="24"/>
          <w:szCs w:val="24"/>
        </w:rPr>
        <w:t xml:space="preserve"> բերված ձ</w:t>
      </w:r>
      <w:r w:rsidR="00C54D75">
        <w:rPr>
          <w:rFonts w:ascii="Sylfaen" w:hAnsi="Sylfaen"/>
          <w:sz w:val="24"/>
          <w:szCs w:val="24"/>
        </w:rPr>
        <w:t>և</w:t>
      </w:r>
      <w:r w:rsidRPr="00826F05">
        <w:rPr>
          <w:rFonts w:ascii="Sylfaen" w:hAnsi="Sylfaen"/>
          <w:sz w:val="24"/>
          <w:szCs w:val="24"/>
        </w:rPr>
        <w:t>աչափով ամփոփիչ ձ</w:t>
      </w:r>
      <w:r w:rsidR="00C54D75">
        <w:rPr>
          <w:rFonts w:ascii="Sylfaen" w:hAnsi="Sylfaen"/>
          <w:sz w:val="24"/>
          <w:szCs w:val="24"/>
        </w:rPr>
        <w:t>և</w:t>
      </w:r>
      <w:r w:rsidRPr="00826F05">
        <w:rPr>
          <w:rFonts w:ascii="Sylfaen" w:hAnsi="Sylfaen"/>
          <w:sz w:val="24"/>
          <w:szCs w:val="24"/>
        </w:rPr>
        <w:t>ակերպում:</w:t>
      </w:r>
    </w:p>
    <w:p w14:paraId="6DEA3587"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lastRenderedPageBreak/>
        <w:t>&lt;Փորձաքննությունն անց է կացվել Միության վերարտադրված դեղապատրաստուկների կենսահամարժեքության հետազոտությունների անցկացման կանոնների օգտագործմամբ, ինչպես նա</w:t>
      </w:r>
      <w:r w:rsidR="00C54D75">
        <w:rPr>
          <w:rFonts w:ascii="Sylfaen" w:hAnsi="Sylfaen"/>
          <w:i/>
          <w:sz w:val="24"/>
          <w:szCs w:val="24"/>
        </w:rPr>
        <w:t>և</w:t>
      </w:r>
      <w:r w:rsidRPr="00826F05">
        <w:rPr>
          <w:rFonts w:ascii="Sylfaen" w:hAnsi="Sylfaen"/>
          <w:i/>
          <w:sz w:val="24"/>
          <w:szCs w:val="24"/>
        </w:rPr>
        <w:t xml:space="preserve"> [նշել այլ ձեռնարկների </w:t>
      </w:r>
      <w:r w:rsidR="00C54D75">
        <w:rPr>
          <w:rFonts w:ascii="Sylfaen" w:hAnsi="Sylfaen"/>
          <w:i/>
          <w:sz w:val="24"/>
          <w:szCs w:val="24"/>
        </w:rPr>
        <w:t>և</w:t>
      </w:r>
      <w:r w:rsidRPr="00826F05">
        <w:rPr>
          <w:rFonts w:ascii="Sylfaen" w:hAnsi="Sylfaen"/>
          <w:i/>
          <w:sz w:val="24"/>
          <w:szCs w:val="24"/>
        </w:rPr>
        <w:t xml:space="preserve"> ուղեցույցների անվանումները]:&gt;</w:t>
      </w:r>
    </w:p>
    <w:p w14:paraId="4D147FF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i/>
          <w:sz w:val="24"/>
          <w:szCs w:val="24"/>
        </w:rPr>
        <w:t>&lt;Հայտատուն ստացել է [չի ստացել] լիազորված փորձագիտական կազմակերպության՝ կլինիկական մշակման վերաբերյալ գիտական խորհրդատվությունը:</w:t>
      </w:r>
    </w:p>
    <w:p w14:paraId="267F082B" w14:textId="77777777" w:rsidR="004F5982" w:rsidRPr="00826F05" w:rsidRDefault="004F5982" w:rsidP="00487007">
      <w:pPr>
        <w:spacing w:after="160" w:line="360" w:lineRule="auto"/>
        <w:ind w:firstLine="567"/>
        <w:jc w:val="both"/>
        <w:rPr>
          <w:rFonts w:ascii="Sylfaen" w:eastAsia="Times New Roman" w:hAnsi="Sylfaen" w:cs="Times New Roman"/>
          <w:i/>
          <w:sz w:val="24"/>
          <w:szCs w:val="24"/>
        </w:rPr>
      </w:pPr>
      <w:r w:rsidRPr="00826F05">
        <w:rPr>
          <w:rFonts w:ascii="Sylfaen" w:hAnsi="Sylfaen"/>
          <w:i/>
          <w:sz w:val="24"/>
          <w:szCs w:val="24"/>
        </w:rPr>
        <w:t>Տվյալ խորհրդատվությունը վերաբերել է հետ</w:t>
      </w:r>
      <w:r w:rsidR="00C54D75">
        <w:rPr>
          <w:rFonts w:ascii="Sylfaen" w:hAnsi="Sylfaen"/>
          <w:i/>
          <w:sz w:val="24"/>
          <w:szCs w:val="24"/>
        </w:rPr>
        <w:t>և</w:t>
      </w:r>
      <w:r w:rsidRPr="00826F05">
        <w:rPr>
          <w:rFonts w:ascii="Sylfaen" w:hAnsi="Sylfaen"/>
          <w:i/>
          <w:sz w:val="24"/>
          <w:szCs w:val="24"/>
        </w:rPr>
        <w:t>յալին՝ [ներկայացնել ռեզյումեն]: Հայտատուն օգտվել է [չի օգտվել] տվյալ գիտական խորհրդատվությունից:&gt;</w:t>
      </w:r>
    </w:p>
    <w:p w14:paraId="72692BBD" w14:textId="77777777" w:rsidR="004F5982" w:rsidRPr="00826F05" w:rsidRDefault="004F5982" w:rsidP="00487007">
      <w:pPr>
        <w:spacing w:after="160" w:line="360" w:lineRule="auto"/>
        <w:ind w:left="567" w:right="565"/>
        <w:jc w:val="both"/>
        <w:rPr>
          <w:rFonts w:ascii="Sylfaen" w:hAnsi="Sylfaen"/>
          <w:sz w:val="24"/>
          <w:szCs w:val="24"/>
        </w:rPr>
      </w:pPr>
    </w:p>
    <w:p w14:paraId="47BFF4DC"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 xml:space="preserve">2.1.1. Միության պատշաճ կլինիկական գործունեության </w:t>
      </w:r>
      <w:r w:rsidRPr="00826F05">
        <w:rPr>
          <w:rFonts w:ascii="Sylfaen" w:hAnsi="Sylfaen"/>
          <w:sz w:val="24"/>
          <w:szCs w:val="24"/>
        </w:rPr>
        <w:br/>
        <w:t>կանոնների պահանջներին համապատասխանության ասպեկտները</w:t>
      </w:r>
    </w:p>
    <w:p w14:paraId="2A2177DC"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Փորձագիտական հաշվետվության սույն </w:t>
      </w:r>
      <w:r w:rsidR="00C54D75">
        <w:rPr>
          <w:rFonts w:ascii="Sylfaen" w:hAnsi="Sylfaen"/>
          <w:sz w:val="24"/>
          <w:szCs w:val="24"/>
        </w:rPr>
        <w:t>և</w:t>
      </w:r>
      <w:r w:rsidRPr="00826F05">
        <w:rPr>
          <w:rFonts w:ascii="Sylfaen" w:hAnsi="Sylfaen"/>
          <w:sz w:val="24"/>
          <w:szCs w:val="24"/>
        </w:rPr>
        <w:t xml:space="preserve"> 3.1 բաժիններում, ինչպես նա</w:t>
      </w:r>
      <w:r w:rsidR="00C54D75">
        <w:rPr>
          <w:rFonts w:ascii="Sylfaen" w:hAnsi="Sylfaen"/>
          <w:sz w:val="24"/>
          <w:szCs w:val="24"/>
        </w:rPr>
        <w:t>և</w:t>
      </w:r>
      <w:r w:rsidRPr="00826F05">
        <w:rPr>
          <w:rFonts w:ascii="Sylfaen" w:hAnsi="Sylfaen"/>
          <w:sz w:val="24"/>
          <w:szCs w:val="24"/>
        </w:rPr>
        <w:t xml:space="preserve"> «Ընդհանուր նկարագրություն» մոդուլում անհրաժեշտ է արտացոլել Միության պատշաճ կլինիկական գործունեության կանոնների պահանջներին համապատասխանությանը վերաբերող հարցերը:</w:t>
      </w:r>
    </w:p>
    <w:p w14:paraId="610007E4"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Սույն բաժնում անհրաժեշտ է դիտարկել՝</w:t>
      </w:r>
    </w:p>
    <w:p w14:paraId="593B8EEB"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բոլոր այն կասկածները, որոնք առաջացել են փորձաքննության ընթացքում կլինիկական պատշաճ գործունեության կանոնների </w:t>
      </w:r>
      <w:r w:rsidR="00C54D75">
        <w:rPr>
          <w:rFonts w:ascii="Sylfaen" w:hAnsi="Sylfaen"/>
          <w:sz w:val="24"/>
          <w:szCs w:val="24"/>
        </w:rPr>
        <w:t>և</w:t>
      </w:r>
      <w:r w:rsidRPr="00826F05">
        <w:rPr>
          <w:rFonts w:ascii="Sylfaen" w:hAnsi="Sylfaen"/>
          <w:sz w:val="24"/>
          <w:szCs w:val="24"/>
        </w:rPr>
        <w:t xml:space="preserve"> դրանց առնչվող կարգավորող </w:t>
      </w:r>
      <w:r w:rsidR="00C54D75">
        <w:rPr>
          <w:rFonts w:ascii="Sylfaen" w:hAnsi="Sylfaen"/>
          <w:sz w:val="24"/>
          <w:szCs w:val="24"/>
        </w:rPr>
        <w:t>և</w:t>
      </w:r>
      <w:r w:rsidRPr="00826F05">
        <w:rPr>
          <w:rFonts w:ascii="Sylfaen" w:hAnsi="Sylfaen"/>
          <w:sz w:val="24"/>
          <w:szCs w:val="24"/>
        </w:rPr>
        <w:t xml:space="preserve"> էթիկական պահանջների պահպանման մասով (տվյալների ճշտություն, արձանագրության պահպանում </w:t>
      </w:r>
      <w:r w:rsidR="00C54D75">
        <w:rPr>
          <w:rFonts w:ascii="Sylfaen" w:hAnsi="Sylfaen"/>
          <w:sz w:val="24"/>
          <w:szCs w:val="24"/>
        </w:rPr>
        <w:t>և</w:t>
      </w:r>
      <w:r w:rsidRPr="00826F05">
        <w:rPr>
          <w:rFonts w:ascii="Sylfaen" w:hAnsi="Sylfaen"/>
          <w:sz w:val="24"/>
          <w:szCs w:val="24"/>
        </w:rPr>
        <w:t xml:space="preserve"> էթիկական ասպեկտների պահպանում).</w:t>
      </w:r>
    </w:p>
    <w:p w14:paraId="5CE6A616"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կլինիկական հետազոտությունների՝ Միության պատշաճ կլինիկական գործունեության կամ դրանց համարժեք կանոններով նախատեսված էթիկական չափանիշների պահպանումը. </w:t>
      </w:r>
    </w:p>
    <w:p w14:paraId="177E763B"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lastRenderedPageBreak/>
        <w:t xml:space="preserve">պատշաճ կլինիկական գործունեության կանոնների պահանջներին համապատասխանության մասով տեսչական ստուգում անցկացնելու նպատակահարմարությունը՝ ելնելով Գրանցման </w:t>
      </w:r>
      <w:r w:rsidR="00C54D75">
        <w:rPr>
          <w:rFonts w:ascii="Sylfaen" w:hAnsi="Sylfaen"/>
          <w:sz w:val="24"/>
          <w:szCs w:val="24"/>
        </w:rPr>
        <w:t>և</w:t>
      </w:r>
      <w:r w:rsidRPr="00826F05">
        <w:rPr>
          <w:rFonts w:ascii="Sylfaen" w:hAnsi="Sylfaen"/>
          <w:sz w:val="24"/>
          <w:szCs w:val="24"/>
        </w:rPr>
        <w:t xml:space="preserve"> փորձաքննության կանոններից:</w:t>
      </w:r>
    </w:p>
    <w:p w14:paraId="698A7FE9" w14:textId="77777777" w:rsidR="004F5982" w:rsidRPr="00826F05" w:rsidRDefault="004F5982" w:rsidP="00487007">
      <w:pPr>
        <w:spacing w:after="160" w:line="360" w:lineRule="auto"/>
        <w:ind w:firstLine="567"/>
        <w:jc w:val="both"/>
        <w:rPr>
          <w:rFonts w:ascii="Sylfaen" w:hAnsi="Sylfaen"/>
          <w:sz w:val="24"/>
          <w:szCs w:val="24"/>
        </w:rPr>
      </w:pPr>
      <w:r w:rsidRPr="00826F05">
        <w:rPr>
          <w:rFonts w:ascii="Sylfaen" w:hAnsi="Sylfaen"/>
          <w:sz w:val="24"/>
          <w:szCs w:val="24"/>
        </w:rPr>
        <w:t>Տեսչական ստուգում անցկացնելու անհրաժեշտության վերաբերյալ որոշման ընդունումն իրականացվում է (սույն կանոններում բերված) կրիտիկական գործոնների համակցության հիման վրա՝ հաշվի առնելով ամբողջ գրանցման դոսյեի գնահատումը: Կրիտիկական գործոնների ցանկը սպառիչ չէ, յուրաքանչյուր գործոնի նշանակությունը Միության պատշաճ կլինիկական գործունեության կանոններին համապատասխանության մասով արտապլանային տեսչական ստուգում անցկացնելու վերաբերյալ որոշում կայացնելու համար կարող է էականորեն տարբերվել՝ կախված բազմաթիվ գործոններից:</w:t>
      </w:r>
    </w:p>
    <w:p w14:paraId="0159FC9E"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Տեսչական ստուգում անցկացնելու անհրաժեշտությունը պայմանավորող գործոնների վերաբերյալ մանրամասն տեղեկատվությունը ներկայացված է սույն կանոններում </w:t>
      </w:r>
      <w:r w:rsidR="00C54D75">
        <w:rPr>
          <w:rFonts w:ascii="Sylfaen" w:hAnsi="Sylfaen"/>
          <w:sz w:val="24"/>
          <w:szCs w:val="24"/>
        </w:rPr>
        <w:t>և</w:t>
      </w:r>
      <w:r w:rsidRPr="00826F05">
        <w:rPr>
          <w:rFonts w:ascii="Sylfaen" w:hAnsi="Sylfaen"/>
          <w:sz w:val="24"/>
          <w:szCs w:val="24"/>
        </w:rPr>
        <w:t xml:space="preserve"> Միության դեղագործական տեսչական ստուգումների անցկացման կանոններում:</w:t>
      </w:r>
    </w:p>
    <w:p w14:paraId="743CED3F" w14:textId="77777777" w:rsidR="004F5982" w:rsidRDefault="004F5982" w:rsidP="00487007">
      <w:pPr>
        <w:spacing w:after="160" w:line="360" w:lineRule="auto"/>
        <w:ind w:firstLine="567"/>
        <w:jc w:val="both"/>
        <w:rPr>
          <w:rFonts w:ascii="Sylfaen" w:hAnsi="Sylfaen"/>
          <w:sz w:val="24"/>
          <w:szCs w:val="24"/>
        </w:rPr>
      </w:pPr>
      <w:r w:rsidRPr="00826F05">
        <w:rPr>
          <w:rFonts w:ascii="Sylfaen" w:hAnsi="Sylfaen"/>
          <w:sz w:val="24"/>
          <w:szCs w:val="24"/>
        </w:rPr>
        <w:t xml:space="preserve">Միության պատշաճ կլինիկական գործունեության կանոնների պահանջներին համապատասխանության մասով տեսչական ստուգում անցկացնելու վերաբերյալ հարցման համար անհրաժեշտ է </w:t>
      </w:r>
    </w:p>
    <w:p w14:paraId="60667E66" w14:textId="77777777" w:rsidR="004F5982" w:rsidRDefault="004F5982" w:rsidP="004C0BC5">
      <w:pPr>
        <w:spacing w:after="160" w:line="336" w:lineRule="auto"/>
        <w:ind w:firstLine="567"/>
        <w:jc w:val="both"/>
        <w:rPr>
          <w:rFonts w:ascii="Sylfaen" w:hAnsi="Sylfaen"/>
          <w:sz w:val="24"/>
          <w:szCs w:val="24"/>
        </w:rPr>
      </w:pPr>
      <w:r w:rsidRPr="00826F05">
        <w:rPr>
          <w:rFonts w:ascii="Sylfaen" w:hAnsi="Sylfaen"/>
          <w:sz w:val="24"/>
          <w:szCs w:val="24"/>
        </w:rPr>
        <w:t xml:space="preserve">դիմել ազգային դեղագործական տեսչություն. </w:t>
      </w:r>
    </w:p>
    <w:p w14:paraId="570C05D1" w14:textId="77777777" w:rsidR="004F5982" w:rsidRPr="00826F05" w:rsidRDefault="004F5982" w:rsidP="004C0BC5">
      <w:pPr>
        <w:spacing w:after="160" w:line="336" w:lineRule="auto"/>
        <w:ind w:right="-1" w:firstLine="567"/>
        <w:jc w:val="both"/>
        <w:rPr>
          <w:rFonts w:ascii="Sylfaen" w:eastAsia="Times New Roman" w:hAnsi="Sylfaen" w:cs="Times New Roman"/>
          <w:sz w:val="24"/>
          <w:szCs w:val="24"/>
        </w:rPr>
      </w:pPr>
      <w:r w:rsidRPr="00826F05">
        <w:rPr>
          <w:rFonts w:ascii="Sylfaen" w:hAnsi="Sylfaen"/>
          <w:sz w:val="24"/>
          <w:szCs w:val="24"/>
        </w:rPr>
        <w:t>տեսչության հետ միասին որոշել տեսչական ստուգմանն առնչվող հետազոտությունները, օբյեկտներն ու մասնահատուկ հարցերը կամ խնդիրները.</w:t>
      </w:r>
    </w:p>
    <w:p w14:paraId="0347F8F3" w14:textId="77777777" w:rsidR="004F5982" w:rsidRPr="00826F05" w:rsidRDefault="004F5982" w:rsidP="004C0BC5">
      <w:pPr>
        <w:spacing w:after="160" w:line="336" w:lineRule="auto"/>
        <w:ind w:right="-1" w:firstLine="567"/>
        <w:jc w:val="both"/>
        <w:rPr>
          <w:rFonts w:ascii="Sylfaen" w:eastAsia="Times New Roman" w:hAnsi="Sylfaen" w:cs="Times New Roman"/>
          <w:spacing w:val="-6"/>
          <w:sz w:val="24"/>
          <w:szCs w:val="24"/>
        </w:rPr>
      </w:pPr>
      <w:r w:rsidRPr="00826F05">
        <w:rPr>
          <w:rFonts w:ascii="Sylfaen" w:hAnsi="Sylfaen"/>
          <w:spacing w:val="-6"/>
          <w:sz w:val="24"/>
          <w:szCs w:val="24"/>
        </w:rPr>
        <w:t xml:space="preserve">նախապատրաստել տեսչական ստուգման վերաբերյալ պաշտոնական հարցում, որը ներկայացվում է տեսուչների քննարկման </w:t>
      </w:r>
      <w:r w:rsidR="00C54D75">
        <w:rPr>
          <w:rFonts w:ascii="Sylfaen" w:hAnsi="Sylfaen"/>
          <w:spacing w:val="-6"/>
          <w:sz w:val="24"/>
          <w:szCs w:val="24"/>
        </w:rPr>
        <w:t>և</w:t>
      </w:r>
      <w:r w:rsidRPr="00826F05">
        <w:rPr>
          <w:rFonts w:ascii="Sylfaen" w:hAnsi="Sylfaen"/>
          <w:spacing w:val="-6"/>
          <w:sz w:val="24"/>
          <w:szCs w:val="24"/>
        </w:rPr>
        <w:t xml:space="preserve"> Միության անդամ պետությունների լիազորված տեսչական կազմակերպությունների հետ հետագա համաձայնեցման համար, որից հետո հարցումը հաստատվում է լիազորված մարմինների կողմից </w:t>
      </w:r>
      <w:r w:rsidR="00C54D75">
        <w:rPr>
          <w:rFonts w:ascii="Sylfaen" w:hAnsi="Sylfaen"/>
          <w:spacing w:val="-6"/>
          <w:sz w:val="24"/>
          <w:szCs w:val="24"/>
        </w:rPr>
        <w:t>և</w:t>
      </w:r>
      <w:r w:rsidRPr="00826F05">
        <w:rPr>
          <w:rFonts w:ascii="Sylfaen" w:hAnsi="Sylfaen"/>
          <w:spacing w:val="-6"/>
          <w:sz w:val="24"/>
          <w:szCs w:val="24"/>
        </w:rPr>
        <w:t xml:space="preserve"> ներառվում է տեսչական ստուգումների պլանի մեջ (90 կամ 120 օր):</w:t>
      </w:r>
    </w:p>
    <w:p w14:paraId="7B262378"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lastRenderedPageBreak/>
        <w:t>2.2. Բիովեյվերները</w:t>
      </w:r>
    </w:p>
    <w:p w14:paraId="012B9E59"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Սույն բաժնում հարկավոր է նկարագրել բիովեյվերի 2 տարատեսակ՝</w:t>
      </w:r>
    </w:p>
    <w:p w14:paraId="0166682B"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Բիովեյվեր՝ դոզավորման(ումների) համար,</w:t>
      </w:r>
    </w:p>
    <w:p w14:paraId="50B6F710"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Բիովեյվեր՝ ԿԴՀ-ի հիման վրա: </w:t>
      </w:r>
    </w:p>
    <w:p w14:paraId="1631040E"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Անհրաժեշտ է հաշվի առնել Միության վերարտադրված դեղամիջոցների կենսահամարժեքության հետազոտությունների անցկացման կանոնների համապատասխան պահանջները:</w:t>
      </w:r>
    </w:p>
    <w:p w14:paraId="71755324"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sz w:val="24"/>
          <w:szCs w:val="24"/>
        </w:rPr>
        <w:t>Սույն բաժինը հարկավոր է օգտագործել կենսահամարժեքության հետազոտությունների անցկացումից հրաժարվելու հիմնավորման գնահատման համար, օրինակ՝ որոշակի դեղաձ</w:t>
      </w:r>
      <w:r w:rsidR="00C54D75">
        <w:rPr>
          <w:rFonts w:ascii="Sylfaen" w:hAnsi="Sylfaen"/>
          <w:sz w:val="24"/>
          <w:szCs w:val="24"/>
        </w:rPr>
        <w:t>և</w:t>
      </w:r>
      <w:r w:rsidRPr="00826F05">
        <w:rPr>
          <w:rFonts w:ascii="Sylfaen" w:hAnsi="Sylfaen"/>
          <w:sz w:val="24"/>
          <w:szCs w:val="24"/>
        </w:rPr>
        <w:t>երի նկատմամբ՝ նշված կանոններին համապատասխան:</w:t>
      </w:r>
    </w:p>
    <w:p w14:paraId="3D0385E9" w14:textId="77777777" w:rsidR="004F5982" w:rsidRPr="00826F05" w:rsidRDefault="004F5982" w:rsidP="00487007">
      <w:pPr>
        <w:spacing w:after="160" w:line="360" w:lineRule="auto"/>
        <w:ind w:right="-1" w:firstLine="567"/>
        <w:jc w:val="center"/>
        <w:rPr>
          <w:rFonts w:ascii="Sylfaen" w:hAnsi="Sylfaen"/>
          <w:sz w:val="24"/>
          <w:szCs w:val="24"/>
        </w:rPr>
      </w:pPr>
    </w:p>
    <w:p w14:paraId="4B3522F8"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2.3. Կլինիկական դեղաբանությունը</w:t>
      </w:r>
    </w:p>
    <w:p w14:paraId="508B7070"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2.3.1. Դեղակինետիկան</w:t>
      </w:r>
    </w:p>
    <w:p w14:paraId="10656B8E"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&lt;Որպես հայտի հիմնավորումներ ներկայացված են կենսահամարժեքության [նշել քանակը] հետազոտություն(ներ), դեղադինամիկ [նշել քանակը] հետազոտություններ, թերապ</w:t>
      </w:r>
      <w:r w:rsidR="00C54D75">
        <w:rPr>
          <w:rFonts w:ascii="Sylfaen" w:hAnsi="Sylfaen"/>
          <w:i/>
          <w:sz w:val="24"/>
          <w:szCs w:val="24"/>
        </w:rPr>
        <w:t>և</w:t>
      </w:r>
      <w:r w:rsidRPr="00826F05">
        <w:rPr>
          <w:rFonts w:ascii="Sylfaen" w:hAnsi="Sylfaen"/>
          <w:i/>
          <w:sz w:val="24"/>
          <w:szCs w:val="24"/>
        </w:rPr>
        <w:t>տիկ համարժեքության [նշել քանակը] հետազոտություններ:&gt;</w:t>
      </w:r>
    </w:p>
    <w:p w14:paraId="1DDBEB86"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E20294">
        <w:rPr>
          <w:rFonts w:ascii="Sylfaen" w:hAnsi="Sylfaen"/>
          <w:spacing w:val="-6"/>
          <w:sz w:val="24"/>
          <w:szCs w:val="24"/>
        </w:rPr>
        <w:t>Հարկավոր է ներկայացնել կենսահամարժեքության մի քանի հետազոտությունների ներկայացման հիմնավորվածության գնահատումը</w:t>
      </w:r>
      <w:r w:rsidRPr="00826F05">
        <w:rPr>
          <w:rFonts w:ascii="Sylfaen" w:hAnsi="Sylfaen"/>
          <w:sz w:val="24"/>
          <w:szCs w:val="24"/>
        </w:rPr>
        <w:t>: Եթե անց են կացվել մի քանի կլինիկական հետազոտություններ, ապա յուրաքանչյուր այդպիսի հետազոտություն անհրաժեշտ է առանձին նկարագրել՝ օգտագործելով աղյուսակի տեսքով ստոր</w:t>
      </w:r>
      <w:r w:rsidR="00C54D75">
        <w:rPr>
          <w:rFonts w:ascii="Sylfaen" w:hAnsi="Sylfaen"/>
          <w:sz w:val="24"/>
          <w:szCs w:val="24"/>
        </w:rPr>
        <w:t>և</w:t>
      </w:r>
      <w:r w:rsidRPr="00826F05">
        <w:rPr>
          <w:rFonts w:ascii="Sylfaen" w:hAnsi="Sylfaen"/>
          <w:sz w:val="24"/>
          <w:szCs w:val="24"/>
        </w:rPr>
        <w:t xml:space="preserve"> ներկայացված կառուցվածքը: </w:t>
      </w:r>
    </w:p>
    <w:p w14:paraId="18E72B5B" w14:textId="77777777" w:rsidR="004F5982" w:rsidRPr="00E20294" w:rsidRDefault="004F5982" w:rsidP="00487007">
      <w:pPr>
        <w:pStyle w:val="Tablecaption20"/>
        <w:shd w:val="clear" w:color="auto" w:fill="auto"/>
        <w:spacing w:after="160" w:line="360" w:lineRule="auto"/>
        <w:ind w:right="-1" w:firstLine="567"/>
        <w:jc w:val="right"/>
        <w:rPr>
          <w:rFonts w:ascii="Sylfaen" w:hAnsi="Sylfaen"/>
          <w:b w:val="0"/>
          <w:sz w:val="24"/>
          <w:szCs w:val="24"/>
        </w:rPr>
      </w:pPr>
      <w:r w:rsidRPr="00E20294">
        <w:rPr>
          <w:rFonts w:ascii="Sylfaen" w:hAnsi="Sylfaen"/>
          <w:b w:val="0"/>
          <w:color w:val="000000"/>
          <w:sz w:val="24"/>
          <w:szCs w:val="24"/>
        </w:rPr>
        <w:t>Աղյուսակ 1</w:t>
      </w:r>
    </w:p>
    <w:p w14:paraId="7776F3F5" w14:textId="77777777" w:rsidR="004F5982" w:rsidRPr="00E20294" w:rsidRDefault="004F5982" w:rsidP="00487007">
      <w:pPr>
        <w:spacing w:after="160" w:line="360" w:lineRule="auto"/>
        <w:ind w:left="567" w:right="332"/>
        <w:jc w:val="center"/>
        <w:rPr>
          <w:rFonts w:ascii="Sylfaen" w:hAnsi="Sylfaen"/>
          <w:b/>
          <w:sz w:val="24"/>
          <w:szCs w:val="24"/>
        </w:rPr>
      </w:pPr>
      <w:r w:rsidRPr="00E20294">
        <w:rPr>
          <w:rStyle w:val="Bodytext295pt"/>
          <w:rFonts w:ascii="Sylfaen" w:eastAsiaTheme="minorHAnsi" w:hAnsi="Sylfaen"/>
          <w:b w:val="0"/>
          <w:spacing w:val="0"/>
          <w:sz w:val="24"/>
          <w:szCs w:val="24"/>
        </w:rPr>
        <w:lastRenderedPageBreak/>
        <w:t>Կլինիկական հետազոտությունների աղյուսակային ամփոփումը</w:t>
      </w:r>
    </w:p>
    <w:tbl>
      <w:tblPr>
        <w:tblOverlap w:val="neve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62"/>
        <w:gridCol w:w="691"/>
        <w:gridCol w:w="1575"/>
        <w:gridCol w:w="1625"/>
        <w:gridCol w:w="203"/>
        <w:gridCol w:w="1813"/>
        <w:gridCol w:w="174"/>
        <w:gridCol w:w="1700"/>
      </w:tblGrid>
      <w:tr w:rsidR="004F5982" w:rsidRPr="00E20294" w14:paraId="47F1CAD0" w14:textId="77777777" w:rsidTr="00433295">
        <w:tc>
          <w:tcPr>
            <w:tcW w:w="10143" w:type="dxa"/>
            <w:gridSpan w:val="8"/>
            <w:shd w:val="clear" w:color="auto" w:fill="FFFFFF"/>
            <w:vAlign w:val="bottom"/>
          </w:tcPr>
          <w:p w14:paraId="2979FD29" w14:textId="77777777" w:rsidR="004F5982" w:rsidRPr="00E20294" w:rsidRDefault="004F5982" w:rsidP="00487007">
            <w:pPr>
              <w:spacing w:after="120" w:line="240" w:lineRule="auto"/>
              <w:ind w:left="142"/>
              <w:jc w:val="both"/>
              <w:rPr>
                <w:rFonts w:ascii="Sylfaen" w:hAnsi="Sylfaen"/>
              </w:rPr>
            </w:pPr>
            <w:r w:rsidRPr="00E20294">
              <w:rPr>
                <w:rStyle w:val="Bodytext20"/>
                <w:rFonts w:ascii="Sylfaen" w:eastAsiaTheme="minorHAnsi" w:hAnsi="Sylfaen"/>
                <w:sz w:val="22"/>
                <w:szCs w:val="22"/>
              </w:rPr>
              <w:t>Հետազոտություն &lt;համարը&gt;՝ &lt;անվանումը&gt;</w:t>
            </w:r>
          </w:p>
        </w:tc>
      </w:tr>
      <w:tr w:rsidR="004F5982" w:rsidRPr="00E20294" w14:paraId="35F1A1B0" w14:textId="77777777" w:rsidTr="00433295">
        <w:tc>
          <w:tcPr>
            <w:tcW w:w="10143" w:type="dxa"/>
            <w:gridSpan w:val="8"/>
            <w:shd w:val="clear" w:color="auto" w:fill="FFFFFF"/>
            <w:vAlign w:val="bottom"/>
          </w:tcPr>
          <w:p w14:paraId="21FE5AE4" w14:textId="77777777" w:rsidR="004F5982" w:rsidRPr="00E20294" w:rsidRDefault="004F5982" w:rsidP="00487007">
            <w:pPr>
              <w:spacing w:after="120" w:line="240" w:lineRule="auto"/>
              <w:ind w:left="142"/>
              <w:jc w:val="both"/>
              <w:rPr>
                <w:rFonts w:ascii="Sylfaen" w:hAnsi="Sylfaen"/>
              </w:rPr>
            </w:pPr>
            <w:r w:rsidRPr="00E20294">
              <w:rPr>
                <w:rStyle w:val="Bodytext20"/>
                <w:rFonts w:ascii="Sylfaen" w:eastAsiaTheme="minorHAnsi" w:hAnsi="Sylfaen"/>
                <w:sz w:val="22"/>
                <w:szCs w:val="22"/>
              </w:rPr>
              <w:t>Մեթոդները</w:t>
            </w:r>
          </w:p>
        </w:tc>
      </w:tr>
      <w:tr w:rsidR="004F5982" w:rsidRPr="00E20294" w14:paraId="7D7DCBF6" w14:textId="77777777" w:rsidTr="00433295">
        <w:tc>
          <w:tcPr>
            <w:tcW w:w="10143" w:type="dxa"/>
            <w:gridSpan w:val="8"/>
            <w:shd w:val="clear" w:color="auto" w:fill="FFFFFF"/>
            <w:vAlign w:val="bottom"/>
          </w:tcPr>
          <w:p w14:paraId="11D4B402"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Հետազոտության բովանդակային պլանը</w:t>
            </w:r>
          </w:p>
          <w:p w14:paraId="280A66C0" w14:textId="77777777" w:rsidR="004F5982" w:rsidRPr="00E20294" w:rsidRDefault="004F5982" w:rsidP="00487007">
            <w:pPr>
              <w:spacing w:after="120" w:line="240" w:lineRule="auto"/>
              <w:ind w:left="142" w:right="113"/>
              <w:jc w:val="both"/>
              <w:rPr>
                <w:rFonts w:ascii="Sylfaen" w:hAnsi="Sylfaen"/>
              </w:rPr>
            </w:pPr>
            <w:r w:rsidRPr="00E20294">
              <w:rPr>
                <w:rStyle w:val="Bodytext20"/>
                <w:rFonts w:ascii="Sylfaen" w:eastAsiaTheme="minorHAnsi" w:hAnsi="Sylfaen"/>
                <w:sz w:val="22"/>
                <w:szCs w:val="22"/>
              </w:rPr>
              <w:t>Հետազոտության բովանդակային պլանի մանրամասն նկարագրությունը, ներառյալ՝ պատրաստուկն ընդունելու ընթացակարգերը (անոթի կամ սնունդ ընդունելուց հետո), մաքրման ժամանակահատվածը, սննդի բնութագրերը՝ սնունդ ընդունելուց հետո (անոթի</w:t>
            </w:r>
            <w:r>
              <w:rPr>
                <w:rStyle w:val="Bodytext20"/>
                <w:rFonts w:ascii="Sylfaen" w:eastAsiaTheme="minorHAnsi" w:hAnsi="Sylfaen"/>
                <w:sz w:val="22"/>
                <w:szCs w:val="22"/>
              </w:rPr>
              <w:t> </w:t>
            </w:r>
            <w:r w:rsidRPr="00E20294">
              <w:rPr>
                <w:rStyle w:val="Bodytext20"/>
                <w:rFonts w:ascii="Sylfaen" w:eastAsiaTheme="minorHAnsi" w:hAnsi="Sylfaen"/>
                <w:sz w:val="22"/>
                <w:szCs w:val="22"/>
              </w:rPr>
              <w:t>վիճակում), սննդի բաղադրիչները (սնունդ ընդունելուց հետո պատրաստուկի ընդունմամբ հետազոտություններում), բազմակի (մեկանգամյա) ներմուծումը, ընդունած դեղաչափը, մաքրման ժամանակահատվածը, «կույր» մեթոդը, խաչաձ</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ումը, պատահական բաշխումը, նմուշառման սխեման, վերլուծվող միացությունը (ելանյութը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(կամ) մետաբոլիտները)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կենսանյութը (պլազմա, մեզ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այլն): </w:t>
            </w:r>
          </w:p>
          <w:p w14:paraId="3214AC2B" w14:textId="77777777" w:rsidR="004F5982" w:rsidRPr="00E20294" w:rsidRDefault="004F5982" w:rsidP="00487007">
            <w:pPr>
              <w:spacing w:after="120" w:line="240" w:lineRule="auto"/>
              <w:ind w:left="142" w:right="113"/>
              <w:jc w:val="both"/>
              <w:rPr>
                <w:rFonts w:ascii="Sylfaen" w:hAnsi="Sylfaen"/>
              </w:rPr>
            </w:pPr>
            <w:r w:rsidRPr="00E20294">
              <w:rPr>
                <w:rStyle w:val="Bodytext20"/>
                <w:rFonts w:ascii="Sylfaen" w:eastAsiaTheme="minorHAnsi" w:hAnsi="Sylfaen"/>
                <w:sz w:val="22"/>
                <w:szCs w:val="22"/>
              </w:rPr>
              <w:t>Եթե հետազոտությունն անց է կացվել ստացիոնար (հավասարակշիռ) վիճակում՝ համապատասխան տվյալները (բազմակի ընդունում):</w:t>
            </w:r>
          </w:p>
          <w:p w14:paraId="5E1DADFC" w14:textId="77777777" w:rsidR="004F5982" w:rsidRPr="00E20294" w:rsidRDefault="004F5982" w:rsidP="00487007">
            <w:pPr>
              <w:spacing w:after="120" w:line="240" w:lineRule="auto"/>
              <w:ind w:left="142" w:right="113"/>
              <w:jc w:val="both"/>
              <w:rPr>
                <w:rFonts w:ascii="Sylfaen" w:hAnsi="Sylfaen"/>
              </w:rPr>
            </w:pPr>
            <w:r w:rsidRPr="00E20294">
              <w:rPr>
                <w:rStyle w:val="Bodytext20"/>
                <w:rFonts w:ascii="Sylfaen" w:eastAsiaTheme="minorHAnsi" w:hAnsi="Sylfaen"/>
                <w:sz w:val="22"/>
                <w:szCs w:val="22"/>
              </w:rPr>
              <w:t>Արձանագրության համարը, հետազոտության տ</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ողությունը, հետազոտողի, հետազոտական կենտրոնի, կենսավերլուծական կենտրոնի, կենսավիճակագրության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(կամ) կենսավիճակագրական կենտրոնի վերաբերյալ տեղեկությունները:</w:t>
            </w:r>
          </w:p>
          <w:p w14:paraId="33A87783" w14:textId="77777777" w:rsidR="004F5982" w:rsidRPr="00E20294" w:rsidRDefault="004F5982" w:rsidP="00487007">
            <w:pPr>
              <w:spacing w:after="120" w:line="240" w:lineRule="auto"/>
              <w:ind w:left="142" w:right="113"/>
              <w:jc w:val="both"/>
              <w:rPr>
                <w:rFonts w:ascii="Sylfaen" w:hAnsi="Sylfaen"/>
              </w:rPr>
            </w:pPr>
            <w:r w:rsidRPr="00E20294">
              <w:rPr>
                <w:rStyle w:val="Bodytext20"/>
                <w:rFonts w:ascii="Sylfaen" w:eastAsiaTheme="minorHAnsi" w:hAnsi="Sylfaen"/>
                <w:sz w:val="22"/>
                <w:szCs w:val="22"/>
              </w:rPr>
              <w:t xml:space="preserve">Փորձագետի </w:t>
            </w:r>
            <w:r w:rsidRPr="00E20294">
              <w:rPr>
                <w:rStyle w:val="Bodytext20"/>
                <w:rFonts w:ascii="Sylfaen" w:eastAsiaTheme="minorHAnsi" w:hAnsi="Sylfaen"/>
                <w:color w:val="auto"/>
                <w:sz w:val="22"/>
                <w:szCs w:val="22"/>
              </w:rPr>
              <w:t>մեկնաբանությունը</w:t>
            </w:r>
          </w:p>
          <w:p w14:paraId="60FDA3B2" w14:textId="77777777" w:rsidR="004F5982" w:rsidRPr="00E20294" w:rsidRDefault="004F5982" w:rsidP="00487007">
            <w:pPr>
              <w:spacing w:after="120" w:line="240" w:lineRule="auto"/>
              <w:ind w:left="142" w:right="113"/>
              <w:jc w:val="both"/>
              <w:rPr>
                <w:rFonts w:ascii="Sylfaen" w:hAnsi="Sylfaen"/>
              </w:rPr>
            </w:pPr>
            <w:r w:rsidRPr="00E20294">
              <w:rPr>
                <w:rStyle w:val="Bodytext20"/>
                <w:rFonts w:ascii="Sylfaen" w:eastAsiaTheme="minorHAnsi" w:hAnsi="Sylfaen"/>
                <w:sz w:val="22"/>
                <w:szCs w:val="22"/>
              </w:rPr>
              <w:t>Հետազոտության բովանդակային պլանի ընդունելիության կրիտիկական գնահատականը:</w:t>
            </w:r>
          </w:p>
        </w:tc>
      </w:tr>
      <w:tr w:rsidR="004F5982" w:rsidRPr="00E20294" w14:paraId="2163B420" w14:textId="77777777" w:rsidTr="00433295">
        <w:tc>
          <w:tcPr>
            <w:tcW w:w="10143" w:type="dxa"/>
            <w:gridSpan w:val="8"/>
            <w:shd w:val="clear" w:color="auto" w:fill="FFFFFF"/>
            <w:vAlign w:val="bottom"/>
          </w:tcPr>
          <w:p w14:paraId="5E069693"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Հետազոտվող պատրաստուկը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համեմատման պատրաստուկը</w:t>
            </w:r>
          </w:p>
          <w:p w14:paraId="3DCB6922" w14:textId="77777777" w:rsidR="004F5982" w:rsidRPr="00E20294" w:rsidRDefault="004F5982" w:rsidP="00487007">
            <w:pPr>
              <w:spacing w:after="120" w:line="288" w:lineRule="auto"/>
              <w:ind w:left="142" w:right="113"/>
              <w:jc w:val="both"/>
              <w:rPr>
                <w:rFonts w:ascii="Sylfaen" w:hAnsi="Sylfaen"/>
              </w:rPr>
            </w:pPr>
            <w:r w:rsidRPr="00E20294">
              <w:rPr>
                <w:rStyle w:val="Bodytext20"/>
                <w:rFonts w:ascii="Sylfaen" w:eastAsiaTheme="minorHAnsi" w:hAnsi="Sylfaen"/>
                <w:sz w:val="22"/>
                <w:szCs w:val="22"/>
              </w:rPr>
              <w:t>Անհրաժեշտ է համեմատման պատրաստուկի (անվանումը) վերաբերյալ աղյուսակային ձ</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ով ներկայացնել մանրամասն տեղեկություններ՝ դոզավորումը, դեղաձ</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ը, գրանցման հավաստագրի իրավատերը, Միության շրջանակներում գրանցման օրը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կլինիկական հետազոտություններում օգտագործված սերիաների վերաբերյալ մանրամասն տեղեկություններ (ինչպիսիք են սերիայի համարը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արտադրության երկիրը):</w:t>
            </w:r>
          </w:p>
          <w:p w14:paraId="3F8D0E20" w14:textId="77777777" w:rsidR="004F5982" w:rsidRPr="00E20294" w:rsidRDefault="004F5982" w:rsidP="00487007">
            <w:pPr>
              <w:spacing w:after="120" w:line="288" w:lineRule="auto"/>
              <w:ind w:left="142" w:right="113"/>
              <w:jc w:val="both"/>
              <w:rPr>
                <w:rFonts w:ascii="Sylfaen" w:hAnsi="Sylfaen"/>
              </w:rPr>
            </w:pPr>
            <w:r w:rsidRPr="00E20294">
              <w:rPr>
                <w:rStyle w:val="Bodytext20"/>
                <w:rFonts w:ascii="Sylfaen" w:eastAsiaTheme="minorHAnsi" w:hAnsi="Sylfaen"/>
                <w:sz w:val="22"/>
                <w:szCs w:val="22"/>
              </w:rPr>
              <w:t>Անհրաժեշտ է նշել հետ</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յալ տեղեկությունները՝ հետազոտվող պատրաստուկի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համեմատման պատրաստուկի անվանական դեղաչափը, ինչպես նա</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կենսահամարժեքության հետազոտությունում օգտագործված երկու պատրաստուկների մեջ ազդող նյութի փաստացի պարունակությունը՝ ըստ փորձարկումների արձանագրության (վերլուծության սերտիֆիկատի), հետազոտվող պատրաստուկի սերիայի ծավալը (անցկացված հետազոտության շրջանակներում)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դրա արդյունաբերական սերիայի ենթադրվող ծավալը:</w:t>
            </w:r>
          </w:p>
        </w:tc>
      </w:tr>
      <w:tr w:rsidR="004F5982" w:rsidRPr="00E20294" w14:paraId="3B73290E" w14:textId="77777777" w:rsidTr="00433295">
        <w:tc>
          <w:tcPr>
            <w:tcW w:w="10143" w:type="dxa"/>
            <w:gridSpan w:val="8"/>
            <w:shd w:val="clear" w:color="auto" w:fill="FFFFFF"/>
            <w:vAlign w:val="bottom"/>
          </w:tcPr>
          <w:p w14:paraId="0901E294"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Փորձագետի մեկնաբանությունը</w:t>
            </w:r>
          </w:p>
          <w:p w14:paraId="285E0F06"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Անհրաժեշտ է նշել, թե արդյոք պահանջվող տվյալները ներկայացված են, արդյոք հետազոտվող պատրաստուկը, ըստ բաղադրության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արտադրության մեթոդի, նույնական է գրանցման համար հայտագրվածին: </w:t>
            </w:r>
          </w:p>
        </w:tc>
      </w:tr>
      <w:tr w:rsidR="004F5982" w:rsidRPr="00E20294" w14:paraId="55C1F9F2" w14:textId="77777777" w:rsidTr="00433295">
        <w:tc>
          <w:tcPr>
            <w:tcW w:w="10143" w:type="dxa"/>
            <w:gridSpan w:val="8"/>
            <w:shd w:val="clear" w:color="auto" w:fill="FFFFFF"/>
            <w:vAlign w:val="bottom"/>
          </w:tcPr>
          <w:p w14:paraId="4BFAC9B0"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Ուսումնասիրված պոպուլյացիաները</w:t>
            </w:r>
          </w:p>
          <w:p w14:paraId="6F184957"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lastRenderedPageBreak/>
              <w:t xml:space="preserve">Հարկավոր է նշել հետազոտությունում, ՖԿ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վիճակագրական վերլուծությունում ներառված, դուրս մնացած (պատճառի մանրամասն նկարագրությամբ) սուբյեկտների քանակը, ներկայացնել նրանց էթնիկ պատկանելիությունը, սեռը, տարիքը, առողջական վիճակը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այլն:</w:t>
            </w:r>
          </w:p>
          <w:p w14:paraId="11C277BC"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Փորձագետի մեկնաբանությունը</w:t>
            </w:r>
          </w:p>
          <w:p w14:paraId="6C7814C7"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Անհրաժեշտ է նշել, թե արդյոք սուբյեկտների ընտրությունը համապատասխանում է Միության վերարտադրված դեղապատրաստուկների հետազոտությունների կանոններին, արդյոք պահպանվել են ներառելու (չներառելու) չափորոշիչները, արդյոք ճիշտ է ընտրանքի չափի հաշվարկումը, գնահատել էթնիկ պատկանելիության, սեռի, տարիքի, առողջական վիճակի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այլնի ազդեցությունը: Գնահատե՛ք արձանագրության մեջ հայտնաբերված շեղումները (խախտումները): </w:t>
            </w:r>
          </w:p>
        </w:tc>
      </w:tr>
      <w:tr w:rsidR="004F5982" w:rsidRPr="00E20294" w14:paraId="20F227F7" w14:textId="77777777" w:rsidTr="00433295">
        <w:trPr>
          <w:trHeight w:val="3505"/>
        </w:trPr>
        <w:tc>
          <w:tcPr>
            <w:tcW w:w="10143" w:type="dxa"/>
            <w:gridSpan w:val="8"/>
            <w:shd w:val="clear" w:color="auto" w:fill="FFFFFF"/>
            <w:vAlign w:val="bottom"/>
          </w:tcPr>
          <w:p w14:paraId="0D9EA93C"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lastRenderedPageBreak/>
              <w:t>Վերլուծական մեթոդները</w:t>
            </w:r>
          </w:p>
          <w:p w14:paraId="1ACF20FD"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Օգտագործված վերլուծական մեթոդների մանրամասն նկարագրությունը՝ շեշտը դնելով մեթոդիկայի վալիդացման բնութագրի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վերլուծությունների կատարման որակի հսկողության վրա: Ներկայացրե՛ք կենսավերլուծական մեթոդիկայի վալիդացման մասով հաշվետվության փորձաքննության համար նշանակալի բոլոր տեղեկությունները՝ Միության վերարտադրված դեղապատրաստուկների հետազոտությունների կանոններին համապատասխան:</w:t>
            </w:r>
          </w:p>
          <w:p w14:paraId="17315A9C"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Փորձագետի մեկնաբանությունը</w:t>
            </w:r>
          </w:p>
          <w:p w14:paraId="5B6DDE33"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Նշե՛ք, թե արդյոք վերլուծական մեթոդն ընդունելի, վալիդացված է, արդյոք նմուշների հետ աշխատանքը գոհացուցիչ է: Գնահատե՛ք արձանագրության մեջ հայտնաբերված շեղումները (խախտումները):</w:t>
            </w:r>
          </w:p>
        </w:tc>
      </w:tr>
      <w:tr w:rsidR="004F5982" w:rsidRPr="00E20294" w14:paraId="594D3389" w14:textId="77777777" w:rsidTr="00433295">
        <w:tc>
          <w:tcPr>
            <w:tcW w:w="10143" w:type="dxa"/>
            <w:gridSpan w:val="8"/>
            <w:shd w:val="clear" w:color="auto" w:fill="FFFFFF"/>
            <w:vAlign w:val="bottom"/>
          </w:tcPr>
          <w:p w14:paraId="04F3F59E"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Դեղակինետիկ փոփոխականները</w:t>
            </w:r>
          </w:p>
          <w:p w14:paraId="1E225B6F"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Ընդհանրացրե՛ք դեղակինետիկ պարամետրերը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դրանց հաշվարկման մեթոդները (ոչ</w:t>
            </w:r>
            <w:r>
              <w:rPr>
                <w:rStyle w:val="Bodytext20"/>
                <w:rFonts w:ascii="Sylfaen" w:eastAsiaTheme="minorHAnsi" w:hAnsi="Sylfaen"/>
                <w:sz w:val="22"/>
                <w:szCs w:val="22"/>
              </w:rPr>
              <w:t> </w:t>
            </w:r>
            <w:r w:rsidRPr="00E20294">
              <w:rPr>
                <w:rStyle w:val="Bodytext20"/>
                <w:rFonts w:ascii="Sylfaen" w:eastAsiaTheme="minorHAnsi" w:hAnsi="Sylfaen"/>
                <w:sz w:val="22"/>
                <w:szCs w:val="22"/>
              </w:rPr>
              <w:t xml:space="preserve">մոդելային (մոդելային), ծրագրային ապահովում՝ ՖԿ վերլուծության համար: Առաջնային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երկրորդային վերջնակետերի ընտրություն):</w:t>
            </w:r>
          </w:p>
          <w:p w14:paraId="271A6B2C"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Փորձագետի մեկնաբանությունը</w:t>
            </w:r>
          </w:p>
          <w:p w14:paraId="3B8E3327"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 xml:space="preserve">Գնահատե՛ք դեղակինետիկ պարամետրերի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դրանց հաշվարկման մեթոդների ճշտությունը: </w:t>
            </w:r>
          </w:p>
        </w:tc>
      </w:tr>
      <w:tr w:rsidR="004F5982" w:rsidRPr="00E20294" w14:paraId="5F5C97FB" w14:textId="77777777" w:rsidTr="00433295">
        <w:tc>
          <w:tcPr>
            <w:tcW w:w="10143" w:type="dxa"/>
            <w:gridSpan w:val="8"/>
            <w:tcBorders>
              <w:bottom w:val="single" w:sz="4" w:space="0" w:color="auto"/>
            </w:tcBorders>
            <w:shd w:val="clear" w:color="auto" w:fill="FFFFFF"/>
            <w:vAlign w:val="bottom"/>
          </w:tcPr>
          <w:p w14:paraId="01BEFCD8"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Վիճակագրական մեթոդները</w:t>
            </w:r>
          </w:p>
          <w:p w14:paraId="16F6976E" w14:textId="77777777" w:rsidR="004F5982" w:rsidRPr="00E20294" w:rsidRDefault="004F5982" w:rsidP="00487007">
            <w:pPr>
              <w:spacing w:after="120" w:line="240" w:lineRule="auto"/>
              <w:ind w:left="142" w:right="116"/>
              <w:jc w:val="both"/>
              <w:rPr>
                <w:rStyle w:val="Bodytext20"/>
                <w:rFonts w:ascii="Sylfaen" w:eastAsiaTheme="minorHAnsi" w:hAnsi="Sylfaen"/>
                <w:sz w:val="22"/>
                <w:szCs w:val="22"/>
              </w:rPr>
            </w:pPr>
            <w:r w:rsidRPr="00E20294">
              <w:rPr>
                <w:rStyle w:val="Bodytext20"/>
                <w:rFonts w:ascii="Sylfaen" w:eastAsiaTheme="minorHAnsi" w:hAnsi="Sylfaen"/>
                <w:sz w:val="22"/>
                <w:szCs w:val="22"/>
              </w:rPr>
              <w:t xml:space="preserve">Վիճակագրական մեթոդների նկարագրությունը՝ ներառյալ ընդունելիության նախապես տրված չափորոշիչները: </w:t>
            </w:r>
          </w:p>
          <w:p w14:paraId="0D1C09D8"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Փորձագետի մեկնաբանությունը</w:t>
            </w:r>
          </w:p>
          <w:p w14:paraId="07B25467"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Գնահատե՛ք ընտրված վիճակագրությունների ճշտությունը, մեթոդների (փոխակերպումների, պարամետրային թեստերի, բացակայող արժեքների հետ աշխատանքի, արտանետումների, կենսահամարժեքության վերաբերյալ եզրակացության հիմքի, արձանագրության մեջ հայտնաբերված շեղումների (խախտումների), ընդունելիության չափորոշիչների ընդլայնման հիմնավորվածության) ընդունելիությունը:</w:t>
            </w:r>
          </w:p>
        </w:tc>
      </w:tr>
      <w:tr w:rsidR="004F5982" w:rsidRPr="00E20294" w14:paraId="623D07F7" w14:textId="77777777" w:rsidTr="00433295">
        <w:tc>
          <w:tcPr>
            <w:tcW w:w="10143" w:type="dxa"/>
            <w:gridSpan w:val="8"/>
            <w:tcBorders>
              <w:bottom w:val="nil"/>
            </w:tcBorders>
            <w:shd w:val="clear" w:color="auto" w:fill="FFFFFF"/>
          </w:tcPr>
          <w:p w14:paraId="7E3F6A98" w14:textId="77777777" w:rsidR="004F5982" w:rsidRPr="00E20294" w:rsidRDefault="004F5982" w:rsidP="00487007">
            <w:pPr>
              <w:spacing w:after="120" w:line="240" w:lineRule="auto"/>
              <w:ind w:left="142" w:right="116"/>
              <w:jc w:val="both"/>
              <w:rPr>
                <w:rFonts w:ascii="Sylfaen" w:hAnsi="Sylfaen"/>
              </w:rPr>
            </w:pPr>
            <w:r w:rsidRPr="00E20294">
              <w:rPr>
                <w:rStyle w:val="Bodytext20"/>
                <w:rFonts w:ascii="Sylfaen" w:eastAsiaTheme="minorHAnsi" w:hAnsi="Sylfaen"/>
                <w:sz w:val="22"/>
                <w:szCs w:val="22"/>
              </w:rPr>
              <w:t>Արդյունքները</w:t>
            </w:r>
          </w:p>
          <w:p w14:paraId="61E9576E" w14:textId="5966F4FA" w:rsidR="004F5982" w:rsidRDefault="004F5982" w:rsidP="00487007">
            <w:pPr>
              <w:spacing w:after="120" w:line="240" w:lineRule="auto"/>
              <w:ind w:left="142" w:right="116"/>
              <w:jc w:val="both"/>
              <w:rPr>
                <w:rStyle w:val="Bodytext20"/>
                <w:rFonts w:ascii="Sylfaen" w:eastAsiaTheme="minorHAnsi" w:hAnsi="Sylfaen"/>
                <w:sz w:val="22"/>
                <w:szCs w:val="22"/>
              </w:rPr>
            </w:pPr>
            <w:r w:rsidRPr="00E20294">
              <w:rPr>
                <w:rStyle w:val="Bodytext20"/>
                <w:rFonts w:ascii="Sylfaen" w:eastAsiaTheme="minorHAnsi" w:hAnsi="Sylfaen"/>
                <w:sz w:val="22"/>
                <w:szCs w:val="22"/>
              </w:rPr>
              <w:t xml:space="preserve">Ընդհանրացրե՛ք կենսահամարժեքության գնահատման համար համապատասխան տվյալները </w:t>
            </w:r>
            <w:r w:rsidRPr="00E20294">
              <w:rPr>
                <w:rStyle w:val="Bodytext20"/>
                <w:rFonts w:ascii="Sylfaen" w:eastAsiaTheme="minorHAnsi" w:hAnsi="Sylfaen"/>
                <w:sz w:val="22"/>
                <w:szCs w:val="22"/>
              </w:rPr>
              <w:lastRenderedPageBreak/>
              <w:t>ստոր</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ներկայացված աղյուսակներում, սակայն կլինիկական հետազոտության հաշվետվությունից մի՛ պատճենեք մանրամասն վիճակագրական հաշվարկները: </w:t>
            </w:r>
          </w:p>
          <w:p w14:paraId="4FCC0DDF" w14:textId="77777777" w:rsidR="004F5982" w:rsidRPr="00E20294" w:rsidRDefault="004F5982" w:rsidP="00487007">
            <w:pPr>
              <w:spacing w:after="120" w:line="240" w:lineRule="auto"/>
              <w:ind w:left="142" w:right="116"/>
              <w:jc w:val="both"/>
              <w:rPr>
                <w:rFonts w:ascii="Sylfaen" w:hAnsi="Sylfaen"/>
              </w:rPr>
            </w:pPr>
          </w:p>
        </w:tc>
      </w:tr>
      <w:tr w:rsidR="004F5982" w:rsidRPr="00E20294" w14:paraId="4DE9A647" w14:textId="77777777" w:rsidTr="00433295">
        <w:tc>
          <w:tcPr>
            <w:tcW w:w="10143" w:type="dxa"/>
            <w:gridSpan w:val="8"/>
            <w:tcBorders>
              <w:top w:val="nil"/>
            </w:tcBorders>
            <w:shd w:val="clear" w:color="auto" w:fill="FFFFFF"/>
            <w:vAlign w:val="bottom"/>
          </w:tcPr>
          <w:p w14:paraId="5A677468" w14:textId="60F88E48" w:rsidR="004F5982" w:rsidRPr="00E20294" w:rsidRDefault="008D08B9" w:rsidP="008D08B9">
            <w:pPr>
              <w:spacing w:after="120" w:line="240" w:lineRule="auto"/>
              <w:ind w:right="1638"/>
              <w:jc w:val="both"/>
              <w:rPr>
                <w:rFonts w:ascii="Sylfaen" w:hAnsi="Sylfaen"/>
              </w:rPr>
            </w:pPr>
            <w:r w:rsidRPr="008D08B9">
              <w:rPr>
                <w:rStyle w:val="Bodytext20"/>
                <w:rFonts w:ascii="Sylfaen" w:eastAsiaTheme="minorHAnsi" w:hAnsi="Sylfaen"/>
                <w:sz w:val="22"/>
                <w:szCs w:val="22"/>
              </w:rPr>
              <w:lastRenderedPageBreak/>
              <w:t xml:space="preserve">    </w:t>
            </w:r>
            <w:r w:rsidR="004F5982" w:rsidRPr="00E20294">
              <w:rPr>
                <w:rStyle w:val="Bodytext20"/>
                <w:rFonts w:ascii="Sylfaen" w:eastAsiaTheme="minorHAnsi" w:hAnsi="Sylfaen"/>
                <w:sz w:val="22"/>
                <w:szCs w:val="22"/>
              </w:rPr>
              <w:t xml:space="preserve">Աղյուսակ X. [նշել կենսանմուշը] դեղակինետիկ պարամետրերը (չփոխակերպված արժեքները) </w:t>
            </w:r>
          </w:p>
        </w:tc>
      </w:tr>
      <w:tr w:rsidR="004F5982" w:rsidRPr="00E20294" w14:paraId="543C4776" w14:textId="77777777" w:rsidTr="00433295">
        <w:tc>
          <w:tcPr>
            <w:tcW w:w="2362" w:type="dxa"/>
            <w:vMerge w:val="restart"/>
            <w:shd w:val="clear" w:color="auto" w:fill="FFFFFF"/>
            <w:vAlign w:val="center"/>
          </w:tcPr>
          <w:p w14:paraId="179CCC3C" w14:textId="77777777" w:rsidR="004F5982" w:rsidRPr="00E20294" w:rsidRDefault="004F5982" w:rsidP="00487007">
            <w:pPr>
              <w:spacing w:after="120" w:line="240" w:lineRule="auto"/>
              <w:ind w:left="142"/>
              <w:jc w:val="both"/>
              <w:rPr>
                <w:rFonts w:ascii="Sylfaen" w:hAnsi="Sylfaen"/>
              </w:rPr>
            </w:pPr>
            <w:r w:rsidRPr="00E20294">
              <w:rPr>
                <w:rStyle w:val="Bodytext20"/>
                <w:rFonts w:ascii="Sylfaen" w:eastAsiaTheme="minorHAnsi" w:hAnsi="Sylfaen"/>
                <w:sz w:val="22"/>
                <w:szCs w:val="22"/>
              </w:rPr>
              <w:t>Դեղակինետիկ պարամետրը</w:t>
            </w:r>
          </w:p>
        </w:tc>
        <w:tc>
          <w:tcPr>
            <w:tcW w:w="3891" w:type="dxa"/>
            <w:gridSpan w:val="3"/>
            <w:shd w:val="clear" w:color="auto" w:fill="FFFFFF"/>
            <w:vAlign w:val="bottom"/>
          </w:tcPr>
          <w:p w14:paraId="7553D67C" w14:textId="77777777" w:rsidR="004F5982" w:rsidRPr="00E20294" w:rsidRDefault="004F5982" w:rsidP="00487007">
            <w:pPr>
              <w:spacing w:after="120" w:line="240" w:lineRule="auto"/>
              <w:ind w:left="190"/>
              <w:jc w:val="both"/>
              <w:rPr>
                <w:rFonts w:ascii="Sylfaen" w:hAnsi="Sylfaen"/>
              </w:rPr>
            </w:pPr>
            <w:r w:rsidRPr="00E20294">
              <w:rPr>
                <w:rStyle w:val="Bodytext20"/>
                <w:rFonts w:ascii="Sylfaen" w:eastAsiaTheme="minorHAnsi" w:hAnsi="Sylfaen"/>
                <w:sz w:val="22"/>
                <w:szCs w:val="22"/>
              </w:rPr>
              <w:t>Հետազոտվող դեղապատրաստուկը</w:t>
            </w:r>
          </w:p>
        </w:tc>
        <w:tc>
          <w:tcPr>
            <w:tcW w:w="3890" w:type="dxa"/>
            <w:gridSpan w:val="4"/>
            <w:shd w:val="clear" w:color="auto" w:fill="FFFFFF"/>
            <w:vAlign w:val="bottom"/>
          </w:tcPr>
          <w:p w14:paraId="2C585832" w14:textId="77777777" w:rsidR="004F5982" w:rsidRPr="00E20294" w:rsidRDefault="004F5982" w:rsidP="00487007">
            <w:pPr>
              <w:spacing w:after="120" w:line="240" w:lineRule="auto"/>
              <w:ind w:left="49"/>
              <w:jc w:val="both"/>
              <w:rPr>
                <w:rFonts w:ascii="Sylfaen" w:hAnsi="Sylfaen"/>
              </w:rPr>
            </w:pPr>
            <w:r w:rsidRPr="00E20294">
              <w:rPr>
                <w:rStyle w:val="Bodytext20"/>
                <w:rFonts w:ascii="Sylfaen" w:eastAsiaTheme="minorHAnsi" w:hAnsi="Sylfaen"/>
                <w:sz w:val="22"/>
                <w:szCs w:val="22"/>
              </w:rPr>
              <w:t>Համեմատման դեղապատրաստուկը</w:t>
            </w:r>
          </w:p>
        </w:tc>
      </w:tr>
      <w:tr w:rsidR="004F5982" w:rsidRPr="00E20294" w14:paraId="73FF16BB" w14:textId="77777777" w:rsidTr="00433295">
        <w:tc>
          <w:tcPr>
            <w:tcW w:w="2362" w:type="dxa"/>
            <w:vMerge/>
            <w:shd w:val="clear" w:color="auto" w:fill="FFFFFF"/>
            <w:vAlign w:val="center"/>
          </w:tcPr>
          <w:p w14:paraId="278E56C8" w14:textId="77777777" w:rsidR="004F5982" w:rsidRPr="00E20294" w:rsidRDefault="004F5982" w:rsidP="00487007">
            <w:pPr>
              <w:spacing w:after="120" w:line="240" w:lineRule="auto"/>
              <w:jc w:val="both"/>
              <w:rPr>
                <w:rFonts w:ascii="Sylfaen" w:hAnsi="Sylfaen"/>
              </w:rPr>
            </w:pPr>
          </w:p>
        </w:tc>
        <w:tc>
          <w:tcPr>
            <w:tcW w:w="2266" w:type="dxa"/>
            <w:gridSpan w:val="2"/>
            <w:shd w:val="clear" w:color="auto" w:fill="FFFFFF"/>
            <w:vAlign w:val="bottom"/>
          </w:tcPr>
          <w:p w14:paraId="1AA3F320"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&lt;թվաբանական&gt;</w:t>
            </w:r>
            <w:r w:rsidRPr="00E20294">
              <w:rPr>
                <w:rFonts w:ascii="Sylfaen" w:hAnsi="Sylfaen"/>
              </w:rPr>
              <w:t xml:space="preserve"> </w:t>
            </w:r>
            <w:r w:rsidRPr="00E20294">
              <w:rPr>
                <w:rStyle w:val="Bodytext20"/>
                <w:rFonts w:ascii="Sylfaen" w:eastAsiaTheme="minorHAnsi" w:hAnsi="Sylfaen"/>
                <w:sz w:val="22"/>
                <w:szCs w:val="22"/>
              </w:rPr>
              <w:t>&lt;երկրաչափական&gt;</w:t>
            </w:r>
            <w:r w:rsidRPr="00E20294">
              <w:rPr>
                <w:rFonts w:ascii="Sylfaen" w:hAnsi="Sylfaen"/>
              </w:rPr>
              <w:t xml:space="preserve"> </w:t>
            </w:r>
            <w:r w:rsidRPr="00E20294">
              <w:rPr>
                <w:rStyle w:val="Bodytext20"/>
                <w:rFonts w:ascii="Sylfaen" w:eastAsiaTheme="minorHAnsi" w:hAnsi="Sylfaen"/>
                <w:sz w:val="22"/>
                <w:szCs w:val="22"/>
              </w:rPr>
              <w:t>միջին</w:t>
            </w:r>
          </w:p>
        </w:tc>
        <w:tc>
          <w:tcPr>
            <w:tcW w:w="1625" w:type="dxa"/>
            <w:shd w:val="clear" w:color="auto" w:fill="FFFFFF"/>
          </w:tcPr>
          <w:p w14:paraId="1EB2DC82"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&lt;Շեղման աստիճանը&gt;</w:t>
            </w:r>
            <w:r w:rsidRPr="00E20294">
              <w:rPr>
                <w:rFonts w:ascii="Sylfaen" w:hAnsi="Sylfaen"/>
              </w:rPr>
              <w:t xml:space="preserve"> </w:t>
            </w:r>
            <w:r w:rsidRPr="00E20294">
              <w:rPr>
                <w:rStyle w:val="Bodytext20"/>
                <w:rFonts w:ascii="Sylfaen" w:eastAsiaTheme="minorHAnsi" w:hAnsi="Sylfaen"/>
                <w:sz w:val="22"/>
                <w:szCs w:val="22"/>
              </w:rPr>
              <w:t>&lt;СV%&gt;</w:t>
            </w:r>
          </w:p>
        </w:tc>
        <w:tc>
          <w:tcPr>
            <w:tcW w:w="2016" w:type="dxa"/>
            <w:gridSpan w:val="2"/>
            <w:shd w:val="clear" w:color="auto" w:fill="FFFFFF"/>
            <w:vAlign w:val="bottom"/>
          </w:tcPr>
          <w:p w14:paraId="4EC21E73"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&lt;թվաբանական&gt;</w:t>
            </w:r>
            <w:r w:rsidRPr="00E20294">
              <w:rPr>
                <w:rFonts w:ascii="Sylfaen" w:hAnsi="Sylfaen"/>
              </w:rPr>
              <w:t xml:space="preserve"> </w:t>
            </w:r>
            <w:r w:rsidRPr="00E20294">
              <w:rPr>
                <w:rStyle w:val="Bodytext20"/>
                <w:rFonts w:ascii="Sylfaen" w:eastAsiaTheme="minorHAnsi" w:hAnsi="Sylfaen"/>
                <w:sz w:val="22"/>
                <w:szCs w:val="22"/>
              </w:rPr>
              <w:t>&lt;երկրաչափական&gt;</w:t>
            </w:r>
            <w:r w:rsidRPr="00E20294">
              <w:rPr>
                <w:rFonts w:ascii="Sylfaen" w:hAnsi="Sylfaen"/>
              </w:rPr>
              <w:t xml:space="preserve"> </w:t>
            </w:r>
            <w:r w:rsidRPr="00E20294">
              <w:rPr>
                <w:rStyle w:val="Bodytext20"/>
                <w:rFonts w:ascii="Sylfaen" w:eastAsiaTheme="minorHAnsi" w:hAnsi="Sylfaen"/>
                <w:sz w:val="22"/>
                <w:szCs w:val="22"/>
              </w:rPr>
              <w:t>միջին</w:t>
            </w:r>
          </w:p>
        </w:tc>
        <w:tc>
          <w:tcPr>
            <w:tcW w:w="1874" w:type="dxa"/>
            <w:gridSpan w:val="2"/>
            <w:shd w:val="clear" w:color="auto" w:fill="FFFFFF"/>
          </w:tcPr>
          <w:p w14:paraId="0816F69A"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&lt;Շեղման աստիճանը&gt;</w:t>
            </w:r>
            <w:r w:rsidRPr="00E20294">
              <w:rPr>
                <w:rFonts w:ascii="Sylfaen" w:hAnsi="Sylfaen"/>
              </w:rPr>
              <w:t xml:space="preserve"> </w:t>
            </w:r>
            <w:r w:rsidRPr="00E20294">
              <w:rPr>
                <w:rStyle w:val="Bodytext20"/>
                <w:rFonts w:ascii="Sylfaen" w:eastAsiaTheme="minorHAnsi" w:hAnsi="Sylfaen"/>
                <w:sz w:val="22"/>
                <w:szCs w:val="22"/>
              </w:rPr>
              <w:t>&lt;СУ%&gt;</w:t>
            </w:r>
          </w:p>
        </w:tc>
      </w:tr>
      <w:tr w:rsidR="004F5982" w:rsidRPr="00E20294" w14:paraId="3536B427" w14:textId="77777777" w:rsidTr="008D08B9">
        <w:trPr>
          <w:trHeight w:val="569"/>
        </w:trPr>
        <w:tc>
          <w:tcPr>
            <w:tcW w:w="2362" w:type="dxa"/>
            <w:shd w:val="clear" w:color="auto" w:fill="FFFFFF"/>
            <w:vAlign w:val="bottom"/>
          </w:tcPr>
          <w:p w14:paraId="1C180B42" w14:textId="77777777" w:rsidR="004F5982" w:rsidRPr="00E20294" w:rsidRDefault="004F5982" w:rsidP="00487007">
            <w:pPr>
              <w:spacing w:after="120" w:line="240" w:lineRule="auto"/>
              <w:ind w:left="220"/>
              <w:jc w:val="both"/>
              <w:rPr>
                <w:rFonts w:ascii="Sylfaen" w:hAnsi="Sylfaen"/>
              </w:rPr>
            </w:pPr>
            <w:r w:rsidRPr="00E20294">
              <w:rPr>
                <w:rStyle w:val="Bodytext20"/>
                <w:rFonts w:ascii="Sylfaen" w:eastAsiaTheme="minorHAnsi" w:hAnsi="Sylfaen"/>
                <w:sz w:val="22"/>
                <w:szCs w:val="22"/>
              </w:rPr>
              <w:t>&lt;АUС</w:t>
            </w:r>
            <w:r w:rsidRPr="00E20294">
              <w:rPr>
                <w:rStyle w:val="Bodytext28pt"/>
                <w:rFonts w:ascii="Sylfaen" w:eastAsiaTheme="minorHAnsi" w:hAnsi="Sylfaen"/>
                <w:sz w:val="22"/>
                <w:szCs w:val="22"/>
              </w:rPr>
              <w:t>(</w:t>
            </w:r>
            <w:r w:rsidRPr="00E20294">
              <w:rPr>
                <w:rStyle w:val="Bodytext28pt"/>
                <w:rFonts w:ascii="Sylfaen" w:eastAsiaTheme="minorHAnsi" w:hAnsi="Sylfaen"/>
                <w:sz w:val="22"/>
                <w:szCs w:val="22"/>
                <w:vertAlign w:val="subscript"/>
              </w:rPr>
              <w:t>0-t)</w:t>
            </w:r>
            <w:r w:rsidRPr="00E20294">
              <w:rPr>
                <w:rStyle w:val="Bodytext20"/>
                <w:rFonts w:ascii="Sylfaen" w:eastAsiaTheme="minorHAnsi" w:hAnsi="Sylfaen"/>
                <w:sz w:val="22"/>
                <w:szCs w:val="22"/>
              </w:rPr>
              <w:t>&gt;</w:t>
            </w:r>
          </w:p>
          <w:p w14:paraId="61749840" w14:textId="77777777" w:rsidR="004F5982" w:rsidRPr="00E20294" w:rsidRDefault="004F5982" w:rsidP="00487007">
            <w:pPr>
              <w:spacing w:after="120" w:line="240" w:lineRule="auto"/>
              <w:ind w:left="220"/>
              <w:jc w:val="both"/>
              <w:rPr>
                <w:rFonts w:ascii="Sylfaen" w:hAnsi="Sylfaen"/>
              </w:rPr>
            </w:pPr>
            <w:r w:rsidRPr="00E20294">
              <w:rPr>
                <w:rStyle w:val="Bodytext20"/>
                <w:rFonts w:ascii="Sylfaen" w:eastAsiaTheme="minorHAnsi" w:hAnsi="Sylfaen"/>
                <w:sz w:val="22"/>
                <w:szCs w:val="22"/>
              </w:rPr>
              <w:t>&lt;АUС</w:t>
            </w:r>
            <w:r w:rsidRPr="00E20294">
              <w:rPr>
                <w:rStyle w:val="Bodytext20"/>
                <w:rFonts w:ascii="Sylfaen" w:eastAsiaTheme="minorHAnsi" w:hAnsi="Sylfaen"/>
                <w:sz w:val="22"/>
                <w:szCs w:val="22"/>
                <w:vertAlign w:val="subscript"/>
              </w:rPr>
              <w:t>(0-</w:t>
            </w:r>
            <w:r w:rsidRPr="00E20294">
              <w:rPr>
                <w:rStyle w:val="Bodytext28pt"/>
                <w:rFonts w:ascii="Sylfaen" w:eastAsiaTheme="minorHAnsi" w:hAnsi="Sylfaen"/>
                <w:sz w:val="22"/>
                <w:szCs w:val="22"/>
                <w:vertAlign w:val="subscript"/>
              </w:rPr>
              <w:t>72 ժ)</w:t>
            </w:r>
            <w:r w:rsidRPr="00E20294">
              <w:rPr>
                <w:rStyle w:val="Bodytext20"/>
                <w:rFonts w:ascii="Sylfaen" w:eastAsiaTheme="minorHAnsi" w:hAnsi="Sylfaen"/>
                <w:sz w:val="22"/>
                <w:szCs w:val="22"/>
              </w:rPr>
              <w:t>&gt;</w:t>
            </w:r>
          </w:p>
        </w:tc>
        <w:tc>
          <w:tcPr>
            <w:tcW w:w="2266" w:type="dxa"/>
            <w:gridSpan w:val="2"/>
            <w:shd w:val="clear" w:color="auto" w:fill="FFFFFF"/>
          </w:tcPr>
          <w:p w14:paraId="5101AEB5" w14:textId="77777777" w:rsidR="004F5982" w:rsidRPr="00E20294" w:rsidRDefault="004F5982" w:rsidP="00487007">
            <w:pPr>
              <w:spacing w:after="120" w:line="240" w:lineRule="auto"/>
              <w:jc w:val="both"/>
              <w:rPr>
                <w:rFonts w:ascii="Sylfaen" w:hAnsi="Sylfaen"/>
              </w:rPr>
            </w:pPr>
          </w:p>
        </w:tc>
        <w:tc>
          <w:tcPr>
            <w:tcW w:w="1625" w:type="dxa"/>
            <w:shd w:val="clear" w:color="auto" w:fill="FFFFFF"/>
          </w:tcPr>
          <w:p w14:paraId="48983F54" w14:textId="77777777" w:rsidR="004F5982" w:rsidRPr="00E20294" w:rsidRDefault="004F5982" w:rsidP="00487007">
            <w:pPr>
              <w:spacing w:after="120" w:line="240" w:lineRule="auto"/>
              <w:jc w:val="both"/>
              <w:rPr>
                <w:rFonts w:ascii="Sylfaen" w:hAnsi="Sylfaen"/>
              </w:rPr>
            </w:pPr>
          </w:p>
        </w:tc>
        <w:tc>
          <w:tcPr>
            <w:tcW w:w="2016" w:type="dxa"/>
            <w:gridSpan w:val="2"/>
            <w:shd w:val="clear" w:color="auto" w:fill="FFFFFF"/>
          </w:tcPr>
          <w:p w14:paraId="13C250BC" w14:textId="77777777" w:rsidR="004F5982" w:rsidRPr="00E20294" w:rsidRDefault="004F5982" w:rsidP="00487007">
            <w:pPr>
              <w:spacing w:after="120" w:line="240" w:lineRule="auto"/>
              <w:jc w:val="both"/>
              <w:rPr>
                <w:rFonts w:ascii="Sylfaen" w:hAnsi="Sylfaen"/>
              </w:rPr>
            </w:pPr>
          </w:p>
        </w:tc>
        <w:tc>
          <w:tcPr>
            <w:tcW w:w="1874" w:type="dxa"/>
            <w:gridSpan w:val="2"/>
            <w:shd w:val="clear" w:color="auto" w:fill="FFFFFF"/>
          </w:tcPr>
          <w:p w14:paraId="20A00042" w14:textId="77777777" w:rsidR="004F5982" w:rsidRPr="00E20294" w:rsidRDefault="004F5982" w:rsidP="00487007">
            <w:pPr>
              <w:spacing w:after="120" w:line="240" w:lineRule="auto"/>
              <w:jc w:val="both"/>
              <w:rPr>
                <w:rFonts w:ascii="Sylfaen" w:hAnsi="Sylfaen"/>
              </w:rPr>
            </w:pPr>
          </w:p>
        </w:tc>
      </w:tr>
      <w:tr w:rsidR="004F5982" w:rsidRPr="00E20294" w14:paraId="7C858DCD" w14:textId="77777777" w:rsidTr="00433295">
        <w:tc>
          <w:tcPr>
            <w:tcW w:w="2362" w:type="dxa"/>
            <w:shd w:val="clear" w:color="auto" w:fill="FFFFFF"/>
            <w:vAlign w:val="bottom"/>
          </w:tcPr>
          <w:p w14:paraId="0EA9FD49" w14:textId="77777777" w:rsidR="004F5982" w:rsidRPr="00E20294" w:rsidRDefault="004F5982" w:rsidP="00487007">
            <w:pPr>
              <w:spacing w:after="120" w:line="240" w:lineRule="auto"/>
              <w:ind w:left="220"/>
              <w:jc w:val="both"/>
              <w:rPr>
                <w:rFonts w:ascii="Sylfaen" w:hAnsi="Sylfaen"/>
              </w:rPr>
            </w:pPr>
            <w:r w:rsidRPr="00E20294">
              <w:rPr>
                <w:rStyle w:val="Bodytext20"/>
                <w:rFonts w:ascii="Sylfaen" w:eastAsiaTheme="minorHAnsi" w:hAnsi="Sylfaen"/>
                <w:sz w:val="22"/>
                <w:szCs w:val="22"/>
              </w:rPr>
              <w:t>АUС</w:t>
            </w:r>
            <w:r w:rsidRPr="00E20294">
              <w:rPr>
                <w:rStyle w:val="Bodytext28pt"/>
                <w:rFonts w:ascii="Sylfaen" w:eastAsiaTheme="minorHAnsi" w:hAnsi="Sylfaen"/>
                <w:sz w:val="22"/>
                <w:szCs w:val="22"/>
                <w:vertAlign w:val="subscript"/>
              </w:rPr>
              <w:t>(0-</w:t>
            </w:r>
            <w:r w:rsidRPr="00E20294">
              <w:rPr>
                <w:rFonts w:ascii="Sylfaen" w:hAnsi="Sylfaen"/>
                <w:vertAlign w:val="subscript"/>
              </w:rPr>
              <w:t>∞</w:t>
            </w:r>
            <w:r w:rsidRPr="00E20294">
              <w:rPr>
                <w:rStyle w:val="Bodytext28pt"/>
                <w:rFonts w:ascii="Sylfaen" w:eastAsiaTheme="minorHAnsi" w:hAnsi="Sylfaen"/>
                <w:sz w:val="22"/>
                <w:szCs w:val="22"/>
                <w:vertAlign w:val="subscript"/>
              </w:rPr>
              <w:t>)</w:t>
            </w:r>
          </w:p>
        </w:tc>
        <w:tc>
          <w:tcPr>
            <w:tcW w:w="2266" w:type="dxa"/>
            <w:gridSpan w:val="2"/>
            <w:shd w:val="clear" w:color="auto" w:fill="FFFFFF"/>
          </w:tcPr>
          <w:p w14:paraId="2A668714" w14:textId="77777777" w:rsidR="004F5982" w:rsidRPr="00E20294" w:rsidRDefault="004F5982" w:rsidP="00487007">
            <w:pPr>
              <w:spacing w:after="120" w:line="240" w:lineRule="auto"/>
              <w:jc w:val="both"/>
              <w:rPr>
                <w:rFonts w:ascii="Sylfaen" w:hAnsi="Sylfaen"/>
              </w:rPr>
            </w:pPr>
          </w:p>
        </w:tc>
        <w:tc>
          <w:tcPr>
            <w:tcW w:w="1625" w:type="dxa"/>
            <w:shd w:val="clear" w:color="auto" w:fill="FFFFFF"/>
          </w:tcPr>
          <w:p w14:paraId="3A58CE87" w14:textId="77777777" w:rsidR="004F5982" w:rsidRPr="00E20294" w:rsidRDefault="004F5982" w:rsidP="00487007">
            <w:pPr>
              <w:spacing w:after="120" w:line="240" w:lineRule="auto"/>
              <w:jc w:val="both"/>
              <w:rPr>
                <w:rFonts w:ascii="Sylfaen" w:hAnsi="Sylfaen"/>
              </w:rPr>
            </w:pPr>
          </w:p>
        </w:tc>
        <w:tc>
          <w:tcPr>
            <w:tcW w:w="2016" w:type="dxa"/>
            <w:gridSpan w:val="2"/>
            <w:shd w:val="clear" w:color="auto" w:fill="FFFFFF"/>
          </w:tcPr>
          <w:p w14:paraId="7BF7D6B9" w14:textId="77777777" w:rsidR="004F5982" w:rsidRPr="00E20294" w:rsidRDefault="004F5982" w:rsidP="00487007">
            <w:pPr>
              <w:spacing w:after="120" w:line="240" w:lineRule="auto"/>
              <w:jc w:val="both"/>
              <w:rPr>
                <w:rFonts w:ascii="Sylfaen" w:hAnsi="Sylfaen"/>
              </w:rPr>
            </w:pPr>
          </w:p>
        </w:tc>
        <w:tc>
          <w:tcPr>
            <w:tcW w:w="1874" w:type="dxa"/>
            <w:gridSpan w:val="2"/>
            <w:shd w:val="clear" w:color="auto" w:fill="FFFFFF"/>
          </w:tcPr>
          <w:p w14:paraId="6DF5748F" w14:textId="77777777" w:rsidR="004F5982" w:rsidRPr="00E20294" w:rsidRDefault="004F5982" w:rsidP="00487007">
            <w:pPr>
              <w:spacing w:after="120" w:line="240" w:lineRule="auto"/>
              <w:jc w:val="both"/>
              <w:rPr>
                <w:rFonts w:ascii="Sylfaen" w:hAnsi="Sylfaen"/>
              </w:rPr>
            </w:pPr>
          </w:p>
        </w:tc>
      </w:tr>
      <w:tr w:rsidR="004F5982" w:rsidRPr="00E20294" w14:paraId="4A348F85" w14:textId="77777777" w:rsidTr="00433295">
        <w:tc>
          <w:tcPr>
            <w:tcW w:w="2362" w:type="dxa"/>
            <w:shd w:val="clear" w:color="auto" w:fill="FFFFFF"/>
            <w:vAlign w:val="bottom"/>
          </w:tcPr>
          <w:p w14:paraId="2A9DFB6B" w14:textId="77777777" w:rsidR="004F5982" w:rsidRPr="00E20294" w:rsidRDefault="004F5982" w:rsidP="00487007">
            <w:pPr>
              <w:spacing w:after="120" w:line="240" w:lineRule="auto"/>
              <w:ind w:left="220"/>
              <w:jc w:val="both"/>
              <w:rPr>
                <w:rFonts w:ascii="Sylfaen" w:hAnsi="Sylfaen"/>
              </w:rPr>
            </w:pPr>
            <w:r w:rsidRPr="00E20294">
              <w:rPr>
                <w:rStyle w:val="Bodytext20"/>
                <w:rFonts w:ascii="Sylfaen" w:eastAsiaTheme="minorHAnsi" w:hAnsi="Sylfaen"/>
                <w:sz w:val="22"/>
                <w:szCs w:val="22"/>
              </w:rPr>
              <w:t>С</w:t>
            </w:r>
            <w:r w:rsidRPr="00E20294">
              <w:rPr>
                <w:rStyle w:val="Bodytext20"/>
                <w:rFonts w:ascii="Sylfaen" w:eastAsiaTheme="minorHAnsi" w:hAnsi="Sylfaen"/>
                <w:sz w:val="22"/>
                <w:szCs w:val="22"/>
                <w:vertAlign w:val="subscript"/>
              </w:rPr>
              <w:t>m</w:t>
            </w:r>
            <w:r w:rsidRPr="00E20294">
              <w:rPr>
                <w:rStyle w:val="Bodytext28pt"/>
                <w:rFonts w:ascii="Sylfaen" w:eastAsiaTheme="minorHAnsi" w:hAnsi="Sylfaen"/>
                <w:sz w:val="22"/>
                <w:szCs w:val="22"/>
                <w:vertAlign w:val="subscript"/>
              </w:rPr>
              <w:t>ах</w:t>
            </w:r>
          </w:p>
        </w:tc>
        <w:tc>
          <w:tcPr>
            <w:tcW w:w="2266" w:type="dxa"/>
            <w:gridSpan w:val="2"/>
            <w:shd w:val="clear" w:color="auto" w:fill="FFFFFF"/>
          </w:tcPr>
          <w:p w14:paraId="09C2FAC9" w14:textId="77777777" w:rsidR="004F5982" w:rsidRPr="00E20294" w:rsidRDefault="004F5982" w:rsidP="00487007">
            <w:pPr>
              <w:spacing w:after="120" w:line="240" w:lineRule="auto"/>
              <w:jc w:val="both"/>
              <w:rPr>
                <w:rFonts w:ascii="Sylfaen" w:hAnsi="Sylfaen"/>
              </w:rPr>
            </w:pPr>
          </w:p>
        </w:tc>
        <w:tc>
          <w:tcPr>
            <w:tcW w:w="1625" w:type="dxa"/>
            <w:shd w:val="clear" w:color="auto" w:fill="FFFFFF"/>
          </w:tcPr>
          <w:p w14:paraId="181BAC5E" w14:textId="77777777" w:rsidR="004F5982" w:rsidRPr="00E20294" w:rsidRDefault="004F5982" w:rsidP="00487007">
            <w:pPr>
              <w:spacing w:after="120" w:line="240" w:lineRule="auto"/>
              <w:jc w:val="both"/>
              <w:rPr>
                <w:rFonts w:ascii="Sylfaen" w:hAnsi="Sylfaen"/>
              </w:rPr>
            </w:pPr>
          </w:p>
        </w:tc>
        <w:tc>
          <w:tcPr>
            <w:tcW w:w="2016" w:type="dxa"/>
            <w:gridSpan w:val="2"/>
            <w:shd w:val="clear" w:color="auto" w:fill="FFFFFF"/>
          </w:tcPr>
          <w:p w14:paraId="78B0403A" w14:textId="77777777" w:rsidR="004F5982" w:rsidRPr="00E20294" w:rsidRDefault="004F5982" w:rsidP="00487007">
            <w:pPr>
              <w:spacing w:after="120" w:line="240" w:lineRule="auto"/>
              <w:jc w:val="both"/>
              <w:rPr>
                <w:rFonts w:ascii="Sylfaen" w:hAnsi="Sylfaen"/>
              </w:rPr>
            </w:pPr>
          </w:p>
        </w:tc>
        <w:tc>
          <w:tcPr>
            <w:tcW w:w="1874" w:type="dxa"/>
            <w:gridSpan w:val="2"/>
            <w:shd w:val="clear" w:color="auto" w:fill="FFFFFF"/>
          </w:tcPr>
          <w:p w14:paraId="1C9CE61C" w14:textId="77777777" w:rsidR="004F5982" w:rsidRPr="00E20294" w:rsidRDefault="004F5982" w:rsidP="00487007">
            <w:pPr>
              <w:spacing w:after="120" w:line="240" w:lineRule="auto"/>
              <w:jc w:val="both"/>
              <w:rPr>
                <w:rFonts w:ascii="Sylfaen" w:hAnsi="Sylfaen"/>
              </w:rPr>
            </w:pPr>
          </w:p>
        </w:tc>
      </w:tr>
      <w:tr w:rsidR="004F5982" w:rsidRPr="00E20294" w14:paraId="1790C78A" w14:textId="77777777" w:rsidTr="00433295">
        <w:tc>
          <w:tcPr>
            <w:tcW w:w="10143" w:type="dxa"/>
            <w:gridSpan w:val="8"/>
            <w:shd w:val="clear" w:color="auto" w:fill="FFFFFF"/>
            <w:vAlign w:val="bottom"/>
          </w:tcPr>
          <w:p w14:paraId="5D72C8DE" w14:textId="77777777" w:rsidR="004F5982" w:rsidRPr="00E20294" w:rsidRDefault="004F5982" w:rsidP="00487007">
            <w:pPr>
              <w:spacing w:after="120" w:line="240" w:lineRule="auto"/>
              <w:ind w:left="200"/>
              <w:jc w:val="both"/>
              <w:rPr>
                <w:rFonts w:ascii="Sylfaen" w:hAnsi="Sylfaen"/>
              </w:rPr>
            </w:pPr>
            <w:r w:rsidRPr="00E20294">
              <w:rPr>
                <w:rStyle w:val="Bodytext20"/>
                <w:rFonts w:ascii="Sylfaen" w:eastAsiaTheme="minorHAnsi" w:hAnsi="Sylfaen"/>
                <w:sz w:val="22"/>
                <w:szCs w:val="22"/>
              </w:rPr>
              <w:t>t</w:t>
            </w:r>
            <w:r w:rsidRPr="00E20294">
              <w:rPr>
                <w:rStyle w:val="Bodytext20"/>
                <w:rFonts w:ascii="Sylfaen" w:eastAsiaTheme="minorHAnsi" w:hAnsi="Sylfaen"/>
                <w:sz w:val="22"/>
                <w:szCs w:val="22"/>
                <w:vertAlign w:val="subscript"/>
              </w:rPr>
              <w:t>max</w:t>
            </w:r>
            <w:r w:rsidRPr="00E20294">
              <w:rPr>
                <w:rStyle w:val="Bodytext20"/>
                <w:rFonts w:ascii="Sylfaen" w:eastAsiaTheme="minorHAnsi" w:hAnsi="Sylfaen"/>
                <w:sz w:val="22"/>
                <w:szCs w:val="22"/>
              </w:rPr>
              <w:t xml:space="preserve"> *</w:t>
            </w:r>
          </w:p>
        </w:tc>
      </w:tr>
      <w:tr w:rsidR="004F5982" w:rsidRPr="00E20294" w14:paraId="104F7C9E" w14:textId="77777777" w:rsidTr="008D08B9">
        <w:trPr>
          <w:trHeight w:val="1746"/>
        </w:trPr>
        <w:tc>
          <w:tcPr>
            <w:tcW w:w="10143" w:type="dxa"/>
            <w:gridSpan w:val="8"/>
            <w:shd w:val="clear" w:color="auto" w:fill="FFFFFF"/>
            <w:vAlign w:val="bottom"/>
          </w:tcPr>
          <w:p w14:paraId="2843B946" w14:textId="77777777" w:rsidR="004F5982" w:rsidRPr="00E20294" w:rsidRDefault="004F5982" w:rsidP="008D08B9">
            <w:pPr>
              <w:spacing w:after="120" w:line="240" w:lineRule="auto"/>
              <w:ind w:left="200"/>
              <w:jc w:val="both"/>
              <w:rPr>
                <w:rFonts w:ascii="Sylfaen" w:hAnsi="Sylfaen"/>
              </w:rPr>
            </w:pPr>
            <w:r w:rsidRPr="00E20294">
              <w:rPr>
                <w:rStyle w:val="Bodytext20"/>
                <w:rFonts w:ascii="Sylfaen" w:eastAsiaTheme="minorHAnsi" w:hAnsi="Sylfaen"/>
                <w:sz w:val="22"/>
                <w:szCs w:val="22"/>
              </w:rPr>
              <w:t>&lt;АUС</w:t>
            </w:r>
            <w:r w:rsidRPr="00E20294">
              <w:rPr>
                <w:rStyle w:val="Bodytext20"/>
                <w:rFonts w:ascii="Sylfaen" w:eastAsiaTheme="minorHAnsi" w:hAnsi="Sylfaen"/>
                <w:sz w:val="22"/>
                <w:szCs w:val="22"/>
                <w:vertAlign w:val="subscript"/>
              </w:rPr>
              <w:t>(0</w:t>
            </w:r>
            <w:r w:rsidRPr="00E20294">
              <w:rPr>
                <w:rStyle w:val="Bodytext28pt"/>
                <w:rFonts w:ascii="Sylfaen" w:eastAsiaTheme="minorHAnsi" w:hAnsi="Sylfaen"/>
                <w:sz w:val="22"/>
                <w:szCs w:val="22"/>
                <w:vertAlign w:val="subscript"/>
              </w:rPr>
              <w:t xml:space="preserve">—t) </w:t>
            </w:r>
            <w:r w:rsidRPr="00E20294">
              <w:rPr>
                <w:rStyle w:val="Bodytext20"/>
                <w:rFonts w:ascii="Sylfaen" w:eastAsiaTheme="minorHAnsi" w:hAnsi="Sylfaen"/>
                <w:sz w:val="22"/>
                <w:szCs w:val="22"/>
              </w:rPr>
              <w:t>«խտություն — ժամանակ՝ զրոյից մինչ</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t» կորի տակ ընկած մակերեսը&gt;</w:t>
            </w:r>
          </w:p>
          <w:p w14:paraId="4927787D" w14:textId="77777777" w:rsidR="004F5982" w:rsidRPr="00E20294" w:rsidRDefault="004F5982" w:rsidP="008D08B9">
            <w:pPr>
              <w:spacing w:after="120" w:line="240" w:lineRule="auto"/>
              <w:ind w:left="200"/>
              <w:jc w:val="both"/>
              <w:rPr>
                <w:rStyle w:val="Bodytext20"/>
                <w:rFonts w:ascii="Sylfaen" w:eastAsiaTheme="minorHAnsi" w:hAnsi="Sylfaen"/>
                <w:sz w:val="22"/>
                <w:szCs w:val="22"/>
              </w:rPr>
            </w:pPr>
            <w:r w:rsidRPr="00E20294">
              <w:rPr>
                <w:rStyle w:val="Bodytext20"/>
                <w:rFonts w:ascii="Sylfaen" w:eastAsiaTheme="minorHAnsi" w:hAnsi="Sylfaen"/>
                <w:sz w:val="22"/>
                <w:szCs w:val="22"/>
              </w:rPr>
              <w:t>&lt;AUC</w:t>
            </w:r>
            <w:r w:rsidRPr="00E20294">
              <w:rPr>
                <w:rStyle w:val="Bodytext20"/>
                <w:rFonts w:ascii="Sylfaen" w:eastAsiaTheme="minorHAnsi" w:hAnsi="Sylfaen"/>
                <w:sz w:val="22"/>
                <w:szCs w:val="22"/>
                <w:vertAlign w:val="subscript"/>
              </w:rPr>
              <w:t>(0-</w:t>
            </w:r>
            <w:r w:rsidRPr="00E20294">
              <w:rPr>
                <w:rStyle w:val="Bodytext28pt"/>
                <w:rFonts w:ascii="Sylfaen" w:eastAsiaTheme="minorHAnsi" w:hAnsi="Sylfaen"/>
                <w:sz w:val="22"/>
                <w:szCs w:val="22"/>
                <w:vertAlign w:val="subscript"/>
              </w:rPr>
              <w:t>72 ч</w:t>
            </w:r>
            <w:r w:rsidRPr="00E20294">
              <w:rPr>
                <w:rStyle w:val="Bodytext28pt"/>
                <w:rFonts w:ascii="Sylfaen" w:eastAsiaTheme="minorHAnsi" w:hAnsi="Sylfaen"/>
                <w:sz w:val="22"/>
                <w:szCs w:val="22"/>
              </w:rPr>
              <w:t xml:space="preserve">) </w:t>
            </w:r>
            <w:r w:rsidRPr="00E20294">
              <w:rPr>
                <w:rStyle w:val="Bodytext20"/>
                <w:rFonts w:ascii="Sylfaen" w:eastAsiaTheme="minorHAnsi" w:hAnsi="Sylfaen"/>
                <w:sz w:val="22"/>
                <w:szCs w:val="22"/>
              </w:rPr>
              <w:t>«խտություն — ժամանակ՝ զրոյից մինչ</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72 ժամ» կորի տակ ընկած մակերեսը&gt; </w:t>
            </w:r>
          </w:p>
          <w:p w14:paraId="0A4626E2" w14:textId="77777777" w:rsidR="004F5982" w:rsidRPr="00E20294" w:rsidRDefault="004F5982" w:rsidP="008D08B9">
            <w:pPr>
              <w:spacing w:after="120" w:line="240" w:lineRule="auto"/>
              <w:ind w:left="200"/>
              <w:jc w:val="both"/>
              <w:rPr>
                <w:rStyle w:val="Bodytext20"/>
                <w:rFonts w:ascii="Sylfaen" w:eastAsiaTheme="minorHAnsi" w:hAnsi="Sylfaen"/>
                <w:sz w:val="22"/>
                <w:szCs w:val="22"/>
              </w:rPr>
            </w:pPr>
            <w:r w:rsidRPr="00E20294">
              <w:rPr>
                <w:rStyle w:val="Bodytext20"/>
                <w:rFonts w:ascii="Sylfaen" w:eastAsiaTheme="minorHAnsi" w:hAnsi="Sylfaen"/>
                <w:sz w:val="22"/>
                <w:szCs w:val="22"/>
              </w:rPr>
              <w:t>АUС</w:t>
            </w:r>
            <w:r w:rsidRPr="00E20294">
              <w:rPr>
                <w:rStyle w:val="Bodytext20"/>
                <w:rFonts w:ascii="Sylfaen" w:eastAsiaTheme="minorHAnsi" w:hAnsi="Sylfaen"/>
                <w:sz w:val="22"/>
                <w:szCs w:val="22"/>
                <w:vertAlign w:val="subscript"/>
              </w:rPr>
              <w:t>(0</w:t>
            </w:r>
            <w:r w:rsidRPr="00E20294">
              <w:rPr>
                <w:rStyle w:val="Bodytext28pt"/>
                <w:rFonts w:ascii="Sylfaen" w:eastAsiaTheme="minorHAnsi" w:hAnsi="Sylfaen"/>
                <w:sz w:val="22"/>
                <w:szCs w:val="22"/>
                <w:vertAlign w:val="subscript"/>
              </w:rPr>
              <w:t>-</w:t>
            </w:r>
            <w:r w:rsidRPr="00E20294">
              <w:rPr>
                <w:rFonts w:ascii="Sylfaen" w:hAnsi="Sylfaen"/>
                <w:vertAlign w:val="subscript"/>
              </w:rPr>
              <w:t xml:space="preserve">∞) </w:t>
            </w:r>
            <w:r w:rsidRPr="00E20294">
              <w:rPr>
                <w:rStyle w:val="Bodytext20"/>
                <w:rFonts w:ascii="Sylfaen" w:eastAsiaTheme="minorHAnsi" w:hAnsi="Sylfaen"/>
                <w:sz w:val="22"/>
                <w:szCs w:val="22"/>
              </w:rPr>
              <w:t>«խտություն — ժամանակ՝ զրոյից մինչ</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անվերջություն» կորի տակ ընկած մակերեսը&gt; </w:t>
            </w:r>
          </w:p>
          <w:p w14:paraId="404E6CEA" w14:textId="77777777" w:rsidR="004F5982" w:rsidRPr="00E20294" w:rsidRDefault="004F5982" w:rsidP="008D08B9">
            <w:pPr>
              <w:spacing w:after="120" w:line="240" w:lineRule="auto"/>
              <w:ind w:left="200"/>
              <w:jc w:val="both"/>
              <w:rPr>
                <w:rFonts w:ascii="Sylfaen" w:hAnsi="Sylfaen"/>
              </w:rPr>
            </w:pPr>
            <w:r w:rsidRPr="00E20294">
              <w:rPr>
                <w:rStyle w:val="Bodytext20"/>
                <w:rFonts w:ascii="Sylfaen" w:eastAsiaTheme="minorHAnsi" w:hAnsi="Sylfaen"/>
                <w:sz w:val="22"/>
                <w:szCs w:val="22"/>
              </w:rPr>
              <w:t>С</w:t>
            </w:r>
            <w:r w:rsidRPr="00E20294">
              <w:rPr>
                <w:rStyle w:val="Bodytext20"/>
                <w:rFonts w:ascii="Sylfaen" w:eastAsiaTheme="minorHAnsi" w:hAnsi="Sylfaen"/>
                <w:sz w:val="22"/>
                <w:szCs w:val="22"/>
                <w:vertAlign w:val="subscript"/>
              </w:rPr>
              <w:t>m</w:t>
            </w:r>
            <w:r w:rsidRPr="00E20294">
              <w:rPr>
                <w:rStyle w:val="Bodytext28pt"/>
                <w:rFonts w:ascii="Sylfaen" w:eastAsiaTheme="minorHAnsi" w:hAnsi="Sylfaen"/>
                <w:sz w:val="22"/>
                <w:szCs w:val="22"/>
                <w:vertAlign w:val="subscript"/>
              </w:rPr>
              <w:t xml:space="preserve">ах </w:t>
            </w:r>
            <w:r w:rsidRPr="00E20294">
              <w:rPr>
                <w:rStyle w:val="Bodytext20"/>
                <w:rFonts w:ascii="Sylfaen" w:eastAsiaTheme="minorHAnsi" w:hAnsi="Sylfaen"/>
                <w:sz w:val="22"/>
                <w:szCs w:val="22"/>
              </w:rPr>
              <w:t>առավելագույն պլազմային խտությունը</w:t>
            </w:r>
          </w:p>
          <w:p w14:paraId="1BB52B6C" w14:textId="77777777" w:rsidR="004F5982" w:rsidRPr="00E20294" w:rsidRDefault="004F5982" w:rsidP="008D08B9">
            <w:pPr>
              <w:spacing w:after="120" w:line="240" w:lineRule="auto"/>
              <w:ind w:left="200"/>
              <w:jc w:val="both"/>
              <w:rPr>
                <w:rFonts w:ascii="Sylfaen" w:hAnsi="Sylfaen"/>
              </w:rPr>
            </w:pPr>
            <w:r w:rsidRPr="00E20294">
              <w:rPr>
                <w:rStyle w:val="Bodytext20"/>
                <w:rFonts w:ascii="Sylfaen" w:eastAsiaTheme="minorHAnsi" w:hAnsi="Sylfaen"/>
                <w:sz w:val="22"/>
                <w:szCs w:val="22"/>
              </w:rPr>
              <w:t>Т</w:t>
            </w:r>
            <w:r w:rsidRPr="00E20294">
              <w:rPr>
                <w:rStyle w:val="Bodytext20"/>
                <w:rFonts w:ascii="Sylfaen" w:eastAsiaTheme="minorHAnsi" w:hAnsi="Sylfaen"/>
                <w:sz w:val="22"/>
                <w:szCs w:val="22"/>
                <w:vertAlign w:val="subscript"/>
              </w:rPr>
              <w:t>m</w:t>
            </w:r>
            <w:r w:rsidRPr="00E20294">
              <w:rPr>
                <w:rStyle w:val="Bodytext28pt"/>
                <w:rFonts w:ascii="Sylfaen" w:eastAsiaTheme="minorHAnsi" w:hAnsi="Sylfaen"/>
                <w:sz w:val="22"/>
                <w:szCs w:val="22"/>
                <w:vertAlign w:val="subscript"/>
              </w:rPr>
              <w:t xml:space="preserve">ах </w:t>
            </w:r>
            <w:r w:rsidRPr="00E20294">
              <w:rPr>
                <w:rStyle w:val="Bodytext20"/>
                <w:rFonts w:ascii="Sylfaen" w:eastAsiaTheme="minorHAnsi" w:hAnsi="Sylfaen"/>
                <w:sz w:val="22"/>
                <w:szCs w:val="22"/>
              </w:rPr>
              <w:t>առավելագույն խտությանը հասնելու ժամանակը (*-միջնաթիվ, բացվածք)</w:t>
            </w:r>
          </w:p>
        </w:tc>
      </w:tr>
      <w:tr w:rsidR="004F5982" w:rsidRPr="00E20294" w14:paraId="611AA235" w14:textId="77777777" w:rsidTr="00433295">
        <w:tc>
          <w:tcPr>
            <w:tcW w:w="10143" w:type="dxa"/>
            <w:gridSpan w:val="8"/>
            <w:shd w:val="clear" w:color="auto" w:fill="FFFFFF"/>
            <w:vAlign w:val="bottom"/>
          </w:tcPr>
          <w:p w14:paraId="546C7D95" w14:textId="77777777" w:rsidR="004F5982" w:rsidRPr="00E20294" w:rsidRDefault="004F5982" w:rsidP="008D08B9">
            <w:pPr>
              <w:spacing w:after="120" w:line="240" w:lineRule="auto"/>
              <w:jc w:val="both"/>
              <w:rPr>
                <w:rFonts w:ascii="Sylfaen" w:hAnsi="Sylfaen"/>
              </w:rPr>
            </w:pPr>
            <w:r w:rsidRPr="00E20294">
              <w:rPr>
                <w:rStyle w:val="Bodytext20"/>
                <w:rFonts w:ascii="Sylfaen" w:eastAsiaTheme="minorHAnsi" w:hAnsi="Sylfaen"/>
                <w:sz w:val="22"/>
                <w:szCs w:val="22"/>
              </w:rPr>
              <w:t xml:space="preserve">Աղյուսակ X. [նշել կենսանմուշը] դեղակինետիկ պարամետրերը </w:t>
            </w:r>
            <w:r>
              <w:rPr>
                <w:rStyle w:val="Bodytext20"/>
                <w:rFonts w:ascii="Sylfaen" w:eastAsiaTheme="minorHAnsi" w:hAnsi="Sylfaen"/>
                <w:sz w:val="22"/>
                <w:szCs w:val="22"/>
              </w:rPr>
              <w:br/>
            </w:r>
            <w:r w:rsidRPr="00E20294">
              <w:rPr>
                <w:rStyle w:val="Bodytext20"/>
                <w:rFonts w:ascii="Sylfaen" w:eastAsiaTheme="minorHAnsi" w:hAnsi="Sylfaen"/>
                <w:sz w:val="22"/>
                <w:szCs w:val="22"/>
              </w:rPr>
              <w:t>(լոգարիթմի վերածված արժեքները)</w:t>
            </w:r>
          </w:p>
        </w:tc>
      </w:tr>
      <w:tr w:rsidR="004F5982" w:rsidRPr="00E20294" w14:paraId="4A530CA4" w14:textId="77777777" w:rsidTr="00433295">
        <w:tc>
          <w:tcPr>
            <w:tcW w:w="3053" w:type="dxa"/>
            <w:gridSpan w:val="2"/>
            <w:shd w:val="clear" w:color="auto" w:fill="FFFFFF"/>
            <w:vAlign w:val="center"/>
          </w:tcPr>
          <w:p w14:paraId="55CDA65E" w14:textId="77777777" w:rsidR="004F5982" w:rsidRPr="00E20294" w:rsidRDefault="004F5982" w:rsidP="008D08B9">
            <w:pPr>
              <w:spacing w:after="120" w:line="240" w:lineRule="auto"/>
              <w:ind w:left="200"/>
              <w:jc w:val="both"/>
              <w:rPr>
                <w:rFonts w:ascii="Sylfaen" w:hAnsi="Sylfaen"/>
              </w:rPr>
            </w:pPr>
            <w:r w:rsidRPr="00E20294">
              <w:rPr>
                <w:rStyle w:val="Bodytext20"/>
                <w:rFonts w:ascii="Sylfaen" w:eastAsiaTheme="minorHAnsi" w:hAnsi="Sylfaen"/>
                <w:sz w:val="22"/>
                <w:szCs w:val="22"/>
              </w:rPr>
              <w:t>Դեղակինետիկ պարամետրը</w:t>
            </w:r>
          </w:p>
        </w:tc>
        <w:tc>
          <w:tcPr>
            <w:tcW w:w="3403" w:type="dxa"/>
            <w:gridSpan w:val="3"/>
            <w:shd w:val="clear" w:color="auto" w:fill="FFFFFF"/>
            <w:vAlign w:val="bottom"/>
          </w:tcPr>
          <w:p w14:paraId="4D743931" w14:textId="77777777" w:rsidR="004F5982" w:rsidRPr="00E20294" w:rsidRDefault="004F5982" w:rsidP="008D08B9">
            <w:pPr>
              <w:spacing w:after="120" w:line="240" w:lineRule="auto"/>
              <w:ind w:left="66"/>
              <w:jc w:val="both"/>
              <w:rPr>
                <w:rFonts w:ascii="Sylfaen" w:hAnsi="Sylfaen"/>
              </w:rPr>
            </w:pPr>
            <w:r w:rsidRPr="00E20294">
              <w:rPr>
                <w:rStyle w:val="Bodytext20"/>
                <w:rFonts w:ascii="Sylfaen" w:eastAsiaTheme="minorHAnsi" w:hAnsi="Sylfaen"/>
                <w:sz w:val="22"/>
                <w:szCs w:val="22"/>
              </w:rPr>
              <w:t xml:space="preserve">Հետազոտվող դեղապատրաստուկի </w:t>
            </w:r>
            <w:r w:rsidR="00C54D75">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համեմատման դեղապատրաստուկի երկրաչափական միջինների հարաբերակցությունը</w:t>
            </w:r>
          </w:p>
        </w:tc>
        <w:tc>
          <w:tcPr>
            <w:tcW w:w="1987" w:type="dxa"/>
            <w:gridSpan w:val="2"/>
            <w:shd w:val="clear" w:color="auto" w:fill="FFFFFF"/>
            <w:vAlign w:val="center"/>
          </w:tcPr>
          <w:p w14:paraId="7EC2ECDB" w14:textId="77777777" w:rsidR="004F5982" w:rsidRPr="00E20294" w:rsidRDefault="004F5982" w:rsidP="008D08B9">
            <w:pPr>
              <w:spacing w:after="120" w:line="240" w:lineRule="auto"/>
              <w:jc w:val="both"/>
              <w:rPr>
                <w:rFonts w:ascii="Sylfaen" w:hAnsi="Sylfaen"/>
              </w:rPr>
            </w:pPr>
            <w:r w:rsidRPr="00E20294">
              <w:rPr>
                <w:rStyle w:val="Bodytext20"/>
                <w:rFonts w:ascii="Sylfaen" w:eastAsiaTheme="minorHAnsi" w:hAnsi="Sylfaen"/>
                <w:sz w:val="22"/>
                <w:szCs w:val="22"/>
              </w:rPr>
              <w:t>Վստահելի միջակայքերը</w:t>
            </w:r>
          </w:p>
        </w:tc>
        <w:tc>
          <w:tcPr>
            <w:tcW w:w="1700" w:type="dxa"/>
            <w:shd w:val="clear" w:color="auto" w:fill="FFFFFF"/>
            <w:vAlign w:val="center"/>
          </w:tcPr>
          <w:p w14:paraId="17058885"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CV%*</w:t>
            </w:r>
          </w:p>
        </w:tc>
      </w:tr>
      <w:tr w:rsidR="004F5982" w:rsidRPr="00E20294" w14:paraId="08BBC325" w14:textId="77777777" w:rsidTr="00433295">
        <w:tc>
          <w:tcPr>
            <w:tcW w:w="3053" w:type="dxa"/>
            <w:gridSpan w:val="2"/>
            <w:shd w:val="clear" w:color="auto" w:fill="FFFFFF"/>
            <w:vAlign w:val="bottom"/>
          </w:tcPr>
          <w:p w14:paraId="6F18BD80" w14:textId="77777777" w:rsidR="004F5982" w:rsidRPr="00E20294" w:rsidRDefault="004F5982" w:rsidP="00487007">
            <w:pPr>
              <w:spacing w:after="120" w:line="240" w:lineRule="auto"/>
              <w:ind w:left="200"/>
              <w:jc w:val="both"/>
              <w:rPr>
                <w:rStyle w:val="Bodytext20"/>
                <w:rFonts w:ascii="Sylfaen" w:eastAsiaTheme="minorHAnsi" w:hAnsi="Sylfaen"/>
                <w:sz w:val="22"/>
                <w:szCs w:val="22"/>
                <w:vertAlign w:val="superscript"/>
              </w:rPr>
            </w:pPr>
            <w:r w:rsidRPr="00E20294">
              <w:rPr>
                <w:rStyle w:val="Bodytext20"/>
                <w:rFonts w:ascii="Sylfaen" w:eastAsiaTheme="minorHAnsi" w:hAnsi="Sylfaen"/>
                <w:sz w:val="22"/>
                <w:szCs w:val="22"/>
              </w:rPr>
              <w:t>&lt;AUC</w:t>
            </w:r>
            <w:r w:rsidRPr="00E20294">
              <w:rPr>
                <w:rStyle w:val="Bodytext28pt"/>
                <w:rFonts w:ascii="Sylfaen" w:eastAsiaTheme="minorHAnsi" w:hAnsi="Sylfaen"/>
                <w:sz w:val="22"/>
                <w:szCs w:val="22"/>
                <w:vertAlign w:val="subscript"/>
              </w:rPr>
              <w:t>(0-t)</w:t>
            </w:r>
            <w:r w:rsidRPr="00E20294">
              <w:rPr>
                <w:rStyle w:val="Bodytext20"/>
                <w:rFonts w:ascii="Sylfaen" w:eastAsiaTheme="minorHAnsi" w:hAnsi="Sylfaen"/>
                <w:sz w:val="22"/>
                <w:szCs w:val="22"/>
                <w:vertAlign w:val="superscript"/>
              </w:rPr>
              <w:t xml:space="preserve">&gt; </w:t>
            </w:r>
          </w:p>
          <w:p w14:paraId="232AD41C" w14:textId="77777777" w:rsidR="004F5982" w:rsidRPr="00E20294" w:rsidRDefault="004F5982" w:rsidP="00487007">
            <w:pPr>
              <w:spacing w:after="120" w:line="240" w:lineRule="auto"/>
              <w:ind w:left="200"/>
              <w:jc w:val="both"/>
              <w:rPr>
                <w:rFonts w:ascii="Sylfaen" w:hAnsi="Sylfaen"/>
              </w:rPr>
            </w:pPr>
            <w:r w:rsidRPr="00E20294">
              <w:rPr>
                <w:rStyle w:val="Bodytext20"/>
                <w:rFonts w:ascii="Sylfaen" w:eastAsiaTheme="minorHAnsi" w:hAnsi="Sylfaen"/>
                <w:sz w:val="22"/>
                <w:szCs w:val="22"/>
              </w:rPr>
              <w:t>&lt;AUC</w:t>
            </w:r>
            <w:r w:rsidRPr="00E20294">
              <w:rPr>
                <w:rStyle w:val="Bodytext28pt"/>
                <w:rFonts w:ascii="Sylfaen" w:eastAsiaTheme="minorHAnsi" w:hAnsi="Sylfaen"/>
                <w:sz w:val="22"/>
                <w:szCs w:val="22"/>
                <w:vertAlign w:val="subscript"/>
              </w:rPr>
              <w:t>(0-72 ժ)</w:t>
            </w:r>
            <w:r w:rsidRPr="00E20294">
              <w:rPr>
                <w:rStyle w:val="Bodytext20"/>
                <w:rFonts w:ascii="Sylfaen" w:eastAsiaTheme="minorHAnsi" w:hAnsi="Sylfaen"/>
                <w:sz w:val="22"/>
                <w:szCs w:val="22"/>
              </w:rPr>
              <w:t>&gt;</w:t>
            </w:r>
          </w:p>
        </w:tc>
        <w:tc>
          <w:tcPr>
            <w:tcW w:w="3403" w:type="dxa"/>
            <w:gridSpan w:val="3"/>
            <w:shd w:val="clear" w:color="auto" w:fill="FFFFFF"/>
          </w:tcPr>
          <w:p w14:paraId="3D17EC58" w14:textId="77777777" w:rsidR="004F5982" w:rsidRPr="00E20294" w:rsidRDefault="004F5982" w:rsidP="00487007">
            <w:pPr>
              <w:spacing w:after="120" w:line="240" w:lineRule="auto"/>
              <w:jc w:val="both"/>
              <w:rPr>
                <w:rFonts w:ascii="Sylfaen" w:hAnsi="Sylfaen"/>
              </w:rPr>
            </w:pPr>
          </w:p>
        </w:tc>
        <w:tc>
          <w:tcPr>
            <w:tcW w:w="1987" w:type="dxa"/>
            <w:gridSpan w:val="2"/>
            <w:shd w:val="clear" w:color="auto" w:fill="FFFFFF"/>
          </w:tcPr>
          <w:p w14:paraId="59D2D252" w14:textId="77777777" w:rsidR="004F5982" w:rsidRPr="00E20294" w:rsidRDefault="004F5982" w:rsidP="00487007">
            <w:pPr>
              <w:spacing w:after="120" w:line="240" w:lineRule="auto"/>
              <w:jc w:val="both"/>
              <w:rPr>
                <w:rFonts w:ascii="Sylfaen" w:hAnsi="Sylfaen"/>
              </w:rPr>
            </w:pPr>
          </w:p>
        </w:tc>
        <w:tc>
          <w:tcPr>
            <w:tcW w:w="1700" w:type="dxa"/>
            <w:shd w:val="clear" w:color="auto" w:fill="FFFFFF"/>
          </w:tcPr>
          <w:p w14:paraId="07DB7247" w14:textId="77777777" w:rsidR="004F5982" w:rsidRPr="00E20294" w:rsidRDefault="004F5982" w:rsidP="00487007">
            <w:pPr>
              <w:spacing w:after="120" w:line="240" w:lineRule="auto"/>
              <w:jc w:val="both"/>
              <w:rPr>
                <w:rFonts w:ascii="Sylfaen" w:hAnsi="Sylfaen"/>
              </w:rPr>
            </w:pPr>
          </w:p>
        </w:tc>
      </w:tr>
      <w:tr w:rsidR="004F5982" w:rsidRPr="00E20294" w14:paraId="48FF168B" w14:textId="77777777" w:rsidTr="00433295">
        <w:tc>
          <w:tcPr>
            <w:tcW w:w="3053" w:type="dxa"/>
            <w:gridSpan w:val="2"/>
            <w:shd w:val="clear" w:color="auto" w:fill="FFFFFF"/>
            <w:vAlign w:val="bottom"/>
          </w:tcPr>
          <w:p w14:paraId="263A2282" w14:textId="77777777" w:rsidR="004F5982" w:rsidRPr="00E20294" w:rsidRDefault="004F5982" w:rsidP="00487007">
            <w:pPr>
              <w:spacing w:after="120" w:line="240" w:lineRule="auto"/>
              <w:ind w:left="200"/>
              <w:jc w:val="both"/>
              <w:rPr>
                <w:rFonts w:ascii="Sylfaen" w:hAnsi="Sylfaen"/>
              </w:rPr>
            </w:pPr>
            <w:r w:rsidRPr="00E20294">
              <w:rPr>
                <w:rStyle w:val="Bodytext28pt"/>
                <w:rFonts w:ascii="Sylfaen" w:eastAsiaTheme="minorHAnsi" w:hAnsi="Sylfaen"/>
                <w:sz w:val="22"/>
                <w:szCs w:val="22"/>
              </w:rPr>
              <w:t>C</w:t>
            </w:r>
            <w:r w:rsidRPr="00E20294">
              <w:rPr>
                <w:rStyle w:val="Bodytext28pt"/>
                <w:rFonts w:ascii="Sylfaen" w:eastAsiaTheme="minorHAnsi" w:hAnsi="Sylfaen"/>
                <w:sz w:val="22"/>
                <w:szCs w:val="22"/>
                <w:vertAlign w:val="subscript"/>
              </w:rPr>
              <w:t>max</w:t>
            </w:r>
          </w:p>
        </w:tc>
        <w:tc>
          <w:tcPr>
            <w:tcW w:w="3403" w:type="dxa"/>
            <w:gridSpan w:val="3"/>
            <w:shd w:val="clear" w:color="auto" w:fill="FFFFFF"/>
          </w:tcPr>
          <w:p w14:paraId="1F4A9452" w14:textId="77777777" w:rsidR="004F5982" w:rsidRPr="00E20294" w:rsidRDefault="004F5982" w:rsidP="00487007">
            <w:pPr>
              <w:spacing w:after="120" w:line="240" w:lineRule="auto"/>
              <w:jc w:val="both"/>
              <w:rPr>
                <w:rFonts w:ascii="Sylfaen" w:hAnsi="Sylfaen"/>
              </w:rPr>
            </w:pPr>
          </w:p>
        </w:tc>
        <w:tc>
          <w:tcPr>
            <w:tcW w:w="1987" w:type="dxa"/>
            <w:gridSpan w:val="2"/>
            <w:shd w:val="clear" w:color="auto" w:fill="FFFFFF"/>
          </w:tcPr>
          <w:p w14:paraId="0B28BF05" w14:textId="77777777" w:rsidR="004F5982" w:rsidRPr="00E20294" w:rsidRDefault="004F5982" w:rsidP="00487007">
            <w:pPr>
              <w:spacing w:after="120" w:line="240" w:lineRule="auto"/>
              <w:jc w:val="both"/>
              <w:rPr>
                <w:rFonts w:ascii="Sylfaen" w:hAnsi="Sylfaen"/>
              </w:rPr>
            </w:pPr>
          </w:p>
        </w:tc>
        <w:tc>
          <w:tcPr>
            <w:tcW w:w="1700" w:type="dxa"/>
            <w:shd w:val="clear" w:color="auto" w:fill="FFFFFF"/>
          </w:tcPr>
          <w:p w14:paraId="3534E341" w14:textId="77777777" w:rsidR="004F5982" w:rsidRPr="00E20294" w:rsidRDefault="004F5982" w:rsidP="00487007">
            <w:pPr>
              <w:spacing w:after="120" w:line="240" w:lineRule="auto"/>
              <w:jc w:val="both"/>
              <w:rPr>
                <w:rFonts w:ascii="Sylfaen" w:hAnsi="Sylfaen"/>
              </w:rPr>
            </w:pPr>
          </w:p>
        </w:tc>
      </w:tr>
      <w:tr w:rsidR="004F5982" w:rsidRPr="00E20294" w14:paraId="06033626" w14:textId="77777777" w:rsidTr="00433295">
        <w:tc>
          <w:tcPr>
            <w:tcW w:w="10143" w:type="dxa"/>
            <w:gridSpan w:val="8"/>
            <w:shd w:val="clear" w:color="auto" w:fill="FFFFFF"/>
            <w:vAlign w:val="bottom"/>
          </w:tcPr>
          <w:p w14:paraId="7D10BBD8" w14:textId="77777777" w:rsidR="004F5982" w:rsidRPr="00E20294" w:rsidRDefault="004F5982" w:rsidP="00487007">
            <w:pPr>
              <w:spacing w:after="120" w:line="240" w:lineRule="auto"/>
              <w:jc w:val="both"/>
              <w:rPr>
                <w:rFonts w:ascii="Sylfaen" w:hAnsi="Sylfaen"/>
              </w:rPr>
            </w:pPr>
            <w:r w:rsidRPr="00E20294">
              <w:rPr>
                <w:rStyle w:val="Bodytext20"/>
                <w:rFonts w:ascii="Sylfaen" w:eastAsiaTheme="minorHAnsi" w:hAnsi="Sylfaen"/>
                <w:sz w:val="22"/>
                <w:szCs w:val="22"/>
              </w:rPr>
              <w:t>* Հաշվարկված է մնացորդային միջին քառակուսային շեղման հիման վրա (residual mean squares):</w:t>
            </w:r>
          </w:p>
        </w:tc>
      </w:tr>
      <w:tr w:rsidR="00BD67EC" w:rsidRPr="00E20294" w14:paraId="005C2A30" w14:textId="77777777" w:rsidTr="00633E53">
        <w:trPr>
          <w:trHeight w:val="2815"/>
        </w:trPr>
        <w:tc>
          <w:tcPr>
            <w:tcW w:w="10143" w:type="dxa"/>
            <w:gridSpan w:val="8"/>
            <w:shd w:val="clear" w:color="auto" w:fill="FFFFFF"/>
            <w:vAlign w:val="bottom"/>
          </w:tcPr>
          <w:p w14:paraId="13662ABE" w14:textId="77777777" w:rsidR="00BD67EC" w:rsidRPr="00E20294" w:rsidRDefault="00BD67EC" w:rsidP="00F321DB">
            <w:pPr>
              <w:spacing w:after="120" w:line="240" w:lineRule="auto"/>
              <w:jc w:val="both"/>
              <w:rPr>
                <w:rFonts w:ascii="Sylfaen" w:hAnsi="Sylfaen"/>
              </w:rPr>
            </w:pPr>
            <w:r w:rsidRPr="00E20294">
              <w:rPr>
                <w:rStyle w:val="Bodytext20"/>
                <w:rFonts w:ascii="Sylfaen" w:eastAsiaTheme="minorHAnsi" w:hAnsi="Sylfaen"/>
                <w:spacing w:val="-4"/>
                <w:sz w:val="22"/>
                <w:szCs w:val="22"/>
              </w:rPr>
              <w:lastRenderedPageBreak/>
              <w:t>Եթե անց են կացվել հետազոտություններ հավասարակշիռ վիճակում, ապա անհրաժեշտ է կազմել համանման աղյուսակներ՝ նշելով հետ</w:t>
            </w:r>
            <w:r>
              <w:rPr>
                <w:rStyle w:val="Bodytext20"/>
                <w:rFonts w:ascii="Sylfaen" w:eastAsiaTheme="minorHAnsi" w:hAnsi="Sylfaen"/>
                <w:spacing w:val="-4"/>
                <w:sz w:val="22"/>
                <w:szCs w:val="22"/>
              </w:rPr>
              <w:t>և</w:t>
            </w:r>
            <w:r w:rsidRPr="00E20294">
              <w:rPr>
                <w:rStyle w:val="Bodytext20"/>
                <w:rFonts w:ascii="Sylfaen" w:eastAsiaTheme="minorHAnsi" w:hAnsi="Sylfaen"/>
                <w:spacing w:val="-4"/>
                <w:sz w:val="22"/>
                <w:szCs w:val="22"/>
              </w:rPr>
              <w:t>յալ պարամետրերը՝ AUC()</w:t>
            </w:r>
            <w:r w:rsidRPr="00E20294">
              <w:rPr>
                <w:rStyle w:val="Bodytext28pt"/>
                <w:rFonts w:ascii="Sylfaen" w:eastAsiaTheme="minorHAnsi" w:hAnsi="Sylfaen"/>
                <w:spacing w:val="-4"/>
                <w:sz w:val="22"/>
                <w:szCs w:val="22"/>
                <w:vertAlign w:val="subscript"/>
              </w:rPr>
              <w:t>-</w:t>
            </w:r>
            <w:r w:rsidRPr="00E20294">
              <w:rPr>
                <w:rStyle w:val="Bodytext20"/>
                <w:rFonts w:ascii="Sylfaen" w:eastAsiaTheme="minorHAnsi" w:hAnsi="Sylfaen"/>
                <w:spacing w:val="-4"/>
                <w:sz w:val="22"/>
                <w:szCs w:val="22"/>
                <w:vertAlign w:val="subscript"/>
              </w:rPr>
              <w:t>X</w:t>
            </w:r>
            <w:r w:rsidRPr="00E20294">
              <w:rPr>
                <w:rStyle w:val="Bodytext20"/>
                <w:rFonts w:ascii="Sylfaen" w:eastAsiaTheme="minorHAnsi" w:hAnsi="Sylfaen"/>
                <w:spacing w:val="-4"/>
                <w:sz w:val="22"/>
                <w:szCs w:val="22"/>
              </w:rPr>
              <w:t>, C</w:t>
            </w:r>
            <w:r w:rsidRPr="00E20294">
              <w:rPr>
                <w:rStyle w:val="Bodytext28pt"/>
                <w:rFonts w:ascii="Sylfaen" w:eastAsiaTheme="minorHAnsi" w:hAnsi="Sylfaen"/>
                <w:spacing w:val="-4"/>
                <w:sz w:val="22"/>
                <w:szCs w:val="22"/>
                <w:vertAlign w:val="subscript"/>
              </w:rPr>
              <w:t>max</w:t>
            </w:r>
            <w:r w:rsidRPr="00E20294">
              <w:rPr>
                <w:rStyle w:val="Bodytext20"/>
                <w:rFonts w:ascii="Sylfaen" w:eastAsiaTheme="minorHAnsi" w:hAnsi="Sylfaen"/>
                <w:spacing w:val="-4"/>
                <w:sz w:val="22"/>
                <w:szCs w:val="22"/>
              </w:rPr>
              <w:t>, C</w:t>
            </w:r>
            <w:r w:rsidRPr="00E20294">
              <w:rPr>
                <w:rStyle w:val="Bodytext28pt"/>
                <w:rFonts w:ascii="Sylfaen" w:eastAsiaTheme="minorHAnsi" w:hAnsi="Sylfaen"/>
                <w:spacing w:val="-4"/>
                <w:sz w:val="22"/>
                <w:szCs w:val="22"/>
                <w:vertAlign w:val="subscript"/>
              </w:rPr>
              <w:t>min</w:t>
            </w:r>
            <w:r w:rsidRPr="00E20294">
              <w:rPr>
                <w:rStyle w:val="Bodytext28pt"/>
                <w:rFonts w:ascii="Sylfaen" w:eastAsiaTheme="minorHAnsi" w:hAnsi="Sylfaen"/>
                <w:spacing w:val="-4"/>
                <w:sz w:val="22"/>
                <w:szCs w:val="22"/>
              </w:rPr>
              <w:t xml:space="preserve"> </w:t>
            </w:r>
            <w:r>
              <w:rPr>
                <w:rStyle w:val="Bodytext20"/>
                <w:rFonts w:ascii="Sylfaen" w:eastAsiaTheme="minorHAnsi" w:hAnsi="Sylfaen"/>
                <w:spacing w:val="-4"/>
                <w:sz w:val="22"/>
                <w:szCs w:val="22"/>
              </w:rPr>
              <w:t>և</w:t>
            </w:r>
            <w:r w:rsidRPr="00E20294">
              <w:rPr>
                <w:rStyle w:val="Bodytext20"/>
                <w:rFonts w:ascii="Sylfaen" w:eastAsiaTheme="minorHAnsi" w:hAnsi="Sylfaen"/>
                <w:spacing w:val="-4"/>
                <w:sz w:val="22"/>
                <w:szCs w:val="22"/>
              </w:rPr>
              <w:t xml:space="preserve"> ֆլուկտուացիայի ցուցանիշը (առավելագույնի </w:t>
            </w:r>
            <w:r>
              <w:rPr>
                <w:rStyle w:val="Bodytext20"/>
                <w:rFonts w:ascii="Sylfaen" w:eastAsiaTheme="minorHAnsi" w:hAnsi="Sylfaen"/>
                <w:spacing w:val="-4"/>
                <w:sz w:val="22"/>
                <w:szCs w:val="22"/>
              </w:rPr>
              <w:t>և</w:t>
            </w:r>
            <w:r w:rsidRPr="00E20294">
              <w:rPr>
                <w:rStyle w:val="Bodytext20"/>
                <w:rFonts w:ascii="Sylfaen" w:eastAsiaTheme="minorHAnsi" w:hAnsi="Sylfaen"/>
                <w:spacing w:val="-4"/>
                <w:sz w:val="22"/>
                <w:szCs w:val="22"/>
              </w:rPr>
              <w:t xml:space="preserve"> նվազագույնի միջ</w:t>
            </w:r>
            <w:r>
              <w:rPr>
                <w:rStyle w:val="Bodytext20"/>
                <w:rFonts w:ascii="Sylfaen" w:eastAsiaTheme="minorHAnsi" w:hAnsi="Sylfaen"/>
                <w:spacing w:val="-4"/>
                <w:sz w:val="22"/>
                <w:szCs w:val="22"/>
              </w:rPr>
              <w:t>և</w:t>
            </w:r>
            <w:r w:rsidRPr="00E20294">
              <w:rPr>
                <w:rStyle w:val="Bodytext20"/>
                <w:rFonts w:ascii="Sylfaen" w:eastAsiaTheme="minorHAnsi" w:hAnsi="Sylfaen"/>
                <w:spacing w:val="-4"/>
                <w:sz w:val="22"/>
                <w:szCs w:val="22"/>
              </w:rPr>
              <w:t xml:space="preserve"> ֆլուկտուացիան, %):</w:t>
            </w:r>
          </w:p>
          <w:p w14:paraId="0BBD8320" w14:textId="14712F31" w:rsidR="00BD67EC" w:rsidRPr="00BD67EC" w:rsidRDefault="00BD67EC" w:rsidP="00DE4E47">
            <w:pPr>
              <w:spacing w:after="120" w:line="240" w:lineRule="auto"/>
              <w:jc w:val="both"/>
              <w:rPr>
                <w:rFonts w:ascii="Sylfaen" w:hAnsi="Sylfaen" w:cs="Times New Roman"/>
                <w:color w:val="000000"/>
              </w:rPr>
            </w:pPr>
            <w:r w:rsidRPr="00E20294">
              <w:rPr>
                <w:rStyle w:val="Bodytext20"/>
                <w:rFonts w:ascii="Sylfaen" w:eastAsiaTheme="minorHAnsi" w:hAnsi="Sylfaen"/>
                <w:sz w:val="22"/>
                <w:szCs w:val="22"/>
              </w:rPr>
              <w:t>Փորձագետի մեկնաբանությունը</w:t>
            </w:r>
          </w:p>
        </w:tc>
      </w:tr>
      <w:tr w:rsidR="008D08B9" w:rsidRPr="00E20294" w14:paraId="2F9DC480" w14:textId="77777777" w:rsidTr="00DE4E47">
        <w:trPr>
          <w:trHeight w:val="1455"/>
        </w:trPr>
        <w:tc>
          <w:tcPr>
            <w:tcW w:w="10143" w:type="dxa"/>
            <w:gridSpan w:val="8"/>
            <w:shd w:val="clear" w:color="auto" w:fill="FFFFFF"/>
            <w:vAlign w:val="bottom"/>
          </w:tcPr>
          <w:p w14:paraId="31DBF422" w14:textId="77777777" w:rsidR="008D08B9" w:rsidRPr="00E20294" w:rsidRDefault="008D08B9" w:rsidP="00DE4E47">
            <w:pPr>
              <w:spacing w:after="120" w:line="240" w:lineRule="auto"/>
              <w:jc w:val="both"/>
              <w:rPr>
                <w:rFonts w:ascii="Sylfaen" w:hAnsi="Sylfaen"/>
              </w:rPr>
            </w:pPr>
            <w:r w:rsidRPr="00E20294">
              <w:rPr>
                <w:rStyle w:val="Bodytext20"/>
                <w:rFonts w:ascii="Sylfaen" w:eastAsiaTheme="minorHAnsi" w:hAnsi="Sylfaen"/>
                <w:sz w:val="22"/>
                <w:szCs w:val="22"/>
              </w:rPr>
              <w:t>Անվտանգության վերաբերյալ տվյալները</w:t>
            </w:r>
          </w:p>
          <w:p w14:paraId="5E3197EA" w14:textId="77777777" w:rsidR="008D08B9" w:rsidRPr="00E20294" w:rsidRDefault="008D08B9" w:rsidP="00DE4E47">
            <w:pPr>
              <w:spacing w:after="120" w:line="240" w:lineRule="auto"/>
              <w:jc w:val="both"/>
              <w:rPr>
                <w:rStyle w:val="Bodytext20"/>
                <w:rFonts w:ascii="Sylfaen" w:eastAsiaTheme="minorHAnsi" w:hAnsi="Sylfaen"/>
                <w:spacing w:val="-4"/>
                <w:sz w:val="22"/>
                <w:szCs w:val="22"/>
              </w:rPr>
            </w:pPr>
            <w:r w:rsidRPr="00E20294">
              <w:rPr>
                <w:rStyle w:val="Bodytext20"/>
                <w:rFonts w:ascii="Sylfaen" w:eastAsiaTheme="minorHAnsi" w:hAnsi="Sylfaen"/>
                <w:sz w:val="22"/>
                <w:szCs w:val="22"/>
              </w:rPr>
              <w:t>Հարկավոր է կազմել կենսահամարժեքության հետազոտությունում նշված անցանկալի եր</w:t>
            </w:r>
            <w:r>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ույթների հակիրճ ռեզյումե: Չի պահանջվում եզրակացություն անել հետազոտվող </w:t>
            </w:r>
            <w:r>
              <w:rPr>
                <w:rStyle w:val="Bodytext20"/>
                <w:rFonts w:ascii="Sylfaen" w:eastAsiaTheme="minorHAnsi" w:hAnsi="Sylfaen"/>
                <w:sz w:val="22"/>
                <w:szCs w:val="22"/>
              </w:rPr>
              <w:t>և</w:t>
            </w:r>
            <w:r w:rsidRPr="00E20294">
              <w:rPr>
                <w:rStyle w:val="Bodytext20"/>
                <w:rFonts w:ascii="Sylfaen" w:eastAsiaTheme="minorHAnsi" w:hAnsi="Sylfaen"/>
                <w:sz w:val="22"/>
                <w:szCs w:val="22"/>
              </w:rPr>
              <w:t xml:space="preserve"> համեմատման պատրաստուկների համար այս տվյալների համեմատության հիման վրա:</w:t>
            </w:r>
          </w:p>
        </w:tc>
      </w:tr>
    </w:tbl>
    <w:p w14:paraId="2C722401" w14:textId="552C2578" w:rsidR="008D08B9" w:rsidRDefault="008D08B9" w:rsidP="004F5982">
      <w:pPr>
        <w:spacing w:after="160" w:line="360" w:lineRule="auto"/>
        <w:jc w:val="both"/>
        <w:rPr>
          <w:rFonts w:ascii="Sylfaen" w:hAnsi="Sylfaen"/>
          <w:sz w:val="24"/>
          <w:szCs w:val="24"/>
        </w:rPr>
      </w:pPr>
    </w:p>
    <w:p w14:paraId="19A64F0D" w14:textId="1C337320" w:rsidR="00BD67EC" w:rsidRDefault="00BD67EC" w:rsidP="004F5982">
      <w:pPr>
        <w:spacing w:after="160" w:line="360" w:lineRule="auto"/>
        <w:jc w:val="both"/>
        <w:rPr>
          <w:rFonts w:ascii="Sylfaen" w:hAnsi="Sylfaen"/>
          <w:sz w:val="24"/>
          <w:szCs w:val="24"/>
        </w:rPr>
      </w:pPr>
    </w:p>
    <w:p w14:paraId="7CD45E73" w14:textId="77777777" w:rsidR="00BD67EC" w:rsidRPr="00826F05" w:rsidRDefault="00BD67EC" w:rsidP="004F5982">
      <w:pPr>
        <w:spacing w:after="160" w:line="360" w:lineRule="auto"/>
        <w:jc w:val="both"/>
        <w:rPr>
          <w:rFonts w:ascii="Sylfaen" w:hAnsi="Sylfaen"/>
          <w:sz w:val="24"/>
          <w:szCs w:val="24"/>
        </w:rPr>
      </w:pPr>
    </w:p>
    <w:p w14:paraId="60A762E6"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Եզրակացություն՝</w:t>
      </w:r>
    </w:p>
    <w:p w14:paraId="1089F151"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&lt;Ելնելով կենսահամարժեքության հետազոտության (հետազոտությունների) ներկայացված արդյունքներից՝ [նշել հետազոտված դեղապատրաստուկի առ</w:t>
      </w:r>
      <w:r w:rsidR="00C54D75">
        <w:rPr>
          <w:rFonts w:ascii="Sylfaen" w:hAnsi="Sylfaen"/>
          <w:i/>
          <w:sz w:val="24"/>
          <w:szCs w:val="24"/>
        </w:rPr>
        <w:t>և</w:t>
      </w:r>
      <w:r w:rsidRPr="00826F05">
        <w:rPr>
          <w:rFonts w:ascii="Sylfaen" w:hAnsi="Sylfaen"/>
          <w:i/>
          <w:sz w:val="24"/>
          <w:szCs w:val="24"/>
        </w:rPr>
        <w:t>տրային անվանումը] ճանաչվում է [նշել համեմատման պատրաստուկի անվանումը]-ին կենսահամարժեք :&gt;</w:t>
      </w:r>
    </w:p>
    <w:p w14:paraId="16FB6926" w14:textId="77777777" w:rsidR="004F5982" w:rsidRPr="00826F05" w:rsidRDefault="004F5982" w:rsidP="00487007">
      <w:pPr>
        <w:tabs>
          <w:tab w:val="left" w:pos="1701"/>
        </w:tabs>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կամ</w:t>
      </w:r>
    </w:p>
    <w:p w14:paraId="45FD9D89" w14:textId="77777777" w:rsidR="004F5982" w:rsidRPr="00826F05" w:rsidRDefault="004F5982" w:rsidP="00487007">
      <w:pPr>
        <w:spacing w:after="160" w:line="360" w:lineRule="auto"/>
        <w:ind w:right="-1" w:firstLine="567"/>
        <w:jc w:val="both"/>
        <w:rPr>
          <w:rFonts w:ascii="Sylfaen" w:hAnsi="Sylfaen"/>
          <w:i/>
          <w:sz w:val="24"/>
          <w:szCs w:val="24"/>
        </w:rPr>
      </w:pPr>
      <w:r w:rsidRPr="00826F05">
        <w:rPr>
          <w:rFonts w:ascii="Sylfaen" w:hAnsi="Sylfaen"/>
          <w:i/>
          <w:sz w:val="24"/>
          <w:szCs w:val="24"/>
        </w:rPr>
        <w:t>&lt;Հաշվի առնելով [նշել հիմքերը] [նշել հետազոտված դեղապատրաստուկի առ</w:t>
      </w:r>
      <w:r w:rsidR="00C54D75">
        <w:rPr>
          <w:rFonts w:ascii="Sylfaen" w:hAnsi="Sylfaen"/>
          <w:i/>
          <w:sz w:val="24"/>
          <w:szCs w:val="24"/>
        </w:rPr>
        <w:t>և</w:t>
      </w:r>
      <w:r w:rsidRPr="00826F05">
        <w:rPr>
          <w:rFonts w:ascii="Sylfaen" w:hAnsi="Sylfaen"/>
          <w:i/>
          <w:sz w:val="24"/>
          <w:szCs w:val="24"/>
        </w:rPr>
        <w:t xml:space="preserve">տրային անվանումը] ճանաչվում է [նշել համեմատման պատրաստուկի անվանումը]-ին կենսահամարժեք :&gt; </w:t>
      </w:r>
    </w:p>
    <w:p w14:paraId="2D917C98"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sz w:val="24"/>
          <w:szCs w:val="24"/>
        </w:rPr>
        <w:t>Եթե կիրառելի է, կարող է օգտագործվել հետ</w:t>
      </w:r>
      <w:r w:rsidR="00C54D75">
        <w:rPr>
          <w:rFonts w:ascii="Sylfaen" w:hAnsi="Sylfaen"/>
          <w:sz w:val="24"/>
          <w:szCs w:val="24"/>
        </w:rPr>
        <w:t>և</w:t>
      </w:r>
      <w:r w:rsidRPr="00826F05">
        <w:rPr>
          <w:rFonts w:ascii="Sylfaen" w:hAnsi="Sylfaen"/>
          <w:sz w:val="24"/>
          <w:szCs w:val="24"/>
        </w:rPr>
        <w:t>յալ բանաձ</w:t>
      </w:r>
      <w:r w:rsidR="00C54D75">
        <w:rPr>
          <w:rFonts w:ascii="Sylfaen" w:hAnsi="Sylfaen"/>
          <w:sz w:val="24"/>
          <w:szCs w:val="24"/>
        </w:rPr>
        <w:t>և</w:t>
      </w:r>
      <w:r w:rsidRPr="00826F05">
        <w:rPr>
          <w:rFonts w:ascii="Sylfaen" w:hAnsi="Sylfaen"/>
          <w:sz w:val="24"/>
          <w:szCs w:val="24"/>
        </w:rPr>
        <w:t>ը՝</w:t>
      </w:r>
    </w:p>
    <w:p w14:paraId="4165954E"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 xml:space="preserve">&lt;[XX մգ] պատրաստուկով [հետազոտության համարը] հետազոտության արդյունքները [կարող են (չեն կարող)] արտարկվել այլ [XX մգ] դոզավորումների վրա՝ </w:t>
      </w:r>
      <w:r w:rsidRPr="00826F05">
        <w:rPr>
          <w:rFonts w:ascii="Sylfaen" w:hAnsi="Sylfaen"/>
          <w:i/>
          <w:sz w:val="24"/>
          <w:szCs w:val="24"/>
        </w:rPr>
        <w:lastRenderedPageBreak/>
        <w:t>Միության վերարտադրված դեղապատրաստուկների կենսահամարժեքության հետազոտությունների անցկացման կանոններում շարադրված պայմաններին համապատասխան:&gt;</w:t>
      </w:r>
    </w:p>
    <w:p w14:paraId="711DB31D"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2.3.2. Դեղադինամիկան</w:t>
      </w:r>
    </w:p>
    <w:p w14:paraId="1B6D6150"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Հարկավոր է օգտագործել ստանդարտ ձ</w:t>
      </w:r>
      <w:r w:rsidR="00C54D75">
        <w:rPr>
          <w:rFonts w:ascii="Sylfaen" w:hAnsi="Sylfaen"/>
          <w:sz w:val="24"/>
          <w:szCs w:val="24"/>
        </w:rPr>
        <w:t>և</w:t>
      </w:r>
      <w:r w:rsidRPr="00826F05">
        <w:rPr>
          <w:rFonts w:ascii="Sylfaen" w:hAnsi="Sylfaen"/>
          <w:sz w:val="24"/>
          <w:szCs w:val="24"/>
        </w:rPr>
        <w:t>ակերպումը:</w:t>
      </w:r>
    </w:p>
    <w:p w14:paraId="4E3B049E"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&lt;Նոր դեղադինամիկ հետազոտությունների արդյունքներ չեն ներկայացվել, սույն հայտի համատեքստում նման հետազոտություններ չեն պահանջվում:&gt;</w:t>
      </w:r>
    </w:p>
    <w:p w14:paraId="492CF0F9"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Որպես կանոն, նոր տվյալներ չեն պահանջվում </w:t>
      </w:r>
      <w:r w:rsidR="00C54D75">
        <w:rPr>
          <w:rFonts w:ascii="Sylfaen" w:hAnsi="Sylfaen"/>
          <w:sz w:val="24"/>
          <w:szCs w:val="24"/>
        </w:rPr>
        <w:t>և</w:t>
      </w:r>
      <w:r w:rsidRPr="00826F05">
        <w:rPr>
          <w:rFonts w:ascii="Sylfaen" w:hAnsi="Sylfaen"/>
          <w:sz w:val="24"/>
          <w:szCs w:val="24"/>
        </w:rPr>
        <w:t xml:space="preserve"> չեն ներկայացվում: Սակայն</w:t>
      </w:r>
      <w:r>
        <w:rPr>
          <w:rFonts w:ascii="Sylfaen" w:hAnsi="Sylfaen"/>
          <w:sz w:val="24"/>
          <w:szCs w:val="24"/>
        </w:rPr>
        <w:t> </w:t>
      </w:r>
      <w:r w:rsidRPr="00826F05">
        <w:rPr>
          <w:rFonts w:ascii="Sylfaen" w:hAnsi="Sylfaen"/>
          <w:sz w:val="24"/>
          <w:szCs w:val="24"/>
        </w:rPr>
        <w:t>եթե կենսահամարժեքությունն անհնար է հաստատել դեղակինետիկ հետազոտությունների շրջանակներում, ապա դրանց ներկայացումն անհրաժեշտ է թերապ</w:t>
      </w:r>
      <w:r w:rsidR="00C54D75">
        <w:rPr>
          <w:rFonts w:ascii="Sylfaen" w:hAnsi="Sylfaen"/>
          <w:sz w:val="24"/>
          <w:szCs w:val="24"/>
        </w:rPr>
        <w:t>և</w:t>
      </w:r>
      <w:r w:rsidRPr="00826F05">
        <w:rPr>
          <w:rFonts w:ascii="Sylfaen" w:hAnsi="Sylfaen"/>
          <w:sz w:val="24"/>
          <w:szCs w:val="24"/>
        </w:rPr>
        <w:t xml:space="preserve">տիկ համարժեքությունը հաստատելու նպատակով: </w:t>
      </w:r>
    </w:p>
    <w:p w14:paraId="5C25568C" w14:textId="77777777" w:rsidR="004F5982" w:rsidRPr="00826F05" w:rsidRDefault="004F5982" w:rsidP="00487007">
      <w:pPr>
        <w:spacing w:after="160" w:line="360" w:lineRule="auto"/>
        <w:ind w:right="-1" w:firstLine="567"/>
        <w:jc w:val="both"/>
        <w:rPr>
          <w:rFonts w:ascii="Sylfaen" w:hAnsi="Sylfaen"/>
          <w:sz w:val="24"/>
          <w:szCs w:val="24"/>
        </w:rPr>
      </w:pPr>
    </w:p>
    <w:p w14:paraId="1F762DC0"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2.3.3. Հետգրանցումային փորձը</w:t>
      </w:r>
    </w:p>
    <w:p w14:paraId="13C5E004"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Գնահատե՛ք անվտանգության վերաբերյալ ներկայացված տվյալները (եթե</w:t>
      </w:r>
      <w:r>
        <w:rPr>
          <w:rFonts w:ascii="Sylfaen" w:hAnsi="Sylfaen"/>
          <w:sz w:val="24"/>
          <w:szCs w:val="24"/>
        </w:rPr>
        <w:t> </w:t>
      </w:r>
      <w:r w:rsidRPr="00826F05">
        <w:rPr>
          <w:rFonts w:ascii="Sylfaen" w:hAnsi="Sylfaen"/>
          <w:sz w:val="24"/>
          <w:szCs w:val="24"/>
        </w:rPr>
        <w:t>պատրաստուկը գրանցված է Միության սահմաններից դուրս): Հարկավոր է հաշվի առնել, որ այս տվյալները վերաբերում են դեղապատրաստուկին, այլ ոչ թե դրա ազդող նյութին:</w:t>
      </w:r>
    </w:p>
    <w:p w14:paraId="292FB4F3"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Որպես կանոն, կարելի է սահմանափակվել հետ</w:t>
      </w:r>
      <w:r w:rsidR="00C54D75">
        <w:rPr>
          <w:rFonts w:ascii="Sylfaen" w:hAnsi="Sylfaen"/>
          <w:sz w:val="24"/>
          <w:szCs w:val="24"/>
        </w:rPr>
        <w:t>և</w:t>
      </w:r>
      <w:r w:rsidRPr="00826F05">
        <w:rPr>
          <w:rFonts w:ascii="Sylfaen" w:hAnsi="Sylfaen"/>
          <w:sz w:val="24"/>
          <w:szCs w:val="24"/>
        </w:rPr>
        <w:t>յալ ձ</w:t>
      </w:r>
      <w:r w:rsidR="00C54D75">
        <w:rPr>
          <w:rFonts w:ascii="Sylfaen" w:hAnsi="Sylfaen"/>
          <w:sz w:val="24"/>
          <w:szCs w:val="24"/>
        </w:rPr>
        <w:t>և</w:t>
      </w:r>
      <w:r w:rsidRPr="00826F05">
        <w:rPr>
          <w:rFonts w:ascii="Sylfaen" w:hAnsi="Sylfaen"/>
          <w:sz w:val="24"/>
          <w:szCs w:val="24"/>
        </w:rPr>
        <w:t>ակերպմամբ՝</w:t>
      </w:r>
    </w:p>
    <w:p w14:paraId="263D8A4C"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i/>
          <w:sz w:val="24"/>
          <w:szCs w:val="24"/>
        </w:rPr>
        <w:t>&lt;Կիրառման հետգրանցումային փորձը բացակայում է: Դեղապատրաստուկը Միության սահմաններից դուրս չի կիրառվել:&gt;</w:t>
      </w:r>
    </w:p>
    <w:p w14:paraId="21EF4C0B" w14:textId="77777777" w:rsidR="004F5982" w:rsidRPr="00826F05" w:rsidRDefault="004F5982" w:rsidP="00487007">
      <w:pPr>
        <w:spacing w:after="160" w:line="360" w:lineRule="auto"/>
        <w:ind w:right="-1" w:firstLine="567"/>
        <w:jc w:val="both"/>
        <w:rPr>
          <w:rFonts w:ascii="Sylfaen" w:hAnsi="Sylfaen"/>
          <w:sz w:val="24"/>
          <w:szCs w:val="24"/>
        </w:rPr>
      </w:pPr>
    </w:p>
    <w:p w14:paraId="744511F1" w14:textId="77777777" w:rsidR="004F5982" w:rsidRPr="00826F05" w:rsidRDefault="004F5982" w:rsidP="00487007">
      <w:pPr>
        <w:spacing w:after="160" w:line="360" w:lineRule="auto"/>
        <w:ind w:left="567" w:right="565"/>
        <w:jc w:val="center"/>
        <w:rPr>
          <w:rFonts w:ascii="Sylfaen" w:eastAsia="Times New Roman" w:hAnsi="Sylfaen" w:cs="Times New Roman"/>
          <w:sz w:val="24"/>
          <w:szCs w:val="24"/>
        </w:rPr>
      </w:pPr>
      <w:r w:rsidRPr="00826F05">
        <w:rPr>
          <w:rFonts w:ascii="Sylfaen" w:hAnsi="Sylfaen"/>
          <w:sz w:val="24"/>
          <w:szCs w:val="24"/>
        </w:rPr>
        <w:t>2.3.4. Կլինիկական ասպեկտների քննարկումը</w:t>
      </w:r>
    </w:p>
    <w:p w14:paraId="18CE437D"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Քննարկե՛ք բովանդակային պլանի կրիտիկական տարրերը, հատկապես՝ </w:t>
      </w:r>
      <w:r w:rsidRPr="00826F05">
        <w:rPr>
          <w:rFonts w:ascii="Sylfaen" w:hAnsi="Sylfaen"/>
          <w:sz w:val="24"/>
          <w:szCs w:val="24"/>
        </w:rPr>
        <w:lastRenderedPageBreak/>
        <w:t>եթե</w:t>
      </w:r>
      <w:r>
        <w:rPr>
          <w:rFonts w:ascii="Sylfaen" w:hAnsi="Sylfaen"/>
          <w:sz w:val="24"/>
          <w:szCs w:val="24"/>
        </w:rPr>
        <w:t> </w:t>
      </w:r>
      <w:r w:rsidRPr="00826F05">
        <w:rPr>
          <w:rFonts w:ascii="Sylfaen" w:hAnsi="Sylfaen"/>
          <w:sz w:val="24"/>
          <w:szCs w:val="24"/>
        </w:rPr>
        <w:t>դրանք տարբերվում են ստանդարտ խաչաձ</w:t>
      </w:r>
      <w:r w:rsidR="00C54D75">
        <w:rPr>
          <w:rFonts w:ascii="Sylfaen" w:hAnsi="Sylfaen"/>
          <w:sz w:val="24"/>
          <w:szCs w:val="24"/>
        </w:rPr>
        <w:t>և</w:t>
      </w:r>
      <w:r w:rsidRPr="00826F05">
        <w:rPr>
          <w:rFonts w:ascii="Sylfaen" w:hAnsi="Sylfaen"/>
          <w:sz w:val="24"/>
          <w:szCs w:val="24"/>
        </w:rPr>
        <w:t xml:space="preserve"> բովանդակային պլանից, օրինակ՝ զուգահեռ բովանդակային պլանը, պատրաստուկը սնունդ ընդունելուց հետո ընդունելը, պացիենտների մոտ հետազոտությունը </w:t>
      </w:r>
      <w:r w:rsidR="00C54D75">
        <w:rPr>
          <w:rFonts w:ascii="Sylfaen" w:hAnsi="Sylfaen"/>
          <w:sz w:val="24"/>
          <w:szCs w:val="24"/>
        </w:rPr>
        <w:t>և</w:t>
      </w:r>
      <w:r w:rsidRPr="00826F05">
        <w:rPr>
          <w:rFonts w:ascii="Sylfaen" w:hAnsi="Sylfaen"/>
          <w:sz w:val="24"/>
          <w:szCs w:val="24"/>
        </w:rPr>
        <w:t xml:space="preserve"> այլն: Անհրաժեշտ է վերլուծել հետազոտվող պատրաստուկի (ելակետային միացություն կամ մետաբոլիտ), ինչպես նա</w:t>
      </w:r>
      <w:r w:rsidR="00C54D75">
        <w:rPr>
          <w:rFonts w:ascii="Sylfaen" w:hAnsi="Sylfaen"/>
          <w:sz w:val="24"/>
          <w:szCs w:val="24"/>
        </w:rPr>
        <w:t>և</w:t>
      </w:r>
      <w:r w:rsidRPr="00826F05">
        <w:rPr>
          <w:rFonts w:ascii="Sylfaen" w:hAnsi="Sylfaen"/>
          <w:sz w:val="24"/>
          <w:szCs w:val="24"/>
        </w:rPr>
        <w:t xml:space="preserve"> կենսավերլուծական մեթոդի ընտրությունը: Բացի այդ, նշե՛ք կենսահամարժեքությունը ճանաչելու նախապես ընտրված չափորոշիչները, հատկապես եթե կատարվել է մասշտաբավորում (օրինակ՝ արդյոք գործակցի փոփոխականության գնահատման համար օգտագործվել է կրկնակի բովանդակային պլան) բարձր փոփոխականության պատրաստուկների կամ նեղ թերապ</w:t>
      </w:r>
      <w:r w:rsidR="00C54D75">
        <w:rPr>
          <w:rFonts w:ascii="Sylfaen" w:hAnsi="Sylfaen"/>
          <w:sz w:val="24"/>
          <w:szCs w:val="24"/>
        </w:rPr>
        <w:t>և</w:t>
      </w:r>
      <w:r w:rsidRPr="00826F05">
        <w:rPr>
          <w:rFonts w:ascii="Sylfaen" w:hAnsi="Sylfaen"/>
          <w:sz w:val="24"/>
          <w:szCs w:val="24"/>
        </w:rPr>
        <w:t xml:space="preserve">տիկ ընդգրկույթով պատրաստուկների նկատմամբ: </w:t>
      </w:r>
    </w:p>
    <w:p w14:paraId="3BFFCC7B"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Հարկավոր է նշել, թե արդյոք արդյունքները պահպանել են կենսահամարժեքությունը ճանաչելու նախապես ընտրված չափորոշիչները: Անհրաժեշտ է ընդհանրացնել անցկացված հետազոտության վերաբերյալ բոլոր դիտողությունները (օրինակ՝ սուբյեկտների դուրս մնալը (փոխարինումը)): Եթե</w:t>
      </w:r>
      <w:r>
        <w:rPr>
          <w:rFonts w:ascii="Sylfaen" w:hAnsi="Sylfaen"/>
          <w:sz w:val="24"/>
          <w:szCs w:val="24"/>
        </w:rPr>
        <w:t> </w:t>
      </w:r>
      <w:r w:rsidRPr="00826F05">
        <w:rPr>
          <w:rFonts w:ascii="Sylfaen" w:hAnsi="Sylfaen"/>
          <w:sz w:val="24"/>
          <w:szCs w:val="24"/>
        </w:rPr>
        <w:t>համեմատման պատրաստուկի հետ անց են կացվել մի քանի հետազոտություններ, գնահատե՛ք ստացված տվյալների համաձայնեցվածությունը:</w:t>
      </w:r>
    </w:p>
    <w:p w14:paraId="5F545BC1"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 xml:space="preserve">Միության պատշաճ կլինիկական գործունեության կանոնների պահանջներին (GCP) հետազոտության անհամապատասխանության վերաբերյալ բոլոր կասկածներն անհրաժեշտ է հստակ նկարագրել </w:t>
      </w:r>
      <w:r w:rsidR="00C54D75">
        <w:rPr>
          <w:rFonts w:ascii="Sylfaen" w:hAnsi="Sylfaen"/>
          <w:sz w:val="24"/>
          <w:szCs w:val="24"/>
        </w:rPr>
        <w:t>և</w:t>
      </w:r>
      <w:r w:rsidRPr="00826F05">
        <w:rPr>
          <w:rFonts w:ascii="Sylfaen" w:hAnsi="Sylfaen"/>
          <w:sz w:val="24"/>
          <w:szCs w:val="24"/>
        </w:rPr>
        <w:t xml:space="preserve"> գնահատել:</w:t>
      </w:r>
    </w:p>
    <w:p w14:paraId="4250E97C" w14:textId="77777777" w:rsidR="004F5982" w:rsidRPr="00826F05" w:rsidRDefault="004F5982" w:rsidP="00487007">
      <w:pPr>
        <w:spacing w:after="160" w:line="360" w:lineRule="auto"/>
        <w:ind w:right="-1" w:firstLine="567"/>
        <w:jc w:val="center"/>
        <w:rPr>
          <w:rFonts w:ascii="Sylfaen" w:hAnsi="Sylfaen"/>
          <w:sz w:val="24"/>
          <w:szCs w:val="24"/>
        </w:rPr>
      </w:pPr>
    </w:p>
    <w:p w14:paraId="351A02E1"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2.3.5.Կլինիկական ասպեկտների մասով եզրակացությունը</w:t>
      </w:r>
    </w:p>
    <w:p w14:paraId="41ED3A7E"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Հարկավոր է կլինիկական ասպեկտների մասով եզրակացություն կազմել </w:t>
      </w:r>
      <w:r w:rsidR="00C54D75">
        <w:rPr>
          <w:rFonts w:ascii="Sylfaen" w:hAnsi="Sylfaen"/>
          <w:sz w:val="24"/>
          <w:szCs w:val="24"/>
        </w:rPr>
        <w:t>և</w:t>
      </w:r>
      <w:r w:rsidRPr="00826F05">
        <w:rPr>
          <w:rFonts w:ascii="Sylfaen" w:hAnsi="Sylfaen"/>
          <w:sz w:val="24"/>
          <w:szCs w:val="24"/>
        </w:rPr>
        <w:t xml:space="preserve"> դիտողությունը տեղափոխել դիտողությունների ցանկ:</w:t>
      </w:r>
    </w:p>
    <w:p w14:paraId="44E9DBEC"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Եթե վերարտադրված պատրաստուկը պարունակում է դեղագործական բաղադրամասի այլ աղ, պարզ կամ բարդ եթերներ, իզոմերներ, իզոմերների </w:t>
      </w:r>
      <w:r w:rsidRPr="00826F05">
        <w:rPr>
          <w:rFonts w:ascii="Sylfaen" w:hAnsi="Sylfaen"/>
          <w:sz w:val="24"/>
          <w:szCs w:val="24"/>
        </w:rPr>
        <w:lastRenderedPageBreak/>
        <w:t>խառնուրդներ, կոմպլեքսներ կամ ածանցյալներ, ապա հարկավոր է կատարել համապատասխան նշում՝</w:t>
      </w:r>
    </w:p>
    <w:p w14:paraId="5AA6D901" w14:textId="77777777" w:rsidR="004F5982" w:rsidRPr="00416EBF" w:rsidRDefault="004F5982" w:rsidP="00487007">
      <w:pPr>
        <w:spacing w:after="160" w:line="360" w:lineRule="auto"/>
        <w:ind w:firstLine="567"/>
        <w:jc w:val="both"/>
        <w:rPr>
          <w:rFonts w:ascii="Sylfaen" w:eastAsia="Times New Roman" w:hAnsi="Sylfaen" w:cs="Times New Roman"/>
          <w:i/>
          <w:sz w:val="24"/>
          <w:szCs w:val="24"/>
        </w:rPr>
      </w:pPr>
      <w:r w:rsidRPr="00416EBF">
        <w:rPr>
          <w:rFonts w:ascii="Sylfaen" w:hAnsi="Sylfaen"/>
          <w:i/>
          <w:sz w:val="24"/>
          <w:szCs w:val="24"/>
        </w:rPr>
        <w:t xml:space="preserve">&lt;[Դեղապատրաստուկի անվանումը] կլինիկական տվյալների վերաբերյալ գրական աղբյուրների ռեզյումեն </w:t>
      </w:r>
      <w:r w:rsidR="00C54D75">
        <w:rPr>
          <w:rFonts w:ascii="Sylfaen" w:hAnsi="Sylfaen"/>
          <w:i/>
          <w:sz w:val="24"/>
          <w:szCs w:val="24"/>
        </w:rPr>
        <w:t>և</w:t>
      </w:r>
      <w:r w:rsidRPr="00416EBF">
        <w:rPr>
          <w:rFonts w:ascii="Sylfaen" w:hAnsi="Sylfaen"/>
          <w:i/>
          <w:sz w:val="24"/>
          <w:szCs w:val="24"/>
        </w:rPr>
        <w:t xml:space="preserve"> այն բանի հիմնավորումը, որ ազդող նյութի այլ [աղը, բարդ եթերը, պարզ եթերը, իզոմերը, իզոմերների խառնուրդը, կոմպլեքսը, ածանցյալը] հատկանիշներով էականորեն չի տարբերվում համեմատման պատրաստուկի անվտանգության </w:t>
      </w:r>
      <w:r w:rsidR="00C54D75">
        <w:rPr>
          <w:rFonts w:ascii="Sylfaen" w:hAnsi="Sylfaen"/>
          <w:i/>
          <w:sz w:val="24"/>
          <w:szCs w:val="24"/>
        </w:rPr>
        <w:t>և</w:t>
      </w:r>
      <w:r w:rsidRPr="00416EBF">
        <w:rPr>
          <w:rFonts w:ascii="Sylfaen" w:hAnsi="Sylfaen"/>
          <w:i/>
          <w:sz w:val="24"/>
          <w:szCs w:val="24"/>
        </w:rPr>
        <w:t xml:space="preserve"> արդյունավետության պրոֆիլից, ներկայացվել են [չեն ներկայացվել] </w:t>
      </w:r>
      <w:r w:rsidR="00C54D75">
        <w:rPr>
          <w:rFonts w:ascii="Sylfaen" w:hAnsi="Sylfaen"/>
          <w:i/>
          <w:sz w:val="24"/>
          <w:szCs w:val="24"/>
        </w:rPr>
        <w:t>և</w:t>
      </w:r>
      <w:r w:rsidRPr="00416EBF">
        <w:rPr>
          <w:rFonts w:ascii="Sylfaen" w:hAnsi="Sylfaen"/>
          <w:i/>
          <w:sz w:val="24"/>
          <w:szCs w:val="24"/>
        </w:rPr>
        <w:t xml:space="preserve"> ընդունվում են [չեն ընդունվում] լիազորված մարմնի կողմից: Սա համաձայնեցվում է [չի համաձայնեցվում] Միության համապատասխան կանոնների հետ, այդ պատճառով էլ պահանջվում է [չի պահանջվում] կլինիկական լրացուցիչ հետազոտությունների անցկացում:&gt;</w:t>
      </w:r>
    </w:p>
    <w:p w14:paraId="4DDFE742" w14:textId="77777777" w:rsidR="004F5982" w:rsidRPr="00826F05" w:rsidRDefault="004F5982" w:rsidP="00487007">
      <w:pPr>
        <w:spacing w:after="160" w:line="360" w:lineRule="auto"/>
        <w:ind w:firstLine="567"/>
        <w:jc w:val="both"/>
        <w:rPr>
          <w:rFonts w:ascii="Sylfaen" w:eastAsia="Times New Roman" w:hAnsi="Sylfaen" w:cs="Times New Roman"/>
          <w:sz w:val="24"/>
          <w:szCs w:val="24"/>
        </w:rPr>
      </w:pPr>
      <w:r w:rsidRPr="00826F05">
        <w:rPr>
          <w:rFonts w:ascii="Sylfaen" w:hAnsi="Sylfaen"/>
          <w:sz w:val="24"/>
          <w:szCs w:val="24"/>
        </w:rPr>
        <w:t>Հայտատուի՝ հետգրանցումային միջոցներ ձեռնարկելու պարտավորությունները. Առանձին դեպքերում որպես գրանցման պայման փորձագետի կողմից կարող են պահանջվել օգուտ-ռիսկ հարաբերակցության գնահատման համար առանցքային կլինիկական տվյալները: Փորձագետի կողմից այդպիսի տվյալների հարցումը հետգրանցումային ժամանակահատվածում կատարվում է ստոր</w:t>
      </w:r>
      <w:r w:rsidR="00C54D75">
        <w:rPr>
          <w:rFonts w:ascii="Sylfaen" w:hAnsi="Sylfaen"/>
          <w:sz w:val="24"/>
          <w:szCs w:val="24"/>
        </w:rPr>
        <w:t>և</w:t>
      </w:r>
      <w:r w:rsidRPr="00826F05">
        <w:rPr>
          <w:rFonts w:ascii="Sylfaen" w:hAnsi="Sylfaen"/>
          <w:sz w:val="24"/>
          <w:szCs w:val="24"/>
        </w:rPr>
        <w:t xml:space="preserve"> ներկայացված ձ</w:t>
      </w:r>
      <w:r w:rsidR="00C54D75">
        <w:rPr>
          <w:rFonts w:ascii="Sylfaen" w:hAnsi="Sylfaen"/>
          <w:sz w:val="24"/>
          <w:szCs w:val="24"/>
        </w:rPr>
        <w:t>և</w:t>
      </w:r>
      <w:r w:rsidRPr="00826F05">
        <w:rPr>
          <w:rFonts w:ascii="Sylfaen" w:hAnsi="Sylfaen"/>
          <w:sz w:val="24"/>
          <w:szCs w:val="24"/>
        </w:rPr>
        <w:t xml:space="preserve">ակերպմամբ </w:t>
      </w:r>
      <w:r w:rsidR="00C54D75">
        <w:rPr>
          <w:rFonts w:ascii="Sylfaen" w:hAnsi="Sylfaen"/>
          <w:sz w:val="24"/>
          <w:szCs w:val="24"/>
        </w:rPr>
        <w:t>և</w:t>
      </w:r>
      <w:r w:rsidRPr="00826F05">
        <w:rPr>
          <w:rFonts w:ascii="Sylfaen" w:hAnsi="Sylfaen"/>
          <w:sz w:val="24"/>
          <w:szCs w:val="24"/>
        </w:rPr>
        <w:t xml:space="preserve"> որպես գրանցման պայման առանձին բաժնով ներառվում է ԴԸԲ-ի կազմի մեջ: Հարկավոր է պատշաճ կերպով հիմնավորել որպես այդպիսի պայման սահմանված յուրաքանչյուր հարցում, մասնավորապես՝ հարկավոր է բացատրել օգուտ-ռիսկ դրական հարաբերակցության համատեքստում այդպիսի պայմանի ներառման անհրաժեշտությունը՝</w:t>
      </w:r>
    </w:p>
    <w:p w14:paraId="21B7BE66"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i/>
          <w:sz w:val="24"/>
          <w:szCs w:val="24"/>
        </w:rPr>
        <w:t>&lt;Կլինիկական ասպեկտների մասով դիտողությունները վերացնելու համար անհրաժեշտ եմ համարում հետ</w:t>
      </w:r>
      <w:r w:rsidR="00C54D75">
        <w:rPr>
          <w:rFonts w:ascii="Sylfaen" w:hAnsi="Sylfaen"/>
          <w:i/>
          <w:sz w:val="24"/>
          <w:szCs w:val="24"/>
        </w:rPr>
        <w:t>և</w:t>
      </w:r>
      <w:r w:rsidRPr="00826F05">
        <w:rPr>
          <w:rFonts w:ascii="Sylfaen" w:hAnsi="Sylfaen"/>
          <w:i/>
          <w:sz w:val="24"/>
          <w:szCs w:val="24"/>
        </w:rPr>
        <w:t>յալ միջոցների ձեռնարկումը [թվարկել անհրաժեշտ միջոցները]:&gt;</w:t>
      </w:r>
    </w:p>
    <w:p w14:paraId="2110065B" w14:textId="77777777" w:rsidR="004F5982" w:rsidRPr="00826F05" w:rsidRDefault="004F5982" w:rsidP="00487007">
      <w:pPr>
        <w:spacing w:after="160" w:line="360" w:lineRule="auto"/>
        <w:ind w:right="-1" w:firstLine="567"/>
        <w:jc w:val="both"/>
        <w:rPr>
          <w:rFonts w:ascii="Sylfaen" w:hAnsi="Sylfaen"/>
          <w:sz w:val="24"/>
          <w:szCs w:val="24"/>
        </w:rPr>
      </w:pPr>
    </w:p>
    <w:p w14:paraId="7ED0867B"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3. Դեղազգոնությունը</w:t>
      </w:r>
    </w:p>
    <w:p w14:paraId="20C40A15"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lastRenderedPageBreak/>
        <w:t>3.6. Դեղազգոնության համակարգը</w:t>
      </w:r>
    </w:p>
    <w:p w14:paraId="1BC3829A" w14:textId="77777777" w:rsidR="004F5982" w:rsidRPr="00487007"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 xml:space="preserve">&lt;Հայտատուն ներկայացրել է դեղազգոնության համակարգի մանրամասն նկարագրությունը պարունակող փաստաթղթեր: Ներկայացվել է հայտատուի </w:t>
      </w:r>
      <w:r w:rsidR="00C54D75">
        <w:rPr>
          <w:rFonts w:ascii="Sylfaen" w:hAnsi="Sylfaen"/>
          <w:i/>
          <w:sz w:val="24"/>
          <w:szCs w:val="24"/>
        </w:rPr>
        <w:t>և</w:t>
      </w:r>
      <w:r w:rsidRPr="00826F05">
        <w:rPr>
          <w:rFonts w:ascii="Sylfaen" w:hAnsi="Sylfaen"/>
          <w:i/>
          <w:sz w:val="24"/>
          <w:szCs w:val="24"/>
        </w:rPr>
        <w:t xml:space="preserve"> դեղազգոնության մասով լիազորված անձի կողմից ստորագրված հայտարարագիր, որը հավաստում է, որ հայտատուն իր տրամադրության տակ ունի դեղազգոնության համար պատասխանատու լիազորված անձ </w:t>
      </w:r>
      <w:r w:rsidR="00C54D75">
        <w:rPr>
          <w:rFonts w:ascii="Sylfaen" w:hAnsi="Sylfaen"/>
          <w:i/>
          <w:sz w:val="24"/>
          <w:szCs w:val="24"/>
        </w:rPr>
        <w:t>և</w:t>
      </w:r>
      <w:r w:rsidRPr="00826F05">
        <w:rPr>
          <w:rFonts w:ascii="Sylfaen" w:hAnsi="Sylfaen"/>
          <w:i/>
          <w:sz w:val="24"/>
          <w:szCs w:val="24"/>
        </w:rPr>
        <w:t xml:space="preserve"> Միությունում կամ Միության անդամ չհանդիսացող պետություններում առաջացող ցանկացած անցանկալի ռեակցիայի մասին ծանուցելու համար անհրաժեշտ միջոցներ:&gt;</w:t>
      </w:r>
    </w:p>
    <w:p w14:paraId="3675FF8C"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 xml:space="preserve">&lt;Գտնում եմ, որ հայտատուի կողմից նկարագրված դեղազգոնության համակարգը բավարարում է պահանջները </w:t>
      </w:r>
      <w:r w:rsidR="00C54D75">
        <w:rPr>
          <w:rFonts w:ascii="Sylfaen" w:hAnsi="Sylfaen"/>
          <w:i/>
          <w:sz w:val="24"/>
          <w:szCs w:val="24"/>
        </w:rPr>
        <w:t>և</w:t>
      </w:r>
      <w:r w:rsidRPr="00826F05">
        <w:rPr>
          <w:rFonts w:ascii="Sylfaen" w:hAnsi="Sylfaen"/>
          <w:i/>
          <w:sz w:val="24"/>
          <w:szCs w:val="24"/>
        </w:rPr>
        <w:t xml:space="preserve"> պարունակում է այն բանի բավարար հաստատումը, որ հայտատուն իր տրամադրության տակ ունի դեղազգոնության համար պատասխանատու լիազորված անձ </w:t>
      </w:r>
      <w:r w:rsidR="00C54D75">
        <w:rPr>
          <w:rFonts w:ascii="Sylfaen" w:hAnsi="Sylfaen"/>
          <w:i/>
          <w:sz w:val="24"/>
          <w:szCs w:val="24"/>
        </w:rPr>
        <w:t>և</w:t>
      </w:r>
      <w:r w:rsidRPr="00826F05">
        <w:rPr>
          <w:rFonts w:ascii="Sylfaen" w:hAnsi="Sylfaen"/>
          <w:i/>
          <w:sz w:val="24"/>
          <w:szCs w:val="24"/>
        </w:rPr>
        <w:t xml:space="preserve"> Միությունում կամ երրորդ երկրում առաջացող ցանկացած անցանկալի ռեակցիայի մասին ծանուցելու համար անհրաժեշտ միջոցներ:&gt;</w:t>
      </w:r>
    </w:p>
    <w:p w14:paraId="67D98123"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&lt;Գտնում եմ, որ հայտատուի կողմից նկարագրված դեղազգոնության համակարգն ունի հետ</w:t>
      </w:r>
      <w:r w:rsidR="00C54D75">
        <w:rPr>
          <w:rFonts w:ascii="Sylfaen" w:hAnsi="Sylfaen"/>
          <w:i/>
          <w:sz w:val="24"/>
          <w:szCs w:val="24"/>
        </w:rPr>
        <w:t>և</w:t>
      </w:r>
      <w:r w:rsidRPr="00826F05">
        <w:rPr>
          <w:rFonts w:ascii="Sylfaen" w:hAnsi="Sylfaen"/>
          <w:i/>
          <w:sz w:val="24"/>
          <w:szCs w:val="24"/>
        </w:rPr>
        <w:t>յալ թերությունները [թերությունների ցանկը]՝&gt;</w:t>
      </w:r>
    </w:p>
    <w:p w14:paraId="1E3C0F68"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i/>
          <w:sz w:val="24"/>
          <w:szCs w:val="24"/>
        </w:rPr>
        <w:t>&lt;Հայտատուի կողմից մինչ</w:t>
      </w:r>
      <w:r w:rsidR="00C54D75">
        <w:rPr>
          <w:rFonts w:ascii="Sylfaen" w:hAnsi="Sylfaen"/>
          <w:i/>
          <w:sz w:val="24"/>
          <w:szCs w:val="24"/>
        </w:rPr>
        <w:t>և</w:t>
      </w:r>
      <w:r w:rsidRPr="00826F05">
        <w:rPr>
          <w:rFonts w:ascii="Sylfaen" w:hAnsi="Sylfaen"/>
          <w:i/>
          <w:sz w:val="24"/>
          <w:szCs w:val="24"/>
        </w:rPr>
        <w:t xml:space="preserve"> դեղապատրաստուկը իրացնելը թերությունները վերացնելու դեպքում լիազորված մարմինը կարող է դեղազգոնության համակարգը ճանաչել պահանջները բավարարող: Հայտատուն պետք է դեղազգոնության համակարգի առկայությունն ու գործառումն ապահովի մինչ</w:t>
      </w:r>
      <w:r w:rsidR="00C54D75">
        <w:rPr>
          <w:rFonts w:ascii="Sylfaen" w:hAnsi="Sylfaen"/>
          <w:i/>
          <w:sz w:val="24"/>
          <w:szCs w:val="24"/>
        </w:rPr>
        <w:t>և</w:t>
      </w:r>
      <w:r w:rsidRPr="00826F05">
        <w:rPr>
          <w:rFonts w:ascii="Sylfaen" w:hAnsi="Sylfaen"/>
          <w:i/>
          <w:sz w:val="24"/>
          <w:szCs w:val="24"/>
        </w:rPr>
        <w:t xml:space="preserve"> իրացման մեկնարկը:&gt;</w:t>
      </w:r>
    </w:p>
    <w:p w14:paraId="0127CDA5" w14:textId="77777777" w:rsidR="004F5982" w:rsidRPr="00826F05" w:rsidRDefault="004F5982" w:rsidP="00487007">
      <w:pPr>
        <w:spacing w:after="160" w:line="360" w:lineRule="auto"/>
        <w:ind w:right="-1" w:firstLine="567"/>
        <w:jc w:val="both"/>
        <w:rPr>
          <w:rFonts w:ascii="Sylfaen" w:hAnsi="Sylfaen"/>
          <w:sz w:val="24"/>
          <w:szCs w:val="24"/>
        </w:rPr>
      </w:pPr>
    </w:p>
    <w:p w14:paraId="6F08E3A4" w14:textId="77777777" w:rsidR="004F5982" w:rsidRPr="00826F05" w:rsidRDefault="004F5982" w:rsidP="00487007">
      <w:pPr>
        <w:spacing w:after="160" w:line="360" w:lineRule="auto"/>
        <w:ind w:left="2268" w:right="2125"/>
        <w:jc w:val="both"/>
        <w:rPr>
          <w:rFonts w:ascii="Sylfaen" w:eastAsia="Times New Roman" w:hAnsi="Sylfaen" w:cs="Times New Roman"/>
          <w:sz w:val="24"/>
          <w:szCs w:val="24"/>
        </w:rPr>
      </w:pPr>
      <w:r w:rsidRPr="00826F05">
        <w:rPr>
          <w:rFonts w:ascii="Sylfaen" w:hAnsi="Sylfaen"/>
          <w:sz w:val="24"/>
          <w:szCs w:val="24"/>
        </w:rPr>
        <w:t>3.7. Ռիսկերի կառավարման պլանը</w:t>
      </w:r>
    </w:p>
    <w:p w14:paraId="43120D54"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Փորձագետը պետք է ավարտի դոսյեի առաջին ընդհանուր փորձաքննությունը </w:t>
      </w:r>
      <w:r w:rsidR="00C54D75">
        <w:rPr>
          <w:rFonts w:ascii="Sylfaen" w:hAnsi="Sylfaen"/>
          <w:sz w:val="24"/>
          <w:szCs w:val="24"/>
        </w:rPr>
        <w:t>և</w:t>
      </w:r>
      <w:r w:rsidRPr="00826F05">
        <w:rPr>
          <w:rFonts w:ascii="Sylfaen" w:hAnsi="Sylfaen"/>
          <w:sz w:val="24"/>
          <w:szCs w:val="24"/>
        </w:rPr>
        <w:t xml:space="preserve"> ներկայացնի ռիսկերի կառավարման պլանի (ՌԿՊ) վերաբերյալ բոլոր հիմնական դիտողությունները մինչ</w:t>
      </w:r>
      <w:r w:rsidR="00C54D75">
        <w:rPr>
          <w:rFonts w:ascii="Sylfaen" w:hAnsi="Sylfaen"/>
          <w:sz w:val="24"/>
          <w:szCs w:val="24"/>
        </w:rPr>
        <w:t>և</w:t>
      </w:r>
      <w:r w:rsidRPr="00826F05">
        <w:rPr>
          <w:rFonts w:ascii="Sylfaen" w:hAnsi="Sylfaen"/>
          <w:sz w:val="24"/>
          <w:szCs w:val="24"/>
        </w:rPr>
        <w:t xml:space="preserve"> լրացուցիչ տեղեկատվության կամ պարզաբանումների </w:t>
      </w:r>
      <w:r w:rsidRPr="00826F05">
        <w:rPr>
          <w:rFonts w:ascii="Sylfaen" w:hAnsi="Sylfaen"/>
          <w:sz w:val="24"/>
          <w:szCs w:val="24"/>
        </w:rPr>
        <w:lastRenderedPageBreak/>
        <w:t xml:space="preserve">համար առաջին հարցումը: Նպատակահարմար է նշել դոսյեի փորձաքննության ընթացքում հայտնաբերված կոնկրետ դիտողությունները </w:t>
      </w:r>
      <w:r w:rsidR="00C54D75">
        <w:rPr>
          <w:rFonts w:ascii="Sylfaen" w:hAnsi="Sylfaen"/>
          <w:sz w:val="24"/>
          <w:szCs w:val="24"/>
        </w:rPr>
        <w:t>և</w:t>
      </w:r>
      <w:r w:rsidRPr="00826F05">
        <w:rPr>
          <w:rFonts w:ascii="Sylfaen" w:hAnsi="Sylfaen"/>
          <w:sz w:val="24"/>
          <w:szCs w:val="24"/>
        </w:rPr>
        <w:t xml:space="preserve"> կասկածները, որոնք կարող են ազդել ՌԿՊ-ի վրա: Դրանց թվին են դասվում այն դիտողություններն ու կասկածները, որոնք վերաբերում են նախակլինիկական անվտանգության մասով որոշակի տվյալներին, կլինիկական դեղաբանության տվյալներում առկա բացերին, կլինիկական հետազոտության տվյալների մասով անվտանգության հնարավոր ազդանշաններին </w:t>
      </w:r>
      <w:r w:rsidR="00C54D75">
        <w:rPr>
          <w:rFonts w:ascii="Sylfaen" w:hAnsi="Sylfaen"/>
          <w:sz w:val="24"/>
          <w:szCs w:val="24"/>
        </w:rPr>
        <w:t>և</w:t>
      </w:r>
      <w:r w:rsidRPr="00826F05">
        <w:rPr>
          <w:rFonts w:ascii="Sylfaen" w:hAnsi="Sylfaen"/>
          <w:sz w:val="24"/>
          <w:szCs w:val="24"/>
        </w:rPr>
        <w:t xml:space="preserve"> այլն: Այս փուլում հատկապես կար</w:t>
      </w:r>
      <w:r w:rsidR="00C54D75">
        <w:rPr>
          <w:rFonts w:ascii="Sylfaen" w:hAnsi="Sylfaen"/>
          <w:sz w:val="24"/>
          <w:szCs w:val="24"/>
        </w:rPr>
        <w:t>և</w:t>
      </w:r>
      <w:r w:rsidRPr="00826F05">
        <w:rPr>
          <w:rFonts w:ascii="Sylfaen" w:hAnsi="Sylfaen"/>
          <w:sz w:val="24"/>
          <w:szCs w:val="24"/>
        </w:rPr>
        <w:t>որ է հայտնաբերել անվտանգության վերաբերյալ մտավախությունները (կար</w:t>
      </w:r>
      <w:r w:rsidR="00C54D75">
        <w:rPr>
          <w:rFonts w:ascii="Sylfaen" w:hAnsi="Sylfaen"/>
          <w:sz w:val="24"/>
          <w:szCs w:val="24"/>
        </w:rPr>
        <w:t>և</w:t>
      </w:r>
      <w:r w:rsidRPr="00826F05">
        <w:rPr>
          <w:rFonts w:ascii="Sylfaen" w:hAnsi="Sylfaen"/>
          <w:sz w:val="24"/>
          <w:szCs w:val="24"/>
        </w:rPr>
        <w:t>որ նույնականացված ռիսկերը, կար</w:t>
      </w:r>
      <w:r w:rsidR="00C54D75">
        <w:rPr>
          <w:rFonts w:ascii="Sylfaen" w:hAnsi="Sylfaen"/>
          <w:sz w:val="24"/>
          <w:szCs w:val="24"/>
        </w:rPr>
        <w:t>և</w:t>
      </w:r>
      <w:r w:rsidRPr="00826F05">
        <w:rPr>
          <w:rFonts w:ascii="Sylfaen" w:hAnsi="Sylfaen"/>
          <w:sz w:val="24"/>
          <w:szCs w:val="24"/>
        </w:rPr>
        <w:t>որ հնարավոր ռիսկերը, կար</w:t>
      </w:r>
      <w:r w:rsidR="00C54D75">
        <w:rPr>
          <w:rFonts w:ascii="Sylfaen" w:hAnsi="Sylfaen"/>
          <w:sz w:val="24"/>
          <w:szCs w:val="24"/>
        </w:rPr>
        <w:t>և</w:t>
      </w:r>
      <w:r w:rsidRPr="00826F05">
        <w:rPr>
          <w:rFonts w:ascii="Sylfaen" w:hAnsi="Sylfaen"/>
          <w:sz w:val="24"/>
          <w:szCs w:val="24"/>
        </w:rPr>
        <w:t>որ պակասող տեղեկատվությունը): Հատկապես կար</w:t>
      </w:r>
      <w:r w:rsidR="00C54D75">
        <w:rPr>
          <w:rFonts w:ascii="Sylfaen" w:hAnsi="Sylfaen"/>
          <w:sz w:val="24"/>
          <w:szCs w:val="24"/>
        </w:rPr>
        <w:t>և</w:t>
      </w:r>
      <w:r w:rsidRPr="00826F05">
        <w:rPr>
          <w:rFonts w:ascii="Sylfaen" w:hAnsi="Sylfaen"/>
          <w:sz w:val="24"/>
          <w:szCs w:val="24"/>
        </w:rPr>
        <w:t xml:space="preserve">որ է, եթե տվյալ հարցերը հայտատուի կողմից չեն նշվել դոսյեում </w:t>
      </w:r>
      <w:r w:rsidR="00C54D75">
        <w:rPr>
          <w:rFonts w:ascii="Sylfaen" w:hAnsi="Sylfaen"/>
          <w:sz w:val="24"/>
          <w:szCs w:val="24"/>
        </w:rPr>
        <w:t>և</w:t>
      </w:r>
      <w:r w:rsidRPr="00826F05">
        <w:rPr>
          <w:rFonts w:ascii="Sylfaen" w:hAnsi="Sylfaen"/>
          <w:sz w:val="24"/>
          <w:szCs w:val="24"/>
        </w:rPr>
        <w:t xml:space="preserve"> (կամ) չեն արտացոլվել ՌԿՊ-ում:</w:t>
      </w:r>
    </w:p>
    <w:p w14:paraId="2696338C" w14:textId="77777777" w:rsidR="004F5982" w:rsidRDefault="004F5982" w:rsidP="00487007">
      <w:pPr>
        <w:spacing w:after="160" w:line="360" w:lineRule="auto"/>
        <w:ind w:left="567" w:right="332"/>
        <w:jc w:val="center"/>
        <w:rPr>
          <w:rFonts w:ascii="Sylfaen" w:hAnsi="Sylfaen"/>
          <w:sz w:val="24"/>
          <w:szCs w:val="24"/>
        </w:rPr>
      </w:pPr>
    </w:p>
    <w:p w14:paraId="6B444824"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 xml:space="preserve">Այն դիտողությունները </w:t>
      </w:r>
      <w:r w:rsidR="00C54D75">
        <w:rPr>
          <w:rFonts w:ascii="Sylfaen" w:hAnsi="Sylfaen"/>
          <w:sz w:val="24"/>
          <w:szCs w:val="24"/>
        </w:rPr>
        <w:t>և</w:t>
      </w:r>
      <w:r w:rsidRPr="00826F05">
        <w:rPr>
          <w:rFonts w:ascii="Sylfaen" w:hAnsi="Sylfaen"/>
          <w:sz w:val="24"/>
          <w:szCs w:val="24"/>
        </w:rPr>
        <w:t xml:space="preserve"> (կամ) կասկածները, որոնք փորձագետը պետք է հաշվի առնի ՌԿՊ-ի փորձաքննության ժամանակ</w:t>
      </w:r>
    </w:p>
    <w:p w14:paraId="35907574"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Հարկավոր է նշել այն դիտողությունները </w:t>
      </w:r>
      <w:r w:rsidR="00C54D75">
        <w:rPr>
          <w:rFonts w:ascii="Sylfaen" w:hAnsi="Sylfaen"/>
          <w:sz w:val="24"/>
          <w:szCs w:val="24"/>
        </w:rPr>
        <w:t>և</w:t>
      </w:r>
      <w:r w:rsidRPr="00826F05">
        <w:rPr>
          <w:rFonts w:ascii="Sylfaen" w:hAnsi="Sylfaen"/>
          <w:sz w:val="24"/>
          <w:szCs w:val="24"/>
        </w:rPr>
        <w:t xml:space="preserve"> կասկածները, որոնք հայտնաբերվել</w:t>
      </w:r>
      <w:r>
        <w:rPr>
          <w:rFonts w:ascii="Sylfaen" w:hAnsi="Sylfaen"/>
          <w:sz w:val="24"/>
          <w:szCs w:val="24"/>
        </w:rPr>
        <w:t> </w:t>
      </w:r>
      <w:r w:rsidRPr="00826F05">
        <w:rPr>
          <w:rFonts w:ascii="Sylfaen" w:hAnsi="Sylfaen"/>
          <w:sz w:val="24"/>
          <w:szCs w:val="24"/>
        </w:rPr>
        <w:t xml:space="preserve">են դոսյեի ընդհանուր փորձաքննության անցկացման շրջանակներում, </w:t>
      </w:r>
      <w:r w:rsidR="00C54D75">
        <w:rPr>
          <w:rFonts w:ascii="Sylfaen" w:hAnsi="Sylfaen"/>
          <w:sz w:val="24"/>
          <w:szCs w:val="24"/>
        </w:rPr>
        <w:t>և</w:t>
      </w:r>
      <w:r w:rsidRPr="00826F05">
        <w:rPr>
          <w:rFonts w:ascii="Sylfaen" w:hAnsi="Sylfaen"/>
          <w:sz w:val="24"/>
          <w:szCs w:val="24"/>
        </w:rPr>
        <w:t xml:space="preserve"> որոնք պետք</w:t>
      </w:r>
      <w:r>
        <w:rPr>
          <w:rFonts w:ascii="Sylfaen" w:hAnsi="Sylfaen"/>
          <w:sz w:val="24"/>
          <w:szCs w:val="24"/>
        </w:rPr>
        <w:t> </w:t>
      </w:r>
      <w:r w:rsidRPr="00826F05">
        <w:rPr>
          <w:rFonts w:ascii="Sylfaen" w:hAnsi="Sylfaen"/>
          <w:sz w:val="24"/>
          <w:szCs w:val="24"/>
        </w:rPr>
        <w:t xml:space="preserve">է ռիսկերի կառավարման պլանի փորձաքննության ժամանակ քննության ենթարկի դեղազգոնության ոլորտի մասնագետը: </w:t>
      </w:r>
    </w:p>
    <w:p w14:paraId="01F6BE08" w14:textId="77777777" w:rsidR="004F5982" w:rsidRPr="00826F05" w:rsidRDefault="004F5982" w:rsidP="00487007">
      <w:pPr>
        <w:spacing w:after="160" w:line="360" w:lineRule="auto"/>
        <w:jc w:val="both"/>
        <w:rPr>
          <w:rFonts w:ascii="Sylfaen" w:hAnsi="Sylfaen"/>
          <w:sz w:val="24"/>
          <w:szCs w:val="24"/>
        </w:rPr>
      </w:pPr>
    </w:p>
    <w:p w14:paraId="71E4F90B"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4. Փորձագետի դիտողությունների ցանկը</w:t>
      </w:r>
    </w:p>
    <w:p w14:paraId="7833076B"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sz w:val="24"/>
          <w:szCs w:val="24"/>
        </w:rPr>
        <w:t xml:space="preserve">Կրիտիկական դիտողությունների առկայությունը դեղապատրաստուկի գրանցման հայտի հաստատման վերաբերյալ առաջարկությունը դարձնում է անհնար: Մեկ կրիտիկական դիտողությունը տեսականորեն կարող է ներառել մեկից ավելի հարցեր. այդ իսկ պատճառով տվյալ դեպքում հարկավոր է օգտագործել պարբերություններ </w:t>
      </w:r>
      <w:r w:rsidR="00C54D75">
        <w:rPr>
          <w:rFonts w:ascii="Sylfaen" w:hAnsi="Sylfaen"/>
          <w:sz w:val="24"/>
          <w:szCs w:val="24"/>
        </w:rPr>
        <w:t>և</w:t>
      </w:r>
      <w:r w:rsidRPr="00826F05">
        <w:rPr>
          <w:rFonts w:ascii="Sylfaen" w:hAnsi="Sylfaen"/>
          <w:sz w:val="24"/>
          <w:szCs w:val="24"/>
        </w:rPr>
        <w:t xml:space="preserve"> ենթավերնագրեր: Կար</w:t>
      </w:r>
      <w:r w:rsidR="00C54D75">
        <w:rPr>
          <w:rFonts w:ascii="Sylfaen" w:hAnsi="Sylfaen"/>
          <w:sz w:val="24"/>
          <w:szCs w:val="24"/>
        </w:rPr>
        <w:t>և</w:t>
      </w:r>
      <w:r w:rsidRPr="00826F05">
        <w:rPr>
          <w:rFonts w:ascii="Sylfaen" w:hAnsi="Sylfaen"/>
          <w:sz w:val="24"/>
          <w:szCs w:val="24"/>
        </w:rPr>
        <w:t xml:space="preserve">որ է, որ կրիտիկական դիտողությունը </w:t>
      </w:r>
      <w:r w:rsidRPr="00826F05">
        <w:rPr>
          <w:rFonts w:ascii="Sylfaen" w:hAnsi="Sylfaen"/>
          <w:sz w:val="24"/>
          <w:szCs w:val="24"/>
        </w:rPr>
        <w:lastRenderedPageBreak/>
        <w:t xml:space="preserve">լինի հասկանալի </w:t>
      </w:r>
      <w:r w:rsidR="00C54D75">
        <w:rPr>
          <w:rFonts w:ascii="Sylfaen" w:hAnsi="Sylfaen"/>
          <w:sz w:val="24"/>
          <w:szCs w:val="24"/>
        </w:rPr>
        <w:t>և</w:t>
      </w:r>
      <w:r w:rsidRPr="00826F05">
        <w:rPr>
          <w:rFonts w:ascii="Sylfaen" w:hAnsi="Sylfaen"/>
          <w:sz w:val="24"/>
          <w:szCs w:val="24"/>
        </w:rPr>
        <w:t xml:space="preserve"> հստակ շարադրված: Դրա համար կարող են պահանջվել մանրամասն մեկնաբանություններ՝ համապատասխան նորմատիվ իրավական ակտերին </w:t>
      </w:r>
      <w:r w:rsidR="00C54D75">
        <w:rPr>
          <w:rFonts w:ascii="Sylfaen" w:hAnsi="Sylfaen"/>
          <w:sz w:val="24"/>
          <w:szCs w:val="24"/>
        </w:rPr>
        <w:t>և</w:t>
      </w:r>
      <w:r w:rsidRPr="00826F05">
        <w:rPr>
          <w:rFonts w:ascii="Sylfaen" w:hAnsi="Sylfaen"/>
          <w:sz w:val="24"/>
          <w:szCs w:val="24"/>
        </w:rPr>
        <w:t xml:space="preserve"> առաջարկություններին (ձեռնարկներին) արված հղումներով:</w:t>
      </w:r>
    </w:p>
    <w:p w14:paraId="58B07E58"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Լավագույն դեպքում դիտողությունը պետք է ներառի հայտատուից ակնկալվող պատասխանի կամ միջոցների վերաբերյալ պարզաբանումներ:</w:t>
      </w:r>
    </w:p>
    <w:p w14:paraId="05EBD428" w14:textId="77777777" w:rsidR="004F5982" w:rsidRPr="00826F05" w:rsidRDefault="004F5982" w:rsidP="00487007">
      <w:pPr>
        <w:spacing w:after="160" w:line="360" w:lineRule="auto"/>
        <w:ind w:right="-1" w:firstLine="567"/>
        <w:jc w:val="both"/>
        <w:rPr>
          <w:rFonts w:ascii="Sylfaen" w:eastAsia="Times New Roman" w:hAnsi="Sylfaen" w:cs="Times New Roman"/>
          <w:sz w:val="24"/>
          <w:szCs w:val="24"/>
        </w:rPr>
      </w:pPr>
      <w:r w:rsidRPr="00826F05">
        <w:rPr>
          <w:rFonts w:ascii="Sylfaen" w:hAnsi="Sylfaen"/>
          <w:sz w:val="24"/>
          <w:szCs w:val="24"/>
        </w:rPr>
        <w:t xml:space="preserve">«Այլ դիտողություններ» կարող են ազդել գրանցման հավաստագիր ստանալու համար առաջարկվող պայմանների </w:t>
      </w:r>
      <w:r w:rsidR="00C54D75">
        <w:rPr>
          <w:rFonts w:ascii="Sylfaen" w:hAnsi="Sylfaen"/>
          <w:sz w:val="24"/>
          <w:szCs w:val="24"/>
        </w:rPr>
        <w:t>և</w:t>
      </w:r>
      <w:r w:rsidRPr="00826F05">
        <w:rPr>
          <w:rFonts w:ascii="Sylfaen" w:hAnsi="Sylfaen"/>
          <w:sz w:val="24"/>
          <w:szCs w:val="24"/>
        </w:rPr>
        <w:t xml:space="preserve"> դեղապատրաստուկի մասին տեղեկատվության բովանդակության վրա: Այս խնդրահարույց հարցերը պետք է լուծվեն հայտը հաստատելուցուց առաջ, հակառակ դեպքում հայտը կարող է մերժվել:</w:t>
      </w:r>
    </w:p>
    <w:p w14:paraId="4336C25F" w14:textId="77777777" w:rsidR="004F5982" w:rsidRPr="00826F05" w:rsidRDefault="004F5982" w:rsidP="00487007">
      <w:pPr>
        <w:spacing w:after="160" w:line="360" w:lineRule="auto"/>
        <w:ind w:right="-1" w:firstLine="567"/>
        <w:jc w:val="both"/>
        <w:rPr>
          <w:rFonts w:ascii="Sylfaen" w:hAnsi="Sylfaen"/>
          <w:sz w:val="24"/>
          <w:szCs w:val="24"/>
        </w:rPr>
      </w:pPr>
      <w:r w:rsidRPr="00826F05">
        <w:rPr>
          <w:rFonts w:ascii="Sylfaen" w:hAnsi="Sylfaen"/>
          <w:sz w:val="24"/>
          <w:szCs w:val="24"/>
        </w:rPr>
        <w:t>Դիտողությունների տվյալ ցանկն անհրաժեշտ է պատճենել փորձագիտական հաշվետվության «Ընդհանուր նկարագրություն» բաժնում:</w:t>
      </w:r>
    </w:p>
    <w:p w14:paraId="26CB8710" w14:textId="77777777" w:rsidR="004F5982" w:rsidRDefault="004F5982" w:rsidP="00487007">
      <w:pPr>
        <w:spacing w:after="160" w:line="360" w:lineRule="auto"/>
        <w:ind w:left="567" w:right="332"/>
        <w:jc w:val="center"/>
        <w:rPr>
          <w:rFonts w:ascii="Sylfaen" w:hAnsi="Sylfaen"/>
          <w:sz w:val="24"/>
          <w:szCs w:val="24"/>
        </w:rPr>
      </w:pPr>
    </w:p>
    <w:p w14:paraId="69092E67" w14:textId="77777777" w:rsidR="004F5982" w:rsidRPr="00826F05" w:rsidRDefault="004F5982" w:rsidP="00487007">
      <w:pPr>
        <w:spacing w:after="160" w:line="360" w:lineRule="auto"/>
        <w:ind w:left="567" w:right="332"/>
        <w:jc w:val="center"/>
        <w:rPr>
          <w:rFonts w:ascii="Sylfaen" w:eastAsia="Times New Roman" w:hAnsi="Sylfaen" w:cs="Times New Roman"/>
          <w:sz w:val="24"/>
          <w:szCs w:val="24"/>
        </w:rPr>
      </w:pPr>
      <w:r w:rsidRPr="00826F05">
        <w:rPr>
          <w:rFonts w:ascii="Sylfaen" w:hAnsi="Sylfaen"/>
          <w:sz w:val="24"/>
          <w:szCs w:val="24"/>
        </w:rPr>
        <w:t xml:space="preserve">5. Փորձագետի կողմից առաջարկվող պայմանները, որոնց կատարումը հայտատուի կողմից անհրաժեշտ է գրանցման հավաստագիրը ստանալուց </w:t>
      </w:r>
      <w:r w:rsidR="00C54D75">
        <w:rPr>
          <w:rFonts w:ascii="Sylfaen" w:hAnsi="Sylfaen"/>
          <w:sz w:val="24"/>
          <w:szCs w:val="24"/>
        </w:rPr>
        <w:t>և</w:t>
      </w:r>
      <w:r w:rsidRPr="00826F05">
        <w:rPr>
          <w:rFonts w:ascii="Sylfaen" w:hAnsi="Sylfaen"/>
          <w:sz w:val="24"/>
          <w:szCs w:val="24"/>
        </w:rPr>
        <w:t xml:space="preserve"> դեղապատրաստուկի ընդհանուր բնութագիրը, բժշկական կիրառման հրահանգը (ներդիր թերթիկը) </w:t>
      </w:r>
      <w:r w:rsidR="00C54D75">
        <w:rPr>
          <w:rFonts w:ascii="Sylfaen" w:hAnsi="Sylfaen"/>
          <w:sz w:val="24"/>
          <w:szCs w:val="24"/>
        </w:rPr>
        <w:t>և</w:t>
      </w:r>
      <w:r w:rsidRPr="00826F05">
        <w:rPr>
          <w:rFonts w:ascii="Sylfaen" w:hAnsi="Sylfaen"/>
          <w:sz w:val="24"/>
          <w:szCs w:val="24"/>
        </w:rPr>
        <w:t xml:space="preserve"> դեղապատրաստուկի փաթեթվածքի դիզայնը հաստատելուց հետո:</w:t>
      </w:r>
    </w:p>
    <w:p w14:paraId="20460B19" w14:textId="77777777" w:rsidR="004F5982" w:rsidRPr="00826F05" w:rsidRDefault="004F5982" w:rsidP="00487007">
      <w:pPr>
        <w:spacing w:after="160" w:line="360" w:lineRule="auto"/>
        <w:ind w:right="332" w:firstLine="567"/>
        <w:jc w:val="center"/>
        <w:rPr>
          <w:rFonts w:ascii="Sylfaen" w:hAnsi="Sylfaen"/>
          <w:sz w:val="24"/>
          <w:szCs w:val="24"/>
        </w:rPr>
      </w:pPr>
    </w:p>
    <w:p w14:paraId="3A248437" w14:textId="77777777" w:rsidR="004F5982" w:rsidRDefault="004F5982" w:rsidP="00487007">
      <w:pPr>
        <w:pBdr>
          <w:bottom w:val="single" w:sz="6" w:space="1" w:color="auto"/>
        </w:pBdr>
        <w:spacing w:after="160" w:line="360" w:lineRule="auto"/>
        <w:ind w:left="567" w:right="332"/>
        <w:jc w:val="center"/>
        <w:rPr>
          <w:rFonts w:ascii="Sylfaen" w:hAnsi="Sylfaen"/>
          <w:sz w:val="24"/>
          <w:szCs w:val="24"/>
        </w:rPr>
      </w:pPr>
      <w:r w:rsidRPr="00826F05">
        <w:rPr>
          <w:rFonts w:ascii="Sylfaen" w:hAnsi="Sylfaen"/>
          <w:sz w:val="24"/>
          <w:szCs w:val="24"/>
        </w:rPr>
        <w:t>6. Գրականության ցանկը</w:t>
      </w:r>
    </w:p>
    <w:p w14:paraId="58C2C7F0" w14:textId="77777777" w:rsidR="00852B2A" w:rsidRDefault="00852B2A" w:rsidP="00BD67EC">
      <w:pPr>
        <w:spacing w:after="160" w:line="360" w:lineRule="auto"/>
        <w:ind w:left="5103"/>
        <w:jc w:val="center"/>
        <w:rPr>
          <w:rFonts w:ascii="Sylfaen" w:hAnsi="Sylfaen"/>
          <w:sz w:val="24"/>
          <w:szCs w:val="24"/>
        </w:rPr>
      </w:pPr>
    </w:p>
    <w:p w14:paraId="3512E2E7" w14:textId="77777777" w:rsidR="00852B2A" w:rsidRDefault="00852B2A" w:rsidP="00BD67EC">
      <w:pPr>
        <w:spacing w:after="160" w:line="360" w:lineRule="auto"/>
        <w:ind w:left="5103"/>
        <w:jc w:val="center"/>
        <w:rPr>
          <w:rFonts w:ascii="Sylfaen" w:hAnsi="Sylfaen"/>
          <w:sz w:val="24"/>
          <w:szCs w:val="24"/>
        </w:rPr>
      </w:pPr>
    </w:p>
    <w:p w14:paraId="3DE87D61" w14:textId="77777777" w:rsidR="00852B2A" w:rsidRDefault="00852B2A" w:rsidP="00BD67EC">
      <w:pPr>
        <w:spacing w:after="160" w:line="360" w:lineRule="auto"/>
        <w:ind w:left="5103"/>
        <w:jc w:val="center"/>
        <w:rPr>
          <w:rFonts w:ascii="Sylfaen" w:hAnsi="Sylfaen"/>
          <w:sz w:val="24"/>
          <w:szCs w:val="24"/>
        </w:rPr>
      </w:pPr>
    </w:p>
    <w:p w14:paraId="05F57F0C" w14:textId="77777777" w:rsidR="00852B2A" w:rsidRDefault="00852B2A" w:rsidP="00BD67EC">
      <w:pPr>
        <w:spacing w:after="160" w:line="360" w:lineRule="auto"/>
        <w:ind w:left="5103"/>
        <w:jc w:val="center"/>
        <w:rPr>
          <w:rFonts w:ascii="Sylfaen" w:hAnsi="Sylfaen"/>
          <w:sz w:val="24"/>
          <w:szCs w:val="24"/>
        </w:rPr>
      </w:pPr>
    </w:p>
    <w:p w14:paraId="672862AD" w14:textId="1B1EC197" w:rsidR="00BD67EC" w:rsidRPr="00B96C43" w:rsidRDefault="00BD67EC" w:rsidP="00BD67EC">
      <w:pPr>
        <w:spacing w:after="160" w:line="360" w:lineRule="auto"/>
        <w:ind w:left="5103"/>
        <w:jc w:val="center"/>
        <w:rPr>
          <w:rFonts w:ascii="Sylfaen" w:hAnsi="Sylfaen"/>
          <w:sz w:val="24"/>
          <w:szCs w:val="24"/>
        </w:rPr>
      </w:pPr>
      <w:r w:rsidRPr="00B96C43">
        <w:rPr>
          <w:rFonts w:ascii="Sylfaen" w:hAnsi="Sylfaen"/>
          <w:sz w:val="24"/>
          <w:szCs w:val="24"/>
        </w:rPr>
        <w:lastRenderedPageBreak/>
        <w:t>ՀԱՎԵԼՎԱԾ ԹԻՎ 24</w:t>
      </w:r>
    </w:p>
    <w:p w14:paraId="135E6E07" w14:textId="77777777" w:rsidR="00BD67EC" w:rsidRPr="00B96C43" w:rsidRDefault="00BD67EC" w:rsidP="00BD67EC">
      <w:pPr>
        <w:spacing w:after="160" w:line="360" w:lineRule="auto"/>
        <w:ind w:left="5103"/>
        <w:jc w:val="center"/>
        <w:rPr>
          <w:rFonts w:ascii="Sylfaen" w:hAnsi="Sylfaen"/>
          <w:sz w:val="24"/>
          <w:szCs w:val="24"/>
        </w:rPr>
      </w:pPr>
      <w:r w:rsidRPr="00B96C43">
        <w:rPr>
          <w:rFonts w:ascii="Sylfaen" w:hAnsi="Sylfaen"/>
          <w:sz w:val="24"/>
          <w:szCs w:val="24"/>
        </w:rPr>
        <w:t>բժշկական կիրառության դեղամիջոցների գրանցման եւ փորձաքննության կանոնների</w:t>
      </w:r>
    </w:p>
    <w:p w14:paraId="28AFBA97" w14:textId="77777777" w:rsidR="00BD67EC" w:rsidRPr="00B96C43" w:rsidRDefault="00BD67EC" w:rsidP="00BD67EC">
      <w:pPr>
        <w:pStyle w:val="Bodytext30"/>
        <w:shd w:val="clear" w:color="auto" w:fill="auto"/>
        <w:spacing w:after="160" w:line="360" w:lineRule="auto"/>
        <w:rPr>
          <w:rStyle w:val="Bodytext3Spacing3pt"/>
          <w:rFonts w:ascii="Sylfaen" w:hAnsi="Sylfaen"/>
          <w:b/>
          <w:bCs/>
          <w:sz w:val="24"/>
          <w:szCs w:val="24"/>
        </w:rPr>
      </w:pPr>
    </w:p>
    <w:p w14:paraId="78960799" w14:textId="77777777" w:rsidR="00BD67EC" w:rsidRPr="00BD67EC" w:rsidRDefault="00BD67EC" w:rsidP="00BD67EC">
      <w:pPr>
        <w:pStyle w:val="Bodytext30"/>
        <w:shd w:val="clear" w:color="auto" w:fill="auto"/>
        <w:spacing w:after="160" w:line="360" w:lineRule="auto"/>
        <w:rPr>
          <w:rFonts w:ascii="Sylfaen" w:hAnsi="Sylfaen"/>
          <w:sz w:val="24"/>
          <w:szCs w:val="24"/>
          <w:lang w:val="hy-AM"/>
        </w:rPr>
      </w:pPr>
      <w:r w:rsidRPr="00B96C43">
        <w:rPr>
          <w:rStyle w:val="Bodytext3Spacing3pt"/>
          <w:rFonts w:ascii="Sylfaen" w:hAnsi="Sylfaen"/>
          <w:sz w:val="24"/>
          <w:szCs w:val="24"/>
        </w:rPr>
        <w:t>ՊԱՀԱՆՋՆԵՐ</w:t>
      </w:r>
    </w:p>
    <w:p w14:paraId="2EAE6322" w14:textId="77777777" w:rsidR="00BD67EC" w:rsidRPr="00BD67EC" w:rsidRDefault="00BD67EC" w:rsidP="00BD67EC">
      <w:pPr>
        <w:pStyle w:val="Bodytext30"/>
        <w:shd w:val="clear" w:color="auto" w:fill="auto"/>
        <w:spacing w:after="160" w:line="360" w:lineRule="auto"/>
        <w:rPr>
          <w:rFonts w:ascii="Sylfaen" w:hAnsi="Sylfaen"/>
          <w:sz w:val="24"/>
          <w:szCs w:val="24"/>
          <w:lang w:val="hy-AM"/>
        </w:rPr>
      </w:pPr>
      <w:r w:rsidRPr="00BD67EC">
        <w:rPr>
          <w:rFonts w:ascii="Sylfaen" w:hAnsi="Sylfaen"/>
          <w:sz w:val="24"/>
          <w:szCs w:val="24"/>
          <w:lang w:val="hy-AM"/>
        </w:rPr>
        <w:t xml:space="preserve">գրիպի կանխարգելման համար նախատեսված պատվաստանյութերի շտամային բաղադրության փոփոխման դեպքում սեզոնային, համավարակային եւ նախահամավարակային (զոոնոզ) պատվաստանյութերի գրանցման դոսյեում փոփոխություններ կատարելու ընթացակարգին, ինչպես նաեւ </w:t>
      </w:r>
      <w:r w:rsidRPr="00BD67EC">
        <w:rPr>
          <w:rFonts w:ascii="Sylfaen" w:hAnsi="Sylfaen"/>
          <w:sz w:val="24"/>
          <w:szCs w:val="24"/>
          <w:lang w:val="hy-AM"/>
        </w:rPr>
        <w:br/>
        <w:t>գրիպի կանխարգելման համար նախատեսված սեզոնային, համավարակային եւ նախահամավարակային (զոոնոզ) պատվաստանյութերի գրանցմանը ներկայացվող</w:t>
      </w:r>
    </w:p>
    <w:p w14:paraId="731DCE37" w14:textId="77777777" w:rsidR="00BD67EC" w:rsidRPr="00B96C43" w:rsidRDefault="00BD67EC" w:rsidP="00BD67EC">
      <w:pPr>
        <w:spacing w:after="160" w:line="360" w:lineRule="auto"/>
        <w:jc w:val="center"/>
        <w:rPr>
          <w:rFonts w:ascii="Sylfaen" w:hAnsi="Sylfaen"/>
          <w:sz w:val="24"/>
          <w:szCs w:val="24"/>
        </w:rPr>
      </w:pPr>
    </w:p>
    <w:p w14:paraId="597CFD07"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I. Ընդհանուր դրույթներ</w:t>
      </w:r>
    </w:p>
    <w:p w14:paraId="2B03E8D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Սույն պահանջները տարածվում են գրիպի կանխարգելման համար նախատեսված պատվաստանյութերի գրանցման ընթացակարգերի վրա եւ սահմանում են արագացված ընթացակարգով գրիպի կանխարգելման համար նախատեսված պատվաստանյութերի շտամային բաղադրության փոփոխման (թարմացման) դեպքում սեզոնային, համավարակային եւ նախահամավարակային (զոոնոզ) պատվաստանյութերի գրանցման դոսյեում փոփոխություններ կատարելու, ինչպես նաեւ Եվրասիական տնտեսական միության (այսուհետ՝ Միություն) մաքսային տարածքում գրիպի կանխարգելման համար նախատեսված սեզոնային, համավարակային եւ նախահամավարակային (զոոնոզ) պատվաստանյութերը գրանցելու միասնական կարգը։</w:t>
      </w:r>
    </w:p>
    <w:p w14:paraId="5009084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Սույն պահանջներն անքակտելիորեն կապված են Եվրասիական տնտեսական </w:t>
      </w:r>
      <w:r w:rsidRPr="00B96C43">
        <w:rPr>
          <w:rFonts w:ascii="Sylfaen" w:hAnsi="Sylfaen"/>
          <w:sz w:val="24"/>
          <w:szCs w:val="24"/>
        </w:rPr>
        <w:lastRenderedPageBreak/>
        <w:t>հանձնաժողովի խորհրդի 2016 թվականի նոյեմբերի 3-ի թիվ 89 որոշմամբ հաստատված՝ Եվրասիական տնտեսական միության կենսաբանական դեղամիջոցների հետազոտությունների անցկացման կանոնների հետ։</w:t>
      </w:r>
    </w:p>
    <w:p w14:paraId="05905DA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Սույն պահանջները չեն տարածվում գրիպի կանխարգելման համար նախատեսված սեզոնային, համավարակային եւ հակահամավարակային (զոոնոզ) պատվաստանյութերի շտամային բաղադրության փոփոխման (թարմացման) հետ կապ չունեցող փոփոխությունների վրա։ </w:t>
      </w:r>
    </w:p>
    <w:p w14:paraId="0E655D75" w14:textId="77777777" w:rsidR="00BD67EC" w:rsidRPr="00B96C43" w:rsidRDefault="00BD67EC" w:rsidP="00BD67EC">
      <w:pPr>
        <w:spacing w:after="160" w:line="360" w:lineRule="auto"/>
        <w:jc w:val="both"/>
      </w:pPr>
    </w:p>
    <w:p w14:paraId="61BF152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II. Սահմանումները</w:t>
      </w:r>
    </w:p>
    <w:p w14:paraId="7A9BC6E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Սույն պահանջների նպատակներով օգտագործվում են հասկացություններ, որոնք ունեն հետեւյալ իմաստը՝</w:t>
      </w:r>
    </w:p>
    <w:p w14:paraId="452B1D5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«համավարակի պատրաստվածության պատվաստանյութ»՝ գրիպի կանխարգելման համար նախատեսված թեկնածուական պատվաստանյութ (կամ պատվաստանյութի պատրաստման տեխնոլոգիա), որը մշակվում է գրիպի վիրուսի համավարակային շտամներով պայմանավորված գրիպի առաջացման դեպքում բնակչության իմունացման նպատակով.</w:t>
      </w:r>
    </w:p>
    <w:p w14:paraId="22111861"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«համավարակային պատվաստանյութ»՝ գրիպի կանխարգելման համար նախատեսված պատվաստանյութ, որը նախատեսված է գրիպի վիրուսի համավարակային շտամներով պայմանավորված գրիպի առաջացման դեպքում բնակչության իմունացման համար.</w:t>
      </w:r>
    </w:p>
    <w:p w14:paraId="04E0F43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«նախահամավարակային (զոոնոզ) պատվաստանյութ»՝ գրիպի կանխարգելման համար նախատեսված պատվաստանյութ, որը նախատեսված է գրիպի վիրուսի զոոնոզ շտամներով պայմանավորվող գրիպի բռնկումների առաջացման դեպքում բնակչության իմունացման համար.</w:t>
      </w:r>
    </w:p>
    <w:p w14:paraId="4504C30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«սեզոնային պատվաստանյութ»՝ գրիպի վիրուսի համաճարակային շտամներով </w:t>
      </w:r>
      <w:r w:rsidRPr="00B96C43">
        <w:rPr>
          <w:rFonts w:ascii="Sylfaen" w:hAnsi="Sylfaen"/>
          <w:sz w:val="24"/>
          <w:szCs w:val="24"/>
        </w:rPr>
        <w:lastRenderedPageBreak/>
        <w:t>պայմանավորվող գրիպի կանխարգելման համար նախատեսված պատվաստանյութ, որը նախատեսված է բնակչության ամենամյա իմունացման համար.</w:t>
      </w:r>
    </w:p>
    <w:p w14:paraId="62BBE65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կամ ճանաչման պետությունների լիազորված մարմին (փորձագիտական կազմակերպություն)»՝ Միության անդամ պետության՝ դեղամիջոցների շրջանառության ոլորտում լիազորված մարմին, այդ թվում՝ բժշկական կիրառության դեղամիջոցների գրանցում, գրանցման հաստատում (</w:t>
      </w:r>
      <w:r w:rsidRPr="00B96C43">
        <w:rPr>
          <w:rFonts w:ascii="Sylfaen" w:hAnsi="Sylfaen"/>
          <w:spacing w:val="-4"/>
          <w:sz w:val="24"/>
          <w:szCs w:val="24"/>
        </w:rPr>
        <w:t>վերագրանցում), գրանցման դոսյեում փոփոխությունների կատարում եւ Եվրասիական տնտեսական հանձնաժողովի խորհրդի 2016 թվականի նոյեմբերի</w:t>
      </w:r>
      <w:r w:rsidRPr="00B96C43">
        <w:rPr>
          <w:rFonts w:ascii="Sylfaen" w:hAnsi="Sylfaen"/>
          <w:sz w:val="24"/>
          <w:szCs w:val="24"/>
        </w:rPr>
        <w:t xml:space="preserve"> 3-ի թիվ 78 որոշմամբ հաստատված՝ բժշկական կիրառության դեղամիջոցների գրանցման եւ փորձաքննության կանոններով (այսուհետ՝ Կանոններ) նախատեսված՝ բժշկական կիրառության դեղամիջոցների գրանցման հետ կապված այլ ընթացակարգեր իրականացնելու համար լիազորված մարմին։</w:t>
      </w:r>
    </w:p>
    <w:p w14:paraId="5D7FC9C1" w14:textId="77777777" w:rsidR="00BD67EC" w:rsidRPr="00B96C43" w:rsidRDefault="00BD67EC" w:rsidP="00BD67EC">
      <w:pPr>
        <w:spacing w:after="160" w:line="360" w:lineRule="auto"/>
        <w:rPr>
          <w:rFonts w:ascii="Sylfaen" w:hAnsi="Sylfaen"/>
          <w:sz w:val="24"/>
          <w:szCs w:val="24"/>
        </w:rPr>
      </w:pPr>
    </w:p>
    <w:p w14:paraId="0A6BD585"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III. Գրիպի կանխարգելման համար նախատեսված պատվաստանյութերի գրանցմանը եւ դրանց շտամային բաղադրության մեջ փոփոխությունների կատարմանը ներկայացվող՝ կարգավորող ու ընթացակարգային պահանջները</w:t>
      </w:r>
    </w:p>
    <w:p w14:paraId="65EB1213" w14:textId="77777777" w:rsidR="00BD67EC" w:rsidRPr="00B96C43" w:rsidRDefault="00BD67EC" w:rsidP="00BD67EC">
      <w:pPr>
        <w:spacing w:after="160" w:line="360" w:lineRule="auto"/>
        <w:jc w:val="center"/>
      </w:pPr>
    </w:p>
    <w:p w14:paraId="06215D0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 xml:space="preserve">1. Գրիպի կանխարգելման համար նախատեսված </w:t>
      </w:r>
      <w:r w:rsidRPr="00B96C43">
        <w:rPr>
          <w:rFonts w:ascii="Sylfaen" w:hAnsi="Sylfaen"/>
          <w:sz w:val="24"/>
          <w:szCs w:val="24"/>
        </w:rPr>
        <w:br/>
        <w:t>սեզոնային պատվաստանյութեր</w:t>
      </w:r>
    </w:p>
    <w:p w14:paraId="48FAFEF5" w14:textId="77777777" w:rsidR="00BD67EC" w:rsidRPr="00B96C43" w:rsidRDefault="00BD67EC" w:rsidP="00BD67EC">
      <w:pPr>
        <w:spacing w:after="160" w:line="360" w:lineRule="auto"/>
        <w:jc w:val="center"/>
      </w:pPr>
    </w:p>
    <w:p w14:paraId="6013CAED"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 xml:space="preserve">1.1. Գրիպի կանխարգելման համար նախատեսված պատվաստանյութի </w:t>
      </w:r>
      <w:r w:rsidRPr="00B96C43">
        <w:rPr>
          <w:rFonts w:ascii="Sylfaen" w:hAnsi="Sylfaen"/>
          <w:sz w:val="24"/>
          <w:szCs w:val="24"/>
        </w:rPr>
        <w:br/>
        <w:t>գրանցման վերաբերյալ դիմումին ներկայացվող պահանջները</w:t>
      </w:r>
    </w:p>
    <w:p w14:paraId="7071EFD9" w14:textId="43F6FB9B" w:rsidR="00BD67EC" w:rsidRPr="00852B2A" w:rsidRDefault="00BD67EC" w:rsidP="00852B2A">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նոր սեզոնային պատվաստանյութի գրանցման վերաբերյալ դիմումին կից պետք է ներկայացվի փաստաթղթերի լրակազմ փաթեթ՝ Կանոնների թիվ 1 հավելվածի համաձայն։</w:t>
      </w:r>
    </w:p>
    <w:p w14:paraId="5E0B5DB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lastRenderedPageBreak/>
        <w:t xml:space="preserve">1.2. Գրիպի կանխարգելման համար նախատեսված՝ </w:t>
      </w:r>
      <w:r w:rsidRPr="00B96C43">
        <w:rPr>
          <w:rFonts w:ascii="Sylfaen" w:hAnsi="Sylfaen"/>
          <w:sz w:val="24"/>
          <w:szCs w:val="24"/>
        </w:rPr>
        <w:br/>
        <w:t>սեզոնային պատվաստանյութերի շտամային բաղադրության փոփոխման վերաբերյալ դիմումին ներկայացվող պահանջները</w:t>
      </w:r>
    </w:p>
    <w:p w14:paraId="7517992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Դիմումատուն իրավունք ունի ներկայացնելու գրիպի կանխարգելման համար նախատեսված՝ սեզոնային պատվաստանյութի շտամային բաղադրության մեջ փոփոխություններ կատարելու վերաբերյալ դիմում՝ Առողջապահության համաշխարհային կազմակերպության (ԱՀԿ)՝ գրիպի դեմ պատվաստման վերաբերյալ ամենամյա ուղեցույցների հրապարակմանը հաջորդող այդ դիմումների ընդունումն սկսելու մասին Միության անդամ պետության (այսուհետ՝ անդամ պետություն) լիազորված մարմնի (փորձագիտական կազմակերպության) պաշտոնական ծանուցումից հետո եւ մինչեւ ռեֆերենտ պետության լիազորված մարմնի (փորձագիտական կազմակերպության) կողմից սահմանվող վերջնաժամկետի ավարտը։ Դիմում ներկայացնելիս անհրաժեշտ է պահպանել Կանոնների թիվ 2, 19 եւ 20 հավելվածների դրույթները։</w:t>
      </w:r>
    </w:p>
    <w:p w14:paraId="255CA081"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Դեղապատրաստուկի գրանցման դոսյեում փոփոխություններ կատարելու վերաբերյալ դիմումի III ձեւի (Կանոնների թիվ 2 հավելված) «Կատարվող փոփոխությունները» 2-րդ կետում նշված աղյուսակի «Փոփոխության անվանումը» սյունակում անհրաժեշտ է նշել՝ «Գրիպի կանխարգելման համար նախատեսված պատվաստանյութի շտամի (շտամների) ամենամյա թարմացում»։ Դիմումը պետք է ներկայացնել Բ.I.ա.5 II տեսակի փոփոխության ընթացակարգով (Կանոնների թիվ 19 հավելվածին համապատասխան)։ </w:t>
      </w:r>
    </w:p>
    <w:p w14:paraId="6D86353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պատվաստանյութի շտամի (շտամների) ամենամյա թարմացման նպատակով՝ Կանոնների թիվ 19 հավելվածի 2.3-րդ եւ 3.3-րդ ենթաբաժիններով նախատեսված դրույթներից բացառության կարգով կիրառվում է ակտիվ դեղագործական բաղադրամասի փոփոխություններին առնչվող փոփոխությունների փորձաքննության՝ ստորեւ նկարագրված ընթացակարգը։</w:t>
      </w:r>
    </w:p>
    <w:p w14:paraId="50B4CD08" w14:textId="77777777" w:rsidR="00BD67EC" w:rsidRPr="00B96C43" w:rsidRDefault="00BD67EC" w:rsidP="00BD67EC">
      <w:pPr>
        <w:spacing w:after="160" w:line="360" w:lineRule="auto"/>
        <w:ind w:firstLine="567"/>
        <w:rPr>
          <w:rFonts w:ascii="Sylfaen" w:hAnsi="Sylfaen"/>
          <w:sz w:val="24"/>
          <w:szCs w:val="24"/>
        </w:rPr>
      </w:pPr>
    </w:p>
    <w:p w14:paraId="432A9987"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Տվյալ ընթացակարգի շրջանակներում դիմումատուին չի թույլատրվում որեւէ փոփոխություններ կատարել, իսկ ռեֆերենտ պետության եւ ճանաչման պետությունների լիազորված մարմիններին (փորձագիտական կազմակերպություններին)՝ պահանջել գրիպի կանխարգելման համար նախատեսված պատվաստանյութի գրանցման դոսյեի կազմում որեւէ փոփոխության կատարում՝ բացառությամբ շտամային բաղադրության փոփոխմամբ պայմանավորված փոփոխությունների։ Փոփոխությունները, որոնք պայմանավորված չեն նոր շտամների առաջացմամբ, կատարվում են Կանոնների թիվ 19 հավելվածի II ու III բաժիններին եւ թիվ 20 հավելվածին համապատասխան։</w:t>
      </w:r>
    </w:p>
    <w:p w14:paraId="54509FE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Նախքան պատվաստանյութի շտամային բաղադրության փոփոխման վերաբերյալ դիմում ներկայացնելը՝ դիմումատուն իրավունք ունի նախապես դիմելու ռեֆերենտ պետության լիազորված մարմին (փորձագիտական կազմակերպություն)՝ կատարվող փոփոխությունների փորձաքննության ընթացակարգի պլանավորման համար գիտական եւ նախագրանցումային խորհրդակցություններ անցկացնելու վերաբերյալ հարցմամբ, այդ թվում՝ այդպիսի ընթացակարգով նախատեսված ժամկետներից հնարավոր շեղումների դեպքում։</w:t>
      </w:r>
    </w:p>
    <w:p w14:paraId="3413C5FA" w14:textId="77777777" w:rsidR="00BD67EC" w:rsidRPr="00B96C43" w:rsidRDefault="00BD67EC" w:rsidP="00BD67EC">
      <w:pPr>
        <w:spacing w:after="160" w:line="360" w:lineRule="auto"/>
        <w:rPr>
          <w:rFonts w:ascii="Sylfaen" w:hAnsi="Sylfaen"/>
          <w:sz w:val="24"/>
          <w:szCs w:val="24"/>
        </w:rPr>
      </w:pPr>
    </w:p>
    <w:p w14:paraId="759EC5DC"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1.3. Գրիպի կանխարգելման համար նախատեսված սեզոնային պատվաստանյութերի բաղադրության մեջ օգտագործման համար գրիպի վիրուսի՝ համաճարակային առումով արդիական շտամների ընտրությունը</w:t>
      </w:r>
    </w:p>
    <w:p w14:paraId="6719720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pacing w:val="-4"/>
          <w:sz w:val="24"/>
          <w:szCs w:val="24"/>
        </w:rPr>
        <w:t>Առաջիկա համաճարակային սեզոնին նախապատրաստվելիս թույլատրվում</w:t>
      </w:r>
      <w:r w:rsidRPr="00B96C43">
        <w:rPr>
          <w:rFonts w:ascii="Sylfaen" w:hAnsi="Sylfaen"/>
          <w:sz w:val="24"/>
          <w:szCs w:val="24"/>
        </w:rPr>
        <w:t xml:space="preserve"> է գրիպի կանխարգելման համար նախատեսված սեզոնային գրանցված պատվաստանյութերի կազմում յուրաքանչյուր տարի կատարել փոփոխություններ՝ ԱՀԿ-ի ուղեցույցների հիման վրա շտամը (շտամները) փոխարինելու նպատակով։ ԱՀԿ-ի ուղեցույցներով չսահմանված գրիպի վիրուսների շտամների </w:t>
      </w:r>
      <w:r w:rsidRPr="00B96C43">
        <w:rPr>
          <w:rFonts w:ascii="Sylfaen" w:hAnsi="Sylfaen"/>
          <w:sz w:val="24"/>
          <w:szCs w:val="24"/>
        </w:rPr>
        <w:lastRenderedPageBreak/>
        <w:t>շրջանառությամբ՝ գրիպի համաճարակային իրավիճակների առաջացումը կանխատեսելիս անդամ պետությունն իրավունք ունի ընդունելու գրիպի կանխարգելման համար նախատեսված պատվաստանյութերի գրանցման դոսյեում փոփոխություններ կատարելու վերաբերյալ որոշումներ՝ անդամ պետության լիազորված մարմնի կամ անդամ պետության գրիպի հարցերով հանձնաժողովի որոշման հիման վրա։</w:t>
      </w:r>
    </w:p>
    <w:p w14:paraId="56390A3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Տարին երկու անգամ (որպես կանոն՝ փետրվար-մարտ ամիսներին՝ Հյուսիսային կիսագնդի համար, եւ սեպտեմբերին՝ Հարավային կիսագնդի համար) ԱՀԿ-ն հրապարակում է ուղեցույցներ A եւ B գրիպի վիրուսի շտամների վերաբերյալ, որոնք պետք է օգտագործել առաջիկա համաճարակային սեզոնի համար նախատեսված՝ գրիպի կանխարգելման համար նախատեսված պատվաստանյութերի արտադրության մեջ։</w:t>
      </w:r>
    </w:p>
    <w:p w14:paraId="6549508B" w14:textId="77777777" w:rsidR="00BD67EC" w:rsidRPr="00B96C43" w:rsidRDefault="00BD67EC" w:rsidP="00BD67EC">
      <w:pPr>
        <w:spacing w:after="160" w:line="360" w:lineRule="auto"/>
        <w:jc w:val="center"/>
      </w:pPr>
    </w:p>
    <w:p w14:paraId="48A3D4A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1.4. Ընթացակարգի նկարագրությունը</w:t>
      </w:r>
    </w:p>
    <w:p w14:paraId="50225460" w14:textId="77777777" w:rsidR="00BD67EC" w:rsidRPr="00B96C43" w:rsidRDefault="00BD67EC" w:rsidP="00BD67EC">
      <w:pPr>
        <w:spacing w:after="160" w:line="360" w:lineRule="auto"/>
        <w:jc w:val="center"/>
        <w:rPr>
          <w:rFonts w:ascii="Sylfaen" w:hAnsi="Sylfaen"/>
          <w:sz w:val="24"/>
          <w:szCs w:val="24"/>
        </w:rPr>
      </w:pPr>
    </w:p>
    <w:p w14:paraId="500BBFD0"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1.4.1. Ռեֆերենտ պետությունում գրիպի կանխարգելման համար նախատեսված պատվաստանյութի գրանցման դոսյեում փոփոխություններ կատարելու (սեզոնային շտամների բաղադրության թարմացում) կարգը</w:t>
      </w:r>
    </w:p>
    <w:p w14:paraId="6DCA7FB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Գրիպի կանխարգելման համար նախատեսված պատվաստանյութերի գրանցման դոսյեում փոփոխություններ կատարելու վերաբերյալ դիմում ներկայացնելու օրվանից 5 աշխատանքային օրը չգերազանցող ժամկետում ռեֆերենտ պետության լիազորված մարմինը (փորձագիտական կազմակերպությունը) իրականացնում է գրիպի կանխարգելման համար նախատեսված պատվաստանյութերի գրանցման դոսյեի ներկայացված փաստաթղթերի ձեւակերպման լիարժեքության, լրակազմության ու ճշտության գնահատում եւ </w:t>
      </w:r>
      <w:r w:rsidRPr="00B96C43">
        <w:rPr>
          <w:rFonts w:ascii="Sylfaen" w:hAnsi="Sylfaen"/>
          <w:sz w:val="24"/>
          <w:szCs w:val="24"/>
        </w:rPr>
        <w:lastRenderedPageBreak/>
        <w:t>ռեֆերենտ պետության փորձագիտական կազմակերպություն է ուղարկում դիմումը եւ գրիպի կանխարգելման համար նախատեսված պատվաստանյութերի գրանցման դոսյեն (փոփոխման համար նախատեսված դոսյեն)։</w:t>
      </w:r>
    </w:p>
    <w:p w14:paraId="0C9200DF" w14:textId="77777777" w:rsidR="00BD67EC" w:rsidRPr="00B96C43" w:rsidRDefault="00BD67EC" w:rsidP="00BD67EC">
      <w:pPr>
        <w:spacing w:after="160" w:line="360" w:lineRule="auto"/>
        <w:ind w:firstLine="567"/>
        <w:rPr>
          <w:rFonts w:ascii="Sylfaen" w:hAnsi="Sylfaen"/>
          <w:sz w:val="24"/>
          <w:szCs w:val="24"/>
        </w:rPr>
      </w:pPr>
    </w:p>
    <w:p w14:paraId="583834D1"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Դիմումի եւ գրիպի կանխարգելման համար նախատեսված պատվաստանյութերի գրանցման դոսյեի՝ սույն պահանջների 5-րդ բաժնին համապատասխանության դեպքում ռեֆերենտ պետության լիազորված մարմինը (փորձագիտական կազմակերպությունը) նախաձեռնում է գրիպի կանխարգելման համար նախատեսված պատվաստանյութերի գրանցման դոսյեում փոփոխությունների կատարման ընթացակարգը եւ այդ մասին ծանուցում է դիմումատուին։ Ընթացակարգի անցկացման ժամկետը չպետք է գերազանցի 40 օրացուցային օրը:</w:t>
      </w:r>
    </w:p>
    <w:p w14:paraId="7F4F0C8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pacing w:val="-4"/>
          <w:sz w:val="24"/>
          <w:szCs w:val="24"/>
        </w:rPr>
        <w:t>Ռեֆերենտ պետության փորձագիտական կազմակերպությունն անցկացնում</w:t>
      </w:r>
      <w:r w:rsidRPr="00B96C43">
        <w:rPr>
          <w:rFonts w:ascii="Sylfaen" w:hAnsi="Sylfaen"/>
          <w:sz w:val="24"/>
          <w:szCs w:val="24"/>
        </w:rPr>
        <w:t xml:space="preserve"> է գրիպի կանխարգելման համար նախատեսված պատվաստանյութերի գրանցման դոսյեի փորձաքննություն՝ գրիպի կանխարգելման համար նախատեսված պատվաստանյութերի գրանցման դոսյեում փոփոխությունների կատարման ընթացակարգը նախաձեռնելու մասին դիմումատուին ծանուցելու օրվանից 25 օրացուցային օրը չգերազանցող ժամկետում։ Փորձաքննության ընթացակարգն ավարտելուց հետո ռեֆերենտ պետության փորձագիտական կազմակերպությունը կազմում է գրիպի կանխարգելման համար նախատեսված պատվաստանյութի անվտանգության, արդյունավետության եւ որակի գնահատման վերաբերյալ փորձագիտական հաշվետվություն (այսուհետ՝ գնահատման վերաբերյալ փորձագիտական հաշվետվություն)։</w:t>
      </w:r>
    </w:p>
    <w:p w14:paraId="16A1097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Գրիպի կանխարգելման համար նախատեսված պատվաստանյութերի գրանցման դոսյեում փոփոխությունների կատարման ընթացակարգը նախաձեռնելու մասին դիմումատուին ծանուցելու օրվանից 25 օրացուցային օրվա ընթացքում </w:t>
      </w:r>
      <w:r w:rsidRPr="00B96C43">
        <w:rPr>
          <w:rFonts w:ascii="Sylfaen" w:hAnsi="Sylfaen"/>
          <w:sz w:val="24"/>
          <w:szCs w:val="24"/>
        </w:rPr>
        <w:lastRenderedPageBreak/>
        <w:t>ռեֆերենտ պետության փորձագիտական կազմակերպությունն իրավունք ունի պահանջելու, որ դիմումատուն ներկայացնի փորձաքննությունն ավարտելու համար անհրաժեշտ լրացուցիչ տվյալներ։</w:t>
      </w:r>
    </w:p>
    <w:p w14:paraId="3AF3D88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մարմնից (փորձագիտական կազմակերպությունից) հարցում ստանալու դեպքում դիմումատուն պետք է 7 աշխատանքային օրվա ընթացքում նրան ներկայացնի լրացուցիչ տվյալներ։ Հարցմանը դիմումատուի պատասխանի ժամկետը չի ներառվում սույն ենթաբաժնի երկրորդ պարբերության մեջ նշված՝ ընթացակարգի անցկացման ընդհանուր ժամկետում։ Հարցված լրացուցիչ տվյալներն ստանալուց հետո ռեֆերենտ պետության լիազորված մարմինը (փորձագիտական կազմակերպությունը) վերսկսում է փորձաքննության ընթացակարգը։</w:t>
      </w:r>
    </w:p>
    <w:p w14:paraId="37C7119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փորձագիտական կազմակերպությունը 5 աշխատանքային օրը չգերազանցող ժամկետում անցկացնում է դիմումատուի կողմից ներկայացված լրացուցիչ տվյալների փորձաքննություն։</w:t>
      </w:r>
    </w:p>
    <w:p w14:paraId="6AFA46B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Գնահատման վերաբերյալ փորձագիտական հաշվետվություն կազմելու օրվանից 1 աշխատանքային օրվա ընթացքում ռեֆերենտ պետության փորձագիտական կազմակերպությունն այդ հաշվետվությունն ուղարկում է դիմումատուին։</w:t>
      </w:r>
    </w:p>
    <w:p w14:paraId="1E7890B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2 աշխատանքային օրվա ընթացքում ընդունում է գրիպի կանխարգելման համար նախատեսված պատվաստանյութերի գրանցման դոսյեում փոփոխությունների կատարումը թույլատրելու կամ մերժելու մասին որոշում՝ ռեֆերենտ պետության փորձագիտական կազմակերպության կողմից կազմված՝ գնահատման վերաբերյալ փորձագիտական հաշվետվության հիման վրա։</w:t>
      </w:r>
    </w:p>
    <w:p w14:paraId="1253631E" w14:textId="77777777" w:rsidR="00BD67EC" w:rsidRPr="00B96C43" w:rsidRDefault="00BD67EC" w:rsidP="00BD67EC">
      <w:pPr>
        <w:spacing w:after="160" w:line="360" w:lineRule="auto"/>
        <w:ind w:firstLine="567"/>
        <w:jc w:val="both"/>
      </w:pPr>
    </w:p>
    <w:p w14:paraId="240E2BB3"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lastRenderedPageBreak/>
        <w:t>1.4.2. Ճանաչման պետությունում գրիպի կանխարգելման համար նախատեսված պատվաստանյութի գրանցման դոսյեում փոփոխություններ կատարելու (սեզոնային շտամների բաղադրության թարմացում) կարգը</w:t>
      </w:r>
    </w:p>
    <w:p w14:paraId="4EAF358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Դիմումատուն ճանաչման պետությունների լիազորված մարմիններին (փորձագիտական կազմակերպություններին) միաժամանակ ներկայացնում է գրիպի կանխարգելման համար նախատեսված պատվաստանյութերի գրանցման դոսյեի կազմում Կանոնների թիվ 2 հավելվածի համաձայն փոփոխություններ կատարելու վերաբերյալ դիմումը՝ թղթային եւ (կամ) էլեկտրոնային կրիչի վրա եւ գրիպի կանխարգելման համար նախատեսված պատվաստանյութերի գրանցման դոսյեում փոփոխություններ կատարելու համար վճարի (տուրքի) վճարումը հաստատող փաստաթղթեր՝ ճանաչման պետությունների օրենսդրությանը համապատասխան սահմանված դեպքերում եւ կարգով։</w:t>
      </w:r>
    </w:p>
    <w:p w14:paraId="32A5BBD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 Միության ինտեգրված տեղեկատվական համակարգի (այսուհետ՝ ինտեգրված համակարգ) միջոցով ծանուցում է ճանաչման պետությունների լիազորված մարմիններին (փորձագիտական կազմակերպություններին) եւ դիմումատուին՝ ռեֆերենտ պետությունում գրիպի կանխարգելման համար նախատեսված պատվաստանյութերի գրանցման դոսյեում փոփոխությունների կատարման ընթացակարգն սկսելու կամ նշված ընթացակարգի անցկացումը մերժելու մասին։</w:t>
      </w:r>
    </w:p>
    <w:p w14:paraId="1B24C0C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Գրիպի կանխարգելման համար նախատեսված պատվաստանյութերի գրանցման դոսյեում փոփոխությունների կատարման ընթացակարգն սկսելու մասին ծանուցումը ճանաչման պետությունների լիազորված մարմիններում (փորձագիտական կազմակերպություններում) ստանալու օրվանից 2 աշխատանքային օրվա ընթացքում ռեֆերենտ պետության լիազորված մարմինը (փորձագիտական կազմակերպությունը) ինտեգրված համակարգի միջոցով </w:t>
      </w:r>
      <w:r w:rsidRPr="00B96C43">
        <w:rPr>
          <w:rFonts w:ascii="Sylfaen" w:hAnsi="Sylfaen"/>
          <w:sz w:val="24"/>
          <w:szCs w:val="24"/>
        </w:rPr>
        <w:lastRenderedPageBreak/>
        <w:t>ապահովում է գրիպի կանխարգելման համար նախատեսված պատվաստանյութերի գրանցման դոսյեում պարունակվող փաստաթղթերի հասանելիությունը։</w:t>
      </w:r>
    </w:p>
    <w:p w14:paraId="6C03CA8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պատվաստանյութերի գրանցման դոսյեում պարունակվող փաստաթղթերի հասանելիություն ստանալու օրվանից 5 աշխատանքային օրը չգերազանցող ժամկետում ճանաչման պետության լիազորված մարմինը (փորձագիտական կազմակերպությունը), իր պետության օրենսդրությանը համապատասխան, իրականացնում է ներկայացված փաստաթղթերի ձեւակերպման լիարժեքության, լրակազմության ու ճշտության գնահատում եւ սկսում է գրիպի կանխարգելման համար նախատեսված պատվաստանյութերի գրանցման դոսյեում փոփոխությունների կատարման ընթացակարգը։ Նշված ընթացակարգի անցկացման ժամկետը չպետք է գերազանցի գրիպի կանխարգելման համար նախատեսված պատվաստանյութերի գրանցման դոսյեի կազմում փոփոխությունների կատարման վերաբերյալ դիմումը ներկայացնելու օրվանից 40 օրացուցային օրը։</w:t>
      </w:r>
    </w:p>
    <w:p w14:paraId="687CDCF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պետությունում ընթացակարգն սկսելու մասին դիմումատուին ծանուցելու օրվանից 25 օրացուցային օրվա ընթացքում ռեֆերենտ պետության լիազորված մարմինը (փորձագիտական կազմակերպությունը) նախապատրաստում է գնահատման վերաբերյալ փորձագիտական հաշվետվության նախագիծը եւ ինտեգրված համակարգի միջոցով ապահովում է դրա հասանելիությունը ճանաչման պետությունների լիազորված մարմինների (փորձագիտական կազմակերպությունների) համար։</w:t>
      </w:r>
    </w:p>
    <w:p w14:paraId="1936577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Ճանաչման պետության լիազորված մարմինը (փորձագիտական կազմակերպությունը) հասանելիություն ստանալու օրվանից 1 աշխատանքային օրվա ընթացքում ռեֆերենտ պետության լիազորված մարմին (փորձագիտական կազմակերպություն) է ներկայացնում գնահատման վերաբերյալ փորձագիտական հաշվետվության նախագծի մասին իր դիտողությունները։</w:t>
      </w:r>
    </w:p>
    <w:p w14:paraId="54C702C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lastRenderedPageBreak/>
        <w:t>Ռեֆերենտ պետության լիազորված մարմինը (փորձագիտական կազմակերպությունը) գնահատման վերաբերյալ փորձագիտական հաշվետվության մեջ փոփոխություններ է կատարում՝ հաշվի առնելով ճանաչման պետությունների լիազորված մարմիններից (փորձագիտական կազմակերպություններից) ստացված դիտողությունները, եւ ինտեգրված համակարգի միջոցով ապահովում է կատարված փոփոխություններով՝ գնահատման վերաբերյալ փորձագիտական հաշվետվության հասանելիությունը ճանաչման պետության լիազորված մարմնի (փորձագիտական կազմակերպության) համար։</w:t>
      </w:r>
    </w:p>
    <w:p w14:paraId="71C2076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կազմակերպությունը) իրավունք ունի դիմումատուից պահանջելու լրացուցիչ տվյալներ, որոնք անհրաժեշտ են փորձաքննությունն ավարտելու համար՝ հաշվի առնելով ճանաչման պետությունների լիազորված մարմիններից (փորձագիտական կազմակերպություններից) ստացված դիտողությունները եւ ինտեգրված համակարգի կամ այլ միջոցով այդ մասին տեղեկացնում է դիմումատուին եւ ճանաչման պետությունների լիազորված մարմիններին (փորձագիտական կազմակերպություններին)։</w:t>
      </w:r>
    </w:p>
    <w:p w14:paraId="3BA39B7E"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մարմնից (փորձագիտական կազմակերպությունից) հարցում ստանալու օրվանից 7 աշխատանքային օրվա ընթացքում դիմումատուն հարցման պատասխանն ուղարկում է ռեֆերենտ պետության լիազորված մարմին (փորձագիտական կազմակերպություն)։ Դիմումատուի կողմից նշված հարցման պատասխանը ներկայացնելու ժամկետը չի ներառվում գրիպի կանխարգելման համար նախատեսված պատվաստանյութի գրանցման դոսյեում փոփոխությունների կատարման ընթացակարգի անցկացման ընդհանուր ժամկետում։</w:t>
      </w:r>
    </w:p>
    <w:p w14:paraId="0E9101ED"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 xml:space="preserve">Ռեֆերենտ պետության լիազորված մարմինը (փորձագիտական կազմակերպությունը) ճանաչման պետությունների լիազորված մարմիններին </w:t>
      </w:r>
      <w:r w:rsidRPr="00B96C43">
        <w:rPr>
          <w:rFonts w:ascii="Sylfaen" w:hAnsi="Sylfaen"/>
          <w:sz w:val="24"/>
          <w:szCs w:val="24"/>
        </w:rPr>
        <w:lastRenderedPageBreak/>
        <w:t>(փորձագիտական կազմակերպություններին) ծանուցում է գրիպի կանխարգելման համար նախատեսված պատվաստանյութի գրանցման դոսյեում փոփոխությունների կատարման ընթացակարգը վերսկսելու մասին եւ դրանց համար ապահովում է հարցվող տվյալների հասանելիությունը՝ ռեֆերենտ պետության լիազորված մարմնում (փորձագիտական կազմակերպությունում) այդ տվյալներն ստանալու օրվանից 2 աշխատանքային օրվա ընթացքում։</w:t>
      </w:r>
    </w:p>
    <w:p w14:paraId="6C0389B5"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pacing w:val="-6"/>
          <w:sz w:val="24"/>
          <w:szCs w:val="24"/>
        </w:rPr>
        <w:t>Ռեֆերենտ պետության լիազորված մարմինը (փորձագիտական կազմակերպությունը) նախապատրաստում է գնահատման վերաբերյալ փորձագիտական հաշվետվության նախագիծը՝ հաշվի առնելով դիմումատուի կողմից ներկայացված լրացուցիչ տվյալները, եւ ռեֆերենտ պետությունում փորձաքննությունը վերսկսելու օրվանից 5 աշխատանքային օրվա ընթացքում ինտեգրված համակարգի միջոցով ապահովում է ճանաչման պե</w:t>
      </w:r>
      <w:r w:rsidRPr="00B96C43">
        <w:rPr>
          <w:rFonts w:ascii="Sylfaen" w:hAnsi="Sylfaen"/>
          <w:sz w:val="24"/>
          <w:szCs w:val="24"/>
        </w:rPr>
        <w:t>տությունների լիազորված մարմինների (փորձագիտական կազմակերպությունների) համար դրա հասանելիությունը։</w:t>
      </w:r>
    </w:p>
    <w:p w14:paraId="5EC6CFD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Ճանաչման պետության լիազորված մարմինը (փորձագիտական կազմակերպությունը) ընդունում է գրիպի կանխարգելման համար նախատեսված պատվաստանյութերի գրանցման դոսյեում փոփոխություններ կատարելու կամ դրանում փոփոխությունների կատարումը մերժելու վերաբերյալ որոշում՝ ճանաչման պետությունների լիազորված մարմինների (փորձագիտական կազմակերպությունների) համար փորձագիտական եզրակացության հասանելիությունն ապահովելու օրվանից 2 աշխատանքային օրվա ընթացքում եւ ինտեգրված համակարգի կամ այլ միջոցով դիմումատուին եւ ռեֆերենտ պետության լիազորված մարմնին (փորձագիտական կազմակերպությանը) ծանուցում է ընդունված որոշման մասին։</w:t>
      </w:r>
    </w:p>
    <w:p w14:paraId="0C1FC13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Ռեֆերենտ պետության եւ ճանաչման պետության լիազորված մարմինների (փորձագիտական կազմակերպությունների) կողմից գրիպի կանխարգելման համար նախատեսված պատվաստանյութերի գրանցման դոսյեում փոփոխություններ կատարելու վերաբերյալ որոշում ընդունելուց եւ համապատասխան ծանուցում </w:t>
      </w:r>
      <w:r w:rsidRPr="00B96C43">
        <w:rPr>
          <w:rFonts w:ascii="Sylfaen" w:hAnsi="Sylfaen"/>
          <w:sz w:val="24"/>
          <w:szCs w:val="24"/>
        </w:rPr>
        <w:lastRenderedPageBreak/>
        <w:t>ստանալուց հետո դիմումատուն ծանուցումն ստանալու օրվանից 7 աշխատանքային օրվա ընթացքում ռեֆերենտ պետության եւ ճանաչման պետությունների լիազորված մարմիններ (փորձագիտական կազմակերպություններ) է ներկայացնում դեղապատրաստուկի ընդհանուր բնութագրի, ներդիր-թերթիկի, գրիպի կանխարգելման համար նախատեսված պատվաստանյութի փաթեթվածքի մակետների թարգմանությունը ռեֆերենտ պետության եւ ճանաչման պետությունների պետական լեզուներով (ռեֆերենտ պետության եւ ճանաչման պետությունների օրենսդրության մեջ համապատասխան պահանջի առկայության դեպքում)։</w:t>
      </w:r>
    </w:p>
    <w:p w14:paraId="39446CF1"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Ռեֆերենտ պետության լիազորված մարմինը (փորձագիտական կազմակերպությունը) դիմումատուին տեղեկացնում է գրիպի կանխարգելման համար նախատեսված պատվաստանյութերի գրանցման դոսյեում փոփոխությունների կատարման վերաբերյալ որոշման մասին եւ նրան տրամադրում է գրանցման նոր փաստաթղթեր՝ գրիպի կանխարգելման համար նախատեսված պատվաստանյութերի գրանցման դոսյեում փոփոխությունների կատարման ընթացակարգի անցկացումն սկսելու օրվանից 40 օրացուցային օրը չգերազանցող ժամկետում կամ գրիպի կանխարգելման համար նախատեսված պատվաստանյութերի գրանցման դոսյեի փորձաքննությունն ավարտելու համար անհրաժեշտ լրացուցիչ տվյալները ներկայացնելու վերաբերյալ հարցմանը դիմումատուի կողմից պատասխան ներկայացնելուց հետո նշված ընթացակարգը վերսկսելու օրվանից 10 օրացուցային օրը չգերազանցող ժամկետում։</w:t>
      </w:r>
    </w:p>
    <w:p w14:paraId="11142D1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Ճանաչման պետությունների լիազորված մարմինները (փորձագիտական կազմակերպությունները) դիմումատուին տեղեկացնում են գրիպի կանխարգելման համար նախատեսված պատվաստանյութերի գրանցման դոսյեում փոփոխությունների կատարման վերաբերյալ որոշման մասին եւ նրան տրամադրում են գրանցման նոր փաստաթղթեր՝ գրիպի կանխարգելման համար նախատեսված պատվաստանյութերի գրանցման դոսյեում փոփոխությունների կատարման ընթացակարգի անցկացումն սկսելու օրվանից 40 օրացուցային օրը չգերազանցող </w:t>
      </w:r>
      <w:r w:rsidRPr="00B96C43">
        <w:rPr>
          <w:rFonts w:ascii="Sylfaen" w:hAnsi="Sylfaen"/>
          <w:sz w:val="24"/>
          <w:szCs w:val="24"/>
        </w:rPr>
        <w:lastRenderedPageBreak/>
        <w:t>ժամկետում կամ գրիպի կանխարգելման համար նախատեսված պատվաստանյութերի գրանցման դոսյեի փորձաքննությունն ավարտելու համար անհրաժեշտ լրացուցիչ տվյալները ներկայացնելու վերաբերյալ հարցմանը դիմումատուի կողմից պատասխան ներկայացնելուց հետո նշված ընթացակարգը վերսկսելու օրվանից 10 օրացուցային օրը չգերազանցող ժամկետում (գրիպի կանխարգելման համար նախատեսված պատվաստանյութերի գրանցման դոսյեում փոփոխություններ կատարելու համար անհրաժեշտ փաստաթղթերը դիմումատուի կողմից ներկայացվելու պայմանով)։</w:t>
      </w:r>
    </w:p>
    <w:p w14:paraId="4E12DFD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Ճանաչման պետությունների լիազորված մարմինները (փորձագիտական կազմակերպությունները) ինտեգրված համակարգի միջոցով գրիպի կանխարգելման համար նախատեսված պատվաստանյութերի գրանցման դոսյեում փոփոխություններ կատարելու մասին տեղեկությունները եւ գրիպի կանխարգելման համար նախատեսված պատվաստանյութերի գրանցման դոսյեի թարմացված փաստաթղթերը տեղադրում են գրանցված դեղամիջոցների միասնական ռեեստրում։</w:t>
      </w:r>
    </w:p>
    <w:p w14:paraId="4522FB9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Գնահատման վերաբերյալ բացասական եզրակացությամբ փորձագիտական հաշվետվություն նախապատրաստելու դեպքում, որի հիման վրա ռեֆերենտ պետության լիազորված մարմնի (փորձագիտական կազմակերպության) կողմից ընդունվելու է գրիպի կանխարգելման համար նախատեսված պատվաստանյութի գրանցման դոսյեում փոփոխությունների կատարումը մերժելու վերաբերյալ որոշում, նշված լիազորված մարմինը (փորձագիտական կազմակերպությունը) այդ որոշումն ընդունելու օրվանից 10 աշխատանքային օրվա ընթացքում այդ մասին էլեկտրոնային եւ (կամ) գրավոր եղանակով ծանուցում է դիմումատուին։</w:t>
      </w:r>
    </w:p>
    <w:p w14:paraId="6A1A0B85" w14:textId="77777777" w:rsidR="00BD67EC" w:rsidRPr="00B96C43" w:rsidRDefault="00BD67EC" w:rsidP="00BD67EC">
      <w:pPr>
        <w:spacing w:after="160" w:line="360" w:lineRule="auto"/>
        <w:jc w:val="center"/>
        <w:rPr>
          <w:rFonts w:ascii="Sylfaen" w:hAnsi="Sylfaen"/>
          <w:sz w:val="24"/>
          <w:szCs w:val="24"/>
        </w:rPr>
      </w:pPr>
    </w:p>
    <w:p w14:paraId="0438D459"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2. Գրիպի կանխարգելման համար նախատեսված նախահամավարակային (զոոնոզ) պատվաստանյութեր</w:t>
      </w:r>
    </w:p>
    <w:p w14:paraId="13370472" w14:textId="77777777" w:rsidR="00BD67EC" w:rsidRPr="00B96C43" w:rsidRDefault="00BD67EC" w:rsidP="00BD67EC">
      <w:pPr>
        <w:spacing w:after="160" w:line="360" w:lineRule="auto"/>
        <w:jc w:val="center"/>
      </w:pPr>
    </w:p>
    <w:p w14:paraId="40B24009"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lastRenderedPageBreak/>
        <w:t xml:space="preserve">2.1. Գրիպի կանխարգելման համար նախատեսված նախահամավարակային (զոոնոզ) պատվաստանյութի գրանցման վերաբերյալ </w:t>
      </w:r>
      <w:r w:rsidRPr="00B96C43">
        <w:rPr>
          <w:rFonts w:ascii="Sylfaen" w:hAnsi="Sylfaen"/>
          <w:sz w:val="24"/>
          <w:szCs w:val="24"/>
        </w:rPr>
        <w:br/>
        <w:t>դիմումին ներկայացվող պահանջները</w:t>
      </w:r>
    </w:p>
    <w:p w14:paraId="114F831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նախահամավարակային (զոոնոզ) պատվաստանյութի գրանցման վերաբերյալ դիմումը ռեֆերենտ պետության լիազորված մարմին (փորձագիտական կազմակերպություն) է ներկայացվում Կանոնների թիվ 1 հավելվածի I բաժնին եւ III բաժնի 12.2-րդ ենթաբաժնին համապատասխան։</w:t>
      </w:r>
    </w:p>
    <w:p w14:paraId="32640F4C" w14:textId="77777777" w:rsidR="00BD67EC" w:rsidRPr="00B96C43" w:rsidRDefault="00BD67EC" w:rsidP="00BD67EC">
      <w:pPr>
        <w:spacing w:after="160" w:line="360" w:lineRule="auto"/>
        <w:jc w:val="center"/>
        <w:rPr>
          <w:rFonts w:ascii="Sylfaen" w:hAnsi="Sylfaen"/>
          <w:sz w:val="24"/>
          <w:szCs w:val="24"/>
        </w:rPr>
      </w:pPr>
    </w:p>
    <w:p w14:paraId="43ABB492"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2.2. Գրիպի կանխարգելման համար նախատեսված նախահամավարակային (զոոնոզ) պատվաստանյութի շտամային բաղադրության մեջ փոփոխություններ կատարելու վերաբերյալ դիմումին ներկայացվող պահանջները</w:t>
      </w:r>
    </w:p>
    <w:p w14:paraId="2D3B165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նախահամավարակային (զոոնոզ) պատվաստանյութի շտամային բաղադրության մեջ փոփոխություններ կատարելու վերաբերյալ դիմումը ներկայացվում է գրանցման դոսյեում կատարված փոփոխության տեսքով։ Նշված փոփոխությունը դասակարգվում է որպես II տեսակ՝ Կանոնների թիվ 19 հավելվածի Բ.I.ա.5-րդ ենթաբաժնին համապատասխան։</w:t>
      </w:r>
    </w:p>
    <w:p w14:paraId="4ED4BE27" w14:textId="77777777" w:rsidR="00BD67EC" w:rsidRPr="00B96C43" w:rsidRDefault="00BD67EC" w:rsidP="00BD67EC">
      <w:pPr>
        <w:spacing w:after="160" w:line="360" w:lineRule="auto"/>
        <w:jc w:val="center"/>
      </w:pPr>
    </w:p>
    <w:p w14:paraId="528FC0FF"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3. Գրիպի կանխարգելման համար նախատեսված համավարակային պատվաստանյութեր եւ համավարակի պատրաստվածության պատվաստանյութեր</w:t>
      </w:r>
    </w:p>
    <w:p w14:paraId="6FEBE6E0" w14:textId="77777777" w:rsidR="00BD67EC" w:rsidRPr="00B96C43" w:rsidRDefault="00BD67EC" w:rsidP="00BD67EC">
      <w:pPr>
        <w:spacing w:after="160" w:line="360" w:lineRule="auto"/>
        <w:jc w:val="center"/>
      </w:pPr>
    </w:p>
    <w:p w14:paraId="48052353"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3.1. Համավարակի պատրաստվածության պատվաստանյութի գրանցման վերաբերյալ դիմումին ներկայացվող պահանջները</w:t>
      </w:r>
    </w:p>
    <w:p w14:paraId="0828FC0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Համավարակին նախապատրաստվելու նպատակով պատվաստանյութեր արտադրողները ներկայացնում են համավարակային ներուժով վիրուսի շտամ </w:t>
      </w:r>
      <w:r w:rsidRPr="00B96C43">
        <w:rPr>
          <w:rFonts w:ascii="Sylfaen" w:hAnsi="Sylfaen"/>
          <w:sz w:val="24"/>
          <w:szCs w:val="24"/>
        </w:rPr>
        <w:lastRenderedPageBreak/>
        <w:t>պարունակող թեկնածուական համավարակային պատվաստանյութի (համավարակի պատրաստվածության պատվաստանյութի) գրանցման վերաբերյալ դիմում։</w:t>
      </w:r>
    </w:p>
    <w:p w14:paraId="275A2A7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Տվյալ տեսակի պատվաստանյութի ստեղծումը ենթադրում է մակետային պատվաստանյութի հայեցակարգի (mock-up) օգտագործում։ Համավարակի պատրաստվածության գրանցվող նոր պատվաստանյութը եւ մակետային պատվաստանյութը, տվյալ հայեցակարգի համաձայն, կունենան հետեւյալ միեւնույն բնութագրերը՝</w:t>
      </w:r>
    </w:p>
    <w:p w14:paraId="491C8D8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արտադրության պարամետրերը.</w:t>
      </w:r>
    </w:p>
    <w:p w14:paraId="676E032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պատրաստման տեխնոլոգիան.</w:t>
      </w:r>
    </w:p>
    <w:p w14:paraId="027CC9B7"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պատվաստանյութի բաղադրությունը, այդ թվում՝ հակածինի, օժանդակ նյութերի, ադյուվանտի (անհրաժեշտության դեպքում) եւ այլ բաղադրամասերի (բացառությամբ շտամի (շտամների)) պարունակությունը.</w:t>
      </w:r>
    </w:p>
    <w:p w14:paraId="08532855" w14:textId="77777777" w:rsidR="00BD67EC" w:rsidRPr="00B96C43" w:rsidRDefault="00BD67EC" w:rsidP="00BD67EC">
      <w:pPr>
        <w:spacing w:after="160" w:line="360" w:lineRule="auto"/>
        <w:ind w:firstLine="567"/>
        <w:rPr>
          <w:rFonts w:ascii="Sylfaen" w:hAnsi="Sylfaen"/>
          <w:sz w:val="24"/>
          <w:szCs w:val="24"/>
        </w:rPr>
      </w:pPr>
    </w:p>
    <w:p w14:paraId="793EF6D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համավարակի պատրաստվածության պատվաստանյութի մասնագրման ցուցանիշներն ու որակի հսկողության մեթոդները։</w:t>
      </w:r>
    </w:p>
    <w:p w14:paraId="7F91264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ԱՀԿ-ի կամ անդամ պետությունների լիազորված մարմինների կողմից գրիպի համավարակային իրավիճակի ճանաչման դեպքում դիմումատուն պարտավոր է ռեֆերենտ պետության լիազորված մարմին (փորձագիտական կազմակերպություն) ներկայացնել համավարակի պատրաստվածության պատվաստանյութի գրանցման դոսյեում փոփոխությունների կատարման (համավարակային շտամի թարմացման) վերաբերյալ դիմում՝ Կանոնների թիվ 19 հավելվածի 4.1.3-րդ կետին համապատասխան՝ համավարակի պատրաստվածության պատվաստանյութում համավարակային շտամի ներառման (համավարակային շտամի թարմացում) նպատակով։</w:t>
      </w:r>
    </w:p>
    <w:p w14:paraId="7E7791DE" w14:textId="77777777" w:rsidR="00BD67EC" w:rsidRPr="00B96C43" w:rsidRDefault="00BD67EC" w:rsidP="00BD67EC">
      <w:pPr>
        <w:spacing w:after="160" w:line="360" w:lineRule="auto"/>
        <w:ind w:firstLine="567"/>
        <w:jc w:val="both"/>
      </w:pPr>
    </w:p>
    <w:p w14:paraId="4C23E483"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lastRenderedPageBreak/>
        <w:t xml:space="preserve">3.2. Համավարակային իրավիճակի զարգացման վտանգի դեպքում համավարակի պատրաստվածության պատվաստանյութի գրանցման դոսյեին </w:t>
      </w:r>
      <w:r w:rsidRPr="00B96C43">
        <w:rPr>
          <w:rFonts w:ascii="Sylfaen" w:hAnsi="Sylfaen"/>
          <w:sz w:val="24"/>
          <w:szCs w:val="24"/>
        </w:rPr>
        <w:br/>
        <w:t>ներկայացվող պահանջները</w:t>
      </w:r>
    </w:p>
    <w:p w14:paraId="180260F7"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Համավարակային իրավիճակի զարգացման վտանգի դեպքում համավարակի պատրաստվածության պատվաստանյութի գրանցման դոսյեն պետք է պարունակի հնարավոր համավարակային շտամի (շտամների) վերաբերյալ տվյալներ (տվյալներին ներկայացվող պահանջները պարունակվում են սույն պահանջների 5-րդ բաժնում)։ Դիմումատուն իրավունք ունի ներկայացնելու միայն պատվաստանյութի բաղադրության մեջ ներառվող շտամի (շտամների) վերաբերյալ տվյալներ պարունակող եւ հասանելի տվյալների հիման վրա կազմված գրանցման դոսյե՝ հետգրանցումային միջոցների սահմանման (համավարակի պատրաստվածության պատվաստանյութի պայմաններով գրանցման) նպատակով՝ պայմանով, որ համավարակային իրավիճակի զարգացման վտանգի դեպքում եւ ԱՀԿ-ի կողմից համավարակ հայտարարվելուց հետո դիմումատուն երաշխավորում է կլինիկական հետազոտությունների արդյունքները ներկայացնել ռեֆերենտ պետության լիազորված մարմին (փորձագիտական կազմակերպություն) եւ, Կանոնների VII բաժնին համապատասխան, կատարել պահանջները։ ԱՀԿ-ի կողմից համավարակի վտանգ հայտարարվելուց հետո դիմումատուն պետք է անդամ պետությունների լիազորված մարմինների հետ հնարավորինս կարճ ժամկետներում նախաձեռնի խորհրդակցություններ։</w:t>
      </w:r>
    </w:p>
    <w:p w14:paraId="2E4EA25F" w14:textId="77777777" w:rsidR="00BD67EC" w:rsidRPr="00B96C43" w:rsidRDefault="00BD67EC" w:rsidP="00BD67EC">
      <w:pPr>
        <w:spacing w:after="160" w:line="360" w:lineRule="auto"/>
        <w:jc w:val="both"/>
      </w:pPr>
    </w:p>
    <w:p w14:paraId="19B7EAA9"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3.3. Համավարակի ժամանակ գրիպի համավարակային պատվաստանյութերի բաղադրության մեջ փոփոխություններ կատարելու (համավարակային շտամի փոփոխում) վերաբերյալ դիմումին ներկայացվող պահանջները</w:t>
      </w:r>
    </w:p>
    <w:p w14:paraId="3FB2083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Համավարակը պաշտոնապես ճանաչվելուց (սահմանված կարգով ԱՀԿ-ի կողմից համավարակային իրավիճակ հայտարարվելուց կամ անդամ </w:t>
      </w:r>
      <w:r w:rsidRPr="00B96C43">
        <w:rPr>
          <w:rFonts w:ascii="Sylfaen" w:hAnsi="Sylfaen"/>
          <w:sz w:val="24"/>
          <w:szCs w:val="24"/>
        </w:rPr>
        <w:lastRenderedPageBreak/>
        <w:t>պետությունների համապատասխան լիազորված մարմինների կողմից՝ գրիպի վիրուսի համավարակային տեսակով պայմանավորված համաճարակ հայտարարվելուց) հետո դիմումատուն իրավունք ունի ռեֆերենտ պետության լիազորված մարմին (փորձագիտական կազմակերպություն) ներկայացնելու գրիպի համավարակային պատվաստանյութերի բաղադրության մեջ փոփոխություններ կատարելու (համավարակային շտամը փոխելու) վերաբերյալ դիմում՝ հայտարարված համավարակային շտամը համավարակային պատվաստանյութում ներառելու (համավարակային շտամի թարմացում) նպատակով։</w:t>
      </w:r>
    </w:p>
    <w:p w14:paraId="2BF145D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Հայտարարված համավարակային շտամի վերաբերյալ որոշակի նախակլինիկական կամ կլինիկական տվյալների բացակայության դեպքում դիմումատուն պարտավոր է բացակայող նախակլինիկական եւ կլինիկական տվյալները ներկայացնել ռեֆերենտ պետության լիազորված մարմին (փորձագիտական կազմակերպություն)՝ դիմումատուի եւ ռեֆերենտ պետության լիազորված մարմնի (փորձագիտական կազմակերպության) միջեւ համաձայնեցված ժամկետում։</w:t>
      </w:r>
    </w:p>
    <w:p w14:paraId="62116DF2" w14:textId="77777777" w:rsidR="00BD67EC" w:rsidRPr="00B96C43" w:rsidRDefault="00BD67EC" w:rsidP="00BD67EC">
      <w:pPr>
        <w:spacing w:after="160" w:line="360" w:lineRule="auto"/>
        <w:jc w:val="center"/>
      </w:pPr>
    </w:p>
    <w:p w14:paraId="51B3CE21"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4. Պատվաստանյութերի գրանցումը համավարակի ժամանակ</w:t>
      </w:r>
    </w:p>
    <w:p w14:paraId="79F7B36F" w14:textId="77777777" w:rsidR="00BD67EC" w:rsidRPr="00B96C43" w:rsidRDefault="00BD67EC" w:rsidP="00BD67EC">
      <w:pPr>
        <w:spacing w:after="160" w:line="360" w:lineRule="auto"/>
        <w:jc w:val="center"/>
      </w:pPr>
    </w:p>
    <w:p w14:paraId="2EAB954C"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4.1. Արտակարգ ընթացակարգ</w:t>
      </w:r>
    </w:p>
    <w:p w14:paraId="078B54B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ԱՀԿ-ի կողմից համավարակային իրավիճակ հայտարարվելուց կամ անդամ պետությունների համապատասխան լիազորված մարմինների կողմից վիրուսի համավարակային տեսակով պայմանավորված համաճարակ հայտարարվելուց հետո նոր համավարակային պատվաստանյութի գրանցումն իրականացվում է արտակարգ կարգով։</w:t>
      </w:r>
    </w:p>
    <w:p w14:paraId="073D844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Համավարակի բացակայության դեպքում դիմումատուն իրավունք ունի </w:t>
      </w:r>
      <w:r w:rsidRPr="00B96C43">
        <w:rPr>
          <w:rFonts w:ascii="Sylfaen" w:hAnsi="Sylfaen"/>
          <w:sz w:val="24"/>
          <w:szCs w:val="24"/>
        </w:rPr>
        <w:lastRenderedPageBreak/>
        <w:t>ռեֆերենտ պետության լիազորված մարմին (փորձագիտական կազմակերպություն) ներկայացնելու ոչ ամբողջական տվյալներ պարունակող գրանցման դոսյե՝ նոր համավարակային պատվաստանյութի գրանցման նպատակով՝ պայմանով, որ ԱՀԿ-ի կողմից համավարակ հայտարարվելուց հետո նա կկարողանա բացակայող կլինիկական տվյալները ներկայացնել ռեֆերենտ պետության լիազորված մարմին (փորձագիտական կազմակերպություն) եւ կատարել Կանոնների VII բաժնին համապատասխան հետգրանցումային միջոցների սահմանմամբ պատվաստանյութերի գրանցմանը (պայմաններով գրանցմանը) ներկայացվող պահանջները։ Դիմումատուն պետք է գրանցման դոսյեում ներառի հետգրանցումային միջոցներ սահմանելու հնարավորության համապատասխան հիմնավորումը, բացակայող տվյալների նկարագրությունը եւ դրան կից ներկայացնի գրավոր պարտավորություն՝ գրիպի կանխարգելման համար նախատեսված պատվաստանյութերի գրանցման դոսյեում փոփոխություններ կատարելու եղանակով բացակայող տվյալները ռեֆերենտ պետության լիազորված մարմին (փորձագիտական կազմակերպություն) ներկայացնելու վերաբերյալ։ Դիմումատուն պետք է անդամ պետությունների լիազորված մարմինների հետ հնարավորինս կարճ ժամկետներում նախաձեռնի խորհրդակցություններ։</w:t>
      </w:r>
    </w:p>
    <w:p w14:paraId="5E07D661" w14:textId="77777777" w:rsidR="00BD67EC" w:rsidRPr="00B96C43" w:rsidRDefault="00BD67EC" w:rsidP="00BD67EC">
      <w:pPr>
        <w:spacing w:after="160" w:line="360" w:lineRule="auto"/>
        <w:ind w:firstLine="567"/>
        <w:jc w:val="both"/>
      </w:pPr>
    </w:p>
    <w:p w14:paraId="6DB8317C"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4.2. Գրիպի կանխարգելման համար նախատեսված սեզոնային կամ նախահամավարակային պատվաստանյութի գրանցումը որպես գրիպի կանխարգելման համար նախատեսված համավարակային պատվաստանյութ</w:t>
      </w:r>
    </w:p>
    <w:p w14:paraId="4E4F519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Համավարակի զարգացման պայմաններից, ստեղծվող համաճարակաբանական իրավիճակով պայմանավորված եւ (կամ) համավարակի պատրաստվածության գրանցված պատվաստանյութի բացակայության դեպքում թույլատրվում է փոխել համապատասխան սեզոնային կամ նախահամավարակային պատվաստանյութի շտամային բաղադրությունը՝ Կանոնների թիվ 19 հավելվածի 4.1.3-րդ կետին </w:t>
      </w:r>
      <w:r w:rsidRPr="00B96C43">
        <w:rPr>
          <w:rFonts w:ascii="Sylfaen" w:hAnsi="Sylfaen"/>
          <w:sz w:val="24"/>
          <w:szCs w:val="24"/>
        </w:rPr>
        <w:lastRenderedPageBreak/>
        <w:t>համապատասխան՝ պայմանով, որ այդ փոփոխությունների կատարումը կապահովի գրիպի կանխարգելման համար նախատեսված պատվաստանյութի որակի, անվտանգության ու արդյունավետության պահպանումը եւ գիտական տեսանկյունից իրագործելի է։</w:t>
      </w:r>
    </w:p>
    <w:p w14:paraId="53FADFB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սեզոնային կամ նախահամավարակային պատվաստանյութը որպես գրիպի կանխարգելման համար նախատեսված համավարակային պատվաստանյութ գրանցելու անհրաժեշտության դեպքում դիմումատուն պետք է անդամ պետությունների լիազորված մարմինների (փորձագիտական կազմակերպությունների) հետ հնարավորինս կարճ ժամկետներում նախաձեռնի խորհրդակցություններ՝ գրիպի կանխարգելման համար նախատեսված սեզոնային կամ նախահամավարակային պատվաստանյութի գրանցման դոսյեի բովանդակությունը համաձայնեցնելու նպատակով։</w:t>
      </w:r>
    </w:p>
    <w:p w14:paraId="5A64FD44" w14:textId="751F2F5D" w:rsidR="00BD67EC" w:rsidRPr="00B96C43" w:rsidRDefault="00BD67EC" w:rsidP="00BD67EC">
      <w:pPr>
        <w:rPr>
          <w:rFonts w:eastAsia="Times New Roman" w:cs="Times New Roman"/>
        </w:rPr>
      </w:pPr>
    </w:p>
    <w:p w14:paraId="6F5503B9"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5. Գրիպի կանխարգելման համար նախատեսված սեզոնային պատվաստանյութերի շտամային բաղադրության փոփոխման ընթացակարգը</w:t>
      </w:r>
    </w:p>
    <w:p w14:paraId="2B7CD13C" w14:textId="77777777" w:rsidR="00BD67EC" w:rsidRPr="00B96C43" w:rsidRDefault="00BD67EC" w:rsidP="00BD67EC">
      <w:pPr>
        <w:spacing w:after="160" w:line="360" w:lineRule="auto"/>
        <w:jc w:val="center"/>
      </w:pPr>
    </w:p>
    <w:p w14:paraId="6E73BC8B"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5.1. Գրիպի կանխարգելման համար նախատեսված սեզոնային պատվաստանյութերի շտամային բաղադրության փոփոխման ընթացակարգին ներկայացվող ընդհանուր պահանջները</w:t>
      </w:r>
    </w:p>
    <w:p w14:paraId="691500D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սեզոնային պատվաստանյութերի մասով դիմումն ու գրանցման դոսյեն պետք է համապատասխանեն Կանոնների թիվ 1 հավելվածով սահմանված պահանջներին եւ ներկայացվեն ընդհանուր տեխնիկական փաստաթղթի (այսուհետ՝ ԸՏՓ) ձեւաչափով։</w:t>
      </w:r>
    </w:p>
    <w:p w14:paraId="65CE9BD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Թույլատրվում է ներկայացնել գրիպի կանխարգելման համար նախատեսված սեզոնային պատվաստանյութի գրանցման դոսյե, որը ներառում է ԸՏՓ-ի միայն այն </w:t>
      </w:r>
      <w:r w:rsidRPr="00B96C43">
        <w:rPr>
          <w:rFonts w:ascii="Sylfaen" w:hAnsi="Sylfaen"/>
          <w:sz w:val="24"/>
          <w:szCs w:val="24"/>
        </w:rPr>
        <w:lastRenderedPageBreak/>
        <w:t>բաժինները, որոնք համապատասխանում են կատարվող փոփոխություններին եւ որոնց բնույթը որոշված է շտամային բաղադրության փոփոխմամբ (թարմացմամբ)։ ԸՏՓ-ի որեւէ բաժնի բացակայությունը կամ ԸՏՓ-ն ոչ ամբողջ ծավալով ներկայացնելը պետք է ուղեկցվի հիմնավորող փաստաթղթով (այդ բաժինների բացակայության եւ (կամ) փաստաթուղթը ոչ ամբողջ ծավալով ներկայացնելու պատճառների նշմամբ)։</w:t>
      </w:r>
    </w:p>
    <w:p w14:paraId="282F1A6B" w14:textId="7EB020B9" w:rsidR="00BD67EC" w:rsidRPr="00852B2A" w:rsidRDefault="00BD67EC" w:rsidP="00852B2A">
      <w:pPr>
        <w:spacing w:after="160" w:line="360" w:lineRule="auto"/>
        <w:ind w:firstLine="567"/>
        <w:rPr>
          <w:rFonts w:ascii="Sylfaen" w:hAnsi="Sylfaen"/>
          <w:sz w:val="24"/>
          <w:szCs w:val="24"/>
        </w:rPr>
      </w:pPr>
      <w:r w:rsidRPr="00B96C43">
        <w:rPr>
          <w:rFonts w:ascii="Sylfaen" w:hAnsi="Sylfaen"/>
          <w:sz w:val="24"/>
          <w:szCs w:val="24"/>
        </w:rPr>
        <w:t>Սույն պահանջների 5.2-5.5-րդ ենթաբաժիններով սահմանված՝ գրիպի կանխարգելման համար նախատեսված սեզոնային պատվաստանյութերի գրանցման դոսյեի մոդուլներին ներկայացվող պահանջները ներկայացված են՝ գրանցման դոսյեի կառուցվածքին համապատասխան ԸՏՓ-ի բաժինների համարների նշմամբ՝ Կանոնների թիվ 4 հավելվածի համաձայն։</w:t>
      </w:r>
    </w:p>
    <w:p w14:paraId="32154A39"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5.2. Գրիպի կանխարգելման համար նախատեսված սեզոնային ինակտիվացված պատվաստանյութի գրանցման դոսյեի փաստաթղթերին ներկայացվող պահանջները՝ գրիպի կանխարգելման համար նախատեսված սեզոնային ինակտիվացված պատվաստանյութերի շտամային բաղադրության մեջ փոփոխություններ կատարելիս</w:t>
      </w:r>
    </w:p>
    <w:p w14:paraId="75CD2DE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սեզոնային ինակտիվացված պատվաստանյութերի շտամային բաղադրության մեջ փոփոխություններ կատարելու վերաբերյալ դիմումը ներկայացվում է գրանցման դոսյեի հետ, որը ներառում է ստորեւ նշված բաժինները։ Պահանջներից ցանկացած շեղում (այդ թվում՝ անհրաժեշտ կամ լրացուցիչ տվյալների բացակայություն) պետք է հիմնավորված լինի գրանցման դոսյեի 3-րդ մոդուլի համապատասխան բաժնում եւ գրանցման դոսյեի 2-րդ մոդուլի համապատասխան ռեզյումեի (ամփոփագրի) մեջ եւ համաձայնեցված լինի ռեֆերենտ պետության լիազորված մարմինների (փորձագիտական կազմակերպությունների) հետ՝ նախքան դիմումատուի կողմից դիմումը ռեֆերենտ պետության լիազորված մարմին (փորձագիտական կազմակերպություն) ներկայացնելը։</w:t>
      </w:r>
    </w:p>
    <w:p w14:paraId="5B66851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14:paraId="070C36D9"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w:t>
      </w:r>
      <w:r w:rsidRPr="00B96C43">
        <w:rPr>
          <w:rFonts w:ascii="Sylfaen" w:hAnsi="Sylfaen"/>
          <w:sz w:val="24"/>
          <w:szCs w:val="24"/>
        </w:rPr>
        <w:tab/>
        <w:t xml:space="preserve">Ուղեկցող նամակը (ինչպես ԸՏՓ ձեւաչափով փաստաթղթերը </w:t>
      </w:r>
      <w:r w:rsidRPr="00B96C43">
        <w:rPr>
          <w:rFonts w:ascii="Sylfaen" w:hAnsi="Sylfaen"/>
          <w:sz w:val="24"/>
          <w:szCs w:val="24"/>
        </w:rPr>
        <w:lastRenderedPageBreak/>
        <w:t>էլեկտրոնային եղանակով ներկայացնելիս (այսուհետ՝ էԸՏՓ))</w:t>
      </w:r>
    </w:p>
    <w:p w14:paraId="7AA0C97E"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1.1.</w:t>
      </w:r>
      <w:r w:rsidRPr="00B96C43">
        <w:rPr>
          <w:rFonts w:ascii="Sylfaen" w:hAnsi="Sylfaen"/>
          <w:sz w:val="24"/>
          <w:szCs w:val="24"/>
        </w:rPr>
        <w:tab/>
        <w:t>Բովանդակությունը (չի պահանջվում էԸՏՓ ձեւաչափով ներկայացնելու դեպքում)</w:t>
      </w:r>
    </w:p>
    <w:p w14:paraId="055EDC7D"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1.2.</w:t>
      </w:r>
      <w:r w:rsidRPr="00B96C43">
        <w:rPr>
          <w:rFonts w:ascii="Sylfaen" w:hAnsi="Sylfaen"/>
          <w:sz w:val="24"/>
          <w:szCs w:val="24"/>
        </w:rPr>
        <w:tab/>
        <w:t>Ընդհանուր փաստաթղթերը</w:t>
      </w:r>
    </w:p>
    <w:p w14:paraId="233D68AD"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1.2.1.</w:t>
      </w:r>
      <w:r w:rsidRPr="00B96C43">
        <w:rPr>
          <w:rFonts w:ascii="Sylfaen" w:hAnsi="Sylfaen"/>
          <w:sz w:val="24"/>
          <w:szCs w:val="24"/>
        </w:rPr>
        <w:tab/>
        <w:t>Փոփոխություններ կատարելու վերաբերյալ դիմումը</w:t>
      </w:r>
    </w:p>
    <w:p w14:paraId="05E57058"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1.2.2.</w:t>
      </w:r>
      <w:r w:rsidRPr="00B96C43">
        <w:rPr>
          <w:rFonts w:ascii="Sylfaen" w:hAnsi="Sylfaen"/>
          <w:sz w:val="24"/>
          <w:szCs w:val="24"/>
        </w:rPr>
        <w:tab/>
        <w:t xml:space="preserve">Գրանցում իրականացնող անդամ պետության օրենսդրությանը համապատասխան փորձագիտական աշխատանքների համար վճարի եւ (կամ) գրանցման համար վճարի (տուրքի) վճարումը հաստատող փաստաթղթերը </w:t>
      </w:r>
    </w:p>
    <w:p w14:paraId="4E139BFC" w14:textId="77777777" w:rsidR="00BD67EC" w:rsidRPr="00B96C43" w:rsidRDefault="00BD67EC" w:rsidP="00BD67EC">
      <w:pPr>
        <w:tabs>
          <w:tab w:val="left" w:pos="1276"/>
        </w:tabs>
        <w:spacing w:after="160" w:line="360" w:lineRule="auto"/>
        <w:ind w:firstLine="567"/>
        <w:rPr>
          <w:rFonts w:ascii="Sylfaen" w:hAnsi="Sylfaen"/>
          <w:sz w:val="24"/>
          <w:szCs w:val="24"/>
        </w:rPr>
      </w:pPr>
    </w:p>
    <w:p w14:paraId="6153FF57"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1.3.</w:t>
      </w:r>
      <w:r w:rsidRPr="00B96C43">
        <w:rPr>
          <w:rFonts w:ascii="Sylfaen" w:hAnsi="Sylfaen"/>
          <w:sz w:val="24"/>
          <w:szCs w:val="24"/>
        </w:rPr>
        <w:tab/>
        <w:t>Դեղապատրաստուկի ընդհանուր բնութագիրը, բժշկական կիրառության հրահանգը (ներդիր-թերթիկ) եւ մակնշումը</w:t>
      </w:r>
    </w:p>
    <w:p w14:paraId="6E77A2EA"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1.3.1.</w:t>
      </w:r>
      <w:r w:rsidRPr="00B96C43">
        <w:rPr>
          <w:rFonts w:ascii="Sylfaen" w:hAnsi="Sylfaen"/>
          <w:sz w:val="24"/>
          <w:szCs w:val="24"/>
        </w:rPr>
        <w:tab/>
        <w:t xml:space="preserve">Դեղապատրաստուկի ընդհանուր բնութագրի, բժշկական կիրառության հրահանգի (ներդիր-թերթիկի) եւ մակնշման մակետների նախագծերը, որոնք կազմվել են Եվրասիական տնտեսական հանձնաժողովի խորհրդի 2016 թվականի նոյեմբերի 3-ի թիվ 88 որոշմամբ հաստատված՝ դեղապատրաստուկների բժշկական կիրառության հրահանգին եւ բժշկական կիրառության դեղապատրաստուկների ընդհանուր բնութագրին ներկայացվող պահանջներին (այսուհետ՝ դեղապատրաստուկների բժշկական կիրառության հրահանգին ներկայացվող պահանջներ) համապատասխան </w:t>
      </w:r>
    </w:p>
    <w:p w14:paraId="7EB1E3F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Տեքստերում թույլատրվում է կատարել բացառապես նշված համաճարակային սեզոնում օգտագործված շտամներով պայմանավորված փոփոխություններ։</w:t>
      </w:r>
    </w:p>
    <w:p w14:paraId="098274FD"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1.7.</w:t>
      </w:r>
      <w:r w:rsidRPr="00B96C43">
        <w:rPr>
          <w:rFonts w:ascii="Sylfaen" w:hAnsi="Sylfaen"/>
          <w:sz w:val="24"/>
          <w:szCs w:val="24"/>
        </w:rPr>
        <w:tab/>
        <w:t>Մասնագետների մասին տեղեկատվությունը</w:t>
      </w:r>
    </w:p>
    <w:p w14:paraId="6CCEB8B1"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1.7.1.</w:t>
      </w:r>
      <w:r w:rsidRPr="00B96C43">
        <w:rPr>
          <w:rFonts w:ascii="Sylfaen" w:hAnsi="Sylfaen"/>
          <w:sz w:val="24"/>
          <w:szCs w:val="24"/>
        </w:rPr>
        <w:tab/>
        <w:t>Որակի վերաբերյալ ռեզյումեն նախապատրաստած մասնագետի մասին տեղեկատվությունը</w:t>
      </w:r>
    </w:p>
    <w:p w14:paraId="519053A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14:paraId="28E57F70"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lastRenderedPageBreak/>
        <w:t>2.1.</w:t>
      </w:r>
      <w:r w:rsidRPr="00B96C43">
        <w:rPr>
          <w:rFonts w:ascii="Sylfaen" w:hAnsi="Sylfaen"/>
          <w:sz w:val="24"/>
          <w:szCs w:val="24"/>
        </w:rPr>
        <w:tab/>
        <w:t>2 - 5-րդ մոդուլների բովանդակությունը</w:t>
      </w:r>
    </w:p>
    <w:p w14:paraId="0756C2C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2 - 5-րդ մոդուլների բովանդակությունը (չի պահանջվում էԸՏՓ ձեւաչափով փաստաթղթերը ներկայացնելու դեպքում)։</w:t>
      </w:r>
    </w:p>
    <w:p w14:paraId="267A4280"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2.2.</w:t>
      </w:r>
      <w:r w:rsidRPr="00B96C43">
        <w:rPr>
          <w:rFonts w:ascii="Sylfaen" w:hAnsi="Sylfaen"/>
          <w:sz w:val="24"/>
          <w:szCs w:val="24"/>
        </w:rPr>
        <w:tab/>
        <w:t>ԸՏՓ-ի ներածությունը</w:t>
      </w:r>
    </w:p>
    <w:p w14:paraId="3B5600E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Նախորդ ներածության թարմացումը կամ լրացումը (եթե կիրառելի է)։</w:t>
      </w:r>
    </w:p>
    <w:p w14:paraId="6D6DF7BB"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2.3.</w:t>
      </w:r>
      <w:r w:rsidRPr="00B96C43">
        <w:rPr>
          <w:rFonts w:ascii="Sylfaen" w:hAnsi="Sylfaen"/>
          <w:sz w:val="24"/>
          <w:szCs w:val="24"/>
        </w:rPr>
        <w:tab/>
        <w:t>Որակի վերաբերյալ ընդհանուր ռեզյումեն</w:t>
      </w:r>
    </w:p>
    <w:p w14:paraId="2EC5C24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w:t>
      </w:r>
    </w:p>
    <w:p w14:paraId="73BA4B98"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3. Որակ</w:t>
      </w:r>
    </w:p>
    <w:p w14:paraId="4CF2FC75"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w:t>
      </w:r>
      <w:r w:rsidRPr="00B96C43">
        <w:rPr>
          <w:rFonts w:ascii="Sylfaen" w:hAnsi="Sylfaen"/>
          <w:sz w:val="24"/>
          <w:szCs w:val="24"/>
        </w:rPr>
        <w:tab/>
        <w:t>Ակտիվ դեղագործական բաղադրամաս (այսուհետ՝ ԱԴԲ)</w:t>
      </w:r>
    </w:p>
    <w:p w14:paraId="20CBE042"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3.2.S.2.</w:t>
      </w:r>
      <w:r w:rsidRPr="00B96C43">
        <w:rPr>
          <w:rFonts w:ascii="Sylfaen" w:hAnsi="Sylfaen"/>
          <w:sz w:val="24"/>
          <w:szCs w:val="24"/>
        </w:rPr>
        <w:tab/>
        <w:t>ԱԴԲ-ի արտադրության գործընթացը</w:t>
      </w:r>
    </w:p>
    <w:p w14:paraId="48670FF4"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3.2.S.2.3.</w:t>
      </w:r>
      <w:r w:rsidRPr="00B96C43">
        <w:rPr>
          <w:rFonts w:ascii="Sylfaen" w:hAnsi="Sylfaen"/>
          <w:sz w:val="24"/>
          <w:szCs w:val="24"/>
        </w:rPr>
        <w:tab/>
        <w:t>Ելանյութերի հսկողությունը</w:t>
      </w:r>
    </w:p>
    <w:p w14:paraId="34DBE48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Պետք է ներառի՝</w:t>
      </w:r>
    </w:p>
    <w:p w14:paraId="72DABD3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սերմնանյութը՝ ստացման պատմությունը, կարգը (ստացման աղբյուրը, ամսաթիվը, պայմանները), շտամի անձնագիրը.</w:t>
      </w:r>
    </w:p>
    <w:p w14:paraId="4C99232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պասաժի պատմությունը (պասաժների քանակը, պասաժի պայմանները, կուլտիվացման սուբստրատը).</w:t>
      </w:r>
    </w:p>
    <w:p w14:paraId="29E71A2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հեմագլյուտինինի եւ նեյրամինիդազայի բնութագրերը որոշելը (շճաբանական հետազոտությունների եւ (կամ) հետազոտության մոլեկուլային գենետիկական մեթոդների տվյալները).</w:t>
      </w:r>
    </w:p>
    <w:p w14:paraId="21E291A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փորձարկումների արձանագրությունները (ներառյալ սերմնանյութի փորձարկումների արդյունքները)։</w:t>
      </w:r>
    </w:p>
    <w:p w14:paraId="0BFB4EFA"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3.2.S.2.4.</w:t>
      </w:r>
      <w:r w:rsidRPr="00B96C43">
        <w:rPr>
          <w:rFonts w:ascii="Sylfaen" w:hAnsi="Sylfaen"/>
          <w:sz w:val="24"/>
          <w:szCs w:val="24"/>
        </w:rPr>
        <w:tab/>
        <w:t>Կրիտիկական փուլերի եւ միջանկյալ արտադրանքի հսկողությունը</w:t>
      </w:r>
    </w:p>
    <w:p w14:paraId="431177FB"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lastRenderedPageBreak/>
        <w:t>3.2.S.2.5.</w:t>
      </w:r>
      <w:r w:rsidRPr="00B96C43">
        <w:rPr>
          <w:rFonts w:ascii="Sylfaen" w:hAnsi="Sylfaen"/>
          <w:sz w:val="24"/>
          <w:szCs w:val="24"/>
        </w:rPr>
        <w:tab/>
        <w:t>Արտադրական գործընթացի վալիդացումը եւ (կամ) դրա գնահատումը</w:t>
      </w:r>
    </w:p>
    <w:p w14:paraId="1034A3A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Չկշռածրարված միավալենտ արտադրանքի (մոնոպատվաստանյութի կիսաֆաբրիկատների) համար արտադրական գործընթացի վալիդացումը պետք է նախատեսի՝</w:t>
      </w:r>
    </w:p>
    <w:p w14:paraId="4E767AAE"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ներմուծվող շտամի արտադրության գործընթացի համար սպեցիֆիկ փոփոխությունները.</w:t>
      </w:r>
    </w:p>
    <w:p w14:paraId="324D569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արտադրության մեջ ներմուծվող շտամներով պայմանավորված՝ արտադրության կրիտիկական փուլերի վալիդացումը.</w:t>
      </w:r>
    </w:p>
    <w:p w14:paraId="5BFF3EC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վիրուսի ինակտիվացման գործընթացը.</w:t>
      </w:r>
    </w:p>
    <w:p w14:paraId="6A1888B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վիրուսի տրոհման արդյունավետությունը (եթե կիրառելի է)։</w:t>
      </w:r>
    </w:p>
    <w:p w14:paraId="4A42FE86"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3.2.S.3.</w:t>
      </w:r>
      <w:r w:rsidRPr="00B96C43">
        <w:rPr>
          <w:rFonts w:ascii="Sylfaen" w:hAnsi="Sylfaen"/>
          <w:sz w:val="24"/>
          <w:szCs w:val="24"/>
        </w:rPr>
        <w:tab/>
        <w:t>ԱԴԲ-ի բնութագրերի նկարագրությունը</w:t>
      </w:r>
    </w:p>
    <w:p w14:paraId="072B2D2E"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Բնութագրերի որոշման հետազոտությունների ընտրությունը (բաշխումը՝ ըստ մասնիկների չափերի, ագրեգատների առկայությունը եւ այլն)։</w:t>
      </w:r>
    </w:p>
    <w:p w14:paraId="1E70F0AA"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3.2.S.4.</w:t>
      </w:r>
      <w:r w:rsidRPr="00B96C43">
        <w:rPr>
          <w:rFonts w:ascii="Sylfaen" w:hAnsi="Sylfaen"/>
          <w:sz w:val="24"/>
          <w:szCs w:val="24"/>
        </w:rPr>
        <w:tab/>
        <w:t>ԱԴԲ-ի (մոնոպատվաստանյութերի) որակի հսկողությունը</w:t>
      </w:r>
    </w:p>
    <w:p w14:paraId="6DCD7103"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3.2.S.4.1.</w:t>
      </w:r>
      <w:r w:rsidRPr="00B96C43">
        <w:rPr>
          <w:rFonts w:ascii="Sylfaen" w:hAnsi="Sylfaen"/>
          <w:sz w:val="24"/>
          <w:szCs w:val="24"/>
        </w:rPr>
        <w:tab/>
        <w:t>Մասնագիրը</w:t>
      </w:r>
    </w:p>
    <w:p w14:paraId="7D75765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պատճենները։</w:t>
      </w:r>
    </w:p>
    <w:p w14:paraId="1E494045"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3.2.S.4.2.</w:t>
      </w:r>
      <w:r w:rsidRPr="00B96C43">
        <w:rPr>
          <w:rFonts w:ascii="Sylfaen" w:hAnsi="Sylfaen"/>
          <w:sz w:val="24"/>
          <w:szCs w:val="24"/>
        </w:rPr>
        <w:tab/>
        <w:t>Վերլուծական մեթոդիկաները</w:t>
      </w:r>
    </w:p>
    <w:p w14:paraId="7B33631E"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3.2.S.4.3.</w:t>
      </w:r>
      <w:r w:rsidRPr="00B96C43">
        <w:rPr>
          <w:rFonts w:ascii="Sylfaen" w:hAnsi="Sylfaen"/>
          <w:sz w:val="24"/>
          <w:szCs w:val="24"/>
        </w:rPr>
        <w:tab/>
        <w:t>Վերլուծական մեթոդիկաների վալիդացումը</w:t>
      </w:r>
    </w:p>
    <w:p w14:paraId="7D6E5DB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Ներմուծվող շտամի (շտամների) համար միակի ռադիալ իմունոդիֆուզիայի մեթոդիկայի վալիդացումը՝ հաշվի առնելով համապատասխան ստանդարտ նմուշները։</w:t>
      </w:r>
    </w:p>
    <w:p w14:paraId="0E0F5F4D"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3.2.S.4.4.</w:t>
      </w:r>
      <w:r w:rsidRPr="00B96C43">
        <w:rPr>
          <w:rFonts w:ascii="Sylfaen" w:hAnsi="Sylfaen"/>
          <w:sz w:val="24"/>
          <w:szCs w:val="24"/>
        </w:rPr>
        <w:tab/>
        <w:t>Սերիաների վերլուծությունները (սերիաների վերլուծության արդյունքները)</w:t>
      </w:r>
    </w:p>
    <w:p w14:paraId="7EC7CAA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lastRenderedPageBreak/>
        <w:t>պետք է ներառեն չկշռածրարված միավալենտ արտադրանքի առաջին երեք սերիաների փորձարկումների հետեւյալ արդյունքները (ներառյալ հեմագլյուտինինի եւ նեյրամինիդազայի իսկության ցուցանիշները)՝ պայմանով, որ, այդ արտադրանքն ստացվել է՝</w:t>
      </w:r>
    </w:p>
    <w:p w14:paraId="51B5BBD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ներմուծվող շտամի (շտամների) նոր գլխավոր սերմնանյութի աշխատանքային սերմնանյութի յուրաքանչյուր սերիայից.</w:t>
      </w:r>
    </w:p>
    <w:p w14:paraId="43F4CF7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ներմուծվող շտամի (շտամների)՝ հավանության արժանացած գլխավոր սերմնանյութի աշխատանքային սերմնանյութի յուրաքանչյուր սերիայից (այն դեպքում, երբ աշխատանքային սերմնանյութի նախապատրաստման ընթացակարգը տարբերվում է աշխատանքային սերմնանյութի նախապատրաստման՝ նախկինում կանոնակարգված ընթացակարգից)։</w:t>
      </w:r>
    </w:p>
    <w:p w14:paraId="21C7312A"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3.2.S.7.</w:t>
      </w:r>
      <w:r w:rsidRPr="00B96C43">
        <w:rPr>
          <w:rFonts w:ascii="Sylfaen" w:hAnsi="Sylfaen"/>
          <w:sz w:val="24"/>
          <w:szCs w:val="24"/>
        </w:rPr>
        <w:tab/>
        <w:t>Կայունությունը</w:t>
      </w:r>
    </w:p>
    <w:p w14:paraId="71B5EF8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ԱԴԲ-ի փորձարկումները կայունության մասով՝ անհրաժեշտ է ներկայացնել չկշռածրարված միավալենտ արտադրանքի փորձարկումների արդյունքները, եթե դրանք օգտագործվում են 1 տարուց ավելի։</w:t>
      </w:r>
    </w:p>
    <w:p w14:paraId="6BB3BF26"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w:t>
      </w:r>
      <w:r w:rsidRPr="00B96C43">
        <w:rPr>
          <w:rFonts w:ascii="Sylfaen" w:hAnsi="Sylfaen"/>
          <w:sz w:val="24"/>
          <w:szCs w:val="24"/>
        </w:rPr>
        <w:tab/>
        <w:t>Դեղապատրաստուկը</w:t>
      </w:r>
    </w:p>
    <w:p w14:paraId="69B90738"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3.2.Р.1.</w:t>
      </w:r>
      <w:r w:rsidRPr="00B96C43">
        <w:rPr>
          <w:rFonts w:ascii="Sylfaen" w:hAnsi="Sylfaen"/>
          <w:sz w:val="24"/>
          <w:szCs w:val="24"/>
        </w:rPr>
        <w:tab/>
        <w:t>Դեղապատրաստուկի նկարագրությունը եւ բաղադրությունը</w:t>
      </w:r>
    </w:p>
    <w:p w14:paraId="7A56D74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Ներկայացվում է պատվաստանյութի բաղադրությունը։</w:t>
      </w:r>
    </w:p>
    <w:p w14:paraId="708D496E"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3.2.Р.2.</w:t>
      </w:r>
      <w:r w:rsidRPr="00B96C43">
        <w:rPr>
          <w:rFonts w:ascii="Sylfaen" w:hAnsi="Sylfaen"/>
          <w:sz w:val="24"/>
          <w:szCs w:val="24"/>
        </w:rPr>
        <w:tab/>
        <w:t>Դեղագործական մշակումը</w:t>
      </w:r>
    </w:p>
    <w:p w14:paraId="7746F95E" w14:textId="77777777" w:rsidR="00BD67EC" w:rsidRPr="00B96C43" w:rsidRDefault="00BD67EC" w:rsidP="00BD67EC">
      <w:pPr>
        <w:tabs>
          <w:tab w:val="left" w:pos="1843"/>
        </w:tabs>
        <w:spacing w:after="160" w:line="360" w:lineRule="auto"/>
        <w:ind w:firstLine="567"/>
        <w:rPr>
          <w:rFonts w:ascii="Sylfaen" w:hAnsi="Sylfaen"/>
          <w:sz w:val="24"/>
          <w:szCs w:val="24"/>
        </w:rPr>
      </w:pPr>
      <w:r w:rsidRPr="00B96C43">
        <w:rPr>
          <w:rFonts w:ascii="Sylfaen" w:hAnsi="Sylfaen"/>
          <w:sz w:val="24"/>
          <w:szCs w:val="24"/>
        </w:rPr>
        <w:t>3.2.Р.2.2.1.</w:t>
      </w:r>
      <w:r w:rsidRPr="00B96C43">
        <w:rPr>
          <w:rFonts w:ascii="Sylfaen" w:hAnsi="Sylfaen"/>
          <w:sz w:val="24"/>
          <w:szCs w:val="24"/>
        </w:rPr>
        <w:tab/>
        <w:t>Դեղաձեւի մշակումը</w:t>
      </w:r>
    </w:p>
    <w:p w14:paraId="78D9877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Պատվաստանյութի փոփոխված բաղադրությունը (նոր համաճարակային սեզոնի շտամները) եւ, եթե առաջադրվել է ամենամյա թարմացումը հիմնավորելու նպատակով կլինիկական հետազոտություն անցկացնելու պահանջ, կլինիկական հետազոտության մեջ օգտագործված սերիայի վերլուծության հավաստագիրը՝ նշված </w:t>
      </w:r>
      <w:r w:rsidRPr="00B96C43">
        <w:rPr>
          <w:rFonts w:ascii="Sylfaen" w:hAnsi="Sylfaen"/>
          <w:sz w:val="24"/>
          <w:szCs w:val="24"/>
        </w:rPr>
        <w:lastRenderedPageBreak/>
        <w:t>հավաստագրի նախապատրաստմանը զուգընթաց։</w:t>
      </w:r>
    </w:p>
    <w:p w14:paraId="4C2E542B"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3.2.Р.З.</w:t>
      </w:r>
      <w:r w:rsidRPr="00B96C43">
        <w:rPr>
          <w:rFonts w:ascii="Sylfaen" w:hAnsi="Sylfaen"/>
          <w:sz w:val="24"/>
          <w:szCs w:val="24"/>
        </w:rPr>
        <w:tab/>
        <w:t>Դեղապատրաստուկի արտադրության գործընթացը</w:t>
      </w:r>
    </w:p>
    <w:p w14:paraId="285FC62C"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3.2.Р.З.2.</w:t>
      </w:r>
      <w:r w:rsidRPr="00B96C43">
        <w:rPr>
          <w:rFonts w:ascii="Sylfaen" w:hAnsi="Sylfaen"/>
          <w:sz w:val="24"/>
          <w:szCs w:val="24"/>
        </w:rPr>
        <w:tab/>
        <w:t>Բաղադրությունն ըստ սերիայի (արտադրական դեղագրությունը)</w:t>
      </w:r>
    </w:p>
    <w:p w14:paraId="7D424392"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3.2.Р.5.</w:t>
      </w:r>
      <w:r w:rsidRPr="00B96C43">
        <w:rPr>
          <w:rFonts w:ascii="Sylfaen" w:hAnsi="Sylfaen"/>
          <w:sz w:val="24"/>
          <w:szCs w:val="24"/>
        </w:rPr>
        <w:tab/>
        <w:t>Դեղապատրաստուկի որակի հսկողությունը</w:t>
      </w:r>
    </w:p>
    <w:p w14:paraId="72274414"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3.2.Р.5.1.</w:t>
      </w:r>
      <w:r w:rsidRPr="00B96C43">
        <w:rPr>
          <w:rFonts w:ascii="Sylfaen" w:hAnsi="Sylfaen"/>
          <w:sz w:val="24"/>
          <w:szCs w:val="24"/>
        </w:rPr>
        <w:tab/>
        <w:t>Մասնագրերը</w:t>
      </w:r>
    </w:p>
    <w:p w14:paraId="676B9FD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եւ մասնագրերի ցուցանիշների որոշման մեթոդիկաների պատճենները:</w:t>
      </w:r>
    </w:p>
    <w:p w14:paraId="26DFB63A"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3.2.Р.5.З.</w:t>
      </w:r>
      <w:r w:rsidRPr="00B96C43">
        <w:rPr>
          <w:rFonts w:ascii="Sylfaen" w:hAnsi="Sylfaen"/>
          <w:sz w:val="24"/>
          <w:szCs w:val="24"/>
        </w:rPr>
        <w:tab/>
        <w:t>Վերլուծական մեթոդիկաների վալիդացումը</w:t>
      </w:r>
    </w:p>
    <w:p w14:paraId="6F5E8E9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Նոր շտամի (շտամների) համար միակի ռադիալ իմունոդիֆուզիայի մեթոդիկայի վալիդացումը (չկշռածրարված եռավալենտ արտադրանքի կամ դեղապատրաստուկի օգտագործմամբ)։</w:t>
      </w:r>
    </w:p>
    <w:p w14:paraId="1991D1B6"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3.2.Р.8.</w:t>
      </w:r>
      <w:r w:rsidRPr="00B96C43">
        <w:rPr>
          <w:rFonts w:ascii="Sylfaen" w:hAnsi="Sylfaen"/>
          <w:sz w:val="24"/>
          <w:szCs w:val="24"/>
        </w:rPr>
        <w:tab/>
        <w:t>Դեղապատրաստուկի կայունությունը՝</w:t>
      </w:r>
    </w:p>
    <w:p w14:paraId="0A27014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նախորդ սեզոնում կայունության մասին տվյալներ.</w:t>
      </w:r>
    </w:p>
    <w:p w14:paraId="156878D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պատվաստանյութի կիրառման ժամկետի ընթացքում դրա կայունությունը հետազոտելու պարտավորություն.</w:t>
      </w:r>
    </w:p>
    <w:p w14:paraId="63F1134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պատվաստանյութի կայունության հետգրանցումային հետազոտությունների արձանագրություններ։</w:t>
      </w:r>
    </w:p>
    <w:p w14:paraId="27893828" w14:textId="45E4458E" w:rsidR="00BD67EC" w:rsidRPr="00B96C43" w:rsidRDefault="00BD67EC" w:rsidP="00852B2A">
      <w:pPr>
        <w:spacing w:after="160" w:line="360" w:lineRule="auto"/>
        <w:ind w:firstLine="567"/>
        <w:rPr>
          <w:rFonts w:ascii="Sylfaen" w:hAnsi="Sylfaen"/>
          <w:sz w:val="24"/>
          <w:szCs w:val="24"/>
        </w:rPr>
      </w:pPr>
      <w:r w:rsidRPr="00B96C43">
        <w:rPr>
          <w:rFonts w:ascii="Sylfaen" w:hAnsi="Sylfaen"/>
          <w:sz w:val="24"/>
          <w:szCs w:val="24"/>
        </w:rPr>
        <w:t xml:space="preserve">Եթե սերմնանյութը կողմնակի ազդակների առկայության մասով ստուգվում է պոլիմերազային շղթայական ռեակցիայի (այսուհետ՝ ՊՇՌ) միջոցով եւ եթե ռեֆերենտ պետության փորձագիտական կազմակերպության հետ անցկացված խորհրդակցությունից հետո համաձայնեցվել է սերմնանյութի լրացուցիչ ՊՇՌ փորձարկումների անցկացման անհրաժեշտությունը, ապա այդ տվյալներն անհրաժեշտ է ներառել գրիպի կանխարգելման համար նախատեսված </w:t>
      </w:r>
      <w:r w:rsidRPr="00B96C43">
        <w:rPr>
          <w:rFonts w:ascii="Sylfaen" w:hAnsi="Sylfaen"/>
          <w:sz w:val="24"/>
          <w:szCs w:val="24"/>
        </w:rPr>
        <w:lastRenderedPageBreak/>
        <w:t>պատվաստանյութերի գրանցման դոսյեում։</w:t>
      </w:r>
    </w:p>
    <w:p w14:paraId="563C1A6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 xml:space="preserve">5.3. Լրացուցիչ տվյալները ներկայացնելու պահանջները </w:t>
      </w:r>
      <w:r w:rsidRPr="00B96C43">
        <w:rPr>
          <w:rFonts w:ascii="Sylfaen" w:hAnsi="Sylfaen"/>
          <w:sz w:val="24"/>
          <w:szCs w:val="24"/>
        </w:rPr>
        <w:br/>
        <w:t>(անդամ պետության լիազորված մարմնի կողմից հարցում կատարելուց հետո)</w:t>
      </w:r>
    </w:p>
    <w:p w14:paraId="5ACE4413"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Լրացուցիչ տվյալների հարցման դեպքում (կախված ներկայացվող լրացուցիչ տվյալների տեսակից) անհրաժեշտ է գրանցման դոսյեի համապատասխան բաժինները ԸՏՓ ձեւաչափով ներկայացնել փոփոխման համար։</w:t>
      </w:r>
    </w:p>
    <w:p w14:paraId="3616788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14:paraId="17199A0C"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w:t>
      </w:r>
      <w:r w:rsidRPr="00B96C43">
        <w:rPr>
          <w:rFonts w:ascii="Sylfaen" w:hAnsi="Sylfaen"/>
          <w:sz w:val="24"/>
          <w:szCs w:val="24"/>
        </w:rPr>
        <w:tab/>
        <w:t>Ուղեկցող նամակը (ինչպես ԸՏՓ-ում)</w:t>
      </w:r>
    </w:p>
    <w:p w14:paraId="4C378624"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1.1.</w:t>
      </w:r>
      <w:r w:rsidRPr="00B96C43">
        <w:rPr>
          <w:rFonts w:ascii="Sylfaen" w:hAnsi="Sylfaen"/>
          <w:sz w:val="24"/>
          <w:szCs w:val="24"/>
        </w:rPr>
        <w:tab/>
        <w:t>Բովանդակությունը (չի պահանջվում էԸՏՓ ձեւաչափով ներկայացնելու դեպքում)</w:t>
      </w:r>
    </w:p>
    <w:p w14:paraId="759C0444" w14:textId="614D253C" w:rsidR="00BD67EC" w:rsidRPr="00B96C43" w:rsidRDefault="00BD67EC" w:rsidP="00852B2A">
      <w:pPr>
        <w:tabs>
          <w:tab w:val="left" w:pos="1134"/>
        </w:tabs>
        <w:spacing w:after="160" w:line="360" w:lineRule="auto"/>
        <w:ind w:firstLine="567"/>
        <w:rPr>
          <w:rFonts w:ascii="Sylfaen" w:hAnsi="Sylfaen"/>
          <w:sz w:val="24"/>
          <w:szCs w:val="24"/>
        </w:rPr>
      </w:pPr>
      <w:r w:rsidRPr="00B96C43">
        <w:rPr>
          <w:rFonts w:ascii="Sylfaen" w:hAnsi="Sylfaen"/>
          <w:sz w:val="24"/>
          <w:szCs w:val="24"/>
        </w:rPr>
        <w:t>1.7.</w:t>
      </w:r>
      <w:r w:rsidRPr="00B96C43">
        <w:rPr>
          <w:rFonts w:ascii="Sylfaen" w:hAnsi="Sylfaen"/>
          <w:sz w:val="24"/>
          <w:szCs w:val="24"/>
        </w:rPr>
        <w:tab/>
        <w:t>Մասնագետների մասին տեղեկատվությունը</w:t>
      </w:r>
    </w:p>
    <w:p w14:paraId="7D5C8BBA"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1.7.1.</w:t>
      </w:r>
      <w:r w:rsidRPr="00B96C43">
        <w:rPr>
          <w:rFonts w:ascii="Sylfaen" w:hAnsi="Sylfaen"/>
          <w:sz w:val="24"/>
          <w:szCs w:val="24"/>
        </w:rPr>
        <w:tab/>
        <w:t>Որակի վերաբերյալ ռեզյումեն նախապատրաստած մասնագետի մասին տեղեկատվությունը (հակիրճ ռեզյումե)</w:t>
      </w:r>
    </w:p>
    <w:p w14:paraId="6269557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14:paraId="7E0133B6"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2.1.</w:t>
      </w:r>
      <w:r w:rsidRPr="00B96C43">
        <w:rPr>
          <w:rFonts w:ascii="Sylfaen" w:hAnsi="Sylfaen"/>
          <w:sz w:val="24"/>
          <w:szCs w:val="24"/>
        </w:rPr>
        <w:tab/>
        <w:t>2 - 5-րդ մոդուլների բովանդակությունը (չի պահանջվում էԸՏՓ ձեւաչափով ներկայացնելու դեպքում)</w:t>
      </w:r>
    </w:p>
    <w:p w14:paraId="0F29B9C4"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2.2.</w:t>
      </w:r>
      <w:r w:rsidRPr="00B96C43">
        <w:rPr>
          <w:rFonts w:ascii="Sylfaen" w:hAnsi="Sylfaen"/>
          <w:sz w:val="24"/>
          <w:szCs w:val="24"/>
        </w:rPr>
        <w:tab/>
        <w:t>ԸՏՓ-ի ներածությունը</w:t>
      </w:r>
    </w:p>
    <w:p w14:paraId="4EC8565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Նախորդ ներածության թարմացումը կամ լրացումը (եթե կիրառելի է)։</w:t>
      </w:r>
    </w:p>
    <w:p w14:paraId="76A61688"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2.3.</w:t>
      </w:r>
      <w:r w:rsidRPr="00B96C43">
        <w:rPr>
          <w:rFonts w:ascii="Sylfaen" w:hAnsi="Sylfaen"/>
          <w:sz w:val="24"/>
          <w:szCs w:val="24"/>
        </w:rPr>
        <w:tab/>
        <w:t>Որակի վերաբերյալ ընդհանուր ռեզյումեն</w:t>
      </w:r>
    </w:p>
    <w:p w14:paraId="5CBB5D0F"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 (եթե կիրառելի է)։</w:t>
      </w:r>
    </w:p>
    <w:p w14:paraId="1AEDF9D1"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2.5.</w:t>
      </w:r>
      <w:r w:rsidRPr="00B96C43">
        <w:rPr>
          <w:rFonts w:ascii="Sylfaen" w:hAnsi="Sylfaen"/>
          <w:sz w:val="24"/>
          <w:szCs w:val="24"/>
        </w:rPr>
        <w:tab/>
        <w:t>Կլինիկական տվյալների ամփոփագիրը</w:t>
      </w:r>
    </w:p>
    <w:p w14:paraId="369599F2"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lastRenderedPageBreak/>
        <w:t>Նախորդ ամփոփագրի թարմացումը կամ լրացումը (եթե կիրառելի է)։</w:t>
      </w:r>
    </w:p>
    <w:p w14:paraId="243FBCA5"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2.7.</w:t>
      </w:r>
      <w:r w:rsidRPr="00B96C43">
        <w:rPr>
          <w:rFonts w:ascii="Sylfaen" w:hAnsi="Sylfaen"/>
          <w:sz w:val="24"/>
          <w:szCs w:val="24"/>
        </w:rPr>
        <w:tab/>
        <w:t>Կլինիկական տվյալների ռեզյումեն</w:t>
      </w:r>
    </w:p>
    <w:p w14:paraId="3C34D6B7"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Նախորդ կլինիկական ամփոփագրի թարմացումը կամ լրացումը (եթե կիրառելի է)։</w:t>
      </w:r>
    </w:p>
    <w:p w14:paraId="521DFCFA" w14:textId="2217BF7E" w:rsidR="00BD67EC" w:rsidRDefault="00BD67EC" w:rsidP="00BD67EC">
      <w:pPr>
        <w:spacing w:after="160" w:line="360" w:lineRule="auto"/>
        <w:ind w:firstLine="567"/>
        <w:rPr>
          <w:rFonts w:ascii="Sylfaen" w:hAnsi="Sylfaen"/>
          <w:sz w:val="24"/>
          <w:szCs w:val="24"/>
        </w:rPr>
      </w:pPr>
      <w:r w:rsidRPr="00B96C43">
        <w:rPr>
          <w:rFonts w:ascii="Sylfaen" w:hAnsi="Sylfaen"/>
          <w:sz w:val="24"/>
          <w:szCs w:val="24"/>
        </w:rPr>
        <w:t>3 - 5-րդ մոդուլներում պարունակվող տեղեկատվությունը ներկայացվում է որակի վերաբերյալ լրացուցիչ տվյալների, նախակլինիկական</w:t>
      </w:r>
      <w:r w:rsidRPr="00B96C43">
        <w:rPr>
          <w:rStyle w:val="FootnoteReference"/>
          <w:rFonts w:ascii="Sylfaen" w:hAnsi="Sylfaen"/>
          <w:sz w:val="24"/>
          <w:szCs w:val="24"/>
        </w:rPr>
        <w:footnoteReference w:id="44"/>
      </w:r>
      <w:r w:rsidRPr="00B96C43">
        <w:rPr>
          <w:rFonts w:ascii="Sylfaen" w:hAnsi="Sylfaen"/>
          <w:sz w:val="24"/>
          <w:szCs w:val="24"/>
        </w:rPr>
        <w:t xml:space="preserve"> եւ (կամ) կլինիկական</w:t>
      </w:r>
      <w:r w:rsidRPr="00B96C43">
        <w:rPr>
          <w:rStyle w:val="FootnoteReference"/>
          <w:rFonts w:ascii="Sylfaen" w:hAnsi="Sylfaen"/>
          <w:sz w:val="24"/>
          <w:szCs w:val="24"/>
        </w:rPr>
        <w:footnoteReference w:id="45"/>
      </w:r>
      <w:r w:rsidRPr="00B96C43">
        <w:rPr>
          <w:rFonts w:ascii="Sylfaen" w:hAnsi="Sylfaen"/>
          <w:sz w:val="24"/>
          <w:szCs w:val="24"/>
        </w:rPr>
        <w:t xml:space="preserve"> տվյալների հարցման դեպքում։</w:t>
      </w:r>
    </w:p>
    <w:p w14:paraId="73C87BBF" w14:textId="77777777" w:rsidR="00503B0F" w:rsidRPr="00E260DF" w:rsidRDefault="00503B0F" w:rsidP="00503B0F">
      <w:pPr>
        <w:spacing w:after="0" w:line="240" w:lineRule="auto"/>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Գրիպի սեզոնային պատվաստանյութերի շտամների թարմացման դեպքում նախակլինիկական եւ (կամ) կլինիկական տվյալներ ներկայացնելու անհրաժեշտությունը, որպես կանոն, բացակայում է։</w:t>
      </w:r>
    </w:p>
    <w:p w14:paraId="73AF8051" w14:textId="77777777" w:rsidR="00852B2A" w:rsidRPr="00E260DF" w:rsidRDefault="00852B2A" w:rsidP="00852B2A">
      <w:pPr>
        <w:spacing w:after="0" w:line="240" w:lineRule="auto"/>
        <w:rPr>
          <w:rFonts w:ascii="Sylfaen" w:hAnsi="Sylfaen"/>
          <w:sz w:val="20"/>
          <w:szCs w:val="20"/>
        </w:rPr>
      </w:pPr>
      <w:r w:rsidRPr="00E260DF">
        <w:rPr>
          <w:rStyle w:val="FootnoteReference"/>
          <w:rFonts w:ascii="Sylfaen" w:hAnsi="Sylfaen"/>
          <w:sz w:val="20"/>
          <w:szCs w:val="20"/>
        </w:rPr>
        <w:footnoteRef/>
      </w:r>
      <w:r w:rsidRPr="00E260DF">
        <w:rPr>
          <w:rFonts w:ascii="Sylfaen" w:hAnsi="Sylfaen"/>
          <w:sz w:val="20"/>
          <w:szCs w:val="20"/>
        </w:rPr>
        <w:t xml:space="preserve"> Պատվաստանյութի ռեակտոգենության եւ իմունոգենության պրոֆիլի հետագծելիությունն անհրաժեշտ է ապահովել պատվաստանյութի անվտանգության եւ կանխարգելիչ արդյունավետության մշտադիտարկում անցկաց</w:t>
      </w:r>
      <w:r>
        <w:rPr>
          <w:rFonts w:ascii="Sylfaen" w:hAnsi="Sylfaen"/>
          <w:sz w:val="20"/>
          <w:szCs w:val="20"/>
        </w:rPr>
        <w:t>նելու միջոցով։</w:t>
      </w:r>
    </w:p>
    <w:p w14:paraId="0419FB40" w14:textId="77777777" w:rsidR="00503B0F" w:rsidRPr="00B96C43" w:rsidRDefault="00503B0F" w:rsidP="00BD67EC">
      <w:pPr>
        <w:spacing w:after="160" w:line="360" w:lineRule="auto"/>
        <w:ind w:firstLine="567"/>
        <w:rPr>
          <w:rFonts w:ascii="Sylfaen" w:hAnsi="Sylfaen"/>
          <w:sz w:val="24"/>
          <w:szCs w:val="24"/>
        </w:rPr>
      </w:pPr>
    </w:p>
    <w:p w14:paraId="637EDC22" w14:textId="59776B29" w:rsidR="00BD67EC" w:rsidRPr="00B96C43" w:rsidRDefault="00BD67EC" w:rsidP="00BD67EC"/>
    <w:p w14:paraId="14CFF1FA"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5.4. Գրիպի կանխարգելման համար նախատեսված կենդանի թուլացված (ատենուիրացված) պատվաստանյութերի շտամային բաղադրության մեջ փոփոխություններ կատարելու վերաբերյալ գրանցման դոսյեի փաստաթղթերին ներկայացվող պահանջները</w:t>
      </w:r>
    </w:p>
    <w:p w14:paraId="0882AD56"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Գրիպի կանխարգելման համար նախատեսված կենդանի թուլացված (ատենուիրացված) պատվաստանյութերի շտամային բաղադրության մեջ փոփոխություններ կատարելու վերաբերյալ դիմումը պետք է պարունակի ստորեւ նշված փաստաթղթերը։ Պահանջներից շեղումը (անհրաժեշտ կամ լրացուցիչ տվյալների բացակայությունը) պետք է հիմնավորված լինի 3-րդ մոդուլի համապատասխան բաժնում եւ համապատասխան ռեզյումեի (ամփոփագրի) մեջ, ինչպես նաեւ պետք է համաձայնեցված լինի անդամ պետությունների լիազորված մարմինների հետ՝ նախքան դիմում ներկայացնելը։</w:t>
      </w:r>
    </w:p>
    <w:p w14:paraId="1840617C"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lastRenderedPageBreak/>
        <w:t>Մոդուլ 1. Վարչական տեղեկատվությունը</w:t>
      </w:r>
    </w:p>
    <w:p w14:paraId="78E89016"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w:t>
      </w:r>
      <w:r w:rsidRPr="00B96C43">
        <w:rPr>
          <w:rFonts w:ascii="Sylfaen" w:hAnsi="Sylfaen"/>
          <w:sz w:val="24"/>
          <w:szCs w:val="24"/>
        </w:rPr>
        <w:tab/>
        <w:t>Ուղեկցող նամակը (ինչպես ԸՏՓ-ում)</w:t>
      </w:r>
    </w:p>
    <w:p w14:paraId="0CEC851F"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1.1.</w:t>
      </w:r>
      <w:r w:rsidRPr="00B96C43">
        <w:rPr>
          <w:rFonts w:ascii="Sylfaen" w:hAnsi="Sylfaen"/>
          <w:sz w:val="24"/>
          <w:szCs w:val="24"/>
        </w:rPr>
        <w:tab/>
        <w:t>Բովանդակությունը (չի պահանջվում էԸՏՓ ձեւաչափով ներկայացնելու դեպքում)</w:t>
      </w:r>
    </w:p>
    <w:p w14:paraId="68BBA3BE" w14:textId="77777777" w:rsidR="00BD67EC" w:rsidRPr="00B96C43" w:rsidRDefault="00BD67EC" w:rsidP="00BD67EC">
      <w:pPr>
        <w:tabs>
          <w:tab w:val="left" w:pos="1134"/>
        </w:tabs>
        <w:spacing w:after="160" w:line="336" w:lineRule="auto"/>
        <w:ind w:firstLine="567"/>
        <w:rPr>
          <w:rFonts w:ascii="Sylfaen" w:hAnsi="Sylfaen"/>
          <w:sz w:val="24"/>
          <w:szCs w:val="24"/>
        </w:rPr>
      </w:pPr>
      <w:r w:rsidRPr="00B96C43">
        <w:rPr>
          <w:rFonts w:ascii="Sylfaen" w:hAnsi="Sylfaen"/>
          <w:sz w:val="24"/>
          <w:szCs w:val="24"/>
        </w:rPr>
        <w:t>1.2.</w:t>
      </w:r>
      <w:r w:rsidRPr="00B96C43">
        <w:rPr>
          <w:rFonts w:ascii="Sylfaen" w:hAnsi="Sylfaen"/>
          <w:sz w:val="24"/>
          <w:szCs w:val="24"/>
        </w:rPr>
        <w:tab/>
        <w:t>Ընդհանուր փաստաթղթերը</w:t>
      </w:r>
    </w:p>
    <w:p w14:paraId="018593AF"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1.2.1.</w:t>
      </w:r>
      <w:r w:rsidRPr="00B96C43">
        <w:rPr>
          <w:rFonts w:ascii="Sylfaen" w:hAnsi="Sylfaen"/>
          <w:sz w:val="24"/>
          <w:szCs w:val="24"/>
        </w:rPr>
        <w:tab/>
        <w:t>Փոփոխություներ կատարելու վերաբերյալ դիմումը</w:t>
      </w:r>
    </w:p>
    <w:p w14:paraId="7C7F4403"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1.2.2.</w:t>
      </w:r>
      <w:r w:rsidRPr="00B96C43">
        <w:rPr>
          <w:rFonts w:ascii="Sylfaen" w:hAnsi="Sylfaen"/>
          <w:sz w:val="24"/>
          <w:szCs w:val="24"/>
        </w:rPr>
        <w:tab/>
        <w:t>Ռեֆերենտ անդամ պետության օրենսդրությանը համապատասխան սահմանված դեպքում եւ կարգով գրանցման հաստատման (վերագրանցման) եւ փորձաքննության համար վճարի (տուրքի) վճարումը հաստատող փաստաթղթերը</w:t>
      </w:r>
    </w:p>
    <w:p w14:paraId="39612412" w14:textId="77777777" w:rsidR="00BD67EC" w:rsidRPr="00B96C43" w:rsidRDefault="00BD67EC" w:rsidP="00BD67EC">
      <w:pPr>
        <w:tabs>
          <w:tab w:val="left" w:pos="1134"/>
        </w:tabs>
        <w:spacing w:after="160" w:line="336" w:lineRule="auto"/>
        <w:ind w:firstLine="567"/>
        <w:rPr>
          <w:rFonts w:ascii="Sylfaen" w:hAnsi="Sylfaen"/>
          <w:sz w:val="24"/>
          <w:szCs w:val="24"/>
        </w:rPr>
      </w:pPr>
      <w:r w:rsidRPr="00B96C43">
        <w:rPr>
          <w:rFonts w:ascii="Sylfaen" w:hAnsi="Sylfaen"/>
          <w:sz w:val="24"/>
          <w:szCs w:val="24"/>
        </w:rPr>
        <w:t>1.3.</w:t>
      </w:r>
      <w:r w:rsidRPr="00B96C43">
        <w:rPr>
          <w:rFonts w:ascii="Sylfaen" w:hAnsi="Sylfaen"/>
          <w:sz w:val="24"/>
          <w:szCs w:val="24"/>
        </w:rPr>
        <w:tab/>
        <w:t>Դեղապատրաստուկի ընդհանուր բնութագիրը, բժշկական կիրառության հրահանգը (ներդիր-թերթիկ), մակնշումը</w:t>
      </w:r>
    </w:p>
    <w:p w14:paraId="5EB1AB04"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1.3.1.</w:t>
      </w:r>
      <w:r w:rsidRPr="00B96C43">
        <w:rPr>
          <w:rFonts w:ascii="Sylfaen" w:hAnsi="Sylfaen"/>
          <w:sz w:val="24"/>
          <w:szCs w:val="24"/>
        </w:rPr>
        <w:tab/>
        <w:t>Դեղապատրաստուկի ընդհանուր բնութագրի, բժշկական կիրառության հրահանգի (ներդիր-թերթիկի) եւ մակնշման մակետների նախագծերը, որոնք կազմվել են դեղապատրաստուկների բժշկական կիրառության հրահանգին ներկայացվող պահանջներին համապատասխան</w:t>
      </w:r>
    </w:p>
    <w:p w14:paraId="60FAA88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Տեքստերում թույլատրվում է կատարել բացառապես նշված համաճարակային սեզոնում օգտագործված շտամներով պայմանավորված փոփոխություններ։</w:t>
      </w:r>
    </w:p>
    <w:p w14:paraId="0B20D283"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1.7.</w:t>
      </w:r>
      <w:r w:rsidRPr="00B96C43">
        <w:rPr>
          <w:rFonts w:ascii="Sylfaen" w:hAnsi="Sylfaen"/>
          <w:sz w:val="24"/>
          <w:szCs w:val="24"/>
        </w:rPr>
        <w:tab/>
        <w:t>Մասնագետների մասին տեղեկատվությունը</w:t>
      </w:r>
    </w:p>
    <w:p w14:paraId="0538A24B"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1.7.1.</w:t>
      </w:r>
      <w:r w:rsidRPr="00B96C43">
        <w:rPr>
          <w:rFonts w:ascii="Sylfaen" w:hAnsi="Sylfaen"/>
          <w:sz w:val="24"/>
          <w:szCs w:val="24"/>
        </w:rPr>
        <w:tab/>
        <w:t>Որակի վերաբերյալ ռեզյումեն նախապատրաստած մասնագետի մասին տեղեկատվությունը (հակիրճ ռեզյումե)</w:t>
      </w:r>
    </w:p>
    <w:p w14:paraId="68B6BB4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14:paraId="453BC785" w14:textId="77777777" w:rsidR="00BD67EC" w:rsidRPr="00B96C43" w:rsidRDefault="00BD67EC" w:rsidP="00BD67EC">
      <w:pPr>
        <w:tabs>
          <w:tab w:val="left" w:pos="1134"/>
        </w:tabs>
        <w:spacing w:after="160" w:line="336" w:lineRule="auto"/>
        <w:ind w:firstLine="567"/>
        <w:rPr>
          <w:rFonts w:ascii="Sylfaen" w:hAnsi="Sylfaen"/>
          <w:sz w:val="24"/>
          <w:szCs w:val="24"/>
        </w:rPr>
      </w:pPr>
      <w:r w:rsidRPr="00B96C43">
        <w:rPr>
          <w:rFonts w:ascii="Sylfaen" w:hAnsi="Sylfaen"/>
          <w:sz w:val="24"/>
          <w:szCs w:val="24"/>
        </w:rPr>
        <w:t>2.1.</w:t>
      </w:r>
      <w:r w:rsidRPr="00B96C43">
        <w:rPr>
          <w:rFonts w:ascii="Sylfaen" w:hAnsi="Sylfaen"/>
          <w:sz w:val="24"/>
          <w:szCs w:val="24"/>
        </w:rPr>
        <w:tab/>
        <w:t>2-5-րդ մոդուլների բովանդակությունը (չի պահանջվում էԸՏՓ ձեւաչափով ներկայացնելու դեպքում)</w:t>
      </w:r>
    </w:p>
    <w:p w14:paraId="216217A7" w14:textId="77777777" w:rsidR="00BD67EC" w:rsidRPr="00B96C43" w:rsidRDefault="00BD67EC" w:rsidP="00BD67EC">
      <w:pPr>
        <w:tabs>
          <w:tab w:val="left" w:pos="1134"/>
        </w:tabs>
        <w:spacing w:after="160" w:line="336" w:lineRule="auto"/>
        <w:ind w:firstLine="567"/>
        <w:rPr>
          <w:rFonts w:ascii="Sylfaen" w:hAnsi="Sylfaen"/>
          <w:sz w:val="24"/>
          <w:szCs w:val="24"/>
        </w:rPr>
      </w:pPr>
      <w:r w:rsidRPr="00B96C43">
        <w:rPr>
          <w:rFonts w:ascii="Sylfaen" w:hAnsi="Sylfaen"/>
          <w:sz w:val="24"/>
          <w:szCs w:val="24"/>
        </w:rPr>
        <w:t>2.2.</w:t>
      </w:r>
      <w:r w:rsidRPr="00B96C43">
        <w:rPr>
          <w:rFonts w:ascii="Sylfaen" w:hAnsi="Sylfaen"/>
          <w:sz w:val="24"/>
          <w:szCs w:val="24"/>
        </w:rPr>
        <w:tab/>
        <w:t>ԸՏՓ-ի ներածությունը</w:t>
      </w:r>
    </w:p>
    <w:p w14:paraId="4B322F71"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lastRenderedPageBreak/>
        <w:t>ԸՏՓ-ի նախորդ ներածության թարմացումը կամ լրացումը (եթե կիրառելի է)։</w:t>
      </w:r>
    </w:p>
    <w:p w14:paraId="5F52F0B8" w14:textId="77777777" w:rsidR="00BD67EC" w:rsidRPr="00B96C43" w:rsidRDefault="00BD67EC" w:rsidP="00BD67EC">
      <w:pPr>
        <w:tabs>
          <w:tab w:val="left" w:pos="1134"/>
        </w:tabs>
        <w:spacing w:after="160" w:line="336" w:lineRule="auto"/>
        <w:ind w:firstLine="567"/>
        <w:rPr>
          <w:rFonts w:ascii="Sylfaen" w:hAnsi="Sylfaen"/>
          <w:sz w:val="24"/>
          <w:szCs w:val="24"/>
        </w:rPr>
      </w:pPr>
      <w:r w:rsidRPr="00B96C43">
        <w:rPr>
          <w:rFonts w:ascii="Sylfaen" w:hAnsi="Sylfaen"/>
          <w:sz w:val="24"/>
          <w:szCs w:val="24"/>
        </w:rPr>
        <w:t>2.3.</w:t>
      </w:r>
      <w:r w:rsidRPr="00B96C43">
        <w:rPr>
          <w:rFonts w:ascii="Sylfaen" w:hAnsi="Sylfaen"/>
          <w:sz w:val="24"/>
          <w:szCs w:val="24"/>
        </w:rPr>
        <w:tab/>
        <w:t>Որակի վերաբերյալ ընդհանուր ռեզյումեն</w:t>
      </w:r>
    </w:p>
    <w:p w14:paraId="0BE9A78D"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w:t>
      </w:r>
    </w:p>
    <w:p w14:paraId="1DCD847F"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Մոդուլ 3. Որակ</w:t>
      </w:r>
    </w:p>
    <w:p w14:paraId="7060BF6B"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3.2.S.2.</w:t>
      </w:r>
      <w:r w:rsidRPr="00B96C43">
        <w:rPr>
          <w:rFonts w:ascii="Sylfaen" w:hAnsi="Sylfaen"/>
          <w:sz w:val="24"/>
          <w:szCs w:val="24"/>
        </w:rPr>
        <w:tab/>
        <w:t>ԱԴԲ-ի արտադրության գործընթացը</w:t>
      </w:r>
    </w:p>
    <w:p w14:paraId="4A9C706B" w14:textId="77777777" w:rsidR="00BD67EC" w:rsidRPr="00B96C43" w:rsidRDefault="00BD67EC" w:rsidP="00BD67EC">
      <w:pPr>
        <w:tabs>
          <w:tab w:val="left" w:pos="1701"/>
        </w:tabs>
        <w:spacing w:after="160" w:line="336" w:lineRule="auto"/>
        <w:ind w:firstLine="567"/>
        <w:rPr>
          <w:rFonts w:ascii="Sylfaen" w:hAnsi="Sylfaen"/>
          <w:sz w:val="24"/>
          <w:szCs w:val="24"/>
        </w:rPr>
      </w:pPr>
      <w:r w:rsidRPr="00B96C43">
        <w:rPr>
          <w:rFonts w:ascii="Sylfaen" w:hAnsi="Sylfaen"/>
          <w:sz w:val="24"/>
          <w:szCs w:val="24"/>
        </w:rPr>
        <w:t>3.2.S.2.3.</w:t>
      </w:r>
      <w:r w:rsidRPr="00B96C43">
        <w:rPr>
          <w:rFonts w:ascii="Sylfaen" w:hAnsi="Sylfaen"/>
          <w:sz w:val="24"/>
          <w:szCs w:val="24"/>
        </w:rPr>
        <w:tab/>
        <w:t>Ելանյութերի հսկողությունը</w:t>
      </w:r>
    </w:p>
    <w:p w14:paraId="6E919F25"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Սերմնանյութի սերիաները (սերմնանյութի պատրաստման տեխնոլոգիայի պատմությունը)՝ ներառյալ՝</w:t>
      </w:r>
    </w:p>
    <w:p w14:paraId="63934C52"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սերմնանյութի ստացման ընթացակարգի նկարագրությունը՝ սկսած ատենուացիայի դոնորի եւ ԱՀԿ-ի կողմից առաջարկված շտամի (շտամների) գլխավոր սերմնանյութից.</w:t>
      </w:r>
    </w:p>
    <w:p w14:paraId="24E3C5A0"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ԱՀԿ-ի կողմից առաջարկված շտամի օգտագործմամբ՝ ցրտին ադապտացված վերատեսակավորող (ռեասորտանտ) շտամի ստացման պատմությունը (նշելով արտազատման վայրն ու պասիվացիայի պատմությունը) եւ ատենուացիայի օգտագործված դոնորի ստացման պատմությունը.</w:t>
      </w:r>
    </w:p>
    <w:p w14:paraId="51214AD0"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թուլացված (ատենուացված) շտամի գենոտիպի ուսումնասիրումը։ Թուլացված (ատենուացված) շտամի սեկվենավորման արդյունքները.</w:t>
      </w:r>
    </w:p>
    <w:p w14:paraId="053FF68A"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ֆենոտիպային բնութագրերը որոշելը՝ ջերմազգայուն (ջերմաանկայուն) ֆենոտիպ (ts) եւ ցրտին ադապտացված ֆենոտիպ (са)՝ ներառյալ ատենուացիայի լիարժեքության մասով փորձարկումների արդյունքներով որոշված ֆենոտիպը.</w:t>
      </w:r>
    </w:p>
    <w:p w14:paraId="01E1D1F8"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սերմնանյութի գենետիկ կայունությունը՝ ներառյալ համապատասխան գենոտիպային եւ ֆենոտիպային մարկերները (օրինակ՝ լիագենոմ սեկվենավորումը).</w:t>
      </w:r>
    </w:p>
    <w:p w14:paraId="4F40D5A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 xml:space="preserve">վերլուծական փորձարկումների արձանագրությունները (ներառյալ կողմնակի ազդակների բացակայության մասով փորձարկումները եւ վարակային ակտիվության </w:t>
      </w:r>
      <w:r w:rsidRPr="00B96C43">
        <w:rPr>
          <w:rFonts w:ascii="Sylfaen" w:hAnsi="Sylfaen"/>
          <w:sz w:val="24"/>
          <w:szCs w:val="24"/>
        </w:rPr>
        <w:lastRenderedPageBreak/>
        <w:t>վերաբերյալ տվյալները)</w:t>
      </w:r>
      <w:r w:rsidRPr="00B96C43">
        <w:rPr>
          <w:rStyle w:val="FootnoteReference"/>
          <w:rFonts w:ascii="Sylfaen" w:hAnsi="Sylfaen"/>
          <w:sz w:val="24"/>
          <w:szCs w:val="24"/>
        </w:rPr>
        <w:footnoteReference w:id="46"/>
      </w:r>
      <w:r w:rsidRPr="00B96C43">
        <w:rPr>
          <w:rFonts w:ascii="Sylfaen" w:hAnsi="Sylfaen"/>
          <w:sz w:val="24"/>
          <w:szCs w:val="24"/>
        </w:rPr>
        <w:t>.</w:t>
      </w:r>
    </w:p>
    <w:p w14:paraId="05518194"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նեյրովիրուլենտության մասով փորձարկումները</w:t>
      </w:r>
      <w:r w:rsidRPr="00B96C43">
        <w:rPr>
          <w:rStyle w:val="FootnoteReference"/>
          <w:rFonts w:ascii="Sylfaen" w:hAnsi="Sylfaen"/>
          <w:sz w:val="24"/>
          <w:szCs w:val="24"/>
        </w:rPr>
        <w:footnoteReference w:id="47"/>
      </w:r>
      <w:r w:rsidRPr="00B96C43">
        <w:rPr>
          <w:rFonts w:ascii="Sylfaen" w:hAnsi="Sylfaen"/>
          <w:sz w:val="24"/>
          <w:szCs w:val="24"/>
        </w:rPr>
        <w:t>։</w:t>
      </w:r>
    </w:p>
    <w:p w14:paraId="22E4B254"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3.2.S.2.4.</w:t>
      </w:r>
      <w:r w:rsidRPr="00B96C43">
        <w:rPr>
          <w:rFonts w:ascii="Sylfaen" w:hAnsi="Sylfaen"/>
          <w:sz w:val="24"/>
          <w:szCs w:val="24"/>
        </w:rPr>
        <w:tab/>
        <w:t>Կրիտիկական փուլերի եւ միջանկյալ արտադրանքի հսկողությունը</w:t>
      </w:r>
    </w:p>
    <w:p w14:paraId="3A9A16C2"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3.2.S.2.5.</w:t>
      </w:r>
      <w:r w:rsidRPr="00B96C43">
        <w:rPr>
          <w:rFonts w:ascii="Sylfaen" w:hAnsi="Sylfaen"/>
          <w:sz w:val="24"/>
          <w:szCs w:val="24"/>
        </w:rPr>
        <w:tab/>
        <w:t>Արտադրական գործընթացի վալիդացումը եւ (կամ) դրա գնահատումը</w:t>
      </w:r>
    </w:p>
    <w:p w14:paraId="4467ECF0" w14:textId="7CF070FC" w:rsidR="00BD67EC" w:rsidRDefault="00BD67EC" w:rsidP="00BD67EC">
      <w:pPr>
        <w:spacing w:after="160" w:line="360" w:lineRule="auto"/>
        <w:ind w:firstLine="567"/>
        <w:rPr>
          <w:rFonts w:ascii="Sylfaen" w:hAnsi="Sylfaen"/>
          <w:sz w:val="24"/>
          <w:szCs w:val="24"/>
        </w:rPr>
      </w:pPr>
      <w:r w:rsidRPr="00B96C43">
        <w:rPr>
          <w:rFonts w:ascii="Sylfaen" w:hAnsi="Sylfaen"/>
          <w:sz w:val="24"/>
          <w:szCs w:val="24"/>
        </w:rPr>
        <w:t>Չկշռածրարված միավալենտ արտադրանքի արտադրության գործընթացի համար (ներմուծվող շտամի արտադրության գործընթացի համար սպեցիֆիկ փոփոխությունների համար)։</w:t>
      </w:r>
    </w:p>
    <w:p w14:paraId="2DBA2477" w14:textId="77777777" w:rsidR="00924988" w:rsidRPr="00BD67EC" w:rsidRDefault="00924988" w:rsidP="00924988">
      <w:pPr>
        <w:pStyle w:val="Footnote0"/>
        <w:shd w:val="clear" w:color="auto" w:fill="auto"/>
        <w:spacing w:line="240" w:lineRule="auto"/>
        <w:rPr>
          <w:rFonts w:ascii="Sylfaen" w:hAnsi="Sylfaen"/>
          <w:lang w:val="hy-AM"/>
        </w:rPr>
      </w:pPr>
      <w:r w:rsidRPr="00E260DF">
        <w:rPr>
          <w:rStyle w:val="FootnoteReference"/>
          <w:rFonts w:ascii="Sylfaen" w:hAnsi="Sylfaen"/>
        </w:rPr>
        <w:footnoteRef/>
      </w:r>
      <w:r w:rsidRPr="00BD67EC">
        <w:rPr>
          <w:rFonts w:ascii="Sylfaen" w:hAnsi="Sylfaen"/>
          <w:lang w:val="hy-AM"/>
        </w:rPr>
        <w:t xml:space="preserve"> Եթե սերմնանյութը կողմնակի ազդակների առկայության մասով ստուգվում է ՊՇՌ-ի միջոցով եւ եթե փորձագիտական կազմակերպության հետ անցկացված խորհրդակցությունից հետո համաձայնեցվել է սերմնանյութի (գլխավոր եւ (կամ) աշխատանքային) լրացուցիչ ՊՇՌ փորձարկումների անցկացման անհրաժեշտությունը, ապա այդ տվյալներն անհրաժեշտ է ներառել գրանցման դոսյեում։</w:t>
      </w:r>
    </w:p>
    <w:p w14:paraId="6EC55A1E" w14:textId="6A9E7608" w:rsidR="00924988" w:rsidRPr="00B96C43" w:rsidRDefault="00924988" w:rsidP="001F5412">
      <w:pPr>
        <w:spacing w:after="160" w:line="240" w:lineRule="auto"/>
        <w:rPr>
          <w:rFonts w:ascii="Sylfaen" w:hAnsi="Sylfaen"/>
          <w:sz w:val="24"/>
          <w:szCs w:val="24"/>
        </w:rPr>
      </w:pPr>
      <w:r w:rsidRPr="00E260DF">
        <w:rPr>
          <w:rStyle w:val="FootnoteReference"/>
          <w:rFonts w:ascii="Sylfaen" w:hAnsi="Sylfaen"/>
          <w:sz w:val="20"/>
          <w:szCs w:val="20"/>
        </w:rPr>
        <w:footnoteRef/>
      </w:r>
      <w:r w:rsidRPr="00E260DF">
        <w:rPr>
          <w:rFonts w:ascii="Sylfaen" w:hAnsi="Sylfaen"/>
          <w:sz w:val="20"/>
          <w:szCs w:val="20"/>
        </w:rPr>
        <w:t xml:space="preserve"> Շտամների ամենամյա թարմացման (այսինքն՝ հակագենային դրեյֆով շտամների) համար նեյրովիրուլենտության մասով փորձարկումների անցկացումը, որպես կանոն, չի պահանջվում։ Նեյրովիրուլենտության մասով փորձարկումների անցկացումը պահանջվում է, եթե А տեսակի գրիպի վիրուսի ГА-ենթատեսակը կամ ներկայումս շրջանառվող գենետիկ գծերից տարբերվող՝ В տեսակի գրիպի վիրուսի նոր տեսակը ներառվել է պատվաստանյութերում, կամ պատվաստանյութի անվտանգության պրոֆիլի հետ կապված մասնավոր կ</w:t>
      </w:r>
      <w:r>
        <w:rPr>
          <w:rFonts w:ascii="Sylfaen" w:hAnsi="Sylfaen"/>
          <w:sz w:val="20"/>
          <w:szCs w:val="20"/>
        </w:rPr>
        <w:t>ասկածներ առաջանալու դեպքում</w:t>
      </w:r>
      <w:r w:rsidRPr="00924988">
        <w:rPr>
          <w:rFonts w:ascii="Sylfaen" w:hAnsi="Sylfaen"/>
          <w:sz w:val="20"/>
          <w:szCs w:val="20"/>
        </w:rPr>
        <w:t>:</w:t>
      </w:r>
    </w:p>
    <w:p w14:paraId="61F99292" w14:textId="77777777" w:rsidR="00BD67EC" w:rsidRPr="00B96C43" w:rsidRDefault="00BD67EC" w:rsidP="00BD67EC">
      <w:pPr>
        <w:spacing w:after="160" w:line="360" w:lineRule="auto"/>
        <w:ind w:firstLine="567"/>
        <w:rPr>
          <w:rFonts w:ascii="Sylfaen" w:hAnsi="Sylfaen"/>
          <w:sz w:val="24"/>
          <w:szCs w:val="24"/>
        </w:rPr>
      </w:pPr>
    </w:p>
    <w:p w14:paraId="3E78CDA5"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3.2.S.4.</w:t>
      </w:r>
      <w:r w:rsidRPr="00B96C43">
        <w:rPr>
          <w:rFonts w:ascii="Sylfaen" w:hAnsi="Sylfaen"/>
          <w:sz w:val="24"/>
          <w:szCs w:val="24"/>
        </w:rPr>
        <w:tab/>
        <w:t>ԱԴԲ-ի որակի հսկողությունը</w:t>
      </w:r>
    </w:p>
    <w:p w14:paraId="3B760E48"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3.2.S.4.1.</w:t>
      </w:r>
      <w:r w:rsidRPr="00B96C43">
        <w:rPr>
          <w:rFonts w:ascii="Sylfaen" w:hAnsi="Sylfaen"/>
          <w:sz w:val="24"/>
          <w:szCs w:val="24"/>
        </w:rPr>
        <w:tab/>
        <w:t>Մասնագիրը</w:t>
      </w:r>
    </w:p>
    <w:p w14:paraId="3B0EA3BE"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պատճենները։</w:t>
      </w:r>
    </w:p>
    <w:p w14:paraId="3BAC83B8"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3.2.S.4.2.</w:t>
      </w:r>
      <w:r w:rsidRPr="00B96C43">
        <w:rPr>
          <w:rFonts w:ascii="Sylfaen" w:hAnsi="Sylfaen"/>
          <w:sz w:val="24"/>
          <w:szCs w:val="24"/>
        </w:rPr>
        <w:tab/>
        <w:t>Վերլուծական մեթոդիկաները</w:t>
      </w:r>
    </w:p>
    <w:p w14:paraId="6445FF8F"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3.2.5.4.3.</w:t>
      </w:r>
      <w:r w:rsidRPr="00B96C43">
        <w:rPr>
          <w:rFonts w:ascii="Sylfaen" w:hAnsi="Sylfaen"/>
          <w:sz w:val="24"/>
          <w:szCs w:val="24"/>
        </w:rPr>
        <w:tab/>
        <w:t>Վերլուծական մեթոդիկաների վալիդացումը</w:t>
      </w:r>
    </w:p>
    <w:p w14:paraId="6C6A095B"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Վերլուծական մեթոդիկաների վալիդացումը՝ պայմանավորված նոր շտամի (շտամների) ներմուծման եւ նոր ռեագենտների օգտագործման հետ։</w:t>
      </w:r>
    </w:p>
    <w:p w14:paraId="3AF5E44A"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3.2.S.4.4.</w:t>
      </w:r>
      <w:r w:rsidRPr="00B96C43">
        <w:rPr>
          <w:rFonts w:ascii="Sylfaen" w:hAnsi="Sylfaen"/>
          <w:sz w:val="24"/>
          <w:szCs w:val="24"/>
        </w:rPr>
        <w:tab/>
        <w:t xml:space="preserve">Սերիաների վերլուծությունները (սերիաների վերլուծության </w:t>
      </w:r>
      <w:r w:rsidRPr="00B96C43">
        <w:rPr>
          <w:rFonts w:ascii="Sylfaen" w:hAnsi="Sylfaen"/>
          <w:sz w:val="24"/>
          <w:szCs w:val="24"/>
        </w:rPr>
        <w:lastRenderedPageBreak/>
        <w:t>արդյունքները)</w:t>
      </w:r>
    </w:p>
    <w:p w14:paraId="0643CB0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Չկշռածրարված միավալենտ արտադրանքի առաջին երեք սերիաների փորձարկումների արդյունքները։</w:t>
      </w:r>
    </w:p>
    <w:p w14:paraId="71D03403"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3.2.S.7.</w:t>
      </w:r>
      <w:r w:rsidRPr="00B96C43">
        <w:rPr>
          <w:rFonts w:ascii="Sylfaen" w:hAnsi="Sylfaen"/>
          <w:sz w:val="24"/>
          <w:szCs w:val="24"/>
        </w:rPr>
        <w:tab/>
        <w:t>Կայունությունը</w:t>
      </w:r>
    </w:p>
    <w:p w14:paraId="5B6855F1"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ԱԴԲ-ի փորձարկումները կայունության մասով՝ չկշռածրարված միավալենտ արտադրանքների փորձարկումների արդյունքները, եթե դրանք օգտագործվում են 1 տարուց ավելի։</w:t>
      </w:r>
    </w:p>
    <w:p w14:paraId="4CB5EC52"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3.2.Р.</w:t>
      </w:r>
      <w:r w:rsidRPr="00B96C43">
        <w:rPr>
          <w:rFonts w:ascii="Sylfaen" w:hAnsi="Sylfaen"/>
          <w:sz w:val="24"/>
          <w:szCs w:val="24"/>
        </w:rPr>
        <w:tab/>
        <w:t>Դեղապատրաստուկը</w:t>
      </w:r>
    </w:p>
    <w:p w14:paraId="7A37E399"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3.2.Р.1.</w:t>
      </w:r>
      <w:r w:rsidRPr="00B96C43">
        <w:rPr>
          <w:rFonts w:ascii="Sylfaen" w:hAnsi="Sylfaen"/>
          <w:sz w:val="24"/>
          <w:szCs w:val="24"/>
        </w:rPr>
        <w:tab/>
        <w:t>Դեղապատրաստուկի նկարագրությունը եւ բաղադրությունը</w:t>
      </w:r>
    </w:p>
    <w:p w14:paraId="4D234E4E"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Դեղապատրաստուկի բաղադրությունը։</w:t>
      </w:r>
    </w:p>
    <w:p w14:paraId="5E7FEB90"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3.2.Р.2.</w:t>
      </w:r>
      <w:r w:rsidRPr="00B96C43">
        <w:rPr>
          <w:rFonts w:ascii="Sylfaen" w:hAnsi="Sylfaen"/>
          <w:sz w:val="24"/>
          <w:szCs w:val="24"/>
        </w:rPr>
        <w:tab/>
        <w:t>Դեղագործական մշակումը</w:t>
      </w:r>
    </w:p>
    <w:p w14:paraId="6C7CDC5C" w14:textId="77777777" w:rsidR="00BD67EC" w:rsidRPr="00B96C43" w:rsidRDefault="00BD67EC" w:rsidP="00BD67EC">
      <w:pPr>
        <w:tabs>
          <w:tab w:val="left" w:pos="1843"/>
        </w:tabs>
        <w:spacing w:after="160" w:line="336" w:lineRule="auto"/>
        <w:ind w:firstLine="567"/>
        <w:rPr>
          <w:rFonts w:ascii="Sylfaen" w:hAnsi="Sylfaen"/>
          <w:sz w:val="24"/>
          <w:szCs w:val="24"/>
        </w:rPr>
      </w:pPr>
      <w:r w:rsidRPr="00B96C43">
        <w:rPr>
          <w:rFonts w:ascii="Sylfaen" w:hAnsi="Sylfaen"/>
          <w:sz w:val="24"/>
          <w:szCs w:val="24"/>
        </w:rPr>
        <w:t>3.2.Р.2.2.1.</w:t>
      </w:r>
      <w:r w:rsidRPr="00B96C43">
        <w:rPr>
          <w:rFonts w:ascii="Sylfaen" w:hAnsi="Sylfaen"/>
          <w:sz w:val="24"/>
          <w:szCs w:val="24"/>
        </w:rPr>
        <w:tab/>
        <w:t>Դեղաձեւի մշակումը</w:t>
      </w:r>
    </w:p>
    <w:p w14:paraId="0D1EA897"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Պատվաստանյութի փոփոխված բաղադրությունը (նոր սեզոնի շտամները) եւ, եթե առաջադրվել է ամենամյա թարմացումը հիմնավորելու նպատակով պատվաստանյութի կլինիկական հետազոտություն անցկացնելու պահանջ, ապա կլինիկական հետազոտության մեջ օգտագործված սերիայի վերլուծության հավաստագիրը՝ դրանց կազմմանը զուգընթաց։</w:t>
      </w:r>
    </w:p>
    <w:p w14:paraId="6C36635F"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3.2.Р.З.</w:t>
      </w:r>
      <w:r w:rsidRPr="00B96C43">
        <w:rPr>
          <w:rFonts w:ascii="Sylfaen" w:hAnsi="Sylfaen"/>
          <w:sz w:val="24"/>
          <w:szCs w:val="24"/>
        </w:rPr>
        <w:tab/>
        <w:t>Դեղապատրաստուկի արտադրության գործընթացը</w:t>
      </w:r>
    </w:p>
    <w:p w14:paraId="7D8F2E64"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3.2.Р.З.2.</w:t>
      </w:r>
      <w:r w:rsidRPr="00B96C43">
        <w:rPr>
          <w:rFonts w:ascii="Sylfaen" w:hAnsi="Sylfaen"/>
          <w:sz w:val="24"/>
          <w:szCs w:val="24"/>
        </w:rPr>
        <w:tab/>
        <w:t>Բաղադրությունն ըստ սերիայի (արտադրական դեղագրությունը)</w:t>
      </w:r>
    </w:p>
    <w:p w14:paraId="78F3AE55"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3.2.Р.5.</w:t>
      </w:r>
      <w:r w:rsidRPr="00B96C43">
        <w:rPr>
          <w:rFonts w:ascii="Sylfaen" w:hAnsi="Sylfaen"/>
          <w:sz w:val="24"/>
          <w:szCs w:val="24"/>
        </w:rPr>
        <w:tab/>
        <w:t>Դեղապատրաստուկի որակի հսկողությունը</w:t>
      </w:r>
    </w:p>
    <w:p w14:paraId="3773E465" w14:textId="77777777" w:rsidR="00BD67EC" w:rsidRPr="00B96C43" w:rsidRDefault="00BD67EC" w:rsidP="00BD67EC">
      <w:pPr>
        <w:tabs>
          <w:tab w:val="left" w:pos="1701"/>
        </w:tabs>
        <w:spacing w:after="160" w:line="360" w:lineRule="auto"/>
        <w:ind w:firstLine="567"/>
        <w:rPr>
          <w:rFonts w:ascii="Sylfaen" w:hAnsi="Sylfaen"/>
          <w:sz w:val="24"/>
          <w:szCs w:val="24"/>
        </w:rPr>
      </w:pPr>
      <w:r w:rsidRPr="00B96C43">
        <w:rPr>
          <w:rFonts w:ascii="Sylfaen" w:hAnsi="Sylfaen"/>
          <w:sz w:val="24"/>
          <w:szCs w:val="24"/>
        </w:rPr>
        <w:t>3.2.Р.5.1.</w:t>
      </w:r>
      <w:r w:rsidRPr="00B96C43">
        <w:rPr>
          <w:rFonts w:ascii="Sylfaen" w:hAnsi="Sylfaen"/>
          <w:sz w:val="24"/>
          <w:szCs w:val="24"/>
        </w:rPr>
        <w:tab/>
        <w:t>Մասնագրերը</w:t>
      </w:r>
    </w:p>
    <w:p w14:paraId="740DD7B8"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Աղյուսակի ձեւաչափով՝ հաստատված մասնագրերի եւ մասնագրերի ցուցանիշների որոշման մեթոդիկաների պատճենները</w:t>
      </w:r>
    </w:p>
    <w:p w14:paraId="5219B6A9"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lastRenderedPageBreak/>
        <w:t>3.2.Р.5.</w:t>
      </w:r>
      <w:r w:rsidRPr="00B96C43">
        <w:rPr>
          <w:rFonts w:ascii="Sylfaen" w:hAnsi="Sylfaen"/>
          <w:sz w:val="24"/>
          <w:szCs w:val="24"/>
        </w:rPr>
        <w:tab/>
        <w:t>Դեղապատրաստուկի որակի հսկողությունը</w:t>
      </w:r>
    </w:p>
    <w:p w14:paraId="3F81654F" w14:textId="77777777" w:rsidR="00BD67EC" w:rsidRPr="00B96C43" w:rsidRDefault="00BD67EC" w:rsidP="00BD67EC">
      <w:pPr>
        <w:tabs>
          <w:tab w:val="left" w:pos="1701"/>
        </w:tabs>
        <w:spacing w:after="160" w:line="336" w:lineRule="auto"/>
        <w:ind w:firstLine="567"/>
        <w:rPr>
          <w:rFonts w:ascii="Sylfaen" w:hAnsi="Sylfaen"/>
          <w:sz w:val="24"/>
          <w:szCs w:val="24"/>
        </w:rPr>
      </w:pPr>
      <w:r w:rsidRPr="00B96C43">
        <w:rPr>
          <w:rFonts w:ascii="Sylfaen" w:hAnsi="Sylfaen"/>
          <w:sz w:val="24"/>
          <w:szCs w:val="24"/>
        </w:rPr>
        <w:t>3.2.Р.5.3.</w:t>
      </w:r>
      <w:r w:rsidRPr="00B96C43">
        <w:rPr>
          <w:rFonts w:ascii="Sylfaen" w:hAnsi="Sylfaen"/>
          <w:sz w:val="24"/>
          <w:szCs w:val="24"/>
        </w:rPr>
        <w:tab/>
        <w:t>Վերլուծական մեթոդիկաների վալիդացումը</w:t>
      </w:r>
    </w:p>
    <w:p w14:paraId="62186176"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Վերլուծական մեթոդիկաների վալիդացումը (չկշռածրարված եռավալենտ նյութի կամ դեղապատրաստուկի պատրաստի ձեւի օգտագործմամբ)։</w:t>
      </w:r>
    </w:p>
    <w:p w14:paraId="5C5FDCEF" w14:textId="77777777" w:rsidR="00BD67EC" w:rsidRPr="00B96C43" w:rsidRDefault="00BD67EC" w:rsidP="00BD67EC">
      <w:pPr>
        <w:tabs>
          <w:tab w:val="left" w:pos="1701"/>
        </w:tabs>
        <w:spacing w:after="160" w:line="336" w:lineRule="auto"/>
        <w:ind w:firstLine="567"/>
        <w:rPr>
          <w:rFonts w:ascii="Sylfaen" w:hAnsi="Sylfaen"/>
          <w:sz w:val="24"/>
          <w:szCs w:val="24"/>
        </w:rPr>
      </w:pPr>
      <w:r w:rsidRPr="00B96C43">
        <w:rPr>
          <w:rFonts w:ascii="Sylfaen" w:hAnsi="Sylfaen"/>
          <w:sz w:val="24"/>
          <w:szCs w:val="24"/>
        </w:rPr>
        <w:t>3.2.Р.5.4.</w:t>
      </w:r>
      <w:r w:rsidRPr="00B96C43">
        <w:rPr>
          <w:rFonts w:ascii="Sylfaen" w:hAnsi="Sylfaen"/>
          <w:sz w:val="24"/>
          <w:szCs w:val="24"/>
        </w:rPr>
        <w:tab/>
        <w:t>Սերիաների վերլուծության արդյունքները</w:t>
      </w:r>
    </w:p>
    <w:p w14:paraId="64AB9A55"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3.2.Р.6.</w:t>
      </w:r>
      <w:r w:rsidRPr="00B96C43">
        <w:rPr>
          <w:rFonts w:ascii="Sylfaen" w:hAnsi="Sylfaen"/>
          <w:sz w:val="24"/>
          <w:szCs w:val="24"/>
        </w:rPr>
        <w:tab/>
        <w:t>Ստանդարտ նմուշները եւ նյութերը</w:t>
      </w:r>
    </w:p>
    <w:p w14:paraId="264CA318"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Ստանդարտ նմուշները եւ նյութերը՝ ներմուծվող շտամի (շտամների) համար։</w:t>
      </w:r>
    </w:p>
    <w:p w14:paraId="65199EFE" w14:textId="77777777" w:rsidR="00BD67EC" w:rsidRPr="00B96C43" w:rsidRDefault="00BD67EC" w:rsidP="00BD67EC">
      <w:pPr>
        <w:tabs>
          <w:tab w:val="left" w:pos="1276"/>
        </w:tabs>
        <w:spacing w:after="160" w:line="336" w:lineRule="auto"/>
        <w:ind w:firstLine="567"/>
        <w:rPr>
          <w:rFonts w:ascii="Sylfaen" w:hAnsi="Sylfaen"/>
          <w:sz w:val="24"/>
          <w:szCs w:val="24"/>
        </w:rPr>
      </w:pPr>
      <w:r w:rsidRPr="00B96C43">
        <w:rPr>
          <w:rFonts w:ascii="Sylfaen" w:hAnsi="Sylfaen"/>
          <w:sz w:val="24"/>
          <w:szCs w:val="24"/>
        </w:rPr>
        <w:t>3.2.Р.8.</w:t>
      </w:r>
      <w:r w:rsidRPr="00B96C43">
        <w:rPr>
          <w:rFonts w:ascii="Sylfaen" w:hAnsi="Sylfaen"/>
          <w:sz w:val="24"/>
          <w:szCs w:val="24"/>
        </w:rPr>
        <w:tab/>
        <w:t>Դեղապատրաստուկի կայունությունը՝</w:t>
      </w:r>
    </w:p>
    <w:p w14:paraId="22F556DC"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նախորդ սեզոնում կայունության մասին տվյալներ.</w:t>
      </w:r>
    </w:p>
    <w:p w14:paraId="3911EE92" w14:textId="77777777" w:rsidR="00BD67EC" w:rsidRPr="00B96C43" w:rsidRDefault="00BD67EC" w:rsidP="00BD67EC">
      <w:pPr>
        <w:spacing w:after="160" w:line="336" w:lineRule="auto"/>
        <w:ind w:firstLine="567"/>
        <w:rPr>
          <w:rFonts w:ascii="Sylfaen" w:hAnsi="Sylfaen"/>
          <w:sz w:val="24"/>
          <w:szCs w:val="24"/>
        </w:rPr>
      </w:pPr>
      <w:r w:rsidRPr="00B96C43">
        <w:rPr>
          <w:rFonts w:ascii="Sylfaen" w:hAnsi="Sylfaen"/>
          <w:sz w:val="24"/>
          <w:szCs w:val="24"/>
        </w:rPr>
        <w:t>կայունության ուսումնասիրման պարտավորություններ.</w:t>
      </w:r>
    </w:p>
    <w:p w14:paraId="7FFA16C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պատվաստանյութի կայունության հետգրանցումային հետազոտությունների արձանագրություններ։</w:t>
      </w:r>
    </w:p>
    <w:p w14:paraId="3849A66B" w14:textId="77777777" w:rsidR="00BD67EC" w:rsidRPr="00B96C43" w:rsidRDefault="00BD67EC" w:rsidP="00BD67EC">
      <w:pPr>
        <w:spacing w:after="120"/>
        <w:ind w:firstLine="567"/>
        <w:jc w:val="both"/>
      </w:pPr>
    </w:p>
    <w:p w14:paraId="7C8218BB" w14:textId="77777777" w:rsidR="00BD67EC" w:rsidRPr="00B96C43" w:rsidRDefault="00BD67EC" w:rsidP="00BD67EC">
      <w:pPr>
        <w:spacing w:after="160" w:line="360" w:lineRule="auto"/>
        <w:jc w:val="center"/>
        <w:rPr>
          <w:rFonts w:ascii="Sylfaen" w:hAnsi="Sylfaen"/>
          <w:sz w:val="24"/>
          <w:szCs w:val="24"/>
        </w:rPr>
      </w:pPr>
      <w:r w:rsidRPr="00B96C43">
        <w:rPr>
          <w:rFonts w:ascii="Sylfaen" w:hAnsi="Sylfaen"/>
          <w:sz w:val="24"/>
          <w:szCs w:val="24"/>
        </w:rPr>
        <w:t xml:space="preserve">5.5. Անդամ պետությունների լիազորված մարմինների </w:t>
      </w:r>
      <w:r w:rsidRPr="00B96C43">
        <w:rPr>
          <w:rFonts w:ascii="Sylfaen" w:hAnsi="Sylfaen"/>
          <w:sz w:val="24"/>
          <w:szCs w:val="24"/>
        </w:rPr>
        <w:br/>
        <w:t xml:space="preserve">(փորձագիտական կազմակերպությունների) հարցման հիման վրա </w:t>
      </w:r>
      <w:r w:rsidRPr="00B96C43">
        <w:rPr>
          <w:rFonts w:ascii="Sylfaen" w:hAnsi="Sylfaen"/>
          <w:sz w:val="24"/>
          <w:szCs w:val="24"/>
        </w:rPr>
        <w:br/>
        <w:t>լրացուցիչ տվյալները ներկայացնելու պահանջները</w:t>
      </w:r>
    </w:p>
    <w:p w14:paraId="25FBB12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pacing w:val="-6"/>
          <w:sz w:val="24"/>
          <w:szCs w:val="24"/>
        </w:rPr>
        <w:t>Լրացուցիչ տվյալների հարցման դեպքում՝ ներկայացվող լրացուցիչ տվյալների տեսակով պայմանավորված, անհրաժեշտ է գրանցման դոսյեի համապատասխան բաժինները ԸՏՓ ձեւաչափով ներկայացնել փ</w:t>
      </w:r>
      <w:r w:rsidRPr="00B96C43">
        <w:rPr>
          <w:rFonts w:ascii="Sylfaen" w:hAnsi="Sylfaen"/>
          <w:sz w:val="24"/>
          <w:szCs w:val="24"/>
        </w:rPr>
        <w:t>ոփոխման համար։</w:t>
      </w:r>
    </w:p>
    <w:p w14:paraId="43C8CCE9"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1. Վարչական տեղեկատվությունը</w:t>
      </w:r>
    </w:p>
    <w:p w14:paraId="0969DE04"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w:t>
      </w:r>
      <w:r w:rsidRPr="00B96C43">
        <w:rPr>
          <w:rFonts w:ascii="Sylfaen" w:hAnsi="Sylfaen"/>
          <w:sz w:val="24"/>
          <w:szCs w:val="24"/>
        </w:rPr>
        <w:tab/>
        <w:t>Ուղեկցող նամակը (ինչպես ԸՏՓ-ում)</w:t>
      </w:r>
    </w:p>
    <w:p w14:paraId="3D76EAFD"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1.1.</w:t>
      </w:r>
      <w:r w:rsidRPr="00B96C43">
        <w:rPr>
          <w:rFonts w:ascii="Sylfaen" w:hAnsi="Sylfaen"/>
          <w:sz w:val="24"/>
          <w:szCs w:val="24"/>
        </w:rPr>
        <w:tab/>
        <w:t>Բովանդակությունը (չի պահանջվում էԸՏՓ ձեւաչափով ներկայացնելու դեպքում)</w:t>
      </w:r>
    </w:p>
    <w:p w14:paraId="1621B3D8"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lastRenderedPageBreak/>
        <w:t>1.7.</w:t>
      </w:r>
      <w:r w:rsidRPr="00B96C43">
        <w:rPr>
          <w:rFonts w:ascii="Sylfaen" w:hAnsi="Sylfaen"/>
          <w:sz w:val="24"/>
          <w:szCs w:val="24"/>
        </w:rPr>
        <w:tab/>
        <w:t>Մասնագետների մասին տեղեկատվությունը</w:t>
      </w:r>
    </w:p>
    <w:p w14:paraId="25FD2755" w14:textId="77777777" w:rsidR="00BD67EC" w:rsidRPr="00B96C43" w:rsidRDefault="00BD67EC" w:rsidP="00BD67EC">
      <w:pPr>
        <w:tabs>
          <w:tab w:val="left" w:pos="1276"/>
        </w:tabs>
        <w:spacing w:after="160" w:line="360" w:lineRule="auto"/>
        <w:ind w:firstLine="567"/>
        <w:rPr>
          <w:rFonts w:ascii="Sylfaen" w:hAnsi="Sylfaen"/>
          <w:sz w:val="24"/>
          <w:szCs w:val="24"/>
        </w:rPr>
      </w:pPr>
      <w:r w:rsidRPr="00B96C43">
        <w:rPr>
          <w:rFonts w:ascii="Sylfaen" w:hAnsi="Sylfaen"/>
          <w:sz w:val="24"/>
          <w:szCs w:val="24"/>
        </w:rPr>
        <w:t>1.7.1.</w:t>
      </w:r>
      <w:r w:rsidRPr="00B96C43">
        <w:rPr>
          <w:rFonts w:ascii="Sylfaen" w:hAnsi="Sylfaen"/>
          <w:sz w:val="24"/>
          <w:szCs w:val="24"/>
        </w:rPr>
        <w:tab/>
        <w:t>Որակի վերաբերյալ ռեզյումեն նախապատրաստած մասնագետի մասին տեղեկատվությունը (հակիրճ ռեզյումե)</w:t>
      </w:r>
    </w:p>
    <w:p w14:paraId="7BDAB4C1"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Մոդուլ 2. Ընդհանուր տեխնիկական փաստաթղթի ռեզյումեն</w:t>
      </w:r>
    </w:p>
    <w:p w14:paraId="105537E4"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2.1.</w:t>
      </w:r>
      <w:r w:rsidRPr="00B96C43">
        <w:rPr>
          <w:rFonts w:ascii="Sylfaen" w:hAnsi="Sylfaen"/>
          <w:sz w:val="24"/>
          <w:szCs w:val="24"/>
        </w:rPr>
        <w:tab/>
        <w:t>2-5-րդ մոդուլների բովանդակությունը (չի պահանջվում էԸՏՓ ձեւաչափով ներկայացնելու դեպքում)</w:t>
      </w:r>
    </w:p>
    <w:p w14:paraId="304DEF56"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2.2.</w:t>
      </w:r>
      <w:r w:rsidRPr="00B96C43">
        <w:rPr>
          <w:rFonts w:ascii="Sylfaen" w:hAnsi="Sylfaen"/>
          <w:sz w:val="24"/>
          <w:szCs w:val="24"/>
        </w:rPr>
        <w:tab/>
        <w:t>ԸՏՓ-ի ներածությունը</w:t>
      </w:r>
    </w:p>
    <w:p w14:paraId="38E370F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ԸՏՓ-ի նախորդ ներածության թարմացումը կամ լրացումը (եթե կիրառելի է)։</w:t>
      </w:r>
    </w:p>
    <w:p w14:paraId="08725CFA"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2.3.</w:t>
      </w:r>
      <w:r w:rsidRPr="00B96C43">
        <w:rPr>
          <w:rFonts w:ascii="Sylfaen" w:hAnsi="Sylfaen"/>
          <w:sz w:val="24"/>
          <w:szCs w:val="24"/>
        </w:rPr>
        <w:tab/>
        <w:t>Որակի վերաբերյալ ընդհանուր ռեզյումեն</w:t>
      </w:r>
    </w:p>
    <w:p w14:paraId="266585BD"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Որակի վերաբերյալ նախորդ ընդհանուր ռեզյումեի թարմացումը կամ լրացումը (եթե կիրառելի է)։</w:t>
      </w:r>
    </w:p>
    <w:p w14:paraId="1FC86FDD" w14:textId="77777777" w:rsidR="00BD67EC" w:rsidRPr="00B96C43" w:rsidRDefault="00BD67EC" w:rsidP="00BD67EC">
      <w:pPr>
        <w:tabs>
          <w:tab w:val="left" w:pos="1134"/>
        </w:tabs>
        <w:spacing w:after="160" w:line="360" w:lineRule="auto"/>
        <w:ind w:firstLine="567"/>
        <w:rPr>
          <w:rFonts w:ascii="Sylfaen" w:hAnsi="Sylfaen"/>
          <w:sz w:val="24"/>
          <w:szCs w:val="24"/>
        </w:rPr>
      </w:pPr>
      <w:r w:rsidRPr="00B96C43">
        <w:rPr>
          <w:rFonts w:ascii="Sylfaen" w:hAnsi="Sylfaen"/>
          <w:sz w:val="24"/>
          <w:szCs w:val="24"/>
        </w:rPr>
        <w:t>2.5.</w:t>
      </w:r>
      <w:r w:rsidRPr="00B96C43">
        <w:rPr>
          <w:rFonts w:ascii="Sylfaen" w:hAnsi="Sylfaen"/>
          <w:sz w:val="24"/>
          <w:szCs w:val="24"/>
        </w:rPr>
        <w:tab/>
        <w:t>Կլինիկական տվյալների ամփոփագիրը</w:t>
      </w:r>
    </w:p>
    <w:p w14:paraId="677840B5" w14:textId="77777777" w:rsidR="00BD67EC" w:rsidRPr="00B96C43" w:rsidRDefault="00BD67EC" w:rsidP="00BD67EC">
      <w:pPr>
        <w:spacing w:after="160" w:line="360" w:lineRule="auto"/>
        <w:ind w:firstLine="567"/>
        <w:rPr>
          <w:rFonts w:ascii="Sylfaen" w:hAnsi="Sylfaen"/>
          <w:sz w:val="24"/>
          <w:szCs w:val="24"/>
        </w:rPr>
      </w:pPr>
      <w:r w:rsidRPr="00B96C43">
        <w:rPr>
          <w:rFonts w:ascii="Sylfaen" w:hAnsi="Sylfaen"/>
          <w:sz w:val="24"/>
          <w:szCs w:val="24"/>
        </w:rPr>
        <w:t>Նախորդ կլինիկական ամփոփագրի թարմացումը կամ լրացումը (եթե կիրառելի է)։</w:t>
      </w:r>
    </w:p>
    <w:p w14:paraId="2F62AA33" w14:textId="64782EAD" w:rsidR="00BD67EC" w:rsidRPr="00B96C43" w:rsidRDefault="00BD67EC" w:rsidP="00C67BCC">
      <w:pPr>
        <w:pBdr>
          <w:bottom w:val="single" w:sz="6" w:space="1" w:color="auto"/>
        </w:pBdr>
        <w:spacing w:after="160" w:line="360" w:lineRule="auto"/>
        <w:ind w:firstLine="567"/>
        <w:rPr>
          <w:rFonts w:ascii="Sylfaen" w:hAnsi="Sylfaen"/>
          <w:sz w:val="24"/>
          <w:szCs w:val="24"/>
        </w:rPr>
      </w:pPr>
      <w:r w:rsidRPr="00B96C43">
        <w:rPr>
          <w:rFonts w:ascii="Sylfaen" w:hAnsi="Sylfaen"/>
          <w:sz w:val="24"/>
          <w:szCs w:val="24"/>
        </w:rPr>
        <w:t>3 - 5-րդ մոդուլներում պարունակվող տեղեկատվությունը ներկայացվում է որակի վերաբերյալ լրացուցիչ տվյալների, նախակլինիկական</w:t>
      </w:r>
      <w:r w:rsidRPr="00B96C43">
        <w:rPr>
          <w:rFonts w:ascii="Sylfaen" w:hAnsi="Sylfaen"/>
          <w:sz w:val="24"/>
          <w:szCs w:val="24"/>
          <w:vertAlign w:val="superscript"/>
        </w:rPr>
        <w:t>1</w:t>
      </w:r>
      <w:r w:rsidRPr="00B96C43">
        <w:rPr>
          <w:rFonts w:ascii="Sylfaen" w:hAnsi="Sylfaen"/>
          <w:sz w:val="24"/>
          <w:szCs w:val="24"/>
        </w:rPr>
        <w:t xml:space="preserve"> եւ (կամ) կլինիկական</w:t>
      </w:r>
      <w:r w:rsidRPr="00B96C43">
        <w:rPr>
          <w:rFonts w:ascii="Sylfaen" w:hAnsi="Sylfaen"/>
          <w:sz w:val="24"/>
          <w:szCs w:val="24"/>
          <w:vertAlign w:val="superscript"/>
        </w:rPr>
        <w:t xml:space="preserve">2 </w:t>
      </w:r>
      <w:r w:rsidRPr="00B96C43">
        <w:rPr>
          <w:rFonts w:ascii="Sylfaen" w:hAnsi="Sylfaen"/>
          <w:sz w:val="24"/>
          <w:szCs w:val="24"/>
        </w:rPr>
        <w:t>տվյալների հարցման դեպքում։</w:t>
      </w:r>
    </w:p>
    <w:p w14:paraId="232E393A" w14:textId="5CC502CD" w:rsidR="00C67BCC" w:rsidRPr="00C67BCC" w:rsidRDefault="00C67BCC" w:rsidP="00C67BCC">
      <w:pPr>
        <w:tabs>
          <w:tab w:val="left" w:pos="1134"/>
        </w:tabs>
        <w:spacing w:after="160" w:line="360" w:lineRule="auto"/>
        <w:ind w:right="-8" w:firstLine="567"/>
        <w:jc w:val="both"/>
        <w:rPr>
          <w:rFonts w:ascii="Sylfaen" w:hAnsi="Sylfaen"/>
          <w:b/>
          <w:bCs/>
          <w:i/>
          <w:iCs/>
          <w:sz w:val="24"/>
          <w:szCs w:val="24"/>
        </w:rPr>
      </w:pPr>
      <w:r w:rsidRPr="00C67BCC">
        <w:rPr>
          <w:rFonts w:ascii="Sylfaen" w:hAnsi="Sylfaen"/>
          <w:b/>
          <w:bCs/>
          <w:i/>
          <w:iCs/>
          <w:sz w:val="24"/>
          <w:szCs w:val="24"/>
        </w:rPr>
        <w:t>(</w:t>
      </w:r>
      <w:r>
        <w:rPr>
          <w:rFonts w:ascii="Sylfaen" w:hAnsi="Sylfaen"/>
          <w:b/>
          <w:bCs/>
          <w:i/>
          <w:iCs/>
          <w:sz w:val="24"/>
          <w:szCs w:val="24"/>
        </w:rPr>
        <w:t>հավելվածը</w:t>
      </w:r>
      <w:r w:rsidRPr="007130F9">
        <w:rPr>
          <w:rFonts w:ascii="Sylfaen" w:hAnsi="Sylfaen"/>
          <w:b/>
          <w:bCs/>
          <w:i/>
          <w:iCs/>
          <w:sz w:val="24"/>
          <w:szCs w:val="24"/>
        </w:rPr>
        <w:t xml:space="preserve"> լրաց. 14.06.18 թ</w:t>
      </w:r>
      <w:r>
        <w:rPr>
          <w:rFonts w:ascii="Sylfaen" w:hAnsi="Sylfaen"/>
          <w:b/>
          <w:bCs/>
          <w:i/>
          <w:iCs/>
          <w:sz w:val="24"/>
          <w:szCs w:val="24"/>
        </w:rPr>
        <w:t>ի</w:t>
      </w:r>
      <w:r w:rsidRPr="007130F9">
        <w:rPr>
          <w:rFonts w:ascii="Sylfaen" w:hAnsi="Sylfaen"/>
          <w:b/>
          <w:bCs/>
          <w:i/>
          <w:iCs/>
          <w:sz w:val="24"/>
          <w:szCs w:val="24"/>
        </w:rPr>
        <w:t>վ 55</w:t>
      </w:r>
      <w:r w:rsidRPr="00C67BCC">
        <w:rPr>
          <w:rFonts w:ascii="Sylfaen" w:hAnsi="Sylfaen"/>
          <w:b/>
          <w:bCs/>
          <w:i/>
          <w:iCs/>
          <w:sz w:val="24"/>
          <w:szCs w:val="24"/>
        </w:rPr>
        <w:t>)</w:t>
      </w:r>
    </w:p>
    <w:p w14:paraId="46A90E5A" w14:textId="38992C8C" w:rsidR="00C67BCC" w:rsidRPr="007130F9" w:rsidRDefault="00C67BCC" w:rsidP="00C67BCC">
      <w:pPr>
        <w:tabs>
          <w:tab w:val="left" w:pos="1134"/>
        </w:tabs>
        <w:spacing w:after="160" w:line="360" w:lineRule="auto"/>
        <w:ind w:right="-8" w:firstLine="567"/>
        <w:jc w:val="both"/>
        <w:rPr>
          <w:rFonts w:ascii="Sylfaen" w:hAnsi="Sylfaen"/>
          <w:b/>
          <w:bCs/>
          <w:i/>
          <w:iCs/>
          <w:sz w:val="24"/>
          <w:szCs w:val="24"/>
        </w:rPr>
      </w:pPr>
      <w:r w:rsidRPr="00C67BCC">
        <w:rPr>
          <w:rFonts w:ascii="Sylfaen" w:hAnsi="Sylfaen"/>
          <w:b/>
          <w:bCs/>
          <w:i/>
          <w:iCs/>
          <w:sz w:val="24"/>
          <w:szCs w:val="24"/>
        </w:rPr>
        <w:t>(</w:t>
      </w:r>
      <w:r>
        <w:rPr>
          <w:rFonts w:ascii="Sylfaen" w:hAnsi="Sylfaen"/>
          <w:b/>
          <w:bCs/>
          <w:i/>
          <w:iCs/>
          <w:sz w:val="24"/>
          <w:szCs w:val="24"/>
        </w:rPr>
        <w:t>հավելվածը</w:t>
      </w:r>
      <w:r>
        <w:rPr>
          <w:rFonts w:ascii="Sylfaen" w:hAnsi="Sylfaen"/>
          <w:b/>
          <w:bCs/>
          <w:i/>
          <w:iCs/>
          <w:sz w:val="24"/>
          <w:szCs w:val="24"/>
        </w:rPr>
        <w:t xml:space="preserve"> փոփ.,</w:t>
      </w:r>
      <w:r w:rsidRPr="007130F9">
        <w:rPr>
          <w:rFonts w:ascii="Sylfaen" w:hAnsi="Sylfaen"/>
          <w:b/>
          <w:bCs/>
          <w:i/>
          <w:iCs/>
          <w:sz w:val="24"/>
          <w:szCs w:val="24"/>
        </w:rPr>
        <w:t xml:space="preserve"> լրաց. 14.06.18 թ</w:t>
      </w:r>
      <w:r>
        <w:rPr>
          <w:rFonts w:ascii="Sylfaen" w:hAnsi="Sylfaen"/>
          <w:b/>
          <w:bCs/>
          <w:i/>
          <w:iCs/>
          <w:sz w:val="24"/>
          <w:szCs w:val="24"/>
        </w:rPr>
        <w:t>ի</w:t>
      </w:r>
      <w:r w:rsidRPr="007130F9">
        <w:rPr>
          <w:rFonts w:ascii="Sylfaen" w:hAnsi="Sylfaen"/>
          <w:b/>
          <w:bCs/>
          <w:i/>
          <w:iCs/>
          <w:sz w:val="24"/>
          <w:szCs w:val="24"/>
        </w:rPr>
        <w:t>վ 55</w:t>
      </w:r>
      <w:r w:rsidRPr="00C67BCC">
        <w:rPr>
          <w:rFonts w:ascii="Sylfaen" w:hAnsi="Sylfaen"/>
          <w:b/>
          <w:bCs/>
          <w:i/>
          <w:iCs/>
          <w:sz w:val="24"/>
          <w:szCs w:val="24"/>
        </w:rPr>
        <w:t>)</w:t>
      </w:r>
    </w:p>
    <w:p w14:paraId="143EC21A" w14:textId="77777777" w:rsidR="00C67BCC" w:rsidRPr="007130F9" w:rsidRDefault="00C67BCC" w:rsidP="00C67BCC">
      <w:pPr>
        <w:tabs>
          <w:tab w:val="left" w:pos="1134"/>
        </w:tabs>
        <w:spacing w:after="160" w:line="360" w:lineRule="auto"/>
        <w:ind w:right="-8" w:firstLine="567"/>
        <w:jc w:val="both"/>
        <w:rPr>
          <w:rFonts w:ascii="Sylfaen" w:hAnsi="Sylfaen"/>
          <w:b/>
          <w:bCs/>
          <w:i/>
          <w:iCs/>
          <w:sz w:val="24"/>
          <w:szCs w:val="24"/>
        </w:rPr>
      </w:pPr>
    </w:p>
    <w:p w14:paraId="2C430BF3" w14:textId="77777777" w:rsidR="00C67BCC" w:rsidRPr="00E260DF" w:rsidRDefault="00C67BCC" w:rsidP="00BD67EC">
      <w:pPr>
        <w:spacing w:after="160" w:line="360" w:lineRule="auto"/>
        <w:jc w:val="center"/>
        <w:rPr>
          <w:rFonts w:ascii="Sylfaen" w:hAnsi="Sylfaen"/>
          <w:sz w:val="24"/>
          <w:szCs w:val="24"/>
        </w:rPr>
      </w:pPr>
    </w:p>
    <w:p w14:paraId="5F0B37D4" w14:textId="77777777" w:rsidR="00BD67EC" w:rsidRPr="00826F05" w:rsidRDefault="00BD67EC" w:rsidP="004F5982">
      <w:pPr>
        <w:spacing w:after="160" w:line="360" w:lineRule="auto"/>
        <w:ind w:left="567" w:right="332"/>
        <w:jc w:val="center"/>
        <w:rPr>
          <w:rFonts w:ascii="Sylfaen" w:hAnsi="Sylfaen"/>
          <w:sz w:val="24"/>
          <w:szCs w:val="24"/>
        </w:rPr>
      </w:pPr>
    </w:p>
    <w:sectPr w:rsidR="00BD67EC" w:rsidRPr="00826F05" w:rsidSect="00903D92">
      <w:type w:val="continuous"/>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BFCC" w14:textId="77777777" w:rsidR="00157FD9" w:rsidRDefault="00157FD9" w:rsidP="006F76EB">
      <w:pPr>
        <w:spacing w:after="0" w:line="240" w:lineRule="auto"/>
      </w:pPr>
      <w:r>
        <w:separator/>
      </w:r>
    </w:p>
  </w:endnote>
  <w:endnote w:type="continuationSeparator" w:id="0">
    <w:p w14:paraId="0B006D1C" w14:textId="77777777" w:rsidR="00157FD9" w:rsidRDefault="00157FD9" w:rsidP="006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UPC">
    <w:charset w:val="DE"/>
    <w:family w:val="swiss"/>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6560"/>
      <w:docPartObj>
        <w:docPartGallery w:val="Page Numbers (Bottom of Page)"/>
        <w:docPartUnique/>
      </w:docPartObj>
    </w:sdtPr>
    <w:sdtEndPr/>
    <w:sdtContent>
      <w:p w14:paraId="7A1D212A" w14:textId="77777777" w:rsidR="004A52D9" w:rsidRDefault="00E85669">
        <w:pPr>
          <w:pStyle w:val="Footer"/>
          <w:jc w:val="center"/>
        </w:pPr>
        <w:r>
          <w:fldChar w:fldCharType="begin"/>
        </w:r>
        <w:r>
          <w:instrText xml:space="preserve"> PAGE   \* MERGEFORMAT </w:instrText>
        </w:r>
        <w:r>
          <w:fldChar w:fldCharType="separate"/>
        </w:r>
        <w:r w:rsidR="00C54D75">
          <w:rPr>
            <w:noProof/>
          </w:rPr>
          <w:t>5</w:t>
        </w:r>
        <w:r>
          <w:rPr>
            <w:noProof/>
          </w:rPr>
          <w:fldChar w:fldCharType="end"/>
        </w:r>
      </w:p>
    </w:sdtContent>
  </w:sdt>
  <w:p w14:paraId="4A8E3A13" w14:textId="77777777" w:rsidR="004A52D9" w:rsidRPr="002A011C" w:rsidRDefault="004A52D9" w:rsidP="00F71229">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6563"/>
      <w:docPartObj>
        <w:docPartGallery w:val="Page Numbers (Bottom of Page)"/>
        <w:docPartUnique/>
      </w:docPartObj>
    </w:sdtPr>
    <w:sdtEndPr>
      <w:rPr>
        <w:rFonts w:ascii="Sylfaen" w:hAnsi="Sylfaen"/>
        <w:sz w:val="24"/>
        <w:szCs w:val="24"/>
      </w:rPr>
    </w:sdtEndPr>
    <w:sdtContent>
      <w:p w14:paraId="220FBA64" w14:textId="77777777" w:rsidR="004A52D9" w:rsidRPr="00BB6361" w:rsidRDefault="00F356C8">
        <w:pPr>
          <w:pStyle w:val="Footer"/>
          <w:jc w:val="center"/>
          <w:rPr>
            <w:rFonts w:ascii="Sylfaen" w:hAnsi="Sylfaen"/>
            <w:sz w:val="24"/>
            <w:szCs w:val="24"/>
          </w:rPr>
        </w:pPr>
        <w:r w:rsidRPr="00BB6361">
          <w:rPr>
            <w:rFonts w:ascii="Sylfaen" w:hAnsi="Sylfaen"/>
            <w:sz w:val="24"/>
            <w:szCs w:val="24"/>
          </w:rPr>
          <w:fldChar w:fldCharType="begin"/>
        </w:r>
        <w:r w:rsidR="004A52D9" w:rsidRPr="00BB6361">
          <w:rPr>
            <w:rFonts w:ascii="Sylfaen" w:hAnsi="Sylfaen"/>
            <w:sz w:val="24"/>
            <w:szCs w:val="24"/>
          </w:rPr>
          <w:instrText xml:space="preserve"> PAGE   \* MERGEFORMAT </w:instrText>
        </w:r>
        <w:r w:rsidRPr="00BB6361">
          <w:rPr>
            <w:rFonts w:ascii="Sylfaen" w:hAnsi="Sylfaen"/>
            <w:sz w:val="24"/>
            <w:szCs w:val="24"/>
          </w:rPr>
          <w:fldChar w:fldCharType="separate"/>
        </w:r>
        <w:r w:rsidR="00C54D75">
          <w:rPr>
            <w:rFonts w:ascii="Sylfaen" w:hAnsi="Sylfaen"/>
            <w:noProof/>
            <w:sz w:val="24"/>
            <w:szCs w:val="24"/>
          </w:rPr>
          <w:t>3</w:t>
        </w:r>
        <w:r w:rsidRPr="00BB6361">
          <w:rPr>
            <w:rFonts w:ascii="Sylfaen" w:hAnsi="Sylfae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6567"/>
      <w:docPartObj>
        <w:docPartGallery w:val="Page Numbers (Bottom of Page)"/>
        <w:docPartUnique/>
      </w:docPartObj>
    </w:sdtPr>
    <w:sdtEndPr>
      <w:rPr>
        <w:rFonts w:ascii="Sylfaen" w:hAnsi="Sylfaen"/>
        <w:sz w:val="24"/>
        <w:szCs w:val="24"/>
      </w:rPr>
    </w:sdtEndPr>
    <w:sdtContent>
      <w:p w14:paraId="34BC2105" w14:textId="77777777" w:rsidR="004A52D9" w:rsidRPr="00BB6361" w:rsidRDefault="00F356C8">
        <w:pPr>
          <w:pStyle w:val="Footer"/>
          <w:jc w:val="center"/>
          <w:rPr>
            <w:rFonts w:ascii="Sylfaen" w:hAnsi="Sylfaen"/>
            <w:sz w:val="24"/>
            <w:szCs w:val="24"/>
          </w:rPr>
        </w:pPr>
        <w:r w:rsidRPr="00BB6361">
          <w:rPr>
            <w:rFonts w:ascii="Sylfaen" w:hAnsi="Sylfaen"/>
            <w:sz w:val="24"/>
            <w:szCs w:val="24"/>
          </w:rPr>
          <w:fldChar w:fldCharType="begin"/>
        </w:r>
        <w:r w:rsidR="004A52D9" w:rsidRPr="00BB6361">
          <w:rPr>
            <w:rFonts w:ascii="Sylfaen" w:hAnsi="Sylfaen"/>
            <w:sz w:val="24"/>
            <w:szCs w:val="24"/>
          </w:rPr>
          <w:instrText xml:space="preserve"> PAGE   \* MERGEFORMAT </w:instrText>
        </w:r>
        <w:r w:rsidRPr="00BB6361">
          <w:rPr>
            <w:rFonts w:ascii="Sylfaen" w:hAnsi="Sylfaen"/>
            <w:sz w:val="24"/>
            <w:szCs w:val="24"/>
          </w:rPr>
          <w:fldChar w:fldCharType="separate"/>
        </w:r>
        <w:r w:rsidR="00C54D75">
          <w:rPr>
            <w:rFonts w:ascii="Sylfaen" w:hAnsi="Sylfaen"/>
            <w:noProof/>
            <w:sz w:val="24"/>
            <w:szCs w:val="24"/>
          </w:rPr>
          <w:t>27</w:t>
        </w:r>
        <w:r w:rsidRPr="00BB6361">
          <w:rPr>
            <w:rFonts w:ascii="Sylfaen" w:hAnsi="Sylfaen"/>
            <w:sz w:val="24"/>
            <w:szCs w:val="24"/>
          </w:rPr>
          <w:fldChar w:fldCharType="end"/>
        </w:r>
      </w:p>
    </w:sdtContent>
  </w:sdt>
  <w:p w14:paraId="304B9801" w14:textId="77777777" w:rsidR="004A52D9" w:rsidRPr="002A011C" w:rsidRDefault="004A52D9" w:rsidP="00F712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1B2F" w14:textId="77777777" w:rsidR="004A52D9" w:rsidRDefault="004A52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991"/>
      <w:docPartObj>
        <w:docPartGallery w:val="Page Numbers (Bottom of Page)"/>
        <w:docPartUnique/>
      </w:docPartObj>
    </w:sdtPr>
    <w:sdtEndPr>
      <w:rPr>
        <w:rFonts w:ascii="Sylfaen" w:hAnsi="Sylfaen"/>
      </w:rPr>
    </w:sdtEndPr>
    <w:sdtContent>
      <w:p w14:paraId="2F2B502A" w14:textId="77777777" w:rsidR="004A52D9" w:rsidRPr="00450D30" w:rsidRDefault="00F356C8">
        <w:pPr>
          <w:pStyle w:val="Footer"/>
          <w:jc w:val="center"/>
          <w:rPr>
            <w:rFonts w:ascii="Sylfaen" w:hAnsi="Sylfaen"/>
          </w:rPr>
        </w:pPr>
        <w:r w:rsidRPr="00450D30">
          <w:rPr>
            <w:rFonts w:ascii="Sylfaen" w:hAnsi="Sylfaen"/>
          </w:rPr>
          <w:fldChar w:fldCharType="begin"/>
        </w:r>
        <w:r w:rsidR="004A52D9" w:rsidRPr="00450D30">
          <w:rPr>
            <w:rFonts w:ascii="Sylfaen" w:hAnsi="Sylfaen"/>
          </w:rPr>
          <w:instrText xml:space="preserve"> PAGE   \* MERGEFORMAT </w:instrText>
        </w:r>
        <w:r w:rsidRPr="00450D30">
          <w:rPr>
            <w:rFonts w:ascii="Sylfaen" w:hAnsi="Sylfaen"/>
          </w:rPr>
          <w:fldChar w:fldCharType="separate"/>
        </w:r>
        <w:r w:rsidR="00C54D75">
          <w:rPr>
            <w:rFonts w:ascii="Sylfaen" w:hAnsi="Sylfaen"/>
            <w:noProof/>
          </w:rPr>
          <w:t>35</w:t>
        </w:r>
        <w:r w:rsidRPr="00450D30">
          <w:rPr>
            <w:rFonts w:ascii="Sylfaen" w:hAnsi="Sylfa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ECC6" w14:textId="77777777" w:rsidR="004A52D9" w:rsidRPr="001D01F7" w:rsidRDefault="004A52D9" w:rsidP="008C76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993"/>
      <w:docPartObj>
        <w:docPartGallery w:val="Page Numbers (Bottom of Page)"/>
        <w:docPartUnique/>
      </w:docPartObj>
    </w:sdtPr>
    <w:sdtEndPr>
      <w:rPr>
        <w:rFonts w:ascii="Sylfaen" w:hAnsi="Sylfaen"/>
        <w:sz w:val="24"/>
        <w:szCs w:val="24"/>
      </w:rPr>
    </w:sdtEndPr>
    <w:sdtContent>
      <w:p w14:paraId="6643CFD5" w14:textId="77777777" w:rsidR="009211E1" w:rsidRPr="009211E1" w:rsidRDefault="00F356C8">
        <w:pPr>
          <w:pStyle w:val="Footer"/>
          <w:jc w:val="center"/>
          <w:rPr>
            <w:rFonts w:ascii="Sylfaen" w:hAnsi="Sylfaen"/>
            <w:sz w:val="24"/>
            <w:szCs w:val="24"/>
          </w:rPr>
        </w:pPr>
        <w:r w:rsidRPr="009211E1">
          <w:rPr>
            <w:rFonts w:ascii="Sylfaen" w:hAnsi="Sylfaen"/>
            <w:sz w:val="24"/>
            <w:szCs w:val="24"/>
          </w:rPr>
          <w:fldChar w:fldCharType="begin"/>
        </w:r>
        <w:r w:rsidR="009211E1" w:rsidRPr="009211E1">
          <w:rPr>
            <w:rFonts w:ascii="Sylfaen" w:hAnsi="Sylfaen"/>
            <w:sz w:val="24"/>
            <w:szCs w:val="24"/>
          </w:rPr>
          <w:instrText xml:space="preserve"> PAGE   \* MERGEFORMAT </w:instrText>
        </w:r>
        <w:r w:rsidRPr="009211E1">
          <w:rPr>
            <w:rFonts w:ascii="Sylfaen" w:hAnsi="Sylfaen"/>
            <w:sz w:val="24"/>
            <w:szCs w:val="24"/>
          </w:rPr>
          <w:fldChar w:fldCharType="separate"/>
        </w:r>
        <w:r w:rsidR="00E74ADC">
          <w:rPr>
            <w:rFonts w:ascii="Sylfaen" w:hAnsi="Sylfaen"/>
            <w:noProof/>
            <w:sz w:val="24"/>
            <w:szCs w:val="24"/>
          </w:rPr>
          <w:t>30</w:t>
        </w:r>
        <w:r w:rsidRPr="009211E1">
          <w:rPr>
            <w:rFonts w:ascii="Sylfaen" w:hAnsi="Sylfaen"/>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8A22" w14:textId="77777777" w:rsidR="004A52D9" w:rsidRPr="001D01F7" w:rsidRDefault="004A52D9" w:rsidP="008C7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566EC" w14:textId="77777777" w:rsidR="00157FD9" w:rsidRDefault="00157FD9" w:rsidP="006F76EB">
      <w:pPr>
        <w:spacing w:after="0" w:line="240" w:lineRule="auto"/>
      </w:pPr>
      <w:r>
        <w:separator/>
      </w:r>
    </w:p>
  </w:footnote>
  <w:footnote w:type="continuationSeparator" w:id="0">
    <w:p w14:paraId="39343D25" w14:textId="77777777" w:rsidR="00157FD9" w:rsidRDefault="00157FD9" w:rsidP="006F76EB">
      <w:pPr>
        <w:spacing w:after="0" w:line="240" w:lineRule="auto"/>
      </w:pPr>
      <w:r>
        <w:continuationSeparator/>
      </w:r>
    </w:p>
  </w:footnote>
  <w:footnote w:id="1">
    <w:p w14:paraId="47E1996F" w14:textId="77777777" w:rsidR="004A52D9" w:rsidRPr="00231614" w:rsidRDefault="004A52D9" w:rsidP="006F76EB">
      <w:pPr>
        <w:spacing w:after="120" w:line="240" w:lineRule="auto"/>
        <w:ind w:right="-8"/>
        <w:jc w:val="both"/>
        <w:rPr>
          <w:rFonts w:ascii="Sylfaen" w:eastAsia="Times New Roman" w:hAnsi="Sylfaen" w:cs="Times New Roman"/>
          <w:sz w:val="20"/>
          <w:szCs w:val="20"/>
          <w:lang w:val="ru-RU"/>
        </w:rPr>
      </w:pPr>
      <w:r w:rsidRPr="00231614">
        <w:rPr>
          <w:rStyle w:val="FootnoteReference"/>
          <w:rFonts w:ascii="Sylfaen" w:hAnsi="Sylfaen"/>
          <w:sz w:val="20"/>
          <w:szCs w:val="20"/>
        </w:rPr>
        <w:sym w:font="Symbol" w:char="F02A"/>
      </w:r>
      <w:r w:rsidRPr="00231614">
        <w:rPr>
          <w:rFonts w:ascii="Sylfaen" w:hAnsi="Sylfaen"/>
          <w:sz w:val="20"/>
          <w:szCs w:val="20"/>
          <w:lang w:val="en-US"/>
        </w:rPr>
        <w:t xml:space="preserve"> </w:t>
      </w:r>
      <w:r w:rsidRPr="00231614">
        <w:rPr>
          <w:rFonts w:ascii="Sylfaen" w:hAnsi="Sylfaen"/>
          <w:sz w:val="20"/>
          <w:szCs w:val="20"/>
        </w:rPr>
        <w:t>ԱԴԲ-ի անվանումն անհրաժեշտ է նշել ըստ դրա  առաջարկվող ՄՉԱ-ի՝ անհրաժեշտության դեպքում նշելով դրա աղերը կամ հիդրատային ձևը</w:t>
      </w:r>
    </w:p>
  </w:footnote>
  <w:footnote w:id="2">
    <w:p w14:paraId="34C801CE" w14:textId="77777777" w:rsidR="004A52D9" w:rsidRPr="000C7350" w:rsidRDefault="004A52D9" w:rsidP="006F76EB">
      <w:pPr>
        <w:spacing w:after="120" w:line="240" w:lineRule="auto"/>
        <w:ind w:right="-8"/>
        <w:jc w:val="both"/>
        <w:rPr>
          <w:rFonts w:ascii="Sylfaen" w:eastAsia="Times New Roman" w:hAnsi="Sylfaen" w:cs="Times New Roman"/>
          <w:sz w:val="20"/>
          <w:szCs w:val="20"/>
        </w:rPr>
      </w:pPr>
      <w:r w:rsidRPr="00231614">
        <w:rPr>
          <w:rStyle w:val="FootnoteReference"/>
          <w:rFonts w:ascii="Sylfaen" w:hAnsi="Sylfaen"/>
          <w:sz w:val="20"/>
          <w:szCs w:val="20"/>
        </w:rPr>
        <w:sym w:font="Symbol" w:char="F02A"/>
      </w:r>
      <w:r w:rsidRPr="00231614">
        <w:rPr>
          <w:rFonts w:ascii="Sylfaen" w:hAnsi="Sylfaen"/>
          <w:sz w:val="20"/>
          <w:szCs w:val="20"/>
          <w:lang w:val="ru-RU"/>
        </w:rPr>
        <w:t xml:space="preserve"> </w:t>
      </w:r>
      <w:r w:rsidRPr="00231614">
        <w:rPr>
          <w:rFonts w:ascii="Sylfaen" w:hAnsi="Sylfaen"/>
          <w:sz w:val="20"/>
          <w:szCs w:val="20"/>
        </w:rPr>
        <w:t>Նշված դաշտերը լրացվում են արտադրական գործընթացի յուրաքանչյուր փուլի համար (կցե՛ք այն սխեման, որը ներառում է արտադրության գործընթացում ներգրավված տարբեր արտադրական հարթակների համար գործողությունները և դրանց հաջորդականությունը՝ ներառյալ բացթողման հսկողությունը)</w:t>
      </w:r>
    </w:p>
  </w:footnote>
  <w:footnote w:id="3">
    <w:p w14:paraId="77FA0470" w14:textId="77777777" w:rsidR="004A52D9" w:rsidRPr="003C49C2" w:rsidRDefault="004A52D9" w:rsidP="006F76EB">
      <w:pPr>
        <w:pStyle w:val="FootnoteText"/>
        <w:jc w:val="both"/>
        <w:rPr>
          <w:rFonts w:ascii="Sylfaen" w:hAnsi="Sylfaen"/>
        </w:rPr>
      </w:pPr>
      <w:r w:rsidRPr="00231614">
        <w:rPr>
          <w:rStyle w:val="FootnoteReference"/>
          <w:rFonts w:ascii="Sylfaen" w:eastAsia="Times New Roman" w:hAnsi="Sylfaen" w:cs="Times New Roman"/>
          <w:sz w:val="24"/>
          <w:szCs w:val="24"/>
        </w:rPr>
        <w:sym w:font="Symbol" w:char="F02A"/>
      </w:r>
      <w:r w:rsidRPr="003C49C2">
        <w:rPr>
          <w:rFonts w:ascii="Sylfaen" w:eastAsia="Times New Roman" w:hAnsi="Sylfaen" w:cs="Times New Roman"/>
          <w:sz w:val="24"/>
          <w:szCs w:val="24"/>
        </w:rPr>
        <w:t xml:space="preserve"> </w:t>
      </w:r>
      <w:r w:rsidRPr="00231614">
        <w:rPr>
          <w:rFonts w:ascii="Sylfaen" w:hAnsi="Sylfaen"/>
        </w:rPr>
        <w:t>ԱԴԲ-ի անվանումն անհրաժեշտ է նշել ըստ դրա՝ Առողջապահության համաշխարհային կազմակերպության կողմից առաջարկվող ՄՉԱ-ի՝ անհրաժեշտության դեպքում նշելով դրա աղերը և հիդրատային ձևը:</w:t>
      </w:r>
    </w:p>
  </w:footnote>
  <w:footnote w:id="4">
    <w:p w14:paraId="4D893D44" w14:textId="77777777" w:rsidR="004A52D9" w:rsidRPr="00B45FEC" w:rsidRDefault="004A52D9" w:rsidP="006F76EB">
      <w:pPr>
        <w:pStyle w:val="FootnoteText"/>
        <w:jc w:val="both"/>
        <w:rPr>
          <w:rFonts w:ascii="Sylfaen" w:hAnsi="Sylfaen"/>
        </w:rPr>
      </w:pPr>
      <w:r w:rsidRPr="00B45FEC">
        <w:rPr>
          <w:rStyle w:val="FootnoteReference"/>
          <w:rFonts w:ascii="Sylfaen" w:hAnsi="Sylfaen"/>
        </w:rPr>
        <w:footnoteRef/>
      </w:r>
      <w:r w:rsidRPr="00B45FEC">
        <w:rPr>
          <w:rFonts w:ascii="Sylfaen" w:hAnsi="Sylfaen"/>
        </w:rPr>
        <w:t xml:space="preserve"> ՕՆ` օժանդակ նյութ (ներառյալ ելանյութերը, որոնք օգտագործվում են ԱԴԲ-ի/օժանդակ նյութի արտադրության մեջ):</w:t>
      </w:r>
    </w:p>
  </w:footnote>
  <w:footnote w:id="5">
    <w:p w14:paraId="250027DB" w14:textId="77777777" w:rsidR="004A52D9" w:rsidRPr="00B45FEC" w:rsidRDefault="004A52D9" w:rsidP="006F76EB">
      <w:pPr>
        <w:spacing w:after="120" w:line="240" w:lineRule="auto"/>
        <w:ind w:right="-8"/>
        <w:jc w:val="both"/>
        <w:rPr>
          <w:rFonts w:ascii="Sylfaen" w:eastAsia="Times New Roman" w:hAnsi="Sylfaen" w:cs="Times New Roman"/>
          <w:sz w:val="20"/>
          <w:szCs w:val="20"/>
        </w:rPr>
      </w:pPr>
      <w:r w:rsidRPr="00B45FEC">
        <w:rPr>
          <w:rStyle w:val="FootnoteReference"/>
          <w:rFonts w:ascii="Sylfaen" w:hAnsi="Sylfaen"/>
          <w:sz w:val="20"/>
          <w:szCs w:val="20"/>
        </w:rPr>
        <w:footnoteRef/>
      </w:r>
      <w:r w:rsidRPr="00B45FEC">
        <w:rPr>
          <w:rFonts w:ascii="Sylfaen" w:hAnsi="Sylfaen"/>
          <w:sz w:val="20"/>
          <w:szCs w:val="20"/>
        </w:rPr>
        <w:t xml:space="preserve"> Ռ՝ ռեագենտ/կուլտիվացման միջավայր (ներառյալ՝ բջիջների գլխավոր և աշխատանքային բանկի պատրաստման համար օգտագործվողները):</w:t>
      </w:r>
    </w:p>
  </w:footnote>
  <w:footnote w:id="6">
    <w:p w14:paraId="1205C159" w14:textId="77777777" w:rsidR="004A52D9" w:rsidRPr="00B45FEC" w:rsidRDefault="004A52D9" w:rsidP="006F76EB">
      <w:pPr>
        <w:spacing w:after="120" w:line="240" w:lineRule="auto"/>
        <w:ind w:right="-8"/>
        <w:jc w:val="both"/>
        <w:rPr>
          <w:rFonts w:ascii="Sylfaen" w:eastAsia="Times New Roman" w:hAnsi="Sylfaen" w:cs="Times New Roman"/>
          <w:sz w:val="20"/>
          <w:szCs w:val="20"/>
        </w:rPr>
      </w:pPr>
      <w:r w:rsidRPr="00B45FEC">
        <w:rPr>
          <w:rStyle w:val="FootnoteReference"/>
          <w:rFonts w:ascii="Sylfaen" w:hAnsi="Sylfaen"/>
          <w:sz w:val="20"/>
          <w:szCs w:val="20"/>
        </w:rPr>
        <w:footnoteRef/>
      </w:r>
      <w:r w:rsidRPr="00B45FEC">
        <w:rPr>
          <w:rFonts w:ascii="Sylfaen" w:hAnsi="Sylfaen"/>
          <w:sz w:val="20"/>
          <w:szCs w:val="20"/>
        </w:rPr>
        <w:t xml:space="preserve"> ՏՍԷ՝ տրանսմիսիվ սպունգանման էնցեֆալոպաթիա</w:t>
      </w:r>
    </w:p>
  </w:footnote>
  <w:footnote w:id="7">
    <w:p w14:paraId="01D71D12" w14:textId="77777777" w:rsidR="004A52D9" w:rsidRPr="00B45FEC" w:rsidRDefault="004A52D9" w:rsidP="006F76EB">
      <w:pPr>
        <w:spacing w:after="120" w:line="240" w:lineRule="auto"/>
        <w:ind w:right="-8"/>
        <w:jc w:val="both"/>
        <w:rPr>
          <w:rFonts w:ascii="Sylfaen" w:eastAsia="Times New Roman" w:hAnsi="Sylfaen" w:cs="Times New Roman"/>
          <w:sz w:val="20"/>
          <w:szCs w:val="20"/>
        </w:rPr>
      </w:pPr>
      <w:r w:rsidRPr="00B45FEC">
        <w:rPr>
          <w:rStyle w:val="FootnoteReference"/>
          <w:rFonts w:ascii="Sylfaen" w:hAnsi="Sylfaen"/>
          <w:sz w:val="20"/>
          <w:szCs w:val="20"/>
        </w:rPr>
        <w:t>1</w:t>
      </w:r>
      <w:r w:rsidRPr="00B45FEC">
        <w:rPr>
          <w:rFonts w:ascii="Sylfaen" w:hAnsi="Sylfaen"/>
          <w:sz w:val="20"/>
          <w:szCs w:val="20"/>
        </w:rPr>
        <w:t xml:space="preserve"> ՕՆ՝ օժանդակ նյութ (ներառյալ ելանյութերը, որոնք օգտագործվում են ԱԴԲ-ի/օժանդակ նյութի արտադրության մեջ):</w:t>
      </w:r>
    </w:p>
  </w:footnote>
  <w:footnote w:id="8">
    <w:p w14:paraId="3482F5AF" w14:textId="77777777" w:rsidR="004A52D9" w:rsidRPr="0088483B" w:rsidRDefault="004A52D9" w:rsidP="006F76EB">
      <w:pPr>
        <w:spacing w:after="120" w:line="240" w:lineRule="auto"/>
        <w:ind w:right="-8"/>
        <w:jc w:val="both"/>
        <w:rPr>
          <w:rFonts w:ascii="Sylfaen" w:eastAsia="Times New Roman" w:hAnsi="Sylfaen" w:cs="Times New Roman"/>
          <w:sz w:val="20"/>
          <w:szCs w:val="20"/>
        </w:rPr>
      </w:pPr>
      <w:r w:rsidRPr="00B45FEC">
        <w:rPr>
          <w:rStyle w:val="FootnoteReference"/>
          <w:rFonts w:ascii="Sylfaen" w:hAnsi="Sylfaen"/>
          <w:sz w:val="20"/>
          <w:szCs w:val="20"/>
        </w:rPr>
        <w:t>2</w:t>
      </w:r>
      <w:r w:rsidRPr="00B45FEC">
        <w:rPr>
          <w:rFonts w:ascii="Sylfaen" w:hAnsi="Sylfaen"/>
          <w:sz w:val="20"/>
          <w:szCs w:val="20"/>
        </w:rPr>
        <w:t xml:space="preserve"> Ռ՝ ռեագենտ/կուլտիվացման միջավայր (ներառյալ՝ բջիջների գլխավոր և աշխատանքային բանկի պատրաստման համար օգտագործվողները):</w:t>
      </w:r>
    </w:p>
  </w:footnote>
  <w:footnote w:id="9">
    <w:p w14:paraId="1F18129F" w14:textId="77777777" w:rsidR="004A52D9" w:rsidRPr="0088483B" w:rsidRDefault="004A52D9" w:rsidP="006F76EB">
      <w:pPr>
        <w:pStyle w:val="FootnoteText"/>
        <w:rPr>
          <w:rFonts w:ascii="Sylfaen" w:hAnsi="Sylfaen"/>
        </w:rPr>
      </w:pPr>
      <w:r w:rsidRPr="00231614">
        <w:rPr>
          <w:rStyle w:val="FootnoteReference"/>
          <w:rFonts w:ascii="Sylfaen" w:hAnsi="Sylfaen"/>
        </w:rPr>
        <w:sym w:font="Symbol" w:char="F02A"/>
      </w:r>
      <w:r w:rsidRPr="00231614">
        <w:rPr>
          <w:rFonts w:ascii="Sylfaen" w:hAnsi="Sylfaen"/>
        </w:rPr>
        <w:t>ԱԴԲ-ի անվանումն անհրաժեշտ է նշել ըստ իր՝ առաջարկվող ՄՉԱ-ի՝ անհրաժեշտության դեպքում նշելով դրա աղերը և հիդրատային ձևերը:</w:t>
      </w:r>
    </w:p>
  </w:footnote>
  <w:footnote w:id="10">
    <w:p w14:paraId="798F1249" w14:textId="77777777" w:rsidR="004A52D9" w:rsidRPr="0088483B" w:rsidRDefault="004A52D9" w:rsidP="006F76EB">
      <w:pPr>
        <w:pStyle w:val="FootnoteText"/>
        <w:jc w:val="both"/>
        <w:rPr>
          <w:rFonts w:ascii="Sylfaen" w:hAnsi="Sylfaen"/>
        </w:rPr>
      </w:pPr>
      <w:r w:rsidRPr="00231614">
        <w:rPr>
          <w:rStyle w:val="FootnoteReference"/>
          <w:rFonts w:ascii="Sylfaen" w:hAnsi="Sylfaen"/>
        </w:rPr>
        <w:sym w:font="Symbol" w:char="F02A"/>
      </w:r>
      <w:r w:rsidRPr="00231614">
        <w:rPr>
          <w:rFonts w:ascii="Sylfaen" w:hAnsi="Sylfaen"/>
        </w:rPr>
        <w:t xml:space="preserve">Նշված դաշտերը լրացվում են արտադրական գործընթացի յուրաքանչյուր </w:t>
      </w:r>
      <w:r w:rsidRPr="00B45FEC">
        <w:rPr>
          <w:rFonts w:ascii="Sylfaen" w:hAnsi="Sylfaen"/>
        </w:rPr>
        <w:t>ընթացաշրջանի համար (կցե՛ք այն սխեման, որը ներառում է արտադրական գործընթացում ներգրավված տարբեր արտադրական հարթակների համար հաջորդականությունը և գործողությունները՝ ներառյալ</w:t>
      </w:r>
      <w:r w:rsidRPr="00231614">
        <w:rPr>
          <w:rFonts w:ascii="Sylfaen" w:hAnsi="Sylfaen"/>
        </w:rPr>
        <w:t xml:space="preserve"> բացթողման համար անհրաժեշտ հսկողությունը):</w:t>
      </w:r>
    </w:p>
  </w:footnote>
  <w:footnote w:id="11">
    <w:p w14:paraId="00BD6107" w14:textId="77777777" w:rsidR="004A52D9" w:rsidRPr="00B33775" w:rsidRDefault="004A52D9" w:rsidP="006F76EB">
      <w:pPr>
        <w:spacing w:after="120" w:line="240" w:lineRule="auto"/>
        <w:ind w:right="-8"/>
        <w:jc w:val="both"/>
        <w:rPr>
          <w:rFonts w:ascii="Sylfaen" w:eastAsia="Times New Roman" w:hAnsi="Sylfaen" w:cs="Times New Roman"/>
          <w:sz w:val="20"/>
          <w:szCs w:val="20"/>
        </w:rPr>
      </w:pPr>
      <w:r w:rsidRPr="00B33775">
        <w:rPr>
          <w:rFonts w:ascii="Sylfaen" w:hAnsi="Sylfaen"/>
          <w:sz w:val="20"/>
          <w:szCs w:val="20"/>
        </w:rPr>
        <w:t>Ծանոթագրություն. * Յուրաքանչյուր ԱԴԲ-ի համար պետք է նշել միայն մեկ անվանում՝ հետևյալ հաջորդականությամբ՝ ՄՉԱ-ն, անվանումը՝ ըստ Եվրասիական տնտեսական միության դեղագրքի, Եվրասիական տնտեսական միության անդամ պետությունների դեղագրքերի (կամ Եվրասիական տնտեսական միության անդամ պետությունների դեղագրքերի ներդաշնակեցման հայեցակարգի հիմնական դեղագրքերի), համընդհանուր կամ խմբի անվանումը, գիտական (քիմիական) անունը:</w:t>
      </w:r>
    </w:p>
    <w:p w14:paraId="7C3FE93C" w14:textId="77777777" w:rsidR="004A52D9" w:rsidRPr="00B33775" w:rsidRDefault="004A52D9" w:rsidP="006F76EB">
      <w:pPr>
        <w:spacing w:after="120" w:line="240" w:lineRule="auto"/>
        <w:ind w:right="-8"/>
        <w:jc w:val="both"/>
        <w:rPr>
          <w:rFonts w:ascii="Sylfaen" w:eastAsia="Times New Roman" w:hAnsi="Sylfaen" w:cs="Times New Roman"/>
          <w:sz w:val="20"/>
          <w:szCs w:val="20"/>
        </w:rPr>
      </w:pPr>
      <w:r w:rsidRPr="00B33775">
        <w:rPr>
          <w:rFonts w:ascii="Sylfaen" w:hAnsi="Sylfaen"/>
          <w:sz w:val="20"/>
          <w:szCs w:val="20"/>
        </w:rPr>
        <w:t xml:space="preserve">** ԱԴԲ-ի անվանումն անհրաժեշտ է նշել </w:t>
      </w:r>
      <w:r w:rsidRPr="00D02258">
        <w:rPr>
          <w:rFonts w:ascii="Sylfaen" w:hAnsi="Sylfaen"/>
          <w:sz w:val="20"/>
          <w:szCs w:val="20"/>
        </w:rPr>
        <w:t>ըստ իր՝ Առողջապահության համաշխարհային կազմակերպության կողմից առաջարկվող ՄՉԱ-ի՝ անհրաժեշտության դեպքում նշելով դրա աղերը կամ հիդրատային ձևը:</w:t>
      </w:r>
    </w:p>
  </w:footnote>
  <w:footnote w:id="12">
    <w:p w14:paraId="3AE39CA2" w14:textId="77777777" w:rsidR="004A52D9" w:rsidRPr="002C3F55" w:rsidRDefault="004A52D9" w:rsidP="002C3F55">
      <w:pPr>
        <w:spacing w:after="120" w:line="240" w:lineRule="auto"/>
        <w:ind w:right="-8"/>
        <w:jc w:val="both"/>
        <w:rPr>
          <w:rFonts w:ascii="Sylfaen" w:hAnsi="Sylfaen"/>
          <w:sz w:val="20"/>
          <w:szCs w:val="20"/>
        </w:rPr>
      </w:pPr>
      <w:r>
        <w:rPr>
          <w:rStyle w:val="FootnoteReference"/>
        </w:rPr>
        <w:footnoteRef/>
      </w:r>
      <w:r>
        <w:t xml:space="preserve"> </w:t>
      </w:r>
      <w:r w:rsidRPr="002C3F55">
        <w:rPr>
          <w:rFonts w:ascii="Sylfaen" w:hAnsi="Sylfaen"/>
          <w:sz w:val="20"/>
          <w:szCs w:val="20"/>
        </w:rPr>
        <w:t>ՕՆ՝ օժանդակ նյութ (ներառյալ՝ ելանյութերը, որոնք օգտագործվում են ԱԴԲ-ի/օժանդակ նյութի արտադրության մեջ):</w:t>
      </w:r>
    </w:p>
  </w:footnote>
  <w:footnote w:id="13">
    <w:p w14:paraId="48FCBF34" w14:textId="77777777" w:rsidR="004A52D9" w:rsidRPr="002C3F55" w:rsidRDefault="004A52D9" w:rsidP="002C3F55">
      <w:pPr>
        <w:spacing w:after="120" w:line="240" w:lineRule="auto"/>
        <w:ind w:right="-8"/>
        <w:jc w:val="both"/>
        <w:rPr>
          <w:rFonts w:ascii="Sylfaen" w:hAnsi="Sylfaen"/>
          <w:sz w:val="20"/>
          <w:szCs w:val="20"/>
        </w:rPr>
      </w:pPr>
      <w:r w:rsidRPr="002C3F55">
        <w:rPr>
          <w:rStyle w:val="FootnoteReference"/>
          <w:rFonts w:ascii="Sylfaen" w:hAnsi="Sylfaen"/>
          <w:sz w:val="20"/>
          <w:szCs w:val="20"/>
        </w:rPr>
        <w:footnoteRef/>
      </w:r>
      <w:r w:rsidRPr="002C3F55">
        <w:rPr>
          <w:rFonts w:ascii="Sylfaen" w:hAnsi="Sylfaen"/>
          <w:sz w:val="20"/>
          <w:szCs w:val="20"/>
        </w:rPr>
        <w:t xml:space="preserve"> Ռ՝ ռեագենտ/կուլտիվացման միջավայր (ներառյալ՝ բջիջների գլխավոր և աշխատանքային բանկերի պատրաստման համար օգտագործվողները):</w:t>
      </w:r>
      <w:r w:rsidRPr="002C3F55">
        <w:rPr>
          <w:rStyle w:val="FootnoteReference"/>
          <w:rFonts w:ascii="Sylfaen" w:hAnsi="Sylfaen"/>
          <w:sz w:val="20"/>
          <w:szCs w:val="20"/>
        </w:rPr>
        <w:t xml:space="preserve"> </w:t>
      </w:r>
    </w:p>
  </w:footnote>
  <w:footnote w:id="14">
    <w:p w14:paraId="23400B41" w14:textId="77777777" w:rsidR="004A52D9" w:rsidRPr="002C3F55" w:rsidRDefault="004A52D9" w:rsidP="002C3F55">
      <w:pPr>
        <w:spacing w:after="120" w:line="240" w:lineRule="auto"/>
        <w:ind w:right="-8"/>
        <w:jc w:val="both"/>
        <w:rPr>
          <w:rFonts w:ascii="Sylfaen" w:hAnsi="Sylfaen"/>
          <w:sz w:val="20"/>
          <w:szCs w:val="20"/>
        </w:rPr>
      </w:pPr>
      <w:r w:rsidRPr="002C3F55">
        <w:rPr>
          <w:rStyle w:val="FootnoteReference"/>
          <w:rFonts w:ascii="Sylfaen" w:hAnsi="Sylfaen"/>
          <w:sz w:val="20"/>
          <w:szCs w:val="20"/>
        </w:rPr>
        <w:footnoteRef/>
      </w:r>
      <w:r w:rsidRPr="002C3F55">
        <w:rPr>
          <w:rFonts w:ascii="Sylfaen" w:hAnsi="Sylfaen"/>
          <w:sz w:val="20"/>
          <w:szCs w:val="20"/>
        </w:rPr>
        <w:t xml:space="preserve"> ՏՍԷ՝ Տրանսմիսիվ սպունգանման էնցեֆալոպաթիա</w:t>
      </w:r>
    </w:p>
  </w:footnote>
  <w:footnote w:id="15">
    <w:p w14:paraId="6AFC7C86" w14:textId="77777777" w:rsidR="004A52D9" w:rsidRPr="00496FB9" w:rsidRDefault="004A52D9" w:rsidP="006F76EB">
      <w:pPr>
        <w:spacing w:after="120" w:line="240" w:lineRule="auto"/>
        <w:ind w:right="-8"/>
        <w:jc w:val="both"/>
        <w:rPr>
          <w:rFonts w:ascii="Sylfaen" w:eastAsia="Times New Roman" w:hAnsi="Sylfaen" w:cs="Times New Roman"/>
          <w:sz w:val="18"/>
          <w:szCs w:val="18"/>
        </w:rPr>
      </w:pPr>
      <w:r w:rsidRPr="00496FB9">
        <w:rPr>
          <w:rStyle w:val="FootnoteReference"/>
          <w:rFonts w:ascii="Sylfaen" w:hAnsi="Sylfaen"/>
        </w:rPr>
        <w:t>1</w:t>
      </w:r>
      <w:r w:rsidRPr="00496FB9">
        <w:rPr>
          <w:rFonts w:ascii="Sylfaen" w:hAnsi="Sylfaen"/>
        </w:rPr>
        <w:t xml:space="preserve"> </w:t>
      </w:r>
      <w:r w:rsidRPr="00496FB9">
        <w:rPr>
          <w:rFonts w:ascii="Sylfaen" w:hAnsi="Sylfaen"/>
          <w:sz w:val="18"/>
        </w:rPr>
        <w:t>ՕՆ՝ օժանդակ նյութ (ներառյալ՝ ելանյութերը, որոնք օգտագործվում են ԱԴԲ-ի/օժանդակ նյութի արտադրության մեջ):</w:t>
      </w:r>
    </w:p>
  </w:footnote>
  <w:footnote w:id="16">
    <w:p w14:paraId="73421E8E" w14:textId="77777777" w:rsidR="004A52D9" w:rsidRPr="00496FB9" w:rsidRDefault="004A52D9" w:rsidP="006F76EB">
      <w:pPr>
        <w:spacing w:after="120" w:line="240" w:lineRule="auto"/>
        <w:ind w:right="-8"/>
        <w:jc w:val="both"/>
        <w:rPr>
          <w:rFonts w:ascii="Sylfaen" w:eastAsia="Times New Roman" w:hAnsi="Sylfaen" w:cs="Times New Roman"/>
          <w:sz w:val="18"/>
          <w:szCs w:val="18"/>
        </w:rPr>
      </w:pPr>
      <w:r w:rsidRPr="00496FB9">
        <w:rPr>
          <w:rStyle w:val="FootnoteReference"/>
          <w:rFonts w:ascii="Sylfaen" w:hAnsi="Sylfaen"/>
        </w:rPr>
        <w:t>2</w:t>
      </w:r>
      <w:r w:rsidRPr="00496FB9">
        <w:rPr>
          <w:rFonts w:ascii="Sylfaen" w:hAnsi="Sylfaen"/>
        </w:rPr>
        <w:t xml:space="preserve"> </w:t>
      </w:r>
      <w:r w:rsidRPr="00496FB9">
        <w:rPr>
          <w:rFonts w:ascii="Sylfaen" w:hAnsi="Sylfaen"/>
          <w:sz w:val="18"/>
        </w:rPr>
        <w:t>Ռ՝ ռեագենտ/կուլտիվացման միջավայր (ներառյալ՝ բջիջների գլխավոր և աշխատանքային բանկերի պատրաստման համար օգտագործվողները):</w:t>
      </w:r>
    </w:p>
  </w:footnote>
  <w:footnote w:id="17">
    <w:p w14:paraId="4A9B33C8" w14:textId="77777777" w:rsidR="004A52D9" w:rsidRPr="00496FB9" w:rsidRDefault="004A52D9" w:rsidP="006F76EB">
      <w:pPr>
        <w:spacing w:after="120" w:line="240" w:lineRule="auto"/>
        <w:ind w:right="-8"/>
        <w:rPr>
          <w:rFonts w:ascii="Sylfaen" w:eastAsia="Times New Roman" w:hAnsi="Sylfaen" w:cs="Times New Roman"/>
          <w:sz w:val="18"/>
          <w:szCs w:val="24"/>
        </w:rPr>
      </w:pPr>
      <w:r w:rsidRPr="00496FB9">
        <w:rPr>
          <w:rStyle w:val="FootnoteReference"/>
          <w:rFonts w:ascii="Sylfaen" w:hAnsi="Sylfaen"/>
        </w:rPr>
        <w:sym w:font="Symbol" w:char="F02A"/>
      </w:r>
      <w:r w:rsidRPr="00496FB9">
        <w:rPr>
          <w:rFonts w:ascii="Sylfaen" w:hAnsi="Sylfaen"/>
        </w:rPr>
        <w:t>ԱԴԲ անվանումն անհրաժեշտ է նշել ըստ իր` առաջարկվող ՄՉԱ-ի՝ անհրաժեշտության դեպքում նշելով դրա աղերը և հիդրատային ձևերը</w:t>
      </w:r>
    </w:p>
  </w:footnote>
  <w:footnote w:id="18">
    <w:p w14:paraId="3F1E65C9" w14:textId="77777777" w:rsidR="004A52D9" w:rsidRPr="00496FB9" w:rsidRDefault="004A52D9" w:rsidP="00E87E9C">
      <w:pPr>
        <w:pStyle w:val="FootnoteText"/>
        <w:jc w:val="both"/>
        <w:rPr>
          <w:rFonts w:ascii="Sylfaen" w:hAnsi="Sylfaen"/>
        </w:rPr>
      </w:pPr>
      <w:r w:rsidRPr="00496FB9">
        <w:rPr>
          <w:rStyle w:val="FootnoteReference"/>
          <w:rFonts w:ascii="Sylfaen" w:hAnsi="Sylfaen"/>
        </w:rPr>
        <w:sym w:font="Symbol" w:char="F02A"/>
      </w:r>
      <w:r w:rsidRPr="00496FB9">
        <w:rPr>
          <w:rFonts w:ascii="Sylfaen" w:hAnsi="Sylfaen"/>
        </w:rPr>
        <w:t>Նշված դաշտերը լրացվում են արտադրական գործընթացի յուրաքանչյուր ընթացաշրջանի համար (կցե՛ք այն սխեման, որը ներառում է արտադրական գործընթացում ներգրավված տարբեր արտադրական հարթակների համար հաջորդականությունը և գործողությունները՝ ներառյալ բացթողման համար անհրաժեշտ հսկողությունը)</w:t>
      </w:r>
    </w:p>
  </w:footnote>
  <w:footnote w:id="19">
    <w:p w14:paraId="0C33999A" w14:textId="77777777" w:rsidR="004A52D9" w:rsidRPr="00496FB9" w:rsidRDefault="004A52D9" w:rsidP="006F76EB">
      <w:pPr>
        <w:spacing w:after="120" w:line="240" w:lineRule="auto"/>
        <w:ind w:right="-8"/>
        <w:jc w:val="both"/>
        <w:rPr>
          <w:rFonts w:ascii="Sylfaen" w:eastAsia="Times New Roman" w:hAnsi="Sylfaen" w:cs="Times New Roman"/>
        </w:rPr>
      </w:pPr>
      <w:r w:rsidRPr="00496FB9">
        <w:rPr>
          <w:rStyle w:val="FootnoteReference"/>
          <w:rFonts w:ascii="Sylfaen" w:hAnsi="Sylfaen"/>
        </w:rPr>
        <w:sym w:font="Symbol" w:char="F02A"/>
      </w:r>
      <w:r w:rsidRPr="00496FB9">
        <w:rPr>
          <w:rFonts w:ascii="Sylfaen" w:hAnsi="Sylfaen"/>
        </w:rPr>
        <w:t>ԱԴԲ-ի անվանումն անհրաժեշտ է նշել ըստ դրա՝ Առողջապահության համաշխարհային կազմակերպության կողմից առաջարկվող ՄՉԱ-ի՝ անհրաժեշտության դեպքում նշելով դրա աղերը և հիդրատային ձևերը:</w:t>
      </w:r>
    </w:p>
  </w:footnote>
  <w:footnote w:id="20">
    <w:p w14:paraId="32986AA9" w14:textId="77777777" w:rsidR="004A52D9" w:rsidRPr="00496FB9" w:rsidRDefault="004A52D9" w:rsidP="006F76EB">
      <w:pPr>
        <w:spacing w:after="120" w:line="240" w:lineRule="auto"/>
        <w:ind w:right="-8"/>
        <w:jc w:val="both"/>
        <w:rPr>
          <w:rFonts w:ascii="Sylfaen" w:eastAsia="Times New Roman" w:hAnsi="Sylfaen" w:cs="Times New Roman"/>
          <w:sz w:val="18"/>
          <w:szCs w:val="18"/>
        </w:rPr>
      </w:pPr>
    </w:p>
  </w:footnote>
  <w:footnote w:id="21">
    <w:p w14:paraId="1C409456" w14:textId="77777777" w:rsidR="004A52D9" w:rsidRPr="00496FB9" w:rsidRDefault="004A52D9" w:rsidP="006F76EB">
      <w:pPr>
        <w:spacing w:after="120" w:line="240" w:lineRule="auto"/>
        <w:ind w:right="-8"/>
        <w:jc w:val="both"/>
        <w:rPr>
          <w:rFonts w:ascii="Sylfaen" w:eastAsia="Times New Roman" w:hAnsi="Sylfaen" w:cs="Times New Roman"/>
          <w:sz w:val="18"/>
          <w:szCs w:val="18"/>
        </w:rPr>
      </w:pPr>
      <w:r w:rsidRPr="00496FB9">
        <w:rPr>
          <w:rStyle w:val="FootnoteReference"/>
          <w:rFonts w:ascii="Sylfaen" w:hAnsi="Sylfaen"/>
        </w:rPr>
        <w:t>1</w:t>
      </w:r>
      <w:r w:rsidRPr="00496FB9">
        <w:rPr>
          <w:rFonts w:ascii="Sylfaen" w:hAnsi="Sylfaen"/>
        </w:rPr>
        <w:t xml:space="preserve"> </w:t>
      </w:r>
      <w:r w:rsidRPr="00496FB9">
        <w:rPr>
          <w:rFonts w:ascii="Sylfaen" w:hAnsi="Sylfaen"/>
          <w:sz w:val="18"/>
        </w:rPr>
        <w:t xml:space="preserve">ՕՆ </w:t>
      </w:r>
      <w:r w:rsidRPr="006D3168">
        <w:rPr>
          <w:rFonts w:ascii="Sylfaen" w:hAnsi="Sylfaen"/>
          <w:sz w:val="18"/>
        </w:rPr>
        <w:t>—</w:t>
      </w:r>
      <w:r w:rsidRPr="00496FB9">
        <w:rPr>
          <w:rFonts w:ascii="Sylfaen" w:hAnsi="Sylfaen"/>
          <w:sz w:val="18"/>
        </w:rPr>
        <w:t xml:space="preserve"> օժանդակ նյութ (ներառյալ՝ ելանյութերը, որոնք օգտագործվում են ԱԴԲ-ի (օժանդակ նյութի) արտադրության մեջ):</w:t>
      </w:r>
    </w:p>
  </w:footnote>
  <w:footnote w:id="22">
    <w:p w14:paraId="748770E5" w14:textId="77777777" w:rsidR="004A52D9" w:rsidRDefault="004A52D9" w:rsidP="00CC7B7C">
      <w:pPr>
        <w:spacing w:after="120" w:line="240" w:lineRule="auto"/>
        <w:ind w:right="-8"/>
        <w:jc w:val="both"/>
        <w:rPr>
          <w:rStyle w:val="FootnoteReference"/>
          <w:rFonts w:ascii="Sylfaen" w:hAnsi="Sylfaen"/>
        </w:rPr>
      </w:pPr>
      <w:r w:rsidRPr="00496FB9">
        <w:rPr>
          <w:rStyle w:val="FootnoteReference"/>
          <w:rFonts w:ascii="Sylfaen" w:hAnsi="Sylfaen"/>
        </w:rPr>
        <w:t>2</w:t>
      </w:r>
      <w:r w:rsidRPr="00496FB9">
        <w:rPr>
          <w:rFonts w:ascii="Sylfaen" w:hAnsi="Sylfaen"/>
        </w:rPr>
        <w:t xml:space="preserve"> </w:t>
      </w:r>
      <w:r w:rsidRPr="00496FB9">
        <w:rPr>
          <w:rFonts w:ascii="Sylfaen" w:hAnsi="Sylfaen"/>
          <w:sz w:val="18"/>
        </w:rPr>
        <w:t xml:space="preserve">Ռ </w:t>
      </w:r>
      <w:r w:rsidRPr="006D3168">
        <w:rPr>
          <w:rFonts w:ascii="Sylfaen" w:hAnsi="Sylfaen"/>
          <w:sz w:val="18"/>
        </w:rPr>
        <w:t>—</w:t>
      </w:r>
      <w:r w:rsidRPr="00496FB9">
        <w:rPr>
          <w:rFonts w:ascii="Sylfaen" w:hAnsi="Sylfaen"/>
          <w:sz w:val="18"/>
        </w:rPr>
        <w:t xml:space="preserve"> ռեագենտ/աճեցման միջավայր  (ներառյալ՝ բջիջների գլխավոր և աշխատանքային բանկերի պատրաստման համար օգտագործվող):</w:t>
      </w:r>
      <w:r w:rsidRPr="00CC7B7C">
        <w:rPr>
          <w:rStyle w:val="FootnoteReference"/>
          <w:rFonts w:ascii="Sylfaen" w:hAnsi="Sylfaen"/>
        </w:rPr>
        <w:t xml:space="preserve"> </w:t>
      </w:r>
    </w:p>
    <w:p w14:paraId="0B02F03D" w14:textId="77777777" w:rsidR="004A52D9" w:rsidRPr="00496FB9" w:rsidRDefault="004A52D9" w:rsidP="00CC7B7C">
      <w:pPr>
        <w:spacing w:after="120" w:line="240" w:lineRule="auto"/>
        <w:ind w:right="-8"/>
        <w:jc w:val="both"/>
        <w:rPr>
          <w:rFonts w:ascii="Sylfaen" w:eastAsia="Times New Roman" w:hAnsi="Sylfaen" w:cs="Times New Roman"/>
          <w:sz w:val="18"/>
          <w:szCs w:val="18"/>
        </w:rPr>
      </w:pPr>
      <w:r w:rsidRPr="00496FB9">
        <w:rPr>
          <w:rStyle w:val="FootnoteReference"/>
          <w:rFonts w:ascii="Sylfaen" w:hAnsi="Sylfaen"/>
        </w:rPr>
        <w:t>3</w:t>
      </w:r>
      <w:r w:rsidRPr="00496FB9">
        <w:rPr>
          <w:rFonts w:ascii="Sylfaen" w:hAnsi="Sylfaen"/>
        </w:rPr>
        <w:t xml:space="preserve"> </w:t>
      </w:r>
      <w:r w:rsidRPr="00496FB9">
        <w:rPr>
          <w:rFonts w:ascii="Sylfaen" w:hAnsi="Sylfaen"/>
          <w:sz w:val="18"/>
        </w:rPr>
        <w:t xml:space="preserve">ՏՍԷ </w:t>
      </w:r>
      <w:r w:rsidRPr="006D3168">
        <w:rPr>
          <w:rFonts w:ascii="Sylfaen" w:hAnsi="Sylfaen"/>
          <w:sz w:val="18"/>
        </w:rPr>
        <w:t>—</w:t>
      </w:r>
      <w:r w:rsidRPr="00496FB9">
        <w:rPr>
          <w:rFonts w:ascii="Sylfaen" w:hAnsi="Sylfaen"/>
          <w:sz w:val="18"/>
        </w:rPr>
        <w:t xml:space="preserve"> տրանսմիսիվ սպունգանման էնցեֆալոպատիա:</w:t>
      </w:r>
    </w:p>
    <w:p w14:paraId="0AC70F22" w14:textId="77777777" w:rsidR="004A52D9" w:rsidRPr="00496FB9" w:rsidRDefault="004A52D9" w:rsidP="006F76EB">
      <w:pPr>
        <w:spacing w:after="120" w:line="240" w:lineRule="auto"/>
        <w:ind w:right="-8"/>
        <w:jc w:val="both"/>
        <w:rPr>
          <w:rFonts w:ascii="Sylfaen" w:eastAsia="Times New Roman" w:hAnsi="Sylfaen" w:cs="Times New Roman"/>
          <w:sz w:val="18"/>
          <w:szCs w:val="18"/>
        </w:rPr>
      </w:pPr>
    </w:p>
  </w:footnote>
  <w:footnote w:id="23">
    <w:p w14:paraId="119C3CF5" w14:textId="77777777" w:rsidR="004A52D9" w:rsidRPr="00496FB9" w:rsidRDefault="004A52D9" w:rsidP="006F76EB">
      <w:pPr>
        <w:spacing w:after="120" w:line="240" w:lineRule="auto"/>
        <w:ind w:right="-8"/>
        <w:rPr>
          <w:rFonts w:ascii="Sylfaen" w:eastAsia="Times New Roman" w:hAnsi="Sylfaen" w:cs="Times New Roman"/>
          <w:sz w:val="18"/>
          <w:szCs w:val="18"/>
        </w:rPr>
      </w:pPr>
      <w:r w:rsidRPr="00496FB9">
        <w:rPr>
          <w:rStyle w:val="FootnoteReference"/>
          <w:rFonts w:ascii="Sylfaen" w:hAnsi="Sylfaen"/>
        </w:rPr>
        <w:t>1</w:t>
      </w:r>
      <w:r w:rsidRPr="00496FB9">
        <w:rPr>
          <w:rFonts w:ascii="Sylfaen" w:hAnsi="Sylfaen"/>
        </w:rPr>
        <w:t xml:space="preserve"> </w:t>
      </w:r>
      <w:r w:rsidRPr="00496FB9">
        <w:rPr>
          <w:rFonts w:ascii="Sylfaen" w:hAnsi="Sylfaen"/>
          <w:sz w:val="18"/>
        </w:rPr>
        <w:t xml:space="preserve">ՕՆ </w:t>
      </w:r>
      <w:r w:rsidRPr="00263846">
        <w:rPr>
          <w:rFonts w:ascii="Sylfaen" w:hAnsi="Sylfaen"/>
          <w:sz w:val="18"/>
        </w:rPr>
        <w:t>—</w:t>
      </w:r>
      <w:r w:rsidRPr="00496FB9">
        <w:rPr>
          <w:rFonts w:ascii="Sylfaen" w:hAnsi="Sylfaen"/>
          <w:sz w:val="18"/>
        </w:rPr>
        <w:t xml:space="preserve"> օժանդակ նյութ (ներառյալ՝ ելանյութերը, որոնք կիրառվում են ԱԴԲ-ի (օժանդակ նյութի) արտադրության մեջ):</w:t>
      </w:r>
    </w:p>
  </w:footnote>
  <w:footnote w:id="24">
    <w:p w14:paraId="31DB3FEC" w14:textId="77777777" w:rsidR="004A52D9" w:rsidRPr="00496FB9" w:rsidRDefault="004A52D9" w:rsidP="006F76EB">
      <w:pPr>
        <w:spacing w:after="120" w:line="240" w:lineRule="auto"/>
        <w:ind w:right="-8"/>
        <w:rPr>
          <w:rFonts w:ascii="Sylfaen" w:eastAsia="Times New Roman" w:hAnsi="Sylfaen" w:cs="Times New Roman"/>
          <w:sz w:val="18"/>
          <w:szCs w:val="18"/>
        </w:rPr>
      </w:pPr>
      <w:r w:rsidRPr="00496FB9">
        <w:rPr>
          <w:rStyle w:val="FootnoteReference"/>
          <w:rFonts w:ascii="Sylfaen" w:hAnsi="Sylfaen"/>
        </w:rPr>
        <w:t>2</w:t>
      </w:r>
      <w:r w:rsidRPr="00496FB9">
        <w:rPr>
          <w:rFonts w:ascii="Sylfaen" w:hAnsi="Sylfaen"/>
        </w:rPr>
        <w:t xml:space="preserve"> </w:t>
      </w:r>
      <w:r w:rsidRPr="00496FB9">
        <w:rPr>
          <w:rFonts w:ascii="Sylfaen" w:hAnsi="Sylfaen"/>
          <w:sz w:val="18"/>
        </w:rPr>
        <w:t>Ռ</w:t>
      </w:r>
      <w:r>
        <w:rPr>
          <w:rFonts w:ascii="Sylfaen" w:hAnsi="Sylfaen"/>
          <w:sz w:val="18"/>
        </w:rPr>
        <w:t xml:space="preserve"> </w:t>
      </w:r>
      <w:r w:rsidRPr="00263846">
        <w:rPr>
          <w:rFonts w:ascii="Sylfaen" w:hAnsi="Sylfaen"/>
          <w:sz w:val="18"/>
        </w:rPr>
        <w:t>—</w:t>
      </w:r>
      <w:r w:rsidRPr="00496FB9">
        <w:rPr>
          <w:rFonts w:ascii="Sylfaen" w:hAnsi="Sylfaen"/>
          <w:sz w:val="18"/>
        </w:rPr>
        <w:t xml:space="preserve"> ռեագենտ/աճեցման միջավայր  (ներառյալ՝ բջիջների գլխավոր և աշխատանքային բանկերի պատրաստման համար օգտագործվող):</w:t>
      </w:r>
    </w:p>
  </w:footnote>
  <w:footnote w:id="25">
    <w:p w14:paraId="43300E0F" w14:textId="77777777" w:rsidR="004A52D9" w:rsidRPr="00496FB9" w:rsidRDefault="004A52D9" w:rsidP="006F76EB">
      <w:pPr>
        <w:spacing w:after="120" w:line="240" w:lineRule="auto"/>
        <w:ind w:right="-8"/>
        <w:jc w:val="both"/>
        <w:rPr>
          <w:rFonts w:ascii="Sylfaen" w:eastAsia="Times New Roman" w:hAnsi="Sylfaen" w:cs="Times New Roman"/>
        </w:rPr>
      </w:pPr>
      <w:r w:rsidRPr="00496FB9">
        <w:rPr>
          <w:rStyle w:val="FootnoteReference"/>
          <w:rFonts w:ascii="Sylfaen" w:hAnsi="Sylfaen"/>
        </w:rPr>
        <w:sym w:font="Symbol" w:char="F02A"/>
      </w:r>
      <w:r w:rsidRPr="006746F0">
        <w:rPr>
          <w:rFonts w:ascii="Sylfaen" w:hAnsi="Sylfaen"/>
          <w:sz w:val="20"/>
          <w:szCs w:val="20"/>
        </w:rPr>
        <w:t>Փաստաթղթերը ներկայացվում են, եթե Եվրասիական տնտեսական միության անդամ պետության օրենսդրությամբ բացակայում է հայտատուից այնպիսի փաստաթղթեր պահանջելու արգելքը, որոնք գտնվում են լիազորված մարմնի տնօրինության տակ կամ կարող են ձեռք բերվել նրա կողմից ինքնուրույնաբար:</w:t>
      </w:r>
    </w:p>
  </w:footnote>
  <w:footnote w:id="26">
    <w:p w14:paraId="259840AC" w14:textId="77777777" w:rsidR="004A52D9" w:rsidRPr="00B33E97" w:rsidRDefault="004A52D9" w:rsidP="006F76EB">
      <w:pPr>
        <w:spacing w:after="120" w:line="240" w:lineRule="auto"/>
        <w:ind w:right="-6"/>
        <w:jc w:val="both"/>
        <w:rPr>
          <w:rFonts w:ascii="Sylfaen" w:eastAsia="Times New Roman" w:hAnsi="Sylfaen" w:cs="Times New Roman"/>
          <w:sz w:val="20"/>
          <w:szCs w:val="20"/>
        </w:rPr>
      </w:pPr>
      <w:r w:rsidRPr="00B33E97">
        <w:rPr>
          <w:rStyle w:val="FootnoteReference"/>
          <w:rFonts w:ascii="Sylfaen" w:hAnsi="Sylfaen"/>
          <w:sz w:val="20"/>
          <w:szCs w:val="20"/>
        </w:rPr>
        <w:sym w:font="Symbol" w:char="F02A"/>
      </w:r>
      <w:r w:rsidRPr="00B33E97">
        <w:rPr>
          <w:rStyle w:val="FootnoteReference"/>
          <w:rFonts w:ascii="Sylfaen" w:hAnsi="Sylfaen"/>
          <w:sz w:val="20"/>
          <w:szCs w:val="20"/>
        </w:rPr>
        <w:sym w:font="Symbol" w:char="F02A"/>
      </w:r>
      <w:r w:rsidRPr="00B33E97">
        <w:rPr>
          <w:rFonts w:ascii="Sylfaen" w:hAnsi="Sylfaen"/>
          <w:sz w:val="20"/>
          <w:szCs w:val="20"/>
        </w:rPr>
        <w:t xml:space="preserve"> 3.2.S բաժնում ներկայացման համար անհրաժեշտ տեղեկությունների նվազագույն ծավալը։ Եթե փաստաթղթերի առանձին տեսակներ չեն ընդգրկվում դոսյեում, ապա համապատասխան բաժնում անհրաժեշտ է ներկայացնել հիմնավորում։ Կենդանական ծագման պատրաստուկների համար 3.2.S բաժնում անհրաժեշտ է ներկայացնել հետ</w:t>
      </w:r>
      <w:r>
        <w:rPr>
          <w:rFonts w:ascii="Sylfaen" w:hAnsi="Sylfaen"/>
          <w:sz w:val="20"/>
          <w:szCs w:val="20"/>
        </w:rPr>
        <w:t>եւ</w:t>
      </w:r>
      <w:r w:rsidRPr="00B33E97">
        <w:rPr>
          <w:rFonts w:ascii="Sylfaen" w:hAnsi="Sylfaen"/>
          <w:sz w:val="20"/>
          <w:szCs w:val="20"/>
        </w:rPr>
        <w:t>յալ լրացուցիչ տեղեկությունները՝ այն կենդանիների տեսակի, տարիքի, օրաբաժնի վերաբերյալ տվյալներ, որոնցից ստացվել է հումքը, այն հյուսվածքի բնույթի (կատեգորիայի) վերաբերյալ տվյալները, որից ստացվել է դեղապատրասուկի արտադրության համար հումքը՝ պրիոնների պարունակությամբ պայմանավորված դրա վտանգավորության տեսանկյունից, հումքի մշակման տեխնոլոգիական սխեման,</w:t>
      </w:r>
      <w:r>
        <w:rPr>
          <w:rFonts w:ascii="Sylfaen" w:hAnsi="Sylfaen"/>
          <w:sz w:val="20"/>
          <w:szCs w:val="20"/>
        </w:rPr>
        <w:t xml:space="preserve"> </w:t>
      </w:r>
      <w:r w:rsidRPr="00B33E97">
        <w:rPr>
          <w:rFonts w:ascii="Sylfaen" w:hAnsi="Sylfaen"/>
          <w:sz w:val="20"/>
          <w:szCs w:val="20"/>
        </w:rPr>
        <w:t xml:space="preserve">լուծահանող նյութերի (էքստրագենտներ) </w:t>
      </w:r>
      <w:r>
        <w:rPr>
          <w:rFonts w:ascii="Sylfaen" w:hAnsi="Sylfaen"/>
          <w:sz w:val="20"/>
          <w:szCs w:val="20"/>
        </w:rPr>
        <w:t>եւ</w:t>
      </w:r>
      <w:r w:rsidRPr="00B33E97">
        <w:rPr>
          <w:rFonts w:ascii="Sylfaen" w:hAnsi="Sylfaen"/>
          <w:sz w:val="20"/>
          <w:szCs w:val="20"/>
        </w:rPr>
        <w:t xml:space="preserve"> տեխնոլոգիական պարամետրերի նշումով, հումքի որակի հսկողության մեթոդները, ներառյալ՝ դեղապատրաստուկում պրիոնների հայտնաբերման մեթոդները (անհրաժեշտության դեպքում)։</w:t>
      </w:r>
    </w:p>
  </w:footnote>
  <w:footnote w:id="27">
    <w:p w14:paraId="5CF5DD8D" w14:textId="77777777" w:rsidR="004A52D9" w:rsidRPr="006528A7" w:rsidRDefault="004A52D9" w:rsidP="006F76EB">
      <w:pPr>
        <w:spacing w:after="120" w:line="240" w:lineRule="auto"/>
        <w:ind w:right="-8"/>
        <w:jc w:val="both"/>
        <w:rPr>
          <w:rFonts w:ascii="Sylfaen" w:eastAsia="Times New Roman" w:hAnsi="Sylfaen" w:cs="Times New Roman"/>
          <w:sz w:val="20"/>
          <w:szCs w:val="20"/>
        </w:rPr>
      </w:pPr>
      <w:r w:rsidRPr="00CC46E8">
        <w:rPr>
          <w:rStyle w:val="FootnoteReference"/>
        </w:rPr>
        <w:t>***</w:t>
      </w:r>
      <w:r w:rsidRPr="00CC46E8">
        <w:t xml:space="preserve"> </w:t>
      </w:r>
      <w:r w:rsidRPr="006528A7">
        <w:rPr>
          <w:rFonts w:ascii="Sylfaen" w:hAnsi="Sylfaen"/>
          <w:sz w:val="20"/>
          <w:szCs w:val="20"/>
        </w:rPr>
        <w:t>Նախքան Եվրասիական տնտեսական հանձնաժողովի</w:t>
      </w:r>
      <w:r>
        <w:rPr>
          <w:rFonts w:ascii="Sylfaen" w:hAnsi="Sylfaen"/>
          <w:sz w:val="20"/>
          <w:szCs w:val="20"/>
        </w:rPr>
        <w:t xml:space="preserve"> </w:t>
      </w:r>
      <w:r w:rsidRPr="006528A7">
        <w:rPr>
          <w:rFonts w:ascii="Sylfaen" w:hAnsi="Sylfaen"/>
          <w:sz w:val="20"/>
          <w:szCs w:val="20"/>
        </w:rPr>
        <w:t xml:space="preserve">հանձնարարականներն ընդունելը դեղապատրաստուկի որակի հսկողության </w:t>
      </w:r>
      <w:r>
        <w:rPr>
          <w:rFonts w:ascii="Sylfaen" w:hAnsi="Sylfaen"/>
          <w:sz w:val="20"/>
          <w:szCs w:val="20"/>
        </w:rPr>
        <w:t>եւ</w:t>
      </w:r>
      <w:r w:rsidRPr="006528A7">
        <w:rPr>
          <w:rFonts w:ascii="Sylfaen" w:hAnsi="Sylfaen"/>
          <w:sz w:val="20"/>
          <w:szCs w:val="20"/>
        </w:rPr>
        <w:t xml:space="preserve"> անվտանգության վերաբերյալ նորմատիվ փաստաթղթի նախագիծը նախապատրաստվում է այն գրանցման պետության ուղեցույցներին համապատասխան, որին ներկայացվում է դեղապատրաստուկի գրանցման հայտը:</w:t>
      </w:r>
    </w:p>
  </w:footnote>
  <w:footnote w:id="28">
    <w:p w14:paraId="5F41469C" w14:textId="77777777" w:rsidR="004A52D9" w:rsidRPr="00297352" w:rsidRDefault="004A52D9" w:rsidP="00297352">
      <w:pPr>
        <w:jc w:val="both"/>
        <w:rPr>
          <w:rFonts w:ascii="Sylfaen" w:hAnsi="Sylfaen"/>
          <w:sz w:val="20"/>
          <w:szCs w:val="20"/>
        </w:rPr>
      </w:pPr>
      <w:r>
        <w:rPr>
          <w:rStyle w:val="FootnoteReference"/>
        </w:rPr>
        <w:footnoteRef/>
      </w:r>
      <w:r>
        <w:t xml:space="preserve"> </w:t>
      </w:r>
      <w:r w:rsidRPr="0073600E">
        <w:rPr>
          <w:rFonts w:ascii="Sylfaen" w:hAnsi="Sylfaen"/>
          <w:sz w:val="20"/>
          <w:szCs w:val="20"/>
        </w:rPr>
        <w:t xml:space="preserve">Որակի ամփոփիչ ռեզյումեի </w:t>
      </w:r>
      <w:r w:rsidRPr="00297352">
        <w:rPr>
          <w:rFonts w:ascii="Sylfaen" w:hAnsi="Sylfaen"/>
          <w:sz w:val="20"/>
          <w:szCs w:val="20"/>
        </w:rPr>
        <w:t>մանրամասնեցման կամընտրականությունը նախատեսված է պատրաստուկների բարդության տարբեր աստիճաններին հարմարվելու նպատակով: Հայտատուն իրավունք ունի ընտրելու որակի ամփոփ ռեզյումե կազմելու մակարդակը:</w:t>
      </w:r>
    </w:p>
  </w:footnote>
  <w:footnote w:id="29">
    <w:p w14:paraId="663EA716" w14:textId="77777777" w:rsidR="004A52D9" w:rsidRPr="00297352" w:rsidRDefault="004A52D9" w:rsidP="00297352">
      <w:pPr>
        <w:spacing w:after="0" w:line="240" w:lineRule="auto"/>
        <w:ind w:right="40"/>
        <w:jc w:val="both"/>
        <w:rPr>
          <w:rFonts w:ascii="Sylfaen" w:hAnsi="Sylfaen"/>
          <w:sz w:val="20"/>
          <w:szCs w:val="20"/>
        </w:rPr>
      </w:pPr>
      <w:r w:rsidRPr="00297352">
        <w:rPr>
          <w:rStyle w:val="FootnoteReference"/>
          <w:rFonts w:ascii="Sylfaen" w:hAnsi="Sylfaen"/>
          <w:sz w:val="20"/>
          <w:szCs w:val="20"/>
        </w:rPr>
        <w:footnoteRef/>
      </w:r>
      <w:r w:rsidRPr="00297352">
        <w:rPr>
          <w:rFonts w:ascii="Sylfaen" w:hAnsi="Sylfaen"/>
          <w:sz w:val="20"/>
          <w:szCs w:val="20"/>
        </w:rPr>
        <w:t xml:space="preserve"> Յուրաքանչյուր դեղագործական բաղադրամասի համար անհրաժեշտ է ներկայացնել առանձին փաստաթուղթ:</w:t>
      </w:r>
    </w:p>
  </w:footnote>
  <w:footnote w:id="30">
    <w:p w14:paraId="0C9CDDB9" w14:textId="77777777" w:rsidR="004A52D9" w:rsidRPr="0073600E" w:rsidRDefault="004A52D9" w:rsidP="00297352">
      <w:pPr>
        <w:spacing w:after="0" w:line="240" w:lineRule="auto"/>
        <w:ind w:right="40"/>
        <w:jc w:val="both"/>
        <w:rPr>
          <w:rFonts w:ascii="Sylfaen" w:hAnsi="Sylfaen"/>
          <w:sz w:val="20"/>
          <w:szCs w:val="20"/>
        </w:rPr>
      </w:pPr>
      <w:r w:rsidRPr="00297352">
        <w:rPr>
          <w:rStyle w:val="FootnoteReference"/>
          <w:rFonts w:ascii="Sylfaen" w:hAnsi="Sylfaen"/>
          <w:sz w:val="20"/>
          <w:szCs w:val="20"/>
        </w:rPr>
        <w:footnoteRef/>
      </w:r>
      <w:r w:rsidRPr="00297352">
        <w:rPr>
          <w:rFonts w:ascii="Sylfaen" w:hAnsi="Sylfaen"/>
          <w:sz w:val="20"/>
          <w:szCs w:val="20"/>
        </w:rPr>
        <w:t xml:space="preserve"> Եթե դեղապատրաստուկն առաքվում է վերականգնման համար լուծիչների հետ, լուծիչների մասին տեղեկություններն անհրաժեշտ է ներկայացնել «P»</w:t>
      </w:r>
      <w:r w:rsidRPr="0073600E">
        <w:rPr>
          <w:rFonts w:ascii="Sylfaen" w:hAnsi="Sylfaen"/>
          <w:sz w:val="20"/>
          <w:szCs w:val="20"/>
        </w:rPr>
        <w:t xml:space="preserve"> փաստաթղթի առանձին մասում:</w:t>
      </w:r>
    </w:p>
    <w:p w14:paraId="78F2B6CE" w14:textId="77777777" w:rsidR="004A52D9" w:rsidRPr="0081587C" w:rsidRDefault="004A52D9">
      <w:pPr>
        <w:pStyle w:val="FootnoteText"/>
      </w:pPr>
    </w:p>
  </w:footnote>
  <w:footnote w:id="31">
    <w:p w14:paraId="125BEA4F" w14:textId="77777777" w:rsidR="004A52D9" w:rsidRPr="0081587C" w:rsidRDefault="004A52D9" w:rsidP="00297352">
      <w:pPr>
        <w:pStyle w:val="FootnoteText"/>
        <w:ind w:right="40"/>
        <w:jc w:val="both"/>
      </w:pPr>
      <w:r>
        <w:rPr>
          <w:rStyle w:val="FootnoteReference"/>
        </w:rPr>
        <w:footnoteRef/>
      </w:r>
      <w:r>
        <w:t xml:space="preserve"> </w:t>
      </w:r>
      <w:r w:rsidRPr="0073600E">
        <w:rPr>
          <w:rFonts w:ascii="Sylfaen" w:hAnsi="Sylfaen"/>
        </w:rPr>
        <w:t>Կիրառման յուրաքանչյուր ցուցման մասով անհրաժեշտ է ներկայացնել առանձին փաստաթուղթ, սակայն թույլատրվում է միանման կիրառման ցուցումները ներկայացնել մեկ փաստաթղթում:</w:t>
      </w:r>
    </w:p>
  </w:footnote>
  <w:footnote w:id="32">
    <w:p w14:paraId="6B389AB5" w14:textId="77777777" w:rsidR="004A52D9" w:rsidRPr="00814E26" w:rsidRDefault="004A52D9" w:rsidP="00297352">
      <w:pPr>
        <w:spacing w:after="0" w:line="240" w:lineRule="auto"/>
        <w:jc w:val="both"/>
      </w:pPr>
      <w:r>
        <w:rPr>
          <w:rStyle w:val="FootnoteReference"/>
        </w:rPr>
        <w:footnoteRef/>
      </w:r>
      <w:r w:rsidRPr="00814E26">
        <w:t xml:space="preserve"> </w:t>
      </w:r>
      <w:r w:rsidRPr="0073600E">
        <w:rPr>
          <w:rFonts w:ascii="Sylfaen" w:hAnsi="Sylfaen"/>
          <w:sz w:val="20"/>
          <w:szCs w:val="20"/>
        </w:rPr>
        <w:t xml:space="preserve">Տվյալ մոդուլում մանրամասնեցման աստիճանն ընտրելիս հայտատուն պետք է հաշվի առնի, որ համապատասխան տեղեկությունների փոփոխության դեպքում պատրաստուկի կենսական պարբերաշրջանի ցանկացած պահի պահանջվում է ԸՏՓ-ում եւ էԸՏՓ-ում փաստաթղթերի (ֆայլերի) ամբողջական փոխարինում: </w:t>
      </w:r>
    </w:p>
  </w:footnote>
  <w:footnote w:id="33">
    <w:p w14:paraId="759412ED" w14:textId="77777777" w:rsidR="004A52D9" w:rsidRPr="00814E26" w:rsidRDefault="004A52D9" w:rsidP="00297352">
      <w:pPr>
        <w:pStyle w:val="FootnoteText"/>
        <w:jc w:val="both"/>
      </w:pPr>
      <w:r>
        <w:rPr>
          <w:rStyle w:val="FootnoteReference"/>
        </w:rPr>
        <w:footnoteRef/>
      </w:r>
      <w:r>
        <w:t xml:space="preserve"> </w:t>
      </w:r>
      <w:r w:rsidRPr="0073600E">
        <w:rPr>
          <w:rFonts w:ascii="Sylfaen" w:hAnsi="Sylfaen"/>
        </w:rPr>
        <w:t>Եթե դեղապատրաստուկը պարունակում է մի քանի դեղագործական բաղադրամասեր, ապա «S»</w:t>
      </w:r>
      <w:r w:rsidRPr="00421BB4">
        <w:rPr>
          <w:rFonts w:ascii="Sylfaen" w:hAnsi="Sylfaen"/>
        </w:rPr>
        <w:t> </w:t>
      </w:r>
      <w:r w:rsidRPr="0073600E">
        <w:rPr>
          <w:rFonts w:ascii="Sylfaen" w:hAnsi="Sylfaen"/>
        </w:rPr>
        <w:t>բաժնի համար պահանջվող տեղեկությունները հարկ է ներկայացնել յուրաքանչյուր դեղագործական բաղադրամասի համար ամբողջական ծավալով:</w:t>
      </w:r>
    </w:p>
  </w:footnote>
  <w:footnote w:id="34">
    <w:p w14:paraId="4CA713FE" w14:textId="77777777" w:rsidR="004A52D9" w:rsidRPr="0073600E" w:rsidRDefault="004A52D9" w:rsidP="00297352">
      <w:pPr>
        <w:spacing w:after="0" w:line="240" w:lineRule="auto"/>
        <w:ind w:right="-1"/>
        <w:jc w:val="both"/>
        <w:rPr>
          <w:rFonts w:ascii="Sylfaen" w:hAnsi="Sylfaen"/>
          <w:sz w:val="20"/>
          <w:szCs w:val="20"/>
        </w:rPr>
      </w:pPr>
      <w:r>
        <w:rPr>
          <w:rStyle w:val="FootnoteReference"/>
        </w:rPr>
        <w:footnoteRef/>
      </w:r>
      <w:r>
        <w:t xml:space="preserve"> </w:t>
      </w:r>
      <w:r w:rsidRPr="0073600E">
        <w:rPr>
          <w:rFonts w:ascii="Sylfaen" w:hAnsi="Sylfaen"/>
          <w:sz w:val="20"/>
          <w:szCs w:val="20"/>
        </w:rPr>
        <w:t>Եթե դեղապատրաստուկն առաքվում է վերականգնման համար լուծիչի (լուծիչների) հետ միասին, լուծիչների մասին տեղեկություններն անհրաժեշտ է ներկայացնել առանձին «P» բաժնում՝ հանգամանքներին համապատասխան:</w:t>
      </w:r>
    </w:p>
    <w:p w14:paraId="40B6E7E4" w14:textId="77777777" w:rsidR="004A52D9" w:rsidRPr="00814E26" w:rsidRDefault="004A52D9">
      <w:pPr>
        <w:pStyle w:val="FootnoteText"/>
      </w:pPr>
    </w:p>
  </w:footnote>
  <w:footnote w:id="35">
    <w:p w14:paraId="43EAEFE4" w14:textId="77777777" w:rsidR="004A52D9" w:rsidRPr="00814E26" w:rsidRDefault="004A52D9" w:rsidP="00297352">
      <w:pPr>
        <w:pStyle w:val="FootnoteText"/>
        <w:jc w:val="both"/>
      </w:pPr>
      <w:r>
        <w:rPr>
          <w:rStyle w:val="FootnoteReference"/>
        </w:rPr>
        <w:footnoteRef/>
      </w:r>
      <w:r w:rsidRPr="00814E26">
        <w:rPr>
          <w:rFonts w:ascii="Sylfaen" w:hAnsi="Sylfaen"/>
        </w:rPr>
        <w:t xml:space="preserve"> </w:t>
      </w:r>
      <w:r w:rsidRPr="0073600E">
        <w:rPr>
          <w:rFonts w:ascii="Sylfaen" w:hAnsi="Sylfaen"/>
        </w:rPr>
        <w:t>Քիչ հավանական է, որ որակի ԸՏՓ-ի բաժնում ներառված վերնագրերի ստորին մակարդակն այս տեղում կներկայացվի առանձին փաստաթղթերով կամ ֆայլերով:</w:t>
      </w:r>
    </w:p>
  </w:footnote>
  <w:footnote w:id="36">
    <w:p w14:paraId="2701E468" w14:textId="77777777" w:rsidR="004A52D9" w:rsidRPr="0073600E" w:rsidRDefault="004A52D9" w:rsidP="002239BE">
      <w:pPr>
        <w:spacing w:after="0" w:line="240" w:lineRule="auto"/>
        <w:jc w:val="both"/>
        <w:rPr>
          <w:rFonts w:ascii="Sylfaen" w:hAnsi="Sylfaen"/>
          <w:sz w:val="20"/>
          <w:szCs w:val="20"/>
        </w:rPr>
      </w:pPr>
      <w:r>
        <w:rPr>
          <w:rStyle w:val="FootnoteReference"/>
        </w:rPr>
        <w:footnoteRef/>
      </w:r>
      <w:r>
        <w:t xml:space="preserve"> </w:t>
      </w:r>
      <w:r w:rsidRPr="0073600E">
        <w:rPr>
          <w:rFonts w:ascii="Sylfaen" w:hAnsi="Sylfaen"/>
          <w:sz w:val="20"/>
          <w:szCs w:val="20"/>
        </w:rPr>
        <w:t xml:space="preserve">Գրականության ցանկն անհրաժեշտ է ներառել բովանդակության մեջ: </w:t>
      </w:r>
    </w:p>
    <w:p w14:paraId="0EA436D0" w14:textId="77777777" w:rsidR="004A52D9" w:rsidRPr="00814E26" w:rsidRDefault="004A52D9">
      <w:pPr>
        <w:pStyle w:val="FootnoteText"/>
      </w:pPr>
    </w:p>
  </w:footnote>
  <w:footnote w:id="37">
    <w:p w14:paraId="4CD7728C" w14:textId="77777777" w:rsidR="004A52D9" w:rsidRPr="0073600E" w:rsidRDefault="004A52D9" w:rsidP="008C76E0">
      <w:pPr>
        <w:spacing w:after="0" w:line="240" w:lineRule="auto"/>
        <w:ind w:right="-1"/>
        <w:jc w:val="both"/>
        <w:rPr>
          <w:rFonts w:ascii="Sylfaen" w:hAnsi="Sylfaen"/>
          <w:sz w:val="20"/>
          <w:szCs w:val="20"/>
        </w:rPr>
      </w:pPr>
      <w:r w:rsidRPr="0073600E">
        <w:rPr>
          <w:rStyle w:val="FootnoteReference"/>
          <w:rFonts w:ascii="Sylfaen" w:hAnsi="Sylfaen"/>
          <w:sz w:val="20"/>
          <w:szCs w:val="20"/>
        </w:rPr>
        <w:footnoteRef/>
      </w:r>
      <w:r w:rsidRPr="0073600E">
        <w:rPr>
          <w:rFonts w:ascii="Sylfaen" w:hAnsi="Sylfaen"/>
          <w:sz w:val="20"/>
          <w:szCs w:val="20"/>
        </w:rPr>
        <w:t xml:space="preserve"> 4-րդ մոդուլում ներառված յուրաքանչյուր հաշվետվության համար, որպես կանոն, անհրաժեշտ է ներկայացնել մեկ փաստաթուղթ: Այնուհանդերձ, եթե հետազոտության վերաբերյալ հաշվետվությունը ծավալուն է (օրինակ՝ քաղցկեղածնության հետազոտությունը), հայտատուն իրավունք ունի հաշվետվությունը ներկայացնելու մի քանի փաստաթղթի տեսքով: Այդ դեպքում հաշվետվության նկարագրական մասը պետք է ներկայացվի մեկ փաստաթղթով, իսկ հավելվածը՝ մեկ կամ մի քանի փաստաթղթերով: Այդ հաշվետվությունների մանրամասնեցման աստիճանն ընտրելիս հայտատուն պետք է հաշվի առնի, որ դեղապատրաստուկի կենսական պարբերաշրջանի ցանկացած պահին համապատասխան տեղեկությունների փոփոխության դեպքում պահանջվում է փաստաթղթերի (ֆայլերի) ամբողջական փոխարինում:</w:t>
      </w:r>
    </w:p>
  </w:footnote>
  <w:footnote w:id="38">
    <w:p w14:paraId="00524C6A" w14:textId="77777777" w:rsidR="004A52D9" w:rsidRPr="0073600E" w:rsidRDefault="004A52D9" w:rsidP="008C76E0">
      <w:pPr>
        <w:pStyle w:val="FootnoteText"/>
        <w:jc w:val="both"/>
        <w:rPr>
          <w:rFonts w:ascii="Sylfaen" w:hAnsi="Sylfaen"/>
        </w:rPr>
      </w:pPr>
      <w:r w:rsidRPr="0073600E">
        <w:rPr>
          <w:rStyle w:val="FootnoteReference"/>
          <w:rFonts w:ascii="Sylfaen" w:hAnsi="Sylfaen"/>
        </w:rPr>
        <w:footnoteRef/>
      </w:r>
      <w:r w:rsidRPr="0073600E">
        <w:rPr>
          <w:rFonts w:ascii="Sylfaen" w:hAnsi="Sylfaen"/>
        </w:rPr>
        <w:t xml:space="preserve"> </w:t>
      </w:r>
      <w:r w:rsidRPr="002F1507">
        <w:rPr>
          <w:rFonts w:ascii="Sylfaen" w:hAnsi="Sylfaen"/>
        </w:rPr>
        <w:t xml:space="preserve"> </w:t>
      </w:r>
      <w:r w:rsidRPr="0073600E">
        <w:rPr>
          <w:rFonts w:ascii="Sylfaen" w:hAnsi="Sylfaen"/>
        </w:rPr>
        <w:t>Գրականության ցանկն անհրաժեշտ է ներառել բովանդակության մեջ:</w:t>
      </w:r>
    </w:p>
  </w:footnote>
  <w:footnote w:id="39">
    <w:p w14:paraId="704A3308" w14:textId="77777777" w:rsidR="004A52D9" w:rsidRPr="0073600E" w:rsidRDefault="004A52D9" w:rsidP="008C76E0">
      <w:pPr>
        <w:spacing w:after="0" w:line="240" w:lineRule="auto"/>
        <w:jc w:val="both"/>
        <w:rPr>
          <w:rFonts w:ascii="Sylfaen" w:hAnsi="Sylfaen"/>
          <w:sz w:val="20"/>
          <w:szCs w:val="20"/>
        </w:rPr>
      </w:pPr>
      <w:r w:rsidRPr="0073600E">
        <w:rPr>
          <w:rStyle w:val="FootnoteReference"/>
          <w:rFonts w:ascii="Sylfaen" w:hAnsi="Sylfaen"/>
          <w:sz w:val="20"/>
          <w:szCs w:val="20"/>
        </w:rPr>
        <w:footnoteRef/>
      </w:r>
      <w:r w:rsidRPr="0073600E">
        <w:rPr>
          <w:rFonts w:ascii="Sylfaen" w:hAnsi="Sylfaen"/>
          <w:sz w:val="20"/>
          <w:szCs w:val="20"/>
        </w:rPr>
        <w:t xml:space="preserve"> Հայտատուները, որպես կանոն, պետք է հետազոտությունների մասին հաշվետվությունները ներկայացնեն մի քանի փաստաթղթերի տեսքով (համառոտագիր, հետազոտության մասին հաշվետվության բովանդակային մաս եւ անհրաժեշտ հավելվածներ): Հավելվածներն անհրաժեշտ է կազմել Եվրասիական տնտեսական միության պատշաճ կլինիկական գործելակերպի կանոնների թիվ 1 հավելվածին համապատասխան, որում նկարագրվում են կլինիկական հետազոտության մասին հաշվետվության բովանդակությունն ու ձեւաչափը: Այդ հաշվետվությունների մանրամասնեցման աստիճանն ընտրելիս հարկավոր է, որ հայտատուն հաշվի առնի, որ պատրաստուկի կենսական պարբերաշրջանի ցանկացած պահին համապատասխան տեղեկությունների փոփոխության դեպքում պահանջվում է փաստաթղթերի (ֆայլերի) ամբողջական փոխարինում:</w:t>
      </w:r>
    </w:p>
  </w:footnote>
  <w:footnote w:id="40">
    <w:p w14:paraId="6994A068" w14:textId="77777777" w:rsidR="004A52D9" w:rsidRPr="0073600E" w:rsidRDefault="004A52D9" w:rsidP="008C76E0">
      <w:pPr>
        <w:spacing w:after="0" w:line="240" w:lineRule="auto"/>
        <w:jc w:val="both"/>
        <w:rPr>
          <w:rFonts w:ascii="Sylfaen" w:hAnsi="Sylfaen"/>
          <w:sz w:val="20"/>
          <w:szCs w:val="20"/>
        </w:rPr>
      </w:pPr>
      <w:r>
        <w:rPr>
          <w:rStyle w:val="FootnoteReference"/>
          <w:sz w:val="16"/>
        </w:rPr>
        <w:footnoteRef/>
      </w:r>
      <w:r>
        <w:rPr>
          <w:sz w:val="16"/>
        </w:rPr>
        <w:t xml:space="preserve"> </w:t>
      </w:r>
      <w:r w:rsidRPr="0073600E">
        <w:rPr>
          <w:rFonts w:ascii="Sylfaen" w:hAnsi="Sylfaen"/>
          <w:sz w:val="20"/>
          <w:szCs w:val="20"/>
        </w:rPr>
        <w:t xml:space="preserve">Եթե գրանցման դոսյեում ընդգրկված են կիրառման մի քանի ցուցումներ, ապա տվյալ բաժինը կրկնօրինակում են՝ յուրաքանչյուր ցուցման համար առանձին: </w:t>
      </w:r>
    </w:p>
  </w:footnote>
  <w:footnote w:id="41">
    <w:p w14:paraId="05DAB098" w14:textId="77777777" w:rsidR="004A52D9" w:rsidRPr="00CD1681" w:rsidRDefault="004A52D9" w:rsidP="008C76E0">
      <w:pPr>
        <w:pStyle w:val="FootnoteText"/>
        <w:jc w:val="both"/>
        <w:rPr>
          <w:rFonts w:ascii="Sylfaen" w:hAnsi="Sylfaen"/>
          <w:sz w:val="16"/>
        </w:rPr>
      </w:pPr>
      <w:r w:rsidRPr="00F75C7A">
        <w:rPr>
          <w:rStyle w:val="FootnoteReference"/>
          <w:rFonts w:ascii="Sylfaen" w:hAnsi="Sylfaen"/>
        </w:rPr>
        <w:footnoteRef/>
      </w:r>
      <w:r w:rsidRPr="00903D92">
        <w:rPr>
          <w:rFonts w:ascii="Sylfaen" w:hAnsi="Sylfaen"/>
        </w:rPr>
        <w:t xml:space="preserve"> </w:t>
      </w:r>
      <w:r w:rsidRPr="00F75C7A">
        <w:rPr>
          <w:rFonts w:ascii="Sylfaen" w:hAnsi="Sylfaen"/>
        </w:rPr>
        <w:t>Գրականության ցանկն անհրաժեշտ է ներառել բովանդակության մեջ</w:t>
      </w:r>
      <w:r>
        <w:rPr>
          <w:rFonts w:ascii="Sylfaen" w:hAnsi="Sylfaen"/>
          <w:sz w:val="16"/>
        </w:rPr>
        <w:t>:</w:t>
      </w:r>
    </w:p>
  </w:footnote>
  <w:footnote w:id="42">
    <w:p w14:paraId="31B55F88" w14:textId="77777777" w:rsidR="004A52D9" w:rsidRPr="008C76E0" w:rsidRDefault="004A52D9" w:rsidP="00513389">
      <w:pPr>
        <w:pStyle w:val="Tablecaption50"/>
        <w:shd w:val="clear" w:color="auto" w:fill="auto"/>
        <w:spacing w:after="120" w:line="240" w:lineRule="auto"/>
        <w:ind w:right="-1"/>
        <w:rPr>
          <w:rFonts w:ascii="Sylfaen" w:hAnsi="Sylfaen"/>
          <w:lang w:val="hy-AM"/>
        </w:rPr>
      </w:pPr>
      <w:r>
        <w:rPr>
          <w:rStyle w:val="FootnoteReference"/>
        </w:rPr>
        <w:footnoteRef/>
      </w:r>
      <w:r w:rsidRPr="00513389">
        <w:rPr>
          <w:lang w:val="hy-AM"/>
        </w:rPr>
        <w:t xml:space="preserve"> </w:t>
      </w:r>
      <w:r w:rsidRPr="008C76E0">
        <w:rPr>
          <w:rFonts w:ascii="Sylfaen" w:hAnsi="Sylfaen"/>
          <w:lang w:val="hy-AM"/>
        </w:rPr>
        <w:t>Խնդրում ենք, ուշադրություն դարձրեք այն հանգամանքին, որ այն հայտերի համար, որոնք ներկայացվում են գեներիկ եւ կենսահամանման դեղամիջոցների համար, երբ որպես ռեֆերենտ պատրաստուկ է հանդես գալիս Միության շուկայում իրացումը թույլատրված պատրաստուկը, կարեւոր է պատրաստուկի անվանման վերաբերյալ դիտողություններն ուղարկել հնարավորինս վաղ փուլում:</w:t>
      </w:r>
    </w:p>
    <w:p w14:paraId="161EB39C" w14:textId="77777777" w:rsidR="004A52D9" w:rsidRPr="00513389" w:rsidRDefault="004A52D9">
      <w:pPr>
        <w:pStyle w:val="FootnoteText"/>
      </w:pPr>
    </w:p>
  </w:footnote>
  <w:footnote w:id="43">
    <w:p w14:paraId="32DD1AED" w14:textId="77777777" w:rsidR="004A52D9" w:rsidRPr="00954F22" w:rsidRDefault="004A52D9" w:rsidP="001B59AA">
      <w:pPr>
        <w:pStyle w:val="FootnoteText"/>
        <w:spacing w:after="120"/>
        <w:jc w:val="both"/>
        <w:rPr>
          <w:rFonts w:ascii="Sylfaen" w:hAnsi="Sylfaen"/>
        </w:rPr>
      </w:pPr>
      <w:r w:rsidRPr="00D05D60">
        <w:rPr>
          <w:rStyle w:val="FootnoteReference"/>
          <w:rFonts w:ascii="Sylfaen" w:hAnsi="Sylfaen"/>
        </w:rPr>
        <w:footnoteRef/>
      </w:r>
      <w:r w:rsidRPr="00D05D60">
        <w:rPr>
          <w:rFonts w:ascii="Sylfaen" w:hAnsi="Sylfaen"/>
        </w:rPr>
        <w:t xml:space="preserve"> Կավելացվի Միության յուրաքանչյուր անդամ պետության</w:t>
      </w:r>
      <w:r w:rsidRPr="00954F22">
        <w:rPr>
          <w:rFonts w:ascii="Sylfaen" w:hAnsi="Sylfaen"/>
        </w:rPr>
        <w:t xml:space="preserve"> պահանջներին համապատասխան</w:t>
      </w:r>
      <w:r>
        <w:rPr>
          <w:rFonts w:ascii="Sylfaen" w:hAnsi="Sylfaen"/>
        </w:rPr>
        <w:t>:</w:t>
      </w:r>
    </w:p>
  </w:footnote>
  <w:footnote w:id="44">
    <w:p w14:paraId="5A6E9388" w14:textId="5C7C5E50" w:rsidR="00BD67EC" w:rsidRPr="00E260DF" w:rsidRDefault="00BD67EC" w:rsidP="00BD67EC">
      <w:pPr>
        <w:spacing w:after="0" w:line="240" w:lineRule="auto"/>
        <w:rPr>
          <w:rFonts w:ascii="Sylfaen" w:hAnsi="Sylfaen"/>
          <w:sz w:val="20"/>
          <w:szCs w:val="20"/>
        </w:rPr>
      </w:pPr>
    </w:p>
  </w:footnote>
  <w:footnote w:id="45">
    <w:p w14:paraId="5F1EADA2" w14:textId="50CCA918" w:rsidR="00BD67EC" w:rsidRPr="00E260DF" w:rsidRDefault="00BD67EC" w:rsidP="00BD67EC">
      <w:pPr>
        <w:spacing w:after="0" w:line="240" w:lineRule="auto"/>
        <w:rPr>
          <w:rFonts w:ascii="Sylfaen" w:hAnsi="Sylfaen"/>
          <w:sz w:val="20"/>
          <w:szCs w:val="20"/>
        </w:rPr>
      </w:pPr>
    </w:p>
  </w:footnote>
  <w:footnote w:id="46">
    <w:p w14:paraId="36F808E7" w14:textId="2D575876" w:rsidR="00BD67EC" w:rsidRPr="00BD67EC" w:rsidRDefault="00BD67EC" w:rsidP="00BD67EC">
      <w:pPr>
        <w:pStyle w:val="Footnote0"/>
        <w:shd w:val="clear" w:color="auto" w:fill="auto"/>
        <w:spacing w:line="240" w:lineRule="auto"/>
        <w:rPr>
          <w:rFonts w:ascii="Sylfaen" w:hAnsi="Sylfaen"/>
          <w:lang w:val="hy-AM"/>
        </w:rPr>
      </w:pPr>
    </w:p>
  </w:footnote>
  <w:footnote w:id="47">
    <w:p w14:paraId="647A52B8" w14:textId="5199AA8F" w:rsidR="00BD67EC" w:rsidRPr="00E260DF" w:rsidRDefault="00BD67EC" w:rsidP="00BD67EC">
      <w:pPr>
        <w:spacing w:after="0" w:line="240" w:lineRule="auto"/>
        <w:rPr>
          <w:rFonts w:ascii="Sylfaen" w:hAnsi="Sylfae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0463" w14:textId="77777777" w:rsidR="004A52D9" w:rsidRDefault="004A52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50CF" w14:textId="77777777" w:rsidR="004A52D9" w:rsidRDefault="004A52D9">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0AA5" w14:textId="77777777" w:rsidR="004A52D9" w:rsidRDefault="004A52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9536" w14:textId="77777777" w:rsidR="004A52D9" w:rsidRDefault="004A52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D0A9" w14:textId="77777777" w:rsidR="004A52D9" w:rsidRDefault="004A52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D671" w14:textId="77777777" w:rsidR="004A52D9" w:rsidRDefault="004A52D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515A" w14:textId="77777777" w:rsidR="004A52D9" w:rsidRDefault="004A52D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432D" w14:textId="77777777" w:rsidR="004A52D9" w:rsidRDefault="004A52D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BC3F" w14:textId="77777777" w:rsidR="004A52D9" w:rsidRDefault="004A5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7C3"/>
    <w:multiLevelType w:val="multilevel"/>
    <w:tmpl w:val="6D2806B8"/>
    <w:lvl w:ilvl="0">
      <w:start w:val="1"/>
      <w:numFmt w:val="decimal"/>
      <w:lvlText w:val="%1."/>
      <w:lvlJc w:val="left"/>
      <w:pPr>
        <w:ind w:left="927" w:hanging="360"/>
      </w:pPr>
      <w:rPr>
        <w:rFonts w:hint="default"/>
      </w:rPr>
    </w:lvl>
    <w:lvl w:ilvl="1">
      <w:start w:val="1"/>
      <w:numFmt w:val="decimal"/>
      <w:isLgl/>
      <w:lvlText w:val="%1.%2."/>
      <w:lvlJc w:val="left"/>
      <w:pPr>
        <w:ind w:left="1407" w:hanging="840"/>
      </w:pPr>
      <w:rPr>
        <w:rFonts w:hint="default"/>
      </w:rPr>
    </w:lvl>
    <w:lvl w:ilvl="2">
      <w:start w:val="10"/>
      <w:numFmt w:val="decimal"/>
      <w:isLgl/>
      <w:lvlText w:val="%1.%2.%3."/>
      <w:lvlJc w:val="left"/>
      <w:pPr>
        <w:ind w:left="1407" w:hanging="840"/>
      </w:pPr>
      <w:rPr>
        <w:rFonts w:hint="default"/>
      </w:rPr>
    </w:lvl>
    <w:lvl w:ilvl="3">
      <w:start w:val="3"/>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D9009F"/>
    <w:multiLevelType w:val="hybridMultilevel"/>
    <w:tmpl w:val="24342FC2"/>
    <w:lvl w:ilvl="0" w:tplc="35648B30">
      <w:start w:val="5"/>
      <w:numFmt w:val="bullet"/>
      <w:lvlText w:val=""/>
      <w:lvlJc w:val="left"/>
      <w:pPr>
        <w:ind w:left="882" w:hanging="360"/>
      </w:pPr>
      <w:rPr>
        <w:rFonts w:ascii="Wingdings" w:eastAsia="Times New Roman" w:hAnsi="Wingdings" w:cs="Times New Roman"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2" w15:restartNumberingAfterBreak="0">
    <w:nsid w:val="075744BC"/>
    <w:multiLevelType w:val="hybridMultilevel"/>
    <w:tmpl w:val="679649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B5367"/>
    <w:multiLevelType w:val="hybridMultilevel"/>
    <w:tmpl w:val="BE0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03809"/>
    <w:multiLevelType w:val="hybridMultilevel"/>
    <w:tmpl w:val="687824E4"/>
    <w:lvl w:ilvl="0" w:tplc="8308596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E1E11"/>
    <w:multiLevelType w:val="hybridMultilevel"/>
    <w:tmpl w:val="103C3CE4"/>
    <w:lvl w:ilvl="0" w:tplc="63647E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24943"/>
    <w:multiLevelType w:val="hybridMultilevel"/>
    <w:tmpl w:val="48484C0C"/>
    <w:lvl w:ilvl="0" w:tplc="A68233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36AE6"/>
    <w:multiLevelType w:val="hybridMultilevel"/>
    <w:tmpl w:val="117C475C"/>
    <w:lvl w:ilvl="0" w:tplc="4C18A53A">
      <w:start w:val="1"/>
      <w:numFmt w:val="bullet"/>
      <w:lvlText w:val="-"/>
      <w:lvlJc w:val="left"/>
      <w:pPr>
        <w:ind w:left="889" w:hanging="360"/>
      </w:pPr>
      <w:rPr>
        <w:rFonts w:ascii="Sylfaen" w:eastAsia="Times New Roman" w:hAnsi="Sylfaen" w:cs="Times New Roman" w:hint="default"/>
        <w:color w:val="000000"/>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8" w15:restartNumberingAfterBreak="0">
    <w:nsid w:val="2CF2033D"/>
    <w:multiLevelType w:val="hybridMultilevel"/>
    <w:tmpl w:val="E8B02854"/>
    <w:lvl w:ilvl="0" w:tplc="086459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4442C"/>
    <w:multiLevelType w:val="hybridMultilevel"/>
    <w:tmpl w:val="FFE2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D5878"/>
    <w:multiLevelType w:val="hybridMultilevel"/>
    <w:tmpl w:val="C7767EA0"/>
    <w:lvl w:ilvl="0" w:tplc="6F847C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63984"/>
    <w:multiLevelType w:val="hybridMultilevel"/>
    <w:tmpl w:val="96F48184"/>
    <w:lvl w:ilvl="0" w:tplc="45D2DE80">
      <w:start w:val="1"/>
      <w:numFmt w:val="decimal"/>
      <w:lvlText w:val="%1."/>
      <w:lvlJc w:val="left"/>
      <w:pPr>
        <w:ind w:left="549" w:hanging="39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2" w15:restartNumberingAfterBreak="0">
    <w:nsid w:val="3D495E42"/>
    <w:multiLevelType w:val="hybridMultilevel"/>
    <w:tmpl w:val="FF8C4E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3E1"/>
    <w:multiLevelType w:val="hybridMultilevel"/>
    <w:tmpl w:val="BC62A956"/>
    <w:lvl w:ilvl="0" w:tplc="957AE4C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17F74"/>
    <w:multiLevelType w:val="hybridMultilevel"/>
    <w:tmpl w:val="EBCEEAD6"/>
    <w:lvl w:ilvl="0" w:tplc="1332BA92">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B996472"/>
    <w:multiLevelType w:val="hybridMultilevel"/>
    <w:tmpl w:val="6E58AFD0"/>
    <w:lvl w:ilvl="0" w:tplc="8D80ECB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E3F4A"/>
    <w:multiLevelType w:val="hybridMultilevel"/>
    <w:tmpl w:val="6C8C9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838C9"/>
    <w:multiLevelType w:val="hybridMultilevel"/>
    <w:tmpl w:val="56C2ECE8"/>
    <w:lvl w:ilvl="0" w:tplc="26061872">
      <w:start w:val="1"/>
      <w:numFmt w:val="decimal"/>
      <w:lvlText w:val="%1."/>
      <w:lvlJc w:val="left"/>
      <w:pPr>
        <w:ind w:left="538" w:hanging="405"/>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0">
    <w:nsid w:val="57CD1E1F"/>
    <w:multiLevelType w:val="multilevel"/>
    <w:tmpl w:val="6464A8F8"/>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9" w15:restartNumberingAfterBreak="0">
    <w:nsid w:val="586E3E2A"/>
    <w:multiLevelType w:val="hybridMultilevel"/>
    <w:tmpl w:val="C49AFE82"/>
    <w:lvl w:ilvl="0" w:tplc="C5CA76E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40BFC"/>
    <w:multiLevelType w:val="hybridMultilevel"/>
    <w:tmpl w:val="1C2875AA"/>
    <w:lvl w:ilvl="0" w:tplc="CD0826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C0E7C"/>
    <w:multiLevelType w:val="hybridMultilevel"/>
    <w:tmpl w:val="28EE8426"/>
    <w:lvl w:ilvl="0" w:tplc="51B2AA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13C89"/>
    <w:multiLevelType w:val="hybridMultilevel"/>
    <w:tmpl w:val="832A6FDE"/>
    <w:lvl w:ilvl="0" w:tplc="C5F04340">
      <w:start w:val="1"/>
      <w:numFmt w:val="decimal"/>
      <w:lvlText w:val="%1."/>
      <w:lvlJc w:val="left"/>
      <w:pPr>
        <w:ind w:left="563" w:hanging="405"/>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3" w15:restartNumberingAfterBreak="0">
    <w:nsid w:val="7C0C377D"/>
    <w:multiLevelType w:val="hybridMultilevel"/>
    <w:tmpl w:val="AC90A61E"/>
    <w:lvl w:ilvl="0" w:tplc="4ED84E0C">
      <w:start w:val="6"/>
      <w:numFmt w:val="bullet"/>
      <w:lvlText w:val="-"/>
      <w:lvlJc w:val="left"/>
      <w:pPr>
        <w:ind w:left="927" w:hanging="360"/>
      </w:pPr>
      <w:rPr>
        <w:rFonts w:ascii="Sylfaen" w:eastAsia="Times New Roman" w:hAnsi="Sylfaen" w:cs="Times New Roman" w:hint="default"/>
        <w:i/>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22318181">
    <w:abstractNumId w:val="18"/>
  </w:num>
  <w:num w:numId="2" w16cid:durableId="89548307">
    <w:abstractNumId w:val="14"/>
  </w:num>
  <w:num w:numId="3" w16cid:durableId="2099984045">
    <w:abstractNumId w:val="23"/>
  </w:num>
  <w:num w:numId="4" w16cid:durableId="1631588965">
    <w:abstractNumId w:val="0"/>
  </w:num>
  <w:num w:numId="5" w16cid:durableId="263613419">
    <w:abstractNumId w:val="16"/>
  </w:num>
  <w:num w:numId="6" w16cid:durableId="1264993038">
    <w:abstractNumId w:val="2"/>
  </w:num>
  <w:num w:numId="7" w16cid:durableId="2065250808">
    <w:abstractNumId w:val="9"/>
  </w:num>
  <w:num w:numId="8" w16cid:durableId="2134905361">
    <w:abstractNumId w:val="3"/>
  </w:num>
  <w:num w:numId="9" w16cid:durableId="770516501">
    <w:abstractNumId w:val="7"/>
  </w:num>
  <w:num w:numId="10" w16cid:durableId="1317686071">
    <w:abstractNumId w:val="1"/>
  </w:num>
  <w:num w:numId="11" w16cid:durableId="886641915">
    <w:abstractNumId w:val="19"/>
  </w:num>
  <w:num w:numId="12" w16cid:durableId="1485780653">
    <w:abstractNumId w:val="5"/>
  </w:num>
  <w:num w:numId="13" w16cid:durableId="1922833334">
    <w:abstractNumId w:val="13"/>
  </w:num>
  <w:num w:numId="14" w16cid:durableId="1997219853">
    <w:abstractNumId w:val="21"/>
  </w:num>
  <w:num w:numId="15" w16cid:durableId="117602884">
    <w:abstractNumId w:val="4"/>
  </w:num>
  <w:num w:numId="16" w16cid:durableId="1173883134">
    <w:abstractNumId w:val="12"/>
  </w:num>
  <w:num w:numId="17" w16cid:durableId="1336567384">
    <w:abstractNumId w:val="10"/>
  </w:num>
  <w:num w:numId="18" w16cid:durableId="996228602">
    <w:abstractNumId w:val="8"/>
  </w:num>
  <w:num w:numId="19" w16cid:durableId="686374701">
    <w:abstractNumId w:val="15"/>
  </w:num>
  <w:num w:numId="20" w16cid:durableId="817301934">
    <w:abstractNumId w:val="6"/>
  </w:num>
  <w:num w:numId="21" w16cid:durableId="75131288">
    <w:abstractNumId w:val="20"/>
  </w:num>
  <w:num w:numId="22" w16cid:durableId="734087306">
    <w:abstractNumId w:val="17"/>
  </w:num>
  <w:num w:numId="23" w16cid:durableId="1114206174">
    <w:abstractNumId w:val="22"/>
  </w:num>
  <w:num w:numId="24" w16cid:durableId="55588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6EB"/>
    <w:rsid w:val="00000B09"/>
    <w:rsid w:val="0000325C"/>
    <w:rsid w:val="00005FE7"/>
    <w:rsid w:val="00007454"/>
    <w:rsid w:val="00010F69"/>
    <w:rsid w:val="00015767"/>
    <w:rsid w:val="00015E3D"/>
    <w:rsid w:val="00022368"/>
    <w:rsid w:val="00022447"/>
    <w:rsid w:val="00033514"/>
    <w:rsid w:val="00035EC9"/>
    <w:rsid w:val="00037B30"/>
    <w:rsid w:val="000401DA"/>
    <w:rsid w:val="0004077C"/>
    <w:rsid w:val="000414E7"/>
    <w:rsid w:val="0004184B"/>
    <w:rsid w:val="00041FA5"/>
    <w:rsid w:val="000452CC"/>
    <w:rsid w:val="00050D30"/>
    <w:rsid w:val="00051BB3"/>
    <w:rsid w:val="0005387C"/>
    <w:rsid w:val="00053A74"/>
    <w:rsid w:val="00060EF9"/>
    <w:rsid w:val="00065DCF"/>
    <w:rsid w:val="000668B5"/>
    <w:rsid w:val="00066EC8"/>
    <w:rsid w:val="000728A0"/>
    <w:rsid w:val="00080164"/>
    <w:rsid w:val="000839F9"/>
    <w:rsid w:val="00087424"/>
    <w:rsid w:val="00087A2B"/>
    <w:rsid w:val="00091CBC"/>
    <w:rsid w:val="000A1AAE"/>
    <w:rsid w:val="000A2800"/>
    <w:rsid w:val="000A4ACC"/>
    <w:rsid w:val="000B3A2B"/>
    <w:rsid w:val="000B6A2F"/>
    <w:rsid w:val="000C3415"/>
    <w:rsid w:val="000C4CCD"/>
    <w:rsid w:val="000C5B93"/>
    <w:rsid w:val="000C5CDC"/>
    <w:rsid w:val="000D0FC9"/>
    <w:rsid w:val="000D736E"/>
    <w:rsid w:val="000D7620"/>
    <w:rsid w:val="000D7E4F"/>
    <w:rsid w:val="000E2C50"/>
    <w:rsid w:val="000E3C03"/>
    <w:rsid w:val="000F124E"/>
    <w:rsid w:val="000F24F2"/>
    <w:rsid w:val="000F5045"/>
    <w:rsid w:val="00100CD9"/>
    <w:rsid w:val="00102702"/>
    <w:rsid w:val="001042F5"/>
    <w:rsid w:val="00105024"/>
    <w:rsid w:val="00105DDA"/>
    <w:rsid w:val="00112DF4"/>
    <w:rsid w:val="00114ACF"/>
    <w:rsid w:val="001155FD"/>
    <w:rsid w:val="001235DC"/>
    <w:rsid w:val="001268BB"/>
    <w:rsid w:val="00130BFB"/>
    <w:rsid w:val="00131173"/>
    <w:rsid w:val="00132EF0"/>
    <w:rsid w:val="001352A5"/>
    <w:rsid w:val="00136617"/>
    <w:rsid w:val="001370A9"/>
    <w:rsid w:val="00137998"/>
    <w:rsid w:val="00137E21"/>
    <w:rsid w:val="00143A1A"/>
    <w:rsid w:val="00145C95"/>
    <w:rsid w:val="001516A4"/>
    <w:rsid w:val="001543F8"/>
    <w:rsid w:val="00155C84"/>
    <w:rsid w:val="0015773F"/>
    <w:rsid w:val="00157FD9"/>
    <w:rsid w:val="001637C4"/>
    <w:rsid w:val="00164BD9"/>
    <w:rsid w:val="00166427"/>
    <w:rsid w:val="001755E6"/>
    <w:rsid w:val="00183A19"/>
    <w:rsid w:val="00190846"/>
    <w:rsid w:val="00193CFC"/>
    <w:rsid w:val="00196848"/>
    <w:rsid w:val="001A09F9"/>
    <w:rsid w:val="001A24A9"/>
    <w:rsid w:val="001B2B66"/>
    <w:rsid w:val="001B59AA"/>
    <w:rsid w:val="001B72F4"/>
    <w:rsid w:val="001C09E1"/>
    <w:rsid w:val="001C13D0"/>
    <w:rsid w:val="001C3278"/>
    <w:rsid w:val="001C41B5"/>
    <w:rsid w:val="001C5AF9"/>
    <w:rsid w:val="001D7EF8"/>
    <w:rsid w:val="001E3FDE"/>
    <w:rsid w:val="001E7D37"/>
    <w:rsid w:val="001F0017"/>
    <w:rsid w:val="001F0952"/>
    <w:rsid w:val="001F13A5"/>
    <w:rsid w:val="001F4516"/>
    <w:rsid w:val="001F5412"/>
    <w:rsid w:val="001F5F9D"/>
    <w:rsid w:val="002056E6"/>
    <w:rsid w:val="00205E7B"/>
    <w:rsid w:val="00207FF6"/>
    <w:rsid w:val="00210A16"/>
    <w:rsid w:val="00210BBE"/>
    <w:rsid w:val="00211664"/>
    <w:rsid w:val="00212723"/>
    <w:rsid w:val="002139FC"/>
    <w:rsid w:val="00213DEA"/>
    <w:rsid w:val="002154F6"/>
    <w:rsid w:val="00215D86"/>
    <w:rsid w:val="002239BE"/>
    <w:rsid w:val="00223A80"/>
    <w:rsid w:val="0023323A"/>
    <w:rsid w:val="00240DA3"/>
    <w:rsid w:val="002442DD"/>
    <w:rsid w:val="002509A3"/>
    <w:rsid w:val="00255A40"/>
    <w:rsid w:val="00256312"/>
    <w:rsid w:val="00261E6B"/>
    <w:rsid w:val="00262653"/>
    <w:rsid w:val="00262B57"/>
    <w:rsid w:val="00263847"/>
    <w:rsid w:val="00264724"/>
    <w:rsid w:val="00267658"/>
    <w:rsid w:val="00277ADB"/>
    <w:rsid w:val="00280E60"/>
    <w:rsid w:val="00280FAE"/>
    <w:rsid w:val="002829AF"/>
    <w:rsid w:val="00282B69"/>
    <w:rsid w:val="00282C05"/>
    <w:rsid w:val="002842E3"/>
    <w:rsid w:val="00285E87"/>
    <w:rsid w:val="00286B62"/>
    <w:rsid w:val="00287D3E"/>
    <w:rsid w:val="00292370"/>
    <w:rsid w:val="00293367"/>
    <w:rsid w:val="00296C4C"/>
    <w:rsid w:val="00297352"/>
    <w:rsid w:val="002978B0"/>
    <w:rsid w:val="00297B09"/>
    <w:rsid w:val="002A181E"/>
    <w:rsid w:val="002A26E4"/>
    <w:rsid w:val="002A4041"/>
    <w:rsid w:val="002A49BF"/>
    <w:rsid w:val="002A5072"/>
    <w:rsid w:val="002A6A4C"/>
    <w:rsid w:val="002A7A6A"/>
    <w:rsid w:val="002B4BF8"/>
    <w:rsid w:val="002B6F90"/>
    <w:rsid w:val="002C1A53"/>
    <w:rsid w:val="002C1FC3"/>
    <w:rsid w:val="002C29C0"/>
    <w:rsid w:val="002C36BA"/>
    <w:rsid w:val="002C3F55"/>
    <w:rsid w:val="002C43D7"/>
    <w:rsid w:val="002C4B5D"/>
    <w:rsid w:val="002D046B"/>
    <w:rsid w:val="002D12E4"/>
    <w:rsid w:val="002D2ED7"/>
    <w:rsid w:val="002D43EE"/>
    <w:rsid w:val="002D52C6"/>
    <w:rsid w:val="002E0B92"/>
    <w:rsid w:val="002E713A"/>
    <w:rsid w:val="002F06F8"/>
    <w:rsid w:val="002F1C69"/>
    <w:rsid w:val="002F1D49"/>
    <w:rsid w:val="002F42FC"/>
    <w:rsid w:val="00302149"/>
    <w:rsid w:val="00302495"/>
    <w:rsid w:val="003052D3"/>
    <w:rsid w:val="00305C5C"/>
    <w:rsid w:val="00307589"/>
    <w:rsid w:val="0030798D"/>
    <w:rsid w:val="00307AF9"/>
    <w:rsid w:val="00307E18"/>
    <w:rsid w:val="00314778"/>
    <w:rsid w:val="0031596C"/>
    <w:rsid w:val="00317641"/>
    <w:rsid w:val="00317884"/>
    <w:rsid w:val="003205E0"/>
    <w:rsid w:val="0032680A"/>
    <w:rsid w:val="00333236"/>
    <w:rsid w:val="003334FE"/>
    <w:rsid w:val="00333A89"/>
    <w:rsid w:val="00334497"/>
    <w:rsid w:val="00334AF5"/>
    <w:rsid w:val="0033729F"/>
    <w:rsid w:val="00337C1C"/>
    <w:rsid w:val="00337D8C"/>
    <w:rsid w:val="003415E8"/>
    <w:rsid w:val="00341CBD"/>
    <w:rsid w:val="003426FC"/>
    <w:rsid w:val="00351F4E"/>
    <w:rsid w:val="00352BA5"/>
    <w:rsid w:val="00352FF1"/>
    <w:rsid w:val="00355C33"/>
    <w:rsid w:val="00360CBD"/>
    <w:rsid w:val="003610E0"/>
    <w:rsid w:val="00362224"/>
    <w:rsid w:val="00362F93"/>
    <w:rsid w:val="00375522"/>
    <w:rsid w:val="00377927"/>
    <w:rsid w:val="003820D1"/>
    <w:rsid w:val="00382C9A"/>
    <w:rsid w:val="00383CCF"/>
    <w:rsid w:val="00384450"/>
    <w:rsid w:val="00387B4E"/>
    <w:rsid w:val="00390DAC"/>
    <w:rsid w:val="003931C9"/>
    <w:rsid w:val="0039534B"/>
    <w:rsid w:val="00397A04"/>
    <w:rsid w:val="003A0A7B"/>
    <w:rsid w:val="003A6399"/>
    <w:rsid w:val="003A6784"/>
    <w:rsid w:val="003B1721"/>
    <w:rsid w:val="003B3AF8"/>
    <w:rsid w:val="003B3D9A"/>
    <w:rsid w:val="003B40B7"/>
    <w:rsid w:val="003B6635"/>
    <w:rsid w:val="003B78AE"/>
    <w:rsid w:val="003C049F"/>
    <w:rsid w:val="003C78FE"/>
    <w:rsid w:val="003C7E9C"/>
    <w:rsid w:val="003D12D4"/>
    <w:rsid w:val="003D2FD4"/>
    <w:rsid w:val="003D43B8"/>
    <w:rsid w:val="003D5D79"/>
    <w:rsid w:val="003D6AC0"/>
    <w:rsid w:val="003D7538"/>
    <w:rsid w:val="003E4415"/>
    <w:rsid w:val="003E4937"/>
    <w:rsid w:val="003F18C5"/>
    <w:rsid w:val="003F283E"/>
    <w:rsid w:val="003F6E94"/>
    <w:rsid w:val="003F7A44"/>
    <w:rsid w:val="00401706"/>
    <w:rsid w:val="00402CDB"/>
    <w:rsid w:val="00403F02"/>
    <w:rsid w:val="00407B13"/>
    <w:rsid w:val="00407DE9"/>
    <w:rsid w:val="004147B3"/>
    <w:rsid w:val="00414BB1"/>
    <w:rsid w:val="004176F2"/>
    <w:rsid w:val="00423124"/>
    <w:rsid w:val="004243A9"/>
    <w:rsid w:val="004263D4"/>
    <w:rsid w:val="00426865"/>
    <w:rsid w:val="00427651"/>
    <w:rsid w:val="0043064B"/>
    <w:rsid w:val="00430C60"/>
    <w:rsid w:val="00431C12"/>
    <w:rsid w:val="00433295"/>
    <w:rsid w:val="00434A26"/>
    <w:rsid w:val="004471A3"/>
    <w:rsid w:val="00450D30"/>
    <w:rsid w:val="00451607"/>
    <w:rsid w:val="00453EB9"/>
    <w:rsid w:val="004544B0"/>
    <w:rsid w:val="00456318"/>
    <w:rsid w:val="00466492"/>
    <w:rsid w:val="00467FEE"/>
    <w:rsid w:val="00471C86"/>
    <w:rsid w:val="00473371"/>
    <w:rsid w:val="0047408B"/>
    <w:rsid w:val="00474452"/>
    <w:rsid w:val="00477BB0"/>
    <w:rsid w:val="00486013"/>
    <w:rsid w:val="00486B34"/>
    <w:rsid w:val="00486CE0"/>
    <w:rsid w:val="00487007"/>
    <w:rsid w:val="00487CCB"/>
    <w:rsid w:val="0049302C"/>
    <w:rsid w:val="004947F6"/>
    <w:rsid w:val="00496F7C"/>
    <w:rsid w:val="004A01AF"/>
    <w:rsid w:val="004A1514"/>
    <w:rsid w:val="004A1A19"/>
    <w:rsid w:val="004A52D9"/>
    <w:rsid w:val="004B2E59"/>
    <w:rsid w:val="004B2EBC"/>
    <w:rsid w:val="004B393A"/>
    <w:rsid w:val="004B643D"/>
    <w:rsid w:val="004C0BC5"/>
    <w:rsid w:val="004C4A50"/>
    <w:rsid w:val="004C6C5A"/>
    <w:rsid w:val="004C797D"/>
    <w:rsid w:val="004D0FF7"/>
    <w:rsid w:val="004D1538"/>
    <w:rsid w:val="004E129B"/>
    <w:rsid w:val="004E2474"/>
    <w:rsid w:val="004E297C"/>
    <w:rsid w:val="004E3708"/>
    <w:rsid w:val="004E7237"/>
    <w:rsid w:val="004E7383"/>
    <w:rsid w:val="004F2439"/>
    <w:rsid w:val="004F5982"/>
    <w:rsid w:val="004F602B"/>
    <w:rsid w:val="004F6471"/>
    <w:rsid w:val="004F6D87"/>
    <w:rsid w:val="004F6E9F"/>
    <w:rsid w:val="00503B0F"/>
    <w:rsid w:val="005053A4"/>
    <w:rsid w:val="005062CE"/>
    <w:rsid w:val="00507862"/>
    <w:rsid w:val="00513389"/>
    <w:rsid w:val="005145C8"/>
    <w:rsid w:val="00516C70"/>
    <w:rsid w:val="005176C6"/>
    <w:rsid w:val="00520390"/>
    <w:rsid w:val="00522719"/>
    <w:rsid w:val="00522976"/>
    <w:rsid w:val="00523379"/>
    <w:rsid w:val="00526607"/>
    <w:rsid w:val="005266D9"/>
    <w:rsid w:val="005279A1"/>
    <w:rsid w:val="00531428"/>
    <w:rsid w:val="00537062"/>
    <w:rsid w:val="005405FD"/>
    <w:rsid w:val="00544E85"/>
    <w:rsid w:val="0055203E"/>
    <w:rsid w:val="00553BBB"/>
    <w:rsid w:val="00554A71"/>
    <w:rsid w:val="00556B79"/>
    <w:rsid w:val="00557726"/>
    <w:rsid w:val="00557AE2"/>
    <w:rsid w:val="0056471A"/>
    <w:rsid w:val="0056482B"/>
    <w:rsid w:val="00564D39"/>
    <w:rsid w:val="00570DEF"/>
    <w:rsid w:val="005755F1"/>
    <w:rsid w:val="00584EC1"/>
    <w:rsid w:val="005856E7"/>
    <w:rsid w:val="00590510"/>
    <w:rsid w:val="00590E4F"/>
    <w:rsid w:val="00591274"/>
    <w:rsid w:val="00591731"/>
    <w:rsid w:val="00593820"/>
    <w:rsid w:val="005A00A6"/>
    <w:rsid w:val="005A0FC1"/>
    <w:rsid w:val="005A381A"/>
    <w:rsid w:val="005A3BE2"/>
    <w:rsid w:val="005A45A7"/>
    <w:rsid w:val="005A5E5E"/>
    <w:rsid w:val="005B1445"/>
    <w:rsid w:val="005B2817"/>
    <w:rsid w:val="005B32CC"/>
    <w:rsid w:val="005B6429"/>
    <w:rsid w:val="005B763D"/>
    <w:rsid w:val="005C0EAA"/>
    <w:rsid w:val="005C149A"/>
    <w:rsid w:val="005C43BC"/>
    <w:rsid w:val="005C73E6"/>
    <w:rsid w:val="005D0680"/>
    <w:rsid w:val="005D1A97"/>
    <w:rsid w:val="005D29E7"/>
    <w:rsid w:val="005D6612"/>
    <w:rsid w:val="005D7E40"/>
    <w:rsid w:val="005E0DF1"/>
    <w:rsid w:val="005E1BD4"/>
    <w:rsid w:val="005E478F"/>
    <w:rsid w:val="005E53BB"/>
    <w:rsid w:val="005E7555"/>
    <w:rsid w:val="005E7C0D"/>
    <w:rsid w:val="005F48B2"/>
    <w:rsid w:val="005F4C5B"/>
    <w:rsid w:val="005F5BCB"/>
    <w:rsid w:val="005F705E"/>
    <w:rsid w:val="0060033A"/>
    <w:rsid w:val="00604C9A"/>
    <w:rsid w:val="00607D50"/>
    <w:rsid w:val="00611740"/>
    <w:rsid w:val="006120A9"/>
    <w:rsid w:val="00615631"/>
    <w:rsid w:val="00616C15"/>
    <w:rsid w:val="0062140B"/>
    <w:rsid w:val="00623D29"/>
    <w:rsid w:val="00630116"/>
    <w:rsid w:val="006313BB"/>
    <w:rsid w:val="00636431"/>
    <w:rsid w:val="006424A6"/>
    <w:rsid w:val="00642D79"/>
    <w:rsid w:val="00644138"/>
    <w:rsid w:val="00645CA8"/>
    <w:rsid w:val="006506EC"/>
    <w:rsid w:val="00652129"/>
    <w:rsid w:val="00657B53"/>
    <w:rsid w:val="006609CA"/>
    <w:rsid w:val="00663B3E"/>
    <w:rsid w:val="00664595"/>
    <w:rsid w:val="00665C60"/>
    <w:rsid w:val="00666181"/>
    <w:rsid w:val="00666B75"/>
    <w:rsid w:val="006670B0"/>
    <w:rsid w:val="006760AA"/>
    <w:rsid w:val="00677E2B"/>
    <w:rsid w:val="006817C8"/>
    <w:rsid w:val="00683970"/>
    <w:rsid w:val="00683CD4"/>
    <w:rsid w:val="00685570"/>
    <w:rsid w:val="006955BF"/>
    <w:rsid w:val="006A0AAC"/>
    <w:rsid w:val="006A55CE"/>
    <w:rsid w:val="006B20D8"/>
    <w:rsid w:val="006C21A8"/>
    <w:rsid w:val="006D009E"/>
    <w:rsid w:val="006D143A"/>
    <w:rsid w:val="006D1D63"/>
    <w:rsid w:val="006D210C"/>
    <w:rsid w:val="006D49E1"/>
    <w:rsid w:val="006D5D99"/>
    <w:rsid w:val="006D7713"/>
    <w:rsid w:val="006E1C85"/>
    <w:rsid w:val="006E4778"/>
    <w:rsid w:val="006E7104"/>
    <w:rsid w:val="006F4F4A"/>
    <w:rsid w:val="006F508C"/>
    <w:rsid w:val="006F76EB"/>
    <w:rsid w:val="00701015"/>
    <w:rsid w:val="007040C0"/>
    <w:rsid w:val="00705E04"/>
    <w:rsid w:val="007074F8"/>
    <w:rsid w:val="007130F9"/>
    <w:rsid w:val="00714E9D"/>
    <w:rsid w:val="00721A6C"/>
    <w:rsid w:val="00731163"/>
    <w:rsid w:val="00732974"/>
    <w:rsid w:val="007342DE"/>
    <w:rsid w:val="007349DC"/>
    <w:rsid w:val="007374BF"/>
    <w:rsid w:val="007413FF"/>
    <w:rsid w:val="00744943"/>
    <w:rsid w:val="00746502"/>
    <w:rsid w:val="007467C7"/>
    <w:rsid w:val="0074785B"/>
    <w:rsid w:val="007527B5"/>
    <w:rsid w:val="00753550"/>
    <w:rsid w:val="00753A7B"/>
    <w:rsid w:val="00754307"/>
    <w:rsid w:val="0075661F"/>
    <w:rsid w:val="00761CCE"/>
    <w:rsid w:val="00762F9B"/>
    <w:rsid w:val="007643CC"/>
    <w:rsid w:val="00770E2B"/>
    <w:rsid w:val="00771BAF"/>
    <w:rsid w:val="0077226C"/>
    <w:rsid w:val="00772718"/>
    <w:rsid w:val="00772797"/>
    <w:rsid w:val="00777144"/>
    <w:rsid w:val="007773B5"/>
    <w:rsid w:val="00777780"/>
    <w:rsid w:val="00777961"/>
    <w:rsid w:val="00777CF2"/>
    <w:rsid w:val="00780BC1"/>
    <w:rsid w:val="00783067"/>
    <w:rsid w:val="00784CE1"/>
    <w:rsid w:val="00787E8A"/>
    <w:rsid w:val="00787EA1"/>
    <w:rsid w:val="007902F3"/>
    <w:rsid w:val="00790EC7"/>
    <w:rsid w:val="0079750A"/>
    <w:rsid w:val="007B34A0"/>
    <w:rsid w:val="007B5A44"/>
    <w:rsid w:val="007B65EB"/>
    <w:rsid w:val="007C016F"/>
    <w:rsid w:val="007C3BBD"/>
    <w:rsid w:val="007C43CF"/>
    <w:rsid w:val="007C46E0"/>
    <w:rsid w:val="007C5173"/>
    <w:rsid w:val="007D0283"/>
    <w:rsid w:val="007D2DC5"/>
    <w:rsid w:val="007D3426"/>
    <w:rsid w:val="007D3755"/>
    <w:rsid w:val="007D7DA2"/>
    <w:rsid w:val="007E1C16"/>
    <w:rsid w:val="007E45D0"/>
    <w:rsid w:val="007E5F3D"/>
    <w:rsid w:val="007E68F0"/>
    <w:rsid w:val="007E6BCD"/>
    <w:rsid w:val="007E7F61"/>
    <w:rsid w:val="007F36C6"/>
    <w:rsid w:val="007F5A60"/>
    <w:rsid w:val="007F6CA3"/>
    <w:rsid w:val="008011F9"/>
    <w:rsid w:val="0080170B"/>
    <w:rsid w:val="00803E4B"/>
    <w:rsid w:val="00804804"/>
    <w:rsid w:val="008048D0"/>
    <w:rsid w:val="008057F1"/>
    <w:rsid w:val="008116D5"/>
    <w:rsid w:val="008119C0"/>
    <w:rsid w:val="0081247E"/>
    <w:rsid w:val="00814E26"/>
    <w:rsid w:val="0081587C"/>
    <w:rsid w:val="00815B19"/>
    <w:rsid w:val="00815DE6"/>
    <w:rsid w:val="008214E9"/>
    <w:rsid w:val="00827072"/>
    <w:rsid w:val="008270E4"/>
    <w:rsid w:val="00827A4D"/>
    <w:rsid w:val="00830690"/>
    <w:rsid w:val="00833B50"/>
    <w:rsid w:val="008406B4"/>
    <w:rsid w:val="00841B06"/>
    <w:rsid w:val="00843404"/>
    <w:rsid w:val="00847DA5"/>
    <w:rsid w:val="0085075A"/>
    <w:rsid w:val="00852B2A"/>
    <w:rsid w:val="00856091"/>
    <w:rsid w:val="00856708"/>
    <w:rsid w:val="008603F3"/>
    <w:rsid w:val="00862301"/>
    <w:rsid w:val="00863139"/>
    <w:rsid w:val="008640BA"/>
    <w:rsid w:val="00864219"/>
    <w:rsid w:val="00865163"/>
    <w:rsid w:val="00866FB4"/>
    <w:rsid w:val="008675E2"/>
    <w:rsid w:val="00873C99"/>
    <w:rsid w:val="00874504"/>
    <w:rsid w:val="00874E90"/>
    <w:rsid w:val="00887430"/>
    <w:rsid w:val="00890A75"/>
    <w:rsid w:val="00897C92"/>
    <w:rsid w:val="008A0FEC"/>
    <w:rsid w:val="008A3EE2"/>
    <w:rsid w:val="008A55CF"/>
    <w:rsid w:val="008B170E"/>
    <w:rsid w:val="008B1DE6"/>
    <w:rsid w:val="008B2F3A"/>
    <w:rsid w:val="008B6709"/>
    <w:rsid w:val="008B6FEB"/>
    <w:rsid w:val="008C13E4"/>
    <w:rsid w:val="008C52C3"/>
    <w:rsid w:val="008C65C0"/>
    <w:rsid w:val="008C76E0"/>
    <w:rsid w:val="008D08B9"/>
    <w:rsid w:val="008D0D54"/>
    <w:rsid w:val="008D2718"/>
    <w:rsid w:val="008D457F"/>
    <w:rsid w:val="008D7461"/>
    <w:rsid w:val="008E009C"/>
    <w:rsid w:val="008E1BE5"/>
    <w:rsid w:val="008E1F21"/>
    <w:rsid w:val="008E4EB1"/>
    <w:rsid w:val="008F1B23"/>
    <w:rsid w:val="008F21A4"/>
    <w:rsid w:val="008F5319"/>
    <w:rsid w:val="008F5F14"/>
    <w:rsid w:val="00902742"/>
    <w:rsid w:val="00903D92"/>
    <w:rsid w:val="0090711F"/>
    <w:rsid w:val="009073F4"/>
    <w:rsid w:val="00910A59"/>
    <w:rsid w:val="00911A59"/>
    <w:rsid w:val="00911FE5"/>
    <w:rsid w:val="009211E1"/>
    <w:rsid w:val="00923BA3"/>
    <w:rsid w:val="00924988"/>
    <w:rsid w:val="0092500F"/>
    <w:rsid w:val="00931D34"/>
    <w:rsid w:val="00940547"/>
    <w:rsid w:val="00943766"/>
    <w:rsid w:val="009443D2"/>
    <w:rsid w:val="00945A7B"/>
    <w:rsid w:val="009544CF"/>
    <w:rsid w:val="00954DBE"/>
    <w:rsid w:val="00955C1D"/>
    <w:rsid w:val="0096007B"/>
    <w:rsid w:val="00960E63"/>
    <w:rsid w:val="00963EE1"/>
    <w:rsid w:val="00966DB9"/>
    <w:rsid w:val="0097392D"/>
    <w:rsid w:val="00974276"/>
    <w:rsid w:val="00976DFA"/>
    <w:rsid w:val="00986A6E"/>
    <w:rsid w:val="00986B92"/>
    <w:rsid w:val="00992755"/>
    <w:rsid w:val="0099364A"/>
    <w:rsid w:val="00995B6C"/>
    <w:rsid w:val="00997473"/>
    <w:rsid w:val="009A0199"/>
    <w:rsid w:val="009A01E5"/>
    <w:rsid w:val="009A0FA0"/>
    <w:rsid w:val="009A3F22"/>
    <w:rsid w:val="009A6983"/>
    <w:rsid w:val="009A7E3B"/>
    <w:rsid w:val="009B121E"/>
    <w:rsid w:val="009B1807"/>
    <w:rsid w:val="009B1A3F"/>
    <w:rsid w:val="009B7300"/>
    <w:rsid w:val="009B75EA"/>
    <w:rsid w:val="009C2B4F"/>
    <w:rsid w:val="009C4732"/>
    <w:rsid w:val="009C4CE7"/>
    <w:rsid w:val="009C54B9"/>
    <w:rsid w:val="009C58BE"/>
    <w:rsid w:val="009C5D43"/>
    <w:rsid w:val="009D04BC"/>
    <w:rsid w:val="009D1C0A"/>
    <w:rsid w:val="009D2161"/>
    <w:rsid w:val="009D5590"/>
    <w:rsid w:val="009D60BE"/>
    <w:rsid w:val="009E569B"/>
    <w:rsid w:val="009F49FE"/>
    <w:rsid w:val="009F62EE"/>
    <w:rsid w:val="009F7218"/>
    <w:rsid w:val="009F799D"/>
    <w:rsid w:val="009F7A79"/>
    <w:rsid w:val="00A00382"/>
    <w:rsid w:val="00A01F98"/>
    <w:rsid w:val="00A028E3"/>
    <w:rsid w:val="00A13B22"/>
    <w:rsid w:val="00A258AD"/>
    <w:rsid w:val="00A26AE7"/>
    <w:rsid w:val="00A35372"/>
    <w:rsid w:val="00A37C9C"/>
    <w:rsid w:val="00A40351"/>
    <w:rsid w:val="00A467DA"/>
    <w:rsid w:val="00A552FD"/>
    <w:rsid w:val="00A5746F"/>
    <w:rsid w:val="00A63AE9"/>
    <w:rsid w:val="00A64B69"/>
    <w:rsid w:val="00A64FAB"/>
    <w:rsid w:val="00A721D8"/>
    <w:rsid w:val="00A81E1F"/>
    <w:rsid w:val="00A837EF"/>
    <w:rsid w:val="00A8592B"/>
    <w:rsid w:val="00A86C06"/>
    <w:rsid w:val="00A926FB"/>
    <w:rsid w:val="00A93613"/>
    <w:rsid w:val="00A93D09"/>
    <w:rsid w:val="00A958BD"/>
    <w:rsid w:val="00AA1428"/>
    <w:rsid w:val="00AA40D1"/>
    <w:rsid w:val="00AA49B7"/>
    <w:rsid w:val="00AA6052"/>
    <w:rsid w:val="00AB2473"/>
    <w:rsid w:val="00AB4B3F"/>
    <w:rsid w:val="00AB5268"/>
    <w:rsid w:val="00AC17B1"/>
    <w:rsid w:val="00AC2080"/>
    <w:rsid w:val="00AC3C46"/>
    <w:rsid w:val="00AC6512"/>
    <w:rsid w:val="00AC781D"/>
    <w:rsid w:val="00AD2459"/>
    <w:rsid w:val="00AD25E2"/>
    <w:rsid w:val="00AD33B0"/>
    <w:rsid w:val="00AD42C8"/>
    <w:rsid w:val="00AD60A7"/>
    <w:rsid w:val="00AE0F20"/>
    <w:rsid w:val="00AE135F"/>
    <w:rsid w:val="00AE34C3"/>
    <w:rsid w:val="00AE5D44"/>
    <w:rsid w:val="00AE5F29"/>
    <w:rsid w:val="00AE718E"/>
    <w:rsid w:val="00AF3B62"/>
    <w:rsid w:val="00AF44DC"/>
    <w:rsid w:val="00B02202"/>
    <w:rsid w:val="00B03D1A"/>
    <w:rsid w:val="00B130D4"/>
    <w:rsid w:val="00B17E8D"/>
    <w:rsid w:val="00B22ED9"/>
    <w:rsid w:val="00B24BA9"/>
    <w:rsid w:val="00B27DA0"/>
    <w:rsid w:val="00B31383"/>
    <w:rsid w:val="00B33CEC"/>
    <w:rsid w:val="00B342B8"/>
    <w:rsid w:val="00B34586"/>
    <w:rsid w:val="00B37B32"/>
    <w:rsid w:val="00B43712"/>
    <w:rsid w:val="00B45C4F"/>
    <w:rsid w:val="00B50A2C"/>
    <w:rsid w:val="00B51587"/>
    <w:rsid w:val="00B51AC3"/>
    <w:rsid w:val="00B53B6E"/>
    <w:rsid w:val="00B55B10"/>
    <w:rsid w:val="00B55C20"/>
    <w:rsid w:val="00B57243"/>
    <w:rsid w:val="00B57BA8"/>
    <w:rsid w:val="00B65152"/>
    <w:rsid w:val="00B70A34"/>
    <w:rsid w:val="00B70AD0"/>
    <w:rsid w:val="00B71A73"/>
    <w:rsid w:val="00B7356B"/>
    <w:rsid w:val="00B77950"/>
    <w:rsid w:val="00B80961"/>
    <w:rsid w:val="00B81600"/>
    <w:rsid w:val="00B825FD"/>
    <w:rsid w:val="00B843EA"/>
    <w:rsid w:val="00B85A13"/>
    <w:rsid w:val="00B86909"/>
    <w:rsid w:val="00B909BC"/>
    <w:rsid w:val="00B90C69"/>
    <w:rsid w:val="00B94497"/>
    <w:rsid w:val="00B973BA"/>
    <w:rsid w:val="00B9781A"/>
    <w:rsid w:val="00BA306B"/>
    <w:rsid w:val="00BA33FD"/>
    <w:rsid w:val="00BA3580"/>
    <w:rsid w:val="00BA6538"/>
    <w:rsid w:val="00BC08C4"/>
    <w:rsid w:val="00BC09C1"/>
    <w:rsid w:val="00BC1C3A"/>
    <w:rsid w:val="00BC2E57"/>
    <w:rsid w:val="00BC304C"/>
    <w:rsid w:val="00BC52BC"/>
    <w:rsid w:val="00BD5463"/>
    <w:rsid w:val="00BD67EC"/>
    <w:rsid w:val="00BE0DB5"/>
    <w:rsid w:val="00BE3D4E"/>
    <w:rsid w:val="00BE625D"/>
    <w:rsid w:val="00BF6997"/>
    <w:rsid w:val="00C02BB4"/>
    <w:rsid w:val="00C04974"/>
    <w:rsid w:val="00C10168"/>
    <w:rsid w:val="00C10893"/>
    <w:rsid w:val="00C12709"/>
    <w:rsid w:val="00C20726"/>
    <w:rsid w:val="00C24AC8"/>
    <w:rsid w:val="00C27DC3"/>
    <w:rsid w:val="00C343E2"/>
    <w:rsid w:val="00C3591E"/>
    <w:rsid w:val="00C44BED"/>
    <w:rsid w:val="00C44EAE"/>
    <w:rsid w:val="00C54D75"/>
    <w:rsid w:val="00C623FA"/>
    <w:rsid w:val="00C648A4"/>
    <w:rsid w:val="00C64A77"/>
    <w:rsid w:val="00C64C1C"/>
    <w:rsid w:val="00C65270"/>
    <w:rsid w:val="00C67BCC"/>
    <w:rsid w:val="00C72BDE"/>
    <w:rsid w:val="00C72D24"/>
    <w:rsid w:val="00C76C8E"/>
    <w:rsid w:val="00C83269"/>
    <w:rsid w:val="00C8417C"/>
    <w:rsid w:val="00C84A60"/>
    <w:rsid w:val="00C9094D"/>
    <w:rsid w:val="00C95283"/>
    <w:rsid w:val="00C968AE"/>
    <w:rsid w:val="00CA0D65"/>
    <w:rsid w:val="00CA6C8F"/>
    <w:rsid w:val="00CB05D5"/>
    <w:rsid w:val="00CB3DC3"/>
    <w:rsid w:val="00CB5063"/>
    <w:rsid w:val="00CB552F"/>
    <w:rsid w:val="00CB78D1"/>
    <w:rsid w:val="00CB7C73"/>
    <w:rsid w:val="00CC2A2B"/>
    <w:rsid w:val="00CC7B7C"/>
    <w:rsid w:val="00CD4450"/>
    <w:rsid w:val="00CD6E34"/>
    <w:rsid w:val="00CE1C3D"/>
    <w:rsid w:val="00CE376C"/>
    <w:rsid w:val="00CE405F"/>
    <w:rsid w:val="00CE640A"/>
    <w:rsid w:val="00CE6A25"/>
    <w:rsid w:val="00CF27EA"/>
    <w:rsid w:val="00D002A4"/>
    <w:rsid w:val="00D01EE2"/>
    <w:rsid w:val="00D02258"/>
    <w:rsid w:val="00D0538A"/>
    <w:rsid w:val="00D05A7F"/>
    <w:rsid w:val="00D0637C"/>
    <w:rsid w:val="00D0720C"/>
    <w:rsid w:val="00D072A2"/>
    <w:rsid w:val="00D1595A"/>
    <w:rsid w:val="00D165CF"/>
    <w:rsid w:val="00D23305"/>
    <w:rsid w:val="00D23E48"/>
    <w:rsid w:val="00D249A2"/>
    <w:rsid w:val="00D31CBE"/>
    <w:rsid w:val="00D32C7C"/>
    <w:rsid w:val="00D4123F"/>
    <w:rsid w:val="00D535D5"/>
    <w:rsid w:val="00D55404"/>
    <w:rsid w:val="00D55D9D"/>
    <w:rsid w:val="00D55E26"/>
    <w:rsid w:val="00D569EF"/>
    <w:rsid w:val="00D5703A"/>
    <w:rsid w:val="00D62AFA"/>
    <w:rsid w:val="00D641AF"/>
    <w:rsid w:val="00D64C8E"/>
    <w:rsid w:val="00D7038A"/>
    <w:rsid w:val="00D72CF4"/>
    <w:rsid w:val="00D73647"/>
    <w:rsid w:val="00D75041"/>
    <w:rsid w:val="00D75BED"/>
    <w:rsid w:val="00D774F6"/>
    <w:rsid w:val="00D80EDD"/>
    <w:rsid w:val="00D82AAA"/>
    <w:rsid w:val="00D85A6C"/>
    <w:rsid w:val="00D8646A"/>
    <w:rsid w:val="00D8713A"/>
    <w:rsid w:val="00D87E6B"/>
    <w:rsid w:val="00D91652"/>
    <w:rsid w:val="00D9182D"/>
    <w:rsid w:val="00D9689B"/>
    <w:rsid w:val="00DA2EF5"/>
    <w:rsid w:val="00DA3B36"/>
    <w:rsid w:val="00DA5BB8"/>
    <w:rsid w:val="00DA62B0"/>
    <w:rsid w:val="00DA7D09"/>
    <w:rsid w:val="00DB0024"/>
    <w:rsid w:val="00DB2544"/>
    <w:rsid w:val="00DB5C8B"/>
    <w:rsid w:val="00DB6032"/>
    <w:rsid w:val="00DB7012"/>
    <w:rsid w:val="00DC233B"/>
    <w:rsid w:val="00DC2F35"/>
    <w:rsid w:val="00DC3B8B"/>
    <w:rsid w:val="00DC43E8"/>
    <w:rsid w:val="00DD42F6"/>
    <w:rsid w:val="00DD4724"/>
    <w:rsid w:val="00DE1FF5"/>
    <w:rsid w:val="00DE2245"/>
    <w:rsid w:val="00DE6764"/>
    <w:rsid w:val="00DE713C"/>
    <w:rsid w:val="00DE7C06"/>
    <w:rsid w:val="00DF4D5F"/>
    <w:rsid w:val="00DF65A4"/>
    <w:rsid w:val="00DF7AD8"/>
    <w:rsid w:val="00DF7CF1"/>
    <w:rsid w:val="00E00A03"/>
    <w:rsid w:val="00E06CAB"/>
    <w:rsid w:val="00E13489"/>
    <w:rsid w:val="00E15800"/>
    <w:rsid w:val="00E15E7D"/>
    <w:rsid w:val="00E210C9"/>
    <w:rsid w:val="00E2752F"/>
    <w:rsid w:val="00E3366C"/>
    <w:rsid w:val="00E369DB"/>
    <w:rsid w:val="00E4709D"/>
    <w:rsid w:val="00E5048D"/>
    <w:rsid w:val="00E56CF0"/>
    <w:rsid w:val="00E60B69"/>
    <w:rsid w:val="00E61438"/>
    <w:rsid w:val="00E633A0"/>
    <w:rsid w:val="00E70EE4"/>
    <w:rsid w:val="00E721AC"/>
    <w:rsid w:val="00E74ADC"/>
    <w:rsid w:val="00E7523C"/>
    <w:rsid w:val="00E8176E"/>
    <w:rsid w:val="00E8196D"/>
    <w:rsid w:val="00E85669"/>
    <w:rsid w:val="00E87C1C"/>
    <w:rsid w:val="00E87E9C"/>
    <w:rsid w:val="00E902EF"/>
    <w:rsid w:val="00E90FAF"/>
    <w:rsid w:val="00E93A30"/>
    <w:rsid w:val="00E97622"/>
    <w:rsid w:val="00EA3238"/>
    <w:rsid w:val="00EA467C"/>
    <w:rsid w:val="00EB184D"/>
    <w:rsid w:val="00EB2655"/>
    <w:rsid w:val="00EB42EC"/>
    <w:rsid w:val="00EB7D73"/>
    <w:rsid w:val="00EC21ED"/>
    <w:rsid w:val="00EC2BCE"/>
    <w:rsid w:val="00EC2CD0"/>
    <w:rsid w:val="00EC36F7"/>
    <w:rsid w:val="00EC4C5B"/>
    <w:rsid w:val="00EC6304"/>
    <w:rsid w:val="00EC7E9F"/>
    <w:rsid w:val="00ED35B6"/>
    <w:rsid w:val="00ED4AEB"/>
    <w:rsid w:val="00ED52E1"/>
    <w:rsid w:val="00ED68B9"/>
    <w:rsid w:val="00EE00B2"/>
    <w:rsid w:val="00EF1B25"/>
    <w:rsid w:val="00F01D9F"/>
    <w:rsid w:val="00F06D43"/>
    <w:rsid w:val="00F102EA"/>
    <w:rsid w:val="00F10DF3"/>
    <w:rsid w:val="00F12109"/>
    <w:rsid w:val="00F24A75"/>
    <w:rsid w:val="00F24C8B"/>
    <w:rsid w:val="00F251C5"/>
    <w:rsid w:val="00F26B87"/>
    <w:rsid w:val="00F278B2"/>
    <w:rsid w:val="00F30D28"/>
    <w:rsid w:val="00F312F7"/>
    <w:rsid w:val="00F31307"/>
    <w:rsid w:val="00F321DB"/>
    <w:rsid w:val="00F356C8"/>
    <w:rsid w:val="00F3592B"/>
    <w:rsid w:val="00F3755F"/>
    <w:rsid w:val="00F40135"/>
    <w:rsid w:val="00F44AFB"/>
    <w:rsid w:val="00F469C4"/>
    <w:rsid w:val="00F52A36"/>
    <w:rsid w:val="00F550B6"/>
    <w:rsid w:val="00F560AC"/>
    <w:rsid w:val="00F57BEB"/>
    <w:rsid w:val="00F61ECF"/>
    <w:rsid w:val="00F63625"/>
    <w:rsid w:val="00F66329"/>
    <w:rsid w:val="00F673A8"/>
    <w:rsid w:val="00F71229"/>
    <w:rsid w:val="00F7333A"/>
    <w:rsid w:val="00F734F5"/>
    <w:rsid w:val="00F8005E"/>
    <w:rsid w:val="00F81439"/>
    <w:rsid w:val="00F85569"/>
    <w:rsid w:val="00F85BA6"/>
    <w:rsid w:val="00F875F2"/>
    <w:rsid w:val="00F933B1"/>
    <w:rsid w:val="00F9343A"/>
    <w:rsid w:val="00F9615B"/>
    <w:rsid w:val="00F97BCA"/>
    <w:rsid w:val="00FA28B3"/>
    <w:rsid w:val="00FA2E29"/>
    <w:rsid w:val="00FA2FDE"/>
    <w:rsid w:val="00FA323E"/>
    <w:rsid w:val="00FA49D2"/>
    <w:rsid w:val="00FA5363"/>
    <w:rsid w:val="00FB068F"/>
    <w:rsid w:val="00FB13FE"/>
    <w:rsid w:val="00FB3BC2"/>
    <w:rsid w:val="00FB5432"/>
    <w:rsid w:val="00FD1035"/>
    <w:rsid w:val="00FD580B"/>
    <w:rsid w:val="00FE0E62"/>
    <w:rsid w:val="00FE3964"/>
    <w:rsid w:val="00FE4C37"/>
    <w:rsid w:val="00FE61C1"/>
    <w:rsid w:val="00FF0C04"/>
    <w:rsid w:val="00FF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5"/>
    <o:shapelayout v:ext="edit">
      <o:idmap v:ext="edit" data="1"/>
      <o:rules v:ext="edit">
        <o:r id="V:Rule1" type="arc" idref="#_x0000_s1318"/>
        <o:r id="V:Rule2" type="connector" idref="#_x0000_s1310"/>
        <o:r id="V:Rule3" type="connector" idref="#_x0000_s1307"/>
        <o:r id="V:Rule4" type="connector" idref="#_x0000_s1320"/>
        <o:r id="V:Rule5" type="connector" idref="#_x0000_s1315"/>
        <o:r id="V:Rule6" type="connector" idref="#_x0000_s1319"/>
        <o:r id="V:Rule7" type="connector" idref="#_x0000_s1311"/>
        <o:r id="V:Rule8" type="connector" idref="#_x0000_s1308"/>
        <o:r id="V:Rule9" type="connector" idref="#_x0000_s1309"/>
      </o:rules>
    </o:shapelayout>
  </w:shapeDefaults>
  <w:decimalSymbol w:val="."/>
  <w:listSeparator w:val=","/>
  <w14:docId w14:val="20642927"/>
  <w15:docId w15:val="{C046778F-D30D-465A-86DD-9147524C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7D"/>
    <w:pPr>
      <w:widowControl w:val="0"/>
    </w:pPr>
    <w:rPr>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6F76EB"/>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6F76EB"/>
    <w:pPr>
      <w:shd w:val="clear" w:color="auto" w:fill="FFFFFF"/>
      <w:spacing w:after="120" w:line="0" w:lineRule="atLeast"/>
      <w:jc w:val="center"/>
    </w:pPr>
    <w:rPr>
      <w:rFonts w:ascii="Times New Roman" w:eastAsia="Times New Roman" w:hAnsi="Times New Roman" w:cs="Times New Roman"/>
      <w:b/>
      <w:bCs/>
      <w:sz w:val="30"/>
      <w:szCs w:val="30"/>
      <w:lang w:val="en-US" w:eastAsia="en-US" w:bidi="ar-SA"/>
    </w:rPr>
  </w:style>
  <w:style w:type="character" w:customStyle="1" w:styleId="Heading1">
    <w:name w:val="Heading #1_"/>
    <w:basedOn w:val="DefaultParagraphFont"/>
    <w:link w:val="Heading10"/>
    <w:rsid w:val="006F76EB"/>
    <w:rPr>
      <w:rFonts w:ascii="Times New Roman" w:eastAsia="Times New Roman" w:hAnsi="Times New Roman" w:cs="Times New Roman"/>
      <w:b/>
      <w:bCs/>
      <w:sz w:val="34"/>
      <w:szCs w:val="34"/>
      <w:shd w:val="clear" w:color="auto" w:fill="FFFFFF"/>
    </w:rPr>
  </w:style>
  <w:style w:type="paragraph" w:customStyle="1" w:styleId="Heading10">
    <w:name w:val="Heading #1"/>
    <w:basedOn w:val="Normal"/>
    <w:link w:val="Heading1"/>
    <w:rsid w:val="006F76EB"/>
    <w:pPr>
      <w:shd w:val="clear" w:color="auto" w:fill="FFFFFF"/>
      <w:spacing w:before="120" w:after="960" w:line="0" w:lineRule="atLeast"/>
      <w:jc w:val="center"/>
      <w:outlineLvl w:val="0"/>
    </w:pPr>
    <w:rPr>
      <w:rFonts w:ascii="Times New Roman" w:eastAsia="Times New Roman" w:hAnsi="Times New Roman" w:cs="Times New Roman"/>
      <w:b/>
      <w:bCs/>
      <w:sz w:val="34"/>
      <w:szCs w:val="34"/>
      <w:lang w:val="en-US" w:eastAsia="en-US" w:bidi="ar-SA"/>
    </w:rPr>
  </w:style>
  <w:style w:type="character" w:customStyle="1" w:styleId="Tablecaption">
    <w:name w:val="Table caption_"/>
    <w:basedOn w:val="DefaultParagraphFont"/>
    <w:link w:val="Tablecaption0"/>
    <w:rsid w:val="006F76EB"/>
    <w:rPr>
      <w:rFonts w:ascii="Times New Roman" w:eastAsia="Times New Roman" w:hAnsi="Times New Roman" w:cs="Times New Roman"/>
      <w:b/>
      <w:bCs/>
      <w:sz w:val="28"/>
      <w:szCs w:val="28"/>
      <w:shd w:val="clear" w:color="auto" w:fill="FFFFFF"/>
    </w:rPr>
  </w:style>
  <w:style w:type="paragraph" w:customStyle="1" w:styleId="Tablecaption0">
    <w:name w:val="Table caption"/>
    <w:basedOn w:val="Normal"/>
    <w:link w:val="Tablecaption"/>
    <w:rsid w:val="006F76EB"/>
    <w:pPr>
      <w:shd w:val="clear" w:color="auto" w:fill="FFFFFF"/>
      <w:spacing w:after="0" w:line="0" w:lineRule="atLeast"/>
      <w:jc w:val="center"/>
    </w:pPr>
    <w:rPr>
      <w:rFonts w:ascii="Times New Roman" w:eastAsia="Times New Roman" w:hAnsi="Times New Roman" w:cs="Times New Roman"/>
      <w:b/>
      <w:bCs/>
      <w:sz w:val="28"/>
      <w:szCs w:val="28"/>
      <w:lang w:val="en-US" w:eastAsia="en-US" w:bidi="ar-SA"/>
    </w:rPr>
  </w:style>
  <w:style w:type="character" w:customStyle="1" w:styleId="TablecaptionSpacing4pt">
    <w:name w:val="Table caption + Spacing 4 pt"/>
    <w:basedOn w:val="Tablecaption"/>
    <w:rsid w:val="006F76EB"/>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rsid w:val="006F76EB"/>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6F76E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basedOn w:val="Bodytext2"/>
    <w:rsid w:val="006F76EB"/>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6F76EB"/>
    <w:rPr>
      <w:rFonts w:ascii="Times New Roman" w:eastAsia="Times New Roman" w:hAnsi="Times New Roman" w:cs="Times New Roman"/>
      <w:b/>
      <w:bCs/>
      <w:sz w:val="28"/>
      <w:szCs w:val="28"/>
      <w:shd w:val="clear" w:color="auto" w:fill="FFFFFF"/>
    </w:rPr>
  </w:style>
  <w:style w:type="paragraph" w:customStyle="1" w:styleId="Bodytext40">
    <w:name w:val="Body text (4)"/>
    <w:basedOn w:val="Normal"/>
    <w:link w:val="Bodytext4"/>
    <w:rsid w:val="006F76EB"/>
    <w:pPr>
      <w:shd w:val="clear" w:color="auto" w:fill="FFFFFF"/>
      <w:spacing w:before="480" w:after="0" w:line="346" w:lineRule="exact"/>
      <w:jc w:val="center"/>
    </w:pPr>
    <w:rPr>
      <w:rFonts w:ascii="Times New Roman" w:eastAsia="Times New Roman" w:hAnsi="Times New Roman" w:cs="Times New Roman"/>
      <w:b/>
      <w:bCs/>
      <w:sz w:val="28"/>
      <w:szCs w:val="28"/>
      <w:lang w:val="en-US" w:eastAsia="en-US" w:bidi="ar-SA"/>
    </w:rPr>
  </w:style>
  <w:style w:type="character" w:customStyle="1" w:styleId="Bodytext4Spacing4pt">
    <w:name w:val="Body text (4) + Spacing 4 pt"/>
    <w:basedOn w:val="Bodytext4"/>
    <w:rsid w:val="006F76EB"/>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Heading12">
    <w:name w:val="Heading #1 (2)_"/>
    <w:basedOn w:val="DefaultParagraphFont"/>
    <w:link w:val="Heading120"/>
    <w:rsid w:val="006F76EB"/>
    <w:rPr>
      <w:rFonts w:ascii="Times New Roman" w:eastAsia="Times New Roman" w:hAnsi="Times New Roman" w:cs="Times New Roman"/>
      <w:b/>
      <w:bCs/>
      <w:sz w:val="30"/>
      <w:szCs w:val="30"/>
      <w:shd w:val="clear" w:color="auto" w:fill="FFFFFF"/>
    </w:rPr>
  </w:style>
  <w:style w:type="paragraph" w:customStyle="1" w:styleId="Heading120">
    <w:name w:val="Heading #1 (2)"/>
    <w:basedOn w:val="Normal"/>
    <w:link w:val="Heading12"/>
    <w:rsid w:val="006F76EB"/>
    <w:pPr>
      <w:shd w:val="clear" w:color="auto" w:fill="FFFFFF"/>
      <w:spacing w:before="120" w:after="960" w:line="0" w:lineRule="atLeast"/>
      <w:jc w:val="center"/>
      <w:outlineLvl w:val="0"/>
    </w:pPr>
    <w:rPr>
      <w:rFonts w:ascii="Times New Roman" w:eastAsia="Times New Roman" w:hAnsi="Times New Roman" w:cs="Times New Roman"/>
      <w:b/>
      <w:bCs/>
      <w:sz w:val="30"/>
      <w:szCs w:val="30"/>
      <w:lang w:val="en-US" w:eastAsia="en-US" w:bidi="ar-SA"/>
    </w:rPr>
  </w:style>
  <w:style w:type="character" w:customStyle="1" w:styleId="Bodytext295pt">
    <w:name w:val="Body text (2) + 9.5 pt"/>
    <w:aliases w:val="Bold,Spacing 0 pt,Body text (2) + 11 pt,Body text (4) + 53 pt,Spacing -6 pt,Body text (2) + 14 pt,Italic,Body text (18) + 11.5 pt,Body text (14) + 18 pt,Body text (8) + 11.5 pt,Body text (9) + 11 pt,Not Italic"/>
    <w:basedOn w:val="Bodytext2"/>
    <w:rsid w:val="006F76EB"/>
    <w:rPr>
      <w:rFonts w:ascii="Times New Roman" w:eastAsia="Times New Roman" w:hAnsi="Times New Roman" w:cs="Times New Roman"/>
      <w:b/>
      <w:bCs/>
      <w:i w:val="0"/>
      <w:iCs w:val="0"/>
      <w:smallCaps w:val="0"/>
      <w:strike w:val="0"/>
      <w:color w:val="000000"/>
      <w:spacing w:val="-10"/>
      <w:w w:val="100"/>
      <w:position w:val="0"/>
      <w:sz w:val="19"/>
      <w:szCs w:val="19"/>
      <w:u w:val="none"/>
      <w:lang w:val="hy-AM" w:eastAsia="hy-AM" w:bidi="hy-AM"/>
    </w:rPr>
  </w:style>
  <w:style w:type="table" w:styleId="TableGrid">
    <w:name w:val="Table Grid"/>
    <w:basedOn w:val="TableNormal"/>
    <w:uiPriority w:val="59"/>
    <w:rsid w:val="006F76EB"/>
    <w:pPr>
      <w:widowControl w:val="0"/>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76EB"/>
    <w:pPr>
      <w:ind w:left="720"/>
      <w:contextualSpacing/>
    </w:pPr>
  </w:style>
  <w:style w:type="paragraph" w:styleId="FootnoteText">
    <w:name w:val="footnote text"/>
    <w:basedOn w:val="Normal"/>
    <w:link w:val="FootnoteTextChar"/>
    <w:uiPriority w:val="99"/>
    <w:semiHidden/>
    <w:unhideWhenUsed/>
    <w:rsid w:val="006F76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6EB"/>
    <w:rPr>
      <w:sz w:val="20"/>
      <w:szCs w:val="20"/>
      <w:lang w:val="hy-AM" w:eastAsia="hy-AM" w:bidi="hy-AM"/>
    </w:rPr>
  </w:style>
  <w:style w:type="character" w:styleId="FootnoteReference">
    <w:name w:val="footnote reference"/>
    <w:basedOn w:val="DefaultParagraphFont"/>
    <w:uiPriority w:val="99"/>
    <w:semiHidden/>
    <w:unhideWhenUsed/>
    <w:rsid w:val="006F76EB"/>
    <w:rPr>
      <w:vertAlign w:val="superscript"/>
    </w:rPr>
  </w:style>
  <w:style w:type="paragraph" w:styleId="Header">
    <w:name w:val="header"/>
    <w:basedOn w:val="Normal"/>
    <w:link w:val="HeaderChar"/>
    <w:uiPriority w:val="99"/>
    <w:unhideWhenUsed/>
    <w:rsid w:val="006F7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EB"/>
    <w:rPr>
      <w:lang w:val="hy-AM" w:eastAsia="hy-AM" w:bidi="hy-AM"/>
    </w:rPr>
  </w:style>
  <w:style w:type="paragraph" w:styleId="Footer">
    <w:name w:val="footer"/>
    <w:basedOn w:val="Normal"/>
    <w:link w:val="FooterChar"/>
    <w:uiPriority w:val="99"/>
    <w:unhideWhenUsed/>
    <w:rsid w:val="006F7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EB"/>
    <w:rPr>
      <w:lang w:val="hy-AM" w:eastAsia="hy-AM" w:bidi="hy-AM"/>
    </w:rPr>
  </w:style>
  <w:style w:type="character" w:customStyle="1" w:styleId="Picturecaption">
    <w:name w:val="Picture caption_"/>
    <w:basedOn w:val="DefaultParagraphFont"/>
    <w:link w:val="Picturecaption0"/>
    <w:rsid w:val="006F76EB"/>
    <w:rPr>
      <w:rFonts w:ascii="Times New Roman" w:eastAsia="Times New Roman" w:hAnsi="Times New Roman" w:cs="Times New Roman"/>
      <w:sz w:val="28"/>
      <w:szCs w:val="28"/>
      <w:shd w:val="clear" w:color="auto" w:fill="FFFFFF"/>
    </w:rPr>
  </w:style>
  <w:style w:type="paragraph" w:customStyle="1" w:styleId="Picturecaption0">
    <w:name w:val="Picture caption"/>
    <w:basedOn w:val="Normal"/>
    <w:link w:val="Picturecaption"/>
    <w:rsid w:val="006F76EB"/>
    <w:pPr>
      <w:shd w:val="clear" w:color="auto" w:fill="FFFFFF"/>
      <w:spacing w:after="0" w:line="0" w:lineRule="atLeast"/>
    </w:pPr>
    <w:rPr>
      <w:rFonts w:ascii="Times New Roman" w:eastAsia="Times New Roman" w:hAnsi="Times New Roman" w:cs="Times New Roman"/>
      <w:sz w:val="28"/>
      <w:szCs w:val="28"/>
      <w:lang w:val="en-US" w:eastAsia="en-US" w:bidi="ar-SA"/>
    </w:rPr>
  </w:style>
  <w:style w:type="paragraph" w:styleId="BalloonText">
    <w:name w:val="Balloon Text"/>
    <w:basedOn w:val="Normal"/>
    <w:link w:val="BalloonTextChar"/>
    <w:uiPriority w:val="99"/>
    <w:semiHidden/>
    <w:unhideWhenUsed/>
    <w:rsid w:val="006F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6EB"/>
    <w:rPr>
      <w:rFonts w:ascii="Tahoma" w:hAnsi="Tahoma" w:cs="Tahoma"/>
      <w:sz w:val="16"/>
      <w:szCs w:val="16"/>
      <w:lang w:val="hy-AM" w:eastAsia="hy-AM" w:bidi="hy-AM"/>
    </w:rPr>
  </w:style>
  <w:style w:type="character" w:styleId="CommentReference">
    <w:name w:val="annotation reference"/>
    <w:basedOn w:val="DefaultParagraphFont"/>
    <w:uiPriority w:val="99"/>
    <w:semiHidden/>
    <w:unhideWhenUsed/>
    <w:rsid w:val="006F76EB"/>
    <w:rPr>
      <w:sz w:val="16"/>
      <w:szCs w:val="16"/>
    </w:rPr>
  </w:style>
  <w:style w:type="paragraph" w:styleId="CommentText">
    <w:name w:val="annotation text"/>
    <w:basedOn w:val="Normal"/>
    <w:link w:val="CommentTextChar"/>
    <w:uiPriority w:val="99"/>
    <w:semiHidden/>
    <w:unhideWhenUsed/>
    <w:rsid w:val="006F76EB"/>
    <w:pPr>
      <w:spacing w:line="240" w:lineRule="auto"/>
    </w:pPr>
    <w:rPr>
      <w:sz w:val="20"/>
      <w:szCs w:val="20"/>
    </w:rPr>
  </w:style>
  <w:style w:type="character" w:customStyle="1" w:styleId="CommentTextChar">
    <w:name w:val="Comment Text Char"/>
    <w:basedOn w:val="DefaultParagraphFont"/>
    <w:link w:val="CommentText"/>
    <w:uiPriority w:val="99"/>
    <w:semiHidden/>
    <w:rsid w:val="006F76EB"/>
    <w:rPr>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6F76EB"/>
    <w:rPr>
      <w:b/>
      <w:bCs/>
    </w:rPr>
  </w:style>
  <w:style w:type="character" w:customStyle="1" w:styleId="CommentSubjectChar">
    <w:name w:val="Comment Subject Char"/>
    <w:basedOn w:val="CommentTextChar"/>
    <w:link w:val="CommentSubject"/>
    <w:uiPriority w:val="99"/>
    <w:semiHidden/>
    <w:rsid w:val="006F76EB"/>
    <w:rPr>
      <w:b/>
      <w:bCs/>
      <w:sz w:val="20"/>
      <w:szCs w:val="20"/>
      <w:lang w:val="hy-AM" w:eastAsia="hy-AM" w:bidi="hy-AM"/>
    </w:rPr>
  </w:style>
  <w:style w:type="character" w:customStyle="1" w:styleId="Footnote">
    <w:name w:val="Footnote_"/>
    <w:basedOn w:val="DefaultParagraphFont"/>
    <w:link w:val="Footnote0"/>
    <w:rsid w:val="006F76EB"/>
    <w:rPr>
      <w:rFonts w:ascii="Times New Roman" w:eastAsia="Times New Roman" w:hAnsi="Times New Roman" w:cs="Times New Roman"/>
      <w:sz w:val="20"/>
      <w:szCs w:val="20"/>
      <w:shd w:val="clear" w:color="auto" w:fill="FFFFFF"/>
    </w:rPr>
  </w:style>
  <w:style w:type="paragraph" w:customStyle="1" w:styleId="Footnote0">
    <w:name w:val="Footnote"/>
    <w:basedOn w:val="Normal"/>
    <w:link w:val="Footnote"/>
    <w:rsid w:val="006F76EB"/>
    <w:pPr>
      <w:shd w:val="clear" w:color="auto" w:fill="FFFFFF"/>
      <w:spacing w:after="0" w:line="226" w:lineRule="exact"/>
      <w:jc w:val="both"/>
    </w:pPr>
    <w:rPr>
      <w:rFonts w:ascii="Times New Roman" w:eastAsia="Times New Roman" w:hAnsi="Times New Roman" w:cs="Times New Roman"/>
      <w:sz w:val="20"/>
      <w:szCs w:val="20"/>
      <w:lang w:val="en-US" w:eastAsia="en-US" w:bidi="ar-SA"/>
    </w:rPr>
  </w:style>
  <w:style w:type="character" w:customStyle="1" w:styleId="Headerorfooter">
    <w:name w:val="Header or footer_"/>
    <w:basedOn w:val="DefaultParagraphFont"/>
    <w:link w:val="Headerorfooter0"/>
    <w:rsid w:val="006F76EB"/>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6F76EB"/>
    <w:pPr>
      <w:shd w:val="clear" w:color="auto" w:fill="FFFFFF"/>
      <w:spacing w:after="0" w:line="0" w:lineRule="atLeast"/>
    </w:pPr>
    <w:rPr>
      <w:rFonts w:ascii="Times New Roman" w:eastAsia="Times New Roman" w:hAnsi="Times New Roman" w:cs="Times New Roman"/>
      <w:sz w:val="28"/>
      <w:szCs w:val="28"/>
      <w:lang w:val="en-US" w:eastAsia="en-US" w:bidi="ar-SA"/>
    </w:rPr>
  </w:style>
  <w:style w:type="character" w:customStyle="1" w:styleId="Bodytext8">
    <w:name w:val="Body text (8)_"/>
    <w:basedOn w:val="DefaultParagraphFont"/>
    <w:link w:val="Bodytext80"/>
    <w:rsid w:val="006F76EB"/>
    <w:rPr>
      <w:rFonts w:ascii="Times New Roman" w:eastAsia="Times New Roman" w:hAnsi="Times New Roman" w:cs="Times New Roman"/>
      <w:b/>
      <w:bCs/>
      <w:shd w:val="clear" w:color="auto" w:fill="FFFFFF"/>
    </w:rPr>
  </w:style>
  <w:style w:type="paragraph" w:customStyle="1" w:styleId="Bodytext80">
    <w:name w:val="Body text (8)"/>
    <w:basedOn w:val="Normal"/>
    <w:link w:val="Bodytext8"/>
    <w:rsid w:val="006F76EB"/>
    <w:pPr>
      <w:shd w:val="clear" w:color="auto" w:fill="FFFFFF"/>
      <w:spacing w:before="240" w:after="0" w:line="274" w:lineRule="exact"/>
      <w:jc w:val="center"/>
    </w:pPr>
    <w:rPr>
      <w:rFonts w:ascii="Times New Roman" w:eastAsia="Times New Roman" w:hAnsi="Times New Roman" w:cs="Times New Roman"/>
      <w:b/>
      <w:bCs/>
      <w:lang w:val="en-US" w:eastAsia="en-US" w:bidi="ar-SA"/>
    </w:rPr>
  </w:style>
  <w:style w:type="character" w:customStyle="1" w:styleId="Bodytext9">
    <w:name w:val="Body text (9)_"/>
    <w:basedOn w:val="DefaultParagraphFont"/>
    <w:link w:val="Bodytext90"/>
    <w:rsid w:val="006F76EB"/>
    <w:rPr>
      <w:rFonts w:ascii="Times New Roman" w:eastAsia="Times New Roman" w:hAnsi="Times New Roman" w:cs="Times New Roman"/>
      <w:b/>
      <w:bCs/>
      <w:i/>
      <w:iCs/>
      <w:sz w:val="23"/>
      <w:szCs w:val="23"/>
      <w:shd w:val="clear" w:color="auto" w:fill="FFFFFF"/>
    </w:rPr>
  </w:style>
  <w:style w:type="paragraph" w:customStyle="1" w:styleId="Bodytext90">
    <w:name w:val="Body text (9)"/>
    <w:basedOn w:val="Normal"/>
    <w:link w:val="Bodytext9"/>
    <w:rsid w:val="006F76EB"/>
    <w:pPr>
      <w:shd w:val="clear" w:color="auto" w:fill="FFFFFF"/>
      <w:spacing w:after="0" w:line="274" w:lineRule="exact"/>
      <w:jc w:val="both"/>
    </w:pPr>
    <w:rPr>
      <w:rFonts w:ascii="Times New Roman" w:eastAsia="Times New Roman" w:hAnsi="Times New Roman" w:cs="Times New Roman"/>
      <w:b/>
      <w:bCs/>
      <w:i/>
      <w:iCs/>
      <w:sz w:val="23"/>
      <w:szCs w:val="23"/>
      <w:lang w:val="en-US" w:eastAsia="en-US" w:bidi="ar-SA"/>
    </w:rPr>
  </w:style>
  <w:style w:type="character" w:customStyle="1" w:styleId="Bodytext12">
    <w:name w:val="Body text (12)_"/>
    <w:basedOn w:val="DefaultParagraphFont"/>
    <w:link w:val="Bodytext120"/>
    <w:rsid w:val="006F76EB"/>
    <w:rPr>
      <w:rFonts w:ascii="Times New Roman" w:eastAsia="Times New Roman" w:hAnsi="Times New Roman" w:cs="Times New Roman"/>
      <w:sz w:val="28"/>
      <w:szCs w:val="28"/>
      <w:shd w:val="clear" w:color="auto" w:fill="FFFFFF"/>
    </w:rPr>
  </w:style>
  <w:style w:type="paragraph" w:customStyle="1" w:styleId="Bodytext120">
    <w:name w:val="Body text (12)"/>
    <w:basedOn w:val="Normal"/>
    <w:link w:val="Bodytext12"/>
    <w:rsid w:val="006F76EB"/>
    <w:pPr>
      <w:shd w:val="clear" w:color="auto" w:fill="FFFFFF"/>
      <w:spacing w:after="0" w:line="0" w:lineRule="atLeast"/>
    </w:pPr>
    <w:rPr>
      <w:rFonts w:ascii="Times New Roman" w:eastAsia="Times New Roman" w:hAnsi="Times New Roman" w:cs="Times New Roman"/>
      <w:sz w:val="28"/>
      <w:szCs w:val="28"/>
      <w:lang w:val="en-US" w:eastAsia="en-US" w:bidi="ar-SA"/>
    </w:rPr>
  </w:style>
  <w:style w:type="character" w:customStyle="1" w:styleId="Bodytext13">
    <w:name w:val="Body text (13)_"/>
    <w:basedOn w:val="DefaultParagraphFont"/>
    <w:link w:val="Bodytext130"/>
    <w:rsid w:val="006F76EB"/>
    <w:rPr>
      <w:rFonts w:ascii="Times New Roman" w:eastAsia="Times New Roman" w:hAnsi="Times New Roman" w:cs="Times New Roman"/>
      <w:b/>
      <w:bCs/>
      <w:sz w:val="30"/>
      <w:szCs w:val="30"/>
      <w:shd w:val="clear" w:color="auto" w:fill="FFFFFF"/>
    </w:rPr>
  </w:style>
  <w:style w:type="paragraph" w:customStyle="1" w:styleId="Bodytext130">
    <w:name w:val="Body text (13)"/>
    <w:basedOn w:val="Normal"/>
    <w:link w:val="Bodytext13"/>
    <w:rsid w:val="006F76EB"/>
    <w:pPr>
      <w:shd w:val="clear" w:color="auto" w:fill="FFFFFF"/>
      <w:spacing w:after="1140" w:line="360" w:lineRule="exact"/>
      <w:jc w:val="center"/>
    </w:pPr>
    <w:rPr>
      <w:rFonts w:ascii="Times New Roman" w:eastAsia="Times New Roman" w:hAnsi="Times New Roman" w:cs="Times New Roman"/>
      <w:b/>
      <w:bCs/>
      <w:sz w:val="30"/>
      <w:szCs w:val="30"/>
      <w:lang w:val="en-US" w:eastAsia="en-US" w:bidi="ar-SA"/>
    </w:rPr>
  </w:style>
  <w:style w:type="character" w:customStyle="1" w:styleId="Tablecaption2">
    <w:name w:val="Table caption (2)_"/>
    <w:basedOn w:val="DefaultParagraphFont"/>
    <w:link w:val="Tablecaption20"/>
    <w:rsid w:val="006F76EB"/>
    <w:rPr>
      <w:rFonts w:ascii="Times New Roman" w:eastAsia="Times New Roman" w:hAnsi="Times New Roman" w:cs="Times New Roman"/>
      <w:b/>
      <w:bCs/>
      <w:shd w:val="clear" w:color="auto" w:fill="FFFFFF"/>
    </w:rPr>
  </w:style>
  <w:style w:type="paragraph" w:customStyle="1" w:styleId="Tablecaption20">
    <w:name w:val="Table caption (2)"/>
    <w:basedOn w:val="Normal"/>
    <w:link w:val="Tablecaption2"/>
    <w:rsid w:val="006F76EB"/>
    <w:pPr>
      <w:shd w:val="clear" w:color="auto" w:fill="FFFFFF"/>
      <w:spacing w:after="0" w:line="0" w:lineRule="atLeast"/>
    </w:pPr>
    <w:rPr>
      <w:rFonts w:ascii="Times New Roman" w:eastAsia="Times New Roman" w:hAnsi="Times New Roman" w:cs="Times New Roman"/>
      <w:b/>
      <w:bCs/>
      <w:lang w:val="en-US" w:eastAsia="en-US" w:bidi="ar-SA"/>
    </w:rPr>
  </w:style>
  <w:style w:type="character" w:customStyle="1" w:styleId="Tablecaption3">
    <w:name w:val="Table caption (3)_"/>
    <w:basedOn w:val="DefaultParagraphFont"/>
    <w:link w:val="Tablecaption30"/>
    <w:rsid w:val="006F76EB"/>
    <w:rPr>
      <w:rFonts w:ascii="Times New Roman" w:eastAsia="Times New Roman" w:hAnsi="Times New Roman" w:cs="Times New Roman"/>
      <w:sz w:val="30"/>
      <w:szCs w:val="30"/>
      <w:shd w:val="clear" w:color="auto" w:fill="FFFFFF"/>
    </w:rPr>
  </w:style>
  <w:style w:type="paragraph" w:customStyle="1" w:styleId="Tablecaption30">
    <w:name w:val="Table caption (3)"/>
    <w:basedOn w:val="Normal"/>
    <w:link w:val="Tablecaption3"/>
    <w:rsid w:val="006F76EB"/>
    <w:pPr>
      <w:shd w:val="clear" w:color="auto" w:fill="FFFFFF"/>
      <w:spacing w:after="0" w:line="0" w:lineRule="atLeast"/>
    </w:pPr>
    <w:rPr>
      <w:rFonts w:ascii="Times New Roman" w:eastAsia="Times New Roman" w:hAnsi="Times New Roman" w:cs="Times New Roman"/>
      <w:sz w:val="30"/>
      <w:szCs w:val="30"/>
      <w:lang w:val="en-US" w:eastAsia="en-US" w:bidi="ar-SA"/>
    </w:rPr>
  </w:style>
  <w:style w:type="character" w:customStyle="1" w:styleId="Bodytext18">
    <w:name w:val="Body text (18)_"/>
    <w:basedOn w:val="DefaultParagraphFont"/>
    <w:link w:val="Bodytext180"/>
    <w:rsid w:val="006F76EB"/>
    <w:rPr>
      <w:rFonts w:ascii="Times New Roman" w:eastAsia="Times New Roman" w:hAnsi="Times New Roman" w:cs="Times New Roman"/>
      <w:b/>
      <w:bCs/>
      <w:sz w:val="26"/>
      <w:szCs w:val="26"/>
      <w:shd w:val="clear" w:color="auto" w:fill="FFFFFF"/>
    </w:rPr>
  </w:style>
  <w:style w:type="paragraph" w:customStyle="1" w:styleId="Bodytext180">
    <w:name w:val="Body text (18)"/>
    <w:basedOn w:val="Normal"/>
    <w:link w:val="Bodytext18"/>
    <w:rsid w:val="006F76EB"/>
    <w:pPr>
      <w:shd w:val="clear" w:color="auto" w:fill="FFFFFF"/>
      <w:spacing w:before="420" w:after="0" w:line="322" w:lineRule="exact"/>
      <w:ind w:firstLine="720"/>
    </w:pPr>
    <w:rPr>
      <w:rFonts w:ascii="Times New Roman" w:eastAsia="Times New Roman" w:hAnsi="Times New Roman" w:cs="Times New Roman"/>
      <w:b/>
      <w:bCs/>
      <w:sz w:val="26"/>
      <w:szCs w:val="26"/>
      <w:lang w:val="en-US" w:eastAsia="en-US" w:bidi="ar-SA"/>
    </w:rPr>
  </w:style>
  <w:style w:type="character" w:customStyle="1" w:styleId="Bodytext1811pt">
    <w:name w:val="Body text (18) + 11 pt"/>
    <w:aliases w:val="Spacing 1 pt,Small Caps"/>
    <w:basedOn w:val="Bodytext18"/>
    <w:rsid w:val="006F76EB"/>
    <w:rPr>
      <w:rFonts w:ascii="Times New Roman" w:eastAsia="Times New Roman" w:hAnsi="Times New Roman" w:cs="Times New Roman"/>
      <w:b/>
      <w:bCs/>
      <w:color w:val="000000"/>
      <w:spacing w:val="0"/>
      <w:w w:val="100"/>
      <w:position w:val="0"/>
      <w:sz w:val="22"/>
      <w:szCs w:val="22"/>
      <w:shd w:val="clear" w:color="auto" w:fill="FFFFFF"/>
      <w:lang w:val="hy-AM" w:eastAsia="hy-AM" w:bidi="hy-AM"/>
    </w:rPr>
  </w:style>
  <w:style w:type="character" w:customStyle="1" w:styleId="Bodytext7">
    <w:name w:val="Body text (7)_"/>
    <w:basedOn w:val="DefaultParagraphFont"/>
    <w:link w:val="Bodytext70"/>
    <w:rsid w:val="006F76EB"/>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6F76EB"/>
    <w:pPr>
      <w:shd w:val="clear" w:color="auto" w:fill="FFFFFF"/>
      <w:spacing w:before="480" w:after="0" w:line="514" w:lineRule="exact"/>
      <w:jc w:val="both"/>
    </w:pPr>
    <w:rPr>
      <w:rFonts w:ascii="Times New Roman" w:eastAsia="Times New Roman" w:hAnsi="Times New Roman" w:cs="Times New Roman"/>
      <w:b/>
      <w:bCs/>
      <w:i/>
      <w:iCs/>
      <w:sz w:val="28"/>
      <w:szCs w:val="28"/>
      <w:lang w:val="en-US" w:eastAsia="en-US" w:bidi="ar-SA"/>
    </w:rPr>
  </w:style>
  <w:style w:type="character" w:customStyle="1" w:styleId="Tablecaption4">
    <w:name w:val="Table caption (4)_"/>
    <w:basedOn w:val="DefaultParagraphFont"/>
    <w:link w:val="Tablecaption40"/>
    <w:rsid w:val="006F76EB"/>
    <w:rPr>
      <w:rFonts w:ascii="Times New Roman" w:eastAsia="Times New Roman" w:hAnsi="Times New Roman" w:cs="Times New Roman"/>
      <w:b/>
      <w:bCs/>
      <w:i/>
      <w:iCs/>
      <w:sz w:val="28"/>
      <w:szCs w:val="28"/>
      <w:shd w:val="clear" w:color="auto" w:fill="FFFFFF"/>
    </w:rPr>
  </w:style>
  <w:style w:type="paragraph" w:customStyle="1" w:styleId="Tablecaption40">
    <w:name w:val="Table caption (4)"/>
    <w:basedOn w:val="Normal"/>
    <w:link w:val="Tablecaption4"/>
    <w:rsid w:val="006F76EB"/>
    <w:pPr>
      <w:shd w:val="clear" w:color="auto" w:fill="FFFFFF"/>
      <w:spacing w:after="0" w:line="350" w:lineRule="exact"/>
      <w:ind w:firstLine="720"/>
    </w:pPr>
    <w:rPr>
      <w:rFonts w:ascii="Times New Roman" w:eastAsia="Times New Roman" w:hAnsi="Times New Roman" w:cs="Times New Roman"/>
      <w:b/>
      <w:bCs/>
      <w:i/>
      <w:iCs/>
      <w:sz w:val="28"/>
      <w:szCs w:val="28"/>
      <w:lang w:val="en-US" w:eastAsia="en-US" w:bidi="ar-SA"/>
    </w:rPr>
  </w:style>
  <w:style w:type="character" w:customStyle="1" w:styleId="Tableofcontents12">
    <w:name w:val="Table of contents (12)_"/>
    <w:basedOn w:val="DefaultParagraphFont"/>
    <w:link w:val="Tableofcontents120"/>
    <w:rsid w:val="006F76EB"/>
    <w:rPr>
      <w:rFonts w:ascii="Times New Roman" w:eastAsia="Times New Roman" w:hAnsi="Times New Roman" w:cs="Times New Roman"/>
      <w:b/>
      <w:bCs/>
      <w:shd w:val="clear" w:color="auto" w:fill="FFFFFF"/>
    </w:rPr>
  </w:style>
  <w:style w:type="paragraph" w:customStyle="1" w:styleId="Tableofcontents120">
    <w:name w:val="Table of contents (12)"/>
    <w:basedOn w:val="Normal"/>
    <w:link w:val="Tableofcontents12"/>
    <w:rsid w:val="006F76EB"/>
    <w:pPr>
      <w:shd w:val="clear" w:color="auto" w:fill="FFFFFF"/>
      <w:spacing w:after="180" w:line="0" w:lineRule="atLeast"/>
      <w:ind w:hanging="360"/>
      <w:jc w:val="both"/>
    </w:pPr>
    <w:rPr>
      <w:rFonts w:ascii="Times New Roman" w:eastAsia="Times New Roman" w:hAnsi="Times New Roman" w:cs="Times New Roman"/>
      <w:b/>
      <w:bCs/>
      <w:lang w:val="en-US" w:eastAsia="en-US" w:bidi="ar-SA"/>
    </w:rPr>
  </w:style>
  <w:style w:type="character" w:customStyle="1" w:styleId="Bodytext18BookmanOldStyle">
    <w:name w:val="Body text (18) + Bookman Old Style"/>
    <w:aliases w:val="7.5 pt,Body text (18) + Georgia"/>
    <w:basedOn w:val="Bodytext18"/>
    <w:rsid w:val="006F76EB"/>
    <w:rPr>
      <w:rFonts w:ascii="Bookman Old Style" w:eastAsia="Bookman Old Style" w:hAnsi="Bookman Old Style" w:cs="Bookman Old Style"/>
      <w:b/>
      <w:bCs/>
      <w:color w:val="000000"/>
      <w:spacing w:val="0"/>
      <w:w w:val="100"/>
      <w:position w:val="0"/>
      <w:sz w:val="15"/>
      <w:szCs w:val="15"/>
      <w:shd w:val="clear" w:color="auto" w:fill="FFFFFF"/>
      <w:lang w:val="hy-AM" w:eastAsia="hy-AM" w:bidi="hy-AM"/>
    </w:rPr>
  </w:style>
  <w:style w:type="character" w:customStyle="1" w:styleId="Bodytext7NotItalic">
    <w:name w:val="Body text (7) + Not Italic"/>
    <w:basedOn w:val="Bodytext7"/>
    <w:rsid w:val="006F76EB"/>
    <w:rPr>
      <w:rFonts w:ascii="Times New Roman" w:eastAsia="Times New Roman" w:hAnsi="Times New Roman" w:cs="Times New Roman"/>
      <w:b/>
      <w:bCs/>
      <w:i/>
      <w:iCs/>
      <w:sz w:val="28"/>
      <w:szCs w:val="28"/>
      <w:shd w:val="clear" w:color="auto" w:fill="FFFFFF"/>
    </w:rPr>
  </w:style>
  <w:style w:type="character" w:customStyle="1" w:styleId="Heading13">
    <w:name w:val="Heading #1 (3)_"/>
    <w:basedOn w:val="DefaultParagraphFont"/>
    <w:link w:val="Heading130"/>
    <w:rsid w:val="006F76EB"/>
    <w:rPr>
      <w:rFonts w:ascii="Times New Roman" w:eastAsia="Times New Roman" w:hAnsi="Times New Roman" w:cs="Times New Roman"/>
      <w:sz w:val="30"/>
      <w:szCs w:val="30"/>
      <w:shd w:val="clear" w:color="auto" w:fill="FFFFFF"/>
    </w:rPr>
  </w:style>
  <w:style w:type="paragraph" w:customStyle="1" w:styleId="Heading130">
    <w:name w:val="Heading #1 (3)"/>
    <w:basedOn w:val="Normal"/>
    <w:link w:val="Heading13"/>
    <w:rsid w:val="006F76EB"/>
    <w:pPr>
      <w:shd w:val="clear" w:color="auto" w:fill="FFFFFF"/>
      <w:spacing w:before="1380" w:after="300" w:line="0" w:lineRule="atLeast"/>
      <w:jc w:val="center"/>
      <w:outlineLvl w:val="0"/>
    </w:pPr>
    <w:rPr>
      <w:rFonts w:ascii="Times New Roman" w:eastAsia="Times New Roman" w:hAnsi="Times New Roman" w:cs="Times New Roman"/>
      <w:sz w:val="30"/>
      <w:szCs w:val="30"/>
      <w:lang w:val="en-US" w:eastAsia="en-US" w:bidi="ar-SA"/>
    </w:rPr>
  </w:style>
  <w:style w:type="character" w:customStyle="1" w:styleId="Heading13Bold">
    <w:name w:val="Heading #1 (3) + Bold"/>
    <w:basedOn w:val="Heading13"/>
    <w:rsid w:val="006F76EB"/>
    <w:rPr>
      <w:rFonts w:ascii="Times New Roman" w:eastAsia="Times New Roman" w:hAnsi="Times New Roman" w:cs="Times New Roman"/>
      <w:sz w:val="30"/>
      <w:szCs w:val="30"/>
      <w:shd w:val="clear" w:color="auto" w:fill="FFFFFF"/>
    </w:rPr>
  </w:style>
  <w:style w:type="character" w:customStyle="1" w:styleId="Bodytext14">
    <w:name w:val="Body text (14)_"/>
    <w:basedOn w:val="DefaultParagraphFont"/>
    <w:link w:val="Bodytext140"/>
    <w:rsid w:val="006F76EB"/>
    <w:rPr>
      <w:rFonts w:ascii="Times New Roman" w:eastAsia="Times New Roman" w:hAnsi="Times New Roman" w:cs="Times New Roman"/>
      <w:i/>
      <w:iCs/>
      <w:sz w:val="28"/>
      <w:szCs w:val="28"/>
      <w:shd w:val="clear" w:color="auto" w:fill="FFFFFF"/>
    </w:rPr>
  </w:style>
  <w:style w:type="paragraph" w:customStyle="1" w:styleId="Bodytext140">
    <w:name w:val="Body text (14)"/>
    <w:basedOn w:val="Normal"/>
    <w:link w:val="Bodytext14"/>
    <w:rsid w:val="006F76EB"/>
    <w:pPr>
      <w:shd w:val="clear" w:color="auto" w:fill="FFFFFF"/>
      <w:spacing w:before="300" w:after="60" w:line="0" w:lineRule="atLeast"/>
    </w:pPr>
    <w:rPr>
      <w:rFonts w:ascii="Times New Roman" w:eastAsia="Times New Roman" w:hAnsi="Times New Roman" w:cs="Times New Roman"/>
      <w:i/>
      <w:iCs/>
      <w:sz w:val="28"/>
      <w:szCs w:val="28"/>
      <w:lang w:val="en-US" w:eastAsia="en-US" w:bidi="ar-SA"/>
    </w:rPr>
  </w:style>
  <w:style w:type="character" w:customStyle="1" w:styleId="Bodytext14NotItalic">
    <w:name w:val="Body text (14) + Not Italic"/>
    <w:basedOn w:val="Bodytext14"/>
    <w:rsid w:val="006F76EB"/>
    <w:rPr>
      <w:rFonts w:ascii="Times New Roman" w:eastAsia="Times New Roman" w:hAnsi="Times New Roman" w:cs="Times New Roman"/>
      <w:i/>
      <w:iCs/>
      <w:sz w:val="28"/>
      <w:szCs w:val="28"/>
      <w:shd w:val="clear" w:color="auto" w:fill="FFFFFF"/>
    </w:rPr>
  </w:style>
  <w:style w:type="character" w:customStyle="1" w:styleId="Bodytext15">
    <w:name w:val="Body text (15)_"/>
    <w:basedOn w:val="DefaultParagraphFont"/>
    <w:link w:val="Bodytext150"/>
    <w:rsid w:val="006F76EB"/>
    <w:rPr>
      <w:rFonts w:ascii="Segoe UI" w:eastAsia="Segoe UI" w:hAnsi="Segoe UI" w:cs="Segoe UI"/>
      <w:b/>
      <w:bCs/>
      <w:spacing w:val="60"/>
      <w:sz w:val="13"/>
      <w:szCs w:val="13"/>
      <w:shd w:val="clear" w:color="auto" w:fill="FFFFFF"/>
    </w:rPr>
  </w:style>
  <w:style w:type="paragraph" w:customStyle="1" w:styleId="Bodytext150">
    <w:name w:val="Body text (15)"/>
    <w:basedOn w:val="Normal"/>
    <w:link w:val="Bodytext15"/>
    <w:rsid w:val="006F76EB"/>
    <w:pPr>
      <w:shd w:val="clear" w:color="auto" w:fill="FFFFFF"/>
      <w:spacing w:after="0" w:line="346" w:lineRule="exact"/>
    </w:pPr>
    <w:rPr>
      <w:rFonts w:ascii="Segoe UI" w:eastAsia="Segoe UI" w:hAnsi="Segoe UI" w:cs="Segoe UI"/>
      <w:b/>
      <w:bCs/>
      <w:spacing w:val="60"/>
      <w:sz w:val="13"/>
      <w:szCs w:val="13"/>
      <w:lang w:val="en-US" w:eastAsia="en-US" w:bidi="ar-SA"/>
    </w:rPr>
  </w:style>
  <w:style w:type="character" w:customStyle="1" w:styleId="Bodytext16">
    <w:name w:val="Body text (16)_"/>
    <w:basedOn w:val="DefaultParagraphFont"/>
    <w:link w:val="Bodytext160"/>
    <w:rsid w:val="006F76EB"/>
    <w:rPr>
      <w:rFonts w:ascii="CordiaUPC" w:eastAsia="CordiaUPC" w:hAnsi="CordiaUPC" w:cs="CordiaUPC"/>
      <w:b/>
      <w:bCs/>
      <w:spacing w:val="40"/>
      <w:sz w:val="26"/>
      <w:szCs w:val="26"/>
      <w:shd w:val="clear" w:color="auto" w:fill="FFFFFF"/>
    </w:rPr>
  </w:style>
  <w:style w:type="paragraph" w:customStyle="1" w:styleId="Bodytext160">
    <w:name w:val="Body text (16)"/>
    <w:basedOn w:val="Normal"/>
    <w:link w:val="Bodytext16"/>
    <w:rsid w:val="006F76EB"/>
    <w:pPr>
      <w:shd w:val="clear" w:color="auto" w:fill="FFFFFF"/>
      <w:spacing w:after="660" w:line="346" w:lineRule="exact"/>
    </w:pPr>
    <w:rPr>
      <w:rFonts w:ascii="CordiaUPC" w:eastAsia="CordiaUPC" w:hAnsi="CordiaUPC" w:cs="CordiaUPC"/>
      <w:b/>
      <w:bCs/>
      <w:spacing w:val="40"/>
      <w:sz w:val="26"/>
      <w:szCs w:val="26"/>
      <w:lang w:val="en-US" w:eastAsia="en-US" w:bidi="ar-SA"/>
    </w:rPr>
  </w:style>
  <w:style w:type="character" w:customStyle="1" w:styleId="Heading13Spacing2pt">
    <w:name w:val="Heading #1 (3) + Spacing 2 pt"/>
    <w:basedOn w:val="Heading13"/>
    <w:rsid w:val="006F76EB"/>
    <w:rPr>
      <w:rFonts w:ascii="Times New Roman" w:eastAsia="Times New Roman" w:hAnsi="Times New Roman" w:cs="Times New Roman"/>
      <w:sz w:val="30"/>
      <w:szCs w:val="30"/>
      <w:shd w:val="clear" w:color="auto" w:fill="FFFFFF"/>
    </w:rPr>
  </w:style>
  <w:style w:type="character" w:customStyle="1" w:styleId="Bodytext7Spacing1pt">
    <w:name w:val="Body text (7) + Spacing 1 pt"/>
    <w:basedOn w:val="Bodytext7"/>
    <w:rsid w:val="006F76EB"/>
    <w:rPr>
      <w:rFonts w:ascii="Times New Roman" w:eastAsia="Times New Roman" w:hAnsi="Times New Roman" w:cs="Times New Roman"/>
      <w:b/>
      <w:bCs/>
      <w:i/>
      <w:iCs/>
      <w:sz w:val="28"/>
      <w:szCs w:val="28"/>
      <w:shd w:val="clear" w:color="auto" w:fill="FFFFFF"/>
    </w:rPr>
  </w:style>
  <w:style w:type="character" w:customStyle="1" w:styleId="Heading13Spacing1pt">
    <w:name w:val="Heading #1 (3) + Spacing 1 pt"/>
    <w:basedOn w:val="Heading13"/>
    <w:rsid w:val="006F76EB"/>
    <w:rPr>
      <w:rFonts w:ascii="Times New Roman" w:eastAsia="Times New Roman" w:hAnsi="Times New Roman" w:cs="Times New Roman"/>
      <w:sz w:val="30"/>
      <w:szCs w:val="30"/>
      <w:shd w:val="clear" w:color="auto" w:fill="FFFFFF"/>
    </w:rPr>
  </w:style>
  <w:style w:type="character" w:customStyle="1" w:styleId="Tablecaption5">
    <w:name w:val="Table caption (5)_"/>
    <w:basedOn w:val="DefaultParagraphFont"/>
    <w:link w:val="Tablecaption50"/>
    <w:rsid w:val="006F76EB"/>
    <w:rPr>
      <w:rFonts w:ascii="Times New Roman" w:eastAsia="Times New Roman" w:hAnsi="Times New Roman" w:cs="Times New Roman"/>
      <w:sz w:val="20"/>
      <w:szCs w:val="20"/>
      <w:shd w:val="clear" w:color="auto" w:fill="FFFFFF"/>
    </w:rPr>
  </w:style>
  <w:style w:type="paragraph" w:customStyle="1" w:styleId="Tablecaption50">
    <w:name w:val="Table caption (5)"/>
    <w:basedOn w:val="Normal"/>
    <w:link w:val="Tablecaption5"/>
    <w:rsid w:val="006F76EB"/>
    <w:pPr>
      <w:shd w:val="clear" w:color="auto" w:fill="FFFFFF"/>
      <w:spacing w:after="0" w:line="230" w:lineRule="exact"/>
      <w:jc w:val="both"/>
    </w:pPr>
    <w:rPr>
      <w:rFonts w:ascii="Times New Roman" w:eastAsia="Times New Roman" w:hAnsi="Times New Roman" w:cs="Times New Roman"/>
      <w:sz w:val="20"/>
      <w:szCs w:val="20"/>
      <w:lang w:val="en-US" w:eastAsia="en-US" w:bidi="ar-SA"/>
    </w:rPr>
  </w:style>
  <w:style w:type="character" w:customStyle="1" w:styleId="Bodytext17">
    <w:name w:val="Body text (17)_"/>
    <w:basedOn w:val="DefaultParagraphFont"/>
    <w:link w:val="Bodytext170"/>
    <w:rsid w:val="006F76EB"/>
    <w:rPr>
      <w:rFonts w:ascii="Century Schoolbook" w:eastAsia="Century Schoolbook" w:hAnsi="Century Schoolbook" w:cs="Century Schoolbook"/>
      <w:sz w:val="9"/>
      <w:szCs w:val="9"/>
      <w:shd w:val="clear" w:color="auto" w:fill="FFFFFF"/>
    </w:rPr>
  </w:style>
  <w:style w:type="paragraph" w:customStyle="1" w:styleId="Bodytext170">
    <w:name w:val="Body text (17)"/>
    <w:basedOn w:val="Normal"/>
    <w:link w:val="Bodytext17"/>
    <w:rsid w:val="006F76EB"/>
    <w:pPr>
      <w:shd w:val="clear" w:color="auto" w:fill="FFFFFF"/>
      <w:spacing w:before="4500" w:after="0" w:line="0" w:lineRule="atLeast"/>
    </w:pPr>
    <w:rPr>
      <w:rFonts w:ascii="Century Schoolbook" w:eastAsia="Century Schoolbook" w:hAnsi="Century Schoolbook" w:cs="Century Schoolbook"/>
      <w:sz w:val="9"/>
      <w:szCs w:val="9"/>
      <w:lang w:val="en-US" w:eastAsia="en-US" w:bidi="ar-SA"/>
    </w:rPr>
  </w:style>
  <w:style w:type="character" w:customStyle="1" w:styleId="Bodytext1812pt">
    <w:name w:val="Body text (18) + 12 pt"/>
    <w:basedOn w:val="Bodytext18"/>
    <w:rsid w:val="006F76EB"/>
    <w:rPr>
      <w:rFonts w:ascii="Times New Roman" w:eastAsia="Times New Roman" w:hAnsi="Times New Roman" w:cs="Times New Roman"/>
      <w:b/>
      <w:bCs/>
      <w:color w:val="000000"/>
      <w:spacing w:val="0"/>
      <w:w w:val="100"/>
      <w:position w:val="0"/>
      <w:sz w:val="24"/>
      <w:szCs w:val="24"/>
      <w:shd w:val="clear" w:color="auto" w:fill="FFFFFF"/>
      <w:lang w:val="hy-AM" w:eastAsia="hy-AM" w:bidi="hy-AM"/>
    </w:rPr>
  </w:style>
  <w:style w:type="character" w:customStyle="1" w:styleId="Bodytext18105pt">
    <w:name w:val="Body text (18) + 10.5 pt"/>
    <w:basedOn w:val="Bodytext18"/>
    <w:rsid w:val="006F76EB"/>
    <w:rPr>
      <w:rFonts w:ascii="Times New Roman" w:eastAsia="Times New Roman" w:hAnsi="Times New Roman" w:cs="Times New Roman"/>
      <w:b/>
      <w:bCs/>
      <w:color w:val="000000"/>
      <w:spacing w:val="0"/>
      <w:w w:val="100"/>
      <w:position w:val="0"/>
      <w:sz w:val="21"/>
      <w:szCs w:val="21"/>
      <w:shd w:val="clear" w:color="auto" w:fill="FFFFFF"/>
      <w:lang w:val="hy-AM" w:eastAsia="hy-AM" w:bidi="hy-AM"/>
    </w:rPr>
  </w:style>
  <w:style w:type="character" w:customStyle="1" w:styleId="Bodytext1810pt">
    <w:name w:val="Body text (18) + 10 pt"/>
    <w:basedOn w:val="Bodytext18"/>
    <w:rsid w:val="006F76EB"/>
    <w:rPr>
      <w:rFonts w:ascii="Times New Roman" w:eastAsia="Times New Roman" w:hAnsi="Times New Roman" w:cs="Times New Roman"/>
      <w:b/>
      <w:bCs/>
      <w:color w:val="000000"/>
      <w:spacing w:val="0"/>
      <w:w w:val="100"/>
      <w:position w:val="0"/>
      <w:sz w:val="20"/>
      <w:szCs w:val="20"/>
      <w:shd w:val="clear" w:color="auto" w:fill="FFFFFF"/>
      <w:lang w:val="hy-AM" w:eastAsia="hy-AM" w:bidi="hy-AM"/>
    </w:rPr>
  </w:style>
  <w:style w:type="character" w:customStyle="1" w:styleId="Bodytext18NotBold">
    <w:name w:val="Body text (18) + Not Bold"/>
    <w:basedOn w:val="Bodytext18"/>
    <w:rsid w:val="006F76EB"/>
    <w:rPr>
      <w:rFonts w:ascii="Times New Roman" w:eastAsia="Times New Roman" w:hAnsi="Times New Roman" w:cs="Times New Roman"/>
      <w:b/>
      <w:bCs/>
      <w:color w:val="000000"/>
      <w:spacing w:val="0"/>
      <w:w w:val="100"/>
      <w:position w:val="0"/>
      <w:sz w:val="26"/>
      <w:szCs w:val="26"/>
      <w:shd w:val="clear" w:color="auto" w:fill="FFFFFF"/>
      <w:lang w:val="hy-AM" w:eastAsia="hy-AM" w:bidi="hy-AM"/>
    </w:rPr>
  </w:style>
  <w:style w:type="character" w:customStyle="1" w:styleId="DocumentMapChar">
    <w:name w:val="Document Map Char"/>
    <w:basedOn w:val="DefaultParagraphFont"/>
    <w:link w:val="DocumentMap"/>
    <w:uiPriority w:val="99"/>
    <w:semiHidden/>
    <w:rsid w:val="006F76EB"/>
    <w:rPr>
      <w:rFonts w:ascii="Tahoma" w:eastAsia="MS Mincho" w:hAnsi="Tahoma" w:cs="Tahoma"/>
      <w:color w:val="000000"/>
      <w:sz w:val="16"/>
      <w:szCs w:val="16"/>
    </w:rPr>
  </w:style>
  <w:style w:type="paragraph" w:styleId="DocumentMap">
    <w:name w:val="Document Map"/>
    <w:basedOn w:val="Normal"/>
    <w:link w:val="DocumentMapChar"/>
    <w:uiPriority w:val="99"/>
    <w:semiHidden/>
    <w:unhideWhenUsed/>
    <w:rsid w:val="006F76EB"/>
    <w:pPr>
      <w:spacing w:after="0" w:line="240" w:lineRule="auto"/>
    </w:pPr>
    <w:rPr>
      <w:rFonts w:ascii="Tahoma" w:eastAsia="MS Mincho" w:hAnsi="Tahoma" w:cs="Tahoma"/>
      <w:color w:val="000000"/>
      <w:sz w:val="16"/>
      <w:szCs w:val="16"/>
      <w:lang w:val="en-US" w:eastAsia="en-US" w:bidi="ar-SA"/>
    </w:rPr>
  </w:style>
  <w:style w:type="character" w:customStyle="1" w:styleId="DocumentMapChar1">
    <w:name w:val="Document Map Char1"/>
    <w:basedOn w:val="DefaultParagraphFont"/>
    <w:uiPriority w:val="99"/>
    <w:semiHidden/>
    <w:rsid w:val="006F76EB"/>
    <w:rPr>
      <w:rFonts w:ascii="Tahoma" w:hAnsi="Tahoma" w:cs="Tahoma"/>
      <w:sz w:val="16"/>
      <w:szCs w:val="16"/>
      <w:lang w:val="hy-AM" w:eastAsia="hy-AM" w:bidi="hy-AM"/>
    </w:rPr>
  </w:style>
  <w:style w:type="character" w:customStyle="1" w:styleId="Bodytext411pt">
    <w:name w:val="Body text (4) + 11 pt"/>
    <w:basedOn w:val="Bodytext4"/>
    <w:rsid w:val="006F76EB"/>
    <w:rPr>
      <w:rFonts w:ascii="Times New Roman" w:eastAsia="Times New Roman" w:hAnsi="Times New Roman" w:cs="Times New Roman"/>
      <w:b/>
      <w:bCs/>
      <w:color w:val="000000"/>
      <w:spacing w:val="0"/>
      <w:w w:val="100"/>
      <w:position w:val="0"/>
      <w:sz w:val="22"/>
      <w:szCs w:val="22"/>
      <w:shd w:val="clear" w:color="auto" w:fill="FFFFFF"/>
      <w:lang w:val="hy-AM" w:eastAsia="hy-AM" w:bidi="hy-AM"/>
    </w:rPr>
  </w:style>
  <w:style w:type="character" w:customStyle="1" w:styleId="Heading12Spacing1pt">
    <w:name w:val="Heading #1 (2) + Spacing 1 pt"/>
    <w:basedOn w:val="Heading12"/>
    <w:rsid w:val="006F76EB"/>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character" w:styleId="Hyperlink">
    <w:name w:val="Hyperlink"/>
    <w:basedOn w:val="DefaultParagraphFont"/>
    <w:rsid w:val="006F76EB"/>
    <w:rPr>
      <w:color w:val="0066CC"/>
      <w:u w:val="single"/>
    </w:rPr>
  </w:style>
  <w:style w:type="character" w:customStyle="1" w:styleId="Bodytext2115pt">
    <w:name w:val="Body text (2) + 11.5 pt"/>
    <w:basedOn w:val="Bodytext2"/>
    <w:rsid w:val="006F76E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Bodytext210pt">
    <w:name w:val="Body text (2) + 10 pt"/>
    <w:basedOn w:val="Bodytext2"/>
    <w:rsid w:val="006F76E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Exact">
    <w:name w:val="Body text (2) Exact"/>
    <w:basedOn w:val="DefaultParagraphFont"/>
    <w:rsid w:val="006F76EB"/>
    <w:rPr>
      <w:rFonts w:ascii="Times New Roman" w:eastAsia="Times New Roman" w:hAnsi="Times New Roman" w:cs="Times New Roman"/>
      <w:b w:val="0"/>
      <w:bCs w:val="0"/>
      <w:i w:val="0"/>
      <w:iCs w:val="0"/>
      <w:smallCaps w:val="0"/>
      <w:strike w:val="0"/>
      <w:sz w:val="30"/>
      <w:szCs w:val="30"/>
      <w:u w:val="none"/>
    </w:rPr>
  </w:style>
  <w:style w:type="character" w:customStyle="1" w:styleId="Bodytext2Italic">
    <w:name w:val="Body text (2) + Italic"/>
    <w:basedOn w:val="Bodytext2"/>
    <w:rsid w:val="006F76E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hy-AM" w:eastAsia="hy-AM" w:bidi="hy-AM"/>
    </w:rPr>
  </w:style>
  <w:style w:type="character" w:customStyle="1" w:styleId="Bodytext2Spacing2pt">
    <w:name w:val="Body text (2) + Spacing 2 pt"/>
    <w:basedOn w:val="Bodytext2"/>
    <w:rsid w:val="006F76EB"/>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12Spacing2pt">
    <w:name w:val="Heading #1 (2) + Spacing 2 pt"/>
    <w:basedOn w:val="Heading12"/>
    <w:rsid w:val="006F76E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1Spacing2pt">
    <w:name w:val="Heading #1 + Spacing 2 pt"/>
    <w:basedOn w:val="Heading1"/>
    <w:rsid w:val="006F76E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8Exact">
    <w:name w:val="Body text (8) Exact"/>
    <w:basedOn w:val="DefaultParagraphFont"/>
    <w:rsid w:val="006F76EB"/>
    <w:rPr>
      <w:rFonts w:ascii="Times New Roman" w:eastAsia="Times New Roman" w:hAnsi="Times New Roman" w:cs="Times New Roman"/>
      <w:b/>
      <w:bCs/>
      <w:i w:val="0"/>
      <w:iCs w:val="0"/>
      <w:smallCaps w:val="0"/>
      <w:strike w:val="0"/>
      <w:sz w:val="22"/>
      <w:szCs w:val="22"/>
      <w:u w:val="none"/>
    </w:rPr>
  </w:style>
  <w:style w:type="character" w:customStyle="1" w:styleId="Heading1Spacing3pt">
    <w:name w:val="Heading #1 + Spacing 3 pt"/>
    <w:basedOn w:val="Heading1"/>
    <w:rsid w:val="006F76EB"/>
    <w:rPr>
      <w:rFonts w:ascii="Times New Roman" w:eastAsia="Times New Roman" w:hAnsi="Times New Roman" w:cs="Times New Roman"/>
      <w:b/>
      <w:bCs/>
      <w:color w:val="000000"/>
      <w:spacing w:val="70"/>
      <w:w w:val="100"/>
      <w:position w:val="0"/>
      <w:sz w:val="30"/>
      <w:szCs w:val="30"/>
      <w:shd w:val="clear" w:color="auto" w:fill="FFFFFF"/>
      <w:lang w:val="hy-AM" w:eastAsia="hy-AM" w:bidi="hy-AM"/>
    </w:rPr>
  </w:style>
  <w:style w:type="character" w:styleId="PlaceholderText">
    <w:name w:val="Placeholder Text"/>
    <w:basedOn w:val="DefaultParagraphFont"/>
    <w:uiPriority w:val="99"/>
    <w:semiHidden/>
    <w:rsid w:val="006F76EB"/>
    <w:rPr>
      <w:color w:val="808080"/>
    </w:rPr>
  </w:style>
  <w:style w:type="paragraph" w:styleId="Revision">
    <w:name w:val="Revision"/>
    <w:hidden/>
    <w:uiPriority w:val="99"/>
    <w:semiHidden/>
    <w:rsid w:val="006F76EB"/>
    <w:pPr>
      <w:spacing w:after="0" w:line="240" w:lineRule="auto"/>
    </w:pPr>
    <w:rPr>
      <w:rFonts w:ascii="Sylfaen" w:eastAsia="MS Mincho" w:hAnsi="Sylfaen" w:cs="Sylfaen"/>
      <w:color w:val="000000"/>
      <w:sz w:val="24"/>
      <w:szCs w:val="24"/>
      <w:lang w:val="hy-AM" w:eastAsia="hy-AM" w:bidi="hy-AM"/>
    </w:rPr>
  </w:style>
  <w:style w:type="character" w:customStyle="1" w:styleId="Bodytext1815pt">
    <w:name w:val="Body text (18) + 15 pt"/>
    <w:aliases w:val="Not Bold,Body text (18) + 4 pt"/>
    <w:basedOn w:val="Bodytext18"/>
    <w:rsid w:val="006F76EB"/>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Bodytext28pt">
    <w:name w:val="Body text (2) + 8 pt"/>
    <w:basedOn w:val="Bodytext2"/>
    <w:rsid w:val="006F76E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y-AM" w:eastAsia="hy-AM" w:bidi="hy-AM"/>
    </w:rPr>
  </w:style>
  <w:style w:type="character" w:customStyle="1" w:styleId="Bodytext3Spacing3pt">
    <w:name w:val="Body text (3) + Spacing 3 pt"/>
    <w:basedOn w:val="Bodytext3"/>
    <w:rsid w:val="00BD67EC"/>
    <w:rPr>
      <w:rFonts w:ascii="Times New Roman" w:eastAsia="Times New Roman" w:hAnsi="Times New Roman" w:cs="Times New Roman"/>
      <w:b/>
      <w:bCs/>
      <w:color w:val="000000"/>
      <w:spacing w:val="60"/>
      <w:w w:val="100"/>
      <w:position w:val="0"/>
      <w:sz w:val="30"/>
      <w:szCs w:val="30"/>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5015-D7DF-4058-8598-E626ACE2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966</Pages>
  <Words>191507</Words>
  <Characters>1091590</Characters>
  <Application>Microsoft Office Word</Application>
  <DocSecurity>0</DocSecurity>
  <Lines>9096</Lines>
  <Paragraphs>2561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Аngela</dc:creator>
  <cp:keywords/>
  <dc:description/>
  <cp:lastModifiedBy>Nune Korushchyan</cp:lastModifiedBy>
  <cp:revision>372</cp:revision>
  <cp:lastPrinted>2022-06-22T12:05:00Z</cp:lastPrinted>
  <dcterms:created xsi:type="dcterms:W3CDTF">2017-05-02T07:39:00Z</dcterms:created>
  <dcterms:modified xsi:type="dcterms:W3CDTF">2022-06-22T12:08:00Z</dcterms:modified>
</cp:coreProperties>
</file>